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67B0" w14:textId="191A6D92" w:rsidR="008B4DF8" w:rsidRPr="00C1603D" w:rsidRDefault="0067409A" w:rsidP="006C00BC">
      <w:pPr>
        <w:pStyle w:val="11MaintitlePrelimsPrelimsstyles"/>
        <w:tabs>
          <w:tab w:val="left" w:pos="709"/>
          <w:tab w:val="left" w:pos="3544"/>
          <w:tab w:val="left" w:pos="3686"/>
        </w:tabs>
        <w:rPr>
          <w:rFonts w:eastAsia="Yu Gothic Light"/>
        </w:rPr>
      </w:pPr>
      <w:commentRangeStart w:id="0"/>
      <w:commentRangeStart w:id="1"/>
      <w:commentRangeStart w:id="2"/>
      <w:commentRangeStart w:id="3"/>
      <w:r w:rsidRPr="00C1603D">
        <w:rPr>
          <w:rFonts w:eastAsia="Yu Gothic Light"/>
        </w:rPr>
        <w:t>Defin</w:t>
      </w:r>
      <w:r w:rsidR="3CDEEDA7" w:rsidRPr="00C1603D">
        <w:rPr>
          <w:rFonts w:eastAsia="Yu Gothic Light"/>
        </w:rPr>
        <w:t>ing the optimum strategy for identifying adults and children with coeliac disease: systematic review and economic modelling</w:t>
      </w:r>
      <w:commentRangeEnd w:id="0"/>
      <w:r w:rsidR="008B4DF8" w:rsidRPr="00C1603D">
        <w:commentReference w:id="0"/>
      </w:r>
      <w:commentRangeEnd w:id="1"/>
      <w:r w:rsidR="008B4DF8" w:rsidRPr="00C1603D">
        <w:commentReference w:id="1"/>
      </w:r>
      <w:commentRangeEnd w:id="2"/>
      <w:r w:rsidR="00093843" w:rsidRPr="00C1603D">
        <w:commentReference w:id="2"/>
      </w:r>
      <w:commentRangeEnd w:id="3"/>
      <w:r w:rsidR="3CDEEDA7" w:rsidRPr="00C1603D">
        <w:commentReference w:id="3"/>
      </w:r>
    </w:p>
    <w:p w14:paraId="6A238800" w14:textId="77777777" w:rsidR="008B4DF8" w:rsidRPr="00C1603D" w:rsidRDefault="008B4DF8" w:rsidP="008B4DF8">
      <w:pPr>
        <w:pStyle w:val="13TitlepageauthorsPrelimsPrelimsstyles"/>
      </w:pPr>
      <w:r w:rsidRPr="00C1603D">
        <w:t>Martha MC Elwenspoek,</w:t>
      </w:r>
      <w:r w:rsidRPr="00C1603D">
        <w:rPr>
          <w:vertAlign w:val="superscript"/>
        </w:rPr>
        <w:t>1,2</w:t>
      </w:r>
      <w:r w:rsidRPr="00C1603D">
        <w:t>* Howard Thom,</w:t>
      </w:r>
      <w:r w:rsidRPr="00C1603D">
        <w:rPr>
          <w:vertAlign w:val="superscript"/>
        </w:rPr>
        <w:t>2</w:t>
      </w:r>
      <w:r w:rsidRPr="00C1603D">
        <w:t xml:space="preserve"> Athena L Sheppard,</w:t>
      </w:r>
      <w:r w:rsidRPr="00C1603D">
        <w:rPr>
          <w:vertAlign w:val="superscript"/>
        </w:rPr>
        <w:t>1,2,3</w:t>
      </w:r>
      <w:r w:rsidRPr="00C1603D">
        <w:t xml:space="preserve"> Edna Keeney,</w:t>
      </w:r>
      <w:r w:rsidRPr="00C1603D">
        <w:rPr>
          <w:vertAlign w:val="superscript"/>
        </w:rPr>
        <w:t>2</w:t>
      </w:r>
      <w:r w:rsidRPr="00C1603D">
        <w:t xml:space="preserve"> Rachel O</w:t>
      </w:r>
      <w:r w:rsidRPr="00C1603D">
        <w:rPr>
          <w:color w:val="00B0F0"/>
        </w:rPr>
        <w:t>’</w:t>
      </w:r>
      <w:r w:rsidRPr="00C1603D">
        <w:t>Donnell,</w:t>
      </w:r>
      <w:r w:rsidRPr="00C1603D">
        <w:rPr>
          <w:vertAlign w:val="superscript"/>
        </w:rPr>
        <w:t>1,2</w:t>
      </w:r>
      <w:r w:rsidRPr="00C1603D">
        <w:t xml:space="preserve"> Joni Jackson,</w:t>
      </w:r>
      <w:r w:rsidRPr="00C1603D">
        <w:rPr>
          <w:vertAlign w:val="superscript"/>
        </w:rPr>
        <w:t>1,2</w:t>
      </w:r>
      <w:r w:rsidRPr="00C1603D">
        <w:t xml:space="preserve"> Cristina Roadevin,</w:t>
      </w:r>
      <w:r w:rsidRPr="00C1603D">
        <w:rPr>
          <w:vertAlign w:val="superscript"/>
        </w:rPr>
        <w:t>2</w:t>
      </w:r>
      <w:r w:rsidRPr="00C1603D">
        <w:t xml:space="preserve"> Sarah Dawson,</w:t>
      </w:r>
      <w:r w:rsidRPr="00C1603D">
        <w:rPr>
          <w:vertAlign w:val="superscript"/>
        </w:rPr>
        <w:t>2</w:t>
      </w:r>
      <w:r w:rsidRPr="00C1603D">
        <w:t xml:space="preserve"> Deborah Lane,</w:t>
      </w:r>
      <w:r w:rsidRPr="00C1603D">
        <w:rPr>
          <w:vertAlign w:val="superscript"/>
        </w:rPr>
        <w:t>4</w:t>
      </w:r>
      <w:r w:rsidRPr="00C1603D">
        <w:t xml:space="preserve"> Jo Stubbs,</w:t>
      </w:r>
      <w:r w:rsidRPr="00C1603D">
        <w:rPr>
          <w:vertAlign w:val="superscript"/>
        </w:rPr>
        <w:t>4</w:t>
      </w:r>
      <w:r w:rsidRPr="00C1603D">
        <w:t xml:space="preserve"> Hazel Everitt,</w:t>
      </w:r>
      <w:r w:rsidRPr="00C1603D">
        <w:rPr>
          <w:vertAlign w:val="superscript"/>
        </w:rPr>
        <w:t>5</w:t>
      </w:r>
      <w:r w:rsidRPr="00C1603D">
        <w:t xml:space="preserve"> Jessica C Watson,</w:t>
      </w:r>
      <w:r w:rsidRPr="00C1603D">
        <w:rPr>
          <w:vertAlign w:val="superscript"/>
        </w:rPr>
        <w:t>2</w:t>
      </w:r>
      <w:r w:rsidRPr="00C1603D">
        <w:t xml:space="preserve"> Alastair D Hay,</w:t>
      </w:r>
      <w:r w:rsidRPr="00C1603D">
        <w:rPr>
          <w:vertAlign w:val="superscript"/>
        </w:rPr>
        <w:t>2</w:t>
      </w:r>
      <w:r w:rsidRPr="00C1603D">
        <w:t xml:space="preserve"> Peter Gillett,</w:t>
      </w:r>
      <w:r w:rsidRPr="00C1603D">
        <w:rPr>
          <w:vertAlign w:val="superscript"/>
        </w:rPr>
        <w:t>6</w:t>
      </w:r>
      <w:r w:rsidRPr="00C1603D">
        <w:t xml:space="preserve"> Gerry Robins,</w:t>
      </w:r>
      <w:r w:rsidRPr="00C1603D">
        <w:rPr>
          <w:vertAlign w:val="superscript"/>
        </w:rPr>
        <w:t>7</w:t>
      </w:r>
      <w:r w:rsidRPr="00C1603D">
        <w:t xml:space="preserve"> Hayley E Jones,</w:t>
      </w:r>
      <w:r w:rsidRPr="00C1603D">
        <w:rPr>
          <w:vertAlign w:val="superscript"/>
        </w:rPr>
        <w:t>2</w:t>
      </w:r>
      <w:r w:rsidRPr="00C1603D">
        <w:t xml:space="preserve"> Sue Mallett</w:t>
      </w:r>
      <w:r w:rsidRPr="00C1603D">
        <w:rPr>
          <w:vertAlign w:val="superscript"/>
        </w:rPr>
        <w:t>8</w:t>
      </w:r>
      <w:r w:rsidRPr="00C1603D">
        <w:t xml:space="preserve"> and Penny F Whiting</w:t>
      </w:r>
      <w:r w:rsidRPr="00C1603D">
        <w:rPr>
          <w:vertAlign w:val="superscript"/>
        </w:rPr>
        <w:t>2</w:t>
      </w:r>
    </w:p>
    <w:p w14:paraId="702569A0" w14:textId="7CF80495" w:rsidR="008B4DF8" w:rsidRPr="00C1603D" w:rsidRDefault="008B4DF8" w:rsidP="008B4DF8">
      <w:pPr>
        <w:pStyle w:val="15TitlepageaddressesPrelimsPrelimsstyles"/>
        <w:rPr>
          <w:rFonts w:eastAsia="Calibri"/>
          <w:bdr w:val="nil"/>
          <w:lang w:eastAsia="zh-CN"/>
        </w:rPr>
      </w:pPr>
      <w:bookmarkStart w:id="4" w:name="_Hlk31372172"/>
      <w:r w:rsidRPr="00C1603D">
        <w:rPr>
          <w:rFonts w:eastAsia="Calibri"/>
          <w:bdr w:val="nil"/>
          <w:vertAlign w:val="superscript"/>
          <w:lang w:eastAsia="zh-CN"/>
        </w:rPr>
        <w:t>1</w:t>
      </w:r>
      <w:bookmarkStart w:id="5" w:name="_Hlk31372583"/>
      <w:r w:rsidRPr="00C1603D">
        <w:rPr>
          <w:rFonts w:eastAsia="Calibri"/>
          <w:bdr w:val="nil"/>
          <w:lang w:eastAsia="zh-CN"/>
        </w:rPr>
        <w:t xml:space="preserve">National Institute for Health </w:t>
      </w:r>
      <w:r w:rsidR="00301D60" w:rsidRPr="00C1603D">
        <w:rPr>
          <w:rFonts w:eastAsia="Calibri"/>
          <w:bdr w:val="nil"/>
          <w:lang w:eastAsia="zh-CN"/>
        </w:rPr>
        <w:t xml:space="preserve">and Care </w:t>
      </w:r>
      <w:r w:rsidRPr="00C1603D">
        <w:rPr>
          <w:rFonts w:eastAsia="Calibri"/>
          <w:bdr w:val="nil"/>
          <w:lang w:eastAsia="zh-CN"/>
        </w:rPr>
        <w:t>Research Applied Research Collaboration West</w:t>
      </w:r>
      <w:bookmarkEnd w:id="5"/>
      <w:r w:rsidRPr="00C1603D">
        <w:rPr>
          <w:rFonts w:eastAsia="Calibri"/>
          <w:bdr w:val="nil"/>
          <w:lang w:eastAsia="zh-CN"/>
        </w:rPr>
        <w:t xml:space="preserve">, </w:t>
      </w:r>
      <w:bookmarkStart w:id="6" w:name="_Hlk31372776"/>
      <w:r w:rsidRPr="00C1603D">
        <w:rPr>
          <w:rFonts w:eastAsia="Calibri"/>
          <w:bdr w:val="nil"/>
          <w:lang w:eastAsia="zh-CN"/>
        </w:rPr>
        <w:t>University Hospitals Bristol NHS Foundation Trust, Bristol, UK</w:t>
      </w:r>
    </w:p>
    <w:p w14:paraId="6652021A" w14:textId="746A75D4" w:rsidR="008B4DF8" w:rsidRPr="00C1603D" w:rsidRDefault="008B4DF8" w:rsidP="008B4DF8">
      <w:pPr>
        <w:pStyle w:val="15TitlepageaddressesPrelimsPrelimsstyles"/>
        <w:rPr>
          <w:rFonts w:eastAsia="Calibri"/>
          <w:bdr w:val="nil"/>
          <w:lang w:eastAsia="zh-CN"/>
        </w:rPr>
      </w:pPr>
      <w:bookmarkStart w:id="7" w:name="_Hlk31372623"/>
      <w:bookmarkStart w:id="8" w:name="_Hlk31372866"/>
      <w:r w:rsidRPr="00C1603D">
        <w:rPr>
          <w:rFonts w:eastAsia="Calibri"/>
          <w:bdr w:val="nil"/>
          <w:vertAlign w:val="superscript"/>
          <w:lang w:eastAsia="zh-CN"/>
        </w:rPr>
        <w:t>2</w:t>
      </w:r>
      <w:r w:rsidRPr="00C1603D">
        <w:rPr>
          <w:rFonts w:eastAsia="Calibri"/>
          <w:bdr w:val="nil"/>
          <w:lang w:eastAsia="zh-CN"/>
        </w:rPr>
        <w:t xml:space="preserve">Population Health Sciences, Bristol Medical School, </w:t>
      </w:r>
      <w:bookmarkEnd w:id="7"/>
      <w:r w:rsidRPr="00C1603D">
        <w:rPr>
          <w:rFonts w:eastAsia="Calibri"/>
          <w:bdr w:val="nil"/>
          <w:lang w:eastAsia="zh-CN"/>
        </w:rPr>
        <w:t>University of Bristol</w:t>
      </w:r>
      <w:bookmarkEnd w:id="6"/>
      <w:bookmarkEnd w:id="8"/>
      <w:r w:rsidRPr="00C1603D">
        <w:rPr>
          <w:rFonts w:eastAsia="Calibri"/>
          <w:bdr w:val="nil"/>
          <w:lang w:eastAsia="zh-CN"/>
        </w:rPr>
        <w:t>, Bristol, UK</w:t>
      </w:r>
    </w:p>
    <w:p w14:paraId="73279DB2" w14:textId="51EA0F9D" w:rsidR="008B4DF8" w:rsidRPr="00C1603D" w:rsidRDefault="008B4DF8" w:rsidP="008B4DF8">
      <w:pPr>
        <w:pStyle w:val="15TitlepageaddressesPrelimsPrelimsstyles"/>
        <w:rPr>
          <w:rFonts w:eastAsia="Calibri"/>
          <w:bdr w:val="nil"/>
          <w:lang w:eastAsia="zh-CN"/>
        </w:rPr>
      </w:pPr>
      <w:bookmarkStart w:id="9" w:name="_Hlk31372919"/>
      <w:r w:rsidRPr="00C1603D">
        <w:rPr>
          <w:rFonts w:eastAsia="Calibri"/>
          <w:color w:val="auto"/>
          <w:bdr w:val="nil"/>
          <w:vertAlign w:val="superscript"/>
          <w:lang w:eastAsia="zh-CN"/>
        </w:rPr>
        <w:t>3</w:t>
      </w:r>
      <w:r w:rsidRPr="00C1603D">
        <w:rPr>
          <w:rFonts w:eastAsia="Calibri"/>
          <w:color w:val="auto"/>
          <w:bdr w:val="nil"/>
          <w:lang w:eastAsia="zh-CN"/>
        </w:rPr>
        <w:t xml:space="preserve">Department of Health </w:t>
      </w:r>
      <w:r w:rsidRPr="00C1603D">
        <w:rPr>
          <w:rFonts w:eastAsia="Calibri"/>
          <w:bdr w:val="nil"/>
          <w:lang w:eastAsia="zh-CN"/>
        </w:rPr>
        <w:t>Sciences, University of Leicester, Leicester, UK</w:t>
      </w:r>
    </w:p>
    <w:p w14:paraId="51D9B857" w14:textId="4FB47F6C" w:rsidR="008B4DF8" w:rsidRPr="00C1603D" w:rsidRDefault="008B4DF8" w:rsidP="008B4DF8">
      <w:pPr>
        <w:pStyle w:val="15TitlepageaddressesPrelimsPrelimsstyles"/>
        <w:rPr>
          <w:rFonts w:eastAsia="Calibri"/>
          <w:bdr w:val="nil"/>
          <w:lang w:eastAsia="zh-CN"/>
        </w:rPr>
      </w:pPr>
      <w:r w:rsidRPr="00C1603D">
        <w:rPr>
          <w:rFonts w:eastAsia="Calibri"/>
          <w:bdr w:val="nil"/>
          <w:vertAlign w:val="superscript"/>
          <w:lang w:eastAsia="zh-CN"/>
        </w:rPr>
        <w:t>4</w:t>
      </w:r>
      <w:commentRangeStart w:id="10"/>
      <w:commentRangeStart w:id="11"/>
      <w:r w:rsidRPr="00C1603D">
        <w:rPr>
          <w:rFonts w:eastAsia="Calibri"/>
          <w:bdr w:val="nil"/>
          <w:lang w:eastAsia="zh-CN"/>
        </w:rPr>
        <w:t>Patient representative</w:t>
      </w:r>
      <w:commentRangeEnd w:id="10"/>
      <w:r w:rsidRPr="00C1603D">
        <w:rPr>
          <w:rFonts w:eastAsia="Calibri" w:cs="Arial"/>
          <w:sz w:val="16"/>
          <w:szCs w:val="16"/>
        </w:rPr>
        <w:commentReference w:id="10"/>
      </w:r>
      <w:commentRangeEnd w:id="11"/>
      <w:r w:rsidRPr="00C1603D">
        <w:commentReference w:id="11"/>
      </w:r>
      <w:r w:rsidR="00D207BB" w:rsidRPr="00C1603D">
        <w:rPr>
          <w:rFonts w:eastAsia="Calibri"/>
          <w:bdr w:val="nil"/>
          <w:lang w:eastAsia="zh-CN"/>
        </w:rPr>
        <w:t>, UK</w:t>
      </w:r>
    </w:p>
    <w:p w14:paraId="2881B30E" w14:textId="7BA1745E" w:rsidR="008B4DF8" w:rsidRPr="00C1603D" w:rsidRDefault="008B4DF8" w:rsidP="008B4DF8">
      <w:pPr>
        <w:pStyle w:val="15TitlepageaddressesPrelimsPrelimsstyles"/>
        <w:rPr>
          <w:rFonts w:eastAsia="Calibri"/>
          <w:bdr w:val="nil"/>
          <w:lang w:eastAsia="zh-CN"/>
        </w:rPr>
      </w:pPr>
      <w:r w:rsidRPr="00C1603D">
        <w:rPr>
          <w:rFonts w:eastAsia="Calibri"/>
          <w:bdr w:val="nil"/>
          <w:vertAlign w:val="superscript"/>
          <w:lang w:eastAsia="zh-CN"/>
        </w:rPr>
        <w:t>5</w:t>
      </w:r>
      <w:r w:rsidRPr="00C1603D">
        <w:rPr>
          <w:rFonts w:eastAsia="Calibri"/>
          <w:bdr w:val="nil"/>
          <w:lang w:eastAsia="zh-CN"/>
        </w:rPr>
        <w:t>Primary Care Research Centre, Population Sciences and Medical Education, University of Southampton</w:t>
      </w:r>
      <w:bookmarkEnd w:id="9"/>
      <w:r w:rsidRPr="00C1603D">
        <w:rPr>
          <w:rFonts w:eastAsia="Calibri"/>
          <w:bdr w:val="nil"/>
          <w:lang w:eastAsia="zh-CN"/>
        </w:rPr>
        <w:t>, Southampton, UK</w:t>
      </w:r>
    </w:p>
    <w:p w14:paraId="12BEE493" w14:textId="1F6A2E24" w:rsidR="008B4DF8" w:rsidRPr="00C1603D" w:rsidRDefault="008B4DF8" w:rsidP="008B4DF8">
      <w:pPr>
        <w:pStyle w:val="15TitlepageaddressesPrelimsPrelimsstyles"/>
        <w:rPr>
          <w:rFonts w:eastAsia="Calibri"/>
          <w:bdr w:val="nil"/>
          <w:lang w:eastAsia="zh-CN"/>
        </w:rPr>
      </w:pPr>
      <w:bookmarkStart w:id="12" w:name="_Hlk31372943"/>
      <w:r w:rsidRPr="00C1603D">
        <w:rPr>
          <w:rFonts w:eastAsia="Calibri"/>
          <w:bdr w:val="nil"/>
          <w:vertAlign w:val="superscript"/>
          <w:lang w:eastAsia="zh-CN"/>
        </w:rPr>
        <w:t>6</w:t>
      </w:r>
      <w:r w:rsidRPr="00C1603D">
        <w:rPr>
          <w:rFonts w:eastAsia="Calibri"/>
          <w:bdr w:val="nil"/>
          <w:lang w:eastAsia="zh-CN"/>
        </w:rPr>
        <w:t>Paediatric Gastroenterology, Hepatology and Nutrition Department, Royal Hospital for Sick Children, Edinburgh</w:t>
      </w:r>
      <w:bookmarkEnd w:id="12"/>
      <w:r w:rsidRPr="00C1603D">
        <w:rPr>
          <w:rFonts w:eastAsia="Calibri"/>
          <w:bdr w:val="nil"/>
          <w:lang w:eastAsia="zh-CN"/>
        </w:rPr>
        <w:t>, UK</w:t>
      </w:r>
    </w:p>
    <w:p w14:paraId="40538FA1" w14:textId="77777777" w:rsidR="008B4DF8" w:rsidRPr="00C1603D" w:rsidRDefault="008B4DF8" w:rsidP="008B4DF8">
      <w:pPr>
        <w:pStyle w:val="15TitlepageaddressesPrelimsPrelimsstyles"/>
        <w:rPr>
          <w:rFonts w:eastAsia="Calibri"/>
          <w:bdr w:val="nil"/>
          <w:lang w:eastAsia="zh-CN"/>
        </w:rPr>
      </w:pPr>
      <w:bookmarkStart w:id="13" w:name="_Hlk31373002"/>
      <w:r w:rsidRPr="00C1603D">
        <w:rPr>
          <w:rFonts w:eastAsia="Calibri"/>
          <w:bdr w:val="nil"/>
          <w:vertAlign w:val="superscript"/>
          <w:lang w:eastAsia="zh-CN"/>
        </w:rPr>
        <w:t>7</w:t>
      </w:r>
      <w:r w:rsidRPr="00C1603D">
        <w:rPr>
          <w:rFonts w:eastAsia="Calibri"/>
          <w:bdr w:val="nil"/>
          <w:lang w:eastAsia="zh-CN"/>
        </w:rPr>
        <w:t>Department of Gastroenterology, York Teaching Hospital NHS Foundation Trust, York, UK</w:t>
      </w:r>
    </w:p>
    <w:p w14:paraId="558AFB71" w14:textId="06CAFC0A" w:rsidR="008B4DF8" w:rsidRPr="00C1603D" w:rsidRDefault="008B4DF8" w:rsidP="008B4DF8">
      <w:pPr>
        <w:pStyle w:val="15TitlepageaddressesPrelimsPrelimsstyles"/>
        <w:rPr>
          <w:rFonts w:eastAsia="Calibri"/>
          <w:bdr w:val="nil"/>
          <w:lang w:eastAsia="zh-CN"/>
        </w:rPr>
      </w:pPr>
      <w:r w:rsidRPr="00C1603D">
        <w:rPr>
          <w:rFonts w:eastAsia="Calibri"/>
          <w:bdr w:val="nil"/>
          <w:vertAlign w:val="superscript"/>
          <w:lang w:eastAsia="zh-CN"/>
        </w:rPr>
        <w:t>8</w:t>
      </w:r>
      <w:r w:rsidRPr="00C1603D">
        <w:rPr>
          <w:rFonts w:eastAsia="Calibri"/>
          <w:bdr w:val="nil"/>
          <w:lang w:eastAsia="zh-CN"/>
        </w:rPr>
        <w:t xml:space="preserve">Centre for Medical Imaging, University College London, London, </w:t>
      </w:r>
      <w:bookmarkEnd w:id="13"/>
      <w:commentRangeStart w:id="14"/>
      <w:commentRangeStart w:id="15"/>
      <w:r w:rsidRPr="00C1603D">
        <w:rPr>
          <w:rFonts w:eastAsia="Calibri"/>
          <w:bdr w:val="nil"/>
          <w:lang w:eastAsia="zh-CN"/>
        </w:rPr>
        <w:t>UK</w:t>
      </w:r>
      <w:commentRangeEnd w:id="14"/>
      <w:r w:rsidRPr="00C1603D">
        <w:rPr>
          <w:rFonts w:eastAsia="Calibri" w:cs="Arial"/>
          <w:sz w:val="16"/>
          <w:szCs w:val="16"/>
        </w:rPr>
        <w:commentReference w:id="14"/>
      </w:r>
      <w:commentRangeEnd w:id="15"/>
      <w:r w:rsidRPr="00C1603D">
        <w:commentReference w:id="15"/>
      </w:r>
    </w:p>
    <w:p w14:paraId="4FDCF006" w14:textId="77777777" w:rsidR="008B4DF8" w:rsidRPr="00C1603D" w:rsidRDefault="008B4DF8" w:rsidP="008B4DF8">
      <w:pPr>
        <w:pStyle w:val="162TitlepagecorrespondingauthorPrelimsstyles"/>
      </w:pPr>
      <w:bookmarkStart w:id="16" w:name="_Toc99539772"/>
      <w:r w:rsidRPr="00C1603D">
        <w:t>*Corresponding author</w:t>
      </w:r>
      <w:bookmarkEnd w:id="4"/>
      <w:bookmarkEnd w:id="16"/>
    </w:p>
    <w:p w14:paraId="69F0E514" w14:textId="4F730475" w:rsidR="008B4DF8" w:rsidRPr="00C1603D" w:rsidRDefault="599AD4B9" w:rsidP="008B4DF8">
      <w:pPr>
        <w:pStyle w:val="161TitlepagecompetinginterestsPrelimsstyles"/>
      </w:pPr>
      <w:r w:rsidRPr="00C1603D">
        <w:rPr>
          <w:b/>
          <w:bCs/>
        </w:rPr>
        <w:lastRenderedPageBreak/>
        <w:t>Declared competing interests of authors:</w:t>
      </w:r>
      <w:r w:rsidRPr="00C1603D">
        <w:t xml:space="preserve"> Howard Thom reports grants from the National Institute for Health and Care Research (NIHR) [</w:t>
      </w:r>
      <w:commentRangeStart w:id="17"/>
      <w:commentRangeStart w:id="18"/>
      <w:r w:rsidRPr="00C1603D">
        <w:t xml:space="preserve">Health Technology Assessment (HTA) 18/134 </w:t>
      </w:r>
      <w:commentRangeEnd w:id="17"/>
      <w:r w:rsidR="008B4DF8" w:rsidRPr="00C1603D">
        <w:commentReference w:id="17"/>
      </w:r>
      <w:commentRangeEnd w:id="18"/>
      <w:r w:rsidR="008B4DF8" w:rsidRPr="00C1603D">
        <w:commentReference w:id="18"/>
      </w:r>
      <w:r w:rsidRPr="00C1603D">
        <w:t xml:space="preserve">and NIHR Bristol Biomedical Research Centre), and the Medical Research Council (MRC) (MR/S036709/1); Howard Thom is also a part owner of Clifton Insight and has received consulting fees, paid to Clifton Insight, </w:t>
      </w:r>
      <w:commentRangeStart w:id="19"/>
      <w:commentRangeStart w:id="20"/>
      <w:r w:rsidRPr="00C1603D">
        <w:t>from Novartis International AG (Basel, Switzerland), F. Hoffmann-La Roche AG (Basel, Switzerland), Pfizer Inc. (New York, NY, USA), Bristol Myers Squibb (BMS) (New York, NY, USA), Eisai Co., Ltd (Tokyo, Japan), Argenx (Ghent, Belgium), H. Lundbeck A/S (Copenhagen, Denmark) and Janssen Pharmaceuticals (Beerse, Belgium).</w:t>
      </w:r>
      <w:commentRangeEnd w:id="19"/>
      <w:r w:rsidR="008B4DF8" w:rsidRPr="00C1603D">
        <w:commentReference w:id="19"/>
      </w:r>
      <w:commentRangeEnd w:id="20"/>
      <w:r w:rsidR="008B4DF8" w:rsidRPr="00C1603D">
        <w:commentReference w:id="20"/>
      </w:r>
      <w:r w:rsidRPr="00C1603D">
        <w:t xml:space="preserve"> He has also received other fees from Clifton Insight (part owner). Athena L Sheppard reports grants from the NIHR HTA programme (18/134), payments made to their institution, an employment contract with F. Hoffmann-La Roche (2020), a training grant from the National Centre for Research Methods and a travel grant from the Royal Statistical Society. Edna Keeney reports personal fees from Novartis International AG, F. Hoffmann-La Roche, Pfizer Inc. and BMS. </w:t>
      </w:r>
      <w:commentRangeStart w:id="21"/>
      <w:commentRangeStart w:id="22"/>
      <w:commentRangeStart w:id="23"/>
      <w:r w:rsidRPr="00C1603D">
        <w:t>Alastair D Hay reports grants from NIHR (</w:t>
      </w:r>
      <w:r w:rsidR="00D32546" w:rsidRPr="00C1603D">
        <w:t xml:space="preserve">Senior Investigator Award </w:t>
      </w:r>
      <w:r w:rsidRPr="00C1603D">
        <w:t xml:space="preserve">NIHR200151), </w:t>
      </w:r>
      <w:commentRangeEnd w:id="21"/>
      <w:r w:rsidR="008B4DF8" w:rsidRPr="00C1603D">
        <w:commentReference w:id="21"/>
      </w:r>
      <w:commentRangeEnd w:id="22"/>
      <w:r w:rsidRPr="00C1603D">
        <w:commentReference w:id="22"/>
      </w:r>
      <w:commentRangeEnd w:id="23"/>
      <w:r w:rsidRPr="00C1603D">
        <w:commentReference w:id="23"/>
      </w:r>
      <w:r w:rsidRPr="00C1603D">
        <w:t>and membership of the Efficacy and Mechanism Evaluation (</w:t>
      </w:r>
      <w:commentRangeStart w:id="24"/>
      <w:commentRangeStart w:id="25"/>
      <w:r w:rsidRPr="00C1603D">
        <w:t>EME) Funding Committee (20</w:t>
      </w:r>
      <w:r w:rsidR="00F94CA7" w:rsidRPr="00C1603D">
        <w:t>19</w:t>
      </w:r>
      <w:r w:rsidR="0026437D" w:rsidRPr="00C1603D">
        <w:t xml:space="preserve"> to present</w:t>
      </w:r>
      <w:r w:rsidRPr="00C1603D">
        <w:t xml:space="preserve">) </w:t>
      </w:r>
      <w:commentRangeEnd w:id="24"/>
      <w:r w:rsidR="008B4DF8" w:rsidRPr="00C1603D">
        <w:commentReference w:id="24"/>
      </w:r>
      <w:commentRangeEnd w:id="25"/>
      <w:r w:rsidR="008B4DF8" w:rsidRPr="00C1603D">
        <w:commentReference w:id="25"/>
      </w:r>
      <w:r w:rsidRPr="00C1603D">
        <w:t>and the National Institute for Health and Care Excellence managing common infections committee (2019 to present). Gerry Robins reports membership of the Trustee Board for Coeliac UK. Hayley E Jones reports grants from MRC-NIHR (New Investigator Research Grant MR/T044594/1) and consulting fees from Aquarius Population Health (London, UK).</w:t>
      </w:r>
    </w:p>
    <w:p w14:paraId="5991145E" w14:textId="77777777" w:rsidR="008B4DF8" w:rsidRPr="00C1603D" w:rsidRDefault="008B4DF8" w:rsidP="008B4DF8">
      <w:pPr>
        <w:pStyle w:val="17TitlepagepubdatePrelimsPrelimsstyles"/>
      </w:pPr>
      <w:r w:rsidRPr="00C1603D">
        <w:t>Published</w:t>
      </w:r>
      <w:r w:rsidRPr="00C1603D">
        <w:rPr>
          <w:color w:val="FF0000"/>
        </w:rPr>
        <w:t xml:space="preserve"> XXXX </w:t>
      </w:r>
      <w:r w:rsidRPr="00C1603D">
        <w:t>2022</w:t>
      </w:r>
    </w:p>
    <w:p w14:paraId="2DC74DC4" w14:textId="3BF676E2" w:rsidR="008B4DF8" w:rsidRPr="00C1603D" w:rsidRDefault="008B4DF8" w:rsidP="008B4DF8">
      <w:pPr>
        <w:pStyle w:val="18TitlepagedoiPrelimsPrelimsstyles"/>
        <w:rPr>
          <w:color w:val="FF0000"/>
        </w:rPr>
      </w:pPr>
      <w:r w:rsidRPr="00C1603D">
        <w:t>DOI 10.3310/hta2</w:t>
      </w:r>
      <w:r w:rsidR="00C230E6" w:rsidRPr="00C1603D">
        <w:t>6</w:t>
      </w:r>
      <w:r w:rsidRPr="00C1603D">
        <w:rPr>
          <w:color w:val="FF0000"/>
        </w:rPr>
        <w:t>XXX</w:t>
      </w:r>
    </w:p>
    <w:p w14:paraId="51FF1618" w14:textId="77777777" w:rsidR="008B4DF8" w:rsidRPr="00C1603D" w:rsidRDefault="008B4DF8" w:rsidP="008B4DF8">
      <w:pPr>
        <w:pStyle w:val="16TitlepagetextPrelimsPrelimsstyles"/>
      </w:pPr>
      <w:r w:rsidRPr="00C1603D">
        <w:t>This report should be referenced as follows:</w:t>
      </w:r>
    </w:p>
    <w:p w14:paraId="41FF71E8" w14:textId="564C4A41" w:rsidR="008B4DF8" w:rsidRPr="00C1603D" w:rsidRDefault="00C230E6" w:rsidP="008B4DF8">
      <w:pPr>
        <w:pStyle w:val="16TitlepagetextPrelimsPrelimsstyles"/>
      </w:pPr>
      <w:r w:rsidRPr="00C1603D">
        <w:t>Elwenspoek MMC, Thom H, Sheppard AL, Keeney E</w:t>
      </w:r>
      <w:r w:rsidR="00401210" w:rsidRPr="00C1603D">
        <w:t xml:space="preserve">, O’Donnell R, Jackson J, </w:t>
      </w:r>
      <w:r w:rsidR="00401210" w:rsidRPr="00C1603D">
        <w:rPr>
          <w:i/>
          <w:iCs/>
        </w:rPr>
        <w:t>et al</w:t>
      </w:r>
      <w:r w:rsidR="008B4DF8" w:rsidRPr="00C1603D">
        <w:t xml:space="preserve">. </w:t>
      </w:r>
      <w:r w:rsidR="005F3193" w:rsidRPr="00C1603D">
        <w:t>Defining</w:t>
      </w:r>
      <w:r w:rsidRPr="00C1603D">
        <w:t xml:space="preserve"> the optimum strategy for identifying adults and children with coeliac disease: systematic review and economic modelling</w:t>
      </w:r>
      <w:r w:rsidR="008B4DF8" w:rsidRPr="00C1603D">
        <w:t xml:space="preserve">. </w:t>
      </w:r>
      <w:r w:rsidR="008B4DF8" w:rsidRPr="00C1603D">
        <w:rPr>
          <w:i/>
        </w:rPr>
        <w:t>Health Technol Assess</w:t>
      </w:r>
      <w:r w:rsidR="008B4DF8" w:rsidRPr="00C1603D">
        <w:t xml:space="preserve"> 2022;</w:t>
      </w:r>
      <w:r w:rsidR="008B4DF8" w:rsidRPr="00C1603D">
        <w:rPr>
          <w:b/>
        </w:rPr>
        <w:t>26</w:t>
      </w:r>
      <w:r w:rsidR="008B4DF8" w:rsidRPr="00C1603D">
        <w:t>(</w:t>
      </w:r>
      <w:r w:rsidR="008B4DF8" w:rsidRPr="00C1603D">
        <w:rPr>
          <w:color w:val="FF0000"/>
        </w:rPr>
        <w:t>XX</w:t>
      </w:r>
      <w:r w:rsidR="008B4DF8" w:rsidRPr="00C1603D">
        <w:t>).</w:t>
      </w:r>
    </w:p>
    <w:p w14:paraId="7FC1AD4A" w14:textId="77777777" w:rsidR="008B4DF8" w:rsidRPr="00C1603D" w:rsidRDefault="008B4DF8" w:rsidP="008B4DF8">
      <w:pPr>
        <w:pStyle w:val="16TitlepagetextPrelimsPrelimsstyles"/>
      </w:pPr>
      <w:r w:rsidRPr="00C1603D">
        <w:rPr>
          <w:i/>
        </w:rPr>
        <w:t>Health Technology Assessment</w:t>
      </w:r>
      <w:r w:rsidRPr="00C1603D">
        <w:t xml:space="preserve"> is indexed and abstracted in </w:t>
      </w:r>
      <w:r w:rsidRPr="00C1603D">
        <w:rPr>
          <w:i/>
        </w:rPr>
        <w:t>Index Medicus</w:t>
      </w:r>
      <w:r w:rsidRPr="00C1603D">
        <w:t xml:space="preserve">/MEDLINE, </w:t>
      </w:r>
      <w:r w:rsidRPr="00C1603D">
        <w:rPr>
          <w:i/>
        </w:rPr>
        <w:t>Excerpta Medica</w:t>
      </w:r>
      <w:r w:rsidRPr="00C1603D">
        <w:t xml:space="preserve">/EMBASE, </w:t>
      </w:r>
      <w:r w:rsidRPr="00C1603D">
        <w:rPr>
          <w:i/>
        </w:rPr>
        <w:t>Science Citation Index Expanded</w:t>
      </w:r>
      <w:r w:rsidRPr="00C1603D">
        <w:t xml:space="preserve"> (SciSearch</w:t>
      </w:r>
      <w:r w:rsidRPr="00C1603D">
        <w:rPr>
          <w:vertAlign w:val="superscript"/>
        </w:rPr>
        <w:t>®</w:t>
      </w:r>
      <w:r w:rsidRPr="00C1603D">
        <w:t xml:space="preserve">) and </w:t>
      </w:r>
      <w:r w:rsidRPr="00C1603D">
        <w:rPr>
          <w:i/>
        </w:rPr>
        <w:t>Current Contents</w:t>
      </w:r>
      <w:r w:rsidRPr="00C1603D">
        <w:rPr>
          <w:vertAlign w:val="superscript"/>
        </w:rPr>
        <w:t>®</w:t>
      </w:r>
      <w:r w:rsidRPr="00C1603D">
        <w:t>/Clinical Medicine.</w:t>
      </w:r>
    </w:p>
    <w:p w14:paraId="4421F22F" w14:textId="77777777" w:rsidR="008B4DF8" w:rsidRPr="00C1603D" w:rsidRDefault="008B4DF8" w:rsidP="008B4DF8">
      <w:pPr>
        <w:pStyle w:val="43PrelimtitleHeadingsHeadingstyles"/>
      </w:pPr>
      <w:bookmarkStart w:id="26" w:name="_Toc87550901"/>
      <w:bookmarkStart w:id="27" w:name="_Toc99539775"/>
      <w:r w:rsidRPr="00C1603D">
        <w:t>Abstract</w:t>
      </w:r>
      <w:bookmarkEnd w:id="26"/>
      <w:bookmarkEnd w:id="27"/>
    </w:p>
    <w:p w14:paraId="6554CA1E" w14:textId="0FDDE609" w:rsidR="008B4DF8" w:rsidRPr="00C1603D" w:rsidRDefault="005F3193" w:rsidP="008B4DF8">
      <w:pPr>
        <w:pStyle w:val="151AbstracttitlePrelimsPrelimsstyles"/>
        <w:rPr>
          <w:rFonts w:eastAsia="Yu Gothic Light"/>
        </w:rPr>
      </w:pPr>
      <w:r w:rsidRPr="00C1603D">
        <w:rPr>
          <w:rFonts w:eastAsia="Yu Gothic Light"/>
        </w:rPr>
        <w:t>Defining</w:t>
      </w:r>
      <w:r w:rsidR="008B4DF8" w:rsidRPr="00C1603D">
        <w:rPr>
          <w:rFonts w:eastAsia="Yu Gothic Light"/>
        </w:rPr>
        <w:t xml:space="preserve"> the optimum strategy for identifying adults and children with coeliac disease: systematic review and economic modelling</w:t>
      </w:r>
    </w:p>
    <w:p w14:paraId="00DAC0F6" w14:textId="77777777" w:rsidR="008B4DF8" w:rsidRPr="00C1603D" w:rsidRDefault="008B4DF8" w:rsidP="008B4DF8">
      <w:pPr>
        <w:pStyle w:val="152AbstractauthorsPrelimsPrelimsstyles"/>
      </w:pPr>
      <w:r w:rsidRPr="00C1603D">
        <w:t>Martha MC Elwenspoek,</w:t>
      </w:r>
      <w:r w:rsidRPr="00C1603D">
        <w:rPr>
          <w:vertAlign w:val="superscript"/>
        </w:rPr>
        <w:t>1,2</w:t>
      </w:r>
      <w:r w:rsidRPr="00C1603D">
        <w:t>* Howard Thom,</w:t>
      </w:r>
      <w:r w:rsidRPr="00C1603D">
        <w:rPr>
          <w:vertAlign w:val="superscript"/>
        </w:rPr>
        <w:t>2</w:t>
      </w:r>
      <w:r w:rsidRPr="00C1603D">
        <w:t xml:space="preserve"> Athena L Sheppard,</w:t>
      </w:r>
      <w:r w:rsidRPr="00C1603D">
        <w:rPr>
          <w:vertAlign w:val="superscript"/>
        </w:rPr>
        <w:t>1,2,3</w:t>
      </w:r>
      <w:r w:rsidRPr="00C1603D">
        <w:t xml:space="preserve"> Edna Keeney,</w:t>
      </w:r>
      <w:r w:rsidRPr="00C1603D">
        <w:rPr>
          <w:vertAlign w:val="superscript"/>
        </w:rPr>
        <w:t>2</w:t>
      </w:r>
      <w:r w:rsidRPr="00C1603D">
        <w:t xml:space="preserve"> Rachel O</w:t>
      </w:r>
      <w:r w:rsidRPr="00C1603D">
        <w:rPr>
          <w:color w:val="00B0F0"/>
        </w:rPr>
        <w:t>’</w:t>
      </w:r>
      <w:r w:rsidRPr="00C1603D">
        <w:t>Donnell,</w:t>
      </w:r>
      <w:r w:rsidRPr="00C1603D">
        <w:rPr>
          <w:vertAlign w:val="superscript"/>
        </w:rPr>
        <w:t>1,2</w:t>
      </w:r>
      <w:r w:rsidRPr="00C1603D">
        <w:t xml:space="preserve"> Joni Jackson,</w:t>
      </w:r>
      <w:r w:rsidRPr="00C1603D">
        <w:rPr>
          <w:vertAlign w:val="superscript"/>
        </w:rPr>
        <w:t>1,2</w:t>
      </w:r>
      <w:r w:rsidRPr="00C1603D">
        <w:t xml:space="preserve"> Cristina Roadevin,</w:t>
      </w:r>
      <w:r w:rsidRPr="00C1603D">
        <w:rPr>
          <w:vertAlign w:val="superscript"/>
        </w:rPr>
        <w:t>2</w:t>
      </w:r>
      <w:r w:rsidRPr="00C1603D">
        <w:t xml:space="preserve"> Sarah Dawson,</w:t>
      </w:r>
      <w:r w:rsidRPr="00C1603D">
        <w:rPr>
          <w:vertAlign w:val="superscript"/>
        </w:rPr>
        <w:t>2</w:t>
      </w:r>
      <w:r w:rsidRPr="00C1603D">
        <w:t xml:space="preserve"> Deborah Lane,</w:t>
      </w:r>
      <w:r w:rsidRPr="00C1603D">
        <w:rPr>
          <w:vertAlign w:val="superscript"/>
        </w:rPr>
        <w:t>4</w:t>
      </w:r>
      <w:r w:rsidRPr="00C1603D">
        <w:t xml:space="preserve"> Jo Stubbs,</w:t>
      </w:r>
      <w:r w:rsidRPr="00C1603D">
        <w:rPr>
          <w:vertAlign w:val="superscript"/>
        </w:rPr>
        <w:t>4</w:t>
      </w:r>
      <w:r w:rsidRPr="00C1603D">
        <w:t xml:space="preserve"> Hazel Everitt,</w:t>
      </w:r>
      <w:r w:rsidRPr="00C1603D">
        <w:rPr>
          <w:vertAlign w:val="superscript"/>
        </w:rPr>
        <w:t>5</w:t>
      </w:r>
      <w:r w:rsidRPr="00C1603D">
        <w:t xml:space="preserve"> Jessica C Watson,</w:t>
      </w:r>
      <w:r w:rsidRPr="00C1603D">
        <w:rPr>
          <w:vertAlign w:val="superscript"/>
        </w:rPr>
        <w:t>2</w:t>
      </w:r>
      <w:r w:rsidRPr="00C1603D">
        <w:t xml:space="preserve"> Alastair D Hay,</w:t>
      </w:r>
      <w:r w:rsidRPr="00C1603D">
        <w:rPr>
          <w:vertAlign w:val="superscript"/>
        </w:rPr>
        <w:t>2</w:t>
      </w:r>
      <w:r w:rsidRPr="00C1603D">
        <w:t xml:space="preserve"> Peter Gillett,</w:t>
      </w:r>
      <w:r w:rsidRPr="00C1603D">
        <w:rPr>
          <w:vertAlign w:val="superscript"/>
        </w:rPr>
        <w:t>6</w:t>
      </w:r>
      <w:r w:rsidRPr="00C1603D">
        <w:t xml:space="preserve"> Gerry Robins,</w:t>
      </w:r>
      <w:r w:rsidRPr="00C1603D">
        <w:rPr>
          <w:vertAlign w:val="superscript"/>
        </w:rPr>
        <w:t>7</w:t>
      </w:r>
      <w:r w:rsidRPr="00C1603D">
        <w:t xml:space="preserve"> Hayley E Jones,</w:t>
      </w:r>
      <w:r w:rsidRPr="00C1603D">
        <w:rPr>
          <w:vertAlign w:val="superscript"/>
        </w:rPr>
        <w:t>2</w:t>
      </w:r>
      <w:r w:rsidRPr="00C1603D">
        <w:t xml:space="preserve"> Sue Mallett</w:t>
      </w:r>
      <w:r w:rsidRPr="00C1603D">
        <w:rPr>
          <w:vertAlign w:val="superscript"/>
        </w:rPr>
        <w:t>8</w:t>
      </w:r>
      <w:r w:rsidRPr="00C1603D">
        <w:t xml:space="preserve"> and Penny F Whiting</w:t>
      </w:r>
      <w:r w:rsidRPr="00C1603D">
        <w:rPr>
          <w:vertAlign w:val="superscript"/>
        </w:rPr>
        <w:t>2</w:t>
      </w:r>
    </w:p>
    <w:p w14:paraId="2FA7404E" w14:textId="4630F84B" w:rsidR="00DA2EA9" w:rsidRPr="00C1603D" w:rsidRDefault="00DA2EA9" w:rsidP="00DA2EA9">
      <w:pPr>
        <w:pStyle w:val="153AbstractaddressesPrelimsPrelimsstyles"/>
        <w:rPr>
          <w:rFonts w:eastAsia="Calibri"/>
          <w:bdr w:val="nil"/>
          <w:lang w:eastAsia="zh-CN"/>
        </w:rPr>
      </w:pPr>
      <w:r w:rsidRPr="00C1603D">
        <w:rPr>
          <w:rFonts w:eastAsia="Calibri"/>
          <w:bdr w:val="nil"/>
          <w:vertAlign w:val="superscript"/>
          <w:lang w:eastAsia="zh-CN"/>
        </w:rPr>
        <w:t>1</w:t>
      </w:r>
      <w:r w:rsidRPr="00C1603D">
        <w:rPr>
          <w:rFonts w:eastAsia="Calibri"/>
          <w:bdr w:val="nil"/>
          <w:lang w:eastAsia="zh-CN"/>
        </w:rPr>
        <w:t>National Institute for Health</w:t>
      </w:r>
      <w:r w:rsidR="00301D60" w:rsidRPr="00C1603D">
        <w:rPr>
          <w:rFonts w:eastAsia="Calibri"/>
          <w:bdr w:val="nil"/>
          <w:lang w:eastAsia="zh-CN"/>
        </w:rPr>
        <w:t xml:space="preserve"> and Care</w:t>
      </w:r>
      <w:r w:rsidRPr="00C1603D">
        <w:rPr>
          <w:rFonts w:eastAsia="Calibri"/>
          <w:bdr w:val="nil"/>
          <w:lang w:eastAsia="zh-CN"/>
        </w:rPr>
        <w:t xml:space="preserve"> Research Applied Research Collaboration West, University Hospitals Bristol NHS Foundation Trust, Bristol, UK</w:t>
      </w:r>
    </w:p>
    <w:p w14:paraId="3E5ABF89" w14:textId="77777777" w:rsidR="00DA2EA9" w:rsidRPr="00C1603D" w:rsidRDefault="00DA2EA9" w:rsidP="00DA2EA9">
      <w:pPr>
        <w:pStyle w:val="153AbstractaddressesPrelimsPrelimsstyles"/>
        <w:rPr>
          <w:rFonts w:eastAsia="Calibri"/>
          <w:bdr w:val="nil"/>
          <w:lang w:eastAsia="zh-CN"/>
        </w:rPr>
      </w:pPr>
      <w:r w:rsidRPr="00C1603D">
        <w:rPr>
          <w:rFonts w:eastAsia="Calibri"/>
          <w:bdr w:val="nil"/>
          <w:vertAlign w:val="superscript"/>
          <w:lang w:eastAsia="zh-CN"/>
        </w:rPr>
        <w:lastRenderedPageBreak/>
        <w:t>2</w:t>
      </w:r>
      <w:r w:rsidRPr="00C1603D">
        <w:rPr>
          <w:rFonts w:eastAsia="Calibri"/>
          <w:bdr w:val="nil"/>
          <w:lang w:eastAsia="zh-CN"/>
        </w:rPr>
        <w:t>Population Health Sciences, Bristol Medical School, University of Bristol, Bristol, UK</w:t>
      </w:r>
    </w:p>
    <w:p w14:paraId="3A72C462" w14:textId="77777777" w:rsidR="00DA2EA9" w:rsidRPr="00C1603D" w:rsidRDefault="00DA2EA9" w:rsidP="00DA2EA9">
      <w:pPr>
        <w:pStyle w:val="153AbstractaddressesPrelimsPrelimsstyles"/>
        <w:rPr>
          <w:rFonts w:eastAsia="Calibri"/>
          <w:bdr w:val="nil"/>
          <w:lang w:eastAsia="zh-CN"/>
        </w:rPr>
      </w:pPr>
      <w:r w:rsidRPr="00C1603D">
        <w:rPr>
          <w:rFonts w:eastAsia="Calibri"/>
          <w:color w:val="auto"/>
          <w:bdr w:val="nil"/>
          <w:vertAlign w:val="superscript"/>
          <w:lang w:eastAsia="zh-CN"/>
        </w:rPr>
        <w:t>3</w:t>
      </w:r>
      <w:r w:rsidRPr="00C1603D">
        <w:rPr>
          <w:rFonts w:eastAsia="Calibri"/>
          <w:color w:val="auto"/>
          <w:bdr w:val="nil"/>
          <w:lang w:eastAsia="zh-CN"/>
        </w:rPr>
        <w:t xml:space="preserve">Department of Health </w:t>
      </w:r>
      <w:r w:rsidRPr="00C1603D">
        <w:rPr>
          <w:rFonts w:eastAsia="Calibri"/>
          <w:bdr w:val="nil"/>
          <w:lang w:eastAsia="zh-CN"/>
        </w:rPr>
        <w:t>Sciences, University of Leicester, Leicester, UK</w:t>
      </w:r>
    </w:p>
    <w:p w14:paraId="5FE4C6BB" w14:textId="77777777" w:rsidR="00DA2EA9" w:rsidRPr="00C1603D" w:rsidRDefault="00DA2EA9" w:rsidP="00DA2EA9">
      <w:pPr>
        <w:pStyle w:val="153AbstractaddressesPrelimsPrelimsstyles"/>
        <w:rPr>
          <w:rFonts w:eastAsia="Calibri"/>
          <w:bdr w:val="nil"/>
          <w:lang w:eastAsia="zh-CN"/>
        </w:rPr>
      </w:pPr>
      <w:r w:rsidRPr="00C1603D">
        <w:rPr>
          <w:rFonts w:eastAsia="Calibri"/>
          <w:bdr w:val="nil"/>
          <w:vertAlign w:val="superscript"/>
          <w:lang w:eastAsia="zh-CN"/>
        </w:rPr>
        <w:t>4</w:t>
      </w:r>
      <w:r w:rsidRPr="00C1603D">
        <w:rPr>
          <w:rFonts w:eastAsia="Calibri"/>
          <w:bdr w:val="nil"/>
          <w:lang w:eastAsia="zh-CN"/>
        </w:rPr>
        <w:t>Patient representative</w:t>
      </w:r>
    </w:p>
    <w:p w14:paraId="66A8D9AF" w14:textId="77777777" w:rsidR="00DA2EA9" w:rsidRPr="00C1603D" w:rsidRDefault="00DA2EA9" w:rsidP="00DA2EA9">
      <w:pPr>
        <w:pStyle w:val="153AbstractaddressesPrelimsPrelimsstyles"/>
        <w:rPr>
          <w:rFonts w:eastAsia="Calibri"/>
          <w:bdr w:val="nil"/>
          <w:lang w:eastAsia="zh-CN"/>
        </w:rPr>
      </w:pPr>
      <w:r w:rsidRPr="00C1603D">
        <w:rPr>
          <w:rFonts w:eastAsia="Calibri"/>
          <w:bdr w:val="nil"/>
          <w:vertAlign w:val="superscript"/>
          <w:lang w:eastAsia="zh-CN"/>
        </w:rPr>
        <w:t>5</w:t>
      </w:r>
      <w:r w:rsidRPr="00C1603D">
        <w:rPr>
          <w:rFonts w:eastAsia="Calibri"/>
          <w:bdr w:val="nil"/>
          <w:lang w:eastAsia="zh-CN"/>
        </w:rPr>
        <w:t>Primary Care Research Centre, Population Sciences and Medical Education, University of Southampton, Southampton, UK</w:t>
      </w:r>
    </w:p>
    <w:p w14:paraId="76B40209" w14:textId="77777777" w:rsidR="00DA2EA9" w:rsidRPr="00C1603D" w:rsidRDefault="00DA2EA9" w:rsidP="00DA2EA9">
      <w:pPr>
        <w:pStyle w:val="153AbstractaddressesPrelimsPrelimsstyles"/>
        <w:rPr>
          <w:rFonts w:eastAsia="Calibri"/>
          <w:bdr w:val="nil"/>
          <w:lang w:eastAsia="zh-CN"/>
        </w:rPr>
      </w:pPr>
      <w:r w:rsidRPr="00C1603D">
        <w:rPr>
          <w:rFonts w:eastAsia="Calibri"/>
          <w:bdr w:val="nil"/>
          <w:vertAlign w:val="superscript"/>
          <w:lang w:eastAsia="zh-CN"/>
        </w:rPr>
        <w:t>6</w:t>
      </w:r>
      <w:r w:rsidRPr="00C1603D">
        <w:rPr>
          <w:rFonts w:eastAsia="Calibri"/>
          <w:bdr w:val="nil"/>
          <w:lang w:eastAsia="zh-CN"/>
        </w:rPr>
        <w:t>Paediatric Gastroenterology, Hepatology and Nutrition Department, Royal Hospital for Sick Children, Edinburgh, UK</w:t>
      </w:r>
    </w:p>
    <w:p w14:paraId="72BF0FF3" w14:textId="77777777" w:rsidR="00DA2EA9" w:rsidRPr="00C1603D" w:rsidRDefault="00DA2EA9" w:rsidP="00DA2EA9">
      <w:pPr>
        <w:pStyle w:val="153AbstractaddressesPrelimsPrelimsstyles"/>
        <w:rPr>
          <w:rFonts w:eastAsia="Calibri"/>
          <w:bdr w:val="nil"/>
          <w:lang w:eastAsia="zh-CN"/>
        </w:rPr>
      </w:pPr>
      <w:r w:rsidRPr="00C1603D">
        <w:rPr>
          <w:rFonts w:eastAsia="Calibri"/>
          <w:bdr w:val="nil"/>
          <w:vertAlign w:val="superscript"/>
          <w:lang w:eastAsia="zh-CN"/>
        </w:rPr>
        <w:t>7</w:t>
      </w:r>
      <w:r w:rsidRPr="00C1603D">
        <w:rPr>
          <w:rFonts w:eastAsia="Calibri"/>
          <w:bdr w:val="nil"/>
          <w:lang w:eastAsia="zh-CN"/>
        </w:rPr>
        <w:t>Department of Gastroenterology, York Teaching Hospital NHS Foundation Trust, York, UK</w:t>
      </w:r>
    </w:p>
    <w:p w14:paraId="26D3C0B6" w14:textId="77777777" w:rsidR="00DA2EA9" w:rsidRPr="00C1603D" w:rsidRDefault="00DA2EA9" w:rsidP="00DA2EA9">
      <w:pPr>
        <w:pStyle w:val="153AbstractaddressesPrelimsPrelimsstyles"/>
        <w:rPr>
          <w:rFonts w:eastAsia="Calibri"/>
          <w:bdr w:val="nil"/>
          <w:lang w:eastAsia="zh-CN"/>
        </w:rPr>
      </w:pPr>
      <w:r w:rsidRPr="00C1603D">
        <w:rPr>
          <w:rFonts w:eastAsia="Calibri"/>
          <w:bdr w:val="nil"/>
          <w:vertAlign w:val="superscript"/>
          <w:lang w:eastAsia="zh-CN"/>
        </w:rPr>
        <w:t>8</w:t>
      </w:r>
      <w:r w:rsidRPr="00C1603D">
        <w:rPr>
          <w:rFonts w:eastAsia="Calibri"/>
          <w:bdr w:val="nil"/>
          <w:lang w:eastAsia="zh-CN"/>
        </w:rPr>
        <w:t>Centre for Medical Imaging, University College London, London, UK</w:t>
      </w:r>
    </w:p>
    <w:p w14:paraId="62D77E40" w14:textId="77777777" w:rsidR="008B4DF8" w:rsidRPr="00C1603D" w:rsidRDefault="008B4DF8" w:rsidP="008B4DF8">
      <w:pPr>
        <w:pStyle w:val="155AbstracttextcorrespondingauthorPrelimsstyles"/>
      </w:pPr>
      <w:r w:rsidRPr="00C1603D">
        <w:t>*Corresponding author</w:t>
      </w:r>
      <w:r w:rsidRPr="00C1603D">
        <w:t> </w:t>
      </w:r>
      <w:r w:rsidRPr="00C1603D">
        <w:t>Martha.Elwenspoek@bristol.ac.uk</w:t>
      </w:r>
    </w:p>
    <w:p w14:paraId="00133BD0" w14:textId="5CA525F6" w:rsidR="008B4DF8" w:rsidRPr="00C1603D" w:rsidRDefault="008B4DF8" w:rsidP="008B4DF8">
      <w:pPr>
        <w:pStyle w:val="154AbstracttextfoPrelimsPrelimsstyles"/>
      </w:pPr>
      <w:bookmarkStart w:id="28" w:name="_Toc87550902"/>
      <w:bookmarkStart w:id="29" w:name="_Toc99539776"/>
      <w:r w:rsidRPr="00C1603D">
        <w:rPr>
          <w:b/>
        </w:rPr>
        <w:t>Background</w:t>
      </w:r>
      <w:bookmarkEnd w:id="28"/>
      <w:bookmarkEnd w:id="29"/>
      <w:r w:rsidRPr="00C1603D">
        <w:rPr>
          <w:b/>
        </w:rPr>
        <w:t>:</w:t>
      </w:r>
      <w:r w:rsidRPr="00C1603D">
        <w:t xml:space="preserve"> Coeliac disease is an autoimmune disorder, triggered by ingesting gluten</w:t>
      </w:r>
      <w:r w:rsidR="00B01A4E" w:rsidRPr="00C1603D">
        <w:t>; it</w:t>
      </w:r>
      <w:r w:rsidRPr="00C1603D">
        <w:t xml:space="preserve"> affects approximately 1% of the UK population. However, only </w:t>
      </w:r>
      <w:r w:rsidR="00B01A4E" w:rsidRPr="00C1603D">
        <w:t>one</w:t>
      </w:r>
      <w:r w:rsidRPr="00C1603D">
        <w:t xml:space="preserve"> in </w:t>
      </w:r>
      <w:r w:rsidR="00B01A4E" w:rsidRPr="00C1603D">
        <w:t>three people</w:t>
      </w:r>
      <w:r w:rsidRPr="00C1603D">
        <w:t xml:space="preserve"> are thought to have a diagnosis. Untreated </w:t>
      </w:r>
      <w:r w:rsidR="00B01A4E" w:rsidRPr="00C1603D">
        <w:t xml:space="preserve">coeliac disease </w:t>
      </w:r>
      <w:r w:rsidRPr="00C1603D">
        <w:t>may lead to malnutrition, anaemia, osteoporosis and lymphoma.</w:t>
      </w:r>
    </w:p>
    <w:p w14:paraId="7CEA56E0" w14:textId="4C143CBA" w:rsidR="008B4DF8" w:rsidRPr="00C1603D" w:rsidRDefault="008B4DF8" w:rsidP="008B4DF8">
      <w:pPr>
        <w:pStyle w:val="154AbstracttextfoPrelimsPrelimsstyles"/>
      </w:pPr>
      <w:bookmarkStart w:id="30" w:name="_Toc87550903"/>
      <w:bookmarkStart w:id="31" w:name="_Toc99539777"/>
      <w:r w:rsidRPr="00C1603D">
        <w:rPr>
          <w:b/>
        </w:rPr>
        <w:t>Objective</w:t>
      </w:r>
      <w:bookmarkEnd w:id="30"/>
      <w:bookmarkEnd w:id="31"/>
      <w:r w:rsidR="00726482" w:rsidRPr="00C1603D">
        <w:rPr>
          <w:b/>
        </w:rPr>
        <w:t>s</w:t>
      </w:r>
      <w:r w:rsidRPr="00C1603D">
        <w:rPr>
          <w:b/>
        </w:rPr>
        <w:t>:</w:t>
      </w:r>
      <w:bookmarkStart w:id="32" w:name="_Hlk87627160"/>
      <w:bookmarkStart w:id="33" w:name="_Toc87550904"/>
      <w:r w:rsidRPr="00C1603D">
        <w:t xml:space="preserve"> </w:t>
      </w:r>
      <w:r w:rsidR="00726482" w:rsidRPr="00C1603D">
        <w:t>The objectives were t</w:t>
      </w:r>
      <w:r w:rsidRPr="00C1603D">
        <w:t>o define at</w:t>
      </w:r>
      <w:r w:rsidR="00B01A4E" w:rsidRPr="00C1603D">
        <w:t>-</w:t>
      </w:r>
      <w:r w:rsidRPr="00C1603D">
        <w:t>risk groups and determine the cost-effectiveness of active case</w:t>
      </w:r>
      <w:r w:rsidR="00B01A4E" w:rsidRPr="00C1603D">
        <w:t>-</w:t>
      </w:r>
      <w:r w:rsidRPr="00C1603D">
        <w:t>finding in primary care.</w:t>
      </w:r>
    </w:p>
    <w:p w14:paraId="28F775F0" w14:textId="3C28EE0F" w:rsidR="008B4DF8" w:rsidRPr="00C1603D" w:rsidRDefault="3CDEEDA7" w:rsidP="00726482">
      <w:pPr>
        <w:pStyle w:val="154AbstracttextfoPrelimsPrelimsstyles"/>
      </w:pPr>
      <w:bookmarkStart w:id="34" w:name="_Toc99539778"/>
      <w:bookmarkEnd w:id="32"/>
      <w:commentRangeStart w:id="35"/>
      <w:commentRangeStart w:id="36"/>
      <w:r w:rsidRPr="00C1603D">
        <w:rPr>
          <w:b/>
          <w:bCs/>
        </w:rPr>
        <w:t>Design</w:t>
      </w:r>
      <w:bookmarkEnd w:id="33"/>
      <w:bookmarkEnd w:id="34"/>
      <w:r w:rsidRPr="00C1603D">
        <w:rPr>
          <w:b/>
          <w:bCs/>
        </w:rPr>
        <w:t>:</w:t>
      </w:r>
      <w:r w:rsidRPr="00C1603D">
        <w:t xml:space="preserve"> </w:t>
      </w:r>
      <w:bookmarkStart w:id="37" w:name="_Toc87550911"/>
      <w:r w:rsidRPr="00C1603D">
        <w:t>(1) Systematic review of the accuracy of potential diagnostic indicators for coeliac disease . (2) Routine data analysis to develop prediction models for identification of people who may benefit from testing for coeliac disease. (3) Systematic review of the accuracy of diagnostic tests for coeliac disease. (4) Systematic review of the accuracy of genetic tests for coeliac disease (literature search conducted in April 2021). (5) Online survey to identify diagnostic thresholds for testing, starting treatment and referral for biopsy. (6) Economic modelling to identify the cost-effectiveness of different active case-finding strategies, informed by the findings from previous objectives.</w:t>
      </w:r>
      <w:commentRangeEnd w:id="35"/>
      <w:r w:rsidR="008B4DF8" w:rsidRPr="00C1603D">
        <w:commentReference w:id="35"/>
      </w:r>
      <w:commentRangeEnd w:id="36"/>
      <w:r w:rsidR="008B4DF8" w:rsidRPr="00C1603D">
        <w:commentReference w:id="36"/>
      </w:r>
    </w:p>
    <w:p w14:paraId="664D4D96" w14:textId="38CD010A" w:rsidR="599AD4B9" w:rsidRPr="00C1603D" w:rsidRDefault="3CDEEDA7">
      <w:pPr>
        <w:pStyle w:val="154AbstracttextfoPrelimsPrelimsstyles"/>
      </w:pPr>
      <w:r w:rsidRPr="00C1603D">
        <w:rPr>
          <w:b/>
          <w:bCs/>
        </w:rPr>
        <w:t xml:space="preserve">Data sources: </w:t>
      </w:r>
      <w:r w:rsidRPr="00C1603D">
        <w:t xml:space="preserve">For the first systematic review, the following databases were searched from 1997 until April 2021: MEDLINE, </w:t>
      </w:r>
      <w:r w:rsidR="00D134A6" w:rsidRPr="00C1603D">
        <w:t>EMBASE</w:t>
      </w:r>
      <w:r w:rsidRPr="00C1603D">
        <w:t xml:space="preserve">, Cochrane Library, Web of Science, </w:t>
      </w:r>
      <w:r w:rsidR="00D134A6" w:rsidRPr="00C1603D">
        <w:t>the World Health Organization</w:t>
      </w:r>
      <w:r w:rsidRPr="00C1603D">
        <w:t xml:space="preserve"> International Clinical Trials Registry</w:t>
      </w:r>
      <w:r w:rsidR="00D134A6" w:rsidRPr="00C1603D">
        <w:t xml:space="preserve"> Platform</w:t>
      </w:r>
      <w:r w:rsidRPr="00C1603D">
        <w:t xml:space="preserve"> and </w:t>
      </w:r>
      <w:r w:rsidR="00D134A6" w:rsidRPr="00C1603D">
        <w:t>the National Institutes of Health</w:t>
      </w:r>
      <w:r w:rsidRPr="00C1603D">
        <w:t xml:space="preserve"> </w:t>
      </w:r>
      <w:r w:rsidR="00D03427" w:rsidRPr="00C1603D">
        <w:t>Clinical T</w:t>
      </w:r>
      <w:r w:rsidR="00D134A6" w:rsidRPr="00C1603D">
        <w:t xml:space="preserve">rials </w:t>
      </w:r>
      <w:r w:rsidRPr="00C1603D">
        <w:t xml:space="preserve">database. </w:t>
      </w:r>
      <w:r w:rsidR="00D03427" w:rsidRPr="00C1603D">
        <w:t>For the second systematic review, t</w:t>
      </w:r>
      <w:r w:rsidRPr="00C1603D">
        <w:t xml:space="preserve">he following databases were searched from January 1990 until August 2020: MEDLINE, </w:t>
      </w:r>
      <w:r w:rsidR="00D03427" w:rsidRPr="00C1603D">
        <w:t>EMBASE</w:t>
      </w:r>
      <w:r w:rsidRPr="00C1603D">
        <w:t xml:space="preserve">, Cochrane Library, Web of Science, </w:t>
      </w:r>
      <w:r w:rsidR="00EF23E2" w:rsidRPr="00C1603D">
        <w:t>Kleijnen Systematic Reviews</w:t>
      </w:r>
      <w:r w:rsidRPr="00C1603D">
        <w:t xml:space="preserve"> Evidence, </w:t>
      </w:r>
      <w:r w:rsidR="00EF23E2" w:rsidRPr="00C1603D">
        <w:t xml:space="preserve">the World Health Organization </w:t>
      </w:r>
      <w:r w:rsidRPr="00C1603D">
        <w:t>International Clinical Trials Registry</w:t>
      </w:r>
      <w:r w:rsidR="00EF23E2" w:rsidRPr="00C1603D">
        <w:t xml:space="preserve"> Platform</w:t>
      </w:r>
      <w:r w:rsidRPr="00C1603D">
        <w:t xml:space="preserve"> and </w:t>
      </w:r>
      <w:r w:rsidR="00E11088" w:rsidRPr="00C1603D">
        <w:t xml:space="preserve">the National Institutes of Health </w:t>
      </w:r>
      <w:r w:rsidRPr="00C1603D">
        <w:t>Clinical Trials database. For prediction model development</w:t>
      </w:r>
      <w:r w:rsidR="00E11088" w:rsidRPr="00C1603D">
        <w:t>,</w:t>
      </w:r>
      <w:r w:rsidRPr="00C1603D">
        <w:t xml:space="preserve"> Clinical Practice Research Datalink GOLD, </w:t>
      </w:r>
      <w:r w:rsidR="001920E6" w:rsidRPr="00C1603D">
        <w:t xml:space="preserve">Clinical Practice Research Datalink </w:t>
      </w:r>
      <w:r w:rsidRPr="00C1603D">
        <w:t>Aurum and a subcohort of the Avon Longitudinal Study of Parents and Children were used</w:t>
      </w:r>
      <w:r w:rsidR="001920E6" w:rsidRPr="00C1603D">
        <w:t>;</w:t>
      </w:r>
      <w:r w:rsidRPr="00C1603D">
        <w:t xml:space="preserve"> for estimates for the economic models</w:t>
      </w:r>
      <w:r w:rsidR="001920E6" w:rsidRPr="00C1603D">
        <w:t>,</w:t>
      </w:r>
      <w:r w:rsidRPr="00C1603D">
        <w:t xml:space="preserve"> </w:t>
      </w:r>
      <w:r w:rsidR="001920E6" w:rsidRPr="00C1603D">
        <w:t xml:space="preserve">Clinical Practice Research Datalink </w:t>
      </w:r>
      <w:r w:rsidRPr="00C1603D">
        <w:t>Aurum was used.</w:t>
      </w:r>
    </w:p>
    <w:p w14:paraId="008E495C" w14:textId="2E5065CC" w:rsidR="599AD4B9" w:rsidRPr="00C1603D" w:rsidRDefault="3CDEEDA7" w:rsidP="3CDEEDA7">
      <w:pPr>
        <w:pStyle w:val="154AbstracttextfoPrelimsPrelimsstyles"/>
      </w:pPr>
      <w:r w:rsidRPr="00C1603D">
        <w:rPr>
          <w:b/>
          <w:bCs/>
        </w:rPr>
        <w:t>Review methods</w:t>
      </w:r>
      <w:r w:rsidRPr="00C1603D">
        <w:t xml:space="preserve">: For review </w:t>
      </w:r>
      <w:proofErr w:type="gramStart"/>
      <w:r w:rsidRPr="00C1603D">
        <w:t>1</w:t>
      </w:r>
      <w:proofErr w:type="gramEnd"/>
      <w:r w:rsidRPr="00C1603D">
        <w:t>, cohort and case</w:t>
      </w:r>
      <w:r w:rsidR="00FE04C8" w:rsidRPr="00C1603D">
        <w:t>–</w:t>
      </w:r>
      <w:r w:rsidRPr="00C1603D">
        <w:t xml:space="preserve">control studies reporting on a diagnostic indicator in a population with and </w:t>
      </w:r>
      <w:r w:rsidR="00FE04C8" w:rsidRPr="00C1603D">
        <w:t xml:space="preserve">a population </w:t>
      </w:r>
      <w:r w:rsidRPr="00C1603D">
        <w:t xml:space="preserve">without </w:t>
      </w:r>
      <w:r w:rsidR="00FE04C8" w:rsidRPr="00C1603D">
        <w:t>coeliac disease</w:t>
      </w:r>
      <w:r w:rsidRPr="00C1603D">
        <w:t xml:space="preserve"> were eligible. For review </w:t>
      </w:r>
      <w:proofErr w:type="gramStart"/>
      <w:r w:rsidRPr="00C1603D">
        <w:t>2</w:t>
      </w:r>
      <w:proofErr w:type="gramEnd"/>
      <w:r w:rsidRPr="00C1603D">
        <w:t xml:space="preserve">, diagnostic cohort studies including patients presenting with </w:t>
      </w:r>
      <w:r w:rsidR="00FE04C8" w:rsidRPr="00C1603D">
        <w:t xml:space="preserve">coeliac disease </w:t>
      </w:r>
      <w:r w:rsidRPr="00C1603D">
        <w:t xml:space="preserve">symptoms who were tested with serological tests for </w:t>
      </w:r>
      <w:r w:rsidR="00FE04C8" w:rsidRPr="00C1603D">
        <w:t xml:space="preserve">coeliac disease </w:t>
      </w:r>
      <w:r w:rsidRPr="00C1603D">
        <w:t xml:space="preserve">and underwent a duodenal biopsy as reference standard were eligible. In both reviews, risk of bias was assessed using the </w:t>
      </w:r>
      <w:r w:rsidR="00984084" w:rsidRPr="00C1603D">
        <w:t xml:space="preserve">quality assessment of diagnostic accuracy studies </w:t>
      </w:r>
      <w:proofErr w:type="gramStart"/>
      <w:r w:rsidR="00984084" w:rsidRPr="00C1603D">
        <w:t>2</w:t>
      </w:r>
      <w:proofErr w:type="gramEnd"/>
      <w:r w:rsidR="00984084" w:rsidRPr="00C1603D">
        <w:t xml:space="preserve"> </w:t>
      </w:r>
      <w:r w:rsidRPr="00C1603D">
        <w:t>tool. Bivariate random</w:t>
      </w:r>
      <w:r w:rsidR="00984084" w:rsidRPr="00C1603D">
        <w:t>-</w:t>
      </w:r>
      <w:r w:rsidRPr="00C1603D">
        <w:t>effects meta-analyses were fitted, in which binomial likelihoods for</w:t>
      </w:r>
      <w:r w:rsidR="00766513" w:rsidRPr="00C1603D">
        <w:t xml:space="preserve"> the</w:t>
      </w:r>
      <w:r w:rsidRPr="00C1603D">
        <w:t xml:space="preserve"> numbers of true positives and </w:t>
      </w:r>
      <w:r w:rsidR="00984084" w:rsidRPr="00C1603D">
        <w:t xml:space="preserve">true </w:t>
      </w:r>
      <w:r w:rsidRPr="00C1603D">
        <w:t>negatives</w:t>
      </w:r>
      <w:r w:rsidR="00984084" w:rsidRPr="00C1603D">
        <w:t xml:space="preserve"> were assumed</w:t>
      </w:r>
      <w:r w:rsidRPr="00C1603D">
        <w:t>.</w:t>
      </w:r>
    </w:p>
    <w:p w14:paraId="2E63ADB9" w14:textId="7170BA19" w:rsidR="008B4DF8" w:rsidRPr="00C1603D" w:rsidRDefault="599AD4B9" w:rsidP="008B4DF8">
      <w:pPr>
        <w:pStyle w:val="154AbstracttextfoPrelimsPrelimsstyles"/>
      </w:pPr>
      <w:bookmarkStart w:id="38" w:name="_Toc99539779"/>
      <w:r w:rsidRPr="00C1603D">
        <w:rPr>
          <w:b/>
          <w:bCs/>
        </w:rPr>
        <w:lastRenderedPageBreak/>
        <w:t>Results</w:t>
      </w:r>
      <w:bookmarkEnd w:id="37"/>
      <w:bookmarkEnd w:id="38"/>
      <w:r w:rsidRPr="00C1603D">
        <w:rPr>
          <w:b/>
          <w:bCs/>
        </w:rPr>
        <w:t>:</w:t>
      </w:r>
      <w:r w:rsidRPr="00C1603D">
        <w:t xml:space="preserve"> People with dermatitis herpetiformis, family history of coeliac disease, migraine, anaemia, type 1 diabetes, osteoporosis or chronic liver disease are 1.5 to two times more likely than the general population to have coeliac disease; individual gastrointestinal symptoms were not useful for identifying coeliac disease. For children, women and men, respectively, prediction models included 24, 24 and 21 indicators of coeliac disease. The models showed good discrimination between patients with and patients without coeliac disease, but performed less well when externally validated. Serological tests were found to have good diagnostic accuracy for coeliac disease. </w:t>
      </w:r>
      <w:commentRangeStart w:id="39"/>
      <w:commentRangeStart w:id="40"/>
      <w:commentRangeStart w:id="41"/>
      <w:commentRangeStart w:id="42"/>
      <w:r w:rsidRPr="00C1603D">
        <w:rPr>
          <w:lang w:eastAsia="en-GB"/>
        </w:rPr>
        <w:t>Immunoglobulin A</w:t>
      </w:r>
      <w:r w:rsidRPr="00C1603D">
        <w:t xml:space="preserve"> </w:t>
      </w:r>
      <w:r w:rsidRPr="00C1603D">
        <w:rPr>
          <w:lang w:eastAsia="en-GB"/>
        </w:rPr>
        <w:t>tissue transglutaminase</w:t>
      </w:r>
      <w:r w:rsidRPr="00C1603D">
        <w:t xml:space="preserve"> </w:t>
      </w:r>
      <w:commentRangeEnd w:id="39"/>
      <w:r w:rsidR="008B4DF8" w:rsidRPr="00C1603D">
        <w:commentReference w:id="39"/>
      </w:r>
      <w:commentRangeEnd w:id="40"/>
      <w:r w:rsidR="008B4DF8" w:rsidRPr="00C1603D">
        <w:commentReference w:id="40"/>
      </w:r>
      <w:commentRangeEnd w:id="41"/>
      <w:r w:rsidR="004E5E5F" w:rsidRPr="00C1603D">
        <w:commentReference w:id="41"/>
      </w:r>
      <w:commentRangeEnd w:id="42"/>
      <w:r w:rsidRPr="00C1603D">
        <w:commentReference w:id="42"/>
      </w:r>
      <w:r w:rsidRPr="00C1603D">
        <w:t xml:space="preserve">had the highest sensitivity and the </w:t>
      </w:r>
      <w:r w:rsidRPr="00C1603D">
        <w:rPr>
          <w:lang w:eastAsia="en-GB"/>
        </w:rPr>
        <w:t>endomysial antibody</w:t>
      </w:r>
      <w:r w:rsidRPr="00C1603D">
        <w:t xml:space="preserve"> had highest specificity. There was </w:t>
      </w:r>
      <w:proofErr w:type="gramStart"/>
      <w:r w:rsidRPr="00C1603D">
        <w:t>little improvement</w:t>
      </w:r>
      <w:proofErr w:type="gramEnd"/>
      <w:r w:rsidRPr="00C1603D">
        <w:t xml:space="preserve"> when tests were used in combination. Survey respondents (</w:t>
      </w:r>
      <w:r w:rsidRPr="00C1603D">
        <w:rPr>
          <w:i/>
          <w:iCs/>
          <w:color w:val="00B0F0"/>
        </w:rPr>
        <w:t>n</w:t>
      </w:r>
      <w:r w:rsidRPr="00C1603D">
        <w:rPr>
          <w:color w:val="00B0F0"/>
        </w:rPr>
        <w:t> = </w:t>
      </w:r>
      <w:r w:rsidRPr="00C1603D">
        <w:t xml:space="preserve">472) wished to be 66% certain of the diagnosis from a blood test before starting a gluten-free diet if symptomatic, and 90% certain if asymptomatic. Cost-effectiveness analyses found that, among adults, and using serological testing alone, </w:t>
      </w:r>
      <w:r w:rsidRPr="00C1603D">
        <w:rPr>
          <w:lang w:eastAsia="en-GB"/>
        </w:rPr>
        <w:t>immunoglobulin A</w:t>
      </w:r>
      <w:r w:rsidRPr="00C1603D">
        <w:t xml:space="preserve"> </w:t>
      </w:r>
      <w:r w:rsidRPr="00C1603D">
        <w:rPr>
          <w:lang w:eastAsia="en-GB"/>
        </w:rPr>
        <w:t>tissue transglutaminase</w:t>
      </w:r>
      <w:r w:rsidRPr="00C1603D">
        <w:t xml:space="preserve"> was most cost-effective at a 1% pre-test probability (equivalent to population screening). Strategies using </w:t>
      </w:r>
      <w:r w:rsidRPr="00C1603D">
        <w:rPr>
          <w:lang w:eastAsia="en-GB"/>
        </w:rPr>
        <w:t>immunoglobulin A</w:t>
      </w:r>
      <w:r w:rsidRPr="00C1603D">
        <w:t xml:space="preserve"> </w:t>
      </w:r>
      <w:r w:rsidRPr="00C1603D">
        <w:rPr>
          <w:lang w:eastAsia="en-GB"/>
        </w:rPr>
        <w:t>endomysial antibody</w:t>
      </w:r>
      <w:r w:rsidRPr="00C1603D">
        <w:t xml:space="preserve"> plus </w:t>
      </w:r>
      <w:r w:rsidRPr="00C1603D">
        <w:rPr>
          <w:lang w:eastAsia="en-GB"/>
        </w:rPr>
        <w:t>human leucocyte antigen</w:t>
      </w:r>
      <w:r w:rsidRPr="00C1603D">
        <w:t xml:space="preserve"> or </w:t>
      </w:r>
      <w:r w:rsidRPr="00C1603D">
        <w:rPr>
          <w:lang w:eastAsia="en-GB"/>
        </w:rPr>
        <w:t>human leucocyte antigen</w:t>
      </w:r>
      <w:r w:rsidRPr="00C1603D">
        <w:t xml:space="preserve"> plus </w:t>
      </w:r>
      <w:r w:rsidRPr="00C1603D">
        <w:rPr>
          <w:lang w:eastAsia="en-GB"/>
        </w:rPr>
        <w:t>immunoglobulin A</w:t>
      </w:r>
      <w:r w:rsidRPr="00C1603D">
        <w:t xml:space="preserve"> </w:t>
      </w:r>
      <w:r w:rsidRPr="00C1603D">
        <w:rPr>
          <w:lang w:eastAsia="en-GB"/>
        </w:rPr>
        <w:t>tissue transglutaminase</w:t>
      </w:r>
      <w:r w:rsidRPr="00C1603D">
        <w:t xml:space="preserve"> with any pre-test probability had similar cost-effectiveness results, which were also similar to the cost-effectiveness results of </w:t>
      </w:r>
      <w:r w:rsidRPr="00C1603D">
        <w:rPr>
          <w:lang w:eastAsia="en-GB"/>
        </w:rPr>
        <w:t>immunoglobulin A</w:t>
      </w:r>
      <w:r w:rsidRPr="00C1603D">
        <w:t xml:space="preserve"> </w:t>
      </w:r>
      <w:r w:rsidRPr="00C1603D">
        <w:rPr>
          <w:lang w:eastAsia="en-GB"/>
        </w:rPr>
        <w:t>tissue transglutaminase</w:t>
      </w:r>
      <w:r w:rsidRPr="00C1603D">
        <w:t xml:space="preserve"> at a 1% pre-test probability. The most practical alternative for implementation within the NHS is likely to be a combination of </w:t>
      </w:r>
      <w:r w:rsidRPr="00C1603D">
        <w:rPr>
          <w:lang w:eastAsia="en-GB"/>
        </w:rPr>
        <w:t>human leucocyte antigen</w:t>
      </w:r>
      <w:r w:rsidRPr="00C1603D">
        <w:t xml:space="preserve"> and </w:t>
      </w:r>
      <w:r w:rsidRPr="00C1603D">
        <w:rPr>
          <w:lang w:eastAsia="en-GB"/>
        </w:rPr>
        <w:t>immunoglobulin A</w:t>
      </w:r>
      <w:r w:rsidRPr="00C1603D">
        <w:t xml:space="preserve"> </w:t>
      </w:r>
      <w:r w:rsidRPr="00C1603D">
        <w:rPr>
          <w:lang w:eastAsia="en-GB"/>
        </w:rPr>
        <w:t>tissue transglutaminase</w:t>
      </w:r>
      <w:r w:rsidRPr="00C1603D">
        <w:t xml:space="preserve"> testing among those above a pre-test probability of 1.5%. Among children, the most cost-effective strategy was a 10% pre-test probability with </w:t>
      </w:r>
      <w:r w:rsidRPr="00C1603D">
        <w:rPr>
          <w:lang w:eastAsia="en-GB"/>
        </w:rPr>
        <w:t>human leucocyte antigen</w:t>
      </w:r>
      <w:r w:rsidRPr="00C1603D">
        <w:t xml:space="preserve"> plus </w:t>
      </w:r>
      <w:r w:rsidRPr="00C1603D">
        <w:rPr>
          <w:lang w:eastAsia="en-GB"/>
        </w:rPr>
        <w:t>immunoglobulin A</w:t>
      </w:r>
      <w:r w:rsidRPr="00C1603D">
        <w:t xml:space="preserve"> </w:t>
      </w:r>
      <w:r w:rsidRPr="00C1603D">
        <w:rPr>
          <w:lang w:eastAsia="en-GB"/>
        </w:rPr>
        <w:t>tissue transglutaminase,</w:t>
      </w:r>
      <w:r w:rsidRPr="00C1603D">
        <w:t xml:space="preserve"> but there was uncertainty around the most cost-effective pre-test probability. There was substantial uncertainty in economic model results, which means there would be </w:t>
      </w:r>
      <w:proofErr w:type="gramStart"/>
      <w:r w:rsidRPr="00C1603D">
        <w:t>great value</w:t>
      </w:r>
      <w:proofErr w:type="gramEnd"/>
      <w:r w:rsidRPr="00C1603D">
        <w:t xml:space="preserve"> in conducting further research.</w:t>
      </w:r>
    </w:p>
    <w:p w14:paraId="410C6C6C" w14:textId="1EB8E1B0" w:rsidR="008B4DF8" w:rsidRPr="00C1603D" w:rsidRDefault="008B4DF8" w:rsidP="008B4DF8">
      <w:pPr>
        <w:pStyle w:val="154AbstracttextfoPrelimsPrelimsstyles"/>
      </w:pPr>
      <w:bookmarkStart w:id="43" w:name="_Toc87550912"/>
      <w:bookmarkStart w:id="44" w:name="_Toc99539780"/>
      <w:commentRangeStart w:id="45"/>
      <w:commentRangeStart w:id="46"/>
      <w:r w:rsidRPr="00C1603D">
        <w:rPr>
          <w:b/>
        </w:rPr>
        <w:t>Limitations</w:t>
      </w:r>
      <w:bookmarkEnd w:id="43"/>
      <w:bookmarkEnd w:id="44"/>
      <w:r w:rsidRPr="00C1603D">
        <w:rPr>
          <w:b/>
        </w:rPr>
        <w:t>:</w:t>
      </w:r>
      <w:bookmarkStart w:id="47" w:name="_Toc87550913"/>
      <w:r w:rsidRPr="00C1603D">
        <w:t xml:space="preserve"> </w:t>
      </w:r>
      <w:commentRangeEnd w:id="45"/>
      <w:r w:rsidR="003E4D15" w:rsidRPr="00C1603D">
        <w:commentReference w:id="45"/>
      </w:r>
      <w:commentRangeEnd w:id="46"/>
      <w:r w:rsidRPr="00C1603D">
        <w:commentReference w:id="46"/>
      </w:r>
      <w:r w:rsidR="567821A3" w:rsidRPr="00C1603D">
        <w:rPr>
          <w:rFonts w:eastAsia="Calibri"/>
        </w:rPr>
        <w:t>The interpretation of meta-analyses was limited by the substantial heterogeneity between the included studies</w:t>
      </w:r>
      <w:r w:rsidR="009812E8" w:rsidRPr="00C1603D">
        <w:rPr>
          <w:rFonts w:eastAsia="Calibri"/>
        </w:rPr>
        <w:t>,</w:t>
      </w:r>
      <w:r w:rsidR="567821A3" w:rsidRPr="00C1603D">
        <w:rPr>
          <w:rFonts w:eastAsia="Calibri"/>
        </w:rPr>
        <w:t xml:space="preserve"> and most included studies were judged </w:t>
      </w:r>
      <w:r w:rsidR="009812E8" w:rsidRPr="00C1603D">
        <w:rPr>
          <w:rFonts w:eastAsia="Calibri"/>
        </w:rPr>
        <w:t xml:space="preserve">to be </w:t>
      </w:r>
      <w:r w:rsidR="567821A3" w:rsidRPr="00C1603D">
        <w:rPr>
          <w:rFonts w:eastAsia="Calibri"/>
        </w:rPr>
        <w:t xml:space="preserve">at </w:t>
      </w:r>
      <w:proofErr w:type="gramStart"/>
      <w:r w:rsidR="567821A3" w:rsidRPr="00C1603D">
        <w:rPr>
          <w:rFonts w:eastAsia="Calibri"/>
        </w:rPr>
        <w:t>high risk</w:t>
      </w:r>
      <w:proofErr w:type="gramEnd"/>
      <w:r w:rsidR="567821A3" w:rsidRPr="00C1603D">
        <w:rPr>
          <w:rFonts w:eastAsia="Calibri"/>
        </w:rPr>
        <w:t xml:space="preserve"> of bias. The main limitations of </w:t>
      </w:r>
      <w:r w:rsidR="005A1256" w:rsidRPr="00C1603D">
        <w:rPr>
          <w:rFonts w:eastAsia="Calibri"/>
        </w:rPr>
        <w:t>the</w:t>
      </w:r>
      <w:r w:rsidR="567821A3" w:rsidRPr="00C1603D">
        <w:rPr>
          <w:rFonts w:eastAsia="Calibri"/>
        </w:rPr>
        <w:t xml:space="preserve"> prediction models were that we were restricted to diagnostic indicators that were recorded by </w:t>
      </w:r>
      <w:r w:rsidR="005A1256" w:rsidRPr="00C1603D">
        <w:rPr>
          <w:rFonts w:eastAsia="Calibri"/>
        </w:rPr>
        <w:t>general practitioner</w:t>
      </w:r>
      <w:r w:rsidR="567821A3" w:rsidRPr="00C1603D">
        <w:rPr>
          <w:rFonts w:eastAsia="Calibri"/>
        </w:rPr>
        <w:t xml:space="preserve">s and that, because </w:t>
      </w:r>
      <w:r w:rsidR="005A1256" w:rsidRPr="00C1603D">
        <w:rPr>
          <w:rFonts w:eastAsia="Calibri"/>
        </w:rPr>
        <w:t>coeliac disease</w:t>
      </w:r>
      <w:r w:rsidR="567821A3" w:rsidRPr="00C1603D">
        <w:rPr>
          <w:rFonts w:eastAsia="Calibri"/>
        </w:rPr>
        <w:t xml:space="preserve"> is underdiagnosed, it is also under</w:t>
      </w:r>
      <w:r w:rsidR="005A1256" w:rsidRPr="00C1603D">
        <w:rPr>
          <w:rFonts w:eastAsia="Calibri"/>
        </w:rPr>
        <w:t>-</w:t>
      </w:r>
      <w:r w:rsidR="567821A3" w:rsidRPr="00C1603D">
        <w:rPr>
          <w:rFonts w:eastAsia="Calibri"/>
        </w:rPr>
        <w:t>reported in health</w:t>
      </w:r>
      <w:r w:rsidR="005A1256" w:rsidRPr="00C1603D">
        <w:rPr>
          <w:rFonts w:eastAsia="Calibri"/>
        </w:rPr>
        <w:t>-</w:t>
      </w:r>
      <w:r w:rsidR="567821A3" w:rsidRPr="00C1603D">
        <w:rPr>
          <w:rFonts w:eastAsia="Calibri"/>
        </w:rPr>
        <w:t xml:space="preserve">care data. The cost-effectiveness model is a simplification of </w:t>
      </w:r>
      <w:r w:rsidR="005A1256" w:rsidRPr="00C1603D">
        <w:rPr>
          <w:rFonts w:eastAsia="Calibri"/>
        </w:rPr>
        <w:t xml:space="preserve">coeliac disease </w:t>
      </w:r>
      <w:r w:rsidR="567821A3" w:rsidRPr="00C1603D">
        <w:rPr>
          <w:rFonts w:eastAsia="Calibri"/>
        </w:rPr>
        <w:t xml:space="preserve">and modelled an average cohort rather than individuals. Evidence was weak on the probability of routine </w:t>
      </w:r>
      <w:r w:rsidR="005A1256" w:rsidRPr="00C1603D">
        <w:rPr>
          <w:rFonts w:eastAsia="Calibri"/>
        </w:rPr>
        <w:t xml:space="preserve">coeliac disease </w:t>
      </w:r>
      <w:r w:rsidR="567821A3" w:rsidRPr="00C1603D">
        <w:rPr>
          <w:rFonts w:eastAsia="Calibri"/>
        </w:rPr>
        <w:t xml:space="preserve">diagnosis, </w:t>
      </w:r>
      <w:r w:rsidR="00570380" w:rsidRPr="00C1603D">
        <w:rPr>
          <w:rFonts w:eastAsia="Calibri"/>
        </w:rPr>
        <w:t xml:space="preserve">the </w:t>
      </w:r>
      <w:r w:rsidR="567821A3" w:rsidRPr="00C1603D">
        <w:rPr>
          <w:rFonts w:eastAsia="Calibri"/>
        </w:rPr>
        <w:t xml:space="preserve">accuracy of serological and genetic tests and the utility of </w:t>
      </w:r>
      <w:r w:rsidR="00570380" w:rsidRPr="00C1603D">
        <w:rPr>
          <w:rFonts w:eastAsia="Calibri"/>
        </w:rPr>
        <w:t xml:space="preserve">a </w:t>
      </w:r>
      <w:r w:rsidR="567821A3" w:rsidRPr="00C1603D">
        <w:rPr>
          <w:rFonts w:eastAsia="Calibri"/>
        </w:rPr>
        <w:t>gluten-free diet.</w:t>
      </w:r>
    </w:p>
    <w:p w14:paraId="14A83963" w14:textId="0731FE02" w:rsidR="008B4DF8" w:rsidRPr="00C1603D" w:rsidRDefault="008B4DF8" w:rsidP="008B4DF8">
      <w:pPr>
        <w:pStyle w:val="154AbstracttextfoPrelimsPrelimsstyles"/>
      </w:pPr>
      <w:bookmarkStart w:id="48" w:name="_Toc99539781"/>
      <w:r w:rsidRPr="00C1603D">
        <w:rPr>
          <w:b/>
        </w:rPr>
        <w:t>Conclusions</w:t>
      </w:r>
      <w:bookmarkEnd w:id="47"/>
      <w:bookmarkEnd w:id="48"/>
      <w:r w:rsidRPr="00C1603D">
        <w:rPr>
          <w:b/>
        </w:rPr>
        <w:t>:</w:t>
      </w:r>
      <w:bookmarkStart w:id="49" w:name="_Toc87550914"/>
      <w:r w:rsidRPr="00C1603D">
        <w:t xml:space="preserve"> Population screening with </w:t>
      </w:r>
      <w:r w:rsidR="003E4D15" w:rsidRPr="00C1603D">
        <w:rPr>
          <w:lang w:eastAsia="en-GB"/>
        </w:rPr>
        <w:t>immunoglobulin A</w:t>
      </w:r>
      <w:r w:rsidR="003E4D15" w:rsidRPr="00C1603D">
        <w:t xml:space="preserve"> </w:t>
      </w:r>
      <w:r w:rsidR="003E4D15" w:rsidRPr="00C1603D">
        <w:rPr>
          <w:lang w:eastAsia="en-GB"/>
        </w:rPr>
        <w:t>tissue transglutaminase</w:t>
      </w:r>
      <w:r w:rsidRPr="00C1603D">
        <w:t xml:space="preserve"> (1% pre-test probability) and of </w:t>
      </w:r>
      <w:r w:rsidR="003E4D15" w:rsidRPr="00C1603D">
        <w:rPr>
          <w:lang w:eastAsia="en-GB"/>
        </w:rPr>
        <w:t>immunoglobulin A</w:t>
      </w:r>
      <w:r w:rsidR="003E4D15" w:rsidRPr="00C1603D">
        <w:t xml:space="preserve"> endomysial antibody </w:t>
      </w:r>
      <w:r w:rsidRPr="00C1603D">
        <w:t xml:space="preserve">followed by </w:t>
      </w:r>
      <w:r w:rsidR="003E4D15" w:rsidRPr="00C1603D">
        <w:rPr>
          <w:lang w:eastAsia="en-GB"/>
        </w:rPr>
        <w:t>human leucocyte antigen</w:t>
      </w:r>
      <w:r w:rsidR="003E4D15" w:rsidRPr="00C1603D">
        <w:t xml:space="preserve"> </w:t>
      </w:r>
      <w:r w:rsidRPr="00C1603D">
        <w:t xml:space="preserve">testing or </w:t>
      </w:r>
      <w:r w:rsidR="003E4D15" w:rsidRPr="00C1603D">
        <w:rPr>
          <w:lang w:eastAsia="en-GB"/>
        </w:rPr>
        <w:t>human leucocyte antigen</w:t>
      </w:r>
      <w:r w:rsidR="003E4D15" w:rsidRPr="00C1603D">
        <w:t xml:space="preserve"> </w:t>
      </w:r>
      <w:r w:rsidRPr="00C1603D">
        <w:t xml:space="preserve">testing followed by </w:t>
      </w:r>
      <w:r w:rsidR="003E4D15" w:rsidRPr="00C1603D">
        <w:rPr>
          <w:lang w:eastAsia="en-GB"/>
        </w:rPr>
        <w:t>immunoglobulin A</w:t>
      </w:r>
      <w:r w:rsidR="003E4D15" w:rsidRPr="00C1603D">
        <w:t xml:space="preserve"> </w:t>
      </w:r>
      <w:r w:rsidR="003E4D15" w:rsidRPr="00C1603D">
        <w:rPr>
          <w:lang w:eastAsia="en-GB"/>
        </w:rPr>
        <w:t>tissue transglutaminase</w:t>
      </w:r>
      <w:r w:rsidR="003E4D15" w:rsidRPr="00C1603D">
        <w:t xml:space="preserve"> </w:t>
      </w:r>
      <w:r w:rsidRPr="00C1603D">
        <w:t>with any pre-test probability appear to have similar cost-effectiveness</w:t>
      </w:r>
      <w:r w:rsidR="003E4D15" w:rsidRPr="00C1603D">
        <w:t xml:space="preserve"> results</w:t>
      </w:r>
      <w:r w:rsidRPr="00C1603D">
        <w:t>. As decisions to implement population screening cannot be made based on our economic analysis alone, and given</w:t>
      </w:r>
      <w:r w:rsidR="003E4D15" w:rsidRPr="00C1603D">
        <w:t xml:space="preserve"> the</w:t>
      </w:r>
      <w:r w:rsidRPr="00C1603D">
        <w:t xml:space="preserve"> practical challenges of identifying patients with higher pre-test probabilities, we recommend</w:t>
      </w:r>
      <w:r w:rsidR="003E4D15" w:rsidRPr="00C1603D">
        <w:t xml:space="preserve"> that</w:t>
      </w:r>
      <w:r w:rsidRPr="00C1603D">
        <w:t xml:space="preserve"> </w:t>
      </w:r>
      <w:r w:rsidR="003E4D15" w:rsidRPr="00C1603D">
        <w:rPr>
          <w:lang w:eastAsia="en-GB"/>
        </w:rPr>
        <w:t>human leucocyte antigen</w:t>
      </w:r>
      <w:r w:rsidR="003E4D15" w:rsidRPr="00C1603D">
        <w:t xml:space="preserve"> </w:t>
      </w:r>
      <w:r w:rsidRPr="00C1603D">
        <w:t xml:space="preserve">combined with </w:t>
      </w:r>
      <w:r w:rsidR="003E4D15" w:rsidRPr="00C1603D">
        <w:rPr>
          <w:lang w:eastAsia="en-GB"/>
        </w:rPr>
        <w:t>immunoglobulin A</w:t>
      </w:r>
      <w:r w:rsidR="003E4D15" w:rsidRPr="00C1603D">
        <w:t xml:space="preserve"> </w:t>
      </w:r>
      <w:r w:rsidR="003E4D15" w:rsidRPr="00C1603D">
        <w:rPr>
          <w:lang w:eastAsia="en-GB"/>
        </w:rPr>
        <w:t>tissue transglutaminase</w:t>
      </w:r>
      <w:r w:rsidRPr="00C1603D">
        <w:t xml:space="preserve"> testing should be considered </w:t>
      </w:r>
      <w:r w:rsidR="003E4D15" w:rsidRPr="00C1603D">
        <w:t>for</w:t>
      </w:r>
      <w:r w:rsidRPr="00C1603D">
        <w:t xml:space="preserve"> those with at least a 1.5% pre-test probability of </w:t>
      </w:r>
      <w:r w:rsidR="00726482" w:rsidRPr="00C1603D">
        <w:t xml:space="preserve">coeliac disease </w:t>
      </w:r>
      <w:r w:rsidRPr="00C1603D">
        <w:t>in adults</w:t>
      </w:r>
      <w:r w:rsidR="003E4D15" w:rsidRPr="00C1603D">
        <w:rPr>
          <w:color w:val="00B0F0"/>
        </w:rPr>
        <w:t>,</w:t>
      </w:r>
      <w:r w:rsidRPr="00C1603D">
        <w:rPr>
          <w:color w:val="00B0F0"/>
        </w:rPr>
        <w:t xml:space="preserve"> </w:t>
      </w:r>
      <w:r w:rsidRPr="00C1603D">
        <w:t xml:space="preserve">equivalent to having at least one predictor. A more targeted strategy of 10% pre-test probability is recommended </w:t>
      </w:r>
      <w:r w:rsidR="003E4D15" w:rsidRPr="00C1603D">
        <w:t>for</w:t>
      </w:r>
      <w:r w:rsidRPr="00C1603D">
        <w:t xml:space="preserve"> children (e.g. children with anaemia).</w:t>
      </w:r>
    </w:p>
    <w:p w14:paraId="14AE4FC1" w14:textId="08535513" w:rsidR="008B4DF8" w:rsidRPr="00C1603D" w:rsidRDefault="008B4DF8" w:rsidP="008B4DF8">
      <w:pPr>
        <w:pStyle w:val="154AbstracttextfoPrelimsPrelimsstyles"/>
      </w:pPr>
      <w:bookmarkStart w:id="50" w:name="_Toc99539782"/>
      <w:r w:rsidRPr="00C1603D">
        <w:rPr>
          <w:b/>
        </w:rPr>
        <w:t>Future work</w:t>
      </w:r>
      <w:bookmarkEnd w:id="49"/>
      <w:bookmarkEnd w:id="50"/>
      <w:r w:rsidRPr="00C1603D">
        <w:rPr>
          <w:b/>
        </w:rPr>
        <w:t>:</w:t>
      </w:r>
      <w:r w:rsidRPr="00C1603D">
        <w:t xml:space="preserve"> Future work should consider whether </w:t>
      </w:r>
      <w:r w:rsidR="003E4D15" w:rsidRPr="00C1603D">
        <w:t xml:space="preserve">or not </w:t>
      </w:r>
      <w:r w:rsidRPr="00C1603D">
        <w:t>population</w:t>
      </w:r>
      <w:r w:rsidR="003E4D15" w:rsidRPr="00C1603D">
        <w:t>-</w:t>
      </w:r>
      <w:r w:rsidRPr="00C1603D">
        <w:t xml:space="preserve">based screening for </w:t>
      </w:r>
      <w:r w:rsidR="00726482" w:rsidRPr="00C1603D">
        <w:t xml:space="preserve">coeliac disease </w:t>
      </w:r>
      <w:r w:rsidRPr="00C1603D">
        <w:t xml:space="preserve">could meet the UK National Screening Committee criteria and </w:t>
      </w:r>
      <w:r w:rsidR="003E4D15" w:rsidRPr="00C1603D">
        <w:t>whether or not it necessitates</w:t>
      </w:r>
      <w:r w:rsidRPr="00C1603D">
        <w:t xml:space="preserve"> a long-term randomised controlled trial of screening strategies. Large prospective cohort studies </w:t>
      </w:r>
      <w:r w:rsidR="003E4D15" w:rsidRPr="00C1603D">
        <w:t>in which</w:t>
      </w:r>
      <w:r w:rsidRPr="00C1603D">
        <w:t xml:space="preserve"> all participants receive accurate tests for </w:t>
      </w:r>
      <w:r w:rsidR="00726482" w:rsidRPr="00C1603D">
        <w:t xml:space="preserve">coeliac disease </w:t>
      </w:r>
      <w:r w:rsidRPr="00C1603D">
        <w:t>are needed.</w:t>
      </w:r>
    </w:p>
    <w:p w14:paraId="7E3648D8" w14:textId="67880200" w:rsidR="008B4DF8" w:rsidRPr="00C1603D" w:rsidRDefault="008B4DF8" w:rsidP="008B4DF8">
      <w:pPr>
        <w:pStyle w:val="154AbstracttextfoPrelimsPrelimsstyles"/>
        <w:rPr>
          <w:rFonts w:eastAsia="Calibri"/>
          <w:bdr w:val="nil"/>
          <w:lang w:eastAsia="zh-CN"/>
        </w:rPr>
      </w:pPr>
      <w:bookmarkStart w:id="51" w:name="_Toc87550915"/>
      <w:bookmarkStart w:id="52" w:name="_Toc99539783"/>
      <w:r w:rsidRPr="00C1603D">
        <w:rPr>
          <w:b/>
        </w:rPr>
        <w:t>Study registration</w:t>
      </w:r>
      <w:bookmarkEnd w:id="51"/>
      <w:bookmarkEnd w:id="52"/>
      <w:r w:rsidRPr="00C1603D">
        <w:rPr>
          <w:b/>
        </w:rPr>
        <w:t>:</w:t>
      </w:r>
      <w:r w:rsidRPr="00C1603D">
        <w:rPr>
          <w:rFonts w:eastAsia="Calibri"/>
          <w:bdr w:val="nil"/>
          <w:lang w:eastAsia="zh-CN"/>
        </w:rPr>
        <w:t xml:space="preserve"> </w:t>
      </w:r>
      <w:r w:rsidR="003E4D15" w:rsidRPr="00C1603D">
        <w:rPr>
          <w:rFonts w:eastAsia="Calibri"/>
          <w:bdr w:val="nil"/>
          <w:lang w:eastAsia="zh-CN"/>
        </w:rPr>
        <w:t xml:space="preserve">This study is registered as </w:t>
      </w:r>
      <w:r w:rsidRPr="00C1603D">
        <w:rPr>
          <w:rFonts w:eastAsia="Calibri"/>
          <w:bdr w:val="nil"/>
          <w:lang w:eastAsia="zh-CN"/>
        </w:rPr>
        <w:t>PROSPERO CRD42019115506</w:t>
      </w:r>
      <w:r w:rsidR="003E4D15" w:rsidRPr="00C1603D">
        <w:rPr>
          <w:rFonts w:eastAsia="Calibri"/>
          <w:bdr w:val="nil"/>
          <w:lang w:eastAsia="zh-CN"/>
        </w:rPr>
        <w:t xml:space="preserve"> and</w:t>
      </w:r>
      <w:r w:rsidRPr="00C1603D">
        <w:rPr>
          <w:rFonts w:eastAsia="Calibri"/>
          <w:bdr w:val="nil"/>
          <w:lang w:eastAsia="zh-CN"/>
        </w:rPr>
        <w:t xml:space="preserve"> CRD42020170766.</w:t>
      </w:r>
    </w:p>
    <w:p w14:paraId="03958D58" w14:textId="6F362C02" w:rsidR="008B4DF8" w:rsidRPr="00C1603D" w:rsidRDefault="008B4DF8" w:rsidP="008B4DF8">
      <w:pPr>
        <w:pStyle w:val="154AbstracttextfoPrelimsPrelimsstyles"/>
        <w:rPr>
          <w:rFonts w:eastAsia="Calibri"/>
          <w:bdr w:val="nil"/>
          <w:lang w:eastAsia="zh-CN"/>
        </w:rPr>
      </w:pPr>
      <w:bookmarkStart w:id="53" w:name="_Toc87550916"/>
      <w:bookmarkStart w:id="54" w:name="_Toc99539784"/>
      <w:r w:rsidRPr="00C1603D">
        <w:rPr>
          <w:b/>
        </w:rPr>
        <w:t>Funding</w:t>
      </w:r>
      <w:bookmarkEnd w:id="53"/>
      <w:bookmarkEnd w:id="54"/>
      <w:r w:rsidRPr="00C1603D">
        <w:rPr>
          <w:b/>
        </w:rPr>
        <w:t>:</w:t>
      </w:r>
      <w:r w:rsidRPr="00C1603D">
        <w:rPr>
          <w:rFonts w:eastAsia="Calibri"/>
          <w:bdr w:val="nil"/>
          <w:lang w:eastAsia="zh-CN"/>
        </w:rPr>
        <w:t xml:space="preserve"> </w:t>
      </w:r>
      <w:r w:rsidR="003E4D15" w:rsidRPr="00C1603D">
        <w:rPr>
          <w:rFonts w:eastAsia="Calibri"/>
          <w:bdr w:val="nil"/>
          <w:lang w:eastAsia="zh-CN"/>
        </w:rPr>
        <w:t>This project was funded by the National Institute for Health</w:t>
      </w:r>
      <w:r w:rsidR="00301D60" w:rsidRPr="00C1603D">
        <w:rPr>
          <w:rFonts w:eastAsia="Calibri"/>
          <w:bdr w:val="nil"/>
          <w:lang w:eastAsia="zh-CN"/>
        </w:rPr>
        <w:t xml:space="preserve"> and Care</w:t>
      </w:r>
      <w:r w:rsidR="003E4D15" w:rsidRPr="00C1603D">
        <w:rPr>
          <w:rFonts w:eastAsia="Calibri"/>
          <w:bdr w:val="nil"/>
          <w:lang w:eastAsia="zh-CN"/>
        </w:rPr>
        <w:t xml:space="preserve"> Research (NIHR) Health Technology Assessment programme and will be published in full in </w:t>
      </w:r>
      <w:r w:rsidR="003E4D15" w:rsidRPr="00C1603D">
        <w:rPr>
          <w:rFonts w:eastAsia="Calibri"/>
          <w:i/>
          <w:iCs/>
          <w:bdr w:val="nil"/>
          <w:lang w:eastAsia="zh-CN"/>
        </w:rPr>
        <w:t>Health Technology Assessment</w:t>
      </w:r>
      <w:r w:rsidR="003E4D15" w:rsidRPr="00C1603D">
        <w:rPr>
          <w:rFonts w:eastAsia="Calibri"/>
          <w:bdr w:val="nil"/>
          <w:lang w:eastAsia="zh-CN"/>
        </w:rPr>
        <w:t>; Vol. X, No. X. See the NIHR Journals Library website for further project information.</w:t>
      </w:r>
    </w:p>
    <w:p w14:paraId="1B5C1AA6" w14:textId="77777777" w:rsidR="008B4DF8" w:rsidRPr="00C1603D" w:rsidRDefault="008B4DF8" w:rsidP="008B4DF8">
      <w:pPr>
        <w:pStyle w:val="43PrelimtitleHeadingsHeadingstyles"/>
      </w:pPr>
      <w:bookmarkStart w:id="55" w:name="_Toc99539788"/>
      <w:r w:rsidRPr="00C1603D">
        <w:lastRenderedPageBreak/>
        <w:t>Contents</w:t>
      </w:r>
    </w:p>
    <w:p w14:paraId="37771631" w14:textId="77777777" w:rsidR="008B4DF8" w:rsidRPr="00C1603D" w:rsidRDefault="008B4DF8" w:rsidP="008B4DF8">
      <w:pPr>
        <w:pStyle w:val="602TextfoTextstylesTextstyles"/>
        <w:rPr>
          <w:i/>
          <w:color w:val="FF0000"/>
        </w:rPr>
      </w:pPr>
      <w:r w:rsidRPr="00C1603D">
        <w:rPr>
          <w:i/>
          <w:color w:val="FF0000"/>
        </w:rPr>
        <w:t>&lt;&lt;Typesetter insert Contents list &gt;&gt;</w:t>
      </w:r>
    </w:p>
    <w:p w14:paraId="6E9B1F01" w14:textId="77777777" w:rsidR="008B4DF8" w:rsidRPr="00C1603D" w:rsidRDefault="008B4DF8" w:rsidP="008B4DF8">
      <w:pPr>
        <w:pStyle w:val="43PrelimtitleHeadingsHeadingstyles"/>
      </w:pPr>
      <w:r w:rsidRPr="00C1603D">
        <w:t>List of tables</w:t>
      </w:r>
    </w:p>
    <w:p w14:paraId="500154F6" w14:textId="77777777" w:rsidR="008B4DF8" w:rsidRPr="00C1603D" w:rsidRDefault="008B4DF8" w:rsidP="008B4DF8">
      <w:pPr>
        <w:pStyle w:val="602TextfoTextstylesTextstyles"/>
        <w:rPr>
          <w:i/>
          <w:color w:val="FF0000"/>
        </w:rPr>
      </w:pPr>
      <w:r w:rsidRPr="00C1603D">
        <w:rPr>
          <w:i/>
          <w:color w:val="FF0000"/>
        </w:rPr>
        <w:t>&lt;&lt;Typesetter insert List of tables&gt;&gt;</w:t>
      </w:r>
    </w:p>
    <w:p w14:paraId="5E2534E9" w14:textId="77777777" w:rsidR="008B4DF8" w:rsidRPr="00C1603D" w:rsidRDefault="008B4DF8" w:rsidP="008B4DF8">
      <w:pPr>
        <w:pStyle w:val="43PrelimtitleHeadingsHeadingstyles"/>
      </w:pPr>
      <w:r w:rsidRPr="00C1603D">
        <w:t>List of figures</w:t>
      </w:r>
    </w:p>
    <w:p w14:paraId="546BBCCA" w14:textId="77777777" w:rsidR="008B4DF8" w:rsidRPr="00C1603D" w:rsidRDefault="008B4DF8" w:rsidP="008B4DF8">
      <w:pPr>
        <w:pStyle w:val="602TextfoTextstylesTextstyles"/>
        <w:rPr>
          <w:i/>
          <w:color w:val="FF0000"/>
        </w:rPr>
      </w:pPr>
      <w:r w:rsidRPr="00C1603D">
        <w:rPr>
          <w:i/>
          <w:color w:val="FF0000"/>
        </w:rPr>
        <w:t>&lt;&lt;Typesetter insert List of figures&gt;&gt;</w:t>
      </w:r>
    </w:p>
    <w:p w14:paraId="1B02C63D" w14:textId="2EDE2190" w:rsidR="007C2375" w:rsidRPr="00C1603D" w:rsidRDefault="007C2375" w:rsidP="007C2375">
      <w:pPr>
        <w:pStyle w:val="43PrelimtitleHeadingsHeadingstyles"/>
      </w:pPr>
      <w:r w:rsidRPr="00C1603D">
        <w:t>List of boxes</w:t>
      </w:r>
    </w:p>
    <w:p w14:paraId="547BD55F" w14:textId="31597F34" w:rsidR="007C2375" w:rsidRPr="00C1603D" w:rsidRDefault="007C2375" w:rsidP="007C2375">
      <w:pPr>
        <w:pStyle w:val="602TextfoTextstylesTextstyles"/>
        <w:rPr>
          <w:i/>
          <w:color w:val="FF0000"/>
        </w:rPr>
      </w:pPr>
      <w:r w:rsidRPr="00C1603D">
        <w:rPr>
          <w:i/>
          <w:color w:val="FF0000"/>
        </w:rPr>
        <w:t>&lt;&lt;Typesetter insert List of boxes&gt;&gt;</w:t>
      </w:r>
    </w:p>
    <w:p w14:paraId="44366BAC" w14:textId="77777777" w:rsidR="008B4DF8" w:rsidRPr="00C1603D" w:rsidRDefault="008B4DF8" w:rsidP="008B4DF8">
      <w:pPr>
        <w:pStyle w:val="43PrelimtitleHeadingsHeadingstyles"/>
      </w:pPr>
      <w:r w:rsidRPr="00C1603D">
        <w:t>List of supplementary material</w:t>
      </w:r>
    </w:p>
    <w:p w14:paraId="76CD7A9A" w14:textId="77777777" w:rsidR="008B4DF8" w:rsidRPr="00C1603D" w:rsidRDefault="008B4DF8" w:rsidP="008B4DF8">
      <w:pPr>
        <w:pStyle w:val="602TextfoTextstylesTextstyles"/>
        <w:rPr>
          <w:i/>
          <w:color w:val="FF0000"/>
        </w:rPr>
      </w:pPr>
      <w:r w:rsidRPr="00C1603D">
        <w:rPr>
          <w:i/>
          <w:color w:val="FF0000"/>
        </w:rPr>
        <w:t>&lt;&lt;Typesetter please format as per list of tables/boxes/figures&gt;&gt;</w:t>
      </w:r>
    </w:p>
    <w:p w14:paraId="43E54CF9" w14:textId="562F3046" w:rsidR="008B4DF8" w:rsidRPr="00C1603D" w:rsidRDefault="008B4DF8" w:rsidP="008B4DF8">
      <w:pPr>
        <w:pStyle w:val="602TextfoTextstylesTextstyles"/>
      </w:pPr>
      <w:r w:rsidRPr="00C1603D">
        <w:t>Report Supplementary Material 1</w:t>
      </w:r>
      <w:r w:rsidR="00985C93" w:rsidRPr="00C1603D">
        <w:t> </w:t>
      </w:r>
      <w:r w:rsidRPr="00C1603D">
        <w:t xml:space="preserve">Identifying the optimum strategy for identifying adults and children with coeliac disease: systematic review and economic modelling – </w:t>
      </w:r>
      <w:r w:rsidR="00985C93" w:rsidRPr="00C1603D">
        <w:t>s</w:t>
      </w:r>
      <w:r w:rsidRPr="00C1603D">
        <w:t>upplementary materials</w:t>
      </w:r>
    </w:p>
    <w:p w14:paraId="4EC6BD01" w14:textId="6CA8EACD" w:rsidR="008B4DF8" w:rsidRPr="00C1603D" w:rsidRDefault="008B4DF8" w:rsidP="008B4DF8">
      <w:pPr>
        <w:pStyle w:val="602TextfoTextstylesTextstyles"/>
      </w:pPr>
      <w:r w:rsidRPr="00C1603D">
        <w:t>Supplementary material can be found on the NIHR Journals Library report page (https://doi.org/10.3310/</w:t>
      </w:r>
      <w:r w:rsidR="00985C93" w:rsidRPr="00C1603D">
        <w:t>hta26</w:t>
      </w:r>
      <w:r w:rsidRPr="00C1603D">
        <w:t>XXX0).</w:t>
      </w:r>
    </w:p>
    <w:p w14:paraId="394DB351" w14:textId="77777777" w:rsidR="008B4DF8" w:rsidRPr="00C1603D" w:rsidRDefault="008B4DF8" w:rsidP="008B4DF8">
      <w:pPr>
        <w:pStyle w:val="602TextfoTextstylesTextstyles"/>
      </w:pPr>
      <w:proofErr w:type="gramStart"/>
      <w:r w:rsidRPr="00C1603D">
        <w:t>Supplementary material has been provided by the authors</w:t>
      </w:r>
      <w:proofErr w:type="gramEnd"/>
      <w:r w:rsidRPr="00C1603D">
        <w:t xml:space="preserve"> to support the report and any files provided at submission will have been seen by peer reviewers, but not extensively reviewed. Any supplementary material provided at a later stage in the process may not have been peer reviewed.</w:t>
      </w:r>
    </w:p>
    <w:p w14:paraId="74E5101A" w14:textId="21CF3A5E" w:rsidR="008B4DF8" w:rsidRPr="00C1603D" w:rsidRDefault="00D27BDF" w:rsidP="008B4DF8">
      <w:pPr>
        <w:pStyle w:val="43PrelimtitleHeadingsHeadingstyles"/>
      </w:pPr>
      <w:r w:rsidRPr="00C1603D">
        <w:t>L</w:t>
      </w:r>
      <w:r w:rsidR="008B4DF8" w:rsidRPr="00C1603D">
        <w:t>ist of abbreviations</w:t>
      </w:r>
      <w:bookmarkEnd w:id="55"/>
    </w:p>
    <w:p w14:paraId="76B73CD5" w14:textId="77777777" w:rsidR="008B4DF8" w:rsidRPr="00C1603D" w:rsidRDefault="008B4DF8" w:rsidP="008B4DF8">
      <w:pPr>
        <w:pStyle w:val="19AbbreviationslistPrelimsstyles"/>
      </w:pPr>
      <w:r w:rsidRPr="00C1603D">
        <w:rPr>
          <w:lang w:eastAsia="en-GB"/>
        </w:rPr>
        <w:t>ALSPAC</w:t>
      </w:r>
      <w:r w:rsidRPr="00C1603D">
        <w:rPr>
          <w:rFonts w:ascii="Segoe UI" w:hAnsi="Segoe UI" w:cs="Segoe UI"/>
          <w:sz w:val="18"/>
          <w:szCs w:val="18"/>
          <w:lang w:eastAsia="en-GB"/>
        </w:rPr>
        <w:tab/>
      </w:r>
      <w:r w:rsidRPr="00C1603D">
        <w:rPr>
          <w:lang w:eastAsia="en-GB"/>
        </w:rPr>
        <w:t>Avon Longitudinal Study of Parents and Children</w:t>
      </w:r>
    </w:p>
    <w:p w14:paraId="640DFD11" w14:textId="77777777" w:rsidR="008B4DF8" w:rsidRPr="00C1603D" w:rsidRDefault="008B4DF8" w:rsidP="008B4DF8">
      <w:pPr>
        <w:pStyle w:val="19AbbreviationslistPrelimsstyles"/>
        <w:rPr>
          <w:lang w:eastAsia="en-GB"/>
        </w:rPr>
      </w:pPr>
      <w:r w:rsidRPr="00C1603D">
        <w:rPr>
          <w:lang w:eastAsia="en-GB"/>
        </w:rPr>
        <w:t>ARC</w:t>
      </w:r>
      <w:r w:rsidRPr="00C1603D">
        <w:rPr>
          <w:lang w:eastAsia="en-GB"/>
        </w:rPr>
        <w:tab/>
        <w:t>Applied Research Collaboration</w:t>
      </w:r>
    </w:p>
    <w:p w14:paraId="08F4146C" w14:textId="40512395" w:rsidR="007A5154" w:rsidRPr="00C1603D" w:rsidRDefault="007A5154" w:rsidP="008B4DF8">
      <w:pPr>
        <w:pStyle w:val="19AbbreviationslistPrelimsstyles"/>
        <w:rPr>
          <w:lang w:eastAsia="en-GB"/>
        </w:rPr>
      </w:pPr>
      <w:r w:rsidRPr="00C1603D">
        <w:rPr>
          <w:lang w:eastAsia="en-GB"/>
        </w:rPr>
        <w:t>AUROC</w:t>
      </w:r>
      <w:r w:rsidRPr="00C1603D">
        <w:rPr>
          <w:lang w:eastAsia="en-GB"/>
        </w:rPr>
        <w:tab/>
        <w:t>area under the receiver operating characteristic</w:t>
      </w:r>
    </w:p>
    <w:p w14:paraId="712A1E42" w14:textId="0D5B0369" w:rsidR="00714B02" w:rsidRPr="00C1603D" w:rsidRDefault="00714B02" w:rsidP="008B4DF8">
      <w:pPr>
        <w:pStyle w:val="19AbbreviationslistPrelimsstyles"/>
        <w:rPr>
          <w:lang w:eastAsia="en-GB"/>
        </w:rPr>
      </w:pPr>
      <w:r w:rsidRPr="00C1603D">
        <w:rPr>
          <w:lang w:eastAsia="en-GB"/>
        </w:rPr>
        <w:t>BCEA</w:t>
      </w:r>
      <w:r w:rsidRPr="00C1603D">
        <w:rPr>
          <w:lang w:eastAsia="en-GB"/>
        </w:rPr>
        <w:tab/>
      </w:r>
      <w:r w:rsidRPr="00C1603D">
        <w:t>Bayesian cost-effectiveness analysis</w:t>
      </w:r>
    </w:p>
    <w:p w14:paraId="3AEF7E67" w14:textId="4CAF039B" w:rsidR="008B4DF8" w:rsidRPr="00C1603D" w:rsidRDefault="008B4DF8" w:rsidP="008B4DF8">
      <w:pPr>
        <w:pStyle w:val="19AbbreviationslistPrelimsstyles"/>
        <w:rPr>
          <w:lang w:eastAsia="en-GB"/>
        </w:rPr>
      </w:pPr>
      <w:r w:rsidRPr="00C1603D">
        <w:rPr>
          <w:lang w:eastAsia="en-GB"/>
        </w:rPr>
        <w:t>CD</w:t>
      </w:r>
      <w:r w:rsidRPr="00C1603D">
        <w:rPr>
          <w:lang w:eastAsia="en-GB"/>
        </w:rPr>
        <w:tab/>
      </w:r>
      <w:r w:rsidR="00DD59B9" w:rsidRPr="00C1603D">
        <w:rPr>
          <w:lang w:eastAsia="en-GB"/>
        </w:rPr>
        <w:t>c</w:t>
      </w:r>
      <w:r w:rsidRPr="00C1603D">
        <w:rPr>
          <w:lang w:eastAsia="en-GB"/>
        </w:rPr>
        <w:t>oeliac disease</w:t>
      </w:r>
    </w:p>
    <w:p w14:paraId="256398AE" w14:textId="7B623181" w:rsidR="001A4534" w:rsidRPr="00C1603D" w:rsidRDefault="001A4534" w:rsidP="008B4DF8">
      <w:pPr>
        <w:pStyle w:val="19AbbreviationslistPrelimsstyles"/>
        <w:rPr>
          <w:lang w:eastAsia="en-GB"/>
        </w:rPr>
      </w:pPr>
      <w:r w:rsidRPr="00C1603D">
        <w:rPr>
          <w:lang w:eastAsia="en-GB"/>
        </w:rPr>
        <w:t>CD-QOL</w:t>
      </w:r>
      <w:r w:rsidRPr="00C1603D">
        <w:rPr>
          <w:lang w:eastAsia="en-GB"/>
        </w:rPr>
        <w:tab/>
      </w:r>
      <w:r w:rsidRPr="00C1603D">
        <w:rPr>
          <w:color w:val="auto"/>
        </w:rPr>
        <w:t>Coeliac Disease Quality of Life Measure 1.0</w:t>
      </w:r>
    </w:p>
    <w:p w14:paraId="10D0F988" w14:textId="54C1701E" w:rsidR="008B4DF8" w:rsidRPr="00C1603D" w:rsidRDefault="008B4DF8" w:rsidP="008B4DF8">
      <w:pPr>
        <w:pStyle w:val="19AbbreviationslistPrelimsstyles"/>
        <w:rPr>
          <w:lang w:eastAsia="en-GB"/>
        </w:rPr>
      </w:pPr>
      <w:r w:rsidRPr="00C1603D">
        <w:rPr>
          <w:lang w:eastAsia="ko-KR"/>
        </w:rPr>
        <w:lastRenderedPageBreak/>
        <w:t>CEAC</w:t>
      </w:r>
      <w:r w:rsidRPr="00C1603D">
        <w:rPr>
          <w:lang w:eastAsia="en-GB"/>
        </w:rPr>
        <w:tab/>
      </w:r>
      <w:r w:rsidR="00DD59B9" w:rsidRPr="00C1603D">
        <w:rPr>
          <w:lang w:eastAsia="ko-KR"/>
        </w:rPr>
        <w:t>c</w:t>
      </w:r>
      <w:r w:rsidRPr="00C1603D">
        <w:rPr>
          <w:lang w:eastAsia="ko-KR"/>
        </w:rPr>
        <w:t>ost-effectiveness acceptability curve</w:t>
      </w:r>
    </w:p>
    <w:p w14:paraId="3C018E27" w14:textId="0E1EA875" w:rsidR="008B4DF8" w:rsidRPr="00C1603D" w:rsidRDefault="008B4DF8" w:rsidP="008B4DF8">
      <w:pPr>
        <w:pStyle w:val="19AbbreviationslistPrelimsstyles"/>
        <w:rPr>
          <w:lang w:eastAsia="en-GB"/>
        </w:rPr>
      </w:pPr>
      <w:r w:rsidRPr="00C1603D">
        <w:rPr>
          <w:lang w:eastAsia="en-GB"/>
        </w:rPr>
        <w:t>CI</w:t>
      </w:r>
      <w:r w:rsidRPr="00C1603D">
        <w:rPr>
          <w:lang w:eastAsia="en-GB"/>
        </w:rPr>
        <w:tab/>
      </w:r>
      <w:r w:rsidR="00DD59B9" w:rsidRPr="00C1603D">
        <w:rPr>
          <w:lang w:eastAsia="en-GB"/>
        </w:rPr>
        <w:t>confidence interval</w:t>
      </w:r>
    </w:p>
    <w:p w14:paraId="22B74D67" w14:textId="77777777" w:rsidR="008B4DF8" w:rsidRPr="00C1603D" w:rsidRDefault="008B4DF8" w:rsidP="008B4DF8">
      <w:pPr>
        <w:pStyle w:val="19AbbreviationslistPrelimsstyles"/>
        <w:rPr>
          <w:lang w:eastAsia="en-GB"/>
        </w:rPr>
      </w:pPr>
      <w:r w:rsidRPr="00C1603D">
        <w:rPr>
          <w:lang w:eastAsia="en-GB"/>
        </w:rPr>
        <w:t>CPRD</w:t>
      </w:r>
      <w:r w:rsidRPr="00C1603D">
        <w:rPr>
          <w:lang w:eastAsia="en-GB"/>
        </w:rPr>
        <w:tab/>
        <w:t>Clinical Practice Research Datalink</w:t>
      </w:r>
    </w:p>
    <w:p w14:paraId="6D213D16" w14:textId="788A6DC3" w:rsidR="008B4DF8" w:rsidRPr="00C1603D" w:rsidRDefault="008B4DF8" w:rsidP="008B4DF8">
      <w:pPr>
        <w:pStyle w:val="19AbbreviationslistPrelimsstyles"/>
        <w:rPr>
          <w:lang w:eastAsia="en-GB"/>
        </w:rPr>
      </w:pPr>
      <w:r w:rsidRPr="00C1603D">
        <w:rPr>
          <w:lang w:eastAsia="en-GB"/>
        </w:rPr>
        <w:t>CrI</w:t>
      </w:r>
      <w:r w:rsidRPr="00C1603D">
        <w:rPr>
          <w:lang w:eastAsia="en-GB"/>
        </w:rPr>
        <w:tab/>
      </w:r>
      <w:r w:rsidR="00DD59B9" w:rsidRPr="00C1603D">
        <w:rPr>
          <w:lang w:eastAsia="en-GB"/>
        </w:rPr>
        <w:t>credible interval</w:t>
      </w:r>
    </w:p>
    <w:p w14:paraId="446E58C5" w14:textId="58ADE4CD" w:rsidR="008B4DF8" w:rsidRPr="00C1603D" w:rsidRDefault="008B4DF8" w:rsidP="008B4DF8">
      <w:pPr>
        <w:pStyle w:val="19AbbreviationslistPrelimsstyles"/>
        <w:rPr>
          <w:shd w:val="clear" w:color="auto" w:fill="FFFFFF"/>
        </w:rPr>
      </w:pPr>
      <w:r w:rsidRPr="00C1603D">
        <w:rPr>
          <w:lang w:eastAsia="en-GB"/>
        </w:rPr>
        <w:t>DGP</w:t>
      </w:r>
      <w:r w:rsidRPr="00C1603D">
        <w:rPr>
          <w:lang w:eastAsia="en-GB"/>
        </w:rPr>
        <w:tab/>
      </w:r>
      <w:r w:rsidR="00DD59B9" w:rsidRPr="00C1603D">
        <w:rPr>
          <w:shd w:val="clear" w:color="auto" w:fill="FFFFFF"/>
        </w:rPr>
        <w:t>d</w:t>
      </w:r>
      <w:r w:rsidRPr="00C1603D">
        <w:rPr>
          <w:shd w:val="clear" w:color="auto" w:fill="FFFFFF"/>
        </w:rPr>
        <w:t>eamidated gliadin peptide</w:t>
      </w:r>
    </w:p>
    <w:p w14:paraId="383B2D67" w14:textId="0BC46E8A" w:rsidR="008B4DF8" w:rsidRPr="00C1603D" w:rsidRDefault="008B4DF8" w:rsidP="008B4DF8">
      <w:pPr>
        <w:pStyle w:val="19AbbreviationslistPrelimsstyles"/>
        <w:rPr>
          <w:bdr w:val="none" w:sz="0" w:space="0" w:color="auto" w:frame="1"/>
        </w:rPr>
      </w:pPr>
      <w:r w:rsidRPr="00C1603D">
        <w:rPr>
          <w:bdr w:val="none" w:sz="0" w:space="0" w:color="auto" w:frame="1"/>
        </w:rPr>
        <w:t>DTA</w:t>
      </w:r>
      <w:r w:rsidRPr="00C1603D">
        <w:rPr>
          <w:bdr w:val="none" w:sz="0" w:space="0" w:color="auto" w:frame="1"/>
        </w:rPr>
        <w:tab/>
      </w:r>
      <w:r w:rsidR="007B344E" w:rsidRPr="00C1603D">
        <w:rPr>
          <w:bdr w:val="none" w:sz="0" w:space="0" w:color="auto" w:frame="1"/>
        </w:rPr>
        <w:t>diagnostic test accuracy</w:t>
      </w:r>
    </w:p>
    <w:p w14:paraId="13DA6F06" w14:textId="370D2221" w:rsidR="008B4DF8" w:rsidRPr="00C1603D" w:rsidRDefault="3CDEEDA7" w:rsidP="008B4DF8">
      <w:pPr>
        <w:pStyle w:val="19AbbreviationslistPrelimsstyles"/>
        <w:rPr>
          <w:lang w:eastAsia="en-GB"/>
        </w:rPr>
      </w:pPr>
      <w:commentRangeStart w:id="56"/>
      <w:commentRangeStart w:id="57"/>
      <w:r w:rsidRPr="00C1603D">
        <w:rPr>
          <w:lang w:eastAsia="en-GB"/>
        </w:rPr>
        <w:t>EMA</w:t>
      </w:r>
      <w:r w:rsidR="008B4DF8" w:rsidRPr="00C1603D">
        <w:tab/>
      </w:r>
      <w:r w:rsidRPr="00C1603D">
        <w:rPr>
          <w:lang w:eastAsia="en-GB"/>
        </w:rPr>
        <w:t>endomysial antibody</w:t>
      </w:r>
      <w:commentRangeEnd w:id="56"/>
      <w:r w:rsidR="008B4DF8" w:rsidRPr="00C1603D">
        <w:commentReference w:id="56"/>
      </w:r>
      <w:commentRangeEnd w:id="57"/>
      <w:r w:rsidR="008B4DF8" w:rsidRPr="00C1603D">
        <w:commentReference w:id="57"/>
      </w:r>
    </w:p>
    <w:p w14:paraId="425D112D" w14:textId="62916DF8" w:rsidR="00707E46" w:rsidRPr="00C1603D" w:rsidRDefault="00707E46" w:rsidP="008B4DF8">
      <w:pPr>
        <w:pStyle w:val="19AbbreviationslistPrelimsstyles"/>
        <w:rPr>
          <w:lang w:eastAsia="en-GB"/>
        </w:rPr>
      </w:pPr>
      <w:r w:rsidRPr="00C1603D">
        <w:rPr>
          <w:lang w:eastAsia="en-GB"/>
        </w:rPr>
        <w:t>EQ-5D</w:t>
      </w:r>
      <w:r w:rsidRPr="00C1603D">
        <w:rPr>
          <w:lang w:eastAsia="en-GB"/>
        </w:rPr>
        <w:tab/>
        <w:t>EuroQol-5 Dimensions</w:t>
      </w:r>
    </w:p>
    <w:p w14:paraId="7F07BC63" w14:textId="511B1705" w:rsidR="00707E46" w:rsidRPr="00C1603D" w:rsidRDefault="00707E46" w:rsidP="008B4DF8">
      <w:pPr>
        <w:pStyle w:val="19AbbreviationslistPrelimsstyles"/>
        <w:rPr>
          <w:rFonts w:ascii="Segoe UI" w:hAnsi="Segoe UI" w:cs="Segoe UI"/>
          <w:sz w:val="18"/>
          <w:szCs w:val="18"/>
          <w:lang w:eastAsia="en-GB"/>
        </w:rPr>
      </w:pPr>
      <w:r w:rsidRPr="00C1603D">
        <w:rPr>
          <w:lang w:eastAsia="en-GB"/>
        </w:rPr>
        <w:t>EQ-5D-3L</w:t>
      </w:r>
      <w:r w:rsidRPr="00C1603D">
        <w:rPr>
          <w:lang w:eastAsia="en-GB"/>
        </w:rPr>
        <w:tab/>
        <w:t>EuroQol-5 Dimensions, three-level version</w:t>
      </w:r>
    </w:p>
    <w:p w14:paraId="3DE20648" w14:textId="3008352C" w:rsidR="008B4DF8" w:rsidRPr="00C1603D" w:rsidRDefault="008B4DF8" w:rsidP="008B4DF8">
      <w:pPr>
        <w:pStyle w:val="19AbbreviationslistPrelimsstyles"/>
        <w:rPr>
          <w:lang w:eastAsia="en-GB"/>
        </w:rPr>
      </w:pPr>
      <w:r w:rsidRPr="00C1603D">
        <w:rPr>
          <w:lang w:eastAsia="en-GB"/>
        </w:rPr>
        <w:t>ESPGHAN</w:t>
      </w:r>
      <w:r w:rsidRPr="00C1603D">
        <w:rPr>
          <w:lang w:eastAsia="en-GB"/>
        </w:rPr>
        <w:tab/>
        <w:t xml:space="preserve">European Society </w:t>
      </w:r>
      <w:r w:rsidR="007B344E" w:rsidRPr="00C1603D">
        <w:rPr>
          <w:lang w:eastAsia="en-GB"/>
        </w:rPr>
        <w:t xml:space="preserve">for </w:t>
      </w:r>
      <w:r w:rsidRPr="00C1603D">
        <w:rPr>
          <w:lang w:eastAsia="en-GB"/>
        </w:rPr>
        <w:t>Paediatric Gastroenterology, Hepatology and Nutrition</w:t>
      </w:r>
    </w:p>
    <w:p w14:paraId="2317CE7A" w14:textId="77777777" w:rsidR="008B4DF8" w:rsidRPr="00C1603D" w:rsidRDefault="008B4DF8" w:rsidP="008B4DF8">
      <w:pPr>
        <w:pStyle w:val="19AbbreviationslistPrelimsstyles"/>
        <w:rPr>
          <w:bdr w:val="none" w:sz="0" w:space="0" w:color="auto" w:frame="1"/>
        </w:rPr>
      </w:pPr>
      <w:r w:rsidRPr="00C1603D">
        <w:rPr>
          <w:bdr w:val="none" w:sz="0" w:space="0" w:color="auto" w:frame="1"/>
        </w:rPr>
        <w:t>ESsCD</w:t>
      </w:r>
      <w:r w:rsidRPr="00C1603D">
        <w:rPr>
          <w:bdr w:val="none" w:sz="0" w:space="0" w:color="auto" w:frame="1"/>
        </w:rPr>
        <w:tab/>
        <w:t>European Society for the Study of Coeliac Disease</w:t>
      </w:r>
    </w:p>
    <w:p w14:paraId="6358DB63" w14:textId="0EF3A02E" w:rsidR="008B4DF8" w:rsidRPr="00C1603D" w:rsidRDefault="008B4DF8" w:rsidP="008B4DF8">
      <w:pPr>
        <w:pStyle w:val="19AbbreviationslistPrelimsstyles"/>
        <w:rPr>
          <w:bdr w:val="none" w:sz="0" w:space="0" w:color="auto" w:frame="1"/>
        </w:rPr>
      </w:pPr>
      <w:r w:rsidRPr="00C1603D">
        <w:rPr>
          <w:bdr w:val="none" w:sz="0" w:space="0" w:color="auto" w:frame="1"/>
        </w:rPr>
        <w:t>EVPI</w:t>
      </w:r>
      <w:r w:rsidRPr="00C1603D">
        <w:rPr>
          <w:bdr w:val="none" w:sz="0" w:space="0" w:color="auto" w:frame="1"/>
        </w:rPr>
        <w:tab/>
      </w:r>
      <w:r w:rsidR="007B344E" w:rsidRPr="00C1603D">
        <w:rPr>
          <w:bdr w:val="none" w:sz="0" w:space="0" w:color="auto" w:frame="1"/>
        </w:rPr>
        <w:t>e</w:t>
      </w:r>
      <w:r w:rsidRPr="00C1603D">
        <w:rPr>
          <w:bdr w:val="none" w:sz="0" w:space="0" w:color="auto" w:frame="1"/>
        </w:rPr>
        <w:t>xpected value of perfect information</w:t>
      </w:r>
    </w:p>
    <w:p w14:paraId="62E5403A" w14:textId="7523F9D8" w:rsidR="008B4DF8" w:rsidRPr="00C1603D" w:rsidRDefault="008B4DF8" w:rsidP="008B4DF8">
      <w:pPr>
        <w:pStyle w:val="19AbbreviationslistPrelimsstyles"/>
        <w:rPr>
          <w:bdr w:val="none" w:sz="0" w:space="0" w:color="auto" w:frame="1"/>
        </w:rPr>
      </w:pPr>
      <w:r w:rsidRPr="00C1603D">
        <w:rPr>
          <w:bdr w:val="none" w:sz="0" w:space="0" w:color="auto" w:frame="1"/>
        </w:rPr>
        <w:t>EVPPI</w:t>
      </w:r>
      <w:r w:rsidRPr="00C1603D">
        <w:rPr>
          <w:bdr w:val="none" w:sz="0" w:space="0" w:color="auto" w:frame="1"/>
        </w:rPr>
        <w:tab/>
      </w:r>
      <w:r w:rsidR="007B344E" w:rsidRPr="00C1603D">
        <w:rPr>
          <w:bdr w:val="none" w:sz="0" w:space="0" w:color="auto" w:frame="1"/>
        </w:rPr>
        <w:t>e</w:t>
      </w:r>
      <w:r w:rsidRPr="00C1603D">
        <w:rPr>
          <w:bdr w:val="none" w:sz="0" w:space="0" w:color="auto" w:frame="1"/>
        </w:rPr>
        <w:t>xpected value of partial perfect information</w:t>
      </w:r>
    </w:p>
    <w:p w14:paraId="0171BE8D" w14:textId="716D32E2" w:rsidR="00872332" w:rsidRPr="00C1603D" w:rsidRDefault="00872332" w:rsidP="00872332">
      <w:pPr>
        <w:pStyle w:val="19AbbreviationslistPrelimsstyles"/>
        <w:tabs>
          <w:tab w:val="left" w:pos="1418"/>
        </w:tabs>
        <w:rPr>
          <w:lang w:eastAsia="en-GB"/>
        </w:rPr>
      </w:pPr>
      <w:commentRangeStart w:id="58"/>
      <w:commentRangeStart w:id="59"/>
      <w:r w:rsidRPr="00C1603D">
        <w:rPr>
          <w:lang w:eastAsia="en-GB"/>
        </w:rPr>
        <w:t>GA</w:t>
      </w:r>
      <w:r w:rsidRPr="00C1603D">
        <w:rPr>
          <w:lang w:eastAsia="en-GB"/>
        </w:rPr>
        <w:tab/>
      </w:r>
      <w:r w:rsidRPr="00C1603D">
        <w:rPr>
          <w:bdr w:val="none" w:sz="0" w:space="0" w:color="auto" w:frame="1"/>
        </w:rPr>
        <w:t>gliadin antibodies</w:t>
      </w:r>
      <w:commentRangeEnd w:id="58"/>
      <w:r w:rsidRPr="00C1603D">
        <w:rPr>
          <w:rFonts w:ascii="Times New Roman" w:hAnsi="Times New Roman" w:cs="Times New Roman"/>
          <w:color w:val="auto"/>
          <w:lang w:val="en-US"/>
        </w:rPr>
        <w:commentReference w:id="58"/>
      </w:r>
      <w:commentRangeEnd w:id="59"/>
      <w:r w:rsidRPr="00C1603D">
        <w:commentReference w:id="59"/>
      </w:r>
    </w:p>
    <w:p w14:paraId="02CDCD4D" w14:textId="4515CFFE" w:rsidR="008B4DF8" w:rsidRPr="00C1603D" w:rsidRDefault="00267212" w:rsidP="008B4DF8">
      <w:pPr>
        <w:pStyle w:val="19AbbreviationslistPrelimsstyles"/>
        <w:rPr>
          <w:color w:val="auto"/>
          <w:lang w:eastAsia="en-GB"/>
        </w:rPr>
      </w:pPr>
      <w:r w:rsidRPr="00C1603D">
        <w:rPr>
          <w:lang w:eastAsia="en-GB"/>
        </w:rPr>
        <w:t>GI</w:t>
      </w:r>
      <w:r w:rsidRPr="00C1603D">
        <w:tab/>
      </w:r>
      <w:r w:rsidRPr="00C1603D">
        <w:rPr>
          <w:lang w:eastAsia="en-GB"/>
        </w:rPr>
        <w:t>gastrointestinal</w:t>
      </w:r>
      <w:commentRangeStart w:id="60"/>
      <w:commentRangeStart w:id="61"/>
    </w:p>
    <w:commentRangeEnd w:id="60"/>
    <w:p w14:paraId="5B4E9FE0" w14:textId="44D841C1" w:rsidR="00942D2D" w:rsidRPr="00C1603D" w:rsidRDefault="00721110" w:rsidP="008B4DF8">
      <w:pPr>
        <w:pStyle w:val="19AbbreviationslistPrelimsstyles"/>
        <w:rPr>
          <w:lang w:eastAsia="en-GB"/>
        </w:rPr>
      </w:pPr>
      <w:r w:rsidRPr="00C1603D">
        <w:commentReference w:id="60"/>
      </w:r>
      <w:commentRangeEnd w:id="61"/>
      <w:r w:rsidRPr="00C1603D">
        <w:commentReference w:id="61"/>
      </w:r>
      <w:r w:rsidR="00942D2D" w:rsidRPr="00C1603D">
        <w:rPr>
          <w:lang w:eastAsia="en-GB"/>
        </w:rPr>
        <w:t>GP</w:t>
      </w:r>
      <w:r w:rsidR="00942D2D" w:rsidRPr="00C1603D">
        <w:rPr>
          <w:lang w:eastAsia="en-GB"/>
        </w:rPr>
        <w:tab/>
      </w:r>
      <w:r w:rsidR="00942D2D" w:rsidRPr="00C1603D">
        <w:t>general practitioner</w:t>
      </w:r>
    </w:p>
    <w:p w14:paraId="7D5E41E5" w14:textId="4AD0B5E3" w:rsidR="007D0E87" w:rsidRPr="00C1603D" w:rsidRDefault="007D0E87" w:rsidP="008B4DF8">
      <w:pPr>
        <w:pStyle w:val="19AbbreviationslistPrelimsstyles"/>
        <w:rPr>
          <w:lang w:eastAsia="en-GB"/>
        </w:rPr>
      </w:pPr>
      <w:r w:rsidRPr="00C1603D">
        <w:rPr>
          <w:lang w:eastAsia="en-GB"/>
        </w:rPr>
        <w:t>HES</w:t>
      </w:r>
      <w:r w:rsidRPr="00C1603D">
        <w:rPr>
          <w:lang w:eastAsia="en-GB"/>
        </w:rPr>
        <w:tab/>
        <w:t>Hospital Episode Statistics</w:t>
      </w:r>
    </w:p>
    <w:p w14:paraId="5C781696" w14:textId="4734F09E" w:rsidR="008B4DF8" w:rsidRPr="00C1603D" w:rsidRDefault="008B4DF8" w:rsidP="008B4DF8">
      <w:pPr>
        <w:pStyle w:val="19AbbreviationslistPrelimsstyles"/>
        <w:rPr>
          <w:color w:val="auto"/>
          <w:lang w:eastAsia="en-GB"/>
        </w:rPr>
      </w:pPr>
      <w:r w:rsidRPr="00C1603D">
        <w:rPr>
          <w:lang w:eastAsia="en-GB"/>
        </w:rPr>
        <w:t>HLA</w:t>
      </w:r>
      <w:r w:rsidRPr="00C1603D">
        <w:rPr>
          <w:lang w:eastAsia="en-GB"/>
        </w:rPr>
        <w:tab/>
      </w:r>
      <w:r w:rsidR="008402FC" w:rsidRPr="00C1603D">
        <w:rPr>
          <w:color w:val="auto"/>
          <w:lang w:eastAsia="en-GB"/>
        </w:rPr>
        <w:t>h</w:t>
      </w:r>
      <w:r w:rsidRPr="00C1603D">
        <w:rPr>
          <w:color w:val="auto"/>
          <w:lang w:eastAsia="en-GB"/>
        </w:rPr>
        <w:t>uman leucocyte antigen</w:t>
      </w:r>
    </w:p>
    <w:p w14:paraId="54FFAA20" w14:textId="368FCB72" w:rsidR="00B163BE" w:rsidRPr="00C1603D" w:rsidRDefault="00B163BE" w:rsidP="008B4DF8">
      <w:pPr>
        <w:pStyle w:val="19AbbreviationslistPrelimsstyles"/>
        <w:rPr>
          <w:lang w:eastAsia="en-GB"/>
        </w:rPr>
      </w:pPr>
      <w:r w:rsidRPr="00C1603D">
        <w:rPr>
          <w:lang w:eastAsia="en-GB"/>
        </w:rPr>
        <w:t>IBS</w:t>
      </w:r>
      <w:r w:rsidRPr="00C1603D">
        <w:rPr>
          <w:lang w:eastAsia="en-GB"/>
        </w:rPr>
        <w:tab/>
        <w:t>irritable bowel syndrome</w:t>
      </w:r>
    </w:p>
    <w:p w14:paraId="61C05A9E" w14:textId="72F71E67" w:rsidR="008B4DF8" w:rsidRPr="00C1603D" w:rsidRDefault="008B4DF8" w:rsidP="008B4DF8">
      <w:pPr>
        <w:pStyle w:val="19AbbreviationslistPrelimsstyles"/>
        <w:rPr>
          <w:lang w:eastAsia="en-GB"/>
        </w:rPr>
      </w:pPr>
      <w:r w:rsidRPr="00C1603D">
        <w:rPr>
          <w:lang w:eastAsia="en-GB"/>
        </w:rPr>
        <w:t>ICER</w:t>
      </w:r>
      <w:r w:rsidRPr="00C1603D">
        <w:rPr>
          <w:lang w:eastAsia="en-GB"/>
        </w:rPr>
        <w:tab/>
      </w:r>
      <w:r w:rsidR="00721110" w:rsidRPr="00C1603D">
        <w:rPr>
          <w:lang w:eastAsia="en-GB"/>
        </w:rPr>
        <w:t>incremental cost-effectiveness ratio</w:t>
      </w:r>
    </w:p>
    <w:p w14:paraId="3A5EC9A7" w14:textId="65B082CD" w:rsidR="00033A62" w:rsidRPr="00C1603D" w:rsidRDefault="00033A62" w:rsidP="008B4DF8">
      <w:pPr>
        <w:pStyle w:val="19AbbreviationslistPrelimsstyles"/>
        <w:rPr>
          <w:lang w:eastAsia="en-GB"/>
        </w:rPr>
      </w:pPr>
      <w:r w:rsidRPr="00C1603D">
        <w:rPr>
          <w:lang w:eastAsia="en-GB"/>
        </w:rPr>
        <w:t>ICPC-2</w:t>
      </w:r>
      <w:r w:rsidRPr="00C1603D">
        <w:rPr>
          <w:lang w:eastAsia="en-GB"/>
        </w:rPr>
        <w:tab/>
      </w:r>
      <w:r w:rsidRPr="00C1603D">
        <w:rPr>
          <w:i/>
          <w:iCs/>
          <w:lang w:eastAsia="en-GB"/>
        </w:rPr>
        <w:t>International Classification of Primary Care</w:t>
      </w:r>
      <w:r w:rsidRPr="00C1603D">
        <w:rPr>
          <w:lang w:eastAsia="en-GB"/>
        </w:rPr>
        <w:t xml:space="preserve">, </w:t>
      </w:r>
      <w:proofErr w:type="gramStart"/>
      <w:r w:rsidRPr="00C1603D">
        <w:rPr>
          <w:lang w:eastAsia="en-GB"/>
        </w:rPr>
        <w:t>2nd</w:t>
      </w:r>
      <w:proofErr w:type="gramEnd"/>
      <w:r w:rsidRPr="00C1603D">
        <w:rPr>
          <w:lang w:eastAsia="en-GB"/>
        </w:rPr>
        <w:t xml:space="preserve"> edition</w:t>
      </w:r>
    </w:p>
    <w:p w14:paraId="10AECA7D" w14:textId="3E86A04D" w:rsidR="004C7DD2" w:rsidRPr="00C1603D" w:rsidRDefault="004C7DD2" w:rsidP="008B4DF8">
      <w:pPr>
        <w:pStyle w:val="19AbbreviationslistPrelimsstyles"/>
        <w:rPr>
          <w:lang w:eastAsia="en-GB"/>
        </w:rPr>
      </w:pPr>
      <w:r w:rsidRPr="00C1603D">
        <w:rPr>
          <w:lang w:eastAsia="en-GB"/>
        </w:rPr>
        <w:t>ID</w:t>
      </w:r>
      <w:r w:rsidRPr="00C1603D">
        <w:rPr>
          <w:lang w:eastAsia="en-GB"/>
        </w:rPr>
        <w:tab/>
        <w:t>identification</w:t>
      </w:r>
    </w:p>
    <w:p w14:paraId="2B61545D" w14:textId="1F495223" w:rsidR="008B4DF8" w:rsidRPr="00C1603D" w:rsidRDefault="008B4DF8" w:rsidP="008B4DF8">
      <w:pPr>
        <w:pStyle w:val="19AbbreviationslistPrelimsstyles"/>
        <w:rPr>
          <w:lang w:eastAsia="en-GB"/>
        </w:rPr>
      </w:pPr>
      <w:r w:rsidRPr="00C1603D">
        <w:rPr>
          <w:lang w:eastAsia="en-GB"/>
        </w:rPr>
        <w:t>IDA</w:t>
      </w:r>
      <w:r w:rsidRPr="00C1603D">
        <w:rPr>
          <w:lang w:eastAsia="en-GB"/>
        </w:rPr>
        <w:tab/>
      </w:r>
      <w:r w:rsidR="00721110" w:rsidRPr="00C1603D">
        <w:rPr>
          <w:lang w:eastAsia="en-GB"/>
        </w:rPr>
        <w:t>iron-deficiency anaemia</w:t>
      </w:r>
    </w:p>
    <w:p w14:paraId="01814331" w14:textId="05DA1413" w:rsidR="008B4DF8" w:rsidRPr="00C1603D" w:rsidRDefault="008B4DF8" w:rsidP="008B4DF8">
      <w:pPr>
        <w:pStyle w:val="19AbbreviationslistPrelimsstyles"/>
        <w:rPr>
          <w:lang w:eastAsia="en-GB"/>
        </w:rPr>
      </w:pPr>
      <w:r w:rsidRPr="00C1603D">
        <w:rPr>
          <w:lang w:eastAsia="en-GB"/>
        </w:rPr>
        <w:t>IgA</w:t>
      </w:r>
      <w:r w:rsidRPr="00C1603D">
        <w:rPr>
          <w:lang w:eastAsia="en-GB"/>
        </w:rPr>
        <w:tab/>
      </w:r>
      <w:r w:rsidR="00D77943" w:rsidRPr="00C1603D">
        <w:rPr>
          <w:lang w:eastAsia="en-GB"/>
        </w:rPr>
        <w:t xml:space="preserve">immunoglobulin </w:t>
      </w:r>
      <w:r w:rsidRPr="00C1603D">
        <w:rPr>
          <w:lang w:eastAsia="en-GB"/>
        </w:rPr>
        <w:t>A</w:t>
      </w:r>
    </w:p>
    <w:p w14:paraId="56FB6B31" w14:textId="0C486E61" w:rsidR="008B4DF8" w:rsidRPr="00C1603D" w:rsidRDefault="008B4DF8" w:rsidP="008B4DF8">
      <w:pPr>
        <w:pStyle w:val="19AbbreviationslistPrelimsstyles"/>
        <w:rPr>
          <w:lang w:eastAsia="en-GB"/>
        </w:rPr>
      </w:pPr>
      <w:r w:rsidRPr="00C1603D">
        <w:rPr>
          <w:lang w:eastAsia="en-GB"/>
        </w:rPr>
        <w:t>IgG</w:t>
      </w:r>
      <w:r w:rsidRPr="00C1603D">
        <w:rPr>
          <w:lang w:eastAsia="en-GB"/>
        </w:rPr>
        <w:tab/>
      </w:r>
      <w:r w:rsidR="00721110" w:rsidRPr="00C1603D">
        <w:rPr>
          <w:lang w:eastAsia="en-GB"/>
        </w:rPr>
        <w:t>i</w:t>
      </w:r>
      <w:r w:rsidRPr="00C1603D">
        <w:rPr>
          <w:lang w:eastAsia="en-GB"/>
        </w:rPr>
        <w:t>mmunoglobulin G</w:t>
      </w:r>
    </w:p>
    <w:p w14:paraId="52A63DB8" w14:textId="04ACB76C" w:rsidR="000A76E3" w:rsidRPr="00C1603D" w:rsidRDefault="000A76E3" w:rsidP="008B4DF8">
      <w:pPr>
        <w:pStyle w:val="19AbbreviationslistPrelimsstyles"/>
        <w:rPr>
          <w:lang w:eastAsia="en-GB"/>
        </w:rPr>
      </w:pPr>
      <w:r w:rsidRPr="00C1603D">
        <w:rPr>
          <w:lang w:eastAsia="en-GB"/>
        </w:rPr>
        <w:t>IMD</w:t>
      </w:r>
      <w:r w:rsidRPr="00C1603D">
        <w:rPr>
          <w:lang w:eastAsia="en-GB"/>
        </w:rPr>
        <w:tab/>
        <w:t>Index of Multiple Deprivation</w:t>
      </w:r>
    </w:p>
    <w:p w14:paraId="064C2014" w14:textId="06E559E5" w:rsidR="008B4DF8" w:rsidRPr="00C1603D" w:rsidRDefault="008B4DF8" w:rsidP="008B4DF8">
      <w:pPr>
        <w:pStyle w:val="19AbbreviationslistPrelimsstyles"/>
        <w:rPr>
          <w:lang w:eastAsia="en-GB"/>
        </w:rPr>
      </w:pPr>
      <w:r w:rsidRPr="00C1603D">
        <w:rPr>
          <w:lang w:eastAsia="en-GB"/>
        </w:rPr>
        <w:t>IQ</w:t>
      </w:r>
      <w:r w:rsidR="00EF2949" w:rsidRPr="00C1603D">
        <w:rPr>
          <w:lang w:eastAsia="en-GB"/>
        </w:rPr>
        <w:t>R</w:t>
      </w:r>
      <w:r w:rsidRPr="00C1603D">
        <w:rPr>
          <w:lang w:eastAsia="en-GB"/>
        </w:rPr>
        <w:tab/>
      </w:r>
      <w:r w:rsidR="00EF2949" w:rsidRPr="00C1603D">
        <w:rPr>
          <w:lang w:eastAsia="en-GB"/>
        </w:rPr>
        <w:t>i</w:t>
      </w:r>
      <w:r w:rsidRPr="00C1603D">
        <w:rPr>
          <w:lang w:eastAsia="en-GB"/>
        </w:rPr>
        <w:t>nterquartile range</w:t>
      </w:r>
    </w:p>
    <w:p w14:paraId="404A7BB9" w14:textId="3289B1D8" w:rsidR="00BC16B1" w:rsidRPr="00C1603D" w:rsidRDefault="00BC16B1" w:rsidP="008B4DF8">
      <w:pPr>
        <w:pStyle w:val="19AbbreviationslistPrelimsstyles"/>
        <w:rPr>
          <w:lang w:eastAsia="en-GB"/>
        </w:rPr>
      </w:pPr>
      <w:r w:rsidRPr="00C1603D">
        <w:rPr>
          <w:lang w:eastAsia="en-GB"/>
        </w:rPr>
        <w:t>LASSO</w:t>
      </w:r>
      <w:r w:rsidRPr="00C1603D">
        <w:rPr>
          <w:lang w:eastAsia="en-GB"/>
        </w:rPr>
        <w:tab/>
      </w:r>
      <w:r w:rsidRPr="00C1603D">
        <w:t>least absolute shrinkage and selection operator</w:t>
      </w:r>
    </w:p>
    <w:p w14:paraId="31776613" w14:textId="1A36987C" w:rsidR="008B4DF8" w:rsidRPr="00C1603D" w:rsidRDefault="008B4DF8" w:rsidP="008B4DF8">
      <w:pPr>
        <w:pStyle w:val="19AbbreviationslistPrelimsstyles"/>
        <w:rPr>
          <w:bdr w:val="none" w:sz="0" w:space="0" w:color="auto" w:frame="1"/>
        </w:rPr>
      </w:pPr>
      <w:r w:rsidRPr="00C1603D">
        <w:rPr>
          <w:bdr w:val="none" w:sz="0" w:space="0" w:color="auto" w:frame="1"/>
        </w:rPr>
        <w:t>MLMC</w:t>
      </w:r>
      <w:r w:rsidRPr="00C1603D">
        <w:rPr>
          <w:bdr w:val="none" w:sz="0" w:space="0" w:color="auto" w:frame="1"/>
        </w:rPr>
        <w:tab/>
      </w:r>
      <w:r w:rsidR="00EF2949" w:rsidRPr="00C1603D">
        <w:rPr>
          <w:bdr w:val="none" w:sz="0" w:space="0" w:color="auto" w:frame="1"/>
        </w:rPr>
        <w:t>m</w:t>
      </w:r>
      <w:r w:rsidRPr="00C1603D">
        <w:rPr>
          <w:bdr w:val="none" w:sz="0" w:space="0" w:color="auto" w:frame="1"/>
        </w:rPr>
        <w:t>ultilevel Monte Carlo</w:t>
      </w:r>
    </w:p>
    <w:p w14:paraId="158FE030" w14:textId="085A2CF5" w:rsidR="00CA6B86" w:rsidRPr="00C1603D" w:rsidRDefault="00CA6B86" w:rsidP="008B4DF8">
      <w:pPr>
        <w:pStyle w:val="19AbbreviationslistPrelimsstyles"/>
        <w:rPr>
          <w:bdr w:val="none" w:sz="0" w:space="0" w:color="auto" w:frame="1"/>
        </w:rPr>
      </w:pPr>
      <w:r w:rsidRPr="00C1603D">
        <w:rPr>
          <w:bdr w:val="none" w:sz="0" w:space="0" w:color="auto" w:frame="1"/>
        </w:rPr>
        <w:t>NHL</w:t>
      </w:r>
      <w:r w:rsidRPr="00C1603D">
        <w:rPr>
          <w:bdr w:val="none" w:sz="0" w:space="0" w:color="auto" w:frame="1"/>
        </w:rPr>
        <w:tab/>
      </w:r>
      <w:r w:rsidR="0059495F" w:rsidRPr="00C1603D">
        <w:t>non-Hodgkin lymphoma</w:t>
      </w:r>
    </w:p>
    <w:p w14:paraId="4C93B354" w14:textId="77777777" w:rsidR="008B4DF8" w:rsidRPr="00C1603D" w:rsidRDefault="008B4DF8" w:rsidP="008B4DF8">
      <w:pPr>
        <w:pStyle w:val="19AbbreviationslistPrelimsstyles"/>
        <w:rPr>
          <w:bdr w:val="none" w:sz="0" w:space="0" w:color="auto" w:frame="1"/>
        </w:rPr>
      </w:pPr>
      <w:r w:rsidRPr="00C1603D">
        <w:rPr>
          <w:bdr w:val="none" w:sz="0" w:space="0" w:color="auto" w:frame="1"/>
        </w:rPr>
        <w:t>NICE</w:t>
      </w:r>
      <w:r w:rsidRPr="00C1603D">
        <w:rPr>
          <w:bdr w:val="none" w:sz="0" w:space="0" w:color="auto" w:frame="1"/>
        </w:rPr>
        <w:tab/>
        <w:t>National Institute for Health and Care Excellence</w:t>
      </w:r>
    </w:p>
    <w:p w14:paraId="6F29F6D5" w14:textId="41CAFC5D" w:rsidR="002372EF" w:rsidRPr="00C1603D" w:rsidRDefault="002372EF" w:rsidP="008B4DF8">
      <w:pPr>
        <w:pStyle w:val="19AbbreviationslistPrelimsstyles"/>
      </w:pPr>
      <w:r w:rsidRPr="00C1603D">
        <w:rPr>
          <w:bdr w:val="none" w:sz="0" w:space="0" w:color="auto" w:frame="1"/>
        </w:rPr>
        <w:t>NIH</w:t>
      </w:r>
      <w:r w:rsidRPr="00C1603D">
        <w:rPr>
          <w:bdr w:val="none" w:sz="0" w:space="0" w:color="auto" w:frame="1"/>
        </w:rPr>
        <w:tab/>
      </w:r>
      <w:r w:rsidRPr="00C1603D">
        <w:t>National Institutes of Health</w:t>
      </w:r>
    </w:p>
    <w:p w14:paraId="53E933E0" w14:textId="19220527" w:rsidR="00CC7C18" w:rsidRPr="00C1603D" w:rsidRDefault="00CC7C18" w:rsidP="008B4DF8">
      <w:pPr>
        <w:pStyle w:val="19AbbreviationslistPrelimsstyles"/>
      </w:pPr>
      <w:r w:rsidRPr="00C1603D">
        <w:t>NIHR</w:t>
      </w:r>
      <w:r w:rsidRPr="00C1603D">
        <w:tab/>
        <w:t>National Institute for Health and Care Research</w:t>
      </w:r>
    </w:p>
    <w:p w14:paraId="316E4566" w14:textId="77777777" w:rsidR="00267212" w:rsidRPr="00C1603D" w:rsidRDefault="00267212" w:rsidP="00267212">
      <w:pPr>
        <w:pStyle w:val="19AbbreviationslistPrelimsstyles"/>
      </w:pPr>
      <w:commentRangeStart w:id="62"/>
      <w:commentRangeStart w:id="63"/>
      <w:r w:rsidRPr="00C1603D">
        <w:rPr>
          <w:bdr w:val="none" w:sz="0" w:space="0" w:color="auto" w:frame="1"/>
        </w:rPr>
        <w:t>OGD</w:t>
      </w:r>
      <w:r w:rsidRPr="00C1603D">
        <w:rPr>
          <w:bdr w:val="none" w:sz="0" w:space="0" w:color="auto" w:frame="1"/>
        </w:rPr>
        <w:tab/>
        <w:t>o</w:t>
      </w:r>
      <w:r w:rsidRPr="00C1603D">
        <w:t>esophagogastroduodenoscopy</w:t>
      </w:r>
      <w:commentRangeEnd w:id="62"/>
      <w:r w:rsidRPr="00C1603D">
        <w:rPr>
          <w:rFonts w:ascii="Times New Roman" w:hAnsi="Times New Roman" w:cs="Times New Roman"/>
          <w:color w:val="auto"/>
          <w:lang w:val="en-US"/>
        </w:rPr>
        <w:commentReference w:id="62"/>
      </w:r>
      <w:commentRangeEnd w:id="63"/>
      <w:r w:rsidRPr="00C1603D">
        <w:commentReference w:id="63"/>
      </w:r>
    </w:p>
    <w:p w14:paraId="73A91D9F" w14:textId="5FFE190E" w:rsidR="008B4DF8" w:rsidRPr="00C1603D" w:rsidRDefault="008B4DF8" w:rsidP="008B4DF8">
      <w:pPr>
        <w:pStyle w:val="19AbbreviationslistPrelimsstyles"/>
        <w:rPr>
          <w:lang w:eastAsia="en-GB"/>
        </w:rPr>
      </w:pPr>
      <w:r w:rsidRPr="00C1603D">
        <w:rPr>
          <w:lang w:eastAsia="en-GB"/>
        </w:rPr>
        <w:t>PPV</w:t>
      </w:r>
      <w:r w:rsidRPr="00C1603D">
        <w:rPr>
          <w:lang w:eastAsia="en-GB"/>
        </w:rPr>
        <w:tab/>
      </w:r>
      <w:r w:rsidR="00EF2949" w:rsidRPr="00C1603D">
        <w:rPr>
          <w:lang w:eastAsia="en-GB"/>
        </w:rPr>
        <w:t>positive predictive value</w:t>
      </w:r>
    </w:p>
    <w:p w14:paraId="1DD6E581" w14:textId="2DFF7020" w:rsidR="00060AF1" w:rsidRPr="00C1603D" w:rsidRDefault="00060AF1" w:rsidP="008B4DF8">
      <w:pPr>
        <w:pStyle w:val="19AbbreviationslistPrelimsstyles"/>
        <w:rPr>
          <w:lang w:eastAsia="en-GB"/>
        </w:rPr>
      </w:pPr>
      <w:r w:rsidRPr="00C1603D">
        <w:rPr>
          <w:lang w:eastAsia="en-GB"/>
        </w:rPr>
        <w:t>PRISMA-DTA</w:t>
      </w:r>
      <w:r w:rsidRPr="00C1603D">
        <w:rPr>
          <w:lang w:eastAsia="en-GB"/>
        </w:rPr>
        <w:tab/>
        <w:t xml:space="preserve">Preferred Reporting Items for a Systematic Review and Meta-analysis of Diagnostic </w:t>
      </w:r>
      <w:r w:rsidRPr="00C1603D">
        <w:rPr>
          <w:lang w:eastAsia="en-GB"/>
        </w:rPr>
        <w:lastRenderedPageBreak/>
        <w:t>Test Accuracy Studies</w:t>
      </w:r>
    </w:p>
    <w:p w14:paraId="63570485" w14:textId="206330D3" w:rsidR="008B4DF8" w:rsidRPr="00C1603D" w:rsidRDefault="008B4DF8" w:rsidP="008B4DF8">
      <w:pPr>
        <w:pStyle w:val="19AbbreviationslistPrelimsstyles"/>
        <w:rPr>
          <w:color w:val="auto"/>
          <w:lang w:eastAsia="en-GB"/>
        </w:rPr>
      </w:pPr>
      <w:r w:rsidRPr="00C1603D">
        <w:rPr>
          <w:lang w:eastAsia="en-GB"/>
        </w:rPr>
        <w:t>QALY</w:t>
      </w:r>
      <w:r w:rsidRPr="00C1603D">
        <w:rPr>
          <w:lang w:eastAsia="en-GB"/>
        </w:rPr>
        <w:tab/>
      </w:r>
      <w:r w:rsidR="00EF2949" w:rsidRPr="00C1603D">
        <w:rPr>
          <w:color w:val="auto"/>
          <w:lang w:eastAsia="en-GB"/>
        </w:rPr>
        <w:t>quality-adjusted life-year</w:t>
      </w:r>
    </w:p>
    <w:p w14:paraId="56D57292" w14:textId="4AC6C99C" w:rsidR="0087034D" w:rsidRPr="00C1603D" w:rsidRDefault="0087034D" w:rsidP="008B4DF8">
      <w:pPr>
        <w:pStyle w:val="19AbbreviationslistPrelimsstyles"/>
        <w:rPr>
          <w:lang w:eastAsia="en-GB"/>
        </w:rPr>
      </w:pPr>
      <w:r w:rsidRPr="00C1603D">
        <w:rPr>
          <w:lang w:eastAsia="en-GB"/>
        </w:rPr>
        <w:t>QUADAS-2</w:t>
      </w:r>
      <w:r w:rsidRPr="00C1603D">
        <w:rPr>
          <w:lang w:eastAsia="en-GB"/>
        </w:rPr>
        <w:tab/>
      </w:r>
      <w:r w:rsidRPr="00C1603D">
        <w:t xml:space="preserve">quality assessment of diagnostic accuracy studies </w:t>
      </w:r>
      <w:proofErr w:type="gramStart"/>
      <w:r w:rsidRPr="00C1603D">
        <w:t>2</w:t>
      </w:r>
      <w:proofErr w:type="gramEnd"/>
    </w:p>
    <w:p w14:paraId="0EE005F6" w14:textId="2DA298EC" w:rsidR="008B4DF8" w:rsidRPr="00C1603D" w:rsidRDefault="008B4DF8" w:rsidP="008B4DF8">
      <w:pPr>
        <w:pStyle w:val="19AbbreviationslistPrelimsstyles"/>
        <w:rPr>
          <w:bdr w:val="none" w:sz="0" w:space="0" w:color="auto" w:frame="1"/>
        </w:rPr>
      </w:pPr>
      <w:r w:rsidRPr="00C1603D">
        <w:rPr>
          <w:bdr w:val="none" w:sz="0" w:space="0" w:color="auto" w:frame="1"/>
        </w:rPr>
        <w:t>ROC</w:t>
      </w:r>
      <w:r w:rsidRPr="00C1603D">
        <w:rPr>
          <w:bdr w:val="none" w:sz="0" w:space="0" w:color="auto" w:frame="1"/>
        </w:rPr>
        <w:tab/>
      </w:r>
      <w:r w:rsidR="00EF2949" w:rsidRPr="00C1603D">
        <w:rPr>
          <w:bdr w:val="none" w:sz="0" w:space="0" w:color="auto" w:frame="1"/>
        </w:rPr>
        <w:t>receiver operating characteristic</w:t>
      </w:r>
    </w:p>
    <w:p w14:paraId="6E7F292E" w14:textId="6660205E" w:rsidR="003516C1" w:rsidRPr="00C1603D" w:rsidRDefault="003516C1" w:rsidP="008B4DF8">
      <w:pPr>
        <w:pStyle w:val="19AbbreviationslistPrelimsstyles"/>
        <w:rPr>
          <w:bdr w:val="none" w:sz="0" w:space="0" w:color="auto" w:frame="1"/>
        </w:rPr>
      </w:pPr>
      <w:r w:rsidRPr="00C1603D">
        <w:rPr>
          <w:bdr w:val="none" w:sz="0" w:space="0" w:color="auto" w:frame="1"/>
        </w:rPr>
        <w:t>SD</w:t>
      </w:r>
      <w:r w:rsidRPr="00C1603D">
        <w:rPr>
          <w:bdr w:val="none" w:sz="0" w:space="0" w:color="auto" w:frame="1"/>
        </w:rPr>
        <w:tab/>
        <w:t>standard deviation</w:t>
      </w:r>
    </w:p>
    <w:p w14:paraId="10C6A8B8" w14:textId="77D44704" w:rsidR="00771576" w:rsidRPr="00C1603D" w:rsidRDefault="00771576" w:rsidP="008B4DF8">
      <w:pPr>
        <w:pStyle w:val="19AbbreviationslistPrelimsstyles"/>
        <w:rPr>
          <w:bdr w:val="none" w:sz="0" w:space="0" w:color="auto" w:frame="1"/>
        </w:rPr>
      </w:pPr>
      <w:r w:rsidRPr="00C1603D">
        <w:rPr>
          <w:bdr w:val="none" w:sz="0" w:space="0" w:color="auto" w:frame="1"/>
        </w:rPr>
        <w:t>SE</w:t>
      </w:r>
      <w:r w:rsidRPr="00C1603D">
        <w:rPr>
          <w:bdr w:val="none" w:sz="0" w:space="0" w:color="auto" w:frame="1"/>
        </w:rPr>
        <w:tab/>
      </w:r>
      <w:r w:rsidRPr="00C1603D">
        <w:t>standard error</w:t>
      </w:r>
    </w:p>
    <w:p w14:paraId="4960E857" w14:textId="7FF3DD07" w:rsidR="005E0289" w:rsidRPr="00C1603D" w:rsidRDefault="005E0289" w:rsidP="00F17C88">
      <w:pPr>
        <w:pStyle w:val="19AbbreviationslistPrelimsstyles"/>
        <w:tabs>
          <w:tab w:val="left" w:pos="2694"/>
        </w:tabs>
        <w:rPr>
          <w:bdr w:val="none" w:sz="0" w:space="0" w:color="auto" w:frame="1"/>
        </w:rPr>
      </w:pPr>
      <w:r w:rsidRPr="00C1603D">
        <w:rPr>
          <w:bdr w:val="none" w:sz="0" w:space="0" w:color="auto" w:frame="1"/>
        </w:rPr>
        <w:t>SROC</w:t>
      </w:r>
      <w:r w:rsidRPr="00C1603D">
        <w:rPr>
          <w:bdr w:val="none" w:sz="0" w:space="0" w:color="auto" w:frame="1"/>
        </w:rPr>
        <w:tab/>
      </w:r>
      <w:r w:rsidR="00DC7FCF" w:rsidRPr="00C1603D">
        <w:rPr>
          <w:bdr w:val="none" w:sz="0" w:space="0" w:color="auto" w:frame="1"/>
        </w:rPr>
        <w:t>summary receiver operating characteristic</w:t>
      </w:r>
    </w:p>
    <w:p w14:paraId="03BF82B9" w14:textId="77777777" w:rsidR="008B4DF8" w:rsidRPr="00C1603D" w:rsidRDefault="3CDEEDA7" w:rsidP="008B4DF8">
      <w:pPr>
        <w:pStyle w:val="19AbbreviationslistPrelimsstyles"/>
        <w:rPr>
          <w:lang w:eastAsia="en-GB"/>
        </w:rPr>
      </w:pPr>
      <w:commentRangeStart w:id="64"/>
      <w:commentRangeStart w:id="65"/>
      <w:r w:rsidRPr="00C1603D">
        <w:rPr>
          <w:lang w:eastAsia="en-GB"/>
        </w:rPr>
        <w:t>tTG</w:t>
      </w:r>
      <w:r w:rsidR="008B4DF8" w:rsidRPr="00C1603D">
        <w:tab/>
      </w:r>
      <w:r w:rsidRPr="00C1603D">
        <w:rPr>
          <w:lang w:eastAsia="en-GB"/>
        </w:rPr>
        <w:t>tissue transglutaminase</w:t>
      </w:r>
      <w:commentRangeEnd w:id="64"/>
      <w:r w:rsidR="008B4DF8" w:rsidRPr="00C1603D">
        <w:commentReference w:id="64"/>
      </w:r>
      <w:commentRangeEnd w:id="65"/>
      <w:r w:rsidR="008B4DF8" w:rsidRPr="00C1603D">
        <w:commentReference w:id="65"/>
      </w:r>
    </w:p>
    <w:p w14:paraId="4AB9BECF" w14:textId="07BDD468" w:rsidR="008B4DF8" w:rsidRPr="00C1603D" w:rsidRDefault="008B4DF8" w:rsidP="008B4DF8">
      <w:pPr>
        <w:pStyle w:val="19AbbreviationslistPrelimsstyles"/>
        <w:rPr>
          <w:lang w:eastAsia="en-GB"/>
        </w:rPr>
      </w:pPr>
      <w:r w:rsidRPr="00C1603D">
        <w:rPr>
          <w:lang w:eastAsia="en-GB"/>
        </w:rPr>
        <w:t>UTS</w:t>
      </w:r>
      <w:r w:rsidRPr="00C1603D">
        <w:rPr>
          <w:lang w:eastAsia="en-GB"/>
        </w:rPr>
        <w:tab/>
      </w:r>
      <w:r w:rsidR="00CD5087" w:rsidRPr="00C1603D">
        <w:rPr>
          <w:lang w:eastAsia="en-GB"/>
        </w:rPr>
        <w:t>up to standard</w:t>
      </w:r>
    </w:p>
    <w:p w14:paraId="743E903D" w14:textId="06CF5586" w:rsidR="00766073" w:rsidRPr="00C1603D" w:rsidRDefault="00766073" w:rsidP="008B4DF8">
      <w:pPr>
        <w:pStyle w:val="19AbbreviationslistPrelimsstyles"/>
        <w:rPr>
          <w:lang w:eastAsia="en-GB"/>
        </w:rPr>
      </w:pPr>
      <w:r w:rsidRPr="00C1603D">
        <w:rPr>
          <w:lang w:eastAsia="en-GB"/>
        </w:rPr>
        <w:t>WHO</w:t>
      </w:r>
      <w:r w:rsidRPr="00C1603D">
        <w:rPr>
          <w:lang w:eastAsia="en-GB"/>
        </w:rPr>
        <w:tab/>
      </w:r>
      <w:r w:rsidRPr="00C1603D">
        <w:t>World Health Organization</w:t>
      </w:r>
    </w:p>
    <w:p w14:paraId="52D9D5FA" w14:textId="0C30153F" w:rsidR="008B4DF8" w:rsidRPr="00C1603D" w:rsidRDefault="008B4DF8" w:rsidP="008B4DF8">
      <w:pPr>
        <w:pStyle w:val="43PrelimtitleHeadingsHeadingstyles"/>
      </w:pPr>
      <w:bookmarkStart w:id="66" w:name="_Toc99539789"/>
      <w:r w:rsidRPr="00C1603D">
        <w:t xml:space="preserve">Plain English </w:t>
      </w:r>
      <w:r w:rsidR="00CD5087" w:rsidRPr="00C1603D">
        <w:t>s</w:t>
      </w:r>
      <w:r w:rsidRPr="00C1603D">
        <w:t>ummary</w:t>
      </w:r>
      <w:bookmarkEnd w:id="66"/>
    </w:p>
    <w:p w14:paraId="09F2BC4E" w14:textId="77777777" w:rsidR="008B4DF8" w:rsidRPr="00C1603D" w:rsidRDefault="008B4DF8" w:rsidP="008B4DF8">
      <w:pPr>
        <w:pStyle w:val="52AheadHeadingsHeadingstyles"/>
      </w:pPr>
      <w:bookmarkStart w:id="67" w:name="_Toc99539790"/>
      <w:r w:rsidRPr="00C1603D">
        <w:t>What is the problem?</w:t>
      </w:r>
      <w:bookmarkEnd w:id="67"/>
    </w:p>
    <w:p w14:paraId="402E9FB4" w14:textId="618DFF17" w:rsidR="008B4DF8" w:rsidRPr="00C1603D" w:rsidRDefault="008B4DF8" w:rsidP="008B4DF8">
      <w:pPr>
        <w:pStyle w:val="602TextfoTextstylesTextstyles"/>
      </w:pPr>
      <w:r w:rsidRPr="00C1603D">
        <w:t xml:space="preserve">Around </w:t>
      </w:r>
      <w:r w:rsidR="00B10BA2" w:rsidRPr="00C1603D">
        <w:t>one</w:t>
      </w:r>
      <w:r w:rsidRPr="00C1603D">
        <w:t xml:space="preserve"> in </w:t>
      </w:r>
      <w:proofErr w:type="gramStart"/>
      <w:r w:rsidRPr="00C1603D">
        <w:t>100</w:t>
      </w:r>
      <w:proofErr w:type="gramEnd"/>
      <w:r w:rsidRPr="00C1603D">
        <w:t xml:space="preserve"> people in the UK have coeliac disease. It develops when the immune system attacks the lining of the gut after eating gluten. It</w:t>
      </w:r>
      <w:r w:rsidR="00B10BA2" w:rsidRPr="00C1603D">
        <w:rPr>
          <w:color w:val="00B0F0"/>
        </w:rPr>
        <w:t xml:space="preserve"> i</w:t>
      </w:r>
      <w:r w:rsidRPr="00C1603D">
        <w:t xml:space="preserve">s thought </w:t>
      </w:r>
      <w:r w:rsidR="00B10BA2" w:rsidRPr="00C1603D">
        <w:t xml:space="preserve">that </w:t>
      </w:r>
      <w:r w:rsidRPr="00C1603D">
        <w:t xml:space="preserve">only one in three people with </w:t>
      </w:r>
      <w:r w:rsidR="00B10BA2" w:rsidRPr="00C1603D">
        <w:t>coeliac disease</w:t>
      </w:r>
      <w:r w:rsidRPr="00C1603D">
        <w:t xml:space="preserve"> are currently diagnosed. Without treatment</w:t>
      </w:r>
      <w:r w:rsidR="00B10BA2" w:rsidRPr="00C1603D">
        <w:t>,</w:t>
      </w:r>
      <w:r w:rsidRPr="00C1603D">
        <w:t xml:space="preserve"> people </w:t>
      </w:r>
      <w:r w:rsidR="00B10BA2" w:rsidRPr="00C1603D">
        <w:t xml:space="preserve">with coeliac disease </w:t>
      </w:r>
      <w:r w:rsidRPr="00C1603D">
        <w:t>are at an increased risk of anaemia, osteoporosis and cancer. Treatment is a lifelong gluten</w:t>
      </w:r>
      <w:r w:rsidR="009C51E1" w:rsidRPr="00C1603D">
        <w:t>-</w:t>
      </w:r>
      <w:r w:rsidRPr="00C1603D">
        <w:t>free diet.</w:t>
      </w:r>
    </w:p>
    <w:p w14:paraId="57B18C0A" w14:textId="0B4FD419" w:rsidR="008B4DF8" w:rsidRPr="00C1603D" w:rsidRDefault="008B4DF8" w:rsidP="008B4DF8">
      <w:pPr>
        <w:pStyle w:val="602TextfoTextstylesTextstyles"/>
      </w:pPr>
      <w:r w:rsidRPr="00C1603D">
        <w:t xml:space="preserve">Diagnosing </w:t>
      </w:r>
      <w:r w:rsidR="00B10BA2" w:rsidRPr="00C1603D">
        <w:t>coeliac disease</w:t>
      </w:r>
      <w:r w:rsidRPr="00C1603D">
        <w:t xml:space="preserve"> is difficult. Some people have minimal or non-specific symptoms</w:t>
      </w:r>
      <w:r w:rsidR="009C51E1" w:rsidRPr="00C1603D">
        <w:t>,</w:t>
      </w:r>
      <w:r w:rsidRPr="00C1603D">
        <w:t xml:space="preserve"> such as pain, indigestion or bloating</w:t>
      </w:r>
      <w:r w:rsidR="009C51E1" w:rsidRPr="00C1603D">
        <w:t>,</w:t>
      </w:r>
      <w:r w:rsidRPr="00C1603D">
        <w:t xml:space="preserve"> so knowing who to test is tricky.</w:t>
      </w:r>
    </w:p>
    <w:p w14:paraId="515638B1" w14:textId="77777777" w:rsidR="008B4DF8" w:rsidRPr="00C1603D" w:rsidRDefault="008B4DF8" w:rsidP="008B4DF8">
      <w:pPr>
        <w:pStyle w:val="52AheadHeadingsHeadingstyles"/>
      </w:pPr>
      <w:bookmarkStart w:id="68" w:name="_Toc99539791"/>
      <w:r w:rsidRPr="00C1603D">
        <w:t>What did we do?</w:t>
      </w:r>
      <w:bookmarkEnd w:id="68"/>
    </w:p>
    <w:p w14:paraId="73C9CF11" w14:textId="0EC2A891" w:rsidR="008B4DF8" w:rsidRPr="00C1603D" w:rsidRDefault="008B4DF8" w:rsidP="008B4DF8">
      <w:pPr>
        <w:pStyle w:val="602TextfoTextstylesTextstyles"/>
      </w:pPr>
      <w:r w:rsidRPr="00C1603D">
        <w:t xml:space="preserve">We wanted to establish who should be tested for </w:t>
      </w:r>
      <w:r w:rsidR="00B10BA2" w:rsidRPr="00C1603D">
        <w:t>coeliac disease</w:t>
      </w:r>
      <w:r w:rsidRPr="00C1603D">
        <w:t xml:space="preserve">, what tests should be used and whether </w:t>
      </w:r>
      <w:r w:rsidR="009C51E1" w:rsidRPr="00C1603D">
        <w:t xml:space="preserve">or not </w:t>
      </w:r>
      <w:r w:rsidRPr="00C1603D">
        <w:t>invasive testing (a gut biopsy) is necessary for everyone. We looked at existing studies</w:t>
      </w:r>
      <w:r w:rsidR="009C51E1" w:rsidRPr="00C1603D">
        <w:t xml:space="preserve"> and</w:t>
      </w:r>
      <w:r w:rsidRPr="00C1603D">
        <w:t xml:space="preserve"> data from </w:t>
      </w:r>
      <w:proofErr w:type="gramStart"/>
      <w:r w:rsidR="009C51E1" w:rsidRPr="00C1603D">
        <w:t>general</w:t>
      </w:r>
      <w:r w:rsidRPr="00C1603D">
        <w:t xml:space="preserve"> practices</w:t>
      </w:r>
      <w:proofErr w:type="gramEnd"/>
      <w:r w:rsidRPr="00C1603D">
        <w:t>,</w:t>
      </w:r>
      <w:r w:rsidR="009C51E1" w:rsidRPr="00C1603D">
        <w:t xml:space="preserve"> and conducted</w:t>
      </w:r>
      <w:r w:rsidRPr="00C1603D">
        <w:t xml:space="preserve"> an online survey, and brought everything together in an economic (cost) analysis.</w:t>
      </w:r>
    </w:p>
    <w:p w14:paraId="2019A72E" w14:textId="77777777" w:rsidR="008B4DF8" w:rsidRPr="00C1603D" w:rsidRDefault="008B4DF8" w:rsidP="008B4DF8">
      <w:pPr>
        <w:pStyle w:val="52AheadHeadingsHeadingstyles"/>
      </w:pPr>
      <w:bookmarkStart w:id="69" w:name="_Toc99539792"/>
      <w:r w:rsidRPr="00C1603D">
        <w:t>What did we find?</w:t>
      </w:r>
      <w:bookmarkEnd w:id="69"/>
    </w:p>
    <w:p w14:paraId="132F47AF" w14:textId="5E4E1173" w:rsidR="008B4DF8" w:rsidRPr="00C1603D" w:rsidRDefault="008B4DF8" w:rsidP="008B4DF8">
      <w:pPr>
        <w:pStyle w:val="602TextfoTextstylesTextstyles"/>
      </w:pPr>
      <w:r w:rsidRPr="00C1603D">
        <w:t>Using i</w:t>
      </w:r>
      <w:r w:rsidRPr="00C1603D" w:rsidDel="008B72FC">
        <w:t xml:space="preserve">ndividual symptoms </w:t>
      </w:r>
      <w:r w:rsidRPr="00C1603D">
        <w:rPr>
          <w:color w:val="00B0F0"/>
        </w:rPr>
        <w:t>is not</w:t>
      </w:r>
      <w:r w:rsidRPr="00C1603D" w:rsidDel="008B72FC">
        <w:t xml:space="preserve"> helpful to identify people who may have </w:t>
      </w:r>
      <w:r w:rsidR="00B10BA2" w:rsidRPr="00C1603D">
        <w:t>coeliac disease</w:t>
      </w:r>
      <w:r w:rsidRPr="00C1603D">
        <w:t xml:space="preserve">. People with </w:t>
      </w:r>
      <w:r w:rsidR="00B10BA2" w:rsidRPr="00C1603D">
        <w:t>coeliac disease</w:t>
      </w:r>
      <w:r w:rsidRPr="00C1603D">
        <w:t xml:space="preserve"> are more likely to have a combination of symptoms</w:t>
      </w:r>
      <w:r w:rsidRPr="00C1603D" w:rsidDel="008B72FC">
        <w:t xml:space="preserve">. People with anaemia, </w:t>
      </w:r>
      <w:r w:rsidRPr="00C1603D">
        <w:t xml:space="preserve">type 1 diabetes, </w:t>
      </w:r>
      <w:r w:rsidRPr="00C1603D" w:rsidDel="008B72FC">
        <w:t xml:space="preserve">osteoporosis, thyroid disorders, </w:t>
      </w:r>
      <w:r w:rsidR="00350B2A" w:rsidRPr="00C1603D">
        <w:rPr>
          <w:lang w:eastAsia="en-GB"/>
        </w:rPr>
        <w:t>immunoglobulin A</w:t>
      </w:r>
      <w:r w:rsidR="00350B2A" w:rsidRPr="00C1603D" w:rsidDel="008B72FC">
        <w:t xml:space="preserve"> </w:t>
      </w:r>
      <w:r w:rsidRPr="00C1603D" w:rsidDel="008B72FC">
        <w:t>deficiency, Down</w:t>
      </w:r>
      <w:r w:rsidR="00243AC8" w:rsidRPr="00C1603D">
        <w:t xml:space="preserve"> syndrome,</w:t>
      </w:r>
      <w:r w:rsidRPr="00C1603D" w:rsidDel="008B72FC">
        <w:t xml:space="preserve"> </w:t>
      </w:r>
      <w:r w:rsidRPr="00C1603D">
        <w:t xml:space="preserve">Turner </w:t>
      </w:r>
      <w:r w:rsidRPr="00C1603D" w:rsidDel="008B72FC">
        <w:t>syndrome</w:t>
      </w:r>
      <w:r w:rsidRPr="00C1603D">
        <w:t xml:space="preserve"> or</w:t>
      </w:r>
      <w:r w:rsidRPr="00C1603D" w:rsidDel="008B72FC">
        <w:t xml:space="preserve"> a family history of </w:t>
      </w:r>
      <w:r w:rsidR="00B10BA2" w:rsidRPr="00C1603D">
        <w:t>coeliac disease</w:t>
      </w:r>
      <w:r w:rsidRPr="00C1603D" w:rsidDel="008B72FC">
        <w:t xml:space="preserve"> </w:t>
      </w:r>
      <w:r w:rsidRPr="00C1603D">
        <w:t>are more likely to have</w:t>
      </w:r>
      <w:r w:rsidRPr="00C1603D" w:rsidDel="008B72FC">
        <w:t xml:space="preserve"> </w:t>
      </w:r>
      <w:r w:rsidR="00B10BA2" w:rsidRPr="00C1603D">
        <w:t>coeliac disease</w:t>
      </w:r>
      <w:r w:rsidRPr="00C1603D">
        <w:t xml:space="preserve"> and </w:t>
      </w:r>
      <w:r w:rsidRPr="00C1603D" w:rsidDel="008B72FC">
        <w:t>should be offered tests.</w:t>
      </w:r>
    </w:p>
    <w:p w14:paraId="17DDD25A" w14:textId="695DBFA7" w:rsidR="008B4DF8" w:rsidRPr="00C1603D" w:rsidRDefault="008B4DF8" w:rsidP="008B4DF8">
      <w:pPr>
        <w:pStyle w:val="602TextfoTextstylesTextstyles"/>
      </w:pPr>
      <w:r w:rsidRPr="00C1603D">
        <w:t xml:space="preserve">Common blood tests for </w:t>
      </w:r>
      <w:r w:rsidR="00B10BA2" w:rsidRPr="00C1603D">
        <w:t>coeliac disease</w:t>
      </w:r>
      <w:r w:rsidRPr="00C1603D">
        <w:t xml:space="preserve"> are </w:t>
      </w:r>
      <w:proofErr w:type="gramStart"/>
      <w:r w:rsidRPr="00C1603D">
        <w:t>very accurate</w:t>
      </w:r>
      <w:proofErr w:type="gramEnd"/>
      <w:r w:rsidRPr="00C1603D">
        <w:t xml:space="preserve">, particularly when used in combination with genetic testing. Blood tests alone can be used for diagnosis </w:t>
      </w:r>
      <w:r w:rsidR="0087034D" w:rsidRPr="00C1603D">
        <w:t>for</w:t>
      </w:r>
      <w:r w:rsidRPr="00C1603D">
        <w:t xml:space="preserve"> some people. Others will need a biopsy to confirm the diagnosis. Whether</w:t>
      </w:r>
      <w:r w:rsidR="0087034D" w:rsidRPr="00C1603D">
        <w:t xml:space="preserve"> or not</w:t>
      </w:r>
      <w:r w:rsidRPr="00C1603D">
        <w:t xml:space="preserve"> this is needed depends on their risk of </w:t>
      </w:r>
      <w:r w:rsidR="00B10BA2" w:rsidRPr="00C1603D">
        <w:t>coeliac disease</w:t>
      </w:r>
      <w:r w:rsidR="0087034D" w:rsidRPr="00C1603D">
        <w:rPr>
          <w:color w:val="00B0F0"/>
        </w:rPr>
        <w:t>:</w:t>
      </w:r>
      <w:r w:rsidRPr="00C1603D">
        <w:rPr>
          <w:color w:val="00B0F0"/>
        </w:rPr>
        <w:t xml:space="preserve"> </w:t>
      </w:r>
      <w:r w:rsidRPr="00C1603D">
        <w:t xml:space="preserve">whether </w:t>
      </w:r>
      <w:r w:rsidR="0087034D" w:rsidRPr="00C1603D">
        <w:t xml:space="preserve">or not </w:t>
      </w:r>
      <w:r w:rsidRPr="00C1603D">
        <w:t>they have symptoms and whether</w:t>
      </w:r>
      <w:r w:rsidR="0087034D" w:rsidRPr="00C1603D">
        <w:t xml:space="preserve"> or not</w:t>
      </w:r>
      <w:r w:rsidRPr="00C1603D">
        <w:t xml:space="preserve"> they have a condition that puts them at higher risk. Shared </w:t>
      </w:r>
      <w:r w:rsidRPr="00C1603D">
        <w:rPr>
          <w:color w:val="00B0F0"/>
        </w:rPr>
        <w:t>decision-mak</w:t>
      </w:r>
      <w:r w:rsidRPr="00C1603D">
        <w:t>ing is important for individuals considering an invasive test, depending on how certain they want to be about their diagnosis before starting a gluten</w:t>
      </w:r>
      <w:r w:rsidR="0087034D" w:rsidRPr="00C1603D">
        <w:t>-</w:t>
      </w:r>
      <w:r w:rsidRPr="00C1603D">
        <w:t>free diet.</w:t>
      </w:r>
    </w:p>
    <w:p w14:paraId="33DB8F01" w14:textId="72E71974" w:rsidR="008B4DF8" w:rsidRPr="00C1603D" w:rsidRDefault="008B4DF8" w:rsidP="008B4DF8">
      <w:pPr>
        <w:pStyle w:val="43PrelimtitleHeadingsHeadingstyles"/>
      </w:pPr>
      <w:bookmarkStart w:id="70" w:name="_Toc99539793"/>
      <w:r w:rsidRPr="00C1603D">
        <w:lastRenderedPageBreak/>
        <w:t xml:space="preserve">Scientific </w:t>
      </w:r>
      <w:r w:rsidR="00B10BA2" w:rsidRPr="00C1603D">
        <w:t>s</w:t>
      </w:r>
      <w:r w:rsidRPr="00C1603D">
        <w:t>ummary</w:t>
      </w:r>
      <w:bookmarkEnd w:id="70"/>
    </w:p>
    <w:p w14:paraId="0909D7B5" w14:textId="77777777" w:rsidR="008B4DF8" w:rsidRPr="00C1603D" w:rsidRDefault="008B4DF8" w:rsidP="008B4DF8">
      <w:pPr>
        <w:pStyle w:val="52AheadHeadingsHeadingstyles"/>
      </w:pPr>
      <w:bookmarkStart w:id="71" w:name="_Toc87550926"/>
      <w:bookmarkStart w:id="72" w:name="_Toc99539794"/>
      <w:r w:rsidRPr="00C1603D">
        <w:t>Background</w:t>
      </w:r>
      <w:bookmarkEnd w:id="71"/>
      <w:bookmarkEnd w:id="72"/>
    </w:p>
    <w:p w14:paraId="59A4F306" w14:textId="60016F41" w:rsidR="008B4DF8" w:rsidRPr="00C1603D" w:rsidRDefault="008B4DF8" w:rsidP="008B4DF8">
      <w:pPr>
        <w:pStyle w:val="602TextfoTextstylesTextstyles"/>
      </w:pPr>
      <w:r w:rsidRPr="00C1603D">
        <w:t xml:space="preserve">Coeliac disease (CD) is an autoimmune disorder, triggered by the protein gluten, and affects an estimated 1% of the UK population. Some </w:t>
      </w:r>
      <w:r w:rsidR="0087034D" w:rsidRPr="00C1603D">
        <w:t>people</w:t>
      </w:r>
      <w:r w:rsidRPr="00C1603D">
        <w:t xml:space="preserve"> with CD may have minimal symptoms</w:t>
      </w:r>
      <w:r w:rsidR="0087034D" w:rsidRPr="00C1603D">
        <w:t>;</w:t>
      </w:r>
      <w:r w:rsidRPr="00C1603D">
        <w:t xml:space="preserve"> others present with non-specific symptoms, making diagnosis difficult</w:t>
      </w:r>
      <w:r w:rsidR="0087034D" w:rsidRPr="00C1603D">
        <w:t>:</w:t>
      </w:r>
      <w:r w:rsidRPr="00C1603D">
        <w:t xml:space="preserve"> only </w:t>
      </w:r>
      <w:r w:rsidR="0087034D" w:rsidRPr="00C1603D">
        <w:t>one</w:t>
      </w:r>
      <w:r w:rsidRPr="00C1603D">
        <w:t xml:space="preserve"> in </w:t>
      </w:r>
      <w:r w:rsidR="0087034D" w:rsidRPr="00C1603D">
        <w:t>three</w:t>
      </w:r>
      <w:r w:rsidRPr="00C1603D">
        <w:t xml:space="preserve"> are thought to be diagnosed. Treatment for CD is lifetime adherence to a gluten-free diet. Untreated CD may lead to persistent symptoms, anaemia, osteoporosis and</w:t>
      </w:r>
      <w:r w:rsidR="0087034D" w:rsidRPr="00C1603D">
        <w:t>,</w:t>
      </w:r>
      <w:r w:rsidRPr="00C1603D">
        <w:t xml:space="preserve"> occasionally</w:t>
      </w:r>
      <w:r w:rsidR="0087034D" w:rsidRPr="00C1603D">
        <w:t>,</w:t>
      </w:r>
      <w:r w:rsidRPr="00C1603D">
        <w:t xml:space="preserve"> lymphoma. Guidelines recommend that adults and children </w:t>
      </w:r>
      <w:r w:rsidR="0087034D" w:rsidRPr="00C1603D">
        <w:t>‘</w:t>
      </w:r>
      <w:r w:rsidRPr="00C1603D">
        <w:t xml:space="preserve">at </w:t>
      </w:r>
      <w:proofErr w:type="gramStart"/>
      <w:r w:rsidRPr="00C1603D">
        <w:t>high risk</w:t>
      </w:r>
      <w:proofErr w:type="gramEnd"/>
      <w:r w:rsidR="0087034D" w:rsidRPr="00C1603D">
        <w:t>’</w:t>
      </w:r>
      <w:r w:rsidRPr="00C1603D">
        <w:t xml:space="preserve"> of CD should be offered testing. However, it is not clear which groups are at sufficiently </w:t>
      </w:r>
      <w:proofErr w:type="gramStart"/>
      <w:r w:rsidRPr="00C1603D">
        <w:t>high risk</w:t>
      </w:r>
      <w:proofErr w:type="gramEnd"/>
      <w:r w:rsidRPr="00C1603D">
        <w:t xml:space="preserve"> to justify testing, which symptoms should prompt testing, which tests should be offered </w:t>
      </w:r>
      <w:r w:rsidR="0087034D" w:rsidRPr="00C1603D">
        <w:t>or</w:t>
      </w:r>
      <w:r w:rsidRPr="00C1603D">
        <w:t xml:space="preserve"> </w:t>
      </w:r>
      <w:r w:rsidR="0087034D" w:rsidRPr="00C1603D">
        <w:t xml:space="preserve">if </w:t>
      </w:r>
      <w:r w:rsidRPr="00C1603D">
        <w:t>confirmatory biopsy is necessary.</w:t>
      </w:r>
    </w:p>
    <w:p w14:paraId="280C16D5" w14:textId="77777777" w:rsidR="008B4DF8" w:rsidRPr="00C1603D" w:rsidRDefault="008B4DF8" w:rsidP="008B4DF8">
      <w:pPr>
        <w:pStyle w:val="52AheadHeadingsHeadingstyles"/>
      </w:pPr>
      <w:bookmarkStart w:id="73" w:name="_Toc87550927"/>
      <w:bookmarkStart w:id="74" w:name="_Toc99539795"/>
      <w:r w:rsidRPr="00C1603D">
        <w:t>Objectives</w:t>
      </w:r>
      <w:bookmarkEnd w:id="73"/>
      <w:bookmarkEnd w:id="74"/>
    </w:p>
    <w:p w14:paraId="72D4A133" w14:textId="3184D925" w:rsidR="008B4DF8" w:rsidRPr="00C1603D" w:rsidRDefault="008B4DF8" w:rsidP="008B4DF8">
      <w:pPr>
        <w:pStyle w:val="602TextfoTextstylesTextstyles"/>
      </w:pPr>
      <w:bookmarkStart w:id="75" w:name="_Toc87550928"/>
      <w:r w:rsidRPr="00C1603D">
        <w:t xml:space="preserve">The overall aim of this project </w:t>
      </w:r>
      <w:r w:rsidR="0087034D" w:rsidRPr="00C1603D">
        <w:t>wa</w:t>
      </w:r>
      <w:r w:rsidRPr="00C1603D">
        <w:t>s to define at</w:t>
      </w:r>
      <w:r w:rsidR="0087034D" w:rsidRPr="00C1603D">
        <w:t>-</w:t>
      </w:r>
      <w:r w:rsidRPr="00C1603D">
        <w:t>risk groups and determine the cost-effectiveness of active case</w:t>
      </w:r>
      <w:r w:rsidR="0087034D" w:rsidRPr="00C1603D">
        <w:t>-</w:t>
      </w:r>
      <w:r w:rsidRPr="00C1603D">
        <w:t>finding in primary care.</w:t>
      </w:r>
    </w:p>
    <w:p w14:paraId="623907BA" w14:textId="77777777" w:rsidR="008B4DF8" w:rsidRPr="00C1603D" w:rsidRDefault="008B4DF8" w:rsidP="008B4DF8">
      <w:pPr>
        <w:pStyle w:val="602TextfoTextstylesTextstyles"/>
      </w:pPr>
      <w:r w:rsidRPr="00C1603D">
        <w:t>We defined the following objectives to address this overall aim:</w:t>
      </w:r>
    </w:p>
    <w:p w14:paraId="40EA617B" w14:textId="471B0C32" w:rsidR="008B4DF8" w:rsidRPr="00C1603D" w:rsidRDefault="3CDEEDA7" w:rsidP="0087034D">
      <w:pPr>
        <w:pStyle w:val="621TextnumberedlistTextstylesTextstyles"/>
      </w:pPr>
      <w:commentRangeStart w:id="76"/>
      <w:commentRangeStart w:id="77"/>
      <w:r w:rsidRPr="00C1603D">
        <w:t>systematic review of the accuracy of potential diagnostic indicators for CD</w:t>
      </w:r>
    </w:p>
    <w:p w14:paraId="7AAA8FA2" w14:textId="6275EE70" w:rsidR="008B4DF8" w:rsidRPr="00C1603D" w:rsidRDefault="0087034D" w:rsidP="0087034D">
      <w:pPr>
        <w:pStyle w:val="621TextnumberedlistTextstylesTextstyles"/>
      </w:pPr>
      <w:r w:rsidRPr="00C1603D">
        <w:t xml:space="preserve">routine </w:t>
      </w:r>
      <w:r w:rsidR="008B4DF8" w:rsidRPr="00C1603D">
        <w:t xml:space="preserve">data analysis to develop a prediction model </w:t>
      </w:r>
      <w:r w:rsidR="00662AE6" w:rsidRPr="00C1603D">
        <w:t>to identify</w:t>
      </w:r>
      <w:r w:rsidR="008B4DF8" w:rsidRPr="00C1603D">
        <w:t xml:space="preserve"> people who should be tested for </w:t>
      </w:r>
      <w:r w:rsidRPr="00C1603D">
        <w:t>CD</w:t>
      </w:r>
    </w:p>
    <w:p w14:paraId="7C5545E4" w14:textId="2A768407" w:rsidR="008B4DF8" w:rsidRPr="00C1603D" w:rsidRDefault="0087034D" w:rsidP="0087034D">
      <w:pPr>
        <w:pStyle w:val="621TextnumberedlistTextstylesTextstyles"/>
      </w:pPr>
      <w:r w:rsidRPr="00C1603D">
        <w:t xml:space="preserve">systematic </w:t>
      </w:r>
      <w:r w:rsidR="008B4DF8" w:rsidRPr="00C1603D">
        <w:t xml:space="preserve">review of the accuracy of diagnostic tests for </w:t>
      </w:r>
      <w:r w:rsidRPr="00C1603D">
        <w:t>CD</w:t>
      </w:r>
    </w:p>
    <w:p w14:paraId="6E672866" w14:textId="5E86F6AF" w:rsidR="008B4DF8" w:rsidRPr="00C1603D" w:rsidRDefault="0087034D" w:rsidP="0087034D">
      <w:pPr>
        <w:pStyle w:val="621TextnumberedlistTextstylesTextstyles"/>
      </w:pPr>
      <w:r w:rsidRPr="00C1603D">
        <w:t xml:space="preserve">systematic </w:t>
      </w:r>
      <w:r w:rsidR="008B4DF8" w:rsidRPr="00C1603D">
        <w:t xml:space="preserve">review of the accuracy of genetic tests for </w:t>
      </w:r>
      <w:r w:rsidRPr="00C1603D">
        <w:t>CD</w:t>
      </w:r>
    </w:p>
    <w:p w14:paraId="0685B28A" w14:textId="699D5544" w:rsidR="008B4DF8" w:rsidRPr="00C1603D" w:rsidRDefault="0087034D" w:rsidP="0087034D">
      <w:pPr>
        <w:pStyle w:val="621TextnumberedlistTextstylesTextstyles"/>
      </w:pPr>
      <w:r w:rsidRPr="00C1603D">
        <w:t xml:space="preserve">online </w:t>
      </w:r>
      <w:r w:rsidR="008B4DF8" w:rsidRPr="00C1603D">
        <w:t>survey to identify diagnostic thresholds for testing, starting treatment and referral for biopsy</w:t>
      </w:r>
    </w:p>
    <w:p w14:paraId="521F17BF" w14:textId="603BE41E" w:rsidR="008B4DF8" w:rsidRPr="00C1603D" w:rsidRDefault="3CDEEDA7" w:rsidP="0087034D">
      <w:pPr>
        <w:pStyle w:val="6211TextnumberedlistlastTextstylesTextstyles"/>
      </w:pPr>
      <w:r w:rsidRPr="00C1603D">
        <w:t>economic modelling to identify the cost-effectiveness of different active case-finding strategies, informed by the findings of the previous objectives.</w:t>
      </w:r>
      <w:commentRangeEnd w:id="76"/>
      <w:r w:rsidR="0087034D" w:rsidRPr="00C1603D">
        <w:commentReference w:id="76"/>
      </w:r>
      <w:commentRangeEnd w:id="77"/>
      <w:r w:rsidR="0087034D" w:rsidRPr="00C1603D">
        <w:commentReference w:id="77"/>
      </w:r>
    </w:p>
    <w:p w14:paraId="0DDEDC65" w14:textId="77777777" w:rsidR="008B4DF8" w:rsidRPr="00C1603D" w:rsidRDefault="008B4DF8" w:rsidP="008B4DF8">
      <w:pPr>
        <w:pStyle w:val="52AheadHeadingsHeadingstyles"/>
      </w:pPr>
      <w:bookmarkStart w:id="78" w:name="_Toc99539796"/>
      <w:r w:rsidRPr="00C1603D">
        <w:t>Methods</w:t>
      </w:r>
      <w:bookmarkEnd w:id="75"/>
      <w:bookmarkEnd w:id="78"/>
    </w:p>
    <w:p w14:paraId="39B9D8A5" w14:textId="77777777" w:rsidR="008B4DF8" w:rsidRPr="00C1603D" w:rsidRDefault="008B4DF8" w:rsidP="008B4DF8">
      <w:pPr>
        <w:pStyle w:val="53BheadHeadingsHeadingstyles"/>
      </w:pPr>
      <w:bookmarkStart w:id="79" w:name="_Toc99539797"/>
      <w:r w:rsidRPr="00C1603D">
        <w:t>Accuracy of diagnostic indicators</w:t>
      </w:r>
      <w:bookmarkEnd w:id="79"/>
    </w:p>
    <w:p w14:paraId="29B9167F" w14:textId="5ACF7339" w:rsidR="008B4DF8" w:rsidRPr="00C1603D" w:rsidRDefault="008B4DF8" w:rsidP="008B4DF8">
      <w:pPr>
        <w:pStyle w:val="602TextfoTextstylesTextstyles"/>
      </w:pPr>
      <w:r w:rsidRPr="00C1603D">
        <w:t xml:space="preserve">For the first review, six databases were searched from January 1990 to April 2021. Studies investigating diagnostic indicators, such as symptoms or risk conditions, </w:t>
      </w:r>
      <w:r w:rsidR="0087034D" w:rsidRPr="00C1603D">
        <w:t>among</w:t>
      </w:r>
      <w:r w:rsidRPr="00C1603D">
        <w:t xml:space="preserve"> people with and </w:t>
      </w:r>
      <w:r w:rsidR="0087034D" w:rsidRPr="00C1603D">
        <w:t xml:space="preserve">people </w:t>
      </w:r>
      <w:r w:rsidRPr="00C1603D">
        <w:t>without CD were eligible for inclusion. International guidance for systematic review methods were followed and the reviews were registered at PROSPERO. Risk</w:t>
      </w:r>
      <w:r w:rsidR="0087034D" w:rsidRPr="00C1603D">
        <w:t>-</w:t>
      </w:r>
      <w:r w:rsidRPr="00C1603D">
        <w:t>of</w:t>
      </w:r>
      <w:r w:rsidR="0087034D" w:rsidRPr="00C1603D">
        <w:t>-</w:t>
      </w:r>
      <w:r w:rsidRPr="00C1603D">
        <w:t>bias assessment</w:t>
      </w:r>
      <w:r w:rsidR="0087034D" w:rsidRPr="00C1603D">
        <w:t>s</w:t>
      </w:r>
      <w:r w:rsidRPr="00C1603D">
        <w:t xml:space="preserve"> w</w:t>
      </w:r>
      <w:r w:rsidR="0087034D" w:rsidRPr="00C1603D">
        <w:t>ere</w:t>
      </w:r>
      <w:r w:rsidRPr="00C1603D">
        <w:t xml:space="preserve"> performed using </w:t>
      </w:r>
      <w:r w:rsidR="0087034D" w:rsidRPr="00C1603D">
        <w:t>the quality assessment of diagnostic accuracy studies 2 (</w:t>
      </w:r>
      <w:r w:rsidRPr="00C1603D">
        <w:t>QUADA</w:t>
      </w:r>
      <w:r w:rsidRPr="00C1603D">
        <w:rPr>
          <w:color w:val="00B0F0"/>
        </w:rPr>
        <w:t>S-2</w:t>
      </w:r>
      <w:r w:rsidR="0087034D" w:rsidRPr="00C1603D">
        <w:rPr>
          <w:color w:val="00B0F0"/>
        </w:rPr>
        <w:t>) tool</w:t>
      </w:r>
      <w:r w:rsidRPr="00C1603D">
        <w:t>. Bivariate random</w:t>
      </w:r>
      <w:r w:rsidR="0087034D" w:rsidRPr="00C1603D">
        <w:t>-</w:t>
      </w:r>
      <w:r w:rsidRPr="00C1603D">
        <w:t>effects meta-analyses were used to pool sensitivity and specificity across studies.</w:t>
      </w:r>
    </w:p>
    <w:p w14:paraId="3CA0D6D6" w14:textId="77777777" w:rsidR="008B4DF8" w:rsidRPr="00C1603D" w:rsidRDefault="008B4DF8" w:rsidP="008B4DF8">
      <w:pPr>
        <w:pStyle w:val="53BheadHeadingsHeadingstyles"/>
      </w:pPr>
      <w:bookmarkStart w:id="80" w:name="_Toc99539798"/>
      <w:r w:rsidRPr="00C1603D">
        <w:t>Prediction model development</w:t>
      </w:r>
      <w:bookmarkEnd w:id="80"/>
    </w:p>
    <w:p w14:paraId="015E9B46" w14:textId="4870B520" w:rsidR="008B4DF8" w:rsidRPr="00C1603D" w:rsidRDefault="008B4DF8" w:rsidP="008B4DF8">
      <w:pPr>
        <w:pStyle w:val="602TextfoTextstylesTextstyles"/>
      </w:pPr>
      <w:r w:rsidRPr="00C1603D">
        <w:t xml:space="preserve">For the prediction models, we used three </w:t>
      </w:r>
      <w:r w:rsidRPr="00C1603D">
        <w:rPr>
          <w:color w:val="00B0F0"/>
        </w:rPr>
        <w:t>data set</w:t>
      </w:r>
      <w:r w:rsidRPr="00C1603D">
        <w:t xml:space="preserve">s: two primary care databases </w:t>
      </w:r>
      <w:r w:rsidR="0087034D" w:rsidRPr="00C1603D">
        <w:t>(</w:t>
      </w:r>
      <w:r w:rsidRPr="00C1603D">
        <w:t>Clinical Practice Research Datalink Gold and Aurum</w:t>
      </w:r>
      <w:r w:rsidR="0087034D" w:rsidRPr="00C1603D">
        <w:t>)</w:t>
      </w:r>
      <w:r w:rsidRPr="00C1603D">
        <w:t xml:space="preserve"> containing routinely collected primary care data, and a subcohort of the Avon Longitudinal Study of Parents and Children. We fitted logistic regression models with CD as the outcome and multiple diagnostic indicators as predictors. From the results, we produced estimates of discrimination and calibration of the models, the accuracy of predictions at different thresholds and the percentage of </w:t>
      </w:r>
      <w:r w:rsidR="007C4165" w:rsidRPr="00C1603D">
        <w:t xml:space="preserve">people with </w:t>
      </w:r>
      <w:r w:rsidRPr="00C1603D">
        <w:t xml:space="preserve">CD </w:t>
      </w:r>
      <w:r w:rsidR="007C4165" w:rsidRPr="00C1603D">
        <w:t xml:space="preserve">who were </w:t>
      </w:r>
      <w:r w:rsidRPr="00C1603D">
        <w:t>missed at these thresholds.</w:t>
      </w:r>
    </w:p>
    <w:p w14:paraId="25778381" w14:textId="77777777" w:rsidR="008B4DF8" w:rsidRPr="00C1603D" w:rsidRDefault="008B4DF8" w:rsidP="008B4DF8">
      <w:pPr>
        <w:pStyle w:val="53BheadHeadingsHeadingstyles"/>
      </w:pPr>
      <w:bookmarkStart w:id="81" w:name="_Toc99539799"/>
      <w:r w:rsidRPr="00C1603D">
        <w:t>Accuracy of serological tests</w:t>
      </w:r>
      <w:bookmarkEnd w:id="81"/>
    </w:p>
    <w:p w14:paraId="74FCB2BE" w14:textId="3896E4EB" w:rsidR="008B4DF8" w:rsidRPr="00C1603D" w:rsidRDefault="3CDEEDA7" w:rsidP="008B4DF8">
      <w:pPr>
        <w:pStyle w:val="602TextfoTextstylesTextstyles"/>
      </w:pPr>
      <w:r w:rsidRPr="00C1603D">
        <w:t xml:space="preserve">For the second systematic review on the accuracy of tests for CD, seven electronic databases were searched from January 1990 to August 2020. We included diagnostic cohort studies that evaluated serological tests for CD [i.e. </w:t>
      </w:r>
      <w:r w:rsidRPr="00C1603D">
        <w:rPr>
          <w:lang w:eastAsia="en-GB"/>
        </w:rPr>
        <w:t>immunoglobulin A</w:t>
      </w:r>
      <w:r w:rsidRPr="00C1603D">
        <w:t xml:space="preserve"> (IgA) </w:t>
      </w:r>
      <w:r w:rsidRPr="00C1603D">
        <w:rPr>
          <w:lang w:eastAsia="en-GB"/>
        </w:rPr>
        <w:t>tissue transglutaminase (</w:t>
      </w:r>
      <w:r w:rsidRPr="00C1603D">
        <w:t xml:space="preserve">tTG), </w:t>
      </w:r>
      <w:r w:rsidRPr="00C1603D">
        <w:rPr>
          <w:lang w:eastAsia="en-GB"/>
        </w:rPr>
        <w:t>immunoglobulin G</w:t>
      </w:r>
      <w:r w:rsidRPr="00C1603D">
        <w:t xml:space="preserve"> </w:t>
      </w:r>
      <w:r w:rsidRPr="00C1603D">
        <w:lastRenderedPageBreak/>
        <w:t xml:space="preserve">(IgG) tTG, </w:t>
      </w:r>
      <w:commentRangeStart w:id="82"/>
      <w:commentRangeStart w:id="83"/>
      <w:r w:rsidRPr="00C1603D">
        <w:t xml:space="preserve">IgA </w:t>
      </w:r>
      <w:r w:rsidRPr="00C1603D">
        <w:rPr>
          <w:lang w:eastAsia="en-GB"/>
        </w:rPr>
        <w:t>endomysial antibody</w:t>
      </w:r>
      <w:r w:rsidRPr="00C1603D">
        <w:t xml:space="preserve"> (EMA), IgG EMA, IgA deamidated gliadin peptide (DGP), IgG DGP and IgA actin antibod</w:t>
      </w:r>
      <w:commentRangeEnd w:id="82"/>
      <w:r w:rsidR="008B4DF8" w:rsidRPr="00C1603D">
        <w:commentReference w:id="82"/>
      </w:r>
      <w:commentRangeEnd w:id="83"/>
      <w:r w:rsidR="008B4DF8" w:rsidRPr="00C1603D">
        <w:commentReference w:id="83"/>
      </w:r>
      <w:r w:rsidR="00267212" w:rsidRPr="00C1603D">
        <w:t>y</w:t>
      </w:r>
      <w:r w:rsidRPr="00C1603D">
        <w:t>] among people presenting with symptoms suggestive of CD.</w:t>
      </w:r>
    </w:p>
    <w:p w14:paraId="1D622849" w14:textId="77777777" w:rsidR="008B4DF8" w:rsidRPr="00C1603D" w:rsidRDefault="008B4DF8" w:rsidP="008B4DF8">
      <w:pPr>
        <w:pStyle w:val="53BheadHeadingsHeadingstyles"/>
      </w:pPr>
      <w:bookmarkStart w:id="84" w:name="_Toc99539800"/>
      <w:r w:rsidRPr="00C1603D">
        <w:t>Accuracy of genetic tests</w:t>
      </w:r>
      <w:bookmarkEnd w:id="84"/>
    </w:p>
    <w:p w14:paraId="59B04120" w14:textId="02BE265A" w:rsidR="008B4DF8" w:rsidRPr="00C1603D" w:rsidRDefault="008B4DF8" w:rsidP="008B4DF8">
      <w:pPr>
        <w:pStyle w:val="602TextfoTextstylesTextstyles"/>
      </w:pPr>
      <w:r w:rsidRPr="00C1603D">
        <w:t>The review o</w:t>
      </w:r>
      <w:r w:rsidR="00A47AA2" w:rsidRPr="00C1603D">
        <w:t>f</w:t>
      </w:r>
      <w:r w:rsidRPr="00C1603D">
        <w:t xml:space="preserve"> the accuracy of genetic tests for CD was based on the same search used for the first review of diagnostic indicators</w:t>
      </w:r>
      <w:r w:rsidR="00A47AA2" w:rsidRPr="00C1603D">
        <w:t>,</w:t>
      </w:r>
      <w:r w:rsidRPr="00C1603D">
        <w:t xml:space="preserve"> and included studies that provided accuracy on the combination of </w:t>
      </w:r>
      <w:r w:rsidR="00A47AA2" w:rsidRPr="00C1603D">
        <w:rPr>
          <w:color w:val="auto"/>
          <w:lang w:eastAsia="en-GB"/>
        </w:rPr>
        <w:t>human leucocyte antigen</w:t>
      </w:r>
      <w:r w:rsidR="00A47AA2" w:rsidRPr="00C1603D">
        <w:t xml:space="preserve"> (</w:t>
      </w:r>
      <w:r w:rsidRPr="00C1603D">
        <w:t>HLA</w:t>
      </w:r>
      <w:r w:rsidR="00A47AA2" w:rsidRPr="00C1603D">
        <w:t>)-</w:t>
      </w:r>
      <w:r w:rsidRPr="00C1603D">
        <w:t>DQ2/</w:t>
      </w:r>
      <w:r w:rsidR="00A47AA2" w:rsidRPr="00C1603D">
        <w:t>-</w:t>
      </w:r>
      <w:r w:rsidRPr="00C1603D">
        <w:t>DQ8 testing. All reviews followed the same internationally recognised methods for systematic reviews.</w:t>
      </w:r>
    </w:p>
    <w:p w14:paraId="59BF42D6" w14:textId="77777777" w:rsidR="008B4DF8" w:rsidRPr="00C1603D" w:rsidRDefault="008B4DF8" w:rsidP="008B4DF8">
      <w:pPr>
        <w:pStyle w:val="53BheadHeadingsHeadingstyles"/>
      </w:pPr>
      <w:bookmarkStart w:id="85" w:name="_Toc99539801"/>
      <w:r w:rsidRPr="00C1603D">
        <w:t>Online survey</w:t>
      </w:r>
      <w:bookmarkEnd w:id="85"/>
    </w:p>
    <w:p w14:paraId="19740042" w14:textId="4C82A3AF" w:rsidR="008B4DF8" w:rsidRPr="00C1603D" w:rsidRDefault="008B4DF8" w:rsidP="008B4DF8">
      <w:pPr>
        <w:pStyle w:val="602TextfoTextstylesTextstyles"/>
      </w:pPr>
      <w:r w:rsidRPr="00C1603D">
        <w:t xml:space="preserve">We developed an online survey in collaboration with patient representatives to identify how confident people want to be in their diagnosis before starting a gluten-free diet or accepting a biopsy. The survey was open for </w:t>
      </w:r>
      <w:r w:rsidR="00A47AA2" w:rsidRPr="00C1603D">
        <w:t>2</w:t>
      </w:r>
      <w:r w:rsidRPr="00C1603D">
        <w:t xml:space="preserve"> months </w:t>
      </w:r>
      <w:r w:rsidR="00A47AA2" w:rsidRPr="00C1603D">
        <w:t>(</w:t>
      </w:r>
      <w:r w:rsidRPr="00C1603D">
        <w:t>January</w:t>
      </w:r>
      <w:r w:rsidR="00A47AA2" w:rsidRPr="00C1603D">
        <w:t>–</w:t>
      </w:r>
      <w:r w:rsidRPr="00C1603D">
        <w:t>March 2021</w:t>
      </w:r>
      <w:r w:rsidR="00A47AA2" w:rsidRPr="00C1603D">
        <w:t>)</w:t>
      </w:r>
      <w:r w:rsidRPr="00C1603D">
        <w:t xml:space="preserve"> and was disseminated using social media.</w:t>
      </w:r>
    </w:p>
    <w:p w14:paraId="123AA8C4" w14:textId="77777777" w:rsidR="008B4DF8" w:rsidRPr="00C1603D" w:rsidRDefault="008B4DF8" w:rsidP="008B4DF8">
      <w:pPr>
        <w:pStyle w:val="53BheadHeadingsHeadingstyles"/>
      </w:pPr>
      <w:bookmarkStart w:id="86" w:name="_Toc99539802"/>
      <w:r w:rsidRPr="00C1603D">
        <w:t>Economic modelling</w:t>
      </w:r>
      <w:bookmarkEnd w:id="86"/>
    </w:p>
    <w:p w14:paraId="6F6910F0" w14:textId="36E01950" w:rsidR="008B4DF8" w:rsidRPr="00C1603D" w:rsidRDefault="008B4DF8" w:rsidP="008B4DF8">
      <w:pPr>
        <w:pStyle w:val="602TextfoTextstylesTextstyles"/>
      </w:pPr>
      <w:r w:rsidRPr="00C1603D">
        <w:t xml:space="preserve">The cost-effectiveness of CD testing of patients with pre-test probabilities of CD above certain thresholds was evaluated with long-term economic models. </w:t>
      </w:r>
      <w:r w:rsidRPr="00C1603D">
        <w:rPr>
          <w:rFonts w:cs="Calibri"/>
        </w:rPr>
        <w:t xml:space="preserve">We used a decision tree and discrete-time cohort Markov model to compare the cost-effectiveness of </w:t>
      </w:r>
      <w:r w:rsidR="0087034D" w:rsidRPr="00C1603D">
        <w:rPr>
          <w:rFonts w:cs="Calibri"/>
        </w:rPr>
        <w:t>case-finding</w:t>
      </w:r>
      <w:r w:rsidRPr="00C1603D">
        <w:rPr>
          <w:rFonts w:cs="Calibri"/>
        </w:rPr>
        <w:t xml:space="preserve"> strategies at </w:t>
      </w:r>
      <w:proofErr w:type="gramStart"/>
      <w:r w:rsidRPr="00C1603D">
        <w:rPr>
          <w:rFonts w:cs="Calibri"/>
        </w:rPr>
        <w:t>different levels</w:t>
      </w:r>
      <w:proofErr w:type="gramEnd"/>
      <w:r w:rsidRPr="00C1603D">
        <w:rPr>
          <w:rFonts w:cs="Calibri"/>
        </w:rPr>
        <w:t xml:space="preserve"> of pre-test probability separately for men, women and children.</w:t>
      </w:r>
    </w:p>
    <w:p w14:paraId="2CBBA7B2" w14:textId="77777777" w:rsidR="008B4DF8" w:rsidRPr="00C1603D" w:rsidRDefault="008B4DF8" w:rsidP="008B4DF8">
      <w:pPr>
        <w:pStyle w:val="52AheadHeadingsHeadingstyles"/>
      </w:pPr>
      <w:bookmarkStart w:id="87" w:name="_Toc87550929"/>
      <w:bookmarkStart w:id="88" w:name="_Toc99539803"/>
      <w:r w:rsidRPr="00C1603D">
        <w:t>Results</w:t>
      </w:r>
      <w:bookmarkEnd w:id="87"/>
      <w:bookmarkEnd w:id="88"/>
    </w:p>
    <w:p w14:paraId="361D2FB5" w14:textId="77777777" w:rsidR="008B4DF8" w:rsidRPr="00C1603D" w:rsidRDefault="008B4DF8" w:rsidP="008B4DF8">
      <w:pPr>
        <w:pStyle w:val="53BheadHeadingsHeadingstyles"/>
      </w:pPr>
      <w:bookmarkStart w:id="89" w:name="_Toc99539804"/>
      <w:r w:rsidRPr="00C1603D">
        <w:t>Accuracy of diagnostic indicators</w:t>
      </w:r>
      <w:bookmarkEnd w:id="89"/>
    </w:p>
    <w:p w14:paraId="18BBF6A4" w14:textId="07082F7B" w:rsidR="008B4DF8" w:rsidRPr="00C1603D" w:rsidRDefault="3CDEEDA7" w:rsidP="008B4DF8">
      <w:pPr>
        <w:pStyle w:val="602TextfoTextstylesTextstyles"/>
      </w:pPr>
      <w:r w:rsidRPr="00C1603D">
        <w:t xml:space="preserve">The review of diagnostic indicators included 183 studies reporting on </w:t>
      </w:r>
      <w:proofErr w:type="gramStart"/>
      <w:r w:rsidRPr="00C1603D">
        <w:t>25</w:t>
      </w:r>
      <w:proofErr w:type="gramEnd"/>
      <w:r w:rsidRPr="00C1603D">
        <w:t xml:space="preserve"> indicators, which comprised seven symptoms, 17 risk conditions and family history. </w:t>
      </w:r>
      <w:r w:rsidRPr="00C1603D">
        <w:rPr>
          <w:lang w:eastAsia="en-GB"/>
        </w:rPr>
        <w:t xml:space="preserve">There was large variation in diagnostic accuracy estimates between studies, and most studies were at </w:t>
      </w:r>
      <w:proofErr w:type="gramStart"/>
      <w:r w:rsidRPr="00C1603D">
        <w:rPr>
          <w:lang w:eastAsia="en-GB"/>
        </w:rPr>
        <w:t>high risk</w:t>
      </w:r>
      <w:proofErr w:type="gramEnd"/>
      <w:r w:rsidRPr="00C1603D">
        <w:rPr>
          <w:lang w:eastAsia="en-GB"/>
        </w:rPr>
        <w:t xml:space="preserve"> of bias. </w:t>
      </w:r>
      <w:r w:rsidRPr="00C1603D">
        <w:t xml:space="preserve">None of the identified diagnostic indicators alone had good sensitivity for detecting CD; however, some showed promise in helping to identify patients who should be offered serological testing. The estimated </w:t>
      </w:r>
      <w:r w:rsidRPr="00C1603D">
        <w:rPr>
          <w:lang w:eastAsia="en-GB"/>
        </w:rPr>
        <w:t>positive predictive values</w:t>
      </w:r>
      <w:r w:rsidRPr="00C1603D">
        <w:t xml:space="preserve"> for migraine, family history of CD, anaemia, type 1 diabetes, osteoporosis and chronic liver disease were all &gt; 2%, with 95% confidence intervals (CIs) lying entirely above the population prevalence of 1%. Individual gastrointestinal symptoms showed poor diagnostic ability. </w:t>
      </w:r>
      <w:commentRangeStart w:id="90"/>
      <w:commentRangeStart w:id="91"/>
      <w:r w:rsidRPr="00C1603D">
        <w:t>People with a first-degree relative with CD were three times more likely to have CD than the general population.</w:t>
      </w:r>
      <w:commentRangeEnd w:id="90"/>
      <w:r w:rsidR="008B4DF8" w:rsidRPr="00C1603D">
        <w:commentReference w:id="90"/>
      </w:r>
      <w:commentRangeEnd w:id="91"/>
      <w:r w:rsidR="008B4DF8" w:rsidRPr="00C1603D">
        <w:commentReference w:id="91"/>
      </w:r>
    </w:p>
    <w:p w14:paraId="7DF1BAC8" w14:textId="77777777" w:rsidR="008B4DF8" w:rsidRPr="00C1603D" w:rsidRDefault="008B4DF8" w:rsidP="008B4DF8">
      <w:pPr>
        <w:pStyle w:val="53BheadHeadingsHeadingstyles"/>
      </w:pPr>
      <w:bookmarkStart w:id="92" w:name="_Toc99539805"/>
      <w:r w:rsidRPr="00C1603D">
        <w:t>Prediction model development</w:t>
      </w:r>
      <w:bookmarkEnd w:id="92"/>
    </w:p>
    <w:p w14:paraId="3D977641" w14:textId="1082A050" w:rsidR="008B4DF8" w:rsidRPr="00C1603D" w:rsidRDefault="008B4DF8" w:rsidP="008B4DF8">
      <w:pPr>
        <w:pStyle w:val="602TextfoTextstylesTextstyles"/>
      </w:pPr>
      <w:r w:rsidRPr="00C1603D">
        <w:t xml:space="preserve">We developed prediction models for children, women and men </w:t>
      </w:r>
      <w:r w:rsidR="00A47AA2" w:rsidRPr="00C1603D">
        <w:t>that comprised</w:t>
      </w:r>
      <w:r w:rsidRPr="00C1603D">
        <w:t xml:space="preserve"> 24, 24 and 21 predictors, respectively. For children, having type 1 diabetes, Turner syndrome, IgA deficiency or a first-degree </w:t>
      </w:r>
      <w:r w:rsidRPr="00C1603D" w:rsidDel="000A7B03">
        <w:t>relative</w:t>
      </w:r>
      <w:r w:rsidRPr="00C1603D" w:rsidDel="00D04057">
        <w:t xml:space="preserve"> </w:t>
      </w:r>
      <w:r w:rsidRPr="00C1603D">
        <w:t>with CD were estimated</w:t>
      </w:r>
      <w:r w:rsidRPr="00C1603D" w:rsidDel="00B77DA9">
        <w:t xml:space="preserve"> to </w:t>
      </w:r>
      <w:r w:rsidRPr="00C1603D">
        <w:t xml:space="preserve">be </w:t>
      </w:r>
      <w:r w:rsidRPr="00C1603D" w:rsidDel="00B77DA9">
        <w:t xml:space="preserve">the </w:t>
      </w:r>
      <w:r w:rsidRPr="00C1603D">
        <w:t xml:space="preserve">strongest predictors (i.e. had the highest estimated coefficients). For women and </w:t>
      </w:r>
      <w:r w:rsidRPr="00C1603D" w:rsidDel="001B57C7">
        <w:t>men</w:t>
      </w:r>
      <w:r w:rsidRPr="00C1603D">
        <w:t>, the strongest predictors were having a first-degree relative with CD</w:t>
      </w:r>
      <w:r w:rsidR="002C28CF" w:rsidRPr="00C1603D">
        <w:t>,</w:t>
      </w:r>
      <w:r w:rsidRPr="00C1603D">
        <w:t xml:space="preserve"> </w:t>
      </w:r>
      <w:r w:rsidR="002C28CF" w:rsidRPr="00C1603D">
        <w:t>or</w:t>
      </w:r>
      <w:r w:rsidRPr="00C1603D">
        <w:t xml:space="preserve"> anaemia. In the development </w:t>
      </w:r>
      <w:r w:rsidRPr="00C1603D">
        <w:rPr>
          <w:color w:val="00B0F0"/>
        </w:rPr>
        <w:t>data set</w:t>
      </w:r>
      <w:r w:rsidRPr="00C1603D">
        <w:t>, the model showed good discrimination between patients with and</w:t>
      </w:r>
      <w:r w:rsidR="002C28CF" w:rsidRPr="00C1603D">
        <w:t xml:space="preserve"> patients</w:t>
      </w:r>
      <w:r w:rsidRPr="00C1603D">
        <w:t xml:space="preserve"> without CD, as demonstrated by high </w:t>
      </w:r>
      <w:r w:rsidRPr="00C1603D">
        <w:rPr>
          <w:i/>
          <w:iCs/>
        </w:rPr>
        <w:t>c</w:t>
      </w:r>
      <w:r w:rsidR="002C28CF" w:rsidRPr="00C1603D">
        <w:t>-</w:t>
      </w:r>
      <w:r w:rsidRPr="00C1603D">
        <w:t>statistic</w:t>
      </w:r>
      <w:r w:rsidR="002C28CF" w:rsidRPr="00C1603D">
        <w:t>s</w:t>
      </w:r>
      <w:r w:rsidRPr="00C1603D">
        <w:t xml:space="preserve"> of 0.84 (95% CI 0.83</w:t>
      </w:r>
      <w:r w:rsidR="002C28CF" w:rsidRPr="00C1603D">
        <w:t xml:space="preserve"> to</w:t>
      </w:r>
      <w:r w:rsidRPr="00C1603D">
        <w:t xml:space="preserve"> 0.84) </w:t>
      </w:r>
      <w:r w:rsidR="002C28CF" w:rsidRPr="00C1603D">
        <w:t>for</w:t>
      </w:r>
      <w:r w:rsidRPr="00C1603D">
        <w:t xml:space="preserve"> children, 0.77 (</w:t>
      </w:r>
      <w:r w:rsidR="002C28CF" w:rsidRPr="00C1603D">
        <w:t xml:space="preserve">95% CI </w:t>
      </w:r>
      <w:r w:rsidRPr="00C1603D">
        <w:t>0.77</w:t>
      </w:r>
      <w:r w:rsidR="002C28CF" w:rsidRPr="00C1603D">
        <w:t xml:space="preserve"> to</w:t>
      </w:r>
      <w:r w:rsidRPr="00C1603D">
        <w:t xml:space="preserve"> 0.78) </w:t>
      </w:r>
      <w:r w:rsidR="002C28CF" w:rsidRPr="00C1603D">
        <w:t>for</w:t>
      </w:r>
      <w:r w:rsidRPr="00C1603D">
        <w:t xml:space="preserve"> women and 0.81 (</w:t>
      </w:r>
      <w:r w:rsidR="002C28CF" w:rsidRPr="00C1603D">
        <w:t xml:space="preserve">95% CI </w:t>
      </w:r>
      <w:r w:rsidRPr="00C1603D">
        <w:t>0.81</w:t>
      </w:r>
      <w:r w:rsidR="002C28CF" w:rsidRPr="00C1603D">
        <w:t xml:space="preserve"> to</w:t>
      </w:r>
      <w:r w:rsidRPr="00C1603D">
        <w:t xml:space="preserve"> 0.82) </w:t>
      </w:r>
      <w:r w:rsidR="002C28CF" w:rsidRPr="00C1603D">
        <w:t>for</w:t>
      </w:r>
      <w:r w:rsidRPr="00C1603D">
        <w:t xml:space="preserve"> men. The model discriminated less well between patients with and </w:t>
      </w:r>
      <w:r w:rsidR="002C28CF" w:rsidRPr="00C1603D">
        <w:t xml:space="preserve">patients </w:t>
      </w:r>
      <w:r w:rsidRPr="00C1603D">
        <w:t xml:space="preserve">without CD in the external validation </w:t>
      </w:r>
      <w:r w:rsidRPr="00C1603D">
        <w:rPr>
          <w:color w:val="00B0F0"/>
        </w:rPr>
        <w:t>data set</w:t>
      </w:r>
      <w:r w:rsidRPr="00C1603D">
        <w:t xml:space="preserve">, </w:t>
      </w:r>
      <w:r w:rsidR="002C28CF" w:rsidRPr="00C1603D">
        <w:t>for which</w:t>
      </w:r>
      <w:r w:rsidRPr="00C1603D">
        <w:t xml:space="preserve"> the </w:t>
      </w:r>
      <w:r w:rsidRPr="00C1603D">
        <w:rPr>
          <w:i/>
          <w:iCs/>
        </w:rPr>
        <w:t>c</w:t>
      </w:r>
      <w:r w:rsidR="002C28CF" w:rsidRPr="00C1603D">
        <w:t>-</w:t>
      </w:r>
      <w:r w:rsidRPr="00C1603D">
        <w:t xml:space="preserve">statistics reduced to 0.60 </w:t>
      </w:r>
      <w:r w:rsidR="002C28CF" w:rsidRPr="00C1603D">
        <w:t>for</w:t>
      </w:r>
      <w:r w:rsidRPr="00C1603D">
        <w:t xml:space="preserve"> children, 0.55 </w:t>
      </w:r>
      <w:r w:rsidR="002C28CF" w:rsidRPr="00C1603D">
        <w:t>for</w:t>
      </w:r>
      <w:r w:rsidRPr="00C1603D">
        <w:t xml:space="preserve"> women and 0.62 </w:t>
      </w:r>
      <w:r w:rsidR="002C28CF" w:rsidRPr="00C1603D">
        <w:t>for</w:t>
      </w:r>
      <w:r w:rsidRPr="00C1603D">
        <w:t xml:space="preserve"> men. However, the predictor first-degree relative was not recorded in the validation </w:t>
      </w:r>
      <w:r w:rsidRPr="00C1603D">
        <w:rPr>
          <w:color w:val="00B0F0"/>
        </w:rPr>
        <w:t>data set</w:t>
      </w:r>
      <w:r w:rsidRPr="00C1603D">
        <w:t>, which was one of the most important predictors</w:t>
      </w:r>
      <w:r w:rsidR="002C28CF" w:rsidRPr="00C1603D">
        <w:t>,</w:t>
      </w:r>
      <w:r w:rsidRPr="00C1603D">
        <w:t xml:space="preserve"> leading to an underestimation of model performance in </w:t>
      </w:r>
      <w:r w:rsidR="002C28CF" w:rsidRPr="00C1603D">
        <w:rPr>
          <w:color w:val="00B0F0"/>
        </w:rPr>
        <w:t>this</w:t>
      </w:r>
      <w:r w:rsidRPr="00C1603D">
        <w:rPr>
          <w:color w:val="00B0F0"/>
        </w:rPr>
        <w:t xml:space="preserve"> data set</w:t>
      </w:r>
      <w:r w:rsidRPr="00C1603D">
        <w:t xml:space="preserve">. The models were poorly calibrated and tended to overestimate the risk of having CD in all three groups in the development </w:t>
      </w:r>
      <w:r w:rsidRPr="00C1603D">
        <w:rPr>
          <w:color w:val="00B0F0"/>
        </w:rPr>
        <w:t>data set</w:t>
      </w:r>
      <w:r w:rsidRPr="00C1603D">
        <w:t xml:space="preserve"> and validation </w:t>
      </w:r>
      <w:r w:rsidRPr="00C1603D">
        <w:rPr>
          <w:color w:val="00B0F0"/>
        </w:rPr>
        <w:t>data set</w:t>
      </w:r>
      <w:r w:rsidRPr="00C1603D">
        <w:t xml:space="preserve">. The models suggest that individuals with any of the selected predictors have an increased risk of CD of </w:t>
      </w:r>
      <w:r w:rsidR="002C28CF" w:rsidRPr="00C1603D">
        <w:t>&gt; </w:t>
      </w:r>
      <w:r w:rsidRPr="00C1603D">
        <w:t>50%</w:t>
      </w:r>
      <w:r w:rsidR="002C28CF" w:rsidRPr="00C1603D">
        <w:t>,</w:t>
      </w:r>
      <w:r w:rsidRPr="00C1603D">
        <w:t xml:space="preserve"> and thus warrant testing for CD.</w:t>
      </w:r>
    </w:p>
    <w:p w14:paraId="76A06F28" w14:textId="77777777" w:rsidR="008B4DF8" w:rsidRPr="00C1603D" w:rsidRDefault="008B4DF8" w:rsidP="008B4DF8">
      <w:pPr>
        <w:pStyle w:val="53BheadHeadingsHeadingstyles"/>
      </w:pPr>
      <w:bookmarkStart w:id="93" w:name="_Toc99539806"/>
      <w:r w:rsidRPr="00C1603D">
        <w:t>Accuracy of serological tests</w:t>
      </w:r>
      <w:bookmarkEnd w:id="93"/>
    </w:p>
    <w:p w14:paraId="03D53FAE" w14:textId="1DA39218" w:rsidR="008B4DF8" w:rsidRPr="00C1603D" w:rsidRDefault="008B4DF8" w:rsidP="008B4DF8">
      <w:pPr>
        <w:pStyle w:val="602TextfoTextstylesTextstyles"/>
      </w:pPr>
      <w:r w:rsidRPr="00C1603D">
        <w:t>The review of test accuracy included 113 studies (</w:t>
      </w:r>
      <w:r w:rsidRPr="00C1603D">
        <w:rPr>
          <w:i/>
          <w:color w:val="00B0F0"/>
        </w:rPr>
        <w:t>n</w:t>
      </w:r>
      <w:r w:rsidRPr="00C1603D">
        <w:rPr>
          <w:color w:val="00B0F0"/>
        </w:rPr>
        <w:t> = </w:t>
      </w:r>
      <w:r w:rsidRPr="00C1603D">
        <w:t xml:space="preserve">28,338), all in secondary care populations. A subset of studies was included in meta-analyses </w:t>
      </w:r>
      <w:r w:rsidR="002C28CF" w:rsidRPr="00C1603D">
        <w:t>because of</w:t>
      </w:r>
      <w:r w:rsidRPr="00C1603D">
        <w:t xml:space="preserve"> variations in diagnostic thresholds. The </w:t>
      </w:r>
      <w:r w:rsidRPr="00C1603D">
        <w:lastRenderedPageBreak/>
        <w:t xml:space="preserve">majority of included studies were at </w:t>
      </w:r>
      <w:proofErr w:type="gramStart"/>
      <w:r w:rsidRPr="00C1603D">
        <w:t>high risk</w:t>
      </w:r>
      <w:proofErr w:type="gramEnd"/>
      <w:r w:rsidRPr="00C1603D">
        <w:t xml:space="preserve"> of bias. </w:t>
      </w:r>
      <w:r w:rsidR="004631A0" w:rsidRPr="00C1603D">
        <w:t>The s</w:t>
      </w:r>
      <w:r w:rsidRPr="00C1603D">
        <w:t>ummary sensitivity and specificity of</w:t>
      </w:r>
      <w:r w:rsidR="004631A0" w:rsidRPr="00C1603D">
        <w:t xml:space="preserve"> the</w:t>
      </w:r>
      <w:r w:rsidRPr="00C1603D">
        <w:t xml:space="preserve"> IgA tTG </w:t>
      </w:r>
      <w:r w:rsidR="004631A0" w:rsidRPr="00C1603D">
        <w:t xml:space="preserve">test </w:t>
      </w:r>
      <w:r w:rsidRPr="00C1603D">
        <w:t xml:space="preserve">were 91% (95% </w:t>
      </w:r>
      <w:r w:rsidR="002C28CF" w:rsidRPr="00C1603D">
        <w:t>CI</w:t>
      </w:r>
      <w:r w:rsidRPr="00C1603D">
        <w:t xml:space="preserve"> 87%</w:t>
      </w:r>
      <w:r w:rsidR="002C28CF" w:rsidRPr="00C1603D">
        <w:t xml:space="preserve"> to</w:t>
      </w:r>
      <w:r w:rsidRPr="00C1603D">
        <w:t xml:space="preserve"> 93%) and 87% (</w:t>
      </w:r>
      <w:r w:rsidR="002C28CF" w:rsidRPr="00C1603D">
        <w:t xml:space="preserve">95% CI </w:t>
      </w:r>
      <w:r w:rsidRPr="00C1603D">
        <w:t>84%</w:t>
      </w:r>
      <w:r w:rsidR="002C28CF" w:rsidRPr="00C1603D">
        <w:t xml:space="preserve"> to</w:t>
      </w:r>
      <w:r w:rsidRPr="00C1603D">
        <w:t xml:space="preserve"> 90%)</w:t>
      </w:r>
      <w:r w:rsidR="002C28CF" w:rsidRPr="00C1603D">
        <w:t>, respectively,</w:t>
      </w:r>
      <w:r w:rsidRPr="00C1603D">
        <w:t xml:space="preserve"> </w:t>
      </w:r>
      <w:r w:rsidR="004631A0" w:rsidRPr="00C1603D">
        <w:t>for</w:t>
      </w:r>
      <w:r w:rsidRPr="00C1603D">
        <w:t xml:space="preserve"> adults (</w:t>
      </w:r>
      <w:r w:rsidR="002C28CF" w:rsidRPr="00C1603D">
        <w:t>five</w:t>
      </w:r>
      <w:r w:rsidRPr="00C1603D">
        <w:t xml:space="preserve"> studies) and 98% (</w:t>
      </w:r>
      <w:r w:rsidR="004631A0" w:rsidRPr="00C1603D">
        <w:t xml:space="preserve">95% CI </w:t>
      </w:r>
      <w:r w:rsidRPr="00C1603D">
        <w:t>91%</w:t>
      </w:r>
      <w:r w:rsidR="004631A0" w:rsidRPr="00C1603D">
        <w:t xml:space="preserve"> to</w:t>
      </w:r>
      <w:r w:rsidRPr="00C1603D">
        <w:t xml:space="preserve"> 99%) and 70% (</w:t>
      </w:r>
      <w:r w:rsidR="004631A0" w:rsidRPr="00C1603D">
        <w:t xml:space="preserve">95% CI </w:t>
      </w:r>
      <w:r w:rsidRPr="00C1603D">
        <w:t>39%</w:t>
      </w:r>
      <w:r w:rsidR="004631A0" w:rsidRPr="00C1603D">
        <w:t xml:space="preserve"> to</w:t>
      </w:r>
      <w:r w:rsidRPr="00C1603D">
        <w:t xml:space="preserve"> 90%)</w:t>
      </w:r>
      <w:r w:rsidR="004631A0" w:rsidRPr="00C1603D">
        <w:t>, respectively,</w:t>
      </w:r>
      <w:r w:rsidRPr="00C1603D">
        <w:t xml:space="preserve"> </w:t>
      </w:r>
      <w:r w:rsidR="004631A0" w:rsidRPr="00C1603D">
        <w:t>for</w:t>
      </w:r>
      <w:r w:rsidRPr="00C1603D">
        <w:t xml:space="preserve"> children (</w:t>
      </w:r>
      <w:r w:rsidR="004631A0" w:rsidRPr="00C1603D">
        <w:t>six</w:t>
      </w:r>
      <w:r w:rsidRPr="00C1603D">
        <w:t xml:space="preserve"> studies)</w:t>
      </w:r>
      <w:r w:rsidR="004631A0" w:rsidRPr="00C1603D">
        <w:t>. The summary sensitivity and specificity</w:t>
      </w:r>
      <w:r w:rsidRPr="00C1603D">
        <w:t xml:space="preserve"> of </w:t>
      </w:r>
      <w:r w:rsidR="004631A0" w:rsidRPr="00C1603D">
        <w:t>the Ig</w:t>
      </w:r>
      <w:r w:rsidRPr="00C1603D">
        <w:t xml:space="preserve">A </w:t>
      </w:r>
      <w:r w:rsidR="004631A0" w:rsidRPr="00C1603D">
        <w:t>EMA</w:t>
      </w:r>
      <w:r w:rsidRPr="00C1603D">
        <w:t xml:space="preserve"> </w:t>
      </w:r>
      <w:r w:rsidR="004631A0" w:rsidRPr="00C1603D">
        <w:t xml:space="preserve">test </w:t>
      </w:r>
      <w:r w:rsidRPr="00C1603D">
        <w:t>were 88% (</w:t>
      </w:r>
      <w:r w:rsidR="004631A0" w:rsidRPr="00C1603D">
        <w:t xml:space="preserve">95% CI </w:t>
      </w:r>
      <w:r w:rsidRPr="00C1603D">
        <w:t>75%</w:t>
      </w:r>
      <w:r w:rsidR="004631A0" w:rsidRPr="00C1603D">
        <w:t xml:space="preserve"> to</w:t>
      </w:r>
      <w:r w:rsidRPr="00C1603D">
        <w:t xml:space="preserve"> 95%) and 99.6% (</w:t>
      </w:r>
      <w:r w:rsidR="004631A0" w:rsidRPr="00C1603D">
        <w:t xml:space="preserve">95% CI </w:t>
      </w:r>
      <w:r w:rsidRPr="00C1603D">
        <w:t>92%</w:t>
      </w:r>
      <w:r w:rsidR="004631A0" w:rsidRPr="00C1603D">
        <w:t xml:space="preserve"> to</w:t>
      </w:r>
      <w:r w:rsidRPr="00C1603D">
        <w:t xml:space="preserve"> 100%)</w:t>
      </w:r>
      <w:r w:rsidR="004631A0" w:rsidRPr="00C1603D">
        <w:t>, respectively, for</w:t>
      </w:r>
      <w:r w:rsidRPr="00C1603D">
        <w:t xml:space="preserve"> adults (</w:t>
      </w:r>
      <w:r w:rsidR="004631A0" w:rsidRPr="00C1603D">
        <w:t>five</w:t>
      </w:r>
      <w:r w:rsidRPr="00C1603D">
        <w:t xml:space="preserve"> studies) and 95% (</w:t>
      </w:r>
      <w:r w:rsidR="004631A0" w:rsidRPr="00C1603D">
        <w:t xml:space="preserve">95% CI </w:t>
      </w:r>
      <w:r w:rsidRPr="00C1603D">
        <w:t>89%</w:t>
      </w:r>
      <w:r w:rsidR="004631A0" w:rsidRPr="00C1603D">
        <w:t xml:space="preserve"> to</w:t>
      </w:r>
      <w:r w:rsidRPr="00C1603D">
        <w:t xml:space="preserve"> 97%) and 94% (</w:t>
      </w:r>
      <w:r w:rsidR="004631A0" w:rsidRPr="00C1603D">
        <w:t xml:space="preserve">95% CI </w:t>
      </w:r>
      <w:r w:rsidRPr="00C1603D">
        <w:t>85%</w:t>
      </w:r>
      <w:r w:rsidR="004631A0" w:rsidRPr="00C1603D">
        <w:t xml:space="preserve"> to</w:t>
      </w:r>
      <w:r w:rsidRPr="00C1603D">
        <w:t xml:space="preserve"> 98%)</w:t>
      </w:r>
      <w:r w:rsidR="004631A0" w:rsidRPr="00C1603D">
        <w:t>, respectively, for</w:t>
      </w:r>
      <w:r w:rsidRPr="00C1603D">
        <w:t xml:space="preserve"> children (</w:t>
      </w:r>
      <w:r w:rsidR="004631A0" w:rsidRPr="00C1603D">
        <w:t>five</w:t>
      </w:r>
      <w:r w:rsidRPr="00C1603D">
        <w:t xml:space="preserve"> studies). To select estimates to inform the economic model</w:t>
      </w:r>
      <w:r w:rsidR="004631A0" w:rsidRPr="00C1603D">
        <w:t>,</w:t>
      </w:r>
      <w:r w:rsidRPr="00C1603D">
        <w:t xml:space="preserve"> we restricted to studies that had evaluated the two main serological tests of interest </w:t>
      </w:r>
      <w:r w:rsidR="004631A0" w:rsidRPr="00C1603D">
        <w:t>(</w:t>
      </w:r>
      <w:r w:rsidRPr="00C1603D">
        <w:t>IgA tTG and IgA EMA, alone and in combination</w:t>
      </w:r>
      <w:r w:rsidR="004631A0" w:rsidRPr="00C1603D">
        <w:t>)</w:t>
      </w:r>
      <w:r w:rsidRPr="00C1603D">
        <w:t xml:space="preserve"> at the same threshold. This was to ensure that estimates used in the economic model were directly comparable. None of the studies that evaluated both tests alone and in combination reported accuracy estimates for the same thresholds. We therefore selected the studies that were judged </w:t>
      </w:r>
      <w:r w:rsidR="004631A0" w:rsidRPr="00C1603D">
        <w:t>to have the</w:t>
      </w:r>
      <w:r w:rsidRPr="00C1603D">
        <w:t xml:space="preserve"> lowest risk of bias and that had the largest sample sizes. </w:t>
      </w:r>
      <w:r w:rsidR="004631A0" w:rsidRPr="00C1603D">
        <w:t>For</w:t>
      </w:r>
      <w:r w:rsidRPr="00C1603D">
        <w:t xml:space="preserve"> both adults and children, </w:t>
      </w:r>
      <w:r w:rsidR="004631A0" w:rsidRPr="00C1603D">
        <w:t xml:space="preserve">the </w:t>
      </w:r>
      <w:r w:rsidRPr="00C1603D">
        <w:t xml:space="preserve">IgA tTG </w:t>
      </w:r>
      <w:r w:rsidR="004631A0" w:rsidRPr="00C1603D">
        <w:t xml:space="preserve">test </w:t>
      </w:r>
      <w:r w:rsidRPr="00C1603D">
        <w:t xml:space="preserve">had the highest sensitivity, although estimates </w:t>
      </w:r>
      <w:r w:rsidR="004631A0" w:rsidRPr="00C1603D">
        <w:t>for</w:t>
      </w:r>
      <w:r w:rsidRPr="00C1603D">
        <w:t xml:space="preserve"> children were </w:t>
      </w:r>
      <w:proofErr w:type="gramStart"/>
      <w:r w:rsidRPr="00C1603D">
        <w:t>very similar</w:t>
      </w:r>
      <w:proofErr w:type="gramEnd"/>
      <w:r w:rsidRPr="00C1603D">
        <w:t xml:space="preserve">, and </w:t>
      </w:r>
      <w:r w:rsidR="004631A0" w:rsidRPr="00C1603D">
        <w:t xml:space="preserve">the IgA </w:t>
      </w:r>
      <w:r w:rsidRPr="00C1603D">
        <w:t xml:space="preserve">EMA </w:t>
      </w:r>
      <w:r w:rsidR="004631A0" w:rsidRPr="00C1603D">
        <w:t xml:space="preserve">test </w:t>
      </w:r>
      <w:r w:rsidRPr="00C1603D">
        <w:t xml:space="preserve">had the highest specificity. There was </w:t>
      </w:r>
      <w:proofErr w:type="gramStart"/>
      <w:r w:rsidRPr="00C1603D">
        <w:t>little improvement</w:t>
      </w:r>
      <w:proofErr w:type="gramEnd"/>
      <w:r w:rsidRPr="00C1603D">
        <w:t xml:space="preserve"> in either sensitivity or specificity when the tests were used in combination.</w:t>
      </w:r>
    </w:p>
    <w:p w14:paraId="26F8AA4A" w14:textId="77777777" w:rsidR="008B4DF8" w:rsidRPr="00C1603D" w:rsidRDefault="008B4DF8" w:rsidP="008B4DF8">
      <w:pPr>
        <w:pStyle w:val="53BheadHeadingsHeadingstyles"/>
      </w:pPr>
      <w:bookmarkStart w:id="94" w:name="_Toc99539807"/>
      <w:r w:rsidRPr="00C1603D">
        <w:t>Accuracy of genetic tests</w:t>
      </w:r>
      <w:bookmarkEnd w:id="94"/>
    </w:p>
    <w:p w14:paraId="2CA99594" w14:textId="0336FDBC" w:rsidR="008B4DF8" w:rsidRPr="00C1603D" w:rsidRDefault="008B4DF8" w:rsidP="008B4DF8">
      <w:pPr>
        <w:pStyle w:val="602TextfoTextstylesTextstyles"/>
      </w:pPr>
      <w:r w:rsidRPr="00C1603D">
        <w:t>Four studies (</w:t>
      </w:r>
      <w:r w:rsidRPr="00C1603D">
        <w:rPr>
          <w:i/>
          <w:color w:val="00B0F0"/>
        </w:rPr>
        <w:t>n</w:t>
      </w:r>
      <w:r w:rsidRPr="00C1603D">
        <w:rPr>
          <w:color w:val="00B0F0"/>
        </w:rPr>
        <w:t> = </w:t>
      </w:r>
      <w:r w:rsidRPr="00C1603D">
        <w:t>12</w:t>
      </w:r>
      <w:r w:rsidR="004631A0" w:rsidRPr="00C1603D">
        <w:t>,</w:t>
      </w:r>
      <w:r w:rsidRPr="00C1603D">
        <w:t xml:space="preserve">087) evaluated the accuracy of HLA-DQ2 and/or </w:t>
      </w:r>
      <w:r w:rsidR="004631A0" w:rsidRPr="00C1603D">
        <w:t>-</w:t>
      </w:r>
      <w:r w:rsidRPr="00C1603D">
        <w:t xml:space="preserve">DQ8 for diagnosing CD. Three studies were </w:t>
      </w:r>
      <w:r w:rsidR="004631A0" w:rsidRPr="00C1603D">
        <w:t xml:space="preserve">deemed to be </w:t>
      </w:r>
      <w:r w:rsidRPr="00C1603D">
        <w:t xml:space="preserve">at </w:t>
      </w:r>
      <w:proofErr w:type="gramStart"/>
      <w:r w:rsidRPr="00C1603D">
        <w:t>low risk</w:t>
      </w:r>
      <w:proofErr w:type="gramEnd"/>
      <w:r w:rsidRPr="00C1603D">
        <w:t xml:space="preserve"> of bias,</w:t>
      </w:r>
      <w:r w:rsidR="004631A0" w:rsidRPr="00C1603D">
        <w:t xml:space="preserve"> and</w:t>
      </w:r>
      <w:r w:rsidRPr="00C1603D">
        <w:t xml:space="preserve"> one was </w:t>
      </w:r>
      <w:r w:rsidR="004631A0" w:rsidRPr="00C1603D">
        <w:t xml:space="preserve">deemed to be </w:t>
      </w:r>
      <w:r w:rsidRPr="00C1603D">
        <w:t xml:space="preserve">at high risk of bias as serology alone was used to confirm CD status. </w:t>
      </w:r>
      <w:r w:rsidR="004631A0" w:rsidRPr="00C1603D">
        <w:t>The s</w:t>
      </w:r>
      <w:r w:rsidRPr="00C1603D">
        <w:t>ummary sensitivity was 99% (</w:t>
      </w:r>
      <w:r w:rsidR="004631A0" w:rsidRPr="00C1603D">
        <w:t xml:space="preserve">95% CI </w:t>
      </w:r>
      <w:r w:rsidRPr="00C1603D">
        <w:t>83%</w:t>
      </w:r>
      <w:r w:rsidR="004631A0" w:rsidRPr="00C1603D">
        <w:t xml:space="preserve"> to </w:t>
      </w:r>
      <w:r w:rsidRPr="00C1603D">
        <w:t xml:space="preserve">100%) and specificity </w:t>
      </w:r>
      <w:r w:rsidR="0081105E" w:rsidRPr="00C1603D">
        <w:t xml:space="preserve">was </w:t>
      </w:r>
      <w:r w:rsidRPr="00C1603D">
        <w:t>56% (</w:t>
      </w:r>
      <w:r w:rsidR="0081105E" w:rsidRPr="00C1603D">
        <w:t xml:space="preserve">95% CI </w:t>
      </w:r>
      <w:r w:rsidRPr="00C1603D">
        <w:t>50%</w:t>
      </w:r>
      <w:r w:rsidR="0081105E" w:rsidRPr="00C1603D">
        <w:t xml:space="preserve"> to</w:t>
      </w:r>
      <w:r w:rsidRPr="00C1603D">
        <w:t xml:space="preserve"> 61%), suggesting</w:t>
      </w:r>
      <w:r w:rsidR="0081105E" w:rsidRPr="00C1603D">
        <w:t xml:space="preserve"> that</w:t>
      </w:r>
      <w:r w:rsidRPr="00C1603D">
        <w:t xml:space="preserve"> it would be a useful test to rule out CD.</w:t>
      </w:r>
    </w:p>
    <w:p w14:paraId="00DC0731" w14:textId="77777777" w:rsidR="008B4DF8" w:rsidRPr="00C1603D" w:rsidRDefault="008B4DF8" w:rsidP="008B4DF8">
      <w:pPr>
        <w:pStyle w:val="53BheadHeadingsHeadingstyles"/>
      </w:pPr>
      <w:bookmarkStart w:id="95" w:name="_Toc99539808"/>
      <w:r w:rsidRPr="00C1603D">
        <w:t>Online survey</w:t>
      </w:r>
      <w:bookmarkEnd w:id="95"/>
    </w:p>
    <w:p w14:paraId="140C8DAA" w14:textId="2BCB4936" w:rsidR="008B4DF8" w:rsidRPr="00C1603D" w:rsidRDefault="008B4DF8" w:rsidP="008B4DF8">
      <w:pPr>
        <w:pStyle w:val="602TextfoTextstylesTextstyles"/>
      </w:pPr>
      <w:proofErr w:type="gramStart"/>
      <w:r w:rsidRPr="00C1603D">
        <w:t>The survey was completed by 472 people</w:t>
      </w:r>
      <w:proofErr w:type="gramEnd"/>
      <w:r w:rsidRPr="00C1603D">
        <w:t>.</w:t>
      </w:r>
      <w:r w:rsidR="0081105E" w:rsidRPr="00C1603D">
        <w:t xml:space="preserve"> Of these,</w:t>
      </w:r>
      <w:r w:rsidRPr="00C1603D">
        <w:t xml:space="preserve"> 244 (52%) had CD, with the disease confirmed by a blood test and/or biopsy. Among those who completed the demographic questions, the vast majority were white (</w:t>
      </w:r>
      <w:r w:rsidRPr="00C1603D">
        <w:rPr>
          <w:i/>
          <w:color w:val="00B0F0"/>
        </w:rPr>
        <w:t>n</w:t>
      </w:r>
      <w:r w:rsidRPr="00C1603D">
        <w:rPr>
          <w:color w:val="00B0F0"/>
        </w:rPr>
        <w:t> = </w:t>
      </w:r>
      <w:r w:rsidRPr="00C1603D">
        <w:t>264, 95%) and female (</w:t>
      </w:r>
      <w:r w:rsidRPr="00C1603D">
        <w:rPr>
          <w:i/>
          <w:color w:val="00B0F0"/>
        </w:rPr>
        <w:t>n</w:t>
      </w:r>
      <w:r w:rsidRPr="00C1603D">
        <w:rPr>
          <w:color w:val="00B0F0"/>
        </w:rPr>
        <w:t> = </w:t>
      </w:r>
      <w:r w:rsidRPr="00C1603D">
        <w:t>239, 86%)</w:t>
      </w:r>
      <w:r w:rsidR="0081105E" w:rsidRPr="00C1603D">
        <w:t>;</w:t>
      </w:r>
      <w:r w:rsidRPr="00C1603D">
        <w:t xml:space="preserve"> most respondents went to university or college (</w:t>
      </w:r>
      <w:r w:rsidRPr="00C1603D">
        <w:rPr>
          <w:i/>
          <w:color w:val="00B0F0"/>
        </w:rPr>
        <w:t>n</w:t>
      </w:r>
      <w:r w:rsidRPr="00C1603D">
        <w:rPr>
          <w:color w:val="00B0F0"/>
        </w:rPr>
        <w:t> = </w:t>
      </w:r>
      <w:r w:rsidRPr="00C1603D">
        <w:t xml:space="preserve">159, 58%) and lived in the </w:t>
      </w:r>
      <w:r w:rsidR="0081105E" w:rsidRPr="00C1603D">
        <w:t>s</w:t>
      </w:r>
      <w:r w:rsidRPr="00C1603D">
        <w:t>outh</w:t>
      </w:r>
      <w:r w:rsidR="0081105E" w:rsidRPr="00C1603D">
        <w:t>-</w:t>
      </w:r>
      <w:r w:rsidRPr="00C1603D">
        <w:t>west of England (</w:t>
      </w:r>
      <w:r w:rsidRPr="00C1603D">
        <w:rPr>
          <w:i/>
          <w:color w:val="00B0F0"/>
        </w:rPr>
        <w:t>n</w:t>
      </w:r>
      <w:r w:rsidRPr="00C1603D">
        <w:rPr>
          <w:color w:val="00B0F0"/>
        </w:rPr>
        <w:t> = </w:t>
      </w:r>
      <w:r w:rsidRPr="00C1603D">
        <w:t xml:space="preserve">98, 36%). Survey respondents wanted to be 66% </w:t>
      </w:r>
      <w:r w:rsidR="0032078C" w:rsidRPr="00C1603D">
        <w:t>[</w:t>
      </w:r>
      <w:r w:rsidRPr="00C1603D">
        <w:t>median</w:t>
      </w:r>
      <w:r w:rsidR="0032078C" w:rsidRPr="00C1603D">
        <w:t xml:space="preserve"> interquartile range</w:t>
      </w:r>
      <w:r w:rsidRPr="00C1603D">
        <w:t xml:space="preserve"> </w:t>
      </w:r>
      <w:r w:rsidR="0032078C" w:rsidRPr="00C1603D">
        <w:t>(</w:t>
      </w:r>
      <w:r w:rsidRPr="00C1603D">
        <w:t>IQR</w:t>
      </w:r>
      <w:r w:rsidR="0032078C" w:rsidRPr="00C1603D">
        <w:t>)</w:t>
      </w:r>
      <w:r w:rsidRPr="00C1603D">
        <w:t xml:space="preserve"> 33</w:t>
      </w:r>
      <w:r w:rsidR="0081105E" w:rsidRPr="00C1603D">
        <w:t>–</w:t>
      </w:r>
      <w:r w:rsidRPr="00C1603D">
        <w:t>90%</w:t>
      </w:r>
      <w:r w:rsidR="0032078C" w:rsidRPr="00C1603D">
        <w:t>]</w:t>
      </w:r>
      <w:r w:rsidRPr="00C1603D">
        <w:t xml:space="preserve"> certain of the diagnosis before starting a gluten-free diet </w:t>
      </w:r>
      <w:r w:rsidR="00E643A4" w:rsidRPr="00C1603D">
        <w:t>when</w:t>
      </w:r>
      <w:r w:rsidRPr="00C1603D">
        <w:t xml:space="preserve"> they were asked to imagine that they had CD symptoms. Without symptoms, respondents</w:t>
      </w:r>
      <w:r w:rsidRPr="00C1603D" w:rsidDel="006847B6">
        <w:t xml:space="preserve"> </w:t>
      </w:r>
      <w:r w:rsidRPr="00C1603D">
        <w:t>wanted to be more certain, around 90% (median IQR 66</w:t>
      </w:r>
      <w:r w:rsidR="00E643A4" w:rsidRPr="00C1603D">
        <w:t>–</w:t>
      </w:r>
      <w:r w:rsidRPr="00C1603D">
        <w:t>99%)</w:t>
      </w:r>
      <w:r w:rsidR="00E643A4" w:rsidRPr="00C1603D">
        <w:t>,</w:t>
      </w:r>
      <w:r w:rsidRPr="00C1603D">
        <w:t xml:space="preserve"> before committing to a gluten-free diet. However, a higher proportion of respondents opted to wait for a confirmation biopsy</w:t>
      </w:r>
      <w:r w:rsidR="00CF285E" w:rsidRPr="00C1603D">
        <w:t>,</w:t>
      </w:r>
      <w:r w:rsidRPr="00C1603D">
        <w:t xml:space="preserve"> if given the option</w:t>
      </w:r>
      <w:r w:rsidR="00CF285E" w:rsidRPr="00C1603D">
        <w:t>,</w:t>
      </w:r>
      <w:r w:rsidRPr="00C1603D">
        <w:t xml:space="preserve"> instead of starting a gluten-free diet immediately, even if a hypothetical blood test gave 75</w:t>
      </w:r>
      <w:r w:rsidRPr="00C1603D">
        <w:rPr>
          <w:color w:val="00B0F0"/>
        </w:rPr>
        <w:t>–9</w:t>
      </w:r>
      <w:r w:rsidRPr="00C1603D">
        <w:t>0% certainty.</w:t>
      </w:r>
    </w:p>
    <w:p w14:paraId="40A36257" w14:textId="77777777" w:rsidR="008B4DF8" w:rsidRPr="00C1603D" w:rsidRDefault="008B4DF8" w:rsidP="008B4DF8">
      <w:pPr>
        <w:pStyle w:val="53BheadHeadingsHeadingstyles"/>
      </w:pPr>
      <w:bookmarkStart w:id="96" w:name="_Toc99539809"/>
      <w:bookmarkStart w:id="97" w:name="_Toc87550930"/>
      <w:r w:rsidRPr="00C1603D">
        <w:t>Economic modelling</w:t>
      </w:r>
      <w:bookmarkEnd w:id="96"/>
    </w:p>
    <w:p w14:paraId="57006FB2" w14:textId="5A5CB1AC" w:rsidR="008B4DF8" w:rsidRPr="00C1603D" w:rsidRDefault="3CDEEDA7" w:rsidP="008B4DF8">
      <w:pPr>
        <w:pStyle w:val="602TextfoTextstylesTextstyles"/>
      </w:pPr>
      <w:commentRangeStart w:id="98"/>
      <w:commentRangeStart w:id="99"/>
      <w:commentRangeStart w:id="100"/>
      <w:commentRangeStart w:id="101"/>
      <w:r w:rsidRPr="00C1603D">
        <w:t xml:space="preserve">The cost-effectiveness analysis found that, </w:t>
      </w:r>
      <w:r w:rsidR="005F58F2" w:rsidRPr="00C1603D">
        <w:t>for</w:t>
      </w:r>
      <w:r w:rsidRPr="00C1603D">
        <w:t xml:space="preserve"> serological testing alone</w:t>
      </w:r>
      <w:r w:rsidR="005F58F2" w:rsidRPr="00C1603D">
        <w:t>, testing adult men and women</w:t>
      </w:r>
      <w:r w:rsidRPr="00C1603D">
        <w:t xml:space="preserve"> </w:t>
      </w:r>
      <w:r w:rsidR="005F58F2" w:rsidRPr="00C1603D">
        <w:t xml:space="preserve">who have </w:t>
      </w:r>
      <w:r w:rsidRPr="00C1603D">
        <w:t xml:space="preserve">a 1% pre-test probability (i.e. testing all adults with a 1% pre-test probability of CD, which is equivalent to population screening) had the highest net benefit at £20,000 per </w:t>
      </w:r>
      <w:r w:rsidRPr="00C1603D">
        <w:rPr>
          <w:color w:val="auto"/>
          <w:lang w:eastAsia="en-GB"/>
        </w:rPr>
        <w:t>quality-adjusted life-year</w:t>
      </w:r>
      <w:r w:rsidRPr="00C1603D">
        <w:t xml:space="preserve"> (QALY). </w:t>
      </w:r>
      <w:commentRangeEnd w:id="98"/>
      <w:r w:rsidR="008B4DF8" w:rsidRPr="00C1603D">
        <w:commentReference w:id="98"/>
      </w:r>
      <w:commentRangeEnd w:id="99"/>
      <w:r w:rsidR="008B4DF8" w:rsidRPr="00C1603D">
        <w:commentReference w:id="99"/>
      </w:r>
      <w:commentRangeEnd w:id="100"/>
      <w:r w:rsidR="0034243D" w:rsidRPr="00C1603D">
        <w:commentReference w:id="100"/>
      </w:r>
      <w:commentRangeEnd w:id="101"/>
      <w:r w:rsidRPr="00C1603D">
        <w:commentReference w:id="101"/>
      </w:r>
      <w:r w:rsidRPr="00C1603D">
        <w:t>This resulted in incremental net benefits, relative to no screening, of £24,331 [95% credible interval (CrI) £5080 to £56,493] for men and £24,382 (95% CrI £4829 to £59,154) for women. The serological tests (i.e. IgA EMA and IgA tTG) had similar cost-effectiveness and there was limited benefit to including both IgA EMA and IgA tTG tests. Strategies using both HLA and serological testing with pre-test probabilities of 1</w:t>
      </w:r>
      <w:r w:rsidRPr="00C1603D">
        <w:rPr>
          <w:color w:val="00B0F0"/>
        </w:rPr>
        <w:t>–2</w:t>
      </w:r>
      <w:r w:rsidRPr="00C1603D">
        <w:t xml:space="preserve">0% had </w:t>
      </w:r>
      <w:proofErr w:type="gramStart"/>
      <w:r w:rsidRPr="00C1603D">
        <w:t>very similar</w:t>
      </w:r>
      <w:proofErr w:type="gramEnd"/>
      <w:r w:rsidRPr="00C1603D">
        <w:t xml:space="preserve"> net benefits to each other and to those of IgA tTG testing with 1% pre-test probability, and 95% CrIs were completely overlapping. The probability that any one test had the highest net benefit was &lt; 60% for adult men and 50% for adult women, suggesting uncertainty.</w:t>
      </w:r>
    </w:p>
    <w:p w14:paraId="46C9D7C8" w14:textId="1BCD4B2D" w:rsidR="008B4DF8" w:rsidRPr="00C1603D" w:rsidRDefault="00C50362" w:rsidP="008B4DF8">
      <w:pPr>
        <w:pStyle w:val="602TextfoTextstylesTextstyles"/>
      </w:pPr>
      <w:r w:rsidRPr="00C1603D">
        <w:t>Among</w:t>
      </w:r>
      <w:r w:rsidR="008B4DF8" w:rsidRPr="00C1603D">
        <w:t xml:space="preserve"> children, testing all those with a pre-test probability of </w:t>
      </w:r>
      <w:r w:rsidRPr="00C1603D">
        <w:rPr>
          <w:rFonts w:cs="Lato"/>
        </w:rPr>
        <w:t>≥</w:t>
      </w:r>
      <w:r w:rsidRPr="00C1603D">
        <w:t> </w:t>
      </w:r>
      <w:r w:rsidR="008B4DF8" w:rsidRPr="00C1603D">
        <w:t>10% with HLA plus IgA tTG had the greatest net benefit at £20,000</w:t>
      </w:r>
      <w:r w:rsidRPr="00C1603D">
        <w:t xml:space="preserve"> per </w:t>
      </w:r>
      <w:r w:rsidR="008B4DF8" w:rsidRPr="00C1603D">
        <w:t xml:space="preserve">QALY, with </w:t>
      </w:r>
      <w:r w:rsidRPr="00C1603D">
        <w:t xml:space="preserve">an </w:t>
      </w:r>
      <w:r w:rsidR="008B4DF8" w:rsidRPr="00C1603D">
        <w:t>incremental net benefit</w:t>
      </w:r>
      <w:r w:rsidRPr="00C1603D">
        <w:t xml:space="preserve"> of</w:t>
      </w:r>
      <w:r w:rsidR="008B4DF8" w:rsidRPr="00C1603D">
        <w:t xml:space="preserve"> £13,090 (</w:t>
      </w:r>
      <w:r w:rsidRPr="00C1603D">
        <w:t>95% CrI £</w:t>
      </w:r>
      <w:r w:rsidR="008B4DF8" w:rsidRPr="00C1603D">
        <w:t>3929</w:t>
      </w:r>
      <w:r w:rsidRPr="00C1603D">
        <w:t xml:space="preserve"> to</w:t>
      </w:r>
      <w:r w:rsidR="008B4DF8" w:rsidRPr="00C1603D">
        <w:t xml:space="preserve"> </w:t>
      </w:r>
      <w:r w:rsidRPr="00C1603D">
        <w:t>£</w:t>
      </w:r>
      <w:r w:rsidR="008B4DF8" w:rsidRPr="00C1603D">
        <w:t>36</w:t>
      </w:r>
      <w:r w:rsidRPr="00C1603D">
        <w:t>,</w:t>
      </w:r>
      <w:r w:rsidR="008B4DF8" w:rsidRPr="00C1603D">
        <w:t>260)</w:t>
      </w:r>
      <w:r w:rsidRPr="00C1603D">
        <w:t>,</w:t>
      </w:r>
      <w:r w:rsidR="008B4DF8" w:rsidRPr="00C1603D">
        <w:t xml:space="preserve"> relative to no screening</w:t>
      </w:r>
      <w:r w:rsidRPr="00C1603D">
        <w:t>; it also had the</w:t>
      </w:r>
      <w:r w:rsidR="008B4DF8" w:rsidRPr="00C1603D">
        <w:t xml:space="preserve"> highest probability (</w:t>
      </w:r>
      <w:r w:rsidRPr="00C1603D">
        <w:rPr>
          <w:rFonts w:cs="Lato"/>
        </w:rPr>
        <w:t>≈</w:t>
      </w:r>
      <w:r w:rsidRPr="00C1603D">
        <w:t> </w:t>
      </w:r>
      <w:r w:rsidR="008B4DF8" w:rsidRPr="00C1603D">
        <w:t xml:space="preserve">80%) of being cost-effective </w:t>
      </w:r>
      <w:r w:rsidRPr="00C1603D">
        <w:t>at &gt; </w:t>
      </w:r>
      <w:r w:rsidR="008B4DF8" w:rsidRPr="00C1603D">
        <w:t>£10,000</w:t>
      </w:r>
      <w:r w:rsidRPr="00C1603D">
        <w:t xml:space="preserve"> per </w:t>
      </w:r>
      <w:r w:rsidR="008B4DF8" w:rsidRPr="00C1603D">
        <w:t>QALY. Again, there was limited difference in cost-effectiveness between pre-test probabilities</w:t>
      </w:r>
      <w:r w:rsidRPr="00C1603D">
        <w:t>,</w:t>
      </w:r>
      <w:r w:rsidR="008B4DF8" w:rsidRPr="00C1603D">
        <w:t xml:space="preserve"> so long as either IgA EMA plus HLA or HLA plus IgA tTG were used as the testing combination.</w:t>
      </w:r>
    </w:p>
    <w:p w14:paraId="4867DE82" w14:textId="0D7C7381" w:rsidR="008B4DF8" w:rsidRPr="00C1603D" w:rsidRDefault="008B4DF8" w:rsidP="008B4DF8">
      <w:pPr>
        <w:pStyle w:val="602TextfoTextstylesTextstyles"/>
        <w:rPr>
          <w:rFonts w:cs="Calibri"/>
        </w:rPr>
      </w:pPr>
      <w:r w:rsidRPr="00C1603D">
        <w:lastRenderedPageBreak/>
        <w:t xml:space="preserve">There was substantial uncertainty in these results, and </w:t>
      </w:r>
      <w:r w:rsidR="00631EC4" w:rsidRPr="00C1603D">
        <w:t xml:space="preserve">a </w:t>
      </w:r>
      <w:r w:rsidRPr="00C1603D">
        <w:t>value</w:t>
      </w:r>
      <w:r w:rsidR="00631EC4" w:rsidRPr="00C1603D">
        <w:t>-</w:t>
      </w:r>
      <w:r w:rsidRPr="00C1603D">
        <w:t>of</w:t>
      </w:r>
      <w:r w:rsidR="00631EC4" w:rsidRPr="00C1603D">
        <w:t>-</w:t>
      </w:r>
      <w:r w:rsidRPr="00C1603D">
        <w:t xml:space="preserve">information analysis indicated </w:t>
      </w:r>
      <w:r w:rsidR="00631EC4" w:rsidRPr="00C1603D">
        <w:t xml:space="preserve">that </w:t>
      </w:r>
      <w:r w:rsidRPr="00C1603D">
        <w:t xml:space="preserve">they were sensitive to the probability of diagnosis of CD during routine care and the accuracy of HLA and serological tests. </w:t>
      </w:r>
      <w:r w:rsidRPr="00C1603D">
        <w:rPr>
          <w:rFonts w:cs="Calibri"/>
        </w:rPr>
        <w:t>The total population expected value of perfect information was £25.7</w:t>
      </w:r>
      <w:r w:rsidR="00631EC4" w:rsidRPr="00C1603D">
        <w:rPr>
          <w:rFonts w:cs="Calibri"/>
        </w:rPr>
        <w:t>M for men</w:t>
      </w:r>
      <w:r w:rsidRPr="00C1603D">
        <w:rPr>
          <w:rFonts w:cs="Calibri"/>
        </w:rPr>
        <w:t>, £79.</w:t>
      </w:r>
      <w:r w:rsidR="00631EC4" w:rsidRPr="00C1603D">
        <w:rPr>
          <w:rFonts w:cs="Calibri"/>
        </w:rPr>
        <w:t>0M for women</w:t>
      </w:r>
      <w:r w:rsidRPr="00C1603D">
        <w:rPr>
          <w:rFonts w:cs="Calibri"/>
        </w:rPr>
        <w:t xml:space="preserve"> and £18.4</w:t>
      </w:r>
      <w:r w:rsidR="00631EC4" w:rsidRPr="00C1603D">
        <w:rPr>
          <w:rFonts w:cs="Calibri"/>
        </w:rPr>
        <w:t>M for children</w:t>
      </w:r>
      <w:r w:rsidRPr="00C1603D">
        <w:rPr>
          <w:rFonts w:cs="Calibri"/>
        </w:rPr>
        <w:t xml:space="preserve">, indicating potential value of further research, particularly </w:t>
      </w:r>
      <w:r w:rsidR="00631EC4" w:rsidRPr="00C1603D">
        <w:rPr>
          <w:rFonts w:cs="Calibri"/>
        </w:rPr>
        <w:t>for</w:t>
      </w:r>
      <w:r w:rsidRPr="00C1603D">
        <w:rPr>
          <w:rFonts w:cs="Calibri"/>
        </w:rPr>
        <w:t xml:space="preserve"> women.</w:t>
      </w:r>
    </w:p>
    <w:p w14:paraId="53D00CAC" w14:textId="77777777" w:rsidR="008B4DF8" w:rsidRPr="00C1603D" w:rsidRDefault="008B4DF8" w:rsidP="008B4DF8">
      <w:pPr>
        <w:pStyle w:val="52AheadHeadingsHeadingstyles"/>
      </w:pPr>
      <w:bookmarkStart w:id="102" w:name="_Toc87550931"/>
      <w:bookmarkStart w:id="103" w:name="_Toc99539810"/>
      <w:bookmarkEnd w:id="97"/>
      <w:r w:rsidRPr="00C1603D">
        <w:t>Conclusions</w:t>
      </w:r>
      <w:bookmarkEnd w:id="102"/>
      <w:bookmarkEnd w:id="103"/>
    </w:p>
    <w:p w14:paraId="6F830E74" w14:textId="77777777" w:rsidR="008B4DF8" w:rsidRPr="00C1603D" w:rsidRDefault="008B4DF8" w:rsidP="008B4DF8">
      <w:pPr>
        <w:pStyle w:val="53BheadHeadingsHeadingstyles"/>
      </w:pPr>
      <w:bookmarkStart w:id="104" w:name="_Toc87551027"/>
      <w:bookmarkStart w:id="105" w:name="_Toc99539811"/>
      <w:r w:rsidRPr="00C1603D">
        <w:t>Implications for practice</w:t>
      </w:r>
      <w:bookmarkEnd w:id="104"/>
      <w:bookmarkEnd w:id="105"/>
    </w:p>
    <w:p w14:paraId="11CE6E88" w14:textId="61D9B41B" w:rsidR="008B4DF8" w:rsidRPr="00C1603D" w:rsidRDefault="008B4DF8" w:rsidP="008B4DF8">
      <w:pPr>
        <w:pStyle w:val="602TextfoTextstylesTextstyles"/>
      </w:pPr>
      <w:r w:rsidRPr="00C1603D">
        <w:t xml:space="preserve">Based on the cost-effectiveness analysis, the most cost-effective strategy </w:t>
      </w:r>
      <w:r w:rsidR="00631EC4" w:rsidRPr="00C1603D">
        <w:t>for</w:t>
      </w:r>
      <w:r w:rsidRPr="00C1603D">
        <w:t xml:space="preserve"> adults</w:t>
      </w:r>
      <w:r w:rsidR="00AC656A" w:rsidRPr="00C1603D">
        <w:t>,</w:t>
      </w:r>
      <w:r w:rsidRPr="00C1603D">
        <w:t xml:space="preserve"> using serological testing alone</w:t>
      </w:r>
      <w:r w:rsidR="00AC656A" w:rsidRPr="00C1603D">
        <w:t>,</w:t>
      </w:r>
      <w:r w:rsidRPr="00C1603D">
        <w:t xml:space="preserve"> appears to be population</w:t>
      </w:r>
      <w:r w:rsidR="00631EC4" w:rsidRPr="00C1603D">
        <w:t>-</w:t>
      </w:r>
      <w:r w:rsidRPr="00C1603D">
        <w:t>based screening (1% pre-test probability) with either</w:t>
      </w:r>
      <w:r w:rsidR="00AC656A" w:rsidRPr="00C1603D">
        <w:t xml:space="preserve"> the</w:t>
      </w:r>
      <w:r w:rsidRPr="00C1603D">
        <w:t xml:space="preserve"> IgA tTG or IgA EMA</w:t>
      </w:r>
      <w:r w:rsidR="00AC656A" w:rsidRPr="00C1603D">
        <w:t xml:space="preserve"> test</w:t>
      </w:r>
      <w:r w:rsidRPr="00C1603D">
        <w:t xml:space="preserve">, or with a combination of both tests. However, there is substantial uncertainty in these results and further research is needed prior to any implementation of screening. Given the wider availability of IgA tTG in UK laboratories, and the more objective nature of the test, IgA tTG is </w:t>
      </w:r>
      <w:proofErr w:type="gramStart"/>
      <w:r w:rsidRPr="00C1603D">
        <w:t>probably the</w:t>
      </w:r>
      <w:proofErr w:type="gramEnd"/>
      <w:r w:rsidRPr="00C1603D">
        <w:t xml:space="preserve"> preferred serological test. Decisions to implement </w:t>
      </w:r>
      <w:r w:rsidR="00631EC4" w:rsidRPr="00C1603D">
        <w:t>population-based</w:t>
      </w:r>
      <w:r w:rsidRPr="00C1603D">
        <w:t xml:space="preserve"> screening should not be made based on this economic analysis alone</w:t>
      </w:r>
      <w:r w:rsidR="00040CCF" w:rsidRPr="00C1603D">
        <w:t>:</w:t>
      </w:r>
      <w:r w:rsidRPr="00C1603D">
        <w:t xml:space="preserve"> the proposed screening programme must meet UK National Screening Committee </w:t>
      </w:r>
      <w:r w:rsidR="00040CCF" w:rsidRPr="00C1603D">
        <w:t>c</w:t>
      </w:r>
      <w:r w:rsidRPr="00C1603D">
        <w:t xml:space="preserve">riteria. </w:t>
      </w:r>
      <w:r w:rsidR="00040CCF" w:rsidRPr="00C1603D">
        <w:rPr>
          <w:color w:val="00B0F0"/>
        </w:rPr>
        <w:t>Although</w:t>
      </w:r>
      <w:r w:rsidRPr="00C1603D">
        <w:t xml:space="preserve"> a CD screening programme meets some of these criteria</w:t>
      </w:r>
      <w:r w:rsidR="00040CCF" w:rsidRPr="00C1603D">
        <w:t>,</w:t>
      </w:r>
      <w:r w:rsidRPr="00C1603D">
        <w:t xml:space="preserve"> it does not yet meet all criteria. Additional required criteria are</w:t>
      </w:r>
      <w:r w:rsidR="00960C26" w:rsidRPr="00C1603D">
        <w:t xml:space="preserve"> as follows:</w:t>
      </w:r>
      <w:r w:rsidRPr="00C1603D">
        <w:t xml:space="preserve"> a consensus on an appropriate threshold for the screening test (</w:t>
      </w:r>
      <w:r w:rsidR="00960C26" w:rsidRPr="00C1603D">
        <w:t xml:space="preserve">i.e. </w:t>
      </w:r>
      <w:r w:rsidRPr="00C1603D">
        <w:t xml:space="preserve">IgA tTG), agreement on further diagnostic workup </w:t>
      </w:r>
      <w:r w:rsidR="00960C26" w:rsidRPr="00C1603D">
        <w:t>among</w:t>
      </w:r>
      <w:r w:rsidRPr="00C1603D">
        <w:t xml:space="preserve"> those testing positive for IgA tTG and randomised trials showing the effectiveness of the screening programme.</w:t>
      </w:r>
    </w:p>
    <w:p w14:paraId="37730A95" w14:textId="08D61DBD" w:rsidR="008B4DF8" w:rsidRPr="00C1603D" w:rsidRDefault="3CDEEDA7" w:rsidP="008B4DF8">
      <w:pPr>
        <w:pStyle w:val="602TextfoTextstylesTextstyles"/>
      </w:pPr>
      <w:r w:rsidRPr="00C1603D">
        <w:t xml:space="preserve">Given that population screening is not considered appropriate, we recommend a strategy for adults that combines HLA testing with IgA tTG among those with at least a 1.5% pre-test probability of having CD. These strategies had </w:t>
      </w:r>
      <w:proofErr w:type="gramStart"/>
      <w:r w:rsidRPr="00C1603D">
        <w:t>nearly identical</w:t>
      </w:r>
      <w:proofErr w:type="gramEnd"/>
      <w:r w:rsidRPr="00C1603D">
        <w:t xml:space="preserve"> cost-effectiveness to that of the IgA tTG test with 1% pre-test probability, based on our cost-effectiveness analysis. They also had similar cost-effectiveness to more targeted strategies with pre-test probabilities of 5</w:t>
      </w:r>
      <w:r w:rsidRPr="00C1603D">
        <w:rPr>
          <w:color w:val="00B0F0"/>
        </w:rPr>
        <w:t>–2</w:t>
      </w:r>
      <w:r w:rsidRPr="00C1603D">
        <w:t xml:space="preserve">0%, and people with lower pre-test probabilities are easier to identify, based on our review of diagnostic indicators and prediction models. </w:t>
      </w:r>
      <w:commentRangeStart w:id="106"/>
      <w:commentRangeStart w:id="107"/>
      <w:r w:rsidRPr="00C1603D">
        <w:t xml:space="preserve">For children, the most </w:t>
      </w:r>
      <w:r w:rsidRPr="00C1603D">
        <w:rPr>
          <w:color w:val="00B0F0"/>
        </w:rPr>
        <w:t>cost-effective</w:t>
      </w:r>
      <w:r w:rsidRPr="00C1603D">
        <w:t xml:space="preserve"> testing strategy is to test those with a 10% pre-test probability of CD (more </w:t>
      </w:r>
      <w:r w:rsidRPr="00C1603D">
        <w:rPr>
          <w:color w:val="00B0F0"/>
        </w:rPr>
        <w:t>cost-effective</w:t>
      </w:r>
      <w:r w:rsidRPr="00C1603D">
        <w:t xml:space="preserve"> than population screening). </w:t>
      </w:r>
      <w:commentRangeEnd w:id="106"/>
      <w:r w:rsidR="008B4DF8" w:rsidRPr="00C1603D">
        <w:commentReference w:id="106"/>
      </w:r>
      <w:commentRangeEnd w:id="107"/>
      <w:r w:rsidR="008B4DF8" w:rsidRPr="00C1603D">
        <w:commentReference w:id="107"/>
      </w:r>
      <w:r w:rsidRPr="00C1603D">
        <w:t>Therefore, indicators that should prompt testing are those that increase the risk of CD to at least 1.5% among adults (equivalent to at least one of the identified predictors) and to 10% among children, that is children with certain high-risk predictors (e.g. anaemia) or a combination of lower-risk predictors (e.g. failure to thrive and gastrointestinal symptoms). These are diagnostic indicators identified by our review of diagnostic indicators and through the prediction model. The most predictive indicator in all populations was having a first-degree relative with CD. Other indicators identified by our review, but not currently recommended in existing guidelines, that should prompt testing include migraine and chronic liver disease.</w:t>
      </w:r>
    </w:p>
    <w:p w14:paraId="5369D24A" w14:textId="24344CD7" w:rsidR="008B4DF8" w:rsidRPr="00C1603D" w:rsidRDefault="008B4DF8" w:rsidP="008B4DF8">
      <w:pPr>
        <w:pStyle w:val="602TextfoTextstylesTextstyles"/>
      </w:pPr>
      <w:r w:rsidRPr="00C1603D">
        <w:t>The cost-effectiveness analysis found that HLA testing prior to IgA tTG</w:t>
      </w:r>
      <w:r w:rsidR="00E03765" w:rsidRPr="00C1603D">
        <w:t xml:space="preserve"> testing</w:t>
      </w:r>
      <w:r w:rsidRPr="00C1603D">
        <w:t xml:space="preserve"> was the most cost-effective ordering of these tests. However, in practice such a strategy may have unintended costs and consequences not captured by the economic model. A strategy where</w:t>
      </w:r>
      <w:r w:rsidR="00E03765" w:rsidRPr="00C1603D">
        <w:t>by</w:t>
      </w:r>
      <w:r w:rsidRPr="00C1603D">
        <w:t xml:space="preserve"> serological testing is performed first may therefore be preferable, although this would be likely to lead to a greater number of false</w:t>
      </w:r>
      <w:r w:rsidR="007577AA" w:rsidRPr="00C1603D">
        <w:t>-</w:t>
      </w:r>
      <w:r w:rsidRPr="00C1603D">
        <w:t>negative and false</w:t>
      </w:r>
      <w:r w:rsidR="007577AA" w:rsidRPr="00C1603D">
        <w:t>-</w:t>
      </w:r>
      <w:r w:rsidRPr="00C1603D">
        <w:t>positive results overall.</w:t>
      </w:r>
    </w:p>
    <w:p w14:paraId="1DB54AC2" w14:textId="66859621" w:rsidR="008B4DF8" w:rsidRPr="00C1603D" w:rsidRDefault="008B4DF8" w:rsidP="008B4DF8">
      <w:pPr>
        <w:pStyle w:val="602TextfoTextstylesTextstyles"/>
      </w:pPr>
      <w:r w:rsidRPr="00C1603D">
        <w:t xml:space="preserve">All strategies assumed </w:t>
      </w:r>
      <w:r w:rsidR="007577AA" w:rsidRPr="00C1603D">
        <w:t xml:space="preserve">that </w:t>
      </w:r>
      <w:r w:rsidRPr="00C1603D">
        <w:t xml:space="preserve">biopsy would be recommended if the post-test probability following positive test results remained </w:t>
      </w:r>
      <w:r w:rsidR="007577AA" w:rsidRPr="00C1603D">
        <w:t>&lt; </w:t>
      </w:r>
      <w:r w:rsidRPr="00C1603D">
        <w:t xml:space="preserve">90%. Whether </w:t>
      </w:r>
      <w:r w:rsidR="007577AA" w:rsidRPr="00C1603D">
        <w:t xml:space="preserve">or not </w:t>
      </w:r>
      <w:r w:rsidRPr="00C1603D">
        <w:t xml:space="preserve">this is the case will depend on the pre-test probability of disease, and so it may be difficult to implement such a strategy in practice. The variation among individuals in their preferred diagnostic certainty and attitudes towards having a biopsy or following </w:t>
      </w:r>
      <w:r w:rsidR="007577AA" w:rsidRPr="00C1603D">
        <w:t>a</w:t>
      </w:r>
      <w:r w:rsidRPr="00C1603D">
        <w:t xml:space="preserve"> gluten-free diet suggests that shared </w:t>
      </w:r>
      <w:r w:rsidRPr="00C1603D">
        <w:rPr>
          <w:color w:val="00B0F0"/>
        </w:rPr>
        <w:t>decision-mak</w:t>
      </w:r>
      <w:r w:rsidRPr="00C1603D">
        <w:t>ing in which patient preferences are tak</w:t>
      </w:r>
      <w:r w:rsidR="007577AA" w:rsidRPr="00C1603D">
        <w:t>en</w:t>
      </w:r>
      <w:r w:rsidRPr="00C1603D">
        <w:t xml:space="preserve"> into account is important in determining the </w:t>
      </w:r>
      <w:r w:rsidRPr="00C1603D">
        <w:rPr>
          <w:color w:val="00B0F0"/>
        </w:rPr>
        <w:t>‘</w:t>
      </w:r>
      <w:r w:rsidRPr="00C1603D">
        <w:t>optimum</w:t>
      </w:r>
      <w:r w:rsidRPr="00C1603D">
        <w:rPr>
          <w:color w:val="00B0F0"/>
        </w:rPr>
        <w:t>’</w:t>
      </w:r>
      <w:r w:rsidRPr="00C1603D">
        <w:t xml:space="preserve"> diagnostic pathway.</w:t>
      </w:r>
    </w:p>
    <w:p w14:paraId="4F01C134" w14:textId="77777777" w:rsidR="008B4DF8" w:rsidRPr="00C1603D" w:rsidRDefault="008B4DF8" w:rsidP="008B4DF8">
      <w:pPr>
        <w:pStyle w:val="52AheadHeadingsHeadingstyles"/>
      </w:pPr>
      <w:bookmarkStart w:id="108" w:name="_Toc87551028"/>
      <w:bookmarkStart w:id="109" w:name="_Toc99539812"/>
      <w:r w:rsidRPr="00C1603D">
        <w:lastRenderedPageBreak/>
        <w:t>Suggested research priorities</w:t>
      </w:r>
      <w:bookmarkEnd w:id="108"/>
      <w:bookmarkEnd w:id="109"/>
    </w:p>
    <w:p w14:paraId="115DC1BC" w14:textId="48873407" w:rsidR="008B4DF8" w:rsidRPr="00C1603D" w:rsidRDefault="008B4DF8" w:rsidP="008B4DF8">
      <w:pPr>
        <w:pStyle w:val="602TextfoTextstylesTextstyles"/>
      </w:pPr>
      <w:r w:rsidRPr="00C1603D">
        <w:t xml:space="preserve">Given that one of the most cost-effective strategies based on our cost-effectiveness analysis was </w:t>
      </w:r>
      <w:r w:rsidR="00631EC4" w:rsidRPr="00C1603D">
        <w:t>population-based</w:t>
      </w:r>
      <w:r w:rsidRPr="00C1603D">
        <w:t xml:space="preserve"> screening, future work should consider whether </w:t>
      </w:r>
      <w:r w:rsidR="00451969" w:rsidRPr="00C1603D">
        <w:t xml:space="preserve">or not </w:t>
      </w:r>
      <w:r w:rsidR="00631EC4" w:rsidRPr="00C1603D">
        <w:t>population-based</w:t>
      </w:r>
      <w:r w:rsidRPr="00C1603D">
        <w:t xml:space="preserve"> screening for CD could meet the UK National Screening Committee </w:t>
      </w:r>
      <w:r w:rsidR="00451969" w:rsidRPr="00C1603D">
        <w:t>c</w:t>
      </w:r>
      <w:r w:rsidRPr="00C1603D">
        <w:t>riteria.</w:t>
      </w:r>
    </w:p>
    <w:p w14:paraId="54DDF49B" w14:textId="05400B6A" w:rsidR="008B4DF8" w:rsidRPr="00C1603D" w:rsidRDefault="00235258" w:rsidP="008B4DF8">
      <w:pPr>
        <w:pStyle w:val="602TextfoTextstylesTextstyles"/>
      </w:pPr>
      <w:r w:rsidRPr="00C1603D">
        <w:t>A v</w:t>
      </w:r>
      <w:r w:rsidR="008B4DF8" w:rsidRPr="00C1603D">
        <w:t>alue</w:t>
      </w:r>
      <w:r w:rsidR="00451969" w:rsidRPr="00C1603D">
        <w:t>-</w:t>
      </w:r>
      <w:r w:rsidR="008B4DF8" w:rsidRPr="00C1603D">
        <w:t>of</w:t>
      </w:r>
      <w:r w:rsidR="00451969" w:rsidRPr="00C1603D">
        <w:t>-</w:t>
      </w:r>
      <w:r w:rsidR="008B4DF8" w:rsidRPr="00C1603D">
        <w:t>information analysis suggested that future research should focus on the probability of CD diagnosis during routine care and the accuracy of serological and HLA testing.</w:t>
      </w:r>
    </w:p>
    <w:p w14:paraId="61FDB7B2" w14:textId="691D04DE" w:rsidR="008B4DF8" w:rsidRPr="00C1603D" w:rsidRDefault="008B4DF8" w:rsidP="008B4DF8">
      <w:pPr>
        <w:pStyle w:val="602TextfoTextstylesTextstyles"/>
      </w:pPr>
      <w:r w:rsidRPr="00C1603D">
        <w:t xml:space="preserve">There is a need for large prospective cohort studies </w:t>
      </w:r>
      <w:r w:rsidR="0032238D" w:rsidRPr="00C1603D">
        <w:t>in which</w:t>
      </w:r>
      <w:r w:rsidRPr="00C1603D">
        <w:t xml:space="preserve"> all participants receive accurate tests for CD</w:t>
      </w:r>
      <w:r w:rsidR="0032238D" w:rsidRPr="00C1603D">
        <w:t>,</w:t>
      </w:r>
      <w:r w:rsidRPr="00C1603D">
        <w:t xml:space="preserve"> to provide</w:t>
      </w:r>
      <w:r w:rsidR="0032238D" w:rsidRPr="00C1603D">
        <w:t xml:space="preserve"> a</w:t>
      </w:r>
      <w:r w:rsidRPr="00C1603D">
        <w:t xml:space="preserve"> more accurate estimate of the diagnostic ability of indicators and to develop a more robust clinical prediction model.</w:t>
      </w:r>
    </w:p>
    <w:p w14:paraId="5D7D1C40" w14:textId="77777777" w:rsidR="008B4DF8" w:rsidRPr="00C1603D" w:rsidRDefault="008B4DF8" w:rsidP="008B4DF8">
      <w:pPr>
        <w:pStyle w:val="52AheadHeadingsHeadingstyles"/>
      </w:pPr>
      <w:bookmarkStart w:id="110" w:name="_Toc99539813"/>
      <w:r w:rsidRPr="00C1603D">
        <w:t>Study registration</w:t>
      </w:r>
      <w:bookmarkEnd w:id="110"/>
    </w:p>
    <w:p w14:paraId="23B1B55E" w14:textId="22BDB178" w:rsidR="008B4DF8" w:rsidRPr="00C1603D" w:rsidRDefault="006D4883" w:rsidP="008B4DF8">
      <w:pPr>
        <w:pStyle w:val="602TextfoTextstylesTextstyles"/>
        <w:rPr>
          <w:rFonts w:eastAsia="Calibri"/>
          <w:u w:color="000000"/>
          <w:bdr w:val="nil"/>
          <w:lang w:eastAsia="zh-CN"/>
        </w:rPr>
      </w:pPr>
      <w:r w:rsidRPr="00C1603D">
        <w:rPr>
          <w:rFonts w:eastAsia="Calibri"/>
          <w:u w:color="000000"/>
          <w:bdr w:val="nil"/>
          <w:lang w:eastAsia="zh-CN"/>
        </w:rPr>
        <w:t xml:space="preserve">This study is registered as </w:t>
      </w:r>
      <w:r w:rsidR="008B4DF8" w:rsidRPr="00C1603D">
        <w:rPr>
          <w:rFonts w:eastAsia="Calibri"/>
          <w:u w:color="000000"/>
          <w:bdr w:val="nil"/>
          <w:lang w:eastAsia="zh-CN"/>
        </w:rPr>
        <w:t>PROSPERO CRD42019115506 and CRD42020170766</w:t>
      </w:r>
      <w:r w:rsidRPr="00C1603D">
        <w:rPr>
          <w:rFonts w:eastAsia="Calibri"/>
          <w:u w:color="000000"/>
          <w:bdr w:val="nil"/>
          <w:lang w:eastAsia="zh-CN"/>
        </w:rPr>
        <w:t>.</w:t>
      </w:r>
    </w:p>
    <w:p w14:paraId="7387A31F" w14:textId="77777777" w:rsidR="008B4DF8" w:rsidRPr="00C1603D" w:rsidRDefault="008B4DF8" w:rsidP="008B4DF8">
      <w:pPr>
        <w:pStyle w:val="52AheadHeadingsHeadingstyles"/>
      </w:pPr>
      <w:bookmarkStart w:id="111" w:name="_Toc99539814"/>
      <w:r w:rsidRPr="00C1603D">
        <w:t>Funding</w:t>
      </w:r>
      <w:bookmarkEnd w:id="111"/>
    </w:p>
    <w:p w14:paraId="3589E382" w14:textId="02523D80" w:rsidR="008B4DF8" w:rsidRPr="00C1603D" w:rsidRDefault="006D4883" w:rsidP="008B4DF8">
      <w:pPr>
        <w:pStyle w:val="602TextfoTextstylesTextstyles"/>
      </w:pPr>
      <w:r w:rsidRPr="00C1603D">
        <w:t>This project was funded by the National Institute for Health</w:t>
      </w:r>
      <w:r w:rsidR="00301D60" w:rsidRPr="00C1603D">
        <w:t xml:space="preserve"> and Care</w:t>
      </w:r>
      <w:r w:rsidRPr="00C1603D">
        <w:t xml:space="preserve"> Research (NIHR) Health Technology Assessment programme and will be published in full in Health Technology Assessment; Vol. X, No. X. See the NIHR Journals Library website for further project information.</w:t>
      </w:r>
    </w:p>
    <w:p w14:paraId="05E9C6D3" w14:textId="77777777" w:rsidR="008B4DF8" w:rsidRPr="00C1603D" w:rsidRDefault="008B4DF8" w:rsidP="00BD0968">
      <w:pPr>
        <w:pStyle w:val="43ChaptertitleHeadingsHeadingstyles"/>
        <w:tabs>
          <w:tab w:val="left" w:pos="3969"/>
        </w:tabs>
      </w:pPr>
      <w:bookmarkStart w:id="112" w:name="_Toc99539815"/>
      <w:r w:rsidRPr="00C1603D">
        <w:lastRenderedPageBreak/>
        <w:t>Chapter 1</w:t>
      </w:r>
      <w:r w:rsidRPr="00C1603D">
        <w:t> </w:t>
      </w:r>
      <w:r w:rsidRPr="00C1603D">
        <w:t>Objectives</w:t>
      </w:r>
      <w:bookmarkEnd w:id="112"/>
    </w:p>
    <w:p w14:paraId="747D42E6" w14:textId="01995A5E" w:rsidR="008B4DF8" w:rsidRPr="00C1603D" w:rsidRDefault="008B4DF8" w:rsidP="008B4DF8">
      <w:pPr>
        <w:pStyle w:val="601TextdropcapTextstylesTextstyles"/>
      </w:pPr>
      <w:r w:rsidRPr="00C1603D">
        <w:t xml:space="preserve">The overall aim of this project </w:t>
      </w:r>
      <w:r w:rsidR="00B929B2" w:rsidRPr="00C1603D">
        <w:t>wa</w:t>
      </w:r>
      <w:r w:rsidRPr="00C1603D">
        <w:t>s to define at</w:t>
      </w:r>
      <w:r w:rsidR="00B929B2" w:rsidRPr="00C1603D">
        <w:t>-</w:t>
      </w:r>
      <w:r w:rsidRPr="00C1603D">
        <w:t xml:space="preserve">risk groups and determine the cost-effectiveness of active </w:t>
      </w:r>
      <w:r w:rsidR="0087034D" w:rsidRPr="00C1603D">
        <w:t>case-finding</w:t>
      </w:r>
      <w:r w:rsidRPr="00C1603D">
        <w:t xml:space="preserve"> in primary care.</w:t>
      </w:r>
    </w:p>
    <w:p w14:paraId="047C5EE1" w14:textId="4139B277" w:rsidR="008B4DF8" w:rsidRPr="00C1603D" w:rsidRDefault="008B4DF8" w:rsidP="008B4DF8">
      <w:pPr>
        <w:pStyle w:val="602TextfoTextstylesTextstyles"/>
      </w:pPr>
      <w:r w:rsidRPr="00C1603D">
        <w:t xml:space="preserve">We defined the following </w:t>
      </w:r>
      <w:r w:rsidR="00662AE6" w:rsidRPr="00C1603D">
        <w:t xml:space="preserve">six </w:t>
      </w:r>
      <w:r w:rsidRPr="00C1603D">
        <w:t>objectives to address this overall aim:</w:t>
      </w:r>
    </w:p>
    <w:p w14:paraId="325091D1" w14:textId="1D879516" w:rsidR="008B4DF8" w:rsidRPr="00C1603D" w:rsidRDefault="00662AE6" w:rsidP="00662AE6">
      <w:pPr>
        <w:pStyle w:val="621TextnumberedlistTextstylesTextstyles"/>
      </w:pPr>
      <w:r w:rsidRPr="00C1603D">
        <w:t xml:space="preserve">systematic </w:t>
      </w:r>
      <w:r w:rsidR="008B4DF8" w:rsidRPr="00C1603D">
        <w:t>review of the accuracy of potential diagnostic indicators for coeliac disease</w:t>
      </w:r>
      <w:r w:rsidRPr="00C1603D">
        <w:t xml:space="preserve"> (CD)</w:t>
      </w:r>
      <w:r w:rsidR="008B4DF8" w:rsidRPr="00C1603D">
        <w:t xml:space="preserve"> (</w:t>
      </w:r>
      <w:r w:rsidRPr="00C1603D">
        <w:t xml:space="preserve">see </w:t>
      </w:r>
      <w:r w:rsidR="008B4DF8" w:rsidRPr="00C1603D">
        <w:rPr>
          <w:i/>
          <w:iCs/>
        </w:rPr>
        <w:t>Chapter 3</w:t>
      </w:r>
      <w:r w:rsidR="008B4DF8" w:rsidRPr="00C1603D">
        <w:t>)</w:t>
      </w:r>
    </w:p>
    <w:p w14:paraId="57F6BB9E" w14:textId="24C9ABC5" w:rsidR="008B4DF8" w:rsidRPr="00C1603D" w:rsidRDefault="00662AE6" w:rsidP="00662AE6">
      <w:pPr>
        <w:pStyle w:val="621TextnumberedlistTextstylesTextstyles"/>
      </w:pPr>
      <w:r w:rsidRPr="00C1603D">
        <w:t xml:space="preserve">routine </w:t>
      </w:r>
      <w:r w:rsidR="008B4DF8" w:rsidRPr="00C1603D">
        <w:t xml:space="preserve">data analysis to develop a prediction model </w:t>
      </w:r>
      <w:r w:rsidRPr="00C1603D">
        <w:t>to identify</w:t>
      </w:r>
      <w:r w:rsidR="008B4DF8" w:rsidRPr="00C1603D">
        <w:t xml:space="preserve"> people who should be tested for </w:t>
      </w:r>
      <w:r w:rsidRPr="00C1603D">
        <w:t>CD</w:t>
      </w:r>
      <w:r w:rsidR="008B4DF8" w:rsidRPr="00C1603D">
        <w:t xml:space="preserve"> (</w:t>
      </w:r>
      <w:r w:rsidRPr="00C1603D">
        <w:t xml:space="preserve">see </w:t>
      </w:r>
      <w:r w:rsidR="008B4DF8" w:rsidRPr="00C1603D">
        <w:rPr>
          <w:i/>
          <w:iCs/>
        </w:rPr>
        <w:t>Chapter 4</w:t>
      </w:r>
      <w:r w:rsidR="008B4DF8" w:rsidRPr="00C1603D">
        <w:t>)</w:t>
      </w:r>
    </w:p>
    <w:p w14:paraId="2F887B2F" w14:textId="15EDC294" w:rsidR="008B4DF8" w:rsidRPr="00C1603D" w:rsidRDefault="00662AE6" w:rsidP="00662AE6">
      <w:pPr>
        <w:pStyle w:val="621TextnumberedlistTextstylesTextstyles"/>
      </w:pPr>
      <w:r w:rsidRPr="00C1603D">
        <w:t xml:space="preserve">systematic </w:t>
      </w:r>
      <w:r w:rsidR="008B4DF8" w:rsidRPr="00C1603D">
        <w:t xml:space="preserve">review of the accuracy of diagnostic tests for </w:t>
      </w:r>
      <w:r w:rsidRPr="00C1603D">
        <w:t>CD</w:t>
      </w:r>
      <w:r w:rsidR="008B4DF8" w:rsidRPr="00C1603D">
        <w:t xml:space="preserve"> (</w:t>
      </w:r>
      <w:r w:rsidRPr="00C1603D">
        <w:t xml:space="preserve">see </w:t>
      </w:r>
      <w:r w:rsidR="008B4DF8" w:rsidRPr="00C1603D">
        <w:rPr>
          <w:i/>
          <w:iCs/>
        </w:rPr>
        <w:t>Chapter 5</w:t>
      </w:r>
      <w:r w:rsidR="008B4DF8" w:rsidRPr="00C1603D">
        <w:t>)</w:t>
      </w:r>
    </w:p>
    <w:p w14:paraId="21EA8B4C" w14:textId="0D5F536E" w:rsidR="008B4DF8" w:rsidRPr="00C1603D" w:rsidRDefault="00662AE6" w:rsidP="00662AE6">
      <w:pPr>
        <w:pStyle w:val="621TextnumberedlistTextstylesTextstyles"/>
      </w:pPr>
      <w:r w:rsidRPr="00C1603D">
        <w:t xml:space="preserve">systematic </w:t>
      </w:r>
      <w:r w:rsidR="008B4DF8" w:rsidRPr="00C1603D">
        <w:t xml:space="preserve">review of the accuracy of genetic tests for </w:t>
      </w:r>
      <w:r w:rsidRPr="00C1603D">
        <w:t>CD</w:t>
      </w:r>
      <w:r w:rsidR="008B4DF8" w:rsidRPr="00C1603D">
        <w:t xml:space="preserve"> (</w:t>
      </w:r>
      <w:r w:rsidRPr="00C1603D">
        <w:t xml:space="preserve">see </w:t>
      </w:r>
      <w:r w:rsidR="008B4DF8" w:rsidRPr="00C1603D">
        <w:rPr>
          <w:i/>
          <w:iCs/>
        </w:rPr>
        <w:t>Chapter 6</w:t>
      </w:r>
      <w:r w:rsidR="008B4DF8" w:rsidRPr="00C1603D">
        <w:t>)</w:t>
      </w:r>
    </w:p>
    <w:p w14:paraId="3DEEB88D" w14:textId="10FE716A" w:rsidR="008B4DF8" w:rsidRPr="00C1603D" w:rsidRDefault="00662AE6" w:rsidP="00662AE6">
      <w:pPr>
        <w:pStyle w:val="621TextnumberedlistTextstylesTextstyles"/>
      </w:pPr>
      <w:r w:rsidRPr="00C1603D">
        <w:t xml:space="preserve">online </w:t>
      </w:r>
      <w:r w:rsidR="008B4DF8" w:rsidRPr="00C1603D">
        <w:t>survey to identify diagnostic thresholds for testing, starting treatment and referral for biopsy (</w:t>
      </w:r>
      <w:r w:rsidRPr="00C1603D">
        <w:t xml:space="preserve">see </w:t>
      </w:r>
      <w:r w:rsidR="008B4DF8" w:rsidRPr="00C1603D">
        <w:rPr>
          <w:i/>
          <w:iCs/>
        </w:rPr>
        <w:t>Chapter 7</w:t>
      </w:r>
      <w:r w:rsidR="008B4DF8" w:rsidRPr="00C1603D">
        <w:t>)</w:t>
      </w:r>
    </w:p>
    <w:p w14:paraId="0A2AE02E" w14:textId="3281D3BF" w:rsidR="008B4DF8" w:rsidRPr="00C1603D" w:rsidRDefault="00662AE6" w:rsidP="00662AE6">
      <w:pPr>
        <w:pStyle w:val="6211TextnumberedlistlastTextstylesTextstyles"/>
      </w:pPr>
      <w:r w:rsidRPr="00C1603D">
        <w:t xml:space="preserve">economic </w:t>
      </w:r>
      <w:r w:rsidR="008B4DF8" w:rsidRPr="00C1603D">
        <w:t xml:space="preserve">modelling to identify the cost-effectiveness of different active </w:t>
      </w:r>
      <w:r w:rsidR="0087034D" w:rsidRPr="00C1603D">
        <w:t>case-finding</w:t>
      </w:r>
      <w:r w:rsidR="008B4DF8" w:rsidRPr="00C1603D">
        <w:t xml:space="preserve"> strategies, informed by the findings of previous </w:t>
      </w:r>
      <w:r w:rsidRPr="00C1603D">
        <w:t>objectives</w:t>
      </w:r>
      <w:r w:rsidR="008B4DF8" w:rsidRPr="00C1603D">
        <w:t xml:space="preserve"> (</w:t>
      </w:r>
      <w:r w:rsidRPr="00C1603D">
        <w:t xml:space="preserve">see </w:t>
      </w:r>
      <w:r w:rsidR="008B4DF8" w:rsidRPr="00C1603D">
        <w:rPr>
          <w:i/>
          <w:iCs/>
        </w:rPr>
        <w:t>Chapter 8</w:t>
      </w:r>
      <w:r w:rsidR="008B4DF8" w:rsidRPr="00C1603D">
        <w:t>)</w:t>
      </w:r>
      <w:r w:rsidRPr="00C1603D">
        <w:t>.</w:t>
      </w:r>
    </w:p>
    <w:p w14:paraId="29E6E7DB" w14:textId="77777777" w:rsidR="008B4DF8" w:rsidRPr="00C1603D" w:rsidRDefault="008B4DF8" w:rsidP="008B4DF8">
      <w:pPr>
        <w:pStyle w:val="43ChaptertitleHeadingsHeadingstyles"/>
      </w:pPr>
      <w:bookmarkStart w:id="113" w:name="_Toc99539816"/>
      <w:r w:rsidRPr="00C1603D">
        <w:lastRenderedPageBreak/>
        <w:t>Chapter 2</w:t>
      </w:r>
      <w:r w:rsidRPr="00C1603D">
        <w:t> </w:t>
      </w:r>
      <w:r w:rsidRPr="00C1603D">
        <w:t>Background</w:t>
      </w:r>
      <w:bookmarkEnd w:id="113"/>
    </w:p>
    <w:p w14:paraId="1A59774E" w14:textId="77777777" w:rsidR="008B4DF8" w:rsidRPr="00C1603D" w:rsidRDefault="008B4DF8" w:rsidP="008B4DF8">
      <w:pPr>
        <w:pStyle w:val="52AheadHeadingsHeadingstyles"/>
      </w:pPr>
      <w:bookmarkStart w:id="114" w:name="_Toc99539817"/>
      <w:r w:rsidRPr="00C1603D">
        <w:t>Overview of coeliac disease</w:t>
      </w:r>
      <w:bookmarkEnd w:id="114"/>
    </w:p>
    <w:p w14:paraId="7542AE65" w14:textId="39E31E93" w:rsidR="008B4DF8" w:rsidRPr="00C1603D" w:rsidRDefault="008B4DF8" w:rsidP="008B4DF8">
      <w:pPr>
        <w:pStyle w:val="602TextfoTextstylesTextstyles"/>
      </w:pPr>
      <w:r w:rsidRPr="00C1603D">
        <w:t>Coeliac disease is an autoimmune disorder, triggered by the protein gluten, found in wheat, rye and barley.</w:t>
      </w:r>
      <w:r w:rsidRPr="00C1603D">
        <w:rPr>
          <w:noProof/>
          <w:vertAlign w:val="superscript"/>
        </w:rPr>
        <w:t>1</w:t>
      </w:r>
      <w:r w:rsidRPr="00C1603D">
        <w:t xml:space="preserve"> Some </w:t>
      </w:r>
      <w:r w:rsidR="00662AE6" w:rsidRPr="00C1603D">
        <w:t>people</w:t>
      </w:r>
      <w:r w:rsidRPr="00C1603D">
        <w:t xml:space="preserve"> with CD may be asymptomatic</w:t>
      </w:r>
      <w:r w:rsidR="00662AE6" w:rsidRPr="00C1603D">
        <w:t>;</w:t>
      </w:r>
      <w:r w:rsidRPr="00C1603D">
        <w:t xml:space="preserve"> others present with non-specific symptoms</w:t>
      </w:r>
      <w:r w:rsidR="00662AE6" w:rsidRPr="00C1603D">
        <w:t>,</w:t>
      </w:r>
      <w:r w:rsidRPr="00C1603D">
        <w:t xml:space="preserve"> including gastrointestinal</w:t>
      </w:r>
      <w:r w:rsidR="00807C54" w:rsidRPr="00C1603D">
        <w:t xml:space="preserve"> (GI)</w:t>
      </w:r>
      <w:r w:rsidRPr="00C1603D">
        <w:t xml:space="preserve"> symptoms (e.g. diarrhoea, bloating, gassiness, constipation, vomiting </w:t>
      </w:r>
      <w:r w:rsidR="00662AE6" w:rsidRPr="00C1603D">
        <w:t>or</w:t>
      </w:r>
      <w:r w:rsidRPr="00C1603D">
        <w:t xml:space="preserve"> abdominal pain), fatigue and unexplained weight loss. CD is estimated to affect around 1% of people in the UK</w:t>
      </w:r>
      <w:r w:rsidR="00662AE6" w:rsidRPr="00C1603D">
        <w:t>;</w:t>
      </w:r>
      <w:r w:rsidRPr="00C1603D">
        <w:rPr>
          <w:noProof/>
          <w:vertAlign w:val="superscript"/>
        </w:rPr>
        <w:t>2</w:t>
      </w:r>
      <w:r w:rsidRPr="00C1603D">
        <w:t xml:space="preserve"> however</w:t>
      </w:r>
      <w:r w:rsidR="00662AE6" w:rsidRPr="00C1603D">
        <w:t>,</w:t>
      </w:r>
      <w:r w:rsidRPr="00C1603D">
        <w:t xml:space="preserve"> only 30% of those with the condition are thought to be diagnosed.</w:t>
      </w:r>
      <w:r w:rsidRPr="00C1603D">
        <w:rPr>
          <w:noProof/>
          <w:vertAlign w:val="superscript"/>
        </w:rPr>
        <w:t>3</w:t>
      </w:r>
    </w:p>
    <w:p w14:paraId="1A294856" w14:textId="4E267979" w:rsidR="008B4DF8" w:rsidRPr="00C1603D" w:rsidRDefault="008B4DF8" w:rsidP="008B4DF8">
      <w:pPr>
        <w:pStyle w:val="602TextfoTextstylesTextstyles"/>
      </w:pPr>
      <w:r w:rsidRPr="00C1603D">
        <w:t xml:space="preserve">The only treatment for CD currently available is lifetime adherence to a gluten-free diet, which can be difficult and restrictive, significantly </w:t>
      </w:r>
      <w:r w:rsidR="00662AE6" w:rsidRPr="00C1603D">
        <w:t>affecting</w:t>
      </w:r>
      <w:r w:rsidRPr="00C1603D">
        <w:t xml:space="preserve"> </w:t>
      </w:r>
      <w:r w:rsidR="00662AE6" w:rsidRPr="00C1603D">
        <w:t>a</w:t>
      </w:r>
      <w:r w:rsidRPr="00C1603D">
        <w:t xml:space="preserve"> </w:t>
      </w:r>
      <w:r w:rsidR="00662AE6" w:rsidRPr="00C1603D">
        <w:t>person’s</w:t>
      </w:r>
      <w:r w:rsidRPr="00C1603D">
        <w:t xml:space="preserve"> quality of life, meaning </w:t>
      </w:r>
      <w:r w:rsidR="00662AE6" w:rsidRPr="00C1603D">
        <w:t xml:space="preserve">that </w:t>
      </w:r>
      <w:r w:rsidRPr="00C1603D">
        <w:t>it is important to be confident that a CD diagnosis is correct. If CD is not diagnosed promptly and the condition remains untreated, damage may be sustained to the surface of the small intestine and difficulty absorbing nutrients may lead to malnutrition, anaemia and/or osteoporosis.</w:t>
      </w:r>
      <w:r w:rsidRPr="00C1603D">
        <w:rPr>
          <w:noProof/>
          <w:vertAlign w:val="superscript"/>
        </w:rPr>
        <w:t>4</w:t>
      </w:r>
      <w:r w:rsidRPr="00C1603D">
        <w:t xml:space="preserve"> In the long</w:t>
      </w:r>
      <w:r w:rsidR="007F31D0" w:rsidRPr="00C1603D">
        <w:t xml:space="preserve"> </w:t>
      </w:r>
      <w:r w:rsidRPr="00C1603D">
        <w:t xml:space="preserve">term, untreated CD may lead to a higher risk of serious complications, such as lymphoma, osteoporosis and </w:t>
      </w:r>
      <w:bookmarkStart w:id="115" w:name="_Hlk104383867"/>
      <w:r w:rsidRPr="00C1603D">
        <w:t>small bowel cancer</w:t>
      </w:r>
      <w:bookmarkEnd w:id="115"/>
      <w:r w:rsidRPr="00C1603D">
        <w:t>.</w:t>
      </w:r>
      <w:r w:rsidRPr="00C1603D">
        <w:rPr>
          <w:noProof/>
          <w:vertAlign w:val="superscript"/>
        </w:rPr>
        <w:t>5,6</w:t>
      </w:r>
    </w:p>
    <w:p w14:paraId="3CC8D798" w14:textId="77777777" w:rsidR="008B4DF8" w:rsidRPr="00C1603D" w:rsidRDefault="008B4DF8" w:rsidP="008B4DF8">
      <w:pPr>
        <w:pStyle w:val="602TextfoTextstylesTextstyles"/>
      </w:pPr>
      <w:r w:rsidRPr="00C1603D">
        <w:t>New treatments are in the development pathway, but most are still in pre-clinical phases. These aim to allow people with CD to be able to eat gluten, or to prevent inadvertent gluten contamination, without becoming symptomatic or damaging the intestinal lining.</w:t>
      </w:r>
      <w:r w:rsidRPr="00C1603D">
        <w:rPr>
          <w:noProof/>
          <w:vertAlign w:val="superscript"/>
        </w:rPr>
        <w:t>7</w:t>
      </w:r>
    </w:p>
    <w:p w14:paraId="0003BF95" w14:textId="77777777" w:rsidR="008B4DF8" w:rsidRPr="00C1603D" w:rsidRDefault="008B4DF8" w:rsidP="008B4DF8">
      <w:pPr>
        <w:pStyle w:val="52AheadHeadingsHeadingstyles"/>
      </w:pPr>
      <w:bookmarkStart w:id="116" w:name="_Toc99539818"/>
      <w:r w:rsidRPr="00C1603D">
        <w:t>Diagnostic pathway</w:t>
      </w:r>
      <w:bookmarkEnd w:id="116"/>
    </w:p>
    <w:p w14:paraId="2AD9770B" w14:textId="6A49C063" w:rsidR="008B4DF8" w:rsidRPr="00C1603D" w:rsidRDefault="008B4DF8" w:rsidP="008B4DF8">
      <w:pPr>
        <w:pStyle w:val="602TextfoTextstylesTextstyles"/>
      </w:pPr>
      <w:r w:rsidRPr="00C1603D">
        <w:t>The diagnostic pathway for CD broadly involves</w:t>
      </w:r>
      <w:r w:rsidR="007F31D0" w:rsidRPr="00C1603D">
        <w:t xml:space="preserve"> the following steps</w:t>
      </w:r>
      <w:r w:rsidRPr="00C1603D">
        <w:t>:</w:t>
      </w:r>
    </w:p>
    <w:p w14:paraId="73B8B883" w14:textId="2F399066" w:rsidR="008B4DF8" w:rsidRPr="00C1603D" w:rsidRDefault="007F31D0" w:rsidP="008B4DF8">
      <w:pPr>
        <w:pStyle w:val="621TextnumberedlistTextstylesTextstyles"/>
      </w:pPr>
      <w:r w:rsidRPr="00C1603D">
        <w:t xml:space="preserve">identifying </w:t>
      </w:r>
      <w:r w:rsidR="008B4DF8" w:rsidRPr="00C1603D">
        <w:t>those at risk of CD who should be tested</w:t>
      </w:r>
    </w:p>
    <w:p w14:paraId="108B6740" w14:textId="20BCBD7E" w:rsidR="008B4DF8" w:rsidRPr="00C1603D" w:rsidRDefault="007F31D0" w:rsidP="008B4DF8">
      <w:pPr>
        <w:pStyle w:val="621TextnumberedlistTextstylesTextstyles"/>
      </w:pPr>
      <w:r w:rsidRPr="00C1603D">
        <w:t xml:space="preserve">serological </w:t>
      </w:r>
      <w:r w:rsidR="008B4DF8" w:rsidRPr="00C1603D">
        <w:t>testing to identify potential CD</w:t>
      </w:r>
    </w:p>
    <w:p w14:paraId="4F04C277" w14:textId="57A91343" w:rsidR="008B4DF8" w:rsidRPr="00C1603D" w:rsidRDefault="007F31D0" w:rsidP="008B4DF8">
      <w:pPr>
        <w:pStyle w:val="6211TextnumberedlistlastTextstylesTextstyles"/>
      </w:pPr>
      <w:r w:rsidRPr="00C1603D">
        <w:t xml:space="preserve">biopsy </w:t>
      </w:r>
      <w:r w:rsidR="008B4DF8" w:rsidRPr="00C1603D">
        <w:t>confirmation of the diagnosis.</w:t>
      </w:r>
    </w:p>
    <w:p w14:paraId="04A51C43" w14:textId="280870C3" w:rsidR="008B4DF8" w:rsidRPr="00C1603D" w:rsidRDefault="008B4DF8" w:rsidP="008B4DF8">
      <w:pPr>
        <w:pStyle w:val="602TextfoTextstylesTextstyles"/>
      </w:pPr>
      <w:r w:rsidRPr="00C1603D">
        <w:t>However, there is lack of consensus across different guidelines on the exact diagnostic pathway</w:t>
      </w:r>
      <w:r w:rsidR="007F31D0" w:rsidRPr="00C1603D">
        <w:t>:</w:t>
      </w:r>
      <w:r w:rsidRPr="00C1603D">
        <w:t xml:space="preserve"> who should be tested, what tests they should have and whether </w:t>
      </w:r>
      <w:r w:rsidR="007F31D0" w:rsidRPr="00C1603D">
        <w:t xml:space="preserve">or not </w:t>
      </w:r>
      <w:r w:rsidRPr="00C1603D">
        <w:t>biopsy confirmation is required.</w:t>
      </w:r>
    </w:p>
    <w:p w14:paraId="4D39DF53" w14:textId="46B616F6" w:rsidR="008B4DF8" w:rsidRPr="00C1603D" w:rsidRDefault="008B4DF8" w:rsidP="008B4DF8">
      <w:pPr>
        <w:pStyle w:val="53BheadHeadingsHeadingstyles"/>
      </w:pPr>
      <w:bookmarkStart w:id="117" w:name="_Toc99539819"/>
      <w:r w:rsidRPr="00C1603D">
        <w:t xml:space="preserve">Identifying </w:t>
      </w:r>
      <w:r w:rsidR="007F31D0" w:rsidRPr="00C1603D">
        <w:t>people</w:t>
      </w:r>
      <w:r w:rsidRPr="00C1603D">
        <w:t xml:space="preserve"> at risk who should be tested</w:t>
      </w:r>
      <w:bookmarkEnd w:id="117"/>
    </w:p>
    <w:p w14:paraId="40395AB4" w14:textId="57435AC0" w:rsidR="008B4DF8" w:rsidRPr="00C1603D" w:rsidRDefault="3CDEEDA7" w:rsidP="008B4DF8">
      <w:pPr>
        <w:pStyle w:val="602TextfoTextstylesTextstyles"/>
      </w:pPr>
      <w:r w:rsidRPr="00C1603D">
        <w:t xml:space="preserve">Within the current diagnostic pathway for CD, adults and </w:t>
      </w:r>
      <w:r w:rsidRPr="00C1603D">
        <w:rPr>
          <w:color w:val="auto"/>
        </w:rPr>
        <w:t xml:space="preserve">children ‘at </w:t>
      </w:r>
      <w:proofErr w:type="gramStart"/>
      <w:r w:rsidRPr="00C1603D">
        <w:rPr>
          <w:color w:val="auto"/>
        </w:rPr>
        <w:t>high risk</w:t>
      </w:r>
      <w:proofErr w:type="gramEnd"/>
      <w:r w:rsidRPr="00C1603D">
        <w:rPr>
          <w:color w:val="auto"/>
        </w:rPr>
        <w:t xml:space="preserve">’ of CD should be offered testing. However, there is a lack of consensus regarding who should be tested and whether or not certain groups of people are at sufficiently </w:t>
      </w:r>
      <w:proofErr w:type="gramStart"/>
      <w:r w:rsidRPr="00C1603D">
        <w:rPr>
          <w:color w:val="auto"/>
        </w:rPr>
        <w:t>high risk</w:t>
      </w:r>
      <w:proofErr w:type="gramEnd"/>
      <w:r w:rsidRPr="00C1603D">
        <w:rPr>
          <w:color w:val="auto"/>
        </w:rPr>
        <w:t xml:space="preserve"> to justify routine testing, or whether or not population-based screening may be appropriate. A 2021 cost-effectiveness analysis</w:t>
      </w:r>
      <w:r w:rsidRPr="00C1603D">
        <w:rPr>
          <w:color w:val="auto"/>
          <w:vertAlign w:val="superscript"/>
        </w:rPr>
        <w:t>8</w:t>
      </w:r>
      <w:r w:rsidRPr="00C1603D">
        <w:rPr>
          <w:color w:val="auto"/>
        </w:rPr>
        <w:t xml:space="preserve"> estimated that the cost of mass screening for CD at age 12 years was €40,105 per quality-adjusted life-year (QALY) gained; this is cost-effective at the commonly used threshold of €50,000 per QALY gained. </w:t>
      </w:r>
      <w:commentRangeStart w:id="118"/>
      <w:commentRangeStart w:id="119"/>
      <w:r w:rsidRPr="00C1603D">
        <w:rPr>
          <w:color w:val="auto"/>
        </w:rPr>
        <w:t xml:space="preserve">If mass </w:t>
      </w:r>
      <w:r w:rsidRPr="00C1603D">
        <w:t xml:space="preserve">screening is not considered appropriate, it is not clear </w:t>
      </w:r>
      <w:r w:rsidR="00686E77" w:rsidRPr="00C1603D">
        <w:t xml:space="preserve">(1) </w:t>
      </w:r>
      <w:r w:rsidRPr="00C1603D">
        <w:t xml:space="preserve">what symptoms or conditions are suggestive of CD </w:t>
      </w:r>
      <w:r w:rsidR="00686E77" w:rsidRPr="00C1603D">
        <w:t>and (2) which of th</w:t>
      </w:r>
      <w:r w:rsidR="000609A1" w:rsidRPr="00C1603D">
        <w:t>e</w:t>
      </w:r>
      <w:r w:rsidR="00686E77" w:rsidRPr="00C1603D">
        <w:t xml:space="preserve">se </w:t>
      </w:r>
      <w:r w:rsidRPr="00C1603D">
        <w:t>should prompt testing, with recommendations varying across guidelines.</w:t>
      </w:r>
      <w:commentRangeEnd w:id="118"/>
      <w:r w:rsidR="008B4DF8" w:rsidRPr="00C1603D">
        <w:commentReference w:id="118"/>
      </w:r>
      <w:commentRangeEnd w:id="119"/>
      <w:r w:rsidR="008B4DF8" w:rsidRPr="00C1603D">
        <w:commentReference w:id="119"/>
      </w:r>
    </w:p>
    <w:p w14:paraId="73598647" w14:textId="48D5AA2E" w:rsidR="008B4DF8" w:rsidRPr="00C1603D" w:rsidRDefault="00DD3AD1" w:rsidP="008B4DF8">
      <w:pPr>
        <w:pStyle w:val="602TextfoTextstylesTextstyles"/>
      </w:pPr>
      <w:r w:rsidRPr="00C1603D">
        <w:t>The National Institute for Health and Care Excellence (</w:t>
      </w:r>
      <w:r w:rsidR="008B4DF8" w:rsidRPr="00C1603D">
        <w:t>NICE</w:t>
      </w:r>
      <w:r w:rsidRPr="00C1603D">
        <w:t>)</w:t>
      </w:r>
      <w:r w:rsidR="008B4DF8" w:rsidRPr="00C1603D">
        <w:t xml:space="preserve"> guidelines, published in 2015,</w:t>
      </w:r>
      <w:r w:rsidR="008B4DF8" w:rsidRPr="00C1603D">
        <w:rPr>
          <w:noProof/>
          <w:vertAlign w:val="superscript"/>
        </w:rPr>
        <w:t>9</w:t>
      </w:r>
      <w:r w:rsidR="008B4DF8" w:rsidRPr="00C1603D">
        <w:t xml:space="preserve"> recommend that people with any of the following symptoms or conditions be offered serological testing for CD:</w:t>
      </w:r>
    </w:p>
    <w:p w14:paraId="4C81384B" w14:textId="2818F641" w:rsidR="008B4DF8" w:rsidRPr="00C1603D" w:rsidRDefault="00DD3AD1" w:rsidP="008B4DF8">
      <w:pPr>
        <w:pStyle w:val="611BulletlistTextstyles"/>
      </w:pPr>
      <w:r w:rsidRPr="00C1603D">
        <w:t xml:space="preserve">persistent </w:t>
      </w:r>
      <w:r w:rsidR="008B4DF8" w:rsidRPr="00C1603D">
        <w:t xml:space="preserve">unexplained abdominal or </w:t>
      </w:r>
      <w:r w:rsidR="00807C54" w:rsidRPr="00C1603D">
        <w:t>GI</w:t>
      </w:r>
      <w:r w:rsidR="008B4DF8" w:rsidRPr="00C1603D">
        <w:t xml:space="preserve"> symptoms</w:t>
      </w:r>
    </w:p>
    <w:p w14:paraId="145981AC" w14:textId="78080F65" w:rsidR="008B4DF8" w:rsidRPr="00C1603D" w:rsidRDefault="3CDEEDA7" w:rsidP="008B4DF8">
      <w:pPr>
        <w:pStyle w:val="611BulletlistTextstyles"/>
      </w:pPr>
      <w:commentRangeStart w:id="120"/>
      <w:commentRangeStart w:id="121"/>
      <w:r w:rsidRPr="00C1603D">
        <w:t>faltering growth</w:t>
      </w:r>
      <w:commentRangeEnd w:id="120"/>
      <w:r w:rsidR="00DD3AD1" w:rsidRPr="00C1603D">
        <w:commentReference w:id="120"/>
      </w:r>
      <w:commentRangeEnd w:id="121"/>
      <w:r w:rsidR="00DD3AD1" w:rsidRPr="00C1603D">
        <w:commentReference w:id="121"/>
      </w:r>
      <w:r w:rsidR="0034243D" w:rsidRPr="00C1603D">
        <w:t xml:space="preserve"> (children only)</w:t>
      </w:r>
    </w:p>
    <w:p w14:paraId="48D05097" w14:textId="494403AA" w:rsidR="008B4DF8" w:rsidRPr="00C1603D" w:rsidRDefault="00DD3AD1" w:rsidP="008B4DF8">
      <w:pPr>
        <w:pStyle w:val="611BulletlistTextstyles"/>
      </w:pPr>
      <w:r w:rsidRPr="00C1603D">
        <w:t xml:space="preserve">prolonged </w:t>
      </w:r>
      <w:r w:rsidR="008B4DF8" w:rsidRPr="00C1603D">
        <w:t>fatigue</w:t>
      </w:r>
    </w:p>
    <w:p w14:paraId="7AB09807" w14:textId="25C32CAD" w:rsidR="008B4DF8" w:rsidRPr="00C1603D" w:rsidRDefault="00DD3AD1" w:rsidP="008B4DF8">
      <w:pPr>
        <w:pStyle w:val="611BulletlistTextstyles"/>
      </w:pPr>
      <w:r w:rsidRPr="00C1603D">
        <w:t xml:space="preserve">unexpected </w:t>
      </w:r>
      <w:r w:rsidR="008B4DF8" w:rsidRPr="00C1603D">
        <w:t>weight loss</w:t>
      </w:r>
    </w:p>
    <w:p w14:paraId="63C54950" w14:textId="64DE6293" w:rsidR="008B4DF8" w:rsidRPr="00C1603D" w:rsidRDefault="00DD3AD1" w:rsidP="008B4DF8">
      <w:pPr>
        <w:pStyle w:val="611BulletlistTextstyles"/>
      </w:pPr>
      <w:r w:rsidRPr="00C1603D">
        <w:lastRenderedPageBreak/>
        <w:t xml:space="preserve">severe </w:t>
      </w:r>
      <w:r w:rsidR="008B4DF8" w:rsidRPr="00C1603D">
        <w:t>or persistent mouth ulcers</w:t>
      </w:r>
    </w:p>
    <w:p w14:paraId="229A7D2C" w14:textId="45E21531" w:rsidR="008B4DF8" w:rsidRPr="00C1603D" w:rsidRDefault="00DD3AD1" w:rsidP="008B4DF8">
      <w:pPr>
        <w:pStyle w:val="611BulletlistTextstyles"/>
      </w:pPr>
      <w:r w:rsidRPr="00C1603D">
        <w:t xml:space="preserve">unexplained </w:t>
      </w:r>
      <w:r w:rsidR="008B4DF8" w:rsidRPr="00C1603D">
        <w:t>iron, vitamin B</w:t>
      </w:r>
      <w:r w:rsidR="008B4DF8" w:rsidRPr="00C1603D">
        <w:rPr>
          <w:color w:val="00B0F0"/>
          <w:vertAlign w:val="subscript"/>
        </w:rPr>
        <w:t>12</w:t>
      </w:r>
      <w:r w:rsidR="008B4DF8" w:rsidRPr="00C1603D">
        <w:t xml:space="preserve"> or folate deficiency</w:t>
      </w:r>
    </w:p>
    <w:p w14:paraId="1BC0C52C" w14:textId="59ACE822" w:rsidR="008B4DF8" w:rsidRPr="00C1603D" w:rsidRDefault="00DD3AD1" w:rsidP="008B4DF8">
      <w:pPr>
        <w:pStyle w:val="611BulletlistTextstyles"/>
      </w:pPr>
      <w:r w:rsidRPr="00C1603D">
        <w:t xml:space="preserve">type </w:t>
      </w:r>
      <w:r w:rsidR="008B4DF8" w:rsidRPr="00C1603D">
        <w:t>1 diabetes</w:t>
      </w:r>
    </w:p>
    <w:p w14:paraId="4D58E7B3" w14:textId="4F7A317E" w:rsidR="008B4DF8" w:rsidRPr="00C1603D" w:rsidRDefault="00DD3AD1" w:rsidP="008B4DF8">
      <w:pPr>
        <w:pStyle w:val="611BulletlistTextstyles"/>
      </w:pPr>
      <w:r w:rsidRPr="00C1603D">
        <w:t xml:space="preserve">autoimmune </w:t>
      </w:r>
      <w:r w:rsidR="008B4DF8" w:rsidRPr="00C1603D">
        <w:t>thyroid disease</w:t>
      </w:r>
    </w:p>
    <w:p w14:paraId="66BD9923" w14:textId="0CBD52AF" w:rsidR="008B4DF8" w:rsidRPr="00C1603D" w:rsidRDefault="00DD3AD1" w:rsidP="001E57F8">
      <w:pPr>
        <w:pStyle w:val="614TextbulletlistlastTextstylesTextstyles"/>
      </w:pPr>
      <w:r w:rsidRPr="00C1603D">
        <w:t xml:space="preserve">irritable </w:t>
      </w:r>
      <w:r w:rsidR="008B4DF8" w:rsidRPr="00C1603D">
        <w:t>bowel syndrome</w:t>
      </w:r>
      <w:r w:rsidR="00C82170" w:rsidRPr="00C1603D">
        <w:t xml:space="preserve"> (IBS)</w:t>
      </w:r>
      <w:r w:rsidR="008B4DF8" w:rsidRPr="00C1603D">
        <w:t xml:space="preserve"> (adults only)</w:t>
      </w:r>
      <w:r w:rsidR="001E57F8" w:rsidRPr="00C1603D">
        <w:t>.</w:t>
      </w:r>
    </w:p>
    <w:p w14:paraId="12A8CF20" w14:textId="7875E7F2" w:rsidR="008B4DF8" w:rsidRPr="00C1603D" w:rsidRDefault="001E57F8" w:rsidP="001E57F8">
      <w:pPr>
        <w:pStyle w:val="602TextfoTextstylesTextstyles"/>
      </w:pPr>
      <w:r w:rsidRPr="00C1603D">
        <w:t xml:space="preserve">Furthermore, the guidelines recommend that </w:t>
      </w:r>
      <w:r w:rsidR="00DD3AD1" w:rsidRPr="00C1603D">
        <w:t>first-</w:t>
      </w:r>
      <w:r w:rsidR="008B4DF8" w:rsidRPr="00C1603D">
        <w:t>degree relatives of people with CD</w:t>
      </w:r>
      <w:r w:rsidRPr="00C1603D">
        <w:t xml:space="preserve"> be offered serological testing for CD.</w:t>
      </w:r>
    </w:p>
    <w:p w14:paraId="711EB851" w14:textId="77777777" w:rsidR="008B4DF8" w:rsidRPr="00C1603D" w:rsidRDefault="008B4DF8" w:rsidP="008B4DF8">
      <w:pPr>
        <w:pStyle w:val="602TextfoTextstylesTextstyles"/>
      </w:pPr>
      <w:r w:rsidRPr="00C1603D">
        <w:t>The guidelines also suggest that serological testing for CD could be considered for people with any of the following symptoms or conditions:</w:t>
      </w:r>
    </w:p>
    <w:p w14:paraId="4291F662" w14:textId="77777777" w:rsidR="008B4DF8" w:rsidRPr="00C1603D" w:rsidRDefault="008B4DF8" w:rsidP="008B4DF8">
      <w:pPr>
        <w:pStyle w:val="611BulletlistTextstyles"/>
      </w:pPr>
      <w:r w:rsidRPr="00C1603D">
        <w:t>metabolic bone disorder (reduced bone mineral density or osteomalacia)</w:t>
      </w:r>
    </w:p>
    <w:p w14:paraId="74A5EA49" w14:textId="77777777" w:rsidR="008B4DF8" w:rsidRPr="00C1603D" w:rsidRDefault="008B4DF8" w:rsidP="008B4DF8">
      <w:pPr>
        <w:pStyle w:val="611BulletlistTextstyles"/>
      </w:pPr>
      <w:r w:rsidRPr="00C1603D">
        <w:t>unexplained neurological symptoms (particularly peripheral neuropathy or ataxia)</w:t>
      </w:r>
    </w:p>
    <w:p w14:paraId="1C19E6D0" w14:textId="77777777" w:rsidR="008B4DF8" w:rsidRPr="00C1603D" w:rsidRDefault="008B4DF8" w:rsidP="008B4DF8">
      <w:pPr>
        <w:pStyle w:val="611BulletlistTextstyles"/>
      </w:pPr>
      <w:r w:rsidRPr="00C1603D">
        <w:t>unexplained subfertility or recurrent miscarriage</w:t>
      </w:r>
    </w:p>
    <w:p w14:paraId="28B86972" w14:textId="77777777" w:rsidR="008B4DF8" w:rsidRPr="00C1603D" w:rsidRDefault="008B4DF8" w:rsidP="008B4DF8">
      <w:pPr>
        <w:pStyle w:val="611BulletlistTextstyles"/>
      </w:pPr>
      <w:r w:rsidRPr="00C1603D">
        <w:t>persistently raised liver enzymes with unknown cause</w:t>
      </w:r>
    </w:p>
    <w:p w14:paraId="45B1F083" w14:textId="77777777" w:rsidR="008B4DF8" w:rsidRPr="00C1603D" w:rsidRDefault="008B4DF8" w:rsidP="008B4DF8">
      <w:pPr>
        <w:pStyle w:val="611BulletlistTextstyles"/>
      </w:pPr>
      <w:r w:rsidRPr="00C1603D">
        <w:t>dental enamel defects</w:t>
      </w:r>
    </w:p>
    <w:p w14:paraId="5664B0F9" w14:textId="77777777" w:rsidR="008B4DF8" w:rsidRPr="00C1603D" w:rsidRDefault="008B4DF8" w:rsidP="008B4DF8">
      <w:pPr>
        <w:pStyle w:val="611BulletlistTextstyles"/>
      </w:pPr>
      <w:r w:rsidRPr="00C1603D">
        <w:t>Down syndrome</w:t>
      </w:r>
    </w:p>
    <w:p w14:paraId="6FE6230F" w14:textId="77777777" w:rsidR="008B4DF8" w:rsidRPr="00C1603D" w:rsidRDefault="008B4DF8" w:rsidP="008B4DF8">
      <w:pPr>
        <w:pStyle w:val="614TextbulletlistlastTextstylesTextstyles"/>
      </w:pPr>
      <w:r w:rsidRPr="00C1603D">
        <w:t>Turner syndrome.</w:t>
      </w:r>
    </w:p>
    <w:p w14:paraId="6ADBF826" w14:textId="01E76E86" w:rsidR="008B4DF8" w:rsidRPr="00C1603D" w:rsidRDefault="008B4DF8" w:rsidP="008B4DF8">
      <w:pPr>
        <w:pStyle w:val="602TextfoTextstylesTextstyles"/>
      </w:pPr>
      <w:r w:rsidRPr="00C1603D">
        <w:t>Other guidelines vary in recommendations on who should be tested for CD. For example, the 2020 European Society for Paediatric Gastroenterology, Hepatology and Nutrition</w:t>
      </w:r>
      <w:r w:rsidR="001E57F8" w:rsidRPr="00C1603D">
        <w:t xml:space="preserve"> (ESPGHAN</w:t>
      </w:r>
      <w:r w:rsidRPr="00C1603D">
        <w:t>) guidelines</w:t>
      </w:r>
      <w:r w:rsidRPr="00C1603D">
        <w:rPr>
          <w:noProof/>
          <w:vertAlign w:val="superscript"/>
        </w:rPr>
        <w:t>10</w:t>
      </w:r>
      <w:r w:rsidRPr="00C1603D">
        <w:t xml:space="preserve"> for the diagnosis of paediatric CD suggest that children and adolescents with the following symptoms or conditions should be tested:</w:t>
      </w:r>
    </w:p>
    <w:p w14:paraId="13CBB3D5" w14:textId="27821A60" w:rsidR="008B4DF8" w:rsidRPr="00C1603D" w:rsidRDefault="00AA0F2E" w:rsidP="008B4DF8">
      <w:pPr>
        <w:pStyle w:val="611BulletlistTextstyles"/>
      </w:pPr>
      <w:r w:rsidRPr="00C1603D">
        <w:t xml:space="preserve">chronic </w:t>
      </w:r>
      <w:r w:rsidR="008B4DF8" w:rsidRPr="00C1603D">
        <w:t>or intermittent diarrhoea, constipation/abdominal pain, distended abdomen or recurrent nausea and/or vomiting</w:t>
      </w:r>
    </w:p>
    <w:p w14:paraId="08BEA6C2" w14:textId="115D3F10" w:rsidR="008B4DF8" w:rsidRPr="00C1603D" w:rsidRDefault="00AA0F2E" w:rsidP="008B4DF8">
      <w:pPr>
        <w:pStyle w:val="611BulletlistTextstyles"/>
        <w:rPr>
          <w:color w:val="auto"/>
        </w:rPr>
      </w:pPr>
      <w:r w:rsidRPr="00C1603D">
        <w:t xml:space="preserve">failure </w:t>
      </w:r>
      <w:r w:rsidR="008B4DF8" w:rsidRPr="00C1603D">
        <w:t>to</w:t>
      </w:r>
      <w:r w:rsidR="001E57F8" w:rsidRPr="00C1603D">
        <w:t xml:space="preserve"> </w:t>
      </w:r>
      <w:r w:rsidR="008B4DF8" w:rsidRPr="00C1603D">
        <w:rPr>
          <w:color w:val="auto"/>
        </w:rPr>
        <w:t>thrive</w:t>
      </w:r>
    </w:p>
    <w:p w14:paraId="151012AE" w14:textId="7E41C409" w:rsidR="008B4DF8" w:rsidRPr="00C1603D" w:rsidRDefault="00AA0F2E" w:rsidP="008B4DF8">
      <w:pPr>
        <w:pStyle w:val="611BulletlistTextstyles"/>
        <w:rPr>
          <w:color w:val="auto"/>
        </w:rPr>
      </w:pPr>
      <w:r w:rsidRPr="00C1603D">
        <w:rPr>
          <w:color w:val="auto"/>
        </w:rPr>
        <w:t xml:space="preserve">delayed </w:t>
      </w:r>
      <w:r w:rsidR="008B4DF8" w:rsidRPr="00C1603D">
        <w:rPr>
          <w:color w:val="auto"/>
        </w:rPr>
        <w:t>puberty, amenorrhoea</w:t>
      </w:r>
    </w:p>
    <w:p w14:paraId="24A96B83" w14:textId="13A04D6E" w:rsidR="008B4DF8" w:rsidRPr="00C1603D" w:rsidRDefault="00AA0F2E" w:rsidP="008B4DF8">
      <w:pPr>
        <w:pStyle w:val="611BulletlistTextstyles"/>
        <w:rPr>
          <w:color w:val="auto"/>
        </w:rPr>
      </w:pPr>
      <w:r w:rsidRPr="00C1603D">
        <w:rPr>
          <w:color w:val="auto"/>
        </w:rPr>
        <w:t>irritability</w:t>
      </w:r>
    </w:p>
    <w:p w14:paraId="128E5350" w14:textId="3B5A763B" w:rsidR="008B4DF8" w:rsidRPr="00C1603D" w:rsidRDefault="00AA0F2E" w:rsidP="008B4DF8">
      <w:pPr>
        <w:pStyle w:val="611BulletlistTextstyles"/>
        <w:rPr>
          <w:color w:val="auto"/>
        </w:rPr>
      </w:pPr>
      <w:r w:rsidRPr="00C1603D">
        <w:rPr>
          <w:color w:val="auto"/>
        </w:rPr>
        <w:t>arthritis</w:t>
      </w:r>
      <w:r w:rsidR="008B4DF8" w:rsidRPr="00C1603D">
        <w:rPr>
          <w:color w:val="auto"/>
        </w:rPr>
        <w:t>/arthralgia</w:t>
      </w:r>
    </w:p>
    <w:p w14:paraId="791EEBEA" w14:textId="39A9B8E0" w:rsidR="008B4DF8" w:rsidRPr="00C1603D" w:rsidRDefault="00AA0F2E" w:rsidP="008B4DF8">
      <w:pPr>
        <w:pStyle w:val="611BulletlistTextstyles"/>
      </w:pPr>
      <w:r w:rsidRPr="00C1603D">
        <w:t xml:space="preserve">recurrent </w:t>
      </w:r>
      <w:r w:rsidR="008B4DF8" w:rsidRPr="00C1603D">
        <w:t>aphthous stomatitis</w:t>
      </w:r>
    </w:p>
    <w:p w14:paraId="324D77A1" w14:textId="09FBA03F" w:rsidR="008B4DF8" w:rsidRPr="00C1603D" w:rsidRDefault="00AA0F2E" w:rsidP="008B4DF8">
      <w:pPr>
        <w:pStyle w:val="611BulletlistTextstyles"/>
      </w:pPr>
      <w:r w:rsidRPr="00C1603D">
        <w:t xml:space="preserve">dermatitis </w:t>
      </w:r>
      <w:r w:rsidR="008B4DF8" w:rsidRPr="00C1603D">
        <w:t>herpetiformis</w:t>
      </w:r>
      <w:r w:rsidRPr="00C1603D">
        <w:t>-</w:t>
      </w:r>
      <w:r w:rsidR="008B4DF8" w:rsidRPr="00C1603D">
        <w:t>type rash</w:t>
      </w:r>
    </w:p>
    <w:p w14:paraId="60F32CA2" w14:textId="27D37D54" w:rsidR="008B4DF8" w:rsidRPr="00C1603D" w:rsidRDefault="008B4DF8" w:rsidP="008B4DF8">
      <w:pPr>
        <w:pStyle w:val="611BulletlistTextstyles"/>
      </w:pPr>
      <w:bookmarkStart w:id="122" w:name="_Hlk104385230"/>
      <w:r w:rsidRPr="00C1603D">
        <w:t>Williams</w:t>
      </w:r>
      <w:r w:rsidR="00AA0F2E" w:rsidRPr="00C1603D">
        <w:t>–</w:t>
      </w:r>
      <w:r w:rsidRPr="00C1603D">
        <w:t>Beuren syndrome</w:t>
      </w:r>
    </w:p>
    <w:bookmarkEnd w:id="122"/>
    <w:p w14:paraId="6C043830" w14:textId="6A1238C7" w:rsidR="008B4DF8" w:rsidRPr="00C1603D" w:rsidRDefault="00AA0F2E" w:rsidP="008B4DF8">
      <w:pPr>
        <w:pStyle w:val="611BulletlistTextstyles"/>
      </w:pPr>
      <w:r w:rsidRPr="00C1603D">
        <w:rPr>
          <w:lang w:eastAsia="en-GB"/>
        </w:rPr>
        <w:t xml:space="preserve">immunoglobulin </w:t>
      </w:r>
      <w:r w:rsidRPr="00C1603D">
        <w:t>A (</w:t>
      </w:r>
      <w:r w:rsidR="008B4DF8" w:rsidRPr="00C1603D">
        <w:t>IgA</w:t>
      </w:r>
      <w:r w:rsidRPr="00C1603D">
        <w:t>)</w:t>
      </w:r>
      <w:r w:rsidR="008B4DF8" w:rsidRPr="00C1603D">
        <w:t xml:space="preserve"> deficiency</w:t>
      </w:r>
    </w:p>
    <w:p w14:paraId="78EC7482" w14:textId="08169518" w:rsidR="008B4DF8" w:rsidRPr="00C1603D" w:rsidRDefault="00AA0F2E" w:rsidP="008B4DF8">
      <w:pPr>
        <w:pStyle w:val="614TextbulletlistlastTextstylesTextstyles"/>
      </w:pPr>
      <w:r w:rsidRPr="00C1603D">
        <w:t xml:space="preserve">liver </w:t>
      </w:r>
      <w:r w:rsidR="008B4DF8" w:rsidRPr="00C1603D">
        <w:t>disease</w:t>
      </w:r>
      <w:r w:rsidRPr="00C1603D">
        <w:t>.</w:t>
      </w:r>
    </w:p>
    <w:p w14:paraId="223E8ECC" w14:textId="7A1DF3ED" w:rsidR="008B4DF8" w:rsidRPr="00C1603D" w:rsidRDefault="008B4DF8" w:rsidP="008B4DF8">
      <w:pPr>
        <w:pStyle w:val="602TextfoTextstylesTextstyles"/>
      </w:pPr>
      <w:r w:rsidRPr="00C1603D">
        <w:t>The European Society for the Study of Coeliac Disease</w:t>
      </w:r>
      <w:r w:rsidR="00EF030A" w:rsidRPr="00C1603D">
        <w:t xml:space="preserve"> (ESsCD</w:t>
      </w:r>
      <w:r w:rsidRPr="00C1603D">
        <w:t>) 2019 guidelines</w:t>
      </w:r>
      <w:r w:rsidRPr="00C1603D">
        <w:rPr>
          <w:noProof/>
          <w:vertAlign w:val="superscript"/>
        </w:rPr>
        <w:t>12</w:t>
      </w:r>
      <w:r w:rsidRPr="00C1603D">
        <w:t xml:space="preserve"> recommend testing in the following additional groups:</w:t>
      </w:r>
    </w:p>
    <w:p w14:paraId="54F8ED6B" w14:textId="03F797A6" w:rsidR="008B4DF8" w:rsidRPr="00C1603D" w:rsidRDefault="00C72655" w:rsidP="008B4DF8">
      <w:pPr>
        <w:pStyle w:val="611BulletlistTextstyles"/>
      </w:pPr>
      <w:r w:rsidRPr="00C1603D">
        <w:t xml:space="preserve">microscopic </w:t>
      </w:r>
      <w:r w:rsidR="008B4DF8" w:rsidRPr="00C1603D">
        <w:t>colitis</w:t>
      </w:r>
    </w:p>
    <w:p w14:paraId="6CB8FC62" w14:textId="3D32EA41" w:rsidR="008B4DF8" w:rsidRPr="00C1603D" w:rsidRDefault="00C72655" w:rsidP="008B4DF8">
      <w:pPr>
        <w:pStyle w:val="611BulletlistTextstyles"/>
      </w:pPr>
      <w:r w:rsidRPr="00C1603D">
        <w:t xml:space="preserve">early </w:t>
      </w:r>
      <w:r w:rsidR="008B4DF8" w:rsidRPr="00C1603D">
        <w:t>menopause</w:t>
      </w:r>
    </w:p>
    <w:p w14:paraId="0FB725A1" w14:textId="02B556A7" w:rsidR="008B4DF8" w:rsidRPr="00C1603D" w:rsidRDefault="00C72655" w:rsidP="008B4DF8">
      <w:pPr>
        <w:pStyle w:val="611BulletlistTextstyles"/>
      </w:pPr>
      <w:r w:rsidRPr="00C1603D">
        <w:t xml:space="preserve">acute </w:t>
      </w:r>
      <w:r w:rsidR="008B4DF8" w:rsidRPr="00C1603D">
        <w:t>or chronic pancreatitis</w:t>
      </w:r>
    </w:p>
    <w:p w14:paraId="002B45DE" w14:textId="1D4EF7F9" w:rsidR="008B4DF8" w:rsidRPr="00C1603D" w:rsidRDefault="00C72655" w:rsidP="008B4DF8">
      <w:pPr>
        <w:pStyle w:val="611BulletlistTextstyles"/>
      </w:pPr>
      <w:r w:rsidRPr="00C1603D">
        <w:t>epilepsy</w:t>
      </w:r>
    </w:p>
    <w:p w14:paraId="172407DA" w14:textId="15F7A6AC" w:rsidR="008B4DF8" w:rsidRPr="00C1603D" w:rsidRDefault="00C72655" w:rsidP="008B4DF8">
      <w:pPr>
        <w:pStyle w:val="611BulletlistTextstyles"/>
      </w:pPr>
      <w:r w:rsidRPr="00C1603D">
        <w:t>headaches</w:t>
      </w:r>
      <w:r w:rsidR="00EF030A" w:rsidRPr="00C1603D">
        <w:t>,</w:t>
      </w:r>
      <w:r w:rsidR="008B4DF8" w:rsidRPr="00C1603D">
        <w:t xml:space="preserve"> including migraines</w:t>
      </w:r>
    </w:p>
    <w:p w14:paraId="5C4E047F" w14:textId="31B4B801" w:rsidR="008B4DF8" w:rsidRPr="00C1603D" w:rsidRDefault="00C72655" w:rsidP="008B4DF8">
      <w:pPr>
        <w:pStyle w:val="611BulletlistTextstyles"/>
      </w:pPr>
      <w:r w:rsidRPr="00C1603D">
        <w:t xml:space="preserve">mood </w:t>
      </w:r>
      <w:r w:rsidR="008B4DF8" w:rsidRPr="00C1603D">
        <w:t>disorders</w:t>
      </w:r>
    </w:p>
    <w:p w14:paraId="380F5D3A" w14:textId="5A1EFD9A" w:rsidR="008B4DF8" w:rsidRPr="00C1603D" w:rsidRDefault="00C72655" w:rsidP="008B4DF8">
      <w:pPr>
        <w:pStyle w:val="611BulletlistTextstyles"/>
      </w:pPr>
      <w:r w:rsidRPr="00C1603D">
        <w:t xml:space="preserve">attention </w:t>
      </w:r>
      <w:r w:rsidR="008B4DF8" w:rsidRPr="00C1603D">
        <w:t>deficit disorder/cognitive impairment</w:t>
      </w:r>
    </w:p>
    <w:p w14:paraId="40784500" w14:textId="75024AEB" w:rsidR="008B4DF8" w:rsidRPr="00C1603D" w:rsidRDefault="00C72655" w:rsidP="008B4DF8">
      <w:pPr>
        <w:pStyle w:val="614TextbulletlistlastTextstylesTextstyles"/>
      </w:pPr>
      <w:r w:rsidRPr="00C1603D">
        <w:t xml:space="preserve">hyposplenism </w:t>
      </w:r>
      <w:r w:rsidR="008B4DF8" w:rsidRPr="00C1603D">
        <w:t>or functional asplenia, psoriasis or other skin lesions, pulmonary haemosiderosis, and IgA nephropathy.</w:t>
      </w:r>
    </w:p>
    <w:p w14:paraId="60FBDD0D" w14:textId="1EE804C9" w:rsidR="008B4DF8" w:rsidRPr="00C1603D" w:rsidRDefault="008B4DF8" w:rsidP="008B4DF8">
      <w:pPr>
        <w:pStyle w:val="53BheadHeadingsHeadingstyles"/>
      </w:pPr>
      <w:bookmarkStart w:id="123" w:name="_Toc99539820"/>
      <w:r w:rsidRPr="00C1603D">
        <w:t xml:space="preserve">Serological </w:t>
      </w:r>
      <w:r w:rsidR="00C72655" w:rsidRPr="00C1603D">
        <w:t>t</w:t>
      </w:r>
      <w:r w:rsidRPr="00C1603D">
        <w:t>esting</w:t>
      </w:r>
      <w:bookmarkEnd w:id="123"/>
    </w:p>
    <w:p w14:paraId="395C2393" w14:textId="715AEFFA" w:rsidR="008B4DF8" w:rsidRPr="00C1603D" w:rsidRDefault="008B4DF8" w:rsidP="00C26563">
      <w:pPr>
        <w:pStyle w:val="602TextfoTextstylesTextstyles"/>
      </w:pPr>
      <w:r w:rsidRPr="00C1603D">
        <w:t xml:space="preserve">There are a number of serological tests available for CD. These are summarised in </w:t>
      </w:r>
      <w:r w:rsidRPr="00C1603D">
        <w:rPr>
          <w:i/>
          <w:color w:val="FF0000"/>
        </w:rPr>
        <w:t xml:space="preserve">Table </w:t>
      </w:r>
      <w:r w:rsidRPr="00C1603D">
        <w:rPr>
          <w:i/>
          <w:noProof/>
          <w:color w:val="FF0000"/>
        </w:rPr>
        <w:t>1</w:t>
      </w:r>
      <w:r w:rsidRPr="00C1603D">
        <w:t xml:space="preserve">. For all currently available serological tests, patients must continue to eat gluten daily for the 6 weeks prior to </w:t>
      </w:r>
      <w:r w:rsidRPr="00C1603D">
        <w:lastRenderedPageBreak/>
        <w:t>testing. Recommendations for serological testing for CD also vary across guidelines. Most guidelines recommend that people identified as potentially being at risk of having CD are first tested for IgA and IgA tissue transglutaminase (tTG).</w:t>
      </w:r>
      <w:r w:rsidRPr="00C1603D">
        <w:rPr>
          <w:noProof/>
          <w:vertAlign w:val="superscript"/>
        </w:rPr>
        <w:t>9,10</w:t>
      </w:r>
      <w:r w:rsidRPr="00C1603D">
        <w:t xml:space="preserve"> Some guidelines also recommend IgA endomysial antibody (EMA) testing following tTG testing</w:t>
      </w:r>
      <w:r w:rsidR="008F477B" w:rsidRPr="00C1603D">
        <w:t>:</w:t>
      </w:r>
      <w:r w:rsidRPr="00C1603D">
        <w:t xml:space="preserve"> NICE guidelines recommend that those with a weak positive IgA tTG should also be tested with IgA EMA.</w:t>
      </w:r>
      <w:r w:rsidRPr="00C1603D">
        <w:rPr>
          <w:noProof/>
          <w:vertAlign w:val="superscript"/>
        </w:rPr>
        <w:t>9</w:t>
      </w:r>
      <w:r w:rsidRPr="00C1603D">
        <w:t xml:space="preserve"> In practice, EMA testing is often conducted following a positive tTG test to confirm the diagnosis. Testing for IgA deficiency is recommended as the IgA</w:t>
      </w:r>
      <w:r w:rsidR="008F477B" w:rsidRPr="00C1603D">
        <w:t>-</w:t>
      </w:r>
      <w:r w:rsidRPr="00C1603D">
        <w:t xml:space="preserve">based serological tests will produce a reliable result </w:t>
      </w:r>
      <w:r w:rsidR="008F477B" w:rsidRPr="00C1603D">
        <w:t xml:space="preserve">only for </w:t>
      </w:r>
      <w:r w:rsidRPr="00C1603D">
        <w:t>those who are not IgA deficient. IgA deficiency affects around 0.5% of the general population</w:t>
      </w:r>
      <w:r w:rsidR="008F477B" w:rsidRPr="00C1603D">
        <w:t>,</w:t>
      </w:r>
      <w:r w:rsidRPr="00C1603D">
        <w:t xml:space="preserve"> but is more common </w:t>
      </w:r>
      <w:r w:rsidR="008F477B" w:rsidRPr="00C1603D">
        <w:t>among</w:t>
      </w:r>
      <w:r w:rsidRPr="00C1603D">
        <w:t xml:space="preserve"> those with CD, affecting around 2</w:t>
      </w:r>
      <w:r w:rsidR="008F477B" w:rsidRPr="00C1603D">
        <w:t>–</w:t>
      </w:r>
      <w:r w:rsidRPr="00C1603D">
        <w:t xml:space="preserve">3%. If IgA deficiency is detected, then an </w:t>
      </w:r>
      <w:r w:rsidR="00CB4552" w:rsidRPr="00C1603D">
        <w:t>immunoglobulin G (</w:t>
      </w:r>
      <w:r w:rsidRPr="00C1603D">
        <w:t>IgG</w:t>
      </w:r>
      <w:r w:rsidR="00CB4552" w:rsidRPr="00C1603D">
        <w:t>)-</w:t>
      </w:r>
      <w:r w:rsidRPr="00C1603D">
        <w:t>based test alternative is required</w:t>
      </w:r>
      <w:r w:rsidR="003F36D6" w:rsidRPr="00C1603D">
        <w:t>;</w:t>
      </w:r>
      <w:r w:rsidRPr="00C1603D">
        <w:t xml:space="preserve"> NICE</w:t>
      </w:r>
      <w:r w:rsidR="00CB4552" w:rsidRPr="00C1603D">
        <w:rPr>
          <w:vertAlign w:val="superscript"/>
        </w:rPr>
        <w:t>9</w:t>
      </w:r>
      <w:r w:rsidRPr="00C1603D">
        <w:t xml:space="preserve"> and ESPGHAN</w:t>
      </w:r>
      <w:r w:rsidR="00CB4552" w:rsidRPr="00C1603D">
        <w:rPr>
          <w:vertAlign w:val="superscript"/>
        </w:rPr>
        <w:t>10</w:t>
      </w:r>
      <w:r w:rsidRPr="00C1603D">
        <w:t xml:space="preserve"> guidelines recommend IgG EMA, IgG </w:t>
      </w:r>
      <w:r w:rsidR="003F36D6" w:rsidRPr="00C1603D">
        <w:t>deamidated gliadin peptide (</w:t>
      </w:r>
      <w:r w:rsidRPr="00C1603D">
        <w:t>DGP</w:t>
      </w:r>
      <w:r w:rsidR="003F36D6" w:rsidRPr="00C1603D">
        <w:t>)</w:t>
      </w:r>
      <w:r w:rsidRPr="00C1603D">
        <w:t xml:space="preserve"> or IgG tTG</w:t>
      </w:r>
      <w:r w:rsidR="003F36D6" w:rsidRPr="00C1603D">
        <w:t>.</w:t>
      </w:r>
      <w:r w:rsidRPr="00C1603D">
        <w:t xml:space="preserve"> </w:t>
      </w:r>
      <w:r w:rsidR="00872332" w:rsidRPr="00C1603D">
        <w:t>G</w:t>
      </w:r>
      <w:r w:rsidR="00BD0968" w:rsidRPr="00C1603D">
        <w:t>liadin antibodies</w:t>
      </w:r>
      <w:r w:rsidR="00872332" w:rsidRPr="00C1603D">
        <w:t xml:space="preserve"> (GA)</w:t>
      </w:r>
      <w:r w:rsidRPr="00C1603D">
        <w:t xml:space="preserve"> and </w:t>
      </w:r>
      <w:r w:rsidR="00BD0968" w:rsidRPr="00C1603D">
        <w:t>rec</w:t>
      </w:r>
      <w:r w:rsidRPr="00C1603D">
        <w:t>ulin antibodies, which were previously recommended for serological testing for CD, are now no longer recommended as the more recently developed assays are considered to have better accuracy.</w:t>
      </w:r>
      <w:r w:rsidRPr="00C1603D">
        <w:rPr>
          <w:noProof/>
          <w:vertAlign w:val="superscript"/>
        </w:rPr>
        <w:t>12</w:t>
      </w:r>
    </w:p>
    <w:p w14:paraId="1ECD8ECE" w14:textId="693CC28B" w:rsidR="008B4DF8" w:rsidRPr="00C1603D" w:rsidRDefault="008B4DF8" w:rsidP="008B4DF8">
      <w:pPr>
        <w:pStyle w:val="70TablelegendTablesTableFigureBoxstyles"/>
      </w:pPr>
      <w:bookmarkStart w:id="124" w:name="_Toc99720712"/>
      <w:r w:rsidRPr="00C1603D">
        <w:rPr>
          <w:b/>
        </w:rPr>
        <w:t>TABLE 1</w:t>
      </w:r>
      <w:r w:rsidRPr="00C1603D">
        <w:rPr>
          <w:b/>
        </w:rPr>
        <w:t> </w:t>
      </w:r>
      <w:r w:rsidRPr="00C1603D">
        <w:t xml:space="preserve">Serological tests for </w:t>
      </w:r>
      <w:r w:rsidR="00A868B0" w:rsidRPr="00C1603D">
        <w:t>CD</w:t>
      </w:r>
      <w:bookmarkEnd w:id="124"/>
    </w:p>
    <w:tbl>
      <w:tblPr>
        <w:tblW w:w="0" w:type="auto"/>
        <w:tblCellMar>
          <w:top w:w="40" w:type="dxa"/>
          <w:left w:w="60" w:type="dxa"/>
          <w:bottom w:w="40" w:type="dxa"/>
          <w:right w:w="60" w:type="dxa"/>
        </w:tblCellMar>
        <w:tblLook w:val="04A0" w:firstRow="1" w:lastRow="0" w:firstColumn="1" w:lastColumn="0" w:noHBand="0" w:noVBand="1"/>
      </w:tblPr>
      <w:tblGrid>
        <w:gridCol w:w="1290"/>
        <w:gridCol w:w="1098"/>
        <w:gridCol w:w="1064"/>
        <w:gridCol w:w="1339"/>
        <w:gridCol w:w="2594"/>
        <w:gridCol w:w="1641"/>
      </w:tblGrid>
      <w:tr w:rsidR="008F4309" w:rsidRPr="00C1603D" w14:paraId="6E11B041" w14:textId="77777777" w:rsidTr="3CDEEDA7">
        <w:trPr>
          <w:cantSplit/>
        </w:trPr>
        <w:tc>
          <w:tcPr>
            <w:tcW w:w="0" w:type="auto"/>
            <w:shd w:val="clear" w:color="auto" w:fill="auto"/>
          </w:tcPr>
          <w:p w14:paraId="4EEC247D" w14:textId="609760B2" w:rsidR="008B4DF8" w:rsidRPr="00C1603D" w:rsidRDefault="008B4DF8" w:rsidP="00C72655">
            <w:pPr>
              <w:pStyle w:val="710TableheadTablesTableFigureBoxstyles"/>
            </w:pPr>
            <w:r w:rsidRPr="00C1603D">
              <w:t xml:space="preserve">Serological </w:t>
            </w:r>
            <w:r w:rsidR="00C72655" w:rsidRPr="00C1603D">
              <w:t>t</w:t>
            </w:r>
            <w:r w:rsidRPr="00C1603D">
              <w:t>est</w:t>
            </w:r>
          </w:p>
        </w:tc>
        <w:tc>
          <w:tcPr>
            <w:tcW w:w="0" w:type="auto"/>
            <w:shd w:val="clear" w:color="auto" w:fill="auto"/>
          </w:tcPr>
          <w:p w14:paraId="5440BD54" w14:textId="0AEEC40C" w:rsidR="008B4DF8" w:rsidRPr="00C1603D" w:rsidRDefault="008B4DF8" w:rsidP="00C72655">
            <w:pPr>
              <w:pStyle w:val="710TableheadTablesTableFigureBoxstyles"/>
            </w:pPr>
            <w:r w:rsidRPr="00C1603D">
              <w:t>Antibody type</w:t>
            </w:r>
          </w:p>
        </w:tc>
        <w:tc>
          <w:tcPr>
            <w:tcW w:w="0" w:type="auto"/>
            <w:shd w:val="clear" w:color="auto" w:fill="auto"/>
          </w:tcPr>
          <w:p w14:paraId="52AC2B43" w14:textId="77777777" w:rsidR="008B4DF8" w:rsidRPr="00C1603D" w:rsidRDefault="008B4DF8" w:rsidP="00C72655">
            <w:pPr>
              <w:pStyle w:val="710TableheadTablesTableFigureBoxstyles"/>
            </w:pPr>
            <w:r w:rsidRPr="00C1603D">
              <w:t>Date available</w:t>
            </w:r>
          </w:p>
        </w:tc>
        <w:tc>
          <w:tcPr>
            <w:tcW w:w="0" w:type="auto"/>
            <w:shd w:val="clear" w:color="auto" w:fill="auto"/>
          </w:tcPr>
          <w:p w14:paraId="32048AD3" w14:textId="77777777" w:rsidR="008B4DF8" w:rsidRPr="00C1603D" w:rsidRDefault="008B4DF8" w:rsidP="00C72655">
            <w:pPr>
              <w:pStyle w:val="710TableheadTablesTableFigureBoxstyles"/>
            </w:pPr>
            <w:r w:rsidRPr="00C1603D">
              <w:t>Test type</w:t>
            </w:r>
          </w:p>
        </w:tc>
        <w:tc>
          <w:tcPr>
            <w:tcW w:w="0" w:type="auto"/>
            <w:shd w:val="clear" w:color="auto" w:fill="auto"/>
          </w:tcPr>
          <w:p w14:paraId="734E8030" w14:textId="77777777" w:rsidR="008B4DF8" w:rsidRPr="00C1603D" w:rsidRDefault="008B4DF8" w:rsidP="00C72655">
            <w:pPr>
              <w:pStyle w:val="710TableheadTablesTableFigureBoxstyles"/>
            </w:pPr>
            <w:r w:rsidRPr="00C1603D">
              <w:t>Guidelines</w:t>
            </w:r>
          </w:p>
        </w:tc>
        <w:tc>
          <w:tcPr>
            <w:tcW w:w="0" w:type="auto"/>
            <w:shd w:val="clear" w:color="auto" w:fill="auto"/>
          </w:tcPr>
          <w:p w14:paraId="2598B2D7" w14:textId="209218B2" w:rsidR="008B4DF8" w:rsidRPr="00C1603D" w:rsidRDefault="008B4DF8" w:rsidP="00C72655">
            <w:pPr>
              <w:pStyle w:val="710TableheadTablesTableFigureBoxstyles"/>
            </w:pPr>
            <w:r w:rsidRPr="00C1603D">
              <w:t xml:space="preserve">UK </w:t>
            </w:r>
            <w:r w:rsidR="002E5E29" w:rsidRPr="00C1603D">
              <w:t>c</w:t>
            </w:r>
            <w:r w:rsidRPr="00C1603D">
              <w:t>ost</w:t>
            </w:r>
            <w:r w:rsidR="002E5E29" w:rsidRPr="00C1603D">
              <w:t xml:space="preserve"> (£)</w:t>
            </w:r>
          </w:p>
        </w:tc>
      </w:tr>
      <w:tr w:rsidR="008F4309" w:rsidRPr="00C1603D" w14:paraId="60759F77" w14:textId="77777777" w:rsidTr="3CDEEDA7">
        <w:trPr>
          <w:cantSplit/>
        </w:trPr>
        <w:tc>
          <w:tcPr>
            <w:tcW w:w="0" w:type="auto"/>
            <w:shd w:val="clear" w:color="auto" w:fill="auto"/>
          </w:tcPr>
          <w:p w14:paraId="37A398C3" w14:textId="71C8DC6E" w:rsidR="008B4DF8" w:rsidRPr="00C1603D" w:rsidRDefault="008B4DF8" w:rsidP="00C72655">
            <w:pPr>
              <w:pStyle w:val="72TabletextTablesTableFigureBoxstyles"/>
            </w:pPr>
            <w:r w:rsidRPr="00C1603D">
              <w:t>tTG</w:t>
            </w:r>
          </w:p>
        </w:tc>
        <w:tc>
          <w:tcPr>
            <w:tcW w:w="0" w:type="auto"/>
            <w:shd w:val="clear" w:color="auto" w:fill="auto"/>
          </w:tcPr>
          <w:p w14:paraId="1A284117" w14:textId="77777777" w:rsidR="008B4DF8" w:rsidRPr="00C1603D" w:rsidRDefault="008B4DF8" w:rsidP="00C72655">
            <w:pPr>
              <w:pStyle w:val="72TabletextTablesTableFigureBoxstyles"/>
            </w:pPr>
            <w:r w:rsidRPr="00C1603D">
              <w:t>IgA or IgG</w:t>
            </w:r>
          </w:p>
        </w:tc>
        <w:tc>
          <w:tcPr>
            <w:tcW w:w="0" w:type="auto"/>
            <w:shd w:val="clear" w:color="auto" w:fill="auto"/>
          </w:tcPr>
          <w:p w14:paraId="1555D770" w14:textId="77777777" w:rsidR="008B4DF8" w:rsidRPr="00C1603D" w:rsidRDefault="008B4DF8" w:rsidP="00C72655">
            <w:pPr>
              <w:pStyle w:val="72TabletextTablesTableFigureBoxstyles"/>
            </w:pPr>
            <w:r w:rsidRPr="00C1603D">
              <w:t>1997</w:t>
            </w:r>
          </w:p>
        </w:tc>
        <w:tc>
          <w:tcPr>
            <w:tcW w:w="0" w:type="auto"/>
            <w:shd w:val="clear" w:color="auto" w:fill="auto"/>
          </w:tcPr>
          <w:p w14:paraId="1936B37D" w14:textId="72CED37F" w:rsidR="008B4DF8" w:rsidRPr="00C1603D" w:rsidRDefault="008B4DF8" w:rsidP="00C72655">
            <w:pPr>
              <w:pStyle w:val="72TabletextTablesTableFigureBoxstyles"/>
            </w:pPr>
            <w:r w:rsidRPr="00C1603D">
              <w:t>ELISA</w:t>
            </w:r>
          </w:p>
        </w:tc>
        <w:tc>
          <w:tcPr>
            <w:tcW w:w="0" w:type="auto"/>
            <w:shd w:val="clear" w:color="auto" w:fill="auto"/>
          </w:tcPr>
          <w:p w14:paraId="5D999985" w14:textId="1EF2295E" w:rsidR="008B4DF8" w:rsidRPr="00C1603D" w:rsidRDefault="3CDEEDA7" w:rsidP="008F4309">
            <w:pPr>
              <w:pStyle w:val="72TabletextTablesTableFigureBoxstyles"/>
              <w:rPr>
                <w:vertAlign w:val="superscript"/>
              </w:rPr>
            </w:pPr>
            <w:commentRangeStart w:id="125"/>
            <w:commentRangeStart w:id="126"/>
            <w:r w:rsidRPr="00C1603D">
              <w:t>NICE;</w:t>
            </w:r>
            <w:r w:rsidRPr="00C1603D">
              <w:rPr>
                <w:vertAlign w:val="superscript"/>
              </w:rPr>
              <w:t>9</w:t>
            </w:r>
            <w:r w:rsidRPr="00C1603D">
              <w:t xml:space="preserve"> ESPGHAN</w:t>
            </w:r>
            <w:r w:rsidRPr="00C1603D">
              <w:rPr>
                <w:vertAlign w:val="superscript"/>
              </w:rPr>
              <w:t>10</w:t>
            </w:r>
            <w:commentRangeEnd w:id="125"/>
            <w:r w:rsidR="008B4DF8" w:rsidRPr="00C1603D">
              <w:commentReference w:id="125"/>
            </w:r>
            <w:commentRangeEnd w:id="126"/>
            <w:r w:rsidR="008B4DF8" w:rsidRPr="00C1603D">
              <w:commentReference w:id="126"/>
            </w:r>
          </w:p>
        </w:tc>
        <w:tc>
          <w:tcPr>
            <w:tcW w:w="0" w:type="auto"/>
            <w:shd w:val="clear" w:color="auto" w:fill="auto"/>
          </w:tcPr>
          <w:p w14:paraId="68A36C10" w14:textId="4B8DA183" w:rsidR="008B4DF8" w:rsidRPr="00C1603D" w:rsidRDefault="008B4DF8" w:rsidP="00C72655">
            <w:pPr>
              <w:pStyle w:val="72TabletextTablesTableFigureBoxstyles"/>
            </w:pPr>
            <w:r w:rsidRPr="00C1603D">
              <w:t>10.77 (SE 2.15)</w:t>
            </w:r>
          </w:p>
        </w:tc>
      </w:tr>
      <w:tr w:rsidR="008F4309" w:rsidRPr="00C1603D" w14:paraId="6BC683D0" w14:textId="77777777" w:rsidTr="3CDEEDA7">
        <w:trPr>
          <w:cantSplit/>
        </w:trPr>
        <w:tc>
          <w:tcPr>
            <w:tcW w:w="0" w:type="auto"/>
            <w:shd w:val="clear" w:color="auto" w:fill="auto"/>
          </w:tcPr>
          <w:p w14:paraId="1B738986" w14:textId="7F7F082E" w:rsidR="008F4309" w:rsidRPr="00C1603D" w:rsidRDefault="008F4309" w:rsidP="008F4309">
            <w:pPr>
              <w:pStyle w:val="72TabletextTablesTableFigureBoxstyles"/>
            </w:pPr>
            <w:r w:rsidRPr="00C1603D">
              <w:t>EMA</w:t>
            </w:r>
          </w:p>
        </w:tc>
        <w:tc>
          <w:tcPr>
            <w:tcW w:w="0" w:type="auto"/>
            <w:shd w:val="clear" w:color="auto" w:fill="auto"/>
          </w:tcPr>
          <w:p w14:paraId="3A6FA5BC" w14:textId="77777777" w:rsidR="008F4309" w:rsidRPr="00C1603D" w:rsidRDefault="008F4309" w:rsidP="008F4309">
            <w:pPr>
              <w:pStyle w:val="72TabletextTablesTableFigureBoxstyles"/>
            </w:pPr>
            <w:r w:rsidRPr="00C1603D">
              <w:t>IgA or IgG</w:t>
            </w:r>
          </w:p>
        </w:tc>
        <w:tc>
          <w:tcPr>
            <w:tcW w:w="0" w:type="auto"/>
            <w:shd w:val="clear" w:color="auto" w:fill="auto"/>
          </w:tcPr>
          <w:p w14:paraId="6835DEC8" w14:textId="052B8493" w:rsidR="008F4309" w:rsidRPr="00C1603D" w:rsidRDefault="008F4309" w:rsidP="008F4309">
            <w:pPr>
              <w:pStyle w:val="72TabletextTablesTableFigureBoxstyles"/>
            </w:pPr>
            <w:r w:rsidRPr="00C1603D">
              <w:rPr>
                <w:rFonts w:cs="Lato"/>
              </w:rPr>
              <w:t>≈</w:t>
            </w:r>
            <w:r w:rsidRPr="00C1603D">
              <w:t> 1990</w:t>
            </w:r>
          </w:p>
        </w:tc>
        <w:tc>
          <w:tcPr>
            <w:tcW w:w="0" w:type="auto"/>
            <w:shd w:val="clear" w:color="auto" w:fill="auto"/>
          </w:tcPr>
          <w:p w14:paraId="75B0956A" w14:textId="164260E4" w:rsidR="008F4309" w:rsidRPr="00C1603D" w:rsidRDefault="008F4309" w:rsidP="008F4309">
            <w:pPr>
              <w:pStyle w:val="72TabletextTablesTableFigureBoxstyles"/>
            </w:pPr>
            <w:r w:rsidRPr="00C1603D">
              <w:t>IFA</w:t>
            </w:r>
          </w:p>
        </w:tc>
        <w:tc>
          <w:tcPr>
            <w:tcW w:w="0" w:type="auto"/>
            <w:shd w:val="clear" w:color="auto" w:fill="auto"/>
          </w:tcPr>
          <w:p w14:paraId="2E459563" w14:textId="419718BE" w:rsidR="008F4309" w:rsidRPr="00C1603D" w:rsidRDefault="008F4309" w:rsidP="008F4309">
            <w:pPr>
              <w:pStyle w:val="72TabletextTablesTableFigureBoxstyles"/>
              <w:rPr>
                <w:rFonts w:ascii="Merriweather" w:hAnsi="Merriweather"/>
                <w:color w:val="575757"/>
                <w:shd w:val="clear" w:color="auto" w:fill="FFFFFF"/>
              </w:rPr>
            </w:pPr>
            <w:r w:rsidRPr="00C1603D">
              <w:t>NICE;</w:t>
            </w:r>
            <w:r w:rsidRPr="00C1603D">
              <w:rPr>
                <w:vertAlign w:val="superscript"/>
              </w:rPr>
              <w:t>9</w:t>
            </w:r>
            <w:r w:rsidRPr="00C1603D">
              <w:t xml:space="preserve"> ESPGHAN</w:t>
            </w:r>
            <w:r w:rsidRPr="00C1603D">
              <w:rPr>
                <w:vertAlign w:val="superscript"/>
              </w:rPr>
              <w:t>10</w:t>
            </w:r>
          </w:p>
        </w:tc>
        <w:tc>
          <w:tcPr>
            <w:tcW w:w="0" w:type="auto"/>
            <w:shd w:val="clear" w:color="auto" w:fill="auto"/>
          </w:tcPr>
          <w:p w14:paraId="3E80BC59" w14:textId="0ED9909D" w:rsidR="008F4309" w:rsidRPr="00C1603D" w:rsidRDefault="008F4309" w:rsidP="008F4309">
            <w:pPr>
              <w:pStyle w:val="72TabletextTablesTableFigureBoxstyles"/>
            </w:pPr>
            <w:r w:rsidRPr="00C1603D">
              <w:t>14.92 (SE 1.87)</w:t>
            </w:r>
          </w:p>
        </w:tc>
      </w:tr>
      <w:tr w:rsidR="008F4309" w:rsidRPr="00C1603D" w14:paraId="70353A36" w14:textId="77777777" w:rsidTr="3CDEEDA7">
        <w:trPr>
          <w:cantSplit/>
        </w:trPr>
        <w:tc>
          <w:tcPr>
            <w:tcW w:w="0" w:type="auto"/>
            <w:shd w:val="clear" w:color="auto" w:fill="auto"/>
          </w:tcPr>
          <w:p w14:paraId="39BBA877" w14:textId="7401A75D" w:rsidR="008F4309" w:rsidRPr="00C1603D" w:rsidRDefault="008F4309" w:rsidP="008F4309">
            <w:pPr>
              <w:pStyle w:val="72TabletextTablesTableFigureBoxstyles"/>
            </w:pPr>
            <w:r w:rsidRPr="00C1603D">
              <w:t>DGP</w:t>
            </w:r>
          </w:p>
        </w:tc>
        <w:tc>
          <w:tcPr>
            <w:tcW w:w="0" w:type="auto"/>
            <w:shd w:val="clear" w:color="auto" w:fill="auto"/>
          </w:tcPr>
          <w:p w14:paraId="6F3AB844" w14:textId="77777777" w:rsidR="008F4309" w:rsidRPr="00C1603D" w:rsidRDefault="008F4309" w:rsidP="008F4309">
            <w:pPr>
              <w:pStyle w:val="72TabletextTablesTableFigureBoxstyles"/>
            </w:pPr>
            <w:r w:rsidRPr="00C1603D">
              <w:t>IgA or IgG</w:t>
            </w:r>
          </w:p>
        </w:tc>
        <w:tc>
          <w:tcPr>
            <w:tcW w:w="0" w:type="auto"/>
            <w:shd w:val="clear" w:color="auto" w:fill="auto"/>
          </w:tcPr>
          <w:p w14:paraId="3ABBFD24" w14:textId="77777777" w:rsidR="008F4309" w:rsidRPr="00C1603D" w:rsidRDefault="008F4309" w:rsidP="008F4309">
            <w:pPr>
              <w:pStyle w:val="72TabletextTablesTableFigureBoxstyles"/>
            </w:pPr>
            <w:r w:rsidRPr="00C1603D">
              <w:t>1999</w:t>
            </w:r>
          </w:p>
        </w:tc>
        <w:tc>
          <w:tcPr>
            <w:tcW w:w="0" w:type="auto"/>
            <w:shd w:val="clear" w:color="auto" w:fill="auto"/>
          </w:tcPr>
          <w:p w14:paraId="58EB3268" w14:textId="77777777" w:rsidR="008F4309" w:rsidRPr="00C1603D" w:rsidRDefault="008F4309" w:rsidP="008F4309">
            <w:pPr>
              <w:pStyle w:val="72TabletextTablesTableFigureBoxstyles"/>
            </w:pPr>
            <w:r w:rsidRPr="00C1603D">
              <w:t>ELISA</w:t>
            </w:r>
          </w:p>
        </w:tc>
        <w:tc>
          <w:tcPr>
            <w:tcW w:w="0" w:type="auto"/>
            <w:shd w:val="clear" w:color="auto" w:fill="auto"/>
          </w:tcPr>
          <w:p w14:paraId="70C64C13" w14:textId="276E2183" w:rsidR="008F4309" w:rsidRPr="00C1603D" w:rsidRDefault="008F4309" w:rsidP="008F4309">
            <w:pPr>
              <w:pStyle w:val="72TabletextTablesTableFigureBoxstyles"/>
            </w:pPr>
            <w:r w:rsidRPr="00C1603D">
              <w:t>NICE;</w:t>
            </w:r>
            <w:r w:rsidRPr="00C1603D">
              <w:rPr>
                <w:vertAlign w:val="superscript"/>
              </w:rPr>
              <w:t>9</w:t>
            </w:r>
            <w:r w:rsidRPr="00C1603D">
              <w:t xml:space="preserve"> ESPGHAN</w:t>
            </w:r>
            <w:r w:rsidRPr="00C1603D">
              <w:rPr>
                <w:vertAlign w:val="superscript"/>
              </w:rPr>
              <w:t>10</w:t>
            </w:r>
          </w:p>
        </w:tc>
        <w:tc>
          <w:tcPr>
            <w:tcW w:w="0" w:type="auto"/>
            <w:shd w:val="clear" w:color="auto" w:fill="auto"/>
          </w:tcPr>
          <w:p w14:paraId="02617795" w14:textId="77777777" w:rsidR="008F4309" w:rsidRPr="00C1603D" w:rsidRDefault="3CDEEDA7" w:rsidP="008F4309">
            <w:pPr>
              <w:pStyle w:val="72TabletextTablesTableFigureBoxstyles"/>
            </w:pPr>
            <w:commentRangeStart w:id="127"/>
            <w:commentRangeStart w:id="128"/>
            <w:r w:rsidRPr="00C1603D">
              <w:t>NA</w:t>
            </w:r>
            <w:commentRangeEnd w:id="127"/>
            <w:r w:rsidR="008F4309" w:rsidRPr="00C1603D">
              <w:commentReference w:id="127"/>
            </w:r>
            <w:commentRangeEnd w:id="128"/>
            <w:r w:rsidR="008F4309" w:rsidRPr="00C1603D">
              <w:commentReference w:id="128"/>
            </w:r>
          </w:p>
        </w:tc>
      </w:tr>
      <w:tr w:rsidR="008F4309" w:rsidRPr="00C1603D" w14:paraId="628950EA" w14:textId="77777777" w:rsidTr="3CDEEDA7">
        <w:trPr>
          <w:cantSplit/>
        </w:trPr>
        <w:tc>
          <w:tcPr>
            <w:tcW w:w="0" w:type="auto"/>
            <w:shd w:val="clear" w:color="auto" w:fill="auto"/>
          </w:tcPr>
          <w:p w14:paraId="45071478" w14:textId="2DA3B7A1" w:rsidR="008B4DF8" w:rsidRPr="00C1603D" w:rsidRDefault="00267212" w:rsidP="00C72655">
            <w:pPr>
              <w:pStyle w:val="72TabletextTablesTableFigureBoxstyles"/>
            </w:pPr>
            <w:r w:rsidRPr="00C1603D">
              <w:t>Actin antibodies</w:t>
            </w:r>
          </w:p>
        </w:tc>
        <w:tc>
          <w:tcPr>
            <w:tcW w:w="0" w:type="auto"/>
            <w:shd w:val="clear" w:color="auto" w:fill="auto"/>
          </w:tcPr>
          <w:p w14:paraId="3BA90AE6" w14:textId="77777777" w:rsidR="008B4DF8" w:rsidRPr="00C1603D" w:rsidRDefault="008B4DF8" w:rsidP="00C72655">
            <w:pPr>
              <w:pStyle w:val="72TabletextTablesTableFigureBoxstyles"/>
            </w:pPr>
            <w:r w:rsidRPr="00C1603D">
              <w:t>IgA</w:t>
            </w:r>
          </w:p>
        </w:tc>
        <w:tc>
          <w:tcPr>
            <w:tcW w:w="0" w:type="auto"/>
            <w:shd w:val="clear" w:color="auto" w:fill="auto"/>
          </w:tcPr>
          <w:p w14:paraId="5F13E215" w14:textId="2CDBD33C" w:rsidR="008B4DF8" w:rsidRPr="00C1603D" w:rsidRDefault="00A56414" w:rsidP="00C72655">
            <w:pPr>
              <w:pStyle w:val="72TabletextTablesTableFigureBoxstyles"/>
            </w:pPr>
            <w:r w:rsidRPr="00C1603D">
              <w:rPr>
                <w:rFonts w:cs="Lato"/>
              </w:rPr>
              <w:t>≈</w:t>
            </w:r>
            <w:r w:rsidRPr="00C1603D">
              <w:t> </w:t>
            </w:r>
            <w:r w:rsidR="008B4DF8" w:rsidRPr="00C1603D">
              <w:t>2000</w:t>
            </w:r>
          </w:p>
        </w:tc>
        <w:tc>
          <w:tcPr>
            <w:tcW w:w="0" w:type="auto"/>
            <w:shd w:val="clear" w:color="auto" w:fill="auto"/>
          </w:tcPr>
          <w:p w14:paraId="18D5393E" w14:textId="77777777" w:rsidR="008B4DF8" w:rsidRPr="00C1603D" w:rsidRDefault="008B4DF8" w:rsidP="00C72655">
            <w:pPr>
              <w:pStyle w:val="72TabletextTablesTableFigureBoxstyles"/>
            </w:pPr>
            <w:r w:rsidRPr="00C1603D">
              <w:t>ELISA</w:t>
            </w:r>
          </w:p>
        </w:tc>
        <w:tc>
          <w:tcPr>
            <w:tcW w:w="0" w:type="auto"/>
            <w:shd w:val="clear" w:color="auto" w:fill="auto"/>
          </w:tcPr>
          <w:p w14:paraId="4701AB6E" w14:textId="77777777" w:rsidR="008B4DF8" w:rsidRPr="00C1603D" w:rsidRDefault="008B4DF8" w:rsidP="00C72655">
            <w:pPr>
              <w:pStyle w:val="72TabletextTablesTableFigureBoxstyles"/>
            </w:pPr>
            <w:r w:rsidRPr="00C1603D">
              <w:t>Not recommended</w:t>
            </w:r>
          </w:p>
        </w:tc>
        <w:tc>
          <w:tcPr>
            <w:tcW w:w="0" w:type="auto"/>
            <w:shd w:val="clear" w:color="auto" w:fill="auto"/>
          </w:tcPr>
          <w:p w14:paraId="261A85BC" w14:textId="77777777" w:rsidR="008B4DF8" w:rsidRPr="00C1603D" w:rsidRDefault="008B4DF8" w:rsidP="00C72655">
            <w:pPr>
              <w:pStyle w:val="72TabletextTablesTableFigureBoxstyles"/>
            </w:pPr>
            <w:r w:rsidRPr="00C1603D">
              <w:t>NA</w:t>
            </w:r>
          </w:p>
        </w:tc>
      </w:tr>
      <w:tr w:rsidR="008F4309" w:rsidRPr="00C1603D" w14:paraId="2785EF88" w14:textId="77777777" w:rsidTr="3CDEEDA7">
        <w:trPr>
          <w:cantSplit/>
        </w:trPr>
        <w:tc>
          <w:tcPr>
            <w:tcW w:w="0" w:type="auto"/>
            <w:shd w:val="clear" w:color="auto" w:fill="auto"/>
          </w:tcPr>
          <w:p w14:paraId="48F2161F" w14:textId="65590A87" w:rsidR="008B4DF8" w:rsidRPr="00C1603D" w:rsidRDefault="00872332" w:rsidP="00C72655">
            <w:pPr>
              <w:pStyle w:val="72TabletextTablesTableFigureBoxstyles"/>
            </w:pPr>
            <w:r w:rsidRPr="00C1603D">
              <w:t>Reculin antibodies</w:t>
            </w:r>
          </w:p>
        </w:tc>
        <w:tc>
          <w:tcPr>
            <w:tcW w:w="0" w:type="auto"/>
            <w:shd w:val="clear" w:color="auto" w:fill="auto"/>
          </w:tcPr>
          <w:p w14:paraId="0A47796F" w14:textId="77777777" w:rsidR="008B4DF8" w:rsidRPr="00C1603D" w:rsidRDefault="008B4DF8" w:rsidP="00C72655">
            <w:pPr>
              <w:pStyle w:val="72TabletextTablesTableFigureBoxstyles"/>
            </w:pPr>
            <w:r w:rsidRPr="00C1603D">
              <w:t>IgA or IgG</w:t>
            </w:r>
          </w:p>
        </w:tc>
        <w:tc>
          <w:tcPr>
            <w:tcW w:w="0" w:type="auto"/>
            <w:shd w:val="clear" w:color="auto" w:fill="auto"/>
          </w:tcPr>
          <w:p w14:paraId="730A4674" w14:textId="77777777" w:rsidR="008B4DF8" w:rsidRPr="00C1603D" w:rsidRDefault="008B4DF8" w:rsidP="00C72655">
            <w:pPr>
              <w:pStyle w:val="72TabletextTablesTableFigureBoxstyles"/>
            </w:pPr>
            <w:r w:rsidRPr="00C1603D">
              <w:t>1977</w:t>
            </w:r>
          </w:p>
        </w:tc>
        <w:tc>
          <w:tcPr>
            <w:tcW w:w="0" w:type="auto"/>
            <w:shd w:val="clear" w:color="auto" w:fill="auto"/>
          </w:tcPr>
          <w:p w14:paraId="6C3DB3A5" w14:textId="77777777" w:rsidR="008B4DF8" w:rsidRPr="00C1603D" w:rsidRDefault="008B4DF8" w:rsidP="00C72655">
            <w:pPr>
              <w:pStyle w:val="72TabletextTablesTableFigureBoxstyles"/>
            </w:pPr>
            <w:r w:rsidRPr="00C1603D">
              <w:t>IFA (rat kidney)</w:t>
            </w:r>
          </w:p>
        </w:tc>
        <w:tc>
          <w:tcPr>
            <w:tcW w:w="0" w:type="auto"/>
            <w:shd w:val="clear" w:color="auto" w:fill="auto"/>
          </w:tcPr>
          <w:p w14:paraId="1621A32D" w14:textId="77777777" w:rsidR="008B4DF8" w:rsidRPr="00C1603D" w:rsidRDefault="008B4DF8" w:rsidP="00C72655">
            <w:pPr>
              <w:pStyle w:val="72TabletextTablesTableFigureBoxstyles"/>
            </w:pPr>
            <w:r w:rsidRPr="00C1603D">
              <w:t>Not recommended</w:t>
            </w:r>
          </w:p>
        </w:tc>
        <w:tc>
          <w:tcPr>
            <w:tcW w:w="0" w:type="auto"/>
            <w:shd w:val="clear" w:color="auto" w:fill="auto"/>
          </w:tcPr>
          <w:p w14:paraId="237DADEC" w14:textId="77777777" w:rsidR="008B4DF8" w:rsidRPr="00C1603D" w:rsidRDefault="008B4DF8" w:rsidP="00C72655">
            <w:pPr>
              <w:pStyle w:val="72TabletextTablesTableFigureBoxstyles"/>
            </w:pPr>
            <w:r w:rsidRPr="00C1603D">
              <w:t>NA</w:t>
            </w:r>
          </w:p>
        </w:tc>
      </w:tr>
      <w:tr w:rsidR="008F4309" w:rsidRPr="00C1603D" w14:paraId="7D8C035F" w14:textId="77777777" w:rsidTr="3CDEEDA7">
        <w:trPr>
          <w:cantSplit/>
        </w:trPr>
        <w:tc>
          <w:tcPr>
            <w:tcW w:w="0" w:type="auto"/>
            <w:shd w:val="clear" w:color="auto" w:fill="auto"/>
          </w:tcPr>
          <w:p w14:paraId="5843021B" w14:textId="5DFD1A21" w:rsidR="008B4DF8" w:rsidRPr="00C1603D" w:rsidRDefault="00872332" w:rsidP="00C72655">
            <w:pPr>
              <w:pStyle w:val="72TabletextTablesTableFigureBoxstyles"/>
            </w:pPr>
            <w:r w:rsidRPr="00C1603D">
              <w:t>GA</w:t>
            </w:r>
          </w:p>
        </w:tc>
        <w:tc>
          <w:tcPr>
            <w:tcW w:w="0" w:type="auto"/>
            <w:shd w:val="clear" w:color="auto" w:fill="auto"/>
          </w:tcPr>
          <w:p w14:paraId="1DB4AD83" w14:textId="77777777" w:rsidR="008B4DF8" w:rsidRPr="00C1603D" w:rsidRDefault="008B4DF8" w:rsidP="00C72655">
            <w:pPr>
              <w:pStyle w:val="72TabletextTablesTableFigureBoxstyles"/>
            </w:pPr>
            <w:r w:rsidRPr="00C1603D">
              <w:t>IgA or IgG</w:t>
            </w:r>
          </w:p>
        </w:tc>
        <w:tc>
          <w:tcPr>
            <w:tcW w:w="0" w:type="auto"/>
            <w:shd w:val="clear" w:color="auto" w:fill="auto"/>
          </w:tcPr>
          <w:p w14:paraId="37713D0D" w14:textId="77777777" w:rsidR="008B4DF8" w:rsidRPr="00C1603D" w:rsidRDefault="008B4DF8" w:rsidP="00C72655">
            <w:pPr>
              <w:pStyle w:val="72TabletextTablesTableFigureBoxstyles"/>
            </w:pPr>
            <w:r w:rsidRPr="00C1603D">
              <w:t>Early 1980s</w:t>
            </w:r>
          </w:p>
        </w:tc>
        <w:tc>
          <w:tcPr>
            <w:tcW w:w="0" w:type="auto"/>
            <w:shd w:val="clear" w:color="auto" w:fill="auto"/>
          </w:tcPr>
          <w:p w14:paraId="0E3FF9FC" w14:textId="77777777" w:rsidR="008B4DF8" w:rsidRPr="00C1603D" w:rsidRDefault="008B4DF8" w:rsidP="00C72655">
            <w:pPr>
              <w:pStyle w:val="72TabletextTablesTableFigureBoxstyles"/>
            </w:pPr>
            <w:r w:rsidRPr="00C1603D">
              <w:t>Quantitative EIA</w:t>
            </w:r>
          </w:p>
        </w:tc>
        <w:tc>
          <w:tcPr>
            <w:tcW w:w="0" w:type="auto"/>
            <w:shd w:val="clear" w:color="auto" w:fill="auto"/>
          </w:tcPr>
          <w:p w14:paraId="4765FF5B" w14:textId="77777777" w:rsidR="008B4DF8" w:rsidRPr="00C1603D" w:rsidRDefault="008B4DF8" w:rsidP="00C72655">
            <w:pPr>
              <w:pStyle w:val="72TabletextTablesTableFigureBoxstyles"/>
            </w:pPr>
            <w:r w:rsidRPr="00C1603D">
              <w:t>Not recommended</w:t>
            </w:r>
          </w:p>
        </w:tc>
        <w:tc>
          <w:tcPr>
            <w:tcW w:w="0" w:type="auto"/>
            <w:shd w:val="clear" w:color="auto" w:fill="auto"/>
          </w:tcPr>
          <w:p w14:paraId="2F02127D" w14:textId="77777777" w:rsidR="008B4DF8" w:rsidRPr="00C1603D" w:rsidRDefault="008B4DF8" w:rsidP="00C72655">
            <w:pPr>
              <w:pStyle w:val="72TabletextTablesTableFigureBoxstyles"/>
            </w:pPr>
            <w:r w:rsidRPr="00C1603D">
              <w:t>NA</w:t>
            </w:r>
          </w:p>
        </w:tc>
      </w:tr>
      <w:tr w:rsidR="00CD5087" w:rsidRPr="00C1603D" w14:paraId="797573EE" w14:textId="77777777" w:rsidTr="3CDEEDA7">
        <w:trPr>
          <w:cantSplit/>
        </w:trPr>
        <w:tc>
          <w:tcPr>
            <w:tcW w:w="0" w:type="auto"/>
            <w:gridSpan w:val="6"/>
            <w:shd w:val="clear" w:color="auto" w:fill="auto"/>
          </w:tcPr>
          <w:p w14:paraId="4BB1A78C" w14:textId="0DA1BFB1" w:rsidR="00CD5087" w:rsidRPr="00C1603D" w:rsidRDefault="3CDEEDA7" w:rsidP="00C72655">
            <w:pPr>
              <w:pStyle w:val="75TablenotesTablesTableFigureBoxstyles"/>
            </w:pPr>
            <w:r w:rsidRPr="00C1603D">
              <w:t xml:space="preserve">DGP, deamidated gliadin peptide; </w:t>
            </w:r>
            <w:commentRangeStart w:id="129"/>
            <w:commentRangeStart w:id="130"/>
            <w:r w:rsidRPr="00C1603D">
              <w:t xml:space="preserve">EIA, enzyme immunoassay; ELISA, enzyme-linked immunosorbent assay; EMA, endomysial antibody; </w:t>
            </w:r>
            <w:r w:rsidR="00872332" w:rsidRPr="00C1603D">
              <w:t xml:space="preserve">GA, gliadin antibodies; </w:t>
            </w:r>
            <w:r w:rsidRPr="00C1603D">
              <w:t xml:space="preserve">IFA, indirect fluorescent antibody; IgG, immunoglobulin G; </w:t>
            </w:r>
            <w:r w:rsidR="000609A1" w:rsidRPr="00C1603D">
              <w:t xml:space="preserve">NA, not available; </w:t>
            </w:r>
            <w:r w:rsidRPr="00C1603D">
              <w:t>SE, standard error; tTG, tissue transglutaminase.</w:t>
            </w:r>
            <w:commentRangeEnd w:id="129"/>
            <w:r w:rsidR="00CD5087" w:rsidRPr="00C1603D">
              <w:commentReference w:id="129"/>
            </w:r>
            <w:commentRangeEnd w:id="130"/>
            <w:r w:rsidR="00CD5087" w:rsidRPr="00C1603D">
              <w:commentReference w:id="130"/>
            </w:r>
          </w:p>
        </w:tc>
      </w:tr>
    </w:tbl>
    <w:p w14:paraId="7F6A5C07" w14:textId="38B16C84" w:rsidR="008B4DF8" w:rsidRPr="00C1603D" w:rsidRDefault="008B4DF8" w:rsidP="008B4DF8">
      <w:pPr>
        <w:pStyle w:val="602TextfoTextstylesTextstyles"/>
      </w:pPr>
      <w:r w:rsidRPr="00C1603D">
        <w:t xml:space="preserve">Previous systematic reviews of the accuracy of serological testing for diagnosing CD suggest that the tests are </w:t>
      </w:r>
      <w:proofErr w:type="gramStart"/>
      <w:r w:rsidRPr="00C1603D">
        <w:t>highly sensitive</w:t>
      </w:r>
      <w:proofErr w:type="gramEnd"/>
      <w:r w:rsidRPr="00C1603D">
        <w:t xml:space="preserve"> and specific </w:t>
      </w:r>
      <w:r w:rsidR="00587A7B" w:rsidRPr="00C1603D">
        <w:t>among</w:t>
      </w:r>
      <w:r w:rsidRPr="00C1603D">
        <w:t xml:space="preserve"> both adults and children.</w:t>
      </w:r>
      <w:r w:rsidRPr="00C1603D">
        <w:rPr>
          <w:noProof/>
          <w:vertAlign w:val="superscript"/>
        </w:rPr>
        <w:t>13</w:t>
      </w:r>
      <w:r w:rsidRPr="00C1603D">
        <w:rPr>
          <w:noProof/>
          <w:color w:val="00B0F0"/>
          <w:vertAlign w:val="superscript"/>
        </w:rPr>
        <w:t>–1</w:t>
      </w:r>
      <w:r w:rsidRPr="00C1603D">
        <w:rPr>
          <w:noProof/>
          <w:vertAlign w:val="superscript"/>
        </w:rPr>
        <w:t>6</w:t>
      </w:r>
      <w:r w:rsidRPr="00C1603D">
        <w:rPr>
          <w:noProof/>
        </w:rPr>
        <w:t xml:space="preserve"> </w:t>
      </w:r>
      <w:r w:rsidRPr="00C1603D">
        <w:t>However, these systematic reviews are out</w:t>
      </w:r>
      <w:r w:rsidR="00587A7B" w:rsidRPr="00C1603D">
        <w:t xml:space="preserve"> </w:t>
      </w:r>
      <w:r w:rsidRPr="00C1603D">
        <w:t>of</w:t>
      </w:r>
      <w:r w:rsidR="00587A7B" w:rsidRPr="00C1603D">
        <w:t xml:space="preserve"> </w:t>
      </w:r>
      <w:r w:rsidRPr="00C1603D">
        <w:t>date and most have methodological limitations, including issues with the search strategy, how study quality was assessed and how results were synthesised.</w:t>
      </w:r>
    </w:p>
    <w:p w14:paraId="2E5976F3" w14:textId="77777777" w:rsidR="008B4DF8" w:rsidRPr="00C1603D" w:rsidRDefault="008B4DF8" w:rsidP="008B4DF8">
      <w:pPr>
        <w:pStyle w:val="53BheadHeadingsHeadingstyles"/>
      </w:pPr>
      <w:bookmarkStart w:id="131" w:name="_Toc99539821"/>
      <w:r w:rsidRPr="00C1603D">
        <w:t>Genetic testing</w:t>
      </w:r>
      <w:bookmarkEnd w:id="131"/>
    </w:p>
    <w:p w14:paraId="39350C3D" w14:textId="78464DE8" w:rsidR="008B4DF8" w:rsidRPr="00C1603D" w:rsidRDefault="3CDEEDA7" w:rsidP="008B4DF8">
      <w:pPr>
        <w:pStyle w:val="602TextfoTextstylesTextstyles"/>
      </w:pPr>
      <w:r w:rsidRPr="00C1603D">
        <w:t xml:space="preserve">Coeliac disease has a strong genetic basis. </w:t>
      </w:r>
      <w:commentRangeStart w:id="132"/>
      <w:commentRangeStart w:id="133"/>
      <w:proofErr w:type="gramStart"/>
      <w:r w:rsidRPr="00C1603D">
        <w:t>Nearly all</w:t>
      </w:r>
      <w:proofErr w:type="gramEnd"/>
      <w:r w:rsidRPr="00C1603D">
        <w:t xml:space="preserve"> people with CD have variants of the human leucocyte antigen (HLA)-DQ alpha 1 and HLA-DQ beta 1 chains that encode the DQ2 and DQ8 heterodimer proteins.</w:t>
      </w:r>
      <w:r w:rsidRPr="00C1603D">
        <w:rPr>
          <w:noProof/>
          <w:vertAlign w:val="superscript"/>
        </w:rPr>
        <w:t>17</w:t>
      </w:r>
      <w:r w:rsidRPr="00C1603D">
        <w:t xml:space="preserve"> </w:t>
      </w:r>
      <w:commentRangeEnd w:id="132"/>
      <w:r w:rsidR="008B4DF8" w:rsidRPr="00C1603D">
        <w:commentReference w:id="132"/>
      </w:r>
      <w:commentRangeEnd w:id="133"/>
      <w:r w:rsidR="008B4DF8" w:rsidRPr="00C1603D">
        <w:commentReference w:id="133"/>
      </w:r>
      <w:r w:rsidRPr="00C1603D">
        <w:t>The majority of people with CD (95%) carry the HLA-DQ2.5 heterodimer. The remaining people (5</w:t>
      </w:r>
      <w:r w:rsidRPr="00C1603D">
        <w:rPr>
          <w:color w:val="00B0F0"/>
        </w:rPr>
        <w:t>–1</w:t>
      </w:r>
      <w:r w:rsidRPr="00C1603D">
        <w:t xml:space="preserve">0%) carry either the HLA-DQ8 or HLA-DQ2.2 heterodimers. It is estimated that </w:t>
      </w:r>
      <w:r w:rsidRPr="00C1603D">
        <w:rPr>
          <w:color w:val="00B0F0"/>
        </w:rPr>
        <w:t>&lt; 1</w:t>
      </w:r>
      <w:r w:rsidRPr="00C1603D">
        <w:t>% of those with CD do not have one of these genetic markers. However, around 50% of the general population also carry these markers, so presence of the marker does not equate to presence of CD.</w:t>
      </w:r>
      <w:r w:rsidRPr="00C1603D">
        <w:rPr>
          <w:noProof/>
          <w:vertAlign w:val="superscript"/>
        </w:rPr>
        <w:t>18</w:t>
      </w:r>
    </w:p>
    <w:p w14:paraId="43235055" w14:textId="04D98B41" w:rsidR="008B4DF8" w:rsidRPr="00C1603D" w:rsidRDefault="3CDEEDA7" w:rsidP="008B4DF8">
      <w:pPr>
        <w:pStyle w:val="602TextfoTextstylesTextstyles"/>
      </w:pPr>
      <w:commentRangeStart w:id="134"/>
      <w:commentRangeStart w:id="135"/>
      <w:r w:rsidRPr="00C1603D">
        <w:t>The role of genetic testing in diagnosing CD is unclear.</w:t>
      </w:r>
      <w:commentRangeEnd w:id="134"/>
      <w:r w:rsidR="008B4DF8" w:rsidRPr="00C1603D">
        <w:commentReference w:id="134"/>
      </w:r>
      <w:commentRangeEnd w:id="135"/>
      <w:r w:rsidR="008B4DF8" w:rsidRPr="00C1603D">
        <w:commentReference w:id="135"/>
      </w:r>
      <w:r w:rsidRPr="00C1603D">
        <w:t xml:space="preserve"> It has the potential to be used as a </w:t>
      </w:r>
      <w:r w:rsidRPr="00C1603D">
        <w:rPr>
          <w:color w:val="00B0F0"/>
        </w:rPr>
        <w:t>‘</w:t>
      </w:r>
      <w:r w:rsidRPr="00C1603D">
        <w:t>rule-out</w:t>
      </w:r>
      <w:r w:rsidRPr="00C1603D">
        <w:rPr>
          <w:color w:val="00B0F0"/>
        </w:rPr>
        <w:t>’</w:t>
      </w:r>
      <w:r w:rsidRPr="00C1603D">
        <w:t xml:space="preserve"> test, as absence of either the HLA-DQ2 or the HLA-DQ8 genetic marker suggests that it is extremely unlikely that the person tested has CD. However, presence of these markers does not infer presence of CD, and so it is less useful as a rule-in test. The cost of genetic testing is greater than the cost of serology, and so guidelines do not currently recommend HLA-DQ2/-DQ8 testing as an initial screening test for CD diagnosis.</w:t>
      </w:r>
    </w:p>
    <w:p w14:paraId="3CCDB45B" w14:textId="34882DB4" w:rsidR="008B4DF8" w:rsidRPr="00C1603D" w:rsidRDefault="007017F7" w:rsidP="008B4DF8">
      <w:pPr>
        <w:pStyle w:val="602TextfoTextstylesTextstyles"/>
      </w:pPr>
      <w:r w:rsidRPr="00C1603D">
        <w:t xml:space="preserve">The </w:t>
      </w:r>
      <w:r w:rsidR="008B4DF8" w:rsidRPr="00C1603D">
        <w:t>NICE guidelines</w:t>
      </w:r>
      <w:r w:rsidRPr="00C1603D">
        <w:rPr>
          <w:vertAlign w:val="superscript"/>
        </w:rPr>
        <w:t>9</w:t>
      </w:r>
      <w:r w:rsidR="008B4DF8" w:rsidRPr="00C1603D">
        <w:t xml:space="preserve"> recommend against using HLA</w:t>
      </w:r>
      <w:r w:rsidRPr="00C1603D">
        <w:t>-</w:t>
      </w:r>
      <w:r w:rsidR="008B4DF8" w:rsidRPr="00C1603D">
        <w:t>DQ2/</w:t>
      </w:r>
      <w:r w:rsidRPr="00C1603D">
        <w:t>-</w:t>
      </w:r>
      <w:r w:rsidR="008B4DF8" w:rsidRPr="00C1603D">
        <w:t xml:space="preserve">DQ8 testing in the initial diagnosis of CD </w:t>
      </w:r>
      <w:r w:rsidR="008B4DF8" w:rsidRPr="00C1603D">
        <w:lastRenderedPageBreak/>
        <w:t>in non-specialist settings, but suggest that testing may be considered in certain situations</w:t>
      </w:r>
      <w:r w:rsidRPr="00C1603D">
        <w:t>,</w:t>
      </w:r>
      <w:r w:rsidR="008B4DF8" w:rsidRPr="00C1603D">
        <w:t xml:space="preserve"> such as </w:t>
      </w:r>
      <w:r w:rsidRPr="00C1603D">
        <w:t>for</w:t>
      </w:r>
      <w:r w:rsidR="008B4DF8" w:rsidRPr="00C1603D">
        <w:t xml:space="preserve"> children who are not having a biopsy or </w:t>
      </w:r>
      <w:r w:rsidRPr="00C1603D">
        <w:t>for</w:t>
      </w:r>
      <w:r w:rsidR="008B4DF8" w:rsidRPr="00C1603D">
        <w:t xml:space="preserve"> people who have already stopped eating gluten and do not want to reintroduce </w:t>
      </w:r>
      <w:r w:rsidRPr="00C1603D">
        <w:t>it</w:t>
      </w:r>
      <w:r w:rsidR="008B4DF8" w:rsidRPr="00C1603D">
        <w:t xml:space="preserve"> into their diet.</w:t>
      </w:r>
    </w:p>
    <w:p w14:paraId="3A8CDAFB" w14:textId="77777777" w:rsidR="008B4DF8" w:rsidRPr="00C1603D" w:rsidRDefault="008B4DF8" w:rsidP="008B4DF8">
      <w:pPr>
        <w:pStyle w:val="53BheadHeadingsHeadingstyles"/>
      </w:pPr>
      <w:bookmarkStart w:id="136" w:name="_Toc99539822"/>
      <w:r w:rsidRPr="00C1603D">
        <w:t>Biopsy confirmation</w:t>
      </w:r>
      <w:bookmarkEnd w:id="136"/>
    </w:p>
    <w:p w14:paraId="48B99371" w14:textId="0BF8ED14" w:rsidR="008B4DF8" w:rsidRPr="00C1603D" w:rsidRDefault="008B4DF8" w:rsidP="008B4DF8">
      <w:pPr>
        <w:pStyle w:val="602TextfoTextstylesTextstyles"/>
      </w:pPr>
      <w:r w:rsidRPr="00C1603D">
        <w:t>Biopsy is invasive, expensive, potentially distressing and burdensome, with risks of complications</w:t>
      </w:r>
      <w:r w:rsidR="007017F7" w:rsidRPr="00C1603D">
        <w:t>,</w:t>
      </w:r>
      <w:r w:rsidRPr="00C1603D">
        <w:t xml:space="preserve"> particularly for children, who require general anaesthesia to undergo the procedure. NICE </w:t>
      </w:r>
      <w:r w:rsidR="007017F7" w:rsidRPr="00C1603D">
        <w:t>g</w:t>
      </w:r>
      <w:r w:rsidRPr="00C1603D">
        <w:t xml:space="preserve">uidelines recommend biopsy to confirm a diagnosis of CD </w:t>
      </w:r>
      <w:r w:rsidR="007017F7" w:rsidRPr="00C1603D">
        <w:t>for</w:t>
      </w:r>
      <w:r w:rsidRPr="00C1603D">
        <w:t xml:space="preserve"> all adults with positive serological test results, regardless of how strongly indicative their results are of CD. The guidance for children is less clear</w:t>
      </w:r>
      <w:r w:rsidR="007017F7" w:rsidRPr="00C1603D">
        <w:t>:</w:t>
      </w:r>
      <w:r w:rsidRPr="00C1603D">
        <w:t xml:space="preserve"> NICE </w:t>
      </w:r>
      <w:r w:rsidR="007017F7" w:rsidRPr="00C1603D">
        <w:t xml:space="preserve">guidelines </w:t>
      </w:r>
      <w:r w:rsidRPr="00C1603D">
        <w:t xml:space="preserve">recommend that children with a positive serological test are referred to paediatric gastroenterology services for further investigation for CD. They do not specify that this should be biopsy confirmation. As with serological tests, patients must eat gluten daily in the </w:t>
      </w:r>
      <w:r w:rsidR="007017F7" w:rsidRPr="00C1603D">
        <w:t>6</w:t>
      </w:r>
      <w:r w:rsidRPr="00C1603D">
        <w:t xml:space="preserve"> weeks prior to biopsy for the result to be </w:t>
      </w:r>
      <w:proofErr w:type="gramStart"/>
      <w:r w:rsidRPr="00C1603D">
        <w:t>reliable</w:t>
      </w:r>
      <w:proofErr w:type="gramEnd"/>
      <w:r w:rsidRPr="00C1603D">
        <w:t>.</w:t>
      </w:r>
    </w:p>
    <w:p w14:paraId="125A421A" w14:textId="6EFAF3D7" w:rsidR="008B4DF8" w:rsidRPr="00C1603D" w:rsidRDefault="008B4DF8" w:rsidP="008B4DF8">
      <w:pPr>
        <w:pStyle w:val="602TextfoTextstylesTextstyles"/>
        <w:rPr>
          <w:noProof/>
        </w:rPr>
      </w:pPr>
      <w:r w:rsidRPr="00C1603D">
        <w:rPr>
          <w:shd w:val="clear" w:color="auto" w:fill="FFFFFF"/>
        </w:rPr>
        <w:t>In their 2012 guidelines,</w:t>
      </w:r>
      <w:r w:rsidR="00233025" w:rsidRPr="00C1603D">
        <w:rPr>
          <w:shd w:val="clear" w:color="auto" w:fill="FFFFFF"/>
          <w:vertAlign w:val="superscript"/>
        </w:rPr>
        <w:t>19</w:t>
      </w:r>
      <w:r w:rsidRPr="00C1603D">
        <w:rPr>
          <w:shd w:val="clear" w:color="auto" w:fill="FFFFFF"/>
        </w:rPr>
        <w:t xml:space="preserve"> ESPGHAN advised that children with IgA tTG</w:t>
      </w:r>
      <w:r w:rsidR="00A96577" w:rsidRPr="00C1603D">
        <w:rPr>
          <w:shd w:val="clear" w:color="auto" w:fill="FFFFFF"/>
        </w:rPr>
        <w:t xml:space="preserve"> of</w:t>
      </w:r>
      <w:r w:rsidRPr="00C1603D">
        <w:rPr>
          <w:shd w:val="clear" w:color="auto" w:fill="FFFFFF"/>
        </w:rPr>
        <w:t xml:space="preserve"> </w:t>
      </w:r>
      <w:r w:rsidR="002D1EB6" w:rsidRPr="00C1603D">
        <w:rPr>
          <w:rFonts w:cs="Lato"/>
          <w:shd w:val="clear" w:color="auto" w:fill="FFFFFF"/>
        </w:rPr>
        <w:t>≥</w:t>
      </w:r>
      <w:r w:rsidR="002D1EB6" w:rsidRPr="00C1603D">
        <w:rPr>
          <w:shd w:val="clear" w:color="auto" w:fill="FFFFFF"/>
        </w:rPr>
        <w:t> </w:t>
      </w:r>
      <w:r w:rsidRPr="00C1603D">
        <w:rPr>
          <w:shd w:val="clear" w:color="auto" w:fill="FFFFFF"/>
        </w:rPr>
        <w:t>10</w:t>
      </w:r>
      <w:r w:rsidR="00583BC6" w:rsidRPr="00C1603D">
        <w:rPr>
          <w:shd w:val="clear" w:color="auto" w:fill="FFFFFF"/>
        </w:rPr>
        <w:t xml:space="preserve"> times</w:t>
      </w:r>
      <w:r w:rsidRPr="00C1603D">
        <w:rPr>
          <w:shd w:val="clear" w:color="auto" w:fill="FFFFFF"/>
        </w:rPr>
        <w:t xml:space="preserve"> the upper limit of normal for the assay, who also tested positive for IgA EMA and had a HLA genotype suggestive of CD</w:t>
      </w:r>
      <w:r w:rsidR="00233025" w:rsidRPr="00C1603D">
        <w:rPr>
          <w:shd w:val="clear" w:color="auto" w:fill="FFFFFF"/>
        </w:rPr>
        <w:t>,</w:t>
      </w:r>
      <w:r w:rsidRPr="00C1603D">
        <w:rPr>
          <w:shd w:val="clear" w:color="auto" w:fill="FFFFFF"/>
        </w:rPr>
        <w:t xml:space="preserve"> do not need to undergo biopsy to confirm their CD diagnosis.</w:t>
      </w:r>
      <w:r w:rsidRPr="00C1603D">
        <w:rPr>
          <w:noProof/>
          <w:shd w:val="clear" w:color="auto" w:fill="FFFFFF"/>
          <w:vertAlign w:val="superscript"/>
        </w:rPr>
        <w:t>19</w:t>
      </w:r>
      <w:r w:rsidRPr="00C1603D">
        <w:rPr>
          <w:shd w:val="clear" w:color="auto" w:fill="FFFFFF"/>
        </w:rPr>
        <w:t xml:space="preserve"> During the </w:t>
      </w:r>
      <w:r w:rsidR="00A96577" w:rsidRPr="00C1603D">
        <w:rPr>
          <w:shd w:val="clear" w:color="auto" w:fill="FFFFFF"/>
        </w:rPr>
        <w:t>COVID-19</w:t>
      </w:r>
      <w:r w:rsidRPr="00C1603D">
        <w:rPr>
          <w:shd w:val="clear" w:color="auto" w:fill="FFFFFF"/>
        </w:rPr>
        <w:t xml:space="preserve"> pandemic, the British Society of Gastroenterology published interim guidance including a COVI</w:t>
      </w:r>
      <w:r w:rsidRPr="00C1603D">
        <w:rPr>
          <w:color w:val="00B0F0"/>
          <w:shd w:val="clear" w:color="auto" w:fill="FFFFFF"/>
        </w:rPr>
        <w:t>D-1</w:t>
      </w:r>
      <w:r w:rsidRPr="00C1603D">
        <w:rPr>
          <w:shd w:val="clear" w:color="auto" w:fill="FFFFFF"/>
        </w:rPr>
        <w:t>9</w:t>
      </w:r>
      <w:r w:rsidR="00583BC6" w:rsidRPr="00C1603D">
        <w:rPr>
          <w:shd w:val="clear" w:color="auto" w:fill="FFFFFF"/>
        </w:rPr>
        <w:t>-</w:t>
      </w:r>
      <w:r w:rsidRPr="00C1603D">
        <w:rPr>
          <w:shd w:val="clear" w:color="auto" w:fill="FFFFFF"/>
        </w:rPr>
        <w:t>specific non-biopsy protocol for adults with suspected CD.</w:t>
      </w:r>
      <w:r w:rsidRPr="00C1603D">
        <w:rPr>
          <w:noProof/>
          <w:shd w:val="clear" w:color="auto" w:fill="FFFFFF"/>
          <w:vertAlign w:val="superscript"/>
        </w:rPr>
        <w:t>20</w:t>
      </w:r>
      <w:r w:rsidRPr="00C1603D">
        <w:rPr>
          <w:noProof/>
          <w:shd w:val="clear" w:color="auto" w:fill="FFFFFF"/>
        </w:rPr>
        <w:t xml:space="preserve"> </w:t>
      </w:r>
      <w:r w:rsidRPr="00C1603D">
        <w:rPr>
          <w:noProof/>
        </w:rPr>
        <w:t xml:space="preserve">This guidance allows a non-biopsy diagnosis to be made if the patient has a tTG level </w:t>
      </w:r>
      <w:r w:rsidR="00583BC6" w:rsidRPr="00C1603D">
        <w:rPr>
          <w:noProof/>
        </w:rPr>
        <w:t xml:space="preserve">of </w:t>
      </w:r>
      <w:r w:rsidRPr="00C1603D">
        <w:rPr>
          <w:noProof/>
        </w:rPr>
        <w:t xml:space="preserve">at least 10 times the upper limit of normal (the same as the non-biopsy protocol </w:t>
      </w:r>
      <w:r w:rsidR="00E70733" w:rsidRPr="00C1603D">
        <w:rPr>
          <w:noProof/>
        </w:rPr>
        <w:t>for</w:t>
      </w:r>
      <w:r w:rsidRPr="00C1603D">
        <w:rPr>
          <w:noProof/>
        </w:rPr>
        <w:t xml:space="preserve"> children), is </w:t>
      </w:r>
      <w:r w:rsidRPr="00C1603D">
        <w:rPr>
          <w:noProof/>
          <w:color w:val="00B0F0"/>
        </w:rPr>
        <w:t>&lt; 5</w:t>
      </w:r>
      <w:r w:rsidRPr="00C1603D">
        <w:rPr>
          <w:noProof/>
        </w:rPr>
        <w:t xml:space="preserve">5 years </w:t>
      </w:r>
      <w:r w:rsidR="00E70733" w:rsidRPr="00C1603D">
        <w:rPr>
          <w:noProof/>
        </w:rPr>
        <w:t>of age</w:t>
      </w:r>
      <w:r w:rsidRPr="00C1603D">
        <w:rPr>
          <w:noProof/>
        </w:rPr>
        <w:t xml:space="preserve">, has a positive EMA test result and does not have any </w:t>
      </w:r>
      <w:r w:rsidR="007017F7" w:rsidRPr="00C1603D">
        <w:rPr>
          <w:noProof/>
          <w:color w:val="00B0F0"/>
        </w:rPr>
        <w:t>‘</w:t>
      </w:r>
      <w:r w:rsidRPr="00C1603D">
        <w:rPr>
          <w:noProof/>
        </w:rPr>
        <w:t>alarm</w:t>
      </w:r>
      <w:r w:rsidR="007017F7" w:rsidRPr="00C1603D">
        <w:rPr>
          <w:noProof/>
          <w:color w:val="00B0F0"/>
        </w:rPr>
        <w:t>’</w:t>
      </w:r>
      <w:r w:rsidRPr="00C1603D">
        <w:rPr>
          <w:noProof/>
        </w:rPr>
        <w:t xml:space="preserve"> symptoms, although it is not clear what these are.</w:t>
      </w:r>
      <w:r w:rsidRPr="00C1603D">
        <w:rPr>
          <w:noProof/>
          <w:vertAlign w:val="superscript"/>
        </w:rPr>
        <w:t>20</w:t>
      </w:r>
    </w:p>
    <w:p w14:paraId="2BA69013" w14:textId="75F8C386" w:rsidR="008B4DF8" w:rsidRPr="00C1603D" w:rsidRDefault="3CDEEDA7" w:rsidP="00E600A6">
      <w:pPr>
        <w:pStyle w:val="602TextfoTextstylesTextstyles"/>
      </w:pPr>
      <w:commentRangeStart w:id="137"/>
      <w:commentRangeStart w:id="138"/>
      <w:r w:rsidRPr="00C1603D">
        <w:rPr>
          <w:noProof/>
        </w:rPr>
        <w:t xml:space="preserve">Some guidelines recommend biopsy even if </w:t>
      </w:r>
      <w:r w:rsidR="000609A1" w:rsidRPr="00C1603D">
        <w:rPr>
          <w:noProof/>
        </w:rPr>
        <w:t xml:space="preserve">serological </w:t>
      </w:r>
      <w:r w:rsidRPr="00C1603D">
        <w:rPr>
          <w:noProof/>
        </w:rPr>
        <w:t xml:space="preserve">tests for CD are negative in certain patient groups. </w:t>
      </w:r>
      <w:commentRangeEnd w:id="137"/>
      <w:r w:rsidR="008B4DF8" w:rsidRPr="00C1603D">
        <w:commentReference w:id="137"/>
      </w:r>
      <w:commentRangeEnd w:id="138"/>
      <w:r w:rsidR="008B4DF8" w:rsidRPr="00C1603D">
        <w:commentReference w:id="138"/>
      </w:r>
      <w:commentRangeStart w:id="139"/>
      <w:commentRangeStart w:id="140"/>
      <w:r w:rsidRPr="00C1603D">
        <w:rPr>
          <w:noProof/>
        </w:rPr>
        <w:t xml:space="preserve">For example, the </w:t>
      </w:r>
      <w:r w:rsidRPr="00C1603D">
        <w:t>ESsCD 2019 guidelines</w:t>
      </w:r>
      <w:r w:rsidRPr="00C1603D">
        <w:rPr>
          <w:noProof/>
          <w:vertAlign w:val="superscript"/>
        </w:rPr>
        <w:t>12</w:t>
      </w:r>
      <w:r w:rsidRPr="00C1603D">
        <w:t xml:space="preserve"> recommend biopsy for those with chronic diarrhoea, particularly with features of malabsorption, such as weight loss; iron-deficiency anaemia (IDA) without cause; GI symptoms with a family history of CD; GI symptoms and an autoimmune disease or IgA deficiency; and biopsy-proven dermatitis herpetiformis. They also recommend biopsy for ‘failure to thrive in children</w:t>
      </w:r>
      <w:proofErr w:type="gramStart"/>
      <w:r w:rsidRPr="00C1603D">
        <w:t>’.</w:t>
      </w:r>
      <w:proofErr w:type="gramEnd"/>
      <w:r w:rsidRPr="00C1603D">
        <w:rPr>
          <w:vertAlign w:val="superscript"/>
        </w:rPr>
        <w:t>12</w:t>
      </w:r>
      <w:r w:rsidRPr="00C1603D">
        <w:t xml:space="preserve"> </w:t>
      </w:r>
      <w:commentRangeEnd w:id="139"/>
      <w:r w:rsidR="008B4DF8" w:rsidRPr="00C1603D">
        <w:commentReference w:id="139"/>
      </w:r>
      <w:commentRangeEnd w:id="140"/>
      <w:r w:rsidR="008B4DF8" w:rsidRPr="00C1603D">
        <w:commentReference w:id="140"/>
      </w:r>
      <w:commentRangeStart w:id="141"/>
      <w:commentRangeStart w:id="142"/>
      <w:r w:rsidRPr="00C1603D">
        <w:t xml:space="preserve">NICE guidelines recommend referral of people with </w:t>
      </w:r>
      <w:r w:rsidRPr="00C1603D">
        <w:rPr>
          <w:color w:val="00B0F0"/>
        </w:rPr>
        <w:t>‘</w:t>
      </w:r>
      <w:r w:rsidRPr="00C1603D">
        <w:t>negative serological test results to a gastrointestinal specialist for further assessment if coeliac disease is still clinically suspected</w:t>
      </w:r>
      <w:r w:rsidRPr="00C1603D">
        <w:rPr>
          <w:color w:val="00B0F0"/>
        </w:rPr>
        <w:t>’</w:t>
      </w:r>
      <w:r w:rsidRPr="00C1603D">
        <w:t>.</w:t>
      </w:r>
      <w:r w:rsidRPr="00C1603D">
        <w:rPr>
          <w:noProof/>
          <w:vertAlign w:val="superscript"/>
        </w:rPr>
        <w:t>9</w:t>
      </w:r>
      <w:r w:rsidRPr="00C1603D">
        <w:rPr>
          <w:noProof/>
        </w:rPr>
        <w:t xml:space="preserve"> © NICE 2015 </w:t>
      </w:r>
      <w:r w:rsidRPr="00C1603D">
        <w:rPr>
          <w:i/>
          <w:iCs/>
          <w:noProof/>
        </w:rPr>
        <w:t>Coeliac Disease: Recognition, Assessment and Management</w:t>
      </w:r>
      <w:r w:rsidRPr="00C1603D">
        <w:rPr>
          <w:noProof/>
        </w:rPr>
        <w:t>. Available from www.nice.org.uk/guidance/ng20 All rights reserved. Subject to Notice of rights. NICE guidance is prepared for the National Health Service in England. All NICE guidance is subject to regular review and may be updated or withdrawn. NICE accepts no responsibility for the use of its content in this product/publication.</w:t>
      </w:r>
      <w:commentRangeEnd w:id="141"/>
      <w:r w:rsidR="008B4DF8" w:rsidRPr="00C1603D">
        <w:commentReference w:id="141"/>
      </w:r>
      <w:commentRangeEnd w:id="142"/>
      <w:r w:rsidR="008B4DF8" w:rsidRPr="00C1603D">
        <w:commentReference w:id="142"/>
      </w:r>
    </w:p>
    <w:p w14:paraId="2FF1FE52" w14:textId="77777777" w:rsidR="008B4DF8" w:rsidRPr="00C1603D" w:rsidRDefault="008B4DF8" w:rsidP="008B4DF8">
      <w:pPr>
        <w:pStyle w:val="43ChaptertitleHeadingsHeadingstyles"/>
      </w:pPr>
      <w:bookmarkStart w:id="143" w:name="_Toc99539823"/>
      <w:r w:rsidRPr="00C1603D">
        <w:lastRenderedPageBreak/>
        <w:t>Chapter 3</w:t>
      </w:r>
      <w:r w:rsidRPr="00C1603D">
        <w:t> </w:t>
      </w:r>
      <w:r w:rsidRPr="00C1603D">
        <w:t>Accuracy of diagnostic indicators for coeliac disease</w:t>
      </w:r>
      <w:bookmarkEnd w:id="143"/>
    </w:p>
    <w:p w14:paraId="46346545" w14:textId="77777777" w:rsidR="008158CF" w:rsidRPr="00C1603D" w:rsidRDefault="008158CF" w:rsidP="008158CF">
      <w:pPr>
        <w:pStyle w:val="601TextdropcapTextstylesTextstyles"/>
      </w:pPr>
      <w:r w:rsidRPr="00C1603D">
        <w:t xml:space="preserve">Parts of this chapter have been reproduced from </w:t>
      </w:r>
      <w:r w:rsidRPr="00C1603D">
        <w:rPr>
          <w:color w:val="auto"/>
        </w:rPr>
        <w:t xml:space="preserve">Elwenspoek </w:t>
      </w:r>
      <w:r w:rsidRPr="00C1603D">
        <w:rPr>
          <w:i/>
          <w:color w:val="auto"/>
        </w:rPr>
        <w:t>et al</w:t>
      </w:r>
      <w:r w:rsidRPr="00C1603D">
        <w:rPr>
          <w:color w:val="auto"/>
        </w:rPr>
        <w:t>.</w:t>
      </w:r>
      <w:r w:rsidRPr="00C1603D">
        <w:rPr>
          <w:noProof/>
          <w:color w:val="auto"/>
          <w:vertAlign w:val="superscript"/>
        </w:rPr>
        <w:t>25</w:t>
      </w:r>
      <w:r w:rsidRPr="00C1603D">
        <w:rPr>
          <w:color w:val="auto"/>
        </w:rPr>
        <w:t xml:space="preserve"> This is an Open </w:t>
      </w:r>
      <w:r w:rsidRPr="00C1603D">
        <w:t>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Pr="00C1603D">
        <w:rPr>
          <w:i/>
          <w:iCs/>
          <w:color w:val="FF0000"/>
        </w:rPr>
        <w:t>&lt;&lt;Typesetter: insert copyright credit line 1&gt;&gt;</w:t>
      </w:r>
    </w:p>
    <w:p w14:paraId="71B66C53" w14:textId="19E0BF62" w:rsidR="008B4DF8" w:rsidRPr="00C1603D" w:rsidRDefault="008B4DF8" w:rsidP="008158CF">
      <w:pPr>
        <w:pStyle w:val="602TextfoTextstylesTextstyles"/>
      </w:pPr>
      <w:r w:rsidRPr="00C1603D">
        <w:t>We conducted a systematic review</w:t>
      </w:r>
      <w:r w:rsidRPr="00C1603D" w:rsidDel="00D56D10">
        <w:t xml:space="preserve"> </w:t>
      </w:r>
      <w:r w:rsidRPr="00C1603D">
        <w:t xml:space="preserve">to assess the accuracy of various symptoms and risk factors in </w:t>
      </w:r>
      <w:r w:rsidR="007017F7" w:rsidRPr="00C1603D">
        <w:rPr>
          <w:color w:val="00B0F0"/>
        </w:rPr>
        <w:t>‘</w:t>
      </w:r>
      <w:r w:rsidRPr="00C1603D">
        <w:t>diagnosing</w:t>
      </w:r>
      <w:r w:rsidR="007017F7" w:rsidRPr="00C1603D">
        <w:rPr>
          <w:color w:val="00B0F0"/>
        </w:rPr>
        <w:t>’</w:t>
      </w:r>
      <w:r w:rsidRPr="00C1603D">
        <w:t xml:space="preserve"> CD, considering the potential of these as initial screening tools prior to serological testing. In this chapter, we will refer to these symptoms and risk factors as </w:t>
      </w:r>
      <w:r w:rsidR="007017F7" w:rsidRPr="00C1603D">
        <w:rPr>
          <w:color w:val="00B0F0"/>
        </w:rPr>
        <w:t>‘</w:t>
      </w:r>
      <w:r w:rsidRPr="00C1603D">
        <w:t>diagnostic indicators</w:t>
      </w:r>
      <w:proofErr w:type="gramStart"/>
      <w:r w:rsidR="007017F7" w:rsidRPr="00C1603D">
        <w:rPr>
          <w:color w:val="00B0F0"/>
        </w:rPr>
        <w:t>’</w:t>
      </w:r>
      <w:r w:rsidRPr="00C1603D">
        <w:t>.</w:t>
      </w:r>
      <w:proofErr w:type="gramEnd"/>
      <w:r w:rsidRPr="00C1603D">
        <w:t xml:space="preserve"> We defined diagnostic indicators as signs, symptoms </w:t>
      </w:r>
      <w:r w:rsidR="0050396C" w:rsidRPr="00C1603D">
        <w:t>and</w:t>
      </w:r>
      <w:r w:rsidRPr="00C1603D">
        <w:t xml:space="preserve"> risk factors that may help clinicians identify patients </w:t>
      </w:r>
      <w:r w:rsidR="0050396C" w:rsidRPr="00C1603D">
        <w:t>for</w:t>
      </w:r>
      <w:r w:rsidRPr="00C1603D">
        <w:t xml:space="preserve"> whom further testing for CD is warranted. We did not consider factors that are difficult to determine at an initial consultation, such as perinatal risk factors</w:t>
      </w:r>
      <w:r w:rsidR="008B15A2" w:rsidRPr="00C1603D">
        <w:t xml:space="preserve"> or</w:t>
      </w:r>
      <w:r w:rsidRPr="00C1603D">
        <w:t xml:space="preserve"> age at gluten introduction, or experimental factors that are not measured in clinical practice </w:t>
      </w:r>
      <w:r w:rsidR="0051430A" w:rsidRPr="00C1603D">
        <w:t>[</w:t>
      </w:r>
      <w:r w:rsidRPr="00C1603D">
        <w:t>i.e. tests for susceptibility genes</w:t>
      </w:r>
      <w:r w:rsidR="009358AC" w:rsidRPr="00C1603D">
        <w:t>; these</w:t>
      </w:r>
      <w:r w:rsidRPr="00C1603D">
        <w:t xml:space="preserve"> are currently not widely available to clinicians and therefore </w:t>
      </w:r>
      <w:r w:rsidR="009358AC" w:rsidRPr="00C1603D">
        <w:t xml:space="preserve">are </w:t>
      </w:r>
      <w:r w:rsidRPr="00C1603D">
        <w:t>not (yet) useful in aiding diagnosis</w:t>
      </w:r>
      <w:r w:rsidR="0051430A" w:rsidRPr="00C1603D">
        <w:t>]</w:t>
      </w:r>
      <w:r w:rsidRPr="00C1603D">
        <w:t>.</w:t>
      </w:r>
    </w:p>
    <w:p w14:paraId="7E669280" w14:textId="5F7BADE0" w:rsidR="008B4DF8" w:rsidRPr="00C1603D" w:rsidRDefault="008B4DF8" w:rsidP="008B4DF8">
      <w:pPr>
        <w:pStyle w:val="602TextfoTextstylesTextstyles"/>
      </w:pPr>
      <w:r w:rsidRPr="00C1603D">
        <w:t>The review was registered with the international prospective register of systematic reviews (PROSPERO) under</w:t>
      </w:r>
      <w:r w:rsidR="00060AF1" w:rsidRPr="00C1603D">
        <w:t xml:space="preserve"> the</w:t>
      </w:r>
      <w:r w:rsidRPr="00C1603D">
        <w:t xml:space="preserve"> registration number CRD42020170766. We published the</w:t>
      </w:r>
      <w:r w:rsidRPr="00C1603D" w:rsidDel="00D56D10">
        <w:t xml:space="preserve"> </w:t>
      </w:r>
      <w:r w:rsidRPr="00C1603D">
        <w:t>protocol for the review, which predefined the objectives and methods for this review</w:t>
      </w:r>
      <w:r w:rsidRPr="00C1603D" w:rsidDel="00D56D10">
        <w:t>.</w:t>
      </w:r>
      <w:r w:rsidRPr="00C1603D">
        <w:rPr>
          <w:noProof/>
          <w:vertAlign w:val="superscript"/>
        </w:rPr>
        <w:t>21</w:t>
      </w:r>
      <w:r w:rsidRPr="00C1603D">
        <w:t xml:space="preserve"> This review</w:t>
      </w:r>
      <w:r w:rsidRPr="00C1603D" w:rsidDel="008E526D">
        <w:t xml:space="preserve"> </w:t>
      </w:r>
      <w:r w:rsidRPr="00C1603D">
        <w:t>followed the recommendations from the Centre for Reviews and Dissemination,</w:t>
      </w:r>
      <w:r w:rsidRPr="00C1603D">
        <w:rPr>
          <w:noProof/>
          <w:vertAlign w:val="superscript"/>
        </w:rPr>
        <w:t>22</w:t>
      </w:r>
      <w:r w:rsidRPr="00C1603D">
        <w:t xml:space="preserve"> the Cochrane Handbook for Systematic Reviews of Diagnostic Test Accuracy,</w:t>
      </w:r>
      <w:r w:rsidRPr="00C1603D">
        <w:rPr>
          <w:noProof/>
          <w:vertAlign w:val="superscript"/>
        </w:rPr>
        <w:t>23</w:t>
      </w:r>
      <w:r w:rsidRPr="00C1603D">
        <w:t xml:space="preserve"> and is reported according to the Preferred Reporting Items for a Systematic Review and Meta-analys</w:t>
      </w:r>
      <w:r w:rsidR="00060AF1" w:rsidRPr="00C1603D">
        <w:t>i</w:t>
      </w:r>
      <w:r w:rsidRPr="00C1603D">
        <w:t>s of Diagnostic Test Accuracy Studies (PRISMA</w:t>
      </w:r>
      <w:r w:rsidR="00F40F76" w:rsidRPr="00C1603D">
        <w:t>-</w:t>
      </w:r>
      <w:r w:rsidRPr="00C1603D">
        <w:t>DTA) statement.</w:t>
      </w:r>
      <w:r w:rsidRPr="00C1603D">
        <w:rPr>
          <w:noProof/>
          <w:vertAlign w:val="superscript"/>
        </w:rPr>
        <w:t>24</w:t>
      </w:r>
    </w:p>
    <w:p w14:paraId="23B71ADD" w14:textId="77777777" w:rsidR="008B4DF8" w:rsidRPr="00C1603D" w:rsidRDefault="008B4DF8" w:rsidP="008B4DF8">
      <w:pPr>
        <w:pStyle w:val="52AheadHeadingsHeadingstyles"/>
      </w:pPr>
      <w:bookmarkStart w:id="144" w:name="_Toc99539824"/>
      <w:bookmarkStart w:id="145" w:name="_Hlk86245535"/>
      <w:r w:rsidRPr="00C1603D">
        <w:t>Systematic review methods</w:t>
      </w:r>
      <w:bookmarkEnd w:id="144"/>
    </w:p>
    <w:p w14:paraId="428E4F13" w14:textId="77777777" w:rsidR="008B4DF8" w:rsidRPr="00C1603D" w:rsidRDefault="008B4DF8" w:rsidP="008B4DF8">
      <w:pPr>
        <w:pStyle w:val="53BheadHeadingsHeadingstyles"/>
      </w:pPr>
      <w:bookmarkStart w:id="146" w:name="_Toc99539825"/>
      <w:r w:rsidRPr="00C1603D">
        <w:t>Eligibility criteria</w:t>
      </w:r>
      <w:bookmarkEnd w:id="146"/>
    </w:p>
    <w:bookmarkEnd w:id="145"/>
    <w:p w14:paraId="687C6DFB" w14:textId="61FC535B" w:rsidR="008B4DF8" w:rsidRPr="00C1603D" w:rsidRDefault="008B4DF8" w:rsidP="008B4DF8">
      <w:pPr>
        <w:pStyle w:val="602TextfoTextstylesTextstyles"/>
      </w:pPr>
      <w:r w:rsidRPr="00C1603D">
        <w:t>Studies were evaluated as diagnostic test accuracy</w:t>
      </w:r>
      <w:r w:rsidR="00F40F76" w:rsidRPr="00C1603D">
        <w:t xml:space="preserve"> (DTA)</w:t>
      </w:r>
      <w:r w:rsidRPr="00C1603D">
        <w:t xml:space="preserve"> studies</w:t>
      </w:r>
      <w:r w:rsidR="00140B0F" w:rsidRPr="00C1603D">
        <w:t>;</w:t>
      </w:r>
      <w:r w:rsidRPr="00C1603D">
        <w:t xml:space="preserve"> the diagnostic indicator was considered to be the index test and CD serological tests and/or biopsy were considered the reference standard.</w:t>
      </w:r>
    </w:p>
    <w:p w14:paraId="08942D79" w14:textId="6AE62F20" w:rsidR="008B4DF8" w:rsidRPr="00C1603D" w:rsidRDefault="008B4DF8" w:rsidP="008B4DF8">
      <w:pPr>
        <w:pStyle w:val="602TextfoTextstylesTextstyles"/>
      </w:pPr>
      <w:bookmarkStart w:id="147" w:name="_Hlk86245544"/>
      <w:r w:rsidRPr="00C1603D">
        <w:t>We included studies that met the following criteria</w:t>
      </w:r>
      <w:bookmarkEnd w:id="147"/>
      <w:r w:rsidR="003A766B" w:rsidRPr="00C1603D">
        <w:t>.</w:t>
      </w:r>
    </w:p>
    <w:p w14:paraId="37A13507" w14:textId="7B5280E2" w:rsidR="008B4DF8" w:rsidRPr="00C1603D" w:rsidRDefault="008B4DF8" w:rsidP="003A766B">
      <w:pPr>
        <w:pStyle w:val="611BulletlistTextstyles"/>
      </w:pPr>
      <w:bookmarkStart w:id="148" w:name="_Hlk33434130"/>
      <w:bookmarkStart w:id="149" w:name="_Hlk86245558"/>
      <w:r w:rsidRPr="00C1603D">
        <w:t xml:space="preserve">Study design: </w:t>
      </w:r>
      <w:r w:rsidR="003A766B" w:rsidRPr="00C1603D">
        <w:t>d</w:t>
      </w:r>
      <w:r w:rsidRPr="00C1603D">
        <w:t xml:space="preserve">iagnostic cohort/cross-sectional studies (also known as </w:t>
      </w:r>
      <w:r w:rsidR="007017F7" w:rsidRPr="00C1603D">
        <w:rPr>
          <w:color w:val="00B0F0"/>
        </w:rPr>
        <w:t>‘</w:t>
      </w:r>
      <w:r w:rsidRPr="00C1603D">
        <w:t>one</w:t>
      </w:r>
      <w:r w:rsidR="003A766B" w:rsidRPr="00C1603D">
        <w:t>-</w:t>
      </w:r>
      <w:r w:rsidRPr="00C1603D">
        <w:t>gate design</w:t>
      </w:r>
      <w:r w:rsidR="007017F7" w:rsidRPr="00C1603D">
        <w:rPr>
          <w:color w:val="00B0F0"/>
        </w:rPr>
        <w:t>’</w:t>
      </w:r>
      <w:r w:rsidRPr="00C1603D">
        <w:t>)</w:t>
      </w:r>
      <w:r w:rsidRPr="00C1603D">
        <w:rPr>
          <w:noProof/>
          <w:vertAlign w:val="superscript"/>
        </w:rPr>
        <w:t>26</w:t>
      </w:r>
      <w:r w:rsidRPr="00C1603D" w:rsidDel="008E526D">
        <w:t xml:space="preserve"> </w:t>
      </w:r>
      <w:r w:rsidRPr="00C1603D">
        <w:t xml:space="preserve">or diagnostic </w:t>
      </w:r>
      <w:r w:rsidRPr="00C1603D">
        <w:rPr>
          <w:color w:val="00B0F0"/>
        </w:rPr>
        <w:t>case–control</w:t>
      </w:r>
      <w:r w:rsidRPr="00C1603D">
        <w:t xml:space="preserve"> studies (also known as </w:t>
      </w:r>
      <w:r w:rsidR="007017F7" w:rsidRPr="00C1603D">
        <w:rPr>
          <w:color w:val="00B0F0"/>
        </w:rPr>
        <w:t>‘</w:t>
      </w:r>
      <w:r w:rsidRPr="00C1603D">
        <w:t>two-gate</w:t>
      </w:r>
      <w:r w:rsidR="007017F7" w:rsidRPr="00C1603D">
        <w:rPr>
          <w:color w:val="00B0F0"/>
        </w:rPr>
        <w:t>’</w:t>
      </w:r>
      <w:r w:rsidRPr="00C1603D">
        <w:t xml:space="preserve"> or </w:t>
      </w:r>
      <w:r w:rsidR="007017F7" w:rsidRPr="00C1603D">
        <w:rPr>
          <w:color w:val="00B0F0"/>
        </w:rPr>
        <w:t>‘</w:t>
      </w:r>
      <w:r w:rsidRPr="00C1603D">
        <w:t>multigate</w:t>
      </w:r>
      <w:r w:rsidR="007017F7" w:rsidRPr="00C1603D">
        <w:rPr>
          <w:color w:val="00B0F0"/>
        </w:rPr>
        <w:t>’</w:t>
      </w:r>
      <w:r w:rsidRPr="00C1603D">
        <w:t xml:space="preserve"> designs). Prediction modelling studies were also eligible for inclusion.</w:t>
      </w:r>
    </w:p>
    <w:p w14:paraId="3E7C1E9E" w14:textId="29574ABE" w:rsidR="008B4DF8" w:rsidRPr="00C1603D" w:rsidRDefault="008B4DF8" w:rsidP="003A766B">
      <w:pPr>
        <w:pStyle w:val="611BulletlistTextstyles"/>
      </w:pPr>
      <w:r w:rsidRPr="00C1603D">
        <w:t xml:space="preserve">Participants: </w:t>
      </w:r>
      <w:r w:rsidR="003A766B" w:rsidRPr="00C1603D">
        <w:t>a</w:t>
      </w:r>
      <w:r w:rsidRPr="00C1603D">
        <w:t>dults and/or children representative of the general population. Studies restricted to</w:t>
      </w:r>
      <w:r w:rsidRPr="00C1603D" w:rsidDel="008E526D">
        <w:t xml:space="preserve"> </w:t>
      </w:r>
      <w:r w:rsidRPr="00C1603D">
        <w:t>specific disease populations without healthy participants were excluded.</w:t>
      </w:r>
    </w:p>
    <w:p w14:paraId="3AAF5B68" w14:textId="7A6C68E5" w:rsidR="008B4DF8" w:rsidRPr="00C1603D" w:rsidRDefault="008B4DF8" w:rsidP="003A766B">
      <w:pPr>
        <w:pStyle w:val="611BulletlistTextstyles"/>
      </w:pPr>
      <w:r w:rsidRPr="00C1603D">
        <w:t xml:space="preserve">Index test: any potential diagnostic indicator based on the definition </w:t>
      </w:r>
      <w:r w:rsidR="003A766B" w:rsidRPr="00C1603D">
        <w:t>provided previously.</w:t>
      </w:r>
    </w:p>
    <w:p w14:paraId="74526D9C" w14:textId="284BFB2E" w:rsidR="008B4DF8" w:rsidRPr="00C1603D" w:rsidRDefault="3CDEEDA7" w:rsidP="003A766B">
      <w:pPr>
        <w:pStyle w:val="614TextbulletlistlastTextstylesTextstyles"/>
      </w:pPr>
      <w:r w:rsidRPr="00C1603D">
        <w:t xml:space="preserve">Reference standard: CD diagnosis, </w:t>
      </w:r>
      <w:bookmarkEnd w:id="148"/>
      <w:r w:rsidRPr="00C1603D">
        <w:t xml:space="preserve">detected by one or more serological tests, including IgA/IgG tTG, EMA or DGP, and/or duodenal biopsy. </w:t>
      </w:r>
      <w:commentRangeStart w:id="150"/>
      <w:commentRangeStart w:id="151"/>
      <w:r w:rsidRPr="00C1603D">
        <w:t>All participants had to be tested for CD, including the control group participants.</w:t>
      </w:r>
      <w:commentRangeEnd w:id="150"/>
      <w:r w:rsidR="008B4DF8" w:rsidRPr="00C1603D">
        <w:commentReference w:id="150"/>
      </w:r>
      <w:commentRangeEnd w:id="151"/>
      <w:r w:rsidR="008B4DF8" w:rsidRPr="00C1603D">
        <w:commentReference w:id="151"/>
      </w:r>
    </w:p>
    <w:p w14:paraId="1943E8CB" w14:textId="2589E8D6" w:rsidR="008B4DF8" w:rsidRPr="00C1603D" w:rsidRDefault="008B4DF8" w:rsidP="008B4DF8">
      <w:pPr>
        <w:pStyle w:val="602TextfoTextstylesTextstyles"/>
      </w:pPr>
      <w:r w:rsidRPr="00C1603D">
        <w:t xml:space="preserve">Studies were included only if sufficient data could be extracted to construct cross-tabulations of the number of people with and </w:t>
      </w:r>
      <w:r w:rsidR="002B20AD" w:rsidRPr="00C1603D">
        <w:t xml:space="preserve">the number </w:t>
      </w:r>
      <w:r w:rsidRPr="00C1603D">
        <w:t>without the diagnostic indicator against the number of people with and</w:t>
      </w:r>
      <w:r w:rsidR="002B20AD" w:rsidRPr="00C1603D">
        <w:t xml:space="preserve"> the number</w:t>
      </w:r>
      <w:r w:rsidRPr="00C1603D">
        <w:t xml:space="preserve"> without CD</w:t>
      </w:r>
      <w:r w:rsidR="002B20AD" w:rsidRPr="00C1603D">
        <w:t>,</w:t>
      </w:r>
      <w:r w:rsidRPr="00C1603D">
        <w:t xml:space="preserve"> according to the reference standard.</w:t>
      </w:r>
    </w:p>
    <w:p w14:paraId="5D46759B" w14:textId="77777777" w:rsidR="008B4DF8" w:rsidRPr="00C1603D" w:rsidRDefault="008B4DF8" w:rsidP="008B4DF8">
      <w:pPr>
        <w:pStyle w:val="602TextfoTextstylesTextstyles"/>
      </w:pPr>
      <w:r w:rsidRPr="00C1603D">
        <w:lastRenderedPageBreak/>
        <w:t>We excluded studies published before 1997 (the year in which tTG was developed), to reduce the variation in CD diagnostic tests.</w:t>
      </w:r>
    </w:p>
    <w:p w14:paraId="731AAE8C" w14:textId="77777777" w:rsidR="008B4DF8" w:rsidRPr="00C1603D" w:rsidRDefault="008B4DF8" w:rsidP="008B4DF8">
      <w:pPr>
        <w:pStyle w:val="53BheadHeadingsHeadingstyles"/>
      </w:pPr>
      <w:bookmarkStart w:id="152" w:name="_Toc99539826"/>
      <w:r w:rsidRPr="00C1603D">
        <w:t>Search strategy</w:t>
      </w:r>
      <w:bookmarkEnd w:id="152"/>
    </w:p>
    <w:p w14:paraId="61A718A2" w14:textId="77777777" w:rsidR="008B4DF8" w:rsidRPr="00C1603D" w:rsidRDefault="008B4DF8" w:rsidP="008B4DF8">
      <w:pPr>
        <w:pStyle w:val="602TextfoTextstylesTextstyles"/>
      </w:pPr>
      <w:bookmarkStart w:id="153" w:name="_Hlk33433817"/>
      <w:bookmarkEnd w:id="149"/>
      <w:r w:rsidRPr="00C1603D">
        <w:t>The following databases were searched from 1997 until April 2021:</w:t>
      </w:r>
    </w:p>
    <w:p w14:paraId="6268EEB8" w14:textId="77777777" w:rsidR="008B4DF8" w:rsidRPr="00C1603D" w:rsidRDefault="008B4DF8" w:rsidP="008B4DF8">
      <w:pPr>
        <w:pStyle w:val="611BulletlistTextstyles"/>
      </w:pPr>
      <w:r w:rsidRPr="00C1603D">
        <w:t>MEDLINE</w:t>
      </w:r>
    </w:p>
    <w:p w14:paraId="6E9AE9F3" w14:textId="77777777" w:rsidR="008B4DF8" w:rsidRPr="00C1603D" w:rsidRDefault="008B4DF8" w:rsidP="008B4DF8">
      <w:pPr>
        <w:pStyle w:val="611BulletlistTextstyles"/>
      </w:pPr>
      <w:r w:rsidRPr="00C1603D">
        <w:rPr>
          <w:color w:val="00B0F0"/>
        </w:rPr>
        <w:t>EMBASE</w:t>
      </w:r>
    </w:p>
    <w:p w14:paraId="480DF8B4" w14:textId="77777777" w:rsidR="008B4DF8" w:rsidRPr="00C1603D" w:rsidRDefault="008B4DF8" w:rsidP="008B4DF8">
      <w:pPr>
        <w:pStyle w:val="611BulletlistTextstyles"/>
      </w:pPr>
      <w:r w:rsidRPr="00C1603D">
        <w:t>Cochrane Library</w:t>
      </w:r>
    </w:p>
    <w:p w14:paraId="5B0ADABE" w14:textId="77777777" w:rsidR="008B4DF8" w:rsidRPr="00C1603D" w:rsidRDefault="008B4DF8" w:rsidP="008B4DF8">
      <w:pPr>
        <w:pStyle w:val="611BulletlistTextstyles"/>
      </w:pPr>
      <w:r w:rsidRPr="00C1603D">
        <w:t>Web of Science</w:t>
      </w:r>
    </w:p>
    <w:p w14:paraId="4A76A48F" w14:textId="48C7932C" w:rsidR="008B4DF8" w:rsidRPr="00C1603D" w:rsidRDefault="002372EF" w:rsidP="008B4DF8">
      <w:pPr>
        <w:pStyle w:val="611BulletlistTextstyles"/>
      </w:pPr>
      <w:r w:rsidRPr="00C1603D">
        <w:t xml:space="preserve">the </w:t>
      </w:r>
      <w:r w:rsidR="00FD144D" w:rsidRPr="00C1603D">
        <w:t>World Health Organization (</w:t>
      </w:r>
      <w:r w:rsidR="008B4DF8" w:rsidRPr="00C1603D">
        <w:t>WHO</w:t>
      </w:r>
      <w:r w:rsidR="00FD144D" w:rsidRPr="00C1603D">
        <w:t>)</w:t>
      </w:r>
      <w:r w:rsidR="008B4DF8" w:rsidRPr="00C1603D">
        <w:t xml:space="preserve"> International Clinical Trials Registry</w:t>
      </w:r>
      <w:r w:rsidR="00FD144D" w:rsidRPr="00C1603D">
        <w:t xml:space="preserve"> Platform</w:t>
      </w:r>
    </w:p>
    <w:p w14:paraId="4493CD41" w14:textId="08EDDA9E" w:rsidR="008B4DF8" w:rsidRPr="00C1603D" w:rsidRDefault="002372EF" w:rsidP="008B4DF8">
      <w:pPr>
        <w:pStyle w:val="614TextbulletlistlastTextstylesTextstyles"/>
      </w:pPr>
      <w:r w:rsidRPr="00C1603D">
        <w:t xml:space="preserve">the </w:t>
      </w:r>
      <w:r w:rsidR="00054C3A" w:rsidRPr="00C1603D">
        <w:t>National Institutes of Health (</w:t>
      </w:r>
      <w:r w:rsidR="008B4DF8" w:rsidRPr="00C1603D">
        <w:t>NIH</w:t>
      </w:r>
      <w:r w:rsidR="00054C3A" w:rsidRPr="00C1603D">
        <w:t>)</w:t>
      </w:r>
      <w:r w:rsidR="008B4DF8" w:rsidRPr="00C1603D">
        <w:t xml:space="preserve"> </w:t>
      </w:r>
      <w:r w:rsidR="001739D7" w:rsidRPr="00C1603D">
        <w:t xml:space="preserve">Clinical Trials </w:t>
      </w:r>
      <w:r w:rsidR="008B4DF8" w:rsidRPr="00C1603D">
        <w:t>database</w:t>
      </w:r>
      <w:r w:rsidRPr="00C1603D">
        <w:t>.</w:t>
      </w:r>
    </w:p>
    <w:bookmarkEnd w:id="153"/>
    <w:p w14:paraId="7535FF24" w14:textId="77777777" w:rsidR="008B4DF8" w:rsidRPr="00C1603D" w:rsidRDefault="008B4DF8" w:rsidP="008B4DF8">
      <w:pPr>
        <w:pStyle w:val="602TextfoTextstylesTextstyles"/>
      </w:pPr>
      <w:r w:rsidRPr="00C1603D">
        <w:t>The search strategy incorporated three main elements:</w:t>
      </w:r>
    </w:p>
    <w:p w14:paraId="338A01B0" w14:textId="09136A95" w:rsidR="008B4DF8" w:rsidRPr="00C1603D" w:rsidRDefault="00BA577B" w:rsidP="008B4DF8">
      <w:pPr>
        <w:pStyle w:val="621TextnumberedlistTextstylesTextstyles"/>
      </w:pPr>
      <w:r w:rsidRPr="00C1603D">
        <w:t xml:space="preserve">conditions </w:t>
      </w:r>
      <w:r w:rsidR="008B4DF8" w:rsidRPr="00C1603D">
        <w:t>(CD)</w:t>
      </w:r>
      <w:r w:rsidRPr="00C1603D">
        <w:t> </w:t>
      </w:r>
      <w:r w:rsidR="008B4DF8" w:rsidRPr="00C1603D">
        <w:t>+</w:t>
      </w:r>
      <w:r w:rsidRPr="00C1603D">
        <w:t> </w:t>
      </w:r>
      <w:r w:rsidR="008B4DF8" w:rsidRPr="00C1603D">
        <w:t>prognostic/predictive research filter</w:t>
      </w:r>
      <w:r w:rsidR="008B4DF8" w:rsidRPr="00C1603D">
        <w:rPr>
          <w:noProof/>
          <w:vertAlign w:val="superscript"/>
        </w:rPr>
        <w:t>27,28</w:t>
      </w:r>
    </w:p>
    <w:p w14:paraId="506F8F48" w14:textId="4B4362F7" w:rsidR="008B4DF8" w:rsidRPr="00C1603D" w:rsidRDefault="00BA577B" w:rsidP="008B4DF8">
      <w:pPr>
        <w:pStyle w:val="621TextnumberedlistTextstylesTextstyles"/>
      </w:pPr>
      <w:r w:rsidRPr="00C1603D">
        <w:t xml:space="preserve">conditions </w:t>
      </w:r>
      <w:r w:rsidR="008B4DF8" w:rsidRPr="00C1603D">
        <w:t>(CD)</w:t>
      </w:r>
      <w:r w:rsidRPr="00C1603D">
        <w:t> </w:t>
      </w:r>
      <w:r w:rsidR="008B4DF8" w:rsidRPr="00C1603D">
        <w:t>+</w:t>
      </w:r>
      <w:r w:rsidRPr="00C1603D">
        <w:t> </w:t>
      </w:r>
      <w:r w:rsidR="008B4DF8" w:rsidRPr="00C1603D">
        <w:t xml:space="preserve">all physical diseases/signs/symptoms (based on </w:t>
      </w:r>
      <w:r w:rsidR="00CE7978" w:rsidRPr="00C1603D">
        <w:t>medical subject headings</w:t>
      </w:r>
      <w:r w:rsidR="008B4DF8" w:rsidRPr="00C1603D">
        <w:t xml:space="preserve">, </w:t>
      </w:r>
      <w:r w:rsidR="00382ECA" w:rsidRPr="00C1603D">
        <w:t>Emtree</w:t>
      </w:r>
      <w:r w:rsidR="008B4DF8" w:rsidRPr="00C1603D">
        <w:t>)</w:t>
      </w:r>
      <w:r w:rsidRPr="00C1603D">
        <w:t> </w:t>
      </w:r>
      <w:r w:rsidR="008B4DF8" w:rsidRPr="00C1603D">
        <w:t>+</w:t>
      </w:r>
      <w:r w:rsidRPr="00C1603D">
        <w:t> </w:t>
      </w:r>
      <w:r w:rsidR="008B4DF8" w:rsidRPr="00C1603D">
        <w:rPr>
          <w:color w:val="00B0F0"/>
        </w:rPr>
        <w:t>‘</w:t>
      </w:r>
      <w:r w:rsidR="008B4DF8" w:rsidRPr="00C1603D">
        <w:t>CD</w:t>
      </w:r>
      <w:r w:rsidR="008B4DF8" w:rsidRPr="00C1603D">
        <w:rPr>
          <w:color w:val="00B0F0"/>
        </w:rPr>
        <w:t>’</w:t>
      </w:r>
      <w:r w:rsidR="008B4DF8" w:rsidRPr="00C1603D">
        <w:t xml:space="preserve"> diagnosis</w:t>
      </w:r>
    </w:p>
    <w:p w14:paraId="62D8AEE5" w14:textId="5162AAF9" w:rsidR="008B4DF8" w:rsidRPr="00C1603D" w:rsidRDefault="00BA577B" w:rsidP="008B4DF8">
      <w:pPr>
        <w:pStyle w:val="6211TextnumberedlistlastTextstylesTextstyles"/>
      </w:pPr>
      <w:r w:rsidRPr="00C1603D">
        <w:t xml:space="preserve">terms </w:t>
      </w:r>
      <w:r w:rsidR="008B4DF8" w:rsidRPr="00C1603D">
        <w:t xml:space="preserve">for high-risk populations (see </w:t>
      </w:r>
      <w:r w:rsidR="008B4DF8" w:rsidRPr="00C1603D">
        <w:rPr>
          <w:i/>
          <w:iCs/>
        </w:rPr>
        <w:t>Appendix 1</w:t>
      </w:r>
      <w:r w:rsidR="008B4DF8" w:rsidRPr="00C1603D">
        <w:t xml:space="preserve"> for a detailed search strategy)</w:t>
      </w:r>
      <w:r w:rsidRPr="00C1603D">
        <w:t>.</w:t>
      </w:r>
      <w:r w:rsidR="008B4DF8" w:rsidRPr="00C1603D">
        <w:rPr>
          <w:noProof/>
          <w:vertAlign w:val="superscript"/>
        </w:rPr>
        <w:t>21</w:t>
      </w:r>
    </w:p>
    <w:p w14:paraId="2DBA7D0E" w14:textId="611F1175" w:rsidR="008B4DF8" w:rsidRPr="00C1603D" w:rsidRDefault="008B4DF8" w:rsidP="008B4DF8">
      <w:pPr>
        <w:pStyle w:val="602TextfoTextstylesTextstyles"/>
      </w:pPr>
      <w:r w:rsidRPr="00C1603D">
        <w:t>Animal studies, case reports, letters, editorials and coeliac artery/trunk research were filtered out and a sensitive study design filter was applied. We also screened reference lists of the latest guidelines on CD and recent systematic reviews.</w:t>
      </w:r>
    </w:p>
    <w:p w14:paraId="665C5135" w14:textId="08A67768" w:rsidR="008B4DF8" w:rsidRPr="00C1603D" w:rsidRDefault="008B4DF8" w:rsidP="008B4DF8">
      <w:pPr>
        <w:pStyle w:val="602TextfoTextstylesTextstyles"/>
      </w:pPr>
      <w:r w:rsidRPr="00C1603D">
        <w:t>Results of the searches were downloaded and saved to an End</w:t>
      </w:r>
      <w:r w:rsidR="00241BCC" w:rsidRPr="00C1603D">
        <w:t>N</w:t>
      </w:r>
      <w:r w:rsidRPr="00C1603D">
        <w:t>ote X9 library</w:t>
      </w:r>
      <w:r w:rsidR="00241BCC" w:rsidRPr="00C1603D">
        <w:t xml:space="preserve"> [Clarivate Analytics (formerly Thomson Reuters), Philadelphia, PA, USA]</w:t>
      </w:r>
      <w:r w:rsidRPr="00C1603D">
        <w:t>.</w:t>
      </w:r>
    </w:p>
    <w:p w14:paraId="7EA45742" w14:textId="77777777" w:rsidR="008B4DF8" w:rsidRPr="00C1603D" w:rsidRDefault="008B4DF8" w:rsidP="008B4DF8">
      <w:pPr>
        <w:pStyle w:val="53BheadHeadingsHeadingstyles"/>
      </w:pPr>
      <w:bookmarkStart w:id="154" w:name="_Toc99539827"/>
      <w:bookmarkStart w:id="155" w:name="_Hlk86245961"/>
      <w:r w:rsidRPr="00C1603D">
        <w:t>Study selection</w:t>
      </w:r>
      <w:bookmarkEnd w:id="154"/>
    </w:p>
    <w:p w14:paraId="01B48C98" w14:textId="1B2DE78C" w:rsidR="008B4DF8" w:rsidRPr="00C1603D" w:rsidRDefault="008B4DF8" w:rsidP="008B4DF8">
      <w:pPr>
        <w:pStyle w:val="602TextfoTextstylesTextstyles"/>
      </w:pPr>
      <w:r w:rsidRPr="00C1603D">
        <w:t>Study selection was conducted in two stages using forms developed in Microsoft Access</w:t>
      </w:r>
      <w:r w:rsidR="008849CF" w:rsidRPr="00C1603D">
        <w:rPr>
          <w:rFonts w:cs="Lato"/>
          <w:vertAlign w:val="superscript"/>
        </w:rPr>
        <w:t>®</w:t>
      </w:r>
      <w:r w:rsidR="008849CF" w:rsidRPr="00C1603D">
        <w:t xml:space="preserve"> (Microsoft Corporation, Redmond, WA, USA)</w:t>
      </w:r>
      <w:r w:rsidRPr="00C1603D">
        <w:t xml:space="preserve"> that were piloted before use. Search results were exported from End</w:t>
      </w:r>
      <w:r w:rsidR="008849CF" w:rsidRPr="00C1603D">
        <w:t>N</w:t>
      </w:r>
      <w:r w:rsidRPr="00C1603D">
        <w:t>ote in a format that could be imported into Microsoft Access. At stage one of study selection, titles and abstracts were screened against the inclusion criteria to exclude papers that were clearly irrelevant. At the second stage, full texts identified as possibly relevant in the initial screening were assessed in detail and reasons for exclusion were documented. Both stages of study selection were performed independently by two reviewers and disagreements about study eligibility were resolved through discussion or by consulting a third member of the review team.</w:t>
      </w:r>
    </w:p>
    <w:p w14:paraId="06826263" w14:textId="77777777" w:rsidR="008B4DF8" w:rsidRPr="00C1603D" w:rsidRDefault="008B4DF8" w:rsidP="008B4DF8">
      <w:pPr>
        <w:pStyle w:val="53BheadHeadingsHeadingstyles"/>
      </w:pPr>
      <w:bookmarkStart w:id="156" w:name="_Toc99539828"/>
      <w:r w:rsidRPr="00C1603D">
        <w:t>Data collection process</w:t>
      </w:r>
      <w:bookmarkEnd w:id="156"/>
    </w:p>
    <w:p w14:paraId="5305282A" w14:textId="77777777" w:rsidR="008B4DF8" w:rsidRPr="00C1603D" w:rsidRDefault="008B4DF8" w:rsidP="008B4DF8">
      <w:pPr>
        <w:pStyle w:val="602TextfoTextstylesTextstyles"/>
      </w:pPr>
      <w:bookmarkStart w:id="157" w:name="_Hlk33434393"/>
      <w:r w:rsidRPr="00C1603D">
        <w:t>Standardised data extraction forms were developed using Microsoft Access. These were piloted on a small sample of papers and adapted as necessary before use. Data extraction was performed by one reviewer and checked by a second, with disagreements resolved through discussion or referral to a third reviewer.</w:t>
      </w:r>
    </w:p>
    <w:p w14:paraId="07E2A693" w14:textId="77777777" w:rsidR="008B4DF8" w:rsidRPr="00C1603D" w:rsidRDefault="008B4DF8" w:rsidP="008B4DF8">
      <w:pPr>
        <w:pStyle w:val="602TextfoTextstylesTextstyles"/>
      </w:pPr>
      <w:r w:rsidRPr="00C1603D">
        <w:t>We extracted the following data from each included study:</w:t>
      </w:r>
    </w:p>
    <w:p w14:paraId="1D1CF8FF" w14:textId="70A4B7BF" w:rsidR="008B4DF8" w:rsidRPr="00C1603D" w:rsidRDefault="00D6322D" w:rsidP="008B4DF8">
      <w:pPr>
        <w:pStyle w:val="611BulletlistTextstyles"/>
      </w:pPr>
      <w:r w:rsidRPr="00C1603D">
        <w:t xml:space="preserve">study </w:t>
      </w:r>
      <w:r w:rsidR="008B4DF8" w:rsidRPr="00C1603D">
        <w:t>characteristics</w:t>
      </w:r>
    </w:p>
    <w:p w14:paraId="7B890CD3" w14:textId="5E38DE59" w:rsidR="008B4DF8" w:rsidRPr="00C1603D" w:rsidRDefault="00D6322D" w:rsidP="008B4DF8">
      <w:pPr>
        <w:pStyle w:val="611BulletlistTextstyles"/>
      </w:pPr>
      <w:r w:rsidRPr="00C1603D">
        <w:t xml:space="preserve">participant </w:t>
      </w:r>
      <w:r w:rsidR="008B4DF8" w:rsidRPr="00C1603D">
        <w:t>characteristics</w:t>
      </w:r>
    </w:p>
    <w:p w14:paraId="53BDF1B6" w14:textId="43EBAC97" w:rsidR="008B4DF8" w:rsidRPr="00C1603D" w:rsidRDefault="00D6322D" w:rsidP="008B4DF8">
      <w:pPr>
        <w:pStyle w:val="611BulletlistTextstyles"/>
      </w:pPr>
      <w:r w:rsidRPr="00C1603D">
        <w:t xml:space="preserve">details </w:t>
      </w:r>
      <w:r w:rsidR="008B4DF8" w:rsidRPr="00C1603D">
        <w:t>on the diagnostic indicator</w:t>
      </w:r>
    </w:p>
    <w:p w14:paraId="38EEC515" w14:textId="7A2A11F8" w:rsidR="008B4DF8" w:rsidRPr="00C1603D" w:rsidRDefault="008B4DF8" w:rsidP="008B4DF8">
      <w:pPr>
        <w:pStyle w:val="614TextbulletlistlastTextstylesTextstyles"/>
      </w:pPr>
      <w:r w:rsidRPr="00C1603D">
        <w:t>CD diagnostic tests used</w:t>
      </w:r>
      <w:bookmarkEnd w:id="157"/>
      <w:r w:rsidR="00D6322D" w:rsidRPr="00C1603D">
        <w:t>.</w:t>
      </w:r>
    </w:p>
    <w:p w14:paraId="3B0B9B09" w14:textId="0FF3DD58" w:rsidR="008B4DF8" w:rsidRPr="00C1603D" w:rsidRDefault="00D6322D" w:rsidP="008B4DF8">
      <w:pPr>
        <w:pStyle w:val="602TextfoTextstylesTextstyles"/>
      </w:pPr>
      <w:r w:rsidRPr="00C1603D">
        <w:t>The r</w:t>
      </w:r>
      <w:r w:rsidR="008B4DF8" w:rsidRPr="00C1603D">
        <w:t>esults data were extracted as 2</w:t>
      </w:r>
      <w:r w:rsidRPr="00C1603D">
        <w:t> </w:t>
      </w:r>
      <w:r w:rsidRPr="00C1603D">
        <w:rPr>
          <w:rFonts w:cs="Lato"/>
        </w:rPr>
        <w:t>×</w:t>
      </w:r>
      <w:r w:rsidRPr="00C1603D">
        <w:t> </w:t>
      </w:r>
      <w:r w:rsidR="008B4DF8" w:rsidRPr="00C1603D">
        <w:t xml:space="preserve">2 tables of test results (number of true positives, false negatives, false positives and true negatives) for each diagnostic indicator against the reference standard of serological tests or biopsy. Two-by-two data were extracted at </w:t>
      </w:r>
      <w:r w:rsidR="00866843" w:rsidRPr="00C1603D">
        <w:t xml:space="preserve">the </w:t>
      </w:r>
      <w:r w:rsidR="008B4DF8" w:rsidRPr="00C1603D">
        <w:t>biopsy cut-off</w:t>
      </w:r>
      <w:r w:rsidR="00866843" w:rsidRPr="00C1603D">
        <w:t xml:space="preserve"> point of</w:t>
      </w:r>
      <w:r w:rsidR="008B4DF8" w:rsidRPr="00C1603D">
        <w:t xml:space="preserve"> </w:t>
      </w:r>
      <w:r w:rsidR="008B4DF8" w:rsidRPr="00C1603D">
        <w:lastRenderedPageBreak/>
        <w:t xml:space="preserve">Marsh </w:t>
      </w:r>
      <w:r w:rsidR="00907056" w:rsidRPr="00C1603D">
        <w:t>g</w:t>
      </w:r>
      <w:r w:rsidR="008B4DF8" w:rsidRPr="00C1603D">
        <w:t>rade 3a</w:t>
      </w:r>
      <w:r w:rsidR="00866843" w:rsidRPr="00C1603D">
        <w:t>,</w:t>
      </w:r>
      <w:r w:rsidR="008B4DF8" w:rsidRPr="00C1603D">
        <w:t xml:space="preserve"> if available</w:t>
      </w:r>
      <w:r w:rsidR="00866843" w:rsidRPr="00C1603D">
        <w:t>;</w:t>
      </w:r>
      <w:r w:rsidR="008B4DF8" w:rsidRPr="00C1603D">
        <w:t xml:space="preserve"> otherwise</w:t>
      </w:r>
      <w:r w:rsidR="00866843" w:rsidRPr="00C1603D">
        <w:t>,</w:t>
      </w:r>
      <w:r w:rsidR="008B4DF8" w:rsidRPr="00C1603D">
        <w:t xml:space="preserve"> any reported biopsy threshold was accepted.</w:t>
      </w:r>
    </w:p>
    <w:p w14:paraId="47476B08" w14:textId="77777777" w:rsidR="008B4DF8" w:rsidRPr="00C1603D" w:rsidRDefault="008B4DF8" w:rsidP="008B4DF8">
      <w:pPr>
        <w:pStyle w:val="53BheadHeadingsHeadingstyles"/>
      </w:pPr>
      <w:bookmarkStart w:id="158" w:name="_Toc99539829"/>
      <w:r w:rsidRPr="00C1603D">
        <w:t>Risk of bias</w:t>
      </w:r>
      <w:bookmarkEnd w:id="158"/>
    </w:p>
    <w:p w14:paraId="19E1E5AE" w14:textId="34A26371" w:rsidR="008B4DF8" w:rsidRPr="00C1603D" w:rsidRDefault="008B4DF8" w:rsidP="008B4DF8">
      <w:pPr>
        <w:pStyle w:val="602TextfoTextstylesTextstyles"/>
        <w:rPr>
          <w:color w:val="00B0F0"/>
        </w:rPr>
      </w:pPr>
      <w:r w:rsidRPr="00C1603D">
        <w:t>Risk of bias was assessed separately for each diagnostic indicator reported, so for studies reporting on multiple indicators</w:t>
      </w:r>
      <w:r w:rsidR="003407F2" w:rsidRPr="00C1603D">
        <w:t>,</w:t>
      </w:r>
      <w:r w:rsidRPr="00C1603D">
        <w:t xml:space="preserve"> risk of bias was assessed multiple times. We used </w:t>
      </w:r>
      <w:bookmarkStart w:id="159" w:name="_Hlk33434461"/>
      <w:r w:rsidRPr="00C1603D">
        <w:t xml:space="preserve">the </w:t>
      </w:r>
      <w:r w:rsidR="003407F2" w:rsidRPr="00C1603D">
        <w:t>quality assessment of diagnostic accuracy studies 2 (</w:t>
      </w:r>
      <w:r w:rsidRPr="00C1603D">
        <w:t>QUADA</w:t>
      </w:r>
      <w:r w:rsidRPr="00C1603D">
        <w:rPr>
          <w:color w:val="00B0F0"/>
        </w:rPr>
        <w:t>S-2</w:t>
      </w:r>
      <w:r w:rsidR="003407F2" w:rsidRPr="00C1603D">
        <w:rPr>
          <w:color w:val="00B0F0"/>
        </w:rPr>
        <w:t>)</w:t>
      </w:r>
      <w:r w:rsidRPr="00C1603D">
        <w:t xml:space="preserve"> tool,</w:t>
      </w:r>
      <w:r w:rsidRPr="00C1603D">
        <w:rPr>
          <w:noProof/>
          <w:vertAlign w:val="superscript"/>
        </w:rPr>
        <w:t>29</w:t>
      </w:r>
      <w:r w:rsidRPr="00C1603D">
        <w:t xml:space="preserve"> </w:t>
      </w:r>
      <w:bookmarkEnd w:id="159"/>
      <w:r w:rsidRPr="00C1603D">
        <w:t xml:space="preserve">which includes domains covering participants, index test, reference standard and flow and timing. If at least one of the domains was rated as </w:t>
      </w:r>
      <w:r w:rsidR="007017F7" w:rsidRPr="00C1603D">
        <w:rPr>
          <w:color w:val="00B0F0"/>
        </w:rPr>
        <w:t>‘</w:t>
      </w:r>
      <w:r w:rsidRPr="00C1603D">
        <w:t>high risk</w:t>
      </w:r>
      <w:proofErr w:type="gramStart"/>
      <w:r w:rsidR="007017F7" w:rsidRPr="00C1603D">
        <w:rPr>
          <w:color w:val="00B0F0"/>
        </w:rPr>
        <w:t>’</w:t>
      </w:r>
      <w:r w:rsidR="00130B0B" w:rsidRPr="00C1603D">
        <w:rPr>
          <w:color w:val="00B0F0"/>
        </w:rPr>
        <w:t>,</w:t>
      </w:r>
      <w:proofErr w:type="gramEnd"/>
      <w:r w:rsidRPr="00C1603D">
        <w:t xml:space="preserve"> the study results were considered</w:t>
      </w:r>
      <w:r w:rsidR="008310B7" w:rsidRPr="00C1603D">
        <w:t xml:space="preserve"> to be</w:t>
      </w:r>
      <w:r w:rsidRPr="00C1603D">
        <w:t xml:space="preserve"> at high risk of bias; if all domains were judged as </w:t>
      </w:r>
      <w:r w:rsidR="007017F7" w:rsidRPr="00C1603D">
        <w:rPr>
          <w:color w:val="00B0F0"/>
        </w:rPr>
        <w:t>‘</w:t>
      </w:r>
      <w:r w:rsidRPr="00C1603D">
        <w:t>low risk</w:t>
      </w:r>
      <w:r w:rsidR="007017F7" w:rsidRPr="00C1603D">
        <w:rPr>
          <w:color w:val="00B0F0"/>
        </w:rPr>
        <w:t>’</w:t>
      </w:r>
      <w:r w:rsidR="008310B7" w:rsidRPr="00C1603D">
        <w:rPr>
          <w:color w:val="00B0F0"/>
        </w:rPr>
        <w:t>,</w:t>
      </w:r>
      <w:r w:rsidRPr="00C1603D">
        <w:t xml:space="preserve"> the study was considered</w:t>
      </w:r>
      <w:r w:rsidR="008310B7" w:rsidRPr="00C1603D">
        <w:t xml:space="preserve"> </w:t>
      </w:r>
      <w:r w:rsidR="00922E90" w:rsidRPr="00C1603D">
        <w:t>as having a</w:t>
      </w:r>
      <w:r w:rsidRPr="00C1603D">
        <w:t xml:space="preserve"> low risk of bias</w:t>
      </w:r>
      <w:r w:rsidR="00922E90" w:rsidRPr="00C1603D">
        <w:t>;</w:t>
      </w:r>
      <w:r w:rsidRPr="00C1603D">
        <w:t xml:space="preserve"> otherwise</w:t>
      </w:r>
      <w:r w:rsidR="00922E90" w:rsidRPr="00C1603D">
        <w:t>,</w:t>
      </w:r>
      <w:r w:rsidRPr="00C1603D">
        <w:t xml:space="preserve"> the study was considered </w:t>
      </w:r>
      <w:r w:rsidR="00922E90" w:rsidRPr="00C1603D">
        <w:t>to have an</w:t>
      </w:r>
      <w:r w:rsidRPr="00C1603D">
        <w:t xml:space="preserve"> </w:t>
      </w:r>
      <w:r w:rsidR="007017F7" w:rsidRPr="00C1603D">
        <w:rPr>
          <w:color w:val="00B0F0"/>
        </w:rPr>
        <w:t>‘</w:t>
      </w:r>
      <w:r w:rsidRPr="00C1603D">
        <w:t>unclear</w:t>
      </w:r>
      <w:r w:rsidR="007017F7" w:rsidRPr="00C1603D">
        <w:rPr>
          <w:color w:val="00B0F0"/>
        </w:rPr>
        <w:t>’</w:t>
      </w:r>
      <w:r w:rsidRPr="00C1603D">
        <w:t xml:space="preserve"> risk of bias. The content of the tool was tailored to the review. The following modifications were made to the QUADA</w:t>
      </w:r>
      <w:r w:rsidRPr="00C1603D">
        <w:rPr>
          <w:color w:val="00B0F0"/>
        </w:rPr>
        <w:t>S-2</w:t>
      </w:r>
      <w:r w:rsidRPr="00C1603D">
        <w:t xml:space="preserve"> risk</w:t>
      </w:r>
      <w:r w:rsidR="00922E90" w:rsidRPr="00C1603D">
        <w:t>-</w:t>
      </w:r>
      <w:r w:rsidRPr="00C1603D">
        <w:t>of</w:t>
      </w:r>
      <w:r w:rsidR="00922E90" w:rsidRPr="00C1603D">
        <w:t>-</w:t>
      </w:r>
      <w:r w:rsidRPr="00C1603D">
        <w:t>bias signalling questions</w:t>
      </w:r>
      <w:r w:rsidR="00D704F4" w:rsidRPr="00C1603D">
        <w:t>.</w:t>
      </w:r>
    </w:p>
    <w:p w14:paraId="0A34FA8A" w14:textId="54CDA3CA" w:rsidR="008B4DF8" w:rsidRPr="00C1603D" w:rsidRDefault="008B4DF8" w:rsidP="008B4DF8">
      <w:pPr>
        <w:pStyle w:val="611BulletlistTextstyles"/>
      </w:pPr>
      <w:r w:rsidRPr="00C1603D">
        <w:rPr>
          <w:color w:val="00B0F0"/>
        </w:rPr>
        <w:t>Owing to</w:t>
      </w:r>
      <w:r w:rsidRPr="00C1603D">
        <w:t xml:space="preserve"> the broad research question and the expected heterogeneity between included studies, we did not formally assess applicability</w:t>
      </w:r>
      <w:r w:rsidR="00D704F4" w:rsidRPr="00C1603D">
        <w:t>.</w:t>
      </w:r>
    </w:p>
    <w:p w14:paraId="2D7C27B2" w14:textId="791C5C53" w:rsidR="008B4DF8" w:rsidRPr="00C1603D" w:rsidRDefault="008B4DF8" w:rsidP="008B4DF8">
      <w:pPr>
        <w:pStyle w:val="611BulletlistTextstyles"/>
      </w:pPr>
      <w:r w:rsidRPr="00C1603D">
        <w:t xml:space="preserve">We removed the following signalling questions as these were not considered relevant to diagnostic indicator studies </w:t>
      </w:r>
      <w:r w:rsidR="009F348C" w:rsidRPr="00C1603D">
        <w:t>because</w:t>
      </w:r>
      <w:r w:rsidRPr="00C1603D">
        <w:t xml:space="preserve"> the </w:t>
      </w:r>
      <w:r w:rsidR="007017F7" w:rsidRPr="00C1603D">
        <w:rPr>
          <w:color w:val="00B0F0"/>
        </w:rPr>
        <w:t>‘</w:t>
      </w:r>
      <w:r w:rsidRPr="00C1603D">
        <w:t>index test</w:t>
      </w:r>
      <w:r w:rsidR="007017F7" w:rsidRPr="00C1603D">
        <w:rPr>
          <w:color w:val="00B0F0"/>
        </w:rPr>
        <w:t>’</w:t>
      </w:r>
      <w:r w:rsidRPr="00C1603D">
        <w:t xml:space="preserve"> is not a test but a diagnostic indicator and the reference standard is a diagnosis of CD</w:t>
      </w:r>
      <w:r w:rsidR="00D93E60" w:rsidRPr="00C1603D">
        <w:t>:</w:t>
      </w:r>
    </w:p>
    <w:p w14:paraId="0F0BADE9" w14:textId="6E389A6E" w:rsidR="008B4DF8" w:rsidRPr="00C1603D" w:rsidRDefault="00D93E60" w:rsidP="008B4DF8">
      <w:pPr>
        <w:pStyle w:val="613TextsubbulletlistTextstylesTextstyles"/>
      </w:pPr>
      <w:r w:rsidRPr="00C1603D">
        <w:t>‘</w:t>
      </w:r>
      <w:r w:rsidR="008B4DF8" w:rsidRPr="00C1603D">
        <w:t>Were the index test results interpreted without knowledge of the results of the reference standard?</w:t>
      </w:r>
      <w:r w:rsidR="007017F7" w:rsidRPr="00C1603D">
        <w:rPr>
          <w:color w:val="00B0F0"/>
        </w:rPr>
        <w:t>’</w:t>
      </w:r>
      <w:r w:rsidR="008B4DF8" w:rsidRPr="00C1603D">
        <w:t xml:space="preserve"> (</w:t>
      </w:r>
      <w:r w:rsidRPr="00C1603D">
        <w:t xml:space="preserve">index </w:t>
      </w:r>
      <w:r w:rsidR="008B4DF8" w:rsidRPr="00C1603D">
        <w:t>test domain)</w:t>
      </w:r>
      <w:r w:rsidRPr="00C1603D">
        <w:t>.</w:t>
      </w:r>
    </w:p>
    <w:p w14:paraId="4E1B79BE" w14:textId="491095AC" w:rsidR="008B4DF8" w:rsidRPr="00C1603D" w:rsidRDefault="00D93E60" w:rsidP="008B4DF8">
      <w:pPr>
        <w:pStyle w:val="613TextsubbulletlistTextstylesTextstyles"/>
      </w:pPr>
      <w:r w:rsidRPr="00C1603D">
        <w:t>‘</w:t>
      </w:r>
      <w:r w:rsidR="008B4DF8" w:rsidRPr="00C1603D">
        <w:t>If a threshold was used, was it prespecified?</w:t>
      </w:r>
      <w:r w:rsidR="007017F7" w:rsidRPr="00C1603D">
        <w:rPr>
          <w:color w:val="00B0F0"/>
        </w:rPr>
        <w:t>’</w:t>
      </w:r>
      <w:r w:rsidR="008B4DF8" w:rsidRPr="00C1603D">
        <w:t xml:space="preserve"> (index test domain)</w:t>
      </w:r>
      <w:r w:rsidRPr="00C1603D">
        <w:t>.</w:t>
      </w:r>
    </w:p>
    <w:p w14:paraId="0F1A4D69" w14:textId="1C4AB590" w:rsidR="008B4DF8" w:rsidRPr="00C1603D" w:rsidRDefault="007017F7" w:rsidP="00355CFD">
      <w:pPr>
        <w:pStyle w:val="613TextsubbulletlistTextstylesTextstyles"/>
      </w:pPr>
      <w:r w:rsidRPr="00C1603D">
        <w:rPr>
          <w:color w:val="00B0F0"/>
        </w:rPr>
        <w:t>‘</w:t>
      </w:r>
      <w:r w:rsidR="008B4DF8" w:rsidRPr="00C1603D">
        <w:t>Were the reference standard results interpreted without knowledge of the results of the index test?</w:t>
      </w:r>
      <w:r w:rsidRPr="00C1603D">
        <w:rPr>
          <w:color w:val="00B0F0"/>
        </w:rPr>
        <w:t>’</w:t>
      </w:r>
      <w:r w:rsidR="008B4DF8" w:rsidRPr="00C1603D">
        <w:t xml:space="preserve"> (reference standard domain)</w:t>
      </w:r>
      <w:r w:rsidR="00D93E60" w:rsidRPr="00C1603D">
        <w:t>.</w:t>
      </w:r>
    </w:p>
    <w:p w14:paraId="7F187162" w14:textId="1E4F971F" w:rsidR="008B4DF8" w:rsidRPr="00C1603D" w:rsidRDefault="008B4DF8" w:rsidP="00355CFD">
      <w:pPr>
        <w:pStyle w:val="611BulletlistTextstyles"/>
      </w:pPr>
      <w:r w:rsidRPr="00C1603D">
        <w:t>We added the following signalling question:</w:t>
      </w:r>
    </w:p>
    <w:p w14:paraId="67C2BE4D" w14:textId="708E4DE7" w:rsidR="008B4DF8" w:rsidRPr="00C1603D" w:rsidRDefault="007017F7" w:rsidP="00355CFD">
      <w:pPr>
        <w:pStyle w:val="616TextsubbulletlistlastTextstylesTextstyles"/>
      </w:pPr>
      <w:r w:rsidRPr="00C1603D">
        <w:rPr>
          <w:color w:val="00B0F0"/>
        </w:rPr>
        <w:t>‘</w:t>
      </w:r>
      <w:r w:rsidR="008B4DF8" w:rsidRPr="00C1603D">
        <w:t>Was the aim of the study to investigate this diagnostic indicator?</w:t>
      </w:r>
      <w:r w:rsidRPr="00C1603D">
        <w:rPr>
          <w:color w:val="00B0F0"/>
        </w:rPr>
        <w:t>’</w:t>
      </w:r>
      <w:r w:rsidR="008B4DF8" w:rsidRPr="00C1603D">
        <w:t xml:space="preserve"> (index test domain)</w:t>
      </w:r>
      <w:r w:rsidR="007171B8" w:rsidRPr="00C1603D">
        <w:t>.</w:t>
      </w:r>
    </w:p>
    <w:p w14:paraId="350B79FF" w14:textId="79822B94" w:rsidR="008B4DF8" w:rsidRPr="00C1603D" w:rsidRDefault="000C3F0C" w:rsidP="008B4DF8">
      <w:pPr>
        <w:pStyle w:val="602TextfoTextstylesTextstyles"/>
      </w:pPr>
      <w:r w:rsidRPr="00C1603D">
        <w:t>The r</w:t>
      </w:r>
      <w:r w:rsidR="008B4DF8" w:rsidRPr="00C1603D">
        <w:t>isk of bias was assessed by one reviewer and checked by a second as part of the data extraction process.</w:t>
      </w:r>
    </w:p>
    <w:p w14:paraId="1454064E" w14:textId="77777777" w:rsidR="008B4DF8" w:rsidRPr="00C1603D" w:rsidRDefault="008B4DF8" w:rsidP="008B4DF8">
      <w:pPr>
        <w:pStyle w:val="53BheadHeadingsHeadingstyles"/>
      </w:pPr>
      <w:bookmarkStart w:id="160" w:name="_Toc99539830"/>
      <w:r w:rsidRPr="00C1603D">
        <w:t>Synthesis of results</w:t>
      </w:r>
      <w:bookmarkEnd w:id="160"/>
    </w:p>
    <w:p w14:paraId="76828991" w14:textId="11CEC661" w:rsidR="008B4DF8" w:rsidRPr="00C1603D" w:rsidRDefault="008B4DF8" w:rsidP="008B4DF8">
      <w:pPr>
        <w:pStyle w:val="602TextfoTextstylesTextstyles"/>
      </w:pPr>
      <w:r w:rsidRPr="00C1603D">
        <w:t>We present a narrative summary of the included studies, including a summary of the characteristics of the included studies that evaluated each diagnostic indicator (</w:t>
      </w:r>
      <w:r w:rsidR="0051430A" w:rsidRPr="00C1603D">
        <w:t>e.g.</w:t>
      </w:r>
      <w:r w:rsidRPr="00C1603D">
        <w:t xml:space="preserve"> study design, population size, geographical location, year, population characteristics, diagnostic indicator details and CD diagnosis). We also describe the main methodological problems or biases that affected the studies.</w:t>
      </w:r>
    </w:p>
    <w:p w14:paraId="08E47877" w14:textId="23AAC5A7" w:rsidR="008B4DF8" w:rsidRPr="00C1603D" w:rsidRDefault="008B4DF8" w:rsidP="008B4DF8">
      <w:pPr>
        <w:pStyle w:val="602TextfoTextstylesTextstyles"/>
      </w:pPr>
      <w:bookmarkStart w:id="161" w:name="_Hlk33434616"/>
      <w:r w:rsidRPr="00C1603D">
        <w:t xml:space="preserve">The results were grouped by diagnostic indicator and age group. Diagnostic indicators were grouped based on discussion with clinical team members; for example, acid reflux symptoms included heartburn, dyspepsia, and </w:t>
      </w:r>
      <w:r w:rsidRPr="00C1603D">
        <w:rPr>
          <w:color w:val="00B0F0"/>
        </w:rPr>
        <w:t>gastro-oesophageal</w:t>
      </w:r>
      <w:r w:rsidRPr="00C1603D">
        <w:t xml:space="preserve"> reflux symptoms. If more than one</w:t>
      </w:r>
      <w:r w:rsidRPr="00C1603D" w:rsidDel="00024FE6">
        <w:t xml:space="preserve"> </w:t>
      </w:r>
      <w:r w:rsidRPr="00C1603D">
        <w:t xml:space="preserve">indicator in each category was evaluated in one study </w:t>
      </w:r>
      <w:r w:rsidR="00197C7C" w:rsidRPr="00C1603D">
        <w:t>(</w:t>
      </w:r>
      <w:r w:rsidR="0051430A" w:rsidRPr="00C1603D">
        <w:t>e.g.</w:t>
      </w:r>
      <w:r w:rsidRPr="00C1603D">
        <w:t xml:space="preserve"> heartburn and dyspepsia</w:t>
      </w:r>
      <w:r w:rsidR="00197C7C" w:rsidRPr="00C1603D">
        <w:t>)</w:t>
      </w:r>
      <w:r w:rsidRPr="00C1603D">
        <w:t>, only one was included in the meta-analysis to avoid including the same individuals twice. In those cases, the broader term (</w:t>
      </w:r>
      <w:r w:rsidR="0051430A" w:rsidRPr="00C1603D">
        <w:t>e.g.</w:t>
      </w:r>
      <w:r w:rsidRPr="00C1603D">
        <w:t xml:space="preserve"> dyspepsia over heartburn) or more prevalent diagnostic indicator was selected. Study populations were categorised as </w:t>
      </w:r>
      <w:r w:rsidR="007017F7" w:rsidRPr="00C1603D">
        <w:rPr>
          <w:color w:val="00B0F0"/>
        </w:rPr>
        <w:t>‘</w:t>
      </w:r>
      <w:r w:rsidRPr="00C1603D">
        <w:t>children</w:t>
      </w:r>
      <w:r w:rsidR="007017F7" w:rsidRPr="00C1603D">
        <w:rPr>
          <w:color w:val="00B0F0"/>
        </w:rPr>
        <w:t>’</w:t>
      </w:r>
      <w:r w:rsidRPr="00C1603D">
        <w:t xml:space="preserve"> if the majority were children and none of the participants </w:t>
      </w:r>
      <w:r w:rsidR="00626EEE" w:rsidRPr="00C1603D">
        <w:t>was aged</w:t>
      </w:r>
      <w:r w:rsidRPr="00C1603D">
        <w:t xml:space="preserve"> </w:t>
      </w:r>
      <w:r w:rsidR="00626EEE" w:rsidRPr="00C1603D">
        <w:t>&gt; </w:t>
      </w:r>
      <w:r w:rsidRPr="00C1603D">
        <w:t>21</w:t>
      </w:r>
      <w:r w:rsidR="00626EEE" w:rsidRPr="00C1603D">
        <w:t xml:space="preserve"> years,</w:t>
      </w:r>
      <w:r w:rsidRPr="00C1603D">
        <w:t xml:space="preserve"> and as </w:t>
      </w:r>
      <w:r w:rsidR="007017F7" w:rsidRPr="00C1603D">
        <w:rPr>
          <w:color w:val="00B0F0"/>
        </w:rPr>
        <w:t>‘</w:t>
      </w:r>
      <w:r w:rsidRPr="00C1603D">
        <w:t>adults</w:t>
      </w:r>
      <w:r w:rsidR="007017F7" w:rsidRPr="00C1603D">
        <w:rPr>
          <w:color w:val="00B0F0"/>
        </w:rPr>
        <w:t>’</w:t>
      </w:r>
      <w:r w:rsidRPr="00C1603D">
        <w:t xml:space="preserve"> if the majority were adults with no participant </w:t>
      </w:r>
      <w:r w:rsidR="00626EEE" w:rsidRPr="00C1603D">
        <w:t>aged</w:t>
      </w:r>
      <w:r w:rsidRPr="00C1603D">
        <w:t xml:space="preserve"> </w:t>
      </w:r>
      <w:r w:rsidR="00626EEE" w:rsidRPr="00C1603D">
        <w:t>&lt; 1</w:t>
      </w:r>
      <w:r w:rsidRPr="00C1603D">
        <w:t>5</w:t>
      </w:r>
      <w:r w:rsidR="00626EEE" w:rsidRPr="00C1603D">
        <w:t xml:space="preserve"> years</w:t>
      </w:r>
      <w:r w:rsidRPr="00C1603D">
        <w:t>. All other populations were categorised as mixed</w:t>
      </w:r>
      <w:r w:rsidR="00B655BC" w:rsidRPr="00C1603D">
        <w:t>-</w:t>
      </w:r>
      <w:r w:rsidRPr="00C1603D">
        <w:t>age group</w:t>
      </w:r>
      <w:r w:rsidR="00B655BC" w:rsidRPr="00C1603D">
        <w:t>s</w:t>
      </w:r>
      <w:r w:rsidRPr="00C1603D">
        <w:t>.</w:t>
      </w:r>
      <w:bookmarkEnd w:id="161"/>
    </w:p>
    <w:p w14:paraId="3FEE1937" w14:textId="73C9B419" w:rsidR="008B4DF8" w:rsidRPr="00C1603D" w:rsidRDefault="008B4DF8" w:rsidP="008B4DF8">
      <w:pPr>
        <w:pStyle w:val="602TextfoTextstylesTextstyles"/>
      </w:pPr>
      <w:r w:rsidRPr="00C1603D">
        <w:t xml:space="preserve">We fitted a bivariate </w:t>
      </w:r>
      <w:r w:rsidR="0087034D" w:rsidRPr="00C1603D">
        <w:t>random-effect</w:t>
      </w:r>
      <w:r w:rsidRPr="00C1603D">
        <w:t xml:space="preserve">s meta-analysis for each diagnostic indicator, in which we assumed binomial likelihoods for </w:t>
      </w:r>
      <w:r w:rsidR="00B655BC" w:rsidRPr="00C1603D">
        <w:t xml:space="preserve">the </w:t>
      </w:r>
      <w:r w:rsidRPr="00C1603D">
        <w:t xml:space="preserve">numbers of true positives and </w:t>
      </w:r>
      <w:r w:rsidR="00B655BC" w:rsidRPr="00C1603D">
        <w:t xml:space="preserve">true </w:t>
      </w:r>
      <w:r w:rsidRPr="00C1603D">
        <w:t>negatives.</w:t>
      </w:r>
      <w:r w:rsidRPr="00C1603D">
        <w:rPr>
          <w:noProof/>
          <w:vertAlign w:val="superscript"/>
        </w:rPr>
        <w:t>30,31</w:t>
      </w:r>
      <w:r w:rsidRPr="00C1603D">
        <w:t xml:space="preserve"> Pooled estimates of sensitivity and specificity and estimates of the between-study standard deviation</w:t>
      </w:r>
      <w:r w:rsidR="00911EA0" w:rsidRPr="00C1603D">
        <w:t xml:space="preserve"> (SD)</w:t>
      </w:r>
      <w:r w:rsidRPr="00C1603D">
        <w:t xml:space="preserve"> sensitivity and specificity on the logit scale (</w:t>
      </w:r>
      <w:r w:rsidR="007017F7" w:rsidRPr="00C1603D">
        <w:rPr>
          <w:color w:val="00B0F0"/>
        </w:rPr>
        <w:t>‘</w:t>
      </w:r>
      <w:r w:rsidRPr="00C1603D">
        <w:t>tau</w:t>
      </w:r>
      <w:r w:rsidR="007017F7" w:rsidRPr="00C1603D">
        <w:rPr>
          <w:color w:val="00B0F0"/>
        </w:rPr>
        <w:t>’</w:t>
      </w:r>
      <w:r w:rsidRPr="00C1603D">
        <w:t>) are reported. Per diagnostic indicator, we present study-specific and pooled estimates of sensitivity and specificity in coupled forest plots and summary receiver operating characteristic (</w:t>
      </w:r>
      <w:r w:rsidR="004C4B51" w:rsidRPr="00C1603D">
        <w:t>S</w:t>
      </w:r>
      <w:r w:rsidRPr="00C1603D">
        <w:t xml:space="preserve">ROC) plots, with 95% confidence ellipses and </w:t>
      </w:r>
      <w:r w:rsidR="004C4B51" w:rsidRPr="00C1603D">
        <w:t>SROC</w:t>
      </w:r>
      <w:r w:rsidRPr="00C1603D">
        <w:t xml:space="preserve"> curves.</w:t>
      </w:r>
      <w:r w:rsidRPr="00C1603D">
        <w:rPr>
          <w:noProof/>
          <w:vertAlign w:val="superscript"/>
        </w:rPr>
        <w:t>25</w:t>
      </w:r>
    </w:p>
    <w:p w14:paraId="2C4A1E5C" w14:textId="2B62214E" w:rsidR="008B4DF8" w:rsidRPr="00C1603D" w:rsidRDefault="008B4DF8" w:rsidP="008B4DF8">
      <w:pPr>
        <w:pStyle w:val="602TextfoTextstylesTextstyles"/>
      </w:pPr>
      <w:r w:rsidRPr="00C1603D">
        <w:t xml:space="preserve">Summary results from each meta-analysis were also used to estimate positive predictive values (PPVs), </w:t>
      </w:r>
      <w:r w:rsidR="00063C5D" w:rsidRPr="00C1603D">
        <w:t>that is</w:t>
      </w:r>
      <w:r w:rsidRPr="00C1603D">
        <w:t xml:space="preserve"> the probability of CD given that an individual has each diagnostic indicator. To calculate these </w:t>
      </w:r>
      <w:r w:rsidRPr="00C1603D">
        <w:lastRenderedPageBreak/>
        <w:t>values, we assumed a prevalence of 1% of CD in the general population.</w:t>
      </w:r>
      <w:r w:rsidRPr="00C1603D">
        <w:rPr>
          <w:noProof/>
          <w:vertAlign w:val="superscript"/>
        </w:rPr>
        <w:t>32,33</w:t>
      </w:r>
      <w:r w:rsidRPr="00C1603D">
        <w:t xml:space="preserve"> </w:t>
      </w:r>
      <w:r w:rsidR="00E467F2" w:rsidRPr="00C1603D">
        <w:t xml:space="preserve">The </w:t>
      </w:r>
      <w:r w:rsidRPr="00C1603D">
        <w:t>95% confidence intervals (CIs) around PPVs were computed using Monte Carlo simulation, simulating from a bivariate normal distribution for summary sensitivity and specificity on the logit scale. Negative predictive values are not informative in this context, because a sign, symptom or risk condition cannot be used in clinical practice to exclude CD;</w:t>
      </w:r>
      <w:r w:rsidR="00A730A2" w:rsidRPr="00C1603D">
        <w:t xml:space="preserve"> therefore,</w:t>
      </w:r>
      <w:r w:rsidRPr="00C1603D">
        <w:t xml:space="preserve"> these are not reported.</w:t>
      </w:r>
    </w:p>
    <w:p w14:paraId="327B7EEC" w14:textId="77777777" w:rsidR="008B4DF8" w:rsidRPr="00C1603D" w:rsidRDefault="008B4DF8" w:rsidP="008B4DF8">
      <w:pPr>
        <w:pStyle w:val="53BheadHeadingsHeadingstyles"/>
      </w:pPr>
      <w:bookmarkStart w:id="162" w:name="_Toc99539831"/>
      <w:r w:rsidRPr="00C1603D">
        <w:t>Sensitivity analyses and subgroup analyses</w:t>
      </w:r>
      <w:bookmarkEnd w:id="162"/>
    </w:p>
    <w:p w14:paraId="46C0F2DC" w14:textId="33D15B60" w:rsidR="008B4DF8" w:rsidRPr="00C1603D" w:rsidRDefault="008B4DF8" w:rsidP="008B4DF8">
      <w:pPr>
        <w:pStyle w:val="602TextfoTextstylesTextstyles"/>
      </w:pPr>
      <w:r w:rsidRPr="00C1603D">
        <w:t xml:space="preserve">Because we expected heterogeneity across studies in sensitivity and specificity </w:t>
      </w:r>
      <w:r w:rsidR="006E6B91" w:rsidRPr="00C1603D">
        <w:t>as a result of</w:t>
      </w:r>
      <w:r w:rsidRPr="00C1603D">
        <w:t xml:space="preserve"> variability in age groups (children vs</w:t>
      </w:r>
      <w:r w:rsidR="006E6B91" w:rsidRPr="00C1603D">
        <w:t>.</w:t>
      </w:r>
      <w:r w:rsidRPr="00C1603D">
        <w:t xml:space="preserve"> adults), method of CD diagnosis (biopsy and/or serology </w:t>
      </w:r>
      <w:r w:rsidR="006E6B91" w:rsidRPr="00C1603D">
        <w:t>vs.</w:t>
      </w:r>
      <w:r w:rsidRPr="00C1603D">
        <w:t xml:space="preserve"> serology only), and study design (single</w:t>
      </w:r>
      <w:r w:rsidR="006E6B91" w:rsidRPr="00C1603D">
        <w:t xml:space="preserve"> </w:t>
      </w:r>
      <w:r w:rsidRPr="00C1603D">
        <w:t xml:space="preserve">gate </w:t>
      </w:r>
      <w:r w:rsidR="006E6B91" w:rsidRPr="00C1603D">
        <w:t>vs.</w:t>
      </w:r>
      <w:r w:rsidRPr="00C1603D">
        <w:t xml:space="preserve"> multigate), we performed subgroup and sensitivity analyses on these study characteristics if subgroups contained at least </w:t>
      </w:r>
      <w:r w:rsidR="006E6B91" w:rsidRPr="00C1603D">
        <w:t>five</w:t>
      </w:r>
      <w:r w:rsidRPr="00C1603D">
        <w:t xml:space="preserve"> studies.</w:t>
      </w:r>
    </w:p>
    <w:p w14:paraId="7331B491" w14:textId="255C3BE5" w:rsidR="008B4DF8" w:rsidRPr="00C1603D" w:rsidRDefault="008B4DF8" w:rsidP="008B4DF8">
      <w:pPr>
        <w:pStyle w:val="602TextfoTextstylesTextstyles"/>
      </w:pPr>
      <w:r w:rsidRPr="00C1603D">
        <w:t>All statistical analyses were performed in R</w:t>
      </w:r>
      <w:r w:rsidRPr="00C1603D">
        <w:rPr>
          <w:noProof/>
          <w:vertAlign w:val="superscript"/>
        </w:rPr>
        <w:t>34</w:t>
      </w:r>
      <w:r w:rsidRPr="00C1603D">
        <w:t xml:space="preserve"> </w:t>
      </w:r>
      <w:r w:rsidR="00CF0F0E" w:rsidRPr="00C1603D">
        <w:t xml:space="preserve">(The R Foundation for Statistical Computing, Vienna, Austria) </w:t>
      </w:r>
      <w:r w:rsidRPr="00C1603D">
        <w:t>using lme4</w:t>
      </w:r>
      <w:r w:rsidRPr="00C1603D">
        <w:rPr>
          <w:noProof/>
          <w:vertAlign w:val="superscript"/>
        </w:rPr>
        <w:t>35</w:t>
      </w:r>
      <w:r w:rsidRPr="00C1603D">
        <w:t xml:space="preserve"> and PropCIs</w:t>
      </w:r>
      <w:r w:rsidRPr="00C1603D">
        <w:rPr>
          <w:noProof/>
          <w:vertAlign w:val="superscript"/>
        </w:rPr>
        <w:t>36</w:t>
      </w:r>
      <w:r w:rsidRPr="00C1603D">
        <w:t xml:space="preserve"> packages; forestplot,</w:t>
      </w:r>
      <w:r w:rsidRPr="00C1603D">
        <w:rPr>
          <w:noProof/>
          <w:vertAlign w:val="superscript"/>
        </w:rPr>
        <w:t>37</w:t>
      </w:r>
      <w:r w:rsidRPr="00C1603D">
        <w:t xml:space="preserve"> flextable,</w:t>
      </w:r>
      <w:r w:rsidRPr="00C1603D">
        <w:rPr>
          <w:noProof/>
          <w:vertAlign w:val="superscript"/>
        </w:rPr>
        <w:t>38</w:t>
      </w:r>
      <w:r w:rsidRPr="00C1603D">
        <w:t xml:space="preserve"> ggplot2,</w:t>
      </w:r>
      <w:r w:rsidRPr="00C1603D">
        <w:rPr>
          <w:noProof/>
          <w:vertAlign w:val="superscript"/>
        </w:rPr>
        <w:t>39</w:t>
      </w:r>
      <w:r w:rsidRPr="00C1603D">
        <w:t xml:space="preserve"> mada</w:t>
      </w:r>
      <w:r w:rsidRPr="00C1603D">
        <w:rPr>
          <w:noProof/>
          <w:vertAlign w:val="superscript"/>
        </w:rPr>
        <w:t>40</w:t>
      </w:r>
      <w:r w:rsidRPr="00C1603D">
        <w:t xml:space="preserve"> </w:t>
      </w:r>
      <w:r w:rsidR="006E6B91" w:rsidRPr="00C1603D">
        <w:t xml:space="preserve">and </w:t>
      </w:r>
      <w:r w:rsidRPr="00C1603D">
        <w:t>ellipse</w:t>
      </w:r>
      <w:r w:rsidRPr="00C1603D">
        <w:rPr>
          <w:noProof/>
          <w:vertAlign w:val="superscript"/>
        </w:rPr>
        <w:t>41</w:t>
      </w:r>
      <w:r w:rsidRPr="00C1603D">
        <w:t xml:space="preserve"> were used for tables and figures.</w:t>
      </w:r>
    </w:p>
    <w:p w14:paraId="54E905ED" w14:textId="77777777" w:rsidR="008B4DF8" w:rsidRPr="00C1603D" w:rsidRDefault="008B4DF8" w:rsidP="008B4DF8">
      <w:pPr>
        <w:pStyle w:val="53BheadHeadingsHeadingstyles"/>
      </w:pPr>
      <w:bookmarkStart w:id="163" w:name="_Toc99539832"/>
      <w:bookmarkEnd w:id="155"/>
      <w:r w:rsidRPr="00C1603D">
        <w:t>Deviations from the protocol</w:t>
      </w:r>
      <w:bookmarkEnd w:id="163"/>
    </w:p>
    <w:p w14:paraId="0A953AA1" w14:textId="46BBF51B" w:rsidR="008B4DF8" w:rsidRPr="00C1603D" w:rsidRDefault="008B4DF8" w:rsidP="008B4DF8">
      <w:pPr>
        <w:pStyle w:val="602TextfoTextstylesTextstyles"/>
      </w:pPr>
      <w:r w:rsidRPr="00C1603D">
        <w:t>Owing to the size of the review and time constraints</w:t>
      </w:r>
      <w:r w:rsidR="006E6B91" w:rsidRPr="00C1603D">
        <w:t>,</w:t>
      </w:r>
      <w:r w:rsidRPr="00C1603D">
        <w:t xml:space="preserve"> it was not feasible to contact authors.</w:t>
      </w:r>
    </w:p>
    <w:p w14:paraId="19F6EAB0" w14:textId="74D30181" w:rsidR="008B4DF8" w:rsidRPr="00C1603D" w:rsidRDefault="3CDEEDA7" w:rsidP="008B4DF8">
      <w:pPr>
        <w:pStyle w:val="602TextfoTextstylesTextstyles"/>
      </w:pPr>
      <w:commentRangeStart w:id="164"/>
      <w:commentRangeStart w:id="165"/>
      <w:r w:rsidRPr="00C1603D">
        <w:t>To make this review more manageable, we planned to extract data for diagnostic indicators with sufficient evidence only, which we defined as data on diagnostic indicators that are reported in five or more studies</w:t>
      </w:r>
      <w:commentRangeEnd w:id="164"/>
      <w:r w:rsidR="008B4DF8" w:rsidRPr="00C1603D">
        <w:commentReference w:id="164"/>
      </w:r>
      <w:commentRangeEnd w:id="165"/>
      <w:r w:rsidR="008B4DF8" w:rsidRPr="00C1603D">
        <w:commentReference w:id="165"/>
      </w:r>
      <w:r w:rsidRPr="00C1603D">
        <w:t xml:space="preserve">, unless our expert panel identified a diagnostic indicator as exceptionally promising. However, the expert panel agreed that most diagnostic indicators were potentially promising. To reduce bias in the process and to keep the review manageable, it was decided not to extract data on diagnostic indicators that were reported by fewer than five studies. We provide full references for all studies reporting on indicators for which we did not extract data. In addition, a post hoc sensitivity analysis was performed on the diagnostic indicator </w:t>
      </w:r>
      <w:r w:rsidRPr="00C1603D">
        <w:rPr>
          <w:color w:val="00B0F0"/>
        </w:rPr>
        <w:t>‘</w:t>
      </w:r>
      <w:r w:rsidRPr="00C1603D">
        <w:t>family history of CD</w:t>
      </w:r>
      <w:r w:rsidRPr="00C1603D">
        <w:rPr>
          <w:color w:val="00B0F0"/>
        </w:rPr>
        <w:t>’</w:t>
      </w:r>
      <w:r w:rsidRPr="00C1603D">
        <w:t xml:space="preserve"> to restrict the analysis to first-degree relatives only.</w:t>
      </w:r>
    </w:p>
    <w:p w14:paraId="30961E42" w14:textId="261ABEEC" w:rsidR="008B4DF8" w:rsidRPr="00C1603D" w:rsidRDefault="3CDEEDA7" w:rsidP="008B4DF8">
      <w:pPr>
        <w:pStyle w:val="602TextfoTextstylesTextstyles"/>
      </w:pPr>
      <w:commentRangeStart w:id="166"/>
      <w:commentRangeStart w:id="167"/>
      <w:r w:rsidRPr="00C1603D">
        <w:t>As stated in the protocol,</w:t>
      </w:r>
      <w:proofErr w:type="gramStart"/>
      <w:r w:rsidRPr="00C1603D">
        <w:rPr>
          <w:vertAlign w:val="superscript"/>
        </w:rPr>
        <w:t>21</w:t>
      </w:r>
      <w:proofErr w:type="gramEnd"/>
      <w:r w:rsidRPr="00C1603D">
        <w:t xml:space="preserve"> we explored the possibility of adjusting for the imperfect accuracy of the serological tests in a Bayesian statistical framework</w:t>
      </w:r>
      <w:commentRangeEnd w:id="166"/>
      <w:r w:rsidR="008B4DF8" w:rsidRPr="00C1603D">
        <w:commentReference w:id="166"/>
      </w:r>
      <w:commentRangeEnd w:id="167"/>
      <w:r w:rsidR="008B4DF8" w:rsidRPr="00C1603D">
        <w:commentReference w:id="167"/>
      </w:r>
      <w:r w:rsidRPr="00C1603D">
        <w:t xml:space="preserve">, using informative prior distributions for the sensitivity and specificity of these tests based on our systematic review of the accuracy of serology tests for CD (see </w:t>
      </w:r>
      <w:r w:rsidRPr="00C1603D">
        <w:rPr>
          <w:i/>
          <w:iCs/>
        </w:rPr>
        <w:t>Chapter 5</w:t>
      </w:r>
      <w:r w:rsidRPr="00C1603D">
        <w:t>). However, this was not feasible because of the considerable variation in reference standards, including thresholds for reference standards, used across studies.</w:t>
      </w:r>
    </w:p>
    <w:p w14:paraId="0A1385EC" w14:textId="77777777" w:rsidR="008B4DF8" w:rsidRPr="00C1603D" w:rsidRDefault="008B4DF8" w:rsidP="008B4DF8">
      <w:pPr>
        <w:pStyle w:val="52AheadHeadingsHeadingstyles"/>
      </w:pPr>
      <w:bookmarkStart w:id="168" w:name="_Toc99539833"/>
      <w:bookmarkStart w:id="169" w:name="_Hlk86246202"/>
      <w:r w:rsidRPr="00C1603D">
        <w:t>Results of assessment of diagnostic accuracy of indicators</w:t>
      </w:r>
      <w:bookmarkEnd w:id="168"/>
    </w:p>
    <w:p w14:paraId="2A056E33" w14:textId="5426BDF2" w:rsidR="008B4DF8" w:rsidRPr="00C1603D" w:rsidRDefault="008B4DF8" w:rsidP="008B4DF8">
      <w:pPr>
        <w:pStyle w:val="602TextfoTextstylesTextstyles"/>
      </w:pPr>
      <w:bookmarkStart w:id="170" w:name="_Hlk86246208"/>
      <w:bookmarkEnd w:id="169"/>
      <w:r w:rsidRPr="00C1603D">
        <w:t>We identified 12,027 records</w:t>
      </w:r>
      <w:r w:rsidR="00CE4E77" w:rsidRPr="00C1603D">
        <w:t>,</w:t>
      </w:r>
      <w:r w:rsidRPr="00C1603D">
        <w:t xml:space="preserve"> after deduplication</w:t>
      </w:r>
      <w:r w:rsidR="00CE4E77" w:rsidRPr="00C1603D">
        <w:t>,</w:t>
      </w:r>
      <w:r w:rsidRPr="00C1603D">
        <w:t xml:space="preserve"> through searching scientific databases and screening</w:t>
      </w:r>
      <w:r w:rsidR="00CE4E77" w:rsidRPr="00C1603D">
        <w:t xml:space="preserve"> the</w:t>
      </w:r>
      <w:r w:rsidRPr="00C1603D">
        <w:t xml:space="preserve"> reference lists of four recent guidelines on CD</w:t>
      </w:r>
      <w:r w:rsidRPr="00C1603D">
        <w:rPr>
          <w:noProof/>
          <w:vertAlign w:val="superscript"/>
        </w:rPr>
        <w:t>9,10,42</w:t>
      </w:r>
      <w:r w:rsidRPr="00C1603D">
        <w:rPr>
          <w:noProof/>
          <w:color w:val="00B0F0"/>
          <w:vertAlign w:val="superscript"/>
        </w:rPr>
        <w:t>–4</w:t>
      </w:r>
      <w:r w:rsidRPr="00C1603D">
        <w:rPr>
          <w:noProof/>
          <w:vertAlign w:val="superscript"/>
        </w:rPr>
        <w:t>4</w:t>
      </w:r>
      <w:r w:rsidRPr="00C1603D">
        <w:t xml:space="preserve"> and 22 systematic reviews. </w:t>
      </w:r>
      <w:r w:rsidR="00CE4E77" w:rsidRPr="00C1603D">
        <w:t xml:space="preserve">Of these, </w:t>
      </w:r>
      <w:r w:rsidRPr="00C1603D">
        <w:t>709 records were selected for full</w:t>
      </w:r>
      <w:r w:rsidR="00CE4E77" w:rsidRPr="00C1603D">
        <w:t>-</w:t>
      </w:r>
      <w:r w:rsidRPr="00C1603D">
        <w:t xml:space="preserve">text assessment, of which 241 studies fulfilled </w:t>
      </w:r>
      <w:r w:rsidR="00CE4E77" w:rsidRPr="00C1603D">
        <w:t>the</w:t>
      </w:r>
      <w:r w:rsidRPr="00C1603D">
        <w:t xml:space="preserve"> inclusion criteria. These studies contained 369 reports of </w:t>
      </w:r>
      <w:proofErr w:type="gramStart"/>
      <w:r w:rsidRPr="00C1603D">
        <w:t>90</w:t>
      </w:r>
      <w:proofErr w:type="gramEnd"/>
      <w:r w:rsidRPr="00C1603D">
        <w:t xml:space="preserve"> distinct diagnostic indicators. Table S1</w:t>
      </w:r>
      <w:r w:rsidR="0056564B" w:rsidRPr="00C1603D">
        <w:t xml:space="preserve"> (see </w:t>
      </w:r>
      <w:r w:rsidR="00074CB7" w:rsidRPr="00C1603D">
        <w:rPr>
          <w:i/>
          <w:iCs/>
        </w:rPr>
        <w:t>Report Supplementary Material 1</w:t>
      </w:r>
      <w:r w:rsidR="00074CB7" w:rsidRPr="00C1603D">
        <w:t xml:space="preserve">) </w:t>
      </w:r>
      <w:r w:rsidRPr="00C1603D">
        <w:t xml:space="preserve">provides a list of diagnostic indicators (including study references) for which we did not extract data because they reported on a rare indicator (reported by fewer than five studies). We included 183 studies reporting on </w:t>
      </w:r>
      <w:proofErr w:type="gramStart"/>
      <w:r w:rsidRPr="00C1603D">
        <w:t>25</w:t>
      </w:r>
      <w:proofErr w:type="gramEnd"/>
      <w:r w:rsidRPr="00C1603D">
        <w:t xml:space="preserve"> distinct indicators in our meta-analys</w:t>
      </w:r>
      <w:r w:rsidR="00D0757C" w:rsidRPr="00C1603D">
        <w:t>i</w:t>
      </w:r>
      <w:r w:rsidRPr="00C1603D">
        <w:t xml:space="preserve">s (see </w:t>
      </w:r>
      <w:r w:rsidRPr="00C1603D">
        <w:rPr>
          <w:i/>
          <w:iCs/>
        </w:rPr>
        <w:t>Appendix 2</w:t>
      </w:r>
      <w:r w:rsidR="00D0757C" w:rsidRPr="00C1603D">
        <w:rPr>
          <w:color w:val="auto"/>
        </w:rPr>
        <w:t>,</w:t>
      </w:r>
      <w:r w:rsidRPr="00C1603D">
        <w:rPr>
          <w:color w:val="auto"/>
        </w:rPr>
        <w:t xml:space="preserve"> </w:t>
      </w:r>
      <w:r w:rsidRPr="00C1603D">
        <w:rPr>
          <w:i/>
          <w:color w:val="auto"/>
        </w:rPr>
        <w:t xml:space="preserve">Figure </w:t>
      </w:r>
      <w:r w:rsidRPr="00C1603D">
        <w:rPr>
          <w:i/>
          <w:noProof/>
          <w:color w:val="auto"/>
        </w:rPr>
        <w:t>26</w:t>
      </w:r>
      <w:r w:rsidRPr="00C1603D">
        <w:rPr>
          <w:color w:val="auto"/>
        </w:rPr>
        <w:t>).</w:t>
      </w:r>
    </w:p>
    <w:p w14:paraId="2D616E99" w14:textId="77777777" w:rsidR="008B4DF8" w:rsidRPr="00C1603D" w:rsidRDefault="008B4DF8" w:rsidP="008B4DF8">
      <w:pPr>
        <w:pStyle w:val="53BheadHeadingsHeadingstyles"/>
      </w:pPr>
      <w:bookmarkStart w:id="171" w:name="_Toc99539834"/>
      <w:bookmarkStart w:id="172" w:name="_Hlk86246306"/>
      <w:bookmarkEnd w:id="170"/>
      <w:r w:rsidRPr="00C1603D">
        <w:t>Study characteristics</w:t>
      </w:r>
      <w:bookmarkEnd w:id="171"/>
    </w:p>
    <w:bookmarkEnd w:id="172"/>
    <w:p w14:paraId="0DDCB5C8" w14:textId="59E3B523" w:rsidR="008B4DF8" w:rsidRPr="00C1603D" w:rsidRDefault="008B4DF8" w:rsidP="008B4DF8">
      <w:pPr>
        <w:pStyle w:val="602TextfoTextstylesTextstyles"/>
      </w:pPr>
      <w:r w:rsidRPr="00C1603D">
        <w:t xml:space="preserve">The included diagnostic indicators consisted of </w:t>
      </w:r>
      <w:r w:rsidR="00F0455C" w:rsidRPr="00C1603D">
        <w:t>seven</w:t>
      </w:r>
      <w:r w:rsidRPr="00C1603D">
        <w:t xml:space="preserve"> symptoms, </w:t>
      </w:r>
      <w:proofErr w:type="gramStart"/>
      <w:r w:rsidRPr="00C1603D">
        <w:t>17</w:t>
      </w:r>
      <w:proofErr w:type="gramEnd"/>
      <w:r w:rsidRPr="00C1603D">
        <w:t xml:space="preserve"> risk conditions and </w:t>
      </w:r>
      <w:r w:rsidR="00F0455C" w:rsidRPr="00C1603D">
        <w:t>one</w:t>
      </w:r>
      <w:r w:rsidRPr="00C1603D">
        <w:t xml:space="preserve"> family history (see </w:t>
      </w:r>
      <w:r w:rsidRPr="00C1603D">
        <w:rPr>
          <w:i/>
          <w:iCs/>
        </w:rPr>
        <w:t>Appendix 3</w:t>
      </w:r>
      <w:r w:rsidR="00F0455C" w:rsidRPr="00C1603D">
        <w:rPr>
          <w:color w:val="auto"/>
        </w:rPr>
        <w:t>,</w:t>
      </w:r>
      <w:r w:rsidRPr="00C1603D">
        <w:rPr>
          <w:color w:val="auto"/>
        </w:rPr>
        <w:t xml:space="preserve"> </w:t>
      </w:r>
      <w:r w:rsidRPr="00C1603D">
        <w:rPr>
          <w:i/>
          <w:color w:val="auto"/>
        </w:rPr>
        <w:t xml:space="preserve">Table </w:t>
      </w:r>
      <w:r w:rsidRPr="00C1603D">
        <w:rPr>
          <w:i/>
          <w:noProof/>
          <w:color w:val="auto"/>
        </w:rPr>
        <w:t>2</w:t>
      </w:r>
      <w:r w:rsidR="00AB50FC" w:rsidRPr="00C1603D">
        <w:rPr>
          <w:i/>
          <w:noProof/>
          <w:color w:val="auto"/>
        </w:rPr>
        <w:t>5</w:t>
      </w:r>
      <w:r w:rsidR="00F0455C" w:rsidRPr="00C1603D">
        <w:rPr>
          <w:iCs/>
          <w:noProof/>
          <w:color w:val="auto"/>
        </w:rPr>
        <w:t>,</w:t>
      </w:r>
      <w:r w:rsidRPr="00C1603D">
        <w:rPr>
          <w:color w:val="auto"/>
        </w:rPr>
        <w:t xml:space="preserve"> an</w:t>
      </w:r>
      <w:r w:rsidRPr="00C1603D">
        <w:t xml:space="preserve">d </w:t>
      </w:r>
      <w:r w:rsidRPr="00C1603D">
        <w:rPr>
          <w:i/>
          <w:iCs/>
        </w:rPr>
        <w:t xml:space="preserve">Appendix </w:t>
      </w:r>
      <w:r w:rsidRPr="00C1603D">
        <w:rPr>
          <w:i/>
          <w:iCs/>
          <w:color w:val="auto"/>
        </w:rPr>
        <w:t>4</w:t>
      </w:r>
      <w:r w:rsidR="00F0455C" w:rsidRPr="00C1603D">
        <w:rPr>
          <w:color w:val="auto"/>
        </w:rPr>
        <w:t>,</w:t>
      </w:r>
      <w:r w:rsidRPr="00C1603D">
        <w:rPr>
          <w:color w:val="auto"/>
        </w:rPr>
        <w:t xml:space="preserve"> </w:t>
      </w:r>
      <w:r w:rsidRPr="00C1603D">
        <w:rPr>
          <w:i/>
          <w:color w:val="auto"/>
        </w:rPr>
        <w:t>Table</w:t>
      </w:r>
      <w:r w:rsidR="00F0455C" w:rsidRPr="00C1603D">
        <w:rPr>
          <w:i/>
          <w:color w:val="auto"/>
        </w:rPr>
        <w:t>s</w:t>
      </w:r>
      <w:r w:rsidRPr="00C1603D">
        <w:rPr>
          <w:i/>
          <w:color w:val="auto"/>
        </w:rPr>
        <w:t xml:space="preserve"> </w:t>
      </w:r>
      <w:r w:rsidRPr="00C1603D">
        <w:rPr>
          <w:i/>
          <w:noProof/>
          <w:color w:val="auto"/>
        </w:rPr>
        <w:t>2</w:t>
      </w:r>
      <w:r w:rsidR="007C2375" w:rsidRPr="00C1603D">
        <w:rPr>
          <w:i/>
          <w:noProof/>
          <w:color w:val="auto"/>
        </w:rPr>
        <w:t>6</w:t>
      </w:r>
      <w:r w:rsidR="00F0455C" w:rsidRPr="00C1603D">
        <w:rPr>
          <w:i/>
          <w:color w:val="auto"/>
        </w:rPr>
        <w:t>–</w:t>
      </w:r>
      <w:r w:rsidRPr="00C1603D">
        <w:rPr>
          <w:i/>
          <w:noProof/>
          <w:color w:val="auto"/>
        </w:rPr>
        <w:t>5</w:t>
      </w:r>
      <w:r w:rsidR="007C2375" w:rsidRPr="00C1603D">
        <w:rPr>
          <w:i/>
          <w:noProof/>
          <w:color w:val="auto"/>
        </w:rPr>
        <w:t>1</w:t>
      </w:r>
      <w:r w:rsidRPr="00C1603D">
        <w:rPr>
          <w:color w:val="auto"/>
        </w:rPr>
        <w:t xml:space="preserve">). </w:t>
      </w:r>
      <w:r w:rsidR="00CB20CC" w:rsidRPr="00C1603D">
        <w:rPr>
          <w:color w:val="auto"/>
        </w:rPr>
        <w:t>Of the</w:t>
      </w:r>
      <w:r w:rsidRPr="00C1603D">
        <w:rPr>
          <w:color w:val="auto"/>
        </w:rPr>
        <w:t xml:space="preserve"> </w:t>
      </w:r>
      <w:r w:rsidRPr="00C1603D">
        <w:t>symptoms, the most reported diagnostic indicators were abdominal pain (</w:t>
      </w:r>
      <w:r w:rsidRPr="00C1603D">
        <w:rPr>
          <w:i/>
          <w:color w:val="00B0F0"/>
        </w:rPr>
        <w:t>n</w:t>
      </w:r>
      <w:r w:rsidRPr="00C1603D">
        <w:rPr>
          <w:color w:val="00B0F0"/>
        </w:rPr>
        <w:t> = </w:t>
      </w:r>
      <w:r w:rsidRPr="00C1603D">
        <w:t>12) and diarrhoea (</w:t>
      </w:r>
      <w:r w:rsidRPr="00C1603D">
        <w:rPr>
          <w:i/>
          <w:color w:val="00B0F0"/>
        </w:rPr>
        <w:t>n</w:t>
      </w:r>
      <w:r w:rsidRPr="00C1603D">
        <w:rPr>
          <w:color w:val="00B0F0"/>
        </w:rPr>
        <w:t> = </w:t>
      </w:r>
      <w:r w:rsidRPr="00C1603D">
        <w:t xml:space="preserve">12); </w:t>
      </w:r>
      <w:r w:rsidR="00CB20CC" w:rsidRPr="00C1603D">
        <w:t>of the</w:t>
      </w:r>
      <w:r w:rsidRPr="00C1603D">
        <w:t xml:space="preserve"> risk conditions, type 1 diabetes (</w:t>
      </w:r>
      <w:r w:rsidRPr="00C1603D">
        <w:rPr>
          <w:i/>
          <w:color w:val="00B0F0"/>
        </w:rPr>
        <w:t>n</w:t>
      </w:r>
      <w:r w:rsidRPr="00C1603D">
        <w:rPr>
          <w:color w:val="00B0F0"/>
        </w:rPr>
        <w:t> = </w:t>
      </w:r>
      <w:r w:rsidRPr="00C1603D">
        <w:t>31) and thyroid disease (</w:t>
      </w:r>
      <w:r w:rsidRPr="00C1603D">
        <w:rPr>
          <w:i/>
          <w:color w:val="00B0F0"/>
        </w:rPr>
        <w:t>n</w:t>
      </w:r>
      <w:r w:rsidRPr="00C1603D">
        <w:rPr>
          <w:color w:val="00B0F0"/>
        </w:rPr>
        <w:t> = </w:t>
      </w:r>
      <w:r w:rsidRPr="00C1603D">
        <w:t xml:space="preserve">23) were reported on by the highest number of studies. Studies investigating symptoms associated with CD </w:t>
      </w:r>
      <w:proofErr w:type="gramStart"/>
      <w:r w:rsidRPr="00C1603D">
        <w:t>predominantly used</w:t>
      </w:r>
      <w:proofErr w:type="gramEnd"/>
      <w:r w:rsidRPr="00C1603D">
        <w:t xml:space="preserve"> a cohort or cross-sectional design, using a serological test to detect CD. Studies looking at risk conditions </w:t>
      </w:r>
      <w:proofErr w:type="gramStart"/>
      <w:r w:rsidRPr="00C1603D">
        <w:t>mainly used</w:t>
      </w:r>
      <w:proofErr w:type="gramEnd"/>
      <w:r w:rsidRPr="00C1603D">
        <w:t xml:space="preserve"> </w:t>
      </w:r>
      <w:r w:rsidRPr="00C1603D">
        <w:rPr>
          <w:color w:val="00B0F0"/>
        </w:rPr>
        <w:t>case–</w:t>
      </w:r>
      <w:r w:rsidRPr="00C1603D">
        <w:rPr>
          <w:color w:val="00B0F0"/>
        </w:rPr>
        <w:lastRenderedPageBreak/>
        <w:t>control</w:t>
      </w:r>
      <w:r w:rsidRPr="00C1603D">
        <w:t xml:space="preserve"> designs, where</w:t>
      </w:r>
      <w:r w:rsidR="001453D2" w:rsidRPr="00C1603D">
        <w:t>by</w:t>
      </w:r>
      <w:r w:rsidRPr="00C1603D">
        <w:t xml:space="preserve"> people with the diagnostic indicator were compared </w:t>
      </w:r>
      <w:r w:rsidR="001453D2" w:rsidRPr="00C1603D">
        <w:t>with</w:t>
      </w:r>
      <w:r w:rsidRPr="00C1603D">
        <w:t xml:space="preserve"> a healthy control group without the diagnostic indicator. Most studies included adult participants, although many diagnostic indicators were also studied in a population of children or a mixed population.</w:t>
      </w:r>
    </w:p>
    <w:p w14:paraId="67367718" w14:textId="19D08FCD" w:rsidR="008B4DF8" w:rsidRPr="00C1603D" w:rsidRDefault="008B4DF8" w:rsidP="008B4DF8">
      <w:pPr>
        <w:pStyle w:val="602TextfoTextstylesTextstyles"/>
      </w:pPr>
      <w:r w:rsidRPr="00C1603D">
        <w:t xml:space="preserve">Although sample sizes for each meta-analysis ranged between 1004 and 55,500 participants, some meta-analyses were based on a small number of CD </w:t>
      </w:r>
      <w:r w:rsidR="00773C78" w:rsidRPr="00C1603D">
        <w:t>participants</w:t>
      </w:r>
      <w:r w:rsidRPr="00C1603D">
        <w:t>, as prevalence was often low. For instance, for multiple sclerosis and systemic lupus erythematosus</w:t>
      </w:r>
      <w:r w:rsidR="00773C78" w:rsidRPr="00C1603D">
        <w:t>,</w:t>
      </w:r>
      <w:r w:rsidRPr="00C1603D">
        <w:t xml:space="preserve"> estimates of sensitivity are based on only </w:t>
      </w:r>
      <w:proofErr w:type="gramStart"/>
      <w:r w:rsidRPr="00C1603D">
        <w:t>12</w:t>
      </w:r>
      <w:proofErr w:type="gramEnd"/>
      <w:r w:rsidRPr="00C1603D">
        <w:t xml:space="preserve"> and </w:t>
      </w:r>
      <w:r w:rsidR="00773C78" w:rsidRPr="00C1603D">
        <w:t>nine</w:t>
      </w:r>
      <w:r w:rsidRPr="00C1603D">
        <w:t xml:space="preserve"> people with CD, respectively.</w:t>
      </w:r>
    </w:p>
    <w:p w14:paraId="2F83D1D3" w14:textId="77777777" w:rsidR="008B4DF8" w:rsidRPr="00C1603D" w:rsidRDefault="008B4DF8" w:rsidP="008B4DF8">
      <w:pPr>
        <w:pStyle w:val="53BheadHeadingsHeadingstyles"/>
      </w:pPr>
      <w:bookmarkStart w:id="173" w:name="_Toc99539835"/>
      <w:bookmarkStart w:id="174" w:name="_Hlk86246315"/>
      <w:r w:rsidRPr="00C1603D">
        <w:t>Risk of bias</w:t>
      </w:r>
      <w:bookmarkEnd w:id="173"/>
    </w:p>
    <w:bookmarkEnd w:id="174"/>
    <w:p w14:paraId="6F155A06" w14:textId="78CF4EED" w:rsidR="008B4DF8" w:rsidRPr="00C1603D" w:rsidRDefault="008B4DF8" w:rsidP="008B4DF8">
      <w:pPr>
        <w:pStyle w:val="602TextfoTextstylesTextstyles"/>
      </w:pPr>
      <w:r w:rsidRPr="00C1603D">
        <w:t>Several studies reported more than one diagnostic indicator, resulting in 281 risk</w:t>
      </w:r>
      <w:r w:rsidR="00524364" w:rsidRPr="00C1603D">
        <w:t>-</w:t>
      </w:r>
      <w:r w:rsidRPr="00C1603D">
        <w:t>of</w:t>
      </w:r>
      <w:r w:rsidR="00524364" w:rsidRPr="00C1603D">
        <w:t>-</w:t>
      </w:r>
      <w:r w:rsidRPr="00C1603D">
        <w:t xml:space="preserve">bias judgements. Most studies had methodological issues, and only one study was judged </w:t>
      </w:r>
      <w:r w:rsidR="00DC7311" w:rsidRPr="00C1603D">
        <w:t xml:space="preserve">as having </w:t>
      </w:r>
      <w:r w:rsidRPr="00C1603D">
        <w:t>a low overall risk of bias (</w:t>
      </w:r>
      <w:r w:rsidR="00DC7311" w:rsidRPr="00C1603D">
        <w:t xml:space="preserve">see </w:t>
      </w:r>
      <w:r w:rsidRPr="00C1603D">
        <w:rPr>
          <w:i/>
          <w:iCs/>
        </w:rPr>
        <w:t>Appendix 5</w:t>
      </w:r>
      <w:r w:rsidR="00DC7311" w:rsidRPr="00C1603D">
        <w:rPr>
          <w:color w:val="auto"/>
        </w:rPr>
        <w:t>,</w:t>
      </w:r>
      <w:r w:rsidRPr="00C1603D">
        <w:rPr>
          <w:color w:val="auto"/>
        </w:rPr>
        <w:t xml:space="preserve"> </w:t>
      </w:r>
      <w:r w:rsidRPr="00C1603D">
        <w:rPr>
          <w:i/>
          <w:color w:val="auto"/>
        </w:rPr>
        <w:t xml:space="preserve">Figure </w:t>
      </w:r>
      <w:r w:rsidRPr="00C1603D">
        <w:rPr>
          <w:i/>
          <w:noProof/>
          <w:color w:val="auto"/>
        </w:rPr>
        <w:t>27</w:t>
      </w:r>
      <w:r w:rsidRPr="00C1603D">
        <w:rPr>
          <w:color w:val="auto"/>
        </w:rPr>
        <w:t>). I</w:t>
      </w:r>
      <w:r w:rsidRPr="00C1603D">
        <w:t>n total, only</w:t>
      </w:r>
      <w:r w:rsidRPr="00C1603D" w:rsidDel="00B46264">
        <w:t xml:space="preserve"> </w:t>
      </w:r>
      <w:proofErr w:type="gramStart"/>
      <w:r w:rsidRPr="00C1603D">
        <w:t>19</w:t>
      </w:r>
      <w:proofErr w:type="gramEnd"/>
      <w:r w:rsidRPr="00C1603D">
        <w:t xml:space="preserve"> study reports were judged </w:t>
      </w:r>
      <w:r w:rsidR="00DC7311" w:rsidRPr="00C1603D">
        <w:t xml:space="preserve">to be </w:t>
      </w:r>
      <w:r w:rsidRPr="00C1603D">
        <w:t xml:space="preserve">at low risk of bias regarding patient selection. The main source of potential bias in patient selection was the use of a </w:t>
      </w:r>
      <w:r w:rsidRPr="00C1603D">
        <w:rPr>
          <w:color w:val="00B0F0"/>
        </w:rPr>
        <w:t>case–control</w:t>
      </w:r>
      <w:r w:rsidRPr="00C1603D">
        <w:t xml:space="preserve"> study design. The index test domain was judged </w:t>
      </w:r>
      <w:r w:rsidR="00DC7311" w:rsidRPr="00C1603D">
        <w:t xml:space="preserve">to be </w:t>
      </w:r>
      <w:r w:rsidRPr="00C1603D">
        <w:t xml:space="preserve">at </w:t>
      </w:r>
      <w:proofErr w:type="gramStart"/>
      <w:r w:rsidRPr="00C1603D">
        <w:t>low risk</w:t>
      </w:r>
      <w:proofErr w:type="gramEnd"/>
      <w:r w:rsidRPr="00C1603D">
        <w:t xml:space="preserve"> of bias if it was the study</w:t>
      </w:r>
      <w:r w:rsidRPr="00C1603D">
        <w:rPr>
          <w:color w:val="00B0F0"/>
        </w:rPr>
        <w:t>’</w:t>
      </w:r>
      <w:r w:rsidRPr="00C1603D">
        <w:t>s main aim to investigate the diagnostic indicator of interest, which was the case for most studies. In total,</w:t>
      </w:r>
      <w:r w:rsidRPr="00C1603D" w:rsidDel="00C62C59">
        <w:t xml:space="preserve"> </w:t>
      </w:r>
      <w:r w:rsidRPr="00C1603D">
        <w:t xml:space="preserve">167 study reports on diagnostic indicators were judged </w:t>
      </w:r>
      <w:r w:rsidR="00DC7311" w:rsidRPr="00C1603D">
        <w:t xml:space="preserve">to </w:t>
      </w:r>
      <w:r w:rsidR="00F40534" w:rsidRPr="00C1603D">
        <w:t xml:space="preserve">have </w:t>
      </w:r>
      <w:proofErr w:type="gramStart"/>
      <w:r w:rsidRPr="00C1603D">
        <w:t>a high risk</w:t>
      </w:r>
      <w:proofErr w:type="gramEnd"/>
      <w:r w:rsidRPr="00C1603D">
        <w:t xml:space="preserve"> of bias for </w:t>
      </w:r>
      <w:r w:rsidR="00F40534" w:rsidRPr="00C1603D">
        <w:t xml:space="preserve">the </w:t>
      </w:r>
      <w:r w:rsidRPr="00C1603D">
        <w:t xml:space="preserve">reference standard. This was </w:t>
      </w:r>
      <w:proofErr w:type="gramStart"/>
      <w:r w:rsidRPr="00C1603D">
        <w:t>mainly driven</w:t>
      </w:r>
      <w:proofErr w:type="gramEnd"/>
      <w:r w:rsidRPr="00C1603D">
        <w:t xml:space="preserve"> by studies using serology tests without biopsy confirmation to determine whether </w:t>
      </w:r>
      <w:r w:rsidR="00F40534" w:rsidRPr="00C1603D">
        <w:t xml:space="preserve">or not </w:t>
      </w:r>
      <w:r w:rsidRPr="00C1603D">
        <w:t xml:space="preserve">participants had CD; this risks misclassifying participants as having or not having CD. Flow and timing were judged </w:t>
      </w:r>
      <w:r w:rsidR="00F40534" w:rsidRPr="00C1603D">
        <w:t xml:space="preserve">to be </w:t>
      </w:r>
      <w:r w:rsidRPr="00C1603D">
        <w:t xml:space="preserve">at </w:t>
      </w:r>
      <w:proofErr w:type="gramStart"/>
      <w:r w:rsidRPr="00C1603D">
        <w:t>high risk</w:t>
      </w:r>
      <w:proofErr w:type="gramEnd"/>
      <w:r w:rsidRPr="00C1603D">
        <w:t xml:space="preserve"> of bias in studies that did not use the same combination of diagnostic tests for CD </w:t>
      </w:r>
      <w:r w:rsidR="00F40534" w:rsidRPr="00C1603D">
        <w:t>for</w:t>
      </w:r>
      <w:r w:rsidRPr="00C1603D">
        <w:t xml:space="preserve"> all pa</w:t>
      </w:r>
      <w:r w:rsidR="00F40534" w:rsidRPr="00C1603D">
        <w:t>rticipa</w:t>
      </w:r>
      <w:r w:rsidRPr="00C1603D">
        <w:t>nts (reference standard)</w:t>
      </w:r>
      <w:r w:rsidR="00F40534" w:rsidRPr="00C1603D">
        <w:t>,</w:t>
      </w:r>
      <w:r w:rsidRPr="00C1603D">
        <w:t xml:space="preserve"> for example in studies </w:t>
      </w:r>
      <w:r w:rsidR="00F40534" w:rsidRPr="00C1603D">
        <w:t>in which</w:t>
      </w:r>
      <w:r w:rsidRPr="00C1603D">
        <w:t xml:space="preserve"> </w:t>
      </w:r>
      <w:r w:rsidR="00F40534" w:rsidRPr="00C1603D">
        <w:t xml:space="preserve">a </w:t>
      </w:r>
      <w:r w:rsidRPr="00C1603D">
        <w:t xml:space="preserve">biopsy was performed </w:t>
      </w:r>
      <w:r w:rsidR="00F40534" w:rsidRPr="00C1603D">
        <w:t xml:space="preserve">only </w:t>
      </w:r>
      <w:r w:rsidRPr="00C1603D">
        <w:t>in pa</w:t>
      </w:r>
      <w:r w:rsidR="00F40534" w:rsidRPr="00C1603D">
        <w:t>rticipa</w:t>
      </w:r>
      <w:r w:rsidRPr="00C1603D">
        <w:t>nts who had a positive serology test result.</w:t>
      </w:r>
    </w:p>
    <w:p w14:paraId="212B983C" w14:textId="77777777" w:rsidR="008B4DF8" w:rsidRPr="00C1603D" w:rsidRDefault="008B4DF8" w:rsidP="008B4DF8">
      <w:pPr>
        <w:pStyle w:val="53BheadHeadingsHeadingstyles"/>
      </w:pPr>
      <w:bookmarkStart w:id="175" w:name="_Toc99539836"/>
      <w:bookmarkStart w:id="176" w:name="_Hlk86246326"/>
      <w:r w:rsidRPr="00C1603D">
        <w:t>Accuracy of diagnostic indicators to detect coeliac disease</w:t>
      </w:r>
      <w:bookmarkEnd w:id="175"/>
    </w:p>
    <w:bookmarkEnd w:id="176"/>
    <w:p w14:paraId="207BF99C" w14:textId="141D0430" w:rsidR="008B4DF8" w:rsidRPr="00C1603D" w:rsidRDefault="008B4DF8" w:rsidP="008B4DF8">
      <w:pPr>
        <w:pStyle w:val="602TextfoTextstylesTextstyles"/>
      </w:pPr>
      <w:r w:rsidRPr="00C1603D">
        <w:t>We found large variation in sensitivity, specificity and PPV estimates between studies for most diagnostic indicators (</w:t>
      </w:r>
      <w:r w:rsidRPr="00C1603D">
        <w:rPr>
          <w:i/>
          <w:color w:val="FF0000"/>
        </w:rPr>
        <w:t xml:space="preserve">Figure </w:t>
      </w:r>
      <w:r w:rsidRPr="00C1603D">
        <w:rPr>
          <w:i/>
          <w:noProof/>
          <w:color w:val="FF0000"/>
        </w:rPr>
        <w:t>1</w:t>
      </w:r>
      <w:r w:rsidR="003C5DC0" w:rsidRPr="00C1603D">
        <w:t>)</w:t>
      </w:r>
      <w:r w:rsidRPr="00C1603D">
        <w:t xml:space="preserve"> </w:t>
      </w:r>
      <w:r w:rsidR="003C5DC0" w:rsidRPr="00C1603D">
        <w:t xml:space="preserve">(see </w:t>
      </w:r>
      <w:r w:rsidRPr="00C1603D">
        <w:rPr>
          <w:i/>
          <w:iCs/>
          <w:color w:val="auto"/>
        </w:rPr>
        <w:t>Appendix 6</w:t>
      </w:r>
      <w:r w:rsidR="00CD48A0" w:rsidRPr="00C1603D">
        <w:rPr>
          <w:color w:val="auto"/>
        </w:rPr>
        <w:t>,</w:t>
      </w:r>
      <w:r w:rsidRPr="00C1603D">
        <w:rPr>
          <w:color w:val="auto"/>
        </w:rPr>
        <w:t xml:space="preserve"> </w:t>
      </w:r>
      <w:r w:rsidRPr="00C1603D">
        <w:rPr>
          <w:i/>
          <w:color w:val="auto"/>
        </w:rPr>
        <w:t>Figures 28</w:t>
      </w:r>
      <w:r w:rsidR="00837D2F" w:rsidRPr="00C1603D">
        <w:rPr>
          <w:iCs/>
          <w:color w:val="auto"/>
        </w:rPr>
        <w:t>–</w:t>
      </w:r>
      <w:r w:rsidR="00837D2F" w:rsidRPr="00C1603D">
        <w:rPr>
          <w:i/>
          <w:color w:val="auto"/>
        </w:rPr>
        <w:t>51</w:t>
      </w:r>
      <w:r w:rsidR="00F4160C" w:rsidRPr="00C1603D">
        <w:rPr>
          <w:color w:val="auto"/>
        </w:rPr>
        <w:t xml:space="preserve">; see </w:t>
      </w:r>
      <w:r w:rsidR="00F4160C" w:rsidRPr="00C1603D">
        <w:t>also</w:t>
      </w:r>
      <w:r w:rsidRPr="00C1603D">
        <w:t xml:space="preserve"> </w:t>
      </w:r>
      <w:r w:rsidR="00DB7773" w:rsidRPr="00C1603D">
        <w:t>t</w:t>
      </w:r>
      <w:r w:rsidRPr="00C1603D">
        <w:t xml:space="preserve">able S2 and </w:t>
      </w:r>
      <w:r w:rsidR="00DB7773" w:rsidRPr="00C1603D">
        <w:t>f</w:t>
      </w:r>
      <w:r w:rsidRPr="00C1603D">
        <w:t>igure S1</w:t>
      </w:r>
      <w:r w:rsidR="00F4160C" w:rsidRPr="00C1603D">
        <w:t xml:space="preserve"> in </w:t>
      </w:r>
      <w:r w:rsidR="00F4160C" w:rsidRPr="00C1603D">
        <w:rPr>
          <w:i/>
          <w:iCs/>
        </w:rPr>
        <w:t>Report Supplementary Material 1</w:t>
      </w:r>
      <w:r w:rsidRPr="00C1603D">
        <w:t xml:space="preserve">). Estimates of sensitivity were particularly variable, often ranging from 0% to almost 100%, </w:t>
      </w:r>
      <w:r w:rsidR="008D0B71" w:rsidRPr="00C1603D">
        <w:t>owing</w:t>
      </w:r>
      <w:r w:rsidRPr="00C1603D">
        <w:t xml:space="preserve"> to </w:t>
      </w:r>
      <w:proofErr w:type="gramStart"/>
      <w:r w:rsidRPr="00C1603D">
        <w:t>very small</w:t>
      </w:r>
      <w:proofErr w:type="gramEnd"/>
      <w:r w:rsidRPr="00C1603D">
        <w:t xml:space="preserve"> numbers of CD pa</w:t>
      </w:r>
      <w:r w:rsidR="008D0B71" w:rsidRPr="00C1603D">
        <w:t>rticipa</w:t>
      </w:r>
      <w:r w:rsidRPr="00C1603D">
        <w:t>nts for some indicators.</w:t>
      </w:r>
    </w:p>
    <w:p w14:paraId="4F2397E8" w14:textId="2638F86E" w:rsidR="008B4DF8" w:rsidRPr="00C1603D" w:rsidRDefault="3CDEEDA7" w:rsidP="008B4DF8">
      <w:pPr>
        <w:pStyle w:val="81FigurelegendTableFigureBoxstyles"/>
      </w:pPr>
      <w:bookmarkStart w:id="177" w:name="_Toc99720782"/>
      <w:commentRangeStart w:id="178"/>
      <w:commentRangeStart w:id="179"/>
      <w:r w:rsidRPr="00C1603D">
        <w:rPr>
          <w:b/>
          <w:bCs/>
        </w:rPr>
        <w:t>FIGURE 1</w:t>
      </w:r>
      <w:r w:rsidRPr="00C1603D">
        <w:rPr>
          <w:b/>
          <w:bCs/>
        </w:rPr>
        <w:t> </w:t>
      </w:r>
      <w:r w:rsidRPr="00C1603D">
        <w:t>Sensitivity, specificity and PPVs</w:t>
      </w:r>
      <w:bookmarkEnd w:id="177"/>
      <w:r w:rsidRPr="00C1603D">
        <w:t xml:space="preserve">. Meta-analysis results </w:t>
      </w:r>
      <w:proofErr w:type="gramStart"/>
      <w:r w:rsidRPr="00C1603D">
        <w:t>are shown</w:t>
      </w:r>
      <w:proofErr w:type="gramEnd"/>
      <w:r w:rsidRPr="00C1603D">
        <w:t xml:space="preserve"> per diagnostic indicator. </w:t>
      </w:r>
      <w:commentRangeStart w:id="180"/>
      <w:commentRangeStart w:id="181"/>
      <w:r w:rsidRPr="00C1603D">
        <w:t xml:space="preserve">PPVs </w:t>
      </w:r>
      <w:proofErr w:type="gramStart"/>
      <w:r w:rsidRPr="00C1603D">
        <w:t>were calculated</w:t>
      </w:r>
      <w:proofErr w:type="gramEnd"/>
      <w:r w:rsidRPr="00C1603D">
        <w:t xml:space="preserve"> for a population with a CD prevalence of 1% (red dotted line) </w:t>
      </w:r>
      <w:commentRangeEnd w:id="180"/>
      <w:r w:rsidR="008B4DF8" w:rsidRPr="00C1603D">
        <w:commentReference w:id="180"/>
      </w:r>
      <w:commentRangeEnd w:id="181"/>
      <w:r w:rsidR="008B4DF8" w:rsidRPr="00C1603D">
        <w:commentReference w:id="181"/>
      </w:r>
      <w:commentRangeEnd w:id="178"/>
      <w:r w:rsidR="00783034" w:rsidRPr="00C1603D">
        <w:commentReference w:id="178"/>
      </w:r>
      <w:commentRangeEnd w:id="179"/>
      <w:r w:rsidRPr="00C1603D">
        <w:commentReference w:id="179"/>
      </w:r>
      <w:r w:rsidRPr="00C1603D">
        <w:t xml:space="preserve">using the estimated sensitivities and specificities from the meta-analyses. Diagnostic indicators </w:t>
      </w:r>
      <w:proofErr w:type="gramStart"/>
      <w:r w:rsidRPr="00C1603D">
        <w:t>are ordered</w:t>
      </w:r>
      <w:proofErr w:type="gramEnd"/>
      <w:r w:rsidRPr="00C1603D">
        <w:t xml:space="preserve"> from high to low PPV per diagnostic indicator group. The area of the box size is proportional to the total number of participants. Negative predictive values </w:t>
      </w:r>
      <w:proofErr w:type="gramStart"/>
      <w:r w:rsidRPr="00C1603D">
        <w:t>are not shown</w:t>
      </w:r>
      <w:proofErr w:type="gramEnd"/>
      <w:r w:rsidRPr="00C1603D">
        <w:t xml:space="preserve"> because these diagnostic indicators should not be used to rule out CD. FN, false negative; FP, false positive; TN, true negative; TP, true positive.</w:t>
      </w:r>
    </w:p>
    <w:p w14:paraId="23878F00" w14:textId="7BCD1F8C" w:rsidR="008B4DF8" w:rsidRPr="00C1603D" w:rsidRDefault="008B4DF8" w:rsidP="008B4DF8">
      <w:pPr>
        <w:pStyle w:val="602TextfoTextstylesTextstyles"/>
        <w:rPr>
          <w:color w:val="auto"/>
        </w:rPr>
      </w:pPr>
      <w:r w:rsidRPr="00C1603D">
        <w:t>The PPVs for the symptoms included in this review are similar to the baseline CD prevalence, with 95% CIs providing no evidence that the presence of any of these symptoms increases the chance that an individual has CD beyond the levels found in the general population (</w:t>
      </w:r>
      <w:r w:rsidR="002F2B36" w:rsidRPr="00C1603D">
        <w:t xml:space="preserve">see </w:t>
      </w:r>
      <w:r w:rsidRPr="00C1603D">
        <w:rPr>
          <w:i/>
          <w:color w:val="auto"/>
        </w:rPr>
        <w:t xml:space="preserve">Figure </w:t>
      </w:r>
      <w:r w:rsidRPr="00C1603D">
        <w:rPr>
          <w:i/>
          <w:noProof/>
          <w:color w:val="auto"/>
        </w:rPr>
        <w:t>1</w:t>
      </w:r>
      <w:r w:rsidRPr="00C1603D">
        <w:rPr>
          <w:color w:val="auto"/>
        </w:rPr>
        <w:t>).</w:t>
      </w:r>
    </w:p>
    <w:p w14:paraId="2285C62C" w14:textId="0B310B01" w:rsidR="008B4DF8" w:rsidRPr="00C1603D" w:rsidRDefault="008B4DF8" w:rsidP="008B4DF8">
      <w:pPr>
        <w:pStyle w:val="602TextfoTextstylesTextstyles"/>
      </w:pPr>
      <w:r w:rsidRPr="00C1603D">
        <w:t>Figure S1</w:t>
      </w:r>
      <w:r w:rsidR="002F2B36" w:rsidRPr="00C1603D">
        <w:t xml:space="preserve"> (see </w:t>
      </w:r>
      <w:r w:rsidR="002F2B36" w:rsidRPr="00C1603D">
        <w:rPr>
          <w:i/>
          <w:iCs/>
        </w:rPr>
        <w:t>Report Supplementary Material 1</w:t>
      </w:r>
      <w:r w:rsidR="002F2B36" w:rsidRPr="00C1603D">
        <w:t>)</w:t>
      </w:r>
      <w:r w:rsidRPr="00C1603D">
        <w:t xml:space="preserve"> shows meta-analysis results in </w:t>
      </w:r>
      <w:r w:rsidR="004C4B51" w:rsidRPr="00C1603D">
        <w:t>receiver operating characteristic (</w:t>
      </w:r>
      <w:r w:rsidRPr="00C1603D">
        <w:t>ROC</w:t>
      </w:r>
      <w:r w:rsidR="004C4B51" w:rsidRPr="00C1603D">
        <w:t>)</w:t>
      </w:r>
      <w:r w:rsidRPr="00C1603D">
        <w:t xml:space="preserve"> space. A diagnostic indicator with a </w:t>
      </w:r>
      <w:r w:rsidR="004C4B51" w:rsidRPr="00C1603D">
        <w:t>SROC</w:t>
      </w:r>
      <w:r w:rsidRPr="00C1603D">
        <w:t xml:space="preserve"> curve closely following the diagonal line is no better at predicting CD than a coin toss, which is </w:t>
      </w:r>
      <w:proofErr w:type="gramStart"/>
      <w:r w:rsidRPr="00C1603D">
        <w:t>approximately the</w:t>
      </w:r>
      <w:proofErr w:type="gramEnd"/>
      <w:r w:rsidRPr="00C1603D">
        <w:t xml:space="preserve"> case for all symptoms.</w:t>
      </w:r>
    </w:p>
    <w:p w14:paraId="0110514B" w14:textId="3376608F" w:rsidR="008B4DF8" w:rsidRPr="00C1603D" w:rsidRDefault="006C34A9" w:rsidP="008B4DF8">
      <w:pPr>
        <w:pStyle w:val="602TextfoTextstylesTextstyles"/>
        <w:rPr>
          <w:color w:val="auto"/>
        </w:rPr>
      </w:pPr>
      <w:r w:rsidRPr="00C1603D">
        <w:t>Of the</w:t>
      </w:r>
      <w:r w:rsidR="008B4DF8" w:rsidRPr="00C1603D">
        <w:t xml:space="preserve"> risk conditions, dermatitis herpetiformis had the highest estimated sensitivity, specificity and PPV (</w:t>
      </w:r>
      <w:r w:rsidR="008543C2" w:rsidRPr="00C1603D">
        <w:t xml:space="preserve">the </w:t>
      </w:r>
      <w:r w:rsidR="008B4DF8" w:rsidRPr="00C1603D">
        <w:t>estimated PPV at 1% prevalence of CD</w:t>
      </w:r>
      <w:r w:rsidR="008543C2" w:rsidRPr="00C1603D">
        <w:t xml:space="preserve"> was</w:t>
      </w:r>
      <w:r w:rsidR="008543C2" w:rsidRPr="00C1603D">
        <w:rPr>
          <w:color w:val="00B0F0"/>
        </w:rPr>
        <w:t xml:space="preserve"> </w:t>
      </w:r>
      <w:r w:rsidR="008B4DF8" w:rsidRPr="00C1603D">
        <w:t>29%, 95% CI 3</w:t>
      </w:r>
      <w:r w:rsidR="004E27F8" w:rsidRPr="00C1603D">
        <w:t>%</w:t>
      </w:r>
      <w:r w:rsidR="008B4DF8" w:rsidRPr="00C1603D">
        <w:t xml:space="preserve"> to 72%). However, the uncertainty around these estimates was substantial, </w:t>
      </w:r>
      <w:r w:rsidR="008543C2" w:rsidRPr="00C1603D">
        <w:t>that is the</w:t>
      </w:r>
      <w:r w:rsidR="008B4DF8" w:rsidRPr="00C1603D">
        <w:t xml:space="preserve"> 95% CI</w:t>
      </w:r>
      <w:r w:rsidR="008543C2" w:rsidRPr="00C1603D">
        <w:t>s</w:t>
      </w:r>
      <w:r w:rsidR="008B4DF8" w:rsidRPr="00C1603D">
        <w:t xml:space="preserve"> </w:t>
      </w:r>
      <w:r w:rsidR="008543C2" w:rsidRPr="00C1603D">
        <w:t>were</w:t>
      </w:r>
      <w:r w:rsidR="008B4DF8" w:rsidRPr="00C1603D">
        <w:t xml:space="preserve"> very wide. In addition, dermatitis herpetiformis is a rare condition, so it will be a clinically useful diagnostic indicator in</w:t>
      </w:r>
      <w:r w:rsidR="00595BF7" w:rsidRPr="00C1603D">
        <w:t xml:space="preserve"> only</w:t>
      </w:r>
      <w:r w:rsidR="008B4DF8" w:rsidRPr="00C1603D">
        <w:t xml:space="preserve"> a minority of cases. We estimated PPVs </w:t>
      </w:r>
      <w:r w:rsidR="00595BF7" w:rsidRPr="00C1603D">
        <w:t>of &gt; </w:t>
      </w:r>
      <w:r w:rsidR="008B4DF8" w:rsidRPr="00C1603D">
        <w:t xml:space="preserve">2% for migraine, anaemia, type 1 diabetes, osteoporosis and chronic liver disease. These estimates were </w:t>
      </w:r>
      <w:proofErr w:type="gramStart"/>
      <w:r w:rsidR="008B4DF8" w:rsidRPr="00C1603D">
        <w:t>relatively precise</w:t>
      </w:r>
      <w:proofErr w:type="gramEnd"/>
      <w:r w:rsidR="008B4DF8" w:rsidRPr="00C1603D">
        <w:t xml:space="preserve"> for anaemia, type 1 diabetes, osteoporosis and chronic liver disease</w:t>
      </w:r>
      <w:r w:rsidR="0050208D" w:rsidRPr="00C1603D">
        <w:t>,</w:t>
      </w:r>
      <w:r w:rsidR="008B4DF8" w:rsidRPr="00C1603D">
        <w:t xml:space="preserve"> but there was considerable uncertainty for migraine. People with thyroid disease, subfertility or recurrent pregnancy loss, or </w:t>
      </w:r>
      <w:r w:rsidR="00C82170" w:rsidRPr="00C1603D">
        <w:t>IBS</w:t>
      </w:r>
      <w:r w:rsidR="008B4DF8" w:rsidRPr="00C1603D">
        <w:t xml:space="preserve"> were 1.5</w:t>
      </w:r>
      <w:r w:rsidR="008B4DF8" w:rsidRPr="00C1603D">
        <w:rPr>
          <w:color w:val="00B0F0"/>
        </w:rPr>
        <w:t>–2</w:t>
      </w:r>
      <w:r w:rsidR="008B4DF8" w:rsidRPr="00C1603D">
        <w:t xml:space="preserve"> times more likely to have CD than the general population</w:t>
      </w:r>
      <w:r w:rsidR="0050208D" w:rsidRPr="00C1603D">
        <w:t>,</w:t>
      </w:r>
      <w:r w:rsidR="008B4DF8" w:rsidRPr="00C1603D">
        <w:t xml:space="preserve"> with 95% CIs lying entirely above the population prevalence of </w:t>
      </w:r>
      <w:r w:rsidR="008B4DF8" w:rsidRPr="00C1603D">
        <w:lastRenderedPageBreak/>
        <w:t xml:space="preserve">1%. Although the estimated PPVs of psoriasis, epilepsy, inflammatory bowel disease, systemic lupus erythematosus, fracture, arthritis and type 2 diabetes suggest an increased likelihood of CD </w:t>
      </w:r>
      <w:r w:rsidR="00DC2C29" w:rsidRPr="00C1603D">
        <w:t>among</w:t>
      </w:r>
      <w:r w:rsidR="008B4DF8" w:rsidRPr="00C1603D">
        <w:t xml:space="preserve"> people with these conditions, there was considerable uncertainty in these estimates. The 95% CIs crossed or touched the line of population prevalence, indicating that the likelihood of CD may be similar to that </w:t>
      </w:r>
      <w:r w:rsidR="005B5821" w:rsidRPr="00C1603D">
        <w:t>of</w:t>
      </w:r>
      <w:r w:rsidR="008B4DF8" w:rsidRPr="00C1603D">
        <w:t xml:space="preserve"> the general population. We found no evidence of an increased likelihood of CD </w:t>
      </w:r>
      <w:r w:rsidR="005B5821" w:rsidRPr="00C1603D">
        <w:t>among</w:t>
      </w:r>
      <w:r w:rsidR="008B4DF8" w:rsidRPr="00C1603D">
        <w:t xml:space="preserve"> people with multiple sclerosis (</w:t>
      </w:r>
      <w:r w:rsidR="005B5821" w:rsidRPr="00C1603D">
        <w:t xml:space="preserve">see </w:t>
      </w:r>
      <w:r w:rsidR="008B4DF8" w:rsidRPr="00C1603D">
        <w:rPr>
          <w:i/>
          <w:color w:val="auto"/>
        </w:rPr>
        <w:t xml:space="preserve">Figure </w:t>
      </w:r>
      <w:r w:rsidR="008B4DF8" w:rsidRPr="00C1603D">
        <w:rPr>
          <w:i/>
          <w:noProof/>
          <w:color w:val="auto"/>
        </w:rPr>
        <w:t>1</w:t>
      </w:r>
      <w:r w:rsidR="008B4DF8" w:rsidRPr="00C1603D">
        <w:rPr>
          <w:color w:val="auto"/>
        </w:rPr>
        <w:t>).</w:t>
      </w:r>
    </w:p>
    <w:p w14:paraId="6A0B4C69" w14:textId="560DFE68" w:rsidR="008B4DF8" w:rsidRPr="00C1603D" w:rsidRDefault="008B4DF8" w:rsidP="008B4DF8">
      <w:pPr>
        <w:pStyle w:val="602TextfoTextstylesTextstyles"/>
      </w:pPr>
      <w:r w:rsidRPr="00C1603D">
        <w:t xml:space="preserve">Similarly, arthritis, fracture and type 2 diabetes </w:t>
      </w:r>
      <w:proofErr w:type="gramStart"/>
      <w:r w:rsidRPr="00C1603D">
        <w:t>appear to have</w:t>
      </w:r>
      <w:proofErr w:type="gramEnd"/>
      <w:r w:rsidRPr="00C1603D">
        <w:t xml:space="preserve"> no diagnostic ability when judging sensitivity and specificity in ROC space (</w:t>
      </w:r>
      <w:r w:rsidR="00E32E50" w:rsidRPr="00C1603D">
        <w:t>see f</w:t>
      </w:r>
      <w:r w:rsidRPr="00C1603D">
        <w:t>igure S1</w:t>
      </w:r>
      <w:r w:rsidR="00E32E50" w:rsidRPr="00C1603D">
        <w:t xml:space="preserve"> in </w:t>
      </w:r>
      <w:r w:rsidR="00E32E50" w:rsidRPr="00C1603D">
        <w:rPr>
          <w:i/>
          <w:iCs/>
        </w:rPr>
        <w:t>Report Supplementary Material 1</w:t>
      </w:r>
      <w:r w:rsidRPr="00C1603D">
        <w:t>). For multiple sclerosis, systemic lupus erythematosus, psoriasis and inflammatory bowel disease</w:t>
      </w:r>
      <w:r w:rsidR="00E32E50" w:rsidRPr="00C1603D">
        <w:t>,</w:t>
      </w:r>
      <w:r w:rsidRPr="00C1603D">
        <w:t xml:space="preserve"> there was not enough evidence to estimate a </w:t>
      </w:r>
      <w:proofErr w:type="gramStart"/>
      <w:r w:rsidRPr="00C1603D">
        <w:t>reliable</w:t>
      </w:r>
      <w:proofErr w:type="gramEnd"/>
      <w:r w:rsidRPr="00C1603D">
        <w:t xml:space="preserve"> </w:t>
      </w:r>
      <w:r w:rsidR="004C4B51" w:rsidRPr="00C1603D">
        <w:t>SROC</w:t>
      </w:r>
      <w:r w:rsidRPr="00C1603D">
        <w:t xml:space="preserve"> curve. For chronic liver disease, epilepsy, migraine, </w:t>
      </w:r>
      <w:r w:rsidR="00C82170" w:rsidRPr="00C1603D">
        <w:t>IBS</w:t>
      </w:r>
      <w:r w:rsidRPr="00C1603D">
        <w:t>, and dermatitis herpetiformis</w:t>
      </w:r>
      <w:r w:rsidR="00093381" w:rsidRPr="00C1603D">
        <w:t>,</w:t>
      </w:r>
      <w:r w:rsidRPr="00C1603D">
        <w:t xml:space="preserve"> there was substantial uncertainty in summary estimates </w:t>
      </w:r>
      <w:r w:rsidR="00093381" w:rsidRPr="00C1603D">
        <w:t>because of</w:t>
      </w:r>
      <w:r w:rsidR="001154DD" w:rsidRPr="00C1603D">
        <w:t xml:space="preserve"> </w:t>
      </w:r>
      <w:proofErr w:type="gramStart"/>
      <w:r w:rsidR="001154DD" w:rsidRPr="00C1603D">
        <w:t>a</w:t>
      </w:r>
      <w:r w:rsidRPr="00C1603D">
        <w:t xml:space="preserve"> high</w:t>
      </w:r>
      <w:r w:rsidR="001154DD" w:rsidRPr="00C1603D">
        <w:t xml:space="preserve"> level</w:t>
      </w:r>
      <w:proofErr w:type="gramEnd"/>
      <w:r w:rsidR="001154DD" w:rsidRPr="00C1603D">
        <w:t xml:space="preserve"> of</w:t>
      </w:r>
      <w:r w:rsidRPr="00C1603D">
        <w:t xml:space="preserve"> variation between the study estimates. The </w:t>
      </w:r>
      <w:r w:rsidR="004C4B51" w:rsidRPr="00C1603D">
        <w:t>SROC</w:t>
      </w:r>
      <w:r w:rsidRPr="00C1603D">
        <w:t xml:space="preserve"> plots for type 1 diabetes, anaemia, subfertility or recurrent pregnancy loss, thyroid disease and osteoporosis suggest a </w:t>
      </w:r>
      <w:r w:rsidR="001154DD" w:rsidRPr="00C1603D">
        <w:t>greater</w:t>
      </w:r>
      <w:r w:rsidRPr="00C1603D">
        <w:t xml:space="preserve"> accuracy in predicting CD than a coin toss.</w:t>
      </w:r>
    </w:p>
    <w:p w14:paraId="4E7F51C1" w14:textId="4D241FD8" w:rsidR="008B4DF8" w:rsidRPr="00C1603D" w:rsidRDefault="008B4DF8" w:rsidP="008B4DF8">
      <w:pPr>
        <w:pStyle w:val="602TextfoTextstylesTextstyles"/>
      </w:pPr>
      <w:r w:rsidRPr="00C1603D">
        <w:t>People with a family history of CD were 2.7 (1.2</w:t>
      </w:r>
      <w:r w:rsidR="000E3005" w:rsidRPr="00C1603D">
        <w:t>–</w:t>
      </w:r>
      <w:r w:rsidRPr="00C1603D">
        <w:t>3.0%) more likely to have CD than the general population.</w:t>
      </w:r>
    </w:p>
    <w:p w14:paraId="057036DA" w14:textId="77777777" w:rsidR="008B4DF8" w:rsidRPr="00C1603D" w:rsidRDefault="008B4DF8" w:rsidP="008B4DF8">
      <w:pPr>
        <w:pStyle w:val="53BheadHeadingsHeadingstyles"/>
      </w:pPr>
      <w:bookmarkStart w:id="182" w:name="_Toc99539837"/>
      <w:r w:rsidRPr="00C1603D">
        <w:t>Subgroup and sensitivity analyses</w:t>
      </w:r>
      <w:bookmarkEnd w:id="182"/>
    </w:p>
    <w:p w14:paraId="3CF50597" w14:textId="20097827" w:rsidR="008B4DF8" w:rsidRPr="00C1603D" w:rsidRDefault="008B4DF8" w:rsidP="008B4DF8">
      <w:pPr>
        <w:pStyle w:val="602TextfoTextstylesTextstyles"/>
      </w:pPr>
      <w:r w:rsidRPr="00C1603D">
        <w:t>There were sufficient data on five diagnostic indicators to stratify the meta-analyses by age group (</w:t>
      </w:r>
      <w:r w:rsidR="006902C7" w:rsidRPr="00C1603D">
        <w:t xml:space="preserve">see </w:t>
      </w:r>
      <w:r w:rsidRPr="00C1603D">
        <w:rPr>
          <w:i/>
          <w:iCs/>
        </w:rPr>
        <w:t>Appendix 7</w:t>
      </w:r>
      <w:r w:rsidR="006902C7" w:rsidRPr="00C1603D">
        <w:rPr>
          <w:color w:val="auto"/>
        </w:rPr>
        <w:t>,</w:t>
      </w:r>
      <w:r w:rsidRPr="00C1603D">
        <w:rPr>
          <w:color w:val="auto"/>
        </w:rPr>
        <w:t xml:space="preserve"> </w:t>
      </w:r>
      <w:r w:rsidRPr="00C1603D">
        <w:rPr>
          <w:i/>
          <w:color w:val="auto"/>
        </w:rPr>
        <w:t xml:space="preserve">Figure </w:t>
      </w:r>
      <w:r w:rsidRPr="00C1603D">
        <w:rPr>
          <w:i/>
          <w:noProof/>
          <w:color w:val="auto"/>
        </w:rPr>
        <w:t>52</w:t>
      </w:r>
      <w:r w:rsidR="006902C7" w:rsidRPr="00C1603D">
        <w:rPr>
          <w:color w:val="auto"/>
        </w:rPr>
        <w:t>; see also</w:t>
      </w:r>
      <w:r w:rsidRPr="00C1603D">
        <w:rPr>
          <w:color w:val="auto"/>
        </w:rPr>
        <w:t xml:space="preserve"> </w:t>
      </w:r>
      <w:r w:rsidR="006902C7" w:rsidRPr="00C1603D">
        <w:rPr>
          <w:color w:val="auto"/>
        </w:rPr>
        <w:t>t</w:t>
      </w:r>
      <w:r w:rsidRPr="00C1603D">
        <w:t>able S3</w:t>
      </w:r>
      <w:r w:rsidR="006902C7" w:rsidRPr="00C1603D">
        <w:t xml:space="preserve"> in </w:t>
      </w:r>
      <w:r w:rsidR="006902C7" w:rsidRPr="00C1603D">
        <w:rPr>
          <w:i/>
          <w:iCs/>
        </w:rPr>
        <w:t>Report Supplementary Material 1</w:t>
      </w:r>
      <w:r w:rsidRPr="00C1603D">
        <w:t>). Estimated PPVs were similarly low</w:t>
      </w:r>
      <w:r w:rsidR="006902C7" w:rsidRPr="00C1603D">
        <w:t>,</w:t>
      </w:r>
      <w:r w:rsidRPr="00C1603D">
        <w:t xml:space="preserve"> </w:t>
      </w:r>
      <w:r w:rsidR="006902C7" w:rsidRPr="00C1603D">
        <w:t>at</w:t>
      </w:r>
      <w:r w:rsidRPr="00C1603D">
        <w:t xml:space="preserve"> around 1%</w:t>
      </w:r>
      <w:r w:rsidR="006902C7" w:rsidRPr="00C1603D">
        <w:t>,</w:t>
      </w:r>
      <w:r w:rsidRPr="00C1603D">
        <w:t xml:space="preserve"> for abdominal pain, arthritis, constipation and diarrhoea for adults and children. The results suggest that arthritis may be more predictive of CD in children than in adults, and abdominal pain and constipation may be more predictive </w:t>
      </w:r>
      <w:r w:rsidR="00F80221" w:rsidRPr="00C1603D">
        <w:t>of</w:t>
      </w:r>
      <w:r w:rsidRPr="00C1603D">
        <w:t xml:space="preserve"> CD in adults tha</w:t>
      </w:r>
      <w:r w:rsidR="00F80221" w:rsidRPr="00C1603D">
        <w:t>n</w:t>
      </w:r>
      <w:r w:rsidRPr="00C1603D">
        <w:t xml:space="preserve"> in children. The PPV </w:t>
      </w:r>
      <w:r w:rsidR="00F80221" w:rsidRPr="00C1603D">
        <w:t>for</w:t>
      </w:r>
      <w:r w:rsidRPr="00C1603D">
        <w:t xml:space="preserve"> type 1 diabetes appeared </w:t>
      </w:r>
      <w:r w:rsidR="00F80221" w:rsidRPr="00C1603D">
        <w:t xml:space="preserve">to be </w:t>
      </w:r>
      <w:r w:rsidRPr="00C1603D">
        <w:t xml:space="preserve">higher for adults </w:t>
      </w:r>
      <w:r w:rsidR="00F80221" w:rsidRPr="00C1603D">
        <w:t>[</w:t>
      </w:r>
      <w:r w:rsidRPr="00C1603D">
        <w:t>3.4% (95% CI 1.9</w:t>
      </w:r>
      <w:r w:rsidR="00F80221" w:rsidRPr="00C1603D">
        <w:t>%</w:t>
      </w:r>
      <w:r w:rsidRPr="00C1603D">
        <w:t xml:space="preserve"> to 5.6%)</w:t>
      </w:r>
      <w:r w:rsidR="00F80221" w:rsidRPr="00C1603D">
        <w:t>] than for</w:t>
      </w:r>
      <w:r w:rsidRPr="00C1603D">
        <w:t xml:space="preserve"> children or mixed populations </w:t>
      </w:r>
      <w:r w:rsidR="00F80221" w:rsidRPr="00C1603D">
        <w:t>[</w:t>
      </w:r>
      <w:r w:rsidRPr="00C1603D">
        <w:t>1.8% (</w:t>
      </w:r>
      <w:r w:rsidR="00F80221" w:rsidRPr="00C1603D">
        <w:t xml:space="preserve">95% CI </w:t>
      </w:r>
      <w:r w:rsidRPr="00C1603D">
        <w:t>1.4</w:t>
      </w:r>
      <w:r w:rsidR="00F80221" w:rsidRPr="00C1603D">
        <w:t>%</w:t>
      </w:r>
      <w:r w:rsidRPr="00C1603D">
        <w:t xml:space="preserve"> to 2.3%) and 2.1% (</w:t>
      </w:r>
      <w:r w:rsidR="00F80221" w:rsidRPr="00C1603D">
        <w:t xml:space="preserve">95% CI </w:t>
      </w:r>
      <w:r w:rsidRPr="00C1603D">
        <w:t>1.6</w:t>
      </w:r>
      <w:r w:rsidR="00F80221" w:rsidRPr="00C1603D">
        <w:t>%</w:t>
      </w:r>
      <w:r w:rsidRPr="00C1603D">
        <w:t xml:space="preserve"> to 2.9%)</w:t>
      </w:r>
      <w:r w:rsidR="00F80221" w:rsidRPr="00C1603D">
        <w:t>, respectively]</w:t>
      </w:r>
      <w:r w:rsidRPr="00C1603D">
        <w:t xml:space="preserve">. However, each of these differences should be interpreted with caution </w:t>
      </w:r>
      <w:r w:rsidR="00F80221" w:rsidRPr="00C1603D">
        <w:t>because the</w:t>
      </w:r>
      <w:r w:rsidRPr="00C1603D">
        <w:t xml:space="preserve"> CIs overlap.</w:t>
      </w:r>
    </w:p>
    <w:p w14:paraId="1EE434C5" w14:textId="3E6E98F9" w:rsidR="008B4DF8" w:rsidRPr="00C1603D" w:rsidRDefault="008B4DF8" w:rsidP="008B4DF8">
      <w:pPr>
        <w:pStyle w:val="602TextfoTextstylesTextstyles"/>
      </w:pPr>
      <w:r w:rsidRPr="00C1603D">
        <w:t xml:space="preserve">There were sufficient data on seven diagnostic indicators to stratify the analysis on CD diagnosis, comparing studies that used a serology-only approach </w:t>
      </w:r>
      <w:r w:rsidR="00F80221" w:rsidRPr="00C1603D">
        <w:t>with</w:t>
      </w:r>
      <w:r w:rsidRPr="00C1603D">
        <w:t xml:space="preserve"> studies that included a conf</w:t>
      </w:r>
      <w:r w:rsidR="006D6171" w:rsidRPr="00C1603D">
        <w:t>i</w:t>
      </w:r>
      <w:r w:rsidRPr="00C1603D">
        <w:t>rmation duodenal biopsy (</w:t>
      </w:r>
      <w:r w:rsidR="006902C7" w:rsidRPr="00C1603D">
        <w:t xml:space="preserve">see </w:t>
      </w:r>
      <w:r w:rsidR="006902C7" w:rsidRPr="00C1603D">
        <w:rPr>
          <w:i/>
          <w:iCs/>
        </w:rPr>
        <w:t>Appendix 7</w:t>
      </w:r>
      <w:r w:rsidR="006902C7" w:rsidRPr="00C1603D">
        <w:rPr>
          <w:color w:val="auto"/>
        </w:rPr>
        <w:t xml:space="preserve">, </w:t>
      </w:r>
      <w:r w:rsidR="006902C7" w:rsidRPr="00C1603D">
        <w:rPr>
          <w:i/>
          <w:color w:val="auto"/>
        </w:rPr>
        <w:t xml:space="preserve">Figure </w:t>
      </w:r>
      <w:r w:rsidR="006902C7" w:rsidRPr="00C1603D">
        <w:rPr>
          <w:i/>
          <w:noProof/>
          <w:color w:val="auto"/>
        </w:rPr>
        <w:t>52</w:t>
      </w:r>
      <w:r w:rsidR="006902C7" w:rsidRPr="00C1603D">
        <w:rPr>
          <w:color w:val="auto"/>
        </w:rPr>
        <w:t>; see also t</w:t>
      </w:r>
      <w:r w:rsidR="006902C7" w:rsidRPr="00C1603D">
        <w:t xml:space="preserve">able S3 in </w:t>
      </w:r>
      <w:r w:rsidR="006902C7" w:rsidRPr="00C1603D">
        <w:rPr>
          <w:i/>
          <w:iCs/>
        </w:rPr>
        <w:t>Report Supplementary Material 1</w:t>
      </w:r>
      <w:r w:rsidRPr="00C1603D">
        <w:t>). Estimated PPVs were similar between the subgroups.</w:t>
      </w:r>
    </w:p>
    <w:p w14:paraId="33C924E9" w14:textId="058A4BB7" w:rsidR="008B4DF8" w:rsidRPr="00C1603D" w:rsidRDefault="008B4DF8" w:rsidP="008B4DF8">
      <w:pPr>
        <w:pStyle w:val="602TextfoTextstylesTextstyles"/>
      </w:pPr>
      <w:r w:rsidRPr="00C1603D">
        <w:t>A sensitivity analysis was performed restricting to studies using a cohort or cross-section</w:t>
      </w:r>
      <w:r w:rsidR="000C064E" w:rsidRPr="00C1603D">
        <w:t>al</w:t>
      </w:r>
      <w:r w:rsidRPr="00C1603D">
        <w:t xml:space="preserve"> design for abdominal pain, anaemia, bloating or abdominal distension, constipation and diarrhoea (</w:t>
      </w:r>
      <w:r w:rsidR="000C064E" w:rsidRPr="00C1603D">
        <w:t xml:space="preserve">see </w:t>
      </w:r>
      <w:r w:rsidRPr="00C1603D">
        <w:rPr>
          <w:i/>
          <w:iCs/>
        </w:rPr>
        <w:t>Appendix 8</w:t>
      </w:r>
      <w:r w:rsidR="000C064E" w:rsidRPr="00C1603D">
        <w:t>,</w:t>
      </w:r>
      <w:r w:rsidRPr="00C1603D">
        <w:t xml:space="preserve"> </w:t>
      </w:r>
      <w:r w:rsidRPr="00C1603D">
        <w:rPr>
          <w:i/>
          <w:color w:val="auto"/>
        </w:rPr>
        <w:t xml:space="preserve">Figure </w:t>
      </w:r>
      <w:r w:rsidRPr="00C1603D">
        <w:rPr>
          <w:i/>
          <w:noProof/>
          <w:color w:val="auto"/>
        </w:rPr>
        <w:t>53</w:t>
      </w:r>
      <w:r w:rsidR="000C064E" w:rsidRPr="00C1603D">
        <w:rPr>
          <w:color w:val="auto"/>
        </w:rPr>
        <w:t>; see also</w:t>
      </w:r>
      <w:r w:rsidRPr="00C1603D">
        <w:rPr>
          <w:color w:val="auto"/>
        </w:rPr>
        <w:t xml:space="preserve"> </w:t>
      </w:r>
      <w:r w:rsidR="000C064E" w:rsidRPr="00C1603D">
        <w:rPr>
          <w:color w:val="auto"/>
        </w:rPr>
        <w:t>t</w:t>
      </w:r>
      <w:r w:rsidRPr="00C1603D">
        <w:t>able S4</w:t>
      </w:r>
      <w:r w:rsidR="000C064E" w:rsidRPr="00C1603D">
        <w:t xml:space="preserve"> in </w:t>
      </w:r>
      <w:r w:rsidR="000C064E" w:rsidRPr="00C1603D">
        <w:rPr>
          <w:i/>
          <w:iCs/>
        </w:rPr>
        <w:t>Report Supplementary Material 1</w:t>
      </w:r>
      <w:r w:rsidRPr="00C1603D">
        <w:t xml:space="preserve">). Although </w:t>
      </w:r>
      <w:r w:rsidRPr="00C1603D">
        <w:rPr>
          <w:color w:val="00B0F0"/>
        </w:rPr>
        <w:t>case–control</w:t>
      </w:r>
      <w:r w:rsidRPr="00C1603D">
        <w:t xml:space="preserve"> studies are more prone to bias than cohort studies, removing case</w:t>
      </w:r>
      <w:r w:rsidR="0002347B" w:rsidRPr="00C1603D">
        <w:t>–</w:t>
      </w:r>
      <w:r w:rsidRPr="00C1603D">
        <w:t xml:space="preserve">control studies did not affect the sensitivity, specificity or PPV estimates among these diagnostic indicators. It was not possible to perform a sensitivity analysis restricting to studies </w:t>
      </w:r>
      <w:r w:rsidR="0002347B" w:rsidRPr="00C1603D">
        <w:t xml:space="preserve">with </w:t>
      </w:r>
      <w:proofErr w:type="gramStart"/>
      <w:r w:rsidR="0002347B" w:rsidRPr="00C1603D">
        <w:t>a</w:t>
      </w:r>
      <w:r w:rsidRPr="00C1603D">
        <w:t xml:space="preserve"> low risk</w:t>
      </w:r>
      <w:proofErr w:type="gramEnd"/>
      <w:r w:rsidRPr="00C1603D">
        <w:t xml:space="preserve"> of bias, because all included studies were judged </w:t>
      </w:r>
      <w:r w:rsidR="009154B3" w:rsidRPr="00C1603D">
        <w:t xml:space="preserve">to be </w:t>
      </w:r>
      <w:r w:rsidRPr="00C1603D">
        <w:t xml:space="preserve">at </w:t>
      </w:r>
      <w:r w:rsidR="009154B3" w:rsidRPr="00C1603D">
        <w:t xml:space="preserve">an </w:t>
      </w:r>
      <w:r w:rsidRPr="00C1603D">
        <w:t>overall high risk of bias.</w:t>
      </w:r>
    </w:p>
    <w:p w14:paraId="4699D317" w14:textId="48E6EAC7" w:rsidR="008B4DF8" w:rsidRPr="00C1603D" w:rsidRDefault="008B4DF8" w:rsidP="008B4DF8">
      <w:pPr>
        <w:pStyle w:val="602TextfoTextstylesTextstyles"/>
      </w:pPr>
      <w:r w:rsidRPr="00C1603D">
        <w:t xml:space="preserve">Finally, a post hoc sensitivity analysis was performed on the diagnostic indicator </w:t>
      </w:r>
      <w:r w:rsidRPr="00C1603D">
        <w:rPr>
          <w:color w:val="00B0F0"/>
        </w:rPr>
        <w:t>‘</w:t>
      </w:r>
      <w:r w:rsidRPr="00C1603D">
        <w:t>family history of CD</w:t>
      </w:r>
      <w:proofErr w:type="gramStart"/>
      <w:r w:rsidRPr="00C1603D">
        <w:rPr>
          <w:color w:val="00B0F0"/>
        </w:rPr>
        <w:t>’</w:t>
      </w:r>
      <w:r w:rsidR="00C103D8" w:rsidRPr="00C1603D">
        <w:rPr>
          <w:color w:val="00B0F0"/>
        </w:rPr>
        <w:t>,</w:t>
      </w:r>
      <w:proofErr w:type="gramEnd"/>
      <w:r w:rsidRPr="00C1603D">
        <w:t xml:space="preserve"> restricting to studies that included</w:t>
      </w:r>
      <w:r w:rsidR="00C103D8" w:rsidRPr="00C1603D">
        <w:t xml:space="preserve"> only</w:t>
      </w:r>
      <w:r w:rsidRPr="00C1603D">
        <w:t xml:space="preserve"> first-degree relatives. This increased the estimated PPV from 2.7% (95% CI 1.2</w:t>
      </w:r>
      <w:r w:rsidR="00C103D8" w:rsidRPr="00C1603D">
        <w:t>%</w:t>
      </w:r>
      <w:r w:rsidRPr="00C1603D">
        <w:t xml:space="preserve"> to 3.9%) to 3.0% (</w:t>
      </w:r>
      <w:r w:rsidR="00C103D8" w:rsidRPr="00C1603D">
        <w:t xml:space="preserve">95% CI </w:t>
      </w:r>
      <w:r w:rsidRPr="00C1603D">
        <w:t>1.6</w:t>
      </w:r>
      <w:r w:rsidR="00C103D8" w:rsidRPr="00C1603D">
        <w:t>%</w:t>
      </w:r>
      <w:r w:rsidRPr="00C1603D">
        <w:t xml:space="preserve"> to 3.7%), although </w:t>
      </w:r>
      <w:r w:rsidR="000D5021" w:rsidRPr="00C1603D">
        <w:t>the</w:t>
      </w:r>
      <w:r w:rsidRPr="00C1603D">
        <w:t xml:space="preserve"> CIs overlap.</w:t>
      </w:r>
    </w:p>
    <w:p w14:paraId="46294A1B" w14:textId="77777777" w:rsidR="008B4DF8" w:rsidRPr="00C1603D" w:rsidRDefault="008B4DF8" w:rsidP="008B4DF8">
      <w:pPr>
        <w:pStyle w:val="43ChaptertitleHeadingsHeadingstyles"/>
      </w:pPr>
      <w:bookmarkStart w:id="183" w:name="_Toc99539838"/>
      <w:r w:rsidRPr="00C1603D">
        <w:lastRenderedPageBreak/>
        <w:t>Chapter 4</w:t>
      </w:r>
      <w:r w:rsidRPr="00C1603D">
        <w:t> </w:t>
      </w:r>
      <w:r w:rsidRPr="00C1603D">
        <w:t>Prediction rule for coeliac disease diagnosis</w:t>
      </w:r>
      <w:bookmarkEnd w:id="183"/>
    </w:p>
    <w:p w14:paraId="390CC76C" w14:textId="30E9853C" w:rsidR="008B4DF8" w:rsidRPr="00C1603D" w:rsidRDefault="008B4DF8" w:rsidP="008B4DF8">
      <w:pPr>
        <w:pStyle w:val="601TextdropcapTextstylesTextstyles"/>
      </w:pPr>
      <w:r w:rsidRPr="00C1603D">
        <w:t xml:space="preserve">This chapter describes the development and internal validation of diagnostic prediction models for men, women and children in a routinely collected primary care </w:t>
      </w:r>
      <w:r w:rsidRPr="00C1603D">
        <w:rPr>
          <w:color w:val="00B0F0"/>
        </w:rPr>
        <w:t>data set</w:t>
      </w:r>
      <w:r w:rsidRPr="00C1603D">
        <w:t xml:space="preserve"> to estimate the probability of having CD. We also describe the development of a model for children in a birth cohort, with external validation in the primary care </w:t>
      </w:r>
      <w:r w:rsidRPr="00C1603D">
        <w:rPr>
          <w:color w:val="00B0F0"/>
        </w:rPr>
        <w:t>data set</w:t>
      </w:r>
      <w:r w:rsidRPr="00C1603D">
        <w:t xml:space="preserve">. The aim of each prediction model is to help clinicians in primary care decide whether </w:t>
      </w:r>
      <w:r w:rsidR="00B85613" w:rsidRPr="00C1603D">
        <w:t xml:space="preserve">or not </w:t>
      </w:r>
      <w:r w:rsidRPr="00C1603D">
        <w:t xml:space="preserve">a patient should be offered a serological test for CD based on their pre-existing conditions and current/recent symptoms. To demonstrate the potential clinical usefulness of each model, we present the </w:t>
      </w:r>
      <w:r w:rsidR="00153D32" w:rsidRPr="00C1603D">
        <w:t>PPV</w:t>
      </w:r>
      <w:r w:rsidRPr="00C1603D">
        <w:t>s and percentage of CD patients missed at different thresholds.</w:t>
      </w:r>
    </w:p>
    <w:p w14:paraId="3A4B5D5D" w14:textId="77777777" w:rsidR="008B4DF8" w:rsidRPr="00C1603D" w:rsidRDefault="008B4DF8" w:rsidP="008B4DF8">
      <w:pPr>
        <w:pStyle w:val="52AheadHeadingsHeadingstyles"/>
      </w:pPr>
      <w:bookmarkStart w:id="184" w:name="_Toc99539839"/>
      <w:r w:rsidRPr="00C1603D">
        <w:t>Prediction modelling methods</w:t>
      </w:r>
      <w:bookmarkEnd w:id="184"/>
    </w:p>
    <w:p w14:paraId="78499E89" w14:textId="77777777" w:rsidR="008B4DF8" w:rsidRPr="00C1603D" w:rsidRDefault="008B4DF8" w:rsidP="008B4DF8">
      <w:pPr>
        <w:pStyle w:val="53BheadHeadingsHeadingstyles"/>
      </w:pPr>
      <w:bookmarkStart w:id="185" w:name="_Toc99539840"/>
      <w:r w:rsidRPr="00C1603D">
        <w:t>Protocol</w:t>
      </w:r>
      <w:bookmarkEnd w:id="185"/>
    </w:p>
    <w:p w14:paraId="3B53E13C" w14:textId="7ADE627E" w:rsidR="008B4DF8" w:rsidRPr="00C1603D" w:rsidRDefault="008B4DF8" w:rsidP="008B4DF8">
      <w:pPr>
        <w:pStyle w:val="602TextfoTextstylesTextstyles"/>
      </w:pPr>
      <w:r w:rsidRPr="00C1603D">
        <w:t>An analysis protocol was developed and published online.</w:t>
      </w:r>
      <w:r w:rsidRPr="00C1603D">
        <w:rPr>
          <w:noProof/>
          <w:vertAlign w:val="superscript"/>
        </w:rPr>
        <w:t>45</w:t>
      </w:r>
      <w:r w:rsidRPr="00C1603D">
        <w:t xml:space="preserve"> We followed methodological recommendations from Steyerberg.</w:t>
      </w:r>
      <w:r w:rsidRPr="00C1603D">
        <w:rPr>
          <w:noProof/>
          <w:vertAlign w:val="superscript"/>
        </w:rPr>
        <w:t>46</w:t>
      </w:r>
      <w:r w:rsidRPr="00C1603D">
        <w:t xml:space="preserve"> This chapter follows reporting guidelines for multivariable models described in the </w:t>
      </w:r>
      <w:r w:rsidR="00454DC0" w:rsidRPr="00C1603D">
        <w:t>Transparent Reporting of a multivariable prediction model for Individual Prognosis Or Diagnosis (</w:t>
      </w:r>
      <w:r w:rsidRPr="00C1603D">
        <w:t>TRIPOD</w:t>
      </w:r>
      <w:r w:rsidR="00454DC0" w:rsidRPr="00C1603D">
        <w:t>)</w:t>
      </w:r>
      <w:r w:rsidRPr="00C1603D">
        <w:t xml:space="preserve"> statement.</w:t>
      </w:r>
      <w:r w:rsidRPr="00C1603D">
        <w:rPr>
          <w:noProof/>
          <w:vertAlign w:val="superscript"/>
        </w:rPr>
        <w:t>47</w:t>
      </w:r>
    </w:p>
    <w:p w14:paraId="1BF49131" w14:textId="77777777" w:rsidR="008B4DF8" w:rsidRPr="00C1603D" w:rsidRDefault="008B4DF8" w:rsidP="008B4DF8">
      <w:pPr>
        <w:pStyle w:val="53BheadHeadingsHeadingstyles"/>
      </w:pPr>
      <w:bookmarkStart w:id="186" w:name="_Toc99539841"/>
      <w:r w:rsidRPr="00C1603D">
        <w:t>Model development</w:t>
      </w:r>
      <w:bookmarkEnd w:id="186"/>
    </w:p>
    <w:p w14:paraId="1072C8D7" w14:textId="77777777" w:rsidR="008B4DF8" w:rsidRPr="00C1603D" w:rsidRDefault="008B4DF8" w:rsidP="008B4DF8">
      <w:pPr>
        <w:pStyle w:val="54CheadHeadingsHeadingstyles"/>
      </w:pPr>
      <w:r w:rsidRPr="00C1603D">
        <w:t>Sources of data</w:t>
      </w:r>
    </w:p>
    <w:p w14:paraId="1E8F90E3" w14:textId="1A324539" w:rsidR="008B4DF8" w:rsidRPr="00C1603D" w:rsidRDefault="3CDEEDA7" w:rsidP="008B4DF8">
      <w:pPr>
        <w:pStyle w:val="602TextfoTextstylesTextstyles"/>
        <w:rPr>
          <w:vertAlign w:val="superscript"/>
        </w:rPr>
      </w:pPr>
      <w:r w:rsidRPr="00C1603D">
        <w:t>Model development was performed in Clinical Practice Research Datalink (CPRD) GOLD.</w:t>
      </w:r>
      <w:r w:rsidRPr="00C1603D">
        <w:rPr>
          <w:noProof/>
          <w:vertAlign w:val="superscript"/>
        </w:rPr>
        <w:t>48</w:t>
      </w:r>
      <w:r w:rsidRPr="00C1603D">
        <w:t xml:space="preserve"> CPRD GOLD contains anonymised patient electronic health records collected from UK general practices using the Vision</w:t>
      </w:r>
      <w:r w:rsidRPr="00C1603D">
        <w:rPr>
          <w:vertAlign w:val="superscript"/>
        </w:rPr>
        <w:t>®</w:t>
      </w:r>
      <w:r w:rsidRPr="00C1603D">
        <w:t xml:space="preserve"> software system (In Practice Systems Ltd, London, UK), with &gt; 20 million </w:t>
      </w:r>
      <w:r w:rsidRPr="00C1603D">
        <w:rPr>
          <w:color w:val="00B0F0"/>
        </w:rPr>
        <w:t>‘</w:t>
      </w:r>
      <w:r w:rsidRPr="00C1603D">
        <w:t>acceptable</w:t>
      </w:r>
      <w:r w:rsidRPr="00C1603D">
        <w:rPr>
          <w:color w:val="00B0F0"/>
        </w:rPr>
        <w:t>’</w:t>
      </w:r>
      <w:r w:rsidRPr="00C1603D">
        <w:t xml:space="preserve"> patients currently (with research quality data based on CPRD metrics), of whom 9 million are eligible for linkage with hospital records and national statistics.</w:t>
      </w:r>
      <w:r w:rsidRPr="00C1603D">
        <w:rPr>
          <w:noProof/>
          <w:vertAlign w:val="superscript"/>
        </w:rPr>
        <w:t>48,49</w:t>
      </w:r>
      <w:r w:rsidRPr="00C1603D">
        <w:t xml:space="preserve"> The included patients are broadly representative of the UK general population regarding age, sex and ethnicity. The CPRD GOLD </w:t>
      </w:r>
      <w:r w:rsidRPr="00C1603D">
        <w:rPr>
          <w:color w:val="00B0F0"/>
        </w:rPr>
        <w:t>data set</w:t>
      </w:r>
      <w:r w:rsidRPr="00C1603D">
        <w:t xml:space="preserve"> was linked to Hospital Episode Statistics (HES) and the </w:t>
      </w:r>
      <w:commentRangeStart w:id="187"/>
      <w:commentRangeStart w:id="188"/>
      <w:r w:rsidRPr="00C1603D">
        <w:t>2019 English Index of Multiple Deprivation (IMD).</w:t>
      </w:r>
      <w:r w:rsidRPr="00C1603D">
        <w:rPr>
          <w:vertAlign w:val="superscript"/>
        </w:rPr>
        <w:t>600</w:t>
      </w:r>
      <w:commentRangeEnd w:id="187"/>
      <w:r w:rsidR="008B4DF8" w:rsidRPr="00C1603D">
        <w:commentReference w:id="187"/>
      </w:r>
      <w:commentRangeEnd w:id="188"/>
      <w:r w:rsidR="008B4DF8" w:rsidRPr="00C1603D">
        <w:commentReference w:id="188"/>
      </w:r>
    </w:p>
    <w:p w14:paraId="04B61176" w14:textId="19360ADA" w:rsidR="008B4DF8" w:rsidRPr="00C1603D" w:rsidRDefault="008B4DF8" w:rsidP="008B4DF8">
      <w:pPr>
        <w:pStyle w:val="602TextfoTextstylesTextstyles"/>
        <w:rPr>
          <w:lang w:eastAsia="en-GB"/>
        </w:rPr>
      </w:pPr>
      <w:r w:rsidRPr="00C1603D">
        <w:t xml:space="preserve">The target population included permanently registered </w:t>
      </w:r>
      <w:r w:rsidRPr="00C1603D">
        <w:rPr>
          <w:color w:val="00B0F0"/>
        </w:rPr>
        <w:t>‘</w:t>
      </w:r>
      <w:r w:rsidRPr="00C1603D">
        <w:t>acceptable</w:t>
      </w:r>
      <w:r w:rsidRPr="00C1603D">
        <w:rPr>
          <w:color w:val="00B0F0"/>
        </w:rPr>
        <w:t>’</w:t>
      </w:r>
      <w:r w:rsidRPr="00C1603D">
        <w:t xml:space="preserve"> patients</w:t>
      </w:r>
      <w:r w:rsidR="00DB405B" w:rsidRPr="00C1603D">
        <w:t>,</w:t>
      </w:r>
      <w:r w:rsidRPr="00C1603D">
        <w:t xml:space="preserve"> and only up-to-standard (UTS) follow-up time was considered. UTS is a practice-based quality metric based on the continuity of recording and the number of recorded deaths.</w:t>
      </w:r>
      <w:r w:rsidRPr="00C1603D">
        <w:rPr>
          <w:noProof/>
          <w:vertAlign w:val="superscript"/>
        </w:rPr>
        <w:t>48</w:t>
      </w:r>
      <w:r w:rsidR="00DB405B" w:rsidRPr="00C1603D">
        <w:rPr>
          <w:noProof/>
        </w:rPr>
        <w:t xml:space="preserve"> </w:t>
      </w:r>
      <w:r w:rsidRPr="00C1603D">
        <w:t xml:space="preserve">Patients from </w:t>
      </w:r>
      <w:proofErr w:type="gramStart"/>
      <w:r w:rsidR="00120ADA" w:rsidRPr="00C1603D">
        <w:t>general practice</w:t>
      </w:r>
      <w:r w:rsidRPr="00C1603D">
        <w:t>s</w:t>
      </w:r>
      <w:proofErr w:type="gramEnd"/>
      <w:r w:rsidRPr="00C1603D">
        <w:t xml:space="preserve"> that were UTS for at least 12 months prior to diagnosis were included.</w:t>
      </w:r>
    </w:p>
    <w:p w14:paraId="57C889CC" w14:textId="008E0F71" w:rsidR="008B4DF8" w:rsidRPr="00C1603D" w:rsidRDefault="008B4DF8" w:rsidP="008B4DF8">
      <w:pPr>
        <w:pStyle w:val="602TextfoTextstylesTextstyles"/>
      </w:pPr>
      <w:r w:rsidRPr="00C1603D">
        <w:t>The follow-up period was defined as the time between the study start and end date</w:t>
      </w:r>
      <w:r w:rsidR="00E3114E" w:rsidRPr="00C1603D">
        <w:t>s.</w:t>
      </w:r>
      <w:r w:rsidRPr="00C1603D">
        <w:t xml:space="preserve"> </w:t>
      </w:r>
      <w:r w:rsidR="00E3114E" w:rsidRPr="00C1603D">
        <w:t>T</w:t>
      </w:r>
      <w:r w:rsidRPr="00C1603D">
        <w:t>he study start was the latest of the start of linked data coverage, the date of patient registration with the practice and the UTS date of that practice; the study end was the earliest of the last date for linked data, the date of patient transfer-out from practice, the date of patient</w:t>
      </w:r>
      <w:r w:rsidRPr="00C1603D">
        <w:rPr>
          <w:color w:val="00B0F0"/>
        </w:rPr>
        <w:t>’</w:t>
      </w:r>
      <w:r w:rsidRPr="00C1603D">
        <w:t>s death (according to CPRD death date) or the last date of data collection from that practice.</w:t>
      </w:r>
    </w:p>
    <w:p w14:paraId="435B3E36" w14:textId="77777777" w:rsidR="008B4DF8" w:rsidRPr="00C1603D" w:rsidRDefault="008B4DF8" w:rsidP="008B4DF8">
      <w:pPr>
        <w:pStyle w:val="54CheadHeadingsHeadingstyles"/>
      </w:pPr>
      <w:r w:rsidRPr="00C1603D">
        <w:t>Study design</w:t>
      </w:r>
    </w:p>
    <w:p w14:paraId="1E6E7510" w14:textId="19A5E503" w:rsidR="008B4DF8" w:rsidRPr="00C1603D" w:rsidRDefault="008B4DF8" w:rsidP="008B4DF8">
      <w:pPr>
        <w:pStyle w:val="602TextfoTextstylesTextstyles"/>
      </w:pPr>
      <w:r w:rsidRPr="00C1603D">
        <w:t xml:space="preserve">We used a nested </w:t>
      </w:r>
      <w:r w:rsidRPr="00C1603D">
        <w:rPr>
          <w:color w:val="00B0F0"/>
        </w:rPr>
        <w:t>case–control</w:t>
      </w:r>
      <w:r w:rsidRPr="00C1603D">
        <w:t xml:space="preserve"> design. Cases were defined as individuals with one or more clinical codes related to CD.</w:t>
      </w:r>
      <w:r w:rsidRPr="00C1603D">
        <w:rPr>
          <w:noProof/>
          <w:vertAlign w:val="superscript"/>
        </w:rPr>
        <w:t>4</w:t>
      </w:r>
      <w:r w:rsidRPr="00C1603D">
        <w:t xml:space="preserve"> Table S5</w:t>
      </w:r>
      <w:r w:rsidR="009F423E" w:rsidRPr="00C1603D">
        <w:t xml:space="preserve"> (see </w:t>
      </w:r>
      <w:r w:rsidR="009F423E" w:rsidRPr="00C1603D">
        <w:rPr>
          <w:i/>
          <w:iCs/>
        </w:rPr>
        <w:t>Report Supplementary Material 1</w:t>
      </w:r>
      <w:r w:rsidR="009F423E" w:rsidRPr="00C1603D">
        <w:t>)</w:t>
      </w:r>
      <w:r w:rsidRPr="00C1603D">
        <w:t xml:space="preserve"> shows the Read </w:t>
      </w:r>
      <w:r w:rsidR="00436696" w:rsidRPr="00C1603D">
        <w:t>c</w:t>
      </w:r>
      <w:r w:rsidRPr="00C1603D">
        <w:t xml:space="preserve">odes and </w:t>
      </w:r>
      <w:r w:rsidR="008903C4" w:rsidRPr="00C1603D">
        <w:t xml:space="preserve">medcodes </w:t>
      </w:r>
      <w:r w:rsidRPr="00C1603D">
        <w:t xml:space="preserve">used to identify patients with CD in </w:t>
      </w:r>
      <w:r w:rsidR="00C20CA0" w:rsidRPr="00C1603D">
        <w:t>CPRD GOLD</w:t>
      </w:r>
      <w:r w:rsidRPr="00C1603D">
        <w:t xml:space="preserve">. Read </w:t>
      </w:r>
      <w:r w:rsidR="005255C1" w:rsidRPr="00C1603D">
        <w:t>c</w:t>
      </w:r>
      <w:r w:rsidRPr="00C1603D">
        <w:t>odes are a coded thesaurus of clinical terms, which have been used in the NHS since 1985. Med</w:t>
      </w:r>
      <w:r w:rsidR="005255C1" w:rsidRPr="00C1603D">
        <w:t>c</w:t>
      </w:r>
      <w:r w:rsidRPr="00C1603D">
        <w:t xml:space="preserve">odes are specific to </w:t>
      </w:r>
      <w:r w:rsidR="00C20CA0" w:rsidRPr="00C1603D">
        <w:t>CPRD GOLD</w:t>
      </w:r>
      <w:r w:rsidRPr="00C1603D">
        <w:t xml:space="preserve">. Cases with a diagnosis </w:t>
      </w:r>
      <w:r w:rsidR="005C008B" w:rsidRPr="00C1603D">
        <w:t>of</w:t>
      </w:r>
      <w:r w:rsidRPr="00C1603D">
        <w:t xml:space="preserve"> dermatitis herpetiformis were included, but not </w:t>
      </w:r>
      <w:r w:rsidR="005C008B" w:rsidRPr="00C1603D">
        <w:t xml:space="preserve">those </w:t>
      </w:r>
      <w:r w:rsidRPr="00C1603D">
        <w:t xml:space="preserve">with dermatitis herpetiformis alone. We assigned a date of diagnosis (the </w:t>
      </w:r>
      <w:r w:rsidRPr="00C1603D">
        <w:rPr>
          <w:color w:val="00B0F0"/>
        </w:rPr>
        <w:t>‘</w:t>
      </w:r>
      <w:r w:rsidRPr="00C1603D">
        <w:t>index date</w:t>
      </w:r>
      <w:r w:rsidRPr="00C1603D">
        <w:rPr>
          <w:color w:val="00B0F0"/>
        </w:rPr>
        <w:t>’</w:t>
      </w:r>
      <w:r w:rsidRPr="00C1603D">
        <w:t>) to each case corresponding to the date of their first record of CD. For cases with more than one CD code, the earliest was considered as the date of disease diagnosis. All CD cases within the target population were included.</w:t>
      </w:r>
    </w:p>
    <w:p w14:paraId="0E8D9951" w14:textId="006C2C11" w:rsidR="008B4DF8" w:rsidRPr="00C1603D" w:rsidRDefault="008B4DF8" w:rsidP="008B4DF8">
      <w:pPr>
        <w:pStyle w:val="602TextfoTextstylesTextstyles"/>
      </w:pPr>
      <w:r w:rsidRPr="00C1603D">
        <w:lastRenderedPageBreak/>
        <w:t>All remaining patients in the target population (individuals without any of the CD codes) were selected as potential controls. From these, we excluded patients with a record of gluten-free prescriptions, dermatitis herpetiformis or gluten sensitivity diagnosis to reduce the risk of including undiagnosed CD patients in the control group.</w:t>
      </w:r>
      <w:r w:rsidRPr="00C1603D">
        <w:rPr>
          <w:noProof/>
          <w:vertAlign w:val="superscript"/>
        </w:rPr>
        <w:t>4,50,51</w:t>
      </w:r>
    </w:p>
    <w:p w14:paraId="693F7C3C" w14:textId="205B547E" w:rsidR="008B4DF8" w:rsidRPr="00C1603D" w:rsidRDefault="008B4DF8" w:rsidP="008B4DF8">
      <w:pPr>
        <w:pStyle w:val="602TextfoTextstylesTextstyles"/>
      </w:pPr>
      <w:r w:rsidRPr="00C1603D">
        <w:t>Cases and controls were matched using a 1</w:t>
      </w:r>
      <w:r w:rsidR="005C008B" w:rsidRPr="00C1603D">
        <w:t> </w:t>
      </w:r>
      <w:r w:rsidRPr="00C1603D">
        <w:t>:</w:t>
      </w:r>
      <w:r w:rsidR="005C008B" w:rsidRPr="00C1603D">
        <w:t> </w:t>
      </w:r>
      <w:r w:rsidRPr="00C1603D">
        <w:t>4 ratio on age group (age</w:t>
      </w:r>
      <w:r w:rsidR="00296384" w:rsidRPr="00C1603D">
        <w:t xml:space="preserve">d </w:t>
      </w:r>
      <w:r w:rsidRPr="00C1603D">
        <w:rPr>
          <w:color w:val="00B0F0"/>
        </w:rPr>
        <w:t>&lt; 1</w:t>
      </w:r>
      <w:r w:rsidRPr="00C1603D">
        <w:t xml:space="preserve">8 </w:t>
      </w:r>
      <w:r w:rsidR="00296384" w:rsidRPr="00C1603D">
        <w:t>or</w:t>
      </w:r>
      <w:r w:rsidRPr="00C1603D">
        <w:t xml:space="preserve"> </w:t>
      </w:r>
      <w:r w:rsidRPr="00C1603D">
        <w:rPr>
          <w:color w:val="00B0F0"/>
        </w:rPr>
        <w:t>≥ 1</w:t>
      </w:r>
      <w:r w:rsidRPr="00C1603D">
        <w:t>8</w:t>
      </w:r>
      <w:r w:rsidR="00296384" w:rsidRPr="00C1603D">
        <w:t xml:space="preserve"> years</w:t>
      </w:r>
      <w:r w:rsidRPr="00C1603D">
        <w:t xml:space="preserve">), </w:t>
      </w:r>
      <w:r w:rsidR="00120ADA" w:rsidRPr="00C1603D">
        <w:t>general practice</w:t>
      </w:r>
      <w:r w:rsidRPr="00C1603D">
        <w:t xml:space="preserve"> and availability of linkages. Controls inherited the index date of their matched case</w:t>
      </w:r>
      <w:r w:rsidR="00296384" w:rsidRPr="00C1603D">
        <w:t>,</w:t>
      </w:r>
      <w:r w:rsidRPr="00C1603D">
        <w:t xml:space="preserve"> and follow-up time between the case</w:t>
      </w:r>
      <w:r w:rsidRPr="00C1603D">
        <w:rPr>
          <w:color w:val="00B0F0"/>
        </w:rPr>
        <w:t>’</w:t>
      </w:r>
      <w:r w:rsidRPr="00C1603D">
        <w:t xml:space="preserve">s start and end dates </w:t>
      </w:r>
      <w:r w:rsidR="00296384" w:rsidRPr="00C1603D">
        <w:t xml:space="preserve">only </w:t>
      </w:r>
      <w:r w:rsidRPr="00C1603D">
        <w:t>was considered. We matched by age group (adult vs</w:t>
      </w:r>
      <w:r w:rsidR="00296384" w:rsidRPr="00C1603D">
        <w:t>.</w:t>
      </w:r>
      <w:r w:rsidRPr="00C1603D">
        <w:t xml:space="preserve"> child) to ensure </w:t>
      </w:r>
      <w:r w:rsidR="00296384" w:rsidRPr="00C1603D">
        <w:t xml:space="preserve">that </w:t>
      </w:r>
      <w:r w:rsidRPr="00C1603D">
        <w:t>there were sufficient child controls to allow an efficient study design.</w:t>
      </w:r>
    </w:p>
    <w:p w14:paraId="438DF266" w14:textId="6AC51B0C" w:rsidR="008B4DF8" w:rsidRPr="00C1603D" w:rsidRDefault="008B4DF8" w:rsidP="008B4DF8">
      <w:pPr>
        <w:pStyle w:val="602TextfoTextstylesTextstyles"/>
      </w:pPr>
      <w:r w:rsidRPr="00C1603D">
        <w:t xml:space="preserve">The </w:t>
      </w:r>
      <w:r w:rsidRPr="00C1603D">
        <w:rPr>
          <w:color w:val="00B0F0"/>
        </w:rPr>
        <w:t>data set</w:t>
      </w:r>
      <w:r w:rsidRPr="00C1603D">
        <w:t xml:space="preserve"> was split into separate </w:t>
      </w:r>
      <w:r w:rsidRPr="00C1603D">
        <w:rPr>
          <w:color w:val="00B0F0"/>
        </w:rPr>
        <w:t>data set</w:t>
      </w:r>
      <w:r w:rsidRPr="00C1603D">
        <w:t xml:space="preserve">s for children, women and men to develop three separate diagnostic prediction models. The next steps describing model development were performed separately for each </w:t>
      </w:r>
      <w:r w:rsidRPr="00C1603D">
        <w:rPr>
          <w:color w:val="00B0F0"/>
        </w:rPr>
        <w:t>data set</w:t>
      </w:r>
      <w:r w:rsidRPr="00C1603D">
        <w:t>.</w:t>
      </w:r>
    </w:p>
    <w:p w14:paraId="3798FC69" w14:textId="07D5D273" w:rsidR="008B4DF8" w:rsidRPr="00C1603D" w:rsidRDefault="008B4DF8" w:rsidP="008B4DF8">
      <w:pPr>
        <w:pStyle w:val="602TextfoTextstylesTextstyles"/>
      </w:pPr>
      <w:r w:rsidRPr="00C1603D">
        <w:t>We performed descriptive analyses of all variables and tested the statistical difference between cases and controls using Welch</w:t>
      </w:r>
      <w:r w:rsidR="00B2440F" w:rsidRPr="00C1603D">
        <w:t>’s</w:t>
      </w:r>
      <w:r w:rsidRPr="00C1603D">
        <w:t xml:space="preserve"> </w:t>
      </w:r>
      <w:r w:rsidR="00303857" w:rsidRPr="00C1603D">
        <w:t xml:space="preserve">two-sample </w:t>
      </w:r>
      <w:r w:rsidRPr="00C1603D">
        <w:rPr>
          <w:i/>
          <w:iCs/>
        </w:rPr>
        <w:t>t</w:t>
      </w:r>
      <w:r w:rsidRPr="00C1603D">
        <w:t xml:space="preserve">-test for continuous </w:t>
      </w:r>
      <w:r w:rsidR="00303857" w:rsidRPr="00C1603D">
        <w:t xml:space="preserve">variables </w:t>
      </w:r>
      <w:r w:rsidRPr="00C1603D">
        <w:t>and Pearson</w:t>
      </w:r>
      <w:r w:rsidRPr="00C1603D">
        <w:rPr>
          <w:color w:val="00B0F0"/>
        </w:rPr>
        <w:t>’</w:t>
      </w:r>
      <w:r w:rsidRPr="00C1603D">
        <w:t xml:space="preserve">s </w:t>
      </w:r>
      <w:r w:rsidR="00B2440F" w:rsidRPr="00C1603D">
        <w:t>c</w:t>
      </w:r>
      <w:r w:rsidRPr="00C1603D">
        <w:t>hi-squared test with Yates</w:t>
      </w:r>
      <w:r w:rsidRPr="00C1603D">
        <w:rPr>
          <w:color w:val="00B0F0"/>
        </w:rPr>
        <w:t>’</w:t>
      </w:r>
      <w:r w:rsidRPr="00C1603D">
        <w:t xml:space="preserve"> continuity correction for categorical variables.</w:t>
      </w:r>
    </w:p>
    <w:p w14:paraId="03181B52" w14:textId="77777777" w:rsidR="008B4DF8" w:rsidRPr="00C1603D" w:rsidRDefault="008B4DF8" w:rsidP="008B4DF8">
      <w:pPr>
        <w:pStyle w:val="54CheadHeadingsHeadingstyles"/>
      </w:pPr>
      <w:r w:rsidRPr="00C1603D">
        <w:t>Sample size</w:t>
      </w:r>
    </w:p>
    <w:p w14:paraId="4EDCBDBA" w14:textId="77777777" w:rsidR="008B4DF8" w:rsidRPr="00C1603D" w:rsidRDefault="008B4DF8" w:rsidP="008B4DF8">
      <w:pPr>
        <w:pStyle w:val="602TextfoTextstylesTextstyles"/>
      </w:pPr>
      <w:r w:rsidRPr="00C1603D">
        <w:t>We performed a sample size calculation according to Riley</w:t>
      </w:r>
      <w:r w:rsidRPr="00C1603D">
        <w:rPr>
          <w:i/>
          <w:color w:val="00B0F0"/>
        </w:rPr>
        <w:t xml:space="preserve"> et al</w:t>
      </w:r>
      <w:r w:rsidRPr="00C1603D">
        <w:t>.</w:t>
      </w:r>
      <w:r w:rsidRPr="00C1603D">
        <w:rPr>
          <w:noProof/>
          <w:vertAlign w:val="superscript"/>
        </w:rPr>
        <w:t>52</w:t>
      </w:r>
      <w:r w:rsidRPr="00C1603D">
        <w:t xml:space="preserve"> To consider </w:t>
      </w:r>
      <w:proofErr w:type="gramStart"/>
      <w:r w:rsidRPr="00C1603D">
        <w:t>40</w:t>
      </w:r>
      <w:proofErr w:type="gramEnd"/>
      <w:r w:rsidRPr="00C1603D">
        <w:t xml:space="preserve"> candidate predictors in each model, we estimated a minimum total sample size of 4303.</w:t>
      </w:r>
    </w:p>
    <w:p w14:paraId="05677778" w14:textId="77777777" w:rsidR="008B4DF8" w:rsidRPr="00C1603D" w:rsidRDefault="008B4DF8" w:rsidP="008B4DF8">
      <w:pPr>
        <w:pStyle w:val="54CheadHeadingsHeadingstyles"/>
      </w:pPr>
      <w:r w:rsidRPr="00C1603D">
        <w:t>Model specification</w:t>
      </w:r>
    </w:p>
    <w:p w14:paraId="6D5EFA7A" w14:textId="77777777" w:rsidR="008B4DF8" w:rsidRPr="00C1603D" w:rsidRDefault="008B4DF8" w:rsidP="008B4DF8">
      <w:pPr>
        <w:pStyle w:val="55DheadHeadingsHeadingstyles"/>
      </w:pPr>
      <w:r w:rsidRPr="00C1603D">
        <w:t>Identifying candidate diagnostic indicators</w:t>
      </w:r>
    </w:p>
    <w:p w14:paraId="6FBC09E3" w14:textId="5E161295" w:rsidR="008B4DF8" w:rsidRPr="00C1603D" w:rsidRDefault="008B4DF8" w:rsidP="008B4DF8">
      <w:pPr>
        <w:pStyle w:val="602TextfoTextstylesTextstyles"/>
      </w:pPr>
      <w:r w:rsidRPr="00C1603D">
        <w:t xml:space="preserve">Diagnostic indicators identified in the systematic review presented in </w:t>
      </w:r>
      <w:r w:rsidRPr="00C1603D">
        <w:rPr>
          <w:i/>
          <w:iCs/>
        </w:rPr>
        <w:t>Chapter 4</w:t>
      </w:r>
      <w:r w:rsidRPr="00C1603D">
        <w:t xml:space="preserve"> were considered for inclusion in the prediction models. To avoid the effect of potential publication bias, we also included indicators suggested by our clinical experts and indicators listed in national and international guidelines for CD,</w:t>
      </w:r>
      <w:r w:rsidRPr="00C1603D">
        <w:rPr>
          <w:noProof/>
          <w:vertAlign w:val="superscript"/>
        </w:rPr>
        <w:t>9,10,12</w:t>
      </w:r>
      <w:r w:rsidRPr="00C1603D">
        <w:t xml:space="preserve"> which are based on both evidence and expert opinion. See </w:t>
      </w:r>
      <w:r w:rsidRPr="00C1603D">
        <w:rPr>
          <w:i/>
          <w:iCs/>
        </w:rPr>
        <w:t>Appendix 9</w:t>
      </w:r>
      <w:r w:rsidR="007E1553" w:rsidRPr="00C1603D">
        <w:rPr>
          <w:color w:val="auto"/>
        </w:rPr>
        <w:t>,</w:t>
      </w:r>
      <w:r w:rsidRPr="00C1603D">
        <w:rPr>
          <w:color w:val="auto"/>
        </w:rPr>
        <w:t xml:space="preserve"> </w:t>
      </w:r>
      <w:r w:rsidRPr="00C1603D">
        <w:rPr>
          <w:i/>
          <w:color w:val="auto"/>
        </w:rPr>
        <w:t xml:space="preserve">Table </w:t>
      </w:r>
      <w:r w:rsidRPr="00C1603D">
        <w:rPr>
          <w:i/>
          <w:noProof/>
          <w:color w:val="auto"/>
        </w:rPr>
        <w:t>5</w:t>
      </w:r>
      <w:r w:rsidR="007C2375" w:rsidRPr="00C1603D">
        <w:rPr>
          <w:i/>
          <w:noProof/>
          <w:color w:val="auto"/>
        </w:rPr>
        <w:t>2</w:t>
      </w:r>
      <w:r w:rsidR="007E1553" w:rsidRPr="00C1603D">
        <w:rPr>
          <w:iCs/>
          <w:noProof/>
          <w:color w:val="auto"/>
        </w:rPr>
        <w:t>,</w:t>
      </w:r>
      <w:r w:rsidRPr="00C1603D">
        <w:rPr>
          <w:color w:val="auto"/>
        </w:rPr>
        <w:t xml:space="preserve"> </w:t>
      </w:r>
      <w:r w:rsidRPr="00C1603D">
        <w:t xml:space="preserve">for the list of candidate diagnostic indicators, their definitions and how they were identified. The </w:t>
      </w:r>
      <w:r w:rsidRPr="00C1603D">
        <w:rPr>
          <w:i/>
          <w:iCs/>
        </w:rPr>
        <w:t>International Classification of Primary Care</w:t>
      </w:r>
      <w:r w:rsidR="00033A62" w:rsidRPr="00C1603D">
        <w:t xml:space="preserve">, </w:t>
      </w:r>
      <w:proofErr w:type="gramStart"/>
      <w:r w:rsidR="00033A62" w:rsidRPr="00C1603D">
        <w:t>2nd</w:t>
      </w:r>
      <w:proofErr w:type="gramEnd"/>
      <w:r w:rsidR="00033A62" w:rsidRPr="00C1603D">
        <w:t xml:space="preserve"> edition</w:t>
      </w:r>
      <w:r w:rsidRPr="00C1603D">
        <w:t xml:space="preserve"> (ICP</w:t>
      </w:r>
      <w:r w:rsidRPr="00C1603D">
        <w:rPr>
          <w:color w:val="00B0F0"/>
        </w:rPr>
        <w:t>C-2</w:t>
      </w:r>
      <w:r w:rsidRPr="00C1603D">
        <w:t>)</w:t>
      </w:r>
      <w:r w:rsidR="00033A62" w:rsidRPr="00C1603D">
        <w:t>,</w:t>
      </w:r>
      <w:r w:rsidRPr="00C1603D">
        <w:t xml:space="preserve"> definitions were used w</w:t>
      </w:r>
      <w:r w:rsidR="006C5B99" w:rsidRPr="00C1603D">
        <w:t>hen</w:t>
      </w:r>
      <w:r w:rsidRPr="00C1603D">
        <w:t xml:space="preserve"> available. </w:t>
      </w:r>
      <w:r w:rsidR="006C5B99" w:rsidRPr="00C1603D">
        <w:t xml:space="preserve">The </w:t>
      </w:r>
      <w:r w:rsidRPr="00C1603D">
        <w:t>ICP</w:t>
      </w:r>
      <w:r w:rsidRPr="00C1603D">
        <w:rPr>
          <w:color w:val="00B0F0"/>
        </w:rPr>
        <w:t>C-2</w:t>
      </w:r>
      <w:r w:rsidRPr="00C1603D">
        <w:t xml:space="preserve"> is an international classification for systematically capturing and ordering clinical information in primary care. It was developed by the World </w:t>
      </w:r>
      <w:r w:rsidRPr="00C1603D">
        <w:rPr>
          <w:color w:val="00B0F0"/>
        </w:rPr>
        <w:t>Organi</w:t>
      </w:r>
      <w:r w:rsidR="0002052B" w:rsidRPr="00C1603D">
        <w:rPr>
          <w:color w:val="00B0F0"/>
        </w:rPr>
        <w:t>z</w:t>
      </w:r>
      <w:r w:rsidRPr="00C1603D">
        <w:rPr>
          <w:color w:val="00B0F0"/>
        </w:rPr>
        <w:t>ation</w:t>
      </w:r>
      <w:r w:rsidRPr="00C1603D">
        <w:t xml:space="preserve"> of Family Doctors</w:t>
      </w:r>
      <w:r w:rsidRPr="00C1603D">
        <w:rPr>
          <w:color w:val="00B0F0"/>
        </w:rPr>
        <w:t>’</w:t>
      </w:r>
      <w:r w:rsidRPr="00C1603D">
        <w:t xml:space="preserve"> International Classification Committee and was last updated in 2015.</w:t>
      </w:r>
      <w:r w:rsidRPr="00C1603D">
        <w:rPr>
          <w:noProof/>
          <w:vertAlign w:val="superscript"/>
        </w:rPr>
        <w:t>53</w:t>
      </w:r>
      <w:r w:rsidRPr="00C1603D">
        <w:t xml:space="preserve"> Dermatitis herpetiformis could not be included as an indicator because it was an exclusion criterion for the control cohort. Sex was considered as an indicator in the children</w:t>
      </w:r>
      <w:r w:rsidRPr="00C1603D">
        <w:rPr>
          <w:color w:val="00B0F0"/>
        </w:rPr>
        <w:t>’</w:t>
      </w:r>
      <w:r w:rsidRPr="00C1603D">
        <w:t>s model and age was considered in all models, because both are important demographic factors.</w:t>
      </w:r>
    </w:p>
    <w:p w14:paraId="1BD43524" w14:textId="77777777" w:rsidR="008B4DF8" w:rsidRPr="00C1603D" w:rsidRDefault="008B4DF8" w:rsidP="008B4DF8">
      <w:pPr>
        <w:pStyle w:val="55DheadHeadingsHeadingstyles"/>
      </w:pPr>
      <w:r w:rsidRPr="00C1603D">
        <w:t>Code list development</w:t>
      </w:r>
    </w:p>
    <w:p w14:paraId="37075A4E" w14:textId="647EAC83" w:rsidR="008B4DF8" w:rsidRPr="00C1603D" w:rsidRDefault="008B4DF8" w:rsidP="008B4DF8">
      <w:pPr>
        <w:pStyle w:val="602TextfoTextstylesTextstyles"/>
      </w:pPr>
      <w:r w:rsidRPr="00C1603D">
        <w:t>Whe</w:t>
      </w:r>
      <w:r w:rsidR="008C529E" w:rsidRPr="00C1603D">
        <w:t>n</w:t>
      </w:r>
      <w:r w:rsidRPr="00C1603D">
        <w:t xml:space="preserve"> possible, existing code lists were used to define diagnostic indicators. If these were not available, code lists were developed with the clinicians on our team</w:t>
      </w:r>
      <w:r w:rsidR="003A0C4B" w:rsidRPr="00C1603D">
        <w:t>,</w:t>
      </w:r>
      <w:r w:rsidRPr="00C1603D">
        <w:t xml:space="preserve"> who identified all relevant terms and synonyms for each indicator</w:t>
      </w:r>
      <w:r w:rsidR="003A0C4B" w:rsidRPr="00C1603D">
        <w:t>,</w:t>
      </w:r>
      <w:r w:rsidRPr="00C1603D">
        <w:t xml:space="preserve"> and the CPRD code browser tool was used to identify all relevant codes. </w:t>
      </w:r>
      <w:proofErr w:type="gramStart"/>
      <w:r w:rsidRPr="00C1603D">
        <w:t>Each code list was checked by at least two clinicians (</w:t>
      </w:r>
      <w:r w:rsidR="009F423E" w:rsidRPr="00C1603D">
        <w:t>see t</w:t>
      </w:r>
      <w:r w:rsidRPr="00C1603D">
        <w:t>able S6</w:t>
      </w:r>
      <w:r w:rsidR="009F423E" w:rsidRPr="00C1603D">
        <w:t xml:space="preserve"> in </w:t>
      </w:r>
      <w:r w:rsidR="009F423E" w:rsidRPr="00C1603D">
        <w:rPr>
          <w:i/>
          <w:iCs/>
        </w:rPr>
        <w:t>Report Supplementary Material 1</w:t>
      </w:r>
      <w:r w:rsidRPr="00C1603D">
        <w:t>)</w:t>
      </w:r>
      <w:proofErr w:type="gramEnd"/>
      <w:r w:rsidRPr="00C1603D">
        <w:t>.</w:t>
      </w:r>
    </w:p>
    <w:p w14:paraId="30202CF7" w14:textId="77777777" w:rsidR="008B4DF8" w:rsidRPr="00C1603D" w:rsidRDefault="008B4DF8" w:rsidP="008B4DF8">
      <w:pPr>
        <w:pStyle w:val="55DheadHeadingsHeadingstyles"/>
      </w:pPr>
      <w:r w:rsidRPr="00C1603D">
        <w:t>Missing data</w:t>
      </w:r>
    </w:p>
    <w:p w14:paraId="5D69D645" w14:textId="7290BE23" w:rsidR="008B4DF8" w:rsidRPr="00C1603D" w:rsidRDefault="008B4DF8" w:rsidP="008B4DF8">
      <w:pPr>
        <w:pStyle w:val="602TextfoTextstylesTextstyles"/>
      </w:pPr>
      <w:r w:rsidRPr="00C1603D">
        <w:t xml:space="preserve">The presence of a diagnostic indicator was defined by the presence of one or more specific medical codes. It was not possible to determine whether </w:t>
      </w:r>
      <w:r w:rsidR="003A0C4B" w:rsidRPr="00C1603D">
        <w:t xml:space="preserve">or not </w:t>
      </w:r>
      <w:r w:rsidRPr="00C1603D">
        <w:t xml:space="preserve">a code was </w:t>
      </w:r>
      <w:r w:rsidRPr="00C1603D">
        <w:rPr>
          <w:color w:val="00B0F0"/>
        </w:rPr>
        <w:t>‘</w:t>
      </w:r>
      <w:r w:rsidRPr="00C1603D">
        <w:t>missing</w:t>
      </w:r>
      <w:proofErr w:type="gramStart"/>
      <w:r w:rsidRPr="00C1603D">
        <w:rPr>
          <w:color w:val="00B0F0"/>
        </w:rPr>
        <w:t>’</w:t>
      </w:r>
      <w:r w:rsidRPr="00C1603D">
        <w:t>,</w:t>
      </w:r>
      <w:proofErr w:type="gramEnd"/>
      <w:r w:rsidRPr="00C1603D">
        <w:t xml:space="preserve"> because if these codes were absent in a patient record, we assumed that the patient did not have the indicator in case of disease diagnoses or that the indicator was not considered sufficiently important to have been recorded by the </w:t>
      </w:r>
      <w:r w:rsidR="00942D2D" w:rsidRPr="00C1603D">
        <w:t>general practitioner (</w:t>
      </w:r>
      <w:r w:rsidRPr="00C1603D">
        <w:t>GP</w:t>
      </w:r>
      <w:r w:rsidR="00942D2D" w:rsidRPr="00C1603D">
        <w:t>)</w:t>
      </w:r>
      <w:r w:rsidRPr="00C1603D">
        <w:t xml:space="preserve"> in case of symptoms. This will be correct for most indicators unless the indicator was either underdiagnosed or under</w:t>
      </w:r>
      <w:r w:rsidR="00276764" w:rsidRPr="00C1603D">
        <w:t>-</w:t>
      </w:r>
      <w:r w:rsidRPr="00C1603D">
        <w:t xml:space="preserve">reported (such as symptoms). Missingness could be investigated </w:t>
      </w:r>
      <w:r w:rsidR="00040706" w:rsidRPr="00C1603D">
        <w:t xml:space="preserve">only </w:t>
      </w:r>
      <w:r w:rsidRPr="00C1603D">
        <w:t>for sex, ethnicity and age; however, no data</w:t>
      </w:r>
      <w:r w:rsidR="00040706" w:rsidRPr="00C1603D">
        <w:t xml:space="preserve"> were missing</w:t>
      </w:r>
      <w:r w:rsidRPr="00C1603D">
        <w:t xml:space="preserve"> </w:t>
      </w:r>
      <w:r w:rsidR="00040706" w:rsidRPr="00C1603D">
        <w:t>for</w:t>
      </w:r>
      <w:r w:rsidRPr="00C1603D">
        <w:t xml:space="preserve"> these variables.</w:t>
      </w:r>
    </w:p>
    <w:p w14:paraId="404E0D67" w14:textId="77777777" w:rsidR="008B4DF8" w:rsidRPr="00C1603D" w:rsidRDefault="008B4DF8" w:rsidP="008B4DF8">
      <w:pPr>
        <w:pStyle w:val="55DheadHeadingsHeadingstyles"/>
      </w:pPr>
      <w:r w:rsidRPr="00C1603D">
        <w:lastRenderedPageBreak/>
        <w:t>Transformations and categorisations of variables</w:t>
      </w:r>
    </w:p>
    <w:p w14:paraId="0D64F752" w14:textId="7BF6AD1E" w:rsidR="008B4DF8" w:rsidRPr="00C1603D" w:rsidRDefault="008B4DF8" w:rsidP="008B4DF8">
      <w:pPr>
        <w:pStyle w:val="602TextfoTextstylesTextstyles"/>
      </w:pPr>
      <w:r w:rsidRPr="00C1603D">
        <w:t>Age was included in the model as a linear term (in years), because the risk of being diagnosed (in adulthood) appears to decrease linearly by age.</w:t>
      </w:r>
      <w:r w:rsidRPr="00C1603D">
        <w:rPr>
          <w:noProof/>
          <w:vertAlign w:val="superscript"/>
        </w:rPr>
        <w:t>54</w:t>
      </w:r>
      <w:r w:rsidRPr="00C1603D">
        <w:t xml:space="preserve"> All risk conditions were coded as 1 or 0 for having or not having the disease at any time</w:t>
      </w:r>
      <w:r w:rsidR="00587DDC" w:rsidRPr="00C1603D">
        <w:t xml:space="preserve"> </w:t>
      </w:r>
      <w:r w:rsidRPr="00C1603D">
        <w:t>point prior to the index date.</w:t>
      </w:r>
    </w:p>
    <w:p w14:paraId="7570C287" w14:textId="16A1A17C" w:rsidR="008B4DF8" w:rsidRPr="00C1603D" w:rsidRDefault="008B4DF8" w:rsidP="008B4DF8">
      <w:pPr>
        <w:pStyle w:val="602TextfoTextstylesTextstyles"/>
      </w:pPr>
      <w:r w:rsidRPr="00C1603D">
        <w:t xml:space="preserve">Diagnostic indicators that can resolve and return </w:t>
      </w:r>
      <w:r w:rsidR="00611DF1" w:rsidRPr="00C1603D">
        <w:t>(</w:t>
      </w:r>
      <w:r w:rsidRPr="00C1603D">
        <w:t>including GI symptoms</w:t>
      </w:r>
      <w:r w:rsidR="00611DF1" w:rsidRPr="00C1603D">
        <w:t>;</w:t>
      </w:r>
      <w:r w:rsidRPr="00C1603D">
        <w:t xml:space="preserve"> weight loss</w:t>
      </w:r>
      <w:r w:rsidR="00611DF1" w:rsidRPr="00C1603D">
        <w:t>;</w:t>
      </w:r>
      <w:r w:rsidRPr="00C1603D">
        <w:t xml:space="preserve"> fatigue</w:t>
      </w:r>
      <w:r w:rsidR="00611DF1" w:rsidRPr="00C1603D">
        <w:t>;</w:t>
      </w:r>
      <w:r w:rsidRPr="00C1603D">
        <w:t xml:space="preserve"> abnormal liver function test results</w:t>
      </w:r>
      <w:r w:rsidR="00611DF1" w:rsidRPr="00C1603D">
        <w:t>;</w:t>
      </w:r>
      <w:r w:rsidRPr="00C1603D">
        <w:t xml:space="preserve"> mouth ulcers</w:t>
      </w:r>
      <w:r w:rsidR="00611DF1" w:rsidRPr="00C1603D">
        <w:t>;</w:t>
      </w:r>
      <w:r w:rsidRPr="00C1603D">
        <w:t xml:space="preserve"> irritability</w:t>
      </w:r>
      <w:r w:rsidR="00611DF1" w:rsidRPr="00C1603D">
        <w:t>;</w:t>
      </w:r>
      <w:r w:rsidRPr="00C1603D">
        <w:t xml:space="preserve"> iron, vitamin B</w:t>
      </w:r>
      <w:r w:rsidRPr="00C1603D">
        <w:rPr>
          <w:color w:val="00B0F0"/>
          <w:vertAlign w:val="subscript"/>
        </w:rPr>
        <w:t>12</w:t>
      </w:r>
      <w:r w:rsidRPr="00C1603D">
        <w:t xml:space="preserve"> or folate deficiency</w:t>
      </w:r>
      <w:r w:rsidR="00611DF1" w:rsidRPr="00C1603D">
        <w:t>;</w:t>
      </w:r>
      <w:r w:rsidRPr="00C1603D">
        <w:t xml:space="preserve"> fractures</w:t>
      </w:r>
      <w:r w:rsidR="00611DF1" w:rsidRPr="00C1603D">
        <w:t>;</w:t>
      </w:r>
      <w:r w:rsidRPr="00C1603D">
        <w:t xml:space="preserve"> and headaches or migraines</w:t>
      </w:r>
      <w:r w:rsidR="00611DF1" w:rsidRPr="00C1603D">
        <w:t>)</w:t>
      </w:r>
      <w:r w:rsidRPr="00C1603D">
        <w:t xml:space="preserve"> were included as binary variables, and coded as </w:t>
      </w:r>
      <w:proofErr w:type="gramStart"/>
      <w:r w:rsidRPr="00C1603D">
        <w:t>1</w:t>
      </w:r>
      <w:proofErr w:type="gramEnd"/>
      <w:r w:rsidRPr="00C1603D">
        <w:t xml:space="preserve"> if the event occurred within 10 years prior to the index date. Diagnostic indicators that could vary </w:t>
      </w:r>
      <w:proofErr w:type="gramStart"/>
      <w:r w:rsidRPr="00C1603D">
        <w:t>substantially over</w:t>
      </w:r>
      <w:proofErr w:type="gramEnd"/>
      <w:r w:rsidRPr="00C1603D">
        <w:t xml:space="preserve"> time </w:t>
      </w:r>
      <w:r w:rsidR="00A649AB" w:rsidRPr="00C1603D">
        <w:t>(</w:t>
      </w:r>
      <w:r w:rsidRPr="00C1603D">
        <w:t>including GI symptoms, fatigue, irritability, mouth ulcers, fractures</w:t>
      </w:r>
      <w:r w:rsidR="00A649AB" w:rsidRPr="00C1603D">
        <w:t>,</w:t>
      </w:r>
      <w:r w:rsidRPr="00C1603D">
        <w:t xml:space="preserve"> and migraine or headaches</w:t>
      </w:r>
      <w:r w:rsidR="00A649AB" w:rsidRPr="00C1603D">
        <w:t>)</w:t>
      </w:r>
      <w:r w:rsidRPr="00C1603D">
        <w:t xml:space="preserve"> were also included as counts of the number of times these symptoms were recorded in </w:t>
      </w:r>
      <w:r w:rsidR="00A649AB" w:rsidRPr="00C1603D">
        <w:t xml:space="preserve">the </w:t>
      </w:r>
      <w:r w:rsidRPr="00C1603D">
        <w:t>CPRD. Because these counts were highly skewed, we</w:t>
      </w:r>
      <w:r w:rsidRPr="00C1603D" w:rsidDel="00184E23">
        <w:t xml:space="preserve"> </w:t>
      </w:r>
      <w:r w:rsidRPr="00C1603D">
        <w:t>collapsed groups with the highest counts if they were higher than the third quantile (</w:t>
      </w:r>
      <w:r w:rsidR="0051430A" w:rsidRPr="00C1603D">
        <w:t>e.g.</w:t>
      </w:r>
      <w:r w:rsidRPr="00C1603D">
        <w:t xml:space="preserve"> 0, 1, 2, </w:t>
      </w:r>
      <w:r w:rsidRPr="00C1603D">
        <w:rPr>
          <w:color w:val="00B0F0"/>
        </w:rPr>
        <w:t>3+</w:t>
      </w:r>
      <w:r w:rsidRPr="00C1603D">
        <w:t>). For each of these indicators, we considered a count of the number of times these symptoms were recorded in</w:t>
      </w:r>
      <w:r w:rsidR="00521C85" w:rsidRPr="00C1603D">
        <w:t xml:space="preserve"> the</w:t>
      </w:r>
      <w:r w:rsidRPr="00C1603D">
        <w:t xml:space="preserve"> CPRD within 1, 2 </w:t>
      </w:r>
      <w:r w:rsidR="00521C85" w:rsidRPr="00C1603D">
        <w:t>and</w:t>
      </w:r>
      <w:r w:rsidRPr="00C1603D">
        <w:t xml:space="preserve"> 10 years prior to the index date.</w:t>
      </w:r>
    </w:p>
    <w:p w14:paraId="01E3A8A9" w14:textId="0E2E60D3" w:rsidR="008B4DF8" w:rsidRPr="00C1603D" w:rsidRDefault="3CDEEDA7" w:rsidP="008B4DF8">
      <w:pPr>
        <w:pStyle w:val="602TextfoTextstylesTextstyles"/>
      </w:pPr>
      <w:r w:rsidRPr="00C1603D">
        <w:t xml:space="preserve">A variable for </w:t>
      </w:r>
      <w:r w:rsidRPr="00C1603D">
        <w:rPr>
          <w:color w:val="00B0F0"/>
        </w:rPr>
        <w:t>‘</w:t>
      </w:r>
      <w:r w:rsidRPr="00C1603D">
        <w:t>first-degree relative with CD</w:t>
      </w:r>
      <w:r w:rsidRPr="00C1603D">
        <w:rPr>
          <w:color w:val="00B0F0"/>
        </w:rPr>
        <w:t>’</w:t>
      </w:r>
      <w:r w:rsidRPr="00C1603D">
        <w:t xml:space="preserve"> was created using the famnum variable in CPRD GOLD, which is a number assigned based on the first line of a patient</w:t>
      </w:r>
      <w:r w:rsidRPr="00C1603D">
        <w:rPr>
          <w:color w:val="00B0F0"/>
        </w:rPr>
        <w:t>’</w:t>
      </w:r>
      <w:r w:rsidRPr="00C1603D">
        <w:t xml:space="preserve">s home address at registration. Because famnum is not unique across all </w:t>
      </w:r>
      <w:proofErr w:type="gramStart"/>
      <w:r w:rsidRPr="00C1603D">
        <w:t>general practices</w:t>
      </w:r>
      <w:proofErr w:type="gramEnd"/>
      <w:r w:rsidRPr="00C1603D">
        <w:t xml:space="preserve">, a unique variable was created combining famnum and general practice identification (ID). </w:t>
      </w:r>
      <w:commentRangeStart w:id="189"/>
      <w:commentRangeStart w:id="190"/>
      <w:r w:rsidRPr="00C1603D">
        <w:t xml:space="preserve">We counted people as a first-degree relative only if they had the same famnum and were registered at the same general practice as a case, and were either aged </w:t>
      </w:r>
      <w:r w:rsidRPr="00C1603D">
        <w:rPr>
          <w:color w:val="00B0F0"/>
        </w:rPr>
        <w:t>&gt; 2</w:t>
      </w:r>
      <w:r w:rsidRPr="00C1603D">
        <w:t>5 years and differed in age from the case by &lt; 15 years (to include all children and students, assuming that students still registered with their parents</w:t>
      </w:r>
      <w:r w:rsidRPr="00C1603D">
        <w:rPr>
          <w:color w:val="00B0F0"/>
        </w:rPr>
        <w:t>’</w:t>
      </w:r>
      <w:r w:rsidRPr="00C1603D">
        <w:t xml:space="preserve"> </w:t>
      </w:r>
      <w:proofErr w:type="gramStart"/>
      <w:r w:rsidRPr="00C1603D">
        <w:t>general practices</w:t>
      </w:r>
      <w:proofErr w:type="gramEnd"/>
      <w:r w:rsidRPr="00C1603D">
        <w:t>) or differed in age from the case by &gt; 15 years (to exclude spouses).</w:t>
      </w:r>
      <w:commentRangeEnd w:id="189"/>
      <w:r w:rsidR="008B4DF8" w:rsidRPr="00C1603D">
        <w:commentReference w:id="189"/>
      </w:r>
      <w:commentRangeEnd w:id="190"/>
      <w:r w:rsidR="008B4DF8" w:rsidRPr="00C1603D">
        <w:commentReference w:id="190"/>
      </w:r>
    </w:p>
    <w:p w14:paraId="15CA195D" w14:textId="77777777" w:rsidR="008B4DF8" w:rsidRPr="00C1603D" w:rsidRDefault="008B4DF8" w:rsidP="008B4DF8">
      <w:pPr>
        <w:pStyle w:val="54CheadHeadingsHeadingstyles"/>
      </w:pPr>
      <w:r w:rsidRPr="00C1603D">
        <w:t>Model selection</w:t>
      </w:r>
    </w:p>
    <w:p w14:paraId="053BC096" w14:textId="2049BB24" w:rsidR="008B4DF8" w:rsidRPr="00C1603D" w:rsidRDefault="3CDEEDA7" w:rsidP="008B4DF8">
      <w:pPr>
        <w:pStyle w:val="602TextfoTextstylesTextstyles"/>
        <w:rPr>
          <w:color w:val="auto"/>
        </w:rPr>
      </w:pPr>
      <w:r w:rsidRPr="00C1603D">
        <w:t xml:space="preserve">We fitted a logistic regression model with CD as the outcome and all candidate diagnostic indicators as potential explanatory factors. We used the elastic net method combined with bootstrapping for variable selection. The </w:t>
      </w:r>
      <w:r w:rsidRPr="00C1603D">
        <w:rPr>
          <w:color w:val="auto"/>
        </w:rPr>
        <w:t>elastic net logistic regression combines ridge and least absolute shrinkage and selection operator (LASSO) regressions (regression coefficients are estimated with a combination of L</w:t>
      </w:r>
      <w:r w:rsidRPr="00C1603D">
        <w:rPr>
          <w:color w:val="auto"/>
          <w:vertAlign w:val="subscript"/>
        </w:rPr>
        <w:t>1</w:t>
      </w:r>
      <w:r w:rsidRPr="00C1603D">
        <w:rPr>
          <w:color w:val="auto"/>
        </w:rPr>
        <w:t xml:space="preserve"> and L</w:t>
      </w:r>
      <w:r w:rsidRPr="00C1603D">
        <w:rPr>
          <w:color w:val="auto"/>
          <w:vertAlign w:val="subscript"/>
        </w:rPr>
        <w:t>2</w:t>
      </w:r>
      <w:r w:rsidRPr="00C1603D">
        <w:rPr>
          <w:color w:val="auto"/>
        </w:rPr>
        <w:t xml:space="preserve"> penalties) and performs both shrinkage and variable selection.</w:t>
      </w:r>
      <w:r w:rsidRPr="00C1603D">
        <w:rPr>
          <w:noProof/>
          <w:color w:val="auto"/>
          <w:vertAlign w:val="superscript"/>
        </w:rPr>
        <w:t>46</w:t>
      </w:r>
      <w:r w:rsidRPr="00C1603D">
        <w:rPr>
          <w:color w:val="auto"/>
        </w:rPr>
        <w:t xml:space="preserve"> It does this by including a regularisation penalty (lambda) and a mixing parameter (alpha), whereby </w:t>
      </w:r>
      <w:proofErr w:type="gramStart"/>
      <w:r w:rsidRPr="00C1603D">
        <w:rPr>
          <w:color w:val="auto"/>
        </w:rPr>
        <w:t>0</w:t>
      </w:r>
      <w:proofErr w:type="gramEnd"/>
      <w:r w:rsidRPr="00C1603D">
        <w:rPr>
          <w:color w:val="auto"/>
        </w:rPr>
        <w:t xml:space="preserve"> results in ridge and 1 in LASSO regression. Optimal alpha and lambda values were determined by testing </w:t>
      </w:r>
      <w:proofErr w:type="gramStart"/>
      <w:r w:rsidRPr="00C1603D">
        <w:rPr>
          <w:color w:val="auto"/>
        </w:rPr>
        <w:t>100</w:t>
      </w:r>
      <w:proofErr w:type="gramEnd"/>
      <w:r w:rsidRPr="00C1603D">
        <w:rPr>
          <w:color w:val="auto"/>
        </w:rPr>
        <w:t xml:space="preserve"> different lambda values at 18 different alpha values (increasing from 0.1 to 0.9). For each combination of alpha and lambda, </w:t>
      </w:r>
      <w:proofErr w:type="gramStart"/>
      <w:r w:rsidRPr="00C1603D">
        <w:rPr>
          <w:color w:val="auto"/>
        </w:rPr>
        <w:t>20</w:t>
      </w:r>
      <w:proofErr w:type="gramEnd"/>
      <w:r w:rsidRPr="00C1603D">
        <w:rPr>
          <w:color w:val="auto"/>
        </w:rPr>
        <w:t xml:space="preserve"> fivefold cross-validations were performed. </w:t>
      </w:r>
      <w:commentRangeStart w:id="191"/>
      <w:commentRangeStart w:id="192"/>
      <w:r w:rsidRPr="00C1603D">
        <w:rPr>
          <w:color w:val="auto"/>
        </w:rPr>
        <w:t xml:space="preserve">We selected the alpha–lambda combination that produced the model with the highest </w:t>
      </w:r>
      <w:r w:rsidRPr="00C1603D">
        <w:rPr>
          <w:i/>
          <w:iCs/>
          <w:color w:val="auto"/>
        </w:rPr>
        <w:t>c</w:t>
      </w:r>
      <w:r w:rsidRPr="00C1603D">
        <w:rPr>
          <w:color w:val="auto"/>
        </w:rPr>
        <w:t>-statistic [</w:t>
      </w:r>
      <w:r w:rsidR="004557E0" w:rsidRPr="00C1603D">
        <w:rPr>
          <w:color w:val="auto"/>
        </w:rPr>
        <w:t xml:space="preserve">i.e. </w:t>
      </w:r>
      <w:r w:rsidRPr="00C1603D">
        <w:rPr>
          <w:color w:val="auto"/>
        </w:rPr>
        <w:t>area under the receiver operating characteristic (AUROC)].</w:t>
      </w:r>
      <w:commentRangeEnd w:id="191"/>
      <w:r w:rsidR="008B4DF8" w:rsidRPr="00C1603D">
        <w:commentReference w:id="191"/>
      </w:r>
      <w:commentRangeEnd w:id="192"/>
      <w:r w:rsidR="008B4DF8" w:rsidRPr="00C1603D">
        <w:commentReference w:id="192"/>
      </w:r>
    </w:p>
    <w:p w14:paraId="6057DCA8" w14:textId="4434B817" w:rsidR="008B4DF8" w:rsidRPr="00C1603D" w:rsidRDefault="008B4DF8" w:rsidP="008B4DF8">
      <w:pPr>
        <w:pStyle w:val="602TextfoTextstylesTextstyles"/>
      </w:pPr>
      <w:r w:rsidRPr="00C1603D">
        <w:t>The model with optimised L</w:t>
      </w:r>
      <w:r w:rsidRPr="00C1603D">
        <w:rPr>
          <w:vertAlign w:val="subscript"/>
        </w:rPr>
        <w:t>1</w:t>
      </w:r>
      <w:r w:rsidRPr="00C1603D">
        <w:t xml:space="preserve"> and L</w:t>
      </w:r>
      <w:r w:rsidRPr="00C1603D">
        <w:rPr>
          <w:vertAlign w:val="subscript"/>
        </w:rPr>
        <w:t>2</w:t>
      </w:r>
      <w:r w:rsidRPr="00C1603D">
        <w:t xml:space="preserve"> penalties was performed on </w:t>
      </w:r>
      <w:proofErr w:type="gramStart"/>
      <w:r w:rsidRPr="00C1603D">
        <w:t>200</w:t>
      </w:r>
      <w:proofErr w:type="gramEnd"/>
      <w:r w:rsidRPr="00C1603D">
        <w:t xml:space="preserve"> bootstrap samples. Indicators were selected if their coefficient was non-zero in the majority of bootstrap samples. To be </w:t>
      </w:r>
      <w:proofErr w:type="gramStart"/>
      <w:r w:rsidRPr="00C1603D">
        <w:t>relatively inclusive</w:t>
      </w:r>
      <w:proofErr w:type="gramEnd"/>
      <w:r w:rsidRPr="00C1603D">
        <w:t xml:space="preserve"> at this stage</w:t>
      </w:r>
      <w:r w:rsidR="009663EA" w:rsidRPr="00C1603D">
        <w:t>,</w:t>
      </w:r>
      <w:r w:rsidRPr="00C1603D">
        <w:t xml:space="preserve"> we set the threshold at 75%. If more than one of the three alternative counts for the same symptom </w:t>
      </w:r>
      <w:r w:rsidR="009663EA" w:rsidRPr="00C1603D">
        <w:t>was</w:t>
      </w:r>
      <w:r w:rsidRPr="00C1603D">
        <w:t xml:space="preserve"> selected (frequency of indicator over the last 1, 2 or 10 years), the count with the highest median coefficient was included in the final model. </w:t>
      </w:r>
      <w:r w:rsidR="00626FFD" w:rsidRPr="00C1603D">
        <w:t>As</w:t>
      </w:r>
      <w:r w:rsidRPr="00C1603D">
        <w:t xml:space="preserve"> candidate diagnostic indicators had been selected based on some evidence of a positive relationship with CD, if we estimated an inverse relationship with CD in these data, we assumed</w:t>
      </w:r>
      <w:r w:rsidR="00626FFD" w:rsidRPr="00C1603D">
        <w:t xml:space="preserve"> that</w:t>
      </w:r>
      <w:r w:rsidRPr="00C1603D">
        <w:t xml:space="preserve"> this was due to noise in this specific </w:t>
      </w:r>
      <w:r w:rsidRPr="00C1603D">
        <w:rPr>
          <w:color w:val="00B0F0"/>
        </w:rPr>
        <w:t>data set</w:t>
      </w:r>
      <w:r w:rsidRPr="00C1603D">
        <w:t xml:space="preserve"> and excluded the indicator.</w:t>
      </w:r>
    </w:p>
    <w:p w14:paraId="25B912A4" w14:textId="2420CCA7" w:rsidR="008B4DF8" w:rsidRPr="00C1603D" w:rsidRDefault="008B4DF8" w:rsidP="008B4DF8">
      <w:pPr>
        <w:pStyle w:val="602TextfoTextstylesTextstyles"/>
      </w:pPr>
      <w:r w:rsidRPr="00C1603D">
        <w:t xml:space="preserve">We did not allow indicators with strong prior evidence of an association with CD to drop out of the model during variable selection, regardless of their estimated coefficients and </w:t>
      </w:r>
      <w:r w:rsidRPr="00C1603D">
        <w:rPr>
          <w:i/>
          <w:color w:val="00B0F0"/>
        </w:rPr>
        <w:t>p</w:t>
      </w:r>
      <w:r w:rsidR="00C16709" w:rsidRPr="00C1603D">
        <w:t>-</w:t>
      </w:r>
      <w:r w:rsidRPr="00C1603D">
        <w:t>values. These were the following five indicators that were found to be most predictive in our meta-analyses (</w:t>
      </w:r>
      <w:r w:rsidR="00B540AC" w:rsidRPr="00C1603D">
        <w:t xml:space="preserve">see </w:t>
      </w:r>
      <w:r w:rsidRPr="00C1603D">
        <w:rPr>
          <w:i/>
          <w:iCs/>
        </w:rPr>
        <w:t>Chapter 3</w:t>
      </w:r>
      <w:r w:rsidRPr="00C1603D">
        <w:t>): family history of CD, anaemia, type 1 diabetes, osteoporosis and thyroid disease.</w:t>
      </w:r>
    </w:p>
    <w:p w14:paraId="480CEFD9" w14:textId="77777777" w:rsidR="008B4DF8" w:rsidRPr="00C1603D" w:rsidRDefault="008B4DF8" w:rsidP="008B4DF8">
      <w:pPr>
        <w:pStyle w:val="54CheadHeadingsHeadingstyles"/>
      </w:pPr>
      <w:r w:rsidRPr="00C1603D">
        <w:lastRenderedPageBreak/>
        <w:t>Model estimation</w:t>
      </w:r>
    </w:p>
    <w:p w14:paraId="335A429B" w14:textId="7228C1DF" w:rsidR="008B4DF8" w:rsidRPr="00C1603D" w:rsidRDefault="008B4DF8" w:rsidP="008B4DF8">
      <w:pPr>
        <w:pStyle w:val="602TextfoTextstylesTextstyles"/>
      </w:pPr>
      <w:r w:rsidRPr="00C1603D">
        <w:t>We refitted the elastic</w:t>
      </w:r>
      <w:r w:rsidR="008130B7" w:rsidRPr="00C1603D">
        <w:t xml:space="preserve"> </w:t>
      </w:r>
      <w:r w:rsidRPr="00C1603D">
        <w:t>net logistic regression model using the set of included indicator variables to determine the final coefficient estimates at the optimal alpha and lambda</w:t>
      </w:r>
      <w:r w:rsidR="007A5154" w:rsidRPr="00C1603D">
        <w:t xml:space="preserve"> values</w:t>
      </w:r>
      <w:r w:rsidRPr="00C1603D">
        <w:t>.</w:t>
      </w:r>
    </w:p>
    <w:p w14:paraId="28BA07EE" w14:textId="410C7F52" w:rsidR="008B4DF8" w:rsidRPr="00C1603D" w:rsidRDefault="008B4DF8" w:rsidP="008B4DF8">
      <w:pPr>
        <w:pStyle w:val="602TextfoTextstylesTextstyles"/>
      </w:pPr>
      <w:r w:rsidRPr="00C1603D">
        <w:t>To estimate the intercept, we adjusted for sampling frequency by recreating a population with the CD prevalence of the original cohort.</w:t>
      </w:r>
      <w:r w:rsidRPr="00C1603D">
        <w:rPr>
          <w:noProof/>
          <w:vertAlign w:val="superscript"/>
        </w:rPr>
        <w:t>55,56</w:t>
      </w:r>
      <w:r w:rsidRPr="00C1603D">
        <w:t xml:space="preserve"> CD prevalence in the general population is estimated to be 1%, so we inflated the control group by random sampling to a case</w:t>
      </w:r>
      <w:r w:rsidR="007A5154" w:rsidRPr="00C1603D">
        <w:t>-to-</w:t>
      </w:r>
      <w:r w:rsidRPr="00C1603D">
        <w:t>control ratio of 1</w:t>
      </w:r>
      <w:r w:rsidR="007A5154" w:rsidRPr="00C1603D">
        <w:t> </w:t>
      </w:r>
      <w:r w:rsidRPr="00C1603D">
        <w:t>:</w:t>
      </w:r>
      <w:r w:rsidR="007A5154" w:rsidRPr="00C1603D">
        <w:t> </w:t>
      </w:r>
      <w:r w:rsidRPr="00C1603D">
        <w:t>99. We refitted the elastic</w:t>
      </w:r>
      <w:r w:rsidR="007A5154" w:rsidRPr="00C1603D">
        <w:t xml:space="preserve"> </w:t>
      </w:r>
      <w:r w:rsidRPr="00C1603D">
        <w:t xml:space="preserve">net logistic regression model on this inflated </w:t>
      </w:r>
      <w:r w:rsidRPr="00C1603D">
        <w:rPr>
          <w:color w:val="00B0F0"/>
        </w:rPr>
        <w:t>data set</w:t>
      </w:r>
      <w:r w:rsidRPr="00C1603D">
        <w:t xml:space="preserve"> to determine the intercept with the optimal alpha and lambda</w:t>
      </w:r>
      <w:r w:rsidR="007A5154" w:rsidRPr="00C1603D">
        <w:t xml:space="preserve"> values</w:t>
      </w:r>
      <w:r w:rsidRPr="00C1603D">
        <w:t>.</w:t>
      </w:r>
    </w:p>
    <w:p w14:paraId="03CF0437" w14:textId="77777777" w:rsidR="008B4DF8" w:rsidRPr="00C1603D" w:rsidRDefault="008B4DF8" w:rsidP="008B4DF8">
      <w:pPr>
        <w:pStyle w:val="54CheadHeadingsHeadingstyles"/>
      </w:pPr>
      <w:r w:rsidRPr="00C1603D">
        <w:t>Model performance</w:t>
      </w:r>
    </w:p>
    <w:p w14:paraId="37E161C9" w14:textId="77777777" w:rsidR="008B4DF8" w:rsidRPr="00C1603D" w:rsidRDefault="008B4DF8" w:rsidP="008B4DF8">
      <w:pPr>
        <w:pStyle w:val="602TextfoTextstylesTextstyles"/>
        <w:rPr>
          <w:rFonts w:eastAsia="Calibri"/>
        </w:rPr>
      </w:pPr>
      <w:r w:rsidRPr="00C1603D">
        <w:rPr>
          <w:rFonts w:eastAsia="Calibri"/>
        </w:rPr>
        <w:t xml:space="preserve">We estimated the model performance on the development </w:t>
      </w:r>
      <w:r w:rsidRPr="00C1603D">
        <w:rPr>
          <w:rFonts w:eastAsia="Calibri"/>
          <w:color w:val="00B0F0"/>
        </w:rPr>
        <w:t>data set</w:t>
      </w:r>
      <w:r w:rsidRPr="00C1603D">
        <w:rPr>
          <w:rFonts w:eastAsia="Calibri"/>
        </w:rPr>
        <w:t xml:space="preserve"> (apparent model performance) using measures of both discrimination and calibration.</w:t>
      </w:r>
      <w:r w:rsidRPr="00C1603D">
        <w:rPr>
          <w:rFonts w:eastAsia="Calibri"/>
          <w:noProof/>
          <w:vertAlign w:val="superscript"/>
        </w:rPr>
        <w:t>57</w:t>
      </w:r>
    </w:p>
    <w:p w14:paraId="5C713183" w14:textId="53C46BC4" w:rsidR="008B4DF8" w:rsidRPr="00C1603D" w:rsidRDefault="008B4DF8" w:rsidP="008B4DF8">
      <w:pPr>
        <w:pStyle w:val="602TextfoTextstylesTextstyles"/>
        <w:rPr>
          <w:rFonts w:eastAsia="Calibri"/>
        </w:rPr>
      </w:pPr>
      <w:r w:rsidRPr="00C1603D">
        <w:rPr>
          <w:rFonts w:eastAsia="Calibri"/>
        </w:rPr>
        <w:t xml:space="preserve">Discrimination is the ability of the model to distinguish between those with and </w:t>
      </w:r>
      <w:r w:rsidR="007A5154" w:rsidRPr="00C1603D">
        <w:rPr>
          <w:rFonts w:eastAsia="Calibri"/>
        </w:rPr>
        <w:t xml:space="preserve">those </w:t>
      </w:r>
      <w:r w:rsidRPr="00C1603D">
        <w:rPr>
          <w:rFonts w:eastAsia="Calibri"/>
        </w:rPr>
        <w:t xml:space="preserve">without CD, also known as the concordance or </w:t>
      </w:r>
      <w:r w:rsidRPr="00C1603D">
        <w:rPr>
          <w:rFonts w:eastAsia="Calibri"/>
          <w:i/>
          <w:iCs/>
        </w:rPr>
        <w:t>c</w:t>
      </w:r>
      <w:r w:rsidR="007A5154" w:rsidRPr="00C1603D">
        <w:rPr>
          <w:rFonts w:eastAsia="Calibri"/>
        </w:rPr>
        <w:t>-</w:t>
      </w:r>
      <w:r w:rsidRPr="00C1603D">
        <w:rPr>
          <w:rFonts w:eastAsia="Calibri"/>
        </w:rPr>
        <w:t xml:space="preserve">statistic, and is identical to the </w:t>
      </w:r>
      <w:r w:rsidR="007A5154" w:rsidRPr="00C1603D">
        <w:rPr>
          <w:rFonts w:eastAsia="Calibri"/>
        </w:rPr>
        <w:t>AUROC</w:t>
      </w:r>
      <w:r w:rsidRPr="00C1603D">
        <w:rPr>
          <w:rFonts w:eastAsia="Calibri"/>
        </w:rPr>
        <w:t xml:space="preserve"> curve, in which sensitivity is plotted again</w:t>
      </w:r>
      <w:r w:rsidR="00E06A7D" w:rsidRPr="00C1603D">
        <w:rPr>
          <w:rFonts w:eastAsia="Calibri"/>
        </w:rPr>
        <w:t>st</w:t>
      </w:r>
      <w:r w:rsidRPr="00C1603D">
        <w:rPr>
          <w:rFonts w:eastAsia="Calibri"/>
        </w:rPr>
        <w:t xml:space="preserve"> 1</w:t>
      </w:r>
      <w:r w:rsidR="00E06A7D" w:rsidRPr="00C1603D">
        <w:rPr>
          <w:rFonts w:eastAsia="Calibri"/>
        </w:rPr>
        <w:t> </w:t>
      </w:r>
      <w:r w:rsidRPr="00C1603D">
        <w:rPr>
          <w:rFonts w:eastAsia="Calibri"/>
        </w:rPr>
        <w:t>–</w:t>
      </w:r>
      <w:r w:rsidR="00E06A7D" w:rsidRPr="00C1603D">
        <w:rPr>
          <w:rFonts w:eastAsia="Calibri"/>
        </w:rPr>
        <w:t> </w:t>
      </w:r>
      <w:r w:rsidRPr="00C1603D">
        <w:rPr>
          <w:rFonts w:eastAsia="Calibri"/>
        </w:rPr>
        <w:t xml:space="preserve">specificity. If the </w:t>
      </w:r>
      <w:r w:rsidRPr="00C1603D">
        <w:rPr>
          <w:rFonts w:eastAsia="Calibri"/>
          <w:i/>
          <w:iCs/>
        </w:rPr>
        <w:t>c</w:t>
      </w:r>
      <w:r w:rsidR="00E06A7D" w:rsidRPr="00C1603D">
        <w:rPr>
          <w:rFonts w:eastAsia="Calibri"/>
        </w:rPr>
        <w:t>-</w:t>
      </w:r>
      <w:r w:rsidRPr="00C1603D">
        <w:rPr>
          <w:rFonts w:eastAsia="Calibri"/>
        </w:rPr>
        <w:t>statistic</w:t>
      </w:r>
      <w:r w:rsidRPr="00C1603D">
        <w:rPr>
          <w:rFonts w:eastAsia="Calibri"/>
          <w:color w:val="00B0F0"/>
        </w:rPr>
        <w:t> = </w:t>
      </w:r>
      <w:r w:rsidRPr="00C1603D">
        <w:rPr>
          <w:rFonts w:eastAsia="Calibri"/>
        </w:rPr>
        <w:t xml:space="preserve">0.5, the model has no predictive ability; if </w:t>
      </w:r>
      <w:r w:rsidR="00E06A7D" w:rsidRPr="00C1603D">
        <w:rPr>
          <w:rFonts w:eastAsia="Calibri"/>
        </w:rPr>
        <w:t xml:space="preserve">the </w:t>
      </w:r>
      <w:r w:rsidRPr="00C1603D">
        <w:rPr>
          <w:rFonts w:eastAsia="Calibri"/>
          <w:i/>
          <w:iCs/>
        </w:rPr>
        <w:t>c</w:t>
      </w:r>
      <w:r w:rsidR="00E06A7D" w:rsidRPr="00C1603D">
        <w:rPr>
          <w:rFonts w:eastAsia="Calibri"/>
        </w:rPr>
        <w:t>-</w:t>
      </w:r>
      <w:r w:rsidRPr="00C1603D">
        <w:rPr>
          <w:rFonts w:eastAsia="Calibri"/>
        </w:rPr>
        <w:t>statistic</w:t>
      </w:r>
      <w:r w:rsidRPr="00C1603D">
        <w:rPr>
          <w:rFonts w:eastAsia="Calibri"/>
          <w:color w:val="00B0F0"/>
        </w:rPr>
        <w:t> = </w:t>
      </w:r>
      <w:r w:rsidRPr="00C1603D">
        <w:rPr>
          <w:rFonts w:eastAsia="Calibri"/>
        </w:rPr>
        <w:t>1, the model has perfect prediction.</w:t>
      </w:r>
    </w:p>
    <w:p w14:paraId="7D855217" w14:textId="63A272C8" w:rsidR="008B4DF8" w:rsidRPr="00C1603D" w:rsidRDefault="008B4DF8" w:rsidP="008B4DF8">
      <w:pPr>
        <w:pStyle w:val="602TextfoTextstylesTextstyles"/>
        <w:rPr>
          <w:rFonts w:eastAsia="Calibri"/>
        </w:rPr>
      </w:pPr>
      <w:r w:rsidRPr="00C1603D">
        <w:rPr>
          <w:rFonts w:eastAsia="Calibri"/>
        </w:rPr>
        <w:t xml:space="preserve">Calibration is the agreement between predictions and observed outcomes. Calibration was assessed graphically using the calibration plot, which plots the predicted risk against the observed risk using centile population groups. In </w:t>
      </w:r>
      <w:r w:rsidR="00E06A7D" w:rsidRPr="00C1603D">
        <w:rPr>
          <w:rFonts w:eastAsia="Calibri"/>
        </w:rPr>
        <w:t xml:space="preserve">the </w:t>
      </w:r>
      <w:r w:rsidRPr="00C1603D">
        <w:rPr>
          <w:rFonts w:eastAsia="Calibri"/>
        </w:rPr>
        <w:t>case of a perfect prediction</w:t>
      </w:r>
      <w:r w:rsidR="00E06A7D" w:rsidRPr="00C1603D">
        <w:rPr>
          <w:rFonts w:eastAsia="Calibri"/>
        </w:rPr>
        <w:t>,</w:t>
      </w:r>
      <w:r w:rsidRPr="00C1603D">
        <w:rPr>
          <w:rFonts w:eastAsia="Calibri"/>
        </w:rPr>
        <w:t xml:space="preserve"> the intercept</w:t>
      </w:r>
      <w:r w:rsidRPr="00C1603D">
        <w:rPr>
          <w:rFonts w:eastAsia="Calibri"/>
          <w:color w:val="00B0F0"/>
        </w:rPr>
        <w:t> = </w:t>
      </w:r>
      <w:r w:rsidRPr="00C1603D">
        <w:rPr>
          <w:rFonts w:eastAsia="Calibri"/>
        </w:rPr>
        <w:t xml:space="preserve">0 and </w:t>
      </w:r>
      <w:r w:rsidR="00E06A7D" w:rsidRPr="00C1603D">
        <w:rPr>
          <w:rFonts w:eastAsia="Calibri"/>
        </w:rPr>
        <w:t xml:space="preserve">the </w:t>
      </w:r>
      <w:r w:rsidRPr="00C1603D">
        <w:rPr>
          <w:rFonts w:eastAsia="Calibri"/>
        </w:rPr>
        <w:t>slope</w:t>
      </w:r>
      <w:r w:rsidRPr="00C1603D">
        <w:rPr>
          <w:rFonts w:eastAsia="Calibri"/>
          <w:color w:val="00B0F0"/>
        </w:rPr>
        <w:t> = </w:t>
      </w:r>
      <w:r w:rsidRPr="00C1603D">
        <w:rPr>
          <w:rFonts w:eastAsia="Calibri"/>
        </w:rPr>
        <w:t>1. The calibration statistics were adjusted for sampling frequency.</w:t>
      </w:r>
    </w:p>
    <w:p w14:paraId="7EAB44F2" w14:textId="624E08A7" w:rsidR="008B4DF8" w:rsidRPr="00C1603D" w:rsidRDefault="008B4DF8" w:rsidP="008B4DF8">
      <w:pPr>
        <w:pStyle w:val="602TextfoTextstylesTextstyles"/>
        <w:rPr>
          <w:rFonts w:eastAsia="Calibri"/>
        </w:rPr>
      </w:pPr>
      <w:r w:rsidRPr="00C1603D">
        <w:rPr>
          <w:rFonts w:eastAsia="Calibri"/>
        </w:rPr>
        <w:t xml:space="preserve">We assessed amount of variability explained by model variables with the Nagelkerke </w:t>
      </w:r>
      <w:r w:rsidRPr="00C1603D">
        <w:rPr>
          <w:rFonts w:eastAsia="Calibri"/>
          <w:i/>
          <w:iCs/>
        </w:rPr>
        <w:t>R</w:t>
      </w:r>
      <w:r w:rsidR="00A97DCA" w:rsidRPr="00C1603D">
        <w:rPr>
          <w:rFonts w:eastAsia="Calibri"/>
          <w:vertAlign w:val="superscript"/>
        </w:rPr>
        <w:t>2</w:t>
      </w:r>
      <w:r w:rsidRPr="00C1603D">
        <w:rPr>
          <w:rFonts w:eastAsia="Calibri"/>
        </w:rPr>
        <w:t xml:space="preserve"> score and the overall (statistical) model fit </w:t>
      </w:r>
      <w:r w:rsidRPr="00C1603D" w:rsidDel="00AF7A99">
        <w:rPr>
          <w:rFonts w:eastAsia="Calibri"/>
        </w:rPr>
        <w:t xml:space="preserve">with the </w:t>
      </w:r>
      <w:r w:rsidRPr="00C1603D">
        <w:rPr>
          <w:rFonts w:eastAsia="Calibri"/>
        </w:rPr>
        <w:t>Brier score.</w:t>
      </w:r>
      <w:r w:rsidRPr="00C1603D">
        <w:rPr>
          <w:rFonts w:eastAsia="Calibri"/>
          <w:noProof/>
          <w:vertAlign w:val="superscript"/>
        </w:rPr>
        <w:t>46</w:t>
      </w:r>
    </w:p>
    <w:p w14:paraId="0B80FD37" w14:textId="77777777" w:rsidR="008B4DF8" w:rsidRPr="00C1603D" w:rsidRDefault="008B4DF8" w:rsidP="008B4DF8">
      <w:pPr>
        <w:pStyle w:val="54CheadHeadingsHeadingstyles"/>
      </w:pPr>
      <w:r w:rsidRPr="00C1603D">
        <w:t>Internal validation</w:t>
      </w:r>
    </w:p>
    <w:p w14:paraId="6E7EDFD9" w14:textId="3FFFDC93" w:rsidR="008B4DF8" w:rsidRPr="00C1603D" w:rsidRDefault="008B4DF8" w:rsidP="008B4DF8">
      <w:pPr>
        <w:pStyle w:val="602TextfoTextstylesTextstyles"/>
        <w:rPr>
          <w:rFonts w:eastAsia="Calibri"/>
          <w:color w:val="auto"/>
        </w:rPr>
      </w:pPr>
      <w:r w:rsidRPr="00C1603D">
        <w:rPr>
          <w:rFonts w:eastAsia="Calibri"/>
        </w:rPr>
        <w:t>We performed internal validation of the model using bootstrapping methods.</w:t>
      </w:r>
      <w:r w:rsidRPr="00C1603D">
        <w:rPr>
          <w:rFonts w:eastAsia="Calibri"/>
          <w:noProof/>
          <w:vertAlign w:val="superscript"/>
        </w:rPr>
        <w:t>57</w:t>
      </w:r>
      <w:r w:rsidRPr="00C1603D">
        <w:rPr>
          <w:rFonts w:eastAsia="Calibri"/>
        </w:rPr>
        <w:t xml:space="preserve"> We fitted the final model using elastic net regression with the predefined optimal lambda and alpha values on </w:t>
      </w:r>
      <w:proofErr w:type="gramStart"/>
      <w:r w:rsidRPr="00C1603D">
        <w:rPr>
          <w:rFonts w:eastAsia="Calibri"/>
        </w:rPr>
        <w:t>1000</w:t>
      </w:r>
      <w:proofErr w:type="gramEnd"/>
      <w:r w:rsidRPr="00C1603D">
        <w:rPr>
          <w:rFonts w:eastAsia="Calibri"/>
        </w:rPr>
        <w:t xml:space="preserve"> bootstrap samples to estimate the median of each coefficient and calculate empirical </w:t>
      </w:r>
      <w:r w:rsidR="00FE01C9" w:rsidRPr="00C1603D">
        <w:rPr>
          <w:rFonts w:eastAsia="Calibri"/>
        </w:rPr>
        <w:t>CI</w:t>
      </w:r>
      <w:r w:rsidRPr="00C1603D">
        <w:rPr>
          <w:rFonts w:eastAsia="Calibri"/>
        </w:rPr>
        <w:t xml:space="preserve">s around the coefficients. The elastic net regression uses shrinkage to adjust for overfitting and optimism. Using the </w:t>
      </w:r>
      <w:proofErr w:type="gramStart"/>
      <w:r w:rsidRPr="00C1603D">
        <w:rPr>
          <w:rFonts w:eastAsia="Calibri"/>
        </w:rPr>
        <w:t>1000</w:t>
      </w:r>
      <w:proofErr w:type="gramEnd"/>
      <w:r w:rsidRPr="00C1603D">
        <w:rPr>
          <w:rFonts w:eastAsia="Calibri"/>
        </w:rPr>
        <w:t xml:space="preserve"> model fits, we calculated the median </w:t>
      </w:r>
      <w:r w:rsidRPr="00C1603D">
        <w:rPr>
          <w:rFonts w:eastAsia="Calibri"/>
          <w:color w:val="auto"/>
        </w:rPr>
        <w:t xml:space="preserve">and empirical </w:t>
      </w:r>
      <w:r w:rsidR="00FE01C9" w:rsidRPr="00C1603D">
        <w:rPr>
          <w:rFonts w:eastAsia="Calibri"/>
          <w:color w:val="auto"/>
        </w:rPr>
        <w:t>CI</w:t>
      </w:r>
      <w:r w:rsidRPr="00C1603D">
        <w:rPr>
          <w:rFonts w:eastAsia="Calibri"/>
          <w:color w:val="auto"/>
        </w:rPr>
        <w:t>s for performance statistics (</w:t>
      </w:r>
      <w:r w:rsidR="008E316B" w:rsidRPr="00C1603D">
        <w:rPr>
          <w:rFonts w:eastAsia="Calibri"/>
          <w:i/>
          <w:iCs/>
          <w:color w:val="auto"/>
        </w:rPr>
        <w:t>R</w:t>
      </w:r>
      <w:r w:rsidR="008E316B" w:rsidRPr="00C1603D">
        <w:rPr>
          <w:rFonts w:eastAsia="Calibri"/>
          <w:color w:val="auto"/>
          <w:vertAlign w:val="superscript"/>
        </w:rPr>
        <w:t>2</w:t>
      </w:r>
      <w:r w:rsidRPr="00C1603D">
        <w:rPr>
          <w:rFonts w:eastAsia="Calibri"/>
          <w:color w:val="auto"/>
        </w:rPr>
        <w:t xml:space="preserve">, Brier score, and </w:t>
      </w:r>
      <w:r w:rsidRPr="00C1603D">
        <w:rPr>
          <w:rFonts w:eastAsia="Calibri"/>
          <w:i/>
          <w:iCs/>
          <w:color w:val="auto"/>
        </w:rPr>
        <w:t>c</w:t>
      </w:r>
      <w:r w:rsidR="008E316B" w:rsidRPr="00C1603D">
        <w:rPr>
          <w:rFonts w:eastAsia="Calibri"/>
          <w:color w:val="auto"/>
        </w:rPr>
        <w:t>-</w:t>
      </w:r>
      <w:r w:rsidRPr="00C1603D">
        <w:rPr>
          <w:rFonts w:eastAsia="Calibri"/>
          <w:color w:val="auto"/>
        </w:rPr>
        <w:t xml:space="preserve">statistic). To estimate the median and empirical </w:t>
      </w:r>
      <w:r w:rsidR="00FE01C9" w:rsidRPr="00C1603D">
        <w:rPr>
          <w:rFonts w:eastAsia="Calibri"/>
          <w:color w:val="auto"/>
        </w:rPr>
        <w:t>CI</w:t>
      </w:r>
      <w:r w:rsidRPr="00C1603D">
        <w:rPr>
          <w:rFonts w:eastAsia="Calibri"/>
          <w:color w:val="auto"/>
        </w:rPr>
        <w:t>s for the intercept and calibration statistics, we inflated the control group by random sampling to a case</w:t>
      </w:r>
      <w:r w:rsidR="008E316B" w:rsidRPr="00C1603D">
        <w:rPr>
          <w:rFonts w:eastAsia="Calibri"/>
          <w:color w:val="auto"/>
        </w:rPr>
        <w:t>-to-</w:t>
      </w:r>
      <w:r w:rsidRPr="00C1603D">
        <w:rPr>
          <w:rFonts w:eastAsia="Calibri"/>
          <w:color w:val="auto"/>
        </w:rPr>
        <w:t>control ratio of 1</w:t>
      </w:r>
      <w:r w:rsidR="008E316B" w:rsidRPr="00C1603D">
        <w:rPr>
          <w:rFonts w:eastAsia="Calibri"/>
          <w:color w:val="auto"/>
        </w:rPr>
        <w:t> </w:t>
      </w:r>
      <w:r w:rsidRPr="00C1603D">
        <w:rPr>
          <w:rFonts w:eastAsia="Calibri"/>
          <w:color w:val="auto"/>
        </w:rPr>
        <w:t>:</w:t>
      </w:r>
      <w:r w:rsidR="008E316B" w:rsidRPr="00C1603D">
        <w:rPr>
          <w:rFonts w:eastAsia="Calibri"/>
          <w:color w:val="auto"/>
        </w:rPr>
        <w:t> </w:t>
      </w:r>
      <w:r w:rsidRPr="00C1603D">
        <w:rPr>
          <w:rFonts w:eastAsia="Calibri"/>
          <w:color w:val="auto"/>
        </w:rPr>
        <w:t>99 for each bootstrap sample and fitted the final model on th</w:t>
      </w:r>
      <w:r w:rsidR="008E316B" w:rsidRPr="00C1603D">
        <w:rPr>
          <w:rFonts w:eastAsia="Calibri"/>
          <w:color w:val="auto"/>
        </w:rPr>
        <w:t>i</w:t>
      </w:r>
      <w:r w:rsidRPr="00C1603D">
        <w:rPr>
          <w:rFonts w:eastAsia="Calibri"/>
          <w:color w:val="auto"/>
        </w:rPr>
        <w:t>s data set.</w:t>
      </w:r>
    </w:p>
    <w:p w14:paraId="145E82DE" w14:textId="77777777" w:rsidR="008B4DF8" w:rsidRPr="00C1603D" w:rsidRDefault="008B4DF8" w:rsidP="008B4DF8">
      <w:pPr>
        <w:pStyle w:val="54CheadHeadingsHeadingstyles"/>
      </w:pPr>
      <w:r w:rsidRPr="00C1603D">
        <w:t>Sensitivity analyses</w:t>
      </w:r>
    </w:p>
    <w:p w14:paraId="08CF3C05" w14:textId="77777777" w:rsidR="008B4DF8" w:rsidRPr="00C1603D" w:rsidRDefault="008B4DF8" w:rsidP="008B4DF8">
      <w:pPr>
        <w:pStyle w:val="55DheadHeadingsHeadingstyles"/>
      </w:pPr>
      <w:r w:rsidRPr="00C1603D">
        <w:t>Data since 1997</w:t>
      </w:r>
    </w:p>
    <w:p w14:paraId="113E363B" w14:textId="2E15D762" w:rsidR="008B4DF8" w:rsidRPr="00C1603D" w:rsidRDefault="008B4DF8" w:rsidP="008B4DF8">
      <w:pPr>
        <w:pStyle w:val="602TextfoTextstylesTextstyles"/>
        <w:rPr>
          <w:color w:val="auto"/>
        </w:rPr>
      </w:pPr>
      <w:r w:rsidRPr="00C1603D">
        <w:t xml:space="preserve">We performed a sensitivity analysis restricting to patients </w:t>
      </w:r>
      <w:r w:rsidRPr="00C1603D">
        <w:rPr>
          <w:color w:val="auto"/>
        </w:rPr>
        <w:t>diagnosed after 1997, because in this year IgA tTG tests were first developed, which are now the preferred serological test for screening for CD. Model development</w:t>
      </w:r>
      <w:r w:rsidR="001379F9" w:rsidRPr="00C1603D">
        <w:rPr>
          <w:color w:val="auto"/>
        </w:rPr>
        <w:t>,</w:t>
      </w:r>
      <w:r w:rsidRPr="00C1603D">
        <w:rPr>
          <w:color w:val="auto"/>
        </w:rPr>
        <w:t xml:space="preserve"> as described </w:t>
      </w:r>
      <w:r w:rsidR="001379F9" w:rsidRPr="00C1603D">
        <w:rPr>
          <w:color w:val="auto"/>
        </w:rPr>
        <w:t>previously,</w:t>
      </w:r>
      <w:r w:rsidRPr="00C1603D">
        <w:rPr>
          <w:color w:val="auto"/>
        </w:rPr>
        <w:t xml:space="preserve"> was repeated on </w:t>
      </w:r>
      <w:r w:rsidR="001379F9" w:rsidRPr="00C1603D">
        <w:rPr>
          <w:color w:val="auto"/>
        </w:rPr>
        <w:t>this</w:t>
      </w:r>
      <w:r w:rsidRPr="00C1603D">
        <w:rPr>
          <w:color w:val="auto"/>
        </w:rPr>
        <w:t xml:space="preserve"> data set. We used the </w:t>
      </w:r>
      <w:r w:rsidRPr="00C1603D">
        <w:rPr>
          <w:i/>
          <w:iCs/>
          <w:color w:val="auto"/>
        </w:rPr>
        <w:t>c</w:t>
      </w:r>
      <w:r w:rsidRPr="00C1603D">
        <w:rPr>
          <w:color w:val="auto"/>
        </w:rPr>
        <w:t xml:space="preserve">-statistic to determine whether </w:t>
      </w:r>
      <w:r w:rsidR="001379F9" w:rsidRPr="00C1603D">
        <w:rPr>
          <w:color w:val="auto"/>
        </w:rPr>
        <w:t xml:space="preserve">or not </w:t>
      </w:r>
      <w:r w:rsidRPr="00C1603D">
        <w:rPr>
          <w:color w:val="auto"/>
        </w:rPr>
        <w:t xml:space="preserve">model performance was improved using </w:t>
      </w:r>
      <w:r w:rsidR="001379F9" w:rsidRPr="00C1603D">
        <w:rPr>
          <w:color w:val="auto"/>
        </w:rPr>
        <w:t>this</w:t>
      </w:r>
      <w:r w:rsidRPr="00C1603D">
        <w:rPr>
          <w:color w:val="auto"/>
        </w:rPr>
        <w:t xml:space="preserve"> data set.</w:t>
      </w:r>
    </w:p>
    <w:p w14:paraId="1AB32192" w14:textId="428352A7" w:rsidR="008B4DF8" w:rsidRPr="00C1603D" w:rsidRDefault="008B4DF8" w:rsidP="008B4DF8">
      <w:pPr>
        <w:pStyle w:val="55DheadHeadingsHeadingstyles"/>
      </w:pPr>
      <w:r w:rsidRPr="00C1603D">
        <w:t xml:space="preserve">Linkages: </w:t>
      </w:r>
      <w:r w:rsidR="001379F9" w:rsidRPr="00C1603D">
        <w:t>i</w:t>
      </w:r>
      <w:r w:rsidRPr="00C1603D">
        <w:t>ncluding ethnicity and deprivation</w:t>
      </w:r>
    </w:p>
    <w:p w14:paraId="651B90FD" w14:textId="50E8C728" w:rsidR="008B4DF8" w:rsidRPr="00C1603D" w:rsidRDefault="008B4DF8" w:rsidP="008B4DF8">
      <w:pPr>
        <w:pStyle w:val="602TextfoTextstylesTextstyles"/>
      </w:pPr>
      <w:r w:rsidRPr="00C1603D">
        <w:rPr>
          <w:color w:val="00B0F0"/>
        </w:rPr>
        <w:t>Data set</w:t>
      </w:r>
      <w:r w:rsidRPr="00C1603D">
        <w:t xml:space="preserve">s were linked to HES and </w:t>
      </w:r>
      <w:r w:rsidR="00804328" w:rsidRPr="00C1603D">
        <w:t xml:space="preserve">2019 </w:t>
      </w:r>
      <w:r w:rsidRPr="00C1603D">
        <w:t>IMD</w:t>
      </w:r>
      <w:r w:rsidR="00804328" w:rsidRPr="00C1603D">
        <w:rPr>
          <w:vertAlign w:val="superscript"/>
        </w:rPr>
        <w:t>600</w:t>
      </w:r>
      <w:r w:rsidRPr="00C1603D">
        <w:t xml:space="preserve"> data to consider ethnicity and deprivation, which are not measured in </w:t>
      </w:r>
      <w:r w:rsidR="00804328" w:rsidRPr="00C1603D">
        <w:t xml:space="preserve">the </w:t>
      </w:r>
      <w:r w:rsidRPr="00C1603D">
        <w:t>CPRD, as additional candidate diagnostic indicators. We repeated the model development</w:t>
      </w:r>
      <w:r w:rsidR="00B96283" w:rsidRPr="00C1603D">
        <w:t>,</w:t>
      </w:r>
      <w:r w:rsidRPr="00C1603D">
        <w:t xml:space="preserve"> as described </w:t>
      </w:r>
      <w:r w:rsidR="00B96283" w:rsidRPr="00C1603D">
        <w:t>previously,</w:t>
      </w:r>
      <w:r w:rsidRPr="00C1603D">
        <w:t xml:space="preserve"> on the subset of patients who were successfully linked to HES and </w:t>
      </w:r>
      <w:r w:rsidR="00B96283" w:rsidRPr="00C1603D">
        <w:t xml:space="preserve">2019 </w:t>
      </w:r>
      <w:r w:rsidRPr="00C1603D">
        <w:t>IMD</w:t>
      </w:r>
      <w:r w:rsidR="00B96283" w:rsidRPr="00C1603D">
        <w:rPr>
          <w:vertAlign w:val="superscript"/>
        </w:rPr>
        <w:t>600</w:t>
      </w:r>
      <w:r w:rsidR="00B96283" w:rsidRPr="00C1603D">
        <w:t xml:space="preserve"> </w:t>
      </w:r>
      <w:r w:rsidRPr="00C1603D">
        <w:t xml:space="preserve">data. Ethnicity was transformed to a binary variable (white or non-white). Deprivation deciles were used as deprivation score, where </w:t>
      </w:r>
      <w:proofErr w:type="gramStart"/>
      <w:r w:rsidRPr="00C1603D">
        <w:t>1</w:t>
      </w:r>
      <w:proofErr w:type="gramEnd"/>
      <w:r w:rsidRPr="00C1603D">
        <w:t xml:space="preserve"> represents the highest levels of deprivation and 10 the lowest. We used the </w:t>
      </w:r>
      <w:r w:rsidRPr="00C1603D">
        <w:rPr>
          <w:i/>
          <w:iCs/>
        </w:rPr>
        <w:t>c</w:t>
      </w:r>
      <w:r w:rsidRPr="00C1603D">
        <w:t xml:space="preserve">-statistic to determine whether </w:t>
      </w:r>
      <w:r w:rsidR="00D5747C" w:rsidRPr="00C1603D">
        <w:t xml:space="preserve">or not </w:t>
      </w:r>
      <w:r w:rsidRPr="00C1603D">
        <w:t>model performance was improved by including ethnicity and deprivation.</w:t>
      </w:r>
    </w:p>
    <w:p w14:paraId="6D962787" w14:textId="77777777" w:rsidR="008B4DF8" w:rsidRPr="00C1603D" w:rsidRDefault="008B4DF8" w:rsidP="008B4DF8">
      <w:pPr>
        <w:pStyle w:val="54CheadHeadingsHeadingstyles"/>
      </w:pPr>
      <w:r w:rsidRPr="00C1603D">
        <w:lastRenderedPageBreak/>
        <w:t>Clinical usefulness</w:t>
      </w:r>
    </w:p>
    <w:p w14:paraId="34775C48" w14:textId="06D22E76" w:rsidR="008B4DF8" w:rsidRPr="00C1603D" w:rsidRDefault="008B4DF8" w:rsidP="008B4DF8">
      <w:pPr>
        <w:pStyle w:val="602TextfoTextstylesTextstyles"/>
      </w:pPr>
      <w:r w:rsidRPr="00C1603D">
        <w:t>We calculated the sensitivity and specificity of the prediction models for different thresholds of predicted CD risk. The thresholds were chosen based on the PPV</w:t>
      </w:r>
      <w:r w:rsidR="00153D32" w:rsidRPr="00C1603D">
        <w:t>s</w:t>
      </w:r>
      <w:r w:rsidRPr="00C1603D">
        <w:t xml:space="preserve"> of the prediction model and </w:t>
      </w:r>
      <w:r w:rsidR="00141D82" w:rsidRPr="00C1603D">
        <w:t xml:space="preserve">the </w:t>
      </w:r>
      <w:r w:rsidRPr="00C1603D">
        <w:t>percentage</w:t>
      </w:r>
      <w:r w:rsidR="00141D82" w:rsidRPr="00C1603D">
        <w:t xml:space="preserve"> of</w:t>
      </w:r>
      <w:r w:rsidRPr="00C1603D">
        <w:t xml:space="preserve"> CD patients missed at that threshold (</w:t>
      </w:r>
      <w:r w:rsidR="0051430A" w:rsidRPr="00C1603D">
        <w:t>i.e.</w:t>
      </w:r>
      <w:r w:rsidRPr="00C1603D">
        <w:t xml:space="preserve"> the percentage of false negatives </w:t>
      </w:r>
      <w:r w:rsidRPr="00C1603D">
        <w:rPr>
          <w:color w:val="00B0F0"/>
        </w:rPr>
        <w:t>among</w:t>
      </w:r>
      <w:r w:rsidRPr="00C1603D">
        <w:t xml:space="preserve"> CD patients). The pre-test probability for the general population is 1%, so </w:t>
      </w:r>
      <w:r w:rsidRPr="00C1603D" w:rsidDel="00D85936">
        <w:t xml:space="preserve">we </w:t>
      </w:r>
      <w:r w:rsidRPr="00C1603D">
        <w:t>specified model thresholds that corresponded to</w:t>
      </w:r>
      <w:r w:rsidRPr="00C1603D" w:rsidDel="00C01C21">
        <w:t xml:space="preserve"> </w:t>
      </w:r>
      <w:r w:rsidRPr="00C1603D">
        <w:t>PPVs of 1.5%, 2%, 5%, 10% and 20%. We also report</w:t>
      </w:r>
      <w:r w:rsidR="00141D82" w:rsidRPr="00C1603D">
        <w:t xml:space="preserve"> the</w:t>
      </w:r>
      <w:r w:rsidRPr="00C1603D">
        <w:t xml:space="preserve"> percentage of CD patients missed at each threshold, </w:t>
      </w:r>
      <w:r w:rsidR="00D9750D" w:rsidRPr="00C1603D">
        <w:t>that is</w:t>
      </w:r>
      <w:r w:rsidRPr="00C1603D">
        <w:t xml:space="preserve"> the percentage of people with CD who would not be picked up by the prediction model.</w:t>
      </w:r>
    </w:p>
    <w:p w14:paraId="621C01E8" w14:textId="77777777" w:rsidR="008B4DF8" w:rsidRPr="00C1603D" w:rsidRDefault="008B4DF8" w:rsidP="008B4DF8">
      <w:pPr>
        <w:pStyle w:val="53BheadHeadingsHeadingstyles"/>
      </w:pPr>
      <w:bookmarkStart w:id="193" w:name="_Toc99539842"/>
      <w:r w:rsidRPr="00C1603D">
        <w:t>External validation</w:t>
      </w:r>
      <w:bookmarkEnd w:id="193"/>
    </w:p>
    <w:p w14:paraId="6782139F" w14:textId="77777777" w:rsidR="008B4DF8" w:rsidRPr="00C1603D" w:rsidRDefault="008B4DF8" w:rsidP="008B4DF8">
      <w:pPr>
        <w:pStyle w:val="54CheadHeadingsHeadingstyles"/>
      </w:pPr>
      <w:r w:rsidRPr="00C1603D">
        <w:t>Sources of data</w:t>
      </w:r>
    </w:p>
    <w:p w14:paraId="04379BA6" w14:textId="5A7CEF4B" w:rsidR="008B4DF8" w:rsidRPr="00C1603D" w:rsidRDefault="008B4DF8" w:rsidP="008B4DF8">
      <w:pPr>
        <w:pStyle w:val="602TextfoTextstylesTextstyles"/>
      </w:pPr>
      <w:r w:rsidRPr="00C1603D">
        <w:t xml:space="preserve">External validation was performed in CPRD </w:t>
      </w:r>
      <w:r w:rsidR="00D9750D" w:rsidRPr="00C1603D">
        <w:t>Aurum</w:t>
      </w:r>
      <w:r w:rsidRPr="00C1603D">
        <w:t>,</w:t>
      </w:r>
      <w:r w:rsidRPr="00C1603D">
        <w:rPr>
          <w:noProof/>
          <w:vertAlign w:val="superscript"/>
        </w:rPr>
        <w:t>58</w:t>
      </w:r>
      <w:r w:rsidRPr="00C1603D">
        <w:t xml:space="preserve"> which is another primary care </w:t>
      </w:r>
      <w:r w:rsidRPr="00C1603D">
        <w:rPr>
          <w:color w:val="00B0F0"/>
        </w:rPr>
        <w:t>data set</w:t>
      </w:r>
      <w:r w:rsidRPr="00C1603D">
        <w:t xml:space="preserve"> provided by</w:t>
      </w:r>
      <w:r w:rsidR="00054ED1" w:rsidRPr="00C1603D">
        <w:t xml:space="preserve"> the</w:t>
      </w:r>
      <w:r w:rsidRPr="00C1603D">
        <w:t xml:space="preserve"> CPRD. This contains electronic health records from </w:t>
      </w:r>
      <w:proofErr w:type="gramStart"/>
      <w:r w:rsidR="00120ADA" w:rsidRPr="00C1603D">
        <w:t>general practice</w:t>
      </w:r>
      <w:r w:rsidRPr="00C1603D">
        <w:t>s</w:t>
      </w:r>
      <w:proofErr w:type="gramEnd"/>
      <w:r w:rsidRPr="00C1603D">
        <w:t xml:space="preserve"> in England using the EMIS</w:t>
      </w:r>
      <w:r w:rsidR="007B47BC" w:rsidRPr="00C1603D">
        <w:t xml:space="preserve"> Web</w:t>
      </w:r>
      <w:r w:rsidRPr="00C1603D">
        <w:t xml:space="preserve"> software system</w:t>
      </w:r>
      <w:r w:rsidR="00412351" w:rsidRPr="00C1603D">
        <w:t xml:space="preserve"> (EMIS Health, Leeds, UK)</w:t>
      </w:r>
      <w:r w:rsidRPr="00C1603D">
        <w:t xml:space="preserve">. CPRD </w:t>
      </w:r>
      <w:r w:rsidR="00412351" w:rsidRPr="00C1603D">
        <w:t>Aurum</w:t>
      </w:r>
      <w:r w:rsidRPr="00C1603D">
        <w:t xml:space="preserve"> is a larger </w:t>
      </w:r>
      <w:r w:rsidRPr="00C1603D">
        <w:rPr>
          <w:color w:val="00B0F0"/>
        </w:rPr>
        <w:t>data set</w:t>
      </w:r>
      <w:r w:rsidRPr="00C1603D">
        <w:t xml:space="preserve"> than </w:t>
      </w:r>
      <w:r w:rsidR="00C20CA0" w:rsidRPr="00C1603D">
        <w:t>CPRD GOLD</w:t>
      </w:r>
      <w:r w:rsidR="009705AD" w:rsidRPr="00C1603D">
        <w:t>:</w:t>
      </w:r>
      <w:r w:rsidR="00726984" w:rsidRPr="00C1603D">
        <w:t xml:space="preserve"> it</w:t>
      </w:r>
      <w:r w:rsidRPr="00C1603D">
        <w:t xml:space="preserve"> contains </w:t>
      </w:r>
      <w:r w:rsidR="00726984" w:rsidRPr="00C1603D">
        <w:t>&gt; </w:t>
      </w:r>
      <w:r w:rsidRPr="00C1603D">
        <w:t>40 million research</w:t>
      </w:r>
      <w:r w:rsidR="00726984" w:rsidRPr="00C1603D">
        <w:t>-</w:t>
      </w:r>
      <w:r w:rsidRPr="00C1603D">
        <w:t>acceptable patients</w:t>
      </w:r>
      <w:r w:rsidR="00726984" w:rsidRPr="00C1603D">
        <w:t>,</w:t>
      </w:r>
      <w:r w:rsidRPr="00C1603D">
        <w:t xml:space="preserve"> of </w:t>
      </w:r>
      <w:r w:rsidR="00726984" w:rsidRPr="00C1603D">
        <w:t>whom</w:t>
      </w:r>
      <w:r w:rsidRPr="00C1603D">
        <w:t xml:space="preserve"> 37 million are eligible for linkages with hospital records and national statistics.</w:t>
      </w:r>
      <w:r w:rsidRPr="00C1603D">
        <w:rPr>
          <w:noProof/>
          <w:vertAlign w:val="superscript"/>
        </w:rPr>
        <w:t>59</w:t>
      </w:r>
      <w:r w:rsidRPr="00C1603D">
        <w:t xml:space="preserve"> The included patients are broadly representative of the UK general population regarding age, sex, deprivation and geographical spread.</w:t>
      </w:r>
    </w:p>
    <w:p w14:paraId="645ADD75" w14:textId="46843F4B" w:rsidR="008B4DF8" w:rsidRPr="00C1603D" w:rsidRDefault="008B4DF8" w:rsidP="00F41FB6">
      <w:pPr>
        <w:pStyle w:val="602TextfoTextstylesTextstyles"/>
        <w:rPr>
          <w:color w:val="auto"/>
        </w:rPr>
      </w:pPr>
      <w:r w:rsidRPr="00C1603D">
        <w:t xml:space="preserve">The cohort was defined as described for </w:t>
      </w:r>
      <w:r w:rsidR="00C20CA0" w:rsidRPr="00C1603D">
        <w:t>CPRD GOLD</w:t>
      </w:r>
      <w:r w:rsidRPr="00C1603D">
        <w:t xml:space="preserve">, with the only difference that CPRD </w:t>
      </w:r>
      <w:r w:rsidR="00412351" w:rsidRPr="00C1603D">
        <w:t>Aurum</w:t>
      </w:r>
      <w:r w:rsidRPr="00C1603D">
        <w:t xml:space="preserve"> does not report UTS dates, so this could not be taken into account when defining study start and end dates. Patients with records in both </w:t>
      </w:r>
      <w:r w:rsidR="009705AD" w:rsidRPr="00C1603D">
        <w:t xml:space="preserve">the </w:t>
      </w:r>
      <w:r w:rsidR="00C20CA0" w:rsidRPr="00C1603D">
        <w:t>CPRD GOLD</w:t>
      </w:r>
      <w:r w:rsidRPr="00C1603D">
        <w:t xml:space="preserve"> and</w:t>
      </w:r>
      <w:r w:rsidR="005E38F5" w:rsidRPr="00C1603D">
        <w:t xml:space="preserve"> </w:t>
      </w:r>
      <w:r w:rsidR="009705AD" w:rsidRPr="00C1603D">
        <w:t xml:space="preserve">the </w:t>
      </w:r>
      <w:r w:rsidR="005E38F5" w:rsidRPr="00C1603D">
        <w:rPr>
          <w:color w:val="auto"/>
        </w:rPr>
        <w:t>CPRD</w:t>
      </w:r>
      <w:r w:rsidRPr="00C1603D">
        <w:rPr>
          <w:color w:val="auto"/>
        </w:rPr>
        <w:t xml:space="preserve"> Aurum data set</w:t>
      </w:r>
      <w:r w:rsidR="005E38F5" w:rsidRPr="00C1603D">
        <w:rPr>
          <w:color w:val="auto"/>
        </w:rPr>
        <w:t>s</w:t>
      </w:r>
      <w:r w:rsidRPr="00C1603D">
        <w:rPr>
          <w:color w:val="auto"/>
        </w:rPr>
        <w:t xml:space="preserve">, for instance because their </w:t>
      </w:r>
      <w:r w:rsidR="00120ADA" w:rsidRPr="00C1603D">
        <w:rPr>
          <w:color w:val="auto"/>
        </w:rPr>
        <w:t>general practice</w:t>
      </w:r>
      <w:r w:rsidRPr="00C1603D">
        <w:rPr>
          <w:color w:val="auto"/>
        </w:rPr>
        <w:t xml:space="preserve"> switched software systems or a patient moved to a different </w:t>
      </w:r>
      <w:r w:rsidR="00120ADA" w:rsidRPr="00C1603D">
        <w:rPr>
          <w:color w:val="auto"/>
        </w:rPr>
        <w:t>general practice</w:t>
      </w:r>
      <w:r w:rsidRPr="00C1603D">
        <w:rPr>
          <w:color w:val="auto"/>
        </w:rPr>
        <w:t xml:space="preserve"> that used another software, were removed from the Aurum data set.</w:t>
      </w:r>
    </w:p>
    <w:p w14:paraId="0CEECD83" w14:textId="77777777" w:rsidR="008B4DF8" w:rsidRPr="00C1603D" w:rsidRDefault="008B4DF8" w:rsidP="008B4DF8">
      <w:pPr>
        <w:pStyle w:val="54CheadHeadingsHeadingstyles"/>
      </w:pPr>
      <w:r w:rsidRPr="00C1603D">
        <w:t>Diagnostic indicators and code lists</w:t>
      </w:r>
    </w:p>
    <w:p w14:paraId="404EE5AB" w14:textId="36A1052E" w:rsidR="008B4DF8" w:rsidRPr="00C1603D" w:rsidRDefault="3CDEEDA7" w:rsidP="008B4DF8">
      <w:pPr>
        <w:pStyle w:val="602TextfoTextstylesTextstyles"/>
      </w:pPr>
      <w:r w:rsidRPr="00C1603D">
        <w:t xml:space="preserve">The code lists developed for CPRD GOLD were mapped to medical codes used in Aurum (medcode ID) using the code browser tool from the CPRD; </w:t>
      </w:r>
      <w:commentRangeStart w:id="194"/>
      <w:commentRangeStart w:id="195"/>
      <w:r w:rsidRPr="00C1603D">
        <w:t>Read codes were mapped directly to medcode IDs, as well as indirectly via Systematized Nomenclature of Medicine</w:t>
      </w:r>
      <w:r w:rsidR="00642E29" w:rsidRPr="00C1603D">
        <w:t xml:space="preserve"> Clinical Terms</w:t>
      </w:r>
      <w:r w:rsidRPr="00C1603D">
        <w:t xml:space="preserve"> (SNOMED</w:t>
      </w:r>
      <w:r w:rsidR="00642E29" w:rsidRPr="00C1603D">
        <w:t xml:space="preserve"> CT</w:t>
      </w:r>
      <w:r w:rsidRPr="00C1603D">
        <w:t xml:space="preserve">) concept IDs, to capture all codes related to the Read codes. </w:t>
      </w:r>
      <w:commentRangeEnd w:id="194"/>
      <w:r w:rsidR="008B4DF8" w:rsidRPr="00C1603D">
        <w:commentReference w:id="194"/>
      </w:r>
      <w:commentRangeEnd w:id="195"/>
      <w:r w:rsidR="008B4DF8" w:rsidRPr="00C1603D">
        <w:commentReference w:id="195"/>
      </w:r>
      <w:r w:rsidRPr="00C1603D">
        <w:t xml:space="preserve">The mapped lists were checked by hand before use (see table S7 in </w:t>
      </w:r>
      <w:r w:rsidRPr="00C1603D">
        <w:rPr>
          <w:i/>
          <w:iCs/>
        </w:rPr>
        <w:t>Report Supplementary Material 1</w:t>
      </w:r>
      <w:r w:rsidRPr="00C1603D">
        <w:t>).</w:t>
      </w:r>
    </w:p>
    <w:p w14:paraId="2DCDAB1D" w14:textId="14C54022" w:rsidR="008B4DF8" w:rsidRPr="00C1603D" w:rsidRDefault="008B4DF8" w:rsidP="008B4DF8">
      <w:pPr>
        <w:pStyle w:val="602TextfoTextstylesTextstyles"/>
      </w:pPr>
      <w:r w:rsidRPr="00C1603D">
        <w:t xml:space="preserve">The famnum variable that was used in </w:t>
      </w:r>
      <w:r w:rsidR="00C20CA0" w:rsidRPr="00C1603D">
        <w:t>CPRD GOLD</w:t>
      </w:r>
      <w:r w:rsidRPr="00C1603D">
        <w:t xml:space="preserve"> to derive the first-degree relatives indicator does not exist in </w:t>
      </w:r>
      <w:r w:rsidR="00412351" w:rsidRPr="00C1603D">
        <w:t>Aurum</w:t>
      </w:r>
      <w:r w:rsidRPr="00C1603D">
        <w:t>. To account for this, we present all model performance measures as a range for individuals with and individuals without a first-degree relative with CD.</w:t>
      </w:r>
    </w:p>
    <w:p w14:paraId="462A30C8" w14:textId="77777777" w:rsidR="008B4DF8" w:rsidRPr="00C1603D" w:rsidRDefault="008B4DF8" w:rsidP="008B4DF8">
      <w:pPr>
        <w:pStyle w:val="54CheadHeadingsHeadingstyles"/>
      </w:pPr>
      <w:r w:rsidRPr="00C1603D">
        <w:t>Validation</w:t>
      </w:r>
    </w:p>
    <w:p w14:paraId="5B9E39CD" w14:textId="707D4287" w:rsidR="008B4DF8" w:rsidRPr="00C1603D" w:rsidRDefault="008B4DF8" w:rsidP="008B4DF8">
      <w:pPr>
        <w:pStyle w:val="602TextfoTextstylesTextstyles"/>
      </w:pPr>
      <w:r w:rsidRPr="00C1603D">
        <w:t xml:space="preserve">Predictions were made for the patients in Aurum using the intercepts and coefficients from the models developed in </w:t>
      </w:r>
      <w:r w:rsidR="00C20CA0" w:rsidRPr="00C1603D">
        <w:t>CPRD GOLD</w:t>
      </w:r>
      <w:r w:rsidRPr="00C1603D">
        <w:t xml:space="preserve">. Model performance statistics were calculated as described </w:t>
      </w:r>
      <w:r w:rsidR="006476DA" w:rsidRPr="00C1603D">
        <w:t>previously</w:t>
      </w:r>
      <w:r w:rsidRPr="00C1603D">
        <w:t>.</w:t>
      </w:r>
    </w:p>
    <w:p w14:paraId="601C62CF" w14:textId="2455B31E" w:rsidR="008B4DF8" w:rsidRPr="00C1603D" w:rsidRDefault="008B4DF8" w:rsidP="008B4DF8">
      <w:pPr>
        <w:pStyle w:val="53BheadHeadingsHeadingstyles"/>
      </w:pPr>
      <w:bookmarkStart w:id="196" w:name="_Toc99539843"/>
      <w:r w:rsidRPr="00C1603D">
        <w:t>Model development in</w:t>
      </w:r>
      <w:r w:rsidR="007C4165" w:rsidRPr="00C1603D">
        <w:t xml:space="preserve"> the</w:t>
      </w:r>
      <w:r w:rsidRPr="00C1603D">
        <w:t xml:space="preserve"> </w:t>
      </w:r>
      <w:bookmarkEnd w:id="196"/>
      <w:r w:rsidR="007C4165" w:rsidRPr="00C1603D">
        <w:t>Avon Longitudinal Study of Parents and Children</w:t>
      </w:r>
    </w:p>
    <w:p w14:paraId="3C078A46" w14:textId="77777777" w:rsidR="008B4DF8" w:rsidRPr="00C1603D" w:rsidRDefault="008B4DF8" w:rsidP="008B4DF8">
      <w:pPr>
        <w:pStyle w:val="54CheadHeadingsHeadingstyles"/>
      </w:pPr>
      <w:r w:rsidRPr="00C1603D">
        <w:t>Sources of data</w:t>
      </w:r>
    </w:p>
    <w:p w14:paraId="08506890" w14:textId="13C756DB" w:rsidR="008B4DF8" w:rsidRPr="00C1603D" w:rsidRDefault="008B4DF8" w:rsidP="008B4DF8">
      <w:pPr>
        <w:pStyle w:val="602TextfoTextstylesTextstyles"/>
        <w:rPr>
          <w:color w:val="auto"/>
        </w:rPr>
      </w:pPr>
      <w:r w:rsidRPr="00C1603D">
        <w:t xml:space="preserve">We requested individual participant data from the Avon Longitudinal Study of Parents and Children (ALSPAC), a </w:t>
      </w:r>
      <w:r w:rsidR="00631EC4" w:rsidRPr="00C1603D">
        <w:t>population-based</w:t>
      </w:r>
      <w:r w:rsidRPr="00C1603D">
        <w:t xml:space="preserve"> cohort study established in 1990.</w:t>
      </w:r>
      <w:r w:rsidRPr="00C1603D">
        <w:rPr>
          <w:noProof/>
          <w:vertAlign w:val="superscript"/>
        </w:rPr>
        <w:t>60</w:t>
      </w:r>
      <w:r w:rsidRPr="00C1603D">
        <w:rPr>
          <w:noProof/>
          <w:color w:val="00B0F0"/>
          <w:vertAlign w:val="superscript"/>
        </w:rPr>
        <w:t>–6</w:t>
      </w:r>
      <w:r w:rsidRPr="00C1603D">
        <w:rPr>
          <w:noProof/>
          <w:vertAlign w:val="superscript"/>
        </w:rPr>
        <w:t>2</w:t>
      </w:r>
      <w:r w:rsidRPr="00C1603D">
        <w:t xml:space="preserve"> A substudy of </w:t>
      </w:r>
      <w:r w:rsidR="00E576B8" w:rsidRPr="00C1603D">
        <w:t xml:space="preserve">the </w:t>
      </w:r>
      <w:r w:rsidRPr="00C1603D">
        <w:t>ALSPAC</w:t>
      </w:r>
      <w:r w:rsidR="00C555D0" w:rsidRPr="00C1603D">
        <w:t>,</w:t>
      </w:r>
      <w:r w:rsidRPr="00C1603D">
        <w:t xml:space="preserve"> published in 2004,</w:t>
      </w:r>
      <w:r w:rsidRPr="00C1603D">
        <w:rPr>
          <w:noProof/>
          <w:vertAlign w:val="superscript"/>
        </w:rPr>
        <w:t>63</w:t>
      </w:r>
      <w:r w:rsidRPr="00C1603D">
        <w:t xml:space="preserve"> involved serological testing for CD in 5470 children aged 7.5 years. Ethic</w:t>
      </w:r>
      <w:r w:rsidR="00C555D0" w:rsidRPr="00C1603D">
        <w:t>s</w:t>
      </w:r>
      <w:r w:rsidRPr="00C1603D">
        <w:t xml:space="preserve"> approval for the study was obtained from the ALSPAC Ethics and Law Committee and the </w:t>
      </w:r>
      <w:r w:rsidR="00335717" w:rsidRPr="00C1603D">
        <w:t>l</w:t>
      </w:r>
      <w:r w:rsidRPr="00C1603D">
        <w:t>ocal Research Ethics Committees. Consent for biological samples has been collected in accordance with the Human Tissue Act (2004).</w:t>
      </w:r>
      <w:r w:rsidR="00C07E40" w:rsidRPr="00C1603D">
        <w:rPr>
          <w:vertAlign w:val="superscript"/>
        </w:rPr>
        <w:t>601</w:t>
      </w:r>
      <w:r w:rsidRPr="00C1603D">
        <w:t xml:space="preserve"> Informed consent for the use of data collected via questionnaires and clinics was obtained from participants following the recommendations of the ALSPAC Ethics and Law Committee at the time.</w:t>
      </w:r>
    </w:p>
    <w:p w14:paraId="0FC81A95" w14:textId="4299C907" w:rsidR="008B4DF8" w:rsidRPr="00C1603D" w:rsidRDefault="00E576B8" w:rsidP="008B4DF8">
      <w:pPr>
        <w:pStyle w:val="602TextfoTextstylesTextstyles"/>
      </w:pPr>
      <w:r w:rsidRPr="00C1603D">
        <w:rPr>
          <w:color w:val="auto"/>
        </w:rPr>
        <w:t xml:space="preserve">The </w:t>
      </w:r>
      <w:r w:rsidR="008B4DF8" w:rsidRPr="00C1603D">
        <w:rPr>
          <w:color w:val="auto"/>
        </w:rPr>
        <w:t xml:space="preserve">ALSPAC has not collected information on all candidate diagnostic indicators that were considered in the CPRD model, so it was not possible to validate the CPRD model in </w:t>
      </w:r>
      <w:r w:rsidRPr="00C1603D">
        <w:rPr>
          <w:color w:val="auto"/>
        </w:rPr>
        <w:t>this</w:t>
      </w:r>
      <w:r w:rsidR="008B4DF8" w:rsidRPr="00C1603D">
        <w:rPr>
          <w:color w:val="auto"/>
        </w:rPr>
        <w:t xml:space="preserve"> data set. </w:t>
      </w:r>
      <w:r w:rsidRPr="00C1603D">
        <w:rPr>
          <w:color w:val="auto"/>
        </w:rPr>
        <w:t>T</w:t>
      </w:r>
      <w:r w:rsidR="008B4DF8" w:rsidRPr="00C1603D">
        <w:rPr>
          <w:color w:val="auto"/>
        </w:rPr>
        <w:t>he study website</w:t>
      </w:r>
      <w:r w:rsidRPr="00C1603D">
        <w:rPr>
          <w:color w:val="auto"/>
          <w:vertAlign w:val="superscript"/>
        </w:rPr>
        <w:t>64</w:t>
      </w:r>
      <w:r w:rsidR="008B4DF8" w:rsidRPr="00C1603D">
        <w:rPr>
          <w:color w:val="auto"/>
        </w:rPr>
        <w:t xml:space="preserve"> contains details of all the data that </w:t>
      </w:r>
      <w:r w:rsidRPr="00C1603D">
        <w:rPr>
          <w:color w:val="auto"/>
        </w:rPr>
        <w:t>are</w:t>
      </w:r>
      <w:r w:rsidR="008B4DF8" w:rsidRPr="00C1603D">
        <w:rPr>
          <w:color w:val="auto"/>
        </w:rPr>
        <w:t xml:space="preserve"> available through a fully searchable data dictionary </w:t>
      </w:r>
      <w:r w:rsidR="008B4DF8" w:rsidRPr="00C1603D">
        <w:lastRenderedPageBreak/>
        <w:t>and variable search tool.</w:t>
      </w:r>
    </w:p>
    <w:p w14:paraId="0AB0776F" w14:textId="77777777" w:rsidR="008B4DF8" w:rsidRPr="00C1603D" w:rsidRDefault="008B4DF8" w:rsidP="008B4DF8">
      <w:pPr>
        <w:pStyle w:val="54CheadHeadingsHeadingstyles"/>
      </w:pPr>
      <w:r w:rsidRPr="00C1603D">
        <w:t>Model specification</w:t>
      </w:r>
    </w:p>
    <w:p w14:paraId="2EE2A4BB" w14:textId="70E7020E" w:rsidR="008B4DF8" w:rsidRPr="00C1603D" w:rsidRDefault="008B4DF8" w:rsidP="008B4DF8">
      <w:pPr>
        <w:pStyle w:val="602TextfoTextstylesTextstyles"/>
      </w:pPr>
      <w:r w:rsidRPr="00C1603D">
        <w:t xml:space="preserve">Candidate diagnostic indicators for the ALSPAC model were selected based on the results from the final model developed in </w:t>
      </w:r>
      <w:r w:rsidR="00C20CA0" w:rsidRPr="00C1603D">
        <w:t>CPRD GOLD</w:t>
      </w:r>
      <w:r w:rsidRPr="00C1603D">
        <w:t xml:space="preserve">. The prevalence of indicators </w:t>
      </w:r>
      <w:r w:rsidR="009C722B" w:rsidRPr="00C1603D">
        <w:t>among</w:t>
      </w:r>
      <w:r w:rsidRPr="00C1603D">
        <w:t xml:space="preserve"> children with and </w:t>
      </w:r>
      <w:r w:rsidR="009C722B" w:rsidRPr="00C1603D">
        <w:t xml:space="preserve">children </w:t>
      </w:r>
      <w:r w:rsidRPr="00C1603D">
        <w:t>without CD was compared using Fisher</w:t>
      </w:r>
      <w:r w:rsidRPr="00C1603D">
        <w:rPr>
          <w:color w:val="00B0F0"/>
        </w:rPr>
        <w:t>’</w:t>
      </w:r>
      <w:r w:rsidRPr="00C1603D">
        <w:t>s exact test (categorical indicators) and Welch</w:t>
      </w:r>
      <w:r w:rsidR="009C722B" w:rsidRPr="00C1603D">
        <w:t>’s</w:t>
      </w:r>
      <w:r w:rsidRPr="00C1603D">
        <w:t xml:space="preserve"> </w:t>
      </w:r>
      <w:r w:rsidR="009C722B" w:rsidRPr="00C1603D">
        <w:t>t</w:t>
      </w:r>
      <w:r w:rsidRPr="00C1603D">
        <w:t xml:space="preserve">wo-sample </w:t>
      </w:r>
      <w:r w:rsidRPr="00C1603D">
        <w:rPr>
          <w:i/>
          <w:iCs/>
        </w:rPr>
        <w:t>t</w:t>
      </w:r>
      <w:r w:rsidRPr="00C1603D">
        <w:t>-test (continuous indicators). Univariable associations between candidate indicators and CD were estimated using Firth logistic regression for rare events to overcome problems of perfect prediction between outcome and indicators.</w:t>
      </w:r>
      <w:r w:rsidRPr="00C1603D">
        <w:rPr>
          <w:noProof/>
          <w:vertAlign w:val="superscript"/>
        </w:rPr>
        <w:t>65,66</w:t>
      </w:r>
      <w:r w:rsidRPr="00C1603D">
        <w:t xml:space="preserve"> </w:t>
      </w:r>
      <w:r w:rsidR="0042133D" w:rsidRPr="00C1603D">
        <w:t>Owing</w:t>
      </w:r>
      <w:r w:rsidRPr="00C1603D">
        <w:t xml:space="preserve"> to the small number of cases in this cohort, it was not considered appropriate to fit multivariable models.</w:t>
      </w:r>
    </w:p>
    <w:p w14:paraId="47D677BE" w14:textId="5E395527" w:rsidR="008B4DF8" w:rsidRPr="00C1603D" w:rsidRDefault="0042133D" w:rsidP="008B4DF8">
      <w:pPr>
        <w:pStyle w:val="54CheadHeadingsHeadingstyles"/>
      </w:pPr>
      <w:r w:rsidRPr="00C1603D">
        <w:t xml:space="preserve">Avon Longitudinal Study of Parents and Children: </w:t>
      </w:r>
      <w:r w:rsidR="008B4DF8" w:rsidRPr="00C1603D">
        <w:t>missing data</w:t>
      </w:r>
    </w:p>
    <w:p w14:paraId="09BC9DC0" w14:textId="3E6064F0" w:rsidR="008B4DF8" w:rsidRPr="00C1603D" w:rsidRDefault="0042133D" w:rsidP="008B4DF8">
      <w:pPr>
        <w:pStyle w:val="602TextfoTextstylesTextstyles"/>
      </w:pPr>
      <w:r w:rsidRPr="00C1603D">
        <w:t>As</w:t>
      </w:r>
      <w:r w:rsidR="008B4DF8" w:rsidRPr="00C1603D">
        <w:t xml:space="preserve"> it is possible for candidate indicators collected in </w:t>
      </w:r>
      <w:r w:rsidRPr="00C1603D">
        <w:t xml:space="preserve">the </w:t>
      </w:r>
      <w:r w:rsidR="008B4DF8" w:rsidRPr="00C1603D">
        <w:t xml:space="preserve">ALSPAC to be incomplete </w:t>
      </w:r>
      <w:r w:rsidRPr="00C1603D">
        <w:t>(</w:t>
      </w:r>
      <w:r w:rsidR="008B4DF8" w:rsidRPr="00C1603D">
        <w:t xml:space="preserve">e.g. </w:t>
      </w:r>
      <w:r w:rsidRPr="00C1603D">
        <w:t>because of</w:t>
      </w:r>
      <w:r w:rsidR="008B4DF8" w:rsidRPr="00C1603D">
        <w:t xml:space="preserve"> non-response to questionnaire items</w:t>
      </w:r>
      <w:r w:rsidRPr="00C1603D">
        <w:t>)</w:t>
      </w:r>
      <w:r w:rsidR="008B4DF8" w:rsidRPr="00C1603D">
        <w:t>, missingness was investigated in all indicators. If indicators were partially missing, whe</w:t>
      </w:r>
      <w:r w:rsidR="00F31A4D" w:rsidRPr="00C1603D">
        <w:t>n</w:t>
      </w:r>
      <w:r w:rsidR="008B4DF8" w:rsidRPr="00C1603D">
        <w:t xml:space="preserve"> there </w:t>
      </w:r>
      <w:r w:rsidR="00F31A4D" w:rsidRPr="00C1603D">
        <w:t>were</w:t>
      </w:r>
      <w:r w:rsidR="008B4DF8" w:rsidRPr="00C1603D">
        <w:t xml:space="preserve"> sufficient data, we considered imputing missing values using multiple imputation by chained equations, assuming values were missing at random conditional on observed covariates.</w:t>
      </w:r>
    </w:p>
    <w:p w14:paraId="23FC8D8B" w14:textId="77777777" w:rsidR="008B4DF8" w:rsidRPr="00C1603D" w:rsidRDefault="008B4DF8" w:rsidP="008B4DF8">
      <w:pPr>
        <w:pStyle w:val="53BheadHeadingsHeadingstyles"/>
      </w:pPr>
      <w:bookmarkStart w:id="197" w:name="_Toc99539844"/>
      <w:r w:rsidRPr="00C1603D">
        <w:t>Deviations from protocol</w:t>
      </w:r>
      <w:bookmarkEnd w:id="197"/>
    </w:p>
    <w:p w14:paraId="2ACEC937" w14:textId="356D6127" w:rsidR="008B4DF8" w:rsidRPr="00C1603D" w:rsidRDefault="008B4DF8" w:rsidP="008B4DF8">
      <w:pPr>
        <w:pStyle w:val="602TextfoTextstylesTextstyles"/>
      </w:pPr>
      <w:r w:rsidRPr="00C1603D">
        <w:t xml:space="preserve">In the CPRD model development, we used logistic regression instead of conditional logistic regression because cases and controls were matched on very few characteristics, namely being a child or an adult and </w:t>
      </w:r>
      <w:r w:rsidR="00120ADA" w:rsidRPr="00C1603D">
        <w:t>general practice</w:t>
      </w:r>
      <w:r w:rsidRPr="00C1603D">
        <w:t>. Interaction terms were not considered as they are rarely important for clinical prediction models.</w:t>
      </w:r>
      <w:r w:rsidRPr="00C1603D">
        <w:rPr>
          <w:noProof/>
          <w:vertAlign w:val="superscript"/>
        </w:rPr>
        <w:t>67</w:t>
      </w:r>
    </w:p>
    <w:p w14:paraId="5A0A13E7" w14:textId="01A88E19" w:rsidR="008B4DF8" w:rsidRPr="00C1603D" w:rsidRDefault="008B4DF8" w:rsidP="008B4DF8">
      <w:pPr>
        <w:pStyle w:val="602TextfoTextstylesTextstyles"/>
      </w:pPr>
      <w:r w:rsidRPr="00C1603D">
        <w:t>We planned to validate the CPRD model in children in the ALSPAC cohort. However, this was not possible because many of the selected indicators in the CPRD model were not recorded in</w:t>
      </w:r>
      <w:r w:rsidR="003965FA" w:rsidRPr="00C1603D">
        <w:t xml:space="preserve"> the</w:t>
      </w:r>
      <w:r w:rsidRPr="00C1603D">
        <w:t xml:space="preserve"> ALSPAC</w:t>
      </w:r>
      <w:r w:rsidR="003965FA" w:rsidRPr="00C1603D">
        <w:t>,</w:t>
      </w:r>
      <w:r w:rsidRPr="00C1603D">
        <w:t xml:space="preserve"> and</w:t>
      </w:r>
      <w:r w:rsidR="003965FA" w:rsidRPr="00C1603D">
        <w:t>,</w:t>
      </w:r>
      <w:r w:rsidRPr="00C1603D">
        <w:t xml:space="preserve"> among the indicators that were available</w:t>
      </w:r>
      <w:r w:rsidR="003965FA" w:rsidRPr="00C1603D">
        <w:t>,</w:t>
      </w:r>
      <w:r w:rsidRPr="00C1603D">
        <w:t xml:space="preserve"> there was a lot of missingness.</w:t>
      </w:r>
    </w:p>
    <w:p w14:paraId="4FAA655A" w14:textId="77777777" w:rsidR="008B4DF8" w:rsidRPr="00C1603D" w:rsidRDefault="008B4DF8" w:rsidP="008B4DF8">
      <w:pPr>
        <w:pStyle w:val="52AheadHeadingsHeadingstyles"/>
      </w:pPr>
      <w:bookmarkStart w:id="198" w:name="_Toc99539845"/>
      <w:r w:rsidRPr="00C1603D">
        <w:t>Results</w:t>
      </w:r>
      <w:bookmarkEnd w:id="198"/>
    </w:p>
    <w:p w14:paraId="56FEFEC4" w14:textId="5119F577" w:rsidR="008B4DF8" w:rsidRPr="00C1603D" w:rsidRDefault="001D6E4E" w:rsidP="008B4DF8">
      <w:pPr>
        <w:pStyle w:val="53BheadHeadingsHeadingstyles"/>
      </w:pPr>
      <w:bookmarkStart w:id="199" w:name="_Toc99539846"/>
      <w:r w:rsidRPr="00C1603D">
        <w:t>Clinical Practice Research Datalink</w:t>
      </w:r>
      <w:r w:rsidR="008B4DF8" w:rsidRPr="00C1603D">
        <w:t xml:space="preserve"> participants</w:t>
      </w:r>
      <w:bookmarkEnd w:id="199"/>
    </w:p>
    <w:p w14:paraId="0F809393" w14:textId="5AC36769" w:rsidR="008B4DF8" w:rsidRPr="00C1603D" w:rsidRDefault="008B4DF8" w:rsidP="008B4DF8">
      <w:pPr>
        <w:pStyle w:val="602TextfoTextstylesTextstyles"/>
      </w:pPr>
      <w:r w:rsidRPr="00C1603D">
        <w:rPr>
          <w:i/>
          <w:iCs/>
        </w:rPr>
        <w:t>Appendix</w:t>
      </w:r>
      <w:r w:rsidRPr="00C1603D">
        <w:rPr>
          <w:i/>
          <w:iCs/>
          <w:color w:val="auto"/>
        </w:rPr>
        <w:t xml:space="preserve"> 10</w:t>
      </w:r>
      <w:r w:rsidR="001D6E4E" w:rsidRPr="00C1603D">
        <w:rPr>
          <w:color w:val="auto"/>
        </w:rPr>
        <w:t>,</w:t>
      </w:r>
      <w:r w:rsidRPr="00C1603D">
        <w:rPr>
          <w:color w:val="auto"/>
        </w:rPr>
        <w:t xml:space="preserve"> </w:t>
      </w:r>
      <w:r w:rsidRPr="00C1603D">
        <w:rPr>
          <w:i/>
          <w:color w:val="auto"/>
        </w:rPr>
        <w:t xml:space="preserve">Figure </w:t>
      </w:r>
      <w:r w:rsidRPr="00C1603D">
        <w:rPr>
          <w:i/>
          <w:noProof/>
          <w:color w:val="auto"/>
        </w:rPr>
        <w:t>54</w:t>
      </w:r>
      <w:r w:rsidR="001D6E4E" w:rsidRPr="00C1603D">
        <w:rPr>
          <w:iCs/>
          <w:noProof/>
          <w:color w:val="auto"/>
        </w:rPr>
        <w:t>,</w:t>
      </w:r>
      <w:r w:rsidRPr="00C1603D">
        <w:rPr>
          <w:color w:val="auto"/>
        </w:rPr>
        <w:t xml:space="preserve"> </w:t>
      </w:r>
      <w:r w:rsidRPr="00C1603D">
        <w:t xml:space="preserve">shows the patient flow diagrams for the CPRD development </w:t>
      </w:r>
      <w:r w:rsidRPr="00C1603D">
        <w:rPr>
          <w:color w:val="00B0F0"/>
        </w:rPr>
        <w:t>data set</w:t>
      </w:r>
      <w:r w:rsidRPr="00C1603D">
        <w:t xml:space="preserve"> and </w:t>
      </w:r>
      <w:r w:rsidR="00081B1A" w:rsidRPr="00C1603D">
        <w:t xml:space="preserve">the </w:t>
      </w:r>
      <w:r w:rsidRPr="00C1603D">
        <w:t xml:space="preserve">external validation </w:t>
      </w:r>
      <w:r w:rsidRPr="00C1603D">
        <w:rPr>
          <w:color w:val="00B0F0"/>
        </w:rPr>
        <w:t>data set</w:t>
      </w:r>
      <w:r w:rsidRPr="00C1603D">
        <w:t>. Cases and controls had an average follow</w:t>
      </w:r>
      <w:r w:rsidR="0032639A" w:rsidRPr="00C1603D">
        <w:t>-</w:t>
      </w:r>
      <w:r w:rsidRPr="00C1603D">
        <w:t xml:space="preserve">up time of 7 years prior to CD diagnosis </w:t>
      </w:r>
      <w:r w:rsidR="0032639A" w:rsidRPr="00C1603D">
        <w:t>[</w:t>
      </w:r>
      <w:r w:rsidRPr="00C1603D">
        <w:t>median 7</w:t>
      </w:r>
      <w:r w:rsidR="0032639A" w:rsidRPr="00C1603D">
        <w:t xml:space="preserve"> years</w:t>
      </w:r>
      <w:r w:rsidRPr="00C1603D">
        <w:t xml:space="preserve">, </w:t>
      </w:r>
      <w:r w:rsidR="0032639A" w:rsidRPr="00C1603D">
        <w:t>interquartile range (</w:t>
      </w:r>
      <w:r w:rsidRPr="00C1603D">
        <w:t>IQR</w:t>
      </w:r>
      <w:r w:rsidR="0032639A" w:rsidRPr="00C1603D">
        <w:t>)</w:t>
      </w:r>
      <w:r w:rsidRPr="00C1603D">
        <w:t xml:space="preserve"> 3</w:t>
      </w:r>
      <w:r w:rsidR="0032639A" w:rsidRPr="00C1603D">
        <w:t>–</w:t>
      </w:r>
      <w:r w:rsidRPr="00C1603D">
        <w:t>11 years, range 1</w:t>
      </w:r>
      <w:r w:rsidR="0032639A" w:rsidRPr="00C1603D">
        <w:t>–</w:t>
      </w:r>
      <w:r w:rsidRPr="00C1603D">
        <w:t>31 years</w:t>
      </w:r>
      <w:r w:rsidR="0032639A" w:rsidRPr="00C1603D">
        <w:t>]</w:t>
      </w:r>
      <w:r w:rsidRPr="00C1603D">
        <w:t>.</w:t>
      </w:r>
    </w:p>
    <w:p w14:paraId="52AA373B" w14:textId="7E6E90C2" w:rsidR="008B4DF8" w:rsidRPr="00C1603D" w:rsidRDefault="008B4DF8" w:rsidP="008B4DF8">
      <w:pPr>
        <w:pStyle w:val="602TextfoTextstylesTextstyles"/>
        <w:rPr>
          <w:rFonts w:eastAsia="Calibri"/>
          <w:color w:val="auto"/>
          <w:bdr w:val="nil"/>
          <w:lang w:eastAsia="zh-CN"/>
        </w:rPr>
      </w:pPr>
      <w:r w:rsidRPr="00C1603D">
        <w:rPr>
          <w:rFonts w:eastAsia="Calibri"/>
          <w:i/>
          <w:iCs/>
          <w:color w:val="FF0000"/>
          <w:bdr w:val="nil"/>
          <w:lang w:eastAsia="zh-CN"/>
        </w:rPr>
        <w:t xml:space="preserve">Table </w:t>
      </w:r>
      <w:r w:rsidRPr="00C1603D">
        <w:rPr>
          <w:rFonts w:eastAsia="Calibri"/>
          <w:i/>
          <w:iCs/>
          <w:noProof/>
          <w:color w:val="FF0000"/>
          <w:bdr w:val="nil"/>
          <w:lang w:eastAsia="zh-CN"/>
        </w:rPr>
        <w:t>2</w:t>
      </w:r>
      <w:r w:rsidRPr="00C1603D">
        <w:rPr>
          <w:rFonts w:eastAsia="Calibri"/>
          <w:bdr w:val="nil"/>
          <w:lang w:eastAsia="zh-CN"/>
        </w:rPr>
        <w:t xml:space="preserve"> describes the </w:t>
      </w:r>
      <w:r w:rsidRPr="00C1603D">
        <w:rPr>
          <w:rFonts w:eastAsia="Calibri"/>
          <w:color w:val="auto"/>
          <w:bdr w:val="nil"/>
          <w:lang w:eastAsia="zh-CN"/>
        </w:rPr>
        <w:t xml:space="preserve">characteristics of the participants and the prevalence of selected indicators in the development data set and </w:t>
      </w:r>
      <w:r w:rsidR="006064EA" w:rsidRPr="00C1603D">
        <w:rPr>
          <w:rFonts w:eastAsia="Calibri"/>
          <w:color w:val="auto"/>
          <w:bdr w:val="nil"/>
          <w:lang w:eastAsia="zh-CN"/>
        </w:rPr>
        <w:t xml:space="preserve">the </w:t>
      </w:r>
      <w:r w:rsidRPr="00C1603D">
        <w:rPr>
          <w:rFonts w:eastAsia="Calibri"/>
          <w:color w:val="auto"/>
          <w:bdr w:val="nil"/>
          <w:lang w:eastAsia="zh-CN"/>
        </w:rPr>
        <w:t>external validation data set for children, women and men. In both data sets, the prevalence of CD was significantly higher</w:t>
      </w:r>
      <w:r w:rsidR="006064EA" w:rsidRPr="00C1603D">
        <w:rPr>
          <w:rFonts w:eastAsia="Calibri"/>
          <w:color w:val="auto"/>
          <w:bdr w:val="nil"/>
          <w:lang w:eastAsia="zh-CN"/>
        </w:rPr>
        <w:t xml:space="preserve"> among girls</w:t>
      </w:r>
      <w:r w:rsidRPr="00C1603D">
        <w:rPr>
          <w:rFonts w:eastAsia="Calibri"/>
          <w:color w:val="auto"/>
          <w:bdr w:val="nil"/>
          <w:lang w:eastAsia="zh-CN"/>
        </w:rPr>
        <w:t xml:space="preserve"> than boys in the cohort of children, with almost two-thirds of CD patients being girls. Median age and age ranges were similar between CD patients and controls in the cohort of children in the development data set</w:t>
      </w:r>
      <w:r w:rsidR="00D75910" w:rsidRPr="00C1603D">
        <w:rPr>
          <w:rFonts w:eastAsia="Calibri"/>
          <w:color w:val="auto"/>
          <w:bdr w:val="nil"/>
          <w:lang w:eastAsia="zh-CN"/>
        </w:rPr>
        <w:t>; however,</w:t>
      </w:r>
      <w:r w:rsidRPr="00C1603D">
        <w:rPr>
          <w:rFonts w:eastAsia="Calibri"/>
          <w:color w:val="auto"/>
          <w:bdr w:val="nil"/>
          <w:lang w:eastAsia="zh-CN"/>
        </w:rPr>
        <w:t xml:space="preserve"> in the validation data set, children with CD were</w:t>
      </w:r>
      <w:r w:rsidR="006064EA" w:rsidRPr="00C1603D">
        <w:rPr>
          <w:rFonts w:eastAsia="Calibri"/>
          <w:color w:val="auto"/>
          <w:bdr w:val="nil"/>
          <w:lang w:eastAsia="zh-CN"/>
        </w:rPr>
        <w:t>,</w:t>
      </w:r>
      <w:r w:rsidRPr="00C1603D">
        <w:rPr>
          <w:rFonts w:eastAsia="Calibri"/>
          <w:color w:val="auto"/>
          <w:bdr w:val="nil"/>
          <w:lang w:eastAsia="zh-CN"/>
        </w:rPr>
        <w:t xml:space="preserve"> on average</w:t>
      </w:r>
      <w:r w:rsidR="006064EA" w:rsidRPr="00C1603D">
        <w:rPr>
          <w:rFonts w:eastAsia="Calibri"/>
          <w:color w:val="auto"/>
          <w:bdr w:val="nil"/>
          <w:lang w:eastAsia="zh-CN"/>
        </w:rPr>
        <w:t>,</w:t>
      </w:r>
      <w:r w:rsidRPr="00C1603D">
        <w:rPr>
          <w:rFonts w:eastAsia="Calibri"/>
          <w:color w:val="auto"/>
          <w:bdr w:val="nil"/>
          <w:lang w:eastAsia="zh-CN"/>
        </w:rPr>
        <w:t xml:space="preserve"> </w:t>
      </w:r>
      <w:r w:rsidR="006064EA" w:rsidRPr="00C1603D">
        <w:rPr>
          <w:rFonts w:eastAsia="Calibri"/>
          <w:color w:val="auto"/>
          <w:bdr w:val="nil"/>
          <w:lang w:eastAsia="zh-CN"/>
        </w:rPr>
        <w:t>1</w:t>
      </w:r>
      <w:r w:rsidRPr="00C1603D">
        <w:rPr>
          <w:rFonts w:eastAsia="Calibri"/>
          <w:color w:val="auto"/>
          <w:bdr w:val="nil"/>
          <w:lang w:eastAsia="zh-CN"/>
        </w:rPr>
        <w:t xml:space="preserve"> year younger than controls. In the development data set for women, </w:t>
      </w:r>
      <w:r w:rsidR="00D75910" w:rsidRPr="00C1603D">
        <w:rPr>
          <w:rFonts w:eastAsia="Calibri"/>
          <w:color w:val="auto"/>
          <w:bdr w:val="nil"/>
          <w:lang w:eastAsia="zh-CN"/>
        </w:rPr>
        <w:t xml:space="preserve">the </w:t>
      </w:r>
      <w:r w:rsidRPr="00C1603D">
        <w:rPr>
          <w:rFonts w:eastAsia="Calibri"/>
          <w:color w:val="auto"/>
          <w:bdr w:val="nil"/>
          <w:lang w:eastAsia="zh-CN"/>
        </w:rPr>
        <w:t>median age was 49</w:t>
      </w:r>
      <w:r w:rsidR="00D75910" w:rsidRPr="00C1603D">
        <w:rPr>
          <w:rFonts w:eastAsia="Calibri"/>
          <w:color w:val="auto"/>
          <w:bdr w:val="nil"/>
          <w:lang w:eastAsia="zh-CN"/>
        </w:rPr>
        <w:t xml:space="preserve"> years</w:t>
      </w:r>
      <w:r w:rsidRPr="00C1603D">
        <w:rPr>
          <w:rFonts w:eastAsia="Calibri"/>
          <w:color w:val="auto"/>
          <w:bdr w:val="nil"/>
          <w:lang w:eastAsia="zh-CN"/>
        </w:rPr>
        <w:t xml:space="preserve"> </w:t>
      </w:r>
      <w:r w:rsidR="00D75910" w:rsidRPr="00C1603D">
        <w:rPr>
          <w:rFonts w:eastAsia="Calibri"/>
          <w:color w:val="auto"/>
          <w:bdr w:val="nil"/>
          <w:lang w:eastAsia="zh-CN"/>
        </w:rPr>
        <w:t>for</w:t>
      </w:r>
      <w:r w:rsidRPr="00C1603D">
        <w:rPr>
          <w:rFonts w:eastAsia="Calibri"/>
          <w:color w:val="auto"/>
          <w:bdr w:val="nil"/>
          <w:lang w:eastAsia="zh-CN"/>
        </w:rPr>
        <w:t xml:space="preserve"> both cases and controls. In the external validation data set, </w:t>
      </w:r>
      <w:r w:rsidR="00D75910" w:rsidRPr="00C1603D">
        <w:rPr>
          <w:rFonts w:eastAsia="Calibri"/>
          <w:color w:val="auto"/>
          <w:bdr w:val="nil"/>
          <w:lang w:eastAsia="zh-CN"/>
        </w:rPr>
        <w:t xml:space="preserve">the </w:t>
      </w:r>
      <w:r w:rsidRPr="00C1603D">
        <w:rPr>
          <w:rFonts w:eastAsia="Calibri"/>
          <w:color w:val="auto"/>
          <w:bdr w:val="nil"/>
          <w:lang w:eastAsia="zh-CN"/>
        </w:rPr>
        <w:t>median age was similar</w:t>
      </w:r>
      <w:r w:rsidR="00D75910" w:rsidRPr="00C1603D">
        <w:rPr>
          <w:rFonts w:eastAsia="Calibri"/>
          <w:color w:val="auto"/>
          <w:bdr w:val="nil"/>
          <w:lang w:eastAsia="zh-CN"/>
        </w:rPr>
        <w:t>,</w:t>
      </w:r>
      <w:r w:rsidRPr="00C1603D">
        <w:rPr>
          <w:rFonts w:eastAsia="Calibri"/>
          <w:color w:val="auto"/>
          <w:bdr w:val="nil"/>
          <w:lang w:eastAsia="zh-CN"/>
        </w:rPr>
        <w:t xml:space="preserve"> at 47</w:t>
      </w:r>
      <w:r w:rsidR="00D75910" w:rsidRPr="00C1603D">
        <w:rPr>
          <w:rFonts w:eastAsia="Calibri"/>
          <w:color w:val="auto"/>
          <w:bdr w:val="nil"/>
          <w:lang w:eastAsia="zh-CN"/>
        </w:rPr>
        <w:t xml:space="preserve"> years,</w:t>
      </w:r>
      <w:r w:rsidRPr="00C1603D">
        <w:rPr>
          <w:rFonts w:eastAsia="Calibri"/>
          <w:color w:val="auto"/>
          <w:bdr w:val="nil"/>
          <w:lang w:eastAsia="zh-CN"/>
        </w:rPr>
        <w:t xml:space="preserve"> although cases were</w:t>
      </w:r>
      <w:r w:rsidR="00D75910" w:rsidRPr="00C1603D">
        <w:rPr>
          <w:rFonts w:eastAsia="Calibri"/>
          <w:color w:val="auto"/>
          <w:bdr w:val="nil"/>
          <w:lang w:eastAsia="zh-CN"/>
        </w:rPr>
        <w:t>,</w:t>
      </w:r>
      <w:r w:rsidRPr="00C1603D">
        <w:rPr>
          <w:rFonts w:eastAsia="Calibri"/>
          <w:color w:val="auto"/>
          <w:bdr w:val="nil"/>
          <w:lang w:eastAsia="zh-CN"/>
        </w:rPr>
        <w:t xml:space="preserve"> on average</w:t>
      </w:r>
      <w:r w:rsidR="00D75910" w:rsidRPr="00C1603D">
        <w:rPr>
          <w:rFonts w:eastAsia="Calibri"/>
          <w:color w:val="auto"/>
          <w:bdr w:val="nil"/>
          <w:lang w:eastAsia="zh-CN"/>
        </w:rPr>
        <w:t>,</w:t>
      </w:r>
      <w:r w:rsidRPr="00C1603D">
        <w:rPr>
          <w:rFonts w:eastAsia="Calibri"/>
          <w:color w:val="auto"/>
          <w:bdr w:val="nil"/>
          <w:lang w:eastAsia="zh-CN"/>
        </w:rPr>
        <w:t xml:space="preserve"> </w:t>
      </w:r>
      <w:r w:rsidR="00D75910" w:rsidRPr="00C1603D">
        <w:rPr>
          <w:rFonts w:eastAsia="Calibri"/>
          <w:color w:val="auto"/>
          <w:bdr w:val="nil"/>
          <w:lang w:eastAsia="zh-CN"/>
        </w:rPr>
        <w:t>1</w:t>
      </w:r>
      <w:r w:rsidRPr="00C1603D">
        <w:rPr>
          <w:rFonts w:eastAsia="Calibri"/>
          <w:color w:val="auto"/>
          <w:bdr w:val="nil"/>
          <w:lang w:eastAsia="zh-CN"/>
        </w:rPr>
        <w:t xml:space="preserve"> year younger than controls. In contrast to the data sets for children and women, in both data sets for men, cases were significantly older than controls</w:t>
      </w:r>
      <w:r w:rsidR="00D75910" w:rsidRPr="00C1603D">
        <w:rPr>
          <w:rFonts w:eastAsia="Calibri"/>
          <w:color w:val="auto"/>
          <w:bdr w:val="nil"/>
          <w:lang w:eastAsia="zh-CN"/>
        </w:rPr>
        <w:t>,</w:t>
      </w:r>
      <w:r w:rsidRPr="00C1603D">
        <w:rPr>
          <w:rFonts w:eastAsia="Calibri"/>
          <w:color w:val="auto"/>
          <w:bdr w:val="nil"/>
          <w:lang w:eastAsia="zh-CN"/>
        </w:rPr>
        <w:t xml:space="preserve"> with a median age of 55</w:t>
      </w:r>
      <w:r w:rsidR="00D75910" w:rsidRPr="00C1603D">
        <w:rPr>
          <w:rFonts w:eastAsia="Calibri"/>
          <w:color w:val="auto"/>
          <w:bdr w:val="nil"/>
          <w:lang w:eastAsia="zh-CN"/>
        </w:rPr>
        <w:t xml:space="preserve"> years for cases</w:t>
      </w:r>
      <w:r w:rsidR="00854799" w:rsidRPr="00C1603D">
        <w:rPr>
          <w:rFonts w:eastAsia="Calibri"/>
          <w:color w:val="auto"/>
          <w:bdr w:val="nil"/>
          <w:lang w:eastAsia="zh-CN"/>
        </w:rPr>
        <w:t xml:space="preserve"> and</w:t>
      </w:r>
      <w:r w:rsidRPr="00C1603D">
        <w:rPr>
          <w:rFonts w:eastAsia="Calibri"/>
          <w:color w:val="auto"/>
          <w:bdr w:val="nil"/>
          <w:lang w:eastAsia="zh-CN"/>
        </w:rPr>
        <w:t xml:space="preserve"> 47</w:t>
      </w:r>
      <w:r w:rsidR="00D75910" w:rsidRPr="00C1603D">
        <w:rPr>
          <w:rFonts w:eastAsia="Calibri"/>
          <w:color w:val="auto"/>
          <w:bdr w:val="nil"/>
          <w:lang w:eastAsia="zh-CN"/>
        </w:rPr>
        <w:t xml:space="preserve"> years</w:t>
      </w:r>
      <w:r w:rsidRPr="00C1603D">
        <w:rPr>
          <w:rFonts w:eastAsia="Calibri"/>
          <w:color w:val="auto"/>
          <w:bdr w:val="nil"/>
          <w:lang w:eastAsia="zh-CN"/>
        </w:rPr>
        <w:t xml:space="preserve"> </w:t>
      </w:r>
      <w:r w:rsidR="00D75910" w:rsidRPr="00C1603D">
        <w:rPr>
          <w:rFonts w:eastAsia="Calibri"/>
          <w:color w:val="auto"/>
          <w:bdr w:val="nil"/>
          <w:lang w:eastAsia="zh-CN"/>
        </w:rPr>
        <w:t>for</w:t>
      </w:r>
      <w:r w:rsidRPr="00C1603D">
        <w:rPr>
          <w:rFonts w:eastAsia="Calibri"/>
          <w:color w:val="auto"/>
          <w:bdr w:val="nil"/>
          <w:lang w:eastAsia="zh-CN"/>
        </w:rPr>
        <w:t xml:space="preserve"> controls. </w:t>
      </w:r>
      <w:commentRangeStart w:id="200"/>
      <w:commentRangeStart w:id="201"/>
      <w:r w:rsidRPr="00C1603D">
        <w:rPr>
          <w:rFonts w:eastAsia="Calibri"/>
          <w:color w:val="auto"/>
          <w:bdr w:val="nil"/>
          <w:lang w:eastAsia="zh-CN"/>
        </w:rPr>
        <w:t>On average, CD male patients were 8 and 7 years older</w:t>
      </w:r>
      <w:r w:rsidR="00703099" w:rsidRPr="00C1603D">
        <w:rPr>
          <w:rFonts w:eastAsia="Calibri"/>
          <w:color w:val="auto"/>
          <w:bdr w:val="nil"/>
          <w:lang w:eastAsia="zh-CN"/>
        </w:rPr>
        <w:t xml:space="preserve"> than controls</w:t>
      </w:r>
      <w:r w:rsidRPr="00C1603D">
        <w:rPr>
          <w:rFonts w:eastAsia="Calibri"/>
          <w:color w:val="auto"/>
          <w:bdr w:val="nil"/>
          <w:lang w:eastAsia="zh-CN"/>
        </w:rPr>
        <w:t xml:space="preserve"> in the development and validation data set</w:t>
      </w:r>
      <w:r w:rsidR="00D75910" w:rsidRPr="00C1603D">
        <w:rPr>
          <w:rFonts w:eastAsia="Calibri"/>
          <w:color w:val="auto"/>
          <w:bdr w:val="nil"/>
          <w:lang w:eastAsia="zh-CN"/>
        </w:rPr>
        <w:t>s</w:t>
      </w:r>
      <w:r w:rsidRPr="00C1603D">
        <w:rPr>
          <w:rFonts w:eastAsia="Calibri"/>
          <w:color w:val="auto"/>
          <w:bdr w:val="nil"/>
          <w:lang w:eastAsia="zh-CN"/>
        </w:rPr>
        <w:t>, respectively.</w:t>
      </w:r>
      <w:commentRangeEnd w:id="200"/>
      <w:r w:rsidR="00703099" w:rsidRPr="00C1603D">
        <w:rPr>
          <w:rFonts w:ascii="Times New Roman" w:hAnsi="Times New Roman" w:cs="Times New Roman"/>
          <w:color w:val="auto"/>
          <w:lang w:val="en-US"/>
        </w:rPr>
        <w:commentReference w:id="200"/>
      </w:r>
      <w:commentRangeEnd w:id="201"/>
      <w:r w:rsidRPr="00C1603D">
        <w:rPr>
          <w:color w:val="auto"/>
        </w:rPr>
        <w:commentReference w:id="201"/>
      </w:r>
    </w:p>
    <w:p w14:paraId="6715C18D" w14:textId="5EB99A58" w:rsidR="008B4DF8" w:rsidRPr="00C1603D" w:rsidRDefault="008B4DF8" w:rsidP="008B4DF8">
      <w:pPr>
        <w:pStyle w:val="70TablelegendTablesTableFigureBoxstyles"/>
      </w:pPr>
      <w:bookmarkStart w:id="202" w:name="_Toc99720713"/>
      <w:r w:rsidRPr="00C1603D">
        <w:rPr>
          <w:b/>
        </w:rPr>
        <w:t>TABLE 2</w:t>
      </w:r>
      <w:r w:rsidRPr="00C1603D">
        <w:rPr>
          <w:b/>
        </w:rPr>
        <w:t> </w:t>
      </w:r>
      <w:r w:rsidRPr="00C1603D">
        <w:t>Cohort of children, women and men</w:t>
      </w:r>
      <w:r w:rsidR="00703099" w:rsidRPr="00C1603D">
        <w:t>:</w:t>
      </w:r>
      <w:r w:rsidRPr="00C1603D">
        <w:t xml:space="preserve"> characteristics</w:t>
      </w:r>
      <w:bookmarkEnd w:id="202"/>
    </w:p>
    <w:tbl>
      <w:tblPr>
        <w:tblW w:w="0" w:type="auto"/>
        <w:tblCellMar>
          <w:top w:w="40" w:type="dxa"/>
          <w:left w:w="60" w:type="dxa"/>
          <w:bottom w:w="40" w:type="dxa"/>
          <w:right w:w="60" w:type="dxa"/>
        </w:tblCellMar>
        <w:tblLook w:val="04A0" w:firstRow="1" w:lastRow="0" w:firstColumn="1" w:lastColumn="0" w:noHBand="0" w:noVBand="1"/>
      </w:tblPr>
      <w:tblGrid>
        <w:gridCol w:w="1787"/>
        <w:gridCol w:w="1012"/>
        <w:gridCol w:w="1011"/>
        <w:gridCol w:w="574"/>
        <w:gridCol w:w="1011"/>
        <w:gridCol w:w="1035"/>
        <w:gridCol w:w="1011"/>
        <w:gridCol w:w="574"/>
        <w:gridCol w:w="1011"/>
      </w:tblGrid>
      <w:tr w:rsidR="00373426" w:rsidRPr="00C1603D" w14:paraId="65F62A3D" w14:textId="77777777" w:rsidTr="0044057F">
        <w:trPr>
          <w:cantSplit/>
        </w:trPr>
        <w:tc>
          <w:tcPr>
            <w:tcW w:w="0" w:type="auto"/>
            <w:vMerge w:val="restart"/>
            <w:shd w:val="clear" w:color="auto" w:fill="auto"/>
            <w:noWrap/>
          </w:tcPr>
          <w:p w14:paraId="025FF6CA" w14:textId="40E3A6AA" w:rsidR="00373426" w:rsidRPr="00C1603D" w:rsidRDefault="00373426" w:rsidP="00373426">
            <w:pPr>
              <w:pStyle w:val="710TableheadTablesTableFigureBoxstyles"/>
              <w:rPr>
                <w:lang w:eastAsia="en-GB"/>
              </w:rPr>
            </w:pPr>
            <w:r w:rsidRPr="00C1603D">
              <w:rPr>
                <w:lang w:eastAsia="en-GB"/>
              </w:rPr>
              <w:t>Cohort</w:t>
            </w:r>
            <w:r w:rsidR="006A55DB" w:rsidRPr="00C1603D">
              <w:rPr>
                <w:lang w:eastAsia="en-GB"/>
              </w:rPr>
              <w:t xml:space="preserve"> and characteristic</w:t>
            </w:r>
          </w:p>
        </w:tc>
        <w:tc>
          <w:tcPr>
            <w:tcW w:w="0" w:type="auto"/>
            <w:gridSpan w:val="4"/>
            <w:shd w:val="clear" w:color="auto" w:fill="auto"/>
          </w:tcPr>
          <w:p w14:paraId="368B428E" w14:textId="4D6EB64D" w:rsidR="00373426" w:rsidRPr="00C1603D" w:rsidRDefault="00373426" w:rsidP="00703099">
            <w:pPr>
              <w:pStyle w:val="705TableheadgroupTablesTableFigureBoxstyles"/>
              <w:rPr>
                <w:lang w:eastAsia="en-GB"/>
              </w:rPr>
            </w:pPr>
            <w:r w:rsidRPr="00C1603D">
              <w:rPr>
                <w:lang w:eastAsia="en-GB"/>
              </w:rPr>
              <w:t>Development data set (CPRD GOLD)</w:t>
            </w:r>
          </w:p>
        </w:tc>
        <w:tc>
          <w:tcPr>
            <w:tcW w:w="0" w:type="auto"/>
            <w:gridSpan w:val="4"/>
            <w:shd w:val="clear" w:color="auto" w:fill="auto"/>
          </w:tcPr>
          <w:p w14:paraId="17850AA5" w14:textId="77777777" w:rsidR="00373426" w:rsidRPr="00C1603D" w:rsidRDefault="00373426" w:rsidP="00703099">
            <w:pPr>
              <w:pStyle w:val="705TableheadgroupTablesTableFigureBoxstyles"/>
              <w:rPr>
                <w:lang w:val="fr-FR" w:eastAsia="en-GB"/>
              </w:rPr>
            </w:pPr>
            <w:r w:rsidRPr="00C1603D">
              <w:rPr>
                <w:lang w:val="fr-FR" w:eastAsia="en-GB"/>
              </w:rPr>
              <w:t>External validation data set (CPRD Aurum)</w:t>
            </w:r>
          </w:p>
        </w:tc>
      </w:tr>
      <w:tr w:rsidR="002069F8" w:rsidRPr="00C1603D" w14:paraId="12185A94" w14:textId="77777777" w:rsidTr="0044057F">
        <w:trPr>
          <w:cantSplit/>
          <w:trHeight w:hRule="exact" w:val="500"/>
        </w:trPr>
        <w:tc>
          <w:tcPr>
            <w:tcW w:w="0" w:type="auto"/>
            <w:vMerge/>
          </w:tcPr>
          <w:p w14:paraId="2FBF5F3F" w14:textId="69DBD8DD" w:rsidR="005D5500" w:rsidRPr="00C1603D" w:rsidRDefault="005D5500" w:rsidP="005D5500">
            <w:pPr>
              <w:pStyle w:val="710TableheadTablesTableFigureBoxstyles"/>
              <w:rPr>
                <w:color w:val="000000"/>
                <w:lang w:eastAsia="en-GB"/>
              </w:rPr>
            </w:pPr>
          </w:p>
        </w:tc>
        <w:tc>
          <w:tcPr>
            <w:tcW w:w="0" w:type="auto"/>
            <w:shd w:val="clear" w:color="auto" w:fill="auto"/>
          </w:tcPr>
          <w:p w14:paraId="5BB5BBBE" w14:textId="77777777" w:rsidR="005D5500" w:rsidRPr="00C1603D" w:rsidRDefault="005D5500" w:rsidP="005D5500">
            <w:pPr>
              <w:pStyle w:val="710TableheadTablesTableFigureBoxstyles"/>
              <w:rPr>
                <w:color w:val="000000"/>
                <w:lang w:eastAsia="en-GB"/>
              </w:rPr>
            </w:pPr>
            <w:r w:rsidRPr="00C1603D">
              <w:rPr>
                <w:lang w:eastAsia="en-GB"/>
              </w:rPr>
              <w:t>Control</w:t>
            </w:r>
          </w:p>
        </w:tc>
        <w:tc>
          <w:tcPr>
            <w:tcW w:w="0" w:type="auto"/>
            <w:shd w:val="clear" w:color="auto" w:fill="auto"/>
          </w:tcPr>
          <w:p w14:paraId="65F04947" w14:textId="3511A3A0" w:rsidR="005D5500" w:rsidRPr="00C1603D" w:rsidRDefault="005D5500" w:rsidP="005D5500">
            <w:pPr>
              <w:pStyle w:val="710TableheadTablesTableFigureBoxstyles"/>
              <w:rPr>
                <w:color w:val="000000"/>
                <w:lang w:eastAsia="en-GB"/>
              </w:rPr>
            </w:pPr>
            <w:r w:rsidRPr="00C1603D">
              <w:rPr>
                <w:lang w:eastAsia="en-GB"/>
              </w:rPr>
              <w:t>CD</w:t>
            </w:r>
          </w:p>
        </w:tc>
        <w:tc>
          <w:tcPr>
            <w:tcW w:w="0" w:type="auto"/>
            <w:shd w:val="clear" w:color="auto" w:fill="auto"/>
          </w:tcPr>
          <w:p w14:paraId="4E382027" w14:textId="473E8E01" w:rsidR="005D5500" w:rsidRPr="00C1603D" w:rsidRDefault="005D5500" w:rsidP="005D5500">
            <w:pPr>
              <w:pStyle w:val="710TableheadTablesTableFigureBoxstyles"/>
              <w:rPr>
                <w:color w:val="000000"/>
                <w:lang w:eastAsia="en-GB"/>
              </w:rPr>
            </w:pPr>
            <w:r w:rsidRPr="00C1603D">
              <w:rPr>
                <w:i/>
                <w:iCs/>
                <w:lang w:eastAsia="en-GB"/>
              </w:rPr>
              <w:t>p</w:t>
            </w:r>
            <w:r w:rsidRPr="00C1603D">
              <w:rPr>
                <w:lang w:eastAsia="en-GB"/>
              </w:rPr>
              <w:t>-values</w:t>
            </w:r>
          </w:p>
        </w:tc>
        <w:tc>
          <w:tcPr>
            <w:tcW w:w="0" w:type="auto"/>
            <w:shd w:val="clear" w:color="auto" w:fill="auto"/>
          </w:tcPr>
          <w:p w14:paraId="5A365F91" w14:textId="77777777" w:rsidR="005D5500" w:rsidRPr="00C1603D" w:rsidRDefault="005D5500" w:rsidP="005D5500">
            <w:pPr>
              <w:pStyle w:val="710TableheadTablesTableFigureBoxstyles"/>
              <w:rPr>
                <w:color w:val="000000"/>
                <w:lang w:eastAsia="en-GB"/>
              </w:rPr>
            </w:pPr>
            <w:r w:rsidRPr="00C1603D">
              <w:rPr>
                <w:lang w:eastAsia="en-GB"/>
              </w:rPr>
              <w:t>Overall</w:t>
            </w:r>
          </w:p>
        </w:tc>
        <w:tc>
          <w:tcPr>
            <w:tcW w:w="0" w:type="auto"/>
            <w:shd w:val="clear" w:color="auto" w:fill="auto"/>
          </w:tcPr>
          <w:p w14:paraId="72FD30FD" w14:textId="7DA8E2DD" w:rsidR="005D5500" w:rsidRPr="00C1603D" w:rsidRDefault="005D5500" w:rsidP="005D5500">
            <w:pPr>
              <w:pStyle w:val="710TableheadTablesTableFigureBoxstyles"/>
              <w:rPr>
                <w:color w:val="000000"/>
                <w:lang w:eastAsia="en-GB"/>
              </w:rPr>
            </w:pPr>
            <w:r w:rsidRPr="00C1603D">
              <w:rPr>
                <w:lang w:eastAsia="en-GB"/>
              </w:rPr>
              <w:t>Control</w:t>
            </w:r>
          </w:p>
        </w:tc>
        <w:tc>
          <w:tcPr>
            <w:tcW w:w="0" w:type="auto"/>
            <w:shd w:val="clear" w:color="auto" w:fill="auto"/>
          </w:tcPr>
          <w:p w14:paraId="764D48A7" w14:textId="477D7F8A" w:rsidR="005D5500" w:rsidRPr="00C1603D" w:rsidRDefault="005D5500" w:rsidP="005D5500">
            <w:pPr>
              <w:pStyle w:val="710TableheadTablesTableFigureBoxstyles"/>
              <w:rPr>
                <w:color w:val="000000"/>
                <w:lang w:eastAsia="en-GB"/>
              </w:rPr>
            </w:pPr>
            <w:r w:rsidRPr="00C1603D">
              <w:rPr>
                <w:lang w:eastAsia="en-GB"/>
              </w:rPr>
              <w:t>CD</w:t>
            </w:r>
          </w:p>
        </w:tc>
        <w:tc>
          <w:tcPr>
            <w:tcW w:w="0" w:type="auto"/>
            <w:shd w:val="clear" w:color="auto" w:fill="auto"/>
          </w:tcPr>
          <w:p w14:paraId="0DE91A7E" w14:textId="7A317E91" w:rsidR="005D5500" w:rsidRPr="00C1603D" w:rsidRDefault="005D5500" w:rsidP="005D5500">
            <w:pPr>
              <w:pStyle w:val="710TableheadTablesTableFigureBoxstyles"/>
              <w:rPr>
                <w:color w:val="000000"/>
                <w:lang w:eastAsia="en-GB"/>
              </w:rPr>
            </w:pPr>
            <w:r w:rsidRPr="00C1603D">
              <w:rPr>
                <w:i/>
                <w:iCs/>
                <w:lang w:eastAsia="en-GB"/>
              </w:rPr>
              <w:t>p</w:t>
            </w:r>
            <w:r w:rsidRPr="00C1603D">
              <w:rPr>
                <w:lang w:eastAsia="en-GB"/>
              </w:rPr>
              <w:t>-values</w:t>
            </w:r>
          </w:p>
        </w:tc>
        <w:tc>
          <w:tcPr>
            <w:tcW w:w="0" w:type="auto"/>
            <w:shd w:val="clear" w:color="auto" w:fill="auto"/>
          </w:tcPr>
          <w:p w14:paraId="42AA15EF" w14:textId="17A9932F" w:rsidR="005D5500" w:rsidRPr="00C1603D" w:rsidRDefault="005D5500" w:rsidP="005D5500">
            <w:pPr>
              <w:pStyle w:val="710TableheadTablesTableFigureBoxstyles"/>
              <w:rPr>
                <w:lang w:eastAsia="en-GB"/>
              </w:rPr>
            </w:pPr>
            <w:r w:rsidRPr="00C1603D">
              <w:rPr>
                <w:lang w:eastAsia="en-GB"/>
              </w:rPr>
              <w:t>Overall</w:t>
            </w:r>
          </w:p>
        </w:tc>
      </w:tr>
      <w:tr w:rsidR="006877E7" w:rsidRPr="00C1603D" w14:paraId="0C708233" w14:textId="77777777" w:rsidTr="0044057F">
        <w:trPr>
          <w:cantSplit/>
        </w:trPr>
        <w:tc>
          <w:tcPr>
            <w:tcW w:w="0" w:type="auto"/>
            <w:shd w:val="clear" w:color="auto" w:fill="auto"/>
          </w:tcPr>
          <w:p w14:paraId="3FDF6EC2" w14:textId="5E868D92" w:rsidR="00373426" w:rsidRPr="00C1603D" w:rsidRDefault="00373426" w:rsidP="00373426">
            <w:pPr>
              <w:pStyle w:val="711TablesubheadATablesTableFigureBoxstyles"/>
              <w:rPr>
                <w:lang w:eastAsia="en-GB"/>
              </w:rPr>
            </w:pPr>
            <w:r w:rsidRPr="00C1603D">
              <w:rPr>
                <w:lang w:eastAsia="en-GB"/>
              </w:rPr>
              <w:lastRenderedPageBreak/>
              <w:t>Children</w:t>
            </w:r>
          </w:p>
        </w:tc>
        <w:tc>
          <w:tcPr>
            <w:tcW w:w="0" w:type="auto"/>
            <w:shd w:val="clear" w:color="auto" w:fill="auto"/>
          </w:tcPr>
          <w:p w14:paraId="79A8D054" w14:textId="11BBB51B" w:rsidR="00373426" w:rsidRPr="00C1603D" w:rsidRDefault="00373426" w:rsidP="00373426">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12</w:t>
            </w:r>
            <w:r w:rsidR="005D5500" w:rsidRPr="00C1603D">
              <w:rPr>
                <w:lang w:eastAsia="en-GB"/>
              </w:rPr>
              <w:t>,</w:t>
            </w:r>
            <w:r w:rsidRPr="00C1603D">
              <w:rPr>
                <w:lang w:eastAsia="en-GB"/>
              </w:rPr>
              <w:t>948)</w:t>
            </w:r>
          </w:p>
        </w:tc>
        <w:tc>
          <w:tcPr>
            <w:tcW w:w="0" w:type="auto"/>
            <w:shd w:val="clear" w:color="auto" w:fill="auto"/>
          </w:tcPr>
          <w:p w14:paraId="5C4D2E22" w14:textId="6BF88D39" w:rsidR="00373426" w:rsidRPr="00C1603D" w:rsidRDefault="00373426" w:rsidP="00373426">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3237)</w:t>
            </w:r>
          </w:p>
        </w:tc>
        <w:tc>
          <w:tcPr>
            <w:tcW w:w="0" w:type="auto"/>
            <w:shd w:val="clear" w:color="auto" w:fill="auto"/>
          </w:tcPr>
          <w:p w14:paraId="17EFC5DD" w14:textId="77777777" w:rsidR="00373426" w:rsidRPr="00C1603D" w:rsidRDefault="00373426" w:rsidP="00373426">
            <w:pPr>
              <w:pStyle w:val="711TablesubheadATablesTableFigureBoxstyles"/>
              <w:rPr>
                <w:lang w:eastAsia="en-GB"/>
              </w:rPr>
            </w:pPr>
          </w:p>
        </w:tc>
        <w:tc>
          <w:tcPr>
            <w:tcW w:w="0" w:type="auto"/>
            <w:shd w:val="clear" w:color="auto" w:fill="auto"/>
          </w:tcPr>
          <w:p w14:paraId="64867E42" w14:textId="691F7A4A" w:rsidR="00373426" w:rsidRPr="00C1603D" w:rsidRDefault="00373426" w:rsidP="00373426">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16</w:t>
            </w:r>
            <w:r w:rsidR="005D5500" w:rsidRPr="00C1603D">
              <w:rPr>
                <w:lang w:eastAsia="en-GB"/>
              </w:rPr>
              <w:t>,</w:t>
            </w:r>
            <w:r w:rsidRPr="00C1603D">
              <w:rPr>
                <w:lang w:eastAsia="en-GB"/>
              </w:rPr>
              <w:t>185)</w:t>
            </w:r>
          </w:p>
        </w:tc>
        <w:tc>
          <w:tcPr>
            <w:tcW w:w="0" w:type="auto"/>
            <w:shd w:val="clear" w:color="auto" w:fill="auto"/>
          </w:tcPr>
          <w:p w14:paraId="16A6950D" w14:textId="77A34C89" w:rsidR="00373426" w:rsidRPr="00C1603D" w:rsidRDefault="00373426" w:rsidP="00373426">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28</w:t>
            </w:r>
            <w:r w:rsidR="005D5500" w:rsidRPr="00C1603D">
              <w:rPr>
                <w:lang w:eastAsia="en-GB"/>
              </w:rPr>
              <w:t>,</w:t>
            </w:r>
            <w:r w:rsidRPr="00C1603D">
              <w:rPr>
                <w:lang w:eastAsia="en-GB"/>
              </w:rPr>
              <w:t>131)</w:t>
            </w:r>
          </w:p>
        </w:tc>
        <w:tc>
          <w:tcPr>
            <w:tcW w:w="0" w:type="auto"/>
            <w:shd w:val="clear" w:color="auto" w:fill="auto"/>
          </w:tcPr>
          <w:p w14:paraId="0FB0DCDB" w14:textId="2BEAF3C6" w:rsidR="00373426" w:rsidRPr="00C1603D" w:rsidRDefault="00373426" w:rsidP="00373426">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7033)</w:t>
            </w:r>
          </w:p>
        </w:tc>
        <w:tc>
          <w:tcPr>
            <w:tcW w:w="0" w:type="auto"/>
            <w:shd w:val="clear" w:color="auto" w:fill="auto"/>
          </w:tcPr>
          <w:p w14:paraId="0F157BD4" w14:textId="77777777" w:rsidR="00373426" w:rsidRPr="00C1603D" w:rsidRDefault="00373426" w:rsidP="00373426">
            <w:pPr>
              <w:pStyle w:val="711TablesubheadATablesTableFigureBoxstyles"/>
              <w:rPr>
                <w:lang w:eastAsia="en-GB"/>
              </w:rPr>
            </w:pPr>
          </w:p>
        </w:tc>
        <w:tc>
          <w:tcPr>
            <w:tcW w:w="0" w:type="auto"/>
            <w:shd w:val="clear" w:color="auto" w:fill="auto"/>
          </w:tcPr>
          <w:p w14:paraId="463C2552" w14:textId="4EBC13F0" w:rsidR="00373426" w:rsidRPr="00C1603D" w:rsidRDefault="00373426" w:rsidP="00373426">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35</w:t>
            </w:r>
            <w:r w:rsidR="005D5500" w:rsidRPr="00C1603D">
              <w:rPr>
                <w:lang w:eastAsia="en-GB"/>
              </w:rPr>
              <w:t>,</w:t>
            </w:r>
            <w:r w:rsidRPr="00C1603D">
              <w:rPr>
                <w:lang w:eastAsia="en-GB"/>
              </w:rPr>
              <w:t>164)</w:t>
            </w:r>
          </w:p>
        </w:tc>
      </w:tr>
      <w:tr w:rsidR="008B4DF8" w:rsidRPr="00C1603D" w14:paraId="41EB4E31" w14:textId="77777777" w:rsidTr="0044057F">
        <w:trPr>
          <w:cantSplit/>
        </w:trPr>
        <w:tc>
          <w:tcPr>
            <w:tcW w:w="0" w:type="auto"/>
            <w:gridSpan w:val="9"/>
            <w:shd w:val="clear" w:color="auto" w:fill="auto"/>
            <w:noWrap/>
          </w:tcPr>
          <w:p w14:paraId="3960640E" w14:textId="77777777" w:rsidR="008B4DF8" w:rsidRPr="00C1603D" w:rsidRDefault="008B4DF8" w:rsidP="001C4C63">
            <w:pPr>
              <w:pStyle w:val="72TabletextTablesTableFigureBoxstyles"/>
              <w:rPr>
                <w:lang w:eastAsia="en-GB"/>
              </w:rPr>
            </w:pPr>
            <w:r w:rsidRPr="00C1603D">
              <w:rPr>
                <w:lang w:eastAsia="en-GB"/>
              </w:rPr>
              <w:t>Age (years)</w:t>
            </w:r>
          </w:p>
        </w:tc>
      </w:tr>
      <w:tr w:rsidR="00114B44" w:rsidRPr="00C1603D" w14:paraId="32C26C7D" w14:textId="77777777" w:rsidTr="0044057F">
        <w:trPr>
          <w:cantSplit/>
        </w:trPr>
        <w:tc>
          <w:tcPr>
            <w:tcW w:w="0" w:type="auto"/>
            <w:shd w:val="clear" w:color="auto" w:fill="auto"/>
            <w:noWrap/>
          </w:tcPr>
          <w:p w14:paraId="7B239739" w14:textId="5AC84B14" w:rsidR="00114B44" w:rsidRPr="00C1603D" w:rsidRDefault="001C4C63" w:rsidP="00703099">
            <w:pPr>
              <w:pStyle w:val="72TabletextTablesTableFigureBoxstyles"/>
              <w:rPr>
                <w:lang w:eastAsia="en-GB"/>
              </w:rPr>
            </w:pPr>
            <w:r w:rsidRPr="00C1603D">
              <w:rPr>
                <w:lang w:eastAsia="en-GB"/>
              </w:rPr>
              <w:tab/>
            </w:r>
            <w:r w:rsidR="00114B44" w:rsidRPr="00C1603D">
              <w:rPr>
                <w:lang w:eastAsia="en-GB"/>
              </w:rPr>
              <w:t>Mean (SD)</w:t>
            </w:r>
          </w:p>
        </w:tc>
        <w:tc>
          <w:tcPr>
            <w:tcW w:w="0" w:type="auto"/>
            <w:shd w:val="clear" w:color="auto" w:fill="auto"/>
            <w:noWrap/>
          </w:tcPr>
          <w:p w14:paraId="1F6D555A" w14:textId="77777777" w:rsidR="00114B44" w:rsidRPr="00C1603D" w:rsidRDefault="00114B44" w:rsidP="00703099">
            <w:pPr>
              <w:pStyle w:val="72TabletextTablesTableFigureBoxstyles"/>
              <w:rPr>
                <w:lang w:eastAsia="en-GB"/>
              </w:rPr>
            </w:pPr>
            <w:r w:rsidRPr="00C1603D">
              <w:rPr>
                <w:lang w:eastAsia="en-GB"/>
              </w:rPr>
              <w:t>9.04 (4.62)</w:t>
            </w:r>
          </w:p>
        </w:tc>
        <w:tc>
          <w:tcPr>
            <w:tcW w:w="0" w:type="auto"/>
            <w:shd w:val="clear" w:color="auto" w:fill="auto"/>
            <w:noWrap/>
          </w:tcPr>
          <w:p w14:paraId="40702A0C" w14:textId="77777777" w:rsidR="00114B44" w:rsidRPr="00C1603D" w:rsidRDefault="00114B44" w:rsidP="00703099">
            <w:pPr>
              <w:pStyle w:val="72TabletextTablesTableFigureBoxstyles"/>
              <w:rPr>
                <w:lang w:eastAsia="en-GB"/>
              </w:rPr>
            </w:pPr>
            <w:r w:rsidRPr="00C1603D">
              <w:rPr>
                <w:lang w:eastAsia="en-GB"/>
              </w:rPr>
              <w:t>8.89 (4.77)</w:t>
            </w:r>
          </w:p>
        </w:tc>
        <w:tc>
          <w:tcPr>
            <w:tcW w:w="0" w:type="auto"/>
            <w:vMerge w:val="restart"/>
            <w:shd w:val="clear" w:color="auto" w:fill="auto"/>
            <w:noWrap/>
          </w:tcPr>
          <w:p w14:paraId="2A09EBB9" w14:textId="77777777" w:rsidR="00114B44" w:rsidRPr="00C1603D" w:rsidRDefault="00114B44" w:rsidP="00703099">
            <w:pPr>
              <w:pStyle w:val="72TabletextTablesTableFigureBoxstyles"/>
              <w:rPr>
                <w:lang w:eastAsia="en-GB"/>
              </w:rPr>
            </w:pPr>
            <w:r w:rsidRPr="00C1603D">
              <w:rPr>
                <w:lang w:eastAsia="en-GB"/>
              </w:rPr>
              <w:t>0.127</w:t>
            </w:r>
          </w:p>
        </w:tc>
        <w:tc>
          <w:tcPr>
            <w:tcW w:w="0" w:type="auto"/>
            <w:shd w:val="clear" w:color="auto" w:fill="auto"/>
            <w:noWrap/>
          </w:tcPr>
          <w:p w14:paraId="59A4D81F" w14:textId="77777777" w:rsidR="00114B44" w:rsidRPr="00C1603D" w:rsidRDefault="00114B44" w:rsidP="00703099">
            <w:pPr>
              <w:pStyle w:val="72TabletextTablesTableFigureBoxstyles"/>
              <w:rPr>
                <w:lang w:eastAsia="en-GB"/>
              </w:rPr>
            </w:pPr>
            <w:r w:rsidRPr="00C1603D">
              <w:rPr>
                <w:lang w:eastAsia="en-GB"/>
              </w:rPr>
              <w:t>9.01 (4.65)</w:t>
            </w:r>
          </w:p>
        </w:tc>
        <w:tc>
          <w:tcPr>
            <w:tcW w:w="0" w:type="auto"/>
            <w:shd w:val="clear" w:color="auto" w:fill="auto"/>
            <w:noWrap/>
          </w:tcPr>
          <w:p w14:paraId="2403F4C8" w14:textId="77777777" w:rsidR="00114B44" w:rsidRPr="00C1603D" w:rsidRDefault="00114B44" w:rsidP="00703099">
            <w:pPr>
              <w:pStyle w:val="72TabletextTablesTableFigureBoxstyles"/>
              <w:rPr>
                <w:lang w:eastAsia="en-GB"/>
              </w:rPr>
            </w:pPr>
            <w:r w:rsidRPr="00C1603D">
              <w:rPr>
                <w:lang w:eastAsia="en-GB"/>
              </w:rPr>
              <w:t>8.96 (4.61)</w:t>
            </w:r>
          </w:p>
        </w:tc>
        <w:tc>
          <w:tcPr>
            <w:tcW w:w="0" w:type="auto"/>
            <w:shd w:val="clear" w:color="auto" w:fill="auto"/>
            <w:noWrap/>
          </w:tcPr>
          <w:p w14:paraId="46D25620" w14:textId="77777777" w:rsidR="00114B44" w:rsidRPr="00C1603D" w:rsidRDefault="00114B44" w:rsidP="00703099">
            <w:pPr>
              <w:pStyle w:val="72TabletextTablesTableFigureBoxstyles"/>
              <w:rPr>
                <w:lang w:eastAsia="en-GB"/>
              </w:rPr>
            </w:pPr>
            <w:r w:rsidRPr="00C1603D">
              <w:rPr>
                <w:lang w:eastAsia="en-GB"/>
              </w:rPr>
              <w:t>8.66 (4.74)</w:t>
            </w:r>
          </w:p>
        </w:tc>
        <w:tc>
          <w:tcPr>
            <w:tcW w:w="0" w:type="auto"/>
            <w:vMerge w:val="restart"/>
            <w:shd w:val="clear" w:color="auto" w:fill="auto"/>
            <w:noWrap/>
          </w:tcPr>
          <w:p w14:paraId="0E3EEFAE" w14:textId="77777777" w:rsidR="00114B44" w:rsidRPr="00C1603D" w:rsidRDefault="00114B44"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F7DA8D3" w14:textId="77777777" w:rsidR="00114B44" w:rsidRPr="00C1603D" w:rsidRDefault="00114B44" w:rsidP="00703099">
            <w:pPr>
              <w:pStyle w:val="72TabletextTablesTableFigureBoxstyles"/>
              <w:rPr>
                <w:lang w:eastAsia="en-GB"/>
              </w:rPr>
            </w:pPr>
            <w:r w:rsidRPr="00C1603D">
              <w:rPr>
                <w:lang w:eastAsia="en-GB"/>
              </w:rPr>
              <w:t>8.90 (4.64)</w:t>
            </w:r>
          </w:p>
        </w:tc>
      </w:tr>
      <w:tr w:rsidR="00114B44" w:rsidRPr="00C1603D" w14:paraId="0714C077" w14:textId="77777777" w:rsidTr="0044057F">
        <w:trPr>
          <w:cantSplit/>
        </w:trPr>
        <w:tc>
          <w:tcPr>
            <w:tcW w:w="0" w:type="auto"/>
            <w:shd w:val="clear" w:color="auto" w:fill="auto"/>
            <w:noWrap/>
          </w:tcPr>
          <w:p w14:paraId="67C8B5F9" w14:textId="50F52FEE" w:rsidR="00114B44" w:rsidRPr="00C1603D" w:rsidRDefault="001C4C63" w:rsidP="00703099">
            <w:pPr>
              <w:pStyle w:val="72TabletextTablesTableFigureBoxstyles"/>
              <w:rPr>
                <w:lang w:eastAsia="en-GB"/>
              </w:rPr>
            </w:pPr>
            <w:r w:rsidRPr="00C1603D">
              <w:rPr>
                <w:lang w:eastAsia="en-GB"/>
              </w:rPr>
              <w:tab/>
            </w:r>
            <w:r w:rsidR="00114B44" w:rsidRPr="00C1603D">
              <w:rPr>
                <w:lang w:eastAsia="en-GB"/>
              </w:rPr>
              <w:t>Median (minimum, maximum)</w:t>
            </w:r>
          </w:p>
        </w:tc>
        <w:tc>
          <w:tcPr>
            <w:tcW w:w="0" w:type="auto"/>
            <w:shd w:val="clear" w:color="auto" w:fill="auto"/>
            <w:noWrap/>
          </w:tcPr>
          <w:p w14:paraId="19FA0500" w14:textId="7C744A40" w:rsidR="00114B44" w:rsidRPr="00C1603D" w:rsidRDefault="00114B44" w:rsidP="00703099">
            <w:pPr>
              <w:pStyle w:val="72TabletextTablesTableFigureBoxstyles"/>
              <w:rPr>
                <w:lang w:eastAsia="en-GB"/>
              </w:rPr>
            </w:pPr>
            <w:r w:rsidRPr="00C1603D">
              <w:rPr>
                <w:lang w:eastAsia="en-GB"/>
              </w:rPr>
              <w:t>9.00 (1.00, 17.0)</w:t>
            </w:r>
          </w:p>
        </w:tc>
        <w:tc>
          <w:tcPr>
            <w:tcW w:w="0" w:type="auto"/>
            <w:shd w:val="clear" w:color="auto" w:fill="auto"/>
            <w:noWrap/>
          </w:tcPr>
          <w:p w14:paraId="279E87ED" w14:textId="156240D1" w:rsidR="00114B44" w:rsidRPr="00C1603D" w:rsidRDefault="00114B44" w:rsidP="00703099">
            <w:pPr>
              <w:pStyle w:val="72TabletextTablesTableFigureBoxstyles"/>
              <w:rPr>
                <w:lang w:eastAsia="en-GB"/>
              </w:rPr>
            </w:pPr>
            <w:r w:rsidRPr="00C1603D">
              <w:rPr>
                <w:lang w:eastAsia="en-GB"/>
              </w:rPr>
              <w:t>9.00 (1.00, 17.0)</w:t>
            </w:r>
          </w:p>
        </w:tc>
        <w:tc>
          <w:tcPr>
            <w:tcW w:w="0" w:type="auto"/>
            <w:vMerge/>
            <w:noWrap/>
          </w:tcPr>
          <w:p w14:paraId="07D1480C" w14:textId="77777777" w:rsidR="00114B44" w:rsidRPr="00C1603D" w:rsidRDefault="00114B44" w:rsidP="00703099">
            <w:pPr>
              <w:pStyle w:val="72TabletextTablesTableFigureBoxstyles"/>
              <w:rPr>
                <w:lang w:eastAsia="en-GB"/>
              </w:rPr>
            </w:pPr>
          </w:p>
        </w:tc>
        <w:tc>
          <w:tcPr>
            <w:tcW w:w="0" w:type="auto"/>
            <w:shd w:val="clear" w:color="auto" w:fill="auto"/>
            <w:noWrap/>
          </w:tcPr>
          <w:p w14:paraId="02C5A9A3" w14:textId="1997CB6D" w:rsidR="00114B44" w:rsidRPr="00C1603D" w:rsidRDefault="00114B44" w:rsidP="00703099">
            <w:pPr>
              <w:pStyle w:val="72TabletextTablesTableFigureBoxstyles"/>
              <w:rPr>
                <w:lang w:eastAsia="en-GB"/>
              </w:rPr>
            </w:pPr>
            <w:r w:rsidRPr="00C1603D">
              <w:rPr>
                <w:lang w:eastAsia="en-GB"/>
              </w:rPr>
              <w:t>9.00 (1.00, 17.0)</w:t>
            </w:r>
          </w:p>
        </w:tc>
        <w:tc>
          <w:tcPr>
            <w:tcW w:w="0" w:type="auto"/>
            <w:shd w:val="clear" w:color="auto" w:fill="auto"/>
            <w:noWrap/>
          </w:tcPr>
          <w:p w14:paraId="74098B4F" w14:textId="61419B1C" w:rsidR="00114B44" w:rsidRPr="00C1603D" w:rsidRDefault="00114B44" w:rsidP="00703099">
            <w:pPr>
              <w:pStyle w:val="72TabletextTablesTableFigureBoxstyles"/>
              <w:rPr>
                <w:lang w:eastAsia="en-GB"/>
              </w:rPr>
            </w:pPr>
            <w:r w:rsidRPr="00C1603D">
              <w:rPr>
                <w:lang w:eastAsia="en-GB"/>
              </w:rPr>
              <w:t>9.00 (1.00, 17.0)</w:t>
            </w:r>
          </w:p>
        </w:tc>
        <w:tc>
          <w:tcPr>
            <w:tcW w:w="0" w:type="auto"/>
            <w:shd w:val="clear" w:color="auto" w:fill="auto"/>
            <w:noWrap/>
          </w:tcPr>
          <w:p w14:paraId="2D323F47" w14:textId="696B4E96" w:rsidR="00114B44" w:rsidRPr="00C1603D" w:rsidRDefault="00114B44" w:rsidP="00703099">
            <w:pPr>
              <w:pStyle w:val="72TabletextTablesTableFigureBoxstyles"/>
              <w:rPr>
                <w:lang w:eastAsia="en-GB"/>
              </w:rPr>
            </w:pPr>
            <w:r w:rsidRPr="00C1603D">
              <w:rPr>
                <w:lang w:eastAsia="en-GB"/>
              </w:rPr>
              <w:t>8.00 (1.00, 17.0)</w:t>
            </w:r>
          </w:p>
        </w:tc>
        <w:tc>
          <w:tcPr>
            <w:tcW w:w="0" w:type="auto"/>
            <w:vMerge/>
            <w:noWrap/>
          </w:tcPr>
          <w:p w14:paraId="7BB24EA5" w14:textId="77777777" w:rsidR="00114B44" w:rsidRPr="00C1603D" w:rsidRDefault="00114B44" w:rsidP="00703099">
            <w:pPr>
              <w:pStyle w:val="72TabletextTablesTableFigureBoxstyles"/>
              <w:rPr>
                <w:lang w:eastAsia="en-GB"/>
              </w:rPr>
            </w:pPr>
          </w:p>
        </w:tc>
        <w:tc>
          <w:tcPr>
            <w:tcW w:w="0" w:type="auto"/>
            <w:shd w:val="clear" w:color="auto" w:fill="auto"/>
            <w:noWrap/>
          </w:tcPr>
          <w:p w14:paraId="02801791" w14:textId="6936E2C4" w:rsidR="00114B44" w:rsidRPr="00C1603D" w:rsidRDefault="00114B44" w:rsidP="00703099">
            <w:pPr>
              <w:pStyle w:val="72TabletextTablesTableFigureBoxstyles"/>
              <w:rPr>
                <w:lang w:eastAsia="en-GB"/>
              </w:rPr>
            </w:pPr>
            <w:r w:rsidRPr="00C1603D">
              <w:rPr>
                <w:lang w:eastAsia="en-GB"/>
              </w:rPr>
              <w:t>9.00 (1.00, 17.0)</w:t>
            </w:r>
          </w:p>
        </w:tc>
      </w:tr>
      <w:tr w:rsidR="008B4DF8" w:rsidRPr="00C1603D" w14:paraId="1CD9632D" w14:textId="77777777" w:rsidTr="0044057F">
        <w:trPr>
          <w:cantSplit/>
        </w:trPr>
        <w:tc>
          <w:tcPr>
            <w:tcW w:w="0" w:type="auto"/>
            <w:gridSpan w:val="9"/>
            <w:shd w:val="clear" w:color="auto" w:fill="auto"/>
            <w:noWrap/>
          </w:tcPr>
          <w:p w14:paraId="42283DD8" w14:textId="299001E0" w:rsidR="008B4DF8" w:rsidRPr="00C1603D" w:rsidRDefault="008B4DF8" w:rsidP="001C4C63">
            <w:pPr>
              <w:pStyle w:val="72TabletextTablesTableFigureBoxstyles"/>
              <w:rPr>
                <w:lang w:eastAsia="en-GB"/>
              </w:rPr>
            </w:pPr>
            <w:r w:rsidRPr="00C1603D">
              <w:rPr>
                <w:lang w:eastAsia="en-GB"/>
              </w:rPr>
              <w:t>Sex</w:t>
            </w:r>
            <w:r w:rsidR="00114B44" w:rsidRPr="00C1603D">
              <w:rPr>
                <w:lang w:eastAsia="en-GB"/>
              </w:rPr>
              <w:t xml:space="preserve">, </w:t>
            </w:r>
            <w:r w:rsidR="00114B44" w:rsidRPr="00C1603D">
              <w:rPr>
                <w:i/>
                <w:lang w:eastAsia="en-GB"/>
              </w:rPr>
              <w:t>n</w:t>
            </w:r>
            <w:r w:rsidR="00114B44" w:rsidRPr="00C1603D">
              <w:rPr>
                <w:lang w:eastAsia="en-GB"/>
              </w:rPr>
              <w:t xml:space="preserve"> (%)</w:t>
            </w:r>
          </w:p>
        </w:tc>
      </w:tr>
      <w:tr w:rsidR="00114B44" w:rsidRPr="00C1603D" w14:paraId="1ABD0A97" w14:textId="77777777" w:rsidTr="0044057F">
        <w:trPr>
          <w:cantSplit/>
        </w:trPr>
        <w:tc>
          <w:tcPr>
            <w:tcW w:w="0" w:type="auto"/>
            <w:shd w:val="clear" w:color="auto" w:fill="auto"/>
            <w:noWrap/>
          </w:tcPr>
          <w:p w14:paraId="5ABE6620" w14:textId="693CAC5A" w:rsidR="00114B44" w:rsidRPr="00C1603D" w:rsidRDefault="001C4C63" w:rsidP="00703099">
            <w:pPr>
              <w:pStyle w:val="72TabletextTablesTableFigureBoxstyles"/>
              <w:rPr>
                <w:lang w:eastAsia="en-GB"/>
              </w:rPr>
            </w:pPr>
            <w:r w:rsidRPr="00C1603D">
              <w:rPr>
                <w:lang w:eastAsia="en-GB"/>
              </w:rPr>
              <w:tab/>
            </w:r>
            <w:r w:rsidR="00114B44" w:rsidRPr="00C1603D">
              <w:rPr>
                <w:lang w:eastAsia="en-GB"/>
              </w:rPr>
              <w:t>Male</w:t>
            </w:r>
          </w:p>
        </w:tc>
        <w:tc>
          <w:tcPr>
            <w:tcW w:w="0" w:type="auto"/>
            <w:shd w:val="clear" w:color="auto" w:fill="auto"/>
            <w:noWrap/>
          </w:tcPr>
          <w:p w14:paraId="5560BCFB" w14:textId="14A4A8C0" w:rsidR="00114B44" w:rsidRPr="00C1603D" w:rsidRDefault="00114B44" w:rsidP="00703099">
            <w:pPr>
              <w:pStyle w:val="72TabletextTablesTableFigureBoxstyles"/>
              <w:rPr>
                <w:lang w:eastAsia="en-GB"/>
              </w:rPr>
            </w:pPr>
            <w:r w:rsidRPr="00C1603D">
              <w:rPr>
                <w:lang w:eastAsia="en-GB"/>
              </w:rPr>
              <w:t>6862 (53.0)</w:t>
            </w:r>
          </w:p>
        </w:tc>
        <w:tc>
          <w:tcPr>
            <w:tcW w:w="0" w:type="auto"/>
            <w:shd w:val="clear" w:color="auto" w:fill="auto"/>
            <w:noWrap/>
          </w:tcPr>
          <w:p w14:paraId="7B3EBD7A" w14:textId="0BEA7B9C" w:rsidR="00114B44" w:rsidRPr="00C1603D" w:rsidRDefault="00114B44" w:rsidP="00703099">
            <w:pPr>
              <w:pStyle w:val="72TabletextTablesTableFigureBoxstyles"/>
              <w:rPr>
                <w:lang w:eastAsia="en-GB"/>
              </w:rPr>
            </w:pPr>
            <w:r w:rsidRPr="00C1603D">
              <w:rPr>
                <w:lang w:eastAsia="en-GB"/>
              </w:rPr>
              <w:t>1249 (38.6)</w:t>
            </w:r>
          </w:p>
        </w:tc>
        <w:tc>
          <w:tcPr>
            <w:tcW w:w="0" w:type="auto"/>
            <w:vMerge w:val="restart"/>
            <w:shd w:val="clear" w:color="auto" w:fill="auto"/>
            <w:noWrap/>
          </w:tcPr>
          <w:p w14:paraId="30F7D86C" w14:textId="77777777" w:rsidR="00114B44" w:rsidRPr="00C1603D" w:rsidRDefault="00114B44"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F367EAD" w14:textId="3D94C971" w:rsidR="00114B44" w:rsidRPr="00C1603D" w:rsidRDefault="00114B44" w:rsidP="00703099">
            <w:pPr>
              <w:pStyle w:val="72TabletextTablesTableFigureBoxstyles"/>
              <w:rPr>
                <w:lang w:eastAsia="en-GB"/>
              </w:rPr>
            </w:pPr>
            <w:r w:rsidRPr="00C1603D">
              <w:rPr>
                <w:lang w:eastAsia="en-GB"/>
              </w:rPr>
              <w:t>8111 (50.1)</w:t>
            </w:r>
          </w:p>
        </w:tc>
        <w:tc>
          <w:tcPr>
            <w:tcW w:w="0" w:type="auto"/>
            <w:shd w:val="clear" w:color="auto" w:fill="auto"/>
            <w:noWrap/>
          </w:tcPr>
          <w:p w14:paraId="58A68BB6" w14:textId="1000CF9E" w:rsidR="00114B44" w:rsidRPr="00C1603D" w:rsidRDefault="00114B44" w:rsidP="00703099">
            <w:pPr>
              <w:pStyle w:val="72TabletextTablesTableFigureBoxstyles"/>
              <w:rPr>
                <w:lang w:eastAsia="en-GB"/>
              </w:rPr>
            </w:pPr>
            <w:r w:rsidRPr="00C1603D">
              <w:rPr>
                <w:lang w:eastAsia="en-GB"/>
              </w:rPr>
              <w:t>15024 (53.4)</w:t>
            </w:r>
          </w:p>
        </w:tc>
        <w:tc>
          <w:tcPr>
            <w:tcW w:w="0" w:type="auto"/>
            <w:shd w:val="clear" w:color="auto" w:fill="auto"/>
            <w:noWrap/>
          </w:tcPr>
          <w:p w14:paraId="084AAF4B" w14:textId="0A299287" w:rsidR="00114B44" w:rsidRPr="00C1603D" w:rsidRDefault="00114B44" w:rsidP="00703099">
            <w:pPr>
              <w:pStyle w:val="72TabletextTablesTableFigureBoxstyles"/>
              <w:rPr>
                <w:lang w:eastAsia="en-GB"/>
              </w:rPr>
            </w:pPr>
            <w:r w:rsidRPr="00C1603D">
              <w:rPr>
                <w:lang w:eastAsia="en-GB"/>
              </w:rPr>
              <w:t>2702 (38.4)</w:t>
            </w:r>
          </w:p>
        </w:tc>
        <w:tc>
          <w:tcPr>
            <w:tcW w:w="0" w:type="auto"/>
            <w:vMerge w:val="restart"/>
            <w:shd w:val="clear" w:color="auto" w:fill="auto"/>
            <w:noWrap/>
          </w:tcPr>
          <w:p w14:paraId="3433927C" w14:textId="77777777" w:rsidR="00114B44" w:rsidRPr="00C1603D" w:rsidRDefault="00114B44"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9876867" w14:textId="02A2184D" w:rsidR="00114B44" w:rsidRPr="00C1603D" w:rsidRDefault="00114B44" w:rsidP="00703099">
            <w:pPr>
              <w:pStyle w:val="72TabletextTablesTableFigureBoxstyles"/>
              <w:rPr>
                <w:lang w:eastAsia="en-GB"/>
              </w:rPr>
            </w:pPr>
            <w:r w:rsidRPr="00C1603D">
              <w:rPr>
                <w:lang w:eastAsia="en-GB"/>
              </w:rPr>
              <w:t>17</w:t>
            </w:r>
            <w:r w:rsidR="00D22556" w:rsidRPr="00C1603D">
              <w:rPr>
                <w:lang w:eastAsia="en-GB"/>
              </w:rPr>
              <w:t>,</w:t>
            </w:r>
            <w:r w:rsidRPr="00C1603D">
              <w:rPr>
                <w:lang w:eastAsia="en-GB"/>
              </w:rPr>
              <w:t>726 (50.4)</w:t>
            </w:r>
          </w:p>
        </w:tc>
      </w:tr>
      <w:tr w:rsidR="00114B44" w:rsidRPr="00C1603D" w14:paraId="17ECD31B" w14:textId="77777777" w:rsidTr="0044057F">
        <w:trPr>
          <w:cantSplit/>
        </w:trPr>
        <w:tc>
          <w:tcPr>
            <w:tcW w:w="0" w:type="auto"/>
            <w:shd w:val="clear" w:color="auto" w:fill="auto"/>
            <w:noWrap/>
          </w:tcPr>
          <w:p w14:paraId="614C0E28" w14:textId="57ACF24E" w:rsidR="00114B44" w:rsidRPr="00C1603D" w:rsidRDefault="001C4C63" w:rsidP="00703099">
            <w:pPr>
              <w:pStyle w:val="72TabletextTablesTableFigureBoxstyles"/>
              <w:rPr>
                <w:lang w:eastAsia="en-GB"/>
              </w:rPr>
            </w:pPr>
            <w:r w:rsidRPr="00C1603D">
              <w:rPr>
                <w:lang w:eastAsia="en-GB"/>
              </w:rPr>
              <w:tab/>
            </w:r>
            <w:r w:rsidR="00114B44" w:rsidRPr="00C1603D">
              <w:rPr>
                <w:lang w:eastAsia="en-GB"/>
              </w:rPr>
              <w:t>Female</w:t>
            </w:r>
          </w:p>
        </w:tc>
        <w:tc>
          <w:tcPr>
            <w:tcW w:w="0" w:type="auto"/>
            <w:shd w:val="clear" w:color="auto" w:fill="auto"/>
            <w:noWrap/>
          </w:tcPr>
          <w:p w14:paraId="3DC8036D" w14:textId="75D295B7" w:rsidR="00114B44" w:rsidRPr="00C1603D" w:rsidRDefault="00114B44" w:rsidP="00703099">
            <w:pPr>
              <w:pStyle w:val="72TabletextTablesTableFigureBoxstyles"/>
              <w:rPr>
                <w:lang w:eastAsia="en-GB"/>
              </w:rPr>
            </w:pPr>
            <w:r w:rsidRPr="00C1603D">
              <w:rPr>
                <w:lang w:eastAsia="en-GB"/>
              </w:rPr>
              <w:t>6086 (47.0)</w:t>
            </w:r>
          </w:p>
        </w:tc>
        <w:tc>
          <w:tcPr>
            <w:tcW w:w="0" w:type="auto"/>
            <w:shd w:val="clear" w:color="auto" w:fill="auto"/>
            <w:noWrap/>
          </w:tcPr>
          <w:p w14:paraId="3D383FD8" w14:textId="2AC67B67" w:rsidR="00114B44" w:rsidRPr="00C1603D" w:rsidRDefault="00114B44" w:rsidP="00703099">
            <w:pPr>
              <w:pStyle w:val="72TabletextTablesTableFigureBoxstyles"/>
              <w:rPr>
                <w:lang w:eastAsia="en-GB"/>
              </w:rPr>
            </w:pPr>
            <w:r w:rsidRPr="00C1603D">
              <w:rPr>
                <w:lang w:eastAsia="en-GB"/>
              </w:rPr>
              <w:t>1988 (61.4)</w:t>
            </w:r>
          </w:p>
        </w:tc>
        <w:tc>
          <w:tcPr>
            <w:tcW w:w="0" w:type="auto"/>
            <w:vMerge/>
            <w:noWrap/>
          </w:tcPr>
          <w:p w14:paraId="31F613BE" w14:textId="79A677E7" w:rsidR="00114B44" w:rsidRPr="00C1603D" w:rsidRDefault="00114B44" w:rsidP="00703099">
            <w:pPr>
              <w:pStyle w:val="72TabletextTablesTableFigureBoxstyles"/>
              <w:rPr>
                <w:lang w:eastAsia="en-GB"/>
              </w:rPr>
            </w:pPr>
          </w:p>
        </w:tc>
        <w:tc>
          <w:tcPr>
            <w:tcW w:w="0" w:type="auto"/>
            <w:shd w:val="clear" w:color="auto" w:fill="auto"/>
            <w:noWrap/>
          </w:tcPr>
          <w:p w14:paraId="4860246F" w14:textId="1B78E3E1" w:rsidR="00114B44" w:rsidRPr="00C1603D" w:rsidRDefault="00114B44" w:rsidP="00703099">
            <w:pPr>
              <w:pStyle w:val="72TabletextTablesTableFigureBoxstyles"/>
              <w:rPr>
                <w:lang w:eastAsia="en-GB"/>
              </w:rPr>
            </w:pPr>
            <w:r w:rsidRPr="00C1603D">
              <w:rPr>
                <w:lang w:eastAsia="en-GB"/>
              </w:rPr>
              <w:t>8074 (49.9)</w:t>
            </w:r>
          </w:p>
        </w:tc>
        <w:tc>
          <w:tcPr>
            <w:tcW w:w="0" w:type="auto"/>
            <w:shd w:val="clear" w:color="auto" w:fill="auto"/>
            <w:noWrap/>
          </w:tcPr>
          <w:p w14:paraId="2B6289F2" w14:textId="07CAF0D4" w:rsidR="00114B44" w:rsidRPr="00C1603D" w:rsidRDefault="00114B44" w:rsidP="00703099">
            <w:pPr>
              <w:pStyle w:val="72TabletextTablesTableFigureBoxstyles"/>
              <w:rPr>
                <w:lang w:eastAsia="en-GB"/>
              </w:rPr>
            </w:pPr>
            <w:r w:rsidRPr="00C1603D">
              <w:rPr>
                <w:lang w:eastAsia="en-GB"/>
              </w:rPr>
              <w:t>13107 (46.6)</w:t>
            </w:r>
          </w:p>
        </w:tc>
        <w:tc>
          <w:tcPr>
            <w:tcW w:w="0" w:type="auto"/>
            <w:shd w:val="clear" w:color="auto" w:fill="auto"/>
            <w:noWrap/>
          </w:tcPr>
          <w:p w14:paraId="7E52D7A9" w14:textId="0F85B070" w:rsidR="00114B44" w:rsidRPr="00C1603D" w:rsidRDefault="00114B44" w:rsidP="00703099">
            <w:pPr>
              <w:pStyle w:val="72TabletextTablesTableFigureBoxstyles"/>
              <w:rPr>
                <w:lang w:eastAsia="en-GB"/>
              </w:rPr>
            </w:pPr>
            <w:r w:rsidRPr="00C1603D">
              <w:rPr>
                <w:lang w:eastAsia="en-GB"/>
              </w:rPr>
              <w:t>4331 (61.6)</w:t>
            </w:r>
          </w:p>
        </w:tc>
        <w:tc>
          <w:tcPr>
            <w:tcW w:w="0" w:type="auto"/>
            <w:vMerge/>
            <w:noWrap/>
          </w:tcPr>
          <w:p w14:paraId="4B286AED" w14:textId="77777777" w:rsidR="00114B44" w:rsidRPr="00C1603D" w:rsidRDefault="00114B44" w:rsidP="00703099">
            <w:pPr>
              <w:pStyle w:val="72TabletextTablesTableFigureBoxstyles"/>
              <w:rPr>
                <w:lang w:eastAsia="en-GB"/>
              </w:rPr>
            </w:pPr>
          </w:p>
        </w:tc>
        <w:tc>
          <w:tcPr>
            <w:tcW w:w="0" w:type="auto"/>
            <w:shd w:val="clear" w:color="auto" w:fill="auto"/>
            <w:noWrap/>
          </w:tcPr>
          <w:p w14:paraId="689ADBBD" w14:textId="1F8AF59A" w:rsidR="00114B44" w:rsidRPr="00C1603D" w:rsidRDefault="00114B44" w:rsidP="00703099">
            <w:pPr>
              <w:pStyle w:val="72TabletextTablesTableFigureBoxstyles"/>
              <w:rPr>
                <w:lang w:eastAsia="en-GB"/>
              </w:rPr>
            </w:pPr>
            <w:r w:rsidRPr="00C1603D">
              <w:rPr>
                <w:lang w:eastAsia="en-GB"/>
              </w:rPr>
              <w:t>17</w:t>
            </w:r>
            <w:r w:rsidR="00D22556" w:rsidRPr="00C1603D">
              <w:rPr>
                <w:lang w:eastAsia="en-GB"/>
              </w:rPr>
              <w:t>,</w:t>
            </w:r>
            <w:r w:rsidRPr="00C1603D">
              <w:rPr>
                <w:lang w:eastAsia="en-GB"/>
              </w:rPr>
              <w:t>438 (49.6)</w:t>
            </w:r>
          </w:p>
        </w:tc>
      </w:tr>
      <w:tr w:rsidR="008B4DF8" w:rsidRPr="00C1603D" w14:paraId="7A458FEE" w14:textId="77777777" w:rsidTr="0044057F">
        <w:trPr>
          <w:cantSplit/>
        </w:trPr>
        <w:tc>
          <w:tcPr>
            <w:tcW w:w="0" w:type="auto"/>
            <w:gridSpan w:val="9"/>
            <w:shd w:val="clear" w:color="auto" w:fill="auto"/>
            <w:noWrap/>
          </w:tcPr>
          <w:p w14:paraId="736B666E" w14:textId="7A0D1F90" w:rsidR="008B4DF8" w:rsidRPr="00C1603D" w:rsidRDefault="008B4DF8" w:rsidP="001C4C63">
            <w:pPr>
              <w:pStyle w:val="72TabletextTablesTableFigureBoxstyles"/>
              <w:rPr>
                <w:lang w:eastAsia="en-GB"/>
              </w:rPr>
            </w:pPr>
            <w:r w:rsidRPr="00C1603D">
              <w:rPr>
                <w:lang w:eastAsia="en-GB"/>
              </w:rPr>
              <w:t>Ethnicity</w:t>
            </w:r>
            <w:r w:rsidR="000A76E3" w:rsidRPr="00C1603D">
              <w:rPr>
                <w:lang w:eastAsia="en-GB"/>
              </w:rPr>
              <w:t xml:space="preserve">, </w:t>
            </w:r>
            <w:r w:rsidR="000A76E3" w:rsidRPr="00C1603D">
              <w:rPr>
                <w:i/>
                <w:lang w:eastAsia="en-GB"/>
              </w:rPr>
              <w:t>n</w:t>
            </w:r>
            <w:r w:rsidR="000A76E3" w:rsidRPr="00C1603D">
              <w:rPr>
                <w:lang w:eastAsia="en-GB"/>
              </w:rPr>
              <w:t xml:space="preserve"> (%)</w:t>
            </w:r>
          </w:p>
        </w:tc>
      </w:tr>
      <w:tr w:rsidR="002440E9" w:rsidRPr="00C1603D" w14:paraId="7A59E689" w14:textId="77777777" w:rsidTr="0044057F">
        <w:trPr>
          <w:cantSplit/>
        </w:trPr>
        <w:tc>
          <w:tcPr>
            <w:tcW w:w="0" w:type="auto"/>
            <w:shd w:val="clear" w:color="auto" w:fill="auto"/>
            <w:noWrap/>
          </w:tcPr>
          <w:p w14:paraId="59AF94F8" w14:textId="20D86C9C" w:rsidR="002440E9" w:rsidRPr="00C1603D" w:rsidRDefault="001C4C63" w:rsidP="00703099">
            <w:pPr>
              <w:pStyle w:val="72TabletextTablesTableFigureBoxstyles"/>
              <w:rPr>
                <w:lang w:eastAsia="en-GB"/>
              </w:rPr>
            </w:pPr>
            <w:r w:rsidRPr="00C1603D">
              <w:rPr>
                <w:lang w:eastAsia="en-GB"/>
              </w:rPr>
              <w:tab/>
            </w:r>
            <w:r w:rsidR="002440E9" w:rsidRPr="00C1603D">
              <w:rPr>
                <w:lang w:eastAsia="en-GB"/>
              </w:rPr>
              <w:t>Non-white</w:t>
            </w:r>
          </w:p>
        </w:tc>
        <w:tc>
          <w:tcPr>
            <w:tcW w:w="0" w:type="auto"/>
            <w:shd w:val="clear" w:color="auto" w:fill="auto"/>
            <w:noWrap/>
          </w:tcPr>
          <w:p w14:paraId="3FF2E382" w14:textId="39251C86" w:rsidR="002440E9" w:rsidRPr="00C1603D" w:rsidRDefault="002440E9" w:rsidP="00703099">
            <w:pPr>
              <w:pStyle w:val="72TabletextTablesTableFigureBoxstyles"/>
              <w:rPr>
                <w:lang w:eastAsia="en-GB"/>
              </w:rPr>
            </w:pPr>
            <w:r w:rsidRPr="00C1603D">
              <w:rPr>
                <w:lang w:eastAsia="en-GB"/>
              </w:rPr>
              <w:t>438 (3.4)</w:t>
            </w:r>
          </w:p>
        </w:tc>
        <w:tc>
          <w:tcPr>
            <w:tcW w:w="0" w:type="auto"/>
            <w:shd w:val="clear" w:color="auto" w:fill="auto"/>
            <w:noWrap/>
          </w:tcPr>
          <w:p w14:paraId="640EBDE7" w14:textId="5FC409A9" w:rsidR="002440E9" w:rsidRPr="00C1603D" w:rsidRDefault="002440E9" w:rsidP="00703099">
            <w:pPr>
              <w:pStyle w:val="72TabletextTablesTableFigureBoxstyles"/>
              <w:rPr>
                <w:lang w:eastAsia="en-GB"/>
              </w:rPr>
            </w:pPr>
            <w:r w:rsidRPr="00C1603D">
              <w:rPr>
                <w:lang w:eastAsia="en-GB"/>
              </w:rPr>
              <w:t>98 (3.0)</w:t>
            </w:r>
          </w:p>
        </w:tc>
        <w:tc>
          <w:tcPr>
            <w:tcW w:w="0" w:type="auto"/>
            <w:vMerge w:val="restart"/>
            <w:shd w:val="clear" w:color="auto" w:fill="auto"/>
            <w:noWrap/>
          </w:tcPr>
          <w:p w14:paraId="2498324B" w14:textId="77777777" w:rsidR="002440E9" w:rsidRPr="00C1603D" w:rsidRDefault="002440E9" w:rsidP="00703099">
            <w:pPr>
              <w:pStyle w:val="72TabletextTablesTableFigureBoxstyles"/>
              <w:rPr>
                <w:lang w:eastAsia="en-GB"/>
              </w:rPr>
            </w:pPr>
            <w:r w:rsidRPr="00C1603D">
              <w:rPr>
                <w:lang w:eastAsia="en-GB"/>
              </w:rPr>
              <w:t>0.004</w:t>
            </w:r>
          </w:p>
        </w:tc>
        <w:tc>
          <w:tcPr>
            <w:tcW w:w="0" w:type="auto"/>
            <w:shd w:val="clear" w:color="auto" w:fill="auto"/>
            <w:noWrap/>
          </w:tcPr>
          <w:p w14:paraId="7DCE25E2" w14:textId="7EB36F15" w:rsidR="002440E9" w:rsidRPr="00C1603D" w:rsidRDefault="002440E9" w:rsidP="00703099">
            <w:pPr>
              <w:pStyle w:val="72TabletextTablesTableFigureBoxstyles"/>
              <w:rPr>
                <w:lang w:eastAsia="en-GB"/>
              </w:rPr>
            </w:pPr>
            <w:r w:rsidRPr="00C1603D">
              <w:rPr>
                <w:lang w:eastAsia="en-GB"/>
              </w:rPr>
              <w:t>536 (3.3)</w:t>
            </w:r>
          </w:p>
        </w:tc>
        <w:tc>
          <w:tcPr>
            <w:tcW w:w="0" w:type="auto"/>
            <w:shd w:val="clear" w:color="auto" w:fill="auto"/>
            <w:noWrap/>
          </w:tcPr>
          <w:p w14:paraId="6890499B" w14:textId="44B97EE7" w:rsidR="002440E9" w:rsidRPr="00C1603D" w:rsidRDefault="002440E9" w:rsidP="00703099">
            <w:pPr>
              <w:pStyle w:val="72TabletextTablesTableFigureBoxstyles"/>
              <w:rPr>
                <w:lang w:eastAsia="en-GB"/>
              </w:rPr>
            </w:pPr>
            <w:r w:rsidRPr="00C1603D">
              <w:rPr>
                <w:lang w:eastAsia="en-GB"/>
              </w:rPr>
              <w:t>686 (2.4)</w:t>
            </w:r>
          </w:p>
        </w:tc>
        <w:tc>
          <w:tcPr>
            <w:tcW w:w="0" w:type="auto"/>
            <w:shd w:val="clear" w:color="auto" w:fill="auto"/>
            <w:noWrap/>
          </w:tcPr>
          <w:p w14:paraId="0264BEEA" w14:textId="1B462A94" w:rsidR="002440E9" w:rsidRPr="00C1603D" w:rsidRDefault="002440E9" w:rsidP="00703099">
            <w:pPr>
              <w:pStyle w:val="72TabletextTablesTableFigureBoxstyles"/>
              <w:rPr>
                <w:lang w:eastAsia="en-GB"/>
              </w:rPr>
            </w:pPr>
            <w:r w:rsidRPr="00C1603D">
              <w:rPr>
                <w:lang w:eastAsia="en-GB"/>
              </w:rPr>
              <w:t>156 (2.2)</w:t>
            </w:r>
          </w:p>
        </w:tc>
        <w:tc>
          <w:tcPr>
            <w:tcW w:w="0" w:type="auto"/>
            <w:vMerge w:val="restart"/>
            <w:shd w:val="clear" w:color="auto" w:fill="auto"/>
            <w:noWrap/>
          </w:tcPr>
          <w:p w14:paraId="6DFCD74B" w14:textId="77777777" w:rsidR="002440E9" w:rsidRPr="00C1603D" w:rsidRDefault="002440E9"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7DC529C" w14:textId="6DDC2E41" w:rsidR="002440E9" w:rsidRPr="00C1603D" w:rsidRDefault="002440E9" w:rsidP="00703099">
            <w:pPr>
              <w:pStyle w:val="72TabletextTablesTableFigureBoxstyles"/>
              <w:rPr>
                <w:lang w:eastAsia="en-GB"/>
              </w:rPr>
            </w:pPr>
            <w:r w:rsidRPr="00C1603D">
              <w:rPr>
                <w:lang w:eastAsia="en-GB"/>
              </w:rPr>
              <w:t>842 (2.4)</w:t>
            </w:r>
          </w:p>
        </w:tc>
      </w:tr>
      <w:tr w:rsidR="002440E9" w:rsidRPr="00C1603D" w14:paraId="3A940738" w14:textId="77777777" w:rsidTr="0044057F">
        <w:trPr>
          <w:cantSplit/>
        </w:trPr>
        <w:tc>
          <w:tcPr>
            <w:tcW w:w="0" w:type="auto"/>
            <w:shd w:val="clear" w:color="auto" w:fill="auto"/>
            <w:noWrap/>
          </w:tcPr>
          <w:p w14:paraId="65EE1AFD" w14:textId="29CB6115" w:rsidR="002440E9" w:rsidRPr="00C1603D" w:rsidRDefault="001C4C63" w:rsidP="00703099">
            <w:pPr>
              <w:pStyle w:val="72TabletextTablesTableFigureBoxstyles"/>
              <w:rPr>
                <w:lang w:eastAsia="en-GB"/>
              </w:rPr>
            </w:pPr>
            <w:r w:rsidRPr="00C1603D">
              <w:rPr>
                <w:lang w:eastAsia="en-GB"/>
              </w:rPr>
              <w:tab/>
            </w:r>
            <w:r w:rsidR="002440E9" w:rsidRPr="00C1603D">
              <w:rPr>
                <w:lang w:eastAsia="en-GB"/>
              </w:rPr>
              <w:t>White</w:t>
            </w:r>
          </w:p>
        </w:tc>
        <w:tc>
          <w:tcPr>
            <w:tcW w:w="0" w:type="auto"/>
            <w:shd w:val="clear" w:color="auto" w:fill="auto"/>
            <w:noWrap/>
          </w:tcPr>
          <w:p w14:paraId="7A8E5A9C" w14:textId="32E7602F" w:rsidR="002440E9" w:rsidRPr="00C1603D" w:rsidRDefault="002440E9" w:rsidP="00703099">
            <w:pPr>
              <w:pStyle w:val="72TabletextTablesTableFigureBoxstyles"/>
              <w:rPr>
                <w:lang w:eastAsia="en-GB"/>
              </w:rPr>
            </w:pPr>
            <w:r w:rsidRPr="00C1603D">
              <w:rPr>
                <w:lang w:eastAsia="en-GB"/>
              </w:rPr>
              <w:t>3816 (29.5)</w:t>
            </w:r>
          </w:p>
        </w:tc>
        <w:tc>
          <w:tcPr>
            <w:tcW w:w="0" w:type="auto"/>
            <w:shd w:val="clear" w:color="auto" w:fill="auto"/>
            <w:noWrap/>
          </w:tcPr>
          <w:p w14:paraId="423718CB" w14:textId="7161CC8E" w:rsidR="002440E9" w:rsidRPr="00C1603D" w:rsidRDefault="002440E9" w:rsidP="00703099">
            <w:pPr>
              <w:pStyle w:val="72TabletextTablesTableFigureBoxstyles"/>
              <w:rPr>
                <w:lang w:eastAsia="en-GB"/>
              </w:rPr>
            </w:pPr>
            <w:r w:rsidRPr="00C1603D">
              <w:rPr>
                <w:lang w:eastAsia="en-GB"/>
              </w:rPr>
              <w:t>1205 (37.2)</w:t>
            </w:r>
          </w:p>
        </w:tc>
        <w:tc>
          <w:tcPr>
            <w:tcW w:w="0" w:type="auto"/>
            <w:vMerge/>
            <w:noWrap/>
          </w:tcPr>
          <w:p w14:paraId="56BF02FB" w14:textId="77777777" w:rsidR="002440E9" w:rsidRPr="00C1603D" w:rsidRDefault="002440E9" w:rsidP="00703099">
            <w:pPr>
              <w:pStyle w:val="72TabletextTablesTableFigureBoxstyles"/>
              <w:rPr>
                <w:lang w:eastAsia="en-GB"/>
              </w:rPr>
            </w:pPr>
          </w:p>
        </w:tc>
        <w:tc>
          <w:tcPr>
            <w:tcW w:w="0" w:type="auto"/>
            <w:shd w:val="clear" w:color="auto" w:fill="auto"/>
            <w:noWrap/>
          </w:tcPr>
          <w:p w14:paraId="78E22BD9" w14:textId="4FF1497D" w:rsidR="002440E9" w:rsidRPr="00C1603D" w:rsidRDefault="002440E9" w:rsidP="00703099">
            <w:pPr>
              <w:pStyle w:val="72TabletextTablesTableFigureBoxstyles"/>
              <w:rPr>
                <w:lang w:eastAsia="en-GB"/>
              </w:rPr>
            </w:pPr>
            <w:r w:rsidRPr="00C1603D">
              <w:rPr>
                <w:lang w:eastAsia="en-GB"/>
              </w:rPr>
              <w:t>5021 (31.0)</w:t>
            </w:r>
          </w:p>
        </w:tc>
        <w:tc>
          <w:tcPr>
            <w:tcW w:w="0" w:type="auto"/>
            <w:shd w:val="clear" w:color="auto" w:fill="auto"/>
            <w:noWrap/>
          </w:tcPr>
          <w:p w14:paraId="17B92DC7" w14:textId="769D1B72" w:rsidR="002440E9" w:rsidRPr="00C1603D" w:rsidRDefault="002440E9" w:rsidP="00703099">
            <w:pPr>
              <w:pStyle w:val="72TabletextTablesTableFigureBoxstyles"/>
              <w:rPr>
                <w:lang w:eastAsia="en-GB"/>
              </w:rPr>
            </w:pPr>
            <w:r w:rsidRPr="00C1603D">
              <w:rPr>
                <w:lang w:eastAsia="en-GB"/>
              </w:rPr>
              <w:t>3478 (12.4)</w:t>
            </w:r>
          </w:p>
        </w:tc>
        <w:tc>
          <w:tcPr>
            <w:tcW w:w="0" w:type="auto"/>
            <w:shd w:val="clear" w:color="auto" w:fill="auto"/>
            <w:noWrap/>
          </w:tcPr>
          <w:p w14:paraId="361DEE34" w14:textId="0432D8DB" w:rsidR="002440E9" w:rsidRPr="00C1603D" w:rsidRDefault="002440E9" w:rsidP="00703099">
            <w:pPr>
              <w:pStyle w:val="72TabletextTablesTableFigureBoxstyles"/>
              <w:rPr>
                <w:lang w:eastAsia="en-GB"/>
              </w:rPr>
            </w:pPr>
            <w:r w:rsidRPr="00C1603D">
              <w:rPr>
                <w:lang w:eastAsia="en-GB"/>
              </w:rPr>
              <w:t>1103 (15.7)</w:t>
            </w:r>
          </w:p>
        </w:tc>
        <w:tc>
          <w:tcPr>
            <w:tcW w:w="0" w:type="auto"/>
            <w:vMerge/>
            <w:noWrap/>
          </w:tcPr>
          <w:p w14:paraId="35482299" w14:textId="77777777" w:rsidR="002440E9" w:rsidRPr="00C1603D" w:rsidRDefault="002440E9" w:rsidP="00703099">
            <w:pPr>
              <w:pStyle w:val="72TabletextTablesTableFigureBoxstyles"/>
              <w:rPr>
                <w:lang w:eastAsia="en-GB"/>
              </w:rPr>
            </w:pPr>
          </w:p>
        </w:tc>
        <w:tc>
          <w:tcPr>
            <w:tcW w:w="0" w:type="auto"/>
            <w:shd w:val="clear" w:color="auto" w:fill="auto"/>
            <w:noWrap/>
          </w:tcPr>
          <w:p w14:paraId="2B641C07" w14:textId="2DB60787" w:rsidR="002440E9" w:rsidRPr="00C1603D" w:rsidRDefault="002440E9" w:rsidP="00703099">
            <w:pPr>
              <w:pStyle w:val="72TabletextTablesTableFigureBoxstyles"/>
              <w:rPr>
                <w:lang w:eastAsia="en-GB"/>
              </w:rPr>
            </w:pPr>
            <w:r w:rsidRPr="00C1603D">
              <w:rPr>
                <w:lang w:eastAsia="en-GB"/>
              </w:rPr>
              <w:t>4581 (13.0)</w:t>
            </w:r>
          </w:p>
        </w:tc>
      </w:tr>
      <w:tr w:rsidR="002440E9" w:rsidRPr="00C1603D" w14:paraId="28EB92EE" w14:textId="77777777" w:rsidTr="0044057F">
        <w:trPr>
          <w:cantSplit/>
        </w:trPr>
        <w:tc>
          <w:tcPr>
            <w:tcW w:w="0" w:type="auto"/>
            <w:shd w:val="clear" w:color="auto" w:fill="auto"/>
            <w:noWrap/>
          </w:tcPr>
          <w:p w14:paraId="5BE5BE8B" w14:textId="7A58363F" w:rsidR="002440E9" w:rsidRPr="00C1603D" w:rsidRDefault="001C4C63" w:rsidP="00703099">
            <w:pPr>
              <w:pStyle w:val="72TabletextTablesTableFigureBoxstyles"/>
              <w:rPr>
                <w:lang w:eastAsia="en-GB"/>
              </w:rPr>
            </w:pPr>
            <w:r w:rsidRPr="00C1603D">
              <w:rPr>
                <w:lang w:eastAsia="en-GB"/>
              </w:rPr>
              <w:tab/>
            </w:r>
            <w:r w:rsidR="002440E9" w:rsidRPr="00C1603D">
              <w:rPr>
                <w:lang w:eastAsia="en-GB"/>
              </w:rPr>
              <w:t>Missing</w:t>
            </w:r>
          </w:p>
        </w:tc>
        <w:tc>
          <w:tcPr>
            <w:tcW w:w="0" w:type="auto"/>
            <w:shd w:val="clear" w:color="auto" w:fill="auto"/>
            <w:noWrap/>
          </w:tcPr>
          <w:p w14:paraId="17CBB41D" w14:textId="3B4B81D6" w:rsidR="002440E9" w:rsidRPr="00C1603D" w:rsidRDefault="002440E9" w:rsidP="00703099">
            <w:pPr>
              <w:pStyle w:val="72TabletextTablesTableFigureBoxstyles"/>
              <w:rPr>
                <w:lang w:eastAsia="en-GB"/>
              </w:rPr>
            </w:pPr>
            <w:r w:rsidRPr="00C1603D">
              <w:rPr>
                <w:lang w:eastAsia="en-GB"/>
              </w:rPr>
              <w:t>8694 (67.1)</w:t>
            </w:r>
          </w:p>
        </w:tc>
        <w:tc>
          <w:tcPr>
            <w:tcW w:w="0" w:type="auto"/>
            <w:shd w:val="clear" w:color="auto" w:fill="auto"/>
            <w:noWrap/>
          </w:tcPr>
          <w:p w14:paraId="7CC9794C" w14:textId="5AC0C6A2" w:rsidR="002440E9" w:rsidRPr="00C1603D" w:rsidRDefault="002440E9" w:rsidP="00703099">
            <w:pPr>
              <w:pStyle w:val="72TabletextTablesTableFigureBoxstyles"/>
              <w:rPr>
                <w:lang w:eastAsia="en-GB"/>
              </w:rPr>
            </w:pPr>
            <w:r w:rsidRPr="00C1603D">
              <w:rPr>
                <w:lang w:eastAsia="en-GB"/>
              </w:rPr>
              <w:t>1934 (59.7)</w:t>
            </w:r>
          </w:p>
        </w:tc>
        <w:tc>
          <w:tcPr>
            <w:tcW w:w="0" w:type="auto"/>
            <w:vMerge/>
            <w:noWrap/>
          </w:tcPr>
          <w:p w14:paraId="583F64B9" w14:textId="77777777" w:rsidR="002440E9" w:rsidRPr="00C1603D" w:rsidRDefault="002440E9" w:rsidP="00703099">
            <w:pPr>
              <w:pStyle w:val="72TabletextTablesTableFigureBoxstyles"/>
              <w:rPr>
                <w:lang w:eastAsia="en-GB"/>
              </w:rPr>
            </w:pPr>
          </w:p>
        </w:tc>
        <w:tc>
          <w:tcPr>
            <w:tcW w:w="0" w:type="auto"/>
            <w:shd w:val="clear" w:color="auto" w:fill="auto"/>
            <w:noWrap/>
          </w:tcPr>
          <w:p w14:paraId="130800D3" w14:textId="30FCCE32" w:rsidR="002440E9" w:rsidRPr="00C1603D" w:rsidRDefault="002440E9" w:rsidP="00703099">
            <w:pPr>
              <w:pStyle w:val="72TabletextTablesTableFigureBoxstyles"/>
              <w:rPr>
                <w:lang w:eastAsia="en-GB"/>
              </w:rPr>
            </w:pPr>
            <w:r w:rsidRPr="00C1603D">
              <w:rPr>
                <w:lang w:eastAsia="en-GB"/>
              </w:rPr>
              <w:t>10</w:t>
            </w:r>
            <w:r w:rsidR="00D22556" w:rsidRPr="00C1603D">
              <w:rPr>
                <w:lang w:eastAsia="en-GB"/>
              </w:rPr>
              <w:t>,</w:t>
            </w:r>
            <w:r w:rsidRPr="00C1603D">
              <w:rPr>
                <w:lang w:eastAsia="en-GB"/>
              </w:rPr>
              <w:t>628 (65.7)</w:t>
            </w:r>
          </w:p>
        </w:tc>
        <w:tc>
          <w:tcPr>
            <w:tcW w:w="0" w:type="auto"/>
            <w:shd w:val="clear" w:color="auto" w:fill="auto"/>
            <w:noWrap/>
          </w:tcPr>
          <w:p w14:paraId="35145C8B" w14:textId="6D7F15F3" w:rsidR="002440E9" w:rsidRPr="00C1603D" w:rsidRDefault="002440E9" w:rsidP="00703099">
            <w:pPr>
              <w:pStyle w:val="72TabletextTablesTableFigureBoxstyles"/>
              <w:rPr>
                <w:lang w:eastAsia="en-GB"/>
              </w:rPr>
            </w:pPr>
            <w:r w:rsidRPr="00C1603D">
              <w:rPr>
                <w:lang w:eastAsia="en-GB"/>
              </w:rPr>
              <w:t>23</w:t>
            </w:r>
            <w:r w:rsidR="00D22556" w:rsidRPr="00C1603D">
              <w:rPr>
                <w:lang w:eastAsia="en-GB"/>
              </w:rPr>
              <w:t>,</w:t>
            </w:r>
            <w:r w:rsidRPr="00C1603D">
              <w:rPr>
                <w:lang w:eastAsia="en-GB"/>
              </w:rPr>
              <w:t>967 (85.2)</w:t>
            </w:r>
          </w:p>
        </w:tc>
        <w:tc>
          <w:tcPr>
            <w:tcW w:w="0" w:type="auto"/>
            <w:shd w:val="clear" w:color="auto" w:fill="auto"/>
            <w:noWrap/>
          </w:tcPr>
          <w:p w14:paraId="692F1BAE" w14:textId="31B4693D" w:rsidR="002440E9" w:rsidRPr="00C1603D" w:rsidRDefault="002440E9" w:rsidP="00703099">
            <w:pPr>
              <w:pStyle w:val="72TabletextTablesTableFigureBoxstyles"/>
              <w:rPr>
                <w:lang w:eastAsia="en-GB"/>
              </w:rPr>
            </w:pPr>
            <w:r w:rsidRPr="00C1603D">
              <w:rPr>
                <w:lang w:eastAsia="en-GB"/>
              </w:rPr>
              <w:t>5774 (82.1)</w:t>
            </w:r>
          </w:p>
        </w:tc>
        <w:tc>
          <w:tcPr>
            <w:tcW w:w="0" w:type="auto"/>
            <w:vMerge/>
            <w:noWrap/>
          </w:tcPr>
          <w:p w14:paraId="4F45E496" w14:textId="77777777" w:rsidR="002440E9" w:rsidRPr="00C1603D" w:rsidRDefault="002440E9" w:rsidP="00703099">
            <w:pPr>
              <w:pStyle w:val="72TabletextTablesTableFigureBoxstyles"/>
              <w:rPr>
                <w:lang w:eastAsia="en-GB"/>
              </w:rPr>
            </w:pPr>
          </w:p>
        </w:tc>
        <w:tc>
          <w:tcPr>
            <w:tcW w:w="0" w:type="auto"/>
            <w:shd w:val="clear" w:color="auto" w:fill="auto"/>
            <w:noWrap/>
          </w:tcPr>
          <w:p w14:paraId="475F2A6E" w14:textId="3F79F78D" w:rsidR="002440E9" w:rsidRPr="00C1603D" w:rsidRDefault="002440E9" w:rsidP="00703099">
            <w:pPr>
              <w:pStyle w:val="72TabletextTablesTableFigureBoxstyles"/>
              <w:rPr>
                <w:lang w:eastAsia="en-GB"/>
              </w:rPr>
            </w:pPr>
            <w:r w:rsidRPr="00C1603D">
              <w:rPr>
                <w:lang w:eastAsia="en-GB"/>
              </w:rPr>
              <w:t>29</w:t>
            </w:r>
            <w:r w:rsidR="00D22556" w:rsidRPr="00C1603D">
              <w:rPr>
                <w:lang w:eastAsia="en-GB"/>
              </w:rPr>
              <w:t>,</w:t>
            </w:r>
            <w:r w:rsidRPr="00C1603D">
              <w:rPr>
                <w:lang w:eastAsia="en-GB"/>
              </w:rPr>
              <w:t>741 (84.6)</w:t>
            </w:r>
          </w:p>
        </w:tc>
      </w:tr>
      <w:tr w:rsidR="008B4DF8" w:rsidRPr="00C1603D" w14:paraId="28F332F1" w14:textId="77777777" w:rsidTr="0044057F">
        <w:trPr>
          <w:cantSplit/>
        </w:trPr>
        <w:tc>
          <w:tcPr>
            <w:tcW w:w="0" w:type="auto"/>
            <w:gridSpan w:val="9"/>
            <w:shd w:val="clear" w:color="auto" w:fill="auto"/>
            <w:noWrap/>
          </w:tcPr>
          <w:p w14:paraId="70708D8C" w14:textId="3238A327" w:rsidR="008B4DF8" w:rsidRPr="00C1603D" w:rsidRDefault="008B4DF8" w:rsidP="001C4C63">
            <w:pPr>
              <w:pStyle w:val="72TabletextTablesTableFigureBoxstyles"/>
              <w:rPr>
                <w:lang w:eastAsia="en-GB"/>
              </w:rPr>
            </w:pPr>
            <w:commentRangeStart w:id="203"/>
            <w:commentRangeStart w:id="204"/>
            <w:r w:rsidRPr="00C1603D">
              <w:rPr>
                <w:lang w:eastAsia="en-GB"/>
              </w:rPr>
              <w:t>Deprivation (IMD 2015</w:t>
            </w:r>
            <w:r w:rsidR="000A76E3" w:rsidRPr="00C1603D">
              <w:rPr>
                <w:vertAlign w:val="superscript"/>
                <w:lang w:eastAsia="en-GB"/>
              </w:rPr>
              <w:t>193</w:t>
            </w:r>
            <w:r w:rsidRPr="00C1603D">
              <w:rPr>
                <w:lang w:eastAsia="en-GB"/>
              </w:rPr>
              <w:t xml:space="preserve"> quintiles)</w:t>
            </w:r>
            <w:commentRangeEnd w:id="203"/>
            <w:r w:rsidR="000A76E3" w:rsidRPr="00C1603D">
              <w:commentReference w:id="203"/>
            </w:r>
            <w:commentRangeEnd w:id="204"/>
            <w:r w:rsidRPr="00C1603D">
              <w:commentReference w:id="204"/>
            </w:r>
            <w:r w:rsidR="002440E9" w:rsidRPr="00C1603D">
              <w:rPr>
                <w:lang w:eastAsia="en-GB"/>
              </w:rPr>
              <w:t xml:space="preserve">, </w:t>
            </w:r>
            <w:r w:rsidR="002440E9" w:rsidRPr="00C1603D">
              <w:rPr>
                <w:i/>
                <w:iCs/>
                <w:lang w:eastAsia="en-GB"/>
              </w:rPr>
              <w:t>n</w:t>
            </w:r>
            <w:r w:rsidR="002440E9" w:rsidRPr="00C1603D">
              <w:rPr>
                <w:lang w:eastAsia="en-GB"/>
              </w:rPr>
              <w:t xml:space="preserve"> (%)</w:t>
            </w:r>
          </w:p>
        </w:tc>
      </w:tr>
      <w:tr w:rsidR="002440E9" w:rsidRPr="00C1603D" w14:paraId="104C9E63" w14:textId="77777777" w:rsidTr="0044057F">
        <w:trPr>
          <w:cantSplit/>
        </w:trPr>
        <w:tc>
          <w:tcPr>
            <w:tcW w:w="0" w:type="auto"/>
            <w:shd w:val="clear" w:color="auto" w:fill="auto"/>
            <w:noWrap/>
          </w:tcPr>
          <w:p w14:paraId="14F5FD6D" w14:textId="25260400" w:rsidR="002440E9" w:rsidRPr="00C1603D" w:rsidRDefault="001C4C63" w:rsidP="00703099">
            <w:pPr>
              <w:pStyle w:val="72TabletextTablesTableFigureBoxstyles"/>
              <w:rPr>
                <w:lang w:eastAsia="en-GB"/>
              </w:rPr>
            </w:pPr>
            <w:r w:rsidRPr="00C1603D">
              <w:rPr>
                <w:lang w:eastAsia="en-GB"/>
              </w:rPr>
              <w:tab/>
            </w:r>
            <w:r w:rsidR="002440E9" w:rsidRPr="00C1603D">
              <w:rPr>
                <w:lang w:eastAsia="en-GB"/>
              </w:rPr>
              <w:t>1</w:t>
            </w:r>
          </w:p>
        </w:tc>
        <w:tc>
          <w:tcPr>
            <w:tcW w:w="0" w:type="auto"/>
            <w:shd w:val="clear" w:color="auto" w:fill="auto"/>
            <w:noWrap/>
          </w:tcPr>
          <w:p w14:paraId="3C080914" w14:textId="1CED2AC8" w:rsidR="002440E9" w:rsidRPr="00C1603D" w:rsidRDefault="002440E9" w:rsidP="00703099">
            <w:pPr>
              <w:pStyle w:val="72TabletextTablesTableFigureBoxstyles"/>
              <w:rPr>
                <w:lang w:eastAsia="en-GB"/>
              </w:rPr>
            </w:pPr>
            <w:r w:rsidRPr="00C1603D">
              <w:rPr>
                <w:lang w:eastAsia="en-GB"/>
              </w:rPr>
              <w:t>1104 (8.5)</w:t>
            </w:r>
          </w:p>
        </w:tc>
        <w:tc>
          <w:tcPr>
            <w:tcW w:w="0" w:type="auto"/>
            <w:shd w:val="clear" w:color="auto" w:fill="auto"/>
            <w:noWrap/>
          </w:tcPr>
          <w:p w14:paraId="1B510CE0" w14:textId="518F0CA1" w:rsidR="002440E9" w:rsidRPr="00C1603D" w:rsidRDefault="002440E9" w:rsidP="00703099">
            <w:pPr>
              <w:pStyle w:val="72TabletextTablesTableFigureBoxstyles"/>
              <w:rPr>
                <w:lang w:eastAsia="en-GB"/>
              </w:rPr>
            </w:pPr>
            <w:r w:rsidRPr="00C1603D">
              <w:rPr>
                <w:lang w:eastAsia="en-GB"/>
              </w:rPr>
              <w:t>385 (11.9)</w:t>
            </w:r>
          </w:p>
        </w:tc>
        <w:tc>
          <w:tcPr>
            <w:tcW w:w="0" w:type="auto"/>
            <w:vMerge w:val="restart"/>
            <w:shd w:val="clear" w:color="auto" w:fill="auto"/>
            <w:noWrap/>
          </w:tcPr>
          <w:p w14:paraId="0F67A13B" w14:textId="77777777" w:rsidR="002440E9" w:rsidRPr="00C1603D" w:rsidRDefault="002440E9" w:rsidP="00703099">
            <w:pPr>
              <w:pStyle w:val="72TabletextTablesTableFigureBoxstyles"/>
              <w:rPr>
                <w:lang w:eastAsia="en-GB"/>
              </w:rPr>
            </w:pPr>
            <w:r w:rsidRPr="00C1603D">
              <w:rPr>
                <w:lang w:eastAsia="en-GB"/>
              </w:rPr>
              <w:t>0.059</w:t>
            </w:r>
          </w:p>
        </w:tc>
        <w:tc>
          <w:tcPr>
            <w:tcW w:w="0" w:type="auto"/>
            <w:shd w:val="clear" w:color="auto" w:fill="auto"/>
            <w:noWrap/>
          </w:tcPr>
          <w:p w14:paraId="15A0FC39" w14:textId="77E44B62" w:rsidR="002440E9" w:rsidRPr="00C1603D" w:rsidRDefault="002440E9" w:rsidP="00703099">
            <w:pPr>
              <w:pStyle w:val="72TabletextTablesTableFigureBoxstyles"/>
              <w:rPr>
                <w:lang w:eastAsia="en-GB"/>
              </w:rPr>
            </w:pPr>
            <w:r w:rsidRPr="00C1603D">
              <w:rPr>
                <w:lang w:eastAsia="en-GB"/>
              </w:rPr>
              <w:t>1489 (9.2)</w:t>
            </w:r>
          </w:p>
        </w:tc>
        <w:tc>
          <w:tcPr>
            <w:tcW w:w="0" w:type="auto"/>
            <w:shd w:val="clear" w:color="auto" w:fill="auto"/>
            <w:noWrap/>
          </w:tcPr>
          <w:p w14:paraId="5BF8DB7D" w14:textId="0C2CF913" w:rsidR="002440E9" w:rsidRPr="00C1603D" w:rsidRDefault="002440E9" w:rsidP="00703099">
            <w:pPr>
              <w:pStyle w:val="72TabletextTablesTableFigureBoxstyles"/>
              <w:rPr>
                <w:lang w:eastAsia="en-GB"/>
              </w:rPr>
            </w:pPr>
            <w:r w:rsidRPr="00C1603D">
              <w:rPr>
                <w:lang w:eastAsia="en-GB"/>
              </w:rPr>
              <w:t>1532 (5.4)</w:t>
            </w:r>
          </w:p>
        </w:tc>
        <w:tc>
          <w:tcPr>
            <w:tcW w:w="0" w:type="auto"/>
            <w:shd w:val="clear" w:color="auto" w:fill="auto"/>
            <w:noWrap/>
          </w:tcPr>
          <w:p w14:paraId="750940DE" w14:textId="345BF4CB" w:rsidR="002440E9" w:rsidRPr="00C1603D" w:rsidRDefault="002440E9" w:rsidP="00703099">
            <w:pPr>
              <w:pStyle w:val="72TabletextTablesTableFigureBoxstyles"/>
              <w:rPr>
                <w:lang w:eastAsia="en-GB"/>
              </w:rPr>
            </w:pPr>
            <w:r w:rsidRPr="00C1603D">
              <w:rPr>
                <w:lang w:eastAsia="en-GB"/>
              </w:rPr>
              <w:t>391 (5.6)</w:t>
            </w:r>
          </w:p>
        </w:tc>
        <w:tc>
          <w:tcPr>
            <w:tcW w:w="0" w:type="auto"/>
            <w:vMerge w:val="restart"/>
            <w:shd w:val="clear" w:color="auto" w:fill="auto"/>
            <w:noWrap/>
          </w:tcPr>
          <w:p w14:paraId="7F0A8B84" w14:textId="77777777" w:rsidR="002440E9" w:rsidRPr="00C1603D" w:rsidRDefault="002440E9" w:rsidP="00703099">
            <w:pPr>
              <w:pStyle w:val="72TabletextTablesTableFigureBoxstyles"/>
              <w:rPr>
                <w:lang w:eastAsia="en-GB"/>
              </w:rPr>
            </w:pPr>
            <w:r w:rsidRPr="00C1603D">
              <w:rPr>
                <w:lang w:eastAsia="en-GB"/>
              </w:rPr>
              <w:t>0.057</w:t>
            </w:r>
          </w:p>
        </w:tc>
        <w:tc>
          <w:tcPr>
            <w:tcW w:w="0" w:type="auto"/>
            <w:shd w:val="clear" w:color="auto" w:fill="auto"/>
            <w:noWrap/>
          </w:tcPr>
          <w:p w14:paraId="5297455B" w14:textId="46CACDA3" w:rsidR="002440E9" w:rsidRPr="00C1603D" w:rsidRDefault="002440E9" w:rsidP="00703099">
            <w:pPr>
              <w:pStyle w:val="72TabletextTablesTableFigureBoxstyles"/>
              <w:rPr>
                <w:lang w:eastAsia="en-GB"/>
              </w:rPr>
            </w:pPr>
            <w:r w:rsidRPr="00C1603D">
              <w:rPr>
                <w:lang w:eastAsia="en-GB"/>
              </w:rPr>
              <w:t>1923 (5.5)</w:t>
            </w:r>
          </w:p>
        </w:tc>
      </w:tr>
      <w:tr w:rsidR="002440E9" w:rsidRPr="00C1603D" w14:paraId="116B4D87" w14:textId="77777777" w:rsidTr="0044057F">
        <w:trPr>
          <w:cantSplit/>
        </w:trPr>
        <w:tc>
          <w:tcPr>
            <w:tcW w:w="0" w:type="auto"/>
            <w:shd w:val="clear" w:color="auto" w:fill="auto"/>
            <w:noWrap/>
          </w:tcPr>
          <w:p w14:paraId="6664E5C6" w14:textId="3E744A3E" w:rsidR="002440E9" w:rsidRPr="00C1603D" w:rsidRDefault="001C4C63" w:rsidP="00703099">
            <w:pPr>
              <w:pStyle w:val="72TabletextTablesTableFigureBoxstyles"/>
              <w:rPr>
                <w:lang w:eastAsia="en-GB"/>
              </w:rPr>
            </w:pPr>
            <w:r w:rsidRPr="00C1603D">
              <w:rPr>
                <w:lang w:eastAsia="en-GB"/>
              </w:rPr>
              <w:tab/>
            </w:r>
            <w:r w:rsidR="002440E9" w:rsidRPr="00C1603D">
              <w:rPr>
                <w:lang w:eastAsia="en-GB"/>
              </w:rPr>
              <w:t>2</w:t>
            </w:r>
          </w:p>
        </w:tc>
        <w:tc>
          <w:tcPr>
            <w:tcW w:w="0" w:type="auto"/>
            <w:shd w:val="clear" w:color="auto" w:fill="auto"/>
            <w:noWrap/>
          </w:tcPr>
          <w:p w14:paraId="47CFC468" w14:textId="6D3FC166" w:rsidR="002440E9" w:rsidRPr="00C1603D" w:rsidRDefault="002440E9" w:rsidP="00703099">
            <w:pPr>
              <w:pStyle w:val="72TabletextTablesTableFigureBoxstyles"/>
              <w:rPr>
                <w:lang w:eastAsia="en-GB"/>
              </w:rPr>
            </w:pPr>
            <w:r w:rsidRPr="00C1603D">
              <w:rPr>
                <w:lang w:eastAsia="en-GB"/>
              </w:rPr>
              <w:t>896 (6.9)</w:t>
            </w:r>
          </w:p>
        </w:tc>
        <w:tc>
          <w:tcPr>
            <w:tcW w:w="0" w:type="auto"/>
            <w:shd w:val="clear" w:color="auto" w:fill="auto"/>
            <w:noWrap/>
          </w:tcPr>
          <w:p w14:paraId="08AE9DB4" w14:textId="41EB686E" w:rsidR="002440E9" w:rsidRPr="00C1603D" w:rsidRDefault="002440E9" w:rsidP="00703099">
            <w:pPr>
              <w:pStyle w:val="72TabletextTablesTableFigureBoxstyles"/>
              <w:rPr>
                <w:lang w:eastAsia="en-GB"/>
              </w:rPr>
            </w:pPr>
            <w:r w:rsidRPr="00C1603D">
              <w:rPr>
                <w:lang w:eastAsia="en-GB"/>
              </w:rPr>
              <w:t>270 (8.3)</w:t>
            </w:r>
          </w:p>
        </w:tc>
        <w:tc>
          <w:tcPr>
            <w:tcW w:w="0" w:type="auto"/>
            <w:vMerge/>
            <w:noWrap/>
          </w:tcPr>
          <w:p w14:paraId="2DE4C6A7" w14:textId="41D7E75C" w:rsidR="002440E9" w:rsidRPr="00C1603D" w:rsidRDefault="002440E9" w:rsidP="00703099">
            <w:pPr>
              <w:pStyle w:val="72TabletextTablesTableFigureBoxstyles"/>
              <w:rPr>
                <w:lang w:eastAsia="en-GB"/>
              </w:rPr>
            </w:pPr>
          </w:p>
        </w:tc>
        <w:tc>
          <w:tcPr>
            <w:tcW w:w="0" w:type="auto"/>
            <w:shd w:val="clear" w:color="auto" w:fill="auto"/>
            <w:noWrap/>
          </w:tcPr>
          <w:p w14:paraId="3CA5BA5A" w14:textId="7F121FE5" w:rsidR="002440E9" w:rsidRPr="00C1603D" w:rsidRDefault="002440E9" w:rsidP="00703099">
            <w:pPr>
              <w:pStyle w:val="72TabletextTablesTableFigureBoxstyles"/>
              <w:rPr>
                <w:lang w:eastAsia="en-GB"/>
              </w:rPr>
            </w:pPr>
            <w:r w:rsidRPr="00C1603D">
              <w:rPr>
                <w:lang w:eastAsia="en-GB"/>
              </w:rPr>
              <w:t>1166 (7.2)</w:t>
            </w:r>
          </w:p>
        </w:tc>
        <w:tc>
          <w:tcPr>
            <w:tcW w:w="0" w:type="auto"/>
            <w:shd w:val="clear" w:color="auto" w:fill="auto"/>
            <w:noWrap/>
          </w:tcPr>
          <w:p w14:paraId="3CEAE5B0" w14:textId="755E8F85" w:rsidR="002440E9" w:rsidRPr="00C1603D" w:rsidRDefault="002440E9" w:rsidP="00703099">
            <w:pPr>
              <w:pStyle w:val="72TabletextTablesTableFigureBoxstyles"/>
              <w:rPr>
                <w:lang w:eastAsia="en-GB"/>
              </w:rPr>
            </w:pPr>
            <w:r w:rsidRPr="00C1603D">
              <w:rPr>
                <w:lang w:eastAsia="en-GB"/>
              </w:rPr>
              <w:t>1154 (4.1)</w:t>
            </w:r>
          </w:p>
        </w:tc>
        <w:tc>
          <w:tcPr>
            <w:tcW w:w="0" w:type="auto"/>
            <w:shd w:val="clear" w:color="auto" w:fill="auto"/>
            <w:noWrap/>
          </w:tcPr>
          <w:p w14:paraId="1A7A665C" w14:textId="47B4E0EB" w:rsidR="002440E9" w:rsidRPr="00C1603D" w:rsidRDefault="002440E9" w:rsidP="00703099">
            <w:pPr>
              <w:pStyle w:val="72TabletextTablesTableFigureBoxstyles"/>
              <w:rPr>
                <w:lang w:eastAsia="en-GB"/>
              </w:rPr>
            </w:pPr>
            <w:r w:rsidRPr="00C1603D">
              <w:rPr>
                <w:lang w:eastAsia="en-GB"/>
              </w:rPr>
              <w:t>310 (4.4)</w:t>
            </w:r>
          </w:p>
        </w:tc>
        <w:tc>
          <w:tcPr>
            <w:tcW w:w="0" w:type="auto"/>
            <w:vMerge/>
            <w:noWrap/>
          </w:tcPr>
          <w:p w14:paraId="64B58D98" w14:textId="09EE63EB" w:rsidR="002440E9" w:rsidRPr="00C1603D" w:rsidRDefault="002440E9" w:rsidP="00703099">
            <w:pPr>
              <w:pStyle w:val="72TabletextTablesTableFigureBoxstyles"/>
              <w:rPr>
                <w:lang w:eastAsia="en-GB"/>
              </w:rPr>
            </w:pPr>
          </w:p>
        </w:tc>
        <w:tc>
          <w:tcPr>
            <w:tcW w:w="0" w:type="auto"/>
            <w:shd w:val="clear" w:color="auto" w:fill="auto"/>
            <w:noWrap/>
          </w:tcPr>
          <w:p w14:paraId="2405E693" w14:textId="01257E1A" w:rsidR="002440E9" w:rsidRPr="00C1603D" w:rsidRDefault="002440E9" w:rsidP="00703099">
            <w:pPr>
              <w:pStyle w:val="72TabletextTablesTableFigureBoxstyles"/>
              <w:rPr>
                <w:lang w:eastAsia="en-GB"/>
              </w:rPr>
            </w:pPr>
            <w:r w:rsidRPr="00C1603D">
              <w:rPr>
                <w:lang w:eastAsia="en-GB"/>
              </w:rPr>
              <w:t>1464 (4.2)</w:t>
            </w:r>
          </w:p>
        </w:tc>
      </w:tr>
      <w:tr w:rsidR="002440E9" w:rsidRPr="00C1603D" w14:paraId="7997BCFD" w14:textId="77777777" w:rsidTr="0044057F">
        <w:trPr>
          <w:cantSplit/>
        </w:trPr>
        <w:tc>
          <w:tcPr>
            <w:tcW w:w="0" w:type="auto"/>
            <w:shd w:val="clear" w:color="auto" w:fill="auto"/>
            <w:noWrap/>
          </w:tcPr>
          <w:p w14:paraId="5C89E964" w14:textId="0E5108FD" w:rsidR="002440E9" w:rsidRPr="00C1603D" w:rsidRDefault="001C4C63" w:rsidP="00703099">
            <w:pPr>
              <w:pStyle w:val="72TabletextTablesTableFigureBoxstyles"/>
              <w:rPr>
                <w:lang w:eastAsia="en-GB"/>
              </w:rPr>
            </w:pPr>
            <w:r w:rsidRPr="00C1603D">
              <w:rPr>
                <w:lang w:eastAsia="en-GB"/>
              </w:rPr>
              <w:tab/>
            </w:r>
            <w:r w:rsidR="002440E9" w:rsidRPr="00C1603D">
              <w:rPr>
                <w:lang w:eastAsia="en-GB"/>
              </w:rPr>
              <w:t>3</w:t>
            </w:r>
          </w:p>
        </w:tc>
        <w:tc>
          <w:tcPr>
            <w:tcW w:w="0" w:type="auto"/>
            <w:shd w:val="clear" w:color="auto" w:fill="auto"/>
            <w:noWrap/>
          </w:tcPr>
          <w:p w14:paraId="31CB87C2" w14:textId="1663600C" w:rsidR="002440E9" w:rsidRPr="00C1603D" w:rsidRDefault="002440E9" w:rsidP="00703099">
            <w:pPr>
              <w:pStyle w:val="72TabletextTablesTableFigureBoxstyles"/>
              <w:rPr>
                <w:lang w:eastAsia="en-GB"/>
              </w:rPr>
            </w:pPr>
            <w:r w:rsidRPr="00C1603D">
              <w:rPr>
                <w:lang w:eastAsia="en-GB"/>
              </w:rPr>
              <w:t>871 (6.7)</w:t>
            </w:r>
          </w:p>
        </w:tc>
        <w:tc>
          <w:tcPr>
            <w:tcW w:w="0" w:type="auto"/>
            <w:shd w:val="clear" w:color="auto" w:fill="auto"/>
            <w:noWrap/>
          </w:tcPr>
          <w:p w14:paraId="6823DC90" w14:textId="7D687377" w:rsidR="002440E9" w:rsidRPr="00C1603D" w:rsidRDefault="002440E9" w:rsidP="00703099">
            <w:pPr>
              <w:pStyle w:val="72TabletextTablesTableFigureBoxstyles"/>
              <w:rPr>
                <w:lang w:eastAsia="en-GB"/>
              </w:rPr>
            </w:pPr>
            <w:r w:rsidRPr="00C1603D">
              <w:rPr>
                <w:lang w:eastAsia="en-GB"/>
              </w:rPr>
              <w:t>264 (8.2)</w:t>
            </w:r>
          </w:p>
        </w:tc>
        <w:tc>
          <w:tcPr>
            <w:tcW w:w="0" w:type="auto"/>
            <w:vMerge/>
            <w:noWrap/>
          </w:tcPr>
          <w:p w14:paraId="42D17E44" w14:textId="12D3863F" w:rsidR="002440E9" w:rsidRPr="00C1603D" w:rsidRDefault="002440E9" w:rsidP="00703099">
            <w:pPr>
              <w:pStyle w:val="72TabletextTablesTableFigureBoxstyles"/>
              <w:rPr>
                <w:lang w:eastAsia="en-GB"/>
              </w:rPr>
            </w:pPr>
          </w:p>
        </w:tc>
        <w:tc>
          <w:tcPr>
            <w:tcW w:w="0" w:type="auto"/>
            <w:shd w:val="clear" w:color="auto" w:fill="auto"/>
            <w:noWrap/>
          </w:tcPr>
          <w:p w14:paraId="79E5DD80" w14:textId="2B229009" w:rsidR="002440E9" w:rsidRPr="00C1603D" w:rsidRDefault="002440E9" w:rsidP="00703099">
            <w:pPr>
              <w:pStyle w:val="72TabletextTablesTableFigureBoxstyles"/>
              <w:rPr>
                <w:lang w:eastAsia="en-GB"/>
              </w:rPr>
            </w:pPr>
            <w:r w:rsidRPr="00C1603D">
              <w:rPr>
                <w:lang w:eastAsia="en-GB"/>
              </w:rPr>
              <w:t>1135 (7.0)</w:t>
            </w:r>
          </w:p>
        </w:tc>
        <w:tc>
          <w:tcPr>
            <w:tcW w:w="0" w:type="auto"/>
            <w:shd w:val="clear" w:color="auto" w:fill="auto"/>
            <w:noWrap/>
          </w:tcPr>
          <w:p w14:paraId="026F7FCC" w14:textId="67FC656F" w:rsidR="002440E9" w:rsidRPr="00C1603D" w:rsidRDefault="002440E9" w:rsidP="00703099">
            <w:pPr>
              <w:pStyle w:val="72TabletextTablesTableFigureBoxstyles"/>
              <w:rPr>
                <w:lang w:eastAsia="en-GB"/>
              </w:rPr>
            </w:pPr>
            <w:r w:rsidRPr="00C1603D">
              <w:rPr>
                <w:lang w:eastAsia="en-GB"/>
              </w:rPr>
              <w:t>1000 (3.6)</w:t>
            </w:r>
          </w:p>
        </w:tc>
        <w:tc>
          <w:tcPr>
            <w:tcW w:w="0" w:type="auto"/>
            <w:shd w:val="clear" w:color="auto" w:fill="auto"/>
            <w:noWrap/>
          </w:tcPr>
          <w:p w14:paraId="0A86782C" w14:textId="58CC4E0E" w:rsidR="002440E9" w:rsidRPr="00C1603D" w:rsidRDefault="002440E9" w:rsidP="00703099">
            <w:pPr>
              <w:pStyle w:val="72TabletextTablesTableFigureBoxstyles"/>
              <w:rPr>
                <w:lang w:eastAsia="en-GB"/>
              </w:rPr>
            </w:pPr>
            <w:r w:rsidRPr="00C1603D">
              <w:rPr>
                <w:lang w:eastAsia="en-GB"/>
              </w:rPr>
              <w:t>280 (4.0)</w:t>
            </w:r>
          </w:p>
        </w:tc>
        <w:tc>
          <w:tcPr>
            <w:tcW w:w="0" w:type="auto"/>
            <w:vMerge/>
            <w:noWrap/>
          </w:tcPr>
          <w:p w14:paraId="63BCF944" w14:textId="197BE60C" w:rsidR="002440E9" w:rsidRPr="00C1603D" w:rsidRDefault="002440E9" w:rsidP="00703099">
            <w:pPr>
              <w:pStyle w:val="72TabletextTablesTableFigureBoxstyles"/>
              <w:rPr>
                <w:lang w:eastAsia="en-GB"/>
              </w:rPr>
            </w:pPr>
          </w:p>
        </w:tc>
        <w:tc>
          <w:tcPr>
            <w:tcW w:w="0" w:type="auto"/>
            <w:shd w:val="clear" w:color="auto" w:fill="auto"/>
            <w:noWrap/>
          </w:tcPr>
          <w:p w14:paraId="63B388E6" w14:textId="30DB5D28" w:rsidR="002440E9" w:rsidRPr="00C1603D" w:rsidRDefault="002440E9" w:rsidP="00703099">
            <w:pPr>
              <w:pStyle w:val="72TabletextTablesTableFigureBoxstyles"/>
              <w:rPr>
                <w:lang w:eastAsia="en-GB"/>
              </w:rPr>
            </w:pPr>
            <w:r w:rsidRPr="00C1603D">
              <w:rPr>
                <w:lang w:eastAsia="en-GB"/>
              </w:rPr>
              <w:t>1280 (3.6)</w:t>
            </w:r>
          </w:p>
        </w:tc>
      </w:tr>
      <w:tr w:rsidR="002440E9" w:rsidRPr="00C1603D" w14:paraId="122BB028" w14:textId="77777777" w:rsidTr="0044057F">
        <w:trPr>
          <w:cantSplit/>
        </w:trPr>
        <w:tc>
          <w:tcPr>
            <w:tcW w:w="0" w:type="auto"/>
            <w:shd w:val="clear" w:color="auto" w:fill="auto"/>
            <w:noWrap/>
          </w:tcPr>
          <w:p w14:paraId="4D3A2328" w14:textId="0A7B6A93" w:rsidR="002440E9" w:rsidRPr="00C1603D" w:rsidRDefault="00D22556" w:rsidP="00703099">
            <w:pPr>
              <w:pStyle w:val="72TabletextTablesTableFigureBoxstyles"/>
              <w:rPr>
                <w:lang w:eastAsia="en-GB"/>
              </w:rPr>
            </w:pPr>
            <w:r w:rsidRPr="00C1603D">
              <w:rPr>
                <w:lang w:eastAsia="en-GB"/>
              </w:rPr>
              <w:tab/>
            </w:r>
            <w:r w:rsidR="002440E9" w:rsidRPr="00C1603D">
              <w:rPr>
                <w:lang w:eastAsia="en-GB"/>
              </w:rPr>
              <w:t>4</w:t>
            </w:r>
          </w:p>
        </w:tc>
        <w:tc>
          <w:tcPr>
            <w:tcW w:w="0" w:type="auto"/>
            <w:shd w:val="clear" w:color="auto" w:fill="auto"/>
            <w:noWrap/>
          </w:tcPr>
          <w:p w14:paraId="4A638913" w14:textId="6A919AD9" w:rsidR="002440E9" w:rsidRPr="00C1603D" w:rsidRDefault="002440E9" w:rsidP="00703099">
            <w:pPr>
              <w:pStyle w:val="72TabletextTablesTableFigureBoxstyles"/>
              <w:rPr>
                <w:lang w:eastAsia="en-GB"/>
              </w:rPr>
            </w:pPr>
            <w:r w:rsidRPr="00C1603D">
              <w:rPr>
                <w:lang w:eastAsia="en-GB"/>
              </w:rPr>
              <w:t>742 (5.7)</w:t>
            </w:r>
          </w:p>
        </w:tc>
        <w:tc>
          <w:tcPr>
            <w:tcW w:w="0" w:type="auto"/>
            <w:shd w:val="clear" w:color="auto" w:fill="auto"/>
            <w:noWrap/>
          </w:tcPr>
          <w:p w14:paraId="678E8C0B" w14:textId="6EEE766F" w:rsidR="002440E9" w:rsidRPr="00C1603D" w:rsidRDefault="002440E9" w:rsidP="00703099">
            <w:pPr>
              <w:pStyle w:val="72TabletextTablesTableFigureBoxstyles"/>
              <w:rPr>
                <w:lang w:eastAsia="en-GB"/>
              </w:rPr>
            </w:pPr>
            <w:r w:rsidRPr="00C1603D">
              <w:rPr>
                <w:lang w:eastAsia="en-GB"/>
              </w:rPr>
              <w:t>219 (6.8)</w:t>
            </w:r>
          </w:p>
        </w:tc>
        <w:tc>
          <w:tcPr>
            <w:tcW w:w="0" w:type="auto"/>
            <w:vMerge/>
            <w:noWrap/>
          </w:tcPr>
          <w:p w14:paraId="629F82A5" w14:textId="57D1DFD9" w:rsidR="002440E9" w:rsidRPr="00C1603D" w:rsidRDefault="002440E9" w:rsidP="00703099">
            <w:pPr>
              <w:pStyle w:val="72TabletextTablesTableFigureBoxstyles"/>
              <w:rPr>
                <w:lang w:eastAsia="en-GB"/>
              </w:rPr>
            </w:pPr>
          </w:p>
        </w:tc>
        <w:tc>
          <w:tcPr>
            <w:tcW w:w="0" w:type="auto"/>
            <w:shd w:val="clear" w:color="auto" w:fill="auto"/>
            <w:noWrap/>
          </w:tcPr>
          <w:p w14:paraId="1C63EF6D" w14:textId="4D4266FA" w:rsidR="002440E9" w:rsidRPr="00C1603D" w:rsidRDefault="002440E9" w:rsidP="00703099">
            <w:pPr>
              <w:pStyle w:val="72TabletextTablesTableFigureBoxstyles"/>
              <w:rPr>
                <w:lang w:eastAsia="en-GB"/>
              </w:rPr>
            </w:pPr>
            <w:r w:rsidRPr="00C1603D">
              <w:rPr>
                <w:lang w:eastAsia="en-GB"/>
              </w:rPr>
              <w:t>961 (5.9)</w:t>
            </w:r>
          </w:p>
        </w:tc>
        <w:tc>
          <w:tcPr>
            <w:tcW w:w="0" w:type="auto"/>
            <w:shd w:val="clear" w:color="auto" w:fill="auto"/>
            <w:noWrap/>
          </w:tcPr>
          <w:p w14:paraId="40E4E943" w14:textId="077558F8" w:rsidR="002440E9" w:rsidRPr="00C1603D" w:rsidRDefault="002440E9" w:rsidP="00703099">
            <w:pPr>
              <w:pStyle w:val="72TabletextTablesTableFigureBoxstyles"/>
              <w:rPr>
                <w:lang w:eastAsia="en-GB"/>
              </w:rPr>
            </w:pPr>
            <w:r w:rsidRPr="00C1603D">
              <w:rPr>
                <w:lang w:eastAsia="en-GB"/>
              </w:rPr>
              <w:t>836 (3.0)</w:t>
            </w:r>
          </w:p>
        </w:tc>
        <w:tc>
          <w:tcPr>
            <w:tcW w:w="0" w:type="auto"/>
            <w:shd w:val="clear" w:color="auto" w:fill="auto"/>
            <w:noWrap/>
          </w:tcPr>
          <w:p w14:paraId="28D57FD1" w14:textId="3BE2D4E5" w:rsidR="002440E9" w:rsidRPr="00C1603D" w:rsidRDefault="002440E9" w:rsidP="00703099">
            <w:pPr>
              <w:pStyle w:val="72TabletextTablesTableFigureBoxstyles"/>
              <w:rPr>
                <w:lang w:eastAsia="en-GB"/>
              </w:rPr>
            </w:pPr>
            <w:r w:rsidRPr="00C1603D">
              <w:rPr>
                <w:lang w:eastAsia="en-GB"/>
              </w:rPr>
              <w:t>188 (2.7)</w:t>
            </w:r>
          </w:p>
        </w:tc>
        <w:tc>
          <w:tcPr>
            <w:tcW w:w="0" w:type="auto"/>
            <w:vMerge/>
            <w:noWrap/>
          </w:tcPr>
          <w:p w14:paraId="21952B8D" w14:textId="41350C43" w:rsidR="002440E9" w:rsidRPr="00C1603D" w:rsidRDefault="002440E9" w:rsidP="00703099">
            <w:pPr>
              <w:pStyle w:val="72TabletextTablesTableFigureBoxstyles"/>
              <w:rPr>
                <w:lang w:eastAsia="en-GB"/>
              </w:rPr>
            </w:pPr>
          </w:p>
        </w:tc>
        <w:tc>
          <w:tcPr>
            <w:tcW w:w="0" w:type="auto"/>
            <w:shd w:val="clear" w:color="auto" w:fill="auto"/>
            <w:noWrap/>
          </w:tcPr>
          <w:p w14:paraId="72B483A8" w14:textId="080E34E1" w:rsidR="002440E9" w:rsidRPr="00C1603D" w:rsidRDefault="002440E9" w:rsidP="00703099">
            <w:pPr>
              <w:pStyle w:val="72TabletextTablesTableFigureBoxstyles"/>
              <w:rPr>
                <w:lang w:eastAsia="en-GB"/>
              </w:rPr>
            </w:pPr>
            <w:r w:rsidRPr="00C1603D">
              <w:rPr>
                <w:lang w:eastAsia="en-GB"/>
              </w:rPr>
              <w:t>1024 (2.9)</w:t>
            </w:r>
          </w:p>
        </w:tc>
      </w:tr>
      <w:tr w:rsidR="002440E9" w:rsidRPr="00C1603D" w14:paraId="5D965A46" w14:textId="77777777" w:rsidTr="0044057F">
        <w:trPr>
          <w:cantSplit/>
        </w:trPr>
        <w:tc>
          <w:tcPr>
            <w:tcW w:w="0" w:type="auto"/>
            <w:shd w:val="clear" w:color="auto" w:fill="auto"/>
            <w:noWrap/>
          </w:tcPr>
          <w:p w14:paraId="3111A634" w14:textId="3BB4378F" w:rsidR="002440E9" w:rsidRPr="00C1603D" w:rsidRDefault="00D22556" w:rsidP="00703099">
            <w:pPr>
              <w:pStyle w:val="72TabletextTablesTableFigureBoxstyles"/>
              <w:rPr>
                <w:lang w:eastAsia="en-GB"/>
              </w:rPr>
            </w:pPr>
            <w:r w:rsidRPr="00C1603D">
              <w:rPr>
                <w:lang w:eastAsia="en-GB"/>
              </w:rPr>
              <w:tab/>
            </w:r>
            <w:r w:rsidR="002440E9" w:rsidRPr="00C1603D">
              <w:rPr>
                <w:lang w:eastAsia="en-GB"/>
              </w:rPr>
              <w:t>5</w:t>
            </w:r>
          </w:p>
        </w:tc>
        <w:tc>
          <w:tcPr>
            <w:tcW w:w="0" w:type="auto"/>
            <w:shd w:val="clear" w:color="auto" w:fill="auto"/>
            <w:noWrap/>
          </w:tcPr>
          <w:p w14:paraId="0D21F129" w14:textId="240F4D7E" w:rsidR="002440E9" w:rsidRPr="00C1603D" w:rsidRDefault="002440E9" w:rsidP="00703099">
            <w:pPr>
              <w:pStyle w:val="72TabletextTablesTableFigureBoxstyles"/>
              <w:rPr>
                <w:lang w:eastAsia="en-GB"/>
              </w:rPr>
            </w:pPr>
            <w:r w:rsidRPr="00C1603D">
              <w:rPr>
                <w:lang w:eastAsia="en-GB"/>
              </w:rPr>
              <w:t>641 (5.0)</w:t>
            </w:r>
          </w:p>
        </w:tc>
        <w:tc>
          <w:tcPr>
            <w:tcW w:w="0" w:type="auto"/>
            <w:shd w:val="clear" w:color="auto" w:fill="auto"/>
            <w:noWrap/>
          </w:tcPr>
          <w:p w14:paraId="6A2D6452" w14:textId="7A1CA5A0" w:rsidR="002440E9" w:rsidRPr="00C1603D" w:rsidRDefault="002440E9" w:rsidP="00703099">
            <w:pPr>
              <w:pStyle w:val="72TabletextTablesTableFigureBoxstyles"/>
              <w:rPr>
                <w:lang w:eastAsia="en-GB"/>
              </w:rPr>
            </w:pPr>
            <w:r w:rsidRPr="00C1603D">
              <w:rPr>
                <w:lang w:eastAsia="en-GB"/>
              </w:rPr>
              <w:t>165 (5.1)</w:t>
            </w:r>
          </w:p>
        </w:tc>
        <w:tc>
          <w:tcPr>
            <w:tcW w:w="0" w:type="auto"/>
            <w:vMerge/>
            <w:noWrap/>
          </w:tcPr>
          <w:p w14:paraId="6A6E80FE" w14:textId="2985742E" w:rsidR="002440E9" w:rsidRPr="00C1603D" w:rsidRDefault="002440E9" w:rsidP="00703099">
            <w:pPr>
              <w:pStyle w:val="72TabletextTablesTableFigureBoxstyles"/>
              <w:rPr>
                <w:lang w:eastAsia="en-GB"/>
              </w:rPr>
            </w:pPr>
          </w:p>
        </w:tc>
        <w:tc>
          <w:tcPr>
            <w:tcW w:w="0" w:type="auto"/>
            <w:shd w:val="clear" w:color="auto" w:fill="auto"/>
            <w:noWrap/>
          </w:tcPr>
          <w:p w14:paraId="2C577CFF" w14:textId="380AD693" w:rsidR="002440E9" w:rsidRPr="00C1603D" w:rsidRDefault="002440E9" w:rsidP="00703099">
            <w:pPr>
              <w:pStyle w:val="72TabletextTablesTableFigureBoxstyles"/>
              <w:rPr>
                <w:lang w:eastAsia="en-GB"/>
              </w:rPr>
            </w:pPr>
            <w:r w:rsidRPr="00C1603D">
              <w:rPr>
                <w:lang w:eastAsia="en-GB"/>
              </w:rPr>
              <w:t>806 (5.0)</w:t>
            </w:r>
          </w:p>
        </w:tc>
        <w:tc>
          <w:tcPr>
            <w:tcW w:w="0" w:type="auto"/>
            <w:shd w:val="clear" w:color="auto" w:fill="auto"/>
            <w:noWrap/>
          </w:tcPr>
          <w:p w14:paraId="33630B9E" w14:textId="12D68B2A" w:rsidR="002440E9" w:rsidRPr="00C1603D" w:rsidRDefault="002440E9" w:rsidP="00703099">
            <w:pPr>
              <w:pStyle w:val="72TabletextTablesTableFigureBoxstyles"/>
              <w:rPr>
                <w:lang w:eastAsia="en-GB"/>
              </w:rPr>
            </w:pPr>
            <w:r w:rsidRPr="00C1603D">
              <w:rPr>
                <w:lang w:eastAsia="en-GB"/>
              </w:rPr>
              <w:t>858 (3.1)</w:t>
            </w:r>
          </w:p>
        </w:tc>
        <w:tc>
          <w:tcPr>
            <w:tcW w:w="0" w:type="auto"/>
            <w:shd w:val="clear" w:color="auto" w:fill="auto"/>
            <w:noWrap/>
          </w:tcPr>
          <w:p w14:paraId="79C18316" w14:textId="4BA581DB" w:rsidR="002440E9" w:rsidRPr="00C1603D" w:rsidRDefault="002440E9" w:rsidP="00703099">
            <w:pPr>
              <w:pStyle w:val="72TabletextTablesTableFigureBoxstyles"/>
              <w:rPr>
                <w:lang w:eastAsia="en-GB"/>
              </w:rPr>
            </w:pPr>
            <w:r w:rsidRPr="00C1603D">
              <w:rPr>
                <w:lang w:eastAsia="en-GB"/>
              </w:rPr>
              <w:t>185 (2.6)</w:t>
            </w:r>
          </w:p>
        </w:tc>
        <w:tc>
          <w:tcPr>
            <w:tcW w:w="0" w:type="auto"/>
            <w:vMerge/>
            <w:noWrap/>
          </w:tcPr>
          <w:p w14:paraId="0FCEE944" w14:textId="2B243F22" w:rsidR="002440E9" w:rsidRPr="00C1603D" w:rsidRDefault="002440E9" w:rsidP="00703099">
            <w:pPr>
              <w:pStyle w:val="72TabletextTablesTableFigureBoxstyles"/>
              <w:rPr>
                <w:lang w:eastAsia="en-GB"/>
              </w:rPr>
            </w:pPr>
          </w:p>
        </w:tc>
        <w:tc>
          <w:tcPr>
            <w:tcW w:w="0" w:type="auto"/>
            <w:shd w:val="clear" w:color="auto" w:fill="auto"/>
            <w:noWrap/>
          </w:tcPr>
          <w:p w14:paraId="0FD79C5D" w14:textId="27737FDC" w:rsidR="002440E9" w:rsidRPr="00C1603D" w:rsidRDefault="002440E9" w:rsidP="00703099">
            <w:pPr>
              <w:pStyle w:val="72TabletextTablesTableFigureBoxstyles"/>
              <w:rPr>
                <w:lang w:eastAsia="en-GB"/>
              </w:rPr>
            </w:pPr>
            <w:r w:rsidRPr="00C1603D">
              <w:rPr>
                <w:lang w:eastAsia="en-GB"/>
              </w:rPr>
              <w:t>1043 (3.0)</w:t>
            </w:r>
          </w:p>
        </w:tc>
      </w:tr>
      <w:tr w:rsidR="002440E9" w:rsidRPr="00C1603D" w14:paraId="74970808" w14:textId="77777777" w:rsidTr="0044057F">
        <w:trPr>
          <w:cantSplit/>
        </w:trPr>
        <w:tc>
          <w:tcPr>
            <w:tcW w:w="0" w:type="auto"/>
            <w:shd w:val="clear" w:color="auto" w:fill="auto"/>
            <w:noWrap/>
          </w:tcPr>
          <w:p w14:paraId="6C121C00" w14:textId="0BC43E99" w:rsidR="002440E9" w:rsidRPr="00C1603D" w:rsidRDefault="00D22556" w:rsidP="00703099">
            <w:pPr>
              <w:pStyle w:val="72TabletextTablesTableFigureBoxstyles"/>
              <w:rPr>
                <w:lang w:eastAsia="en-GB"/>
              </w:rPr>
            </w:pPr>
            <w:r w:rsidRPr="00C1603D">
              <w:rPr>
                <w:lang w:eastAsia="en-GB"/>
              </w:rPr>
              <w:tab/>
            </w:r>
            <w:r w:rsidR="002440E9" w:rsidRPr="00C1603D">
              <w:rPr>
                <w:lang w:eastAsia="en-GB"/>
              </w:rPr>
              <w:t>Missing</w:t>
            </w:r>
          </w:p>
        </w:tc>
        <w:tc>
          <w:tcPr>
            <w:tcW w:w="0" w:type="auto"/>
            <w:shd w:val="clear" w:color="auto" w:fill="auto"/>
            <w:noWrap/>
          </w:tcPr>
          <w:p w14:paraId="0DC90D69" w14:textId="14FCD179" w:rsidR="002440E9" w:rsidRPr="00C1603D" w:rsidRDefault="002440E9" w:rsidP="00703099">
            <w:pPr>
              <w:pStyle w:val="72TabletextTablesTableFigureBoxstyles"/>
              <w:rPr>
                <w:lang w:eastAsia="en-GB"/>
              </w:rPr>
            </w:pPr>
            <w:r w:rsidRPr="00C1603D">
              <w:rPr>
                <w:lang w:eastAsia="en-GB"/>
              </w:rPr>
              <w:t>8694 (67.1)</w:t>
            </w:r>
          </w:p>
        </w:tc>
        <w:tc>
          <w:tcPr>
            <w:tcW w:w="0" w:type="auto"/>
            <w:shd w:val="clear" w:color="auto" w:fill="auto"/>
            <w:noWrap/>
          </w:tcPr>
          <w:p w14:paraId="75142DB6" w14:textId="41FCCB6D" w:rsidR="002440E9" w:rsidRPr="00C1603D" w:rsidRDefault="002440E9" w:rsidP="00703099">
            <w:pPr>
              <w:pStyle w:val="72TabletextTablesTableFigureBoxstyles"/>
              <w:rPr>
                <w:lang w:eastAsia="en-GB"/>
              </w:rPr>
            </w:pPr>
            <w:r w:rsidRPr="00C1603D">
              <w:rPr>
                <w:lang w:eastAsia="en-GB"/>
              </w:rPr>
              <w:t>1934 (59.7)</w:t>
            </w:r>
          </w:p>
        </w:tc>
        <w:tc>
          <w:tcPr>
            <w:tcW w:w="0" w:type="auto"/>
            <w:vMerge/>
            <w:noWrap/>
          </w:tcPr>
          <w:p w14:paraId="222AA4A4" w14:textId="7FC6D536" w:rsidR="002440E9" w:rsidRPr="00C1603D" w:rsidRDefault="002440E9" w:rsidP="00703099">
            <w:pPr>
              <w:pStyle w:val="72TabletextTablesTableFigureBoxstyles"/>
              <w:rPr>
                <w:lang w:eastAsia="en-GB"/>
              </w:rPr>
            </w:pPr>
          </w:p>
        </w:tc>
        <w:tc>
          <w:tcPr>
            <w:tcW w:w="0" w:type="auto"/>
            <w:shd w:val="clear" w:color="auto" w:fill="auto"/>
            <w:noWrap/>
          </w:tcPr>
          <w:p w14:paraId="58FAF56D" w14:textId="451AA1D5" w:rsidR="002440E9" w:rsidRPr="00C1603D" w:rsidRDefault="002440E9" w:rsidP="00703099">
            <w:pPr>
              <w:pStyle w:val="72TabletextTablesTableFigureBoxstyles"/>
              <w:rPr>
                <w:lang w:eastAsia="en-GB"/>
              </w:rPr>
            </w:pPr>
            <w:r w:rsidRPr="00C1603D">
              <w:rPr>
                <w:lang w:eastAsia="en-GB"/>
              </w:rPr>
              <w:t>10</w:t>
            </w:r>
            <w:r w:rsidR="00D22556" w:rsidRPr="00C1603D">
              <w:rPr>
                <w:lang w:eastAsia="en-GB"/>
              </w:rPr>
              <w:t>,</w:t>
            </w:r>
            <w:r w:rsidRPr="00C1603D">
              <w:rPr>
                <w:lang w:eastAsia="en-GB"/>
              </w:rPr>
              <w:t>628 (65.7)</w:t>
            </w:r>
          </w:p>
        </w:tc>
        <w:tc>
          <w:tcPr>
            <w:tcW w:w="0" w:type="auto"/>
            <w:shd w:val="clear" w:color="auto" w:fill="auto"/>
            <w:noWrap/>
          </w:tcPr>
          <w:p w14:paraId="2EA64C3D" w14:textId="29BF3867" w:rsidR="002440E9" w:rsidRPr="00C1603D" w:rsidRDefault="002440E9" w:rsidP="00703099">
            <w:pPr>
              <w:pStyle w:val="72TabletextTablesTableFigureBoxstyles"/>
              <w:rPr>
                <w:lang w:eastAsia="en-GB"/>
              </w:rPr>
            </w:pPr>
            <w:r w:rsidRPr="00C1603D">
              <w:rPr>
                <w:lang w:eastAsia="en-GB"/>
              </w:rPr>
              <w:t>22</w:t>
            </w:r>
            <w:r w:rsidR="00D22556" w:rsidRPr="00C1603D">
              <w:rPr>
                <w:lang w:eastAsia="en-GB"/>
              </w:rPr>
              <w:t>,</w:t>
            </w:r>
            <w:r w:rsidRPr="00C1603D">
              <w:rPr>
                <w:lang w:eastAsia="en-GB"/>
              </w:rPr>
              <w:t>751 (80.9)</w:t>
            </w:r>
          </w:p>
        </w:tc>
        <w:tc>
          <w:tcPr>
            <w:tcW w:w="0" w:type="auto"/>
            <w:shd w:val="clear" w:color="auto" w:fill="auto"/>
            <w:noWrap/>
          </w:tcPr>
          <w:p w14:paraId="3CC77A61" w14:textId="1946581A" w:rsidR="002440E9" w:rsidRPr="00C1603D" w:rsidRDefault="002440E9" w:rsidP="00703099">
            <w:pPr>
              <w:pStyle w:val="72TabletextTablesTableFigureBoxstyles"/>
              <w:rPr>
                <w:lang w:eastAsia="en-GB"/>
              </w:rPr>
            </w:pPr>
            <w:r w:rsidRPr="00C1603D">
              <w:rPr>
                <w:lang w:eastAsia="en-GB"/>
              </w:rPr>
              <w:t>5679 (80.7)</w:t>
            </w:r>
          </w:p>
        </w:tc>
        <w:tc>
          <w:tcPr>
            <w:tcW w:w="0" w:type="auto"/>
            <w:vMerge/>
            <w:noWrap/>
          </w:tcPr>
          <w:p w14:paraId="4BAEBA3F" w14:textId="2896B832" w:rsidR="002440E9" w:rsidRPr="00C1603D" w:rsidRDefault="002440E9" w:rsidP="00703099">
            <w:pPr>
              <w:pStyle w:val="72TabletextTablesTableFigureBoxstyles"/>
              <w:rPr>
                <w:lang w:eastAsia="en-GB"/>
              </w:rPr>
            </w:pPr>
          </w:p>
        </w:tc>
        <w:tc>
          <w:tcPr>
            <w:tcW w:w="0" w:type="auto"/>
            <w:shd w:val="clear" w:color="auto" w:fill="auto"/>
            <w:noWrap/>
          </w:tcPr>
          <w:p w14:paraId="092BE905" w14:textId="27E3A0F6" w:rsidR="002440E9" w:rsidRPr="00C1603D" w:rsidRDefault="002440E9" w:rsidP="00703099">
            <w:pPr>
              <w:pStyle w:val="72TabletextTablesTableFigureBoxstyles"/>
              <w:rPr>
                <w:lang w:eastAsia="en-GB"/>
              </w:rPr>
            </w:pPr>
            <w:r w:rsidRPr="00C1603D">
              <w:rPr>
                <w:lang w:eastAsia="en-GB"/>
              </w:rPr>
              <w:t>28</w:t>
            </w:r>
            <w:r w:rsidR="00D22556" w:rsidRPr="00C1603D">
              <w:rPr>
                <w:lang w:eastAsia="en-GB"/>
              </w:rPr>
              <w:t>,</w:t>
            </w:r>
            <w:r w:rsidRPr="00C1603D">
              <w:rPr>
                <w:lang w:eastAsia="en-GB"/>
              </w:rPr>
              <w:t>430 (80.8)</w:t>
            </w:r>
          </w:p>
        </w:tc>
      </w:tr>
      <w:tr w:rsidR="008B4DF8" w:rsidRPr="00C1603D" w14:paraId="0AAB3C91" w14:textId="77777777" w:rsidTr="0044057F">
        <w:trPr>
          <w:cantSplit/>
        </w:trPr>
        <w:tc>
          <w:tcPr>
            <w:tcW w:w="0" w:type="auto"/>
            <w:gridSpan w:val="9"/>
            <w:shd w:val="clear" w:color="auto" w:fill="auto"/>
            <w:noWrap/>
          </w:tcPr>
          <w:p w14:paraId="611C02FB" w14:textId="4DA47372" w:rsidR="008B4DF8" w:rsidRPr="00C1603D" w:rsidRDefault="008B4DF8" w:rsidP="00D22556">
            <w:pPr>
              <w:pStyle w:val="72TabletextTablesTableFigureBoxstyles"/>
              <w:rPr>
                <w:lang w:eastAsia="en-GB"/>
              </w:rPr>
            </w:pPr>
            <w:r w:rsidRPr="00C1603D">
              <w:rPr>
                <w:lang w:eastAsia="en-GB"/>
              </w:rPr>
              <w:t>Anaemia</w:t>
            </w:r>
            <w:r w:rsidR="002440E9" w:rsidRPr="00C1603D">
              <w:rPr>
                <w:lang w:eastAsia="en-GB"/>
              </w:rPr>
              <w:t xml:space="preserve">, </w:t>
            </w:r>
            <w:r w:rsidR="002440E9" w:rsidRPr="00C1603D">
              <w:rPr>
                <w:i/>
                <w:lang w:eastAsia="en-GB"/>
              </w:rPr>
              <w:t>n</w:t>
            </w:r>
            <w:r w:rsidR="002440E9" w:rsidRPr="00C1603D">
              <w:rPr>
                <w:lang w:eastAsia="en-GB"/>
              </w:rPr>
              <w:t xml:space="preserve"> (%)</w:t>
            </w:r>
          </w:p>
        </w:tc>
      </w:tr>
      <w:tr w:rsidR="00B068B0" w:rsidRPr="00C1603D" w14:paraId="7F3CE625" w14:textId="77777777" w:rsidTr="0044057F">
        <w:trPr>
          <w:cantSplit/>
        </w:trPr>
        <w:tc>
          <w:tcPr>
            <w:tcW w:w="0" w:type="auto"/>
            <w:shd w:val="clear" w:color="auto" w:fill="auto"/>
            <w:noWrap/>
          </w:tcPr>
          <w:p w14:paraId="663F30EF" w14:textId="62A2B32A" w:rsidR="008B4DF8" w:rsidRPr="00C1603D" w:rsidRDefault="00D22556"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1452BC0" w14:textId="5986D68A" w:rsidR="008B4DF8" w:rsidRPr="00C1603D" w:rsidRDefault="008B4DF8" w:rsidP="00703099">
            <w:pPr>
              <w:pStyle w:val="72TabletextTablesTableFigureBoxstyles"/>
              <w:rPr>
                <w:lang w:eastAsia="en-GB"/>
              </w:rPr>
            </w:pPr>
            <w:r w:rsidRPr="00C1603D">
              <w:rPr>
                <w:lang w:eastAsia="en-GB"/>
              </w:rPr>
              <w:t>46 (0.4)</w:t>
            </w:r>
          </w:p>
        </w:tc>
        <w:tc>
          <w:tcPr>
            <w:tcW w:w="0" w:type="auto"/>
            <w:shd w:val="clear" w:color="auto" w:fill="auto"/>
            <w:noWrap/>
          </w:tcPr>
          <w:p w14:paraId="75AC1FF1" w14:textId="24E1479F" w:rsidR="008B4DF8" w:rsidRPr="00C1603D" w:rsidRDefault="008B4DF8" w:rsidP="00703099">
            <w:pPr>
              <w:pStyle w:val="72TabletextTablesTableFigureBoxstyles"/>
              <w:rPr>
                <w:lang w:eastAsia="en-GB"/>
              </w:rPr>
            </w:pPr>
            <w:r w:rsidRPr="00C1603D">
              <w:rPr>
                <w:lang w:eastAsia="en-GB"/>
              </w:rPr>
              <w:t>188 (5.8)</w:t>
            </w:r>
          </w:p>
        </w:tc>
        <w:tc>
          <w:tcPr>
            <w:tcW w:w="0" w:type="auto"/>
            <w:shd w:val="clear" w:color="auto" w:fill="auto"/>
            <w:noWrap/>
          </w:tcPr>
          <w:p w14:paraId="67524D6B"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B70FF3A" w14:textId="71857048" w:rsidR="008B4DF8" w:rsidRPr="00C1603D" w:rsidRDefault="008B4DF8" w:rsidP="00703099">
            <w:pPr>
              <w:pStyle w:val="72TabletextTablesTableFigureBoxstyles"/>
              <w:rPr>
                <w:lang w:eastAsia="en-GB"/>
              </w:rPr>
            </w:pPr>
            <w:r w:rsidRPr="00C1603D">
              <w:rPr>
                <w:lang w:eastAsia="en-GB"/>
              </w:rPr>
              <w:t>234 (1.4)</w:t>
            </w:r>
          </w:p>
        </w:tc>
        <w:tc>
          <w:tcPr>
            <w:tcW w:w="0" w:type="auto"/>
            <w:shd w:val="clear" w:color="auto" w:fill="auto"/>
            <w:noWrap/>
          </w:tcPr>
          <w:p w14:paraId="18FC297E" w14:textId="27316BF9" w:rsidR="008B4DF8" w:rsidRPr="00C1603D" w:rsidRDefault="008B4DF8" w:rsidP="00703099">
            <w:pPr>
              <w:pStyle w:val="72TabletextTablesTableFigureBoxstyles"/>
              <w:rPr>
                <w:lang w:eastAsia="en-GB"/>
              </w:rPr>
            </w:pPr>
            <w:r w:rsidRPr="00C1603D">
              <w:rPr>
                <w:lang w:eastAsia="en-GB"/>
              </w:rPr>
              <w:t>25 (0.1)</w:t>
            </w:r>
          </w:p>
        </w:tc>
        <w:tc>
          <w:tcPr>
            <w:tcW w:w="0" w:type="auto"/>
            <w:shd w:val="clear" w:color="auto" w:fill="auto"/>
            <w:noWrap/>
          </w:tcPr>
          <w:p w14:paraId="1CD07CF3" w14:textId="2E080600" w:rsidR="008B4DF8" w:rsidRPr="00C1603D" w:rsidRDefault="008B4DF8" w:rsidP="00703099">
            <w:pPr>
              <w:pStyle w:val="72TabletextTablesTableFigureBoxstyles"/>
              <w:rPr>
                <w:lang w:eastAsia="en-GB"/>
              </w:rPr>
            </w:pPr>
            <w:r w:rsidRPr="00C1603D">
              <w:rPr>
                <w:lang w:eastAsia="en-GB"/>
              </w:rPr>
              <w:t>84 (1.2)</w:t>
            </w:r>
          </w:p>
        </w:tc>
        <w:tc>
          <w:tcPr>
            <w:tcW w:w="0" w:type="auto"/>
            <w:shd w:val="clear" w:color="auto" w:fill="auto"/>
            <w:noWrap/>
          </w:tcPr>
          <w:p w14:paraId="05563645"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76CAD30" w14:textId="04DAFFFA" w:rsidR="008B4DF8" w:rsidRPr="00C1603D" w:rsidRDefault="008B4DF8" w:rsidP="00703099">
            <w:pPr>
              <w:pStyle w:val="72TabletextTablesTableFigureBoxstyles"/>
              <w:rPr>
                <w:lang w:eastAsia="en-GB"/>
              </w:rPr>
            </w:pPr>
            <w:r w:rsidRPr="00C1603D">
              <w:rPr>
                <w:lang w:eastAsia="en-GB"/>
              </w:rPr>
              <w:t>109 (0.3)</w:t>
            </w:r>
          </w:p>
        </w:tc>
      </w:tr>
      <w:tr w:rsidR="008B4DF8" w:rsidRPr="00C1603D" w14:paraId="2A058AF7" w14:textId="77777777" w:rsidTr="0044057F">
        <w:trPr>
          <w:cantSplit/>
        </w:trPr>
        <w:tc>
          <w:tcPr>
            <w:tcW w:w="0" w:type="auto"/>
            <w:gridSpan w:val="9"/>
            <w:shd w:val="clear" w:color="auto" w:fill="auto"/>
            <w:noWrap/>
          </w:tcPr>
          <w:p w14:paraId="5E56263B" w14:textId="38EDCDA2" w:rsidR="008B4DF8" w:rsidRPr="00C1603D" w:rsidRDefault="008B4DF8" w:rsidP="00D22556">
            <w:pPr>
              <w:pStyle w:val="72TabletextTablesTableFigureBoxstyles"/>
              <w:rPr>
                <w:lang w:eastAsia="en-GB"/>
              </w:rPr>
            </w:pPr>
            <w:r w:rsidRPr="00C1603D">
              <w:rPr>
                <w:lang w:eastAsia="en-GB"/>
              </w:rPr>
              <w:t>Arthritis</w:t>
            </w:r>
            <w:r w:rsidR="002440E9" w:rsidRPr="00C1603D">
              <w:rPr>
                <w:lang w:eastAsia="en-GB"/>
              </w:rPr>
              <w:t xml:space="preserve">, </w:t>
            </w:r>
            <w:r w:rsidR="002440E9" w:rsidRPr="00C1603D">
              <w:rPr>
                <w:i/>
                <w:lang w:eastAsia="en-GB"/>
              </w:rPr>
              <w:t>n</w:t>
            </w:r>
            <w:r w:rsidR="002440E9" w:rsidRPr="00C1603D">
              <w:rPr>
                <w:lang w:eastAsia="en-GB"/>
              </w:rPr>
              <w:t xml:space="preserve"> (%)</w:t>
            </w:r>
          </w:p>
        </w:tc>
      </w:tr>
      <w:tr w:rsidR="00B068B0" w:rsidRPr="00C1603D" w14:paraId="4F8E2D81" w14:textId="77777777" w:rsidTr="0044057F">
        <w:trPr>
          <w:cantSplit/>
        </w:trPr>
        <w:tc>
          <w:tcPr>
            <w:tcW w:w="0" w:type="auto"/>
            <w:shd w:val="clear" w:color="auto" w:fill="auto"/>
            <w:noWrap/>
          </w:tcPr>
          <w:p w14:paraId="31B0DDEE" w14:textId="16C03C22" w:rsidR="008B4DF8" w:rsidRPr="00C1603D" w:rsidRDefault="00D22556"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693EAFC7" w14:textId="609AC25B" w:rsidR="008B4DF8" w:rsidRPr="00C1603D" w:rsidRDefault="008B4DF8" w:rsidP="00703099">
            <w:pPr>
              <w:pStyle w:val="72TabletextTablesTableFigureBoxstyles"/>
              <w:rPr>
                <w:lang w:eastAsia="en-GB"/>
              </w:rPr>
            </w:pPr>
            <w:r w:rsidRPr="00C1603D">
              <w:rPr>
                <w:lang w:eastAsia="en-GB"/>
              </w:rPr>
              <w:t>5 (0.0)</w:t>
            </w:r>
          </w:p>
        </w:tc>
        <w:tc>
          <w:tcPr>
            <w:tcW w:w="0" w:type="auto"/>
            <w:shd w:val="clear" w:color="auto" w:fill="auto"/>
            <w:noWrap/>
          </w:tcPr>
          <w:p w14:paraId="24EA479A" w14:textId="2C1F012A" w:rsidR="008B4DF8" w:rsidRPr="00C1603D" w:rsidRDefault="008B4DF8" w:rsidP="00703099">
            <w:pPr>
              <w:pStyle w:val="72TabletextTablesTableFigureBoxstyles"/>
              <w:rPr>
                <w:lang w:eastAsia="en-GB"/>
              </w:rPr>
            </w:pPr>
            <w:r w:rsidRPr="00C1603D">
              <w:rPr>
                <w:lang w:eastAsia="en-GB"/>
              </w:rPr>
              <w:t>7 (0.2)</w:t>
            </w:r>
          </w:p>
        </w:tc>
        <w:tc>
          <w:tcPr>
            <w:tcW w:w="0" w:type="auto"/>
            <w:shd w:val="clear" w:color="auto" w:fill="auto"/>
            <w:noWrap/>
          </w:tcPr>
          <w:p w14:paraId="4AC99E69" w14:textId="77777777" w:rsidR="008B4DF8" w:rsidRPr="00C1603D" w:rsidRDefault="008B4DF8" w:rsidP="00703099">
            <w:pPr>
              <w:pStyle w:val="72TabletextTablesTableFigureBoxstyles"/>
              <w:rPr>
                <w:lang w:eastAsia="en-GB"/>
              </w:rPr>
            </w:pPr>
            <w:r w:rsidRPr="00C1603D">
              <w:rPr>
                <w:lang w:eastAsia="en-GB"/>
              </w:rPr>
              <w:t>0.003</w:t>
            </w:r>
          </w:p>
        </w:tc>
        <w:tc>
          <w:tcPr>
            <w:tcW w:w="0" w:type="auto"/>
            <w:shd w:val="clear" w:color="auto" w:fill="auto"/>
            <w:noWrap/>
          </w:tcPr>
          <w:p w14:paraId="33CEF637" w14:textId="3C7C7582" w:rsidR="008B4DF8" w:rsidRPr="00C1603D" w:rsidRDefault="008B4DF8" w:rsidP="00703099">
            <w:pPr>
              <w:pStyle w:val="72TabletextTablesTableFigureBoxstyles"/>
              <w:rPr>
                <w:lang w:eastAsia="en-GB"/>
              </w:rPr>
            </w:pPr>
            <w:r w:rsidRPr="00C1603D">
              <w:rPr>
                <w:lang w:eastAsia="en-GB"/>
              </w:rPr>
              <w:t>12 (0.1)</w:t>
            </w:r>
          </w:p>
        </w:tc>
        <w:tc>
          <w:tcPr>
            <w:tcW w:w="0" w:type="auto"/>
            <w:shd w:val="clear" w:color="auto" w:fill="auto"/>
            <w:noWrap/>
          </w:tcPr>
          <w:p w14:paraId="25C86E2E" w14:textId="0DB4E07C" w:rsidR="008B4DF8" w:rsidRPr="00C1603D" w:rsidRDefault="008B4DF8" w:rsidP="00703099">
            <w:pPr>
              <w:pStyle w:val="72TabletextTablesTableFigureBoxstyles"/>
              <w:rPr>
                <w:lang w:eastAsia="en-GB"/>
              </w:rPr>
            </w:pPr>
            <w:r w:rsidRPr="00C1603D">
              <w:rPr>
                <w:lang w:eastAsia="en-GB"/>
              </w:rPr>
              <w:t>5 (0.0)</w:t>
            </w:r>
          </w:p>
        </w:tc>
        <w:tc>
          <w:tcPr>
            <w:tcW w:w="0" w:type="auto"/>
            <w:shd w:val="clear" w:color="auto" w:fill="auto"/>
            <w:noWrap/>
          </w:tcPr>
          <w:p w14:paraId="15379828" w14:textId="6F14A9DE" w:rsidR="008B4DF8" w:rsidRPr="00C1603D" w:rsidRDefault="008B4DF8" w:rsidP="00703099">
            <w:pPr>
              <w:pStyle w:val="72TabletextTablesTableFigureBoxstyles"/>
              <w:rPr>
                <w:lang w:eastAsia="en-GB"/>
              </w:rPr>
            </w:pPr>
            <w:r w:rsidRPr="00C1603D">
              <w:rPr>
                <w:lang w:eastAsia="en-GB"/>
              </w:rPr>
              <w:t>3 (0.0)</w:t>
            </w:r>
          </w:p>
        </w:tc>
        <w:tc>
          <w:tcPr>
            <w:tcW w:w="0" w:type="auto"/>
            <w:shd w:val="clear" w:color="auto" w:fill="auto"/>
            <w:noWrap/>
          </w:tcPr>
          <w:p w14:paraId="10D4E7EA" w14:textId="77777777" w:rsidR="008B4DF8" w:rsidRPr="00C1603D" w:rsidRDefault="008B4DF8" w:rsidP="00703099">
            <w:pPr>
              <w:pStyle w:val="72TabletextTablesTableFigureBoxstyles"/>
              <w:rPr>
                <w:lang w:eastAsia="en-GB"/>
              </w:rPr>
            </w:pPr>
            <w:r w:rsidRPr="00C1603D">
              <w:rPr>
                <w:lang w:eastAsia="en-GB"/>
              </w:rPr>
              <w:t>0.426</w:t>
            </w:r>
          </w:p>
        </w:tc>
        <w:tc>
          <w:tcPr>
            <w:tcW w:w="0" w:type="auto"/>
            <w:shd w:val="clear" w:color="auto" w:fill="auto"/>
            <w:noWrap/>
          </w:tcPr>
          <w:p w14:paraId="52D1A405" w14:textId="06C5AC07" w:rsidR="008B4DF8" w:rsidRPr="00C1603D" w:rsidRDefault="008B4DF8" w:rsidP="00703099">
            <w:pPr>
              <w:pStyle w:val="72TabletextTablesTableFigureBoxstyles"/>
              <w:rPr>
                <w:lang w:eastAsia="en-GB"/>
              </w:rPr>
            </w:pPr>
            <w:r w:rsidRPr="00C1603D">
              <w:rPr>
                <w:lang w:eastAsia="en-GB"/>
              </w:rPr>
              <w:t>8 (0.0)</w:t>
            </w:r>
          </w:p>
        </w:tc>
      </w:tr>
      <w:tr w:rsidR="008B4DF8" w:rsidRPr="00C1603D" w14:paraId="3FF69A00" w14:textId="77777777" w:rsidTr="0044057F">
        <w:trPr>
          <w:cantSplit/>
        </w:trPr>
        <w:tc>
          <w:tcPr>
            <w:tcW w:w="0" w:type="auto"/>
            <w:gridSpan w:val="9"/>
            <w:shd w:val="clear" w:color="auto" w:fill="auto"/>
            <w:noWrap/>
          </w:tcPr>
          <w:p w14:paraId="1C7497F7" w14:textId="6E79725C" w:rsidR="008B4DF8" w:rsidRPr="00C1603D" w:rsidRDefault="008B4DF8" w:rsidP="00D22556">
            <w:pPr>
              <w:pStyle w:val="72TabletextTablesTableFigureBoxstyles"/>
              <w:rPr>
                <w:lang w:eastAsia="en-GB"/>
              </w:rPr>
            </w:pPr>
            <w:r w:rsidRPr="00C1603D">
              <w:rPr>
                <w:lang w:eastAsia="en-GB"/>
              </w:rPr>
              <w:t>Delayed puberty</w:t>
            </w:r>
            <w:r w:rsidR="00A305BE" w:rsidRPr="00C1603D">
              <w:rPr>
                <w:lang w:eastAsia="en-GB"/>
              </w:rPr>
              <w:t xml:space="preserve">, </w:t>
            </w:r>
            <w:r w:rsidR="00A305BE" w:rsidRPr="00C1603D">
              <w:rPr>
                <w:i/>
                <w:lang w:eastAsia="en-GB"/>
              </w:rPr>
              <w:t>n</w:t>
            </w:r>
            <w:r w:rsidR="00A305BE" w:rsidRPr="00C1603D">
              <w:rPr>
                <w:lang w:eastAsia="en-GB"/>
              </w:rPr>
              <w:t xml:space="preserve"> (%)</w:t>
            </w:r>
          </w:p>
        </w:tc>
      </w:tr>
      <w:tr w:rsidR="00B068B0" w:rsidRPr="00C1603D" w14:paraId="7E37D106" w14:textId="77777777" w:rsidTr="0044057F">
        <w:trPr>
          <w:cantSplit/>
        </w:trPr>
        <w:tc>
          <w:tcPr>
            <w:tcW w:w="0" w:type="auto"/>
            <w:shd w:val="clear" w:color="auto" w:fill="auto"/>
            <w:noWrap/>
          </w:tcPr>
          <w:p w14:paraId="727EBF79" w14:textId="67CFB113" w:rsidR="008B4DF8" w:rsidRPr="00C1603D" w:rsidRDefault="00D22556"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03847E1F" w14:textId="68653E1D" w:rsidR="008B4DF8" w:rsidRPr="00C1603D" w:rsidRDefault="008B4DF8" w:rsidP="00703099">
            <w:pPr>
              <w:pStyle w:val="72TabletextTablesTableFigureBoxstyles"/>
              <w:rPr>
                <w:lang w:eastAsia="en-GB"/>
              </w:rPr>
            </w:pPr>
            <w:r w:rsidRPr="00C1603D">
              <w:rPr>
                <w:lang w:eastAsia="en-GB"/>
              </w:rPr>
              <w:t>1 (0.0)</w:t>
            </w:r>
          </w:p>
        </w:tc>
        <w:tc>
          <w:tcPr>
            <w:tcW w:w="0" w:type="auto"/>
            <w:shd w:val="clear" w:color="auto" w:fill="auto"/>
            <w:noWrap/>
          </w:tcPr>
          <w:p w14:paraId="0CE713CD" w14:textId="0F0CD9DF" w:rsidR="008B4DF8" w:rsidRPr="00C1603D" w:rsidRDefault="008B4DF8" w:rsidP="00703099">
            <w:pPr>
              <w:pStyle w:val="72TabletextTablesTableFigureBoxstyles"/>
              <w:rPr>
                <w:lang w:eastAsia="en-GB"/>
              </w:rPr>
            </w:pPr>
            <w:r w:rsidRPr="00C1603D">
              <w:rPr>
                <w:lang w:eastAsia="en-GB"/>
              </w:rPr>
              <w:t>5 (0.2)</w:t>
            </w:r>
          </w:p>
        </w:tc>
        <w:tc>
          <w:tcPr>
            <w:tcW w:w="0" w:type="auto"/>
            <w:shd w:val="clear" w:color="auto" w:fill="auto"/>
            <w:noWrap/>
          </w:tcPr>
          <w:p w14:paraId="17EF5D37"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4D7D43B" w14:textId="7B0EF2BC" w:rsidR="008B4DF8" w:rsidRPr="00C1603D" w:rsidRDefault="008B4DF8" w:rsidP="00703099">
            <w:pPr>
              <w:pStyle w:val="72TabletextTablesTableFigureBoxstyles"/>
              <w:rPr>
                <w:lang w:eastAsia="en-GB"/>
              </w:rPr>
            </w:pPr>
            <w:r w:rsidRPr="00C1603D">
              <w:rPr>
                <w:lang w:eastAsia="en-GB"/>
              </w:rPr>
              <w:t>6 (0.0)</w:t>
            </w:r>
          </w:p>
        </w:tc>
        <w:tc>
          <w:tcPr>
            <w:tcW w:w="0" w:type="auto"/>
            <w:shd w:val="clear" w:color="auto" w:fill="auto"/>
            <w:noWrap/>
          </w:tcPr>
          <w:p w14:paraId="76F5BFAF" w14:textId="07831561" w:rsidR="008B4DF8" w:rsidRPr="00C1603D" w:rsidRDefault="008B4DF8" w:rsidP="00703099">
            <w:pPr>
              <w:pStyle w:val="72TabletextTablesTableFigureBoxstyles"/>
              <w:rPr>
                <w:lang w:eastAsia="en-GB"/>
              </w:rPr>
            </w:pPr>
            <w:r w:rsidRPr="00C1603D">
              <w:rPr>
                <w:lang w:eastAsia="en-GB"/>
              </w:rPr>
              <w:t>2 (0.0)</w:t>
            </w:r>
          </w:p>
        </w:tc>
        <w:tc>
          <w:tcPr>
            <w:tcW w:w="0" w:type="auto"/>
            <w:shd w:val="clear" w:color="auto" w:fill="auto"/>
            <w:noWrap/>
          </w:tcPr>
          <w:p w14:paraId="4CC79E20" w14:textId="4AD7E01D" w:rsidR="008B4DF8" w:rsidRPr="00C1603D" w:rsidRDefault="008B4DF8" w:rsidP="00703099">
            <w:pPr>
              <w:pStyle w:val="72TabletextTablesTableFigureBoxstyles"/>
              <w:rPr>
                <w:lang w:eastAsia="en-GB"/>
              </w:rPr>
            </w:pPr>
            <w:r w:rsidRPr="00C1603D">
              <w:rPr>
                <w:lang w:eastAsia="en-GB"/>
              </w:rPr>
              <w:t>2 (0.0)</w:t>
            </w:r>
          </w:p>
        </w:tc>
        <w:tc>
          <w:tcPr>
            <w:tcW w:w="0" w:type="auto"/>
            <w:shd w:val="clear" w:color="auto" w:fill="auto"/>
            <w:noWrap/>
          </w:tcPr>
          <w:p w14:paraId="210A0DB7" w14:textId="77777777" w:rsidR="008B4DF8" w:rsidRPr="00C1603D" w:rsidRDefault="008B4DF8" w:rsidP="00703099">
            <w:pPr>
              <w:pStyle w:val="72TabletextTablesTableFigureBoxstyles"/>
              <w:rPr>
                <w:lang w:eastAsia="en-GB"/>
              </w:rPr>
            </w:pPr>
            <w:r w:rsidRPr="00C1603D">
              <w:rPr>
                <w:lang w:eastAsia="en-GB"/>
              </w:rPr>
              <w:t>0.382</w:t>
            </w:r>
          </w:p>
        </w:tc>
        <w:tc>
          <w:tcPr>
            <w:tcW w:w="0" w:type="auto"/>
            <w:shd w:val="clear" w:color="auto" w:fill="auto"/>
            <w:noWrap/>
          </w:tcPr>
          <w:p w14:paraId="19BCE206" w14:textId="56BD8303" w:rsidR="008B4DF8" w:rsidRPr="00C1603D" w:rsidRDefault="008B4DF8" w:rsidP="00703099">
            <w:pPr>
              <w:pStyle w:val="72TabletextTablesTableFigureBoxstyles"/>
              <w:rPr>
                <w:lang w:eastAsia="en-GB"/>
              </w:rPr>
            </w:pPr>
            <w:r w:rsidRPr="00C1603D">
              <w:rPr>
                <w:lang w:eastAsia="en-GB"/>
              </w:rPr>
              <w:t>4 (0.0)</w:t>
            </w:r>
          </w:p>
        </w:tc>
      </w:tr>
      <w:tr w:rsidR="008B4DF8" w:rsidRPr="00C1603D" w14:paraId="3D5DC912" w14:textId="77777777" w:rsidTr="0044057F">
        <w:trPr>
          <w:cantSplit/>
        </w:trPr>
        <w:tc>
          <w:tcPr>
            <w:tcW w:w="0" w:type="auto"/>
            <w:gridSpan w:val="9"/>
            <w:shd w:val="clear" w:color="auto" w:fill="auto"/>
            <w:noWrap/>
          </w:tcPr>
          <w:p w14:paraId="3E5AD302" w14:textId="442518E0" w:rsidR="008B4DF8" w:rsidRPr="00C1603D" w:rsidRDefault="008B4DF8" w:rsidP="00D22556">
            <w:pPr>
              <w:pStyle w:val="72TabletextTablesTableFigureBoxstyles"/>
              <w:rPr>
                <w:lang w:eastAsia="en-GB"/>
              </w:rPr>
            </w:pPr>
            <w:r w:rsidRPr="00C1603D">
              <w:rPr>
                <w:lang w:eastAsia="en-GB"/>
              </w:rPr>
              <w:t>Down syndrome</w:t>
            </w:r>
            <w:r w:rsidR="00A305BE" w:rsidRPr="00C1603D">
              <w:rPr>
                <w:lang w:eastAsia="en-GB"/>
              </w:rPr>
              <w:t xml:space="preserve">, </w:t>
            </w:r>
            <w:r w:rsidR="00A305BE" w:rsidRPr="00C1603D">
              <w:rPr>
                <w:i/>
                <w:lang w:eastAsia="en-GB"/>
              </w:rPr>
              <w:t>n</w:t>
            </w:r>
            <w:r w:rsidR="00A305BE" w:rsidRPr="00C1603D">
              <w:rPr>
                <w:lang w:eastAsia="en-GB"/>
              </w:rPr>
              <w:t xml:space="preserve"> (%)</w:t>
            </w:r>
          </w:p>
        </w:tc>
      </w:tr>
      <w:tr w:rsidR="00B068B0" w:rsidRPr="00C1603D" w14:paraId="248E10AE" w14:textId="77777777" w:rsidTr="0044057F">
        <w:trPr>
          <w:cantSplit/>
        </w:trPr>
        <w:tc>
          <w:tcPr>
            <w:tcW w:w="0" w:type="auto"/>
            <w:shd w:val="clear" w:color="auto" w:fill="auto"/>
            <w:noWrap/>
          </w:tcPr>
          <w:p w14:paraId="51F78D1B" w14:textId="25C9261B" w:rsidR="008B4DF8" w:rsidRPr="00C1603D" w:rsidRDefault="00D22556"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0ED2F49" w14:textId="3F57F90F" w:rsidR="008B4DF8" w:rsidRPr="00C1603D" w:rsidRDefault="008B4DF8" w:rsidP="00703099">
            <w:pPr>
              <w:pStyle w:val="72TabletextTablesTableFigureBoxstyles"/>
              <w:rPr>
                <w:lang w:eastAsia="en-GB"/>
              </w:rPr>
            </w:pPr>
            <w:r w:rsidRPr="00C1603D">
              <w:rPr>
                <w:lang w:eastAsia="en-GB"/>
              </w:rPr>
              <w:t>6 (0.0)</w:t>
            </w:r>
          </w:p>
        </w:tc>
        <w:tc>
          <w:tcPr>
            <w:tcW w:w="0" w:type="auto"/>
            <w:shd w:val="clear" w:color="auto" w:fill="auto"/>
            <w:noWrap/>
          </w:tcPr>
          <w:p w14:paraId="463BBB44" w14:textId="2CFA8EAA" w:rsidR="008B4DF8" w:rsidRPr="00C1603D" w:rsidRDefault="008B4DF8" w:rsidP="00703099">
            <w:pPr>
              <w:pStyle w:val="72TabletextTablesTableFigureBoxstyles"/>
              <w:rPr>
                <w:lang w:eastAsia="en-GB"/>
              </w:rPr>
            </w:pPr>
            <w:r w:rsidRPr="00C1603D">
              <w:rPr>
                <w:lang w:eastAsia="en-GB"/>
              </w:rPr>
              <w:t>18 (0.6)</w:t>
            </w:r>
          </w:p>
        </w:tc>
        <w:tc>
          <w:tcPr>
            <w:tcW w:w="0" w:type="auto"/>
            <w:shd w:val="clear" w:color="auto" w:fill="auto"/>
            <w:noWrap/>
          </w:tcPr>
          <w:p w14:paraId="7C8BFEEF"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1C011DC" w14:textId="233FDDE9" w:rsidR="008B4DF8" w:rsidRPr="00C1603D" w:rsidRDefault="008B4DF8" w:rsidP="00703099">
            <w:pPr>
              <w:pStyle w:val="72TabletextTablesTableFigureBoxstyles"/>
              <w:rPr>
                <w:lang w:eastAsia="en-GB"/>
              </w:rPr>
            </w:pPr>
            <w:r w:rsidRPr="00C1603D">
              <w:rPr>
                <w:lang w:eastAsia="en-GB"/>
              </w:rPr>
              <w:t>24 (0.1)</w:t>
            </w:r>
          </w:p>
        </w:tc>
        <w:tc>
          <w:tcPr>
            <w:tcW w:w="0" w:type="auto"/>
            <w:shd w:val="clear" w:color="auto" w:fill="auto"/>
            <w:noWrap/>
          </w:tcPr>
          <w:p w14:paraId="6079E249" w14:textId="6430F86D" w:rsidR="008B4DF8" w:rsidRPr="00C1603D" w:rsidRDefault="008B4DF8" w:rsidP="00703099">
            <w:pPr>
              <w:pStyle w:val="72TabletextTablesTableFigureBoxstyles"/>
              <w:rPr>
                <w:lang w:eastAsia="en-GB"/>
              </w:rPr>
            </w:pPr>
            <w:r w:rsidRPr="00C1603D">
              <w:rPr>
                <w:lang w:eastAsia="en-GB"/>
              </w:rPr>
              <w:t>2 (0.0)</w:t>
            </w:r>
          </w:p>
        </w:tc>
        <w:tc>
          <w:tcPr>
            <w:tcW w:w="0" w:type="auto"/>
            <w:shd w:val="clear" w:color="auto" w:fill="auto"/>
            <w:noWrap/>
          </w:tcPr>
          <w:p w14:paraId="3EEB01A8" w14:textId="45B7640F" w:rsidR="008B4DF8" w:rsidRPr="00C1603D" w:rsidRDefault="008B4DF8" w:rsidP="00703099">
            <w:pPr>
              <w:pStyle w:val="72TabletextTablesTableFigureBoxstyles"/>
              <w:rPr>
                <w:lang w:eastAsia="en-GB"/>
              </w:rPr>
            </w:pPr>
            <w:r w:rsidRPr="00C1603D">
              <w:rPr>
                <w:lang w:eastAsia="en-GB"/>
              </w:rPr>
              <w:t>15 (0.2)</w:t>
            </w:r>
          </w:p>
        </w:tc>
        <w:tc>
          <w:tcPr>
            <w:tcW w:w="0" w:type="auto"/>
            <w:shd w:val="clear" w:color="auto" w:fill="auto"/>
            <w:noWrap/>
          </w:tcPr>
          <w:p w14:paraId="58AB5C87"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109805C" w14:textId="278673F5" w:rsidR="008B4DF8" w:rsidRPr="00C1603D" w:rsidRDefault="008B4DF8" w:rsidP="00703099">
            <w:pPr>
              <w:pStyle w:val="72TabletextTablesTableFigureBoxstyles"/>
              <w:rPr>
                <w:lang w:eastAsia="en-GB"/>
              </w:rPr>
            </w:pPr>
            <w:r w:rsidRPr="00C1603D">
              <w:rPr>
                <w:lang w:eastAsia="en-GB"/>
              </w:rPr>
              <w:t>17 (0.0)</w:t>
            </w:r>
          </w:p>
        </w:tc>
      </w:tr>
      <w:tr w:rsidR="008B4DF8" w:rsidRPr="00C1603D" w14:paraId="433D1E98" w14:textId="77777777" w:rsidTr="0044057F">
        <w:trPr>
          <w:cantSplit/>
        </w:trPr>
        <w:tc>
          <w:tcPr>
            <w:tcW w:w="0" w:type="auto"/>
            <w:gridSpan w:val="9"/>
            <w:shd w:val="clear" w:color="auto" w:fill="auto"/>
            <w:noWrap/>
          </w:tcPr>
          <w:p w14:paraId="7922B315" w14:textId="5E38211D" w:rsidR="008B4DF8" w:rsidRPr="00C1603D" w:rsidRDefault="008B4DF8" w:rsidP="00D22556">
            <w:pPr>
              <w:pStyle w:val="72TabletextTablesTableFigureBoxstyles"/>
              <w:rPr>
                <w:lang w:eastAsia="en-GB"/>
              </w:rPr>
            </w:pPr>
            <w:r w:rsidRPr="00C1603D">
              <w:rPr>
                <w:lang w:eastAsia="en-GB"/>
              </w:rPr>
              <w:t>Failure to thrive</w:t>
            </w:r>
            <w:r w:rsidR="00A305BE" w:rsidRPr="00C1603D">
              <w:rPr>
                <w:lang w:eastAsia="en-GB"/>
              </w:rPr>
              <w:t xml:space="preserve">, </w:t>
            </w:r>
            <w:r w:rsidR="00A305BE" w:rsidRPr="00C1603D">
              <w:rPr>
                <w:i/>
                <w:lang w:eastAsia="en-GB"/>
              </w:rPr>
              <w:t>n</w:t>
            </w:r>
            <w:r w:rsidR="00A305BE" w:rsidRPr="00C1603D">
              <w:rPr>
                <w:lang w:eastAsia="en-GB"/>
              </w:rPr>
              <w:t xml:space="preserve"> (%)</w:t>
            </w:r>
          </w:p>
        </w:tc>
      </w:tr>
      <w:tr w:rsidR="00B068B0" w:rsidRPr="00C1603D" w14:paraId="6F809A95" w14:textId="77777777" w:rsidTr="0044057F">
        <w:trPr>
          <w:cantSplit/>
        </w:trPr>
        <w:tc>
          <w:tcPr>
            <w:tcW w:w="0" w:type="auto"/>
            <w:shd w:val="clear" w:color="auto" w:fill="auto"/>
            <w:noWrap/>
          </w:tcPr>
          <w:p w14:paraId="1ACB91B3" w14:textId="30C7AB7B" w:rsidR="008B4DF8" w:rsidRPr="00C1603D" w:rsidRDefault="00D22556"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0EA149C3" w14:textId="2539244B" w:rsidR="008B4DF8" w:rsidRPr="00C1603D" w:rsidRDefault="008B4DF8" w:rsidP="00703099">
            <w:pPr>
              <w:pStyle w:val="72TabletextTablesTableFigureBoxstyles"/>
              <w:rPr>
                <w:lang w:eastAsia="en-GB"/>
              </w:rPr>
            </w:pPr>
            <w:r w:rsidRPr="00C1603D">
              <w:rPr>
                <w:lang w:eastAsia="en-GB"/>
              </w:rPr>
              <w:t>52 (0.4)</w:t>
            </w:r>
          </w:p>
        </w:tc>
        <w:tc>
          <w:tcPr>
            <w:tcW w:w="0" w:type="auto"/>
            <w:shd w:val="clear" w:color="auto" w:fill="auto"/>
            <w:noWrap/>
          </w:tcPr>
          <w:p w14:paraId="5C976720" w14:textId="1C322013" w:rsidR="008B4DF8" w:rsidRPr="00C1603D" w:rsidRDefault="008B4DF8" w:rsidP="00703099">
            <w:pPr>
              <w:pStyle w:val="72TabletextTablesTableFigureBoxstyles"/>
              <w:rPr>
                <w:lang w:eastAsia="en-GB"/>
              </w:rPr>
            </w:pPr>
            <w:r w:rsidRPr="00C1603D">
              <w:rPr>
                <w:lang w:eastAsia="en-GB"/>
              </w:rPr>
              <w:t>84 (2.6)</w:t>
            </w:r>
          </w:p>
        </w:tc>
        <w:tc>
          <w:tcPr>
            <w:tcW w:w="0" w:type="auto"/>
            <w:shd w:val="clear" w:color="auto" w:fill="auto"/>
            <w:noWrap/>
          </w:tcPr>
          <w:p w14:paraId="375C13B0"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26C1157" w14:textId="4A052FAD" w:rsidR="008B4DF8" w:rsidRPr="00C1603D" w:rsidRDefault="008B4DF8" w:rsidP="00703099">
            <w:pPr>
              <w:pStyle w:val="72TabletextTablesTableFigureBoxstyles"/>
              <w:rPr>
                <w:lang w:eastAsia="en-GB"/>
              </w:rPr>
            </w:pPr>
            <w:r w:rsidRPr="00C1603D">
              <w:rPr>
                <w:lang w:eastAsia="en-GB"/>
              </w:rPr>
              <w:t>136 (0.8)</w:t>
            </w:r>
          </w:p>
        </w:tc>
        <w:tc>
          <w:tcPr>
            <w:tcW w:w="0" w:type="auto"/>
            <w:shd w:val="clear" w:color="auto" w:fill="auto"/>
            <w:noWrap/>
          </w:tcPr>
          <w:p w14:paraId="66E21E9B" w14:textId="4402D138" w:rsidR="008B4DF8" w:rsidRPr="00C1603D" w:rsidRDefault="008B4DF8" w:rsidP="00703099">
            <w:pPr>
              <w:pStyle w:val="72TabletextTablesTableFigureBoxstyles"/>
              <w:rPr>
                <w:lang w:eastAsia="en-GB"/>
              </w:rPr>
            </w:pPr>
            <w:r w:rsidRPr="00C1603D">
              <w:rPr>
                <w:lang w:eastAsia="en-GB"/>
              </w:rPr>
              <w:t>21 (0.1)</w:t>
            </w:r>
          </w:p>
        </w:tc>
        <w:tc>
          <w:tcPr>
            <w:tcW w:w="0" w:type="auto"/>
            <w:shd w:val="clear" w:color="auto" w:fill="auto"/>
            <w:noWrap/>
          </w:tcPr>
          <w:p w14:paraId="0BBCFEA6" w14:textId="3B213539" w:rsidR="008B4DF8" w:rsidRPr="00C1603D" w:rsidRDefault="008B4DF8" w:rsidP="00703099">
            <w:pPr>
              <w:pStyle w:val="72TabletextTablesTableFigureBoxstyles"/>
              <w:rPr>
                <w:lang w:eastAsia="en-GB"/>
              </w:rPr>
            </w:pPr>
            <w:r w:rsidRPr="00C1603D">
              <w:rPr>
                <w:lang w:eastAsia="en-GB"/>
              </w:rPr>
              <w:t>31 (0.4)</w:t>
            </w:r>
          </w:p>
        </w:tc>
        <w:tc>
          <w:tcPr>
            <w:tcW w:w="0" w:type="auto"/>
            <w:shd w:val="clear" w:color="auto" w:fill="auto"/>
            <w:noWrap/>
          </w:tcPr>
          <w:p w14:paraId="6C81CDB7"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ABDD426" w14:textId="0403AA6C" w:rsidR="008B4DF8" w:rsidRPr="00C1603D" w:rsidRDefault="008B4DF8" w:rsidP="00703099">
            <w:pPr>
              <w:pStyle w:val="72TabletextTablesTableFigureBoxstyles"/>
              <w:rPr>
                <w:lang w:eastAsia="en-GB"/>
              </w:rPr>
            </w:pPr>
            <w:r w:rsidRPr="00C1603D">
              <w:rPr>
                <w:lang w:eastAsia="en-GB"/>
              </w:rPr>
              <w:t>52 (0.1)</w:t>
            </w:r>
          </w:p>
        </w:tc>
      </w:tr>
      <w:tr w:rsidR="008B4DF8" w:rsidRPr="00C1603D" w14:paraId="15158A77" w14:textId="77777777" w:rsidTr="0044057F">
        <w:trPr>
          <w:cantSplit/>
        </w:trPr>
        <w:tc>
          <w:tcPr>
            <w:tcW w:w="0" w:type="auto"/>
            <w:gridSpan w:val="9"/>
            <w:shd w:val="clear" w:color="auto" w:fill="auto"/>
            <w:noWrap/>
          </w:tcPr>
          <w:p w14:paraId="33B72BBC" w14:textId="2A5B4A46" w:rsidR="008B4DF8" w:rsidRPr="00C1603D" w:rsidRDefault="008B4DF8" w:rsidP="00114B44">
            <w:pPr>
              <w:pStyle w:val="712TablesubheadBTablesTableFigureBoxstyles"/>
              <w:rPr>
                <w:lang w:eastAsia="en-GB"/>
              </w:rPr>
            </w:pPr>
            <w:r w:rsidRPr="00C1603D">
              <w:rPr>
                <w:lang w:eastAsia="en-GB"/>
              </w:rPr>
              <w:t>Fatigue</w:t>
            </w:r>
            <w:r w:rsidR="00A305BE" w:rsidRPr="00C1603D">
              <w:rPr>
                <w:lang w:eastAsia="en-GB"/>
              </w:rPr>
              <w:t xml:space="preserve">, </w:t>
            </w:r>
            <w:r w:rsidR="00A305BE" w:rsidRPr="00C1603D">
              <w:rPr>
                <w:i w:val="0"/>
                <w:lang w:eastAsia="en-GB"/>
              </w:rPr>
              <w:t>n</w:t>
            </w:r>
            <w:r w:rsidR="00A305BE" w:rsidRPr="00C1603D">
              <w:rPr>
                <w:lang w:eastAsia="en-GB"/>
              </w:rPr>
              <w:t xml:space="preserve"> (%)</w:t>
            </w:r>
          </w:p>
        </w:tc>
      </w:tr>
      <w:tr w:rsidR="00B068B0" w:rsidRPr="00C1603D" w14:paraId="67B425EE" w14:textId="77777777" w:rsidTr="0044057F">
        <w:trPr>
          <w:cantSplit/>
        </w:trPr>
        <w:tc>
          <w:tcPr>
            <w:tcW w:w="0" w:type="auto"/>
            <w:shd w:val="clear" w:color="auto" w:fill="auto"/>
            <w:noWrap/>
          </w:tcPr>
          <w:p w14:paraId="766DAF6C" w14:textId="77777777" w:rsidR="008B4DF8" w:rsidRPr="00C1603D" w:rsidRDefault="008B4DF8" w:rsidP="00703099">
            <w:pPr>
              <w:pStyle w:val="72TabletextTablesTableFigureBoxstyles"/>
              <w:rPr>
                <w:lang w:eastAsia="en-GB"/>
              </w:rPr>
            </w:pPr>
            <w:r w:rsidRPr="00C1603D">
              <w:rPr>
                <w:lang w:eastAsia="en-GB"/>
              </w:rPr>
              <w:t>Present</w:t>
            </w:r>
          </w:p>
        </w:tc>
        <w:tc>
          <w:tcPr>
            <w:tcW w:w="0" w:type="auto"/>
            <w:shd w:val="clear" w:color="auto" w:fill="auto"/>
            <w:noWrap/>
          </w:tcPr>
          <w:p w14:paraId="68EFCB47" w14:textId="1BAD9521" w:rsidR="008B4DF8" w:rsidRPr="00C1603D" w:rsidRDefault="008B4DF8" w:rsidP="00703099">
            <w:pPr>
              <w:pStyle w:val="72TabletextTablesTableFigureBoxstyles"/>
              <w:rPr>
                <w:lang w:eastAsia="en-GB"/>
              </w:rPr>
            </w:pPr>
            <w:r w:rsidRPr="00C1603D">
              <w:rPr>
                <w:lang w:eastAsia="en-GB"/>
              </w:rPr>
              <w:t>210 (1.6)</w:t>
            </w:r>
          </w:p>
        </w:tc>
        <w:tc>
          <w:tcPr>
            <w:tcW w:w="0" w:type="auto"/>
            <w:shd w:val="clear" w:color="auto" w:fill="auto"/>
            <w:noWrap/>
          </w:tcPr>
          <w:p w14:paraId="5256452C" w14:textId="6D3EC6B0" w:rsidR="008B4DF8" w:rsidRPr="00C1603D" w:rsidRDefault="008B4DF8" w:rsidP="00703099">
            <w:pPr>
              <w:pStyle w:val="72TabletextTablesTableFigureBoxstyles"/>
              <w:rPr>
                <w:lang w:eastAsia="en-GB"/>
              </w:rPr>
            </w:pPr>
            <w:r w:rsidRPr="00C1603D">
              <w:rPr>
                <w:lang w:eastAsia="en-GB"/>
              </w:rPr>
              <w:t>253 (7.8)</w:t>
            </w:r>
          </w:p>
        </w:tc>
        <w:tc>
          <w:tcPr>
            <w:tcW w:w="0" w:type="auto"/>
            <w:shd w:val="clear" w:color="auto" w:fill="auto"/>
            <w:noWrap/>
          </w:tcPr>
          <w:p w14:paraId="52A895C8"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886E99B" w14:textId="1C593484" w:rsidR="008B4DF8" w:rsidRPr="00C1603D" w:rsidRDefault="008B4DF8" w:rsidP="00703099">
            <w:pPr>
              <w:pStyle w:val="72TabletextTablesTableFigureBoxstyles"/>
              <w:rPr>
                <w:lang w:eastAsia="en-GB"/>
              </w:rPr>
            </w:pPr>
            <w:r w:rsidRPr="00C1603D">
              <w:rPr>
                <w:lang w:eastAsia="en-GB"/>
              </w:rPr>
              <w:t>463 (2.9)</w:t>
            </w:r>
          </w:p>
        </w:tc>
        <w:tc>
          <w:tcPr>
            <w:tcW w:w="0" w:type="auto"/>
            <w:shd w:val="clear" w:color="auto" w:fill="auto"/>
            <w:noWrap/>
          </w:tcPr>
          <w:p w14:paraId="5ABCB1E1" w14:textId="2540790E" w:rsidR="008B4DF8" w:rsidRPr="00C1603D" w:rsidRDefault="008B4DF8" w:rsidP="00703099">
            <w:pPr>
              <w:pStyle w:val="72TabletextTablesTableFigureBoxstyles"/>
              <w:rPr>
                <w:lang w:eastAsia="en-GB"/>
              </w:rPr>
            </w:pPr>
            <w:r w:rsidRPr="00C1603D">
              <w:rPr>
                <w:lang w:eastAsia="en-GB"/>
              </w:rPr>
              <w:t>165 (0.6)</w:t>
            </w:r>
          </w:p>
        </w:tc>
        <w:tc>
          <w:tcPr>
            <w:tcW w:w="0" w:type="auto"/>
            <w:shd w:val="clear" w:color="auto" w:fill="auto"/>
            <w:noWrap/>
          </w:tcPr>
          <w:p w14:paraId="1400E506" w14:textId="3570E468" w:rsidR="008B4DF8" w:rsidRPr="00C1603D" w:rsidRDefault="008B4DF8" w:rsidP="00703099">
            <w:pPr>
              <w:pStyle w:val="72TabletextTablesTableFigureBoxstyles"/>
              <w:rPr>
                <w:lang w:eastAsia="en-GB"/>
              </w:rPr>
            </w:pPr>
            <w:r w:rsidRPr="00C1603D">
              <w:rPr>
                <w:lang w:eastAsia="en-GB"/>
              </w:rPr>
              <w:t>150 (2.1)</w:t>
            </w:r>
          </w:p>
        </w:tc>
        <w:tc>
          <w:tcPr>
            <w:tcW w:w="0" w:type="auto"/>
            <w:shd w:val="clear" w:color="auto" w:fill="auto"/>
            <w:noWrap/>
          </w:tcPr>
          <w:p w14:paraId="015EDA52"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EEA25AD" w14:textId="46F726D9" w:rsidR="008B4DF8" w:rsidRPr="00C1603D" w:rsidRDefault="008B4DF8" w:rsidP="00703099">
            <w:pPr>
              <w:pStyle w:val="72TabletextTablesTableFigureBoxstyles"/>
              <w:rPr>
                <w:lang w:eastAsia="en-GB"/>
              </w:rPr>
            </w:pPr>
            <w:r w:rsidRPr="00C1603D">
              <w:rPr>
                <w:lang w:eastAsia="en-GB"/>
              </w:rPr>
              <w:t>315 (0.9)</w:t>
            </w:r>
          </w:p>
        </w:tc>
      </w:tr>
      <w:tr w:rsidR="008B4DF8" w:rsidRPr="00C1603D" w14:paraId="364A6A29" w14:textId="77777777" w:rsidTr="0044057F">
        <w:trPr>
          <w:cantSplit/>
        </w:trPr>
        <w:tc>
          <w:tcPr>
            <w:tcW w:w="0" w:type="auto"/>
            <w:gridSpan w:val="9"/>
            <w:shd w:val="clear" w:color="auto" w:fill="auto"/>
            <w:noWrap/>
          </w:tcPr>
          <w:p w14:paraId="051FF6C4" w14:textId="5B8C2469" w:rsidR="008B4DF8" w:rsidRPr="00C1603D" w:rsidRDefault="008B4DF8" w:rsidP="00CE16EF">
            <w:pPr>
              <w:pStyle w:val="72TabletextTablesTableFigureBoxstyles"/>
              <w:rPr>
                <w:lang w:eastAsia="en-GB"/>
              </w:rPr>
            </w:pPr>
            <w:r w:rsidRPr="00C1603D">
              <w:rPr>
                <w:lang w:eastAsia="en-GB"/>
              </w:rPr>
              <w:t>Fatigue (count, 1 year)</w:t>
            </w:r>
            <w:r w:rsidR="00CE16EF" w:rsidRPr="00C1603D">
              <w:rPr>
                <w:lang w:eastAsia="en-GB"/>
              </w:rPr>
              <w:t xml:space="preserve"> , </w:t>
            </w:r>
            <w:r w:rsidR="00CE16EF" w:rsidRPr="00C1603D">
              <w:rPr>
                <w:i/>
                <w:lang w:eastAsia="en-GB"/>
              </w:rPr>
              <w:t>n</w:t>
            </w:r>
            <w:r w:rsidR="00CE16EF" w:rsidRPr="00C1603D">
              <w:rPr>
                <w:lang w:eastAsia="en-GB"/>
              </w:rPr>
              <w:t xml:space="preserve"> (%)</w:t>
            </w:r>
          </w:p>
        </w:tc>
      </w:tr>
      <w:tr w:rsidR="00CE16EF" w:rsidRPr="00C1603D" w14:paraId="479BCCD1" w14:textId="77777777" w:rsidTr="0044057F">
        <w:trPr>
          <w:cantSplit/>
        </w:trPr>
        <w:tc>
          <w:tcPr>
            <w:tcW w:w="0" w:type="auto"/>
            <w:shd w:val="clear" w:color="auto" w:fill="auto"/>
            <w:noWrap/>
          </w:tcPr>
          <w:p w14:paraId="5FD78022" w14:textId="2A5DC064" w:rsidR="00CE16EF" w:rsidRPr="00C1603D" w:rsidRDefault="00CE16EF" w:rsidP="00703099">
            <w:pPr>
              <w:pStyle w:val="72TabletextTablesTableFigureBoxstyles"/>
              <w:rPr>
                <w:lang w:eastAsia="en-GB"/>
              </w:rPr>
            </w:pPr>
            <w:r w:rsidRPr="00C1603D">
              <w:rPr>
                <w:lang w:eastAsia="en-GB"/>
              </w:rPr>
              <w:tab/>
              <w:t>Once</w:t>
            </w:r>
          </w:p>
        </w:tc>
        <w:tc>
          <w:tcPr>
            <w:tcW w:w="0" w:type="auto"/>
            <w:shd w:val="clear" w:color="auto" w:fill="auto"/>
            <w:noWrap/>
          </w:tcPr>
          <w:p w14:paraId="695B7F00" w14:textId="129A2E19" w:rsidR="00CE16EF" w:rsidRPr="00C1603D" w:rsidRDefault="00CE16EF" w:rsidP="00703099">
            <w:pPr>
              <w:pStyle w:val="72TabletextTablesTableFigureBoxstyles"/>
              <w:rPr>
                <w:lang w:eastAsia="en-GB"/>
              </w:rPr>
            </w:pPr>
            <w:r w:rsidRPr="00C1603D">
              <w:rPr>
                <w:lang w:eastAsia="en-GB"/>
              </w:rPr>
              <w:t>53 (0.4)</w:t>
            </w:r>
          </w:p>
        </w:tc>
        <w:tc>
          <w:tcPr>
            <w:tcW w:w="0" w:type="auto"/>
            <w:shd w:val="clear" w:color="auto" w:fill="auto"/>
            <w:noWrap/>
          </w:tcPr>
          <w:p w14:paraId="76241D5B" w14:textId="3FE731B3" w:rsidR="00CE16EF" w:rsidRPr="00C1603D" w:rsidRDefault="00CE16EF" w:rsidP="00703099">
            <w:pPr>
              <w:pStyle w:val="72TabletextTablesTableFigureBoxstyles"/>
              <w:rPr>
                <w:lang w:eastAsia="en-GB"/>
              </w:rPr>
            </w:pPr>
            <w:r w:rsidRPr="00C1603D">
              <w:rPr>
                <w:lang w:eastAsia="en-GB"/>
              </w:rPr>
              <w:t>130 (4.0)</w:t>
            </w:r>
          </w:p>
        </w:tc>
        <w:tc>
          <w:tcPr>
            <w:tcW w:w="0" w:type="auto"/>
            <w:vMerge w:val="restart"/>
            <w:shd w:val="clear" w:color="auto" w:fill="auto"/>
            <w:noWrap/>
          </w:tcPr>
          <w:p w14:paraId="62871DA6" w14:textId="77777777" w:rsidR="00CE16EF" w:rsidRPr="00C1603D" w:rsidRDefault="00CE16EF"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489513A" w14:textId="236A77D8" w:rsidR="00CE16EF" w:rsidRPr="00C1603D" w:rsidRDefault="00CE16EF" w:rsidP="00703099">
            <w:pPr>
              <w:pStyle w:val="72TabletextTablesTableFigureBoxstyles"/>
              <w:rPr>
                <w:lang w:eastAsia="en-GB"/>
              </w:rPr>
            </w:pPr>
            <w:r w:rsidRPr="00C1603D">
              <w:rPr>
                <w:lang w:eastAsia="en-GB"/>
              </w:rPr>
              <w:t>183 (1.1)</w:t>
            </w:r>
          </w:p>
        </w:tc>
        <w:tc>
          <w:tcPr>
            <w:tcW w:w="0" w:type="auto"/>
            <w:shd w:val="clear" w:color="auto" w:fill="auto"/>
            <w:noWrap/>
          </w:tcPr>
          <w:p w14:paraId="52FE1BCD" w14:textId="46846ED0" w:rsidR="00CE16EF" w:rsidRPr="00C1603D" w:rsidRDefault="00CE16EF" w:rsidP="00703099">
            <w:pPr>
              <w:pStyle w:val="72TabletextTablesTableFigureBoxstyles"/>
              <w:rPr>
                <w:lang w:eastAsia="en-GB"/>
              </w:rPr>
            </w:pPr>
            <w:r w:rsidRPr="00C1603D">
              <w:rPr>
                <w:lang w:eastAsia="en-GB"/>
              </w:rPr>
              <w:t>34 (0.1)</w:t>
            </w:r>
          </w:p>
        </w:tc>
        <w:tc>
          <w:tcPr>
            <w:tcW w:w="0" w:type="auto"/>
            <w:shd w:val="clear" w:color="auto" w:fill="auto"/>
            <w:noWrap/>
          </w:tcPr>
          <w:p w14:paraId="797D5984" w14:textId="619BF721" w:rsidR="00CE16EF" w:rsidRPr="00C1603D" w:rsidRDefault="00CE16EF" w:rsidP="00703099">
            <w:pPr>
              <w:pStyle w:val="72TabletextTablesTableFigureBoxstyles"/>
              <w:rPr>
                <w:lang w:eastAsia="en-GB"/>
              </w:rPr>
            </w:pPr>
            <w:r w:rsidRPr="00C1603D">
              <w:rPr>
                <w:lang w:eastAsia="en-GB"/>
              </w:rPr>
              <w:t>48 (0.7)</w:t>
            </w:r>
          </w:p>
        </w:tc>
        <w:tc>
          <w:tcPr>
            <w:tcW w:w="0" w:type="auto"/>
            <w:vMerge w:val="restart"/>
            <w:shd w:val="clear" w:color="auto" w:fill="auto"/>
            <w:noWrap/>
          </w:tcPr>
          <w:p w14:paraId="58E0192F" w14:textId="77777777" w:rsidR="00CE16EF" w:rsidRPr="00C1603D" w:rsidRDefault="00CE16EF"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8330036" w14:textId="37649776" w:rsidR="00CE16EF" w:rsidRPr="00C1603D" w:rsidRDefault="00CE16EF" w:rsidP="00703099">
            <w:pPr>
              <w:pStyle w:val="72TabletextTablesTableFigureBoxstyles"/>
              <w:rPr>
                <w:lang w:eastAsia="en-GB"/>
              </w:rPr>
            </w:pPr>
            <w:r w:rsidRPr="00C1603D">
              <w:rPr>
                <w:lang w:eastAsia="en-GB"/>
              </w:rPr>
              <w:t>82 (0.2)</w:t>
            </w:r>
          </w:p>
        </w:tc>
      </w:tr>
      <w:tr w:rsidR="00CE16EF" w:rsidRPr="00C1603D" w14:paraId="5C45FED8" w14:textId="77777777" w:rsidTr="0044057F">
        <w:trPr>
          <w:cantSplit/>
        </w:trPr>
        <w:tc>
          <w:tcPr>
            <w:tcW w:w="0" w:type="auto"/>
            <w:shd w:val="clear" w:color="auto" w:fill="auto"/>
            <w:noWrap/>
          </w:tcPr>
          <w:p w14:paraId="3F0D466B" w14:textId="69AA738C" w:rsidR="00CE16EF" w:rsidRPr="00C1603D" w:rsidRDefault="00CE16EF" w:rsidP="00703099">
            <w:pPr>
              <w:pStyle w:val="72TabletextTablesTableFigureBoxstyles"/>
              <w:rPr>
                <w:lang w:eastAsia="en-GB"/>
              </w:rPr>
            </w:pPr>
            <w:r w:rsidRPr="00C1603D">
              <w:rPr>
                <w:lang w:eastAsia="en-GB"/>
              </w:rPr>
              <w:tab/>
              <w:t>Twice</w:t>
            </w:r>
          </w:p>
        </w:tc>
        <w:tc>
          <w:tcPr>
            <w:tcW w:w="0" w:type="auto"/>
            <w:shd w:val="clear" w:color="auto" w:fill="auto"/>
            <w:noWrap/>
          </w:tcPr>
          <w:p w14:paraId="7B533E33" w14:textId="291367FB" w:rsidR="00CE16EF" w:rsidRPr="00C1603D" w:rsidRDefault="00CE16EF" w:rsidP="00703099">
            <w:pPr>
              <w:pStyle w:val="72TabletextTablesTableFigureBoxstyles"/>
              <w:rPr>
                <w:lang w:eastAsia="en-GB"/>
              </w:rPr>
            </w:pPr>
            <w:r w:rsidRPr="00C1603D">
              <w:rPr>
                <w:lang w:eastAsia="en-GB"/>
              </w:rPr>
              <w:t>5 (0.0)</w:t>
            </w:r>
          </w:p>
        </w:tc>
        <w:tc>
          <w:tcPr>
            <w:tcW w:w="0" w:type="auto"/>
            <w:shd w:val="clear" w:color="auto" w:fill="auto"/>
            <w:noWrap/>
          </w:tcPr>
          <w:p w14:paraId="438627BC" w14:textId="6888C10D" w:rsidR="00CE16EF" w:rsidRPr="00C1603D" w:rsidRDefault="00CE16EF" w:rsidP="00703099">
            <w:pPr>
              <w:pStyle w:val="72TabletextTablesTableFigureBoxstyles"/>
              <w:rPr>
                <w:lang w:eastAsia="en-GB"/>
              </w:rPr>
            </w:pPr>
            <w:r w:rsidRPr="00C1603D">
              <w:rPr>
                <w:lang w:eastAsia="en-GB"/>
              </w:rPr>
              <w:t>17 (0.5)</w:t>
            </w:r>
          </w:p>
        </w:tc>
        <w:tc>
          <w:tcPr>
            <w:tcW w:w="0" w:type="auto"/>
            <w:vMerge/>
            <w:noWrap/>
          </w:tcPr>
          <w:p w14:paraId="0CAF1EDB" w14:textId="1BA41A27" w:rsidR="00CE16EF" w:rsidRPr="00C1603D" w:rsidRDefault="00CE16EF" w:rsidP="00703099">
            <w:pPr>
              <w:pStyle w:val="72TabletextTablesTableFigureBoxstyles"/>
              <w:rPr>
                <w:lang w:eastAsia="en-GB"/>
              </w:rPr>
            </w:pPr>
          </w:p>
        </w:tc>
        <w:tc>
          <w:tcPr>
            <w:tcW w:w="0" w:type="auto"/>
            <w:shd w:val="clear" w:color="auto" w:fill="auto"/>
            <w:noWrap/>
          </w:tcPr>
          <w:p w14:paraId="353F7CF1" w14:textId="61630AC1" w:rsidR="00CE16EF" w:rsidRPr="00C1603D" w:rsidRDefault="00CE16EF" w:rsidP="00703099">
            <w:pPr>
              <w:pStyle w:val="72TabletextTablesTableFigureBoxstyles"/>
              <w:rPr>
                <w:lang w:eastAsia="en-GB"/>
              </w:rPr>
            </w:pPr>
            <w:r w:rsidRPr="00C1603D">
              <w:rPr>
                <w:lang w:eastAsia="en-GB"/>
              </w:rPr>
              <w:t>22 (0.1)</w:t>
            </w:r>
          </w:p>
        </w:tc>
        <w:tc>
          <w:tcPr>
            <w:tcW w:w="0" w:type="auto"/>
            <w:shd w:val="clear" w:color="auto" w:fill="auto"/>
            <w:noWrap/>
          </w:tcPr>
          <w:p w14:paraId="5FA90B08" w14:textId="2FA071B2" w:rsidR="00CE16EF" w:rsidRPr="00C1603D" w:rsidRDefault="00CE16EF" w:rsidP="00703099">
            <w:pPr>
              <w:pStyle w:val="72TabletextTablesTableFigureBoxstyles"/>
              <w:rPr>
                <w:lang w:eastAsia="en-GB"/>
              </w:rPr>
            </w:pPr>
            <w:r w:rsidRPr="00C1603D">
              <w:rPr>
                <w:lang w:eastAsia="en-GB"/>
              </w:rPr>
              <w:t>8 (0.0)</w:t>
            </w:r>
          </w:p>
        </w:tc>
        <w:tc>
          <w:tcPr>
            <w:tcW w:w="0" w:type="auto"/>
            <w:shd w:val="clear" w:color="auto" w:fill="auto"/>
            <w:noWrap/>
          </w:tcPr>
          <w:p w14:paraId="731917CE" w14:textId="39367C80" w:rsidR="00CE16EF" w:rsidRPr="00C1603D" w:rsidRDefault="00CE16EF" w:rsidP="00703099">
            <w:pPr>
              <w:pStyle w:val="72TabletextTablesTableFigureBoxstyles"/>
              <w:rPr>
                <w:lang w:eastAsia="en-GB"/>
              </w:rPr>
            </w:pPr>
            <w:r w:rsidRPr="00C1603D">
              <w:rPr>
                <w:lang w:eastAsia="en-GB"/>
              </w:rPr>
              <w:t>14 (0.2)</w:t>
            </w:r>
          </w:p>
        </w:tc>
        <w:tc>
          <w:tcPr>
            <w:tcW w:w="0" w:type="auto"/>
            <w:vMerge/>
            <w:noWrap/>
          </w:tcPr>
          <w:p w14:paraId="24B33B3D" w14:textId="739F8853" w:rsidR="00CE16EF" w:rsidRPr="00C1603D" w:rsidRDefault="00CE16EF" w:rsidP="00703099">
            <w:pPr>
              <w:pStyle w:val="72TabletextTablesTableFigureBoxstyles"/>
              <w:rPr>
                <w:lang w:eastAsia="en-GB"/>
              </w:rPr>
            </w:pPr>
          </w:p>
        </w:tc>
        <w:tc>
          <w:tcPr>
            <w:tcW w:w="0" w:type="auto"/>
            <w:shd w:val="clear" w:color="auto" w:fill="auto"/>
            <w:noWrap/>
          </w:tcPr>
          <w:p w14:paraId="0AF46150" w14:textId="7A53153C" w:rsidR="00CE16EF" w:rsidRPr="00C1603D" w:rsidRDefault="00CE16EF" w:rsidP="00703099">
            <w:pPr>
              <w:pStyle w:val="72TabletextTablesTableFigureBoxstyles"/>
              <w:rPr>
                <w:lang w:eastAsia="en-GB"/>
              </w:rPr>
            </w:pPr>
            <w:r w:rsidRPr="00C1603D">
              <w:rPr>
                <w:lang w:eastAsia="en-GB"/>
              </w:rPr>
              <w:t>22 (0.1)</w:t>
            </w:r>
          </w:p>
        </w:tc>
      </w:tr>
      <w:tr w:rsidR="00CE16EF" w:rsidRPr="00C1603D" w14:paraId="2E13FE01" w14:textId="77777777" w:rsidTr="0044057F">
        <w:trPr>
          <w:cantSplit/>
        </w:trPr>
        <w:tc>
          <w:tcPr>
            <w:tcW w:w="0" w:type="auto"/>
            <w:shd w:val="clear" w:color="auto" w:fill="auto"/>
            <w:noWrap/>
          </w:tcPr>
          <w:p w14:paraId="044E9AEF" w14:textId="4B1FBD0B" w:rsidR="00CE16EF" w:rsidRPr="00C1603D" w:rsidRDefault="00CE16EF" w:rsidP="00703099">
            <w:pPr>
              <w:pStyle w:val="72TabletextTablesTableFigureBoxstyles"/>
              <w:rPr>
                <w:lang w:eastAsia="en-GB"/>
              </w:rPr>
            </w:pPr>
            <w:r w:rsidRPr="00C1603D">
              <w:rPr>
                <w:lang w:eastAsia="en-GB"/>
              </w:rPr>
              <w:lastRenderedPageBreak/>
              <w:tab/>
              <w:t>Three times</w:t>
            </w:r>
          </w:p>
        </w:tc>
        <w:tc>
          <w:tcPr>
            <w:tcW w:w="0" w:type="auto"/>
            <w:shd w:val="clear" w:color="auto" w:fill="auto"/>
            <w:noWrap/>
          </w:tcPr>
          <w:p w14:paraId="569A7CF8" w14:textId="60629DB9" w:rsidR="00CE16EF" w:rsidRPr="00C1603D" w:rsidRDefault="00CE16EF" w:rsidP="00703099">
            <w:pPr>
              <w:pStyle w:val="72TabletextTablesTableFigureBoxstyles"/>
              <w:rPr>
                <w:lang w:eastAsia="en-GB"/>
              </w:rPr>
            </w:pPr>
            <w:r w:rsidRPr="00C1603D">
              <w:rPr>
                <w:lang w:eastAsia="en-GB"/>
              </w:rPr>
              <w:t>0 (0)</w:t>
            </w:r>
          </w:p>
        </w:tc>
        <w:tc>
          <w:tcPr>
            <w:tcW w:w="0" w:type="auto"/>
            <w:shd w:val="clear" w:color="auto" w:fill="auto"/>
            <w:noWrap/>
          </w:tcPr>
          <w:p w14:paraId="7FB90E22" w14:textId="4249B705" w:rsidR="00CE16EF" w:rsidRPr="00C1603D" w:rsidRDefault="00CE16EF" w:rsidP="00703099">
            <w:pPr>
              <w:pStyle w:val="72TabletextTablesTableFigureBoxstyles"/>
              <w:rPr>
                <w:lang w:eastAsia="en-GB"/>
              </w:rPr>
            </w:pPr>
            <w:r w:rsidRPr="00C1603D">
              <w:rPr>
                <w:lang w:eastAsia="en-GB"/>
              </w:rPr>
              <w:t>11 (0.3)</w:t>
            </w:r>
          </w:p>
        </w:tc>
        <w:tc>
          <w:tcPr>
            <w:tcW w:w="0" w:type="auto"/>
            <w:vMerge/>
            <w:noWrap/>
          </w:tcPr>
          <w:p w14:paraId="79601899" w14:textId="018C04C4" w:rsidR="00CE16EF" w:rsidRPr="00C1603D" w:rsidRDefault="00CE16EF" w:rsidP="00703099">
            <w:pPr>
              <w:pStyle w:val="72TabletextTablesTableFigureBoxstyles"/>
              <w:rPr>
                <w:lang w:eastAsia="en-GB"/>
              </w:rPr>
            </w:pPr>
          </w:p>
        </w:tc>
        <w:tc>
          <w:tcPr>
            <w:tcW w:w="0" w:type="auto"/>
            <w:shd w:val="clear" w:color="auto" w:fill="auto"/>
            <w:noWrap/>
          </w:tcPr>
          <w:p w14:paraId="769C954C" w14:textId="20FF1B7A" w:rsidR="00CE16EF" w:rsidRPr="00C1603D" w:rsidRDefault="00CE16EF" w:rsidP="00703099">
            <w:pPr>
              <w:pStyle w:val="72TabletextTablesTableFigureBoxstyles"/>
              <w:rPr>
                <w:lang w:eastAsia="en-GB"/>
              </w:rPr>
            </w:pPr>
            <w:r w:rsidRPr="00C1603D">
              <w:rPr>
                <w:lang w:eastAsia="en-GB"/>
              </w:rPr>
              <w:t>11 (0.1)</w:t>
            </w:r>
          </w:p>
        </w:tc>
        <w:tc>
          <w:tcPr>
            <w:tcW w:w="0" w:type="auto"/>
            <w:shd w:val="clear" w:color="auto" w:fill="auto"/>
            <w:noWrap/>
          </w:tcPr>
          <w:p w14:paraId="70187E37" w14:textId="75CDD6EE" w:rsidR="00CE16EF" w:rsidRPr="00C1603D" w:rsidRDefault="00CE16EF" w:rsidP="00703099">
            <w:pPr>
              <w:pStyle w:val="72TabletextTablesTableFigureBoxstyles"/>
              <w:rPr>
                <w:lang w:eastAsia="en-GB"/>
              </w:rPr>
            </w:pPr>
            <w:r w:rsidRPr="00C1603D">
              <w:rPr>
                <w:lang w:eastAsia="en-GB"/>
              </w:rPr>
              <w:t>2 (0.0)</w:t>
            </w:r>
          </w:p>
        </w:tc>
        <w:tc>
          <w:tcPr>
            <w:tcW w:w="0" w:type="auto"/>
            <w:shd w:val="clear" w:color="auto" w:fill="auto"/>
            <w:noWrap/>
          </w:tcPr>
          <w:p w14:paraId="76AEFCB0" w14:textId="74BB70D4" w:rsidR="00CE16EF" w:rsidRPr="00C1603D" w:rsidRDefault="00CE16EF" w:rsidP="00703099">
            <w:pPr>
              <w:pStyle w:val="72TabletextTablesTableFigureBoxstyles"/>
              <w:rPr>
                <w:lang w:eastAsia="en-GB"/>
              </w:rPr>
            </w:pPr>
            <w:r w:rsidRPr="00C1603D">
              <w:rPr>
                <w:lang w:eastAsia="en-GB"/>
              </w:rPr>
              <w:t>8 (0.1)</w:t>
            </w:r>
          </w:p>
        </w:tc>
        <w:tc>
          <w:tcPr>
            <w:tcW w:w="0" w:type="auto"/>
            <w:vMerge/>
            <w:noWrap/>
          </w:tcPr>
          <w:p w14:paraId="3220DDC1" w14:textId="4A3DD00A" w:rsidR="00CE16EF" w:rsidRPr="00C1603D" w:rsidRDefault="00CE16EF" w:rsidP="00703099">
            <w:pPr>
              <w:pStyle w:val="72TabletextTablesTableFigureBoxstyles"/>
              <w:rPr>
                <w:lang w:eastAsia="en-GB"/>
              </w:rPr>
            </w:pPr>
          </w:p>
        </w:tc>
        <w:tc>
          <w:tcPr>
            <w:tcW w:w="0" w:type="auto"/>
            <w:shd w:val="clear" w:color="auto" w:fill="auto"/>
            <w:noWrap/>
          </w:tcPr>
          <w:p w14:paraId="31E80BA8" w14:textId="55E46555" w:rsidR="00CE16EF" w:rsidRPr="00C1603D" w:rsidRDefault="00CE16EF" w:rsidP="00703099">
            <w:pPr>
              <w:pStyle w:val="72TabletextTablesTableFigureBoxstyles"/>
              <w:rPr>
                <w:lang w:eastAsia="en-GB"/>
              </w:rPr>
            </w:pPr>
            <w:r w:rsidRPr="00C1603D">
              <w:rPr>
                <w:lang w:eastAsia="en-GB"/>
              </w:rPr>
              <w:t>10 (0.0)</w:t>
            </w:r>
          </w:p>
        </w:tc>
      </w:tr>
      <w:tr w:rsidR="008B4DF8" w:rsidRPr="00C1603D" w14:paraId="4D625D72" w14:textId="77777777" w:rsidTr="0044057F">
        <w:trPr>
          <w:cantSplit/>
        </w:trPr>
        <w:tc>
          <w:tcPr>
            <w:tcW w:w="0" w:type="auto"/>
            <w:gridSpan w:val="9"/>
            <w:shd w:val="clear" w:color="auto" w:fill="auto"/>
            <w:noWrap/>
          </w:tcPr>
          <w:p w14:paraId="50043B43" w14:textId="27A0D76D" w:rsidR="008B4DF8" w:rsidRPr="00C1603D" w:rsidRDefault="008B4DF8" w:rsidP="00CE16EF">
            <w:pPr>
              <w:pStyle w:val="72TabletextTablesTableFigureBoxstyles"/>
              <w:rPr>
                <w:lang w:eastAsia="en-GB"/>
              </w:rPr>
            </w:pPr>
            <w:r w:rsidRPr="00C1603D">
              <w:rPr>
                <w:lang w:eastAsia="en-GB"/>
              </w:rPr>
              <w:t>First</w:t>
            </w:r>
            <w:r w:rsidR="00114B44" w:rsidRPr="00C1603D">
              <w:rPr>
                <w:lang w:eastAsia="en-GB"/>
              </w:rPr>
              <w:t>-</w:t>
            </w:r>
            <w:r w:rsidRPr="00C1603D">
              <w:rPr>
                <w:lang w:eastAsia="en-GB"/>
              </w:rPr>
              <w:t>degree relative</w:t>
            </w:r>
            <w:r w:rsidR="00114B44" w:rsidRPr="00C1603D">
              <w:rPr>
                <w:lang w:eastAsia="en-GB"/>
              </w:rPr>
              <w:t xml:space="preserve"> with CD</w:t>
            </w:r>
          </w:p>
        </w:tc>
      </w:tr>
      <w:tr w:rsidR="00B068B0" w:rsidRPr="00C1603D" w14:paraId="2EB6B48C" w14:textId="77777777" w:rsidTr="0044057F">
        <w:trPr>
          <w:cantSplit/>
        </w:trPr>
        <w:tc>
          <w:tcPr>
            <w:tcW w:w="0" w:type="auto"/>
            <w:shd w:val="clear" w:color="auto" w:fill="auto"/>
            <w:noWrap/>
          </w:tcPr>
          <w:p w14:paraId="51A7ABAA" w14:textId="7AA06D4E" w:rsidR="008B4DF8" w:rsidRPr="00C1603D" w:rsidRDefault="00CE16EF"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8717D03" w14:textId="36105282" w:rsidR="008B4DF8" w:rsidRPr="00C1603D" w:rsidRDefault="008B4DF8" w:rsidP="00703099">
            <w:pPr>
              <w:pStyle w:val="72TabletextTablesTableFigureBoxstyles"/>
              <w:rPr>
                <w:lang w:eastAsia="en-GB"/>
              </w:rPr>
            </w:pPr>
            <w:r w:rsidRPr="00C1603D">
              <w:rPr>
                <w:lang w:eastAsia="en-GB"/>
              </w:rPr>
              <w:t>98 (0.8)</w:t>
            </w:r>
          </w:p>
        </w:tc>
        <w:tc>
          <w:tcPr>
            <w:tcW w:w="0" w:type="auto"/>
            <w:shd w:val="clear" w:color="auto" w:fill="auto"/>
            <w:noWrap/>
          </w:tcPr>
          <w:p w14:paraId="24D5B748" w14:textId="2B3A1CE5" w:rsidR="008B4DF8" w:rsidRPr="00C1603D" w:rsidRDefault="008B4DF8" w:rsidP="00703099">
            <w:pPr>
              <w:pStyle w:val="72TabletextTablesTableFigureBoxstyles"/>
              <w:rPr>
                <w:lang w:eastAsia="en-GB"/>
              </w:rPr>
            </w:pPr>
            <w:r w:rsidRPr="00C1603D">
              <w:rPr>
                <w:lang w:eastAsia="en-GB"/>
              </w:rPr>
              <w:t>496 (15.3)</w:t>
            </w:r>
          </w:p>
        </w:tc>
        <w:tc>
          <w:tcPr>
            <w:tcW w:w="0" w:type="auto"/>
            <w:shd w:val="clear" w:color="auto" w:fill="auto"/>
            <w:noWrap/>
          </w:tcPr>
          <w:p w14:paraId="35E4FACE"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C768CC6" w14:textId="6F734498" w:rsidR="008B4DF8" w:rsidRPr="00C1603D" w:rsidRDefault="008B4DF8" w:rsidP="00703099">
            <w:pPr>
              <w:pStyle w:val="72TabletextTablesTableFigureBoxstyles"/>
              <w:rPr>
                <w:lang w:eastAsia="en-GB"/>
              </w:rPr>
            </w:pPr>
            <w:r w:rsidRPr="00C1603D">
              <w:rPr>
                <w:lang w:eastAsia="en-GB"/>
              </w:rPr>
              <w:t>594 (3.7)</w:t>
            </w:r>
          </w:p>
        </w:tc>
        <w:tc>
          <w:tcPr>
            <w:tcW w:w="0" w:type="auto"/>
            <w:shd w:val="clear" w:color="auto" w:fill="auto"/>
            <w:noWrap/>
          </w:tcPr>
          <w:p w14:paraId="5B035CE6" w14:textId="77777777" w:rsidR="008B4DF8" w:rsidRPr="00C1603D" w:rsidRDefault="3CDEEDA7" w:rsidP="00703099">
            <w:pPr>
              <w:pStyle w:val="72TabletextTablesTableFigureBoxstyles"/>
              <w:rPr>
                <w:lang w:eastAsia="en-GB"/>
              </w:rPr>
            </w:pPr>
            <w:commentRangeStart w:id="205"/>
            <w:commentRangeStart w:id="206"/>
            <w:r w:rsidRPr="00C1603D">
              <w:rPr>
                <w:lang w:eastAsia="en-GB"/>
              </w:rPr>
              <w:t>NR</w:t>
            </w:r>
            <w:commentRangeEnd w:id="205"/>
            <w:r w:rsidR="008B4DF8" w:rsidRPr="00C1603D">
              <w:commentReference w:id="205"/>
            </w:r>
            <w:commentRangeEnd w:id="206"/>
            <w:r w:rsidR="008B4DF8" w:rsidRPr="00C1603D">
              <w:commentReference w:id="206"/>
            </w:r>
          </w:p>
        </w:tc>
        <w:tc>
          <w:tcPr>
            <w:tcW w:w="0" w:type="auto"/>
            <w:shd w:val="clear" w:color="auto" w:fill="auto"/>
            <w:noWrap/>
          </w:tcPr>
          <w:p w14:paraId="2B0FBCA5" w14:textId="77777777" w:rsidR="008B4DF8" w:rsidRPr="00C1603D" w:rsidRDefault="008B4DF8" w:rsidP="00703099">
            <w:pPr>
              <w:pStyle w:val="72TabletextTablesTableFigureBoxstyles"/>
              <w:rPr>
                <w:lang w:eastAsia="en-GB"/>
              </w:rPr>
            </w:pPr>
            <w:r w:rsidRPr="00C1603D">
              <w:rPr>
                <w:lang w:eastAsia="en-GB"/>
              </w:rPr>
              <w:t>NR</w:t>
            </w:r>
          </w:p>
        </w:tc>
        <w:tc>
          <w:tcPr>
            <w:tcW w:w="0" w:type="auto"/>
            <w:shd w:val="clear" w:color="auto" w:fill="auto"/>
            <w:noWrap/>
          </w:tcPr>
          <w:p w14:paraId="15C4DEA9" w14:textId="778E39A6" w:rsidR="008B4DF8" w:rsidRPr="00C1603D" w:rsidRDefault="008B4DF8" w:rsidP="00703099">
            <w:pPr>
              <w:pStyle w:val="72TabletextTablesTableFigureBoxstyles"/>
              <w:rPr>
                <w:lang w:eastAsia="en-GB"/>
              </w:rPr>
            </w:pPr>
          </w:p>
        </w:tc>
        <w:tc>
          <w:tcPr>
            <w:tcW w:w="0" w:type="auto"/>
            <w:shd w:val="clear" w:color="auto" w:fill="auto"/>
            <w:noWrap/>
          </w:tcPr>
          <w:p w14:paraId="3C9EAF45" w14:textId="77777777" w:rsidR="008B4DF8" w:rsidRPr="00C1603D" w:rsidRDefault="008B4DF8" w:rsidP="00703099">
            <w:pPr>
              <w:pStyle w:val="72TabletextTablesTableFigureBoxstyles"/>
              <w:rPr>
                <w:lang w:eastAsia="en-GB"/>
              </w:rPr>
            </w:pPr>
            <w:r w:rsidRPr="00C1603D">
              <w:rPr>
                <w:lang w:eastAsia="en-GB"/>
              </w:rPr>
              <w:t>NR</w:t>
            </w:r>
          </w:p>
        </w:tc>
      </w:tr>
      <w:tr w:rsidR="008B4DF8" w:rsidRPr="00C1603D" w14:paraId="55ABDA71" w14:textId="77777777" w:rsidTr="0044057F">
        <w:trPr>
          <w:cantSplit/>
        </w:trPr>
        <w:tc>
          <w:tcPr>
            <w:tcW w:w="0" w:type="auto"/>
            <w:gridSpan w:val="9"/>
            <w:shd w:val="clear" w:color="auto" w:fill="auto"/>
            <w:noWrap/>
          </w:tcPr>
          <w:p w14:paraId="32392777" w14:textId="043DC997" w:rsidR="008B4DF8" w:rsidRPr="00C1603D" w:rsidRDefault="008B4DF8" w:rsidP="00451537">
            <w:pPr>
              <w:pStyle w:val="72TabletextTablesTableFigureBoxstyles"/>
              <w:rPr>
                <w:lang w:eastAsia="en-GB"/>
              </w:rPr>
            </w:pPr>
            <w:r w:rsidRPr="00C1603D">
              <w:rPr>
                <w:lang w:eastAsia="en-GB"/>
              </w:rPr>
              <w:t>GI symptoms</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3CCF8F40" w14:textId="77777777" w:rsidTr="0044057F">
        <w:trPr>
          <w:cantSplit/>
        </w:trPr>
        <w:tc>
          <w:tcPr>
            <w:tcW w:w="0" w:type="auto"/>
            <w:shd w:val="clear" w:color="auto" w:fill="auto"/>
            <w:noWrap/>
          </w:tcPr>
          <w:p w14:paraId="3CE81591" w14:textId="516B50DE"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E902076" w14:textId="341B7F65" w:rsidR="008B4DF8" w:rsidRPr="00C1603D" w:rsidRDefault="008B4DF8" w:rsidP="00703099">
            <w:pPr>
              <w:pStyle w:val="72TabletextTablesTableFigureBoxstyles"/>
              <w:rPr>
                <w:lang w:eastAsia="en-GB"/>
              </w:rPr>
            </w:pPr>
            <w:r w:rsidRPr="00C1603D">
              <w:rPr>
                <w:lang w:eastAsia="en-GB"/>
              </w:rPr>
              <w:t>3684 (28.5)</w:t>
            </w:r>
          </w:p>
        </w:tc>
        <w:tc>
          <w:tcPr>
            <w:tcW w:w="0" w:type="auto"/>
            <w:shd w:val="clear" w:color="auto" w:fill="auto"/>
            <w:noWrap/>
          </w:tcPr>
          <w:p w14:paraId="6A3A1EF7" w14:textId="1DF3090E" w:rsidR="008B4DF8" w:rsidRPr="00C1603D" w:rsidRDefault="008B4DF8" w:rsidP="00703099">
            <w:pPr>
              <w:pStyle w:val="72TabletextTablesTableFigureBoxstyles"/>
              <w:rPr>
                <w:lang w:eastAsia="en-GB"/>
              </w:rPr>
            </w:pPr>
            <w:r w:rsidRPr="00C1603D">
              <w:rPr>
                <w:lang w:eastAsia="en-GB"/>
              </w:rPr>
              <w:t>1924 (59.4)</w:t>
            </w:r>
          </w:p>
        </w:tc>
        <w:tc>
          <w:tcPr>
            <w:tcW w:w="0" w:type="auto"/>
            <w:shd w:val="clear" w:color="auto" w:fill="auto"/>
            <w:noWrap/>
          </w:tcPr>
          <w:p w14:paraId="52C2CA3D"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5D55E34" w14:textId="0FAF1CE1" w:rsidR="008B4DF8" w:rsidRPr="00C1603D" w:rsidRDefault="008B4DF8" w:rsidP="00703099">
            <w:pPr>
              <w:pStyle w:val="72TabletextTablesTableFigureBoxstyles"/>
              <w:rPr>
                <w:lang w:eastAsia="en-GB"/>
              </w:rPr>
            </w:pPr>
            <w:r w:rsidRPr="00C1603D">
              <w:rPr>
                <w:lang w:eastAsia="en-GB"/>
              </w:rPr>
              <w:t>5608 (34.6)</w:t>
            </w:r>
          </w:p>
        </w:tc>
        <w:tc>
          <w:tcPr>
            <w:tcW w:w="0" w:type="auto"/>
            <w:shd w:val="clear" w:color="auto" w:fill="auto"/>
            <w:noWrap/>
          </w:tcPr>
          <w:p w14:paraId="358BB4C7" w14:textId="4BF39F75" w:rsidR="008B4DF8" w:rsidRPr="00C1603D" w:rsidRDefault="008B4DF8" w:rsidP="00703099">
            <w:pPr>
              <w:pStyle w:val="72TabletextTablesTableFigureBoxstyles"/>
              <w:rPr>
                <w:lang w:eastAsia="en-GB"/>
              </w:rPr>
            </w:pPr>
            <w:r w:rsidRPr="00C1603D">
              <w:rPr>
                <w:lang w:eastAsia="en-GB"/>
              </w:rPr>
              <w:t>1371 (4.9)</w:t>
            </w:r>
          </w:p>
        </w:tc>
        <w:tc>
          <w:tcPr>
            <w:tcW w:w="0" w:type="auto"/>
            <w:shd w:val="clear" w:color="auto" w:fill="auto"/>
            <w:noWrap/>
          </w:tcPr>
          <w:p w14:paraId="4BA2FF7F" w14:textId="5C391C6D" w:rsidR="008B4DF8" w:rsidRPr="00C1603D" w:rsidRDefault="008B4DF8" w:rsidP="00703099">
            <w:pPr>
              <w:pStyle w:val="72TabletextTablesTableFigureBoxstyles"/>
              <w:rPr>
                <w:lang w:eastAsia="en-GB"/>
              </w:rPr>
            </w:pPr>
            <w:r w:rsidRPr="00C1603D">
              <w:rPr>
                <w:lang w:eastAsia="en-GB"/>
              </w:rPr>
              <w:t>794 (11.3)</w:t>
            </w:r>
          </w:p>
        </w:tc>
        <w:tc>
          <w:tcPr>
            <w:tcW w:w="0" w:type="auto"/>
            <w:shd w:val="clear" w:color="auto" w:fill="auto"/>
            <w:noWrap/>
          </w:tcPr>
          <w:p w14:paraId="473096BC"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E137DD8" w14:textId="16046209" w:rsidR="008B4DF8" w:rsidRPr="00C1603D" w:rsidRDefault="008B4DF8" w:rsidP="00703099">
            <w:pPr>
              <w:pStyle w:val="72TabletextTablesTableFigureBoxstyles"/>
              <w:rPr>
                <w:lang w:eastAsia="en-GB"/>
              </w:rPr>
            </w:pPr>
            <w:r w:rsidRPr="00C1603D">
              <w:rPr>
                <w:lang w:eastAsia="en-GB"/>
              </w:rPr>
              <w:t>2165 (6.2)</w:t>
            </w:r>
          </w:p>
        </w:tc>
      </w:tr>
      <w:tr w:rsidR="008B4DF8" w:rsidRPr="00C1603D" w14:paraId="7398D740" w14:textId="77777777" w:rsidTr="0044057F">
        <w:trPr>
          <w:cantSplit/>
        </w:trPr>
        <w:tc>
          <w:tcPr>
            <w:tcW w:w="0" w:type="auto"/>
            <w:gridSpan w:val="9"/>
            <w:shd w:val="clear" w:color="auto" w:fill="auto"/>
            <w:noWrap/>
          </w:tcPr>
          <w:p w14:paraId="01B7648B" w14:textId="29D9D041" w:rsidR="008B4DF8" w:rsidRPr="00C1603D" w:rsidRDefault="008B4DF8" w:rsidP="00451537">
            <w:pPr>
              <w:pStyle w:val="72TabletextTablesTableFigureBoxstyles"/>
              <w:rPr>
                <w:lang w:eastAsia="en-GB"/>
              </w:rPr>
            </w:pPr>
            <w:r w:rsidRPr="00C1603D">
              <w:rPr>
                <w:lang w:eastAsia="en-GB"/>
              </w:rPr>
              <w:t>GI symptoms (count, 1 year)</w:t>
            </w:r>
            <w:r w:rsidR="00451537" w:rsidRPr="00C1603D">
              <w:rPr>
                <w:lang w:eastAsia="en-GB"/>
              </w:rPr>
              <w:t xml:space="preserve"> , </w:t>
            </w:r>
            <w:r w:rsidR="00451537" w:rsidRPr="00C1603D">
              <w:rPr>
                <w:i/>
                <w:lang w:eastAsia="en-GB"/>
              </w:rPr>
              <w:t>n</w:t>
            </w:r>
            <w:r w:rsidR="00451537" w:rsidRPr="00C1603D">
              <w:rPr>
                <w:lang w:eastAsia="en-GB"/>
              </w:rPr>
              <w:t xml:space="preserve"> (%)</w:t>
            </w:r>
          </w:p>
        </w:tc>
      </w:tr>
      <w:tr w:rsidR="00451537" w:rsidRPr="00C1603D" w14:paraId="49A8557F" w14:textId="77777777" w:rsidTr="0044057F">
        <w:trPr>
          <w:cantSplit/>
        </w:trPr>
        <w:tc>
          <w:tcPr>
            <w:tcW w:w="0" w:type="auto"/>
            <w:shd w:val="clear" w:color="auto" w:fill="auto"/>
            <w:noWrap/>
          </w:tcPr>
          <w:p w14:paraId="49869947" w14:textId="24171698" w:rsidR="00451537" w:rsidRPr="00C1603D" w:rsidRDefault="00451537" w:rsidP="00703099">
            <w:pPr>
              <w:pStyle w:val="72TabletextTablesTableFigureBoxstyles"/>
              <w:rPr>
                <w:lang w:eastAsia="en-GB"/>
              </w:rPr>
            </w:pPr>
            <w:r w:rsidRPr="00C1603D">
              <w:rPr>
                <w:lang w:eastAsia="en-GB"/>
              </w:rPr>
              <w:tab/>
              <w:t>Once</w:t>
            </w:r>
          </w:p>
        </w:tc>
        <w:tc>
          <w:tcPr>
            <w:tcW w:w="0" w:type="auto"/>
            <w:shd w:val="clear" w:color="auto" w:fill="auto"/>
            <w:noWrap/>
          </w:tcPr>
          <w:p w14:paraId="4BB32045" w14:textId="41319DFB" w:rsidR="00451537" w:rsidRPr="00C1603D" w:rsidRDefault="00451537" w:rsidP="00703099">
            <w:pPr>
              <w:pStyle w:val="72TabletextTablesTableFigureBoxstyles"/>
              <w:rPr>
                <w:lang w:eastAsia="en-GB"/>
              </w:rPr>
            </w:pPr>
            <w:r w:rsidRPr="00C1603D">
              <w:rPr>
                <w:lang w:eastAsia="en-GB"/>
              </w:rPr>
              <w:t>785 (6.1)</w:t>
            </w:r>
          </w:p>
        </w:tc>
        <w:tc>
          <w:tcPr>
            <w:tcW w:w="0" w:type="auto"/>
            <w:shd w:val="clear" w:color="auto" w:fill="auto"/>
            <w:noWrap/>
          </w:tcPr>
          <w:p w14:paraId="31E9CAFD" w14:textId="27866E31" w:rsidR="00451537" w:rsidRPr="00C1603D" w:rsidRDefault="00451537" w:rsidP="00703099">
            <w:pPr>
              <w:pStyle w:val="72TabletextTablesTableFigureBoxstyles"/>
              <w:rPr>
                <w:lang w:eastAsia="en-GB"/>
              </w:rPr>
            </w:pPr>
            <w:r w:rsidRPr="00C1603D">
              <w:rPr>
                <w:lang w:eastAsia="en-GB"/>
              </w:rPr>
              <w:t>588 (18.2)</w:t>
            </w:r>
          </w:p>
        </w:tc>
        <w:tc>
          <w:tcPr>
            <w:tcW w:w="0" w:type="auto"/>
            <w:vMerge w:val="restart"/>
            <w:shd w:val="clear" w:color="auto" w:fill="auto"/>
            <w:noWrap/>
          </w:tcPr>
          <w:p w14:paraId="711D102B" w14:textId="77777777" w:rsidR="00451537" w:rsidRPr="00C1603D" w:rsidRDefault="00451537"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3022DAC" w14:textId="6B3E16A1" w:rsidR="00451537" w:rsidRPr="00C1603D" w:rsidRDefault="00451537" w:rsidP="00703099">
            <w:pPr>
              <w:pStyle w:val="72TabletextTablesTableFigureBoxstyles"/>
              <w:rPr>
                <w:lang w:eastAsia="en-GB"/>
              </w:rPr>
            </w:pPr>
            <w:r w:rsidRPr="00C1603D">
              <w:rPr>
                <w:lang w:eastAsia="en-GB"/>
              </w:rPr>
              <w:t>1373 (8.5)</w:t>
            </w:r>
          </w:p>
        </w:tc>
        <w:tc>
          <w:tcPr>
            <w:tcW w:w="0" w:type="auto"/>
            <w:shd w:val="clear" w:color="auto" w:fill="auto"/>
            <w:noWrap/>
          </w:tcPr>
          <w:p w14:paraId="059ED044" w14:textId="47F70D9B" w:rsidR="00451537" w:rsidRPr="00C1603D" w:rsidRDefault="00451537" w:rsidP="00703099">
            <w:pPr>
              <w:pStyle w:val="72TabletextTablesTableFigureBoxstyles"/>
              <w:rPr>
                <w:lang w:eastAsia="en-GB"/>
              </w:rPr>
            </w:pPr>
            <w:r w:rsidRPr="00C1603D">
              <w:rPr>
                <w:lang w:eastAsia="en-GB"/>
              </w:rPr>
              <w:t>293 (1.0)</w:t>
            </w:r>
          </w:p>
        </w:tc>
        <w:tc>
          <w:tcPr>
            <w:tcW w:w="0" w:type="auto"/>
            <w:shd w:val="clear" w:color="auto" w:fill="auto"/>
            <w:noWrap/>
          </w:tcPr>
          <w:p w14:paraId="38A87DB3" w14:textId="6BD1DB88" w:rsidR="00451537" w:rsidRPr="00C1603D" w:rsidRDefault="00451537" w:rsidP="00703099">
            <w:pPr>
              <w:pStyle w:val="72TabletextTablesTableFigureBoxstyles"/>
              <w:rPr>
                <w:lang w:eastAsia="en-GB"/>
              </w:rPr>
            </w:pPr>
            <w:r w:rsidRPr="00C1603D">
              <w:rPr>
                <w:lang w:eastAsia="en-GB"/>
              </w:rPr>
              <w:t>218 (3.1)</w:t>
            </w:r>
          </w:p>
        </w:tc>
        <w:tc>
          <w:tcPr>
            <w:tcW w:w="0" w:type="auto"/>
            <w:vMerge w:val="restart"/>
            <w:shd w:val="clear" w:color="auto" w:fill="auto"/>
            <w:noWrap/>
          </w:tcPr>
          <w:p w14:paraId="32EB00F4" w14:textId="77777777" w:rsidR="00451537" w:rsidRPr="00C1603D" w:rsidRDefault="00451537"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C905F63" w14:textId="6CDFE3A5" w:rsidR="00451537" w:rsidRPr="00C1603D" w:rsidRDefault="00451537" w:rsidP="00703099">
            <w:pPr>
              <w:pStyle w:val="72TabletextTablesTableFigureBoxstyles"/>
              <w:rPr>
                <w:lang w:eastAsia="en-GB"/>
              </w:rPr>
            </w:pPr>
            <w:r w:rsidRPr="00C1603D">
              <w:rPr>
                <w:lang w:eastAsia="en-GB"/>
              </w:rPr>
              <w:t>511 (1.5)</w:t>
            </w:r>
          </w:p>
        </w:tc>
      </w:tr>
      <w:tr w:rsidR="00451537" w:rsidRPr="00C1603D" w14:paraId="49436C86" w14:textId="77777777" w:rsidTr="0044057F">
        <w:trPr>
          <w:cantSplit/>
        </w:trPr>
        <w:tc>
          <w:tcPr>
            <w:tcW w:w="0" w:type="auto"/>
            <w:shd w:val="clear" w:color="auto" w:fill="auto"/>
            <w:noWrap/>
          </w:tcPr>
          <w:p w14:paraId="59E4BEC7" w14:textId="24CA9BEA" w:rsidR="00451537" w:rsidRPr="00C1603D" w:rsidRDefault="00451537" w:rsidP="00703099">
            <w:pPr>
              <w:pStyle w:val="72TabletextTablesTableFigureBoxstyles"/>
              <w:rPr>
                <w:lang w:eastAsia="en-GB"/>
              </w:rPr>
            </w:pPr>
            <w:r w:rsidRPr="00C1603D">
              <w:rPr>
                <w:lang w:eastAsia="en-GB"/>
              </w:rPr>
              <w:tab/>
              <w:t>Twice</w:t>
            </w:r>
          </w:p>
        </w:tc>
        <w:tc>
          <w:tcPr>
            <w:tcW w:w="0" w:type="auto"/>
            <w:shd w:val="clear" w:color="auto" w:fill="auto"/>
            <w:noWrap/>
          </w:tcPr>
          <w:p w14:paraId="3777C9BC" w14:textId="642D18DD" w:rsidR="00451537" w:rsidRPr="00C1603D" w:rsidRDefault="00451537" w:rsidP="00703099">
            <w:pPr>
              <w:pStyle w:val="72TabletextTablesTableFigureBoxstyles"/>
              <w:rPr>
                <w:lang w:eastAsia="en-GB"/>
              </w:rPr>
            </w:pPr>
            <w:r w:rsidRPr="00C1603D">
              <w:rPr>
                <w:lang w:eastAsia="en-GB"/>
              </w:rPr>
              <w:t>192 (1.5)</w:t>
            </w:r>
          </w:p>
        </w:tc>
        <w:tc>
          <w:tcPr>
            <w:tcW w:w="0" w:type="auto"/>
            <w:shd w:val="clear" w:color="auto" w:fill="auto"/>
            <w:noWrap/>
          </w:tcPr>
          <w:p w14:paraId="09830B4A" w14:textId="311FD417" w:rsidR="00451537" w:rsidRPr="00C1603D" w:rsidRDefault="00451537" w:rsidP="00703099">
            <w:pPr>
              <w:pStyle w:val="72TabletextTablesTableFigureBoxstyles"/>
              <w:rPr>
                <w:lang w:eastAsia="en-GB"/>
              </w:rPr>
            </w:pPr>
            <w:r w:rsidRPr="00C1603D">
              <w:rPr>
                <w:lang w:eastAsia="en-GB"/>
              </w:rPr>
              <w:t>294 (9.1)</w:t>
            </w:r>
          </w:p>
        </w:tc>
        <w:tc>
          <w:tcPr>
            <w:tcW w:w="0" w:type="auto"/>
            <w:vMerge/>
            <w:noWrap/>
          </w:tcPr>
          <w:p w14:paraId="0354CF22" w14:textId="1D3DE661" w:rsidR="00451537" w:rsidRPr="00C1603D" w:rsidRDefault="00451537" w:rsidP="00703099">
            <w:pPr>
              <w:pStyle w:val="72TabletextTablesTableFigureBoxstyles"/>
              <w:rPr>
                <w:lang w:eastAsia="en-GB"/>
              </w:rPr>
            </w:pPr>
          </w:p>
        </w:tc>
        <w:tc>
          <w:tcPr>
            <w:tcW w:w="0" w:type="auto"/>
            <w:shd w:val="clear" w:color="auto" w:fill="auto"/>
            <w:noWrap/>
          </w:tcPr>
          <w:p w14:paraId="679AF622" w14:textId="2D184F39" w:rsidR="00451537" w:rsidRPr="00C1603D" w:rsidRDefault="00451537" w:rsidP="00703099">
            <w:pPr>
              <w:pStyle w:val="72TabletextTablesTableFigureBoxstyles"/>
              <w:rPr>
                <w:lang w:eastAsia="en-GB"/>
              </w:rPr>
            </w:pPr>
            <w:r w:rsidRPr="00C1603D">
              <w:rPr>
                <w:lang w:eastAsia="en-GB"/>
              </w:rPr>
              <w:t>486 (3.0)</w:t>
            </w:r>
          </w:p>
        </w:tc>
        <w:tc>
          <w:tcPr>
            <w:tcW w:w="0" w:type="auto"/>
            <w:shd w:val="clear" w:color="auto" w:fill="auto"/>
            <w:noWrap/>
          </w:tcPr>
          <w:p w14:paraId="3EE16BB1" w14:textId="18A40185" w:rsidR="00451537" w:rsidRPr="00C1603D" w:rsidRDefault="00451537" w:rsidP="00703099">
            <w:pPr>
              <w:pStyle w:val="72TabletextTablesTableFigureBoxstyles"/>
              <w:rPr>
                <w:lang w:eastAsia="en-GB"/>
              </w:rPr>
            </w:pPr>
            <w:r w:rsidRPr="00C1603D">
              <w:rPr>
                <w:lang w:eastAsia="en-GB"/>
              </w:rPr>
              <w:t>82 (0.3)</w:t>
            </w:r>
          </w:p>
        </w:tc>
        <w:tc>
          <w:tcPr>
            <w:tcW w:w="0" w:type="auto"/>
            <w:shd w:val="clear" w:color="auto" w:fill="auto"/>
            <w:noWrap/>
          </w:tcPr>
          <w:p w14:paraId="68ED4103" w14:textId="66DB0D8D" w:rsidR="00451537" w:rsidRPr="00C1603D" w:rsidRDefault="00451537" w:rsidP="00703099">
            <w:pPr>
              <w:pStyle w:val="72TabletextTablesTableFigureBoxstyles"/>
              <w:rPr>
                <w:lang w:eastAsia="en-GB"/>
              </w:rPr>
            </w:pPr>
            <w:r w:rsidRPr="00C1603D">
              <w:rPr>
                <w:lang w:eastAsia="en-GB"/>
              </w:rPr>
              <w:t>126 (1.8)</w:t>
            </w:r>
          </w:p>
        </w:tc>
        <w:tc>
          <w:tcPr>
            <w:tcW w:w="0" w:type="auto"/>
            <w:vMerge/>
            <w:noWrap/>
          </w:tcPr>
          <w:p w14:paraId="70E3F684" w14:textId="4A3C3A39" w:rsidR="00451537" w:rsidRPr="00C1603D" w:rsidRDefault="00451537" w:rsidP="00703099">
            <w:pPr>
              <w:pStyle w:val="72TabletextTablesTableFigureBoxstyles"/>
              <w:rPr>
                <w:lang w:eastAsia="en-GB"/>
              </w:rPr>
            </w:pPr>
          </w:p>
        </w:tc>
        <w:tc>
          <w:tcPr>
            <w:tcW w:w="0" w:type="auto"/>
            <w:shd w:val="clear" w:color="auto" w:fill="auto"/>
            <w:noWrap/>
          </w:tcPr>
          <w:p w14:paraId="74750B67" w14:textId="7CA3C9F0" w:rsidR="00451537" w:rsidRPr="00C1603D" w:rsidRDefault="00451537" w:rsidP="00703099">
            <w:pPr>
              <w:pStyle w:val="72TabletextTablesTableFigureBoxstyles"/>
              <w:rPr>
                <w:lang w:eastAsia="en-GB"/>
              </w:rPr>
            </w:pPr>
            <w:r w:rsidRPr="00C1603D">
              <w:rPr>
                <w:lang w:eastAsia="en-GB"/>
              </w:rPr>
              <w:t>208 (0.6)</w:t>
            </w:r>
          </w:p>
        </w:tc>
      </w:tr>
      <w:tr w:rsidR="00451537" w:rsidRPr="00C1603D" w14:paraId="1CF2A75B" w14:textId="77777777" w:rsidTr="0044057F">
        <w:trPr>
          <w:cantSplit/>
        </w:trPr>
        <w:tc>
          <w:tcPr>
            <w:tcW w:w="0" w:type="auto"/>
            <w:shd w:val="clear" w:color="auto" w:fill="auto"/>
            <w:noWrap/>
          </w:tcPr>
          <w:p w14:paraId="3AA71F21" w14:textId="0BCC198E" w:rsidR="00451537" w:rsidRPr="00C1603D" w:rsidRDefault="00451537" w:rsidP="00703099">
            <w:pPr>
              <w:pStyle w:val="72TabletextTablesTableFigureBoxstyles"/>
              <w:rPr>
                <w:lang w:eastAsia="en-GB"/>
              </w:rPr>
            </w:pPr>
            <w:r w:rsidRPr="00C1603D">
              <w:rPr>
                <w:lang w:eastAsia="en-GB"/>
              </w:rPr>
              <w:tab/>
              <w:t>Three times</w:t>
            </w:r>
          </w:p>
        </w:tc>
        <w:tc>
          <w:tcPr>
            <w:tcW w:w="0" w:type="auto"/>
            <w:shd w:val="clear" w:color="auto" w:fill="auto"/>
            <w:noWrap/>
          </w:tcPr>
          <w:p w14:paraId="386215A6" w14:textId="3286F5B9" w:rsidR="00451537" w:rsidRPr="00C1603D" w:rsidRDefault="00451537" w:rsidP="00703099">
            <w:pPr>
              <w:pStyle w:val="72TabletextTablesTableFigureBoxstyles"/>
              <w:rPr>
                <w:lang w:eastAsia="en-GB"/>
              </w:rPr>
            </w:pPr>
            <w:r w:rsidRPr="00C1603D">
              <w:rPr>
                <w:lang w:eastAsia="en-GB"/>
              </w:rPr>
              <w:t>55 (0.4)</w:t>
            </w:r>
          </w:p>
        </w:tc>
        <w:tc>
          <w:tcPr>
            <w:tcW w:w="0" w:type="auto"/>
            <w:shd w:val="clear" w:color="auto" w:fill="auto"/>
            <w:noWrap/>
          </w:tcPr>
          <w:p w14:paraId="25E540EC" w14:textId="7E8D85A8" w:rsidR="00451537" w:rsidRPr="00C1603D" w:rsidRDefault="00451537" w:rsidP="00703099">
            <w:pPr>
              <w:pStyle w:val="72TabletextTablesTableFigureBoxstyles"/>
              <w:rPr>
                <w:lang w:eastAsia="en-GB"/>
              </w:rPr>
            </w:pPr>
            <w:r w:rsidRPr="00C1603D">
              <w:rPr>
                <w:lang w:eastAsia="en-GB"/>
              </w:rPr>
              <w:t>154 (4.8)</w:t>
            </w:r>
          </w:p>
        </w:tc>
        <w:tc>
          <w:tcPr>
            <w:tcW w:w="0" w:type="auto"/>
            <w:vMerge/>
            <w:noWrap/>
          </w:tcPr>
          <w:p w14:paraId="66F85960" w14:textId="6ABBDD72" w:rsidR="00451537" w:rsidRPr="00C1603D" w:rsidRDefault="00451537" w:rsidP="00703099">
            <w:pPr>
              <w:pStyle w:val="72TabletextTablesTableFigureBoxstyles"/>
              <w:rPr>
                <w:lang w:eastAsia="en-GB"/>
              </w:rPr>
            </w:pPr>
          </w:p>
        </w:tc>
        <w:tc>
          <w:tcPr>
            <w:tcW w:w="0" w:type="auto"/>
            <w:shd w:val="clear" w:color="auto" w:fill="auto"/>
            <w:noWrap/>
          </w:tcPr>
          <w:p w14:paraId="6089A831" w14:textId="164D7ADD" w:rsidR="00451537" w:rsidRPr="00C1603D" w:rsidRDefault="00451537" w:rsidP="00703099">
            <w:pPr>
              <w:pStyle w:val="72TabletextTablesTableFigureBoxstyles"/>
              <w:rPr>
                <w:lang w:eastAsia="en-GB"/>
              </w:rPr>
            </w:pPr>
            <w:r w:rsidRPr="00C1603D">
              <w:rPr>
                <w:lang w:eastAsia="en-GB"/>
              </w:rPr>
              <w:t>209 (1.3)</w:t>
            </w:r>
          </w:p>
        </w:tc>
        <w:tc>
          <w:tcPr>
            <w:tcW w:w="0" w:type="auto"/>
            <w:shd w:val="clear" w:color="auto" w:fill="auto"/>
            <w:noWrap/>
          </w:tcPr>
          <w:p w14:paraId="1C06445B" w14:textId="356F3B70" w:rsidR="00451537" w:rsidRPr="00C1603D" w:rsidRDefault="00451537" w:rsidP="00703099">
            <w:pPr>
              <w:pStyle w:val="72TabletextTablesTableFigureBoxstyles"/>
              <w:rPr>
                <w:lang w:eastAsia="en-GB"/>
              </w:rPr>
            </w:pPr>
            <w:r w:rsidRPr="00C1603D">
              <w:rPr>
                <w:lang w:eastAsia="en-GB"/>
              </w:rPr>
              <w:t>24 (0.1)</w:t>
            </w:r>
          </w:p>
        </w:tc>
        <w:tc>
          <w:tcPr>
            <w:tcW w:w="0" w:type="auto"/>
            <w:shd w:val="clear" w:color="auto" w:fill="auto"/>
            <w:noWrap/>
          </w:tcPr>
          <w:p w14:paraId="377927C2" w14:textId="074818A6" w:rsidR="00451537" w:rsidRPr="00C1603D" w:rsidRDefault="00451537" w:rsidP="00703099">
            <w:pPr>
              <w:pStyle w:val="72TabletextTablesTableFigureBoxstyles"/>
              <w:rPr>
                <w:lang w:eastAsia="en-GB"/>
              </w:rPr>
            </w:pPr>
            <w:r w:rsidRPr="00C1603D">
              <w:rPr>
                <w:lang w:eastAsia="en-GB"/>
              </w:rPr>
              <w:t>60 (0.9)</w:t>
            </w:r>
          </w:p>
        </w:tc>
        <w:tc>
          <w:tcPr>
            <w:tcW w:w="0" w:type="auto"/>
            <w:vMerge/>
            <w:noWrap/>
          </w:tcPr>
          <w:p w14:paraId="3DF70901" w14:textId="03927BDF" w:rsidR="00451537" w:rsidRPr="00C1603D" w:rsidRDefault="00451537" w:rsidP="00703099">
            <w:pPr>
              <w:pStyle w:val="72TabletextTablesTableFigureBoxstyles"/>
              <w:rPr>
                <w:lang w:eastAsia="en-GB"/>
              </w:rPr>
            </w:pPr>
          </w:p>
        </w:tc>
        <w:tc>
          <w:tcPr>
            <w:tcW w:w="0" w:type="auto"/>
            <w:shd w:val="clear" w:color="auto" w:fill="auto"/>
            <w:noWrap/>
          </w:tcPr>
          <w:p w14:paraId="492148CC" w14:textId="73E64D6D" w:rsidR="00451537" w:rsidRPr="00C1603D" w:rsidRDefault="00451537" w:rsidP="00703099">
            <w:pPr>
              <w:pStyle w:val="72TabletextTablesTableFigureBoxstyles"/>
              <w:rPr>
                <w:lang w:eastAsia="en-GB"/>
              </w:rPr>
            </w:pPr>
            <w:r w:rsidRPr="00C1603D">
              <w:rPr>
                <w:lang w:eastAsia="en-GB"/>
              </w:rPr>
              <w:t>84 (0.2)</w:t>
            </w:r>
          </w:p>
        </w:tc>
      </w:tr>
      <w:tr w:rsidR="00451537" w:rsidRPr="00C1603D" w14:paraId="34D26ED6" w14:textId="77777777" w:rsidTr="0044057F">
        <w:trPr>
          <w:cantSplit/>
        </w:trPr>
        <w:tc>
          <w:tcPr>
            <w:tcW w:w="0" w:type="auto"/>
            <w:shd w:val="clear" w:color="auto" w:fill="auto"/>
            <w:noWrap/>
          </w:tcPr>
          <w:p w14:paraId="240B2175" w14:textId="2FFD233F" w:rsidR="00451537" w:rsidRPr="00C1603D" w:rsidRDefault="00451537" w:rsidP="00703099">
            <w:pPr>
              <w:pStyle w:val="72TabletextTablesTableFigureBoxstyles"/>
              <w:rPr>
                <w:lang w:eastAsia="en-GB"/>
              </w:rPr>
            </w:pPr>
            <w:r w:rsidRPr="00C1603D">
              <w:rPr>
                <w:lang w:eastAsia="en-GB"/>
              </w:rPr>
              <w:tab/>
              <w:t>Four times</w:t>
            </w:r>
          </w:p>
        </w:tc>
        <w:tc>
          <w:tcPr>
            <w:tcW w:w="0" w:type="auto"/>
            <w:shd w:val="clear" w:color="auto" w:fill="auto"/>
            <w:noWrap/>
          </w:tcPr>
          <w:p w14:paraId="5A0F3F59" w14:textId="6535467B" w:rsidR="00451537" w:rsidRPr="00C1603D" w:rsidRDefault="00451537" w:rsidP="00703099">
            <w:pPr>
              <w:pStyle w:val="72TabletextTablesTableFigureBoxstyles"/>
              <w:rPr>
                <w:lang w:eastAsia="en-GB"/>
              </w:rPr>
            </w:pPr>
            <w:r w:rsidRPr="00C1603D">
              <w:rPr>
                <w:lang w:eastAsia="en-GB"/>
              </w:rPr>
              <w:t>52 (0.4)</w:t>
            </w:r>
          </w:p>
        </w:tc>
        <w:tc>
          <w:tcPr>
            <w:tcW w:w="0" w:type="auto"/>
            <w:shd w:val="clear" w:color="auto" w:fill="auto"/>
            <w:noWrap/>
          </w:tcPr>
          <w:p w14:paraId="15FE1BDE" w14:textId="47DDCE80" w:rsidR="00451537" w:rsidRPr="00C1603D" w:rsidRDefault="00451537" w:rsidP="00703099">
            <w:pPr>
              <w:pStyle w:val="72TabletextTablesTableFigureBoxstyles"/>
              <w:rPr>
                <w:lang w:eastAsia="en-GB"/>
              </w:rPr>
            </w:pPr>
            <w:r w:rsidRPr="00C1603D">
              <w:rPr>
                <w:lang w:eastAsia="en-GB"/>
              </w:rPr>
              <w:t>203 (6.3)</w:t>
            </w:r>
          </w:p>
        </w:tc>
        <w:tc>
          <w:tcPr>
            <w:tcW w:w="0" w:type="auto"/>
            <w:vMerge/>
            <w:noWrap/>
          </w:tcPr>
          <w:p w14:paraId="507FC1A7" w14:textId="442B3FD2" w:rsidR="00451537" w:rsidRPr="00C1603D" w:rsidRDefault="00451537" w:rsidP="00703099">
            <w:pPr>
              <w:pStyle w:val="72TabletextTablesTableFigureBoxstyles"/>
              <w:rPr>
                <w:lang w:eastAsia="en-GB"/>
              </w:rPr>
            </w:pPr>
          </w:p>
        </w:tc>
        <w:tc>
          <w:tcPr>
            <w:tcW w:w="0" w:type="auto"/>
            <w:shd w:val="clear" w:color="auto" w:fill="auto"/>
            <w:noWrap/>
          </w:tcPr>
          <w:p w14:paraId="503511BD" w14:textId="2347DAF8" w:rsidR="00451537" w:rsidRPr="00C1603D" w:rsidRDefault="00451537" w:rsidP="00703099">
            <w:pPr>
              <w:pStyle w:val="72TabletextTablesTableFigureBoxstyles"/>
              <w:rPr>
                <w:lang w:eastAsia="en-GB"/>
              </w:rPr>
            </w:pPr>
            <w:r w:rsidRPr="00C1603D">
              <w:rPr>
                <w:lang w:eastAsia="en-GB"/>
              </w:rPr>
              <w:t>255 (1.6)</w:t>
            </w:r>
          </w:p>
        </w:tc>
        <w:tc>
          <w:tcPr>
            <w:tcW w:w="0" w:type="auto"/>
            <w:shd w:val="clear" w:color="auto" w:fill="auto"/>
            <w:noWrap/>
          </w:tcPr>
          <w:p w14:paraId="1EF652FC" w14:textId="16A8271A" w:rsidR="00451537" w:rsidRPr="00C1603D" w:rsidRDefault="00451537" w:rsidP="00703099">
            <w:pPr>
              <w:pStyle w:val="72TabletextTablesTableFigureBoxstyles"/>
              <w:rPr>
                <w:lang w:eastAsia="en-GB"/>
              </w:rPr>
            </w:pPr>
            <w:r w:rsidRPr="00C1603D">
              <w:rPr>
                <w:lang w:eastAsia="en-GB"/>
              </w:rPr>
              <w:t>39 (0.1)</w:t>
            </w:r>
          </w:p>
        </w:tc>
        <w:tc>
          <w:tcPr>
            <w:tcW w:w="0" w:type="auto"/>
            <w:shd w:val="clear" w:color="auto" w:fill="auto"/>
            <w:noWrap/>
          </w:tcPr>
          <w:p w14:paraId="6ADA406C" w14:textId="4BF0BD1A" w:rsidR="00451537" w:rsidRPr="00C1603D" w:rsidRDefault="00451537" w:rsidP="00703099">
            <w:pPr>
              <w:pStyle w:val="72TabletextTablesTableFigureBoxstyles"/>
              <w:rPr>
                <w:lang w:eastAsia="en-GB"/>
              </w:rPr>
            </w:pPr>
            <w:r w:rsidRPr="00C1603D">
              <w:rPr>
                <w:lang w:eastAsia="en-GB"/>
              </w:rPr>
              <w:t>98 (1.4)</w:t>
            </w:r>
          </w:p>
        </w:tc>
        <w:tc>
          <w:tcPr>
            <w:tcW w:w="0" w:type="auto"/>
            <w:vMerge/>
            <w:noWrap/>
          </w:tcPr>
          <w:p w14:paraId="51E655E3" w14:textId="25A6C15A" w:rsidR="00451537" w:rsidRPr="00C1603D" w:rsidRDefault="00451537" w:rsidP="00703099">
            <w:pPr>
              <w:pStyle w:val="72TabletextTablesTableFigureBoxstyles"/>
              <w:rPr>
                <w:lang w:eastAsia="en-GB"/>
              </w:rPr>
            </w:pPr>
          </w:p>
        </w:tc>
        <w:tc>
          <w:tcPr>
            <w:tcW w:w="0" w:type="auto"/>
            <w:shd w:val="clear" w:color="auto" w:fill="auto"/>
            <w:noWrap/>
          </w:tcPr>
          <w:p w14:paraId="0C79B99D" w14:textId="6D93722C" w:rsidR="00451537" w:rsidRPr="00C1603D" w:rsidRDefault="00451537" w:rsidP="00703099">
            <w:pPr>
              <w:pStyle w:val="72TabletextTablesTableFigureBoxstyles"/>
              <w:rPr>
                <w:lang w:eastAsia="en-GB"/>
              </w:rPr>
            </w:pPr>
            <w:r w:rsidRPr="00C1603D">
              <w:rPr>
                <w:lang w:eastAsia="en-GB"/>
              </w:rPr>
              <w:t>137 (0.4)</w:t>
            </w:r>
          </w:p>
        </w:tc>
      </w:tr>
      <w:tr w:rsidR="008B4DF8" w:rsidRPr="00C1603D" w14:paraId="0CA518B7" w14:textId="77777777" w:rsidTr="0044057F">
        <w:trPr>
          <w:cantSplit/>
        </w:trPr>
        <w:tc>
          <w:tcPr>
            <w:tcW w:w="0" w:type="auto"/>
            <w:gridSpan w:val="9"/>
            <w:shd w:val="clear" w:color="auto" w:fill="auto"/>
            <w:noWrap/>
          </w:tcPr>
          <w:p w14:paraId="07F2E76E" w14:textId="09604082" w:rsidR="008B4DF8" w:rsidRPr="00C1603D" w:rsidRDefault="00C82170" w:rsidP="00451537">
            <w:pPr>
              <w:pStyle w:val="72TabletextTablesTableFigureBoxstyles"/>
              <w:rPr>
                <w:lang w:eastAsia="en-GB"/>
              </w:rPr>
            </w:pPr>
            <w:r w:rsidRPr="00C1603D">
              <w:rPr>
                <w:lang w:eastAsia="en-GB"/>
              </w:rPr>
              <w:t>IBS</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6F9CDD85" w14:textId="77777777" w:rsidTr="0044057F">
        <w:trPr>
          <w:cantSplit/>
        </w:trPr>
        <w:tc>
          <w:tcPr>
            <w:tcW w:w="0" w:type="auto"/>
            <w:shd w:val="clear" w:color="auto" w:fill="auto"/>
            <w:noWrap/>
          </w:tcPr>
          <w:p w14:paraId="34B1EF56" w14:textId="4C976E41"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9377B54" w14:textId="4C8FF91F" w:rsidR="008B4DF8" w:rsidRPr="00C1603D" w:rsidRDefault="008B4DF8" w:rsidP="00703099">
            <w:pPr>
              <w:pStyle w:val="72TabletextTablesTableFigureBoxstyles"/>
              <w:rPr>
                <w:lang w:eastAsia="en-GB"/>
              </w:rPr>
            </w:pPr>
            <w:r w:rsidRPr="00C1603D">
              <w:rPr>
                <w:lang w:eastAsia="en-GB"/>
              </w:rPr>
              <w:t>20 (0.2)</w:t>
            </w:r>
          </w:p>
        </w:tc>
        <w:tc>
          <w:tcPr>
            <w:tcW w:w="0" w:type="auto"/>
            <w:shd w:val="clear" w:color="auto" w:fill="auto"/>
            <w:noWrap/>
          </w:tcPr>
          <w:p w14:paraId="50830B20" w14:textId="4A54ECE8" w:rsidR="008B4DF8" w:rsidRPr="00C1603D" w:rsidRDefault="008B4DF8" w:rsidP="00703099">
            <w:pPr>
              <w:pStyle w:val="72TabletextTablesTableFigureBoxstyles"/>
              <w:rPr>
                <w:lang w:eastAsia="en-GB"/>
              </w:rPr>
            </w:pPr>
            <w:r w:rsidRPr="00C1603D">
              <w:rPr>
                <w:lang w:eastAsia="en-GB"/>
              </w:rPr>
              <w:t>29 (0.9)</w:t>
            </w:r>
          </w:p>
        </w:tc>
        <w:tc>
          <w:tcPr>
            <w:tcW w:w="0" w:type="auto"/>
            <w:shd w:val="clear" w:color="auto" w:fill="auto"/>
            <w:noWrap/>
          </w:tcPr>
          <w:p w14:paraId="4E4E9AA6"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88FABD8" w14:textId="37116789" w:rsidR="008B4DF8" w:rsidRPr="00C1603D" w:rsidRDefault="008B4DF8" w:rsidP="00703099">
            <w:pPr>
              <w:pStyle w:val="72TabletextTablesTableFigureBoxstyles"/>
              <w:rPr>
                <w:lang w:eastAsia="en-GB"/>
              </w:rPr>
            </w:pPr>
            <w:r w:rsidRPr="00C1603D">
              <w:rPr>
                <w:lang w:eastAsia="en-GB"/>
              </w:rPr>
              <w:t>49 (0.3)</w:t>
            </w:r>
          </w:p>
        </w:tc>
        <w:tc>
          <w:tcPr>
            <w:tcW w:w="0" w:type="auto"/>
            <w:shd w:val="clear" w:color="auto" w:fill="auto"/>
            <w:noWrap/>
          </w:tcPr>
          <w:p w14:paraId="7AC059A1" w14:textId="31BDB1C9" w:rsidR="008B4DF8" w:rsidRPr="00C1603D" w:rsidRDefault="008B4DF8" w:rsidP="00703099">
            <w:pPr>
              <w:pStyle w:val="72TabletextTablesTableFigureBoxstyles"/>
              <w:rPr>
                <w:lang w:eastAsia="en-GB"/>
              </w:rPr>
            </w:pPr>
            <w:r w:rsidRPr="00C1603D">
              <w:rPr>
                <w:lang w:eastAsia="en-GB"/>
              </w:rPr>
              <w:t>6 (0.0)</w:t>
            </w:r>
          </w:p>
        </w:tc>
        <w:tc>
          <w:tcPr>
            <w:tcW w:w="0" w:type="auto"/>
            <w:shd w:val="clear" w:color="auto" w:fill="auto"/>
            <w:noWrap/>
          </w:tcPr>
          <w:p w14:paraId="403B5F5D" w14:textId="555A3CA4" w:rsidR="008B4DF8" w:rsidRPr="00C1603D" w:rsidRDefault="008B4DF8" w:rsidP="00703099">
            <w:pPr>
              <w:pStyle w:val="72TabletextTablesTableFigureBoxstyles"/>
              <w:rPr>
                <w:lang w:eastAsia="en-GB"/>
              </w:rPr>
            </w:pPr>
            <w:r w:rsidRPr="00C1603D">
              <w:rPr>
                <w:lang w:eastAsia="en-GB"/>
              </w:rPr>
              <w:t>12 (0.2)</w:t>
            </w:r>
          </w:p>
        </w:tc>
        <w:tc>
          <w:tcPr>
            <w:tcW w:w="0" w:type="auto"/>
            <w:shd w:val="clear" w:color="auto" w:fill="auto"/>
            <w:noWrap/>
          </w:tcPr>
          <w:p w14:paraId="40C63F96"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0823E4E" w14:textId="01D54A81" w:rsidR="008B4DF8" w:rsidRPr="00C1603D" w:rsidRDefault="008B4DF8" w:rsidP="00703099">
            <w:pPr>
              <w:pStyle w:val="72TabletextTablesTableFigureBoxstyles"/>
              <w:rPr>
                <w:lang w:eastAsia="en-GB"/>
              </w:rPr>
            </w:pPr>
            <w:r w:rsidRPr="00C1603D">
              <w:rPr>
                <w:lang w:eastAsia="en-GB"/>
              </w:rPr>
              <w:t>18 (0.1)</w:t>
            </w:r>
          </w:p>
        </w:tc>
      </w:tr>
      <w:tr w:rsidR="008B4DF8" w:rsidRPr="00C1603D" w14:paraId="2DBADB45" w14:textId="77777777" w:rsidTr="0044057F">
        <w:trPr>
          <w:cantSplit/>
        </w:trPr>
        <w:tc>
          <w:tcPr>
            <w:tcW w:w="0" w:type="auto"/>
            <w:gridSpan w:val="9"/>
            <w:shd w:val="clear" w:color="auto" w:fill="auto"/>
            <w:noWrap/>
          </w:tcPr>
          <w:p w14:paraId="6FEB3771" w14:textId="686D81D6" w:rsidR="008B4DF8" w:rsidRPr="00C1603D" w:rsidRDefault="008B4DF8" w:rsidP="00451537">
            <w:pPr>
              <w:pStyle w:val="72TabletextTablesTableFigureBoxstyles"/>
              <w:rPr>
                <w:lang w:eastAsia="en-GB"/>
              </w:rPr>
            </w:pPr>
            <w:r w:rsidRPr="00C1603D">
              <w:rPr>
                <w:lang w:eastAsia="en-GB"/>
              </w:rPr>
              <w:t>IgA deficiency</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6F7D5DE9" w14:textId="77777777" w:rsidTr="0044057F">
        <w:trPr>
          <w:cantSplit/>
        </w:trPr>
        <w:tc>
          <w:tcPr>
            <w:tcW w:w="0" w:type="auto"/>
            <w:shd w:val="clear" w:color="auto" w:fill="auto"/>
            <w:noWrap/>
          </w:tcPr>
          <w:p w14:paraId="747AAB39" w14:textId="4C1AE0DC"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1079CA6" w14:textId="6E97F20E" w:rsidR="008B4DF8" w:rsidRPr="00C1603D" w:rsidRDefault="008B4DF8" w:rsidP="00703099">
            <w:pPr>
              <w:pStyle w:val="72TabletextTablesTableFigureBoxstyles"/>
              <w:rPr>
                <w:lang w:eastAsia="en-GB"/>
              </w:rPr>
            </w:pPr>
            <w:r w:rsidRPr="00C1603D">
              <w:rPr>
                <w:lang w:eastAsia="en-GB"/>
              </w:rPr>
              <w:t>0 (0)</w:t>
            </w:r>
          </w:p>
        </w:tc>
        <w:tc>
          <w:tcPr>
            <w:tcW w:w="0" w:type="auto"/>
            <w:shd w:val="clear" w:color="auto" w:fill="auto"/>
            <w:noWrap/>
          </w:tcPr>
          <w:p w14:paraId="3C11585C" w14:textId="562DEFF5" w:rsidR="008B4DF8" w:rsidRPr="00C1603D" w:rsidRDefault="008B4DF8" w:rsidP="00703099">
            <w:pPr>
              <w:pStyle w:val="72TabletextTablesTableFigureBoxstyles"/>
              <w:rPr>
                <w:lang w:eastAsia="en-GB"/>
              </w:rPr>
            </w:pPr>
            <w:r w:rsidRPr="00C1603D">
              <w:rPr>
                <w:lang w:eastAsia="en-GB"/>
              </w:rPr>
              <w:t>4 (0.1)</w:t>
            </w:r>
          </w:p>
        </w:tc>
        <w:tc>
          <w:tcPr>
            <w:tcW w:w="0" w:type="auto"/>
            <w:shd w:val="clear" w:color="auto" w:fill="auto"/>
            <w:noWrap/>
          </w:tcPr>
          <w:p w14:paraId="007782EA"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3E5F50C" w14:textId="3B5B77ED" w:rsidR="008B4DF8" w:rsidRPr="00C1603D" w:rsidRDefault="008B4DF8" w:rsidP="00703099">
            <w:pPr>
              <w:pStyle w:val="72TabletextTablesTableFigureBoxstyles"/>
              <w:rPr>
                <w:lang w:eastAsia="en-GB"/>
              </w:rPr>
            </w:pPr>
            <w:r w:rsidRPr="00C1603D">
              <w:rPr>
                <w:lang w:eastAsia="en-GB"/>
              </w:rPr>
              <w:t>4 (0.0)</w:t>
            </w:r>
          </w:p>
        </w:tc>
        <w:tc>
          <w:tcPr>
            <w:tcW w:w="0" w:type="auto"/>
            <w:shd w:val="clear" w:color="auto" w:fill="auto"/>
            <w:noWrap/>
          </w:tcPr>
          <w:p w14:paraId="27F67D04" w14:textId="3F14847B" w:rsidR="008B4DF8" w:rsidRPr="00C1603D" w:rsidRDefault="008B4DF8" w:rsidP="00703099">
            <w:pPr>
              <w:pStyle w:val="72TabletextTablesTableFigureBoxstyles"/>
              <w:rPr>
                <w:lang w:eastAsia="en-GB"/>
              </w:rPr>
            </w:pPr>
            <w:r w:rsidRPr="00C1603D">
              <w:rPr>
                <w:lang w:eastAsia="en-GB"/>
              </w:rPr>
              <w:t>1 (0.0)</w:t>
            </w:r>
          </w:p>
        </w:tc>
        <w:tc>
          <w:tcPr>
            <w:tcW w:w="0" w:type="auto"/>
            <w:shd w:val="clear" w:color="auto" w:fill="auto"/>
            <w:noWrap/>
          </w:tcPr>
          <w:p w14:paraId="3626D582" w14:textId="112B442B" w:rsidR="008B4DF8" w:rsidRPr="00C1603D" w:rsidRDefault="008B4DF8" w:rsidP="00703099">
            <w:pPr>
              <w:pStyle w:val="72TabletextTablesTableFigureBoxstyles"/>
              <w:rPr>
                <w:lang w:eastAsia="en-GB"/>
              </w:rPr>
            </w:pPr>
            <w:r w:rsidRPr="00C1603D">
              <w:rPr>
                <w:lang w:eastAsia="en-GB"/>
              </w:rPr>
              <w:t>4 (0.1)</w:t>
            </w:r>
          </w:p>
        </w:tc>
        <w:tc>
          <w:tcPr>
            <w:tcW w:w="0" w:type="auto"/>
            <w:shd w:val="clear" w:color="auto" w:fill="auto"/>
            <w:noWrap/>
          </w:tcPr>
          <w:p w14:paraId="0AD9A89F" w14:textId="77777777" w:rsidR="008B4DF8" w:rsidRPr="00C1603D" w:rsidRDefault="008B4DF8" w:rsidP="00703099">
            <w:pPr>
              <w:pStyle w:val="72TabletextTablesTableFigureBoxstyles"/>
              <w:rPr>
                <w:lang w:eastAsia="en-GB"/>
              </w:rPr>
            </w:pPr>
            <w:r w:rsidRPr="00C1603D">
              <w:rPr>
                <w:lang w:eastAsia="en-GB"/>
              </w:rPr>
              <w:t>0.005</w:t>
            </w:r>
          </w:p>
        </w:tc>
        <w:tc>
          <w:tcPr>
            <w:tcW w:w="0" w:type="auto"/>
            <w:shd w:val="clear" w:color="auto" w:fill="auto"/>
            <w:noWrap/>
          </w:tcPr>
          <w:p w14:paraId="5B268306" w14:textId="43E2E529" w:rsidR="008B4DF8" w:rsidRPr="00C1603D" w:rsidRDefault="008B4DF8" w:rsidP="00703099">
            <w:pPr>
              <w:pStyle w:val="72TabletextTablesTableFigureBoxstyles"/>
              <w:rPr>
                <w:lang w:eastAsia="en-GB"/>
              </w:rPr>
            </w:pPr>
            <w:r w:rsidRPr="00C1603D">
              <w:rPr>
                <w:lang w:eastAsia="en-GB"/>
              </w:rPr>
              <w:t>5 (0.0)</w:t>
            </w:r>
          </w:p>
        </w:tc>
      </w:tr>
      <w:tr w:rsidR="008B4DF8" w:rsidRPr="00C1603D" w14:paraId="0F859EE5" w14:textId="77777777" w:rsidTr="0044057F">
        <w:trPr>
          <w:cantSplit/>
        </w:trPr>
        <w:tc>
          <w:tcPr>
            <w:tcW w:w="0" w:type="auto"/>
            <w:gridSpan w:val="9"/>
            <w:shd w:val="clear" w:color="auto" w:fill="auto"/>
            <w:noWrap/>
          </w:tcPr>
          <w:p w14:paraId="3788A097" w14:textId="3E3123E6" w:rsidR="008B4DF8" w:rsidRPr="00C1603D" w:rsidRDefault="008B4DF8" w:rsidP="00451537">
            <w:pPr>
              <w:pStyle w:val="72TabletextTablesTableFigureBoxstyles"/>
              <w:rPr>
                <w:lang w:eastAsia="en-GB"/>
              </w:rPr>
            </w:pPr>
            <w:r w:rsidRPr="00C1603D">
              <w:rPr>
                <w:lang w:eastAsia="en-GB"/>
              </w:rPr>
              <w:t>Iron, vit</w:t>
            </w:r>
            <w:r w:rsidR="00114B44" w:rsidRPr="00C1603D">
              <w:rPr>
                <w:lang w:eastAsia="en-GB"/>
              </w:rPr>
              <w:t>amin</w:t>
            </w:r>
            <w:r w:rsidRPr="00C1603D">
              <w:rPr>
                <w:lang w:eastAsia="en-GB"/>
              </w:rPr>
              <w:t xml:space="preserve"> B</w:t>
            </w:r>
            <w:r w:rsidRPr="00C1603D">
              <w:rPr>
                <w:vertAlign w:val="subscript"/>
                <w:lang w:eastAsia="en-GB"/>
              </w:rPr>
              <w:t>12</w:t>
            </w:r>
            <w:r w:rsidRPr="00C1603D">
              <w:rPr>
                <w:lang w:eastAsia="en-GB"/>
              </w:rPr>
              <w:t xml:space="preserve"> or folate deficiency</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37322C30" w14:textId="77777777" w:rsidTr="0044057F">
        <w:trPr>
          <w:cantSplit/>
        </w:trPr>
        <w:tc>
          <w:tcPr>
            <w:tcW w:w="0" w:type="auto"/>
            <w:shd w:val="clear" w:color="auto" w:fill="auto"/>
            <w:noWrap/>
          </w:tcPr>
          <w:p w14:paraId="142D6919" w14:textId="7E3B0F6F"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D259683" w14:textId="727E30EE" w:rsidR="008B4DF8" w:rsidRPr="00C1603D" w:rsidRDefault="008B4DF8" w:rsidP="00703099">
            <w:pPr>
              <w:pStyle w:val="72TabletextTablesTableFigureBoxstyles"/>
              <w:rPr>
                <w:lang w:eastAsia="en-GB"/>
              </w:rPr>
            </w:pPr>
            <w:r w:rsidRPr="00C1603D">
              <w:rPr>
                <w:lang w:eastAsia="en-GB"/>
              </w:rPr>
              <w:t>8 (0.1)</w:t>
            </w:r>
          </w:p>
        </w:tc>
        <w:tc>
          <w:tcPr>
            <w:tcW w:w="0" w:type="auto"/>
            <w:shd w:val="clear" w:color="auto" w:fill="auto"/>
            <w:noWrap/>
          </w:tcPr>
          <w:p w14:paraId="160BDC6F" w14:textId="6E280EE6" w:rsidR="008B4DF8" w:rsidRPr="00C1603D" w:rsidRDefault="008B4DF8" w:rsidP="00703099">
            <w:pPr>
              <w:pStyle w:val="72TabletextTablesTableFigureBoxstyles"/>
              <w:rPr>
                <w:lang w:eastAsia="en-GB"/>
              </w:rPr>
            </w:pPr>
            <w:r w:rsidRPr="00C1603D">
              <w:rPr>
                <w:lang w:eastAsia="en-GB"/>
              </w:rPr>
              <w:t>35 (1.1)</w:t>
            </w:r>
          </w:p>
        </w:tc>
        <w:tc>
          <w:tcPr>
            <w:tcW w:w="0" w:type="auto"/>
            <w:shd w:val="clear" w:color="auto" w:fill="auto"/>
            <w:noWrap/>
          </w:tcPr>
          <w:p w14:paraId="601454AE"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701868F" w14:textId="11D071E3" w:rsidR="008B4DF8" w:rsidRPr="00C1603D" w:rsidRDefault="008B4DF8" w:rsidP="00703099">
            <w:pPr>
              <w:pStyle w:val="72TabletextTablesTableFigureBoxstyles"/>
              <w:rPr>
                <w:lang w:eastAsia="en-GB"/>
              </w:rPr>
            </w:pPr>
            <w:r w:rsidRPr="00C1603D">
              <w:rPr>
                <w:lang w:eastAsia="en-GB"/>
              </w:rPr>
              <w:t>43 (0.3)</w:t>
            </w:r>
          </w:p>
        </w:tc>
        <w:tc>
          <w:tcPr>
            <w:tcW w:w="0" w:type="auto"/>
            <w:shd w:val="clear" w:color="auto" w:fill="auto"/>
            <w:noWrap/>
          </w:tcPr>
          <w:p w14:paraId="6093CC47" w14:textId="04ADCD56" w:rsidR="008B4DF8" w:rsidRPr="00C1603D" w:rsidRDefault="008B4DF8" w:rsidP="00703099">
            <w:pPr>
              <w:pStyle w:val="72TabletextTablesTableFigureBoxstyles"/>
              <w:rPr>
                <w:lang w:eastAsia="en-GB"/>
              </w:rPr>
            </w:pPr>
            <w:r w:rsidRPr="00C1603D">
              <w:rPr>
                <w:lang w:eastAsia="en-GB"/>
              </w:rPr>
              <w:t>8 (0.0)</w:t>
            </w:r>
          </w:p>
        </w:tc>
        <w:tc>
          <w:tcPr>
            <w:tcW w:w="0" w:type="auto"/>
            <w:shd w:val="clear" w:color="auto" w:fill="auto"/>
            <w:noWrap/>
          </w:tcPr>
          <w:p w14:paraId="21109FB4" w14:textId="1AAB14BE" w:rsidR="008B4DF8" w:rsidRPr="00C1603D" w:rsidRDefault="008B4DF8" w:rsidP="00703099">
            <w:pPr>
              <w:pStyle w:val="72TabletextTablesTableFigureBoxstyles"/>
              <w:rPr>
                <w:lang w:eastAsia="en-GB"/>
              </w:rPr>
            </w:pPr>
            <w:r w:rsidRPr="00C1603D">
              <w:rPr>
                <w:lang w:eastAsia="en-GB"/>
              </w:rPr>
              <w:t>24 (0.3)</w:t>
            </w:r>
          </w:p>
        </w:tc>
        <w:tc>
          <w:tcPr>
            <w:tcW w:w="0" w:type="auto"/>
            <w:shd w:val="clear" w:color="auto" w:fill="auto"/>
            <w:noWrap/>
          </w:tcPr>
          <w:p w14:paraId="15CB830D"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B6F4837" w14:textId="30476EDA" w:rsidR="008B4DF8" w:rsidRPr="00C1603D" w:rsidRDefault="008B4DF8" w:rsidP="00703099">
            <w:pPr>
              <w:pStyle w:val="72TabletextTablesTableFigureBoxstyles"/>
              <w:rPr>
                <w:lang w:eastAsia="en-GB"/>
              </w:rPr>
            </w:pPr>
            <w:r w:rsidRPr="00C1603D">
              <w:rPr>
                <w:lang w:eastAsia="en-GB"/>
              </w:rPr>
              <w:t>32 (0.1)</w:t>
            </w:r>
          </w:p>
        </w:tc>
      </w:tr>
      <w:tr w:rsidR="008B4DF8" w:rsidRPr="00C1603D" w14:paraId="21045368" w14:textId="77777777" w:rsidTr="0044057F">
        <w:trPr>
          <w:cantSplit/>
        </w:trPr>
        <w:tc>
          <w:tcPr>
            <w:tcW w:w="0" w:type="auto"/>
            <w:gridSpan w:val="9"/>
            <w:shd w:val="clear" w:color="auto" w:fill="auto"/>
            <w:noWrap/>
          </w:tcPr>
          <w:p w14:paraId="1AD60ED9" w14:textId="3ACC1035" w:rsidR="008B4DF8" w:rsidRPr="00C1603D" w:rsidRDefault="008B4DF8" w:rsidP="00451537">
            <w:pPr>
              <w:pStyle w:val="72TabletextTablesTableFigureBoxstyles"/>
              <w:rPr>
                <w:lang w:eastAsia="en-GB"/>
              </w:rPr>
            </w:pPr>
            <w:r w:rsidRPr="00C1603D">
              <w:rPr>
                <w:lang w:eastAsia="en-GB"/>
              </w:rPr>
              <w:t>Mood disorders</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2E4F24EF" w14:textId="77777777" w:rsidTr="0044057F">
        <w:trPr>
          <w:cantSplit/>
        </w:trPr>
        <w:tc>
          <w:tcPr>
            <w:tcW w:w="0" w:type="auto"/>
            <w:shd w:val="clear" w:color="auto" w:fill="auto"/>
            <w:noWrap/>
          </w:tcPr>
          <w:p w14:paraId="3E007594" w14:textId="419696E6"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32AB7C78" w14:textId="3F747304" w:rsidR="008B4DF8" w:rsidRPr="00C1603D" w:rsidRDefault="008B4DF8" w:rsidP="00703099">
            <w:pPr>
              <w:pStyle w:val="72TabletextTablesTableFigureBoxstyles"/>
              <w:rPr>
                <w:lang w:eastAsia="en-GB"/>
              </w:rPr>
            </w:pPr>
            <w:r w:rsidRPr="00C1603D">
              <w:rPr>
                <w:lang w:eastAsia="en-GB"/>
              </w:rPr>
              <w:t>256 (2.0)</w:t>
            </w:r>
          </w:p>
        </w:tc>
        <w:tc>
          <w:tcPr>
            <w:tcW w:w="0" w:type="auto"/>
            <w:shd w:val="clear" w:color="auto" w:fill="auto"/>
            <w:noWrap/>
          </w:tcPr>
          <w:p w14:paraId="77D2C8EE" w14:textId="716D47C7" w:rsidR="008B4DF8" w:rsidRPr="00C1603D" w:rsidRDefault="008B4DF8" w:rsidP="00703099">
            <w:pPr>
              <w:pStyle w:val="72TabletextTablesTableFigureBoxstyles"/>
              <w:rPr>
                <w:lang w:eastAsia="en-GB"/>
              </w:rPr>
            </w:pPr>
            <w:r w:rsidRPr="00C1603D">
              <w:rPr>
                <w:lang w:eastAsia="en-GB"/>
              </w:rPr>
              <w:t>143 (4.4)</w:t>
            </w:r>
          </w:p>
        </w:tc>
        <w:tc>
          <w:tcPr>
            <w:tcW w:w="0" w:type="auto"/>
            <w:shd w:val="clear" w:color="auto" w:fill="auto"/>
            <w:noWrap/>
          </w:tcPr>
          <w:p w14:paraId="6C733B49"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BB63DDB" w14:textId="086789A5" w:rsidR="008B4DF8" w:rsidRPr="00C1603D" w:rsidRDefault="008B4DF8" w:rsidP="00703099">
            <w:pPr>
              <w:pStyle w:val="72TabletextTablesTableFigureBoxstyles"/>
              <w:rPr>
                <w:lang w:eastAsia="en-GB"/>
              </w:rPr>
            </w:pPr>
            <w:r w:rsidRPr="00C1603D">
              <w:rPr>
                <w:lang w:eastAsia="en-GB"/>
              </w:rPr>
              <w:t>399 (2.5)</w:t>
            </w:r>
          </w:p>
        </w:tc>
        <w:tc>
          <w:tcPr>
            <w:tcW w:w="0" w:type="auto"/>
            <w:shd w:val="clear" w:color="auto" w:fill="auto"/>
            <w:noWrap/>
          </w:tcPr>
          <w:p w14:paraId="396FC869" w14:textId="0718253C" w:rsidR="008B4DF8" w:rsidRPr="00C1603D" w:rsidRDefault="008B4DF8" w:rsidP="00703099">
            <w:pPr>
              <w:pStyle w:val="72TabletextTablesTableFigureBoxstyles"/>
              <w:rPr>
                <w:lang w:eastAsia="en-GB"/>
              </w:rPr>
            </w:pPr>
            <w:r w:rsidRPr="00C1603D">
              <w:rPr>
                <w:lang w:eastAsia="en-GB"/>
              </w:rPr>
              <w:t>91 (0.3)</w:t>
            </w:r>
          </w:p>
        </w:tc>
        <w:tc>
          <w:tcPr>
            <w:tcW w:w="0" w:type="auto"/>
            <w:shd w:val="clear" w:color="auto" w:fill="auto"/>
            <w:noWrap/>
          </w:tcPr>
          <w:p w14:paraId="1068336C" w14:textId="44591B4E" w:rsidR="008B4DF8" w:rsidRPr="00C1603D" w:rsidRDefault="008B4DF8" w:rsidP="00703099">
            <w:pPr>
              <w:pStyle w:val="72TabletextTablesTableFigureBoxstyles"/>
              <w:rPr>
                <w:lang w:eastAsia="en-GB"/>
              </w:rPr>
            </w:pPr>
            <w:r w:rsidRPr="00C1603D">
              <w:rPr>
                <w:lang w:eastAsia="en-GB"/>
              </w:rPr>
              <w:t>59 (0.8)</w:t>
            </w:r>
          </w:p>
        </w:tc>
        <w:tc>
          <w:tcPr>
            <w:tcW w:w="0" w:type="auto"/>
            <w:shd w:val="clear" w:color="auto" w:fill="auto"/>
            <w:noWrap/>
          </w:tcPr>
          <w:p w14:paraId="08897075"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BABF127" w14:textId="29795521" w:rsidR="008B4DF8" w:rsidRPr="00C1603D" w:rsidRDefault="008B4DF8" w:rsidP="00703099">
            <w:pPr>
              <w:pStyle w:val="72TabletextTablesTableFigureBoxstyles"/>
              <w:rPr>
                <w:lang w:eastAsia="en-GB"/>
              </w:rPr>
            </w:pPr>
            <w:r w:rsidRPr="00C1603D">
              <w:rPr>
                <w:lang w:eastAsia="en-GB"/>
              </w:rPr>
              <w:t>150 (0.4)</w:t>
            </w:r>
          </w:p>
        </w:tc>
      </w:tr>
      <w:tr w:rsidR="008B4DF8" w:rsidRPr="00C1603D" w14:paraId="58578D7E" w14:textId="77777777" w:rsidTr="0044057F">
        <w:trPr>
          <w:cantSplit/>
        </w:trPr>
        <w:tc>
          <w:tcPr>
            <w:tcW w:w="0" w:type="auto"/>
            <w:gridSpan w:val="9"/>
            <w:shd w:val="clear" w:color="auto" w:fill="auto"/>
            <w:noWrap/>
          </w:tcPr>
          <w:p w14:paraId="2D48AE68" w14:textId="4927C0A2" w:rsidR="008B4DF8" w:rsidRPr="00C1603D" w:rsidRDefault="008B4DF8" w:rsidP="00451537">
            <w:pPr>
              <w:pStyle w:val="72TabletextTablesTableFigureBoxstyles"/>
              <w:rPr>
                <w:lang w:eastAsia="en-GB"/>
              </w:rPr>
            </w:pPr>
            <w:r w:rsidRPr="00C1603D">
              <w:rPr>
                <w:lang w:eastAsia="en-GB"/>
              </w:rPr>
              <w:t>Type 1 diabetes</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582B1CDB" w14:textId="77777777" w:rsidTr="0044057F">
        <w:trPr>
          <w:cantSplit/>
        </w:trPr>
        <w:tc>
          <w:tcPr>
            <w:tcW w:w="0" w:type="auto"/>
            <w:shd w:val="clear" w:color="auto" w:fill="auto"/>
            <w:noWrap/>
          </w:tcPr>
          <w:p w14:paraId="31DC0014" w14:textId="1515E0D8"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5FFBC8EB" w14:textId="2EC3AC01" w:rsidR="008B4DF8" w:rsidRPr="00C1603D" w:rsidRDefault="008B4DF8" w:rsidP="00703099">
            <w:pPr>
              <w:pStyle w:val="72TabletextTablesTableFigureBoxstyles"/>
              <w:rPr>
                <w:lang w:eastAsia="en-GB"/>
              </w:rPr>
            </w:pPr>
            <w:r w:rsidRPr="00C1603D">
              <w:rPr>
                <w:lang w:eastAsia="en-GB"/>
              </w:rPr>
              <w:t>16 (0.1)</w:t>
            </w:r>
          </w:p>
        </w:tc>
        <w:tc>
          <w:tcPr>
            <w:tcW w:w="0" w:type="auto"/>
            <w:shd w:val="clear" w:color="auto" w:fill="auto"/>
            <w:noWrap/>
          </w:tcPr>
          <w:p w14:paraId="5957CE6A" w14:textId="23AA741D" w:rsidR="008B4DF8" w:rsidRPr="00C1603D" w:rsidRDefault="008B4DF8" w:rsidP="00703099">
            <w:pPr>
              <w:pStyle w:val="72TabletextTablesTableFigureBoxstyles"/>
              <w:rPr>
                <w:lang w:eastAsia="en-GB"/>
              </w:rPr>
            </w:pPr>
            <w:r w:rsidRPr="00C1603D">
              <w:rPr>
                <w:lang w:eastAsia="en-GB"/>
              </w:rPr>
              <w:t>275 (8.5)</w:t>
            </w:r>
          </w:p>
        </w:tc>
        <w:tc>
          <w:tcPr>
            <w:tcW w:w="0" w:type="auto"/>
            <w:shd w:val="clear" w:color="auto" w:fill="auto"/>
            <w:noWrap/>
          </w:tcPr>
          <w:p w14:paraId="189699B1"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492E554" w14:textId="5D353687" w:rsidR="008B4DF8" w:rsidRPr="00C1603D" w:rsidRDefault="008B4DF8" w:rsidP="00703099">
            <w:pPr>
              <w:pStyle w:val="72TabletextTablesTableFigureBoxstyles"/>
              <w:rPr>
                <w:lang w:eastAsia="en-GB"/>
              </w:rPr>
            </w:pPr>
            <w:r w:rsidRPr="00C1603D">
              <w:rPr>
                <w:lang w:eastAsia="en-GB"/>
              </w:rPr>
              <w:t>291 (1.8)</w:t>
            </w:r>
          </w:p>
        </w:tc>
        <w:tc>
          <w:tcPr>
            <w:tcW w:w="0" w:type="auto"/>
            <w:shd w:val="clear" w:color="auto" w:fill="auto"/>
            <w:noWrap/>
          </w:tcPr>
          <w:p w14:paraId="7274B309" w14:textId="5D79C982" w:rsidR="008B4DF8" w:rsidRPr="00C1603D" w:rsidRDefault="008B4DF8" w:rsidP="00703099">
            <w:pPr>
              <w:pStyle w:val="72TabletextTablesTableFigureBoxstyles"/>
              <w:rPr>
                <w:lang w:eastAsia="en-GB"/>
              </w:rPr>
            </w:pPr>
            <w:r w:rsidRPr="00C1603D">
              <w:rPr>
                <w:lang w:eastAsia="en-GB"/>
              </w:rPr>
              <w:t>11 (0.0)</w:t>
            </w:r>
          </w:p>
        </w:tc>
        <w:tc>
          <w:tcPr>
            <w:tcW w:w="0" w:type="auto"/>
            <w:shd w:val="clear" w:color="auto" w:fill="auto"/>
            <w:noWrap/>
          </w:tcPr>
          <w:p w14:paraId="02055337" w14:textId="243472B8" w:rsidR="008B4DF8" w:rsidRPr="00C1603D" w:rsidRDefault="008B4DF8" w:rsidP="00703099">
            <w:pPr>
              <w:pStyle w:val="72TabletextTablesTableFigureBoxstyles"/>
              <w:rPr>
                <w:lang w:eastAsia="en-GB"/>
              </w:rPr>
            </w:pPr>
            <w:r w:rsidRPr="00C1603D">
              <w:rPr>
                <w:lang w:eastAsia="en-GB"/>
              </w:rPr>
              <w:t>87 (1.2)</w:t>
            </w:r>
          </w:p>
        </w:tc>
        <w:tc>
          <w:tcPr>
            <w:tcW w:w="0" w:type="auto"/>
            <w:shd w:val="clear" w:color="auto" w:fill="auto"/>
            <w:noWrap/>
          </w:tcPr>
          <w:p w14:paraId="21560AAC"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CE429F8" w14:textId="0B21C54E" w:rsidR="008B4DF8" w:rsidRPr="00C1603D" w:rsidRDefault="008B4DF8" w:rsidP="00703099">
            <w:pPr>
              <w:pStyle w:val="72TabletextTablesTableFigureBoxstyles"/>
              <w:rPr>
                <w:lang w:eastAsia="en-GB"/>
              </w:rPr>
            </w:pPr>
            <w:r w:rsidRPr="00C1603D">
              <w:rPr>
                <w:lang w:eastAsia="en-GB"/>
              </w:rPr>
              <w:t>98 (0.3)</w:t>
            </w:r>
          </w:p>
        </w:tc>
      </w:tr>
      <w:tr w:rsidR="008B4DF8" w:rsidRPr="00C1603D" w14:paraId="376B89C2" w14:textId="77777777" w:rsidTr="0044057F">
        <w:trPr>
          <w:cantSplit/>
        </w:trPr>
        <w:tc>
          <w:tcPr>
            <w:tcW w:w="0" w:type="auto"/>
            <w:gridSpan w:val="9"/>
            <w:shd w:val="clear" w:color="auto" w:fill="auto"/>
            <w:noWrap/>
          </w:tcPr>
          <w:p w14:paraId="08FEF0E0" w14:textId="035F77B8" w:rsidR="008B4DF8" w:rsidRPr="00C1603D" w:rsidRDefault="008B4DF8" w:rsidP="00451537">
            <w:pPr>
              <w:pStyle w:val="72TabletextTablesTableFigureBoxstyles"/>
              <w:rPr>
                <w:lang w:eastAsia="en-GB"/>
              </w:rPr>
            </w:pPr>
            <w:r w:rsidRPr="00C1603D">
              <w:rPr>
                <w:lang w:eastAsia="en-GB"/>
              </w:rPr>
              <w:t>Thyroid disorders</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071A16AC" w14:textId="77777777" w:rsidTr="0044057F">
        <w:trPr>
          <w:cantSplit/>
        </w:trPr>
        <w:tc>
          <w:tcPr>
            <w:tcW w:w="0" w:type="auto"/>
            <w:shd w:val="clear" w:color="auto" w:fill="auto"/>
            <w:noWrap/>
          </w:tcPr>
          <w:p w14:paraId="33909CC9" w14:textId="008078A2"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4DDBA588" w14:textId="299AE740" w:rsidR="008B4DF8" w:rsidRPr="00C1603D" w:rsidRDefault="008B4DF8" w:rsidP="00703099">
            <w:pPr>
              <w:pStyle w:val="72TabletextTablesTableFigureBoxstyles"/>
              <w:rPr>
                <w:lang w:eastAsia="en-GB"/>
              </w:rPr>
            </w:pPr>
            <w:r w:rsidRPr="00C1603D">
              <w:rPr>
                <w:lang w:eastAsia="en-GB"/>
              </w:rPr>
              <w:t>16 (0.1)</w:t>
            </w:r>
          </w:p>
        </w:tc>
        <w:tc>
          <w:tcPr>
            <w:tcW w:w="0" w:type="auto"/>
            <w:shd w:val="clear" w:color="auto" w:fill="auto"/>
            <w:noWrap/>
          </w:tcPr>
          <w:p w14:paraId="7E6A3C6D" w14:textId="36A658A5" w:rsidR="008B4DF8" w:rsidRPr="00C1603D" w:rsidRDefault="008B4DF8" w:rsidP="00703099">
            <w:pPr>
              <w:pStyle w:val="72TabletextTablesTableFigureBoxstyles"/>
              <w:rPr>
                <w:lang w:eastAsia="en-GB"/>
              </w:rPr>
            </w:pPr>
            <w:r w:rsidRPr="00C1603D">
              <w:rPr>
                <w:lang w:eastAsia="en-GB"/>
              </w:rPr>
              <w:t>61 (1.9)</w:t>
            </w:r>
          </w:p>
        </w:tc>
        <w:tc>
          <w:tcPr>
            <w:tcW w:w="0" w:type="auto"/>
            <w:shd w:val="clear" w:color="auto" w:fill="auto"/>
            <w:noWrap/>
          </w:tcPr>
          <w:p w14:paraId="4C9D22A0"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34625DF" w14:textId="26A375FA" w:rsidR="008B4DF8" w:rsidRPr="00C1603D" w:rsidRDefault="008B4DF8" w:rsidP="00703099">
            <w:pPr>
              <w:pStyle w:val="72TabletextTablesTableFigureBoxstyles"/>
              <w:rPr>
                <w:lang w:eastAsia="en-GB"/>
              </w:rPr>
            </w:pPr>
            <w:r w:rsidRPr="00C1603D">
              <w:rPr>
                <w:lang w:eastAsia="en-GB"/>
              </w:rPr>
              <w:t>77 (0.5)</w:t>
            </w:r>
          </w:p>
        </w:tc>
        <w:tc>
          <w:tcPr>
            <w:tcW w:w="0" w:type="auto"/>
            <w:shd w:val="clear" w:color="auto" w:fill="auto"/>
            <w:noWrap/>
          </w:tcPr>
          <w:p w14:paraId="7527BC5E" w14:textId="67F1CEF6" w:rsidR="008B4DF8" w:rsidRPr="00C1603D" w:rsidRDefault="008B4DF8" w:rsidP="00703099">
            <w:pPr>
              <w:pStyle w:val="72TabletextTablesTableFigureBoxstyles"/>
              <w:rPr>
                <w:lang w:eastAsia="en-GB"/>
              </w:rPr>
            </w:pPr>
            <w:r w:rsidRPr="00C1603D">
              <w:rPr>
                <w:lang w:eastAsia="en-GB"/>
              </w:rPr>
              <w:t>12 (0.0)</w:t>
            </w:r>
          </w:p>
        </w:tc>
        <w:tc>
          <w:tcPr>
            <w:tcW w:w="0" w:type="auto"/>
            <w:shd w:val="clear" w:color="auto" w:fill="auto"/>
            <w:noWrap/>
          </w:tcPr>
          <w:p w14:paraId="1072529E" w14:textId="429D96B9" w:rsidR="008B4DF8" w:rsidRPr="00C1603D" w:rsidRDefault="008B4DF8" w:rsidP="00703099">
            <w:pPr>
              <w:pStyle w:val="72TabletextTablesTableFigureBoxstyles"/>
              <w:rPr>
                <w:lang w:eastAsia="en-GB"/>
              </w:rPr>
            </w:pPr>
            <w:r w:rsidRPr="00C1603D">
              <w:rPr>
                <w:lang w:eastAsia="en-GB"/>
              </w:rPr>
              <w:t>21 (0.3)</w:t>
            </w:r>
          </w:p>
        </w:tc>
        <w:tc>
          <w:tcPr>
            <w:tcW w:w="0" w:type="auto"/>
            <w:shd w:val="clear" w:color="auto" w:fill="auto"/>
            <w:noWrap/>
          </w:tcPr>
          <w:p w14:paraId="0CD8439B"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FA63A5E" w14:textId="32AC0B81" w:rsidR="008B4DF8" w:rsidRPr="00C1603D" w:rsidRDefault="008B4DF8" w:rsidP="00703099">
            <w:pPr>
              <w:pStyle w:val="72TabletextTablesTableFigureBoxstyles"/>
              <w:rPr>
                <w:lang w:eastAsia="en-GB"/>
              </w:rPr>
            </w:pPr>
            <w:r w:rsidRPr="00C1603D">
              <w:rPr>
                <w:lang w:eastAsia="en-GB"/>
              </w:rPr>
              <w:t>33 (0.1)</w:t>
            </w:r>
          </w:p>
        </w:tc>
      </w:tr>
      <w:tr w:rsidR="008B4DF8" w:rsidRPr="00C1603D" w14:paraId="6D650F57" w14:textId="77777777" w:rsidTr="0044057F">
        <w:trPr>
          <w:cantSplit/>
        </w:trPr>
        <w:tc>
          <w:tcPr>
            <w:tcW w:w="0" w:type="auto"/>
            <w:gridSpan w:val="9"/>
            <w:shd w:val="clear" w:color="auto" w:fill="auto"/>
            <w:noWrap/>
          </w:tcPr>
          <w:p w14:paraId="0EE474E4" w14:textId="5BA08776" w:rsidR="008B4DF8" w:rsidRPr="00C1603D" w:rsidRDefault="008B4DF8" w:rsidP="00451537">
            <w:pPr>
              <w:pStyle w:val="72TabletextTablesTableFigureBoxstyles"/>
              <w:rPr>
                <w:lang w:eastAsia="en-GB"/>
              </w:rPr>
            </w:pPr>
            <w:r w:rsidRPr="00C1603D">
              <w:rPr>
                <w:lang w:eastAsia="en-GB"/>
              </w:rPr>
              <w:t>Turner syndrome</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57A14635" w14:textId="77777777" w:rsidTr="0044057F">
        <w:trPr>
          <w:cantSplit/>
        </w:trPr>
        <w:tc>
          <w:tcPr>
            <w:tcW w:w="0" w:type="auto"/>
            <w:shd w:val="clear" w:color="auto" w:fill="auto"/>
            <w:noWrap/>
          </w:tcPr>
          <w:p w14:paraId="590A6581" w14:textId="3879A4F1"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7EE4EB16" w14:textId="0D42149B" w:rsidR="008B4DF8" w:rsidRPr="00C1603D" w:rsidRDefault="008B4DF8" w:rsidP="00703099">
            <w:pPr>
              <w:pStyle w:val="72TabletextTablesTableFigureBoxstyles"/>
              <w:rPr>
                <w:lang w:eastAsia="en-GB"/>
              </w:rPr>
            </w:pPr>
            <w:r w:rsidRPr="00C1603D">
              <w:rPr>
                <w:lang w:eastAsia="en-GB"/>
              </w:rPr>
              <w:t>0 (0)</w:t>
            </w:r>
          </w:p>
        </w:tc>
        <w:tc>
          <w:tcPr>
            <w:tcW w:w="0" w:type="auto"/>
            <w:shd w:val="clear" w:color="auto" w:fill="auto"/>
            <w:noWrap/>
          </w:tcPr>
          <w:p w14:paraId="2F1BBA68" w14:textId="3B1D2F63" w:rsidR="008B4DF8" w:rsidRPr="00C1603D" w:rsidRDefault="008B4DF8" w:rsidP="00703099">
            <w:pPr>
              <w:pStyle w:val="72TabletextTablesTableFigureBoxstyles"/>
              <w:rPr>
                <w:lang w:eastAsia="en-GB"/>
              </w:rPr>
            </w:pPr>
            <w:r w:rsidRPr="00C1603D">
              <w:rPr>
                <w:lang w:eastAsia="en-GB"/>
              </w:rPr>
              <w:t>8 (0.2)</w:t>
            </w:r>
          </w:p>
        </w:tc>
        <w:tc>
          <w:tcPr>
            <w:tcW w:w="0" w:type="auto"/>
            <w:shd w:val="clear" w:color="auto" w:fill="auto"/>
            <w:noWrap/>
          </w:tcPr>
          <w:p w14:paraId="55CAF4BB"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61B98AD" w14:textId="69AFC1D4" w:rsidR="008B4DF8" w:rsidRPr="00C1603D" w:rsidRDefault="008B4DF8" w:rsidP="00703099">
            <w:pPr>
              <w:pStyle w:val="72TabletextTablesTableFigureBoxstyles"/>
              <w:rPr>
                <w:lang w:eastAsia="en-GB"/>
              </w:rPr>
            </w:pPr>
            <w:r w:rsidRPr="00C1603D">
              <w:rPr>
                <w:lang w:eastAsia="en-GB"/>
              </w:rPr>
              <w:t>8 (0.0)</w:t>
            </w:r>
          </w:p>
        </w:tc>
        <w:tc>
          <w:tcPr>
            <w:tcW w:w="0" w:type="auto"/>
            <w:shd w:val="clear" w:color="auto" w:fill="auto"/>
            <w:noWrap/>
          </w:tcPr>
          <w:p w14:paraId="4BBD1085" w14:textId="16ABCC31" w:rsidR="008B4DF8" w:rsidRPr="00C1603D" w:rsidRDefault="008B4DF8" w:rsidP="00703099">
            <w:pPr>
              <w:pStyle w:val="72TabletextTablesTableFigureBoxstyles"/>
              <w:rPr>
                <w:lang w:eastAsia="en-GB"/>
              </w:rPr>
            </w:pPr>
            <w:r w:rsidRPr="00C1603D">
              <w:rPr>
                <w:lang w:eastAsia="en-GB"/>
              </w:rPr>
              <w:t>1 (0.0)</w:t>
            </w:r>
          </w:p>
        </w:tc>
        <w:tc>
          <w:tcPr>
            <w:tcW w:w="0" w:type="auto"/>
            <w:shd w:val="clear" w:color="auto" w:fill="auto"/>
            <w:noWrap/>
          </w:tcPr>
          <w:p w14:paraId="2F2F98D5" w14:textId="57C53609" w:rsidR="008B4DF8" w:rsidRPr="00C1603D" w:rsidRDefault="008B4DF8" w:rsidP="00703099">
            <w:pPr>
              <w:pStyle w:val="72TabletextTablesTableFigureBoxstyles"/>
              <w:rPr>
                <w:lang w:eastAsia="en-GB"/>
              </w:rPr>
            </w:pPr>
            <w:r w:rsidRPr="00C1603D">
              <w:rPr>
                <w:lang w:eastAsia="en-GB"/>
              </w:rPr>
              <w:t>5 (0.1)</w:t>
            </w:r>
          </w:p>
        </w:tc>
        <w:tc>
          <w:tcPr>
            <w:tcW w:w="0" w:type="auto"/>
            <w:shd w:val="clear" w:color="auto" w:fill="auto"/>
            <w:noWrap/>
          </w:tcPr>
          <w:p w14:paraId="5006E70A"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3DA454C" w14:textId="43B6E6FD" w:rsidR="008B4DF8" w:rsidRPr="00C1603D" w:rsidRDefault="008B4DF8" w:rsidP="00703099">
            <w:pPr>
              <w:pStyle w:val="72TabletextTablesTableFigureBoxstyles"/>
              <w:rPr>
                <w:lang w:eastAsia="en-GB"/>
              </w:rPr>
            </w:pPr>
            <w:r w:rsidRPr="00C1603D">
              <w:rPr>
                <w:lang w:eastAsia="en-GB"/>
              </w:rPr>
              <w:t>6 (0.0)</w:t>
            </w:r>
          </w:p>
        </w:tc>
      </w:tr>
      <w:tr w:rsidR="008B4DF8" w:rsidRPr="00C1603D" w14:paraId="1EF18C32" w14:textId="77777777" w:rsidTr="0044057F">
        <w:trPr>
          <w:cantSplit/>
        </w:trPr>
        <w:tc>
          <w:tcPr>
            <w:tcW w:w="0" w:type="auto"/>
            <w:gridSpan w:val="9"/>
            <w:shd w:val="clear" w:color="auto" w:fill="auto"/>
            <w:noWrap/>
          </w:tcPr>
          <w:p w14:paraId="610F31AC" w14:textId="2DB98625" w:rsidR="008B4DF8" w:rsidRPr="00C1603D" w:rsidRDefault="008B4DF8" w:rsidP="00451537">
            <w:pPr>
              <w:pStyle w:val="72TabletextTablesTableFigureBoxstyles"/>
              <w:rPr>
                <w:lang w:eastAsia="en-GB"/>
              </w:rPr>
            </w:pPr>
            <w:r w:rsidRPr="00C1603D">
              <w:rPr>
                <w:lang w:eastAsia="en-GB"/>
              </w:rPr>
              <w:t>Weight loss</w:t>
            </w:r>
            <w:r w:rsidR="00451537" w:rsidRPr="00C1603D">
              <w:rPr>
                <w:lang w:eastAsia="en-GB"/>
              </w:rPr>
              <w:t xml:space="preserve">, </w:t>
            </w:r>
            <w:r w:rsidR="00451537" w:rsidRPr="00C1603D">
              <w:rPr>
                <w:i/>
                <w:lang w:eastAsia="en-GB"/>
              </w:rPr>
              <w:t>n</w:t>
            </w:r>
            <w:r w:rsidR="00451537" w:rsidRPr="00C1603D">
              <w:rPr>
                <w:lang w:eastAsia="en-GB"/>
              </w:rPr>
              <w:t xml:space="preserve"> (%)</w:t>
            </w:r>
          </w:p>
        </w:tc>
      </w:tr>
      <w:tr w:rsidR="00B068B0" w:rsidRPr="00C1603D" w14:paraId="0D5A296A" w14:textId="77777777" w:rsidTr="0044057F">
        <w:trPr>
          <w:cantSplit/>
        </w:trPr>
        <w:tc>
          <w:tcPr>
            <w:tcW w:w="0" w:type="auto"/>
            <w:shd w:val="clear" w:color="auto" w:fill="auto"/>
            <w:noWrap/>
          </w:tcPr>
          <w:p w14:paraId="339C258B" w14:textId="415C160E" w:rsidR="008B4DF8" w:rsidRPr="00C1603D" w:rsidRDefault="00451537"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08591500" w14:textId="77777777" w:rsidR="008B4DF8" w:rsidRPr="00C1603D" w:rsidRDefault="008B4DF8" w:rsidP="00703099">
            <w:pPr>
              <w:pStyle w:val="72TabletextTablesTableFigureBoxstyles"/>
              <w:rPr>
                <w:lang w:eastAsia="en-GB"/>
              </w:rPr>
            </w:pPr>
            <w:r w:rsidRPr="00C1603D">
              <w:rPr>
                <w:lang w:eastAsia="en-GB"/>
              </w:rPr>
              <w:t>23 (0.2%)</w:t>
            </w:r>
          </w:p>
        </w:tc>
        <w:tc>
          <w:tcPr>
            <w:tcW w:w="0" w:type="auto"/>
            <w:shd w:val="clear" w:color="auto" w:fill="auto"/>
            <w:noWrap/>
          </w:tcPr>
          <w:p w14:paraId="5C8749C2" w14:textId="77777777" w:rsidR="008B4DF8" w:rsidRPr="00C1603D" w:rsidRDefault="008B4DF8" w:rsidP="00703099">
            <w:pPr>
              <w:pStyle w:val="72TabletextTablesTableFigureBoxstyles"/>
              <w:rPr>
                <w:lang w:eastAsia="en-GB"/>
              </w:rPr>
            </w:pPr>
            <w:r w:rsidRPr="00C1603D">
              <w:rPr>
                <w:lang w:eastAsia="en-GB"/>
              </w:rPr>
              <w:t>93 (2.9%)</w:t>
            </w:r>
          </w:p>
        </w:tc>
        <w:tc>
          <w:tcPr>
            <w:tcW w:w="0" w:type="auto"/>
            <w:shd w:val="clear" w:color="auto" w:fill="auto"/>
            <w:noWrap/>
          </w:tcPr>
          <w:p w14:paraId="4D25907C"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524CC4D" w14:textId="77777777" w:rsidR="008B4DF8" w:rsidRPr="00C1603D" w:rsidRDefault="008B4DF8" w:rsidP="00703099">
            <w:pPr>
              <w:pStyle w:val="72TabletextTablesTableFigureBoxstyles"/>
              <w:rPr>
                <w:lang w:eastAsia="en-GB"/>
              </w:rPr>
            </w:pPr>
            <w:r w:rsidRPr="00C1603D">
              <w:rPr>
                <w:lang w:eastAsia="en-GB"/>
              </w:rPr>
              <w:t>116 (0.7%)</w:t>
            </w:r>
          </w:p>
        </w:tc>
        <w:tc>
          <w:tcPr>
            <w:tcW w:w="0" w:type="auto"/>
            <w:shd w:val="clear" w:color="auto" w:fill="auto"/>
            <w:noWrap/>
          </w:tcPr>
          <w:p w14:paraId="5FBE64FC" w14:textId="77777777" w:rsidR="008B4DF8" w:rsidRPr="00C1603D" w:rsidRDefault="008B4DF8" w:rsidP="00703099">
            <w:pPr>
              <w:pStyle w:val="72TabletextTablesTableFigureBoxstyles"/>
              <w:rPr>
                <w:lang w:eastAsia="en-GB"/>
              </w:rPr>
            </w:pPr>
            <w:r w:rsidRPr="00C1603D">
              <w:rPr>
                <w:lang w:eastAsia="en-GB"/>
              </w:rPr>
              <w:t>8 (0.0%)</w:t>
            </w:r>
          </w:p>
        </w:tc>
        <w:tc>
          <w:tcPr>
            <w:tcW w:w="0" w:type="auto"/>
            <w:shd w:val="clear" w:color="auto" w:fill="auto"/>
            <w:noWrap/>
          </w:tcPr>
          <w:p w14:paraId="26350E89" w14:textId="77777777" w:rsidR="008B4DF8" w:rsidRPr="00C1603D" w:rsidRDefault="008B4DF8" w:rsidP="00703099">
            <w:pPr>
              <w:pStyle w:val="72TabletextTablesTableFigureBoxstyles"/>
              <w:rPr>
                <w:lang w:eastAsia="en-GB"/>
              </w:rPr>
            </w:pPr>
            <w:r w:rsidRPr="00C1603D">
              <w:rPr>
                <w:lang w:eastAsia="en-GB"/>
              </w:rPr>
              <w:t>22 (0.3%)</w:t>
            </w:r>
          </w:p>
        </w:tc>
        <w:tc>
          <w:tcPr>
            <w:tcW w:w="0" w:type="auto"/>
            <w:shd w:val="clear" w:color="auto" w:fill="auto"/>
            <w:noWrap/>
          </w:tcPr>
          <w:p w14:paraId="5C7B6254"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4781214" w14:textId="77777777" w:rsidR="008B4DF8" w:rsidRPr="00C1603D" w:rsidRDefault="008B4DF8" w:rsidP="00703099">
            <w:pPr>
              <w:pStyle w:val="72TabletextTablesTableFigureBoxstyles"/>
              <w:rPr>
                <w:lang w:eastAsia="en-GB"/>
              </w:rPr>
            </w:pPr>
            <w:r w:rsidRPr="00C1603D">
              <w:rPr>
                <w:lang w:eastAsia="en-GB"/>
              </w:rPr>
              <w:t>30 (0.1%)</w:t>
            </w:r>
          </w:p>
        </w:tc>
      </w:tr>
      <w:tr w:rsidR="00451537" w:rsidRPr="00C1603D" w14:paraId="5C1E814C" w14:textId="77777777" w:rsidTr="0044057F">
        <w:trPr>
          <w:cantSplit/>
        </w:trPr>
        <w:tc>
          <w:tcPr>
            <w:tcW w:w="0" w:type="auto"/>
            <w:shd w:val="clear" w:color="auto" w:fill="auto"/>
            <w:noWrap/>
          </w:tcPr>
          <w:p w14:paraId="26E06899" w14:textId="461F52DB" w:rsidR="00451537" w:rsidRPr="00C1603D" w:rsidRDefault="00451537" w:rsidP="00451537">
            <w:pPr>
              <w:pStyle w:val="711TablesubheadATablesTableFigureBoxstyles"/>
              <w:rPr>
                <w:lang w:eastAsia="en-GB"/>
              </w:rPr>
            </w:pPr>
            <w:r w:rsidRPr="00C1603D">
              <w:rPr>
                <w:lang w:eastAsia="en-GB"/>
              </w:rPr>
              <w:t>Women</w:t>
            </w:r>
          </w:p>
        </w:tc>
        <w:tc>
          <w:tcPr>
            <w:tcW w:w="0" w:type="auto"/>
            <w:shd w:val="clear" w:color="auto" w:fill="auto"/>
          </w:tcPr>
          <w:p w14:paraId="0A197580" w14:textId="7022CAF5" w:rsidR="00451537" w:rsidRPr="00C1603D" w:rsidRDefault="00451537" w:rsidP="00451537">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37,079)</w:t>
            </w:r>
          </w:p>
        </w:tc>
        <w:tc>
          <w:tcPr>
            <w:tcW w:w="0" w:type="auto"/>
            <w:shd w:val="clear" w:color="auto" w:fill="auto"/>
          </w:tcPr>
          <w:p w14:paraId="0DBD60A8" w14:textId="01D0FACA" w:rsidR="00451537" w:rsidRPr="00C1603D" w:rsidRDefault="00451537" w:rsidP="00451537">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12,051)</w:t>
            </w:r>
          </w:p>
        </w:tc>
        <w:tc>
          <w:tcPr>
            <w:tcW w:w="0" w:type="auto"/>
            <w:shd w:val="clear" w:color="auto" w:fill="auto"/>
          </w:tcPr>
          <w:p w14:paraId="3531C681" w14:textId="70293C98" w:rsidR="00451537" w:rsidRPr="00C1603D" w:rsidRDefault="00451537" w:rsidP="00451537">
            <w:pPr>
              <w:pStyle w:val="711TablesubheadATablesTableFigureBoxstyles"/>
              <w:rPr>
                <w:lang w:eastAsia="en-GB"/>
              </w:rPr>
            </w:pPr>
          </w:p>
        </w:tc>
        <w:tc>
          <w:tcPr>
            <w:tcW w:w="0" w:type="auto"/>
            <w:shd w:val="clear" w:color="auto" w:fill="auto"/>
          </w:tcPr>
          <w:p w14:paraId="5199028D" w14:textId="4931CC82" w:rsidR="00451537" w:rsidRPr="00C1603D" w:rsidRDefault="00451537" w:rsidP="00451537">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49,130)</w:t>
            </w:r>
          </w:p>
        </w:tc>
        <w:tc>
          <w:tcPr>
            <w:tcW w:w="0" w:type="auto"/>
            <w:shd w:val="clear" w:color="auto" w:fill="auto"/>
          </w:tcPr>
          <w:p w14:paraId="7603C432" w14:textId="167F68C1" w:rsidR="00451537" w:rsidRPr="00C1603D" w:rsidRDefault="00451537" w:rsidP="00451537">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77,422)</w:t>
            </w:r>
          </w:p>
        </w:tc>
        <w:tc>
          <w:tcPr>
            <w:tcW w:w="0" w:type="auto"/>
            <w:shd w:val="clear" w:color="auto" w:fill="auto"/>
          </w:tcPr>
          <w:p w14:paraId="098A9E5D" w14:textId="30E27035" w:rsidR="00451537" w:rsidRPr="00C1603D" w:rsidRDefault="00451537" w:rsidP="00451537">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26,164)</w:t>
            </w:r>
          </w:p>
        </w:tc>
        <w:tc>
          <w:tcPr>
            <w:tcW w:w="0" w:type="auto"/>
            <w:shd w:val="clear" w:color="auto" w:fill="auto"/>
          </w:tcPr>
          <w:p w14:paraId="25EA145A" w14:textId="6BA33B5D" w:rsidR="00451537" w:rsidRPr="00C1603D" w:rsidRDefault="00451537" w:rsidP="00451537">
            <w:pPr>
              <w:pStyle w:val="711TablesubheadATablesTableFigureBoxstyles"/>
              <w:rPr>
                <w:lang w:eastAsia="en-GB"/>
              </w:rPr>
            </w:pPr>
          </w:p>
        </w:tc>
        <w:tc>
          <w:tcPr>
            <w:tcW w:w="0" w:type="auto"/>
            <w:shd w:val="clear" w:color="auto" w:fill="auto"/>
          </w:tcPr>
          <w:p w14:paraId="201B8DE0" w14:textId="79F76EA7" w:rsidR="00451537" w:rsidRPr="00C1603D" w:rsidRDefault="00451537" w:rsidP="00451537">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103,586)</w:t>
            </w:r>
          </w:p>
        </w:tc>
      </w:tr>
      <w:tr w:rsidR="008B4DF8" w:rsidRPr="00C1603D" w14:paraId="47959698" w14:textId="77777777" w:rsidTr="0044057F">
        <w:trPr>
          <w:cantSplit/>
        </w:trPr>
        <w:tc>
          <w:tcPr>
            <w:tcW w:w="0" w:type="auto"/>
            <w:gridSpan w:val="9"/>
            <w:shd w:val="clear" w:color="auto" w:fill="auto"/>
            <w:noWrap/>
          </w:tcPr>
          <w:p w14:paraId="5937AA85" w14:textId="77777777" w:rsidR="008B4DF8" w:rsidRPr="00C1603D" w:rsidRDefault="008B4DF8" w:rsidP="00451537">
            <w:pPr>
              <w:pStyle w:val="72TabletextTablesTableFigureBoxstyles"/>
              <w:rPr>
                <w:lang w:eastAsia="en-GB"/>
              </w:rPr>
            </w:pPr>
            <w:r w:rsidRPr="00C1603D">
              <w:rPr>
                <w:lang w:eastAsia="en-GB"/>
              </w:rPr>
              <w:t>Age (years)</w:t>
            </w:r>
          </w:p>
        </w:tc>
      </w:tr>
      <w:tr w:rsidR="00B068B0" w:rsidRPr="00C1603D" w14:paraId="7E94A6E8" w14:textId="77777777" w:rsidTr="0044057F">
        <w:trPr>
          <w:cantSplit/>
        </w:trPr>
        <w:tc>
          <w:tcPr>
            <w:tcW w:w="0" w:type="auto"/>
            <w:shd w:val="clear" w:color="auto" w:fill="auto"/>
            <w:noWrap/>
          </w:tcPr>
          <w:p w14:paraId="50BF1CBC" w14:textId="245CEEDC" w:rsidR="00B068B0" w:rsidRPr="00C1603D" w:rsidRDefault="00B068B0" w:rsidP="00703099">
            <w:pPr>
              <w:pStyle w:val="72TabletextTablesTableFigureBoxstyles"/>
              <w:rPr>
                <w:lang w:eastAsia="en-GB"/>
              </w:rPr>
            </w:pPr>
            <w:r w:rsidRPr="00C1603D">
              <w:rPr>
                <w:lang w:eastAsia="en-GB"/>
              </w:rPr>
              <w:tab/>
              <w:t>Mean (SD)</w:t>
            </w:r>
          </w:p>
        </w:tc>
        <w:tc>
          <w:tcPr>
            <w:tcW w:w="0" w:type="auto"/>
            <w:shd w:val="clear" w:color="auto" w:fill="auto"/>
            <w:noWrap/>
          </w:tcPr>
          <w:p w14:paraId="4EBE3821" w14:textId="77777777" w:rsidR="00B068B0" w:rsidRPr="00C1603D" w:rsidRDefault="00B068B0" w:rsidP="00703099">
            <w:pPr>
              <w:pStyle w:val="72TabletextTablesTableFigureBoxstyles"/>
              <w:rPr>
                <w:lang w:eastAsia="en-GB"/>
              </w:rPr>
            </w:pPr>
            <w:r w:rsidRPr="00C1603D">
              <w:rPr>
                <w:lang w:eastAsia="en-GB"/>
              </w:rPr>
              <w:t>49.5 (17.0)</w:t>
            </w:r>
          </w:p>
        </w:tc>
        <w:tc>
          <w:tcPr>
            <w:tcW w:w="0" w:type="auto"/>
            <w:shd w:val="clear" w:color="auto" w:fill="auto"/>
            <w:noWrap/>
          </w:tcPr>
          <w:p w14:paraId="727C300A" w14:textId="77777777" w:rsidR="00B068B0" w:rsidRPr="00C1603D" w:rsidRDefault="00B068B0" w:rsidP="00703099">
            <w:pPr>
              <w:pStyle w:val="72TabletextTablesTableFigureBoxstyles"/>
              <w:rPr>
                <w:lang w:eastAsia="en-GB"/>
              </w:rPr>
            </w:pPr>
            <w:r w:rsidRPr="00C1603D">
              <w:rPr>
                <w:lang w:eastAsia="en-GB"/>
              </w:rPr>
              <w:t>49.7 (17.2)</w:t>
            </w:r>
          </w:p>
        </w:tc>
        <w:tc>
          <w:tcPr>
            <w:tcW w:w="0" w:type="auto"/>
            <w:vMerge w:val="restart"/>
            <w:shd w:val="clear" w:color="auto" w:fill="auto"/>
            <w:noWrap/>
          </w:tcPr>
          <w:p w14:paraId="214BD89C" w14:textId="77777777" w:rsidR="00B068B0" w:rsidRPr="00C1603D" w:rsidRDefault="00B068B0" w:rsidP="00703099">
            <w:pPr>
              <w:pStyle w:val="72TabletextTablesTableFigureBoxstyles"/>
              <w:rPr>
                <w:lang w:eastAsia="en-GB"/>
              </w:rPr>
            </w:pPr>
            <w:r w:rsidRPr="00C1603D">
              <w:rPr>
                <w:lang w:eastAsia="en-GB"/>
              </w:rPr>
              <w:t>0.313</w:t>
            </w:r>
          </w:p>
        </w:tc>
        <w:tc>
          <w:tcPr>
            <w:tcW w:w="0" w:type="auto"/>
            <w:shd w:val="clear" w:color="auto" w:fill="auto"/>
            <w:noWrap/>
          </w:tcPr>
          <w:p w14:paraId="75C19E94" w14:textId="77777777" w:rsidR="00B068B0" w:rsidRPr="00C1603D" w:rsidRDefault="00B068B0" w:rsidP="00703099">
            <w:pPr>
              <w:pStyle w:val="72TabletextTablesTableFigureBoxstyles"/>
              <w:rPr>
                <w:lang w:eastAsia="en-GB"/>
              </w:rPr>
            </w:pPr>
            <w:r w:rsidRPr="00C1603D">
              <w:rPr>
                <w:lang w:eastAsia="en-GB"/>
              </w:rPr>
              <w:t>49.6 (17.0)</w:t>
            </w:r>
          </w:p>
        </w:tc>
        <w:tc>
          <w:tcPr>
            <w:tcW w:w="0" w:type="auto"/>
            <w:shd w:val="clear" w:color="auto" w:fill="auto"/>
            <w:noWrap/>
          </w:tcPr>
          <w:p w14:paraId="1FED7FAA" w14:textId="77777777" w:rsidR="00B068B0" w:rsidRPr="00C1603D" w:rsidRDefault="00B068B0" w:rsidP="00703099">
            <w:pPr>
              <w:pStyle w:val="72TabletextTablesTableFigureBoxstyles"/>
              <w:rPr>
                <w:lang w:eastAsia="en-GB"/>
              </w:rPr>
            </w:pPr>
            <w:r w:rsidRPr="00C1603D">
              <w:rPr>
                <w:lang w:eastAsia="en-GB"/>
              </w:rPr>
              <w:t>48.5 (17.0)</w:t>
            </w:r>
          </w:p>
        </w:tc>
        <w:tc>
          <w:tcPr>
            <w:tcW w:w="0" w:type="auto"/>
            <w:shd w:val="clear" w:color="auto" w:fill="auto"/>
            <w:noWrap/>
          </w:tcPr>
          <w:p w14:paraId="754765CF" w14:textId="77777777" w:rsidR="00B068B0" w:rsidRPr="00C1603D" w:rsidRDefault="00B068B0" w:rsidP="00703099">
            <w:pPr>
              <w:pStyle w:val="72TabletextTablesTableFigureBoxstyles"/>
              <w:rPr>
                <w:lang w:eastAsia="en-GB"/>
              </w:rPr>
            </w:pPr>
            <w:r w:rsidRPr="00C1603D">
              <w:rPr>
                <w:lang w:eastAsia="en-GB"/>
              </w:rPr>
              <w:t>47.4 (17.6)</w:t>
            </w:r>
          </w:p>
        </w:tc>
        <w:tc>
          <w:tcPr>
            <w:tcW w:w="0" w:type="auto"/>
            <w:vMerge w:val="restart"/>
            <w:shd w:val="clear" w:color="auto" w:fill="auto"/>
            <w:noWrap/>
          </w:tcPr>
          <w:p w14:paraId="4F19BA39" w14:textId="77777777" w:rsidR="00B068B0" w:rsidRPr="00C1603D" w:rsidRDefault="00B068B0"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909F8A5" w14:textId="77777777" w:rsidR="00B068B0" w:rsidRPr="00C1603D" w:rsidRDefault="00B068B0" w:rsidP="00703099">
            <w:pPr>
              <w:pStyle w:val="72TabletextTablesTableFigureBoxstyles"/>
              <w:rPr>
                <w:lang w:eastAsia="en-GB"/>
              </w:rPr>
            </w:pPr>
            <w:r w:rsidRPr="00C1603D">
              <w:rPr>
                <w:lang w:eastAsia="en-GB"/>
              </w:rPr>
              <w:t>48.2 (17.2)</w:t>
            </w:r>
          </w:p>
        </w:tc>
      </w:tr>
      <w:tr w:rsidR="00B068B0" w:rsidRPr="00C1603D" w14:paraId="01BFE445" w14:textId="77777777" w:rsidTr="0044057F">
        <w:trPr>
          <w:cantSplit/>
        </w:trPr>
        <w:tc>
          <w:tcPr>
            <w:tcW w:w="0" w:type="auto"/>
            <w:shd w:val="clear" w:color="auto" w:fill="auto"/>
            <w:noWrap/>
          </w:tcPr>
          <w:p w14:paraId="27D411BC" w14:textId="00B8890F" w:rsidR="00B068B0" w:rsidRPr="00C1603D" w:rsidRDefault="00B068B0" w:rsidP="00703099">
            <w:pPr>
              <w:pStyle w:val="72TabletextTablesTableFigureBoxstyles"/>
              <w:rPr>
                <w:lang w:eastAsia="en-GB"/>
              </w:rPr>
            </w:pPr>
            <w:r w:rsidRPr="00C1603D">
              <w:rPr>
                <w:lang w:eastAsia="en-GB"/>
              </w:rPr>
              <w:tab/>
              <w:t>Median (minimum, maximum)</w:t>
            </w:r>
          </w:p>
        </w:tc>
        <w:tc>
          <w:tcPr>
            <w:tcW w:w="0" w:type="auto"/>
            <w:shd w:val="clear" w:color="auto" w:fill="auto"/>
            <w:noWrap/>
          </w:tcPr>
          <w:p w14:paraId="0DB93217" w14:textId="61F720FB" w:rsidR="00B068B0" w:rsidRPr="00C1603D" w:rsidRDefault="00B068B0" w:rsidP="00703099">
            <w:pPr>
              <w:pStyle w:val="72TabletextTablesTableFigureBoxstyles"/>
              <w:rPr>
                <w:lang w:eastAsia="en-GB"/>
              </w:rPr>
            </w:pPr>
            <w:r w:rsidRPr="00C1603D">
              <w:rPr>
                <w:lang w:eastAsia="en-GB"/>
              </w:rPr>
              <w:t>49.0 (18.0, 111)</w:t>
            </w:r>
          </w:p>
        </w:tc>
        <w:tc>
          <w:tcPr>
            <w:tcW w:w="0" w:type="auto"/>
            <w:shd w:val="clear" w:color="auto" w:fill="auto"/>
            <w:noWrap/>
          </w:tcPr>
          <w:p w14:paraId="14C35933" w14:textId="3B9D65D9" w:rsidR="00B068B0" w:rsidRPr="00C1603D" w:rsidRDefault="00B068B0" w:rsidP="00703099">
            <w:pPr>
              <w:pStyle w:val="72TabletextTablesTableFigureBoxstyles"/>
              <w:rPr>
                <w:lang w:eastAsia="en-GB"/>
              </w:rPr>
            </w:pPr>
            <w:r w:rsidRPr="00C1603D">
              <w:rPr>
                <w:lang w:eastAsia="en-GB"/>
              </w:rPr>
              <w:t>49.0 (18.0, 104)</w:t>
            </w:r>
          </w:p>
        </w:tc>
        <w:tc>
          <w:tcPr>
            <w:tcW w:w="0" w:type="auto"/>
            <w:vMerge/>
            <w:noWrap/>
          </w:tcPr>
          <w:p w14:paraId="2541BFE3" w14:textId="7C11BCA2" w:rsidR="00B068B0" w:rsidRPr="00C1603D" w:rsidRDefault="00B068B0" w:rsidP="00703099">
            <w:pPr>
              <w:pStyle w:val="72TabletextTablesTableFigureBoxstyles"/>
              <w:rPr>
                <w:lang w:eastAsia="en-GB"/>
              </w:rPr>
            </w:pPr>
          </w:p>
        </w:tc>
        <w:tc>
          <w:tcPr>
            <w:tcW w:w="0" w:type="auto"/>
            <w:shd w:val="clear" w:color="auto" w:fill="auto"/>
            <w:noWrap/>
          </w:tcPr>
          <w:p w14:paraId="666B3071" w14:textId="11766549" w:rsidR="00B068B0" w:rsidRPr="00C1603D" w:rsidRDefault="00B068B0" w:rsidP="00703099">
            <w:pPr>
              <w:pStyle w:val="72TabletextTablesTableFigureBoxstyles"/>
              <w:rPr>
                <w:lang w:eastAsia="en-GB"/>
              </w:rPr>
            </w:pPr>
            <w:r w:rsidRPr="00C1603D">
              <w:rPr>
                <w:lang w:eastAsia="en-GB"/>
              </w:rPr>
              <w:t>49.0 (18.0, 111)</w:t>
            </w:r>
          </w:p>
        </w:tc>
        <w:tc>
          <w:tcPr>
            <w:tcW w:w="0" w:type="auto"/>
            <w:shd w:val="clear" w:color="auto" w:fill="auto"/>
            <w:noWrap/>
          </w:tcPr>
          <w:p w14:paraId="392E5C1B" w14:textId="6CB5A100" w:rsidR="00B068B0" w:rsidRPr="00C1603D" w:rsidRDefault="00B068B0" w:rsidP="00703099">
            <w:pPr>
              <w:pStyle w:val="72TabletextTablesTableFigureBoxstyles"/>
              <w:rPr>
                <w:lang w:eastAsia="en-GB"/>
              </w:rPr>
            </w:pPr>
            <w:r w:rsidRPr="00C1603D">
              <w:rPr>
                <w:lang w:eastAsia="en-GB"/>
              </w:rPr>
              <w:t>47.0 (18.0, 108)</w:t>
            </w:r>
          </w:p>
        </w:tc>
        <w:tc>
          <w:tcPr>
            <w:tcW w:w="0" w:type="auto"/>
            <w:shd w:val="clear" w:color="auto" w:fill="auto"/>
            <w:noWrap/>
          </w:tcPr>
          <w:p w14:paraId="429057B8" w14:textId="6988FC36" w:rsidR="00B068B0" w:rsidRPr="00C1603D" w:rsidRDefault="00B068B0" w:rsidP="00703099">
            <w:pPr>
              <w:pStyle w:val="72TabletextTablesTableFigureBoxstyles"/>
              <w:rPr>
                <w:lang w:eastAsia="en-GB"/>
              </w:rPr>
            </w:pPr>
            <w:r w:rsidRPr="00C1603D">
              <w:rPr>
                <w:lang w:eastAsia="en-GB"/>
              </w:rPr>
              <w:t>46.0 (18.0, 99.0)</w:t>
            </w:r>
          </w:p>
        </w:tc>
        <w:tc>
          <w:tcPr>
            <w:tcW w:w="0" w:type="auto"/>
            <w:vMerge/>
            <w:noWrap/>
          </w:tcPr>
          <w:p w14:paraId="3681F481" w14:textId="4F7E9AFF" w:rsidR="00B068B0" w:rsidRPr="00C1603D" w:rsidRDefault="00B068B0" w:rsidP="00703099">
            <w:pPr>
              <w:pStyle w:val="72TabletextTablesTableFigureBoxstyles"/>
              <w:rPr>
                <w:lang w:eastAsia="en-GB"/>
              </w:rPr>
            </w:pPr>
          </w:p>
        </w:tc>
        <w:tc>
          <w:tcPr>
            <w:tcW w:w="0" w:type="auto"/>
            <w:shd w:val="clear" w:color="auto" w:fill="auto"/>
            <w:noWrap/>
          </w:tcPr>
          <w:p w14:paraId="328DB75B" w14:textId="12FC81F1" w:rsidR="00B068B0" w:rsidRPr="00C1603D" w:rsidRDefault="00B068B0" w:rsidP="00703099">
            <w:pPr>
              <w:pStyle w:val="72TabletextTablesTableFigureBoxstyles"/>
              <w:rPr>
                <w:lang w:eastAsia="en-GB"/>
              </w:rPr>
            </w:pPr>
            <w:r w:rsidRPr="00C1603D">
              <w:rPr>
                <w:lang w:eastAsia="en-GB"/>
              </w:rPr>
              <w:t>47.0 (18.0, 108)</w:t>
            </w:r>
          </w:p>
        </w:tc>
      </w:tr>
      <w:tr w:rsidR="008B4DF8" w:rsidRPr="00C1603D" w14:paraId="061C9F1D" w14:textId="77777777" w:rsidTr="0044057F">
        <w:trPr>
          <w:cantSplit/>
        </w:trPr>
        <w:tc>
          <w:tcPr>
            <w:tcW w:w="0" w:type="auto"/>
            <w:gridSpan w:val="9"/>
            <w:shd w:val="clear" w:color="auto" w:fill="auto"/>
            <w:noWrap/>
          </w:tcPr>
          <w:p w14:paraId="39A4E61C" w14:textId="732F11B7" w:rsidR="008B4DF8" w:rsidRPr="00C1603D" w:rsidRDefault="008B4DF8" w:rsidP="00B068B0">
            <w:pPr>
              <w:pStyle w:val="72TabletextTablesTableFigureBoxstyles"/>
              <w:rPr>
                <w:lang w:eastAsia="en-GB"/>
              </w:rPr>
            </w:pPr>
            <w:r w:rsidRPr="00C1603D">
              <w:rPr>
                <w:lang w:eastAsia="en-GB"/>
              </w:rPr>
              <w:t>Ethnicity</w:t>
            </w:r>
            <w:r w:rsidR="00B068B0" w:rsidRPr="00C1603D">
              <w:rPr>
                <w:lang w:eastAsia="en-GB"/>
              </w:rPr>
              <w:t xml:space="preserve">, </w:t>
            </w:r>
            <w:r w:rsidR="00B068B0" w:rsidRPr="00C1603D">
              <w:rPr>
                <w:i/>
                <w:lang w:eastAsia="en-GB"/>
              </w:rPr>
              <w:t>n</w:t>
            </w:r>
            <w:r w:rsidR="00B068B0" w:rsidRPr="00C1603D">
              <w:rPr>
                <w:lang w:eastAsia="en-GB"/>
              </w:rPr>
              <w:t xml:space="preserve"> (%)</w:t>
            </w:r>
          </w:p>
        </w:tc>
      </w:tr>
      <w:tr w:rsidR="00BB1FC5" w:rsidRPr="00C1603D" w14:paraId="6C791A2C" w14:textId="77777777" w:rsidTr="0044057F">
        <w:trPr>
          <w:cantSplit/>
        </w:trPr>
        <w:tc>
          <w:tcPr>
            <w:tcW w:w="0" w:type="auto"/>
            <w:shd w:val="clear" w:color="auto" w:fill="auto"/>
            <w:noWrap/>
          </w:tcPr>
          <w:p w14:paraId="1310C4F9" w14:textId="6F62C9E4" w:rsidR="00BB1FC5" w:rsidRPr="00C1603D" w:rsidRDefault="00BB1FC5" w:rsidP="00703099">
            <w:pPr>
              <w:pStyle w:val="72TabletextTablesTableFigureBoxstyles"/>
              <w:rPr>
                <w:lang w:eastAsia="en-GB"/>
              </w:rPr>
            </w:pPr>
            <w:r w:rsidRPr="00C1603D">
              <w:rPr>
                <w:lang w:eastAsia="en-GB"/>
              </w:rPr>
              <w:tab/>
              <w:t>Non-white</w:t>
            </w:r>
          </w:p>
        </w:tc>
        <w:tc>
          <w:tcPr>
            <w:tcW w:w="0" w:type="auto"/>
            <w:shd w:val="clear" w:color="auto" w:fill="auto"/>
            <w:noWrap/>
          </w:tcPr>
          <w:p w14:paraId="05614918" w14:textId="21BFEFA3" w:rsidR="00BB1FC5" w:rsidRPr="00C1603D" w:rsidRDefault="00BB1FC5" w:rsidP="00703099">
            <w:pPr>
              <w:pStyle w:val="72TabletextTablesTableFigureBoxstyles"/>
              <w:rPr>
                <w:lang w:eastAsia="en-GB"/>
              </w:rPr>
            </w:pPr>
            <w:r w:rsidRPr="00C1603D">
              <w:rPr>
                <w:lang w:eastAsia="en-GB"/>
              </w:rPr>
              <w:t>807 (2.2)</w:t>
            </w:r>
          </w:p>
        </w:tc>
        <w:tc>
          <w:tcPr>
            <w:tcW w:w="0" w:type="auto"/>
            <w:shd w:val="clear" w:color="auto" w:fill="auto"/>
            <w:noWrap/>
          </w:tcPr>
          <w:p w14:paraId="003DDFE2" w14:textId="5B5912DC" w:rsidR="00BB1FC5" w:rsidRPr="00C1603D" w:rsidRDefault="00BB1FC5" w:rsidP="00703099">
            <w:pPr>
              <w:pStyle w:val="72TabletextTablesTableFigureBoxstyles"/>
              <w:rPr>
                <w:lang w:eastAsia="en-GB"/>
              </w:rPr>
            </w:pPr>
            <w:r w:rsidRPr="00C1603D">
              <w:rPr>
                <w:lang w:eastAsia="en-GB"/>
              </w:rPr>
              <w:t>212 (1.8)</w:t>
            </w:r>
          </w:p>
        </w:tc>
        <w:tc>
          <w:tcPr>
            <w:tcW w:w="0" w:type="auto"/>
            <w:vMerge w:val="restart"/>
            <w:shd w:val="clear" w:color="auto" w:fill="auto"/>
            <w:noWrap/>
          </w:tcPr>
          <w:p w14:paraId="60C2A37D" w14:textId="77777777" w:rsidR="00BB1FC5" w:rsidRPr="00C1603D" w:rsidRDefault="00BB1FC5" w:rsidP="00703099">
            <w:pPr>
              <w:pStyle w:val="72TabletextTablesTableFigureBoxstyles"/>
              <w:rPr>
                <w:lang w:eastAsia="en-GB"/>
              </w:rPr>
            </w:pPr>
            <w:r w:rsidRPr="00C1603D">
              <w:rPr>
                <w:color w:val="00B0F0"/>
                <w:lang w:eastAsia="en-GB"/>
              </w:rPr>
              <w:t>&lt; 0</w:t>
            </w:r>
            <w:r w:rsidRPr="00C1603D">
              <w:rPr>
                <w:lang w:eastAsia="en-GB"/>
              </w:rPr>
              <w:t>.0</w:t>
            </w:r>
            <w:r w:rsidRPr="00C1603D">
              <w:rPr>
                <w:lang w:eastAsia="en-GB"/>
              </w:rPr>
              <w:lastRenderedPageBreak/>
              <w:t>01</w:t>
            </w:r>
          </w:p>
        </w:tc>
        <w:tc>
          <w:tcPr>
            <w:tcW w:w="0" w:type="auto"/>
            <w:shd w:val="clear" w:color="auto" w:fill="auto"/>
            <w:noWrap/>
          </w:tcPr>
          <w:p w14:paraId="2606C9B4" w14:textId="0335692D" w:rsidR="00BB1FC5" w:rsidRPr="00C1603D" w:rsidRDefault="00BB1FC5" w:rsidP="00703099">
            <w:pPr>
              <w:pStyle w:val="72TabletextTablesTableFigureBoxstyles"/>
              <w:rPr>
                <w:lang w:eastAsia="en-GB"/>
              </w:rPr>
            </w:pPr>
            <w:r w:rsidRPr="00C1603D">
              <w:rPr>
                <w:lang w:eastAsia="en-GB"/>
              </w:rPr>
              <w:lastRenderedPageBreak/>
              <w:t>1019 (2.1)</w:t>
            </w:r>
          </w:p>
        </w:tc>
        <w:tc>
          <w:tcPr>
            <w:tcW w:w="0" w:type="auto"/>
            <w:shd w:val="clear" w:color="auto" w:fill="auto"/>
            <w:noWrap/>
          </w:tcPr>
          <w:p w14:paraId="6D74D7B4" w14:textId="3310A25D" w:rsidR="00BB1FC5" w:rsidRPr="00C1603D" w:rsidRDefault="00BB1FC5" w:rsidP="00703099">
            <w:pPr>
              <w:pStyle w:val="72TabletextTablesTableFigureBoxstyles"/>
              <w:rPr>
                <w:lang w:eastAsia="en-GB"/>
              </w:rPr>
            </w:pPr>
            <w:r w:rsidRPr="00C1603D">
              <w:rPr>
                <w:lang w:eastAsia="en-GB"/>
              </w:rPr>
              <w:t>1262 (1.6)</w:t>
            </w:r>
          </w:p>
        </w:tc>
        <w:tc>
          <w:tcPr>
            <w:tcW w:w="0" w:type="auto"/>
            <w:shd w:val="clear" w:color="auto" w:fill="auto"/>
            <w:noWrap/>
          </w:tcPr>
          <w:p w14:paraId="36840203" w14:textId="20319A6A" w:rsidR="00BB1FC5" w:rsidRPr="00C1603D" w:rsidRDefault="00BB1FC5" w:rsidP="00703099">
            <w:pPr>
              <w:pStyle w:val="72TabletextTablesTableFigureBoxstyles"/>
              <w:rPr>
                <w:lang w:eastAsia="en-GB"/>
              </w:rPr>
            </w:pPr>
            <w:r w:rsidRPr="00C1603D">
              <w:rPr>
                <w:lang w:eastAsia="en-GB"/>
              </w:rPr>
              <w:t>399 (1.5)</w:t>
            </w:r>
          </w:p>
        </w:tc>
        <w:tc>
          <w:tcPr>
            <w:tcW w:w="0" w:type="auto"/>
            <w:vMerge w:val="restart"/>
            <w:shd w:val="clear" w:color="auto" w:fill="auto"/>
            <w:noWrap/>
          </w:tcPr>
          <w:p w14:paraId="014DFD0B" w14:textId="77777777" w:rsidR="00BB1FC5" w:rsidRPr="00C1603D" w:rsidRDefault="00BB1FC5" w:rsidP="00703099">
            <w:pPr>
              <w:pStyle w:val="72TabletextTablesTableFigureBoxstyles"/>
              <w:rPr>
                <w:lang w:eastAsia="en-GB"/>
              </w:rPr>
            </w:pPr>
            <w:r w:rsidRPr="00C1603D">
              <w:rPr>
                <w:color w:val="00B0F0"/>
                <w:lang w:eastAsia="en-GB"/>
              </w:rPr>
              <w:t>&lt; 0</w:t>
            </w:r>
            <w:r w:rsidRPr="00C1603D">
              <w:rPr>
                <w:lang w:eastAsia="en-GB"/>
              </w:rPr>
              <w:t>.0</w:t>
            </w:r>
            <w:r w:rsidRPr="00C1603D">
              <w:rPr>
                <w:lang w:eastAsia="en-GB"/>
              </w:rPr>
              <w:lastRenderedPageBreak/>
              <w:t>01</w:t>
            </w:r>
          </w:p>
        </w:tc>
        <w:tc>
          <w:tcPr>
            <w:tcW w:w="0" w:type="auto"/>
            <w:shd w:val="clear" w:color="auto" w:fill="auto"/>
            <w:noWrap/>
          </w:tcPr>
          <w:p w14:paraId="27F13B35" w14:textId="29FD89B5" w:rsidR="00BB1FC5" w:rsidRPr="00C1603D" w:rsidRDefault="00BB1FC5" w:rsidP="00703099">
            <w:pPr>
              <w:pStyle w:val="72TabletextTablesTableFigureBoxstyles"/>
              <w:rPr>
                <w:lang w:eastAsia="en-GB"/>
              </w:rPr>
            </w:pPr>
            <w:r w:rsidRPr="00C1603D">
              <w:rPr>
                <w:lang w:eastAsia="en-GB"/>
              </w:rPr>
              <w:lastRenderedPageBreak/>
              <w:t>1661 (1.6)</w:t>
            </w:r>
          </w:p>
        </w:tc>
      </w:tr>
      <w:tr w:rsidR="00BB1FC5" w:rsidRPr="00C1603D" w14:paraId="7578DC3A" w14:textId="77777777" w:rsidTr="0044057F">
        <w:trPr>
          <w:cantSplit/>
        </w:trPr>
        <w:tc>
          <w:tcPr>
            <w:tcW w:w="0" w:type="auto"/>
            <w:shd w:val="clear" w:color="auto" w:fill="auto"/>
            <w:noWrap/>
          </w:tcPr>
          <w:p w14:paraId="7CEDFEFB" w14:textId="3BE827C5" w:rsidR="00BB1FC5" w:rsidRPr="00C1603D" w:rsidRDefault="00BB1FC5" w:rsidP="00703099">
            <w:pPr>
              <w:pStyle w:val="72TabletextTablesTableFigureBoxstyles"/>
              <w:rPr>
                <w:lang w:eastAsia="en-GB"/>
              </w:rPr>
            </w:pPr>
            <w:r w:rsidRPr="00C1603D">
              <w:rPr>
                <w:lang w:eastAsia="en-GB"/>
              </w:rPr>
              <w:lastRenderedPageBreak/>
              <w:tab/>
              <w:t>White</w:t>
            </w:r>
          </w:p>
        </w:tc>
        <w:tc>
          <w:tcPr>
            <w:tcW w:w="0" w:type="auto"/>
            <w:shd w:val="clear" w:color="auto" w:fill="auto"/>
            <w:noWrap/>
          </w:tcPr>
          <w:p w14:paraId="515BE87B" w14:textId="7E1FC36A" w:rsidR="00BB1FC5" w:rsidRPr="00C1603D" w:rsidRDefault="00BB1FC5" w:rsidP="00703099">
            <w:pPr>
              <w:pStyle w:val="72TabletextTablesTableFigureBoxstyles"/>
              <w:rPr>
                <w:lang w:eastAsia="en-GB"/>
              </w:rPr>
            </w:pPr>
            <w:r w:rsidRPr="00C1603D">
              <w:rPr>
                <w:lang w:eastAsia="en-GB"/>
              </w:rPr>
              <w:t>12</w:t>
            </w:r>
            <w:r w:rsidR="002069F8" w:rsidRPr="00C1603D">
              <w:rPr>
                <w:lang w:eastAsia="en-GB"/>
              </w:rPr>
              <w:t>,</w:t>
            </w:r>
            <w:r w:rsidRPr="00C1603D">
              <w:rPr>
                <w:lang w:eastAsia="en-GB"/>
              </w:rPr>
              <w:t>286 (33.1)</w:t>
            </w:r>
          </w:p>
        </w:tc>
        <w:tc>
          <w:tcPr>
            <w:tcW w:w="0" w:type="auto"/>
            <w:shd w:val="clear" w:color="auto" w:fill="auto"/>
            <w:noWrap/>
          </w:tcPr>
          <w:p w14:paraId="4DF295EB" w14:textId="44A0E138" w:rsidR="00BB1FC5" w:rsidRPr="00C1603D" w:rsidRDefault="00BB1FC5" w:rsidP="00703099">
            <w:pPr>
              <w:pStyle w:val="72TabletextTablesTableFigureBoxstyles"/>
              <w:rPr>
                <w:lang w:eastAsia="en-GB"/>
              </w:rPr>
            </w:pPr>
            <w:r w:rsidRPr="00C1603D">
              <w:rPr>
                <w:lang w:eastAsia="en-GB"/>
              </w:rPr>
              <w:t>4612 (38.3)</w:t>
            </w:r>
          </w:p>
        </w:tc>
        <w:tc>
          <w:tcPr>
            <w:tcW w:w="0" w:type="auto"/>
            <w:vMerge/>
            <w:noWrap/>
          </w:tcPr>
          <w:p w14:paraId="6E6E2D0A" w14:textId="6FAF5D02" w:rsidR="00BB1FC5" w:rsidRPr="00C1603D" w:rsidRDefault="00BB1FC5" w:rsidP="00703099">
            <w:pPr>
              <w:pStyle w:val="72TabletextTablesTableFigureBoxstyles"/>
              <w:rPr>
                <w:lang w:eastAsia="en-GB"/>
              </w:rPr>
            </w:pPr>
          </w:p>
        </w:tc>
        <w:tc>
          <w:tcPr>
            <w:tcW w:w="0" w:type="auto"/>
            <w:shd w:val="clear" w:color="auto" w:fill="auto"/>
            <w:noWrap/>
          </w:tcPr>
          <w:p w14:paraId="13C2BC37" w14:textId="671D6B06" w:rsidR="00BB1FC5" w:rsidRPr="00C1603D" w:rsidRDefault="00BB1FC5" w:rsidP="00703099">
            <w:pPr>
              <w:pStyle w:val="72TabletextTablesTableFigureBoxstyles"/>
              <w:rPr>
                <w:lang w:eastAsia="en-GB"/>
              </w:rPr>
            </w:pPr>
            <w:r w:rsidRPr="00C1603D">
              <w:rPr>
                <w:lang w:eastAsia="en-GB"/>
              </w:rPr>
              <w:t>16</w:t>
            </w:r>
            <w:r w:rsidR="002069F8" w:rsidRPr="00C1603D">
              <w:rPr>
                <w:lang w:eastAsia="en-GB"/>
              </w:rPr>
              <w:t>,</w:t>
            </w:r>
            <w:r w:rsidRPr="00C1603D">
              <w:rPr>
                <w:lang w:eastAsia="en-GB"/>
              </w:rPr>
              <w:t>898 (34.4)</w:t>
            </w:r>
          </w:p>
        </w:tc>
        <w:tc>
          <w:tcPr>
            <w:tcW w:w="0" w:type="auto"/>
            <w:shd w:val="clear" w:color="auto" w:fill="auto"/>
            <w:noWrap/>
          </w:tcPr>
          <w:p w14:paraId="30BB4CE5" w14:textId="38B9C47C" w:rsidR="00BB1FC5" w:rsidRPr="00C1603D" w:rsidRDefault="00BB1FC5" w:rsidP="00703099">
            <w:pPr>
              <w:pStyle w:val="72TabletextTablesTableFigureBoxstyles"/>
              <w:rPr>
                <w:lang w:eastAsia="en-GB"/>
              </w:rPr>
            </w:pPr>
            <w:r w:rsidRPr="00C1603D">
              <w:rPr>
                <w:lang w:eastAsia="en-GB"/>
              </w:rPr>
              <w:t>11</w:t>
            </w:r>
            <w:r w:rsidR="002069F8" w:rsidRPr="00C1603D">
              <w:rPr>
                <w:lang w:eastAsia="en-GB"/>
              </w:rPr>
              <w:t>,</w:t>
            </w:r>
            <w:r w:rsidRPr="00C1603D">
              <w:rPr>
                <w:lang w:eastAsia="en-GB"/>
              </w:rPr>
              <w:t>210 (14.5)</w:t>
            </w:r>
          </w:p>
        </w:tc>
        <w:tc>
          <w:tcPr>
            <w:tcW w:w="0" w:type="auto"/>
            <w:shd w:val="clear" w:color="auto" w:fill="auto"/>
            <w:noWrap/>
          </w:tcPr>
          <w:p w14:paraId="1C81A889" w14:textId="5767EC4C" w:rsidR="00BB1FC5" w:rsidRPr="00C1603D" w:rsidRDefault="00BB1FC5" w:rsidP="00703099">
            <w:pPr>
              <w:pStyle w:val="72TabletextTablesTableFigureBoxstyles"/>
              <w:rPr>
                <w:lang w:eastAsia="en-GB"/>
              </w:rPr>
            </w:pPr>
            <w:r w:rsidRPr="00C1603D">
              <w:rPr>
                <w:lang w:eastAsia="en-GB"/>
              </w:rPr>
              <w:t>4496 (17.2)</w:t>
            </w:r>
          </w:p>
        </w:tc>
        <w:tc>
          <w:tcPr>
            <w:tcW w:w="0" w:type="auto"/>
            <w:vMerge/>
            <w:noWrap/>
          </w:tcPr>
          <w:p w14:paraId="352B6437" w14:textId="74529572" w:rsidR="00BB1FC5" w:rsidRPr="00C1603D" w:rsidRDefault="00BB1FC5" w:rsidP="00703099">
            <w:pPr>
              <w:pStyle w:val="72TabletextTablesTableFigureBoxstyles"/>
              <w:rPr>
                <w:lang w:eastAsia="en-GB"/>
              </w:rPr>
            </w:pPr>
          </w:p>
        </w:tc>
        <w:tc>
          <w:tcPr>
            <w:tcW w:w="0" w:type="auto"/>
            <w:shd w:val="clear" w:color="auto" w:fill="auto"/>
            <w:noWrap/>
          </w:tcPr>
          <w:p w14:paraId="5CB060A7" w14:textId="54BD0371" w:rsidR="00BB1FC5" w:rsidRPr="00C1603D" w:rsidRDefault="00BB1FC5" w:rsidP="00703099">
            <w:pPr>
              <w:pStyle w:val="72TabletextTablesTableFigureBoxstyles"/>
              <w:rPr>
                <w:lang w:eastAsia="en-GB"/>
              </w:rPr>
            </w:pPr>
            <w:r w:rsidRPr="00C1603D">
              <w:rPr>
                <w:lang w:eastAsia="en-GB"/>
              </w:rPr>
              <w:t>15</w:t>
            </w:r>
            <w:r w:rsidR="002069F8" w:rsidRPr="00C1603D">
              <w:rPr>
                <w:lang w:eastAsia="en-GB"/>
              </w:rPr>
              <w:t>,</w:t>
            </w:r>
            <w:r w:rsidRPr="00C1603D">
              <w:rPr>
                <w:lang w:eastAsia="en-GB"/>
              </w:rPr>
              <w:t>706 (15.2)</w:t>
            </w:r>
          </w:p>
        </w:tc>
      </w:tr>
      <w:tr w:rsidR="00BB1FC5" w:rsidRPr="00C1603D" w14:paraId="55B28D56" w14:textId="77777777" w:rsidTr="0044057F">
        <w:trPr>
          <w:cantSplit/>
        </w:trPr>
        <w:tc>
          <w:tcPr>
            <w:tcW w:w="0" w:type="auto"/>
            <w:shd w:val="clear" w:color="auto" w:fill="auto"/>
            <w:noWrap/>
          </w:tcPr>
          <w:p w14:paraId="38A59D0C" w14:textId="544A9665" w:rsidR="00BB1FC5" w:rsidRPr="00C1603D" w:rsidRDefault="00BB1FC5" w:rsidP="00703099">
            <w:pPr>
              <w:pStyle w:val="72TabletextTablesTableFigureBoxstyles"/>
              <w:rPr>
                <w:lang w:eastAsia="en-GB"/>
              </w:rPr>
            </w:pPr>
            <w:r w:rsidRPr="00C1603D">
              <w:rPr>
                <w:lang w:eastAsia="en-GB"/>
              </w:rPr>
              <w:tab/>
              <w:t>Missing</w:t>
            </w:r>
          </w:p>
        </w:tc>
        <w:tc>
          <w:tcPr>
            <w:tcW w:w="0" w:type="auto"/>
            <w:shd w:val="clear" w:color="auto" w:fill="auto"/>
            <w:noWrap/>
          </w:tcPr>
          <w:p w14:paraId="4486B87D" w14:textId="6E9FA8E8" w:rsidR="00BB1FC5" w:rsidRPr="00C1603D" w:rsidRDefault="00BB1FC5" w:rsidP="00703099">
            <w:pPr>
              <w:pStyle w:val="72TabletextTablesTableFigureBoxstyles"/>
              <w:rPr>
                <w:lang w:eastAsia="en-GB"/>
              </w:rPr>
            </w:pPr>
            <w:r w:rsidRPr="00C1603D">
              <w:rPr>
                <w:lang w:eastAsia="en-GB"/>
              </w:rPr>
              <w:t>23</w:t>
            </w:r>
            <w:r w:rsidR="002069F8" w:rsidRPr="00C1603D">
              <w:rPr>
                <w:lang w:eastAsia="en-GB"/>
              </w:rPr>
              <w:t>,</w:t>
            </w:r>
            <w:r w:rsidRPr="00C1603D">
              <w:rPr>
                <w:lang w:eastAsia="en-GB"/>
              </w:rPr>
              <w:t>986 (64.7)</w:t>
            </w:r>
          </w:p>
        </w:tc>
        <w:tc>
          <w:tcPr>
            <w:tcW w:w="0" w:type="auto"/>
            <w:shd w:val="clear" w:color="auto" w:fill="auto"/>
            <w:noWrap/>
          </w:tcPr>
          <w:p w14:paraId="7F607929" w14:textId="42C72FAA" w:rsidR="00BB1FC5" w:rsidRPr="00C1603D" w:rsidRDefault="00BB1FC5" w:rsidP="00703099">
            <w:pPr>
              <w:pStyle w:val="72TabletextTablesTableFigureBoxstyles"/>
              <w:rPr>
                <w:lang w:eastAsia="en-GB"/>
              </w:rPr>
            </w:pPr>
            <w:r w:rsidRPr="00C1603D">
              <w:rPr>
                <w:lang w:eastAsia="en-GB"/>
              </w:rPr>
              <w:t>7227 (60.0)</w:t>
            </w:r>
          </w:p>
        </w:tc>
        <w:tc>
          <w:tcPr>
            <w:tcW w:w="0" w:type="auto"/>
            <w:vMerge/>
            <w:noWrap/>
          </w:tcPr>
          <w:p w14:paraId="33150D5C" w14:textId="35901A6D" w:rsidR="00BB1FC5" w:rsidRPr="00C1603D" w:rsidRDefault="00BB1FC5" w:rsidP="00703099">
            <w:pPr>
              <w:pStyle w:val="72TabletextTablesTableFigureBoxstyles"/>
              <w:rPr>
                <w:lang w:eastAsia="en-GB"/>
              </w:rPr>
            </w:pPr>
          </w:p>
        </w:tc>
        <w:tc>
          <w:tcPr>
            <w:tcW w:w="0" w:type="auto"/>
            <w:shd w:val="clear" w:color="auto" w:fill="auto"/>
            <w:noWrap/>
          </w:tcPr>
          <w:p w14:paraId="49AE58D0" w14:textId="0AFB55F6" w:rsidR="00BB1FC5" w:rsidRPr="00C1603D" w:rsidRDefault="00BB1FC5" w:rsidP="00703099">
            <w:pPr>
              <w:pStyle w:val="72TabletextTablesTableFigureBoxstyles"/>
              <w:rPr>
                <w:lang w:eastAsia="en-GB"/>
              </w:rPr>
            </w:pPr>
            <w:r w:rsidRPr="00C1603D">
              <w:rPr>
                <w:lang w:eastAsia="en-GB"/>
              </w:rPr>
              <w:t>31</w:t>
            </w:r>
            <w:r w:rsidR="002069F8" w:rsidRPr="00C1603D">
              <w:rPr>
                <w:lang w:eastAsia="en-GB"/>
              </w:rPr>
              <w:t>,</w:t>
            </w:r>
            <w:r w:rsidRPr="00C1603D">
              <w:rPr>
                <w:lang w:eastAsia="en-GB"/>
              </w:rPr>
              <w:t>213 (63.5)</w:t>
            </w:r>
          </w:p>
        </w:tc>
        <w:tc>
          <w:tcPr>
            <w:tcW w:w="0" w:type="auto"/>
            <w:shd w:val="clear" w:color="auto" w:fill="auto"/>
            <w:noWrap/>
          </w:tcPr>
          <w:p w14:paraId="40920DF6" w14:textId="49B39F84" w:rsidR="00BB1FC5" w:rsidRPr="00C1603D" w:rsidRDefault="00BB1FC5" w:rsidP="00703099">
            <w:pPr>
              <w:pStyle w:val="72TabletextTablesTableFigureBoxstyles"/>
              <w:rPr>
                <w:lang w:eastAsia="en-GB"/>
              </w:rPr>
            </w:pPr>
            <w:r w:rsidRPr="00C1603D">
              <w:rPr>
                <w:lang w:eastAsia="en-GB"/>
              </w:rPr>
              <w:t>64</w:t>
            </w:r>
            <w:r w:rsidR="002069F8" w:rsidRPr="00C1603D">
              <w:rPr>
                <w:lang w:eastAsia="en-GB"/>
              </w:rPr>
              <w:t>,</w:t>
            </w:r>
            <w:r w:rsidRPr="00C1603D">
              <w:rPr>
                <w:lang w:eastAsia="en-GB"/>
              </w:rPr>
              <w:t>950 (83.9)</w:t>
            </w:r>
          </w:p>
        </w:tc>
        <w:tc>
          <w:tcPr>
            <w:tcW w:w="0" w:type="auto"/>
            <w:shd w:val="clear" w:color="auto" w:fill="auto"/>
            <w:noWrap/>
          </w:tcPr>
          <w:p w14:paraId="3E2E6D82" w14:textId="318E3CA8" w:rsidR="00BB1FC5" w:rsidRPr="00C1603D" w:rsidRDefault="00BB1FC5" w:rsidP="00703099">
            <w:pPr>
              <w:pStyle w:val="72TabletextTablesTableFigureBoxstyles"/>
              <w:rPr>
                <w:lang w:eastAsia="en-GB"/>
              </w:rPr>
            </w:pPr>
            <w:r w:rsidRPr="00C1603D">
              <w:rPr>
                <w:lang w:eastAsia="en-GB"/>
              </w:rPr>
              <w:t>21</w:t>
            </w:r>
            <w:r w:rsidR="002069F8" w:rsidRPr="00C1603D">
              <w:rPr>
                <w:lang w:eastAsia="en-GB"/>
              </w:rPr>
              <w:t>,</w:t>
            </w:r>
            <w:r w:rsidRPr="00C1603D">
              <w:rPr>
                <w:lang w:eastAsia="en-GB"/>
              </w:rPr>
              <w:t>269 (81.3)</w:t>
            </w:r>
          </w:p>
        </w:tc>
        <w:tc>
          <w:tcPr>
            <w:tcW w:w="0" w:type="auto"/>
            <w:vMerge/>
            <w:noWrap/>
          </w:tcPr>
          <w:p w14:paraId="162BF796" w14:textId="1F3C2C0E" w:rsidR="00BB1FC5" w:rsidRPr="00C1603D" w:rsidRDefault="00BB1FC5" w:rsidP="00703099">
            <w:pPr>
              <w:pStyle w:val="72TabletextTablesTableFigureBoxstyles"/>
              <w:rPr>
                <w:lang w:eastAsia="en-GB"/>
              </w:rPr>
            </w:pPr>
          </w:p>
        </w:tc>
        <w:tc>
          <w:tcPr>
            <w:tcW w:w="0" w:type="auto"/>
            <w:shd w:val="clear" w:color="auto" w:fill="auto"/>
            <w:noWrap/>
          </w:tcPr>
          <w:p w14:paraId="2FC5E36D" w14:textId="7239E189" w:rsidR="00BB1FC5" w:rsidRPr="00C1603D" w:rsidRDefault="00BB1FC5" w:rsidP="00703099">
            <w:pPr>
              <w:pStyle w:val="72TabletextTablesTableFigureBoxstyles"/>
              <w:rPr>
                <w:lang w:eastAsia="en-GB"/>
              </w:rPr>
            </w:pPr>
            <w:r w:rsidRPr="00C1603D">
              <w:rPr>
                <w:lang w:eastAsia="en-GB"/>
              </w:rPr>
              <w:t>86</w:t>
            </w:r>
            <w:r w:rsidR="002069F8" w:rsidRPr="00C1603D">
              <w:rPr>
                <w:lang w:eastAsia="en-GB"/>
              </w:rPr>
              <w:t>,</w:t>
            </w:r>
            <w:r w:rsidRPr="00C1603D">
              <w:rPr>
                <w:lang w:eastAsia="en-GB"/>
              </w:rPr>
              <w:t>219 (83.2)</w:t>
            </w:r>
          </w:p>
        </w:tc>
      </w:tr>
      <w:tr w:rsidR="008B4DF8" w:rsidRPr="00C1603D" w14:paraId="13655971" w14:textId="77777777" w:rsidTr="0044057F">
        <w:trPr>
          <w:cantSplit/>
        </w:trPr>
        <w:tc>
          <w:tcPr>
            <w:tcW w:w="0" w:type="auto"/>
            <w:gridSpan w:val="9"/>
            <w:shd w:val="clear" w:color="auto" w:fill="auto"/>
            <w:noWrap/>
          </w:tcPr>
          <w:p w14:paraId="3DE4F3AF" w14:textId="702FAE8D" w:rsidR="008B4DF8" w:rsidRPr="00C1603D" w:rsidRDefault="008B4DF8" w:rsidP="00BB1FC5">
            <w:pPr>
              <w:pStyle w:val="72TabletextTablesTableFigureBoxstyles"/>
              <w:rPr>
                <w:lang w:eastAsia="en-GB"/>
              </w:rPr>
            </w:pPr>
            <w:r w:rsidRPr="00C1603D">
              <w:rPr>
                <w:lang w:eastAsia="en-GB"/>
              </w:rPr>
              <w:t>Deprivation (IMD 2015 quintiles)</w:t>
            </w:r>
            <w:r w:rsidR="00BB1FC5" w:rsidRPr="00C1603D">
              <w:rPr>
                <w:lang w:eastAsia="en-GB"/>
              </w:rPr>
              <w:t xml:space="preserve"> , </w:t>
            </w:r>
            <w:r w:rsidR="00BB1FC5" w:rsidRPr="00C1603D">
              <w:rPr>
                <w:i/>
                <w:lang w:eastAsia="en-GB"/>
              </w:rPr>
              <w:t>n</w:t>
            </w:r>
            <w:r w:rsidR="00BB1FC5" w:rsidRPr="00C1603D">
              <w:rPr>
                <w:lang w:eastAsia="en-GB"/>
              </w:rPr>
              <w:t xml:space="preserve"> (%)</w:t>
            </w:r>
          </w:p>
        </w:tc>
      </w:tr>
      <w:tr w:rsidR="00BB1FC5" w:rsidRPr="00C1603D" w14:paraId="7D5C793B" w14:textId="77777777" w:rsidTr="0044057F">
        <w:trPr>
          <w:cantSplit/>
        </w:trPr>
        <w:tc>
          <w:tcPr>
            <w:tcW w:w="0" w:type="auto"/>
            <w:shd w:val="clear" w:color="auto" w:fill="auto"/>
            <w:noWrap/>
          </w:tcPr>
          <w:p w14:paraId="322507DD" w14:textId="70484930" w:rsidR="00BB1FC5" w:rsidRPr="00C1603D" w:rsidRDefault="00BB1FC5" w:rsidP="00703099">
            <w:pPr>
              <w:pStyle w:val="72TabletextTablesTableFigureBoxstyles"/>
              <w:rPr>
                <w:lang w:eastAsia="en-GB"/>
              </w:rPr>
            </w:pPr>
            <w:r w:rsidRPr="00C1603D">
              <w:rPr>
                <w:lang w:eastAsia="en-GB"/>
              </w:rPr>
              <w:tab/>
              <w:t>1</w:t>
            </w:r>
          </w:p>
        </w:tc>
        <w:tc>
          <w:tcPr>
            <w:tcW w:w="0" w:type="auto"/>
            <w:shd w:val="clear" w:color="auto" w:fill="auto"/>
            <w:noWrap/>
          </w:tcPr>
          <w:p w14:paraId="51AB6B85" w14:textId="546CA53F" w:rsidR="00BB1FC5" w:rsidRPr="00C1603D" w:rsidRDefault="00BB1FC5" w:rsidP="00703099">
            <w:pPr>
              <w:pStyle w:val="72TabletextTablesTableFigureBoxstyles"/>
              <w:rPr>
                <w:lang w:eastAsia="en-GB"/>
              </w:rPr>
            </w:pPr>
            <w:r w:rsidRPr="00C1603D">
              <w:rPr>
                <w:lang w:eastAsia="en-GB"/>
              </w:rPr>
              <w:t>3199 (8.6)</w:t>
            </w:r>
          </w:p>
        </w:tc>
        <w:tc>
          <w:tcPr>
            <w:tcW w:w="0" w:type="auto"/>
            <w:shd w:val="clear" w:color="auto" w:fill="auto"/>
            <w:noWrap/>
          </w:tcPr>
          <w:p w14:paraId="3848BD09" w14:textId="670C32CF" w:rsidR="00BB1FC5" w:rsidRPr="00C1603D" w:rsidRDefault="00BB1FC5" w:rsidP="00703099">
            <w:pPr>
              <w:pStyle w:val="72TabletextTablesTableFigureBoxstyles"/>
              <w:rPr>
                <w:lang w:eastAsia="en-GB"/>
              </w:rPr>
            </w:pPr>
            <w:r w:rsidRPr="00C1603D">
              <w:rPr>
                <w:lang w:eastAsia="en-GB"/>
              </w:rPr>
              <w:t>1262 (10.5)</w:t>
            </w:r>
          </w:p>
        </w:tc>
        <w:tc>
          <w:tcPr>
            <w:tcW w:w="0" w:type="auto"/>
            <w:vMerge w:val="restart"/>
            <w:shd w:val="clear" w:color="auto" w:fill="auto"/>
            <w:noWrap/>
          </w:tcPr>
          <w:p w14:paraId="5988D570" w14:textId="77777777" w:rsidR="00BB1FC5" w:rsidRPr="00C1603D" w:rsidRDefault="00BB1FC5" w:rsidP="00703099">
            <w:pPr>
              <w:pStyle w:val="72TabletextTablesTableFigureBoxstyles"/>
              <w:rPr>
                <w:lang w:eastAsia="en-GB"/>
              </w:rPr>
            </w:pPr>
            <w:r w:rsidRPr="00C1603D">
              <w:rPr>
                <w:lang w:eastAsia="en-GB"/>
              </w:rPr>
              <w:t>0.174</w:t>
            </w:r>
          </w:p>
        </w:tc>
        <w:tc>
          <w:tcPr>
            <w:tcW w:w="0" w:type="auto"/>
            <w:shd w:val="clear" w:color="auto" w:fill="auto"/>
            <w:noWrap/>
          </w:tcPr>
          <w:p w14:paraId="71711B5A" w14:textId="5A060FA1" w:rsidR="00BB1FC5" w:rsidRPr="00C1603D" w:rsidRDefault="00BB1FC5" w:rsidP="00703099">
            <w:pPr>
              <w:pStyle w:val="72TabletextTablesTableFigureBoxstyles"/>
              <w:rPr>
                <w:lang w:eastAsia="en-GB"/>
              </w:rPr>
            </w:pPr>
            <w:r w:rsidRPr="00C1603D">
              <w:rPr>
                <w:lang w:eastAsia="en-GB"/>
              </w:rPr>
              <w:t>4461 (9.1)</w:t>
            </w:r>
          </w:p>
        </w:tc>
        <w:tc>
          <w:tcPr>
            <w:tcW w:w="0" w:type="auto"/>
            <w:shd w:val="clear" w:color="auto" w:fill="auto"/>
            <w:noWrap/>
          </w:tcPr>
          <w:p w14:paraId="1B333A97" w14:textId="35928AED" w:rsidR="00BB1FC5" w:rsidRPr="00C1603D" w:rsidRDefault="00BB1FC5" w:rsidP="00703099">
            <w:pPr>
              <w:pStyle w:val="72TabletextTablesTableFigureBoxstyles"/>
              <w:rPr>
                <w:lang w:eastAsia="en-GB"/>
              </w:rPr>
            </w:pPr>
            <w:r w:rsidRPr="00C1603D">
              <w:rPr>
                <w:lang w:eastAsia="en-GB"/>
              </w:rPr>
              <w:t>4255 (5.5)</w:t>
            </w:r>
          </w:p>
        </w:tc>
        <w:tc>
          <w:tcPr>
            <w:tcW w:w="0" w:type="auto"/>
            <w:shd w:val="clear" w:color="auto" w:fill="auto"/>
            <w:noWrap/>
          </w:tcPr>
          <w:p w14:paraId="175B861B" w14:textId="51E86E1A" w:rsidR="00BB1FC5" w:rsidRPr="00C1603D" w:rsidRDefault="00BB1FC5" w:rsidP="00703099">
            <w:pPr>
              <w:pStyle w:val="72TabletextTablesTableFigureBoxstyles"/>
              <w:rPr>
                <w:lang w:eastAsia="en-GB"/>
              </w:rPr>
            </w:pPr>
            <w:r w:rsidRPr="00C1603D">
              <w:rPr>
                <w:lang w:eastAsia="en-GB"/>
              </w:rPr>
              <w:t>1424 (5.4)</w:t>
            </w:r>
          </w:p>
        </w:tc>
        <w:tc>
          <w:tcPr>
            <w:tcW w:w="0" w:type="auto"/>
            <w:vMerge w:val="restart"/>
            <w:shd w:val="clear" w:color="auto" w:fill="auto"/>
            <w:noWrap/>
          </w:tcPr>
          <w:p w14:paraId="2D3465B8" w14:textId="77777777" w:rsidR="00BB1FC5" w:rsidRPr="00C1603D" w:rsidRDefault="00BB1FC5" w:rsidP="00703099">
            <w:pPr>
              <w:pStyle w:val="72TabletextTablesTableFigureBoxstyles"/>
              <w:rPr>
                <w:lang w:eastAsia="en-GB"/>
              </w:rPr>
            </w:pPr>
            <w:r w:rsidRPr="00C1603D">
              <w:rPr>
                <w:lang w:eastAsia="en-GB"/>
              </w:rPr>
              <w:t>0.276</w:t>
            </w:r>
          </w:p>
        </w:tc>
        <w:tc>
          <w:tcPr>
            <w:tcW w:w="0" w:type="auto"/>
            <w:shd w:val="clear" w:color="auto" w:fill="auto"/>
            <w:noWrap/>
          </w:tcPr>
          <w:p w14:paraId="4E2F0841" w14:textId="059C7277" w:rsidR="00BB1FC5" w:rsidRPr="00C1603D" w:rsidRDefault="00BB1FC5" w:rsidP="00703099">
            <w:pPr>
              <w:pStyle w:val="72TabletextTablesTableFigureBoxstyles"/>
              <w:rPr>
                <w:lang w:eastAsia="en-GB"/>
              </w:rPr>
            </w:pPr>
            <w:r w:rsidRPr="00C1603D">
              <w:rPr>
                <w:lang w:eastAsia="en-GB"/>
              </w:rPr>
              <w:t>5679 (5.5)</w:t>
            </w:r>
          </w:p>
        </w:tc>
      </w:tr>
      <w:tr w:rsidR="00BB1FC5" w:rsidRPr="00C1603D" w14:paraId="547439D6" w14:textId="77777777" w:rsidTr="0044057F">
        <w:trPr>
          <w:cantSplit/>
        </w:trPr>
        <w:tc>
          <w:tcPr>
            <w:tcW w:w="0" w:type="auto"/>
            <w:shd w:val="clear" w:color="auto" w:fill="auto"/>
            <w:noWrap/>
          </w:tcPr>
          <w:p w14:paraId="5FA3C18B" w14:textId="202C9AEB" w:rsidR="00BB1FC5" w:rsidRPr="00C1603D" w:rsidRDefault="00BB1FC5" w:rsidP="00703099">
            <w:pPr>
              <w:pStyle w:val="72TabletextTablesTableFigureBoxstyles"/>
              <w:rPr>
                <w:lang w:eastAsia="en-GB"/>
              </w:rPr>
            </w:pPr>
            <w:r w:rsidRPr="00C1603D">
              <w:rPr>
                <w:lang w:eastAsia="en-GB"/>
              </w:rPr>
              <w:tab/>
              <w:t>2</w:t>
            </w:r>
          </w:p>
        </w:tc>
        <w:tc>
          <w:tcPr>
            <w:tcW w:w="0" w:type="auto"/>
            <w:shd w:val="clear" w:color="auto" w:fill="auto"/>
            <w:noWrap/>
          </w:tcPr>
          <w:p w14:paraId="2844EE1B" w14:textId="5DDFE1EC" w:rsidR="00BB1FC5" w:rsidRPr="00C1603D" w:rsidRDefault="00BB1FC5" w:rsidP="00703099">
            <w:pPr>
              <w:pStyle w:val="72TabletextTablesTableFigureBoxstyles"/>
              <w:rPr>
                <w:lang w:eastAsia="en-GB"/>
              </w:rPr>
            </w:pPr>
            <w:r w:rsidRPr="00C1603D">
              <w:rPr>
                <w:lang w:eastAsia="en-GB"/>
              </w:rPr>
              <w:t>2939 (7.9)</w:t>
            </w:r>
          </w:p>
        </w:tc>
        <w:tc>
          <w:tcPr>
            <w:tcW w:w="0" w:type="auto"/>
            <w:shd w:val="clear" w:color="auto" w:fill="auto"/>
            <w:noWrap/>
          </w:tcPr>
          <w:p w14:paraId="776F37E7" w14:textId="70EAF864" w:rsidR="00BB1FC5" w:rsidRPr="00C1603D" w:rsidRDefault="00BB1FC5" w:rsidP="00703099">
            <w:pPr>
              <w:pStyle w:val="72TabletextTablesTableFigureBoxstyles"/>
              <w:rPr>
                <w:lang w:eastAsia="en-GB"/>
              </w:rPr>
            </w:pPr>
            <w:r w:rsidRPr="00C1603D">
              <w:rPr>
                <w:lang w:eastAsia="en-GB"/>
              </w:rPr>
              <w:t>1077 (8.9)</w:t>
            </w:r>
          </w:p>
        </w:tc>
        <w:tc>
          <w:tcPr>
            <w:tcW w:w="0" w:type="auto"/>
            <w:vMerge/>
            <w:noWrap/>
          </w:tcPr>
          <w:p w14:paraId="00C09EAB" w14:textId="272D9ED2" w:rsidR="00BB1FC5" w:rsidRPr="00C1603D" w:rsidRDefault="00BB1FC5" w:rsidP="00703099">
            <w:pPr>
              <w:pStyle w:val="72TabletextTablesTableFigureBoxstyles"/>
              <w:rPr>
                <w:lang w:eastAsia="en-GB"/>
              </w:rPr>
            </w:pPr>
          </w:p>
        </w:tc>
        <w:tc>
          <w:tcPr>
            <w:tcW w:w="0" w:type="auto"/>
            <w:shd w:val="clear" w:color="auto" w:fill="auto"/>
            <w:noWrap/>
          </w:tcPr>
          <w:p w14:paraId="7893C26F" w14:textId="0148167C" w:rsidR="00BB1FC5" w:rsidRPr="00C1603D" w:rsidRDefault="00BB1FC5" w:rsidP="00703099">
            <w:pPr>
              <w:pStyle w:val="72TabletextTablesTableFigureBoxstyles"/>
              <w:rPr>
                <w:lang w:eastAsia="en-GB"/>
              </w:rPr>
            </w:pPr>
            <w:r w:rsidRPr="00C1603D">
              <w:rPr>
                <w:lang w:eastAsia="en-GB"/>
              </w:rPr>
              <w:t>4016 (8.2)</w:t>
            </w:r>
          </w:p>
        </w:tc>
        <w:tc>
          <w:tcPr>
            <w:tcW w:w="0" w:type="auto"/>
            <w:shd w:val="clear" w:color="auto" w:fill="auto"/>
            <w:noWrap/>
          </w:tcPr>
          <w:p w14:paraId="579724FE" w14:textId="459333CA" w:rsidR="00BB1FC5" w:rsidRPr="00C1603D" w:rsidRDefault="00BB1FC5" w:rsidP="00703099">
            <w:pPr>
              <w:pStyle w:val="72TabletextTablesTableFigureBoxstyles"/>
              <w:rPr>
                <w:lang w:eastAsia="en-GB"/>
              </w:rPr>
            </w:pPr>
            <w:r w:rsidRPr="00C1603D">
              <w:rPr>
                <w:lang w:eastAsia="en-GB"/>
              </w:rPr>
              <w:t>3696 (4.8)</w:t>
            </w:r>
          </w:p>
        </w:tc>
        <w:tc>
          <w:tcPr>
            <w:tcW w:w="0" w:type="auto"/>
            <w:shd w:val="clear" w:color="auto" w:fill="auto"/>
            <w:noWrap/>
          </w:tcPr>
          <w:p w14:paraId="5C7315A3" w14:textId="3B36B4AF" w:rsidR="00BB1FC5" w:rsidRPr="00C1603D" w:rsidRDefault="00BB1FC5" w:rsidP="00703099">
            <w:pPr>
              <w:pStyle w:val="72TabletextTablesTableFigureBoxstyles"/>
              <w:rPr>
                <w:lang w:eastAsia="en-GB"/>
              </w:rPr>
            </w:pPr>
            <w:r w:rsidRPr="00C1603D">
              <w:rPr>
                <w:lang w:eastAsia="en-GB"/>
              </w:rPr>
              <w:t>1254 (4.8)</w:t>
            </w:r>
          </w:p>
        </w:tc>
        <w:tc>
          <w:tcPr>
            <w:tcW w:w="0" w:type="auto"/>
            <w:vMerge/>
            <w:noWrap/>
          </w:tcPr>
          <w:p w14:paraId="46120799" w14:textId="295D084F" w:rsidR="00BB1FC5" w:rsidRPr="00C1603D" w:rsidRDefault="00BB1FC5" w:rsidP="00703099">
            <w:pPr>
              <w:pStyle w:val="72TabletextTablesTableFigureBoxstyles"/>
              <w:rPr>
                <w:lang w:eastAsia="en-GB"/>
              </w:rPr>
            </w:pPr>
          </w:p>
        </w:tc>
        <w:tc>
          <w:tcPr>
            <w:tcW w:w="0" w:type="auto"/>
            <w:shd w:val="clear" w:color="auto" w:fill="auto"/>
            <w:noWrap/>
          </w:tcPr>
          <w:p w14:paraId="3CBA5C50" w14:textId="3CBE7CE2" w:rsidR="00BB1FC5" w:rsidRPr="00C1603D" w:rsidRDefault="00BB1FC5" w:rsidP="00703099">
            <w:pPr>
              <w:pStyle w:val="72TabletextTablesTableFigureBoxstyles"/>
              <w:rPr>
                <w:lang w:eastAsia="en-GB"/>
              </w:rPr>
            </w:pPr>
            <w:r w:rsidRPr="00C1603D">
              <w:rPr>
                <w:lang w:eastAsia="en-GB"/>
              </w:rPr>
              <w:t>4950 (4.8)</w:t>
            </w:r>
          </w:p>
        </w:tc>
      </w:tr>
      <w:tr w:rsidR="00BB1FC5" w:rsidRPr="00C1603D" w14:paraId="2EB6EED7" w14:textId="77777777" w:rsidTr="0044057F">
        <w:trPr>
          <w:cantSplit/>
        </w:trPr>
        <w:tc>
          <w:tcPr>
            <w:tcW w:w="0" w:type="auto"/>
            <w:shd w:val="clear" w:color="auto" w:fill="auto"/>
            <w:noWrap/>
          </w:tcPr>
          <w:p w14:paraId="09DB993E" w14:textId="6A3FF32C" w:rsidR="00BB1FC5" w:rsidRPr="00C1603D" w:rsidRDefault="00BB1FC5" w:rsidP="00703099">
            <w:pPr>
              <w:pStyle w:val="72TabletextTablesTableFigureBoxstyles"/>
              <w:rPr>
                <w:lang w:eastAsia="en-GB"/>
              </w:rPr>
            </w:pPr>
            <w:r w:rsidRPr="00C1603D">
              <w:rPr>
                <w:lang w:eastAsia="en-GB"/>
              </w:rPr>
              <w:tab/>
              <w:t>3</w:t>
            </w:r>
          </w:p>
        </w:tc>
        <w:tc>
          <w:tcPr>
            <w:tcW w:w="0" w:type="auto"/>
            <w:shd w:val="clear" w:color="auto" w:fill="auto"/>
            <w:noWrap/>
          </w:tcPr>
          <w:p w14:paraId="48929279" w14:textId="72C9C5BC" w:rsidR="00BB1FC5" w:rsidRPr="00C1603D" w:rsidRDefault="00BB1FC5" w:rsidP="00703099">
            <w:pPr>
              <w:pStyle w:val="72TabletextTablesTableFigureBoxstyles"/>
              <w:rPr>
                <w:lang w:eastAsia="en-GB"/>
              </w:rPr>
            </w:pPr>
            <w:r w:rsidRPr="00C1603D">
              <w:rPr>
                <w:lang w:eastAsia="en-GB"/>
              </w:rPr>
              <w:t>2761 (7.4)</w:t>
            </w:r>
          </w:p>
        </w:tc>
        <w:tc>
          <w:tcPr>
            <w:tcW w:w="0" w:type="auto"/>
            <w:shd w:val="clear" w:color="auto" w:fill="auto"/>
            <w:noWrap/>
          </w:tcPr>
          <w:p w14:paraId="3A0A1994" w14:textId="41B3C31E" w:rsidR="00BB1FC5" w:rsidRPr="00C1603D" w:rsidRDefault="00BB1FC5" w:rsidP="00703099">
            <w:pPr>
              <w:pStyle w:val="72TabletextTablesTableFigureBoxstyles"/>
              <w:rPr>
                <w:lang w:eastAsia="en-GB"/>
              </w:rPr>
            </w:pPr>
            <w:r w:rsidRPr="00C1603D">
              <w:rPr>
                <w:lang w:eastAsia="en-GB"/>
              </w:rPr>
              <w:t>1001 (8.3)</w:t>
            </w:r>
          </w:p>
        </w:tc>
        <w:tc>
          <w:tcPr>
            <w:tcW w:w="0" w:type="auto"/>
            <w:vMerge/>
            <w:noWrap/>
          </w:tcPr>
          <w:p w14:paraId="308412A4" w14:textId="1C32A805" w:rsidR="00BB1FC5" w:rsidRPr="00C1603D" w:rsidRDefault="00BB1FC5" w:rsidP="00703099">
            <w:pPr>
              <w:pStyle w:val="72TabletextTablesTableFigureBoxstyles"/>
              <w:rPr>
                <w:lang w:eastAsia="en-GB"/>
              </w:rPr>
            </w:pPr>
          </w:p>
        </w:tc>
        <w:tc>
          <w:tcPr>
            <w:tcW w:w="0" w:type="auto"/>
            <w:shd w:val="clear" w:color="auto" w:fill="auto"/>
            <w:noWrap/>
          </w:tcPr>
          <w:p w14:paraId="55CBE92E" w14:textId="28513FA0" w:rsidR="00BB1FC5" w:rsidRPr="00C1603D" w:rsidRDefault="00BB1FC5" w:rsidP="00703099">
            <w:pPr>
              <w:pStyle w:val="72TabletextTablesTableFigureBoxstyles"/>
              <w:rPr>
                <w:lang w:eastAsia="en-GB"/>
              </w:rPr>
            </w:pPr>
            <w:r w:rsidRPr="00C1603D">
              <w:rPr>
                <w:lang w:eastAsia="en-GB"/>
              </w:rPr>
              <w:t>3762 (7.7)</w:t>
            </w:r>
          </w:p>
        </w:tc>
        <w:tc>
          <w:tcPr>
            <w:tcW w:w="0" w:type="auto"/>
            <w:shd w:val="clear" w:color="auto" w:fill="auto"/>
            <w:noWrap/>
          </w:tcPr>
          <w:p w14:paraId="0ABD6E1E" w14:textId="50029BEA" w:rsidR="00BB1FC5" w:rsidRPr="00C1603D" w:rsidRDefault="00BB1FC5" w:rsidP="00703099">
            <w:pPr>
              <w:pStyle w:val="72TabletextTablesTableFigureBoxstyles"/>
              <w:rPr>
                <w:lang w:eastAsia="en-GB"/>
              </w:rPr>
            </w:pPr>
            <w:r w:rsidRPr="00C1603D">
              <w:rPr>
                <w:lang w:eastAsia="en-GB"/>
              </w:rPr>
              <w:t>2975 (3.8)</w:t>
            </w:r>
          </w:p>
        </w:tc>
        <w:tc>
          <w:tcPr>
            <w:tcW w:w="0" w:type="auto"/>
            <w:shd w:val="clear" w:color="auto" w:fill="auto"/>
            <w:noWrap/>
          </w:tcPr>
          <w:p w14:paraId="203637A9" w14:textId="0F244218" w:rsidR="00BB1FC5" w:rsidRPr="00C1603D" w:rsidRDefault="00BB1FC5" w:rsidP="00703099">
            <w:pPr>
              <w:pStyle w:val="72TabletextTablesTableFigureBoxstyles"/>
              <w:rPr>
                <w:lang w:eastAsia="en-GB"/>
              </w:rPr>
            </w:pPr>
            <w:r w:rsidRPr="00C1603D">
              <w:rPr>
                <w:lang w:eastAsia="en-GB"/>
              </w:rPr>
              <w:t>991 (3.8)</w:t>
            </w:r>
          </w:p>
        </w:tc>
        <w:tc>
          <w:tcPr>
            <w:tcW w:w="0" w:type="auto"/>
            <w:vMerge/>
            <w:noWrap/>
          </w:tcPr>
          <w:p w14:paraId="5B02222A" w14:textId="711476AB" w:rsidR="00BB1FC5" w:rsidRPr="00C1603D" w:rsidRDefault="00BB1FC5" w:rsidP="00703099">
            <w:pPr>
              <w:pStyle w:val="72TabletextTablesTableFigureBoxstyles"/>
              <w:rPr>
                <w:lang w:eastAsia="en-GB"/>
              </w:rPr>
            </w:pPr>
          </w:p>
        </w:tc>
        <w:tc>
          <w:tcPr>
            <w:tcW w:w="0" w:type="auto"/>
            <w:shd w:val="clear" w:color="auto" w:fill="auto"/>
            <w:noWrap/>
          </w:tcPr>
          <w:p w14:paraId="7BE581F1" w14:textId="7D083D46" w:rsidR="00BB1FC5" w:rsidRPr="00C1603D" w:rsidRDefault="00BB1FC5" w:rsidP="00703099">
            <w:pPr>
              <w:pStyle w:val="72TabletextTablesTableFigureBoxstyles"/>
              <w:rPr>
                <w:lang w:eastAsia="en-GB"/>
              </w:rPr>
            </w:pPr>
            <w:r w:rsidRPr="00C1603D">
              <w:rPr>
                <w:lang w:eastAsia="en-GB"/>
              </w:rPr>
              <w:t>3966 (3.8)</w:t>
            </w:r>
          </w:p>
        </w:tc>
      </w:tr>
      <w:tr w:rsidR="00BB1FC5" w:rsidRPr="00C1603D" w14:paraId="23108945" w14:textId="77777777" w:rsidTr="0044057F">
        <w:trPr>
          <w:cantSplit/>
        </w:trPr>
        <w:tc>
          <w:tcPr>
            <w:tcW w:w="0" w:type="auto"/>
            <w:shd w:val="clear" w:color="auto" w:fill="auto"/>
            <w:noWrap/>
          </w:tcPr>
          <w:p w14:paraId="3AF58459" w14:textId="3260DBF7" w:rsidR="00BB1FC5" w:rsidRPr="00C1603D" w:rsidRDefault="00BB1FC5" w:rsidP="00703099">
            <w:pPr>
              <w:pStyle w:val="72TabletextTablesTableFigureBoxstyles"/>
              <w:rPr>
                <w:lang w:eastAsia="en-GB"/>
              </w:rPr>
            </w:pPr>
            <w:r w:rsidRPr="00C1603D">
              <w:rPr>
                <w:lang w:eastAsia="en-GB"/>
              </w:rPr>
              <w:tab/>
              <w:t>4</w:t>
            </w:r>
          </w:p>
        </w:tc>
        <w:tc>
          <w:tcPr>
            <w:tcW w:w="0" w:type="auto"/>
            <w:shd w:val="clear" w:color="auto" w:fill="auto"/>
            <w:noWrap/>
          </w:tcPr>
          <w:p w14:paraId="77E326CA" w14:textId="4023AD3A" w:rsidR="00BB1FC5" w:rsidRPr="00C1603D" w:rsidRDefault="00BB1FC5" w:rsidP="00703099">
            <w:pPr>
              <w:pStyle w:val="72TabletextTablesTableFigureBoxstyles"/>
              <w:rPr>
                <w:lang w:eastAsia="en-GB"/>
              </w:rPr>
            </w:pPr>
            <w:r w:rsidRPr="00C1603D">
              <w:rPr>
                <w:lang w:eastAsia="en-GB"/>
              </w:rPr>
              <w:t>2292 (6.2)</w:t>
            </w:r>
          </w:p>
        </w:tc>
        <w:tc>
          <w:tcPr>
            <w:tcW w:w="0" w:type="auto"/>
            <w:shd w:val="clear" w:color="auto" w:fill="auto"/>
            <w:noWrap/>
          </w:tcPr>
          <w:p w14:paraId="60541921" w14:textId="33B95B38" w:rsidR="00BB1FC5" w:rsidRPr="00C1603D" w:rsidRDefault="00BB1FC5" w:rsidP="00703099">
            <w:pPr>
              <w:pStyle w:val="72TabletextTablesTableFigureBoxstyles"/>
              <w:rPr>
                <w:lang w:eastAsia="en-GB"/>
              </w:rPr>
            </w:pPr>
            <w:r w:rsidRPr="00C1603D">
              <w:rPr>
                <w:lang w:eastAsia="en-GB"/>
              </w:rPr>
              <w:t>819 (6.8)</w:t>
            </w:r>
          </w:p>
        </w:tc>
        <w:tc>
          <w:tcPr>
            <w:tcW w:w="0" w:type="auto"/>
            <w:vMerge/>
            <w:noWrap/>
          </w:tcPr>
          <w:p w14:paraId="1554E9AC" w14:textId="5E649777" w:rsidR="00BB1FC5" w:rsidRPr="00C1603D" w:rsidRDefault="00BB1FC5" w:rsidP="00703099">
            <w:pPr>
              <w:pStyle w:val="72TabletextTablesTableFigureBoxstyles"/>
              <w:rPr>
                <w:lang w:eastAsia="en-GB"/>
              </w:rPr>
            </w:pPr>
          </w:p>
        </w:tc>
        <w:tc>
          <w:tcPr>
            <w:tcW w:w="0" w:type="auto"/>
            <w:shd w:val="clear" w:color="auto" w:fill="auto"/>
            <w:noWrap/>
          </w:tcPr>
          <w:p w14:paraId="7595276D" w14:textId="68ED4251" w:rsidR="00BB1FC5" w:rsidRPr="00C1603D" w:rsidRDefault="00BB1FC5" w:rsidP="00703099">
            <w:pPr>
              <w:pStyle w:val="72TabletextTablesTableFigureBoxstyles"/>
              <w:rPr>
                <w:lang w:eastAsia="en-GB"/>
              </w:rPr>
            </w:pPr>
            <w:r w:rsidRPr="00C1603D">
              <w:rPr>
                <w:lang w:eastAsia="en-GB"/>
              </w:rPr>
              <w:t>3111 (6.3)</w:t>
            </w:r>
          </w:p>
        </w:tc>
        <w:tc>
          <w:tcPr>
            <w:tcW w:w="0" w:type="auto"/>
            <w:shd w:val="clear" w:color="auto" w:fill="auto"/>
            <w:noWrap/>
          </w:tcPr>
          <w:p w14:paraId="7616666C" w14:textId="7116087F" w:rsidR="00BB1FC5" w:rsidRPr="00C1603D" w:rsidRDefault="00BB1FC5" w:rsidP="00703099">
            <w:pPr>
              <w:pStyle w:val="72TabletextTablesTableFigureBoxstyles"/>
              <w:rPr>
                <w:lang w:eastAsia="en-GB"/>
              </w:rPr>
            </w:pPr>
            <w:r w:rsidRPr="00C1603D">
              <w:rPr>
                <w:lang w:eastAsia="en-GB"/>
              </w:rPr>
              <w:t>2642 (3.4)</w:t>
            </w:r>
          </w:p>
        </w:tc>
        <w:tc>
          <w:tcPr>
            <w:tcW w:w="0" w:type="auto"/>
            <w:shd w:val="clear" w:color="auto" w:fill="auto"/>
            <w:noWrap/>
          </w:tcPr>
          <w:p w14:paraId="546437BE" w14:textId="7550DFA1" w:rsidR="00BB1FC5" w:rsidRPr="00C1603D" w:rsidRDefault="00BB1FC5" w:rsidP="00703099">
            <w:pPr>
              <w:pStyle w:val="72TabletextTablesTableFigureBoxstyles"/>
              <w:rPr>
                <w:lang w:eastAsia="en-GB"/>
              </w:rPr>
            </w:pPr>
            <w:r w:rsidRPr="00C1603D">
              <w:rPr>
                <w:lang w:eastAsia="en-GB"/>
              </w:rPr>
              <w:t>966 (3.7)</w:t>
            </w:r>
          </w:p>
        </w:tc>
        <w:tc>
          <w:tcPr>
            <w:tcW w:w="0" w:type="auto"/>
            <w:vMerge/>
            <w:noWrap/>
          </w:tcPr>
          <w:p w14:paraId="23BB4D44" w14:textId="39197243" w:rsidR="00BB1FC5" w:rsidRPr="00C1603D" w:rsidRDefault="00BB1FC5" w:rsidP="00703099">
            <w:pPr>
              <w:pStyle w:val="72TabletextTablesTableFigureBoxstyles"/>
              <w:rPr>
                <w:lang w:eastAsia="en-GB"/>
              </w:rPr>
            </w:pPr>
          </w:p>
        </w:tc>
        <w:tc>
          <w:tcPr>
            <w:tcW w:w="0" w:type="auto"/>
            <w:shd w:val="clear" w:color="auto" w:fill="auto"/>
            <w:noWrap/>
          </w:tcPr>
          <w:p w14:paraId="638FE9FD" w14:textId="3AA0081E" w:rsidR="00BB1FC5" w:rsidRPr="00C1603D" w:rsidRDefault="00BB1FC5" w:rsidP="00703099">
            <w:pPr>
              <w:pStyle w:val="72TabletextTablesTableFigureBoxstyles"/>
              <w:rPr>
                <w:lang w:eastAsia="en-GB"/>
              </w:rPr>
            </w:pPr>
            <w:r w:rsidRPr="00C1603D">
              <w:rPr>
                <w:lang w:eastAsia="en-GB"/>
              </w:rPr>
              <w:t>3608 (3.5)</w:t>
            </w:r>
          </w:p>
        </w:tc>
      </w:tr>
      <w:tr w:rsidR="00BB1FC5" w:rsidRPr="00C1603D" w14:paraId="3C4BDE8D" w14:textId="77777777" w:rsidTr="0044057F">
        <w:trPr>
          <w:cantSplit/>
        </w:trPr>
        <w:tc>
          <w:tcPr>
            <w:tcW w:w="0" w:type="auto"/>
            <w:shd w:val="clear" w:color="auto" w:fill="auto"/>
            <w:noWrap/>
          </w:tcPr>
          <w:p w14:paraId="4C6EE74B" w14:textId="48E36BAC" w:rsidR="00BB1FC5" w:rsidRPr="00C1603D" w:rsidRDefault="00BB1FC5" w:rsidP="00703099">
            <w:pPr>
              <w:pStyle w:val="72TabletextTablesTableFigureBoxstyles"/>
              <w:rPr>
                <w:lang w:eastAsia="en-GB"/>
              </w:rPr>
            </w:pPr>
            <w:r w:rsidRPr="00C1603D">
              <w:rPr>
                <w:lang w:eastAsia="en-GB"/>
              </w:rPr>
              <w:tab/>
              <w:t>5</w:t>
            </w:r>
          </w:p>
        </w:tc>
        <w:tc>
          <w:tcPr>
            <w:tcW w:w="0" w:type="auto"/>
            <w:shd w:val="clear" w:color="auto" w:fill="auto"/>
            <w:noWrap/>
          </w:tcPr>
          <w:p w14:paraId="55AC102C" w14:textId="28643EA4" w:rsidR="00BB1FC5" w:rsidRPr="00C1603D" w:rsidRDefault="00BB1FC5" w:rsidP="00703099">
            <w:pPr>
              <w:pStyle w:val="72TabletextTablesTableFigureBoxstyles"/>
              <w:rPr>
                <w:lang w:eastAsia="en-GB"/>
              </w:rPr>
            </w:pPr>
            <w:r w:rsidRPr="00C1603D">
              <w:rPr>
                <w:lang w:eastAsia="en-GB"/>
              </w:rPr>
              <w:t>1902 (5.1)</w:t>
            </w:r>
          </w:p>
        </w:tc>
        <w:tc>
          <w:tcPr>
            <w:tcW w:w="0" w:type="auto"/>
            <w:shd w:val="clear" w:color="auto" w:fill="auto"/>
            <w:noWrap/>
          </w:tcPr>
          <w:p w14:paraId="44F53F5A" w14:textId="28C3E7F4" w:rsidR="00BB1FC5" w:rsidRPr="00C1603D" w:rsidRDefault="00BB1FC5" w:rsidP="00703099">
            <w:pPr>
              <w:pStyle w:val="72TabletextTablesTableFigureBoxstyles"/>
              <w:rPr>
                <w:lang w:eastAsia="en-GB"/>
              </w:rPr>
            </w:pPr>
            <w:r w:rsidRPr="00C1603D">
              <w:rPr>
                <w:lang w:eastAsia="en-GB"/>
              </w:rPr>
              <w:t>665 (5.5)</w:t>
            </w:r>
          </w:p>
        </w:tc>
        <w:tc>
          <w:tcPr>
            <w:tcW w:w="0" w:type="auto"/>
            <w:vMerge/>
            <w:noWrap/>
          </w:tcPr>
          <w:p w14:paraId="0F8C3198" w14:textId="54138D4A" w:rsidR="00BB1FC5" w:rsidRPr="00C1603D" w:rsidRDefault="00BB1FC5" w:rsidP="00703099">
            <w:pPr>
              <w:pStyle w:val="72TabletextTablesTableFigureBoxstyles"/>
              <w:rPr>
                <w:lang w:eastAsia="en-GB"/>
              </w:rPr>
            </w:pPr>
          </w:p>
        </w:tc>
        <w:tc>
          <w:tcPr>
            <w:tcW w:w="0" w:type="auto"/>
            <w:shd w:val="clear" w:color="auto" w:fill="auto"/>
            <w:noWrap/>
          </w:tcPr>
          <w:p w14:paraId="10575C27" w14:textId="7EA65554" w:rsidR="00BB1FC5" w:rsidRPr="00C1603D" w:rsidRDefault="00BB1FC5" w:rsidP="00703099">
            <w:pPr>
              <w:pStyle w:val="72TabletextTablesTableFigureBoxstyles"/>
              <w:rPr>
                <w:lang w:eastAsia="en-GB"/>
              </w:rPr>
            </w:pPr>
            <w:r w:rsidRPr="00C1603D">
              <w:rPr>
                <w:lang w:eastAsia="en-GB"/>
              </w:rPr>
              <w:t>2567 (5.2)</w:t>
            </w:r>
          </w:p>
        </w:tc>
        <w:tc>
          <w:tcPr>
            <w:tcW w:w="0" w:type="auto"/>
            <w:shd w:val="clear" w:color="auto" w:fill="auto"/>
            <w:noWrap/>
          </w:tcPr>
          <w:p w14:paraId="02770609" w14:textId="4E24619D" w:rsidR="00BB1FC5" w:rsidRPr="00C1603D" w:rsidRDefault="00BB1FC5" w:rsidP="00703099">
            <w:pPr>
              <w:pStyle w:val="72TabletextTablesTableFigureBoxstyles"/>
              <w:rPr>
                <w:lang w:eastAsia="en-GB"/>
              </w:rPr>
            </w:pPr>
            <w:r w:rsidRPr="00C1603D">
              <w:rPr>
                <w:lang w:eastAsia="en-GB"/>
              </w:rPr>
              <w:t>2146 (2.8)</w:t>
            </w:r>
          </w:p>
        </w:tc>
        <w:tc>
          <w:tcPr>
            <w:tcW w:w="0" w:type="auto"/>
            <w:shd w:val="clear" w:color="auto" w:fill="auto"/>
            <w:noWrap/>
          </w:tcPr>
          <w:p w14:paraId="2B2F2DC9" w14:textId="64C1A5AA" w:rsidR="00BB1FC5" w:rsidRPr="00C1603D" w:rsidRDefault="00BB1FC5" w:rsidP="00703099">
            <w:pPr>
              <w:pStyle w:val="72TabletextTablesTableFigureBoxstyles"/>
              <w:rPr>
                <w:lang w:eastAsia="en-GB"/>
              </w:rPr>
            </w:pPr>
            <w:r w:rsidRPr="00C1603D">
              <w:rPr>
                <w:lang w:eastAsia="en-GB"/>
              </w:rPr>
              <w:t>702 (2.7)</w:t>
            </w:r>
          </w:p>
        </w:tc>
        <w:tc>
          <w:tcPr>
            <w:tcW w:w="0" w:type="auto"/>
            <w:vMerge/>
            <w:noWrap/>
          </w:tcPr>
          <w:p w14:paraId="4BFC396F" w14:textId="20413CCC" w:rsidR="00BB1FC5" w:rsidRPr="00C1603D" w:rsidRDefault="00BB1FC5" w:rsidP="00703099">
            <w:pPr>
              <w:pStyle w:val="72TabletextTablesTableFigureBoxstyles"/>
              <w:rPr>
                <w:lang w:eastAsia="en-GB"/>
              </w:rPr>
            </w:pPr>
          </w:p>
        </w:tc>
        <w:tc>
          <w:tcPr>
            <w:tcW w:w="0" w:type="auto"/>
            <w:shd w:val="clear" w:color="auto" w:fill="auto"/>
            <w:noWrap/>
          </w:tcPr>
          <w:p w14:paraId="263437C2" w14:textId="73FD5E98" w:rsidR="00BB1FC5" w:rsidRPr="00C1603D" w:rsidRDefault="00BB1FC5" w:rsidP="00703099">
            <w:pPr>
              <w:pStyle w:val="72TabletextTablesTableFigureBoxstyles"/>
              <w:rPr>
                <w:lang w:eastAsia="en-GB"/>
              </w:rPr>
            </w:pPr>
            <w:r w:rsidRPr="00C1603D">
              <w:rPr>
                <w:lang w:eastAsia="en-GB"/>
              </w:rPr>
              <w:t>2848 (2.7)</w:t>
            </w:r>
          </w:p>
        </w:tc>
      </w:tr>
      <w:tr w:rsidR="00BB1FC5" w:rsidRPr="00C1603D" w14:paraId="740C207F" w14:textId="77777777" w:rsidTr="0044057F">
        <w:trPr>
          <w:cantSplit/>
        </w:trPr>
        <w:tc>
          <w:tcPr>
            <w:tcW w:w="0" w:type="auto"/>
            <w:shd w:val="clear" w:color="auto" w:fill="auto"/>
            <w:noWrap/>
          </w:tcPr>
          <w:p w14:paraId="45A58F3B" w14:textId="57A67043" w:rsidR="00BB1FC5" w:rsidRPr="00C1603D" w:rsidRDefault="00BB1FC5" w:rsidP="00703099">
            <w:pPr>
              <w:pStyle w:val="72TabletextTablesTableFigureBoxstyles"/>
              <w:rPr>
                <w:lang w:eastAsia="en-GB"/>
              </w:rPr>
            </w:pPr>
            <w:r w:rsidRPr="00C1603D">
              <w:rPr>
                <w:lang w:eastAsia="en-GB"/>
              </w:rPr>
              <w:tab/>
              <w:t>Missing</w:t>
            </w:r>
          </w:p>
        </w:tc>
        <w:tc>
          <w:tcPr>
            <w:tcW w:w="0" w:type="auto"/>
            <w:shd w:val="clear" w:color="auto" w:fill="auto"/>
            <w:noWrap/>
          </w:tcPr>
          <w:p w14:paraId="7B749343" w14:textId="2398B285" w:rsidR="00BB1FC5" w:rsidRPr="00C1603D" w:rsidRDefault="00BB1FC5" w:rsidP="00703099">
            <w:pPr>
              <w:pStyle w:val="72TabletextTablesTableFigureBoxstyles"/>
              <w:rPr>
                <w:lang w:eastAsia="en-GB"/>
              </w:rPr>
            </w:pPr>
            <w:r w:rsidRPr="00C1603D">
              <w:rPr>
                <w:lang w:eastAsia="en-GB"/>
              </w:rPr>
              <w:t>23</w:t>
            </w:r>
            <w:r w:rsidR="002069F8" w:rsidRPr="00C1603D">
              <w:rPr>
                <w:lang w:eastAsia="en-GB"/>
              </w:rPr>
              <w:t>,</w:t>
            </w:r>
            <w:r w:rsidRPr="00C1603D">
              <w:rPr>
                <w:lang w:eastAsia="en-GB"/>
              </w:rPr>
              <w:t>986 (64.7)</w:t>
            </w:r>
          </w:p>
        </w:tc>
        <w:tc>
          <w:tcPr>
            <w:tcW w:w="0" w:type="auto"/>
            <w:shd w:val="clear" w:color="auto" w:fill="auto"/>
            <w:noWrap/>
          </w:tcPr>
          <w:p w14:paraId="42426075" w14:textId="07ECE624" w:rsidR="00BB1FC5" w:rsidRPr="00C1603D" w:rsidRDefault="00BB1FC5" w:rsidP="00703099">
            <w:pPr>
              <w:pStyle w:val="72TabletextTablesTableFigureBoxstyles"/>
              <w:rPr>
                <w:lang w:eastAsia="en-GB"/>
              </w:rPr>
            </w:pPr>
            <w:r w:rsidRPr="00C1603D">
              <w:rPr>
                <w:lang w:eastAsia="en-GB"/>
              </w:rPr>
              <w:t>7227 (60.0)</w:t>
            </w:r>
          </w:p>
        </w:tc>
        <w:tc>
          <w:tcPr>
            <w:tcW w:w="0" w:type="auto"/>
            <w:vMerge/>
            <w:noWrap/>
          </w:tcPr>
          <w:p w14:paraId="077B50BC" w14:textId="0D2040A7" w:rsidR="00BB1FC5" w:rsidRPr="00C1603D" w:rsidRDefault="00BB1FC5" w:rsidP="00703099">
            <w:pPr>
              <w:pStyle w:val="72TabletextTablesTableFigureBoxstyles"/>
              <w:rPr>
                <w:lang w:eastAsia="en-GB"/>
              </w:rPr>
            </w:pPr>
          </w:p>
        </w:tc>
        <w:tc>
          <w:tcPr>
            <w:tcW w:w="0" w:type="auto"/>
            <w:shd w:val="clear" w:color="auto" w:fill="auto"/>
            <w:noWrap/>
          </w:tcPr>
          <w:p w14:paraId="20D4E2D0" w14:textId="34055948" w:rsidR="00BB1FC5" w:rsidRPr="00C1603D" w:rsidRDefault="00BB1FC5" w:rsidP="00703099">
            <w:pPr>
              <w:pStyle w:val="72TabletextTablesTableFigureBoxstyles"/>
              <w:rPr>
                <w:lang w:eastAsia="en-GB"/>
              </w:rPr>
            </w:pPr>
            <w:r w:rsidRPr="00C1603D">
              <w:rPr>
                <w:lang w:eastAsia="en-GB"/>
              </w:rPr>
              <w:t>31</w:t>
            </w:r>
            <w:r w:rsidR="002069F8" w:rsidRPr="00C1603D">
              <w:rPr>
                <w:lang w:eastAsia="en-GB"/>
              </w:rPr>
              <w:t>,</w:t>
            </w:r>
            <w:r w:rsidRPr="00C1603D">
              <w:rPr>
                <w:lang w:eastAsia="en-GB"/>
              </w:rPr>
              <w:t>213 (63.5)</w:t>
            </w:r>
          </w:p>
        </w:tc>
        <w:tc>
          <w:tcPr>
            <w:tcW w:w="0" w:type="auto"/>
            <w:shd w:val="clear" w:color="auto" w:fill="auto"/>
            <w:noWrap/>
          </w:tcPr>
          <w:p w14:paraId="220E06FA" w14:textId="4C3EE524" w:rsidR="00BB1FC5" w:rsidRPr="00C1603D" w:rsidRDefault="00BB1FC5" w:rsidP="00703099">
            <w:pPr>
              <w:pStyle w:val="72TabletextTablesTableFigureBoxstyles"/>
              <w:rPr>
                <w:lang w:eastAsia="en-GB"/>
              </w:rPr>
            </w:pPr>
            <w:r w:rsidRPr="00C1603D">
              <w:rPr>
                <w:lang w:eastAsia="en-GB"/>
              </w:rPr>
              <w:t>61</w:t>
            </w:r>
            <w:r w:rsidR="002069F8" w:rsidRPr="00C1603D">
              <w:rPr>
                <w:lang w:eastAsia="en-GB"/>
              </w:rPr>
              <w:t>,</w:t>
            </w:r>
            <w:r w:rsidRPr="00C1603D">
              <w:rPr>
                <w:lang w:eastAsia="en-GB"/>
              </w:rPr>
              <w:t>708 (79.7)</w:t>
            </w:r>
          </w:p>
        </w:tc>
        <w:tc>
          <w:tcPr>
            <w:tcW w:w="0" w:type="auto"/>
            <w:shd w:val="clear" w:color="auto" w:fill="auto"/>
            <w:noWrap/>
          </w:tcPr>
          <w:p w14:paraId="0F2E6E41" w14:textId="23E96295" w:rsidR="00BB1FC5" w:rsidRPr="00C1603D" w:rsidRDefault="00BB1FC5" w:rsidP="00703099">
            <w:pPr>
              <w:pStyle w:val="72TabletextTablesTableFigureBoxstyles"/>
              <w:rPr>
                <w:lang w:eastAsia="en-GB"/>
              </w:rPr>
            </w:pPr>
            <w:r w:rsidRPr="00C1603D">
              <w:rPr>
                <w:lang w:eastAsia="en-GB"/>
              </w:rPr>
              <w:t>20</w:t>
            </w:r>
            <w:r w:rsidR="002069F8" w:rsidRPr="00C1603D">
              <w:rPr>
                <w:lang w:eastAsia="en-GB"/>
              </w:rPr>
              <w:t>,</w:t>
            </w:r>
            <w:r w:rsidRPr="00C1603D">
              <w:rPr>
                <w:lang w:eastAsia="en-GB"/>
              </w:rPr>
              <w:t>827 (79.6)</w:t>
            </w:r>
          </w:p>
        </w:tc>
        <w:tc>
          <w:tcPr>
            <w:tcW w:w="0" w:type="auto"/>
            <w:vMerge/>
            <w:noWrap/>
          </w:tcPr>
          <w:p w14:paraId="03486765" w14:textId="01C62A64" w:rsidR="00BB1FC5" w:rsidRPr="00C1603D" w:rsidRDefault="00BB1FC5" w:rsidP="00703099">
            <w:pPr>
              <w:pStyle w:val="72TabletextTablesTableFigureBoxstyles"/>
              <w:rPr>
                <w:lang w:eastAsia="en-GB"/>
              </w:rPr>
            </w:pPr>
          </w:p>
        </w:tc>
        <w:tc>
          <w:tcPr>
            <w:tcW w:w="0" w:type="auto"/>
            <w:shd w:val="clear" w:color="auto" w:fill="auto"/>
            <w:noWrap/>
          </w:tcPr>
          <w:p w14:paraId="0BB32E83" w14:textId="4B77B310" w:rsidR="00BB1FC5" w:rsidRPr="00C1603D" w:rsidRDefault="00BB1FC5" w:rsidP="00703099">
            <w:pPr>
              <w:pStyle w:val="72TabletextTablesTableFigureBoxstyles"/>
              <w:rPr>
                <w:lang w:eastAsia="en-GB"/>
              </w:rPr>
            </w:pPr>
            <w:r w:rsidRPr="00C1603D">
              <w:rPr>
                <w:lang w:eastAsia="en-GB"/>
              </w:rPr>
              <w:t>82</w:t>
            </w:r>
            <w:r w:rsidR="002069F8" w:rsidRPr="00C1603D">
              <w:rPr>
                <w:lang w:eastAsia="en-GB"/>
              </w:rPr>
              <w:t>,</w:t>
            </w:r>
            <w:r w:rsidRPr="00C1603D">
              <w:rPr>
                <w:lang w:eastAsia="en-GB"/>
              </w:rPr>
              <w:t>535 (79.7)</w:t>
            </w:r>
          </w:p>
        </w:tc>
      </w:tr>
      <w:tr w:rsidR="008B4DF8" w:rsidRPr="00C1603D" w14:paraId="24403350" w14:textId="77777777" w:rsidTr="0044057F">
        <w:trPr>
          <w:cantSplit/>
        </w:trPr>
        <w:tc>
          <w:tcPr>
            <w:tcW w:w="0" w:type="auto"/>
            <w:gridSpan w:val="9"/>
            <w:shd w:val="clear" w:color="auto" w:fill="auto"/>
            <w:noWrap/>
          </w:tcPr>
          <w:p w14:paraId="10478EDB" w14:textId="2F026910" w:rsidR="008B4DF8" w:rsidRPr="00C1603D" w:rsidRDefault="008B4DF8" w:rsidP="00BB1FC5">
            <w:pPr>
              <w:pStyle w:val="72TabletextTablesTableFigureBoxstyles"/>
              <w:rPr>
                <w:lang w:eastAsia="en-GB"/>
              </w:rPr>
            </w:pPr>
            <w:r w:rsidRPr="00C1603D">
              <w:rPr>
                <w:lang w:eastAsia="en-GB"/>
              </w:rPr>
              <w:t>Anaemia</w:t>
            </w:r>
            <w:r w:rsidR="00BB1FC5" w:rsidRPr="00C1603D">
              <w:rPr>
                <w:lang w:eastAsia="en-GB"/>
              </w:rPr>
              <w:t xml:space="preserve">, </w:t>
            </w:r>
            <w:r w:rsidR="00BB1FC5" w:rsidRPr="00C1603D">
              <w:rPr>
                <w:i/>
                <w:lang w:eastAsia="en-GB"/>
              </w:rPr>
              <w:t>n</w:t>
            </w:r>
            <w:r w:rsidR="00BB1FC5" w:rsidRPr="00C1603D">
              <w:rPr>
                <w:lang w:eastAsia="en-GB"/>
              </w:rPr>
              <w:t xml:space="preserve"> (%)</w:t>
            </w:r>
          </w:p>
        </w:tc>
      </w:tr>
      <w:tr w:rsidR="00B068B0" w:rsidRPr="00C1603D" w14:paraId="6903DDC2" w14:textId="77777777" w:rsidTr="0044057F">
        <w:trPr>
          <w:cantSplit/>
        </w:trPr>
        <w:tc>
          <w:tcPr>
            <w:tcW w:w="0" w:type="auto"/>
            <w:shd w:val="clear" w:color="auto" w:fill="auto"/>
            <w:noWrap/>
          </w:tcPr>
          <w:p w14:paraId="4DFD500A" w14:textId="0A85693A" w:rsidR="008B4DF8" w:rsidRPr="00C1603D" w:rsidRDefault="00BB1FC5"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09F47085" w14:textId="5A07AC2E" w:rsidR="008B4DF8" w:rsidRPr="00C1603D" w:rsidRDefault="008B4DF8" w:rsidP="00703099">
            <w:pPr>
              <w:pStyle w:val="72TabletextTablesTableFigureBoxstyles"/>
              <w:rPr>
                <w:lang w:eastAsia="en-GB"/>
              </w:rPr>
            </w:pPr>
            <w:r w:rsidRPr="00C1603D">
              <w:rPr>
                <w:lang w:eastAsia="en-GB"/>
              </w:rPr>
              <w:t>1038 (2.8)</w:t>
            </w:r>
          </w:p>
        </w:tc>
        <w:tc>
          <w:tcPr>
            <w:tcW w:w="0" w:type="auto"/>
            <w:shd w:val="clear" w:color="auto" w:fill="auto"/>
            <w:noWrap/>
          </w:tcPr>
          <w:p w14:paraId="018D4C7A" w14:textId="73653CA5" w:rsidR="008B4DF8" w:rsidRPr="00C1603D" w:rsidRDefault="008B4DF8" w:rsidP="00703099">
            <w:pPr>
              <w:pStyle w:val="72TabletextTablesTableFigureBoxstyles"/>
              <w:rPr>
                <w:lang w:eastAsia="en-GB"/>
              </w:rPr>
            </w:pPr>
            <w:r w:rsidRPr="00C1603D">
              <w:rPr>
                <w:lang w:eastAsia="en-GB"/>
              </w:rPr>
              <w:t>1969 (16.3)</w:t>
            </w:r>
          </w:p>
        </w:tc>
        <w:tc>
          <w:tcPr>
            <w:tcW w:w="0" w:type="auto"/>
            <w:shd w:val="clear" w:color="auto" w:fill="auto"/>
            <w:noWrap/>
          </w:tcPr>
          <w:p w14:paraId="24BB939A"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B1A4606" w14:textId="0DD48147" w:rsidR="008B4DF8" w:rsidRPr="00C1603D" w:rsidRDefault="008B4DF8" w:rsidP="00703099">
            <w:pPr>
              <w:pStyle w:val="72TabletextTablesTableFigureBoxstyles"/>
              <w:rPr>
                <w:lang w:eastAsia="en-GB"/>
              </w:rPr>
            </w:pPr>
            <w:r w:rsidRPr="00C1603D">
              <w:rPr>
                <w:lang w:eastAsia="en-GB"/>
              </w:rPr>
              <w:t>3007 (6.1)</w:t>
            </w:r>
          </w:p>
        </w:tc>
        <w:tc>
          <w:tcPr>
            <w:tcW w:w="0" w:type="auto"/>
            <w:shd w:val="clear" w:color="auto" w:fill="auto"/>
            <w:noWrap/>
          </w:tcPr>
          <w:p w14:paraId="49FD39AB" w14:textId="2C7033AC" w:rsidR="008B4DF8" w:rsidRPr="00C1603D" w:rsidRDefault="008B4DF8" w:rsidP="00703099">
            <w:pPr>
              <w:pStyle w:val="72TabletextTablesTableFigureBoxstyles"/>
              <w:rPr>
                <w:lang w:eastAsia="en-GB"/>
              </w:rPr>
            </w:pPr>
            <w:r w:rsidRPr="00C1603D">
              <w:rPr>
                <w:lang w:eastAsia="en-GB"/>
              </w:rPr>
              <w:t>484 (0.6)</w:t>
            </w:r>
          </w:p>
        </w:tc>
        <w:tc>
          <w:tcPr>
            <w:tcW w:w="0" w:type="auto"/>
            <w:shd w:val="clear" w:color="auto" w:fill="auto"/>
            <w:noWrap/>
          </w:tcPr>
          <w:p w14:paraId="129A436B" w14:textId="677B0DC5" w:rsidR="008B4DF8" w:rsidRPr="00C1603D" w:rsidRDefault="008B4DF8" w:rsidP="00703099">
            <w:pPr>
              <w:pStyle w:val="72TabletextTablesTableFigureBoxstyles"/>
              <w:rPr>
                <w:lang w:eastAsia="en-GB"/>
              </w:rPr>
            </w:pPr>
            <w:r w:rsidRPr="00C1603D">
              <w:rPr>
                <w:lang w:eastAsia="en-GB"/>
              </w:rPr>
              <w:t>968 (3.7)</w:t>
            </w:r>
          </w:p>
        </w:tc>
        <w:tc>
          <w:tcPr>
            <w:tcW w:w="0" w:type="auto"/>
            <w:shd w:val="clear" w:color="auto" w:fill="auto"/>
            <w:noWrap/>
          </w:tcPr>
          <w:p w14:paraId="431921BC"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62FF62D" w14:textId="76CC38EC" w:rsidR="008B4DF8" w:rsidRPr="00C1603D" w:rsidRDefault="008B4DF8" w:rsidP="00703099">
            <w:pPr>
              <w:pStyle w:val="72TabletextTablesTableFigureBoxstyles"/>
              <w:rPr>
                <w:lang w:eastAsia="en-GB"/>
              </w:rPr>
            </w:pPr>
            <w:r w:rsidRPr="00C1603D">
              <w:rPr>
                <w:lang w:eastAsia="en-GB"/>
              </w:rPr>
              <w:t>1452 (1.4)</w:t>
            </w:r>
          </w:p>
        </w:tc>
      </w:tr>
      <w:tr w:rsidR="008B4DF8" w:rsidRPr="00C1603D" w14:paraId="66D77034" w14:textId="77777777" w:rsidTr="0044057F">
        <w:trPr>
          <w:cantSplit/>
        </w:trPr>
        <w:tc>
          <w:tcPr>
            <w:tcW w:w="0" w:type="auto"/>
            <w:gridSpan w:val="9"/>
            <w:shd w:val="clear" w:color="auto" w:fill="auto"/>
            <w:noWrap/>
          </w:tcPr>
          <w:p w14:paraId="545F4B45" w14:textId="3B228474" w:rsidR="008B4DF8" w:rsidRPr="00C1603D" w:rsidRDefault="008B4DF8" w:rsidP="00BB1FC5">
            <w:pPr>
              <w:pStyle w:val="72TabletextTablesTableFigureBoxstyles"/>
              <w:rPr>
                <w:lang w:eastAsia="en-GB"/>
              </w:rPr>
            </w:pPr>
            <w:r w:rsidRPr="00C1603D">
              <w:rPr>
                <w:lang w:eastAsia="en-GB"/>
              </w:rPr>
              <w:t>Cardiovascular disease</w:t>
            </w:r>
            <w:r w:rsidR="00BB1FC5" w:rsidRPr="00C1603D">
              <w:rPr>
                <w:lang w:eastAsia="en-GB"/>
              </w:rPr>
              <w:t xml:space="preserve">, </w:t>
            </w:r>
            <w:r w:rsidR="00BB1FC5" w:rsidRPr="00C1603D">
              <w:rPr>
                <w:i/>
                <w:lang w:eastAsia="en-GB"/>
              </w:rPr>
              <w:t>n</w:t>
            </w:r>
            <w:r w:rsidR="00BB1FC5" w:rsidRPr="00C1603D">
              <w:rPr>
                <w:lang w:eastAsia="en-GB"/>
              </w:rPr>
              <w:t xml:space="preserve"> (%)</w:t>
            </w:r>
          </w:p>
        </w:tc>
      </w:tr>
      <w:tr w:rsidR="00B068B0" w:rsidRPr="00C1603D" w14:paraId="3BD679F1" w14:textId="77777777" w:rsidTr="0044057F">
        <w:trPr>
          <w:cantSplit/>
        </w:trPr>
        <w:tc>
          <w:tcPr>
            <w:tcW w:w="0" w:type="auto"/>
            <w:shd w:val="clear" w:color="auto" w:fill="auto"/>
            <w:noWrap/>
          </w:tcPr>
          <w:p w14:paraId="71F8686F" w14:textId="36401A54" w:rsidR="008B4DF8" w:rsidRPr="00C1603D" w:rsidRDefault="00BB1FC5"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61CB5997" w14:textId="13B0A754" w:rsidR="008B4DF8" w:rsidRPr="00C1603D" w:rsidRDefault="008B4DF8" w:rsidP="00703099">
            <w:pPr>
              <w:pStyle w:val="72TabletextTablesTableFigureBoxstyles"/>
              <w:rPr>
                <w:lang w:eastAsia="en-GB"/>
              </w:rPr>
            </w:pPr>
            <w:r w:rsidRPr="00C1603D">
              <w:rPr>
                <w:lang w:eastAsia="en-GB"/>
              </w:rPr>
              <w:t>1601 (4.3)</w:t>
            </w:r>
          </w:p>
        </w:tc>
        <w:tc>
          <w:tcPr>
            <w:tcW w:w="0" w:type="auto"/>
            <w:shd w:val="clear" w:color="auto" w:fill="auto"/>
            <w:noWrap/>
          </w:tcPr>
          <w:p w14:paraId="5138EC04" w14:textId="7B100313" w:rsidR="008B4DF8" w:rsidRPr="00C1603D" w:rsidRDefault="008B4DF8" w:rsidP="00703099">
            <w:pPr>
              <w:pStyle w:val="72TabletextTablesTableFigureBoxstyles"/>
              <w:rPr>
                <w:lang w:eastAsia="en-GB"/>
              </w:rPr>
            </w:pPr>
            <w:r w:rsidRPr="00C1603D">
              <w:rPr>
                <w:lang w:eastAsia="en-GB"/>
              </w:rPr>
              <w:t>883 (7.3)</w:t>
            </w:r>
          </w:p>
        </w:tc>
        <w:tc>
          <w:tcPr>
            <w:tcW w:w="0" w:type="auto"/>
            <w:shd w:val="clear" w:color="auto" w:fill="auto"/>
            <w:noWrap/>
          </w:tcPr>
          <w:p w14:paraId="0FC34074"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08C644D" w14:textId="3052EDA2" w:rsidR="008B4DF8" w:rsidRPr="00C1603D" w:rsidRDefault="008B4DF8" w:rsidP="00703099">
            <w:pPr>
              <w:pStyle w:val="72TabletextTablesTableFigureBoxstyles"/>
              <w:rPr>
                <w:lang w:eastAsia="en-GB"/>
              </w:rPr>
            </w:pPr>
            <w:r w:rsidRPr="00C1603D">
              <w:rPr>
                <w:lang w:eastAsia="en-GB"/>
              </w:rPr>
              <w:t>2484 (5.1)</w:t>
            </w:r>
          </w:p>
        </w:tc>
        <w:tc>
          <w:tcPr>
            <w:tcW w:w="0" w:type="auto"/>
            <w:shd w:val="clear" w:color="auto" w:fill="auto"/>
            <w:noWrap/>
          </w:tcPr>
          <w:p w14:paraId="34F0C6B9" w14:textId="787331E5" w:rsidR="008B4DF8" w:rsidRPr="00C1603D" w:rsidRDefault="008B4DF8" w:rsidP="00703099">
            <w:pPr>
              <w:pStyle w:val="72TabletextTablesTableFigureBoxstyles"/>
              <w:rPr>
                <w:lang w:eastAsia="en-GB"/>
              </w:rPr>
            </w:pPr>
            <w:r w:rsidRPr="00C1603D">
              <w:rPr>
                <w:lang w:eastAsia="en-GB"/>
              </w:rPr>
              <w:t>602 (0.8)</w:t>
            </w:r>
          </w:p>
        </w:tc>
        <w:tc>
          <w:tcPr>
            <w:tcW w:w="0" w:type="auto"/>
            <w:shd w:val="clear" w:color="auto" w:fill="auto"/>
            <w:noWrap/>
          </w:tcPr>
          <w:p w14:paraId="14047E80" w14:textId="764E1A6B" w:rsidR="008B4DF8" w:rsidRPr="00C1603D" w:rsidRDefault="008B4DF8" w:rsidP="00703099">
            <w:pPr>
              <w:pStyle w:val="72TabletextTablesTableFigureBoxstyles"/>
              <w:rPr>
                <w:lang w:eastAsia="en-GB"/>
              </w:rPr>
            </w:pPr>
            <w:r w:rsidRPr="00C1603D">
              <w:rPr>
                <w:lang w:eastAsia="en-GB"/>
              </w:rPr>
              <w:t>317 (1.2)</w:t>
            </w:r>
          </w:p>
        </w:tc>
        <w:tc>
          <w:tcPr>
            <w:tcW w:w="0" w:type="auto"/>
            <w:shd w:val="clear" w:color="auto" w:fill="auto"/>
            <w:noWrap/>
          </w:tcPr>
          <w:p w14:paraId="0B75BF6F"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F3DAB03" w14:textId="2D58815E" w:rsidR="008B4DF8" w:rsidRPr="00C1603D" w:rsidRDefault="008B4DF8" w:rsidP="00703099">
            <w:pPr>
              <w:pStyle w:val="72TabletextTablesTableFigureBoxstyles"/>
              <w:rPr>
                <w:lang w:eastAsia="en-GB"/>
              </w:rPr>
            </w:pPr>
            <w:r w:rsidRPr="00C1603D">
              <w:rPr>
                <w:lang w:eastAsia="en-GB"/>
              </w:rPr>
              <w:t>919 (0.9)</w:t>
            </w:r>
          </w:p>
        </w:tc>
      </w:tr>
      <w:tr w:rsidR="008B4DF8" w:rsidRPr="00C1603D" w14:paraId="58DF5A4B" w14:textId="77777777" w:rsidTr="0044057F">
        <w:trPr>
          <w:cantSplit/>
        </w:trPr>
        <w:tc>
          <w:tcPr>
            <w:tcW w:w="0" w:type="auto"/>
            <w:gridSpan w:val="9"/>
            <w:shd w:val="clear" w:color="auto" w:fill="auto"/>
            <w:noWrap/>
          </w:tcPr>
          <w:p w14:paraId="2E10E2F3" w14:textId="543EC73B" w:rsidR="008B4DF8" w:rsidRPr="00C1603D" w:rsidRDefault="008B4DF8" w:rsidP="00BB1FC5">
            <w:pPr>
              <w:pStyle w:val="72TabletextTablesTableFigureBoxstyles"/>
              <w:rPr>
                <w:lang w:eastAsia="en-GB"/>
              </w:rPr>
            </w:pPr>
            <w:r w:rsidRPr="00C1603D">
              <w:rPr>
                <w:lang w:eastAsia="en-GB"/>
              </w:rPr>
              <w:t>Chronic liver disease</w:t>
            </w:r>
            <w:r w:rsidR="00BB1FC5" w:rsidRPr="00C1603D">
              <w:rPr>
                <w:lang w:eastAsia="en-GB"/>
              </w:rPr>
              <w:t xml:space="preserve">, </w:t>
            </w:r>
            <w:r w:rsidR="00BB1FC5" w:rsidRPr="00C1603D">
              <w:rPr>
                <w:i/>
                <w:lang w:eastAsia="en-GB"/>
              </w:rPr>
              <w:t>n</w:t>
            </w:r>
            <w:r w:rsidR="00BB1FC5" w:rsidRPr="00C1603D">
              <w:rPr>
                <w:lang w:eastAsia="en-GB"/>
              </w:rPr>
              <w:t xml:space="preserve"> (%)</w:t>
            </w:r>
          </w:p>
        </w:tc>
      </w:tr>
      <w:tr w:rsidR="00B068B0" w:rsidRPr="00C1603D" w14:paraId="5B2CA3D4" w14:textId="77777777" w:rsidTr="0044057F">
        <w:trPr>
          <w:cantSplit/>
        </w:trPr>
        <w:tc>
          <w:tcPr>
            <w:tcW w:w="0" w:type="auto"/>
            <w:shd w:val="clear" w:color="auto" w:fill="auto"/>
            <w:noWrap/>
          </w:tcPr>
          <w:p w14:paraId="0B97DD2B" w14:textId="076DFD8D" w:rsidR="008B4DF8" w:rsidRPr="00C1603D" w:rsidRDefault="00BB1FC5"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5C0C8001" w14:textId="3767CEC9" w:rsidR="008B4DF8" w:rsidRPr="00C1603D" w:rsidRDefault="008B4DF8" w:rsidP="00703099">
            <w:pPr>
              <w:pStyle w:val="72TabletextTablesTableFigureBoxstyles"/>
              <w:rPr>
                <w:lang w:eastAsia="en-GB"/>
              </w:rPr>
            </w:pPr>
            <w:r w:rsidRPr="00C1603D">
              <w:rPr>
                <w:lang w:eastAsia="en-GB"/>
              </w:rPr>
              <w:t>376 (1.0)</w:t>
            </w:r>
          </w:p>
        </w:tc>
        <w:tc>
          <w:tcPr>
            <w:tcW w:w="0" w:type="auto"/>
            <w:shd w:val="clear" w:color="auto" w:fill="auto"/>
            <w:noWrap/>
          </w:tcPr>
          <w:p w14:paraId="669787D8" w14:textId="2474D47B" w:rsidR="008B4DF8" w:rsidRPr="00C1603D" w:rsidRDefault="008B4DF8" w:rsidP="00703099">
            <w:pPr>
              <w:pStyle w:val="72TabletextTablesTableFigureBoxstyles"/>
              <w:rPr>
                <w:lang w:eastAsia="en-GB"/>
              </w:rPr>
            </w:pPr>
            <w:r w:rsidRPr="00C1603D">
              <w:rPr>
                <w:lang w:eastAsia="en-GB"/>
              </w:rPr>
              <w:t>253 (2.1)</w:t>
            </w:r>
          </w:p>
        </w:tc>
        <w:tc>
          <w:tcPr>
            <w:tcW w:w="0" w:type="auto"/>
            <w:shd w:val="clear" w:color="auto" w:fill="auto"/>
            <w:noWrap/>
          </w:tcPr>
          <w:p w14:paraId="5E434F5F"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748CA8C" w14:textId="310835E5" w:rsidR="008B4DF8" w:rsidRPr="00C1603D" w:rsidRDefault="008B4DF8" w:rsidP="00703099">
            <w:pPr>
              <w:pStyle w:val="72TabletextTablesTableFigureBoxstyles"/>
              <w:rPr>
                <w:lang w:eastAsia="en-GB"/>
              </w:rPr>
            </w:pPr>
            <w:r w:rsidRPr="00C1603D">
              <w:rPr>
                <w:lang w:eastAsia="en-GB"/>
              </w:rPr>
              <w:t>629 (1.3)</w:t>
            </w:r>
          </w:p>
        </w:tc>
        <w:tc>
          <w:tcPr>
            <w:tcW w:w="0" w:type="auto"/>
            <w:shd w:val="clear" w:color="auto" w:fill="auto"/>
            <w:noWrap/>
          </w:tcPr>
          <w:p w14:paraId="1E8F514D" w14:textId="23086969" w:rsidR="008B4DF8" w:rsidRPr="00C1603D" w:rsidRDefault="008B4DF8" w:rsidP="00703099">
            <w:pPr>
              <w:pStyle w:val="72TabletextTablesTableFigureBoxstyles"/>
              <w:rPr>
                <w:lang w:eastAsia="en-GB"/>
              </w:rPr>
            </w:pPr>
            <w:r w:rsidRPr="00C1603D">
              <w:rPr>
                <w:lang w:eastAsia="en-GB"/>
              </w:rPr>
              <w:t>233 (0.3)</w:t>
            </w:r>
          </w:p>
        </w:tc>
        <w:tc>
          <w:tcPr>
            <w:tcW w:w="0" w:type="auto"/>
            <w:shd w:val="clear" w:color="auto" w:fill="auto"/>
            <w:noWrap/>
          </w:tcPr>
          <w:p w14:paraId="7B2EB4C9" w14:textId="14C0A51C" w:rsidR="008B4DF8" w:rsidRPr="00C1603D" w:rsidRDefault="008B4DF8" w:rsidP="00703099">
            <w:pPr>
              <w:pStyle w:val="72TabletextTablesTableFigureBoxstyles"/>
              <w:rPr>
                <w:lang w:eastAsia="en-GB"/>
              </w:rPr>
            </w:pPr>
            <w:r w:rsidRPr="00C1603D">
              <w:rPr>
                <w:lang w:eastAsia="en-GB"/>
              </w:rPr>
              <w:t>180 (0.7)</w:t>
            </w:r>
          </w:p>
        </w:tc>
        <w:tc>
          <w:tcPr>
            <w:tcW w:w="0" w:type="auto"/>
            <w:shd w:val="clear" w:color="auto" w:fill="auto"/>
            <w:noWrap/>
          </w:tcPr>
          <w:p w14:paraId="49DA7D9A"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E115D14" w14:textId="3D8ACCFB" w:rsidR="008B4DF8" w:rsidRPr="00C1603D" w:rsidRDefault="008B4DF8" w:rsidP="00703099">
            <w:pPr>
              <w:pStyle w:val="72TabletextTablesTableFigureBoxstyles"/>
              <w:rPr>
                <w:lang w:eastAsia="en-GB"/>
              </w:rPr>
            </w:pPr>
            <w:r w:rsidRPr="00C1603D">
              <w:rPr>
                <w:lang w:eastAsia="en-GB"/>
              </w:rPr>
              <w:t>413 (0.4)</w:t>
            </w:r>
          </w:p>
        </w:tc>
      </w:tr>
      <w:tr w:rsidR="008B4DF8" w:rsidRPr="00C1603D" w14:paraId="4106468F" w14:textId="77777777" w:rsidTr="0044057F">
        <w:trPr>
          <w:cantSplit/>
        </w:trPr>
        <w:tc>
          <w:tcPr>
            <w:tcW w:w="0" w:type="auto"/>
            <w:gridSpan w:val="9"/>
            <w:shd w:val="clear" w:color="auto" w:fill="auto"/>
            <w:noWrap/>
          </w:tcPr>
          <w:p w14:paraId="5A95D481" w14:textId="21A4B8E8" w:rsidR="008B4DF8" w:rsidRPr="00C1603D" w:rsidRDefault="008B4DF8" w:rsidP="00BB1FC5">
            <w:pPr>
              <w:pStyle w:val="72TabletextTablesTableFigureBoxstyles"/>
              <w:rPr>
                <w:lang w:eastAsia="en-GB"/>
              </w:rPr>
            </w:pPr>
            <w:r w:rsidRPr="00C1603D">
              <w:rPr>
                <w:lang w:eastAsia="en-GB"/>
              </w:rPr>
              <w:t>Down syndrome</w:t>
            </w:r>
            <w:r w:rsidR="00BB1FC5" w:rsidRPr="00C1603D">
              <w:rPr>
                <w:lang w:eastAsia="en-GB"/>
              </w:rPr>
              <w:t xml:space="preserve">, </w:t>
            </w:r>
            <w:r w:rsidR="00BB1FC5" w:rsidRPr="00C1603D">
              <w:rPr>
                <w:i/>
                <w:lang w:eastAsia="en-GB"/>
              </w:rPr>
              <w:t>n</w:t>
            </w:r>
            <w:r w:rsidR="00BB1FC5" w:rsidRPr="00C1603D">
              <w:rPr>
                <w:lang w:eastAsia="en-GB"/>
              </w:rPr>
              <w:t xml:space="preserve"> (%)</w:t>
            </w:r>
          </w:p>
        </w:tc>
      </w:tr>
      <w:tr w:rsidR="00B068B0" w:rsidRPr="00C1603D" w14:paraId="406DB551" w14:textId="77777777" w:rsidTr="0044057F">
        <w:trPr>
          <w:cantSplit/>
        </w:trPr>
        <w:tc>
          <w:tcPr>
            <w:tcW w:w="0" w:type="auto"/>
            <w:shd w:val="clear" w:color="auto" w:fill="auto"/>
            <w:noWrap/>
          </w:tcPr>
          <w:p w14:paraId="28CDB2CB" w14:textId="475655FA" w:rsidR="008B4DF8" w:rsidRPr="00C1603D" w:rsidRDefault="00BB1FC5"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7650DD3A" w14:textId="10E6A0AA" w:rsidR="008B4DF8" w:rsidRPr="00C1603D" w:rsidRDefault="008B4DF8" w:rsidP="00703099">
            <w:pPr>
              <w:pStyle w:val="72TabletextTablesTableFigureBoxstyles"/>
              <w:rPr>
                <w:lang w:eastAsia="en-GB"/>
              </w:rPr>
            </w:pPr>
            <w:r w:rsidRPr="00C1603D">
              <w:rPr>
                <w:lang w:eastAsia="en-GB"/>
              </w:rPr>
              <w:t>5 (0.0)</w:t>
            </w:r>
          </w:p>
        </w:tc>
        <w:tc>
          <w:tcPr>
            <w:tcW w:w="0" w:type="auto"/>
            <w:shd w:val="clear" w:color="auto" w:fill="auto"/>
            <w:noWrap/>
          </w:tcPr>
          <w:p w14:paraId="1743DEDA" w14:textId="7AAE4750" w:rsidR="008B4DF8" w:rsidRPr="00C1603D" w:rsidRDefault="008B4DF8" w:rsidP="00703099">
            <w:pPr>
              <w:pStyle w:val="72TabletextTablesTableFigureBoxstyles"/>
              <w:rPr>
                <w:lang w:eastAsia="en-GB"/>
              </w:rPr>
            </w:pPr>
            <w:r w:rsidRPr="00C1603D">
              <w:rPr>
                <w:lang w:eastAsia="en-GB"/>
              </w:rPr>
              <w:t>5 (0.0)</w:t>
            </w:r>
          </w:p>
        </w:tc>
        <w:tc>
          <w:tcPr>
            <w:tcW w:w="0" w:type="auto"/>
            <w:shd w:val="clear" w:color="auto" w:fill="auto"/>
            <w:noWrap/>
          </w:tcPr>
          <w:p w14:paraId="21C91083" w14:textId="77777777" w:rsidR="008B4DF8" w:rsidRPr="00C1603D" w:rsidRDefault="008B4DF8" w:rsidP="00703099">
            <w:pPr>
              <w:pStyle w:val="72TabletextTablesTableFigureBoxstyles"/>
              <w:rPr>
                <w:lang w:eastAsia="en-GB"/>
              </w:rPr>
            </w:pPr>
            <w:r w:rsidRPr="00C1603D">
              <w:rPr>
                <w:lang w:eastAsia="en-GB"/>
              </w:rPr>
              <w:t>0.132</w:t>
            </w:r>
          </w:p>
        </w:tc>
        <w:tc>
          <w:tcPr>
            <w:tcW w:w="0" w:type="auto"/>
            <w:shd w:val="clear" w:color="auto" w:fill="auto"/>
            <w:noWrap/>
          </w:tcPr>
          <w:p w14:paraId="398B37B9" w14:textId="0AF2B2B0" w:rsidR="008B4DF8" w:rsidRPr="00C1603D" w:rsidRDefault="008B4DF8" w:rsidP="00703099">
            <w:pPr>
              <w:pStyle w:val="72TabletextTablesTableFigureBoxstyles"/>
              <w:rPr>
                <w:lang w:eastAsia="en-GB"/>
              </w:rPr>
            </w:pPr>
            <w:r w:rsidRPr="00C1603D">
              <w:rPr>
                <w:lang w:eastAsia="en-GB"/>
              </w:rPr>
              <w:t>10 (0.0)</w:t>
            </w:r>
          </w:p>
        </w:tc>
        <w:tc>
          <w:tcPr>
            <w:tcW w:w="0" w:type="auto"/>
            <w:shd w:val="clear" w:color="auto" w:fill="auto"/>
            <w:noWrap/>
          </w:tcPr>
          <w:p w14:paraId="2CE58EA6" w14:textId="1BBDCFB3" w:rsidR="008B4DF8" w:rsidRPr="00C1603D" w:rsidRDefault="008B4DF8" w:rsidP="00703099">
            <w:pPr>
              <w:pStyle w:val="72TabletextTablesTableFigureBoxstyles"/>
              <w:rPr>
                <w:lang w:eastAsia="en-GB"/>
              </w:rPr>
            </w:pPr>
            <w:r w:rsidRPr="00C1603D">
              <w:rPr>
                <w:lang w:eastAsia="en-GB"/>
              </w:rPr>
              <w:t>4 (0.0)</w:t>
            </w:r>
          </w:p>
        </w:tc>
        <w:tc>
          <w:tcPr>
            <w:tcW w:w="0" w:type="auto"/>
            <w:shd w:val="clear" w:color="auto" w:fill="auto"/>
            <w:noWrap/>
          </w:tcPr>
          <w:p w14:paraId="7D9E32FE" w14:textId="5BD5BD9F" w:rsidR="008B4DF8" w:rsidRPr="00C1603D" w:rsidRDefault="008B4DF8" w:rsidP="00703099">
            <w:pPr>
              <w:pStyle w:val="72TabletextTablesTableFigureBoxstyles"/>
              <w:rPr>
                <w:lang w:eastAsia="en-GB"/>
              </w:rPr>
            </w:pPr>
            <w:r w:rsidRPr="00C1603D">
              <w:rPr>
                <w:lang w:eastAsia="en-GB"/>
              </w:rPr>
              <w:t>4 (0.0)</w:t>
            </w:r>
          </w:p>
        </w:tc>
        <w:tc>
          <w:tcPr>
            <w:tcW w:w="0" w:type="auto"/>
            <w:shd w:val="clear" w:color="auto" w:fill="auto"/>
            <w:noWrap/>
          </w:tcPr>
          <w:p w14:paraId="39173F6C" w14:textId="77777777" w:rsidR="008B4DF8" w:rsidRPr="00C1603D" w:rsidRDefault="008B4DF8" w:rsidP="00703099">
            <w:pPr>
              <w:pStyle w:val="72TabletextTablesTableFigureBoxstyles"/>
              <w:rPr>
                <w:lang w:eastAsia="en-GB"/>
              </w:rPr>
            </w:pPr>
            <w:r w:rsidRPr="00C1603D">
              <w:rPr>
                <w:lang w:eastAsia="en-GB"/>
              </w:rPr>
              <w:t>0.229</w:t>
            </w:r>
          </w:p>
        </w:tc>
        <w:tc>
          <w:tcPr>
            <w:tcW w:w="0" w:type="auto"/>
            <w:shd w:val="clear" w:color="auto" w:fill="auto"/>
            <w:noWrap/>
          </w:tcPr>
          <w:p w14:paraId="4BE8E388" w14:textId="31D8746C" w:rsidR="008B4DF8" w:rsidRPr="00C1603D" w:rsidRDefault="008B4DF8" w:rsidP="00703099">
            <w:pPr>
              <w:pStyle w:val="72TabletextTablesTableFigureBoxstyles"/>
              <w:rPr>
                <w:lang w:eastAsia="en-GB"/>
              </w:rPr>
            </w:pPr>
            <w:r w:rsidRPr="00C1603D">
              <w:rPr>
                <w:lang w:eastAsia="en-GB"/>
              </w:rPr>
              <w:t>8 (0.0)</w:t>
            </w:r>
          </w:p>
        </w:tc>
      </w:tr>
      <w:tr w:rsidR="008B4DF8" w:rsidRPr="00C1603D" w14:paraId="49D5F8DB" w14:textId="77777777" w:rsidTr="0044057F">
        <w:trPr>
          <w:cantSplit/>
        </w:trPr>
        <w:tc>
          <w:tcPr>
            <w:tcW w:w="0" w:type="auto"/>
            <w:gridSpan w:val="9"/>
            <w:shd w:val="clear" w:color="auto" w:fill="auto"/>
            <w:noWrap/>
          </w:tcPr>
          <w:p w14:paraId="4BD1C741" w14:textId="562D2C6A" w:rsidR="008B4DF8" w:rsidRPr="00C1603D" w:rsidRDefault="008B4DF8" w:rsidP="00BB1FC5">
            <w:pPr>
              <w:pStyle w:val="72TabletextTablesTableFigureBoxstyles"/>
              <w:rPr>
                <w:lang w:eastAsia="en-GB"/>
              </w:rPr>
            </w:pPr>
            <w:r w:rsidRPr="00C1603D">
              <w:rPr>
                <w:lang w:eastAsia="en-GB"/>
              </w:rPr>
              <w:t>Epilepsy</w:t>
            </w:r>
            <w:r w:rsidR="00BB1FC5" w:rsidRPr="00C1603D">
              <w:rPr>
                <w:lang w:eastAsia="en-GB"/>
              </w:rPr>
              <w:t xml:space="preserve">, </w:t>
            </w:r>
            <w:r w:rsidR="00BB1FC5" w:rsidRPr="00C1603D">
              <w:rPr>
                <w:i/>
                <w:lang w:eastAsia="en-GB"/>
              </w:rPr>
              <w:t>n</w:t>
            </w:r>
            <w:r w:rsidR="00BB1FC5" w:rsidRPr="00C1603D">
              <w:rPr>
                <w:lang w:eastAsia="en-GB"/>
              </w:rPr>
              <w:t xml:space="preserve"> (%)</w:t>
            </w:r>
          </w:p>
        </w:tc>
      </w:tr>
      <w:tr w:rsidR="00B068B0" w:rsidRPr="00C1603D" w14:paraId="56E20977" w14:textId="77777777" w:rsidTr="0044057F">
        <w:trPr>
          <w:cantSplit/>
        </w:trPr>
        <w:tc>
          <w:tcPr>
            <w:tcW w:w="0" w:type="auto"/>
            <w:shd w:val="clear" w:color="auto" w:fill="auto"/>
            <w:noWrap/>
          </w:tcPr>
          <w:p w14:paraId="30B8C725" w14:textId="1E0DBB1F" w:rsidR="008B4DF8" w:rsidRPr="00C1603D" w:rsidRDefault="00BB1FC5"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3BBCAB43" w14:textId="57F73025" w:rsidR="008B4DF8" w:rsidRPr="00C1603D" w:rsidRDefault="008B4DF8" w:rsidP="00703099">
            <w:pPr>
              <w:pStyle w:val="72TabletextTablesTableFigureBoxstyles"/>
              <w:rPr>
                <w:lang w:eastAsia="en-GB"/>
              </w:rPr>
            </w:pPr>
            <w:r w:rsidRPr="00C1603D">
              <w:rPr>
                <w:lang w:eastAsia="en-GB"/>
              </w:rPr>
              <w:t>194 (0.5)</w:t>
            </w:r>
          </w:p>
        </w:tc>
        <w:tc>
          <w:tcPr>
            <w:tcW w:w="0" w:type="auto"/>
            <w:shd w:val="clear" w:color="auto" w:fill="auto"/>
            <w:noWrap/>
          </w:tcPr>
          <w:p w14:paraId="5002F47E" w14:textId="40FEDE46" w:rsidR="008B4DF8" w:rsidRPr="00C1603D" w:rsidRDefault="008B4DF8" w:rsidP="00703099">
            <w:pPr>
              <w:pStyle w:val="72TabletextTablesTableFigureBoxstyles"/>
              <w:rPr>
                <w:lang w:eastAsia="en-GB"/>
              </w:rPr>
            </w:pPr>
            <w:r w:rsidRPr="00C1603D">
              <w:rPr>
                <w:lang w:eastAsia="en-GB"/>
              </w:rPr>
              <w:t>116 (1.0)</w:t>
            </w:r>
          </w:p>
        </w:tc>
        <w:tc>
          <w:tcPr>
            <w:tcW w:w="0" w:type="auto"/>
            <w:shd w:val="clear" w:color="auto" w:fill="auto"/>
            <w:noWrap/>
          </w:tcPr>
          <w:p w14:paraId="1C6A66BC"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8F3EF6C" w14:textId="0CA1ED50" w:rsidR="008B4DF8" w:rsidRPr="00C1603D" w:rsidRDefault="008B4DF8" w:rsidP="00703099">
            <w:pPr>
              <w:pStyle w:val="72TabletextTablesTableFigureBoxstyles"/>
              <w:rPr>
                <w:lang w:eastAsia="en-GB"/>
              </w:rPr>
            </w:pPr>
            <w:r w:rsidRPr="00C1603D">
              <w:rPr>
                <w:lang w:eastAsia="en-GB"/>
              </w:rPr>
              <w:t>310 (0.6)</w:t>
            </w:r>
          </w:p>
        </w:tc>
        <w:tc>
          <w:tcPr>
            <w:tcW w:w="0" w:type="auto"/>
            <w:shd w:val="clear" w:color="auto" w:fill="auto"/>
            <w:noWrap/>
          </w:tcPr>
          <w:p w14:paraId="0134D3C3" w14:textId="3B19CD49" w:rsidR="008B4DF8" w:rsidRPr="00C1603D" w:rsidRDefault="008B4DF8" w:rsidP="00703099">
            <w:pPr>
              <w:pStyle w:val="72TabletextTablesTableFigureBoxstyles"/>
              <w:rPr>
                <w:lang w:eastAsia="en-GB"/>
              </w:rPr>
            </w:pPr>
            <w:r w:rsidRPr="00C1603D">
              <w:rPr>
                <w:lang w:eastAsia="en-GB"/>
              </w:rPr>
              <w:t>109 (0.1)</w:t>
            </w:r>
          </w:p>
        </w:tc>
        <w:tc>
          <w:tcPr>
            <w:tcW w:w="0" w:type="auto"/>
            <w:shd w:val="clear" w:color="auto" w:fill="auto"/>
            <w:noWrap/>
          </w:tcPr>
          <w:p w14:paraId="62AC84ED" w14:textId="67E53E56" w:rsidR="008B4DF8" w:rsidRPr="00C1603D" w:rsidRDefault="008B4DF8" w:rsidP="00703099">
            <w:pPr>
              <w:pStyle w:val="72TabletextTablesTableFigureBoxstyles"/>
              <w:rPr>
                <w:lang w:eastAsia="en-GB"/>
              </w:rPr>
            </w:pPr>
            <w:r w:rsidRPr="00C1603D">
              <w:rPr>
                <w:lang w:eastAsia="en-GB"/>
              </w:rPr>
              <w:t>46 (0.2)</w:t>
            </w:r>
          </w:p>
        </w:tc>
        <w:tc>
          <w:tcPr>
            <w:tcW w:w="0" w:type="auto"/>
            <w:shd w:val="clear" w:color="auto" w:fill="auto"/>
            <w:noWrap/>
          </w:tcPr>
          <w:p w14:paraId="0F7474EF" w14:textId="77777777" w:rsidR="008B4DF8" w:rsidRPr="00C1603D" w:rsidRDefault="008B4DF8" w:rsidP="00703099">
            <w:pPr>
              <w:pStyle w:val="72TabletextTablesTableFigureBoxstyles"/>
              <w:rPr>
                <w:lang w:eastAsia="en-GB"/>
              </w:rPr>
            </w:pPr>
            <w:r w:rsidRPr="00C1603D">
              <w:rPr>
                <w:lang w:eastAsia="en-GB"/>
              </w:rPr>
              <w:t>0.24</w:t>
            </w:r>
          </w:p>
        </w:tc>
        <w:tc>
          <w:tcPr>
            <w:tcW w:w="0" w:type="auto"/>
            <w:shd w:val="clear" w:color="auto" w:fill="auto"/>
            <w:noWrap/>
          </w:tcPr>
          <w:p w14:paraId="01B6A4EF" w14:textId="60955AC2" w:rsidR="008B4DF8" w:rsidRPr="00C1603D" w:rsidRDefault="008B4DF8" w:rsidP="00703099">
            <w:pPr>
              <w:pStyle w:val="72TabletextTablesTableFigureBoxstyles"/>
              <w:rPr>
                <w:lang w:eastAsia="en-GB"/>
              </w:rPr>
            </w:pPr>
            <w:r w:rsidRPr="00C1603D">
              <w:rPr>
                <w:lang w:eastAsia="en-GB"/>
              </w:rPr>
              <w:t>155 (0.1)</w:t>
            </w:r>
          </w:p>
        </w:tc>
      </w:tr>
      <w:tr w:rsidR="008B4DF8" w:rsidRPr="00C1603D" w14:paraId="5147AAFB" w14:textId="77777777" w:rsidTr="0044057F">
        <w:trPr>
          <w:cantSplit/>
        </w:trPr>
        <w:tc>
          <w:tcPr>
            <w:tcW w:w="0" w:type="auto"/>
            <w:gridSpan w:val="9"/>
            <w:shd w:val="clear" w:color="auto" w:fill="auto"/>
            <w:noWrap/>
          </w:tcPr>
          <w:p w14:paraId="3891ED41" w14:textId="0FD05B39" w:rsidR="008B4DF8" w:rsidRPr="00C1603D" w:rsidRDefault="008B4DF8" w:rsidP="00BB1FC5">
            <w:pPr>
              <w:pStyle w:val="72TabletextTablesTableFigureBoxstyles"/>
              <w:rPr>
                <w:lang w:eastAsia="en-GB"/>
              </w:rPr>
            </w:pPr>
            <w:r w:rsidRPr="00C1603D">
              <w:rPr>
                <w:lang w:eastAsia="en-GB"/>
              </w:rPr>
              <w:t>Fatigue</w:t>
            </w:r>
            <w:r w:rsidR="00BB1FC5" w:rsidRPr="00C1603D">
              <w:rPr>
                <w:lang w:eastAsia="en-GB"/>
              </w:rPr>
              <w:t xml:space="preserve">, </w:t>
            </w:r>
            <w:r w:rsidR="00BB1FC5" w:rsidRPr="00C1603D">
              <w:rPr>
                <w:i/>
                <w:lang w:eastAsia="en-GB"/>
              </w:rPr>
              <w:t>n</w:t>
            </w:r>
            <w:r w:rsidR="00BB1FC5" w:rsidRPr="00C1603D">
              <w:rPr>
                <w:lang w:eastAsia="en-GB"/>
              </w:rPr>
              <w:t xml:space="preserve"> (%)</w:t>
            </w:r>
          </w:p>
        </w:tc>
      </w:tr>
      <w:tr w:rsidR="00B068B0" w:rsidRPr="00C1603D" w14:paraId="42C4650B" w14:textId="77777777" w:rsidTr="0044057F">
        <w:trPr>
          <w:cantSplit/>
        </w:trPr>
        <w:tc>
          <w:tcPr>
            <w:tcW w:w="0" w:type="auto"/>
            <w:shd w:val="clear" w:color="auto" w:fill="auto"/>
            <w:noWrap/>
          </w:tcPr>
          <w:p w14:paraId="45774D41" w14:textId="47484DB5" w:rsidR="008B4DF8" w:rsidRPr="00C1603D" w:rsidRDefault="00BB1FC5"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0CDB89F0" w14:textId="5CC7A56F" w:rsidR="008B4DF8" w:rsidRPr="00C1603D" w:rsidRDefault="008B4DF8" w:rsidP="00703099">
            <w:pPr>
              <w:pStyle w:val="72TabletextTablesTableFigureBoxstyles"/>
              <w:rPr>
                <w:lang w:eastAsia="en-GB"/>
              </w:rPr>
            </w:pPr>
            <w:r w:rsidRPr="00C1603D">
              <w:rPr>
                <w:lang w:eastAsia="en-GB"/>
              </w:rPr>
              <w:t>4638 (12.5)</w:t>
            </w:r>
          </w:p>
        </w:tc>
        <w:tc>
          <w:tcPr>
            <w:tcW w:w="0" w:type="auto"/>
            <w:shd w:val="clear" w:color="auto" w:fill="auto"/>
            <w:noWrap/>
          </w:tcPr>
          <w:p w14:paraId="5D476F10" w14:textId="72226ECF" w:rsidR="008B4DF8" w:rsidRPr="00C1603D" w:rsidRDefault="008B4DF8" w:rsidP="00703099">
            <w:pPr>
              <w:pStyle w:val="72TabletextTablesTableFigureBoxstyles"/>
              <w:rPr>
                <w:lang w:eastAsia="en-GB"/>
              </w:rPr>
            </w:pPr>
            <w:r w:rsidRPr="00C1603D">
              <w:rPr>
                <w:lang w:eastAsia="en-GB"/>
              </w:rPr>
              <w:t>3027 (25.1)</w:t>
            </w:r>
          </w:p>
        </w:tc>
        <w:tc>
          <w:tcPr>
            <w:tcW w:w="0" w:type="auto"/>
            <w:shd w:val="clear" w:color="auto" w:fill="auto"/>
            <w:noWrap/>
          </w:tcPr>
          <w:p w14:paraId="187C9F78"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FFE6C39" w14:textId="2E01F316" w:rsidR="008B4DF8" w:rsidRPr="00C1603D" w:rsidRDefault="008B4DF8" w:rsidP="00703099">
            <w:pPr>
              <w:pStyle w:val="72TabletextTablesTableFigureBoxstyles"/>
              <w:rPr>
                <w:lang w:eastAsia="en-GB"/>
              </w:rPr>
            </w:pPr>
            <w:r w:rsidRPr="00C1603D">
              <w:rPr>
                <w:lang w:eastAsia="en-GB"/>
              </w:rPr>
              <w:t>7665 (15.6)</w:t>
            </w:r>
          </w:p>
        </w:tc>
        <w:tc>
          <w:tcPr>
            <w:tcW w:w="0" w:type="auto"/>
            <w:shd w:val="clear" w:color="auto" w:fill="auto"/>
            <w:noWrap/>
          </w:tcPr>
          <w:p w14:paraId="5E8AB84C" w14:textId="1BD75E73" w:rsidR="008B4DF8" w:rsidRPr="00C1603D" w:rsidRDefault="008B4DF8" w:rsidP="00703099">
            <w:pPr>
              <w:pStyle w:val="72TabletextTablesTableFigureBoxstyles"/>
              <w:rPr>
                <w:lang w:eastAsia="en-GB"/>
              </w:rPr>
            </w:pPr>
            <w:r w:rsidRPr="00C1603D">
              <w:rPr>
                <w:lang w:eastAsia="en-GB"/>
              </w:rPr>
              <w:t>1755 (2.3)</w:t>
            </w:r>
          </w:p>
        </w:tc>
        <w:tc>
          <w:tcPr>
            <w:tcW w:w="0" w:type="auto"/>
            <w:shd w:val="clear" w:color="auto" w:fill="auto"/>
            <w:noWrap/>
          </w:tcPr>
          <w:p w14:paraId="0ACD238A" w14:textId="304F11E2" w:rsidR="008B4DF8" w:rsidRPr="00C1603D" w:rsidRDefault="008B4DF8" w:rsidP="00703099">
            <w:pPr>
              <w:pStyle w:val="72TabletextTablesTableFigureBoxstyles"/>
              <w:rPr>
                <w:lang w:eastAsia="en-GB"/>
              </w:rPr>
            </w:pPr>
            <w:r w:rsidRPr="00C1603D">
              <w:rPr>
                <w:lang w:eastAsia="en-GB"/>
              </w:rPr>
              <w:t>1165 (4.5)</w:t>
            </w:r>
          </w:p>
        </w:tc>
        <w:tc>
          <w:tcPr>
            <w:tcW w:w="0" w:type="auto"/>
            <w:shd w:val="clear" w:color="auto" w:fill="auto"/>
            <w:noWrap/>
          </w:tcPr>
          <w:p w14:paraId="7AD91622"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5330E9C" w14:textId="646DD61A" w:rsidR="008B4DF8" w:rsidRPr="00C1603D" w:rsidRDefault="008B4DF8" w:rsidP="00703099">
            <w:pPr>
              <w:pStyle w:val="72TabletextTablesTableFigureBoxstyles"/>
              <w:rPr>
                <w:lang w:eastAsia="en-GB"/>
              </w:rPr>
            </w:pPr>
            <w:r w:rsidRPr="00C1603D">
              <w:rPr>
                <w:lang w:eastAsia="en-GB"/>
              </w:rPr>
              <w:t>2920 (2.8)</w:t>
            </w:r>
          </w:p>
        </w:tc>
      </w:tr>
      <w:tr w:rsidR="008B4DF8" w:rsidRPr="00C1603D" w14:paraId="5985B0A4" w14:textId="77777777" w:rsidTr="0044057F">
        <w:trPr>
          <w:cantSplit/>
        </w:trPr>
        <w:tc>
          <w:tcPr>
            <w:tcW w:w="0" w:type="auto"/>
            <w:gridSpan w:val="9"/>
            <w:shd w:val="clear" w:color="auto" w:fill="auto"/>
            <w:noWrap/>
          </w:tcPr>
          <w:p w14:paraId="03651FE8" w14:textId="3392BF03" w:rsidR="008B4DF8" w:rsidRPr="00C1603D" w:rsidRDefault="008B4DF8" w:rsidP="00BB1FC5">
            <w:pPr>
              <w:pStyle w:val="72TabletextTablesTableFigureBoxstyles"/>
              <w:rPr>
                <w:lang w:eastAsia="en-GB"/>
              </w:rPr>
            </w:pPr>
            <w:r w:rsidRPr="00C1603D">
              <w:rPr>
                <w:lang w:eastAsia="en-GB"/>
              </w:rPr>
              <w:t>Fatigue (count, 1 year)</w:t>
            </w:r>
            <w:r w:rsidR="00BB1FC5" w:rsidRPr="00C1603D">
              <w:rPr>
                <w:lang w:eastAsia="en-GB"/>
              </w:rPr>
              <w:t xml:space="preserve"> , </w:t>
            </w:r>
            <w:r w:rsidR="00BB1FC5" w:rsidRPr="00C1603D">
              <w:rPr>
                <w:i/>
                <w:lang w:eastAsia="en-GB"/>
              </w:rPr>
              <w:t>n</w:t>
            </w:r>
            <w:r w:rsidR="00BB1FC5" w:rsidRPr="00C1603D">
              <w:rPr>
                <w:lang w:eastAsia="en-GB"/>
              </w:rPr>
              <w:t xml:space="preserve"> (%)</w:t>
            </w:r>
          </w:p>
        </w:tc>
      </w:tr>
      <w:tr w:rsidR="00BB1FC5" w:rsidRPr="00C1603D" w14:paraId="069F4BCC" w14:textId="77777777" w:rsidTr="0044057F">
        <w:trPr>
          <w:cantSplit/>
        </w:trPr>
        <w:tc>
          <w:tcPr>
            <w:tcW w:w="0" w:type="auto"/>
            <w:shd w:val="clear" w:color="auto" w:fill="auto"/>
            <w:noWrap/>
          </w:tcPr>
          <w:p w14:paraId="78D6679B" w14:textId="1FB6A6F1" w:rsidR="00BB1FC5" w:rsidRPr="00C1603D" w:rsidRDefault="00BB1FC5" w:rsidP="00703099">
            <w:pPr>
              <w:pStyle w:val="72TabletextTablesTableFigureBoxstyles"/>
              <w:rPr>
                <w:lang w:eastAsia="en-GB"/>
              </w:rPr>
            </w:pPr>
            <w:r w:rsidRPr="00C1603D">
              <w:rPr>
                <w:lang w:eastAsia="en-GB"/>
              </w:rPr>
              <w:tab/>
              <w:t>Once</w:t>
            </w:r>
          </w:p>
        </w:tc>
        <w:tc>
          <w:tcPr>
            <w:tcW w:w="0" w:type="auto"/>
            <w:shd w:val="clear" w:color="auto" w:fill="auto"/>
            <w:noWrap/>
          </w:tcPr>
          <w:p w14:paraId="545191F4" w14:textId="64BB9CD4" w:rsidR="00BB1FC5" w:rsidRPr="00C1603D" w:rsidRDefault="00BB1FC5" w:rsidP="00703099">
            <w:pPr>
              <w:pStyle w:val="72TabletextTablesTableFigureBoxstyles"/>
              <w:rPr>
                <w:lang w:eastAsia="en-GB"/>
              </w:rPr>
            </w:pPr>
            <w:r w:rsidRPr="00C1603D">
              <w:rPr>
                <w:lang w:eastAsia="en-GB"/>
              </w:rPr>
              <w:t>945 (2.5)</w:t>
            </w:r>
          </w:p>
        </w:tc>
        <w:tc>
          <w:tcPr>
            <w:tcW w:w="0" w:type="auto"/>
            <w:shd w:val="clear" w:color="auto" w:fill="auto"/>
            <w:noWrap/>
          </w:tcPr>
          <w:p w14:paraId="5859262A" w14:textId="0C7C54C0" w:rsidR="00BB1FC5" w:rsidRPr="00C1603D" w:rsidRDefault="00BB1FC5" w:rsidP="00703099">
            <w:pPr>
              <w:pStyle w:val="72TabletextTablesTableFigureBoxstyles"/>
              <w:rPr>
                <w:lang w:eastAsia="en-GB"/>
              </w:rPr>
            </w:pPr>
            <w:r w:rsidRPr="00C1603D">
              <w:rPr>
                <w:lang w:eastAsia="en-GB"/>
              </w:rPr>
              <w:t>953 (7.9)</w:t>
            </w:r>
          </w:p>
        </w:tc>
        <w:tc>
          <w:tcPr>
            <w:tcW w:w="0" w:type="auto"/>
            <w:vMerge w:val="restart"/>
            <w:shd w:val="clear" w:color="auto" w:fill="auto"/>
            <w:noWrap/>
          </w:tcPr>
          <w:p w14:paraId="6F1A0201" w14:textId="77777777" w:rsidR="00BB1FC5" w:rsidRPr="00C1603D" w:rsidRDefault="00BB1FC5"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3CBDE04" w14:textId="18CBF42A" w:rsidR="00BB1FC5" w:rsidRPr="00C1603D" w:rsidRDefault="00BB1FC5" w:rsidP="00703099">
            <w:pPr>
              <w:pStyle w:val="72TabletextTablesTableFigureBoxstyles"/>
              <w:rPr>
                <w:lang w:eastAsia="en-GB"/>
              </w:rPr>
            </w:pPr>
            <w:r w:rsidRPr="00C1603D">
              <w:rPr>
                <w:lang w:eastAsia="en-GB"/>
              </w:rPr>
              <w:t>1898 (3.9)</w:t>
            </w:r>
          </w:p>
        </w:tc>
        <w:tc>
          <w:tcPr>
            <w:tcW w:w="0" w:type="auto"/>
            <w:shd w:val="clear" w:color="auto" w:fill="auto"/>
            <w:noWrap/>
          </w:tcPr>
          <w:p w14:paraId="4F1130D2" w14:textId="63629B64" w:rsidR="00BB1FC5" w:rsidRPr="00C1603D" w:rsidRDefault="00BB1FC5" w:rsidP="00703099">
            <w:pPr>
              <w:pStyle w:val="72TabletextTablesTableFigureBoxstyles"/>
              <w:rPr>
                <w:lang w:eastAsia="en-GB"/>
              </w:rPr>
            </w:pPr>
            <w:r w:rsidRPr="00C1603D">
              <w:rPr>
                <w:lang w:eastAsia="en-GB"/>
              </w:rPr>
              <w:t>333 (0.4)</w:t>
            </w:r>
          </w:p>
        </w:tc>
        <w:tc>
          <w:tcPr>
            <w:tcW w:w="0" w:type="auto"/>
            <w:shd w:val="clear" w:color="auto" w:fill="auto"/>
            <w:noWrap/>
          </w:tcPr>
          <w:p w14:paraId="618ABB4F" w14:textId="58F024A4" w:rsidR="00BB1FC5" w:rsidRPr="00C1603D" w:rsidRDefault="00BB1FC5" w:rsidP="00703099">
            <w:pPr>
              <w:pStyle w:val="72TabletextTablesTableFigureBoxstyles"/>
              <w:rPr>
                <w:lang w:eastAsia="en-GB"/>
              </w:rPr>
            </w:pPr>
            <w:r w:rsidRPr="00C1603D">
              <w:rPr>
                <w:lang w:eastAsia="en-GB"/>
              </w:rPr>
              <w:t>341 (1.3)</w:t>
            </w:r>
          </w:p>
        </w:tc>
        <w:tc>
          <w:tcPr>
            <w:tcW w:w="0" w:type="auto"/>
            <w:vMerge w:val="restart"/>
            <w:shd w:val="clear" w:color="auto" w:fill="auto"/>
            <w:noWrap/>
          </w:tcPr>
          <w:p w14:paraId="2240A96E" w14:textId="77777777" w:rsidR="00BB1FC5" w:rsidRPr="00C1603D" w:rsidRDefault="00BB1FC5"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5B0B1BC" w14:textId="0FBA9534" w:rsidR="00BB1FC5" w:rsidRPr="00C1603D" w:rsidRDefault="00BB1FC5" w:rsidP="00703099">
            <w:pPr>
              <w:pStyle w:val="72TabletextTablesTableFigureBoxstyles"/>
              <w:rPr>
                <w:lang w:eastAsia="en-GB"/>
              </w:rPr>
            </w:pPr>
            <w:r w:rsidRPr="00C1603D">
              <w:rPr>
                <w:lang w:eastAsia="en-GB"/>
              </w:rPr>
              <w:t>674 (0.7)</w:t>
            </w:r>
          </w:p>
        </w:tc>
      </w:tr>
      <w:tr w:rsidR="00BB1FC5" w:rsidRPr="00C1603D" w14:paraId="300698FA" w14:textId="77777777" w:rsidTr="0044057F">
        <w:trPr>
          <w:cantSplit/>
        </w:trPr>
        <w:tc>
          <w:tcPr>
            <w:tcW w:w="0" w:type="auto"/>
            <w:shd w:val="clear" w:color="auto" w:fill="auto"/>
            <w:noWrap/>
          </w:tcPr>
          <w:p w14:paraId="282B8410" w14:textId="3D2F1EA7" w:rsidR="00BB1FC5" w:rsidRPr="00C1603D" w:rsidRDefault="00BB1FC5" w:rsidP="00703099">
            <w:pPr>
              <w:pStyle w:val="72TabletextTablesTableFigureBoxstyles"/>
              <w:rPr>
                <w:lang w:eastAsia="en-GB"/>
              </w:rPr>
            </w:pPr>
            <w:r w:rsidRPr="00C1603D">
              <w:rPr>
                <w:lang w:eastAsia="en-GB"/>
              </w:rPr>
              <w:tab/>
              <w:t>Twice</w:t>
            </w:r>
          </w:p>
        </w:tc>
        <w:tc>
          <w:tcPr>
            <w:tcW w:w="0" w:type="auto"/>
            <w:shd w:val="clear" w:color="auto" w:fill="auto"/>
            <w:noWrap/>
          </w:tcPr>
          <w:p w14:paraId="28762112" w14:textId="03FA9568" w:rsidR="00BB1FC5" w:rsidRPr="00C1603D" w:rsidRDefault="00BB1FC5" w:rsidP="00703099">
            <w:pPr>
              <w:pStyle w:val="72TabletextTablesTableFigureBoxstyles"/>
              <w:rPr>
                <w:lang w:eastAsia="en-GB"/>
              </w:rPr>
            </w:pPr>
            <w:r w:rsidRPr="00C1603D">
              <w:rPr>
                <w:lang w:eastAsia="en-GB"/>
              </w:rPr>
              <w:t>145 (0.4)</w:t>
            </w:r>
          </w:p>
        </w:tc>
        <w:tc>
          <w:tcPr>
            <w:tcW w:w="0" w:type="auto"/>
            <w:shd w:val="clear" w:color="auto" w:fill="auto"/>
            <w:noWrap/>
          </w:tcPr>
          <w:p w14:paraId="56DF7F69" w14:textId="3F425C05" w:rsidR="00BB1FC5" w:rsidRPr="00C1603D" w:rsidRDefault="00BB1FC5" w:rsidP="00703099">
            <w:pPr>
              <w:pStyle w:val="72TabletextTablesTableFigureBoxstyles"/>
              <w:rPr>
                <w:lang w:eastAsia="en-GB"/>
              </w:rPr>
            </w:pPr>
            <w:r w:rsidRPr="00C1603D">
              <w:rPr>
                <w:lang w:eastAsia="en-GB"/>
              </w:rPr>
              <w:t>174 (1.4)</w:t>
            </w:r>
          </w:p>
        </w:tc>
        <w:tc>
          <w:tcPr>
            <w:tcW w:w="0" w:type="auto"/>
            <w:vMerge/>
            <w:noWrap/>
          </w:tcPr>
          <w:p w14:paraId="5727D11C" w14:textId="4B9502EB" w:rsidR="00BB1FC5" w:rsidRPr="00C1603D" w:rsidRDefault="00BB1FC5" w:rsidP="00703099">
            <w:pPr>
              <w:pStyle w:val="72TabletextTablesTableFigureBoxstyles"/>
              <w:rPr>
                <w:lang w:eastAsia="en-GB"/>
              </w:rPr>
            </w:pPr>
          </w:p>
        </w:tc>
        <w:tc>
          <w:tcPr>
            <w:tcW w:w="0" w:type="auto"/>
            <w:shd w:val="clear" w:color="auto" w:fill="auto"/>
            <w:noWrap/>
          </w:tcPr>
          <w:p w14:paraId="2D8E0394" w14:textId="6FD11038" w:rsidR="00BB1FC5" w:rsidRPr="00C1603D" w:rsidRDefault="00BB1FC5" w:rsidP="00703099">
            <w:pPr>
              <w:pStyle w:val="72TabletextTablesTableFigureBoxstyles"/>
              <w:rPr>
                <w:lang w:eastAsia="en-GB"/>
              </w:rPr>
            </w:pPr>
            <w:r w:rsidRPr="00C1603D">
              <w:rPr>
                <w:lang w:eastAsia="en-GB"/>
              </w:rPr>
              <w:t>319 (0.6)</w:t>
            </w:r>
          </w:p>
        </w:tc>
        <w:tc>
          <w:tcPr>
            <w:tcW w:w="0" w:type="auto"/>
            <w:shd w:val="clear" w:color="auto" w:fill="auto"/>
            <w:noWrap/>
          </w:tcPr>
          <w:p w14:paraId="3C2C0787" w14:textId="42681D78" w:rsidR="00BB1FC5" w:rsidRPr="00C1603D" w:rsidRDefault="00BB1FC5" w:rsidP="00703099">
            <w:pPr>
              <w:pStyle w:val="72TabletextTablesTableFigureBoxstyles"/>
              <w:rPr>
                <w:lang w:eastAsia="en-GB"/>
              </w:rPr>
            </w:pPr>
            <w:r w:rsidRPr="00C1603D">
              <w:rPr>
                <w:lang w:eastAsia="en-GB"/>
              </w:rPr>
              <w:t>86 (0.1)</w:t>
            </w:r>
          </w:p>
        </w:tc>
        <w:tc>
          <w:tcPr>
            <w:tcW w:w="0" w:type="auto"/>
            <w:shd w:val="clear" w:color="auto" w:fill="auto"/>
            <w:noWrap/>
          </w:tcPr>
          <w:p w14:paraId="002999D1" w14:textId="2F3F5871" w:rsidR="00BB1FC5" w:rsidRPr="00C1603D" w:rsidRDefault="00BB1FC5" w:rsidP="00703099">
            <w:pPr>
              <w:pStyle w:val="72TabletextTablesTableFigureBoxstyles"/>
              <w:rPr>
                <w:lang w:eastAsia="en-GB"/>
              </w:rPr>
            </w:pPr>
            <w:r w:rsidRPr="00C1603D">
              <w:rPr>
                <w:lang w:eastAsia="en-GB"/>
              </w:rPr>
              <w:t>118 (0.5)</w:t>
            </w:r>
          </w:p>
        </w:tc>
        <w:tc>
          <w:tcPr>
            <w:tcW w:w="0" w:type="auto"/>
            <w:vMerge/>
            <w:noWrap/>
          </w:tcPr>
          <w:p w14:paraId="56FE9D3F" w14:textId="74843F91" w:rsidR="00BB1FC5" w:rsidRPr="00C1603D" w:rsidRDefault="00BB1FC5" w:rsidP="00703099">
            <w:pPr>
              <w:pStyle w:val="72TabletextTablesTableFigureBoxstyles"/>
              <w:rPr>
                <w:lang w:eastAsia="en-GB"/>
              </w:rPr>
            </w:pPr>
          </w:p>
        </w:tc>
        <w:tc>
          <w:tcPr>
            <w:tcW w:w="0" w:type="auto"/>
            <w:shd w:val="clear" w:color="auto" w:fill="auto"/>
            <w:noWrap/>
          </w:tcPr>
          <w:p w14:paraId="00E36E2E" w14:textId="2C30A458" w:rsidR="00BB1FC5" w:rsidRPr="00C1603D" w:rsidRDefault="00BB1FC5" w:rsidP="00703099">
            <w:pPr>
              <w:pStyle w:val="72TabletextTablesTableFigureBoxstyles"/>
              <w:rPr>
                <w:lang w:eastAsia="en-GB"/>
              </w:rPr>
            </w:pPr>
            <w:r w:rsidRPr="00C1603D">
              <w:rPr>
                <w:lang w:eastAsia="en-GB"/>
              </w:rPr>
              <w:t>204 (0.2)</w:t>
            </w:r>
          </w:p>
        </w:tc>
      </w:tr>
      <w:tr w:rsidR="00BB1FC5" w:rsidRPr="00C1603D" w14:paraId="6E3D7778" w14:textId="77777777" w:rsidTr="0044057F">
        <w:trPr>
          <w:cantSplit/>
        </w:trPr>
        <w:tc>
          <w:tcPr>
            <w:tcW w:w="0" w:type="auto"/>
            <w:shd w:val="clear" w:color="auto" w:fill="auto"/>
            <w:noWrap/>
          </w:tcPr>
          <w:p w14:paraId="0827867E" w14:textId="53B7C1DC" w:rsidR="00BB1FC5" w:rsidRPr="00C1603D" w:rsidRDefault="00BB1FC5" w:rsidP="00703099">
            <w:pPr>
              <w:pStyle w:val="72TabletextTablesTableFigureBoxstyles"/>
              <w:rPr>
                <w:lang w:eastAsia="en-GB"/>
              </w:rPr>
            </w:pPr>
            <w:r w:rsidRPr="00C1603D">
              <w:rPr>
                <w:lang w:eastAsia="en-GB"/>
              </w:rPr>
              <w:tab/>
              <w:t>Three times</w:t>
            </w:r>
          </w:p>
        </w:tc>
        <w:tc>
          <w:tcPr>
            <w:tcW w:w="0" w:type="auto"/>
            <w:shd w:val="clear" w:color="auto" w:fill="auto"/>
            <w:noWrap/>
          </w:tcPr>
          <w:p w14:paraId="6F5F3C51" w14:textId="611D8DC5" w:rsidR="00BB1FC5" w:rsidRPr="00C1603D" w:rsidRDefault="00BB1FC5" w:rsidP="00703099">
            <w:pPr>
              <w:pStyle w:val="72TabletextTablesTableFigureBoxstyles"/>
              <w:rPr>
                <w:lang w:eastAsia="en-GB"/>
              </w:rPr>
            </w:pPr>
            <w:r w:rsidRPr="00C1603D">
              <w:rPr>
                <w:lang w:eastAsia="en-GB"/>
              </w:rPr>
              <w:t>38 (0.1)</w:t>
            </w:r>
          </w:p>
        </w:tc>
        <w:tc>
          <w:tcPr>
            <w:tcW w:w="0" w:type="auto"/>
            <w:shd w:val="clear" w:color="auto" w:fill="auto"/>
            <w:noWrap/>
          </w:tcPr>
          <w:p w14:paraId="3399DBE3" w14:textId="45D4BB8C" w:rsidR="00BB1FC5" w:rsidRPr="00C1603D" w:rsidRDefault="00BB1FC5" w:rsidP="00703099">
            <w:pPr>
              <w:pStyle w:val="72TabletextTablesTableFigureBoxstyles"/>
              <w:rPr>
                <w:lang w:eastAsia="en-GB"/>
              </w:rPr>
            </w:pPr>
            <w:r w:rsidRPr="00C1603D">
              <w:rPr>
                <w:lang w:eastAsia="en-GB"/>
              </w:rPr>
              <w:t>73 (0.6)</w:t>
            </w:r>
          </w:p>
        </w:tc>
        <w:tc>
          <w:tcPr>
            <w:tcW w:w="0" w:type="auto"/>
            <w:vMerge/>
            <w:noWrap/>
          </w:tcPr>
          <w:p w14:paraId="30955747" w14:textId="2E9DBDB9" w:rsidR="00BB1FC5" w:rsidRPr="00C1603D" w:rsidRDefault="00BB1FC5" w:rsidP="00703099">
            <w:pPr>
              <w:pStyle w:val="72TabletextTablesTableFigureBoxstyles"/>
              <w:rPr>
                <w:lang w:eastAsia="en-GB"/>
              </w:rPr>
            </w:pPr>
          </w:p>
        </w:tc>
        <w:tc>
          <w:tcPr>
            <w:tcW w:w="0" w:type="auto"/>
            <w:shd w:val="clear" w:color="auto" w:fill="auto"/>
            <w:noWrap/>
          </w:tcPr>
          <w:p w14:paraId="6C420107" w14:textId="0D2BC2CD" w:rsidR="00BB1FC5" w:rsidRPr="00C1603D" w:rsidRDefault="00BB1FC5" w:rsidP="00703099">
            <w:pPr>
              <w:pStyle w:val="72TabletextTablesTableFigureBoxstyles"/>
              <w:rPr>
                <w:lang w:eastAsia="en-GB"/>
              </w:rPr>
            </w:pPr>
            <w:r w:rsidRPr="00C1603D">
              <w:rPr>
                <w:lang w:eastAsia="en-GB"/>
              </w:rPr>
              <w:t>111 (0.2)</w:t>
            </w:r>
          </w:p>
        </w:tc>
        <w:tc>
          <w:tcPr>
            <w:tcW w:w="0" w:type="auto"/>
            <w:shd w:val="clear" w:color="auto" w:fill="auto"/>
            <w:noWrap/>
          </w:tcPr>
          <w:p w14:paraId="3B2E5943" w14:textId="62DCFD40" w:rsidR="00BB1FC5" w:rsidRPr="00C1603D" w:rsidRDefault="00BB1FC5" w:rsidP="00703099">
            <w:pPr>
              <w:pStyle w:val="72TabletextTablesTableFigureBoxstyles"/>
              <w:rPr>
                <w:lang w:eastAsia="en-GB"/>
              </w:rPr>
            </w:pPr>
            <w:r w:rsidRPr="00C1603D">
              <w:rPr>
                <w:lang w:eastAsia="en-GB"/>
              </w:rPr>
              <w:t>56 (0.1)</w:t>
            </w:r>
          </w:p>
        </w:tc>
        <w:tc>
          <w:tcPr>
            <w:tcW w:w="0" w:type="auto"/>
            <w:shd w:val="clear" w:color="auto" w:fill="auto"/>
            <w:noWrap/>
          </w:tcPr>
          <w:p w14:paraId="7C233295" w14:textId="52EC64BA" w:rsidR="00BB1FC5" w:rsidRPr="00C1603D" w:rsidRDefault="00BB1FC5" w:rsidP="00703099">
            <w:pPr>
              <w:pStyle w:val="72TabletextTablesTableFigureBoxstyles"/>
              <w:rPr>
                <w:lang w:eastAsia="en-GB"/>
              </w:rPr>
            </w:pPr>
            <w:r w:rsidRPr="00C1603D">
              <w:rPr>
                <w:lang w:eastAsia="en-GB"/>
              </w:rPr>
              <w:t>79 (0.3)</w:t>
            </w:r>
          </w:p>
        </w:tc>
        <w:tc>
          <w:tcPr>
            <w:tcW w:w="0" w:type="auto"/>
            <w:vMerge/>
            <w:noWrap/>
          </w:tcPr>
          <w:p w14:paraId="6D5876C3" w14:textId="108783F5" w:rsidR="00BB1FC5" w:rsidRPr="00C1603D" w:rsidRDefault="00BB1FC5" w:rsidP="00703099">
            <w:pPr>
              <w:pStyle w:val="72TabletextTablesTableFigureBoxstyles"/>
              <w:rPr>
                <w:lang w:eastAsia="en-GB"/>
              </w:rPr>
            </w:pPr>
          </w:p>
        </w:tc>
        <w:tc>
          <w:tcPr>
            <w:tcW w:w="0" w:type="auto"/>
            <w:shd w:val="clear" w:color="auto" w:fill="auto"/>
            <w:noWrap/>
          </w:tcPr>
          <w:p w14:paraId="75D101C2" w14:textId="51E123AA" w:rsidR="00BB1FC5" w:rsidRPr="00C1603D" w:rsidRDefault="00BB1FC5" w:rsidP="00703099">
            <w:pPr>
              <w:pStyle w:val="72TabletextTablesTableFigureBoxstyles"/>
              <w:rPr>
                <w:lang w:eastAsia="en-GB"/>
              </w:rPr>
            </w:pPr>
            <w:r w:rsidRPr="00C1603D">
              <w:rPr>
                <w:lang w:eastAsia="en-GB"/>
              </w:rPr>
              <w:t>135 (0.1)</w:t>
            </w:r>
          </w:p>
        </w:tc>
      </w:tr>
      <w:tr w:rsidR="008B4DF8" w:rsidRPr="00C1603D" w14:paraId="44F49711" w14:textId="77777777" w:rsidTr="0044057F">
        <w:trPr>
          <w:cantSplit/>
        </w:trPr>
        <w:tc>
          <w:tcPr>
            <w:tcW w:w="0" w:type="auto"/>
            <w:gridSpan w:val="9"/>
            <w:shd w:val="clear" w:color="auto" w:fill="auto"/>
            <w:noWrap/>
          </w:tcPr>
          <w:p w14:paraId="471D2A82" w14:textId="4E400336" w:rsidR="008B4DF8" w:rsidRPr="00C1603D" w:rsidRDefault="008B4DF8" w:rsidP="00BB1FC5">
            <w:pPr>
              <w:pStyle w:val="72TabletextTablesTableFigureBoxstyles"/>
              <w:rPr>
                <w:lang w:eastAsia="en-GB"/>
              </w:rPr>
            </w:pPr>
            <w:r w:rsidRPr="00C1603D">
              <w:rPr>
                <w:lang w:eastAsia="en-GB"/>
              </w:rPr>
              <w:t>First</w:t>
            </w:r>
            <w:r w:rsidR="00BB1FC5" w:rsidRPr="00C1603D">
              <w:rPr>
                <w:lang w:eastAsia="en-GB"/>
              </w:rPr>
              <w:t>-</w:t>
            </w:r>
            <w:r w:rsidRPr="00C1603D">
              <w:rPr>
                <w:lang w:eastAsia="en-GB"/>
              </w:rPr>
              <w:t>degree relative</w:t>
            </w:r>
            <w:r w:rsidR="00BB1FC5" w:rsidRPr="00C1603D">
              <w:rPr>
                <w:lang w:eastAsia="en-GB"/>
              </w:rPr>
              <w:t xml:space="preserve"> with CD, </w:t>
            </w:r>
            <w:r w:rsidR="00BB1FC5" w:rsidRPr="00C1603D">
              <w:rPr>
                <w:i/>
                <w:lang w:eastAsia="en-GB"/>
              </w:rPr>
              <w:t>n</w:t>
            </w:r>
            <w:r w:rsidR="00BB1FC5" w:rsidRPr="00C1603D">
              <w:rPr>
                <w:lang w:eastAsia="en-GB"/>
              </w:rPr>
              <w:t xml:space="preserve"> (%)</w:t>
            </w:r>
          </w:p>
        </w:tc>
      </w:tr>
      <w:tr w:rsidR="00B068B0" w:rsidRPr="00C1603D" w14:paraId="748210BB" w14:textId="77777777" w:rsidTr="0044057F">
        <w:trPr>
          <w:cantSplit/>
        </w:trPr>
        <w:tc>
          <w:tcPr>
            <w:tcW w:w="0" w:type="auto"/>
            <w:shd w:val="clear" w:color="auto" w:fill="auto"/>
            <w:noWrap/>
          </w:tcPr>
          <w:p w14:paraId="765438D8" w14:textId="08C81CEA" w:rsidR="008B4DF8" w:rsidRPr="00C1603D" w:rsidRDefault="00BB1FC5"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1815B639" w14:textId="45220068" w:rsidR="008B4DF8" w:rsidRPr="00C1603D" w:rsidRDefault="008B4DF8" w:rsidP="00703099">
            <w:pPr>
              <w:pStyle w:val="72TabletextTablesTableFigureBoxstyles"/>
              <w:rPr>
                <w:lang w:eastAsia="en-GB"/>
              </w:rPr>
            </w:pPr>
            <w:r w:rsidRPr="00C1603D">
              <w:rPr>
                <w:lang w:eastAsia="en-GB"/>
              </w:rPr>
              <w:t>108 (0.3)</w:t>
            </w:r>
          </w:p>
        </w:tc>
        <w:tc>
          <w:tcPr>
            <w:tcW w:w="0" w:type="auto"/>
            <w:shd w:val="clear" w:color="auto" w:fill="auto"/>
            <w:noWrap/>
          </w:tcPr>
          <w:p w14:paraId="13FC7703" w14:textId="447672D8" w:rsidR="008B4DF8" w:rsidRPr="00C1603D" w:rsidRDefault="008B4DF8" w:rsidP="00703099">
            <w:pPr>
              <w:pStyle w:val="72TabletextTablesTableFigureBoxstyles"/>
              <w:rPr>
                <w:lang w:eastAsia="en-GB"/>
              </w:rPr>
            </w:pPr>
            <w:r w:rsidRPr="00C1603D">
              <w:rPr>
                <w:lang w:eastAsia="en-GB"/>
              </w:rPr>
              <w:t>416 (3.5)</w:t>
            </w:r>
          </w:p>
        </w:tc>
        <w:tc>
          <w:tcPr>
            <w:tcW w:w="0" w:type="auto"/>
            <w:shd w:val="clear" w:color="auto" w:fill="auto"/>
            <w:noWrap/>
          </w:tcPr>
          <w:p w14:paraId="576E5A72"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F90B5A2" w14:textId="0F2092E0" w:rsidR="008B4DF8" w:rsidRPr="00C1603D" w:rsidRDefault="008B4DF8" w:rsidP="00703099">
            <w:pPr>
              <w:pStyle w:val="72TabletextTablesTableFigureBoxstyles"/>
              <w:rPr>
                <w:lang w:eastAsia="en-GB"/>
              </w:rPr>
            </w:pPr>
            <w:r w:rsidRPr="00C1603D">
              <w:rPr>
                <w:lang w:eastAsia="en-GB"/>
              </w:rPr>
              <w:t>524 (1.1)</w:t>
            </w:r>
          </w:p>
        </w:tc>
        <w:tc>
          <w:tcPr>
            <w:tcW w:w="0" w:type="auto"/>
            <w:shd w:val="clear" w:color="auto" w:fill="auto"/>
            <w:noWrap/>
          </w:tcPr>
          <w:p w14:paraId="2D94E91C" w14:textId="77777777" w:rsidR="008B4DF8" w:rsidRPr="00C1603D" w:rsidRDefault="008B4DF8" w:rsidP="00703099">
            <w:pPr>
              <w:pStyle w:val="72TabletextTablesTableFigureBoxstyles"/>
              <w:rPr>
                <w:lang w:eastAsia="en-GB"/>
              </w:rPr>
            </w:pPr>
            <w:r w:rsidRPr="00C1603D">
              <w:rPr>
                <w:lang w:eastAsia="en-GB"/>
              </w:rPr>
              <w:t>NR</w:t>
            </w:r>
          </w:p>
        </w:tc>
        <w:tc>
          <w:tcPr>
            <w:tcW w:w="0" w:type="auto"/>
            <w:shd w:val="clear" w:color="auto" w:fill="auto"/>
            <w:noWrap/>
          </w:tcPr>
          <w:p w14:paraId="44BFA82B" w14:textId="77777777" w:rsidR="008B4DF8" w:rsidRPr="00C1603D" w:rsidRDefault="008B4DF8" w:rsidP="00703099">
            <w:pPr>
              <w:pStyle w:val="72TabletextTablesTableFigureBoxstyles"/>
              <w:rPr>
                <w:lang w:eastAsia="en-GB"/>
              </w:rPr>
            </w:pPr>
            <w:r w:rsidRPr="00C1603D">
              <w:rPr>
                <w:lang w:eastAsia="en-GB"/>
              </w:rPr>
              <w:t>NR</w:t>
            </w:r>
          </w:p>
        </w:tc>
        <w:tc>
          <w:tcPr>
            <w:tcW w:w="0" w:type="auto"/>
            <w:shd w:val="clear" w:color="auto" w:fill="auto"/>
            <w:noWrap/>
          </w:tcPr>
          <w:p w14:paraId="07A36107" w14:textId="0009FEE0" w:rsidR="008B4DF8" w:rsidRPr="00C1603D" w:rsidRDefault="008B4DF8" w:rsidP="00703099">
            <w:pPr>
              <w:pStyle w:val="72TabletextTablesTableFigureBoxstyles"/>
              <w:rPr>
                <w:lang w:eastAsia="en-GB"/>
              </w:rPr>
            </w:pPr>
          </w:p>
        </w:tc>
        <w:tc>
          <w:tcPr>
            <w:tcW w:w="0" w:type="auto"/>
            <w:shd w:val="clear" w:color="auto" w:fill="auto"/>
            <w:noWrap/>
          </w:tcPr>
          <w:p w14:paraId="21CDF022" w14:textId="77777777" w:rsidR="008B4DF8" w:rsidRPr="00C1603D" w:rsidRDefault="008B4DF8" w:rsidP="00703099">
            <w:pPr>
              <w:pStyle w:val="72TabletextTablesTableFigureBoxstyles"/>
              <w:rPr>
                <w:lang w:eastAsia="en-GB"/>
              </w:rPr>
            </w:pPr>
            <w:r w:rsidRPr="00C1603D">
              <w:rPr>
                <w:lang w:eastAsia="en-GB"/>
              </w:rPr>
              <w:t>NR</w:t>
            </w:r>
          </w:p>
        </w:tc>
      </w:tr>
      <w:tr w:rsidR="008B4DF8" w:rsidRPr="00C1603D" w14:paraId="7CB831E5" w14:textId="77777777" w:rsidTr="0044057F">
        <w:trPr>
          <w:cantSplit/>
        </w:trPr>
        <w:tc>
          <w:tcPr>
            <w:tcW w:w="0" w:type="auto"/>
            <w:gridSpan w:val="9"/>
            <w:shd w:val="clear" w:color="auto" w:fill="auto"/>
            <w:noWrap/>
          </w:tcPr>
          <w:p w14:paraId="3CC8C19B" w14:textId="0749AB7E" w:rsidR="008B4DF8" w:rsidRPr="00C1603D" w:rsidRDefault="008B4DF8" w:rsidP="00C743CC">
            <w:pPr>
              <w:pStyle w:val="72TabletextTablesTableFigureBoxstyles"/>
              <w:rPr>
                <w:lang w:eastAsia="en-GB"/>
              </w:rPr>
            </w:pPr>
            <w:r w:rsidRPr="00C1603D">
              <w:rPr>
                <w:lang w:eastAsia="en-GB"/>
              </w:rPr>
              <w:t>Fractures (count, 1 year)</w:t>
            </w:r>
            <w:r w:rsidR="00C743CC" w:rsidRPr="00C1603D">
              <w:rPr>
                <w:lang w:eastAsia="en-GB"/>
              </w:rPr>
              <w:t xml:space="preserve"> , </w:t>
            </w:r>
            <w:r w:rsidR="00C743CC" w:rsidRPr="00C1603D">
              <w:rPr>
                <w:i/>
                <w:lang w:eastAsia="en-GB"/>
              </w:rPr>
              <w:t>n</w:t>
            </w:r>
            <w:r w:rsidR="00C743CC" w:rsidRPr="00C1603D">
              <w:rPr>
                <w:lang w:eastAsia="en-GB"/>
              </w:rPr>
              <w:t xml:space="preserve"> (%)</w:t>
            </w:r>
          </w:p>
        </w:tc>
      </w:tr>
      <w:tr w:rsidR="00552ED8" w:rsidRPr="00C1603D" w14:paraId="232439E3" w14:textId="77777777" w:rsidTr="0044057F">
        <w:trPr>
          <w:cantSplit/>
        </w:trPr>
        <w:tc>
          <w:tcPr>
            <w:tcW w:w="0" w:type="auto"/>
            <w:shd w:val="clear" w:color="auto" w:fill="auto"/>
            <w:noWrap/>
          </w:tcPr>
          <w:p w14:paraId="415F0F2F" w14:textId="3044B440" w:rsidR="00552ED8" w:rsidRPr="00C1603D" w:rsidRDefault="00552ED8" w:rsidP="00703099">
            <w:pPr>
              <w:pStyle w:val="72TabletextTablesTableFigureBoxstyles"/>
              <w:rPr>
                <w:lang w:eastAsia="en-GB"/>
              </w:rPr>
            </w:pPr>
            <w:r w:rsidRPr="00C1603D">
              <w:rPr>
                <w:lang w:eastAsia="en-GB"/>
              </w:rPr>
              <w:tab/>
              <w:t>Once</w:t>
            </w:r>
          </w:p>
        </w:tc>
        <w:tc>
          <w:tcPr>
            <w:tcW w:w="0" w:type="auto"/>
            <w:shd w:val="clear" w:color="auto" w:fill="auto"/>
            <w:noWrap/>
          </w:tcPr>
          <w:p w14:paraId="76D6549D" w14:textId="55AFEBF9" w:rsidR="00552ED8" w:rsidRPr="00C1603D" w:rsidRDefault="00552ED8" w:rsidP="00703099">
            <w:pPr>
              <w:pStyle w:val="72TabletextTablesTableFigureBoxstyles"/>
              <w:rPr>
                <w:lang w:eastAsia="en-GB"/>
              </w:rPr>
            </w:pPr>
            <w:r w:rsidRPr="00C1603D">
              <w:rPr>
                <w:lang w:eastAsia="en-GB"/>
              </w:rPr>
              <w:t>320 (0.9)</w:t>
            </w:r>
          </w:p>
        </w:tc>
        <w:tc>
          <w:tcPr>
            <w:tcW w:w="0" w:type="auto"/>
            <w:shd w:val="clear" w:color="auto" w:fill="auto"/>
            <w:noWrap/>
          </w:tcPr>
          <w:p w14:paraId="1779035F" w14:textId="58FC8C38" w:rsidR="00552ED8" w:rsidRPr="00C1603D" w:rsidRDefault="00552ED8" w:rsidP="00703099">
            <w:pPr>
              <w:pStyle w:val="72TabletextTablesTableFigureBoxstyles"/>
              <w:rPr>
                <w:lang w:eastAsia="en-GB"/>
              </w:rPr>
            </w:pPr>
            <w:r w:rsidRPr="00C1603D">
              <w:rPr>
                <w:lang w:eastAsia="en-GB"/>
              </w:rPr>
              <w:t>202 (1.7)</w:t>
            </w:r>
          </w:p>
        </w:tc>
        <w:tc>
          <w:tcPr>
            <w:tcW w:w="0" w:type="auto"/>
            <w:vMerge w:val="restart"/>
            <w:shd w:val="clear" w:color="auto" w:fill="auto"/>
            <w:noWrap/>
          </w:tcPr>
          <w:p w14:paraId="18832290" w14:textId="77777777" w:rsidR="00552ED8" w:rsidRPr="00C1603D" w:rsidRDefault="00552ED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9D1B9FD" w14:textId="6B9C153C" w:rsidR="00552ED8" w:rsidRPr="00C1603D" w:rsidRDefault="00552ED8" w:rsidP="00703099">
            <w:pPr>
              <w:pStyle w:val="72TabletextTablesTableFigureBoxstyles"/>
              <w:rPr>
                <w:lang w:eastAsia="en-GB"/>
              </w:rPr>
            </w:pPr>
            <w:r w:rsidRPr="00C1603D">
              <w:rPr>
                <w:lang w:eastAsia="en-GB"/>
              </w:rPr>
              <w:t>522 (1.1)</w:t>
            </w:r>
          </w:p>
        </w:tc>
        <w:tc>
          <w:tcPr>
            <w:tcW w:w="0" w:type="auto"/>
            <w:shd w:val="clear" w:color="auto" w:fill="auto"/>
            <w:noWrap/>
          </w:tcPr>
          <w:p w14:paraId="7DD90A47" w14:textId="5DE79748" w:rsidR="00552ED8" w:rsidRPr="00C1603D" w:rsidRDefault="00552ED8" w:rsidP="00703099">
            <w:pPr>
              <w:pStyle w:val="72TabletextTablesTableFigureBoxstyles"/>
              <w:rPr>
                <w:lang w:eastAsia="en-GB"/>
              </w:rPr>
            </w:pPr>
            <w:r w:rsidRPr="00C1603D">
              <w:rPr>
                <w:lang w:eastAsia="en-GB"/>
              </w:rPr>
              <w:t>139 (0.2)</w:t>
            </w:r>
          </w:p>
        </w:tc>
        <w:tc>
          <w:tcPr>
            <w:tcW w:w="0" w:type="auto"/>
            <w:shd w:val="clear" w:color="auto" w:fill="auto"/>
            <w:noWrap/>
          </w:tcPr>
          <w:p w14:paraId="0A6C513D" w14:textId="18A381FF" w:rsidR="00552ED8" w:rsidRPr="00C1603D" w:rsidRDefault="00552ED8" w:rsidP="00703099">
            <w:pPr>
              <w:pStyle w:val="72TabletextTablesTableFigureBoxstyles"/>
              <w:rPr>
                <w:lang w:eastAsia="en-GB"/>
              </w:rPr>
            </w:pPr>
            <w:r w:rsidRPr="00C1603D">
              <w:rPr>
                <w:lang w:eastAsia="en-GB"/>
              </w:rPr>
              <w:t>65 (0.2)</w:t>
            </w:r>
          </w:p>
        </w:tc>
        <w:tc>
          <w:tcPr>
            <w:tcW w:w="0" w:type="auto"/>
            <w:vMerge w:val="restart"/>
            <w:shd w:val="clear" w:color="auto" w:fill="auto"/>
            <w:noWrap/>
          </w:tcPr>
          <w:p w14:paraId="787545FB" w14:textId="77777777" w:rsidR="00552ED8" w:rsidRPr="00C1603D" w:rsidRDefault="00552ED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60AB08F" w14:textId="53BEC922" w:rsidR="00552ED8" w:rsidRPr="00C1603D" w:rsidRDefault="00552ED8" w:rsidP="00703099">
            <w:pPr>
              <w:pStyle w:val="72TabletextTablesTableFigureBoxstyles"/>
              <w:rPr>
                <w:lang w:eastAsia="en-GB"/>
              </w:rPr>
            </w:pPr>
            <w:r w:rsidRPr="00C1603D">
              <w:rPr>
                <w:lang w:eastAsia="en-GB"/>
              </w:rPr>
              <w:t>204 (0.2)</w:t>
            </w:r>
          </w:p>
        </w:tc>
      </w:tr>
      <w:tr w:rsidR="00552ED8" w:rsidRPr="00C1603D" w14:paraId="60CF2987" w14:textId="77777777" w:rsidTr="0044057F">
        <w:trPr>
          <w:cantSplit/>
        </w:trPr>
        <w:tc>
          <w:tcPr>
            <w:tcW w:w="0" w:type="auto"/>
            <w:shd w:val="clear" w:color="auto" w:fill="auto"/>
            <w:noWrap/>
          </w:tcPr>
          <w:p w14:paraId="3FCD8E6F" w14:textId="56C3CCEC" w:rsidR="00552ED8" w:rsidRPr="00C1603D" w:rsidRDefault="00552ED8" w:rsidP="00703099">
            <w:pPr>
              <w:pStyle w:val="72TabletextTablesTableFigureBoxstyles"/>
              <w:rPr>
                <w:lang w:eastAsia="en-GB"/>
              </w:rPr>
            </w:pPr>
            <w:r w:rsidRPr="00C1603D">
              <w:rPr>
                <w:lang w:eastAsia="en-GB"/>
              </w:rPr>
              <w:tab/>
              <w:t>Twice</w:t>
            </w:r>
          </w:p>
        </w:tc>
        <w:tc>
          <w:tcPr>
            <w:tcW w:w="0" w:type="auto"/>
            <w:shd w:val="clear" w:color="auto" w:fill="auto"/>
            <w:noWrap/>
          </w:tcPr>
          <w:p w14:paraId="4BDE116A" w14:textId="593711B7" w:rsidR="00552ED8" w:rsidRPr="00C1603D" w:rsidRDefault="00552ED8" w:rsidP="00703099">
            <w:pPr>
              <w:pStyle w:val="72TabletextTablesTableFigureBoxstyles"/>
              <w:rPr>
                <w:lang w:eastAsia="en-GB"/>
              </w:rPr>
            </w:pPr>
            <w:r w:rsidRPr="00C1603D">
              <w:rPr>
                <w:lang w:eastAsia="en-GB"/>
              </w:rPr>
              <w:t>169 (0.5)</w:t>
            </w:r>
          </w:p>
        </w:tc>
        <w:tc>
          <w:tcPr>
            <w:tcW w:w="0" w:type="auto"/>
            <w:shd w:val="clear" w:color="auto" w:fill="auto"/>
            <w:noWrap/>
          </w:tcPr>
          <w:p w14:paraId="214EE83A" w14:textId="30AF76B1" w:rsidR="00552ED8" w:rsidRPr="00C1603D" w:rsidRDefault="00552ED8" w:rsidP="00703099">
            <w:pPr>
              <w:pStyle w:val="72TabletextTablesTableFigureBoxstyles"/>
              <w:rPr>
                <w:lang w:eastAsia="en-GB"/>
              </w:rPr>
            </w:pPr>
            <w:r w:rsidRPr="00C1603D">
              <w:rPr>
                <w:lang w:eastAsia="en-GB"/>
              </w:rPr>
              <w:t>84 (0.7)</w:t>
            </w:r>
          </w:p>
        </w:tc>
        <w:tc>
          <w:tcPr>
            <w:tcW w:w="0" w:type="auto"/>
            <w:vMerge/>
            <w:noWrap/>
          </w:tcPr>
          <w:p w14:paraId="6B2FAEF1" w14:textId="00B5EC6B" w:rsidR="00552ED8" w:rsidRPr="00C1603D" w:rsidRDefault="00552ED8" w:rsidP="00703099">
            <w:pPr>
              <w:pStyle w:val="72TabletextTablesTableFigureBoxstyles"/>
              <w:rPr>
                <w:lang w:eastAsia="en-GB"/>
              </w:rPr>
            </w:pPr>
          </w:p>
        </w:tc>
        <w:tc>
          <w:tcPr>
            <w:tcW w:w="0" w:type="auto"/>
            <w:shd w:val="clear" w:color="auto" w:fill="auto"/>
            <w:noWrap/>
          </w:tcPr>
          <w:p w14:paraId="1F574465" w14:textId="56693CA4" w:rsidR="00552ED8" w:rsidRPr="00C1603D" w:rsidRDefault="00552ED8" w:rsidP="00703099">
            <w:pPr>
              <w:pStyle w:val="72TabletextTablesTableFigureBoxstyles"/>
              <w:rPr>
                <w:lang w:eastAsia="en-GB"/>
              </w:rPr>
            </w:pPr>
            <w:r w:rsidRPr="00C1603D">
              <w:rPr>
                <w:lang w:eastAsia="en-GB"/>
              </w:rPr>
              <w:t>253 (0.5)</w:t>
            </w:r>
          </w:p>
        </w:tc>
        <w:tc>
          <w:tcPr>
            <w:tcW w:w="0" w:type="auto"/>
            <w:shd w:val="clear" w:color="auto" w:fill="auto"/>
            <w:noWrap/>
          </w:tcPr>
          <w:p w14:paraId="71E79F72" w14:textId="1E483F57" w:rsidR="00552ED8" w:rsidRPr="00C1603D" w:rsidRDefault="00552ED8" w:rsidP="00703099">
            <w:pPr>
              <w:pStyle w:val="72TabletextTablesTableFigureBoxstyles"/>
              <w:rPr>
                <w:lang w:eastAsia="en-GB"/>
              </w:rPr>
            </w:pPr>
            <w:r w:rsidRPr="00C1603D">
              <w:rPr>
                <w:lang w:eastAsia="en-GB"/>
              </w:rPr>
              <w:t>92 (0.1)</w:t>
            </w:r>
          </w:p>
        </w:tc>
        <w:tc>
          <w:tcPr>
            <w:tcW w:w="0" w:type="auto"/>
            <w:shd w:val="clear" w:color="auto" w:fill="auto"/>
            <w:noWrap/>
          </w:tcPr>
          <w:p w14:paraId="5DDCC090" w14:textId="54B2A553" w:rsidR="00552ED8" w:rsidRPr="00C1603D" w:rsidRDefault="00552ED8" w:rsidP="00703099">
            <w:pPr>
              <w:pStyle w:val="72TabletextTablesTableFigureBoxstyles"/>
              <w:rPr>
                <w:lang w:eastAsia="en-GB"/>
              </w:rPr>
            </w:pPr>
            <w:r w:rsidRPr="00C1603D">
              <w:rPr>
                <w:lang w:eastAsia="en-GB"/>
              </w:rPr>
              <w:t>60 (0.2)</w:t>
            </w:r>
          </w:p>
        </w:tc>
        <w:tc>
          <w:tcPr>
            <w:tcW w:w="0" w:type="auto"/>
            <w:vMerge/>
            <w:noWrap/>
          </w:tcPr>
          <w:p w14:paraId="78D440BB" w14:textId="5E3B6B75" w:rsidR="00552ED8" w:rsidRPr="00C1603D" w:rsidRDefault="00552ED8" w:rsidP="00703099">
            <w:pPr>
              <w:pStyle w:val="72TabletextTablesTableFigureBoxstyles"/>
              <w:rPr>
                <w:lang w:eastAsia="en-GB"/>
              </w:rPr>
            </w:pPr>
          </w:p>
        </w:tc>
        <w:tc>
          <w:tcPr>
            <w:tcW w:w="0" w:type="auto"/>
            <w:shd w:val="clear" w:color="auto" w:fill="auto"/>
            <w:noWrap/>
          </w:tcPr>
          <w:p w14:paraId="01C43FC5" w14:textId="647D4E3F" w:rsidR="00552ED8" w:rsidRPr="00C1603D" w:rsidRDefault="00552ED8" w:rsidP="00703099">
            <w:pPr>
              <w:pStyle w:val="72TabletextTablesTableFigureBoxstyles"/>
              <w:rPr>
                <w:lang w:eastAsia="en-GB"/>
              </w:rPr>
            </w:pPr>
            <w:r w:rsidRPr="00C1603D">
              <w:rPr>
                <w:lang w:eastAsia="en-GB"/>
              </w:rPr>
              <w:t>152 (0.1)</w:t>
            </w:r>
          </w:p>
        </w:tc>
      </w:tr>
      <w:tr w:rsidR="008B4DF8" w:rsidRPr="00C1603D" w14:paraId="6CDD3BD5" w14:textId="77777777" w:rsidTr="0044057F">
        <w:trPr>
          <w:cantSplit/>
        </w:trPr>
        <w:tc>
          <w:tcPr>
            <w:tcW w:w="0" w:type="auto"/>
            <w:gridSpan w:val="9"/>
            <w:shd w:val="clear" w:color="auto" w:fill="auto"/>
            <w:noWrap/>
          </w:tcPr>
          <w:p w14:paraId="06790C65" w14:textId="5650DFE7" w:rsidR="008B4DF8" w:rsidRPr="00C1603D" w:rsidRDefault="008B4DF8" w:rsidP="00552ED8">
            <w:pPr>
              <w:pStyle w:val="72TabletextTablesTableFigureBoxstyles"/>
              <w:rPr>
                <w:lang w:eastAsia="en-GB"/>
              </w:rPr>
            </w:pPr>
            <w:r w:rsidRPr="00C1603D">
              <w:rPr>
                <w:lang w:eastAsia="en-GB"/>
              </w:rPr>
              <w:t>GI symptoms</w:t>
            </w:r>
            <w:r w:rsidR="00552ED8" w:rsidRPr="00C1603D">
              <w:rPr>
                <w:lang w:eastAsia="en-GB"/>
              </w:rPr>
              <w:t xml:space="preserve">, </w:t>
            </w:r>
            <w:r w:rsidR="00552ED8" w:rsidRPr="00C1603D">
              <w:rPr>
                <w:i/>
                <w:lang w:eastAsia="en-GB"/>
              </w:rPr>
              <w:t>n</w:t>
            </w:r>
            <w:r w:rsidR="00552ED8" w:rsidRPr="00C1603D">
              <w:rPr>
                <w:lang w:eastAsia="en-GB"/>
              </w:rPr>
              <w:t xml:space="preserve"> (%)</w:t>
            </w:r>
          </w:p>
        </w:tc>
      </w:tr>
      <w:tr w:rsidR="00B068B0" w:rsidRPr="00C1603D" w14:paraId="1FE4DC25" w14:textId="77777777" w:rsidTr="0044057F">
        <w:trPr>
          <w:cantSplit/>
        </w:trPr>
        <w:tc>
          <w:tcPr>
            <w:tcW w:w="0" w:type="auto"/>
            <w:shd w:val="clear" w:color="auto" w:fill="auto"/>
            <w:noWrap/>
          </w:tcPr>
          <w:p w14:paraId="7E4D3C9B" w14:textId="77AA961A" w:rsidR="008B4DF8" w:rsidRPr="00C1603D" w:rsidRDefault="00552ED8"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741B0B9A" w14:textId="4A1D4AD9" w:rsidR="008B4DF8" w:rsidRPr="00C1603D" w:rsidRDefault="008B4DF8" w:rsidP="00703099">
            <w:pPr>
              <w:pStyle w:val="72TabletextTablesTableFigureBoxstyles"/>
              <w:rPr>
                <w:lang w:eastAsia="en-GB"/>
              </w:rPr>
            </w:pPr>
            <w:r w:rsidRPr="00C1603D">
              <w:rPr>
                <w:lang w:eastAsia="en-GB"/>
              </w:rPr>
              <w:t>12</w:t>
            </w:r>
            <w:r w:rsidR="002069F8" w:rsidRPr="00C1603D">
              <w:rPr>
                <w:lang w:eastAsia="en-GB"/>
              </w:rPr>
              <w:t>,</w:t>
            </w:r>
            <w:r w:rsidRPr="00C1603D">
              <w:rPr>
                <w:lang w:eastAsia="en-GB"/>
              </w:rPr>
              <w:t>364 (33.3)</w:t>
            </w:r>
          </w:p>
        </w:tc>
        <w:tc>
          <w:tcPr>
            <w:tcW w:w="0" w:type="auto"/>
            <w:shd w:val="clear" w:color="auto" w:fill="auto"/>
            <w:noWrap/>
          </w:tcPr>
          <w:p w14:paraId="4C99188B" w14:textId="5EE7B234" w:rsidR="008B4DF8" w:rsidRPr="00C1603D" w:rsidRDefault="008B4DF8" w:rsidP="00703099">
            <w:pPr>
              <w:pStyle w:val="72TabletextTablesTableFigureBoxstyles"/>
              <w:rPr>
                <w:lang w:eastAsia="en-GB"/>
              </w:rPr>
            </w:pPr>
            <w:r w:rsidRPr="00C1603D">
              <w:rPr>
                <w:lang w:eastAsia="en-GB"/>
              </w:rPr>
              <w:t>6994 (58.0)</w:t>
            </w:r>
          </w:p>
        </w:tc>
        <w:tc>
          <w:tcPr>
            <w:tcW w:w="0" w:type="auto"/>
            <w:shd w:val="clear" w:color="auto" w:fill="auto"/>
            <w:noWrap/>
          </w:tcPr>
          <w:p w14:paraId="284F613E"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8524BB6" w14:textId="60CD3F19" w:rsidR="008B4DF8" w:rsidRPr="00C1603D" w:rsidRDefault="008B4DF8" w:rsidP="00703099">
            <w:pPr>
              <w:pStyle w:val="72TabletextTablesTableFigureBoxstyles"/>
              <w:rPr>
                <w:lang w:eastAsia="en-GB"/>
              </w:rPr>
            </w:pPr>
            <w:r w:rsidRPr="00C1603D">
              <w:rPr>
                <w:lang w:eastAsia="en-GB"/>
              </w:rPr>
              <w:t>19</w:t>
            </w:r>
            <w:r w:rsidR="002069F8" w:rsidRPr="00C1603D">
              <w:rPr>
                <w:lang w:eastAsia="en-GB"/>
              </w:rPr>
              <w:t>,</w:t>
            </w:r>
            <w:r w:rsidRPr="00C1603D">
              <w:rPr>
                <w:lang w:eastAsia="en-GB"/>
              </w:rPr>
              <w:t>358 (39.4)</w:t>
            </w:r>
          </w:p>
        </w:tc>
        <w:tc>
          <w:tcPr>
            <w:tcW w:w="0" w:type="auto"/>
            <w:shd w:val="clear" w:color="auto" w:fill="auto"/>
            <w:noWrap/>
          </w:tcPr>
          <w:p w14:paraId="582F43D5" w14:textId="6385DFE5" w:rsidR="008B4DF8" w:rsidRPr="00C1603D" w:rsidRDefault="008B4DF8" w:rsidP="00703099">
            <w:pPr>
              <w:pStyle w:val="72TabletextTablesTableFigureBoxstyles"/>
              <w:rPr>
                <w:lang w:eastAsia="en-GB"/>
              </w:rPr>
            </w:pPr>
            <w:r w:rsidRPr="00C1603D">
              <w:rPr>
                <w:lang w:eastAsia="en-GB"/>
              </w:rPr>
              <w:t>4520 (5.8)</w:t>
            </w:r>
          </w:p>
        </w:tc>
        <w:tc>
          <w:tcPr>
            <w:tcW w:w="0" w:type="auto"/>
            <w:shd w:val="clear" w:color="auto" w:fill="auto"/>
            <w:noWrap/>
          </w:tcPr>
          <w:p w14:paraId="284A1D7E" w14:textId="21EB451C" w:rsidR="008B4DF8" w:rsidRPr="00C1603D" w:rsidRDefault="008B4DF8" w:rsidP="00703099">
            <w:pPr>
              <w:pStyle w:val="72TabletextTablesTableFigureBoxstyles"/>
              <w:rPr>
                <w:lang w:eastAsia="en-GB"/>
              </w:rPr>
            </w:pPr>
            <w:r w:rsidRPr="00C1603D">
              <w:rPr>
                <w:lang w:eastAsia="en-GB"/>
              </w:rPr>
              <w:t>2603 (9.9)</w:t>
            </w:r>
          </w:p>
        </w:tc>
        <w:tc>
          <w:tcPr>
            <w:tcW w:w="0" w:type="auto"/>
            <w:shd w:val="clear" w:color="auto" w:fill="auto"/>
            <w:noWrap/>
          </w:tcPr>
          <w:p w14:paraId="3E5A3FD1"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74F14FC" w14:textId="59C712BF" w:rsidR="008B4DF8" w:rsidRPr="00C1603D" w:rsidRDefault="008B4DF8" w:rsidP="00703099">
            <w:pPr>
              <w:pStyle w:val="72TabletextTablesTableFigureBoxstyles"/>
              <w:rPr>
                <w:lang w:eastAsia="en-GB"/>
              </w:rPr>
            </w:pPr>
            <w:r w:rsidRPr="00C1603D">
              <w:rPr>
                <w:lang w:eastAsia="en-GB"/>
              </w:rPr>
              <w:t>7123 (6.9)</w:t>
            </w:r>
          </w:p>
        </w:tc>
      </w:tr>
      <w:tr w:rsidR="008B4DF8" w:rsidRPr="00C1603D" w14:paraId="4B8BA642" w14:textId="77777777" w:rsidTr="0044057F">
        <w:trPr>
          <w:cantSplit/>
        </w:trPr>
        <w:tc>
          <w:tcPr>
            <w:tcW w:w="0" w:type="auto"/>
            <w:gridSpan w:val="9"/>
            <w:shd w:val="clear" w:color="auto" w:fill="auto"/>
            <w:noWrap/>
          </w:tcPr>
          <w:p w14:paraId="29DE2DB1" w14:textId="4273235C" w:rsidR="008B4DF8" w:rsidRPr="00C1603D" w:rsidRDefault="008B4DF8" w:rsidP="00552ED8">
            <w:pPr>
              <w:pStyle w:val="72TabletextTablesTableFigureBoxstyles"/>
              <w:rPr>
                <w:lang w:eastAsia="en-GB"/>
              </w:rPr>
            </w:pPr>
            <w:r w:rsidRPr="00C1603D">
              <w:rPr>
                <w:lang w:eastAsia="en-GB"/>
              </w:rPr>
              <w:t>GI symptoms (count, 1 year)</w:t>
            </w:r>
            <w:r w:rsidR="00552ED8" w:rsidRPr="00C1603D">
              <w:rPr>
                <w:lang w:eastAsia="en-GB"/>
              </w:rPr>
              <w:t xml:space="preserve"> , </w:t>
            </w:r>
            <w:r w:rsidR="00552ED8" w:rsidRPr="00C1603D">
              <w:rPr>
                <w:i/>
                <w:lang w:eastAsia="en-GB"/>
              </w:rPr>
              <w:t>n</w:t>
            </w:r>
            <w:r w:rsidR="00552ED8" w:rsidRPr="00C1603D">
              <w:rPr>
                <w:lang w:eastAsia="en-GB"/>
              </w:rPr>
              <w:t xml:space="preserve"> (%)</w:t>
            </w:r>
          </w:p>
        </w:tc>
      </w:tr>
      <w:tr w:rsidR="00013FBE" w:rsidRPr="00C1603D" w14:paraId="7F660F55" w14:textId="77777777" w:rsidTr="0044057F">
        <w:trPr>
          <w:cantSplit/>
        </w:trPr>
        <w:tc>
          <w:tcPr>
            <w:tcW w:w="0" w:type="auto"/>
            <w:shd w:val="clear" w:color="auto" w:fill="auto"/>
            <w:noWrap/>
          </w:tcPr>
          <w:p w14:paraId="47760C57" w14:textId="56206B45" w:rsidR="00013FBE" w:rsidRPr="00C1603D" w:rsidRDefault="00013FBE" w:rsidP="00703099">
            <w:pPr>
              <w:pStyle w:val="72TabletextTablesTableFigureBoxstyles"/>
              <w:rPr>
                <w:lang w:eastAsia="en-GB"/>
              </w:rPr>
            </w:pPr>
            <w:r w:rsidRPr="00C1603D">
              <w:rPr>
                <w:lang w:eastAsia="en-GB"/>
              </w:rPr>
              <w:tab/>
              <w:t>Once</w:t>
            </w:r>
          </w:p>
        </w:tc>
        <w:tc>
          <w:tcPr>
            <w:tcW w:w="0" w:type="auto"/>
            <w:shd w:val="clear" w:color="auto" w:fill="auto"/>
            <w:noWrap/>
          </w:tcPr>
          <w:p w14:paraId="16C441B2" w14:textId="4526FF7B" w:rsidR="00013FBE" w:rsidRPr="00C1603D" w:rsidRDefault="00013FBE" w:rsidP="00703099">
            <w:pPr>
              <w:pStyle w:val="72TabletextTablesTableFigureBoxstyles"/>
              <w:rPr>
                <w:lang w:eastAsia="en-GB"/>
              </w:rPr>
            </w:pPr>
            <w:r w:rsidRPr="00C1603D">
              <w:rPr>
                <w:lang w:eastAsia="en-GB"/>
              </w:rPr>
              <w:t>2605 (7.0)</w:t>
            </w:r>
          </w:p>
        </w:tc>
        <w:tc>
          <w:tcPr>
            <w:tcW w:w="0" w:type="auto"/>
            <w:shd w:val="clear" w:color="auto" w:fill="auto"/>
            <w:noWrap/>
          </w:tcPr>
          <w:p w14:paraId="02190636" w14:textId="0423E036" w:rsidR="00013FBE" w:rsidRPr="00C1603D" w:rsidRDefault="00013FBE" w:rsidP="00703099">
            <w:pPr>
              <w:pStyle w:val="72TabletextTablesTableFigureBoxstyles"/>
              <w:rPr>
                <w:lang w:eastAsia="en-GB"/>
              </w:rPr>
            </w:pPr>
            <w:r w:rsidRPr="00C1603D">
              <w:rPr>
                <w:lang w:eastAsia="en-GB"/>
              </w:rPr>
              <w:t>2206 (18.3)</w:t>
            </w:r>
          </w:p>
        </w:tc>
        <w:tc>
          <w:tcPr>
            <w:tcW w:w="0" w:type="auto"/>
            <w:vMerge w:val="restart"/>
            <w:shd w:val="clear" w:color="auto" w:fill="auto"/>
            <w:noWrap/>
          </w:tcPr>
          <w:p w14:paraId="150FF01B" w14:textId="77777777" w:rsidR="00013FBE" w:rsidRPr="00C1603D" w:rsidRDefault="00013FBE" w:rsidP="00703099">
            <w:pPr>
              <w:pStyle w:val="72TabletextTablesTableFigureBoxstyles"/>
              <w:rPr>
                <w:lang w:eastAsia="en-GB"/>
              </w:rPr>
            </w:pPr>
            <w:r w:rsidRPr="00C1603D">
              <w:rPr>
                <w:color w:val="00B0F0"/>
                <w:lang w:eastAsia="en-GB"/>
              </w:rPr>
              <w:t>&lt; 0</w:t>
            </w:r>
            <w:r w:rsidRPr="00C1603D">
              <w:rPr>
                <w:lang w:eastAsia="en-GB"/>
              </w:rPr>
              <w:t>.0</w:t>
            </w:r>
            <w:r w:rsidRPr="00C1603D">
              <w:rPr>
                <w:lang w:eastAsia="en-GB"/>
              </w:rPr>
              <w:lastRenderedPageBreak/>
              <w:t>01</w:t>
            </w:r>
          </w:p>
        </w:tc>
        <w:tc>
          <w:tcPr>
            <w:tcW w:w="0" w:type="auto"/>
            <w:shd w:val="clear" w:color="auto" w:fill="auto"/>
            <w:noWrap/>
          </w:tcPr>
          <w:p w14:paraId="1F7AEEEA" w14:textId="6F5D38E1" w:rsidR="00013FBE" w:rsidRPr="00C1603D" w:rsidRDefault="00013FBE" w:rsidP="00703099">
            <w:pPr>
              <w:pStyle w:val="72TabletextTablesTableFigureBoxstyles"/>
              <w:rPr>
                <w:lang w:eastAsia="en-GB"/>
              </w:rPr>
            </w:pPr>
            <w:r w:rsidRPr="00C1603D">
              <w:rPr>
                <w:lang w:eastAsia="en-GB"/>
              </w:rPr>
              <w:lastRenderedPageBreak/>
              <w:t>4811 (9.8)</w:t>
            </w:r>
          </w:p>
        </w:tc>
        <w:tc>
          <w:tcPr>
            <w:tcW w:w="0" w:type="auto"/>
            <w:shd w:val="clear" w:color="auto" w:fill="auto"/>
            <w:noWrap/>
          </w:tcPr>
          <w:p w14:paraId="4A2C4CD7" w14:textId="665BF198" w:rsidR="00013FBE" w:rsidRPr="00C1603D" w:rsidRDefault="00013FBE" w:rsidP="00703099">
            <w:pPr>
              <w:pStyle w:val="72TabletextTablesTableFigureBoxstyles"/>
              <w:rPr>
                <w:lang w:eastAsia="en-GB"/>
              </w:rPr>
            </w:pPr>
            <w:r w:rsidRPr="00C1603D">
              <w:rPr>
                <w:lang w:eastAsia="en-GB"/>
              </w:rPr>
              <w:t>949 (1.2)</w:t>
            </w:r>
          </w:p>
        </w:tc>
        <w:tc>
          <w:tcPr>
            <w:tcW w:w="0" w:type="auto"/>
            <w:shd w:val="clear" w:color="auto" w:fill="auto"/>
            <w:noWrap/>
          </w:tcPr>
          <w:p w14:paraId="208CB909" w14:textId="705036BF" w:rsidR="00013FBE" w:rsidRPr="00C1603D" w:rsidRDefault="00013FBE" w:rsidP="00703099">
            <w:pPr>
              <w:pStyle w:val="72TabletextTablesTableFigureBoxstyles"/>
              <w:rPr>
                <w:lang w:eastAsia="en-GB"/>
              </w:rPr>
            </w:pPr>
            <w:r w:rsidRPr="00C1603D">
              <w:rPr>
                <w:lang w:eastAsia="en-GB"/>
              </w:rPr>
              <w:t>774 (3.0)</w:t>
            </w:r>
          </w:p>
        </w:tc>
        <w:tc>
          <w:tcPr>
            <w:tcW w:w="0" w:type="auto"/>
            <w:vMerge w:val="restart"/>
            <w:shd w:val="clear" w:color="auto" w:fill="auto"/>
            <w:noWrap/>
          </w:tcPr>
          <w:p w14:paraId="51A35B72" w14:textId="77777777" w:rsidR="00013FBE" w:rsidRPr="00C1603D" w:rsidRDefault="00013FBE" w:rsidP="00703099">
            <w:pPr>
              <w:pStyle w:val="72TabletextTablesTableFigureBoxstyles"/>
              <w:rPr>
                <w:lang w:eastAsia="en-GB"/>
              </w:rPr>
            </w:pPr>
            <w:r w:rsidRPr="00C1603D">
              <w:rPr>
                <w:color w:val="00B0F0"/>
                <w:lang w:eastAsia="en-GB"/>
              </w:rPr>
              <w:t>&lt; 0</w:t>
            </w:r>
            <w:r w:rsidRPr="00C1603D">
              <w:rPr>
                <w:lang w:eastAsia="en-GB"/>
              </w:rPr>
              <w:t>.0</w:t>
            </w:r>
            <w:r w:rsidRPr="00C1603D">
              <w:rPr>
                <w:lang w:eastAsia="en-GB"/>
              </w:rPr>
              <w:lastRenderedPageBreak/>
              <w:t>01</w:t>
            </w:r>
          </w:p>
        </w:tc>
        <w:tc>
          <w:tcPr>
            <w:tcW w:w="0" w:type="auto"/>
            <w:shd w:val="clear" w:color="auto" w:fill="auto"/>
            <w:noWrap/>
          </w:tcPr>
          <w:p w14:paraId="02F801B4" w14:textId="5051381E" w:rsidR="00013FBE" w:rsidRPr="00C1603D" w:rsidRDefault="00013FBE" w:rsidP="00703099">
            <w:pPr>
              <w:pStyle w:val="72TabletextTablesTableFigureBoxstyles"/>
              <w:rPr>
                <w:lang w:eastAsia="en-GB"/>
              </w:rPr>
            </w:pPr>
            <w:r w:rsidRPr="00C1603D">
              <w:rPr>
                <w:lang w:eastAsia="en-GB"/>
              </w:rPr>
              <w:lastRenderedPageBreak/>
              <w:t>1723 (1.7)</w:t>
            </w:r>
          </w:p>
        </w:tc>
      </w:tr>
      <w:tr w:rsidR="00013FBE" w:rsidRPr="00C1603D" w14:paraId="6BB711C5" w14:textId="77777777" w:rsidTr="0044057F">
        <w:trPr>
          <w:cantSplit/>
        </w:trPr>
        <w:tc>
          <w:tcPr>
            <w:tcW w:w="0" w:type="auto"/>
            <w:shd w:val="clear" w:color="auto" w:fill="auto"/>
            <w:noWrap/>
          </w:tcPr>
          <w:p w14:paraId="096731E3" w14:textId="1C91CA6D" w:rsidR="00013FBE" w:rsidRPr="00C1603D" w:rsidRDefault="00013FBE" w:rsidP="00703099">
            <w:pPr>
              <w:pStyle w:val="72TabletextTablesTableFigureBoxstyles"/>
              <w:rPr>
                <w:lang w:eastAsia="en-GB"/>
              </w:rPr>
            </w:pPr>
            <w:r w:rsidRPr="00C1603D">
              <w:rPr>
                <w:lang w:eastAsia="en-GB"/>
              </w:rPr>
              <w:lastRenderedPageBreak/>
              <w:tab/>
              <w:t>Twice</w:t>
            </w:r>
          </w:p>
        </w:tc>
        <w:tc>
          <w:tcPr>
            <w:tcW w:w="0" w:type="auto"/>
            <w:shd w:val="clear" w:color="auto" w:fill="auto"/>
            <w:noWrap/>
          </w:tcPr>
          <w:p w14:paraId="56F17B33" w14:textId="56E2C51E" w:rsidR="00013FBE" w:rsidRPr="00C1603D" w:rsidRDefault="00013FBE" w:rsidP="00703099">
            <w:pPr>
              <w:pStyle w:val="72TabletextTablesTableFigureBoxstyles"/>
              <w:rPr>
                <w:lang w:eastAsia="en-GB"/>
              </w:rPr>
            </w:pPr>
            <w:r w:rsidRPr="00C1603D">
              <w:rPr>
                <w:lang w:eastAsia="en-GB"/>
              </w:rPr>
              <w:t>773 (2.1)</w:t>
            </w:r>
          </w:p>
        </w:tc>
        <w:tc>
          <w:tcPr>
            <w:tcW w:w="0" w:type="auto"/>
            <w:shd w:val="clear" w:color="auto" w:fill="auto"/>
            <w:noWrap/>
          </w:tcPr>
          <w:p w14:paraId="0910340A" w14:textId="54B0F128" w:rsidR="00013FBE" w:rsidRPr="00C1603D" w:rsidRDefault="00013FBE" w:rsidP="00703099">
            <w:pPr>
              <w:pStyle w:val="72TabletextTablesTableFigureBoxstyles"/>
              <w:rPr>
                <w:lang w:eastAsia="en-GB"/>
              </w:rPr>
            </w:pPr>
            <w:r w:rsidRPr="00C1603D">
              <w:rPr>
                <w:lang w:eastAsia="en-GB"/>
              </w:rPr>
              <w:t>996 (8.3)</w:t>
            </w:r>
          </w:p>
        </w:tc>
        <w:tc>
          <w:tcPr>
            <w:tcW w:w="0" w:type="auto"/>
            <w:vMerge/>
            <w:noWrap/>
          </w:tcPr>
          <w:p w14:paraId="4DA9154F" w14:textId="0DE197BF" w:rsidR="00013FBE" w:rsidRPr="00C1603D" w:rsidRDefault="00013FBE" w:rsidP="00703099">
            <w:pPr>
              <w:pStyle w:val="72TabletextTablesTableFigureBoxstyles"/>
              <w:rPr>
                <w:lang w:eastAsia="en-GB"/>
              </w:rPr>
            </w:pPr>
          </w:p>
        </w:tc>
        <w:tc>
          <w:tcPr>
            <w:tcW w:w="0" w:type="auto"/>
            <w:shd w:val="clear" w:color="auto" w:fill="auto"/>
            <w:noWrap/>
          </w:tcPr>
          <w:p w14:paraId="6AA361F2" w14:textId="23205C88" w:rsidR="00013FBE" w:rsidRPr="00C1603D" w:rsidRDefault="00013FBE" w:rsidP="00703099">
            <w:pPr>
              <w:pStyle w:val="72TabletextTablesTableFigureBoxstyles"/>
              <w:rPr>
                <w:lang w:eastAsia="en-GB"/>
              </w:rPr>
            </w:pPr>
            <w:r w:rsidRPr="00C1603D">
              <w:rPr>
                <w:lang w:eastAsia="en-GB"/>
              </w:rPr>
              <w:t>1769 (3.6)</w:t>
            </w:r>
          </w:p>
        </w:tc>
        <w:tc>
          <w:tcPr>
            <w:tcW w:w="0" w:type="auto"/>
            <w:shd w:val="clear" w:color="auto" w:fill="auto"/>
            <w:noWrap/>
          </w:tcPr>
          <w:p w14:paraId="18F1707C" w14:textId="2B8A8E72" w:rsidR="00013FBE" w:rsidRPr="00C1603D" w:rsidRDefault="00013FBE" w:rsidP="00703099">
            <w:pPr>
              <w:pStyle w:val="72TabletextTablesTableFigureBoxstyles"/>
              <w:rPr>
                <w:lang w:eastAsia="en-GB"/>
              </w:rPr>
            </w:pPr>
            <w:r w:rsidRPr="00C1603D">
              <w:rPr>
                <w:lang w:eastAsia="en-GB"/>
              </w:rPr>
              <w:t>310 (0.4)</w:t>
            </w:r>
          </w:p>
        </w:tc>
        <w:tc>
          <w:tcPr>
            <w:tcW w:w="0" w:type="auto"/>
            <w:shd w:val="clear" w:color="auto" w:fill="auto"/>
            <w:noWrap/>
          </w:tcPr>
          <w:p w14:paraId="01750A49" w14:textId="7D87785D" w:rsidR="00013FBE" w:rsidRPr="00C1603D" w:rsidRDefault="00013FBE" w:rsidP="00703099">
            <w:pPr>
              <w:pStyle w:val="72TabletextTablesTableFigureBoxstyles"/>
              <w:rPr>
                <w:lang w:eastAsia="en-GB"/>
              </w:rPr>
            </w:pPr>
            <w:r w:rsidRPr="00C1603D">
              <w:rPr>
                <w:lang w:eastAsia="en-GB"/>
              </w:rPr>
              <w:t>349 (1.3)</w:t>
            </w:r>
          </w:p>
        </w:tc>
        <w:tc>
          <w:tcPr>
            <w:tcW w:w="0" w:type="auto"/>
            <w:vMerge/>
            <w:noWrap/>
          </w:tcPr>
          <w:p w14:paraId="02183FB5" w14:textId="6330FD09" w:rsidR="00013FBE" w:rsidRPr="00C1603D" w:rsidRDefault="00013FBE" w:rsidP="00703099">
            <w:pPr>
              <w:pStyle w:val="72TabletextTablesTableFigureBoxstyles"/>
              <w:rPr>
                <w:lang w:eastAsia="en-GB"/>
              </w:rPr>
            </w:pPr>
          </w:p>
        </w:tc>
        <w:tc>
          <w:tcPr>
            <w:tcW w:w="0" w:type="auto"/>
            <w:shd w:val="clear" w:color="auto" w:fill="auto"/>
            <w:noWrap/>
          </w:tcPr>
          <w:p w14:paraId="7750A42C" w14:textId="51217687" w:rsidR="00013FBE" w:rsidRPr="00C1603D" w:rsidRDefault="00013FBE" w:rsidP="00703099">
            <w:pPr>
              <w:pStyle w:val="72TabletextTablesTableFigureBoxstyles"/>
              <w:rPr>
                <w:lang w:eastAsia="en-GB"/>
              </w:rPr>
            </w:pPr>
            <w:r w:rsidRPr="00C1603D">
              <w:rPr>
                <w:lang w:eastAsia="en-GB"/>
              </w:rPr>
              <w:t>659 (0.6)</w:t>
            </w:r>
          </w:p>
        </w:tc>
      </w:tr>
      <w:tr w:rsidR="00013FBE" w:rsidRPr="00C1603D" w14:paraId="72F830AE" w14:textId="77777777" w:rsidTr="0044057F">
        <w:trPr>
          <w:cantSplit/>
        </w:trPr>
        <w:tc>
          <w:tcPr>
            <w:tcW w:w="0" w:type="auto"/>
            <w:shd w:val="clear" w:color="auto" w:fill="auto"/>
            <w:noWrap/>
          </w:tcPr>
          <w:p w14:paraId="6931A5BB" w14:textId="200F8527" w:rsidR="00013FBE" w:rsidRPr="00C1603D" w:rsidRDefault="00013FBE" w:rsidP="00703099">
            <w:pPr>
              <w:pStyle w:val="72TabletextTablesTableFigureBoxstyles"/>
              <w:rPr>
                <w:lang w:eastAsia="en-GB"/>
              </w:rPr>
            </w:pPr>
            <w:r w:rsidRPr="00C1603D">
              <w:rPr>
                <w:lang w:eastAsia="en-GB"/>
              </w:rPr>
              <w:tab/>
              <w:t>Three times</w:t>
            </w:r>
          </w:p>
        </w:tc>
        <w:tc>
          <w:tcPr>
            <w:tcW w:w="0" w:type="auto"/>
            <w:shd w:val="clear" w:color="auto" w:fill="auto"/>
            <w:noWrap/>
          </w:tcPr>
          <w:p w14:paraId="30AFD7D1" w14:textId="0BCD04DE" w:rsidR="00013FBE" w:rsidRPr="00C1603D" w:rsidRDefault="00013FBE" w:rsidP="00703099">
            <w:pPr>
              <w:pStyle w:val="72TabletextTablesTableFigureBoxstyles"/>
              <w:rPr>
                <w:lang w:eastAsia="en-GB"/>
              </w:rPr>
            </w:pPr>
            <w:r w:rsidRPr="00C1603D">
              <w:rPr>
                <w:lang w:eastAsia="en-GB"/>
              </w:rPr>
              <w:t>308 (0.8)</w:t>
            </w:r>
          </w:p>
        </w:tc>
        <w:tc>
          <w:tcPr>
            <w:tcW w:w="0" w:type="auto"/>
            <w:shd w:val="clear" w:color="auto" w:fill="auto"/>
            <w:noWrap/>
          </w:tcPr>
          <w:p w14:paraId="64F74171" w14:textId="53407ABC" w:rsidR="00013FBE" w:rsidRPr="00C1603D" w:rsidRDefault="00013FBE" w:rsidP="00703099">
            <w:pPr>
              <w:pStyle w:val="72TabletextTablesTableFigureBoxstyles"/>
              <w:rPr>
                <w:lang w:eastAsia="en-GB"/>
              </w:rPr>
            </w:pPr>
            <w:r w:rsidRPr="00C1603D">
              <w:rPr>
                <w:lang w:eastAsia="en-GB"/>
              </w:rPr>
              <w:t>507 (4.2)</w:t>
            </w:r>
          </w:p>
        </w:tc>
        <w:tc>
          <w:tcPr>
            <w:tcW w:w="0" w:type="auto"/>
            <w:vMerge/>
            <w:noWrap/>
          </w:tcPr>
          <w:p w14:paraId="7C96880E" w14:textId="22873189" w:rsidR="00013FBE" w:rsidRPr="00C1603D" w:rsidRDefault="00013FBE" w:rsidP="00703099">
            <w:pPr>
              <w:pStyle w:val="72TabletextTablesTableFigureBoxstyles"/>
              <w:rPr>
                <w:lang w:eastAsia="en-GB"/>
              </w:rPr>
            </w:pPr>
          </w:p>
        </w:tc>
        <w:tc>
          <w:tcPr>
            <w:tcW w:w="0" w:type="auto"/>
            <w:shd w:val="clear" w:color="auto" w:fill="auto"/>
            <w:noWrap/>
          </w:tcPr>
          <w:p w14:paraId="35EE7287" w14:textId="6BB16013" w:rsidR="00013FBE" w:rsidRPr="00C1603D" w:rsidRDefault="00013FBE" w:rsidP="00703099">
            <w:pPr>
              <w:pStyle w:val="72TabletextTablesTableFigureBoxstyles"/>
              <w:rPr>
                <w:lang w:eastAsia="en-GB"/>
              </w:rPr>
            </w:pPr>
            <w:r w:rsidRPr="00C1603D">
              <w:rPr>
                <w:lang w:eastAsia="en-GB"/>
              </w:rPr>
              <w:t>815 (1.7)</w:t>
            </w:r>
          </w:p>
        </w:tc>
        <w:tc>
          <w:tcPr>
            <w:tcW w:w="0" w:type="auto"/>
            <w:shd w:val="clear" w:color="auto" w:fill="auto"/>
            <w:noWrap/>
          </w:tcPr>
          <w:p w14:paraId="17AC7F2F" w14:textId="0EBFBAAE" w:rsidR="00013FBE" w:rsidRPr="00C1603D" w:rsidRDefault="00013FBE" w:rsidP="00703099">
            <w:pPr>
              <w:pStyle w:val="72TabletextTablesTableFigureBoxstyles"/>
              <w:rPr>
                <w:lang w:eastAsia="en-GB"/>
              </w:rPr>
            </w:pPr>
            <w:r w:rsidRPr="00C1603D">
              <w:rPr>
                <w:lang w:eastAsia="en-GB"/>
              </w:rPr>
              <w:t>126 (0.2)</w:t>
            </w:r>
          </w:p>
        </w:tc>
        <w:tc>
          <w:tcPr>
            <w:tcW w:w="0" w:type="auto"/>
            <w:shd w:val="clear" w:color="auto" w:fill="auto"/>
            <w:noWrap/>
          </w:tcPr>
          <w:p w14:paraId="4F97F541" w14:textId="6C696FC3" w:rsidR="00013FBE" w:rsidRPr="00C1603D" w:rsidRDefault="00013FBE" w:rsidP="00703099">
            <w:pPr>
              <w:pStyle w:val="72TabletextTablesTableFigureBoxstyles"/>
              <w:rPr>
                <w:lang w:eastAsia="en-GB"/>
              </w:rPr>
            </w:pPr>
            <w:r w:rsidRPr="00C1603D">
              <w:rPr>
                <w:lang w:eastAsia="en-GB"/>
              </w:rPr>
              <w:t>179 (0.7)</w:t>
            </w:r>
          </w:p>
        </w:tc>
        <w:tc>
          <w:tcPr>
            <w:tcW w:w="0" w:type="auto"/>
            <w:vMerge/>
            <w:noWrap/>
          </w:tcPr>
          <w:p w14:paraId="13A8ADE3" w14:textId="696822DA" w:rsidR="00013FBE" w:rsidRPr="00C1603D" w:rsidRDefault="00013FBE" w:rsidP="00703099">
            <w:pPr>
              <w:pStyle w:val="72TabletextTablesTableFigureBoxstyles"/>
              <w:rPr>
                <w:lang w:eastAsia="en-GB"/>
              </w:rPr>
            </w:pPr>
          </w:p>
        </w:tc>
        <w:tc>
          <w:tcPr>
            <w:tcW w:w="0" w:type="auto"/>
            <w:shd w:val="clear" w:color="auto" w:fill="auto"/>
            <w:noWrap/>
          </w:tcPr>
          <w:p w14:paraId="492386D3" w14:textId="23F181C7" w:rsidR="00013FBE" w:rsidRPr="00C1603D" w:rsidRDefault="00013FBE" w:rsidP="00703099">
            <w:pPr>
              <w:pStyle w:val="72TabletextTablesTableFigureBoxstyles"/>
              <w:rPr>
                <w:lang w:eastAsia="en-GB"/>
              </w:rPr>
            </w:pPr>
            <w:r w:rsidRPr="00C1603D">
              <w:rPr>
                <w:lang w:eastAsia="en-GB"/>
              </w:rPr>
              <w:t>305 (0.3)</w:t>
            </w:r>
          </w:p>
        </w:tc>
      </w:tr>
      <w:tr w:rsidR="00013FBE" w:rsidRPr="00C1603D" w14:paraId="01C5C2F4" w14:textId="77777777" w:rsidTr="0044057F">
        <w:trPr>
          <w:cantSplit/>
        </w:trPr>
        <w:tc>
          <w:tcPr>
            <w:tcW w:w="0" w:type="auto"/>
            <w:shd w:val="clear" w:color="auto" w:fill="auto"/>
            <w:noWrap/>
          </w:tcPr>
          <w:p w14:paraId="36706FDC" w14:textId="0E73DC92" w:rsidR="00013FBE" w:rsidRPr="00C1603D" w:rsidRDefault="00013FBE" w:rsidP="00703099">
            <w:pPr>
              <w:pStyle w:val="72TabletextTablesTableFigureBoxstyles"/>
              <w:rPr>
                <w:lang w:eastAsia="en-GB"/>
              </w:rPr>
            </w:pPr>
            <w:r w:rsidRPr="00C1603D">
              <w:rPr>
                <w:lang w:eastAsia="en-GB"/>
              </w:rPr>
              <w:tab/>
              <w:t>Four times</w:t>
            </w:r>
          </w:p>
        </w:tc>
        <w:tc>
          <w:tcPr>
            <w:tcW w:w="0" w:type="auto"/>
            <w:shd w:val="clear" w:color="auto" w:fill="auto"/>
            <w:noWrap/>
          </w:tcPr>
          <w:p w14:paraId="12800D16" w14:textId="030C858A" w:rsidR="00013FBE" w:rsidRPr="00C1603D" w:rsidRDefault="00013FBE" w:rsidP="00703099">
            <w:pPr>
              <w:pStyle w:val="72TabletextTablesTableFigureBoxstyles"/>
              <w:rPr>
                <w:lang w:eastAsia="en-GB"/>
              </w:rPr>
            </w:pPr>
            <w:r w:rsidRPr="00C1603D">
              <w:rPr>
                <w:lang w:eastAsia="en-GB"/>
              </w:rPr>
              <w:t>265 (0.7)</w:t>
            </w:r>
          </w:p>
        </w:tc>
        <w:tc>
          <w:tcPr>
            <w:tcW w:w="0" w:type="auto"/>
            <w:shd w:val="clear" w:color="auto" w:fill="auto"/>
            <w:noWrap/>
          </w:tcPr>
          <w:p w14:paraId="5582C761" w14:textId="126BB53C" w:rsidR="00013FBE" w:rsidRPr="00C1603D" w:rsidRDefault="00013FBE" w:rsidP="00703099">
            <w:pPr>
              <w:pStyle w:val="72TabletextTablesTableFigureBoxstyles"/>
              <w:rPr>
                <w:lang w:eastAsia="en-GB"/>
              </w:rPr>
            </w:pPr>
            <w:r w:rsidRPr="00C1603D">
              <w:rPr>
                <w:lang w:eastAsia="en-GB"/>
              </w:rPr>
              <w:t>679 (5.6)</w:t>
            </w:r>
          </w:p>
        </w:tc>
        <w:tc>
          <w:tcPr>
            <w:tcW w:w="0" w:type="auto"/>
            <w:vMerge/>
            <w:noWrap/>
          </w:tcPr>
          <w:p w14:paraId="1527AB88" w14:textId="3784229F" w:rsidR="00013FBE" w:rsidRPr="00C1603D" w:rsidRDefault="00013FBE" w:rsidP="00703099">
            <w:pPr>
              <w:pStyle w:val="72TabletextTablesTableFigureBoxstyles"/>
              <w:rPr>
                <w:lang w:eastAsia="en-GB"/>
              </w:rPr>
            </w:pPr>
          </w:p>
        </w:tc>
        <w:tc>
          <w:tcPr>
            <w:tcW w:w="0" w:type="auto"/>
            <w:shd w:val="clear" w:color="auto" w:fill="auto"/>
            <w:noWrap/>
          </w:tcPr>
          <w:p w14:paraId="2DEC4B56" w14:textId="491477D2" w:rsidR="00013FBE" w:rsidRPr="00C1603D" w:rsidRDefault="00013FBE" w:rsidP="00703099">
            <w:pPr>
              <w:pStyle w:val="72TabletextTablesTableFigureBoxstyles"/>
              <w:rPr>
                <w:lang w:eastAsia="en-GB"/>
              </w:rPr>
            </w:pPr>
            <w:r w:rsidRPr="00C1603D">
              <w:rPr>
                <w:lang w:eastAsia="en-GB"/>
              </w:rPr>
              <w:t>944 (1.9)</w:t>
            </w:r>
          </w:p>
        </w:tc>
        <w:tc>
          <w:tcPr>
            <w:tcW w:w="0" w:type="auto"/>
            <w:shd w:val="clear" w:color="auto" w:fill="auto"/>
            <w:noWrap/>
          </w:tcPr>
          <w:p w14:paraId="5D12EE4B" w14:textId="31458689" w:rsidR="00013FBE" w:rsidRPr="00C1603D" w:rsidRDefault="00013FBE" w:rsidP="00703099">
            <w:pPr>
              <w:pStyle w:val="72TabletextTablesTableFigureBoxstyles"/>
              <w:rPr>
                <w:lang w:eastAsia="en-GB"/>
              </w:rPr>
            </w:pPr>
            <w:r w:rsidRPr="00C1603D">
              <w:rPr>
                <w:lang w:eastAsia="en-GB"/>
              </w:rPr>
              <w:t>162 (0.2)</w:t>
            </w:r>
          </w:p>
        </w:tc>
        <w:tc>
          <w:tcPr>
            <w:tcW w:w="0" w:type="auto"/>
            <w:shd w:val="clear" w:color="auto" w:fill="auto"/>
            <w:noWrap/>
          </w:tcPr>
          <w:p w14:paraId="3A4C9B19" w14:textId="5347080A" w:rsidR="00013FBE" w:rsidRPr="00C1603D" w:rsidRDefault="00013FBE" w:rsidP="00703099">
            <w:pPr>
              <w:pStyle w:val="72TabletextTablesTableFigureBoxstyles"/>
              <w:rPr>
                <w:lang w:eastAsia="en-GB"/>
              </w:rPr>
            </w:pPr>
            <w:r w:rsidRPr="00C1603D">
              <w:rPr>
                <w:lang w:eastAsia="en-GB"/>
              </w:rPr>
              <w:t>302 (1.2)</w:t>
            </w:r>
          </w:p>
        </w:tc>
        <w:tc>
          <w:tcPr>
            <w:tcW w:w="0" w:type="auto"/>
            <w:vMerge/>
            <w:noWrap/>
          </w:tcPr>
          <w:p w14:paraId="27E6DE7B" w14:textId="5B0DE434" w:rsidR="00013FBE" w:rsidRPr="00C1603D" w:rsidRDefault="00013FBE" w:rsidP="00703099">
            <w:pPr>
              <w:pStyle w:val="72TabletextTablesTableFigureBoxstyles"/>
              <w:rPr>
                <w:lang w:eastAsia="en-GB"/>
              </w:rPr>
            </w:pPr>
          </w:p>
        </w:tc>
        <w:tc>
          <w:tcPr>
            <w:tcW w:w="0" w:type="auto"/>
            <w:shd w:val="clear" w:color="auto" w:fill="auto"/>
            <w:noWrap/>
          </w:tcPr>
          <w:p w14:paraId="5EF1EAB3" w14:textId="670C5267" w:rsidR="00013FBE" w:rsidRPr="00C1603D" w:rsidRDefault="00013FBE" w:rsidP="00703099">
            <w:pPr>
              <w:pStyle w:val="72TabletextTablesTableFigureBoxstyles"/>
              <w:rPr>
                <w:lang w:eastAsia="en-GB"/>
              </w:rPr>
            </w:pPr>
            <w:r w:rsidRPr="00C1603D">
              <w:rPr>
                <w:lang w:eastAsia="en-GB"/>
              </w:rPr>
              <w:t>464 (0.4)</w:t>
            </w:r>
          </w:p>
        </w:tc>
      </w:tr>
      <w:tr w:rsidR="008B4DF8" w:rsidRPr="00C1603D" w14:paraId="6B7D99E0" w14:textId="77777777" w:rsidTr="0044057F">
        <w:trPr>
          <w:cantSplit/>
        </w:trPr>
        <w:tc>
          <w:tcPr>
            <w:tcW w:w="0" w:type="auto"/>
            <w:gridSpan w:val="9"/>
            <w:shd w:val="clear" w:color="auto" w:fill="auto"/>
            <w:noWrap/>
          </w:tcPr>
          <w:p w14:paraId="1AD4A9AA" w14:textId="4BDEA7A2" w:rsidR="008B4DF8" w:rsidRPr="00C1603D" w:rsidRDefault="008B4DF8" w:rsidP="00013FBE">
            <w:pPr>
              <w:pStyle w:val="72TabletextTablesTableFigureBoxstyles"/>
              <w:rPr>
                <w:lang w:eastAsia="en-GB"/>
              </w:rPr>
            </w:pPr>
            <w:r w:rsidRPr="00C1603D">
              <w:rPr>
                <w:lang w:eastAsia="en-GB"/>
              </w:rPr>
              <w:t>Inflammatory bowel disease</w:t>
            </w:r>
            <w:r w:rsidR="00013FBE" w:rsidRPr="00C1603D">
              <w:rPr>
                <w:lang w:eastAsia="en-GB"/>
              </w:rPr>
              <w:t xml:space="preserve">, </w:t>
            </w:r>
            <w:r w:rsidR="00013FBE" w:rsidRPr="00C1603D">
              <w:rPr>
                <w:i/>
                <w:lang w:eastAsia="en-GB"/>
              </w:rPr>
              <w:t>n</w:t>
            </w:r>
            <w:r w:rsidR="00013FBE" w:rsidRPr="00C1603D">
              <w:rPr>
                <w:lang w:eastAsia="en-GB"/>
              </w:rPr>
              <w:t xml:space="preserve"> (%)</w:t>
            </w:r>
          </w:p>
        </w:tc>
      </w:tr>
      <w:tr w:rsidR="00B068B0" w:rsidRPr="00C1603D" w14:paraId="6302E618" w14:textId="77777777" w:rsidTr="0044057F">
        <w:trPr>
          <w:cantSplit/>
        </w:trPr>
        <w:tc>
          <w:tcPr>
            <w:tcW w:w="0" w:type="auto"/>
            <w:shd w:val="clear" w:color="auto" w:fill="auto"/>
            <w:noWrap/>
          </w:tcPr>
          <w:p w14:paraId="4C852348" w14:textId="37D1D7AE" w:rsidR="008B4DF8" w:rsidRPr="00C1603D" w:rsidRDefault="00013FBE"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AA75334" w14:textId="5EC23366" w:rsidR="008B4DF8" w:rsidRPr="00C1603D" w:rsidRDefault="008B4DF8" w:rsidP="00703099">
            <w:pPr>
              <w:pStyle w:val="72TabletextTablesTableFigureBoxstyles"/>
              <w:rPr>
                <w:lang w:eastAsia="en-GB"/>
              </w:rPr>
            </w:pPr>
            <w:r w:rsidRPr="00C1603D">
              <w:rPr>
                <w:lang w:eastAsia="en-GB"/>
              </w:rPr>
              <w:t>160 (0.4)</w:t>
            </w:r>
          </w:p>
        </w:tc>
        <w:tc>
          <w:tcPr>
            <w:tcW w:w="0" w:type="auto"/>
            <w:shd w:val="clear" w:color="auto" w:fill="auto"/>
            <w:noWrap/>
          </w:tcPr>
          <w:p w14:paraId="702FC7C1" w14:textId="5B3AC52B" w:rsidR="008B4DF8" w:rsidRPr="00C1603D" w:rsidRDefault="008B4DF8" w:rsidP="00703099">
            <w:pPr>
              <w:pStyle w:val="72TabletextTablesTableFigureBoxstyles"/>
              <w:rPr>
                <w:lang w:eastAsia="en-GB"/>
              </w:rPr>
            </w:pPr>
            <w:r w:rsidRPr="00C1603D">
              <w:rPr>
                <w:lang w:eastAsia="en-GB"/>
              </w:rPr>
              <w:t>104 (0.9)</w:t>
            </w:r>
          </w:p>
        </w:tc>
        <w:tc>
          <w:tcPr>
            <w:tcW w:w="0" w:type="auto"/>
            <w:shd w:val="clear" w:color="auto" w:fill="auto"/>
            <w:noWrap/>
          </w:tcPr>
          <w:p w14:paraId="740F3D75"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7B5A592" w14:textId="78AAD8C9" w:rsidR="008B4DF8" w:rsidRPr="00C1603D" w:rsidRDefault="008B4DF8" w:rsidP="00703099">
            <w:pPr>
              <w:pStyle w:val="72TabletextTablesTableFigureBoxstyles"/>
              <w:rPr>
                <w:lang w:eastAsia="en-GB"/>
              </w:rPr>
            </w:pPr>
            <w:r w:rsidRPr="00C1603D">
              <w:rPr>
                <w:lang w:eastAsia="en-GB"/>
              </w:rPr>
              <w:t>264 (0.5)</w:t>
            </w:r>
          </w:p>
        </w:tc>
        <w:tc>
          <w:tcPr>
            <w:tcW w:w="0" w:type="auto"/>
            <w:shd w:val="clear" w:color="auto" w:fill="auto"/>
            <w:noWrap/>
          </w:tcPr>
          <w:p w14:paraId="5E9D9373" w14:textId="4D4B92E0" w:rsidR="008B4DF8" w:rsidRPr="00C1603D" w:rsidRDefault="008B4DF8" w:rsidP="00703099">
            <w:pPr>
              <w:pStyle w:val="72TabletextTablesTableFigureBoxstyles"/>
              <w:rPr>
                <w:lang w:eastAsia="en-GB"/>
              </w:rPr>
            </w:pPr>
            <w:r w:rsidRPr="00C1603D">
              <w:rPr>
                <w:lang w:eastAsia="en-GB"/>
              </w:rPr>
              <w:t>82 (0.1)</w:t>
            </w:r>
          </w:p>
        </w:tc>
        <w:tc>
          <w:tcPr>
            <w:tcW w:w="0" w:type="auto"/>
            <w:shd w:val="clear" w:color="auto" w:fill="auto"/>
            <w:noWrap/>
          </w:tcPr>
          <w:p w14:paraId="5E2E9292" w14:textId="674E7EF4" w:rsidR="008B4DF8" w:rsidRPr="00C1603D" w:rsidRDefault="008B4DF8" w:rsidP="00703099">
            <w:pPr>
              <w:pStyle w:val="72TabletextTablesTableFigureBoxstyles"/>
              <w:rPr>
                <w:lang w:eastAsia="en-GB"/>
              </w:rPr>
            </w:pPr>
            <w:r w:rsidRPr="00C1603D">
              <w:rPr>
                <w:lang w:eastAsia="en-GB"/>
              </w:rPr>
              <w:t>54 (0.2)</w:t>
            </w:r>
          </w:p>
        </w:tc>
        <w:tc>
          <w:tcPr>
            <w:tcW w:w="0" w:type="auto"/>
            <w:shd w:val="clear" w:color="auto" w:fill="auto"/>
            <w:noWrap/>
          </w:tcPr>
          <w:p w14:paraId="3BB9C52E"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0CE3CE4" w14:textId="49693FD7" w:rsidR="008B4DF8" w:rsidRPr="00C1603D" w:rsidRDefault="008B4DF8" w:rsidP="00703099">
            <w:pPr>
              <w:pStyle w:val="72TabletextTablesTableFigureBoxstyles"/>
              <w:rPr>
                <w:lang w:eastAsia="en-GB"/>
              </w:rPr>
            </w:pPr>
            <w:r w:rsidRPr="00C1603D">
              <w:rPr>
                <w:lang w:eastAsia="en-GB"/>
              </w:rPr>
              <w:t>136 (0.1)</w:t>
            </w:r>
          </w:p>
        </w:tc>
      </w:tr>
      <w:tr w:rsidR="008B4DF8" w:rsidRPr="00C1603D" w14:paraId="6057EEDD" w14:textId="77777777" w:rsidTr="0044057F">
        <w:trPr>
          <w:cantSplit/>
        </w:trPr>
        <w:tc>
          <w:tcPr>
            <w:tcW w:w="0" w:type="auto"/>
            <w:gridSpan w:val="9"/>
            <w:shd w:val="clear" w:color="auto" w:fill="auto"/>
            <w:noWrap/>
          </w:tcPr>
          <w:p w14:paraId="01421CCF" w14:textId="084C0249" w:rsidR="008B4DF8" w:rsidRPr="00C1603D" w:rsidRDefault="43B69CA3" w:rsidP="00013FBE">
            <w:pPr>
              <w:pStyle w:val="72TabletextTablesTableFigureBoxstyles"/>
              <w:rPr>
                <w:lang w:eastAsia="en-GB"/>
              </w:rPr>
            </w:pPr>
            <w:commentRangeStart w:id="207"/>
            <w:commentRangeStart w:id="208"/>
            <w:r w:rsidRPr="00C1603D">
              <w:rPr>
                <w:lang w:eastAsia="en-GB"/>
              </w:rPr>
              <w:t xml:space="preserve">IBS, </w:t>
            </w:r>
            <w:r w:rsidRPr="00C1603D">
              <w:rPr>
                <w:i/>
                <w:iCs/>
                <w:lang w:eastAsia="en-GB"/>
              </w:rPr>
              <w:t>n</w:t>
            </w:r>
            <w:r w:rsidRPr="00C1603D">
              <w:rPr>
                <w:lang w:eastAsia="en-GB"/>
              </w:rPr>
              <w:t xml:space="preserve"> (%)</w:t>
            </w:r>
            <w:commentRangeEnd w:id="207"/>
            <w:r w:rsidR="00C82170" w:rsidRPr="00C1603D">
              <w:commentReference w:id="207"/>
            </w:r>
            <w:commentRangeEnd w:id="208"/>
            <w:r w:rsidR="00C82170" w:rsidRPr="00C1603D">
              <w:commentReference w:id="208"/>
            </w:r>
          </w:p>
        </w:tc>
      </w:tr>
      <w:tr w:rsidR="00B068B0" w:rsidRPr="00C1603D" w14:paraId="7AE680A1" w14:textId="77777777" w:rsidTr="0044057F">
        <w:trPr>
          <w:cantSplit/>
        </w:trPr>
        <w:tc>
          <w:tcPr>
            <w:tcW w:w="0" w:type="auto"/>
            <w:shd w:val="clear" w:color="auto" w:fill="auto"/>
            <w:noWrap/>
          </w:tcPr>
          <w:p w14:paraId="287380EF" w14:textId="6700565A" w:rsidR="008B4DF8" w:rsidRPr="00C1603D" w:rsidRDefault="00013FBE"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72261E4C" w14:textId="65C2F5D7" w:rsidR="008B4DF8" w:rsidRPr="00C1603D" w:rsidRDefault="008B4DF8" w:rsidP="00703099">
            <w:pPr>
              <w:pStyle w:val="72TabletextTablesTableFigureBoxstyles"/>
              <w:rPr>
                <w:lang w:eastAsia="en-GB"/>
              </w:rPr>
            </w:pPr>
            <w:r w:rsidRPr="00C1603D">
              <w:rPr>
                <w:lang w:eastAsia="en-GB"/>
              </w:rPr>
              <w:t>1716 (4.6)</w:t>
            </w:r>
          </w:p>
        </w:tc>
        <w:tc>
          <w:tcPr>
            <w:tcW w:w="0" w:type="auto"/>
            <w:shd w:val="clear" w:color="auto" w:fill="auto"/>
            <w:noWrap/>
          </w:tcPr>
          <w:p w14:paraId="3B6542C5" w14:textId="035E380A" w:rsidR="008B4DF8" w:rsidRPr="00C1603D" w:rsidRDefault="008B4DF8" w:rsidP="00703099">
            <w:pPr>
              <w:pStyle w:val="72TabletextTablesTableFigureBoxstyles"/>
              <w:rPr>
                <w:lang w:eastAsia="en-GB"/>
              </w:rPr>
            </w:pPr>
            <w:r w:rsidRPr="00C1603D">
              <w:rPr>
                <w:lang w:eastAsia="en-GB"/>
              </w:rPr>
              <w:t>1346 (11.2)</w:t>
            </w:r>
          </w:p>
        </w:tc>
        <w:tc>
          <w:tcPr>
            <w:tcW w:w="0" w:type="auto"/>
            <w:shd w:val="clear" w:color="auto" w:fill="auto"/>
            <w:noWrap/>
          </w:tcPr>
          <w:p w14:paraId="36BF4E77" w14:textId="5A9CE5DF" w:rsidR="008B4DF8" w:rsidRPr="00C1603D" w:rsidRDefault="00642E29" w:rsidP="00703099">
            <w:pPr>
              <w:pStyle w:val="72TabletextTablesTableFigureBoxstyles"/>
              <w:rPr>
                <w:lang w:eastAsia="en-GB"/>
              </w:rPr>
            </w:pPr>
            <w:r w:rsidRPr="00C1603D">
              <w:rPr>
                <w:lang w:eastAsia="en-GB"/>
              </w:rPr>
              <w:t>&lt; 0.001</w:t>
            </w:r>
          </w:p>
        </w:tc>
        <w:tc>
          <w:tcPr>
            <w:tcW w:w="0" w:type="auto"/>
            <w:shd w:val="clear" w:color="auto" w:fill="auto"/>
            <w:noWrap/>
          </w:tcPr>
          <w:p w14:paraId="64320F55" w14:textId="50987F92" w:rsidR="008B4DF8" w:rsidRPr="00C1603D" w:rsidRDefault="008B4DF8" w:rsidP="00703099">
            <w:pPr>
              <w:pStyle w:val="72TabletextTablesTableFigureBoxstyles"/>
              <w:rPr>
                <w:lang w:eastAsia="en-GB"/>
              </w:rPr>
            </w:pPr>
            <w:r w:rsidRPr="00C1603D">
              <w:rPr>
                <w:lang w:eastAsia="en-GB"/>
              </w:rPr>
              <w:t>3062 (6.2)</w:t>
            </w:r>
          </w:p>
        </w:tc>
        <w:tc>
          <w:tcPr>
            <w:tcW w:w="0" w:type="auto"/>
            <w:shd w:val="clear" w:color="auto" w:fill="auto"/>
            <w:noWrap/>
          </w:tcPr>
          <w:p w14:paraId="6F83237E" w14:textId="0562D6C4" w:rsidR="008B4DF8" w:rsidRPr="00C1603D" w:rsidRDefault="008B4DF8" w:rsidP="00703099">
            <w:pPr>
              <w:pStyle w:val="72TabletextTablesTableFigureBoxstyles"/>
              <w:rPr>
                <w:lang w:eastAsia="en-GB"/>
              </w:rPr>
            </w:pPr>
            <w:r w:rsidRPr="00C1603D">
              <w:rPr>
                <w:lang w:eastAsia="en-GB"/>
              </w:rPr>
              <w:t>757 (1.0)</w:t>
            </w:r>
          </w:p>
        </w:tc>
        <w:tc>
          <w:tcPr>
            <w:tcW w:w="0" w:type="auto"/>
            <w:shd w:val="clear" w:color="auto" w:fill="auto"/>
            <w:noWrap/>
          </w:tcPr>
          <w:p w14:paraId="14F57D08" w14:textId="3BD5BEB2" w:rsidR="008B4DF8" w:rsidRPr="00C1603D" w:rsidRDefault="008B4DF8" w:rsidP="00703099">
            <w:pPr>
              <w:pStyle w:val="72TabletextTablesTableFigureBoxstyles"/>
              <w:rPr>
                <w:lang w:eastAsia="en-GB"/>
              </w:rPr>
            </w:pPr>
            <w:r w:rsidRPr="00C1603D">
              <w:rPr>
                <w:lang w:eastAsia="en-GB"/>
              </w:rPr>
              <w:t>545 (2.1)</w:t>
            </w:r>
          </w:p>
        </w:tc>
        <w:tc>
          <w:tcPr>
            <w:tcW w:w="0" w:type="auto"/>
            <w:shd w:val="clear" w:color="auto" w:fill="auto"/>
            <w:noWrap/>
          </w:tcPr>
          <w:p w14:paraId="28CA50E2"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48DB1AF" w14:textId="120193ED" w:rsidR="008B4DF8" w:rsidRPr="00C1603D" w:rsidRDefault="008B4DF8" w:rsidP="00703099">
            <w:pPr>
              <w:pStyle w:val="72TabletextTablesTableFigureBoxstyles"/>
              <w:rPr>
                <w:lang w:eastAsia="en-GB"/>
              </w:rPr>
            </w:pPr>
            <w:r w:rsidRPr="00C1603D">
              <w:rPr>
                <w:lang w:eastAsia="en-GB"/>
              </w:rPr>
              <w:t>1302 (1.3)</w:t>
            </w:r>
          </w:p>
        </w:tc>
      </w:tr>
      <w:tr w:rsidR="008B4DF8" w:rsidRPr="00C1603D" w14:paraId="25433F08" w14:textId="77777777" w:rsidTr="0044057F">
        <w:trPr>
          <w:cantSplit/>
        </w:trPr>
        <w:tc>
          <w:tcPr>
            <w:tcW w:w="0" w:type="auto"/>
            <w:gridSpan w:val="9"/>
            <w:shd w:val="clear" w:color="auto" w:fill="auto"/>
            <w:noWrap/>
          </w:tcPr>
          <w:p w14:paraId="77E19CA4" w14:textId="12FD9E81" w:rsidR="008B4DF8" w:rsidRPr="00C1603D" w:rsidRDefault="008B4DF8" w:rsidP="00013FBE">
            <w:pPr>
              <w:pStyle w:val="72TabletextTablesTableFigureBoxstyles"/>
              <w:rPr>
                <w:lang w:eastAsia="en-GB"/>
              </w:rPr>
            </w:pPr>
            <w:r w:rsidRPr="00C1603D">
              <w:rPr>
                <w:lang w:eastAsia="en-GB"/>
              </w:rPr>
              <w:t>IgA deficiency</w:t>
            </w:r>
            <w:r w:rsidR="00013FBE" w:rsidRPr="00C1603D">
              <w:rPr>
                <w:lang w:eastAsia="en-GB"/>
              </w:rPr>
              <w:t xml:space="preserve">, </w:t>
            </w:r>
            <w:r w:rsidR="00013FBE" w:rsidRPr="00C1603D">
              <w:rPr>
                <w:i/>
                <w:lang w:eastAsia="en-GB"/>
              </w:rPr>
              <w:t>n</w:t>
            </w:r>
            <w:r w:rsidR="00013FBE" w:rsidRPr="00C1603D">
              <w:rPr>
                <w:lang w:eastAsia="en-GB"/>
              </w:rPr>
              <w:t xml:space="preserve"> (%)</w:t>
            </w:r>
          </w:p>
        </w:tc>
      </w:tr>
      <w:tr w:rsidR="00B068B0" w:rsidRPr="00C1603D" w14:paraId="75B40D2C" w14:textId="77777777" w:rsidTr="0044057F">
        <w:trPr>
          <w:cantSplit/>
        </w:trPr>
        <w:tc>
          <w:tcPr>
            <w:tcW w:w="0" w:type="auto"/>
            <w:shd w:val="clear" w:color="auto" w:fill="auto"/>
            <w:noWrap/>
          </w:tcPr>
          <w:p w14:paraId="1FD5EEB3" w14:textId="26B66C3E" w:rsidR="008B4DF8" w:rsidRPr="00C1603D" w:rsidRDefault="00013FBE"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6D3305DE" w14:textId="619495BB" w:rsidR="008B4DF8" w:rsidRPr="00C1603D" w:rsidRDefault="008B4DF8" w:rsidP="00703099">
            <w:pPr>
              <w:pStyle w:val="72TabletextTablesTableFigureBoxstyles"/>
              <w:rPr>
                <w:lang w:eastAsia="en-GB"/>
              </w:rPr>
            </w:pPr>
            <w:r w:rsidRPr="00C1603D">
              <w:rPr>
                <w:lang w:eastAsia="en-GB"/>
              </w:rPr>
              <w:t>2 (0.0)</w:t>
            </w:r>
          </w:p>
        </w:tc>
        <w:tc>
          <w:tcPr>
            <w:tcW w:w="0" w:type="auto"/>
            <w:shd w:val="clear" w:color="auto" w:fill="auto"/>
            <w:noWrap/>
          </w:tcPr>
          <w:p w14:paraId="5975025E" w14:textId="1C410E56" w:rsidR="008B4DF8" w:rsidRPr="00C1603D" w:rsidRDefault="008B4DF8" w:rsidP="00703099">
            <w:pPr>
              <w:pStyle w:val="72TabletextTablesTableFigureBoxstyles"/>
              <w:rPr>
                <w:lang w:eastAsia="en-GB"/>
              </w:rPr>
            </w:pPr>
            <w:r w:rsidRPr="00C1603D">
              <w:rPr>
                <w:lang w:eastAsia="en-GB"/>
              </w:rPr>
              <w:t>6 (0.0)</w:t>
            </w:r>
          </w:p>
        </w:tc>
        <w:tc>
          <w:tcPr>
            <w:tcW w:w="0" w:type="auto"/>
            <w:shd w:val="clear" w:color="auto" w:fill="auto"/>
            <w:noWrap/>
          </w:tcPr>
          <w:p w14:paraId="78E8BF90" w14:textId="77777777" w:rsidR="008B4DF8" w:rsidRPr="00C1603D" w:rsidRDefault="008B4DF8" w:rsidP="00703099">
            <w:pPr>
              <w:pStyle w:val="72TabletextTablesTableFigureBoxstyles"/>
              <w:rPr>
                <w:lang w:eastAsia="en-GB"/>
              </w:rPr>
            </w:pPr>
            <w:r w:rsidRPr="00C1603D">
              <w:rPr>
                <w:lang w:eastAsia="en-GB"/>
              </w:rPr>
              <w:t>0.004</w:t>
            </w:r>
          </w:p>
        </w:tc>
        <w:tc>
          <w:tcPr>
            <w:tcW w:w="0" w:type="auto"/>
            <w:shd w:val="clear" w:color="auto" w:fill="auto"/>
            <w:noWrap/>
          </w:tcPr>
          <w:p w14:paraId="1409FB57" w14:textId="06CFC633" w:rsidR="008B4DF8" w:rsidRPr="00C1603D" w:rsidRDefault="008B4DF8" w:rsidP="00703099">
            <w:pPr>
              <w:pStyle w:val="72TabletextTablesTableFigureBoxstyles"/>
              <w:rPr>
                <w:lang w:eastAsia="en-GB"/>
              </w:rPr>
            </w:pPr>
            <w:r w:rsidRPr="00C1603D">
              <w:rPr>
                <w:lang w:eastAsia="en-GB"/>
              </w:rPr>
              <w:t>8 (0.0)</w:t>
            </w:r>
          </w:p>
        </w:tc>
        <w:tc>
          <w:tcPr>
            <w:tcW w:w="0" w:type="auto"/>
            <w:shd w:val="clear" w:color="auto" w:fill="auto"/>
            <w:noWrap/>
          </w:tcPr>
          <w:p w14:paraId="5DFBEE2D" w14:textId="6BF3348B" w:rsidR="008B4DF8" w:rsidRPr="00C1603D" w:rsidRDefault="008B4DF8" w:rsidP="00703099">
            <w:pPr>
              <w:pStyle w:val="72TabletextTablesTableFigureBoxstyles"/>
              <w:rPr>
                <w:lang w:eastAsia="en-GB"/>
              </w:rPr>
            </w:pPr>
            <w:r w:rsidRPr="00C1603D">
              <w:rPr>
                <w:lang w:eastAsia="en-GB"/>
              </w:rPr>
              <w:t>1 (0.0)</w:t>
            </w:r>
          </w:p>
        </w:tc>
        <w:tc>
          <w:tcPr>
            <w:tcW w:w="0" w:type="auto"/>
            <w:shd w:val="clear" w:color="auto" w:fill="auto"/>
            <w:noWrap/>
          </w:tcPr>
          <w:p w14:paraId="24ED2FAE" w14:textId="6C33A42A" w:rsidR="008B4DF8" w:rsidRPr="00C1603D" w:rsidRDefault="008B4DF8" w:rsidP="00703099">
            <w:pPr>
              <w:pStyle w:val="72TabletextTablesTableFigureBoxstyles"/>
              <w:rPr>
                <w:lang w:eastAsia="en-GB"/>
              </w:rPr>
            </w:pPr>
            <w:r w:rsidRPr="00C1603D">
              <w:rPr>
                <w:lang w:eastAsia="en-GB"/>
              </w:rPr>
              <w:t>7 (0.0)</w:t>
            </w:r>
          </w:p>
        </w:tc>
        <w:tc>
          <w:tcPr>
            <w:tcW w:w="0" w:type="auto"/>
            <w:shd w:val="clear" w:color="auto" w:fill="auto"/>
            <w:noWrap/>
          </w:tcPr>
          <w:p w14:paraId="3A4AFF4D"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A3105AF" w14:textId="142DE036" w:rsidR="008B4DF8" w:rsidRPr="00C1603D" w:rsidRDefault="008B4DF8" w:rsidP="00703099">
            <w:pPr>
              <w:pStyle w:val="72TabletextTablesTableFigureBoxstyles"/>
              <w:rPr>
                <w:lang w:eastAsia="en-GB"/>
              </w:rPr>
            </w:pPr>
            <w:r w:rsidRPr="00C1603D">
              <w:rPr>
                <w:lang w:eastAsia="en-GB"/>
              </w:rPr>
              <w:t>8 (0.0)</w:t>
            </w:r>
          </w:p>
        </w:tc>
      </w:tr>
      <w:tr w:rsidR="008B4DF8" w:rsidRPr="00C1603D" w14:paraId="626C2AC5" w14:textId="77777777" w:rsidTr="0044057F">
        <w:trPr>
          <w:cantSplit/>
        </w:trPr>
        <w:tc>
          <w:tcPr>
            <w:tcW w:w="0" w:type="auto"/>
            <w:gridSpan w:val="9"/>
            <w:shd w:val="clear" w:color="auto" w:fill="auto"/>
            <w:noWrap/>
          </w:tcPr>
          <w:p w14:paraId="176A41D4" w14:textId="2B43B1D3" w:rsidR="008B4DF8" w:rsidRPr="00C1603D" w:rsidRDefault="008B4DF8" w:rsidP="004B42C1">
            <w:pPr>
              <w:pStyle w:val="72TabletextTablesTableFigureBoxstyles"/>
              <w:rPr>
                <w:lang w:eastAsia="en-GB"/>
              </w:rPr>
            </w:pPr>
            <w:r w:rsidRPr="00C1603D">
              <w:rPr>
                <w:lang w:eastAsia="en-GB"/>
              </w:rPr>
              <w:t>Iron, vit</w:t>
            </w:r>
            <w:r w:rsidR="004B42C1" w:rsidRPr="00C1603D">
              <w:rPr>
                <w:lang w:eastAsia="en-GB"/>
              </w:rPr>
              <w:t>amin</w:t>
            </w:r>
            <w:r w:rsidRPr="00C1603D">
              <w:rPr>
                <w:lang w:eastAsia="en-GB"/>
              </w:rPr>
              <w:t xml:space="preserve"> B</w:t>
            </w:r>
            <w:r w:rsidRPr="00C1603D">
              <w:rPr>
                <w:vertAlign w:val="subscript"/>
                <w:lang w:eastAsia="en-GB"/>
              </w:rPr>
              <w:t>12</w:t>
            </w:r>
            <w:r w:rsidRPr="00C1603D">
              <w:rPr>
                <w:lang w:eastAsia="en-GB"/>
              </w:rPr>
              <w:t xml:space="preserve"> or folate deficiency</w:t>
            </w:r>
            <w:r w:rsidR="004B42C1" w:rsidRPr="00C1603D">
              <w:rPr>
                <w:lang w:eastAsia="en-GB"/>
              </w:rPr>
              <w:t xml:space="preserve">, </w:t>
            </w:r>
            <w:r w:rsidR="004B42C1" w:rsidRPr="00C1603D">
              <w:rPr>
                <w:i/>
                <w:lang w:eastAsia="en-GB"/>
              </w:rPr>
              <w:t>n</w:t>
            </w:r>
            <w:r w:rsidR="004B42C1" w:rsidRPr="00C1603D">
              <w:rPr>
                <w:lang w:eastAsia="en-GB"/>
              </w:rPr>
              <w:t xml:space="preserve"> (%)</w:t>
            </w:r>
          </w:p>
        </w:tc>
      </w:tr>
      <w:tr w:rsidR="00B068B0" w:rsidRPr="00C1603D" w14:paraId="6D8BB62A" w14:textId="77777777" w:rsidTr="0044057F">
        <w:trPr>
          <w:cantSplit/>
        </w:trPr>
        <w:tc>
          <w:tcPr>
            <w:tcW w:w="0" w:type="auto"/>
            <w:shd w:val="clear" w:color="auto" w:fill="auto"/>
            <w:noWrap/>
          </w:tcPr>
          <w:p w14:paraId="6AB1AFB7" w14:textId="6B27282B" w:rsidR="008B4DF8" w:rsidRPr="00C1603D" w:rsidRDefault="004B42C1"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3DAEEBC1" w14:textId="3EFF4252" w:rsidR="008B4DF8" w:rsidRPr="00C1603D" w:rsidRDefault="008B4DF8" w:rsidP="00703099">
            <w:pPr>
              <w:pStyle w:val="72TabletextTablesTableFigureBoxstyles"/>
              <w:rPr>
                <w:lang w:eastAsia="en-GB"/>
              </w:rPr>
            </w:pPr>
            <w:r w:rsidRPr="00C1603D">
              <w:rPr>
                <w:lang w:eastAsia="en-GB"/>
              </w:rPr>
              <w:t>505 (1.4)</w:t>
            </w:r>
          </w:p>
        </w:tc>
        <w:tc>
          <w:tcPr>
            <w:tcW w:w="0" w:type="auto"/>
            <w:shd w:val="clear" w:color="auto" w:fill="auto"/>
            <w:noWrap/>
          </w:tcPr>
          <w:p w14:paraId="7A9710A5" w14:textId="61A0214C" w:rsidR="008B4DF8" w:rsidRPr="00C1603D" w:rsidRDefault="008B4DF8" w:rsidP="00703099">
            <w:pPr>
              <w:pStyle w:val="72TabletextTablesTableFigureBoxstyles"/>
              <w:rPr>
                <w:lang w:eastAsia="en-GB"/>
              </w:rPr>
            </w:pPr>
            <w:r w:rsidRPr="00C1603D">
              <w:rPr>
                <w:lang w:eastAsia="en-GB"/>
              </w:rPr>
              <w:t>938 (7.8)</w:t>
            </w:r>
          </w:p>
        </w:tc>
        <w:tc>
          <w:tcPr>
            <w:tcW w:w="0" w:type="auto"/>
            <w:shd w:val="clear" w:color="auto" w:fill="auto"/>
            <w:noWrap/>
          </w:tcPr>
          <w:p w14:paraId="1066795D"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64A9C28" w14:textId="572A54D2" w:rsidR="008B4DF8" w:rsidRPr="00C1603D" w:rsidRDefault="008B4DF8" w:rsidP="00703099">
            <w:pPr>
              <w:pStyle w:val="72TabletextTablesTableFigureBoxstyles"/>
              <w:rPr>
                <w:lang w:eastAsia="en-GB"/>
              </w:rPr>
            </w:pPr>
            <w:r w:rsidRPr="00C1603D">
              <w:rPr>
                <w:lang w:eastAsia="en-GB"/>
              </w:rPr>
              <w:t>1443 (2.9)</w:t>
            </w:r>
          </w:p>
        </w:tc>
        <w:tc>
          <w:tcPr>
            <w:tcW w:w="0" w:type="auto"/>
            <w:shd w:val="clear" w:color="auto" w:fill="auto"/>
            <w:noWrap/>
          </w:tcPr>
          <w:p w14:paraId="37558D4A" w14:textId="0E04F1EE" w:rsidR="008B4DF8" w:rsidRPr="00C1603D" w:rsidRDefault="008B4DF8" w:rsidP="00703099">
            <w:pPr>
              <w:pStyle w:val="72TabletextTablesTableFigureBoxstyles"/>
              <w:rPr>
                <w:lang w:eastAsia="en-GB"/>
              </w:rPr>
            </w:pPr>
            <w:r w:rsidRPr="00C1603D">
              <w:rPr>
                <w:lang w:eastAsia="en-GB"/>
              </w:rPr>
              <w:t>235 (0.3)</w:t>
            </w:r>
          </w:p>
        </w:tc>
        <w:tc>
          <w:tcPr>
            <w:tcW w:w="0" w:type="auto"/>
            <w:shd w:val="clear" w:color="auto" w:fill="auto"/>
            <w:noWrap/>
          </w:tcPr>
          <w:p w14:paraId="681A12CB" w14:textId="6EC1F1AD" w:rsidR="008B4DF8" w:rsidRPr="00C1603D" w:rsidRDefault="008B4DF8" w:rsidP="00703099">
            <w:pPr>
              <w:pStyle w:val="72TabletextTablesTableFigureBoxstyles"/>
              <w:rPr>
                <w:lang w:eastAsia="en-GB"/>
              </w:rPr>
            </w:pPr>
            <w:r w:rsidRPr="00C1603D">
              <w:rPr>
                <w:lang w:eastAsia="en-GB"/>
              </w:rPr>
              <w:t>394 (1.5)</w:t>
            </w:r>
          </w:p>
        </w:tc>
        <w:tc>
          <w:tcPr>
            <w:tcW w:w="0" w:type="auto"/>
            <w:shd w:val="clear" w:color="auto" w:fill="auto"/>
            <w:noWrap/>
          </w:tcPr>
          <w:p w14:paraId="4B4FD774"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1095196" w14:textId="21617F39" w:rsidR="008B4DF8" w:rsidRPr="00C1603D" w:rsidRDefault="008B4DF8" w:rsidP="00703099">
            <w:pPr>
              <w:pStyle w:val="72TabletextTablesTableFigureBoxstyles"/>
              <w:rPr>
                <w:lang w:eastAsia="en-GB"/>
              </w:rPr>
            </w:pPr>
            <w:r w:rsidRPr="00C1603D">
              <w:rPr>
                <w:lang w:eastAsia="en-GB"/>
              </w:rPr>
              <w:t>629 (0.6)</w:t>
            </w:r>
          </w:p>
        </w:tc>
      </w:tr>
      <w:tr w:rsidR="008B4DF8" w:rsidRPr="00C1603D" w14:paraId="3EBA77FB" w14:textId="77777777" w:rsidTr="0044057F">
        <w:trPr>
          <w:cantSplit/>
        </w:trPr>
        <w:tc>
          <w:tcPr>
            <w:tcW w:w="0" w:type="auto"/>
            <w:gridSpan w:val="9"/>
            <w:shd w:val="clear" w:color="auto" w:fill="auto"/>
            <w:noWrap/>
          </w:tcPr>
          <w:p w14:paraId="23D85ED3" w14:textId="36A4E143" w:rsidR="008B4DF8" w:rsidRPr="00C1603D" w:rsidRDefault="008B4DF8" w:rsidP="004B42C1">
            <w:pPr>
              <w:pStyle w:val="72TabletextTablesTableFigureBoxstyles"/>
              <w:rPr>
                <w:lang w:eastAsia="en-GB"/>
              </w:rPr>
            </w:pPr>
            <w:r w:rsidRPr="00C1603D">
              <w:rPr>
                <w:lang w:eastAsia="en-GB"/>
              </w:rPr>
              <w:t>Mouth ulcers (count, 1 year)</w:t>
            </w:r>
            <w:r w:rsidR="004B42C1" w:rsidRPr="00C1603D">
              <w:rPr>
                <w:lang w:eastAsia="en-GB"/>
              </w:rPr>
              <w:t xml:space="preserve"> , </w:t>
            </w:r>
            <w:r w:rsidR="004B42C1" w:rsidRPr="00C1603D">
              <w:rPr>
                <w:i/>
                <w:lang w:eastAsia="en-GB"/>
              </w:rPr>
              <w:t>n</w:t>
            </w:r>
            <w:r w:rsidR="004B42C1" w:rsidRPr="00C1603D">
              <w:rPr>
                <w:lang w:eastAsia="en-GB"/>
              </w:rPr>
              <w:t xml:space="preserve"> (%)</w:t>
            </w:r>
          </w:p>
        </w:tc>
      </w:tr>
      <w:tr w:rsidR="0069218F" w:rsidRPr="00C1603D" w14:paraId="3357315C" w14:textId="77777777" w:rsidTr="0044057F">
        <w:trPr>
          <w:cantSplit/>
        </w:trPr>
        <w:tc>
          <w:tcPr>
            <w:tcW w:w="0" w:type="auto"/>
            <w:shd w:val="clear" w:color="auto" w:fill="auto"/>
            <w:noWrap/>
          </w:tcPr>
          <w:p w14:paraId="12999BEC" w14:textId="6E6296E9" w:rsidR="0069218F" w:rsidRPr="00C1603D" w:rsidRDefault="0069218F" w:rsidP="00703099">
            <w:pPr>
              <w:pStyle w:val="72TabletextTablesTableFigureBoxstyles"/>
              <w:rPr>
                <w:lang w:eastAsia="en-GB"/>
              </w:rPr>
            </w:pPr>
            <w:r w:rsidRPr="00C1603D">
              <w:rPr>
                <w:lang w:eastAsia="en-GB"/>
              </w:rPr>
              <w:tab/>
              <w:t>Once</w:t>
            </w:r>
          </w:p>
        </w:tc>
        <w:tc>
          <w:tcPr>
            <w:tcW w:w="0" w:type="auto"/>
            <w:shd w:val="clear" w:color="auto" w:fill="auto"/>
            <w:noWrap/>
          </w:tcPr>
          <w:p w14:paraId="29FF6801" w14:textId="345A6D79" w:rsidR="0069218F" w:rsidRPr="00C1603D" w:rsidRDefault="0069218F" w:rsidP="00703099">
            <w:pPr>
              <w:pStyle w:val="72TabletextTablesTableFigureBoxstyles"/>
              <w:rPr>
                <w:lang w:eastAsia="en-GB"/>
              </w:rPr>
            </w:pPr>
            <w:r w:rsidRPr="00C1603D">
              <w:rPr>
                <w:lang w:eastAsia="en-GB"/>
              </w:rPr>
              <w:t>110 (0.3)</w:t>
            </w:r>
          </w:p>
        </w:tc>
        <w:tc>
          <w:tcPr>
            <w:tcW w:w="0" w:type="auto"/>
            <w:shd w:val="clear" w:color="auto" w:fill="auto"/>
            <w:noWrap/>
          </w:tcPr>
          <w:p w14:paraId="4645BBD7" w14:textId="0C26848A" w:rsidR="0069218F" w:rsidRPr="00C1603D" w:rsidRDefault="0069218F" w:rsidP="00703099">
            <w:pPr>
              <w:pStyle w:val="72TabletextTablesTableFigureBoxstyles"/>
              <w:rPr>
                <w:lang w:eastAsia="en-GB"/>
              </w:rPr>
            </w:pPr>
            <w:r w:rsidRPr="00C1603D">
              <w:rPr>
                <w:lang w:eastAsia="en-GB"/>
              </w:rPr>
              <w:t>121 (1.0)</w:t>
            </w:r>
          </w:p>
        </w:tc>
        <w:tc>
          <w:tcPr>
            <w:tcW w:w="0" w:type="auto"/>
            <w:vMerge w:val="restart"/>
            <w:shd w:val="clear" w:color="auto" w:fill="auto"/>
            <w:noWrap/>
          </w:tcPr>
          <w:p w14:paraId="7C43F9E6" w14:textId="77777777" w:rsidR="0069218F" w:rsidRPr="00C1603D" w:rsidRDefault="0069218F"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6D6E1BE" w14:textId="3CB763D8" w:rsidR="0069218F" w:rsidRPr="00C1603D" w:rsidRDefault="0069218F" w:rsidP="00703099">
            <w:pPr>
              <w:pStyle w:val="72TabletextTablesTableFigureBoxstyles"/>
              <w:rPr>
                <w:lang w:eastAsia="en-GB"/>
              </w:rPr>
            </w:pPr>
            <w:r w:rsidRPr="00C1603D">
              <w:rPr>
                <w:lang w:eastAsia="en-GB"/>
              </w:rPr>
              <w:t>231 (0.5)</w:t>
            </w:r>
          </w:p>
        </w:tc>
        <w:tc>
          <w:tcPr>
            <w:tcW w:w="0" w:type="auto"/>
            <w:shd w:val="clear" w:color="auto" w:fill="auto"/>
            <w:noWrap/>
          </w:tcPr>
          <w:p w14:paraId="0C9F132A" w14:textId="627E3AC5" w:rsidR="0069218F" w:rsidRPr="00C1603D" w:rsidRDefault="0069218F" w:rsidP="00703099">
            <w:pPr>
              <w:pStyle w:val="72TabletextTablesTableFigureBoxstyles"/>
              <w:rPr>
                <w:lang w:eastAsia="en-GB"/>
              </w:rPr>
            </w:pPr>
            <w:r w:rsidRPr="00C1603D">
              <w:rPr>
                <w:lang w:eastAsia="en-GB"/>
              </w:rPr>
              <w:t>43 (0.1)</w:t>
            </w:r>
          </w:p>
        </w:tc>
        <w:tc>
          <w:tcPr>
            <w:tcW w:w="0" w:type="auto"/>
            <w:shd w:val="clear" w:color="auto" w:fill="auto"/>
            <w:noWrap/>
          </w:tcPr>
          <w:p w14:paraId="4DAEDD44" w14:textId="1FA18796" w:rsidR="0069218F" w:rsidRPr="00C1603D" w:rsidRDefault="0069218F" w:rsidP="00703099">
            <w:pPr>
              <w:pStyle w:val="72TabletextTablesTableFigureBoxstyles"/>
              <w:rPr>
                <w:lang w:eastAsia="en-GB"/>
              </w:rPr>
            </w:pPr>
            <w:r w:rsidRPr="00C1603D">
              <w:rPr>
                <w:lang w:eastAsia="en-GB"/>
              </w:rPr>
              <w:t>32 (0.1)</w:t>
            </w:r>
          </w:p>
        </w:tc>
        <w:tc>
          <w:tcPr>
            <w:tcW w:w="0" w:type="auto"/>
            <w:vMerge w:val="restart"/>
            <w:shd w:val="clear" w:color="auto" w:fill="auto"/>
            <w:noWrap/>
          </w:tcPr>
          <w:p w14:paraId="486B5D95" w14:textId="77777777" w:rsidR="0069218F" w:rsidRPr="00C1603D" w:rsidRDefault="0069218F"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9F1FBD6" w14:textId="12DB4E2D" w:rsidR="0069218F" w:rsidRPr="00C1603D" w:rsidRDefault="0069218F" w:rsidP="00703099">
            <w:pPr>
              <w:pStyle w:val="72TabletextTablesTableFigureBoxstyles"/>
              <w:rPr>
                <w:lang w:eastAsia="en-GB"/>
              </w:rPr>
            </w:pPr>
            <w:r w:rsidRPr="00C1603D">
              <w:rPr>
                <w:lang w:eastAsia="en-GB"/>
              </w:rPr>
              <w:t>75 (0.1)</w:t>
            </w:r>
          </w:p>
        </w:tc>
      </w:tr>
      <w:tr w:rsidR="0069218F" w:rsidRPr="00C1603D" w14:paraId="720A52F7" w14:textId="77777777" w:rsidTr="0044057F">
        <w:trPr>
          <w:cantSplit/>
        </w:trPr>
        <w:tc>
          <w:tcPr>
            <w:tcW w:w="0" w:type="auto"/>
            <w:shd w:val="clear" w:color="auto" w:fill="auto"/>
            <w:noWrap/>
          </w:tcPr>
          <w:p w14:paraId="330D707D" w14:textId="57446519" w:rsidR="0069218F" w:rsidRPr="00C1603D" w:rsidRDefault="0069218F" w:rsidP="00703099">
            <w:pPr>
              <w:pStyle w:val="72TabletextTablesTableFigureBoxstyles"/>
              <w:rPr>
                <w:lang w:eastAsia="en-GB"/>
              </w:rPr>
            </w:pPr>
            <w:r w:rsidRPr="00C1603D">
              <w:rPr>
                <w:lang w:eastAsia="en-GB"/>
              </w:rPr>
              <w:tab/>
              <w:t>Twice</w:t>
            </w:r>
          </w:p>
        </w:tc>
        <w:tc>
          <w:tcPr>
            <w:tcW w:w="0" w:type="auto"/>
            <w:shd w:val="clear" w:color="auto" w:fill="auto"/>
            <w:noWrap/>
          </w:tcPr>
          <w:p w14:paraId="25A12BA0" w14:textId="0252CF2C" w:rsidR="0069218F" w:rsidRPr="00C1603D" w:rsidRDefault="0069218F" w:rsidP="00703099">
            <w:pPr>
              <w:pStyle w:val="72TabletextTablesTableFigureBoxstyles"/>
              <w:rPr>
                <w:lang w:eastAsia="en-GB"/>
              </w:rPr>
            </w:pPr>
            <w:r w:rsidRPr="00C1603D">
              <w:rPr>
                <w:lang w:eastAsia="en-GB"/>
              </w:rPr>
              <w:t>12 (0.0)</w:t>
            </w:r>
          </w:p>
        </w:tc>
        <w:tc>
          <w:tcPr>
            <w:tcW w:w="0" w:type="auto"/>
            <w:shd w:val="clear" w:color="auto" w:fill="auto"/>
            <w:noWrap/>
          </w:tcPr>
          <w:p w14:paraId="33136627" w14:textId="3DE26EA7" w:rsidR="0069218F" w:rsidRPr="00C1603D" w:rsidRDefault="0069218F" w:rsidP="00703099">
            <w:pPr>
              <w:pStyle w:val="72TabletextTablesTableFigureBoxstyles"/>
              <w:rPr>
                <w:lang w:eastAsia="en-GB"/>
              </w:rPr>
            </w:pPr>
            <w:r w:rsidRPr="00C1603D">
              <w:rPr>
                <w:lang w:eastAsia="en-GB"/>
              </w:rPr>
              <w:t>38 (0.3)</w:t>
            </w:r>
          </w:p>
        </w:tc>
        <w:tc>
          <w:tcPr>
            <w:tcW w:w="0" w:type="auto"/>
            <w:vMerge/>
            <w:noWrap/>
          </w:tcPr>
          <w:p w14:paraId="0A42B585" w14:textId="75E7650B" w:rsidR="0069218F" w:rsidRPr="00C1603D" w:rsidRDefault="0069218F" w:rsidP="00703099">
            <w:pPr>
              <w:pStyle w:val="72TabletextTablesTableFigureBoxstyles"/>
              <w:rPr>
                <w:lang w:eastAsia="en-GB"/>
              </w:rPr>
            </w:pPr>
          </w:p>
        </w:tc>
        <w:tc>
          <w:tcPr>
            <w:tcW w:w="0" w:type="auto"/>
            <w:shd w:val="clear" w:color="auto" w:fill="auto"/>
            <w:noWrap/>
          </w:tcPr>
          <w:p w14:paraId="3C3A7081" w14:textId="32BBC1D5" w:rsidR="0069218F" w:rsidRPr="00C1603D" w:rsidRDefault="0069218F" w:rsidP="00703099">
            <w:pPr>
              <w:pStyle w:val="72TabletextTablesTableFigureBoxstyles"/>
              <w:rPr>
                <w:lang w:eastAsia="en-GB"/>
              </w:rPr>
            </w:pPr>
            <w:r w:rsidRPr="00C1603D">
              <w:rPr>
                <w:lang w:eastAsia="en-GB"/>
              </w:rPr>
              <w:t>50 (0.1)</w:t>
            </w:r>
          </w:p>
        </w:tc>
        <w:tc>
          <w:tcPr>
            <w:tcW w:w="0" w:type="auto"/>
            <w:shd w:val="clear" w:color="auto" w:fill="auto"/>
            <w:noWrap/>
          </w:tcPr>
          <w:p w14:paraId="28FADFC1" w14:textId="6807C598" w:rsidR="0069218F" w:rsidRPr="00C1603D" w:rsidRDefault="0069218F" w:rsidP="00703099">
            <w:pPr>
              <w:pStyle w:val="72TabletextTablesTableFigureBoxstyles"/>
              <w:rPr>
                <w:lang w:eastAsia="en-GB"/>
              </w:rPr>
            </w:pPr>
            <w:r w:rsidRPr="00C1603D">
              <w:rPr>
                <w:lang w:eastAsia="en-GB"/>
              </w:rPr>
              <w:t>11 (0.0)</w:t>
            </w:r>
          </w:p>
        </w:tc>
        <w:tc>
          <w:tcPr>
            <w:tcW w:w="0" w:type="auto"/>
            <w:shd w:val="clear" w:color="auto" w:fill="auto"/>
            <w:noWrap/>
          </w:tcPr>
          <w:p w14:paraId="3B66AF41" w14:textId="0D34416C" w:rsidR="0069218F" w:rsidRPr="00C1603D" w:rsidRDefault="0069218F" w:rsidP="00703099">
            <w:pPr>
              <w:pStyle w:val="72TabletextTablesTableFigureBoxstyles"/>
              <w:rPr>
                <w:lang w:eastAsia="en-GB"/>
              </w:rPr>
            </w:pPr>
            <w:r w:rsidRPr="00C1603D">
              <w:rPr>
                <w:lang w:eastAsia="en-GB"/>
              </w:rPr>
              <w:t>16 (0.1)</w:t>
            </w:r>
          </w:p>
        </w:tc>
        <w:tc>
          <w:tcPr>
            <w:tcW w:w="0" w:type="auto"/>
            <w:vMerge/>
            <w:noWrap/>
          </w:tcPr>
          <w:p w14:paraId="6D5E16AB" w14:textId="491C4597" w:rsidR="0069218F" w:rsidRPr="00C1603D" w:rsidRDefault="0069218F" w:rsidP="00703099">
            <w:pPr>
              <w:pStyle w:val="72TabletextTablesTableFigureBoxstyles"/>
              <w:rPr>
                <w:lang w:eastAsia="en-GB"/>
              </w:rPr>
            </w:pPr>
          </w:p>
        </w:tc>
        <w:tc>
          <w:tcPr>
            <w:tcW w:w="0" w:type="auto"/>
            <w:shd w:val="clear" w:color="auto" w:fill="auto"/>
            <w:noWrap/>
          </w:tcPr>
          <w:p w14:paraId="4D9897F4" w14:textId="28BE809C" w:rsidR="0069218F" w:rsidRPr="00C1603D" w:rsidRDefault="0069218F" w:rsidP="00703099">
            <w:pPr>
              <w:pStyle w:val="72TabletextTablesTableFigureBoxstyles"/>
              <w:rPr>
                <w:lang w:eastAsia="en-GB"/>
              </w:rPr>
            </w:pPr>
            <w:r w:rsidRPr="00C1603D">
              <w:rPr>
                <w:lang w:eastAsia="en-GB"/>
              </w:rPr>
              <w:t>27 (0.0)</w:t>
            </w:r>
          </w:p>
        </w:tc>
      </w:tr>
      <w:tr w:rsidR="008B4DF8" w:rsidRPr="00C1603D" w14:paraId="3C785DEB" w14:textId="77777777" w:rsidTr="0044057F">
        <w:trPr>
          <w:cantSplit/>
        </w:trPr>
        <w:tc>
          <w:tcPr>
            <w:tcW w:w="0" w:type="auto"/>
            <w:gridSpan w:val="9"/>
            <w:shd w:val="clear" w:color="auto" w:fill="auto"/>
            <w:noWrap/>
          </w:tcPr>
          <w:p w14:paraId="111DBA14" w14:textId="40E09BA1" w:rsidR="008B4DF8" w:rsidRPr="00C1603D" w:rsidRDefault="008B4DF8" w:rsidP="0069218F">
            <w:pPr>
              <w:pStyle w:val="72TabletextTablesTableFigureBoxstyles"/>
              <w:rPr>
                <w:lang w:eastAsia="en-GB"/>
              </w:rPr>
            </w:pPr>
            <w:r w:rsidRPr="00C1603D">
              <w:rPr>
                <w:lang w:eastAsia="en-GB"/>
              </w:rPr>
              <w:t>Neuropathy or ataxia</w:t>
            </w:r>
            <w:r w:rsidR="0069218F" w:rsidRPr="00C1603D">
              <w:rPr>
                <w:lang w:eastAsia="en-GB"/>
              </w:rPr>
              <w:t xml:space="preserve">, </w:t>
            </w:r>
            <w:r w:rsidR="0069218F" w:rsidRPr="00C1603D">
              <w:rPr>
                <w:i/>
                <w:lang w:eastAsia="en-GB"/>
              </w:rPr>
              <w:t>n</w:t>
            </w:r>
            <w:r w:rsidR="0069218F" w:rsidRPr="00C1603D">
              <w:rPr>
                <w:lang w:eastAsia="en-GB"/>
              </w:rPr>
              <w:t xml:space="preserve"> (%)</w:t>
            </w:r>
          </w:p>
        </w:tc>
      </w:tr>
      <w:tr w:rsidR="00B068B0" w:rsidRPr="00C1603D" w14:paraId="22C2BFA5" w14:textId="77777777" w:rsidTr="0044057F">
        <w:trPr>
          <w:cantSplit/>
        </w:trPr>
        <w:tc>
          <w:tcPr>
            <w:tcW w:w="0" w:type="auto"/>
            <w:shd w:val="clear" w:color="auto" w:fill="auto"/>
            <w:noWrap/>
          </w:tcPr>
          <w:p w14:paraId="70B7D33D" w14:textId="03BF400A" w:rsidR="008B4DF8" w:rsidRPr="00C1603D" w:rsidRDefault="0069218F"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572FC751" w14:textId="2F58B93D" w:rsidR="008B4DF8" w:rsidRPr="00C1603D" w:rsidRDefault="008B4DF8" w:rsidP="00703099">
            <w:pPr>
              <w:pStyle w:val="72TabletextTablesTableFigureBoxstyles"/>
              <w:rPr>
                <w:lang w:eastAsia="en-GB"/>
              </w:rPr>
            </w:pPr>
            <w:r w:rsidRPr="00C1603D">
              <w:rPr>
                <w:lang w:eastAsia="en-GB"/>
              </w:rPr>
              <w:t>84 (0.2)</w:t>
            </w:r>
          </w:p>
        </w:tc>
        <w:tc>
          <w:tcPr>
            <w:tcW w:w="0" w:type="auto"/>
            <w:shd w:val="clear" w:color="auto" w:fill="auto"/>
            <w:noWrap/>
          </w:tcPr>
          <w:p w14:paraId="5EFE4784" w14:textId="79C72775" w:rsidR="008B4DF8" w:rsidRPr="00C1603D" w:rsidRDefault="008B4DF8" w:rsidP="00703099">
            <w:pPr>
              <w:pStyle w:val="72TabletextTablesTableFigureBoxstyles"/>
              <w:rPr>
                <w:lang w:eastAsia="en-GB"/>
              </w:rPr>
            </w:pPr>
            <w:r w:rsidRPr="00C1603D">
              <w:rPr>
                <w:lang w:eastAsia="en-GB"/>
              </w:rPr>
              <w:t>55 (0.5)</w:t>
            </w:r>
          </w:p>
        </w:tc>
        <w:tc>
          <w:tcPr>
            <w:tcW w:w="0" w:type="auto"/>
            <w:shd w:val="clear" w:color="auto" w:fill="auto"/>
            <w:noWrap/>
          </w:tcPr>
          <w:p w14:paraId="5C0A6BAB"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6D15B5C" w14:textId="6841AC96" w:rsidR="008B4DF8" w:rsidRPr="00C1603D" w:rsidRDefault="008B4DF8" w:rsidP="00703099">
            <w:pPr>
              <w:pStyle w:val="72TabletextTablesTableFigureBoxstyles"/>
              <w:rPr>
                <w:lang w:eastAsia="en-GB"/>
              </w:rPr>
            </w:pPr>
            <w:r w:rsidRPr="00C1603D">
              <w:rPr>
                <w:lang w:eastAsia="en-GB"/>
              </w:rPr>
              <w:t>139 (0.3)</w:t>
            </w:r>
          </w:p>
        </w:tc>
        <w:tc>
          <w:tcPr>
            <w:tcW w:w="0" w:type="auto"/>
            <w:shd w:val="clear" w:color="auto" w:fill="auto"/>
            <w:noWrap/>
          </w:tcPr>
          <w:p w14:paraId="78AAA2E6" w14:textId="3A86E4B6" w:rsidR="008B4DF8" w:rsidRPr="00C1603D" w:rsidRDefault="008B4DF8" w:rsidP="00703099">
            <w:pPr>
              <w:pStyle w:val="72TabletextTablesTableFigureBoxstyles"/>
              <w:rPr>
                <w:lang w:eastAsia="en-GB"/>
              </w:rPr>
            </w:pPr>
            <w:r w:rsidRPr="00C1603D">
              <w:rPr>
                <w:lang w:eastAsia="en-GB"/>
              </w:rPr>
              <w:t>56 (0.1)</w:t>
            </w:r>
          </w:p>
        </w:tc>
        <w:tc>
          <w:tcPr>
            <w:tcW w:w="0" w:type="auto"/>
            <w:shd w:val="clear" w:color="auto" w:fill="auto"/>
            <w:noWrap/>
          </w:tcPr>
          <w:p w14:paraId="45384086" w14:textId="6400FB5F" w:rsidR="008B4DF8" w:rsidRPr="00C1603D" w:rsidRDefault="008B4DF8" w:rsidP="00703099">
            <w:pPr>
              <w:pStyle w:val="72TabletextTablesTableFigureBoxstyles"/>
              <w:rPr>
                <w:lang w:eastAsia="en-GB"/>
              </w:rPr>
            </w:pPr>
            <w:r w:rsidRPr="00C1603D">
              <w:rPr>
                <w:lang w:eastAsia="en-GB"/>
              </w:rPr>
              <w:t>36 (0.1)</w:t>
            </w:r>
          </w:p>
        </w:tc>
        <w:tc>
          <w:tcPr>
            <w:tcW w:w="0" w:type="auto"/>
            <w:shd w:val="clear" w:color="auto" w:fill="auto"/>
            <w:noWrap/>
          </w:tcPr>
          <w:p w14:paraId="1A102EF9" w14:textId="77777777" w:rsidR="008B4DF8" w:rsidRPr="00C1603D" w:rsidRDefault="008B4DF8" w:rsidP="00703099">
            <w:pPr>
              <w:pStyle w:val="72TabletextTablesTableFigureBoxstyles"/>
              <w:rPr>
                <w:lang w:eastAsia="en-GB"/>
              </w:rPr>
            </w:pPr>
            <w:r w:rsidRPr="00C1603D">
              <w:rPr>
                <w:lang w:eastAsia="en-GB"/>
              </w:rPr>
              <w:t>0.003</w:t>
            </w:r>
          </w:p>
        </w:tc>
        <w:tc>
          <w:tcPr>
            <w:tcW w:w="0" w:type="auto"/>
            <w:shd w:val="clear" w:color="auto" w:fill="auto"/>
            <w:noWrap/>
          </w:tcPr>
          <w:p w14:paraId="79E6B536" w14:textId="14B862E0" w:rsidR="008B4DF8" w:rsidRPr="00C1603D" w:rsidRDefault="008B4DF8" w:rsidP="00703099">
            <w:pPr>
              <w:pStyle w:val="72TabletextTablesTableFigureBoxstyles"/>
              <w:rPr>
                <w:lang w:eastAsia="en-GB"/>
              </w:rPr>
            </w:pPr>
            <w:r w:rsidRPr="00C1603D">
              <w:rPr>
                <w:lang w:eastAsia="en-GB"/>
              </w:rPr>
              <w:t>92 (0.1)</w:t>
            </w:r>
          </w:p>
        </w:tc>
      </w:tr>
      <w:tr w:rsidR="008B4DF8" w:rsidRPr="00C1603D" w14:paraId="1D29B85E" w14:textId="77777777" w:rsidTr="0044057F">
        <w:trPr>
          <w:cantSplit/>
        </w:trPr>
        <w:tc>
          <w:tcPr>
            <w:tcW w:w="0" w:type="auto"/>
            <w:gridSpan w:val="9"/>
            <w:shd w:val="clear" w:color="auto" w:fill="auto"/>
            <w:noWrap/>
          </w:tcPr>
          <w:p w14:paraId="243EED7E" w14:textId="5B087D39" w:rsidR="008B4DF8" w:rsidRPr="00C1603D" w:rsidRDefault="008B4DF8" w:rsidP="0069218F">
            <w:pPr>
              <w:pStyle w:val="72TabletextTablesTableFigureBoxstyles"/>
              <w:rPr>
                <w:lang w:eastAsia="en-GB"/>
              </w:rPr>
            </w:pPr>
            <w:r w:rsidRPr="00C1603D">
              <w:rPr>
                <w:lang w:eastAsia="en-GB"/>
              </w:rPr>
              <w:t>Osteoporosis</w:t>
            </w:r>
            <w:r w:rsidR="0069218F" w:rsidRPr="00C1603D">
              <w:rPr>
                <w:lang w:eastAsia="en-GB"/>
              </w:rPr>
              <w:t xml:space="preserve">, </w:t>
            </w:r>
            <w:r w:rsidR="0069218F" w:rsidRPr="00C1603D">
              <w:rPr>
                <w:i/>
                <w:lang w:eastAsia="en-GB"/>
              </w:rPr>
              <w:t>n</w:t>
            </w:r>
            <w:r w:rsidR="0069218F" w:rsidRPr="00C1603D">
              <w:rPr>
                <w:lang w:eastAsia="en-GB"/>
              </w:rPr>
              <w:t xml:space="preserve"> (%)</w:t>
            </w:r>
          </w:p>
        </w:tc>
      </w:tr>
      <w:tr w:rsidR="00B068B0" w:rsidRPr="00C1603D" w14:paraId="453672EA" w14:textId="77777777" w:rsidTr="0044057F">
        <w:trPr>
          <w:cantSplit/>
        </w:trPr>
        <w:tc>
          <w:tcPr>
            <w:tcW w:w="0" w:type="auto"/>
            <w:shd w:val="clear" w:color="auto" w:fill="auto"/>
            <w:noWrap/>
          </w:tcPr>
          <w:p w14:paraId="6492AD76" w14:textId="6FB8D962" w:rsidR="008B4DF8" w:rsidRPr="00C1603D" w:rsidRDefault="0069218F"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6A15745C" w14:textId="68DC1F5F" w:rsidR="008B4DF8" w:rsidRPr="00C1603D" w:rsidRDefault="008B4DF8" w:rsidP="00703099">
            <w:pPr>
              <w:pStyle w:val="72TabletextTablesTableFigureBoxstyles"/>
              <w:rPr>
                <w:lang w:eastAsia="en-GB"/>
              </w:rPr>
            </w:pPr>
            <w:r w:rsidRPr="00C1603D">
              <w:rPr>
                <w:lang w:eastAsia="en-GB"/>
              </w:rPr>
              <w:t>915 (2.5)</w:t>
            </w:r>
          </w:p>
        </w:tc>
        <w:tc>
          <w:tcPr>
            <w:tcW w:w="0" w:type="auto"/>
            <w:shd w:val="clear" w:color="auto" w:fill="auto"/>
            <w:noWrap/>
          </w:tcPr>
          <w:p w14:paraId="541DEE39" w14:textId="5FAC5E4B" w:rsidR="008B4DF8" w:rsidRPr="00C1603D" w:rsidRDefault="008B4DF8" w:rsidP="00703099">
            <w:pPr>
              <w:pStyle w:val="72TabletextTablesTableFigureBoxstyles"/>
              <w:rPr>
                <w:lang w:eastAsia="en-GB"/>
              </w:rPr>
            </w:pPr>
            <w:r w:rsidRPr="00C1603D">
              <w:rPr>
                <w:lang w:eastAsia="en-GB"/>
              </w:rPr>
              <w:t>898 (7.5)</w:t>
            </w:r>
          </w:p>
        </w:tc>
        <w:tc>
          <w:tcPr>
            <w:tcW w:w="0" w:type="auto"/>
            <w:shd w:val="clear" w:color="auto" w:fill="auto"/>
            <w:noWrap/>
          </w:tcPr>
          <w:p w14:paraId="1B48E3C4"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6568EA0" w14:textId="72AA5AD4" w:rsidR="008B4DF8" w:rsidRPr="00C1603D" w:rsidRDefault="008B4DF8" w:rsidP="00703099">
            <w:pPr>
              <w:pStyle w:val="72TabletextTablesTableFigureBoxstyles"/>
              <w:rPr>
                <w:lang w:eastAsia="en-GB"/>
              </w:rPr>
            </w:pPr>
            <w:r w:rsidRPr="00C1603D">
              <w:rPr>
                <w:lang w:eastAsia="en-GB"/>
              </w:rPr>
              <w:t>1813 (3.7)</w:t>
            </w:r>
          </w:p>
        </w:tc>
        <w:tc>
          <w:tcPr>
            <w:tcW w:w="0" w:type="auto"/>
            <w:shd w:val="clear" w:color="auto" w:fill="auto"/>
            <w:noWrap/>
          </w:tcPr>
          <w:p w14:paraId="51AA6159" w14:textId="0C6B7353" w:rsidR="008B4DF8" w:rsidRPr="00C1603D" w:rsidRDefault="008B4DF8" w:rsidP="00703099">
            <w:pPr>
              <w:pStyle w:val="72TabletextTablesTableFigureBoxstyles"/>
              <w:rPr>
                <w:lang w:eastAsia="en-GB"/>
              </w:rPr>
            </w:pPr>
            <w:r w:rsidRPr="00C1603D">
              <w:rPr>
                <w:lang w:eastAsia="en-GB"/>
              </w:rPr>
              <w:t>367 (0.5)</w:t>
            </w:r>
          </w:p>
        </w:tc>
        <w:tc>
          <w:tcPr>
            <w:tcW w:w="0" w:type="auto"/>
            <w:shd w:val="clear" w:color="auto" w:fill="auto"/>
            <w:noWrap/>
          </w:tcPr>
          <w:p w14:paraId="10656947" w14:textId="1133F7D2" w:rsidR="008B4DF8" w:rsidRPr="00C1603D" w:rsidRDefault="008B4DF8" w:rsidP="00703099">
            <w:pPr>
              <w:pStyle w:val="72TabletextTablesTableFigureBoxstyles"/>
              <w:rPr>
                <w:lang w:eastAsia="en-GB"/>
              </w:rPr>
            </w:pPr>
            <w:r w:rsidRPr="00C1603D">
              <w:rPr>
                <w:lang w:eastAsia="en-GB"/>
              </w:rPr>
              <w:t>305 (1.2)</w:t>
            </w:r>
          </w:p>
        </w:tc>
        <w:tc>
          <w:tcPr>
            <w:tcW w:w="0" w:type="auto"/>
            <w:shd w:val="clear" w:color="auto" w:fill="auto"/>
            <w:noWrap/>
          </w:tcPr>
          <w:p w14:paraId="1D848962"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0973E1C" w14:textId="11B6DD67" w:rsidR="008B4DF8" w:rsidRPr="00C1603D" w:rsidRDefault="008B4DF8" w:rsidP="00703099">
            <w:pPr>
              <w:pStyle w:val="72TabletextTablesTableFigureBoxstyles"/>
              <w:rPr>
                <w:lang w:eastAsia="en-GB"/>
              </w:rPr>
            </w:pPr>
            <w:r w:rsidRPr="00C1603D">
              <w:rPr>
                <w:lang w:eastAsia="en-GB"/>
              </w:rPr>
              <w:t>672 (0.6)</w:t>
            </w:r>
          </w:p>
        </w:tc>
      </w:tr>
      <w:tr w:rsidR="008B4DF8" w:rsidRPr="00C1603D" w14:paraId="3290CB12" w14:textId="77777777" w:rsidTr="0044057F">
        <w:trPr>
          <w:cantSplit/>
        </w:trPr>
        <w:tc>
          <w:tcPr>
            <w:tcW w:w="0" w:type="auto"/>
            <w:gridSpan w:val="9"/>
            <w:shd w:val="clear" w:color="auto" w:fill="auto"/>
            <w:noWrap/>
          </w:tcPr>
          <w:p w14:paraId="54E3646F" w14:textId="2178711A" w:rsidR="008B4DF8" w:rsidRPr="00C1603D" w:rsidRDefault="008B4DF8" w:rsidP="0069218F">
            <w:pPr>
              <w:pStyle w:val="72TabletextTablesTableFigureBoxstyles"/>
              <w:rPr>
                <w:lang w:eastAsia="en-GB"/>
              </w:rPr>
            </w:pPr>
            <w:r w:rsidRPr="00C1603D">
              <w:rPr>
                <w:lang w:eastAsia="en-GB"/>
              </w:rPr>
              <w:t>Systemic lupus erythematosus</w:t>
            </w:r>
            <w:r w:rsidR="0069218F" w:rsidRPr="00C1603D">
              <w:rPr>
                <w:lang w:eastAsia="en-GB"/>
              </w:rPr>
              <w:t xml:space="preserve">, </w:t>
            </w:r>
            <w:r w:rsidR="0069218F" w:rsidRPr="00C1603D">
              <w:rPr>
                <w:i/>
                <w:lang w:eastAsia="en-GB"/>
              </w:rPr>
              <w:t>n</w:t>
            </w:r>
            <w:r w:rsidR="0069218F" w:rsidRPr="00C1603D">
              <w:rPr>
                <w:lang w:eastAsia="en-GB"/>
              </w:rPr>
              <w:t xml:space="preserve"> (%)</w:t>
            </w:r>
          </w:p>
        </w:tc>
      </w:tr>
      <w:tr w:rsidR="00B068B0" w:rsidRPr="00C1603D" w14:paraId="169D69F1" w14:textId="77777777" w:rsidTr="0044057F">
        <w:trPr>
          <w:cantSplit/>
        </w:trPr>
        <w:tc>
          <w:tcPr>
            <w:tcW w:w="0" w:type="auto"/>
            <w:shd w:val="clear" w:color="auto" w:fill="auto"/>
            <w:noWrap/>
          </w:tcPr>
          <w:p w14:paraId="77CB35B9" w14:textId="2497A686" w:rsidR="008B4DF8" w:rsidRPr="00C1603D" w:rsidRDefault="0069218F"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49D8DF49" w14:textId="2F586F0B" w:rsidR="008B4DF8" w:rsidRPr="00C1603D" w:rsidRDefault="008B4DF8" w:rsidP="00703099">
            <w:pPr>
              <w:pStyle w:val="72TabletextTablesTableFigureBoxstyles"/>
              <w:rPr>
                <w:lang w:eastAsia="en-GB"/>
              </w:rPr>
            </w:pPr>
            <w:r w:rsidRPr="00C1603D">
              <w:rPr>
                <w:lang w:eastAsia="en-GB"/>
              </w:rPr>
              <w:t>42 (0.1)</w:t>
            </w:r>
          </w:p>
        </w:tc>
        <w:tc>
          <w:tcPr>
            <w:tcW w:w="0" w:type="auto"/>
            <w:shd w:val="clear" w:color="auto" w:fill="auto"/>
            <w:noWrap/>
          </w:tcPr>
          <w:p w14:paraId="1FFACEB6" w14:textId="6EA8BC6E" w:rsidR="008B4DF8" w:rsidRPr="00C1603D" w:rsidRDefault="008B4DF8" w:rsidP="00703099">
            <w:pPr>
              <w:pStyle w:val="72TabletextTablesTableFigureBoxstyles"/>
              <w:rPr>
                <w:lang w:eastAsia="en-GB"/>
              </w:rPr>
            </w:pPr>
            <w:r w:rsidRPr="00C1603D">
              <w:rPr>
                <w:lang w:eastAsia="en-GB"/>
              </w:rPr>
              <w:t>40 (0.3)</w:t>
            </w:r>
          </w:p>
        </w:tc>
        <w:tc>
          <w:tcPr>
            <w:tcW w:w="0" w:type="auto"/>
            <w:shd w:val="clear" w:color="auto" w:fill="auto"/>
            <w:noWrap/>
          </w:tcPr>
          <w:p w14:paraId="73D8D1C3"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FF42823" w14:textId="5A51B415" w:rsidR="008B4DF8" w:rsidRPr="00C1603D" w:rsidRDefault="008B4DF8" w:rsidP="00703099">
            <w:pPr>
              <w:pStyle w:val="72TabletextTablesTableFigureBoxstyles"/>
              <w:rPr>
                <w:lang w:eastAsia="en-GB"/>
              </w:rPr>
            </w:pPr>
            <w:r w:rsidRPr="00C1603D">
              <w:rPr>
                <w:lang w:eastAsia="en-GB"/>
              </w:rPr>
              <w:t>82 (0.2)</w:t>
            </w:r>
          </w:p>
        </w:tc>
        <w:tc>
          <w:tcPr>
            <w:tcW w:w="0" w:type="auto"/>
            <w:shd w:val="clear" w:color="auto" w:fill="auto"/>
            <w:noWrap/>
          </w:tcPr>
          <w:p w14:paraId="34B4C21F" w14:textId="0B7667AB" w:rsidR="008B4DF8" w:rsidRPr="00C1603D" w:rsidRDefault="008B4DF8" w:rsidP="00703099">
            <w:pPr>
              <w:pStyle w:val="72TabletextTablesTableFigureBoxstyles"/>
              <w:rPr>
                <w:lang w:eastAsia="en-GB"/>
              </w:rPr>
            </w:pPr>
            <w:r w:rsidRPr="00C1603D">
              <w:rPr>
                <w:lang w:eastAsia="en-GB"/>
              </w:rPr>
              <w:t>23 (0.0)</w:t>
            </w:r>
          </w:p>
        </w:tc>
        <w:tc>
          <w:tcPr>
            <w:tcW w:w="0" w:type="auto"/>
            <w:shd w:val="clear" w:color="auto" w:fill="auto"/>
            <w:noWrap/>
          </w:tcPr>
          <w:p w14:paraId="1587FF53" w14:textId="5873BD06" w:rsidR="008B4DF8" w:rsidRPr="00C1603D" w:rsidRDefault="008B4DF8" w:rsidP="00703099">
            <w:pPr>
              <w:pStyle w:val="72TabletextTablesTableFigureBoxstyles"/>
              <w:rPr>
                <w:lang w:eastAsia="en-GB"/>
              </w:rPr>
            </w:pPr>
            <w:r w:rsidRPr="00C1603D">
              <w:rPr>
                <w:lang w:eastAsia="en-GB"/>
              </w:rPr>
              <w:t>18 (0.1)</w:t>
            </w:r>
          </w:p>
        </w:tc>
        <w:tc>
          <w:tcPr>
            <w:tcW w:w="0" w:type="auto"/>
            <w:shd w:val="clear" w:color="auto" w:fill="auto"/>
            <w:noWrap/>
          </w:tcPr>
          <w:p w14:paraId="1D5AC163"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DB9A937" w14:textId="6B2767F8" w:rsidR="008B4DF8" w:rsidRPr="00C1603D" w:rsidRDefault="008B4DF8" w:rsidP="00703099">
            <w:pPr>
              <w:pStyle w:val="72TabletextTablesTableFigureBoxstyles"/>
              <w:rPr>
                <w:lang w:eastAsia="en-GB"/>
              </w:rPr>
            </w:pPr>
            <w:r w:rsidRPr="00C1603D">
              <w:rPr>
                <w:lang w:eastAsia="en-GB"/>
              </w:rPr>
              <w:t>41 (0.0)</w:t>
            </w:r>
          </w:p>
        </w:tc>
      </w:tr>
      <w:tr w:rsidR="008B4DF8" w:rsidRPr="00C1603D" w14:paraId="0A005B50" w14:textId="77777777" w:rsidTr="0044057F">
        <w:trPr>
          <w:cantSplit/>
        </w:trPr>
        <w:tc>
          <w:tcPr>
            <w:tcW w:w="0" w:type="auto"/>
            <w:gridSpan w:val="9"/>
            <w:shd w:val="clear" w:color="auto" w:fill="auto"/>
            <w:noWrap/>
          </w:tcPr>
          <w:p w14:paraId="2FF5F68D" w14:textId="00094E3E" w:rsidR="008B4DF8" w:rsidRPr="00C1603D" w:rsidRDefault="008B4DF8" w:rsidP="0069218F">
            <w:pPr>
              <w:pStyle w:val="72TabletextTablesTableFigureBoxstyles"/>
              <w:rPr>
                <w:lang w:eastAsia="en-GB"/>
              </w:rPr>
            </w:pPr>
            <w:r w:rsidRPr="00C1603D">
              <w:rPr>
                <w:lang w:eastAsia="en-GB"/>
              </w:rPr>
              <w:t>Type 1 diabetes</w:t>
            </w:r>
            <w:r w:rsidR="0069218F" w:rsidRPr="00C1603D">
              <w:rPr>
                <w:lang w:eastAsia="en-GB"/>
              </w:rPr>
              <w:t xml:space="preserve">, </w:t>
            </w:r>
            <w:r w:rsidR="0069218F" w:rsidRPr="00C1603D">
              <w:rPr>
                <w:i/>
                <w:lang w:eastAsia="en-GB"/>
              </w:rPr>
              <w:t>n</w:t>
            </w:r>
            <w:r w:rsidR="0069218F" w:rsidRPr="00C1603D">
              <w:rPr>
                <w:lang w:eastAsia="en-GB"/>
              </w:rPr>
              <w:t xml:space="preserve"> (%)</w:t>
            </w:r>
          </w:p>
        </w:tc>
      </w:tr>
      <w:tr w:rsidR="00B068B0" w:rsidRPr="00C1603D" w14:paraId="3822C0C9" w14:textId="77777777" w:rsidTr="0044057F">
        <w:trPr>
          <w:cantSplit/>
        </w:trPr>
        <w:tc>
          <w:tcPr>
            <w:tcW w:w="0" w:type="auto"/>
            <w:shd w:val="clear" w:color="auto" w:fill="auto"/>
            <w:noWrap/>
          </w:tcPr>
          <w:p w14:paraId="4ABBC89B" w14:textId="000B4CF6" w:rsidR="008B4DF8" w:rsidRPr="00C1603D" w:rsidRDefault="0069218F"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10BB329" w14:textId="61CC784C" w:rsidR="008B4DF8" w:rsidRPr="00C1603D" w:rsidRDefault="008B4DF8" w:rsidP="00703099">
            <w:pPr>
              <w:pStyle w:val="72TabletextTablesTableFigureBoxstyles"/>
              <w:rPr>
                <w:lang w:eastAsia="en-GB"/>
              </w:rPr>
            </w:pPr>
            <w:r w:rsidRPr="00C1603D">
              <w:rPr>
                <w:lang w:eastAsia="en-GB"/>
              </w:rPr>
              <w:t>99 (0.3)</w:t>
            </w:r>
          </w:p>
        </w:tc>
        <w:tc>
          <w:tcPr>
            <w:tcW w:w="0" w:type="auto"/>
            <w:shd w:val="clear" w:color="auto" w:fill="auto"/>
            <w:noWrap/>
          </w:tcPr>
          <w:p w14:paraId="58E4DEFF" w14:textId="7C2FE854" w:rsidR="008B4DF8" w:rsidRPr="00C1603D" w:rsidRDefault="008B4DF8" w:rsidP="00703099">
            <w:pPr>
              <w:pStyle w:val="72TabletextTablesTableFigureBoxstyles"/>
              <w:rPr>
                <w:lang w:eastAsia="en-GB"/>
              </w:rPr>
            </w:pPr>
            <w:r w:rsidRPr="00C1603D">
              <w:rPr>
                <w:lang w:eastAsia="en-GB"/>
              </w:rPr>
              <w:t>141 (1.2)</w:t>
            </w:r>
          </w:p>
        </w:tc>
        <w:tc>
          <w:tcPr>
            <w:tcW w:w="0" w:type="auto"/>
            <w:shd w:val="clear" w:color="auto" w:fill="auto"/>
            <w:noWrap/>
          </w:tcPr>
          <w:p w14:paraId="5F4BB1D4"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5F20002" w14:textId="54F0CDDC" w:rsidR="008B4DF8" w:rsidRPr="00C1603D" w:rsidRDefault="008B4DF8" w:rsidP="00703099">
            <w:pPr>
              <w:pStyle w:val="72TabletextTablesTableFigureBoxstyles"/>
              <w:rPr>
                <w:lang w:eastAsia="en-GB"/>
              </w:rPr>
            </w:pPr>
            <w:r w:rsidRPr="00C1603D">
              <w:rPr>
                <w:lang w:eastAsia="en-GB"/>
              </w:rPr>
              <w:t>240 (0.5)</w:t>
            </w:r>
          </w:p>
        </w:tc>
        <w:tc>
          <w:tcPr>
            <w:tcW w:w="0" w:type="auto"/>
            <w:shd w:val="clear" w:color="auto" w:fill="auto"/>
            <w:noWrap/>
          </w:tcPr>
          <w:p w14:paraId="5FF73F71" w14:textId="351647C4" w:rsidR="008B4DF8" w:rsidRPr="00C1603D" w:rsidRDefault="008B4DF8" w:rsidP="00703099">
            <w:pPr>
              <w:pStyle w:val="72TabletextTablesTableFigureBoxstyles"/>
              <w:rPr>
                <w:lang w:eastAsia="en-GB"/>
              </w:rPr>
            </w:pPr>
            <w:r w:rsidRPr="00C1603D">
              <w:rPr>
                <w:lang w:eastAsia="en-GB"/>
              </w:rPr>
              <w:t>223 (0.3)</w:t>
            </w:r>
          </w:p>
        </w:tc>
        <w:tc>
          <w:tcPr>
            <w:tcW w:w="0" w:type="auto"/>
            <w:shd w:val="clear" w:color="auto" w:fill="auto"/>
            <w:noWrap/>
          </w:tcPr>
          <w:p w14:paraId="2B49AF7D" w14:textId="32CBF1B0" w:rsidR="008B4DF8" w:rsidRPr="00C1603D" w:rsidRDefault="008B4DF8" w:rsidP="00703099">
            <w:pPr>
              <w:pStyle w:val="72TabletextTablesTableFigureBoxstyles"/>
              <w:rPr>
                <w:lang w:eastAsia="en-GB"/>
              </w:rPr>
            </w:pPr>
            <w:r w:rsidRPr="00C1603D">
              <w:rPr>
                <w:lang w:eastAsia="en-GB"/>
              </w:rPr>
              <w:t>147 (0.6)</w:t>
            </w:r>
          </w:p>
        </w:tc>
        <w:tc>
          <w:tcPr>
            <w:tcW w:w="0" w:type="auto"/>
            <w:shd w:val="clear" w:color="auto" w:fill="auto"/>
            <w:noWrap/>
          </w:tcPr>
          <w:p w14:paraId="44DE154B"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6E3B1A5" w14:textId="5503AB5A" w:rsidR="008B4DF8" w:rsidRPr="00C1603D" w:rsidRDefault="008B4DF8" w:rsidP="00703099">
            <w:pPr>
              <w:pStyle w:val="72TabletextTablesTableFigureBoxstyles"/>
              <w:rPr>
                <w:lang w:eastAsia="en-GB"/>
              </w:rPr>
            </w:pPr>
            <w:r w:rsidRPr="00C1603D">
              <w:rPr>
                <w:lang w:eastAsia="en-GB"/>
              </w:rPr>
              <w:t>370 (0.4)</w:t>
            </w:r>
          </w:p>
        </w:tc>
      </w:tr>
      <w:tr w:rsidR="008B4DF8" w:rsidRPr="00C1603D" w14:paraId="56F01297" w14:textId="77777777" w:rsidTr="0044057F">
        <w:trPr>
          <w:cantSplit/>
        </w:trPr>
        <w:tc>
          <w:tcPr>
            <w:tcW w:w="0" w:type="auto"/>
            <w:gridSpan w:val="9"/>
            <w:shd w:val="clear" w:color="auto" w:fill="auto"/>
            <w:noWrap/>
          </w:tcPr>
          <w:p w14:paraId="284AC18D" w14:textId="4C9421D4" w:rsidR="008B4DF8" w:rsidRPr="00C1603D" w:rsidRDefault="008B4DF8" w:rsidP="0069218F">
            <w:pPr>
              <w:pStyle w:val="72TabletextTablesTableFigureBoxstyles"/>
              <w:rPr>
                <w:lang w:eastAsia="en-GB"/>
              </w:rPr>
            </w:pPr>
            <w:r w:rsidRPr="00C1603D">
              <w:rPr>
                <w:lang w:eastAsia="en-GB"/>
              </w:rPr>
              <w:t>Thyroid disorders</w:t>
            </w:r>
            <w:r w:rsidR="0069218F" w:rsidRPr="00C1603D">
              <w:rPr>
                <w:lang w:eastAsia="en-GB"/>
              </w:rPr>
              <w:t xml:space="preserve">, </w:t>
            </w:r>
            <w:r w:rsidR="0069218F" w:rsidRPr="00C1603D">
              <w:rPr>
                <w:i/>
                <w:lang w:eastAsia="en-GB"/>
              </w:rPr>
              <w:t>n</w:t>
            </w:r>
            <w:r w:rsidR="0069218F" w:rsidRPr="00C1603D">
              <w:rPr>
                <w:lang w:eastAsia="en-GB"/>
              </w:rPr>
              <w:t xml:space="preserve"> (%)</w:t>
            </w:r>
          </w:p>
        </w:tc>
      </w:tr>
      <w:tr w:rsidR="00B068B0" w:rsidRPr="00C1603D" w14:paraId="77CFF7F3" w14:textId="77777777" w:rsidTr="0044057F">
        <w:trPr>
          <w:cantSplit/>
        </w:trPr>
        <w:tc>
          <w:tcPr>
            <w:tcW w:w="0" w:type="auto"/>
            <w:shd w:val="clear" w:color="auto" w:fill="auto"/>
            <w:noWrap/>
          </w:tcPr>
          <w:p w14:paraId="530618ED" w14:textId="69E2ACCE" w:rsidR="008B4DF8" w:rsidRPr="00C1603D" w:rsidRDefault="0069218F"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BF70F6B" w14:textId="08D1814D" w:rsidR="008B4DF8" w:rsidRPr="00C1603D" w:rsidRDefault="008B4DF8" w:rsidP="00703099">
            <w:pPr>
              <w:pStyle w:val="72TabletextTablesTableFigureBoxstyles"/>
              <w:rPr>
                <w:lang w:eastAsia="en-GB"/>
              </w:rPr>
            </w:pPr>
            <w:r w:rsidRPr="00C1603D">
              <w:rPr>
                <w:lang w:eastAsia="en-GB"/>
              </w:rPr>
              <w:t>2042 (5.5)</w:t>
            </w:r>
          </w:p>
        </w:tc>
        <w:tc>
          <w:tcPr>
            <w:tcW w:w="0" w:type="auto"/>
            <w:shd w:val="clear" w:color="auto" w:fill="auto"/>
            <w:noWrap/>
          </w:tcPr>
          <w:p w14:paraId="4017551C" w14:textId="685A2623" w:rsidR="008B4DF8" w:rsidRPr="00C1603D" w:rsidRDefault="008B4DF8" w:rsidP="00703099">
            <w:pPr>
              <w:pStyle w:val="72TabletextTablesTableFigureBoxstyles"/>
              <w:rPr>
                <w:lang w:eastAsia="en-GB"/>
              </w:rPr>
            </w:pPr>
            <w:r w:rsidRPr="00C1603D">
              <w:rPr>
                <w:lang w:eastAsia="en-GB"/>
              </w:rPr>
              <w:t>1442 (12.0)</w:t>
            </w:r>
          </w:p>
        </w:tc>
        <w:tc>
          <w:tcPr>
            <w:tcW w:w="0" w:type="auto"/>
            <w:shd w:val="clear" w:color="auto" w:fill="auto"/>
            <w:noWrap/>
          </w:tcPr>
          <w:p w14:paraId="5A28F9D3"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104E7A5" w14:textId="6575EB46" w:rsidR="008B4DF8" w:rsidRPr="00C1603D" w:rsidRDefault="008B4DF8" w:rsidP="00703099">
            <w:pPr>
              <w:pStyle w:val="72TabletextTablesTableFigureBoxstyles"/>
              <w:rPr>
                <w:lang w:eastAsia="en-GB"/>
              </w:rPr>
            </w:pPr>
            <w:r w:rsidRPr="00C1603D">
              <w:rPr>
                <w:lang w:eastAsia="en-GB"/>
              </w:rPr>
              <w:t>3484 (7.1)</w:t>
            </w:r>
          </w:p>
        </w:tc>
        <w:tc>
          <w:tcPr>
            <w:tcW w:w="0" w:type="auto"/>
            <w:shd w:val="clear" w:color="auto" w:fill="auto"/>
            <w:noWrap/>
          </w:tcPr>
          <w:p w14:paraId="64379688" w14:textId="77CFBF1B" w:rsidR="008B4DF8" w:rsidRPr="00C1603D" w:rsidRDefault="008B4DF8" w:rsidP="00703099">
            <w:pPr>
              <w:pStyle w:val="72TabletextTablesTableFigureBoxstyles"/>
              <w:rPr>
                <w:lang w:eastAsia="en-GB"/>
              </w:rPr>
            </w:pPr>
            <w:r w:rsidRPr="00C1603D">
              <w:rPr>
                <w:lang w:eastAsia="en-GB"/>
              </w:rPr>
              <w:t>815 (1.1)</w:t>
            </w:r>
          </w:p>
        </w:tc>
        <w:tc>
          <w:tcPr>
            <w:tcW w:w="0" w:type="auto"/>
            <w:shd w:val="clear" w:color="auto" w:fill="auto"/>
            <w:noWrap/>
          </w:tcPr>
          <w:p w14:paraId="4396C755" w14:textId="77E3777A" w:rsidR="008B4DF8" w:rsidRPr="00C1603D" w:rsidRDefault="008B4DF8" w:rsidP="00703099">
            <w:pPr>
              <w:pStyle w:val="72TabletextTablesTableFigureBoxstyles"/>
              <w:rPr>
                <w:lang w:eastAsia="en-GB"/>
              </w:rPr>
            </w:pPr>
            <w:r w:rsidRPr="00C1603D">
              <w:rPr>
                <w:lang w:eastAsia="en-GB"/>
              </w:rPr>
              <w:t>623 (2.4)</w:t>
            </w:r>
          </w:p>
        </w:tc>
        <w:tc>
          <w:tcPr>
            <w:tcW w:w="0" w:type="auto"/>
            <w:shd w:val="clear" w:color="auto" w:fill="auto"/>
            <w:noWrap/>
          </w:tcPr>
          <w:p w14:paraId="0A69DF40"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AA645C9" w14:textId="6C6B6925" w:rsidR="008B4DF8" w:rsidRPr="00C1603D" w:rsidRDefault="008B4DF8" w:rsidP="00703099">
            <w:pPr>
              <w:pStyle w:val="72TabletextTablesTableFigureBoxstyles"/>
              <w:rPr>
                <w:lang w:eastAsia="en-GB"/>
              </w:rPr>
            </w:pPr>
            <w:r w:rsidRPr="00C1603D">
              <w:rPr>
                <w:lang w:eastAsia="en-GB"/>
              </w:rPr>
              <w:t>1438 (1.4)</w:t>
            </w:r>
          </w:p>
        </w:tc>
      </w:tr>
      <w:tr w:rsidR="008B4DF8" w:rsidRPr="00C1603D" w14:paraId="32DADAD1" w14:textId="77777777" w:rsidTr="0044057F">
        <w:trPr>
          <w:cantSplit/>
        </w:trPr>
        <w:tc>
          <w:tcPr>
            <w:tcW w:w="0" w:type="auto"/>
            <w:gridSpan w:val="9"/>
            <w:shd w:val="clear" w:color="auto" w:fill="auto"/>
            <w:noWrap/>
          </w:tcPr>
          <w:p w14:paraId="00680D82" w14:textId="380C48AE" w:rsidR="008B4DF8" w:rsidRPr="00C1603D" w:rsidRDefault="008B4DF8" w:rsidP="0069218F">
            <w:pPr>
              <w:pStyle w:val="72TabletextTablesTableFigureBoxstyles"/>
              <w:rPr>
                <w:lang w:eastAsia="en-GB"/>
              </w:rPr>
            </w:pPr>
            <w:r w:rsidRPr="00C1603D">
              <w:rPr>
                <w:lang w:eastAsia="en-GB"/>
              </w:rPr>
              <w:t>Turner syndrome</w:t>
            </w:r>
            <w:r w:rsidR="0069218F" w:rsidRPr="00C1603D">
              <w:rPr>
                <w:lang w:eastAsia="en-GB"/>
              </w:rPr>
              <w:t xml:space="preserve">, </w:t>
            </w:r>
            <w:r w:rsidR="0069218F" w:rsidRPr="00C1603D">
              <w:rPr>
                <w:i/>
                <w:lang w:eastAsia="en-GB"/>
              </w:rPr>
              <w:t>n</w:t>
            </w:r>
            <w:r w:rsidR="0069218F" w:rsidRPr="00C1603D">
              <w:rPr>
                <w:lang w:eastAsia="en-GB"/>
              </w:rPr>
              <w:t xml:space="preserve"> (%)</w:t>
            </w:r>
          </w:p>
        </w:tc>
      </w:tr>
      <w:tr w:rsidR="00B068B0" w:rsidRPr="00C1603D" w14:paraId="3068BBCB" w14:textId="77777777" w:rsidTr="0044057F">
        <w:trPr>
          <w:cantSplit/>
        </w:trPr>
        <w:tc>
          <w:tcPr>
            <w:tcW w:w="0" w:type="auto"/>
            <w:shd w:val="clear" w:color="auto" w:fill="auto"/>
            <w:noWrap/>
          </w:tcPr>
          <w:p w14:paraId="11094C50" w14:textId="2CD0E965" w:rsidR="008B4DF8" w:rsidRPr="00C1603D" w:rsidRDefault="0069218F"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CC14665" w14:textId="6FADAAF2" w:rsidR="008B4DF8" w:rsidRPr="00C1603D" w:rsidRDefault="008B4DF8" w:rsidP="00703099">
            <w:pPr>
              <w:pStyle w:val="72TabletextTablesTableFigureBoxstyles"/>
              <w:rPr>
                <w:lang w:eastAsia="en-GB"/>
              </w:rPr>
            </w:pPr>
            <w:r w:rsidRPr="00C1603D">
              <w:rPr>
                <w:lang w:eastAsia="en-GB"/>
              </w:rPr>
              <w:t>3 (0.0)</w:t>
            </w:r>
          </w:p>
        </w:tc>
        <w:tc>
          <w:tcPr>
            <w:tcW w:w="0" w:type="auto"/>
            <w:shd w:val="clear" w:color="auto" w:fill="auto"/>
            <w:noWrap/>
          </w:tcPr>
          <w:p w14:paraId="0DB6666A" w14:textId="74840584" w:rsidR="008B4DF8" w:rsidRPr="00C1603D" w:rsidRDefault="008B4DF8" w:rsidP="00703099">
            <w:pPr>
              <w:pStyle w:val="72TabletextTablesTableFigureBoxstyles"/>
              <w:rPr>
                <w:lang w:eastAsia="en-GB"/>
              </w:rPr>
            </w:pPr>
            <w:r w:rsidRPr="00C1603D">
              <w:rPr>
                <w:lang w:eastAsia="en-GB"/>
              </w:rPr>
              <w:t>5 (0.0)</w:t>
            </w:r>
          </w:p>
        </w:tc>
        <w:tc>
          <w:tcPr>
            <w:tcW w:w="0" w:type="auto"/>
            <w:shd w:val="clear" w:color="auto" w:fill="auto"/>
            <w:noWrap/>
          </w:tcPr>
          <w:p w14:paraId="29839C31" w14:textId="77777777" w:rsidR="008B4DF8" w:rsidRPr="00C1603D" w:rsidRDefault="008B4DF8" w:rsidP="00703099">
            <w:pPr>
              <w:pStyle w:val="72TabletextTablesTableFigureBoxstyles"/>
              <w:rPr>
                <w:lang w:eastAsia="en-GB"/>
              </w:rPr>
            </w:pPr>
            <w:r w:rsidRPr="00C1603D">
              <w:rPr>
                <w:lang w:eastAsia="en-GB"/>
              </w:rPr>
              <w:t>0.037</w:t>
            </w:r>
          </w:p>
        </w:tc>
        <w:tc>
          <w:tcPr>
            <w:tcW w:w="0" w:type="auto"/>
            <w:shd w:val="clear" w:color="auto" w:fill="auto"/>
            <w:noWrap/>
          </w:tcPr>
          <w:p w14:paraId="390BD9AB" w14:textId="07D47FAF" w:rsidR="008B4DF8" w:rsidRPr="00C1603D" w:rsidRDefault="008B4DF8" w:rsidP="00703099">
            <w:pPr>
              <w:pStyle w:val="72TabletextTablesTableFigureBoxstyles"/>
              <w:rPr>
                <w:lang w:eastAsia="en-GB"/>
              </w:rPr>
            </w:pPr>
            <w:r w:rsidRPr="00C1603D">
              <w:rPr>
                <w:lang w:eastAsia="en-GB"/>
              </w:rPr>
              <w:t>8 (0.0)</w:t>
            </w:r>
          </w:p>
        </w:tc>
        <w:tc>
          <w:tcPr>
            <w:tcW w:w="0" w:type="auto"/>
            <w:shd w:val="clear" w:color="auto" w:fill="auto"/>
            <w:noWrap/>
          </w:tcPr>
          <w:p w14:paraId="16AA551B" w14:textId="7E33113F" w:rsidR="008B4DF8" w:rsidRPr="00C1603D" w:rsidRDefault="008B4DF8" w:rsidP="00703099">
            <w:pPr>
              <w:pStyle w:val="72TabletextTablesTableFigureBoxstyles"/>
              <w:rPr>
                <w:lang w:eastAsia="en-GB"/>
              </w:rPr>
            </w:pPr>
            <w:r w:rsidRPr="00C1603D">
              <w:rPr>
                <w:lang w:eastAsia="en-GB"/>
              </w:rPr>
              <w:t>0 (0)</w:t>
            </w:r>
          </w:p>
        </w:tc>
        <w:tc>
          <w:tcPr>
            <w:tcW w:w="0" w:type="auto"/>
            <w:shd w:val="clear" w:color="auto" w:fill="auto"/>
            <w:noWrap/>
          </w:tcPr>
          <w:p w14:paraId="1F8FBA70" w14:textId="08299254" w:rsidR="008B4DF8" w:rsidRPr="00C1603D" w:rsidRDefault="008B4DF8" w:rsidP="00703099">
            <w:pPr>
              <w:pStyle w:val="72TabletextTablesTableFigureBoxstyles"/>
              <w:rPr>
                <w:lang w:eastAsia="en-GB"/>
              </w:rPr>
            </w:pPr>
            <w:r w:rsidRPr="00C1603D">
              <w:rPr>
                <w:lang w:eastAsia="en-GB"/>
              </w:rPr>
              <w:t>5 (0.0)</w:t>
            </w:r>
          </w:p>
        </w:tc>
        <w:tc>
          <w:tcPr>
            <w:tcW w:w="0" w:type="auto"/>
            <w:shd w:val="clear" w:color="auto" w:fill="auto"/>
            <w:noWrap/>
          </w:tcPr>
          <w:p w14:paraId="67F0150E"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064A709" w14:textId="3DDF5E7B" w:rsidR="008B4DF8" w:rsidRPr="00C1603D" w:rsidRDefault="008B4DF8" w:rsidP="00703099">
            <w:pPr>
              <w:pStyle w:val="72TabletextTablesTableFigureBoxstyles"/>
              <w:rPr>
                <w:lang w:eastAsia="en-GB"/>
              </w:rPr>
            </w:pPr>
            <w:r w:rsidRPr="00C1603D">
              <w:rPr>
                <w:lang w:eastAsia="en-GB"/>
              </w:rPr>
              <w:t>5 (0.0)</w:t>
            </w:r>
          </w:p>
        </w:tc>
      </w:tr>
      <w:tr w:rsidR="008B4DF8" w:rsidRPr="00C1603D" w14:paraId="3D103952" w14:textId="77777777" w:rsidTr="0044057F">
        <w:trPr>
          <w:cantSplit/>
        </w:trPr>
        <w:tc>
          <w:tcPr>
            <w:tcW w:w="0" w:type="auto"/>
            <w:gridSpan w:val="9"/>
            <w:shd w:val="clear" w:color="auto" w:fill="auto"/>
            <w:noWrap/>
          </w:tcPr>
          <w:p w14:paraId="3CF92514" w14:textId="65968A9A" w:rsidR="008B4DF8" w:rsidRPr="00C1603D" w:rsidRDefault="008B4DF8" w:rsidP="0069218F">
            <w:pPr>
              <w:pStyle w:val="72TabletextTablesTableFigureBoxstyles"/>
              <w:rPr>
                <w:lang w:eastAsia="en-GB"/>
              </w:rPr>
            </w:pPr>
            <w:r w:rsidRPr="00C1603D">
              <w:rPr>
                <w:lang w:eastAsia="en-GB"/>
              </w:rPr>
              <w:t>Weight loss</w:t>
            </w:r>
            <w:r w:rsidR="0069218F" w:rsidRPr="00C1603D">
              <w:rPr>
                <w:lang w:eastAsia="en-GB"/>
              </w:rPr>
              <w:t xml:space="preserve">, </w:t>
            </w:r>
            <w:r w:rsidR="0069218F" w:rsidRPr="00C1603D">
              <w:rPr>
                <w:i/>
                <w:lang w:eastAsia="en-GB"/>
              </w:rPr>
              <w:t>n</w:t>
            </w:r>
            <w:r w:rsidR="0069218F" w:rsidRPr="00C1603D">
              <w:rPr>
                <w:lang w:eastAsia="en-GB"/>
              </w:rPr>
              <w:t xml:space="preserve"> (%)</w:t>
            </w:r>
          </w:p>
        </w:tc>
      </w:tr>
      <w:tr w:rsidR="00B068B0" w:rsidRPr="00C1603D" w14:paraId="5EC36F89" w14:textId="77777777" w:rsidTr="0044057F">
        <w:trPr>
          <w:cantSplit/>
        </w:trPr>
        <w:tc>
          <w:tcPr>
            <w:tcW w:w="0" w:type="auto"/>
            <w:shd w:val="clear" w:color="auto" w:fill="auto"/>
            <w:noWrap/>
          </w:tcPr>
          <w:p w14:paraId="3273DC73" w14:textId="5B5017A7" w:rsidR="008B4DF8" w:rsidRPr="00C1603D" w:rsidRDefault="0069218F" w:rsidP="00703099">
            <w:pPr>
              <w:pStyle w:val="72TabletextTablesTableFigureBoxstyles"/>
              <w:rPr>
                <w:lang w:eastAsia="en-GB"/>
              </w:rPr>
            </w:pPr>
            <w:r w:rsidRPr="00C1603D">
              <w:rPr>
                <w:lang w:eastAsia="en-GB"/>
              </w:rPr>
              <w:tab/>
            </w:r>
            <w:r w:rsidR="008B4DF8" w:rsidRPr="00C1603D">
              <w:rPr>
                <w:lang w:eastAsia="en-GB"/>
              </w:rPr>
              <w:t>Present</w:t>
            </w:r>
          </w:p>
        </w:tc>
        <w:tc>
          <w:tcPr>
            <w:tcW w:w="0" w:type="auto"/>
            <w:shd w:val="clear" w:color="auto" w:fill="auto"/>
            <w:noWrap/>
          </w:tcPr>
          <w:p w14:paraId="21DD0391" w14:textId="3D3876D7" w:rsidR="008B4DF8" w:rsidRPr="00C1603D" w:rsidRDefault="008B4DF8" w:rsidP="00703099">
            <w:pPr>
              <w:pStyle w:val="72TabletextTablesTableFigureBoxstyles"/>
              <w:rPr>
                <w:lang w:eastAsia="en-GB"/>
              </w:rPr>
            </w:pPr>
            <w:r w:rsidRPr="00C1603D">
              <w:rPr>
                <w:lang w:eastAsia="en-GB"/>
              </w:rPr>
              <w:t>500 (1.3)</w:t>
            </w:r>
          </w:p>
        </w:tc>
        <w:tc>
          <w:tcPr>
            <w:tcW w:w="0" w:type="auto"/>
            <w:shd w:val="clear" w:color="auto" w:fill="auto"/>
            <w:noWrap/>
          </w:tcPr>
          <w:p w14:paraId="36DE98B5" w14:textId="3A33EDFF" w:rsidR="008B4DF8" w:rsidRPr="00C1603D" w:rsidRDefault="008B4DF8" w:rsidP="00703099">
            <w:pPr>
              <w:pStyle w:val="72TabletextTablesTableFigureBoxstyles"/>
              <w:rPr>
                <w:lang w:eastAsia="en-GB"/>
              </w:rPr>
            </w:pPr>
            <w:r w:rsidRPr="00C1603D">
              <w:rPr>
                <w:lang w:eastAsia="en-GB"/>
              </w:rPr>
              <w:t>672 (5.6)</w:t>
            </w:r>
          </w:p>
        </w:tc>
        <w:tc>
          <w:tcPr>
            <w:tcW w:w="0" w:type="auto"/>
            <w:shd w:val="clear" w:color="auto" w:fill="auto"/>
            <w:noWrap/>
          </w:tcPr>
          <w:p w14:paraId="14953917"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BBBD8F5" w14:textId="753E2BF2" w:rsidR="008B4DF8" w:rsidRPr="00C1603D" w:rsidRDefault="008B4DF8" w:rsidP="00703099">
            <w:pPr>
              <w:pStyle w:val="72TabletextTablesTableFigureBoxstyles"/>
              <w:rPr>
                <w:lang w:eastAsia="en-GB"/>
              </w:rPr>
            </w:pPr>
            <w:r w:rsidRPr="00C1603D">
              <w:rPr>
                <w:lang w:eastAsia="en-GB"/>
              </w:rPr>
              <w:t>1172 (2.4)</w:t>
            </w:r>
          </w:p>
        </w:tc>
        <w:tc>
          <w:tcPr>
            <w:tcW w:w="0" w:type="auto"/>
            <w:shd w:val="clear" w:color="auto" w:fill="auto"/>
            <w:noWrap/>
          </w:tcPr>
          <w:p w14:paraId="307F1249" w14:textId="6D28DAB9" w:rsidR="008B4DF8" w:rsidRPr="00C1603D" w:rsidRDefault="008B4DF8" w:rsidP="00703099">
            <w:pPr>
              <w:pStyle w:val="72TabletextTablesTableFigureBoxstyles"/>
              <w:rPr>
                <w:lang w:eastAsia="en-GB"/>
              </w:rPr>
            </w:pPr>
            <w:r w:rsidRPr="00C1603D">
              <w:rPr>
                <w:lang w:eastAsia="en-GB"/>
              </w:rPr>
              <w:t>105 (0.1)</w:t>
            </w:r>
          </w:p>
        </w:tc>
        <w:tc>
          <w:tcPr>
            <w:tcW w:w="0" w:type="auto"/>
            <w:shd w:val="clear" w:color="auto" w:fill="auto"/>
            <w:noWrap/>
          </w:tcPr>
          <w:p w14:paraId="15ED47D9" w14:textId="535BD621" w:rsidR="008B4DF8" w:rsidRPr="00C1603D" w:rsidRDefault="008B4DF8" w:rsidP="00703099">
            <w:pPr>
              <w:pStyle w:val="72TabletextTablesTableFigureBoxstyles"/>
              <w:rPr>
                <w:lang w:eastAsia="en-GB"/>
              </w:rPr>
            </w:pPr>
            <w:r w:rsidRPr="00C1603D">
              <w:rPr>
                <w:lang w:eastAsia="en-GB"/>
              </w:rPr>
              <w:t>145 (0.6)</w:t>
            </w:r>
          </w:p>
        </w:tc>
        <w:tc>
          <w:tcPr>
            <w:tcW w:w="0" w:type="auto"/>
            <w:shd w:val="clear" w:color="auto" w:fill="auto"/>
            <w:noWrap/>
          </w:tcPr>
          <w:p w14:paraId="4AEA14B1" w14:textId="77777777" w:rsidR="008B4DF8" w:rsidRPr="00C1603D" w:rsidRDefault="008B4DF8" w:rsidP="00703099">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128A15F" w14:textId="053291A0" w:rsidR="008B4DF8" w:rsidRPr="00C1603D" w:rsidRDefault="008B4DF8" w:rsidP="00703099">
            <w:pPr>
              <w:pStyle w:val="72TabletextTablesTableFigureBoxstyles"/>
              <w:rPr>
                <w:lang w:eastAsia="en-GB"/>
              </w:rPr>
            </w:pPr>
            <w:r w:rsidRPr="00C1603D">
              <w:rPr>
                <w:lang w:eastAsia="en-GB"/>
              </w:rPr>
              <w:t>250 (0.2)</w:t>
            </w:r>
          </w:p>
        </w:tc>
      </w:tr>
      <w:tr w:rsidR="002069F8" w:rsidRPr="00C1603D" w14:paraId="2EFF86D3" w14:textId="77777777" w:rsidTr="0044057F">
        <w:trPr>
          <w:cantSplit/>
        </w:trPr>
        <w:tc>
          <w:tcPr>
            <w:tcW w:w="0" w:type="auto"/>
            <w:shd w:val="clear" w:color="auto" w:fill="auto"/>
          </w:tcPr>
          <w:p w14:paraId="630C70AA" w14:textId="099DA7BB" w:rsidR="002069F8" w:rsidRPr="00C1603D" w:rsidRDefault="002069F8" w:rsidP="002069F8">
            <w:pPr>
              <w:pStyle w:val="711TablesubheadATablesTableFigureBoxstyles"/>
              <w:rPr>
                <w:lang w:eastAsia="en-GB"/>
              </w:rPr>
            </w:pPr>
            <w:r w:rsidRPr="00C1603D">
              <w:rPr>
                <w:lang w:eastAsia="en-GB"/>
              </w:rPr>
              <w:t>Men</w:t>
            </w:r>
          </w:p>
        </w:tc>
        <w:tc>
          <w:tcPr>
            <w:tcW w:w="0" w:type="auto"/>
            <w:shd w:val="clear" w:color="auto" w:fill="auto"/>
          </w:tcPr>
          <w:p w14:paraId="6F4B2683" w14:textId="75EB41A2" w:rsidR="002069F8" w:rsidRPr="00C1603D" w:rsidRDefault="002069F8" w:rsidP="002069F8">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35,264)</w:t>
            </w:r>
          </w:p>
        </w:tc>
        <w:tc>
          <w:tcPr>
            <w:tcW w:w="0" w:type="auto"/>
            <w:shd w:val="clear" w:color="auto" w:fill="auto"/>
          </w:tcPr>
          <w:p w14:paraId="31116574" w14:textId="44AE5535" w:rsidR="002069F8" w:rsidRPr="00C1603D" w:rsidRDefault="002069F8" w:rsidP="002069F8">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6035)</w:t>
            </w:r>
          </w:p>
        </w:tc>
        <w:tc>
          <w:tcPr>
            <w:tcW w:w="0" w:type="auto"/>
            <w:shd w:val="clear" w:color="auto" w:fill="auto"/>
          </w:tcPr>
          <w:p w14:paraId="036DE258" w14:textId="7C4AE9E9" w:rsidR="002069F8" w:rsidRPr="00C1603D" w:rsidRDefault="002069F8" w:rsidP="002069F8">
            <w:pPr>
              <w:pStyle w:val="711TablesubheadATablesTableFigureBoxstyles"/>
              <w:rPr>
                <w:lang w:eastAsia="en-GB"/>
              </w:rPr>
            </w:pPr>
          </w:p>
        </w:tc>
        <w:tc>
          <w:tcPr>
            <w:tcW w:w="0" w:type="auto"/>
            <w:shd w:val="clear" w:color="auto" w:fill="auto"/>
          </w:tcPr>
          <w:p w14:paraId="2990FD39" w14:textId="1613F2DE" w:rsidR="002069F8" w:rsidRPr="00C1603D" w:rsidRDefault="002069F8" w:rsidP="002069F8">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41,299)</w:t>
            </w:r>
          </w:p>
        </w:tc>
        <w:tc>
          <w:tcPr>
            <w:tcW w:w="0" w:type="auto"/>
            <w:shd w:val="clear" w:color="auto" w:fill="auto"/>
          </w:tcPr>
          <w:p w14:paraId="3A4F3079" w14:textId="6994868E" w:rsidR="002069F8" w:rsidRPr="00C1603D" w:rsidRDefault="002069F8" w:rsidP="002069F8">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76,775)</w:t>
            </w:r>
          </w:p>
        </w:tc>
        <w:tc>
          <w:tcPr>
            <w:tcW w:w="0" w:type="auto"/>
            <w:shd w:val="clear" w:color="auto" w:fill="auto"/>
          </w:tcPr>
          <w:p w14:paraId="0B0377B7" w14:textId="11C5AE4D" w:rsidR="002069F8" w:rsidRPr="00C1603D" w:rsidRDefault="002069F8" w:rsidP="002069F8">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12,385)</w:t>
            </w:r>
          </w:p>
        </w:tc>
        <w:tc>
          <w:tcPr>
            <w:tcW w:w="0" w:type="auto"/>
            <w:shd w:val="clear" w:color="auto" w:fill="auto"/>
          </w:tcPr>
          <w:p w14:paraId="1F144E39" w14:textId="42FB7634" w:rsidR="002069F8" w:rsidRPr="00C1603D" w:rsidRDefault="002069F8" w:rsidP="002069F8">
            <w:pPr>
              <w:pStyle w:val="711TablesubheadATablesTableFigureBoxstyles"/>
              <w:rPr>
                <w:lang w:eastAsia="en-GB"/>
              </w:rPr>
            </w:pPr>
          </w:p>
        </w:tc>
        <w:tc>
          <w:tcPr>
            <w:tcW w:w="0" w:type="auto"/>
            <w:shd w:val="clear" w:color="auto" w:fill="auto"/>
          </w:tcPr>
          <w:p w14:paraId="690990A9" w14:textId="46520CAC" w:rsidR="002069F8" w:rsidRPr="00C1603D" w:rsidRDefault="002069F8" w:rsidP="002069F8">
            <w:pPr>
              <w:pStyle w:val="711TablesubheadATablesTableFigureBoxstyles"/>
              <w:rPr>
                <w:lang w:eastAsia="en-GB"/>
              </w:rPr>
            </w:pPr>
            <w:r w:rsidRPr="00C1603D">
              <w:rPr>
                <w:lang w:eastAsia="en-GB"/>
              </w:rPr>
              <w:t>(</w:t>
            </w:r>
            <w:r w:rsidRPr="00C1603D">
              <w:rPr>
                <w:i w:val="0"/>
                <w:iCs w:val="0"/>
                <w:lang w:eastAsia="en-GB"/>
              </w:rPr>
              <w:t>n</w:t>
            </w:r>
            <w:r w:rsidRPr="00C1603D">
              <w:rPr>
                <w:color w:val="00B0F0"/>
                <w:lang w:eastAsia="en-GB"/>
              </w:rPr>
              <w:t> = </w:t>
            </w:r>
            <w:r w:rsidRPr="00C1603D">
              <w:rPr>
                <w:lang w:eastAsia="en-GB"/>
              </w:rPr>
              <w:t>89,160)</w:t>
            </w:r>
          </w:p>
        </w:tc>
      </w:tr>
      <w:tr w:rsidR="002069F8" w:rsidRPr="00C1603D" w14:paraId="1F1E39D0" w14:textId="77777777" w:rsidTr="0044057F">
        <w:trPr>
          <w:cantSplit/>
        </w:trPr>
        <w:tc>
          <w:tcPr>
            <w:tcW w:w="0" w:type="auto"/>
            <w:gridSpan w:val="9"/>
            <w:shd w:val="clear" w:color="auto" w:fill="auto"/>
            <w:noWrap/>
          </w:tcPr>
          <w:p w14:paraId="2ED7928F" w14:textId="77777777" w:rsidR="002069F8" w:rsidRPr="00C1603D" w:rsidRDefault="002069F8" w:rsidP="002069F8">
            <w:pPr>
              <w:pStyle w:val="72TabletextTablesTableFigureBoxstyles"/>
              <w:rPr>
                <w:lang w:eastAsia="en-GB"/>
              </w:rPr>
            </w:pPr>
            <w:r w:rsidRPr="00C1603D">
              <w:rPr>
                <w:lang w:eastAsia="en-GB"/>
              </w:rPr>
              <w:t>Age (years)</w:t>
            </w:r>
          </w:p>
        </w:tc>
      </w:tr>
      <w:tr w:rsidR="002069F8" w:rsidRPr="00C1603D" w14:paraId="56B279A7" w14:textId="77777777" w:rsidTr="0044057F">
        <w:trPr>
          <w:cantSplit/>
        </w:trPr>
        <w:tc>
          <w:tcPr>
            <w:tcW w:w="0" w:type="auto"/>
            <w:shd w:val="clear" w:color="auto" w:fill="auto"/>
            <w:noWrap/>
          </w:tcPr>
          <w:p w14:paraId="659CAD70" w14:textId="3CFA7ADF" w:rsidR="002069F8" w:rsidRPr="00C1603D" w:rsidRDefault="002069F8" w:rsidP="002069F8">
            <w:pPr>
              <w:pStyle w:val="72TabletextTablesTableFigureBoxstyles"/>
              <w:rPr>
                <w:lang w:eastAsia="en-GB"/>
              </w:rPr>
            </w:pPr>
            <w:r w:rsidRPr="00C1603D">
              <w:rPr>
                <w:lang w:eastAsia="en-GB"/>
              </w:rPr>
              <w:tab/>
              <w:t>Mean (SD)</w:t>
            </w:r>
          </w:p>
        </w:tc>
        <w:tc>
          <w:tcPr>
            <w:tcW w:w="0" w:type="auto"/>
            <w:shd w:val="clear" w:color="auto" w:fill="auto"/>
            <w:noWrap/>
          </w:tcPr>
          <w:p w14:paraId="46B68977" w14:textId="77777777" w:rsidR="002069F8" w:rsidRPr="00C1603D" w:rsidRDefault="002069F8" w:rsidP="002069F8">
            <w:pPr>
              <w:pStyle w:val="72TabletextTablesTableFigureBoxstyles"/>
              <w:rPr>
                <w:lang w:eastAsia="en-GB"/>
              </w:rPr>
            </w:pPr>
            <w:r w:rsidRPr="00C1603D">
              <w:rPr>
                <w:lang w:eastAsia="en-GB"/>
              </w:rPr>
              <w:t>47.5 (16.4)</w:t>
            </w:r>
          </w:p>
        </w:tc>
        <w:tc>
          <w:tcPr>
            <w:tcW w:w="0" w:type="auto"/>
            <w:shd w:val="clear" w:color="auto" w:fill="auto"/>
            <w:noWrap/>
          </w:tcPr>
          <w:p w14:paraId="63C463A9" w14:textId="77777777" w:rsidR="002069F8" w:rsidRPr="00C1603D" w:rsidRDefault="002069F8" w:rsidP="002069F8">
            <w:pPr>
              <w:pStyle w:val="72TabletextTablesTableFigureBoxstyles"/>
              <w:rPr>
                <w:lang w:eastAsia="en-GB"/>
              </w:rPr>
            </w:pPr>
            <w:r w:rsidRPr="00C1603D">
              <w:rPr>
                <w:lang w:eastAsia="en-GB"/>
              </w:rPr>
              <w:t>53.9 (16.3)</w:t>
            </w:r>
          </w:p>
        </w:tc>
        <w:tc>
          <w:tcPr>
            <w:tcW w:w="0" w:type="auto"/>
            <w:vMerge w:val="restart"/>
            <w:shd w:val="clear" w:color="auto" w:fill="auto"/>
            <w:noWrap/>
          </w:tcPr>
          <w:p w14:paraId="0030248A"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1F662F3" w14:textId="77777777" w:rsidR="002069F8" w:rsidRPr="00C1603D" w:rsidRDefault="002069F8" w:rsidP="002069F8">
            <w:pPr>
              <w:pStyle w:val="72TabletextTablesTableFigureBoxstyles"/>
              <w:rPr>
                <w:lang w:eastAsia="en-GB"/>
              </w:rPr>
            </w:pPr>
            <w:r w:rsidRPr="00C1603D">
              <w:rPr>
                <w:lang w:eastAsia="en-GB"/>
              </w:rPr>
              <w:t>48.4 (16.6)</w:t>
            </w:r>
          </w:p>
        </w:tc>
        <w:tc>
          <w:tcPr>
            <w:tcW w:w="0" w:type="auto"/>
            <w:shd w:val="clear" w:color="auto" w:fill="auto"/>
            <w:noWrap/>
          </w:tcPr>
          <w:p w14:paraId="743EF38B" w14:textId="77777777" w:rsidR="002069F8" w:rsidRPr="00C1603D" w:rsidRDefault="002069F8" w:rsidP="002069F8">
            <w:pPr>
              <w:pStyle w:val="72TabletextTablesTableFigureBoxstyles"/>
              <w:rPr>
                <w:lang w:eastAsia="en-GB"/>
              </w:rPr>
            </w:pPr>
            <w:r w:rsidRPr="00C1603D">
              <w:rPr>
                <w:lang w:eastAsia="en-GB"/>
              </w:rPr>
              <w:t>46.6 (16.5)</w:t>
            </w:r>
          </w:p>
        </w:tc>
        <w:tc>
          <w:tcPr>
            <w:tcW w:w="0" w:type="auto"/>
            <w:shd w:val="clear" w:color="auto" w:fill="auto"/>
            <w:noWrap/>
          </w:tcPr>
          <w:p w14:paraId="2E121FF9" w14:textId="77777777" w:rsidR="002069F8" w:rsidRPr="00C1603D" w:rsidRDefault="002069F8" w:rsidP="002069F8">
            <w:pPr>
              <w:pStyle w:val="72TabletextTablesTableFigureBoxstyles"/>
              <w:rPr>
                <w:lang w:eastAsia="en-GB"/>
              </w:rPr>
            </w:pPr>
            <w:r w:rsidRPr="00C1603D">
              <w:rPr>
                <w:lang w:eastAsia="en-GB"/>
              </w:rPr>
              <w:t>52.4 (17.1)</w:t>
            </w:r>
          </w:p>
        </w:tc>
        <w:tc>
          <w:tcPr>
            <w:tcW w:w="0" w:type="auto"/>
            <w:vMerge w:val="restart"/>
            <w:shd w:val="clear" w:color="auto" w:fill="auto"/>
            <w:noWrap/>
          </w:tcPr>
          <w:p w14:paraId="08614C55"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7BA0730" w14:textId="77777777" w:rsidR="002069F8" w:rsidRPr="00C1603D" w:rsidRDefault="002069F8" w:rsidP="002069F8">
            <w:pPr>
              <w:pStyle w:val="72TabletextTablesTableFigureBoxstyles"/>
              <w:rPr>
                <w:lang w:eastAsia="en-GB"/>
              </w:rPr>
            </w:pPr>
            <w:r w:rsidRPr="00C1603D">
              <w:rPr>
                <w:lang w:eastAsia="en-GB"/>
              </w:rPr>
              <w:t>47.4 (16.7)</w:t>
            </w:r>
          </w:p>
        </w:tc>
      </w:tr>
      <w:tr w:rsidR="002069F8" w:rsidRPr="00C1603D" w14:paraId="6D11829C" w14:textId="77777777" w:rsidTr="0044057F">
        <w:trPr>
          <w:cantSplit/>
        </w:trPr>
        <w:tc>
          <w:tcPr>
            <w:tcW w:w="0" w:type="auto"/>
            <w:shd w:val="clear" w:color="auto" w:fill="auto"/>
            <w:noWrap/>
          </w:tcPr>
          <w:p w14:paraId="17F1E4DF" w14:textId="40640C91" w:rsidR="002069F8" w:rsidRPr="00C1603D" w:rsidRDefault="002069F8" w:rsidP="002069F8">
            <w:pPr>
              <w:pStyle w:val="72TabletextTablesTableFigureBoxstyles"/>
              <w:rPr>
                <w:lang w:eastAsia="en-GB"/>
              </w:rPr>
            </w:pPr>
            <w:r w:rsidRPr="00C1603D">
              <w:rPr>
                <w:lang w:eastAsia="en-GB"/>
              </w:rPr>
              <w:tab/>
              <w:t>Median (minimum, maximum)</w:t>
            </w:r>
          </w:p>
        </w:tc>
        <w:tc>
          <w:tcPr>
            <w:tcW w:w="0" w:type="auto"/>
            <w:shd w:val="clear" w:color="auto" w:fill="auto"/>
            <w:noWrap/>
          </w:tcPr>
          <w:p w14:paraId="35E5F363" w14:textId="17358C8C" w:rsidR="002069F8" w:rsidRPr="00C1603D" w:rsidRDefault="002069F8" w:rsidP="002069F8">
            <w:pPr>
              <w:pStyle w:val="72TabletextTablesTableFigureBoxstyles"/>
              <w:rPr>
                <w:lang w:eastAsia="en-GB"/>
              </w:rPr>
            </w:pPr>
            <w:r w:rsidRPr="00C1603D">
              <w:rPr>
                <w:lang w:eastAsia="en-GB"/>
              </w:rPr>
              <w:t>47.0 (18.0, 103)</w:t>
            </w:r>
          </w:p>
        </w:tc>
        <w:tc>
          <w:tcPr>
            <w:tcW w:w="0" w:type="auto"/>
            <w:shd w:val="clear" w:color="auto" w:fill="auto"/>
            <w:noWrap/>
          </w:tcPr>
          <w:p w14:paraId="51B6F588" w14:textId="2B433A68" w:rsidR="002069F8" w:rsidRPr="00C1603D" w:rsidRDefault="002069F8" w:rsidP="002069F8">
            <w:pPr>
              <w:pStyle w:val="72TabletextTablesTableFigureBoxstyles"/>
              <w:rPr>
                <w:lang w:eastAsia="en-GB"/>
              </w:rPr>
            </w:pPr>
            <w:r w:rsidRPr="00C1603D">
              <w:rPr>
                <w:lang w:eastAsia="en-GB"/>
              </w:rPr>
              <w:t>55.0 (18.0, 94.0)</w:t>
            </w:r>
          </w:p>
        </w:tc>
        <w:tc>
          <w:tcPr>
            <w:tcW w:w="0" w:type="auto"/>
            <w:vMerge/>
            <w:noWrap/>
          </w:tcPr>
          <w:p w14:paraId="72F630B4" w14:textId="3F9F7D05" w:rsidR="002069F8" w:rsidRPr="00C1603D" w:rsidRDefault="002069F8" w:rsidP="002069F8">
            <w:pPr>
              <w:pStyle w:val="72TabletextTablesTableFigureBoxstyles"/>
              <w:rPr>
                <w:lang w:eastAsia="en-GB"/>
              </w:rPr>
            </w:pPr>
          </w:p>
        </w:tc>
        <w:tc>
          <w:tcPr>
            <w:tcW w:w="0" w:type="auto"/>
            <w:shd w:val="clear" w:color="auto" w:fill="auto"/>
            <w:noWrap/>
          </w:tcPr>
          <w:p w14:paraId="69B76279" w14:textId="0BEC89AE" w:rsidR="002069F8" w:rsidRPr="00C1603D" w:rsidRDefault="002069F8" w:rsidP="002069F8">
            <w:pPr>
              <w:pStyle w:val="72TabletextTablesTableFigureBoxstyles"/>
              <w:rPr>
                <w:lang w:eastAsia="en-GB"/>
              </w:rPr>
            </w:pPr>
            <w:r w:rsidRPr="00C1603D">
              <w:rPr>
                <w:lang w:eastAsia="en-GB"/>
              </w:rPr>
              <w:t>48.0 (18.0, 103)</w:t>
            </w:r>
          </w:p>
        </w:tc>
        <w:tc>
          <w:tcPr>
            <w:tcW w:w="0" w:type="auto"/>
            <w:shd w:val="clear" w:color="auto" w:fill="auto"/>
            <w:noWrap/>
          </w:tcPr>
          <w:p w14:paraId="3B49AA2D" w14:textId="6E837059" w:rsidR="002069F8" w:rsidRPr="00C1603D" w:rsidRDefault="002069F8" w:rsidP="002069F8">
            <w:pPr>
              <w:pStyle w:val="72TabletextTablesTableFigureBoxstyles"/>
              <w:rPr>
                <w:lang w:eastAsia="en-GB"/>
              </w:rPr>
            </w:pPr>
            <w:r w:rsidRPr="00C1603D">
              <w:rPr>
                <w:lang w:eastAsia="en-GB"/>
              </w:rPr>
              <w:t>46.0 (18.0, 107)</w:t>
            </w:r>
          </w:p>
        </w:tc>
        <w:tc>
          <w:tcPr>
            <w:tcW w:w="0" w:type="auto"/>
            <w:shd w:val="clear" w:color="auto" w:fill="auto"/>
            <w:noWrap/>
          </w:tcPr>
          <w:p w14:paraId="1412619C" w14:textId="3A0C1685" w:rsidR="002069F8" w:rsidRPr="00C1603D" w:rsidRDefault="002069F8" w:rsidP="002069F8">
            <w:pPr>
              <w:pStyle w:val="72TabletextTablesTableFigureBoxstyles"/>
              <w:rPr>
                <w:lang w:eastAsia="en-GB"/>
              </w:rPr>
            </w:pPr>
            <w:r w:rsidRPr="00C1603D">
              <w:rPr>
                <w:lang w:eastAsia="en-GB"/>
              </w:rPr>
              <w:t>53.0 (18.0, 98.0)</w:t>
            </w:r>
          </w:p>
        </w:tc>
        <w:tc>
          <w:tcPr>
            <w:tcW w:w="0" w:type="auto"/>
            <w:vMerge/>
            <w:noWrap/>
          </w:tcPr>
          <w:p w14:paraId="2037484F" w14:textId="648C03ED" w:rsidR="002069F8" w:rsidRPr="00C1603D" w:rsidRDefault="002069F8" w:rsidP="002069F8">
            <w:pPr>
              <w:pStyle w:val="72TabletextTablesTableFigureBoxstyles"/>
              <w:rPr>
                <w:lang w:eastAsia="en-GB"/>
              </w:rPr>
            </w:pPr>
          </w:p>
        </w:tc>
        <w:tc>
          <w:tcPr>
            <w:tcW w:w="0" w:type="auto"/>
            <w:shd w:val="clear" w:color="auto" w:fill="auto"/>
            <w:noWrap/>
          </w:tcPr>
          <w:p w14:paraId="03DDBFBE" w14:textId="3B4776A5" w:rsidR="002069F8" w:rsidRPr="00C1603D" w:rsidRDefault="002069F8" w:rsidP="002069F8">
            <w:pPr>
              <w:pStyle w:val="72TabletextTablesTableFigureBoxstyles"/>
              <w:rPr>
                <w:lang w:eastAsia="en-GB"/>
              </w:rPr>
            </w:pPr>
            <w:r w:rsidRPr="00C1603D">
              <w:rPr>
                <w:lang w:eastAsia="en-GB"/>
              </w:rPr>
              <w:t>47.0 (18.0, 107)</w:t>
            </w:r>
          </w:p>
        </w:tc>
      </w:tr>
      <w:tr w:rsidR="002069F8" w:rsidRPr="00C1603D" w14:paraId="68C09354" w14:textId="77777777" w:rsidTr="0044057F">
        <w:trPr>
          <w:cantSplit/>
        </w:trPr>
        <w:tc>
          <w:tcPr>
            <w:tcW w:w="0" w:type="auto"/>
            <w:gridSpan w:val="9"/>
            <w:shd w:val="clear" w:color="auto" w:fill="auto"/>
            <w:noWrap/>
          </w:tcPr>
          <w:p w14:paraId="53CC896A" w14:textId="7B9CC704" w:rsidR="002069F8" w:rsidRPr="00C1603D" w:rsidRDefault="002069F8" w:rsidP="002069F8">
            <w:pPr>
              <w:pStyle w:val="72TabletextTablesTableFigureBoxstyles"/>
              <w:rPr>
                <w:lang w:eastAsia="en-GB"/>
              </w:rPr>
            </w:pPr>
            <w:r w:rsidRPr="00C1603D">
              <w:rPr>
                <w:lang w:eastAsia="en-GB"/>
              </w:rPr>
              <w:lastRenderedPageBreak/>
              <w:t xml:space="preserve">Ethnicity, </w:t>
            </w:r>
            <w:r w:rsidRPr="00C1603D">
              <w:rPr>
                <w:i/>
                <w:lang w:eastAsia="en-GB"/>
              </w:rPr>
              <w:t>n</w:t>
            </w:r>
            <w:r w:rsidRPr="00C1603D">
              <w:rPr>
                <w:lang w:eastAsia="en-GB"/>
              </w:rPr>
              <w:t xml:space="preserve"> (%)</w:t>
            </w:r>
          </w:p>
        </w:tc>
      </w:tr>
      <w:tr w:rsidR="002069F8" w:rsidRPr="00C1603D" w14:paraId="479CF38D" w14:textId="77777777" w:rsidTr="0044057F">
        <w:trPr>
          <w:cantSplit/>
        </w:trPr>
        <w:tc>
          <w:tcPr>
            <w:tcW w:w="0" w:type="auto"/>
            <w:shd w:val="clear" w:color="auto" w:fill="auto"/>
            <w:noWrap/>
          </w:tcPr>
          <w:p w14:paraId="3EE0E5F7" w14:textId="488BE8ED" w:rsidR="002069F8" w:rsidRPr="00C1603D" w:rsidRDefault="002069F8" w:rsidP="002069F8">
            <w:pPr>
              <w:pStyle w:val="72TabletextTablesTableFigureBoxstyles"/>
              <w:rPr>
                <w:lang w:eastAsia="en-GB"/>
              </w:rPr>
            </w:pPr>
            <w:r w:rsidRPr="00C1603D">
              <w:rPr>
                <w:lang w:eastAsia="en-GB"/>
              </w:rPr>
              <w:tab/>
              <w:t>Non-white</w:t>
            </w:r>
          </w:p>
        </w:tc>
        <w:tc>
          <w:tcPr>
            <w:tcW w:w="0" w:type="auto"/>
            <w:shd w:val="clear" w:color="auto" w:fill="auto"/>
            <w:noWrap/>
          </w:tcPr>
          <w:p w14:paraId="54E31683" w14:textId="1E01CE71" w:rsidR="002069F8" w:rsidRPr="00C1603D" w:rsidRDefault="002069F8" w:rsidP="002069F8">
            <w:pPr>
              <w:pStyle w:val="72TabletextTablesTableFigureBoxstyles"/>
              <w:rPr>
                <w:lang w:eastAsia="en-GB"/>
              </w:rPr>
            </w:pPr>
            <w:r w:rsidRPr="00C1603D">
              <w:rPr>
                <w:lang w:eastAsia="en-GB"/>
              </w:rPr>
              <w:t>535 (1.5)</w:t>
            </w:r>
          </w:p>
        </w:tc>
        <w:tc>
          <w:tcPr>
            <w:tcW w:w="0" w:type="auto"/>
            <w:shd w:val="clear" w:color="auto" w:fill="auto"/>
            <w:noWrap/>
          </w:tcPr>
          <w:p w14:paraId="26E37B01" w14:textId="465987E4" w:rsidR="002069F8" w:rsidRPr="00C1603D" w:rsidRDefault="002069F8" w:rsidP="002069F8">
            <w:pPr>
              <w:pStyle w:val="72TabletextTablesTableFigureBoxstyles"/>
              <w:rPr>
                <w:lang w:eastAsia="en-GB"/>
              </w:rPr>
            </w:pPr>
            <w:r w:rsidRPr="00C1603D">
              <w:rPr>
                <w:lang w:eastAsia="en-GB"/>
              </w:rPr>
              <w:t>94 (1.6)</w:t>
            </w:r>
          </w:p>
        </w:tc>
        <w:tc>
          <w:tcPr>
            <w:tcW w:w="0" w:type="auto"/>
            <w:vMerge w:val="restart"/>
            <w:shd w:val="clear" w:color="auto" w:fill="auto"/>
            <w:noWrap/>
          </w:tcPr>
          <w:p w14:paraId="7FF29FEA" w14:textId="77777777" w:rsidR="002069F8" w:rsidRPr="00C1603D" w:rsidRDefault="002069F8" w:rsidP="002069F8">
            <w:pPr>
              <w:pStyle w:val="72TabletextTablesTableFigureBoxstyles"/>
              <w:rPr>
                <w:lang w:eastAsia="en-GB"/>
              </w:rPr>
            </w:pPr>
            <w:r w:rsidRPr="00C1603D">
              <w:rPr>
                <w:lang w:eastAsia="en-GB"/>
              </w:rPr>
              <w:t>0.022</w:t>
            </w:r>
          </w:p>
        </w:tc>
        <w:tc>
          <w:tcPr>
            <w:tcW w:w="0" w:type="auto"/>
            <w:shd w:val="clear" w:color="auto" w:fill="auto"/>
            <w:noWrap/>
          </w:tcPr>
          <w:p w14:paraId="19EDC9F3" w14:textId="73BF0134" w:rsidR="002069F8" w:rsidRPr="00C1603D" w:rsidRDefault="002069F8" w:rsidP="002069F8">
            <w:pPr>
              <w:pStyle w:val="72TabletextTablesTableFigureBoxstyles"/>
              <w:rPr>
                <w:lang w:eastAsia="en-GB"/>
              </w:rPr>
            </w:pPr>
            <w:r w:rsidRPr="00C1603D">
              <w:rPr>
                <w:lang w:eastAsia="en-GB"/>
              </w:rPr>
              <w:t>629 (1.5)</w:t>
            </w:r>
          </w:p>
        </w:tc>
        <w:tc>
          <w:tcPr>
            <w:tcW w:w="0" w:type="auto"/>
            <w:shd w:val="clear" w:color="auto" w:fill="auto"/>
            <w:noWrap/>
          </w:tcPr>
          <w:p w14:paraId="52691F28" w14:textId="019E1DC2" w:rsidR="002069F8" w:rsidRPr="00C1603D" w:rsidRDefault="002069F8" w:rsidP="002069F8">
            <w:pPr>
              <w:pStyle w:val="72TabletextTablesTableFigureBoxstyles"/>
              <w:rPr>
                <w:lang w:eastAsia="en-GB"/>
              </w:rPr>
            </w:pPr>
            <w:r w:rsidRPr="00C1603D">
              <w:rPr>
                <w:lang w:eastAsia="en-GB"/>
              </w:rPr>
              <w:t>976 (1.3)</w:t>
            </w:r>
          </w:p>
        </w:tc>
        <w:tc>
          <w:tcPr>
            <w:tcW w:w="0" w:type="auto"/>
            <w:shd w:val="clear" w:color="auto" w:fill="auto"/>
            <w:noWrap/>
          </w:tcPr>
          <w:p w14:paraId="25DD1DFF" w14:textId="29E84450" w:rsidR="002069F8" w:rsidRPr="00C1603D" w:rsidRDefault="002069F8" w:rsidP="002069F8">
            <w:pPr>
              <w:pStyle w:val="72TabletextTablesTableFigureBoxstyles"/>
              <w:rPr>
                <w:lang w:eastAsia="en-GB"/>
              </w:rPr>
            </w:pPr>
            <w:r w:rsidRPr="00C1603D">
              <w:rPr>
                <w:lang w:eastAsia="en-GB"/>
              </w:rPr>
              <w:t>155 (1.3)</w:t>
            </w:r>
          </w:p>
        </w:tc>
        <w:tc>
          <w:tcPr>
            <w:tcW w:w="0" w:type="auto"/>
            <w:vMerge w:val="restart"/>
            <w:shd w:val="clear" w:color="auto" w:fill="auto"/>
            <w:noWrap/>
          </w:tcPr>
          <w:p w14:paraId="2ED478A9"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825A7A3" w14:textId="4E918AAD" w:rsidR="002069F8" w:rsidRPr="00C1603D" w:rsidRDefault="002069F8" w:rsidP="002069F8">
            <w:pPr>
              <w:pStyle w:val="72TabletextTablesTableFigureBoxstyles"/>
              <w:rPr>
                <w:lang w:eastAsia="en-GB"/>
              </w:rPr>
            </w:pPr>
            <w:r w:rsidRPr="00C1603D">
              <w:rPr>
                <w:lang w:eastAsia="en-GB"/>
              </w:rPr>
              <w:t>1131 (1.3)</w:t>
            </w:r>
          </w:p>
        </w:tc>
      </w:tr>
      <w:tr w:rsidR="002069F8" w:rsidRPr="00C1603D" w14:paraId="4B287DB3" w14:textId="77777777" w:rsidTr="0044057F">
        <w:trPr>
          <w:cantSplit/>
        </w:trPr>
        <w:tc>
          <w:tcPr>
            <w:tcW w:w="0" w:type="auto"/>
            <w:shd w:val="clear" w:color="auto" w:fill="auto"/>
            <w:noWrap/>
          </w:tcPr>
          <w:p w14:paraId="6B38522B" w14:textId="3A73AB55" w:rsidR="002069F8" w:rsidRPr="00C1603D" w:rsidRDefault="002069F8" w:rsidP="002069F8">
            <w:pPr>
              <w:pStyle w:val="72TabletextTablesTableFigureBoxstyles"/>
              <w:rPr>
                <w:lang w:eastAsia="en-GB"/>
              </w:rPr>
            </w:pPr>
            <w:r w:rsidRPr="00C1603D">
              <w:rPr>
                <w:lang w:eastAsia="en-GB"/>
              </w:rPr>
              <w:tab/>
              <w:t>White</w:t>
            </w:r>
          </w:p>
        </w:tc>
        <w:tc>
          <w:tcPr>
            <w:tcW w:w="0" w:type="auto"/>
            <w:shd w:val="clear" w:color="auto" w:fill="auto"/>
            <w:noWrap/>
          </w:tcPr>
          <w:p w14:paraId="6AB535AD" w14:textId="35500FD9" w:rsidR="002069F8" w:rsidRPr="00C1603D" w:rsidRDefault="002069F8" w:rsidP="002069F8">
            <w:pPr>
              <w:pStyle w:val="72TabletextTablesTableFigureBoxstyles"/>
              <w:rPr>
                <w:lang w:eastAsia="en-GB"/>
              </w:rPr>
            </w:pPr>
            <w:r w:rsidRPr="00C1603D">
              <w:rPr>
                <w:lang w:eastAsia="en-GB"/>
              </w:rPr>
              <w:t>10,083 (28.6)</w:t>
            </w:r>
          </w:p>
        </w:tc>
        <w:tc>
          <w:tcPr>
            <w:tcW w:w="0" w:type="auto"/>
            <w:shd w:val="clear" w:color="auto" w:fill="auto"/>
            <w:noWrap/>
          </w:tcPr>
          <w:p w14:paraId="44D92A01" w14:textId="55E625C2" w:rsidR="002069F8" w:rsidRPr="00C1603D" w:rsidRDefault="002069F8" w:rsidP="002069F8">
            <w:pPr>
              <w:pStyle w:val="72TabletextTablesTableFigureBoxstyles"/>
              <w:rPr>
                <w:lang w:eastAsia="en-GB"/>
              </w:rPr>
            </w:pPr>
            <w:r w:rsidRPr="00C1603D">
              <w:rPr>
                <w:lang w:eastAsia="en-GB"/>
              </w:rPr>
              <w:t>2315 (38.4)</w:t>
            </w:r>
          </w:p>
        </w:tc>
        <w:tc>
          <w:tcPr>
            <w:tcW w:w="0" w:type="auto"/>
            <w:vMerge/>
            <w:noWrap/>
          </w:tcPr>
          <w:p w14:paraId="5A2D4160" w14:textId="706B84BB" w:rsidR="002069F8" w:rsidRPr="00C1603D" w:rsidRDefault="002069F8" w:rsidP="002069F8">
            <w:pPr>
              <w:pStyle w:val="72TabletextTablesTableFigureBoxstyles"/>
              <w:rPr>
                <w:lang w:eastAsia="en-GB"/>
              </w:rPr>
            </w:pPr>
          </w:p>
        </w:tc>
        <w:tc>
          <w:tcPr>
            <w:tcW w:w="0" w:type="auto"/>
            <w:shd w:val="clear" w:color="auto" w:fill="auto"/>
            <w:noWrap/>
          </w:tcPr>
          <w:p w14:paraId="1531F7FD" w14:textId="5E3F8842" w:rsidR="002069F8" w:rsidRPr="00C1603D" w:rsidRDefault="002069F8" w:rsidP="002069F8">
            <w:pPr>
              <w:pStyle w:val="72TabletextTablesTableFigureBoxstyles"/>
              <w:rPr>
                <w:lang w:eastAsia="en-GB"/>
              </w:rPr>
            </w:pPr>
            <w:r w:rsidRPr="00C1603D">
              <w:rPr>
                <w:lang w:eastAsia="en-GB"/>
              </w:rPr>
              <w:t>12,398 (30.0)</w:t>
            </w:r>
          </w:p>
        </w:tc>
        <w:tc>
          <w:tcPr>
            <w:tcW w:w="0" w:type="auto"/>
            <w:shd w:val="clear" w:color="auto" w:fill="auto"/>
            <w:noWrap/>
          </w:tcPr>
          <w:p w14:paraId="39035EE8" w14:textId="29EC6C41" w:rsidR="002069F8" w:rsidRPr="00C1603D" w:rsidRDefault="002069F8" w:rsidP="002069F8">
            <w:pPr>
              <w:pStyle w:val="72TabletextTablesTableFigureBoxstyles"/>
              <w:rPr>
                <w:lang w:eastAsia="en-GB"/>
              </w:rPr>
            </w:pPr>
            <w:r w:rsidRPr="00C1603D">
              <w:rPr>
                <w:lang w:eastAsia="en-GB"/>
              </w:rPr>
              <w:t>8967 (11.7)</w:t>
            </w:r>
          </w:p>
        </w:tc>
        <w:tc>
          <w:tcPr>
            <w:tcW w:w="0" w:type="auto"/>
            <w:shd w:val="clear" w:color="auto" w:fill="auto"/>
            <w:noWrap/>
          </w:tcPr>
          <w:p w14:paraId="515CB462" w14:textId="6E01B361" w:rsidR="002069F8" w:rsidRPr="00C1603D" w:rsidRDefault="002069F8" w:rsidP="002069F8">
            <w:pPr>
              <w:pStyle w:val="72TabletextTablesTableFigureBoxstyles"/>
              <w:rPr>
                <w:lang w:eastAsia="en-GB"/>
              </w:rPr>
            </w:pPr>
            <w:r w:rsidRPr="00C1603D">
              <w:rPr>
                <w:lang w:eastAsia="en-GB"/>
              </w:rPr>
              <w:t>2100 (17.0)</w:t>
            </w:r>
          </w:p>
        </w:tc>
        <w:tc>
          <w:tcPr>
            <w:tcW w:w="0" w:type="auto"/>
            <w:vMerge/>
            <w:noWrap/>
          </w:tcPr>
          <w:p w14:paraId="6C810617" w14:textId="2CC80FFC" w:rsidR="002069F8" w:rsidRPr="00C1603D" w:rsidRDefault="002069F8" w:rsidP="002069F8">
            <w:pPr>
              <w:pStyle w:val="72TabletextTablesTableFigureBoxstyles"/>
              <w:rPr>
                <w:lang w:eastAsia="en-GB"/>
              </w:rPr>
            </w:pPr>
          </w:p>
        </w:tc>
        <w:tc>
          <w:tcPr>
            <w:tcW w:w="0" w:type="auto"/>
            <w:shd w:val="clear" w:color="auto" w:fill="auto"/>
            <w:noWrap/>
          </w:tcPr>
          <w:p w14:paraId="2CD38F2D" w14:textId="79C93E55" w:rsidR="002069F8" w:rsidRPr="00C1603D" w:rsidRDefault="002069F8" w:rsidP="002069F8">
            <w:pPr>
              <w:pStyle w:val="72TabletextTablesTableFigureBoxstyles"/>
              <w:rPr>
                <w:lang w:eastAsia="en-GB"/>
              </w:rPr>
            </w:pPr>
            <w:r w:rsidRPr="00C1603D">
              <w:rPr>
                <w:lang w:eastAsia="en-GB"/>
              </w:rPr>
              <w:t>11,067 (12.4)</w:t>
            </w:r>
          </w:p>
        </w:tc>
      </w:tr>
      <w:tr w:rsidR="002069F8" w:rsidRPr="00C1603D" w14:paraId="4A1E733B" w14:textId="77777777" w:rsidTr="0044057F">
        <w:trPr>
          <w:cantSplit/>
        </w:trPr>
        <w:tc>
          <w:tcPr>
            <w:tcW w:w="0" w:type="auto"/>
            <w:shd w:val="clear" w:color="auto" w:fill="auto"/>
            <w:noWrap/>
          </w:tcPr>
          <w:p w14:paraId="6B6B1963" w14:textId="0280B08D" w:rsidR="002069F8" w:rsidRPr="00C1603D" w:rsidRDefault="002069F8" w:rsidP="002069F8">
            <w:pPr>
              <w:pStyle w:val="72TabletextTablesTableFigureBoxstyles"/>
              <w:rPr>
                <w:lang w:eastAsia="en-GB"/>
              </w:rPr>
            </w:pPr>
            <w:r w:rsidRPr="00C1603D">
              <w:rPr>
                <w:lang w:eastAsia="en-GB"/>
              </w:rPr>
              <w:tab/>
              <w:t>Missing</w:t>
            </w:r>
          </w:p>
        </w:tc>
        <w:tc>
          <w:tcPr>
            <w:tcW w:w="0" w:type="auto"/>
            <w:shd w:val="clear" w:color="auto" w:fill="auto"/>
            <w:noWrap/>
          </w:tcPr>
          <w:p w14:paraId="06B9D13F" w14:textId="5B7CCFDF" w:rsidR="002069F8" w:rsidRPr="00C1603D" w:rsidRDefault="002069F8" w:rsidP="002069F8">
            <w:pPr>
              <w:pStyle w:val="72TabletextTablesTableFigureBoxstyles"/>
              <w:rPr>
                <w:lang w:eastAsia="en-GB"/>
              </w:rPr>
            </w:pPr>
            <w:r w:rsidRPr="00C1603D">
              <w:rPr>
                <w:lang w:eastAsia="en-GB"/>
              </w:rPr>
              <w:t>24,646 (69.9)</w:t>
            </w:r>
          </w:p>
        </w:tc>
        <w:tc>
          <w:tcPr>
            <w:tcW w:w="0" w:type="auto"/>
            <w:shd w:val="clear" w:color="auto" w:fill="auto"/>
            <w:noWrap/>
          </w:tcPr>
          <w:p w14:paraId="219D0F1E" w14:textId="1E74A5D3" w:rsidR="002069F8" w:rsidRPr="00C1603D" w:rsidRDefault="002069F8" w:rsidP="002069F8">
            <w:pPr>
              <w:pStyle w:val="72TabletextTablesTableFigureBoxstyles"/>
              <w:rPr>
                <w:lang w:eastAsia="en-GB"/>
              </w:rPr>
            </w:pPr>
            <w:r w:rsidRPr="00C1603D">
              <w:rPr>
                <w:lang w:eastAsia="en-GB"/>
              </w:rPr>
              <w:t>3626 (60.1)</w:t>
            </w:r>
          </w:p>
        </w:tc>
        <w:tc>
          <w:tcPr>
            <w:tcW w:w="0" w:type="auto"/>
            <w:vMerge/>
            <w:noWrap/>
          </w:tcPr>
          <w:p w14:paraId="2159B257" w14:textId="67CFDFC2" w:rsidR="002069F8" w:rsidRPr="00C1603D" w:rsidRDefault="002069F8" w:rsidP="002069F8">
            <w:pPr>
              <w:pStyle w:val="72TabletextTablesTableFigureBoxstyles"/>
              <w:rPr>
                <w:lang w:eastAsia="en-GB"/>
              </w:rPr>
            </w:pPr>
          </w:p>
        </w:tc>
        <w:tc>
          <w:tcPr>
            <w:tcW w:w="0" w:type="auto"/>
            <w:shd w:val="clear" w:color="auto" w:fill="auto"/>
            <w:noWrap/>
          </w:tcPr>
          <w:p w14:paraId="091B6F2D" w14:textId="465B3B8B" w:rsidR="002069F8" w:rsidRPr="00C1603D" w:rsidRDefault="002069F8" w:rsidP="002069F8">
            <w:pPr>
              <w:pStyle w:val="72TabletextTablesTableFigureBoxstyles"/>
              <w:rPr>
                <w:lang w:eastAsia="en-GB"/>
              </w:rPr>
            </w:pPr>
            <w:r w:rsidRPr="00C1603D">
              <w:rPr>
                <w:lang w:eastAsia="en-GB"/>
              </w:rPr>
              <w:t>28,272 (68.5)</w:t>
            </w:r>
          </w:p>
        </w:tc>
        <w:tc>
          <w:tcPr>
            <w:tcW w:w="0" w:type="auto"/>
            <w:shd w:val="clear" w:color="auto" w:fill="auto"/>
            <w:noWrap/>
          </w:tcPr>
          <w:p w14:paraId="7C84D455" w14:textId="35082F18" w:rsidR="002069F8" w:rsidRPr="00C1603D" w:rsidRDefault="002069F8" w:rsidP="002069F8">
            <w:pPr>
              <w:pStyle w:val="72TabletextTablesTableFigureBoxstyles"/>
              <w:rPr>
                <w:lang w:eastAsia="en-GB"/>
              </w:rPr>
            </w:pPr>
            <w:r w:rsidRPr="00C1603D">
              <w:rPr>
                <w:lang w:eastAsia="en-GB"/>
              </w:rPr>
              <w:t>66,832 (87.0)</w:t>
            </w:r>
          </w:p>
        </w:tc>
        <w:tc>
          <w:tcPr>
            <w:tcW w:w="0" w:type="auto"/>
            <w:shd w:val="clear" w:color="auto" w:fill="auto"/>
            <w:noWrap/>
          </w:tcPr>
          <w:p w14:paraId="0ED2A98F" w14:textId="16037F44" w:rsidR="002069F8" w:rsidRPr="00C1603D" w:rsidRDefault="002069F8" w:rsidP="002069F8">
            <w:pPr>
              <w:pStyle w:val="72TabletextTablesTableFigureBoxstyles"/>
              <w:rPr>
                <w:lang w:eastAsia="en-GB"/>
              </w:rPr>
            </w:pPr>
            <w:r w:rsidRPr="00C1603D">
              <w:rPr>
                <w:lang w:eastAsia="en-GB"/>
              </w:rPr>
              <w:t>10,130 (81.8)</w:t>
            </w:r>
          </w:p>
        </w:tc>
        <w:tc>
          <w:tcPr>
            <w:tcW w:w="0" w:type="auto"/>
            <w:vMerge/>
            <w:noWrap/>
          </w:tcPr>
          <w:p w14:paraId="42BF7CFC" w14:textId="121A0FB7" w:rsidR="002069F8" w:rsidRPr="00C1603D" w:rsidRDefault="002069F8" w:rsidP="002069F8">
            <w:pPr>
              <w:pStyle w:val="72TabletextTablesTableFigureBoxstyles"/>
              <w:rPr>
                <w:lang w:eastAsia="en-GB"/>
              </w:rPr>
            </w:pPr>
          </w:p>
        </w:tc>
        <w:tc>
          <w:tcPr>
            <w:tcW w:w="0" w:type="auto"/>
            <w:shd w:val="clear" w:color="auto" w:fill="auto"/>
            <w:noWrap/>
          </w:tcPr>
          <w:p w14:paraId="472AA590" w14:textId="1F361B7D" w:rsidR="002069F8" w:rsidRPr="00C1603D" w:rsidRDefault="002069F8" w:rsidP="002069F8">
            <w:pPr>
              <w:pStyle w:val="72TabletextTablesTableFigureBoxstyles"/>
              <w:rPr>
                <w:lang w:eastAsia="en-GB"/>
              </w:rPr>
            </w:pPr>
            <w:r w:rsidRPr="00C1603D">
              <w:rPr>
                <w:lang w:eastAsia="en-GB"/>
              </w:rPr>
              <w:t>76,962 (86.3)</w:t>
            </w:r>
          </w:p>
        </w:tc>
      </w:tr>
      <w:tr w:rsidR="002069F8" w:rsidRPr="00C1603D" w14:paraId="26BCE832" w14:textId="77777777" w:rsidTr="0044057F">
        <w:trPr>
          <w:cantSplit/>
        </w:trPr>
        <w:tc>
          <w:tcPr>
            <w:tcW w:w="0" w:type="auto"/>
            <w:gridSpan w:val="9"/>
            <w:shd w:val="clear" w:color="auto" w:fill="auto"/>
            <w:noWrap/>
          </w:tcPr>
          <w:p w14:paraId="0D378A2F" w14:textId="388A3673" w:rsidR="002069F8" w:rsidRPr="00C1603D" w:rsidRDefault="002069F8" w:rsidP="002069F8">
            <w:pPr>
              <w:pStyle w:val="72TabletextTablesTableFigureBoxstyles"/>
              <w:rPr>
                <w:lang w:eastAsia="en-GB"/>
              </w:rPr>
            </w:pPr>
            <w:r w:rsidRPr="00C1603D">
              <w:rPr>
                <w:lang w:eastAsia="en-GB"/>
              </w:rPr>
              <w:t xml:space="preserve">Deprivation (IMD 2015 quintiles) , </w:t>
            </w:r>
            <w:r w:rsidRPr="00C1603D">
              <w:rPr>
                <w:i/>
                <w:lang w:eastAsia="en-GB"/>
              </w:rPr>
              <w:t>n</w:t>
            </w:r>
            <w:r w:rsidRPr="00C1603D">
              <w:rPr>
                <w:lang w:eastAsia="en-GB"/>
              </w:rPr>
              <w:t xml:space="preserve"> (%)</w:t>
            </w:r>
          </w:p>
        </w:tc>
      </w:tr>
      <w:tr w:rsidR="002069F8" w:rsidRPr="00C1603D" w14:paraId="49D9E157" w14:textId="77777777" w:rsidTr="0044057F">
        <w:trPr>
          <w:cantSplit/>
        </w:trPr>
        <w:tc>
          <w:tcPr>
            <w:tcW w:w="0" w:type="auto"/>
            <w:shd w:val="clear" w:color="auto" w:fill="auto"/>
            <w:noWrap/>
          </w:tcPr>
          <w:p w14:paraId="382485B4" w14:textId="2957AA41" w:rsidR="002069F8" w:rsidRPr="00C1603D" w:rsidRDefault="002069F8" w:rsidP="002069F8">
            <w:pPr>
              <w:pStyle w:val="72TabletextTablesTableFigureBoxstyles"/>
              <w:rPr>
                <w:lang w:eastAsia="en-GB"/>
              </w:rPr>
            </w:pPr>
            <w:r w:rsidRPr="00C1603D">
              <w:rPr>
                <w:lang w:eastAsia="en-GB"/>
              </w:rPr>
              <w:tab/>
              <w:t>1</w:t>
            </w:r>
          </w:p>
        </w:tc>
        <w:tc>
          <w:tcPr>
            <w:tcW w:w="0" w:type="auto"/>
            <w:shd w:val="clear" w:color="auto" w:fill="auto"/>
            <w:noWrap/>
          </w:tcPr>
          <w:p w14:paraId="6C2A256D" w14:textId="4BC74983" w:rsidR="002069F8" w:rsidRPr="00C1603D" w:rsidRDefault="002069F8" w:rsidP="002069F8">
            <w:pPr>
              <w:pStyle w:val="72TabletextTablesTableFigureBoxstyles"/>
              <w:rPr>
                <w:lang w:eastAsia="en-GB"/>
              </w:rPr>
            </w:pPr>
            <w:r w:rsidRPr="00C1603D">
              <w:rPr>
                <w:lang w:eastAsia="en-GB"/>
              </w:rPr>
              <w:t>2563 (7.3)</w:t>
            </w:r>
          </w:p>
        </w:tc>
        <w:tc>
          <w:tcPr>
            <w:tcW w:w="0" w:type="auto"/>
            <w:shd w:val="clear" w:color="auto" w:fill="auto"/>
            <w:noWrap/>
          </w:tcPr>
          <w:p w14:paraId="27EABB0A" w14:textId="375BFE1B" w:rsidR="002069F8" w:rsidRPr="00C1603D" w:rsidRDefault="002069F8" w:rsidP="002069F8">
            <w:pPr>
              <w:pStyle w:val="72TabletextTablesTableFigureBoxstyles"/>
              <w:rPr>
                <w:lang w:eastAsia="en-GB"/>
              </w:rPr>
            </w:pPr>
            <w:r w:rsidRPr="00C1603D">
              <w:rPr>
                <w:lang w:eastAsia="en-GB"/>
              </w:rPr>
              <w:t>624 (10.3)</w:t>
            </w:r>
          </w:p>
        </w:tc>
        <w:tc>
          <w:tcPr>
            <w:tcW w:w="0" w:type="auto"/>
            <w:vMerge w:val="restart"/>
            <w:shd w:val="clear" w:color="auto" w:fill="auto"/>
            <w:noWrap/>
          </w:tcPr>
          <w:p w14:paraId="73162C99" w14:textId="77777777" w:rsidR="002069F8" w:rsidRPr="00C1603D" w:rsidRDefault="002069F8" w:rsidP="002069F8">
            <w:pPr>
              <w:pStyle w:val="72TabletextTablesTableFigureBoxstyles"/>
              <w:rPr>
                <w:lang w:eastAsia="en-GB"/>
              </w:rPr>
            </w:pPr>
            <w:r w:rsidRPr="00C1603D">
              <w:rPr>
                <w:lang w:eastAsia="en-GB"/>
              </w:rPr>
              <w:t>0.005</w:t>
            </w:r>
          </w:p>
        </w:tc>
        <w:tc>
          <w:tcPr>
            <w:tcW w:w="0" w:type="auto"/>
            <w:shd w:val="clear" w:color="auto" w:fill="auto"/>
            <w:noWrap/>
          </w:tcPr>
          <w:p w14:paraId="34B9CBBD" w14:textId="5F3031A4" w:rsidR="002069F8" w:rsidRPr="00C1603D" w:rsidRDefault="002069F8" w:rsidP="002069F8">
            <w:pPr>
              <w:pStyle w:val="72TabletextTablesTableFigureBoxstyles"/>
              <w:rPr>
                <w:lang w:eastAsia="en-GB"/>
              </w:rPr>
            </w:pPr>
            <w:r w:rsidRPr="00C1603D">
              <w:rPr>
                <w:lang w:eastAsia="en-GB"/>
              </w:rPr>
              <w:t>3187 (7.7)</w:t>
            </w:r>
          </w:p>
        </w:tc>
        <w:tc>
          <w:tcPr>
            <w:tcW w:w="0" w:type="auto"/>
            <w:shd w:val="clear" w:color="auto" w:fill="auto"/>
            <w:noWrap/>
          </w:tcPr>
          <w:p w14:paraId="56C9E9B3" w14:textId="56ED46A1" w:rsidR="002069F8" w:rsidRPr="00C1603D" w:rsidRDefault="002069F8" w:rsidP="002069F8">
            <w:pPr>
              <w:pStyle w:val="72TabletextTablesTableFigureBoxstyles"/>
              <w:rPr>
                <w:lang w:eastAsia="en-GB"/>
              </w:rPr>
            </w:pPr>
            <w:r w:rsidRPr="00C1603D">
              <w:rPr>
                <w:lang w:eastAsia="en-GB"/>
              </w:rPr>
              <w:t>4205 (5.5)</w:t>
            </w:r>
          </w:p>
        </w:tc>
        <w:tc>
          <w:tcPr>
            <w:tcW w:w="0" w:type="auto"/>
            <w:shd w:val="clear" w:color="auto" w:fill="auto"/>
            <w:noWrap/>
          </w:tcPr>
          <w:p w14:paraId="1B176247" w14:textId="67BB7776" w:rsidR="002069F8" w:rsidRPr="00C1603D" w:rsidRDefault="002069F8" w:rsidP="002069F8">
            <w:pPr>
              <w:pStyle w:val="72TabletextTablesTableFigureBoxstyles"/>
              <w:rPr>
                <w:lang w:eastAsia="en-GB"/>
              </w:rPr>
            </w:pPr>
            <w:r w:rsidRPr="00C1603D">
              <w:rPr>
                <w:lang w:eastAsia="en-GB"/>
              </w:rPr>
              <w:t>682 (5.5)</w:t>
            </w:r>
          </w:p>
        </w:tc>
        <w:tc>
          <w:tcPr>
            <w:tcW w:w="0" w:type="auto"/>
            <w:vMerge w:val="restart"/>
            <w:shd w:val="clear" w:color="auto" w:fill="auto"/>
            <w:noWrap/>
          </w:tcPr>
          <w:p w14:paraId="6B2206FF" w14:textId="77777777" w:rsidR="002069F8" w:rsidRPr="00C1603D" w:rsidRDefault="002069F8" w:rsidP="002069F8">
            <w:pPr>
              <w:pStyle w:val="72TabletextTablesTableFigureBoxstyles"/>
              <w:rPr>
                <w:lang w:eastAsia="en-GB"/>
              </w:rPr>
            </w:pPr>
            <w:r w:rsidRPr="00C1603D">
              <w:rPr>
                <w:lang w:eastAsia="en-GB"/>
              </w:rPr>
              <w:t>0.55</w:t>
            </w:r>
          </w:p>
        </w:tc>
        <w:tc>
          <w:tcPr>
            <w:tcW w:w="0" w:type="auto"/>
            <w:shd w:val="clear" w:color="auto" w:fill="auto"/>
            <w:noWrap/>
          </w:tcPr>
          <w:p w14:paraId="1373503D" w14:textId="1DE2D611" w:rsidR="002069F8" w:rsidRPr="00C1603D" w:rsidRDefault="002069F8" w:rsidP="002069F8">
            <w:pPr>
              <w:pStyle w:val="72TabletextTablesTableFigureBoxstyles"/>
              <w:rPr>
                <w:lang w:eastAsia="en-GB"/>
              </w:rPr>
            </w:pPr>
            <w:r w:rsidRPr="00C1603D">
              <w:rPr>
                <w:lang w:eastAsia="en-GB"/>
              </w:rPr>
              <w:t>4887 (5.5)</w:t>
            </w:r>
          </w:p>
        </w:tc>
      </w:tr>
      <w:tr w:rsidR="002069F8" w:rsidRPr="00C1603D" w14:paraId="7DD8EB73" w14:textId="77777777" w:rsidTr="0044057F">
        <w:trPr>
          <w:cantSplit/>
        </w:trPr>
        <w:tc>
          <w:tcPr>
            <w:tcW w:w="0" w:type="auto"/>
            <w:shd w:val="clear" w:color="auto" w:fill="auto"/>
            <w:noWrap/>
          </w:tcPr>
          <w:p w14:paraId="46A6B4C0" w14:textId="232B363D" w:rsidR="002069F8" w:rsidRPr="00C1603D" w:rsidRDefault="002069F8" w:rsidP="002069F8">
            <w:pPr>
              <w:pStyle w:val="72TabletextTablesTableFigureBoxstyles"/>
              <w:rPr>
                <w:lang w:eastAsia="en-GB"/>
              </w:rPr>
            </w:pPr>
            <w:r w:rsidRPr="00C1603D">
              <w:rPr>
                <w:lang w:eastAsia="en-GB"/>
              </w:rPr>
              <w:tab/>
              <w:t>2</w:t>
            </w:r>
          </w:p>
        </w:tc>
        <w:tc>
          <w:tcPr>
            <w:tcW w:w="0" w:type="auto"/>
            <w:shd w:val="clear" w:color="auto" w:fill="auto"/>
            <w:noWrap/>
          </w:tcPr>
          <w:p w14:paraId="0471040B" w14:textId="223B08BE" w:rsidR="002069F8" w:rsidRPr="00C1603D" w:rsidRDefault="002069F8" w:rsidP="002069F8">
            <w:pPr>
              <w:pStyle w:val="72TabletextTablesTableFigureBoxstyles"/>
              <w:rPr>
                <w:lang w:eastAsia="en-GB"/>
              </w:rPr>
            </w:pPr>
            <w:r w:rsidRPr="00C1603D">
              <w:rPr>
                <w:lang w:eastAsia="en-GB"/>
              </w:rPr>
              <w:t>2389 (6.8)</w:t>
            </w:r>
          </w:p>
        </w:tc>
        <w:tc>
          <w:tcPr>
            <w:tcW w:w="0" w:type="auto"/>
            <w:shd w:val="clear" w:color="auto" w:fill="auto"/>
            <w:noWrap/>
          </w:tcPr>
          <w:p w14:paraId="7EB4C8BF" w14:textId="4DCB2E33" w:rsidR="002069F8" w:rsidRPr="00C1603D" w:rsidRDefault="002069F8" w:rsidP="002069F8">
            <w:pPr>
              <w:pStyle w:val="72TabletextTablesTableFigureBoxstyles"/>
              <w:rPr>
                <w:lang w:eastAsia="en-GB"/>
              </w:rPr>
            </w:pPr>
            <w:r w:rsidRPr="00C1603D">
              <w:rPr>
                <w:lang w:eastAsia="en-GB"/>
              </w:rPr>
              <w:t>597 (9.9)</w:t>
            </w:r>
          </w:p>
        </w:tc>
        <w:tc>
          <w:tcPr>
            <w:tcW w:w="0" w:type="auto"/>
            <w:vMerge/>
            <w:noWrap/>
          </w:tcPr>
          <w:p w14:paraId="788654C6" w14:textId="17482DBF" w:rsidR="002069F8" w:rsidRPr="00C1603D" w:rsidRDefault="002069F8" w:rsidP="002069F8">
            <w:pPr>
              <w:pStyle w:val="72TabletextTablesTableFigureBoxstyles"/>
              <w:rPr>
                <w:lang w:eastAsia="en-GB"/>
              </w:rPr>
            </w:pPr>
          </w:p>
        </w:tc>
        <w:tc>
          <w:tcPr>
            <w:tcW w:w="0" w:type="auto"/>
            <w:shd w:val="clear" w:color="auto" w:fill="auto"/>
            <w:noWrap/>
          </w:tcPr>
          <w:p w14:paraId="546F26D7" w14:textId="06B837D1" w:rsidR="002069F8" w:rsidRPr="00C1603D" w:rsidRDefault="002069F8" w:rsidP="002069F8">
            <w:pPr>
              <w:pStyle w:val="72TabletextTablesTableFigureBoxstyles"/>
              <w:rPr>
                <w:lang w:eastAsia="en-GB"/>
              </w:rPr>
            </w:pPr>
            <w:r w:rsidRPr="00C1603D">
              <w:rPr>
                <w:lang w:eastAsia="en-GB"/>
              </w:rPr>
              <w:t>2986 (7.2)</w:t>
            </w:r>
          </w:p>
        </w:tc>
        <w:tc>
          <w:tcPr>
            <w:tcW w:w="0" w:type="auto"/>
            <w:shd w:val="clear" w:color="auto" w:fill="auto"/>
            <w:noWrap/>
          </w:tcPr>
          <w:p w14:paraId="4731EA22" w14:textId="644205DF" w:rsidR="002069F8" w:rsidRPr="00C1603D" w:rsidRDefault="002069F8" w:rsidP="002069F8">
            <w:pPr>
              <w:pStyle w:val="72TabletextTablesTableFigureBoxstyles"/>
              <w:rPr>
                <w:lang w:eastAsia="en-GB"/>
              </w:rPr>
            </w:pPr>
            <w:r w:rsidRPr="00C1603D">
              <w:rPr>
                <w:lang w:eastAsia="en-GB"/>
              </w:rPr>
              <w:t>3745 (4.9)</w:t>
            </w:r>
          </w:p>
        </w:tc>
        <w:tc>
          <w:tcPr>
            <w:tcW w:w="0" w:type="auto"/>
            <w:shd w:val="clear" w:color="auto" w:fill="auto"/>
            <w:noWrap/>
          </w:tcPr>
          <w:p w14:paraId="60F006FF" w14:textId="53E817A6" w:rsidR="002069F8" w:rsidRPr="00C1603D" w:rsidRDefault="002069F8" w:rsidP="002069F8">
            <w:pPr>
              <w:pStyle w:val="72TabletextTablesTableFigureBoxstyles"/>
              <w:rPr>
                <w:lang w:eastAsia="en-GB"/>
              </w:rPr>
            </w:pPr>
            <w:r w:rsidRPr="00C1603D">
              <w:rPr>
                <w:lang w:eastAsia="en-GB"/>
              </w:rPr>
              <w:t>625 (5.0)</w:t>
            </w:r>
          </w:p>
        </w:tc>
        <w:tc>
          <w:tcPr>
            <w:tcW w:w="0" w:type="auto"/>
            <w:vMerge/>
            <w:noWrap/>
          </w:tcPr>
          <w:p w14:paraId="73494D02" w14:textId="16758D1E" w:rsidR="002069F8" w:rsidRPr="00C1603D" w:rsidRDefault="002069F8" w:rsidP="002069F8">
            <w:pPr>
              <w:pStyle w:val="72TabletextTablesTableFigureBoxstyles"/>
              <w:rPr>
                <w:lang w:eastAsia="en-GB"/>
              </w:rPr>
            </w:pPr>
          </w:p>
        </w:tc>
        <w:tc>
          <w:tcPr>
            <w:tcW w:w="0" w:type="auto"/>
            <w:shd w:val="clear" w:color="auto" w:fill="auto"/>
            <w:noWrap/>
          </w:tcPr>
          <w:p w14:paraId="5E1C46E7" w14:textId="09E01AC4" w:rsidR="002069F8" w:rsidRPr="00C1603D" w:rsidRDefault="002069F8" w:rsidP="002069F8">
            <w:pPr>
              <w:pStyle w:val="72TabletextTablesTableFigureBoxstyles"/>
              <w:rPr>
                <w:lang w:eastAsia="en-GB"/>
              </w:rPr>
            </w:pPr>
            <w:r w:rsidRPr="00C1603D">
              <w:rPr>
                <w:lang w:eastAsia="en-GB"/>
              </w:rPr>
              <w:t>4370 (4.9)</w:t>
            </w:r>
          </w:p>
        </w:tc>
      </w:tr>
      <w:tr w:rsidR="002069F8" w:rsidRPr="00C1603D" w14:paraId="49D8E578" w14:textId="77777777" w:rsidTr="0044057F">
        <w:trPr>
          <w:cantSplit/>
        </w:trPr>
        <w:tc>
          <w:tcPr>
            <w:tcW w:w="0" w:type="auto"/>
            <w:shd w:val="clear" w:color="auto" w:fill="auto"/>
            <w:noWrap/>
          </w:tcPr>
          <w:p w14:paraId="05CD8B53" w14:textId="4BCC8598" w:rsidR="002069F8" w:rsidRPr="00C1603D" w:rsidRDefault="002069F8" w:rsidP="002069F8">
            <w:pPr>
              <w:pStyle w:val="72TabletextTablesTableFigureBoxstyles"/>
              <w:rPr>
                <w:lang w:eastAsia="en-GB"/>
              </w:rPr>
            </w:pPr>
            <w:r w:rsidRPr="00C1603D">
              <w:rPr>
                <w:lang w:eastAsia="en-GB"/>
              </w:rPr>
              <w:tab/>
              <w:t>3</w:t>
            </w:r>
          </w:p>
        </w:tc>
        <w:tc>
          <w:tcPr>
            <w:tcW w:w="0" w:type="auto"/>
            <w:shd w:val="clear" w:color="auto" w:fill="auto"/>
            <w:noWrap/>
          </w:tcPr>
          <w:p w14:paraId="39669C09" w14:textId="756F9469" w:rsidR="002069F8" w:rsidRPr="00C1603D" w:rsidRDefault="002069F8" w:rsidP="002069F8">
            <w:pPr>
              <w:pStyle w:val="72TabletextTablesTableFigureBoxstyles"/>
              <w:rPr>
                <w:lang w:eastAsia="en-GB"/>
              </w:rPr>
            </w:pPr>
            <w:r w:rsidRPr="00C1603D">
              <w:rPr>
                <w:lang w:eastAsia="en-GB"/>
              </w:rPr>
              <w:t>2264 (6.4)</w:t>
            </w:r>
          </w:p>
        </w:tc>
        <w:tc>
          <w:tcPr>
            <w:tcW w:w="0" w:type="auto"/>
            <w:shd w:val="clear" w:color="auto" w:fill="auto"/>
            <w:noWrap/>
          </w:tcPr>
          <w:p w14:paraId="307CD78B" w14:textId="549D7DB9" w:rsidR="002069F8" w:rsidRPr="00C1603D" w:rsidRDefault="002069F8" w:rsidP="002069F8">
            <w:pPr>
              <w:pStyle w:val="72TabletextTablesTableFigureBoxstyles"/>
              <w:rPr>
                <w:lang w:eastAsia="en-GB"/>
              </w:rPr>
            </w:pPr>
            <w:r w:rsidRPr="00C1603D">
              <w:rPr>
                <w:lang w:eastAsia="en-GB"/>
              </w:rPr>
              <w:t>450 (7.5)</w:t>
            </w:r>
          </w:p>
        </w:tc>
        <w:tc>
          <w:tcPr>
            <w:tcW w:w="0" w:type="auto"/>
            <w:vMerge/>
            <w:noWrap/>
          </w:tcPr>
          <w:p w14:paraId="4065B3E8" w14:textId="470FAA70" w:rsidR="002069F8" w:rsidRPr="00C1603D" w:rsidRDefault="002069F8" w:rsidP="002069F8">
            <w:pPr>
              <w:pStyle w:val="72TabletextTablesTableFigureBoxstyles"/>
              <w:rPr>
                <w:lang w:eastAsia="en-GB"/>
              </w:rPr>
            </w:pPr>
          </w:p>
        </w:tc>
        <w:tc>
          <w:tcPr>
            <w:tcW w:w="0" w:type="auto"/>
            <w:shd w:val="clear" w:color="auto" w:fill="auto"/>
            <w:noWrap/>
          </w:tcPr>
          <w:p w14:paraId="18B39EE7" w14:textId="38ED0C88" w:rsidR="002069F8" w:rsidRPr="00C1603D" w:rsidRDefault="002069F8" w:rsidP="002069F8">
            <w:pPr>
              <w:pStyle w:val="72TabletextTablesTableFigureBoxstyles"/>
              <w:rPr>
                <w:lang w:eastAsia="en-GB"/>
              </w:rPr>
            </w:pPr>
            <w:r w:rsidRPr="00C1603D">
              <w:rPr>
                <w:lang w:eastAsia="en-GB"/>
              </w:rPr>
              <w:t>2714 (6.6)</w:t>
            </w:r>
          </w:p>
        </w:tc>
        <w:tc>
          <w:tcPr>
            <w:tcW w:w="0" w:type="auto"/>
            <w:shd w:val="clear" w:color="auto" w:fill="auto"/>
            <w:noWrap/>
          </w:tcPr>
          <w:p w14:paraId="3DE3D2AB" w14:textId="79068D94" w:rsidR="002069F8" w:rsidRPr="00C1603D" w:rsidRDefault="002069F8" w:rsidP="002069F8">
            <w:pPr>
              <w:pStyle w:val="72TabletextTablesTableFigureBoxstyles"/>
              <w:rPr>
                <w:lang w:eastAsia="en-GB"/>
              </w:rPr>
            </w:pPr>
            <w:r w:rsidRPr="00C1603D">
              <w:rPr>
                <w:lang w:eastAsia="en-GB"/>
              </w:rPr>
              <w:t>3038 (4.0)</w:t>
            </w:r>
          </w:p>
        </w:tc>
        <w:tc>
          <w:tcPr>
            <w:tcW w:w="0" w:type="auto"/>
            <w:shd w:val="clear" w:color="auto" w:fill="auto"/>
            <w:noWrap/>
          </w:tcPr>
          <w:p w14:paraId="6815C049" w14:textId="0B724E3F" w:rsidR="002069F8" w:rsidRPr="00C1603D" w:rsidRDefault="002069F8" w:rsidP="002069F8">
            <w:pPr>
              <w:pStyle w:val="72TabletextTablesTableFigureBoxstyles"/>
              <w:rPr>
                <w:lang w:eastAsia="en-GB"/>
              </w:rPr>
            </w:pPr>
            <w:r w:rsidRPr="00C1603D">
              <w:rPr>
                <w:lang w:eastAsia="en-GB"/>
              </w:rPr>
              <w:t>478 (3.9)</w:t>
            </w:r>
          </w:p>
        </w:tc>
        <w:tc>
          <w:tcPr>
            <w:tcW w:w="0" w:type="auto"/>
            <w:vMerge/>
            <w:noWrap/>
          </w:tcPr>
          <w:p w14:paraId="257EAC61" w14:textId="36B36561" w:rsidR="002069F8" w:rsidRPr="00C1603D" w:rsidRDefault="002069F8" w:rsidP="002069F8">
            <w:pPr>
              <w:pStyle w:val="72TabletextTablesTableFigureBoxstyles"/>
              <w:rPr>
                <w:lang w:eastAsia="en-GB"/>
              </w:rPr>
            </w:pPr>
          </w:p>
        </w:tc>
        <w:tc>
          <w:tcPr>
            <w:tcW w:w="0" w:type="auto"/>
            <w:shd w:val="clear" w:color="auto" w:fill="auto"/>
            <w:noWrap/>
          </w:tcPr>
          <w:p w14:paraId="07A7C262" w14:textId="3B307485" w:rsidR="002069F8" w:rsidRPr="00C1603D" w:rsidRDefault="002069F8" w:rsidP="002069F8">
            <w:pPr>
              <w:pStyle w:val="72TabletextTablesTableFigureBoxstyles"/>
              <w:rPr>
                <w:lang w:eastAsia="en-GB"/>
              </w:rPr>
            </w:pPr>
            <w:r w:rsidRPr="00C1603D">
              <w:rPr>
                <w:lang w:eastAsia="en-GB"/>
              </w:rPr>
              <w:t>3516 (3.9)</w:t>
            </w:r>
          </w:p>
        </w:tc>
      </w:tr>
      <w:tr w:rsidR="002069F8" w:rsidRPr="00C1603D" w14:paraId="3A55DDD9" w14:textId="77777777" w:rsidTr="0044057F">
        <w:trPr>
          <w:cantSplit/>
        </w:trPr>
        <w:tc>
          <w:tcPr>
            <w:tcW w:w="0" w:type="auto"/>
            <w:shd w:val="clear" w:color="auto" w:fill="auto"/>
            <w:noWrap/>
          </w:tcPr>
          <w:p w14:paraId="20E80B75" w14:textId="002E0458" w:rsidR="002069F8" w:rsidRPr="00C1603D" w:rsidRDefault="002069F8" w:rsidP="002069F8">
            <w:pPr>
              <w:pStyle w:val="72TabletextTablesTableFigureBoxstyles"/>
              <w:rPr>
                <w:lang w:eastAsia="en-GB"/>
              </w:rPr>
            </w:pPr>
            <w:r w:rsidRPr="00C1603D">
              <w:rPr>
                <w:lang w:eastAsia="en-GB"/>
              </w:rPr>
              <w:tab/>
              <w:t>4</w:t>
            </w:r>
          </w:p>
        </w:tc>
        <w:tc>
          <w:tcPr>
            <w:tcW w:w="0" w:type="auto"/>
            <w:shd w:val="clear" w:color="auto" w:fill="auto"/>
            <w:noWrap/>
          </w:tcPr>
          <w:p w14:paraId="010C3956" w14:textId="4CF2DD8B" w:rsidR="002069F8" w:rsidRPr="00C1603D" w:rsidRDefault="002069F8" w:rsidP="002069F8">
            <w:pPr>
              <w:pStyle w:val="72TabletextTablesTableFigureBoxstyles"/>
              <w:rPr>
                <w:lang w:eastAsia="en-GB"/>
              </w:rPr>
            </w:pPr>
            <w:r w:rsidRPr="00C1603D">
              <w:rPr>
                <w:lang w:eastAsia="en-GB"/>
              </w:rPr>
              <w:t>1852 (5.3)</w:t>
            </w:r>
          </w:p>
        </w:tc>
        <w:tc>
          <w:tcPr>
            <w:tcW w:w="0" w:type="auto"/>
            <w:shd w:val="clear" w:color="auto" w:fill="auto"/>
            <w:noWrap/>
          </w:tcPr>
          <w:p w14:paraId="4D0043B3" w14:textId="1C2A056D" w:rsidR="002069F8" w:rsidRPr="00C1603D" w:rsidRDefault="002069F8" w:rsidP="002069F8">
            <w:pPr>
              <w:pStyle w:val="72TabletextTablesTableFigureBoxstyles"/>
              <w:rPr>
                <w:lang w:eastAsia="en-GB"/>
              </w:rPr>
            </w:pPr>
            <w:r w:rsidRPr="00C1603D">
              <w:rPr>
                <w:lang w:eastAsia="en-GB"/>
              </w:rPr>
              <w:t>399 (6.6)</w:t>
            </w:r>
          </w:p>
        </w:tc>
        <w:tc>
          <w:tcPr>
            <w:tcW w:w="0" w:type="auto"/>
            <w:vMerge/>
            <w:noWrap/>
          </w:tcPr>
          <w:p w14:paraId="1E32115B" w14:textId="3F0A716A" w:rsidR="002069F8" w:rsidRPr="00C1603D" w:rsidRDefault="002069F8" w:rsidP="002069F8">
            <w:pPr>
              <w:pStyle w:val="72TabletextTablesTableFigureBoxstyles"/>
              <w:rPr>
                <w:lang w:eastAsia="en-GB"/>
              </w:rPr>
            </w:pPr>
          </w:p>
        </w:tc>
        <w:tc>
          <w:tcPr>
            <w:tcW w:w="0" w:type="auto"/>
            <w:shd w:val="clear" w:color="auto" w:fill="auto"/>
            <w:noWrap/>
          </w:tcPr>
          <w:p w14:paraId="01D0A183" w14:textId="131ED79B" w:rsidR="002069F8" w:rsidRPr="00C1603D" w:rsidRDefault="002069F8" w:rsidP="002069F8">
            <w:pPr>
              <w:pStyle w:val="72TabletextTablesTableFigureBoxstyles"/>
              <w:rPr>
                <w:lang w:eastAsia="en-GB"/>
              </w:rPr>
            </w:pPr>
            <w:r w:rsidRPr="00C1603D">
              <w:rPr>
                <w:lang w:eastAsia="en-GB"/>
              </w:rPr>
              <w:t>2251 (5.5)</w:t>
            </w:r>
          </w:p>
        </w:tc>
        <w:tc>
          <w:tcPr>
            <w:tcW w:w="0" w:type="auto"/>
            <w:shd w:val="clear" w:color="auto" w:fill="auto"/>
            <w:noWrap/>
          </w:tcPr>
          <w:p w14:paraId="3BD0BCB6" w14:textId="214200D8" w:rsidR="002069F8" w:rsidRPr="00C1603D" w:rsidRDefault="002069F8" w:rsidP="002069F8">
            <w:pPr>
              <w:pStyle w:val="72TabletextTablesTableFigureBoxstyles"/>
              <w:rPr>
                <w:lang w:eastAsia="en-GB"/>
              </w:rPr>
            </w:pPr>
            <w:r w:rsidRPr="00C1603D">
              <w:rPr>
                <w:lang w:eastAsia="en-GB"/>
              </w:rPr>
              <w:t>2745 (3.6)</w:t>
            </w:r>
          </w:p>
        </w:tc>
        <w:tc>
          <w:tcPr>
            <w:tcW w:w="0" w:type="auto"/>
            <w:shd w:val="clear" w:color="auto" w:fill="auto"/>
            <w:noWrap/>
          </w:tcPr>
          <w:p w14:paraId="51E46CB5" w14:textId="7C272666" w:rsidR="002069F8" w:rsidRPr="00C1603D" w:rsidRDefault="002069F8" w:rsidP="002069F8">
            <w:pPr>
              <w:pStyle w:val="72TabletextTablesTableFigureBoxstyles"/>
              <w:rPr>
                <w:lang w:eastAsia="en-GB"/>
              </w:rPr>
            </w:pPr>
            <w:r w:rsidRPr="00C1603D">
              <w:rPr>
                <w:lang w:eastAsia="en-GB"/>
              </w:rPr>
              <w:t>431 (3.5)</w:t>
            </w:r>
          </w:p>
        </w:tc>
        <w:tc>
          <w:tcPr>
            <w:tcW w:w="0" w:type="auto"/>
            <w:vMerge/>
            <w:noWrap/>
          </w:tcPr>
          <w:p w14:paraId="432B3D63" w14:textId="1B451DE5" w:rsidR="002069F8" w:rsidRPr="00C1603D" w:rsidRDefault="002069F8" w:rsidP="002069F8">
            <w:pPr>
              <w:pStyle w:val="72TabletextTablesTableFigureBoxstyles"/>
              <w:rPr>
                <w:lang w:eastAsia="en-GB"/>
              </w:rPr>
            </w:pPr>
          </w:p>
        </w:tc>
        <w:tc>
          <w:tcPr>
            <w:tcW w:w="0" w:type="auto"/>
            <w:shd w:val="clear" w:color="auto" w:fill="auto"/>
            <w:noWrap/>
          </w:tcPr>
          <w:p w14:paraId="6CDECC70" w14:textId="04F8FF49" w:rsidR="002069F8" w:rsidRPr="00C1603D" w:rsidRDefault="002069F8" w:rsidP="002069F8">
            <w:pPr>
              <w:pStyle w:val="72TabletextTablesTableFigureBoxstyles"/>
              <w:rPr>
                <w:lang w:eastAsia="en-GB"/>
              </w:rPr>
            </w:pPr>
            <w:r w:rsidRPr="00C1603D">
              <w:rPr>
                <w:lang w:eastAsia="en-GB"/>
              </w:rPr>
              <w:t>3176 (3.6)</w:t>
            </w:r>
          </w:p>
        </w:tc>
      </w:tr>
      <w:tr w:rsidR="002069F8" w:rsidRPr="00C1603D" w14:paraId="7483B63F" w14:textId="77777777" w:rsidTr="0044057F">
        <w:trPr>
          <w:cantSplit/>
        </w:trPr>
        <w:tc>
          <w:tcPr>
            <w:tcW w:w="0" w:type="auto"/>
            <w:shd w:val="clear" w:color="auto" w:fill="auto"/>
            <w:noWrap/>
          </w:tcPr>
          <w:p w14:paraId="0B2C9CBC" w14:textId="00695B92" w:rsidR="002069F8" w:rsidRPr="00C1603D" w:rsidRDefault="002069F8" w:rsidP="002069F8">
            <w:pPr>
              <w:pStyle w:val="72TabletextTablesTableFigureBoxstyles"/>
              <w:rPr>
                <w:lang w:eastAsia="en-GB"/>
              </w:rPr>
            </w:pPr>
            <w:r w:rsidRPr="00C1603D">
              <w:rPr>
                <w:lang w:eastAsia="en-GB"/>
              </w:rPr>
              <w:tab/>
              <w:t>5</w:t>
            </w:r>
          </w:p>
        </w:tc>
        <w:tc>
          <w:tcPr>
            <w:tcW w:w="0" w:type="auto"/>
            <w:shd w:val="clear" w:color="auto" w:fill="auto"/>
            <w:noWrap/>
          </w:tcPr>
          <w:p w14:paraId="4985960A" w14:textId="5F663A1B" w:rsidR="002069F8" w:rsidRPr="00C1603D" w:rsidRDefault="002069F8" w:rsidP="002069F8">
            <w:pPr>
              <w:pStyle w:val="72TabletextTablesTableFigureBoxstyles"/>
              <w:rPr>
                <w:lang w:eastAsia="en-GB"/>
              </w:rPr>
            </w:pPr>
            <w:r w:rsidRPr="00C1603D">
              <w:rPr>
                <w:lang w:eastAsia="en-GB"/>
              </w:rPr>
              <w:t>1550 (4.4)</w:t>
            </w:r>
          </w:p>
        </w:tc>
        <w:tc>
          <w:tcPr>
            <w:tcW w:w="0" w:type="auto"/>
            <w:shd w:val="clear" w:color="auto" w:fill="auto"/>
            <w:noWrap/>
          </w:tcPr>
          <w:p w14:paraId="24D9CAE3" w14:textId="6FD00C8D" w:rsidR="002069F8" w:rsidRPr="00C1603D" w:rsidRDefault="002069F8" w:rsidP="002069F8">
            <w:pPr>
              <w:pStyle w:val="72TabletextTablesTableFigureBoxstyles"/>
              <w:rPr>
                <w:lang w:eastAsia="en-GB"/>
              </w:rPr>
            </w:pPr>
            <w:r w:rsidRPr="00C1603D">
              <w:rPr>
                <w:lang w:eastAsia="en-GB"/>
              </w:rPr>
              <w:t>339 (5.6)</w:t>
            </w:r>
          </w:p>
        </w:tc>
        <w:tc>
          <w:tcPr>
            <w:tcW w:w="0" w:type="auto"/>
            <w:vMerge/>
            <w:noWrap/>
          </w:tcPr>
          <w:p w14:paraId="5249245B" w14:textId="0EADCA79" w:rsidR="002069F8" w:rsidRPr="00C1603D" w:rsidRDefault="002069F8" w:rsidP="002069F8">
            <w:pPr>
              <w:pStyle w:val="72TabletextTablesTableFigureBoxstyles"/>
              <w:rPr>
                <w:lang w:eastAsia="en-GB"/>
              </w:rPr>
            </w:pPr>
          </w:p>
        </w:tc>
        <w:tc>
          <w:tcPr>
            <w:tcW w:w="0" w:type="auto"/>
            <w:shd w:val="clear" w:color="auto" w:fill="auto"/>
            <w:noWrap/>
          </w:tcPr>
          <w:p w14:paraId="5B04923F" w14:textId="1B7E68E6" w:rsidR="002069F8" w:rsidRPr="00C1603D" w:rsidRDefault="002069F8" w:rsidP="002069F8">
            <w:pPr>
              <w:pStyle w:val="72TabletextTablesTableFigureBoxstyles"/>
              <w:rPr>
                <w:lang w:eastAsia="en-GB"/>
              </w:rPr>
            </w:pPr>
            <w:r w:rsidRPr="00C1603D">
              <w:rPr>
                <w:lang w:eastAsia="en-GB"/>
              </w:rPr>
              <w:t>1889 (4.6)</w:t>
            </w:r>
          </w:p>
        </w:tc>
        <w:tc>
          <w:tcPr>
            <w:tcW w:w="0" w:type="auto"/>
            <w:shd w:val="clear" w:color="auto" w:fill="auto"/>
            <w:noWrap/>
          </w:tcPr>
          <w:p w14:paraId="596B56E6" w14:textId="5B8AF3C7" w:rsidR="002069F8" w:rsidRPr="00C1603D" w:rsidRDefault="002069F8" w:rsidP="002069F8">
            <w:pPr>
              <w:pStyle w:val="72TabletextTablesTableFigureBoxstyles"/>
              <w:rPr>
                <w:lang w:eastAsia="en-GB"/>
              </w:rPr>
            </w:pPr>
            <w:r w:rsidRPr="00C1603D">
              <w:rPr>
                <w:lang w:eastAsia="en-GB"/>
              </w:rPr>
              <w:t>2139 (2.8)</w:t>
            </w:r>
          </w:p>
        </w:tc>
        <w:tc>
          <w:tcPr>
            <w:tcW w:w="0" w:type="auto"/>
            <w:shd w:val="clear" w:color="auto" w:fill="auto"/>
            <w:noWrap/>
          </w:tcPr>
          <w:p w14:paraId="05F1917F" w14:textId="7CB70A48" w:rsidR="002069F8" w:rsidRPr="00C1603D" w:rsidRDefault="002069F8" w:rsidP="002069F8">
            <w:pPr>
              <w:pStyle w:val="72TabletextTablesTableFigureBoxstyles"/>
              <w:rPr>
                <w:lang w:eastAsia="en-GB"/>
              </w:rPr>
            </w:pPr>
            <w:r w:rsidRPr="00C1603D">
              <w:rPr>
                <w:lang w:eastAsia="en-GB"/>
              </w:rPr>
              <w:t>316 (2.6)</w:t>
            </w:r>
          </w:p>
        </w:tc>
        <w:tc>
          <w:tcPr>
            <w:tcW w:w="0" w:type="auto"/>
            <w:vMerge/>
            <w:noWrap/>
          </w:tcPr>
          <w:p w14:paraId="1F6763BF" w14:textId="4598A3FF" w:rsidR="002069F8" w:rsidRPr="00C1603D" w:rsidRDefault="002069F8" w:rsidP="002069F8">
            <w:pPr>
              <w:pStyle w:val="72TabletextTablesTableFigureBoxstyles"/>
              <w:rPr>
                <w:lang w:eastAsia="en-GB"/>
              </w:rPr>
            </w:pPr>
          </w:p>
        </w:tc>
        <w:tc>
          <w:tcPr>
            <w:tcW w:w="0" w:type="auto"/>
            <w:shd w:val="clear" w:color="auto" w:fill="auto"/>
            <w:noWrap/>
          </w:tcPr>
          <w:p w14:paraId="5C6A491D" w14:textId="15126911" w:rsidR="002069F8" w:rsidRPr="00C1603D" w:rsidRDefault="002069F8" w:rsidP="002069F8">
            <w:pPr>
              <w:pStyle w:val="72TabletextTablesTableFigureBoxstyles"/>
              <w:rPr>
                <w:lang w:eastAsia="en-GB"/>
              </w:rPr>
            </w:pPr>
            <w:r w:rsidRPr="00C1603D">
              <w:rPr>
                <w:lang w:eastAsia="en-GB"/>
              </w:rPr>
              <w:t>2455 (2.8)</w:t>
            </w:r>
          </w:p>
        </w:tc>
      </w:tr>
      <w:tr w:rsidR="002069F8" w:rsidRPr="00C1603D" w14:paraId="56F082A7" w14:textId="77777777" w:rsidTr="0044057F">
        <w:trPr>
          <w:cantSplit/>
        </w:trPr>
        <w:tc>
          <w:tcPr>
            <w:tcW w:w="0" w:type="auto"/>
            <w:shd w:val="clear" w:color="auto" w:fill="auto"/>
            <w:noWrap/>
          </w:tcPr>
          <w:p w14:paraId="7BF3917C" w14:textId="64EA9AF9" w:rsidR="002069F8" w:rsidRPr="00C1603D" w:rsidRDefault="002069F8" w:rsidP="002069F8">
            <w:pPr>
              <w:pStyle w:val="72TabletextTablesTableFigureBoxstyles"/>
              <w:rPr>
                <w:lang w:eastAsia="en-GB"/>
              </w:rPr>
            </w:pPr>
            <w:r w:rsidRPr="00C1603D">
              <w:rPr>
                <w:lang w:eastAsia="en-GB"/>
              </w:rPr>
              <w:tab/>
              <w:t>Missing</w:t>
            </w:r>
          </w:p>
        </w:tc>
        <w:tc>
          <w:tcPr>
            <w:tcW w:w="0" w:type="auto"/>
            <w:shd w:val="clear" w:color="auto" w:fill="auto"/>
            <w:noWrap/>
          </w:tcPr>
          <w:p w14:paraId="4A2132F7" w14:textId="207FEDDA" w:rsidR="002069F8" w:rsidRPr="00C1603D" w:rsidRDefault="002069F8" w:rsidP="002069F8">
            <w:pPr>
              <w:pStyle w:val="72TabletextTablesTableFigureBoxstyles"/>
              <w:rPr>
                <w:lang w:eastAsia="en-GB"/>
              </w:rPr>
            </w:pPr>
            <w:r w:rsidRPr="00C1603D">
              <w:rPr>
                <w:lang w:eastAsia="en-GB"/>
              </w:rPr>
              <w:t>24</w:t>
            </w:r>
            <w:r w:rsidR="006877E7" w:rsidRPr="00C1603D">
              <w:rPr>
                <w:lang w:eastAsia="en-GB"/>
              </w:rPr>
              <w:t>,</w:t>
            </w:r>
            <w:r w:rsidRPr="00C1603D">
              <w:rPr>
                <w:lang w:eastAsia="en-GB"/>
              </w:rPr>
              <w:t>646 (69.9)</w:t>
            </w:r>
          </w:p>
        </w:tc>
        <w:tc>
          <w:tcPr>
            <w:tcW w:w="0" w:type="auto"/>
            <w:shd w:val="clear" w:color="auto" w:fill="auto"/>
            <w:noWrap/>
          </w:tcPr>
          <w:p w14:paraId="76ACFD60" w14:textId="2BD839CB" w:rsidR="002069F8" w:rsidRPr="00C1603D" w:rsidRDefault="002069F8" w:rsidP="002069F8">
            <w:pPr>
              <w:pStyle w:val="72TabletextTablesTableFigureBoxstyles"/>
              <w:rPr>
                <w:lang w:eastAsia="en-GB"/>
              </w:rPr>
            </w:pPr>
            <w:r w:rsidRPr="00C1603D">
              <w:rPr>
                <w:lang w:eastAsia="en-GB"/>
              </w:rPr>
              <w:t>3626 (60.1)</w:t>
            </w:r>
          </w:p>
        </w:tc>
        <w:tc>
          <w:tcPr>
            <w:tcW w:w="0" w:type="auto"/>
            <w:vMerge/>
            <w:noWrap/>
          </w:tcPr>
          <w:p w14:paraId="65814F4C" w14:textId="3C3D4B11" w:rsidR="002069F8" w:rsidRPr="00C1603D" w:rsidRDefault="002069F8" w:rsidP="002069F8">
            <w:pPr>
              <w:pStyle w:val="72TabletextTablesTableFigureBoxstyles"/>
              <w:rPr>
                <w:lang w:eastAsia="en-GB"/>
              </w:rPr>
            </w:pPr>
          </w:p>
        </w:tc>
        <w:tc>
          <w:tcPr>
            <w:tcW w:w="0" w:type="auto"/>
            <w:shd w:val="clear" w:color="auto" w:fill="auto"/>
            <w:noWrap/>
          </w:tcPr>
          <w:p w14:paraId="2CCC0787" w14:textId="66D49A96" w:rsidR="002069F8" w:rsidRPr="00C1603D" w:rsidRDefault="002069F8" w:rsidP="002069F8">
            <w:pPr>
              <w:pStyle w:val="72TabletextTablesTableFigureBoxstyles"/>
              <w:rPr>
                <w:lang w:eastAsia="en-GB"/>
              </w:rPr>
            </w:pPr>
            <w:r w:rsidRPr="00C1603D">
              <w:rPr>
                <w:lang w:eastAsia="en-GB"/>
              </w:rPr>
              <w:t>28</w:t>
            </w:r>
            <w:r w:rsidR="006877E7" w:rsidRPr="00C1603D">
              <w:rPr>
                <w:lang w:eastAsia="en-GB"/>
              </w:rPr>
              <w:t>,</w:t>
            </w:r>
            <w:r w:rsidRPr="00C1603D">
              <w:rPr>
                <w:lang w:eastAsia="en-GB"/>
              </w:rPr>
              <w:t>272 (68.5)</w:t>
            </w:r>
          </w:p>
        </w:tc>
        <w:tc>
          <w:tcPr>
            <w:tcW w:w="0" w:type="auto"/>
            <w:shd w:val="clear" w:color="auto" w:fill="auto"/>
            <w:noWrap/>
          </w:tcPr>
          <w:p w14:paraId="2A49959E" w14:textId="053B56E5" w:rsidR="002069F8" w:rsidRPr="00C1603D" w:rsidRDefault="002069F8" w:rsidP="002069F8">
            <w:pPr>
              <w:pStyle w:val="72TabletextTablesTableFigureBoxstyles"/>
              <w:rPr>
                <w:lang w:eastAsia="en-GB"/>
              </w:rPr>
            </w:pPr>
            <w:r w:rsidRPr="00C1603D">
              <w:rPr>
                <w:lang w:eastAsia="en-GB"/>
              </w:rPr>
              <w:t>60</w:t>
            </w:r>
            <w:r w:rsidR="006877E7" w:rsidRPr="00C1603D">
              <w:rPr>
                <w:lang w:eastAsia="en-GB"/>
              </w:rPr>
              <w:t>,</w:t>
            </w:r>
            <w:r w:rsidRPr="00C1603D">
              <w:rPr>
                <w:lang w:eastAsia="en-GB"/>
              </w:rPr>
              <w:t>903 (79.3)</w:t>
            </w:r>
          </w:p>
        </w:tc>
        <w:tc>
          <w:tcPr>
            <w:tcW w:w="0" w:type="auto"/>
            <w:shd w:val="clear" w:color="auto" w:fill="auto"/>
            <w:noWrap/>
          </w:tcPr>
          <w:p w14:paraId="63FDA47D" w14:textId="5B200171" w:rsidR="002069F8" w:rsidRPr="00C1603D" w:rsidRDefault="002069F8" w:rsidP="002069F8">
            <w:pPr>
              <w:pStyle w:val="72TabletextTablesTableFigureBoxstyles"/>
              <w:rPr>
                <w:lang w:eastAsia="en-GB"/>
              </w:rPr>
            </w:pPr>
            <w:r w:rsidRPr="00C1603D">
              <w:rPr>
                <w:lang w:eastAsia="en-GB"/>
              </w:rPr>
              <w:t>9853 (79.6)</w:t>
            </w:r>
          </w:p>
        </w:tc>
        <w:tc>
          <w:tcPr>
            <w:tcW w:w="0" w:type="auto"/>
            <w:vMerge/>
            <w:noWrap/>
          </w:tcPr>
          <w:p w14:paraId="149C444D" w14:textId="0BD84442" w:rsidR="002069F8" w:rsidRPr="00C1603D" w:rsidRDefault="002069F8" w:rsidP="002069F8">
            <w:pPr>
              <w:pStyle w:val="72TabletextTablesTableFigureBoxstyles"/>
              <w:rPr>
                <w:lang w:eastAsia="en-GB"/>
              </w:rPr>
            </w:pPr>
          </w:p>
        </w:tc>
        <w:tc>
          <w:tcPr>
            <w:tcW w:w="0" w:type="auto"/>
            <w:shd w:val="clear" w:color="auto" w:fill="auto"/>
            <w:noWrap/>
          </w:tcPr>
          <w:p w14:paraId="49F4FF3C" w14:textId="50813FF8" w:rsidR="002069F8" w:rsidRPr="00C1603D" w:rsidRDefault="002069F8" w:rsidP="002069F8">
            <w:pPr>
              <w:pStyle w:val="72TabletextTablesTableFigureBoxstyles"/>
              <w:rPr>
                <w:lang w:eastAsia="en-GB"/>
              </w:rPr>
            </w:pPr>
            <w:r w:rsidRPr="00C1603D">
              <w:rPr>
                <w:lang w:eastAsia="en-GB"/>
              </w:rPr>
              <w:t>70</w:t>
            </w:r>
            <w:r w:rsidR="006877E7" w:rsidRPr="00C1603D">
              <w:rPr>
                <w:lang w:eastAsia="en-GB"/>
              </w:rPr>
              <w:t>,</w:t>
            </w:r>
            <w:r w:rsidRPr="00C1603D">
              <w:rPr>
                <w:lang w:eastAsia="en-GB"/>
              </w:rPr>
              <w:t>756 (79.4)</w:t>
            </w:r>
          </w:p>
        </w:tc>
      </w:tr>
      <w:tr w:rsidR="002069F8" w:rsidRPr="00C1603D" w14:paraId="693A7027" w14:textId="77777777" w:rsidTr="0044057F">
        <w:trPr>
          <w:cantSplit/>
        </w:trPr>
        <w:tc>
          <w:tcPr>
            <w:tcW w:w="0" w:type="auto"/>
            <w:gridSpan w:val="9"/>
            <w:shd w:val="clear" w:color="auto" w:fill="auto"/>
            <w:noWrap/>
          </w:tcPr>
          <w:p w14:paraId="63D1230C" w14:textId="097FF074" w:rsidR="002069F8" w:rsidRPr="00C1603D" w:rsidRDefault="002069F8" w:rsidP="006877E7">
            <w:pPr>
              <w:pStyle w:val="72TabletextTablesTableFigureBoxstyles"/>
              <w:rPr>
                <w:lang w:eastAsia="en-GB"/>
              </w:rPr>
            </w:pPr>
            <w:r w:rsidRPr="00C1603D">
              <w:rPr>
                <w:lang w:eastAsia="en-GB"/>
              </w:rPr>
              <w:t>Anaemia</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3F6FDFE8" w14:textId="77777777" w:rsidTr="0044057F">
        <w:trPr>
          <w:cantSplit/>
        </w:trPr>
        <w:tc>
          <w:tcPr>
            <w:tcW w:w="0" w:type="auto"/>
            <w:shd w:val="clear" w:color="auto" w:fill="auto"/>
            <w:noWrap/>
          </w:tcPr>
          <w:p w14:paraId="01ED7E7C" w14:textId="0C384013"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0F1A0742" w14:textId="4F8B0B19" w:rsidR="002069F8" w:rsidRPr="00C1603D" w:rsidRDefault="002069F8" w:rsidP="002069F8">
            <w:pPr>
              <w:pStyle w:val="72TabletextTablesTableFigureBoxstyles"/>
              <w:rPr>
                <w:lang w:eastAsia="en-GB"/>
              </w:rPr>
            </w:pPr>
            <w:r w:rsidRPr="00C1603D">
              <w:rPr>
                <w:lang w:eastAsia="en-GB"/>
              </w:rPr>
              <w:t>208 (0.6)</w:t>
            </w:r>
          </w:p>
        </w:tc>
        <w:tc>
          <w:tcPr>
            <w:tcW w:w="0" w:type="auto"/>
            <w:shd w:val="clear" w:color="auto" w:fill="auto"/>
            <w:noWrap/>
          </w:tcPr>
          <w:p w14:paraId="749528E5" w14:textId="2435A7CF" w:rsidR="002069F8" w:rsidRPr="00C1603D" w:rsidRDefault="002069F8" w:rsidP="002069F8">
            <w:pPr>
              <w:pStyle w:val="72TabletextTablesTableFigureBoxstyles"/>
              <w:rPr>
                <w:lang w:eastAsia="en-GB"/>
              </w:rPr>
            </w:pPr>
            <w:r w:rsidRPr="00C1603D">
              <w:rPr>
                <w:lang w:eastAsia="en-GB"/>
              </w:rPr>
              <w:t>733 (12.1)</w:t>
            </w:r>
          </w:p>
        </w:tc>
        <w:tc>
          <w:tcPr>
            <w:tcW w:w="0" w:type="auto"/>
            <w:shd w:val="clear" w:color="auto" w:fill="auto"/>
            <w:noWrap/>
          </w:tcPr>
          <w:p w14:paraId="194ED9B2"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10248ED" w14:textId="39736EFD" w:rsidR="002069F8" w:rsidRPr="00C1603D" w:rsidRDefault="002069F8" w:rsidP="002069F8">
            <w:pPr>
              <w:pStyle w:val="72TabletextTablesTableFigureBoxstyles"/>
              <w:rPr>
                <w:lang w:eastAsia="en-GB"/>
              </w:rPr>
            </w:pPr>
            <w:r w:rsidRPr="00C1603D">
              <w:rPr>
                <w:lang w:eastAsia="en-GB"/>
              </w:rPr>
              <w:t>941 (2.3)</w:t>
            </w:r>
          </w:p>
        </w:tc>
        <w:tc>
          <w:tcPr>
            <w:tcW w:w="0" w:type="auto"/>
            <w:shd w:val="clear" w:color="auto" w:fill="auto"/>
            <w:noWrap/>
          </w:tcPr>
          <w:p w14:paraId="4FB4559B" w14:textId="1C75C1FE" w:rsidR="002069F8" w:rsidRPr="00C1603D" w:rsidRDefault="002069F8" w:rsidP="002069F8">
            <w:pPr>
              <w:pStyle w:val="72TabletextTablesTableFigureBoxstyles"/>
              <w:rPr>
                <w:lang w:eastAsia="en-GB"/>
              </w:rPr>
            </w:pPr>
            <w:r w:rsidRPr="00C1603D">
              <w:rPr>
                <w:lang w:eastAsia="en-GB"/>
              </w:rPr>
              <w:t>104 (0.1)</w:t>
            </w:r>
          </w:p>
        </w:tc>
        <w:tc>
          <w:tcPr>
            <w:tcW w:w="0" w:type="auto"/>
            <w:shd w:val="clear" w:color="auto" w:fill="auto"/>
            <w:noWrap/>
          </w:tcPr>
          <w:p w14:paraId="54450D46" w14:textId="6C9FFE32" w:rsidR="002069F8" w:rsidRPr="00C1603D" w:rsidRDefault="002069F8" w:rsidP="002069F8">
            <w:pPr>
              <w:pStyle w:val="72TabletextTablesTableFigureBoxstyles"/>
              <w:rPr>
                <w:lang w:eastAsia="en-GB"/>
              </w:rPr>
            </w:pPr>
            <w:r w:rsidRPr="00C1603D">
              <w:rPr>
                <w:lang w:eastAsia="en-GB"/>
              </w:rPr>
              <w:t>305 (2.5)</w:t>
            </w:r>
          </w:p>
        </w:tc>
        <w:tc>
          <w:tcPr>
            <w:tcW w:w="0" w:type="auto"/>
            <w:shd w:val="clear" w:color="auto" w:fill="auto"/>
            <w:noWrap/>
          </w:tcPr>
          <w:p w14:paraId="781B264B"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49912B7" w14:textId="50E7A499" w:rsidR="002069F8" w:rsidRPr="00C1603D" w:rsidRDefault="002069F8" w:rsidP="002069F8">
            <w:pPr>
              <w:pStyle w:val="72TabletextTablesTableFigureBoxstyles"/>
              <w:rPr>
                <w:lang w:eastAsia="en-GB"/>
              </w:rPr>
            </w:pPr>
            <w:r w:rsidRPr="00C1603D">
              <w:rPr>
                <w:lang w:eastAsia="en-GB"/>
              </w:rPr>
              <w:t>409 (0.5)</w:t>
            </w:r>
          </w:p>
        </w:tc>
      </w:tr>
      <w:tr w:rsidR="002069F8" w:rsidRPr="00C1603D" w14:paraId="51CFB084" w14:textId="77777777" w:rsidTr="0044057F">
        <w:trPr>
          <w:cantSplit/>
        </w:trPr>
        <w:tc>
          <w:tcPr>
            <w:tcW w:w="0" w:type="auto"/>
            <w:gridSpan w:val="9"/>
            <w:shd w:val="clear" w:color="auto" w:fill="auto"/>
            <w:noWrap/>
          </w:tcPr>
          <w:p w14:paraId="41ED9090" w14:textId="64FED9A3" w:rsidR="002069F8" w:rsidRPr="00C1603D" w:rsidRDefault="002069F8" w:rsidP="006877E7">
            <w:pPr>
              <w:pStyle w:val="72TabletextTablesTableFigureBoxstyles"/>
              <w:rPr>
                <w:lang w:eastAsia="en-GB"/>
              </w:rPr>
            </w:pPr>
            <w:r w:rsidRPr="00C1603D">
              <w:rPr>
                <w:lang w:eastAsia="en-GB"/>
              </w:rPr>
              <w:t>Cardiovascular disease</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4E64499F" w14:textId="77777777" w:rsidTr="0044057F">
        <w:trPr>
          <w:cantSplit/>
        </w:trPr>
        <w:tc>
          <w:tcPr>
            <w:tcW w:w="0" w:type="auto"/>
            <w:shd w:val="clear" w:color="auto" w:fill="auto"/>
            <w:noWrap/>
          </w:tcPr>
          <w:p w14:paraId="27B38761" w14:textId="1FF04006"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2D5D5C65" w14:textId="61A252BA" w:rsidR="002069F8" w:rsidRPr="00C1603D" w:rsidRDefault="002069F8" w:rsidP="002069F8">
            <w:pPr>
              <w:pStyle w:val="72TabletextTablesTableFigureBoxstyles"/>
              <w:rPr>
                <w:lang w:eastAsia="en-GB"/>
              </w:rPr>
            </w:pPr>
            <w:r w:rsidRPr="00C1603D">
              <w:rPr>
                <w:lang w:eastAsia="en-GB"/>
              </w:rPr>
              <w:t>2081 (5.9)</w:t>
            </w:r>
          </w:p>
        </w:tc>
        <w:tc>
          <w:tcPr>
            <w:tcW w:w="0" w:type="auto"/>
            <w:shd w:val="clear" w:color="auto" w:fill="auto"/>
            <w:noWrap/>
          </w:tcPr>
          <w:p w14:paraId="71AE6575" w14:textId="2B4C9EE9" w:rsidR="002069F8" w:rsidRPr="00C1603D" w:rsidRDefault="002069F8" w:rsidP="002069F8">
            <w:pPr>
              <w:pStyle w:val="72TabletextTablesTableFigureBoxstyles"/>
              <w:rPr>
                <w:lang w:eastAsia="en-GB"/>
              </w:rPr>
            </w:pPr>
            <w:r w:rsidRPr="00C1603D">
              <w:rPr>
                <w:lang w:eastAsia="en-GB"/>
              </w:rPr>
              <w:t>860 (14.3)</w:t>
            </w:r>
          </w:p>
        </w:tc>
        <w:tc>
          <w:tcPr>
            <w:tcW w:w="0" w:type="auto"/>
            <w:shd w:val="clear" w:color="auto" w:fill="auto"/>
            <w:noWrap/>
          </w:tcPr>
          <w:p w14:paraId="4A772061"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7221236" w14:textId="3579155B" w:rsidR="002069F8" w:rsidRPr="00C1603D" w:rsidRDefault="002069F8" w:rsidP="002069F8">
            <w:pPr>
              <w:pStyle w:val="72TabletextTablesTableFigureBoxstyles"/>
              <w:rPr>
                <w:lang w:eastAsia="en-GB"/>
              </w:rPr>
            </w:pPr>
            <w:r w:rsidRPr="00C1603D">
              <w:rPr>
                <w:lang w:eastAsia="en-GB"/>
              </w:rPr>
              <w:t>2941 (7.1)</w:t>
            </w:r>
          </w:p>
        </w:tc>
        <w:tc>
          <w:tcPr>
            <w:tcW w:w="0" w:type="auto"/>
            <w:shd w:val="clear" w:color="auto" w:fill="auto"/>
            <w:noWrap/>
          </w:tcPr>
          <w:p w14:paraId="51218DD0" w14:textId="01350D31" w:rsidR="002069F8" w:rsidRPr="00C1603D" w:rsidRDefault="002069F8" w:rsidP="002069F8">
            <w:pPr>
              <w:pStyle w:val="72TabletextTablesTableFigureBoxstyles"/>
              <w:rPr>
                <w:lang w:eastAsia="en-GB"/>
              </w:rPr>
            </w:pPr>
            <w:r w:rsidRPr="00C1603D">
              <w:rPr>
                <w:lang w:eastAsia="en-GB"/>
              </w:rPr>
              <w:t>822 (1.1)</w:t>
            </w:r>
          </w:p>
        </w:tc>
        <w:tc>
          <w:tcPr>
            <w:tcW w:w="0" w:type="auto"/>
            <w:shd w:val="clear" w:color="auto" w:fill="auto"/>
            <w:noWrap/>
          </w:tcPr>
          <w:p w14:paraId="0F4A497F" w14:textId="6B47CF10" w:rsidR="002069F8" w:rsidRPr="00C1603D" w:rsidRDefault="002069F8" w:rsidP="002069F8">
            <w:pPr>
              <w:pStyle w:val="72TabletextTablesTableFigureBoxstyles"/>
              <w:rPr>
                <w:lang w:eastAsia="en-GB"/>
              </w:rPr>
            </w:pPr>
            <w:r w:rsidRPr="00C1603D">
              <w:rPr>
                <w:lang w:eastAsia="en-GB"/>
              </w:rPr>
              <w:t>321 (2.6)</w:t>
            </w:r>
          </w:p>
        </w:tc>
        <w:tc>
          <w:tcPr>
            <w:tcW w:w="0" w:type="auto"/>
            <w:shd w:val="clear" w:color="auto" w:fill="auto"/>
            <w:noWrap/>
          </w:tcPr>
          <w:p w14:paraId="2FF233F3"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9BFCE8F" w14:textId="3CDF96D8" w:rsidR="002069F8" w:rsidRPr="00C1603D" w:rsidRDefault="002069F8" w:rsidP="002069F8">
            <w:pPr>
              <w:pStyle w:val="72TabletextTablesTableFigureBoxstyles"/>
              <w:rPr>
                <w:lang w:eastAsia="en-GB"/>
              </w:rPr>
            </w:pPr>
            <w:r w:rsidRPr="00C1603D">
              <w:rPr>
                <w:lang w:eastAsia="en-GB"/>
              </w:rPr>
              <w:t>1143 (1.3)</w:t>
            </w:r>
          </w:p>
        </w:tc>
      </w:tr>
      <w:tr w:rsidR="002069F8" w:rsidRPr="00C1603D" w14:paraId="770C0C83" w14:textId="77777777" w:rsidTr="0044057F">
        <w:trPr>
          <w:cantSplit/>
        </w:trPr>
        <w:tc>
          <w:tcPr>
            <w:tcW w:w="0" w:type="auto"/>
            <w:gridSpan w:val="9"/>
            <w:shd w:val="clear" w:color="auto" w:fill="auto"/>
            <w:noWrap/>
          </w:tcPr>
          <w:p w14:paraId="78693465" w14:textId="5ED4D8AE" w:rsidR="002069F8" w:rsidRPr="00C1603D" w:rsidRDefault="002069F8" w:rsidP="006877E7">
            <w:pPr>
              <w:pStyle w:val="72TabletextTablesTableFigureBoxstyles"/>
              <w:rPr>
                <w:lang w:eastAsia="en-GB"/>
              </w:rPr>
            </w:pPr>
            <w:r w:rsidRPr="00C1603D">
              <w:rPr>
                <w:lang w:eastAsia="en-GB"/>
              </w:rPr>
              <w:t>Chronic liver disease</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42350FF9" w14:textId="77777777" w:rsidTr="0044057F">
        <w:trPr>
          <w:cantSplit/>
        </w:trPr>
        <w:tc>
          <w:tcPr>
            <w:tcW w:w="0" w:type="auto"/>
            <w:shd w:val="clear" w:color="auto" w:fill="auto"/>
            <w:noWrap/>
          </w:tcPr>
          <w:p w14:paraId="2448E751" w14:textId="26897563"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1BDECD4B" w14:textId="68AAAF6A" w:rsidR="002069F8" w:rsidRPr="00C1603D" w:rsidRDefault="002069F8" w:rsidP="002069F8">
            <w:pPr>
              <w:pStyle w:val="72TabletextTablesTableFigureBoxstyles"/>
              <w:rPr>
                <w:lang w:eastAsia="en-GB"/>
              </w:rPr>
            </w:pPr>
            <w:r w:rsidRPr="00C1603D">
              <w:rPr>
                <w:lang w:eastAsia="en-GB"/>
              </w:rPr>
              <w:t>421 (1.2)</w:t>
            </w:r>
          </w:p>
        </w:tc>
        <w:tc>
          <w:tcPr>
            <w:tcW w:w="0" w:type="auto"/>
            <w:shd w:val="clear" w:color="auto" w:fill="auto"/>
            <w:noWrap/>
          </w:tcPr>
          <w:p w14:paraId="4D7678EF" w14:textId="77185244" w:rsidR="002069F8" w:rsidRPr="00C1603D" w:rsidRDefault="002069F8" w:rsidP="002069F8">
            <w:pPr>
              <w:pStyle w:val="72TabletextTablesTableFigureBoxstyles"/>
              <w:rPr>
                <w:lang w:eastAsia="en-GB"/>
              </w:rPr>
            </w:pPr>
            <w:r w:rsidRPr="00C1603D">
              <w:rPr>
                <w:lang w:eastAsia="en-GB"/>
              </w:rPr>
              <w:t>184 (3.0)</w:t>
            </w:r>
          </w:p>
        </w:tc>
        <w:tc>
          <w:tcPr>
            <w:tcW w:w="0" w:type="auto"/>
            <w:shd w:val="clear" w:color="auto" w:fill="auto"/>
            <w:noWrap/>
          </w:tcPr>
          <w:p w14:paraId="550A35A0"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3B81BF0" w14:textId="7B18F5F5" w:rsidR="002069F8" w:rsidRPr="00C1603D" w:rsidRDefault="002069F8" w:rsidP="002069F8">
            <w:pPr>
              <w:pStyle w:val="72TabletextTablesTableFigureBoxstyles"/>
              <w:rPr>
                <w:lang w:eastAsia="en-GB"/>
              </w:rPr>
            </w:pPr>
            <w:r w:rsidRPr="00C1603D">
              <w:rPr>
                <w:lang w:eastAsia="en-GB"/>
              </w:rPr>
              <w:t>605 (1.5)</w:t>
            </w:r>
          </w:p>
        </w:tc>
        <w:tc>
          <w:tcPr>
            <w:tcW w:w="0" w:type="auto"/>
            <w:shd w:val="clear" w:color="auto" w:fill="auto"/>
            <w:noWrap/>
          </w:tcPr>
          <w:p w14:paraId="49146D60" w14:textId="07A0B091" w:rsidR="002069F8" w:rsidRPr="00C1603D" w:rsidRDefault="002069F8" w:rsidP="002069F8">
            <w:pPr>
              <w:pStyle w:val="72TabletextTablesTableFigureBoxstyles"/>
              <w:rPr>
                <w:lang w:eastAsia="en-GB"/>
              </w:rPr>
            </w:pPr>
            <w:r w:rsidRPr="00C1603D">
              <w:rPr>
                <w:lang w:eastAsia="en-GB"/>
              </w:rPr>
              <w:t>311 (0.4)</w:t>
            </w:r>
          </w:p>
        </w:tc>
        <w:tc>
          <w:tcPr>
            <w:tcW w:w="0" w:type="auto"/>
            <w:shd w:val="clear" w:color="auto" w:fill="auto"/>
            <w:noWrap/>
          </w:tcPr>
          <w:p w14:paraId="2FB4D5A4" w14:textId="3AA26831" w:rsidR="002069F8" w:rsidRPr="00C1603D" w:rsidRDefault="002069F8" w:rsidP="002069F8">
            <w:pPr>
              <w:pStyle w:val="72TabletextTablesTableFigureBoxstyles"/>
              <w:rPr>
                <w:lang w:eastAsia="en-GB"/>
              </w:rPr>
            </w:pPr>
            <w:r w:rsidRPr="00C1603D">
              <w:rPr>
                <w:lang w:eastAsia="en-GB"/>
              </w:rPr>
              <w:t>140 (1.1)</w:t>
            </w:r>
          </w:p>
        </w:tc>
        <w:tc>
          <w:tcPr>
            <w:tcW w:w="0" w:type="auto"/>
            <w:shd w:val="clear" w:color="auto" w:fill="auto"/>
            <w:noWrap/>
          </w:tcPr>
          <w:p w14:paraId="4774BF48"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4DB0AAA" w14:textId="0383FE84" w:rsidR="002069F8" w:rsidRPr="00C1603D" w:rsidRDefault="002069F8" w:rsidP="002069F8">
            <w:pPr>
              <w:pStyle w:val="72TabletextTablesTableFigureBoxstyles"/>
              <w:rPr>
                <w:lang w:eastAsia="en-GB"/>
              </w:rPr>
            </w:pPr>
            <w:r w:rsidRPr="00C1603D">
              <w:rPr>
                <w:lang w:eastAsia="en-GB"/>
              </w:rPr>
              <w:t>451 (0.5)</w:t>
            </w:r>
          </w:p>
        </w:tc>
      </w:tr>
      <w:tr w:rsidR="002069F8" w:rsidRPr="00C1603D" w14:paraId="45B3F084" w14:textId="77777777" w:rsidTr="0044057F">
        <w:trPr>
          <w:cantSplit/>
        </w:trPr>
        <w:tc>
          <w:tcPr>
            <w:tcW w:w="0" w:type="auto"/>
            <w:gridSpan w:val="9"/>
            <w:shd w:val="clear" w:color="auto" w:fill="auto"/>
            <w:noWrap/>
          </w:tcPr>
          <w:p w14:paraId="08B292BC" w14:textId="02691935" w:rsidR="002069F8" w:rsidRPr="00C1603D" w:rsidRDefault="002069F8" w:rsidP="006877E7">
            <w:pPr>
              <w:pStyle w:val="72TabletextTablesTableFigureBoxstyles"/>
              <w:rPr>
                <w:lang w:eastAsia="en-GB"/>
              </w:rPr>
            </w:pPr>
            <w:r w:rsidRPr="00C1603D">
              <w:rPr>
                <w:lang w:eastAsia="en-GB"/>
              </w:rPr>
              <w:t>Down syndrome</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5D5D98A5" w14:textId="77777777" w:rsidTr="0044057F">
        <w:trPr>
          <w:cantSplit/>
        </w:trPr>
        <w:tc>
          <w:tcPr>
            <w:tcW w:w="0" w:type="auto"/>
            <w:shd w:val="clear" w:color="auto" w:fill="auto"/>
            <w:noWrap/>
          </w:tcPr>
          <w:p w14:paraId="231ED6F7" w14:textId="14F8A940"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7129817E" w14:textId="79C7B1D7" w:rsidR="002069F8" w:rsidRPr="00C1603D" w:rsidRDefault="002069F8" w:rsidP="002069F8">
            <w:pPr>
              <w:pStyle w:val="72TabletextTablesTableFigureBoxstyles"/>
              <w:rPr>
                <w:lang w:eastAsia="en-GB"/>
              </w:rPr>
            </w:pPr>
            <w:r w:rsidRPr="00C1603D">
              <w:rPr>
                <w:lang w:eastAsia="en-GB"/>
              </w:rPr>
              <w:t>6 (0.0)</w:t>
            </w:r>
          </w:p>
        </w:tc>
        <w:tc>
          <w:tcPr>
            <w:tcW w:w="0" w:type="auto"/>
            <w:shd w:val="clear" w:color="auto" w:fill="auto"/>
            <w:noWrap/>
          </w:tcPr>
          <w:p w14:paraId="6059AEB7" w14:textId="7CFE8587" w:rsidR="002069F8" w:rsidRPr="00C1603D" w:rsidRDefault="002069F8" w:rsidP="002069F8">
            <w:pPr>
              <w:pStyle w:val="72TabletextTablesTableFigureBoxstyles"/>
              <w:rPr>
                <w:lang w:eastAsia="en-GB"/>
              </w:rPr>
            </w:pPr>
            <w:r w:rsidRPr="00C1603D">
              <w:rPr>
                <w:lang w:eastAsia="en-GB"/>
              </w:rPr>
              <w:t>6 (0.1)</w:t>
            </w:r>
          </w:p>
        </w:tc>
        <w:tc>
          <w:tcPr>
            <w:tcW w:w="0" w:type="auto"/>
            <w:shd w:val="clear" w:color="auto" w:fill="auto"/>
            <w:noWrap/>
          </w:tcPr>
          <w:p w14:paraId="6B908AB4" w14:textId="77777777" w:rsidR="002069F8" w:rsidRPr="00C1603D" w:rsidRDefault="002069F8" w:rsidP="002069F8">
            <w:pPr>
              <w:pStyle w:val="72TabletextTablesTableFigureBoxstyles"/>
              <w:rPr>
                <w:lang w:eastAsia="en-GB"/>
              </w:rPr>
            </w:pPr>
            <w:r w:rsidRPr="00C1603D">
              <w:rPr>
                <w:lang w:eastAsia="en-GB"/>
              </w:rPr>
              <w:t>0.002</w:t>
            </w:r>
          </w:p>
        </w:tc>
        <w:tc>
          <w:tcPr>
            <w:tcW w:w="0" w:type="auto"/>
            <w:shd w:val="clear" w:color="auto" w:fill="auto"/>
            <w:noWrap/>
          </w:tcPr>
          <w:p w14:paraId="23260EA2" w14:textId="4B559922" w:rsidR="002069F8" w:rsidRPr="00C1603D" w:rsidRDefault="002069F8" w:rsidP="002069F8">
            <w:pPr>
              <w:pStyle w:val="72TabletextTablesTableFigureBoxstyles"/>
              <w:rPr>
                <w:lang w:eastAsia="en-GB"/>
              </w:rPr>
            </w:pPr>
            <w:r w:rsidRPr="00C1603D">
              <w:rPr>
                <w:lang w:eastAsia="en-GB"/>
              </w:rPr>
              <w:t>12 (0.0)</w:t>
            </w:r>
          </w:p>
        </w:tc>
        <w:tc>
          <w:tcPr>
            <w:tcW w:w="0" w:type="auto"/>
            <w:shd w:val="clear" w:color="auto" w:fill="auto"/>
            <w:noWrap/>
          </w:tcPr>
          <w:p w14:paraId="060C1E6B" w14:textId="2DE08864" w:rsidR="002069F8" w:rsidRPr="00C1603D" w:rsidRDefault="002069F8" w:rsidP="002069F8">
            <w:pPr>
              <w:pStyle w:val="72TabletextTablesTableFigureBoxstyles"/>
              <w:rPr>
                <w:lang w:eastAsia="en-GB"/>
              </w:rPr>
            </w:pPr>
            <w:r w:rsidRPr="00C1603D">
              <w:rPr>
                <w:lang w:eastAsia="en-GB"/>
              </w:rPr>
              <w:t>1 (0.0)</w:t>
            </w:r>
          </w:p>
        </w:tc>
        <w:tc>
          <w:tcPr>
            <w:tcW w:w="0" w:type="auto"/>
            <w:shd w:val="clear" w:color="auto" w:fill="auto"/>
            <w:noWrap/>
          </w:tcPr>
          <w:p w14:paraId="19F79FE0" w14:textId="19DD3268" w:rsidR="002069F8" w:rsidRPr="00C1603D" w:rsidRDefault="002069F8" w:rsidP="002069F8">
            <w:pPr>
              <w:pStyle w:val="72TabletextTablesTableFigureBoxstyles"/>
              <w:rPr>
                <w:lang w:eastAsia="en-GB"/>
              </w:rPr>
            </w:pPr>
            <w:r w:rsidRPr="00C1603D">
              <w:rPr>
                <w:lang w:eastAsia="en-GB"/>
              </w:rPr>
              <w:t>4 (0.0)</w:t>
            </w:r>
          </w:p>
        </w:tc>
        <w:tc>
          <w:tcPr>
            <w:tcW w:w="0" w:type="auto"/>
            <w:shd w:val="clear" w:color="auto" w:fill="auto"/>
            <w:noWrap/>
          </w:tcPr>
          <w:p w14:paraId="4BBD2645"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272135D" w14:textId="55E37D99" w:rsidR="002069F8" w:rsidRPr="00C1603D" w:rsidRDefault="002069F8" w:rsidP="002069F8">
            <w:pPr>
              <w:pStyle w:val="72TabletextTablesTableFigureBoxstyles"/>
              <w:rPr>
                <w:lang w:eastAsia="en-GB"/>
              </w:rPr>
            </w:pPr>
            <w:r w:rsidRPr="00C1603D">
              <w:rPr>
                <w:lang w:eastAsia="en-GB"/>
              </w:rPr>
              <w:t>5 (0.0)</w:t>
            </w:r>
          </w:p>
        </w:tc>
      </w:tr>
      <w:tr w:rsidR="002069F8" w:rsidRPr="00C1603D" w14:paraId="5F25FD7C" w14:textId="77777777" w:rsidTr="0044057F">
        <w:trPr>
          <w:cantSplit/>
        </w:trPr>
        <w:tc>
          <w:tcPr>
            <w:tcW w:w="0" w:type="auto"/>
            <w:gridSpan w:val="9"/>
            <w:shd w:val="clear" w:color="auto" w:fill="auto"/>
            <w:noWrap/>
          </w:tcPr>
          <w:p w14:paraId="6AB5E52E" w14:textId="2281A910" w:rsidR="002069F8" w:rsidRPr="00C1603D" w:rsidRDefault="002069F8" w:rsidP="006877E7">
            <w:pPr>
              <w:pStyle w:val="72TabletextTablesTableFigureBoxstyles"/>
              <w:rPr>
                <w:lang w:eastAsia="en-GB"/>
              </w:rPr>
            </w:pPr>
            <w:r w:rsidRPr="00C1603D">
              <w:rPr>
                <w:lang w:eastAsia="en-GB"/>
              </w:rPr>
              <w:t>Epilepsy</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679C0DCF" w14:textId="77777777" w:rsidTr="0044057F">
        <w:trPr>
          <w:cantSplit/>
        </w:trPr>
        <w:tc>
          <w:tcPr>
            <w:tcW w:w="0" w:type="auto"/>
            <w:shd w:val="clear" w:color="auto" w:fill="auto"/>
            <w:noWrap/>
          </w:tcPr>
          <w:p w14:paraId="4F7A6DD7" w14:textId="633F86C1"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26D4AB3F" w14:textId="13562ACE" w:rsidR="002069F8" w:rsidRPr="00C1603D" w:rsidRDefault="002069F8" w:rsidP="002069F8">
            <w:pPr>
              <w:pStyle w:val="72TabletextTablesTableFigureBoxstyles"/>
              <w:rPr>
                <w:lang w:eastAsia="en-GB"/>
              </w:rPr>
            </w:pPr>
            <w:r w:rsidRPr="00C1603D">
              <w:rPr>
                <w:lang w:eastAsia="en-GB"/>
              </w:rPr>
              <w:t>207 (0.6)</w:t>
            </w:r>
          </w:p>
        </w:tc>
        <w:tc>
          <w:tcPr>
            <w:tcW w:w="0" w:type="auto"/>
            <w:shd w:val="clear" w:color="auto" w:fill="auto"/>
            <w:noWrap/>
          </w:tcPr>
          <w:p w14:paraId="47BA5712" w14:textId="6BB4DA9A" w:rsidR="002069F8" w:rsidRPr="00C1603D" w:rsidRDefault="002069F8" w:rsidP="002069F8">
            <w:pPr>
              <w:pStyle w:val="72TabletextTablesTableFigureBoxstyles"/>
              <w:rPr>
                <w:lang w:eastAsia="en-GB"/>
              </w:rPr>
            </w:pPr>
            <w:r w:rsidRPr="00C1603D">
              <w:rPr>
                <w:lang w:eastAsia="en-GB"/>
              </w:rPr>
              <w:t>69 (1.1)</w:t>
            </w:r>
          </w:p>
        </w:tc>
        <w:tc>
          <w:tcPr>
            <w:tcW w:w="0" w:type="auto"/>
            <w:shd w:val="clear" w:color="auto" w:fill="auto"/>
            <w:noWrap/>
          </w:tcPr>
          <w:p w14:paraId="52AB1672"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888E324" w14:textId="143347E0" w:rsidR="002069F8" w:rsidRPr="00C1603D" w:rsidRDefault="002069F8" w:rsidP="002069F8">
            <w:pPr>
              <w:pStyle w:val="72TabletextTablesTableFigureBoxstyles"/>
              <w:rPr>
                <w:lang w:eastAsia="en-GB"/>
              </w:rPr>
            </w:pPr>
            <w:r w:rsidRPr="00C1603D">
              <w:rPr>
                <w:lang w:eastAsia="en-GB"/>
              </w:rPr>
              <w:t>276 (0.7)</w:t>
            </w:r>
          </w:p>
        </w:tc>
        <w:tc>
          <w:tcPr>
            <w:tcW w:w="0" w:type="auto"/>
            <w:shd w:val="clear" w:color="auto" w:fill="auto"/>
            <w:noWrap/>
          </w:tcPr>
          <w:p w14:paraId="067E99BF" w14:textId="0E590EA8" w:rsidR="002069F8" w:rsidRPr="00C1603D" w:rsidRDefault="002069F8" w:rsidP="002069F8">
            <w:pPr>
              <w:pStyle w:val="72TabletextTablesTableFigureBoxstyles"/>
              <w:rPr>
                <w:lang w:eastAsia="en-GB"/>
              </w:rPr>
            </w:pPr>
            <w:r w:rsidRPr="00C1603D">
              <w:rPr>
                <w:lang w:eastAsia="en-GB"/>
              </w:rPr>
              <w:t>101 (0.1)</w:t>
            </w:r>
          </w:p>
        </w:tc>
        <w:tc>
          <w:tcPr>
            <w:tcW w:w="0" w:type="auto"/>
            <w:shd w:val="clear" w:color="auto" w:fill="auto"/>
            <w:noWrap/>
          </w:tcPr>
          <w:p w14:paraId="41DCFAAB" w14:textId="0993F1F1" w:rsidR="002069F8" w:rsidRPr="00C1603D" w:rsidRDefault="002069F8" w:rsidP="002069F8">
            <w:pPr>
              <w:pStyle w:val="72TabletextTablesTableFigureBoxstyles"/>
              <w:rPr>
                <w:lang w:eastAsia="en-GB"/>
              </w:rPr>
            </w:pPr>
            <w:r w:rsidRPr="00C1603D">
              <w:rPr>
                <w:lang w:eastAsia="en-GB"/>
              </w:rPr>
              <w:t>45 (0.4)</w:t>
            </w:r>
          </w:p>
        </w:tc>
        <w:tc>
          <w:tcPr>
            <w:tcW w:w="0" w:type="auto"/>
            <w:shd w:val="clear" w:color="auto" w:fill="auto"/>
            <w:noWrap/>
          </w:tcPr>
          <w:p w14:paraId="55895A7F"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16194F4" w14:textId="0BB552CA" w:rsidR="002069F8" w:rsidRPr="00C1603D" w:rsidRDefault="002069F8" w:rsidP="002069F8">
            <w:pPr>
              <w:pStyle w:val="72TabletextTablesTableFigureBoxstyles"/>
              <w:rPr>
                <w:lang w:eastAsia="en-GB"/>
              </w:rPr>
            </w:pPr>
            <w:r w:rsidRPr="00C1603D">
              <w:rPr>
                <w:lang w:eastAsia="en-GB"/>
              </w:rPr>
              <w:t>146 (0.2)</w:t>
            </w:r>
          </w:p>
        </w:tc>
      </w:tr>
      <w:tr w:rsidR="002069F8" w:rsidRPr="00C1603D" w14:paraId="429E821E" w14:textId="77777777" w:rsidTr="0044057F">
        <w:trPr>
          <w:cantSplit/>
        </w:trPr>
        <w:tc>
          <w:tcPr>
            <w:tcW w:w="0" w:type="auto"/>
            <w:gridSpan w:val="9"/>
            <w:shd w:val="clear" w:color="auto" w:fill="auto"/>
            <w:noWrap/>
          </w:tcPr>
          <w:p w14:paraId="68CAAEBD" w14:textId="17217FF2" w:rsidR="002069F8" w:rsidRPr="00C1603D" w:rsidRDefault="002069F8" w:rsidP="006877E7">
            <w:pPr>
              <w:pStyle w:val="72TabletextTablesTableFigureBoxstyles"/>
              <w:rPr>
                <w:lang w:eastAsia="en-GB"/>
              </w:rPr>
            </w:pPr>
            <w:r w:rsidRPr="00C1603D">
              <w:rPr>
                <w:lang w:eastAsia="en-GB"/>
              </w:rPr>
              <w:t>Fatigue</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586A96B9" w14:textId="77777777" w:rsidTr="0044057F">
        <w:trPr>
          <w:cantSplit/>
        </w:trPr>
        <w:tc>
          <w:tcPr>
            <w:tcW w:w="0" w:type="auto"/>
            <w:shd w:val="clear" w:color="auto" w:fill="auto"/>
            <w:noWrap/>
          </w:tcPr>
          <w:p w14:paraId="55F2A398" w14:textId="7B36149E"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587AF13C" w14:textId="4635D79D" w:rsidR="002069F8" w:rsidRPr="00C1603D" w:rsidRDefault="002069F8" w:rsidP="002069F8">
            <w:pPr>
              <w:pStyle w:val="72TabletextTablesTableFigureBoxstyles"/>
              <w:rPr>
                <w:lang w:eastAsia="en-GB"/>
              </w:rPr>
            </w:pPr>
            <w:r w:rsidRPr="00C1603D">
              <w:rPr>
                <w:lang w:eastAsia="en-GB"/>
              </w:rPr>
              <w:t>1941 (5.5)</w:t>
            </w:r>
          </w:p>
        </w:tc>
        <w:tc>
          <w:tcPr>
            <w:tcW w:w="0" w:type="auto"/>
            <w:shd w:val="clear" w:color="auto" w:fill="auto"/>
            <w:noWrap/>
          </w:tcPr>
          <w:p w14:paraId="7F855DAA" w14:textId="1A9D7FC6" w:rsidR="002069F8" w:rsidRPr="00C1603D" w:rsidRDefault="002069F8" w:rsidP="002069F8">
            <w:pPr>
              <w:pStyle w:val="72TabletextTablesTableFigureBoxstyles"/>
              <w:rPr>
                <w:lang w:eastAsia="en-GB"/>
              </w:rPr>
            </w:pPr>
            <w:r w:rsidRPr="00C1603D">
              <w:rPr>
                <w:lang w:eastAsia="en-GB"/>
              </w:rPr>
              <w:t>881 (14.6)</w:t>
            </w:r>
          </w:p>
        </w:tc>
        <w:tc>
          <w:tcPr>
            <w:tcW w:w="0" w:type="auto"/>
            <w:shd w:val="clear" w:color="auto" w:fill="auto"/>
            <w:noWrap/>
          </w:tcPr>
          <w:p w14:paraId="3A673EEA"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5E57019" w14:textId="273B8B53" w:rsidR="002069F8" w:rsidRPr="00C1603D" w:rsidRDefault="002069F8" w:rsidP="002069F8">
            <w:pPr>
              <w:pStyle w:val="72TabletextTablesTableFigureBoxstyles"/>
              <w:rPr>
                <w:lang w:eastAsia="en-GB"/>
              </w:rPr>
            </w:pPr>
            <w:r w:rsidRPr="00C1603D">
              <w:rPr>
                <w:lang w:eastAsia="en-GB"/>
              </w:rPr>
              <w:t>2822 (6.8)</w:t>
            </w:r>
          </w:p>
        </w:tc>
        <w:tc>
          <w:tcPr>
            <w:tcW w:w="0" w:type="auto"/>
            <w:shd w:val="clear" w:color="auto" w:fill="auto"/>
            <w:noWrap/>
          </w:tcPr>
          <w:p w14:paraId="6E0A47CB" w14:textId="325CB211" w:rsidR="002069F8" w:rsidRPr="00C1603D" w:rsidRDefault="002069F8" w:rsidP="002069F8">
            <w:pPr>
              <w:pStyle w:val="72TabletextTablesTableFigureBoxstyles"/>
              <w:rPr>
                <w:lang w:eastAsia="en-GB"/>
              </w:rPr>
            </w:pPr>
            <w:r w:rsidRPr="00C1603D">
              <w:rPr>
                <w:lang w:eastAsia="en-GB"/>
              </w:rPr>
              <w:t>710 (0.9)</w:t>
            </w:r>
          </w:p>
        </w:tc>
        <w:tc>
          <w:tcPr>
            <w:tcW w:w="0" w:type="auto"/>
            <w:shd w:val="clear" w:color="auto" w:fill="auto"/>
            <w:noWrap/>
          </w:tcPr>
          <w:p w14:paraId="1B713959" w14:textId="2927F185" w:rsidR="002069F8" w:rsidRPr="00C1603D" w:rsidRDefault="002069F8" w:rsidP="002069F8">
            <w:pPr>
              <w:pStyle w:val="72TabletextTablesTableFigureBoxstyles"/>
              <w:rPr>
                <w:lang w:eastAsia="en-GB"/>
              </w:rPr>
            </w:pPr>
            <w:r w:rsidRPr="00C1603D">
              <w:rPr>
                <w:lang w:eastAsia="en-GB"/>
              </w:rPr>
              <w:t>346 (2.8)</w:t>
            </w:r>
          </w:p>
        </w:tc>
        <w:tc>
          <w:tcPr>
            <w:tcW w:w="0" w:type="auto"/>
            <w:shd w:val="clear" w:color="auto" w:fill="auto"/>
            <w:noWrap/>
          </w:tcPr>
          <w:p w14:paraId="61B1D5E2"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E673509" w14:textId="7C694FC2" w:rsidR="002069F8" w:rsidRPr="00C1603D" w:rsidRDefault="002069F8" w:rsidP="002069F8">
            <w:pPr>
              <w:pStyle w:val="72TabletextTablesTableFigureBoxstyles"/>
              <w:rPr>
                <w:lang w:eastAsia="en-GB"/>
              </w:rPr>
            </w:pPr>
            <w:r w:rsidRPr="00C1603D">
              <w:rPr>
                <w:lang w:eastAsia="en-GB"/>
              </w:rPr>
              <w:t>1056 (1.2)</w:t>
            </w:r>
          </w:p>
        </w:tc>
      </w:tr>
      <w:tr w:rsidR="002069F8" w:rsidRPr="00C1603D" w14:paraId="091C5C38" w14:textId="77777777" w:rsidTr="0044057F">
        <w:trPr>
          <w:cantSplit/>
        </w:trPr>
        <w:tc>
          <w:tcPr>
            <w:tcW w:w="0" w:type="auto"/>
            <w:gridSpan w:val="9"/>
            <w:shd w:val="clear" w:color="auto" w:fill="auto"/>
            <w:noWrap/>
          </w:tcPr>
          <w:p w14:paraId="0C252C2C" w14:textId="7E393FE1" w:rsidR="002069F8" w:rsidRPr="00C1603D" w:rsidRDefault="002069F8" w:rsidP="006877E7">
            <w:pPr>
              <w:pStyle w:val="72TabletextTablesTableFigureBoxstyles"/>
              <w:rPr>
                <w:lang w:eastAsia="en-GB"/>
              </w:rPr>
            </w:pPr>
            <w:r w:rsidRPr="00C1603D">
              <w:rPr>
                <w:lang w:eastAsia="en-GB"/>
              </w:rPr>
              <w:t>Fatigue (count, 1 year)</w:t>
            </w:r>
            <w:r w:rsidR="006877E7" w:rsidRPr="00C1603D">
              <w:rPr>
                <w:lang w:eastAsia="en-GB"/>
              </w:rPr>
              <w:t xml:space="preserve"> , </w:t>
            </w:r>
            <w:r w:rsidR="006877E7" w:rsidRPr="00C1603D">
              <w:rPr>
                <w:i/>
                <w:lang w:eastAsia="en-GB"/>
              </w:rPr>
              <w:t>n</w:t>
            </w:r>
            <w:r w:rsidR="006877E7" w:rsidRPr="00C1603D">
              <w:rPr>
                <w:lang w:eastAsia="en-GB"/>
              </w:rPr>
              <w:t xml:space="preserve"> (%)</w:t>
            </w:r>
          </w:p>
        </w:tc>
      </w:tr>
      <w:tr w:rsidR="006877E7" w:rsidRPr="00C1603D" w14:paraId="2A498B58" w14:textId="77777777" w:rsidTr="0044057F">
        <w:trPr>
          <w:cantSplit/>
        </w:trPr>
        <w:tc>
          <w:tcPr>
            <w:tcW w:w="0" w:type="auto"/>
            <w:shd w:val="clear" w:color="auto" w:fill="auto"/>
            <w:noWrap/>
          </w:tcPr>
          <w:p w14:paraId="200A87B8" w14:textId="75549FCF" w:rsidR="006877E7" w:rsidRPr="00C1603D" w:rsidRDefault="006877E7" w:rsidP="002069F8">
            <w:pPr>
              <w:pStyle w:val="72TabletextTablesTableFigureBoxstyles"/>
              <w:rPr>
                <w:lang w:eastAsia="en-GB"/>
              </w:rPr>
            </w:pPr>
            <w:r w:rsidRPr="00C1603D">
              <w:rPr>
                <w:lang w:eastAsia="en-GB"/>
              </w:rPr>
              <w:tab/>
              <w:t>Once</w:t>
            </w:r>
          </w:p>
        </w:tc>
        <w:tc>
          <w:tcPr>
            <w:tcW w:w="0" w:type="auto"/>
            <w:shd w:val="clear" w:color="auto" w:fill="auto"/>
            <w:noWrap/>
          </w:tcPr>
          <w:p w14:paraId="4F055A3C" w14:textId="6F25BA83" w:rsidR="006877E7" w:rsidRPr="00C1603D" w:rsidRDefault="006877E7" w:rsidP="002069F8">
            <w:pPr>
              <w:pStyle w:val="72TabletextTablesTableFigureBoxstyles"/>
              <w:rPr>
                <w:lang w:eastAsia="en-GB"/>
              </w:rPr>
            </w:pPr>
            <w:r w:rsidRPr="00C1603D">
              <w:rPr>
                <w:lang w:eastAsia="en-GB"/>
              </w:rPr>
              <w:t>396 (1.1)</w:t>
            </w:r>
          </w:p>
        </w:tc>
        <w:tc>
          <w:tcPr>
            <w:tcW w:w="0" w:type="auto"/>
            <w:shd w:val="clear" w:color="auto" w:fill="auto"/>
            <w:noWrap/>
          </w:tcPr>
          <w:p w14:paraId="1B639913" w14:textId="1571294E" w:rsidR="006877E7" w:rsidRPr="00C1603D" w:rsidRDefault="006877E7" w:rsidP="002069F8">
            <w:pPr>
              <w:pStyle w:val="72TabletextTablesTableFigureBoxstyles"/>
              <w:rPr>
                <w:lang w:eastAsia="en-GB"/>
              </w:rPr>
            </w:pPr>
            <w:r w:rsidRPr="00C1603D">
              <w:rPr>
                <w:lang w:eastAsia="en-GB"/>
              </w:rPr>
              <w:t>288 (4.8)</w:t>
            </w:r>
          </w:p>
        </w:tc>
        <w:tc>
          <w:tcPr>
            <w:tcW w:w="0" w:type="auto"/>
            <w:vMerge w:val="restart"/>
            <w:shd w:val="clear" w:color="auto" w:fill="auto"/>
            <w:noWrap/>
          </w:tcPr>
          <w:p w14:paraId="56F4293F" w14:textId="77777777" w:rsidR="006877E7" w:rsidRPr="00C1603D" w:rsidRDefault="006877E7"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FDF2A54" w14:textId="314A569A" w:rsidR="006877E7" w:rsidRPr="00C1603D" w:rsidRDefault="006877E7" w:rsidP="002069F8">
            <w:pPr>
              <w:pStyle w:val="72TabletextTablesTableFigureBoxstyles"/>
              <w:rPr>
                <w:lang w:eastAsia="en-GB"/>
              </w:rPr>
            </w:pPr>
            <w:r w:rsidRPr="00C1603D">
              <w:rPr>
                <w:lang w:eastAsia="en-GB"/>
              </w:rPr>
              <w:t>684 (1.7)</w:t>
            </w:r>
          </w:p>
        </w:tc>
        <w:tc>
          <w:tcPr>
            <w:tcW w:w="0" w:type="auto"/>
            <w:shd w:val="clear" w:color="auto" w:fill="auto"/>
            <w:noWrap/>
          </w:tcPr>
          <w:p w14:paraId="5F67CD8D" w14:textId="0BE90D71" w:rsidR="006877E7" w:rsidRPr="00C1603D" w:rsidRDefault="006877E7" w:rsidP="002069F8">
            <w:pPr>
              <w:pStyle w:val="72TabletextTablesTableFigureBoxstyles"/>
              <w:rPr>
                <w:lang w:eastAsia="en-GB"/>
              </w:rPr>
            </w:pPr>
            <w:r w:rsidRPr="00C1603D">
              <w:rPr>
                <w:lang w:eastAsia="en-GB"/>
              </w:rPr>
              <w:t>113 (0.1)</w:t>
            </w:r>
          </w:p>
        </w:tc>
        <w:tc>
          <w:tcPr>
            <w:tcW w:w="0" w:type="auto"/>
            <w:shd w:val="clear" w:color="auto" w:fill="auto"/>
            <w:noWrap/>
          </w:tcPr>
          <w:p w14:paraId="2C458FF0" w14:textId="06B56412" w:rsidR="006877E7" w:rsidRPr="00C1603D" w:rsidRDefault="006877E7" w:rsidP="002069F8">
            <w:pPr>
              <w:pStyle w:val="72TabletextTablesTableFigureBoxstyles"/>
              <w:rPr>
                <w:lang w:eastAsia="en-GB"/>
              </w:rPr>
            </w:pPr>
            <w:r w:rsidRPr="00C1603D">
              <w:rPr>
                <w:lang w:eastAsia="en-GB"/>
              </w:rPr>
              <w:t>87 (0.7)</w:t>
            </w:r>
          </w:p>
        </w:tc>
        <w:tc>
          <w:tcPr>
            <w:tcW w:w="0" w:type="auto"/>
            <w:vMerge w:val="restart"/>
            <w:shd w:val="clear" w:color="auto" w:fill="auto"/>
            <w:noWrap/>
          </w:tcPr>
          <w:p w14:paraId="03AFAB61" w14:textId="77777777" w:rsidR="006877E7" w:rsidRPr="00C1603D" w:rsidRDefault="006877E7"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54E5CC4" w14:textId="77CCCCF8" w:rsidR="006877E7" w:rsidRPr="00C1603D" w:rsidRDefault="006877E7" w:rsidP="002069F8">
            <w:pPr>
              <w:pStyle w:val="72TabletextTablesTableFigureBoxstyles"/>
              <w:rPr>
                <w:lang w:eastAsia="en-GB"/>
              </w:rPr>
            </w:pPr>
            <w:r w:rsidRPr="00C1603D">
              <w:rPr>
                <w:lang w:eastAsia="en-GB"/>
              </w:rPr>
              <w:t>200 (0.2)</w:t>
            </w:r>
          </w:p>
        </w:tc>
      </w:tr>
      <w:tr w:rsidR="006877E7" w:rsidRPr="00C1603D" w14:paraId="44DF7405" w14:textId="77777777" w:rsidTr="0044057F">
        <w:trPr>
          <w:cantSplit/>
        </w:trPr>
        <w:tc>
          <w:tcPr>
            <w:tcW w:w="0" w:type="auto"/>
            <w:shd w:val="clear" w:color="auto" w:fill="auto"/>
            <w:noWrap/>
          </w:tcPr>
          <w:p w14:paraId="62737506" w14:textId="4A83B8D1" w:rsidR="006877E7" w:rsidRPr="00C1603D" w:rsidRDefault="006877E7" w:rsidP="002069F8">
            <w:pPr>
              <w:pStyle w:val="72TabletextTablesTableFigureBoxstyles"/>
              <w:rPr>
                <w:lang w:eastAsia="en-GB"/>
              </w:rPr>
            </w:pPr>
            <w:r w:rsidRPr="00C1603D">
              <w:rPr>
                <w:lang w:eastAsia="en-GB"/>
              </w:rPr>
              <w:tab/>
              <w:t>Twice</w:t>
            </w:r>
          </w:p>
        </w:tc>
        <w:tc>
          <w:tcPr>
            <w:tcW w:w="0" w:type="auto"/>
            <w:shd w:val="clear" w:color="auto" w:fill="auto"/>
            <w:noWrap/>
          </w:tcPr>
          <w:p w14:paraId="025D6104" w14:textId="06E03C69" w:rsidR="006877E7" w:rsidRPr="00C1603D" w:rsidRDefault="006877E7" w:rsidP="002069F8">
            <w:pPr>
              <w:pStyle w:val="72TabletextTablesTableFigureBoxstyles"/>
              <w:rPr>
                <w:lang w:eastAsia="en-GB"/>
              </w:rPr>
            </w:pPr>
            <w:r w:rsidRPr="00C1603D">
              <w:rPr>
                <w:lang w:eastAsia="en-GB"/>
              </w:rPr>
              <w:t>50 (0.1)</w:t>
            </w:r>
          </w:p>
        </w:tc>
        <w:tc>
          <w:tcPr>
            <w:tcW w:w="0" w:type="auto"/>
            <w:shd w:val="clear" w:color="auto" w:fill="auto"/>
            <w:noWrap/>
          </w:tcPr>
          <w:p w14:paraId="535F9744" w14:textId="637A346D" w:rsidR="006877E7" w:rsidRPr="00C1603D" w:rsidRDefault="006877E7" w:rsidP="002069F8">
            <w:pPr>
              <w:pStyle w:val="72TabletextTablesTableFigureBoxstyles"/>
              <w:rPr>
                <w:lang w:eastAsia="en-GB"/>
              </w:rPr>
            </w:pPr>
            <w:r w:rsidRPr="00C1603D">
              <w:rPr>
                <w:lang w:eastAsia="en-GB"/>
              </w:rPr>
              <w:t>63 (1.0)</w:t>
            </w:r>
          </w:p>
        </w:tc>
        <w:tc>
          <w:tcPr>
            <w:tcW w:w="0" w:type="auto"/>
            <w:vMerge/>
            <w:noWrap/>
          </w:tcPr>
          <w:p w14:paraId="153AEA1E" w14:textId="10E6C75C" w:rsidR="006877E7" w:rsidRPr="00C1603D" w:rsidRDefault="006877E7" w:rsidP="002069F8">
            <w:pPr>
              <w:pStyle w:val="72TabletextTablesTableFigureBoxstyles"/>
              <w:rPr>
                <w:lang w:eastAsia="en-GB"/>
              </w:rPr>
            </w:pPr>
          </w:p>
        </w:tc>
        <w:tc>
          <w:tcPr>
            <w:tcW w:w="0" w:type="auto"/>
            <w:shd w:val="clear" w:color="auto" w:fill="auto"/>
            <w:noWrap/>
          </w:tcPr>
          <w:p w14:paraId="10344649" w14:textId="623A20D9" w:rsidR="006877E7" w:rsidRPr="00C1603D" w:rsidRDefault="006877E7" w:rsidP="002069F8">
            <w:pPr>
              <w:pStyle w:val="72TabletextTablesTableFigureBoxstyles"/>
              <w:rPr>
                <w:lang w:eastAsia="en-GB"/>
              </w:rPr>
            </w:pPr>
            <w:r w:rsidRPr="00C1603D">
              <w:rPr>
                <w:lang w:eastAsia="en-GB"/>
              </w:rPr>
              <w:t>113 (0.3)</w:t>
            </w:r>
          </w:p>
        </w:tc>
        <w:tc>
          <w:tcPr>
            <w:tcW w:w="0" w:type="auto"/>
            <w:shd w:val="clear" w:color="auto" w:fill="auto"/>
            <w:noWrap/>
          </w:tcPr>
          <w:p w14:paraId="407919A3" w14:textId="6B0B0A35" w:rsidR="006877E7" w:rsidRPr="00C1603D" w:rsidRDefault="006877E7" w:rsidP="002069F8">
            <w:pPr>
              <w:pStyle w:val="72TabletextTablesTableFigureBoxstyles"/>
              <w:rPr>
                <w:lang w:eastAsia="en-GB"/>
              </w:rPr>
            </w:pPr>
            <w:r w:rsidRPr="00C1603D">
              <w:rPr>
                <w:lang w:eastAsia="en-GB"/>
              </w:rPr>
              <w:t>28 (0.0)</w:t>
            </w:r>
          </w:p>
        </w:tc>
        <w:tc>
          <w:tcPr>
            <w:tcW w:w="0" w:type="auto"/>
            <w:shd w:val="clear" w:color="auto" w:fill="auto"/>
            <w:noWrap/>
          </w:tcPr>
          <w:p w14:paraId="00D9681F" w14:textId="21938A3E" w:rsidR="006877E7" w:rsidRPr="00C1603D" w:rsidRDefault="006877E7" w:rsidP="002069F8">
            <w:pPr>
              <w:pStyle w:val="72TabletextTablesTableFigureBoxstyles"/>
              <w:rPr>
                <w:lang w:eastAsia="en-GB"/>
              </w:rPr>
            </w:pPr>
            <w:r w:rsidRPr="00C1603D">
              <w:rPr>
                <w:lang w:eastAsia="en-GB"/>
              </w:rPr>
              <w:t>35 (0.3)</w:t>
            </w:r>
          </w:p>
        </w:tc>
        <w:tc>
          <w:tcPr>
            <w:tcW w:w="0" w:type="auto"/>
            <w:vMerge/>
            <w:noWrap/>
          </w:tcPr>
          <w:p w14:paraId="2F7C21F0" w14:textId="0489AF3E" w:rsidR="006877E7" w:rsidRPr="00C1603D" w:rsidRDefault="006877E7" w:rsidP="002069F8">
            <w:pPr>
              <w:pStyle w:val="72TabletextTablesTableFigureBoxstyles"/>
              <w:rPr>
                <w:lang w:eastAsia="en-GB"/>
              </w:rPr>
            </w:pPr>
          </w:p>
        </w:tc>
        <w:tc>
          <w:tcPr>
            <w:tcW w:w="0" w:type="auto"/>
            <w:shd w:val="clear" w:color="auto" w:fill="auto"/>
            <w:noWrap/>
          </w:tcPr>
          <w:p w14:paraId="482EC244" w14:textId="342B3115" w:rsidR="006877E7" w:rsidRPr="00C1603D" w:rsidRDefault="006877E7" w:rsidP="002069F8">
            <w:pPr>
              <w:pStyle w:val="72TabletextTablesTableFigureBoxstyles"/>
              <w:rPr>
                <w:lang w:eastAsia="en-GB"/>
              </w:rPr>
            </w:pPr>
            <w:r w:rsidRPr="00C1603D">
              <w:rPr>
                <w:lang w:eastAsia="en-GB"/>
              </w:rPr>
              <w:t>63 (0.1)</w:t>
            </w:r>
          </w:p>
        </w:tc>
      </w:tr>
      <w:tr w:rsidR="006877E7" w:rsidRPr="00C1603D" w14:paraId="64DC553B" w14:textId="77777777" w:rsidTr="0044057F">
        <w:trPr>
          <w:cantSplit/>
        </w:trPr>
        <w:tc>
          <w:tcPr>
            <w:tcW w:w="0" w:type="auto"/>
            <w:shd w:val="clear" w:color="auto" w:fill="auto"/>
            <w:noWrap/>
          </w:tcPr>
          <w:p w14:paraId="4B72C6B9" w14:textId="3A560411" w:rsidR="006877E7" w:rsidRPr="00C1603D" w:rsidRDefault="006877E7" w:rsidP="002069F8">
            <w:pPr>
              <w:pStyle w:val="72TabletextTablesTableFigureBoxstyles"/>
              <w:rPr>
                <w:lang w:eastAsia="en-GB"/>
              </w:rPr>
            </w:pPr>
            <w:r w:rsidRPr="00C1603D">
              <w:rPr>
                <w:lang w:eastAsia="en-GB"/>
              </w:rPr>
              <w:tab/>
              <w:t>Three times</w:t>
            </w:r>
          </w:p>
        </w:tc>
        <w:tc>
          <w:tcPr>
            <w:tcW w:w="0" w:type="auto"/>
            <w:shd w:val="clear" w:color="auto" w:fill="auto"/>
            <w:noWrap/>
          </w:tcPr>
          <w:p w14:paraId="0D3E780F" w14:textId="7806D42F" w:rsidR="006877E7" w:rsidRPr="00C1603D" w:rsidRDefault="006877E7" w:rsidP="002069F8">
            <w:pPr>
              <w:pStyle w:val="72TabletextTablesTableFigureBoxstyles"/>
              <w:rPr>
                <w:lang w:eastAsia="en-GB"/>
              </w:rPr>
            </w:pPr>
            <w:r w:rsidRPr="00C1603D">
              <w:rPr>
                <w:lang w:eastAsia="en-GB"/>
              </w:rPr>
              <w:t>17 (0.0)</w:t>
            </w:r>
          </w:p>
        </w:tc>
        <w:tc>
          <w:tcPr>
            <w:tcW w:w="0" w:type="auto"/>
            <w:shd w:val="clear" w:color="auto" w:fill="auto"/>
            <w:noWrap/>
          </w:tcPr>
          <w:p w14:paraId="30908A8D" w14:textId="3906FBF2" w:rsidR="006877E7" w:rsidRPr="00C1603D" w:rsidRDefault="006877E7" w:rsidP="002069F8">
            <w:pPr>
              <w:pStyle w:val="72TabletextTablesTableFigureBoxstyles"/>
              <w:rPr>
                <w:lang w:eastAsia="en-GB"/>
              </w:rPr>
            </w:pPr>
            <w:r w:rsidRPr="00C1603D">
              <w:rPr>
                <w:lang w:eastAsia="en-GB"/>
              </w:rPr>
              <w:t>22 (0.4)</w:t>
            </w:r>
          </w:p>
        </w:tc>
        <w:tc>
          <w:tcPr>
            <w:tcW w:w="0" w:type="auto"/>
            <w:vMerge/>
            <w:noWrap/>
          </w:tcPr>
          <w:p w14:paraId="3420186B" w14:textId="007ADD55" w:rsidR="006877E7" w:rsidRPr="00C1603D" w:rsidRDefault="006877E7" w:rsidP="002069F8">
            <w:pPr>
              <w:pStyle w:val="72TabletextTablesTableFigureBoxstyles"/>
              <w:rPr>
                <w:lang w:eastAsia="en-GB"/>
              </w:rPr>
            </w:pPr>
          </w:p>
        </w:tc>
        <w:tc>
          <w:tcPr>
            <w:tcW w:w="0" w:type="auto"/>
            <w:shd w:val="clear" w:color="auto" w:fill="auto"/>
            <w:noWrap/>
          </w:tcPr>
          <w:p w14:paraId="4E558881" w14:textId="5BFC49E8" w:rsidR="006877E7" w:rsidRPr="00C1603D" w:rsidRDefault="006877E7" w:rsidP="002069F8">
            <w:pPr>
              <w:pStyle w:val="72TabletextTablesTableFigureBoxstyles"/>
              <w:rPr>
                <w:lang w:eastAsia="en-GB"/>
              </w:rPr>
            </w:pPr>
            <w:r w:rsidRPr="00C1603D">
              <w:rPr>
                <w:lang w:eastAsia="en-GB"/>
              </w:rPr>
              <w:t>39 (0.1)</w:t>
            </w:r>
          </w:p>
        </w:tc>
        <w:tc>
          <w:tcPr>
            <w:tcW w:w="0" w:type="auto"/>
            <w:shd w:val="clear" w:color="auto" w:fill="auto"/>
            <w:noWrap/>
          </w:tcPr>
          <w:p w14:paraId="42628937" w14:textId="78AC1EB2" w:rsidR="006877E7" w:rsidRPr="00C1603D" w:rsidRDefault="006877E7" w:rsidP="002069F8">
            <w:pPr>
              <w:pStyle w:val="72TabletextTablesTableFigureBoxstyles"/>
              <w:rPr>
                <w:lang w:eastAsia="en-GB"/>
              </w:rPr>
            </w:pPr>
            <w:r w:rsidRPr="00C1603D">
              <w:rPr>
                <w:lang w:eastAsia="en-GB"/>
              </w:rPr>
              <w:t>15 (0.0)</w:t>
            </w:r>
          </w:p>
        </w:tc>
        <w:tc>
          <w:tcPr>
            <w:tcW w:w="0" w:type="auto"/>
            <w:shd w:val="clear" w:color="auto" w:fill="auto"/>
            <w:noWrap/>
          </w:tcPr>
          <w:p w14:paraId="5936E057" w14:textId="7E22958F" w:rsidR="006877E7" w:rsidRPr="00C1603D" w:rsidRDefault="006877E7" w:rsidP="002069F8">
            <w:pPr>
              <w:pStyle w:val="72TabletextTablesTableFigureBoxstyles"/>
              <w:rPr>
                <w:lang w:eastAsia="en-GB"/>
              </w:rPr>
            </w:pPr>
            <w:r w:rsidRPr="00C1603D">
              <w:rPr>
                <w:lang w:eastAsia="en-GB"/>
              </w:rPr>
              <w:t>34 (0.3)</w:t>
            </w:r>
          </w:p>
        </w:tc>
        <w:tc>
          <w:tcPr>
            <w:tcW w:w="0" w:type="auto"/>
            <w:vMerge/>
            <w:noWrap/>
          </w:tcPr>
          <w:p w14:paraId="29494FE2" w14:textId="31149B31" w:rsidR="006877E7" w:rsidRPr="00C1603D" w:rsidRDefault="006877E7" w:rsidP="002069F8">
            <w:pPr>
              <w:pStyle w:val="72TabletextTablesTableFigureBoxstyles"/>
              <w:rPr>
                <w:lang w:eastAsia="en-GB"/>
              </w:rPr>
            </w:pPr>
          </w:p>
        </w:tc>
        <w:tc>
          <w:tcPr>
            <w:tcW w:w="0" w:type="auto"/>
            <w:shd w:val="clear" w:color="auto" w:fill="auto"/>
            <w:noWrap/>
          </w:tcPr>
          <w:p w14:paraId="7C8A689D" w14:textId="0FD09BBE" w:rsidR="006877E7" w:rsidRPr="00C1603D" w:rsidRDefault="006877E7" w:rsidP="002069F8">
            <w:pPr>
              <w:pStyle w:val="72TabletextTablesTableFigureBoxstyles"/>
              <w:rPr>
                <w:lang w:eastAsia="en-GB"/>
              </w:rPr>
            </w:pPr>
            <w:r w:rsidRPr="00C1603D">
              <w:rPr>
                <w:lang w:eastAsia="en-GB"/>
              </w:rPr>
              <w:t>49 (0.1)</w:t>
            </w:r>
          </w:p>
        </w:tc>
      </w:tr>
      <w:tr w:rsidR="002069F8" w:rsidRPr="00C1603D" w14:paraId="72D5C3E4" w14:textId="77777777" w:rsidTr="0044057F">
        <w:trPr>
          <w:cantSplit/>
        </w:trPr>
        <w:tc>
          <w:tcPr>
            <w:tcW w:w="0" w:type="auto"/>
            <w:gridSpan w:val="9"/>
            <w:shd w:val="clear" w:color="auto" w:fill="auto"/>
            <w:noWrap/>
          </w:tcPr>
          <w:p w14:paraId="73BE9E8F" w14:textId="28BB8C9F" w:rsidR="002069F8" w:rsidRPr="00C1603D" w:rsidRDefault="002069F8" w:rsidP="006877E7">
            <w:pPr>
              <w:pStyle w:val="72TabletextTablesTableFigureBoxstyles"/>
              <w:rPr>
                <w:lang w:eastAsia="en-GB"/>
              </w:rPr>
            </w:pPr>
            <w:r w:rsidRPr="00C1603D">
              <w:rPr>
                <w:lang w:eastAsia="en-GB"/>
              </w:rPr>
              <w:t>First</w:t>
            </w:r>
            <w:r w:rsidR="006877E7" w:rsidRPr="00C1603D">
              <w:rPr>
                <w:lang w:eastAsia="en-GB"/>
              </w:rPr>
              <w:t>-</w:t>
            </w:r>
            <w:r w:rsidRPr="00C1603D">
              <w:rPr>
                <w:lang w:eastAsia="en-GB"/>
              </w:rPr>
              <w:t>degree relative</w:t>
            </w:r>
            <w:r w:rsidR="006877E7" w:rsidRPr="00C1603D">
              <w:rPr>
                <w:lang w:eastAsia="en-GB"/>
              </w:rPr>
              <w:t xml:space="preserve"> with CD, </w:t>
            </w:r>
            <w:r w:rsidR="006877E7" w:rsidRPr="00C1603D">
              <w:rPr>
                <w:i/>
                <w:lang w:eastAsia="en-GB"/>
              </w:rPr>
              <w:t>n</w:t>
            </w:r>
            <w:r w:rsidR="006877E7" w:rsidRPr="00C1603D">
              <w:rPr>
                <w:lang w:eastAsia="en-GB"/>
              </w:rPr>
              <w:t xml:space="preserve"> (%)</w:t>
            </w:r>
          </w:p>
        </w:tc>
      </w:tr>
      <w:tr w:rsidR="002069F8" w:rsidRPr="00C1603D" w14:paraId="3B89D00D" w14:textId="77777777" w:rsidTr="0044057F">
        <w:trPr>
          <w:cantSplit/>
        </w:trPr>
        <w:tc>
          <w:tcPr>
            <w:tcW w:w="0" w:type="auto"/>
            <w:shd w:val="clear" w:color="auto" w:fill="auto"/>
            <w:noWrap/>
          </w:tcPr>
          <w:p w14:paraId="0DC8EA0F" w14:textId="3E0E8328"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6FC7E809" w14:textId="50F38730" w:rsidR="002069F8" w:rsidRPr="00C1603D" w:rsidRDefault="002069F8" w:rsidP="002069F8">
            <w:pPr>
              <w:pStyle w:val="72TabletextTablesTableFigureBoxstyles"/>
              <w:rPr>
                <w:lang w:eastAsia="en-GB"/>
              </w:rPr>
            </w:pPr>
            <w:r w:rsidRPr="00C1603D">
              <w:rPr>
                <w:lang w:eastAsia="en-GB"/>
              </w:rPr>
              <w:t>103 (0.3)</w:t>
            </w:r>
          </w:p>
        </w:tc>
        <w:tc>
          <w:tcPr>
            <w:tcW w:w="0" w:type="auto"/>
            <w:shd w:val="clear" w:color="auto" w:fill="auto"/>
            <w:noWrap/>
          </w:tcPr>
          <w:p w14:paraId="631D9003" w14:textId="29961B00" w:rsidR="002069F8" w:rsidRPr="00C1603D" w:rsidRDefault="002069F8" w:rsidP="002069F8">
            <w:pPr>
              <w:pStyle w:val="72TabletextTablesTableFigureBoxstyles"/>
              <w:rPr>
                <w:lang w:eastAsia="en-GB"/>
              </w:rPr>
            </w:pPr>
            <w:r w:rsidRPr="00C1603D">
              <w:rPr>
                <w:lang w:eastAsia="en-GB"/>
              </w:rPr>
              <w:t>157 (2.6)</w:t>
            </w:r>
          </w:p>
        </w:tc>
        <w:tc>
          <w:tcPr>
            <w:tcW w:w="0" w:type="auto"/>
            <w:shd w:val="clear" w:color="auto" w:fill="auto"/>
            <w:noWrap/>
          </w:tcPr>
          <w:p w14:paraId="002AAEEA"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0850919" w14:textId="7E968B50" w:rsidR="002069F8" w:rsidRPr="00C1603D" w:rsidRDefault="002069F8" w:rsidP="002069F8">
            <w:pPr>
              <w:pStyle w:val="72TabletextTablesTableFigureBoxstyles"/>
              <w:rPr>
                <w:lang w:eastAsia="en-GB"/>
              </w:rPr>
            </w:pPr>
            <w:r w:rsidRPr="00C1603D">
              <w:rPr>
                <w:lang w:eastAsia="en-GB"/>
              </w:rPr>
              <w:t>260 (0.6)</w:t>
            </w:r>
          </w:p>
        </w:tc>
        <w:tc>
          <w:tcPr>
            <w:tcW w:w="0" w:type="auto"/>
            <w:shd w:val="clear" w:color="auto" w:fill="auto"/>
            <w:noWrap/>
          </w:tcPr>
          <w:p w14:paraId="0ABABF81" w14:textId="77777777" w:rsidR="002069F8" w:rsidRPr="00C1603D" w:rsidRDefault="002069F8" w:rsidP="002069F8">
            <w:pPr>
              <w:pStyle w:val="72TabletextTablesTableFigureBoxstyles"/>
              <w:rPr>
                <w:lang w:eastAsia="en-GB"/>
              </w:rPr>
            </w:pPr>
            <w:r w:rsidRPr="00C1603D">
              <w:rPr>
                <w:lang w:eastAsia="en-GB"/>
              </w:rPr>
              <w:t>NR</w:t>
            </w:r>
          </w:p>
        </w:tc>
        <w:tc>
          <w:tcPr>
            <w:tcW w:w="0" w:type="auto"/>
            <w:shd w:val="clear" w:color="auto" w:fill="auto"/>
            <w:noWrap/>
          </w:tcPr>
          <w:p w14:paraId="39517B49" w14:textId="77777777" w:rsidR="002069F8" w:rsidRPr="00C1603D" w:rsidRDefault="002069F8" w:rsidP="002069F8">
            <w:pPr>
              <w:pStyle w:val="72TabletextTablesTableFigureBoxstyles"/>
              <w:rPr>
                <w:lang w:eastAsia="en-GB"/>
              </w:rPr>
            </w:pPr>
            <w:r w:rsidRPr="00C1603D">
              <w:rPr>
                <w:lang w:eastAsia="en-GB"/>
              </w:rPr>
              <w:t>NR</w:t>
            </w:r>
          </w:p>
        </w:tc>
        <w:tc>
          <w:tcPr>
            <w:tcW w:w="0" w:type="auto"/>
            <w:shd w:val="clear" w:color="auto" w:fill="auto"/>
            <w:noWrap/>
          </w:tcPr>
          <w:p w14:paraId="05F38041" w14:textId="4DCA75BD" w:rsidR="002069F8" w:rsidRPr="00C1603D" w:rsidRDefault="002069F8" w:rsidP="002069F8">
            <w:pPr>
              <w:pStyle w:val="72TabletextTablesTableFigureBoxstyles"/>
              <w:rPr>
                <w:lang w:eastAsia="en-GB"/>
              </w:rPr>
            </w:pPr>
          </w:p>
        </w:tc>
        <w:tc>
          <w:tcPr>
            <w:tcW w:w="0" w:type="auto"/>
            <w:shd w:val="clear" w:color="auto" w:fill="auto"/>
            <w:noWrap/>
          </w:tcPr>
          <w:p w14:paraId="698C0432" w14:textId="77777777" w:rsidR="002069F8" w:rsidRPr="00C1603D" w:rsidRDefault="002069F8" w:rsidP="002069F8">
            <w:pPr>
              <w:pStyle w:val="72TabletextTablesTableFigureBoxstyles"/>
              <w:rPr>
                <w:lang w:eastAsia="en-GB"/>
              </w:rPr>
            </w:pPr>
            <w:r w:rsidRPr="00C1603D">
              <w:rPr>
                <w:lang w:eastAsia="en-GB"/>
              </w:rPr>
              <w:t>NR</w:t>
            </w:r>
          </w:p>
        </w:tc>
      </w:tr>
      <w:tr w:rsidR="002069F8" w:rsidRPr="00C1603D" w14:paraId="4D3BCCC1" w14:textId="77777777" w:rsidTr="0044057F">
        <w:trPr>
          <w:cantSplit/>
        </w:trPr>
        <w:tc>
          <w:tcPr>
            <w:tcW w:w="0" w:type="auto"/>
            <w:gridSpan w:val="9"/>
            <w:shd w:val="clear" w:color="auto" w:fill="auto"/>
            <w:noWrap/>
          </w:tcPr>
          <w:p w14:paraId="30FF4D0E" w14:textId="6B13B630" w:rsidR="002069F8" w:rsidRPr="00C1603D" w:rsidRDefault="002069F8" w:rsidP="006877E7">
            <w:pPr>
              <w:pStyle w:val="72TabletextTablesTableFigureBoxstyles"/>
              <w:rPr>
                <w:lang w:eastAsia="en-GB"/>
              </w:rPr>
            </w:pPr>
            <w:r w:rsidRPr="00C1603D">
              <w:rPr>
                <w:lang w:eastAsia="en-GB"/>
              </w:rPr>
              <w:t>GI symptoms</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3770637D" w14:textId="77777777" w:rsidTr="0044057F">
        <w:trPr>
          <w:cantSplit/>
        </w:trPr>
        <w:tc>
          <w:tcPr>
            <w:tcW w:w="0" w:type="auto"/>
            <w:shd w:val="clear" w:color="auto" w:fill="auto"/>
            <w:noWrap/>
          </w:tcPr>
          <w:p w14:paraId="0A2AEA93" w14:textId="79F6C5AF"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2B75B071" w14:textId="3F589673" w:rsidR="002069F8" w:rsidRPr="00C1603D" w:rsidRDefault="002069F8" w:rsidP="002069F8">
            <w:pPr>
              <w:pStyle w:val="72TabletextTablesTableFigureBoxstyles"/>
              <w:rPr>
                <w:lang w:eastAsia="en-GB"/>
              </w:rPr>
            </w:pPr>
            <w:r w:rsidRPr="00C1603D">
              <w:rPr>
                <w:lang w:eastAsia="en-GB"/>
              </w:rPr>
              <w:t>7850 (22.3)</w:t>
            </w:r>
          </w:p>
        </w:tc>
        <w:tc>
          <w:tcPr>
            <w:tcW w:w="0" w:type="auto"/>
            <w:shd w:val="clear" w:color="auto" w:fill="auto"/>
            <w:noWrap/>
          </w:tcPr>
          <w:p w14:paraId="5CFEAAE0" w14:textId="449095DD" w:rsidR="002069F8" w:rsidRPr="00C1603D" w:rsidRDefault="002069F8" w:rsidP="002069F8">
            <w:pPr>
              <w:pStyle w:val="72TabletextTablesTableFigureBoxstyles"/>
              <w:rPr>
                <w:lang w:eastAsia="en-GB"/>
              </w:rPr>
            </w:pPr>
            <w:r w:rsidRPr="00C1603D">
              <w:rPr>
                <w:lang w:eastAsia="en-GB"/>
              </w:rPr>
              <w:t>3164 (52.4)</w:t>
            </w:r>
          </w:p>
        </w:tc>
        <w:tc>
          <w:tcPr>
            <w:tcW w:w="0" w:type="auto"/>
            <w:shd w:val="clear" w:color="auto" w:fill="auto"/>
            <w:noWrap/>
          </w:tcPr>
          <w:p w14:paraId="30EE4CAF"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100B256" w14:textId="79D22230" w:rsidR="002069F8" w:rsidRPr="00C1603D" w:rsidRDefault="002069F8" w:rsidP="002069F8">
            <w:pPr>
              <w:pStyle w:val="72TabletextTablesTableFigureBoxstyles"/>
              <w:rPr>
                <w:lang w:eastAsia="en-GB"/>
              </w:rPr>
            </w:pPr>
            <w:r w:rsidRPr="00C1603D">
              <w:rPr>
                <w:lang w:eastAsia="en-GB"/>
              </w:rPr>
              <w:t>11</w:t>
            </w:r>
            <w:r w:rsidR="006877E7" w:rsidRPr="00C1603D">
              <w:rPr>
                <w:lang w:eastAsia="en-GB"/>
              </w:rPr>
              <w:t>,</w:t>
            </w:r>
            <w:r w:rsidRPr="00C1603D">
              <w:rPr>
                <w:lang w:eastAsia="en-GB"/>
              </w:rPr>
              <w:t>014 (26.7)</w:t>
            </w:r>
          </w:p>
        </w:tc>
        <w:tc>
          <w:tcPr>
            <w:tcW w:w="0" w:type="auto"/>
            <w:shd w:val="clear" w:color="auto" w:fill="auto"/>
            <w:noWrap/>
          </w:tcPr>
          <w:p w14:paraId="52C66223" w14:textId="0D7682A7" w:rsidR="002069F8" w:rsidRPr="00C1603D" w:rsidRDefault="002069F8" w:rsidP="002069F8">
            <w:pPr>
              <w:pStyle w:val="72TabletextTablesTableFigureBoxstyles"/>
              <w:rPr>
                <w:lang w:eastAsia="en-GB"/>
              </w:rPr>
            </w:pPr>
            <w:r w:rsidRPr="00C1603D">
              <w:rPr>
                <w:lang w:eastAsia="en-GB"/>
              </w:rPr>
              <w:t>2974 (3.9)</w:t>
            </w:r>
          </w:p>
        </w:tc>
        <w:tc>
          <w:tcPr>
            <w:tcW w:w="0" w:type="auto"/>
            <w:shd w:val="clear" w:color="auto" w:fill="auto"/>
            <w:noWrap/>
          </w:tcPr>
          <w:p w14:paraId="1FAFAAD7" w14:textId="167EF3D9" w:rsidR="002069F8" w:rsidRPr="00C1603D" w:rsidRDefault="002069F8" w:rsidP="002069F8">
            <w:pPr>
              <w:pStyle w:val="72TabletextTablesTableFigureBoxstyles"/>
              <w:rPr>
                <w:lang w:eastAsia="en-GB"/>
              </w:rPr>
            </w:pPr>
            <w:r w:rsidRPr="00C1603D">
              <w:rPr>
                <w:lang w:eastAsia="en-GB"/>
              </w:rPr>
              <w:t>1154 (9.3)</w:t>
            </w:r>
          </w:p>
        </w:tc>
        <w:tc>
          <w:tcPr>
            <w:tcW w:w="0" w:type="auto"/>
            <w:shd w:val="clear" w:color="auto" w:fill="auto"/>
            <w:noWrap/>
          </w:tcPr>
          <w:p w14:paraId="3139B094"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D37F9A2" w14:textId="1F5D81A2" w:rsidR="002069F8" w:rsidRPr="00C1603D" w:rsidRDefault="002069F8" w:rsidP="002069F8">
            <w:pPr>
              <w:pStyle w:val="72TabletextTablesTableFigureBoxstyles"/>
              <w:rPr>
                <w:lang w:eastAsia="en-GB"/>
              </w:rPr>
            </w:pPr>
            <w:r w:rsidRPr="00C1603D">
              <w:rPr>
                <w:lang w:eastAsia="en-GB"/>
              </w:rPr>
              <w:t>4128 (4.6)</w:t>
            </w:r>
          </w:p>
        </w:tc>
      </w:tr>
      <w:tr w:rsidR="002069F8" w:rsidRPr="00C1603D" w14:paraId="03839F1B" w14:textId="77777777" w:rsidTr="0044057F">
        <w:trPr>
          <w:cantSplit/>
        </w:trPr>
        <w:tc>
          <w:tcPr>
            <w:tcW w:w="0" w:type="auto"/>
            <w:gridSpan w:val="9"/>
            <w:shd w:val="clear" w:color="auto" w:fill="auto"/>
            <w:noWrap/>
          </w:tcPr>
          <w:p w14:paraId="6DA58F9E" w14:textId="4BD89E46" w:rsidR="002069F8" w:rsidRPr="00C1603D" w:rsidRDefault="002069F8" w:rsidP="006877E7">
            <w:pPr>
              <w:pStyle w:val="72TabletextTablesTableFigureBoxstyles"/>
              <w:rPr>
                <w:lang w:eastAsia="en-GB"/>
              </w:rPr>
            </w:pPr>
            <w:r w:rsidRPr="00C1603D">
              <w:rPr>
                <w:lang w:eastAsia="en-GB"/>
              </w:rPr>
              <w:t>GI symptoms (count, 1 year)</w:t>
            </w:r>
            <w:r w:rsidR="006877E7" w:rsidRPr="00C1603D">
              <w:rPr>
                <w:lang w:eastAsia="en-GB"/>
              </w:rPr>
              <w:t xml:space="preserve"> , </w:t>
            </w:r>
            <w:r w:rsidR="006877E7" w:rsidRPr="00C1603D">
              <w:rPr>
                <w:i/>
                <w:lang w:eastAsia="en-GB"/>
              </w:rPr>
              <w:t>n</w:t>
            </w:r>
            <w:r w:rsidR="006877E7" w:rsidRPr="00C1603D">
              <w:rPr>
                <w:lang w:eastAsia="en-GB"/>
              </w:rPr>
              <w:t xml:space="preserve"> (%)</w:t>
            </w:r>
          </w:p>
        </w:tc>
      </w:tr>
      <w:tr w:rsidR="006877E7" w:rsidRPr="00C1603D" w14:paraId="4BB001CF" w14:textId="77777777" w:rsidTr="0044057F">
        <w:trPr>
          <w:cantSplit/>
        </w:trPr>
        <w:tc>
          <w:tcPr>
            <w:tcW w:w="0" w:type="auto"/>
            <w:shd w:val="clear" w:color="auto" w:fill="auto"/>
            <w:noWrap/>
          </w:tcPr>
          <w:p w14:paraId="6B7B8847" w14:textId="68E21FCF" w:rsidR="006877E7" w:rsidRPr="00C1603D" w:rsidRDefault="006877E7" w:rsidP="002069F8">
            <w:pPr>
              <w:pStyle w:val="72TabletextTablesTableFigureBoxstyles"/>
              <w:rPr>
                <w:lang w:eastAsia="en-GB"/>
              </w:rPr>
            </w:pPr>
            <w:r w:rsidRPr="00C1603D">
              <w:rPr>
                <w:lang w:eastAsia="en-GB"/>
              </w:rPr>
              <w:tab/>
              <w:t>Once</w:t>
            </w:r>
          </w:p>
        </w:tc>
        <w:tc>
          <w:tcPr>
            <w:tcW w:w="0" w:type="auto"/>
            <w:shd w:val="clear" w:color="auto" w:fill="auto"/>
            <w:noWrap/>
          </w:tcPr>
          <w:p w14:paraId="7D27F1D8" w14:textId="6142E75C" w:rsidR="006877E7" w:rsidRPr="00C1603D" w:rsidRDefault="006877E7" w:rsidP="002069F8">
            <w:pPr>
              <w:pStyle w:val="72TabletextTablesTableFigureBoxstyles"/>
              <w:rPr>
                <w:lang w:eastAsia="en-GB"/>
              </w:rPr>
            </w:pPr>
            <w:r w:rsidRPr="00C1603D">
              <w:rPr>
                <w:lang w:eastAsia="en-GB"/>
              </w:rPr>
              <w:t>1482 (4.2)</w:t>
            </w:r>
          </w:p>
        </w:tc>
        <w:tc>
          <w:tcPr>
            <w:tcW w:w="0" w:type="auto"/>
            <w:shd w:val="clear" w:color="auto" w:fill="auto"/>
            <w:noWrap/>
          </w:tcPr>
          <w:p w14:paraId="0075D499" w14:textId="5EB2A783" w:rsidR="006877E7" w:rsidRPr="00C1603D" w:rsidRDefault="006877E7" w:rsidP="002069F8">
            <w:pPr>
              <w:pStyle w:val="72TabletextTablesTableFigureBoxstyles"/>
              <w:rPr>
                <w:lang w:eastAsia="en-GB"/>
              </w:rPr>
            </w:pPr>
            <w:r w:rsidRPr="00C1603D">
              <w:rPr>
                <w:lang w:eastAsia="en-GB"/>
              </w:rPr>
              <w:t>1030 (17.1)</w:t>
            </w:r>
          </w:p>
        </w:tc>
        <w:tc>
          <w:tcPr>
            <w:tcW w:w="0" w:type="auto"/>
            <w:vMerge w:val="restart"/>
            <w:shd w:val="clear" w:color="auto" w:fill="auto"/>
            <w:noWrap/>
          </w:tcPr>
          <w:p w14:paraId="43699F10" w14:textId="77777777" w:rsidR="006877E7" w:rsidRPr="00C1603D" w:rsidRDefault="006877E7"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6080C78" w14:textId="06D1266F" w:rsidR="006877E7" w:rsidRPr="00C1603D" w:rsidRDefault="006877E7" w:rsidP="002069F8">
            <w:pPr>
              <w:pStyle w:val="72TabletextTablesTableFigureBoxstyles"/>
              <w:rPr>
                <w:lang w:eastAsia="en-GB"/>
              </w:rPr>
            </w:pPr>
            <w:r w:rsidRPr="00C1603D">
              <w:rPr>
                <w:lang w:eastAsia="en-GB"/>
              </w:rPr>
              <w:t>2512 (6.1)</w:t>
            </w:r>
          </w:p>
        </w:tc>
        <w:tc>
          <w:tcPr>
            <w:tcW w:w="0" w:type="auto"/>
            <w:shd w:val="clear" w:color="auto" w:fill="auto"/>
            <w:noWrap/>
          </w:tcPr>
          <w:p w14:paraId="3DD32CDD" w14:textId="20BC1BA3" w:rsidR="006877E7" w:rsidRPr="00C1603D" w:rsidRDefault="006877E7" w:rsidP="002069F8">
            <w:pPr>
              <w:pStyle w:val="72TabletextTablesTableFigureBoxstyles"/>
              <w:rPr>
                <w:lang w:eastAsia="en-GB"/>
              </w:rPr>
            </w:pPr>
            <w:r w:rsidRPr="00C1603D">
              <w:rPr>
                <w:lang w:eastAsia="en-GB"/>
              </w:rPr>
              <w:t>535 (0.7)</w:t>
            </w:r>
          </w:p>
        </w:tc>
        <w:tc>
          <w:tcPr>
            <w:tcW w:w="0" w:type="auto"/>
            <w:shd w:val="clear" w:color="auto" w:fill="auto"/>
            <w:noWrap/>
          </w:tcPr>
          <w:p w14:paraId="696CE8E2" w14:textId="6B7CEF3D" w:rsidR="006877E7" w:rsidRPr="00C1603D" w:rsidRDefault="006877E7" w:rsidP="002069F8">
            <w:pPr>
              <w:pStyle w:val="72TabletextTablesTableFigureBoxstyles"/>
              <w:rPr>
                <w:lang w:eastAsia="en-GB"/>
              </w:rPr>
            </w:pPr>
            <w:r w:rsidRPr="00C1603D">
              <w:rPr>
                <w:lang w:eastAsia="en-GB"/>
              </w:rPr>
              <w:t>306 (2.5)</w:t>
            </w:r>
          </w:p>
        </w:tc>
        <w:tc>
          <w:tcPr>
            <w:tcW w:w="0" w:type="auto"/>
            <w:vMerge w:val="restart"/>
            <w:shd w:val="clear" w:color="auto" w:fill="auto"/>
            <w:noWrap/>
          </w:tcPr>
          <w:p w14:paraId="122F14B3" w14:textId="77777777" w:rsidR="006877E7" w:rsidRPr="00C1603D" w:rsidRDefault="006877E7"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339CE67" w14:textId="32F2EBC0" w:rsidR="006877E7" w:rsidRPr="00C1603D" w:rsidRDefault="006877E7" w:rsidP="002069F8">
            <w:pPr>
              <w:pStyle w:val="72TabletextTablesTableFigureBoxstyles"/>
              <w:rPr>
                <w:lang w:eastAsia="en-GB"/>
              </w:rPr>
            </w:pPr>
            <w:r w:rsidRPr="00C1603D">
              <w:rPr>
                <w:lang w:eastAsia="en-GB"/>
              </w:rPr>
              <w:t>841 (0.9)</w:t>
            </w:r>
          </w:p>
        </w:tc>
      </w:tr>
      <w:tr w:rsidR="006877E7" w:rsidRPr="00C1603D" w14:paraId="24E81F7F" w14:textId="77777777" w:rsidTr="0044057F">
        <w:trPr>
          <w:cantSplit/>
        </w:trPr>
        <w:tc>
          <w:tcPr>
            <w:tcW w:w="0" w:type="auto"/>
            <w:shd w:val="clear" w:color="auto" w:fill="auto"/>
            <w:noWrap/>
          </w:tcPr>
          <w:p w14:paraId="3A424B79" w14:textId="45EB336C" w:rsidR="006877E7" w:rsidRPr="00C1603D" w:rsidRDefault="006877E7" w:rsidP="002069F8">
            <w:pPr>
              <w:pStyle w:val="72TabletextTablesTableFigureBoxstyles"/>
              <w:rPr>
                <w:lang w:eastAsia="en-GB"/>
              </w:rPr>
            </w:pPr>
            <w:r w:rsidRPr="00C1603D">
              <w:rPr>
                <w:lang w:eastAsia="en-GB"/>
              </w:rPr>
              <w:tab/>
              <w:t>Twice</w:t>
            </w:r>
          </w:p>
        </w:tc>
        <w:tc>
          <w:tcPr>
            <w:tcW w:w="0" w:type="auto"/>
            <w:shd w:val="clear" w:color="auto" w:fill="auto"/>
            <w:noWrap/>
          </w:tcPr>
          <w:p w14:paraId="1C5642AB" w14:textId="2C4AF081" w:rsidR="006877E7" w:rsidRPr="00C1603D" w:rsidRDefault="006877E7" w:rsidP="002069F8">
            <w:pPr>
              <w:pStyle w:val="72TabletextTablesTableFigureBoxstyles"/>
              <w:rPr>
                <w:lang w:eastAsia="en-GB"/>
              </w:rPr>
            </w:pPr>
            <w:r w:rsidRPr="00C1603D">
              <w:rPr>
                <w:lang w:eastAsia="en-GB"/>
              </w:rPr>
              <w:t>421 (1.2)</w:t>
            </w:r>
          </w:p>
        </w:tc>
        <w:tc>
          <w:tcPr>
            <w:tcW w:w="0" w:type="auto"/>
            <w:shd w:val="clear" w:color="auto" w:fill="auto"/>
            <w:noWrap/>
          </w:tcPr>
          <w:p w14:paraId="34484834" w14:textId="51F950D7" w:rsidR="006877E7" w:rsidRPr="00C1603D" w:rsidRDefault="006877E7" w:rsidP="002069F8">
            <w:pPr>
              <w:pStyle w:val="72TabletextTablesTableFigureBoxstyles"/>
              <w:rPr>
                <w:lang w:eastAsia="en-GB"/>
              </w:rPr>
            </w:pPr>
            <w:r w:rsidRPr="00C1603D">
              <w:rPr>
                <w:lang w:eastAsia="en-GB"/>
              </w:rPr>
              <w:t>483 (8.0)</w:t>
            </w:r>
          </w:p>
        </w:tc>
        <w:tc>
          <w:tcPr>
            <w:tcW w:w="0" w:type="auto"/>
            <w:vMerge/>
            <w:noWrap/>
          </w:tcPr>
          <w:p w14:paraId="5406C190" w14:textId="69C364E9" w:rsidR="006877E7" w:rsidRPr="00C1603D" w:rsidRDefault="006877E7" w:rsidP="002069F8">
            <w:pPr>
              <w:pStyle w:val="72TabletextTablesTableFigureBoxstyles"/>
              <w:rPr>
                <w:lang w:eastAsia="en-GB"/>
              </w:rPr>
            </w:pPr>
          </w:p>
        </w:tc>
        <w:tc>
          <w:tcPr>
            <w:tcW w:w="0" w:type="auto"/>
            <w:shd w:val="clear" w:color="auto" w:fill="auto"/>
            <w:noWrap/>
          </w:tcPr>
          <w:p w14:paraId="223CA6E1" w14:textId="649F28FC" w:rsidR="006877E7" w:rsidRPr="00C1603D" w:rsidRDefault="006877E7" w:rsidP="002069F8">
            <w:pPr>
              <w:pStyle w:val="72TabletextTablesTableFigureBoxstyles"/>
              <w:rPr>
                <w:lang w:eastAsia="en-GB"/>
              </w:rPr>
            </w:pPr>
            <w:r w:rsidRPr="00C1603D">
              <w:rPr>
                <w:lang w:eastAsia="en-GB"/>
              </w:rPr>
              <w:t>904 (2.2)</w:t>
            </w:r>
          </w:p>
        </w:tc>
        <w:tc>
          <w:tcPr>
            <w:tcW w:w="0" w:type="auto"/>
            <w:shd w:val="clear" w:color="auto" w:fill="auto"/>
            <w:noWrap/>
          </w:tcPr>
          <w:p w14:paraId="0BDAB8FE" w14:textId="48F4466E" w:rsidR="006877E7" w:rsidRPr="00C1603D" w:rsidRDefault="006877E7" w:rsidP="002069F8">
            <w:pPr>
              <w:pStyle w:val="72TabletextTablesTableFigureBoxstyles"/>
              <w:rPr>
                <w:lang w:eastAsia="en-GB"/>
              </w:rPr>
            </w:pPr>
            <w:r w:rsidRPr="00C1603D">
              <w:rPr>
                <w:lang w:eastAsia="en-GB"/>
              </w:rPr>
              <w:t>170 (0.2)</w:t>
            </w:r>
          </w:p>
        </w:tc>
        <w:tc>
          <w:tcPr>
            <w:tcW w:w="0" w:type="auto"/>
            <w:shd w:val="clear" w:color="auto" w:fill="auto"/>
            <w:noWrap/>
          </w:tcPr>
          <w:p w14:paraId="60F7A50A" w14:textId="5E3EBF9A" w:rsidR="006877E7" w:rsidRPr="00C1603D" w:rsidRDefault="006877E7" w:rsidP="002069F8">
            <w:pPr>
              <w:pStyle w:val="72TabletextTablesTableFigureBoxstyles"/>
              <w:rPr>
                <w:lang w:eastAsia="en-GB"/>
              </w:rPr>
            </w:pPr>
            <w:r w:rsidRPr="00C1603D">
              <w:rPr>
                <w:lang w:eastAsia="en-GB"/>
              </w:rPr>
              <w:t>172 (1.4)</w:t>
            </w:r>
          </w:p>
        </w:tc>
        <w:tc>
          <w:tcPr>
            <w:tcW w:w="0" w:type="auto"/>
            <w:vMerge/>
            <w:noWrap/>
          </w:tcPr>
          <w:p w14:paraId="17835663" w14:textId="40BDEF42" w:rsidR="006877E7" w:rsidRPr="00C1603D" w:rsidRDefault="006877E7" w:rsidP="002069F8">
            <w:pPr>
              <w:pStyle w:val="72TabletextTablesTableFigureBoxstyles"/>
              <w:rPr>
                <w:lang w:eastAsia="en-GB"/>
              </w:rPr>
            </w:pPr>
          </w:p>
        </w:tc>
        <w:tc>
          <w:tcPr>
            <w:tcW w:w="0" w:type="auto"/>
            <w:shd w:val="clear" w:color="auto" w:fill="auto"/>
            <w:noWrap/>
          </w:tcPr>
          <w:p w14:paraId="2495E111" w14:textId="28496863" w:rsidR="006877E7" w:rsidRPr="00C1603D" w:rsidRDefault="006877E7" w:rsidP="002069F8">
            <w:pPr>
              <w:pStyle w:val="72TabletextTablesTableFigureBoxstyles"/>
              <w:rPr>
                <w:lang w:eastAsia="en-GB"/>
              </w:rPr>
            </w:pPr>
            <w:r w:rsidRPr="00C1603D">
              <w:rPr>
                <w:lang w:eastAsia="en-GB"/>
              </w:rPr>
              <w:t>342 (0.4)</w:t>
            </w:r>
          </w:p>
        </w:tc>
      </w:tr>
      <w:tr w:rsidR="006877E7" w:rsidRPr="00C1603D" w14:paraId="632E35C6" w14:textId="77777777" w:rsidTr="0044057F">
        <w:trPr>
          <w:cantSplit/>
        </w:trPr>
        <w:tc>
          <w:tcPr>
            <w:tcW w:w="0" w:type="auto"/>
            <w:shd w:val="clear" w:color="auto" w:fill="auto"/>
            <w:noWrap/>
          </w:tcPr>
          <w:p w14:paraId="780D0833" w14:textId="6B208D4C" w:rsidR="006877E7" w:rsidRPr="00C1603D" w:rsidRDefault="006877E7" w:rsidP="002069F8">
            <w:pPr>
              <w:pStyle w:val="72TabletextTablesTableFigureBoxstyles"/>
              <w:rPr>
                <w:lang w:eastAsia="en-GB"/>
              </w:rPr>
            </w:pPr>
            <w:r w:rsidRPr="00C1603D">
              <w:rPr>
                <w:lang w:eastAsia="en-GB"/>
              </w:rPr>
              <w:lastRenderedPageBreak/>
              <w:tab/>
              <w:t>Three times</w:t>
            </w:r>
          </w:p>
        </w:tc>
        <w:tc>
          <w:tcPr>
            <w:tcW w:w="0" w:type="auto"/>
            <w:shd w:val="clear" w:color="auto" w:fill="auto"/>
            <w:noWrap/>
          </w:tcPr>
          <w:p w14:paraId="27008E28" w14:textId="233677F5" w:rsidR="006877E7" w:rsidRPr="00C1603D" w:rsidRDefault="006877E7" w:rsidP="002069F8">
            <w:pPr>
              <w:pStyle w:val="72TabletextTablesTableFigureBoxstyles"/>
              <w:rPr>
                <w:lang w:eastAsia="en-GB"/>
              </w:rPr>
            </w:pPr>
            <w:r w:rsidRPr="00C1603D">
              <w:rPr>
                <w:lang w:eastAsia="en-GB"/>
              </w:rPr>
              <w:t>134 (0.4)</w:t>
            </w:r>
          </w:p>
        </w:tc>
        <w:tc>
          <w:tcPr>
            <w:tcW w:w="0" w:type="auto"/>
            <w:shd w:val="clear" w:color="auto" w:fill="auto"/>
            <w:noWrap/>
          </w:tcPr>
          <w:p w14:paraId="5B5A514C" w14:textId="7BA4AB3F" w:rsidR="006877E7" w:rsidRPr="00C1603D" w:rsidRDefault="006877E7" w:rsidP="002069F8">
            <w:pPr>
              <w:pStyle w:val="72TabletextTablesTableFigureBoxstyles"/>
              <w:rPr>
                <w:lang w:eastAsia="en-GB"/>
              </w:rPr>
            </w:pPr>
            <w:r w:rsidRPr="00C1603D">
              <w:rPr>
                <w:lang w:eastAsia="en-GB"/>
              </w:rPr>
              <w:t>247 (4.1)</w:t>
            </w:r>
          </w:p>
        </w:tc>
        <w:tc>
          <w:tcPr>
            <w:tcW w:w="0" w:type="auto"/>
            <w:vMerge/>
            <w:noWrap/>
          </w:tcPr>
          <w:p w14:paraId="32EDB65D" w14:textId="08032C58" w:rsidR="006877E7" w:rsidRPr="00C1603D" w:rsidRDefault="006877E7" w:rsidP="002069F8">
            <w:pPr>
              <w:pStyle w:val="72TabletextTablesTableFigureBoxstyles"/>
              <w:rPr>
                <w:lang w:eastAsia="en-GB"/>
              </w:rPr>
            </w:pPr>
          </w:p>
        </w:tc>
        <w:tc>
          <w:tcPr>
            <w:tcW w:w="0" w:type="auto"/>
            <w:shd w:val="clear" w:color="auto" w:fill="auto"/>
            <w:noWrap/>
          </w:tcPr>
          <w:p w14:paraId="6479DAE2" w14:textId="774A8765" w:rsidR="006877E7" w:rsidRPr="00C1603D" w:rsidRDefault="006877E7" w:rsidP="002069F8">
            <w:pPr>
              <w:pStyle w:val="72TabletextTablesTableFigureBoxstyles"/>
              <w:rPr>
                <w:lang w:eastAsia="en-GB"/>
              </w:rPr>
            </w:pPr>
            <w:r w:rsidRPr="00C1603D">
              <w:rPr>
                <w:lang w:eastAsia="en-GB"/>
              </w:rPr>
              <w:t>381 (0.9)</w:t>
            </w:r>
          </w:p>
        </w:tc>
        <w:tc>
          <w:tcPr>
            <w:tcW w:w="0" w:type="auto"/>
            <w:shd w:val="clear" w:color="auto" w:fill="auto"/>
            <w:noWrap/>
          </w:tcPr>
          <w:p w14:paraId="31CF0CC9" w14:textId="0139231C" w:rsidR="006877E7" w:rsidRPr="00C1603D" w:rsidRDefault="006877E7" w:rsidP="002069F8">
            <w:pPr>
              <w:pStyle w:val="72TabletextTablesTableFigureBoxstyles"/>
              <w:rPr>
                <w:lang w:eastAsia="en-GB"/>
              </w:rPr>
            </w:pPr>
            <w:r w:rsidRPr="00C1603D">
              <w:rPr>
                <w:lang w:eastAsia="en-GB"/>
              </w:rPr>
              <w:t>60 (0.1)</w:t>
            </w:r>
          </w:p>
        </w:tc>
        <w:tc>
          <w:tcPr>
            <w:tcW w:w="0" w:type="auto"/>
            <w:shd w:val="clear" w:color="auto" w:fill="auto"/>
            <w:noWrap/>
          </w:tcPr>
          <w:p w14:paraId="6F2A3815" w14:textId="08048E91" w:rsidR="006877E7" w:rsidRPr="00C1603D" w:rsidRDefault="006877E7" w:rsidP="002069F8">
            <w:pPr>
              <w:pStyle w:val="72TabletextTablesTableFigureBoxstyles"/>
              <w:rPr>
                <w:lang w:eastAsia="en-GB"/>
              </w:rPr>
            </w:pPr>
            <w:r w:rsidRPr="00C1603D">
              <w:rPr>
                <w:lang w:eastAsia="en-GB"/>
              </w:rPr>
              <w:t>76 (0.6)</w:t>
            </w:r>
          </w:p>
        </w:tc>
        <w:tc>
          <w:tcPr>
            <w:tcW w:w="0" w:type="auto"/>
            <w:vMerge/>
            <w:noWrap/>
          </w:tcPr>
          <w:p w14:paraId="41B67F41" w14:textId="51909BE7" w:rsidR="006877E7" w:rsidRPr="00C1603D" w:rsidRDefault="006877E7" w:rsidP="002069F8">
            <w:pPr>
              <w:pStyle w:val="72TabletextTablesTableFigureBoxstyles"/>
              <w:rPr>
                <w:lang w:eastAsia="en-GB"/>
              </w:rPr>
            </w:pPr>
          </w:p>
        </w:tc>
        <w:tc>
          <w:tcPr>
            <w:tcW w:w="0" w:type="auto"/>
            <w:shd w:val="clear" w:color="auto" w:fill="auto"/>
            <w:noWrap/>
          </w:tcPr>
          <w:p w14:paraId="113CC3BF" w14:textId="31DDF64B" w:rsidR="006877E7" w:rsidRPr="00C1603D" w:rsidRDefault="006877E7" w:rsidP="002069F8">
            <w:pPr>
              <w:pStyle w:val="72TabletextTablesTableFigureBoxstyles"/>
              <w:rPr>
                <w:lang w:eastAsia="en-GB"/>
              </w:rPr>
            </w:pPr>
            <w:r w:rsidRPr="00C1603D">
              <w:rPr>
                <w:lang w:eastAsia="en-GB"/>
              </w:rPr>
              <w:t>136 (0.2)</w:t>
            </w:r>
          </w:p>
        </w:tc>
      </w:tr>
      <w:tr w:rsidR="006877E7" w:rsidRPr="00C1603D" w14:paraId="0B6B8576" w14:textId="77777777" w:rsidTr="0044057F">
        <w:trPr>
          <w:cantSplit/>
        </w:trPr>
        <w:tc>
          <w:tcPr>
            <w:tcW w:w="0" w:type="auto"/>
            <w:shd w:val="clear" w:color="auto" w:fill="auto"/>
            <w:noWrap/>
          </w:tcPr>
          <w:p w14:paraId="7ED1E064" w14:textId="5AD99F5C" w:rsidR="006877E7" w:rsidRPr="00C1603D" w:rsidRDefault="006877E7" w:rsidP="002069F8">
            <w:pPr>
              <w:pStyle w:val="72TabletextTablesTableFigureBoxstyles"/>
              <w:rPr>
                <w:lang w:eastAsia="en-GB"/>
              </w:rPr>
            </w:pPr>
            <w:r w:rsidRPr="00C1603D">
              <w:rPr>
                <w:lang w:eastAsia="en-GB"/>
              </w:rPr>
              <w:tab/>
              <w:t>Four times</w:t>
            </w:r>
          </w:p>
        </w:tc>
        <w:tc>
          <w:tcPr>
            <w:tcW w:w="0" w:type="auto"/>
            <w:shd w:val="clear" w:color="auto" w:fill="auto"/>
            <w:noWrap/>
          </w:tcPr>
          <w:p w14:paraId="549A5902" w14:textId="2B3E6145" w:rsidR="006877E7" w:rsidRPr="00C1603D" w:rsidRDefault="006877E7" w:rsidP="002069F8">
            <w:pPr>
              <w:pStyle w:val="72TabletextTablesTableFigureBoxstyles"/>
              <w:rPr>
                <w:lang w:eastAsia="en-GB"/>
              </w:rPr>
            </w:pPr>
            <w:r w:rsidRPr="00C1603D">
              <w:rPr>
                <w:lang w:eastAsia="en-GB"/>
              </w:rPr>
              <w:t>115 (0.3)</w:t>
            </w:r>
          </w:p>
        </w:tc>
        <w:tc>
          <w:tcPr>
            <w:tcW w:w="0" w:type="auto"/>
            <w:shd w:val="clear" w:color="auto" w:fill="auto"/>
            <w:noWrap/>
          </w:tcPr>
          <w:p w14:paraId="40558528" w14:textId="132650E0" w:rsidR="006877E7" w:rsidRPr="00C1603D" w:rsidRDefault="006877E7" w:rsidP="002069F8">
            <w:pPr>
              <w:pStyle w:val="72TabletextTablesTableFigureBoxstyles"/>
              <w:rPr>
                <w:lang w:eastAsia="en-GB"/>
              </w:rPr>
            </w:pPr>
            <w:r w:rsidRPr="00C1603D">
              <w:rPr>
                <w:lang w:eastAsia="en-GB"/>
              </w:rPr>
              <w:t>272 (4.5)</w:t>
            </w:r>
          </w:p>
        </w:tc>
        <w:tc>
          <w:tcPr>
            <w:tcW w:w="0" w:type="auto"/>
            <w:vMerge/>
            <w:noWrap/>
          </w:tcPr>
          <w:p w14:paraId="2BE22ACC" w14:textId="7CC8DC72" w:rsidR="006877E7" w:rsidRPr="00C1603D" w:rsidRDefault="006877E7" w:rsidP="002069F8">
            <w:pPr>
              <w:pStyle w:val="72TabletextTablesTableFigureBoxstyles"/>
              <w:rPr>
                <w:lang w:eastAsia="en-GB"/>
              </w:rPr>
            </w:pPr>
          </w:p>
        </w:tc>
        <w:tc>
          <w:tcPr>
            <w:tcW w:w="0" w:type="auto"/>
            <w:shd w:val="clear" w:color="auto" w:fill="auto"/>
            <w:noWrap/>
          </w:tcPr>
          <w:p w14:paraId="1E9090BB" w14:textId="3FF95111" w:rsidR="006877E7" w:rsidRPr="00C1603D" w:rsidRDefault="006877E7" w:rsidP="002069F8">
            <w:pPr>
              <w:pStyle w:val="72TabletextTablesTableFigureBoxstyles"/>
              <w:rPr>
                <w:lang w:eastAsia="en-GB"/>
              </w:rPr>
            </w:pPr>
            <w:r w:rsidRPr="00C1603D">
              <w:rPr>
                <w:lang w:eastAsia="en-GB"/>
              </w:rPr>
              <w:t>387 (0.9)</w:t>
            </w:r>
          </w:p>
        </w:tc>
        <w:tc>
          <w:tcPr>
            <w:tcW w:w="0" w:type="auto"/>
            <w:shd w:val="clear" w:color="auto" w:fill="auto"/>
            <w:noWrap/>
          </w:tcPr>
          <w:p w14:paraId="2B0D0763" w14:textId="5AA7D766" w:rsidR="006877E7" w:rsidRPr="00C1603D" w:rsidRDefault="006877E7" w:rsidP="002069F8">
            <w:pPr>
              <w:pStyle w:val="72TabletextTablesTableFigureBoxstyles"/>
              <w:rPr>
                <w:lang w:eastAsia="en-GB"/>
              </w:rPr>
            </w:pPr>
            <w:r w:rsidRPr="00C1603D">
              <w:rPr>
                <w:lang w:eastAsia="en-GB"/>
              </w:rPr>
              <w:t>100 (0.1)</w:t>
            </w:r>
          </w:p>
        </w:tc>
        <w:tc>
          <w:tcPr>
            <w:tcW w:w="0" w:type="auto"/>
            <w:shd w:val="clear" w:color="auto" w:fill="auto"/>
            <w:noWrap/>
          </w:tcPr>
          <w:p w14:paraId="2DE1364F" w14:textId="73FF3A85" w:rsidR="006877E7" w:rsidRPr="00C1603D" w:rsidRDefault="006877E7" w:rsidP="002069F8">
            <w:pPr>
              <w:pStyle w:val="72TabletextTablesTableFigureBoxstyles"/>
              <w:rPr>
                <w:lang w:eastAsia="en-GB"/>
              </w:rPr>
            </w:pPr>
            <w:r w:rsidRPr="00C1603D">
              <w:rPr>
                <w:lang w:eastAsia="en-GB"/>
              </w:rPr>
              <w:t>144 (1.2)</w:t>
            </w:r>
          </w:p>
        </w:tc>
        <w:tc>
          <w:tcPr>
            <w:tcW w:w="0" w:type="auto"/>
            <w:vMerge/>
            <w:noWrap/>
          </w:tcPr>
          <w:p w14:paraId="33ED4A45" w14:textId="33B9E075" w:rsidR="006877E7" w:rsidRPr="00C1603D" w:rsidRDefault="006877E7" w:rsidP="002069F8">
            <w:pPr>
              <w:pStyle w:val="72TabletextTablesTableFigureBoxstyles"/>
              <w:rPr>
                <w:lang w:eastAsia="en-GB"/>
              </w:rPr>
            </w:pPr>
          </w:p>
        </w:tc>
        <w:tc>
          <w:tcPr>
            <w:tcW w:w="0" w:type="auto"/>
            <w:shd w:val="clear" w:color="auto" w:fill="auto"/>
            <w:noWrap/>
          </w:tcPr>
          <w:p w14:paraId="3146FD2D" w14:textId="2174F1AF" w:rsidR="006877E7" w:rsidRPr="00C1603D" w:rsidRDefault="006877E7" w:rsidP="002069F8">
            <w:pPr>
              <w:pStyle w:val="72TabletextTablesTableFigureBoxstyles"/>
              <w:rPr>
                <w:lang w:eastAsia="en-GB"/>
              </w:rPr>
            </w:pPr>
            <w:r w:rsidRPr="00C1603D">
              <w:rPr>
                <w:lang w:eastAsia="en-GB"/>
              </w:rPr>
              <w:t>244 (0.3)</w:t>
            </w:r>
          </w:p>
        </w:tc>
      </w:tr>
      <w:tr w:rsidR="002069F8" w:rsidRPr="00C1603D" w14:paraId="0C1AFF55" w14:textId="77777777" w:rsidTr="0044057F">
        <w:trPr>
          <w:cantSplit/>
        </w:trPr>
        <w:tc>
          <w:tcPr>
            <w:tcW w:w="0" w:type="auto"/>
            <w:gridSpan w:val="9"/>
            <w:shd w:val="clear" w:color="auto" w:fill="auto"/>
            <w:noWrap/>
          </w:tcPr>
          <w:p w14:paraId="36EBB8BD" w14:textId="7DB13F13" w:rsidR="002069F8" w:rsidRPr="00C1603D" w:rsidRDefault="002069F8" w:rsidP="006877E7">
            <w:pPr>
              <w:pStyle w:val="72TabletextTablesTableFigureBoxstyles"/>
              <w:rPr>
                <w:lang w:eastAsia="en-GB"/>
              </w:rPr>
            </w:pPr>
            <w:r w:rsidRPr="00C1603D">
              <w:rPr>
                <w:lang w:eastAsia="en-GB"/>
              </w:rPr>
              <w:t>IBS</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29F6EC75" w14:textId="77777777" w:rsidTr="0044057F">
        <w:trPr>
          <w:cantSplit/>
        </w:trPr>
        <w:tc>
          <w:tcPr>
            <w:tcW w:w="0" w:type="auto"/>
            <w:shd w:val="clear" w:color="auto" w:fill="auto"/>
            <w:noWrap/>
          </w:tcPr>
          <w:p w14:paraId="02C21D19" w14:textId="13CDB344" w:rsidR="002069F8" w:rsidRPr="00C1603D" w:rsidRDefault="006877E7"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6BE30AEA" w14:textId="1E6899AC" w:rsidR="002069F8" w:rsidRPr="00C1603D" w:rsidRDefault="002069F8" w:rsidP="002069F8">
            <w:pPr>
              <w:pStyle w:val="72TabletextTablesTableFigureBoxstyles"/>
              <w:rPr>
                <w:lang w:eastAsia="en-GB"/>
              </w:rPr>
            </w:pPr>
            <w:r w:rsidRPr="00C1603D">
              <w:rPr>
                <w:lang w:eastAsia="en-GB"/>
              </w:rPr>
              <w:t>597 (1.7)</w:t>
            </w:r>
          </w:p>
        </w:tc>
        <w:tc>
          <w:tcPr>
            <w:tcW w:w="0" w:type="auto"/>
            <w:shd w:val="clear" w:color="auto" w:fill="auto"/>
            <w:noWrap/>
          </w:tcPr>
          <w:p w14:paraId="0026B41E" w14:textId="2DDC1FD2" w:rsidR="002069F8" w:rsidRPr="00C1603D" w:rsidRDefault="002069F8" w:rsidP="002069F8">
            <w:pPr>
              <w:pStyle w:val="72TabletextTablesTableFigureBoxstyles"/>
              <w:rPr>
                <w:lang w:eastAsia="en-GB"/>
              </w:rPr>
            </w:pPr>
            <w:r w:rsidRPr="00C1603D">
              <w:rPr>
                <w:lang w:eastAsia="en-GB"/>
              </w:rPr>
              <w:t>339 (5.6)</w:t>
            </w:r>
          </w:p>
        </w:tc>
        <w:tc>
          <w:tcPr>
            <w:tcW w:w="0" w:type="auto"/>
            <w:shd w:val="clear" w:color="auto" w:fill="auto"/>
            <w:noWrap/>
          </w:tcPr>
          <w:p w14:paraId="67D885BD"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88F8F41" w14:textId="70BD87F0" w:rsidR="002069F8" w:rsidRPr="00C1603D" w:rsidRDefault="002069F8" w:rsidP="002069F8">
            <w:pPr>
              <w:pStyle w:val="72TabletextTablesTableFigureBoxstyles"/>
              <w:rPr>
                <w:lang w:eastAsia="en-GB"/>
              </w:rPr>
            </w:pPr>
            <w:r w:rsidRPr="00C1603D">
              <w:rPr>
                <w:lang w:eastAsia="en-GB"/>
              </w:rPr>
              <w:t>936 (2.3)</w:t>
            </w:r>
          </w:p>
        </w:tc>
        <w:tc>
          <w:tcPr>
            <w:tcW w:w="0" w:type="auto"/>
            <w:shd w:val="clear" w:color="auto" w:fill="auto"/>
            <w:noWrap/>
          </w:tcPr>
          <w:p w14:paraId="3677B8E9" w14:textId="3214FB6C" w:rsidR="002069F8" w:rsidRPr="00C1603D" w:rsidRDefault="002069F8" w:rsidP="002069F8">
            <w:pPr>
              <w:pStyle w:val="72TabletextTablesTableFigureBoxstyles"/>
              <w:rPr>
                <w:lang w:eastAsia="en-GB"/>
              </w:rPr>
            </w:pPr>
            <w:r w:rsidRPr="00C1603D">
              <w:rPr>
                <w:lang w:eastAsia="en-GB"/>
              </w:rPr>
              <w:t>288 (0.4)</w:t>
            </w:r>
          </w:p>
        </w:tc>
        <w:tc>
          <w:tcPr>
            <w:tcW w:w="0" w:type="auto"/>
            <w:shd w:val="clear" w:color="auto" w:fill="auto"/>
            <w:noWrap/>
          </w:tcPr>
          <w:p w14:paraId="29FD85B5" w14:textId="69FE342D" w:rsidR="002069F8" w:rsidRPr="00C1603D" w:rsidRDefault="002069F8" w:rsidP="002069F8">
            <w:pPr>
              <w:pStyle w:val="72TabletextTablesTableFigureBoxstyles"/>
              <w:rPr>
                <w:lang w:eastAsia="en-GB"/>
              </w:rPr>
            </w:pPr>
            <w:r w:rsidRPr="00C1603D">
              <w:rPr>
                <w:lang w:eastAsia="en-GB"/>
              </w:rPr>
              <w:t>142 (1.1)</w:t>
            </w:r>
          </w:p>
        </w:tc>
        <w:tc>
          <w:tcPr>
            <w:tcW w:w="0" w:type="auto"/>
            <w:shd w:val="clear" w:color="auto" w:fill="auto"/>
            <w:noWrap/>
          </w:tcPr>
          <w:p w14:paraId="7DFF3A08"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3623779" w14:textId="5824894C" w:rsidR="002069F8" w:rsidRPr="00C1603D" w:rsidRDefault="002069F8" w:rsidP="002069F8">
            <w:pPr>
              <w:pStyle w:val="72TabletextTablesTableFigureBoxstyles"/>
              <w:rPr>
                <w:lang w:eastAsia="en-GB"/>
              </w:rPr>
            </w:pPr>
            <w:r w:rsidRPr="00C1603D">
              <w:rPr>
                <w:lang w:eastAsia="en-GB"/>
              </w:rPr>
              <w:t>430 (0.5)</w:t>
            </w:r>
          </w:p>
        </w:tc>
      </w:tr>
      <w:tr w:rsidR="002069F8" w:rsidRPr="00C1603D" w14:paraId="492FDA22" w14:textId="77777777" w:rsidTr="0044057F">
        <w:trPr>
          <w:cantSplit/>
        </w:trPr>
        <w:tc>
          <w:tcPr>
            <w:tcW w:w="0" w:type="auto"/>
            <w:gridSpan w:val="9"/>
            <w:shd w:val="clear" w:color="auto" w:fill="auto"/>
            <w:noWrap/>
          </w:tcPr>
          <w:p w14:paraId="00DA13A2" w14:textId="0E9D0791" w:rsidR="002069F8" w:rsidRPr="00C1603D" w:rsidRDefault="002069F8" w:rsidP="006877E7">
            <w:pPr>
              <w:pStyle w:val="72TabletextTablesTableFigureBoxstyles"/>
              <w:rPr>
                <w:lang w:eastAsia="en-GB"/>
              </w:rPr>
            </w:pPr>
            <w:r w:rsidRPr="00C1603D">
              <w:rPr>
                <w:lang w:eastAsia="en-GB"/>
              </w:rPr>
              <w:t>Iron, vit</w:t>
            </w:r>
            <w:r w:rsidR="006877E7" w:rsidRPr="00C1603D">
              <w:rPr>
                <w:lang w:eastAsia="en-GB"/>
              </w:rPr>
              <w:t>amin</w:t>
            </w:r>
            <w:r w:rsidRPr="00C1603D">
              <w:rPr>
                <w:lang w:eastAsia="en-GB"/>
              </w:rPr>
              <w:t xml:space="preserve"> B</w:t>
            </w:r>
            <w:r w:rsidRPr="00C1603D">
              <w:rPr>
                <w:vertAlign w:val="subscript"/>
                <w:lang w:eastAsia="en-GB"/>
              </w:rPr>
              <w:t>12</w:t>
            </w:r>
            <w:r w:rsidRPr="00C1603D">
              <w:rPr>
                <w:lang w:eastAsia="en-GB"/>
              </w:rPr>
              <w:t xml:space="preserve"> or folate deficiency</w:t>
            </w:r>
            <w:r w:rsidR="006877E7" w:rsidRPr="00C1603D">
              <w:rPr>
                <w:lang w:eastAsia="en-GB"/>
              </w:rPr>
              <w:t xml:space="preserve">, </w:t>
            </w:r>
            <w:r w:rsidR="006877E7" w:rsidRPr="00C1603D">
              <w:rPr>
                <w:i/>
                <w:lang w:eastAsia="en-GB"/>
              </w:rPr>
              <w:t>n</w:t>
            </w:r>
            <w:r w:rsidR="006877E7" w:rsidRPr="00C1603D">
              <w:rPr>
                <w:lang w:eastAsia="en-GB"/>
              </w:rPr>
              <w:t xml:space="preserve"> (%)</w:t>
            </w:r>
          </w:p>
        </w:tc>
      </w:tr>
      <w:tr w:rsidR="002069F8" w:rsidRPr="00C1603D" w14:paraId="064D68C6" w14:textId="77777777" w:rsidTr="0044057F">
        <w:trPr>
          <w:cantSplit/>
        </w:trPr>
        <w:tc>
          <w:tcPr>
            <w:tcW w:w="0" w:type="auto"/>
            <w:shd w:val="clear" w:color="auto" w:fill="auto"/>
            <w:noWrap/>
          </w:tcPr>
          <w:p w14:paraId="4BD0319B" w14:textId="1E650A53" w:rsidR="002069F8" w:rsidRPr="00C1603D" w:rsidRDefault="006A55DB"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0D0BD1CA" w14:textId="0CB4187B" w:rsidR="002069F8" w:rsidRPr="00C1603D" w:rsidRDefault="002069F8" w:rsidP="002069F8">
            <w:pPr>
              <w:pStyle w:val="72TabletextTablesTableFigureBoxstyles"/>
              <w:rPr>
                <w:lang w:eastAsia="en-GB"/>
              </w:rPr>
            </w:pPr>
            <w:r w:rsidRPr="00C1603D">
              <w:rPr>
                <w:lang w:eastAsia="en-GB"/>
              </w:rPr>
              <w:t>193 (0.5)</w:t>
            </w:r>
          </w:p>
        </w:tc>
        <w:tc>
          <w:tcPr>
            <w:tcW w:w="0" w:type="auto"/>
            <w:shd w:val="clear" w:color="auto" w:fill="auto"/>
            <w:noWrap/>
          </w:tcPr>
          <w:p w14:paraId="197BFAFE" w14:textId="741BE16D" w:rsidR="002069F8" w:rsidRPr="00C1603D" w:rsidRDefault="002069F8" w:rsidP="002069F8">
            <w:pPr>
              <w:pStyle w:val="72TabletextTablesTableFigureBoxstyles"/>
              <w:rPr>
                <w:lang w:eastAsia="en-GB"/>
              </w:rPr>
            </w:pPr>
            <w:r w:rsidRPr="00C1603D">
              <w:rPr>
                <w:lang w:eastAsia="en-GB"/>
              </w:rPr>
              <w:t>429 (7.1)</w:t>
            </w:r>
          </w:p>
        </w:tc>
        <w:tc>
          <w:tcPr>
            <w:tcW w:w="0" w:type="auto"/>
            <w:shd w:val="clear" w:color="auto" w:fill="auto"/>
            <w:noWrap/>
          </w:tcPr>
          <w:p w14:paraId="44589620"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58417C7" w14:textId="6CA3FC05" w:rsidR="002069F8" w:rsidRPr="00C1603D" w:rsidRDefault="002069F8" w:rsidP="002069F8">
            <w:pPr>
              <w:pStyle w:val="72TabletextTablesTableFigureBoxstyles"/>
              <w:rPr>
                <w:lang w:eastAsia="en-GB"/>
              </w:rPr>
            </w:pPr>
            <w:r w:rsidRPr="00C1603D">
              <w:rPr>
                <w:lang w:eastAsia="en-GB"/>
              </w:rPr>
              <w:t>622 (1.5)</w:t>
            </w:r>
          </w:p>
        </w:tc>
        <w:tc>
          <w:tcPr>
            <w:tcW w:w="0" w:type="auto"/>
            <w:shd w:val="clear" w:color="auto" w:fill="auto"/>
            <w:noWrap/>
          </w:tcPr>
          <w:p w14:paraId="0790F215" w14:textId="6A083B88" w:rsidR="002069F8" w:rsidRPr="00C1603D" w:rsidRDefault="002069F8" w:rsidP="002069F8">
            <w:pPr>
              <w:pStyle w:val="72TabletextTablesTableFigureBoxstyles"/>
              <w:rPr>
                <w:lang w:eastAsia="en-GB"/>
              </w:rPr>
            </w:pPr>
            <w:r w:rsidRPr="00C1603D">
              <w:rPr>
                <w:lang w:eastAsia="en-GB"/>
              </w:rPr>
              <w:t>104 (0.1)</w:t>
            </w:r>
          </w:p>
        </w:tc>
        <w:tc>
          <w:tcPr>
            <w:tcW w:w="0" w:type="auto"/>
            <w:shd w:val="clear" w:color="auto" w:fill="auto"/>
            <w:noWrap/>
          </w:tcPr>
          <w:p w14:paraId="5EA3B95D" w14:textId="58E0CA03" w:rsidR="002069F8" w:rsidRPr="00C1603D" w:rsidRDefault="002069F8" w:rsidP="002069F8">
            <w:pPr>
              <w:pStyle w:val="72TabletextTablesTableFigureBoxstyles"/>
              <w:rPr>
                <w:lang w:eastAsia="en-GB"/>
              </w:rPr>
            </w:pPr>
            <w:r w:rsidRPr="00C1603D">
              <w:rPr>
                <w:lang w:eastAsia="en-GB"/>
              </w:rPr>
              <w:t>163 (1.3)</w:t>
            </w:r>
          </w:p>
        </w:tc>
        <w:tc>
          <w:tcPr>
            <w:tcW w:w="0" w:type="auto"/>
            <w:shd w:val="clear" w:color="auto" w:fill="auto"/>
            <w:noWrap/>
          </w:tcPr>
          <w:p w14:paraId="4A0B054B"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3D6E64A" w14:textId="42B2CDB9" w:rsidR="002069F8" w:rsidRPr="00C1603D" w:rsidRDefault="002069F8" w:rsidP="002069F8">
            <w:pPr>
              <w:pStyle w:val="72TabletextTablesTableFigureBoxstyles"/>
              <w:rPr>
                <w:lang w:eastAsia="en-GB"/>
              </w:rPr>
            </w:pPr>
            <w:r w:rsidRPr="00C1603D">
              <w:rPr>
                <w:lang w:eastAsia="en-GB"/>
              </w:rPr>
              <w:t>267 (0.3)</w:t>
            </w:r>
          </w:p>
        </w:tc>
      </w:tr>
      <w:tr w:rsidR="002069F8" w:rsidRPr="00C1603D" w14:paraId="71AB6F29" w14:textId="77777777" w:rsidTr="0044057F">
        <w:trPr>
          <w:cantSplit/>
        </w:trPr>
        <w:tc>
          <w:tcPr>
            <w:tcW w:w="0" w:type="auto"/>
            <w:gridSpan w:val="9"/>
            <w:shd w:val="clear" w:color="auto" w:fill="auto"/>
            <w:noWrap/>
          </w:tcPr>
          <w:p w14:paraId="62B916C5" w14:textId="2549C9E7" w:rsidR="002069F8" w:rsidRPr="00C1603D" w:rsidRDefault="002069F8" w:rsidP="006A55DB">
            <w:pPr>
              <w:pStyle w:val="72TabletextTablesTableFigureBoxstyles"/>
              <w:rPr>
                <w:lang w:eastAsia="en-GB"/>
              </w:rPr>
            </w:pPr>
            <w:r w:rsidRPr="00C1603D">
              <w:rPr>
                <w:lang w:eastAsia="en-GB"/>
              </w:rPr>
              <w:t>Mouth ulcers</w:t>
            </w:r>
            <w:r w:rsidR="006A55DB" w:rsidRPr="00C1603D">
              <w:rPr>
                <w:lang w:eastAsia="en-GB"/>
              </w:rPr>
              <w:t xml:space="preserve">, </w:t>
            </w:r>
            <w:r w:rsidR="006A55DB" w:rsidRPr="00C1603D">
              <w:rPr>
                <w:i/>
                <w:lang w:eastAsia="en-GB"/>
              </w:rPr>
              <w:t>n</w:t>
            </w:r>
            <w:r w:rsidR="006A55DB" w:rsidRPr="00C1603D">
              <w:rPr>
                <w:lang w:eastAsia="en-GB"/>
              </w:rPr>
              <w:t xml:space="preserve"> (%)</w:t>
            </w:r>
          </w:p>
        </w:tc>
      </w:tr>
      <w:tr w:rsidR="002069F8" w:rsidRPr="00C1603D" w14:paraId="563C9EBF" w14:textId="77777777" w:rsidTr="0044057F">
        <w:trPr>
          <w:cantSplit/>
        </w:trPr>
        <w:tc>
          <w:tcPr>
            <w:tcW w:w="0" w:type="auto"/>
            <w:shd w:val="clear" w:color="auto" w:fill="auto"/>
            <w:noWrap/>
          </w:tcPr>
          <w:p w14:paraId="58D471CD" w14:textId="1AD35BCB" w:rsidR="002069F8" w:rsidRPr="00C1603D" w:rsidRDefault="006A55DB"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691EB3B1" w14:textId="608B1CFA" w:rsidR="002069F8" w:rsidRPr="00C1603D" w:rsidRDefault="002069F8" w:rsidP="002069F8">
            <w:pPr>
              <w:pStyle w:val="72TabletextTablesTableFigureBoxstyles"/>
              <w:rPr>
                <w:lang w:eastAsia="en-GB"/>
              </w:rPr>
            </w:pPr>
            <w:r w:rsidRPr="00C1603D">
              <w:rPr>
                <w:lang w:eastAsia="en-GB"/>
              </w:rPr>
              <w:t>331 (0.9)</w:t>
            </w:r>
          </w:p>
        </w:tc>
        <w:tc>
          <w:tcPr>
            <w:tcW w:w="0" w:type="auto"/>
            <w:shd w:val="clear" w:color="auto" w:fill="auto"/>
            <w:noWrap/>
          </w:tcPr>
          <w:p w14:paraId="59E06E8E" w14:textId="53E39CCD" w:rsidR="002069F8" w:rsidRPr="00C1603D" w:rsidRDefault="002069F8" w:rsidP="002069F8">
            <w:pPr>
              <w:pStyle w:val="72TabletextTablesTableFigureBoxstyles"/>
              <w:rPr>
                <w:lang w:eastAsia="en-GB"/>
              </w:rPr>
            </w:pPr>
            <w:r w:rsidRPr="00C1603D">
              <w:rPr>
                <w:lang w:eastAsia="en-GB"/>
              </w:rPr>
              <w:t>170 (2.8)</w:t>
            </w:r>
          </w:p>
        </w:tc>
        <w:tc>
          <w:tcPr>
            <w:tcW w:w="0" w:type="auto"/>
            <w:shd w:val="clear" w:color="auto" w:fill="auto"/>
            <w:noWrap/>
          </w:tcPr>
          <w:p w14:paraId="11FE34F3"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0420F50" w14:textId="5E035996" w:rsidR="002069F8" w:rsidRPr="00C1603D" w:rsidRDefault="002069F8" w:rsidP="002069F8">
            <w:pPr>
              <w:pStyle w:val="72TabletextTablesTableFigureBoxstyles"/>
              <w:rPr>
                <w:lang w:eastAsia="en-GB"/>
              </w:rPr>
            </w:pPr>
            <w:r w:rsidRPr="00C1603D">
              <w:rPr>
                <w:lang w:eastAsia="en-GB"/>
              </w:rPr>
              <w:t>501 (1.2)</w:t>
            </w:r>
          </w:p>
        </w:tc>
        <w:tc>
          <w:tcPr>
            <w:tcW w:w="0" w:type="auto"/>
            <w:shd w:val="clear" w:color="auto" w:fill="auto"/>
            <w:noWrap/>
          </w:tcPr>
          <w:p w14:paraId="61526360" w14:textId="4190A5A9" w:rsidR="002069F8" w:rsidRPr="00C1603D" w:rsidRDefault="002069F8" w:rsidP="002069F8">
            <w:pPr>
              <w:pStyle w:val="72TabletextTablesTableFigureBoxstyles"/>
              <w:rPr>
                <w:lang w:eastAsia="en-GB"/>
              </w:rPr>
            </w:pPr>
            <w:r w:rsidRPr="00C1603D">
              <w:rPr>
                <w:lang w:eastAsia="en-GB"/>
              </w:rPr>
              <w:t>142 (0.2)</w:t>
            </w:r>
          </w:p>
        </w:tc>
        <w:tc>
          <w:tcPr>
            <w:tcW w:w="0" w:type="auto"/>
            <w:shd w:val="clear" w:color="auto" w:fill="auto"/>
            <w:noWrap/>
          </w:tcPr>
          <w:p w14:paraId="30BB489F" w14:textId="653019E3" w:rsidR="002069F8" w:rsidRPr="00C1603D" w:rsidRDefault="002069F8" w:rsidP="002069F8">
            <w:pPr>
              <w:pStyle w:val="72TabletextTablesTableFigureBoxstyles"/>
              <w:rPr>
                <w:lang w:eastAsia="en-GB"/>
              </w:rPr>
            </w:pPr>
            <w:r w:rsidRPr="00C1603D">
              <w:rPr>
                <w:lang w:eastAsia="en-GB"/>
              </w:rPr>
              <w:t>76 (0.6)</w:t>
            </w:r>
          </w:p>
        </w:tc>
        <w:tc>
          <w:tcPr>
            <w:tcW w:w="0" w:type="auto"/>
            <w:shd w:val="clear" w:color="auto" w:fill="auto"/>
            <w:noWrap/>
          </w:tcPr>
          <w:p w14:paraId="1BDDC113"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544AA0E" w14:textId="015DFCF9" w:rsidR="002069F8" w:rsidRPr="00C1603D" w:rsidRDefault="002069F8" w:rsidP="002069F8">
            <w:pPr>
              <w:pStyle w:val="72TabletextTablesTableFigureBoxstyles"/>
              <w:rPr>
                <w:lang w:eastAsia="en-GB"/>
              </w:rPr>
            </w:pPr>
            <w:r w:rsidRPr="00C1603D">
              <w:rPr>
                <w:lang w:eastAsia="en-GB"/>
              </w:rPr>
              <w:t>218 (0.2)</w:t>
            </w:r>
          </w:p>
        </w:tc>
      </w:tr>
      <w:tr w:rsidR="002069F8" w:rsidRPr="00C1603D" w14:paraId="797A2451" w14:textId="77777777" w:rsidTr="0044057F">
        <w:trPr>
          <w:cantSplit/>
        </w:trPr>
        <w:tc>
          <w:tcPr>
            <w:tcW w:w="0" w:type="auto"/>
            <w:gridSpan w:val="9"/>
            <w:shd w:val="clear" w:color="auto" w:fill="auto"/>
            <w:noWrap/>
          </w:tcPr>
          <w:p w14:paraId="6EA2E00C" w14:textId="5EB4BB4D" w:rsidR="002069F8" w:rsidRPr="00C1603D" w:rsidRDefault="002069F8" w:rsidP="006A55DB">
            <w:pPr>
              <w:pStyle w:val="72TabletextTablesTableFigureBoxstyles"/>
              <w:rPr>
                <w:lang w:eastAsia="en-GB"/>
              </w:rPr>
            </w:pPr>
            <w:r w:rsidRPr="00C1603D">
              <w:rPr>
                <w:lang w:eastAsia="en-GB"/>
              </w:rPr>
              <w:t>Mouth ulcers (count, 1 year)</w:t>
            </w:r>
            <w:r w:rsidR="006A55DB" w:rsidRPr="00C1603D">
              <w:rPr>
                <w:lang w:eastAsia="en-GB"/>
              </w:rPr>
              <w:t xml:space="preserve"> , </w:t>
            </w:r>
            <w:r w:rsidR="006A55DB" w:rsidRPr="00C1603D">
              <w:rPr>
                <w:i/>
                <w:lang w:eastAsia="en-GB"/>
              </w:rPr>
              <w:t>n</w:t>
            </w:r>
            <w:r w:rsidR="006A55DB" w:rsidRPr="00C1603D">
              <w:rPr>
                <w:lang w:eastAsia="en-GB"/>
              </w:rPr>
              <w:t xml:space="preserve"> (%)</w:t>
            </w:r>
          </w:p>
        </w:tc>
      </w:tr>
      <w:tr w:rsidR="006A55DB" w:rsidRPr="00C1603D" w14:paraId="71B4B57E" w14:textId="77777777" w:rsidTr="0044057F">
        <w:trPr>
          <w:cantSplit/>
        </w:trPr>
        <w:tc>
          <w:tcPr>
            <w:tcW w:w="0" w:type="auto"/>
            <w:shd w:val="clear" w:color="auto" w:fill="auto"/>
            <w:noWrap/>
          </w:tcPr>
          <w:p w14:paraId="5DD03049" w14:textId="5682622C" w:rsidR="006A55DB" w:rsidRPr="00C1603D" w:rsidRDefault="006A55DB" w:rsidP="002069F8">
            <w:pPr>
              <w:pStyle w:val="72TabletextTablesTableFigureBoxstyles"/>
              <w:rPr>
                <w:lang w:eastAsia="en-GB"/>
              </w:rPr>
            </w:pPr>
            <w:r w:rsidRPr="00C1603D">
              <w:rPr>
                <w:lang w:eastAsia="en-GB"/>
              </w:rPr>
              <w:tab/>
              <w:t>Once</w:t>
            </w:r>
          </w:p>
        </w:tc>
        <w:tc>
          <w:tcPr>
            <w:tcW w:w="0" w:type="auto"/>
            <w:shd w:val="clear" w:color="auto" w:fill="auto"/>
            <w:noWrap/>
          </w:tcPr>
          <w:p w14:paraId="16D939E9" w14:textId="0DBE9854" w:rsidR="006A55DB" w:rsidRPr="00C1603D" w:rsidRDefault="006A55DB" w:rsidP="002069F8">
            <w:pPr>
              <w:pStyle w:val="72TabletextTablesTableFigureBoxstyles"/>
              <w:rPr>
                <w:lang w:eastAsia="en-GB"/>
              </w:rPr>
            </w:pPr>
            <w:r w:rsidRPr="00C1603D">
              <w:rPr>
                <w:lang w:eastAsia="en-GB"/>
              </w:rPr>
              <w:t>50 (0.1)</w:t>
            </w:r>
          </w:p>
        </w:tc>
        <w:tc>
          <w:tcPr>
            <w:tcW w:w="0" w:type="auto"/>
            <w:shd w:val="clear" w:color="auto" w:fill="auto"/>
            <w:noWrap/>
          </w:tcPr>
          <w:p w14:paraId="268F6DDF" w14:textId="63E68703" w:rsidR="006A55DB" w:rsidRPr="00C1603D" w:rsidRDefault="006A55DB" w:rsidP="002069F8">
            <w:pPr>
              <w:pStyle w:val="72TabletextTablesTableFigureBoxstyles"/>
              <w:rPr>
                <w:lang w:eastAsia="en-GB"/>
              </w:rPr>
            </w:pPr>
            <w:r w:rsidRPr="00C1603D">
              <w:rPr>
                <w:lang w:eastAsia="en-GB"/>
              </w:rPr>
              <w:t>42 (0.7)</w:t>
            </w:r>
          </w:p>
        </w:tc>
        <w:tc>
          <w:tcPr>
            <w:tcW w:w="0" w:type="auto"/>
            <w:vMerge w:val="restart"/>
            <w:shd w:val="clear" w:color="auto" w:fill="auto"/>
            <w:noWrap/>
          </w:tcPr>
          <w:p w14:paraId="6776CFC3" w14:textId="77777777" w:rsidR="006A55DB" w:rsidRPr="00C1603D" w:rsidRDefault="006A55DB"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540D5E2E" w14:textId="1DD661C9" w:rsidR="006A55DB" w:rsidRPr="00C1603D" w:rsidRDefault="006A55DB" w:rsidP="002069F8">
            <w:pPr>
              <w:pStyle w:val="72TabletextTablesTableFigureBoxstyles"/>
              <w:rPr>
                <w:lang w:eastAsia="en-GB"/>
              </w:rPr>
            </w:pPr>
            <w:r w:rsidRPr="00C1603D">
              <w:rPr>
                <w:lang w:eastAsia="en-GB"/>
              </w:rPr>
              <w:t>92 (0.2)</w:t>
            </w:r>
          </w:p>
        </w:tc>
        <w:tc>
          <w:tcPr>
            <w:tcW w:w="0" w:type="auto"/>
            <w:shd w:val="clear" w:color="auto" w:fill="auto"/>
            <w:noWrap/>
          </w:tcPr>
          <w:p w14:paraId="1FE2EB98" w14:textId="4472162A" w:rsidR="006A55DB" w:rsidRPr="00C1603D" w:rsidRDefault="006A55DB" w:rsidP="002069F8">
            <w:pPr>
              <w:pStyle w:val="72TabletextTablesTableFigureBoxstyles"/>
              <w:rPr>
                <w:lang w:eastAsia="en-GB"/>
              </w:rPr>
            </w:pPr>
            <w:r w:rsidRPr="00C1603D">
              <w:rPr>
                <w:lang w:eastAsia="en-GB"/>
              </w:rPr>
              <w:t>32 (0.0)</w:t>
            </w:r>
          </w:p>
        </w:tc>
        <w:tc>
          <w:tcPr>
            <w:tcW w:w="0" w:type="auto"/>
            <w:shd w:val="clear" w:color="auto" w:fill="auto"/>
            <w:noWrap/>
          </w:tcPr>
          <w:p w14:paraId="5F74FABC" w14:textId="67C9214C" w:rsidR="006A55DB" w:rsidRPr="00C1603D" w:rsidRDefault="006A55DB" w:rsidP="002069F8">
            <w:pPr>
              <w:pStyle w:val="72TabletextTablesTableFigureBoxstyles"/>
              <w:rPr>
                <w:lang w:eastAsia="en-GB"/>
              </w:rPr>
            </w:pPr>
            <w:r w:rsidRPr="00C1603D">
              <w:rPr>
                <w:lang w:eastAsia="en-GB"/>
              </w:rPr>
              <w:t>19 (0.2)</w:t>
            </w:r>
          </w:p>
        </w:tc>
        <w:tc>
          <w:tcPr>
            <w:tcW w:w="0" w:type="auto"/>
            <w:vMerge w:val="restart"/>
            <w:shd w:val="clear" w:color="auto" w:fill="auto"/>
            <w:noWrap/>
          </w:tcPr>
          <w:p w14:paraId="25C3FA4E" w14:textId="77777777" w:rsidR="006A55DB" w:rsidRPr="00C1603D" w:rsidRDefault="006A55DB"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A664D69" w14:textId="2A0F4ADC" w:rsidR="006A55DB" w:rsidRPr="00C1603D" w:rsidRDefault="006A55DB" w:rsidP="002069F8">
            <w:pPr>
              <w:pStyle w:val="72TabletextTablesTableFigureBoxstyles"/>
              <w:rPr>
                <w:lang w:eastAsia="en-GB"/>
              </w:rPr>
            </w:pPr>
            <w:r w:rsidRPr="00C1603D">
              <w:rPr>
                <w:lang w:eastAsia="en-GB"/>
              </w:rPr>
              <w:t>51 (0.1)</w:t>
            </w:r>
          </w:p>
        </w:tc>
      </w:tr>
      <w:tr w:rsidR="006A55DB" w:rsidRPr="00C1603D" w14:paraId="1850399C" w14:textId="77777777" w:rsidTr="0044057F">
        <w:trPr>
          <w:cantSplit/>
        </w:trPr>
        <w:tc>
          <w:tcPr>
            <w:tcW w:w="0" w:type="auto"/>
            <w:shd w:val="clear" w:color="auto" w:fill="auto"/>
            <w:noWrap/>
          </w:tcPr>
          <w:p w14:paraId="3CA3A8BF" w14:textId="62FD0CB9" w:rsidR="006A55DB" w:rsidRPr="00C1603D" w:rsidRDefault="006A55DB" w:rsidP="002069F8">
            <w:pPr>
              <w:pStyle w:val="72TabletextTablesTableFigureBoxstyles"/>
              <w:rPr>
                <w:lang w:eastAsia="en-GB"/>
              </w:rPr>
            </w:pPr>
            <w:r w:rsidRPr="00C1603D">
              <w:rPr>
                <w:lang w:eastAsia="en-GB"/>
              </w:rPr>
              <w:tab/>
              <w:t>Twice</w:t>
            </w:r>
          </w:p>
        </w:tc>
        <w:tc>
          <w:tcPr>
            <w:tcW w:w="0" w:type="auto"/>
            <w:shd w:val="clear" w:color="auto" w:fill="auto"/>
            <w:noWrap/>
          </w:tcPr>
          <w:p w14:paraId="6D8D7888" w14:textId="27B7A321" w:rsidR="006A55DB" w:rsidRPr="00C1603D" w:rsidRDefault="006A55DB" w:rsidP="002069F8">
            <w:pPr>
              <w:pStyle w:val="72TabletextTablesTableFigureBoxstyles"/>
              <w:rPr>
                <w:lang w:eastAsia="en-GB"/>
              </w:rPr>
            </w:pPr>
            <w:r w:rsidRPr="00C1603D">
              <w:rPr>
                <w:lang w:eastAsia="en-GB"/>
              </w:rPr>
              <w:t>4 (0.0)</w:t>
            </w:r>
          </w:p>
        </w:tc>
        <w:tc>
          <w:tcPr>
            <w:tcW w:w="0" w:type="auto"/>
            <w:shd w:val="clear" w:color="auto" w:fill="auto"/>
            <w:noWrap/>
          </w:tcPr>
          <w:p w14:paraId="6755EEBE" w14:textId="4AF9EE39" w:rsidR="006A55DB" w:rsidRPr="00C1603D" w:rsidRDefault="006A55DB" w:rsidP="002069F8">
            <w:pPr>
              <w:pStyle w:val="72TabletextTablesTableFigureBoxstyles"/>
              <w:rPr>
                <w:lang w:eastAsia="en-GB"/>
              </w:rPr>
            </w:pPr>
            <w:r w:rsidRPr="00C1603D">
              <w:rPr>
                <w:lang w:eastAsia="en-GB"/>
              </w:rPr>
              <w:t>9 (0.1)</w:t>
            </w:r>
          </w:p>
        </w:tc>
        <w:tc>
          <w:tcPr>
            <w:tcW w:w="0" w:type="auto"/>
            <w:vMerge/>
            <w:noWrap/>
          </w:tcPr>
          <w:p w14:paraId="66B4DA3E" w14:textId="20DDEDC6" w:rsidR="006A55DB" w:rsidRPr="00C1603D" w:rsidRDefault="006A55DB" w:rsidP="002069F8">
            <w:pPr>
              <w:pStyle w:val="72TabletextTablesTableFigureBoxstyles"/>
              <w:rPr>
                <w:lang w:eastAsia="en-GB"/>
              </w:rPr>
            </w:pPr>
          </w:p>
        </w:tc>
        <w:tc>
          <w:tcPr>
            <w:tcW w:w="0" w:type="auto"/>
            <w:shd w:val="clear" w:color="auto" w:fill="auto"/>
            <w:noWrap/>
          </w:tcPr>
          <w:p w14:paraId="432579F4" w14:textId="7134D440" w:rsidR="006A55DB" w:rsidRPr="00C1603D" w:rsidRDefault="006A55DB" w:rsidP="002069F8">
            <w:pPr>
              <w:pStyle w:val="72TabletextTablesTableFigureBoxstyles"/>
              <w:rPr>
                <w:lang w:eastAsia="en-GB"/>
              </w:rPr>
            </w:pPr>
            <w:r w:rsidRPr="00C1603D">
              <w:rPr>
                <w:lang w:eastAsia="en-GB"/>
              </w:rPr>
              <w:t>13 (0.0)</w:t>
            </w:r>
          </w:p>
        </w:tc>
        <w:tc>
          <w:tcPr>
            <w:tcW w:w="0" w:type="auto"/>
            <w:shd w:val="clear" w:color="auto" w:fill="auto"/>
            <w:noWrap/>
          </w:tcPr>
          <w:p w14:paraId="0FC46208" w14:textId="12BF8966" w:rsidR="006A55DB" w:rsidRPr="00C1603D" w:rsidRDefault="006A55DB" w:rsidP="002069F8">
            <w:pPr>
              <w:pStyle w:val="72TabletextTablesTableFigureBoxstyles"/>
              <w:rPr>
                <w:lang w:eastAsia="en-GB"/>
              </w:rPr>
            </w:pPr>
            <w:r w:rsidRPr="00C1603D">
              <w:rPr>
                <w:lang w:eastAsia="en-GB"/>
              </w:rPr>
              <w:t>3 (0.0)</w:t>
            </w:r>
          </w:p>
        </w:tc>
        <w:tc>
          <w:tcPr>
            <w:tcW w:w="0" w:type="auto"/>
            <w:shd w:val="clear" w:color="auto" w:fill="auto"/>
            <w:noWrap/>
          </w:tcPr>
          <w:p w14:paraId="7BF17EF4" w14:textId="5906C221" w:rsidR="006A55DB" w:rsidRPr="00C1603D" w:rsidRDefault="006A55DB" w:rsidP="002069F8">
            <w:pPr>
              <w:pStyle w:val="72TabletextTablesTableFigureBoxstyles"/>
              <w:rPr>
                <w:lang w:eastAsia="en-GB"/>
              </w:rPr>
            </w:pPr>
            <w:r w:rsidRPr="00C1603D">
              <w:rPr>
                <w:lang w:eastAsia="en-GB"/>
              </w:rPr>
              <w:t>8 (0.1)</w:t>
            </w:r>
          </w:p>
        </w:tc>
        <w:tc>
          <w:tcPr>
            <w:tcW w:w="0" w:type="auto"/>
            <w:vMerge/>
            <w:noWrap/>
          </w:tcPr>
          <w:p w14:paraId="7AA063BA" w14:textId="5956999A" w:rsidR="006A55DB" w:rsidRPr="00C1603D" w:rsidRDefault="006A55DB" w:rsidP="002069F8">
            <w:pPr>
              <w:pStyle w:val="72TabletextTablesTableFigureBoxstyles"/>
              <w:rPr>
                <w:lang w:eastAsia="en-GB"/>
              </w:rPr>
            </w:pPr>
          </w:p>
        </w:tc>
        <w:tc>
          <w:tcPr>
            <w:tcW w:w="0" w:type="auto"/>
            <w:shd w:val="clear" w:color="auto" w:fill="auto"/>
            <w:noWrap/>
          </w:tcPr>
          <w:p w14:paraId="761ED7F8" w14:textId="73524F0A" w:rsidR="006A55DB" w:rsidRPr="00C1603D" w:rsidRDefault="006A55DB" w:rsidP="002069F8">
            <w:pPr>
              <w:pStyle w:val="72TabletextTablesTableFigureBoxstyles"/>
              <w:rPr>
                <w:lang w:eastAsia="en-GB"/>
              </w:rPr>
            </w:pPr>
            <w:r w:rsidRPr="00C1603D">
              <w:rPr>
                <w:lang w:eastAsia="en-GB"/>
              </w:rPr>
              <w:t>11 (0.0)</w:t>
            </w:r>
          </w:p>
        </w:tc>
      </w:tr>
      <w:tr w:rsidR="002069F8" w:rsidRPr="00C1603D" w14:paraId="2CD26A79" w14:textId="77777777" w:rsidTr="0044057F">
        <w:trPr>
          <w:cantSplit/>
        </w:trPr>
        <w:tc>
          <w:tcPr>
            <w:tcW w:w="0" w:type="auto"/>
            <w:gridSpan w:val="9"/>
            <w:shd w:val="clear" w:color="auto" w:fill="auto"/>
            <w:noWrap/>
          </w:tcPr>
          <w:p w14:paraId="58BEDA88" w14:textId="328DD5A9" w:rsidR="002069F8" w:rsidRPr="00C1603D" w:rsidRDefault="002069F8" w:rsidP="006A55DB">
            <w:pPr>
              <w:pStyle w:val="72TabletextTablesTableFigureBoxstyles"/>
              <w:rPr>
                <w:lang w:eastAsia="en-GB"/>
              </w:rPr>
            </w:pPr>
            <w:r w:rsidRPr="00C1603D">
              <w:rPr>
                <w:lang w:eastAsia="en-GB"/>
              </w:rPr>
              <w:t>Osteoporosis</w:t>
            </w:r>
            <w:r w:rsidR="006A55DB" w:rsidRPr="00C1603D">
              <w:rPr>
                <w:lang w:eastAsia="en-GB"/>
              </w:rPr>
              <w:t xml:space="preserve">, </w:t>
            </w:r>
            <w:r w:rsidR="006A55DB" w:rsidRPr="00C1603D">
              <w:rPr>
                <w:i/>
                <w:lang w:eastAsia="en-GB"/>
              </w:rPr>
              <w:t>n</w:t>
            </w:r>
            <w:r w:rsidR="006A55DB" w:rsidRPr="00C1603D">
              <w:rPr>
                <w:lang w:eastAsia="en-GB"/>
              </w:rPr>
              <w:t xml:space="preserve"> (%)</w:t>
            </w:r>
          </w:p>
        </w:tc>
      </w:tr>
      <w:tr w:rsidR="002069F8" w:rsidRPr="00C1603D" w14:paraId="38A10973" w14:textId="77777777" w:rsidTr="0044057F">
        <w:trPr>
          <w:cantSplit/>
        </w:trPr>
        <w:tc>
          <w:tcPr>
            <w:tcW w:w="0" w:type="auto"/>
            <w:shd w:val="clear" w:color="auto" w:fill="auto"/>
            <w:noWrap/>
          </w:tcPr>
          <w:p w14:paraId="1F4B8059" w14:textId="064A8FD0" w:rsidR="002069F8" w:rsidRPr="00C1603D" w:rsidRDefault="006A55DB"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2E878863" w14:textId="37AF37C8" w:rsidR="002069F8" w:rsidRPr="00C1603D" w:rsidRDefault="002069F8" w:rsidP="002069F8">
            <w:pPr>
              <w:pStyle w:val="72TabletextTablesTableFigureBoxstyles"/>
              <w:rPr>
                <w:lang w:eastAsia="en-GB"/>
              </w:rPr>
            </w:pPr>
            <w:r w:rsidRPr="00C1603D">
              <w:rPr>
                <w:lang w:eastAsia="en-GB"/>
              </w:rPr>
              <w:t>118 (0.3)</w:t>
            </w:r>
          </w:p>
        </w:tc>
        <w:tc>
          <w:tcPr>
            <w:tcW w:w="0" w:type="auto"/>
            <w:shd w:val="clear" w:color="auto" w:fill="auto"/>
            <w:noWrap/>
          </w:tcPr>
          <w:p w14:paraId="2087FE55" w14:textId="57FBC4F4" w:rsidR="002069F8" w:rsidRPr="00C1603D" w:rsidRDefault="002069F8" w:rsidP="002069F8">
            <w:pPr>
              <w:pStyle w:val="72TabletextTablesTableFigureBoxstyles"/>
              <w:rPr>
                <w:lang w:eastAsia="en-GB"/>
              </w:rPr>
            </w:pPr>
            <w:r w:rsidRPr="00C1603D">
              <w:rPr>
                <w:lang w:eastAsia="en-GB"/>
              </w:rPr>
              <w:t>145 (2.4)</w:t>
            </w:r>
          </w:p>
        </w:tc>
        <w:tc>
          <w:tcPr>
            <w:tcW w:w="0" w:type="auto"/>
            <w:shd w:val="clear" w:color="auto" w:fill="auto"/>
            <w:noWrap/>
          </w:tcPr>
          <w:p w14:paraId="1C34B77B"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D6FB0CB" w14:textId="70BFA18D" w:rsidR="002069F8" w:rsidRPr="00C1603D" w:rsidRDefault="002069F8" w:rsidP="002069F8">
            <w:pPr>
              <w:pStyle w:val="72TabletextTablesTableFigureBoxstyles"/>
              <w:rPr>
                <w:lang w:eastAsia="en-GB"/>
              </w:rPr>
            </w:pPr>
            <w:r w:rsidRPr="00C1603D">
              <w:rPr>
                <w:lang w:eastAsia="en-GB"/>
              </w:rPr>
              <w:t>263 (0.6)</w:t>
            </w:r>
          </w:p>
        </w:tc>
        <w:tc>
          <w:tcPr>
            <w:tcW w:w="0" w:type="auto"/>
            <w:shd w:val="clear" w:color="auto" w:fill="auto"/>
            <w:noWrap/>
          </w:tcPr>
          <w:p w14:paraId="30DE1DAF" w14:textId="02A5810F" w:rsidR="002069F8" w:rsidRPr="00C1603D" w:rsidRDefault="002069F8" w:rsidP="002069F8">
            <w:pPr>
              <w:pStyle w:val="72TabletextTablesTableFigureBoxstyles"/>
              <w:rPr>
                <w:lang w:eastAsia="en-GB"/>
              </w:rPr>
            </w:pPr>
            <w:r w:rsidRPr="00C1603D">
              <w:rPr>
                <w:lang w:eastAsia="en-GB"/>
              </w:rPr>
              <w:t>42 (0.1)</w:t>
            </w:r>
          </w:p>
        </w:tc>
        <w:tc>
          <w:tcPr>
            <w:tcW w:w="0" w:type="auto"/>
            <w:shd w:val="clear" w:color="auto" w:fill="auto"/>
            <w:noWrap/>
          </w:tcPr>
          <w:p w14:paraId="5425966B" w14:textId="2254C00B" w:rsidR="002069F8" w:rsidRPr="00C1603D" w:rsidRDefault="002069F8" w:rsidP="002069F8">
            <w:pPr>
              <w:pStyle w:val="72TabletextTablesTableFigureBoxstyles"/>
              <w:rPr>
                <w:lang w:eastAsia="en-GB"/>
              </w:rPr>
            </w:pPr>
            <w:r w:rsidRPr="00C1603D">
              <w:rPr>
                <w:lang w:eastAsia="en-GB"/>
              </w:rPr>
              <w:t>62 (0.5)</w:t>
            </w:r>
          </w:p>
        </w:tc>
        <w:tc>
          <w:tcPr>
            <w:tcW w:w="0" w:type="auto"/>
            <w:shd w:val="clear" w:color="auto" w:fill="auto"/>
            <w:noWrap/>
          </w:tcPr>
          <w:p w14:paraId="41086A87"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AEB86D8" w14:textId="28582431" w:rsidR="002069F8" w:rsidRPr="00C1603D" w:rsidRDefault="002069F8" w:rsidP="002069F8">
            <w:pPr>
              <w:pStyle w:val="72TabletextTablesTableFigureBoxstyles"/>
              <w:rPr>
                <w:lang w:eastAsia="en-GB"/>
              </w:rPr>
            </w:pPr>
            <w:r w:rsidRPr="00C1603D">
              <w:rPr>
                <w:lang w:eastAsia="en-GB"/>
              </w:rPr>
              <w:t>104 (0.1)</w:t>
            </w:r>
          </w:p>
        </w:tc>
      </w:tr>
      <w:tr w:rsidR="002069F8" w:rsidRPr="00C1603D" w14:paraId="7D22B29E" w14:textId="77777777" w:rsidTr="0044057F">
        <w:trPr>
          <w:cantSplit/>
        </w:trPr>
        <w:tc>
          <w:tcPr>
            <w:tcW w:w="0" w:type="auto"/>
            <w:gridSpan w:val="9"/>
            <w:shd w:val="clear" w:color="auto" w:fill="auto"/>
            <w:noWrap/>
          </w:tcPr>
          <w:p w14:paraId="14F459B8" w14:textId="757BC2C0" w:rsidR="002069F8" w:rsidRPr="00C1603D" w:rsidRDefault="002069F8" w:rsidP="006A55DB">
            <w:pPr>
              <w:pStyle w:val="72TabletextTablesTableFigureBoxstyles"/>
              <w:rPr>
                <w:lang w:eastAsia="en-GB"/>
              </w:rPr>
            </w:pPr>
            <w:r w:rsidRPr="00C1603D">
              <w:rPr>
                <w:lang w:eastAsia="en-GB"/>
              </w:rPr>
              <w:t>Psoriasis</w:t>
            </w:r>
            <w:r w:rsidR="006A55DB" w:rsidRPr="00C1603D">
              <w:rPr>
                <w:lang w:eastAsia="en-GB"/>
              </w:rPr>
              <w:t xml:space="preserve">, </w:t>
            </w:r>
            <w:r w:rsidR="006A55DB" w:rsidRPr="00C1603D">
              <w:rPr>
                <w:i/>
                <w:lang w:eastAsia="en-GB"/>
              </w:rPr>
              <w:t>n</w:t>
            </w:r>
            <w:r w:rsidR="006A55DB" w:rsidRPr="00C1603D">
              <w:rPr>
                <w:lang w:eastAsia="en-GB"/>
              </w:rPr>
              <w:t xml:space="preserve"> (%)</w:t>
            </w:r>
          </w:p>
        </w:tc>
      </w:tr>
      <w:tr w:rsidR="002069F8" w:rsidRPr="00C1603D" w14:paraId="283FDB1F" w14:textId="77777777" w:rsidTr="0044057F">
        <w:trPr>
          <w:cantSplit/>
        </w:trPr>
        <w:tc>
          <w:tcPr>
            <w:tcW w:w="0" w:type="auto"/>
            <w:shd w:val="clear" w:color="auto" w:fill="auto"/>
            <w:noWrap/>
          </w:tcPr>
          <w:p w14:paraId="372B623E" w14:textId="27EB35B0" w:rsidR="002069F8" w:rsidRPr="00C1603D" w:rsidRDefault="006A55DB"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1664AE55" w14:textId="58712D23" w:rsidR="002069F8" w:rsidRPr="00C1603D" w:rsidRDefault="002069F8" w:rsidP="002069F8">
            <w:pPr>
              <w:pStyle w:val="72TabletextTablesTableFigureBoxstyles"/>
              <w:rPr>
                <w:lang w:eastAsia="en-GB"/>
              </w:rPr>
            </w:pPr>
            <w:r w:rsidRPr="00C1603D">
              <w:rPr>
                <w:lang w:eastAsia="en-GB"/>
              </w:rPr>
              <w:t>722 (2.0)</w:t>
            </w:r>
          </w:p>
        </w:tc>
        <w:tc>
          <w:tcPr>
            <w:tcW w:w="0" w:type="auto"/>
            <w:shd w:val="clear" w:color="auto" w:fill="auto"/>
            <w:noWrap/>
          </w:tcPr>
          <w:p w14:paraId="2F80A322" w14:textId="08DD808B" w:rsidR="002069F8" w:rsidRPr="00C1603D" w:rsidRDefault="002069F8" w:rsidP="002069F8">
            <w:pPr>
              <w:pStyle w:val="72TabletextTablesTableFigureBoxstyles"/>
              <w:rPr>
                <w:lang w:eastAsia="en-GB"/>
              </w:rPr>
            </w:pPr>
            <w:r w:rsidRPr="00C1603D">
              <w:rPr>
                <w:lang w:eastAsia="en-GB"/>
              </w:rPr>
              <w:t>237 (3.9)</w:t>
            </w:r>
          </w:p>
        </w:tc>
        <w:tc>
          <w:tcPr>
            <w:tcW w:w="0" w:type="auto"/>
            <w:shd w:val="clear" w:color="auto" w:fill="auto"/>
            <w:noWrap/>
          </w:tcPr>
          <w:p w14:paraId="74FF284A"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7BB99005" w14:textId="34990C65" w:rsidR="002069F8" w:rsidRPr="00C1603D" w:rsidRDefault="002069F8" w:rsidP="002069F8">
            <w:pPr>
              <w:pStyle w:val="72TabletextTablesTableFigureBoxstyles"/>
              <w:rPr>
                <w:lang w:eastAsia="en-GB"/>
              </w:rPr>
            </w:pPr>
            <w:r w:rsidRPr="00C1603D">
              <w:rPr>
                <w:lang w:eastAsia="en-GB"/>
              </w:rPr>
              <w:t>959 (2.3)</w:t>
            </w:r>
          </w:p>
        </w:tc>
        <w:tc>
          <w:tcPr>
            <w:tcW w:w="0" w:type="auto"/>
            <w:shd w:val="clear" w:color="auto" w:fill="auto"/>
            <w:noWrap/>
          </w:tcPr>
          <w:p w14:paraId="18D71AD0" w14:textId="6E7D457F" w:rsidR="002069F8" w:rsidRPr="00C1603D" w:rsidRDefault="002069F8" w:rsidP="002069F8">
            <w:pPr>
              <w:pStyle w:val="72TabletextTablesTableFigureBoxstyles"/>
              <w:rPr>
                <w:lang w:eastAsia="en-GB"/>
              </w:rPr>
            </w:pPr>
            <w:r w:rsidRPr="00C1603D">
              <w:rPr>
                <w:lang w:eastAsia="en-GB"/>
              </w:rPr>
              <w:t>290 (0.4)</w:t>
            </w:r>
          </w:p>
        </w:tc>
        <w:tc>
          <w:tcPr>
            <w:tcW w:w="0" w:type="auto"/>
            <w:shd w:val="clear" w:color="auto" w:fill="auto"/>
            <w:noWrap/>
          </w:tcPr>
          <w:p w14:paraId="0F2C4EF2" w14:textId="56E00BED" w:rsidR="002069F8" w:rsidRPr="00C1603D" w:rsidRDefault="002069F8" w:rsidP="002069F8">
            <w:pPr>
              <w:pStyle w:val="72TabletextTablesTableFigureBoxstyles"/>
              <w:rPr>
                <w:lang w:eastAsia="en-GB"/>
              </w:rPr>
            </w:pPr>
            <w:r w:rsidRPr="00C1603D">
              <w:rPr>
                <w:lang w:eastAsia="en-GB"/>
              </w:rPr>
              <w:t>85 (0.7)</w:t>
            </w:r>
          </w:p>
        </w:tc>
        <w:tc>
          <w:tcPr>
            <w:tcW w:w="0" w:type="auto"/>
            <w:shd w:val="clear" w:color="auto" w:fill="auto"/>
            <w:noWrap/>
          </w:tcPr>
          <w:p w14:paraId="31DD41ED"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1036FACA" w14:textId="6C36676D" w:rsidR="002069F8" w:rsidRPr="00C1603D" w:rsidRDefault="002069F8" w:rsidP="002069F8">
            <w:pPr>
              <w:pStyle w:val="72TabletextTablesTableFigureBoxstyles"/>
              <w:rPr>
                <w:lang w:eastAsia="en-GB"/>
              </w:rPr>
            </w:pPr>
            <w:r w:rsidRPr="00C1603D">
              <w:rPr>
                <w:lang w:eastAsia="en-GB"/>
              </w:rPr>
              <w:t>375 (0.4)</w:t>
            </w:r>
          </w:p>
        </w:tc>
      </w:tr>
      <w:tr w:rsidR="002069F8" w:rsidRPr="00C1603D" w14:paraId="288301E2" w14:textId="77777777" w:rsidTr="0044057F">
        <w:trPr>
          <w:cantSplit/>
        </w:trPr>
        <w:tc>
          <w:tcPr>
            <w:tcW w:w="0" w:type="auto"/>
            <w:gridSpan w:val="9"/>
            <w:shd w:val="clear" w:color="auto" w:fill="auto"/>
            <w:noWrap/>
          </w:tcPr>
          <w:p w14:paraId="34C5EF88" w14:textId="0577772F" w:rsidR="002069F8" w:rsidRPr="00C1603D" w:rsidRDefault="002069F8" w:rsidP="006A55DB">
            <w:pPr>
              <w:pStyle w:val="72TabletextTablesTableFigureBoxstyles"/>
              <w:rPr>
                <w:lang w:eastAsia="en-GB"/>
              </w:rPr>
            </w:pPr>
            <w:r w:rsidRPr="00C1603D">
              <w:rPr>
                <w:lang w:eastAsia="en-GB"/>
              </w:rPr>
              <w:t>Type 1 diabetes</w:t>
            </w:r>
            <w:r w:rsidR="006A55DB" w:rsidRPr="00C1603D">
              <w:rPr>
                <w:lang w:eastAsia="en-GB"/>
              </w:rPr>
              <w:t xml:space="preserve">, </w:t>
            </w:r>
            <w:r w:rsidR="006A55DB" w:rsidRPr="00C1603D">
              <w:rPr>
                <w:i/>
                <w:lang w:eastAsia="en-GB"/>
              </w:rPr>
              <w:t>n</w:t>
            </w:r>
            <w:r w:rsidR="006A55DB" w:rsidRPr="00C1603D">
              <w:rPr>
                <w:lang w:eastAsia="en-GB"/>
              </w:rPr>
              <w:t xml:space="preserve"> (%)</w:t>
            </w:r>
          </w:p>
        </w:tc>
      </w:tr>
      <w:tr w:rsidR="002069F8" w:rsidRPr="00C1603D" w14:paraId="21DD48E8" w14:textId="77777777" w:rsidTr="0044057F">
        <w:trPr>
          <w:cantSplit/>
        </w:trPr>
        <w:tc>
          <w:tcPr>
            <w:tcW w:w="0" w:type="auto"/>
            <w:shd w:val="clear" w:color="auto" w:fill="auto"/>
            <w:noWrap/>
          </w:tcPr>
          <w:p w14:paraId="44EC0DE6" w14:textId="5323FC2C" w:rsidR="002069F8" w:rsidRPr="00C1603D" w:rsidRDefault="006A55DB"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2EDDFF61" w14:textId="7E2AA2C0" w:rsidR="002069F8" w:rsidRPr="00C1603D" w:rsidRDefault="002069F8" w:rsidP="002069F8">
            <w:pPr>
              <w:pStyle w:val="72TabletextTablesTableFigureBoxstyles"/>
              <w:rPr>
                <w:lang w:eastAsia="en-GB"/>
              </w:rPr>
            </w:pPr>
            <w:r w:rsidRPr="00C1603D">
              <w:rPr>
                <w:lang w:eastAsia="en-GB"/>
              </w:rPr>
              <w:t>119 (0.3)</w:t>
            </w:r>
          </w:p>
        </w:tc>
        <w:tc>
          <w:tcPr>
            <w:tcW w:w="0" w:type="auto"/>
            <w:shd w:val="clear" w:color="auto" w:fill="auto"/>
            <w:noWrap/>
          </w:tcPr>
          <w:p w14:paraId="159B0961" w14:textId="44B29E27" w:rsidR="002069F8" w:rsidRPr="00C1603D" w:rsidRDefault="002069F8" w:rsidP="002069F8">
            <w:pPr>
              <w:pStyle w:val="72TabletextTablesTableFigureBoxstyles"/>
              <w:rPr>
                <w:lang w:eastAsia="en-GB"/>
              </w:rPr>
            </w:pPr>
            <w:r w:rsidRPr="00C1603D">
              <w:rPr>
                <w:lang w:eastAsia="en-GB"/>
              </w:rPr>
              <w:t>126 (2.1)</w:t>
            </w:r>
          </w:p>
        </w:tc>
        <w:tc>
          <w:tcPr>
            <w:tcW w:w="0" w:type="auto"/>
            <w:shd w:val="clear" w:color="auto" w:fill="auto"/>
            <w:noWrap/>
          </w:tcPr>
          <w:p w14:paraId="77C3793E"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210F49C5" w14:textId="136A287F" w:rsidR="002069F8" w:rsidRPr="00C1603D" w:rsidRDefault="002069F8" w:rsidP="002069F8">
            <w:pPr>
              <w:pStyle w:val="72TabletextTablesTableFigureBoxstyles"/>
              <w:rPr>
                <w:lang w:eastAsia="en-GB"/>
              </w:rPr>
            </w:pPr>
            <w:r w:rsidRPr="00C1603D">
              <w:rPr>
                <w:lang w:eastAsia="en-GB"/>
              </w:rPr>
              <w:t>245 (0.6)</w:t>
            </w:r>
          </w:p>
        </w:tc>
        <w:tc>
          <w:tcPr>
            <w:tcW w:w="0" w:type="auto"/>
            <w:shd w:val="clear" w:color="auto" w:fill="auto"/>
            <w:noWrap/>
          </w:tcPr>
          <w:p w14:paraId="628DC2FC" w14:textId="6AA039F2" w:rsidR="002069F8" w:rsidRPr="00C1603D" w:rsidRDefault="002069F8" w:rsidP="002069F8">
            <w:pPr>
              <w:pStyle w:val="72TabletextTablesTableFigureBoxstyles"/>
              <w:rPr>
                <w:lang w:eastAsia="en-GB"/>
              </w:rPr>
            </w:pPr>
            <w:r w:rsidRPr="00C1603D">
              <w:rPr>
                <w:lang w:eastAsia="en-GB"/>
              </w:rPr>
              <w:t>324 (0.4)</w:t>
            </w:r>
          </w:p>
        </w:tc>
        <w:tc>
          <w:tcPr>
            <w:tcW w:w="0" w:type="auto"/>
            <w:shd w:val="clear" w:color="auto" w:fill="auto"/>
            <w:noWrap/>
          </w:tcPr>
          <w:p w14:paraId="737E3521" w14:textId="1FDBE064" w:rsidR="002069F8" w:rsidRPr="00C1603D" w:rsidRDefault="002069F8" w:rsidP="002069F8">
            <w:pPr>
              <w:pStyle w:val="72TabletextTablesTableFigureBoxstyles"/>
              <w:rPr>
                <w:lang w:eastAsia="en-GB"/>
              </w:rPr>
            </w:pPr>
            <w:r w:rsidRPr="00C1603D">
              <w:rPr>
                <w:lang w:eastAsia="en-GB"/>
              </w:rPr>
              <w:t>150 (1.2)</w:t>
            </w:r>
          </w:p>
        </w:tc>
        <w:tc>
          <w:tcPr>
            <w:tcW w:w="0" w:type="auto"/>
            <w:shd w:val="clear" w:color="auto" w:fill="auto"/>
            <w:noWrap/>
          </w:tcPr>
          <w:p w14:paraId="4BC92F4B"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00283747" w14:textId="513C303F" w:rsidR="002069F8" w:rsidRPr="00C1603D" w:rsidRDefault="002069F8" w:rsidP="002069F8">
            <w:pPr>
              <w:pStyle w:val="72TabletextTablesTableFigureBoxstyles"/>
              <w:rPr>
                <w:lang w:eastAsia="en-GB"/>
              </w:rPr>
            </w:pPr>
            <w:r w:rsidRPr="00C1603D">
              <w:rPr>
                <w:lang w:eastAsia="en-GB"/>
              </w:rPr>
              <w:t>474 (0.5)</w:t>
            </w:r>
          </w:p>
        </w:tc>
      </w:tr>
      <w:tr w:rsidR="002069F8" w:rsidRPr="00C1603D" w14:paraId="3470701B" w14:textId="77777777" w:rsidTr="0044057F">
        <w:trPr>
          <w:cantSplit/>
        </w:trPr>
        <w:tc>
          <w:tcPr>
            <w:tcW w:w="0" w:type="auto"/>
            <w:gridSpan w:val="9"/>
            <w:shd w:val="clear" w:color="auto" w:fill="auto"/>
            <w:noWrap/>
          </w:tcPr>
          <w:p w14:paraId="4142A2E8" w14:textId="268E035F" w:rsidR="002069F8" w:rsidRPr="00C1603D" w:rsidRDefault="002069F8" w:rsidP="006A55DB">
            <w:pPr>
              <w:pStyle w:val="72TabletextTablesTableFigureBoxstyles"/>
              <w:rPr>
                <w:lang w:eastAsia="en-GB"/>
              </w:rPr>
            </w:pPr>
            <w:r w:rsidRPr="00C1603D">
              <w:rPr>
                <w:lang w:eastAsia="en-GB"/>
              </w:rPr>
              <w:t>Thyroid disorders</w:t>
            </w:r>
            <w:r w:rsidR="006A55DB" w:rsidRPr="00C1603D">
              <w:rPr>
                <w:lang w:eastAsia="en-GB"/>
              </w:rPr>
              <w:t xml:space="preserve">, </w:t>
            </w:r>
            <w:r w:rsidR="006A55DB" w:rsidRPr="00C1603D">
              <w:rPr>
                <w:i/>
                <w:lang w:eastAsia="en-GB"/>
              </w:rPr>
              <w:t>n</w:t>
            </w:r>
            <w:r w:rsidR="006A55DB" w:rsidRPr="00C1603D">
              <w:rPr>
                <w:lang w:eastAsia="en-GB"/>
              </w:rPr>
              <w:t xml:space="preserve"> (%)</w:t>
            </w:r>
          </w:p>
        </w:tc>
      </w:tr>
      <w:tr w:rsidR="002069F8" w:rsidRPr="00C1603D" w14:paraId="39BBDFE6" w14:textId="77777777" w:rsidTr="0044057F">
        <w:trPr>
          <w:cantSplit/>
        </w:trPr>
        <w:tc>
          <w:tcPr>
            <w:tcW w:w="0" w:type="auto"/>
            <w:shd w:val="clear" w:color="auto" w:fill="auto"/>
            <w:noWrap/>
          </w:tcPr>
          <w:p w14:paraId="58897CC5" w14:textId="31240FC1" w:rsidR="002069F8" w:rsidRPr="00C1603D" w:rsidRDefault="006A55DB"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2D847DEA" w14:textId="0D13CB83" w:rsidR="002069F8" w:rsidRPr="00C1603D" w:rsidRDefault="002069F8" w:rsidP="002069F8">
            <w:pPr>
              <w:pStyle w:val="72TabletextTablesTableFigureBoxstyles"/>
              <w:rPr>
                <w:lang w:eastAsia="en-GB"/>
              </w:rPr>
            </w:pPr>
            <w:r w:rsidRPr="00C1603D">
              <w:rPr>
                <w:lang w:eastAsia="en-GB"/>
              </w:rPr>
              <w:t>389 (1.1)</w:t>
            </w:r>
          </w:p>
        </w:tc>
        <w:tc>
          <w:tcPr>
            <w:tcW w:w="0" w:type="auto"/>
            <w:shd w:val="clear" w:color="auto" w:fill="auto"/>
            <w:noWrap/>
          </w:tcPr>
          <w:p w14:paraId="4EDF4682" w14:textId="4B732646" w:rsidR="002069F8" w:rsidRPr="00C1603D" w:rsidRDefault="002069F8" w:rsidP="002069F8">
            <w:pPr>
              <w:pStyle w:val="72TabletextTablesTableFigureBoxstyles"/>
              <w:rPr>
                <w:lang w:eastAsia="en-GB"/>
              </w:rPr>
            </w:pPr>
            <w:r w:rsidRPr="00C1603D">
              <w:rPr>
                <w:lang w:eastAsia="en-GB"/>
              </w:rPr>
              <w:t>287 (4.8)</w:t>
            </w:r>
          </w:p>
        </w:tc>
        <w:tc>
          <w:tcPr>
            <w:tcW w:w="0" w:type="auto"/>
            <w:shd w:val="clear" w:color="auto" w:fill="auto"/>
            <w:noWrap/>
          </w:tcPr>
          <w:p w14:paraId="66A0D486"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4305F6B7" w14:textId="1B90226D" w:rsidR="002069F8" w:rsidRPr="00C1603D" w:rsidRDefault="002069F8" w:rsidP="002069F8">
            <w:pPr>
              <w:pStyle w:val="72TabletextTablesTableFigureBoxstyles"/>
              <w:rPr>
                <w:lang w:eastAsia="en-GB"/>
              </w:rPr>
            </w:pPr>
            <w:r w:rsidRPr="00C1603D">
              <w:rPr>
                <w:lang w:eastAsia="en-GB"/>
              </w:rPr>
              <w:t>676 (1.6)</w:t>
            </w:r>
          </w:p>
        </w:tc>
        <w:tc>
          <w:tcPr>
            <w:tcW w:w="0" w:type="auto"/>
            <w:shd w:val="clear" w:color="auto" w:fill="auto"/>
            <w:noWrap/>
          </w:tcPr>
          <w:p w14:paraId="56D6A2BF" w14:textId="03855EA8" w:rsidR="002069F8" w:rsidRPr="00C1603D" w:rsidRDefault="002069F8" w:rsidP="002069F8">
            <w:pPr>
              <w:pStyle w:val="72TabletextTablesTableFigureBoxstyles"/>
              <w:rPr>
                <w:lang w:eastAsia="en-GB"/>
              </w:rPr>
            </w:pPr>
            <w:r w:rsidRPr="00C1603D">
              <w:rPr>
                <w:lang w:eastAsia="en-GB"/>
              </w:rPr>
              <w:t>166 (0.2)</w:t>
            </w:r>
          </w:p>
        </w:tc>
        <w:tc>
          <w:tcPr>
            <w:tcW w:w="0" w:type="auto"/>
            <w:shd w:val="clear" w:color="auto" w:fill="auto"/>
            <w:noWrap/>
          </w:tcPr>
          <w:p w14:paraId="032E522E" w14:textId="2E8D0935" w:rsidR="002069F8" w:rsidRPr="00C1603D" w:rsidRDefault="002069F8" w:rsidP="002069F8">
            <w:pPr>
              <w:pStyle w:val="72TabletextTablesTableFigureBoxstyles"/>
              <w:rPr>
                <w:lang w:eastAsia="en-GB"/>
              </w:rPr>
            </w:pPr>
            <w:r w:rsidRPr="00C1603D">
              <w:rPr>
                <w:lang w:eastAsia="en-GB"/>
              </w:rPr>
              <w:t>130 (1.0)</w:t>
            </w:r>
          </w:p>
        </w:tc>
        <w:tc>
          <w:tcPr>
            <w:tcW w:w="0" w:type="auto"/>
            <w:shd w:val="clear" w:color="auto" w:fill="auto"/>
            <w:noWrap/>
          </w:tcPr>
          <w:p w14:paraId="23136B8E"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B11ECF2" w14:textId="73A6F63D" w:rsidR="002069F8" w:rsidRPr="00C1603D" w:rsidRDefault="002069F8" w:rsidP="002069F8">
            <w:pPr>
              <w:pStyle w:val="72TabletextTablesTableFigureBoxstyles"/>
              <w:rPr>
                <w:lang w:eastAsia="en-GB"/>
              </w:rPr>
            </w:pPr>
            <w:r w:rsidRPr="00C1603D">
              <w:rPr>
                <w:lang w:eastAsia="en-GB"/>
              </w:rPr>
              <w:t>296 (0.3)</w:t>
            </w:r>
          </w:p>
        </w:tc>
      </w:tr>
      <w:tr w:rsidR="002069F8" w:rsidRPr="00C1603D" w14:paraId="68A2ED71" w14:textId="77777777" w:rsidTr="0044057F">
        <w:trPr>
          <w:cantSplit/>
        </w:trPr>
        <w:tc>
          <w:tcPr>
            <w:tcW w:w="0" w:type="auto"/>
            <w:gridSpan w:val="9"/>
            <w:shd w:val="clear" w:color="auto" w:fill="auto"/>
            <w:noWrap/>
          </w:tcPr>
          <w:p w14:paraId="7789482D" w14:textId="4F7D3A73" w:rsidR="002069F8" w:rsidRPr="00C1603D" w:rsidRDefault="002069F8" w:rsidP="006A55DB">
            <w:pPr>
              <w:pStyle w:val="72TabletextTablesTableFigureBoxstyles"/>
              <w:rPr>
                <w:lang w:eastAsia="en-GB"/>
              </w:rPr>
            </w:pPr>
            <w:r w:rsidRPr="00C1603D">
              <w:rPr>
                <w:lang w:eastAsia="en-GB"/>
              </w:rPr>
              <w:t>Weight loss</w:t>
            </w:r>
            <w:r w:rsidR="006A55DB" w:rsidRPr="00C1603D">
              <w:rPr>
                <w:lang w:eastAsia="en-GB"/>
              </w:rPr>
              <w:t xml:space="preserve">, </w:t>
            </w:r>
            <w:r w:rsidR="006A55DB" w:rsidRPr="00C1603D">
              <w:rPr>
                <w:i/>
                <w:lang w:eastAsia="en-GB"/>
              </w:rPr>
              <w:t>n</w:t>
            </w:r>
            <w:r w:rsidR="006A55DB" w:rsidRPr="00C1603D">
              <w:rPr>
                <w:lang w:eastAsia="en-GB"/>
              </w:rPr>
              <w:t xml:space="preserve"> (%)</w:t>
            </w:r>
          </w:p>
        </w:tc>
      </w:tr>
      <w:tr w:rsidR="002069F8" w:rsidRPr="00C1603D" w14:paraId="51537AC9" w14:textId="77777777" w:rsidTr="0044057F">
        <w:trPr>
          <w:cantSplit/>
        </w:trPr>
        <w:tc>
          <w:tcPr>
            <w:tcW w:w="0" w:type="auto"/>
            <w:shd w:val="clear" w:color="auto" w:fill="auto"/>
            <w:noWrap/>
          </w:tcPr>
          <w:p w14:paraId="4D7BF512" w14:textId="123837BB" w:rsidR="002069F8" w:rsidRPr="00C1603D" w:rsidRDefault="006A55DB" w:rsidP="002069F8">
            <w:pPr>
              <w:pStyle w:val="72TabletextTablesTableFigureBoxstyles"/>
              <w:rPr>
                <w:lang w:eastAsia="en-GB"/>
              </w:rPr>
            </w:pPr>
            <w:r w:rsidRPr="00C1603D">
              <w:rPr>
                <w:lang w:eastAsia="en-GB"/>
              </w:rPr>
              <w:tab/>
            </w:r>
            <w:r w:rsidR="002069F8" w:rsidRPr="00C1603D">
              <w:rPr>
                <w:lang w:eastAsia="en-GB"/>
              </w:rPr>
              <w:t>Present</w:t>
            </w:r>
          </w:p>
        </w:tc>
        <w:tc>
          <w:tcPr>
            <w:tcW w:w="0" w:type="auto"/>
            <w:shd w:val="clear" w:color="auto" w:fill="auto"/>
            <w:noWrap/>
          </w:tcPr>
          <w:p w14:paraId="27759865" w14:textId="67418702" w:rsidR="002069F8" w:rsidRPr="00C1603D" w:rsidRDefault="002069F8" w:rsidP="002069F8">
            <w:pPr>
              <w:pStyle w:val="72TabletextTablesTableFigureBoxstyles"/>
              <w:rPr>
                <w:lang w:eastAsia="en-GB"/>
              </w:rPr>
            </w:pPr>
            <w:r w:rsidRPr="00C1603D">
              <w:rPr>
                <w:lang w:eastAsia="en-GB"/>
              </w:rPr>
              <w:t>340 (1.0)</w:t>
            </w:r>
          </w:p>
        </w:tc>
        <w:tc>
          <w:tcPr>
            <w:tcW w:w="0" w:type="auto"/>
            <w:shd w:val="clear" w:color="auto" w:fill="auto"/>
            <w:noWrap/>
          </w:tcPr>
          <w:p w14:paraId="656420E6" w14:textId="57E53383" w:rsidR="002069F8" w:rsidRPr="00C1603D" w:rsidRDefault="002069F8" w:rsidP="002069F8">
            <w:pPr>
              <w:pStyle w:val="72TabletextTablesTableFigureBoxstyles"/>
              <w:rPr>
                <w:lang w:eastAsia="en-GB"/>
              </w:rPr>
            </w:pPr>
            <w:r w:rsidRPr="00C1603D">
              <w:rPr>
                <w:lang w:eastAsia="en-GB"/>
              </w:rPr>
              <w:t>467 (7.7)</w:t>
            </w:r>
          </w:p>
        </w:tc>
        <w:tc>
          <w:tcPr>
            <w:tcW w:w="0" w:type="auto"/>
            <w:shd w:val="clear" w:color="auto" w:fill="auto"/>
            <w:noWrap/>
          </w:tcPr>
          <w:p w14:paraId="4D4EF8F6"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69B1D44D" w14:textId="0EF615FD" w:rsidR="002069F8" w:rsidRPr="00C1603D" w:rsidRDefault="002069F8" w:rsidP="002069F8">
            <w:pPr>
              <w:pStyle w:val="72TabletextTablesTableFigureBoxstyles"/>
              <w:rPr>
                <w:lang w:eastAsia="en-GB"/>
              </w:rPr>
            </w:pPr>
            <w:r w:rsidRPr="00C1603D">
              <w:rPr>
                <w:lang w:eastAsia="en-GB"/>
              </w:rPr>
              <w:t>807 (2.0)</w:t>
            </w:r>
          </w:p>
        </w:tc>
        <w:tc>
          <w:tcPr>
            <w:tcW w:w="0" w:type="auto"/>
            <w:shd w:val="clear" w:color="auto" w:fill="auto"/>
            <w:noWrap/>
          </w:tcPr>
          <w:p w14:paraId="662A6D21" w14:textId="11B645E2" w:rsidR="002069F8" w:rsidRPr="00C1603D" w:rsidRDefault="002069F8" w:rsidP="002069F8">
            <w:pPr>
              <w:pStyle w:val="72TabletextTablesTableFigureBoxstyles"/>
              <w:rPr>
                <w:lang w:eastAsia="en-GB"/>
              </w:rPr>
            </w:pPr>
            <w:r w:rsidRPr="00C1603D">
              <w:rPr>
                <w:lang w:eastAsia="en-GB"/>
              </w:rPr>
              <w:t>85 (0.1)</w:t>
            </w:r>
          </w:p>
        </w:tc>
        <w:tc>
          <w:tcPr>
            <w:tcW w:w="0" w:type="auto"/>
            <w:shd w:val="clear" w:color="auto" w:fill="auto"/>
            <w:noWrap/>
          </w:tcPr>
          <w:p w14:paraId="04A97F0E" w14:textId="18A3A0B5" w:rsidR="002069F8" w:rsidRPr="00C1603D" w:rsidRDefault="002069F8" w:rsidP="002069F8">
            <w:pPr>
              <w:pStyle w:val="72TabletextTablesTableFigureBoxstyles"/>
              <w:rPr>
                <w:lang w:eastAsia="en-GB"/>
              </w:rPr>
            </w:pPr>
            <w:r w:rsidRPr="00C1603D">
              <w:rPr>
                <w:lang w:eastAsia="en-GB"/>
              </w:rPr>
              <w:t>100 (0.8)</w:t>
            </w:r>
          </w:p>
        </w:tc>
        <w:tc>
          <w:tcPr>
            <w:tcW w:w="0" w:type="auto"/>
            <w:shd w:val="clear" w:color="auto" w:fill="auto"/>
            <w:noWrap/>
          </w:tcPr>
          <w:p w14:paraId="757BFD6C" w14:textId="77777777" w:rsidR="002069F8" w:rsidRPr="00C1603D" w:rsidRDefault="002069F8" w:rsidP="002069F8">
            <w:pPr>
              <w:pStyle w:val="72TabletextTablesTableFigureBoxstyles"/>
              <w:rPr>
                <w:lang w:eastAsia="en-GB"/>
              </w:rPr>
            </w:pPr>
            <w:r w:rsidRPr="00C1603D">
              <w:rPr>
                <w:color w:val="00B0F0"/>
                <w:lang w:eastAsia="en-GB"/>
              </w:rPr>
              <w:t>&lt; 0</w:t>
            </w:r>
            <w:r w:rsidRPr="00C1603D">
              <w:rPr>
                <w:lang w:eastAsia="en-GB"/>
              </w:rPr>
              <w:t>.001</w:t>
            </w:r>
          </w:p>
        </w:tc>
        <w:tc>
          <w:tcPr>
            <w:tcW w:w="0" w:type="auto"/>
            <w:shd w:val="clear" w:color="auto" w:fill="auto"/>
            <w:noWrap/>
          </w:tcPr>
          <w:p w14:paraId="30B6010F" w14:textId="5858FCAB" w:rsidR="002069F8" w:rsidRPr="00C1603D" w:rsidRDefault="002069F8" w:rsidP="002069F8">
            <w:pPr>
              <w:pStyle w:val="72TabletextTablesTableFigureBoxstyles"/>
              <w:rPr>
                <w:lang w:eastAsia="en-GB"/>
              </w:rPr>
            </w:pPr>
            <w:r w:rsidRPr="00C1603D">
              <w:rPr>
                <w:lang w:eastAsia="en-GB"/>
              </w:rPr>
              <w:t>185 (0.2)</w:t>
            </w:r>
          </w:p>
        </w:tc>
      </w:tr>
      <w:tr w:rsidR="002069F8" w:rsidRPr="00C1603D" w14:paraId="3B9C46F1" w14:textId="77777777" w:rsidTr="0044057F">
        <w:trPr>
          <w:cantSplit/>
        </w:trPr>
        <w:tc>
          <w:tcPr>
            <w:tcW w:w="0" w:type="auto"/>
            <w:gridSpan w:val="9"/>
            <w:shd w:val="clear" w:color="auto" w:fill="auto"/>
            <w:noWrap/>
          </w:tcPr>
          <w:p w14:paraId="60327F4C" w14:textId="3480A0D7" w:rsidR="00642E29" w:rsidRPr="00C1603D" w:rsidRDefault="00642E29" w:rsidP="002069F8">
            <w:pPr>
              <w:pStyle w:val="75TablenotesTablesTableFigureBoxstyles"/>
            </w:pPr>
            <w:r w:rsidRPr="00C1603D">
              <w:t>NR, not reported.</w:t>
            </w:r>
          </w:p>
          <w:p w14:paraId="5BC1F9E2" w14:textId="5A50935F" w:rsidR="002069F8" w:rsidRPr="00C1603D" w:rsidRDefault="002069F8" w:rsidP="002069F8">
            <w:pPr>
              <w:pStyle w:val="75TablenotesTablesTableFigureBoxstyles"/>
              <w:rPr>
                <w:lang w:eastAsia="en-GB"/>
              </w:rPr>
            </w:pPr>
            <w:r w:rsidRPr="00C1603D">
              <w:t>a</w:t>
            </w:r>
            <w:r w:rsidRPr="00C1603D">
              <w:tab/>
            </w:r>
            <w:r w:rsidRPr="00C1603D">
              <w:rPr>
                <w:i/>
                <w:iCs/>
              </w:rPr>
              <w:t>p</w:t>
            </w:r>
            <w:r w:rsidRPr="00C1603D">
              <w:t xml:space="preserve">-values show the result of a Welch two-sample </w:t>
            </w:r>
            <w:r w:rsidRPr="00C1603D">
              <w:rPr>
                <w:i/>
                <w:iCs/>
              </w:rPr>
              <w:t>t</w:t>
            </w:r>
            <w:r w:rsidRPr="00C1603D">
              <w:t>-test for continuous variables and of a Pearson</w:t>
            </w:r>
            <w:r w:rsidRPr="00C1603D">
              <w:rPr>
                <w:color w:val="00B0F0"/>
              </w:rPr>
              <w:t>’</w:t>
            </w:r>
            <w:r w:rsidRPr="00C1603D">
              <w:t>s chi-squared test with Yates</w:t>
            </w:r>
            <w:r w:rsidRPr="00C1603D">
              <w:rPr>
                <w:color w:val="00B0F0"/>
              </w:rPr>
              <w:t>’</w:t>
            </w:r>
            <w:r w:rsidRPr="00C1603D">
              <w:t xml:space="preserve"> continuity correction for categorical variables.</w:t>
            </w:r>
          </w:p>
        </w:tc>
      </w:tr>
    </w:tbl>
    <w:p w14:paraId="0A9A3ECC" w14:textId="4F2E323E" w:rsidR="008B4DF8" w:rsidRPr="00C1603D" w:rsidRDefault="008B4DF8" w:rsidP="008B4DF8">
      <w:pPr>
        <w:pStyle w:val="602TextfoTextstylesTextstyles"/>
        <w:rPr>
          <w:rFonts w:eastAsia="Calibri"/>
          <w:color w:val="auto"/>
          <w:u w:color="000000"/>
          <w:bdr w:val="nil"/>
          <w:lang w:eastAsia="zh-CN"/>
        </w:rPr>
      </w:pPr>
      <w:r w:rsidRPr="00C1603D">
        <w:rPr>
          <w:rFonts w:eastAsia="Calibri"/>
          <w:color w:val="auto"/>
          <w:u w:color="000000"/>
          <w:bdr w:val="nil"/>
          <w:lang w:eastAsia="zh-CN"/>
        </w:rPr>
        <w:t xml:space="preserve">Data on ethnicity and deprivation, through linkages with hospital records, </w:t>
      </w:r>
      <w:r w:rsidR="00F13D0F" w:rsidRPr="00C1603D">
        <w:rPr>
          <w:rFonts w:eastAsia="Calibri"/>
          <w:color w:val="auto"/>
          <w:u w:color="000000"/>
          <w:bdr w:val="nil"/>
          <w:lang w:eastAsia="zh-CN"/>
        </w:rPr>
        <w:t>were available</w:t>
      </w:r>
      <w:r w:rsidRPr="00C1603D">
        <w:rPr>
          <w:rFonts w:eastAsia="Calibri"/>
          <w:color w:val="auto"/>
          <w:u w:color="000000"/>
          <w:bdr w:val="nil"/>
          <w:lang w:eastAsia="zh-CN"/>
        </w:rPr>
        <w:t xml:space="preserve"> for</w:t>
      </w:r>
      <w:r w:rsidR="00F13D0F" w:rsidRPr="00C1603D">
        <w:rPr>
          <w:rFonts w:eastAsia="Calibri"/>
          <w:color w:val="auto"/>
          <w:u w:color="000000"/>
          <w:bdr w:val="nil"/>
          <w:lang w:eastAsia="zh-CN"/>
        </w:rPr>
        <w:t xml:space="preserve"> </w:t>
      </w:r>
      <w:r w:rsidRPr="00C1603D">
        <w:rPr>
          <w:rFonts w:eastAsia="Calibri"/>
          <w:color w:val="auto"/>
          <w:u w:color="000000"/>
          <w:bdr w:val="nil"/>
          <w:lang w:eastAsia="zh-CN"/>
        </w:rPr>
        <w:t xml:space="preserve">approximately </w:t>
      </w:r>
      <w:r w:rsidR="00F13D0F" w:rsidRPr="00C1603D">
        <w:rPr>
          <w:rFonts w:eastAsia="Calibri"/>
          <w:color w:val="auto"/>
          <w:u w:color="000000"/>
          <w:bdr w:val="nil"/>
          <w:lang w:eastAsia="zh-CN"/>
        </w:rPr>
        <w:t>one-</w:t>
      </w:r>
      <w:r w:rsidRPr="00C1603D">
        <w:rPr>
          <w:rFonts w:eastAsia="Calibri"/>
          <w:color w:val="auto"/>
          <w:u w:color="000000"/>
          <w:bdr w:val="nil"/>
          <w:lang w:eastAsia="zh-CN"/>
        </w:rPr>
        <w:t xml:space="preserve">third of the development data set and </w:t>
      </w:r>
      <w:r w:rsidR="00F13D0F" w:rsidRPr="00C1603D">
        <w:rPr>
          <w:rFonts w:eastAsia="Calibri"/>
          <w:color w:val="auto"/>
          <w:u w:color="000000"/>
          <w:bdr w:val="nil"/>
          <w:lang w:eastAsia="zh-CN"/>
        </w:rPr>
        <w:t>one-</w:t>
      </w:r>
      <w:r w:rsidRPr="00C1603D">
        <w:rPr>
          <w:rFonts w:eastAsia="Calibri"/>
          <w:color w:val="auto"/>
          <w:u w:color="000000"/>
          <w:bdr w:val="nil"/>
          <w:lang w:eastAsia="zh-CN"/>
        </w:rPr>
        <w:t xml:space="preserve">fifth of the validation data set. In all cohorts, </w:t>
      </w:r>
      <w:r w:rsidR="00F13D0F" w:rsidRPr="00C1603D">
        <w:rPr>
          <w:rFonts w:eastAsia="Calibri"/>
          <w:color w:val="auto"/>
          <w:u w:color="000000"/>
          <w:bdr w:val="nil"/>
          <w:lang w:eastAsia="zh-CN"/>
        </w:rPr>
        <w:t>of the</w:t>
      </w:r>
      <w:r w:rsidRPr="00C1603D">
        <w:rPr>
          <w:rFonts w:eastAsia="Calibri"/>
          <w:color w:val="auto"/>
          <w:u w:color="000000"/>
          <w:bdr w:val="nil"/>
          <w:lang w:eastAsia="zh-CN"/>
        </w:rPr>
        <w:t xml:space="preserve"> patients with known ethnicity</w:t>
      </w:r>
      <w:r w:rsidR="004E330B" w:rsidRPr="00C1603D">
        <w:rPr>
          <w:rFonts w:eastAsia="Calibri"/>
          <w:color w:val="auto"/>
          <w:u w:color="000000"/>
          <w:bdr w:val="nil"/>
          <w:lang w:eastAsia="zh-CN"/>
        </w:rPr>
        <w:t>,</w:t>
      </w:r>
      <w:r w:rsidRPr="00C1603D">
        <w:rPr>
          <w:rFonts w:eastAsia="Calibri"/>
          <w:color w:val="auto"/>
          <w:u w:color="000000"/>
          <w:bdr w:val="nil"/>
          <w:lang w:eastAsia="zh-CN"/>
        </w:rPr>
        <w:t xml:space="preserve"> 90</w:t>
      </w:r>
      <w:r w:rsidR="00F13D0F" w:rsidRPr="00C1603D">
        <w:rPr>
          <w:rFonts w:eastAsia="Calibri"/>
          <w:color w:val="auto"/>
          <w:u w:color="000000"/>
          <w:bdr w:val="nil"/>
          <w:lang w:eastAsia="zh-CN"/>
        </w:rPr>
        <w:t>–</w:t>
      </w:r>
      <w:r w:rsidRPr="00C1603D">
        <w:rPr>
          <w:rFonts w:eastAsia="Calibri"/>
          <w:color w:val="auto"/>
          <w:u w:color="000000"/>
          <w:bdr w:val="nil"/>
          <w:lang w:eastAsia="zh-CN"/>
        </w:rPr>
        <w:t>95% were white</w:t>
      </w:r>
      <w:r w:rsidR="004E330B" w:rsidRPr="00C1603D">
        <w:rPr>
          <w:rFonts w:eastAsia="Calibri"/>
          <w:color w:val="auto"/>
          <w:u w:color="000000"/>
          <w:bdr w:val="nil"/>
          <w:lang w:eastAsia="zh-CN"/>
        </w:rPr>
        <w:t>,</w:t>
      </w:r>
      <w:r w:rsidRPr="00C1603D">
        <w:rPr>
          <w:rFonts w:eastAsia="Calibri"/>
          <w:color w:val="auto"/>
          <w:u w:color="000000"/>
          <w:bdr w:val="nil"/>
          <w:lang w:eastAsia="zh-CN"/>
        </w:rPr>
        <w:t xml:space="preserve"> and CD patients were more likely to be white than controls. People with CD in the development data set lived in more deprived areas (IMD quintile</w:t>
      </w:r>
      <w:r w:rsidR="004E330B" w:rsidRPr="00C1603D">
        <w:rPr>
          <w:rFonts w:eastAsia="Calibri"/>
          <w:color w:val="auto"/>
          <w:u w:color="000000"/>
          <w:bdr w:val="nil"/>
          <w:lang w:eastAsia="zh-CN"/>
        </w:rPr>
        <w:t>s</w:t>
      </w:r>
      <w:r w:rsidRPr="00C1603D">
        <w:rPr>
          <w:rFonts w:eastAsia="Calibri"/>
          <w:color w:val="auto"/>
          <w:u w:color="000000"/>
          <w:bdr w:val="nil"/>
          <w:lang w:eastAsia="zh-CN"/>
        </w:rPr>
        <w:t xml:space="preserve"> 1 and 2) than </w:t>
      </w:r>
      <w:r w:rsidR="004E330B" w:rsidRPr="00C1603D">
        <w:rPr>
          <w:rFonts w:eastAsia="Calibri"/>
          <w:color w:val="auto"/>
          <w:u w:color="000000"/>
          <w:bdr w:val="nil"/>
          <w:lang w:eastAsia="zh-CN"/>
        </w:rPr>
        <w:t xml:space="preserve">the </w:t>
      </w:r>
      <w:r w:rsidRPr="00C1603D">
        <w:rPr>
          <w:rFonts w:eastAsia="Calibri"/>
          <w:color w:val="auto"/>
          <w:u w:color="000000"/>
          <w:bdr w:val="nil"/>
          <w:lang w:eastAsia="zh-CN"/>
        </w:rPr>
        <w:t>controls. This was not the case for CD patients in the validation data set.</w:t>
      </w:r>
    </w:p>
    <w:p w14:paraId="5A67E06A" w14:textId="327E24E4" w:rsidR="008B4DF8" w:rsidRPr="00C1603D" w:rsidRDefault="008B4DF8" w:rsidP="008B4DF8">
      <w:pPr>
        <w:pStyle w:val="602TextfoTextstylesTextstyles"/>
        <w:rPr>
          <w:color w:val="auto"/>
        </w:rPr>
      </w:pPr>
      <w:r w:rsidRPr="00C1603D">
        <w:t xml:space="preserve">All </w:t>
      </w:r>
      <w:r w:rsidRPr="00C1603D">
        <w:rPr>
          <w:color w:val="auto"/>
        </w:rPr>
        <w:t xml:space="preserve">selected indicators were significantly different between cases and controls in all three cohorts of the development data set, except for Down syndrome </w:t>
      </w:r>
      <w:r w:rsidR="00A62FB7" w:rsidRPr="00C1603D">
        <w:rPr>
          <w:color w:val="auto"/>
        </w:rPr>
        <w:t>among</w:t>
      </w:r>
      <w:r w:rsidRPr="00C1603D">
        <w:rPr>
          <w:color w:val="auto"/>
        </w:rPr>
        <w:t xml:space="preserve"> women. Although the prevalence of Down syndrome </w:t>
      </w:r>
      <w:r w:rsidR="000941A1" w:rsidRPr="00C1603D">
        <w:rPr>
          <w:color w:val="auto"/>
        </w:rPr>
        <w:t>among</w:t>
      </w:r>
      <w:r w:rsidRPr="00C1603D">
        <w:rPr>
          <w:color w:val="auto"/>
        </w:rPr>
        <w:t xml:space="preserve"> women with CD was </w:t>
      </w:r>
      <w:r w:rsidR="000941A1" w:rsidRPr="00C1603D">
        <w:rPr>
          <w:color w:val="auto"/>
        </w:rPr>
        <w:t>four</w:t>
      </w:r>
      <w:r w:rsidRPr="00C1603D">
        <w:rPr>
          <w:color w:val="auto"/>
        </w:rPr>
        <w:t xml:space="preserve"> in 10,000</w:t>
      </w:r>
      <w:r w:rsidR="000941A1" w:rsidRPr="00C1603D">
        <w:rPr>
          <w:color w:val="auto"/>
        </w:rPr>
        <w:t>,</w:t>
      </w:r>
      <w:r w:rsidRPr="00C1603D">
        <w:rPr>
          <w:color w:val="auto"/>
        </w:rPr>
        <w:t xml:space="preserve"> compared </w:t>
      </w:r>
      <w:r w:rsidR="000941A1" w:rsidRPr="00C1603D">
        <w:rPr>
          <w:color w:val="auto"/>
        </w:rPr>
        <w:t>with</w:t>
      </w:r>
      <w:r w:rsidRPr="00C1603D">
        <w:rPr>
          <w:color w:val="auto"/>
        </w:rPr>
        <w:t xml:space="preserve"> </w:t>
      </w:r>
      <w:r w:rsidR="000941A1" w:rsidRPr="00C1603D">
        <w:rPr>
          <w:color w:val="auto"/>
        </w:rPr>
        <w:t>one</w:t>
      </w:r>
      <w:r w:rsidRPr="00C1603D">
        <w:rPr>
          <w:color w:val="auto"/>
        </w:rPr>
        <w:t xml:space="preserve"> in 10,000 </w:t>
      </w:r>
      <w:r w:rsidR="000941A1" w:rsidRPr="00C1603D">
        <w:rPr>
          <w:color w:val="auto"/>
        </w:rPr>
        <w:t>among</w:t>
      </w:r>
      <w:r w:rsidRPr="00C1603D">
        <w:rPr>
          <w:color w:val="auto"/>
        </w:rPr>
        <w:t xml:space="preserve"> controls in both data sets, this difference did not reach statistical significance because of the </w:t>
      </w:r>
      <w:proofErr w:type="gramStart"/>
      <w:r w:rsidRPr="00C1603D">
        <w:rPr>
          <w:color w:val="auto"/>
        </w:rPr>
        <w:t>low number</w:t>
      </w:r>
      <w:proofErr w:type="gramEnd"/>
      <w:r w:rsidRPr="00C1603D">
        <w:rPr>
          <w:color w:val="auto"/>
        </w:rPr>
        <w:t xml:space="preserve"> of individuals with Down syndrome. In the validation data set for women, epilepsy was </w:t>
      </w:r>
      <w:r w:rsidR="00D862DA" w:rsidRPr="00C1603D">
        <w:rPr>
          <w:color w:val="auto"/>
        </w:rPr>
        <w:t xml:space="preserve">also </w:t>
      </w:r>
      <w:r w:rsidRPr="00C1603D">
        <w:rPr>
          <w:color w:val="auto"/>
        </w:rPr>
        <w:t xml:space="preserve">more prevalent in the CD group, but this did not reach statistical significance </w:t>
      </w:r>
      <w:r w:rsidR="00D862DA" w:rsidRPr="00C1603D">
        <w:rPr>
          <w:color w:val="auto"/>
        </w:rPr>
        <w:t>because of</w:t>
      </w:r>
      <w:r w:rsidRPr="00C1603D">
        <w:rPr>
          <w:color w:val="auto"/>
        </w:rPr>
        <w:t xml:space="preserve"> </w:t>
      </w:r>
      <w:proofErr w:type="gramStart"/>
      <w:r w:rsidRPr="00C1603D">
        <w:rPr>
          <w:color w:val="auto"/>
        </w:rPr>
        <w:t>low numbers</w:t>
      </w:r>
      <w:proofErr w:type="gramEnd"/>
      <w:r w:rsidRPr="00C1603D">
        <w:rPr>
          <w:color w:val="auto"/>
        </w:rPr>
        <w:t xml:space="preserve">. In the validation data set with children, arthritis and delayed puberty were not related to CD. In both data sets with men, all indicators were significantly more prevalent </w:t>
      </w:r>
      <w:r w:rsidR="00D862DA" w:rsidRPr="00C1603D">
        <w:rPr>
          <w:color w:val="auto"/>
        </w:rPr>
        <w:t>among people with</w:t>
      </w:r>
      <w:r w:rsidRPr="00C1603D">
        <w:rPr>
          <w:color w:val="auto"/>
        </w:rPr>
        <w:t xml:space="preserve"> CD than </w:t>
      </w:r>
      <w:r w:rsidR="00D862DA" w:rsidRPr="00C1603D">
        <w:rPr>
          <w:color w:val="auto"/>
        </w:rPr>
        <w:t xml:space="preserve">among </w:t>
      </w:r>
      <w:r w:rsidRPr="00C1603D">
        <w:rPr>
          <w:color w:val="auto"/>
        </w:rPr>
        <w:t>controls.</w:t>
      </w:r>
    </w:p>
    <w:p w14:paraId="5E192736" w14:textId="238CF97C" w:rsidR="008B4DF8" w:rsidRPr="00C1603D" w:rsidRDefault="008B4DF8" w:rsidP="008B4DF8">
      <w:pPr>
        <w:pStyle w:val="602TextfoTextstylesTextstyles"/>
      </w:pPr>
      <w:r w:rsidRPr="00C1603D">
        <w:lastRenderedPageBreak/>
        <w:t xml:space="preserve">The most </w:t>
      </w:r>
      <w:proofErr w:type="gramStart"/>
      <w:r w:rsidRPr="00C1603D">
        <w:t>important difference</w:t>
      </w:r>
      <w:proofErr w:type="gramEnd"/>
      <w:r w:rsidRPr="00C1603D">
        <w:t xml:space="preserve"> </w:t>
      </w:r>
      <w:r w:rsidRPr="00C1603D">
        <w:rPr>
          <w:color w:val="auto"/>
        </w:rPr>
        <w:t>between the development and</w:t>
      </w:r>
      <w:r w:rsidR="00D862DA" w:rsidRPr="00C1603D">
        <w:rPr>
          <w:color w:val="auto"/>
        </w:rPr>
        <w:t xml:space="preserve"> the</w:t>
      </w:r>
      <w:r w:rsidRPr="00C1603D">
        <w:rPr>
          <w:color w:val="auto"/>
        </w:rPr>
        <w:t xml:space="preserve"> validation data set</w:t>
      </w:r>
      <w:r w:rsidR="00D862DA" w:rsidRPr="00C1603D">
        <w:rPr>
          <w:color w:val="auto"/>
        </w:rPr>
        <w:t>s</w:t>
      </w:r>
      <w:r w:rsidRPr="00C1603D">
        <w:rPr>
          <w:color w:val="auto"/>
        </w:rPr>
        <w:t xml:space="preserve"> was that first-degree relatives </w:t>
      </w:r>
      <w:r w:rsidR="000E2750" w:rsidRPr="00C1603D">
        <w:rPr>
          <w:color w:val="auto"/>
        </w:rPr>
        <w:t>with</w:t>
      </w:r>
      <w:r w:rsidRPr="00C1603D">
        <w:rPr>
          <w:color w:val="auto"/>
        </w:rPr>
        <w:t xml:space="preserve"> CD was</w:t>
      </w:r>
      <w:r w:rsidRPr="00C1603D" w:rsidDel="007B3704">
        <w:rPr>
          <w:color w:val="auto"/>
        </w:rPr>
        <w:t xml:space="preserve"> </w:t>
      </w:r>
      <w:r w:rsidRPr="00C1603D">
        <w:rPr>
          <w:color w:val="auto"/>
        </w:rPr>
        <w:t xml:space="preserve">not recorded in the validation data set. There are also </w:t>
      </w:r>
      <w:proofErr w:type="gramStart"/>
      <w:r w:rsidRPr="00C1603D">
        <w:rPr>
          <w:color w:val="auto"/>
        </w:rPr>
        <w:t>small differences</w:t>
      </w:r>
      <w:proofErr w:type="gramEnd"/>
      <w:r w:rsidRPr="00C1603D">
        <w:rPr>
          <w:color w:val="auto"/>
        </w:rPr>
        <w:t xml:space="preserve"> in prevalences of indicators</w:t>
      </w:r>
      <w:r w:rsidR="000E2750" w:rsidRPr="00C1603D">
        <w:rPr>
          <w:color w:val="auto"/>
        </w:rPr>
        <w:t>,</w:t>
      </w:r>
      <w:r w:rsidRPr="00C1603D">
        <w:rPr>
          <w:color w:val="auto"/>
        </w:rPr>
        <w:t xml:space="preserve"> with most indicators being more prevalent in the development data set than in the validation data set. For instance, the most prevalent indicator</w:t>
      </w:r>
      <w:r w:rsidRPr="00C1603D" w:rsidDel="00AA19C2">
        <w:rPr>
          <w:color w:val="auto"/>
        </w:rPr>
        <w:t xml:space="preserve"> </w:t>
      </w:r>
      <w:r w:rsidRPr="00C1603D">
        <w:rPr>
          <w:color w:val="auto"/>
        </w:rPr>
        <w:t>was GI symptoms in all three cohorts. In the development data set</w:t>
      </w:r>
      <w:r w:rsidR="00C822B9" w:rsidRPr="00C1603D">
        <w:rPr>
          <w:color w:val="auto"/>
        </w:rPr>
        <w:t>,</w:t>
      </w:r>
      <w:r w:rsidRPr="00C1603D">
        <w:rPr>
          <w:color w:val="auto"/>
        </w:rPr>
        <w:t xml:space="preserve"> these prevalences range from 27</w:t>
      </w:r>
      <w:r w:rsidR="00C822B9" w:rsidRPr="00C1603D">
        <w:rPr>
          <w:color w:val="auto"/>
        </w:rPr>
        <w:t>%</w:t>
      </w:r>
      <w:r w:rsidRPr="00C1603D">
        <w:rPr>
          <w:color w:val="auto"/>
        </w:rPr>
        <w:t xml:space="preserve"> to 40%, whereas the prevalences in the validation data set range</w:t>
      </w:r>
      <w:r w:rsidR="00C822B9" w:rsidRPr="00C1603D">
        <w:rPr>
          <w:color w:val="auto"/>
        </w:rPr>
        <w:t>d</w:t>
      </w:r>
      <w:r w:rsidRPr="00C1603D">
        <w:rPr>
          <w:color w:val="auto"/>
        </w:rPr>
        <w:t xml:space="preserve"> from </w:t>
      </w:r>
      <w:r w:rsidRPr="00C1603D">
        <w:t>5</w:t>
      </w:r>
      <w:r w:rsidR="00C822B9" w:rsidRPr="00C1603D">
        <w:t>%</w:t>
      </w:r>
      <w:r w:rsidRPr="00C1603D">
        <w:t xml:space="preserve"> to 7%.</w:t>
      </w:r>
    </w:p>
    <w:p w14:paraId="06022141" w14:textId="77777777" w:rsidR="008B4DF8" w:rsidRPr="00C1603D" w:rsidRDefault="008B4DF8" w:rsidP="008B4DF8">
      <w:pPr>
        <w:pStyle w:val="53BheadHeadingsHeadingstyles"/>
      </w:pPr>
      <w:bookmarkStart w:id="209" w:name="_Toc99539847"/>
      <w:r w:rsidRPr="00C1603D">
        <w:t>Diagnostic indicator selection</w:t>
      </w:r>
      <w:bookmarkEnd w:id="209"/>
    </w:p>
    <w:p w14:paraId="1AC27DE7" w14:textId="484576C4" w:rsidR="008B4DF8" w:rsidRPr="00C1603D" w:rsidRDefault="008B4DF8" w:rsidP="00AA0F2E">
      <w:pPr>
        <w:pStyle w:val="602TextfoTextstylesTextstyles"/>
      </w:pPr>
      <w:r w:rsidRPr="00C1603D">
        <w:t xml:space="preserve">The following candidate diagnostic indicators </w:t>
      </w:r>
      <w:r w:rsidR="00C822B9" w:rsidRPr="00C1603D">
        <w:t>(see</w:t>
      </w:r>
      <w:r w:rsidRPr="00C1603D">
        <w:t xml:space="preserve"> </w:t>
      </w:r>
      <w:r w:rsidRPr="00C1603D">
        <w:rPr>
          <w:i/>
          <w:iCs/>
          <w:color w:val="auto"/>
        </w:rPr>
        <w:t>Appendix 9</w:t>
      </w:r>
      <w:r w:rsidR="00C822B9" w:rsidRPr="00C1603D">
        <w:rPr>
          <w:color w:val="auto"/>
        </w:rPr>
        <w:t>,</w:t>
      </w:r>
      <w:r w:rsidRPr="00C1603D">
        <w:rPr>
          <w:color w:val="auto"/>
        </w:rPr>
        <w:t xml:space="preserve"> </w:t>
      </w:r>
      <w:r w:rsidRPr="00C1603D">
        <w:rPr>
          <w:i/>
          <w:color w:val="auto"/>
        </w:rPr>
        <w:t xml:space="preserve">Table </w:t>
      </w:r>
      <w:r w:rsidRPr="00C1603D">
        <w:rPr>
          <w:i/>
          <w:noProof/>
          <w:color w:val="auto"/>
        </w:rPr>
        <w:t>5</w:t>
      </w:r>
      <w:r w:rsidR="007C2375" w:rsidRPr="00C1603D">
        <w:rPr>
          <w:i/>
          <w:noProof/>
          <w:color w:val="auto"/>
        </w:rPr>
        <w:t>2</w:t>
      </w:r>
      <w:r w:rsidR="00C822B9" w:rsidRPr="00C1603D">
        <w:rPr>
          <w:color w:val="auto"/>
        </w:rPr>
        <w:t xml:space="preserve">) </w:t>
      </w:r>
      <w:r w:rsidRPr="00C1603D">
        <w:rPr>
          <w:color w:val="auto"/>
        </w:rPr>
        <w:t xml:space="preserve">could </w:t>
      </w:r>
      <w:r w:rsidRPr="00C1603D">
        <w:t xml:space="preserve">not be considered in the model because there were no observations with the </w:t>
      </w:r>
      <w:r w:rsidR="00F37977" w:rsidRPr="00C1603D">
        <w:t>relevant</w:t>
      </w:r>
      <w:r w:rsidRPr="00C1603D">
        <w:t xml:space="preserve"> codes:</w:t>
      </w:r>
      <w:r w:rsidRPr="00C1603D">
        <w:rPr>
          <w:rFonts w:cs="Calibri"/>
        </w:rPr>
        <w:t xml:space="preserve"> </w:t>
      </w:r>
      <w:commentRangeStart w:id="210"/>
      <w:commentRangeStart w:id="211"/>
      <w:r w:rsidRPr="00C1603D">
        <w:rPr>
          <w:rFonts w:cs="Calibri"/>
        </w:rPr>
        <w:t xml:space="preserve">hyposplenism or functional asplenia, raised liver enzymes, multiple </w:t>
      </w:r>
      <w:r w:rsidRPr="00C1603D">
        <w:t xml:space="preserve">sclerosis, pancreatitis, pulmonary haemosiderosis, subfertility and recurrent pregnancy loss </w:t>
      </w:r>
      <w:r w:rsidR="00F37977" w:rsidRPr="00C1603D">
        <w:t xml:space="preserve">among </w:t>
      </w:r>
      <w:r w:rsidR="00526144" w:rsidRPr="00C1603D">
        <w:t>children</w:t>
      </w:r>
      <w:r w:rsidRPr="00C1603D">
        <w:t xml:space="preserve">; delayed puberty and pulmonary haemosiderosis in </w:t>
      </w:r>
      <w:r w:rsidR="00526144" w:rsidRPr="00C1603D">
        <w:t>women</w:t>
      </w:r>
      <w:r w:rsidRPr="00C1603D">
        <w:t xml:space="preserve">; amenorrhoea and </w:t>
      </w:r>
      <w:r w:rsidR="00EE2D41" w:rsidRPr="00C1603D">
        <w:t xml:space="preserve">Turner </w:t>
      </w:r>
      <w:r w:rsidRPr="00C1603D">
        <w:t xml:space="preserve">syndrome </w:t>
      </w:r>
      <w:r w:rsidR="00526144" w:rsidRPr="00C1603D">
        <w:t>among</w:t>
      </w:r>
      <w:r w:rsidRPr="00C1603D">
        <w:t xml:space="preserve"> men. </w:t>
      </w:r>
      <w:commentRangeEnd w:id="210"/>
      <w:r w:rsidR="005D32D7" w:rsidRPr="00C1603D">
        <w:commentReference w:id="210"/>
      </w:r>
      <w:commentRangeEnd w:id="211"/>
      <w:r w:rsidRPr="00C1603D">
        <w:commentReference w:id="211"/>
      </w:r>
      <w:r w:rsidRPr="00C1603D">
        <w:t>There were no observations of Williams</w:t>
      </w:r>
      <w:r w:rsidR="00AA0F2E" w:rsidRPr="00C1603D">
        <w:t>–</w:t>
      </w:r>
      <w:r w:rsidRPr="00C1603D">
        <w:t>Beuren syndrome or dental enamel defects in any of the samples.</w:t>
      </w:r>
    </w:p>
    <w:p w14:paraId="3264BEBE" w14:textId="4B901B1F" w:rsidR="008B4DF8" w:rsidRPr="00C1603D" w:rsidRDefault="008B4DF8" w:rsidP="008B4DF8">
      <w:pPr>
        <w:pStyle w:val="602TextfoTextstylesTextstyles"/>
      </w:pPr>
      <w:r w:rsidRPr="00C1603D">
        <w:t>Table S8</w:t>
      </w:r>
      <w:r w:rsidR="009F423E" w:rsidRPr="00C1603D">
        <w:t xml:space="preserve"> (see </w:t>
      </w:r>
      <w:r w:rsidR="009F423E" w:rsidRPr="00C1603D">
        <w:rPr>
          <w:i/>
          <w:iCs/>
        </w:rPr>
        <w:t>Report Supplementary Material 1</w:t>
      </w:r>
      <w:r w:rsidR="009F423E" w:rsidRPr="00C1603D">
        <w:t>)</w:t>
      </w:r>
      <w:r w:rsidRPr="00C1603D">
        <w:t xml:space="preserve"> presents the proportion of bootstrap samples that included each indicator and the median beta coefficient across all bootstrap samples.</w:t>
      </w:r>
    </w:p>
    <w:p w14:paraId="5DF63EDC" w14:textId="12F39C57" w:rsidR="008B4DF8" w:rsidRPr="00C1603D" w:rsidRDefault="008B4DF8" w:rsidP="008B4DF8">
      <w:pPr>
        <w:pStyle w:val="602TextfoTextstylesTextstyles"/>
      </w:pPr>
      <w:r w:rsidRPr="00C1603D">
        <w:t>The following indicators were dropped out of the model because of an apparent inverse relationship with CD:</w:t>
      </w:r>
      <w:r w:rsidRPr="00C1603D" w:rsidDel="00AA19C2">
        <w:t xml:space="preserve"> </w:t>
      </w:r>
      <w:r w:rsidRPr="00C1603D">
        <w:t>amenorrhoea, arthritis, irritability, mood disorders, multiple sclerosis, subfertility and type 2 diabetes for women</w:t>
      </w:r>
      <w:r w:rsidR="00172A7E" w:rsidRPr="00C1603D">
        <w:t>;</w:t>
      </w:r>
      <w:r w:rsidRPr="00C1603D">
        <w:t xml:space="preserve"> and type 2 diabetes for men. </w:t>
      </w:r>
      <w:r w:rsidR="000D1665" w:rsidRPr="00C1603D">
        <w:rPr>
          <w:lang w:eastAsia="en-GB"/>
        </w:rPr>
        <w:t>Attention deficit hyperactivity disorder</w:t>
      </w:r>
      <w:r w:rsidRPr="00C1603D">
        <w:t>, headaches, migraines, hyposplenism or functional asplenia, IgA nephropathy, irritability, pancreatitis, type 2 diabetes and multiple sclerosis were not selected as important indicators in any of the models.</w:t>
      </w:r>
    </w:p>
    <w:p w14:paraId="4AD674D5" w14:textId="77777777" w:rsidR="008B4DF8" w:rsidRPr="00C1603D" w:rsidRDefault="008B4DF8" w:rsidP="008B4DF8">
      <w:pPr>
        <w:pStyle w:val="53BheadHeadingsHeadingstyles"/>
      </w:pPr>
      <w:bookmarkStart w:id="212" w:name="_Toc86163974"/>
      <w:bookmarkStart w:id="213" w:name="_Toc99539848"/>
      <w:bookmarkStart w:id="214" w:name="_Ref83908178"/>
      <w:r w:rsidRPr="00C1603D">
        <w:t>Model specification</w:t>
      </w:r>
      <w:bookmarkEnd w:id="212"/>
      <w:bookmarkEnd w:id="213"/>
    </w:p>
    <w:p w14:paraId="204CF356" w14:textId="0207659A" w:rsidR="008B4DF8" w:rsidRPr="00C1603D" w:rsidRDefault="008B4DF8" w:rsidP="008B4DF8">
      <w:pPr>
        <w:pStyle w:val="602TextfoTextstylesTextstyles"/>
      </w:pPr>
      <w:r w:rsidRPr="00C1603D">
        <w:t xml:space="preserve">The model intercepts and coefficients of the final prediction models are presented in </w:t>
      </w:r>
      <w:r w:rsidRPr="00C1603D">
        <w:rPr>
          <w:i/>
          <w:color w:val="FF0000"/>
        </w:rPr>
        <w:t xml:space="preserve">Table </w:t>
      </w:r>
      <w:r w:rsidRPr="00C1603D">
        <w:rPr>
          <w:i/>
          <w:noProof/>
          <w:color w:val="FF0000"/>
        </w:rPr>
        <w:t>3</w:t>
      </w:r>
      <w:r w:rsidRPr="00C1603D">
        <w:t>. For children, having type 1 diabetes, Turner syndrome, IgA deficiency or a first-degree relative with CD were estimated to be the strongest diagnostic indicators (i.e. had the highest estimated coefficients). For women and men</w:t>
      </w:r>
      <w:r w:rsidR="00C43EC6" w:rsidRPr="00C1603D">
        <w:t>,</w:t>
      </w:r>
      <w:r w:rsidRPr="00C1603D">
        <w:t xml:space="preserve"> the strongest predictors were having a first-degree relative with CD</w:t>
      </w:r>
      <w:r w:rsidR="00C43EC6" w:rsidRPr="00C1603D">
        <w:t>, and</w:t>
      </w:r>
      <w:r w:rsidRPr="00C1603D">
        <w:t xml:space="preserve"> anaemia. All three models included first</w:t>
      </w:r>
      <w:r w:rsidR="00C43EC6" w:rsidRPr="00C1603D">
        <w:t>-</w:t>
      </w:r>
      <w:r w:rsidRPr="00C1603D">
        <w:t>degree relatives (with CD)</w:t>
      </w:r>
      <w:r w:rsidR="00C43EC6" w:rsidRPr="00C1603D">
        <w:t>;</w:t>
      </w:r>
      <w:r w:rsidRPr="00C1603D">
        <w:t xml:space="preserve"> anaemia</w:t>
      </w:r>
      <w:r w:rsidR="00C43EC6" w:rsidRPr="00C1603D">
        <w:t>;</w:t>
      </w:r>
      <w:r w:rsidRPr="00C1603D">
        <w:t xml:space="preserve"> type 1 diabetes</w:t>
      </w:r>
      <w:r w:rsidR="00C43EC6" w:rsidRPr="00C1603D">
        <w:t>;</w:t>
      </w:r>
      <w:r w:rsidRPr="00C1603D">
        <w:t xml:space="preserve"> iron, vit</w:t>
      </w:r>
      <w:r w:rsidR="00C43EC6" w:rsidRPr="00C1603D">
        <w:t>amin</w:t>
      </w:r>
      <w:r w:rsidRPr="00C1603D">
        <w:t xml:space="preserve"> B</w:t>
      </w:r>
      <w:r w:rsidRPr="00C1603D">
        <w:rPr>
          <w:vertAlign w:val="subscript"/>
        </w:rPr>
        <w:t>12</w:t>
      </w:r>
      <w:r w:rsidRPr="00C1603D">
        <w:t xml:space="preserve"> or folate deficiency</w:t>
      </w:r>
      <w:r w:rsidR="00C43EC6" w:rsidRPr="00C1603D">
        <w:t>;</w:t>
      </w:r>
      <w:r w:rsidRPr="00C1603D">
        <w:t xml:space="preserve"> thyroid disorders</w:t>
      </w:r>
      <w:r w:rsidR="00C43EC6" w:rsidRPr="00C1603D">
        <w:t>;</w:t>
      </w:r>
      <w:r w:rsidRPr="00C1603D">
        <w:t xml:space="preserve"> weight loss</w:t>
      </w:r>
      <w:r w:rsidR="00C43EC6" w:rsidRPr="00C1603D">
        <w:t>;</w:t>
      </w:r>
      <w:r w:rsidRPr="00C1603D">
        <w:t xml:space="preserve"> Down syndrome</w:t>
      </w:r>
      <w:r w:rsidR="00C43EC6" w:rsidRPr="00C1603D">
        <w:t>;</w:t>
      </w:r>
      <w:r w:rsidRPr="00C1603D">
        <w:t xml:space="preserve"> GI symptoms</w:t>
      </w:r>
      <w:r w:rsidR="00C43EC6" w:rsidRPr="00C1603D">
        <w:t>;</w:t>
      </w:r>
      <w:r w:rsidRPr="00C1603D">
        <w:t xml:space="preserve"> fatigue</w:t>
      </w:r>
      <w:r w:rsidR="00C43EC6" w:rsidRPr="00C1603D">
        <w:t>;</w:t>
      </w:r>
      <w:r w:rsidRPr="00C1603D">
        <w:t xml:space="preserve"> </w:t>
      </w:r>
      <w:r w:rsidR="00C82170" w:rsidRPr="00C1603D">
        <w:t>IBS</w:t>
      </w:r>
      <w:r w:rsidR="00C43EC6" w:rsidRPr="00C1603D">
        <w:t>;</w:t>
      </w:r>
      <w:r w:rsidRPr="00C1603D">
        <w:t xml:space="preserve"> and age. Epilepsy, cardiovascular disease, chronic liver disease, mouth ulcers and osteoporosis were estimated to be important indicators for adults</w:t>
      </w:r>
      <w:r w:rsidR="00C74BD4" w:rsidRPr="00C1603D">
        <w:t>,</w:t>
      </w:r>
      <w:r w:rsidRPr="00C1603D">
        <w:t xml:space="preserve"> but not for children</w:t>
      </w:r>
      <w:r w:rsidR="00C74BD4" w:rsidRPr="00C1603D">
        <w:t>;</w:t>
      </w:r>
      <w:r w:rsidRPr="00C1603D">
        <w:t xml:space="preserve"> arthritis, failure to thrive, mood disorders and delayed puberty were estimated to be predictive of CD in children</w:t>
      </w:r>
      <w:r w:rsidR="00C74BD4" w:rsidRPr="00C1603D">
        <w:t>,</w:t>
      </w:r>
      <w:r w:rsidRPr="00C1603D">
        <w:t xml:space="preserve"> but not in adults. Fractures, inflammatory bowel disorder, systemic lupus erythematosus, and neuropathy or ataxia were selected indicators for women</w:t>
      </w:r>
      <w:r w:rsidR="00C74BD4" w:rsidRPr="00C1603D">
        <w:t xml:space="preserve"> only</w:t>
      </w:r>
      <w:r w:rsidRPr="00C1603D">
        <w:t xml:space="preserve">. </w:t>
      </w:r>
      <w:r w:rsidRPr="00C1603D">
        <w:rPr>
          <w:i/>
          <w:iCs/>
          <w:color w:val="auto"/>
        </w:rPr>
        <w:t>Appendix 11</w:t>
      </w:r>
      <w:r w:rsidR="00C74BD4" w:rsidRPr="00C1603D">
        <w:rPr>
          <w:color w:val="auto"/>
        </w:rPr>
        <w:t>,</w:t>
      </w:r>
      <w:r w:rsidRPr="00C1603D">
        <w:rPr>
          <w:color w:val="auto"/>
        </w:rPr>
        <w:t xml:space="preserve"> </w:t>
      </w:r>
      <w:r w:rsidRPr="00C1603D">
        <w:rPr>
          <w:i/>
          <w:color w:val="auto"/>
        </w:rPr>
        <w:t>Table</w:t>
      </w:r>
      <w:r w:rsidR="00C74BD4" w:rsidRPr="00C1603D">
        <w:rPr>
          <w:i/>
          <w:color w:val="auto"/>
        </w:rPr>
        <w:t>s</w:t>
      </w:r>
      <w:r w:rsidRPr="00C1603D">
        <w:rPr>
          <w:i/>
          <w:color w:val="auto"/>
        </w:rPr>
        <w:t xml:space="preserve"> </w:t>
      </w:r>
      <w:r w:rsidRPr="00C1603D">
        <w:rPr>
          <w:i/>
          <w:noProof/>
          <w:color w:val="auto"/>
        </w:rPr>
        <w:t>5</w:t>
      </w:r>
      <w:r w:rsidR="007C2375" w:rsidRPr="00C1603D">
        <w:rPr>
          <w:i/>
          <w:noProof/>
          <w:color w:val="auto"/>
        </w:rPr>
        <w:t>3</w:t>
      </w:r>
      <w:r w:rsidR="00C74BD4" w:rsidRPr="00C1603D">
        <w:rPr>
          <w:i/>
          <w:color w:val="auto"/>
        </w:rPr>
        <w:t>–</w:t>
      </w:r>
      <w:r w:rsidRPr="00C1603D">
        <w:rPr>
          <w:i/>
          <w:noProof/>
          <w:color w:val="auto"/>
        </w:rPr>
        <w:t>5</w:t>
      </w:r>
      <w:r w:rsidR="007C2375" w:rsidRPr="00C1603D">
        <w:rPr>
          <w:i/>
          <w:noProof/>
          <w:color w:val="auto"/>
        </w:rPr>
        <w:t>5</w:t>
      </w:r>
      <w:r w:rsidR="00C74BD4" w:rsidRPr="00C1603D">
        <w:rPr>
          <w:iCs/>
          <w:noProof/>
          <w:color w:val="auto"/>
        </w:rPr>
        <w:t>,</w:t>
      </w:r>
      <w:r w:rsidRPr="00C1603D">
        <w:rPr>
          <w:color w:val="auto"/>
        </w:rPr>
        <w:t xml:space="preserve"> report the </w:t>
      </w:r>
      <w:r w:rsidRPr="00C1603D">
        <w:t xml:space="preserve">effect of the applied shrinkage, showing coefficients with and </w:t>
      </w:r>
      <w:r w:rsidR="00C74BD4" w:rsidRPr="00C1603D">
        <w:t xml:space="preserve">coefficients </w:t>
      </w:r>
      <w:r w:rsidRPr="00C1603D">
        <w:t xml:space="preserve">without shrinkage, and report the adjusted and unadjusted </w:t>
      </w:r>
      <w:r w:rsidR="004319B3" w:rsidRPr="00C1603D">
        <w:t>odds ratios</w:t>
      </w:r>
      <w:r w:rsidRPr="00C1603D">
        <w:t xml:space="preserve"> for each indicator for children, women and men, respectively.</w:t>
      </w:r>
    </w:p>
    <w:p w14:paraId="431FE98F" w14:textId="77777777" w:rsidR="008B4DF8" w:rsidRPr="00C1603D" w:rsidRDefault="008B4DF8" w:rsidP="008B4DF8">
      <w:pPr>
        <w:pStyle w:val="70TablelegendTablesTableFigureBoxstyles"/>
      </w:pPr>
      <w:bookmarkStart w:id="215" w:name="_Toc99720714"/>
      <w:bookmarkEnd w:id="214"/>
      <w:r w:rsidRPr="00C1603D">
        <w:rPr>
          <w:b/>
        </w:rPr>
        <w:t>TABLE 3</w:t>
      </w:r>
      <w:r w:rsidRPr="00C1603D">
        <w:rPr>
          <w:b/>
        </w:rPr>
        <w:t> </w:t>
      </w:r>
      <w:r w:rsidRPr="00C1603D">
        <w:t>Model specification</w:t>
      </w:r>
      <w:bookmarkEnd w:id="215"/>
    </w:p>
    <w:tbl>
      <w:tblPr>
        <w:tblW w:w="0" w:type="auto"/>
        <w:tblCellMar>
          <w:top w:w="40" w:type="dxa"/>
          <w:left w:w="60" w:type="dxa"/>
          <w:bottom w:w="40" w:type="dxa"/>
          <w:right w:w="60" w:type="dxa"/>
        </w:tblCellMar>
        <w:tblLook w:val="04A0" w:firstRow="1" w:lastRow="0" w:firstColumn="1" w:lastColumn="0" w:noHBand="0" w:noVBand="1"/>
      </w:tblPr>
      <w:tblGrid>
        <w:gridCol w:w="1892"/>
        <w:gridCol w:w="841"/>
        <w:gridCol w:w="468"/>
        <w:gridCol w:w="1069"/>
        <w:gridCol w:w="841"/>
        <w:gridCol w:w="468"/>
        <w:gridCol w:w="1069"/>
        <w:gridCol w:w="841"/>
        <w:gridCol w:w="468"/>
        <w:gridCol w:w="1069"/>
      </w:tblGrid>
      <w:tr w:rsidR="004319B3" w:rsidRPr="00C1603D" w14:paraId="657EA77D" w14:textId="77777777" w:rsidTr="004319B3">
        <w:trPr>
          <w:cantSplit/>
        </w:trPr>
        <w:tc>
          <w:tcPr>
            <w:tcW w:w="0" w:type="auto"/>
            <w:vMerge w:val="restart"/>
            <w:shd w:val="clear" w:color="auto" w:fill="auto"/>
            <w:noWrap/>
          </w:tcPr>
          <w:p w14:paraId="2447D512" w14:textId="1CF99065" w:rsidR="004319B3" w:rsidRPr="00C1603D" w:rsidRDefault="004319B3" w:rsidP="004319B3">
            <w:pPr>
              <w:pStyle w:val="710TableheadTablesTableFigureBoxstyles"/>
              <w:rPr>
                <w:lang w:eastAsia="en-GB"/>
              </w:rPr>
            </w:pPr>
            <w:r w:rsidRPr="00C1603D">
              <w:rPr>
                <w:lang w:eastAsia="en-GB"/>
              </w:rPr>
              <w:t>Selected diagnostic indicators</w:t>
            </w:r>
          </w:p>
        </w:tc>
        <w:tc>
          <w:tcPr>
            <w:tcW w:w="0" w:type="auto"/>
            <w:gridSpan w:val="3"/>
            <w:shd w:val="clear" w:color="auto" w:fill="auto"/>
            <w:noWrap/>
          </w:tcPr>
          <w:p w14:paraId="72C5D03A" w14:textId="77777777" w:rsidR="004319B3" w:rsidRPr="00C1603D" w:rsidRDefault="004319B3" w:rsidP="004319B3">
            <w:pPr>
              <w:pStyle w:val="705TableheadgroupTablesTableFigureBoxstyles"/>
              <w:rPr>
                <w:color w:val="000000"/>
                <w:lang w:eastAsia="en-GB"/>
              </w:rPr>
            </w:pPr>
            <w:r w:rsidRPr="00C1603D">
              <w:rPr>
                <w:lang w:eastAsia="en-GB"/>
              </w:rPr>
              <w:t>Children</w:t>
            </w:r>
          </w:p>
        </w:tc>
        <w:tc>
          <w:tcPr>
            <w:tcW w:w="0" w:type="auto"/>
            <w:gridSpan w:val="3"/>
            <w:shd w:val="clear" w:color="auto" w:fill="auto"/>
            <w:noWrap/>
          </w:tcPr>
          <w:p w14:paraId="29D24638" w14:textId="77777777" w:rsidR="004319B3" w:rsidRPr="00C1603D" w:rsidRDefault="004319B3" w:rsidP="004319B3">
            <w:pPr>
              <w:pStyle w:val="705TableheadgroupTablesTableFigureBoxstyles"/>
              <w:rPr>
                <w:color w:val="000000"/>
                <w:lang w:eastAsia="en-GB"/>
              </w:rPr>
            </w:pPr>
            <w:r w:rsidRPr="00C1603D">
              <w:rPr>
                <w:lang w:eastAsia="en-GB"/>
              </w:rPr>
              <w:t>Women</w:t>
            </w:r>
          </w:p>
        </w:tc>
        <w:tc>
          <w:tcPr>
            <w:tcW w:w="0" w:type="auto"/>
            <w:gridSpan w:val="3"/>
            <w:shd w:val="clear" w:color="auto" w:fill="auto"/>
            <w:noWrap/>
          </w:tcPr>
          <w:p w14:paraId="02DCA3A5" w14:textId="77777777" w:rsidR="004319B3" w:rsidRPr="00C1603D" w:rsidRDefault="004319B3" w:rsidP="004319B3">
            <w:pPr>
              <w:pStyle w:val="705TableheadgroupTablesTableFigureBoxstyles"/>
              <w:rPr>
                <w:lang w:eastAsia="en-GB"/>
              </w:rPr>
            </w:pPr>
            <w:r w:rsidRPr="00C1603D">
              <w:rPr>
                <w:lang w:eastAsia="en-GB"/>
              </w:rPr>
              <w:t>Men</w:t>
            </w:r>
          </w:p>
        </w:tc>
      </w:tr>
      <w:tr w:rsidR="004319B3" w:rsidRPr="00C1603D" w14:paraId="6974BDAA" w14:textId="77777777" w:rsidTr="50A8A885">
        <w:trPr>
          <w:cantSplit/>
        </w:trPr>
        <w:tc>
          <w:tcPr>
            <w:tcW w:w="0" w:type="auto"/>
            <w:vMerge/>
          </w:tcPr>
          <w:p w14:paraId="46EC493E" w14:textId="4823D335" w:rsidR="004319B3" w:rsidRPr="00C1603D" w:rsidRDefault="004319B3" w:rsidP="004319B3">
            <w:pPr>
              <w:pStyle w:val="710TableheadTablesTableFigureBoxstyles"/>
              <w:rPr>
                <w:color w:val="000000"/>
                <w:lang w:eastAsia="en-GB"/>
              </w:rPr>
            </w:pPr>
          </w:p>
        </w:tc>
        <w:tc>
          <w:tcPr>
            <w:tcW w:w="0" w:type="auto"/>
            <w:shd w:val="clear" w:color="auto" w:fill="auto"/>
          </w:tcPr>
          <w:p w14:paraId="71C2B067" w14:textId="77777777" w:rsidR="004319B3" w:rsidRPr="00C1603D" w:rsidRDefault="004319B3" w:rsidP="004319B3">
            <w:pPr>
              <w:pStyle w:val="710TableheadTablesTableFigureBoxstyles"/>
              <w:rPr>
                <w:color w:val="000000"/>
                <w:lang w:eastAsia="en-GB"/>
              </w:rPr>
            </w:pPr>
            <w:r w:rsidRPr="00C1603D">
              <w:rPr>
                <w:lang w:eastAsia="en-GB"/>
              </w:rPr>
              <w:t>Coefficients</w:t>
            </w:r>
          </w:p>
        </w:tc>
        <w:tc>
          <w:tcPr>
            <w:tcW w:w="0" w:type="auto"/>
            <w:shd w:val="clear" w:color="auto" w:fill="auto"/>
          </w:tcPr>
          <w:p w14:paraId="54F65A4D" w14:textId="77777777" w:rsidR="004319B3" w:rsidRPr="00C1603D" w:rsidRDefault="004319B3" w:rsidP="004319B3">
            <w:pPr>
              <w:pStyle w:val="710TableheadTablesTableFigureBoxstyles"/>
              <w:rPr>
                <w:color w:val="000000"/>
                <w:lang w:eastAsia="en-GB"/>
              </w:rPr>
            </w:pPr>
            <w:r w:rsidRPr="00C1603D">
              <w:rPr>
                <w:lang w:eastAsia="en-GB"/>
              </w:rPr>
              <w:t>Rank</w:t>
            </w:r>
            <w:r w:rsidRPr="00C1603D">
              <w:rPr>
                <w:vertAlign w:val="superscript"/>
                <w:lang w:eastAsia="en-GB"/>
              </w:rPr>
              <w:t>a</w:t>
            </w:r>
          </w:p>
        </w:tc>
        <w:tc>
          <w:tcPr>
            <w:tcW w:w="0" w:type="auto"/>
            <w:shd w:val="clear" w:color="auto" w:fill="auto"/>
          </w:tcPr>
          <w:p w14:paraId="09F3119F" w14:textId="036D5D86" w:rsidR="004319B3" w:rsidRPr="00C1603D" w:rsidRDefault="004319B3" w:rsidP="004319B3">
            <w:pPr>
              <w:pStyle w:val="710TableheadTablesTableFigureBoxstyles"/>
              <w:rPr>
                <w:color w:val="000000"/>
                <w:lang w:eastAsia="en-GB"/>
              </w:rPr>
            </w:pPr>
            <w:r w:rsidRPr="00C1603D">
              <w:rPr>
                <w:lang w:eastAsia="en-GB"/>
              </w:rPr>
              <w:t>200 × bootstrap samples, median (IQR)</w:t>
            </w:r>
          </w:p>
        </w:tc>
        <w:tc>
          <w:tcPr>
            <w:tcW w:w="0" w:type="auto"/>
            <w:shd w:val="clear" w:color="auto" w:fill="auto"/>
          </w:tcPr>
          <w:p w14:paraId="4CF7A57A" w14:textId="15A980F9" w:rsidR="004319B3" w:rsidRPr="00C1603D" w:rsidRDefault="004319B3" w:rsidP="004319B3">
            <w:pPr>
              <w:pStyle w:val="710TableheadTablesTableFigureBoxstyles"/>
              <w:rPr>
                <w:color w:val="000000"/>
                <w:lang w:eastAsia="en-GB"/>
              </w:rPr>
            </w:pPr>
            <w:r w:rsidRPr="00C1603D">
              <w:rPr>
                <w:lang w:eastAsia="en-GB"/>
              </w:rPr>
              <w:t>Coefficients</w:t>
            </w:r>
          </w:p>
        </w:tc>
        <w:tc>
          <w:tcPr>
            <w:tcW w:w="0" w:type="auto"/>
            <w:shd w:val="clear" w:color="auto" w:fill="auto"/>
          </w:tcPr>
          <w:p w14:paraId="5394134F" w14:textId="77777777" w:rsidR="004319B3" w:rsidRPr="00C1603D" w:rsidRDefault="004319B3" w:rsidP="004319B3">
            <w:pPr>
              <w:pStyle w:val="710TableheadTablesTableFigureBoxstyles"/>
              <w:rPr>
                <w:color w:val="000000"/>
                <w:lang w:eastAsia="en-GB"/>
              </w:rPr>
            </w:pPr>
            <w:r w:rsidRPr="00C1603D">
              <w:rPr>
                <w:lang w:eastAsia="en-GB"/>
              </w:rPr>
              <w:t>Rank</w:t>
            </w:r>
            <w:r w:rsidRPr="00C1603D">
              <w:rPr>
                <w:vertAlign w:val="superscript"/>
                <w:lang w:eastAsia="en-GB"/>
              </w:rPr>
              <w:t>a</w:t>
            </w:r>
          </w:p>
        </w:tc>
        <w:tc>
          <w:tcPr>
            <w:tcW w:w="0" w:type="auto"/>
            <w:shd w:val="clear" w:color="auto" w:fill="auto"/>
          </w:tcPr>
          <w:p w14:paraId="72B59D4E" w14:textId="6A7530A6" w:rsidR="004319B3" w:rsidRPr="00C1603D" w:rsidRDefault="004319B3" w:rsidP="004319B3">
            <w:pPr>
              <w:pStyle w:val="710TableheadTablesTableFigureBoxstyles"/>
              <w:rPr>
                <w:color w:val="000000"/>
                <w:lang w:eastAsia="en-GB"/>
              </w:rPr>
            </w:pPr>
            <w:r w:rsidRPr="00C1603D">
              <w:rPr>
                <w:lang w:eastAsia="en-GB"/>
              </w:rPr>
              <w:t>200 × bootstrap samples, median (IQR)</w:t>
            </w:r>
          </w:p>
        </w:tc>
        <w:tc>
          <w:tcPr>
            <w:tcW w:w="0" w:type="auto"/>
            <w:shd w:val="clear" w:color="auto" w:fill="auto"/>
          </w:tcPr>
          <w:p w14:paraId="3C60B0D9" w14:textId="77777777" w:rsidR="004319B3" w:rsidRPr="00C1603D" w:rsidRDefault="004319B3" w:rsidP="004319B3">
            <w:pPr>
              <w:pStyle w:val="710TableheadTablesTableFigureBoxstyles"/>
              <w:rPr>
                <w:color w:val="000000"/>
                <w:lang w:eastAsia="en-GB"/>
              </w:rPr>
            </w:pPr>
            <w:r w:rsidRPr="00C1603D">
              <w:rPr>
                <w:lang w:eastAsia="en-GB"/>
              </w:rPr>
              <w:t xml:space="preserve">Coefficients </w:t>
            </w:r>
          </w:p>
        </w:tc>
        <w:tc>
          <w:tcPr>
            <w:tcW w:w="0" w:type="auto"/>
            <w:shd w:val="clear" w:color="auto" w:fill="auto"/>
          </w:tcPr>
          <w:p w14:paraId="646D43E1" w14:textId="77777777" w:rsidR="004319B3" w:rsidRPr="00C1603D" w:rsidRDefault="004319B3" w:rsidP="004319B3">
            <w:pPr>
              <w:pStyle w:val="710TableheadTablesTableFigureBoxstyles"/>
              <w:rPr>
                <w:color w:val="000000"/>
                <w:lang w:eastAsia="en-GB"/>
              </w:rPr>
            </w:pPr>
            <w:r w:rsidRPr="00C1603D">
              <w:rPr>
                <w:lang w:eastAsia="en-GB"/>
              </w:rPr>
              <w:t>Rank</w:t>
            </w:r>
            <w:r w:rsidRPr="00C1603D">
              <w:rPr>
                <w:vertAlign w:val="superscript"/>
                <w:lang w:eastAsia="en-GB"/>
              </w:rPr>
              <w:t>a</w:t>
            </w:r>
          </w:p>
        </w:tc>
        <w:tc>
          <w:tcPr>
            <w:tcW w:w="0" w:type="auto"/>
            <w:shd w:val="clear" w:color="auto" w:fill="auto"/>
          </w:tcPr>
          <w:p w14:paraId="4ED200C7" w14:textId="380125C2" w:rsidR="004319B3" w:rsidRPr="00C1603D" w:rsidRDefault="004319B3" w:rsidP="004319B3">
            <w:pPr>
              <w:pStyle w:val="710TableheadTablesTableFigureBoxstyles"/>
              <w:rPr>
                <w:lang w:eastAsia="en-GB"/>
              </w:rPr>
            </w:pPr>
            <w:r w:rsidRPr="00C1603D">
              <w:rPr>
                <w:lang w:eastAsia="en-GB"/>
              </w:rPr>
              <w:t>200 × bootstrap samples, median (IQR)</w:t>
            </w:r>
          </w:p>
        </w:tc>
      </w:tr>
      <w:tr w:rsidR="004319B3" w:rsidRPr="00C1603D" w14:paraId="402AA5BF" w14:textId="77777777" w:rsidTr="004319B3">
        <w:trPr>
          <w:cantSplit/>
        </w:trPr>
        <w:tc>
          <w:tcPr>
            <w:tcW w:w="0" w:type="auto"/>
            <w:shd w:val="clear" w:color="auto" w:fill="auto"/>
          </w:tcPr>
          <w:p w14:paraId="3E9D07C3" w14:textId="77777777" w:rsidR="008B4DF8" w:rsidRPr="00C1603D" w:rsidRDefault="008B4DF8" w:rsidP="004319B3">
            <w:pPr>
              <w:pStyle w:val="72TabletextTablesTableFigureBoxstyles"/>
              <w:rPr>
                <w:lang w:eastAsia="en-GB"/>
              </w:rPr>
            </w:pPr>
            <w:r w:rsidRPr="00C1603D">
              <w:rPr>
                <w:lang w:eastAsia="en-GB"/>
              </w:rPr>
              <w:t>(Intercept)</w:t>
            </w:r>
          </w:p>
        </w:tc>
        <w:tc>
          <w:tcPr>
            <w:tcW w:w="0" w:type="auto"/>
            <w:shd w:val="clear" w:color="auto" w:fill="auto"/>
          </w:tcPr>
          <w:p w14:paraId="293F97FC" w14:textId="77777777" w:rsidR="008B4DF8" w:rsidRPr="00C1603D" w:rsidRDefault="008B4DF8" w:rsidP="004319B3">
            <w:pPr>
              <w:pStyle w:val="72TabletextTablesTableFigureBoxstyles"/>
              <w:rPr>
                <w:lang w:eastAsia="en-GB"/>
              </w:rPr>
            </w:pPr>
            <w:r w:rsidRPr="00C1603D">
              <w:rPr>
                <w:color w:val="00B0F0"/>
                <w:lang w:eastAsia="en-GB"/>
              </w:rPr>
              <w:t>–5</w:t>
            </w:r>
            <w:r w:rsidRPr="00C1603D">
              <w:rPr>
                <w:lang w:eastAsia="en-GB"/>
              </w:rPr>
              <w:t>.119</w:t>
            </w:r>
          </w:p>
        </w:tc>
        <w:tc>
          <w:tcPr>
            <w:tcW w:w="0" w:type="auto"/>
            <w:shd w:val="clear" w:color="auto" w:fill="auto"/>
          </w:tcPr>
          <w:p w14:paraId="07B677B7" w14:textId="7BB670BE" w:rsidR="008B4DF8" w:rsidRPr="00C1603D" w:rsidRDefault="008B4DF8" w:rsidP="004319B3">
            <w:pPr>
              <w:pStyle w:val="72TabletextTablesTableFigureBoxstyles"/>
              <w:rPr>
                <w:lang w:eastAsia="en-GB"/>
              </w:rPr>
            </w:pPr>
          </w:p>
        </w:tc>
        <w:tc>
          <w:tcPr>
            <w:tcW w:w="0" w:type="auto"/>
            <w:shd w:val="clear" w:color="auto" w:fill="auto"/>
          </w:tcPr>
          <w:p w14:paraId="7E1B60CC" w14:textId="0AD5A69F" w:rsidR="008B4DF8" w:rsidRPr="00C1603D" w:rsidRDefault="008B4DF8" w:rsidP="004319B3">
            <w:pPr>
              <w:pStyle w:val="72TabletextTablesTableFigureBoxstyles"/>
              <w:rPr>
                <w:lang w:eastAsia="en-GB"/>
              </w:rPr>
            </w:pPr>
            <w:r w:rsidRPr="00C1603D">
              <w:rPr>
                <w:color w:val="00B0F0"/>
                <w:lang w:eastAsia="en-GB"/>
              </w:rPr>
              <w:t>–5</w:t>
            </w:r>
            <w:r w:rsidRPr="00C1603D">
              <w:rPr>
                <w:lang w:eastAsia="en-GB"/>
              </w:rPr>
              <w:t>.127 (</w:t>
            </w:r>
            <w:r w:rsidRPr="00C1603D">
              <w:rPr>
                <w:color w:val="00B0F0"/>
                <w:lang w:eastAsia="en-GB"/>
              </w:rPr>
              <w:t>–5</w:t>
            </w:r>
            <w:r w:rsidRPr="00C1603D">
              <w:rPr>
                <w:lang w:eastAsia="en-GB"/>
              </w:rPr>
              <w:t>.146</w:t>
            </w:r>
            <w:r w:rsidR="004319B3" w:rsidRPr="00C1603D">
              <w:rPr>
                <w:lang w:eastAsia="en-GB"/>
              </w:rPr>
              <w:t xml:space="preserve"> to</w:t>
            </w:r>
            <w:r w:rsidRPr="00C1603D">
              <w:rPr>
                <w:lang w:eastAsia="en-GB"/>
              </w:rPr>
              <w:t xml:space="preserve"> </w:t>
            </w:r>
            <w:r w:rsidRPr="00C1603D">
              <w:rPr>
                <w:color w:val="00B0F0"/>
                <w:lang w:eastAsia="en-GB"/>
              </w:rPr>
              <w:t>–5</w:t>
            </w:r>
            <w:r w:rsidRPr="00C1603D">
              <w:rPr>
                <w:lang w:eastAsia="en-GB"/>
              </w:rPr>
              <w:t>.108)</w:t>
            </w:r>
          </w:p>
        </w:tc>
        <w:tc>
          <w:tcPr>
            <w:tcW w:w="0" w:type="auto"/>
            <w:shd w:val="clear" w:color="auto" w:fill="auto"/>
          </w:tcPr>
          <w:p w14:paraId="7B5D7096" w14:textId="77777777" w:rsidR="008B4DF8" w:rsidRPr="00C1603D" w:rsidRDefault="008B4DF8" w:rsidP="004319B3">
            <w:pPr>
              <w:pStyle w:val="72TabletextTablesTableFigureBoxstyles"/>
              <w:rPr>
                <w:lang w:eastAsia="en-GB"/>
              </w:rPr>
            </w:pPr>
            <w:r w:rsidRPr="00C1603D">
              <w:rPr>
                <w:color w:val="00B0F0"/>
                <w:lang w:eastAsia="en-GB"/>
              </w:rPr>
              <w:t>–5</w:t>
            </w:r>
            <w:r w:rsidRPr="00C1603D">
              <w:rPr>
                <w:lang w:eastAsia="en-GB"/>
              </w:rPr>
              <w:t>.063</w:t>
            </w:r>
          </w:p>
        </w:tc>
        <w:tc>
          <w:tcPr>
            <w:tcW w:w="0" w:type="auto"/>
            <w:shd w:val="clear" w:color="auto" w:fill="auto"/>
          </w:tcPr>
          <w:p w14:paraId="4AB51BB5" w14:textId="4165E44A" w:rsidR="008B4DF8" w:rsidRPr="00C1603D" w:rsidRDefault="008B4DF8" w:rsidP="004319B3">
            <w:pPr>
              <w:pStyle w:val="72TabletextTablesTableFigureBoxstyles"/>
              <w:rPr>
                <w:lang w:eastAsia="en-GB"/>
              </w:rPr>
            </w:pPr>
          </w:p>
        </w:tc>
        <w:tc>
          <w:tcPr>
            <w:tcW w:w="0" w:type="auto"/>
            <w:shd w:val="clear" w:color="auto" w:fill="auto"/>
          </w:tcPr>
          <w:p w14:paraId="20F4DA47" w14:textId="0E9652D4" w:rsidR="008B4DF8" w:rsidRPr="00C1603D" w:rsidRDefault="008B4DF8" w:rsidP="004319B3">
            <w:pPr>
              <w:pStyle w:val="72TabletextTablesTableFigureBoxstyles"/>
              <w:rPr>
                <w:lang w:eastAsia="en-GB"/>
              </w:rPr>
            </w:pPr>
            <w:r w:rsidRPr="00C1603D">
              <w:rPr>
                <w:color w:val="00B0F0"/>
                <w:lang w:eastAsia="en-GB"/>
              </w:rPr>
              <w:t>–5</w:t>
            </w:r>
            <w:r w:rsidRPr="00C1603D">
              <w:rPr>
                <w:lang w:eastAsia="en-GB"/>
              </w:rPr>
              <w:t>.062 (</w:t>
            </w:r>
            <w:r w:rsidRPr="00C1603D">
              <w:rPr>
                <w:color w:val="00B0F0"/>
                <w:lang w:eastAsia="en-GB"/>
              </w:rPr>
              <w:t>–5</w:t>
            </w:r>
            <w:r w:rsidRPr="00C1603D">
              <w:rPr>
                <w:lang w:eastAsia="en-GB"/>
              </w:rPr>
              <w:t>.080</w:t>
            </w:r>
            <w:r w:rsidR="00C2076E" w:rsidRPr="00C1603D">
              <w:rPr>
                <w:lang w:eastAsia="en-GB"/>
              </w:rPr>
              <w:t xml:space="preserve"> to</w:t>
            </w:r>
            <w:r w:rsidRPr="00C1603D">
              <w:rPr>
                <w:lang w:eastAsia="en-GB"/>
              </w:rPr>
              <w:t xml:space="preserve"> </w:t>
            </w:r>
            <w:r w:rsidRPr="00C1603D">
              <w:rPr>
                <w:color w:val="00B0F0"/>
                <w:lang w:eastAsia="en-GB"/>
              </w:rPr>
              <w:t>–5</w:t>
            </w:r>
            <w:r w:rsidRPr="00C1603D">
              <w:rPr>
                <w:lang w:eastAsia="en-GB"/>
              </w:rPr>
              <w:t>.042)</w:t>
            </w:r>
          </w:p>
        </w:tc>
        <w:tc>
          <w:tcPr>
            <w:tcW w:w="0" w:type="auto"/>
            <w:shd w:val="clear" w:color="auto" w:fill="auto"/>
          </w:tcPr>
          <w:p w14:paraId="6C66A25E" w14:textId="77777777" w:rsidR="008B4DF8" w:rsidRPr="00C1603D" w:rsidRDefault="008B4DF8" w:rsidP="004319B3">
            <w:pPr>
              <w:pStyle w:val="72TabletextTablesTableFigureBoxstyles"/>
              <w:rPr>
                <w:lang w:eastAsia="en-GB"/>
              </w:rPr>
            </w:pPr>
            <w:r w:rsidRPr="00C1603D">
              <w:rPr>
                <w:color w:val="00B0F0"/>
                <w:lang w:eastAsia="en-GB"/>
              </w:rPr>
              <w:t>–5</w:t>
            </w:r>
            <w:r w:rsidRPr="00C1603D">
              <w:rPr>
                <w:lang w:eastAsia="en-GB"/>
              </w:rPr>
              <w:t>.478</w:t>
            </w:r>
          </w:p>
        </w:tc>
        <w:tc>
          <w:tcPr>
            <w:tcW w:w="0" w:type="auto"/>
            <w:shd w:val="clear" w:color="auto" w:fill="auto"/>
          </w:tcPr>
          <w:p w14:paraId="386FE26A" w14:textId="7CF3C0DA" w:rsidR="008B4DF8" w:rsidRPr="00C1603D" w:rsidRDefault="008B4DF8" w:rsidP="004319B3">
            <w:pPr>
              <w:pStyle w:val="72TabletextTablesTableFigureBoxstyles"/>
              <w:rPr>
                <w:lang w:eastAsia="en-GB"/>
              </w:rPr>
            </w:pPr>
          </w:p>
        </w:tc>
        <w:tc>
          <w:tcPr>
            <w:tcW w:w="0" w:type="auto"/>
            <w:shd w:val="clear" w:color="auto" w:fill="auto"/>
          </w:tcPr>
          <w:p w14:paraId="374DD67F" w14:textId="0B9EDE3A" w:rsidR="008B4DF8" w:rsidRPr="00C1603D" w:rsidRDefault="008B4DF8" w:rsidP="004319B3">
            <w:pPr>
              <w:pStyle w:val="72TabletextTablesTableFigureBoxstyles"/>
              <w:rPr>
                <w:lang w:eastAsia="en-GB"/>
              </w:rPr>
            </w:pPr>
            <w:r w:rsidRPr="00C1603D">
              <w:rPr>
                <w:color w:val="00B0F0"/>
                <w:lang w:eastAsia="en-GB"/>
              </w:rPr>
              <w:t>–5</w:t>
            </w:r>
            <w:r w:rsidRPr="00C1603D">
              <w:rPr>
                <w:lang w:eastAsia="en-GB"/>
              </w:rPr>
              <w:t>.488 (</w:t>
            </w:r>
            <w:r w:rsidRPr="00C1603D">
              <w:rPr>
                <w:color w:val="00B0F0"/>
                <w:lang w:eastAsia="en-GB"/>
              </w:rPr>
              <w:t>–5</w:t>
            </w:r>
            <w:r w:rsidRPr="00C1603D">
              <w:rPr>
                <w:lang w:eastAsia="en-GB"/>
              </w:rPr>
              <w:t>.526</w:t>
            </w:r>
            <w:r w:rsidR="004319B3" w:rsidRPr="00C1603D">
              <w:rPr>
                <w:lang w:eastAsia="en-GB"/>
              </w:rPr>
              <w:t xml:space="preserve"> to</w:t>
            </w:r>
            <w:r w:rsidRPr="00C1603D">
              <w:rPr>
                <w:lang w:eastAsia="en-GB"/>
              </w:rPr>
              <w:t xml:space="preserve"> </w:t>
            </w:r>
            <w:r w:rsidRPr="00C1603D">
              <w:rPr>
                <w:color w:val="00B0F0"/>
                <w:lang w:eastAsia="en-GB"/>
              </w:rPr>
              <w:t>–5</w:t>
            </w:r>
            <w:r w:rsidRPr="00C1603D">
              <w:rPr>
                <w:lang w:eastAsia="en-GB"/>
              </w:rPr>
              <w:t>.460)</w:t>
            </w:r>
          </w:p>
        </w:tc>
      </w:tr>
      <w:tr w:rsidR="004319B3" w:rsidRPr="00C1603D" w14:paraId="0F48E61F" w14:textId="77777777" w:rsidTr="004319B3">
        <w:trPr>
          <w:cantSplit/>
        </w:trPr>
        <w:tc>
          <w:tcPr>
            <w:tcW w:w="0" w:type="auto"/>
            <w:shd w:val="clear" w:color="auto" w:fill="auto"/>
          </w:tcPr>
          <w:p w14:paraId="3F256189" w14:textId="77777777" w:rsidR="008B4DF8" w:rsidRPr="00C1603D" w:rsidRDefault="008B4DF8" w:rsidP="004319B3">
            <w:pPr>
              <w:pStyle w:val="72TabletextTablesTableFigureBoxstyles"/>
              <w:rPr>
                <w:lang w:eastAsia="en-GB"/>
              </w:rPr>
            </w:pPr>
            <w:r w:rsidRPr="00C1603D">
              <w:rPr>
                <w:lang w:eastAsia="en-GB"/>
              </w:rPr>
              <w:t>Age</w:t>
            </w:r>
          </w:p>
        </w:tc>
        <w:tc>
          <w:tcPr>
            <w:tcW w:w="0" w:type="auto"/>
            <w:shd w:val="clear" w:color="auto" w:fill="auto"/>
          </w:tcPr>
          <w:p w14:paraId="181B93BF" w14:textId="77777777" w:rsidR="008B4DF8" w:rsidRPr="00C1603D" w:rsidRDefault="008B4DF8" w:rsidP="004319B3">
            <w:pPr>
              <w:pStyle w:val="72TabletextTablesTableFigureBoxstyles"/>
              <w:rPr>
                <w:lang w:eastAsia="en-GB"/>
              </w:rPr>
            </w:pPr>
            <w:r w:rsidRPr="00C1603D">
              <w:rPr>
                <w:lang w:eastAsia="en-GB"/>
              </w:rPr>
              <w:t>0.011</w:t>
            </w:r>
          </w:p>
        </w:tc>
        <w:tc>
          <w:tcPr>
            <w:tcW w:w="0" w:type="auto"/>
            <w:shd w:val="clear" w:color="auto" w:fill="auto"/>
          </w:tcPr>
          <w:p w14:paraId="74FFCB18" w14:textId="77777777" w:rsidR="008B4DF8" w:rsidRPr="00C1603D" w:rsidRDefault="008B4DF8" w:rsidP="004319B3">
            <w:pPr>
              <w:pStyle w:val="72TabletextTablesTableFigureBoxstyles"/>
              <w:rPr>
                <w:lang w:eastAsia="en-GB"/>
              </w:rPr>
            </w:pPr>
            <w:r w:rsidRPr="00C1603D">
              <w:rPr>
                <w:lang w:eastAsia="en-GB"/>
              </w:rPr>
              <w:t>19</w:t>
            </w:r>
          </w:p>
        </w:tc>
        <w:tc>
          <w:tcPr>
            <w:tcW w:w="0" w:type="auto"/>
            <w:shd w:val="clear" w:color="auto" w:fill="auto"/>
          </w:tcPr>
          <w:p w14:paraId="141F4737" w14:textId="6761733A" w:rsidR="008B4DF8" w:rsidRPr="00C1603D" w:rsidRDefault="008B4DF8" w:rsidP="004319B3">
            <w:pPr>
              <w:pStyle w:val="72TabletextTablesTableFigureBoxstyles"/>
              <w:rPr>
                <w:lang w:eastAsia="en-GB"/>
              </w:rPr>
            </w:pPr>
            <w:r w:rsidRPr="00C1603D">
              <w:rPr>
                <w:lang w:eastAsia="en-GB"/>
              </w:rPr>
              <w:t>0.011 (0.007</w:t>
            </w:r>
            <w:r w:rsidR="004319B3" w:rsidRPr="00C1603D">
              <w:rPr>
                <w:lang w:eastAsia="en-GB"/>
              </w:rPr>
              <w:t>–</w:t>
            </w:r>
            <w:r w:rsidRPr="00C1603D">
              <w:rPr>
                <w:lang w:eastAsia="en-GB"/>
              </w:rPr>
              <w:t>0.014)</w:t>
            </w:r>
          </w:p>
        </w:tc>
        <w:tc>
          <w:tcPr>
            <w:tcW w:w="0" w:type="auto"/>
            <w:shd w:val="clear" w:color="auto" w:fill="auto"/>
          </w:tcPr>
          <w:p w14:paraId="0EFBC740" w14:textId="77777777" w:rsidR="008B4DF8" w:rsidRPr="00C1603D" w:rsidRDefault="008B4DF8" w:rsidP="004319B3">
            <w:pPr>
              <w:pStyle w:val="72TabletextTablesTableFigureBoxstyles"/>
              <w:rPr>
                <w:lang w:eastAsia="en-GB"/>
              </w:rPr>
            </w:pPr>
            <w:r w:rsidRPr="00C1603D">
              <w:rPr>
                <w:color w:val="00B0F0"/>
                <w:lang w:eastAsia="en-GB"/>
              </w:rPr>
              <w:t>–0</w:t>
            </w:r>
            <w:r w:rsidRPr="00C1603D">
              <w:rPr>
                <w:lang w:eastAsia="en-GB"/>
              </w:rPr>
              <w:t>.006</w:t>
            </w:r>
          </w:p>
        </w:tc>
        <w:tc>
          <w:tcPr>
            <w:tcW w:w="0" w:type="auto"/>
            <w:shd w:val="clear" w:color="auto" w:fill="auto"/>
          </w:tcPr>
          <w:p w14:paraId="6C17938D" w14:textId="77777777" w:rsidR="008B4DF8" w:rsidRPr="00C1603D" w:rsidRDefault="008B4DF8" w:rsidP="004319B3">
            <w:pPr>
              <w:pStyle w:val="72TabletextTablesTableFigureBoxstyles"/>
              <w:rPr>
                <w:lang w:eastAsia="en-GB"/>
              </w:rPr>
            </w:pPr>
            <w:r w:rsidRPr="00C1603D">
              <w:rPr>
                <w:lang w:eastAsia="en-GB"/>
              </w:rPr>
              <w:t>25</w:t>
            </w:r>
          </w:p>
        </w:tc>
        <w:tc>
          <w:tcPr>
            <w:tcW w:w="0" w:type="auto"/>
            <w:shd w:val="clear" w:color="auto" w:fill="auto"/>
          </w:tcPr>
          <w:p w14:paraId="5F8475FE" w14:textId="7F50CA96" w:rsidR="008B4DF8" w:rsidRPr="00C1603D" w:rsidRDefault="008B4DF8" w:rsidP="004319B3">
            <w:pPr>
              <w:pStyle w:val="72TabletextTablesTableFigureBoxstyles"/>
              <w:rPr>
                <w:lang w:eastAsia="en-GB"/>
              </w:rPr>
            </w:pPr>
            <w:r w:rsidRPr="00C1603D">
              <w:rPr>
                <w:color w:val="00B0F0"/>
                <w:lang w:eastAsia="en-GB"/>
              </w:rPr>
              <w:t>–0</w:t>
            </w:r>
            <w:r w:rsidRPr="00C1603D">
              <w:rPr>
                <w:lang w:eastAsia="en-GB"/>
              </w:rPr>
              <w:t>.006 (</w:t>
            </w:r>
            <w:r w:rsidRPr="00C1603D">
              <w:rPr>
                <w:color w:val="00B0F0"/>
                <w:lang w:eastAsia="en-GB"/>
              </w:rPr>
              <w:t>–0</w:t>
            </w:r>
            <w:r w:rsidRPr="00C1603D">
              <w:rPr>
                <w:lang w:eastAsia="en-GB"/>
              </w:rPr>
              <w:t>.006</w:t>
            </w:r>
            <w:r w:rsidR="004319B3" w:rsidRPr="00C1603D">
              <w:rPr>
                <w:lang w:eastAsia="en-GB"/>
              </w:rPr>
              <w:t xml:space="preserve"> to</w:t>
            </w:r>
            <w:r w:rsidRPr="00C1603D">
              <w:rPr>
                <w:lang w:eastAsia="en-GB"/>
              </w:rPr>
              <w:t xml:space="preserve"> </w:t>
            </w:r>
            <w:r w:rsidRPr="00C1603D">
              <w:rPr>
                <w:color w:val="00B0F0"/>
                <w:lang w:eastAsia="en-GB"/>
              </w:rPr>
              <w:t>–0</w:t>
            </w:r>
            <w:r w:rsidRPr="00C1603D">
              <w:rPr>
                <w:lang w:eastAsia="en-GB"/>
              </w:rPr>
              <w:t>.005)</w:t>
            </w:r>
          </w:p>
        </w:tc>
        <w:tc>
          <w:tcPr>
            <w:tcW w:w="0" w:type="auto"/>
            <w:shd w:val="clear" w:color="auto" w:fill="auto"/>
          </w:tcPr>
          <w:p w14:paraId="77AF6F28" w14:textId="77777777" w:rsidR="008B4DF8" w:rsidRPr="00C1603D" w:rsidRDefault="008B4DF8" w:rsidP="004319B3">
            <w:pPr>
              <w:pStyle w:val="72TabletextTablesTableFigureBoxstyles"/>
              <w:rPr>
                <w:lang w:eastAsia="en-GB"/>
              </w:rPr>
            </w:pPr>
            <w:r w:rsidRPr="00C1603D">
              <w:rPr>
                <w:lang w:eastAsia="en-GB"/>
              </w:rPr>
              <w:t>0.01</w:t>
            </w:r>
          </w:p>
        </w:tc>
        <w:tc>
          <w:tcPr>
            <w:tcW w:w="0" w:type="auto"/>
            <w:shd w:val="clear" w:color="auto" w:fill="auto"/>
          </w:tcPr>
          <w:p w14:paraId="2048423A" w14:textId="77777777" w:rsidR="008B4DF8" w:rsidRPr="00C1603D" w:rsidRDefault="008B4DF8" w:rsidP="004319B3">
            <w:pPr>
              <w:pStyle w:val="72TabletextTablesTableFigureBoxstyles"/>
              <w:rPr>
                <w:lang w:eastAsia="en-GB"/>
              </w:rPr>
            </w:pPr>
            <w:r w:rsidRPr="00C1603D">
              <w:rPr>
                <w:lang w:eastAsia="en-GB"/>
              </w:rPr>
              <w:t>20</w:t>
            </w:r>
          </w:p>
        </w:tc>
        <w:tc>
          <w:tcPr>
            <w:tcW w:w="0" w:type="auto"/>
            <w:shd w:val="clear" w:color="auto" w:fill="auto"/>
          </w:tcPr>
          <w:p w14:paraId="0F2165BE" w14:textId="6A7E4C00" w:rsidR="008B4DF8" w:rsidRPr="00C1603D" w:rsidRDefault="008B4DF8" w:rsidP="004319B3">
            <w:pPr>
              <w:pStyle w:val="72TabletextTablesTableFigureBoxstyles"/>
              <w:rPr>
                <w:lang w:eastAsia="en-GB"/>
              </w:rPr>
            </w:pPr>
            <w:r w:rsidRPr="00C1603D">
              <w:rPr>
                <w:lang w:eastAsia="en-GB"/>
              </w:rPr>
              <w:t>0.011 (0.010</w:t>
            </w:r>
            <w:r w:rsidR="004319B3" w:rsidRPr="00C1603D">
              <w:rPr>
                <w:lang w:eastAsia="en-GB"/>
              </w:rPr>
              <w:t>–</w:t>
            </w:r>
            <w:r w:rsidRPr="00C1603D">
              <w:rPr>
                <w:lang w:eastAsia="en-GB"/>
              </w:rPr>
              <w:t>0.011)</w:t>
            </w:r>
          </w:p>
        </w:tc>
      </w:tr>
      <w:tr w:rsidR="004319B3" w:rsidRPr="00C1603D" w14:paraId="15390B14" w14:textId="77777777" w:rsidTr="004319B3">
        <w:trPr>
          <w:cantSplit/>
        </w:trPr>
        <w:tc>
          <w:tcPr>
            <w:tcW w:w="0" w:type="auto"/>
            <w:shd w:val="clear" w:color="auto" w:fill="auto"/>
          </w:tcPr>
          <w:p w14:paraId="7AB0DA4C" w14:textId="77777777" w:rsidR="008B4DF8" w:rsidRPr="00C1603D" w:rsidRDefault="008B4DF8" w:rsidP="004319B3">
            <w:pPr>
              <w:pStyle w:val="72TabletextTablesTableFigureBoxstyles"/>
              <w:rPr>
                <w:lang w:eastAsia="en-GB"/>
              </w:rPr>
            </w:pPr>
            <w:r w:rsidRPr="00C1603D">
              <w:rPr>
                <w:lang w:eastAsia="en-GB"/>
              </w:rPr>
              <w:lastRenderedPageBreak/>
              <w:t>Anaemia</w:t>
            </w:r>
          </w:p>
        </w:tc>
        <w:tc>
          <w:tcPr>
            <w:tcW w:w="0" w:type="auto"/>
            <w:shd w:val="clear" w:color="auto" w:fill="auto"/>
          </w:tcPr>
          <w:p w14:paraId="6DB387CC" w14:textId="77777777" w:rsidR="008B4DF8" w:rsidRPr="00C1603D" w:rsidRDefault="008B4DF8" w:rsidP="004319B3">
            <w:pPr>
              <w:pStyle w:val="72TabletextTablesTableFigureBoxstyles"/>
              <w:rPr>
                <w:lang w:eastAsia="en-GB"/>
              </w:rPr>
            </w:pPr>
            <w:r w:rsidRPr="00C1603D">
              <w:rPr>
                <w:lang w:eastAsia="en-GB"/>
              </w:rPr>
              <w:t>2.645</w:t>
            </w:r>
          </w:p>
        </w:tc>
        <w:tc>
          <w:tcPr>
            <w:tcW w:w="0" w:type="auto"/>
            <w:shd w:val="clear" w:color="auto" w:fill="auto"/>
          </w:tcPr>
          <w:p w14:paraId="1B6D966C" w14:textId="77777777" w:rsidR="008B4DF8" w:rsidRPr="00C1603D" w:rsidRDefault="008B4DF8" w:rsidP="004319B3">
            <w:pPr>
              <w:pStyle w:val="72TabletextTablesTableFigureBoxstyles"/>
              <w:rPr>
                <w:lang w:eastAsia="en-GB"/>
              </w:rPr>
            </w:pPr>
            <w:r w:rsidRPr="00C1603D">
              <w:rPr>
                <w:lang w:eastAsia="en-GB"/>
              </w:rPr>
              <w:t>5</w:t>
            </w:r>
          </w:p>
        </w:tc>
        <w:tc>
          <w:tcPr>
            <w:tcW w:w="0" w:type="auto"/>
            <w:shd w:val="clear" w:color="auto" w:fill="auto"/>
          </w:tcPr>
          <w:p w14:paraId="563063B5" w14:textId="630F3B5B" w:rsidR="008B4DF8" w:rsidRPr="00C1603D" w:rsidRDefault="008B4DF8" w:rsidP="004319B3">
            <w:pPr>
              <w:pStyle w:val="72TabletextTablesTableFigureBoxstyles"/>
              <w:rPr>
                <w:lang w:eastAsia="en-GB"/>
              </w:rPr>
            </w:pPr>
            <w:r w:rsidRPr="00C1603D">
              <w:rPr>
                <w:lang w:eastAsia="en-GB"/>
              </w:rPr>
              <w:t>2.618 (2.522</w:t>
            </w:r>
            <w:r w:rsidR="009E5C1E" w:rsidRPr="00C1603D">
              <w:rPr>
                <w:lang w:eastAsia="en-GB"/>
              </w:rPr>
              <w:t>–</w:t>
            </w:r>
            <w:r w:rsidRPr="00C1603D">
              <w:rPr>
                <w:lang w:eastAsia="en-GB"/>
              </w:rPr>
              <w:t>2.751)</w:t>
            </w:r>
          </w:p>
        </w:tc>
        <w:tc>
          <w:tcPr>
            <w:tcW w:w="0" w:type="auto"/>
            <w:shd w:val="clear" w:color="auto" w:fill="auto"/>
          </w:tcPr>
          <w:p w14:paraId="196DF29E" w14:textId="77777777" w:rsidR="008B4DF8" w:rsidRPr="00C1603D" w:rsidRDefault="008B4DF8" w:rsidP="004319B3">
            <w:pPr>
              <w:pStyle w:val="72TabletextTablesTableFigureBoxstyles"/>
              <w:rPr>
                <w:lang w:eastAsia="en-GB"/>
              </w:rPr>
            </w:pPr>
            <w:r w:rsidRPr="00C1603D">
              <w:rPr>
                <w:lang w:eastAsia="en-GB"/>
              </w:rPr>
              <w:t>1.63</w:t>
            </w:r>
          </w:p>
        </w:tc>
        <w:tc>
          <w:tcPr>
            <w:tcW w:w="0" w:type="auto"/>
            <w:shd w:val="clear" w:color="auto" w:fill="auto"/>
          </w:tcPr>
          <w:p w14:paraId="2A016567" w14:textId="77777777" w:rsidR="008B4DF8" w:rsidRPr="00C1603D" w:rsidRDefault="008B4DF8" w:rsidP="004319B3">
            <w:pPr>
              <w:pStyle w:val="72TabletextTablesTableFigureBoxstyles"/>
              <w:rPr>
                <w:lang w:eastAsia="en-GB"/>
              </w:rPr>
            </w:pPr>
            <w:r w:rsidRPr="00C1603D">
              <w:rPr>
                <w:lang w:eastAsia="en-GB"/>
              </w:rPr>
              <w:t>2</w:t>
            </w:r>
          </w:p>
        </w:tc>
        <w:tc>
          <w:tcPr>
            <w:tcW w:w="0" w:type="auto"/>
            <w:shd w:val="clear" w:color="auto" w:fill="auto"/>
          </w:tcPr>
          <w:p w14:paraId="129BD745" w14:textId="32B2D5E9" w:rsidR="008B4DF8" w:rsidRPr="00C1603D" w:rsidRDefault="008B4DF8" w:rsidP="004319B3">
            <w:pPr>
              <w:pStyle w:val="72TabletextTablesTableFigureBoxstyles"/>
              <w:rPr>
                <w:lang w:eastAsia="en-GB"/>
              </w:rPr>
            </w:pPr>
            <w:r w:rsidRPr="00C1603D">
              <w:rPr>
                <w:lang w:eastAsia="en-GB"/>
              </w:rPr>
              <w:t>1.635 (1.605</w:t>
            </w:r>
            <w:r w:rsidR="00C2076E" w:rsidRPr="00C1603D">
              <w:rPr>
                <w:lang w:eastAsia="en-GB"/>
              </w:rPr>
              <w:t>–</w:t>
            </w:r>
            <w:r w:rsidRPr="00C1603D">
              <w:rPr>
                <w:lang w:eastAsia="en-GB"/>
              </w:rPr>
              <w:t>1.661)</w:t>
            </w:r>
          </w:p>
        </w:tc>
        <w:tc>
          <w:tcPr>
            <w:tcW w:w="0" w:type="auto"/>
            <w:shd w:val="clear" w:color="auto" w:fill="auto"/>
          </w:tcPr>
          <w:p w14:paraId="7F9E240A" w14:textId="77777777" w:rsidR="008B4DF8" w:rsidRPr="00C1603D" w:rsidRDefault="008B4DF8" w:rsidP="004319B3">
            <w:pPr>
              <w:pStyle w:val="72TabletextTablesTableFigureBoxstyles"/>
              <w:rPr>
                <w:lang w:eastAsia="en-GB"/>
              </w:rPr>
            </w:pPr>
            <w:r w:rsidRPr="00C1603D">
              <w:rPr>
                <w:lang w:eastAsia="en-GB"/>
              </w:rPr>
              <w:t>2.685</w:t>
            </w:r>
          </w:p>
        </w:tc>
        <w:tc>
          <w:tcPr>
            <w:tcW w:w="0" w:type="auto"/>
            <w:shd w:val="clear" w:color="auto" w:fill="auto"/>
          </w:tcPr>
          <w:p w14:paraId="70D999C0" w14:textId="77777777" w:rsidR="008B4DF8" w:rsidRPr="00C1603D" w:rsidRDefault="008B4DF8" w:rsidP="004319B3">
            <w:pPr>
              <w:pStyle w:val="72TabletextTablesTableFigureBoxstyles"/>
              <w:rPr>
                <w:lang w:eastAsia="en-GB"/>
              </w:rPr>
            </w:pPr>
            <w:r w:rsidRPr="00C1603D">
              <w:rPr>
                <w:lang w:eastAsia="en-GB"/>
              </w:rPr>
              <w:t>1</w:t>
            </w:r>
          </w:p>
        </w:tc>
        <w:tc>
          <w:tcPr>
            <w:tcW w:w="0" w:type="auto"/>
            <w:shd w:val="clear" w:color="auto" w:fill="auto"/>
          </w:tcPr>
          <w:p w14:paraId="66EC6058" w14:textId="4B9F1066" w:rsidR="008B4DF8" w:rsidRPr="00C1603D" w:rsidRDefault="008B4DF8" w:rsidP="004319B3">
            <w:pPr>
              <w:pStyle w:val="72TabletextTablesTableFigureBoxstyles"/>
              <w:rPr>
                <w:lang w:eastAsia="en-GB"/>
              </w:rPr>
            </w:pPr>
            <w:r w:rsidRPr="00C1603D">
              <w:rPr>
                <w:lang w:eastAsia="en-GB"/>
              </w:rPr>
              <w:t>2.689 (2.632</w:t>
            </w:r>
            <w:r w:rsidR="00C2076E" w:rsidRPr="00C1603D">
              <w:rPr>
                <w:lang w:eastAsia="en-GB"/>
              </w:rPr>
              <w:t>–</w:t>
            </w:r>
            <w:r w:rsidRPr="00C1603D">
              <w:rPr>
                <w:lang w:eastAsia="en-GB"/>
              </w:rPr>
              <w:t>2.753)</w:t>
            </w:r>
          </w:p>
        </w:tc>
      </w:tr>
      <w:tr w:rsidR="001578DF" w:rsidRPr="00C1603D" w14:paraId="57A81422" w14:textId="77777777" w:rsidTr="004319B3">
        <w:trPr>
          <w:cantSplit/>
        </w:trPr>
        <w:tc>
          <w:tcPr>
            <w:tcW w:w="0" w:type="auto"/>
            <w:shd w:val="clear" w:color="auto" w:fill="auto"/>
          </w:tcPr>
          <w:p w14:paraId="486AC273" w14:textId="77777777" w:rsidR="001578DF" w:rsidRPr="00C1603D" w:rsidRDefault="001578DF" w:rsidP="001578DF">
            <w:pPr>
              <w:pStyle w:val="72TabletextTablesTableFigureBoxstyles"/>
              <w:rPr>
                <w:lang w:eastAsia="en-GB"/>
              </w:rPr>
            </w:pPr>
            <w:r w:rsidRPr="00C1603D">
              <w:rPr>
                <w:lang w:eastAsia="en-GB"/>
              </w:rPr>
              <w:t>Arthritis</w:t>
            </w:r>
          </w:p>
        </w:tc>
        <w:tc>
          <w:tcPr>
            <w:tcW w:w="0" w:type="auto"/>
            <w:shd w:val="clear" w:color="auto" w:fill="auto"/>
          </w:tcPr>
          <w:p w14:paraId="42B29ADB" w14:textId="77777777" w:rsidR="001578DF" w:rsidRPr="00C1603D" w:rsidRDefault="001578DF" w:rsidP="001578DF">
            <w:pPr>
              <w:pStyle w:val="72TabletextTablesTableFigureBoxstyles"/>
              <w:rPr>
                <w:lang w:eastAsia="en-GB"/>
              </w:rPr>
            </w:pPr>
            <w:r w:rsidRPr="00C1603D">
              <w:rPr>
                <w:lang w:eastAsia="en-GB"/>
              </w:rPr>
              <w:t>1.318</w:t>
            </w:r>
          </w:p>
        </w:tc>
        <w:tc>
          <w:tcPr>
            <w:tcW w:w="0" w:type="auto"/>
            <w:shd w:val="clear" w:color="auto" w:fill="auto"/>
          </w:tcPr>
          <w:p w14:paraId="58EB9EAC" w14:textId="77777777" w:rsidR="001578DF" w:rsidRPr="00C1603D" w:rsidRDefault="001578DF" w:rsidP="001578DF">
            <w:pPr>
              <w:pStyle w:val="72TabletextTablesTableFigureBoxstyles"/>
              <w:rPr>
                <w:lang w:eastAsia="en-GB"/>
              </w:rPr>
            </w:pPr>
            <w:r w:rsidRPr="00C1603D">
              <w:rPr>
                <w:lang w:eastAsia="en-GB"/>
              </w:rPr>
              <w:t>12</w:t>
            </w:r>
          </w:p>
        </w:tc>
        <w:tc>
          <w:tcPr>
            <w:tcW w:w="0" w:type="auto"/>
            <w:shd w:val="clear" w:color="auto" w:fill="auto"/>
          </w:tcPr>
          <w:p w14:paraId="62330187" w14:textId="6EBA5134" w:rsidR="001578DF" w:rsidRPr="00C1603D" w:rsidRDefault="001578DF" w:rsidP="001578DF">
            <w:pPr>
              <w:pStyle w:val="72TabletextTablesTableFigureBoxstyles"/>
              <w:rPr>
                <w:lang w:eastAsia="en-GB"/>
              </w:rPr>
            </w:pPr>
            <w:r w:rsidRPr="00C1603D">
              <w:rPr>
                <w:lang w:eastAsia="en-GB"/>
              </w:rPr>
              <w:t>1.371 (0.949–1.738)</w:t>
            </w:r>
          </w:p>
        </w:tc>
        <w:tc>
          <w:tcPr>
            <w:tcW w:w="0" w:type="auto"/>
            <w:shd w:val="clear" w:color="auto" w:fill="auto"/>
          </w:tcPr>
          <w:p w14:paraId="59CE781A" w14:textId="71DEC015" w:rsidR="001578DF" w:rsidRPr="00C1603D" w:rsidRDefault="001578DF" w:rsidP="001578DF">
            <w:pPr>
              <w:pStyle w:val="72TabletextTablesTableFigureBoxstyles"/>
              <w:rPr>
                <w:lang w:eastAsia="en-GB"/>
              </w:rPr>
            </w:pPr>
            <w:r w:rsidRPr="00C1603D">
              <w:rPr>
                <w:lang w:eastAsia="en-GB"/>
              </w:rPr>
              <w:t>NS</w:t>
            </w:r>
          </w:p>
        </w:tc>
        <w:tc>
          <w:tcPr>
            <w:tcW w:w="0" w:type="auto"/>
            <w:shd w:val="clear" w:color="auto" w:fill="auto"/>
          </w:tcPr>
          <w:p w14:paraId="60E2520A" w14:textId="6D449B21" w:rsidR="001578DF" w:rsidRPr="00C1603D" w:rsidRDefault="001578DF" w:rsidP="001578DF">
            <w:pPr>
              <w:pStyle w:val="72TabletextTablesTableFigureBoxstyles"/>
              <w:rPr>
                <w:lang w:eastAsia="en-GB"/>
              </w:rPr>
            </w:pPr>
            <w:r w:rsidRPr="00C1603D">
              <w:rPr>
                <w:lang w:eastAsia="en-GB"/>
              </w:rPr>
              <w:t>NS</w:t>
            </w:r>
          </w:p>
        </w:tc>
        <w:tc>
          <w:tcPr>
            <w:tcW w:w="0" w:type="auto"/>
            <w:shd w:val="clear" w:color="auto" w:fill="auto"/>
          </w:tcPr>
          <w:p w14:paraId="6572263E" w14:textId="2E3F843D" w:rsidR="001578DF" w:rsidRPr="00C1603D" w:rsidRDefault="001578DF" w:rsidP="001578DF">
            <w:pPr>
              <w:pStyle w:val="72TabletextTablesTableFigureBoxstyles"/>
              <w:rPr>
                <w:lang w:eastAsia="en-GB"/>
              </w:rPr>
            </w:pPr>
            <w:r w:rsidRPr="00C1603D">
              <w:rPr>
                <w:lang w:eastAsia="en-GB"/>
              </w:rPr>
              <w:t>NS</w:t>
            </w:r>
          </w:p>
        </w:tc>
        <w:tc>
          <w:tcPr>
            <w:tcW w:w="0" w:type="auto"/>
            <w:shd w:val="clear" w:color="auto" w:fill="auto"/>
          </w:tcPr>
          <w:p w14:paraId="673205D7" w14:textId="65CBBEC6" w:rsidR="001578DF" w:rsidRPr="00C1603D" w:rsidRDefault="001578DF" w:rsidP="001578DF">
            <w:pPr>
              <w:pStyle w:val="72TabletextTablesTableFigureBoxstyles"/>
              <w:rPr>
                <w:lang w:eastAsia="en-GB"/>
              </w:rPr>
            </w:pPr>
            <w:r w:rsidRPr="00C1603D">
              <w:rPr>
                <w:lang w:eastAsia="en-GB"/>
              </w:rPr>
              <w:t>NS</w:t>
            </w:r>
          </w:p>
        </w:tc>
        <w:tc>
          <w:tcPr>
            <w:tcW w:w="0" w:type="auto"/>
            <w:shd w:val="clear" w:color="auto" w:fill="auto"/>
          </w:tcPr>
          <w:p w14:paraId="051709D6" w14:textId="66DA70BB" w:rsidR="001578DF" w:rsidRPr="00C1603D" w:rsidRDefault="001578DF" w:rsidP="001578DF">
            <w:pPr>
              <w:pStyle w:val="72TabletextTablesTableFigureBoxstyles"/>
              <w:rPr>
                <w:lang w:eastAsia="en-GB"/>
              </w:rPr>
            </w:pPr>
            <w:r w:rsidRPr="00C1603D">
              <w:rPr>
                <w:lang w:eastAsia="en-GB"/>
              </w:rPr>
              <w:t>NS</w:t>
            </w:r>
          </w:p>
        </w:tc>
        <w:tc>
          <w:tcPr>
            <w:tcW w:w="0" w:type="auto"/>
            <w:shd w:val="clear" w:color="auto" w:fill="auto"/>
          </w:tcPr>
          <w:p w14:paraId="5FE10C77" w14:textId="251DB941" w:rsidR="001578DF" w:rsidRPr="00C1603D" w:rsidRDefault="001578DF" w:rsidP="001578DF">
            <w:pPr>
              <w:pStyle w:val="72TabletextTablesTableFigureBoxstyles"/>
              <w:rPr>
                <w:lang w:eastAsia="en-GB"/>
              </w:rPr>
            </w:pPr>
            <w:r w:rsidRPr="00C1603D">
              <w:rPr>
                <w:lang w:eastAsia="en-GB"/>
              </w:rPr>
              <w:t>NS</w:t>
            </w:r>
          </w:p>
        </w:tc>
      </w:tr>
      <w:tr w:rsidR="000A5CC9" w:rsidRPr="00C1603D" w14:paraId="37CB9FAC" w14:textId="77777777" w:rsidTr="004319B3">
        <w:trPr>
          <w:cantSplit/>
        </w:trPr>
        <w:tc>
          <w:tcPr>
            <w:tcW w:w="0" w:type="auto"/>
            <w:shd w:val="clear" w:color="auto" w:fill="auto"/>
          </w:tcPr>
          <w:p w14:paraId="6619538F" w14:textId="77777777" w:rsidR="000A5CC9" w:rsidRPr="00C1603D" w:rsidRDefault="000A5CC9" w:rsidP="000A5CC9">
            <w:pPr>
              <w:pStyle w:val="72TabletextTablesTableFigureBoxstyles"/>
              <w:rPr>
                <w:lang w:eastAsia="en-GB"/>
              </w:rPr>
            </w:pPr>
            <w:r w:rsidRPr="00C1603D">
              <w:rPr>
                <w:lang w:eastAsia="en-GB"/>
              </w:rPr>
              <w:t>Cardiovascular disease</w:t>
            </w:r>
          </w:p>
        </w:tc>
        <w:tc>
          <w:tcPr>
            <w:tcW w:w="0" w:type="auto"/>
            <w:shd w:val="clear" w:color="auto" w:fill="auto"/>
          </w:tcPr>
          <w:p w14:paraId="74A794C6" w14:textId="555073EC"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5C036B7C" w14:textId="49A47762"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0A3F621F" w14:textId="4FCD2C76"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3CA3EC38" w14:textId="77777777" w:rsidR="000A5CC9" w:rsidRPr="00C1603D" w:rsidRDefault="000A5CC9" w:rsidP="000A5CC9">
            <w:pPr>
              <w:pStyle w:val="72TabletextTablesTableFigureBoxstyles"/>
              <w:rPr>
                <w:lang w:eastAsia="en-GB"/>
              </w:rPr>
            </w:pPr>
            <w:r w:rsidRPr="00C1603D">
              <w:rPr>
                <w:lang w:eastAsia="en-GB"/>
              </w:rPr>
              <w:t>0.196</w:t>
            </w:r>
          </w:p>
        </w:tc>
        <w:tc>
          <w:tcPr>
            <w:tcW w:w="0" w:type="auto"/>
            <w:shd w:val="clear" w:color="auto" w:fill="auto"/>
          </w:tcPr>
          <w:p w14:paraId="77A9F995" w14:textId="77777777" w:rsidR="000A5CC9" w:rsidRPr="00C1603D" w:rsidRDefault="000A5CC9" w:rsidP="000A5CC9">
            <w:pPr>
              <w:pStyle w:val="72TabletextTablesTableFigureBoxstyles"/>
              <w:rPr>
                <w:lang w:eastAsia="en-GB"/>
              </w:rPr>
            </w:pPr>
            <w:r w:rsidRPr="00C1603D">
              <w:rPr>
                <w:lang w:eastAsia="en-GB"/>
              </w:rPr>
              <w:t>20</w:t>
            </w:r>
          </w:p>
        </w:tc>
        <w:tc>
          <w:tcPr>
            <w:tcW w:w="0" w:type="auto"/>
            <w:shd w:val="clear" w:color="auto" w:fill="auto"/>
          </w:tcPr>
          <w:p w14:paraId="4ED8AFC8" w14:textId="33A99CA0" w:rsidR="000A5CC9" w:rsidRPr="00C1603D" w:rsidRDefault="000A5CC9" w:rsidP="000A5CC9">
            <w:pPr>
              <w:pStyle w:val="72TabletextTablesTableFigureBoxstyles"/>
              <w:rPr>
                <w:lang w:eastAsia="en-GB"/>
              </w:rPr>
            </w:pPr>
            <w:r w:rsidRPr="00C1603D">
              <w:rPr>
                <w:lang w:eastAsia="en-GB"/>
              </w:rPr>
              <w:t>0.190 (0.139–0.222)</w:t>
            </w:r>
          </w:p>
        </w:tc>
        <w:tc>
          <w:tcPr>
            <w:tcW w:w="0" w:type="auto"/>
            <w:shd w:val="clear" w:color="auto" w:fill="auto"/>
          </w:tcPr>
          <w:p w14:paraId="69DC5FCC" w14:textId="77777777" w:rsidR="000A5CC9" w:rsidRPr="00C1603D" w:rsidRDefault="000A5CC9" w:rsidP="000A5CC9">
            <w:pPr>
              <w:pStyle w:val="72TabletextTablesTableFigureBoxstyles"/>
              <w:rPr>
                <w:lang w:eastAsia="en-GB"/>
              </w:rPr>
            </w:pPr>
            <w:r w:rsidRPr="00C1603D">
              <w:rPr>
                <w:lang w:eastAsia="en-GB"/>
              </w:rPr>
              <w:t>0.253</w:t>
            </w:r>
          </w:p>
        </w:tc>
        <w:tc>
          <w:tcPr>
            <w:tcW w:w="0" w:type="auto"/>
            <w:shd w:val="clear" w:color="auto" w:fill="auto"/>
          </w:tcPr>
          <w:p w14:paraId="465414A3" w14:textId="77777777" w:rsidR="000A5CC9" w:rsidRPr="00C1603D" w:rsidRDefault="000A5CC9" w:rsidP="000A5CC9">
            <w:pPr>
              <w:pStyle w:val="72TabletextTablesTableFigureBoxstyles"/>
              <w:rPr>
                <w:lang w:eastAsia="en-GB"/>
              </w:rPr>
            </w:pPr>
            <w:r w:rsidRPr="00C1603D">
              <w:rPr>
                <w:lang w:eastAsia="en-GB"/>
              </w:rPr>
              <w:t>18</w:t>
            </w:r>
          </w:p>
        </w:tc>
        <w:tc>
          <w:tcPr>
            <w:tcW w:w="0" w:type="auto"/>
            <w:shd w:val="clear" w:color="auto" w:fill="auto"/>
          </w:tcPr>
          <w:p w14:paraId="22A890E6" w14:textId="31029872" w:rsidR="000A5CC9" w:rsidRPr="00C1603D" w:rsidRDefault="000A5CC9" w:rsidP="000A5CC9">
            <w:pPr>
              <w:pStyle w:val="72TabletextTablesTableFigureBoxstyles"/>
              <w:rPr>
                <w:lang w:eastAsia="en-GB"/>
              </w:rPr>
            </w:pPr>
            <w:r w:rsidRPr="00C1603D">
              <w:rPr>
                <w:lang w:eastAsia="en-GB"/>
              </w:rPr>
              <w:t>0.243 (0.214–0.282)</w:t>
            </w:r>
          </w:p>
        </w:tc>
      </w:tr>
      <w:tr w:rsidR="000A5CC9" w:rsidRPr="00C1603D" w14:paraId="5743B4BA" w14:textId="77777777" w:rsidTr="004319B3">
        <w:trPr>
          <w:cantSplit/>
        </w:trPr>
        <w:tc>
          <w:tcPr>
            <w:tcW w:w="0" w:type="auto"/>
            <w:shd w:val="clear" w:color="auto" w:fill="auto"/>
          </w:tcPr>
          <w:p w14:paraId="19B95457" w14:textId="77777777" w:rsidR="000A5CC9" w:rsidRPr="00C1603D" w:rsidRDefault="000A5CC9" w:rsidP="000A5CC9">
            <w:pPr>
              <w:pStyle w:val="72TabletextTablesTableFigureBoxstyles"/>
              <w:rPr>
                <w:lang w:eastAsia="en-GB"/>
              </w:rPr>
            </w:pPr>
            <w:r w:rsidRPr="00C1603D">
              <w:rPr>
                <w:lang w:eastAsia="en-GB"/>
              </w:rPr>
              <w:t>Chronic liver disease</w:t>
            </w:r>
          </w:p>
        </w:tc>
        <w:tc>
          <w:tcPr>
            <w:tcW w:w="0" w:type="auto"/>
            <w:shd w:val="clear" w:color="auto" w:fill="auto"/>
          </w:tcPr>
          <w:p w14:paraId="75E552B0" w14:textId="50B72C86"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79A215E8" w14:textId="127968D4"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5A2F5BBE" w14:textId="7416D902"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65DF689B" w14:textId="77777777" w:rsidR="000A5CC9" w:rsidRPr="00C1603D" w:rsidRDefault="000A5CC9" w:rsidP="000A5CC9">
            <w:pPr>
              <w:pStyle w:val="72TabletextTablesTableFigureBoxstyles"/>
              <w:rPr>
                <w:lang w:eastAsia="en-GB"/>
              </w:rPr>
            </w:pPr>
            <w:r w:rsidRPr="00C1603D">
              <w:rPr>
                <w:lang w:eastAsia="en-GB"/>
              </w:rPr>
              <w:t>0.326</w:t>
            </w:r>
          </w:p>
        </w:tc>
        <w:tc>
          <w:tcPr>
            <w:tcW w:w="0" w:type="auto"/>
            <w:shd w:val="clear" w:color="auto" w:fill="auto"/>
          </w:tcPr>
          <w:p w14:paraId="46BCE151" w14:textId="77777777" w:rsidR="000A5CC9" w:rsidRPr="00C1603D" w:rsidRDefault="000A5CC9" w:rsidP="000A5CC9">
            <w:pPr>
              <w:pStyle w:val="72TabletextTablesTableFigureBoxstyles"/>
              <w:rPr>
                <w:lang w:eastAsia="en-GB"/>
              </w:rPr>
            </w:pPr>
            <w:r w:rsidRPr="00C1603D">
              <w:rPr>
                <w:lang w:eastAsia="en-GB"/>
              </w:rPr>
              <w:t>16</w:t>
            </w:r>
          </w:p>
        </w:tc>
        <w:tc>
          <w:tcPr>
            <w:tcW w:w="0" w:type="auto"/>
            <w:shd w:val="clear" w:color="auto" w:fill="auto"/>
          </w:tcPr>
          <w:p w14:paraId="571CC68D" w14:textId="4E0AFAB9" w:rsidR="000A5CC9" w:rsidRPr="00C1603D" w:rsidRDefault="000A5CC9" w:rsidP="000A5CC9">
            <w:pPr>
              <w:pStyle w:val="72TabletextTablesTableFigureBoxstyles"/>
              <w:rPr>
                <w:lang w:eastAsia="en-GB"/>
              </w:rPr>
            </w:pPr>
            <w:r w:rsidRPr="00C1603D">
              <w:rPr>
                <w:lang w:eastAsia="en-GB"/>
              </w:rPr>
              <w:t>0.324 (0.245–0.383)</w:t>
            </w:r>
          </w:p>
        </w:tc>
        <w:tc>
          <w:tcPr>
            <w:tcW w:w="0" w:type="auto"/>
            <w:shd w:val="clear" w:color="auto" w:fill="auto"/>
          </w:tcPr>
          <w:p w14:paraId="05F9FF2B" w14:textId="77777777" w:rsidR="000A5CC9" w:rsidRPr="00C1603D" w:rsidRDefault="000A5CC9" w:rsidP="000A5CC9">
            <w:pPr>
              <w:pStyle w:val="72TabletextTablesTableFigureBoxstyles"/>
              <w:rPr>
                <w:lang w:eastAsia="en-GB"/>
              </w:rPr>
            </w:pPr>
            <w:r w:rsidRPr="00C1603D">
              <w:rPr>
                <w:lang w:eastAsia="en-GB"/>
              </w:rPr>
              <w:t>0.321</w:t>
            </w:r>
          </w:p>
        </w:tc>
        <w:tc>
          <w:tcPr>
            <w:tcW w:w="0" w:type="auto"/>
            <w:shd w:val="clear" w:color="auto" w:fill="auto"/>
          </w:tcPr>
          <w:p w14:paraId="62BED655" w14:textId="77777777" w:rsidR="000A5CC9" w:rsidRPr="00C1603D" w:rsidRDefault="000A5CC9" w:rsidP="000A5CC9">
            <w:pPr>
              <w:pStyle w:val="72TabletextTablesTableFigureBoxstyles"/>
              <w:rPr>
                <w:lang w:eastAsia="en-GB"/>
              </w:rPr>
            </w:pPr>
            <w:r w:rsidRPr="00C1603D">
              <w:rPr>
                <w:lang w:eastAsia="en-GB"/>
              </w:rPr>
              <w:t>16</w:t>
            </w:r>
          </w:p>
        </w:tc>
        <w:tc>
          <w:tcPr>
            <w:tcW w:w="0" w:type="auto"/>
            <w:shd w:val="clear" w:color="auto" w:fill="auto"/>
          </w:tcPr>
          <w:p w14:paraId="4E31602E" w14:textId="04D9C260" w:rsidR="000A5CC9" w:rsidRPr="00C1603D" w:rsidRDefault="000A5CC9" w:rsidP="000A5CC9">
            <w:pPr>
              <w:pStyle w:val="72TabletextTablesTableFigureBoxstyles"/>
              <w:rPr>
                <w:lang w:eastAsia="en-GB"/>
              </w:rPr>
            </w:pPr>
            <w:r w:rsidRPr="00C1603D">
              <w:rPr>
                <w:lang w:eastAsia="en-GB"/>
              </w:rPr>
              <w:t>0.321 (0.236–0.396)</w:t>
            </w:r>
          </w:p>
        </w:tc>
      </w:tr>
      <w:tr w:rsidR="00A76E5D" w:rsidRPr="00C1603D" w14:paraId="2E6B2ACC" w14:textId="77777777" w:rsidTr="004319B3">
        <w:trPr>
          <w:cantSplit/>
        </w:trPr>
        <w:tc>
          <w:tcPr>
            <w:tcW w:w="0" w:type="auto"/>
            <w:shd w:val="clear" w:color="auto" w:fill="auto"/>
          </w:tcPr>
          <w:p w14:paraId="5B79329D" w14:textId="77777777" w:rsidR="00A76E5D" w:rsidRPr="00C1603D" w:rsidRDefault="00A76E5D" w:rsidP="00A76E5D">
            <w:pPr>
              <w:pStyle w:val="72TabletextTablesTableFigureBoxstyles"/>
              <w:rPr>
                <w:lang w:eastAsia="en-GB"/>
              </w:rPr>
            </w:pPr>
            <w:r w:rsidRPr="00C1603D">
              <w:rPr>
                <w:lang w:eastAsia="en-GB"/>
              </w:rPr>
              <w:t>Delayed puberty</w:t>
            </w:r>
          </w:p>
        </w:tc>
        <w:tc>
          <w:tcPr>
            <w:tcW w:w="0" w:type="auto"/>
            <w:shd w:val="clear" w:color="auto" w:fill="auto"/>
          </w:tcPr>
          <w:p w14:paraId="53979237" w14:textId="77777777" w:rsidR="00A76E5D" w:rsidRPr="00C1603D" w:rsidRDefault="00A76E5D" w:rsidP="00A76E5D">
            <w:pPr>
              <w:pStyle w:val="72TabletextTablesTableFigureBoxstyles"/>
              <w:rPr>
                <w:lang w:eastAsia="en-GB"/>
              </w:rPr>
            </w:pPr>
            <w:r w:rsidRPr="00C1603D">
              <w:rPr>
                <w:lang w:eastAsia="en-GB"/>
              </w:rPr>
              <w:t>1.995</w:t>
            </w:r>
          </w:p>
        </w:tc>
        <w:tc>
          <w:tcPr>
            <w:tcW w:w="0" w:type="auto"/>
            <w:shd w:val="clear" w:color="auto" w:fill="auto"/>
          </w:tcPr>
          <w:p w14:paraId="78D1385F" w14:textId="77777777" w:rsidR="00A76E5D" w:rsidRPr="00C1603D" w:rsidRDefault="00A76E5D" w:rsidP="00A76E5D">
            <w:pPr>
              <w:pStyle w:val="72TabletextTablesTableFigureBoxstyles"/>
              <w:rPr>
                <w:lang w:eastAsia="en-GB"/>
              </w:rPr>
            </w:pPr>
            <w:r w:rsidRPr="00C1603D">
              <w:rPr>
                <w:lang w:eastAsia="en-GB"/>
              </w:rPr>
              <w:t>10</w:t>
            </w:r>
          </w:p>
        </w:tc>
        <w:tc>
          <w:tcPr>
            <w:tcW w:w="0" w:type="auto"/>
            <w:shd w:val="clear" w:color="auto" w:fill="auto"/>
          </w:tcPr>
          <w:p w14:paraId="0D6C800A" w14:textId="74134B42" w:rsidR="00A76E5D" w:rsidRPr="00C1603D" w:rsidRDefault="00A76E5D" w:rsidP="00A76E5D">
            <w:pPr>
              <w:pStyle w:val="72TabletextTablesTableFigureBoxstyles"/>
              <w:rPr>
                <w:lang w:eastAsia="en-GB"/>
              </w:rPr>
            </w:pPr>
            <w:r w:rsidRPr="00C1603D">
              <w:rPr>
                <w:lang w:eastAsia="en-GB"/>
              </w:rPr>
              <w:t>1.997 (1.537–2.577)</w:t>
            </w:r>
          </w:p>
        </w:tc>
        <w:tc>
          <w:tcPr>
            <w:tcW w:w="0" w:type="auto"/>
            <w:shd w:val="clear" w:color="auto" w:fill="auto"/>
          </w:tcPr>
          <w:p w14:paraId="1678A5ED" w14:textId="492193FE"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2D82219B" w14:textId="705752DD"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74500D19" w14:textId="2C4B824C"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3E137776" w14:textId="0BA59D59"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0BDABB9E" w14:textId="5D7845EA"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615C5664" w14:textId="42B8F99B" w:rsidR="00A76E5D" w:rsidRPr="00C1603D" w:rsidRDefault="00A76E5D" w:rsidP="00A76E5D">
            <w:pPr>
              <w:pStyle w:val="72TabletextTablesTableFigureBoxstyles"/>
              <w:rPr>
                <w:lang w:eastAsia="en-GB"/>
              </w:rPr>
            </w:pPr>
            <w:r w:rsidRPr="00C1603D">
              <w:rPr>
                <w:lang w:eastAsia="en-GB"/>
              </w:rPr>
              <w:t>NS</w:t>
            </w:r>
          </w:p>
        </w:tc>
      </w:tr>
      <w:tr w:rsidR="004319B3" w:rsidRPr="00C1603D" w14:paraId="1B119AC9" w14:textId="77777777" w:rsidTr="004319B3">
        <w:trPr>
          <w:cantSplit/>
        </w:trPr>
        <w:tc>
          <w:tcPr>
            <w:tcW w:w="0" w:type="auto"/>
            <w:shd w:val="clear" w:color="auto" w:fill="auto"/>
          </w:tcPr>
          <w:p w14:paraId="6055A03C" w14:textId="77777777" w:rsidR="008B4DF8" w:rsidRPr="00C1603D" w:rsidRDefault="008B4DF8" w:rsidP="004319B3">
            <w:pPr>
              <w:pStyle w:val="72TabletextTablesTableFigureBoxstyles"/>
              <w:rPr>
                <w:lang w:eastAsia="en-GB"/>
              </w:rPr>
            </w:pPr>
            <w:r w:rsidRPr="00C1603D">
              <w:rPr>
                <w:lang w:eastAsia="en-GB"/>
              </w:rPr>
              <w:t>Down syndrome</w:t>
            </w:r>
          </w:p>
        </w:tc>
        <w:tc>
          <w:tcPr>
            <w:tcW w:w="0" w:type="auto"/>
            <w:shd w:val="clear" w:color="auto" w:fill="auto"/>
          </w:tcPr>
          <w:p w14:paraId="4FF10C9D" w14:textId="77777777" w:rsidR="008B4DF8" w:rsidRPr="00C1603D" w:rsidRDefault="008B4DF8" w:rsidP="004319B3">
            <w:pPr>
              <w:pStyle w:val="72TabletextTablesTableFigureBoxstyles"/>
              <w:rPr>
                <w:lang w:eastAsia="en-GB"/>
              </w:rPr>
            </w:pPr>
            <w:r w:rsidRPr="00C1603D">
              <w:rPr>
                <w:lang w:eastAsia="en-GB"/>
              </w:rPr>
              <w:t>2.429</w:t>
            </w:r>
          </w:p>
        </w:tc>
        <w:tc>
          <w:tcPr>
            <w:tcW w:w="0" w:type="auto"/>
            <w:shd w:val="clear" w:color="auto" w:fill="auto"/>
          </w:tcPr>
          <w:p w14:paraId="6D7DD5AC" w14:textId="77777777" w:rsidR="008B4DF8" w:rsidRPr="00C1603D" w:rsidRDefault="008B4DF8" w:rsidP="004319B3">
            <w:pPr>
              <w:pStyle w:val="72TabletextTablesTableFigureBoxstyles"/>
              <w:rPr>
                <w:lang w:eastAsia="en-GB"/>
              </w:rPr>
            </w:pPr>
            <w:r w:rsidRPr="00C1603D">
              <w:rPr>
                <w:lang w:eastAsia="en-GB"/>
              </w:rPr>
              <w:t>6</w:t>
            </w:r>
          </w:p>
        </w:tc>
        <w:tc>
          <w:tcPr>
            <w:tcW w:w="0" w:type="auto"/>
            <w:shd w:val="clear" w:color="auto" w:fill="auto"/>
          </w:tcPr>
          <w:p w14:paraId="0F7B243E" w14:textId="2BBF101E" w:rsidR="008B4DF8" w:rsidRPr="00C1603D" w:rsidRDefault="008B4DF8" w:rsidP="004319B3">
            <w:pPr>
              <w:pStyle w:val="72TabletextTablesTableFigureBoxstyles"/>
              <w:rPr>
                <w:lang w:eastAsia="en-GB"/>
              </w:rPr>
            </w:pPr>
            <w:r w:rsidRPr="00C1603D">
              <w:rPr>
                <w:lang w:eastAsia="en-GB"/>
              </w:rPr>
              <w:t>2.428 (2.096</w:t>
            </w:r>
            <w:r w:rsidR="009E5C1E" w:rsidRPr="00C1603D">
              <w:rPr>
                <w:lang w:eastAsia="en-GB"/>
              </w:rPr>
              <w:t>–</w:t>
            </w:r>
            <w:r w:rsidRPr="00C1603D">
              <w:rPr>
                <w:lang w:eastAsia="en-GB"/>
              </w:rPr>
              <w:t>2.763)</w:t>
            </w:r>
          </w:p>
        </w:tc>
        <w:tc>
          <w:tcPr>
            <w:tcW w:w="0" w:type="auto"/>
            <w:shd w:val="clear" w:color="auto" w:fill="auto"/>
          </w:tcPr>
          <w:p w14:paraId="022A22A3" w14:textId="77777777" w:rsidR="008B4DF8" w:rsidRPr="00C1603D" w:rsidRDefault="008B4DF8" w:rsidP="004319B3">
            <w:pPr>
              <w:pStyle w:val="72TabletextTablesTableFigureBoxstyles"/>
              <w:rPr>
                <w:lang w:eastAsia="en-GB"/>
              </w:rPr>
            </w:pPr>
            <w:r w:rsidRPr="00C1603D">
              <w:rPr>
                <w:lang w:eastAsia="en-GB"/>
              </w:rPr>
              <w:t>1.163</w:t>
            </w:r>
          </w:p>
        </w:tc>
        <w:tc>
          <w:tcPr>
            <w:tcW w:w="0" w:type="auto"/>
            <w:shd w:val="clear" w:color="auto" w:fill="auto"/>
          </w:tcPr>
          <w:p w14:paraId="257F7EF7" w14:textId="77777777" w:rsidR="008B4DF8" w:rsidRPr="00C1603D" w:rsidRDefault="008B4DF8" w:rsidP="004319B3">
            <w:pPr>
              <w:pStyle w:val="72TabletextTablesTableFigureBoxstyles"/>
              <w:rPr>
                <w:lang w:eastAsia="en-GB"/>
              </w:rPr>
            </w:pPr>
            <w:r w:rsidRPr="00C1603D">
              <w:rPr>
                <w:lang w:eastAsia="en-GB"/>
              </w:rPr>
              <w:t>5</w:t>
            </w:r>
          </w:p>
        </w:tc>
        <w:tc>
          <w:tcPr>
            <w:tcW w:w="0" w:type="auto"/>
            <w:shd w:val="clear" w:color="auto" w:fill="auto"/>
          </w:tcPr>
          <w:p w14:paraId="2736829B" w14:textId="5F5E36E6" w:rsidR="008B4DF8" w:rsidRPr="00C1603D" w:rsidRDefault="008B4DF8" w:rsidP="004319B3">
            <w:pPr>
              <w:pStyle w:val="72TabletextTablesTableFigureBoxstyles"/>
              <w:rPr>
                <w:lang w:eastAsia="en-GB"/>
              </w:rPr>
            </w:pPr>
            <w:r w:rsidRPr="00C1603D">
              <w:rPr>
                <w:lang w:eastAsia="en-GB"/>
              </w:rPr>
              <w:t>1.269 (1.161</w:t>
            </w:r>
            <w:r w:rsidR="00C2076E" w:rsidRPr="00C1603D">
              <w:rPr>
                <w:lang w:eastAsia="en-GB"/>
              </w:rPr>
              <w:t>–</w:t>
            </w:r>
            <w:r w:rsidRPr="00C1603D">
              <w:rPr>
                <w:lang w:eastAsia="en-GB"/>
              </w:rPr>
              <w:t>1.358)</w:t>
            </w:r>
          </w:p>
        </w:tc>
        <w:tc>
          <w:tcPr>
            <w:tcW w:w="0" w:type="auto"/>
            <w:shd w:val="clear" w:color="auto" w:fill="auto"/>
          </w:tcPr>
          <w:p w14:paraId="713D399D" w14:textId="77777777" w:rsidR="008B4DF8" w:rsidRPr="00C1603D" w:rsidRDefault="008B4DF8" w:rsidP="004319B3">
            <w:pPr>
              <w:pStyle w:val="72TabletextTablesTableFigureBoxstyles"/>
              <w:rPr>
                <w:lang w:eastAsia="en-GB"/>
              </w:rPr>
            </w:pPr>
            <w:r w:rsidRPr="00C1603D">
              <w:rPr>
                <w:lang w:eastAsia="en-GB"/>
              </w:rPr>
              <w:t>1.293</w:t>
            </w:r>
          </w:p>
        </w:tc>
        <w:tc>
          <w:tcPr>
            <w:tcW w:w="0" w:type="auto"/>
            <w:shd w:val="clear" w:color="auto" w:fill="auto"/>
          </w:tcPr>
          <w:p w14:paraId="54D83CE9" w14:textId="77777777" w:rsidR="008B4DF8" w:rsidRPr="00C1603D" w:rsidRDefault="008B4DF8" w:rsidP="004319B3">
            <w:pPr>
              <w:pStyle w:val="72TabletextTablesTableFigureBoxstyles"/>
              <w:rPr>
                <w:lang w:eastAsia="en-GB"/>
              </w:rPr>
            </w:pPr>
            <w:r w:rsidRPr="00C1603D">
              <w:rPr>
                <w:lang w:eastAsia="en-GB"/>
              </w:rPr>
              <w:t>7</w:t>
            </w:r>
          </w:p>
        </w:tc>
        <w:tc>
          <w:tcPr>
            <w:tcW w:w="0" w:type="auto"/>
            <w:shd w:val="clear" w:color="auto" w:fill="auto"/>
          </w:tcPr>
          <w:p w14:paraId="06A5A0AC" w14:textId="6BED2CBA" w:rsidR="008B4DF8" w:rsidRPr="00C1603D" w:rsidRDefault="008B4DF8" w:rsidP="004319B3">
            <w:pPr>
              <w:pStyle w:val="72TabletextTablesTableFigureBoxstyles"/>
              <w:rPr>
                <w:lang w:eastAsia="en-GB"/>
              </w:rPr>
            </w:pPr>
            <w:r w:rsidRPr="00C1603D">
              <w:rPr>
                <w:lang w:eastAsia="en-GB"/>
              </w:rPr>
              <w:t>1.344 (0.856</w:t>
            </w:r>
            <w:r w:rsidR="00C2076E" w:rsidRPr="00C1603D">
              <w:rPr>
                <w:lang w:eastAsia="en-GB"/>
              </w:rPr>
              <w:t>–</w:t>
            </w:r>
            <w:r w:rsidRPr="00C1603D">
              <w:rPr>
                <w:lang w:eastAsia="en-GB"/>
              </w:rPr>
              <w:t>1.813)</w:t>
            </w:r>
          </w:p>
        </w:tc>
      </w:tr>
      <w:tr w:rsidR="000A5CC9" w:rsidRPr="00C1603D" w14:paraId="7774E151" w14:textId="77777777" w:rsidTr="004319B3">
        <w:trPr>
          <w:cantSplit/>
        </w:trPr>
        <w:tc>
          <w:tcPr>
            <w:tcW w:w="0" w:type="auto"/>
            <w:shd w:val="clear" w:color="auto" w:fill="auto"/>
          </w:tcPr>
          <w:p w14:paraId="0D6BE29F" w14:textId="77777777" w:rsidR="000A5CC9" w:rsidRPr="00C1603D" w:rsidRDefault="000A5CC9" w:rsidP="000A5CC9">
            <w:pPr>
              <w:pStyle w:val="72TabletextTablesTableFigureBoxstyles"/>
              <w:rPr>
                <w:lang w:eastAsia="en-GB"/>
              </w:rPr>
            </w:pPr>
            <w:r w:rsidRPr="00C1603D">
              <w:rPr>
                <w:lang w:eastAsia="en-GB"/>
              </w:rPr>
              <w:t>Epilepsy</w:t>
            </w:r>
          </w:p>
        </w:tc>
        <w:tc>
          <w:tcPr>
            <w:tcW w:w="0" w:type="auto"/>
            <w:shd w:val="clear" w:color="auto" w:fill="auto"/>
          </w:tcPr>
          <w:p w14:paraId="7EE199D1" w14:textId="05B6E52B"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2FD6DFA3" w14:textId="277E4B22"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614E3BAA" w14:textId="4EF037C4"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1153E597" w14:textId="77777777" w:rsidR="000A5CC9" w:rsidRPr="00C1603D" w:rsidRDefault="000A5CC9" w:rsidP="000A5CC9">
            <w:pPr>
              <w:pStyle w:val="72TabletextTablesTableFigureBoxstyles"/>
              <w:rPr>
                <w:lang w:eastAsia="en-GB"/>
              </w:rPr>
            </w:pPr>
            <w:r w:rsidRPr="00C1603D">
              <w:rPr>
                <w:lang w:eastAsia="en-GB"/>
              </w:rPr>
              <w:t>0.258</w:t>
            </w:r>
          </w:p>
        </w:tc>
        <w:tc>
          <w:tcPr>
            <w:tcW w:w="0" w:type="auto"/>
            <w:shd w:val="clear" w:color="auto" w:fill="auto"/>
          </w:tcPr>
          <w:p w14:paraId="5A9B9CDB" w14:textId="77777777" w:rsidR="000A5CC9" w:rsidRPr="00C1603D" w:rsidRDefault="000A5CC9" w:rsidP="000A5CC9">
            <w:pPr>
              <w:pStyle w:val="72TabletextTablesTableFigureBoxstyles"/>
              <w:rPr>
                <w:lang w:eastAsia="en-GB"/>
              </w:rPr>
            </w:pPr>
            <w:r w:rsidRPr="00C1603D">
              <w:rPr>
                <w:lang w:eastAsia="en-GB"/>
              </w:rPr>
              <w:t>17</w:t>
            </w:r>
          </w:p>
        </w:tc>
        <w:tc>
          <w:tcPr>
            <w:tcW w:w="0" w:type="auto"/>
            <w:shd w:val="clear" w:color="auto" w:fill="auto"/>
          </w:tcPr>
          <w:p w14:paraId="1EDD76F2" w14:textId="0FC5A67A" w:rsidR="000A5CC9" w:rsidRPr="00C1603D" w:rsidRDefault="000A5CC9" w:rsidP="000A5CC9">
            <w:pPr>
              <w:pStyle w:val="72TabletextTablesTableFigureBoxstyles"/>
              <w:rPr>
                <w:lang w:eastAsia="en-GB"/>
              </w:rPr>
            </w:pPr>
            <w:r w:rsidRPr="00C1603D">
              <w:rPr>
                <w:lang w:eastAsia="en-GB"/>
              </w:rPr>
              <w:t>0.252 (0.232–0.268)</w:t>
            </w:r>
          </w:p>
        </w:tc>
        <w:tc>
          <w:tcPr>
            <w:tcW w:w="0" w:type="auto"/>
            <w:shd w:val="clear" w:color="auto" w:fill="auto"/>
          </w:tcPr>
          <w:p w14:paraId="3128DF48" w14:textId="77777777" w:rsidR="000A5CC9" w:rsidRPr="00C1603D" w:rsidRDefault="000A5CC9" w:rsidP="000A5CC9">
            <w:pPr>
              <w:pStyle w:val="72TabletextTablesTableFigureBoxstyles"/>
              <w:rPr>
                <w:lang w:eastAsia="en-GB"/>
              </w:rPr>
            </w:pPr>
            <w:r w:rsidRPr="00C1603D">
              <w:rPr>
                <w:lang w:eastAsia="en-GB"/>
              </w:rPr>
              <w:t>0.259</w:t>
            </w:r>
          </w:p>
        </w:tc>
        <w:tc>
          <w:tcPr>
            <w:tcW w:w="0" w:type="auto"/>
            <w:shd w:val="clear" w:color="auto" w:fill="auto"/>
          </w:tcPr>
          <w:p w14:paraId="080A9DEF" w14:textId="77777777" w:rsidR="000A5CC9" w:rsidRPr="00C1603D" w:rsidRDefault="000A5CC9" w:rsidP="000A5CC9">
            <w:pPr>
              <w:pStyle w:val="72TabletextTablesTableFigureBoxstyles"/>
              <w:rPr>
                <w:lang w:eastAsia="en-GB"/>
              </w:rPr>
            </w:pPr>
            <w:r w:rsidRPr="00C1603D">
              <w:rPr>
                <w:lang w:eastAsia="en-GB"/>
              </w:rPr>
              <w:t>17</w:t>
            </w:r>
          </w:p>
        </w:tc>
        <w:tc>
          <w:tcPr>
            <w:tcW w:w="0" w:type="auto"/>
            <w:shd w:val="clear" w:color="auto" w:fill="auto"/>
          </w:tcPr>
          <w:p w14:paraId="1A5985F6" w14:textId="3CF3B17F" w:rsidR="000A5CC9" w:rsidRPr="00C1603D" w:rsidRDefault="000A5CC9" w:rsidP="000A5CC9">
            <w:pPr>
              <w:pStyle w:val="72TabletextTablesTableFigureBoxstyles"/>
              <w:rPr>
                <w:lang w:eastAsia="en-GB"/>
              </w:rPr>
            </w:pPr>
            <w:r w:rsidRPr="00C1603D">
              <w:rPr>
                <w:lang w:eastAsia="en-GB"/>
              </w:rPr>
              <w:t>0.290 (0.147–0.384)</w:t>
            </w:r>
          </w:p>
        </w:tc>
      </w:tr>
      <w:tr w:rsidR="00A76E5D" w:rsidRPr="00C1603D" w14:paraId="48E0DD1F" w14:textId="77777777" w:rsidTr="004319B3">
        <w:trPr>
          <w:cantSplit/>
        </w:trPr>
        <w:tc>
          <w:tcPr>
            <w:tcW w:w="0" w:type="auto"/>
            <w:shd w:val="clear" w:color="auto" w:fill="auto"/>
          </w:tcPr>
          <w:p w14:paraId="59F4CE0B" w14:textId="77777777" w:rsidR="00A76E5D" w:rsidRPr="00C1603D" w:rsidRDefault="00A76E5D" w:rsidP="00A76E5D">
            <w:pPr>
              <w:pStyle w:val="72TabletextTablesTableFigureBoxstyles"/>
              <w:rPr>
                <w:lang w:eastAsia="en-GB"/>
              </w:rPr>
            </w:pPr>
            <w:r w:rsidRPr="00C1603D">
              <w:rPr>
                <w:lang w:eastAsia="en-GB"/>
              </w:rPr>
              <w:t>Failure to thrive</w:t>
            </w:r>
          </w:p>
        </w:tc>
        <w:tc>
          <w:tcPr>
            <w:tcW w:w="0" w:type="auto"/>
            <w:shd w:val="clear" w:color="auto" w:fill="auto"/>
          </w:tcPr>
          <w:p w14:paraId="1F91724F" w14:textId="77777777" w:rsidR="00A76E5D" w:rsidRPr="00C1603D" w:rsidRDefault="00A76E5D" w:rsidP="00A76E5D">
            <w:pPr>
              <w:pStyle w:val="72TabletextTablesTableFigureBoxstyles"/>
              <w:rPr>
                <w:lang w:eastAsia="en-GB"/>
              </w:rPr>
            </w:pPr>
            <w:r w:rsidRPr="00C1603D">
              <w:rPr>
                <w:lang w:eastAsia="en-GB"/>
              </w:rPr>
              <w:t>1.382</w:t>
            </w:r>
          </w:p>
        </w:tc>
        <w:tc>
          <w:tcPr>
            <w:tcW w:w="0" w:type="auto"/>
            <w:shd w:val="clear" w:color="auto" w:fill="auto"/>
          </w:tcPr>
          <w:p w14:paraId="29DB1346" w14:textId="77777777" w:rsidR="00A76E5D" w:rsidRPr="00C1603D" w:rsidRDefault="00A76E5D" w:rsidP="00A76E5D">
            <w:pPr>
              <w:pStyle w:val="72TabletextTablesTableFigureBoxstyles"/>
              <w:rPr>
                <w:lang w:eastAsia="en-GB"/>
              </w:rPr>
            </w:pPr>
            <w:r w:rsidRPr="00C1603D">
              <w:rPr>
                <w:lang w:eastAsia="en-GB"/>
              </w:rPr>
              <w:t>11</w:t>
            </w:r>
          </w:p>
        </w:tc>
        <w:tc>
          <w:tcPr>
            <w:tcW w:w="0" w:type="auto"/>
            <w:shd w:val="clear" w:color="auto" w:fill="auto"/>
          </w:tcPr>
          <w:p w14:paraId="547F1E59" w14:textId="1722C890" w:rsidR="00A76E5D" w:rsidRPr="00C1603D" w:rsidRDefault="00A76E5D" w:rsidP="00A76E5D">
            <w:pPr>
              <w:pStyle w:val="72TabletextTablesTableFigureBoxstyles"/>
              <w:rPr>
                <w:lang w:eastAsia="en-GB"/>
              </w:rPr>
            </w:pPr>
            <w:r w:rsidRPr="00C1603D">
              <w:rPr>
                <w:lang w:eastAsia="en-GB"/>
              </w:rPr>
              <w:t>1.398 (1.215–1.540)</w:t>
            </w:r>
          </w:p>
        </w:tc>
        <w:tc>
          <w:tcPr>
            <w:tcW w:w="0" w:type="auto"/>
            <w:shd w:val="clear" w:color="auto" w:fill="auto"/>
          </w:tcPr>
          <w:p w14:paraId="2BBC25D5" w14:textId="0B5E2189"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6C042CA0" w14:textId="6E88E20F"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7730E491" w14:textId="24DF6126"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29BD84FD" w14:textId="69908CA5"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66A3B08E" w14:textId="1B90E568"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30B91ED7" w14:textId="20B1A005" w:rsidR="00A76E5D" w:rsidRPr="00C1603D" w:rsidRDefault="00A76E5D" w:rsidP="00A76E5D">
            <w:pPr>
              <w:pStyle w:val="72TabletextTablesTableFigureBoxstyles"/>
              <w:rPr>
                <w:lang w:eastAsia="en-GB"/>
              </w:rPr>
            </w:pPr>
            <w:r w:rsidRPr="00C1603D">
              <w:rPr>
                <w:lang w:eastAsia="en-GB"/>
              </w:rPr>
              <w:t>NS</w:t>
            </w:r>
          </w:p>
        </w:tc>
      </w:tr>
      <w:tr w:rsidR="004319B3" w:rsidRPr="00C1603D" w14:paraId="37AE2D8B" w14:textId="77777777" w:rsidTr="004319B3">
        <w:trPr>
          <w:cantSplit/>
        </w:trPr>
        <w:tc>
          <w:tcPr>
            <w:tcW w:w="0" w:type="auto"/>
            <w:shd w:val="clear" w:color="auto" w:fill="auto"/>
          </w:tcPr>
          <w:p w14:paraId="758FBEE2" w14:textId="77777777" w:rsidR="008B4DF8" w:rsidRPr="00C1603D" w:rsidRDefault="008B4DF8" w:rsidP="004319B3">
            <w:pPr>
              <w:pStyle w:val="72TabletextTablesTableFigureBoxstyles"/>
              <w:rPr>
                <w:lang w:eastAsia="en-GB"/>
              </w:rPr>
            </w:pPr>
            <w:r w:rsidRPr="00C1603D">
              <w:rPr>
                <w:lang w:eastAsia="en-GB"/>
              </w:rPr>
              <w:t>Fatigue</w:t>
            </w:r>
          </w:p>
        </w:tc>
        <w:tc>
          <w:tcPr>
            <w:tcW w:w="0" w:type="auto"/>
            <w:shd w:val="clear" w:color="auto" w:fill="auto"/>
          </w:tcPr>
          <w:p w14:paraId="269ACF07" w14:textId="77777777" w:rsidR="008B4DF8" w:rsidRPr="00C1603D" w:rsidRDefault="008B4DF8" w:rsidP="004319B3">
            <w:pPr>
              <w:pStyle w:val="72TabletextTablesTableFigureBoxstyles"/>
              <w:rPr>
                <w:lang w:eastAsia="en-GB"/>
              </w:rPr>
            </w:pPr>
            <w:r w:rsidRPr="00C1603D">
              <w:rPr>
                <w:lang w:eastAsia="en-GB"/>
              </w:rPr>
              <w:t>0.613</w:t>
            </w:r>
          </w:p>
        </w:tc>
        <w:tc>
          <w:tcPr>
            <w:tcW w:w="0" w:type="auto"/>
            <w:shd w:val="clear" w:color="auto" w:fill="auto"/>
          </w:tcPr>
          <w:p w14:paraId="1C04FAD0" w14:textId="77777777" w:rsidR="008B4DF8" w:rsidRPr="00C1603D" w:rsidRDefault="008B4DF8" w:rsidP="004319B3">
            <w:pPr>
              <w:pStyle w:val="72TabletextTablesTableFigureBoxstyles"/>
              <w:rPr>
                <w:lang w:eastAsia="en-GB"/>
              </w:rPr>
            </w:pPr>
            <w:r w:rsidRPr="00C1603D">
              <w:rPr>
                <w:lang w:eastAsia="en-GB"/>
              </w:rPr>
              <w:t>16</w:t>
            </w:r>
          </w:p>
        </w:tc>
        <w:tc>
          <w:tcPr>
            <w:tcW w:w="0" w:type="auto"/>
            <w:shd w:val="clear" w:color="auto" w:fill="auto"/>
          </w:tcPr>
          <w:p w14:paraId="0616CB0B" w14:textId="1EAC9836" w:rsidR="008B4DF8" w:rsidRPr="00C1603D" w:rsidRDefault="008B4DF8" w:rsidP="004319B3">
            <w:pPr>
              <w:pStyle w:val="72TabletextTablesTableFigureBoxstyles"/>
              <w:rPr>
                <w:lang w:eastAsia="en-GB"/>
              </w:rPr>
            </w:pPr>
            <w:r w:rsidRPr="00C1603D">
              <w:rPr>
                <w:lang w:eastAsia="en-GB"/>
              </w:rPr>
              <w:t>0.605 (0.500</w:t>
            </w:r>
            <w:r w:rsidR="009E5C1E" w:rsidRPr="00C1603D">
              <w:rPr>
                <w:lang w:eastAsia="en-GB"/>
              </w:rPr>
              <w:t>–</w:t>
            </w:r>
            <w:r w:rsidRPr="00C1603D">
              <w:rPr>
                <w:lang w:eastAsia="en-GB"/>
              </w:rPr>
              <w:t>0.698)</w:t>
            </w:r>
          </w:p>
        </w:tc>
        <w:tc>
          <w:tcPr>
            <w:tcW w:w="0" w:type="auto"/>
            <w:shd w:val="clear" w:color="auto" w:fill="auto"/>
          </w:tcPr>
          <w:p w14:paraId="3378116E" w14:textId="77777777" w:rsidR="008B4DF8" w:rsidRPr="00C1603D" w:rsidRDefault="008B4DF8" w:rsidP="004319B3">
            <w:pPr>
              <w:pStyle w:val="72TabletextTablesTableFigureBoxstyles"/>
              <w:rPr>
                <w:lang w:eastAsia="en-GB"/>
              </w:rPr>
            </w:pPr>
            <w:r w:rsidRPr="00C1603D">
              <w:rPr>
                <w:lang w:eastAsia="en-GB"/>
              </w:rPr>
              <w:t>0.153</w:t>
            </w:r>
          </w:p>
        </w:tc>
        <w:tc>
          <w:tcPr>
            <w:tcW w:w="0" w:type="auto"/>
            <w:shd w:val="clear" w:color="auto" w:fill="auto"/>
          </w:tcPr>
          <w:p w14:paraId="204177CA" w14:textId="77777777" w:rsidR="008B4DF8" w:rsidRPr="00C1603D" w:rsidRDefault="008B4DF8" w:rsidP="004319B3">
            <w:pPr>
              <w:pStyle w:val="72TabletextTablesTableFigureBoxstyles"/>
              <w:rPr>
                <w:lang w:eastAsia="en-GB"/>
              </w:rPr>
            </w:pPr>
            <w:r w:rsidRPr="00C1603D">
              <w:rPr>
                <w:lang w:eastAsia="en-GB"/>
              </w:rPr>
              <w:t>22</w:t>
            </w:r>
          </w:p>
        </w:tc>
        <w:tc>
          <w:tcPr>
            <w:tcW w:w="0" w:type="auto"/>
            <w:shd w:val="clear" w:color="auto" w:fill="auto"/>
          </w:tcPr>
          <w:p w14:paraId="0A9D3729" w14:textId="76DCEF62" w:rsidR="008B4DF8" w:rsidRPr="00C1603D" w:rsidRDefault="008B4DF8" w:rsidP="004319B3">
            <w:pPr>
              <w:pStyle w:val="72TabletextTablesTableFigureBoxstyles"/>
              <w:rPr>
                <w:lang w:eastAsia="en-GB"/>
              </w:rPr>
            </w:pPr>
            <w:r w:rsidRPr="00C1603D">
              <w:rPr>
                <w:lang w:eastAsia="en-GB"/>
              </w:rPr>
              <w:t>0.151 (0.127</w:t>
            </w:r>
            <w:r w:rsidR="00C2076E" w:rsidRPr="00C1603D">
              <w:rPr>
                <w:lang w:eastAsia="en-GB"/>
              </w:rPr>
              <w:t>–</w:t>
            </w:r>
            <w:r w:rsidRPr="00C1603D">
              <w:rPr>
                <w:lang w:eastAsia="en-GB"/>
              </w:rPr>
              <w:t>0.178)</w:t>
            </w:r>
          </w:p>
        </w:tc>
        <w:tc>
          <w:tcPr>
            <w:tcW w:w="0" w:type="auto"/>
            <w:shd w:val="clear" w:color="auto" w:fill="auto"/>
          </w:tcPr>
          <w:p w14:paraId="4C59CAE7" w14:textId="77777777" w:rsidR="008B4DF8" w:rsidRPr="00C1603D" w:rsidRDefault="008B4DF8" w:rsidP="004319B3">
            <w:pPr>
              <w:pStyle w:val="72TabletextTablesTableFigureBoxstyles"/>
              <w:rPr>
                <w:lang w:eastAsia="en-GB"/>
              </w:rPr>
            </w:pPr>
            <w:r w:rsidRPr="00C1603D">
              <w:rPr>
                <w:lang w:eastAsia="en-GB"/>
              </w:rPr>
              <w:t>0.185</w:t>
            </w:r>
          </w:p>
        </w:tc>
        <w:tc>
          <w:tcPr>
            <w:tcW w:w="0" w:type="auto"/>
            <w:shd w:val="clear" w:color="auto" w:fill="auto"/>
          </w:tcPr>
          <w:p w14:paraId="2BC9E3CD" w14:textId="77777777" w:rsidR="008B4DF8" w:rsidRPr="00C1603D" w:rsidRDefault="008B4DF8" w:rsidP="004319B3">
            <w:pPr>
              <w:pStyle w:val="72TabletextTablesTableFigureBoxstyles"/>
              <w:rPr>
                <w:lang w:eastAsia="en-GB"/>
              </w:rPr>
            </w:pPr>
            <w:r w:rsidRPr="00C1603D">
              <w:rPr>
                <w:lang w:eastAsia="en-GB"/>
              </w:rPr>
              <w:t>19</w:t>
            </w:r>
          </w:p>
        </w:tc>
        <w:tc>
          <w:tcPr>
            <w:tcW w:w="0" w:type="auto"/>
            <w:shd w:val="clear" w:color="auto" w:fill="auto"/>
          </w:tcPr>
          <w:p w14:paraId="7B34E7D1" w14:textId="7387D498" w:rsidR="008B4DF8" w:rsidRPr="00C1603D" w:rsidRDefault="008B4DF8" w:rsidP="004319B3">
            <w:pPr>
              <w:pStyle w:val="72TabletextTablesTableFigureBoxstyles"/>
              <w:rPr>
                <w:lang w:eastAsia="en-GB"/>
              </w:rPr>
            </w:pPr>
            <w:r w:rsidRPr="00C1603D">
              <w:rPr>
                <w:lang w:eastAsia="en-GB"/>
              </w:rPr>
              <w:t>0.186 (0.136</w:t>
            </w:r>
            <w:r w:rsidR="00C2076E" w:rsidRPr="00C1603D">
              <w:rPr>
                <w:lang w:eastAsia="en-GB"/>
              </w:rPr>
              <w:t>–</w:t>
            </w:r>
            <w:r w:rsidRPr="00C1603D">
              <w:rPr>
                <w:lang w:eastAsia="en-GB"/>
              </w:rPr>
              <w:t>0.233)</w:t>
            </w:r>
          </w:p>
        </w:tc>
      </w:tr>
      <w:tr w:rsidR="004319B3" w:rsidRPr="00C1603D" w14:paraId="2E6A8D18" w14:textId="77777777" w:rsidTr="004319B3">
        <w:trPr>
          <w:cantSplit/>
        </w:trPr>
        <w:tc>
          <w:tcPr>
            <w:tcW w:w="0" w:type="auto"/>
            <w:shd w:val="clear" w:color="auto" w:fill="auto"/>
          </w:tcPr>
          <w:p w14:paraId="301607A3" w14:textId="77777777" w:rsidR="008B4DF8" w:rsidRPr="00C1603D" w:rsidRDefault="008B4DF8" w:rsidP="004319B3">
            <w:pPr>
              <w:pStyle w:val="72TabletextTablesTableFigureBoxstyles"/>
              <w:rPr>
                <w:lang w:eastAsia="en-GB"/>
              </w:rPr>
            </w:pPr>
            <w:r w:rsidRPr="00C1603D">
              <w:rPr>
                <w:lang w:eastAsia="en-GB"/>
              </w:rPr>
              <w:t>Fatigue (count 1 year)</w:t>
            </w:r>
          </w:p>
        </w:tc>
        <w:tc>
          <w:tcPr>
            <w:tcW w:w="0" w:type="auto"/>
            <w:shd w:val="clear" w:color="auto" w:fill="auto"/>
          </w:tcPr>
          <w:p w14:paraId="582FBF65" w14:textId="77777777" w:rsidR="008B4DF8" w:rsidRPr="00C1603D" w:rsidRDefault="008B4DF8" w:rsidP="004319B3">
            <w:pPr>
              <w:pStyle w:val="72TabletextTablesTableFigureBoxstyles"/>
              <w:rPr>
                <w:lang w:eastAsia="en-GB"/>
              </w:rPr>
            </w:pPr>
            <w:r w:rsidRPr="00C1603D">
              <w:rPr>
                <w:lang w:eastAsia="en-GB"/>
              </w:rPr>
              <w:t>1.111</w:t>
            </w:r>
          </w:p>
        </w:tc>
        <w:tc>
          <w:tcPr>
            <w:tcW w:w="0" w:type="auto"/>
            <w:shd w:val="clear" w:color="auto" w:fill="auto"/>
          </w:tcPr>
          <w:p w14:paraId="3ACE74F6" w14:textId="77777777" w:rsidR="008B4DF8" w:rsidRPr="00C1603D" w:rsidRDefault="008B4DF8" w:rsidP="004319B3">
            <w:pPr>
              <w:pStyle w:val="72TabletextTablesTableFigureBoxstyles"/>
              <w:rPr>
                <w:lang w:eastAsia="en-GB"/>
              </w:rPr>
            </w:pPr>
            <w:r w:rsidRPr="00C1603D">
              <w:rPr>
                <w:lang w:eastAsia="en-GB"/>
              </w:rPr>
              <w:t>14</w:t>
            </w:r>
          </w:p>
        </w:tc>
        <w:tc>
          <w:tcPr>
            <w:tcW w:w="0" w:type="auto"/>
            <w:shd w:val="clear" w:color="auto" w:fill="auto"/>
          </w:tcPr>
          <w:p w14:paraId="1D69D118" w14:textId="726CF686" w:rsidR="008B4DF8" w:rsidRPr="00C1603D" w:rsidRDefault="008B4DF8" w:rsidP="004319B3">
            <w:pPr>
              <w:pStyle w:val="72TabletextTablesTableFigureBoxstyles"/>
              <w:rPr>
                <w:lang w:eastAsia="en-GB"/>
              </w:rPr>
            </w:pPr>
            <w:r w:rsidRPr="00C1603D">
              <w:rPr>
                <w:lang w:eastAsia="en-GB"/>
              </w:rPr>
              <w:t>1.090 (0.967</w:t>
            </w:r>
            <w:r w:rsidR="009E5C1E" w:rsidRPr="00C1603D">
              <w:rPr>
                <w:lang w:eastAsia="en-GB"/>
              </w:rPr>
              <w:t>–</w:t>
            </w:r>
            <w:r w:rsidRPr="00C1603D">
              <w:rPr>
                <w:lang w:eastAsia="en-GB"/>
              </w:rPr>
              <w:t>1.233)</w:t>
            </w:r>
          </w:p>
        </w:tc>
        <w:tc>
          <w:tcPr>
            <w:tcW w:w="0" w:type="auto"/>
            <w:shd w:val="clear" w:color="auto" w:fill="auto"/>
          </w:tcPr>
          <w:p w14:paraId="7F874362" w14:textId="77777777" w:rsidR="008B4DF8" w:rsidRPr="00C1603D" w:rsidRDefault="008B4DF8" w:rsidP="004319B3">
            <w:pPr>
              <w:pStyle w:val="72TabletextTablesTableFigureBoxstyles"/>
              <w:rPr>
                <w:lang w:eastAsia="en-GB"/>
              </w:rPr>
            </w:pPr>
            <w:r w:rsidRPr="00C1603D">
              <w:rPr>
                <w:lang w:eastAsia="en-GB"/>
              </w:rPr>
              <w:t>0.545</w:t>
            </w:r>
          </w:p>
        </w:tc>
        <w:tc>
          <w:tcPr>
            <w:tcW w:w="0" w:type="auto"/>
            <w:shd w:val="clear" w:color="auto" w:fill="auto"/>
          </w:tcPr>
          <w:p w14:paraId="0330F340" w14:textId="77777777" w:rsidR="008B4DF8" w:rsidRPr="00C1603D" w:rsidRDefault="008B4DF8" w:rsidP="004319B3">
            <w:pPr>
              <w:pStyle w:val="72TabletextTablesTableFigureBoxstyles"/>
              <w:rPr>
                <w:lang w:eastAsia="en-GB"/>
              </w:rPr>
            </w:pPr>
            <w:r w:rsidRPr="00C1603D">
              <w:rPr>
                <w:lang w:eastAsia="en-GB"/>
              </w:rPr>
              <w:t>14</w:t>
            </w:r>
          </w:p>
        </w:tc>
        <w:tc>
          <w:tcPr>
            <w:tcW w:w="0" w:type="auto"/>
            <w:shd w:val="clear" w:color="auto" w:fill="auto"/>
          </w:tcPr>
          <w:p w14:paraId="07F0A06A" w14:textId="5001541A" w:rsidR="008B4DF8" w:rsidRPr="00C1603D" w:rsidRDefault="008B4DF8" w:rsidP="004319B3">
            <w:pPr>
              <w:pStyle w:val="72TabletextTablesTableFigureBoxstyles"/>
              <w:rPr>
                <w:lang w:eastAsia="en-GB"/>
              </w:rPr>
            </w:pPr>
            <w:r w:rsidRPr="00C1603D">
              <w:rPr>
                <w:lang w:eastAsia="en-GB"/>
              </w:rPr>
              <w:t>0.544 (0.518</w:t>
            </w:r>
            <w:r w:rsidR="00C2076E" w:rsidRPr="00C1603D">
              <w:rPr>
                <w:lang w:eastAsia="en-GB"/>
              </w:rPr>
              <w:t>–</w:t>
            </w:r>
            <w:r w:rsidRPr="00C1603D">
              <w:rPr>
                <w:lang w:eastAsia="en-GB"/>
              </w:rPr>
              <w:t>0.571)</w:t>
            </w:r>
          </w:p>
        </w:tc>
        <w:tc>
          <w:tcPr>
            <w:tcW w:w="0" w:type="auto"/>
            <w:shd w:val="clear" w:color="auto" w:fill="auto"/>
          </w:tcPr>
          <w:p w14:paraId="3546C4E6" w14:textId="77777777" w:rsidR="008B4DF8" w:rsidRPr="00C1603D" w:rsidRDefault="008B4DF8" w:rsidP="004319B3">
            <w:pPr>
              <w:pStyle w:val="72TabletextTablesTableFigureBoxstyles"/>
              <w:rPr>
                <w:lang w:eastAsia="en-GB"/>
              </w:rPr>
            </w:pPr>
            <w:r w:rsidRPr="00C1603D">
              <w:rPr>
                <w:lang w:eastAsia="en-GB"/>
              </w:rPr>
              <w:t>0.663</w:t>
            </w:r>
          </w:p>
        </w:tc>
        <w:tc>
          <w:tcPr>
            <w:tcW w:w="0" w:type="auto"/>
            <w:shd w:val="clear" w:color="auto" w:fill="auto"/>
          </w:tcPr>
          <w:p w14:paraId="76FC7379" w14:textId="77777777" w:rsidR="008B4DF8" w:rsidRPr="00C1603D" w:rsidRDefault="008B4DF8" w:rsidP="004319B3">
            <w:pPr>
              <w:pStyle w:val="72TabletextTablesTableFigureBoxstyles"/>
              <w:rPr>
                <w:lang w:eastAsia="en-GB"/>
              </w:rPr>
            </w:pPr>
            <w:r w:rsidRPr="00C1603D">
              <w:rPr>
                <w:lang w:eastAsia="en-GB"/>
              </w:rPr>
              <w:t>12</w:t>
            </w:r>
          </w:p>
        </w:tc>
        <w:tc>
          <w:tcPr>
            <w:tcW w:w="0" w:type="auto"/>
            <w:shd w:val="clear" w:color="auto" w:fill="auto"/>
          </w:tcPr>
          <w:p w14:paraId="4DE6E84C" w14:textId="71AF777C" w:rsidR="008B4DF8" w:rsidRPr="00C1603D" w:rsidRDefault="008B4DF8" w:rsidP="004319B3">
            <w:pPr>
              <w:pStyle w:val="72TabletextTablesTableFigureBoxstyles"/>
              <w:rPr>
                <w:lang w:eastAsia="en-GB"/>
              </w:rPr>
            </w:pPr>
            <w:r w:rsidRPr="00C1603D">
              <w:rPr>
                <w:lang w:eastAsia="en-GB"/>
              </w:rPr>
              <w:t>0.652 (0.592</w:t>
            </w:r>
            <w:r w:rsidR="00C2076E" w:rsidRPr="00C1603D">
              <w:rPr>
                <w:lang w:eastAsia="en-GB"/>
              </w:rPr>
              <w:t>–</w:t>
            </w:r>
            <w:r w:rsidRPr="00C1603D">
              <w:rPr>
                <w:lang w:eastAsia="en-GB"/>
              </w:rPr>
              <w:t>0.714)</w:t>
            </w:r>
          </w:p>
        </w:tc>
      </w:tr>
      <w:tr w:rsidR="004319B3" w:rsidRPr="00C1603D" w14:paraId="10AE5C56" w14:textId="77777777" w:rsidTr="004319B3">
        <w:trPr>
          <w:cantSplit/>
        </w:trPr>
        <w:tc>
          <w:tcPr>
            <w:tcW w:w="0" w:type="auto"/>
            <w:shd w:val="clear" w:color="auto" w:fill="auto"/>
          </w:tcPr>
          <w:p w14:paraId="48B39142" w14:textId="423DE582" w:rsidR="008B4DF8" w:rsidRPr="00C1603D" w:rsidRDefault="008B4DF8" w:rsidP="004319B3">
            <w:pPr>
              <w:pStyle w:val="72TabletextTablesTableFigureBoxstyles"/>
              <w:rPr>
                <w:lang w:eastAsia="en-GB"/>
              </w:rPr>
            </w:pPr>
            <w:r w:rsidRPr="00C1603D">
              <w:rPr>
                <w:lang w:eastAsia="en-GB"/>
              </w:rPr>
              <w:t>First</w:t>
            </w:r>
            <w:r w:rsidR="00AF5960" w:rsidRPr="00C1603D">
              <w:rPr>
                <w:lang w:eastAsia="en-GB"/>
              </w:rPr>
              <w:t>-</w:t>
            </w:r>
            <w:r w:rsidRPr="00C1603D">
              <w:rPr>
                <w:lang w:eastAsia="en-GB"/>
              </w:rPr>
              <w:t>degree relative</w:t>
            </w:r>
            <w:r w:rsidR="00AF5960" w:rsidRPr="00C1603D">
              <w:rPr>
                <w:lang w:eastAsia="en-GB"/>
              </w:rPr>
              <w:t xml:space="preserve"> with CD</w:t>
            </w:r>
          </w:p>
        </w:tc>
        <w:tc>
          <w:tcPr>
            <w:tcW w:w="0" w:type="auto"/>
            <w:shd w:val="clear" w:color="auto" w:fill="auto"/>
          </w:tcPr>
          <w:p w14:paraId="2BD86C04" w14:textId="77777777" w:rsidR="008B4DF8" w:rsidRPr="00C1603D" w:rsidRDefault="008B4DF8" w:rsidP="004319B3">
            <w:pPr>
              <w:pStyle w:val="72TabletextTablesTableFigureBoxstyles"/>
              <w:rPr>
                <w:lang w:eastAsia="en-GB"/>
              </w:rPr>
            </w:pPr>
            <w:r w:rsidRPr="00C1603D">
              <w:rPr>
                <w:lang w:eastAsia="en-GB"/>
              </w:rPr>
              <w:t>3.1</w:t>
            </w:r>
          </w:p>
        </w:tc>
        <w:tc>
          <w:tcPr>
            <w:tcW w:w="0" w:type="auto"/>
            <w:shd w:val="clear" w:color="auto" w:fill="auto"/>
          </w:tcPr>
          <w:p w14:paraId="28B4A388" w14:textId="77777777" w:rsidR="008B4DF8" w:rsidRPr="00C1603D" w:rsidRDefault="008B4DF8" w:rsidP="004319B3">
            <w:pPr>
              <w:pStyle w:val="72TabletextTablesTableFigureBoxstyles"/>
              <w:rPr>
                <w:lang w:eastAsia="en-GB"/>
              </w:rPr>
            </w:pPr>
            <w:r w:rsidRPr="00C1603D">
              <w:rPr>
                <w:lang w:eastAsia="en-GB"/>
              </w:rPr>
              <w:t>4</w:t>
            </w:r>
          </w:p>
        </w:tc>
        <w:tc>
          <w:tcPr>
            <w:tcW w:w="0" w:type="auto"/>
            <w:shd w:val="clear" w:color="auto" w:fill="auto"/>
          </w:tcPr>
          <w:p w14:paraId="34F25639" w14:textId="32225C2D" w:rsidR="008B4DF8" w:rsidRPr="00C1603D" w:rsidRDefault="008B4DF8" w:rsidP="004319B3">
            <w:pPr>
              <w:pStyle w:val="72TabletextTablesTableFigureBoxstyles"/>
              <w:rPr>
                <w:lang w:eastAsia="en-GB"/>
              </w:rPr>
            </w:pPr>
            <w:r w:rsidRPr="00C1603D">
              <w:rPr>
                <w:lang w:eastAsia="en-GB"/>
              </w:rPr>
              <w:t>3.109 (3.037</w:t>
            </w:r>
            <w:r w:rsidR="009E5C1E" w:rsidRPr="00C1603D">
              <w:rPr>
                <w:lang w:eastAsia="en-GB"/>
              </w:rPr>
              <w:t>–</w:t>
            </w:r>
            <w:r w:rsidRPr="00C1603D">
              <w:rPr>
                <w:lang w:eastAsia="en-GB"/>
              </w:rPr>
              <w:t>3.172)</w:t>
            </w:r>
          </w:p>
        </w:tc>
        <w:tc>
          <w:tcPr>
            <w:tcW w:w="0" w:type="auto"/>
            <w:shd w:val="clear" w:color="auto" w:fill="auto"/>
          </w:tcPr>
          <w:p w14:paraId="4FE29CED" w14:textId="77777777" w:rsidR="008B4DF8" w:rsidRPr="00C1603D" w:rsidRDefault="008B4DF8" w:rsidP="004319B3">
            <w:pPr>
              <w:pStyle w:val="72TabletextTablesTableFigureBoxstyles"/>
              <w:rPr>
                <w:lang w:eastAsia="en-GB"/>
              </w:rPr>
            </w:pPr>
            <w:r w:rsidRPr="00C1603D">
              <w:rPr>
                <w:lang w:eastAsia="en-GB"/>
              </w:rPr>
              <w:t>2.459</w:t>
            </w:r>
          </w:p>
        </w:tc>
        <w:tc>
          <w:tcPr>
            <w:tcW w:w="0" w:type="auto"/>
            <w:shd w:val="clear" w:color="auto" w:fill="auto"/>
          </w:tcPr>
          <w:p w14:paraId="43AB103B" w14:textId="77777777" w:rsidR="008B4DF8" w:rsidRPr="00C1603D" w:rsidRDefault="008B4DF8" w:rsidP="004319B3">
            <w:pPr>
              <w:pStyle w:val="72TabletextTablesTableFigureBoxstyles"/>
              <w:rPr>
                <w:lang w:eastAsia="en-GB"/>
              </w:rPr>
            </w:pPr>
            <w:r w:rsidRPr="00C1603D">
              <w:rPr>
                <w:lang w:eastAsia="en-GB"/>
              </w:rPr>
              <w:t>1</w:t>
            </w:r>
          </w:p>
        </w:tc>
        <w:tc>
          <w:tcPr>
            <w:tcW w:w="0" w:type="auto"/>
            <w:shd w:val="clear" w:color="auto" w:fill="auto"/>
          </w:tcPr>
          <w:p w14:paraId="149A8300" w14:textId="7ACA3481" w:rsidR="008B4DF8" w:rsidRPr="00C1603D" w:rsidRDefault="008B4DF8" w:rsidP="004319B3">
            <w:pPr>
              <w:pStyle w:val="72TabletextTablesTableFigureBoxstyles"/>
              <w:rPr>
                <w:lang w:eastAsia="en-GB"/>
              </w:rPr>
            </w:pPr>
            <w:r w:rsidRPr="00C1603D">
              <w:rPr>
                <w:lang w:eastAsia="en-GB"/>
              </w:rPr>
              <w:t>2.449 (2.378</w:t>
            </w:r>
            <w:r w:rsidR="00C2076E" w:rsidRPr="00C1603D">
              <w:rPr>
                <w:lang w:eastAsia="en-GB"/>
              </w:rPr>
              <w:t>–</w:t>
            </w:r>
            <w:r w:rsidRPr="00C1603D">
              <w:rPr>
                <w:lang w:eastAsia="en-GB"/>
              </w:rPr>
              <w:t>2.517)</w:t>
            </w:r>
          </w:p>
        </w:tc>
        <w:tc>
          <w:tcPr>
            <w:tcW w:w="0" w:type="auto"/>
            <w:shd w:val="clear" w:color="auto" w:fill="auto"/>
          </w:tcPr>
          <w:p w14:paraId="06A04921" w14:textId="77777777" w:rsidR="008B4DF8" w:rsidRPr="00C1603D" w:rsidRDefault="008B4DF8" w:rsidP="004319B3">
            <w:pPr>
              <w:pStyle w:val="72TabletextTablesTableFigureBoxstyles"/>
              <w:rPr>
                <w:lang w:eastAsia="en-GB"/>
              </w:rPr>
            </w:pPr>
            <w:r w:rsidRPr="00C1603D">
              <w:rPr>
                <w:lang w:eastAsia="en-GB"/>
              </w:rPr>
              <w:t>2.347</w:t>
            </w:r>
          </w:p>
        </w:tc>
        <w:tc>
          <w:tcPr>
            <w:tcW w:w="0" w:type="auto"/>
            <w:shd w:val="clear" w:color="auto" w:fill="auto"/>
          </w:tcPr>
          <w:p w14:paraId="4E223E52" w14:textId="77777777" w:rsidR="008B4DF8" w:rsidRPr="00C1603D" w:rsidRDefault="008B4DF8" w:rsidP="004319B3">
            <w:pPr>
              <w:pStyle w:val="72TabletextTablesTableFigureBoxstyles"/>
              <w:rPr>
                <w:lang w:eastAsia="en-GB"/>
              </w:rPr>
            </w:pPr>
            <w:r w:rsidRPr="00C1603D">
              <w:rPr>
                <w:lang w:eastAsia="en-GB"/>
              </w:rPr>
              <w:t>2</w:t>
            </w:r>
          </w:p>
        </w:tc>
        <w:tc>
          <w:tcPr>
            <w:tcW w:w="0" w:type="auto"/>
            <w:shd w:val="clear" w:color="auto" w:fill="auto"/>
          </w:tcPr>
          <w:p w14:paraId="12BDA6A2" w14:textId="1CFB59C4" w:rsidR="008B4DF8" w:rsidRPr="00C1603D" w:rsidRDefault="008B4DF8" w:rsidP="004319B3">
            <w:pPr>
              <w:pStyle w:val="72TabletextTablesTableFigureBoxstyles"/>
              <w:rPr>
                <w:lang w:eastAsia="en-GB"/>
              </w:rPr>
            </w:pPr>
            <w:r w:rsidRPr="00C1603D">
              <w:rPr>
                <w:lang w:eastAsia="en-GB"/>
              </w:rPr>
              <w:t>2.362 (2.282</w:t>
            </w:r>
            <w:r w:rsidR="00C2076E" w:rsidRPr="00C1603D">
              <w:rPr>
                <w:lang w:eastAsia="en-GB"/>
              </w:rPr>
              <w:t>–</w:t>
            </w:r>
            <w:r w:rsidRPr="00C1603D">
              <w:rPr>
                <w:lang w:eastAsia="en-GB"/>
              </w:rPr>
              <w:t>2.461)</w:t>
            </w:r>
          </w:p>
        </w:tc>
      </w:tr>
      <w:tr w:rsidR="00A76E5D" w:rsidRPr="00C1603D" w14:paraId="1102D335" w14:textId="77777777" w:rsidTr="004319B3">
        <w:trPr>
          <w:cantSplit/>
        </w:trPr>
        <w:tc>
          <w:tcPr>
            <w:tcW w:w="0" w:type="auto"/>
            <w:shd w:val="clear" w:color="auto" w:fill="auto"/>
          </w:tcPr>
          <w:p w14:paraId="0C190DA9" w14:textId="73D30DD6" w:rsidR="00A76E5D" w:rsidRPr="00C1603D" w:rsidRDefault="00A76E5D" w:rsidP="00A76E5D">
            <w:pPr>
              <w:pStyle w:val="72TabletextTablesTableFigureBoxstyles"/>
              <w:rPr>
                <w:lang w:eastAsia="en-GB"/>
              </w:rPr>
            </w:pPr>
            <w:commentRangeStart w:id="216"/>
            <w:commentRangeStart w:id="217"/>
            <w:r w:rsidRPr="00C1603D">
              <w:rPr>
                <w:lang w:eastAsia="en-GB"/>
              </w:rPr>
              <w:t>Fractures (count 1 year)</w:t>
            </w:r>
            <w:commentRangeEnd w:id="216"/>
            <w:r w:rsidRPr="00C1603D">
              <w:commentReference w:id="216"/>
            </w:r>
            <w:commentRangeEnd w:id="217"/>
            <w:r w:rsidRPr="00C1603D">
              <w:commentReference w:id="217"/>
            </w:r>
          </w:p>
        </w:tc>
        <w:tc>
          <w:tcPr>
            <w:tcW w:w="0" w:type="auto"/>
            <w:shd w:val="clear" w:color="auto" w:fill="auto"/>
          </w:tcPr>
          <w:p w14:paraId="382DCBA3" w14:textId="3D7EBC11"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4FE9EB61" w14:textId="532BB6C0"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5BF7C6CC" w14:textId="031360F7"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4B9262CA" w14:textId="77777777" w:rsidR="00A76E5D" w:rsidRPr="00C1603D" w:rsidRDefault="00A76E5D" w:rsidP="00A76E5D">
            <w:pPr>
              <w:pStyle w:val="72TabletextTablesTableFigureBoxstyles"/>
              <w:rPr>
                <w:lang w:eastAsia="en-GB"/>
              </w:rPr>
            </w:pPr>
            <w:r w:rsidRPr="00C1603D">
              <w:rPr>
                <w:lang w:eastAsia="en-GB"/>
              </w:rPr>
              <w:t>0.196</w:t>
            </w:r>
          </w:p>
        </w:tc>
        <w:tc>
          <w:tcPr>
            <w:tcW w:w="0" w:type="auto"/>
            <w:shd w:val="clear" w:color="auto" w:fill="auto"/>
          </w:tcPr>
          <w:p w14:paraId="49E4C1B0" w14:textId="77777777" w:rsidR="00A76E5D" w:rsidRPr="00C1603D" w:rsidRDefault="00A76E5D" w:rsidP="00A76E5D">
            <w:pPr>
              <w:pStyle w:val="72TabletextTablesTableFigureBoxstyles"/>
              <w:rPr>
                <w:lang w:eastAsia="en-GB"/>
              </w:rPr>
            </w:pPr>
            <w:r w:rsidRPr="00C1603D">
              <w:rPr>
                <w:lang w:eastAsia="en-GB"/>
              </w:rPr>
              <w:t>19</w:t>
            </w:r>
          </w:p>
        </w:tc>
        <w:tc>
          <w:tcPr>
            <w:tcW w:w="0" w:type="auto"/>
            <w:shd w:val="clear" w:color="auto" w:fill="auto"/>
          </w:tcPr>
          <w:p w14:paraId="67E762C3" w14:textId="624C70D4" w:rsidR="00A76E5D" w:rsidRPr="00C1603D" w:rsidRDefault="00A76E5D" w:rsidP="00A76E5D">
            <w:pPr>
              <w:pStyle w:val="72TabletextTablesTableFigureBoxstyles"/>
              <w:rPr>
                <w:lang w:eastAsia="en-GB"/>
              </w:rPr>
            </w:pPr>
            <w:r w:rsidRPr="00C1603D">
              <w:rPr>
                <w:lang w:eastAsia="en-GB"/>
              </w:rPr>
              <w:t>0.203 (0.167–0.241)</w:t>
            </w:r>
          </w:p>
        </w:tc>
        <w:tc>
          <w:tcPr>
            <w:tcW w:w="0" w:type="auto"/>
            <w:shd w:val="clear" w:color="auto" w:fill="auto"/>
          </w:tcPr>
          <w:p w14:paraId="32C4CD46" w14:textId="284E11DB"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4303C8A0" w14:textId="38103CAF"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033485EF" w14:textId="0BAA05FC" w:rsidR="00A76E5D" w:rsidRPr="00C1603D" w:rsidRDefault="00A76E5D" w:rsidP="00A76E5D">
            <w:pPr>
              <w:pStyle w:val="72TabletextTablesTableFigureBoxstyles"/>
              <w:rPr>
                <w:lang w:eastAsia="en-GB"/>
              </w:rPr>
            </w:pPr>
            <w:r w:rsidRPr="00C1603D">
              <w:rPr>
                <w:lang w:eastAsia="en-GB"/>
              </w:rPr>
              <w:t>NS</w:t>
            </w:r>
          </w:p>
        </w:tc>
      </w:tr>
      <w:tr w:rsidR="004319B3" w:rsidRPr="00C1603D" w14:paraId="49743FBA" w14:textId="77777777" w:rsidTr="004319B3">
        <w:trPr>
          <w:cantSplit/>
        </w:trPr>
        <w:tc>
          <w:tcPr>
            <w:tcW w:w="0" w:type="auto"/>
            <w:shd w:val="clear" w:color="auto" w:fill="auto"/>
          </w:tcPr>
          <w:p w14:paraId="346D4045" w14:textId="77777777" w:rsidR="008B4DF8" w:rsidRPr="00C1603D" w:rsidRDefault="008B4DF8" w:rsidP="004319B3">
            <w:pPr>
              <w:pStyle w:val="72TabletextTablesTableFigureBoxstyles"/>
              <w:rPr>
                <w:lang w:eastAsia="en-GB"/>
              </w:rPr>
            </w:pPr>
            <w:r w:rsidRPr="00C1603D">
              <w:rPr>
                <w:lang w:eastAsia="en-GB"/>
              </w:rPr>
              <w:t>GI symptoms</w:t>
            </w:r>
          </w:p>
        </w:tc>
        <w:tc>
          <w:tcPr>
            <w:tcW w:w="0" w:type="auto"/>
            <w:shd w:val="clear" w:color="auto" w:fill="auto"/>
          </w:tcPr>
          <w:p w14:paraId="5E476165" w14:textId="77777777" w:rsidR="008B4DF8" w:rsidRPr="00C1603D" w:rsidRDefault="008B4DF8" w:rsidP="004319B3">
            <w:pPr>
              <w:pStyle w:val="72TabletextTablesTableFigureBoxstyles"/>
              <w:rPr>
                <w:lang w:eastAsia="en-GB"/>
              </w:rPr>
            </w:pPr>
            <w:r w:rsidRPr="00C1603D">
              <w:rPr>
                <w:lang w:eastAsia="en-GB"/>
              </w:rPr>
              <w:t>0.582</w:t>
            </w:r>
          </w:p>
        </w:tc>
        <w:tc>
          <w:tcPr>
            <w:tcW w:w="0" w:type="auto"/>
            <w:shd w:val="clear" w:color="auto" w:fill="auto"/>
          </w:tcPr>
          <w:p w14:paraId="737040B9" w14:textId="77777777" w:rsidR="008B4DF8" w:rsidRPr="00C1603D" w:rsidRDefault="008B4DF8" w:rsidP="004319B3">
            <w:pPr>
              <w:pStyle w:val="72TabletextTablesTableFigureBoxstyles"/>
              <w:rPr>
                <w:lang w:eastAsia="en-GB"/>
              </w:rPr>
            </w:pPr>
            <w:r w:rsidRPr="00C1603D">
              <w:rPr>
                <w:lang w:eastAsia="en-GB"/>
              </w:rPr>
              <w:t>17</w:t>
            </w:r>
          </w:p>
        </w:tc>
        <w:tc>
          <w:tcPr>
            <w:tcW w:w="0" w:type="auto"/>
            <w:shd w:val="clear" w:color="auto" w:fill="auto"/>
          </w:tcPr>
          <w:p w14:paraId="346FDBAA" w14:textId="3940D041" w:rsidR="008B4DF8" w:rsidRPr="00C1603D" w:rsidRDefault="008B4DF8" w:rsidP="004319B3">
            <w:pPr>
              <w:pStyle w:val="72TabletextTablesTableFigureBoxstyles"/>
              <w:rPr>
                <w:lang w:eastAsia="en-GB"/>
              </w:rPr>
            </w:pPr>
            <w:r w:rsidRPr="00C1603D">
              <w:rPr>
                <w:lang w:eastAsia="en-GB"/>
              </w:rPr>
              <w:t>0.584 (0.550</w:t>
            </w:r>
            <w:r w:rsidR="009E5C1E" w:rsidRPr="00C1603D">
              <w:rPr>
                <w:lang w:eastAsia="en-GB"/>
              </w:rPr>
              <w:t>–</w:t>
            </w:r>
            <w:r w:rsidRPr="00C1603D">
              <w:rPr>
                <w:lang w:eastAsia="en-GB"/>
              </w:rPr>
              <w:t>0.613)</w:t>
            </w:r>
          </w:p>
        </w:tc>
        <w:tc>
          <w:tcPr>
            <w:tcW w:w="0" w:type="auto"/>
            <w:shd w:val="clear" w:color="auto" w:fill="auto"/>
          </w:tcPr>
          <w:p w14:paraId="424AD64F" w14:textId="77777777" w:rsidR="008B4DF8" w:rsidRPr="00C1603D" w:rsidRDefault="008B4DF8" w:rsidP="004319B3">
            <w:pPr>
              <w:pStyle w:val="72TabletextTablesTableFigureBoxstyles"/>
              <w:rPr>
                <w:lang w:eastAsia="en-GB"/>
              </w:rPr>
            </w:pPr>
            <w:r w:rsidRPr="00C1603D">
              <w:rPr>
                <w:lang w:eastAsia="en-GB"/>
              </w:rPr>
              <w:t>0.249</w:t>
            </w:r>
          </w:p>
        </w:tc>
        <w:tc>
          <w:tcPr>
            <w:tcW w:w="0" w:type="auto"/>
            <w:shd w:val="clear" w:color="auto" w:fill="auto"/>
          </w:tcPr>
          <w:p w14:paraId="4C0C6E77" w14:textId="77777777" w:rsidR="008B4DF8" w:rsidRPr="00C1603D" w:rsidRDefault="008B4DF8" w:rsidP="004319B3">
            <w:pPr>
              <w:pStyle w:val="72TabletextTablesTableFigureBoxstyles"/>
              <w:rPr>
                <w:lang w:eastAsia="en-GB"/>
              </w:rPr>
            </w:pPr>
            <w:r w:rsidRPr="00C1603D">
              <w:rPr>
                <w:lang w:eastAsia="en-GB"/>
              </w:rPr>
              <w:t>18</w:t>
            </w:r>
          </w:p>
        </w:tc>
        <w:tc>
          <w:tcPr>
            <w:tcW w:w="0" w:type="auto"/>
            <w:shd w:val="clear" w:color="auto" w:fill="auto"/>
          </w:tcPr>
          <w:p w14:paraId="13F695F0" w14:textId="4BB25DDF" w:rsidR="008B4DF8" w:rsidRPr="00C1603D" w:rsidRDefault="008B4DF8" w:rsidP="004319B3">
            <w:pPr>
              <w:pStyle w:val="72TabletextTablesTableFigureBoxstyles"/>
              <w:rPr>
                <w:lang w:eastAsia="en-GB"/>
              </w:rPr>
            </w:pPr>
            <w:r w:rsidRPr="00C1603D">
              <w:rPr>
                <w:lang w:eastAsia="en-GB"/>
              </w:rPr>
              <w:t>0.251 (0.173</w:t>
            </w:r>
            <w:r w:rsidR="00C2076E" w:rsidRPr="00C1603D">
              <w:rPr>
                <w:lang w:eastAsia="en-GB"/>
              </w:rPr>
              <w:t>–</w:t>
            </w:r>
            <w:r w:rsidRPr="00C1603D">
              <w:rPr>
                <w:lang w:eastAsia="en-GB"/>
              </w:rPr>
              <w:t>0.360)</w:t>
            </w:r>
          </w:p>
        </w:tc>
        <w:tc>
          <w:tcPr>
            <w:tcW w:w="0" w:type="auto"/>
            <w:shd w:val="clear" w:color="auto" w:fill="auto"/>
          </w:tcPr>
          <w:p w14:paraId="75E2CF55" w14:textId="77777777" w:rsidR="008B4DF8" w:rsidRPr="00C1603D" w:rsidRDefault="008B4DF8" w:rsidP="004319B3">
            <w:pPr>
              <w:pStyle w:val="72TabletextTablesTableFigureBoxstyles"/>
              <w:rPr>
                <w:lang w:eastAsia="en-GB"/>
              </w:rPr>
            </w:pPr>
            <w:r w:rsidRPr="00C1603D">
              <w:rPr>
                <w:lang w:eastAsia="en-GB"/>
              </w:rPr>
              <w:t>0.448</w:t>
            </w:r>
          </w:p>
        </w:tc>
        <w:tc>
          <w:tcPr>
            <w:tcW w:w="0" w:type="auto"/>
            <w:shd w:val="clear" w:color="auto" w:fill="auto"/>
          </w:tcPr>
          <w:p w14:paraId="1938E418" w14:textId="77777777" w:rsidR="008B4DF8" w:rsidRPr="00C1603D" w:rsidRDefault="008B4DF8" w:rsidP="004319B3">
            <w:pPr>
              <w:pStyle w:val="72TabletextTablesTableFigureBoxstyles"/>
              <w:rPr>
                <w:lang w:eastAsia="en-GB"/>
              </w:rPr>
            </w:pPr>
            <w:r w:rsidRPr="00C1603D">
              <w:rPr>
                <w:lang w:eastAsia="en-GB"/>
              </w:rPr>
              <w:t>13</w:t>
            </w:r>
          </w:p>
        </w:tc>
        <w:tc>
          <w:tcPr>
            <w:tcW w:w="0" w:type="auto"/>
            <w:shd w:val="clear" w:color="auto" w:fill="auto"/>
          </w:tcPr>
          <w:p w14:paraId="36933C12" w14:textId="24885396" w:rsidR="008B4DF8" w:rsidRPr="00C1603D" w:rsidRDefault="008B4DF8" w:rsidP="004319B3">
            <w:pPr>
              <w:pStyle w:val="72TabletextTablesTableFigureBoxstyles"/>
              <w:rPr>
                <w:lang w:eastAsia="en-GB"/>
              </w:rPr>
            </w:pPr>
            <w:r w:rsidRPr="00C1603D">
              <w:rPr>
                <w:lang w:eastAsia="en-GB"/>
              </w:rPr>
              <w:t>0.442 (0.414</w:t>
            </w:r>
            <w:r w:rsidR="00C2076E" w:rsidRPr="00C1603D">
              <w:rPr>
                <w:lang w:eastAsia="en-GB"/>
              </w:rPr>
              <w:t>–</w:t>
            </w:r>
            <w:r w:rsidRPr="00C1603D">
              <w:rPr>
                <w:lang w:eastAsia="en-GB"/>
              </w:rPr>
              <w:t>0.472)</w:t>
            </w:r>
          </w:p>
        </w:tc>
      </w:tr>
      <w:tr w:rsidR="004319B3" w:rsidRPr="00C1603D" w14:paraId="3B09DADC" w14:textId="77777777" w:rsidTr="004319B3">
        <w:trPr>
          <w:cantSplit/>
        </w:trPr>
        <w:tc>
          <w:tcPr>
            <w:tcW w:w="0" w:type="auto"/>
            <w:shd w:val="clear" w:color="auto" w:fill="auto"/>
          </w:tcPr>
          <w:p w14:paraId="0BBD9D76" w14:textId="77777777" w:rsidR="008B4DF8" w:rsidRPr="00C1603D" w:rsidRDefault="008B4DF8" w:rsidP="004319B3">
            <w:pPr>
              <w:pStyle w:val="72TabletextTablesTableFigureBoxstyles"/>
              <w:rPr>
                <w:lang w:eastAsia="en-GB"/>
              </w:rPr>
            </w:pPr>
            <w:r w:rsidRPr="00C1603D">
              <w:rPr>
                <w:lang w:eastAsia="en-GB"/>
              </w:rPr>
              <w:t>GI symptoms (count 1 year)</w:t>
            </w:r>
          </w:p>
        </w:tc>
        <w:tc>
          <w:tcPr>
            <w:tcW w:w="0" w:type="auto"/>
            <w:shd w:val="clear" w:color="auto" w:fill="auto"/>
          </w:tcPr>
          <w:p w14:paraId="044E7803" w14:textId="77777777" w:rsidR="008B4DF8" w:rsidRPr="00C1603D" w:rsidRDefault="008B4DF8" w:rsidP="004319B3">
            <w:pPr>
              <w:pStyle w:val="72TabletextTablesTableFigureBoxstyles"/>
              <w:rPr>
                <w:lang w:eastAsia="en-GB"/>
              </w:rPr>
            </w:pPr>
            <w:r w:rsidRPr="00C1603D">
              <w:rPr>
                <w:lang w:eastAsia="en-GB"/>
              </w:rPr>
              <w:t>0.794</w:t>
            </w:r>
          </w:p>
        </w:tc>
        <w:tc>
          <w:tcPr>
            <w:tcW w:w="0" w:type="auto"/>
            <w:shd w:val="clear" w:color="auto" w:fill="auto"/>
          </w:tcPr>
          <w:p w14:paraId="515EAAC9" w14:textId="77777777" w:rsidR="008B4DF8" w:rsidRPr="00C1603D" w:rsidRDefault="008B4DF8" w:rsidP="004319B3">
            <w:pPr>
              <w:pStyle w:val="72TabletextTablesTableFigureBoxstyles"/>
              <w:rPr>
                <w:lang w:eastAsia="en-GB"/>
              </w:rPr>
            </w:pPr>
            <w:r w:rsidRPr="00C1603D">
              <w:rPr>
                <w:lang w:eastAsia="en-GB"/>
              </w:rPr>
              <w:t>15</w:t>
            </w:r>
          </w:p>
        </w:tc>
        <w:tc>
          <w:tcPr>
            <w:tcW w:w="0" w:type="auto"/>
            <w:shd w:val="clear" w:color="auto" w:fill="auto"/>
          </w:tcPr>
          <w:p w14:paraId="37CAB47E" w14:textId="4BE54B28" w:rsidR="008B4DF8" w:rsidRPr="00C1603D" w:rsidRDefault="008B4DF8" w:rsidP="004319B3">
            <w:pPr>
              <w:pStyle w:val="72TabletextTablesTableFigureBoxstyles"/>
              <w:rPr>
                <w:lang w:eastAsia="en-GB"/>
              </w:rPr>
            </w:pPr>
            <w:r w:rsidRPr="00C1603D">
              <w:rPr>
                <w:lang w:eastAsia="en-GB"/>
              </w:rPr>
              <w:t>0.792 (0.775</w:t>
            </w:r>
            <w:r w:rsidR="009E5C1E" w:rsidRPr="00C1603D">
              <w:rPr>
                <w:lang w:eastAsia="en-GB"/>
              </w:rPr>
              <w:t>–</w:t>
            </w:r>
            <w:r w:rsidRPr="00C1603D">
              <w:rPr>
                <w:lang w:eastAsia="en-GB"/>
              </w:rPr>
              <w:t>0.817)</w:t>
            </w:r>
          </w:p>
        </w:tc>
        <w:tc>
          <w:tcPr>
            <w:tcW w:w="0" w:type="auto"/>
            <w:shd w:val="clear" w:color="auto" w:fill="auto"/>
          </w:tcPr>
          <w:p w14:paraId="767B0695" w14:textId="77777777" w:rsidR="008B4DF8" w:rsidRPr="00C1603D" w:rsidRDefault="008B4DF8" w:rsidP="004319B3">
            <w:pPr>
              <w:pStyle w:val="72TabletextTablesTableFigureBoxstyles"/>
              <w:rPr>
                <w:lang w:eastAsia="en-GB"/>
              </w:rPr>
            </w:pPr>
            <w:r w:rsidRPr="00C1603D">
              <w:rPr>
                <w:lang w:eastAsia="en-GB"/>
              </w:rPr>
              <w:t>0.604</w:t>
            </w:r>
          </w:p>
        </w:tc>
        <w:tc>
          <w:tcPr>
            <w:tcW w:w="0" w:type="auto"/>
            <w:shd w:val="clear" w:color="auto" w:fill="auto"/>
          </w:tcPr>
          <w:p w14:paraId="68B886E6" w14:textId="77777777" w:rsidR="008B4DF8" w:rsidRPr="00C1603D" w:rsidRDefault="008B4DF8" w:rsidP="004319B3">
            <w:pPr>
              <w:pStyle w:val="72TabletextTablesTableFigureBoxstyles"/>
              <w:rPr>
                <w:lang w:eastAsia="en-GB"/>
              </w:rPr>
            </w:pPr>
            <w:r w:rsidRPr="00C1603D">
              <w:rPr>
                <w:lang w:eastAsia="en-GB"/>
              </w:rPr>
              <w:t>12</w:t>
            </w:r>
          </w:p>
        </w:tc>
        <w:tc>
          <w:tcPr>
            <w:tcW w:w="0" w:type="auto"/>
            <w:shd w:val="clear" w:color="auto" w:fill="auto"/>
          </w:tcPr>
          <w:p w14:paraId="0A1C20AA" w14:textId="11FEBFCF" w:rsidR="008B4DF8" w:rsidRPr="00C1603D" w:rsidRDefault="008B4DF8" w:rsidP="004319B3">
            <w:pPr>
              <w:pStyle w:val="72TabletextTablesTableFigureBoxstyles"/>
              <w:rPr>
                <w:lang w:eastAsia="en-GB"/>
              </w:rPr>
            </w:pPr>
            <w:r w:rsidRPr="00C1603D">
              <w:rPr>
                <w:lang w:eastAsia="en-GB"/>
              </w:rPr>
              <w:t>0.604 (0.594</w:t>
            </w:r>
            <w:r w:rsidR="00C2076E" w:rsidRPr="00C1603D">
              <w:rPr>
                <w:lang w:eastAsia="en-GB"/>
              </w:rPr>
              <w:t>–</w:t>
            </w:r>
            <w:r w:rsidRPr="00C1603D">
              <w:rPr>
                <w:lang w:eastAsia="en-GB"/>
              </w:rPr>
              <w:t>0.615)</w:t>
            </w:r>
          </w:p>
        </w:tc>
        <w:tc>
          <w:tcPr>
            <w:tcW w:w="0" w:type="auto"/>
            <w:shd w:val="clear" w:color="auto" w:fill="auto"/>
          </w:tcPr>
          <w:p w14:paraId="741DDDF1" w14:textId="77777777" w:rsidR="008B4DF8" w:rsidRPr="00C1603D" w:rsidRDefault="008B4DF8" w:rsidP="004319B3">
            <w:pPr>
              <w:pStyle w:val="72TabletextTablesTableFigureBoxstyles"/>
              <w:rPr>
                <w:lang w:eastAsia="en-GB"/>
              </w:rPr>
            </w:pPr>
            <w:r w:rsidRPr="00C1603D">
              <w:rPr>
                <w:lang w:eastAsia="en-GB"/>
              </w:rPr>
              <w:t>0.787</w:t>
            </w:r>
          </w:p>
        </w:tc>
        <w:tc>
          <w:tcPr>
            <w:tcW w:w="0" w:type="auto"/>
            <w:shd w:val="clear" w:color="auto" w:fill="auto"/>
          </w:tcPr>
          <w:p w14:paraId="38D84BA1" w14:textId="77777777" w:rsidR="008B4DF8" w:rsidRPr="00C1603D" w:rsidRDefault="008B4DF8" w:rsidP="004319B3">
            <w:pPr>
              <w:pStyle w:val="72TabletextTablesTableFigureBoxstyles"/>
              <w:rPr>
                <w:lang w:eastAsia="en-GB"/>
              </w:rPr>
            </w:pPr>
            <w:r w:rsidRPr="00C1603D">
              <w:rPr>
                <w:lang w:eastAsia="en-GB"/>
              </w:rPr>
              <w:t>10</w:t>
            </w:r>
          </w:p>
        </w:tc>
        <w:tc>
          <w:tcPr>
            <w:tcW w:w="0" w:type="auto"/>
            <w:shd w:val="clear" w:color="auto" w:fill="auto"/>
          </w:tcPr>
          <w:p w14:paraId="5CDA3AAD" w14:textId="089A5A56" w:rsidR="008B4DF8" w:rsidRPr="00C1603D" w:rsidRDefault="008B4DF8" w:rsidP="004319B3">
            <w:pPr>
              <w:pStyle w:val="72TabletextTablesTableFigureBoxstyles"/>
              <w:rPr>
                <w:lang w:eastAsia="en-GB"/>
              </w:rPr>
            </w:pPr>
            <w:r w:rsidRPr="00C1603D">
              <w:rPr>
                <w:lang w:eastAsia="en-GB"/>
              </w:rPr>
              <w:t>0.789 (0.772</w:t>
            </w:r>
            <w:r w:rsidR="00C2076E" w:rsidRPr="00C1603D">
              <w:rPr>
                <w:lang w:eastAsia="en-GB"/>
              </w:rPr>
              <w:t>–</w:t>
            </w:r>
            <w:r w:rsidRPr="00C1603D">
              <w:rPr>
                <w:lang w:eastAsia="en-GB"/>
              </w:rPr>
              <w:t>0.807)</w:t>
            </w:r>
          </w:p>
        </w:tc>
      </w:tr>
      <w:tr w:rsidR="00A76E5D" w:rsidRPr="00C1603D" w14:paraId="43F1C544" w14:textId="77777777" w:rsidTr="004319B3">
        <w:trPr>
          <w:cantSplit/>
        </w:trPr>
        <w:tc>
          <w:tcPr>
            <w:tcW w:w="0" w:type="auto"/>
            <w:shd w:val="clear" w:color="auto" w:fill="auto"/>
          </w:tcPr>
          <w:p w14:paraId="041E05DD" w14:textId="77777777" w:rsidR="00A76E5D" w:rsidRPr="00C1603D" w:rsidRDefault="00A76E5D" w:rsidP="00A76E5D">
            <w:pPr>
              <w:pStyle w:val="72TabletextTablesTableFigureBoxstyles"/>
              <w:rPr>
                <w:lang w:eastAsia="en-GB"/>
              </w:rPr>
            </w:pPr>
            <w:r w:rsidRPr="00C1603D">
              <w:rPr>
                <w:lang w:eastAsia="en-GB"/>
              </w:rPr>
              <w:t>IgA deficiency</w:t>
            </w:r>
          </w:p>
        </w:tc>
        <w:tc>
          <w:tcPr>
            <w:tcW w:w="0" w:type="auto"/>
            <w:shd w:val="clear" w:color="auto" w:fill="auto"/>
          </w:tcPr>
          <w:p w14:paraId="0ED39DE5" w14:textId="77777777" w:rsidR="00A76E5D" w:rsidRPr="00C1603D" w:rsidRDefault="00A76E5D" w:rsidP="00A76E5D">
            <w:pPr>
              <w:pStyle w:val="72TabletextTablesTableFigureBoxstyles"/>
              <w:rPr>
                <w:lang w:eastAsia="en-GB"/>
              </w:rPr>
            </w:pPr>
            <w:r w:rsidRPr="00C1603D">
              <w:rPr>
                <w:lang w:eastAsia="en-GB"/>
              </w:rPr>
              <w:t>3.21</w:t>
            </w:r>
          </w:p>
        </w:tc>
        <w:tc>
          <w:tcPr>
            <w:tcW w:w="0" w:type="auto"/>
            <w:shd w:val="clear" w:color="auto" w:fill="auto"/>
          </w:tcPr>
          <w:p w14:paraId="675D0CEA" w14:textId="77777777" w:rsidR="00A76E5D" w:rsidRPr="00C1603D" w:rsidRDefault="00A76E5D" w:rsidP="00A76E5D">
            <w:pPr>
              <w:pStyle w:val="72TabletextTablesTableFigureBoxstyles"/>
              <w:rPr>
                <w:lang w:eastAsia="en-GB"/>
              </w:rPr>
            </w:pPr>
            <w:r w:rsidRPr="00C1603D">
              <w:rPr>
                <w:lang w:eastAsia="en-GB"/>
              </w:rPr>
              <w:t>3</w:t>
            </w:r>
          </w:p>
        </w:tc>
        <w:tc>
          <w:tcPr>
            <w:tcW w:w="0" w:type="auto"/>
            <w:shd w:val="clear" w:color="auto" w:fill="auto"/>
          </w:tcPr>
          <w:p w14:paraId="77C56C15" w14:textId="0F763FB1" w:rsidR="00A76E5D" w:rsidRPr="00C1603D" w:rsidRDefault="00A76E5D" w:rsidP="00A76E5D">
            <w:pPr>
              <w:pStyle w:val="72TabletextTablesTableFigureBoxstyles"/>
              <w:rPr>
                <w:lang w:eastAsia="en-GB"/>
              </w:rPr>
            </w:pPr>
            <w:r w:rsidRPr="00C1603D">
              <w:rPr>
                <w:lang w:eastAsia="en-GB"/>
              </w:rPr>
              <w:t>3.185 (2.287–3.563)</w:t>
            </w:r>
          </w:p>
        </w:tc>
        <w:tc>
          <w:tcPr>
            <w:tcW w:w="0" w:type="auto"/>
            <w:shd w:val="clear" w:color="auto" w:fill="auto"/>
          </w:tcPr>
          <w:p w14:paraId="6BD0643A" w14:textId="77777777" w:rsidR="00A76E5D" w:rsidRPr="00C1603D" w:rsidRDefault="00A76E5D" w:rsidP="00A76E5D">
            <w:pPr>
              <w:pStyle w:val="72TabletextTablesTableFigureBoxstyles"/>
              <w:rPr>
                <w:lang w:eastAsia="en-GB"/>
              </w:rPr>
            </w:pPr>
            <w:r w:rsidRPr="00C1603D">
              <w:rPr>
                <w:lang w:eastAsia="en-GB"/>
              </w:rPr>
              <w:t>1.127</w:t>
            </w:r>
          </w:p>
        </w:tc>
        <w:tc>
          <w:tcPr>
            <w:tcW w:w="0" w:type="auto"/>
            <w:shd w:val="clear" w:color="auto" w:fill="auto"/>
          </w:tcPr>
          <w:p w14:paraId="34A1F5FD" w14:textId="77777777" w:rsidR="00A76E5D" w:rsidRPr="00C1603D" w:rsidRDefault="00A76E5D" w:rsidP="00A76E5D">
            <w:pPr>
              <w:pStyle w:val="72TabletextTablesTableFigureBoxstyles"/>
              <w:rPr>
                <w:lang w:eastAsia="en-GB"/>
              </w:rPr>
            </w:pPr>
            <w:r w:rsidRPr="00C1603D">
              <w:rPr>
                <w:lang w:eastAsia="en-GB"/>
              </w:rPr>
              <w:t>6</w:t>
            </w:r>
          </w:p>
        </w:tc>
        <w:tc>
          <w:tcPr>
            <w:tcW w:w="0" w:type="auto"/>
            <w:shd w:val="clear" w:color="auto" w:fill="auto"/>
          </w:tcPr>
          <w:p w14:paraId="4466BA8F" w14:textId="56A75BB1" w:rsidR="00A76E5D" w:rsidRPr="00C1603D" w:rsidRDefault="00A76E5D" w:rsidP="00A76E5D">
            <w:pPr>
              <w:pStyle w:val="72TabletextTablesTableFigureBoxstyles"/>
              <w:rPr>
                <w:lang w:eastAsia="en-GB"/>
              </w:rPr>
            </w:pPr>
            <w:r w:rsidRPr="00C1603D">
              <w:rPr>
                <w:lang w:eastAsia="en-GB"/>
              </w:rPr>
              <w:t>1.170 (0.765–1.596)</w:t>
            </w:r>
          </w:p>
        </w:tc>
        <w:tc>
          <w:tcPr>
            <w:tcW w:w="0" w:type="auto"/>
            <w:shd w:val="clear" w:color="auto" w:fill="auto"/>
          </w:tcPr>
          <w:p w14:paraId="340FDD03" w14:textId="7F48359B"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5F9E867E" w14:textId="4940059A"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5F9A77C6" w14:textId="192AC5B2" w:rsidR="00A76E5D" w:rsidRPr="00C1603D" w:rsidRDefault="00A76E5D" w:rsidP="00A76E5D">
            <w:pPr>
              <w:pStyle w:val="72TabletextTablesTableFigureBoxstyles"/>
              <w:rPr>
                <w:lang w:eastAsia="en-GB"/>
              </w:rPr>
            </w:pPr>
            <w:r w:rsidRPr="00C1603D">
              <w:rPr>
                <w:lang w:eastAsia="en-GB"/>
              </w:rPr>
              <w:t>NS</w:t>
            </w:r>
          </w:p>
        </w:tc>
      </w:tr>
      <w:tr w:rsidR="00A76E5D" w:rsidRPr="00C1603D" w14:paraId="6CAACE03" w14:textId="77777777" w:rsidTr="004319B3">
        <w:trPr>
          <w:cantSplit/>
        </w:trPr>
        <w:tc>
          <w:tcPr>
            <w:tcW w:w="0" w:type="auto"/>
            <w:shd w:val="clear" w:color="auto" w:fill="auto"/>
          </w:tcPr>
          <w:p w14:paraId="2D298F7B" w14:textId="77777777" w:rsidR="00A76E5D" w:rsidRPr="00C1603D" w:rsidRDefault="00A76E5D" w:rsidP="00A76E5D">
            <w:pPr>
              <w:pStyle w:val="72TabletextTablesTableFigureBoxstyles"/>
              <w:rPr>
                <w:lang w:eastAsia="en-GB"/>
              </w:rPr>
            </w:pPr>
            <w:r w:rsidRPr="00C1603D">
              <w:rPr>
                <w:lang w:eastAsia="en-GB"/>
              </w:rPr>
              <w:t>Inflammatory bowel disease</w:t>
            </w:r>
          </w:p>
        </w:tc>
        <w:tc>
          <w:tcPr>
            <w:tcW w:w="0" w:type="auto"/>
            <w:shd w:val="clear" w:color="auto" w:fill="auto"/>
          </w:tcPr>
          <w:p w14:paraId="2E7229FE" w14:textId="5F03BCD3"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6CC1B39D" w14:textId="37080275"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5E146CAB" w14:textId="15FA1C0E"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5099C5D8" w14:textId="77777777" w:rsidR="00A76E5D" w:rsidRPr="00C1603D" w:rsidRDefault="00A76E5D" w:rsidP="00A76E5D">
            <w:pPr>
              <w:pStyle w:val="72TabletextTablesTableFigureBoxstyles"/>
              <w:rPr>
                <w:lang w:eastAsia="en-GB"/>
              </w:rPr>
            </w:pPr>
            <w:r w:rsidRPr="00C1603D">
              <w:rPr>
                <w:lang w:eastAsia="en-GB"/>
              </w:rPr>
              <w:t>0.138</w:t>
            </w:r>
          </w:p>
        </w:tc>
        <w:tc>
          <w:tcPr>
            <w:tcW w:w="0" w:type="auto"/>
            <w:shd w:val="clear" w:color="auto" w:fill="auto"/>
          </w:tcPr>
          <w:p w14:paraId="3647D49F" w14:textId="77777777" w:rsidR="00A76E5D" w:rsidRPr="00C1603D" w:rsidRDefault="00A76E5D" w:rsidP="00A76E5D">
            <w:pPr>
              <w:pStyle w:val="72TabletextTablesTableFigureBoxstyles"/>
              <w:rPr>
                <w:lang w:eastAsia="en-GB"/>
              </w:rPr>
            </w:pPr>
            <w:r w:rsidRPr="00C1603D">
              <w:rPr>
                <w:lang w:eastAsia="en-GB"/>
              </w:rPr>
              <w:t>23</w:t>
            </w:r>
          </w:p>
        </w:tc>
        <w:tc>
          <w:tcPr>
            <w:tcW w:w="0" w:type="auto"/>
            <w:shd w:val="clear" w:color="auto" w:fill="auto"/>
          </w:tcPr>
          <w:p w14:paraId="7CB4B9D7" w14:textId="503DA6D5" w:rsidR="00A76E5D" w:rsidRPr="00C1603D" w:rsidRDefault="00A76E5D" w:rsidP="00A76E5D">
            <w:pPr>
              <w:pStyle w:val="72TabletextTablesTableFigureBoxstyles"/>
              <w:rPr>
                <w:lang w:eastAsia="en-GB"/>
              </w:rPr>
            </w:pPr>
            <w:r w:rsidRPr="00C1603D">
              <w:rPr>
                <w:lang w:eastAsia="en-GB"/>
              </w:rPr>
              <w:t>0.112 (0.000–0.227)</w:t>
            </w:r>
          </w:p>
        </w:tc>
        <w:tc>
          <w:tcPr>
            <w:tcW w:w="0" w:type="auto"/>
            <w:shd w:val="clear" w:color="auto" w:fill="auto"/>
          </w:tcPr>
          <w:p w14:paraId="3C4A6464" w14:textId="21FA3F70"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0CFA30C4" w14:textId="517732DE" w:rsidR="00A76E5D" w:rsidRPr="00C1603D" w:rsidRDefault="00A76E5D" w:rsidP="00A76E5D">
            <w:pPr>
              <w:pStyle w:val="72TabletextTablesTableFigureBoxstyles"/>
              <w:rPr>
                <w:lang w:eastAsia="en-GB"/>
              </w:rPr>
            </w:pPr>
            <w:r w:rsidRPr="00C1603D">
              <w:rPr>
                <w:lang w:eastAsia="en-GB"/>
              </w:rPr>
              <w:t>NS</w:t>
            </w:r>
          </w:p>
        </w:tc>
        <w:tc>
          <w:tcPr>
            <w:tcW w:w="0" w:type="auto"/>
            <w:shd w:val="clear" w:color="auto" w:fill="auto"/>
          </w:tcPr>
          <w:p w14:paraId="752D79E9" w14:textId="22D3962C" w:rsidR="00A76E5D" w:rsidRPr="00C1603D" w:rsidRDefault="00A76E5D" w:rsidP="00A76E5D">
            <w:pPr>
              <w:pStyle w:val="72TabletextTablesTableFigureBoxstyles"/>
              <w:rPr>
                <w:lang w:eastAsia="en-GB"/>
              </w:rPr>
            </w:pPr>
            <w:r w:rsidRPr="00C1603D">
              <w:rPr>
                <w:lang w:eastAsia="en-GB"/>
              </w:rPr>
              <w:t>NS</w:t>
            </w:r>
          </w:p>
        </w:tc>
      </w:tr>
      <w:tr w:rsidR="004319B3" w:rsidRPr="00C1603D" w14:paraId="5D208A5A" w14:textId="77777777" w:rsidTr="004319B3">
        <w:trPr>
          <w:cantSplit/>
        </w:trPr>
        <w:tc>
          <w:tcPr>
            <w:tcW w:w="0" w:type="auto"/>
            <w:shd w:val="clear" w:color="auto" w:fill="auto"/>
          </w:tcPr>
          <w:p w14:paraId="6FAE385B" w14:textId="2976BC69" w:rsidR="008B4DF8" w:rsidRPr="00C1603D" w:rsidRDefault="008B4DF8" w:rsidP="004319B3">
            <w:pPr>
              <w:pStyle w:val="72TabletextTablesTableFigureBoxstyles"/>
              <w:rPr>
                <w:lang w:eastAsia="en-GB"/>
              </w:rPr>
            </w:pPr>
            <w:r w:rsidRPr="00C1603D">
              <w:rPr>
                <w:lang w:eastAsia="en-GB"/>
              </w:rPr>
              <w:t xml:space="preserve">Iron, </w:t>
            </w:r>
            <w:r w:rsidR="00AF5960" w:rsidRPr="00C1603D">
              <w:rPr>
                <w:lang w:eastAsia="en-GB"/>
              </w:rPr>
              <w:t>v</w:t>
            </w:r>
            <w:r w:rsidRPr="00C1603D">
              <w:rPr>
                <w:lang w:eastAsia="en-GB"/>
              </w:rPr>
              <w:t>it</w:t>
            </w:r>
            <w:r w:rsidR="00AF5960" w:rsidRPr="00C1603D">
              <w:rPr>
                <w:lang w:eastAsia="en-GB"/>
              </w:rPr>
              <w:t>amin</w:t>
            </w:r>
            <w:r w:rsidRPr="00C1603D">
              <w:rPr>
                <w:lang w:eastAsia="en-GB"/>
              </w:rPr>
              <w:t xml:space="preserve"> B</w:t>
            </w:r>
            <w:r w:rsidRPr="00C1603D">
              <w:rPr>
                <w:vertAlign w:val="subscript"/>
                <w:lang w:eastAsia="en-GB"/>
              </w:rPr>
              <w:t>12</w:t>
            </w:r>
            <w:r w:rsidRPr="00C1603D">
              <w:rPr>
                <w:lang w:eastAsia="en-GB"/>
              </w:rPr>
              <w:t xml:space="preserve"> or </w:t>
            </w:r>
            <w:r w:rsidR="00AF5960" w:rsidRPr="00C1603D">
              <w:rPr>
                <w:lang w:eastAsia="en-GB"/>
              </w:rPr>
              <w:t>f</w:t>
            </w:r>
            <w:r w:rsidRPr="00C1603D">
              <w:rPr>
                <w:lang w:eastAsia="en-GB"/>
              </w:rPr>
              <w:t>olate deficiency</w:t>
            </w:r>
          </w:p>
        </w:tc>
        <w:tc>
          <w:tcPr>
            <w:tcW w:w="0" w:type="auto"/>
            <w:shd w:val="clear" w:color="auto" w:fill="auto"/>
          </w:tcPr>
          <w:p w14:paraId="09B4F139" w14:textId="77777777" w:rsidR="008B4DF8" w:rsidRPr="00C1603D" w:rsidRDefault="008B4DF8" w:rsidP="004319B3">
            <w:pPr>
              <w:pStyle w:val="72TabletextTablesTableFigureBoxstyles"/>
              <w:rPr>
                <w:lang w:eastAsia="en-GB"/>
              </w:rPr>
            </w:pPr>
            <w:r w:rsidRPr="00C1603D">
              <w:rPr>
                <w:lang w:eastAsia="en-GB"/>
              </w:rPr>
              <w:t>2.016</w:t>
            </w:r>
          </w:p>
        </w:tc>
        <w:tc>
          <w:tcPr>
            <w:tcW w:w="0" w:type="auto"/>
            <w:shd w:val="clear" w:color="auto" w:fill="auto"/>
          </w:tcPr>
          <w:p w14:paraId="7D96DC6A" w14:textId="77777777" w:rsidR="008B4DF8" w:rsidRPr="00C1603D" w:rsidRDefault="008B4DF8" w:rsidP="004319B3">
            <w:pPr>
              <w:pStyle w:val="72TabletextTablesTableFigureBoxstyles"/>
              <w:rPr>
                <w:lang w:eastAsia="en-GB"/>
              </w:rPr>
            </w:pPr>
            <w:r w:rsidRPr="00C1603D">
              <w:rPr>
                <w:lang w:eastAsia="en-GB"/>
              </w:rPr>
              <w:t>9</w:t>
            </w:r>
          </w:p>
        </w:tc>
        <w:tc>
          <w:tcPr>
            <w:tcW w:w="0" w:type="auto"/>
            <w:shd w:val="clear" w:color="auto" w:fill="auto"/>
          </w:tcPr>
          <w:p w14:paraId="1F92BE01" w14:textId="3A63652D" w:rsidR="008B4DF8" w:rsidRPr="00C1603D" w:rsidRDefault="008B4DF8" w:rsidP="004319B3">
            <w:pPr>
              <w:pStyle w:val="72TabletextTablesTableFigureBoxstyles"/>
              <w:rPr>
                <w:lang w:eastAsia="en-GB"/>
              </w:rPr>
            </w:pPr>
            <w:r w:rsidRPr="00C1603D">
              <w:rPr>
                <w:lang w:eastAsia="en-GB"/>
              </w:rPr>
              <w:t>2.013 (1.704</w:t>
            </w:r>
            <w:r w:rsidR="009E5C1E" w:rsidRPr="00C1603D">
              <w:rPr>
                <w:lang w:eastAsia="en-GB"/>
              </w:rPr>
              <w:t>–</w:t>
            </w:r>
            <w:r w:rsidRPr="00C1603D">
              <w:rPr>
                <w:lang w:eastAsia="en-GB"/>
              </w:rPr>
              <w:t>2.363)</w:t>
            </w:r>
          </w:p>
        </w:tc>
        <w:tc>
          <w:tcPr>
            <w:tcW w:w="0" w:type="auto"/>
            <w:shd w:val="clear" w:color="auto" w:fill="auto"/>
          </w:tcPr>
          <w:p w14:paraId="5B8FEAA1" w14:textId="77777777" w:rsidR="008B4DF8" w:rsidRPr="00C1603D" w:rsidRDefault="008B4DF8" w:rsidP="004319B3">
            <w:pPr>
              <w:pStyle w:val="72TabletextTablesTableFigureBoxstyles"/>
              <w:rPr>
                <w:lang w:eastAsia="en-GB"/>
              </w:rPr>
            </w:pPr>
            <w:r w:rsidRPr="00C1603D">
              <w:rPr>
                <w:lang w:eastAsia="en-GB"/>
              </w:rPr>
              <w:t>1.323</w:t>
            </w:r>
          </w:p>
        </w:tc>
        <w:tc>
          <w:tcPr>
            <w:tcW w:w="0" w:type="auto"/>
            <w:shd w:val="clear" w:color="auto" w:fill="auto"/>
          </w:tcPr>
          <w:p w14:paraId="3B28FA28" w14:textId="77777777" w:rsidR="008B4DF8" w:rsidRPr="00C1603D" w:rsidRDefault="008B4DF8" w:rsidP="004319B3">
            <w:pPr>
              <w:pStyle w:val="72TabletextTablesTableFigureBoxstyles"/>
              <w:rPr>
                <w:lang w:eastAsia="en-GB"/>
              </w:rPr>
            </w:pPr>
            <w:r w:rsidRPr="00C1603D">
              <w:rPr>
                <w:lang w:eastAsia="en-GB"/>
              </w:rPr>
              <w:t>3</w:t>
            </w:r>
          </w:p>
        </w:tc>
        <w:tc>
          <w:tcPr>
            <w:tcW w:w="0" w:type="auto"/>
            <w:shd w:val="clear" w:color="auto" w:fill="auto"/>
          </w:tcPr>
          <w:p w14:paraId="2E1197F0" w14:textId="7D751E0C" w:rsidR="008B4DF8" w:rsidRPr="00C1603D" w:rsidRDefault="008B4DF8" w:rsidP="004319B3">
            <w:pPr>
              <w:pStyle w:val="72TabletextTablesTableFigureBoxstyles"/>
              <w:rPr>
                <w:lang w:eastAsia="en-GB"/>
              </w:rPr>
            </w:pPr>
            <w:r w:rsidRPr="00C1603D">
              <w:rPr>
                <w:lang w:eastAsia="en-GB"/>
              </w:rPr>
              <w:t>1.383 (0.554</w:t>
            </w:r>
            <w:r w:rsidR="00C2076E" w:rsidRPr="00C1603D">
              <w:rPr>
                <w:lang w:eastAsia="en-GB"/>
              </w:rPr>
              <w:t>–</w:t>
            </w:r>
            <w:r w:rsidRPr="00C1603D">
              <w:rPr>
                <w:lang w:eastAsia="en-GB"/>
              </w:rPr>
              <w:t>2.113)</w:t>
            </w:r>
          </w:p>
        </w:tc>
        <w:tc>
          <w:tcPr>
            <w:tcW w:w="0" w:type="auto"/>
            <w:shd w:val="clear" w:color="auto" w:fill="auto"/>
          </w:tcPr>
          <w:p w14:paraId="73FEAFFF" w14:textId="77777777" w:rsidR="008B4DF8" w:rsidRPr="00C1603D" w:rsidRDefault="008B4DF8" w:rsidP="004319B3">
            <w:pPr>
              <w:pStyle w:val="72TabletextTablesTableFigureBoxstyles"/>
              <w:rPr>
                <w:lang w:eastAsia="en-GB"/>
              </w:rPr>
            </w:pPr>
            <w:r w:rsidRPr="00C1603D">
              <w:rPr>
                <w:lang w:eastAsia="en-GB"/>
              </w:rPr>
              <w:t>1.81</w:t>
            </w:r>
          </w:p>
        </w:tc>
        <w:tc>
          <w:tcPr>
            <w:tcW w:w="0" w:type="auto"/>
            <w:shd w:val="clear" w:color="auto" w:fill="auto"/>
          </w:tcPr>
          <w:p w14:paraId="0CB2B35D" w14:textId="77777777" w:rsidR="008B4DF8" w:rsidRPr="00C1603D" w:rsidRDefault="008B4DF8" w:rsidP="004319B3">
            <w:pPr>
              <w:pStyle w:val="72TabletextTablesTableFigureBoxstyles"/>
              <w:rPr>
                <w:lang w:eastAsia="en-GB"/>
              </w:rPr>
            </w:pPr>
            <w:r w:rsidRPr="00C1603D">
              <w:rPr>
                <w:lang w:eastAsia="en-GB"/>
              </w:rPr>
              <w:t>3</w:t>
            </w:r>
          </w:p>
        </w:tc>
        <w:tc>
          <w:tcPr>
            <w:tcW w:w="0" w:type="auto"/>
            <w:shd w:val="clear" w:color="auto" w:fill="auto"/>
          </w:tcPr>
          <w:p w14:paraId="3E97B5A7" w14:textId="2CB3CBB3" w:rsidR="008B4DF8" w:rsidRPr="00C1603D" w:rsidRDefault="008B4DF8" w:rsidP="004319B3">
            <w:pPr>
              <w:pStyle w:val="72TabletextTablesTableFigureBoxstyles"/>
              <w:rPr>
                <w:lang w:eastAsia="en-GB"/>
              </w:rPr>
            </w:pPr>
            <w:r w:rsidRPr="00C1603D">
              <w:rPr>
                <w:lang w:eastAsia="en-GB"/>
              </w:rPr>
              <w:t>1.828 (1.754</w:t>
            </w:r>
            <w:r w:rsidR="00C2076E" w:rsidRPr="00C1603D">
              <w:rPr>
                <w:lang w:eastAsia="en-GB"/>
              </w:rPr>
              <w:t>–</w:t>
            </w:r>
            <w:r w:rsidRPr="00C1603D">
              <w:rPr>
                <w:lang w:eastAsia="en-GB"/>
              </w:rPr>
              <w:t>1.917)</w:t>
            </w:r>
          </w:p>
        </w:tc>
      </w:tr>
      <w:tr w:rsidR="004319B3" w:rsidRPr="00C1603D" w14:paraId="29BACE8C" w14:textId="77777777" w:rsidTr="004319B3">
        <w:trPr>
          <w:cantSplit/>
        </w:trPr>
        <w:tc>
          <w:tcPr>
            <w:tcW w:w="0" w:type="auto"/>
            <w:shd w:val="clear" w:color="auto" w:fill="auto"/>
          </w:tcPr>
          <w:p w14:paraId="446891DC" w14:textId="718CAED7" w:rsidR="008B4DF8" w:rsidRPr="00C1603D" w:rsidRDefault="00C82170" w:rsidP="004319B3">
            <w:pPr>
              <w:pStyle w:val="72TabletextTablesTableFigureBoxstyles"/>
              <w:rPr>
                <w:lang w:eastAsia="en-GB"/>
              </w:rPr>
            </w:pPr>
            <w:r w:rsidRPr="00C1603D">
              <w:rPr>
                <w:lang w:eastAsia="en-GB"/>
              </w:rPr>
              <w:t>IBS</w:t>
            </w:r>
          </w:p>
        </w:tc>
        <w:tc>
          <w:tcPr>
            <w:tcW w:w="0" w:type="auto"/>
            <w:shd w:val="clear" w:color="auto" w:fill="auto"/>
          </w:tcPr>
          <w:p w14:paraId="7AB085BA" w14:textId="77777777" w:rsidR="008B4DF8" w:rsidRPr="00C1603D" w:rsidRDefault="008B4DF8" w:rsidP="004319B3">
            <w:pPr>
              <w:pStyle w:val="72TabletextTablesTableFigureBoxstyles"/>
              <w:rPr>
                <w:lang w:eastAsia="en-GB"/>
              </w:rPr>
            </w:pPr>
            <w:r w:rsidRPr="00C1603D">
              <w:rPr>
                <w:lang w:eastAsia="en-GB"/>
              </w:rPr>
              <w:t>1.127</w:t>
            </w:r>
          </w:p>
        </w:tc>
        <w:tc>
          <w:tcPr>
            <w:tcW w:w="0" w:type="auto"/>
            <w:shd w:val="clear" w:color="auto" w:fill="auto"/>
          </w:tcPr>
          <w:p w14:paraId="6107247C" w14:textId="77777777" w:rsidR="008B4DF8" w:rsidRPr="00C1603D" w:rsidRDefault="008B4DF8" w:rsidP="004319B3">
            <w:pPr>
              <w:pStyle w:val="72TabletextTablesTableFigureBoxstyles"/>
              <w:rPr>
                <w:lang w:eastAsia="en-GB"/>
              </w:rPr>
            </w:pPr>
            <w:r w:rsidRPr="00C1603D">
              <w:rPr>
                <w:lang w:eastAsia="en-GB"/>
              </w:rPr>
              <w:t>13</w:t>
            </w:r>
          </w:p>
        </w:tc>
        <w:tc>
          <w:tcPr>
            <w:tcW w:w="0" w:type="auto"/>
            <w:shd w:val="clear" w:color="auto" w:fill="auto"/>
          </w:tcPr>
          <w:p w14:paraId="6A0F82E2" w14:textId="6892DEEF" w:rsidR="008B4DF8" w:rsidRPr="00C1603D" w:rsidRDefault="008B4DF8" w:rsidP="004319B3">
            <w:pPr>
              <w:pStyle w:val="72TabletextTablesTableFigureBoxstyles"/>
              <w:rPr>
                <w:lang w:eastAsia="en-GB"/>
              </w:rPr>
            </w:pPr>
            <w:r w:rsidRPr="00C1603D">
              <w:rPr>
                <w:lang w:eastAsia="en-GB"/>
              </w:rPr>
              <w:t>1.135 (0.934</w:t>
            </w:r>
            <w:r w:rsidR="009E5C1E" w:rsidRPr="00C1603D">
              <w:rPr>
                <w:lang w:eastAsia="en-GB"/>
              </w:rPr>
              <w:t>–</w:t>
            </w:r>
            <w:r w:rsidRPr="00C1603D">
              <w:rPr>
                <w:lang w:eastAsia="en-GB"/>
              </w:rPr>
              <w:t>1.377)</w:t>
            </w:r>
          </w:p>
        </w:tc>
        <w:tc>
          <w:tcPr>
            <w:tcW w:w="0" w:type="auto"/>
            <w:shd w:val="clear" w:color="auto" w:fill="auto"/>
          </w:tcPr>
          <w:p w14:paraId="701D1022" w14:textId="77777777" w:rsidR="008B4DF8" w:rsidRPr="00C1603D" w:rsidRDefault="008B4DF8" w:rsidP="004319B3">
            <w:pPr>
              <w:pStyle w:val="72TabletextTablesTableFigureBoxstyles"/>
              <w:rPr>
                <w:lang w:eastAsia="en-GB"/>
              </w:rPr>
            </w:pPr>
            <w:r w:rsidRPr="00C1603D">
              <w:rPr>
                <w:lang w:eastAsia="en-GB"/>
              </w:rPr>
              <w:t>0.478</w:t>
            </w:r>
          </w:p>
        </w:tc>
        <w:tc>
          <w:tcPr>
            <w:tcW w:w="0" w:type="auto"/>
            <w:shd w:val="clear" w:color="auto" w:fill="auto"/>
          </w:tcPr>
          <w:p w14:paraId="2600E81B" w14:textId="77777777" w:rsidR="008B4DF8" w:rsidRPr="00C1603D" w:rsidRDefault="008B4DF8" w:rsidP="004319B3">
            <w:pPr>
              <w:pStyle w:val="72TabletextTablesTableFigureBoxstyles"/>
              <w:rPr>
                <w:lang w:eastAsia="en-GB"/>
              </w:rPr>
            </w:pPr>
            <w:r w:rsidRPr="00C1603D">
              <w:rPr>
                <w:lang w:eastAsia="en-GB"/>
              </w:rPr>
              <w:t>15</w:t>
            </w:r>
          </w:p>
        </w:tc>
        <w:tc>
          <w:tcPr>
            <w:tcW w:w="0" w:type="auto"/>
            <w:shd w:val="clear" w:color="auto" w:fill="auto"/>
          </w:tcPr>
          <w:p w14:paraId="0BD5221D" w14:textId="00AD327E" w:rsidR="008B4DF8" w:rsidRPr="00C1603D" w:rsidRDefault="008B4DF8" w:rsidP="004319B3">
            <w:pPr>
              <w:pStyle w:val="72TabletextTablesTableFigureBoxstyles"/>
              <w:rPr>
                <w:lang w:eastAsia="en-GB"/>
              </w:rPr>
            </w:pPr>
            <w:r w:rsidRPr="00C1603D">
              <w:rPr>
                <w:lang w:eastAsia="en-GB"/>
              </w:rPr>
              <w:t>0.474 (0.450</w:t>
            </w:r>
            <w:r w:rsidR="00C2076E" w:rsidRPr="00C1603D">
              <w:rPr>
                <w:lang w:eastAsia="en-GB"/>
              </w:rPr>
              <w:t>–</w:t>
            </w:r>
            <w:r w:rsidRPr="00C1603D">
              <w:rPr>
                <w:lang w:eastAsia="en-GB"/>
              </w:rPr>
              <w:t>0.505)</w:t>
            </w:r>
          </w:p>
        </w:tc>
        <w:tc>
          <w:tcPr>
            <w:tcW w:w="0" w:type="auto"/>
            <w:shd w:val="clear" w:color="auto" w:fill="auto"/>
          </w:tcPr>
          <w:p w14:paraId="0A8A5EE5" w14:textId="77777777" w:rsidR="008B4DF8" w:rsidRPr="00C1603D" w:rsidRDefault="008B4DF8" w:rsidP="004319B3">
            <w:pPr>
              <w:pStyle w:val="72TabletextTablesTableFigureBoxstyles"/>
              <w:rPr>
                <w:lang w:eastAsia="en-GB"/>
              </w:rPr>
            </w:pPr>
            <w:r w:rsidRPr="00C1603D">
              <w:rPr>
                <w:lang w:eastAsia="en-GB"/>
              </w:rPr>
              <w:t>0.709</w:t>
            </w:r>
          </w:p>
        </w:tc>
        <w:tc>
          <w:tcPr>
            <w:tcW w:w="0" w:type="auto"/>
            <w:shd w:val="clear" w:color="auto" w:fill="auto"/>
          </w:tcPr>
          <w:p w14:paraId="79673F0B" w14:textId="77777777" w:rsidR="008B4DF8" w:rsidRPr="00C1603D" w:rsidRDefault="008B4DF8" w:rsidP="004319B3">
            <w:pPr>
              <w:pStyle w:val="72TabletextTablesTableFigureBoxstyles"/>
              <w:rPr>
                <w:lang w:eastAsia="en-GB"/>
              </w:rPr>
            </w:pPr>
            <w:r w:rsidRPr="00C1603D">
              <w:rPr>
                <w:lang w:eastAsia="en-GB"/>
              </w:rPr>
              <w:t>11</w:t>
            </w:r>
          </w:p>
        </w:tc>
        <w:tc>
          <w:tcPr>
            <w:tcW w:w="0" w:type="auto"/>
            <w:shd w:val="clear" w:color="auto" w:fill="auto"/>
          </w:tcPr>
          <w:p w14:paraId="08EA909F" w14:textId="3E71BEDC" w:rsidR="008B4DF8" w:rsidRPr="00C1603D" w:rsidRDefault="008B4DF8" w:rsidP="004319B3">
            <w:pPr>
              <w:pStyle w:val="72TabletextTablesTableFigureBoxstyles"/>
              <w:rPr>
                <w:lang w:eastAsia="en-GB"/>
              </w:rPr>
            </w:pPr>
            <w:r w:rsidRPr="00C1603D">
              <w:rPr>
                <w:lang w:eastAsia="en-GB"/>
              </w:rPr>
              <w:t>0.714 (0.651</w:t>
            </w:r>
            <w:r w:rsidR="00C2076E" w:rsidRPr="00C1603D">
              <w:rPr>
                <w:lang w:eastAsia="en-GB"/>
              </w:rPr>
              <w:t>–</w:t>
            </w:r>
            <w:r w:rsidRPr="00C1603D">
              <w:rPr>
                <w:lang w:eastAsia="en-GB"/>
              </w:rPr>
              <w:t>0.776)</w:t>
            </w:r>
          </w:p>
        </w:tc>
      </w:tr>
      <w:tr w:rsidR="0006040D" w:rsidRPr="00C1603D" w14:paraId="3262B350" w14:textId="77777777" w:rsidTr="004319B3">
        <w:trPr>
          <w:cantSplit/>
        </w:trPr>
        <w:tc>
          <w:tcPr>
            <w:tcW w:w="0" w:type="auto"/>
            <w:shd w:val="clear" w:color="auto" w:fill="auto"/>
          </w:tcPr>
          <w:p w14:paraId="7E929FD5" w14:textId="77777777" w:rsidR="0006040D" w:rsidRPr="00C1603D" w:rsidRDefault="0006040D" w:rsidP="0006040D">
            <w:pPr>
              <w:pStyle w:val="72TabletextTablesTableFigureBoxstyles"/>
              <w:rPr>
                <w:lang w:eastAsia="en-GB"/>
              </w:rPr>
            </w:pPr>
            <w:r w:rsidRPr="00C1603D">
              <w:rPr>
                <w:lang w:eastAsia="en-GB"/>
              </w:rPr>
              <w:lastRenderedPageBreak/>
              <w:t>Mood disorders</w:t>
            </w:r>
          </w:p>
        </w:tc>
        <w:tc>
          <w:tcPr>
            <w:tcW w:w="0" w:type="auto"/>
            <w:shd w:val="clear" w:color="auto" w:fill="auto"/>
          </w:tcPr>
          <w:p w14:paraId="5A0A9973" w14:textId="77777777" w:rsidR="0006040D" w:rsidRPr="00C1603D" w:rsidRDefault="0006040D" w:rsidP="0006040D">
            <w:pPr>
              <w:pStyle w:val="72TabletextTablesTableFigureBoxstyles"/>
              <w:rPr>
                <w:lang w:eastAsia="en-GB"/>
              </w:rPr>
            </w:pPr>
            <w:r w:rsidRPr="00C1603D">
              <w:rPr>
                <w:lang w:eastAsia="en-GB"/>
              </w:rPr>
              <w:t>0.363</w:t>
            </w:r>
          </w:p>
        </w:tc>
        <w:tc>
          <w:tcPr>
            <w:tcW w:w="0" w:type="auto"/>
            <w:shd w:val="clear" w:color="auto" w:fill="auto"/>
          </w:tcPr>
          <w:p w14:paraId="63ADC058" w14:textId="77777777" w:rsidR="0006040D" w:rsidRPr="00C1603D" w:rsidRDefault="0006040D" w:rsidP="0006040D">
            <w:pPr>
              <w:pStyle w:val="72TabletextTablesTableFigureBoxstyles"/>
              <w:rPr>
                <w:lang w:eastAsia="en-GB"/>
              </w:rPr>
            </w:pPr>
            <w:r w:rsidRPr="00C1603D">
              <w:rPr>
                <w:lang w:eastAsia="en-GB"/>
              </w:rPr>
              <w:t>18</w:t>
            </w:r>
          </w:p>
        </w:tc>
        <w:tc>
          <w:tcPr>
            <w:tcW w:w="0" w:type="auto"/>
            <w:shd w:val="clear" w:color="auto" w:fill="auto"/>
          </w:tcPr>
          <w:p w14:paraId="1BB8DB91" w14:textId="6752E493" w:rsidR="0006040D" w:rsidRPr="00C1603D" w:rsidRDefault="0006040D" w:rsidP="0006040D">
            <w:pPr>
              <w:pStyle w:val="72TabletextTablesTableFigureBoxstyles"/>
              <w:rPr>
                <w:lang w:eastAsia="en-GB"/>
              </w:rPr>
            </w:pPr>
            <w:r w:rsidRPr="00C1603D">
              <w:rPr>
                <w:lang w:eastAsia="en-GB"/>
              </w:rPr>
              <w:t>0.343 (0.250–0.448)</w:t>
            </w:r>
          </w:p>
        </w:tc>
        <w:tc>
          <w:tcPr>
            <w:tcW w:w="0" w:type="auto"/>
            <w:shd w:val="clear" w:color="auto" w:fill="auto"/>
          </w:tcPr>
          <w:p w14:paraId="1DCC1D39" w14:textId="0673A1F7"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3A89DB7D" w14:textId="6AE367B3"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55B624B3" w14:textId="0859C77F"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47AABC25" w14:textId="7CEF0E85"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7C00BE77" w14:textId="5FE37A87"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4397D211" w14:textId="22F6D9D3" w:rsidR="0006040D" w:rsidRPr="00C1603D" w:rsidRDefault="0006040D" w:rsidP="0006040D">
            <w:pPr>
              <w:pStyle w:val="72TabletextTablesTableFigureBoxstyles"/>
              <w:rPr>
                <w:lang w:eastAsia="en-GB"/>
              </w:rPr>
            </w:pPr>
            <w:r w:rsidRPr="00C1603D">
              <w:rPr>
                <w:lang w:eastAsia="en-GB"/>
              </w:rPr>
              <w:t>NS</w:t>
            </w:r>
          </w:p>
        </w:tc>
      </w:tr>
      <w:tr w:rsidR="0006040D" w:rsidRPr="00C1603D" w14:paraId="5FBE3997" w14:textId="77777777" w:rsidTr="004319B3">
        <w:trPr>
          <w:cantSplit/>
        </w:trPr>
        <w:tc>
          <w:tcPr>
            <w:tcW w:w="0" w:type="auto"/>
            <w:shd w:val="clear" w:color="auto" w:fill="auto"/>
          </w:tcPr>
          <w:p w14:paraId="0F85D570" w14:textId="77777777" w:rsidR="0006040D" w:rsidRPr="00C1603D" w:rsidRDefault="0006040D" w:rsidP="0006040D">
            <w:pPr>
              <w:pStyle w:val="72TabletextTablesTableFigureBoxstyles"/>
              <w:rPr>
                <w:lang w:eastAsia="en-GB"/>
              </w:rPr>
            </w:pPr>
            <w:r w:rsidRPr="00C1603D">
              <w:rPr>
                <w:lang w:eastAsia="en-GB"/>
              </w:rPr>
              <w:t>Mouth ulcers</w:t>
            </w:r>
          </w:p>
        </w:tc>
        <w:tc>
          <w:tcPr>
            <w:tcW w:w="0" w:type="auto"/>
            <w:shd w:val="clear" w:color="auto" w:fill="auto"/>
          </w:tcPr>
          <w:p w14:paraId="1C59E735" w14:textId="3664098E"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4007949A" w14:textId="2642C692"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7DDCA232" w14:textId="1FEAAC46"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14475898" w14:textId="6311A71D"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101E7F96" w14:textId="6CA1E75B"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7D115217" w14:textId="137FD370"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1C8729D4" w14:textId="77777777" w:rsidR="0006040D" w:rsidRPr="00C1603D" w:rsidRDefault="0006040D" w:rsidP="0006040D">
            <w:pPr>
              <w:pStyle w:val="72TabletextTablesTableFigureBoxstyles"/>
              <w:rPr>
                <w:lang w:eastAsia="en-GB"/>
              </w:rPr>
            </w:pPr>
            <w:r w:rsidRPr="00C1603D">
              <w:rPr>
                <w:lang w:eastAsia="en-GB"/>
              </w:rPr>
              <w:t>0.412</w:t>
            </w:r>
          </w:p>
        </w:tc>
        <w:tc>
          <w:tcPr>
            <w:tcW w:w="0" w:type="auto"/>
            <w:shd w:val="clear" w:color="auto" w:fill="auto"/>
          </w:tcPr>
          <w:p w14:paraId="085C6C08" w14:textId="77777777" w:rsidR="0006040D" w:rsidRPr="00C1603D" w:rsidRDefault="0006040D" w:rsidP="0006040D">
            <w:pPr>
              <w:pStyle w:val="72TabletextTablesTableFigureBoxstyles"/>
              <w:rPr>
                <w:lang w:eastAsia="en-GB"/>
              </w:rPr>
            </w:pPr>
            <w:r w:rsidRPr="00C1603D">
              <w:rPr>
                <w:lang w:eastAsia="en-GB"/>
              </w:rPr>
              <w:t>14</w:t>
            </w:r>
          </w:p>
        </w:tc>
        <w:tc>
          <w:tcPr>
            <w:tcW w:w="0" w:type="auto"/>
            <w:shd w:val="clear" w:color="auto" w:fill="auto"/>
          </w:tcPr>
          <w:p w14:paraId="5CA9235B" w14:textId="3D248E3E" w:rsidR="0006040D" w:rsidRPr="00C1603D" w:rsidRDefault="0006040D" w:rsidP="0006040D">
            <w:pPr>
              <w:pStyle w:val="72TabletextTablesTableFigureBoxstyles"/>
              <w:rPr>
                <w:lang w:eastAsia="en-GB"/>
              </w:rPr>
            </w:pPr>
            <w:r w:rsidRPr="00C1603D">
              <w:rPr>
                <w:lang w:eastAsia="en-GB"/>
              </w:rPr>
              <w:t>0.401 (0.305–0.514)</w:t>
            </w:r>
          </w:p>
        </w:tc>
      </w:tr>
      <w:tr w:rsidR="000A5CC9" w:rsidRPr="00C1603D" w14:paraId="4A8D9398" w14:textId="77777777" w:rsidTr="004319B3">
        <w:trPr>
          <w:cantSplit/>
        </w:trPr>
        <w:tc>
          <w:tcPr>
            <w:tcW w:w="0" w:type="auto"/>
            <w:shd w:val="clear" w:color="auto" w:fill="auto"/>
          </w:tcPr>
          <w:p w14:paraId="1FB44666" w14:textId="77777777" w:rsidR="000A5CC9" w:rsidRPr="00C1603D" w:rsidRDefault="000A5CC9" w:rsidP="000A5CC9">
            <w:pPr>
              <w:pStyle w:val="72TabletextTablesTableFigureBoxstyles"/>
              <w:rPr>
                <w:lang w:eastAsia="en-GB"/>
              </w:rPr>
            </w:pPr>
            <w:r w:rsidRPr="00C1603D">
              <w:rPr>
                <w:lang w:eastAsia="en-GB"/>
              </w:rPr>
              <w:t>Mouth ulcers (count 1 year)</w:t>
            </w:r>
          </w:p>
        </w:tc>
        <w:tc>
          <w:tcPr>
            <w:tcW w:w="0" w:type="auto"/>
            <w:shd w:val="clear" w:color="auto" w:fill="auto"/>
          </w:tcPr>
          <w:p w14:paraId="61FD8A26" w14:textId="4DC17375"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56A9BE80" w14:textId="2B437C9B"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48FE2784" w14:textId="09A83E8F"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593EC5D3" w14:textId="77777777" w:rsidR="000A5CC9" w:rsidRPr="00C1603D" w:rsidRDefault="000A5CC9" w:rsidP="000A5CC9">
            <w:pPr>
              <w:pStyle w:val="72TabletextTablesTableFigureBoxstyles"/>
              <w:rPr>
                <w:lang w:eastAsia="en-GB"/>
              </w:rPr>
            </w:pPr>
            <w:r w:rsidRPr="00C1603D">
              <w:rPr>
                <w:lang w:eastAsia="en-GB"/>
              </w:rPr>
              <w:t>0.857</w:t>
            </w:r>
          </w:p>
        </w:tc>
        <w:tc>
          <w:tcPr>
            <w:tcW w:w="0" w:type="auto"/>
            <w:shd w:val="clear" w:color="auto" w:fill="auto"/>
          </w:tcPr>
          <w:p w14:paraId="58380572" w14:textId="77777777" w:rsidR="000A5CC9" w:rsidRPr="00C1603D" w:rsidRDefault="000A5CC9" w:rsidP="000A5CC9">
            <w:pPr>
              <w:pStyle w:val="72TabletextTablesTableFigureBoxstyles"/>
              <w:rPr>
                <w:lang w:eastAsia="en-GB"/>
              </w:rPr>
            </w:pPr>
            <w:r w:rsidRPr="00C1603D">
              <w:rPr>
                <w:lang w:eastAsia="en-GB"/>
              </w:rPr>
              <w:t>10</w:t>
            </w:r>
          </w:p>
        </w:tc>
        <w:tc>
          <w:tcPr>
            <w:tcW w:w="0" w:type="auto"/>
            <w:shd w:val="clear" w:color="auto" w:fill="auto"/>
          </w:tcPr>
          <w:p w14:paraId="7835BF6D" w14:textId="13047FE3" w:rsidR="000A5CC9" w:rsidRPr="00C1603D" w:rsidRDefault="000A5CC9" w:rsidP="000A5CC9">
            <w:pPr>
              <w:pStyle w:val="72TabletextTablesTableFigureBoxstyles"/>
              <w:rPr>
                <w:lang w:eastAsia="en-GB"/>
              </w:rPr>
            </w:pPr>
            <w:r w:rsidRPr="00C1603D">
              <w:rPr>
                <w:lang w:eastAsia="en-GB"/>
              </w:rPr>
              <w:t>0.841 (0.767–0.907)</w:t>
            </w:r>
          </w:p>
        </w:tc>
        <w:tc>
          <w:tcPr>
            <w:tcW w:w="0" w:type="auto"/>
            <w:shd w:val="clear" w:color="auto" w:fill="auto"/>
          </w:tcPr>
          <w:p w14:paraId="40FDB0B5" w14:textId="77777777" w:rsidR="000A5CC9" w:rsidRPr="00C1603D" w:rsidRDefault="000A5CC9" w:rsidP="000A5CC9">
            <w:pPr>
              <w:pStyle w:val="72TabletextTablesTableFigureBoxstyles"/>
              <w:rPr>
                <w:lang w:eastAsia="en-GB"/>
              </w:rPr>
            </w:pPr>
            <w:r w:rsidRPr="00C1603D">
              <w:rPr>
                <w:lang w:eastAsia="en-GB"/>
              </w:rPr>
              <w:t>0.934</w:t>
            </w:r>
          </w:p>
        </w:tc>
        <w:tc>
          <w:tcPr>
            <w:tcW w:w="0" w:type="auto"/>
            <w:shd w:val="clear" w:color="auto" w:fill="auto"/>
          </w:tcPr>
          <w:p w14:paraId="5F70F02F" w14:textId="77777777" w:rsidR="000A5CC9" w:rsidRPr="00C1603D" w:rsidRDefault="000A5CC9" w:rsidP="000A5CC9">
            <w:pPr>
              <w:pStyle w:val="72TabletextTablesTableFigureBoxstyles"/>
              <w:rPr>
                <w:lang w:eastAsia="en-GB"/>
              </w:rPr>
            </w:pPr>
            <w:r w:rsidRPr="00C1603D">
              <w:rPr>
                <w:lang w:eastAsia="en-GB"/>
              </w:rPr>
              <w:t>8</w:t>
            </w:r>
          </w:p>
        </w:tc>
        <w:tc>
          <w:tcPr>
            <w:tcW w:w="0" w:type="auto"/>
            <w:shd w:val="clear" w:color="auto" w:fill="auto"/>
          </w:tcPr>
          <w:p w14:paraId="0ABB3283" w14:textId="7B4FBD78" w:rsidR="000A5CC9" w:rsidRPr="00C1603D" w:rsidRDefault="000A5CC9" w:rsidP="000A5CC9">
            <w:pPr>
              <w:pStyle w:val="72TabletextTablesTableFigureBoxstyles"/>
              <w:rPr>
                <w:lang w:eastAsia="en-GB"/>
              </w:rPr>
            </w:pPr>
            <w:r w:rsidRPr="00C1603D">
              <w:rPr>
                <w:lang w:eastAsia="en-GB"/>
              </w:rPr>
              <w:t>0.919 (0.849–0.994)</w:t>
            </w:r>
          </w:p>
        </w:tc>
      </w:tr>
      <w:tr w:rsidR="000A5CC9" w:rsidRPr="00C1603D" w14:paraId="10231DF5" w14:textId="77777777" w:rsidTr="004319B3">
        <w:trPr>
          <w:cantSplit/>
        </w:trPr>
        <w:tc>
          <w:tcPr>
            <w:tcW w:w="0" w:type="auto"/>
            <w:shd w:val="clear" w:color="auto" w:fill="auto"/>
          </w:tcPr>
          <w:p w14:paraId="34641D6A" w14:textId="09AEA9BA" w:rsidR="000A5CC9" w:rsidRPr="00C1603D" w:rsidRDefault="000A5CC9" w:rsidP="000A5CC9">
            <w:pPr>
              <w:pStyle w:val="72TabletextTablesTableFigureBoxstyles"/>
              <w:rPr>
                <w:lang w:eastAsia="en-GB"/>
              </w:rPr>
            </w:pPr>
            <w:commentRangeStart w:id="218"/>
            <w:commentRangeStart w:id="219"/>
            <w:r w:rsidRPr="00C1603D">
              <w:rPr>
                <w:lang w:eastAsia="en-GB"/>
              </w:rPr>
              <w:t>Neuropathy or ataxia</w:t>
            </w:r>
            <w:commentRangeEnd w:id="218"/>
            <w:r w:rsidRPr="00C1603D">
              <w:commentReference w:id="218"/>
            </w:r>
            <w:commentRangeEnd w:id="219"/>
            <w:r w:rsidRPr="00C1603D">
              <w:commentReference w:id="219"/>
            </w:r>
          </w:p>
        </w:tc>
        <w:tc>
          <w:tcPr>
            <w:tcW w:w="0" w:type="auto"/>
            <w:shd w:val="clear" w:color="auto" w:fill="auto"/>
          </w:tcPr>
          <w:p w14:paraId="7FC93442" w14:textId="34B7CCF2"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64E6D67D" w14:textId="042540DE"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06BF65D6" w14:textId="799D2A1A"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77B26FD9" w14:textId="77777777" w:rsidR="000A5CC9" w:rsidRPr="00C1603D" w:rsidRDefault="000A5CC9" w:rsidP="000A5CC9">
            <w:pPr>
              <w:pStyle w:val="72TabletextTablesTableFigureBoxstyles"/>
              <w:rPr>
                <w:lang w:eastAsia="en-GB"/>
              </w:rPr>
            </w:pPr>
            <w:r w:rsidRPr="00C1603D">
              <w:rPr>
                <w:lang w:eastAsia="en-GB"/>
              </w:rPr>
              <w:t>0.179</w:t>
            </w:r>
          </w:p>
        </w:tc>
        <w:tc>
          <w:tcPr>
            <w:tcW w:w="0" w:type="auto"/>
            <w:shd w:val="clear" w:color="auto" w:fill="auto"/>
          </w:tcPr>
          <w:p w14:paraId="1379BF03" w14:textId="77777777" w:rsidR="000A5CC9" w:rsidRPr="00C1603D" w:rsidRDefault="000A5CC9" w:rsidP="000A5CC9">
            <w:pPr>
              <w:pStyle w:val="72TabletextTablesTableFigureBoxstyles"/>
              <w:rPr>
                <w:lang w:eastAsia="en-GB"/>
              </w:rPr>
            </w:pPr>
            <w:r w:rsidRPr="00C1603D">
              <w:rPr>
                <w:lang w:eastAsia="en-GB"/>
              </w:rPr>
              <w:t>21</w:t>
            </w:r>
          </w:p>
        </w:tc>
        <w:tc>
          <w:tcPr>
            <w:tcW w:w="0" w:type="auto"/>
            <w:shd w:val="clear" w:color="auto" w:fill="auto"/>
          </w:tcPr>
          <w:p w14:paraId="40A18E36" w14:textId="030BDA9C" w:rsidR="000A5CC9" w:rsidRPr="00C1603D" w:rsidRDefault="000A5CC9" w:rsidP="000A5CC9">
            <w:pPr>
              <w:pStyle w:val="72TabletextTablesTableFigureBoxstyles"/>
              <w:rPr>
                <w:lang w:eastAsia="en-GB"/>
              </w:rPr>
            </w:pPr>
            <w:r w:rsidRPr="00C1603D">
              <w:rPr>
                <w:lang w:eastAsia="en-GB"/>
              </w:rPr>
              <w:t>0.178 (0.074–0.311)</w:t>
            </w:r>
          </w:p>
        </w:tc>
        <w:tc>
          <w:tcPr>
            <w:tcW w:w="0" w:type="auto"/>
            <w:shd w:val="clear" w:color="auto" w:fill="auto"/>
          </w:tcPr>
          <w:p w14:paraId="10D98955" w14:textId="6328CC55" w:rsidR="000A5CC9" w:rsidRPr="00C1603D" w:rsidRDefault="000A5CC9" w:rsidP="000A5CC9">
            <w:pPr>
              <w:pStyle w:val="72TabletextTablesTableFigureBoxstyles"/>
              <w:rPr>
                <w:lang w:eastAsia="en-GB"/>
              </w:rPr>
            </w:pPr>
            <w:r w:rsidRPr="00C1603D">
              <w:rPr>
                <w:lang w:eastAsia="en-GB"/>
              </w:rPr>
              <w:t>–</w:t>
            </w:r>
          </w:p>
        </w:tc>
        <w:tc>
          <w:tcPr>
            <w:tcW w:w="0" w:type="auto"/>
            <w:shd w:val="clear" w:color="auto" w:fill="auto"/>
          </w:tcPr>
          <w:p w14:paraId="047641F2" w14:textId="72ABB157" w:rsidR="000A5CC9" w:rsidRPr="00C1603D" w:rsidRDefault="000A5CC9" w:rsidP="000A5CC9">
            <w:pPr>
              <w:pStyle w:val="72TabletextTablesTableFigureBoxstyles"/>
              <w:rPr>
                <w:lang w:eastAsia="en-GB"/>
              </w:rPr>
            </w:pPr>
            <w:r w:rsidRPr="00C1603D">
              <w:rPr>
                <w:lang w:eastAsia="en-GB"/>
              </w:rPr>
              <w:t>–</w:t>
            </w:r>
          </w:p>
        </w:tc>
        <w:tc>
          <w:tcPr>
            <w:tcW w:w="0" w:type="auto"/>
            <w:shd w:val="clear" w:color="auto" w:fill="auto"/>
          </w:tcPr>
          <w:p w14:paraId="47CCA001" w14:textId="2B77A941" w:rsidR="000A5CC9" w:rsidRPr="00C1603D" w:rsidRDefault="000A5CC9" w:rsidP="000A5CC9">
            <w:pPr>
              <w:pStyle w:val="72TabletextTablesTableFigureBoxstyles"/>
              <w:rPr>
                <w:lang w:eastAsia="en-GB"/>
              </w:rPr>
            </w:pPr>
            <w:r w:rsidRPr="00C1603D">
              <w:rPr>
                <w:lang w:eastAsia="en-GB"/>
              </w:rPr>
              <w:t>–</w:t>
            </w:r>
          </w:p>
        </w:tc>
      </w:tr>
      <w:tr w:rsidR="000A5CC9" w:rsidRPr="00C1603D" w14:paraId="78200F58" w14:textId="77777777" w:rsidTr="004319B3">
        <w:trPr>
          <w:cantSplit/>
        </w:trPr>
        <w:tc>
          <w:tcPr>
            <w:tcW w:w="0" w:type="auto"/>
            <w:shd w:val="clear" w:color="auto" w:fill="auto"/>
          </w:tcPr>
          <w:p w14:paraId="2E410072" w14:textId="77777777" w:rsidR="000A5CC9" w:rsidRPr="00C1603D" w:rsidRDefault="000A5CC9" w:rsidP="000A5CC9">
            <w:pPr>
              <w:pStyle w:val="72TabletextTablesTableFigureBoxstyles"/>
              <w:rPr>
                <w:lang w:eastAsia="en-GB"/>
              </w:rPr>
            </w:pPr>
            <w:r w:rsidRPr="00C1603D">
              <w:rPr>
                <w:lang w:eastAsia="en-GB"/>
              </w:rPr>
              <w:t>Osteoporosis</w:t>
            </w:r>
          </w:p>
        </w:tc>
        <w:tc>
          <w:tcPr>
            <w:tcW w:w="0" w:type="auto"/>
            <w:shd w:val="clear" w:color="auto" w:fill="auto"/>
          </w:tcPr>
          <w:p w14:paraId="0EBAD0FC" w14:textId="0C5D9F47"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2FF01689" w14:textId="514D1BB1"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289D4815" w14:textId="4BD466E1"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34E31DF4" w14:textId="77777777" w:rsidR="000A5CC9" w:rsidRPr="00C1603D" w:rsidRDefault="000A5CC9" w:rsidP="000A5CC9">
            <w:pPr>
              <w:pStyle w:val="72TabletextTablesTableFigureBoxstyles"/>
              <w:rPr>
                <w:lang w:eastAsia="en-GB"/>
              </w:rPr>
            </w:pPr>
            <w:r w:rsidRPr="00C1603D">
              <w:rPr>
                <w:lang w:eastAsia="en-GB"/>
              </w:rPr>
              <w:t>1.028</w:t>
            </w:r>
          </w:p>
        </w:tc>
        <w:tc>
          <w:tcPr>
            <w:tcW w:w="0" w:type="auto"/>
            <w:shd w:val="clear" w:color="auto" w:fill="auto"/>
          </w:tcPr>
          <w:p w14:paraId="0800E8B2" w14:textId="77777777" w:rsidR="000A5CC9" w:rsidRPr="00C1603D" w:rsidRDefault="000A5CC9" w:rsidP="000A5CC9">
            <w:pPr>
              <w:pStyle w:val="72TabletextTablesTableFigureBoxstyles"/>
              <w:rPr>
                <w:lang w:eastAsia="en-GB"/>
              </w:rPr>
            </w:pPr>
            <w:r w:rsidRPr="00C1603D">
              <w:rPr>
                <w:lang w:eastAsia="en-GB"/>
              </w:rPr>
              <w:t>8</w:t>
            </w:r>
          </w:p>
        </w:tc>
        <w:tc>
          <w:tcPr>
            <w:tcW w:w="0" w:type="auto"/>
            <w:shd w:val="clear" w:color="auto" w:fill="auto"/>
          </w:tcPr>
          <w:p w14:paraId="25EB99FB" w14:textId="195AF487" w:rsidR="000A5CC9" w:rsidRPr="00C1603D" w:rsidRDefault="000A5CC9" w:rsidP="000A5CC9">
            <w:pPr>
              <w:pStyle w:val="72TabletextTablesTableFigureBoxstyles"/>
              <w:rPr>
                <w:lang w:eastAsia="en-GB"/>
              </w:rPr>
            </w:pPr>
            <w:r w:rsidRPr="00C1603D">
              <w:rPr>
                <w:lang w:eastAsia="en-GB"/>
              </w:rPr>
              <w:t>1.040 (1.000–1.077)</w:t>
            </w:r>
          </w:p>
        </w:tc>
        <w:tc>
          <w:tcPr>
            <w:tcW w:w="0" w:type="auto"/>
            <w:shd w:val="clear" w:color="auto" w:fill="auto"/>
          </w:tcPr>
          <w:p w14:paraId="5A7EF731" w14:textId="77777777" w:rsidR="000A5CC9" w:rsidRPr="00C1603D" w:rsidRDefault="000A5CC9" w:rsidP="000A5CC9">
            <w:pPr>
              <w:pStyle w:val="72TabletextTablesTableFigureBoxstyles"/>
              <w:rPr>
                <w:lang w:eastAsia="en-GB"/>
              </w:rPr>
            </w:pPr>
            <w:r w:rsidRPr="00C1603D">
              <w:rPr>
                <w:lang w:eastAsia="en-GB"/>
              </w:rPr>
              <w:t>1.554</w:t>
            </w:r>
          </w:p>
        </w:tc>
        <w:tc>
          <w:tcPr>
            <w:tcW w:w="0" w:type="auto"/>
            <w:shd w:val="clear" w:color="auto" w:fill="auto"/>
          </w:tcPr>
          <w:p w14:paraId="53DDF7CE" w14:textId="77777777" w:rsidR="000A5CC9" w:rsidRPr="00C1603D" w:rsidRDefault="000A5CC9" w:rsidP="000A5CC9">
            <w:pPr>
              <w:pStyle w:val="72TabletextTablesTableFigureBoxstyles"/>
              <w:rPr>
                <w:lang w:eastAsia="en-GB"/>
              </w:rPr>
            </w:pPr>
            <w:r w:rsidRPr="00C1603D">
              <w:rPr>
                <w:lang w:eastAsia="en-GB"/>
              </w:rPr>
              <w:t>5</w:t>
            </w:r>
          </w:p>
        </w:tc>
        <w:tc>
          <w:tcPr>
            <w:tcW w:w="0" w:type="auto"/>
            <w:shd w:val="clear" w:color="auto" w:fill="auto"/>
          </w:tcPr>
          <w:p w14:paraId="05786DFC" w14:textId="167400CF" w:rsidR="000A5CC9" w:rsidRPr="00C1603D" w:rsidRDefault="000A5CC9" w:rsidP="000A5CC9">
            <w:pPr>
              <w:pStyle w:val="72TabletextTablesTableFigureBoxstyles"/>
              <w:rPr>
                <w:lang w:eastAsia="en-GB"/>
              </w:rPr>
            </w:pPr>
            <w:r w:rsidRPr="00C1603D">
              <w:rPr>
                <w:lang w:eastAsia="en-GB"/>
              </w:rPr>
              <w:t>1.549 (1.433–1.673)</w:t>
            </w:r>
          </w:p>
        </w:tc>
      </w:tr>
      <w:tr w:rsidR="000A5CC9" w:rsidRPr="00C1603D" w14:paraId="180F26B7" w14:textId="77777777" w:rsidTr="004319B3">
        <w:trPr>
          <w:cantSplit/>
        </w:trPr>
        <w:tc>
          <w:tcPr>
            <w:tcW w:w="0" w:type="auto"/>
            <w:shd w:val="clear" w:color="auto" w:fill="auto"/>
          </w:tcPr>
          <w:p w14:paraId="00F9A905" w14:textId="77777777" w:rsidR="000A5CC9" w:rsidRPr="00C1603D" w:rsidRDefault="000A5CC9" w:rsidP="000A5CC9">
            <w:pPr>
              <w:pStyle w:val="72TabletextTablesTableFigureBoxstyles"/>
              <w:rPr>
                <w:lang w:eastAsia="en-GB"/>
              </w:rPr>
            </w:pPr>
            <w:r w:rsidRPr="00C1603D">
              <w:rPr>
                <w:lang w:eastAsia="en-GB"/>
              </w:rPr>
              <w:t>Psoriasis</w:t>
            </w:r>
          </w:p>
        </w:tc>
        <w:tc>
          <w:tcPr>
            <w:tcW w:w="0" w:type="auto"/>
            <w:shd w:val="clear" w:color="auto" w:fill="auto"/>
          </w:tcPr>
          <w:p w14:paraId="04D5D6A6" w14:textId="5E0A5E9E"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1A9849C4" w14:textId="367B5C60"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5F52B0A9" w14:textId="59914C52" w:rsidR="000A5CC9" w:rsidRPr="00C1603D" w:rsidRDefault="000A5CC9" w:rsidP="000A5CC9">
            <w:pPr>
              <w:pStyle w:val="72TabletextTablesTableFigureBoxstyles"/>
              <w:rPr>
                <w:lang w:eastAsia="en-GB"/>
              </w:rPr>
            </w:pPr>
            <w:r w:rsidRPr="00C1603D">
              <w:rPr>
                <w:lang w:eastAsia="en-GB"/>
              </w:rPr>
              <w:t>NS</w:t>
            </w:r>
          </w:p>
        </w:tc>
        <w:tc>
          <w:tcPr>
            <w:tcW w:w="0" w:type="auto"/>
            <w:shd w:val="clear" w:color="auto" w:fill="auto"/>
          </w:tcPr>
          <w:p w14:paraId="025036C5" w14:textId="77777777" w:rsidR="000A5CC9" w:rsidRPr="00C1603D" w:rsidRDefault="000A5CC9" w:rsidP="000A5CC9">
            <w:pPr>
              <w:pStyle w:val="72TabletextTablesTableFigureBoxstyles"/>
              <w:rPr>
                <w:lang w:eastAsia="en-GB"/>
              </w:rPr>
            </w:pPr>
            <w:r w:rsidRPr="00C1603D">
              <w:rPr>
                <w:lang w:eastAsia="en-GB"/>
              </w:rPr>
              <w:t>0.048</w:t>
            </w:r>
          </w:p>
        </w:tc>
        <w:tc>
          <w:tcPr>
            <w:tcW w:w="0" w:type="auto"/>
            <w:shd w:val="clear" w:color="auto" w:fill="auto"/>
          </w:tcPr>
          <w:p w14:paraId="5A51D46B" w14:textId="77777777" w:rsidR="000A5CC9" w:rsidRPr="00C1603D" w:rsidRDefault="000A5CC9" w:rsidP="000A5CC9">
            <w:pPr>
              <w:pStyle w:val="72TabletextTablesTableFigureBoxstyles"/>
              <w:rPr>
                <w:lang w:eastAsia="en-GB"/>
              </w:rPr>
            </w:pPr>
            <w:r w:rsidRPr="00C1603D">
              <w:rPr>
                <w:lang w:eastAsia="en-GB"/>
              </w:rPr>
              <w:t>24</w:t>
            </w:r>
          </w:p>
        </w:tc>
        <w:tc>
          <w:tcPr>
            <w:tcW w:w="0" w:type="auto"/>
            <w:shd w:val="clear" w:color="auto" w:fill="auto"/>
          </w:tcPr>
          <w:p w14:paraId="104EF733" w14:textId="53EE28DD" w:rsidR="000A5CC9" w:rsidRPr="00C1603D" w:rsidRDefault="000A5CC9" w:rsidP="000A5CC9">
            <w:pPr>
              <w:pStyle w:val="72TabletextTablesTableFigureBoxstyles"/>
              <w:rPr>
                <w:lang w:eastAsia="en-GB"/>
              </w:rPr>
            </w:pPr>
            <w:r w:rsidRPr="00C1603D">
              <w:rPr>
                <w:lang w:eastAsia="en-GB"/>
              </w:rPr>
              <w:t>0.047 (0.000–0.097)</w:t>
            </w:r>
          </w:p>
        </w:tc>
        <w:tc>
          <w:tcPr>
            <w:tcW w:w="0" w:type="auto"/>
            <w:shd w:val="clear" w:color="auto" w:fill="auto"/>
          </w:tcPr>
          <w:p w14:paraId="406E2057" w14:textId="77777777" w:rsidR="000A5CC9" w:rsidRPr="00C1603D" w:rsidRDefault="000A5CC9" w:rsidP="000A5CC9">
            <w:pPr>
              <w:pStyle w:val="72TabletextTablesTableFigureBoxstyles"/>
              <w:rPr>
                <w:lang w:eastAsia="en-GB"/>
              </w:rPr>
            </w:pPr>
            <w:r w:rsidRPr="00C1603D">
              <w:rPr>
                <w:lang w:eastAsia="en-GB"/>
              </w:rPr>
              <w:t>0.335</w:t>
            </w:r>
          </w:p>
        </w:tc>
        <w:tc>
          <w:tcPr>
            <w:tcW w:w="0" w:type="auto"/>
            <w:shd w:val="clear" w:color="auto" w:fill="auto"/>
          </w:tcPr>
          <w:p w14:paraId="5BDB8804" w14:textId="77777777" w:rsidR="000A5CC9" w:rsidRPr="00C1603D" w:rsidRDefault="000A5CC9" w:rsidP="000A5CC9">
            <w:pPr>
              <w:pStyle w:val="72TabletextTablesTableFigureBoxstyles"/>
              <w:rPr>
                <w:lang w:eastAsia="en-GB"/>
              </w:rPr>
            </w:pPr>
            <w:r w:rsidRPr="00C1603D">
              <w:rPr>
                <w:lang w:eastAsia="en-GB"/>
              </w:rPr>
              <w:t>15</w:t>
            </w:r>
          </w:p>
        </w:tc>
        <w:tc>
          <w:tcPr>
            <w:tcW w:w="0" w:type="auto"/>
            <w:shd w:val="clear" w:color="auto" w:fill="auto"/>
          </w:tcPr>
          <w:p w14:paraId="0FFDD633" w14:textId="3DCA56E2" w:rsidR="000A5CC9" w:rsidRPr="00C1603D" w:rsidRDefault="000A5CC9" w:rsidP="000A5CC9">
            <w:pPr>
              <w:pStyle w:val="72TabletextTablesTableFigureBoxstyles"/>
              <w:rPr>
                <w:lang w:eastAsia="en-GB"/>
              </w:rPr>
            </w:pPr>
            <w:r w:rsidRPr="00C1603D">
              <w:rPr>
                <w:lang w:eastAsia="en-GB"/>
              </w:rPr>
              <w:t>0.339 (0.265–0.401)</w:t>
            </w:r>
          </w:p>
        </w:tc>
      </w:tr>
      <w:tr w:rsidR="0006040D" w:rsidRPr="00C1603D" w14:paraId="0DA5B486" w14:textId="77777777" w:rsidTr="004319B3">
        <w:trPr>
          <w:cantSplit/>
        </w:trPr>
        <w:tc>
          <w:tcPr>
            <w:tcW w:w="0" w:type="auto"/>
            <w:shd w:val="clear" w:color="auto" w:fill="auto"/>
          </w:tcPr>
          <w:p w14:paraId="184CF933" w14:textId="77777777" w:rsidR="0006040D" w:rsidRPr="00C1603D" w:rsidRDefault="0006040D" w:rsidP="0006040D">
            <w:pPr>
              <w:pStyle w:val="72TabletextTablesTableFigureBoxstyles"/>
              <w:rPr>
                <w:lang w:eastAsia="en-GB"/>
              </w:rPr>
            </w:pPr>
            <w:r w:rsidRPr="00C1603D">
              <w:rPr>
                <w:lang w:eastAsia="en-GB"/>
              </w:rPr>
              <w:t>Sex (male)</w:t>
            </w:r>
          </w:p>
        </w:tc>
        <w:tc>
          <w:tcPr>
            <w:tcW w:w="0" w:type="auto"/>
            <w:shd w:val="clear" w:color="auto" w:fill="auto"/>
          </w:tcPr>
          <w:p w14:paraId="5C00CE47" w14:textId="77777777" w:rsidR="0006040D" w:rsidRPr="00C1603D" w:rsidRDefault="0006040D" w:rsidP="0006040D">
            <w:pPr>
              <w:pStyle w:val="72TabletextTablesTableFigureBoxstyles"/>
              <w:rPr>
                <w:lang w:eastAsia="en-GB"/>
              </w:rPr>
            </w:pPr>
            <w:r w:rsidRPr="00C1603D">
              <w:rPr>
                <w:color w:val="00B0F0"/>
                <w:lang w:eastAsia="en-GB"/>
              </w:rPr>
              <w:t>–0</w:t>
            </w:r>
            <w:r w:rsidRPr="00C1603D">
              <w:rPr>
                <w:lang w:eastAsia="en-GB"/>
              </w:rPr>
              <w:t>.477</w:t>
            </w:r>
          </w:p>
        </w:tc>
        <w:tc>
          <w:tcPr>
            <w:tcW w:w="0" w:type="auto"/>
            <w:shd w:val="clear" w:color="auto" w:fill="auto"/>
          </w:tcPr>
          <w:p w14:paraId="25F64ED7" w14:textId="77777777" w:rsidR="0006040D" w:rsidRPr="00C1603D" w:rsidRDefault="0006040D" w:rsidP="0006040D">
            <w:pPr>
              <w:pStyle w:val="72TabletextTablesTableFigureBoxstyles"/>
              <w:rPr>
                <w:lang w:eastAsia="en-GB"/>
              </w:rPr>
            </w:pPr>
            <w:r w:rsidRPr="00C1603D">
              <w:rPr>
                <w:lang w:eastAsia="en-GB"/>
              </w:rPr>
              <w:t>20</w:t>
            </w:r>
          </w:p>
        </w:tc>
        <w:tc>
          <w:tcPr>
            <w:tcW w:w="0" w:type="auto"/>
            <w:shd w:val="clear" w:color="auto" w:fill="auto"/>
          </w:tcPr>
          <w:p w14:paraId="753B47CC" w14:textId="2436619A" w:rsidR="0006040D" w:rsidRPr="00C1603D" w:rsidRDefault="0006040D" w:rsidP="0006040D">
            <w:pPr>
              <w:pStyle w:val="72TabletextTablesTableFigureBoxstyles"/>
              <w:rPr>
                <w:lang w:eastAsia="en-GB"/>
              </w:rPr>
            </w:pPr>
            <w:r w:rsidRPr="00C1603D">
              <w:rPr>
                <w:color w:val="00B0F0"/>
                <w:lang w:eastAsia="en-GB"/>
              </w:rPr>
              <w:t>–0</w:t>
            </w:r>
            <w:r w:rsidRPr="00C1603D">
              <w:rPr>
                <w:lang w:eastAsia="en-GB"/>
              </w:rPr>
              <w:t>.472 (</w:t>
            </w:r>
            <w:r w:rsidRPr="00C1603D">
              <w:rPr>
                <w:color w:val="00B0F0"/>
                <w:lang w:eastAsia="en-GB"/>
              </w:rPr>
              <w:t>–0</w:t>
            </w:r>
            <w:r w:rsidRPr="00C1603D">
              <w:rPr>
                <w:lang w:eastAsia="en-GB"/>
              </w:rPr>
              <w:t xml:space="preserve">.502 to </w:t>
            </w:r>
            <w:r w:rsidRPr="00C1603D">
              <w:rPr>
                <w:color w:val="00B0F0"/>
                <w:lang w:eastAsia="en-GB"/>
              </w:rPr>
              <w:t>–0</w:t>
            </w:r>
            <w:r w:rsidRPr="00C1603D">
              <w:rPr>
                <w:lang w:eastAsia="en-GB"/>
              </w:rPr>
              <w:t>.447)</w:t>
            </w:r>
          </w:p>
        </w:tc>
        <w:tc>
          <w:tcPr>
            <w:tcW w:w="0" w:type="auto"/>
            <w:shd w:val="clear" w:color="auto" w:fill="auto"/>
          </w:tcPr>
          <w:p w14:paraId="7E3E5810" w14:textId="02F0A5A5"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38C560DD" w14:textId="1A3E59B2"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0721CC4A" w14:textId="59ADBEBB"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36A6E9BB" w14:textId="7F56FA5A"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3C618346" w14:textId="17BCBA34"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03F5F431" w14:textId="3DB4B5CF" w:rsidR="0006040D" w:rsidRPr="00C1603D" w:rsidRDefault="0006040D" w:rsidP="0006040D">
            <w:pPr>
              <w:pStyle w:val="72TabletextTablesTableFigureBoxstyles"/>
              <w:rPr>
                <w:lang w:eastAsia="en-GB"/>
              </w:rPr>
            </w:pPr>
            <w:r w:rsidRPr="00C1603D">
              <w:rPr>
                <w:lang w:eastAsia="en-GB"/>
              </w:rPr>
              <w:t>NS</w:t>
            </w:r>
          </w:p>
        </w:tc>
      </w:tr>
      <w:tr w:rsidR="0006040D" w:rsidRPr="00C1603D" w14:paraId="7E0765B0" w14:textId="77777777" w:rsidTr="004319B3">
        <w:trPr>
          <w:cantSplit/>
        </w:trPr>
        <w:tc>
          <w:tcPr>
            <w:tcW w:w="0" w:type="auto"/>
            <w:shd w:val="clear" w:color="auto" w:fill="auto"/>
          </w:tcPr>
          <w:p w14:paraId="290B3F6A" w14:textId="77777777" w:rsidR="0006040D" w:rsidRPr="00C1603D" w:rsidRDefault="0006040D" w:rsidP="0006040D">
            <w:pPr>
              <w:pStyle w:val="72TabletextTablesTableFigureBoxstyles"/>
              <w:rPr>
                <w:lang w:eastAsia="en-GB"/>
              </w:rPr>
            </w:pPr>
            <w:r w:rsidRPr="00C1603D">
              <w:rPr>
                <w:lang w:eastAsia="en-GB"/>
              </w:rPr>
              <w:t>Systemic lupus erythematosus</w:t>
            </w:r>
          </w:p>
        </w:tc>
        <w:tc>
          <w:tcPr>
            <w:tcW w:w="0" w:type="auto"/>
            <w:shd w:val="clear" w:color="auto" w:fill="auto"/>
          </w:tcPr>
          <w:p w14:paraId="2F8C8AF8" w14:textId="4F6F757D"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3DBC0E2E" w14:textId="199E2ADF"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7278DC7D" w14:textId="0BB941C3"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21AFA930" w14:textId="77777777" w:rsidR="0006040D" w:rsidRPr="00C1603D" w:rsidRDefault="0006040D" w:rsidP="0006040D">
            <w:pPr>
              <w:pStyle w:val="72TabletextTablesTableFigureBoxstyles"/>
              <w:rPr>
                <w:lang w:eastAsia="en-GB"/>
              </w:rPr>
            </w:pPr>
            <w:r w:rsidRPr="00C1603D">
              <w:rPr>
                <w:lang w:eastAsia="en-GB"/>
              </w:rPr>
              <w:t>0.699</w:t>
            </w:r>
          </w:p>
        </w:tc>
        <w:tc>
          <w:tcPr>
            <w:tcW w:w="0" w:type="auto"/>
            <w:shd w:val="clear" w:color="auto" w:fill="auto"/>
          </w:tcPr>
          <w:p w14:paraId="6AFA60FD" w14:textId="77777777" w:rsidR="0006040D" w:rsidRPr="00C1603D" w:rsidRDefault="0006040D" w:rsidP="0006040D">
            <w:pPr>
              <w:pStyle w:val="72TabletextTablesTableFigureBoxstyles"/>
              <w:rPr>
                <w:lang w:eastAsia="en-GB"/>
              </w:rPr>
            </w:pPr>
            <w:r w:rsidRPr="00C1603D">
              <w:rPr>
                <w:lang w:eastAsia="en-GB"/>
              </w:rPr>
              <w:t>11</w:t>
            </w:r>
          </w:p>
        </w:tc>
        <w:tc>
          <w:tcPr>
            <w:tcW w:w="0" w:type="auto"/>
            <w:shd w:val="clear" w:color="auto" w:fill="auto"/>
          </w:tcPr>
          <w:p w14:paraId="2267BFD9" w14:textId="4F61C707" w:rsidR="0006040D" w:rsidRPr="00C1603D" w:rsidRDefault="0006040D" w:rsidP="0006040D">
            <w:pPr>
              <w:pStyle w:val="72TabletextTablesTableFigureBoxstyles"/>
              <w:rPr>
                <w:lang w:eastAsia="en-GB"/>
              </w:rPr>
            </w:pPr>
            <w:r w:rsidRPr="00C1603D">
              <w:rPr>
                <w:lang w:eastAsia="en-GB"/>
              </w:rPr>
              <w:t>0.698 (0.532–0.856)</w:t>
            </w:r>
          </w:p>
        </w:tc>
        <w:tc>
          <w:tcPr>
            <w:tcW w:w="0" w:type="auto"/>
            <w:shd w:val="clear" w:color="auto" w:fill="auto"/>
          </w:tcPr>
          <w:p w14:paraId="0137BE14" w14:textId="159653A6"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5283BB5D" w14:textId="68B1C827"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22B7BE2C" w14:textId="64D50123" w:rsidR="0006040D" w:rsidRPr="00C1603D" w:rsidRDefault="0006040D" w:rsidP="0006040D">
            <w:pPr>
              <w:pStyle w:val="72TabletextTablesTableFigureBoxstyles"/>
              <w:rPr>
                <w:lang w:eastAsia="en-GB"/>
              </w:rPr>
            </w:pPr>
            <w:r w:rsidRPr="00C1603D">
              <w:rPr>
                <w:lang w:eastAsia="en-GB"/>
              </w:rPr>
              <w:t>NS</w:t>
            </w:r>
          </w:p>
        </w:tc>
      </w:tr>
      <w:tr w:rsidR="004319B3" w:rsidRPr="00C1603D" w14:paraId="46FC67C6" w14:textId="77777777" w:rsidTr="004319B3">
        <w:trPr>
          <w:cantSplit/>
        </w:trPr>
        <w:tc>
          <w:tcPr>
            <w:tcW w:w="0" w:type="auto"/>
            <w:shd w:val="clear" w:color="auto" w:fill="auto"/>
          </w:tcPr>
          <w:p w14:paraId="7CD50A9E" w14:textId="77777777" w:rsidR="008B4DF8" w:rsidRPr="00C1603D" w:rsidRDefault="008B4DF8" w:rsidP="004319B3">
            <w:pPr>
              <w:pStyle w:val="72TabletextTablesTableFigureBoxstyles"/>
              <w:rPr>
                <w:lang w:eastAsia="en-GB"/>
              </w:rPr>
            </w:pPr>
            <w:r w:rsidRPr="00C1603D">
              <w:rPr>
                <w:lang w:eastAsia="en-GB"/>
              </w:rPr>
              <w:t>Thyroid disorders</w:t>
            </w:r>
          </w:p>
        </w:tc>
        <w:tc>
          <w:tcPr>
            <w:tcW w:w="0" w:type="auto"/>
            <w:shd w:val="clear" w:color="auto" w:fill="auto"/>
          </w:tcPr>
          <w:p w14:paraId="14054F01" w14:textId="77777777" w:rsidR="008B4DF8" w:rsidRPr="00C1603D" w:rsidRDefault="008B4DF8" w:rsidP="004319B3">
            <w:pPr>
              <w:pStyle w:val="72TabletextTablesTableFigureBoxstyles"/>
              <w:rPr>
                <w:lang w:eastAsia="en-GB"/>
              </w:rPr>
            </w:pPr>
            <w:r w:rsidRPr="00C1603D">
              <w:rPr>
                <w:lang w:eastAsia="en-GB"/>
              </w:rPr>
              <w:t>2.144</w:t>
            </w:r>
          </w:p>
        </w:tc>
        <w:tc>
          <w:tcPr>
            <w:tcW w:w="0" w:type="auto"/>
            <w:shd w:val="clear" w:color="auto" w:fill="auto"/>
          </w:tcPr>
          <w:p w14:paraId="2AB499BA" w14:textId="77777777" w:rsidR="008B4DF8" w:rsidRPr="00C1603D" w:rsidRDefault="008B4DF8" w:rsidP="004319B3">
            <w:pPr>
              <w:pStyle w:val="72TabletextTablesTableFigureBoxstyles"/>
              <w:rPr>
                <w:lang w:eastAsia="en-GB"/>
              </w:rPr>
            </w:pPr>
            <w:r w:rsidRPr="00C1603D">
              <w:rPr>
                <w:lang w:eastAsia="en-GB"/>
              </w:rPr>
              <w:t>8</w:t>
            </w:r>
          </w:p>
        </w:tc>
        <w:tc>
          <w:tcPr>
            <w:tcW w:w="0" w:type="auto"/>
            <w:shd w:val="clear" w:color="auto" w:fill="auto"/>
          </w:tcPr>
          <w:p w14:paraId="6D7A4F88" w14:textId="5168D4CC" w:rsidR="008B4DF8" w:rsidRPr="00C1603D" w:rsidRDefault="008B4DF8" w:rsidP="004319B3">
            <w:pPr>
              <w:pStyle w:val="72TabletextTablesTableFigureBoxstyles"/>
              <w:rPr>
                <w:lang w:eastAsia="en-GB"/>
              </w:rPr>
            </w:pPr>
            <w:r w:rsidRPr="00C1603D">
              <w:rPr>
                <w:lang w:eastAsia="en-GB"/>
              </w:rPr>
              <w:t>2.185 (2.000</w:t>
            </w:r>
            <w:r w:rsidR="009E5C1E" w:rsidRPr="00C1603D">
              <w:rPr>
                <w:lang w:eastAsia="en-GB"/>
              </w:rPr>
              <w:t>–</w:t>
            </w:r>
            <w:r w:rsidRPr="00C1603D">
              <w:rPr>
                <w:lang w:eastAsia="en-GB"/>
              </w:rPr>
              <w:t>2.395)</w:t>
            </w:r>
          </w:p>
        </w:tc>
        <w:tc>
          <w:tcPr>
            <w:tcW w:w="0" w:type="auto"/>
            <w:shd w:val="clear" w:color="auto" w:fill="auto"/>
          </w:tcPr>
          <w:p w14:paraId="084A01E1" w14:textId="77777777" w:rsidR="008B4DF8" w:rsidRPr="00C1603D" w:rsidRDefault="008B4DF8" w:rsidP="004319B3">
            <w:pPr>
              <w:pStyle w:val="72TabletextTablesTableFigureBoxstyles"/>
              <w:rPr>
                <w:lang w:eastAsia="en-GB"/>
              </w:rPr>
            </w:pPr>
            <w:r w:rsidRPr="00C1603D">
              <w:rPr>
                <w:lang w:eastAsia="en-GB"/>
              </w:rPr>
              <w:t>0.599</w:t>
            </w:r>
          </w:p>
        </w:tc>
        <w:tc>
          <w:tcPr>
            <w:tcW w:w="0" w:type="auto"/>
            <w:shd w:val="clear" w:color="auto" w:fill="auto"/>
          </w:tcPr>
          <w:p w14:paraId="1A36D6C1" w14:textId="77777777" w:rsidR="008B4DF8" w:rsidRPr="00C1603D" w:rsidRDefault="008B4DF8" w:rsidP="004319B3">
            <w:pPr>
              <w:pStyle w:val="72TabletextTablesTableFigureBoxstyles"/>
              <w:rPr>
                <w:lang w:eastAsia="en-GB"/>
              </w:rPr>
            </w:pPr>
            <w:r w:rsidRPr="00C1603D">
              <w:rPr>
                <w:lang w:eastAsia="en-GB"/>
              </w:rPr>
              <w:t>13</w:t>
            </w:r>
          </w:p>
        </w:tc>
        <w:tc>
          <w:tcPr>
            <w:tcW w:w="0" w:type="auto"/>
            <w:shd w:val="clear" w:color="auto" w:fill="auto"/>
          </w:tcPr>
          <w:p w14:paraId="44D95E90" w14:textId="7AF3DA2B" w:rsidR="008B4DF8" w:rsidRPr="00C1603D" w:rsidRDefault="008B4DF8" w:rsidP="004319B3">
            <w:pPr>
              <w:pStyle w:val="72TabletextTablesTableFigureBoxstyles"/>
              <w:rPr>
                <w:lang w:eastAsia="en-GB"/>
              </w:rPr>
            </w:pPr>
            <w:r w:rsidRPr="00C1603D">
              <w:rPr>
                <w:lang w:eastAsia="en-GB"/>
              </w:rPr>
              <w:t>0.598 (0.563</w:t>
            </w:r>
            <w:r w:rsidR="00C2076E" w:rsidRPr="00C1603D">
              <w:rPr>
                <w:lang w:eastAsia="en-GB"/>
              </w:rPr>
              <w:t>–</w:t>
            </w:r>
            <w:r w:rsidRPr="00C1603D">
              <w:rPr>
                <w:lang w:eastAsia="en-GB"/>
              </w:rPr>
              <w:t>0.629)</w:t>
            </w:r>
          </w:p>
        </w:tc>
        <w:tc>
          <w:tcPr>
            <w:tcW w:w="0" w:type="auto"/>
            <w:shd w:val="clear" w:color="auto" w:fill="auto"/>
          </w:tcPr>
          <w:p w14:paraId="620D99D8" w14:textId="77777777" w:rsidR="008B4DF8" w:rsidRPr="00C1603D" w:rsidRDefault="008B4DF8" w:rsidP="004319B3">
            <w:pPr>
              <w:pStyle w:val="72TabletextTablesTableFigureBoxstyles"/>
              <w:rPr>
                <w:lang w:eastAsia="en-GB"/>
              </w:rPr>
            </w:pPr>
            <w:r w:rsidRPr="00C1603D">
              <w:rPr>
                <w:lang w:eastAsia="en-GB"/>
              </w:rPr>
              <w:t>0.91</w:t>
            </w:r>
          </w:p>
        </w:tc>
        <w:tc>
          <w:tcPr>
            <w:tcW w:w="0" w:type="auto"/>
            <w:shd w:val="clear" w:color="auto" w:fill="auto"/>
          </w:tcPr>
          <w:p w14:paraId="3ED3E403" w14:textId="77777777" w:rsidR="008B4DF8" w:rsidRPr="00C1603D" w:rsidRDefault="008B4DF8" w:rsidP="004319B3">
            <w:pPr>
              <w:pStyle w:val="72TabletextTablesTableFigureBoxstyles"/>
              <w:rPr>
                <w:lang w:eastAsia="en-GB"/>
              </w:rPr>
            </w:pPr>
            <w:r w:rsidRPr="00C1603D">
              <w:rPr>
                <w:lang w:eastAsia="en-GB"/>
              </w:rPr>
              <w:t>9</w:t>
            </w:r>
          </w:p>
        </w:tc>
        <w:tc>
          <w:tcPr>
            <w:tcW w:w="0" w:type="auto"/>
            <w:shd w:val="clear" w:color="auto" w:fill="auto"/>
          </w:tcPr>
          <w:p w14:paraId="61DF1A2F" w14:textId="2F9337A4" w:rsidR="008B4DF8" w:rsidRPr="00C1603D" w:rsidRDefault="008B4DF8" w:rsidP="004319B3">
            <w:pPr>
              <w:pStyle w:val="72TabletextTablesTableFigureBoxstyles"/>
              <w:rPr>
                <w:lang w:eastAsia="en-GB"/>
              </w:rPr>
            </w:pPr>
            <w:r w:rsidRPr="00C1603D">
              <w:rPr>
                <w:lang w:eastAsia="en-GB"/>
              </w:rPr>
              <w:t>0.913 (0.753</w:t>
            </w:r>
            <w:r w:rsidR="00C2076E" w:rsidRPr="00C1603D">
              <w:rPr>
                <w:lang w:eastAsia="en-GB"/>
              </w:rPr>
              <w:t>–</w:t>
            </w:r>
            <w:r w:rsidRPr="00C1603D">
              <w:rPr>
                <w:lang w:eastAsia="en-GB"/>
              </w:rPr>
              <w:t>1.074)</w:t>
            </w:r>
          </w:p>
        </w:tc>
      </w:tr>
      <w:tr w:rsidR="0006040D" w:rsidRPr="00C1603D" w14:paraId="71FE7385" w14:textId="77777777" w:rsidTr="004319B3">
        <w:trPr>
          <w:cantSplit/>
        </w:trPr>
        <w:tc>
          <w:tcPr>
            <w:tcW w:w="0" w:type="auto"/>
            <w:shd w:val="clear" w:color="auto" w:fill="auto"/>
          </w:tcPr>
          <w:p w14:paraId="5C25E394" w14:textId="77777777" w:rsidR="0006040D" w:rsidRPr="00C1603D" w:rsidRDefault="0006040D" w:rsidP="0006040D">
            <w:pPr>
              <w:pStyle w:val="72TabletextTablesTableFigureBoxstyles"/>
              <w:rPr>
                <w:lang w:eastAsia="en-GB"/>
              </w:rPr>
            </w:pPr>
            <w:r w:rsidRPr="00C1603D">
              <w:rPr>
                <w:lang w:eastAsia="en-GB"/>
              </w:rPr>
              <w:t>Turner syndrome</w:t>
            </w:r>
          </w:p>
        </w:tc>
        <w:tc>
          <w:tcPr>
            <w:tcW w:w="0" w:type="auto"/>
            <w:shd w:val="clear" w:color="auto" w:fill="auto"/>
          </w:tcPr>
          <w:p w14:paraId="34989E00" w14:textId="77777777" w:rsidR="0006040D" w:rsidRPr="00C1603D" w:rsidRDefault="0006040D" w:rsidP="0006040D">
            <w:pPr>
              <w:pStyle w:val="72TabletextTablesTableFigureBoxstyles"/>
              <w:rPr>
                <w:lang w:eastAsia="en-GB"/>
              </w:rPr>
            </w:pPr>
            <w:r w:rsidRPr="00C1603D">
              <w:rPr>
                <w:lang w:eastAsia="en-GB"/>
              </w:rPr>
              <w:t>3.949</w:t>
            </w:r>
          </w:p>
        </w:tc>
        <w:tc>
          <w:tcPr>
            <w:tcW w:w="0" w:type="auto"/>
            <w:shd w:val="clear" w:color="auto" w:fill="auto"/>
          </w:tcPr>
          <w:p w14:paraId="5DF23BCB" w14:textId="77777777" w:rsidR="0006040D" w:rsidRPr="00C1603D" w:rsidRDefault="0006040D" w:rsidP="0006040D">
            <w:pPr>
              <w:pStyle w:val="72TabletextTablesTableFigureBoxstyles"/>
              <w:rPr>
                <w:lang w:eastAsia="en-GB"/>
              </w:rPr>
            </w:pPr>
            <w:r w:rsidRPr="00C1603D">
              <w:rPr>
                <w:lang w:eastAsia="en-GB"/>
              </w:rPr>
              <w:t>2</w:t>
            </w:r>
          </w:p>
        </w:tc>
        <w:tc>
          <w:tcPr>
            <w:tcW w:w="0" w:type="auto"/>
            <w:shd w:val="clear" w:color="auto" w:fill="auto"/>
          </w:tcPr>
          <w:p w14:paraId="30ECB3C3" w14:textId="669A7B3C" w:rsidR="0006040D" w:rsidRPr="00C1603D" w:rsidRDefault="0006040D" w:rsidP="0006040D">
            <w:pPr>
              <w:pStyle w:val="72TabletextTablesTableFigureBoxstyles"/>
              <w:rPr>
                <w:lang w:eastAsia="en-GB"/>
              </w:rPr>
            </w:pPr>
            <w:r w:rsidRPr="00C1603D">
              <w:rPr>
                <w:lang w:eastAsia="en-GB"/>
              </w:rPr>
              <w:t>3.908 (3.715–4.084)</w:t>
            </w:r>
          </w:p>
        </w:tc>
        <w:tc>
          <w:tcPr>
            <w:tcW w:w="0" w:type="auto"/>
            <w:shd w:val="clear" w:color="auto" w:fill="auto"/>
          </w:tcPr>
          <w:p w14:paraId="03B91197" w14:textId="77777777" w:rsidR="0006040D" w:rsidRPr="00C1603D" w:rsidRDefault="0006040D" w:rsidP="0006040D">
            <w:pPr>
              <w:pStyle w:val="72TabletextTablesTableFigureBoxstyles"/>
              <w:rPr>
                <w:lang w:eastAsia="en-GB"/>
              </w:rPr>
            </w:pPr>
            <w:r w:rsidRPr="00C1603D">
              <w:rPr>
                <w:lang w:eastAsia="en-GB"/>
              </w:rPr>
              <w:t>1.08</w:t>
            </w:r>
          </w:p>
        </w:tc>
        <w:tc>
          <w:tcPr>
            <w:tcW w:w="0" w:type="auto"/>
            <w:shd w:val="clear" w:color="auto" w:fill="auto"/>
          </w:tcPr>
          <w:p w14:paraId="6DE487D9" w14:textId="77777777" w:rsidR="0006040D" w:rsidRPr="00C1603D" w:rsidRDefault="0006040D" w:rsidP="0006040D">
            <w:pPr>
              <w:pStyle w:val="72TabletextTablesTableFigureBoxstyles"/>
              <w:rPr>
                <w:lang w:eastAsia="en-GB"/>
              </w:rPr>
            </w:pPr>
            <w:r w:rsidRPr="00C1603D">
              <w:rPr>
                <w:lang w:eastAsia="en-GB"/>
              </w:rPr>
              <w:t>7</w:t>
            </w:r>
          </w:p>
        </w:tc>
        <w:tc>
          <w:tcPr>
            <w:tcW w:w="0" w:type="auto"/>
            <w:shd w:val="clear" w:color="auto" w:fill="auto"/>
          </w:tcPr>
          <w:p w14:paraId="733C804C" w14:textId="1C648382" w:rsidR="0006040D" w:rsidRPr="00C1603D" w:rsidRDefault="0006040D" w:rsidP="0006040D">
            <w:pPr>
              <w:pStyle w:val="72TabletextTablesTableFigureBoxstyles"/>
              <w:rPr>
                <w:lang w:eastAsia="en-GB"/>
              </w:rPr>
            </w:pPr>
            <w:r w:rsidRPr="00C1603D">
              <w:rPr>
                <w:lang w:eastAsia="en-GB"/>
              </w:rPr>
              <w:t>1.057 (0.422–1.681)</w:t>
            </w:r>
          </w:p>
        </w:tc>
        <w:tc>
          <w:tcPr>
            <w:tcW w:w="0" w:type="auto"/>
            <w:shd w:val="clear" w:color="auto" w:fill="auto"/>
          </w:tcPr>
          <w:p w14:paraId="7312D62C" w14:textId="0CE289A9"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34AF4BD9" w14:textId="300A8583" w:rsidR="0006040D" w:rsidRPr="00C1603D" w:rsidRDefault="0006040D" w:rsidP="0006040D">
            <w:pPr>
              <w:pStyle w:val="72TabletextTablesTableFigureBoxstyles"/>
              <w:rPr>
                <w:lang w:eastAsia="en-GB"/>
              </w:rPr>
            </w:pPr>
            <w:r w:rsidRPr="00C1603D">
              <w:rPr>
                <w:lang w:eastAsia="en-GB"/>
              </w:rPr>
              <w:t>NS</w:t>
            </w:r>
          </w:p>
        </w:tc>
        <w:tc>
          <w:tcPr>
            <w:tcW w:w="0" w:type="auto"/>
            <w:shd w:val="clear" w:color="auto" w:fill="auto"/>
          </w:tcPr>
          <w:p w14:paraId="43FD9308" w14:textId="007F9F8D" w:rsidR="0006040D" w:rsidRPr="00C1603D" w:rsidRDefault="0006040D" w:rsidP="0006040D">
            <w:pPr>
              <w:pStyle w:val="72TabletextTablesTableFigureBoxstyles"/>
              <w:rPr>
                <w:lang w:eastAsia="en-GB"/>
              </w:rPr>
            </w:pPr>
            <w:r w:rsidRPr="00C1603D">
              <w:rPr>
                <w:lang w:eastAsia="en-GB"/>
              </w:rPr>
              <w:t>NS</w:t>
            </w:r>
          </w:p>
        </w:tc>
      </w:tr>
      <w:tr w:rsidR="004319B3" w:rsidRPr="00C1603D" w14:paraId="2CD2FD12" w14:textId="77777777" w:rsidTr="004319B3">
        <w:trPr>
          <w:cantSplit/>
        </w:trPr>
        <w:tc>
          <w:tcPr>
            <w:tcW w:w="0" w:type="auto"/>
            <w:shd w:val="clear" w:color="auto" w:fill="auto"/>
          </w:tcPr>
          <w:p w14:paraId="49A29872" w14:textId="77777777" w:rsidR="008B4DF8" w:rsidRPr="00C1603D" w:rsidRDefault="008B4DF8" w:rsidP="004319B3">
            <w:pPr>
              <w:pStyle w:val="72TabletextTablesTableFigureBoxstyles"/>
              <w:rPr>
                <w:lang w:eastAsia="en-GB"/>
              </w:rPr>
            </w:pPr>
            <w:r w:rsidRPr="00C1603D">
              <w:rPr>
                <w:lang w:eastAsia="en-GB"/>
              </w:rPr>
              <w:t>Type 1 diabetes</w:t>
            </w:r>
          </w:p>
        </w:tc>
        <w:tc>
          <w:tcPr>
            <w:tcW w:w="0" w:type="auto"/>
            <w:shd w:val="clear" w:color="auto" w:fill="auto"/>
          </w:tcPr>
          <w:p w14:paraId="7DBF333D" w14:textId="77777777" w:rsidR="008B4DF8" w:rsidRPr="00C1603D" w:rsidRDefault="008B4DF8" w:rsidP="004319B3">
            <w:pPr>
              <w:pStyle w:val="72TabletextTablesTableFigureBoxstyles"/>
              <w:rPr>
                <w:lang w:eastAsia="en-GB"/>
              </w:rPr>
            </w:pPr>
            <w:r w:rsidRPr="00C1603D">
              <w:rPr>
                <w:lang w:eastAsia="en-GB"/>
              </w:rPr>
              <w:t>4.153</w:t>
            </w:r>
          </w:p>
        </w:tc>
        <w:tc>
          <w:tcPr>
            <w:tcW w:w="0" w:type="auto"/>
            <w:shd w:val="clear" w:color="auto" w:fill="auto"/>
          </w:tcPr>
          <w:p w14:paraId="2B1DA598" w14:textId="77777777" w:rsidR="008B4DF8" w:rsidRPr="00C1603D" w:rsidRDefault="008B4DF8" w:rsidP="004319B3">
            <w:pPr>
              <w:pStyle w:val="72TabletextTablesTableFigureBoxstyles"/>
              <w:rPr>
                <w:lang w:eastAsia="en-GB"/>
              </w:rPr>
            </w:pPr>
            <w:r w:rsidRPr="00C1603D">
              <w:rPr>
                <w:lang w:eastAsia="en-GB"/>
              </w:rPr>
              <w:t>1</w:t>
            </w:r>
          </w:p>
        </w:tc>
        <w:tc>
          <w:tcPr>
            <w:tcW w:w="0" w:type="auto"/>
            <w:shd w:val="clear" w:color="auto" w:fill="auto"/>
          </w:tcPr>
          <w:p w14:paraId="2B668A91" w14:textId="12348016" w:rsidR="008B4DF8" w:rsidRPr="00C1603D" w:rsidRDefault="008B4DF8" w:rsidP="004319B3">
            <w:pPr>
              <w:pStyle w:val="72TabletextTablesTableFigureBoxstyles"/>
              <w:rPr>
                <w:lang w:eastAsia="en-GB"/>
              </w:rPr>
            </w:pPr>
            <w:r w:rsidRPr="00C1603D">
              <w:rPr>
                <w:lang w:eastAsia="en-GB"/>
              </w:rPr>
              <w:t>4.182 (4.062</w:t>
            </w:r>
            <w:r w:rsidR="009E5C1E" w:rsidRPr="00C1603D">
              <w:rPr>
                <w:lang w:eastAsia="en-GB"/>
              </w:rPr>
              <w:t>–</w:t>
            </w:r>
            <w:r w:rsidRPr="00C1603D">
              <w:rPr>
                <w:lang w:eastAsia="en-GB"/>
              </w:rPr>
              <w:t>4.278)</w:t>
            </w:r>
          </w:p>
        </w:tc>
        <w:tc>
          <w:tcPr>
            <w:tcW w:w="0" w:type="auto"/>
            <w:shd w:val="clear" w:color="auto" w:fill="auto"/>
          </w:tcPr>
          <w:p w14:paraId="17DEA80E" w14:textId="77777777" w:rsidR="008B4DF8" w:rsidRPr="00C1603D" w:rsidRDefault="008B4DF8" w:rsidP="004319B3">
            <w:pPr>
              <w:pStyle w:val="72TabletextTablesTableFigureBoxstyles"/>
              <w:rPr>
                <w:lang w:eastAsia="en-GB"/>
              </w:rPr>
            </w:pPr>
            <w:r w:rsidRPr="00C1603D">
              <w:rPr>
                <w:lang w:eastAsia="en-GB"/>
              </w:rPr>
              <w:t>1.277</w:t>
            </w:r>
          </w:p>
        </w:tc>
        <w:tc>
          <w:tcPr>
            <w:tcW w:w="0" w:type="auto"/>
            <w:shd w:val="clear" w:color="auto" w:fill="auto"/>
          </w:tcPr>
          <w:p w14:paraId="53E1F095" w14:textId="77777777" w:rsidR="008B4DF8" w:rsidRPr="00C1603D" w:rsidRDefault="008B4DF8" w:rsidP="004319B3">
            <w:pPr>
              <w:pStyle w:val="72TabletextTablesTableFigureBoxstyles"/>
              <w:rPr>
                <w:lang w:eastAsia="en-GB"/>
              </w:rPr>
            </w:pPr>
            <w:r w:rsidRPr="00C1603D">
              <w:rPr>
                <w:lang w:eastAsia="en-GB"/>
              </w:rPr>
              <w:t>4</w:t>
            </w:r>
          </w:p>
        </w:tc>
        <w:tc>
          <w:tcPr>
            <w:tcW w:w="0" w:type="auto"/>
            <w:shd w:val="clear" w:color="auto" w:fill="auto"/>
          </w:tcPr>
          <w:p w14:paraId="1DD7799E" w14:textId="7BAA00E7" w:rsidR="008B4DF8" w:rsidRPr="00C1603D" w:rsidRDefault="008B4DF8" w:rsidP="004319B3">
            <w:pPr>
              <w:pStyle w:val="72TabletextTablesTableFigureBoxstyles"/>
              <w:rPr>
                <w:lang w:eastAsia="en-GB"/>
              </w:rPr>
            </w:pPr>
            <w:r w:rsidRPr="00C1603D">
              <w:rPr>
                <w:lang w:eastAsia="en-GB"/>
              </w:rPr>
              <w:t>1.337 (1.293</w:t>
            </w:r>
            <w:r w:rsidR="00C2076E" w:rsidRPr="00C1603D">
              <w:rPr>
                <w:lang w:eastAsia="en-GB"/>
              </w:rPr>
              <w:t>–</w:t>
            </w:r>
            <w:r w:rsidRPr="00C1603D">
              <w:rPr>
                <w:lang w:eastAsia="en-GB"/>
              </w:rPr>
              <w:t>1.375)</w:t>
            </w:r>
          </w:p>
        </w:tc>
        <w:tc>
          <w:tcPr>
            <w:tcW w:w="0" w:type="auto"/>
            <w:shd w:val="clear" w:color="auto" w:fill="auto"/>
          </w:tcPr>
          <w:p w14:paraId="6E61750B" w14:textId="77777777" w:rsidR="008B4DF8" w:rsidRPr="00C1603D" w:rsidRDefault="008B4DF8" w:rsidP="004319B3">
            <w:pPr>
              <w:pStyle w:val="72TabletextTablesTableFigureBoxstyles"/>
              <w:rPr>
                <w:lang w:eastAsia="en-GB"/>
              </w:rPr>
            </w:pPr>
            <w:r w:rsidRPr="00C1603D">
              <w:rPr>
                <w:lang w:eastAsia="en-GB"/>
              </w:rPr>
              <w:t>1.746</w:t>
            </w:r>
          </w:p>
        </w:tc>
        <w:tc>
          <w:tcPr>
            <w:tcW w:w="0" w:type="auto"/>
            <w:shd w:val="clear" w:color="auto" w:fill="auto"/>
          </w:tcPr>
          <w:p w14:paraId="2BD40E40" w14:textId="77777777" w:rsidR="008B4DF8" w:rsidRPr="00C1603D" w:rsidRDefault="008B4DF8" w:rsidP="004319B3">
            <w:pPr>
              <w:pStyle w:val="72TabletextTablesTableFigureBoxstyles"/>
              <w:rPr>
                <w:lang w:eastAsia="en-GB"/>
              </w:rPr>
            </w:pPr>
            <w:r w:rsidRPr="00C1603D">
              <w:rPr>
                <w:lang w:eastAsia="en-GB"/>
              </w:rPr>
              <w:t>4</w:t>
            </w:r>
          </w:p>
        </w:tc>
        <w:tc>
          <w:tcPr>
            <w:tcW w:w="0" w:type="auto"/>
            <w:shd w:val="clear" w:color="auto" w:fill="auto"/>
          </w:tcPr>
          <w:p w14:paraId="01336C6B" w14:textId="60441980" w:rsidR="008B4DF8" w:rsidRPr="00C1603D" w:rsidRDefault="008B4DF8" w:rsidP="004319B3">
            <w:pPr>
              <w:pStyle w:val="72TabletextTablesTableFigureBoxstyles"/>
              <w:rPr>
                <w:lang w:eastAsia="en-GB"/>
              </w:rPr>
            </w:pPr>
            <w:r w:rsidRPr="00C1603D">
              <w:rPr>
                <w:lang w:eastAsia="en-GB"/>
              </w:rPr>
              <w:t>1.749 (1.650</w:t>
            </w:r>
            <w:r w:rsidR="00C2076E" w:rsidRPr="00C1603D">
              <w:rPr>
                <w:lang w:eastAsia="en-GB"/>
              </w:rPr>
              <w:t>–</w:t>
            </w:r>
            <w:r w:rsidRPr="00C1603D">
              <w:rPr>
                <w:lang w:eastAsia="en-GB"/>
              </w:rPr>
              <w:t>1.868)</w:t>
            </w:r>
          </w:p>
        </w:tc>
      </w:tr>
      <w:tr w:rsidR="004319B3" w:rsidRPr="00C1603D" w14:paraId="622D248F" w14:textId="77777777" w:rsidTr="004319B3">
        <w:trPr>
          <w:cantSplit/>
        </w:trPr>
        <w:tc>
          <w:tcPr>
            <w:tcW w:w="0" w:type="auto"/>
            <w:shd w:val="clear" w:color="auto" w:fill="auto"/>
          </w:tcPr>
          <w:p w14:paraId="354357DC" w14:textId="77777777" w:rsidR="008B4DF8" w:rsidRPr="00C1603D" w:rsidRDefault="008B4DF8" w:rsidP="004319B3">
            <w:pPr>
              <w:pStyle w:val="72TabletextTablesTableFigureBoxstyles"/>
              <w:rPr>
                <w:lang w:eastAsia="en-GB"/>
              </w:rPr>
            </w:pPr>
            <w:r w:rsidRPr="00C1603D">
              <w:rPr>
                <w:lang w:eastAsia="en-GB"/>
              </w:rPr>
              <w:t>Weight loss</w:t>
            </w:r>
          </w:p>
        </w:tc>
        <w:tc>
          <w:tcPr>
            <w:tcW w:w="0" w:type="auto"/>
            <w:shd w:val="clear" w:color="auto" w:fill="auto"/>
          </w:tcPr>
          <w:p w14:paraId="738E5A5D" w14:textId="77777777" w:rsidR="008B4DF8" w:rsidRPr="00C1603D" w:rsidRDefault="008B4DF8" w:rsidP="004319B3">
            <w:pPr>
              <w:pStyle w:val="72TabletextTablesTableFigureBoxstyles"/>
              <w:rPr>
                <w:lang w:eastAsia="en-GB"/>
              </w:rPr>
            </w:pPr>
            <w:r w:rsidRPr="00C1603D">
              <w:rPr>
                <w:lang w:eastAsia="en-GB"/>
              </w:rPr>
              <w:t>2.316</w:t>
            </w:r>
          </w:p>
        </w:tc>
        <w:tc>
          <w:tcPr>
            <w:tcW w:w="0" w:type="auto"/>
            <w:shd w:val="clear" w:color="auto" w:fill="auto"/>
          </w:tcPr>
          <w:p w14:paraId="372D9643" w14:textId="77777777" w:rsidR="008B4DF8" w:rsidRPr="00C1603D" w:rsidRDefault="008B4DF8" w:rsidP="004319B3">
            <w:pPr>
              <w:pStyle w:val="72TabletextTablesTableFigureBoxstyles"/>
              <w:rPr>
                <w:lang w:eastAsia="en-GB"/>
              </w:rPr>
            </w:pPr>
            <w:r w:rsidRPr="00C1603D">
              <w:rPr>
                <w:lang w:eastAsia="en-GB"/>
              </w:rPr>
              <w:t>7</w:t>
            </w:r>
          </w:p>
        </w:tc>
        <w:tc>
          <w:tcPr>
            <w:tcW w:w="0" w:type="auto"/>
            <w:shd w:val="clear" w:color="auto" w:fill="auto"/>
          </w:tcPr>
          <w:p w14:paraId="6AEA5CEE" w14:textId="5F8938DB" w:rsidR="008B4DF8" w:rsidRPr="00C1603D" w:rsidRDefault="008B4DF8" w:rsidP="004319B3">
            <w:pPr>
              <w:pStyle w:val="72TabletextTablesTableFigureBoxstyles"/>
              <w:rPr>
                <w:lang w:eastAsia="en-GB"/>
              </w:rPr>
            </w:pPr>
            <w:r w:rsidRPr="00C1603D">
              <w:rPr>
                <w:lang w:eastAsia="en-GB"/>
              </w:rPr>
              <w:t>2.302 (2.142</w:t>
            </w:r>
            <w:r w:rsidR="009E5C1E" w:rsidRPr="00C1603D">
              <w:rPr>
                <w:lang w:eastAsia="en-GB"/>
              </w:rPr>
              <w:t>–</w:t>
            </w:r>
            <w:r w:rsidRPr="00C1603D">
              <w:rPr>
                <w:lang w:eastAsia="en-GB"/>
              </w:rPr>
              <w:t>2.485)</w:t>
            </w:r>
          </w:p>
        </w:tc>
        <w:tc>
          <w:tcPr>
            <w:tcW w:w="0" w:type="auto"/>
            <w:shd w:val="clear" w:color="auto" w:fill="auto"/>
          </w:tcPr>
          <w:p w14:paraId="3BFC1970" w14:textId="77777777" w:rsidR="008B4DF8" w:rsidRPr="00C1603D" w:rsidRDefault="008B4DF8" w:rsidP="004319B3">
            <w:pPr>
              <w:pStyle w:val="72TabletextTablesTableFigureBoxstyles"/>
              <w:rPr>
                <w:lang w:eastAsia="en-GB"/>
              </w:rPr>
            </w:pPr>
            <w:r w:rsidRPr="00C1603D">
              <w:rPr>
                <w:lang w:eastAsia="en-GB"/>
              </w:rPr>
              <w:t>0.91</w:t>
            </w:r>
          </w:p>
        </w:tc>
        <w:tc>
          <w:tcPr>
            <w:tcW w:w="0" w:type="auto"/>
            <w:shd w:val="clear" w:color="auto" w:fill="auto"/>
          </w:tcPr>
          <w:p w14:paraId="5168A4A5" w14:textId="77777777" w:rsidR="008B4DF8" w:rsidRPr="00C1603D" w:rsidRDefault="008B4DF8" w:rsidP="004319B3">
            <w:pPr>
              <w:pStyle w:val="72TabletextTablesTableFigureBoxstyles"/>
              <w:rPr>
                <w:lang w:eastAsia="en-GB"/>
              </w:rPr>
            </w:pPr>
            <w:r w:rsidRPr="00C1603D">
              <w:rPr>
                <w:lang w:eastAsia="en-GB"/>
              </w:rPr>
              <w:t>9</w:t>
            </w:r>
          </w:p>
        </w:tc>
        <w:tc>
          <w:tcPr>
            <w:tcW w:w="0" w:type="auto"/>
            <w:shd w:val="clear" w:color="auto" w:fill="auto"/>
          </w:tcPr>
          <w:p w14:paraId="3681284E" w14:textId="603578E3" w:rsidR="008B4DF8" w:rsidRPr="00C1603D" w:rsidRDefault="008B4DF8" w:rsidP="004319B3">
            <w:pPr>
              <w:pStyle w:val="72TabletextTablesTableFigureBoxstyles"/>
              <w:rPr>
                <w:lang w:eastAsia="en-GB"/>
              </w:rPr>
            </w:pPr>
            <w:r w:rsidRPr="00C1603D">
              <w:rPr>
                <w:lang w:eastAsia="en-GB"/>
              </w:rPr>
              <w:t>0.895 (0.848</w:t>
            </w:r>
            <w:r w:rsidR="00C2076E" w:rsidRPr="00C1603D">
              <w:rPr>
                <w:lang w:eastAsia="en-GB"/>
              </w:rPr>
              <w:t>–</w:t>
            </w:r>
            <w:r w:rsidRPr="00C1603D">
              <w:rPr>
                <w:lang w:eastAsia="en-GB"/>
              </w:rPr>
              <w:t>0.950)</w:t>
            </w:r>
          </w:p>
        </w:tc>
        <w:tc>
          <w:tcPr>
            <w:tcW w:w="0" w:type="auto"/>
            <w:shd w:val="clear" w:color="auto" w:fill="auto"/>
          </w:tcPr>
          <w:p w14:paraId="13F4146D" w14:textId="77777777" w:rsidR="008B4DF8" w:rsidRPr="00C1603D" w:rsidRDefault="008B4DF8" w:rsidP="004319B3">
            <w:pPr>
              <w:pStyle w:val="72TabletextTablesTableFigureBoxstyles"/>
              <w:rPr>
                <w:lang w:eastAsia="en-GB"/>
              </w:rPr>
            </w:pPr>
            <w:r w:rsidRPr="00C1603D">
              <w:rPr>
                <w:lang w:eastAsia="en-GB"/>
              </w:rPr>
              <w:t>1.49</w:t>
            </w:r>
          </w:p>
        </w:tc>
        <w:tc>
          <w:tcPr>
            <w:tcW w:w="0" w:type="auto"/>
            <w:shd w:val="clear" w:color="auto" w:fill="auto"/>
          </w:tcPr>
          <w:p w14:paraId="15C05625" w14:textId="77777777" w:rsidR="008B4DF8" w:rsidRPr="00C1603D" w:rsidRDefault="008B4DF8" w:rsidP="004319B3">
            <w:pPr>
              <w:pStyle w:val="72TabletextTablesTableFigureBoxstyles"/>
              <w:rPr>
                <w:lang w:eastAsia="en-GB"/>
              </w:rPr>
            </w:pPr>
            <w:r w:rsidRPr="00C1603D">
              <w:rPr>
                <w:lang w:eastAsia="en-GB"/>
              </w:rPr>
              <w:t>6</w:t>
            </w:r>
          </w:p>
        </w:tc>
        <w:tc>
          <w:tcPr>
            <w:tcW w:w="0" w:type="auto"/>
            <w:shd w:val="clear" w:color="auto" w:fill="auto"/>
          </w:tcPr>
          <w:p w14:paraId="0EB573EE" w14:textId="5DBABF27" w:rsidR="008B4DF8" w:rsidRPr="00C1603D" w:rsidRDefault="008B4DF8" w:rsidP="004319B3">
            <w:pPr>
              <w:pStyle w:val="72TabletextTablesTableFigureBoxstyles"/>
              <w:rPr>
                <w:lang w:eastAsia="en-GB"/>
              </w:rPr>
            </w:pPr>
            <w:r w:rsidRPr="00C1603D">
              <w:rPr>
                <w:lang w:eastAsia="en-GB"/>
              </w:rPr>
              <w:t>1.489 (1.431</w:t>
            </w:r>
            <w:r w:rsidR="00C2076E" w:rsidRPr="00C1603D">
              <w:rPr>
                <w:lang w:eastAsia="en-GB"/>
              </w:rPr>
              <w:t>–</w:t>
            </w:r>
            <w:r w:rsidRPr="00C1603D">
              <w:rPr>
                <w:lang w:eastAsia="en-GB"/>
              </w:rPr>
              <w:t>1.552)</w:t>
            </w:r>
          </w:p>
        </w:tc>
      </w:tr>
      <w:tr w:rsidR="004319B3" w:rsidRPr="00C1603D" w14:paraId="55A60C1A" w14:textId="77777777" w:rsidTr="004319B3">
        <w:trPr>
          <w:cantSplit/>
        </w:trPr>
        <w:tc>
          <w:tcPr>
            <w:tcW w:w="0" w:type="auto"/>
            <w:gridSpan w:val="10"/>
            <w:shd w:val="clear" w:color="auto" w:fill="auto"/>
          </w:tcPr>
          <w:p w14:paraId="4265C9AE" w14:textId="378A41BF" w:rsidR="00DB0794" w:rsidRPr="00C1603D" w:rsidRDefault="00DB0794" w:rsidP="004319B3">
            <w:pPr>
              <w:pStyle w:val="75TablenotesTablesTableFigureBoxstyles"/>
            </w:pPr>
            <w:r w:rsidRPr="00C1603D">
              <w:t>NS, not selected.</w:t>
            </w:r>
          </w:p>
          <w:p w14:paraId="11F0958D" w14:textId="41D924CE" w:rsidR="004319B3" w:rsidRPr="00C1603D" w:rsidRDefault="004319B3" w:rsidP="004319B3">
            <w:pPr>
              <w:pStyle w:val="75TablenotesTablesTableFigureBoxstyles"/>
              <w:rPr>
                <w:lang w:eastAsia="en-GB"/>
              </w:rPr>
            </w:pPr>
            <w:commentRangeStart w:id="220"/>
            <w:commentRangeStart w:id="221"/>
            <w:r w:rsidRPr="00C1603D">
              <w:t>a</w:t>
            </w:r>
            <w:r w:rsidRPr="00C1603D">
              <w:tab/>
            </w:r>
            <w:r w:rsidR="00DB0794" w:rsidRPr="00C1603D">
              <w:t>H</w:t>
            </w:r>
            <w:r w:rsidRPr="00C1603D">
              <w:t>ighest to lowest coefficient.</w:t>
            </w:r>
            <w:commentRangeEnd w:id="220"/>
            <w:r w:rsidR="008506E7" w:rsidRPr="00C1603D">
              <w:commentReference w:id="220"/>
            </w:r>
            <w:commentRangeEnd w:id="221"/>
            <w:r w:rsidRPr="00C1603D">
              <w:commentReference w:id="221"/>
            </w:r>
          </w:p>
        </w:tc>
      </w:tr>
    </w:tbl>
    <w:p w14:paraId="78E07D81" w14:textId="77777777" w:rsidR="008B4DF8" w:rsidRPr="00C1603D" w:rsidRDefault="008B4DF8" w:rsidP="008B4DF8">
      <w:pPr>
        <w:pStyle w:val="53BheadHeadingsHeadingstyles"/>
      </w:pPr>
      <w:bookmarkStart w:id="222" w:name="_Toc99539849"/>
      <w:r w:rsidRPr="00C1603D">
        <w:t>Model performance</w:t>
      </w:r>
      <w:bookmarkEnd w:id="222"/>
    </w:p>
    <w:p w14:paraId="573BABDB" w14:textId="103F1F89" w:rsidR="008B4DF8" w:rsidRPr="00C1603D" w:rsidRDefault="008B4DF8" w:rsidP="008B4DF8">
      <w:pPr>
        <w:pStyle w:val="602TextfoTextstylesTextstyles"/>
        <w:rPr>
          <w:rFonts w:eastAsia="Calibri"/>
        </w:rPr>
      </w:pPr>
      <w:r w:rsidRPr="00C1603D">
        <w:rPr>
          <w:rFonts w:eastAsia="Calibri"/>
        </w:rPr>
        <w:t>The amount of variability explained (</w:t>
      </w:r>
      <w:r w:rsidRPr="00C1603D">
        <w:rPr>
          <w:rFonts w:eastAsia="Calibri"/>
          <w:i/>
          <w:iCs/>
        </w:rPr>
        <w:t>R</w:t>
      </w:r>
      <w:r w:rsidR="008B5148" w:rsidRPr="00C1603D">
        <w:rPr>
          <w:rFonts w:eastAsia="Calibri"/>
          <w:vertAlign w:val="superscript"/>
        </w:rPr>
        <w:t>2</w:t>
      </w:r>
      <w:r w:rsidRPr="00C1603D">
        <w:rPr>
          <w:rFonts w:eastAsia="Calibri"/>
        </w:rPr>
        <w:t>), the overall model fit (Brier score), discrimination (</w:t>
      </w:r>
      <w:r w:rsidR="008B5148" w:rsidRPr="00C1603D">
        <w:rPr>
          <w:rFonts w:eastAsia="Calibri"/>
          <w:i/>
          <w:iCs/>
        </w:rPr>
        <w:t>c</w:t>
      </w:r>
      <w:r w:rsidR="008B5148" w:rsidRPr="00C1603D">
        <w:rPr>
          <w:rFonts w:eastAsia="Calibri"/>
        </w:rPr>
        <w:t>-stat</w:t>
      </w:r>
      <w:r w:rsidRPr="00C1603D">
        <w:rPr>
          <w:rFonts w:eastAsia="Calibri"/>
        </w:rPr>
        <w:t xml:space="preserve">istic), and calibration measures (intercept and slope of calibration curve) are shown in </w:t>
      </w:r>
      <w:r w:rsidRPr="00C1603D">
        <w:rPr>
          <w:rFonts w:eastAsia="Calibri"/>
          <w:i/>
          <w:color w:val="FF0000"/>
        </w:rPr>
        <w:t>Table 4</w:t>
      </w:r>
      <w:r w:rsidRPr="00C1603D">
        <w:rPr>
          <w:rFonts w:eastAsia="Calibri"/>
        </w:rPr>
        <w:t>.</w:t>
      </w:r>
    </w:p>
    <w:p w14:paraId="273CE347" w14:textId="77777777" w:rsidR="008B4DF8" w:rsidRPr="00C1603D" w:rsidRDefault="008B4DF8" w:rsidP="008B4DF8">
      <w:pPr>
        <w:pStyle w:val="70TablelegendTablesTableFigureBoxstyles"/>
      </w:pPr>
      <w:bookmarkStart w:id="223" w:name="_Toc99720715"/>
      <w:r w:rsidRPr="00C1603D">
        <w:rPr>
          <w:b/>
        </w:rPr>
        <w:t>TABLE 4</w:t>
      </w:r>
      <w:r w:rsidRPr="00C1603D">
        <w:rPr>
          <w:b/>
        </w:rPr>
        <w:t> </w:t>
      </w:r>
      <w:r w:rsidRPr="00C1603D">
        <w:t>Model performance</w:t>
      </w:r>
      <w:bookmarkEnd w:id="223"/>
    </w:p>
    <w:tbl>
      <w:tblPr>
        <w:tblW w:w="0" w:type="auto"/>
        <w:tblInd w:w="-5" w:type="dxa"/>
        <w:tblCellMar>
          <w:top w:w="40" w:type="dxa"/>
          <w:left w:w="60" w:type="dxa"/>
          <w:bottom w:w="40" w:type="dxa"/>
          <w:right w:w="60" w:type="dxa"/>
        </w:tblCellMar>
        <w:tblLook w:val="04A0" w:firstRow="1" w:lastRow="0" w:firstColumn="1" w:lastColumn="0" w:noHBand="0" w:noVBand="1"/>
      </w:tblPr>
      <w:tblGrid>
        <w:gridCol w:w="1166"/>
        <w:gridCol w:w="2241"/>
        <w:gridCol w:w="3012"/>
        <w:gridCol w:w="2612"/>
      </w:tblGrid>
      <w:tr w:rsidR="008B5148" w:rsidRPr="00C1603D" w14:paraId="731FBF5B" w14:textId="77777777" w:rsidTr="008B5148">
        <w:trPr>
          <w:cantSplit/>
          <w:trHeight w:val="816"/>
        </w:trPr>
        <w:tc>
          <w:tcPr>
            <w:tcW w:w="0" w:type="auto"/>
            <w:shd w:val="clear" w:color="auto" w:fill="auto"/>
          </w:tcPr>
          <w:p w14:paraId="096818AA" w14:textId="1AA821E5" w:rsidR="008B5148" w:rsidRPr="00C1603D" w:rsidRDefault="008B5148" w:rsidP="008B5148">
            <w:pPr>
              <w:pStyle w:val="710TableheadTablesTableFigureBoxstyles"/>
            </w:pPr>
            <w:r w:rsidRPr="00C1603D">
              <w:t>Data</w:t>
            </w:r>
          </w:p>
        </w:tc>
        <w:tc>
          <w:tcPr>
            <w:tcW w:w="0" w:type="auto"/>
            <w:shd w:val="clear" w:color="auto" w:fill="auto"/>
          </w:tcPr>
          <w:p w14:paraId="7986E2E8" w14:textId="2142ED14" w:rsidR="008B5148" w:rsidRPr="00C1603D" w:rsidRDefault="008B5148" w:rsidP="008B5148">
            <w:pPr>
              <w:pStyle w:val="710TableheadTablesTableFigureBoxstyles"/>
            </w:pPr>
            <w:r w:rsidRPr="00C1603D">
              <w:t>Apparent model performance: original data set (CPRD GOLD)</w:t>
            </w:r>
          </w:p>
        </w:tc>
        <w:tc>
          <w:tcPr>
            <w:tcW w:w="0" w:type="auto"/>
            <w:shd w:val="clear" w:color="auto" w:fill="auto"/>
          </w:tcPr>
          <w:p w14:paraId="46BBE47A" w14:textId="1E715EA2" w:rsidR="008B5148" w:rsidRPr="00C1603D" w:rsidRDefault="008B5148" w:rsidP="008B5148">
            <w:pPr>
              <w:pStyle w:val="710TableheadTablesTableFigureBoxstyles"/>
            </w:pPr>
            <w:r w:rsidRPr="00C1603D">
              <w:t>Internally validated model performance: 200 × bootstrap samples of original data, median (IQR)</w:t>
            </w:r>
          </w:p>
        </w:tc>
        <w:tc>
          <w:tcPr>
            <w:tcW w:w="0" w:type="auto"/>
            <w:shd w:val="clear" w:color="auto" w:fill="auto"/>
          </w:tcPr>
          <w:p w14:paraId="31390273" w14:textId="36F48CFF" w:rsidR="008B5148" w:rsidRPr="00C1603D" w:rsidRDefault="008B5148" w:rsidP="008B5148">
            <w:pPr>
              <w:pStyle w:val="710TableheadTablesTableFigureBoxstyles"/>
            </w:pPr>
            <w:r w:rsidRPr="00C1603D">
              <w:t>Externally validated model performance: independent data set (CPRD Aurum)</w:t>
            </w:r>
          </w:p>
        </w:tc>
      </w:tr>
      <w:tr w:rsidR="008B4DF8" w:rsidRPr="00C1603D" w14:paraId="61BAA5F5" w14:textId="77777777" w:rsidTr="008B5148">
        <w:trPr>
          <w:cantSplit/>
        </w:trPr>
        <w:tc>
          <w:tcPr>
            <w:tcW w:w="0" w:type="auto"/>
            <w:gridSpan w:val="4"/>
            <w:shd w:val="clear" w:color="auto" w:fill="auto"/>
          </w:tcPr>
          <w:p w14:paraId="39BEA487" w14:textId="77777777" w:rsidR="008B4DF8" w:rsidRPr="00C1603D" w:rsidRDefault="008B4DF8" w:rsidP="008B5148">
            <w:pPr>
              <w:pStyle w:val="711TablesubheadATablesTableFigureBoxstyles"/>
            </w:pPr>
            <w:r w:rsidRPr="00C1603D">
              <w:t>Children</w:t>
            </w:r>
          </w:p>
        </w:tc>
      </w:tr>
      <w:tr w:rsidR="008B5148" w:rsidRPr="00C1603D" w14:paraId="0F3AF4C1" w14:textId="77777777" w:rsidTr="008B5148">
        <w:trPr>
          <w:cantSplit/>
        </w:trPr>
        <w:tc>
          <w:tcPr>
            <w:tcW w:w="0" w:type="auto"/>
            <w:shd w:val="clear" w:color="auto" w:fill="auto"/>
          </w:tcPr>
          <w:p w14:paraId="507D9CD1" w14:textId="4EEE6BFE" w:rsidR="008B4DF8" w:rsidRPr="00C1603D" w:rsidRDefault="008B4DF8" w:rsidP="008B5148">
            <w:pPr>
              <w:pStyle w:val="72TabletextTablesTableFigureBoxstyles"/>
            </w:pPr>
            <w:r w:rsidRPr="00C1603D">
              <w:rPr>
                <w:i/>
                <w:iCs/>
              </w:rPr>
              <w:t>R</w:t>
            </w:r>
            <w:r w:rsidR="008B5148" w:rsidRPr="00C1603D">
              <w:rPr>
                <w:vertAlign w:val="superscript"/>
              </w:rPr>
              <w:t>2</w:t>
            </w:r>
          </w:p>
        </w:tc>
        <w:tc>
          <w:tcPr>
            <w:tcW w:w="0" w:type="auto"/>
            <w:shd w:val="clear" w:color="auto" w:fill="auto"/>
          </w:tcPr>
          <w:p w14:paraId="7DF5DE94" w14:textId="77777777" w:rsidR="008B4DF8" w:rsidRPr="00C1603D" w:rsidRDefault="008B4DF8" w:rsidP="008B5148">
            <w:pPr>
              <w:pStyle w:val="72TabletextTablesTableFigureBoxstyles"/>
            </w:pPr>
            <w:r w:rsidRPr="00C1603D">
              <w:t>0.407</w:t>
            </w:r>
          </w:p>
        </w:tc>
        <w:tc>
          <w:tcPr>
            <w:tcW w:w="0" w:type="auto"/>
            <w:shd w:val="clear" w:color="auto" w:fill="auto"/>
          </w:tcPr>
          <w:p w14:paraId="5C68E01B" w14:textId="304E21C9" w:rsidR="008B4DF8" w:rsidRPr="00C1603D" w:rsidRDefault="008B4DF8" w:rsidP="008B5148">
            <w:pPr>
              <w:pStyle w:val="72TabletextTablesTableFigureBoxstyles"/>
            </w:pPr>
            <w:r w:rsidRPr="00C1603D">
              <w:t>0.408 (0.401</w:t>
            </w:r>
            <w:r w:rsidR="008B5148" w:rsidRPr="00C1603D">
              <w:t>–</w:t>
            </w:r>
            <w:r w:rsidRPr="00C1603D">
              <w:t>0.413)</w:t>
            </w:r>
          </w:p>
        </w:tc>
        <w:tc>
          <w:tcPr>
            <w:tcW w:w="0" w:type="auto"/>
            <w:shd w:val="clear" w:color="auto" w:fill="auto"/>
          </w:tcPr>
          <w:p w14:paraId="3E6A4DE4" w14:textId="77777777" w:rsidR="008B4DF8" w:rsidRPr="00C1603D" w:rsidRDefault="008B4DF8" w:rsidP="008B5148">
            <w:pPr>
              <w:pStyle w:val="72TabletextTablesTableFigureBoxstyles"/>
            </w:pPr>
            <w:r w:rsidRPr="00C1603D">
              <w:t>0.065</w:t>
            </w:r>
          </w:p>
        </w:tc>
      </w:tr>
      <w:tr w:rsidR="008B5148" w:rsidRPr="00C1603D" w14:paraId="6DE26B90" w14:textId="77777777" w:rsidTr="008B5148">
        <w:trPr>
          <w:cantSplit/>
          <w:trHeight w:val="156"/>
        </w:trPr>
        <w:tc>
          <w:tcPr>
            <w:tcW w:w="0" w:type="auto"/>
            <w:vMerge w:val="restart"/>
            <w:shd w:val="clear" w:color="auto" w:fill="auto"/>
          </w:tcPr>
          <w:p w14:paraId="63CC4A2E" w14:textId="77777777" w:rsidR="008B5148" w:rsidRPr="00C1603D" w:rsidRDefault="008B5148" w:rsidP="008B5148">
            <w:pPr>
              <w:pStyle w:val="72TabletextTablesTableFigureBoxstyles"/>
            </w:pPr>
            <w:r w:rsidRPr="00C1603D">
              <w:t>Brier score</w:t>
            </w:r>
          </w:p>
        </w:tc>
        <w:tc>
          <w:tcPr>
            <w:tcW w:w="0" w:type="auto"/>
            <w:vMerge w:val="restart"/>
            <w:shd w:val="clear" w:color="auto" w:fill="auto"/>
          </w:tcPr>
          <w:p w14:paraId="2F46BE26" w14:textId="77777777" w:rsidR="008B5148" w:rsidRPr="00C1603D" w:rsidRDefault="008B5148" w:rsidP="008B5148">
            <w:pPr>
              <w:pStyle w:val="72TabletextTablesTableFigureBoxstyles"/>
            </w:pPr>
            <w:r w:rsidRPr="00C1603D">
              <w:t>0.167</w:t>
            </w:r>
          </w:p>
        </w:tc>
        <w:tc>
          <w:tcPr>
            <w:tcW w:w="0" w:type="auto"/>
            <w:vMerge w:val="restart"/>
            <w:shd w:val="clear" w:color="auto" w:fill="auto"/>
          </w:tcPr>
          <w:p w14:paraId="47F97FD0" w14:textId="10BFBF1A" w:rsidR="008B5148" w:rsidRPr="00C1603D" w:rsidRDefault="008B5148" w:rsidP="008B5148">
            <w:pPr>
              <w:pStyle w:val="72TabletextTablesTableFigureBoxstyles"/>
            </w:pPr>
            <w:r w:rsidRPr="00C1603D">
              <w:t>0.167 (0.165–0.169)</w:t>
            </w:r>
          </w:p>
        </w:tc>
        <w:tc>
          <w:tcPr>
            <w:tcW w:w="0" w:type="auto"/>
            <w:shd w:val="clear" w:color="auto" w:fill="auto"/>
          </w:tcPr>
          <w:p w14:paraId="76F34672" w14:textId="6A3BE18C" w:rsidR="008B5148" w:rsidRPr="00C1603D" w:rsidRDefault="008B5148" w:rsidP="008B5148">
            <w:pPr>
              <w:pStyle w:val="72TabletextTablesTableFigureBoxstyles"/>
            </w:pPr>
            <w:r w:rsidRPr="00C1603D">
              <w:t>Without FDR: 0.190</w:t>
            </w:r>
          </w:p>
        </w:tc>
      </w:tr>
      <w:tr w:rsidR="008B5148" w:rsidRPr="00C1603D" w14:paraId="1539369E" w14:textId="77777777" w:rsidTr="008B5148">
        <w:trPr>
          <w:cantSplit/>
          <w:trHeight w:val="155"/>
        </w:trPr>
        <w:tc>
          <w:tcPr>
            <w:tcW w:w="0" w:type="auto"/>
            <w:vMerge/>
            <w:shd w:val="clear" w:color="auto" w:fill="auto"/>
          </w:tcPr>
          <w:p w14:paraId="5FE289E7" w14:textId="77777777" w:rsidR="008B5148" w:rsidRPr="00C1603D" w:rsidRDefault="008B5148" w:rsidP="008B5148">
            <w:pPr>
              <w:pStyle w:val="72TabletextTablesTableFigureBoxstyles"/>
            </w:pPr>
          </w:p>
        </w:tc>
        <w:tc>
          <w:tcPr>
            <w:tcW w:w="0" w:type="auto"/>
            <w:vMerge/>
            <w:shd w:val="clear" w:color="auto" w:fill="auto"/>
          </w:tcPr>
          <w:p w14:paraId="10D1588F" w14:textId="77777777" w:rsidR="008B5148" w:rsidRPr="00C1603D" w:rsidRDefault="008B5148" w:rsidP="008B5148">
            <w:pPr>
              <w:pStyle w:val="72TabletextTablesTableFigureBoxstyles"/>
            </w:pPr>
          </w:p>
        </w:tc>
        <w:tc>
          <w:tcPr>
            <w:tcW w:w="0" w:type="auto"/>
            <w:vMerge/>
            <w:shd w:val="clear" w:color="auto" w:fill="auto"/>
          </w:tcPr>
          <w:p w14:paraId="4A3F202B" w14:textId="77777777" w:rsidR="008B5148" w:rsidRPr="00C1603D" w:rsidRDefault="008B5148" w:rsidP="008B5148">
            <w:pPr>
              <w:pStyle w:val="72TabletextTablesTableFigureBoxstyles"/>
            </w:pPr>
          </w:p>
        </w:tc>
        <w:tc>
          <w:tcPr>
            <w:tcW w:w="0" w:type="auto"/>
            <w:shd w:val="clear" w:color="auto" w:fill="auto"/>
          </w:tcPr>
          <w:p w14:paraId="72C1F0A1" w14:textId="13D1CE91" w:rsidR="008B5148" w:rsidRPr="00C1603D" w:rsidRDefault="008B5148" w:rsidP="008B5148">
            <w:pPr>
              <w:pStyle w:val="72TabletextTablesTableFigureBoxstyles"/>
            </w:pPr>
            <w:r w:rsidRPr="00C1603D">
              <w:t>With FDR: 0.156</w:t>
            </w:r>
          </w:p>
        </w:tc>
      </w:tr>
      <w:tr w:rsidR="008B5148" w:rsidRPr="00C1603D" w14:paraId="4C6FF040" w14:textId="77777777" w:rsidTr="008B5148">
        <w:trPr>
          <w:cantSplit/>
        </w:trPr>
        <w:tc>
          <w:tcPr>
            <w:tcW w:w="0" w:type="auto"/>
            <w:shd w:val="clear" w:color="auto" w:fill="auto"/>
          </w:tcPr>
          <w:p w14:paraId="22455FBC" w14:textId="5D88DA33" w:rsidR="008B4DF8" w:rsidRPr="00C1603D" w:rsidRDefault="008B5148" w:rsidP="008B5148">
            <w:pPr>
              <w:pStyle w:val="72TabletextTablesTableFigureBoxstyles"/>
            </w:pPr>
            <w:r w:rsidRPr="00C1603D">
              <w:rPr>
                <w:i/>
                <w:iCs/>
              </w:rPr>
              <w:t>c</w:t>
            </w:r>
            <w:r w:rsidRPr="00C1603D">
              <w:t>-stat</w:t>
            </w:r>
            <w:r w:rsidR="008B4DF8" w:rsidRPr="00C1603D">
              <w:t>istic</w:t>
            </w:r>
          </w:p>
        </w:tc>
        <w:tc>
          <w:tcPr>
            <w:tcW w:w="0" w:type="auto"/>
            <w:shd w:val="clear" w:color="auto" w:fill="auto"/>
          </w:tcPr>
          <w:p w14:paraId="5A7682D7" w14:textId="77777777" w:rsidR="008B4DF8" w:rsidRPr="00C1603D" w:rsidRDefault="008B4DF8" w:rsidP="008B5148">
            <w:pPr>
              <w:pStyle w:val="72TabletextTablesTableFigureBoxstyles"/>
            </w:pPr>
            <w:r w:rsidRPr="00C1603D">
              <w:t>0.821</w:t>
            </w:r>
          </w:p>
        </w:tc>
        <w:tc>
          <w:tcPr>
            <w:tcW w:w="0" w:type="auto"/>
            <w:shd w:val="clear" w:color="auto" w:fill="auto"/>
          </w:tcPr>
          <w:p w14:paraId="0F866041" w14:textId="21CCB693" w:rsidR="008B4DF8" w:rsidRPr="00C1603D" w:rsidRDefault="008B4DF8" w:rsidP="008B5148">
            <w:pPr>
              <w:pStyle w:val="72TabletextTablesTableFigureBoxstyles"/>
            </w:pPr>
            <w:r w:rsidRPr="00C1603D">
              <w:t>0.821 (0.818</w:t>
            </w:r>
            <w:r w:rsidR="008B5148" w:rsidRPr="00C1603D">
              <w:t>–</w:t>
            </w:r>
            <w:r w:rsidRPr="00C1603D">
              <w:t>0.824)</w:t>
            </w:r>
          </w:p>
        </w:tc>
        <w:tc>
          <w:tcPr>
            <w:tcW w:w="0" w:type="auto"/>
            <w:shd w:val="clear" w:color="auto" w:fill="auto"/>
          </w:tcPr>
          <w:p w14:paraId="3127518A" w14:textId="77777777" w:rsidR="008B4DF8" w:rsidRPr="00C1603D" w:rsidRDefault="008B4DF8" w:rsidP="008B5148">
            <w:pPr>
              <w:pStyle w:val="72TabletextTablesTableFigureBoxstyles"/>
            </w:pPr>
            <w:r w:rsidRPr="00C1603D">
              <w:t>0.600</w:t>
            </w:r>
          </w:p>
        </w:tc>
      </w:tr>
      <w:tr w:rsidR="008B5148" w:rsidRPr="00C1603D" w14:paraId="095FD76D" w14:textId="77777777" w:rsidTr="008B5148">
        <w:trPr>
          <w:cantSplit/>
          <w:trHeight w:val="156"/>
        </w:trPr>
        <w:tc>
          <w:tcPr>
            <w:tcW w:w="0" w:type="auto"/>
            <w:vMerge w:val="restart"/>
            <w:shd w:val="clear" w:color="auto" w:fill="auto"/>
          </w:tcPr>
          <w:p w14:paraId="7D60AE46" w14:textId="77777777" w:rsidR="008B5148" w:rsidRPr="00C1603D" w:rsidRDefault="008B5148" w:rsidP="008B5148">
            <w:pPr>
              <w:pStyle w:val="72TabletextTablesTableFigureBoxstyles"/>
            </w:pPr>
            <w:r w:rsidRPr="00C1603D">
              <w:lastRenderedPageBreak/>
              <w:t>Calibration intercept</w:t>
            </w:r>
            <w:r w:rsidRPr="00C1603D">
              <w:rPr>
                <w:vertAlign w:val="superscript"/>
              </w:rPr>
              <w:t>a</w:t>
            </w:r>
          </w:p>
        </w:tc>
        <w:tc>
          <w:tcPr>
            <w:tcW w:w="0" w:type="auto"/>
            <w:vMerge w:val="restart"/>
            <w:shd w:val="clear" w:color="auto" w:fill="auto"/>
          </w:tcPr>
          <w:p w14:paraId="010AAA45" w14:textId="77777777" w:rsidR="008B5148" w:rsidRPr="00C1603D" w:rsidRDefault="008B5148" w:rsidP="008B5148">
            <w:pPr>
              <w:pStyle w:val="72TabletextTablesTableFigureBoxstyles"/>
            </w:pPr>
            <w:r w:rsidRPr="00C1603D">
              <w:t>0.147</w:t>
            </w:r>
          </w:p>
        </w:tc>
        <w:tc>
          <w:tcPr>
            <w:tcW w:w="0" w:type="auto"/>
            <w:vMerge w:val="restart"/>
            <w:shd w:val="clear" w:color="auto" w:fill="auto"/>
          </w:tcPr>
          <w:p w14:paraId="1132CFD8" w14:textId="19B105AA" w:rsidR="008B5148" w:rsidRPr="00C1603D" w:rsidRDefault="008B5148" w:rsidP="008B5148">
            <w:pPr>
              <w:pStyle w:val="72TabletextTablesTableFigureBoxstyles"/>
            </w:pPr>
            <w:r w:rsidRPr="00C1603D">
              <w:t>0.161 (0.134–0.181)</w:t>
            </w:r>
          </w:p>
        </w:tc>
        <w:tc>
          <w:tcPr>
            <w:tcW w:w="0" w:type="auto"/>
            <w:shd w:val="clear" w:color="auto" w:fill="auto"/>
          </w:tcPr>
          <w:p w14:paraId="1E8903B4" w14:textId="4C33EF82" w:rsidR="008B5148" w:rsidRPr="00C1603D" w:rsidRDefault="008B5148" w:rsidP="008B5148">
            <w:pPr>
              <w:pStyle w:val="72TabletextTablesTableFigureBoxstyles"/>
            </w:pPr>
            <w:r w:rsidRPr="00C1603D">
              <w:t>Without FDR: 0.433</w:t>
            </w:r>
          </w:p>
        </w:tc>
      </w:tr>
      <w:tr w:rsidR="008B5148" w:rsidRPr="00C1603D" w14:paraId="028C0412" w14:textId="77777777" w:rsidTr="008B5148">
        <w:trPr>
          <w:cantSplit/>
          <w:trHeight w:val="155"/>
        </w:trPr>
        <w:tc>
          <w:tcPr>
            <w:tcW w:w="0" w:type="auto"/>
            <w:vMerge/>
            <w:shd w:val="clear" w:color="auto" w:fill="auto"/>
          </w:tcPr>
          <w:p w14:paraId="16FF173F" w14:textId="77777777" w:rsidR="008B5148" w:rsidRPr="00C1603D" w:rsidRDefault="008B5148" w:rsidP="008B5148">
            <w:pPr>
              <w:pStyle w:val="72TabletextTablesTableFigureBoxstyles"/>
            </w:pPr>
          </w:p>
        </w:tc>
        <w:tc>
          <w:tcPr>
            <w:tcW w:w="0" w:type="auto"/>
            <w:vMerge/>
            <w:shd w:val="clear" w:color="auto" w:fill="auto"/>
          </w:tcPr>
          <w:p w14:paraId="532B80B6" w14:textId="77777777" w:rsidR="008B5148" w:rsidRPr="00C1603D" w:rsidRDefault="008B5148" w:rsidP="008B5148">
            <w:pPr>
              <w:pStyle w:val="72TabletextTablesTableFigureBoxstyles"/>
            </w:pPr>
          </w:p>
        </w:tc>
        <w:tc>
          <w:tcPr>
            <w:tcW w:w="0" w:type="auto"/>
            <w:vMerge/>
            <w:shd w:val="clear" w:color="auto" w:fill="auto"/>
          </w:tcPr>
          <w:p w14:paraId="46F5A221" w14:textId="77777777" w:rsidR="008B5148" w:rsidRPr="00C1603D" w:rsidRDefault="008B5148" w:rsidP="008B5148">
            <w:pPr>
              <w:pStyle w:val="72TabletextTablesTableFigureBoxstyles"/>
            </w:pPr>
          </w:p>
        </w:tc>
        <w:tc>
          <w:tcPr>
            <w:tcW w:w="0" w:type="auto"/>
            <w:shd w:val="clear" w:color="auto" w:fill="auto"/>
          </w:tcPr>
          <w:p w14:paraId="5859A7ED" w14:textId="7F783519" w:rsidR="008B5148" w:rsidRPr="00C1603D" w:rsidRDefault="008B5148" w:rsidP="008B5148">
            <w:pPr>
              <w:pStyle w:val="72TabletextTablesTableFigureBoxstyles"/>
            </w:pPr>
            <w:r w:rsidRPr="00C1603D">
              <w:t xml:space="preserve">With FDR: </w:t>
            </w:r>
            <w:r w:rsidRPr="00C1603D">
              <w:rPr>
                <w:color w:val="00B0F0"/>
              </w:rPr>
              <w:t>–2</w:t>
            </w:r>
            <w:r w:rsidRPr="00C1603D">
              <w:t>.676</w:t>
            </w:r>
          </w:p>
        </w:tc>
      </w:tr>
      <w:tr w:rsidR="008B5148" w:rsidRPr="00C1603D" w14:paraId="2E01881C" w14:textId="77777777" w:rsidTr="008B5148">
        <w:trPr>
          <w:cantSplit/>
        </w:trPr>
        <w:tc>
          <w:tcPr>
            <w:tcW w:w="0" w:type="auto"/>
            <w:shd w:val="clear" w:color="auto" w:fill="auto"/>
          </w:tcPr>
          <w:p w14:paraId="3CD82B91" w14:textId="77777777" w:rsidR="008B4DF8" w:rsidRPr="00C1603D" w:rsidRDefault="008B4DF8" w:rsidP="008B5148">
            <w:pPr>
              <w:pStyle w:val="72TabletextTablesTableFigureBoxstyles"/>
            </w:pPr>
            <w:r w:rsidRPr="00C1603D">
              <w:t>Calibration slope</w:t>
            </w:r>
            <w:r w:rsidRPr="00C1603D">
              <w:rPr>
                <w:vertAlign w:val="superscript"/>
              </w:rPr>
              <w:t>a</w:t>
            </w:r>
          </w:p>
        </w:tc>
        <w:tc>
          <w:tcPr>
            <w:tcW w:w="0" w:type="auto"/>
            <w:shd w:val="clear" w:color="auto" w:fill="auto"/>
          </w:tcPr>
          <w:p w14:paraId="4C0C31A4" w14:textId="77777777" w:rsidR="008B4DF8" w:rsidRPr="00C1603D" w:rsidRDefault="008B4DF8" w:rsidP="008B5148">
            <w:pPr>
              <w:pStyle w:val="72TabletextTablesTableFigureBoxstyles"/>
            </w:pPr>
            <w:r w:rsidRPr="00C1603D">
              <w:t>0.964</w:t>
            </w:r>
          </w:p>
        </w:tc>
        <w:tc>
          <w:tcPr>
            <w:tcW w:w="0" w:type="auto"/>
            <w:shd w:val="clear" w:color="auto" w:fill="auto"/>
          </w:tcPr>
          <w:p w14:paraId="0AD943DD" w14:textId="3C60FDAC" w:rsidR="008B4DF8" w:rsidRPr="00C1603D" w:rsidRDefault="008B4DF8" w:rsidP="008B5148">
            <w:pPr>
              <w:pStyle w:val="72TabletextTablesTableFigureBoxstyles"/>
            </w:pPr>
            <w:r w:rsidRPr="00C1603D">
              <w:t>0.986 (0.959</w:t>
            </w:r>
            <w:r w:rsidR="008B5148" w:rsidRPr="00C1603D">
              <w:t>–</w:t>
            </w:r>
            <w:r w:rsidRPr="00C1603D">
              <w:t>1.014)</w:t>
            </w:r>
          </w:p>
        </w:tc>
        <w:tc>
          <w:tcPr>
            <w:tcW w:w="0" w:type="auto"/>
            <w:shd w:val="clear" w:color="auto" w:fill="auto"/>
          </w:tcPr>
          <w:p w14:paraId="4C0D1C3F" w14:textId="77777777" w:rsidR="008B4DF8" w:rsidRPr="00C1603D" w:rsidRDefault="008B4DF8" w:rsidP="008B5148">
            <w:pPr>
              <w:pStyle w:val="72TabletextTablesTableFigureBoxstyles"/>
            </w:pPr>
            <w:r w:rsidRPr="00C1603D">
              <w:t>0.655</w:t>
            </w:r>
          </w:p>
        </w:tc>
      </w:tr>
      <w:tr w:rsidR="008B4DF8" w:rsidRPr="00C1603D" w14:paraId="30380D8C" w14:textId="77777777" w:rsidTr="008B5148">
        <w:trPr>
          <w:cantSplit/>
        </w:trPr>
        <w:tc>
          <w:tcPr>
            <w:tcW w:w="0" w:type="auto"/>
            <w:gridSpan w:val="4"/>
            <w:shd w:val="clear" w:color="auto" w:fill="auto"/>
          </w:tcPr>
          <w:p w14:paraId="0BCF713E" w14:textId="77777777" w:rsidR="008B4DF8" w:rsidRPr="00C1603D" w:rsidRDefault="008B4DF8" w:rsidP="008B5148">
            <w:pPr>
              <w:pStyle w:val="711TablesubheadATablesTableFigureBoxstyles"/>
            </w:pPr>
            <w:r w:rsidRPr="00C1603D">
              <w:t>Women</w:t>
            </w:r>
          </w:p>
        </w:tc>
      </w:tr>
      <w:tr w:rsidR="008B5148" w:rsidRPr="00C1603D" w14:paraId="2F305096" w14:textId="77777777" w:rsidTr="008B5148">
        <w:trPr>
          <w:cantSplit/>
        </w:trPr>
        <w:tc>
          <w:tcPr>
            <w:tcW w:w="0" w:type="auto"/>
            <w:shd w:val="clear" w:color="auto" w:fill="auto"/>
          </w:tcPr>
          <w:p w14:paraId="716C8C46" w14:textId="5EF6DD44" w:rsidR="008B5148" w:rsidRPr="00C1603D" w:rsidRDefault="008B5148" w:rsidP="008B5148">
            <w:pPr>
              <w:pStyle w:val="72TabletextTablesTableFigureBoxstyles"/>
            </w:pPr>
            <w:r w:rsidRPr="00C1603D">
              <w:rPr>
                <w:i/>
                <w:iCs/>
              </w:rPr>
              <w:t>R</w:t>
            </w:r>
            <w:r w:rsidRPr="00C1603D">
              <w:rPr>
                <w:vertAlign w:val="superscript"/>
              </w:rPr>
              <w:t>2</w:t>
            </w:r>
          </w:p>
        </w:tc>
        <w:tc>
          <w:tcPr>
            <w:tcW w:w="0" w:type="auto"/>
            <w:shd w:val="clear" w:color="auto" w:fill="auto"/>
          </w:tcPr>
          <w:p w14:paraId="6C4E4027" w14:textId="77777777" w:rsidR="008B5148" w:rsidRPr="00C1603D" w:rsidRDefault="008B5148" w:rsidP="008B5148">
            <w:pPr>
              <w:pStyle w:val="72TabletextTablesTableFigureBoxstyles"/>
            </w:pPr>
            <w:r w:rsidRPr="00C1603D">
              <w:t>0.237</w:t>
            </w:r>
          </w:p>
        </w:tc>
        <w:tc>
          <w:tcPr>
            <w:tcW w:w="0" w:type="auto"/>
            <w:shd w:val="clear" w:color="auto" w:fill="auto"/>
          </w:tcPr>
          <w:p w14:paraId="11001993" w14:textId="7B18B814" w:rsidR="008B5148" w:rsidRPr="00C1603D" w:rsidRDefault="008B5148" w:rsidP="008B5148">
            <w:pPr>
              <w:pStyle w:val="72TabletextTablesTableFigureBoxstyles"/>
            </w:pPr>
            <w:r w:rsidRPr="00C1603D">
              <w:t>0.248 (0.242–0.254)</w:t>
            </w:r>
          </w:p>
        </w:tc>
        <w:tc>
          <w:tcPr>
            <w:tcW w:w="0" w:type="auto"/>
            <w:shd w:val="clear" w:color="auto" w:fill="auto"/>
          </w:tcPr>
          <w:p w14:paraId="4BE1C430" w14:textId="77777777" w:rsidR="008B5148" w:rsidRPr="00C1603D" w:rsidRDefault="008B5148" w:rsidP="008B5148">
            <w:pPr>
              <w:pStyle w:val="72TabletextTablesTableFigureBoxstyles"/>
            </w:pPr>
            <w:r w:rsidRPr="00C1603D">
              <w:t>0.032</w:t>
            </w:r>
          </w:p>
        </w:tc>
      </w:tr>
      <w:tr w:rsidR="008B5148" w:rsidRPr="00C1603D" w14:paraId="7E8F49DB" w14:textId="77777777" w:rsidTr="008B5148">
        <w:trPr>
          <w:cantSplit/>
          <w:trHeight w:val="156"/>
        </w:trPr>
        <w:tc>
          <w:tcPr>
            <w:tcW w:w="0" w:type="auto"/>
            <w:vMerge w:val="restart"/>
            <w:shd w:val="clear" w:color="auto" w:fill="auto"/>
          </w:tcPr>
          <w:p w14:paraId="6B905A97" w14:textId="14B06DE0" w:rsidR="008B5148" w:rsidRPr="00C1603D" w:rsidRDefault="008B5148" w:rsidP="008B5148">
            <w:pPr>
              <w:pStyle w:val="72TabletextTablesTableFigureBoxstyles"/>
            </w:pPr>
            <w:r w:rsidRPr="00C1603D">
              <w:t>Brier score</w:t>
            </w:r>
          </w:p>
        </w:tc>
        <w:tc>
          <w:tcPr>
            <w:tcW w:w="0" w:type="auto"/>
            <w:vMerge w:val="restart"/>
            <w:shd w:val="clear" w:color="auto" w:fill="auto"/>
          </w:tcPr>
          <w:p w14:paraId="1BF0335E" w14:textId="77777777" w:rsidR="008B5148" w:rsidRPr="00C1603D" w:rsidRDefault="008B5148" w:rsidP="008B5148">
            <w:pPr>
              <w:pStyle w:val="72TabletextTablesTableFigureBoxstyles"/>
            </w:pPr>
            <w:r w:rsidRPr="00C1603D">
              <w:t>0.227</w:t>
            </w:r>
          </w:p>
        </w:tc>
        <w:tc>
          <w:tcPr>
            <w:tcW w:w="0" w:type="auto"/>
            <w:vMerge w:val="restart"/>
            <w:shd w:val="clear" w:color="auto" w:fill="auto"/>
          </w:tcPr>
          <w:p w14:paraId="68EF4ED3" w14:textId="7C8D7968" w:rsidR="008B5148" w:rsidRPr="00C1603D" w:rsidRDefault="008B5148" w:rsidP="008B5148">
            <w:pPr>
              <w:pStyle w:val="72TabletextTablesTableFigureBoxstyles"/>
            </w:pPr>
            <w:r w:rsidRPr="00C1603D">
              <w:t>0.225 (0.223–0.227)</w:t>
            </w:r>
          </w:p>
        </w:tc>
        <w:tc>
          <w:tcPr>
            <w:tcW w:w="0" w:type="auto"/>
            <w:shd w:val="clear" w:color="auto" w:fill="auto"/>
          </w:tcPr>
          <w:p w14:paraId="59070D1F" w14:textId="74CAAC18" w:rsidR="008B5148" w:rsidRPr="00C1603D" w:rsidRDefault="008B5148" w:rsidP="008B5148">
            <w:pPr>
              <w:pStyle w:val="72TabletextTablesTableFigureBoxstyles"/>
            </w:pPr>
            <w:r w:rsidRPr="00C1603D">
              <w:t>Without FDR: 0.245</w:t>
            </w:r>
          </w:p>
        </w:tc>
      </w:tr>
      <w:tr w:rsidR="008B5148" w:rsidRPr="00C1603D" w14:paraId="3173F7B3" w14:textId="77777777" w:rsidTr="008B5148">
        <w:trPr>
          <w:cantSplit/>
          <w:trHeight w:val="155"/>
        </w:trPr>
        <w:tc>
          <w:tcPr>
            <w:tcW w:w="0" w:type="auto"/>
            <w:vMerge/>
            <w:shd w:val="clear" w:color="auto" w:fill="auto"/>
          </w:tcPr>
          <w:p w14:paraId="5F150276" w14:textId="77777777" w:rsidR="008B5148" w:rsidRPr="00C1603D" w:rsidRDefault="008B5148" w:rsidP="008B5148">
            <w:pPr>
              <w:pStyle w:val="72TabletextTablesTableFigureBoxstyles"/>
            </w:pPr>
          </w:p>
        </w:tc>
        <w:tc>
          <w:tcPr>
            <w:tcW w:w="0" w:type="auto"/>
            <w:vMerge/>
            <w:shd w:val="clear" w:color="auto" w:fill="auto"/>
          </w:tcPr>
          <w:p w14:paraId="440C5CC8" w14:textId="77777777" w:rsidR="008B5148" w:rsidRPr="00C1603D" w:rsidRDefault="008B5148" w:rsidP="008B5148">
            <w:pPr>
              <w:pStyle w:val="72TabletextTablesTableFigureBoxstyles"/>
            </w:pPr>
          </w:p>
        </w:tc>
        <w:tc>
          <w:tcPr>
            <w:tcW w:w="0" w:type="auto"/>
            <w:vMerge/>
            <w:shd w:val="clear" w:color="auto" w:fill="auto"/>
          </w:tcPr>
          <w:p w14:paraId="29503E6C" w14:textId="77777777" w:rsidR="008B5148" w:rsidRPr="00C1603D" w:rsidRDefault="008B5148" w:rsidP="008B5148">
            <w:pPr>
              <w:pStyle w:val="72TabletextTablesTableFigureBoxstyles"/>
            </w:pPr>
          </w:p>
        </w:tc>
        <w:tc>
          <w:tcPr>
            <w:tcW w:w="0" w:type="auto"/>
            <w:shd w:val="clear" w:color="auto" w:fill="auto"/>
          </w:tcPr>
          <w:p w14:paraId="06777FF1" w14:textId="6AC2298B" w:rsidR="008B5148" w:rsidRPr="00C1603D" w:rsidRDefault="008B5148" w:rsidP="008B5148">
            <w:pPr>
              <w:pStyle w:val="72TabletextTablesTableFigureBoxstyles"/>
            </w:pPr>
            <w:r w:rsidRPr="00C1603D">
              <w:t>With FDR: 0.217</w:t>
            </w:r>
          </w:p>
        </w:tc>
      </w:tr>
      <w:tr w:rsidR="008B5148" w:rsidRPr="00C1603D" w14:paraId="7ACA3E1A" w14:textId="77777777" w:rsidTr="008B5148">
        <w:trPr>
          <w:cantSplit/>
        </w:trPr>
        <w:tc>
          <w:tcPr>
            <w:tcW w:w="0" w:type="auto"/>
            <w:shd w:val="clear" w:color="auto" w:fill="auto"/>
          </w:tcPr>
          <w:p w14:paraId="5A115077" w14:textId="2B074663" w:rsidR="008B5148" w:rsidRPr="00C1603D" w:rsidRDefault="008B5148" w:rsidP="008B5148">
            <w:pPr>
              <w:pStyle w:val="72TabletextTablesTableFigureBoxstyles"/>
            </w:pPr>
            <w:r w:rsidRPr="00C1603D">
              <w:rPr>
                <w:i/>
                <w:iCs/>
              </w:rPr>
              <w:t>c</w:t>
            </w:r>
            <w:r w:rsidRPr="00C1603D">
              <w:t>-statistic</w:t>
            </w:r>
          </w:p>
        </w:tc>
        <w:tc>
          <w:tcPr>
            <w:tcW w:w="0" w:type="auto"/>
            <w:shd w:val="clear" w:color="auto" w:fill="auto"/>
          </w:tcPr>
          <w:p w14:paraId="6548D373" w14:textId="77777777" w:rsidR="008B5148" w:rsidRPr="00C1603D" w:rsidRDefault="008B5148" w:rsidP="008B5148">
            <w:pPr>
              <w:pStyle w:val="72TabletextTablesTableFigureBoxstyles"/>
            </w:pPr>
            <w:r w:rsidRPr="00C1603D">
              <w:t>0.756</w:t>
            </w:r>
          </w:p>
        </w:tc>
        <w:tc>
          <w:tcPr>
            <w:tcW w:w="0" w:type="auto"/>
            <w:shd w:val="clear" w:color="auto" w:fill="auto"/>
          </w:tcPr>
          <w:p w14:paraId="35E4C409" w14:textId="39212004" w:rsidR="008B5148" w:rsidRPr="00C1603D" w:rsidRDefault="008B5148" w:rsidP="008B5148">
            <w:pPr>
              <w:pStyle w:val="72TabletextTablesTableFigureBoxstyles"/>
            </w:pPr>
            <w:r w:rsidRPr="00C1603D">
              <w:t>0.764 (0.761–0.767)</w:t>
            </w:r>
          </w:p>
        </w:tc>
        <w:tc>
          <w:tcPr>
            <w:tcW w:w="0" w:type="auto"/>
            <w:shd w:val="clear" w:color="auto" w:fill="auto"/>
          </w:tcPr>
          <w:p w14:paraId="24415E45" w14:textId="77777777" w:rsidR="008B5148" w:rsidRPr="00C1603D" w:rsidRDefault="008B5148" w:rsidP="008B5148">
            <w:pPr>
              <w:pStyle w:val="72TabletextTablesTableFigureBoxstyles"/>
            </w:pPr>
            <w:r w:rsidRPr="00C1603D">
              <w:t>0.551</w:t>
            </w:r>
          </w:p>
        </w:tc>
      </w:tr>
      <w:tr w:rsidR="008B5148" w:rsidRPr="00C1603D" w14:paraId="56133CED" w14:textId="77777777" w:rsidTr="008B5148">
        <w:trPr>
          <w:cantSplit/>
          <w:trHeight w:val="156"/>
        </w:trPr>
        <w:tc>
          <w:tcPr>
            <w:tcW w:w="0" w:type="auto"/>
            <w:vMerge w:val="restart"/>
            <w:shd w:val="clear" w:color="auto" w:fill="auto"/>
          </w:tcPr>
          <w:p w14:paraId="3BBD5EC3" w14:textId="77777777" w:rsidR="008B5148" w:rsidRPr="00C1603D" w:rsidRDefault="008B5148" w:rsidP="008B5148">
            <w:pPr>
              <w:pStyle w:val="72TabletextTablesTableFigureBoxstyles"/>
            </w:pPr>
            <w:r w:rsidRPr="00C1603D">
              <w:t>Calibration intercept</w:t>
            </w:r>
            <w:r w:rsidRPr="00C1603D">
              <w:rPr>
                <w:vertAlign w:val="superscript"/>
              </w:rPr>
              <w:t>a</w:t>
            </w:r>
          </w:p>
        </w:tc>
        <w:tc>
          <w:tcPr>
            <w:tcW w:w="0" w:type="auto"/>
            <w:vMerge w:val="restart"/>
            <w:shd w:val="clear" w:color="auto" w:fill="auto"/>
          </w:tcPr>
          <w:p w14:paraId="6AE9274B" w14:textId="77777777" w:rsidR="008B5148" w:rsidRPr="00C1603D" w:rsidRDefault="008B5148" w:rsidP="008B5148">
            <w:pPr>
              <w:pStyle w:val="72TabletextTablesTableFigureBoxstyles"/>
            </w:pPr>
            <w:r w:rsidRPr="00C1603D">
              <w:rPr>
                <w:color w:val="00B0F0"/>
              </w:rPr>
              <w:t>–0</w:t>
            </w:r>
            <w:r w:rsidRPr="00C1603D">
              <w:t>.161</w:t>
            </w:r>
          </w:p>
        </w:tc>
        <w:tc>
          <w:tcPr>
            <w:tcW w:w="0" w:type="auto"/>
            <w:vMerge w:val="restart"/>
            <w:shd w:val="clear" w:color="auto" w:fill="auto"/>
          </w:tcPr>
          <w:p w14:paraId="0D955AE4" w14:textId="49E892D4" w:rsidR="008B5148" w:rsidRPr="00C1603D" w:rsidRDefault="008B5148" w:rsidP="008B5148">
            <w:pPr>
              <w:pStyle w:val="72TabletextTablesTableFigureBoxstyles"/>
            </w:pPr>
            <w:r w:rsidRPr="00C1603D">
              <w:rPr>
                <w:color w:val="00B0F0"/>
              </w:rPr>
              <w:t>–0</w:t>
            </w:r>
            <w:r w:rsidRPr="00C1603D">
              <w:t>.153 (</w:t>
            </w:r>
            <w:r w:rsidRPr="00C1603D">
              <w:rPr>
                <w:color w:val="00B0F0"/>
              </w:rPr>
              <w:t>–0</w:t>
            </w:r>
            <w:r w:rsidRPr="00C1603D">
              <w:t xml:space="preserve">.169 to </w:t>
            </w:r>
            <w:r w:rsidRPr="00C1603D">
              <w:rPr>
                <w:color w:val="00B0F0"/>
              </w:rPr>
              <w:t>–0</w:t>
            </w:r>
            <w:r w:rsidRPr="00C1603D">
              <w:t>.143)</w:t>
            </w:r>
          </w:p>
        </w:tc>
        <w:tc>
          <w:tcPr>
            <w:tcW w:w="0" w:type="auto"/>
            <w:shd w:val="clear" w:color="auto" w:fill="auto"/>
          </w:tcPr>
          <w:p w14:paraId="034A57B4" w14:textId="1BCAC2CE" w:rsidR="008B5148" w:rsidRPr="00C1603D" w:rsidRDefault="008B5148" w:rsidP="008B5148">
            <w:pPr>
              <w:pStyle w:val="72TabletextTablesTableFigureBoxstyles"/>
            </w:pPr>
            <w:r w:rsidRPr="00C1603D">
              <w:t>Without FDR: 0.433</w:t>
            </w:r>
          </w:p>
        </w:tc>
      </w:tr>
      <w:tr w:rsidR="008B5148" w:rsidRPr="00C1603D" w14:paraId="37AEAE0B" w14:textId="77777777" w:rsidTr="008B5148">
        <w:trPr>
          <w:cantSplit/>
          <w:trHeight w:val="155"/>
        </w:trPr>
        <w:tc>
          <w:tcPr>
            <w:tcW w:w="0" w:type="auto"/>
            <w:vMerge/>
            <w:shd w:val="clear" w:color="auto" w:fill="auto"/>
          </w:tcPr>
          <w:p w14:paraId="0B4B1214" w14:textId="77777777" w:rsidR="008B5148" w:rsidRPr="00C1603D" w:rsidRDefault="008B5148" w:rsidP="008B5148">
            <w:pPr>
              <w:pStyle w:val="72TabletextTablesTableFigureBoxstyles"/>
            </w:pPr>
          </w:p>
        </w:tc>
        <w:tc>
          <w:tcPr>
            <w:tcW w:w="0" w:type="auto"/>
            <w:vMerge/>
            <w:shd w:val="clear" w:color="auto" w:fill="auto"/>
          </w:tcPr>
          <w:p w14:paraId="5A0143A2" w14:textId="77777777" w:rsidR="008B5148" w:rsidRPr="00C1603D" w:rsidRDefault="008B5148" w:rsidP="008B5148">
            <w:pPr>
              <w:pStyle w:val="72TabletextTablesTableFigureBoxstyles"/>
              <w:rPr>
                <w:color w:val="00B0F0"/>
              </w:rPr>
            </w:pPr>
          </w:p>
        </w:tc>
        <w:tc>
          <w:tcPr>
            <w:tcW w:w="0" w:type="auto"/>
            <w:vMerge/>
            <w:shd w:val="clear" w:color="auto" w:fill="auto"/>
          </w:tcPr>
          <w:p w14:paraId="7D8C8ACB" w14:textId="77777777" w:rsidR="008B5148" w:rsidRPr="00C1603D" w:rsidRDefault="008B5148" w:rsidP="008B5148">
            <w:pPr>
              <w:pStyle w:val="72TabletextTablesTableFigureBoxstyles"/>
              <w:rPr>
                <w:color w:val="00B0F0"/>
              </w:rPr>
            </w:pPr>
          </w:p>
        </w:tc>
        <w:tc>
          <w:tcPr>
            <w:tcW w:w="0" w:type="auto"/>
            <w:shd w:val="clear" w:color="auto" w:fill="auto"/>
          </w:tcPr>
          <w:p w14:paraId="13B591FF" w14:textId="08C7CD18" w:rsidR="008B5148" w:rsidRPr="00C1603D" w:rsidRDefault="008B5148" w:rsidP="008B5148">
            <w:pPr>
              <w:pStyle w:val="72TabletextTablesTableFigureBoxstyles"/>
            </w:pPr>
            <w:r w:rsidRPr="00C1603D">
              <w:rPr>
                <w:color w:val="00B0F0"/>
              </w:rPr>
              <w:t>–2</w:t>
            </w:r>
            <w:r w:rsidRPr="00C1603D">
              <w:t>.676</w:t>
            </w:r>
          </w:p>
        </w:tc>
      </w:tr>
      <w:tr w:rsidR="008B5148" w:rsidRPr="00C1603D" w14:paraId="17128B71" w14:textId="77777777" w:rsidTr="008B5148">
        <w:trPr>
          <w:cantSplit/>
        </w:trPr>
        <w:tc>
          <w:tcPr>
            <w:tcW w:w="0" w:type="auto"/>
            <w:shd w:val="clear" w:color="auto" w:fill="auto"/>
          </w:tcPr>
          <w:p w14:paraId="3B153434" w14:textId="77777777" w:rsidR="008B4DF8" w:rsidRPr="00C1603D" w:rsidRDefault="008B4DF8" w:rsidP="008B5148">
            <w:pPr>
              <w:pStyle w:val="72TabletextTablesTableFigureBoxstyles"/>
            </w:pPr>
            <w:r w:rsidRPr="00C1603D">
              <w:t>Calibration slope</w:t>
            </w:r>
            <w:r w:rsidRPr="00C1603D">
              <w:rPr>
                <w:vertAlign w:val="superscript"/>
              </w:rPr>
              <w:t>a</w:t>
            </w:r>
          </w:p>
        </w:tc>
        <w:tc>
          <w:tcPr>
            <w:tcW w:w="0" w:type="auto"/>
            <w:shd w:val="clear" w:color="auto" w:fill="auto"/>
          </w:tcPr>
          <w:p w14:paraId="37809325" w14:textId="77777777" w:rsidR="008B4DF8" w:rsidRPr="00C1603D" w:rsidRDefault="008B4DF8" w:rsidP="008B5148">
            <w:pPr>
              <w:pStyle w:val="72TabletextTablesTableFigureBoxstyles"/>
            </w:pPr>
            <w:r w:rsidRPr="00C1603D">
              <w:t>0.822</w:t>
            </w:r>
          </w:p>
        </w:tc>
        <w:tc>
          <w:tcPr>
            <w:tcW w:w="0" w:type="auto"/>
            <w:shd w:val="clear" w:color="auto" w:fill="auto"/>
          </w:tcPr>
          <w:p w14:paraId="5A99CDA1" w14:textId="45BCAE64" w:rsidR="008B4DF8" w:rsidRPr="00C1603D" w:rsidRDefault="008B4DF8" w:rsidP="008B5148">
            <w:pPr>
              <w:pStyle w:val="72TabletextTablesTableFigureBoxstyles"/>
            </w:pPr>
            <w:r w:rsidRPr="00C1603D">
              <w:t>0.836 (0.817</w:t>
            </w:r>
            <w:r w:rsidR="008B5148" w:rsidRPr="00C1603D">
              <w:t>–</w:t>
            </w:r>
            <w:r w:rsidRPr="00C1603D">
              <w:t>0.855)</w:t>
            </w:r>
          </w:p>
        </w:tc>
        <w:tc>
          <w:tcPr>
            <w:tcW w:w="0" w:type="auto"/>
            <w:shd w:val="clear" w:color="auto" w:fill="auto"/>
          </w:tcPr>
          <w:p w14:paraId="59727580" w14:textId="77777777" w:rsidR="008B4DF8" w:rsidRPr="00C1603D" w:rsidRDefault="008B4DF8" w:rsidP="008B5148">
            <w:pPr>
              <w:pStyle w:val="72TabletextTablesTableFigureBoxstyles"/>
            </w:pPr>
            <w:r w:rsidRPr="00C1603D">
              <w:t>0.655</w:t>
            </w:r>
          </w:p>
        </w:tc>
      </w:tr>
      <w:tr w:rsidR="008B4DF8" w:rsidRPr="00C1603D" w14:paraId="5D64321F" w14:textId="77777777" w:rsidTr="008B5148">
        <w:trPr>
          <w:cantSplit/>
        </w:trPr>
        <w:tc>
          <w:tcPr>
            <w:tcW w:w="0" w:type="auto"/>
            <w:gridSpan w:val="4"/>
            <w:shd w:val="clear" w:color="auto" w:fill="auto"/>
          </w:tcPr>
          <w:p w14:paraId="3D7C1CA8" w14:textId="77777777" w:rsidR="008B4DF8" w:rsidRPr="00C1603D" w:rsidRDefault="008B4DF8" w:rsidP="008B5148">
            <w:pPr>
              <w:pStyle w:val="711TablesubheadATablesTableFigureBoxstyles"/>
            </w:pPr>
            <w:r w:rsidRPr="00C1603D">
              <w:t>Men</w:t>
            </w:r>
          </w:p>
        </w:tc>
      </w:tr>
      <w:tr w:rsidR="008B5148" w:rsidRPr="00C1603D" w14:paraId="470E3464" w14:textId="77777777" w:rsidTr="008B5148">
        <w:trPr>
          <w:cantSplit/>
        </w:trPr>
        <w:tc>
          <w:tcPr>
            <w:tcW w:w="0" w:type="auto"/>
            <w:shd w:val="clear" w:color="auto" w:fill="auto"/>
          </w:tcPr>
          <w:p w14:paraId="67E3A7FA" w14:textId="71530870" w:rsidR="008B5148" w:rsidRPr="00C1603D" w:rsidRDefault="008B5148" w:rsidP="008B5148">
            <w:pPr>
              <w:pStyle w:val="72TabletextTablesTableFigureBoxstyles"/>
            </w:pPr>
            <w:r w:rsidRPr="00C1603D">
              <w:rPr>
                <w:i/>
                <w:iCs/>
              </w:rPr>
              <w:t>R</w:t>
            </w:r>
            <w:r w:rsidRPr="00C1603D">
              <w:rPr>
                <w:vertAlign w:val="superscript"/>
              </w:rPr>
              <w:t>2</w:t>
            </w:r>
          </w:p>
        </w:tc>
        <w:tc>
          <w:tcPr>
            <w:tcW w:w="0" w:type="auto"/>
            <w:shd w:val="clear" w:color="auto" w:fill="auto"/>
          </w:tcPr>
          <w:p w14:paraId="23AFFE0F" w14:textId="77777777" w:rsidR="008B5148" w:rsidRPr="00C1603D" w:rsidRDefault="008B5148" w:rsidP="008B5148">
            <w:pPr>
              <w:pStyle w:val="72TabletextTablesTableFigureBoxstyles"/>
            </w:pPr>
            <w:r w:rsidRPr="00C1603D">
              <w:t>0.286</w:t>
            </w:r>
          </w:p>
        </w:tc>
        <w:tc>
          <w:tcPr>
            <w:tcW w:w="0" w:type="auto"/>
            <w:shd w:val="clear" w:color="auto" w:fill="auto"/>
          </w:tcPr>
          <w:p w14:paraId="31B24FEE" w14:textId="75C25CF6" w:rsidR="008B5148" w:rsidRPr="00C1603D" w:rsidRDefault="008B5148" w:rsidP="008B5148">
            <w:pPr>
              <w:pStyle w:val="72TabletextTablesTableFigureBoxstyles"/>
            </w:pPr>
            <w:r w:rsidRPr="00C1603D">
              <w:t>0.284 (0.278–0.291)</w:t>
            </w:r>
          </w:p>
        </w:tc>
        <w:tc>
          <w:tcPr>
            <w:tcW w:w="0" w:type="auto"/>
            <w:shd w:val="clear" w:color="auto" w:fill="auto"/>
          </w:tcPr>
          <w:p w14:paraId="20B12612" w14:textId="77777777" w:rsidR="008B5148" w:rsidRPr="00C1603D" w:rsidRDefault="008B5148" w:rsidP="008B5148">
            <w:pPr>
              <w:pStyle w:val="72TabletextTablesTableFigureBoxstyles"/>
            </w:pPr>
            <w:r w:rsidRPr="00C1603D">
              <w:t>0.056</w:t>
            </w:r>
          </w:p>
        </w:tc>
      </w:tr>
      <w:tr w:rsidR="008B5148" w:rsidRPr="00C1603D" w14:paraId="43F51D69" w14:textId="77777777" w:rsidTr="008B5148">
        <w:trPr>
          <w:cantSplit/>
          <w:trHeight w:val="156"/>
        </w:trPr>
        <w:tc>
          <w:tcPr>
            <w:tcW w:w="0" w:type="auto"/>
            <w:vMerge w:val="restart"/>
            <w:shd w:val="clear" w:color="auto" w:fill="auto"/>
          </w:tcPr>
          <w:p w14:paraId="06FCAE7B" w14:textId="1EE11721" w:rsidR="008B5148" w:rsidRPr="00C1603D" w:rsidRDefault="008B5148" w:rsidP="008B5148">
            <w:pPr>
              <w:pStyle w:val="72TabletextTablesTableFigureBoxstyles"/>
            </w:pPr>
            <w:r w:rsidRPr="00C1603D">
              <w:t>Brier score</w:t>
            </w:r>
          </w:p>
        </w:tc>
        <w:tc>
          <w:tcPr>
            <w:tcW w:w="0" w:type="auto"/>
            <w:vMerge w:val="restart"/>
            <w:shd w:val="clear" w:color="auto" w:fill="auto"/>
          </w:tcPr>
          <w:p w14:paraId="26BE6978" w14:textId="77777777" w:rsidR="008B5148" w:rsidRPr="00C1603D" w:rsidRDefault="008B5148" w:rsidP="008B5148">
            <w:pPr>
              <w:pStyle w:val="72TabletextTablesTableFigureBoxstyles"/>
            </w:pPr>
            <w:r w:rsidRPr="00C1603D">
              <w:t>0.122</w:t>
            </w:r>
          </w:p>
        </w:tc>
        <w:tc>
          <w:tcPr>
            <w:tcW w:w="0" w:type="auto"/>
            <w:vMerge w:val="restart"/>
            <w:shd w:val="clear" w:color="auto" w:fill="auto"/>
          </w:tcPr>
          <w:p w14:paraId="71E0F0B0" w14:textId="7AE4B429" w:rsidR="008B5148" w:rsidRPr="00C1603D" w:rsidRDefault="008B5148" w:rsidP="008B5148">
            <w:pPr>
              <w:pStyle w:val="72TabletextTablesTableFigureBoxstyles"/>
            </w:pPr>
            <w:r w:rsidRPr="00C1603D">
              <w:t>0.124 (0.122–0.126)</w:t>
            </w:r>
          </w:p>
        </w:tc>
        <w:tc>
          <w:tcPr>
            <w:tcW w:w="0" w:type="auto"/>
            <w:shd w:val="clear" w:color="auto" w:fill="auto"/>
          </w:tcPr>
          <w:p w14:paraId="5C6C5B3D" w14:textId="48350B75" w:rsidR="008B5148" w:rsidRPr="00C1603D" w:rsidRDefault="008B5148" w:rsidP="008B5148">
            <w:pPr>
              <w:pStyle w:val="72TabletextTablesTableFigureBoxstyles"/>
            </w:pPr>
            <w:r w:rsidRPr="00C1603D">
              <w:t>Without FDR: 0.134</w:t>
            </w:r>
          </w:p>
        </w:tc>
      </w:tr>
      <w:tr w:rsidR="008B5148" w:rsidRPr="00C1603D" w14:paraId="59710968" w14:textId="77777777" w:rsidTr="008B5148">
        <w:trPr>
          <w:cantSplit/>
          <w:trHeight w:val="155"/>
        </w:trPr>
        <w:tc>
          <w:tcPr>
            <w:tcW w:w="0" w:type="auto"/>
            <w:vMerge/>
            <w:shd w:val="clear" w:color="auto" w:fill="auto"/>
          </w:tcPr>
          <w:p w14:paraId="173FD20C" w14:textId="77777777" w:rsidR="008B5148" w:rsidRPr="00C1603D" w:rsidRDefault="008B5148" w:rsidP="008B5148">
            <w:pPr>
              <w:pStyle w:val="72TabletextTablesTableFigureBoxstyles"/>
            </w:pPr>
          </w:p>
        </w:tc>
        <w:tc>
          <w:tcPr>
            <w:tcW w:w="0" w:type="auto"/>
            <w:vMerge/>
            <w:shd w:val="clear" w:color="auto" w:fill="auto"/>
          </w:tcPr>
          <w:p w14:paraId="0669E03E" w14:textId="77777777" w:rsidR="008B5148" w:rsidRPr="00C1603D" w:rsidRDefault="008B5148" w:rsidP="008B5148">
            <w:pPr>
              <w:pStyle w:val="72TabletextTablesTableFigureBoxstyles"/>
            </w:pPr>
          </w:p>
        </w:tc>
        <w:tc>
          <w:tcPr>
            <w:tcW w:w="0" w:type="auto"/>
            <w:vMerge/>
            <w:shd w:val="clear" w:color="auto" w:fill="auto"/>
          </w:tcPr>
          <w:p w14:paraId="26CC61BF" w14:textId="77777777" w:rsidR="008B5148" w:rsidRPr="00C1603D" w:rsidRDefault="008B5148" w:rsidP="008B5148">
            <w:pPr>
              <w:pStyle w:val="72TabletextTablesTableFigureBoxstyles"/>
            </w:pPr>
          </w:p>
        </w:tc>
        <w:tc>
          <w:tcPr>
            <w:tcW w:w="0" w:type="auto"/>
            <w:shd w:val="clear" w:color="auto" w:fill="auto"/>
          </w:tcPr>
          <w:p w14:paraId="09CEB136" w14:textId="47980709" w:rsidR="008B5148" w:rsidRPr="00C1603D" w:rsidRDefault="008B5148" w:rsidP="008B5148">
            <w:pPr>
              <w:pStyle w:val="72TabletextTablesTableFigureBoxstyles"/>
            </w:pPr>
            <w:r w:rsidRPr="00C1603D">
              <w:t>With FDR: 0.118</w:t>
            </w:r>
          </w:p>
        </w:tc>
      </w:tr>
      <w:tr w:rsidR="008B5148" w:rsidRPr="00C1603D" w14:paraId="02403A85" w14:textId="77777777" w:rsidTr="008B5148">
        <w:trPr>
          <w:cantSplit/>
        </w:trPr>
        <w:tc>
          <w:tcPr>
            <w:tcW w:w="0" w:type="auto"/>
            <w:shd w:val="clear" w:color="auto" w:fill="auto"/>
          </w:tcPr>
          <w:p w14:paraId="2D760E5A" w14:textId="2509436A" w:rsidR="008B5148" w:rsidRPr="00C1603D" w:rsidRDefault="008B5148" w:rsidP="008B5148">
            <w:pPr>
              <w:pStyle w:val="72TabletextTablesTableFigureBoxstyles"/>
            </w:pPr>
            <w:r w:rsidRPr="00C1603D">
              <w:rPr>
                <w:i/>
                <w:iCs/>
              </w:rPr>
              <w:t>c</w:t>
            </w:r>
            <w:r w:rsidRPr="00C1603D">
              <w:t>-statistic</w:t>
            </w:r>
          </w:p>
        </w:tc>
        <w:tc>
          <w:tcPr>
            <w:tcW w:w="0" w:type="auto"/>
            <w:shd w:val="clear" w:color="auto" w:fill="auto"/>
          </w:tcPr>
          <w:p w14:paraId="251157EE" w14:textId="77777777" w:rsidR="008B5148" w:rsidRPr="00C1603D" w:rsidRDefault="008B5148" w:rsidP="008B5148">
            <w:pPr>
              <w:pStyle w:val="72TabletextTablesTableFigureBoxstyles"/>
            </w:pPr>
            <w:r w:rsidRPr="00C1603D">
              <w:t>0.798</w:t>
            </w:r>
          </w:p>
        </w:tc>
        <w:tc>
          <w:tcPr>
            <w:tcW w:w="0" w:type="auto"/>
            <w:shd w:val="clear" w:color="auto" w:fill="auto"/>
          </w:tcPr>
          <w:p w14:paraId="25671902" w14:textId="77777777" w:rsidR="008B5148" w:rsidRPr="00C1603D" w:rsidRDefault="008B5148" w:rsidP="008B5148">
            <w:pPr>
              <w:pStyle w:val="72TabletextTablesTableFigureBoxstyles"/>
            </w:pPr>
            <w:r w:rsidRPr="00C1603D">
              <w:t>0.796 (0.793;0.801)</w:t>
            </w:r>
          </w:p>
        </w:tc>
        <w:tc>
          <w:tcPr>
            <w:tcW w:w="0" w:type="auto"/>
            <w:shd w:val="clear" w:color="auto" w:fill="auto"/>
          </w:tcPr>
          <w:p w14:paraId="7F372981" w14:textId="77777777" w:rsidR="008B5148" w:rsidRPr="00C1603D" w:rsidRDefault="008B5148" w:rsidP="008B5148">
            <w:pPr>
              <w:pStyle w:val="72TabletextTablesTableFigureBoxstyles"/>
            </w:pPr>
            <w:r w:rsidRPr="00C1603D">
              <w:t>0.619</w:t>
            </w:r>
          </w:p>
        </w:tc>
      </w:tr>
      <w:tr w:rsidR="008B5148" w:rsidRPr="00C1603D" w14:paraId="6CCEC630" w14:textId="77777777" w:rsidTr="008B5148">
        <w:trPr>
          <w:cantSplit/>
          <w:trHeight w:val="156"/>
        </w:trPr>
        <w:tc>
          <w:tcPr>
            <w:tcW w:w="0" w:type="auto"/>
            <w:vMerge w:val="restart"/>
            <w:shd w:val="clear" w:color="auto" w:fill="auto"/>
          </w:tcPr>
          <w:p w14:paraId="7511AF25" w14:textId="77777777" w:rsidR="008B5148" w:rsidRPr="00C1603D" w:rsidRDefault="008B5148" w:rsidP="008B5148">
            <w:pPr>
              <w:pStyle w:val="72TabletextTablesTableFigureBoxstyles"/>
            </w:pPr>
            <w:r w:rsidRPr="00C1603D">
              <w:t>Calibration intercept</w:t>
            </w:r>
            <w:r w:rsidRPr="00C1603D">
              <w:rPr>
                <w:vertAlign w:val="superscript"/>
              </w:rPr>
              <w:t>a</w:t>
            </w:r>
          </w:p>
        </w:tc>
        <w:tc>
          <w:tcPr>
            <w:tcW w:w="0" w:type="auto"/>
            <w:vMerge w:val="restart"/>
            <w:shd w:val="clear" w:color="auto" w:fill="auto"/>
          </w:tcPr>
          <w:p w14:paraId="42790C70" w14:textId="77777777" w:rsidR="008B5148" w:rsidRPr="00C1603D" w:rsidRDefault="008B5148" w:rsidP="008B5148">
            <w:pPr>
              <w:pStyle w:val="72TabletextTablesTableFigureBoxstyles"/>
            </w:pPr>
            <w:r w:rsidRPr="00C1603D">
              <w:rPr>
                <w:color w:val="00B0F0"/>
              </w:rPr>
              <w:t>–0</w:t>
            </w:r>
            <w:r w:rsidRPr="00C1603D">
              <w:t>.505</w:t>
            </w:r>
          </w:p>
        </w:tc>
        <w:tc>
          <w:tcPr>
            <w:tcW w:w="0" w:type="auto"/>
            <w:vMerge w:val="restart"/>
            <w:shd w:val="clear" w:color="auto" w:fill="auto"/>
          </w:tcPr>
          <w:p w14:paraId="38DF081E" w14:textId="599145D9" w:rsidR="008B5148" w:rsidRPr="00C1603D" w:rsidRDefault="008B5148" w:rsidP="008B5148">
            <w:pPr>
              <w:pStyle w:val="72TabletextTablesTableFigureBoxstyles"/>
            </w:pPr>
            <w:r w:rsidRPr="00C1603D">
              <w:rPr>
                <w:color w:val="00B0F0"/>
              </w:rPr>
              <w:t>–0</w:t>
            </w:r>
            <w:r w:rsidRPr="00C1603D">
              <w:t>.515 (</w:t>
            </w:r>
            <w:r w:rsidRPr="00C1603D">
              <w:rPr>
                <w:color w:val="00B0F0"/>
              </w:rPr>
              <w:t>–0</w:t>
            </w:r>
            <w:r w:rsidRPr="00C1603D">
              <w:t>.534 to</w:t>
            </w:r>
            <w:r w:rsidRPr="00C1603D">
              <w:rPr>
                <w:color w:val="00B0F0"/>
              </w:rPr>
              <w:t>–0</w:t>
            </w:r>
            <w:r w:rsidRPr="00C1603D">
              <w:t>.497)</w:t>
            </w:r>
          </w:p>
        </w:tc>
        <w:tc>
          <w:tcPr>
            <w:tcW w:w="0" w:type="auto"/>
            <w:shd w:val="clear" w:color="auto" w:fill="auto"/>
          </w:tcPr>
          <w:p w14:paraId="4BC201E0" w14:textId="047A0438" w:rsidR="008B5148" w:rsidRPr="00C1603D" w:rsidRDefault="008B5148" w:rsidP="008B5148">
            <w:pPr>
              <w:pStyle w:val="72TabletextTablesTableFigureBoxstyles"/>
            </w:pPr>
            <w:r w:rsidRPr="00C1603D">
              <w:t>Without FDR: 0.112</w:t>
            </w:r>
          </w:p>
        </w:tc>
      </w:tr>
      <w:tr w:rsidR="008B5148" w:rsidRPr="00C1603D" w14:paraId="784630A8" w14:textId="77777777" w:rsidTr="008B5148">
        <w:trPr>
          <w:cantSplit/>
          <w:trHeight w:val="155"/>
        </w:trPr>
        <w:tc>
          <w:tcPr>
            <w:tcW w:w="0" w:type="auto"/>
            <w:vMerge/>
            <w:shd w:val="clear" w:color="auto" w:fill="auto"/>
          </w:tcPr>
          <w:p w14:paraId="4DD473D5" w14:textId="77777777" w:rsidR="008B5148" w:rsidRPr="00C1603D" w:rsidRDefault="008B5148" w:rsidP="008B5148">
            <w:pPr>
              <w:pStyle w:val="72TabletextTablesTableFigureBoxstyles"/>
            </w:pPr>
          </w:p>
        </w:tc>
        <w:tc>
          <w:tcPr>
            <w:tcW w:w="0" w:type="auto"/>
            <w:vMerge/>
            <w:shd w:val="clear" w:color="auto" w:fill="auto"/>
          </w:tcPr>
          <w:p w14:paraId="6A6CA0E5" w14:textId="77777777" w:rsidR="008B5148" w:rsidRPr="00C1603D" w:rsidRDefault="008B5148" w:rsidP="008B5148">
            <w:pPr>
              <w:pStyle w:val="72TabletextTablesTableFigureBoxstyles"/>
              <w:rPr>
                <w:color w:val="00B0F0"/>
              </w:rPr>
            </w:pPr>
          </w:p>
        </w:tc>
        <w:tc>
          <w:tcPr>
            <w:tcW w:w="0" w:type="auto"/>
            <w:vMerge/>
            <w:shd w:val="clear" w:color="auto" w:fill="auto"/>
          </w:tcPr>
          <w:p w14:paraId="64656E52" w14:textId="77777777" w:rsidR="008B5148" w:rsidRPr="00C1603D" w:rsidRDefault="008B5148" w:rsidP="008B5148">
            <w:pPr>
              <w:pStyle w:val="72TabletextTablesTableFigureBoxstyles"/>
              <w:rPr>
                <w:color w:val="00B0F0"/>
              </w:rPr>
            </w:pPr>
          </w:p>
        </w:tc>
        <w:tc>
          <w:tcPr>
            <w:tcW w:w="0" w:type="auto"/>
            <w:shd w:val="clear" w:color="auto" w:fill="auto"/>
          </w:tcPr>
          <w:p w14:paraId="224626AB" w14:textId="683AA222" w:rsidR="008B5148" w:rsidRPr="00C1603D" w:rsidRDefault="008B5148" w:rsidP="008B5148">
            <w:pPr>
              <w:pStyle w:val="72TabletextTablesTableFigureBoxstyles"/>
            </w:pPr>
            <w:r w:rsidRPr="00C1603D">
              <w:t xml:space="preserve">With FDR: </w:t>
            </w:r>
            <w:r w:rsidRPr="00C1603D">
              <w:rPr>
                <w:color w:val="00B0F0"/>
              </w:rPr>
              <w:t>–2</w:t>
            </w:r>
            <w:r w:rsidRPr="00C1603D">
              <w:t>.250</w:t>
            </w:r>
          </w:p>
        </w:tc>
      </w:tr>
      <w:tr w:rsidR="008B5148" w:rsidRPr="00C1603D" w14:paraId="60B8F5A6" w14:textId="77777777" w:rsidTr="008B5148">
        <w:trPr>
          <w:cantSplit/>
        </w:trPr>
        <w:tc>
          <w:tcPr>
            <w:tcW w:w="0" w:type="auto"/>
            <w:shd w:val="clear" w:color="auto" w:fill="auto"/>
          </w:tcPr>
          <w:p w14:paraId="53961B25" w14:textId="77777777" w:rsidR="008B4DF8" w:rsidRPr="00C1603D" w:rsidRDefault="008B4DF8" w:rsidP="008B5148">
            <w:pPr>
              <w:pStyle w:val="72TabletextTablesTableFigureBoxstyles"/>
            </w:pPr>
            <w:r w:rsidRPr="00C1603D">
              <w:t>Calibration slope</w:t>
            </w:r>
            <w:r w:rsidRPr="00C1603D">
              <w:rPr>
                <w:vertAlign w:val="superscript"/>
              </w:rPr>
              <w:t>a</w:t>
            </w:r>
          </w:p>
        </w:tc>
        <w:tc>
          <w:tcPr>
            <w:tcW w:w="0" w:type="auto"/>
            <w:shd w:val="clear" w:color="auto" w:fill="auto"/>
          </w:tcPr>
          <w:p w14:paraId="409C3016" w14:textId="77777777" w:rsidR="008B4DF8" w:rsidRPr="00C1603D" w:rsidRDefault="008B4DF8" w:rsidP="008B5148">
            <w:pPr>
              <w:pStyle w:val="72TabletextTablesTableFigureBoxstyles"/>
            </w:pPr>
            <w:r w:rsidRPr="00C1603D">
              <w:t>0.934</w:t>
            </w:r>
          </w:p>
        </w:tc>
        <w:tc>
          <w:tcPr>
            <w:tcW w:w="0" w:type="auto"/>
            <w:shd w:val="clear" w:color="auto" w:fill="auto"/>
          </w:tcPr>
          <w:p w14:paraId="42ED8712" w14:textId="38412EBA" w:rsidR="008B4DF8" w:rsidRPr="00C1603D" w:rsidRDefault="008B4DF8" w:rsidP="008B5148">
            <w:pPr>
              <w:pStyle w:val="72TabletextTablesTableFigureBoxstyles"/>
            </w:pPr>
            <w:r w:rsidRPr="00C1603D">
              <w:t>0.840 (0.817</w:t>
            </w:r>
            <w:r w:rsidR="008B5148" w:rsidRPr="00C1603D">
              <w:t>–</w:t>
            </w:r>
            <w:r w:rsidRPr="00C1603D">
              <w:t>0.867</w:t>
            </w:r>
            <w:r w:rsidRPr="00C1603D" w:rsidDel="0020209D">
              <w:t>)</w:t>
            </w:r>
          </w:p>
        </w:tc>
        <w:tc>
          <w:tcPr>
            <w:tcW w:w="0" w:type="auto"/>
            <w:shd w:val="clear" w:color="auto" w:fill="auto"/>
          </w:tcPr>
          <w:p w14:paraId="2D639788" w14:textId="77777777" w:rsidR="008B4DF8" w:rsidRPr="00C1603D" w:rsidRDefault="008B4DF8" w:rsidP="008B5148">
            <w:pPr>
              <w:pStyle w:val="72TabletextTablesTableFigureBoxstyles"/>
            </w:pPr>
            <w:r w:rsidRPr="00C1603D">
              <w:t>0.668</w:t>
            </w:r>
          </w:p>
        </w:tc>
      </w:tr>
      <w:tr w:rsidR="00377908" w:rsidRPr="00C1603D" w14:paraId="450338B2" w14:textId="77777777" w:rsidTr="008B5148">
        <w:trPr>
          <w:cantSplit/>
        </w:trPr>
        <w:tc>
          <w:tcPr>
            <w:tcW w:w="0" w:type="auto"/>
            <w:gridSpan w:val="4"/>
            <w:shd w:val="clear" w:color="auto" w:fill="auto"/>
          </w:tcPr>
          <w:p w14:paraId="65E80E88" w14:textId="77777777" w:rsidR="00377908" w:rsidRPr="00C1603D" w:rsidRDefault="00377908" w:rsidP="008B5148">
            <w:pPr>
              <w:pStyle w:val="75TablenotesTablesTableFigureBoxstyles"/>
            </w:pPr>
            <w:r w:rsidRPr="00C1603D">
              <w:t>FDR, first-degree relative.</w:t>
            </w:r>
          </w:p>
          <w:p w14:paraId="36B47BEE" w14:textId="5DDE8BF1" w:rsidR="008B5148" w:rsidRPr="00C1603D" w:rsidRDefault="008B5148" w:rsidP="008B5148">
            <w:pPr>
              <w:pStyle w:val="75TablenotesTablesTableFigureBoxstyles"/>
            </w:pPr>
            <w:r w:rsidRPr="00C1603D">
              <w:t>a</w:t>
            </w:r>
            <w:r w:rsidRPr="00C1603D">
              <w:tab/>
              <w:t xml:space="preserve">Calibration statistics </w:t>
            </w:r>
            <w:proofErr w:type="gramStart"/>
            <w:r w:rsidRPr="00C1603D">
              <w:t>were estimated</w:t>
            </w:r>
            <w:proofErr w:type="gramEnd"/>
            <w:r w:rsidRPr="00C1603D">
              <w:t xml:space="preserve"> using an inflated control group to adjust for sampling frequency.</w:t>
            </w:r>
          </w:p>
        </w:tc>
      </w:tr>
    </w:tbl>
    <w:p w14:paraId="32B4D8D1" w14:textId="0BFE3CDB" w:rsidR="008B4DF8" w:rsidRPr="00C1603D" w:rsidRDefault="008B4DF8" w:rsidP="008B4DF8">
      <w:pPr>
        <w:pStyle w:val="602TextfoTextstylesTextstyles"/>
        <w:rPr>
          <w:rFonts w:eastAsia="Calibri"/>
          <w:color w:val="auto"/>
        </w:rPr>
      </w:pPr>
      <w:r w:rsidRPr="00C1603D">
        <w:rPr>
          <w:rFonts w:eastAsia="Calibri"/>
        </w:rPr>
        <w:t xml:space="preserve">The development model </w:t>
      </w:r>
      <w:r w:rsidR="008B5148" w:rsidRPr="00C1603D">
        <w:rPr>
          <w:rFonts w:eastAsia="Calibri"/>
        </w:rPr>
        <w:t>for</w:t>
      </w:r>
      <w:r w:rsidRPr="00C1603D">
        <w:rPr>
          <w:rFonts w:eastAsia="Calibri"/>
        </w:rPr>
        <w:t xml:space="preserve"> children shows the best overall model fit and ability to discriminate between those with and</w:t>
      </w:r>
      <w:r w:rsidR="008B5148" w:rsidRPr="00C1603D">
        <w:rPr>
          <w:rFonts w:eastAsia="Calibri"/>
        </w:rPr>
        <w:t xml:space="preserve"> those</w:t>
      </w:r>
      <w:r w:rsidRPr="00C1603D">
        <w:rPr>
          <w:rFonts w:eastAsia="Calibri"/>
        </w:rPr>
        <w:t xml:space="preserve"> without CD</w:t>
      </w:r>
      <w:r w:rsidR="008B5148" w:rsidRPr="00C1603D">
        <w:rPr>
          <w:rFonts w:eastAsia="Calibri"/>
        </w:rPr>
        <w:t>,</w:t>
      </w:r>
      <w:r w:rsidRPr="00C1603D">
        <w:rPr>
          <w:rFonts w:eastAsia="Calibri"/>
        </w:rPr>
        <w:t xml:space="preserve"> compared </w:t>
      </w:r>
      <w:r w:rsidR="008B5148" w:rsidRPr="00C1603D">
        <w:rPr>
          <w:rFonts w:eastAsia="Calibri"/>
        </w:rPr>
        <w:t>with</w:t>
      </w:r>
      <w:r w:rsidRPr="00C1603D">
        <w:rPr>
          <w:rFonts w:eastAsia="Calibri"/>
        </w:rPr>
        <w:t xml:space="preserve"> the models for men and women. The calibration slope is </w:t>
      </w:r>
      <w:r w:rsidR="008B5148" w:rsidRPr="00C1603D">
        <w:rPr>
          <w:rFonts w:eastAsia="Calibri"/>
        </w:rPr>
        <w:t>&lt; </w:t>
      </w:r>
      <w:r w:rsidRPr="00C1603D">
        <w:rPr>
          <w:rFonts w:eastAsia="Calibri"/>
        </w:rPr>
        <w:t>1 for all three models, meaning that all three models overestimate the risk of CD</w:t>
      </w:r>
      <w:r w:rsidR="008B5148" w:rsidRPr="00C1603D">
        <w:rPr>
          <w:rFonts w:eastAsia="Calibri"/>
        </w:rPr>
        <w:t>,</w:t>
      </w:r>
      <w:r w:rsidRPr="00C1603D">
        <w:rPr>
          <w:rFonts w:eastAsia="Calibri"/>
        </w:rPr>
        <w:t xml:space="preserve"> on average (</w:t>
      </w:r>
      <w:r w:rsidR="008B5148" w:rsidRPr="00C1603D">
        <w:rPr>
          <w:rFonts w:eastAsia="Calibri"/>
        </w:rPr>
        <w:t xml:space="preserve">see </w:t>
      </w:r>
      <w:r w:rsidRPr="00C1603D">
        <w:rPr>
          <w:rFonts w:eastAsia="Calibri"/>
          <w:i/>
          <w:iCs/>
        </w:rPr>
        <w:t>Appendix 12</w:t>
      </w:r>
      <w:r w:rsidR="008B5148" w:rsidRPr="00C1603D">
        <w:rPr>
          <w:rFonts w:eastAsia="Calibri"/>
          <w:color w:val="auto"/>
        </w:rPr>
        <w:t>,</w:t>
      </w:r>
      <w:r w:rsidRPr="00C1603D">
        <w:rPr>
          <w:rFonts w:eastAsia="Calibri"/>
          <w:color w:val="auto"/>
        </w:rPr>
        <w:t xml:space="preserve"> </w:t>
      </w:r>
      <w:r w:rsidRPr="00C1603D">
        <w:rPr>
          <w:rFonts w:eastAsia="Calibri"/>
          <w:i/>
          <w:color w:val="auto"/>
        </w:rPr>
        <w:t>Figure 55</w:t>
      </w:r>
      <w:r w:rsidRPr="00C1603D">
        <w:rPr>
          <w:rFonts w:eastAsia="Calibri"/>
          <w:color w:val="auto"/>
        </w:rPr>
        <w:t>).</w:t>
      </w:r>
      <w:r w:rsidRPr="00C1603D">
        <w:rPr>
          <w:rFonts w:eastAsia="Calibri"/>
        </w:rPr>
        <w:t xml:space="preserve"> For instance, the model for children estimates a 40% chance of CD, compared with a prevalence in the data set of 20%. At higher risks, the model performs better. The estimated model performance </w:t>
      </w:r>
      <w:proofErr w:type="gramStart"/>
      <w:r w:rsidR="00533532" w:rsidRPr="00C1603D">
        <w:rPr>
          <w:rFonts w:eastAsia="Calibri"/>
        </w:rPr>
        <w:t>appears</w:t>
      </w:r>
      <w:r w:rsidRPr="00C1603D">
        <w:rPr>
          <w:rFonts w:eastAsia="Calibri"/>
        </w:rPr>
        <w:t xml:space="preserve"> to be</w:t>
      </w:r>
      <w:proofErr w:type="gramEnd"/>
      <w:r w:rsidRPr="00C1603D">
        <w:rPr>
          <w:rFonts w:eastAsia="Calibri"/>
        </w:rPr>
        <w:t xml:space="preserve"> stable, as the internal model performance in 200 bootstrap samples was similar</w:t>
      </w:r>
      <w:r w:rsidR="00533532" w:rsidRPr="00C1603D">
        <w:rPr>
          <w:rFonts w:eastAsia="Calibri"/>
        </w:rPr>
        <w:t>,</w:t>
      </w:r>
      <w:r w:rsidRPr="00C1603D">
        <w:rPr>
          <w:rFonts w:eastAsia="Calibri"/>
        </w:rPr>
        <w:t xml:space="preserve"> with narrow </w:t>
      </w:r>
      <w:r w:rsidR="00FE01C9" w:rsidRPr="00C1603D">
        <w:rPr>
          <w:rFonts w:eastAsia="Calibri"/>
        </w:rPr>
        <w:t>CI</w:t>
      </w:r>
      <w:r w:rsidRPr="00C1603D">
        <w:rPr>
          <w:rFonts w:eastAsia="Calibri"/>
        </w:rPr>
        <w:t>s (</w:t>
      </w:r>
      <w:r w:rsidR="00533532" w:rsidRPr="00C1603D">
        <w:rPr>
          <w:rFonts w:eastAsia="Calibri"/>
        </w:rPr>
        <w:t xml:space="preserve">see </w:t>
      </w:r>
      <w:r w:rsidRPr="00C1603D">
        <w:rPr>
          <w:rFonts w:eastAsia="Calibri"/>
          <w:i/>
          <w:color w:val="auto"/>
        </w:rPr>
        <w:t>Table 4</w:t>
      </w:r>
      <w:r w:rsidRPr="00C1603D">
        <w:rPr>
          <w:rFonts w:eastAsia="Calibri"/>
          <w:color w:val="auto"/>
        </w:rPr>
        <w:t>).</w:t>
      </w:r>
    </w:p>
    <w:p w14:paraId="5EEE98E6" w14:textId="77777777" w:rsidR="008B4DF8" w:rsidRPr="00C1603D" w:rsidRDefault="008B4DF8" w:rsidP="008B4DF8">
      <w:pPr>
        <w:pStyle w:val="53BheadHeadingsHeadingstyles"/>
      </w:pPr>
      <w:bookmarkStart w:id="224" w:name="_Toc99539850"/>
      <w:r w:rsidRPr="00C1603D">
        <w:t>External validation</w:t>
      </w:r>
      <w:bookmarkEnd w:id="224"/>
    </w:p>
    <w:p w14:paraId="026C9AA2" w14:textId="780248D3" w:rsidR="008B4DF8" w:rsidRPr="00C1603D" w:rsidRDefault="008B4DF8" w:rsidP="008B4DF8">
      <w:pPr>
        <w:pStyle w:val="602TextfoTextstylesTextstyles"/>
        <w:rPr>
          <w:rFonts w:eastAsia="Calibri"/>
        </w:rPr>
      </w:pPr>
      <w:r w:rsidRPr="00C1603D">
        <w:rPr>
          <w:rFonts w:eastAsia="Calibri"/>
        </w:rPr>
        <w:t xml:space="preserve">The prevalence of each predictor was </w:t>
      </w:r>
      <w:proofErr w:type="gramStart"/>
      <w:r w:rsidRPr="00C1603D">
        <w:rPr>
          <w:rFonts w:eastAsia="Calibri"/>
          <w:color w:val="auto"/>
        </w:rPr>
        <w:t>generally lower</w:t>
      </w:r>
      <w:proofErr w:type="gramEnd"/>
      <w:r w:rsidRPr="00C1603D">
        <w:rPr>
          <w:rFonts w:eastAsia="Calibri"/>
          <w:color w:val="auto"/>
        </w:rPr>
        <w:t xml:space="preserve"> in the external validation data set. The models performed less well in the validation data set. The amount of variability explained by the model dropped to </w:t>
      </w:r>
      <w:r w:rsidR="005924CF" w:rsidRPr="00C1603D">
        <w:rPr>
          <w:rFonts w:eastAsia="Calibri"/>
          <w:color w:val="auto"/>
        </w:rPr>
        <w:t>&lt;</w:t>
      </w:r>
      <w:r w:rsidR="001B3298" w:rsidRPr="00C1603D">
        <w:rPr>
          <w:rFonts w:eastAsia="Calibri"/>
          <w:color w:val="auto"/>
        </w:rPr>
        <w:t> </w:t>
      </w:r>
      <w:r w:rsidRPr="00C1603D">
        <w:rPr>
          <w:rFonts w:eastAsia="Calibri"/>
          <w:color w:val="auto"/>
        </w:rPr>
        <w:t xml:space="preserve">7% in all models. The </w:t>
      </w:r>
      <w:r w:rsidR="008B5148" w:rsidRPr="00C1603D">
        <w:rPr>
          <w:rFonts w:eastAsia="Calibri"/>
          <w:i/>
          <w:iCs/>
          <w:color w:val="auto"/>
        </w:rPr>
        <w:t>c</w:t>
      </w:r>
      <w:r w:rsidRPr="00C1603D">
        <w:rPr>
          <w:rFonts w:eastAsia="Calibri"/>
          <w:color w:val="auto"/>
        </w:rPr>
        <w:t xml:space="preserve">-statistics were </w:t>
      </w:r>
      <w:r w:rsidR="001B3298" w:rsidRPr="00C1603D">
        <w:rPr>
          <w:rFonts w:eastAsia="Calibri"/>
          <w:color w:val="auto"/>
        </w:rPr>
        <w:t>&gt; </w:t>
      </w:r>
      <w:r w:rsidRPr="00C1603D">
        <w:rPr>
          <w:rFonts w:eastAsia="Calibri"/>
          <w:color w:val="auto"/>
        </w:rPr>
        <w:t xml:space="preserve">0.5, suggesting that the models discriminated better than chance. Calibration intercepts were further away </w:t>
      </w:r>
      <w:r w:rsidRPr="00C1603D">
        <w:rPr>
          <w:rFonts w:eastAsia="Calibri"/>
        </w:rPr>
        <w:t xml:space="preserve">from </w:t>
      </w:r>
      <w:proofErr w:type="gramStart"/>
      <w:r w:rsidRPr="00C1603D">
        <w:rPr>
          <w:rFonts w:eastAsia="Calibri"/>
        </w:rPr>
        <w:t>0</w:t>
      </w:r>
      <w:proofErr w:type="gramEnd"/>
      <w:r w:rsidRPr="00C1603D">
        <w:rPr>
          <w:rFonts w:eastAsia="Calibri"/>
        </w:rPr>
        <w:t xml:space="preserve"> and calibration slopes further away from 1 </w:t>
      </w:r>
      <w:r w:rsidR="001B3298" w:rsidRPr="00C1603D">
        <w:rPr>
          <w:rFonts w:eastAsia="Calibri"/>
        </w:rPr>
        <w:t>than for</w:t>
      </w:r>
      <w:r w:rsidRPr="00C1603D">
        <w:rPr>
          <w:rFonts w:eastAsia="Calibri"/>
        </w:rPr>
        <w:t xml:space="preserve"> the apparent model performance. The </w:t>
      </w:r>
      <w:r w:rsidRPr="00C1603D">
        <w:rPr>
          <w:rFonts w:eastAsia="Calibri"/>
          <w:i/>
          <w:iCs/>
        </w:rPr>
        <w:t>R</w:t>
      </w:r>
      <w:r w:rsidR="001B3298" w:rsidRPr="00C1603D">
        <w:rPr>
          <w:rFonts w:eastAsia="Calibri"/>
          <w:vertAlign w:val="superscript"/>
        </w:rPr>
        <w:t>2</w:t>
      </w:r>
      <w:r w:rsidRPr="00C1603D">
        <w:rPr>
          <w:rFonts w:eastAsia="Calibri"/>
        </w:rPr>
        <w:t xml:space="preserve">, </w:t>
      </w:r>
      <w:r w:rsidR="008B5148" w:rsidRPr="00C1603D">
        <w:rPr>
          <w:rFonts w:eastAsia="Calibri"/>
          <w:i/>
          <w:iCs/>
        </w:rPr>
        <w:t>c</w:t>
      </w:r>
      <w:r w:rsidR="008B5148" w:rsidRPr="00C1603D">
        <w:rPr>
          <w:rFonts w:eastAsia="Calibri"/>
        </w:rPr>
        <w:t>-stat</w:t>
      </w:r>
      <w:r w:rsidRPr="00C1603D">
        <w:rPr>
          <w:rFonts w:eastAsia="Calibri"/>
        </w:rPr>
        <w:t xml:space="preserve">istic and calibration slope were not different for people with or </w:t>
      </w:r>
      <w:r w:rsidR="001B3298" w:rsidRPr="00C1603D">
        <w:rPr>
          <w:rFonts w:eastAsia="Calibri"/>
        </w:rPr>
        <w:t xml:space="preserve">people </w:t>
      </w:r>
      <w:r w:rsidRPr="00C1603D">
        <w:rPr>
          <w:rFonts w:eastAsia="Calibri"/>
        </w:rPr>
        <w:t>without a first-degree relative with CD.</w:t>
      </w:r>
    </w:p>
    <w:p w14:paraId="1B74DB9F" w14:textId="77777777" w:rsidR="008B4DF8" w:rsidRPr="00C1603D" w:rsidRDefault="008B4DF8" w:rsidP="008B4DF8">
      <w:pPr>
        <w:pStyle w:val="53BheadHeadingsHeadingstyles"/>
      </w:pPr>
      <w:bookmarkStart w:id="225" w:name="_Toc99539851"/>
      <w:r w:rsidRPr="00C1603D">
        <w:t>Clinical usefulness</w:t>
      </w:r>
      <w:bookmarkEnd w:id="225"/>
    </w:p>
    <w:p w14:paraId="6D1A2107" w14:textId="3C76EE04" w:rsidR="008B4DF8" w:rsidRPr="00C1603D" w:rsidRDefault="008B4DF8" w:rsidP="008B4DF8">
      <w:pPr>
        <w:pStyle w:val="602TextfoTextstylesTextstyles"/>
      </w:pPr>
      <w:r w:rsidRPr="00C1603D">
        <w:rPr>
          <w:i/>
          <w:color w:val="FF0000"/>
        </w:rPr>
        <w:t xml:space="preserve">Table </w:t>
      </w:r>
      <w:r w:rsidRPr="00C1603D">
        <w:rPr>
          <w:i/>
          <w:noProof/>
          <w:color w:val="FF0000"/>
        </w:rPr>
        <w:t>5</w:t>
      </w:r>
      <w:r w:rsidRPr="00C1603D">
        <w:t xml:space="preserve"> shows the sensitivity and specificity of the prediction model at several thresholds to achieve a 1.5%, 2%, 5%, 10% or 20% PPV of the prediction model. This can also be considered as the pre-test probability for serological testing, the next stop on the diagnostic pathway. The lowest pre-test probability (1%) is the estimated prevalence of CD in the general population, so this strategy is the same as testing everyone. By definition, this strategy is 100% sensitive and 0% specific because a test </w:t>
      </w:r>
      <w:r w:rsidRPr="00C1603D">
        <w:lastRenderedPageBreak/>
        <w:t>is offered to anyone regardless of their diagnostic indicators. Currently in the UK, only one in three</w:t>
      </w:r>
      <w:r w:rsidR="001B3298" w:rsidRPr="00C1603D">
        <w:t xml:space="preserve"> people with</w:t>
      </w:r>
      <w:r w:rsidRPr="00C1603D">
        <w:t xml:space="preserve"> CD are believed to be diagnosed, so a prediction rule that picks up more than one in three (i.e. sensitivity </w:t>
      </w:r>
      <w:r w:rsidR="001B3298" w:rsidRPr="00C1603D">
        <w:t xml:space="preserve">of </w:t>
      </w:r>
      <w:r w:rsidRPr="00C1603D">
        <w:rPr>
          <w:color w:val="00B0F0"/>
        </w:rPr>
        <w:t>&gt; </w:t>
      </w:r>
      <w:r w:rsidRPr="00C1603D">
        <w:t xml:space="preserve">33%) might already improve </w:t>
      </w:r>
      <w:r w:rsidR="0087034D" w:rsidRPr="00C1603D">
        <w:t>case-finding</w:t>
      </w:r>
      <w:r w:rsidRPr="00C1603D">
        <w:t xml:space="preserve">. According </w:t>
      </w:r>
      <w:r w:rsidRPr="00C1603D">
        <w:rPr>
          <w:color w:val="auto"/>
        </w:rPr>
        <w:t xml:space="preserve">to </w:t>
      </w:r>
      <w:r w:rsidRPr="00C1603D">
        <w:rPr>
          <w:i/>
          <w:color w:val="auto"/>
        </w:rPr>
        <w:t xml:space="preserve">Table </w:t>
      </w:r>
      <w:r w:rsidRPr="00C1603D">
        <w:rPr>
          <w:i/>
          <w:noProof/>
          <w:color w:val="auto"/>
        </w:rPr>
        <w:t>5</w:t>
      </w:r>
      <w:r w:rsidR="001B3298" w:rsidRPr="00C1603D">
        <w:rPr>
          <w:iCs/>
          <w:noProof/>
          <w:color w:val="auto"/>
        </w:rPr>
        <w:t>,</w:t>
      </w:r>
      <w:r w:rsidRPr="00C1603D">
        <w:rPr>
          <w:color w:val="auto"/>
        </w:rPr>
        <w:t xml:space="preserve"> this </w:t>
      </w:r>
      <w:r w:rsidRPr="00C1603D">
        <w:t xml:space="preserve">can be achieved at a pre-test probability of </w:t>
      </w:r>
      <w:r w:rsidRPr="00C1603D">
        <w:rPr>
          <w:color w:val="00B0F0"/>
        </w:rPr>
        <w:t>&gt; 2</w:t>
      </w:r>
      <w:r w:rsidRPr="00C1603D">
        <w:t xml:space="preserve">0% for children, </w:t>
      </w:r>
      <w:r w:rsidRPr="00C1603D">
        <w:rPr>
          <w:color w:val="00B0F0"/>
        </w:rPr>
        <w:t>&gt; 5</w:t>
      </w:r>
      <w:r w:rsidRPr="00C1603D">
        <w:t xml:space="preserve">% </w:t>
      </w:r>
      <w:r w:rsidR="0006475E" w:rsidRPr="00C1603D">
        <w:t>for</w:t>
      </w:r>
      <w:r w:rsidRPr="00C1603D">
        <w:t xml:space="preserve"> women and </w:t>
      </w:r>
      <w:r w:rsidRPr="00C1603D">
        <w:rPr>
          <w:color w:val="00B0F0"/>
        </w:rPr>
        <w:t>&gt; 1</w:t>
      </w:r>
      <w:r w:rsidRPr="00C1603D">
        <w:t xml:space="preserve">0% </w:t>
      </w:r>
      <w:r w:rsidR="0006475E" w:rsidRPr="00C1603D">
        <w:t>for</w:t>
      </w:r>
      <w:r w:rsidRPr="00C1603D">
        <w:t xml:space="preserve"> men. </w:t>
      </w:r>
      <w:r w:rsidRPr="00C1603D">
        <w:rPr>
          <w:i/>
          <w:color w:val="FF0000"/>
        </w:rPr>
        <w:t xml:space="preserve">Table </w:t>
      </w:r>
      <w:r w:rsidRPr="00C1603D">
        <w:rPr>
          <w:i/>
          <w:noProof/>
          <w:color w:val="FF0000"/>
        </w:rPr>
        <w:t>6</w:t>
      </w:r>
      <w:r w:rsidRPr="00C1603D">
        <w:t xml:space="preserve"> shows examples of the combination of predictors </w:t>
      </w:r>
      <w:r w:rsidR="0006475E" w:rsidRPr="00C1603D">
        <w:t>among</w:t>
      </w:r>
      <w:r w:rsidRPr="00C1603D">
        <w:t xml:space="preserve"> patients at these model thresholds.</w:t>
      </w:r>
    </w:p>
    <w:p w14:paraId="1E71F837" w14:textId="77777777" w:rsidR="008B4DF8" w:rsidRPr="00C1603D" w:rsidRDefault="008B4DF8" w:rsidP="00B712F1">
      <w:pPr>
        <w:pStyle w:val="70TablelegendTablesTableFigureBoxstyles"/>
        <w:tabs>
          <w:tab w:val="left" w:pos="3686"/>
        </w:tabs>
      </w:pPr>
      <w:bookmarkStart w:id="226" w:name="_Ref83908596"/>
      <w:bookmarkStart w:id="227" w:name="_Toc99720716"/>
      <w:r w:rsidRPr="00C1603D">
        <w:rPr>
          <w:b/>
        </w:rPr>
        <w:t>TABLE 5</w:t>
      </w:r>
      <w:r w:rsidRPr="00C1603D">
        <w:rPr>
          <w:b/>
        </w:rPr>
        <w:t> </w:t>
      </w:r>
      <w:r w:rsidRPr="00C1603D">
        <w:t>Clinical usefulness in development data</w:t>
      </w:r>
      <w:bookmarkEnd w:id="226"/>
      <w:bookmarkEnd w:id="227"/>
    </w:p>
    <w:tbl>
      <w:tblPr>
        <w:tblW w:w="0" w:type="auto"/>
        <w:tblCellMar>
          <w:top w:w="40" w:type="dxa"/>
          <w:left w:w="60" w:type="dxa"/>
          <w:bottom w:w="40" w:type="dxa"/>
          <w:right w:w="60" w:type="dxa"/>
        </w:tblCellMar>
        <w:tblLook w:val="04A0" w:firstRow="1" w:lastRow="0" w:firstColumn="1" w:lastColumn="0" w:noHBand="0" w:noVBand="1"/>
      </w:tblPr>
      <w:tblGrid>
        <w:gridCol w:w="1048"/>
        <w:gridCol w:w="620"/>
        <w:gridCol w:w="973"/>
        <w:gridCol w:w="517"/>
        <w:gridCol w:w="579"/>
        <w:gridCol w:w="524"/>
        <w:gridCol w:w="593"/>
        <w:gridCol w:w="1134"/>
        <w:gridCol w:w="1130"/>
        <w:gridCol w:w="646"/>
        <w:gridCol w:w="1262"/>
      </w:tblGrid>
      <w:tr w:rsidR="00C46323" w:rsidRPr="00C1603D" w14:paraId="5CE4A96A" w14:textId="77777777" w:rsidTr="0006475E">
        <w:trPr>
          <w:cantSplit/>
        </w:trPr>
        <w:tc>
          <w:tcPr>
            <w:tcW w:w="0" w:type="auto"/>
            <w:shd w:val="clear" w:color="auto" w:fill="auto"/>
          </w:tcPr>
          <w:p w14:paraId="22B74C4C" w14:textId="3ADC1955" w:rsidR="008B4DF8" w:rsidRPr="00C1603D" w:rsidRDefault="008B4DF8" w:rsidP="0006475E">
            <w:pPr>
              <w:pStyle w:val="710TableheadTablesTableFigureBoxstyles"/>
              <w:rPr>
                <w:color w:val="000000"/>
                <w:lang w:eastAsia="en-GB"/>
              </w:rPr>
            </w:pPr>
            <w:r w:rsidRPr="00C1603D">
              <w:rPr>
                <w:lang w:eastAsia="en-GB"/>
              </w:rPr>
              <w:t>Population</w:t>
            </w:r>
          </w:p>
        </w:tc>
        <w:tc>
          <w:tcPr>
            <w:tcW w:w="0" w:type="auto"/>
            <w:shd w:val="clear" w:color="auto" w:fill="auto"/>
          </w:tcPr>
          <w:p w14:paraId="6CF6BEC6" w14:textId="24EA3A19" w:rsidR="008B4DF8" w:rsidRPr="00C1603D" w:rsidRDefault="008B4DF8" w:rsidP="0006475E">
            <w:pPr>
              <w:pStyle w:val="710TableheadTablesTableFigureBoxstyles"/>
              <w:rPr>
                <w:lang w:eastAsia="en-GB"/>
              </w:rPr>
            </w:pPr>
            <w:r w:rsidRPr="00C1603D">
              <w:rPr>
                <w:lang w:eastAsia="en-GB"/>
              </w:rPr>
              <w:t xml:space="preserve">PPV </w:t>
            </w:r>
            <w:r w:rsidR="0006475E" w:rsidRPr="00C1603D">
              <w:rPr>
                <w:lang w:eastAsia="en-GB"/>
              </w:rPr>
              <w:t>(%)</w:t>
            </w:r>
          </w:p>
        </w:tc>
        <w:tc>
          <w:tcPr>
            <w:tcW w:w="0" w:type="auto"/>
            <w:shd w:val="clear" w:color="auto" w:fill="auto"/>
          </w:tcPr>
          <w:p w14:paraId="5101907D" w14:textId="77777777" w:rsidR="008B4DF8" w:rsidRPr="00C1603D" w:rsidRDefault="008B4DF8" w:rsidP="0006475E">
            <w:pPr>
              <w:pStyle w:val="710TableheadTablesTableFigureBoxstyles"/>
              <w:rPr>
                <w:lang w:eastAsia="en-GB"/>
              </w:rPr>
            </w:pPr>
            <w:r w:rsidRPr="00C1603D">
              <w:rPr>
                <w:lang w:eastAsia="en-GB"/>
              </w:rPr>
              <w:t>Threshold</w:t>
            </w:r>
          </w:p>
        </w:tc>
        <w:tc>
          <w:tcPr>
            <w:tcW w:w="0" w:type="auto"/>
            <w:shd w:val="clear" w:color="auto" w:fill="auto"/>
          </w:tcPr>
          <w:p w14:paraId="4410EE3E" w14:textId="3159FB91" w:rsidR="008B4DF8" w:rsidRPr="00C1603D" w:rsidRDefault="008B4DF8" w:rsidP="0006475E">
            <w:pPr>
              <w:pStyle w:val="710TableheadTablesTableFigureBoxstyles"/>
              <w:rPr>
                <w:color w:val="000000"/>
                <w:lang w:eastAsia="en-GB"/>
              </w:rPr>
            </w:pPr>
            <w:r w:rsidRPr="00C1603D">
              <w:rPr>
                <w:lang w:eastAsia="en-GB"/>
              </w:rPr>
              <w:t>TP</w:t>
            </w:r>
            <w:r w:rsidR="0006475E" w:rsidRPr="00C1603D">
              <w:rPr>
                <w:lang w:eastAsia="en-GB"/>
              </w:rPr>
              <w:t xml:space="preserve"> (</w:t>
            </w:r>
            <w:r w:rsidR="0006475E" w:rsidRPr="00C1603D">
              <w:rPr>
                <w:i/>
                <w:iCs/>
                <w:lang w:eastAsia="en-GB"/>
              </w:rPr>
              <w:t>n</w:t>
            </w:r>
            <w:r w:rsidR="0006475E" w:rsidRPr="00C1603D">
              <w:rPr>
                <w:lang w:eastAsia="en-GB"/>
              </w:rPr>
              <w:t>)</w:t>
            </w:r>
          </w:p>
        </w:tc>
        <w:tc>
          <w:tcPr>
            <w:tcW w:w="0" w:type="auto"/>
            <w:shd w:val="clear" w:color="auto" w:fill="auto"/>
          </w:tcPr>
          <w:p w14:paraId="58908A67" w14:textId="1B651D41" w:rsidR="008B4DF8" w:rsidRPr="00C1603D" w:rsidRDefault="008B4DF8" w:rsidP="0006475E">
            <w:pPr>
              <w:pStyle w:val="710TableheadTablesTableFigureBoxstyles"/>
              <w:rPr>
                <w:color w:val="000000"/>
                <w:lang w:eastAsia="en-GB"/>
              </w:rPr>
            </w:pPr>
            <w:r w:rsidRPr="00C1603D">
              <w:rPr>
                <w:lang w:eastAsia="en-GB"/>
              </w:rPr>
              <w:t>FP</w:t>
            </w:r>
            <w:r w:rsidR="0006475E" w:rsidRPr="00C1603D">
              <w:rPr>
                <w:lang w:eastAsia="en-GB"/>
              </w:rPr>
              <w:t xml:space="preserve"> (</w:t>
            </w:r>
            <w:r w:rsidR="0006475E" w:rsidRPr="00C1603D">
              <w:rPr>
                <w:i/>
                <w:iCs/>
                <w:lang w:eastAsia="en-GB"/>
              </w:rPr>
              <w:t>n</w:t>
            </w:r>
            <w:r w:rsidR="0006475E" w:rsidRPr="00C1603D">
              <w:rPr>
                <w:lang w:eastAsia="en-GB"/>
              </w:rPr>
              <w:t>)</w:t>
            </w:r>
          </w:p>
        </w:tc>
        <w:tc>
          <w:tcPr>
            <w:tcW w:w="0" w:type="auto"/>
            <w:shd w:val="clear" w:color="auto" w:fill="auto"/>
          </w:tcPr>
          <w:p w14:paraId="3C1A6F01" w14:textId="0EB2003F" w:rsidR="008B4DF8" w:rsidRPr="00C1603D" w:rsidRDefault="008B4DF8" w:rsidP="0006475E">
            <w:pPr>
              <w:pStyle w:val="710TableheadTablesTableFigureBoxstyles"/>
              <w:rPr>
                <w:color w:val="000000"/>
                <w:lang w:eastAsia="en-GB"/>
              </w:rPr>
            </w:pPr>
            <w:r w:rsidRPr="00C1603D">
              <w:rPr>
                <w:lang w:eastAsia="en-GB"/>
              </w:rPr>
              <w:t>FN</w:t>
            </w:r>
            <w:r w:rsidR="0006475E" w:rsidRPr="00C1603D">
              <w:rPr>
                <w:lang w:eastAsia="en-GB"/>
              </w:rPr>
              <w:t xml:space="preserve"> (</w:t>
            </w:r>
            <w:r w:rsidR="0006475E" w:rsidRPr="00C1603D">
              <w:rPr>
                <w:i/>
                <w:iCs/>
                <w:lang w:eastAsia="en-GB"/>
              </w:rPr>
              <w:t>n</w:t>
            </w:r>
            <w:r w:rsidR="0006475E" w:rsidRPr="00C1603D">
              <w:rPr>
                <w:lang w:eastAsia="en-GB"/>
              </w:rPr>
              <w:t>)</w:t>
            </w:r>
          </w:p>
        </w:tc>
        <w:tc>
          <w:tcPr>
            <w:tcW w:w="0" w:type="auto"/>
            <w:shd w:val="clear" w:color="auto" w:fill="auto"/>
          </w:tcPr>
          <w:p w14:paraId="5D214E2E" w14:textId="00CFA73A" w:rsidR="008B4DF8" w:rsidRPr="00C1603D" w:rsidRDefault="008B4DF8" w:rsidP="0006475E">
            <w:pPr>
              <w:pStyle w:val="710TableheadTablesTableFigureBoxstyles"/>
              <w:rPr>
                <w:color w:val="000000"/>
                <w:lang w:eastAsia="en-GB"/>
              </w:rPr>
            </w:pPr>
            <w:r w:rsidRPr="00C1603D">
              <w:rPr>
                <w:lang w:eastAsia="en-GB"/>
              </w:rPr>
              <w:t>TN</w:t>
            </w:r>
            <w:r w:rsidR="0006475E" w:rsidRPr="00C1603D">
              <w:rPr>
                <w:lang w:eastAsia="en-GB"/>
              </w:rPr>
              <w:t xml:space="preserve"> (</w:t>
            </w:r>
            <w:r w:rsidR="0006475E" w:rsidRPr="00C1603D">
              <w:rPr>
                <w:i/>
                <w:iCs/>
                <w:lang w:eastAsia="en-GB"/>
              </w:rPr>
              <w:t>n</w:t>
            </w:r>
            <w:r w:rsidR="0006475E" w:rsidRPr="00C1603D">
              <w:rPr>
                <w:lang w:eastAsia="en-GB"/>
              </w:rPr>
              <w:t>)</w:t>
            </w:r>
          </w:p>
        </w:tc>
        <w:tc>
          <w:tcPr>
            <w:tcW w:w="0" w:type="auto"/>
            <w:shd w:val="clear" w:color="auto" w:fill="auto"/>
          </w:tcPr>
          <w:p w14:paraId="61C12C3A" w14:textId="722788F9" w:rsidR="008B4DF8" w:rsidRPr="00C1603D" w:rsidRDefault="008B4DF8" w:rsidP="0006475E">
            <w:pPr>
              <w:pStyle w:val="710TableheadTablesTableFigureBoxstyles"/>
              <w:rPr>
                <w:color w:val="000000"/>
                <w:lang w:eastAsia="en-GB"/>
              </w:rPr>
            </w:pPr>
            <w:r w:rsidRPr="00C1603D">
              <w:rPr>
                <w:lang w:eastAsia="en-GB"/>
              </w:rPr>
              <w:t>Sens</w:t>
            </w:r>
            <w:r w:rsidR="0006475E" w:rsidRPr="00C1603D">
              <w:rPr>
                <w:lang w:eastAsia="en-GB"/>
              </w:rPr>
              <w:t>itivity (%)</w:t>
            </w:r>
          </w:p>
        </w:tc>
        <w:tc>
          <w:tcPr>
            <w:tcW w:w="0" w:type="auto"/>
            <w:shd w:val="clear" w:color="auto" w:fill="auto"/>
          </w:tcPr>
          <w:p w14:paraId="4ACA8E07" w14:textId="691B1487" w:rsidR="008B4DF8" w:rsidRPr="00C1603D" w:rsidRDefault="008B4DF8" w:rsidP="0006475E">
            <w:pPr>
              <w:pStyle w:val="710TableheadTablesTableFigureBoxstyles"/>
              <w:rPr>
                <w:color w:val="000000"/>
                <w:lang w:eastAsia="en-GB"/>
              </w:rPr>
            </w:pPr>
            <w:r w:rsidRPr="00C1603D">
              <w:rPr>
                <w:lang w:eastAsia="en-GB"/>
              </w:rPr>
              <w:t>Spec</w:t>
            </w:r>
            <w:r w:rsidR="0006475E" w:rsidRPr="00C1603D">
              <w:rPr>
                <w:lang w:eastAsia="en-GB"/>
              </w:rPr>
              <w:t>ificity (%)</w:t>
            </w:r>
          </w:p>
        </w:tc>
        <w:tc>
          <w:tcPr>
            <w:tcW w:w="0" w:type="auto"/>
            <w:shd w:val="clear" w:color="auto" w:fill="auto"/>
          </w:tcPr>
          <w:p w14:paraId="57B77E07" w14:textId="6809B483" w:rsidR="008B4DF8" w:rsidRPr="00C1603D" w:rsidRDefault="008B4DF8" w:rsidP="0006475E">
            <w:pPr>
              <w:pStyle w:val="710TableheadTablesTableFigureBoxstyles"/>
              <w:rPr>
                <w:color w:val="000000"/>
                <w:lang w:eastAsia="en-GB"/>
              </w:rPr>
            </w:pPr>
            <w:r w:rsidRPr="00C1603D">
              <w:rPr>
                <w:lang w:eastAsia="en-GB"/>
              </w:rPr>
              <w:t xml:space="preserve">NPV </w:t>
            </w:r>
            <w:r w:rsidR="0006475E" w:rsidRPr="00C1603D">
              <w:rPr>
                <w:lang w:eastAsia="en-GB"/>
              </w:rPr>
              <w:t>(%)</w:t>
            </w:r>
          </w:p>
        </w:tc>
        <w:tc>
          <w:tcPr>
            <w:tcW w:w="0" w:type="auto"/>
            <w:shd w:val="clear" w:color="auto" w:fill="auto"/>
          </w:tcPr>
          <w:p w14:paraId="356ACA6E" w14:textId="77777777" w:rsidR="008B4DF8" w:rsidRPr="00C1603D" w:rsidRDefault="008B4DF8" w:rsidP="0006475E">
            <w:pPr>
              <w:pStyle w:val="710TableheadTablesTableFigureBoxstyles"/>
              <w:rPr>
                <w:lang w:eastAsia="en-GB"/>
              </w:rPr>
            </w:pPr>
            <w:r w:rsidRPr="00C1603D">
              <w:rPr>
                <w:lang w:eastAsia="en-GB"/>
              </w:rPr>
              <w:t>% CD patients missed</w:t>
            </w:r>
          </w:p>
        </w:tc>
      </w:tr>
      <w:tr w:rsidR="00C46323" w:rsidRPr="00C1603D" w14:paraId="40E56858" w14:textId="77777777" w:rsidTr="0006475E">
        <w:trPr>
          <w:cantSplit/>
        </w:trPr>
        <w:tc>
          <w:tcPr>
            <w:tcW w:w="0" w:type="auto"/>
            <w:vMerge w:val="restart"/>
            <w:shd w:val="clear" w:color="auto" w:fill="auto"/>
          </w:tcPr>
          <w:p w14:paraId="4B441DFA" w14:textId="77777777" w:rsidR="008B4DF8" w:rsidRPr="00C1603D" w:rsidRDefault="008B4DF8" w:rsidP="0006475E">
            <w:pPr>
              <w:pStyle w:val="72TabletextTablesTableFigureBoxstyles"/>
              <w:rPr>
                <w:lang w:eastAsia="en-GB"/>
              </w:rPr>
            </w:pPr>
            <w:r w:rsidRPr="00C1603D">
              <w:rPr>
                <w:lang w:eastAsia="en-GB"/>
              </w:rPr>
              <w:t>Children</w:t>
            </w:r>
          </w:p>
        </w:tc>
        <w:tc>
          <w:tcPr>
            <w:tcW w:w="0" w:type="auto"/>
            <w:shd w:val="clear" w:color="auto" w:fill="auto"/>
          </w:tcPr>
          <w:p w14:paraId="0F3ECAD4" w14:textId="48C38C80" w:rsidR="008B4DF8" w:rsidRPr="00C1603D" w:rsidRDefault="008B4DF8" w:rsidP="0006475E">
            <w:pPr>
              <w:pStyle w:val="72TabletextTablesTableFigureBoxstyles"/>
              <w:rPr>
                <w:lang w:eastAsia="en-GB"/>
              </w:rPr>
            </w:pPr>
            <w:r w:rsidRPr="00C1603D">
              <w:rPr>
                <w:lang w:eastAsia="en-GB"/>
              </w:rPr>
              <w:t>1</w:t>
            </w:r>
          </w:p>
        </w:tc>
        <w:tc>
          <w:tcPr>
            <w:tcW w:w="0" w:type="auto"/>
            <w:shd w:val="clear" w:color="auto" w:fill="auto"/>
          </w:tcPr>
          <w:p w14:paraId="76F7D3AB"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1C805137" w14:textId="77777777" w:rsidR="008B4DF8" w:rsidRPr="00C1603D" w:rsidRDefault="008B4DF8" w:rsidP="0006475E">
            <w:pPr>
              <w:pStyle w:val="72TabletextTablesTableFigureBoxstyles"/>
              <w:rPr>
                <w:lang w:eastAsia="en-GB"/>
              </w:rPr>
            </w:pPr>
            <w:r w:rsidRPr="00C1603D">
              <w:rPr>
                <w:lang w:eastAsia="en-GB"/>
              </w:rPr>
              <w:t>100</w:t>
            </w:r>
          </w:p>
        </w:tc>
        <w:tc>
          <w:tcPr>
            <w:tcW w:w="0" w:type="auto"/>
            <w:shd w:val="clear" w:color="auto" w:fill="auto"/>
          </w:tcPr>
          <w:p w14:paraId="01B87BD5" w14:textId="77777777" w:rsidR="008B4DF8" w:rsidRPr="00C1603D" w:rsidRDefault="008B4DF8" w:rsidP="0006475E">
            <w:pPr>
              <w:pStyle w:val="72TabletextTablesTableFigureBoxstyles"/>
              <w:rPr>
                <w:lang w:eastAsia="en-GB"/>
              </w:rPr>
            </w:pPr>
            <w:r w:rsidRPr="00C1603D">
              <w:rPr>
                <w:lang w:eastAsia="en-GB"/>
              </w:rPr>
              <w:t>9900</w:t>
            </w:r>
          </w:p>
        </w:tc>
        <w:tc>
          <w:tcPr>
            <w:tcW w:w="0" w:type="auto"/>
            <w:shd w:val="clear" w:color="auto" w:fill="auto"/>
          </w:tcPr>
          <w:p w14:paraId="1D734D7C"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6B703CE1"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4BDC625F" w14:textId="136459AF" w:rsidR="008B4DF8" w:rsidRPr="00C1603D" w:rsidRDefault="008B4DF8" w:rsidP="0006475E">
            <w:pPr>
              <w:pStyle w:val="72TabletextTablesTableFigureBoxstyles"/>
              <w:rPr>
                <w:lang w:eastAsia="en-GB"/>
              </w:rPr>
            </w:pPr>
            <w:r w:rsidRPr="00C1603D">
              <w:rPr>
                <w:lang w:eastAsia="en-GB"/>
              </w:rPr>
              <w:t>100.0</w:t>
            </w:r>
          </w:p>
        </w:tc>
        <w:tc>
          <w:tcPr>
            <w:tcW w:w="0" w:type="auto"/>
            <w:shd w:val="clear" w:color="auto" w:fill="auto"/>
          </w:tcPr>
          <w:p w14:paraId="60B6C03C" w14:textId="0BD1382A" w:rsidR="008B4DF8" w:rsidRPr="00C1603D" w:rsidRDefault="008B4DF8" w:rsidP="0006475E">
            <w:pPr>
              <w:pStyle w:val="72TabletextTablesTableFigureBoxstyles"/>
              <w:rPr>
                <w:lang w:eastAsia="en-GB"/>
              </w:rPr>
            </w:pPr>
            <w:r w:rsidRPr="00C1603D">
              <w:rPr>
                <w:lang w:eastAsia="en-GB"/>
              </w:rPr>
              <w:t>0.0</w:t>
            </w:r>
          </w:p>
        </w:tc>
        <w:tc>
          <w:tcPr>
            <w:tcW w:w="0" w:type="auto"/>
            <w:shd w:val="clear" w:color="auto" w:fill="auto"/>
          </w:tcPr>
          <w:p w14:paraId="5DF9A2F3" w14:textId="77777777" w:rsidR="008B4DF8" w:rsidRPr="00C1603D" w:rsidRDefault="008B4DF8" w:rsidP="0006475E">
            <w:pPr>
              <w:pStyle w:val="72TabletextTablesTableFigureBoxstyles"/>
              <w:rPr>
                <w:lang w:eastAsia="en-GB"/>
              </w:rPr>
            </w:pPr>
            <w:r w:rsidRPr="00C1603D">
              <w:rPr>
                <w:lang w:eastAsia="en-GB"/>
              </w:rPr>
              <w:t>NA</w:t>
            </w:r>
          </w:p>
        </w:tc>
        <w:tc>
          <w:tcPr>
            <w:tcW w:w="0" w:type="auto"/>
            <w:shd w:val="clear" w:color="auto" w:fill="auto"/>
          </w:tcPr>
          <w:p w14:paraId="4CED265C" w14:textId="77777777" w:rsidR="008B4DF8" w:rsidRPr="00C1603D" w:rsidRDefault="008B4DF8" w:rsidP="0006475E">
            <w:pPr>
              <w:pStyle w:val="72TabletextTablesTableFigureBoxstyles"/>
              <w:rPr>
                <w:lang w:eastAsia="en-GB"/>
              </w:rPr>
            </w:pPr>
            <w:r w:rsidRPr="00C1603D">
              <w:rPr>
                <w:lang w:eastAsia="en-GB"/>
              </w:rPr>
              <w:t>0</w:t>
            </w:r>
          </w:p>
        </w:tc>
      </w:tr>
      <w:tr w:rsidR="00C46323" w:rsidRPr="00C1603D" w14:paraId="1D8606E7" w14:textId="77777777" w:rsidTr="50A8A885">
        <w:trPr>
          <w:cantSplit/>
        </w:trPr>
        <w:tc>
          <w:tcPr>
            <w:tcW w:w="0" w:type="auto"/>
            <w:vMerge/>
          </w:tcPr>
          <w:p w14:paraId="3BE0D867" w14:textId="77777777" w:rsidR="008B4DF8" w:rsidRPr="00C1603D" w:rsidRDefault="008B4DF8" w:rsidP="0006475E">
            <w:pPr>
              <w:pStyle w:val="72TabletextTablesTableFigureBoxstyles"/>
              <w:rPr>
                <w:lang w:eastAsia="en-GB"/>
              </w:rPr>
            </w:pPr>
          </w:p>
        </w:tc>
        <w:tc>
          <w:tcPr>
            <w:tcW w:w="0" w:type="auto"/>
            <w:shd w:val="clear" w:color="auto" w:fill="auto"/>
          </w:tcPr>
          <w:p w14:paraId="3BDAB87E" w14:textId="10F1E5EA" w:rsidR="008B4DF8" w:rsidRPr="00C1603D" w:rsidRDefault="008B4DF8" w:rsidP="0006475E">
            <w:pPr>
              <w:pStyle w:val="72TabletextTablesTableFigureBoxstyles"/>
              <w:rPr>
                <w:lang w:eastAsia="en-GB"/>
              </w:rPr>
            </w:pPr>
            <w:r w:rsidRPr="00C1603D">
              <w:rPr>
                <w:lang w:eastAsia="en-GB"/>
              </w:rPr>
              <w:t>1.5</w:t>
            </w:r>
          </w:p>
        </w:tc>
        <w:tc>
          <w:tcPr>
            <w:tcW w:w="0" w:type="auto"/>
            <w:shd w:val="clear" w:color="auto" w:fill="auto"/>
          </w:tcPr>
          <w:p w14:paraId="50E481C7" w14:textId="77777777" w:rsidR="008B4DF8" w:rsidRPr="00C1603D" w:rsidRDefault="008B4DF8" w:rsidP="0006475E">
            <w:pPr>
              <w:pStyle w:val="72TabletextTablesTableFigureBoxstyles"/>
              <w:rPr>
                <w:lang w:eastAsia="en-GB"/>
              </w:rPr>
            </w:pPr>
            <w:r w:rsidRPr="00C1603D">
              <w:t>0.0038</w:t>
            </w:r>
          </w:p>
        </w:tc>
        <w:tc>
          <w:tcPr>
            <w:tcW w:w="0" w:type="auto"/>
            <w:shd w:val="clear" w:color="auto" w:fill="auto"/>
          </w:tcPr>
          <w:p w14:paraId="69539E7C" w14:textId="77777777" w:rsidR="008B4DF8" w:rsidRPr="00C1603D" w:rsidRDefault="008B4DF8" w:rsidP="0006475E">
            <w:pPr>
              <w:pStyle w:val="72TabletextTablesTableFigureBoxstyles"/>
              <w:rPr>
                <w:lang w:eastAsia="en-GB"/>
              </w:rPr>
            </w:pPr>
            <w:r w:rsidRPr="00C1603D">
              <w:rPr>
                <w:lang w:eastAsia="en-GB"/>
              </w:rPr>
              <w:t>88</w:t>
            </w:r>
          </w:p>
        </w:tc>
        <w:tc>
          <w:tcPr>
            <w:tcW w:w="0" w:type="auto"/>
            <w:shd w:val="clear" w:color="auto" w:fill="auto"/>
          </w:tcPr>
          <w:p w14:paraId="47F3EA2A" w14:textId="77777777" w:rsidR="008B4DF8" w:rsidRPr="00C1603D" w:rsidRDefault="008B4DF8" w:rsidP="0006475E">
            <w:pPr>
              <w:pStyle w:val="72TabletextTablesTableFigureBoxstyles"/>
              <w:rPr>
                <w:lang w:eastAsia="en-GB"/>
              </w:rPr>
            </w:pPr>
            <w:r w:rsidRPr="00C1603D">
              <w:rPr>
                <w:lang w:eastAsia="en-GB"/>
              </w:rPr>
              <w:t>5776</w:t>
            </w:r>
          </w:p>
        </w:tc>
        <w:tc>
          <w:tcPr>
            <w:tcW w:w="0" w:type="auto"/>
            <w:shd w:val="clear" w:color="auto" w:fill="auto"/>
          </w:tcPr>
          <w:p w14:paraId="736B3568" w14:textId="77777777" w:rsidR="008B4DF8" w:rsidRPr="00C1603D" w:rsidRDefault="008B4DF8" w:rsidP="0006475E">
            <w:pPr>
              <w:pStyle w:val="72TabletextTablesTableFigureBoxstyles"/>
              <w:rPr>
                <w:lang w:eastAsia="en-GB"/>
              </w:rPr>
            </w:pPr>
            <w:r w:rsidRPr="00C1603D">
              <w:rPr>
                <w:lang w:eastAsia="en-GB"/>
              </w:rPr>
              <w:t>12</w:t>
            </w:r>
          </w:p>
        </w:tc>
        <w:tc>
          <w:tcPr>
            <w:tcW w:w="0" w:type="auto"/>
            <w:shd w:val="clear" w:color="auto" w:fill="auto"/>
          </w:tcPr>
          <w:p w14:paraId="72ECC30D" w14:textId="77777777" w:rsidR="008B4DF8" w:rsidRPr="00C1603D" w:rsidRDefault="008B4DF8" w:rsidP="0006475E">
            <w:pPr>
              <w:pStyle w:val="72TabletextTablesTableFigureBoxstyles"/>
              <w:rPr>
                <w:lang w:eastAsia="en-GB"/>
              </w:rPr>
            </w:pPr>
            <w:r w:rsidRPr="00C1603D">
              <w:rPr>
                <w:lang w:eastAsia="en-GB"/>
              </w:rPr>
              <w:t>4124</w:t>
            </w:r>
          </w:p>
        </w:tc>
        <w:tc>
          <w:tcPr>
            <w:tcW w:w="0" w:type="auto"/>
            <w:shd w:val="clear" w:color="auto" w:fill="auto"/>
          </w:tcPr>
          <w:p w14:paraId="0003B5B3" w14:textId="74644F76" w:rsidR="008B4DF8" w:rsidRPr="00C1603D" w:rsidRDefault="008B4DF8" w:rsidP="0006475E">
            <w:pPr>
              <w:pStyle w:val="72TabletextTablesTableFigureBoxstyles"/>
              <w:rPr>
                <w:lang w:eastAsia="en-GB"/>
              </w:rPr>
            </w:pPr>
            <w:r w:rsidRPr="00C1603D">
              <w:rPr>
                <w:lang w:eastAsia="en-GB"/>
              </w:rPr>
              <w:t>88.2</w:t>
            </w:r>
          </w:p>
        </w:tc>
        <w:tc>
          <w:tcPr>
            <w:tcW w:w="0" w:type="auto"/>
            <w:shd w:val="clear" w:color="auto" w:fill="auto"/>
          </w:tcPr>
          <w:p w14:paraId="295E3DC4" w14:textId="47496883" w:rsidR="008B4DF8" w:rsidRPr="00C1603D" w:rsidRDefault="008B4DF8" w:rsidP="0006475E">
            <w:pPr>
              <w:pStyle w:val="72TabletextTablesTableFigureBoxstyles"/>
              <w:rPr>
                <w:lang w:eastAsia="en-GB"/>
              </w:rPr>
            </w:pPr>
            <w:r w:rsidRPr="00C1603D">
              <w:rPr>
                <w:lang w:eastAsia="en-GB"/>
              </w:rPr>
              <w:t>41.7</w:t>
            </w:r>
          </w:p>
        </w:tc>
        <w:tc>
          <w:tcPr>
            <w:tcW w:w="0" w:type="auto"/>
            <w:shd w:val="clear" w:color="auto" w:fill="auto"/>
          </w:tcPr>
          <w:p w14:paraId="1F74425A" w14:textId="663B5329" w:rsidR="008B4DF8" w:rsidRPr="00C1603D" w:rsidRDefault="008B4DF8" w:rsidP="0006475E">
            <w:pPr>
              <w:pStyle w:val="72TabletextTablesTableFigureBoxstyles"/>
              <w:rPr>
                <w:lang w:eastAsia="en-GB"/>
              </w:rPr>
            </w:pPr>
            <w:r w:rsidRPr="00C1603D">
              <w:rPr>
                <w:lang w:eastAsia="en-GB"/>
              </w:rPr>
              <w:t>99.7</w:t>
            </w:r>
          </w:p>
        </w:tc>
        <w:tc>
          <w:tcPr>
            <w:tcW w:w="0" w:type="auto"/>
            <w:shd w:val="clear" w:color="auto" w:fill="auto"/>
          </w:tcPr>
          <w:p w14:paraId="4A223632" w14:textId="77777777" w:rsidR="008B4DF8" w:rsidRPr="00C1603D" w:rsidRDefault="008B4DF8" w:rsidP="0006475E">
            <w:pPr>
              <w:pStyle w:val="72TabletextTablesTableFigureBoxstyles"/>
              <w:rPr>
                <w:lang w:eastAsia="en-GB"/>
              </w:rPr>
            </w:pPr>
            <w:r w:rsidRPr="00C1603D">
              <w:rPr>
                <w:lang w:eastAsia="en-GB"/>
              </w:rPr>
              <w:t>11.8</w:t>
            </w:r>
          </w:p>
        </w:tc>
      </w:tr>
      <w:tr w:rsidR="00C46323" w:rsidRPr="00C1603D" w14:paraId="075F833F" w14:textId="77777777" w:rsidTr="50A8A885">
        <w:trPr>
          <w:cantSplit/>
        </w:trPr>
        <w:tc>
          <w:tcPr>
            <w:tcW w:w="0" w:type="auto"/>
            <w:vMerge/>
          </w:tcPr>
          <w:p w14:paraId="39C388E9" w14:textId="77777777" w:rsidR="008B4DF8" w:rsidRPr="00C1603D" w:rsidRDefault="008B4DF8" w:rsidP="0006475E">
            <w:pPr>
              <w:pStyle w:val="72TabletextTablesTableFigureBoxstyles"/>
              <w:rPr>
                <w:lang w:eastAsia="en-GB"/>
              </w:rPr>
            </w:pPr>
          </w:p>
        </w:tc>
        <w:tc>
          <w:tcPr>
            <w:tcW w:w="0" w:type="auto"/>
            <w:shd w:val="clear" w:color="auto" w:fill="auto"/>
          </w:tcPr>
          <w:p w14:paraId="1D6826F1" w14:textId="2B0E0C90" w:rsidR="008B4DF8" w:rsidRPr="00C1603D" w:rsidRDefault="008B4DF8" w:rsidP="0006475E">
            <w:pPr>
              <w:pStyle w:val="72TabletextTablesTableFigureBoxstyles"/>
              <w:rPr>
                <w:lang w:eastAsia="en-GB"/>
              </w:rPr>
            </w:pPr>
            <w:r w:rsidRPr="00C1603D">
              <w:rPr>
                <w:lang w:eastAsia="en-GB"/>
              </w:rPr>
              <w:t>2</w:t>
            </w:r>
          </w:p>
        </w:tc>
        <w:tc>
          <w:tcPr>
            <w:tcW w:w="0" w:type="auto"/>
            <w:shd w:val="clear" w:color="auto" w:fill="auto"/>
          </w:tcPr>
          <w:p w14:paraId="3FAAAC4A" w14:textId="77777777" w:rsidR="008B4DF8" w:rsidRPr="00C1603D" w:rsidRDefault="008B4DF8" w:rsidP="0006475E">
            <w:pPr>
              <w:pStyle w:val="72TabletextTablesTableFigureBoxstyles"/>
              <w:rPr>
                <w:lang w:eastAsia="en-GB"/>
              </w:rPr>
            </w:pPr>
            <w:r w:rsidRPr="00C1603D">
              <w:t>0.0042</w:t>
            </w:r>
          </w:p>
        </w:tc>
        <w:tc>
          <w:tcPr>
            <w:tcW w:w="0" w:type="auto"/>
            <w:shd w:val="clear" w:color="auto" w:fill="auto"/>
          </w:tcPr>
          <w:p w14:paraId="11A06A54" w14:textId="77777777" w:rsidR="008B4DF8" w:rsidRPr="00C1603D" w:rsidRDefault="008B4DF8" w:rsidP="0006475E">
            <w:pPr>
              <w:pStyle w:val="72TabletextTablesTableFigureBoxstyles"/>
              <w:rPr>
                <w:lang w:eastAsia="en-GB"/>
              </w:rPr>
            </w:pPr>
            <w:r w:rsidRPr="00C1603D">
              <w:rPr>
                <w:lang w:eastAsia="en-GB"/>
              </w:rPr>
              <w:t>81</w:t>
            </w:r>
          </w:p>
        </w:tc>
        <w:tc>
          <w:tcPr>
            <w:tcW w:w="0" w:type="auto"/>
            <w:shd w:val="clear" w:color="auto" w:fill="auto"/>
          </w:tcPr>
          <w:p w14:paraId="521BCB04" w14:textId="77777777" w:rsidR="008B4DF8" w:rsidRPr="00C1603D" w:rsidRDefault="008B4DF8" w:rsidP="0006475E">
            <w:pPr>
              <w:pStyle w:val="72TabletextTablesTableFigureBoxstyles"/>
              <w:rPr>
                <w:lang w:eastAsia="en-GB"/>
              </w:rPr>
            </w:pPr>
            <w:r w:rsidRPr="00C1603D">
              <w:rPr>
                <w:lang w:eastAsia="en-GB"/>
              </w:rPr>
              <w:t>3865</w:t>
            </w:r>
          </w:p>
        </w:tc>
        <w:tc>
          <w:tcPr>
            <w:tcW w:w="0" w:type="auto"/>
            <w:shd w:val="clear" w:color="auto" w:fill="auto"/>
          </w:tcPr>
          <w:p w14:paraId="0F4842A1" w14:textId="77777777" w:rsidR="008B4DF8" w:rsidRPr="00C1603D" w:rsidRDefault="008B4DF8" w:rsidP="0006475E">
            <w:pPr>
              <w:pStyle w:val="72TabletextTablesTableFigureBoxstyles"/>
              <w:rPr>
                <w:lang w:eastAsia="en-GB"/>
              </w:rPr>
            </w:pPr>
            <w:r w:rsidRPr="00C1603D">
              <w:rPr>
                <w:lang w:eastAsia="en-GB"/>
              </w:rPr>
              <w:t>19</w:t>
            </w:r>
          </w:p>
        </w:tc>
        <w:tc>
          <w:tcPr>
            <w:tcW w:w="0" w:type="auto"/>
            <w:shd w:val="clear" w:color="auto" w:fill="auto"/>
          </w:tcPr>
          <w:p w14:paraId="6230DCB9" w14:textId="77777777" w:rsidR="008B4DF8" w:rsidRPr="00C1603D" w:rsidRDefault="008B4DF8" w:rsidP="0006475E">
            <w:pPr>
              <w:pStyle w:val="72TabletextTablesTableFigureBoxstyles"/>
              <w:rPr>
                <w:lang w:eastAsia="en-GB"/>
              </w:rPr>
            </w:pPr>
            <w:r w:rsidRPr="00C1603D">
              <w:rPr>
                <w:lang w:eastAsia="en-GB"/>
              </w:rPr>
              <w:t>6035</w:t>
            </w:r>
          </w:p>
        </w:tc>
        <w:tc>
          <w:tcPr>
            <w:tcW w:w="0" w:type="auto"/>
            <w:shd w:val="clear" w:color="auto" w:fill="auto"/>
          </w:tcPr>
          <w:p w14:paraId="079094EE" w14:textId="0CF2497A" w:rsidR="008B4DF8" w:rsidRPr="00C1603D" w:rsidRDefault="008B4DF8" w:rsidP="0006475E">
            <w:pPr>
              <w:pStyle w:val="72TabletextTablesTableFigureBoxstyles"/>
              <w:rPr>
                <w:lang w:eastAsia="en-GB"/>
              </w:rPr>
            </w:pPr>
            <w:r w:rsidRPr="00C1603D">
              <w:rPr>
                <w:lang w:eastAsia="en-GB"/>
              </w:rPr>
              <w:t>80.7</w:t>
            </w:r>
          </w:p>
        </w:tc>
        <w:tc>
          <w:tcPr>
            <w:tcW w:w="0" w:type="auto"/>
            <w:shd w:val="clear" w:color="auto" w:fill="auto"/>
          </w:tcPr>
          <w:p w14:paraId="50AE1B44" w14:textId="45F99148" w:rsidR="008B4DF8" w:rsidRPr="00C1603D" w:rsidRDefault="008B4DF8" w:rsidP="0006475E">
            <w:pPr>
              <w:pStyle w:val="72TabletextTablesTableFigureBoxstyles"/>
              <w:rPr>
                <w:lang w:eastAsia="en-GB"/>
              </w:rPr>
            </w:pPr>
            <w:r w:rsidRPr="00C1603D">
              <w:rPr>
                <w:lang w:eastAsia="en-GB"/>
              </w:rPr>
              <w:t>61.0</w:t>
            </w:r>
          </w:p>
        </w:tc>
        <w:tc>
          <w:tcPr>
            <w:tcW w:w="0" w:type="auto"/>
            <w:shd w:val="clear" w:color="auto" w:fill="auto"/>
          </w:tcPr>
          <w:p w14:paraId="4258F15F" w14:textId="12474755" w:rsidR="008B4DF8" w:rsidRPr="00C1603D" w:rsidRDefault="008B4DF8" w:rsidP="0006475E">
            <w:pPr>
              <w:pStyle w:val="72TabletextTablesTableFigureBoxstyles"/>
              <w:rPr>
                <w:lang w:eastAsia="en-GB"/>
              </w:rPr>
            </w:pPr>
            <w:r w:rsidRPr="00C1603D">
              <w:rPr>
                <w:lang w:eastAsia="en-GB"/>
              </w:rPr>
              <w:t>99.7</w:t>
            </w:r>
          </w:p>
        </w:tc>
        <w:tc>
          <w:tcPr>
            <w:tcW w:w="0" w:type="auto"/>
            <w:shd w:val="clear" w:color="auto" w:fill="auto"/>
          </w:tcPr>
          <w:p w14:paraId="6930920A" w14:textId="77777777" w:rsidR="008B4DF8" w:rsidRPr="00C1603D" w:rsidRDefault="008B4DF8" w:rsidP="0006475E">
            <w:pPr>
              <w:pStyle w:val="72TabletextTablesTableFigureBoxstyles"/>
              <w:rPr>
                <w:lang w:eastAsia="en-GB"/>
              </w:rPr>
            </w:pPr>
            <w:r w:rsidRPr="00C1603D">
              <w:rPr>
                <w:lang w:eastAsia="en-GB"/>
              </w:rPr>
              <w:t>19.3</w:t>
            </w:r>
          </w:p>
        </w:tc>
      </w:tr>
      <w:tr w:rsidR="00C46323" w:rsidRPr="00C1603D" w14:paraId="098BE01E" w14:textId="77777777" w:rsidTr="50A8A885">
        <w:trPr>
          <w:cantSplit/>
        </w:trPr>
        <w:tc>
          <w:tcPr>
            <w:tcW w:w="0" w:type="auto"/>
            <w:vMerge/>
          </w:tcPr>
          <w:p w14:paraId="763AB3CB" w14:textId="77777777" w:rsidR="008B4DF8" w:rsidRPr="00C1603D" w:rsidRDefault="008B4DF8" w:rsidP="0006475E">
            <w:pPr>
              <w:pStyle w:val="72TabletextTablesTableFigureBoxstyles"/>
              <w:rPr>
                <w:lang w:eastAsia="en-GB"/>
              </w:rPr>
            </w:pPr>
          </w:p>
        </w:tc>
        <w:tc>
          <w:tcPr>
            <w:tcW w:w="0" w:type="auto"/>
            <w:shd w:val="clear" w:color="auto" w:fill="auto"/>
          </w:tcPr>
          <w:p w14:paraId="45105D85" w14:textId="5504BFE3" w:rsidR="008B4DF8" w:rsidRPr="00C1603D" w:rsidRDefault="008B4DF8" w:rsidP="0006475E">
            <w:pPr>
              <w:pStyle w:val="72TabletextTablesTableFigureBoxstyles"/>
              <w:rPr>
                <w:lang w:eastAsia="en-GB"/>
              </w:rPr>
            </w:pPr>
            <w:r w:rsidRPr="00C1603D">
              <w:rPr>
                <w:lang w:eastAsia="en-GB"/>
              </w:rPr>
              <w:t>5</w:t>
            </w:r>
          </w:p>
        </w:tc>
        <w:tc>
          <w:tcPr>
            <w:tcW w:w="0" w:type="auto"/>
            <w:shd w:val="clear" w:color="auto" w:fill="auto"/>
          </w:tcPr>
          <w:p w14:paraId="1FE08B03" w14:textId="77777777" w:rsidR="008B4DF8" w:rsidRPr="00C1603D" w:rsidRDefault="008B4DF8" w:rsidP="0006475E">
            <w:pPr>
              <w:pStyle w:val="72TabletextTablesTableFigureBoxstyles"/>
              <w:rPr>
                <w:lang w:eastAsia="en-GB"/>
              </w:rPr>
            </w:pPr>
            <w:r w:rsidRPr="00C1603D">
              <w:t>0.0077</w:t>
            </w:r>
          </w:p>
        </w:tc>
        <w:tc>
          <w:tcPr>
            <w:tcW w:w="0" w:type="auto"/>
            <w:shd w:val="clear" w:color="auto" w:fill="auto"/>
          </w:tcPr>
          <w:p w14:paraId="0441C7D0" w14:textId="77777777" w:rsidR="008B4DF8" w:rsidRPr="00C1603D" w:rsidRDefault="008B4DF8" w:rsidP="0006475E">
            <w:pPr>
              <w:pStyle w:val="72TabletextTablesTableFigureBoxstyles"/>
              <w:rPr>
                <w:lang w:eastAsia="en-GB"/>
              </w:rPr>
            </w:pPr>
            <w:r w:rsidRPr="00C1603D">
              <w:rPr>
                <w:lang w:eastAsia="en-GB"/>
              </w:rPr>
              <w:t>67</w:t>
            </w:r>
          </w:p>
        </w:tc>
        <w:tc>
          <w:tcPr>
            <w:tcW w:w="0" w:type="auto"/>
            <w:shd w:val="clear" w:color="auto" w:fill="auto"/>
          </w:tcPr>
          <w:p w14:paraId="6A9B223E" w14:textId="77777777" w:rsidR="008B4DF8" w:rsidRPr="00C1603D" w:rsidRDefault="008B4DF8" w:rsidP="0006475E">
            <w:pPr>
              <w:pStyle w:val="72TabletextTablesTableFigureBoxstyles"/>
              <w:rPr>
                <w:lang w:eastAsia="en-GB"/>
              </w:rPr>
            </w:pPr>
            <w:r w:rsidRPr="00C1603D">
              <w:rPr>
                <w:lang w:eastAsia="en-GB"/>
              </w:rPr>
              <w:t>1271</w:t>
            </w:r>
          </w:p>
        </w:tc>
        <w:tc>
          <w:tcPr>
            <w:tcW w:w="0" w:type="auto"/>
            <w:shd w:val="clear" w:color="auto" w:fill="auto"/>
          </w:tcPr>
          <w:p w14:paraId="5C7DA0C1" w14:textId="77777777" w:rsidR="008B4DF8" w:rsidRPr="00C1603D" w:rsidRDefault="008B4DF8" w:rsidP="0006475E">
            <w:pPr>
              <w:pStyle w:val="72TabletextTablesTableFigureBoxstyles"/>
              <w:rPr>
                <w:lang w:eastAsia="en-GB"/>
              </w:rPr>
            </w:pPr>
            <w:r w:rsidRPr="00C1603D">
              <w:rPr>
                <w:lang w:eastAsia="en-GB"/>
              </w:rPr>
              <w:t>33</w:t>
            </w:r>
          </w:p>
        </w:tc>
        <w:tc>
          <w:tcPr>
            <w:tcW w:w="0" w:type="auto"/>
            <w:shd w:val="clear" w:color="auto" w:fill="auto"/>
          </w:tcPr>
          <w:p w14:paraId="5A8CEC18" w14:textId="77777777" w:rsidR="008B4DF8" w:rsidRPr="00C1603D" w:rsidRDefault="008B4DF8" w:rsidP="0006475E">
            <w:pPr>
              <w:pStyle w:val="72TabletextTablesTableFigureBoxstyles"/>
              <w:rPr>
                <w:lang w:eastAsia="en-GB"/>
              </w:rPr>
            </w:pPr>
            <w:r w:rsidRPr="00C1603D">
              <w:rPr>
                <w:lang w:eastAsia="en-GB"/>
              </w:rPr>
              <w:t>8629</w:t>
            </w:r>
          </w:p>
        </w:tc>
        <w:tc>
          <w:tcPr>
            <w:tcW w:w="0" w:type="auto"/>
            <w:shd w:val="clear" w:color="auto" w:fill="auto"/>
          </w:tcPr>
          <w:p w14:paraId="6B4A48B5" w14:textId="538848FE" w:rsidR="008B4DF8" w:rsidRPr="00C1603D" w:rsidRDefault="008B4DF8" w:rsidP="0006475E">
            <w:pPr>
              <w:pStyle w:val="72TabletextTablesTableFigureBoxstyles"/>
              <w:rPr>
                <w:lang w:eastAsia="en-GB"/>
              </w:rPr>
            </w:pPr>
            <w:r w:rsidRPr="00C1603D">
              <w:rPr>
                <w:lang w:eastAsia="en-GB"/>
              </w:rPr>
              <w:t>66.7</w:t>
            </w:r>
          </w:p>
        </w:tc>
        <w:tc>
          <w:tcPr>
            <w:tcW w:w="0" w:type="auto"/>
            <w:shd w:val="clear" w:color="auto" w:fill="auto"/>
          </w:tcPr>
          <w:p w14:paraId="1BD4287D" w14:textId="2E650C32" w:rsidR="008B4DF8" w:rsidRPr="00C1603D" w:rsidRDefault="008B4DF8" w:rsidP="0006475E">
            <w:pPr>
              <w:pStyle w:val="72TabletextTablesTableFigureBoxstyles"/>
              <w:rPr>
                <w:lang w:eastAsia="en-GB"/>
              </w:rPr>
            </w:pPr>
            <w:r w:rsidRPr="00C1603D">
              <w:rPr>
                <w:lang w:eastAsia="en-GB"/>
              </w:rPr>
              <w:t>87.2</w:t>
            </w:r>
          </w:p>
        </w:tc>
        <w:tc>
          <w:tcPr>
            <w:tcW w:w="0" w:type="auto"/>
            <w:shd w:val="clear" w:color="auto" w:fill="auto"/>
          </w:tcPr>
          <w:p w14:paraId="35220A12" w14:textId="75919E6C" w:rsidR="008B4DF8" w:rsidRPr="00C1603D" w:rsidRDefault="008B4DF8" w:rsidP="0006475E">
            <w:pPr>
              <w:pStyle w:val="72TabletextTablesTableFigureBoxstyles"/>
              <w:rPr>
                <w:lang w:eastAsia="en-GB"/>
              </w:rPr>
            </w:pPr>
            <w:r w:rsidRPr="00C1603D">
              <w:rPr>
                <w:lang w:eastAsia="en-GB"/>
              </w:rPr>
              <w:t>99.6</w:t>
            </w:r>
          </w:p>
        </w:tc>
        <w:tc>
          <w:tcPr>
            <w:tcW w:w="0" w:type="auto"/>
            <w:shd w:val="clear" w:color="auto" w:fill="auto"/>
          </w:tcPr>
          <w:p w14:paraId="75E91307" w14:textId="77777777" w:rsidR="008B4DF8" w:rsidRPr="00C1603D" w:rsidRDefault="008B4DF8" w:rsidP="0006475E">
            <w:pPr>
              <w:pStyle w:val="72TabletextTablesTableFigureBoxstyles"/>
              <w:rPr>
                <w:lang w:eastAsia="en-GB"/>
              </w:rPr>
            </w:pPr>
            <w:r w:rsidRPr="00C1603D">
              <w:rPr>
                <w:lang w:eastAsia="en-GB"/>
              </w:rPr>
              <w:t>33.3</w:t>
            </w:r>
          </w:p>
        </w:tc>
      </w:tr>
      <w:tr w:rsidR="00C46323" w:rsidRPr="00C1603D" w14:paraId="68012928" w14:textId="77777777" w:rsidTr="50A8A885">
        <w:trPr>
          <w:cantSplit/>
        </w:trPr>
        <w:tc>
          <w:tcPr>
            <w:tcW w:w="0" w:type="auto"/>
            <w:vMerge/>
          </w:tcPr>
          <w:p w14:paraId="56219A04" w14:textId="77777777" w:rsidR="008B4DF8" w:rsidRPr="00C1603D" w:rsidRDefault="008B4DF8" w:rsidP="0006475E">
            <w:pPr>
              <w:pStyle w:val="72TabletextTablesTableFigureBoxstyles"/>
              <w:rPr>
                <w:lang w:eastAsia="en-GB"/>
              </w:rPr>
            </w:pPr>
          </w:p>
        </w:tc>
        <w:tc>
          <w:tcPr>
            <w:tcW w:w="0" w:type="auto"/>
            <w:shd w:val="clear" w:color="auto" w:fill="auto"/>
          </w:tcPr>
          <w:p w14:paraId="621E715B" w14:textId="32423D8F" w:rsidR="008B4DF8" w:rsidRPr="00C1603D" w:rsidRDefault="008B4DF8" w:rsidP="0006475E">
            <w:pPr>
              <w:pStyle w:val="72TabletextTablesTableFigureBoxstyles"/>
              <w:rPr>
                <w:lang w:eastAsia="en-GB"/>
              </w:rPr>
            </w:pPr>
            <w:r w:rsidRPr="00C1603D">
              <w:rPr>
                <w:lang w:eastAsia="en-GB"/>
              </w:rPr>
              <w:t>10</w:t>
            </w:r>
          </w:p>
        </w:tc>
        <w:tc>
          <w:tcPr>
            <w:tcW w:w="0" w:type="auto"/>
            <w:shd w:val="clear" w:color="auto" w:fill="auto"/>
          </w:tcPr>
          <w:p w14:paraId="44EF8B19" w14:textId="77777777" w:rsidR="008B4DF8" w:rsidRPr="00C1603D" w:rsidRDefault="008B4DF8" w:rsidP="0006475E">
            <w:pPr>
              <w:pStyle w:val="72TabletextTablesTableFigureBoxstyles"/>
              <w:rPr>
                <w:lang w:eastAsia="en-GB"/>
              </w:rPr>
            </w:pPr>
            <w:r w:rsidRPr="00C1603D">
              <w:t>0.0170</w:t>
            </w:r>
          </w:p>
        </w:tc>
        <w:tc>
          <w:tcPr>
            <w:tcW w:w="0" w:type="auto"/>
            <w:shd w:val="clear" w:color="auto" w:fill="auto"/>
          </w:tcPr>
          <w:p w14:paraId="34B80C29" w14:textId="77777777" w:rsidR="008B4DF8" w:rsidRPr="00C1603D" w:rsidRDefault="008B4DF8" w:rsidP="0006475E">
            <w:pPr>
              <w:pStyle w:val="72TabletextTablesTableFigureBoxstyles"/>
              <w:rPr>
                <w:lang w:eastAsia="en-GB"/>
              </w:rPr>
            </w:pPr>
            <w:r w:rsidRPr="00C1603D">
              <w:rPr>
                <w:lang w:eastAsia="en-GB"/>
              </w:rPr>
              <w:t>53</w:t>
            </w:r>
          </w:p>
        </w:tc>
        <w:tc>
          <w:tcPr>
            <w:tcW w:w="0" w:type="auto"/>
            <w:shd w:val="clear" w:color="auto" w:fill="auto"/>
          </w:tcPr>
          <w:p w14:paraId="13B73EB7" w14:textId="77777777" w:rsidR="008B4DF8" w:rsidRPr="00C1603D" w:rsidRDefault="008B4DF8" w:rsidP="0006475E">
            <w:pPr>
              <w:pStyle w:val="72TabletextTablesTableFigureBoxstyles"/>
              <w:rPr>
                <w:lang w:eastAsia="en-GB"/>
              </w:rPr>
            </w:pPr>
            <w:r w:rsidRPr="00C1603D">
              <w:rPr>
                <w:lang w:eastAsia="en-GB"/>
              </w:rPr>
              <w:t>478</w:t>
            </w:r>
          </w:p>
        </w:tc>
        <w:tc>
          <w:tcPr>
            <w:tcW w:w="0" w:type="auto"/>
            <w:shd w:val="clear" w:color="auto" w:fill="auto"/>
          </w:tcPr>
          <w:p w14:paraId="77EDA055" w14:textId="77777777" w:rsidR="008B4DF8" w:rsidRPr="00C1603D" w:rsidRDefault="008B4DF8" w:rsidP="0006475E">
            <w:pPr>
              <w:pStyle w:val="72TabletextTablesTableFigureBoxstyles"/>
              <w:rPr>
                <w:lang w:eastAsia="en-GB"/>
              </w:rPr>
            </w:pPr>
            <w:r w:rsidRPr="00C1603D">
              <w:rPr>
                <w:lang w:eastAsia="en-GB"/>
              </w:rPr>
              <w:t>47</w:t>
            </w:r>
          </w:p>
        </w:tc>
        <w:tc>
          <w:tcPr>
            <w:tcW w:w="0" w:type="auto"/>
            <w:shd w:val="clear" w:color="auto" w:fill="auto"/>
          </w:tcPr>
          <w:p w14:paraId="722CE35F" w14:textId="77777777" w:rsidR="008B4DF8" w:rsidRPr="00C1603D" w:rsidRDefault="008B4DF8" w:rsidP="0006475E">
            <w:pPr>
              <w:pStyle w:val="72TabletextTablesTableFigureBoxstyles"/>
              <w:rPr>
                <w:lang w:eastAsia="en-GB"/>
              </w:rPr>
            </w:pPr>
            <w:r w:rsidRPr="00C1603D">
              <w:rPr>
                <w:lang w:eastAsia="en-GB"/>
              </w:rPr>
              <w:t>9422</w:t>
            </w:r>
          </w:p>
        </w:tc>
        <w:tc>
          <w:tcPr>
            <w:tcW w:w="0" w:type="auto"/>
            <w:shd w:val="clear" w:color="auto" w:fill="auto"/>
          </w:tcPr>
          <w:p w14:paraId="3F1BB583" w14:textId="6E778147" w:rsidR="008B4DF8" w:rsidRPr="00C1603D" w:rsidRDefault="008B4DF8" w:rsidP="0006475E">
            <w:pPr>
              <w:pStyle w:val="72TabletextTablesTableFigureBoxstyles"/>
              <w:rPr>
                <w:lang w:eastAsia="en-GB"/>
              </w:rPr>
            </w:pPr>
            <w:r w:rsidRPr="00C1603D">
              <w:rPr>
                <w:lang w:eastAsia="en-GB"/>
              </w:rPr>
              <w:t>53.3</w:t>
            </w:r>
          </w:p>
        </w:tc>
        <w:tc>
          <w:tcPr>
            <w:tcW w:w="0" w:type="auto"/>
            <w:shd w:val="clear" w:color="auto" w:fill="auto"/>
          </w:tcPr>
          <w:p w14:paraId="250F4220" w14:textId="79A77E4B" w:rsidR="008B4DF8" w:rsidRPr="00C1603D" w:rsidRDefault="008B4DF8" w:rsidP="0006475E">
            <w:pPr>
              <w:pStyle w:val="72TabletextTablesTableFigureBoxstyles"/>
              <w:rPr>
                <w:lang w:eastAsia="en-GB"/>
              </w:rPr>
            </w:pPr>
            <w:r w:rsidRPr="00C1603D">
              <w:rPr>
                <w:lang w:eastAsia="en-GB"/>
              </w:rPr>
              <w:t>95.2</w:t>
            </w:r>
          </w:p>
        </w:tc>
        <w:tc>
          <w:tcPr>
            <w:tcW w:w="0" w:type="auto"/>
            <w:shd w:val="clear" w:color="auto" w:fill="auto"/>
          </w:tcPr>
          <w:p w14:paraId="55688FCE" w14:textId="29A50D0A" w:rsidR="008B4DF8" w:rsidRPr="00C1603D" w:rsidRDefault="008B4DF8" w:rsidP="0006475E">
            <w:pPr>
              <w:pStyle w:val="72TabletextTablesTableFigureBoxstyles"/>
              <w:rPr>
                <w:lang w:eastAsia="en-GB"/>
              </w:rPr>
            </w:pPr>
            <w:r w:rsidRPr="00C1603D">
              <w:rPr>
                <w:lang w:eastAsia="en-GB"/>
              </w:rPr>
              <w:t>99.5</w:t>
            </w:r>
          </w:p>
        </w:tc>
        <w:tc>
          <w:tcPr>
            <w:tcW w:w="0" w:type="auto"/>
            <w:shd w:val="clear" w:color="auto" w:fill="auto"/>
          </w:tcPr>
          <w:p w14:paraId="2761A4EF" w14:textId="77777777" w:rsidR="008B4DF8" w:rsidRPr="00C1603D" w:rsidRDefault="008B4DF8" w:rsidP="0006475E">
            <w:pPr>
              <w:pStyle w:val="72TabletextTablesTableFigureBoxstyles"/>
              <w:rPr>
                <w:lang w:eastAsia="en-GB"/>
              </w:rPr>
            </w:pPr>
            <w:r w:rsidRPr="00C1603D">
              <w:rPr>
                <w:lang w:eastAsia="en-GB"/>
              </w:rPr>
              <w:t>46.7</w:t>
            </w:r>
          </w:p>
        </w:tc>
      </w:tr>
      <w:tr w:rsidR="00C46323" w:rsidRPr="00C1603D" w14:paraId="555573B9" w14:textId="77777777" w:rsidTr="50A8A885">
        <w:trPr>
          <w:cantSplit/>
        </w:trPr>
        <w:tc>
          <w:tcPr>
            <w:tcW w:w="0" w:type="auto"/>
            <w:vMerge/>
          </w:tcPr>
          <w:p w14:paraId="0F94D68D" w14:textId="77777777" w:rsidR="008B4DF8" w:rsidRPr="00C1603D" w:rsidRDefault="008B4DF8" w:rsidP="0006475E">
            <w:pPr>
              <w:pStyle w:val="72TabletextTablesTableFigureBoxstyles"/>
              <w:rPr>
                <w:lang w:eastAsia="en-GB"/>
              </w:rPr>
            </w:pPr>
          </w:p>
        </w:tc>
        <w:tc>
          <w:tcPr>
            <w:tcW w:w="0" w:type="auto"/>
            <w:shd w:val="clear" w:color="auto" w:fill="auto"/>
          </w:tcPr>
          <w:p w14:paraId="5BF78BBB" w14:textId="3240657A" w:rsidR="008B4DF8" w:rsidRPr="00C1603D" w:rsidRDefault="008B4DF8" w:rsidP="0006475E">
            <w:pPr>
              <w:pStyle w:val="72TabletextTablesTableFigureBoxstyles"/>
              <w:rPr>
                <w:lang w:eastAsia="en-GB"/>
              </w:rPr>
            </w:pPr>
            <w:r w:rsidRPr="00C1603D">
              <w:rPr>
                <w:lang w:eastAsia="en-GB"/>
              </w:rPr>
              <w:t>20</w:t>
            </w:r>
          </w:p>
        </w:tc>
        <w:tc>
          <w:tcPr>
            <w:tcW w:w="0" w:type="auto"/>
            <w:shd w:val="clear" w:color="auto" w:fill="auto"/>
          </w:tcPr>
          <w:p w14:paraId="42B85ABA" w14:textId="77777777" w:rsidR="008B4DF8" w:rsidRPr="00C1603D" w:rsidRDefault="008B4DF8" w:rsidP="0006475E">
            <w:pPr>
              <w:pStyle w:val="72TabletextTablesTableFigureBoxstyles"/>
              <w:rPr>
                <w:lang w:eastAsia="en-GB"/>
              </w:rPr>
            </w:pPr>
            <w:r w:rsidRPr="00C1603D">
              <w:t>0.0800</w:t>
            </w:r>
          </w:p>
        </w:tc>
        <w:tc>
          <w:tcPr>
            <w:tcW w:w="0" w:type="auto"/>
            <w:shd w:val="clear" w:color="auto" w:fill="auto"/>
          </w:tcPr>
          <w:p w14:paraId="357D6A96" w14:textId="77777777" w:rsidR="008B4DF8" w:rsidRPr="00C1603D" w:rsidRDefault="008B4DF8" w:rsidP="0006475E">
            <w:pPr>
              <w:pStyle w:val="72TabletextTablesTableFigureBoxstyles"/>
              <w:rPr>
                <w:lang w:eastAsia="en-GB"/>
              </w:rPr>
            </w:pPr>
            <w:r w:rsidRPr="00C1603D">
              <w:rPr>
                <w:lang w:eastAsia="en-GB"/>
              </w:rPr>
              <w:t>33</w:t>
            </w:r>
          </w:p>
        </w:tc>
        <w:tc>
          <w:tcPr>
            <w:tcW w:w="0" w:type="auto"/>
            <w:shd w:val="clear" w:color="auto" w:fill="auto"/>
          </w:tcPr>
          <w:p w14:paraId="276ECE3E" w14:textId="77777777" w:rsidR="008B4DF8" w:rsidRPr="00C1603D" w:rsidRDefault="008B4DF8" w:rsidP="0006475E">
            <w:pPr>
              <w:pStyle w:val="72TabletextTablesTableFigureBoxstyles"/>
              <w:rPr>
                <w:lang w:eastAsia="en-GB"/>
              </w:rPr>
            </w:pPr>
            <w:r w:rsidRPr="00C1603D">
              <w:rPr>
                <w:lang w:eastAsia="en-GB"/>
              </w:rPr>
              <w:t>129</w:t>
            </w:r>
          </w:p>
        </w:tc>
        <w:tc>
          <w:tcPr>
            <w:tcW w:w="0" w:type="auto"/>
            <w:shd w:val="clear" w:color="auto" w:fill="auto"/>
          </w:tcPr>
          <w:p w14:paraId="60EADA84" w14:textId="77777777" w:rsidR="008B4DF8" w:rsidRPr="00C1603D" w:rsidRDefault="008B4DF8" w:rsidP="0006475E">
            <w:pPr>
              <w:pStyle w:val="72TabletextTablesTableFigureBoxstyles"/>
              <w:rPr>
                <w:lang w:eastAsia="en-GB"/>
              </w:rPr>
            </w:pPr>
            <w:r w:rsidRPr="00C1603D">
              <w:rPr>
                <w:lang w:eastAsia="en-GB"/>
              </w:rPr>
              <w:t>67</w:t>
            </w:r>
          </w:p>
        </w:tc>
        <w:tc>
          <w:tcPr>
            <w:tcW w:w="0" w:type="auto"/>
            <w:shd w:val="clear" w:color="auto" w:fill="auto"/>
          </w:tcPr>
          <w:p w14:paraId="2CCDEA6C" w14:textId="77777777" w:rsidR="008B4DF8" w:rsidRPr="00C1603D" w:rsidRDefault="008B4DF8" w:rsidP="0006475E">
            <w:pPr>
              <w:pStyle w:val="72TabletextTablesTableFigureBoxstyles"/>
              <w:rPr>
                <w:lang w:eastAsia="en-GB"/>
              </w:rPr>
            </w:pPr>
            <w:r w:rsidRPr="00C1603D">
              <w:rPr>
                <w:lang w:eastAsia="en-GB"/>
              </w:rPr>
              <w:t>9771</w:t>
            </w:r>
          </w:p>
        </w:tc>
        <w:tc>
          <w:tcPr>
            <w:tcW w:w="0" w:type="auto"/>
            <w:shd w:val="clear" w:color="auto" w:fill="auto"/>
          </w:tcPr>
          <w:p w14:paraId="72A6FD5C" w14:textId="3BF213F9" w:rsidR="008B4DF8" w:rsidRPr="00C1603D" w:rsidRDefault="008B4DF8" w:rsidP="0006475E">
            <w:pPr>
              <w:pStyle w:val="72TabletextTablesTableFigureBoxstyles"/>
              <w:rPr>
                <w:lang w:eastAsia="en-GB"/>
              </w:rPr>
            </w:pPr>
            <w:r w:rsidRPr="00C1603D">
              <w:rPr>
                <w:lang w:eastAsia="en-GB"/>
              </w:rPr>
              <w:t>33.1</w:t>
            </w:r>
          </w:p>
        </w:tc>
        <w:tc>
          <w:tcPr>
            <w:tcW w:w="0" w:type="auto"/>
            <w:shd w:val="clear" w:color="auto" w:fill="auto"/>
          </w:tcPr>
          <w:p w14:paraId="0B52A13F" w14:textId="50F4FB0B" w:rsidR="008B4DF8" w:rsidRPr="00C1603D" w:rsidRDefault="008B4DF8" w:rsidP="0006475E">
            <w:pPr>
              <w:pStyle w:val="72TabletextTablesTableFigureBoxstyles"/>
              <w:rPr>
                <w:lang w:eastAsia="en-GB"/>
              </w:rPr>
            </w:pPr>
            <w:r w:rsidRPr="00C1603D">
              <w:rPr>
                <w:lang w:eastAsia="en-GB"/>
              </w:rPr>
              <w:t>98.7</w:t>
            </w:r>
          </w:p>
        </w:tc>
        <w:tc>
          <w:tcPr>
            <w:tcW w:w="0" w:type="auto"/>
            <w:shd w:val="clear" w:color="auto" w:fill="auto"/>
          </w:tcPr>
          <w:p w14:paraId="7C0093DF" w14:textId="614FA8B0" w:rsidR="008B4DF8" w:rsidRPr="00C1603D" w:rsidRDefault="008B4DF8" w:rsidP="0006475E">
            <w:pPr>
              <w:pStyle w:val="72TabletextTablesTableFigureBoxstyles"/>
              <w:rPr>
                <w:lang w:eastAsia="en-GB"/>
              </w:rPr>
            </w:pPr>
            <w:r w:rsidRPr="00C1603D">
              <w:rPr>
                <w:lang w:eastAsia="en-GB"/>
              </w:rPr>
              <w:t>99.3</w:t>
            </w:r>
          </w:p>
        </w:tc>
        <w:tc>
          <w:tcPr>
            <w:tcW w:w="0" w:type="auto"/>
            <w:shd w:val="clear" w:color="auto" w:fill="auto"/>
          </w:tcPr>
          <w:p w14:paraId="3D35D5BC" w14:textId="77777777" w:rsidR="008B4DF8" w:rsidRPr="00C1603D" w:rsidRDefault="008B4DF8" w:rsidP="0006475E">
            <w:pPr>
              <w:pStyle w:val="72TabletextTablesTableFigureBoxstyles"/>
              <w:rPr>
                <w:lang w:eastAsia="en-GB"/>
              </w:rPr>
            </w:pPr>
            <w:r w:rsidRPr="00C1603D">
              <w:rPr>
                <w:lang w:eastAsia="en-GB"/>
              </w:rPr>
              <w:t>66.9</w:t>
            </w:r>
          </w:p>
        </w:tc>
      </w:tr>
      <w:tr w:rsidR="00C46323" w:rsidRPr="00C1603D" w14:paraId="2A0DF743" w14:textId="77777777" w:rsidTr="0006475E">
        <w:trPr>
          <w:cantSplit/>
        </w:trPr>
        <w:tc>
          <w:tcPr>
            <w:tcW w:w="0" w:type="auto"/>
            <w:vMerge w:val="restart"/>
            <w:shd w:val="clear" w:color="auto" w:fill="auto"/>
          </w:tcPr>
          <w:p w14:paraId="4A4565A9" w14:textId="77777777" w:rsidR="008B4DF8" w:rsidRPr="00C1603D" w:rsidRDefault="008B4DF8" w:rsidP="0006475E">
            <w:pPr>
              <w:pStyle w:val="72TabletextTablesTableFigureBoxstyles"/>
              <w:rPr>
                <w:lang w:eastAsia="en-GB"/>
              </w:rPr>
            </w:pPr>
            <w:r w:rsidRPr="00C1603D">
              <w:rPr>
                <w:lang w:eastAsia="en-GB"/>
              </w:rPr>
              <w:t>Women</w:t>
            </w:r>
          </w:p>
        </w:tc>
        <w:tc>
          <w:tcPr>
            <w:tcW w:w="0" w:type="auto"/>
            <w:shd w:val="clear" w:color="auto" w:fill="auto"/>
          </w:tcPr>
          <w:p w14:paraId="6359DBFC" w14:textId="6B81BA95" w:rsidR="008B4DF8" w:rsidRPr="00C1603D" w:rsidRDefault="008B4DF8" w:rsidP="0006475E">
            <w:pPr>
              <w:pStyle w:val="72TabletextTablesTableFigureBoxstyles"/>
              <w:rPr>
                <w:lang w:eastAsia="en-GB"/>
              </w:rPr>
            </w:pPr>
            <w:r w:rsidRPr="00C1603D">
              <w:rPr>
                <w:lang w:eastAsia="en-GB"/>
              </w:rPr>
              <w:t>1</w:t>
            </w:r>
          </w:p>
        </w:tc>
        <w:tc>
          <w:tcPr>
            <w:tcW w:w="0" w:type="auto"/>
            <w:shd w:val="clear" w:color="auto" w:fill="auto"/>
          </w:tcPr>
          <w:p w14:paraId="0959395A"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3EF9ED44" w14:textId="77777777" w:rsidR="008B4DF8" w:rsidRPr="00C1603D" w:rsidRDefault="008B4DF8" w:rsidP="0006475E">
            <w:pPr>
              <w:pStyle w:val="72TabletextTablesTableFigureBoxstyles"/>
              <w:rPr>
                <w:lang w:eastAsia="en-GB"/>
              </w:rPr>
            </w:pPr>
            <w:r w:rsidRPr="00C1603D">
              <w:rPr>
                <w:lang w:eastAsia="en-GB"/>
              </w:rPr>
              <w:t>100</w:t>
            </w:r>
          </w:p>
        </w:tc>
        <w:tc>
          <w:tcPr>
            <w:tcW w:w="0" w:type="auto"/>
            <w:shd w:val="clear" w:color="auto" w:fill="auto"/>
          </w:tcPr>
          <w:p w14:paraId="15100CB1" w14:textId="77777777" w:rsidR="008B4DF8" w:rsidRPr="00C1603D" w:rsidRDefault="008B4DF8" w:rsidP="0006475E">
            <w:pPr>
              <w:pStyle w:val="72TabletextTablesTableFigureBoxstyles"/>
              <w:rPr>
                <w:lang w:eastAsia="en-GB"/>
              </w:rPr>
            </w:pPr>
            <w:r w:rsidRPr="00C1603D">
              <w:rPr>
                <w:lang w:eastAsia="en-GB"/>
              </w:rPr>
              <w:t>9900</w:t>
            </w:r>
          </w:p>
        </w:tc>
        <w:tc>
          <w:tcPr>
            <w:tcW w:w="0" w:type="auto"/>
            <w:shd w:val="clear" w:color="auto" w:fill="auto"/>
          </w:tcPr>
          <w:p w14:paraId="23C3A49D"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238EEB5C"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3CE7F779" w14:textId="48076405" w:rsidR="008B4DF8" w:rsidRPr="00C1603D" w:rsidRDefault="008B4DF8" w:rsidP="0006475E">
            <w:pPr>
              <w:pStyle w:val="72TabletextTablesTableFigureBoxstyles"/>
              <w:rPr>
                <w:lang w:eastAsia="en-GB"/>
              </w:rPr>
            </w:pPr>
            <w:r w:rsidRPr="00C1603D">
              <w:rPr>
                <w:lang w:eastAsia="en-GB"/>
              </w:rPr>
              <w:t>100.0</w:t>
            </w:r>
          </w:p>
        </w:tc>
        <w:tc>
          <w:tcPr>
            <w:tcW w:w="0" w:type="auto"/>
            <w:shd w:val="clear" w:color="auto" w:fill="auto"/>
          </w:tcPr>
          <w:p w14:paraId="2A0DA8A3" w14:textId="5E94E5DD" w:rsidR="008B4DF8" w:rsidRPr="00C1603D" w:rsidRDefault="008B4DF8" w:rsidP="0006475E">
            <w:pPr>
              <w:pStyle w:val="72TabletextTablesTableFigureBoxstyles"/>
              <w:rPr>
                <w:lang w:eastAsia="en-GB"/>
              </w:rPr>
            </w:pPr>
            <w:r w:rsidRPr="00C1603D">
              <w:rPr>
                <w:lang w:eastAsia="en-GB"/>
              </w:rPr>
              <w:t>0.0</w:t>
            </w:r>
          </w:p>
        </w:tc>
        <w:tc>
          <w:tcPr>
            <w:tcW w:w="0" w:type="auto"/>
            <w:shd w:val="clear" w:color="auto" w:fill="auto"/>
          </w:tcPr>
          <w:p w14:paraId="690B3A39" w14:textId="77777777" w:rsidR="008B4DF8" w:rsidRPr="00C1603D" w:rsidRDefault="008B4DF8" w:rsidP="0006475E">
            <w:pPr>
              <w:pStyle w:val="72TabletextTablesTableFigureBoxstyles"/>
              <w:rPr>
                <w:lang w:eastAsia="en-GB"/>
              </w:rPr>
            </w:pPr>
            <w:r w:rsidRPr="00C1603D">
              <w:rPr>
                <w:lang w:eastAsia="en-GB"/>
              </w:rPr>
              <w:t>NA</w:t>
            </w:r>
          </w:p>
        </w:tc>
        <w:tc>
          <w:tcPr>
            <w:tcW w:w="0" w:type="auto"/>
            <w:shd w:val="clear" w:color="auto" w:fill="auto"/>
          </w:tcPr>
          <w:p w14:paraId="6EC581B5" w14:textId="77777777" w:rsidR="008B4DF8" w:rsidRPr="00C1603D" w:rsidRDefault="008B4DF8" w:rsidP="0006475E">
            <w:pPr>
              <w:pStyle w:val="72TabletextTablesTableFigureBoxstyles"/>
              <w:rPr>
                <w:lang w:eastAsia="en-GB"/>
              </w:rPr>
            </w:pPr>
            <w:r w:rsidRPr="00C1603D">
              <w:rPr>
                <w:lang w:eastAsia="en-GB"/>
              </w:rPr>
              <w:t>0</w:t>
            </w:r>
          </w:p>
        </w:tc>
      </w:tr>
      <w:tr w:rsidR="00C46323" w:rsidRPr="00C1603D" w14:paraId="349F26FE" w14:textId="77777777" w:rsidTr="50A8A885">
        <w:trPr>
          <w:cantSplit/>
        </w:trPr>
        <w:tc>
          <w:tcPr>
            <w:tcW w:w="0" w:type="auto"/>
            <w:vMerge/>
          </w:tcPr>
          <w:p w14:paraId="74D39E94" w14:textId="77777777" w:rsidR="008B4DF8" w:rsidRPr="00C1603D" w:rsidRDefault="008B4DF8" w:rsidP="0006475E">
            <w:pPr>
              <w:pStyle w:val="72TabletextTablesTableFigureBoxstyles"/>
              <w:rPr>
                <w:lang w:eastAsia="en-GB"/>
              </w:rPr>
            </w:pPr>
          </w:p>
        </w:tc>
        <w:tc>
          <w:tcPr>
            <w:tcW w:w="0" w:type="auto"/>
            <w:shd w:val="clear" w:color="auto" w:fill="auto"/>
          </w:tcPr>
          <w:p w14:paraId="75777A6A" w14:textId="6ADFC7FC" w:rsidR="008B4DF8" w:rsidRPr="00C1603D" w:rsidRDefault="008B4DF8" w:rsidP="0006475E">
            <w:pPr>
              <w:pStyle w:val="72TabletextTablesTableFigureBoxstyles"/>
              <w:rPr>
                <w:lang w:eastAsia="en-GB"/>
              </w:rPr>
            </w:pPr>
            <w:r w:rsidRPr="00C1603D">
              <w:rPr>
                <w:lang w:eastAsia="en-GB"/>
              </w:rPr>
              <w:t>1.5</w:t>
            </w:r>
          </w:p>
        </w:tc>
        <w:tc>
          <w:tcPr>
            <w:tcW w:w="0" w:type="auto"/>
            <w:shd w:val="clear" w:color="auto" w:fill="auto"/>
          </w:tcPr>
          <w:p w14:paraId="03A02F05" w14:textId="77777777" w:rsidR="008B4DF8" w:rsidRPr="00C1603D" w:rsidRDefault="008B4DF8" w:rsidP="0006475E">
            <w:pPr>
              <w:pStyle w:val="72TabletextTablesTableFigureBoxstyles"/>
              <w:rPr>
                <w:lang w:eastAsia="en-GB"/>
              </w:rPr>
            </w:pPr>
            <w:r w:rsidRPr="00C1603D">
              <w:t>0.0053</w:t>
            </w:r>
          </w:p>
        </w:tc>
        <w:tc>
          <w:tcPr>
            <w:tcW w:w="0" w:type="auto"/>
            <w:shd w:val="clear" w:color="auto" w:fill="auto"/>
          </w:tcPr>
          <w:p w14:paraId="333885B2" w14:textId="77777777" w:rsidR="008B4DF8" w:rsidRPr="00C1603D" w:rsidRDefault="008B4DF8" w:rsidP="0006475E">
            <w:pPr>
              <w:pStyle w:val="72TabletextTablesTableFigureBoxstyles"/>
              <w:rPr>
                <w:lang w:eastAsia="en-GB"/>
              </w:rPr>
            </w:pPr>
            <w:r w:rsidRPr="00C1603D">
              <w:rPr>
                <w:lang w:eastAsia="en-GB"/>
              </w:rPr>
              <w:t>84</w:t>
            </w:r>
          </w:p>
        </w:tc>
        <w:tc>
          <w:tcPr>
            <w:tcW w:w="0" w:type="auto"/>
            <w:shd w:val="clear" w:color="auto" w:fill="auto"/>
          </w:tcPr>
          <w:p w14:paraId="1A6DBDF5" w14:textId="77777777" w:rsidR="008B4DF8" w:rsidRPr="00C1603D" w:rsidRDefault="008B4DF8" w:rsidP="0006475E">
            <w:pPr>
              <w:pStyle w:val="72TabletextTablesTableFigureBoxstyles"/>
              <w:rPr>
                <w:lang w:eastAsia="en-GB"/>
              </w:rPr>
            </w:pPr>
            <w:r w:rsidRPr="00C1603D">
              <w:rPr>
                <w:lang w:eastAsia="en-GB"/>
              </w:rPr>
              <w:t>5468</w:t>
            </w:r>
          </w:p>
        </w:tc>
        <w:tc>
          <w:tcPr>
            <w:tcW w:w="0" w:type="auto"/>
            <w:shd w:val="clear" w:color="auto" w:fill="auto"/>
          </w:tcPr>
          <w:p w14:paraId="7F1D0DA2" w14:textId="77777777" w:rsidR="008B4DF8" w:rsidRPr="00C1603D" w:rsidRDefault="008B4DF8" w:rsidP="0006475E">
            <w:pPr>
              <w:pStyle w:val="72TabletextTablesTableFigureBoxstyles"/>
              <w:rPr>
                <w:lang w:eastAsia="en-GB"/>
              </w:rPr>
            </w:pPr>
            <w:r w:rsidRPr="00C1603D">
              <w:rPr>
                <w:lang w:eastAsia="en-GB"/>
              </w:rPr>
              <w:t>16</w:t>
            </w:r>
          </w:p>
        </w:tc>
        <w:tc>
          <w:tcPr>
            <w:tcW w:w="0" w:type="auto"/>
            <w:shd w:val="clear" w:color="auto" w:fill="auto"/>
          </w:tcPr>
          <w:p w14:paraId="18A0F172" w14:textId="77777777" w:rsidR="008B4DF8" w:rsidRPr="00C1603D" w:rsidRDefault="008B4DF8" w:rsidP="0006475E">
            <w:pPr>
              <w:pStyle w:val="72TabletextTablesTableFigureBoxstyles"/>
              <w:rPr>
                <w:lang w:eastAsia="en-GB"/>
              </w:rPr>
            </w:pPr>
            <w:r w:rsidRPr="00C1603D">
              <w:rPr>
                <w:lang w:eastAsia="en-GB"/>
              </w:rPr>
              <w:t>4432</w:t>
            </w:r>
          </w:p>
        </w:tc>
        <w:tc>
          <w:tcPr>
            <w:tcW w:w="0" w:type="auto"/>
            <w:shd w:val="clear" w:color="auto" w:fill="auto"/>
          </w:tcPr>
          <w:p w14:paraId="715B63F9" w14:textId="11432528" w:rsidR="008B4DF8" w:rsidRPr="00C1603D" w:rsidRDefault="008B4DF8" w:rsidP="0006475E">
            <w:pPr>
              <w:pStyle w:val="72TabletextTablesTableFigureBoxstyles"/>
              <w:rPr>
                <w:lang w:eastAsia="en-GB"/>
              </w:rPr>
            </w:pPr>
            <w:r w:rsidRPr="00C1603D">
              <w:rPr>
                <w:lang w:eastAsia="en-GB"/>
              </w:rPr>
              <w:t>84.1</w:t>
            </w:r>
          </w:p>
        </w:tc>
        <w:tc>
          <w:tcPr>
            <w:tcW w:w="0" w:type="auto"/>
            <w:shd w:val="clear" w:color="auto" w:fill="auto"/>
          </w:tcPr>
          <w:p w14:paraId="5A17452F" w14:textId="57F52926" w:rsidR="008B4DF8" w:rsidRPr="00C1603D" w:rsidRDefault="008B4DF8" w:rsidP="0006475E">
            <w:pPr>
              <w:pStyle w:val="72TabletextTablesTableFigureBoxstyles"/>
              <w:rPr>
                <w:lang w:eastAsia="en-GB"/>
              </w:rPr>
            </w:pPr>
            <w:r w:rsidRPr="00C1603D">
              <w:rPr>
                <w:lang w:eastAsia="en-GB"/>
              </w:rPr>
              <w:t>44.8</w:t>
            </w:r>
          </w:p>
        </w:tc>
        <w:tc>
          <w:tcPr>
            <w:tcW w:w="0" w:type="auto"/>
            <w:shd w:val="clear" w:color="auto" w:fill="auto"/>
          </w:tcPr>
          <w:p w14:paraId="49C6147C" w14:textId="73388ACA" w:rsidR="008B4DF8" w:rsidRPr="00C1603D" w:rsidRDefault="008B4DF8" w:rsidP="0006475E">
            <w:pPr>
              <w:pStyle w:val="72TabletextTablesTableFigureBoxstyles"/>
              <w:rPr>
                <w:lang w:eastAsia="en-GB"/>
              </w:rPr>
            </w:pPr>
            <w:r w:rsidRPr="00C1603D">
              <w:rPr>
                <w:lang w:eastAsia="en-GB"/>
              </w:rPr>
              <w:t>99.6</w:t>
            </w:r>
          </w:p>
        </w:tc>
        <w:tc>
          <w:tcPr>
            <w:tcW w:w="0" w:type="auto"/>
            <w:shd w:val="clear" w:color="auto" w:fill="auto"/>
          </w:tcPr>
          <w:p w14:paraId="4F0CAEEA" w14:textId="77777777" w:rsidR="008B4DF8" w:rsidRPr="00C1603D" w:rsidRDefault="008B4DF8" w:rsidP="0006475E">
            <w:pPr>
              <w:pStyle w:val="72TabletextTablesTableFigureBoxstyles"/>
              <w:rPr>
                <w:lang w:eastAsia="en-GB"/>
              </w:rPr>
            </w:pPr>
            <w:r w:rsidRPr="00C1603D">
              <w:rPr>
                <w:lang w:eastAsia="en-GB"/>
              </w:rPr>
              <w:t>15.9</w:t>
            </w:r>
          </w:p>
        </w:tc>
      </w:tr>
      <w:tr w:rsidR="00C46323" w:rsidRPr="00C1603D" w14:paraId="099F8D3C" w14:textId="77777777" w:rsidTr="50A8A885">
        <w:trPr>
          <w:cantSplit/>
        </w:trPr>
        <w:tc>
          <w:tcPr>
            <w:tcW w:w="0" w:type="auto"/>
            <w:vMerge/>
          </w:tcPr>
          <w:p w14:paraId="58A7ABE6" w14:textId="77777777" w:rsidR="008B4DF8" w:rsidRPr="00C1603D" w:rsidRDefault="008B4DF8" w:rsidP="0006475E">
            <w:pPr>
              <w:pStyle w:val="72TabletextTablesTableFigureBoxstyles"/>
              <w:rPr>
                <w:lang w:eastAsia="en-GB"/>
              </w:rPr>
            </w:pPr>
          </w:p>
        </w:tc>
        <w:tc>
          <w:tcPr>
            <w:tcW w:w="0" w:type="auto"/>
            <w:shd w:val="clear" w:color="auto" w:fill="auto"/>
          </w:tcPr>
          <w:p w14:paraId="337A774A" w14:textId="2607F114" w:rsidR="008B4DF8" w:rsidRPr="00C1603D" w:rsidRDefault="008B4DF8" w:rsidP="0006475E">
            <w:pPr>
              <w:pStyle w:val="72TabletextTablesTableFigureBoxstyles"/>
              <w:rPr>
                <w:lang w:eastAsia="en-GB"/>
              </w:rPr>
            </w:pPr>
            <w:r w:rsidRPr="00C1603D">
              <w:rPr>
                <w:lang w:eastAsia="en-GB"/>
              </w:rPr>
              <w:t>2</w:t>
            </w:r>
          </w:p>
        </w:tc>
        <w:tc>
          <w:tcPr>
            <w:tcW w:w="0" w:type="auto"/>
            <w:shd w:val="clear" w:color="auto" w:fill="auto"/>
          </w:tcPr>
          <w:p w14:paraId="7C3F1876" w14:textId="77777777" w:rsidR="008B4DF8" w:rsidRPr="00C1603D" w:rsidRDefault="008B4DF8" w:rsidP="0006475E">
            <w:pPr>
              <w:pStyle w:val="72TabletextTablesTableFigureBoxstyles"/>
              <w:rPr>
                <w:lang w:eastAsia="en-GB"/>
              </w:rPr>
            </w:pPr>
            <w:r w:rsidRPr="00C1603D">
              <w:t>0.0062</w:t>
            </w:r>
          </w:p>
        </w:tc>
        <w:tc>
          <w:tcPr>
            <w:tcW w:w="0" w:type="auto"/>
            <w:shd w:val="clear" w:color="auto" w:fill="auto"/>
          </w:tcPr>
          <w:p w14:paraId="1B9A6B1E" w14:textId="77777777" w:rsidR="008B4DF8" w:rsidRPr="00C1603D" w:rsidRDefault="008B4DF8" w:rsidP="0006475E">
            <w:pPr>
              <w:pStyle w:val="72TabletextTablesTableFigureBoxstyles"/>
              <w:rPr>
                <w:lang w:eastAsia="en-GB"/>
              </w:rPr>
            </w:pPr>
            <w:r w:rsidRPr="00C1603D">
              <w:rPr>
                <w:lang w:eastAsia="en-GB"/>
              </w:rPr>
              <w:t>76</w:t>
            </w:r>
          </w:p>
        </w:tc>
        <w:tc>
          <w:tcPr>
            <w:tcW w:w="0" w:type="auto"/>
            <w:shd w:val="clear" w:color="auto" w:fill="auto"/>
          </w:tcPr>
          <w:p w14:paraId="0E0C284E" w14:textId="77777777" w:rsidR="008B4DF8" w:rsidRPr="00C1603D" w:rsidRDefault="008B4DF8" w:rsidP="0006475E">
            <w:pPr>
              <w:pStyle w:val="72TabletextTablesTableFigureBoxstyles"/>
              <w:rPr>
                <w:lang w:eastAsia="en-GB"/>
              </w:rPr>
            </w:pPr>
            <w:r w:rsidRPr="00C1603D">
              <w:rPr>
                <w:lang w:eastAsia="en-GB"/>
              </w:rPr>
              <w:t>3687</w:t>
            </w:r>
          </w:p>
        </w:tc>
        <w:tc>
          <w:tcPr>
            <w:tcW w:w="0" w:type="auto"/>
            <w:shd w:val="clear" w:color="auto" w:fill="auto"/>
          </w:tcPr>
          <w:p w14:paraId="0372F9FA" w14:textId="77777777" w:rsidR="008B4DF8" w:rsidRPr="00C1603D" w:rsidRDefault="008B4DF8" w:rsidP="0006475E">
            <w:pPr>
              <w:pStyle w:val="72TabletextTablesTableFigureBoxstyles"/>
              <w:rPr>
                <w:lang w:eastAsia="en-GB"/>
              </w:rPr>
            </w:pPr>
            <w:r w:rsidRPr="00C1603D">
              <w:rPr>
                <w:lang w:eastAsia="en-GB"/>
              </w:rPr>
              <w:t>24</w:t>
            </w:r>
          </w:p>
        </w:tc>
        <w:tc>
          <w:tcPr>
            <w:tcW w:w="0" w:type="auto"/>
            <w:shd w:val="clear" w:color="auto" w:fill="auto"/>
          </w:tcPr>
          <w:p w14:paraId="6CECA3CA" w14:textId="77777777" w:rsidR="008B4DF8" w:rsidRPr="00C1603D" w:rsidRDefault="008B4DF8" w:rsidP="0006475E">
            <w:pPr>
              <w:pStyle w:val="72TabletextTablesTableFigureBoxstyles"/>
              <w:rPr>
                <w:lang w:eastAsia="en-GB"/>
              </w:rPr>
            </w:pPr>
            <w:r w:rsidRPr="00C1603D">
              <w:rPr>
                <w:lang w:eastAsia="en-GB"/>
              </w:rPr>
              <w:t>6213</w:t>
            </w:r>
          </w:p>
        </w:tc>
        <w:tc>
          <w:tcPr>
            <w:tcW w:w="0" w:type="auto"/>
            <w:shd w:val="clear" w:color="auto" w:fill="auto"/>
          </w:tcPr>
          <w:p w14:paraId="4D547085" w14:textId="5B316E7A" w:rsidR="008B4DF8" w:rsidRPr="00C1603D" w:rsidRDefault="008B4DF8" w:rsidP="0006475E">
            <w:pPr>
              <w:pStyle w:val="72TabletextTablesTableFigureBoxstyles"/>
              <w:rPr>
                <w:lang w:eastAsia="en-GB"/>
              </w:rPr>
            </w:pPr>
            <w:r w:rsidRPr="00C1603D">
              <w:rPr>
                <w:lang w:eastAsia="en-GB"/>
              </w:rPr>
              <w:t>75.8</w:t>
            </w:r>
          </w:p>
        </w:tc>
        <w:tc>
          <w:tcPr>
            <w:tcW w:w="0" w:type="auto"/>
            <w:shd w:val="clear" w:color="auto" w:fill="auto"/>
          </w:tcPr>
          <w:p w14:paraId="3B6D8D23" w14:textId="12682B58" w:rsidR="008B4DF8" w:rsidRPr="00C1603D" w:rsidRDefault="008B4DF8" w:rsidP="0006475E">
            <w:pPr>
              <w:pStyle w:val="72TabletextTablesTableFigureBoxstyles"/>
              <w:rPr>
                <w:lang w:eastAsia="en-GB"/>
              </w:rPr>
            </w:pPr>
            <w:r w:rsidRPr="00C1603D">
              <w:rPr>
                <w:lang w:eastAsia="en-GB"/>
              </w:rPr>
              <w:t>62.8</w:t>
            </w:r>
          </w:p>
        </w:tc>
        <w:tc>
          <w:tcPr>
            <w:tcW w:w="0" w:type="auto"/>
            <w:shd w:val="clear" w:color="auto" w:fill="auto"/>
          </w:tcPr>
          <w:p w14:paraId="74CC43FD" w14:textId="41538D76" w:rsidR="008B4DF8" w:rsidRPr="00C1603D" w:rsidRDefault="008B4DF8" w:rsidP="0006475E">
            <w:pPr>
              <w:pStyle w:val="72TabletextTablesTableFigureBoxstyles"/>
              <w:rPr>
                <w:lang w:eastAsia="en-GB"/>
              </w:rPr>
            </w:pPr>
            <w:r w:rsidRPr="00C1603D">
              <w:rPr>
                <w:lang w:eastAsia="en-GB"/>
              </w:rPr>
              <w:t>99.6</w:t>
            </w:r>
          </w:p>
        </w:tc>
        <w:tc>
          <w:tcPr>
            <w:tcW w:w="0" w:type="auto"/>
            <w:shd w:val="clear" w:color="auto" w:fill="auto"/>
          </w:tcPr>
          <w:p w14:paraId="5B593DAA" w14:textId="77777777" w:rsidR="008B4DF8" w:rsidRPr="00C1603D" w:rsidRDefault="008B4DF8" w:rsidP="0006475E">
            <w:pPr>
              <w:pStyle w:val="72TabletextTablesTableFigureBoxstyles"/>
              <w:rPr>
                <w:lang w:eastAsia="en-GB"/>
              </w:rPr>
            </w:pPr>
            <w:r w:rsidRPr="00C1603D">
              <w:rPr>
                <w:lang w:eastAsia="en-GB"/>
              </w:rPr>
              <w:t>24.2</w:t>
            </w:r>
          </w:p>
        </w:tc>
      </w:tr>
      <w:tr w:rsidR="00C46323" w:rsidRPr="00C1603D" w14:paraId="6F59DC8D" w14:textId="77777777" w:rsidTr="50A8A885">
        <w:trPr>
          <w:cantSplit/>
        </w:trPr>
        <w:tc>
          <w:tcPr>
            <w:tcW w:w="0" w:type="auto"/>
            <w:vMerge/>
          </w:tcPr>
          <w:p w14:paraId="48F9EE8B" w14:textId="77777777" w:rsidR="008B4DF8" w:rsidRPr="00C1603D" w:rsidRDefault="008B4DF8" w:rsidP="0006475E">
            <w:pPr>
              <w:pStyle w:val="72TabletextTablesTableFigureBoxstyles"/>
              <w:rPr>
                <w:lang w:eastAsia="en-GB"/>
              </w:rPr>
            </w:pPr>
          </w:p>
        </w:tc>
        <w:tc>
          <w:tcPr>
            <w:tcW w:w="0" w:type="auto"/>
            <w:shd w:val="clear" w:color="auto" w:fill="auto"/>
          </w:tcPr>
          <w:p w14:paraId="374129BB" w14:textId="19B860B6" w:rsidR="008B4DF8" w:rsidRPr="00C1603D" w:rsidRDefault="008B4DF8" w:rsidP="0006475E">
            <w:pPr>
              <w:pStyle w:val="72TabletextTablesTableFigureBoxstyles"/>
              <w:rPr>
                <w:lang w:eastAsia="en-GB"/>
              </w:rPr>
            </w:pPr>
            <w:r w:rsidRPr="00C1603D">
              <w:rPr>
                <w:lang w:eastAsia="en-GB"/>
              </w:rPr>
              <w:t>5</w:t>
            </w:r>
          </w:p>
        </w:tc>
        <w:tc>
          <w:tcPr>
            <w:tcW w:w="0" w:type="auto"/>
            <w:shd w:val="clear" w:color="auto" w:fill="auto"/>
          </w:tcPr>
          <w:p w14:paraId="59EABF9A" w14:textId="77777777" w:rsidR="008B4DF8" w:rsidRPr="00C1603D" w:rsidRDefault="008B4DF8" w:rsidP="0006475E">
            <w:pPr>
              <w:pStyle w:val="72TabletextTablesTableFigureBoxstyles"/>
              <w:rPr>
                <w:lang w:eastAsia="en-GB"/>
              </w:rPr>
            </w:pPr>
            <w:r w:rsidRPr="00C1603D">
              <w:t>0.0233</w:t>
            </w:r>
          </w:p>
        </w:tc>
        <w:tc>
          <w:tcPr>
            <w:tcW w:w="0" w:type="auto"/>
            <w:shd w:val="clear" w:color="auto" w:fill="auto"/>
          </w:tcPr>
          <w:p w14:paraId="1DC55A87" w14:textId="77777777" w:rsidR="008B4DF8" w:rsidRPr="00C1603D" w:rsidRDefault="008B4DF8" w:rsidP="0006475E">
            <w:pPr>
              <w:pStyle w:val="72TabletextTablesTableFigureBoxstyles"/>
              <w:rPr>
                <w:lang w:eastAsia="en-GB"/>
              </w:rPr>
            </w:pPr>
            <w:r w:rsidRPr="00C1603D">
              <w:rPr>
                <w:lang w:eastAsia="en-GB"/>
              </w:rPr>
              <w:t>39</w:t>
            </w:r>
          </w:p>
        </w:tc>
        <w:tc>
          <w:tcPr>
            <w:tcW w:w="0" w:type="auto"/>
            <w:shd w:val="clear" w:color="auto" w:fill="auto"/>
          </w:tcPr>
          <w:p w14:paraId="372EAFE1" w14:textId="77777777" w:rsidR="008B4DF8" w:rsidRPr="00C1603D" w:rsidRDefault="008B4DF8" w:rsidP="0006475E">
            <w:pPr>
              <w:pStyle w:val="72TabletextTablesTableFigureBoxstyles"/>
              <w:rPr>
                <w:lang w:eastAsia="en-GB"/>
              </w:rPr>
            </w:pPr>
            <w:r w:rsidRPr="00C1603D">
              <w:rPr>
                <w:lang w:eastAsia="en-GB"/>
              </w:rPr>
              <w:t>731</w:t>
            </w:r>
          </w:p>
        </w:tc>
        <w:tc>
          <w:tcPr>
            <w:tcW w:w="0" w:type="auto"/>
            <w:shd w:val="clear" w:color="auto" w:fill="auto"/>
          </w:tcPr>
          <w:p w14:paraId="151E257B" w14:textId="77777777" w:rsidR="008B4DF8" w:rsidRPr="00C1603D" w:rsidRDefault="008B4DF8" w:rsidP="0006475E">
            <w:pPr>
              <w:pStyle w:val="72TabletextTablesTableFigureBoxstyles"/>
              <w:rPr>
                <w:lang w:eastAsia="en-GB"/>
              </w:rPr>
            </w:pPr>
            <w:r w:rsidRPr="00C1603D">
              <w:rPr>
                <w:lang w:eastAsia="en-GB"/>
              </w:rPr>
              <w:t>61</w:t>
            </w:r>
          </w:p>
        </w:tc>
        <w:tc>
          <w:tcPr>
            <w:tcW w:w="0" w:type="auto"/>
            <w:shd w:val="clear" w:color="auto" w:fill="auto"/>
          </w:tcPr>
          <w:p w14:paraId="409091E3" w14:textId="77777777" w:rsidR="008B4DF8" w:rsidRPr="00C1603D" w:rsidRDefault="008B4DF8" w:rsidP="0006475E">
            <w:pPr>
              <w:pStyle w:val="72TabletextTablesTableFigureBoxstyles"/>
              <w:rPr>
                <w:lang w:eastAsia="en-GB"/>
              </w:rPr>
            </w:pPr>
            <w:r w:rsidRPr="00C1603D">
              <w:rPr>
                <w:lang w:eastAsia="en-GB"/>
              </w:rPr>
              <w:t>9169</w:t>
            </w:r>
          </w:p>
        </w:tc>
        <w:tc>
          <w:tcPr>
            <w:tcW w:w="0" w:type="auto"/>
            <w:shd w:val="clear" w:color="auto" w:fill="auto"/>
          </w:tcPr>
          <w:p w14:paraId="05397FC5" w14:textId="3D66AE13" w:rsidR="008B4DF8" w:rsidRPr="00C1603D" w:rsidRDefault="008B4DF8" w:rsidP="0006475E">
            <w:pPr>
              <w:pStyle w:val="72TabletextTablesTableFigureBoxstyles"/>
              <w:rPr>
                <w:lang w:eastAsia="en-GB"/>
              </w:rPr>
            </w:pPr>
            <w:r w:rsidRPr="00C1603D">
              <w:rPr>
                <w:lang w:eastAsia="en-GB"/>
              </w:rPr>
              <w:t>38.7</w:t>
            </w:r>
          </w:p>
        </w:tc>
        <w:tc>
          <w:tcPr>
            <w:tcW w:w="0" w:type="auto"/>
            <w:shd w:val="clear" w:color="auto" w:fill="auto"/>
          </w:tcPr>
          <w:p w14:paraId="09E754ED" w14:textId="2730F050" w:rsidR="008B4DF8" w:rsidRPr="00C1603D" w:rsidRDefault="008B4DF8" w:rsidP="0006475E">
            <w:pPr>
              <w:pStyle w:val="72TabletextTablesTableFigureBoxstyles"/>
              <w:rPr>
                <w:lang w:eastAsia="en-GB"/>
              </w:rPr>
            </w:pPr>
            <w:r w:rsidRPr="00C1603D">
              <w:rPr>
                <w:lang w:eastAsia="en-GB"/>
              </w:rPr>
              <w:t>92.6</w:t>
            </w:r>
          </w:p>
        </w:tc>
        <w:tc>
          <w:tcPr>
            <w:tcW w:w="0" w:type="auto"/>
            <w:shd w:val="clear" w:color="auto" w:fill="auto"/>
          </w:tcPr>
          <w:p w14:paraId="0AB1CFF5" w14:textId="1B7FE5A3" w:rsidR="008B4DF8" w:rsidRPr="00C1603D" w:rsidRDefault="008B4DF8" w:rsidP="0006475E">
            <w:pPr>
              <w:pStyle w:val="72TabletextTablesTableFigureBoxstyles"/>
              <w:rPr>
                <w:lang w:eastAsia="en-GB"/>
              </w:rPr>
            </w:pPr>
            <w:r w:rsidRPr="00C1603D">
              <w:rPr>
                <w:lang w:eastAsia="en-GB"/>
              </w:rPr>
              <w:t>99.3</w:t>
            </w:r>
          </w:p>
        </w:tc>
        <w:tc>
          <w:tcPr>
            <w:tcW w:w="0" w:type="auto"/>
            <w:shd w:val="clear" w:color="auto" w:fill="auto"/>
          </w:tcPr>
          <w:p w14:paraId="6283A4E5" w14:textId="77777777" w:rsidR="008B4DF8" w:rsidRPr="00C1603D" w:rsidRDefault="008B4DF8" w:rsidP="0006475E">
            <w:pPr>
              <w:pStyle w:val="72TabletextTablesTableFigureBoxstyles"/>
              <w:rPr>
                <w:lang w:eastAsia="en-GB"/>
              </w:rPr>
            </w:pPr>
            <w:r w:rsidRPr="00C1603D">
              <w:rPr>
                <w:lang w:eastAsia="en-GB"/>
              </w:rPr>
              <w:t>61.3</w:t>
            </w:r>
          </w:p>
        </w:tc>
      </w:tr>
      <w:tr w:rsidR="00C46323" w:rsidRPr="00C1603D" w14:paraId="4DE272FE" w14:textId="77777777" w:rsidTr="50A8A885">
        <w:trPr>
          <w:cantSplit/>
        </w:trPr>
        <w:tc>
          <w:tcPr>
            <w:tcW w:w="0" w:type="auto"/>
            <w:vMerge/>
          </w:tcPr>
          <w:p w14:paraId="656EF49F" w14:textId="77777777" w:rsidR="008B4DF8" w:rsidRPr="00C1603D" w:rsidRDefault="008B4DF8" w:rsidP="0006475E">
            <w:pPr>
              <w:pStyle w:val="72TabletextTablesTableFigureBoxstyles"/>
              <w:rPr>
                <w:lang w:eastAsia="en-GB"/>
              </w:rPr>
            </w:pPr>
          </w:p>
        </w:tc>
        <w:tc>
          <w:tcPr>
            <w:tcW w:w="0" w:type="auto"/>
            <w:shd w:val="clear" w:color="auto" w:fill="auto"/>
          </w:tcPr>
          <w:p w14:paraId="6CAB6B13" w14:textId="5162F4CB" w:rsidR="008B4DF8" w:rsidRPr="00C1603D" w:rsidRDefault="008B4DF8" w:rsidP="0006475E">
            <w:pPr>
              <w:pStyle w:val="72TabletextTablesTableFigureBoxstyles"/>
              <w:rPr>
                <w:lang w:eastAsia="en-GB"/>
              </w:rPr>
            </w:pPr>
            <w:r w:rsidRPr="00C1603D">
              <w:rPr>
                <w:lang w:eastAsia="en-GB"/>
              </w:rPr>
              <w:t>10</w:t>
            </w:r>
          </w:p>
        </w:tc>
        <w:tc>
          <w:tcPr>
            <w:tcW w:w="0" w:type="auto"/>
            <w:shd w:val="clear" w:color="auto" w:fill="auto"/>
          </w:tcPr>
          <w:p w14:paraId="0737A6A6" w14:textId="77777777" w:rsidR="008B4DF8" w:rsidRPr="00C1603D" w:rsidRDefault="008B4DF8" w:rsidP="0006475E">
            <w:pPr>
              <w:pStyle w:val="72TabletextTablesTableFigureBoxstyles"/>
              <w:rPr>
                <w:lang w:eastAsia="en-GB"/>
              </w:rPr>
            </w:pPr>
            <w:r w:rsidRPr="00C1603D">
              <w:t>0.1070</w:t>
            </w:r>
          </w:p>
        </w:tc>
        <w:tc>
          <w:tcPr>
            <w:tcW w:w="0" w:type="auto"/>
            <w:shd w:val="clear" w:color="auto" w:fill="auto"/>
          </w:tcPr>
          <w:p w14:paraId="7D00F3C3" w14:textId="77777777" w:rsidR="008B4DF8" w:rsidRPr="00C1603D" w:rsidRDefault="008B4DF8" w:rsidP="0006475E">
            <w:pPr>
              <w:pStyle w:val="72TabletextTablesTableFigureBoxstyles"/>
              <w:rPr>
                <w:lang w:eastAsia="en-GB"/>
              </w:rPr>
            </w:pPr>
            <w:r w:rsidRPr="00C1603D">
              <w:rPr>
                <w:lang w:eastAsia="en-GB"/>
              </w:rPr>
              <w:t>11</w:t>
            </w:r>
          </w:p>
        </w:tc>
        <w:tc>
          <w:tcPr>
            <w:tcW w:w="0" w:type="auto"/>
            <w:shd w:val="clear" w:color="auto" w:fill="auto"/>
          </w:tcPr>
          <w:p w14:paraId="2894684B" w14:textId="77777777" w:rsidR="008B4DF8" w:rsidRPr="00C1603D" w:rsidRDefault="008B4DF8" w:rsidP="0006475E">
            <w:pPr>
              <w:pStyle w:val="72TabletextTablesTableFigureBoxstyles"/>
              <w:rPr>
                <w:lang w:eastAsia="en-GB"/>
              </w:rPr>
            </w:pPr>
            <w:r w:rsidRPr="00C1603D">
              <w:rPr>
                <w:lang w:eastAsia="en-GB"/>
              </w:rPr>
              <w:t>96</w:t>
            </w:r>
          </w:p>
        </w:tc>
        <w:tc>
          <w:tcPr>
            <w:tcW w:w="0" w:type="auto"/>
            <w:shd w:val="clear" w:color="auto" w:fill="auto"/>
          </w:tcPr>
          <w:p w14:paraId="6071C0D0" w14:textId="77777777" w:rsidR="008B4DF8" w:rsidRPr="00C1603D" w:rsidRDefault="008B4DF8" w:rsidP="0006475E">
            <w:pPr>
              <w:pStyle w:val="72TabletextTablesTableFigureBoxstyles"/>
              <w:rPr>
                <w:lang w:eastAsia="en-GB"/>
              </w:rPr>
            </w:pPr>
            <w:r w:rsidRPr="00C1603D">
              <w:rPr>
                <w:lang w:eastAsia="en-GB"/>
              </w:rPr>
              <w:t>89</w:t>
            </w:r>
          </w:p>
        </w:tc>
        <w:tc>
          <w:tcPr>
            <w:tcW w:w="0" w:type="auto"/>
            <w:shd w:val="clear" w:color="auto" w:fill="auto"/>
          </w:tcPr>
          <w:p w14:paraId="06FED4EA" w14:textId="77777777" w:rsidR="008B4DF8" w:rsidRPr="00C1603D" w:rsidRDefault="008B4DF8" w:rsidP="0006475E">
            <w:pPr>
              <w:pStyle w:val="72TabletextTablesTableFigureBoxstyles"/>
              <w:rPr>
                <w:lang w:eastAsia="en-GB"/>
              </w:rPr>
            </w:pPr>
            <w:r w:rsidRPr="00C1603D">
              <w:rPr>
                <w:lang w:eastAsia="en-GB"/>
              </w:rPr>
              <w:t>9804</w:t>
            </w:r>
          </w:p>
        </w:tc>
        <w:tc>
          <w:tcPr>
            <w:tcW w:w="0" w:type="auto"/>
            <w:shd w:val="clear" w:color="auto" w:fill="auto"/>
          </w:tcPr>
          <w:p w14:paraId="793AD751" w14:textId="14995703" w:rsidR="008B4DF8" w:rsidRPr="00C1603D" w:rsidRDefault="008B4DF8" w:rsidP="0006475E">
            <w:pPr>
              <w:pStyle w:val="72TabletextTablesTableFigureBoxstyles"/>
              <w:rPr>
                <w:lang w:eastAsia="en-GB"/>
              </w:rPr>
            </w:pPr>
            <w:r w:rsidRPr="00C1603D">
              <w:rPr>
                <w:lang w:eastAsia="en-GB"/>
              </w:rPr>
              <w:t>10.7</w:t>
            </w:r>
          </w:p>
        </w:tc>
        <w:tc>
          <w:tcPr>
            <w:tcW w:w="0" w:type="auto"/>
            <w:shd w:val="clear" w:color="auto" w:fill="auto"/>
          </w:tcPr>
          <w:p w14:paraId="6163351C" w14:textId="59ABDBCA" w:rsidR="008B4DF8" w:rsidRPr="00C1603D" w:rsidRDefault="008B4DF8" w:rsidP="0006475E">
            <w:pPr>
              <w:pStyle w:val="72TabletextTablesTableFigureBoxstyles"/>
              <w:rPr>
                <w:lang w:eastAsia="en-GB"/>
              </w:rPr>
            </w:pPr>
            <w:r w:rsidRPr="00C1603D">
              <w:rPr>
                <w:lang w:eastAsia="en-GB"/>
              </w:rPr>
              <w:t>99.0</w:t>
            </w:r>
          </w:p>
        </w:tc>
        <w:tc>
          <w:tcPr>
            <w:tcW w:w="0" w:type="auto"/>
            <w:shd w:val="clear" w:color="auto" w:fill="auto"/>
          </w:tcPr>
          <w:p w14:paraId="35F96896" w14:textId="311BBC16" w:rsidR="008B4DF8" w:rsidRPr="00C1603D" w:rsidRDefault="008B4DF8" w:rsidP="0006475E">
            <w:pPr>
              <w:pStyle w:val="72TabletextTablesTableFigureBoxstyles"/>
              <w:rPr>
                <w:lang w:eastAsia="en-GB"/>
              </w:rPr>
            </w:pPr>
            <w:r w:rsidRPr="00C1603D">
              <w:rPr>
                <w:lang w:eastAsia="en-GB"/>
              </w:rPr>
              <w:t>99.1</w:t>
            </w:r>
          </w:p>
        </w:tc>
        <w:tc>
          <w:tcPr>
            <w:tcW w:w="0" w:type="auto"/>
            <w:shd w:val="clear" w:color="auto" w:fill="auto"/>
          </w:tcPr>
          <w:p w14:paraId="3C2E0E2C" w14:textId="77777777" w:rsidR="008B4DF8" w:rsidRPr="00C1603D" w:rsidRDefault="008B4DF8" w:rsidP="0006475E">
            <w:pPr>
              <w:pStyle w:val="72TabletextTablesTableFigureBoxstyles"/>
              <w:rPr>
                <w:lang w:eastAsia="en-GB"/>
              </w:rPr>
            </w:pPr>
            <w:r w:rsidRPr="00C1603D">
              <w:rPr>
                <w:lang w:eastAsia="en-GB"/>
              </w:rPr>
              <w:t>89.3</w:t>
            </w:r>
          </w:p>
        </w:tc>
      </w:tr>
      <w:tr w:rsidR="00C46323" w:rsidRPr="00C1603D" w14:paraId="6B86B269" w14:textId="77777777" w:rsidTr="50A8A885">
        <w:trPr>
          <w:cantSplit/>
        </w:trPr>
        <w:tc>
          <w:tcPr>
            <w:tcW w:w="0" w:type="auto"/>
            <w:vMerge/>
          </w:tcPr>
          <w:p w14:paraId="03625F48" w14:textId="77777777" w:rsidR="008B4DF8" w:rsidRPr="00C1603D" w:rsidRDefault="008B4DF8" w:rsidP="0006475E">
            <w:pPr>
              <w:pStyle w:val="72TabletextTablesTableFigureBoxstyles"/>
              <w:rPr>
                <w:lang w:eastAsia="en-GB"/>
              </w:rPr>
            </w:pPr>
          </w:p>
        </w:tc>
        <w:tc>
          <w:tcPr>
            <w:tcW w:w="0" w:type="auto"/>
            <w:shd w:val="clear" w:color="auto" w:fill="auto"/>
          </w:tcPr>
          <w:p w14:paraId="6FEDFAEF" w14:textId="5C55DEF2" w:rsidR="008B4DF8" w:rsidRPr="00C1603D" w:rsidRDefault="008B4DF8" w:rsidP="0006475E">
            <w:pPr>
              <w:pStyle w:val="72TabletextTablesTableFigureBoxstyles"/>
              <w:rPr>
                <w:lang w:eastAsia="en-GB"/>
              </w:rPr>
            </w:pPr>
            <w:r w:rsidRPr="00C1603D">
              <w:rPr>
                <w:lang w:eastAsia="en-GB"/>
              </w:rPr>
              <w:t>20</w:t>
            </w:r>
          </w:p>
        </w:tc>
        <w:tc>
          <w:tcPr>
            <w:tcW w:w="0" w:type="auto"/>
            <w:shd w:val="clear" w:color="auto" w:fill="auto"/>
          </w:tcPr>
          <w:p w14:paraId="17C0A25B" w14:textId="77777777" w:rsidR="008B4DF8" w:rsidRPr="00C1603D" w:rsidRDefault="008B4DF8" w:rsidP="0006475E">
            <w:pPr>
              <w:pStyle w:val="72TabletextTablesTableFigureBoxstyles"/>
              <w:rPr>
                <w:lang w:eastAsia="en-GB"/>
              </w:rPr>
            </w:pPr>
            <w:r w:rsidRPr="00C1603D">
              <w:t>0.7550</w:t>
            </w:r>
          </w:p>
        </w:tc>
        <w:tc>
          <w:tcPr>
            <w:tcW w:w="0" w:type="auto"/>
            <w:shd w:val="clear" w:color="auto" w:fill="auto"/>
          </w:tcPr>
          <w:p w14:paraId="54213687"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1935BF19" w14:textId="77777777" w:rsidR="008B4DF8" w:rsidRPr="00C1603D" w:rsidRDefault="008B4DF8" w:rsidP="0006475E">
            <w:pPr>
              <w:pStyle w:val="72TabletextTablesTableFigureBoxstyles"/>
              <w:rPr>
                <w:lang w:eastAsia="en-GB"/>
              </w:rPr>
            </w:pPr>
            <w:r w:rsidRPr="00C1603D">
              <w:rPr>
                <w:lang w:eastAsia="en-GB"/>
              </w:rPr>
              <w:t>1</w:t>
            </w:r>
          </w:p>
        </w:tc>
        <w:tc>
          <w:tcPr>
            <w:tcW w:w="0" w:type="auto"/>
            <w:shd w:val="clear" w:color="auto" w:fill="auto"/>
          </w:tcPr>
          <w:p w14:paraId="3DF0E4B2" w14:textId="77777777" w:rsidR="008B4DF8" w:rsidRPr="00C1603D" w:rsidRDefault="008B4DF8" w:rsidP="0006475E">
            <w:pPr>
              <w:pStyle w:val="72TabletextTablesTableFigureBoxstyles"/>
              <w:rPr>
                <w:lang w:eastAsia="en-GB"/>
              </w:rPr>
            </w:pPr>
            <w:r w:rsidRPr="00C1603D">
              <w:rPr>
                <w:lang w:eastAsia="en-GB"/>
              </w:rPr>
              <w:t>100</w:t>
            </w:r>
          </w:p>
        </w:tc>
        <w:tc>
          <w:tcPr>
            <w:tcW w:w="0" w:type="auto"/>
            <w:shd w:val="clear" w:color="auto" w:fill="auto"/>
          </w:tcPr>
          <w:p w14:paraId="5D82467F" w14:textId="77777777" w:rsidR="008B4DF8" w:rsidRPr="00C1603D" w:rsidRDefault="008B4DF8" w:rsidP="0006475E">
            <w:pPr>
              <w:pStyle w:val="72TabletextTablesTableFigureBoxstyles"/>
              <w:rPr>
                <w:lang w:eastAsia="en-GB"/>
              </w:rPr>
            </w:pPr>
            <w:r w:rsidRPr="00C1603D">
              <w:rPr>
                <w:lang w:eastAsia="en-GB"/>
              </w:rPr>
              <w:t>9899</w:t>
            </w:r>
          </w:p>
        </w:tc>
        <w:tc>
          <w:tcPr>
            <w:tcW w:w="0" w:type="auto"/>
            <w:shd w:val="clear" w:color="auto" w:fill="auto"/>
          </w:tcPr>
          <w:p w14:paraId="69D75B10" w14:textId="100B5A75" w:rsidR="008B4DF8" w:rsidRPr="00C1603D" w:rsidRDefault="008B4DF8" w:rsidP="0006475E">
            <w:pPr>
              <w:pStyle w:val="72TabletextTablesTableFigureBoxstyles"/>
              <w:rPr>
                <w:lang w:eastAsia="en-GB"/>
              </w:rPr>
            </w:pPr>
            <w:r w:rsidRPr="00C1603D">
              <w:rPr>
                <w:lang w:eastAsia="en-GB"/>
              </w:rPr>
              <w:t>0.2</w:t>
            </w:r>
          </w:p>
        </w:tc>
        <w:tc>
          <w:tcPr>
            <w:tcW w:w="0" w:type="auto"/>
            <w:shd w:val="clear" w:color="auto" w:fill="auto"/>
          </w:tcPr>
          <w:p w14:paraId="05CD685B" w14:textId="1E99F267" w:rsidR="008B4DF8" w:rsidRPr="00C1603D" w:rsidRDefault="008B4DF8" w:rsidP="0006475E">
            <w:pPr>
              <w:pStyle w:val="72TabletextTablesTableFigureBoxstyles"/>
              <w:rPr>
                <w:lang w:eastAsia="en-GB"/>
              </w:rPr>
            </w:pPr>
            <w:r w:rsidRPr="00C1603D">
              <w:rPr>
                <w:lang w:eastAsia="en-GB"/>
              </w:rPr>
              <w:t>100.0</w:t>
            </w:r>
          </w:p>
        </w:tc>
        <w:tc>
          <w:tcPr>
            <w:tcW w:w="0" w:type="auto"/>
            <w:shd w:val="clear" w:color="auto" w:fill="auto"/>
          </w:tcPr>
          <w:p w14:paraId="342921FB" w14:textId="12F5203A" w:rsidR="008B4DF8" w:rsidRPr="00C1603D" w:rsidRDefault="008B4DF8" w:rsidP="0006475E">
            <w:pPr>
              <w:pStyle w:val="72TabletextTablesTableFigureBoxstyles"/>
              <w:rPr>
                <w:lang w:eastAsia="en-GB"/>
              </w:rPr>
            </w:pPr>
            <w:r w:rsidRPr="00C1603D">
              <w:rPr>
                <w:lang w:eastAsia="en-GB"/>
              </w:rPr>
              <w:t>99.0</w:t>
            </w:r>
          </w:p>
        </w:tc>
        <w:tc>
          <w:tcPr>
            <w:tcW w:w="0" w:type="auto"/>
            <w:shd w:val="clear" w:color="auto" w:fill="auto"/>
          </w:tcPr>
          <w:p w14:paraId="2909797E" w14:textId="77777777" w:rsidR="008B4DF8" w:rsidRPr="00C1603D" w:rsidRDefault="008B4DF8" w:rsidP="0006475E">
            <w:pPr>
              <w:pStyle w:val="72TabletextTablesTableFigureBoxstyles"/>
              <w:rPr>
                <w:lang w:eastAsia="en-GB"/>
              </w:rPr>
            </w:pPr>
            <w:r w:rsidRPr="00C1603D">
              <w:rPr>
                <w:lang w:eastAsia="en-GB"/>
              </w:rPr>
              <w:t>99.8</w:t>
            </w:r>
          </w:p>
        </w:tc>
      </w:tr>
      <w:tr w:rsidR="00C46323" w:rsidRPr="00C1603D" w14:paraId="4BFF4B94" w14:textId="77777777" w:rsidTr="0006475E">
        <w:trPr>
          <w:cantSplit/>
        </w:trPr>
        <w:tc>
          <w:tcPr>
            <w:tcW w:w="0" w:type="auto"/>
            <w:vMerge w:val="restart"/>
            <w:shd w:val="clear" w:color="auto" w:fill="auto"/>
          </w:tcPr>
          <w:p w14:paraId="2977459B" w14:textId="77777777" w:rsidR="008B4DF8" w:rsidRPr="00C1603D" w:rsidRDefault="008B4DF8" w:rsidP="0006475E">
            <w:pPr>
              <w:pStyle w:val="72TabletextTablesTableFigureBoxstyles"/>
              <w:rPr>
                <w:lang w:eastAsia="en-GB"/>
              </w:rPr>
            </w:pPr>
            <w:r w:rsidRPr="00C1603D">
              <w:rPr>
                <w:lang w:eastAsia="en-GB"/>
              </w:rPr>
              <w:t>Men</w:t>
            </w:r>
          </w:p>
        </w:tc>
        <w:tc>
          <w:tcPr>
            <w:tcW w:w="0" w:type="auto"/>
            <w:shd w:val="clear" w:color="auto" w:fill="auto"/>
          </w:tcPr>
          <w:p w14:paraId="5FB60EAB" w14:textId="6556C387" w:rsidR="008B4DF8" w:rsidRPr="00C1603D" w:rsidRDefault="008B4DF8" w:rsidP="0006475E">
            <w:pPr>
              <w:pStyle w:val="72TabletextTablesTableFigureBoxstyles"/>
              <w:rPr>
                <w:lang w:eastAsia="en-GB"/>
              </w:rPr>
            </w:pPr>
            <w:r w:rsidRPr="00C1603D">
              <w:rPr>
                <w:lang w:eastAsia="en-GB"/>
              </w:rPr>
              <w:t>1</w:t>
            </w:r>
          </w:p>
        </w:tc>
        <w:tc>
          <w:tcPr>
            <w:tcW w:w="0" w:type="auto"/>
            <w:shd w:val="clear" w:color="auto" w:fill="auto"/>
          </w:tcPr>
          <w:p w14:paraId="665D9B46"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301AAE83" w14:textId="77777777" w:rsidR="008B4DF8" w:rsidRPr="00C1603D" w:rsidRDefault="008B4DF8" w:rsidP="0006475E">
            <w:pPr>
              <w:pStyle w:val="72TabletextTablesTableFigureBoxstyles"/>
              <w:rPr>
                <w:lang w:eastAsia="en-GB"/>
              </w:rPr>
            </w:pPr>
            <w:r w:rsidRPr="00C1603D">
              <w:rPr>
                <w:lang w:eastAsia="en-GB"/>
              </w:rPr>
              <w:t>100</w:t>
            </w:r>
          </w:p>
        </w:tc>
        <w:tc>
          <w:tcPr>
            <w:tcW w:w="0" w:type="auto"/>
            <w:shd w:val="clear" w:color="auto" w:fill="auto"/>
          </w:tcPr>
          <w:p w14:paraId="0AA5A884" w14:textId="77777777" w:rsidR="008B4DF8" w:rsidRPr="00C1603D" w:rsidRDefault="008B4DF8" w:rsidP="0006475E">
            <w:pPr>
              <w:pStyle w:val="72TabletextTablesTableFigureBoxstyles"/>
              <w:rPr>
                <w:lang w:eastAsia="en-GB"/>
              </w:rPr>
            </w:pPr>
            <w:r w:rsidRPr="00C1603D">
              <w:rPr>
                <w:lang w:eastAsia="en-GB"/>
              </w:rPr>
              <w:t>9900</w:t>
            </w:r>
          </w:p>
        </w:tc>
        <w:tc>
          <w:tcPr>
            <w:tcW w:w="0" w:type="auto"/>
            <w:shd w:val="clear" w:color="auto" w:fill="auto"/>
          </w:tcPr>
          <w:p w14:paraId="103E8A07"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4A41D940" w14:textId="77777777" w:rsidR="008B4DF8" w:rsidRPr="00C1603D" w:rsidRDefault="008B4DF8" w:rsidP="0006475E">
            <w:pPr>
              <w:pStyle w:val="72TabletextTablesTableFigureBoxstyles"/>
              <w:rPr>
                <w:lang w:eastAsia="en-GB"/>
              </w:rPr>
            </w:pPr>
            <w:r w:rsidRPr="00C1603D">
              <w:rPr>
                <w:lang w:eastAsia="en-GB"/>
              </w:rPr>
              <w:t>0</w:t>
            </w:r>
          </w:p>
        </w:tc>
        <w:tc>
          <w:tcPr>
            <w:tcW w:w="0" w:type="auto"/>
            <w:shd w:val="clear" w:color="auto" w:fill="auto"/>
          </w:tcPr>
          <w:p w14:paraId="5B385A9E" w14:textId="60E21D7F" w:rsidR="008B4DF8" w:rsidRPr="00C1603D" w:rsidRDefault="008B4DF8" w:rsidP="0006475E">
            <w:pPr>
              <w:pStyle w:val="72TabletextTablesTableFigureBoxstyles"/>
              <w:rPr>
                <w:lang w:eastAsia="en-GB"/>
              </w:rPr>
            </w:pPr>
            <w:r w:rsidRPr="00C1603D">
              <w:rPr>
                <w:lang w:eastAsia="en-GB"/>
              </w:rPr>
              <w:t>100.0</w:t>
            </w:r>
          </w:p>
        </w:tc>
        <w:tc>
          <w:tcPr>
            <w:tcW w:w="0" w:type="auto"/>
            <w:shd w:val="clear" w:color="auto" w:fill="auto"/>
          </w:tcPr>
          <w:p w14:paraId="1BF94E98" w14:textId="5D927577" w:rsidR="008B4DF8" w:rsidRPr="00C1603D" w:rsidRDefault="008B4DF8" w:rsidP="0006475E">
            <w:pPr>
              <w:pStyle w:val="72TabletextTablesTableFigureBoxstyles"/>
              <w:rPr>
                <w:lang w:eastAsia="en-GB"/>
              </w:rPr>
            </w:pPr>
            <w:r w:rsidRPr="00C1603D">
              <w:rPr>
                <w:lang w:eastAsia="en-GB"/>
              </w:rPr>
              <w:t>0.0</w:t>
            </w:r>
          </w:p>
        </w:tc>
        <w:tc>
          <w:tcPr>
            <w:tcW w:w="0" w:type="auto"/>
            <w:shd w:val="clear" w:color="auto" w:fill="auto"/>
          </w:tcPr>
          <w:p w14:paraId="4648E5F9" w14:textId="77777777" w:rsidR="008B4DF8" w:rsidRPr="00C1603D" w:rsidRDefault="008B4DF8" w:rsidP="0006475E">
            <w:pPr>
              <w:pStyle w:val="72TabletextTablesTableFigureBoxstyles"/>
              <w:rPr>
                <w:lang w:eastAsia="en-GB"/>
              </w:rPr>
            </w:pPr>
            <w:r w:rsidRPr="00C1603D">
              <w:rPr>
                <w:lang w:eastAsia="en-GB"/>
              </w:rPr>
              <w:t>NA</w:t>
            </w:r>
          </w:p>
        </w:tc>
        <w:tc>
          <w:tcPr>
            <w:tcW w:w="0" w:type="auto"/>
            <w:shd w:val="clear" w:color="auto" w:fill="auto"/>
          </w:tcPr>
          <w:p w14:paraId="75AB699B" w14:textId="77777777" w:rsidR="008B4DF8" w:rsidRPr="00C1603D" w:rsidRDefault="008B4DF8" w:rsidP="0006475E">
            <w:pPr>
              <w:pStyle w:val="72TabletextTablesTableFigureBoxstyles"/>
              <w:rPr>
                <w:lang w:eastAsia="en-GB"/>
              </w:rPr>
            </w:pPr>
            <w:r w:rsidRPr="00C1603D">
              <w:rPr>
                <w:lang w:eastAsia="en-GB"/>
              </w:rPr>
              <w:t>0</w:t>
            </w:r>
          </w:p>
        </w:tc>
      </w:tr>
      <w:tr w:rsidR="00C46323" w:rsidRPr="00C1603D" w14:paraId="3FA20EE7" w14:textId="77777777" w:rsidTr="50A8A885">
        <w:trPr>
          <w:cantSplit/>
        </w:trPr>
        <w:tc>
          <w:tcPr>
            <w:tcW w:w="0" w:type="auto"/>
            <w:vMerge/>
          </w:tcPr>
          <w:p w14:paraId="1C0358BD" w14:textId="77777777" w:rsidR="008B4DF8" w:rsidRPr="00C1603D" w:rsidRDefault="008B4DF8" w:rsidP="0006475E">
            <w:pPr>
              <w:pStyle w:val="72TabletextTablesTableFigureBoxstyles"/>
              <w:rPr>
                <w:lang w:eastAsia="en-GB"/>
              </w:rPr>
            </w:pPr>
          </w:p>
        </w:tc>
        <w:tc>
          <w:tcPr>
            <w:tcW w:w="0" w:type="auto"/>
            <w:shd w:val="clear" w:color="auto" w:fill="auto"/>
          </w:tcPr>
          <w:p w14:paraId="47701AAF" w14:textId="4C97F52C" w:rsidR="008B4DF8" w:rsidRPr="00C1603D" w:rsidRDefault="008B4DF8" w:rsidP="0006475E">
            <w:pPr>
              <w:pStyle w:val="72TabletextTablesTableFigureBoxstyles"/>
              <w:rPr>
                <w:lang w:eastAsia="en-GB"/>
              </w:rPr>
            </w:pPr>
            <w:r w:rsidRPr="00C1603D">
              <w:rPr>
                <w:lang w:eastAsia="en-GB"/>
              </w:rPr>
              <w:t>1.5</w:t>
            </w:r>
          </w:p>
        </w:tc>
        <w:tc>
          <w:tcPr>
            <w:tcW w:w="0" w:type="auto"/>
            <w:shd w:val="clear" w:color="auto" w:fill="auto"/>
          </w:tcPr>
          <w:p w14:paraId="32BC851D" w14:textId="77777777" w:rsidR="008B4DF8" w:rsidRPr="00C1603D" w:rsidRDefault="008B4DF8" w:rsidP="0006475E">
            <w:pPr>
              <w:pStyle w:val="72TabletextTablesTableFigureBoxstyles"/>
              <w:rPr>
                <w:lang w:eastAsia="en-GB"/>
              </w:rPr>
            </w:pPr>
            <w:r w:rsidRPr="00C1603D">
              <w:t>0.007</w:t>
            </w:r>
          </w:p>
        </w:tc>
        <w:tc>
          <w:tcPr>
            <w:tcW w:w="0" w:type="auto"/>
            <w:shd w:val="clear" w:color="auto" w:fill="auto"/>
          </w:tcPr>
          <w:p w14:paraId="054B85B3" w14:textId="77777777" w:rsidR="008B4DF8" w:rsidRPr="00C1603D" w:rsidRDefault="008B4DF8" w:rsidP="0006475E">
            <w:pPr>
              <w:pStyle w:val="72TabletextTablesTableFigureBoxstyles"/>
              <w:rPr>
                <w:lang w:eastAsia="en-GB"/>
              </w:rPr>
            </w:pPr>
            <w:r w:rsidRPr="00C1603D">
              <w:rPr>
                <w:lang w:eastAsia="en-GB"/>
              </w:rPr>
              <w:t>87</w:t>
            </w:r>
          </w:p>
        </w:tc>
        <w:tc>
          <w:tcPr>
            <w:tcW w:w="0" w:type="auto"/>
            <w:shd w:val="clear" w:color="auto" w:fill="auto"/>
          </w:tcPr>
          <w:p w14:paraId="3D54E78A" w14:textId="77777777" w:rsidR="008B4DF8" w:rsidRPr="00C1603D" w:rsidRDefault="008B4DF8" w:rsidP="0006475E">
            <w:pPr>
              <w:pStyle w:val="72TabletextTablesTableFigureBoxstyles"/>
              <w:rPr>
                <w:lang w:eastAsia="en-GB"/>
              </w:rPr>
            </w:pPr>
            <w:r w:rsidRPr="00C1603D">
              <w:rPr>
                <w:lang w:eastAsia="en-GB"/>
              </w:rPr>
              <w:t>5634</w:t>
            </w:r>
          </w:p>
        </w:tc>
        <w:tc>
          <w:tcPr>
            <w:tcW w:w="0" w:type="auto"/>
            <w:shd w:val="clear" w:color="auto" w:fill="auto"/>
          </w:tcPr>
          <w:p w14:paraId="7D4365DB" w14:textId="77777777" w:rsidR="008B4DF8" w:rsidRPr="00C1603D" w:rsidRDefault="008B4DF8" w:rsidP="0006475E">
            <w:pPr>
              <w:pStyle w:val="72TabletextTablesTableFigureBoxstyles"/>
              <w:rPr>
                <w:lang w:eastAsia="en-GB"/>
              </w:rPr>
            </w:pPr>
            <w:r w:rsidRPr="00C1603D">
              <w:rPr>
                <w:lang w:eastAsia="en-GB"/>
              </w:rPr>
              <w:t>13</w:t>
            </w:r>
          </w:p>
        </w:tc>
        <w:tc>
          <w:tcPr>
            <w:tcW w:w="0" w:type="auto"/>
            <w:shd w:val="clear" w:color="auto" w:fill="auto"/>
          </w:tcPr>
          <w:p w14:paraId="1DA782C3" w14:textId="77777777" w:rsidR="008B4DF8" w:rsidRPr="00C1603D" w:rsidRDefault="008B4DF8" w:rsidP="0006475E">
            <w:pPr>
              <w:pStyle w:val="72TabletextTablesTableFigureBoxstyles"/>
              <w:rPr>
                <w:lang w:eastAsia="en-GB"/>
              </w:rPr>
            </w:pPr>
            <w:r w:rsidRPr="00C1603D">
              <w:rPr>
                <w:lang w:eastAsia="en-GB"/>
              </w:rPr>
              <w:t>4266</w:t>
            </w:r>
          </w:p>
        </w:tc>
        <w:tc>
          <w:tcPr>
            <w:tcW w:w="0" w:type="auto"/>
            <w:shd w:val="clear" w:color="auto" w:fill="auto"/>
          </w:tcPr>
          <w:p w14:paraId="3E504496" w14:textId="56B13863" w:rsidR="008B4DF8" w:rsidRPr="00C1603D" w:rsidRDefault="008B4DF8" w:rsidP="0006475E">
            <w:pPr>
              <w:pStyle w:val="72TabletextTablesTableFigureBoxstyles"/>
              <w:rPr>
                <w:lang w:eastAsia="en-GB"/>
              </w:rPr>
            </w:pPr>
            <w:r w:rsidRPr="00C1603D">
              <w:rPr>
                <w:lang w:eastAsia="en-GB"/>
              </w:rPr>
              <w:t>87.0</w:t>
            </w:r>
          </w:p>
        </w:tc>
        <w:tc>
          <w:tcPr>
            <w:tcW w:w="0" w:type="auto"/>
            <w:shd w:val="clear" w:color="auto" w:fill="auto"/>
          </w:tcPr>
          <w:p w14:paraId="28640EDA" w14:textId="67CD05DB" w:rsidR="008B4DF8" w:rsidRPr="00C1603D" w:rsidRDefault="008B4DF8" w:rsidP="0006475E">
            <w:pPr>
              <w:pStyle w:val="72TabletextTablesTableFigureBoxstyles"/>
              <w:rPr>
                <w:lang w:eastAsia="en-GB"/>
              </w:rPr>
            </w:pPr>
            <w:r w:rsidRPr="00C1603D">
              <w:rPr>
                <w:lang w:eastAsia="en-GB"/>
              </w:rPr>
              <w:t>43.1</w:t>
            </w:r>
          </w:p>
        </w:tc>
        <w:tc>
          <w:tcPr>
            <w:tcW w:w="0" w:type="auto"/>
            <w:shd w:val="clear" w:color="auto" w:fill="auto"/>
          </w:tcPr>
          <w:p w14:paraId="219A8B4D" w14:textId="3F667EDF" w:rsidR="008B4DF8" w:rsidRPr="00C1603D" w:rsidRDefault="008B4DF8" w:rsidP="0006475E">
            <w:pPr>
              <w:pStyle w:val="72TabletextTablesTableFigureBoxstyles"/>
              <w:rPr>
                <w:lang w:eastAsia="en-GB"/>
              </w:rPr>
            </w:pPr>
            <w:r w:rsidRPr="00C1603D">
              <w:rPr>
                <w:lang w:eastAsia="en-GB"/>
              </w:rPr>
              <w:t>99.7</w:t>
            </w:r>
          </w:p>
        </w:tc>
        <w:tc>
          <w:tcPr>
            <w:tcW w:w="0" w:type="auto"/>
            <w:shd w:val="clear" w:color="auto" w:fill="auto"/>
          </w:tcPr>
          <w:p w14:paraId="40DED51A" w14:textId="77777777" w:rsidR="008B4DF8" w:rsidRPr="00C1603D" w:rsidRDefault="008B4DF8" w:rsidP="0006475E">
            <w:pPr>
              <w:pStyle w:val="72TabletextTablesTableFigureBoxstyles"/>
              <w:rPr>
                <w:lang w:eastAsia="en-GB"/>
              </w:rPr>
            </w:pPr>
            <w:r w:rsidRPr="00C1603D">
              <w:rPr>
                <w:lang w:eastAsia="en-GB"/>
              </w:rPr>
              <w:t>13</w:t>
            </w:r>
          </w:p>
        </w:tc>
      </w:tr>
      <w:tr w:rsidR="00C46323" w:rsidRPr="00C1603D" w14:paraId="635ED7F6" w14:textId="77777777" w:rsidTr="50A8A885">
        <w:trPr>
          <w:cantSplit/>
        </w:trPr>
        <w:tc>
          <w:tcPr>
            <w:tcW w:w="0" w:type="auto"/>
            <w:vMerge/>
          </w:tcPr>
          <w:p w14:paraId="47228032" w14:textId="77777777" w:rsidR="008B4DF8" w:rsidRPr="00C1603D" w:rsidRDefault="008B4DF8" w:rsidP="0006475E">
            <w:pPr>
              <w:pStyle w:val="72TabletextTablesTableFigureBoxstyles"/>
              <w:rPr>
                <w:lang w:eastAsia="en-GB"/>
              </w:rPr>
            </w:pPr>
          </w:p>
        </w:tc>
        <w:tc>
          <w:tcPr>
            <w:tcW w:w="0" w:type="auto"/>
            <w:shd w:val="clear" w:color="auto" w:fill="auto"/>
          </w:tcPr>
          <w:p w14:paraId="119CD48F" w14:textId="7CA57EBC" w:rsidR="008B4DF8" w:rsidRPr="00C1603D" w:rsidRDefault="008B4DF8" w:rsidP="0006475E">
            <w:pPr>
              <w:pStyle w:val="72TabletextTablesTableFigureBoxstyles"/>
              <w:rPr>
                <w:lang w:eastAsia="en-GB"/>
              </w:rPr>
            </w:pPr>
            <w:r w:rsidRPr="00C1603D">
              <w:rPr>
                <w:lang w:eastAsia="en-GB"/>
              </w:rPr>
              <w:t>2</w:t>
            </w:r>
          </w:p>
        </w:tc>
        <w:tc>
          <w:tcPr>
            <w:tcW w:w="0" w:type="auto"/>
            <w:shd w:val="clear" w:color="auto" w:fill="auto"/>
          </w:tcPr>
          <w:p w14:paraId="489335FC" w14:textId="77777777" w:rsidR="008B4DF8" w:rsidRPr="00C1603D" w:rsidRDefault="008B4DF8" w:rsidP="0006475E">
            <w:pPr>
              <w:pStyle w:val="72TabletextTablesTableFigureBoxstyles"/>
              <w:rPr>
                <w:lang w:eastAsia="en-GB"/>
              </w:rPr>
            </w:pPr>
            <w:r w:rsidRPr="00C1603D">
              <w:t>0.008</w:t>
            </w:r>
          </w:p>
        </w:tc>
        <w:tc>
          <w:tcPr>
            <w:tcW w:w="0" w:type="auto"/>
            <w:shd w:val="clear" w:color="auto" w:fill="auto"/>
          </w:tcPr>
          <w:p w14:paraId="528ADBB0" w14:textId="77777777" w:rsidR="008B4DF8" w:rsidRPr="00C1603D" w:rsidRDefault="008B4DF8" w:rsidP="0006475E">
            <w:pPr>
              <w:pStyle w:val="72TabletextTablesTableFigureBoxstyles"/>
              <w:rPr>
                <w:lang w:eastAsia="en-GB"/>
              </w:rPr>
            </w:pPr>
            <w:r w:rsidRPr="00C1603D">
              <w:rPr>
                <w:lang w:eastAsia="en-GB"/>
              </w:rPr>
              <w:t>79</w:t>
            </w:r>
          </w:p>
        </w:tc>
        <w:tc>
          <w:tcPr>
            <w:tcW w:w="0" w:type="auto"/>
            <w:shd w:val="clear" w:color="auto" w:fill="auto"/>
          </w:tcPr>
          <w:p w14:paraId="341AD24B" w14:textId="77777777" w:rsidR="008B4DF8" w:rsidRPr="00C1603D" w:rsidRDefault="008B4DF8" w:rsidP="0006475E">
            <w:pPr>
              <w:pStyle w:val="72TabletextTablesTableFigureBoxstyles"/>
              <w:rPr>
                <w:lang w:eastAsia="en-GB"/>
              </w:rPr>
            </w:pPr>
            <w:r w:rsidRPr="00C1603D">
              <w:rPr>
                <w:lang w:eastAsia="en-GB"/>
              </w:rPr>
              <w:t>3858</w:t>
            </w:r>
          </w:p>
        </w:tc>
        <w:tc>
          <w:tcPr>
            <w:tcW w:w="0" w:type="auto"/>
            <w:shd w:val="clear" w:color="auto" w:fill="auto"/>
          </w:tcPr>
          <w:p w14:paraId="04025B8B" w14:textId="77777777" w:rsidR="008B4DF8" w:rsidRPr="00C1603D" w:rsidRDefault="008B4DF8" w:rsidP="0006475E">
            <w:pPr>
              <w:pStyle w:val="72TabletextTablesTableFigureBoxstyles"/>
              <w:rPr>
                <w:lang w:eastAsia="en-GB"/>
              </w:rPr>
            </w:pPr>
            <w:r w:rsidRPr="00C1603D">
              <w:rPr>
                <w:lang w:eastAsia="en-GB"/>
              </w:rPr>
              <w:t>21</w:t>
            </w:r>
          </w:p>
        </w:tc>
        <w:tc>
          <w:tcPr>
            <w:tcW w:w="0" w:type="auto"/>
            <w:shd w:val="clear" w:color="auto" w:fill="auto"/>
          </w:tcPr>
          <w:p w14:paraId="697EA43B" w14:textId="77777777" w:rsidR="008B4DF8" w:rsidRPr="00C1603D" w:rsidRDefault="008B4DF8" w:rsidP="0006475E">
            <w:pPr>
              <w:pStyle w:val="72TabletextTablesTableFigureBoxstyles"/>
              <w:rPr>
                <w:lang w:eastAsia="en-GB"/>
              </w:rPr>
            </w:pPr>
            <w:r w:rsidRPr="00C1603D">
              <w:rPr>
                <w:lang w:eastAsia="en-GB"/>
              </w:rPr>
              <w:t>6042</w:t>
            </w:r>
          </w:p>
        </w:tc>
        <w:tc>
          <w:tcPr>
            <w:tcW w:w="0" w:type="auto"/>
            <w:shd w:val="clear" w:color="auto" w:fill="auto"/>
          </w:tcPr>
          <w:p w14:paraId="3A6F693D" w14:textId="5A1E0275" w:rsidR="008B4DF8" w:rsidRPr="00C1603D" w:rsidRDefault="008B4DF8" w:rsidP="0006475E">
            <w:pPr>
              <w:pStyle w:val="72TabletextTablesTableFigureBoxstyles"/>
              <w:rPr>
                <w:lang w:eastAsia="en-GB"/>
              </w:rPr>
            </w:pPr>
            <w:r w:rsidRPr="00C1603D">
              <w:rPr>
                <w:lang w:eastAsia="en-GB"/>
              </w:rPr>
              <w:t>79.0</w:t>
            </w:r>
          </w:p>
        </w:tc>
        <w:tc>
          <w:tcPr>
            <w:tcW w:w="0" w:type="auto"/>
            <w:shd w:val="clear" w:color="auto" w:fill="auto"/>
          </w:tcPr>
          <w:p w14:paraId="5F252206" w14:textId="4C512D5A" w:rsidR="008B4DF8" w:rsidRPr="00C1603D" w:rsidRDefault="008B4DF8" w:rsidP="0006475E">
            <w:pPr>
              <w:pStyle w:val="72TabletextTablesTableFigureBoxstyles"/>
              <w:rPr>
                <w:lang w:eastAsia="en-GB"/>
              </w:rPr>
            </w:pPr>
            <w:r w:rsidRPr="00C1603D">
              <w:rPr>
                <w:lang w:eastAsia="en-GB"/>
              </w:rPr>
              <w:t>61.0</w:t>
            </w:r>
          </w:p>
        </w:tc>
        <w:tc>
          <w:tcPr>
            <w:tcW w:w="0" w:type="auto"/>
            <w:shd w:val="clear" w:color="auto" w:fill="auto"/>
          </w:tcPr>
          <w:p w14:paraId="2E972A5B" w14:textId="6145B048" w:rsidR="008B4DF8" w:rsidRPr="00C1603D" w:rsidRDefault="008B4DF8" w:rsidP="0006475E">
            <w:pPr>
              <w:pStyle w:val="72TabletextTablesTableFigureBoxstyles"/>
              <w:rPr>
                <w:lang w:eastAsia="en-GB"/>
              </w:rPr>
            </w:pPr>
            <w:r w:rsidRPr="00C1603D">
              <w:rPr>
                <w:lang w:eastAsia="en-GB"/>
              </w:rPr>
              <w:t>99.7</w:t>
            </w:r>
          </w:p>
        </w:tc>
        <w:tc>
          <w:tcPr>
            <w:tcW w:w="0" w:type="auto"/>
            <w:shd w:val="clear" w:color="auto" w:fill="auto"/>
          </w:tcPr>
          <w:p w14:paraId="7840A74B" w14:textId="77777777" w:rsidR="008B4DF8" w:rsidRPr="00C1603D" w:rsidRDefault="008B4DF8" w:rsidP="0006475E">
            <w:pPr>
              <w:pStyle w:val="72TabletextTablesTableFigureBoxstyles"/>
              <w:rPr>
                <w:lang w:eastAsia="en-GB"/>
              </w:rPr>
            </w:pPr>
            <w:r w:rsidRPr="00C1603D">
              <w:rPr>
                <w:lang w:eastAsia="en-GB"/>
              </w:rPr>
              <w:t>21</w:t>
            </w:r>
          </w:p>
        </w:tc>
      </w:tr>
      <w:tr w:rsidR="00C46323" w:rsidRPr="00C1603D" w14:paraId="111DA031" w14:textId="77777777" w:rsidTr="50A8A885">
        <w:trPr>
          <w:cantSplit/>
        </w:trPr>
        <w:tc>
          <w:tcPr>
            <w:tcW w:w="0" w:type="auto"/>
            <w:vMerge/>
          </w:tcPr>
          <w:p w14:paraId="488FF1FA" w14:textId="77777777" w:rsidR="008B4DF8" w:rsidRPr="00C1603D" w:rsidRDefault="008B4DF8" w:rsidP="0006475E">
            <w:pPr>
              <w:pStyle w:val="72TabletextTablesTableFigureBoxstyles"/>
              <w:rPr>
                <w:lang w:eastAsia="en-GB"/>
              </w:rPr>
            </w:pPr>
          </w:p>
        </w:tc>
        <w:tc>
          <w:tcPr>
            <w:tcW w:w="0" w:type="auto"/>
            <w:shd w:val="clear" w:color="auto" w:fill="auto"/>
          </w:tcPr>
          <w:p w14:paraId="5542D617" w14:textId="73FBE5C2" w:rsidR="008B4DF8" w:rsidRPr="00C1603D" w:rsidRDefault="008B4DF8" w:rsidP="0006475E">
            <w:pPr>
              <w:pStyle w:val="72TabletextTablesTableFigureBoxstyles"/>
              <w:rPr>
                <w:lang w:eastAsia="en-GB"/>
              </w:rPr>
            </w:pPr>
            <w:r w:rsidRPr="00C1603D">
              <w:rPr>
                <w:lang w:eastAsia="en-GB"/>
              </w:rPr>
              <w:t>5</w:t>
            </w:r>
          </w:p>
        </w:tc>
        <w:tc>
          <w:tcPr>
            <w:tcW w:w="0" w:type="auto"/>
            <w:shd w:val="clear" w:color="auto" w:fill="auto"/>
          </w:tcPr>
          <w:p w14:paraId="001C1B22" w14:textId="77777777" w:rsidR="008B4DF8" w:rsidRPr="00C1603D" w:rsidRDefault="008B4DF8" w:rsidP="0006475E">
            <w:pPr>
              <w:pStyle w:val="72TabletextTablesTableFigureBoxstyles"/>
              <w:rPr>
                <w:lang w:eastAsia="en-GB"/>
              </w:rPr>
            </w:pPr>
            <w:r w:rsidRPr="00C1603D">
              <w:t>0.0185</w:t>
            </w:r>
          </w:p>
        </w:tc>
        <w:tc>
          <w:tcPr>
            <w:tcW w:w="0" w:type="auto"/>
            <w:shd w:val="clear" w:color="auto" w:fill="auto"/>
          </w:tcPr>
          <w:p w14:paraId="5149949C" w14:textId="77777777" w:rsidR="008B4DF8" w:rsidRPr="00C1603D" w:rsidRDefault="008B4DF8" w:rsidP="0006475E">
            <w:pPr>
              <w:pStyle w:val="72TabletextTablesTableFigureBoxstyles"/>
              <w:rPr>
                <w:lang w:eastAsia="en-GB"/>
              </w:rPr>
            </w:pPr>
            <w:r w:rsidRPr="00C1603D">
              <w:rPr>
                <w:lang w:eastAsia="en-GB"/>
              </w:rPr>
              <w:t>58</w:t>
            </w:r>
          </w:p>
        </w:tc>
        <w:tc>
          <w:tcPr>
            <w:tcW w:w="0" w:type="auto"/>
            <w:shd w:val="clear" w:color="auto" w:fill="auto"/>
          </w:tcPr>
          <w:p w14:paraId="0ED6F36D" w14:textId="77777777" w:rsidR="008B4DF8" w:rsidRPr="00C1603D" w:rsidRDefault="008B4DF8" w:rsidP="0006475E">
            <w:pPr>
              <w:pStyle w:val="72TabletextTablesTableFigureBoxstyles"/>
              <w:rPr>
                <w:lang w:eastAsia="en-GB"/>
              </w:rPr>
            </w:pPr>
            <w:r w:rsidRPr="00C1603D">
              <w:rPr>
                <w:lang w:eastAsia="en-GB"/>
              </w:rPr>
              <w:t>1095</w:t>
            </w:r>
          </w:p>
        </w:tc>
        <w:tc>
          <w:tcPr>
            <w:tcW w:w="0" w:type="auto"/>
            <w:shd w:val="clear" w:color="auto" w:fill="auto"/>
          </w:tcPr>
          <w:p w14:paraId="67455AC9" w14:textId="77777777" w:rsidR="008B4DF8" w:rsidRPr="00C1603D" w:rsidRDefault="008B4DF8" w:rsidP="0006475E">
            <w:pPr>
              <w:pStyle w:val="72TabletextTablesTableFigureBoxstyles"/>
              <w:rPr>
                <w:lang w:eastAsia="en-GB"/>
              </w:rPr>
            </w:pPr>
            <w:r w:rsidRPr="00C1603D">
              <w:rPr>
                <w:lang w:eastAsia="en-GB"/>
              </w:rPr>
              <w:t>42</w:t>
            </w:r>
          </w:p>
        </w:tc>
        <w:tc>
          <w:tcPr>
            <w:tcW w:w="0" w:type="auto"/>
            <w:shd w:val="clear" w:color="auto" w:fill="auto"/>
          </w:tcPr>
          <w:p w14:paraId="6AB8C814" w14:textId="77777777" w:rsidR="008B4DF8" w:rsidRPr="00C1603D" w:rsidRDefault="008B4DF8" w:rsidP="0006475E">
            <w:pPr>
              <w:pStyle w:val="72TabletextTablesTableFigureBoxstyles"/>
              <w:rPr>
                <w:lang w:eastAsia="en-GB"/>
              </w:rPr>
            </w:pPr>
            <w:r w:rsidRPr="00C1603D">
              <w:rPr>
                <w:lang w:eastAsia="en-GB"/>
              </w:rPr>
              <w:t>8805</w:t>
            </w:r>
          </w:p>
        </w:tc>
        <w:tc>
          <w:tcPr>
            <w:tcW w:w="0" w:type="auto"/>
            <w:shd w:val="clear" w:color="auto" w:fill="auto"/>
          </w:tcPr>
          <w:p w14:paraId="4DE09928" w14:textId="4988AB26" w:rsidR="008B4DF8" w:rsidRPr="00C1603D" w:rsidRDefault="008B4DF8" w:rsidP="0006475E">
            <w:pPr>
              <w:pStyle w:val="72TabletextTablesTableFigureBoxstyles"/>
              <w:rPr>
                <w:lang w:eastAsia="en-GB"/>
              </w:rPr>
            </w:pPr>
            <w:r w:rsidRPr="00C1603D">
              <w:rPr>
                <w:lang w:eastAsia="en-GB"/>
              </w:rPr>
              <w:t>57.9</w:t>
            </w:r>
          </w:p>
        </w:tc>
        <w:tc>
          <w:tcPr>
            <w:tcW w:w="0" w:type="auto"/>
            <w:shd w:val="clear" w:color="auto" w:fill="auto"/>
          </w:tcPr>
          <w:p w14:paraId="3C6070F8" w14:textId="1B1AA759" w:rsidR="008B4DF8" w:rsidRPr="00C1603D" w:rsidRDefault="008B4DF8" w:rsidP="0006475E">
            <w:pPr>
              <w:pStyle w:val="72TabletextTablesTableFigureBoxstyles"/>
              <w:rPr>
                <w:lang w:eastAsia="en-GB"/>
              </w:rPr>
            </w:pPr>
            <w:r w:rsidRPr="00C1603D">
              <w:rPr>
                <w:lang w:eastAsia="en-GB"/>
              </w:rPr>
              <w:t>88.9</w:t>
            </w:r>
          </w:p>
        </w:tc>
        <w:tc>
          <w:tcPr>
            <w:tcW w:w="0" w:type="auto"/>
            <w:shd w:val="clear" w:color="auto" w:fill="auto"/>
          </w:tcPr>
          <w:p w14:paraId="5ADAA0F9" w14:textId="6892D34D" w:rsidR="008B4DF8" w:rsidRPr="00C1603D" w:rsidRDefault="008B4DF8" w:rsidP="0006475E">
            <w:pPr>
              <w:pStyle w:val="72TabletextTablesTableFigureBoxstyles"/>
              <w:rPr>
                <w:lang w:eastAsia="en-GB"/>
              </w:rPr>
            </w:pPr>
            <w:r w:rsidRPr="00C1603D">
              <w:rPr>
                <w:lang w:eastAsia="en-GB"/>
              </w:rPr>
              <w:t>99.5</w:t>
            </w:r>
          </w:p>
        </w:tc>
        <w:tc>
          <w:tcPr>
            <w:tcW w:w="0" w:type="auto"/>
            <w:shd w:val="clear" w:color="auto" w:fill="auto"/>
          </w:tcPr>
          <w:p w14:paraId="105E6A38" w14:textId="77777777" w:rsidR="008B4DF8" w:rsidRPr="00C1603D" w:rsidRDefault="008B4DF8" w:rsidP="0006475E">
            <w:pPr>
              <w:pStyle w:val="72TabletextTablesTableFigureBoxstyles"/>
              <w:rPr>
                <w:lang w:eastAsia="en-GB"/>
              </w:rPr>
            </w:pPr>
            <w:r w:rsidRPr="00C1603D">
              <w:rPr>
                <w:lang w:eastAsia="en-GB"/>
              </w:rPr>
              <w:t>42.1</w:t>
            </w:r>
          </w:p>
        </w:tc>
      </w:tr>
      <w:tr w:rsidR="00C46323" w:rsidRPr="00C1603D" w14:paraId="6899C27D" w14:textId="77777777" w:rsidTr="50A8A885">
        <w:trPr>
          <w:cantSplit/>
        </w:trPr>
        <w:tc>
          <w:tcPr>
            <w:tcW w:w="0" w:type="auto"/>
            <w:vMerge/>
          </w:tcPr>
          <w:p w14:paraId="389733F8" w14:textId="77777777" w:rsidR="008B4DF8" w:rsidRPr="00C1603D" w:rsidRDefault="008B4DF8" w:rsidP="0006475E">
            <w:pPr>
              <w:pStyle w:val="72TabletextTablesTableFigureBoxstyles"/>
              <w:rPr>
                <w:lang w:eastAsia="en-GB"/>
              </w:rPr>
            </w:pPr>
          </w:p>
        </w:tc>
        <w:tc>
          <w:tcPr>
            <w:tcW w:w="0" w:type="auto"/>
            <w:shd w:val="clear" w:color="auto" w:fill="auto"/>
          </w:tcPr>
          <w:p w14:paraId="1BB18577" w14:textId="21AA403C" w:rsidR="008B4DF8" w:rsidRPr="00C1603D" w:rsidRDefault="008B4DF8" w:rsidP="0006475E">
            <w:pPr>
              <w:pStyle w:val="72TabletextTablesTableFigureBoxstyles"/>
              <w:rPr>
                <w:lang w:eastAsia="en-GB"/>
              </w:rPr>
            </w:pPr>
            <w:r w:rsidRPr="00C1603D">
              <w:rPr>
                <w:lang w:eastAsia="en-GB"/>
              </w:rPr>
              <w:t>10</w:t>
            </w:r>
          </w:p>
        </w:tc>
        <w:tc>
          <w:tcPr>
            <w:tcW w:w="0" w:type="auto"/>
            <w:shd w:val="clear" w:color="auto" w:fill="auto"/>
          </w:tcPr>
          <w:p w14:paraId="0459EDF1" w14:textId="77777777" w:rsidR="008B4DF8" w:rsidRPr="00C1603D" w:rsidRDefault="008B4DF8" w:rsidP="0006475E">
            <w:pPr>
              <w:pStyle w:val="72TabletextTablesTableFigureBoxstyles"/>
              <w:rPr>
                <w:lang w:eastAsia="en-GB"/>
              </w:rPr>
            </w:pPr>
            <w:r w:rsidRPr="00C1603D">
              <w:t>0.0610</w:t>
            </w:r>
          </w:p>
        </w:tc>
        <w:tc>
          <w:tcPr>
            <w:tcW w:w="0" w:type="auto"/>
            <w:shd w:val="clear" w:color="auto" w:fill="auto"/>
          </w:tcPr>
          <w:p w14:paraId="0909E383" w14:textId="77777777" w:rsidR="008B4DF8" w:rsidRPr="00C1603D" w:rsidRDefault="008B4DF8" w:rsidP="0006475E">
            <w:pPr>
              <w:pStyle w:val="72TabletextTablesTableFigureBoxstyles"/>
              <w:rPr>
                <w:lang w:eastAsia="en-GB"/>
              </w:rPr>
            </w:pPr>
            <w:r w:rsidRPr="00C1603D">
              <w:rPr>
                <w:lang w:eastAsia="en-GB"/>
              </w:rPr>
              <w:t>32</w:t>
            </w:r>
          </w:p>
        </w:tc>
        <w:tc>
          <w:tcPr>
            <w:tcW w:w="0" w:type="auto"/>
            <w:shd w:val="clear" w:color="auto" w:fill="auto"/>
          </w:tcPr>
          <w:p w14:paraId="5B69CB77" w14:textId="77777777" w:rsidR="008B4DF8" w:rsidRPr="00C1603D" w:rsidRDefault="008B4DF8" w:rsidP="0006475E">
            <w:pPr>
              <w:pStyle w:val="72TabletextTablesTableFigureBoxstyles"/>
              <w:rPr>
                <w:lang w:eastAsia="en-GB"/>
              </w:rPr>
            </w:pPr>
            <w:r w:rsidRPr="00C1603D">
              <w:rPr>
                <w:lang w:eastAsia="en-GB"/>
              </w:rPr>
              <w:t>290</w:t>
            </w:r>
          </w:p>
        </w:tc>
        <w:tc>
          <w:tcPr>
            <w:tcW w:w="0" w:type="auto"/>
            <w:shd w:val="clear" w:color="auto" w:fill="auto"/>
          </w:tcPr>
          <w:p w14:paraId="04AF7AE3" w14:textId="77777777" w:rsidR="008B4DF8" w:rsidRPr="00C1603D" w:rsidRDefault="008B4DF8" w:rsidP="0006475E">
            <w:pPr>
              <w:pStyle w:val="72TabletextTablesTableFigureBoxstyles"/>
              <w:rPr>
                <w:lang w:eastAsia="en-GB"/>
              </w:rPr>
            </w:pPr>
            <w:r w:rsidRPr="00C1603D">
              <w:rPr>
                <w:lang w:eastAsia="en-GB"/>
              </w:rPr>
              <w:t>68</w:t>
            </w:r>
          </w:p>
        </w:tc>
        <w:tc>
          <w:tcPr>
            <w:tcW w:w="0" w:type="auto"/>
            <w:shd w:val="clear" w:color="auto" w:fill="auto"/>
          </w:tcPr>
          <w:p w14:paraId="5B0A0418" w14:textId="77777777" w:rsidR="008B4DF8" w:rsidRPr="00C1603D" w:rsidRDefault="008B4DF8" w:rsidP="0006475E">
            <w:pPr>
              <w:pStyle w:val="72TabletextTablesTableFigureBoxstyles"/>
              <w:rPr>
                <w:lang w:eastAsia="en-GB"/>
              </w:rPr>
            </w:pPr>
            <w:r w:rsidRPr="00C1603D">
              <w:rPr>
                <w:lang w:eastAsia="en-GB"/>
              </w:rPr>
              <w:t>9610</w:t>
            </w:r>
          </w:p>
        </w:tc>
        <w:tc>
          <w:tcPr>
            <w:tcW w:w="0" w:type="auto"/>
            <w:shd w:val="clear" w:color="auto" w:fill="auto"/>
          </w:tcPr>
          <w:p w14:paraId="2A4BFE50" w14:textId="63C1263C" w:rsidR="008B4DF8" w:rsidRPr="00C1603D" w:rsidRDefault="008B4DF8" w:rsidP="0006475E">
            <w:pPr>
              <w:pStyle w:val="72TabletextTablesTableFigureBoxstyles"/>
              <w:rPr>
                <w:lang w:eastAsia="en-GB"/>
              </w:rPr>
            </w:pPr>
            <w:r w:rsidRPr="00C1603D">
              <w:rPr>
                <w:lang w:eastAsia="en-GB"/>
              </w:rPr>
              <w:t>32.2</w:t>
            </w:r>
          </w:p>
        </w:tc>
        <w:tc>
          <w:tcPr>
            <w:tcW w:w="0" w:type="auto"/>
            <w:shd w:val="clear" w:color="auto" w:fill="auto"/>
          </w:tcPr>
          <w:p w14:paraId="406804A0" w14:textId="03E4AFE8" w:rsidR="008B4DF8" w:rsidRPr="00C1603D" w:rsidRDefault="008B4DF8" w:rsidP="0006475E">
            <w:pPr>
              <w:pStyle w:val="72TabletextTablesTableFigureBoxstyles"/>
              <w:rPr>
                <w:lang w:eastAsia="en-GB"/>
              </w:rPr>
            </w:pPr>
            <w:r w:rsidRPr="00C1603D">
              <w:rPr>
                <w:lang w:eastAsia="en-GB"/>
              </w:rPr>
              <w:t>97.1</w:t>
            </w:r>
          </w:p>
        </w:tc>
        <w:tc>
          <w:tcPr>
            <w:tcW w:w="0" w:type="auto"/>
            <w:shd w:val="clear" w:color="auto" w:fill="auto"/>
          </w:tcPr>
          <w:p w14:paraId="7186457D" w14:textId="773CFE2A" w:rsidR="008B4DF8" w:rsidRPr="00C1603D" w:rsidRDefault="008B4DF8" w:rsidP="0006475E">
            <w:pPr>
              <w:pStyle w:val="72TabletextTablesTableFigureBoxstyles"/>
              <w:rPr>
                <w:lang w:eastAsia="en-GB"/>
              </w:rPr>
            </w:pPr>
            <w:r w:rsidRPr="00C1603D">
              <w:rPr>
                <w:lang w:eastAsia="en-GB"/>
              </w:rPr>
              <w:t>99.3</w:t>
            </w:r>
          </w:p>
        </w:tc>
        <w:tc>
          <w:tcPr>
            <w:tcW w:w="0" w:type="auto"/>
            <w:shd w:val="clear" w:color="auto" w:fill="auto"/>
          </w:tcPr>
          <w:p w14:paraId="4724C4AC" w14:textId="77777777" w:rsidR="008B4DF8" w:rsidRPr="00C1603D" w:rsidRDefault="008B4DF8" w:rsidP="0006475E">
            <w:pPr>
              <w:pStyle w:val="72TabletextTablesTableFigureBoxstyles"/>
              <w:rPr>
                <w:lang w:eastAsia="en-GB"/>
              </w:rPr>
            </w:pPr>
            <w:r w:rsidRPr="00C1603D">
              <w:rPr>
                <w:lang w:eastAsia="en-GB"/>
              </w:rPr>
              <w:t>67.8</w:t>
            </w:r>
          </w:p>
        </w:tc>
      </w:tr>
      <w:tr w:rsidR="00C46323" w:rsidRPr="00C1603D" w14:paraId="56E6D3CB" w14:textId="77777777" w:rsidTr="50A8A885">
        <w:trPr>
          <w:cantSplit/>
        </w:trPr>
        <w:tc>
          <w:tcPr>
            <w:tcW w:w="0" w:type="auto"/>
            <w:vMerge/>
          </w:tcPr>
          <w:p w14:paraId="6DC7249A" w14:textId="77777777" w:rsidR="008B4DF8" w:rsidRPr="00C1603D" w:rsidRDefault="008B4DF8" w:rsidP="0006475E">
            <w:pPr>
              <w:pStyle w:val="72TabletextTablesTableFigureBoxstyles"/>
              <w:rPr>
                <w:lang w:eastAsia="en-GB"/>
              </w:rPr>
            </w:pPr>
          </w:p>
        </w:tc>
        <w:tc>
          <w:tcPr>
            <w:tcW w:w="0" w:type="auto"/>
            <w:shd w:val="clear" w:color="auto" w:fill="auto"/>
          </w:tcPr>
          <w:p w14:paraId="0BD41711" w14:textId="1B6F01E9" w:rsidR="008B4DF8" w:rsidRPr="00C1603D" w:rsidRDefault="008B4DF8" w:rsidP="0006475E">
            <w:pPr>
              <w:pStyle w:val="72TabletextTablesTableFigureBoxstyles"/>
              <w:rPr>
                <w:lang w:eastAsia="en-GB"/>
              </w:rPr>
            </w:pPr>
            <w:r w:rsidRPr="00C1603D">
              <w:rPr>
                <w:lang w:eastAsia="en-GB"/>
              </w:rPr>
              <w:t>20</w:t>
            </w:r>
          </w:p>
        </w:tc>
        <w:tc>
          <w:tcPr>
            <w:tcW w:w="0" w:type="auto"/>
            <w:shd w:val="clear" w:color="auto" w:fill="auto"/>
          </w:tcPr>
          <w:p w14:paraId="6285A909" w14:textId="77777777" w:rsidR="008B4DF8" w:rsidRPr="00C1603D" w:rsidRDefault="008B4DF8" w:rsidP="0006475E">
            <w:pPr>
              <w:pStyle w:val="72TabletextTablesTableFigureBoxstyles"/>
              <w:rPr>
                <w:lang w:eastAsia="en-GB"/>
              </w:rPr>
            </w:pPr>
            <w:r w:rsidRPr="00C1603D">
              <w:t>0.2820</w:t>
            </w:r>
          </w:p>
        </w:tc>
        <w:tc>
          <w:tcPr>
            <w:tcW w:w="0" w:type="auto"/>
            <w:shd w:val="clear" w:color="auto" w:fill="auto"/>
          </w:tcPr>
          <w:p w14:paraId="3CB2B183" w14:textId="77777777" w:rsidR="008B4DF8" w:rsidRPr="00C1603D" w:rsidRDefault="008B4DF8" w:rsidP="0006475E">
            <w:pPr>
              <w:pStyle w:val="72TabletextTablesTableFigureBoxstyles"/>
              <w:rPr>
                <w:lang w:eastAsia="en-GB"/>
              </w:rPr>
            </w:pPr>
            <w:r w:rsidRPr="00C1603D">
              <w:rPr>
                <w:lang w:eastAsia="en-GB"/>
              </w:rPr>
              <w:t>11</w:t>
            </w:r>
          </w:p>
        </w:tc>
        <w:tc>
          <w:tcPr>
            <w:tcW w:w="0" w:type="auto"/>
            <w:shd w:val="clear" w:color="auto" w:fill="auto"/>
          </w:tcPr>
          <w:p w14:paraId="2E50B001" w14:textId="77777777" w:rsidR="008B4DF8" w:rsidRPr="00C1603D" w:rsidRDefault="008B4DF8" w:rsidP="0006475E">
            <w:pPr>
              <w:pStyle w:val="72TabletextTablesTableFigureBoxstyles"/>
              <w:rPr>
                <w:lang w:eastAsia="en-GB"/>
              </w:rPr>
            </w:pPr>
            <w:r w:rsidRPr="00C1603D">
              <w:rPr>
                <w:lang w:eastAsia="en-GB"/>
              </w:rPr>
              <w:t>43</w:t>
            </w:r>
          </w:p>
        </w:tc>
        <w:tc>
          <w:tcPr>
            <w:tcW w:w="0" w:type="auto"/>
            <w:shd w:val="clear" w:color="auto" w:fill="auto"/>
          </w:tcPr>
          <w:p w14:paraId="687CDFCA" w14:textId="77777777" w:rsidR="008B4DF8" w:rsidRPr="00C1603D" w:rsidRDefault="008B4DF8" w:rsidP="0006475E">
            <w:pPr>
              <w:pStyle w:val="72TabletextTablesTableFigureBoxstyles"/>
              <w:rPr>
                <w:lang w:eastAsia="en-GB"/>
              </w:rPr>
            </w:pPr>
            <w:r w:rsidRPr="00C1603D">
              <w:rPr>
                <w:lang w:eastAsia="en-GB"/>
              </w:rPr>
              <w:t>89</w:t>
            </w:r>
          </w:p>
        </w:tc>
        <w:tc>
          <w:tcPr>
            <w:tcW w:w="0" w:type="auto"/>
            <w:shd w:val="clear" w:color="auto" w:fill="auto"/>
          </w:tcPr>
          <w:p w14:paraId="19A248E3" w14:textId="77777777" w:rsidR="008B4DF8" w:rsidRPr="00C1603D" w:rsidRDefault="008B4DF8" w:rsidP="0006475E">
            <w:pPr>
              <w:pStyle w:val="72TabletextTablesTableFigureBoxstyles"/>
              <w:rPr>
                <w:lang w:eastAsia="en-GB"/>
              </w:rPr>
            </w:pPr>
            <w:r w:rsidRPr="00C1603D">
              <w:rPr>
                <w:lang w:eastAsia="en-GB"/>
              </w:rPr>
              <w:t>9857</w:t>
            </w:r>
          </w:p>
        </w:tc>
        <w:tc>
          <w:tcPr>
            <w:tcW w:w="0" w:type="auto"/>
            <w:shd w:val="clear" w:color="auto" w:fill="auto"/>
          </w:tcPr>
          <w:p w14:paraId="01D2F3A7" w14:textId="79EF9BDF" w:rsidR="008B4DF8" w:rsidRPr="00C1603D" w:rsidRDefault="008B4DF8" w:rsidP="0006475E">
            <w:pPr>
              <w:pStyle w:val="72TabletextTablesTableFigureBoxstyles"/>
              <w:rPr>
                <w:lang w:eastAsia="en-GB"/>
              </w:rPr>
            </w:pPr>
            <w:r w:rsidRPr="00C1603D">
              <w:rPr>
                <w:lang w:eastAsia="en-GB"/>
              </w:rPr>
              <w:t>10.7</w:t>
            </w:r>
          </w:p>
        </w:tc>
        <w:tc>
          <w:tcPr>
            <w:tcW w:w="0" w:type="auto"/>
            <w:shd w:val="clear" w:color="auto" w:fill="auto"/>
          </w:tcPr>
          <w:p w14:paraId="14D9F036" w14:textId="783BBBB6" w:rsidR="008B4DF8" w:rsidRPr="00C1603D" w:rsidRDefault="008B4DF8" w:rsidP="0006475E">
            <w:pPr>
              <w:pStyle w:val="72TabletextTablesTableFigureBoxstyles"/>
              <w:rPr>
                <w:lang w:eastAsia="en-GB"/>
              </w:rPr>
            </w:pPr>
            <w:r w:rsidRPr="00C1603D">
              <w:rPr>
                <w:lang w:eastAsia="en-GB"/>
              </w:rPr>
              <w:t>99.6</w:t>
            </w:r>
          </w:p>
        </w:tc>
        <w:tc>
          <w:tcPr>
            <w:tcW w:w="0" w:type="auto"/>
            <w:shd w:val="clear" w:color="auto" w:fill="auto"/>
          </w:tcPr>
          <w:p w14:paraId="07E11759" w14:textId="269D1F25" w:rsidR="008B4DF8" w:rsidRPr="00C1603D" w:rsidRDefault="008B4DF8" w:rsidP="0006475E">
            <w:pPr>
              <w:pStyle w:val="72TabletextTablesTableFigureBoxstyles"/>
              <w:rPr>
                <w:lang w:eastAsia="en-GB"/>
              </w:rPr>
            </w:pPr>
            <w:r w:rsidRPr="00C1603D">
              <w:rPr>
                <w:lang w:eastAsia="en-GB"/>
              </w:rPr>
              <w:t>99.1</w:t>
            </w:r>
          </w:p>
        </w:tc>
        <w:tc>
          <w:tcPr>
            <w:tcW w:w="0" w:type="auto"/>
            <w:shd w:val="clear" w:color="auto" w:fill="auto"/>
          </w:tcPr>
          <w:p w14:paraId="61495FA3" w14:textId="77777777" w:rsidR="008B4DF8" w:rsidRPr="00C1603D" w:rsidRDefault="008B4DF8" w:rsidP="0006475E">
            <w:pPr>
              <w:pStyle w:val="72TabletextTablesTableFigureBoxstyles"/>
              <w:rPr>
                <w:lang w:eastAsia="en-GB"/>
              </w:rPr>
            </w:pPr>
            <w:r w:rsidRPr="00C1603D">
              <w:rPr>
                <w:lang w:eastAsia="en-GB"/>
              </w:rPr>
              <w:t>89.3</w:t>
            </w:r>
          </w:p>
        </w:tc>
      </w:tr>
      <w:tr w:rsidR="00377908" w:rsidRPr="00C1603D" w14:paraId="353E9F58" w14:textId="77777777" w:rsidTr="0006475E">
        <w:trPr>
          <w:cantSplit/>
        </w:trPr>
        <w:tc>
          <w:tcPr>
            <w:tcW w:w="0" w:type="auto"/>
            <w:gridSpan w:val="11"/>
            <w:shd w:val="clear" w:color="auto" w:fill="auto"/>
          </w:tcPr>
          <w:p w14:paraId="5FCA591E" w14:textId="14BF21F7" w:rsidR="00377908" w:rsidRPr="00C1603D" w:rsidRDefault="00377908" w:rsidP="0006475E">
            <w:pPr>
              <w:pStyle w:val="75TablenotesTablesTableFigureBoxstyles"/>
              <w:rPr>
                <w:lang w:eastAsia="en-GB"/>
              </w:rPr>
            </w:pPr>
            <w:r w:rsidRPr="00C1603D">
              <w:rPr>
                <w:lang w:eastAsia="en-GB"/>
              </w:rPr>
              <w:t>FN, false negative; FP, false positive</w:t>
            </w:r>
            <w:r w:rsidR="00C26563" w:rsidRPr="00C1603D">
              <w:rPr>
                <w:lang w:eastAsia="en-GB"/>
              </w:rPr>
              <w:t>;</w:t>
            </w:r>
            <w:r w:rsidR="0006475E" w:rsidRPr="00C1603D">
              <w:rPr>
                <w:lang w:eastAsia="en-GB"/>
              </w:rPr>
              <w:t xml:space="preserve"> </w:t>
            </w:r>
            <w:commentRangeStart w:id="228"/>
            <w:commentRangeStart w:id="229"/>
            <w:r w:rsidR="0006475E" w:rsidRPr="00C1603D">
              <w:rPr>
                <w:lang w:eastAsia="en-GB"/>
              </w:rPr>
              <w:t xml:space="preserve">NA, not </w:t>
            </w:r>
            <w:r w:rsidR="00431FEE" w:rsidRPr="00C1603D">
              <w:rPr>
                <w:lang w:eastAsia="en-GB"/>
              </w:rPr>
              <w:t>applicable</w:t>
            </w:r>
            <w:r w:rsidR="0006475E" w:rsidRPr="00C1603D">
              <w:rPr>
                <w:lang w:eastAsia="en-GB"/>
              </w:rPr>
              <w:t>;</w:t>
            </w:r>
            <w:r w:rsidR="00C26563" w:rsidRPr="00C1603D">
              <w:rPr>
                <w:lang w:eastAsia="en-GB"/>
              </w:rPr>
              <w:t xml:space="preserve"> </w:t>
            </w:r>
            <w:commentRangeEnd w:id="228"/>
            <w:r w:rsidR="0006475E" w:rsidRPr="00C1603D">
              <w:commentReference w:id="228"/>
            </w:r>
            <w:commentRangeEnd w:id="229"/>
            <w:r w:rsidRPr="00C1603D">
              <w:commentReference w:id="229"/>
            </w:r>
            <w:r w:rsidR="00C46323" w:rsidRPr="00C1603D">
              <w:rPr>
                <w:lang w:eastAsia="en-GB"/>
              </w:rPr>
              <w:t xml:space="preserve">NPV, negative predictive value; </w:t>
            </w:r>
            <w:r w:rsidR="00C26563" w:rsidRPr="00C1603D">
              <w:rPr>
                <w:lang w:eastAsia="en-GB"/>
              </w:rPr>
              <w:t>TN, true negative;</w:t>
            </w:r>
            <w:r w:rsidR="00C26563" w:rsidRPr="00C1603D">
              <w:t xml:space="preserve"> </w:t>
            </w:r>
            <w:r w:rsidR="00C26563" w:rsidRPr="00C1603D">
              <w:rPr>
                <w:lang w:eastAsia="en-GB"/>
              </w:rPr>
              <w:t>TP, true positive</w:t>
            </w:r>
            <w:r w:rsidRPr="00C1603D">
              <w:rPr>
                <w:lang w:eastAsia="en-GB"/>
              </w:rPr>
              <w:t>.</w:t>
            </w:r>
          </w:p>
          <w:p w14:paraId="0E4F4D4C" w14:textId="77777777" w:rsidR="0006475E" w:rsidRPr="00C1603D" w:rsidRDefault="0006475E" w:rsidP="0006475E">
            <w:pPr>
              <w:pStyle w:val="74TablenotesheadingTablesTableFigureBoxstyles"/>
              <w:rPr>
                <w:lang w:eastAsia="en-GB"/>
              </w:rPr>
            </w:pPr>
            <w:r w:rsidRPr="00C1603D">
              <w:rPr>
                <w:lang w:eastAsia="en-GB"/>
              </w:rPr>
              <w:t>Note</w:t>
            </w:r>
          </w:p>
          <w:p w14:paraId="223DBB13" w14:textId="1355127C" w:rsidR="0006475E" w:rsidRPr="00C1603D" w:rsidRDefault="0006475E" w:rsidP="0006475E">
            <w:pPr>
              <w:pStyle w:val="75TablenotesTablesTableFigureBoxstyles"/>
              <w:rPr>
                <w:lang w:eastAsia="en-GB"/>
              </w:rPr>
            </w:pPr>
            <w:r w:rsidRPr="00C1603D">
              <w:t>In a population of 10,000 people.</w:t>
            </w:r>
          </w:p>
        </w:tc>
      </w:tr>
    </w:tbl>
    <w:p w14:paraId="7057FBF1" w14:textId="3DCB4F57" w:rsidR="008B4DF8" w:rsidRPr="00C1603D" w:rsidRDefault="008B4DF8" w:rsidP="008B4DF8">
      <w:pPr>
        <w:pStyle w:val="70TablelegendTablesTableFigureBoxstyles"/>
      </w:pPr>
      <w:bookmarkStart w:id="230" w:name="_Toc99720717"/>
      <w:r w:rsidRPr="00C1603D">
        <w:rPr>
          <w:b/>
        </w:rPr>
        <w:t>TABLE 6</w:t>
      </w:r>
      <w:r w:rsidRPr="00C1603D">
        <w:rPr>
          <w:b/>
        </w:rPr>
        <w:t> </w:t>
      </w:r>
      <w:r w:rsidRPr="00C1603D">
        <w:t xml:space="preserve">Examples of the combination of predictors </w:t>
      </w:r>
      <w:r w:rsidR="0006475E" w:rsidRPr="00C1603D">
        <w:t>among</w:t>
      </w:r>
      <w:r w:rsidRPr="00C1603D">
        <w:t xml:space="preserve"> patients at </w:t>
      </w:r>
      <w:proofErr w:type="gramStart"/>
      <w:r w:rsidRPr="00C1603D">
        <w:t>several</w:t>
      </w:r>
      <w:proofErr w:type="gramEnd"/>
      <w:r w:rsidRPr="00C1603D">
        <w:t xml:space="preserve"> model thresholds</w:t>
      </w:r>
      <w:bookmarkEnd w:id="230"/>
    </w:p>
    <w:tbl>
      <w:tblPr>
        <w:tblW w:w="0" w:type="auto"/>
        <w:tblInd w:w="-113" w:type="dxa"/>
        <w:tblCellMar>
          <w:top w:w="40" w:type="dxa"/>
          <w:left w:w="60" w:type="dxa"/>
          <w:bottom w:w="40" w:type="dxa"/>
          <w:right w:w="60" w:type="dxa"/>
        </w:tblCellMar>
        <w:tblLook w:val="04A0" w:firstRow="1" w:lastRow="0" w:firstColumn="1" w:lastColumn="0" w:noHBand="0" w:noVBand="1"/>
      </w:tblPr>
      <w:tblGrid>
        <w:gridCol w:w="555"/>
        <w:gridCol w:w="1953"/>
        <w:gridCol w:w="3982"/>
        <w:gridCol w:w="2649"/>
      </w:tblGrid>
      <w:tr w:rsidR="00B30B20" w:rsidRPr="00C1603D" w14:paraId="201C0A22" w14:textId="77777777" w:rsidTr="0006475E">
        <w:trPr>
          <w:cantSplit/>
        </w:trPr>
        <w:tc>
          <w:tcPr>
            <w:tcW w:w="0" w:type="auto"/>
            <w:shd w:val="clear" w:color="auto" w:fill="auto"/>
          </w:tcPr>
          <w:p w14:paraId="34D4D84F" w14:textId="0B218A6E" w:rsidR="008B4DF8" w:rsidRPr="00C1603D" w:rsidRDefault="008B4DF8" w:rsidP="0006475E">
            <w:pPr>
              <w:pStyle w:val="710TableheadTablesTableFigureBoxstyles"/>
            </w:pPr>
            <w:r w:rsidRPr="00C1603D">
              <w:t>Risk</w:t>
            </w:r>
            <w:r w:rsidR="0006475E" w:rsidRPr="00C1603D">
              <w:t xml:space="preserve"> (%)</w:t>
            </w:r>
          </w:p>
        </w:tc>
        <w:tc>
          <w:tcPr>
            <w:tcW w:w="0" w:type="auto"/>
            <w:shd w:val="clear" w:color="auto" w:fill="auto"/>
          </w:tcPr>
          <w:p w14:paraId="647B240A" w14:textId="77777777" w:rsidR="008B4DF8" w:rsidRPr="00C1603D" w:rsidRDefault="008B4DF8" w:rsidP="0006475E">
            <w:pPr>
              <w:pStyle w:val="710TableheadTablesTableFigureBoxstyles"/>
              <w:rPr>
                <w:rFonts w:cs="Calibri"/>
              </w:rPr>
            </w:pPr>
            <w:r w:rsidRPr="00C1603D">
              <w:rPr>
                <w:rFonts w:cs="Calibri"/>
              </w:rPr>
              <w:t>Children</w:t>
            </w:r>
          </w:p>
        </w:tc>
        <w:tc>
          <w:tcPr>
            <w:tcW w:w="0" w:type="auto"/>
            <w:shd w:val="clear" w:color="auto" w:fill="auto"/>
          </w:tcPr>
          <w:p w14:paraId="63228F90" w14:textId="77777777" w:rsidR="008B4DF8" w:rsidRPr="00C1603D" w:rsidRDefault="008B4DF8" w:rsidP="0006475E">
            <w:pPr>
              <w:pStyle w:val="710TableheadTablesTableFigureBoxstyles"/>
              <w:rPr>
                <w:rFonts w:cs="Calibri"/>
              </w:rPr>
            </w:pPr>
            <w:r w:rsidRPr="00C1603D">
              <w:rPr>
                <w:rFonts w:cs="Calibri"/>
              </w:rPr>
              <w:t>Women</w:t>
            </w:r>
          </w:p>
        </w:tc>
        <w:tc>
          <w:tcPr>
            <w:tcW w:w="0" w:type="auto"/>
            <w:shd w:val="clear" w:color="auto" w:fill="auto"/>
          </w:tcPr>
          <w:p w14:paraId="3FEA71C9" w14:textId="77777777" w:rsidR="008B4DF8" w:rsidRPr="00C1603D" w:rsidRDefault="008B4DF8" w:rsidP="0006475E">
            <w:pPr>
              <w:pStyle w:val="710TableheadTablesTableFigureBoxstyles"/>
            </w:pPr>
            <w:r w:rsidRPr="00C1603D">
              <w:t>Men</w:t>
            </w:r>
          </w:p>
        </w:tc>
      </w:tr>
      <w:tr w:rsidR="00B30B20" w:rsidRPr="00C1603D" w14:paraId="76377B4F" w14:textId="77777777" w:rsidTr="0006475E">
        <w:trPr>
          <w:cantSplit/>
        </w:trPr>
        <w:tc>
          <w:tcPr>
            <w:tcW w:w="0" w:type="auto"/>
            <w:shd w:val="clear" w:color="auto" w:fill="auto"/>
          </w:tcPr>
          <w:p w14:paraId="6EBD7338" w14:textId="20C84CDE" w:rsidR="008B4DF8" w:rsidRPr="00C1603D" w:rsidRDefault="008B4DF8" w:rsidP="0006475E">
            <w:pPr>
              <w:pStyle w:val="72TabletextTablesTableFigureBoxstyles"/>
            </w:pPr>
            <w:r w:rsidRPr="00C1603D">
              <w:rPr>
                <w:color w:val="00B0F0"/>
              </w:rPr>
              <w:t>&gt; 1</w:t>
            </w:r>
            <w:r w:rsidRPr="00C1603D">
              <w:t>.5</w:t>
            </w:r>
          </w:p>
        </w:tc>
        <w:tc>
          <w:tcPr>
            <w:tcW w:w="0" w:type="auto"/>
            <w:shd w:val="clear" w:color="auto" w:fill="auto"/>
          </w:tcPr>
          <w:p w14:paraId="74FA2660" w14:textId="77777777" w:rsidR="008B4DF8" w:rsidRPr="00C1603D" w:rsidRDefault="008B4DF8" w:rsidP="0006475E">
            <w:pPr>
              <w:pStyle w:val="72TabletextTablesTableFigureBoxstyles"/>
            </w:pPr>
            <w:r w:rsidRPr="00C1603D">
              <w:t>All female children</w:t>
            </w:r>
          </w:p>
        </w:tc>
        <w:tc>
          <w:tcPr>
            <w:tcW w:w="0" w:type="auto"/>
            <w:shd w:val="clear" w:color="auto" w:fill="auto"/>
          </w:tcPr>
          <w:p w14:paraId="3B9F149B" w14:textId="77777777" w:rsidR="008B4DF8" w:rsidRPr="00C1603D" w:rsidRDefault="008B4DF8" w:rsidP="0006475E">
            <w:pPr>
              <w:pStyle w:val="722TablebulletlistTablesTableFigureBoxstyles"/>
            </w:pPr>
            <w:r w:rsidRPr="00C1603D">
              <w:t>CVD</w:t>
            </w:r>
          </w:p>
          <w:p w14:paraId="60E64F28" w14:textId="77777777" w:rsidR="008B4DF8" w:rsidRPr="00C1603D" w:rsidRDefault="008B4DF8" w:rsidP="0006475E">
            <w:pPr>
              <w:pStyle w:val="722TablebulletlistTablesTableFigureBoxstyles"/>
            </w:pPr>
            <w:r w:rsidRPr="00C1603D">
              <w:t>Neuropathy or ataxia</w:t>
            </w:r>
          </w:p>
          <w:p w14:paraId="7E778AFE" w14:textId="77777777" w:rsidR="008B4DF8" w:rsidRPr="00C1603D" w:rsidRDefault="008B4DF8" w:rsidP="0006475E">
            <w:pPr>
              <w:pStyle w:val="722TablebulletlistTablesTableFigureBoxstyles"/>
            </w:pPr>
            <w:r w:rsidRPr="00C1603D">
              <w:t>Fatigue</w:t>
            </w:r>
            <w:r w:rsidRPr="00C1603D">
              <w:rPr>
                <w:vertAlign w:val="superscript"/>
              </w:rPr>
              <w:t>a</w:t>
            </w:r>
          </w:p>
          <w:p w14:paraId="4B1C2DD4" w14:textId="77777777" w:rsidR="008B4DF8" w:rsidRPr="00C1603D" w:rsidRDefault="008B4DF8" w:rsidP="0006475E">
            <w:pPr>
              <w:pStyle w:val="722TablebulletlistTablesTableFigureBoxstyles"/>
            </w:pPr>
            <w:r w:rsidRPr="00C1603D">
              <w:t>GI symptoms</w:t>
            </w:r>
            <w:r w:rsidRPr="00C1603D">
              <w:rPr>
                <w:vertAlign w:val="superscript"/>
              </w:rPr>
              <w:t>a</w:t>
            </w:r>
          </w:p>
        </w:tc>
        <w:tc>
          <w:tcPr>
            <w:tcW w:w="0" w:type="auto"/>
            <w:shd w:val="clear" w:color="auto" w:fill="auto"/>
          </w:tcPr>
          <w:p w14:paraId="13170C17" w14:textId="77777777" w:rsidR="008B4DF8" w:rsidRPr="00C1603D" w:rsidRDefault="008B4DF8" w:rsidP="001E41C4">
            <w:pPr>
              <w:pStyle w:val="72TabletextTablesTableFigureBoxstyles"/>
            </w:pPr>
            <w:r w:rsidRPr="00C1603D">
              <w:t>Fatigue</w:t>
            </w:r>
            <w:r w:rsidRPr="00C1603D">
              <w:rPr>
                <w:vertAlign w:val="superscript"/>
              </w:rPr>
              <w:t>a</w:t>
            </w:r>
          </w:p>
        </w:tc>
      </w:tr>
      <w:tr w:rsidR="00B30B20" w:rsidRPr="00C1603D" w14:paraId="68440161" w14:textId="77777777" w:rsidTr="0006475E">
        <w:trPr>
          <w:cantSplit/>
        </w:trPr>
        <w:tc>
          <w:tcPr>
            <w:tcW w:w="0" w:type="auto"/>
            <w:shd w:val="clear" w:color="auto" w:fill="auto"/>
          </w:tcPr>
          <w:p w14:paraId="4982854D" w14:textId="3F39AF40" w:rsidR="008B4DF8" w:rsidRPr="00C1603D" w:rsidRDefault="008B4DF8" w:rsidP="0006475E">
            <w:pPr>
              <w:pStyle w:val="72TabletextTablesTableFigureBoxstyles"/>
            </w:pPr>
            <w:r w:rsidRPr="00C1603D">
              <w:rPr>
                <w:color w:val="00B0F0"/>
              </w:rPr>
              <w:t>&gt; 2</w:t>
            </w:r>
          </w:p>
        </w:tc>
        <w:tc>
          <w:tcPr>
            <w:tcW w:w="0" w:type="auto"/>
            <w:shd w:val="clear" w:color="auto" w:fill="auto"/>
          </w:tcPr>
          <w:p w14:paraId="2F40C1B3" w14:textId="77777777" w:rsidR="008B4DF8" w:rsidRPr="00C1603D" w:rsidRDefault="008B4DF8" w:rsidP="0006475E">
            <w:pPr>
              <w:pStyle w:val="722TablebulletlistTablesTableFigureBoxstyles"/>
            </w:pPr>
            <w:r w:rsidRPr="00C1603D">
              <w:t>Mood disorders</w:t>
            </w:r>
          </w:p>
          <w:p w14:paraId="6253CAFD" w14:textId="77777777" w:rsidR="008B4DF8" w:rsidRPr="00C1603D" w:rsidRDefault="008B4DF8" w:rsidP="0006475E">
            <w:pPr>
              <w:pStyle w:val="722TablebulletlistTablesTableFigureBoxstyles"/>
            </w:pPr>
            <w:r w:rsidRPr="00C1603D">
              <w:t>GI symptoms</w:t>
            </w:r>
            <w:r w:rsidRPr="00C1603D">
              <w:rPr>
                <w:vertAlign w:val="superscript"/>
              </w:rPr>
              <w:t>a</w:t>
            </w:r>
          </w:p>
          <w:p w14:paraId="439F3961" w14:textId="77777777" w:rsidR="008B4DF8" w:rsidRPr="00C1603D" w:rsidRDefault="008B4DF8" w:rsidP="0006475E">
            <w:pPr>
              <w:pStyle w:val="722TablebulletlistTablesTableFigureBoxstyles"/>
            </w:pPr>
            <w:r w:rsidRPr="00C1603D">
              <w:t>Fatigue</w:t>
            </w:r>
            <w:r w:rsidRPr="00C1603D">
              <w:rPr>
                <w:vertAlign w:val="superscript"/>
              </w:rPr>
              <w:t>a</w:t>
            </w:r>
          </w:p>
        </w:tc>
        <w:tc>
          <w:tcPr>
            <w:tcW w:w="0" w:type="auto"/>
            <w:shd w:val="clear" w:color="auto" w:fill="auto"/>
          </w:tcPr>
          <w:p w14:paraId="4E69268A" w14:textId="77777777" w:rsidR="008B4DF8" w:rsidRPr="00C1603D" w:rsidRDefault="008B4DF8" w:rsidP="0006475E">
            <w:pPr>
              <w:pStyle w:val="722TablebulletlistTablesTableFigureBoxstyles"/>
            </w:pPr>
            <w:r w:rsidRPr="00C1603D">
              <w:t>GI symptoms</w:t>
            </w:r>
            <w:r w:rsidRPr="00C1603D">
              <w:rPr>
                <w:vertAlign w:val="superscript"/>
              </w:rPr>
              <w:t>a</w:t>
            </w:r>
            <w:r w:rsidRPr="00C1603D">
              <w:t xml:space="preserve"> and psoriasis</w:t>
            </w:r>
          </w:p>
          <w:p w14:paraId="32F84FFB" w14:textId="77777777" w:rsidR="008B4DF8" w:rsidRPr="00C1603D" w:rsidRDefault="008B4DF8" w:rsidP="0006475E">
            <w:pPr>
              <w:pStyle w:val="722TablebulletlistTablesTableFigureBoxstyles"/>
            </w:pPr>
            <w:r w:rsidRPr="00C1603D">
              <w:t>CVD, GI symptoms</w:t>
            </w:r>
            <w:r w:rsidRPr="00C1603D">
              <w:rPr>
                <w:vertAlign w:val="superscript"/>
              </w:rPr>
              <w:t>a</w:t>
            </w:r>
          </w:p>
          <w:p w14:paraId="7B210D79" w14:textId="77777777" w:rsidR="008B4DF8" w:rsidRPr="00C1603D" w:rsidRDefault="008B4DF8" w:rsidP="0006475E">
            <w:pPr>
              <w:pStyle w:val="722TablebulletlistTablesTableFigureBoxstyles"/>
            </w:pPr>
            <w:r w:rsidRPr="00C1603D">
              <w:t>Chronic liver disease</w:t>
            </w:r>
          </w:p>
          <w:p w14:paraId="3E0ECB20" w14:textId="77777777" w:rsidR="008B4DF8" w:rsidRPr="00C1603D" w:rsidRDefault="008B4DF8" w:rsidP="0006475E">
            <w:pPr>
              <w:pStyle w:val="722TablebulletlistTablesTableFigureBoxstyles"/>
            </w:pPr>
            <w:r w:rsidRPr="00C1603D">
              <w:t>IBS</w:t>
            </w:r>
          </w:p>
          <w:p w14:paraId="58936151" w14:textId="77777777" w:rsidR="008B4DF8" w:rsidRPr="00C1603D" w:rsidRDefault="008B4DF8" w:rsidP="0006475E">
            <w:pPr>
              <w:pStyle w:val="722TablebulletlistTablesTableFigureBoxstyles"/>
            </w:pPr>
            <w:r w:rsidRPr="00C1603D">
              <w:t>Thyroid disease</w:t>
            </w:r>
          </w:p>
        </w:tc>
        <w:tc>
          <w:tcPr>
            <w:tcW w:w="0" w:type="auto"/>
            <w:shd w:val="clear" w:color="auto" w:fill="auto"/>
          </w:tcPr>
          <w:p w14:paraId="29094056" w14:textId="77777777" w:rsidR="008B4DF8" w:rsidRPr="00C1603D" w:rsidRDefault="008B4DF8" w:rsidP="0006475E">
            <w:pPr>
              <w:pStyle w:val="722TablebulletlistTablesTableFigureBoxstyles"/>
            </w:pPr>
            <w:r w:rsidRPr="00C1603D">
              <w:t>CVD</w:t>
            </w:r>
          </w:p>
          <w:p w14:paraId="62F5E9E6" w14:textId="77777777" w:rsidR="008B4DF8" w:rsidRPr="00C1603D" w:rsidRDefault="008B4DF8" w:rsidP="0006475E">
            <w:pPr>
              <w:pStyle w:val="722TablebulletlistTablesTableFigureBoxstyles"/>
            </w:pPr>
            <w:r w:rsidRPr="00C1603D">
              <w:t>IBS</w:t>
            </w:r>
          </w:p>
          <w:p w14:paraId="0F1B0169" w14:textId="77777777" w:rsidR="008B4DF8" w:rsidRPr="00C1603D" w:rsidRDefault="008B4DF8" w:rsidP="0006475E">
            <w:pPr>
              <w:pStyle w:val="722TablebulletlistTablesTableFigureBoxstyles"/>
            </w:pPr>
            <w:r w:rsidRPr="00C1603D">
              <w:t>GI symptoms</w:t>
            </w:r>
            <w:r w:rsidRPr="00C1603D">
              <w:rPr>
                <w:vertAlign w:val="superscript"/>
              </w:rPr>
              <w:t>a</w:t>
            </w:r>
          </w:p>
          <w:p w14:paraId="1A11DF5B" w14:textId="77777777" w:rsidR="008B4DF8" w:rsidRPr="00C1603D" w:rsidRDefault="008B4DF8" w:rsidP="0006475E">
            <w:pPr>
              <w:pStyle w:val="722TablebulletlistTablesTableFigureBoxstyles"/>
            </w:pPr>
            <w:r w:rsidRPr="00C1603D">
              <w:t>Mouth ulcers</w:t>
            </w:r>
            <w:r w:rsidRPr="00C1603D">
              <w:rPr>
                <w:vertAlign w:val="superscript"/>
              </w:rPr>
              <w:t>a</w:t>
            </w:r>
          </w:p>
          <w:p w14:paraId="3AB2611A" w14:textId="77777777" w:rsidR="008B4DF8" w:rsidRPr="00C1603D" w:rsidRDefault="008B4DF8" w:rsidP="0006475E">
            <w:pPr>
              <w:pStyle w:val="722TablebulletlistTablesTableFigureBoxstyles"/>
            </w:pPr>
            <w:r w:rsidRPr="00C1603D">
              <w:t>Epilepsy</w:t>
            </w:r>
          </w:p>
        </w:tc>
      </w:tr>
      <w:tr w:rsidR="00B30B20" w:rsidRPr="00C1603D" w14:paraId="7C1E8D0C" w14:textId="77777777" w:rsidTr="0006475E">
        <w:trPr>
          <w:cantSplit/>
        </w:trPr>
        <w:tc>
          <w:tcPr>
            <w:tcW w:w="0" w:type="auto"/>
            <w:shd w:val="clear" w:color="auto" w:fill="auto"/>
          </w:tcPr>
          <w:p w14:paraId="13F5C566" w14:textId="2304F27C" w:rsidR="008B4DF8" w:rsidRPr="00C1603D" w:rsidRDefault="008B4DF8" w:rsidP="0006475E">
            <w:pPr>
              <w:pStyle w:val="72TabletextTablesTableFigureBoxstyles"/>
            </w:pPr>
            <w:r w:rsidRPr="00C1603D">
              <w:rPr>
                <w:color w:val="00B0F0"/>
              </w:rPr>
              <w:lastRenderedPageBreak/>
              <w:t>&gt; 5</w:t>
            </w:r>
          </w:p>
        </w:tc>
        <w:tc>
          <w:tcPr>
            <w:tcW w:w="0" w:type="auto"/>
            <w:shd w:val="clear" w:color="auto" w:fill="auto"/>
          </w:tcPr>
          <w:p w14:paraId="56A2A7C1" w14:textId="3438BE13" w:rsidR="008B4DF8" w:rsidRPr="00C1603D" w:rsidRDefault="008B4DF8" w:rsidP="0006475E">
            <w:pPr>
              <w:pStyle w:val="722TablebulletlistTablesTableFigureBoxstyles"/>
            </w:pPr>
            <w:r w:rsidRPr="00C1603D">
              <w:t xml:space="preserve">Fatigue within </w:t>
            </w:r>
            <w:r w:rsidR="001E41C4" w:rsidRPr="00C1603D">
              <w:t>previous</w:t>
            </w:r>
            <w:r w:rsidRPr="00C1603D">
              <w:t xml:space="preserve"> year</w:t>
            </w:r>
          </w:p>
          <w:p w14:paraId="390A7ED1" w14:textId="77777777" w:rsidR="008B4DF8" w:rsidRPr="00C1603D" w:rsidRDefault="008B4DF8" w:rsidP="0006475E">
            <w:pPr>
              <w:pStyle w:val="722TablebulletlistTablesTableFigureBoxstyles"/>
            </w:pPr>
            <w:r w:rsidRPr="00C1603D">
              <w:t>IBS</w:t>
            </w:r>
          </w:p>
          <w:p w14:paraId="62AFDA63" w14:textId="77777777" w:rsidR="008B4DF8" w:rsidRPr="00C1603D" w:rsidRDefault="008B4DF8" w:rsidP="0006475E">
            <w:pPr>
              <w:pStyle w:val="722TablebulletlistTablesTableFigureBoxstyles"/>
            </w:pPr>
            <w:r w:rsidRPr="00C1603D">
              <w:t>Arthritis</w:t>
            </w:r>
          </w:p>
          <w:p w14:paraId="0F59E63A" w14:textId="77777777" w:rsidR="008B4DF8" w:rsidRPr="00C1603D" w:rsidRDefault="008B4DF8" w:rsidP="0006475E">
            <w:pPr>
              <w:pStyle w:val="722TablebulletlistTablesTableFigureBoxstyles"/>
            </w:pPr>
            <w:r w:rsidRPr="00C1603D">
              <w:t>Failure to thrive</w:t>
            </w:r>
          </w:p>
        </w:tc>
        <w:tc>
          <w:tcPr>
            <w:tcW w:w="0" w:type="auto"/>
            <w:shd w:val="clear" w:color="auto" w:fill="auto"/>
          </w:tcPr>
          <w:p w14:paraId="06E205E2" w14:textId="77777777" w:rsidR="008B4DF8" w:rsidRPr="00C1603D" w:rsidRDefault="008B4DF8" w:rsidP="0006475E">
            <w:pPr>
              <w:pStyle w:val="722TablebulletlistTablesTableFigureBoxstyles"/>
            </w:pPr>
            <w:r w:rsidRPr="00C1603D">
              <w:t>Fatigue</w:t>
            </w:r>
            <w:r w:rsidRPr="00C1603D">
              <w:rPr>
                <w:vertAlign w:val="superscript"/>
              </w:rPr>
              <w:t>a</w:t>
            </w:r>
            <w:r w:rsidRPr="00C1603D">
              <w:t>, GI symptoms</w:t>
            </w:r>
            <w:r w:rsidRPr="00C1603D">
              <w:rPr>
                <w:vertAlign w:val="superscript"/>
              </w:rPr>
              <w:t>a</w:t>
            </w:r>
            <w:r w:rsidRPr="00C1603D">
              <w:t xml:space="preserve"> and once last year, and IBS</w:t>
            </w:r>
          </w:p>
          <w:p w14:paraId="2808552B" w14:textId="77777777" w:rsidR="008B4DF8" w:rsidRPr="00C1603D" w:rsidRDefault="008B4DF8" w:rsidP="0006475E">
            <w:pPr>
              <w:pStyle w:val="722TablebulletlistTablesTableFigureBoxstyles"/>
            </w:pPr>
            <w:r w:rsidRPr="00C1603D">
              <w:t>Anaemia</w:t>
            </w:r>
          </w:p>
          <w:p w14:paraId="62B81096" w14:textId="77777777" w:rsidR="008B4DF8" w:rsidRPr="00C1603D" w:rsidRDefault="008B4DF8" w:rsidP="0006475E">
            <w:pPr>
              <w:pStyle w:val="722TablebulletlistTablesTableFigureBoxstyles"/>
            </w:pPr>
            <w:r w:rsidRPr="00C1603D">
              <w:t>Fatigue</w:t>
            </w:r>
            <w:r w:rsidRPr="00C1603D">
              <w:rPr>
                <w:vertAlign w:val="superscript"/>
              </w:rPr>
              <w:t>a</w:t>
            </w:r>
            <w:r w:rsidRPr="00C1603D">
              <w:t xml:space="preserve"> and thyroid disorder</w:t>
            </w:r>
          </w:p>
          <w:p w14:paraId="4A612CA6" w14:textId="77777777" w:rsidR="008B4DF8" w:rsidRPr="00C1603D" w:rsidRDefault="008B4DF8" w:rsidP="0006475E">
            <w:pPr>
              <w:pStyle w:val="722TablebulletlistTablesTableFigureBoxstyles"/>
            </w:pPr>
            <w:r w:rsidRPr="00C1603D">
              <w:t>First-degree relative with CD</w:t>
            </w:r>
          </w:p>
        </w:tc>
        <w:tc>
          <w:tcPr>
            <w:tcW w:w="0" w:type="auto"/>
            <w:shd w:val="clear" w:color="auto" w:fill="auto"/>
          </w:tcPr>
          <w:p w14:paraId="0CFAB433" w14:textId="3BB1F83B" w:rsidR="008B4DF8" w:rsidRPr="00C1603D" w:rsidRDefault="008B4DF8" w:rsidP="0006475E">
            <w:pPr>
              <w:pStyle w:val="722TablebulletlistTablesTableFigureBoxstyles"/>
            </w:pPr>
            <w:r w:rsidRPr="00C1603D">
              <w:t>GI symptoms</w:t>
            </w:r>
            <w:r w:rsidR="001E41C4" w:rsidRPr="00C1603D">
              <w:t>,</w:t>
            </w:r>
            <w:r w:rsidRPr="00C1603D">
              <w:rPr>
                <w:vertAlign w:val="superscript"/>
              </w:rPr>
              <w:t>a</w:t>
            </w:r>
            <w:r w:rsidRPr="00C1603D">
              <w:t xml:space="preserve"> and chronic liver disease or </w:t>
            </w:r>
            <w:r w:rsidR="001E41C4" w:rsidRPr="00C1603D">
              <w:t>e</w:t>
            </w:r>
            <w:r w:rsidRPr="00C1603D">
              <w:t>pilepsy</w:t>
            </w:r>
          </w:p>
          <w:p w14:paraId="08DFBE7B" w14:textId="77777777" w:rsidR="008B4DF8" w:rsidRPr="00C1603D" w:rsidRDefault="008B4DF8" w:rsidP="0006475E">
            <w:pPr>
              <w:pStyle w:val="722TablebulletlistTablesTableFigureBoxstyles"/>
            </w:pPr>
            <w:r w:rsidRPr="00C1603D">
              <w:t>Down syndrome</w:t>
            </w:r>
          </w:p>
          <w:p w14:paraId="0A9B1FC5" w14:textId="77777777" w:rsidR="008B4DF8" w:rsidRPr="00C1603D" w:rsidRDefault="008B4DF8" w:rsidP="0006475E">
            <w:pPr>
              <w:pStyle w:val="722TablebulletlistTablesTableFigureBoxstyles"/>
            </w:pPr>
            <w:r w:rsidRPr="00C1603D">
              <w:t>Weight loss</w:t>
            </w:r>
          </w:p>
        </w:tc>
      </w:tr>
      <w:tr w:rsidR="00B30B20" w:rsidRPr="00C1603D" w14:paraId="1A7D7A0C" w14:textId="77777777" w:rsidTr="0006475E">
        <w:trPr>
          <w:cantSplit/>
        </w:trPr>
        <w:tc>
          <w:tcPr>
            <w:tcW w:w="0" w:type="auto"/>
            <w:shd w:val="clear" w:color="auto" w:fill="auto"/>
          </w:tcPr>
          <w:p w14:paraId="3B160650" w14:textId="0FD7366C" w:rsidR="008B4DF8" w:rsidRPr="00C1603D" w:rsidRDefault="008B4DF8" w:rsidP="0006475E">
            <w:pPr>
              <w:pStyle w:val="72TabletextTablesTableFigureBoxstyles"/>
            </w:pPr>
            <w:r w:rsidRPr="00C1603D">
              <w:rPr>
                <w:color w:val="00B0F0"/>
              </w:rPr>
              <w:t>&gt; 1</w:t>
            </w:r>
            <w:r w:rsidRPr="00C1603D">
              <w:t>0</w:t>
            </w:r>
          </w:p>
        </w:tc>
        <w:tc>
          <w:tcPr>
            <w:tcW w:w="0" w:type="auto"/>
            <w:shd w:val="clear" w:color="auto" w:fill="auto"/>
          </w:tcPr>
          <w:p w14:paraId="56FCF5C4" w14:textId="2558F6CF" w:rsidR="008B4DF8" w:rsidRPr="00C1603D" w:rsidRDefault="008B4DF8" w:rsidP="0006475E">
            <w:pPr>
              <w:pStyle w:val="722TablebulletlistTablesTableFigureBoxstyles"/>
            </w:pPr>
            <w:r w:rsidRPr="00C1603D">
              <w:t>GI symptoms</w:t>
            </w:r>
            <w:r w:rsidR="001E41C4" w:rsidRPr="00C1603D">
              <w:rPr>
                <w:vertAlign w:val="superscript"/>
              </w:rPr>
              <w:t>a</w:t>
            </w:r>
            <w:r w:rsidR="001E41C4" w:rsidRPr="00C1603D">
              <w:t xml:space="preserve"> (</w:t>
            </w:r>
            <w:r w:rsidRPr="00C1603D">
              <w:t xml:space="preserve">and once </w:t>
            </w:r>
            <w:r w:rsidR="001E41C4" w:rsidRPr="00C1603D">
              <w:t>in previous</w:t>
            </w:r>
            <w:r w:rsidRPr="00C1603D">
              <w:t xml:space="preserve"> year</w:t>
            </w:r>
            <w:r w:rsidR="001E41C4" w:rsidRPr="00C1603D">
              <w:t>)</w:t>
            </w:r>
          </w:p>
          <w:p w14:paraId="416D3DB7" w14:textId="77777777" w:rsidR="008B4DF8" w:rsidRPr="00C1603D" w:rsidRDefault="008B4DF8" w:rsidP="0006475E">
            <w:pPr>
              <w:pStyle w:val="722TablebulletlistTablesTableFigureBoxstyles"/>
            </w:pPr>
            <w:r w:rsidRPr="00C1603D">
              <w:t>Failure to thrive and GI symptoms</w:t>
            </w:r>
            <w:r w:rsidRPr="00C1603D">
              <w:rPr>
                <w:vertAlign w:val="superscript"/>
              </w:rPr>
              <w:t>a</w:t>
            </w:r>
          </w:p>
          <w:p w14:paraId="16E56355" w14:textId="5D4A01AC" w:rsidR="008B4DF8" w:rsidRPr="00C1603D" w:rsidRDefault="008B4DF8" w:rsidP="0006475E">
            <w:pPr>
              <w:pStyle w:val="722TablebulletlistTablesTableFigureBoxstyles"/>
            </w:pPr>
            <w:r w:rsidRPr="00C1603D">
              <w:rPr>
                <w:lang w:val="it-IT"/>
              </w:rPr>
              <w:t>Iron/folate/</w:t>
            </w:r>
            <w:r w:rsidR="001E41C4" w:rsidRPr="00C1603D">
              <w:rPr>
                <w:lang w:val="it-IT"/>
              </w:rPr>
              <w:t xml:space="preserve">vitamin </w:t>
            </w:r>
            <w:r w:rsidRPr="00C1603D">
              <w:rPr>
                <w:lang w:val="it-IT"/>
              </w:rPr>
              <w:t>B</w:t>
            </w:r>
            <w:r w:rsidRPr="00C1603D">
              <w:rPr>
                <w:vertAlign w:val="subscript"/>
                <w:lang w:val="it-IT"/>
              </w:rPr>
              <w:t>12</w:t>
            </w:r>
            <w:r w:rsidRPr="00C1603D">
              <w:rPr>
                <w:lang w:val="it-IT"/>
              </w:rPr>
              <w:t xml:space="preserve"> deficiency</w:t>
            </w:r>
          </w:p>
          <w:p w14:paraId="79208326" w14:textId="77777777" w:rsidR="008B4DF8" w:rsidRPr="00C1603D" w:rsidRDefault="008B4DF8" w:rsidP="0006475E">
            <w:pPr>
              <w:pStyle w:val="722TablebulletlistTablesTableFigureBoxstyles"/>
            </w:pPr>
            <w:r w:rsidRPr="00C1603D">
              <w:t>Thyroid disorders</w:t>
            </w:r>
          </w:p>
          <w:p w14:paraId="6F544FBF" w14:textId="77777777" w:rsidR="008B4DF8" w:rsidRPr="00C1603D" w:rsidRDefault="008B4DF8" w:rsidP="0006475E">
            <w:pPr>
              <w:pStyle w:val="722TablebulletlistTablesTableFigureBoxstyles"/>
            </w:pPr>
            <w:r w:rsidRPr="00C1603D">
              <w:t>Down syndrome</w:t>
            </w:r>
          </w:p>
          <w:p w14:paraId="108457D6" w14:textId="77777777" w:rsidR="008B4DF8" w:rsidRPr="00C1603D" w:rsidRDefault="008B4DF8" w:rsidP="0006475E">
            <w:pPr>
              <w:pStyle w:val="722TablebulletlistTablesTableFigureBoxstyles"/>
            </w:pPr>
            <w:r w:rsidRPr="00C1603D">
              <w:t>Anaemia</w:t>
            </w:r>
          </w:p>
        </w:tc>
        <w:tc>
          <w:tcPr>
            <w:tcW w:w="0" w:type="auto"/>
            <w:shd w:val="clear" w:color="auto" w:fill="auto"/>
          </w:tcPr>
          <w:p w14:paraId="402A738D" w14:textId="39BCE2C9" w:rsidR="008B4DF8" w:rsidRPr="00C1603D" w:rsidRDefault="008B4DF8" w:rsidP="0006475E">
            <w:pPr>
              <w:pStyle w:val="722TablebulletlistTablesTableFigureBoxstyles"/>
              <w:rPr>
                <w:lang w:val="it-IT"/>
              </w:rPr>
            </w:pPr>
            <w:r w:rsidRPr="00C1603D">
              <w:rPr>
                <w:lang w:val="it-IT"/>
              </w:rPr>
              <w:t>Anaemia, GI symptoms</w:t>
            </w:r>
            <w:r w:rsidR="00650C01" w:rsidRPr="00C1603D">
              <w:rPr>
                <w:lang w:val="it-IT"/>
              </w:rPr>
              <w:t>,</w:t>
            </w:r>
            <w:r w:rsidRPr="00C1603D">
              <w:rPr>
                <w:vertAlign w:val="superscript"/>
                <w:lang w:val="it-IT"/>
              </w:rPr>
              <w:t>a</w:t>
            </w:r>
            <w:r w:rsidRPr="00C1603D">
              <w:rPr>
                <w:lang w:val="it-IT"/>
              </w:rPr>
              <w:t xml:space="preserve"> iron/folate/B12 deficiency</w:t>
            </w:r>
          </w:p>
          <w:p w14:paraId="379FB4A6" w14:textId="52E3EBB1" w:rsidR="008B4DF8" w:rsidRPr="00C1603D" w:rsidRDefault="008B4DF8" w:rsidP="0006475E">
            <w:pPr>
              <w:pStyle w:val="722TablebulletlistTablesTableFigureBoxstyles"/>
            </w:pPr>
            <w:r w:rsidRPr="00C1603D">
              <w:t>GI symptoms</w:t>
            </w:r>
            <w:r w:rsidR="001E41C4" w:rsidRPr="00C1603D">
              <w:rPr>
                <w:vertAlign w:val="superscript"/>
              </w:rPr>
              <w:t>a</w:t>
            </w:r>
            <w:r w:rsidR="001E41C4" w:rsidRPr="00C1603D">
              <w:t xml:space="preserve"> (</w:t>
            </w:r>
            <w:r w:rsidRPr="00C1603D">
              <w:t xml:space="preserve">and </w:t>
            </w:r>
            <w:r w:rsidR="001E41C4" w:rsidRPr="00C1603D">
              <w:t>four</w:t>
            </w:r>
            <w:r w:rsidRPr="00C1603D">
              <w:t xml:space="preserve"> times </w:t>
            </w:r>
            <w:r w:rsidR="001E41C4" w:rsidRPr="00C1603D">
              <w:t>in previous</w:t>
            </w:r>
            <w:r w:rsidRPr="00C1603D">
              <w:t xml:space="preserve"> year</w:t>
            </w:r>
            <w:r w:rsidR="001E41C4" w:rsidRPr="00C1603D">
              <w:t>)</w:t>
            </w:r>
            <w:r w:rsidRPr="00C1603D">
              <w:t>, IBS</w:t>
            </w:r>
          </w:p>
          <w:p w14:paraId="04E228A3" w14:textId="36BA0714" w:rsidR="008B4DF8" w:rsidRPr="00C1603D" w:rsidRDefault="008B4DF8" w:rsidP="0006475E">
            <w:pPr>
              <w:pStyle w:val="722TablebulletlistTablesTableFigureBoxstyles"/>
            </w:pPr>
            <w:r w:rsidRPr="00C1603D">
              <w:t>Chronic liver disease, fatigue</w:t>
            </w:r>
            <w:r w:rsidR="001E41C4" w:rsidRPr="00C1603D">
              <w:rPr>
                <w:vertAlign w:val="superscript"/>
              </w:rPr>
              <w:t>a</w:t>
            </w:r>
            <w:r w:rsidR="001E41C4" w:rsidRPr="00C1603D">
              <w:t xml:space="preserve"> (</w:t>
            </w:r>
            <w:r w:rsidRPr="00C1603D">
              <w:t xml:space="preserve">and once </w:t>
            </w:r>
            <w:r w:rsidR="001E41C4" w:rsidRPr="00C1603D">
              <w:t>in previous</w:t>
            </w:r>
            <w:r w:rsidRPr="00C1603D">
              <w:t xml:space="preserve"> year</w:t>
            </w:r>
            <w:r w:rsidR="001E41C4" w:rsidRPr="00C1603D">
              <w:t>)</w:t>
            </w:r>
            <w:r w:rsidRPr="00C1603D">
              <w:t>, GI symptoms</w:t>
            </w:r>
            <w:r w:rsidR="001E41C4" w:rsidRPr="00C1603D">
              <w:rPr>
                <w:vertAlign w:val="superscript"/>
              </w:rPr>
              <w:t>a</w:t>
            </w:r>
            <w:r w:rsidR="001E41C4" w:rsidRPr="00C1603D">
              <w:t xml:space="preserve"> (</w:t>
            </w:r>
            <w:r w:rsidRPr="00C1603D">
              <w:t xml:space="preserve">and three times </w:t>
            </w:r>
            <w:r w:rsidR="001E41C4" w:rsidRPr="00C1603D">
              <w:t>in previous</w:t>
            </w:r>
            <w:r w:rsidRPr="00C1603D">
              <w:t xml:space="preserve"> year</w:t>
            </w:r>
            <w:r w:rsidR="001E41C4" w:rsidRPr="00C1603D">
              <w:t>)</w:t>
            </w:r>
          </w:p>
          <w:p w14:paraId="733DB101" w14:textId="534BA595" w:rsidR="008B4DF8" w:rsidRPr="00C1603D" w:rsidRDefault="008B4DF8" w:rsidP="0006475E">
            <w:pPr>
              <w:pStyle w:val="722TablebulletlistTablesTableFigureBoxstyles"/>
            </w:pPr>
            <w:r w:rsidRPr="00C1603D">
              <w:t>GI symptoms</w:t>
            </w:r>
            <w:r w:rsidR="001E41C4" w:rsidRPr="00C1603D">
              <w:t>,</w:t>
            </w:r>
            <w:r w:rsidRPr="00C1603D">
              <w:rPr>
                <w:vertAlign w:val="superscript"/>
              </w:rPr>
              <w:t>a</w:t>
            </w:r>
            <w:r w:rsidRPr="00C1603D">
              <w:t xml:space="preserve"> IBS</w:t>
            </w:r>
            <w:r w:rsidR="001E41C4" w:rsidRPr="00C1603D">
              <w:t>,</w:t>
            </w:r>
            <w:r w:rsidRPr="00C1603D">
              <w:t xml:space="preserve"> osteoporosis</w:t>
            </w:r>
          </w:p>
        </w:tc>
        <w:tc>
          <w:tcPr>
            <w:tcW w:w="0" w:type="auto"/>
            <w:shd w:val="clear" w:color="auto" w:fill="auto"/>
          </w:tcPr>
          <w:p w14:paraId="20BC719F" w14:textId="72C7EFA9" w:rsidR="008B4DF8" w:rsidRPr="00C1603D" w:rsidRDefault="008B4DF8" w:rsidP="0006475E">
            <w:pPr>
              <w:pStyle w:val="722TablebulletlistTablesTableFigureBoxstyles"/>
            </w:pPr>
            <w:r w:rsidRPr="00C1603D">
              <w:t>GI symptoms</w:t>
            </w:r>
            <w:r w:rsidRPr="00C1603D">
              <w:rPr>
                <w:vertAlign w:val="superscript"/>
              </w:rPr>
              <w:t>a</w:t>
            </w:r>
            <w:r w:rsidRPr="00C1603D">
              <w:t xml:space="preserve"> </w:t>
            </w:r>
            <w:r w:rsidR="001E41C4" w:rsidRPr="00C1603D">
              <w:t>(</w:t>
            </w:r>
            <w:r w:rsidRPr="00C1603D">
              <w:t xml:space="preserve">and twice </w:t>
            </w:r>
            <w:r w:rsidR="001E41C4" w:rsidRPr="00C1603D">
              <w:t>in previous</w:t>
            </w:r>
            <w:r w:rsidRPr="00C1603D">
              <w:t xml:space="preserve"> year</w:t>
            </w:r>
            <w:r w:rsidR="001E41C4" w:rsidRPr="00C1603D">
              <w:t>)</w:t>
            </w:r>
          </w:p>
          <w:p w14:paraId="785F96C8" w14:textId="421D23F2" w:rsidR="008B4DF8" w:rsidRPr="00C1603D" w:rsidRDefault="001E41C4" w:rsidP="0006475E">
            <w:pPr>
              <w:pStyle w:val="722TablebulletlistTablesTableFigureBoxstyles"/>
              <w:rPr>
                <w:lang w:val="fr-FR"/>
              </w:rPr>
            </w:pPr>
            <w:r w:rsidRPr="00C1603D">
              <w:t>Type 1 diabetes</w:t>
            </w:r>
            <w:r w:rsidR="008B4DF8" w:rsidRPr="00C1603D">
              <w:rPr>
                <w:lang w:val="fr-FR"/>
              </w:rPr>
              <w:t>, fatigue</w:t>
            </w:r>
            <w:r w:rsidR="00650C01" w:rsidRPr="00C1603D">
              <w:rPr>
                <w:lang w:val="fr-FR"/>
              </w:rPr>
              <w:t>,</w:t>
            </w:r>
            <w:r w:rsidR="008B4DF8" w:rsidRPr="00C1603D">
              <w:rPr>
                <w:vertAlign w:val="superscript"/>
                <w:lang w:val="fr-FR"/>
              </w:rPr>
              <w:t>a</w:t>
            </w:r>
            <w:r w:rsidR="008B4DF8" w:rsidRPr="00C1603D">
              <w:rPr>
                <w:lang w:val="fr-FR"/>
              </w:rPr>
              <w:t xml:space="preserve"> GI symptoms</w:t>
            </w:r>
            <w:r w:rsidR="008B4DF8" w:rsidRPr="00C1603D">
              <w:rPr>
                <w:vertAlign w:val="superscript"/>
                <w:lang w:val="fr-FR"/>
              </w:rPr>
              <w:t>a</w:t>
            </w:r>
          </w:p>
          <w:p w14:paraId="06287570" w14:textId="191474A8" w:rsidR="008B4DF8" w:rsidRPr="00C1603D" w:rsidRDefault="008B4DF8" w:rsidP="0006475E">
            <w:pPr>
              <w:pStyle w:val="722TablebulletlistTablesTableFigureBoxstyles"/>
            </w:pPr>
            <w:r w:rsidRPr="00C1603D">
              <w:t xml:space="preserve">Fatigue, </w:t>
            </w:r>
            <w:r w:rsidR="001E41C4" w:rsidRPr="00C1603D">
              <w:t>FDR with CD</w:t>
            </w:r>
          </w:p>
          <w:p w14:paraId="592E0A0D" w14:textId="6F820DA0" w:rsidR="008B4DF8" w:rsidRPr="00C1603D" w:rsidRDefault="008B4DF8" w:rsidP="0006475E">
            <w:pPr>
              <w:pStyle w:val="722TablebulletlistTablesTableFigureBoxstyles"/>
            </w:pPr>
            <w:r w:rsidRPr="00C1603D">
              <w:t>GI symptoms</w:t>
            </w:r>
            <w:r w:rsidR="001E41C4" w:rsidRPr="00C1603D">
              <w:t>,</w:t>
            </w:r>
            <w:r w:rsidRPr="00C1603D">
              <w:rPr>
                <w:vertAlign w:val="superscript"/>
              </w:rPr>
              <w:t>a</w:t>
            </w:r>
            <w:r w:rsidRPr="00C1603D">
              <w:t xml:space="preserve"> osteoporosis</w:t>
            </w:r>
          </w:p>
          <w:p w14:paraId="56446FAF" w14:textId="77777777" w:rsidR="008B4DF8" w:rsidRPr="00C1603D" w:rsidRDefault="008B4DF8" w:rsidP="0006475E">
            <w:pPr>
              <w:pStyle w:val="722TablebulletlistTablesTableFigureBoxstyles"/>
            </w:pPr>
            <w:r w:rsidRPr="00C1603D">
              <w:t>Anaemia</w:t>
            </w:r>
          </w:p>
        </w:tc>
      </w:tr>
      <w:tr w:rsidR="00B30B20" w:rsidRPr="00C1603D" w14:paraId="73E44454" w14:textId="77777777" w:rsidTr="0006475E">
        <w:trPr>
          <w:cantSplit/>
        </w:trPr>
        <w:tc>
          <w:tcPr>
            <w:tcW w:w="0" w:type="auto"/>
            <w:shd w:val="clear" w:color="auto" w:fill="auto"/>
          </w:tcPr>
          <w:p w14:paraId="5ABFE04C" w14:textId="4E4F89A0" w:rsidR="008B4DF8" w:rsidRPr="00C1603D" w:rsidRDefault="008B4DF8" w:rsidP="0006475E">
            <w:pPr>
              <w:pStyle w:val="72TabletextTablesTableFigureBoxstyles"/>
            </w:pPr>
            <w:r w:rsidRPr="00C1603D">
              <w:rPr>
                <w:color w:val="00B0F0"/>
              </w:rPr>
              <w:t>&gt; 2</w:t>
            </w:r>
            <w:r w:rsidRPr="00C1603D">
              <w:t>0</w:t>
            </w:r>
          </w:p>
        </w:tc>
        <w:tc>
          <w:tcPr>
            <w:tcW w:w="0" w:type="auto"/>
            <w:shd w:val="clear" w:color="auto" w:fill="auto"/>
          </w:tcPr>
          <w:p w14:paraId="0E0C9775" w14:textId="43C7D036" w:rsidR="008B4DF8" w:rsidRPr="00C1603D" w:rsidRDefault="001E41C4" w:rsidP="0006475E">
            <w:pPr>
              <w:pStyle w:val="722TablebulletlistTablesTableFigureBoxstyles"/>
            </w:pPr>
            <w:r w:rsidRPr="00C1603D">
              <w:t>FDR</w:t>
            </w:r>
            <w:r w:rsidR="008B4DF8" w:rsidRPr="00C1603D">
              <w:t xml:space="preserve"> with CD</w:t>
            </w:r>
          </w:p>
          <w:p w14:paraId="141B20CC" w14:textId="77777777" w:rsidR="008B4DF8" w:rsidRPr="00C1603D" w:rsidRDefault="008B4DF8" w:rsidP="0006475E">
            <w:pPr>
              <w:pStyle w:val="722TablebulletlistTablesTableFigureBoxstyles"/>
            </w:pPr>
            <w:r w:rsidRPr="00C1603D">
              <w:t>IgA deficiency</w:t>
            </w:r>
          </w:p>
          <w:p w14:paraId="6FC5FBE9" w14:textId="77777777" w:rsidR="008B4DF8" w:rsidRPr="00C1603D" w:rsidRDefault="008B4DF8" w:rsidP="0006475E">
            <w:pPr>
              <w:pStyle w:val="722TablebulletlistTablesTableFigureBoxstyles"/>
            </w:pPr>
            <w:r w:rsidRPr="00C1603D">
              <w:t>Turner syndrome</w:t>
            </w:r>
          </w:p>
          <w:p w14:paraId="195E16A1" w14:textId="77777777" w:rsidR="008B4DF8" w:rsidRPr="00C1603D" w:rsidRDefault="008B4DF8" w:rsidP="0006475E">
            <w:pPr>
              <w:pStyle w:val="722TablebulletlistTablesTableFigureBoxstyles"/>
            </w:pPr>
            <w:r w:rsidRPr="00C1603D">
              <w:t>Type 1 diabetes</w:t>
            </w:r>
          </w:p>
        </w:tc>
        <w:tc>
          <w:tcPr>
            <w:tcW w:w="0" w:type="auto"/>
            <w:shd w:val="clear" w:color="auto" w:fill="auto"/>
          </w:tcPr>
          <w:p w14:paraId="4996D111" w14:textId="2044DD8C" w:rsidR="008B4DF8" w:rsidRPr="00C1603D" w:rsidRDefault="008B4DF8" w:rsidP="0006475E">
            <w:pPr>
              <w:pStyle w:val="722TablebulletlistTablesTableFigureBoxstyles"/>
            </w:pPr>
            <w:r w:rsidRPr="00C1603D">
              <w:t>Anaemia, fatigue</w:t>
            </w:r>
            <w:r w:rsidR="001E41C4" w:rsidRPr="00C1603D">
              <w:t>,</w:t>
            </w:r>
            <w:r w:rsidRPr="00C1603D">
              <w:rPr>
                <w:vertAlign w:val="superscript"/>
              </w:rPr>
              <w:t>a</w:t>
            </w:r>
            <w:r w:rsidRPr="00C1603D">
              <w:t xml:space="preserve"> GI symptoms</w:t>
            </w:r>
            <w:r w:rsidR="001E41C4" w:rsidRPr="00C1603D">
              <w:rPr>
                <w:vertAlign w:val="superscript"/>
              </w:rPr>
              <w:t>a</w:t>
            </w:r>
            <w:r w:rsidRPr="00C1603D">
              <w:t xml:space="preserve"> </w:t>
            </w:r>
            <w:r w:rsidR="001E41C4" w:rsidRPr="00C1603D">
              <w:t>(</w:t>
            </w:r>
            <w:r w:rsidRPr="00C1603D">
              <w:t xml:space="preserve">and four times </w:t>
            </w:r>
            <w:r w:rsidR="001E41C4" w:rsidRPr="00C1603D">
              <w:t>in previous</w:t>
            </w:r>
            <w:r w:rsidRPr="00C1603D">
              <w:t xml:space="preserve"> year</w:t>
            </w:r>
            <w:r w:rsidR="001E41C4" w:rsidRPr="00C1603D">
              <w:t>)</w:t>
            </w:r>
            <w:r w:rsidRPr="00C1603D">
              <w:t>, iron/</w:t>
            </w:r>
            <w:r w:rsidR="001E41C4" w:rsidRPr="00C1603D">
              <w:t xml:space="preserve">vitamin </w:t>
            </w:r>
            <w:r w:rsidRPr="00C1603D">
              <w:t>B</w:t>
            </w:r>
            <w:r w:rsidRPr="00C1603D">
              <w:rPr>
                <w:vertAlign w:val="subscript"/>
              </w:rPr>
              <w:t>12</w:t>
            </w:r>
            <w:r w:rsidRPr="00C1603D">
              <w:t>/folate deficiency, thyroid disorder</w:t>
            </w:r>
          </w:p>
          <w:p w14:paraId="39DF43F4" w14:textId="38451F0E" w:rsidR="008B4DF8" w:rsidRPr="00C1603D" w:rsidRDefault="008B4DF8" w:rsidP="0006475E">
            <w:pPr>
              <w:pStyle w:val="722TablebulletlistTablesTableFigureBoxstyles"/>
            </w:pPr>
            <w:r w:rsidRPr="00C1603D">
              <w:t>Anaemia, fatigue</w:t>
            </w:r>
            <w:r w:rsidR="001E41C4" w:rsidRPr="00C1603D">
              <w:rPr>
                <w:vertAlign w:val="superscript"/>
              </w:rPr>
              <w:t>a</w:t>
            </w:r>
            <w:r w:rsidR="001E41C4" w:rsidRPr="00C1603D">
              <w:t xml:space="preserve"> (</w:t>
            </w:r>
            <w:r w:rsidRPr="00C1603D">
              <w:t xml:space="preserve">and three times </w:t>
            </w:r>
            <w:r w:rsidR="001E41C4" w:rsidRPr="00C1603D">
              <w:t>in previous</w:t>
            </w:r>
            <w:r w:rsidRPr="00C1603D">
              <w:t xml:space="preserve"> year</w:t>
            </w:r>
            <w:r w:rsidR="001E41C4" w:rsidRPr="00C1603D">
              <w:t>)</w:t>
            </w:r>
            <w:r w:rsidRPr="00C1603D">
              <w:t>, GI symptoms</w:t>
            </w:r>
            <w:r w:rsidR="001E41C4" w:rsidRPr="00C1603D">
              <w:rPr>
                <w:vertAlign w:val="superscript"/>
              </w:rPr>
              <w:t>a</w:t>
            </w:r>
            <w:r w:rsidR="001E41C4" w:rsidRPr="00C1603D">
              <w:t xml:space="preserve"> (</w:t>
            </w:r>
            <w:r w:rsidRPr="00C1603D">
              <w:t xml:space="preserve">and twice </w:t>
            </w:r>
            <w:r w:rsidR="001E41C4" w:rsidRPr="00C1603D">
              <w:t>in previous</w:t>
            </w:r>
            <w:r w:rsidRPr="00C1603D">
              <w:t xml:space="preserve"> year</w:t>
            </w:r>
            <w:r w:rsidR="001E41C4" w:rsidRPr="00C1603D">
              <w:t>)</w:t>
            </w:r>
            <w:r w:rsidRPr="00C1603D">
              <w:t xml:space="preserve">, </w:t>
            </w:r>
            <w:r w:rsidR="001E41C4" w:rsidRPr="00C1603D">
              <w:t>inflammatory bowel disease</w:t>
            </w:r>
            <w:r w:rsidRPr="00C1603D">
              <w:t>, osteoporosis</w:t>
            </w:r>
            <w:r w:rsidR="001E41C4" w:rsidRPr="00C1603D">
              <w:t>,</w:t>
            </w:r>
            <w:r w:rsidRPr="00C1603D">
              <w:t xml:space="preserve"> thyroid disorder</w:t>
            </w:r>
          </w:p>
          <w:p w14:paraId="453ECC1F" w14:textId="36529CFD" w:rsidR="008B4DF8" w:rsidRPr="00C1603D" w:rsidRDefault="008B4DF8" w:rsidP="0006475E">
            <w:pPr>
              <w:pStyle w:val="722TablebulletlistTablesTableFigureBoxstyles"/>
            </w:pPr>
            <w:r w:rsidRPr="00C1603D">
              <w:t>Anaemia, CVD, GI symptoms</w:t>
            </w:r>
            <w:r w:rsidRPr="00C1603D">
              <w:rPr>
                <w:vertAlign w:val="superscript"/>
              </w:rPr>
              <w:t>a</w:t>
            </w:r>
            <w:r w:rsidRPr="00C1603D">
              <w:t xml:space="preserve"> </w:t>
            </w:r>
            <w:r w:rsidR="001E41C4" w:rsidRPr="00C1603D">
              <w:t>(</w:t>
            </w:r>
            <w:r w:rsidRPr="00C1603D">
              <w:t xml:space="preserve">and </w:t>
            </w:r>
            <w:r w:rsidR="001E41C4" w:rsidRPr="00C1603D">
              <w:t>four</w:t>
            </w:r>
            <w:r w:rsidRPr="00C1603D">
              <w:t xml:space="preserve"> times </w:t>
            </w:r>
            <w:r w:rsidR="001E41C4" w:rsidRPr="00C1603D">
              <w:t xml:space="preserve">in </w:t>
            </w:r>
            <w:r w:rsidR="006400B7" w:rsidRPr="00C1603D">
              <w:t>previous</w:t>
            </w:r>
            <w:r w:rsidRPr="00C1603D">
              <w:t xml:space="preserve"> year</w:t>
            </w:r>
            <w:r w:rsidR="001E41C4" w:rsidRPr="00C1603D">
              <w:t>)</w:t>
            </w:r>
            <w:r w:rsidRPr="00C1603D">
              <w:t>, iron/</w:t>
            </w:r>
            <w:r w:rsidR="001E41C4" w:rsidRPr="00C1603D">
              <w:rPr>
                <w:lang w:val="it-IT"/>
              </w:rPr>
              <w:t>vitamin B</w:t>
            </w:r>
            <w:r w:rsidR="001E41C4" w:rsidRPr="00C1603D">
              <w:rPr>
                <w:vertAlign w:val="subscript"/>
                <w:lang w:val="it-IT"/>
              </w:rPr>
              <w:t>12</w:t>
            </w:r>
            <w:r w:rsidRPr="00C1603D">
              <w:t>/folate deficiency, weight loss</w:t>
            </w:r>
          </w:p>
        </w:tc>
        <w:tc>
          <w:tcPr>
            <w:tcW w:w="0" w:type="auto"/>
            <w:shd w:val="clear" w:color="auto" w:fill="auto"/>
          </w:tcPr>
          <w:p w14:paraId="15298AFE" w14:textId="73553739" w:rsidR="008B4DF8" w:rsidRPr="00C1603D" w:rsidRDefault="008B4DF8" w:rsidP="0006475E">
            <w:pPr>
              <w:pStyle w:val="722TablebulletlistTablesTableFigureBoxstyles"/>
            </w:pPr>
            <w:r w:rsidRPr="00C1603D">
              <w:t>Fatigue</w:t>
            </w:r>
            <w:r w:rsidR="00B30B20" w:rsidRPr="00C1603D">
              <w:t>,</w:t>
            </w:r>
            <w:r w:rsidRPr="00C1603D">
              <w:rPr>
                <w:vertAlign w:val="superscript"/>
              </w:rPr>
              <w:t>a</w:t>
            </w:r>
            <w:r w:rsidRPr="00C1603D">
              <w:t xml:space="preserve"> GI symptoms</w:t>
            </w:r>
            <w:r w:rsidR="00B30B20" w:rsidRPr="00C1603D">
              <w:t>,</w:t>
            </w:r>
            <w:r w:rsidRPr="00C1603D">
              <w:rPr>
                <w:vertAlign w:val="superscript"/>
              </w:rPr>
              <w:t>a</w:t>
            </w:r>
            <w:r w:rsidRPr="00C1603D">
              <w:t xml:space="preserve"> iron/</w:t>
            </w:r>
            <w:r w:rsidR="00B30B20" w:rsidRPr="00C1603D">
              <w:rPr>
                <w:lang w:val="it-IT"/>
              </w:rPr>
              <w:t>vitamin B</w:t>
            </w:r>
            <w:r w:rsidR="00B30B20" w:rsidRPr="00C1603D">
              <w:rPr>
                <w:vertAlign w:val="subscript"/>
                <w:lang w:val="it-IT"/>
              </w:rPr>
              <w:t>12</w:t>
            </w:r>
            <w:r w:rsidRPr="00C1603D">
              <w:t>/folate deficiency</w:t>
            </w:r>
          </w:p>
          <w:p w14:paraId="75C601EB" w14:textId="1A32EF98" w:rsidR="008B4DF8" w:rsidRPr="00C1603D" w:rsidRDefault="00B30B20" w:rsidP="0006475E">
            <w:pPr>
              <w:pStyle w:val="722TablebulletlistTablesTableFigureBoxstyles"/>
            </w:pPr>
            <w:r w:rsidRPr="00C1603D">
              <w:t>Fatigue</w:t>
            </w:r>
            <w:r w:rsidRPr="00C1603D">
              <w:rPr>
                <w:vertAlign w:val="superscript"/>
              </w:rPr>
              <w:t>a</w:t>
            </w:r>
            <w:r w:rsidRPr="00C1603D">
              <w:t xml:space="preserve"> (</w:t>
            </w:r>
            <w:r w:rsidR="008B4DF8" w:rsidRPr="00C1603D">
              <w:t xml:space="preserve">and once </w:t>
            </w:r>
            <w:r w:rsidRPr="00C1603D">
              <w:t>in previous</w:t>
            </w:r>
            <w:r w:rsidR="008B4DF8" w:rsidRPr="00C1603D">
              <w:t xml:space="preserve"> year</w:t>
            </w:r>
            <w:r w:rsidRPr="00C1603D">
              <w:t>)</w:t>
            </w:r>
            <w:r w:rsidR="008B4DF8" w:rsidRPr="00C1603D">
              <w:t>, GI symptoms</w:t>
            </w:r>
            <w:r w:rsidRPr="00C1603D">
              <w:t>,</w:t>
            </w:r>
            <w:r w:rsidR="008B4DF8" w:rsidRPr="00C1603D">
              <w:rPr>
                <w:vertAlign w:val="superscript"/>
              </w:rPr>
              <w:t>a</w:t>
            </w:r>
            <w:r w:rsidR="008B4DF8" w:rsidRPr="00C1603D">
              <w:t xml:space="preserve"> thyroid disorders</w:t>
            </w:r>
          </w:p>
          <w:p w14:paraId="484497CC" w14:textId="6E8B0301" w:rsidR="008B4DF8" w:rsidRPr="00C1603D" w:rsidRDefault="008B4DF8" w:rsidP="0006475E">
            <w:pPr>
              <w:pStyle w:val="722TablebulletlistTablesTableFigureBoxstyles"/>
            </w:pPr>
            <w:r w:rsidRPr="00C1603D">
              <w:t>GI symptoms</w:t>
            </w:r>
            <w:r w:rsidRPr="00C1603D">
              <w:rPr>
                <w:vertAlign w:val="superscript"/>
              </w:rPr>
              <w:t>a</w:t>
            </w:r>
            <w:r w:rsidRPr="00C1603D">
              <w:t xml:space="preserve"> </w:t>
            </w:r>
            <w:r w:rsidR="00B30B20" w:rsidRPr="00C1603D">
              <w:t>(</w:t>
            </w:r>
            <w:r w:rsidRPr="00C1603D">
              <w:t xml:space="preserve">and </w:t>
            </w:r>
            <w:r w:rsidR="00B30B20" w:rsidRPr="00C1603D">
              <w:t>four</w:t>
            </w:r>
            <w:r w:rsidRPr="00C1603D">
              <w:t xml:space="preserve"> times </w:t>
            </w:r>
            <w:r w:rsidR="00B30B20" w:rsidRPr="00C1603D">
              <w:t>in previous</w:t>
            </w:r>
            <w:r w:rsidRPr="00C1603D">
              <w:t xml:space="preserve"> year</w:t>
            </w:r>
            <w:r w:rsidR="00B30B20" w:rsidRPr="00C1603D">
              <w:t>)</w:t>
            </w:r>
            <w:r w:rsidRPr="00C1603D">
              <w:t>, IBS</w:t>
            </w:r>
          </w:p>
          <w:p w14:paraId="0A8037AB" w14:textId="019ADDFF" w:rsidR="008B4DF8" w:rsidRPr="00C1603D" w:rsidRDefault="008B4DF8" w:rsidP="0006475E">
            <w:pPr>
              <w:pStyle w:val="722TablebulletlistTablesTableFigureBoxstyles"/>
            </w:pPr>
            <w:r w:rsidRPr="00C1603D">
              <w:t>CVD, GI symptoms</w:t>
            </w:r>
            <w:r w:rsidRPr="00C1603D">
              <w:rPr>
                <w:vertAlign w:val="superscript"/>
              </w:rPr>
              <w:t>a</w:t>
            </w:r>
            <w:r w:rsidRPr="00C1603D">
              <w:t xml:space="preserve"> </w:t>
            </w:r>
            <w:r w:rsidR="00B30B20" w:rsidRPr="00C1603D">
              <w:t>(</w:t>
            </w:r>
            <w:r w:rsidRPr="00C1603D">
              <w:t xml:space="preserve">and once </w:t>
            </w:r>
            <w:r w:rsidR="00B30B20" w:rsidRPr="00C1603D">
              <w:t>in previous</w:t>
            </w:r>
            <w:r w:rsidRPr="00C1603D">
              <w:t xml:space="preserve"> year</w:t>
            </w:r>
            <w:r w:rsidR="00B30B20" w:rsidRPr="00C1603D">
              <w:t>)</w:t>
            </w:r>
            <w:r w:rsidRPr="00C1603D">
              <w:t>, mouth ulcers</w:t>
            </w:r>
            <w:r w:rsidRPr="00C1603D">
              <w:rPr>
                <w:vertAlign w:val="superscript"/>
              </w:rPr>
              <w:t>a</w:t>
            </w:r>
            <w:r w:rsidRPr="00C1603D">
              <w:t xml:space="preserve"> </w:t>
            </w:r>
            <w:r w:rsidR="00B30B20" w:rsidRPr="00C1603D">
              <w:t>(</w:t>
            </w:r>
            <w:r w:rsidRPr="00C1603D">
              <w:t xml:space="preserve">and twice </w:t>
            </w:r>
            <w:r w:rsidR="00B30B20" w:rsidRPr="00C1603D">
              <w:t>in previous</w:t>
            </w:r>
            <w:r w:rsidRPr="00C1603D">
              <w:t xml:space="preserve"> year</w:t>
            </w:r>
            <w:r w:rsidR="00B30B20" w:rsidRPr="00C1603D">
              <w:t>)</w:t>
            </w:r>
          </w:p>
        </w:tc>
      </w:tr>
      <w:tr w:rsidR="00B163BE" w:rsidRPr="00C1603D" w14:paraId="56BFEDD8" w14:textId="77777777" w:rsidTr="0006475E">
        <w:trPr>
          <w:cantSplit/>
        </w:trPr>
        <w:tc>
          <w:tcPr>
            <w:tcW w:w="0" w:type="auto"/>
            <w:gridSpan w:val="4"/>
            <w:shd w:val="clear" w:color="auto" w:fill="auto"/>
          </w:tcPr>
          <w:p w14:paraId="5DA882E5" w14:textId="65ACFE3C" w:rsidR="001E41C4" w:rsidRPr="00C1603D" w:rsidRDefault="001E41C4" w:rsidP="0006475E">
            <w:pPr>
              <w:pStyle w:val="75TablenotesTablesTableFigureBoxstyles"/>
            </w:pPr>
            <w:r w:rsidRPr="00C1603D">
              <w:t>CVD, cardiovascular disease; FDR, first-degree relative.</w:t>
            </w:r>
          </w:p>
          <w:p w14:paraId="4C904BFC" w14:textId="79AD0AE4" w:rsidR="0006475E" w:rsidRPr="00C1603D" w:rsidRDefault="0006475E" w:rsidP="0006475E">
            <w:pPr>
              <w:pStyle w:val="75TablenotesTablesTableFigureBoxstyles"/>
            </w:pPr>
            <w:r w:rsidRPr="00C1603D">
              <w:t>a</w:t>
            </w:r>
            <w:r w:rsidRPr="00C1603D">
              <w:tab/>
              <w:t>Symptoms that occurred within the previous 10 years.</w:t>
            </w:r>
          </w:p>
        </w:tc>
      </w:tr>
    </w:tbl>
    <w:p w14:paraId="171E46F9" w14:textId="30198C7F" w:rsidR="008B4DF8" w:rsidRPr="00C1603D" w:rsidRDefault="008B4DF8" w:rsidP="008B4DF8">
      <w:pPr>
        <w:pStyle w:val="602TextfoTextstylesTextstyles"/>
        <w:rPr>
          <w:color w:val="auto"/>
        </w:rPr>
      </w:pPr>
      <w:r w:rsidRPr="00C1603D">
        <w:t xml:space="preserve">The ROC curves in </w:t>
      </w:r>
      <w:r w:rsidRPr="00C1603D">
        <w:rPr>
          <w:i/>
          <w:color w:val="FF0000"/>
        </w:rPr>
        <w:t xml:space="preserve">Figure </w:t>
      </w:r>
      <w:r w:rsidRPr="00C1603D">
        <w:rPr>
          <w:i/>
          <w:noProof/>
          <w:color w:val="FF0000"/>
        </w:rPr>
        <w:t>2</w:t>
      </w:r>
      <w:r w:rsidRPr="00C1603D">
        <w:t xml:space="preserve"> show that the model performs less well </w:t>
      </w:r>
      <w:r w:rsidR="000B7BF9" w:rsidRPr="00C1603D">
        <w:t>with</w:t>
      </w:r>
      <w:r w:rsidRPr="00C1603D">
        <w:t xml:space="preserve"> the external data and the ROC curves are closer to the chance line, corresponding to a lower </w:t>
      </w:r>
      <w:r w:rsidR="008B5148" w:rsidRPr="00C1603D">
        <w:rPr>
          <w:i/>
          <w:iCs/>
        </w:rPr>
        <w:t>c</w:t>
      </w:r>
      <w:r w:rsidR="008B5148" w:rsidRPr="00C1603D">
        <w:t>-stat</w:t>
      </w:r>
      <w:r w:rsidRPr="00C1603D">
        <w:t xml:space="preserve">istic. When applying the prediction rule in the external </w:t>
      </w:r>
      <w:r w:rsidRPr="00C1603D">
        <w:rPr>
          <w:color w:val="auto"/>
        </w:rPr>
        <w:t xml:space="preserve">validation data sets, at </w:t>
      </w:r>
      <w:r w:rsidRPr="00C1603D">
        <w:t>the 20% threshold for children</w:t>
      </w:r>
      <w:r w:rsidR="007D3D99" w:rsidRPr="00C1603D">
        <w:t>,</w:t>
      </w:r>
      <w:r w:rsidRPr="00C1603D">
        <w:t xml:space="preserve"> 95% of </w:t>
      </w:r>
      <w:r w:rsidR="00512EFB" w:rsidRPr="00C1603D">
        <w:t xml:space="preserve">people with </w:t>
      </w:r>
      <w:r w:rsidRPr="00C1603D">
        <w:t>CD are missed</w:t>
      </w:r>
      <w:r w:rsidR="007D3D99" w:rsidRPr="00C1603D">
        <w:t>;</w:t>
      </w:r>
      <w:r w:rsidRPr="00C1603D">
        <w:t xml:space="preserve"> at the 5% threshold for women</w:t>
      </w:r>
      <w:r w:rsidR="007D3D99" w:rsidRPr="00C1603D">
        <w:t>,</w:t>
      </w:r>
      <w:r w:rsidRPr="00C1603D">
        <w:t xml:space="preserve"> 86% </w:t>
      </w:r>
      <w:r w:rsidR="007D3D99" w:rsidRPr="00C1603D">
        <w:t xml:space="preserve">of </w:t>
      </w:r>
      <w:r w:rsidR="00512EFB" w:rsidRPr="00C1603D">
        <w:t xml:space="preserve">people with CD are </w:t>
      </w:r>
      <w:r w:rsidRPr="00C1603D">
        <w:t>missed</w:t>
      </w:r>
      <w:r w:rsidR="007D3D99" w:rsidRPr="00C1603D">
        <w:t>;</w:t>
      </w:r>
      <w:r w:rsidRPr="00C1603D">
        <w:t xml:space="preserve"> and </w:t>
      </w:r>
      <w:r w:rsidR="007D3D99" w:rsidRPr="00C1603D">
        <w:t xml:space="preserve">at the </w:t>
      </w:r>
      <w:r w:rsidRPr="00C1603D">
        <w:t xml:space="preserve">10% </w:t>
      </w:r>
      <w:r w:rsidR="007D3D99" w:rsidRPr="00C1603D">
        <w:t xml:space="preserve">threshold </w:t>
      </w:r>
      <w:r w:rsidRPr="00C1603D">
        <w:t>for men</w:t>
      </w:r>
      <w:r w:rsidR="007D3D99" w:rsidRPr="00C1603D">
        <w:t>,</w:t>
      </w:r>
      <w:r w:rsidRPr="00C1603D">
        <w:t xml:space="preserve"> 94% of </w:t>
      </w:r>
      <w:r w:rsidR="00512EFB" w:rsidRPr="00C1603D">
        <w:t xml:space="preserve">people with CD </w:t>
      </w:r>
      <w:r w:rsidRPr="00C1603D">
        <w:t xml:space="preserve">are missed. However, lower thresholds </w:t>
      </w:r>
      <w:proofErr w:type="gramStart"/>
      <w:r w:rsidRPr="00C1603D">
        <w:t>still appear to be</w:t>
      </w:r>
      <w:proofErr w:type="gramEnd"/>
      <w:r w:rsidRPr="00C1603D">
        <w:t xml:space="preserve"> able to pick up more than the one in three</w:t>
      </w:r>
      <w:r w:rsidR="00512EFB" w:rsidRPr="00C1603D">
        <w:t xml:space="preserve"> people with CD</w:t>
      </w:r>
      <w:r w:rsidR="00A56426" w:rsidRPr="00C1603D">
        <w:t>,</w:t>
      </w:r>
      <w:r w:rsidRPr="00C1603D">
        <w:t xml:space="preserve"> which is </w:t>
      </w:r>
      <w:r w:rsidR="00A56426" w:rsidRPr="00C1603D">
        <w:t>how many people</w:t>
      </w:r>
      <w:r w:rsidR="007648E4" w:rsidRPr="00C1603D">
        <w:t xml:space="preserve"> with CD</w:t>
      </w:r>
      <w:r w:rsidR="00A56426" w:rsidRPr="00C1603D">
        <w:t xml:space="preserve"> are thought to currently have a CD diagnosis </w:t>
      </w:r>
      <w:r w:rsidRPr="00C1603D">
        <w:t>(</w:t>
      </w:r>
      <w:r w:rsidR="00A56426" w:rsidRPr="00C1603D">
        <w:t xml:space="preserve">see </w:t>
      </w:r>
      <w:r w:rsidRPr="00C1603D">
        <w:rPr>
          <w:i/>
          <w:iCs/>
        </w:rPr>
        <w:t>Appendix 13</w:t>
      </w:r>
      <w:r w:rsidR="00A56426" w:rsidRPr="00C1603D">
        <w:rPr>
          <w:color w:val="auto"/>
        </w:rPr>
        <w:t>,</w:t>
      </w:r>
      <w:r w:rsidRPr="00C1603D">
        <w:rPr>
          <w:color w:val="auto"/>
        </w:rPr>
        <w:t xml:space="preserve"> </w:t>
      </w:r>
      <w:r w:rsidRPr="00C1603D">
        <w:rPr>
          <w:i/>
          <w:color w:val="auto"/>
        </w:rPr>
        <w:t xml:space="preserve">Table </w:t>
      </w:r>
      <w:r w:rsidRPr="00C1603D">
        <w:rPr>
          <w:i/>
          <w:noProof/>
          <w:color w:val="auto"/>
        </w:rPr>
        <w:t>5</w:t>
      </w:r>
      <w:r w:rsidR="007C2375" w:rsidRPr="00C1603D">
        <w:rPr>
          <w:i/>
          <w:noProof/>
          <w:color w:val="auto"/>
        </w:rPr>
        <w:t>6</w:t>
      </w:r>
      <w:r w:rsidRPr="00C1603D">
        <w:rPr>
          <w:color w:val="auto"/>
        </w:rPr>
        <w:t>).</w:t>
      </w:r>
    </w:p>
    <w:p w14:paraId="275140AF" w14:textId="247C0C8B" w:rsidR="008B4DF8" w:rsidRPr="00C1603D" w:rsidRDefault="008B4DF8" w:rsidP="0011772D">
      <w:pPr>
        <w:pStyle w:val="81FigurelegendTableFigureBoxstyles"/>
      </w:pPr>
      <w:bookmarkStart w:id="231" w:name="_Toc99720783"/>
      <w:r w:rsidRPr="00C1603D">
        <w:rPr>
          <w:b/>
        </w:rPr>
        <w:t>FIGURE 2</w:t>
      </w:r>
      <w:r w:rsidRPr="00C1603D">
        <w:rPr>
          <w:b/>
        </w:rPr>
        <w:t> </w:t>
      </w:r>
      <w:r w:rsidR="007648E4" w:rsidRPr="00C1603D">
        <w:rPr>
          <w:bCs/>
        </w:rPr>
        <w:t xml:space="preserve">The </w:t>
      </w:r>
      <w:r w:rsidRPr="00C1603D">
        <w:t>ROC curves model development</w:t>
      </w:r>
      <w:bookmarkEnd w:id="231"/>
      <w:r w:rsidR="007648E4" w:rsidRPr="00C1603D">
        <w:t>.</w:t>
      </w:r>
      <w:r w:rsidR="007432B4" w:rsidRPr="00C1603D">
        <w:t xml:space="preserve"> (a) Children</w:t>
      </w:r>
      <w:r w:rsidR="00B41FC0" w:rsidRPr="00C1603D">
        <w:t>:</w:t>
      </w:r>
      <w:r w:rsidR="007432B4" w:rsidRPr="00C1603D">
        <w:t xml:space="preserve"> development sample; (b) </w:t>
      </w:r>
      <w:r w:rsidR="009B01AF" w:rsidRPr="00C1603D">
        <w:t>children</w:t>
      </w:r>
      <w:r w:rsidR="00B41FC0" w:rsidRPr="00C1603D">
        <w:t>:</w:t>
      </w:r>
      <w:r w:rsidR="009B01AF" w:rsidRPr="00C1603D">
        <w:t xml:space="preserve"> external validation; (c) </w:t>
      </w:r>
      <w:r w:rsidR="00751B66" w:rsidRPr="00C1603D">
        <w:t>women</w:t>
      </w:r>
      <w:r w:rsidR="00B41FC0" w:rsidRPr="00C1603D">
        <w:t>:</w:t>
      </w:r>
      <w:r w:rsidR="00751B66" w:rsidRPr="00C1603D">
        <w:t xml:space="preserve"> development sample; (d) women</w:t>
      </w:r>
      <w:r w:rsidR="00B41FC0" w:rsidRPr="00C1603D">
        <w:t>:</w:t>
      </w:r>
      <w:r w:rsidR="00751B66" w:rsidRPr="00C1603D">
        <w:t xml:space="preserve"> external validation; (e) men</w:t>
      </w:r>
      <w:r w:rsidR="00B41FC0" w:rsidRPr="00C1603D">
        <w:t>:</w:t>
      </w:r>
      <w:r w:rsidR="00751B66" w:rsidRPr="00C1603D">
        <w:t xml:space="preserve"> development sample; (f) men</w:t>
      </w:r>
      <w:r w:rsidR="00B41FC0" w:rsidRPr="00C1603D">
        <w:t>:</w:t>
      </w:r>
      <w:r w:rsidR="00751B66" w:rsidRPr="00C1603D">
        <w:t xml:space="preserve"> external validation.</w:t>
      </w:r>
      <w:r w:rsidR="0011772D" w:rsidRPr="00C1603D">
        <w:t xml:space="preserve"> </w:t>
      </w:r>
      <w:r w:rsidRPr="00C1603D">
        <w:t xml:space="preserve">Thresholds </w:t>
      </w:r>
      <w:proofErr w:type="gramStart"/>
      <w:r w:rsidRPr="00C1603D">
        <w:t>are shown</w:t>
      </w:r>
      <w:proofErr w:type="gramEnd"/>
      <w:r w:rsidRPr="00C1603D">
        <w:t xml:space="preserve"> that result in a 1%, 1.5%, 2%, 5%, 10% and 20% PPV. The same thresholds </w:t>
      </w:r>
      <w:proofErr w:type="gramStart"/>
      <w:r w:rsidRPr="00C1603D">
        <w:t>are applied</w:t>
      </w:r>
      <w:proofErr w:type="gramEnd"/>
      <w:r w:rsidRPr="00C1603D">
        <w:t xml:space="preserve"> on the external data.</w:t>
      </w:r>
      <w:r w:rsidR="00450834" w:rsidRPr="00C1603D">
        <w:t xml:space="preserve"> FPR, false positive rate</w:t>
      </w:r>
      <w:r w:rsidR="00E36924" w:rsidRPr="00C1603D">
        <w:t>; TPR, true positive rate</w:t>
      </w:r>
      <w:r w:rsidR="00450834" w:rsidRPr="00C1603D">
        <w:t>.</w:t>
      </w:r>
    </w:p>
    <w:p w14:paraId="732B30F2" w14:textId="04164D9F" w:rsidR="008B4DF8" w:rsidRPr="00C1603D" w:rsidRDefault="008B4DF8" w:rsidP="008B4DF8">
      <w:pPr>
        <w:pStyle w:val="53BheadHeadingsHeadingstyles"/>
      </w:pPr>
      <w:bookmarkStart w:id="232" w:name="_Toc99539852"/>
      <w:r w:rsidRPr="00C1603D">
        <w:t xml:space="preserve">Sensitivity analysis on </w:t>
      </w:r>
      <w:r w:rsidR="00512EFB" w:rsidRPr="00C1603D">
        <w:t>coeliac disease</w:t>
      </w:r>
      <w:r w:rsidRPr="00C1603D">
        <w:t xml:space="preserve"> patients diagnosed after 1997</w:t>
      </w:r>
      <w:bookmarkEnd w:id="232"/>
    </w:p>
    <w:p w14:paraId="5B0196AB" w14:textId="3F42DA4C" w:rsidR="008B4DF8" w:rsidRPr="00C1603D" w:rsidRDefault="008B4DF8" w:rsidP="008B4DF8">
      <w:pPr>
        <w:pStyle w:val="602TextfoTextstylesTextstyles"/>
        <w:rPr>
          <w:rFonts w:cs="Calibri"/>
        </w:rPr>
      </w:pPr>
      <w:r w:rsidRPr="00C1603D">
        <w:t xml:space="preserve">The vast majority of patients in the </w:t>
      </w:r>
      <w:r w:rsidR="00C20CA0" w:rsidRPr="00C1603D">
        <w:rPr>
          <w:color w:val="auto"/>
        </w:rPr>
        <w:t>CPRD GOLD</w:t>
      </w:r>
      <w:r w:rsidRPr="00C1603D">
        <w:rPr>
          <w:color w:val="auto"/>
        </w:rPr>
        <w:t xml:space="preserve"> data set were diagnosed after 1997, so limiting the analysis to these patients did not make </w:t>
      </w:r>
      <w:proofErr w:type="gramStart"/>
      <w:r w:rsidRPr="00C1603D">
        <w:rPr>
          <w:color w:val="auto"/>
        </w:rPr>
        <w:t>a big impact</w:t>
      </w:r>
      <w:proofErr w:type="gramEnd"/>
      <w:r w:rsidRPr="00C1603D">
        <w:rPr>
          <w:color w:val="auto"/>
        </w:rPr>
        <w:t xml:space="preserve"> on sample size. For this sensitivity analysis, </w:t>
      </w:r>
      <w:r w:rsidRPr="00C1603D">
        <w:rPr>
          <w:rFonts w:cs="Calibri"/>
          <w:color w:val="auto"/>
        </w:rPr>
        <w:t xml:space="preserve">495 (3%) children, 2039 (4%) women and 1591 (4%) men were removed from the respective development data sets. Although there were minor changes in variable selection and model performance measures, the new models did not perform </w:t>
      </w:r>
      <w:proofErr w:type="gramStart"/>
      <w:r w:rsidRPr="00C1603D">
        <w:rPr>
          <w:rFonts w:cs="Calibri"/>
          <w:color w:val="auto"/>
        </w:rPr>
        <w:t>substantially better</w:t>
      </w:r>
      <w:proofErr w:type="gramEnd"/>
      <w:r w:rsidRPr="00C1603D">
        <w:rPr>
          <w:rFonts w:cs="Calibri"/>
          <w:color w:val="auto"/>
        </w:rPr>
        <w:t xml:space="preserve"> or </w:t>
      </w:r>
      <w:r w:rsidRPr="00C1603D">
        <w:rPr>
          <w:rFonts w:cs="Calibri"/>
        </w:rPr>
        <w:t>worse than the original models.</w:t>
      </w:r>
    </w:p>
    <w:p w14:paraId="66FE078B" w14:textId="77777777" w:rsidR="008B4DF8" w:rsidRPr="00C1603D" w:rsidRDefault="008B4DF8" w:rsidP="008B4DF8">
      <w:pPr>
        <w:pStyle w:val="54CheadHeadingsHeadingstyles"/>
      </w:pPr>
      <w:r w:rsidRPr="00C1603D">
        <w:t>Children</w:t>
      </w:r>
    </w:p>
    <w:p w14:paraId="3A744F24" w14:textId="2AAB3778" w:rsidR="008B4DF8" w:rsidRPr="00C1603D" w:rsidRDefault="008B4DF8" w:rsidP="008B4DF8">
      <w:pPr>
        <w:pStyle w:val="602TextfoTextstylesTextstyles"/>
      </w:pPr>
      <w:r w:rsidRPr="00C1603D">
        <w:t xml:space="preserve">The same predictors and two additional predictors, amenorrhoea and mouth ulcers (as count, 2 years prior to CD diagnosis), were included in the model. However, this did not seem to improve model performance: all performance measures were similar between the new and </w:t>
      </w:r>
      <w:r w:rsidR="000E35B3" w:rsidRPr="00C1603D">
        <w:t xml:space="preserve">the </w:t>
      </w:r>
      <w:r w:rsidRPr="00C1603D">
        <w:t>original model</w:t>
      </w:r>
      <w:r w:rsidR="000E35B3" w:rsidRPr="00C1603D">
        <w:t>s</w:t>
      </w:r>
      <w:r w:rsidRPr="00C1603D">
        <w:t xml:space="preserve"> (</w:t>
      </w:r>
      <w:r w:rsidRPr="00C1603D">
        <w:rPr>
          <w:i/>
          <w:iCs/>
        </w:rPr>
        <w:t>R</w:t>
      </w:r>
      <w:r w:rsidRPr="00C1603D">
        <w:rPr>
          <w:vertAlign w:val="superscript"/>
        </w:rPr>
        <w:t>2</w:t>
      </w:r>
      <w:r w:rsidR="000E35B3" w:rsidRPr="00C1603D">
        <w:t> = </w:t>
      </w:r>
      <w:r w:rsidRPr="00C1603D">
        <w:t>0.415, Brier score</w:t>
      </w:r>
      <w:r w:rsidR="000E35B3" w:rsidRPr="00C1603D">
        <w:t> = </w:t>
      </w:r>
      <w:r w:rsidRPr="00C1603D">
        <w:t xml:space="preserve">0.166, </w:t>
      </w:r>
      <w:r w:rsidR="000E35B3" w:rsidRPr="00C1603D">
        <w:rPr>
          <w:i/>
          <w:iCs/>
        </w:rPr>
        <w:t>c</w:t>
      </w:r>
      <w:r w:rsidR="008B5148" w:rsidRPr="00C1603D">
        <w:t>-stat</w:t>
      </w:r>
      <w:r w:rsidRPr="00C1603D">
        <w:t>istic</w:t>
      </w:r>
      <w:r w:rsidR="000E35B3" w:rsidRPr="00C1603D">
        <w:t> = </w:t>
      </w:r>
      <w:r w:rsidRPr="00C1603D">
        <w:t>0.827, calibration intercept</w:t>
      </w:r>
      <w:r w:rsidR="000E35B3" w:rsidRPr="00C1603D">
        <w:t> = </w:t>
      </w:r>
      <w:r w:rsidRPr="00C1603D">
        <w:t>0.113</w:t>
      </w:r>
      <w:r w:rsidR="000E35B3" w:rsidRPr="00C1603D">
        <w:t xml:space="preserve"> and</w:t>
      </w:r>
      <w:r w:rsidRPr="00C1603D">
        <w:t xml:space="preserve"> calibration slope</w:t>
      </w:r>
      <w:r w:rsidR="000E35B3" w:rsidRPr="00C1603D">
        <w:t> = </w:t>
      </w:r>
      <w:r w:rsidRPr="00C1603D">
        <w:t>1.011).</w:t>
      </w:r>
    </w:p>
    <w:p w14:paraId="1B0CE448" w14:textId="77777777" w:rsidR="008B4DF8" w:rsidRPr="00C1603D" w:rsidRDefault="008B4DF8" w:rsidP="008B4DF8">
      <w:pPr>
        <w:pStyle w:val="54CheadHeadingsHeadingstyles"/>
      </w:pPr>
      <w:r w:rsidRPr="00C1603D">
        <w:lastRenderedPageBreak/>
        <w:t>Women</w:t>
      </w:r>
    </w:p>
    <w:p w14:paraId="589E6D94" w14:textId="177D739A" w:rsidR="008B4DF8" w:rsidRPr="00C1603D" w:rsidRDefault="008B4DF8" w:rsidP="008B4DF8">
      <w:pPr>
        <w:pStyle w:val="602TextfoTextstylesTextstyles"/>
      </w:pPr>
      <w:r w:rsidRPr="00C1603D">
        <w:t>In the new model, inflammatory bowel disease, psoriasis, and neuropathy or ataxia were not included</w:t>
      </w:r>
      <w:r w:rsidR="003F34EC" w:rsidRPr="00C1603D">
        <w:t>,</w:t>
      </w:r>
      <w:r w:rsidRPr="00C1603D">
        <w:t xml:space="preserve"> following the same model selection criteria as for the original model. The new model performed similar</w:t>
      </w:r>
      <w:r w:rsidR="003F34EC" w:rsidRPr="00C1603D">
        <w:t>ly</w:t>
      </w:r>
      <w:r w:rsidRPr="00C1603D">
        <w:t xml:space="preserve"> to the original model (</w:t>
      </w:r>
      <w:r w:rsidRPr="00C1603D">
        <w:rPr>
          <w:i/>
          <w:iCs/>
        </w:rPr>
        <w:t>R</w:t>
      </w:r>
      <w:r w:rsidRPr="00C1603D">
        <w:rPr>
          <w:vertAlign w:val="superscript"/>
        </w:rPr>
        <w:t>2</w:t>
      </w:r>
      <w:r w:rsidR="003F34EC" w:rsidRPr="00C1603D">
        <w:t> = </w:t>
      </w:r>
      <w:r w:rsidRPr="00C1603D">
        <w:t>0.246</w:t>
      </w:r>
      <w:r w:rsidR="003F34EC" w:rsidRPr="00C1603D">
        <w:t>,</w:t>
      </w:r>
      <w:r w:rsidRPr="00C1603D">
        <w:t xml:space="preserve"> Brier scor</w:t>
      </w:r>
      <w:r w:rsidR="006D0907" w:rsidRPr="00C1603D">
        <w:t>e = </w:t>
      </w:r>
      <w:r w:rsidRPr="00C1603D">
        <w:t xml:space="preserve">0.222, </w:t>
      </w:r>
      <w:r w:rsidR="006D0907" w:rsidRPr="00C1603D">
        <w:rPr>
          <w:i/>
          <w:iCs/>
        </w:rPr>
        <w:t>c</w:t>
      </w:r>
      <w:r w:rsidR="008B5148" w:rsidRPr="00C1603D">
        <w:t>-stat</w:t>
      </w:r>
      <w:r w:rsidRPr="00C1603D">
        <w:t>istic</w:t>
      </w:r>
      <w:r w:rsidR="006D0907" w:rsidRPr="00C1603D">
        <w:t> = </w:t>
      </w:r>
      <w:r w:rsidRPr="00C1603D">
        <w:t>0.763, calibration intercept</w:t>
      </w:r>
      <w:r w:rsidR="006D0907" w:rsidRPr="00C1603D">
        <w:t> = </w:t>
      </w:r>
      <w:r w:rsidRPr="00C1603D">
        <w:rPr>
          <w:color w:val="00B0F0"/>
        </w:rPr>
        <w:t>–0</w:t>
      </w:r>
      <w:r w:rsidRPr="00C1603D">
        <w:t>.162</w:t>
      </w:r>
      <w:r w:rsidR="006D0907" w:rsidRPr="00C1603D">
        <w:t xml:space="preserve"> and</w:t>
      </w:r>
      <w:r w:rsidRPr="00C1603D">
        <w:t xml:space="preserve"> calibration slope</w:t>
      </w:r>
      <w:r w:rsidR="006D0907" w:rsidRPr="00C1603D">
        <w:t> = </w:t>
      </w:r>
      <w:r w:rsidRPr="00C1603D">
        <w:t>0.814).</w:t>
      </w:r>
    </w:p>
    <w:p w14:paraId="50DEB549" w14:textId="77777777" w:rsidR="008B4DF8" w:rsidRPr="00C1603D" w:rsidRDefault="008B4DF8" w:rsidP="008B4DF8">
      <w:pPr>
        <w:pStyle w:val="54CheadHeadingsHeadingstyles"/>
      </w:pPr>
      <w:r w:rsidRPr="00C1603D">
        <w:t>Men</w:t>
      </w:r>
    </w:p>
    <w:p w14:paraId="0ADD884A" w14:textId="32775AED" w:rsidR="008B4DF8" w:rsidRPr="00C1603D" w:rsidRDefault="008B4DF8" w:rsidP="008B4DF8">
      <w:pPr>
        <w:pStyle w:val="602TextfoTextstylesTextstyles"/>
      </w:pPr>
      <w:r w:rsidRPr="00C1603D">
        <w:t xml:space="preserve">The results were similar for men. With the same model selection procedure, epilepsy was not included in the new model, whereas abnormal liver function was included </w:t>
      </w:r>
      <w:r w:rsidR="0032673F" w:rsidRPr="00C1603D">
        <w:t>(</w:t>
      </w:r>
      <w:r w:rsidRPr="00C1603D">
        <w:t>which was not included in the original model</w:t>
      </w:r>
      <w:r w:rsidR="0032673F" w:rsidRPr="00C1603D">
        <w:t>)</w:t>
      </w:r>
      <w:r w:rsidRPr="00C1603D">
        <w:t>. However, model performance was similar to</w:t>
      </w:r>
      <w:r w:rsidR="0032673F" w:rsidRPr="00C1603D">
        <w:t xml:space="preserve"> that of</w:t>
      </w:r>
      <w:r w:rsidRPr="00C1603D">
        <w:t xml:space="preserve"> the original model (</w:t>
      </w:r>
      <w:r w:rsidRPr="00C1603D">
        <w:rPr>
          <w:i/>
          <w:iCs/>
        </w:rPr>
        <w:t>R</w:t>
      </w:r>
      <w:r w:rsidRPr="00C1603D">
        <w:rPr>
          <w:vertAlign w:val="superscript"/>
        </w:rPr>
        <w:t>2</w:t>
      </w:r>
      <w:r w:rsidR="0032673F" w:rsidRPr="00C1603D">
        <w:t> = </w:t>
      </w:r>
      <w:r w:rsidRPr="00C1603D">
        <w:t>0.282, Brier score</w:t>
      </w:r>
      <w:r w:rsidR="0032673F" w:rsidRPr="00C1603D">
        <w:t> = </w:t>
      </w:r>
      <w:r w:rsidRPr="00C1603D">
        <w:t xml:space="preserve">0.124, </w:t>
      </w:r>
      <w:r w:rsidR="0032673F" w:rsidRPr="00C1603D">
        <w:rPr>
          <w:i/>
          <w:iCs/>
        </w:rPr>
        <w:t>c</w:t>
      </w:r>
      <w:r w:rsidR="008B5148" w:rsidRPr="00C1603D">
        <w:t>-stat</w:t>
      </w:r>
      <w:r w:rsidRPr="00C1603D">
        <w:t>istic</w:t>
      </w:r>
      <w:r w:rsidR="0032673F" w:rsidRPr="00C1603D">
        <w:t> = </w:t>
      </w:r>
      <w:r w:rsidRPr="00C1603D">
        <w:t>0.797, calibration intercept</w:t>
      </w:r>
      <w:r w:rsidR="0032673F" w:rsidRPr="00C1603D">
        <w:t> = </w:t>
      </w:r>
      <w:r w:rsidRPr="00C1603D">
        <w:rPr>
          <w:color w:val="00B0F0"/>
        </w:rPr>
        <w:t>–0</w:t>
      </w:r>
      <w:r w:rsidRPr="00C1603D">
        <w:t>.543</w:t>
      </w:r>
      <w:r w:rsidR="0032673F" w:rsidRPr="00C1603D">
        <w:t xml:space="preserve"> and</w:t>
      </w:r>
      <w:r w:rsidRPr="00C1603D">
        <w:t xml:space="preserve"> calibration slope</w:t>
      </w:r>
      <w:r w:rsidR="0032673F" w:rsidRPr="00C1603D">
        <w:t> = </w:t>
      </w:r>
      <w:r w:rsidRPr="00C1603D">
        <w:t>0.829).</w:t>
      </w:r>
    </w:p>
    <w:p w14:paraId="6FC23F65" w14:textId="77777777" w:rsidR="008B4DF8" w:rsidRPr="00C1603D" w:rsidRDefault="008B4DF8" w:rsidP="008B4DF8">
      <w:pPr>
        <w:pStyle w:val="53BheadHeadingsHeadingstyles"/>
      </w:pPr>
      <w:bookmarkStart w:id="233" w:name="_Toc99539853"/>
      <w:r w:rsidRPr="00C1603D">
        <w:t>Sensitivity analysis including ethnicity and deprivation as predictions</w:t>
      </w:r>
      <w:bookmarkEnd w:id="233"/>
    </w:p>
    <w:p w14:paraId="0A06EE98" w14:textId="41706158" w:rsidR="008B4DF8" w:rsidRPr="00C1603D" w:rsidRDefault="008B4DF8" w:rsidP="008B4DF8">
      <w:pPr>
        <w:pStyle w:val="602TextfoTextstylesTextstyles"/>
        <w:rPr>
          <w:color w:val="auto"/>
        </w:rPr>
      </w:pPr>
      <w:r w:rsidRPr="00C1603D">
        <w:rPr>
          <w:color w:val="auto"/>
        </w:rPr>
        <w:t xml:space="preserve">Information on ethnicity and </w:t>
      </w:r>
      <w:r w:rsidR="009D3BB2" w:rsidRPr="00C1603D">
        <w:rPr>
          <w:color w:val="auto"/>
        </w:rPr>
        <w:t xml:space="preserve">2015 </w:t>
      </w:r>
      <w:r w:rsidRPr="00C1603D">
        <w:rPr>
          <w:color w:val="auto"/>
        </w:rPr>
        <w:t>IMD</w:t>
      </w:r>
      <w:r w:rsidR="009D3BB2" w:rsidRPr="00C1603D">
        <w:rPr>
          <w:color w:val="auto"/>
          <w:vertAlign w:val="superscript"/>
        </w:rPr>
        <w:t>193</w:t>
      </w:r>
      <w:r w:rsidRPr="00C1603D">
        <w:rPr>
          <w:color w:val="auto"/>
        </w:rPr>
        <w:t xml:space="preserve"> was only available for </w:t>
      </w:r>
      <w:r w:rsidR="009D3BB2" w:rsidRPr="00C1603D">
        <w:rPr>
          <w:color w:val="auto"/>
        </w:rPr>
        <w:t>one-</w:t>
      </w:r>
      <w:r w:rsidRPr="00C1603D">
        <w:rPr>
          <w:color w:val="auto"/>
        </w:rPr>
        <w:t xml:space="preserve">third of the </w:t>
      </w:r>
      <w:r w:rsidR="00C20CA0" w:rsidRPr="00C1603D">
        <w:rPr>
          <w:color w:val="auto"/>
        </w:rPr>
        <w:t>CPRD GOLD</w:t>
      </w:r>
      <w:r w:rsidRPr="00C1603D">
        <w:rPr>
          <w:color w:val="auto"/>
        </w:rPr>
        <w:t xml:space="preserve"> cohort. The linked data set consisted of 4254 controls and 1303 CD patients</w:t>
      </w:r>
      <w:r w:rsidR="009D3BB2" w:rsidRPr="00C1603D">
        <w:rPr>
          <w:color w:val="auto"/>
        </w:rPr>
        <w:t xml:space="preserve"> for children;</w:t>
      </w:r>
      <w:r w:rsidRPr="00C1603D">
        <w:rPr>
          <w:color w:val="auto"/>
        </w:rPr>
        <w:t xml:space="preserve"> 13,093 controls and 4824 CD patients</w:t>
      </w:r>
      <w:r w:rsidR="009D3BB2" w:rsidRPr="00C1603D">
        <w:rPr>
          <w:color w:val="auto"/>
        </w:rPr>
        <w:t xml:space="preserve"> for women;</w:t>
      </w:r>
      <w:r w:rsidRPr="00C1603D">
        <w:rPr>
          <w:color w:val="auto"/>
        </w:rPr>
        <w:t xml:space="preserve"> and 10,618 controls and 2409 CD patients</w:t>
      </w:r>
      <w:r w:rsidR="009D3BB2" w:rsidRPr="00C1603D">
        <w:rPr>
          <w:color w:val="auto"/>
        </w:rPr>
        <w:t xml:space="preserve"> for men</w:t>
      </w:r>
      <w:r w:rsidRPr="00C1603D">
        <w:rPr>
          <w:color w:val="auto"/>
        </w:rPr>
        <w:t xml:space="preserve">. CD prevalence was higher in the linked data sets </w:t>
      </w:r>
      <w:r w:rsidR="009D3BB2" w:rsidRPr="00C1603D">
        <w:rPr>
          <w:color w:val="auto"/>
        </w:rPr>
        <w:t>(</w:t>
      </w:r>
      <w:r w:rsidRPr="00C1603D">
        <w:rPr>
          <w:color w:val="auto"/>
        </w:rPr>
        <w:t>at 23.4%, 26.9% and 18.5% for children, women and men, respectively</w:t>
      </w:r>
      <w:r w:rsidR="009D3BB2" w:rsidRPr="00C1603D">
        <w:rPr>
          <w:color w:val="auto"/>
        </w:rPr>
        <w:t>)</w:t>
      </w:r>
      <w:r w:rsidRPr="00C1603D">
        <w:rPr>
          <w:color w:val="auto"/>
        </w:rPr>
        <w:t xml:space="preserve"> </w:t>
      </w:r>
      <w:r w:rsidR="009D3BB2" w:rsidRPr="00C1603D">
        <w:rPr>
          <w:color w:val="auto"/>
        </w:rPr>
        <w:t>than</w:t>
      </w:r>
      <w:r w:rsidRPr="00C1603D">
        <w:rPr>
          <w:color w:val="auto"/>
        </w:rPr>
        <w:t xml:space="preserve"> in the original data sets</w:t>
      </w:r>
      <w:r w:rsidR="009D3BB2" w:rsidRPr="00C1603D">
        <w:rPr>
          <w:color w:val="auto"/>
        </w:rPr>
        <w:t xml:space="preserve"> (20%, 24</w:t>
      </w:r>
      <w:r w:rsidR="009D3BB2" w:rsidRPr="00C1603D">
        <w:t>.5%, and 14.6% for children, women and men, respectively)</w:t>
      </w:r>
      <w:r w:rsidRPr="00C1603D">
        <w:t xml:space="preserve">. Although ethnicity and </w:t>
      </w:r>
      <w:r w:rsidR="009D3BB2" w:rsidRPr="00C1603D">
        <w:t xml:space="preserve">2015 </w:t>
      </w:r>
      <w:r w:rsidRPr="00C1603D">
        <w:t>IMD</w:t>
      </w:r>
      <w:r w:rsidR="009D3BB2" w:rsidRPr="00C1603D">
        <w:rPr>
          <w:vertAlign w:val="superscript"/>
        </w:rPr>
        <w:t>193</w:t>
      </w:r>
      <w:r w:rsidRPr="00C1603D">
        <w:t xml:space="preserve"> quintiles were significantly associated with CD in all three samples, the updated model did not perform </w:t>
      </w:r>
      <w:proofErr w:type="gramStart"/>
      <w:r w:rsidRPr="00C1603D">
        <w:t>substantially better</w:t>
      </w:r>
      <w:proofErr w:type="gramEnd"/>
      <w:r w:rsidRPr="00C1603D">
        <w:t xml:space="preserve"> (</w:t>
      </w:r>
      <w:r w:rsidR="009D3BB2" w:rsidRPr="00C1603D">
        <w:t xml:space="preserve">see </w:t>
      </w:r>
      <w:r w:rsidRPr="00C1603D">
        <w:rPr>
          <w:i/>
          <w:iCs/>
        </w:rPr>
        <w:t xml:space="preserve">Appendix </w:t>
      </w:r>
      <w:r w:rsidRPr="00C1603D">
        <w:rPr>
          <w:i/>
          <w:iCs/>
          <w:color w:val="auto"/>
        </w:rPr>
        <w:t>14</w:t>
      </w:r>
      <w:r w:rsidR="009D3BB2" w:rsidRPr="00C1603D">
        <w:rPr>
          <w:color w:val="auto"/>
        </w:rPr>
        <w:t>,</w:t>
      </w:r>
      <w:r w:rsidRPr="00C1603D">
        <w:rPr>
          <w:color w:val="auto"/>
        </w:rPr>
        <w:t xml:space="preserve"> </w:t>
      </w:r>
      <w:r w:rsidRPr="00C1603D">
        <w:rPr>
          <w:i/>
          <w:color w:val="auto"/>
        </w:rPr>
        <w:t xml:space="preserve">Table </w:t>
      </w:r>
      <w:r w:rsidRPr="00C1603D">
        <w:rPr>
          <w:i/>
          <w:noProof/>
          <w:color w:val="auto"/>
        </w:rPr>
        <w:t>5</w:t>
      </w:r>
      <w:r w:rsidR="007C2375" w:rsidRPr="00C1603D">
        <w:rPr>
          <w:i/>
          <w:noProof/>
          <w:color w:val="auto"/>
        </w:rPr>
        <w:t>7</w:t>
      </w:r>
      <w:r w:rsidRPr="00C1603D">
        <w:rPr>
          <w:color w:val="auto"/>
        </w:rPr>
        <w:t>).</w:t>
      </w:r>
    </w:p>
    <w:p w14:paraId="46FBFC15" w14:textId="7FBE081C" w:rsidR="008B4DF8" w:rsidRPr="00C1603D" w:rsidRDefault="009D3BB2" w:rsidP="008B4DF8">
      <w:pPr>
        <w:pStyle w:val="53BheadHeadingsHeadingstyles"/>
      </w:pPr>
      <w:bookmarkStart w:id="234" w:name="_Toc99539854"/>
      <w:r w:rsidRPr="00C1603D">
        <w:rPr>
          <w:lang w:eastAsia="en-GB"/>
        </w:rPr>
        <w:t>The Avon Longitudinal Study of Parents and Children</w:t>
      </w:r>
      <w:r w:rsidRPr="00C1603D">
        <w:t xml:space="preserve"> </w:t>
      </w:r>
      <w:r w:rsidR="008B4DF8" w:rsidRPr="00C1603D">
        <w:t>analysis</w:t>
      </w:r>
      <w:bookmarkEnd w:id="234"/>
    </w:p>
    <w:p w14:paraId="4C029AAE" w14:textId="0053F13F" w:rsidR="008B4DF8" w:rsidRPr="00C1603D" w:rsidRDefault="008B4DF8" w:rsidP="008B4DF8">
      <w:pPr>
        <w:pStyle w:val="602TextfoTextstylesTextstyles"/>
        <w:rPr>
          <w:i/>
          <w:iCs/>
          <w:color w:val="44546A"/>
        </w:rPr>
      </w:pPr>
      <w:r w:rsidRPr="00C1603D">
        <w:rPr>
          <w:i/>
          <w:color w:val="FF0000"/>
        </w:rPr>
        <w:t xml:space="preserve">Table </w:t>
      </w:r>
      <w:r w:rsidRPr="00C1603D">
        <w:rPr>
          <w:i/>
          <w:noProof/>
          <w:color w:val="FF0000"/>
        </w:rPr>
        <w:t>7</w:t>
      </w:r>
      <w:r w:rsidRPr="00C1603D">
        <w:t xml:space="preserve"> describes the prevalence of candidate predictors </w:t>
      </w:r>
      <w:r w:rsidR="009D3BB2" w:rsidRPr="00C1603D">
        <w:t>among</w:t>
      </w:r>
      <w:r w:rsidRPr="00C1603D">
        <w:t xml:space="preserve"> children with (</w:t>
      </w:r>
      <w:r w:rsidRPr="00C1603D">
        <w:rPr>
          <w:i/>
          <w:color w:val="00B0F0"/>
        </w:rPr>
        <w:t>n</w:t>
      </w:r>
      <w:r w:rsidRPr="00C1603D">
        <w:rPr>
          <w:color w:val="00B0F0"/>
        </w:rPr>
        <w:t> = </w:t>
      </w:r>
      <w:r w:rsidRPr="00C1603D">
        <w:t xml:space="preserve">46) and </w:t>
      </w:r>
      <w:r w:rsidR="009D3BB2" w:rsidRPr="00C1603D">
        <w:t xml:space="preserve">children </w:t>
      </w:r>
      <w:r w:rsidRPr="00C1603D">
        <w:t>without CD (</w:t>
      </w:r>
      <w:r w:rsidRPr="00C1603D">
        <w:rPr>
          <w:i/>
          <w:color w:val="00B0F0"/>
        </w:rPr>
        <w:t>n</w:t>
      </w:r>
      <w:r w:rsidRPr="00C1603D">
        <w:rPr>
          <w:color w:val="00B0F0"/>
        </w:rPr>
        <w:t> = </w:t>
      </w:r>
      <w:r w:rsidRPr="00C1603D">
        <w:t>5071). A significantly higher proportion of children with CD were female (67%</w:t>
      </w:r>
      <w:r w:rsidR="009D3BB2" w:rsidRPr="00C1603D">
        <w:t xml:space="preserve"> female</w:t>
      </w:r>
      <w:r w:rsidRPr="00C1603D">
        <w:t xml:space="preserve"> vs</w:t>
      </w:r>
      <w:r w:rsidR="009D3BB2" w:rsidRPr="00C1603D">
        <w:t>.</w:t>
      </w:r>
      <w:r w:rsidRPr="00C1603D">
        <w:t xml:space="preserve"> 33%</w:t>
      </w:r>
      <w:r w:rsidR="009D3BB2" w:rsidRPr="00C1603D">
        <w:t xml:space="preserve"> male</w:t>
      </w:r>
      <w:r w:rsidRPr="00C1603D">
        <w:t>)</w:t>
      </w:r>
      <w:r w:rsidR="009D3BB2" w:rsidRPr="00C1603D">
        <w:t>; the</w:t>
      </w:r>
      <w:r w:rsidRPr="00C1603D">
        <w:t xml:space="preserve"> mean age was similar between children with and </w:t>
      </w:r>
      <w:r w:rsidR="009D3BB2" w:rsidRPr="00C1603D">
        <w:t xml:space="preserve">children </w:t>
      </w:r>
      <w:r w:rsidRPr="00C1603D">
        <w:t xml:space="preserve">without CD (7.5 years). There were no significant differences in the prevalence of any of the other candidate predictors between children with and </w:t>
      </w:r>
      <w:r w:rsidR="009D3BB2" w:rsidRPr="00C1603D">
        <w:t xml:space="preserve">children </w:t>
      </w:r>
      <w:r w:rsidRPr="00C1603D">
        <w:t>without CD. The most prevalent predictors were male sex (52%), fatigue (23%), mood disorder (12%) and mouth ulcers (10%). With the exception of age, candidate predictors were missing for between 0.2% and 60% of children.</w:t>
      </w:r>
    </w:p>
    <w:p w14:paraId="1AF4D204" w14:textId="0635C1D2" w:rsidR="008B4DF8" w:rsidRPr="00C1603D" w:rsidRDefault="008B4DF8" w:rsidP="008B4DF8">
      <w:pPr>
        <w:pStyle w:val="70TablelegendTablesTableFigureBoxstyles"/>
      </w:pPr>
      <w:bookmarkStart w:id="235" w:name="_Ref95137178"/>
      <w:bookmarkStart w:id="236" w:name="_Toc99720718"/>
      <w:r w:rsidRPr="00C1603D">
        <w:rPr>
          <w:b/>
        </w:rPr>
        <w:t>TABLE 7</w:t>
      </w:r>
      <w:r w:rsidRPr="00C1603D">
        <w:rPr>
          <w:b/>
        </w:rPr>
        <w:t> </w:t>
      </w:r>
      <w:r w:rsidRPr="00C1603D">
        <w:t>Cohort of children</w:t>
      </w:r>
      <w:r w:rsidR="009D3BB2" w:rsidRPr="00C1603D">
        <w:t>:</w:t>
      </w:r>
      <w:r w:rsidRPr="00C1603D">
        <w:t xml:space="preserve"> prevalence of predictors</w:t>
      </w:r>
      <w:bookmarkEnd w:id="235"/>
      <w:bookmarkEnd w:id="236"/>
    </w:p>
    <w:tbl>
      <w:tblPr>
        <w:tblW w:w="0" w:type="auto"/>
        <w:tblCellMar>
          <w:top w:w="40" w:type="dxa"/>
          <w:left w:w="60" w:type="dxa"/>
          <w:bottom w:w="40" w:type="dxa"/>
          <w:right w:w="60" w:type="dxa"/>
        </w:tblCellMar>
        <w:tblLook w:val="04A0" w:firstRow="1" w:lastRow="0" w:firstColumn="1" w:lastColumn="0" w:noHBand="0" w:noVBand="1"/>
      </w:tblPr>
      <w:tblGrid>
        <w:gridCol w:w="2715"/>
        <w:gridCol w:w="2725"/>
        <w:gridCol w:w="2412"/>
        <w:gridCol w:w="1174"/>
      </w:tblGrid>
      <w:tr w:rsidR="006915A8" w:rsidRPr="00C1603D" w14:paraId="5A5591DA" w14:textId="77777777" w:rsidTr="0064483A">
        <w:trPr>
          <w:cantSplit/>
        </w:trPr>
        <w:tc>
          <w:tcPr>
            <w:tcW w:w="0" w:type="auto"/>
            <w:shd w:val="clear" w:color="auto" w:fill="auto"/>
            <w:noWrap/>
          </w:tcPr>
          <w:p w14:paraId="009B4E1C" w14:textId="1C4ACE08" w:rsidR="008B4DF8" w:rsidRPr="00C1603D" w:rsidRDefault="006915A8" w:rsidP="0064483A">
            <w:pPr>
              <w:pStyle w:val="710TableheadTablesTableFigureBoxstyles"/>
            </w:pPr>
            <w:r w:rsidRPr="00C1603D">
              <w:t>Predictor</w:t>
            </w:r>
          </w:p>
        </w:tc>
        <w:tc>
          <w:tcPr>
            <w:tcW w:w="0" w:type="auto"/>
            <w:shd w:val="clear" w:color="auto" w:fill="auto"/>
          </w:tcPr>
          <w:p w14:paraId="61103B92" w14:textId="24EF58B9" w:rsidR="008B4DF8" w:rsidRPr="00C1603D" w:rsidRDefault="006915A8" w:rsidP="0064483A">
            <w:pPr>
              <w:pStyle w:val="710TableheadTablesTableFigureBoxstyles"/>
              <w:rPr>
                <w:bCs/>
              </w:rPr>
            </w:pPr>
            <w:r w:rsidRPr="00C1603D">
              <w:rPr>
                <w:bCs/>
              </w:rPr>
              <w:t>Children without</w:t>
            </w:r>
            <w:r w:rsidR="008B4DF8" w:rsidRPr="00C1603D">
              <w:rPr>
                <w:bCs/>
              </w:rPr>
              <w:t xml:space="preserve"> </w:t>
            </w:r>
            <w:r w:rsidR="00A868B0" w:rsidRPr="00C1603D">
              <w:rPr>
                <w:bCs/>
              </w:rPr>
              <w:t>CD</w:t>
            </w:r>
            <w:r w:rsidR="008B4DF8" w:rsidRPr="00C1603D">
              <w:rPr>
                <w:bCs/>
              </w:rPr>
              <w:t xml:space="preserve"> (</w:t>
            </w:r>
            <w:r w:rsidRPr="00C1603D">
              <w:rPr>
                <w:bCs/>
                <w:i/>
                <w:color w:val="00B0F0"/>
              </w:rPr>
              <w:t>N</w:t>
            </w:r>
            <w:r w:rsidR="008B4DF8" w:rsidRPr="00C1603D">
              <w:rPr>
                <w:bCs/>
                <w:color w:val="00B0F0"/>
              </w:rPr>
              <w:t> = </w:t>
            </w:r>
            <w:r w:rsidR="008B4DF8" w:rsidRPr="00C1603D">
              <w:rPr>
                <w:bCs/>
              </w:rPr>
              <w:t>5071)</w:t>
            </w:r>
          </w:p>
        </w:tc>
        <w:tc>
          <w:tcPr>
            <w:tcW w:w="0" w:type="auto"/>
            <w:shd w:val="clear" w:color="auto" w:fill="auto"/>
          </w:tcPr>
          <w:p w14:paraId="46CA411B" w14:textId="631B8FA2" w:rsidR="008B4DF8" w:rsidRPr="00C1603D" w:rsidRDefault="006915A8" w:rsidP="0064483A">
            <w:pPr>
              <w:pStyle w:val="710TableheadTablesTableFigureBoxstyles"/>
              <w:rPr>
                <w:bCs/>
              </w:rPr>
            </w:pPr>
            <w:r w:rsidRPr="00C1603D">
              <w:rPr>
                <w:bCs/>
              </w:rPr>
              <w:t xml:space="preserve">Children with </w:t>
            </w:r>
            <w:r w:rsidR="00A868B0" w:rsidRPr="00C1603D">
              <w:rPr>
                <w:bCs/>
              </w:rPr>
              <w:t>CD</w:t>
            </w:r>
            <w:r w:rsidR="008B4DF8" w:rsidRPr="00C1603D">
              <w:rPr>
                <w:bCs/>
              </w:rPr>
              <w:t xml:space="preserve"> (</w:t>
            </w:r>
            <w:r w:rsidRPr="00C1603D">
              <w:rPr>
                <w:bCs/>
                <w:i/>
                <w:color w:val="00B0F0"/>
              </w:rPr>
              <w:t>N</w:t>
            </w:r>
            <w:r w:rsidR="008B4DF8" w:rsidRPr="00C1603D">
              <w:rPr>
                <w:bCs/>
                <w:color w:val="00B0F0"/>
              </w:rPr>
              <w:t> = </w:t>
            </w:r>
            <w:r w:rsidR="008B4DF8" w:rsidRPr="00C1603D">
              <w:rPr>
                <w:bCs/>
              </w:rPr>
              <w:t>46)</w:t>
            </w:r>
          </w:p>
        </w:tc>
        <w:tc>
          <w:tcPr>
            <w:tcW w:w="0" w:type="auto"/>
            <w:shd w:val="clear" w:color="auto" w:fill="auto"/>
            <w:noWrap/>
          </w:tcPr>
          <w:p w14:paraId="583091C8" w14:textId="69ED0D8B" w:rsidR="008B4DF8" w:rsidRPr="00C1603D" w:rsidRDefault="008B4DF8" w:rsidP="0064483A">
            <w:pPr>
              <w:pStyle w:val="710TableheadTablesTableFigureBoxstyles"/>
              <w:rPr>
                <w:bCs/>
              </w:rPr>
            </w:pPr>
            <w:r w:rsidRPr="00C1603D">
              <w:rPr>
                <w:bCs/>
                <w:i/>
                <w:color w:val="00B0F0"/>
              </w:rPr>
              <w:t>p</w:t>
            </w:r>
            <w:r w:rsidRPr="00C1603D">
              <w:rPr>
                <w:bCs/>
              </w:rPr>
              <w:t>-value</w:t>
            </w:r>
            <w:r w:rsidR="006915A8" w:rsidRPr="00C1603D">
              <w:rPr>
                <w:bCs/>
                <w:vertAlign w:val="superscript"/>
              </w:rPr>
              <w:t>a</w:t>
            </w:r>
          </w:p>
        </w:tc>
      </w:tr>
      <w:tr w:rsidR="008B4DF8" w:rsidRPr="00C1603D" w14:paraId="063AC1CE" w14:textId="77777777" w:rsidTr="0064483A">
        <w:trPr>
          <w:cantSplit/>
        </w:trPr>
        <w:tc>
          <w:tcPr>
            <w:tcW w:w="0" w:type="auto"/>
            <w:gridSpan w:val="4"/>
            <w:shd w:val="clear" w:color="auto" w:fill="auto"/>
            <w:noWrap/>
          </w:tcPr>
          <w:p w14:paraId="1FC93D20" w14:textId="1097F97D" w:rsidR="008B4DF8" w:rsidRPr="00C1603D" w:rsidRDefault="008B4DF8" w:rsidP="00C87853">
            <w:pPr>
              <w:pStyle w:val="72TabletextTablesTableFigureBoxstyles"/>
            </w:pPr>
            <w:r w:rsidRPr="00C1603D">
              <w:t xml:space="preserve">Type 1 </w:t>
            </w:r>
            <w:r w:rsidR="006915A8" w:rsidRPr="00C1603D">
              <w:t>d</w:t>
            </w:r>
            <w:r w:rsidRPr="00C1603D">
              <w:t xml:space="preserve">iabetes, </w:t>
            </w:r>
            <w:r w:rsidRPr="00C1603D">
              <w:rPr>
                <w:i/>
                <w:iCs/>
              </w:rPr>
              <w:t>n</w:t>
            </w:r>
            <w:r w:rsidR="006915A8" w:rsidRPr="00C1603D">
              <w:t xml:space="preserve"> </w:t>
            </w:r>
            <w:r w:rsidRPr="00C1603D">
              <w:t>(%)</w:t>
            </w:r>
          </w:p>
        </w:tc>
      </w:tr>
      <w:tr w:rsidR="006915A8" w:rsidRPr="00C1603D" w14:paraId="11CC5223" w14:textId="77777777" w:rsidTr="0064483A">
        <w:trPr>
          <w:cantSplit/>
        </w:trPr>
        <w:tc>
          <w:tcPr>
            <w:tcW w:w="0" w:type="auto"/>
            <w:shd w:val="clear" w:color="auto" w:fill="auto"/>
            <w:noWrap/>
          </w:tcPr>
          <w:p w14:paraId="1729B2C3" w14:textId="658A78C1" w:rsidR="006915A8" w:rsidRPr="00C1603D" w:rsidRDefault="00C87853" w:rsidP="0064483A">
            <w:pPr>
              <w:pStyle w:val="72TabletextTablesTableFigureBoxstyles"/>
            </w:pPr>
            <w:r w:rsidRPr="00C1603D">
              <w:tab/>
            </w:r>
            <w:r w:rsidR="006915A8" w:rsidRPr="00C1603D">
              <w:t>Absent</w:t>
            </w:r>
          </w:p>
        </w:tc>
        <w:tc>
          <w:tcPr>
            <w:tcW w:w="0" w:type="auto"/>
            <w:shd w:val="clear" w:color="auto" w:fill="auto"/>
            <w:noWrap/>
          </w:tcPr>
          <w:p w14:paraId="35BB9BC9" w14:textId="139F1651" w:rsidR="006915A8" w:rsidRPr="00C1603D" w:rsidRDefault="006915A8" w:rsidP="0064483A">
            <w:pPr>
              <w:pStyle w:val="72TabletextTablesTableFigureBoxstyles"/>
            </w:pPr>
            <w:r w:rsidRPr="00C1603D">
              <w:t>2665 (52.6)</w:t>
            </w:r>
          </w:p>
        </w:tc>
        <w:tc>
          <w:tcPr>
            <w:tcW w:w="0" w:type="auto"/>
            <w:shd w:val="clear" w:color="auto" w:fill="auto"/>
            <w:noWrap/>
          </w:tcPr>
          <w:p w14:paraId="795449A7" w14:textId="5927E8E8" w:rsidR="006915A8" w:rsidRPr="00C1603D" w:rsidRDefault="006915A8" w:rsidP="0064483A">
            <w:pPr>
              <w:pStyle w:val="72TabletextTablesTableFigureBoxstyles"/>
            </w:pPr>
            <w:r w:rsidRPr="00C1603D">
              <w:t>30 (65.2)</w:t>
            </w:r>
          </w:p>
        </w:tc>
        <w:tc>
          <w:tcPr>
            <w:tcW w:w="0" w:type="auto"/>
            <w:vMerge w:val="restart"/>
            <w:shd w:val="clear" w:color="auto" w:fill="auto"/>
            <w:noWrap/>
          </w:tcPr>
          <w:p w14:paraId="319A917E" w14:textId="77777777" w:rsidR="006915A8" w:rsidRPr="00C1603D" w:rsidRDefault="006915A8" w:rsidP="0064483A">
            <w:pPr>
              <w:pStyle w:val="72TabletextTablesTableFigureBoxstyles"/>
            </w:pPr>
            <w:r w:rsidRPr="00C1603D">
              <w:t>0.119</w:t>
            </w:r>
          </w:p>
        </w:tc>
      </w:tr>
      <w:tr w:rsidR="006915A8" w:rsidRPr="00C1603D" w14:paraId="144BB26C" w14:textId="77777777" w:rsidTr="0064483A">
        <w:trPr>
          <w:cantSplit/>
        </w:trPr>
        <w:tc>
          <w:tcPr>
            <w:tcW w:w="0" w:type="auto"/>
            <w:shd w:val="clear" w:color="auto" w:fill="auto"/>
            <w:noWrap/>
          </w:tcPr>
          <w:p w14:paraId="6677C781" w14:textId="0C477256" w:rsidR="006915A8" w:rsidRPr="00C1603D" w:rsidRDefault="00C87853" w:rsidP="0064483A">
            <w:pPr>
              <w:pStyle w:val="72TabletextTablesTableFigureBoxstyles"/>
            </w:pPr>
            <w:r w:rsidRPr="00C1603D">
              <w:tab/>
            </w:r>
            <w:r w:rsidR="006915A8" w:rsidRPr="00C1603D">
              <w:t>Present</w:t>
            </w:r>
          </w:p>
        </w:tc>
        <w:tc>
          <w:tcPr>
            <w:tcW w:w="0" w:type="auto"/>
            <w:shd w:val="clear" w:color="auto" w:fill="auto"/>
            <w:noWrap/>
          </w:tcPr>
          <w:p w14:paraId="1C2D81F2" w14:textId="6B1EF10F" w:rsidR="006915A8" w:rsidRPr="00C1603D" w:rsidRDefault="006915A8" w:rsidP="0064483A">
            <w:pPr>
              <w:pStyle w:val="72TabletextTablesTableFigureBoxstyles"/>
            </w:pPr>
            <w:r w:rsidRPr="00C1603D">
              <w:rPr>
                <w:color w:val="00B0F0"/>
              </w:rPr>
              <w:t>&lt; 5</w:t>
            </w:r>
            <w:r w:rsidRPr="00C1603D">
              <w:t xml:space="preserve"> (</w:t>
            </w:r>
            <w:r w:rsidRPr="00C1603D">
              <w:rPr>
                <w:color w:val="00B0F0"/>
              </w:rPr>
              <w:t>&lt; 0</w:t>
            </w:r>
            <w:r w:rsidRPr="00C1603D">
              <w:t>.01)</w:t>
            </w:r>
          </w:p>
        </w:tc>
        <w:tc>
          <w:tcPr>
            <w:tcW w:w="0" w:type="auto"/>
            <w:shd w:val="clear" w:color="auto" w:fill="auto"/>
            <w:noWrap/>
          </w:tcPr>
          <w:p w14:paraId="18DEF1D7" w14:textId="1D12B20E" w:rsidR="006915A8" w:rsidRPr="00C1603D" w:rsidRDefault="006915A8" w:rsidP="0064483A">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3BF07F2D" w14:textId="2334B2DA" w:rsidR="006915A8" w:rsidRPr="00C1603D" w:rsidRDefault="006915A8" w:rsidP="0064483A">
            <w:pPr>
              <w:pStyle w:val="72TabletextTablesTableFigureBoxstyles"/>
            </w:pPr>
          </w:p>
        </w:tc>
      </w:tr>
      <w:tr w:rsidR="006915A8" w:rsidRPr="00C1603D" w14:paraId="18D2EC8B" w14:textId="77777777" w:rsidTr="0064483A">
        <w:trPr>
          <w:cantSplit/>
        </w:trPr>
        <w:tc>
          <w:tcPr>
            <w:tcW w:w="0" w:type="auto"/>
            <w:shd w:val="clear" w:color="auto" w:fill="auto"/>
            <w:noWrap/>
          </w:tcPr>
          <w:p w14:paraId="3708A13E" w14:textId="2BFA0823" w:rsidR="006915A8" w:rsidRPr="00C1603D" w:rsidRDefault="00C87853" w:rsidP="0064483A">
            <w:pPr>
              <w:pStyle w:val="72TabletextTablesTableFigureBoxstyles"/>
            </w:pPr>
            <w:r w:rsidRPr="00C1603D">
              <w:tab/>
            </w:r>
            <w:r w:rsidR="006915A8" w:rsidRPr="00C1603D">
              <w:t>Missing</w:t>
            </w:r>
          </w:p>
        </w:tc>
        <w:tc>
          <w:tcPr>
            <w:tcW w:w="0" w:type="auto"/>
            <w:shd w:val="clear" w:color="auto" w:fill="auto"/>
            <w:noWrap/>
          </w:tcPr>
          <w:p w14:paraId="611E905A" w14:textId="7145823F" w:rsidR="006915A8" w:rsidRPr="00C1603D" w:rsidRDefault="006915A8" w:rsidP="0064483A">
            <w:pPr>
              <w:pStyle w:val="72TabletextTablesTableFigureBoxstyles"/>
            </w:pPr>
            <w:r w:rsidRPr="00C1603D">
              <w:t>2404 (47.4)</w:t>
            </w:r>
          </w:p>
        </w:tc>
        <w:tc>
          <w:tcPr>
            <w:tcW w:w="0" w:type="auto"/>
            <w:shd w:val="clear" w:color="auto" w:fill="auto"/>
            <w:noWrap/>
          </w:tcPr>
          <w:p w14:paraId="6C94BBD0" w14:textId="12A2AFD0" w:rsidR="006915A8" w:rsidRPr="00C1603D" w:rsidRDefault="006915A8" w:rsidP="0064483A">
            <w:pPr>
              <w:pStyle w:val="72TabletextTablesTableFigureBoxstyles"/>
            </w:pPr>
            <w:r w:rsidRPr="00C1603D">
              <w:t>16 (34.8)</w:t>
            </w:r>
          </w:p>
        </w:tc>
        <w:tc>
          <w:tcPr>
            <w:tcW w:w="0" w:type="auto"/>
            <w:vMerge/>
            <w:shd w:val="clear" w:color="auto" w:fill="auto"/>
            <w:noWrap/>
          </w:tcPr>
          <w:p w14:paraId="20F602B7" w14:textId="37BE139D" w:rsidR="006915A8" w:rsidRPr="00C1603D" w:rsidRDefault="006915A8" w:rsidP="0064483A">
            <w:pPr>
              <w:pStyle w:val="72TabletextTablesTableFigureBoxstyles"/>
            </w:pPr>
          </w:p>
        </w:tc>
      </w:tr>
      <w:tr w:rsidR="008B4DF8" w:rsidRPr="00C1603D" w14:paraId="394D241F" w14:textId="77777777" w:rsidTr="0064483A">
        <w:trPr>
          <w:cantSplit/>
        </w:trPr>
        <w:tc>
          <w:tcPr>
            <w:tcW w:w="0" w:type="auto"/>
            <w:gridSpan w:val="4"/>
            <w:shd w:val="clear" w:color="auto" w:fill="auto"/>
            <w:noWrap/>
          </w:tcPr>
          <w:p w14:paraId="6EC93D9A" w14:textId="2A80EAA7" w:rsidR="008B4DF8" w:rsidRPr="00C1603D" w:rsidRDefault="008B4DF8" w:rsidP="00C87853">
            <w:pPr>
              <w:pStyle w:val="72TabletextTablesTableFigureBoxstyles"/>
            </w:pPr>
            <w:r w:rsidRPr="00C1603D">
              <w:t xml:space="preserve">Anaemia, </w:t>
            </w:r>
            <w:r w:rsidR="00D378CE" w:rsidRPr="00C1603D">
              <w:rPr>
                <w:i/>
                <w:iCs/>
                <w:color w:val="auto"/>
              </w:rPr>
              <w:t>n</w:t>
            </w:r>
            <w:r w:rsidR="00D378CE" w:rsidRPr="00C1603D">
              <w:rPr>
                <w:color w:val="auto"/>
              </w:rPr>
              <w:t xml:space="preserve"> (%)</w:t>
            </w:r>
          </w:p>
        </w:tc>
      </w:tr>
      <w:tr w:rsidR="00C87853" w:rsidRPr="00C1603D" w14:paraId="69CF05CD" w14:textId="77777777" w:rsidTr="0064483A">
        <w:trPr>
          <w:cantSplit/>
        </w:trPr>
        <w:tc>
          <w:tcPr>
            <w:tcW w:w="0" w:type="auto"/>
            <w:shd w:val="clear" w:color="auto" w:fill="auto"/>
            <w:noWrap/>
          </w:tcPr>
          <w:p w14:paraId="5F6F97BF" w14:textId="0BBBE647" w:rsidR="00C87853" w:rsidRPr="00C1603D" w:rsidRDefault="00C87853" w:rsidP="00C87853">
            <w:pPr>
              <w:pStyle w:val="72TabletextTablesTableFigureBoxstyles"/>
            </w:pPr>
            <w:r w:rsidRPr="00C1603D">
              <w:tab/>
              <w:t>Absent</w:t>
            </w:r>
          </w:p>
        </w:tc>
        <w:tc>
          <w:tcPr>
            <w:tcW w:w="0" w:type="auto"/>
            <w:shd w:val="clear" w:color="auto" w:fill="auto"/>
            <w:noWrap/>
          </w:tcPr>
          <w:p w14:paraId="571D5619" w14:textId="4EC9D8A0" w:rsidR="00C87853" w:rsidRPr="00C1603D" w:rsidRDefault="00C87853" w:rsidP="00C87853">
            <w:pPr>
              <w:pStyle w:val="72TabletextTablesTableFigureBoxstyles"/>
            </w:pPr>
            <w:r w:rsidRPr="00C1603D">
              <w:t>4881 (96.3)</w:t>
            </w:r>
          </w:p>
        </w:tc>
        <w:tc>
          <w:tcPr>
            <w:tcW w:w="0" w:type="auto"/>
            <w:shd w:val="clear" w:color="auto" w:fill="auto"/>
            <w:noWrap/>
          </w:tcPr>
          <w:p w14:paraId="1B7CE383" w14:textId="4C5FABC9" w:rsidR="00C87853" w:rsidRPr="00C1603D" w:rsidRDefault="00C87853" w:rsidP="00C87853">
            <w:pPr>
              <w:pStyle w:val="72TabletextTablesTableFigureBoxstyles"/>
            </w:pPr>
            <w:r w:rsidRPr="00C1603D">
              <w:t>43 (93.5)</w:t>
            </w:r>
          </w:p>
        </w:tc>
        <w:tc>
          <w:tcPr>
            <w:tcW w:w="0" w:type="auto"/>
            <w:vMerge w:val="restart"/>
            <w:shd w:val="clear" w:color="auto" w:fill="auto"/>
            <w:noWrap/>
          </w:tcPr>
          <w:p w14:paraId="2130D7AF" w14:textId="77777777" w:rsidR="00C87853" w:rsidRPr="00C1603D" w:rsidRDefault="00C87853" w:rsidP="00C87853">
            <w:pPr>
              <w:pStyle w:val="72TabletextTablesTableFigureBoxstyles"/>
            </w:pPr>
            <w:r w:rsidRPr="00C1603D">
              <w:t>0.326</w:t>
            </w:r>
          </w:p>
        </w:tc>
      </w:tr>
      <w:tr w:rsidR="00C87853" w:rsidRPr="00C1603D" w14:paraId="25CA1DDA" w14:textId="77777777" w:rsidTr="0064483A">
        <w:trPr>
          <w:cantSplit/>
        </w:trPr>
        <w:tc>
          <w:tcPr>
            <w:tcW w:w="0" w:type="auto"/>
            <w:shd w:val="clear" w:color="auto" w:fill="auto"/>
            <w:noWrap/>
          </w:tcPr>
          <w:p w14:paraId="461E7046" w14:textId="7394D0F1" w:rsidR="00C87853" w:rsidRPr="00C1603D" w:rsidRDefault="00C87853" w:rsidP="00C87853">
            <w:pPr>
              <w:pStyle w:val="72TabletextTablesTableFigureBoxstyles"/>
            </w:pPr>
            <w:r w:rsidRPr="00C1603D">
              <w:tab/>
              <w:t>Present</w:t>
            </w:r>
          </w:p>
        </w:tc>
        <w:tc>
          <w:tcPr>
            <w:tcW w:w="0" w:type="auto"/>
            <w:shd w:val="clear" w:color="auto" w:fill="auto"/>
            <w:noWrap/>
          </w:tcPr>
          <w:p w14:paraId="18C60F5D" w14:textId="0D4E1B9C" w:rsidR="00C87853" w:rsidRPr="00C1603D" w:rsidRDefault="00C87853" w:rsidP="00C87853">
            <w:pPr>
              <w:pStyle w:val="72TabletextTablesTableFigureBoxstyles"/>
            </w:pPr>
            <w:r w:rsidRPr="00C1603D">
              <w:t>150 (3.0)</w:t>
            </w:r>
          </w:p>
        </w:tc>
        <w:tc>
          <w:tcPr>
            <w:tcW w:w="0" w:type="auto"/>
            <w:shd w:val="clear" w:color="auto" w:fill="auto"/>
            <w:noWrap/>
          </w:tcPr>
          <w:p w14:paraId="014825C6" w14:textId="0885DE22" w:rsidR="00C87853" w:rsidRPr="00C1603D" w:rsidRDefault="00C87853" w:rsidP="00C87853">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47DDDF3E" w14:textId="12032D47" w:rsidR="00C87853" w:rsidRPr="00C1603D" w:rsidRDefault="00C87853" w:rsidP="00C87853">
            <w:pPr>
              <w:pStyle w:val="72TabletextTablesTableFigureBoxstyles"/>
            </w:pPr>
          </w:p>
        </w:tc>
      </w:tr>
      <w:tr w:rsidR="00C87853" w:rsidRPr="00C1603D" w14:paraId="38063871" w14:textId="77777777" w:rsidTr="0064483A">
        <w:trPr>
          <w:cantSplit/>
        </w:trPr>
        <w:tc>
          <w:tcPr>
            <w:tcW w:w="0" w:type="auto"/>
            <w:shd w:val="clear" w:color="auto" w:fill="auto"/>
            <w:noWrap/>
          </w:tcPr>
          <w:p w14:paraId="55E7E858" w14:textId="11E4EBD0" w:rsidR="00C87853" w:rsidRPr="00C1603D" w:rsidRDefault="00C87853" w:rsidP="00C87853">
            <w:pPr>
              <w:pStyle w:val="72TabletextTablesTableFigureBoxstyles"/>
            </w:pPr>
            <w:r w:rsidRPr="00C1603D">
              <w:tab/>
              <w:t>Missing</w:t>
            </w:r>
          </w:p>
        </w:tc>
        <w:tc>
          <w:tcPr>
            <w:tcW w:w="0" w:type="auto"/>
            <w:shd w:val="clear" w:color="auto" w:fill="auto"/>
            <w:noWrap/>
          </w:tcPr>
          <w:p w14:paraId="3CC961FE" w14:textId="12A76325" w:rsidR="00C87853" w:rsidRPr="00C1603D" w:rsidRDefault="00C87853" w:rsidP="00C87853">
            <w:pPr>
              <w:pStyle w:val="72TabletextTablesTableFigureBoxstyles"/>
            </w:pPr>
            <w:r w:rsidRPr="00C1603D">
              <w:t>40 (0.8)</w:t>
            </w:r>
          </w:p>
        </w:tc>
        <w:tc>
          <w:tcPr>
            <w:tcW w:w="0" w:type="auto"/>
            <w:shd w:val="clear" w:color="auto" w:fill="auto"/>
            <w:noWrap/>
          </w:tcPr>
          <w:p w14:paraId="14C127F1" w14:textId="3A933D09" w:rsidR="00C87853" w:rsidRPr="00C1603D" w:rsidRDefault="00C87853" w:rsidP="00C87853">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5125F3C9" w14:textId="1EECBBF6" w:rsidR="00C87853" w:rsidRPr="00C1603D" w:rsidRDefault="00C87853" w:rsidP="00C87853">
            <w:pPr>
              <w:pStyle w:val="72TabletextTablesTableFigureBoxstyles"/>
            </w:pPr>
          </w:p>
        </w:tc>
      </w:tr>
      <w:tr w:rsidR="008B4DF8" w:rsidRPr="00C1603D" w14:paraId="3BCB296F" w14:textId="77777777" w:rsidTr="0064483A">
        <w:trPr>
          <w:cantSplit/>
        </w:trPr>
        <w:tc>
          <w:tcPr>
            <w:tcW w:w="0" w:type="auto"/>
            <w:gridSpan w:val="4"/>
            <w:shd w:val="clear" w:color="auto" w:fill="auto"/>
            <w:noWrap/>
          </w:tcPr>
          <w:p w14:paraId="61B01965" w14:textId="33F50243" w:rsidR="008B4DF8" w:rsidRPr="00C1603D" w:rsidRDefault="008B4DF8" w:rsidP="00C87853">
            <w:pPr>
              <w:pStyle w:val="72TabletextTablesTableFigureBoxstyles"/>
            </w:pPr>
            <w:r w:rsidRPr="00C1603D">
              <w:t xml:space="preserve">Thyroid disorder, </w:t>
            </w:r>
            <w:r w:rsidR="00D378CE" w:rsidRPr="00C1603D">
              <w:rPr>
                <w:i/>
                <w:iCs/>
                <w:color w:val="auto"/>
              </w:rPr>
              <w:t>n</w:t>
            </w:r>
            <w:r w:rsidR="00D378CE" w:rsidRPr="00C1603D">
              <w:rPr>
                <w:color w:val="auto"/>
              </w:rPr>
              <w:t xml:space="preserve"> (%)</w:t>
            </w:r>
          </w:p>
        </w:tc>
      </w:tr>
      <w:tr w:rsidR="00C87853" w:rsidRPr="00C1603D" w14:paraId="03186F12" w14:textId="77777777" w:rsidTr="0064483A">
        <w:trPr>
          <w:cantSplit/>
        </w:trPr>
        <w:tc>
          <w:tcPr>
            <w:tcW w:w="0" w:type="auto"/>
            <w:shd w:val="clear" w:color="auto" w:fill="auto"/>
            <w:noWrap/>
          </w:tcPr>
          <w:p w14:paraId="7C0156D2" w14:textId="49DC8ADD" w:rsidR="00C87853" w:rsidRPr="00C1603D" w:rsidRDefault="00C87853" w:rsidP="00C87853">
            <w:pPr>
              <w:pStyle w:val="72TabletextTablesTableFigureBoxstyles"/>
            </w:pPr>
            <w:r w:rsidRPr="00C1603D">
              <w:tab/>
              <w:t>Absent</w:t>
            </w:r>
          </w:p>
        </w:tc>
        <w:tc>
          <w:tcPr>
            <w:tcW w:w="0" w:type="auto"/>
            <w:shd w:val="clear" w:color="auto" w:fill="auto"/>
            <w:noWrap/>
          </w:tcPr>
          <w:p w14:paraId="5A6CABC6" w14:textId="308851E2" w:rsidR="00C87853" w:rsidRPr="00C1603D" w:rsidRDefault="00C87853" w:rsidP="00C87853">
            <w:pPr>
              <w:pStyle w:val="72TabletextTablesTableFigureBoxstyles"/>
            </w:pPr>
            <w:r w:rsidRPr="00C1603D">
              <w:t>3297 (65.0)</w:t>
            </w:r>
          </w:p>
        </w:tc>
        <w:tc>
          <w:tcPr>
            <w:tcW w:w="0" w:type="auto"/>
            <w:shd w:val="clear" w:color="auto" w:fill="auto"/>
            <w:noWrap/>
          </w:tcPr>
          <w:p w14:paraId="1606C3F1" w14:textId="3FAEAD00" w:rsidR="00C87853" w:rsidRPr="00C1603D" w:rsidRDefault="00C87853" w:rsidP="00C87853">
            <w:pPr>
              <w:pStyle w:val="72TabletextTablesTableFigureBoxstyles"/>
            </w:pPr>
            <w:r w:rsidRPr="00C1603D">
              <w:t>30 (65.2)</w:t>
            </w:r>
          </w:p>
        </w:tc>
        <w:tc>
          <w:tcPr>
            <w:tcW w:w="0" w:type="auto"/>
            <w:vMerge w:val="restart"/>
            <w:shd w:val="clear" w:color="auto" w:fill="auto"/>
            <w:noWrap/>
          </w:tcPr>
          <w:p w14:paraId="1C97B571" w14:textId="77777777" w:rsidR="00C87853" w:rsidRPr="00C1603D" w:rsidRDefault="00C87853" w:rsidP="00C87853">
            <w:pPr>
              <w:pStyle w:val="72TabletextTablesTableFigureBoxstyles"/>
            </w:pPr>
            <w:r w:rsidRPr="00C1603D">
              <w:t>1.000</w:t>
            </w:r>
          </w:p>
        </w:tc>
      </w:tr>
      <w:tr w:rsidR="00C87853" w:rsidRPr="00C1603D" w14:paraId="5CBE8479" w14:textId="77777777" w:rsidTr="0064483A">
        <w:trPr>
          <w:cantSplit/>
        </w:trPr>
        <w:tc>
          <w:tcPr>
            <w:tcW w:w="0" w:type="auto"/>
            <w:shd w:val="clear" w:color="auto" w:fill="auto"/>
            <w:noWrap/>
          </w:tcPr>
          <w:p w14:paraId="5B69AFCC" w14:textId="12C77900" w:rsidR="00C87853" w:rsidRPr="00C1603D" w:rsidRDefault="00C87853" w:rsidP="00C87853">
            <w:pPr>
              <w:pStyle w:val="72TabletextTablesTableFigureBoxstyles"/>
            </w:pPr>
            <w:r w:rsidRPr="00C1603D">
              <w:tab/>
              <w:t>Present</w:t>
            </w:r>
          </w:p>
        </w:tc>
        <w:tc>
          <w:tcPr>
            <w:tcW w:w="0" w:type="auto"/>
            <w:shd w:val="clear" w:color="auto" w:fill="auto"/>
            <w:noWrap/>
          </w:tcPr>
          <w:p w14:paraId="008A100A" w14:textId="2B2FA474" w:rsidR="00C87853" w:rsidRPr="00C1603D" w:rsidRDefault="00C87853" w:rsidP="00C87853">
            <w:pPr>
              <w:pStyle w:val="72TabletextTablesTableFigureBoxstyles"/>
            </w:pPr>
            <w:r w:rsidRPr="00C1603D">
              <w:t>37 (0.7)</w:t>
            </w:r>
          </w:p>
        </w:tc>
        <w:tc>
          <w:tcPr>
            <w:tcW w:w="0" w:type="auto"/>
            <w:shd w:val="clear" w:color="auto" w:fill="auto"/>
            <w:noWrap/>
          </w:tcPr>
          <w:p w14:paraId="4B95FB77" w14:textId="5DC4CC9B" w:rsidR="00C87853" w:rsidRPr="00C1603D" w:rsidRDefault="00C87853" w:rsidP="00C87853">
            <w:pPr>
              <w:pStyle w:val="72TabletextTablesTableFigureBoxstyles"/>
              <w:rPr>
                <w:vertAlign w:val="superscript"/>
              </w:rPr>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53DCE809" w14:textId="3793A918" w:rsidR="00C87853" w:rsidRPr="00C1603D" w:rsidRDefault="00C87853" w:rsidP="00C87853">
            <w:pPr>
              <w:pStyle w:val="72TabletextTablesTableFigureBoxstyles"/>
            </w:pPr>
          </w:p>
        </w:tc>
      </w:tr>
      <w:tr w:rsidR="00C87853" w:rsidRPr="00C1603D" w14:paraId="3F13293B" w14:textId="77777777" w:rsidTr="0064483A">
        <w:trPr>
          <w:cantSplit/>
        </w:trPr>
        <w:tc>
          <w:tcPr>
            <w:tcW w:w="0" w:type="auto"/>
            <w:shd w:val="clear" w:color="auto" w:fill="auto"/>
            <w:noWrap/>
          </w:tcPr>
          <w:p w14:paraId="13ED02AE" w14:textId="1B833F05" w:rsidR="00C87853" w:rsidRPr="00C1603D" w:rsidRDefault="00C87853" w:rsidP="00C87853">
            <w:pPr>
              <w:pStyle w:val="72TabletextTablesTableFigureBoxstyles"/>
            </w:pPr>
            <w:r w:rsidRPr="00C1603D">
              <w:tab/>
              <w:t>Missing</w:t>
            </w:r>
          </w:p>
        </w:tc>
        <w:tc>
          <w:tcPr>
            <w:tcW w:w="0" w:type="auto"/>
            <w:shd w:val="clear" w:color="auto" w:fill="auto"/>
            <w:noWrap/>
          </w:tcPr>
          <w:p w14:paraId="068C9632" w14:textId="78BA2A2F" w:rsidR="00C87853" w:rsidRPr="00C1603D" w:rsidRDefault="00C87853" w:rsidP="00C87853">
            <w:pPr>
              <w:pStyle w:val="72TabletextTablesTableFigureBoxstyles"/>
            </w:pPr>
            <w:r w:rsidRPr="00C1603D">
              <w:t>1737 (34.3)</w:t>
            </w:r>
          </w:p>
        </w:tc>
        <w:tc>
          <w:tcPr>
            <w:tcW w:w="0" w:type="auto"/>
            <w:shd w:val="clear" w:color="auto" w:fill="auto"/>
            <w:noWrap/>
          </w:tcPr>
          <w:p w14:paraId="5A6AAC7E" w14:textId="73CC8ADE" w:rsidR="00C87853" w:rsidRPr="00C1603D" w:rsidRDefault="00C87853" w:rsidP="00C87853">
            <w:pPr>
              <w:pStyle w:val="72TabletextTablesTableFigureBoxstyles"/>
            </w:pPr>
            <w:r w:rsidRPr="00C1603D">
              <w:t>16 (34.8)</w:t>
            </w:r>
          </w:p>
        </w:tc>
        <w:tc>
          <w:tcPr>
            <w:tcW w:w="0" w:type="auto"/>
            <w:vMerge/>
            <w:shd w:val="clear" w:color="auto" w:fill="auto"/>
            <w:noWrap/>
          </w:tcPr>
          <w:p w14:paraId="49683DAE" w14:textId="36CABCA9" w:rsidR="00C87853" w:rsidRPr="00C1603D" w:rsidRDefault="00C87853" w:rsidP="00C87853">
            <w:pPr>
              <w:pStyle w:val="72TabletextTablesTableFigureBoxstyles"/>
            </w:pPr>
          </w:p>
        </w:tc>
      </w:tr>
      <w:tr w:rsidR="008B4DF8" w:rsidRPr="00C1603D" w14:paraId="6E355A17" w14:textId="77777777" w:rsidTr="0064483A">
        <w:trPr>
          <w:cantSplit/>
        </w:trPr>
        <w:tc>
          <w:tcPr>
            <w:tcW w:w="0" w:type="auto"/>
            <w:gridSpan w:val="4"/>
            <w:shd w:val="clear" w:color="auto" w:fill="auto"/>
            <w:noWrap/>
          </w:tcPr>
          <w:p w14:paraId="5D21A149" w14:textId="00076B13" w:rsidR="008B4DF8" w:rsidRPr="00C1603D" w:rsidRDefault="008B4DF8" w:rsidP="00C87853">
            <w:pPr>
              <w:pStyle w:val="72TabletextTablesTableFigureBoxstyles"/>
            </w:pPr>
            <w:r w:rsidRPr="00C1603D">
              <w:t xml:space="preserve">GI symptom count, </w:t>
            </w:r>
            <w:r w:rsidR="00D378CE" w:rsidRPr="00C1603D">
              <w:rPr>
                <w:i/>
                <w:iCs/>
                <w:color w:val="auto"/>
              </w:rPr>
              <w:t>n</w:t>
            </w:r>
            <w:r w:rsidR="00D378CE" w:rsidRPr="00C1603D">
              <w:rPr>
                <w:color w:val="auto"/>
              </w:rPr>
              <w:t xml:space="preserve"> (%)</w:t>
            </w:r>
          </w:p>
        </w:tc>
      </w:tr>
      <w:tr w:rsidR="006915A8" w:rsidRPr="00C1603D" w14:paraId="1581AB9B" w14:textId="77777777" w:rsidTr="0064483A">
        <w:trPr>
          <w:cantSplit/>
        </w:trPr>
        <w:tc>
          <w:tcPr>
            <w:tcW w:w="0" w:type="auto"/>
            <w:shd w:val="clear" w:color="auto" w:fill="auto"/>
            <w:noWrap/>
          </w:tcPr>
          <w:p w14:paraId="0FCE05C4" w14:textId="01DF431D" w:rsidR="006915A8" w:rsidRPr="00C1603D" w:rsidRDefault="00C87853" w:rsidP="0064483A">
            <w:pPr>
              <w:pStyle w:val="72TabletextTablesTableFigureBoxstyles"/>
            </w:pPr>
            <w:r w:rsidRPr="00C1603D">
              <w:tab/>
            </w:r>
            <w:r w:rsidR="006915A8" w:rsidRPr="00C1603D">
              <w:t>0</w:t>
            </w:r>
          </w:p>
        </w:tc>
        <w:tc>
          <w:tcPr>
            <w:tcW w:w="0" w:type="auto"/>
            <w:shd w:val="clear" w:color="auto" w:fill="auto"/>
            <w:noWrap/>
          </w:tcPr>
          <w:p w14:paraId="6DBFE8C6" w14:textId="18F13A2C" w:rsidR="006915A8" w:rsidRPr="00C1603D" w:rsidRDefault="006915A8" w:rsidP="0064483A">
            <w:pPr>
              <w:pStyle w:val="72TabletextTablesTableFigureBoxstyles"/>
            </w:pPr>
            <w:r w:rsidRPr="00C1603D">
              <w:t>3840 (75.7)</w:t>
            </w:r>
          </w:p>
        </w:tc>
        <w:tc>
          <w:tcPr>
            <w:tcW w:w="0" w:type="auto"/>
            <w:shd w:val="clear" w:color="auto" w:fill="auto"/>
            <w:noWrap/>
          </w:tcPr>
          <w:p w14:paraId="7651D316" w14:textId="384A3C16" w:rsidR="006915A8" w:rsidRPr="00C1603D" w:rsidRDefault="006915A8" w:rsidP="0064483A">
            <w:pPr>
              <w:pStyle w:val="72TabletextTablesTableFigureBoxstyles"/>
            </w:pPr>
            <w:r w:rsidRPr="00C1603D">
              <w:t>40 (87.0)</w:t>
            </w:r>
          </w:p>
        </w:tc>
        <w:tc>
          <w:tcPr>
            <w:tcW w:w="0" w:type="auto"/>
            <w:vMerge w:val="restart"/>
            <w:shd w:val="clear" w:color="auto" w:fill="auto"/>
            <w:noWrap/>
          </w:tcPr>
          <w:p w14:paraId="3C1BE735" w14:textId="77777777" w:rsidR="006915A8" w:rsidRPr="00C1603D" w:rsidRDefault="006915A8" w:rsidP="0064483A">
            <w:pPr>
              <w:pStyle w:val="72TabletextTablesTableFigureBoxstyles"/>
            </w:pPr>
            <w:r w:rsidRPr="00C1603D">
              <w:t>0.225</w:t>
            </w:r>
          </w:p>
        </w:tc>
      </w:tr>
      <w:tr w:rsidR="006915A8" w:rsidRPr="00C1603D" w14:paraId="4C8E9DD2" w14:textId="77777777" w:rsidTr="0064483A">
        <w:trPr>
          <w:cantSplit/>
        </w:trPr>
        <w:tc>
          <w:tcPr>
            <w:tcW w:w="0" w:type="auto"/>
            <w:shd w:val="clear" w:color="auto" w:fill="auto"/>
            <w:noWrap/>
          </w:tcPr>
          <w:p w14:paraId="2AA11A7F" w14:textId="6D1E6E06" w:rsidR="006915A8" w:rsidRPr="00C1603D" w:rsidRDefault="00C87853" w:rsidP="0064483A">
            <w:pPr>
              <w:pStyle w:val="72TabletextTablesTableFigureBoxstyles"/>
            </w:pPr>
            <w:r w:rsidRPr="00C1603D">
              <w:tab/>
            </w:r>
            <w:r w:rsidR="006915A8" w:rsidRPr="00C1603D">
              <w:t>1</w:t>
            </w:r>
          </w:p>
        </w:tc>
        <w:tc>
          <w:tcPr>
            <w:tcW w:w="0" w:type="auto"/>
            <w:shd w:val="clear" w:color="auto" w:fill="auto"/>
            <w:noWrap/>
          </w:tcPr>
          <w:p w14:paraId="01825507" w14:textId="12EFF176" w:rsidR="006915A8" w:rsidRPr="00C1603D" w:rsidRDefault="006915A8" w:rsidP="0064483A">
            <w:pPr>
              <w:pStyle w:val="72TabletextTablesTableFigureBoxstyles"/>
            </w:pPr>
            <w:r w:rsidRPr="00C1603D">
              <w:t>207 (4.1)</w:t>
            </w:r>
          </w:p>
        </w:tc>
        <w:tc>
          <w:tcPr>
            <w:tcW w:w="0" w:type="auto"/>
            <w:shd w:val="clear" w:color="auto" w:fill="auto"/>
            <w:noWrap/>
          </w:tcPr>
          <w:p w14:paraId="0004ADB0" w14:textId="72F8D460" w:rsidR="006915A8" w:rsidRPr="00C1603D" w:rsidRDefault="006915A8" w:rsidP="0064483A">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4E87D8A2" w14:textId="6C09DF1E" w:rsidR="006915A8" w:rsidRPr="00C1603D" w:rsidRDefault="006915A8" w:rsidP="0064483A">
            <w:pPr>
              <w:pStyle w:val="72TabletextTablesTableFigureBoxstyles"/>
            </w:pPr>
          </w:p>
        </w:tc>
      </w:tr>
      <w:tr w:rsidR="006915A8" w:rsidRPr="00C1603D" w14:paraId="6C146DCC" w14:textId="77777777" w:rsidTr="0064483A">
        <w:trPr>
          <w:cantSplit/>
        </w:trPr>
        <w:tc>
          <w:tcPr>
            <w:tcW w:w="0" w:type="auto"/>
            <w:shd w:val="clear" w:color="auto" w:fill="auto"/>
            <w:noWrap/>
          </w:tcPr>
          <w:p w14:paraId="16496279" w14:textId="436FC8C1" w:rsidR="006915A8" w:rsidRPr="00C1603D" w:rsidRDefault="00C87853" w:rsidP="0064483A">
            <w:pPr>
              <w:pStyle w:val="72TabletextTablesTableFigureBoxstyles"/>
            </w:pPr>
            <w:r w:rsidRPr="00C1603D">
              <w:lastRenderedPageBreak/>
              <w:tab/>
            </w:r>
            <w:r w:rsidR="006915A8" w:rsidRPr="00C1603D">
              <w:t>2</w:t>
            </w:r>
            <w:r w:rsidR="006915A8" w:rsidRPr="00C1603D">
              <w:rPr>
                <w:color w:val="00B0F0"/>
              </w:rPr>
              <w:t>–4</w:t>
            </w:r>
          </w:p>
        </w:tc>
        <w:tc>
          <w:tcPr>
            <w:tcW w:w="0" w:type="auto"/>
            <w:shd w:val="clear" w:color="auto" w:fill="auto"/>
            <w:noWrap/>
          </w:tcPr>
          <w:p w14:paraId="185385FD" w14:textId="494E9CA9" w:rsidR="006915A8" w:rsidRPr="00C1603D" w:rsidRDefault="006915A8" w:rsidP="0064483A">
            <w:pPr>
              <w:pStyle w:val="72TabletextTablesTableFigureBoxstyles"/>
            </w:pPr>
            <w:r w:rsidRPr="00C1603D">
              <w:t>79 (1.6)</w:t>
            </w:r>
          </w:p>
        </w:tc>
        <w:tc>
          <w:tcPr>
            <w:tcW w:w="0" w:type="auto"/>
            <w:shd w:val="clear" w:color="auto" w:fill="auto"/>
            <w:noWrap/>
          </w:tcPr>
          <w:p w14:paraId="57480011" w14:textId="67DCCBBF" w:rsidR="006915A8" w:rsidRPr="00C1603D" w:rsidRDefault="006915A8" w:rsidP="0064483A">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00377F1F" w14:textId="51C1707E" w:rsidR="006915A8" w:rsidRPr="00C1603D" w:rsidRDefault="006915A8" w:rsidP="0064483A">
            <w:pPr>
              <w:pStyle w:val="72TabletextTablesTableFigureBoxstyles"/>
            </w:pPr>
          </w:p>
        </w:tc>
      </w:tr>
      <w:tr w:rsidR="006915A8" w:rsidRPr="00C1603D" w14:paraId="6D96D94F" w14:textId="77777777" w:rsidTr="0064483A">
        <w:trPr>
          <w:cantSplit/>
        </w:trPr>
        <w:tc>
          <w:tcPr>
            <w:tcW w:w="0" w:type="auto"/>
            <w:shd w:val="clear" w:color="auto" w:fill="auto"/>
            <w:noWrap/>
          </w:tcPr>
          <w:p w14:paraId="66C52B63" w14:textId="32756629" w:rsidR="006915A8" w:rsidRPr="00C1603D" w:rsidRDefault="00C87853" w:rsidP="0064483A">
            <w:pPr>
              <w:pStyle w:val="72TabletextTablesTableFigureBoxstyles"/>
            </w:pPr>
            <w:r w:rsidRPr="00C1603D">
              <w:tab/>
            </w:r>
            <w:r w:rsidR="006915A8" w:rsidRPr="00C1603D">
              <w:t>Missing</w:t>
            </w:r>
          </w:p>
        </w:tc>
        <w:tc>
          <w:tcPr>
            <w:tcW w:w="0" w:type="auto"/>
            <w:shd w:val="clear" w:color="auto" w:fill="auto"/>
            <w:noWrap/>
          </w:tcPr>
          <w:p w14:paraId="351E5BFE" w14:textId="1C813BC0" w:rsidR="006915A8" w:rsidRPr="00C1603D" w:rsidRDefault="006915A8" w:rsidP="0064483A">
            <w:pPr>
              <w:pStyle w:val="72TabletextTablesTableFigureBoxstyles"/>
            </w:pPr>
            <w:r w:rsidRPr="00C1603D">
              <w:t>945 (18.6)</w:t>
            </w:r>
          </w:p>
        </w:tc>
        <w:tc>
          <w:tcPr>
            <w:tcW w:w="0" w:type="auto"/>
            <w:shd w:val="clear" w:color="auto" w:fill="auto"/>
            <w:noWrap/>
          </w:tcPr>
          <w:p w14:paraId="68BBEFBF" w14:textId="24DDF4AA" w:rsidR="006915A8" w:rsidRPr="00C1603D" w:rsidRDefault="006915A8" w:rsidP="0064483A">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0CE94F60" w14:textId="05056F83" w:rsidR="006915A8" w:rsidRPr="00C1603D" w:rsidRDefault="006915A8" w:rsidP="0064483A">
            <w:pPr>
              <w:pStyle w:val="72TabletextTablesTableFigureBoxstyles"/>
            </w:pPr>
          </w:p>
        </w:tc>
      </w:tr>
      <w:tr w:rsidR="008B4DF8" w:rsidRPr="00C1603D" w14:paraId="709C3152" w14:textId="77777777" w:rsidTr="0064483A">
        <w:trPr>
          <w:cantSplit/>
        </w:trPr>
        <w:tc>
          <w:tcPr>
            <w:tcW w:w="0" w:type="auto"/>
            <w:gridSpan w:val="4"/>
            <w:shd w:val="clear" w:color="auto" w:fill="auto"/>
            <w:noWrap/>
          </w:tcPr>
          <w:p w14:paraId="4F1B97D2" w14:textId="1205294E" w:rsidR="008B4DF8" w:rsidRPr="00C1603D" w:rsidRDefault="008B4DF8" w:rsidP="00C87853">
            <w:pPr>
              <w:pStyle w:val="72TabletextTablesTableFigureBoxstyles"/>
            </w:pPr>
            <w:r w:rsidRPr="00C1603D">
              <w:t xml:space="preserve">Sex, </w:t>
            </w:r>
            <w:r w:rsidR="00D378CE" w:rsidRPr="00C1603D">
              <w:rPr>
                <w:i/>
                <w:iCs/>
                <w:color w:val="auto"/>
              </w:rPr>
              <w:t>n</w:t>
            </w:r>
            <w:r w:rsidR="00D378CE" w:rsidRPr="00C1603D">
              <w:rPr>
                <w:color w:val="auto"/>
              </w:rPr>
              <w:t xml:space="preserve"> (%)</w:t>
            </w:r>
          </w:p>
        </w:tc>
      </w:tr>
      <w:tr w:rsidR="006915A8" w:rsidRPr="00C1603D" w14:paraId="3980FB77" w14:textId="77777777" w:rsidTr="0064483A">
        <w:trPr>
          <w:cantSplit/>
        </w:trPr>
        <w:tc>
          <w:tcPr>
            <w:tcW w:w="0" w:type="auto"/>
            <w:shd w:val="clear" w:color="auto" w:fill="auto"/>
            <w:noWrap/>
          </w:tcPr>
          <w:p w14:paraId="331D156B" w14:textId="5CDD08C3" w:rsidR="006915A8" w:rsidRPr="00C1603D" w:rsidRDefault="00C87853" w:rsidP="0064483A">
            <w:pPr>
              <w:pStyle w:val="72TabletextTablesTableFigureBoxstyles"/>
            </w:pPr>
            <w:r w:rsidRPr="00C1603D">
              <w:tab/>
            </w:r>
            <w:r w:rsidR="006915A8" w:rsidRPr="00C1603D">
              <w:t>Female</w:t>
            </w:r>
          </w:p>
        </w:tc>
        <w:tc>
          <w:tcPr>
            <w:tcW w:w="0" w:type="auto"/>
            <w:shd w:val="clear" w:color="auto" w:fill="auto"/>
            <w:noWrap/>
          </w:tcPr>
          <w:p w14:paraId="7DCB82CF" w14:textId="79516F71" w:rsidR="006915A8" w:rsidRPr="00C1603D" w:rsidRDefault="006915A8" w:rsidP="0064483A">
            <w:pPr>
              <w:pStyle w:val="72TabletextTablesTableFigureBoxstyles"/>
            </w:pPr>
            <w:r w:rsidRPr="00C1603D">
              <w:t>2444 (48.2)</w:t>
            </w:r>
          </w:p>
        </w:tc>
        <w:tc>
          <w:tcPr>
            <w:tcW w:w="0" w:type="auto"/>
            <w:shd w:val="clear" w:color="auto" w:fill="auto"/>
            <w:noWrap/>
          </w:tcPr>
          <w:p w14:paraId="03663058" w14:textId="03715E44" w:rsidR="006915A8" w:rsidRPr="00C1603D" w:rsidRDefault="006915A8" w:rsidP="0064483A">
            <w:pPr>
              <w:pStyle w:val="72TabletextTablesTableFigureBoxstyles"/>
            </w:pPr>
            <w:r w:rsidRPr="00C1603D">
              <w:t>31 (67.4)</w:t>
            </w:r>
          </w:p>
        </w:tc>
        <w:tc>
          <w:tcPr>
            <w:tcW w:w="0" w:type="auto"/>
            <w:vMerge w:val="restart"/>
            <w:shd w:val="clear" w:color="auto" w:fill="auto"/>
            <w:noWrap/>
          </w:tcPr>
          <w:p w14:paraId="02595E3D" w14:textId="77777777" w:rsidR="006915A8" w:rsidRPr="00C1603D" w:rsidRDefault="006915A8" w:rsidP="0064483A">
            <w:pPr>
              <w:pStyle w:val="72TabletextTablesTableFigureBoxstyles"/>
            </w:pPr>
            <w:r w:rsidRPr="00C1603D">
              <w:t>0.027</w:t>
            </w:r>
          </w:p>
        </w:tc>
      </w:tr>
      <w:tr w:rsidR="006915A8" w:rsidRPr="00C1603D" w14:paraId="5CC312DE" w14:textId="77777777" w:rsidTr="0064483A">
        <w:trPr>
          <w:cantSplit/>
        </w:trPr>
        <w:tc>
          <w:tcPr>
            <w:tcW w:w="0" w:type="auto"/>
            <w:shd w:val="clear" w:color="auto" w:fill="auto"/>
            <w:noWrap/>
          </w:tcPr>
          <w:p w14:paraId="243BCBA4" w14:textId="26A600D3" w:rsidR="006915A8" w:rsidRPr="00C1603D" w:rsidRDefault="00C87853" w:rsidP="0064483A">
            <w:pPr>
              <w:pStyle w:val="72TabletextTablesTableFigureBoxstyles"/>
            </w:pPr>
            <w:r w:rsidRPr="00C1603D">
              <w:tab/>
            </w:r>
            <w:r w:rsidR="006915A8" w:rsidRPr="00C1603D">
              <w:t>Male</w:t>
            </w:r>
          </w:p>
        </w:tc>
        <w:tc>
          <w:tcPr>
            <w:tcW w:w="0" w:type="auto"/>
            <w:shd w:val="clear" w:color="auto" w:fill="auto"/>
            <w:noWrap/>
          </w:tcPr>
          <w:p w14:paraId="25002108" w14:textId="442D2A80" w:rsidR="006915A8" w:rsidRPr="00C1603D" w:rsidRDefault="006915A8" w:rsidP="0064483A">
            <w:pPr>
              <w:pStyle w:val="72TabletextTablesTableFigureBoxstyles"/>
            </w:pPr>
            <w:r w:rsidRPr="00C1603D">
              <w:t>2618 (51.6)</w:t>
            </w:r>
          </w:p>
        </w:tc>
        <w:tc>
          <w:tcPr>
            <w:tcW w:w="0" w:type="auto"/>
            <w:shd w:val="clear" w:color="auto" w:fill="auto"/>
            <w:noWrap/>
          </w:tcPr>
          <w:p w14:paraId="10FFEA34" w14:textId="627CC32C" w:rsidR="006915A8" w:rsidRPr="00C1603D" w:rsidRDefault="006915A8" w:rsidP="0064483A">
            <w:pPr>
              <w:pStyle w:val="72TabletextTablesTableFigureBoxstyles"/>
            </w:pPr>
            <w:r w:rsidRPr="00C1603D">
              <w:t>15 (32.6)</w:t>
            </w:r>
          </w:p>
        </w:tc>
        <w:tc>
          <w:tcPr>
            <w:tcW w:w="0" w:type="auto"/>
            <w:vMerge/>
            <w:shd w:val="clear" w:color="auto" w:fill="auto"/>
            <w:noWrap/>
          </w:tcPr>
          <w:p w14:paraId="44C88C81" w14:textId="66792277" w:rsidR="006915A8" w:rsidRPr="00C1603D" w:rsidRDefault="006915A8" w:rsidP="0064483A">
            <w:pPr>
              <w:pStyle w:val="72TabletextTablesTableFigureBoxstyles"/>
            </w:pPr>
          </w:p>
        </w:tc>
      </w:tr>
      <w:tr w:rsidR="006915A8" w:rsidRPr="00C1603D" w14:paraId="47AB8A72" w14:textId="77777777" w:rsidTr="0064483A">
        <w:trPr>
          <w:cantSplit/>
        </w:trPr>
        <w:tc>
          <w:tcPr>
            <w:tcW w:w="0" w:type="auto"/>
            <w:shd w:val="clear" w:color="auto" w:fill="auto"/>
            <w:noWrap/>
          </w:tcPr>
          <w:p w14:paraId="42B7BEF7" w14:textId="497A6C47" w:rsidR="006915A8" w:rsidRPr="00C1603D" w:rsidRDefault="00C87853" w:rsidP="0064483A">
            <w:pPr>
              <w:pStyle w:val="72TabletextTablesTableFigureBoxstyles"/>
            </w:pPr>
            <w:r w:rsidRPr="00C1603D">
              <w:tab/>
            </w:r>
            <w:r w:rsidR="006915A8" w:rsidRPr="00C1603D">
              <w:t>Missing</w:t>
            </w:r>
          </w:p>
        </w:tc>
        <w:tc>
          <w:tcPr>
            <w:tcW w:w="0" w:type="auto"/>
            <w:shd w:val="clear" w:color="auto" w:fill="auto"/>
            <w:noWrap/>
          </w:tcPr>
          <w:p w14:paraId="1E25EE49" w14:textId="6758570F" w:rsidR="006915A8" w:rsidRPr="00C1603D" w:rsidRDefault="006915A8" w:rsidP="0064483A">
            <w:pPr>
              <w:pStyle w:val="72TabletextTablesTableFigureBoxstyles"/>
            </w:pPr>
            <w:r w:rsidRPr="00C1603D">
              <w:t>9 (0.2)</w:t>
            </w:r>
          </w:p>
        </w:tc>
        <w:tc>
          <w:tcPr>
            <w:tcW w:w="0" w:type="auto"/>
            <w:shd w:val="clear" w:color="auto" w:fill="auto"/>
            <w:noWrap/>
          </w:tcPr>
          <w:p w14:paraId="30333738" w14:textId="4EF8626E" w:rsidR="006915A8" w:rsidRPr="00C1603D" w:rsidRDefault="006915A8" w:rsidP="0064483A">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37DA2ADF" w14:textId="502C1296" w:rsidR="006915A8" w:rsidRPr="00C1603D" w:rsidRDefault="006915A8" w:rsidP="0064483A">
            <w:pPr>
              <w:pStyle w:val="72TabletextTablesTableFigureBoxstyles"/>
            </w:pPr>
          </w:p>
        </w:tc>
      </w:tr>
      <w:tr w:rsidR="008B4DF8" w:rsidRPr="00C1603D" w14:paraId="49EA3ACA" w14:textId="77777777" w:rsidTr="0064483A">
        <w:trPr>
          <w:cantSplit/>
        </w:trPr>
        <w:tc>
          <w:tcPr>
            <w:tcW w:w="0" w:type="auto"/>
            <w:gridSpan w:val="4"/>
            <w:shd w:val="clear" w:color="auto" w:fill="auto"/>
            <w:noWrap/>
          </w:tcPr>
          <w:p w14:paraId="1AEB24A9" w14:textId="1EC6FCD5" w:rsidR="008B4DF8" w:rsidRPr="00C1603D" w:rsidRDefault="008B4DF8" w:rsidP="00C87853">
            <w:pPr>
              <w:pStyle w:val="72TabletextTablesTableFigureBoxstyles"/>
            </w:pPr>
            <w:r w:rsidRPr="00C1603D">
              <w:t xml:space="preserve">Fatigue, </w:t>
            </w:r>
            <w:r w:rsidR="00D378CE" w:rsidRPr="00C1603D">
              <w:rPr>
                <w:i/>
                <w:iCs/>
                <w:color w:val="auto"/>
              </w:rPr>
              <w:t>n</w:t>
            </w:r>
            <w:r w:rsidR="00D378CE" w:rsidRPr="00C1603D">
              <w:rPr>
                <w:color w:val="auto"/>
              </w:rPr>
              <w:t xml:space="preserve"> (%)</w:t>
            </w:r>
          </w:p>
        </w:tc>
      </w:tr>
      <w:tr w:rsidR="00C87853" w:rsidRPr="00C1603D" w14:paraId="138FEF9A" w14:textId="77777777" w:rsidTr="0064483A">
        <w:trPr>
          <w:cantSplit/>
        </w:trPr>
        <w:tc>
          <w:tcPr>
            <w:tcW w:w="0" w:type="auto"/>
            <w:shd w:val="clear" w:color="auto" w:fill="auto"/>
            <w:noWrap/>
          </w:tcPr>
          <w:p w14:paraId="39DE3797" w14:textId="048773C9" w:rsidR="00C87853" w:rsidRPr="00C1603D" w:rsidRDefault="00C87853" w:rsidP="00C87853">
            <w:pPr>
              <w:pStyle w:val="72TabletextTablesTableFigureBoxstyles"/>
            </w:pPr>
            <w:r w:rsidRPr="00C1603D">
              <w:tab/>
              <w:t>Absent</w:t>
            </w:r>
          </w:p>
        </w:tc>
        <w:tc>
          <w:tcPr>
            <w:tcW w:w="0" w:type="auto"/>
            <w:shd w:val="clear" w:color="auto" w:fill="auto"/>
            <w:noWrap/>
          </w:tcPr>
          <w:p w14:paraId="1D077E63" w14:textId="13C4526F" w:rsidR="00C87853" w:rsidRPr="00C1603D" w:rsidRDefault="00C87853" w:rsidP="00C87853">
            <w:pPr>
              <w:pStyle w:val="72TabletextTablesTableFigureBoxstyles"/>
            </w:pPr>
            <w:r w:rsidRPr="00C1603D">
              <w:t>2767 (54.6)</w:t>
            </w:r>
          </w:p>
        </w:tc>
        <w:tc>
          <w:tcPr>
            <w:tcW w:w="0" w:type="auto"/>
            <w:shd w:val="clear" w:color="auto" w:fill="auto"/>
            <w:noWrap/>
          </w:tcPr>
          <w:p w14:paraId="43887056" w14:textId="30580640" w:rsidR="00C87853" w:rsidRPr="00C1603D" w:rsidRDefault="00C87853" w:rsidP="00C87853">
            <w:pPr>
              <w:pStyle w:val="72TabletextTablesTableFigureBoxstyles"/>
            </w:pPr>
            <w:r w:rsidRPr="00C1603D">
              <w:t>25 (54.3)</w:t>
            </w:r>
          </w:p>
        </w:tc>
        <w:tc>
          <w:tcPr>
            <w:tcW w:w="0" w:type="auto"/>
            <w:vMerge w:val="restart"/>
            <w:shd w:val="clear" w:color="auto" w:fill="auto"/>
            <w:noWrap/>
          </w:tcPr>
          <w:p w14:paraId="644A5AF2" w14:textId="77777777" w:rsidR="00C87853" w:rsidRPr="00C1603D" w:rsidRDefault="00C87853" w:rsidP="00C87853">
            <w:pPr>
              <w:pStyle w:val="72TabletextTablesTableFigureBoxstyles"/>
            </w:pPr>
            <w:r w:rsidRPr="00C1603D">
              <w:t>0.960</w:t>
            </w:r>
          </w:p>
        </w:tc>
      </w:tr>
      <w:tr w:rsidR="00C87853" w:rsidRPr="00C1603D" w14:paraId="7E0419EA" w14:textId="77777777" w:rsidTr="0064483A">
        <w:trPr>
          <w:cantSplit/>
        </w:trPr>
        <w:tc>
          <w:tcPr>
            <w:tcW w:w="0" w:type="auto"/>
            <w:shd w:val="clear" w:color="auto" w:fill="auto"/>
            <w:noWrap/>
          </w:tcPr>
          <w:p w14:paraId="13E799D3" w14:textId="2D2F106F" w:rsidR="00C87853" w:rsidRPr="00C1603D" w:rsidRDefault="00C87853" w:rsidP="00C87853">
            <w:pPr>
              <w:pStyle w:val="72TabletextTablesTableFigureBoxstyles"/>
            </w:pPr>
            <w:r w:rsidRPr="00C1603D">
              <w:tab/>
              <w:t>Present</w:t>
            </w:r>
          </w:p>
        </w:tc>
        <w:tc>
          <w:tcPr>
            <w:tcW w:w="0" w:type="auto"/>
            <w:shd w:val="clear" w:color="auto" w:fill="auto"/>
            <w:noWrap/>
          </w:tcPr>
          <w:p w14:paraId="3704F3F1" w14:textId="6D9B2F4F" w:rsidR="00C87853" w:rsidRPr="00C1603D" w:rsidRDefault="00C87853" w:rsidP="00C87853">
            <w:pPr>
              <w:pStyle w:val="72TabletextTablesTableFigureBoxstyles"/>
            </w:pPr>
            <w:r w:rsidRPr="00C1603D">
              <w:t>1165 (23.0)</w:t>
            </w:r>
          </w:p>
        </w:tc>
        <w:tc>
          <w:tcPr>
            <w:tcW w:w="0" w:type="auto"/>
            <w:shd w:val="clear" w:color="auto" w:fill="auto"/>
            <w:noWrap/>
          </w:tcPr>
          <w:p w14:paraId="540F388B" w14:textId="2DE7BC50" w:rsidR="00C87853" w:rsidRPr="00C1603D" w:rsidRDefault="00C87853" w:rsidP="00C87853">
            <w:pPr>
              <w:pStyle w:val="72TabletextTablesTableFigureBoxstyles"/>
            </w:pPr>
            <w:r w:rsidRPr="00C1603D">
              <w:t>10 (21.7)</w:t>
            </w:r>
          </w:p>
        </w:tc>
        <w:tc>
          <w:tcPr>
            <w:tcW w:w="0" w:type="auto"/>
            <w:vMerge/>
            <w:shd w:val="clear" w:color="auto" w:fill="auto"/>
            <w:noWrap/>
          </w:tcPr>
          <w:p w14:paraId="66F91E16" w14:textId="6EC8B339" w:rsidR="00C87853" w:rsidRPr="00C1603D" w:rsidRDefault="00C87853" w:rsidP="00C87853">
            <w:pPr>
              <w:pStyle w:val="72TabletextTablesTableFigureBoxstyles"/>
            </w:pPr>
          </w:p>
        </w:tc>
      </w:tr>
      <w:tr w:rsidR="00C87853" w:rsidRPr="00C1603D" w14:paraId="3F8981E7" w14:textId="77777777" w:rsidTr="0064483A">
        <w:trPr>
          <w:cantSplit/>
        </w:trPr>
        <w:tc>
          <w:tcPr>
            <w:tcW w:w="0" w:type="auto"/>
            <w:shd w:val="clear" w:color="auto" w:fill="auto"/>
            <w:noWrap/>
          </w:tcPr>
          <w:p w14:paraId="7E6323BC" w14:textId="7D7BFE5C" w:rsidR="00C87853" w:rsidRPr="00C1603D" w:rsidRDefault="00C87853" w:rsidP="00C87853">
            <w:pPr>
              <w:pStyle w:val="72TabletextTablesTableFigureBoxstyles"/>
            </w:pPr>
            <w:r w:rsidRPr="00C1603D">
              <w:tab/>
              <w:t>Missing</w:t>
            </w:r>
          </w:p>
        </w:tc>
        <w:tc>
          <w:tcPr>
            <w:tcW w:w="0" w:type="auto"/>
            <w:shd w:val="clear" w:color="auto" w:fill="auto"/>
            <w:noWrap/>
          </w:tcPr>
          <w:p w14:paraId="3C5EDBB5" w14:textId="7572D25F" w:rsidR="00C87853" w:rsidRPr="00C1603D" w:rsidRDefault="00C87853" w:rsidP="00C87853">
            <w:pPr>
              <w:pStyle w:val="72TabletextTablesTableFigureBoxstyles"/>
            </w:pPr>
            <w:r w:rsidRPr="00C1603D">
              <w:t>1139 (22.5)</w:t>
            </w:r>
          </w:p>
        </w:tc>
        <w:tc>
          <w:tcPr>
            <w:tcW w:w="0" w:type="auto"/>
            <w:shd w:val="clear" w:color="auto" w:fill="auto"/>
            <w:noWrap/>
          </w:tcPr>
          <w:p w14:paraId="1E1F84B3" w14:textId="03623B83" w:rsidR="00C87853" w:rsidRPr="00C1603D" w:rsidRDefault="00C87853" w:rsidP="00C87853">
            <w:pPr>
              <w:pStyle w:val="72TabletextTablesTableFigureBoxstyles"/>
            </w:pPr>
            <w:r w:rsidRPr="00C1603D">
              <w:t>11 (23.9)</w:t>
            </w:r>
          </w:p>
        </w:tc>
        <w:tc>
          <w:tcPr>
            <w:tcW w:w="0" w:type="auto"/>
            <w:vMerge/>
            <w:shd w:val="clear" w:color="auto" w:fill="auto"/>
            <w:noWrap/>
          </w:tcPr>
          <w:p w14:paraId="3A32879E" w14:textId="2490932F" w:rsidR="00C87853" w:rsidRPr="00C1603D" w:rsidRDefault="00C87853" w:rsidP="00C87853">
            <w:pPr>
              <w:pStyle w:val="72TabletextTablesTableFigureBoxstyles"/>
            </w:pPr>
          </w:p>
        </w:tc>
      </w:tr>
      <w:tr w:rsidR="008B4DF8" w:rsidRPr="00C1603D" w14:paraId="2E5C3B9B" w14:textId="77777777" w:rsidTr="0064483A">
        <w:trPr>
          <w:cantSplit/>
        </w:trPr>
        <w:tc>
          <w:tcPr>
            <w:tcW w:w="0" w:type="auto"/>
            <w:gridSpan w:val="4"/>
            <w:shd w:val="clear" w:color="auto" w:fill="auto"/>
            <w:noWrap/>
          </w:tcPr>
          <w:p w14:paraId="19495C07" w14:textId="302A64B7" w:rsidR="008B4DF8" w:rsidRPr="00C1603D" w:rsidRDefault="008B4DF8" w:rsidP="00C87853">
            <w:pPr>
              <w:pStyle w:val="72TabletextTablesTableFigureBoxstyles"/>
            </w:pPr>
            <w:r w:rsidRPr="00C1603D">
              <w:t xml:space="preserve">Mouth ulcers, </w:t>
            </w:r>
            <w:r w:rsidR="00D378CE" w:rsidRPr="00C1603D">
              <w:rPr>
                <w:i/>
                <w:iCs/>
                <w:color w:val="auto"/>
              </w:rPr>
              <w:t>n</w:t>
            </w:r>
            <w:r w:rsidR="00D378CE" w:rsidRPr="00C1603D">
              <w:rPr>
                <w:color w:val="auto"/>
              </w:rPr>
              <w:t xml:space="preserve"> (%)</w:t>
            </w:r>
          </w:p>
        </w:tc>
      </w:tr>
      <w:tr w:rsidR="00C87853" w:rsidRPr="00C1603D" w14:paraId="7C80BE3F" w14:textId="77777777" w:rsidTr="0064483A">
        <w:trPr>
          <w:cantSplit/>
        </w:trPr>
        <w:tc>
          <w:tcPr>
            <w:tcW w:w="0" w:type="auto"/>
            <w:shd w:val="clear" w:color="auto" w:fill="auto"/>
            <w:noWrap/>
          </w:tcPr>
          <w:p w14:paraId="23677297" w14:textId="77B95968" w:rsidR="00C87853" w:rsidRPr="00C1603D" w:rsidRDefault="00C87853" w:rsidP="00C87853">
            <w:pPr>
              <w:pStyle w:val="72TabletextTablesTableFigureBoxstyles"/>
            </w:pPr>
            <w:r w:rsidRPr="00C1603D">
              <w:tab/>
              <w:t>Absent</w:t>
            </w:r>
          </w:p>
        </w:tc>
        <w:tc>
          <w:tcPr>
            <w:tcW w:w="0" w:type="auto"/>
            <w:shd w:val="clear" w:color="auto" w:fill="auto"/>
            <w:noWrap/>
          </w:tcPr>
          <w:p w14:paraId="52A3D70F" w14:textId="50FD7D46" w:rsidR="00C87853" w:rsidRPr="00C1603D" w:rsidRDefault="00C87853" w:rsidP="00C87853">
            <w:pPr>
              <w:pStyle w:val="72TabletextTablesTableFigureBoxstyles"/>
            </w:pPr>
            <w:r w:rsidRPr="00C1603D">
              <w:t>1554 (30.6)</w:t>
            </w:r>
          </w:p>
        </w:tc>
        <w:tc>
          <w:tcPr>
            <w:tcW w:w="0" w:type="auto"/>
            <w:shd w:val="clear" w:color="auto" w:fill="auto"/>
            <w:noWrap/>
          </w:tcPr>
          <w:p w14:paraId="727E29DF" w14:textId="77B673D7" w:rsidR="00C87853" w:rsidRPr="00C1603D" w:rsidRDefault="00C87853" w:rsidP="00C87853">
            <w:pPr>
              <w:pStyle w:val="72TabletextTablesTableFigureBoxstyles"/>
            </w:pPr>
            <w:r w:rsidRPr="00C1603D">
              <w:t>16 (34.8)</w:t>
            </w:r>
          </w:p>
        </w:tc>
        <w:tc>
          <w:tcPr>
            <w:tcW w:w="0" w:type="auto"/>
            <w:vMerge w:val="restart"/>
            <w:shd w:val="clear" w:color="auto" w:fill="auto"/>
            <w:noWrap/>
          </w:tcPr>
          <w:p w14:paraId="6D193E87" w14:textId="77777777" w:rsidR="00C87853" w:rsidRPr="00C1603D" w:rsidRDefault="00C87853" w:rsidP="00C87853">
            <w:pPr>
              <w:pStyle w:val="72TabletextTablesTableFigureBoxstyles"/>
            </w:pPr>
            <w:r w:rsidRPr="00C1603D">
              <w:t>0.857</w:t>
            </w:r>
          </w:p>
        </w:tc>
      </w:tr>
      <w:tr w:rsidR="00C87853" w:rsidRPr="00C1603D" w14:paraId="2E843D89" w14:textId="77777777" w:rsidTr="0064483A">
        <w:trPr>
          <w:cantSplit/>
        </w:trPr>
        <w:tc>
          <w:tcPr>
            <w:tcW w:w="0" w:type="auto"/>
            <w:shd w:val="clear" w:color="auto" w:fill="auto"/>
            <w:noWrap/>
          </w:tcPr>
          <w:p w14:paraId="720F64CE" w14:textId="6F0E8CD0" w:rsidR="00C87853" w:rsidRPr="00C1603D" w:rsidRDefault="00C87853" w:rsidP="00C87853">
            <w:pPr>
              <w:pStyle w:val="72TabletextTablesTableFigureBoxstyles"/>
            </w:pPr>
            <w:r w:rsidRPr="00C1603D">
              <w:tab/>
              <w:t>Present</w:t>
            </w:r>
          </w:p>
        </w:tc>
        <w:tc>
          <w:tcPr>
            <w:tcW w:w="0" w:type="auto"/>
            <w:shd w:val="clear" w:color="auto" w:fill="auto"/>
            <w:noWrap/>
          </w:tcPr>
          <w:p w14:paraId="539B1EA8" w14:textId="2D8701DB" w:rsidR="00C87853" w:rsidRPr="00C1603D" w:rsidRDefault="00C87853" w:rsidP="00C87853">
            <w:pPr>
              <w:pStyle w:val="72TabletextTablesTableFigureBoxstyles"/>
            </w:pPr>
            <w:r w:rsidRPr="00C1603D">
              <w:t>497 (9.8)</w:t>
            </w:r>
          </w:p>
        </w:tc>
        <w:tc>
          <w:tcPr>
            <w:tcW w:w="0" w:type="auto"/>
            <w:shd w:val="clear" w:color="auto" w:fill="auto"/>
            <w:noWrap/>
          </w:tcPr>
          <w:p w14:paraId="00F3FB8F" w14:textId="2F5F070D" w:rsidR="00C87853" w:rsidRPr="00C1603D" w:rsidRDefault="00C87853" w:rsidP="00C87853">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2B065F56" w14:textId="6ED12B4A" w:rsidR="00C87853" w:rsidRPr="00C1603D" w:rsidRDefault="00C87853" w:rsidP="00C87853">
            <w:pPr>
              <w:pStyle w:val="72TabletextTablesTableFigureBoxstyles"/>
            </w:pPr>
          </w:p>
        </w:tc>
      </w:tr>
      <w:tr w:rsidR="00C87853" w:rsidRPr="00C1603D" w14:paraId="4BFCF4C4" w14:textId="77777777" w:rsidTr="0064483A">
        <w:trPr>
          <w:cantSplit/>
        </w:trPr>
        <w:tc>
          <w:tcPr>
            <w:tcW w:w="0" w:type="auto"/>
            <w:shd w:val="clear" w:color="auto" w:fill="auto"/>
            <w:noWrap/>
          </w:tcPr>
          <w:p w14:paraId="22398734" w14:textId="6BF560CF" w:rsidR="00C87853" w:rsidRPr="00C1603D" w:rsidRDefault="00C87853" w:rsidP="00C87853">
            <w:pPr>
              <w:pStyle w:val="72TabletextTablesTableFigureBoxstyles"/>
            </w:pPr>
            <w:r w:rsidRPr="00C1603D">
              <w:tab/>
              <w:t>Missing</w:t>
            </w:r>
          </w:p>
        </w:tc>
        <w:tc>
          <w:tcPr>
            <w:tcW w:w="0" w:type="auto"/>
            <w:shd w:val="clear" w:color="auto" w:fill="auto"/>
            <w:noWrap/>
          </w:tcPr>
          <w:p w14:paraId="14048A3B" w14:textId="27BBBC86" w:rsidR="00C87853" w:rsidRPr="00C1603D" w:rsidRDefault="00C87853" w:rsidP="00C87853">
            <w:pPr>
              <w:pStyle w:val="72TabletextTablesTableFigureBoxstyles"/>
            </w:pPr>
            <w:r w:rsidRPr="00C1603D">
              <w:t>3020 (59.6)</w:t>
            </w:r>
          </w:p>
        </w:tc>
        <w:tc>
          <w:tcPr>
            <w:tcW w:w="0" w:type="auto"/>
            <w:shd w:val="clear" w:color="auto" w:fill="auto"/>
            <w:noWrap/>
          </w:tcPr>
          <w:p w14:paraId="0D37BB56" w14:textId="31CC00EE" w:rsidR="00C87853" w:rsidRPr="00C1603D" w:rsidRDefault="00C87853" w:rsidP="00C87853">
            <w:pPr>
              <w:pStyle w:val="72TabletextTablesTableFigureBoxstyles"/>
            </w:pPr>
            <w:r w:rsidRPr="00C1603D">
              <w:t>26 (56.5)</w:t>
            </w:r>
          </w:p>
        </w:tc>
        <w:tc>
          <w:tcPr>
            <w:tcW w:w="0" w:type="auto"/>
            <w:vMerge/>
            <w:shd w:val="clear" w:color="auto" w:fill="auto"/>
            <w:noWrap/>
          </w:tcPr>
          <w:p w14:paraId="2E1A8F6C" w14:textId="69769FC1" w:rsidR="00C87853" w:rsidRPr="00C1603D" w:rsidRDefault="00C87853" w:rsidP="00C87853">
            <w:pPr>
              <w:pStyle w:val="72TabletextTablesTableFigureBoxstyles"/>
            </w:pPr>
          </w:p>
        </w:tc>
      </w:tr>
      <w:tr w:rsidR="008B4DF8" w:rsidRPr="00C1603D" w14:paraId="36EC2A7E" w14:textId="77777777" w:rsidTr="0064483A">
        <w:trPr>
          <w:cantSplit/>
        </w:trPr>
        <w:tc>
          <w:tcPr>
            <w:tcW w:w="0" w:type="auto"/>
            <w:gridSpan w:val="4"/>
            <w:shd w:val="clear" w:color="auto" w:fill="auto"/>
            <w:noWrap/>
          </w:tcPr>
          <w:p w14:paraId="4246F32F" w14:textId="29B16AB1" w:rsidR="008B4DF8" w:rsidRPr="00C1603D" w:rsidRDefault="008B4DF8" w:rsidP="00C87853">
            <w:pPr>
              <w:pStyle w:val="72TabletextTablesTableFigureBoxstyles"/>
            </w:pPr>
            <w:r w:rsidRPr="00C1603D">
              <w:t xml:space="preserve">GI symptoms, </w:t>
            </w:r>
            <w:r w:rsidR="00D378CE" w:rsidRPr="00C1603D">
              <w:rPr>
                <w:i/>
                <w:iCs/>
                <w:color w:val="auto"/>
              </w:rPr>
              <w:t>n</w:t>
            </w:r>
            <w:r w:rsidR="00D378CE" w:rsidRPr="00C1603D">
              <w:rPr>
                <w:color w:val="auto"/>
              </w:rPr>
              <w:t xml:space="preserve"> (%)</w:t>
            </w:r>
          </w:p>
        </w:tc>
      </w:tr>
      <w:tr w:rsidR="00C87853" w:rsidRPr="00C1603D" w14:paraId="09B85D4A" w14:textId="77777777" w:rsidTr="0064483A">
        <w:trPr>
          <w:cantSplit/>
        </w:trPr>
        <w:tc>
          <w:tcPr>
            <w:tcW w:w="0" w:type="auto"/>
            <w:shd w:val="clear" w:color="auto" w:fill="auto"/>
            <w:noWrap/>
          </w:tcPr>
          <w:p w14:paraId="1D26E424" w14:textId="1964039E" w:rsidR="00C87853" w:rsidRPr="00C1603D" w:rsidRDefault="00C87853" w:rsidP="00C87853">
            <w:pPr>
              <w:pStyle w:val="72TabletextTablesTableFigureBoxstyles"/>
            </w:pPr>
            <w:r w:rsidRPr="00C1603D">
              <w:tab/>
              <w:t>Absent</w:t>
            </w:r>
          </w:p>
        </w:tc>
        <w:tc>
          <w:tcPr>
            <w:tcW w:w="0" w:type="auto"/>
            <w:shd w:val="clear" w:color="auto" w:fill="auto"/>
            <w:noWrap/>
          </w:tcPr>
          <w:p w14:paraId="780AEDAD" w14:textId="683C2F34" w:rsidR="00C87853" w:rsidRPr="00C1603D" w:rsidRDefault="00C87853" w:rsidP="00C87853">
            <w:pPr>
              <w:pStyle w:val="72TabletextTablesTableFigureBoxstyles"/>
            </w:pPr>
            <w:r w:rsidRPr="00C1603D">
              <w:t>3840 (75.7)</w:t>
            </w:r>
          </w:p>
        </w:tc>
        <w:tc>
          <w:tcPr>
            <w:tcW w:w="0" w:type="auto"/>
            <w:shd w:val="clear" w:color="auto" w:fill="auto"/>
            <w:noWrap/>
          </w:tcPr>
          <w:p w14:paraId="564CF351" w14:textId="61BEEF33" w:rsidR="00C87853" w:rsidRPr="00C1603D" w:rsidRDefault="00C87853" w:rsidP="00C87853">
            <w:pPr>
              <w:pStyle w:val="72TabletextTablesTableFigureBoxstyles"/>
            </w:pPr>
            <w:r w:rsidRPr="00C1603D">
              <w:t>40 (87.0)</w:t>
            </w:r>
          </w:p>
        </w:tc>
        <w:tc>
          <w:tcPr>
            <w:tcW w:w="0" w:type="auto"/>
            <w:vMerge w:val="restart"/>
            <w:shd w:val="clear" w:color="auto" w:fill="auto"/>
            <w:noWrap/>
          </w:tcPr>
          <w:p w14:paraId="611F52CD" w14:textId="77777777" w:rsidR="00C87853" w:rsidRPr="00C1603D" w:rsidRDefault="00C87853" w:rsidP="00C87853">
            <w:pPr>
              <w:pStyle w:val="72TabletextTablesTableFigureBoxstyles"/>
            </w:pPr>
            <w:r w:rsidRPr="00C1603D">
              <w:t>0.235</w:t>
            </w:r>
          </w:p>
        </w:tc>
      </w:tr>
      <w:tr w:rsidR="00C87853" w:rsidRPr="00C1603D" w14:paraId="7E1ECCFF" w14:textId="77777777" w:rsidTr="0064483A">
        <w:trPr>
          <w:cantSplit/>
        </w:trPr>
        <w:tc>
          <w:tcPr>
            <w:tcW w:w="0" w:type="auto"/>
            <w:shd w:val="clear" w:color="auto" w:fill="auto"/>
            <w:noWrap/>
          </w:tcPr>
          <w:p w14:paraId="00DF990F" w14:textId="641173A0" w:rsidR="00C87853" w:rsidRPr="00C1603D" w:rsidRDefault="00C87853" w:rsidP="00C87853">
            <w:pPr>
              <w:pStyle w:val="72TabletextTablesTableFigureBoxstyles"/>
            </w:pPr>
            <w:r w:rsidRPr="00C1603D">
              <w:tab/>
              <w:t>Present</w:t>
            </w:r>
          </w:p>
        </w:tc>
        <w:tc>
          <w:tcPr>
            <w:tcW w:w="0" w:type="auto"/>
            <w:shd w:val="clear" w:color="auto" w:fill="auto"/>
            <w:noWrap/>
          </w:tcPr>
          <w:p w14:paraId="1CFF7844" w14:textId="74EB5928" w:rsidR="00C87853" w:rsidRPr="00C1603D" w:rsidRDefault="00C87853" w:rsidP="00C87853">
            <w:pPr>
              <w:pStyle w:val="72TabletextTablesTableFigureBoxstyles"/>
            </w:pPr>
            <w:r w:rsidRPr="00C1603D">
              <w:t>306 (6.0)</w:t>
            </w:r>
          </w:p>
        </w:tc>
        <w:tc>
          <w:tcPr>
            <w:tcW w:w="0" w:type="auto"/>
            <w:shd w:val="clear" w:color="auto" w:fill="auto"/>
            <w:noWrap/>
          </w:tcPr>
          <w:p w14:paraId="0FB59BCE" w14:textId="29E50408" w:rsidR="00C87853" w:rsidRPr="00C1603D" w:rsidRDefault="00C87853" w:rsidP="00C87853">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4526D74F" w14:textId="0E5996FE" w:rsidR="00C87853" w:rsidRPr="00C1603D" w:rsidRDefault="00C87853" w:rsidP="00C87853">
            <w:pPr>
              <w:pStyle w:val="72TabletextTablesTableFigureBoxstyles"/>
            </w:pPr>
          </w:p>
        </w:tc>
      </w:tr>
      <w:tr w:rsidR="00C87853" w:rsidRPr="00C1603D" w14:paraId="1484AA04" w14:textId="77777777" w:rsidTr="0064483A">
        <w:trPr>
          <w:cantSplit/>
        </w:trPr>
        <w:tc>
          <w:tcPr>
            <w:tcW w:w="0" w:type="auto"/>
            <w:shd w:val="clear" w:color="auto" w:fill="auto"/>
            <w:noWrap/>
          </w:tcPr>
          <w:p w14:paraId="7EAB4C51" w14:textId="33D4557C" w:rsidR="00C87853" w:rsidRPr="00C1603D" w:rsidRDefault="00C87853" w:rsidP="00C87853">
            <w:pPr>
              <w:pStyle w:val="72TabletextTablesTableFigureBoxstyles"/>
            </w:pPr>
            <w:r w:rsidRPr="00C1603D">
              <w:tab/>
              <w:t>Missing</w:t>
            </w:r>
          </w:p>
        </w:tc>
        <w:tc>
          <w:tcPr>
            <w:tcW w:w="0" w:type="auto"/>
            <w:shd w:val="clear" w:color="auto" w:fill="auto"/>
            <w:noWrap/>
          </w:tcPr>
          <w:p w14:paraId="0C9BBF08" w14:textId="3566DA75" w:rsidR="00C87853" w:rsidRPr="00C1603D" w:rsidRDefault="00C87853" w:rsidP="00C87853">
            <w:pPr>
              <w:pStyle w:val="72TabletextTablesTableFigureBoxstyles"/>
            </w:pPr>
            <w:r w:rsidRPr="00C1603D">
              <w:t>925 (18.2)</w:t>
            </w:r>
          </w:p>
        </w:tc>
        <w:tc>
          <w:tcPr>
            <w:tcW w:w="0" w:type="auto"/>
            <w:shd w:val="clear" w:color="auto" w:fill="auto"/>
            <w:noWrap/>
          </w:tcPr>
          <w:p w14:paraId="4DFC5645" w14:textId="51D87A3A" w:rsidR="00C87853" w:rsidRPr="00C1603D" w:rsidRDefault="00C87853" w:rsidP="00C87853">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64867007" w14:textId="1E0257DB" w:rsidR="00C87853" w:rsidRPr="00C1603D" w:rsidRDefault="00C87853" w:rsidP="00C87853">
            <w:pPr>
              <w:pStyle w:val="72TabletextTablesTableFigureBoxstyles"/>
            </w:pPr>
          </w:p>
        </w:tc>
      </w:tr>
      <w:tr w:rsidR="008B4DF8" w:rsidRPr="00C1603D" w14:paraId="4E23592C" w14:textId="77777777" w:rsidTr="0064483A">
        <w:trPr>
          <w:cantSplit/>
        </w:trPr>
        <w:tc>
          <w:tcPr>
            <w:tcW w:w="0" w:type="auto"/>
            <w:gridSpan w:val="4"/>
            <w:shd w:val="clear" w:color="auto" w:fill="auto"/>
            <w:noWrap/>
          </w:tcPr>
          <w:p w14:paraId="407B1D64" w14:textId="19F58161" w:rsidR="008B4DF8" w:rsidRPr="00C1603D" w:rsidRDefault="008B4DF8" w:rsidP="00C87853">
            <w:pPr>
              <w:pStyle w:val="72TabletextTablesTableFigureBoxstyles"/>
            </w:pPr>
            <w:r w:rsidRPr="00C1603D">
              <w:t xml:space="preserve">Mood disorders, </w:t>
            </w:r>
            <w:r w:rsidR="00D378CE" w:rsidRPr="00C1603D">
              <w:rPr>
                <w:i/>
                <w:iCs/>
                <w:color w:val="auto"/>
              </w:rPr>
              <w:t>n</w:t>
            </w:r>
            <w:r w:rsidR="00D378CE" w:rsidRPr="00C1603D">
              <w:rPr>
                <w:color w:val="auto"/>
              </w:rPr>
              <w:t xml:space="preserve"> (%)</w:t>
            </w:r>
          </w:p>
        </w:tc>
      </w:tr>
      <w:tr w:rsidR="00C87853" w:rsidRPr="00C1603D" w14:paraId="2843BB60" w14:textId="77777777" w:rsidTr="0064483A">
        <w:trPr>
          <w:cantSplit/>
        </w:trPr>
        <w:tc>
          <w:tcPr>
            <w:tcW w:w="0" w:type="auto"/>
            <w:shd w:val="clear" w:color="auto" w:fill="auto"/>
            <w:noWrap/>
          </w:tcPr>
          <w:p w14:paraId="3D20D0A4" w14:textId="5E2A5B60" w:rsidR="00C87853" w:rsidRPr="00C1603D" w:rsidRDefault="00C87853" w:rsidP="00C87853">
            <w:pPr>
              <w:pStyle w:val="72TabletextTablesTableFigureBoxstyles"/>
            </w:pPr>
            <w:r w:rsidRPr="00C1603D">
              <w:tab/>
              <w:t>Absent</w:t>
            </w:r>
          </w:p>
        </w:tc>
        <w:tc>
          <w:tcPr>
            <w:tcW w:w="0" w:type="auto"/>
            <w:shd w:val="clear" w:color="auto" w:fill="auto"/>
            <w:noWrap/>
          </w:tcPr>
          <w:p w14:paraId="2EF0ED62" w14:textId="67EBC584" w:rsidR="00C87853" w:rsidRPr="00C1603D" w:rsidRDefault="00C87853" w:rsidP="00C87853">
            <w:pPr>
              <w:pStyle w:val="72TabletextTablesTableFigureBoxstyles"/>
            </w:pPr>
            <w:r w:rsidRPr="00C1603D">
              <w:t>3573 (70.5)</w:t>
            </w:r>
          </w:p>
        </w:tc>
        <w:tc>
          <w:tcPr>
            <w:tcW w:w="0" w:type="auto"/>
            <w:shd w:val="clear" w:color="auto" w:fill="auto"/>
            <w:noWrap/>
          </w:tcPr>
          <w:p w14:paraId="6BCF9F37" w14:textId="06FF1FB5" w:rsidR="00C87853" w:rsidRPr="00C1603D" w:rsidRDefault="00C87853" w:rsidP="00C87853">
            <w:pPr>
              <w:pStyle w:val="72TabletextTablesTableFigureBoxstyles"/>
            </w:pPr>
            <w:r w:rsidRPr="00C1603D">
              <w:t>38 (82.6)</w:t>
            </w:r>
          </w:p>
        </w:tc>
        <w:tc>
          <w:tcPr>
            <w:tcW w:w="0" w:type="auto"/>
            <w:vMerge w:val="restart"/>
            <w:shd w:val="clear" w:color="auto" w:fill="auto"/>
            <w:noWrap/>
          </w:tcPr>
          <w:p w14:paraId="171C0049" w14:textId="77777777" w:rsidR="00C87853" w:rsidRPr="00C1603D" w:rsidRDefault="00C87853" w:rsidP="00C87853">
            <w:pPr>
              <w:pStyle w:val="72TabletextTablesTableFigureBoxstyles"/>
            </w:pPr>
            <w:r w:rsidRPr="00C1603D">
              <w:t>0.229</w:t>
            </w:r>
          </w:p>
        </w:tc>
      </w:tr>
      <w:tr w:rsidR="00C87853" w:rsidRPr="00C1603D" w14:paraId="435D96E3" w14:textId="77777777" w:rsidTr="0064483A">
        <w:trPr>
          <w:cantSplit/>
        </w:trPr>
        <w:tc>
          <w:tcPr>
            <w:tcW w:w="0" w:type="auto"/>
            <w:shd w:val="clear" w:color="auto" w:fill="auto"/>
            <w:noWrap/>
          </w:tcPr>
          <w:p w14:paraId="497816F5" w14:textId="1982105A" w:rsidR="00C87853" w:rsidRPr="00C1603D" w:rsidRDefault="00C87853" w:rsidP="00C87853">
            <w:pPr>
              <w:pStyle w:val="72TabletextTablesTableFigureBoxstyles"/>
            </w:pPr>
            <w:r w:rsidRPr="00C1603D">
              <w:tab/>
              <w:t>Present</w:t>
            </w:r>
          </w:p>
        </w:tc>
        <w:tc>
          <w:tcPr>
            <w:tcW w:w="0" w:type="auto"/>
            <w:shd w:val="clear" w:color="auto" w:fill="auto"/>
            <w:noWrap/>
          </w:tcPr>
          <w:p w14:paraId="1F15A0FA" w14:textId="0470193B" w:rsidR="00C87853" w:rsidRPr="00C1603D" w:rsidRDefault="00C87853" w:rsidP="00C87853">
            <w:pPr>
              <w:pStyle w:val="72TabletextTablesTableFigureBoxstyles"/>
            </w:pPr>
            <w:r w:rsidRPr="00C1603D">
              <w:t>608 (12.0)</w:t>
            </w:r>
          </w:p>
        </w:tc>
        <w:tc>
          <w:tcPr>
            <w:tcW w:w="0" w:type="auto"/>
            <w:shd w:val="clear" w:color="auto" w:fill="auto"/>
            <w:noWrap/>
          </w:tcPr>
          <w:p w14:paraId="1BCD66D9" w14:textId="5B84A1EE" w:rsidR="00C87853" w:rsidRPr="00C1603D" w:rsidRDefault="00C87853" w:rsidP="00C87853">
            <w:pPr>
              <w:pStyle w:val="72TabletextTablesTableFigureBoxstyles"/>
            </w:pPr>
            <w:r w:rsidRPr="00C1603D">
              <w:rPr>
                <w:color w:val="00B0F0"/>
              </w:rPr>
              <w:t>&lt; 5</w:t>
            </w:r>
            <w:r w:rsidRPr="00C1603D">
              <w:t xml:space="preserve"> (</w:t>
            </w:r>
            <w:r w:rsidRPr="00C1603D">
              <w:rPr>
                <w:color w:val="00B0F0"/>
              </w:rPr>
              <w:t>&lt; 1</w:t>
            </w:r>
            <w:r w:rsidRPr="00C1603D">
              <w:t>0.9)</w:t>
            </w:r>
            <w:r w:rsidRPr="00C1603D">
              <w:rPr>
                <w:vertAlign w:val="superscript"/>
              </w:rPr>
              <w:t>b</w:t>
            </w:r>
          </w:p>
        </w:tc>
        <w:tc>
          <w:tcPr>
            <w:tcW w:w="0" w:type="auto"/>
            <w:vMerge/>
            <w:shd w:val="clear" w:color="auto" w:fill="auto"/>
            <w:noWrap/>
          </w:tcPr>
          <w:p w14:paraId="31EF4602" w14:textId="6275B59E" w:rsidR="00C87853" w:rsidRPr="00C1603D" w:rsidRDefault="00C87853" w:rsidP="00C87853">
            <w:pPr>
              <w:pStyle w:val="72TabletextTablesTableFigureBoxstyles"/>
            </w:pPr>
          </w:p>
        </w:tc>
      </w:tr>
      <w:tr w:rsidR="00C87853" w:rsidRPr="00C1603D" w14:paraId="04091559" w14:textId="77777777" w:rsidTr="0064483A">
        <w:trPr>
          <w:cantSplit/>
        </w:trPr>
        <w:tc>
          <w:tcPr>
            <w:tcW w:w="0" w:type="auto"/>
            <w:shd w:val="clear" w:color="auto" w:fill="auto"/>
            <w:noWrap/>
          </w:tcPr>
          <w:p w14:paraId="78726C56" w14:textId="55ADB23F" w:rsidR="00C87853" w:rsidRPr="00C1603D" w:rsidRDefault="00C87853" w:rsidP="00C87853">
            <w:pPr>
              <w:pStyle w:val="72TabletextTablesTableFigureBoxstyles"/>
            </w:pPr>
            <w:r w:rsidRPr="00C1603D">
              <w:tab/>
              <w:t>Missing</w:t>
            </w:r>
          </w:p>
        </w:tc>
        <w:tc>
          <w:tcPr>
            <w:tcW w:w="0" w:type="auto"/>
            <w:shd w:val="clear" w:color="auto" w:fill="auto"/>
            <w:noWrap/>
          </w:tcPr>
          <w:p w14:paraId="58B31255" w14:textId="0A451BD4" w:rsidR="00C87853" w:rsidRPr="00C1603D" w:rsidRDefault="00C87853" w:rsidP="00C87853">
            <w:pPr>
              <w:pStyle w:val="72TabletextTablesTableFigureBoxstyles"/>
            </w:pPr>
            <w:r w:rsidRPr="00C1603D">
              <w:t>890 (17.6)</w:t>
            </w:r>
          </w:p>
        </w:tc>
        <w:tc>
          <w:tcPr>
            <w:tcW w:w="0" w:type="auto"/>
            <w:shd w:val="clear" w:color="auto" w:fill="auto"/>
            <w:noWrap/>
          </w:tcPr>
          <w:p w14:paraId="68D320B7" w14:textId="18494ADE" w:rsidR="00C87853" w:rsidRPr="00C1603D" w:rsidRDefault="00C87853" w:rsidP="00C87853">
            <w:pPr>
              <w:pStyle w:val="72TabletextTablesTableFigureBoxstyles"/>
            </w:pPr>
            <w:r w:rsidRPr="00C1603D">
              <w:t>5 (10.9)</w:t>
            </w:r>
          </w:p>
        </w:tc>
        <w:tc>
          <w:tcPr>
            <w:tcW w:w="0" w:type="auto"/>
            <w:vMerge/>
            <w:shd w:val="clear" w:color="auto" w:fill="auto"/>
            <w:noWrap/>
          </w:tcPr>
          <w:p w14:paraId="069B0485" w14:textId="58C54FBB" w:rsidR="00C87853" w:rsidRPr="00C1603D" w:rsidRDefault="00C87853" w:rsidP="00C87853">
            <w:pPr>
              <w:pStyle w:val="72TabletextTablesTableFigureBoxstyles"/>
            </w:pPr>
          </w:p>
        </w:tc>
      </w:tr>
      <w:tr w:rsidR="006915A8" w:rsidRPr="00C1603D" w14:paraId="292B65E4" w14:textId="77777777" w:rsidTr="0064483A">
        <w:trPr>
          <w:cantSplit/>
        </w:trPr>
        <w:tc>
          <w:tcPr>
            <w:tcW w:w="0" w:type="auto"/>
            <w:shd w:val="clear" w:color="auto" w:fill="auto"/>
            <w:noWrap/>
          </w:tcPr>
          <w:p w14:paraId="69E85F6C" w14:textId="7041DFB8" w:rsidR="008B4DF8" w:rsidRPr="00C1603D" w:rsidRDefault="00D378CE" w:rsidP="0064483A">
            <w:pPr>
              <w:pStyle w:val="72TabletextTablesTableFigureBoxstyles"/>
            </w:pPr>
            <w:r w:rsidRPr="00C1603D">
              <w:t>Age (years), mean(SD)</w:t>
            </w:r>
          </w:p>
        </w:tc>
        <w:tc>
          <w:tcPr>
            <w:tcW w:w="0" w:type="auto"/>
            <w:shd w:val="clear" w:color="auto" w:fill="auto"/>
            <w:noWrap/>
          </w:tcPr>
          <w:p w14:paraId="12A19A17" w14:textId="77777777" w:rsidR="008B4DF8" w:rsidRPr="00C1603D" w:rsidRDefault="008B4DF8" w:rsidP="0064483A">
            <w:pPr>
              <w:pStyle w:val="72TabletextTablesTableFigureBoxstyles"/>
            </w:pPr>
            <w:r w:rsidRPr="00C1603D">
              <w:t>7.49 (0.19)</w:t>
            </w:r>
          </w:p>
        </w:tc>
        <w:tc>
          <w:tcPr>
            <w:tcW w:w="0" w:type="auto"/>
            <w:shd w:val="clear" w:color="auto" w:fill="auto"/>
            <w:noWrap/>
          </w:tcPr>
          <w:p w14:paraId="5CA10E64" w14:textId="77777777" w:rsidR="008B4DF8" w:rsidRPr="00C1603D" w:rsidRDefault="008B4DF8" w:rsidP="0064483A">
            <w:pPr>
              <w:pStyle w:val="72TabletextTablesTableFigureBoxstyles"/>
            </w:pPr>
            <w:r w:rsidRPr="00C1603D">
              <w:t>7.45 (0.12)</w:t>
            </w:r>
          </w:p>
        </w:tc>
        <w:tc>
          <w:tcPr>
            <w:tcW w:w="0" w:type="auto"/>
            <w:shd w:val="clear" w:color="auto" w:fill="auto"/>
            <w:noWrap/>
          </w:tcPr>
          <w:p w14:paraId="29B1E859" w14:textId="77777777" w:rsidR="008B4DF8" w:rsidRPr="00C1603D" w:rsidRDefault="008B4DF8" w:rsidP="0064483A">
            <w:pPr>
              <w:pStyle w:val="72TabletextTablesTableFigureBoxstyles"/>
            </w:pPr>
            <w:r w:rsidRPr="00C1603D">
              <w:t>0.030</w:t>
            </w:r>
          </w:p>
        </w:tc>
      </w:tr>
      <w:tr w:rsidR="009D3BB2" w:rsidRPr="00C1603D" w14:paraId="68A28389" w14:textId="77777777" w:rsidTr="0064483A">
        <w:trPr>
          <w:cantSplit/>
        </w:trPr>
        <w:tc>
          <w:tcPr>
            <w:tcW w:w="0" w:type="auto"/>
            <w:gridSpan w:val="4"/>
            <w:shd w:val="clear" w:color="auto" w:fill="auto"/>
            <w:noWrap/>
          </w:tcPr>
          <w:p w14:paraId="2D1B1F0B" w14:textId="587605B3" w:rsidR="009D3BB2" w:rsidRPr="00C1603D" w:rsidRDefault="006915A8" w:rsidP="0064483A">
            <w:pPr>
              <w:pStyle w:val="75TablenotesTablesTableFigureBoxstyles"/>
            </w:pPr>
            <w:r w:rsidRPr="00C1603D">
              <w:t>a</w:t>
            </w:r>
            <w:r w:rsidRPr="00C1603D">
              <w:tab/>
            </w:r>
            <w:r w:rsidRPr="00C1603D">
              <w:rPr>
                <w:i/>
                <w:iCs/>
              </w:rPr>
              <w:t>p</w:t>
            </w:r>
            <w:r w:rsidRPr="00C1603D">
              <w:t>-</w:t>
            </w:r>
            <w:r w:rsidR="009D3BB2" w:rsidRPr="00C1603D">
              <w:t xml:space="preserve">values show the result of a Welch </w:t>
            </w:r>
            <w:r w:rsidRPr="00C1603D">
              <w:t>t</w:t>
            </w:r>
            <w:r w:rsidR="009D3BB2" w:rsidRPr="00C1603D">
              <w:t>wo</w:t>
            </w:r>
            <w:r w:rsidRPr="00C1603D">
              <w:t>-s</w:t>
            </w:r>
            <w:r w:rsidR="009D3BB2" w:rsidRPr="00C1603D">
              <w:t xml:space="preserve">ample </w:t>
            </w:r>
            <w:r w:rsidR="009D3BB2" w:rsidRPr="00C1603D">
              <w:rPr>
                <w:i/>
                <w:iCs/>
              </w:rPr>
              <w:t>t</w:t>
            </w:r>
            <w:r w:rsidR="009D3BB2" w:rsidRPr="00C1603D">
              <w:t xml:space="preserve">-test for continuous </w:t>
            </w:r>
            <w:r w:rsidRPr="00C1603D">
              <w:t xml:space="preserve">variables </w:t>
            </w:r>
            <w:r w:rsidR="009D3BB2" w:rsidRPr="00C1603D">
              <w:t>and Fisher’s exact test for categorical variables.</w:t>
            </w:r>
          </w:p>
          <w:p w14:paraId="6254C1FA" w14:textId="2FF2E2DF" w:rsidR="006915A8" w:rsidRPr="00C1603D" w:rsidRDefault="006915A8" w:rsidP="006915A8">
            <w:pPr>
              <w:pStyle w:val="75TablenotesTablesTableFigureBoxstyles"/>
            </w:pPr>
            <w:r w:rsidRPr="00C1603D">
              <w:t>b</w:t>
            </w:r>
            <w:r w:rsidRPr="00C1603D">
              <w:tab/>
              <w:t>This may include zero.</w:t>
            </w:r>
          </w:p>
        </w:tc>
      </w:tr>
    </w:tbl>
    <w:p w14:paraId="00F0A137" w14:textId="07495677" w:rsidR="008B4DF8" w:rsidRPr="00C1603D" w:rsidRDefault="008B4DF8" w:rsidP="008B4DF8">
      <w:pPr>
        <w:pStyle w:val="602TextfoTextstylesTextstyles"/>
      </w:pPr>
      <w:r w:rsidRPr="00C1603D">
        <w:t>For children with complete data for the outcome and each candidate predictor, univariable associations indicated that males were less likely to have CD than females (coef</w:t>
      </w:r>
      <w:r w:rsidR="00E4713F" w:rsidRPr="00C1603D">
        <w:t>ficient</w:t>
      </w:r>
      <w:r w:rsidRPr="00C1603D">
        <w:t xml:space="preserve"> </w:t>
      </w:r>
      <w:r w:rsidRPr="00C1603D">
        <w:rPr>
          <w:color w:val="00B0F0"/>
        </w:rPr>
        <w:t>–0</w:t>
      </w:r>
      <w:r w:rsidRPr="00C1603D">
        <w:t>.78, 95% CI</w:t>
      </w:r>
      <w:r w:rsidRPr="00C1603D">
        <w:rPr>
          <w:color w:val="00B0F0"/>
        </w:rPr>
        <w:t xml:space="preserve"> –1</w:t>
      </w:r>
      <w:r w:rsidRPr="00C1603D">
        <w:t xml:space="preserve">.39 to </w:t>
      </w:r>
      <w:r w:rsidRPr="00C1603D">
        <w:rPr>
          <w:color w:val="00B0F0"/>
        </w:rPr>
        <w:t>–0</w:t>
      </w:r>
      <w:r w:rsidRPr="00C1603D">
        <w:t xml:space="preserve">.17; </w:t>
      </w:r>
      <w:r w:rsidR="00E4713F" w:rsidRPr="00C1603D">
        <w:t xml:space="preserve">see </w:t>
      </w:r>
      <w:r w:rsidRPr="00C1603D">
        <w:rPr>
          <w:i/>
          <w:iCs/>
          <w:color w:val="auto"/>
        </w:rPr>
        <w:t>Appendix 15</w:t>
      </w:r>
      <w:r w:rsidR="00E4713F" w:rsidRPr="00C1603D">
        <w:rPr>
          <w:color w:val="auto"/>
        </w:rPr>
        <w:t>,</w:t>
      </w:r>
      <w:r w:rsidRPr="00C1603D">
        <w:rPr>
          <w:color w:val="auto"/>
        </w:rPr>
        <w:t xml:space="preserve"> </w:t>
      </w:r>
      <w:r w:rsidRPr="00C1603D">
        <w:rPr>
          <w:i/>
          <w:color w:val="auto"/>
        </w:rPr>
        <w:t xml:space="preserve">Table </w:t>
      </w:r>
      <w:r w:rsidRPr="00C1603D">
        <w:rPr>
          <w:i/>
          <w:noProof/>
          <w:color w:val="auto"/>
        </w:rPr>
        <w:t>5</w:t>
      </w:r>
      <w:r w:rsidR="007C2375" w:rsidRPr="00C1603D">
        <w:rPr>
          <w:i/>
          <w:noProof/>
          <w:color w:val="auto"/>
        </w:rPr>
        <w:t>8</w:t>
      </w:r>
      <w:r w:rsidR="00E4713F" w:rsidRPr="00C1603D">
        <w:rPr>
          <w:iCs/>
          <w:noProof/>
          <w:color w:val="auto"/>
        </w:rPr>
        <w:t>)</w:t>
      </w:r>
      <w:r w:rsidRPr="00C1603D">
        <w:rPr>
          <w:color w:val="auto"/>
        </w:rPr>
        <w:t xml:space="preserve"> </w:t>
      </w:r>
      <w:r w:rsidR="00E4713F" w:rsidRPr="00C1603D">
        <w:rPr>
          <w:color w:val="auto"/>
        </w:rPr>
        <w:t>(</w:t>
      </w:r>
      <w:r w:rsidRPr="00C1603D">
        <w:rPr>
          <w:i/>
          <w:color w:val="FF0000"/>
        </w:rPr>
        <w:t xml:space="preserve">Figure </w:t>
      </w:r>
      <w:r w:rsidRPr="00C1603D">
        <w:rPr>
          <w:i/>
          <w:noProof/>
          <w:color w:val="FF0000"/>
        </w:rPr>
        <w:t>3</w:t>
      </w:r>
      <w:r w:rsidRPr="00C1603D">
        <w:t xml:space="preserve">). </w:t>
      </w:r>
      <w:commentRangeStart w:id="237"/>
      <w:commentRangeStart w:id="238"/>
      <w:r w:rsidRPr="00C1603D">
        <w:t xml:space="preserve">Children with type 1 diabetes, anaemia, a thyroid disorder and </w:t>
      </w:r>
      <w:r w:rsidR="00E4713F" w:rsidRPr="00C1603D">
        <w:t>two to four</w:t>
      </w:r>
      <w:r w:rsidRPr="00C1603D">
        <w:t xml:space="preserve"> GI symptoms were more likely to have CD</w:t>
      </w:r>
      <w:r w:rsidR="00E4713F" w:rsidRPr="00C1603D">
        <w:t>;</w:t>
      </w:r>
      <w:r w:rsidRPr="00C1603D">
        <w:t xml:space="preserve"> however</w:t>
      </w:r>
      <w:r w:rsidR="00E4713F" w:rsidRPr="00C1603D">
        <w:t>, the</w:t>
      </w:r>
      <w:r w:rsidRPr="00C1603D">
        <w:t xml:space="preserve"> 95% CIs contain zero.</w:t>
      </w:r>
      <w:commentRangeEnd w:id="237"/>
      <w:r w:rsidR="00E4713F" w:rsidRPr="00C1603D">
        <w:commentReference w:id="237"/>
      </w:r>
      <w:commentRangeEnd w:id="238"/>
      <w:r w:rsidRPr="00C1603D">
        <w:commentReference w:id="238"/>
      </w:r>
      <w:r w:rsidRPr="00C1603D">
        <w:t xml:space="preserve"> None of the remaining candidate predictors showed evidence of association with an increased likelihood of CD.</w:t>
      </w:r>
    </w:p>
    <w:p w14:paraId="2A65761A" w14:textId="5EC333DC" w:rsidR="008B4DF8" w:rsidRPr="00C1603D" w:rsidRDefault="008B4DF8" w:rsidP="008B4DF8">
      <w:pPr>
        <w:pStyle w:val="81FigurelegendTableFigureBoxstyles"/>
      </w:pPr>
      <w:bookmarkStart w:id="239" w:name="_Toc99720784"/>
      <w:r w:rsidRPr="00C1603D">
        <w:rPr>
          <w:b/>
        </w:rPr>
        <w:t>FIGURE 3</w:t>
      </w:r>
      <w:r w:rsidRPr="00C1603D">
        <w:rPr>
          <w:b/>
        </w:rPr>
        <w:t> </w:t>
      </w:r>
      <w:r w:rsidRPr="00C1603D">
        <w:t>Coefficients and 95% CIs from complete-case univariable analysis of candidate predictors and CD</w:t>
      </w:r>
      <w:bookmarkEnd w:id="239"/>
      <w:r w:rsidR="00252EB6" w:rsidRPr="00C1603D">
        <w:t>.</w:t>
      </w:r>
    </w:p>
    <w:p w14:paraId="117082FD" w14:textId="3DEECFFD" w:rsidR="008B4DF8" w:rsidRPr="00C1603D" w:rsidRDefault="008B4DF8" w:rsidP="008B4DF8">
      <w:pPr>
        <w:pStyle w:val="602TextfoTextstylesTextstyles"/>
        <w:rPr>
          <w:color w:val="auto"/>
        </w:rPr>
      </w:pPr>
      <w:r w:rsidRPr="00C1603D">
        <w:t xml:space="preserve">Male sex was the only predictor that </w:t>
      </w:r>
      <w:r w:rsidRPr="00C1603D">
        <w:rPr>
          <w:color w:val="auto"/>
        </w:rPr>
        <w:t>showed evidence of an association with CD in the ALSPAC data set, indicating that male children were less likely</w:t>
      </w:r>
      <w:r w:rsidR="00997ECF" w:rsidRPr="00C1603D">
        <w:rPr>
          <w:color w:val="auto"/>
        </w:rPr>
        <w:t xml:space="preserve"> than female children</w:t>
      </w:r>
      <w:r w:rsidRPr="00C1603D">
        <w:rPr>
          <w:color w:val="auto"/>
        </w:rPr>
        <w:t xml:space="preserve"> to be diagnosed with CD. This finding is consistent with the association between male sex and CD in the CPRD data. For the predictors age, mood disorder, fatigue, mouth ulcers, GI symptoms and GI symptom count of </w:t>
      </w:r>
      <w:proofErr w:type="gramStart"/>
      <w:r w:rsidRPr="00C1603D">
        <w:rPr>
          <w:color w:val="auto"/>
        </w:rPr>
        <w:t>1</w:t>
      </w:r>
      <w:proofErr w:type="gramEnd"/>
      <w:r w:rsidR="00997ECF" w:rsidRPr="00C1603D">
        <w:rPr>
          <w:color w:val="auto"/>
        </w:rPr>
        <w:t>,</w:t>
      </w:r>
      <w:r w:rsidRPr="00C1603D">
        <w:rPr>
          <w:color w:val="auto"/>
        </w:rPr>
        <w:t xml:space="preserve"> the direction of effects estimated in the ALSPAC cohort contradicts the associations identified in the CPRD data</w:t>
      </w:r>
      <w:r w:rsidR="00997ECF" w:rsidRPr="00C1603D">
        <w:rPr>
          <w:color w:val="auto"/>
        </w:rPr>
        <w:t>;</w:t>
      </w:r>
      <w:r w:rsidRPr="00C1603D">
        <w:rPr>
          <w:color w:val="auto"/>
        </w:rPr>
        <w:t xml:space="preserve"> </w:t>
      </w:r>
      <w:r w:rsidR="00997ECF" w:rsidRPr="00C1603D">
        <w:rPr>
          <w:color w:val="auto"/>
        </w:rPr>
        <w:t>therefore,</w:t>
      </w:r>
      <w:r w:rsidRPr="00C1603D">
        <w:rPr>
          <w:color w:val="auto"/>
        </w:rPr>
        <w:t xml:space="preserve"> inclusion in the model is likely to result in inaccurate risk predictions. Low counts of children with type 1 diabetes and thyroid disorder precluded multiple imputation of these predictors and</w:t>
      </w:r>
      <w:r w:rsidR="000463C0" w:rsidRPr="00C1603D">
        <w:rPr>
          <w:color w:val="auto"/>
        </w:rPr>
        <w:t>,</w:t>
      </w:r>
      <w:r w:rsidRPr="00C1603D">
        <w:rPr>
          <w:color w:val="auto"/>
        </w:rPr>
        <w:t xml:space="preserve"> </w:t>
      </w:r>
      <w:r w:rsidR="000463C0" w:rsidRPr="00C1603D">
        <w:rPr>
          <w:color w:val="auto"/>
        </w:rPr>
        <w:t>because of</w:t>
      </w:r>
      <w:r w:rsidRPr="00C1603D">
        <w:rPr>
          <w:color w:val="auto"/>
        </w:rPr>
        <w:t xml:space="preserve"> the </w:t>
      </w:r>
      <w:proofErr w:type="gramStart"/>
      <w:r w:rsidRPr="00C1603D">
        <w:rPr>
          <w:color w:val="auto"/>
        </w:rPr>
        <w:t xml:space="preserve">large </w:t>
      </w:r>
      <w:r w:rsidR="000463C0" w:rsidRPr="00C1603D">
        <w:rPr>
          <w:color w:val="auto"/>
        </w:rPr>
        <w:t>number</w:t>
      </w:r>
      <w:proofErr w:type="gramEnd"/>
      <w:r w:rsidRPr="00C1603D">
        <w:rPr>
          <w:color w:val="auto"/>
        </w:rPr>
        <w:t xml:space="preserve"> of missing data (34% and 47%</w:t>
      </w:r>
      <w:r w:rsidR="000463C0" w:rsidRPr="00C1603D">
        <w:rPr>
          <w:color w:val="auto"/>
        </w:rPr>
        <w:t>,</w:t>
      </w:r>
      <w:r w:rsidRPr="00C1603D">
        <w:rPr>
          <w:color w:val="auto"/>
        </w:rPr>
        <w:t xml:space="preserve"> respectively)</w:t>
      </w:r>
      <w:r w:rsidR="000463C0" w:rsidRPr="00C1603D">
        <w:rPr>
          <w:color w:val="auto"/>
        </w:rPr>
        <w:t>,</w:t>
      </w:r>
      <w:r w:rsidRPr="00C1603D">
        <w:rPr>
          <w:color w:val="auto"/>
        </w:rPr>
        <w:t xml:space="preserve"> inclusion in the model would almost halve the sample size. A prediction model consisting of the remaining predictors (anaemia, </w:t>
      </w:r>
      <w:r w:rsidR="000463C0" w:rsidRPr="00C1603D">
        <w:rPr>
          <w:color w:val="auto"/>
        </w:rPr>
        <w:t>two to four</w:t>
      </w:r>
      <w:r w:rsidRPr="00C1603D">
        <w:rPr>
          <w:color w:val="auto"/>
        </w:rPr>
        <w:t xml:space="preserve"> GI symptoms and male sex) would not be clinically useful</w:t>
      </w:r>
      <w:r w:rsidR="000463C0" w:rsidRPr="00C1603D">
        <w:rPr>
          <w:color w:val="auto"/>
        </w:rPr>
        <w:t>; therefore,</w:t>
      </w:r>
      <w:r w:rsidRPr="00C1603D">
        <w:rPr>
          <w:color w:val="auto"/>
        </w:rPr>
        <w:t xml:space="preserve"> </w:t>
      </w:r>
      <w:r w:rsidRPr="00C1603D">
        <w:rPr>
          <w:color w:val="auto"/>
        </w:rPr>
        <w:lastRenderedPageBreak/>
        <w:t xml:space="preserve">the decision was taken not to fit a prediction model in </w:t>
      </w:r>
      <w:r w:rsidR="000463C0" w:rsidRPr="00C1603D">
        <w:rPr>
          <w:color w:val="auto"/>
        </w:rPr>
        <w:t>this</w:t>
      </w:r>
      <w:r w:rsidRPr="00C1603D">
        <w:rPr>
          <w:color w:val="auto"/>
        </w:rPr>
        <w:t xml:space="preserve"> data set.</w:t>
      </w:r>
    </w:p>
    <w:p w14:paraId="245DE417" w14:textId="77777777" w:rsidR="008B4DF8" w:rsidRPr="00C1603D" w:rsidRDefault="008B4DF8" w:rsidP="008B4DF8">
      <w:pPr>
        <w:pStyle w:val="43ChaptertitleHeadingsHeadingstyles"/>
      </w:pPr>
      <w:bookmarkStart w:id="240" w:name="_Toc99539855"/>
      <w:r w:rsidRPr="00C1603D">
        <w:lastRenderedPageBreak/>
        <w:t>Chapter 5</w:t>
      </w:r>
      <w:r w:rsidRPr="00C1603D">
        <w:t> </w:t>
      </w:r>
      <w:r w:rsidRPr="00C1603D">
        <w:t>Accuracy of diagnostic tests for coeliac disease</w:t>
      </w:r>
      <w:bookmarkEnd w:id="240"/>
    </w:p>
    <w:p w14:paraId="4103FCB7" w14:textId="3435FD52" w:rsidR="008B4DF8" w:rsidRPr="00C1603D" w:rsidRDefault="008B4DF8" w:rsidP="008B4DF8">
      <w:pPr>
        <w:pStyle w:val="601TextdropcapTextstylesTextstyles"/>
      </w:pPr>
      <w:r w:rsidRPr="00C1603D">
        <w:t>We conducted a systematic review of the accuracy of serological tests for CD. The review was registered with the international prospective register of systematic reviews (PROSPERO)</w:t>
      </w:r>
      <w:r w:rsidR="0093333F" w:rsidRPr="00C1603D">
        <w:rPr>
          <w:color w:val="00B0F0"/>
        </w:rPr>
        <w:t>:</w:t>
      </w:r>
      <w:r w:rsidRPr="00C1603D">
        <w:rPr>
          <w:color w:val="00B0F0"/>
        </w:rPr>
        <w:t xml:space="preserve"> </w:t>
      </w:r>
      <w:r w:rsidRPr="00C1603D">
        <w:t>registration number CRD4201911550</w:t>
      </w:r>
      <w:r w:rsidR="00CE076D" w:rsidRPr="00C1603D">
        <w:t>6</w:t>
      </w:r>
      <w:r w:rsidRPr="00C1603D">
        <w:t xml:space="preserve">. The review followed </w:t>
      </w:r>
      <w:r w:rsidR="00CE076D" w:rsidRPr="00C1603D">
        <w:t xml:space="preserve">the </w:t>
      </w:r>
      <w:r w:rsidRPr="00C1603D">
        <w:t>recommendations from the Centre for Reviews and Dissemination</w:t>
      </w:r>
      <w:r w:rsidRPr="00C1603D">
        <w:rPr>
          <w:noProof/>
          <w:vertAlign w:val="superscript"/>
        </w:rPr>
        <w:t>22</w:t>
      </w:r>
      <w:r w:rsidRPr="00C1603D">
        <w:t xml:space="preserve"> </w:t>
      </w:r>
      <w:r w:rsidR="00722AE1" w:rsidRPr="00C1603D">
        <w:t xml:space="preserve">and </w:t>
      </w:r>
      <w:r w:rsidRPr="00C1603D">
        <w:t>the Cochrane Handbook for Systematic Reviews of Diagnostic Test Accuracy,</w:t>
      </w:r>
      <w:r w:rsidRPr="00C1603D">
        <w:rPr>
          <w:noProof/>
          <w:vertAlign w:val="superscript"/>
        </w:rPr>
        <w:t>23</w:t>
      </w:r>
      <w:r w:rsidRPr="00C1603D">
        <w:t xml:space="preserve"> and is reported according to the PRISMA</w:t>
      </w:r>
      <w:r w:rsidR="00F40F76" w:rsidRPr="00C1603D">
        <w:t>-</w:t>
      </w:r>
      <w:r w:rsidRPr="00C1603D">
        <w:t>DTA statement.</w:t>
      </w:r>
      <w:r w:rsidRPr="00C1603D">
        <w:rPr>
          <w:noProof/>
          <w:vertAlign w:val="superscript"/>
        </w:rPr>
        <w:t>24</w:t>
      </w:r>
    </w:p>
    <w:p w14:paraId="5102DD12" w14:textId="77777777" w:rsidR="008B4DF8" w:rsidRPr="00C1603D" w:rsidRDefault="008B4DF8" w:rsidP="008B4DF8">
      <w:pPr>
        <w:pStyle w:val="52AheadHeadingsHeadingstyles"/>
      </w:pPr>
      <w:bookmarkStart w:id="241" w:name="_Toc99539856"/>
      <w:r w:rsidRPr="00C1603D">
        <w:t>Systematic review methods</w:t>
      </w:r>
      <w:bookmarkEnd w:id="241"/>
    </w:p>
    <w:p w14:paraId="75E7E2F0" w14:textId="77777777" w:rsidR="008B4DF8" w:rsidRPr="00C1603D" w:rsidRDefault="008B4DF8" w:rsidP="008B4DF8">
      <w:pPr>
        <w:pStyle w:val="53BheadHeadingsHeadingstyles"/>
      </w:pPr>
      <w:bookmarkStart w:id="242" w:name="_Toc99539857"/>
      <w:r w:rsidRPr="00C1603D">
        <w:t>Eligibility criteria</w:t>
      </w:r>
      <w:bookmarkEnd w:id="242"/>
    </w:p>
    <w:p w14:paraId="5BFA0480" w14:textId="4B87E474" w:rsidR="008B4DF8" w:rsidRPr="00C1603D" w:rsidRDefault="008B4DF8" w:rsidP="008B4DF8">
      <w:pPr>
        <w:pStyle w:val="602TextfoTextstylesTextstyles"/>
      </w:pPr>
      <w:r w:rsidRPr="00C1603D">
        <w:t xml:space="preserve">Inclusion criteria were defined during protocol development and piloted on a subset of </w:t>
      </w:r>
      <w:proofErr w:type="gramStart"/>
      <w:r w:rsidRPr="00C1603D">
        <w:t>500</w:t>
      </w:r>
      <w:proofErr w:type="gramEnd"/>
      <w:r w:rsidRPr="00C1603D">
        <w:t xml:space="preserve"> articles </w:t>
      </w:r>
      <w:r w:rsidR="00F403DB" w:rsidRPr="00C1603D">
        <w:t>during</w:t>
      </w:r>
      <w:r w:rsidRPr="00C1603D">
        <w:t xml:space="preserve"> title and abstract screening to ensure that they could be applied objectively. We included studies that met the following criteria</w:t>
      </w:r>
      <w:r w:rsidR="00F36423" w:rsidRPr="00C1603D">
        <w:t>.</w:t>
      </w:r>
    </w:p>
    <w:p w14:paraId="6CA0E937" w14:textId="77777777" w:rsidR="00F36423" w:rsidRPr="00C1603D" w:rsidRDefault="008B4DF8" w:rsidP="00F36423">
      <w:pPr>
        <w:pStyle w:val="54CheadHeadingsHeadingstyles"/>
      </w:pPr>
      <w:r w:rsidRPr="00C1603D">
        <w:t>Study design</w:t>
      </w:r>
    </w:p>
    <w:p w14:paraId="218B9152" w14:textId="1CC82980" w:rsidR="008B4DF8" w:rsidRPr="00C1603D" w:rsidRDefault="008B4DF8" w:rsidP="008B4DF8">
      <w:pPr>
        <w:pStyle w:val="602TextfoTextstylesTextstyles"/>
      </w:pPr>
      <w:r w:rsidRPr="00C1603D">
        <w:t xml:space="preserve">Diagnostic cohort studies (also known as </w:t>
      </w:r>
      <w:r w:rsidR="007017F7" w:rsidRPr="00C1603D">
        <w:rPr>
          <w:color w:val="00B0F0"/>
        </w:rPr>
        <w:t>‘</w:t>
      </w:r>
      <w:r w:rsidRPr="00C1603D">
        <w:t>one</w:t>
      </w:r>
      <w:r w:rsidR="00F36423" w:rsidRPr="00C1603D">
        <w:t>-</w:t>
      </w:r>
      <w:r w:rsidRPr="00C1603D">
        <w:t>gate design</w:t>
      </w:r>
      <w:r w:rsidR="007017F7" w:rsidRPr="00C1603D">
        <w:rPr>
          <w:color w:val="00B0F0"/>
        </w:rPr>
        <w:t>’</w:t>
      </w:r>
      <w:r w:rsidRPr="00C1603D">
        <w:t xml:space="preserve">) were included. Diagnostic </w:t>
      </w:r>
      <w:r w:rsidRPr="00C1603D">
        <w:rPr>
          <w:color w:val="00B0F0"/>
        </w:rPr>
        <w:t>case–control</w:t>
      </w:r>
      <w:r w:rsidRPr="00C1603D">
        <w:t xml:space="preserve"> studies (also known as </w:t>
      </w:r>
      <w:r w:rsidR="007017F7" w:rsidRPr="00C1603D">
        <w:rPr>
          <w:color w:val="00B0F0"/>
        </w:rPr>
        <w:t>‘</w:t>
      </w:r>
      <w:r w:rsidRPr="00C1603D">
        <w:t>two-gate</w:t>
      </w:r>
      <w:r w:rsidR="007017F7" w:rsidRPr="00C1603D">
        <w:rPr>
          <w:color w:val="00B0F0"/>
        </w:rPr>
        <w:t>’</w:t>
      </w:r>
      <w:r w:rsidRPr="00C1603D">
        <w:t xml:space="preserve"> designs) that enrol</w:t>
      </w:r>
      <w:r w:rsidR="00F36423" w:rsidRPr="00C1603D">
        <w:t>led</w:t>
      </w:r>
      <w:r w:rsidRPr="00C1603D">
        <w:t xml:space="preserve"> a group of people with known CD and a group without CD were excluded as this type of design has been associated with inflated estimates of accuracy. We anticipated a substantial evidence base </w:t>
      </w:r>
      <w:proofErr w:type="gramStart"/>
      <w:r w:rsidRPr="00C1603D">
        <w:t>from</w:t>
      </w:r>
      <w:proofErr w:type="gramEnd"/>
      <w:r w:rsidRPr="00C1603D">
        <w:t xml:space="preserve"> cohort studies and so restricted to this more methodologically robust design.</w:t>
      </w:r>
      <w:r w:rsidRPr="00C1603D">
        <w:rPr>
          <w:noProof/>
          <w:vertAlign w:val="superscript"/>
        </w:rPr>
        <w:t>68</w:t>
      </w:r>
    </w:p>
    <w:p w14:paraId="7CF0DF73" w14:textId="77777777" w:rsidR="00F36423" w:rsidRPr="00C1603D" w:rsidRDefault="008B4DF8" w:rsidP="00F36423">
      <w:pPr>
        <w:pStyle w:val="54CheadHeadingsHeadingstyles"/>
      </w:pPr>
      <w:r w:rsidRPr="00C1603D">
        <w:t>Participants</w:t>
      </w:r>
    </w:p>
    <w:p w14:paraId="0252C312" w14:textId="2F99EE2A" w:rsidR="008B4DF8" w:rsidRPr="00C1603D" w:rsidRDefault="008B4DF8" w:rsidP="008B4DF8">
      <w:pPr>
        <w:pStyle w:val="602TextfoTextstylesTextstyles"/>
      </w:pPr>
      <w:r w:rsidRPr="00C1603D">
        <w:t xml:space="preserve">People presenting with symptoms of CD (e.g. diarrhoea, abdominal pain, fatigue) were included. After piloting </w:t>
      </w:r>
      <w:r w:rsidR="00BD4001" w:rsidRPr="00C1603D">
        <w:t>the</w:t>
      </w:r>
      <w:r w:rsidRPr="00C1603D">
        <w:t xml:space="preserve"> inclusion criteria, we decided to exclude studies </w:t>
      </w:r>
      <w:r w:rsidR="00103FB8" w:rsidRPr="00C1603D">
        <w:t>conducted with</w:t>
      </w:r>
      <w:r w:rsidRPr="00C1603D">
        <w:t xml:space="preserve"> healthy individuals (i.e. screening) or those restricted to single risk groups</w:t>
      </w:r>
      <w:r w:rsidR="00103FB8" w:rsidRPr="00C1603D">
        <w:t xml:space="preserve"> </w:t>
      </w:r>
      <w:r w:rsidRPr="00C1603D">
        <w:t xml:space="preserve">(e.g. people with diabetes) to ensure that the review was conducted in a clinically relevant population </w:t>
      </w:r>
      <w:r w:rsidR="00103FB8" w:rsidRPr="00C1603D">
        <w:t>that</w:t>
      </w:r>
      <w:r w:rsidRPr="00C1603D">
        <w:t xml:space="preserve"> would be eligible to be tested for CD.</w:t>
      </w:r>
    </w:p>
    <w:p w14:paraId="44141597" w14:textId="77777777" w:rsidR="00F36423" w:rsidRPr="00C1603D" w:rsidRDefault="008B4DF8" w:rsidP="00F36423">
      <w:pPr>
        <w:pStyle w:val="54CheadHeadingsHeadingstyles"/>
      </w:pPr>
      <w:r w:rsidRPr="00C1603D">
        <w:t>Index test</w:t>
      </w:r>
    </w:p>
    <w:p w14:paraId="3C123992" w14:textId="6BC81A1B" w:rsidR="008B4DF8" w:rsidRPr="00C1603D" w:rsidRDefault="008B4DF8" w:rsidP="008B4DF8">
      <w:pPr>
        <w:pStyle w:val="602TextfoTextstylesTextstyles"/>
      </w:pPr>
      <w:r w:rsidRPr="00C1603D">
        <w:t>Any of the following serological tests for CD were eligible: IgA tTG, IgG tTG, IgA EMA, IgG EMA, IgA DGP, IgG DGP and IgA actin antibodies. Combined serological tests, such as IgA/IgG tTG (which detect the presence of IgA tTG or IgG tTG in a serum sample) or IgA tTG followed by IgA EMA</w:t>
      </w:r>
      <w:r w:rsidR="00244ED6" w:rsidRPr="00C1603D">
        <w:t>,</w:t>
      </w:r>
      <w:r w:rsidRPr="00C1603D">
        <w:t xml:space="preserve"> were also eligible for inclusion. </w:t>
      </w:r>
      <w:r w:rsidR="00872332" w:rsidRPr="00C1603D">
        <w:t>GA</w:t>
      </w:r>
      <w:r w:rsidRPr="00C1603D">
        <w:t xml:space="preserve"> were not considered in this review as they are not recommended for use in the diagnosis of CD by NICE as their accuracy has been shown to be poor.</w:t>
      </w:r>
      <w:r w:rsidRPr="00C1603D">
        <w:rPr>
          <w:noProof/>
          <w:vertAlign w:val="superscript"/>
        </w:rPr>
        <w:t>9</w:t>
      </w:r>
      <w:r w:rsidRPr="00C1603D">
        <w:t xml:space="preserve"> Point-of-care or rapid serological tests were excluded as a systematic review of their accuracy </w:t>
      </w:r>
      <w:r w:rsidR="00E31539" w:rsidRPr="00C1603D">
        <w:t>was</w:t>
      </w:r>
      <w:r w:rsidRPr="00C1603D">
        <w:t xml:space="preserve"> published</w:t>
      </w:r>
      <w:r w:rsidR="00E31539" w:rsidRPr="00C1603D">
        <w:t xml:space="preserve"> in 2019</w:t>
      </w:r>
      <w:r w:rsidRPr="00C1603D">
        <w:t>.</w:t>
      </w:r>
      <w:r w:rsidRPr="00C1603D">
        <w:rPr>
          <w:noProof/>
          <w:vertAlign w:val="superscript"/>
        </w:rPr>
        <w:t>69</w:t>
      </w:r>
    </w:p>
    <w:p w14:paraId="22F7D214" w14:textId="77777777" w:rsidR="00F36423" w:rsidRPr="00C1603D" w:rsidRDefault="008B4DF8" w:rsidP="00F36423">
      <w:pPr>
        <w:pStyle w:val="54CheadHeadingsHeadingstyles"/>
      </w:pPr>
      <w:r w:rsidRPr="00C1603D">
        <w:t>Reference standard</w:t>
      </w:r>
    </w:p>
    <w:p w14:paraId="22375A14" w14:textId="288F77E8" w:rsidR="008B4DF8" w:rsidRPr="00C1603D" w:rsidRDefault="008B4DF8" w:rsidP="008B4DF8">
      <w:pPr>
        <w:pStyle w:val="602TextfoTextstylesTextstyles"/>
      </w:pPr>
      <w:r w:rsidRPr="00C1603D">
        <w:t>Studies had to use duodenal biopsy to confirm the diagnosis of CD; at least some seronegative patients had to have received biopsy for the study to be included. Studies in which serology formed part of the reference standard were excluded as this could lead to overestimation of test accuracy.</w:t>
      </w:r>
    </w:p>
    <w:p w14:paraId="4087790C" w14:textId="77777777" w:rsidR="008B4DF8" w:rsidRPr="00C1603D" w:rsidRDefault="008B4DF8" w:rsidP="008B4DF8">
      <w:pPr>
        <w:pStyle w:val="53BheadHeadingsHeadingstyles"/>
      </w:pPr>
      <w:bookmarkStart w:id="243" w:name="_Toc99539858"/>
      <w:r w:rsidRPr="00C1603D">
        <w:t>Search strategy</w:t>
      </w:r>
      <w:bookmarkEnd w:id="243"/>
    </w:p>
    <w:p w14:paraId="283B9BA6" w14:textId="1606942C" w:rsidR="008B4DF8" w:rsidRPr="00C1603D" w:rsidRDefault="008B4DF8" w:rsidP="008B4DF8">
      <w:pPr>
        <w:pStyle w:val="602TextfoTextstylesTextstyles"/>
      </w:pPr>
      <w:r w:rsidRPr="00C1603D">
        <w:t>The following databases were searched</w:t>
      </w:r>
      <w:r w:rsidR="00B769DC" w:rsidRPr="00C1603D">
        <w:t>,</w:t>
      </w:r>
      <w:r w:rsidRPr="00C1603D">
        <w:t xml:space="preserve"> from January 1990 </w:t>
      </w:r>
      <w:r w:rsidR="00B769DC" w:rsidRPr="00C1603D">
        <w:t>to</w:t>
      </w:r>
      <w:r w:rsidRPr="00C1603D">
        <w:t xml:space="preserve"> August 2020</w:t>
      </w:r>
      <w:r w:rsidR="00B769DC" w:rsidRPr="00C1603D">
        <w:t>,</w:t>
      </w:r>
      <w:r w:rsidRPr="00C1603D">
        <w:t xml:space="preserve"> for published studies and relevant reviews:</w:t>
      </w:r>
    </w:p>
    <w:p w14:paraId="11CF046D" w14:textId="77777777" w:rsidR="008B4DF8" w:rsidRPr="00C1603D" w:rsidRDefault="008B4DF8" w:rsidP="008B4DF8">
      <w:pPr>
        <w:pStyle w:val="611BulletlistTextstyles"/>
      </w:pPr>
      <w:r w:rsidRPr="00C1603D">
        <w:t>MEDLINE</w:t>
      </w:r>
    </w:p>
    <w:p w14:paraId="4DE98A43" w14:textId="77777777" w:rsidR="008B4DF8" w:rsidRPr="00C1603D" w:rsidRDefault="008B4DF8" w:rsidP="008B4DF8">
      <w:pPr>
        <w:pStyle w:val="611BulletlistTextstyles"/>
      </w:pPr>
      <w:r w:rsidRPr="00C1603D">
        <w:rPr>
          <w:color w:val="00B0F0"/>
        </w:rPr>
        <w:t>EMBASE</w:t>
      </w:r>
    </w:p>
    <w:p w14:paraId="1369FCD1" w14:textId="77777777" w:rsidR="008B4DF8" w:rsidRPr="00C1603D" w:rsidRDefault="008B4DF8" w:rsidP="008B4DF8">
      <w:pPr>
        <w:pStyle w:val="611BulletlistTextstyles"/>
      </w:pPr>
      <w:r w:rsidRPr="00C1603D">
        <w:t>Cochrane Library</w:t>
      </w:r>
    </w:p>
    <w:p w14:paraId="6414948C" w14:textId="77777777" w:rsidR="008B4DF8" w:rsidRPr="00C1603D" w:rsidRDefault="008B4DF8" w:rsidP="008B4DF8">
      <w:pPr>
        <w:pStyle w:val="611BulletlistTextstyles"/>
      </w:pPr>
      <w:r w:rsidRPr="00C1603D">
        <w:t>Web of Science</w:t>
      </w:r>
    </w:p>
    <w:p w14:paraId="0493A8A9" w14:textId="40A0972E" w:rsidR="008B4DF8" w:rsidRPr="00C1603D" w:rsidRDefault="00B769DC" w:rsidP="008B4DF8">
      <w:pPr>
        <w:pStyle w:val="614TextbulletlistlastTextstylesTextstyles"/>
      </w:pPr>
      <w:r w:rsidRPr="00C1603D">
        <w:lastRenderedPageBreak/>
        <w:t xml:space="preserve">Kleijnen Systematic Reviews </w:t>
      </w:r>
      <w:r w:rsidR="008B4DF8" w:rsidRPr="00C1603D">
        <w:t>Evidence</w:t>
      </w:r>
      <w:r w:rsidRPr="00C1603D">
        <w:t>.</w:t>
      </w:r>
    </w:p>
    <w:p w14:paraId="2FBA2127" w14:textId="20AF6BD5" w:rsidR="008B4DF8" w:rsidRPr="00C1603D" w:rsidRDefault="008B4DF8" w:rsidP="008B4DF8">
      <w:pPr>
        <w:pStyle w:val="602TextfoTextstylesTextstyles"/>
      </w:pPr>
      <w:r w:rsidRPr="00C1603D">
        <w:t>To identify completed and ongoing trials, we searched the following trial registries</w:t>
      </w:r>
      <w:r w:rsidR="001739D7" w:rsidRPr="00C1603D">
        <w:t>,</w:t>
      </w:r>
      <w:r w:rsidRPr="00C1603D">
        <w:t xml:space="preserve"> from January 1990 to August 2020:</w:t>
      </w:r>
    </w:p>
    <w:p w14:paraId="1296B322" w14:textId="5381ADD6" w:rsidR="008B4DF8" w:rsidRPr="00C1603D" w:rsidRDefault="008B4DF8" w:rsidP="008B4DF8">
      <w:pPr>
        <w:pStyle w:val="611BulletlistTextstyles"/>
      </w:pPr>
      <w:r w:rsidRPr="00C1603D">
        <w:t>WHO International Clinical Trials Registry</w:t>
      </w:r>
      <w:r w:rsidR="001739D7" w:rsidRPr="00C1603D">
        <w:t xml:space="preserve"> Platform</w:t>
      </w:r>
    </w:p>
    <w:p w14:paraId="3A62CA49" w14:textId="27E887F0" w:rsidR="008B4DF8" w:rsidRPr="00C1603D" w:rsidRDefault="008B4DF8" w:rsidP="008B4DF8">
      <w:pPr>
        <w:pStyle w:val="614TextbulletlistlastTextstylesTextstyles"/>
      </w:pPr>
      <w:r w:rsidRPr="00C1603D">
        <w:t>NIH Clinical Trials database</w:t>
      </w:r>
      <w:r w:rsidR="001739D7" w:rsidRPr="00C1603D">
        <w:t>.</w:t>
      </w:r>
    </w:p>
    <w:p w14:paraId="7AF72F6D" w14:textId="1A33B407" w:rsidR="008B4DF8" w:rsidRPr="00C1603D" w:rsidRDefault="008B4DF8" w:rsidP="008B4DF8">
      <w:pPr>
        <w:pStyle w:val="602TextfoTextstylesTextstyles"/>
      </w:pPr>
      <w:r w:rsidRPr="00C1603D">
        <w:t xml:space="preserve">Internet searches were carried out using terms </w:t>
      </w:r>
      <w:r w:rsidRPr="00C1603D">
        <w:rPr>
          <w:color w:val="auto"/>
        </w:rPr>
        <w:t xml:space="preserve">such as </w:t>
      </w:r>
      <w:r w:rsidR="007017F7" w:rsidRPr="00C1603D">
        <w:rPr>
          <w:color w:val="auto"/>
        </w:rPr>
        <w:t>‘</w:t>
      </w:r>
      <w:r w:rsidR="001739D7" w:rsidRPr="00C1603D">
        <w:rPr>
          <w:color w:val="auto"/>
        </w:rPr>
        <w:t>celiac</w:t>
      </w:r>
      <w:proofErr w:type="gramStart"/>
      <w:r w:rsidR="001739D7" w:rsidRPr="00C1603D">
        <w:rPr>
          <w:color w:val="auto"/>
        </w:rPr>
        <w:t>’,</w:t>
      </w:r>
      <w:proofErr w:type="gramEnd"/>
      <w:r w:rsidR="001739D7" w:rsidRPr="00C1603D">
        <w:rPr>
          <w:color w:val="auto"/>
        </w:rPr>
        <w:t xml:space="preserve"> ‘coeliac’ and serological </w:t>
      </w:r>
      <w:r w:rsidRPr="00C1603D">
        <w:rPr>
          <w:color w:val="auto"/>
        </w:rPr>
        <w:t>tests</w:t>
      </w:r>
      <w:r w:rsidR="007017F7" w:rsidRPr="00C1603D">
        <w:rPr>
          <w:color w:val="auto"/>
        </w:rPr>
        <w:t>’</w:t>
      </w:r>
      <w:r w:rsidRPr="00C1603D">
        <w:rPr>
          <w:color w:val="auto"/>
        </w:rPr>
        <w:t xml:space="preserve">. </w:t>
      </w:r>
      <w:r w:rsidR="000D66C1" w:rsidRPr="00C1603D">
        <w:rPr>
          <w:color w:val="auto"/>
        </w:rPr>
        <w:t>The r</w:t>
      </w:r>
      <w:r w:rsidRPr="00C1603D">
        <w:rPr>
          <w:color w:val="auto"/>
        </w:rPr>
        <w:t xml:space="preserve">eference lists of relevant systematic reviews identified </w:t>
      </w:r>
      <w:r w:rsidRPr="00C1603D">
        <w:t>during the literature search were used as source</w:t>
      </w:r>
      <w:r w:rsidR="000D66C1" w:rsidRPr="00C1603D">
        <w:t>s</w:t>
      </w:r>
      <w:r w:rsidRPr="00C1603D">
        <w:t xml:space="preserve"> of potentially relevant studies.</w:t>
      </w:r>
    </w:p>
    <w:p w14:paraId="77E371CA" w14:textId="77777777" w:rsidR="008B4DF8" w:rsidRPr="00C1603D" w:rsidRDefault="008B4DF8" w:rsidP="008B4DF8">
      <w:pPr>
        <w:pStyle w:val="602TextfoTextstylesTextstyles"/>
      </w:pPr>
      <w:r w:rsidRPr="00C1603D">
        <w:t>No language or publication restrictions were applied. Date restrictions were applied to limit searches to 1990 onwards. This is the time at which serological tests for CD first became available.</w:t>
      </w:r>
      <w:r w:rsidRPr="00C1603D">
        <w:rPr>
          <w:noProof/>
          <w:vertAlign w:val="superscript"/>
        </w:rPr>
        <w:t>70</w:t>
      </w:r>
    </w:p>
    <w:p w14:paraId="6B9142B3" w14:textId="5ECFE14F" w:rsidR="008B4DF8" w:rsidRPr="00C1603D" w:rsidRDefault="008B4DF8" w:rsidP="008B4DF8">
      <w:pPr>
        <w:pStyle w:val="602TextfoTextstylesTextstyles"/>
      </w:pPr>
      <w:r w:rsidRPr="00C1603D">
        <w:t xml:space="preserve">We combined terms for </w:t>
      </w:r>
      <w:r w:rsidR="007017F7" w:rsidRPr="00C1603D">
        <w:rPr>
          <w:color w:val="00B0F0"/>
        </w:rPr>
        <w:t>‘</w:t>
      </w:r>
      <w:r w:rsidRPr="00C1603D">
        <w:t>antibodies</w:t>
      </w:r>
      <w:r w:rsidR="007017F7" w:rsidRPr="00C1603D">
        <w:rPr>
          <w:color w:val="00B0F0"/>
        </w:rPr>
        <w:t>’</w:t>
      </w:r>
      <w:r w:rsidRPr="00C1603D">
        <w:t xml:space="preserve"> with terms for </w:t>
      </w:r>
      <w:r w:rsidR="007017F7" w:rsidRPr="00C1603D">
        <w:rPr>
          <w:color w:val="00B0F0"/>
        </w:rPr>
        <w:t>‘</w:t>
      </w:r>
      <w:r w:rsidRPr="00C1603D">
        <w:t>coeliac disease</w:t>
      </w:r>
      <w:proofErr w:type="gramStart"/>
      <w:r w:rsidR="007017F7" w:rsidRPr="00C1603D">
        <w:rPr>
          <w:color w:val="00B0F0"/>
        </w:rPr>
        <w:t>’</w:t>
      </w:r>
      <w:r w:rsidRPr="00C1603D">
        <w:t>.</w:t>
      </w:r>
      <w:proofErr w:type="gramEnd"/>
      <w:r w:rsidRPr="00C1603D">
        <w:t xml:space="preserve"> Search strategies were adapted for each database searched. Full details of the search strategies are available in </w:t>
      </w:r>
      <w:r w:rsidRPr="00C1603D">
        <w:rPr>
          <w:i/>
          <w:iCs/>
        </w:rPr>
        <w:t>Appendix 16</w:t>
      </w:r>
      <w:r w:rsidRPr="00C1603D">
        <w:t>. Results of the searches were downloaded and saved to an End</w:t>
      </w:r>
      <w:r w:rsidR="000D1F49" w:rsidRPr="00C1603D">
        <w:t>N</w:t>
      </w:r>
      <w:r w:rsidRPr="00C1603D">
        <w:t>ote X9 library.</w:t>
      </w:r>
    </w:p>
    <w:p w14:paraId="3EB8B1A8" w14:textId="77777777" w:rsidR="008B4DF8" w:rsidRPr="00C1603D" w:rsidRDefault="008B4DF8" w:rsidP="008B4DF8">
      <w:pPr>
        <w:pStyle w:val="53BheadHeadingsHeadingstyles"/>
      </w:pPr>
      <w:bookmarkStart w:id="244" w:name="_Toc99539859"/>
      <w:r w:rsidRPr="00C1603D">
        <w:t>Study selection</w:t>
      </w:r>
      <w:bookmarkEnd w:id="244"/>
    </w:p>
    <w:p w14:paraId="4E8451C6" w14:textId="3E7A7C79" w:rsidR="008B4DF8" w:rsidRPr="00C1603D" w:rsidRDefault="008B4DF8" w:rsidP="008B4DF8">
      <w:pPr>
        <w:pStyle w:val="602TextfoTextstylesTextstyles"/>
      </w:pPr>
      <w:commentRangeStart w:id="245"/>
      <w:commentRangeStart w:id="246"/>
      <w:r w:rsidRPr="00C1603D">
        <w:t>Titles and abstracts were uploaded to the Rayyan</w:t>
      </w:r>
      <w:r w:rsidR="00202E93" w:rsidRPr="00C1603D">
        <w:t xml:space="preserve"> QCRI</w:t>
      </w:r>
      <w:r w:rsidR="00D70A6C" w:rsidRPr="00C1603D">
        <w:t xml:space="preserve"> (Doha, Qatar; https://rayyan.qcri.org/)</w:t>
      </w:r>
      <w:r w:rsidRPr="00C1603D">
        <w:t xml:space="preserve"> systematic review software platform,</w:t>
      </w:r>
      <w:r w:rsidRPr="00C1603D">
        <w:rPr>
          <w:noProof/>
          <w:vertAlign w:val="superscript"/>
        </w:rPr>
        <w:t>71</w:t>
      </w:r>
      <w:r w:rsidRPr="00C1603D">
        <w:rPr>
          <w:noProof/>
        </w:rPr>
        <w:t xml:space="preserve"> </w:t>
      </w:r>
      <w:commentRangeEnd w:id="245"/>
      <w:r w:rsidR="00D70A6C" w:rsidRPr="00C1603D">
        <w:commentReference w:id="245"/>
      </w:r>
      <w:commentRangeEnd w:id="246"/>
      <w:r w:rsidRPr="00C1603D">
        <w:commentReference w:id="246"/>
      </w:r>
      <w:r w:rsidRPr="00C1603D">
        <w:t>and screened independently by two reviewers. Any discrepancies were discussed; where disagreement remained, articles were considered to be potentially relevant. Articles considered potentially relevant were obtained as full</w:t>
      </w:r>
      <w:r w:rsidR="00D70A6C" w:rsidRPr="00C1603D">
        <w:t>-</w:t>
      </w:r>
      <w:r w:rsidRPr="00C1603D">
        <w:t>text articles and assessed by one reviewer and checked by a second reviewer against the review inclusion criteria using a Microsoft Access form designed specifically for this review. Any discrepancies between reviewers were resolved through discussion or referral to a third reviewer.</w:t>
      </w:r>
    </w:p>
    <w:p w14:paraId="4541E74E" w14:textId="77777777" w:rsidR="008B4DF8" w:rsidRPr="00C1603D" w:rsidRDefault="008B4DF8" w:rsidP="008B4DF8">
      <w:pPr>
        <w:pStyle w:val="53BheadHeadingsHeadingstyles"/>
      </w:pPr>
      <w:bookmarkStart w:id="247" w:name="_Toc99539860"/>
      <w:r w:rsidRPr="00C1603D">
        <w:t>Data collection process</w:t>
      </w:r>
      <w:bookmarkEnd w:id="247"/>
    </w:p>
    <w:p w14:paraId="0C537507" w14:textId="1693E79A" w:rsidR="008B4DF8" w:rsidRPr="00C1603D" w:rsidRDefault="008B4DF8" w:rsidP="008B4DF8">
      <w:pPr>
        <w:pStyle w:val="602TextfoTextstylesTextstyles"/>
      </w:pPr>
      <w:r w:rsidRPr="00C1603D">
        <w:t>Standardised data extraction forms were developed using Microsoft Access. These were piloted on a small sample of papers and adapted as necessary before use. Data extraction was performed by one reviewer and checked by a second. Disagreements were resolved through discussion or referral to a third reviewer whe</w:t>
      </w:r>
      <w:r w:rsidR="00D70A6C" w:rsidRPr="00C1603D">
        <w:t>n</w:t>
      </w:r>
      <w:r w:rsidRPr="00C1603D">
        <w:t xml:space="preserve"> necessary.</w:t>
      </w:r>
    </w:p>
    <w:p w14:paraId="78BD5146" w14:textId="77777777" w:rsidR="008B4DF8" w:rsidRPr="00C1603D" w:rsidRDefault="008B4DF8" w:rsidP="008B4DF8">
      <w:pPr>
        <w:pStyle w:val="602TextfoTextstylesTextstyles"/>
      </w:pPr>
      <w:r w:rsidRPr="00C1603D">
        <w:t>We extracted data on the following from each included study:</w:t>
      </w:r>
    </w:p>
    <w:p w14:paraId="11E3F26D" w14:textId="3E8B60C4" w:rsidR="008B4DF8" w:rsidRPr="00C1603D" w:rsidRDefault="00D70A6C" w:rsidP="008B4DF8">
      <w:pPr>
        <w:pStyle w:val="611BulletlistTextstyles"/>
      </w:pPr>
      <w:r w:rsidRPr="00C1603D">
        <w:t xml:space="preserve">participant </w:t>
      </w:r>
      <w:r w:rsidR="008B4DF8" w:rsidRPr="00C1603D">
        <w:t>characteristics</w:t>
      </w:r>
      <w:r w:rsidRPr="00C1603D">
        <w:t xml:space="preserve"> –</w:t>
      </w:r>
      <w:r w:rsidR="008B4DF8" w:rsidRPr="00C1603D">
        <w:t xml:space="preserve"> adults/children, reason for biopsy, number of participants</w:t>
      </w:r>
    </w:p>
    <w:p w14:paraId="70D80D25" w14:textId="2D762CCF" w:rsidR="008B4DF8" w:rsidRPr="00C1603D" w:rsidRDefault="00D70A6C" w:rsidP="008B4DF8">
      <w:pPr>
        <w:pStyle w:val="611BulletlistTextstyles"/>
      </w:pPr>
      <w:r w:rsidRPr="00C1603D">
        <w:t xml:space="preserve">serological </w:t>
      </w:r>
      <w:r w:rsidR="008B4DF8" w:rsidRPr="00C1603D">
        <w:t>tests</w:t>
      </w:r>
      <w:r w:rsidRPr="00C1603D">
        <w:t xml:space="preserve"> –</w:t>
      </w:r>
      <w:r w:rsidR="008B4DF8" w:rsidRPr="00C1603D">
        <w:t xml:space="preserve"> test(s) evaluated, threshold(s) for positivity</w:t>
      </w:r>
    </w:p>
    <w:p w14:paraId="2B7D4492" w14:textId="4CC5DFA0" w:rsidR="008B4DF8" w:rsidRPr="00C1603D" w:rsidRDefault="00D70A6C" w:rsidP="008B4DF8">
      <w:pPr>
        <w:pStyle w:val="614TextbulletlistlastTextstylesTextstyles"/>
      </w:pPr>
      <w:r w:rsidRPr="00C1603D">
        <w:t xml:space="preserve">biopsy </w:t>
      </w:r>
      <w:r w:rsidR="008B4DF8" w:rsidRPr="00C1603D">
        <w:t>procedures</w:t>
      </w:r>
      <w:r w:rsidRPr="00C1603D">
        <w:t xml:space="preserve"> –</w:t>
      </w:r>
      <w:r w:rsidR="008B4DF8" w:rsidRPr="00C1603D">
        <w:t xml:space="preserve"> Definition of CD (biopsy threshold), proportion biopsied</w:t>
      </w:r>
      <w:r w:rsidRPr="00C1603D">
        <w:t>.</w:t>
      </w:r>
    </w:p>
    <w:p w14:paraId="7FBC5FE4" w14:textId="65594044" w:rsidR="008B4DF8" w:rsidRPr="00C1603D" w:rsidRDefault="008B4DF8" w:rsidP="008B4DF8">
      <w:pPr>
        <w:pStyle w:val="602TextfoTextstylesTextstyles"/>
      </w:pPr>
      <w:r w:rsidRPr="00C1603D">
        <w:t>Results data were extracted as 2</w:t>
      </w:r>
      <w:r w:rsidR="00D13307" w:rsidRPr="00C1603D">
        <w:t> </w:t>
      </w:r>
      <w:r w:rsidR="00D13307" w:rsidRPr="00C1603D">
        <w:rPr>
          <w:rFonts w:cs="Lato"/>
        </w:rPr>
        <w:t>×</w:t>
      </w:r>
      <w:r w:rsidR="00D13307" w:rsidRPr="00C1603D">
        <w:t> </w:t>
      </w:r>
      <w:r w:rsidRPr="00C1603D">
        <w:t>2 tables of test results (number</w:t>
      </w:r>
      <w:r w:rsidR="00D13307" w:rsidRPr="00C1603D">
        <w:t>s</w:t>
      </w:r>
      <w:r w:rsidRPr="00C1603D">
        <w:t xml:space="preserve"> of true positives, false negatives, false positives and true negatives) for each index test against the biopsy reference standard. Whe</w:t>
      </w:r>
      <w:r w:rsidR="00D13307" w:rsidRPr="00C1603D">
        <w:t>n</w:t>
      </w:r>
      <w:r w:rsidRPr="00C1603D">
        <w:t xml:space="preserve"> reported, 2</w:t>
      </w:r>
      <w:r w:rsidR="00D13307" w:rsidRPr="00C1603D">
        <w:t> </w:t>
      </w:r>
      <w:r w:rsidR="00D13307" w:rsidRPr="00C1603D">
        <w:rPr>
          <w:rFonts w:cs="Lato"/>
        </w:rPr>
        <w:t>×</w:t>
      </w:r>
      <w:r w:rsidR="00D13307" w:rsidRPr="00C1603D">
        <w:t> </w:t>
      </w:r>
      <w:r w:rsidRPr="00C1603D">
        <w:t>2 tables for testing strategies involving combinations of serological tests were also extracted. Whe</w:t>
      </w:r>
      <w:r w:rsidR="00703BCF" w:rsidRPr="00C1603D">
        <w:t>n</w:t>
      </w:r>
      <w:r w:rsidRPr="00C1603D">
        <w:t xml:space="preserve"> 2</w:t>
      </w:r>
      <w:r w:rsidR="00D13307" w:rsidRPr="00C1603D">
        <w:t> </w:t>
      </w:r>
      <w:r w:rsidR="00D13307" w:rsidRPr="00C1603D">
        <w:rPr>
          <w:rFonts w:cs="Lato"/>
        </w:rPr>
        <w:t>×</w:t>
      </w:r>
      <w:r w:rsidR="00D13307" w:rsidRPr="00C1603D">
        <w:t> </w:t>
      </w:r>
      <w:r w:rsidRPr="00C1603D">
        <w:t xml:space="preserve">2 data were reported at multiple thresholds within a study, data relating to the </w:t>
      </w:r>
      <w:r w:rsidR="00703BCF" w:rsidRPr="00C1603D">
        <w:t xml:space="preserve">cut-off point prespecified by the </w:t>
      </w:r>
      <w:r w:rsidRPr="00C1603D">
        <w:t xml:space="preserve">manufacturer or author were extracted. Two-by-two data were extracted at </w:t>
      </w:r>
      <w:r w:rsidR="00866EE2" w:rsidRPr="00C1603D">
        <w:t xml:space="preserve">a </w:t>
      </w:r>
      <w:r w:rsidRPr="00C1603D">
        <w:t xml:space="preserve">biopsy cut-off </w:t>
      </w:r>
      <w:r w:rsidR="00866EE2" w:rsidRPr="00C1603D">
        <w:t xml:space="preserve">point of </w:t>
      </w:r>
      <w:r w:rsidRPr="00C1603D">
        <w:t xml:space="preserve">Marsh </w:t>
      </w:r>
      <w:r w:rsidR="00866EE2" w:rsidRPr="00C1603D">
        <w:t>g</w:t>
      </w:r>
      <w:r w:rsidRPr="00C1603D">
        <w:t>rade 3a</w:t>
      </w:r>
      <w:r w:rsidR="00866EE2" w:rsidRPr="00C1603D">
        <w:t>,</w:t>
      </w:r>
      <w:r w:rsidRPr="00C1603D">
        <w:t xml:space="preserve"> if available</w:t>
      </w:r>
      <w:r w:rsidR="00866EE2" w:rsidRPr="00C1603D">
        <w:t>;</w:t>
      </w:r>
      <w:r w:rsidRPr="00C1603D">
        <w:t xml:space="preserve"> otherwise</w:t>
      </w:r>
      <w:r w:rsidR="00866EE2" w:rsidRPr="00C1603D">
        <w:t>,</w:t>
      </w:r>
      <w:r w:rsidRPr="00C1603D">
        <w:t xml:space="preserve"> any reported biopsy threshold was accepted.</w:t>
      </w:r>
    </w:p>
    <w:p w14:paraId="78B79946" w14:textId="77777777" w:rsidR="008B4DF8" w:rsidRPr="00C1603D" w:rsidRDefault="008B4DF8" w:rsidP="008B4DF8">
      <w:pPr>
        <w:pStyle w:val="53BheadHeadingsHeadingstyles"/>
      </w:pPr>
      <w:bookmarkStart w:id="248" w:name="_Toc99539861"/>
      <w:r w:rsidRPr="00C1603D">
        <w:t>Risk of bias</w:t>
      </w:r>
      <w:bookmarkEnd w:id="248"/>
    </w:p>
    <w:p w14:paraId="367FFE8D" w14:textId="6222311C" w:rsidR="008B4DF8" w:rsidRPr="00C1603D" w:rsidRDefault="008B4DF8" w:rsidP="008B4DF8">
      <w:pPr>
        <w:pStyle w:val="602TextfoTextstylesTextstyles"/>
      </w:pPr>
      <w:r w:rsidRPr="00C1603D">
        <w:t>Studies were assessed for methodological quality using the QUADA</w:t>
      </w:r>
      <w:r w:rsidRPr="00C1603D">
        <w:rPr>
          <w:color w:val="00B0F0"/>
        </w:rPr>
        <w:t>S-2</w:t>
      </w:r>
      <w:r w:rsidRPr="00C1603D">
        <w:t xml:space="preserve"> tool. This assesses the risk of bias and concerns regarding applicability across the following four domains: patient selection, index test, reference standard</w:t>
      </w:r>
      <w:r w:rsidR="00067B99" w:rsidRPr="00C1603D">
        <w:t>,</w:t>
      </w:r>
      <w:r w:rsidRPr="00C1603D">
        <w:t xml:space="preserve"> and flow and timing. For this review, we omitted the assessment of applicability as the research question was defined such that any study meeting the inclusion criteria </w:t>
      </w:r>
      <w:r w:rsidRPr="00C1603D">
        <w:lastRenderedPageBreak/>
        <w:t>was applicable to the research question. We tailored the signalling questions to our review</w:t>
      </w:r>
      <w:r w:rsidR="00F145BF" w:rsidRPr="00C1603D">
        <w:t>;</w:t>
      </w:r>
      <w:r w:rsidRPr="00C1603D">
        <w:t xml:space="preserve"> the exact signalling questions used are reported in </w:t>
      </w:r>
      <w:r w:rsidR="009F423E" w:rsidRPr="00C1603D">
        <w:t>t</w:t>
      </w:r>
      <w:r w:rsidRPr="00C1603D">
        <w:t>able S9</w:t>
      </w:r>
      <w:r w:rsidR="009F423E" w:rsidRPr="00C1603D">
        <w:t xml:space="preserve"> (see </w:t>
      </w:r>
      <w:r w:rsidR="009F423E" w:rsidRPr="00C1603D">
        <w:rPr>
          <w:i/>
          <w:iCs/>
        </w:rPr>
        <w:t>Report Supplementary Material 1</w:t>
      </w:r>
      <w:r w:rsidR="009F423E" w:rsidRPr="00C1603D">
        <w:t>)</w:t>
      </w:r>
      <w:r w:rsidRPr="00C1603D">
        <w:t>. For comparative accuracy studies</w:t>
      </w:r>
      <w:r w:rsidR="00533A69" w:rsidRPr="00C1603D">
        <w:t>,</w:t>
      </w:r>
      <w:r w:rsidRPr="00C1603D">
        <w:t xml:space="preserve"> we added additional signalling questions based on a draft version of the </w:t>
      </w:r>
      <w:r w:rsidR="000015AA" w:rsidRPr="00C1603D">
        <w:t>quality assessment of diagnostic accuracy studies–comparative (</w:t>
      </w:r>
      <w:r w:rsidRPr="00C1603D">
        <w:t>QUADAS-C</w:t>
      </w:r>
      <w:r w:rsidR="000015AA" w:rsidRPr="00C1603D">
        <w:t>)</w:t>
      </w:r>
      <w:r w:rsidRPr="00C1603D">
        <w:t xml:space="preserve"> tool</w:t>
      </w:r>
      <w:r w:rsidR="00533A69" w:rsidRPr="00C1603D">
        <w:t>,</w:t>
      </w:r>
      <w:proofErr w:type="gramStart"/>
      <w:r w:rsidR="00533A69" w:rsidRPr="00C1603D">
        <w:rPr>
          <w:vertAlign w:val="superscript"/>
        </w:rPr>
        <w:t>72</w:t>
      </w:r>
      <w:proofErr w:type="gramEnd"/>
      <w:r w:rsidRPr="00C1603D">
        <w:t xml:space="preserve"> which was under development at the time of our review</w:t>
      </w:r>
      <w:r w:rsidR="00533A69" w:rsidRPr="00C1603D">
        <w:t>,</w:t>
      </w:r>
      <w:r w:rsidRPr="00C1603D">
        <w:t xml:space="preserve"> to assess the comparative nature of the studies. These are also summarised in </w:t>
      </w:r>
      <w:r w:rsidR="009F423E" w:rsidRPr="00C1603D">
        <w:t>t</w:t>
      </w:r>
      <w:r w:rsidRPr="00C1603D">
        <w:t>able S9</w:t>
      </w:r>
      <w:r w:rsidR="009F423E" w:rsidRPr="00C1603D">
        <w:t xml:space="preserve"> (see </w:t>
      </w:r>
      <w:r w:rsidR="009F423E" w:rsidRPr="00C1603D">
        <w:rPr>
          <w:i/>
          <w:iCs/>
        </w:rPr>
        <w:t>Report Supplementary Material 1</w:t>
      </w:r>
      <w:r w:rsidR="009F423E" w:rsidRPr="00C1603D">
        <w:t>)</w:t>
      </w:r>
      <w:r w:rsidRPr="00C1603D">
        <w:t>.</w:t>
      </w:r>
    </w:p>
    <w:p w14:paraId="67554541" w14:textId="329918B3" w:rsidR="008B4DF8" w:rsidRPr="00C1603D" w:rsidRDefault="008B4DF8" w:rsidP="008B4DF8">
      <w:pPr>
        <w:pStyle w:val="602TextfoTextstylesTextstyles"/>
      </w:pPr>
      <w:commentRangeStart w:id="249"/>
      <w:commentRangeStart w:id="250"/>
      <w:r w:rsidRPr="00C1603D">
        <w:t xml:space="preserve">Each </w:t>
      </w:r>
      <w:r w:rsidR="009D1B8B" w:rsidRPr="00C1603D">
        <w:t xml:space="preserve">study </w:t>
      </w:r>
      <w:r w:rsidRPr="00C1603D">
        <w:t>was judged as</w:t>
      </w:r>
      <w:r w:rsidR="009D1B8B" w:rsidRPr="00C1603D">
        <w:t xml:space="preserve"> </w:t>
      </w:r>
      <w:r w:rsidR="009D1B8B" w:rsidRPr="00C1603D">
        <w:rPr>
          <w:color w:val="auto"/>
        </w:rPr>
        <w:t>having a</w:t>
      </w:r>
      <w:r w:rsidRPr="00C1603D">
        <w:rPr>
          <w:color w:val="auto"/>
        </w:rPr>
        <w:t xml:space="preserve"> </w:t>
      </w:r>
      <w:r w:rsidR="007017F7" w:rsidRPr="00C1603D">
        <w:rPr>
          <w:color w:val="auto"/>
        </w:rPr>
        <w:t>‘</w:t>
      </w:r>
      <w:r w:rsidRPr="00C1603D">
        <w:rPr>
          <w:color w:val="auto"/>
        </w:rPr>
        <w:t>high</w:t>
      </w:r>
      <w:proofErr w:type="gramStart"/>
      <w:r w:rsidR="007017F7" w:rsidRPr="00C1603D">
        <w:rPr>
          <w:color w:val="auto"/>
        </w:rPr>
        <w:t>’</w:t>
      </w:r>
      <w:r w:rsidRPr="00C1603D">
        <w:rPr>
          <w:color w:val="auto"/>
        </w:rPr>
        <w:t>,</w:t>
      </w:r>
      <w:proofErr w:type="gramEnd"/>
      <w:r w:rsidRPr="00C1603D">
        <w:rPr>
          <w:color w:val="auto"/>
        </w:rPr>
        <w:t xml:space="preserve"> </w:t>
      </w:r>
      <w:r w:rsidR="007017F7" w:rsidRPr="00C1603D">
        <w:rPr>
          <w:color w:val="auto"/>
        </w:rPr>
        <w:t>‘</w:t>
      </w:r>
      <w:r w:rsidRPr="00C1603D">
        <w:rPr>
          <w:color w:val="auto"/>
        </w:rPr>
        <w:t>low</w:t>
      </w:r>
      <w:r w:rsidR="007017F7" w:rsidRPr="00C1603D">
        <w:rPr>
          <w:color w:val="auto"/>
        </w:rPr>
        <w:t>’</w:t>
      </w:r>
      <w:r w:rsidRPr="00C1603D">
        <w:rPr>
          <w:color w:val="auto"/>
        </w:rPr>
        <w:t xml:space="preserve"> or </w:t>
      </w:r>
      <w:r w:rsidR="007017F7" w:rsidRPr="00C1603D">
        <w:rPr>
          <w:color w:val="auto"/>
        </w:rPr>
        <w:t>‘</w:t>
      </w:r>
      <w:r w:rsidRPr="00C1603D">
        <w:rPr>
          <w:color w:val="auto"/>
        </w:rPr>
        <w:t>unclear</w:t>
      </w:r>
      <w:r w:rsidR="007017F7" w:rsidRPr="00C1603D">
        <w:rPr>
          <w:color w:val="auto"/>
        </w:rPr>
        <w:t>’</w:t>
      </w:r>
      <w:r w:rsidRPr="00C1603D">
        <w:rPr>
          <w:color w:val="auto"/>
        </w:rPr>
        <w:t xml:space="preserve"> risk of bias</w:t>
      </w:r>
      <w:r w:rsidR="009D1B8B" w:rsidRPr="00C1603D">
        <w:rPr>
          <w:color w:val="auto"/>
        </w:rPr>
        <w:t xml:space="preserve"> </w:t>
      </w:r>
      <w:r w:rsidR="008003A4" w:rsidRPr="00C1603D">
        <w:rPr>
          <w:color w:val="auto"/>
        </w:rPr>
        <w:t>in each risk-of-bias domain</w:t>
      </w:r>
      <w:r w:rsidRPr="00C1603D">
        <w:rPr>
          <w:color w:val="auto"/>
        </w:rPr>
        <w:t xml:space="preserve">. </w:t>
      </w:r>
      <w:commentRangeEnd w:id="249"/>
      <w:r w:rsidR="002E32D7" w:rsidRPr="00C1603D">
        <w:commentReference w:id="249"/>
      </w:r>
      <w:commentRangeEnd w:id="250"/>
      <w:r w:rsidRPr="00C1603D">
        <w:commentReference w:id="250"/>
      </w:r>
      <w:r w:rsidRPr="00C1603D">
        <w:rPr>
          <w:color w:val="auto"/>
        </w:rPr>
        <w:t>If at least one of the domains was rated as</w:t>
      </w:r>
      <w:r w:rsidR="008003A4" w:rsidRPr="00C1603D">
        <w:rPr>
          <w:color w:val="auto"/>
        </w:rPr>
        <w:t xml:space="preserve"> having a</w:t>
      </w:r>
      <w:r w:rsidRPr="00C1603D">
        <w:rPr>
          <w:color w:val="auto"/>
        </w:rPr>
        <w:t xml:space="preserve"> </w:t>
      </w:r>
      <w:r w:rsidR="007017F7" w:rsidRPr="00C1603D">
        <w:rPr>
          <w:color w:val="auto"/>
        </w:rPr>
        <w:t>‘</w:t>
      </w:r>
      <w:r w:rsidRPr="00C1603D">
        <w:rPr>
          <w:color w:val="auto"/>
        </w:rPr>
        <w:t>high</w:t>
      </w:r>
      <w:r w:rsidR="007017F7" w:rsidRPr="00C1603D">
        <w:rPr>
          <w:color w:val="auto"/>
        </w:rPr>
        <w:t>’</w:t>
      </w:r>
      <w:r w:rsidR="008003A4" w:rsidRPr="00C1603D">
        <w:rPr>
          <w:color w:val="auto"/>
        </w:rPr>
        <w:t xml:space="preserve"> risk of bias</w:t>
      </w:r>
      <w:r w:rsidRPr="00C1603D">
        <w:rPr>
          <w:color w:val="auto"/>
        </w:rPr>
        <w:t xml:space="preserve">, the study was considered at </w:t>
      </w:r>
      <w:proofErr w:type="gramStart"/>
      <w:r w:rsidRPr="00C1603D">
        <w:rPr>
          <w:color w:val="auto"/>
        </w:rPr>
        <w:t>high risk</w:t>
      </w:r>
      <w:proofErr w:type="gramEnd"/>
      <w:r w:rsidRPr="00C1603D">
        <w:rPr>
          <w:color w:val="auto"/>
        </w:rPr>
        <w:t xml:space="preserve"> of bias; if all domains were judged as </w:t>
      </w:r>
      <w:r w:rsidR="002E32D7" w:rsidRPr="00C1603D">
        <w:rPr>
          <w:color w:val="auto"/>
        </w:rPr>
        <w:t xml:space="preserve">having a </w:t>
      </w:r>
      <w:r w:rsidR="007017F7" w:rsidRPr="00C1603D">
        <w:rPr>
          <w:color w:val="auto"/>
        </w:rPr>
        <w:t>‘</w:t>
      </w:r>
      <w:r w:rsidRPr="00C1603D">
        <w:rPr>
          <w:color w:val="auto"/>
        </w:rPr>
        <w:t>low</w:t>
      </w:r>
      <w:r w:rsidR="007017F7" w:rsidRPr="00C1603D">
        <w:rPr>
          <w:color w:val="auto"/>
        </w:rPr>
        <w:t>’</w:t>
      </w:r>
      <w:r w:rsidRPr="00C1603D">
        <w:rPr>
          <w:color w:val="auto"/>
        </w:rPr>
        <w:t xml:space="preserve"> </w:t>
      </w:r>
      <w:r w:rsidR="002E32D7" w:rsidRPr="00C1603D">
        <w:rPr>
          <w:color w:val="auto"/>
        </w:rPr>
        <w:t xml:space="preserve">risk of bias, </w:t>
      </w:r>
      <w:r w:rsidRPr="00C1603D">
        <w:rPr>
          <w:color w:val="auto"/>
        </w:rPr>
        <w:t>the study was considered at low risk of bias; otherwise, the study was considered as</w:t>
      </w:r>
      <w:r w:rsidR="002E32D7" w:rsidRPr="00C1603D">
        <w:rPr>
          <w:color w:val="auto"/>
        </w:rPr>
        <w:t xml:space="preserve"> having an</w:t>
      </w:r>
      <w:r w:rsidRPr="00C1603D">
        <w:rPr>
          <w:color w:val="auto"/>
        </w:rPr>
        <w:t xml:space="preserve"> </w:t>
      </w:r>
      <w:r w:rsidR="007017F7" w:rsidRPr="00C1603D">
        <w:rPr>
          <w:color w:val="auto"/>
        </w:rPr>
        <w:t>‘</w:t>
      </w:r>
      <w:r w:rsidRPr="00C1603D">
        <w:rPr>
          <w:color w:val="auto"/>
        </w:rPr>
        <w:t>unclear</w:t>
      </w:r>
      <w:r w:rsidR="007017F7" w:rsidRPr="00C1603D">
        <w:rPr>
          <w:color w:val="auto"/>
        </w:rPr>
        <w:t>’</w:t>
      </w:r>
      <w:r w:rsidRPr="00C1603D">
        <w:rPr>
          <w:color w:val="auto"/>
        </w:rPr>
        <w:t xml:space="preserve"> risk </w:t>
      </w:r>
      <w:r w:rsidRPr="00C1603D">
        <w:t>of bias.</w:t>
      </w:r>
    </w:p>
    <w:p w14:paraId="4D4ECD3E" w14:textId="77777777" w:rsidR="008B4DF8" w:rsidRPr="00C1603D" w:rsidRDefault="008B4DF8" w:rsidP="008B4DF8">
      <w:pPr>
        <w:pStyle w:val="602TextfoTextstylesTextstyles"/>
      </w:pPr>
      <w:r w:rsidRPr="00C1603D">
        <w:t xml:space="preserve">When a study reported accuracy data for two or more tests, the </w:t>
      </w:r>
      <w:r w:rsidRPr="00C1603D">
        <w:rPr>
          <w:color w:val="00B0F0"/>
        </w:rPr>
        <w:t>‘</w:t>
      </w:r>
      <w:r w:rsidRPr="00C1603D">
        <w:t>index test</w:t>
      </w:r>
      <w:r w:rsidRPr="00C1603D">
        <w:rPr>
          <w:color w:val="00B0F0"/>
        </w:rPr>
        <w:t>’</w:t>
      </w:r>
      <w:r w:rsidRPr="00C1603D">
        <w:t xml:space="preserve"> and </w:t>
      </w:r>
      <w:r w:rsidRPr="00C1603D">
        <w:rPr>
          <w:color w:val="00B0F0"/>
        </w:rPr>
        <w:t>‘</w:t>
      </w:r>
      <w:r w:rsidRPr="00C1603D">
        <w:t>flow and timing</w:t>
      </w:r>
      <w:r w:rsidRPr="00C1603D">
        <w:rPr>
          <w:color w:val="00B0F0"/>
        </w:rPr>
        <w:t>’</w:t>
      </w:r>
      <w:r w:rsidRPr="00C1603D">
        <w:t xml:space="preserve"> domains were assessed separately for each test. When a study reported accuracy data for adults and children separately, all domains were assessed separately for each patient group.</w:t>
      </w:r>
    </w:p>
    <w:p w14:paraId="63249C50" w14:textId="77777777" w:rsidR="008B4DF8" w:rsidRPr="00C1603D" w:rsidRDefault="008B4DF8" w:rsidP="008B4DF8">
      <w:pPr>
        <w:pStyle w:val="53BheadHeadingsHeadingstyles"/>
      </w:pPr>
      <w:bookmarkStart w:id="251" w:name="_Toc99539862"/>
      <w:r w:rsidRPr="00C1603D">
        <w:t>Synthesis of results</w:t>
      </w:r>
      <w:bookmarkEnd w:id="251"/>
    </w:p>
    <w:p w14:paraId="0E8D8C45" w14:textId="6A6859D7" w:rsidR="008B4DF8" w:rsidRPr="00C1603D" w:rsidRDefault="008B4DF8" w:rsidP="008B4DF8">
      <w:pPr>
        <w:pStyle w:val="602TextfoTextstylesTextstyles"/>
      </w:pPr>
      <w:r w:rsidRPr="00C1603D">
        <w:t xml:space="preserve">We grouped studies according to age group </w:t>
      </w:r>
      <w:r w:rsidR="00D64D56" w:rsidRPr="00C1603D">
        <w:t>[</w:t>
      </w:r>
      <w:r w:rsidRPr="00C1603D">
        <w:t xml:space="preserve">adults </w:t>
      </w:r>
      <w:r w:rsidR="00D64D56" w:rsidRPr="00C1603D">
        <w:t xml:space="preserve">aged </w:t>
      </w:r>
      <w:r w:rsidRPr="00C1603D">
        <w:rPr>
          <w:color w:val="00B0F0"/>
        </w:rPr>
        <w:t>&gt; 1</w:t>
      </w:r>
      <w:r w:rsidRPr="00C1603D">
        <w:t>6 years</w:t>
      </w:r>
      <w:r w:rsidR="00D64D56" w:rsidRPr="00C1603D">
        <w:t>,</w:t>
      </w:r>
      <w:r w:rsidRPr="00C1603D">
        <w:t xml:space="preserve"> children</w:t>
      </w:r>
      <w:r w:rsidR="00D64D56" w:rsidRPr="00C1603D">
        <w:t xml:space="preserve"> aged</w:t>
      </w:r>
      <w:r w:rsidRPr="00C1603D">
        <w:t xml:space="preserve"> </w:t>
      </w:r>
      <w:r w:rsidRPr="00C1603D">
        <w:rPr>
          <w:rFonts w:cs="Calibri"/>
          <w:color w:val="00B0F0"/>
        </w:rPr>
        <w:t>≤ </w:t>
      </w:r>
      <w:r w:rsidRPr="00C1603D">
        <w:rPr>
          <w:color w:val="00B0F0"/>
        </w:rPr>
        <w:t>1</w:t>
      </w:r>
      <w:r w:rsidRPr="00C1603D">
        <w:t>6 years</w:t>
      </w:r>
      <w:r w:rsidR="00D64D56" w:rsidRPr="00C1603D">
        <w:t>,</w:t>
      </w:r>
      <w:r w:rsidRPr="00C1603D">
        <w:t xml:space="preserve"> mixed </w:t>
      </w:r>
      <w:r w:rsidR="00D64D56" w:rsidRPr="00C1603D">
        <w:t>(</w:t>
      </w:r>
      <w:r w:rsidRPr="00C1603D">
        <w:t>adults and children</w:t>
      </w:r>
      <w:r w:rsidR="00D64D56" w:rsidRPr="00C1603D">
        <w:t>)</w:t>
      </w:r>
      <w:r w:rsidRPr="00C1603D">
        <w:t xml:space="preserve"> and age unspecified</w:t>
      </w:r>
      <w:r w:rsidR="00D64D56" w:rsidRPr="00C1603D">
        <w:t>]</w:t>
      </w:r>
      <w:r w:rsidRPr="00C1603D">
        <w:t xml:space="preserve"> and stratified all analyses by age group and serological test, or test combination. </w:t>
      </w:r>
      <w:commentRangeStart w:id="252"/>
      <w:commentRangeStart w:id="253"/>
      <w:r w:rsidRPr="00C1603D">
        <w:t>Meta-analyses were performed in Stata</w:t>
      </w:r>
      <w:r w:rsidR="00BC51A7" w:rsidRPr="00C1603D">
        <w:rPr>
          <w:rFonts w:cs="Lato"/>
          <w:vertAlign w:val="superscript"/>
        </w:rPr>
        <w:t>®</w:t>
      </w:r>
      <w:r w:rsidRPr="00C1603D">
        <w:t xml:space="preserve"> version 16.0 </w:t>
      </w:r>
      <w:r w:rsidR="00BC51A7" w:rsidRPr="00C1603D">
        <w:t xml:space="preserve">(StataCorp LP, College Station, TX, USA) </w:t>
      </w:r>
      <w:r w:rsidRPr="00C1603D">
        <w:t>using the metandi command.</w:t>
      </w:r>
      <w:r w:rsidRPr="00C1603D">
        <w:rPr>
          <w:noProof/>
          <w:vertAlign w:val="superscript"/>
        </w:rPr>
        <w:t>73</w:t>
      </w:r>
      <w:commentRangeEnd w:id="252"/>
      <w:r w:rsidR="00FC004D" w:rsidRPr="00C1603D">
        <w:commentReference w:id="252"/>
      </w:r>
      <w:commentRangeEnd w:id="253"/>
      <w:r w:rsidRPr="00C1603D">
        <w:commentReference w:id="253"/>
      </w:r>
    </w:p>
    <w:p w14:paraId="674AF96C" w14:textId="77777777" w:rsidR="008B4DF8" w:rsidRPr="00C1603D" w:rsidRDefault="008B4DF8" w:rsidP="008B4DF8">
      <w:pPr>
        <w:pStyle w:val="54CheadHeadingsHeadingstyles"/>
      </w:pPr>
      <w:r w:rsidRPr="00C1603D">
        <w:t>Primary analyses</w:t>
      </w:r>
    </w:p>
    <w:p w14:paraId="424F9394" w14:textId="2B95DB96" w:rsidR="008B4DF8" w:rsidRPr="00C1603D" w:rsidRDefault="008B4DF8" w:rsidP="008B4DF8">
      <w:pPr>
        <w:pStyle w:val="602TextfoTextstylesTextstyles"/>
      </w:pPr>
      <w:r w:rsidRPr="00C1603D">
        <w:t xml:space="preserve">For data sets that included at least four studies, a bivariate </w:t>
      </w:r>
      <w:r w:rsidR="0087034D" w:rsidRPr="00C1603D">
        <w:t>random-effect</w:t>
      </w:r>
      <w:r w:rsidRPr="00C1603D">
        <w:t>s meta-analysis of sensitivity and specificity was performed,</w:t>
      </w:r>
      <w:r w:rsidRPr="00C1603D">
        <w:rPr>
          <w:noProof/>
          <w:vertAlign w:val="superscript"/>
        </w:rPr>
        <w:t>30</w:t>
      </w:r>
      <w:r w:rsidRPr="00C1603D">
        <w:t xml:space="preserve"> assuming binomial likelihoods for the number</w:t>
      </w:r>
      <w:r w:rsidR="00FC004D" w:rsidRPr="00C1603D">
        <w:t>s</w:t>
      </w:r>
      <w:r w:rsidRPr="00C1603D">
        <w:t xml:space="preserve"> of true</w:t>
      </w:r>
      <w:r w:rsidR="000C7C20" w:rsidRPr="00C1603D">
        <w:t>-</w:t>
      </w:r>
      <w:r w:rsidRPr="00C1603D">
        <w:t>positive and true</w:t>
      </w:r>
      <w:r w:rsidR="000C7C20" w:rsidRPr="00C1603D">
        <w:t>-</w:t>
      </w:r>
      <w:r w:rsidRPr="00C1603D">
        <w:t>negative test results.</w:t>
      </w:r>
      <w:r w:rsidRPr="00C1603D">
        <w:rPr>
          <w:noProof/>
          <w:vertAlign w:val="superscript"/>
        </w:rPr>
        <w:t>31</w:t>
      </w:r>
      <w:r w:rsidRPr="00C1603D">
        <w:t xml:space="preserve"> When there were fewer than four studies in a data set, univariate fixed</w:t>
      </w:r>
      <w:r w:rsidR="00FC004D" w:rsidRPr="00C1603D">
        <w:t>-</w:t>
      </w:r>
      <w:r w:rsidRPr="00C1603D">
        <w:t xml:space="preserve">effect meta-analyses of sensitivity and specificity </w:t>
      </w:r>
      <w:r w:rsidR="00FC004D" w:rsidRPr="00C1603D">
        <w:t>were</w:t>
      </w:r>
      <w:r w:rsidRPr="00C1603D">
        <w:t xml:space="preserve"> performed. Whe</w:t>
      </w:r>
      <w:r w:rsidR="00FC004D" w:rsidRPr="00C1603D">
        <w:t>n</w:t>
      </w:r>
      <w:r w:rsidRPr="00C1603D">
        <w:t xml:space="preserve"> only a single study </w:t>
      </w:r>
      <w:r w:rsidR="00DF30DC" w:rsidRPr="00C1603D">
        <w:t>was</w:t>
      </w:r>
      <w:r w:rsidRPr="00C1603D">
        <w:t xml:space="preserve"> available, the sensitivity and specificity reported in that study are presented.</w:t>
      </w:r>
    </w:p>
    <w:p w14:paraId="01DD6B76" w14:textId="28D69949" w:rsidR="008B4DF8" w:rsidRPr="00C1603D" w:rsidRDefault="008B4DF8" w:rsidP="008B4DF8">
      <w:pPr>
        <w:pStyle w:val="602TextfoTextstylesTextstyles"/>
      </w:pPr>
      <w:r w:rsidRPr="00C1603D">
        <w:t>Whe</w:t>
      </w:r>
      <w:r w:rsidR="00CF49E1" w:rsidRPr="00C1603D">
        <w:t>n</w:t>
      </w:r>
      <w:r w:rsidRPr="00C1603D">
        <w:t xml:space="preserve"> the extracted data on a test relate to a range of thresholds, we report results from two separate meta-analyses. First, we fitted the bivariate model to studies reporting at the most commonly reported threshold only. From these models, we report summary estimates of sensitivity and specificity at that threshold. Second, we fitted the bivariate model to the full data set. From these models, we present the </w:t>
      </w:r>
      <w:r w:rsidR="005E0289" w:rsidRPr="00C1603D">
        <w:t>S</w:t>
      </w:r>
      <w:r w:rsidRPr="00C1603D">
        <w:t>ROC curve, which represents the trade-off between sensitivity and specificity across thresholds.</w:t>
      </w:r>
    </w:p>
    <w:p w14:paraId="2670476A" w14:textId="1BE54146" w:rsidR="008B4DF8" w:rsidRPr="00C1603D" w:rsidRDefault="008B4DF8" w:rsidP="008B4DF8">
      <w:pPr>
        <w:pStyle w:val="602TextfoTextstylesTextstyles"/>
      </w:pPr>
      <w:r w:rsidRPr="00C1603D">
        <w:t>The sensitivity and specificity reported in each study were plotted in ROC space, with colour</w:t>
      </w:r>
      <w:r w:rsidR="00D568E7" w:rsidRPr="00C1603D">
        <w:t>-</w:t>
      </w:r>
      <w:r w:rsidRPr="00C1603D">
        <w:t xml:space="preserve">coding allowing comparisons </w:t>
      </w:r>
      <w:r w:rsidR="006C024B" w:rsidRPr="00C1603D">
        <w:t xml:space="preserve">to be made </w:t>
      </w:r>
      <w:r w:rsidRPr="00C1603D">
        <w:t xml:space="preserve">between different thresholds. Summary estimates of sensitivity and specificity with 95% </w:t>
      </w:r>
      <w:r w:rsidR="00FE01C9" w:rsidRPr="00C1603D">
        <w:t>CI</w:t>
      </w:r>
      <w:r w:rsidRPr="00C1603D">
        <w:t xml:space="preserve">s at the most commonly reported threshold and </w:t>
      </w:r>
      <w:r w:rsidR="004C4B51" w:rsidRPr="00C1603D">
        <w:t>SROC</w:t>
      </w:r>
      <w:r w:rsidRPr="00C1603D">
        <w:t xml:space="preserve"> curves across all reported thresholds are presented.</w:t>
      </w:r>
    </w:p>
    <w:p w14:paraId="3C70742B" w14:textId="221A6576" w:rsidR="008B4DF8" w:rsidRPr="00C1603D" w:rsidRDefault="008B4DF8" w:rsidP="008B4DF8">
      <w:pPr>
        <w:pStyle w:val="602TextfoTextstylesTextstyles"/>
      </w:pPr>
      <w:r w:rsidRPr="00C1603D">
        <w:t xml:space="preserve">Summary </w:t>
      </w:r>
      <w:r w:rsidR="00153D32" w:rsidRPr="00C1603D">
        <w:t>PPV</w:t>
      </w:r>
      <w:r w:rsidRPr="00C1603D">
        <w:t xml:space="preserve">s were calculated from estimates of sensitivity and specificity, for a hypothetical prevalence of 1%, the estimated prevalence of CD in the UK population. </w:t>
      </w:r>
      <w:commentRangeStart w:id="254"/>
      <w:commentRangeStart w:id="255"/>
      <w:r w:rsidRPr="00C1603D">
        <w:t>We then used a hypothetical population of 10,000 people tested for CD, for a pre-test probability of 1%</w:t>
      </w:r>
      <w:r w:rsidR="004A0B2F" w:rsidRPr="00C1603D">
        <w:t>,</w:t>
      </w:r>
      <w:r w:rsidRPr="00C1603D">
        <w:t xml:space="preserve"> to produce a test consequence graphic based on natural frequencies.</w:t>
      </w:r>
      <w:r w:rsidRPr="00C1603D">
        <w:rPr>
          <w:noProof/>
          <w:vertAlign w:val="superscript"/>
        </w:rPr>
        <w:t>74</w:t>
      </w:r>
      <w:r w:rsidRPr="00C1603D" w:rsidDel="00AA72D6">
        <w:t xml:space="preserve"> </w:t>
      </w:r>
      <w:commentRangeEnd w:id="254"/>
      <w:r w:rsidR="008B2739" w:rsidRPr="00C1603D">
        <w:commentReference w:id="254"/>
      </w:r>
      <w:commentRangeEnd w:id="255"/>
      <w:r w:rsidRPr="00C1603D">
        <w:commentReference w:id="255"/>
      </w:r>
      <w:r w:rsidRPr="00C1603D">
        <w:t>Values were estimated based on summary sensitivity and specificity from the meta-analyses restricted to the most commonly reported threshold for the most commonly evaluated tests.</w:t>
      </w:r>
    </w:p>
    <w:p w14:paraId="41256B1D" w14:textId="77777777" w:rsidR="008B4DF8" w:rsidRPr="00C1603D" w:rsidRDefault="008B4DF8" w:rsidP="008B4DF8">
      <w:pPr>
        <w:pStyle w:val="54CheadHeadingsHeadingstyles"/>
      </w:pPr>
      <w:r w:rsidRPr="00C1603D">
        <w:t>Direct comparisons and test combinations</w:t>
      </w:r>
    </w:p>
    <w:p w14:paraId="538B1B0A" w14:textId="525B8CB4" w:rsidR="008B4DF8" w:rsidRPr="00C1603D" w:rsidRDefault="008B4DF8" w:rsidP="008B4DF8">
      <w:pPr>
        <w:pStyle w:val="602TextfoTextstylesTextstyles"/>
      </w:pPr>
      <w:r w:rsidRPr="00C1603D">
        <w:t>To investigate direct comparisons between tests</w:t>
      </w:r>
      <w:r w:rsidR="00AC0C4B" w:rsidRPr="00C1603D">
        <w:t>,</w:t>
      </w:r>
      <w:r w:rsidRPr="00C1603D">
        <w:t xml:space="preserve"> we performed additional analyses restricted to studies that reported accuracy estimates for multiple tests based on the same participants (comparative accuracy studies). These studies used the design</w:t>
      </w:r>
      <w:r w:rsidR="00AC0C4B" w:rsidRPr="00C1603D">
        <w:t xml:space="preserve"> outlined in</w:t>
      </w:r>
      <w:r w:rsidRPr="00C1603D">
        <w:t xml:space="preserve"> </w:t>
      </w:r>
      <w:r w:rsidRPr="00C1603D">
        <w:rPr>
          <w:i/>
          <w:color w:val="FF0000"/>
        </w:rPr>
        <w:t xml:space="preserve">Figure </w:t>
      </w:r>
      <w:r w:rsidRPr="00C1603D">
        <w:rPr>
          <w:i/>
          <w:noProof/>
          <w:color w:val="FF0000"/>
        </w:rPr>
        <w:t>4</w:t>
      </w:r>
      <w:r w:rsidR="00AC0C4B" w:rsidRPr="00C1603D">
        <w:t>.</w:t>
      </w:r>
    </w:p>
    <w:p w14:paraId="1A9930DE" w14:textId="1D31C6FC" w:rsidR="008B4DF8" w:rsidRPr="00C1603D" w:rsidRDefault="008B4DF8" w:rsidP="008B4DF8">
      <w:pPr>
        <w:pStyle w:val="81FigurelegendTableFigureBoxstyles"/>
      </w:pPr>
      <w:bookmarkStart w:id="256" w:name="_Toc99720785"/>
      <w:r w:rsidRPr="00C1603D">
        <w:rPr>
          <w:b/>
        </w:rPr>
        <w:lastRenderedPageBreak/>
        <w:t>FIGURE 4</w:t>
      </w:r>
      <w:r w:rsidRPr="00C1603D">
        <w:rPr>
          <w:b/>
        </w:rPr>
        <w:t> </w:t>
      </w:r>
      <w:r w:rsidRPr="00C1603D">
        <w:t>Comparative accuracy study design</w:t>
      </w:r>
      <w:bookmarkEnd w:id="256"/>
      <w:r w:rsidR="00AC0C4B" w:rsidRPr="00C1603D">
        <w:t>.</w:t>
      </w:r>
    </w:p>
    <w:p w14:paraId="01F46D26" w14:textId="793E8022" w:rsidR="008B4DF8" w:rsidRPr="00C1603D" w:rsidRDefault="008B4DF8" w:rsidP="008B4DF8">
      <w:pPr>
        <w:pStyle w:val="602TextfoTextstylesTextstyles"/>
      </w:pPr>
      <w:r w:rsidRPr="00C1603D">
        <w:t>As all patients undergo both index tests and the reference standard, these studies provide more reliable estimates of the comparative accuracy of different tests.</w:t>
      </w:r>
      <w:r w:rsidRPr="00C1603D">
        <w:rPr>
          <w:noProof/>
          <w:vertAlign w:val="superscript"/>
        </w:rPr>
        <w:t>75</w:t>
      </w:r>
      <w:r w:rsidRPr="00C1603D">
        <w:t xml:space="preserve"> </w:t>
      </w:r>
      <w:commentRangeStart w:id="257"/>
      <w:commentRangeStart w:id="258"/>
      <w:r w:rsidRPr="00C1603D">
        <w:t xml:space="preserve">For the two most commonly assessed tests, IgA tTG and IgA EMA, we estimated the relative sensitivity and specificity within each study, </w:t>
      </w:r>
      <w:r w:rsidR="00FE36B4" w:rsidRPr="00C1603D">
        <w:t xml:space="preserve">which are </w:t>
      </w:r>
      <w:r w:rsidRPr="00C1603D">
        <w:t xml:space="preserve">measures of the comparative accuracy of the two tests. </w:t>
      </w:r>
      <w:commentRangeEnd w:id="257"/>
      <w:r w:rsidR="003500AA" w:rsidRPr="00C1603D">
        <w:commentReference w:id="257"/>
      </w:r>
      <w:commentRangeEnd w:id="258"/>
      <w:r w:rsidRPr="00C1603D">
        <w:commentReference w:id="258"/>
      </w:r>
      <w:r w:rsidRPr="00C1603D">
        <w:t>Relative sensitivity is the ratio of two sensitivities</w:t>
      </w:r>
      <w:r w:rsidR="0014286E" w:rsidRPr="00C1603D">
        <w:t>;</w:t>
      </w:r>
      <w:r w:rsidRPr="00C1603D">
        <w:t xml:space="preserve"> </w:t>
      </w:r>
      <w:r w:rsidR="001D4B7C" w:rsidRPr="00C1603D">
        <w:t>for example</w:t>
      </w:r>
      <w:r w:rsidR="0014286E" w:rsidRPr="00C1603D">
        <w:t>,</w:t>
      </w:r>
      <w:r w:rsidRPr="00C1603D">
        <w:t xml:space="preserve"> if relative sensitivity is </w:t>
      </w:r>
      <w:proofErr w:type="gramStart"/>
      <w:r w:rsidRPr="00C1603D">
        <w:t>1</w:t>
      </w:r>
      <w:proofErr w:type="gramEnd"/>
      <w:r w:rsidR="0014286E" w:rsidRPr="00C1603D">
        <w:t>,</w:t>
      </w:r>
      <w:r w:rsidRPr="00C1603D">
        <w:t xml:space="preserve"> then the sensitivity of the two tests is the same (similarly for specificity). We report the observed range of these measures across the set of studies that evaluated both of these tests in the same group of patients.</w:t>
      </w:r>
    </w:p>
    <w:p w14:paraId="190BFCA2" w14:textId="41C3CF3F" w:rsidR="008B4DF8" w:rsidRPr="00C1603D" w:rsidRDefault="008B4DF8" w:rsidP="008B4DF8">
      <w:pPr>
        <w:pStyle w:val="602TextfoTextstylesTextstyles"/>
      </w:pPr>
      <w:r w:rsidRPr="00C1603D">
        <w:t>A subset of these studies also reported accuracy data for the combined accuracy of IgA</w:t>
      </w:r>
      <w:r w:rsidR="00353A04" w:rsidRPr="00C1603D">
        <w:t xml:space="preserve"> </w:t>
      </w:r>
      <w:r w:rsidRPr="00C1603D">
        <w:t>tTG and IgA</w:t>
      </w:r>
      <w:r w:rsidR="00353A04" w:rsidRPr="00C1603D">
        <w:t xml:space="preserve"> </w:t>
      </w:r>
      <w:r w:rsidRPr="00C1603D">
        <w:t xml:space="preserve">EMA. These provided estimates of the accuracy of considering an individual to be positive for CD if </w:t>
      </w:r>
      <w:r w:rsidR="007017F7" w:rsidRPr="00C1603D">
        <w:rPr>
          <w:color w:val="00B0F0"/>
        </w:rPr>
        <w:t>‘</w:t>
      </w:r>
      <w:r w:rsidRPr="00C1603D">
        <w:t>both tests were positive</w:t>
      </w:r>
      <w:r w:rsidR="007017F7" w:rsidRPr="00C1603D">
        <w:rPr>
          <w:color w:val="00B0F0"/>
        </w:rPr>
        <w:t>’</w:t>
      </w:r>
      <w:r w:rsidRPr="00C1603D">
        <w:t xml:space="preserve"> (vs</w:t>
      </w:r>
      <w:r w:rsidR="00353A04" w:rsidRPr="00C1603D">
        <w:t>.</w:t>
      </w:r>
      <w:r w:rsidRPr="00C1603D">
        <w:t xml:space="preserve"> negative otherwise) or of considering an individual to be positive for CD if </w:t>
      </w:r>
      <w:r w:rsidR="007017F7" w:rsidRPr="00C1603D">
        <w:rPr>
          <w:color w:val="00B0F0"/>
        </w:rPr>
        <w:t>‘</w:t>
      </w:r>
      <w:r w:rsidRPr="00C1603D">
        <w:t>either test was positive</w:t>
      </w:r>
      <w:r w:rsidR="007017F7" w:rsidRPr="00C1603D">
        <w:rPr>
          <w:color w:val="00B0F0"/>
        </w:rPr>
        <w:t>’</w:t>
      </w:r>
      <w:r w:rsidRPr="00C1603D">
        <w:t xml:space="preserve"> (vs</w:t>
      </w:r>
      <w:r w:rsidR="00353A04" w:rsidRPr="00C1603D">
        <w:t>.</w:t>
      </w:r>
      <w:r w:rsidRPr="00C1603D">
        <w:t xml:space="preserve"> negative only if both tests were negative). We tabulated estimates of sensitivity and specificity of these testing strategies</w:t>
      </w:r>
      <w:r w:rsidR="00353A04" w:rsidRPr="00C1603D">
        <w:t>,</w:t>
      </w:r>
      <w:r w:rsidRPr="00C1603D">
        <w:t xml:space="preserve"> but did not pool across these studies using meta-analysis </w:t>
      </w:r>
      <w:r w:rsidR="00353A04" w:rsidRPr="00C1603D">
        <w:t>because of</w:t>
      </w:r>
      <w:r w:rsidRPr="00C1603D">
        <w:t xml:space="preserve"> variation in</w:t>
      </w:r>
      <w:r w:rsidR="00353A04" w:rsidRPr="00C1603D">
        <w:t xml:space="preserve"> the</w:t>
      </w:r>
      <w:r w:rsidRPr="00C1603D">
        <w:t xml:space="preserve"> diagnostic thresholds used for each test.</w:t>
      </w:r>
    </w:p>
    <w:p w14:paraId="7BE7A4AC" w14:textId="5B1E8579" w:rsidR="008B4DF8" w:rsidRPr="00C1603D" w:rsidRDefault="008B4DF8" w:rsidP="008B4DF8">
      <w:pPr>
        <w:pStyle w:val="602TextfoTextstylesTextstyles"/>
      </w:pPr>
      <w:r w:rsidRPr="00C1603D">
        <w:t>To allow comparisons across the testing strategies that were under consideration for inclusion in the economic model (</w:t>
      </w:r>
      <w:r w:rsidR="00353A04" w:rsidRPr="00C1603D">
        <w:t xml:space="preserve">see </w:t>
      </w:r>
      <w:r w:rsidRPr="00C1603D">
        <w:rPr>
          <w:i/>
          <w:iCs/>
        </w:rPr>
        <w:t>Chapter 8</w:t>
      </w:r>
      <w:r w:rsidRPr="00C1603D">
        <w:t>), we performed additional analyses of the accuracy of IgA</w:t>
      </w:r>
      <w:r w:rsidR="00353A04" w:rsidRPr="00C1603D">
        <w:t xml:space="preserve"> </w:t>
      </w:r>
      <w:r w:rsidRPr="00C1603D">
        <w:t>tTG in isolation and of IgA</w:t>
      </w:r>
      <w:r w:rsidR="00353A04" w:rsidRPr="00C1603D">
        <w:t xml:space="preserve"> </w:t>
      </w:r>
      <w:r w:rsidRPr="00C1603D">
        <w:t xml:space="preserve">EMA in isolation, based on this same subset of comparative accuracy studies. This allowed us to make direct comparisons between the accuracy of singular tests and </w:t>
      </w:r>
      <w:r w:rsidR="00591294" w:rsidRPr="00C1603D">
        <w:t xml:space="preserve">that of </w:t>
      </w:r>
      <w:r w:rsidRPr="00C1603D">
        <w:t>combined testing strategies. We then restricted to the most commonly reported threshold. These estimates of accuracy were selected for inclusion in the economic model (</w:t>
      </w:r>
      <w:r w:rsidR="00371952" w:rsidRPr="00C1603D">
        <w:t xml:space="preserve">see </w:t>
      </w:r>
      <w:r w:rsidRPr="00C1603D">
        <w:rPr>
          <w:i/>
          <w:iCs/>
        </w:rPr>
        <w:t>Chapter 8</w:t>
      </w:r>
      <w:r w:rsidRPr="00C1603D">
        <w:t>).</w:t>
      </w:r>
    </w:p>
    <w:p w14:paraId="00A558D1" w14:textId="77777777" w:rsidR="008B4DF8" w:rsidRPr="00C1603D" w:rsidRDefault="008B4DF8" w:rsidP="008B4DF8">
      <w:pPr>
        <w:pStyle w:val="54CheadHeadingsHeadingstyles"/>
      </w:pPr>
      <w:r w:rsidRPr="00C1603D">
        <w:t>Sensitivity analyses</w:t>
      </w:r>
    </w:p>
    <w:p w14:paraId="624D06FE" w14:textId="3C40FEC5" w:rsidR="008B4DF8" w:rsidRPr="00C1603D" w:rsidRDefault="008B4DF8" w:rsidP="008B4DF8">
      <w:pPr>
        <w:pStyle w:val="602TextfoTextstylesTextstyles"/>
      </w:pPr>
      <w:r w:rsidRPr="00C1603D">
        <w:t xml:space="preserve">We used sensitivity analyses to investigate whether </w:t>
      </w:r>
      <w:r w:rsidR="00782A73" w:rsidRPr="00C1603D">
        <w:t xml:space="preserve">or not </w:t>
      </w:r>
      <w:r w:rsidRPr="00C1603D">
        <w:t>estimates of accuracy varied according to study quality, patient spectrum and potential for partial verification bias. We restricted analyses to the following subsets of studies to investigate the impact of these variables:</w:t>
      </w:r>
    </w:p>
    <w:p w14:paraId="4012198A" w14:textId="5BB95BE5" w:rsidR="008B4DF8" w:rsidRPr="00C1603D" w:rsidRDefault="00BE6A4E" w:rsidP="00BE6A4E">
      <w:pPr>
        <w:pStyle w:val="611BulletlistTextstyles"/>
      </w:pPr>
      <w:r w:rsidRPr="00C1603D">
        <w:t xml:space="preserve">studies </w:t>
      </w:r>
      <w:r w:rsidR="008B4DF8" w:rsidRPr="00C1603D">
        <w:t xml:space="preserve">judged </w:t>
      </w:r>
      <w:r w:rsidR="00782A73" w:rsidRPr="00C1603D">
        <w:t xml:space="preserve">to be </w:t>
      </w:r>
      <w:r w:rsidR="008B4DF8" w:rsidRPr="00C1603D">
        <w:t xml:space="preserve">at </w:t>
      </w:r>
      <w:proofErr w:type="gramStart"/>
      <w:r w:rsidR="008B4DF8" w:rsidRPr="00C1603D">
        <w:t>low risk</w:t>
      </w:r>
      <w:proofErr w:type="gramEnd"/>
      <w:r w:rsidR="008B4DF8" w:rsidRPr="00C1603D">
        <w:t xml:space="preserve"> of bias overall based on the QUADA</w:t>
      </w:r>
      <w:r w:rsidR="008B4DF8" w:rsidRPr="00C1603D">
        <w:rPr>
          <w:color w:val="00B0F0"/>
        </w:rPr>
        <w:t>S-2</w:t>
      </w:r>
    </w:p>
    <w:p w14:paraId="116A8B38" w14:textId="77B93C6E" w:rsidR="008B4DF8" w:rsidRPr="00C1603D" w:rsidRDefault="00BE6A4E" w:rsidP="00BE6A4E">
      <w:pPr>
        <w:pStyle w:val="611BulletlistTextstyles"/>
      </w:pPr>
      <w:r w:rsidRPr="00C1603D">
        <w:t xml:space="preserve">studies </w:t>
      </w:r>
      <w:r w:rsidR="008B4DF8" w:rsidRPr="00C1603D">
        <w:t xml:space="preserve">that included </w:t>
      </w:r>
      <w:r w:rsidRPr="00C1603D">
        <w:t xml:space="preserve">only </w:t>
      </w:r>
      <w:r w:rsidR="008B4DF8" w:rsidRPr="00C1603D">
        <w:t>symptomatic patients</w:t>
      </w:r>
    </w:p>
    <w:p w14:paraId="3F6B8CC8" w14:textId="5C57B0F8" w:rsidR="008B4DF8" w:rsidRPr="00C1603D" w:rsidRDefault="00BE6A4E" w:rsidP="00BE6A4E">
      <w:pPr>
        <w:pStyle w:val="614TextbulletlistlastTextstylesTextstyles"/>
      </w:pPr>
      <w:r w:rsidRPr="00C1603D">
        <w:t xml:space="preserve">studies </w:t>
      </w:r>
      <w:r w:rsidR="008B4DF8" w:rsidRPr="00C1603D">
        <w:t>in which all patients received a biopsy to confirm whether or not they had CD.</w:t>
      </w:r>
    </w:p>
    <w:p w14:paraId="1C04994B" w14:textId="77777777" w:rsidR="008B4DF8" w:rsidRPr="00C1603D" w:rsidRDefault="008B4DF8" w:rsidP="008B4DF8">
      <w:pPr>
        <w:pStyle w:val="53BheadHeadingsHeadingstyles"/>
      </w:pPr>
      <w:bookmarkStart w:id="259" w:name="_Toc99539863"/>
      <w:r w:rsidRPr="00C1603D">
        <w:t>Deviations from the protocol</w:t>
      </w:r>
      <w:bookmarkEnd w:id="259"/>
    </w:p>
    <w:p w14:paraId="77799468" w14:textId="40A85564" w:rsidR="008B4DF8" w:rsidRPr="00C1603D" w:rsidRDefault="008B4DF8" w:rsidP="008B4DF8">
      <w:pPr>
        <w:pStyle w:val="611BulletlistTextstyles"/>
      </w:pPr>
      <w:r w:rsidRPr="00C1603D">
        <w:t xml:space="preserve">In the protocol, we described our target population as </w:t>
      </w:r>
      <w:r w:rsidR="007017F7" w:rsidRPr="00C1603D">
        <w:rPr>
          <w:color w:val="00B0F0"/>
        </w:rPr>
        <w:t>‘</w:t>
      </w:r>
      <w:r w:rsidRPr="00C1603D">
        <w:t>adults or children at risk of CD</w:t>
      </w:r>
      <w:proofErr w:type="gramStart"/>
      <w:r w:rsidR="007017F7" w:rsidRPr="00C1603D">
        <w:rPr>
          <w:color w:val="00B0F0"/>
        </w:rPr>
        <w:t>’</w:t>
      </w:r>
      <w:r w:rsidRPr="00C1603D">
        <w:t>.</w:t>
      </w:r>
      <w:proofErr w:type="gramEnd"/>
      <w:r w:rsidRPr="00C1603D">
        <w:t xml:space="preserve"> After piloting </w:t>
      </w:r>
      <w:r w:rsidR="00BE6A4E" w:rsidRPr="00C1603D">
        <w:t>the</w:t>
      </w:r>
      <w:r w:rsidRPr="00C1603D">
        <w:t xml:space="preserve"> inclusion criteria at title and abstract screening, we chose to exclude studies in healthy populations (i.e. screening) or single</w:t>
      </w:r>
      <w:r w:rsidR="00BE6A4E" w:rsidRPr="00C1603D">
        <w:t>-</w:t>
      </w:r>
      <w:r w:rsidRPr="00C1603D">
        <w:t xml:space="preserve">risk groups only, as described in </w:t>
      </w:r>
      <w:r w:rsidRPr="00C1603D">
        <w:rPr>
          <w:i/>
          <w:iCs/>
        </w:rPr>
        <w:t>Eligibility criteria</w:t>
      </w:r>
      <w:r w:rsidRPr="00C1603D">
        <w:t>.</w:t>
      </w:r>
      <w:r w:rsidR="00BE6A4E" w:rsidRPr="00C1603D">
        <w:rPr>
          <w:i/>
          <w:iCs/>
          <w:color w:val="FF0000"/>
        </w:rPr>
        <w:t xml:space="preserve">&lt;&lt;Typesetter: link to the </w:t>
      </w:r>
      <w:r w:rsidR="00BE6A4E" w:rsidRPr="00C1603D">
        <w:rPr>
          <w:color w:val="FF0000"/>
        </w:rPr>
        <w:t>Eligibility criteria</w:t>
      </w:r>
      <w:r w:rsidR="00BE6A4E" w:rsidRPr="00C1603D">
        <w:rPr>
          <w:i/>
          <w:iCs/>
          <w:color w:val="FF0000"/>
        </w:rPr>
        <w:t xml:space="preserve"> section in this chapter (Chapter 5)&gt;&gt;</w:t>
      </w:r>
    </w:p>
    <w:p w14:paraId="0E3F4289" w14:textId="7B7BF238" w:rsidR="008B4DF8" w:rsidRPr="00C1603D" w:rsidRDefault="008B4DF8" w:rsidP="008B4DF8">
      <w:pPr>
        <w:pStyle w:val="611BulletlistTextstyles"/>
      </w:pPr>
      <w:r w:rsidRPr="00C1603D">
        <w:t xml:space="preserve">We described the intervention as </w:t>
      </w:r>
      <w:r w:rsidR="007017F7" w:rsidRPr="00C1603D">
        <w:rPr>
          <w:color w:val="00B0F0"/>
        </w:rPr>
        <w:t>‘</w:t>
      </w:r>
      <w:r w:rsidRPr="00C1603D">
        <w:t>any serological test for CD</w:t>
      </w:r>
      <w:proofErr w:type="gramStart"/>
      <w:r w:rsidR="007017F7" w:rsidRPr="00C1603D">
        <w:rPr>
          <w:color w:val="00B0F0"/>
        </w:rPr>
        <w:t>’</w:t>
      </w:r>
      <w:r w:rsidRPr="00C1603D">
        <w:t>,</w:t>
      </w:r>
      <w:proofErr w:type="gramEnd"/>
      <w:r w:rsidRPr="00C1603D">
        <w:t xml:space="preserve"> including</w:t>
      </w:r>
      <w:r w:rsidR="0096442D" w:rsidRPr="00C1603D">
        <w:rPr>
          <w:color w:val="auto"/>
          <w:lang w:eastAsia="en-GB"/>
        </w:rPr>
        <w:t xml:space="preserve"> </w:t>
      </w:r>
      <w:r w:rsidRPr="00C1603D">
        <w:t xml:space="preserve">HLA-DQ typing. We decided not to include </w:t>
      </w:r>
      <w:r w:rsidR="00872332" w:rsidRPr="00C1603D">
        <w:t>GA</w:t>
      </w:r>
      <w:r w:rsidRPr="00C1603D">
        <w:t xml:space="preserve"> as they are not recommended for use in the diagnosis of CD by NICE.</w:t>
      </w:r>
      <w:r w:rsidRPr="00C1603D">
        <w:rPr>
          <w:noProof/>
          <w:vertAlign w:val="superscript"/>
        </w:rPr>
        <w:t>9</w:t>
      </w:r>
      <w:r w:rsidRPr="00C1603D">
        <w:t xml:space="preserve"> We did not include HLA-DQ typing in this chapter as this is covered in a separate review (</w:t>
      </w:r>
      <w:r w:rsidR="00FD2894" w:rsidRPr="00C1603D">
        <w:t xml:space="preserve">see </w:t>
      </w:r>
      <w:r w:rsidRPr="00C1603D">
        <w:rPr>
          <w:i/>
          <w:iCs/>
        </w:rPr>
        <w:t>Chapter 6</w:t>
      </w:r>
      <w:r w:rsidRPr="00C1603D">
        <w:t xml:space="preserve">). We did not include point-of-care or rapid serological tests as a systematic review of their accuracy </w:t>
      </w:r>
      <w:r w:rsidR="00FD2894" w:rsidRPr="00C1603D">
        <w:t>was</w:t>
      </w:r>
      <w:r w:rsidRPr="00C1603D">
        <w:t xml:space="preserve"> published</w:t>
      </w:r>
      <w:r w:rsidR="00FD2894" w:rsidRPr="00C1603D">
        <w:t xml:space="preserve"> in 2019</w:t>
      </w:r>
      <w:r w:rsidRPr="00C1603D">
        <w:t>.</w:t>
      </w:r>
      <w:r w:rsidRPr="00C1603D">
        <w:rPr>
          <w:noProof/>
          <w:vertAlign w:val="superscript"/>
        </w:rPr>
        <w:t>69</w:t>
      </w:r>
    </w:p>
    <w:p w14:paraId="2BE832D9" w14:textId="1CCDA6AE" w:rsidR="008B4DF8" w:rsidRPr="00C1603D" w:rsidRDefault="008B4DF8" w:rsidP="008B4DF8">
      <w:pPr>
        <w:pStyle w:val="614TextbulletlistlastTextstylesTextstyles"/>
      </w:pPr>
      <w:r w:rsidRPr="00C1603D">
        <w:t xml:space="preserve">We described our comparator as </w:t>
      </w:r>
      <w:r w:rsidR="007017F7" w:rsidRPr="00C1603D">
        <w:rPr>
          <w:color w:val="00B0F0"/>
        </w:rPr>
        <w:t>‘</w:t>
      </w:r>
      <w:r w:rsidRPr="00C1603D">
        <w:t>any reported reference standard</w:t>
      </w:r>
      <w:proofErr w:type="gramStart"/>
      <w:r w:rsidR="007017F7" w:rsidRPr="00C1603D">
        <w:rPr>
          <w:color w:val="00B0F0"/>
        </w:rPr>
        <w:t>’</w:t>
      </w:r>
      <w:r w:rsidRPr="00C1603D">
        <w:t>.</w:t>
      </w:r>
      <w:proofErr w:type="gramEnd"/>
      <w:r w:rsidRPr="00C1603D">
        <w:t xml:space="preserve"> After piloting </w:t>
      </w:r>
      <w:r w:rsidR="00617C8A" w:rsidRPr="00C1603D">
        <w:t>the</w:t>
      </w:r>
      <w:r w:rsidRPr="00C1603D">
        <w:t xml:space="preserve"> exclusion criteria at title and abstract screening, we decided to exclude studies </w:t>
      </w:r>
      <w:r w:rsidR="00617C8A" w:rsidRPr="00C1603D">
        <w:t>in which</w:t>
      </w:r>
      <w:r w:rsidRPr="00C1603D">
        <w:t xml:space="preserve"> serology formed part or all of the reference standard</w:t>
      </w:r>
      <w:r w:rsidR="00617C8A" w:rsidRPr="00C1603D">
        <w:t>,</w:t>
      </w:r>
      <w:r w:rsidRPr="00C1603D">
        <w:t xml:space="preserve"> as this would lead to overinflation of test accuracy estimates.</w:t>
      </w:r>
    </w:p>
    <w:p w14:paraId="05F387B3" w14:textId="2EAAE83E" w:rsidR="008B4DF8" w:rsidRPr="00C1603D" w:rsidRDefault="008B4DF8" w:rsidP="008B4DF8">
      <w:pPr>
        <w:pStyle w:val="602TextfoTextstylesTextstyles"/>
      </w:pPr>
      <w:commentRangeStart w:id="260"/>
      <w:commentRangeStart w:id="261"/>
      <w:r w:rsidRPr="00C1603D">
        <w:t xml:space="preserve">In the strategy for data synthesis, we </w:t>
      </w:r>
      <w:r w:rsidR="00CC2FC8" w:rsidRPr="00C1603D">
        <w:t>stated,</w:t>
      </w:r>
      <w:r w:rsidRPr="00C1603D">
        <w:t xml:space="preserve"> </w:t>
      </w:r>
      <w:r w:rsidR="003D66F0" w:rsidRPr="00C1603D">
        <w:t>‘</w:t>
      </w:r>
      <w:r w:rsidRPr="00C1603D">
        <w:t>If a test is reported at a single threshold for test positivity across studies, summary operating points will be used to measure the test</w:t>
      </w:r>
      <w:r w:rsidRPr="00C1603D">
        <w:rPr>
          <w:color w:val="00B0F0"/>
        </w:rPr>
        <w:t>’</w:t>
      </w:r>
      <w:r w:rsidRPr="00C1603D">
        <w:t>s accuracy. If a test is reported at differing thresholds across studies, SROC curves showing the trade-off between sensitivity and specificity at the various thresholds will be produced</w:t>
      </w:r>
      <w:proofErr w:type="gramStart"/>
      <w:r w:rsidR="003D66F0" w:rsidRPr="00C1603D">
        <w:t>’</w:t>
      </w:r>
      <w:r w:rsidRPr="00C1603D">
        <w:t>.</w:t>
      </w:r>
      <w:proofErr w:type="gramEnd"/>
      <w:r w:rsidR="004B4B0E" w:rsidRPr="00C1603D">
        <w:rPr>
          <w:vertAlign w:val="superscript"/>
        </w:rPr>
        <w:t>602</w:t>
      </w:r>
      <w:r w:rsidRPr="00C1603D">
        <w:t xml:space="preserve"> </w:t>
      </w:r>
      <w:commentRangeEnd w:id="260"/>
      <w:r w:rsidR="005355CB" w:rsidRPr="00C1603D">
        <w:rPr>
          <w:rFonts w:ascii="Times New Roman" w:hAnsi="Times New Roman" w:cs="Times New Roman"/>
          <w:color w:val="auto"/>
          <w:lang w:val="en-US"/>
        </w:rPr>
        <w:commentReference w:id="260"/>
      </w:r>
      <w:commentRangeEnd w:id="261"/>
      <w:r w:rsidRPr="00C1603D">
        <w:commentReference w:id="261"/>
      </w:r>
      <w:r w:rsidRPr="00C1603D">
        <w:t xml:space="preserve">In the review, we produced both summaries of the evidence for completeness: a </w:t>
      </w:r>
      <w:r w:rsidR="00F17C88" w:rsidRPr="00C1603D">
        <w:rPr>
          <w:bdr w:val="none" w:sz="0" w:space="0" w:color="auto" w:frame="1"/>
        </w:rPr>
        <w:t>SROC</w:t>
      </w:r>
      <w:r w:rsidR="003D66F0" w:rsidRPr="00C1603D">
        <w:rPr>
          <w:bdr w:val="none" w:sz="0" w:space="0" w:color="auto" w:frame="1"/>
        </w:rPr>
        <w:t xml:space="preserve"> </w:t>
      </w:r>
      <w:r w:rsidRPr="00C1603D">
        <w:t>curve across all reported thresholds and summary sensitivity/specificity at the most commonly reported threshold.</w:t>
      </w:r>
    </w:p>
    <w:p w14:paraId="6AA9A1D6" w14:textId="1AB88C94" w:rsidR="008B4DF8" w:rsidRPr="00C1603D" w:rsidRDefault="008B4DF8" w:rsidP="008B4DF8">
      <w:pPr>
        <w:pStyle w:val="52AheadHeadingsHeadingstyles"/>
      </w:pPr>
      <w:bookmarkStart w:id="262" w:name="_Toc99539864"/>
      <w:r w:rsidRPr="00C1603D">
        <w:lastRenderedPageBreak/>
        <w:t xml:space="preserve">Results of </w:t>
      </w:r>
      <w:r w:rsidR="00737C6B" w:rsidRPr="00C1603D">
        <w:t xml:space="preserve">the </w:t>
      </w:r>
      <w:r w:rsidRPr="00C1603D">
        <w:t>assessment of diagnostic accuracy of serological tests</w:t>
      </w:r>
      <w:bookmarkEnd w:id="262"/>
    </w:p>
    <w:p w14:paraId="08B27759" w14:textId="22EF6953" w:rsidR="008B4DF8" w:rsidRPr="00C1603D" w:rsidRDefault="008B4DF8" w:rsidP="008B4DF8">
      <w:pPr>
        <w:pStyle w:val="602TextfoTextstylesTextstyles"/>
      </w:pPr>
      <w:r w:rsidRPr="00C1603D">
        <w:t>The electronic search identified 15,170 articles. After removing duplicates, 7956 unique reports remained. Following title and abstract screening of these 7956 reports, 398 reports were considered potentially relevant and full-text reports were requested (</w:t>
      </w:r>
      <w:r w:rsidR="00737C6B" w:rsidRPr="00C1603D">
        <w:t xml:space="preserve">see </w:t>
      </w:r>
      <w:r w:rsidRPr="00C1603D">
        <w:rPr>
          <w:i/>
          <w:iCs/>
        </w:rPr>
        <w:t>Appendix 17</w:t>
      </w:r>
      <w:r w:rsidR="00737C6B" w:rsidRPr="00C1603D">
        <w:rPr>
          <w:color w:val="auto"/>
        </w:rPr>
        <w:t>,</w:t>
      </w:r>
      <w:r w:rsidRPr="00C1603D">
        <w:rPr>
          <w:color w:val="auto"/>
        </w:rPr>
        <w:t xml:space="preserve"> </w:t>
      </w:r>
      <w:r w:rsidRPr="00C1603D">
        <w:rPr>
          <w:i/>
          <w:color w:val="auto"/>
        </w:rPr>
        <w:t xml:space="preserve">Figure </w:t>
      </w:r>
      <w:r w:rsidRPr="00C1603D">
        <w:rPr>
          <w:i/>
          <w:noProof/>
          <w:color w:val="auto"/>
        </w:rPr>
        <w:t>56</w:t>
      </w:r>
      <w:r w:rsidRPr="00C1603D">
        <w:rPr>
          <w:color w:val="auto"/>
        </w:rPr>
        <w:t>). W</w:t>
      </w:r>
      <w:r w:rsidRPr="00C1603D">
        <w:t>e were unable to obtain full</w:t>
      </w:r>
      <w:r w:rsidR="00091273" w:rsidRPr="00C1603D">
        <w:t xml:space="preserve"> </w:t>
      </w:r>
      <w:r w:rsidRPr="00C1603D">
        <w:t>texts for four studies</w:t>
      </w:r>
      <w:r w:rsidR="00091273" w:rsidRPr="00C1603D">
        <w:t>,</w:t>
      </w:r>
      <w:r w:rsidRPr="00C1603D">
        <w:t xml:space="preserve"> and translation was not possible for a further five studies</w:t>
      </w:r>
      <w:r w:rsidR="00091273" w:rsidRPr="00C1603D">
        <w:t>;</w:t>
      </w:r>
      <w:r w:rsidRPr="00C1603D">
        <w:t xml:space="preserve"> this left 389 reports</w:t>
      </w:r>
      <w:r w:rsidR="00091273" w:rsidRPr="00C1603D">
        <w:t>,</w:t>
      </w:r>
      <w:r w:rsidRPr="00C1603D">
        <w:t xml:space="preserve"> which were assessed for inclusion. We included 113 studies (3351 participants) reported in 131 unique publications, with a total of 203 sets of 2</w:t>
      </w:r>
      <w:r w:rsidR="00091273" w:rsidRPr="00C1603D">
        <w:t> </w:t>
      </w:r>
      <w:r w:rsidR="00091273" w:rsidRPr="00C1603D">
        <w:rPr>
          <w:rFonts w:cs="Lato"/>
        </w:rPr>
        <w:t>×</w:t>
      </w:r>
      <w:r w:rsidR="00091273" w:rsidRPr="00C1603D">
        <w:t> </w:t>
      </w:r>
      <w:r w:rsidRPr="00C1603D">
        <w:t>2 data reported in these studies.</w:t>
      </w:r>
    </w:p>
    <w:p w14:paraId="41993453" w14:textId="77777777" w:rsidR="008B4DF8" w:rsidRPr="00C1603D" w:rsidRDefault="008B4DF8" w:rsidP="008B4DF8">
      <w:pPr>
        <w:pStyle w:val="53BheadHeadingsHeadingstyles"/>
      </w:pPr>
      <w:bookmarkStart w:id="263" w:name="_Toc99539865"/>
      <w:r w:rsidRPr="00C1603D">
        <w:t>Study characteristics</w:t>
      </w:r>
      <w:bookmarkEnd w:id="263"/>
    </w:p>
    <w:p w14:paraId="2D792753" w14:textId="760E77AA" w:rsidR="008B4DF8" w:rsidRPr="00C1603D" w:rsidRDefault="00091273" w:rsidP="008B4DF8">
      <w:pPr>
        <w:pStyle w:val="602TextfoTextstylesTextstyles"/>
      </w:pPr>
      <w:r w:rsidRPr="00C1603D">
        <w:t>The i</w:t>
      </w:r>
      <w:r w:rsidR="008B4DF8" w:rsidRPr="00C1603D">
        <w:t xml:space="preserve">ncluded studies were published </w:t>
      </w:r>
      <w:r w:rsidR="008B4DF8" w:rsidRPr="00C1603D">
        <w:rPr>
          <w:color w:val="auto"/>
        </w:rPr>
        <w:t>between 1990 and 2019. Studies were conducted in the UK (</w:t>
      </w:r>
      <w:r w:rsidR="008B4DF8" w:rsidRPr="00C1603D">
        <w:rPr>
          <w:i/>
          <w:color w:val="auto"/>
        </w:rPr>
        <w:t>n</w:t>
      </w:r>
      <w:r w:rsidR="008B4DF8" w:rsidRPr="00C1603D">
        <w:rPr>
          <w:color w:val="auto"/>
        </w:rPr>
        <w:t> = 19), Italy (</w:t>
      </w:r>
      <w:r w:rsidR="008B4DF8" w:rsidRPr="00C1603D">
        <w:rPr>
          <w:i/>
          <w:color w:val="auto"/>
        </w:rPr>
        <w:t>n</w:t>
      </w:r>
      <w:r w:rsidR="008B4DF8" w:rsidRPr="00C1603D">
        <w:rPr>
          <w:color w:val="auto"/>
        </w:rPr>
        <w:t> = 13), Argentina (</w:t>
      </w:r>
      <w:r w:rsidR="008B4DF8" w:rsidRPr="00C1603D">
        <w:rPr>
          <w:i/>
          <w:color w:val="auto"/>
        </w:rPr>
        <w:t>n</w:t>
      </w:r>
      <w:r w:rsidR="008B4DF8" w:rsidRPr="00C1603D">
        <w:rPr>
          <w:color w:val="auto"/>
        </w:rPr>
        <w:t> = 10), Spain (</w:t>
      </w:r>
      <w:r w:rsidR="008B4DF8" w:rsidRPr="00C1603D">
        <w:rPr>
          <w:i/>
          <w:color w:val="auto"/>
        </w:rPr>
        <w:t>n</w:t>
      </w:r>
      <w:r w:rsidR="008B4DF8" w:rsidRPr="00C1603D">
        <w:rPr>
          <w:color w:val="auto"/>
        </w:rPr>
        <w:t> = 9), Sweden (</w:t>
      </w:r>
      <w:r w:rsidR="008B4DF8" w:rsidRPr="00C1603D">
        <w:rPr>
          <w:i/>
          <w:color w:val="auto"/>
        </w:rPr>
        <w:t>n</w:t>
      </w:r>
      <w:r w:rsidR="008B4DF8" w:rsidRPr="00C1603D">
        <w:rPr>
          <w:color w:val="auto"/>
        </w:rPr>
        <w:t xml:space="preserve"> = 8), </w:t>
      </w:r>
      <w:r w:rsidRPr="00C1603D">
        <w:rPr>
          <w:color w:val="auto"/>
        </w:rPr>
        <w:t xml:space="preserve">the </w:t>
      </w:r>
      <w:r w:rsidR="008B4DF8" w:rsidRPr="00C1603D">
        <w:rPr>
          <w:color w:val="auto"/>
        </w:rPr>
        <w:t>USA (</w:t>
      </w:r>
      <w:r w:rsidR="008B4DF8" w:rsidRPr="00C1603D">
        <w:rPr>
          <w:i/>
          <w:color w:val="auto"/>
        </w:rPr>
        <w:t>n</w:t>
      </w:r>
      <w:r w:rsidR="008B4DF8" w:rsidRPr="00C1603D">
        <w:rPr>
          <w:color w:val="auto"/>
        </w:rPr>
        <w:t> = 8), Canada (</w:t>
      </w:r>
      <w:r w:rsidR="008B4DF8" w:rsidRPr="00C1603D">
        <w:rPr>
          <w:i/>
          <w:color w:val="auto"/>
        </w:rPr>
        <w:t>n</w:t>
      </w:r>
      <w:r w:rsidR="008B4DF8" w:rsidRPr="00C1603D">
        <w:rPr>
          <w:color w:val="auto"/>
        </w:rPr>
        <w:t> = 6), India (</w:t>
      </w:r>
      <w:r w:rsidR="008B4DF8" w:rsidRPr="00C1603D">
        <w:rPr>
          <w:i/>
          <w:color w:val="auto"/>
        </w:rPr>
        <w:t>n</w:t>
      </w:r>
      <w:r w:rsidR="008B4DF8" w:rsidRPr="00C1603D">
        <w:rPr>
          <w:color w:val="auto"/>
        </w:rPr>
        <w:t> = 4), Pakistan (</w:t>
      </w:r>
      <w:r w:rsidR="008B4DF8" w:rsidRPr="00C1603D">
        <w:rPr>
          <w:i/>
          <w:color w:val="auto"/>
        </w:rPr>
        <w:t>n</w:t>
      </w:r>
      <w:r w:rsidR="008B4DF8" w:rsidRPr="00C1603D">
        <w:rPr>
          <w:color w:val="auto"/>
        </w:rPr>
        <w:t> = 4), Iran (</w:t>
      </w:r>
      <w:r w:rsidR="008B4DF8" w:rsidRPr="00C1603D">
        <w:rPr>
          <w:i/>
          <w:color w:val="auto"/>
        </w:rPr>
        <w:t>n</w:t>
      </w:r>
      <w:r w:rsidR="008B4DF8" w:rsidRPr="00C1603D">
        <w:rPr>
          <w:color w:val="auto"/>
        </w:rPr>
        <w:t> = 4), Ireland (</w:t>
      </w:r>
      <w:r w:rsidR="008B4DF8" w:rsidRPr="00C1603D">
        <w:rPr>
          <w:i/>
          <w:color w:val="auto"/>
        </w:rPr>
        <w:t>n</w:t>
      </w:r>
      <w:r w:rsidR="008B4DF8" w:rsidRPr="00C1603D">
        <w:rPr>
          <w:color w:val="auto"/>
        </w:rPr>
        <w:t> = 3), the Netherlands (</w:t>
      </w:r>
      <w:r w:rsidR="008B4DF8" w:rsidRPr="00C1603D">
        <w:rPr>
          <w:i/>
          <w:color w:val="auto"/>
        </w:rPr>
        <w:t>n</w:t>
      </w:r>
      <w:r w:rsidR="008B4DF8" w:rsidRPr="00C1603D">
        <w:rPr>
          <w:color w:val="auto"/>
        </w:rPr>
        <w:t> = 3), New Zealand (</w:t>
      </w:r>
      <w:r w:rsidR="008B4DF8" w:rsidRPr="00C1603D">
        <w:rPr>
          <w:i/>
          <w:color w:val="auto"/>
        </w:rPr>
        <w:t>n</w:t>
      </w:r>
      <w:r w:rsidR="008B4DF8" w:rsidRPr="00C1603D">
        <w:rPr>
          <w:color w:val="auto"/>
        </w:rPr>
        <w:t> = 2), Germany (</w:t>
      </w:r>
      <w:r w:rsidR="008B4DF8" w:rsidRPr="00C1603D">
        <w:rPr>
          <w:i/>
          <w:color w:val="auto"/>
        </w:rPr>
        <w:t>n</w:t>
      </w:r>
      <w:r w:rsidR="008B4DF8" w:rsidRPr="00C1603D">
        <w:rPr>
          <w:color w:val="auto"/>
        </w:rPr>
        <w:t> = 2), Brazil (</w:t>
      </w:r>
      <w:r w:rsidR="008B4DF8" w:rsidRPr="00C1603D">
        <w:rPr>
          <w:i/>
          <w:color w:val="auto"/>
        </w:rPr>
        <w:t>n</w:t>
      </w:r>
      <w:r w:rsidR="008B4DF8" w:rsidRPr="00C1603D">
        <w:rPr>
          <w:color w:val="auto"/>
        </w:rPr>
        <w:t> = 2)</w:t>
      </w:r>
      <w:r w:rsidR="0088577B" w:rsidRPr="00C1603D">
        <w:rPr>
          <w:color w:val="auto"/>
        </w:rPr>
        <w:t xml:space="preserve"> and</w:t>
      </w:r>
      <w:r w:rsidR="008B4DF8" w:rsidRPr="00C1603D">
        <w:rPr>
          <w:color w:val="auto"/>
        </w:rPr>
        <w:t xml:space="preserve"> Israel (</w:t>
      </w:r>
      <w:r w:rsidR="008B4DF8" w:rsidRPr="00C1603D">
        <w:rPr>
          <w:i/>
          <w:color w:val="auto"/>
        </w:rPr>
        <w:t>n</w:t>
      </w:r>
      <w:r w:rsidR="008B4DF8" w:rsidRPr="00C1603D">
        <w:rPr>
          <w:color w:val="auto"/>
        </w:rPr>
        <w:t> = 2)</w:t>
      </w:r>
      <w:r w:rsidR="0088577B" w:rsidRPr="00C1603D">
        <w:rPr>
          <w:color w:val="auto"/>
        </w:rPr>
        <w:t>,</w:t>
      </w:r>
      <w:r w:rsidR="008B4DF8" w:rsidRPr="00C1603D">
        <w:rPr>
          <w:color w:val="auto"/>
        </w:rPr>
        <w:t xml:space="preserve"> with single studies from Slovakia, Turkey, Denmark, France, Finland, Australia, Czech</w:t>
      </w:r>
      <w:r w:rsidR="00283A6F" w:rsidRPr="00C1603D">
        <w:rPr>
          <w:color w:val="auto"/>
        </w:rPr>
        <w:t>ia</w:t>
      </w:r>
      <w:r w:rsidR="008B4DF8" w:rsidRPr="00C1603D">
        <w:rPr>
          <w:color w:val="auto"/>
        </w:rPr>
        <w:t xml:space="preserve">, Oman, Switzerland, Austria, Egypt, Poland, Lebanon and Serbia. Twenty-nine studies were conducted </w:t>
      </w:r>
      <w:r w:rsidR="007953A9" w:rsidRPr="00C1603D">
        <w:rPr>
          <w:color w:val="auto"/>
        </w:rPr>
        <w:t>with</w:t>
      </w:r>
      <w:r w:rsidR="008B4DF8" w:rsidRPr="00C1603D">
        <w:rPr>
          <w:color w:val="auto"/>
        </w:rPr>
        <w:t xml:space="preserve"> adults, </w:t>
      </w:r>
      <w:proofErr w:type="gramStart"/>
      <w:r w:rsidR="008B4DF8" w:rsidRPr="00C1603D">
        <w:rPr>
          <w:color w:val="auto"/>
        </w:rPr>
        <w:t>48</w:t>
      </w:r>
      <w:proofErr w:type="gramEnd"/>
      <w:r w:rsidR="008B4DF8" w:rsidRPr="00C1603D">
        <w:rPr>
          <w:color w:val="auto"/>
        </w:rPr>
        <w:t xml:space="preserve"> </w:t>
      </w:r>
      <w:r w:rsidR="007953A9" w:rsidRPr="00C1603D">
        <w:rPr>
          <w:color w:val="auto"/>
        </w:rPr>
        <w:t>with</w:t>
      </w:r>
      <w:r w:rsidR="008B4DF8" w:rsidRPr="00C1603D">
        <w:rPr>
          <w:color w:val="auto"/>
        </w:rPr>
        <w:t xml:space="preserve"> children and 33 </w:t>
      </w:r>
      <w:r w:rsidR="007953A9" w:rsidRPr="00C1603D">
        <w:rPr>
          <w:color w:val="auto"/>
        </w:rPr>
        <w:t>with</w:t>
      </w:r>
      <w:r w:rsidR="008B4DF8" w:rsidRPr="00C1603D">
        <w:rPr>
          <w:color w:val="auto"/>
        </w:rPr>
        <w:t xml:space="preserve"> mixed population</w:t>
      </w:r>
      <w:r w:rsidR="007953A9" w:rsidRPr="00C1603D">
        <w:rPr>
          <w:color w:val="auto"/>
        </w:rPr>
        <w:t>s</w:t>
      </w:r>
      <w:r w:rsidR="008B4DF8" w:rsidRPr="00C1603D">
        <w:rPr>
          <w:color w:val="auto"/>
        </w:rPr>
        <w:t xml:space="preserve"> of adults and children. Those that did not </w:t>
      </w:r>
      <w:r w:rsidR="008B4DF8" w:rsidRPr="00C1603D">
        <w:t>specify the age of included participants were assumed to have included a mixed population. A further three studies reported accuracy data separately for adults and children; these were treated as if they were two separate studies and data were extracted separately for adults and children. Whe</w:t>
      </w:r>
      <w:r w:rsidR="00855D15" w:rsidRPr="00C1603D">
        <w:t>n</w:t>
      </w:r>
      <w:r w:rsidR="008B4DF8" w:rsidRPr="00C1603D">
        <w:t xml:space="preserve"> reported, the mean age was 43.6 years (SD 13.9 years, range 13</w:t>
      </w:r>
      <w:r w:rsidR="00855D15" w:rsidRPr="00C1603D">
        <w:t>–</w:t>
      </w:r>
      <w:r w:rsidR="008B4DF8" w:rsidRPr="00C1603D">
        <w:t>94 years)</w:t>
      </w:r>
      <w:r w:rsidR="003009A3" w:rsidRPr="00C1603D">
        <w:t xml:space="preserve"> for adults</w:t>
      </w:r>
      <w:r w:rsidR="008B4DF8" w:rsidRPr="00C1603D">
        <w:t xml:space="preserve"> and 6.3 years (SD 4.4 years, range 2 months to 19 years)</w:t>
      </w:r>
      <w:r w:rsidR="003009A3" w:rsidRPr="00C1603D">
        <w:t xml:space="preserve"> for children</w:t>
      </w:r>
      <w:r w:rsidR="008B4DF8" w:rsidRPr="00C1603D">
        <w:t>. On average</w:t>
      </w:r>
      <w:r w:rsidR="003009A3" w:rsidRPr="00C1603D">
        <w:t>,</w:t>
      </w:r>
      <w:r w:rsidR="008B4DF8" w:rsidRPr="00C1603D">
        <w:t xml:space="preserve"> 66% of adults and 52% of children were female. Fifty-six studies were prospective and </w:t>
      </w:r>
      <w:proofErr w:type="gramStart"/>
      <w:r w:rsidR="008B4DF8" w:rsidRPr="00C1603D">
        <w:t>57</w:t>
      </w:r>
      <w:proofErr w:type="gramEnd"/>
      <w:r w:rsidR="008B4DF8" w:rsidRPr="00C1603D">
        <w:t xml:space="preserve"> were retrospective in design (</w:t>
      </w:r>
      <w:r w:rsidR="009F423E" w:rsidRPr="00C1603D">
        <w:t>see</w:t>
      </w:r>
      <w:r w:rsidR="008B4DF8" w:rsidRPr="00C1603D">
        <w:t xml:space="preserve"> </w:t>
      </w:r>
      <w:r w:rsidR="009F423E" w:rsidRPr="00C1603D">
        <w:t>t</w:t>
      </w:r>
      <w:r w:rsidR="008B4DF8" w:rsidRPr="00C1603D">
        <w:t>able S10</w:t>
      </w:r>
      <w:r w:rsidR="009F423E" w:rsidRPr="00C1603D">
        <w:t xml:space="preserve"> in </w:t>
      </w:r>
      <w:r w:rsidR="009F423E" w:rsidRPr="00C1603D">
        <w:rPr>
          <w:i/>
          <w:iCs/>
        </w:rPr>
        <w:t>Report Supplementary Material 1</w:t>
      </w:r>
      <w:r w:rsidR="008B4DF8" w:rsidRPr="00C1603D">
        <w:t>).</w:t>
      </w:r>
    </w:p>
    <w:p w14:paraId="1BE66675" w14:textId="77777777" w:rsidR="008B4DF8" w:rsidRPr="00C1603D" w:rsidRDefault="008B4DF8" w:rsidP="008B4DF8">
      <w:pPr>
        <w:pStyle w:val="53BheadHeadingsHeadingstyles"/>
      </w:pPr>
      <w:bookmarkStart w:id="264" w:name="_Toc99539866"/>
      <w:r w:rsidRPr="00C1603D">
        <w:t>Risk of bias</w:t>
      </w:r>
      <w:bookmarkEnd w:id="264"/>
    </w:p>
    <w:p w14:paraId="70F55F08" w14:textId="7D4611A9" w:rsidR="008B4DF8" w:rsidRPr="00C1603D" w:rsidRDefault="000C416F" w:rsidP="008B4DF8">
      <w:pPr>
        <w:pStyle w:val="602TextfoTextstylesTextstyles"/>
      </w:pPr>
      <w:bookmarkStart w:id="265" w:name="_Toc65244982"/>
      <w:bookmarkStart w:id="266" w:name="_Toc65245015"/>
      <w:r w:rsidRPr="00C1603D">
        <w:t xml:space="preserve">A total of 137 </w:t>
      </w:r>
      <w:r w:rsidR="008B4DF8" w:rsidRPr="00C1603D">
        <w:t>sets of 2</w:t>
      </w:r>
      <w:r w:rsidRPr="00C1603D">
        <w:t> </w:t>
      </w:r>
      <w:r w:rsidRPr="00C1603D">
        <w:rPr>
          <w:rFonts w:cs="Lato"/>
        </w:rPr>
        <w:t>×</w:t>
      </w:r>
      <w:r w:rsidRPr="00C1603D">
        <w:t> </w:t>
      </w:r>
      <w:r w:rsidR="008B4DF8" w:rsidRPr="00C1603D">
        <w:t xml:space="preserve">2 data were judged to be at </w:t>
      </w:r>
      <w:proofErr w:type="gramStart"/>
      <w:r w:rsidR="008B4DF8" w:rsidRPr="00C1603D">
        <w:t>high risk</w:t>
      </w:r>
      <w:proofErr w:type="gramEnd"/>
      <w:r w:rsidR="008B4DF8" w:rsidRPr="00C1603D">
        <w:t xml:space="preserve"> of bias, 22 were </w:t>
      </w:r>
      <w:r w:rsidRPr="00C1603D">
        <w:t xml:space="preserve">judged to be </w:t>
      </w:r>
      <w:r w:rsidR="008B4DF8" w:rsidRPr="00C1603D">
        <w:t>at low risk of bias and 44 were</w:t>
      </w:r>
      <w:r w:rsidRPr="00C1603D">
        <w:t xml:space="preserve"> judged to be</w:t>
      </w:r>
      <w:r w:rsidR="008B4DF8" w:rsidRPr="00C1603D">
        <w:t xml:space="preserve"> at unclear risk of bias (</w:t>
      </w:r>
      <w:r w:rsidR="009F423E" w:rsidRPr="00C1603D">
        <w:t xml:space="preserve">see </w:t>
      </w:r>
      <w:r w:rsidR="008B4DF8" w:rsidRPr="00C1603D">
        <w:rPr>
          <w:i/>
          <w:iCs/>
        </w:rPr>
        <w:t xml:space="preserve">Appendix </w:t>
      </w:r>
      <w:r w:rsidR="008B4DF8" w:rsidRPr="00C1603D">
        <w:rPr>
          <w:i/>
          <w:iCs/>
          <w:color w:val="auto"/>
        </w:rPr>
        <w:t>18</w:t>
      </w:r>
      <w:r w:rsidR="009F423E" w:rsidRPr="00C1603D">
        <w:rPr>
          <w:color w:val="auto"/>
        </w:rPr>
        <w:t>,</w:t>
      </w:r>
      <w:r w:rsidR="008B4DF8" w:rsidRPr="00C1603D">
        <w:rPr>
          <w:color w:val="auto"/>
        </w:rPr>
        <w:t xml:space="preserve"> </w:t>
      </w:r>
      <w:r w:rsidR="008B4DF8" w:rsidRPr="00C1603D">
        <w:rPr>
          <w:i/>
          <w:color w:val="auto"/>
        </w:rPr>
        <w:t xml:space="preserve">Figure </w:t>
      </w:r>
      <w:r w:rsidR="008B4DF8" w:rsidRPr="00C1603D">
        <w:rPr>
          <w:i/>
          <w:noProof/>
          <w:color w:val="auto"/>
        </w:rPr>
        <w:t>57</w:t>
      </w:r>
      <w:r w:rsidR="008B4DF8" w:rsidRPr="00C1603D">
        <w:rPr>
          <w:color w:val="auto"/>
        </w:rPr>
        <w:t xml:space="preserve">, </w:t>
      </w:r>
      <w:r w:rsidR="009F423E" w:rsidRPr="00C1603D">
        <w:rPr>
          <w:color w:val="auto"/>
        </w:rPr>
        <w:t>and</w:t>
      </w:r>
      <w:r w:rsidR="008B4DF8" w:rsidRPr="00C1603D">
        <w:rPr>
          <w:color w:val="auto"/>
        </w:rPr>
        <w:t xml:space="preserve"> </w:t>
      </w:r>
      <w:r w:rsidR="009F423E" w:rsidRPr="00C1603D">
        <w:rPr>
          <w:color w:val="auto"/>
        </w:rPr>
        <w:t>t</w:t>
      </w:r>
      <w:r w:rsidR="008B4DF8" w:rsidRPr="00C1603D">
        <w:t>able S11</w:t>
      </w:r>
      <w:r w:rsidR="009F423E" w:rsidRPr="00C1603D">
        <w:t xml:space="preserve"> in </w:t>
      </w:r>
      <w:r w:rsidR="009F423E" w:rsidRPr="00C1603D">
        <w:rPr>
          <w:i/>
          <w:iCs/>
        </w:rPr>
        <w:t>Report Supplementary Material 1</w:t>
      </w:r>
      <w:r w:rsidR="008B4DF8" w:rsidRPr="00C1603D">
        <w:t>).</w:t>
      </w:r>
    </w:p>
    <w:p w14:paraId="104BAF85" w14:textId="6028A083" w:rsidR="008B4DF8" w:rsidRPr="00C1603D" w:rsidRDefault="008B4DF8" w:rsidP="008B4DF8">
      <w:pPr>
        <w:pStyle w:val="602TextfoTextstylesTextstyles"/>
      </w:pPr>
      <w:r w:rsidRPr="00C1603D">
        <w:t xml:space="preserve">The main reason for sets of </w:t>
      </w:r>
      <w:r w:rsidR="003C03A0" w:rsidRPr="00C1603D">
        <w:t>2 × 2</w:t>
      </w:r>
      <w:r w:rsidRPr="00C1603D">
        <w:t xml:space="preserve"> data being judged </w:t>
      </w:r>
      <w:r w:rsidR="003C03A0" w:rsidRPr="00C1603D">
        <w:t xml:space="preserve">as having </w:t>
      </w:r>
      <w:proofErr w:type="gramStart"/>
      <w:r w:rsidR="003C03A0" w:rsidRPr="00C1603D">
        <w:t>a</w:t>
      </w:r>
      <w:r w:rsidRPr="00C1603D">
        <w:t xml:space="preserve"> high risk</w:t>
      </w:r>
      <w:proofErr w:type="gramEnd"/>
      <w:r w:rsidRPr="00C1603D">
        <w:t xml:space="preserve"> of bias was because biopsy results were interpreted with knowledge of (or not explicitly blinded to) serology results</w:t>
      </w:r>
      <w:r w:rsidR="003C03A0" w:rsidRPr="00C1603D">
        <w:t>;</w:t>
      </w:r>
      <w:r w:rsidRPr="00C1603D">
        <w:t xml:space="preserve"> this was the case for 118 sets of </w:t>
      </w:r>
      <w:r w:rsidR="003C03A0" w:rsidRPr="00C1603D">
        <w:t>2 × 2</w:t>
      </w:r>
      <w:r w:rsidRPr="00C1603D">
        <w:t xml:space="preserve"> data. In 28 sets of </w:t>
      </w:r>
      <w:r w:rsidR="003C03A0" w:rsidRPr="00C1603D">
        <w:t>2 × 2</w:t>
      </w:r>
      <w:r w:rsidRPr="00C1603D">
        <w:t xml:space="preserve"> data</w:t>
      </w:r>
      <w:r w:rsidR="003C03A0" w:rsidRPr="00C1603D">
        <w:t>,</w:t>
      </w:r>
      <w:r w:rsidRPr="00C1603D">
        <w:t xml:space="preserve"> there was potential for partial verification bias </w:t>
      </w:r>
      <w:r w:rsidR="003C03A0" w:rsidRPr="00C1603D">
        <w:t>because</w:t>
      </w:r>
      <w:r w:rsidRPr="00C1603D">
        <w:t xml:space="preserve"> not all patients, particularly those with a negative test result, underwent biopsy to verify their true disease status. A further 23 sets of </w:t>
      </w:r>
      <w:r w:rsidR="003C03A0" w:rsidRPr="00C1603D">
        <w:t>2 × 2</w:t>
      </w:r>
      <w:r w:rsidRPr="00C1603D">
        <w:t xml:space="preserve"> data were judged as</w:t>
      </w:r>
      <w:r w:rsidR="003C03A0" w:rsidRPr="00C1603D">
        <w:t xml:space="preserve"> having </w:t>
      </w:r>
      <w:proofErr w:type="gramStart"/>
      <w:r w:rsidR="003C03A0" w:rsidRPr="00C1603D">
        <w:t>a</w:t>
      </w:r>
      <w:r w:rsidRPr="00C1603D">
        <w:t xml:space="preserve"> high risk</w:t>
      </w:r>
      <w:proofErr w:type="gramEnd"/>
      <w:r w:rsidRPr="00C1603D">
        <w:t xml:space="preserve"> of bias </w:t>
      </w:r>
      <w:r w:rsidR="003C03A0" w:rsidRPr="00C1603D">
        <w:t>because of</w:t>
      </w:r>
      <w:r w:rsidRPr="00C1603D">
        <w:t xml:space="preserve"> concerns about patient selection </w:t>
      </w:r>
      <w:r w:rsidR="003C03A0" w:rsidRPr="00C1603D">
        <w:t>(e.g.</w:t>
      </w:r>
      <w:r w:rsidRPr="00C1603D">
        <w:t xml:space="preserve"> through inappropriate study exclusions or patients not adhering to a gluten-free diet prior to testing</w:t>
      </w:r>
      <w:r w:rsidR="003C03A0" w:rsidRPr="00C1603D">
        <w:t>)</w:t>
      </w:r>
      <w:r w:rsidRPr="00C1603D">
        <w:t xml:space="preserve"> and 12 </w:t>
      </w:r>
      <w:r w:rsidR="003C03A0" w:rsidRPr="00C1603D">
        <w:t>sets were judged as having a high risk of bias because of</w:t>
      </w:r>
      <w:r w:rsidRPr="00C1603D">
        <w:t xml:space="preserve"> concerns about the index test (e.g. threshold not prespecified).</w:t>
      </w:r>
    </w:p>
    <w:p w14:paraId="42992D4D" w14:textId="0E1C0F71" w:rsidR="008B4DF8" w:rsidRPr="00C1603D" w:rsidRDefault="008B4DF8" w:rsidP="008B4DF8">
      <w:pPr>
        <w:pStyle w:val="602TextfoTextstylesTextstyles"/>
      </w:pPr>
      <w:r w:rsidRPr="00C1603D">
        <w:t xml:space="preserve">Twenty-four sets of </w:t>
      </w:r>
      <w:r w:rsidR="003C03A0" w:rsidRPr="00C1603D">
        <w:t>2 × 2</w:t>
      </w:r>
      <w:r w:rsidRPr="00C1603D">
        <w:t xml:space="preserve"> data were judged to be at</w:t>
      </w:r>
      <w:r w:rsidR="003C03A0" w:rsidRPr="00C1603D">
        <w:t xml:space="preserve"> an</w:t>
      </w:r>
      <w:r w:rsidRPr="00C1603D">
        <w:t xml:space="preserve"> unclear risk of bias </w:t>
      </w:r>
      <w:r w:rsidR="003C03A0" w:rsidRPr="00C1603D">
        <w:t>because of</w:t>
      </w:r>
      <w:r w:rsidRPr="00C1603D">
        <w:t xml:space="preserve"> missing information on patient selection (e.g. study exclusion criteria)</w:t>
      </w:r>
      <w:r w:rsidR="003C03A0" w:rsidRPr="00C1603D">
        <w:t>,</w:t>
      </w:r>
      <w:r w:rsidRPr="00C1603D">
        <w:t xml:space="preserve"> 23 </w:t>
      </w:r>
      <w:r w:rsidR="003C03A0" w:rsidRPr="00C1603D">
        <w:t>sets were judged to be at an unclear risk of bias because</w:t>
      </w:r>
      <w:r w:rsidRPr="00C1603D">
        <w:t xml:space="preserve"> details of serological testing (e.g. threshold for test positivity) were not reported and 40 </w:t>
      </w:r>
      <w:r w:rsidR="003C03A0" w:rsidRPr="00C1603D">
        <w:t>sets were judged to be at an unclear risk of bias because</w:t>
      </w:r>
      <w:r w:rsidRPr="00C1603D">
        <w:t xml:space="preserve"> information on flow and timing (e.g. interval between serology and biopsy, or whether </w:t>
      </w:r>
      <w:r w:rsidR="003C03A0" w:rsidRPr="00C1603D">
        <w:t xml:space="preserve">or not </w:t>
      </w:r>
      <w:r w:rsidRPr="00C1603D">
        <w:t xml:space="preserve">patients maintained a gluten-free diet between tests) was not reported. The prevalence of CD varied </w:t>
      </w:r>
      <w:proofErr w:type="gramStart"/>
      <w:r w:rsidRPr="00C1603D">
        <w:t>greatly between</w:t>
      </w:r>
      <w:proofErr w:type="gramEnd"/>
      <w:r w:rsidRPr="00C1603D">
        <w:t xml:space="preserve"> studies, ranging from 1.8</w:t>
      </w:r>
      <w:r w:rsidR="003C03A0" w:rsidRPr="00C1603D">
        <w:t>%</w:t>
      </w:r>
      <w:r w:rsidRPr="00C1603D">
        <w:t xml:space="preserve"> to 92.6%.</w:t>
      </w:r>
      <w:bookmarkEnd w:id="265"/>
      <w:bookmarkEnd w:id="266"/>
    </w:p>
    <w:p w14:paraId="096BAE5B" w14:textId="77777777" w:rsidR="008B4DF8" w:rsidRPr="00C1603D" w:rsidRDefault="008B4DF8" w:rsidP="008B4DF8">
      <w:pPr>
        <w:pStyle w:val="53BheadHeadingsHeadingstyles"/>
      </w:pPr>
      <w:bookmarkStart w:id="267" w:name="_Toc99539867"/>
      <w:r w:rsidRPr="00C1603D">
        <w:t>Accuracy of serological tests for diagnosing coeliac disease</w:t>
      </w:r>
      <w:bookmarkEnd w:id="267"/>
    </w:p>
    <w:p w14:paraId="030C8233" w14:textId="77777777" w:rsidR="008B4DF8" w:rsidRPr="00C1603D" w:rsidRDefault="008B4DF8" w:rsidP="008B4DF8">
      <w:pPr>
        <w:pStyle w:val="54CheadHeadingsHeadingstyles"/>
      </w:pPr>
      <w:r w:rsidRPr="00C1603D">
        <w:t>All thresholds</w:t>
      </w:r>
    </w:p>
    <w:p w14:paraId="11EB874B" w14:textId="11088B8C" w:rsidR="008B4DF8" w:rsidRPr="00C1603D" w:rsidRDefault="008B4DF8" w:rsidP="008B4DF8">
      <w:pPr>
        <w:pStyle w:val="602TextfoTextstylesTextstyles"/>
        <w:rPr>
          <w:color w:val="auto"/>
        </w:rPr>
      </w:pPr>
      <w:r w:rsidRPr="00C1603D">
        <w:t xml:space="preserve">The raw </w:t>
      </w:r>
      <w:r w:rsidR="003C03A0" w:rsidRPr="00C1603D">
        <w:t>2 × 2</w:t>
      </w:r>
      <w:r w:rsidRPr="00C1603D">
        <w:t xml:space="preserve"> data extracted from each study, together with details on test and test positivity threshold are summarised in </w:t>
      </w:r>
      <w:r w:rsidR="009F423E" w:rsidRPr="00C1603D">
        <w:t>t</w:t>
      </w:r>
      <w:r w:rsidRPr="00C1603D">
        <w:t>able S10</w:t>
      </w:r>
      <w:r w:rsidR="009F423E" w:rsidRPr="00C1603D">
        <w:t xml:space="preserve"> (see </w:t>
      </w:r>
      <w:r w:rsidR="009F423E" w:rsidRPr="00C1603D">
        <w:rPr>
          <w:i/>
          <w:iCs/>
        </w:rPr>
        <w:t>Report Supplementary Material 1</w:t>
      </w:r>
      <w:r w:rsidR="009F423E" w:rsidRPr="00C1603D">
        <w:t>)</w:t>
      </w:r>
      <w:r w:rsidRPr="00C1603D">
        <w:t xml:space="preserve">. The ranges in </w:t>
      </w:r>
      <w:r w:rsidR="003C03A0" w:rsidRPr="00C1603D">
        <w:t xml:space="preserve">the </w:t>
      </w:r>
      <w:r w:rsidRPr="00C1603D">
        <w:t>estimates of sensitivity, specificity</w:t>
      </w:r>
      <w:r w:rsidR="003C03A0" w:rsidRPr="00C1603D">
        <w:t>,</w:t>
      </w:r>
      <w:r w:rsidRPr="00C1603D">
        <w:t xml:space="preserve"> and positive and negative predictive values are summarised in </w:t>
      </w:r>
      <w:r w:rsidRPr="00C1603D">
        <w:rPr>
          <w:i/>
          <w:color w:val="FF0000"/>
        </w:rPr>
        <w:t xml:space="preserve">Table </w:t>
      </w:r>
      <w:r w:rsidRPr="00C1603D">
        <w:rPr>
          <w:i/>
          <w:noProof/>
          <w:color w:val="FF0000"/>
        </w:rPr>
        <w:t>8</w:t>
      </w:r>
      <w:r w:rsidRPr="00C1603D">
        <w:t>. The most commonly evaluated test was IgA tTG</w:t>
      </w:r>
      <w:r w:rsidR="003C03A0" w:rsidRPr="00C1603D">
        <w:t>,</w:t>
      </w:r>
      <w:r w:rsidRPr="00C1603D">
        <w:t xml:space="preserve"> which was evaluated in </w:t>
      </w:r>
      <w:proofErr w:type="gramStart"/>
      <w:r w:rsidRPr="00C1603D">
        <w:t>27</w:t>
      </w:r>
      <w:proofErr w:type="gramEnd"/>
      <w:r w:rsidRPr="00C1603D">
        <w:t xml:space="preserve"> studies </w:t>
      </w:r>
      <w:r w:rsidR="003C03A0" w:rsidRPr="00C1603D">
        <w:t>with</w:t>
      </w:r>
      <w:r w:rsidRPr="00C1603D">
        <w:t xml:space="preserve"> adults </w:t>
      </w:r>
      <w:r w:rsidRPr="00C1603D">
        <w:rPr>
          <w:noProof/>
          <w:vertAlign w:val="superscript"/>
        </w:rPr>
        <w:t>76</w:t>
      </w:r>
      <w:r w:rsidRPr="00C1603D">
        <w:rPr>
          <w:noProof/>
          <w:color w:val="00B0F0"/>
          <w:vertAlign w:val="superscript"/>
        </w:rPr>
        <w:t>–1</w:t>
      </w:r>
      <w:r w:rsidRPr="00C1603D">
        <w:rPr>
          <w:noProof/>
          <w:vertAlign w:val="superscript"/>
        </w:rPr>
        <w:t>14</w:t>
      </w:r>
      <w:r w:rsidRPr="00C1603D">
        <w:t xml:space="preserve"> and </w:t>
      </w:r>
      <w:r w:rsidR="003C03A0" w:rsidRPr="00C1603D">
        <w:t xml:space="preserve">in </w:t>
      </w:r>
      <w:r w:rsidRPr="00C1603D">
        <w:t xml:space="preserve">37 studies </w:t>
      </w:r>
      <w:r w:rsidR="003C03A0" w:rsidRPr="00C1603D">
        <w:t>with</w:t>
      </w:r>
      <w:r w:rsidRPr="00C1603D">
        <w:t xml:space="preserve"> children.</w:t>
      </w:r>
      <w:r w:rsidRPr="00C1603D">
        <w:rPr>
          <w:rFonts w:cs="Calibri"/>
          <w:noProof/>
          <w:color w:val="auto"/>
          <w:sz w:val="18"/>
          <w:szCs w:val="18"/>
          <w:vertAlign w:val="superscript"/>
        </w:rPr>
        <w:t>115–151</w:t>
      </w:r>
      <w:r w:rsidRPr="00C1603D">
        <w:rPr>
          <w:color w:val="auto"/>
        </w:rPr>
        <w:t xml:space="preserve"> </w:t>
      </w:r>
      <w:r w:rsidRPr="00C1603D">
        <w:t>The next most frequently evaluated test was IgA EMA</w:t>
      </w:r>
      <w:r w:rsidR="003C03A0" w:rsidRPr="00C1603D">
        <w:t>,</w:t>
      </w:r>
      <w:r w:rsidRPr="00C1603D">
        <w:t xml:space="preserve"> which </w:t>
      </w:r>
      <w:r w:rsidRPr="00C1603D">
        <w:lastRenderedPageBreak/>
        <w:t xml:space="preserve">was evaluated in 19 studies </w:t>
      </w:r>
      <w:r w:rsidR="003C03A0" w:rsidRPr="00C1603D">
        <w:t>with</w:t>
      </w:r>
      <w:r w:rsidRPr="00C1603D">
        <w:t xml:space="preserve"> </w:t>
      </w:r>
      <w:r w:rsidRPr="00C1603D">
        <w:rPr>
          <w:color w:val="auto"/>
        </w:rPr>
        <w:t xml:space="preserve">adults </w:t>
      </w:r>
      <w:r w:rsidRPr="00C1603D">
        <w:rPr>
          <w:noProof/>
          <w:color w:val="auto"/>
          <w:vertAlign w:val="superscript"/>
        </w:rPr>
        <w:t>81,83,87,88,90,93,97,100,107,108,110–112,152–164</w:t>
      </w:r>
      <w:r w:rsidRPr="00C1603D">
        <w:rPr>
          <w:color w:val="auto"/>
        </w:rPr>
        <w:t xml:space="preserve"> and </w:t>
      </w:r>
      <w:r w:rsidR="003C03A0" w:rsidRPr="00C1603D">
        <w:rPr>
          <w:color w:val="auto"/>
        </w:rPr>
        <w:t xml:space="preserve">in </w:t>
      </w:r>
      <w:r w:rsidRPr="00C1603D">
        <w:rPr>
          <w:color w:val="auto"/>
        </w:rPr>
        <w:t xml:space="preserve">28 studies </w:t>
      </w:r>
      <w:r w:rsidR="003C03A0" w:rsidRPr="00C1603D">
        <w:rPr>
          <w:color w:val="auto"/>
        </w:rPr>
        <w:t>with</w:t>
      </w:r>
      <w:r w:rsidRPr="00C1603D">
        <w:rPr>
          <w:color w:val="auto"/>
        </w:rPr>
        <w:t xml:space="preserve"> children.</w:t>
      </w:r>
      <w:r w:rsidRPr="00C1603D">
        <w:rPr>
          <w:noProof/>
          <w:color w:val="auto"/>
          <w:vertAlign w:val="superscript"/>
        </w:rPr>
        <w:t>82,97,108,115,117,118,121–123,131–133,140,144,145,147,151,152,155–157,165–177</w:t>
      </w:r>
    </w:p>
    <w:p w14:paraId="13B1F489" w14:textId="77777777" w:rsidR="008B4DF8" w:rsidRPr="00C1603D" w:rsidRDefault="008B4DF8" w:rsidP="008B4DF8">
      <w:pPr>
        <w:pStyle w:val="70TablelegendTablesTableFigureBoxstyles"/>
      </w:pPr>
      <w:bookmarkStart w:id="268" w:name="_Ref83999467"/>
      <w:bookmarkStart w:id="269" w:name="_Toc99720719"/>
      <w:r w:rsidRPr="00C1603D">
        <w:rPr>
          <w:b/>
        </w:rPr>
        <w:t>TABLE 8</w:t>
      </w:r>
      <w:r w:rsidRPr="00C1603D">
        <w:rPr>
          <w:b/>
        </w:rPr>
        <w:t> </w:t>
      </w:r>
      <w:r w:rsidRPr="00C1603D">
        <w:t>Study estimates of test accuracy, stratified by age group and test</w:t>
      </w:r>
      <w:bookmarkEnd w:id="268"/>
      <w:bookmarkEnd w:id="269"/>
    </w:p>
    <w:tbl>
      <w:tblPr>
        <w:tblW w:w="0" w:type="auto"/>
        <w:tblCellMar>
          <w:top w:w="40" w:type="dxa"/>
          <w:left w:w="60" w:type="dxa"/>
          <w:bottom w:w="40" w:type="dxa"/>
          <w:right w:w="60" w:type="dxa"/>
        </w:tblCellMar>
        <w:tblLook w:val="04A0" w:firstRow="1" w:lastRow="0" w:firstColumn="1" w:lastColumn="0" w:noHBand="0" w:noVBand="1"/>
      </w:tblPr>
      <w:tblGrid>
        <w:gridCol w:w="1375"/>
        <w:gridCol w:w="837"/>
        <w:gridCol w:w="2780"/>
        <w:gridCol w:w="1078"/>
        <w:gridCol w:w="1480"/>
        <w:gridCol w:w="1476"/>
      </w:tblGrid>
      <w:tr w:rsidR="00B47427" w:rsidRPr="00C1603D" w14:paraId="32493509" w14:textId="77777777" w:rsidTr="00C953E5">
        <w:trPr>
          <w:cantSplit/>
          <w:tblHeader/>
        </w:trPr>
        <w:tc>
          <w:tcPr>
            <w:tcW w:w="0" w:type="auto"/>
            <w:shd w:val="clear" w:color="auto" w:fill="auto"/>
          </w:tcPr>
          <w:p w14:paraId="2CFEDD4C" w14:textId="77777777" w:rsidR="008B4DF8" w:rsidRPr="00C1603D" w:rsidRDefault="008B4DF8" w:rsidP="00C953E5">
            <w:pPr>
              <w:pStyle w:val="710TableheadTablesTableFigureBoxstyles"/>
            </w:pPr>
            <w:r w:rsidRPr="00C1603D">
              <w:t>Serological test</w:t>
            </w:r>
          </w:p>
        </w:tc>
        <w:tc>
          <w:tcPr>
            <w:tcW w:w="0" w:type="auto"/>
            <w:shd w:val="clear" w:color="auto" w:fill="auto"/>
          </w:tcPr>
          <w:p w14:paraId="487C88EC" w14:textId="7D1109D0" w:rsidR="008B4DF8" w:rsidRPr="00C1603D" w:rsidRDefault="008B4DF8" w:rsidP="00C953E5">
            <w:pPr>
              <w:pStyle w:val="710TableheadTablesTableFigureBoxstyles"/>
            </w:pPr>
            <w:r w:rsidRPr="00C1603D">
              <w:t>Studies</w:t>
            </w:r>
            <w:r w:rsidR="003C03A0" w:rsidRPr="00C1603D">
              <w:t xml:space="preserve"> (</w:t>
            </w:r>
            <w:r w:rsidR="003C03A0" w:rsidRPr="00C1603D">
              <w:rPr>
                <w:i/>
                <w:iCs/>
              </w:rPr>
              <w:t>n</w:t>
            </w:r>
            <w:r w:rsidR="003C03A0" w:rsidRPr="00C1603D">
              <w:t>)</w:t>
            </w:r>
          </w:p>
        </w:tc>
        <w:tc>
          <w:tcPr>
            <w:tcW w:w="0" w:type="auto"/>
            <w:shd w:val="clear" w:color="auto" w:fill="auto"/>
          </w:tcPr>
          <w:p w14:paraId="6C9D972E" w14:textId="21F17065" w:rsidR="008B4DF8" w:rsidRPr="00C1603D" w:rsidRDefault="008B4DF8" w:rsidP="00C953E5">
            <w:pPr>
              <w:pStyle w:val="710TableheadTablesTableFigureBoxstyles"/>
            </w:pPr>
            <w:commentRangeStart w:id="270"/>
            <w:commentRangeStart w:id="271"/>
            <w:r w:rsidRPr="00C1603D">
              <w:t>Participants</w:t>
            </w:r>
            <w:r w:rsidR="003C03A0" w:rsidRPr="00C1603D">
              <w:t xml:space="preserve"> (</w:t>
            </w:r>
            <w:r w:rsidR="003C03A0" w:rsidRPr="00C1603D">
              <w:rPr>
                <w:i/>
                <w:iCs/>
              </w:rPr>
              <w:t>N</w:t>
            </w:r>
            <w:r w:rsidR="003C03A0" w:rsidRPr="00C1603D">
              <w:t>)</w:t>
            </w:r>
            <w:r w:rsidRPr="00C1603D">
              <w:t xml:space="preserve"> (</w:t>
            </w:r>
            <w:r w:rsidR="003C03A0" w:rsidRPr="00C1603D">
              <w:t xml:space="preserve">with </w:t>
            </w:r>
            <w:r w:rsidRPr="00C1603D">
              <w:t>CD</w:t>
            </w:r>
            <w:r w:rsidR="003C03A0" w:rsidRPr="00C1603D">
              <w:t xml:space="preserve">, </w:t>
            </w:r>
            <w:r w:rsidR="003C03A0" w:rsidRPr="00C1603D">
              <w:rPr>
                <w:i/>
                <w:iCs/>
              </w:rPr>
              <w:t>n</w:t>
            </w:r>
            <w:r w:rsidRPr="00C1603D">
              <w:t>)</w:t>
            </w:r>
            <w:commentRangeEnd w:id="270"/>
            <w:r w:rsidR="00C953E5" w:rsidRPr="00C1603D">
              <w:commentReference w:id="270"/>
            </w:r>
            <w:commentRangeEnd w:id="271"/>
            <w:r w:rsidRPr="00C1603D">
              <w:commentReference w:id="271"/>
            </w:r>
          </w:p>
        </w:tc>
        <w:tc>
          <w:tcPr>
            <w:tcW w:w="0" w:type="auto"/>
            <w:shd w:val="clear" w:color="auto" w:fill="auto"/>
          </w:tcPr>
          <w:p w14:paraId="74BDAA8E" w14:textId="77777777" w:rsidR="008B4DF8" w:rsidRPr="00C1603D" w:rsidRDefault="008B4DF8" w:rsidP="00C953E5">
            <w:pPr>
              <w:pStyle w:val="710TableheadTablesTableFigureBoxstyles"/>
            </w:pPr>
            <w:r w:rsidRPr="00C1603D">
              <w:t>Threshold</w:t>
            </w:r>
          </w:p>
        </w:tc>
        <w:tc>
          <w:tcPr>
            <w:tcW w:w="0" w:type="auto"/>
            <w:shd w:val="clear" w:color="auto" w:fill="auto"/>
          </w:tcPr>
          <w:p w14:paraId="2B450AB0" w14:textId="60E544F0" w:rsidR="008B4DF8" w:rsidRPr="00C1603D" w:rsidRDefault="008B4DF8" w:rsidP="00C953E5">
            <w:pPr>
              <w:pStyle w:val="710TableheadTablesTableFigureBoxstyles"/>
            </w:pPr>
            <w:r w:rsidRPr="00C1603D">
              <w:t>Sensitivity (range)</w:t>
            </w:r>
            <w:r w:rsidR="00C953E5" w:rsidRPr="00C1603D">
              <w:t xml:space="preserve"> (</w:t>
            </w:r>
            <w:r w:rsidRPr="00C1603D">
              <w:t>%</w:t>
            </w:r>
            <w:r w:rsidR="00C953E5" w:rsidRPr="00C1603D">
              <w:t>)</w:t>
            </w:r>
          </w:p>
        </w:tc>
        <w:tc>
          <w:tcPr>
            <w:tcW w:w="0" w:type="auto"/>
            <w:shd w:val="clear" w:color="auto" w:fill="auto"/>
          </w:tcPr>
          <w:p w14:paraId="12B7DA95" w14:textId="153FE5E7" w:rsidR="008B4DF8" w:rsidRPr="00C1603D" w:rsidRDefault="008B4DF8" w:rsidP="00C953E5">
            <w:pPr>
              <w:pStyle w:val="710TableheadTablesTableFigureBoxstyles"/>
            </w:pPr>
            <w:r w:rsidRPr="00C1603D">
              <w:t>Specificity (range)</w:t>
            </w:r>
            <w:r w:rsidR="00C953E5" w:rsidRPr="00C1603D">
              <w:t xml:space="preserve"> (</w:t>
            </w:r>
            <w:r w:rsidRPr="00C1603D">
              <w:t>%</w:t>
            </w:r>
            <w:r w:rsidR="00C953E5" w:rsidRPr="00C1603D">
              <w:t>)</w:t>
            </w:r>
          </w:p>
        </w:tc>
      </w:tr>
      <w:tr w:rsidR="003C03A0" w:rsidRPr="00C1603D" w14:paraId="16642D47" w14:textId="77777777" w:rsidTr="00C953E5">
        <w:trPr>
          <w:cantSplit/>
          <w:tblHeader/>
        </w:trPr>
        <w:tc>
          <w:tcPr>
            <w:tcW w:w="0" w:type="auto"/>
            <w:gridSpan w:val="6"/>
            <w:shd w:val="clear" w:color="auto" w:fill="auto"/>
          </w:tcPr>
          <w:p w14:paraId="2F84D821" w14:textId="348B815E" w:rsidR="003C03A0" w:rsidRPr="00C1603D" w:rsidRDefault="003C03A0" w:rsidP="00C953E5">
            <w:pPr>
              <w:pStyle w:val="711TablesubheadATablesTableFigureBoxstyles"/>
            </w:pPr>
            <w:r w:rsidRPr="00C1603D">
              <w:t>Adults</w:t>
            </w:r>
          </w:p>
        </w:tc>
      </w:tr>
      <w:tr w:rsidR="00C953E5" w:rsidRPr="00C1603D" w14:paraId="5EDCCD8D" w14:textId="77777777" w:rsidTr="00C953E5">
        <w:trPr>
          <w:cantSplit/>
          <w:tblHeader/>
        </w:trPr>
        <w:tc>
          <w:tcPr>
            <w:tcW w:w="0" w:type="auto"/>
            <w:shd w:val="clear" w:color="auto" w:fill="auto"/>
          </w:tcPr>
          <w:p w14:paraId="4BCA7460" w14:textId="1141BF04" w:rsidR="003C03A0" w:rsidRPr="00C1603D" w:rsidRDefault="003C03A0" w:rsidP="00C953E5">
            <w:pPr>
              <w:pStyle w:val="72TabletextTablesTableFigureBoxstyles"/>
            </w:pPr>
            <w:r w:rsidRPr="00C1603D">
              <w:rPr>
                <w:rFonts w:cs="Lato"/>
              </w:rPr>
              <w:t>IgA tTG</w:t>
            </w:r>
          </w:p>
        </w:tc>
        <w:tc>
          <w:tcPr>
            <w:tcW w:w="0" w:type="auto"/>
            <w:shd w:val="clear" w:color="auto" w:fill="auto"/>
          </w:tcPr>
          <w:p w14:paraId="30DF6F07" w14:textId="2249C9EE" w:rsidR="003C03A0" w:rsidRPr="00C1603D" w:rsidRDefault="003C03A0" w:rsidP="00C953E5">
            <w:pPr>
              <w:pStyle w:val="72TabletextTablesTableFigureBoxstyles"/>
              <w:rPr>
                <w:rFonts w:cs="Calibri"/>
              </w:rPr>
            </w:pPr>
            <w:r w:rsidRPr="00C1603D">
              <w:rPr>
                <w:rFonts w:cs="Calibri"/>
              </w:rPr>
              <w:t>27</w:t>
            </w:r>
          </w:p>
        </w:tc>
        <w:tc>
          <w:tcPr>
            <w:tcW w:w="0" w:type="auto"/>
            <w:shd w:val="clear" w:color="auto" w:fill="auto"/>
          </w:tcPr>
          <w:p w14:paraId="06B32574" w14:textId="36FC12CA" w:rsidR="003C03A0" w:rsidRPr="00C1603D" w:rsidRDefault="003C03A0" w:rsidP="00C953E5">
            <w:pPr>
              <w:pStyle w:val="72TabletextTablesTableFigureBoxstyles"/>
              <w:rPr>
                <w:rFonts w:cs="Calibri"/>
              </w:rPr>
            </w:pPr>
            <w:r w:rsidRPr="00C1603D">
              <w:rPr>
                <w:rFonts w:cs="Calibri"/>
              </w:rPr>
              <w:t>11</w:t>
            </w:r>
            <w:r w:rsidR="00C953E5" w:rsidRPr="00C1603D">
              <w:rPr>
                <w:rFonts w:cs="Calibri"/>
              </w:rPr>
              <w:t>,</w:t>
            </w:r>
            <w:r w:rsidRPr="00C1603D">
              <w:rPr>
                <w:rFonts w:cs="Calibri"/>
              </w:rPr>
              <w:t>355 (2566)</w:t>
            </w:r>
          </w:p>
        </w:tc>
        <w:tc>
          <w:tcPr>
            <w:tcW w:w="0" w:type="auto"/>
            <w:shd w:val="clear" w:color="auto" w:fill="auto"/>
          </w:tcPr>
          <w:p w14:paraId="21B098AD" w14:textId="58A0A6B4" w:rsidR="003C03A0" w:rsidRPr="00C1603D" w:rsidRDefault="003C03A0" w:rsidP="00C953E5">
            <w:pPr>
              <w:pStyle w:val="72TabletextTablesTableFigureBoxstyles"/>
              <w:rPr>
                <w:rFonts w:cs="Calibri"/>
                <w:lang w:val="nl-NL"/>
              </w:rPr>
            </w:pPr>
            <w:r w:rsidRPr="00C1603D">
              <w:rPr>
                <w:rFonts w:cs="Calibri"/>
                <w:lang w:val="nl-NL"/>
              </w:rPr>
              <w:t>5–25 U/ml</w:t>
            </w:r>
          </w:p>
        </w:tc>
        <w:tc>
          <w:tcPr>
            <w:tcW w:w="0" w:type="auto"/>
            <w:shd w:val="clear" w:color="auto" w:fill="auto"/>
          </w:tcPr>
          <w:p w14:paraId="0EDDEDE8" w14:textId="378B4E7E" w:rsidR="003C03A0" w:rsidRPr="00C1603D" w:rsidRDefault="003C03A0" w:rsidP="00C953E5">
            <w:pPr>
              <w:pStyle w:val="72TabletextTablesTableFigureBoxstyles"/>
              <w:rPr>
                <w:rFonts w:cs="Calibri"/>
              </w:rPr>
            </w:pPr>
            <w:r w:rsidRPr="00C1603D">
              <w:rPr>
                <w:rFonts w:cs="Calibri"/>
              </w:rPr>
              <w:t>35</w:t>
            </w:r>
            <w:r w:rsidR="00C953E5" w:rsidRPr="00C1603D">
              <w:rPr>
                <w:rFonts w:cs="Calibri"/>
              </w:rPr>
              <w:t>–</w:t>
            </w:r>
            <w:r w:rsidRPr="00C1603D">
              <w:rPr>
                <w:rFonts w:cs="Calibri"/>
              </w:rPr>
              <w:t>100</w:t>
            </w:r>
          </w:p>
        </w:tc>
        <w:tc>
          <w:tcPr>
            <w:tcW w:w="0" w:type="auto"/>
            <w:shd w:val="clear" w:color="auto" w:fill="auto"/>
          </w:tcPr>
          <w:p w14:paraId="72FC9493" w14:textId="52F05F5F" w:rsidR="003C03A0" w:rsidRPr="00C1603D" w:rsidRDefault="003C03A0" w:rsidP="00C953E5">
            <w:pPr>
              <w:pStyle w:val="72TabletextTablesTableFigureBoxstyles"/>
              <w:rPr>
                <w:rFonts w:cs="Calibri"/>
              </w:rPr>
            </w:pPr>
            <w:r w:rsidRPr="00C1603D">
              <w:rPr>
                <w:rFonts w:cs="Calibri"/>
              </w:rPr>
              <w:t>0</w:t>
            </w:r>
            <w:r w:rsidR="00C953E5" w:rsidRPr="00C1603D">
              <w:rPr>
                <w:rFonts w:cs="Calibri"/>
              </w:rPr>
              <w:t>–</w:t>
            </w:r>
            <w:r w:rsidRPr="00C1603D">
              <w:rPr>
                <w:rFonts w:cs="Calibri"/>
              </w:rPr>
              <w:t>100</w:t>
            </w:r>
          </w:p>
        </w:tc>
      </w:tr>
      <w:tr w:rsidR="00C953E5" w:rsidRPr="00C1603D" w14:paraId="06D14EB8" w14:textId="77777777" w:rsidTr="00C953E5">
        <w:trPr>
          <w:cantSplit/>
          <w:tblHeader/>
        </w:trPr>
        <w:tc>
          <w:tcPr>
            <w:tcW w:w="0" w:type="auto"/>
            <w:shd w:val="clear" w:color="auto" w:fill="auto"/>
          </w:tcPr>
          <w:p w14:paraId="035A568F" w14:textId="5D274CE0" w:rsidR="003C03A0" w:rsidRPr="00C1603D" w:rsidRDefault="003C03A0" w:rsidP="00C953E5">
            <w:pPr>
              <w:pStyle w:val="72TabletextTablesTableFigureBoxstyles"/>
            </w:pPr>
            <w:r w:rsidRPr="00C1603D">
              <w:rPr>
                <w:rFonts w:cs="Lato"/>
              </w:rPr>
              <w:t>IgG tTG</w:t>
            </w:r>
          </w:p>
        </w:tc>
        <w:tc>
          <w:tcPr>
            <w:tcW w:w="0" w:type="auto"/>
            <w:shd w:val="clear" w:color="auto" w:fill="auto"/>
          </w:tcPr>
          <w:p w14:paraId="3BB753D0" w14:textId="47BD0C16" w:rsidR="003C03A0" w:rsidRPr="00C1603D" w:rsidRDefault="003C03A0" w:rsidP="00C953E5">
            <w:pPr>
              <w:pStyle w:val="72TabletextTablesTableFigureBoxstyles"/>
              <w:rPr>
                <w:rFonts w:cs="Calibri"/>
              </w:rPr>
            </w:pPr>
            <w:r w:rsidRPr="00C1603D">
              <w:rPr>
                <w:rFonts w:cs="Calibri"/>
              </w:rPr>
              <w:t>1</w:t>
            </w:r>
          </w:p>
        </w:tc>
        <w:tc>
          <w:tcPr>
            <w:tcW w:w="0" w:type="auto"/>
            <w:shd w:val="clear" w:color="auto" w:fill="auto"/>
          </w:tcPr>
          <w:p w14:paraId="03171E52" w14:textId="3A85723F" w:rsidR="003C03A0" w:rsidRPr="00C1603D" w:rsidRDefault="003C03A0" w:rsidP="00C953E5">
            <w:pPr>
              <w:pStyle w:val="72TabletextTablesTableFigureBoxstyles"/>
              <w:rPr>
                <w:rFonts w:cs="Calibri"/>
              </w:rPr>
            </w:pPr>
            <w:r w:rsidRPr="00C1603D">
              <w:rPr>
                <w:rFonts w:cs="Calibri"/>
              </w:rPr>
              <w:t>65 (14)</w:t>
            </w:r>
          </w:p>
        </w:tc>
        <w:tc>
          <w:tcPr>
            <w:tcW w:w="0" w:type="auto"/>
            <w:shd w:val="clear" w:color="auto" w:fill="auto"/>
          </w:tcPr>
          <w:p w14:paraId="28F2D568" w14:textId="1A50281A" w:rsidR="003C03A0" w:rsidRPr="00C1603D" w:rsidRDefault="003C03A0" w:rsidP="00C953E5">
            <w:pPr>
              <w:pStyle w:val="72TabletextTablesTableFigureBoxstyles"/>
              <w:rPr>
                <w:rFonts w:cs="Calibri"/>
                <w:lang w:val="nl-NL"/>
              </w:rPr>
            </w:pPr>
            <w:r w:rsidRPr="00C1603D">
              <w:rPr>
                <w:rFonts w:cs="Calibri"/>
                <w:lang w:val="nl-NL"/>
              </w:rPr>
              <w:t>10 U/ml</w:t>
            </w:r>
          </w:p>
        </w:tc>
        <w:tc>
          <w:tcPr>
            <w:tcW w:w="0" w:type="auto"/>
            <w:shd w:val="clear" w:color="auto" w:fill="auto"/>
          </w:tcPr>
          <w:p w14:paraId="06F1B14E" w14:textId="4736B4DB" w:rsidR="003C03A0" w:rsidRPr="00C1603D" w:rsidRDefault="003C03A0" w:rsidP="00C953E5">
            <w:pPr>
              <w:pStyle w:val="72TabletextTablesTableFigureBoxstyles"/>
              <w:rPr>
                <w:rFonts w:cs="Calibri"/>
              </w:rPr>
            </w:pPr>
            <w:r w:rsidRPr="00C1603D">
              <w:rPr>
                <w:rFonts w:cs="Calibri"/>
              </w:rPr>
              <w:t>71</w:t>
            </w:r>
          </w:p>
        </w:tc>
        <w:tc>
          <w:tcPr>
            <w:tcW w:w="0" w:type="auto"/>
            <w:shd w:val="clear" w:color="auto" w:fill="auto"/>
          </w:tcPr>
          <w:p w14:paraId="012BC280" w14:textId="18C50296" w:rsidR="003C03A0" w:rsidRPr="00C1603D" w:rsidRDefault="003C03A0" w:rsidP="00C953E5">
            <w:pPr>
              <w:pStyle w:val="72TabletextTablesTableFigureBoxstyles"/>
              <w:rPr>
                <w:rFonts w:cs="Calibri"/>
              </w:rPr>
            </w:pPr>
            <w:r w:rsidRPr="00C1603D">
              <w:rPr>
                <w:rFonts w:cs="Calibri"/>
              </w:rPr>
              <w:t>96</w:t>
            </w:r>
          </w:p>
        </w:tc>
      </w:tr>
      <w:tr w:rsidR="00C953E5" w:rsidRPr="00C1603D" w14:paraId="103D724E" w14:textId="77777777" w:rsidTr="00C953E5">
        <w:trPr>
          <w:cantSplit/>
          <w:tblHeader/>
        </w:trPr>
        <w:tc>
          <w:tcPr>
            <w:tcW w:w="0" w:type="auto"/>
            <w:shd w:val="clear" w:color="auto" w:fill="auto"/>
          </w:tcPr>
          <w:p w14:paraId="57D638B7" w14:textId="590103D7" w:rsidR="003C03A0" w:rsidRPr="00C1603D" w:rsidRDefault="003C03A0" w:rsidP="00C953E5">
            <w:pPr>
              <w:pStyle w:val="72TabletextTablesTableFigureBoxstyles"/>
            </w:pPr>
            <w:r w:rsidRPr="00C1603D">
              <w:rPr>
                <w:rFonts w:cs="Lato"/>
              </w:rPr>
              <w:t>IgA EMA</w:t>
            </w:r>
          </w:p>
        </w:tc>
        <w:tc>
          <w:tcPr>
            <w:tcW w:w="0" w:type="auto"/>
            <w:shd w:val="clear" w:color="auto" w:fill="auto"/>
          </w:tcPr>
          <w:p w14:paraId="504ABA0B" w14:textId="16FD36A9" w:rsidR="003C03A0" w:rsidRPr="00C1603D" w:rsidRDefault="003C03A0" w:rsidP="00C953E5">
            <w:pPr>
              <w:pStyle w:val="72TabletextTablesTableFigureBoxstyles"/>
              <w:rPr>
                <w:rFonts w:cs="Calibri"/>
              </w:rPr>
            </w:pPr>
            <w:r w:rsidRPr="00C1603D">
              <w:rPr>
                <w:rFonts w:cs="Calibri"/>
              </w:rPr>
              <w:t>19</w:t>
            </w:r>
          </w:p>
        </w:tc>
        <w:tc>
          <w:tcPr>
            <w:tcW w:w="0" w:type="auto"/>
            <w:shd w:val="clear" w:color="auto" w:fill="auto"/>
          </w:tcPr>
          <w:p w14:paraId="5DD0119C" w14:textId="0B26A5EC" w:rsidR="003C03A0" w:rsidRPr="00C1603D" w:rsidRDefault="003C03A0" w:rsidP="00C953E5">
            <w:pPr>
              <w:pStyle w:val="72TabletextTablesTableFigureBoxstyles"/>
              <w:rPr>
                <w:rFonts w:cs="Calibri"/>
              </w:rPr>
            </w:pPr>
            <w:r w:rsidRPr="00C1603D">
              <w:rPr>
                <w:rFonts w:cs="Calibri"/>
              </w:rPr>
              <w:t>7122 (1028)</w:t>
            </w:r>
          </w:p>
        </w:tc>
        <w:tc>
          <w:tcPr>
            <w:tcW w:w="0" w:type="auto"/>
            <w:shd w:val="clear" w:color="auto" w:fill="auto"/>
          </w:tcPr>
          <w:p w14:paraId="124070CE" w14:textId="2E60A564" w:rsidR="003C03A0" w:rsidRPr="00C1603D" w:rsidRDefault="003C03A0" w:rsidP="00C953E5">
            <w:pPr>
              <w:pStyle w:val="72TabletextTablesTableFigureBoxstyles"/>
              <w:rPr>
                <w:rFonts w:cs="Calibri"/>
                <w:lang w:val="nl-NL"/>
              </w:rPr>
            </w:pPr>
            <w:r w:rsidRPr="00C1603D">
              <w:rPr>
                <w:rFonts w:cs="Calibri"/>
                <w:lang w:val="nl-NL"/>
              </w:rPr>
              <w:t>1 : 5–1 : 20</w:t>
            </w:r>
          </w:p>
        </w:tc>
        <w:tc>
          <w:tcPr>
            <w:tcW w:w="0" w:type="auto"/>
            <w:shd w:val="clear" w:color="auto" w:fill="auto"/>
          </w:tcPr>
          <w:p w14:paraId="4D344E3A" w14:textId="6D807578" w:rsidR="003C03A0" w:rsidRPr="00C1603D" w:rsidRDefault="003C03A0" w:rsidP="00C953E5">
            <w:pPr>
              <w:pStyle w:val="72TabletextTablesTableFigureBoxstyles"/>
              <w:rPr>
                <w:rFonts w:cs="Calibri"/>
              </w:rPr>
            </w:pPr>
            <w:r w:rsidRPr="00C1603D">
              <w:rPr>
                <w:rFonts w:cs="Calibri"/>
              </w:rPr>
              <w:t>61</w:t>
            </w:r>
            <w:r w:rsidR="00C953E5" w:rsidRPr="00C1603D">
              <w:rPr>
                <w:rFonts w:cs="Calibri"/>
              </w:rPr>
              <w:t>–</w:t>
            </w:r>
            <w:r w:rsidRPr="00C1603D">
              <w:rPr>
                <w:rFonts w:cs="Calibri"/>
              </w:rPr>
              <w:t>100</w:t>
            </w:r>
          </w:p>
        </w:tc>
        <w:tc>
          <w:tcPr>
            <w:tcW w:w="0" w:type="auto"/>
            <w:shd w:val="clear" w:color="auto" w:fill="auto"/>
          </w:tcPr>
          <w:p w14:paraId="6AA9D42B" w14:textId="2A13AE0C" w:rsidR="003C03A0" w:rsidRPr="00C1603D" w:rsidRDefault="003C03A0" w:rsidP="00C953E5">
            <w:pPr>
              <w:pStyle w:val="72TabletextTablesTableFigureBoxstyles"/>
              <w:rPr>
                <w:rFonts w:cs="Calibri"/>
              </w:rPr>
            </w:pPr>
            <w:r w:rsidRPr="00C1603D">
              <w:rPr>
                <w:rFonts w:cs="Calibri"/>
              </w:rPr>
              <w:t>88</w:t>
            </w:r>
            <w:r w:rsidR="00C953E5" w:rsidRPr="00C1603D">
              <w:rPr>
                <w:rFonts w:cs="Calibri"/>
              </w:rPr>
              <w:t>–</w:t>
            </w:r>
            <w:r w:rsidRPr="00C1603D">
              <w:rPr>
                <w:rFonts w:cs="Calibri"/>
              </w:rPr>
              <w:t>100</w:t>
            </w:r>
          </w:p>
        </w:tc>
      </w:tr>
      <w:tr w:rsidR="00C953E5" w:rsidRPr="00C1603D" w14:paraId="5ED28CB7" w14:textId="77777777" w:rsidTr="00C953E5">
        <w:trPr>
          <w:cantSplit/>
          <w:tblHeader/>
        </w:trPr>
        <w:tc>
          <w:tcPr>
            <w:tcW w:w="0" w:type="auto"/>
            <w:shd w:val="clear" w:color="auto" w:fill="auto"/>
          </w:tcPr>
          <w:p w14:paraId="12F63555" w14:textId="176268ED" w:rsidR="003C03A0" w:rsidRPr="00C1603D" w:rsidRDefault="003C03A0" w:rsidP="00C953E5">
            <w:pPr>
              <w:pStyle w:val="72TabletextTablesTableFigureBoxstyles"/>
            </w:pPr>
            <w:r w:rsidRPr="00C1603D">
              <w:rPr>
                <w:rFonts w:cs="Lato"/>
                <w:lang w:val="it-IT"/>
              </w:rPr>
              <w:t>IgG EMA</w:t>
            </w:r>
          </w:p>
        </w:tc>
        <w:tc>
          <w:tcPr>
            <w:tcW w:w="0" w:type="auto"/>
            <w:shd w:val="clear" w:color="auto" w:fill="auto"/>
          </w:tcPr>
          <w:p w14:paraId="0A68B5B4" w14:textId="35600425" w:rsidR="003C03A0" w:rsidRPr="00C1603D" w:rsidRDefault="003C03A0" w:rsidP="00C953E5">
            <w:pPr>
              <w:pStyle w:val="72TabletextTablesTableFigureBoxstyles"/>
              <w:rPr>
                <w:rFonts w:cs="Calibri"/>
              </w:rPr>
            </w:pPr>
            <w:r w:rsidRPr="00C1603D">
              <w:rPr>
                <w:rFonts w:cs="Calibri"/>
              </w:rPr>
              <w:t>1</w:t>
            </w:r>
          </w:p>
        </w:tc>
        <w:tc>
          <w:tcPr>
            <w:tcW w:w="0" w:type="auto"/>
            <w:shd w:val="clear" w:color="auto" w:fill="auto"/>
          </w:tcPr>
          <w:p w14:paraId="6E0F7A3A" w14:textId="3F8BD430" w:rsidR="003C03A0" w:rsidRPr="00C1603D" w:rsidRDefault="003C03A0" w:rsidP="00C953E5">
            <w:pPr>
              <w:pStyle w:val="72TabletextTablesTableFigureBoxstyles"/>
              <w:rPr>
                <w:rFonts w:cs="Calibri"/>
              </w:rPr>
            </w:pPr>
            <w:r w:rsidRPr="00C1603D">
              <w:rPr>
                <w:rFonts w:cs="Calibri"/>
              </w:rPr>
              <w:t>96 (28)</w:t>
            </w:r>
          </w:p>
        </w:tc>
        <w:tc>
          <w:tcPr>
            <w:tcW w:w="0" w:type="auto"/>
            <w:shd w:val="clear" w:color="auto" w:fill="auto"/>
          </w:tcPr>
          <w:p w14:paraId="62D0F9FB" w14:textId="06C393B1" w:rsidR="003C03A0" w:rsidRPr="00C1603D" w:rsidRDefault="003C03A0" w:rsidP="00C953E5">
            <w:pPr>
              <w:pStyle w:val="72TabletextTablesTableFigureBoxstyles"/>
              <w:rPr>
                <w:rFonts w:cs="Calibri"/>
                <w:lang w:val="nl-NL"/>
              </w:rPr>
            </w:pPr>
            <w:r w:rsidRPr="00C1603D">
              <w:rPr>
                <w:rFonts w:cs="Calibri"/>
                <w:lang w:val="nl-NL"/>
              </w:rPr>
              <w:t>1</w:t>
            </w:r>
            <w:r w:rsidR="00C953E5" w:rsidRPr="00C1603D">
              <w:rPr>
                <w:rFonts w:cs="Calibri"/>
                <w:lang w:val="nl-NL"/>
              </w:rPr>
              <w:t> </w:t>
            </w:r>
            <w:r w:rsidRPr="00C1603D">
              <w:rPr>
                <w:rFonts w:cs="Calibri"/>
                <w:lang w:val="nl-NL"/>
              </w:rPr>
              <w:t>:</w:t>
            </w:r>
            <w:r w:rsidR="00C953E5" w:rsidRPr="00C1603D">
              <w:rPr>
                <w:rFonts w:cs="Calibri"/>
                <w:lang w:val="nl-NL"/>
              </w:rPr>
              <w:t> </w:t>
            </w:r>
            <w:r w:rsidRPr="00C1603D">
              <w:rPr>
                <w:rFonts w:cs="Calibri"/>
                <w:lang w:val="nl-NL"/>
              </w:rPr>
              <w:t>20</w:t>
            </w:r>
          </w:p>
        </w:tc>
        <w:tc>
          <w:tcPr>
            <w:tcW w:w="0" w:type="auto"/>
            <w:shd w:val="clear" w:color="auto" w:fill="auto"/>
          </w:tcPr>
          <w:p w14:paraId="0612F637" w14:textId="34102DD7" w:rsidR="003C03A0" w:rsidRPr="00C1603D" w:rsidRDefault="003C03A0" w:rsidP="00C953E5">
            <w:pPr>
              <w:pStyle w:val="72TabletextTablesTableFigureBoxstyles"/>
              <w:rPr>
                <w:rFonts w:cs="Calibri"/>
              </w:rPr>
            </w:pPr>
            <w:r w:rsidRPr="00C1603D">
              <w:rPr>
                <w:rFonts w:cs="Calibri"/>
              </w:rPr>
              <w:t>39</w:t>
            </w:r>
          </w:p>
        </w:tc>
        <w:tc>
          <w:tcPr>
            <w:tcW w:w="0" w:type="auto"/>
            <w:shd w:val="clear" w:color="auto" w:fill="auto"/>
          </w:tcPr>
          <w:p w14:paraId="207C6244" w14:textId="6BBB6C4A" w:rsidR="003C03A0" w:rsidRPr="00C1603D" w:rsidRDefault="003C03A0" w:rsidP="00C953E5">
            <w:pPr>
              <w:pStyle w:val="72TabletextTablesTableFigureBoxstyles"/>
              <w:rPr>
                <w:rFonts w:cs="Calibri"/>
              </w:rPr>
            </w:pPr>
            <w:r w:rsidRPr="00C1603D">
              <w:rPr>
                <w:rFonts w:cs="Calibri"/>
              </w:rPr>
              <w:t>99</w:t>
            </w:r>
          </w:p>
        </w:tc>
      </w:tr>
      <w:tr w:rsidR="00C953E5" w:rsidRPr="00C1603D" w14:paraId="5D9E137A" w14:textId="77777777" w:rsidTr="00C953E5">
        <w:trPr>
          <w:cantSplit/>
          <w:tblHeader/>
        </w:trPr>
        <w:tc>
          <w:tcPr>
            <w:tcW w:w="0" w:type="auto"/>
            <w:shd w:val="clear" w:color="auto" w:fill="auto"/>
          </w:tcPr>
          <w:p w14:paraId="6D05C442" w14:textId="10365543" w:rsidR="003C03A0" w:rsidRPr="00C1603D" w:rsidRDefault="003C03A0" w:rsidP="00C953E5">
            <w:pPr>
              <w:pStyle w:val="72TabletextTablesTableFigureBoxstyles"/>
            </w:pPr>
            <w:r w:rsidRPr="00C1603D">
              <w:rPr>
                <w:rFonts w:cs="Lato"/>
                <w:lang w:val="it-IT"/>
              </w:rPr>
              <w:t>IgA DGP</w:t>
            </w:r>
          </w:p>
        </w:tc>
        <w:tc>
          <w:tcPr>
            <w:tcW w:w="0" w:type="auto"/>
            <w:shd w:val="clear" w:color="auto" w:fill="auto"/>
          </w:tcPr>
          <w:p w14:paraId="11471449" w14:textId="0F71A0EB" w:rsidR="003C03A0" w:rsidRPr="00C1603D" w:rsidRDefault="003C03A0" w:rsidP="00C953E5">
            <w:pPr>
              <w:pStyle w:val="72TabletextTablesTableFigureBoxstyles"/>
              <w:rPr>
                <w:rFonts w:cs="Calibri"/>
              </w:rPr>
            </w:pPr>
            <w:r w:rsidRPr="00C1603D">
              <w:rPr>
                <w:rFonts w:cs="Calibri"/>
              </w:rPr>
              <w:t>3</w:t>
            </w:r>
          </w:p>
        </w:tc>
        <w:tc>
          <w:tcPr>
            <w:tcW w:w="0" w:type="auto"/>
            <w:shd w:val="clear" w:color="auto" w:fill="auto"/>
          </w:tcPr>
          <w:p w14:paraId="6EE1F52E" w14:textId="153705FB" w:rsidR="003C03A0" w:rsidRPr="00C1603D" w:rsidRDefault="003C03A0" w:rsidP="00C953E5">
            <w:pPr>
              <w:pStyle w:val="72TabletextTablesTableFigureBoxstyles"/>
              <w:rPr>
                <w:rFonts w:cs="Calibri"/>
              </w:rPr>
            </w:pPr>
            <w:r w:rsidRPr="00C1603D">
              <w:rPr>
                <w:rFonts w:cs="Calibri"/>
              </w:rPr>
              <w:t>885 (154)</w:t>
            </w:r>
          </w:p>
        </w:tc>
        <w:tc>
          <w:tcPr>
            <w:tcW w:w="0" w:type="auto"/>
            <w:shd w:val="clear" w:color="auto" w:fill="auto"/>
          </w:tcPr>
          <w:p w14:paraId="6D87DC8B" w14:textId="3448EA7D" w:rsidR="003C03A0" w:rsidRPr="00C1603D" w:rsidRDefault="003C03A0" w:rsidP="00C953E5">
            <w:pPr>
              <w:pStyle w:val="72TabletextTablesTableFigureBoxstyles"/>
              <w:rPr>
                <w:rFonts w:cs="Calibri"/>
                <w:lang w:val="nl-NL"/>
              </w:rPr>
            </w:pPr>
            <w:r w:rsidRPr="00C1603D">
              <w:rPr>
                <w:rFonts w:cs="Calibri"/>
                <w:lang w:val="nl-NL"/>
              </w:rPr>
              <w:t>10–20</w:t>
            </w:r>
            <w:r w:rsidR="00C953E5" w:rsidRPr="00C1603D">
              <w:rPr>
                <w:rFonts w:cs="Calibri"/>
                <w:lang w:val="nl-NL"/>
              </w:rPr>
              <w:t> </w:t>
            </w:r>
            <w:r w:rsidRPr="00C1603D">
              <w:rPr>
                <w:rFonts w:cs="Calibri"/>
                <w:lang w:val="nl-NL"/>
              </w:rPr>
              <w:t>U/ml</w:t>
            </w:r>
          </w:p>
        </w:tc>
        <w:tc>
          <w:tcPr>
            <w:tcW w:w="0" w:type="auto"/>
            <w:shd w:val="clear" w:color="auto" w:fill="auto"/>
          </w:tcPr>
          <w:p w14:paraId="1024C400" w14:textId="7D0BB82E" w:rsidR="003C03A0" w:rsidRPr="00C1603D" w:rsidRDefault="003C03A0" w:rsidP="00C953E5">
            <w:pPr>
              <w:pStyle w:val="72TabletextTablesTableFigureBoxstyles"/>
              <w:rPr>
                <w:rFonts w:cs="Calibri"/>
              </w:rPr>
            </w:pPr>
            <w:r w:rsidRPr="00C1603D">
              <w:rPr>
                <w:rFonts w:cs="Calibri"/>
              </w:rPr>
              <w:t>86</w:t>
            </w:r>
            <w:r w:rsidR="00C953E5" w:rsidRPr="00C1603D">
              <w:rPr>
                <w:rFonts w:cs="Calibri"/>
              </w:rPr>
              <w:t>–</w:t>
            </w:r>
            <w:r w:rsidRPr="00C1603D">
              <w:rPr>
                <w:rFonts w:cs="Calibri"/>
              </w:rPr>
              <w:t>98</w:t>
            </w:r>
          </w:p>
        </w:tc>
        <w:tc>
          <w:tcPr>
            <w:tcW w:w="0" w:type="auto"/>
            <w:shd w:val="clear" w:color="auto" w:fill="auto"/>
          </w:tcPr>
          <w:p w14:paraId="6D7FDF15" w14:textId="03BD1E34" w:rsidR="003C03A0" w:rsidRPr="00C1603D" w:rsidRDefault="003C03A0" w:rsidP="00C953E5">
            <w:pPr>
              <w:pStyle w:val="72TabletextTablesTableFigureBoxstyles"/>
              <w:rPr>
                <w:rFonts w:cs="Calibri"/>
              </w:rPr>
            </w:pPr>
            <w:r w:rsidRPr="00C1603D">
              <w:rPr>
                <w:rFonts w:cs="Calibri"/>
              </w:rPr>
              <w:t>92</w:t>
            </w:r>
            <w:r w:rsidR="00C953E5" w:rsidRPr="00C1603D">
              <w:rPr>
                <w:rFonts w:cs="Calibri"/>
              </w:rPr>
              <w:t>–</w:t>
            </w:r>
            <w:r w:rsidRPr="00C1603D">
              <w:rPr>
                <w:rFonts w:cs="Calibri"/>
              </w:rPr>
              <w:t>96</w:t>
            </w:r>
          </w:p>
        </w:tc>
      </w:tr>
      <w:tr w:rsidR="00C953E5" w:rsidRPr="00C1603D" w14:paraId="6F79A948" w14:textId="77777777" w:rsidTr="00C953E5">
        <w:trPr>
          <w:cantSplit/>
          <w:tblHeader/>
        </w:trPr>
        <w:tc>
          <w:tcPr>
            <w:tcW w:w="0" w:type="auto"/>
            <w:shd w:val="clear" w:color="auto" w:fill="auto"/>
          </w:tcPr>
          <w:p w14:paraId="47058F61" w14:textId="086AC9F4" w:rsidR="003C03A0" w:rsidRPr="00C1603D" w:rsidRDefault="003C03A0" w:rsidP="00C953E5">
            <w:pPr>
              <w:pStyle w:val="72TabletextTablesTableFigureBoxstyles"/>
            </w:pPr>
            <w:r w:rsidRPr="00C1603D">
              <w:rPr>
                <w:rFonts w:cs="Lato"/>
                <w:lang w:val="it-IT"/>
              </w:rPr>
              <w:t>IgG DGP</w:t>
            </w:r>
          </w:p>
        </w:tc>
        <w:tc>
          <w:tcPr>
            <w:tcW w:w="0" w:type="auto"/>
            <w:shd w:val="clear" w:color="auto" w:fill="auto"/>
          </w:tcPr>
          <w:p w14:paraId="3B5A6716" w14:textId="03D23EDB" w:rsidR="003C03A0" w:rsidRPr="00C1603D" w:rsidRDefault="003C03A0" w:rsidP="00C953E5">
            <w:pPr>
              <w:pStyle w:val="72TabletextTablesTableFigureBoxstyles"/>
              <w:rPr>
                <w:rFonts w:cs="Calibri"/>
              </w:rPr>
            </w:pPr>
            <w:r w:rsidRPr="00C1603D">
              <w:rPr>
                <w:rFonts w:cs="Calibri"/>
              </w:rPr>
              <w:t>4</w:t>
            </w:r>
          </w:p>
        </w:tc>
        <w:tc>
          <w:tcPr>
            <w:tcW w:w="0" w:type="auto"/>
            <w:shd w:val="clear" w:color="auto" w:fill="auto"/>
          </w:tcPr>
          <w:p w14:paraId="16319195" w14:textId="33C2074A" w:rsidR="003C03A0" w:rsidRPr="00C1603D" w:rsidRDefault="003C03A0" w:rsidP="00C953E5">
            <w:pPr>
              <w:pStyle w:val="72TabletextTablesTableFigureBoxstyles"/>
              <w:rPr>
                <w:rFonts w:cs="Calibri"/>
              </w:rPr>
            </w:pPr>
            <w:r w:rsidRPr="00C1603D">
              <w:rPr>
                <w:rFonts w:cs="Calibri"/>
              </w:rPr>
              <w:t>1046 (217)</w:t>
            </w:r>
          </w:p>
        </w:tc>
        <w:tc>
          <w:tcPr>
            <w:tcW w:w="0" w:type="auto"/>
            <w:shd w:val="clear" w:color="auto" w:fill="auto"/>
          </w:tcPr>
          <w:p w14:paraId="06AACBC3" w14:textId="72B8125C" w:rsidR="003C03A0" w:rsidRPr="00C1603D" w:rsidRDefault="003C03A0" w:rsidP="00C953E5">
            <w:pPr>
              <w:pStyle w:val="72TabletextTablesTableFigureBoxstyles"/>
              <w:rPr>
                <w:rFonts w:cs="Calibri"/>
                <w:lang w:val="nl-NL"/>
              </w:rPr>
            </w:pPr>
            <w:r w:rsidRPr="00C1603D">
              <w:rPr>
                <w:rFonts w:cs="Calibri"/>
                <w:lang w:val="nl-NL"/>
              </w:rPr>
              <w:t>10–20</w:t>
            </w:r>
            <w:r w:rsidR="00C953E5" w:rsidRPr="00C1603D">
              <w:rPr>
                <w:rFonts w:cs="Calibri"/>
                <w:lang w:val="nl-NL"/>
              </w:rPr>
              <w:t> </w:t>
            </w:r>
            <w:r w:rsidRPr="00C1603D">
              <w:rPr>
                <w:rFonts w:cs="Calibri"/>
                <w:lang w:val="nl-NL"/>
              </w:rPr>
              <w:t>U/ml</w:t>
            </w:r>
          </w:p>
        </w:tc>
        <w:tc>
          <w:tcPr>
            <w:tcW w:w="0" w:type="auto"/>
            <w:shd w:val="clear" w:color="auto" w:fill="auto"/>
          </w:tcPr>
          <w:p w14:paraId="6157A804" w14:textId="6F4D4003" w:rsidR="003C03A0" w:rsidRPr="00C1603D" w:rsidRDefault="003C03A0" w:rsidP="00C953E5">
            <w:pPr>
              <w:pStyle w:val="72TabletextTablesTableFigureBoxstyles"/>
              <w:rPr>
                <w:rFonts w:cs="Calibri"/>
              </w:rPr>
            </w:pPr>
            <w:r w:rsidRPr="00C1603D">
              <w:rPr>
                <w:rFonts w:cs="Calibri"/>
              </w:rPr>
              <w:t>90</w:t>
            </w:r>
            <w:r w:rsidR="00C953E5" w:rsidRPr="00C1603D">
              <w:rPr>
                <w:rFonts w:cs="Calibri"/>
              </w:rPr>
              <w:t>–</w:t>
            </w:r>
            <w:r w:rsidRPr="00C1603D">
              <w:rPr>
                <w:rFonts w:cs="Calibri"/>
              </w:rPr>
              <w:t>97</w:t>
            </w:r>
          </w:p>
        </w:tc>
        <w:tc>
          <w:tcPr>
            <w:tcW w:w="0" w:type="auto"/>
            <w:shd w:val="clear" w:color="auto" w:fill="auto"/>
          </w:tcPr>
          <w:p w14:paraId="7AD599C9" w14:textId="1955FD09" w:rsidR="003C03A0" w:rsidRPr="00C1603D" w:rsidRDefault="003C03A0" w:rsidP="00C953E5">
            <w:pPr>
              <w:pStyle w:val="72TabletextTablesTableFigureBoxstyles"/>
              <w:rPr>
                <w:rFonts w:cs="Calibri"/>
              </w:rPr>
            </w:pPr>
            <w:r w:rsidRPr="00C1603D">
              <w:rPr>
                <w:rFonts w:cs="Calibri"/>
              </w:rPr>
              <w:t>99</w:t>
            </w:r>
            <w:r w:rsidR="00C953E5" w:rsidRPr="00C1603D">
              <w:rPr>
                <w:rFonts w:cs="Calibri"/>
              </w:rPr>
              <w:t>–</w:t>
            </w:r>
            <w:r w:rsidRPr="00C1603D">
              <w:rPr>
                <w:rFonts w:cs="Calibri"/>
              </w:rPr>
              <w:t>100.0</w:t>
            </w:r>
          </w:p>
        </w:tc>
      </w:tr>
      <w:tr w:rsidR="00C953E5" w:rsidRPr="00C1603D" w14:paraId="4B66C7E8" w14:textId="77777777" w:rsidTr="00C953E5">
        <w:trPr>
          <w:cantSplit/>
          <w:tblHeader/>
        </w:trPr>
        <w:tc>
          <w:tcPr>
            <w:tcW w:w="0" w:type="auto"/>
            <w:shd w:val="clear" w:color="auto" w:fill="auto"/>
          </w:tcPr>
          <w:p w14:paraId="3F93F15F" w14:textId="6665DF98" w:rsidR="003C03A0" w:rsidRPr="00C1603D" w:rsidRDefault="003C03A0" w:rsidP="00C953E5">
            <w:pPr>
              <w:pStyle w:val="72TabletextTablesTableFigureBoxstyles"/>
            </w:pPr>
            <w:r w:rsidRPr="00C1603D">
              <w:rPr>
                <w:rFonts w:cs="Lato"/>
                <w:lang w:val="it-IT"/>
              </w:rPr>
              <w:t>IgA/IgG DGP</w:t>
            </w:r>
          </w:p>
        </w:tc>
        <w:tc>
          <w:tcPr>
            <w:tcW w:w="0" w:type="auto"/>
            <w:shd w:val="clear" w:color="auto" w:fill="auto"/>
          </w:tcPr>
          <w:p w14:paraId="299F92DE" w14:textId="6D3FB703" w:rsidR="003C03A0" w:rsidRPr="00C1603D" w:rsidRDefault="003C03A0" w:rsidP="00C953E5">
            <w:pPr>
              <w:pStyle w:val="72TabletextTablesTableFigureBoxstyles"/>
              <w:rPr>
                <w:rFonts w:cs="Calibri"/>
              </w:rPr>
            </w:pPr>
            <w:r w:rsidRPr="00C1603D">
              <w:rPr>
                <w:rFonts w:cs="Calibri"/>
              </w:rPr>
              <w:t>4</w:t>
            </w:r>
          </w:p>
        </w:tc>
        <w:tc>
          <w:tcPr>
            <w:tcW w:w="0" w:type="auto"/>
            <w:shd w:val="clear" w:color="auto" w:fill="auto"/>
          </w:tcPr>
          <w:p w14:paraId="69D221D1" w14:textId="405CE467" w:rsidR="003C03A0" w:rsidRPr="00C1603D" w:rsidRDefault="003C03A0" w:rsidP="00C953E5">
            <w:pPr>
              <w:pStyle w:val="72TabletextTablesTableFigureBoxstyles"/>
              <w:rPr>
                <w:rFonts w:cs="Calibri"/>
              </w:rPr>
            </w:pPr>
            <w:r w:rsidRPr="00C1603D">
              <w:rPr>
                <w:rFonts w:cs="Calibri"/>
              </w:rPr>
              <w:t>1161 (280)</w:t>
            </w:r>
          </w:p>
        </w:tc>
        <w:tc>
          <w:tcPr>
            <w:tcW w:w="0" w:type="auto"/>
            <w:shd w:val="clear" w:color="auto" w:fill="auto"/>
          </w:tcPr>
          <w:p w14:paraId="3D684098" w14:textId="50BD12F2" w:rsidR="003C03A0" w:rsidRPr="00C1603D" w:rsidRDefault="003C03A0" w:rsidP="00C953E5">
            <w:pPr>
              <w:pStyle w:val="72TabletextTablesTableFigureBoxstyles"/>
              <w:rPr>
                <w:rFonts w:cs="Calibri"/>
                <w:lang w:val="nl-NL"/>
              </w:rPr>
            </w:pPr>
            <w:r w:rsidRPr="00C1603D">
              <w:rPr>
                <w:rFonts w:cs="Calibri"/>
              </w:rPr>
              <w:t>20</w:t>
            </w:r>
            <w:r w:rsidR="00C953E5" w:rsidRPr="00C1603D">
              <w:rPr>
                <w:rFonts w:cs="Calibri"/>
              </w:rPr>
              <w:t> </w:t>
            </w:r>
            <w:r w:rsidRPr="00C1603D">
              <w:rPr>
                <w:rFonts w:cs="Calibri"/>
              </w:rPr>
              <w:t>U/ml</w:t>
            </w:r>
          </w:p>
        </w:tc>
        <w:tc>
          <w:tcPr>
            <w:tcW w:w="0" w:type="auto"/>
            <w:shd w:val="clear" w:color="auto" w:fill="auto"/>
          </w:tcPr>
          <w:p w14:paraId="6382CFBF" w14:textId="27C0246B" w:rsidR="003C03A0" w:rsidRPr="00C1603D" w:rsidRDefault="003C03A0" w:rsidP="00C953E5">
            <w:pPr>
              <w:pStyle w:val="72TabletextTablesTableFigureBoxstyles"/>
              <w:rPr>
                <w:rFonts w:cs="Calibri"/>
              </w:rPr>
            </w:pPr>
            <w:r w:rsidRPr="00C1603D">
              <w:rPr>
                <w:rFonts w:cs="Calibri"/>
              </w:rPr>
              <w:t>86</w:t>
            </w:r>
            <w:r w:rsidR="00C953E5" w:rsidRPr="00C1603D">
              <w:rPr>
                <w:rFonts w:cs="Calibri"/>
              </w:rPr>
              <w:t>–</w:t>
            </w:r>
            <w:r w:rsidRPr="00C1603D">
              <w:rPr>
                <w:rFonts w:cs="Calibri"/>
              </w:rPr>
              <w:t>98</w:t>
            </w:r>
          </w:p>
        </w:tc>
        <w:tc>
          <w:tcPr>
            <w:tcW w:w="0" w:type="auto"/>
            <w:shd w:val="clear" w:color="auto" w:fill="auto"/>
          </w:tcPr>
          <w:p w14:paraId="2C68CBFF" w14:textId="254023CE" w:rsidR="003C03A0" w:rsidRPr="00C1603D" w:rsidRDefault="003C03A0" w:rsidP="00C953E5">
            <w:pPr>
              <w:pStyle w:val="72TabletextTablesTableFigureBoxstyles"/>
              <w:rPr>
                <w:rFonts w:cs="Calibri"/>
              </w:rPr>
            </w:pPr>
            <w:r w:rsidRPr="00C1603D">
              <w:rPr>
                <w:rFonts w:cs="Calibri"/>
              </w:rPr>
              <w:t>96</w:t>
            </w:r>
            <w:r w:rsidR="00C953E5" w:rsidRPr="00C1603D">
              <w:rPr>
                <w:rFonts w:cs="Calibri"/>
              </w:rPr>
              <w:t>–</w:t>
            </w:r>
            <w:r w:rsidRPr="00C1603D">
              <w:rPr>
                <w:rFonts w:cs="Calibri"/>
              </w:rPr>
              <w:t>98.8</w:t>
            </w:r>
          </w:p>
        </w:tc>
      </w:tr>
      <w:tr w:rsidR="00C953E5" w:rsidRPr="00C1603D" w14:paraId="65F3A202" w14:textId="77777777" w:rsidTr="00C953E5">
        <w:trPr>
          <w:cantSplit/>
          <w:tblHeader/>
        </w:trPr>
        <w:tc>
          <w:tcPr>
            <w:tcW w:w="0" w:type="auto"/>
            <w:shd w:val="clear" w:color="auto" w:fill="auto"/>
          </w:tcPr>
          <w:p w14:paraId="6D369F2E" w14:textId="1F504A6D" w:rsidR="003C03A0" w:rsidRPr="00C1603D" w:rsidRDefault="003C03A0" w:rsidP="00C953E5">
            <w:pPr>
              <w:pStyle w:val="72TabletextTablesTableFigureBoxstyles"/>
            </w:pPr>
            <w:r w:rsidRPr="00C1603D">
              <w:rPr>
                <w:rFonts w:cs="Lato"/>
                <w:lang w:val="it-IT"/>
              </w:rPr>
              <w:t>IgA/IgG tTG/DGP</w:t>
            </w:r>
          </w:p>
        </w:tc>
        <w:tc>
          <w:tcPr>
            <w:tcW w:w="0" w:type="auto"/>
            <w:shd w:val="clear" w:color="auto" w:fill="auto"/>
          </w:tcPr>
          <w:p w14:paraId="63858691" w14:textId="6643FC28" w:rsidR="003C03A0" w:rsidRPr="00C1603D" w:rsidRDefault="003C03A0" w:rsidP="00C953E5">
            <w:pPr>
              <w:pStyle w:val="72TabletextTablesTableFigureBoxstyles"/>
              <w:rPr>
                <w:rFonts w:cs="Calibri"/>
              </w:rPr>
            </w:pPr>
            <w:r w:rsidRPr="00C1603D">
              <w:rPr>
                <w:rFonts w:cs="Calibri"/>
              </w:rPr>
              <w:t>3</w:t>
            </w:r>
          </w:p>
        </w:tc>
        <w:tc>
          <w:tcPr>
            <w:tcW w:w="0" w:type="auto"/>
            <w:shd w:val="clear" w:color="auto" w:fill="auto"/>
          </w:tcPr>
          <w:p w14:paraId="14886762" w14:textId="592D6C16" w:rsidR="003C03A0" w:rsidRPr="00C1603D" w:rsidRDefault="003C03A0" w:rsidP="00C953E5">
            <w:pPr>
              <w:pStyle w:val="72TabletextTablesTableFigureBoxstyles"/>
              <w:rPr>
                <w:rFonts w:cs="Calibri"/>
              </w:rPr>
            </w:pPr>
            <w:r w:rsidRPr="00C1603D">
              <w:rPr>
                <w:rFonts w:cs="Calibri"/>
              </w:rPr>
              <w:t>1849 (173)</w:t>
            </w:r>
          </w:p>
        </w:tc>
        <w:tc>
          <w:tcPr>
            <w:tcW w:w="0" w:type="auto"/>
            <w:shd w:val="clear" w:color="auto" w:fill="auto"/>
          </w:tcPr>
          <w:p w14:paraId="4FF2D3FF" w14:textId="2DF59555" w:rsidR="003C03A0" w:rsidRPr="00C1603D" w:rsidRDefault="003C03A0" w:rsidP="00C953E5">
            <w:pPr>
              <w:pStyle w:val="72TabletextTablesTableFigureBoxstyles"/>
              <w:rPr>
                <w:rFonts w:cs="Calibri"/>
                <w:lang w:val="nl-NL"/>
              </w:rPr>
            </w:pPr>
            <w:r w:rsidRPr="00C1603D">
              <w:rPr>
                <w:rFonts w:cs="Calibri"/>
              </w:rPr>
              <w:t>20</w:t>
            </w:r>
            <w:r w:rsidR="00C953E5" w:rsidRPr="00C1603D">
              <w:rPr>
                <w:rFonts w:cs="Calibri"/>
              </w:rPr>
              <w:t> </w:t>
            </w:r>
            <w:r w:rsidRPr="00C1603D">
              <w:rPr>
                <w:rFonts w:cs="Calibri"/>
              </w:rPr>
              <w:t>U/ml</w:t>
            </w:r>
          </w:p>
        </w:tc>
        <w:tc>
          <w:tcPr>
            <w:tcW w:w="0" w:type="auto"/>
            <w:shd w:val="clear" w:color="auto" w:fill="auto"/>
          </w:tcPr>
          <w:p w14:paraId="31BBBCB9" w14:textId="27C703EE" w:rsidR="003C03A0" w:rsidRPr="00C1603D" w:rsidRDefault="003C03A0" w:rsidP="00C953E5">
            <w:pPr>
              <w:pStyle w:val="72TabletextTablesTableFigureBoxstyles"/>
              <w:rPr>
                <w:rFonts w:cs="Calibri"/>
              </w:rPr>
            </w:pPr>
            <w:r w:rsidRPr="00C1603D">
              <w:rPr>
                <w:rFonts w:cs="Calibri"/>
              </w:rPr>
              <w:t>72</w:t>
            </w:r>
            <w:r w:rsidR="00C953E5" w:rsidRPr="00C1603D">
              <w:rPr>
                <w:rFonts w:cs="Calibri"/>
              </w:rPr>
              <w:t>–</w:t>
            </w:r>
            <w:r w:rsidRPr="00C1603D">
              <w:rPr>
                <w:rFonts w:cs="Calibri"/>
              </w:rPr>
              <w:t>96</w:t>
            </w:r>
          </w:p>
        </w:tc>
        <w:tc>
          <w:tcPr>
            <w:tcW w:w="0" w:type="auto"/>
            <w:shd w:val="clear" w:color="auto" w:fill="auto"/>
          </w:tcPr>
          <w:p w14:paraId="0A43CBF1" w14:textId="12C4B1DD" w:rsidR="003C03A0" w:rsidRPr="00C1603D" w:rsidRDefault="003C03A0" w:rsidP="00C953E5">
            <w:pPr>
              <w:pStyle w:val="72TabletextTablesTableFigureBoxstyles"/>
              <w:rPr>
                <w:rFonts w:cs="Calibri"/>
              </w:rPr>
            </w:pPr>
            <w:r w:rsidRPr="00C1603D">
              <w:rPr>
                <w:rFonts w:cs="Calibri"/>
              </w:rPr>
              <w:t>80</w:t>
            </w:r>
            <w:r w:rsidR="00C953E5" w:rsidRPr="00C1603D">
              <w:rPr>
                <w:rFonts w:cs="Calibri"/>
              </w:rPr>
              <w:t>–</w:t>
            </w:r>
            <w:r w:rsidRPr="00C1603D">
              <w:rPr>
                <w:rFonts w:cs="Calibri"/>
              </w:rPr>
              <w:t>97.4</w:t>
            </w:r>
          </w:p>
        </w:tc>
      </w:tr>
      <w:tr w:rsidR="00C953E5" w:rsidRPr="00C1603D" w14:paraId="476C96CF" w14:textId="77777777" w:rsidTr="00C953E5">
        <w:trPr>
          <w:cantSplit/>
          <w:tblHeader/>
        </w:trPr>
        <w:tc>
          <w:tcPr>
            <w:tcW w:w="0" w:type="auto"/>
            <w:shd w:val="clear" w:color="auto" w:fill="auto"/>
          </w:tcPr>
          <w:p w14:paraId="618F4486" w14:textId="7FDC2056" w:rsidR="003C03A0" w:rsidRPr="00C1603D" w:rsidRDefault="003C03A0" w:rsidP="00C953E5">
            <w:pPr>
              <w:pStyle w:val="72TabletextTablesTableFigureBoxstyles"/>
            </w:pPr>
            <w:r w:rsidRPr="00C1603D">
              <w:rPr>
                <w:rFonts w:cs="Lato"/>
              </w:rPr>
              <w:t>IgA actin antibodies</w:t>
            </w:r>
          </w:p>
        </w:tc>
        <w:tc>
          <w:tcPr>
            <w:tcW w:w="0" w:type="auto"/>
            <w:shd w:val="clear" w:color="auto" w:fill="auto"/>
          </w:tcPr>
          <w:p w14:paraId="5044B04E" w14:textId="3AD17030" w:rsidR="003C03A0" w:rsidRPr="00C1603D" w:rsidRDefault="003C03A0" w:rsidP="00C953E5">
            <w:pPr>
              <w:pStyle w:val="72TabletextTablesTableFigureBoxstyles"/>
              <w:rPr>
                <w:rFonts w:cs="Calibri"/>
              </w:rPr>
            </w:pPr>
            <w:r w:rsidRPr="00C1603D">
              <w:rPr>
                <w:rFonts w:cs="Calibri"/>
              </w:rPr>
              <w:t>2</w:t>
            </w:r>
          </w:p>
        </w:tc>
        <w:tc>
          <w:tcPr>
            <w:tcW w:w="0" w:type="auto"/>
            <w:shd w:val="clear" w:color="auto" w:fill="auto"/>
          </w:tcPr>
          <w:p w14:paraId="762C8230" w14:textId="0FC9BF7A" w:rsidR="003C03A0" w:rsidRPr="00C1603D" w:rsidRDefault="003C03A0" w:rsidP="00C953E5">
            <w:pPr>
              <w:pStyle w:val="72TabletextTablesTableFigureBoxstyles"/>
              <w:rPr>
                <w:rFonts w:cs="Calibri"/>
              </w:rPr>
            </w:pPr>
            <w:r w:rsidRPr="00C1603D">
              <w:rPr>
                <w:rFonts w:cs="Calibri"/>
              </w:rPr>
              <w:t>820 (140)</w:t>
            </w:r>
          </w:p>
        </w:tc>
        <w:tc>
          <w:tcPr>
            <w:tcW w:w="0" w:type="auto"/>
            <w:shd w:val="clear" w:color="auto" w:fill="auto"/>
          </w:tcPr>
          <w:p w14:paraId="248B742F" w14:textId="4C23F234" w:rsidR="003C03A0" w:rsidRPr="00C1603D" w:rsidRDefault="003C03A0" w:rsidP="00C953E5">
            <w:pPr>
              <w:pStyle w:val="72TabletextTablesTableFigureBoxstyles"/>
              <w:rPr>
                <w:rFonts w:cs="Calibri"/>
                <w:lang w:val="nl-NL"/>
              </w:rPr>
            </w:pPr>
            <w:r w:rsidRPr="00C1603D">
              <w:rPr>
                <w:rFonts w:cs="Calibri"/>
              </w:rPr>
              <w:t>25</w:t>
            </w:r>
            <w:r w:rsidR="00C953E5" w:rsidRPr="00C1603D">
              <w:rPr>
                <w:rFonts w:cs="Calibri"/>
              </w:rPr>
              <w:t> </w:t>
            </w:r>
            <w:r w:rsidRPr="00C1603D">
              <w:rPr>
                <w:rFonts w:cs="Calibri"/>
              </w:rPr>
              <w:t>U/ml</w:t>
            </w:r>
          </w:p>
        </w:tc>
        <w:tc>
          <w:tcPr>
            <w:tcW w:w="0" w:type="auto"/>
            <w:shd w:val="clear" w:color="auto" w:fill="auto"/>
          </w:tcPr>
          <w:p w14:paraId="14F4F596" w14:textId="1DF610D4" w:rsidR="003C03A0" w:rsidRPr="00C1603D" w:rsidRDefault="003C03A0" w:rsidP="00C953E5">
            <w:pPr>
              <w:pStyle w:val="72TabletextTablesTableFigureBoxstyles"/>
              <w:rPr>
                <w:rFonts w:cs="Calibri"/>
              </w:rPr>
            </w:pPr>
            <w:r w:rsidRPr="00C1603D">
              <w:rPr>
                <w:rFonts w:cs="Calibri"/>
              </w:rPr>
              <w:t>80</w:t>
            </w:r>
            <w:r w:rsidR="00C953E5" w:rsidRPr="00C1603D">
              <w:rPr>
                <w:rFonts w:cs="Calibri"/>
              </w:rPr>
              <w:t>–</w:t>
            </w:r>
            <w:r w:rsidRPr="00C1603D">
              <w:rPr>
                <w:rFonts w:cs="Calibri"/>
              </w:rPr>
              <w:t>86</w:t>
            </w:r>
          </w:p>
        </w:tc>
        <w:tc>
          <w:tcPr>
            <w:tcW w:w="0" w:type="auto"/>
            <w:shd w:val="clear" w:color="auto" w:fill="auto"/>
          </w:tcPr>
          <w:p w14:paraId="147E2C0C" w14:textId="6A4EB914" w:rsidR="003C03A0" w:rsidRPr="00C1603D" w:rsidRDefault="003C03A0" w:rsidP="00C953E5">
            <w:pPr>
              <w:pStyle w:val="72TabletextTablesTableFigureBoxstyles"/>
              <w:rPr>
                <w:rFonts w:cs="Calibri"/>
              </w:rPr>
            </w:pPr>
            <w:r w:rsidRPr="00C1603D">
              <w:rPr>
                <w:rFonts w:cs="Calibri"/>
              </w:rPr>
              <w:t>92</w:t>
            </w:r>
            <w:r w:rsidR="00C953E5" w:rsidRPr="00C1603D">
              <w:rPr>
                <w:rFonts w:cs="Calibri"/>
              </w:rPr>
              <w:t>–</w:t>
            </w:r>
            <w:r w:rsidRPr="00C1603D">
              <w:rPr>
                <w:rFonts w:cs="Calibri"/>
              </w:rPr>
              <w:t>95.1</w:t>
            </w:r>
          </w:p>
        </w:tc>
      </w:tr>
      <w:tr w:rsidR="00C953E5" w:rsidRPr="00C1603D" w14:paraId="5396D552" w14:textId="77777777" w:rsidTr="00C953E5">
        <w:trPr>
          <w:cantSplit/>
          <w:tblHeader/>
        </w:trPr>
        <w:tc>
          <w:tcPr>
            <w:tcW w:w="0" w:type="auto"/>
            <w:gridSpan w:val="6"/>
            <w:shd w:val="clear" w:color="auto" w:fill="auto"/>
          </w:tcPr>
          <w:p w14:paraId="159A17FC" w14:textId="448427ED" w:rsidR="00C953E5" w:rsidRPr="00C1603D" w:rsidRDefault="00C953E5" w:rsidP="00C953E5">
            <w:pPr>
              <w:pStyle w:val="711TablesubheadATablesTableFigureBoxstyles"/>
            </w:pPr>
            <w:r w:rsidRPr="00C1603D">
              <w:t>Children</w:t>
            </w:r>
          </w:p>
        </w:tc>
      </w:tr>
      <w:tr w:rsidR="00B47427" w:rsidRPr="00C1603D" w14:paraId="662C7750" w14:textId="77777777" w:rsidTr="00C953E5">
        <w:trPr>
          <w:cantSplit/>
          <w:tblHeader/>
        </w:trPr>
        <w:tc>
          <w:tcPr>
            <w:tcW w:w="0" w:type="auto"/>
            <w:shd w:val="clear" w:color="auto" w:fill="auto"/>
          </w:tcPr>
          <w:p w14:paraId="380168B1" w14:textId="522D6D04" w:rsidR="00C953E5" w:rsidRPr="00C1603D" w:rsidRDefault="00C953E5" w:rsidP="00C953E5">
            <w:pPr>
              <w:pStyle w:val="72TabletextTablesTableFigureBoxstyles"/>
            </w:pPr>
            <w:r w:rsidRPr="00C1603D">
              <w:t>IgA tTG</w:t>
            </w:r>
          </w:p>
        </w:tc>
        <w:tc>
          <w:tcPr>
            <w:tcW w:w="0" w:type="auto"/>
            <w:shd w:val="clear" w:color="auto" w:fill="auto"/>
          </w:tcPr>
          <w:p w14:paraId="291A20F3" w14:textId="33BC1C07" w:rsidR="00C953E5" w:rsidRPr="00C1603D" w:rsidRDefault="00C953E5" w:rsidP="00C953E5">
            <w:pPr>
              <w:pStyle w:val="72TabletextTablesTableFigureBoxstyles"/>
              <w:rPr>
                <w:rFonts w:cs="Calibri"/>
                <w:lang w:val="pt-BR"/>
              </w:rPr>
            </w:pPr>
            <w:r w:rsidRPr="00C1603D">
              <w:rPr>
                <w:rFonts w:cs="Calibri"/>
              </w:rPr>
              <w:t>37</w:t>
            </w:r>
          </w:p>
        </w:tc>
        <w:tc>
          <w:tcPr>
            <w:tcW w:w="0" w:type="auto"/>
            <w:shd w:val="clear" w:color="auto" w:fill="auto"/>
          </w:tcPr>
          <w:p w14:paraId="6A6ECB2A" w14:textId="528C0FC2" w:rsidR="00C953E5" w:rsidRPr="00C1603D" w:rsidRDefault="00C953E5" w:rsidP="00C953E5">
            <w:pPr>
              <w:pStyle w:val="72TabletextTablesTableFigureBoxstyles"/>
              <w:rPr>
                <w:rFonts w:cs="Calibri"/>
              </w:rPr>
            </w:pPr>
            <w:r w:rsidRPr="00C1603D">
              <w:rPr>
                <w:rFonts w:cs="Calibri"/>
              </w:rPr>
              <w:t>7944 (4164)</w:t>
            </w:r>
          </w:p>
        </w:tc>
        <w:tc>
          <w:tcPr>
            <w:tcW w:w="0" w:type="auto"/>
            <w:shd w:val="clear" w:color="auto" w:fill="auto"/>
          </w:tcPr>
          <w:p w14:paraId="3774EFA3" w14:textId="15C869AD" w:rsidR="00C953E5" w:rsidRPr="00C1603D" w:rsidRDefault="00C953E5" w:rsidP="00C953E5">
            <w:pPr>
              <w:pStyle w:val="72TabletextTablesTableFigureBoxstyles"/>
              <w:rPr>
                <w:rFonts w:cs="Calibri"/>
                <w:lang w:val="nl-NL"/>
              </w:rPr>
            </w:pPr>
            <w:r w:rsidRPr="00C1603D">
              <w:rPr>
                <w:rFonts w:cs="Calibri"/>
                <w:lang w:val="nl-NL"/>
              </w:rPr>
              <w:t>3–100</w:t>
            </w:r>
            <w:r w:rsidR="002966D3" w:rsidRPr="00C1603D">
              <w:rPr>
                <w:rFonts w:cs="Calibri"/>
                <w:lang w:val="nl-NL"/>
              </w:rPr>
              <w:t> </w:t>
            </w:r>
            <w:r w:rsidRPr="00C1603D">
              <w:rPr>
                <w:rFonts w:cs="Calibri"/>
                <w:lang w:val="nl-NL"/>
              </w:rPr>
              <w:t>U/m</w:t>
            </w:r>
            <w:r w:rsidR="002966D3" w:rsidRPr="00C1603D">
              <w:rPr>
                <w:rFonts w:cs="Calibri"/>
                <w:lang w:val="nl-NL"/>
              </w:rPr>
              <w:t>l</w:t>
            </w:r>
          </w:p>
        </w:tc>
        <w:tc>
          <w:tcPr>
            <w:tcW w:w="0" w:type="auto"/>
            <w:shd w:val="clear" w:color="auto" w:fill="auto"/>
          </w:tcPr>
          <w:p w14:paraId="1C1A10D7" w14:textId="1C0E43E4" w:rsidR="00C953E5" w:rsidRPr="00C1603D" w:rsidRDefault="00C953E5" w:rsidP="00C953E5">
            <w:pPr>
              <w:pStyle w:val="72TabletextTablesTableFigureBoxstyles"/>
              <w:rPr>
                <w:rFonts w:cs="Calibri"/>
              </w:rPr>
            </w:pPr>
            <w:r w:rsidRPr="00C1603D">
              <w:rPr>
                <w:rFonts w:cs="Calibri"/>
              </w:rPr>
              <w:t>29–100</w:t>
            </w:r>
          </w:p>
        </w:tc>
        <w:tc>
          <w:tcPr>
            <w:tcW w:w="0" w:type="auto"/>
            <w:shd w:val="clear" w:color="auto" w:fill="auto"/>
          </w:tcPr>
          <w:p w14:paraId="2F04CCAB" w14:textId="7DEA69EA" w:rsidR="00C953E5" w:rsidRPr="00C1603D" w:rsidRDefault="00C953E5" w:rsidP="00C953E5">
            <w:pPr>
              <w:pStyle w:val="72TabletextTablesTableFigureBoxstyles"/>
              <w:rPr>
                <w:rFonts w:cs="Calibri"/>
              </w:rPr>
            </w:pPr>
            <w:r w:rsidRPr="00C1603D">
              <w:rPr>
                <w:rFonts w:cs="Calibri"/>
              </w:rPr>
              <w:t>8–100</w:t>
            </w:r>
          </w:p>
        </w:tc>
      </w:tr>
      <w:tr w:rsidR="00B47427" w:rsidRPr="00C1603D" w14:paraId="7694E064" w14:textId="77777777" w:rsidTr="00C953E5">
        <w:trPr>
          <w:cantSplit/>
          <w:tblHeader/>
        </w:trPr>
        <w:tc>
          <w:tcPr>
            <w:tcW w:w="0" w:type="auto"/>
            <w:shd w:val="clear" w:color="auto" w:fill="auto"/>
          </w:tcPr>
          <w:p w14:paraId="76206F3C" w14:textId="25574CCB" w:rsidR="00C953E5" w:rsidRPr="00C1603D" w:rsidRDefault="00C953E5" w:rsidP="00C953E5">
            <w:pPr>
              <w:pStyle w:val="72TabletextTablesTableFigureBoxstyles"/>
            </w:pPr>
            <w:r w:rsidRPr="00C1603D">
              <w:t>IgG tTG</w:t>
            </w:r>
          </w:p>
        </w:tc>
        <w:tc>
          <w:tcPr>
            <w:tcW w:w="0" w:type="auto"/>
            <w:shd w:val="clear" w:color="auto" w:fill="auto"/>
          </w:tcPr>
          <w:p w14:paraId="55585831" w14:textId="2129CC02" w:rsidR="00C953E5" w:rsidRPr="00C1603D" w:rsidRDefault="00C953E5" w:rsidP="00C953E5">
            <w:pPr>
              <w:pStyle w:val="72TabletextTablesTableFigureBoxstyles"/>
              <w:rPr>
                <w:rFonts w:cs="Calibri"/>
                <w:lang w:val="pt-BR"/>
              </w:rPr>
            </w:pPr>
            <w:r w:rsidRPr="00C1603D">
              <w:rPr>
                <w:rFonts w:cs="Calibri"/>
              </w:rPr>
              <w:t>5</w:t>
            </w:r>
          </w:p>
        </w:tc>
        <w:tc>
          <w:tcPr>
            <w:tcW w:w="0" w:type="auto"/>
            <w:shd w:val="clear" w:color="auto" w:fill="auto"/>
          </w:tcPr>
          <w:p w14:paraId="393C3255" w14:textId="5B842E69" w:rsidR="00C953E5" w:rsidRPr="00C1603D" w:rsidRDefault="00C953E5" w:rsidP="00C953E5">
            <w:pPr>
              <w:pStyle w:val="72TabletextTablesTableFigureBoxstyles"/>
              <w:rPr>
                <w:rFonts w:cs="Calibri"/>
              </w:rPr>
            </w:pPr>
            <w:r w:rsidRPr="00C1603D">
              <w:rPr>
                <w:rFonts w:cs="Calibri"/>
              </w:rPr>
              <w:t>599 (278)</w:t>
            </w:r>
          </w:p>
        </w:tc>
        <w:tc>
          <w:tcPr>
            <w:tcW w:w="0" w:type="auto"/>
            <w:shd w:val="clear" w:color="auto" w:fill="auto"/>
          </w:tcPr>
          <w:p w14:paraId="5563BB3F" w14:textId="1AFD301C" w:rsidR="00C953E5" w:rsidRPr="00C1603D" w:rsidRDefault="00C953E5" w:rsidP="00C953E5">
            <w:pPr>
              <w:pStyle w:val="72TabletextTablesTableFigureBoxstyles"/>
              <w:rPr>
                <w:rFonts w:cs="Calibri"/>
                <w:lang w:val="nl-NL"/>
              </w:rPr>
            </w:pPr>
            <w:r w:rsidRPr="00C1603D">
              <w:rPr>
                <w:rFonts w:cs="Calibri"/>
                <w:lang w:val="nl-NL"/>
              </w:rPr>
              <w:t>3–7</w:t>
            </w:r>
            <w:r w:rsidR="002966D3" w:rsidRPr="00C1603D">
              <w:rPr>
                <w:rFonts w:cs="Calibri"/>
                <w:lang w:val="nl-NL"/>
              </w:rPr>
              <w:t> </w:t>
            </w:r>
            <w:r w:rsidRPr="00C1603D">
              <w:rPr>
                <w:rFonts w:cs="Calibri"/>
                <w:lang w:val="nl-NL"/>
              </w:rPr>
              <w:t>U/m</w:t>
            </w:r>
            <w:r w:rsidR="002966D3" w:rsidRPr="00C1603D">
              <w:rPr>
                <w:rFonts w:cs="Calibri"/>
                <w:lang w:val="nl-NL"/>
              </w:rPr>
              <w:t>l</w:t>
            </w:r>
          </w:p>
        </w:tc>
        <w:tc>
          <w:tcPr>
            <w:tcW w:w="0" w:type="auto"/>
            <w:shd w:val="clear" w:color="auto" w:fill="auto"/>
          </w:tcPr>
          <w:p w14:paraId="6E134DF4" w14:textId="627CFD89" w:rsidR="00C953E5" w:rsidRPr="00C1603D" w:rsidRDefault="00C953E5" w:rsidP="00C953E5">
            <w:pPr>
              <w:pStyle w:val="72TabletextTablesTableFigureBoxstyles"/>
              <w:rPr>
                <w:rFonts w:cs="Calibri"/>
              </w:rPr>
            </w:pPr>
            <w:r w:rsidRPr="00C1603D">
              <w:rPr>
                <w:rFonts w:cs="Calibri"/>
              </w:rPr>
              <w:t>31–97</w:t>
            </w:r>
          </w:p>
        </w:tc>
        <w:tc>
          <w:tcPr>
            <w:tcW w:w="0" w:type="auto"/>
            <w:shd w:val="clear" w:color="auto" w:fill="auto"/>
          </w:tcPr>
          <w:p w14:paraId="75A28352" w14:textId="489EB3F5" w:rsidR="00C953E5" w:rsidRPr="00C1603D" w:rsidRDefault="00C953E5" w:rsidP="00C953E5">
            <w:pPr>
              <w:pStyle w:val="72TabletextTablesTableFigureBoxstyles"/>
              <w:rPr>
                <w:rFonts w:cs="Calibri"/>
              </w:rPr>
            </w:pPr>
            <w:r w:rsidRPr="00C1603D">
              <w:rPr>
                <w:rFonts w:cs="Calibri"/>
              </w:rPr>
              <w:t>71–100</w:t>
            </w:r>
          </w:p>
        </w:tc>
      </w:tr>
      <w:tr w:rsidR="00B47427" w:rsidRPr="00C1603D" w14:paraId="17137AE6" w14:textId="77777777" w:rsidTr="00C953E5">
        <w:trPr>
          <w:cantSplit/>
          <w:tblHeader/>
        </w:trPr>
        <w:tc>
          <w:tcPr>
            <w:tcW w:w="0" w:type="auto"/>
            <w:shd w:val="clear" w:color="auto" w:fill="auto"/>
          </w:tcPr>
          <w:p w14:paraId="1D92B6EC" w14:textId="49B4AFE4" w:rsidR="00C953E5" w:rsidRPr="00C1603D" w:rsidRDefault="00C953E5" w:rsidP="00C953E5">
            <w:pPr>
              <w:pStyle w:val="72TabletextTablesTableFigureBoxstyles"/>
            </w:pPr>
            <w:r w:rsidRPr="00C1603D">
              <w:t>IgA/IgG tTG</w:t>
            </w:r>
          </w:p>
        </w:tc>
        <w:tc>
          <w:tcPr>
            <w:tcW w:w="0" w:type="auto"/>
            <w:shd w:val="clear" w:color="auto" w:fill="auto"/>
          </w:tcPr>
          <w:p w14:paraId="20804B3C" w14:textId="33CCA348" w:rsidR="00C953E5" w:rsidRPr="00C1603D" w:rsidRDefault="00C953E5" w:rsidP="00C953E5">
            <w:pPr>
              <w:pStyle w:val="72TabletextTablesTableFigureBoxstyles"/>
              <w:rPr>
                <w:rFonts w:cs="Calibri"/>
                <w:lang w:val="pt-BR"/>
              </w:rPr>
            </w:pPr>
            <w:r w:rsidRPr="00C1603D">
              <w:rPr>
                <w:rFonts w:cs="Calibri"/>
              </w:rPr>
              <w:t>2</w:t>
            </w:r>
          </w:p>
        </w:tc>
        <w:tc>
          <w:tcPr>
            <w:tcW w:w="0" w:type="auto"/>
            <w:shd w:val="clear" w:color="auto" w:fill="auto"/>
          </w:tcPr>
          <w:p w14:paraId="74D30BEB" w14:textId="4CA0D8BF" w:rsidR="00C953E5" w:rsidRPr="00C1603D" w:rsidRDefault="00C953E5" w:rsidP="00C953E5">
            <w:pPr>
              <w:pStyle w:val="72TabletextTablesTableFigureBoxstyles"/>
              <w:rPr>
                <w:rFonts w:cs="Calibri"/>
              </w:rPr>
            </w:pPr>
            <w:r w:rsidRPr="00C1603D">
              <w:rPr>
                <w:rFonts w:cs="Calibri"/>
              </w:rPr>
              <w:t>742 (282)</w:t>
            </w:r>
          </w:p>
        </w:tc>
        <w:tc>
          <w:tcPr>
            <w:tcW w:w="0" w:type="auto"/>
            <w:shd w:val="clear" w:color="auto" w:fill="auto"/>
          </w:tcPr>
          <w:p w14:paraId="5F7D2F61" w14:textId="30F27A39" w:rsidR="00C953E5" w:rsidRPr="00C1603D" w:rsidRDefault="00C953E5" w:rsidP="00C953E5">
            <w:pPr>
              <w:pStyle w:val="72TabletextTablesTableFigureBoxstyles"/>
              <w:rPr>
                <w:rFonts w:cs="Calibri"/>
                <w:lang w:val="nl-NL"/>
              </w:rPr>
            </w:pPr>
            <w:r w:rsidRPr="00C1603D">
              <w:rPr>
                <w:rFonts w:cs="Calibri"/>
                <w:lang w:val="nl-NL"/>
              </w:rPr>
              <w:t>6–45.1</w:t>
            </w:r>
            <w:r w:rsidR="00B47427" w:rsidRPr="00C1603D">
              <w:rPr>
                <w:rFonts w:cs="Calibri"/>
                <w:lang w:val="nl-NL"/>
              </w:rPr>
              <w:t> </w:t>
            </w:r>
            <w:r w:rsidRPr="00C1603D">
              <w:rPr>
                <w:rFonts w:cs="Calibri"/>
                <w:lang w:val="nl-NL"/>
              </w:rPr>
              <w:t>U/m</w:t>
            </w:r>
            <w:r w:rsidR="002966D3" w:rsidRPr="00C1603D">
              <w:rPr>
                <w:rFonts w:cs="Calibri"/>
                <w:lang w:val="nl-NL"/>
              </w:rPr>
              <w:t>l</w:t>
            </w:r>
          </w:p>
        </w:tc>
        <w:tc>
          <w:tcPr>
            <w:tcW w:w="0" w:type="auto"/>
            <w:shd w:val="clear" w:color="auto" w:fill="auto"/>
          </w:tcPr>
          <w:p w14:paraId="608F8390" w14:textId="5BC1476F" w:rsidR="00C953E5" w:rsidRPr="00C1603D" w:rsidRDefault="00C953E5" w:rsidP="00C953E5">
            <w:pPr>
              <w:pStyle w:val="72TabletextTablesTableFigureBoxstyles"/>
              <w:rPr>
                <w:rFonts w:cs="Calibri"/>
              </w:rPr>
            </w:pPr>
            <w:r w:rsidRPr="00C1603D">
              <w:rPr>
                <w:rFonts w:cs="Calibri"/>
              </w:rPr>
              <w:t>94–96</w:t>
            </w:r>
          </w:p>
        </w:tc>
        <w:tc>
          <w:tcPr>
            <w:tcW w:w="0" w:type="auto"/>
            <w:shd w:val="clear" w:color="auto" w:fill="auto"/>
          </w:tcPr>
          <w:p w14:paraId="7CB717A8" w14:textId="0B655C09" w:rsidR="00C953E5" w:rsidRPr="00C1603D" w:rsidRDefault="00C953E5" w:rsidP="00C953E5">
            <w:pPr>
              <w:pStyle w:val="72TabletextTablesTableFigureBoxstyles"/>
              <w:rPr>
                <w:rFonts w:cs="Calibri"/>
              </w:rPr>
            </w:pPr>
            <w:r w:rsidRPr="00C1603D">
              <w:rPr>
                <w:rFonts w:cs="Calibri"/>
              </w:rPr>
              <w:t>86–99</w:t>
            </w:r>
          </w:p>
        </w:tc>
      </w:tr>
      <w:tr w:rsidR="00B47427" w:rsidRPr="00C1603D" w14:paraId="0B491813" w14:textId="77777777" w:rsidTr="00C953E5">
        <w:trPr>
          <w:cantSplit/>
          <w:tblHeader/>
        </w:trPr>
        <w:tc>
          <w:tcPr>
            <w:tcW w:w="0" w:type="auto"/>
            <w:shd w:val="clear" w:color="auto" w:fill="auto"/>
          </w:tcPr>
          <w:p w14:paraId="49C36FD3" w14:textId="684A74CF" w:rsidR="00C953E5" w:rsidRPr="00C1603D" w:rsidRDefault="00C953E5" w:rsidP="00C953E5">
            <w:pPr>
              <w:pStyle w:val="72TabletextTablesTableFigureBoxstyles"/>
            </w:pPr>
            <w:r w:rsidRPr="00C1603D">
              <w:rPr>
                <w:lang w:val="pt-BR"/>
              </w:rPr>
              <w:t>IgA EMA</w:t>
            </w:r>
          </w:p>
        </w:tc>
        <w:tc>
          <w:tcPr>
            <w:tcW w:w="0" w:type="auto"/>
            <w:shd w:val="clear" w:color="auto" w:fill="auto"/>
          </w:tcPr>
          <w:p w14:paraId="69A5D77F" w14:textId="0B701FE4" w:rsidR="00C953E5" w:rsidRPr="00C1603D" w:rsidRDefault="00C953E5" w:rsidP="00C953E5">
            <w:pPr>
              <w:pStyle w:val="72TabletextTablesTableFigureBoxstyles"/>
              <w:rPr>
                <w:rFonts w:cs="Calibri"/>
                <w:lang w:val="pt-BR"/>
              </w:rPr>
            </w:pPr>
            <w:r w:rsidRPr="00C1603D">
              <w:rPr>
                <w:rFonts w:cs="Calibri"/>
              </w:rPr>
              <w:t>28</w:t>
            </w:r>
          </w:p>
        </w:tc>
        <w:tc>
          <w:tcPr>
            <w:tcW w:w="0" w:type="auto"/>
            <w:shd w:val="clear" w:color="auto" w:fill="auto"/>
          </w:tcPr>
          <w:p w14:paraId="1A4915B4" w14:textId="67841683" w:rsidR="00C953E5" w:rsidRPr="00C1603D" w:rsidRDefault="00C953E5" w:rsidP="00C953E5">
            <w:pPr>
              <w:pStyle w:val="72TabletextTablesTableFigureBoxstyles"/>
              <w:rPr>
                <w:rFonts w:cs="Calibri"/>
              </w:rPr>
            </w:pPr>
            <w:r w:rsidRPr="00C1603D">
              <w:rPr>
                <w:rFonts w:cs="Calibri"/>
              </w:rPr>
              <w:t>4974 (2472)</w:t>
            </w:r>
          </w:p>
        </w:tc>
        <w:tc>
          <w:tcPr>
            <w:tcW w:w="0" w:type="auto"/>
            <w:shd w:val="clear" w:color="auto" w:fill="auto"/>
          </w:tcPr>
          <w:p w14:paraId="00D269D2" w14:textId="05FEB060" w:rsidR="00C953E5" w:rsidRPr="00C1603D" w:rsidRDefault="00C953E5" w:rsidP="00C953E5">
            <w:pPr>
              <w:pStyle w:val="72TabletextTablesTableFigureBoxstyles"/>
              <w:rPr>
                <w:rFonts w:cs="Calibri"/>
                <w:lang w:val="nl-NL"/>
              </w:rPr>
            </w:pPr>
            <w:r w:rsidRPr="00C1603D">
              <w:rPr>
                <w:rFonts w:cs="Calibri"/>
                <w:lang w:val="nl-NL"/>
              </w:rPr>
              <w:t>1</w:t>
            </w:r>
            <w:r w:rsidR="00B47427" w:rsidRPr="00C1603D">
              <w:rPr>
                <w:rFonts w:cs="Calibri"/>
                <w:lang w:val="nl-NL"/>
              </w:rPr>
              <w:t> </w:t>
            </w:r>
            <w:r w:rsidRPr="00C1603D">
              <w:rPr>
                <w:rFonts w:cs="Calibri"/>
                <w:lang w:val="nl-NL"/>
              </w:rPr>
              <w:t>:</w:t>
            </w:r>
            <w:r w:rsidR="00B47427" w:rsidRPr="00C1603D">
              <w:rPr>
                <w:rFonts w:cs="Calibri"/>
                <w:lang w:val="nl-NL"/>
              </w:rPr>
              <w:t> </w:t>
            </w:r>
            <w:r w:rsidRPr="00C1603D">
              <w:rPr>
                <w:rFonts w:cs="Calibri"/>
                <w:lang w:val="nl-NL"/>
              </w:rPr>
              <w:t>5–1</w:t>
            </w:r>
            <w:r w:rsidR="00B47427" w:rsidRPr="00C1603D">
              <w:rPr>
                <w:rFonts w:cs="Calibri"/>
                <w:lang w:val="nl-NL"/>
              </w:rPr>
              <w:t> </w:t>
            </w:r>
            <w:r w:rsidRPr="00C1603D">
              <w:rPr>
                <w:rFonts w:cs="Calibri"/>
                <w:lang w:val="nl-NL"/>
              </w:rPr>
              <w:t>:</w:t>
            </w:r>
            <w:r w:rsidR="00B47427" w:rsidRPr="00C1603D">
              <w:rPr>
                <w:rFonts w:cs="Calibri"/>
                <w:lang w:val="nl-NL"/>
              </w:rPr>
              <w:t> </w:t>
            </w:r>
            <w:r w:rsidRPr="00C1603D">
              <w:rPr>
                <w:rFonts w:cs="Calibri"/>
                <w:lang w:val="nl-NL"/>
              </w:rPr>
              <w:t>40</w:t>
            </w:r>
          </w:p>
        </w:tc>
        <w:tc>
          <w:tcPr>
            <w:tcW w:w="0" w:type="auto"/>
            <w:shd w:val="clear" w:color="auto" w:fill="auto"/>
          </w:tcPr>
          <w:p w14:paraId="23323F15" w14:textId="6C3DB059" w:rsidR="00C953E5" w:rsidRPr="00C1603D" w:rsidRDefault="00C953E5" w:rsidP="00C953E5">
            <w:pPr>
              <w:pStyle w:val="72TabletextTablesTableFigureBoxstyles"/>
              <w:rPr>
                <w:rFonts w:cs="Calibri"/>
              </w:rPr>
            </w:pPr>
            <w:r w:rsidRPr="00C1603D">
              <w:rPr>
                <w:rFonts w:cs="Calibri"/>
              </w:rPr>
              <w:t>40–100</w:t>
            </w:r>
          </w:p>
        </w:tc>
        <w:tc>
          <w:tcPr>
            <w:tcW w:w="0" w:type="auto"/>
            <w:shd w:val="clear" w:color="auto" w:fill="auto"/>
          </w:tcPr>
          <w:p w14:paraId="59AADF65" w14:textId="2F74B9F4" w:rsidR="00C953E5" w:rsidRPr="00C1603D" w:rsidRDefault="00C953E5" w:rsidP="00C953E5">
            <w:pPr>
              <w:pStyle w:val="72TabletextTablesTableFigureBoxstyles"/>
              <w:rPr>
                <w:rFonts w:cs="Calibri"/>
              </w:rPr>
            </w:pPr>
            <w:r w:rsidRPr="00C1603D">
              <w:rPr>
                <w:rFonts w:cs="Calibri"/>
              </w:rPr>
              <w:t>29–100</w:t>
            </w:r>
          </w:p>
        </w:tc>
      </w:tr>
      <w:tr w:rsidR="00B47427" w:rsidRPr="00C1603D" w14:paraId="5DC6AFF3" w14:textId="77777777" w:rsidTr="00C953E5">
        <w:trPr>
          <w:cantSplit/>
          <w:tblHeader/>
        </w:trPr>
        <w:tc>
          <w:tcPr>
            <w:tcW w:w="0" w:type="auto"/>
            <w:shd w:val="clear" w:color="auto" w:fill="auto"/>
          </w:tcPr>
          <w:p w14:paraId="6478D45C" w14:textId="32E0BC3F" w:rsidR="00C953E5" w:rsidRPr="00C1603D" w:rsidRDefault="00C953E5" w:rsidP="00C953E5">
            <w:pPr>
              <w:pStyle w:val="72TabletextTablesTableFigureBoxstyles"/>
            </w:pPr>
            <w:r w:rsidRPr="00C1603D">
              <w:rPr>
                <w:lang w:val="pt-BR"/>
              </w:rPr>
              <w:t>IgA/IgG EMA</w:t>
            </w:r>
          </w:p>
        </w:tc>
        <w:tc>
          <w:tcPr>
            <w:tcW w:w="0" w:type="auto"/>
            <w:shd w:val="clear" w:color="auto" w:fill="auto"/>
          </w:tcPr>
          <w:p w14:paraId="0A77B8F3" w14:textId="72A27B26" w:rsidR="00C953E5" w:rsidRPr="00C1603D" w:rsidRDefault="00C953E5" w:rsidP="00C953E5">
            <w:pPr>
              <w:pStyle w:val="72TabletextTablesTableFigureBoxstyles"/>
              <w:rPr>
                <w:rFonts w:cs="Calibri"/>
                <w:lang w:val="pt-BR"/>
              </w:rPr>
            </w:pPr>
            <w:r w:rsidRPr="00C1603D">
              <w:rPr>
                <w:rFonts w:cs="Calibri"/>
              </w:rPr>
              <w:t>2</w:t>
            </w:r>
          </w:p>
        </w:tc>
        <w:tc>
          <w:tcPr>
            <w:tcW w:w="0" w:type="auto"/>
            <w:shd w:val="clear" w:color="auto" w:fill="auto"/>
          </w:tcPr>
          <w:p w14:paraId="2DFEE87E" w14:textId="5E5B5ED5" w:rsidR="00C953E5" w:rsidRPr="00C1603D" w:rsidRDefault="00C953E5" w:rsidP="00C953E5">
            <w:pPr>
              <w:pStyle w:val="72TabletextTablesTableFigureBoxstyles"/>
              <w:rPr>
                <w:rFonts w:cs="Calibri"/>
              </w:rPr>
            </w:pPr>
            <w:r w:rsidRPr="00C1603D">
              <w:rPr>
                <w:rFonts w:cs="Calibri"/>
              </w:rPr>
              <w:t>173 (131)</w:t>
            </w:r>
          </w:p>
        </w:tc>
        <w:tc>
          <w:tcPr>
            <w:tcW w:w="0" w:type="auto"/>
            <w:shd w:val="clear" w:color="auto" w:fill="auto"/>
          </w:tcPr>
          <w:p w14:paraId="2729F5AD" w14:textId="5B8A806D" w:rsidR="00C953E5" w:rsidRPr="00C1603D" w:rsidRDefault="00C953E5" w:rsidP="00C953E5">
            <w:pPr>
              <w:pStyle w:val="72TabletextTablesTableFigureBoxstyles"/>
              <w:rPr>
                <w:rFonts w:cs="Calibri"/>
                <w:lang w:val="nl-NL"/>
              </w:rPr>
            </w:pPr>
            <w:r w:rsidRPr="00C1603D">
              <w:rPr>
                <w:rFonts w:cs="Calibri"/>
                <w:lang w:val="nl-NL"/>
              </w:rPr>
              <w:t>1</w:t>
            </w:r>
            <w:r w:rsidR="00B47427" w:rsidRPr="00C1603D">
              <w:rPr>
                <w:rFonts w:cs="Calibri"/>
                <w:lang w:val="nl-NL"/>
              </w:rPr>
              <w:t> </w:t>
            </w:r>
            <w:r w:rsidRPr="00C1603D">
              <w:rPr>
                <w:rFonts w:cs="Calibri"/>
                <w:lang w:val="nl-NL"/>
              </w:rPr>
              <w:t>:</w:t>
            </w:r>
            <w:r w:rsidR="00B47427" w:rsidRPr="00C1603D">
              <w:rPr>
                <w:rFonts w:cs="Calibri"/>
                <w:lang w:val="nl-NL"/>
              </w:rPr>
              <w:t> </w:t>
            </w:r>
            <w:r w:rsidRPr="00C1603D">
              <w:rPr>
                <w:rFonts w:cs="Calibri"/>
                <w:lang w:val="nl-NL"/>
              </w:rPr>
              <w:t>2.5–1</w:t>
            </w:r>
            <w:r w:rsidR="00B47427" w:rsidRPr="00C1603D">
              <w:rPr>
                <w:rFonts w:cs="Calibri"/>
                <w:lang w:val="nl-NL"/>
              </w:rPr>
              <w:t> </w:t>
            </w:r>
            <w:r w:rsidRPr="00C1603D">
              <w:rPr>
                <w:rFonts w:cs="Calibri"/>
                <w:lang w:val="nl-NL"/>
              </w:rPr>
              <w:t>:</w:t>
            </w:r>
            <w:r w:rsidR="00B47427" w:rsidRPr="00C1603D">
              <w:rPr>
                <w:rFonts w:cs="Calibri"/>
                <w:lang w:val="nl-NL"/>
              </w:rPr>
              <w:t> </w:t>
            </w:r>
            <w:r w:rsidRPr="00C1603D">
              <w:rPr>
                <w:rFonts w:cs="Calibri"/>
                <w:lang w:val="nl-NL"/>
              </w:rPr>
              <w:t>5</w:t>
            </w:r>
          </w:p>
        </w:tc>
        <w:tc>
          <w:tcPr>
            <w:tcW w:w="0" w:type="auto"/>
            <w:shd w:val="clear" w:color="auto" w:fill="auto"/>
          </w:tcPr>
          <w:p w14:paraId="0FC2C7C4" w14:textId="14B2BA5C" w:rsidR="00C953E5" w:rsidRPr="00C1603D" w:rsidRDefault="00C953E5" w:rsidP="00C953E5">
            <w:pPr>
              <w:pStyle w:val="72TabletextTablesTableFigureBoxstyles"/>
              <w:rPr>
                <w:rFonts w:cs="Calibri"/>
              </w:rPr>
            </w:pPr>
            <w:r w:rsidRPr="00C1603D">
              <w:rPr>
                <w:rFonts w:cs="Calibri"/>
              </w:rPr>
              <w:t>95–96</w:t>
            </w:r>
          </w:p>
        </w:tc>
        <w:tc>
          <w:tcPr>
            <w:tcW w:w="0" w:type="auto"/>
            <w:shd w:val="clear" w:color="auto" w:fill="auto"/>
          </w:tcPr>
          <w:p w14:paraId="3E765C7B" w14:textId="5B0A88AA" w:rsidR="00C953E5" w:rsidRPr="00C1603D" w:rsidRDefault="00C953E5" w:rsidP="00C953E5">
            <w:pPr>
              <w:pStyle w:val="72TabletextTablesTableFigureBoxstyles"/>
              <w:rPr>
                <w:rFonts w:cs="Calibri"/>
              </w:rPr>
            </w:pPr>
            <w:r w:rsidRPr="00C1603D">
              <w:rPr>
                <w:rFonts w:cs="Calibri"/>
              </w:rPr>
              <w:t>74–91</w:t>
            </w:r>
          </w:p>
        </w:tc>
      </w:tr>
      <w:tr w:rsidR="00B47427" w:rsidRPr="00C1603D" w14:paraId="2CD7453C" w14:textId="77777777" w:rsidTr="00C953E5">
        <w:trPr>
          <w:cantSplit/>
          <w:tblHeader/>
        </w:trPr>
        <w:tc>
          <w:tcPr>
            <w:tcW w:w="0" w:type="auto"/>
            <w:shd w:val="clear" w:color="auto" w:fill="auto"/>
          </w:tcPr>
          <w:p w14:paraId="333901F6" w14:textId="049C49C8" w:rsidR="00C953E5" w:rsidRPr="00C1603D" w:rsidRDefault="00C953E5" w:rsidP="00C953E5">
            <w:pPr>
              <w:pStyle w:val="72TabletextTablesTableFigureBoxstyles"/>
            </w:pPr>
            <w:r w:rsidRPr="00C1603D">
              <w:rPr>
                <w:lang w:val="pt-BR"/>
              </w:rPr>
              <w:t>IgA DGP</w:t>
            </w:r>
          </w:p>
        </w:tc>
        <w:tc>
          <w:tcPr>
            <w:tcW w:w="0" w:type="auto"/>
            <w:shd w:val="clear" w:color="auto" w:fill="auto"/>
          </w:tcPr>
          <w:p w14:paraId="2D0D04EC" w14:textId="7AC72A16" w:rsidR="00C953E5" w:rsidRPr="00C1603D" w:rsidRDefault="00C953E5" w:rsidP="00C953E5">
            <w:pPr>
              <w:pStyle w:val="72TabletextTablesTableFigureBoxstyles"/>
              <w:rPr>
                <w:rFonts w:cs="Calibri"/>
                <w:lang w:val="pt-BR"/>
              </w:rPr>
            </w:pPr>
            <w:r w:rsidRPr="00C1603D">
              <w:rPr>
                <w:rFonts w:cs="Calibri"/>
              </w:rPr>
              <w:t>1</w:t>
            </w:r>
          </w:p>
        </w:tc>
        <w:tc>
          <w:tcPr>
            <w:tcW w:w="0" w:type="auto"/>
            <w:shd w:val="clear" w:color="auto" w:fill="auto"/>
          </w:tcPr>
          <w:p w14:paraId="6782A14E" w14:textId="45A6832E" w:rsidR="00C953E5" w:rsidRPr="00C1603D" w:rsidRDefault="00C953E5" w:rsidP="00C953E5">
            <w:pPr>
              <w:pStyle w:val="72TabletextTablesTableFigureBoxstyles"/>
              <w:rPr>
                <w:rFonts w:cs="Calibri"/>
              </w:rPr>
            </w:pPr>
            <w:r w:rsidRPr="00C1603D">
              <w:rPr>
                <w:rFonts w:cs="Calibri"/>
              </w:rPr>
              <w:t>212 (109)</w:t>
            </w:r>
          </w:p>
        </w:tc>
        <w:tc>
          <w:tcPr>
            <w:tcW w:w="0" w:type="auto"/>
            <w:shd w:val="clear" w:color="auto" w:fill="auto"/>
          </w:tcPr>
          <w:p w14:paraId="197329CB" w14:textId="6BE456DB" w:rsidR="00C953E5" w:rsidRPr="00C1603D" w:rsidRDefault="00C953E5" w:rsidP="00C953E5">
            <w:pPr>
              <w:pStyle w:val="72TabletextTablesTableFigureBoxstyles"/>
              <w:rPr>
                <w:rFonts w:cs="Calibri"/>
                <w:lang w:val="nl-NL"/>
              </w:rPr>
            </w:pPr>
            <w:r w:rsidRPr="00C1603D">
              <w:rPr>
                <w:rFonts w:cs="Calibri"/>
                <w:lang w:val="nl-NL"/>
              </w:rPr>
              <w:t>20</w:t>
            </w:r>
            <w:r w:rsidR="00B47427" w:rsidRPr="00C1603D">
              <w:rPr>
                <w:rFonts w:cs="Calibri"/>
                <w:lang w:val="nl-NL"/>
              </w:rPr>
              <w:t> </w:t>
            </w:r>
            <w:r w:rsidRPr="00C1603D">
              <w:rPr>
                <w:rFonts w:cs="Calibri"/>
                <w:lang w:val="nl-NL"/>
              </w:rPr>
              <w:t>U/m</w:t>
            </w:r>
            <w:r w:rsidR="002966D3" w:rsidRPr="00C1603D">
              <w:rPr>
                <w:rFonts w:cs="Calibri"/>
                <w:lang w:val="nl-NL"/>
              </w:rPr>
              <w:t>l</w:t>
            </w:r>
          </w:p>
        </w:tc>
        <w:tc>
          <w:tcPr>
            <w:tcW w:w="0" w:type="auto"/>
            <w:shd w:val="clear" w:color="auto" w:fill="auto"/>
          </w:tcPr>
          <w:p w14:paraId="72171F45" w14:textId="3B744E34" w:rsidR="00C953E5" w:rsidRPr="00C1603D" w:rsidRDefault="00C953E5" w:rsidP="00C953E5">
            <w:pPr>
              <w:pStyle w:val="72TabletextTablesTableFigureBoxstyles"/>
              <w:rPr>
                <w:rFonts w:cs="Calibri"/>
              </w:rPr>
            </w:pPr>
            <w:r w:rsidRPr="00C1603D">
              <w:rPr>
                <w:rFonts w:cs="Calibri"/>
              </w:rPr>
              <w:t>85</w:t>
            </w:r>
          </w:p>
        </w:tc>
        <w:tc>
          <w:tcPr>
            <w:tcW w:w="0" w:type="auto"/>
            <w:shd w:val="clear" w:color="auto" w:fill="auto"/>
          </w:tcPr>
          <w:p w14:paraId="7C1781B0" w14:textId="77E904C4" w:rsidR="00C953E5" w:rsidRPr="00C1603D" w:rsidRDefault="00C953E5" w:rsidP="00C953E5">
            <w:pPr>
              <w:pStyle w:val="72TabletextTablesTableFigureBoxstyles"/>
              <w:rPr>
                <w:rFonts w:cs="Calibri"/>
              </w:rPr>
            </w:pPr>
            <w:r w:rsidRPr="00C1603D">
              <w:rPr>
                <w:rFonts w:cs="Calibri"/>
              </w:rPr>
              <w:t>88</w:t>
            </w:r>
          </w:p>
        </w:tc>
      </w:tr>
      <w:tr w:rsidR="00B47427" w:rsidRPr="00C1603D" w14:paraId="13608BA0" w14:textId="77777777" w:rsidTr="00C953E5">
        <w:trPr>
          <w:cantSplit/>
          <w:tblHeader/>
        </w:trPr>
        <w:tc>
          <w:tcPr>
            <w:tcW w:w="0" w:type="auto"/>
            <w:shd w:val="clear" w:color="auto" w:fill="auto"/>
          </w:tcPr>
          <w:p w14:paraId="6F280135" w14:textId="4168D847" w:rsidR="00C953E5" w:rsidRPr="00C1603D" w:rsidRDefault="00C953E5" w:rsidP="00C953E5">
            <w:pPr>
              <w:pStyle w:val="72TabletextTablesTableFigureBoxstyles"/>
            </w:pPr>
            <w:r w:rsidRPr="00C1603D">
              <w:rPr>
                <w:lang w:val="pt-BR"/>
              </w:rPr>
              <w:t>IgG DGP</w:t>
            </w:r>
          </w:p>
        </w:tc>
        <w:tc>
          <w:tcPr>
            <w:tcW w:w="0" w:type="auto"/>
            <w:shd w:val="clear" w:color="auto" w:fill="auto"/>
          </w:tcPr>
          <w:p w14:paraId="6CC33727" w14:textId="6E3DE60B" w:rsidR="00C953E5" w:rsidRPr="00C1603D" w:rsidRDefault="00C953E5" w:rsidP="00C953E5">
            <w:pPr>
              <w:pStyle w:val="72TabletextTablesTableFigureBoxstyles"/>
              <w:rPr>
                <w:rFonts w:cs="Calibri"/>
                <w:lang w:val="pt-BR"/>
              </w:rPr>
            </w:pPr>
            <w:r w:rsidRPr="00C1603D">
              <w:rPr>
                <w:rFonts w:cs="Calibri"/>
              </w:rPr>
              <w:t>3</w:t>
            </w:r>
          </w:p>
        </w:tc>
        <w:tc>
          <w:tcPr>
            <w:tcW w:w="0" w:type="auto"/>
            <w:shd w:val="clear" w:color="auto" w:fill="auto"/>
          </w:tcPr>
          <w:p w14:paraId="1827B866" w14:textId="57AF346C" w:rsidR="00C953E5" w:rsidRPr="00C1603D" w:rsidRDefault="00C953E5" w:rsidP="00C953E5">
            <w:pPr>
              <w:pStyle w:val="72TabletextTablesTableFigureBoxstyles"/>
              <w:rPr>
                <w:rFonts w:cs="Calibri"/>
              </w:rPr>
            </w:pPr>
            <w:r w:rsidRPr="00C1603D">
              <w:rPr>
                <w:rFonts w:cs="Calibri"/>
              </w:rPr>
              <w:t>1135 (669)</w:t>
            </w:r>
          </w:p>
        </w:tc>
        <w:tc>
          <w:tcPr>
            <w:tcW w:w="0" w:type="auto"/>
            <w:shd w:val="clear" w:color="auto" w:fill="auto"/>
          </w:tcPr>
          <w:p w14:paraId="46D9E3D1" w14:textId="378FAC25" w:rsidR="00C953E5" w:rsidRPr="00C1603D" w:rsidRDefault="00C953E5" w:rsidP="00C953E5">
            <w:pPr>
              <w:pStyle w:val="72TabletextTablesTableFigureBoxstyles"/>
              <w:rPr>
                <w:rFonts w:cs="Calibri"/>
                <w:lang w:val="nl-NL"/>
              </w:rPr>
            </w:pPr>
            <w:r w:rsidRPr="00C1603D">
              <w:rPr>
                <w:rFonts w:cs="Calibri"/>
              </w:rPr>
              <w:t>10–25</w:t>
            </w:r>
            <w:r w:rsidR="00B47427" w:rsidRPr="00C1603D">
              <w:rPr>
                <w:rFonts w:cs="Calibri"/>
              </w:rPr>
              <w:t> </w:t>
            </w:r>
            <w:r w:rsidRPr="00C1603D">
              <w:rPr>
                <w:rFonts w:cs="Calibri"/>
              </w:rPr>
              <w:t>U/m</w:t>
            </w:r>
            <w:r w:rsidR="002966D3" w:rsidRPr="00C1603D">
              <w:rPr>
                <w:rFonts w:cs="Calibri"/>
              </w:rPr>
              <w:t>l</w:t>
            </w:r>
          </w:p>
        </w:tc>
        <w:tc>
          <w:tcPr>
            <w:tcW w:w="0" w:type="auto"/>
            <w:shd w:val="clear" w:color="auto" w:fill="auto"/>
          </w:tcPr>
          <w:p w14:paraId="30059CB2" w14:textId="4245C7B2" w:rsidR="00C953E5" w:rsidRPr="00C1603D" w:rsidRDefault="00C953E5" w:rsidP="00C953E5">
            <w:pPr>
              <w:pStyle w:val="72TabletextTablesTableFigureBoxstyles"/>
              <w:rPr>
                <w:rFonts w:cs="Calibri"/>
              </w:rPr>
            </w:pPr>
            <w:r w:rsidRPr="00C1603D">
              <w:rPr>
                <w:rFonts w:cs="Calibri"/>
              </w:rPr>
              <w:t>77–92</w:t>
            </w:r>
          </w:p>
        </w:tc>
        <w:tc>
          <w:tcPr>
            <w:tcW w:w="0" w:type="auto"/>
            <w:shd w:val="clear" w:color="auto" w:fill="auto"/>
          </w:tcPr>
          <w:p w14:paraId="62593559" w14:textId="59CC8DC9" w:rsidR="00C953E5" w:rsidRPr="00C1603D" w:rsidRDefault="00C953E5" w:rsidP="00C953E5">
            <w:pPr>
              <w:pStyle w:val="72TabletextTablesTableFigureBoxstyles"/>
              <w:rPr>
                <w:rFonts w:cs="Calibri"/>
              </w:rPr>
            </w:pPr>
            <w:r w:rsidRPr="00C1603D">
              <w:rPr>
                <w:rFonts w:cs="Calibri"/>
              </w:rPr>
              <w:t>84–94</w:t>
            </w:r>
          </w:p>
        </w:tc>
      </w:tr>
      <w:tr w:rsidR="00B47427" w:rsidRPr="00C1603D" w14:paraId="43BCEB94" w14:textId="77777777" w:rsidTr="00C953E5">
        <w:trPr>
          <w:cantSplit/>
          <w:tblHeader/>
        </w:trPr>
        <w:tc>
          <w:tcPr>
            <w:tcW w:w="0" w:type="auto"/>
            <w:shd w:val="clear" w:color="auto" w:fill="auto"/>
          </w:tcPr>
          <w:p w14:paraId="4031FE64" w14:textId="36BF5797" w:rsidR="00C953E5" w:rsidRPr="00C1603D" w:rsidRDefault="00C953E5" w:rsidP="00C953E5">
            <w:pPr>
              <w:pStyle w:val="72TabletextTablesTableFigureBoxstyles"/>
            </w:pPr>
            <w:r w:rsidRPr="00C1603D">
              <w:rPr>
                <w:lang w:val="pt-BR"/>
              </w:rPr>
              <w:t>IgA/IgG DGP</w:t>
            </w:r>
          </w:p>
        </w:tc>
        <w:tc>
          <w:tcPr>
            <w:tcW w:w="0" w:type="auto"/>
            <w:shd w:val="clear" w:color="auto" w:fill="auto"/>
          </w:tcPr>
          <w:p w14:paraId="58F915F2" w14:textId="65900775" w:rsidR="00C953E5" w:rsidRPr="00C1603D" w:rsidRDefault="00C953E5" w:rsidP="00C953E5">
            <w:pPr>
              <w:pStyle w:val="72TabletextTablesTableFigureBoxstyles"/>
              <w:rPr>
                <w:rFonts w:cs="Calibri"/>
                <w:lang w:val="pt-BR"/>
              </w:rPr>
            </w:pPr>
            <w:r w:rsidRPr="00C1603D">
              <w:rPr>
                <w:rFonts w:cs="Calibri"/>
              </w:rPr>
              <w:t>6</w:t>
            </w:r>
          </w:p>
        </w:tc>
        <w:tc>
          <w:tcPr>
            <w:tcW w:w="0" w:type="auto"/>
            <w:shd w:val="clear" w:color="auto" w:fill="auto"/>
          </w:tcPr>
          <w:p w14:paraId="66CBDA06" w14:textId="617AF7E8" w:rsidR="00C953E5" w:rsidRPr="00C1603D" w:rsidRDefault="00C953E5" w:rsidP="00C953E5">
            <w:pPr>
              <w:pStyle w:val="72TabletextTablesTableFigureBoxstyles"/>
              <w:rPr>
                <w:rFonts w:cs="Calibri"/>
              </w:rPr>
            </w:pPr>
            <w:r w:rsidRPr="00C1603D">
              <w:rPr>
                <w:rFonts w:cs="Calibri"/>
              </w:rPr>
              <w:t>941 (464)</w:t>
            </w:r>
          </w:p>
        </w:tc>
        <w:tc>
          <w:tcPr>
            <w:tcW w:w="0" w:type="auto"/>
            <w:shd w:val="clear" w:color="auto" w:fill="auto"/>
          </w:tcPr>
          <w:p w14:paraId="357814B6" w14:textId="30A5834E" w:rsidR="00C953E5" w:rsidRPr="00C1603D" w:rsidRDefault="00C953E5" w:rsidP="00C953E5">
            <w:pPr>
              <w:pStyle w:val="72TabletextTablesTableFigureBoxstyles"/>
              <w:rPr>
                <w:rFonts w:cs="Calibri"/>
                <w:lang w:val="nl-NL"/>
              </w:rPr>
            </w:pPr>
            <w:r w:rsidRPr="00C1603D">
              <w:rPr>
                <w:rFonts w:cs="Calibri"/>
              </w:rPr>
              <w:t>16–20</w:t>
            </w:r>
            <w:r w:rsidR="00B47427" w:rsidRPr="00C1603D">
              <w:rPr>
                <w:rFonts w:cs="Calibri"/>
              </w:rPr>
              <w:t> </w:t>
            </w:r>
            <w:r w:rsidRPr="00C1603D">
              <w:rPr>
                <w:rFonts w:cs="Calibri"/>
              </w:rPr>
              <w:t>U/m</w:t>
            </w:r>
            <w:r w:rsidR="002966D3" w:rsidRPr="00C1603D">
              <w:rPr>
                <w:rFonts w:cs="Calibri"/>
              </w:rPr>
              <w:t>l</w:t>
            </w:r>
          </w:p>
        </w:tc>
        <w:tc>
          <w:tcPr>
            <w:tcW w:w="0" w:type="auto"/>
            <w:shd w:val="clear" w:color="auto" w:fill="auto"/>
          </w:tcPr>
          <w:p w14:paraId="5ABF5F9C" w14:textId="58D1976C" w:rsidR="00C953E5" w:rsidRPr="00C1603D" w:rsidRDefault="00C953E5" w:rsidP="00C953E5">
            <w:pPr>
              <w:pStyle w:val="72TabletextTablesTableFigureBoxstyles"/>
              <w:rPr>
                <w:rFonts w:cs="Calibri"/>
              </w:rPr>
            </w:pPr>
            <w:r w:rsidRPr="00C1603D">
              <w:rPr>
                <w:rFonts w:cs="Calibri"/>
              </w:rPr>
              <w:t>88–100</w:t>
            </w:r>
          </w:p>
        </w:tc>
        <w:tc>
          <w:tcPr>
            <w:tcW w:w="0" w:type="auto"/>
            <w:shd w:val="clear" w:color="auto" w:fill="auto"/>
          </w:tcPr>
          <w:p w14:paraId="7AC3C72C" w14:textId="678EEC77" w:rsidR="00C953E5" w:rsidRPr="00C1603D" w:rsidRDefault="00C953E5" w:rsidP="00C953E5">
            <w:pPr>
              <w:pStyle w:val="72TabletextTablesTableFigureBoxstyles"/>
              <w:rPr>
                <w:rFonts w:cs="Calibri"/>
              </w:rPr>
            </w:pPr>
            <w:r w:rsidRPr="00C1603D">
              <w:rPr>
                <w:rFonts w:cs="Calibri"/>
              </w:rPr>
              <w:t>22–96</w:t>
            </w:r>
          </w:p>
        </w:tc>
      </w:tr>
      <w:tr w:rsidR="00B47427" w:rsidRPr="00C1603D" w14:paraId="4B3AD1D5" w14:textId="77777777" w:rsidTr="00C953E5">
        <w:trPr>
          <w:cantSplit/>
          <w:tblHeader/>
        </w:trPr>
        <w:tc>
          <w:tcPr>
            <w:tcW w:w="0" w:type="auto"/>
            <w:shd w:val="clear" w:color="auto" w:fill="auto"/>
          </w:tcPr>
          <w:p w14:paraId="4C7B07E3" w14:textId="68C51A91" w:rsidR="00C953E5" w:rsidRPr="00C1603D" w:rsidRDefault="00C953E5" w:rsidP="00C953E5">
            <w:pPr>
              <w:pStyle w:val="72TabletextTablesTableFigureBoxstyles"/>
            </w:pPr>
            <w:r w:rsidRPr="00C1603D">
              <w:rPr>
                <w:lang w:val="pt-BR"/>
              </w:rPr>
              <w:t>IgA/IgG tTG/DGP</w:t>
            </w:r>
          </w:p>
        </w:tc>
        <w:tc>
          <w:tcPr>
            <w:tcW w:w="0" w:type="auto"/>
            <w:shd w:val="clear" w:color="auto" w:fill="auto"/>
          </w:tcPr>
          <w:p w14:paraId="26EA5BE5" w14:textId="6C992947" w:rsidR="00C953E5" w:rsidRPr="00C1603D" w:rsidRDefault="00C953E5" w:rsidP="00C953E5">
            <w:pPr>
              <w:pStyle w:val="72TabletextTablesTableFigureBoxstyles"/>
              <w:rPr>
                <w:rFonts w:cs="Calibri"/>
                <w:lang w:val="pt-BR"/>
              </w:rPr>
            </w:pPr>
            <w:r w:rsidRPr="00C1603D">
              <w:rPr>
                <w:rFonts w:cs="Calibri"/>
              </w:rPr>
              <w:t>4</w:t>
            </w:r>
          </w:p>
        </w:tc>
        <w:tc>
          <w:tcPr>
            <w:tcW w:w="0" w:type="auto"/>
            <w:shd w:val="clear" w:color="auto" w:fill="auto"/>
          </w:tcPr>
          <w:p w14:paraId="07D41E29" w14:textId="4AD18B9E" w:rsidR="00C953E5" w:rsidRPr="00C1603D" w:rsidRDefault="00C953E5" w:rsidP="00C953E5">
            <w:pPr>
              <w:pStyle w:val="72TabletextTablesTableFigureBoxstyles"/>
              <w:rPr>
                <w:rFonts w:cs="Calibri"/>
              </w:rPr>
            </w:pPr>
            <w:r w:rsidRPr="00C1603D">
              <w:rPr>
                <w:rFonts w:cs="Calibri"/>
              </w:rPr>
              <w:t>986 (415)</w:t>
            </w:r>
          </w:p>
        </w:tc>
        <w:tc>
          <w:tcPr>
            <w:tcW w:w="0" w:type="auto"/>
            <w:shd w:val="clear" w:color="auto" w:fill="auto"/>
          </w:tcPr>
          <w:p w14:paraId="6F95C6AF" w14:textId="365B8195" w:rsidR="00C953E5" w:rsidRPr="00C1603D" w:rsidRDefault="00C953E5" w:rsidP="00C953E5">
            <w:pPr>
              <w:pStyle w:val="72TabletextTablesTableFigureBoxstyles"/>
              <w:rPr>
                <w:rFonts w:cs="Calibri"/>
                <w:lang w:val="nl-NL"/>
              </w:rPr>
            </w:pPr>
            <w:r w:rsidRPr="00C1603D">
              <w:rPr>
                <w:rFonts w:cs="Calibri"/>
              </w:rPr>
              <w:t>3–32.7</w:t>
            </w:r>
            <w:r w:rsidR="00B47427" w:rsidRPr="00C1603D">
              <w:rPr>
                <w:rFonts w:cs="Calibri"/>
              </w:rPr>
              <w:t> </w:t>
            </w:r>
            <w:r w:rsidRPr="00C1603D">
              <w:rPr>
                <w:rFonts w:cs="Calibri"/>
              </w:rPr>
              <w:t>U/m</w:t>
            </w:r>
            <w:r w:rsidR="002966D3" w:rsidRPr="00C1603D">
              <w:rPr>
                <w:rFonts w:cs="Calibri"/>
              </w:rPr>
              <w:t>l</w:t>
            </w:r>
          </w:p>
        </w:tc>
        <w:tc>
          <w:tcPr>
            <w:tcW w:w="0" w:type="auto"/>
            <w:shd w:val="clear" w:color="auto" w:fill="auto"/>
          </w:tcPr>
          <w:p w14:paraId="5FF425D4" w14:textId="508405B8" w:rsidR="00C953E5" w:rsidRPr="00C1603D" w:rsidRDefault="00C953E5" w:rsidP="00C953E5">
            <w:pPr>
              <w:pStyle w:val="72TabletextTablesTableFigureBoxstyles"/>
              <w:rPr>
                <w:rFonts w:cs="Calibri"/>
              </w:rPr>
            </w:pPr>
            <w:r w:rsidRPr="00C1603D">
              <w:rPr>
                <w:rFonts w:cs="Calibri"/>
              </w:rPr>
              <w:t>88–98</w:t>
            </w:r>
          </w:p>
        </w:tc>
        <w:tc>
          <w:tcPr>
            <w:tcW w:w="0" w:type="auto"/>
            <w:shd w:val="clear" w:color="auto" w:fill="auto"/>
          </w:tcPr>
          <w:p w14:paraId="345C1267" w14:textId="6214E14E" w:rsidR="00C953E5" w:rsidRPr="00C1603D" w:rsidRDefault="00C953E5" w:rsidP="00C953E5">
            <w:pPr>
              <w:pStyle w:val="72TabletextTablesTableFigureBoxstyles"/>
              <w:rPr>
                <w:rFonts w:cs="Calibri"/>
              </w:rPr>
            </w:pPr>
            <w:r w:rsidRPr="00C1603D">
              <w:rPr>
                <w:rFonts w:cs="Calibri"/>
              </w:rPr>
              <w:t>61–99</w:t>
            </w:r>
          </w:p>
        </w:tc>
      </w:tr>
      <w:tr w:rsidR="00C953E5" w:rsidRPr="00C1603D" w14:paraId="50883116" w14:textId="77777777" w:rsidTr="00C953E5">
        <w:trPr>
          <w:cantSplit/>
          <w:tblHeader/>
        </w:trPr>
        <w:tc>
          <w:tcPr>
            <w:tcW w:w="0" w:type="auto"/>
            <w:gridSpan w:val="6"/>
            <w:shd w:val="clear" w:color="auto" w:fill="auto"/>
          </w:tcPr>
          <w:p w14:paraId="201E96B4" w14:textId="56EF0B71" w:rsidR="00C953E5" w:rsidRPr="00C1603D" w:rsidRDefault="00C953E5" w:rsidP="00C953E5">
            <w:pPr>
              <w:pStyle w:val="711TablesubheadATablesTableFigureBoxstyles"/>
              <w:rPr>
                <w:rFonts w:cs="Humanist777BT-LightB"/>
              </w:rPr>
            </w:pPr>
            <w:r w:rsidRPr="00C1603D">
              <w:t>Mixed or unspecified</w:t>
            </w:r>
          </w:p>
        </w:tc>
      </w:tr>
      <w:tr w:rsidR="00B47427" w:rsidRPr="00C1603D" w14:paraId="2B29C38F" w14:textId="77777777" w:rsidTr="00C953E5">
        <w:trPr>
          <w:cantSplit/>
          <w:tblHeader/>
        </w:trPr>
        <w:tc>
          <w:tcPr>
            <w:tcW w:w="0" w:type="auto"/>
            <w:shd w:val="clear" w:color="auto" w:fill="auto"/>
          </w:tcPr>
          <w:p w14:paraId="309FDC4F" w14:textId="5D403760" w:rsidR="00C953E5" w:rsidRPr="00C1603D" w:rsidRDefault="00C953E5" w:rsidP="00C953E5">
            <w:pPr>
              <w:pStyle w:val="72TabletextTablesTableFigureBoxstyles"/>
            </w:pPr>
            <w:r w:rsidRPr="00C1603D">
              <w:rPr>
                <w:rFonts w:cs="Lato"/>
              </w:rPr>
              <w:t>IgA tTG</w:t>
            </w:r>
          </w:p>
        </w:tc>
        <w:tc>
          <w:tcPr>
            <w:tcW w:w="0" w:type="auto"/>
            <w:shd w:val="clear" w:color="auto" w:fill="auto"/>
          </w:tcPr>
          <w:p w14:paraId="7FD392A5" w14:textId="03994AD3" w:rsidR="00C953E5" w:rsidRPr="00C1603D" w:rsidRDefault="00C953E5" w:rsidP="00C953E5">
            <w:pPr>
              <w:pStyle w:val="72TabletextTablesTableFigureBoxstyles"/>
              <w:rPr>
                <w:rFonts w:cs="Calibri"/>
                <w:lang w:val="pt-BR"/>
              </w:rPr>
            </w:pPr>
            <w:r w:rsidRPr="00C1603D">
              <w:rPr>
                <w:rFonts w:cs="Calibri"/>
              </w:rPr>
              <w:t>25</w:t>
            </w:r>
          </w:p>
        </w:tc>
        <w:tc>
          <w:tcPr>
            <w:tcW w:w="0" w:type="auto"/>
            <w:shd w:val="clear" w:color="auto" w:fill="auto"/>
          </w:tcPr>
          <w:p w14:paraId="72ADBCDF" w14:textId="2AD8382D" w:rsidR="00C953E5" w:rsidRPr="00C1603D" w:rsidRDefault="00C953E5" w:rsidP="00C953E5">
            <w:pPr>
              <w:pStyle w:val="72TabletextTablesTableFigureBoxstyles"/>
              <w:rPr>
                <w:rFonts w:cs="Calibri"/>
              </w:rPr>
            </w:pPr>
            <w:r w:rsidRPr="00C1603D">
              <w:rPr>
                <w:rFonts w:cs="Calibri"/>
              </w:rPr>
              <w:t>4564 (1414)</w:t>
            </w:r>
          </w:p>
        </w:tc>
        <w:tc>
          <w:tcPr>
            <w:tcW w:w="0" w:type="auto"/>
            <w:shd w:val="clear" w:color="auto" w:fill="auto"/>
          </w:tcPr>
          <w:p w14:paraId="0E33BDD0" w14:textId="17C1909E" w:rsidR="00C953E5" w:rsidRPr="00C1603D" w:rsidRDefault="00C953E5" w:rsidP="00C953E5">
            <w:pPr>
              <w:pStyle w:val="72TabletextTablesTableFigureBoxstyles"/>
              <w:rPr>
                <w:rFonts w:cs="Calibri"/>
                <w:lang w:val="nl-NL"/>
              </w:rPr>
            </w:pPr>
            <w:r w:rsidRPr="00C1603D">
              <w:rPr>
                <w:rFonts w:cs="Calibri"/>
                <w:lang w:val="nl-NL"/>
              </w:rPr>
              <w:t>2</w:t>
            </w:r>
            <w:r w:rsidR="00B47427" w:rsidRPr="00C1603D">
              <w:rPr>
                <w:rFonts w:cs="Calibri"/>
                <w:lang w:val="nl-NL"/>
              </w:rPr>
              <w:t>–</w:t>
            </w:r>
            <w:r w:rsidRPr="00C1603D">
              <w:rPr>
                <w:rFonts w:cs="Calibri"/>
                <w:lang w:val="nl-NL"/>
              </w:rPr>
              <w:t>89.5</w:t>
            </w:r>
            <w:r w:rsidR="00B47427" w:rsidRPr="00C1603D">
              <w:rPr>
                <w:rFonts w:cs="Calibri"/>
                <w:lang w:val="nl-NL"/>
              </w:rPr>
              <w:t> </w:t>
            </w:r>
            <w:r w:rsidRPr="00C1603D">
              <w:rPr>
                <w:rFonts w:cs="Calibri"/>
                <w:lang w:val="nl-NL"/>
              </w:rPr>
              <w:t>U/m</w:t>
            </w:r>
            <w:r w:rsidR="00B47427" w:rsidRPr="00C1603D">
              <w:rPr>
                <w:rFonts w:cs="Calibri"/>
                <w:lang w:val="nl-NL"/>
              </w:rPr>
              <w:t>l</w:t>
            </w:r>
          </w:p>
        </w:tc>
        <w:tc>
          <w:tcPr>
            <w:tcW w:w="0" w:type="auto"/>
            <w:shd w:val="clear" w:color="auto" w:fill="auto"/>
          </w:tcPr>
          <w:p w14:paraId="72057F58" w14:textId="4F698AFA" w:rsidR="00C953E5" w:rsidRPr="00C1603D" w:rsidRDefault="00C953E5" w:rsidP="00C953E5">
            <w:pPr>
              <w:pStyle w:val="72TabletextTablesTableFigureBoxstyles"/>
              <w:rPr>
                <w:rFonts w:cs="Calibri"/>
              </w:rPr>
            </w:pPr>
            <w:r w:rsidRPr="00C1603D">
              <w:rPr>
                <w:rFonts w:cs="Calibri"/>
              </w:rPr>
              <w:t>38</w:t>
            </w:r>
            <w:r w:rsidR="00B47427" w:rsidRPr="00C1603D">
              <w:rPr>
                <w:rFonts w:cs="Calibri"/>
              </w:rPr>
              <w:t>–</w:t>
            </w:r>
            <w:r w:rsidRPr="00C1603D">
              <w:rPr>
                <w:rFonts w:cs="Calibri"/>
              </w:rPr>
              <w:t>100</w:t>
            </w:r>
          </w:p>
        </w:tc>
        <w:tc>
          <w:tcPr>
            <w:tcW w:w="0" w:type="auto"/>
            <w:shd w:val="clear" w:color="auto" w:fill="auto"/>
          </w:tcPr>
          <w:p w14:paraId="57F3484E" w14:textId="2F6B6ACD" w:rsidR="00C953E5" w:rsidRPr="00C1603D" w:rsidRDefault="00C953E5" w:rsidP="00C953E5">
            <w:pPr>
              <w:pStyle w:val="72TabletextTablesTableFigureBoxstyles"/>
              <w:rPr>
                <w:rFonts w:cs="Calibri"/>
              </w:rPr>
            </w:pPr>
            <w:r w:rsidRPr="00C1603D">
              <w:rPr>
                <w:rFonts w:cs="Calibri"/>
              </w:rPr>
              <w:t>9.5</w:t>
            </w:r>
            <w:r w:rsidR="00B47427" w:rsidRPr="00C1603D">
              <w:rPr>
                <w:rFonts w:cs="Calibri"/>
              </w:rPr>
              <w:t>–</w:t>
            </w:r>
            <w:r w:rsidRPr="00C1603D">
              <w:rPr>
                <w:rFonts w:cs="Calibri"/>
              </w:rPr>
              <w:t>100</w:t>
            </w:r>
          </w:p>
        </w:tc>
      </w:tr>
      <w:tr w:rsidR="00B47427" w:rsidRPr="00C1603D" w14:paraId="7A025C6A" w14:textId="77777777" w:rsidTr="00C953E5">
        <w:trPr>
          <w:cantSplit/>
          <w:tblHeader/>
        </w:trPr>
        <w:tc>
          <w:tcPr>
            <w:tcW w:w="0" w:type="auto"/>
            <w:shd w:val="clear" w:color="auto" w:fill="auto"/>
          </w:tcPr>
          <w:p w14:paraId="1AAD3BA1" w14:textId="2A5D9291" w:rsidR="00C953E5" w:rsidRPr="00C1603D" w:rsidRDefault="00C953E5" w:rsidP="00C953E5">
            <w:pPr>
              <w:pStyle w:val="72TabletextTablesTableFigureBoxstyles"/>
            </w:pPr>
            <w:r w:rsidRPr="00C1603D">
              <w:rPr>
                <w:rFonts w:cs="Lato"/>
              </w:rPr>
              <w:t>IgG tTG</w:t>
            </w:r>
          </w:p>
        </w:tc>
        <w:tc>
          <w:tcPr>
            <w:tcW w:w="0" w:type="auto"/>
            <w:shd w:val="clear" w:color="auto" w:fill="auto"/>
          </w:tcPr>
          <w:p w14:paraId="02D54EBB" w14:textId="62CC9080" w:rsidR="00C953E5" w:rsidRPr="00C1603D" w:rsidRDefault="00C953E5" w:rsidP="00C953E5">
            <w:pPr>
              <w:pStyle w:val="72TabletextTablesTableFigureBoxstyles"/>
              <w:rPr>
                <w:rFonts w:cs="Calibri"/>
                <w:lang w:val="pt-BR"/>
              </w:rPr>
            </w:pPr>
            <w:r w:rsidRPr="00C1603D">
              <w:rPr>
                <w:rFonts w:cs="Calibri"/>
              </w:rPr>
              <w:t>2</w:t>
            </w:r>
          </w:p>
        </w:tc>
        <w:tc>
          <w:tcPr>
            <w:tcW w:w="0" w:type="auto"/>
            <w:shd w:val="clear" w:color="auto" w:fill="auto"/>
          </w:tcPr>
          <w:p w14:paraId="4C3A1B19" w14:textId="5CD077CF" w:rsidR="00C953E5" w:rsidRPr="00C1603D" w:rsidRDefault="00C953E5" w:rsidP="00C953E5">
            <w:pPr>
              <w:pStyle w:val="72TabletextTablesTableFigureBoxstyles"/>
              <w:rPr>
                <w:rFonts w:cs="Calibri"/>
              </w:rPr>
            </w:pPr>
            <w:r w:rsidRPr="00C1603D">
              <w:rPr>
                <w:rFonts w:cs="Calibri"/>
              </w:rPr>
              <w:t>432 (122)</w:t>
            </w:r>
          </w:p>
        </w:tc>
        <w:tc>
          <w:tcPr>
            <w:tcW w:w="0" w:type="auto"/>
            <w:shd w:val="clear" w:color="auto" w:fill="auto"/>
          </w:tcPr>
          <w:p w14:paraId="6C2E6CA4" w14:textId="0DDEAA8F" w:rsidR="00C953E5" w:rsidRPr="00C1603D" w:rsidRDefault="00C953E5" w:rsidP="00C953E5">
            <w:pPr>
              <w:pStyle w:val="72TabletextTablesTableFigureBoxstyles"/>
              <w:rPr>
                <w:rFonts w:cs="Calibri"/>
                <w:lang w:val="nl-NL"/>
              </w:rPr>
            </w:pPr>
            <w:r w:rsidRPr="00C1603D">
              <w:rPr>
                <w:rFonts w:cs="Calibri"/>
                <w:lang w:val="nl-NL"/>
              </w:rPr>
              <w:t>10</w:t>
            </w:r>
            <w:r w:rsidR="00B47427" w:rsidRPr="00C1603D">
              <w:rPr>
                <w:rFonts w:cs="Calibri"/>
                <w:lang w:val="nl-NL"/>
              </w:rPr>
              <w:t>–</w:t>
            </w:r>
            <w:r w:rsidRPr="00C1603D">
              <w:rPr>
                <w:rFonts w:cs="Calibri"/>
                <w:lang w:val="nl-NL"/>
              </w:rPr>
              <w:t>18.9</w:t>
            </w:r>
            <w:r w:rsidR="00B47427" w:rsidRPr="00C1603D">
              <w:rPr>
                <w:rFonts w:cs="Calibri"/>
                <w:lang w:val="nl-NL"/>
              </w:rPr>
              <w:t> </w:t>
            </w:r>
            <w:r w:rsidRPr="00C1603D">
              <w:rPr>
                <w:rFonts w:cs="Calibri"/>
                <w:lang w:val="nl-NL"/>
              </w:rPr>
              <w:t>U/m</w:t>
            </w:r>
            <w:r w:rsidR="00B47427" w:rsidRPr="00C1603D">
              <w:rPr>
                <w:rFonts w:cs="Calibri"/>
                <w:lang w:val="nl-NL"/>
              </w:rPr>
              <w:t>l</w:t>
            </w:r>
          </w:p>
        </w:tc>
        <w:tc>
          <w:tcPr>
            <w:tcW w:w="0" w:type="auto"/>
            <w:shd w:val="clear" w:color="auto" w:fill="auto"/>
          </w:tcPr>
          <w:p w14:paraId="4C0AC943" w14:textId="223C096A" w:rsidR="00C953E5" w:rsidRPr="00C1603D" w:rsidRDefault="00C953E5" w:rsidP="00C953E5">
            <w:pPr>
              <w:pStyle w:val="72TabletextTablesTableFigureBoxstyles"/>
              <w:rPr>
                <w:rFonts w:cs="Calibri"/>
              </w:rPr>
            </w:pPr>
            <w:r w:rsidRPr="00C1603D">
              <w:rPr>
                <w:rFonts w:cs="Calibri"/>
              </w:rPr>
              <w:t>41</w:t>
            </w:r>
            <w:r w:rsidR="00B47427" w:rsidRPr="00C1603D">
              <w:rPr>
                <w:rFonts w:cs="Calibri"/>
              </w:rPr>
              <w:t>–</w:t>
            </w:r>
            <w:r w:rsidRPr="00C1603D">
              <w:rPr>
                <w:rFonts w:cs="Calibri"/>
              </w:rPr>
              <w:t>85</w:t>
            </w:r>
          </w:p>
        </w:tc>
        <w:tc>
          <w:tcPr>
            <w:tcW w:w="0" w:type="auto"/>
            <w:shd w:val="clear" w:color="auto" w:fill="auto"/>
          </w:tcPr>
          <w:p w14:paraId="54D7E894" w14:textId="1F46B287" w:rsidR="00C953E5" w:rsidRPr="00C1603D" w:rsidRDefault="00C953E5" w:rsidP="00C953E5">
            <w:pPr>
              <w:pStyle w:val="72TabletextTablesTableFigureBoxstyles"/>
              <w:rPr>
                <w:rFonts w:cs="Calibri"/>
              </w:rPr>
            </w:pPr>
            <w:r w:rsidRPr="00C1603D">
              <w:rPr>
                <w:rFonts w:cs="Calibri"/>
              </w:rPr>
              <w:t>78.0</w:t>
            </w:r>
            <w:r w:rsidR="00B47427" w:rsidRPr="00C1603D">
              <w:rPr>
                <w:rFonts w:cs="Calibri"/>
              </w:rPr>
              <w:t>–</w:t>
            </w:r>
            <w:r w:rsidRPr="00C1603D">
              <w:rPr>
                <w:rFonts w:cs="Calibri"/>
              </w:rPr>
              <w:t>89</w:t>
            </w:r>
          </w:p>
        </w:tc>
      </w:tr>
      <w:tr w:rsidR="00B47427" w:rsidRPr="00C1603D" w14:paraId="3747B31C" w14:textId="77777777" w:rsidTr="00C953E5">
        <w:trPr>
          <w:cantSplit/>
          <w:tblHeader/>
        </w:trPr>
        <w:tc>
          <w:tcPr>
            <w:tcW w:w="0" w:type="auto"/>
            <w:shd w:val="clear" w:color="auto" w:fill="auto"/>
          </w:tcPr>
          <w:p w14:paraId="1F104EE1" w14:textId="7838C5B3" w:rsidR="00C953E5" w:rsidRPr="00C1603D" w:rsidRDefault="00C953E5" w:rsidP="00C953E5">
            <w:pPr>
              <w:pStyle w:val="72TabletextTablesTableFigureBoxstyles"/>
            </w:pPr>
            <w:r w:rsidRPr="00C1603D">
              <w:rPr>
                <w:rFonts w:cs="Lato"/>
                <w:lang w:val="pt-BR"/>
              </w:rPr>
              <w:t>IgA/IgG tTG</w:t>
            </w:r>
          </w:p>
        </w:tc>
        <w:tc>
          <w:tcPr>
            <w:tcW w:w="0" w:type="auto"/>
            <w:shd w:val="clear" w:color="auto" w:fill="auto"/>
          </w:tcPr>
          <w:p w14:paraId="4FAEDC7D" w14:textId="35056641" w:rsidR="00C953E5" w:rsidRPr="00C1603D" w:rsidRDefault="00C953E5" w:rsidP="00C953E5">
            <w:pPr>
              <w:pStyle w:val="72TabletextTablesTableFigureBoxstyles"/>
              <w:rPr>
                <w:rFonts w:cs="Calibri"/>
                <w:lang w:val="pt-BR"/>
              </w:rPr>
            </w:pPr>
            <w:r w:rsidRPr="00C1603D">
              <w:rPr>
                <w:rFonts w:cs="Calibri"/>
              </w:rPr>
              <w:t>1</w:t>
            </w:r>
          </w:p>
        </w:tc>
        <w:tc>
          <w:tcPr>
            <w:tcW w:w="0" w:type="auto"/>
            <w:shd w:val="clear" w:color="auto" w:fill="auto"/>
          </w:tcPr>
          <w:p w14:paraId="024D7D95" w14:textId="2B3099C4" w:rsidR="00C953E5" w:rsidRPr="00C1603D" w:rsidRDefault="00C953E5" w:rsidP="00C953E5">
            <w:pPr>
              <w:pStyle w:val="72TabletextTablesTableFigureBoxstyles"/>
              <w:rPr>
                <w:rFonts w:cs="Calibri"/>
              </w:rPr>
            </w:pPr>
            <w:r w:rsidRPr="00C1603D">
              <w:rPr>
                <w:rFonts w:cs="Calibri"/>
              </w:rPr>
              <w:t>254 (26)</w:t>
            </w:r>
          </w:p>
        </w:tc>
        <w:tc>
          <w:tcPr>
            <w:tcW w:w="0" w:type="auto"/>
            <w:shd w:val="clear" w:color="auto" w:fill="auto"/>
          </w:tcPr>
          <w:p w14:paraId="71D76C42" w14:textId="6F0525C2" w:rsidR="00C953E5" w:rsidRPr="00C1603D" w:rsidRDefault="00C953E5" w:rsidP="00C953E5">
            <w:pPr>
              <w:pStyle w:val="72TabletextTablesTableFigureBoxstyles"/>
              <w:rPr>
                <w:rFonts w:cs="Calibri"/>
                <w:lang w:val="nl-NL"/>
              </w:rPr>
            </w:pPr>
            <w:r w:rsidRPr="00C1603D">
              <w:rPr>
                <w:rFonts w:cs="Calibri"/>
                <w:lang w:val="nl-NL"/>
              </w:rPr>
              <w:t>7.8</w:t>
            </w:r>
            <w:r w:rsidR="00B47427" w:rsidRPr="00C1603D">
              <w:rPr>
                <w:rFonts w:cs="Calibri"/>
                <w:lang w:val="nl-NL"/>
              </w:rPr>
              <w:t> </w:t>
            </w:r>
            <w:r w:rsidRPr="00C1603D">
              <w:rPr>
                <w:rFonts w:cs="Calibri"/>
                <w:lang w:val="nl-NL"/>
              </w:rPr>
              <w:t>U/m</w:t>
            </w:r>
            <w:r w:rsidR="00B47427" w:rsidRPr="00C1603D">
              <w:rPr>
                <w:rFonts w:cs="Calibri"/>
                <w:lang w:val="nl-NL"/>
              </w:rPr>
              <w:t>l</w:t>
            </w:r>
          </w:p>
        </w:tc>
        <w:tc>
          <w:tcPr>
            <w:tcW w:w="0" w:type="auto"/>
            <w:shd w:val="clear" w:color="auto" w:fill="auto"/>
          </w:tcPr>
          <w:p w14:paraId="7061037B" w14:textId="2BD09203" w:rsidR="00C953E5" w:rsidRPr="00C1603D" w:rsidRDefault="00C953E5" w:rsidP="00C953E5">
            <w:pPr>
              <w:pStyle w:val="72TabletextTablesTableFigureBoxstyles"/>
              <w:rPr>
                <w:rFonts w:cs="Calibri"/>
              </w:rPr>
            </w:pPr>
            <w:r w:rsidRPr="00C1603D">
              <w:rPr>
                <w:rFonts w:cs="Calibri"/>
              </w:rPr>
              <w:t>92</w:t>
            </w:r>
          </w:p>
        </w:tc>
        <w:tc>
          <w:tcPr>
            <w:tcW w:w="0" w:type="auto"/>
            <w:shd w:val="clear" w:color="auto" w:fill="auto"/>
          </w:tcPr>
          <w:p w14:paraId="54CF7EFE" w14:textId="7B7E373C" w:rsidR="00C953E5" w:rsidRPr="00C1603D" w:rsidRDefault="00C953E5" w:rsidP="00C953E5">
            <w:pPr>
              <w:pStyle w:val="72TabletextTablesTableFigureBoxstyles"/>
              <w:rPr>
                <w:rFonts w:cs="Calibri"/>
              </w:rPr>
            </w:pPr>
            <w:r w:rsidRPr="00C1603D">
              <w:rPr>
                <w:rFonts w:cs="Calibri"/>
              </w:rPr>
              <w:t>82.9</w:t>
            </w:r>
          </w:p>
        </w:tc>
      </w:tr>
      <w:tr w:rsidR="00B47427" w:rsidRPr="00C1603D" w14:paraId="3C1F1BE2" w14:textId="77777777" w:rsidTr="00C953E5">
        <w:trPr>
          <w:cantSplit/>
          <w:tblHeader/>
        </w:trPr>
        <w:tc>
          <w:tcPr>
            <w:tcW w:w="0" w:type="auto"/>
            <w:shd w:val="clear" w:color="auto" w:fill="auto"/>
          </w:tcPr>
          <w:p w14:paraId="5E66E178" w14:textId="3419E7D7" w:rsidR="00C953E5" w:rsidRPr="00C1603D" w:rsidRDefault="00C953E5" w:rsidP="00C953E5">
            <w:pPr>
              <w:pStyle w:val="72TabletextTablesTableFigureBoxstyles"/>
            </w:pPr>
            <w:r w:rsidRPr="00C1603D">
              <w:rPr>
                <w:rFonts w:cs="Lato"/>
                <w:lang w:val="pt-BR"/>
              </w:rPr>
              <w:t>IgA EMA IgA DGP</w:t>
            </w:r>
          </w:p>
        </w:tc>
        <w:tc>
          <w:tcPr>
            <w:tcW w:w="0" w:type="auto"/>
            <w:shd w:val="clear" w:color="auto" w:fill="auto"/>
          </w:tcPr>
          <w:p w14:paraId="2BE4A0AC" w14:textId="60E00470" w:rsidR="00C953E5" w:rsidRPr="00C1603D" w:rsidRDefault="00C953E5" w:rsidP="00C953E5">
            <w:pPr>
              <w:pStyle w:val="72TabletextTablesTableFigureBoxstyles"/>
              <w:rPr>
                <w:rFonts w:cs="Calibri"/>
                <w:lang w:val="pt-BR"/>
              </w:rPr>
            </w:pPr>
            <w:r w:rsidRPr="00C1603D">
              <w:rPr>
                <w:rFonts w:cs="Calibri"/>
              </w:rPr>
              <w:t>15</w:t>
            </w:r>
          </w:p>
        </w:tc>
        <w:tc>
          <w:tcPr>
            <w:tcW w:w="0" w:type="auto"/>
            <w:shd w:val="clear" w:color="auto" w:fill="auto"/>
          </w:tcPr>
          <w:p w14:paraId="7CF4A56C" w14:textId="0D1714A8" w:rsidR="00C953E5" w:rsidRPr="00C1603D" w:rsidRDefault="00C953E5" w:rsidP="00C953E5">
            <w:pPr>
              <w:pStyle w:val="72TabletextTablesTableFigureBoxstyles"/>
              <w:rPr>
                <w:rFonts w:cs="Calibri"/>
              </w:rPr>
            </w:pPr>
            <w:r w:rsidRPr="00C1603D">
              <w:rPr>
                <w:rFonts w:cs="Calibri"/>
              </w:rPr>
              <w:t>2884 (843)</w:t>
            </w:r>
          </w:p>
        </w:tc>
        <w:tc>
          <w:tcPr>
            <w:tcW w:w="0" w:type="auto"/>
            <w:shd w:val="clear" w:color="auto" w:fill="auto"/>
          </w:tcPr>
          <w:p w14:paraId="507B1040" w14:textId="3E820834" w:rsidR="00C953E5" w:rsidRPr="00C1603D" w:rsidRDefault="00C953E5" w:rsidP="00C953E5">
            <w:pPr>
              <w:pStyle w:val="72TabletextTablesTableFigureBoxstyles"/>
              <w:rPr>
                <w:rFonts w:cs="Calibri"/>
                <w:lang w:val="nl-NL"/>
              </w:rPr>
            </w:pPr>
            <w:r w:rsidRPr="00C1603D">
              <w:rPr>
                <w:rFonts w:cs="Calibri"/>
                <w:lang w:val="nl-NL"/>
              </w:rPr>
              <w:t>1</w:t>
            </w:r>
            <w:r w:rsidR="00B47427" w:rsidRPr="00C1603D">
              <w:rPr>
                <w:rFonts w:cs="Calibri"/>
                <w:lang w:val="nl-NL"/>
              </w:rPr>
              <w:t> </w:t>
            </w:r>
            <w:r w:rsidRPr="00C1603D">
              <w:rPr>
                <w:rFonts w:cs="Calibri"/>
                <w:lang w:val="nl-NL"/>
              </w:rPr>
              <w:t>:</w:t>
            </w:r>
            <w:r w:rsidR="00B47427" w:rsidRPr="00C1603D">
              <w:rPr>
                <w:rFonts w:cs="Calibri"/>
                <w:lang w:val="nl-NL"/>
              </w:rPr>
              <w:t> </w:t>
            </w:r>
            <w:r w:rsidRPr="00C1603D">
              <w:rPr>
                <w:rFonts w:cs="Calibri"/>
                <w:lang w:val="nl-NL"/>
              </w:rPr>
              <w:t>2.5</w:t>
            </w:r>
            <w:r w:rsidR="00B47427" w:rsidRPr="00C1603D">
              <w:rPr>
                <w:rFonts w:cs="Calibri"/>
                <w:lang w:val="nl-NL"/>
              </w:rPr>
              <w:t>–</w:t>
            </w:r>
            <w:r w:rsidRPr="00C1603D">
              <w:rPr>
                <w:rFonts w:cs="Calibri"/>
                <w:lang w:val="nl-NL"/>
              </w:rPr>
              <w:t>1</w:t>
            </w:r>
            <w:r w:rsidR="00B47427" w:rsidRPr="00C1603D">
              <w:rPr>
                <w:rFonts w:cs="Calibri"/>
                <w:lang w:val="nl-NL"/>
              </w:rPr>
              <w:t> </w:t>
            </w:r>
            <w:r w:rsidRPr="00C1603D">
              <w:rPr>
                <w:rFonts w:cs="Calibri"/>
                <w:lang w:val="nl-NL"/>
              </w:rPr>
              <w:t>:</w:t>
            </w:r>
            <w:r w:rsidR="00B47427" w:rsidRPr="00C1603D">
              <w:rPr>
                <w:rFonts w:cs="Calibri"/>
                <w:lang w:val="nl-NL"/>
              </w:rPr>
              <w:t> </w:t>
            </w:r>
            <w:r w:rsidRPr="00C1603D">
              <w:rPr>
                <w:rFonts w:cs="Calibri"/>
                <w:lang w:val="nl-NL"/>
              </w:rPr>
              <w:t>10</w:t>
            </w:r>
          </w:p>
        </w:tc>
        <w:tc>
          <w:tcPr>
            <w:tcW w:w="0" w:type="auto"/>
            <w:shd w:val="clear" w:color="auto" w:fill="auto"/>
          </w:tcPr>
          <w:p w14:paraId="1C2B565F" w14:textId="42A7D760" w:rsidR="00C953E5" w:rsidRPr="00C1603D" w:rsidRDefault="00C953E5" w:rsidP="00C953E5">
            <w:pPr>
              <w:pStyle w:val="72TabletextTablesTableFigureBoxstyles"/>
              <w:rPr>
                <w:rFonts w:cs="Calibri"/>
              </w:rPr>
            </w:pPr>
            <w:r w:rsidRPr="00C1603D">
              <w:rPr>
                <w:rFonts w:cs="Calibri"/>
              </w:rPr>
              <w:t>68</w:t>
            </w:r>
            <w:r w:rsidR="00B47427" w:rsidRPr="00C1603D">
              <w:rPr>
                <w:rFonts w:cs="Calibri"/>
              </w:rPr>
              <w:t>–</w:t>
            </w:r>
            <w:r w:rsidRPr="00C1603D">
              <w:rPr>
                <w:rFonts w:cs="Calibri"/>
              </w:rPr>
              <w:t>100</w:t>
            </w:r>
          </w:p>
        </w:tc>
        <w:tc>
          <w:tcPr>
            <w:tcW w:w="0" w:type="auto"/>
            <w:shd w:val="clear" w:color="auto" w:fill="auto"/>
          </w:tcPr>
          <w:p w14:paraId="459D3C4C" w14:textId="264A1233" w:rsidR="00C953E5" w:rsidRPr="00C1603D" w:rsidRDefault="00C953E5" w:rsidP="00C953E5">
            <w:pPr>
              <w:pStyle w:val="72TabletextTablesTableFigureBoxstyles"/>
              <w:rPr>
                <w:rFonts w:cs="Calibri"/>
              </w:rPr>
            </w:pPr>
            <w:r w:rsidRPr="00C1603D">
              <w:rPr>
                <w:rFonts w:cs="Calibri"/>
              </w:rPr>
              <w:t>38.9</w:t>
            </w:r>
            <w:r w:rsidR="00B47427" w:rsidRPr="00C1603D">
              <w:rPr>
                <w:rFonts w:cs="Calibri"/>
              </w:rPr>
              <w:t>–</w:t>
            </w:r>
            <w:r w:rsidRPr="00C1603D">
              <w:rPr>
                <w:rFonts w:cs="Calibri"/>
              </w:rPr>
              <w:t>100</w:t>
            </w:r>
          </w:p>
        </w:tc>
      </w:tr>
      <w:tr w:rsidR="00B47427" w:rsidRPr="00C1603D" w14:paraId="35B5A996" w14:textId="77777777" w:rsidTr="00C953E5">
        <w:trPr>
          <w:cantSplit/>
          <w:tblHeader/>
        </w:trPr>
        <w:tc>
          <w:tcPr>
            <w:tcW w:w="0" w:type="auto"/>
            <w:shd w:val="clear" w:color="auto" w:fill="auto"/>
          </w:tcPr>
          <w:p w14:paraId="21F69BED" w14:textId="30E8FBB0" w:rsidR="00C953E5" w:rsidRPr="00C1603D" w:rsidRDefault="00C953E5" w:rsidP="00C953E5">
            <w:pPr>
              <w:pStyle w:val="72TabletextTablesTableFigureBoxstyles"/>
            </w:pPr>
            <w:r w:rsidRPr="00C1603D">
              <w:rPr>
                <w:rFonts w:cs="Lato"/>
                <w:lang w:val="pt-BR"/>
              </w:rPr>
              <w:t>IgG DGP</w:t>
            </w:r>
          </w:p>
        </w:tc>
        <w:tc>
          <w:tcPr>
            <w:tcW w:w="0" w:type="auto"/>
            <w:shd w:val="clear" w:color="auto" w:fill="auto"/>
          </w:tcPr>
          <w:p w14:paraId="0CC8A705" w14:textId="750C6B52" w:rsidR="00C953E5" w:rsidRPr="00C1603D" w:rsidRDefault="00C953E5" w:rsidP="00C953E5">
            <w:pPr>
              <w:pStyle w:val="72TabletextTablesTableFigureBoxstyles"/>
              <w:rPr>
                <w:rFonts w:cs="Calibri"/>
                <w:lang w:val="pt-BR"/>
              </w:rPr>
            </w:pPr>
            <w:r w:rsidRPr="00C1603D">
              <w:rPr>
                <w:rFonts w:cs="Calibri"/>
              </w:rPr>
              <w:t>2</w:t>
            </w:r>
          </w:p>
        </w:tc>
        <w:tc>
          <w:tcPr>
            <w:tcW w:w="0" w:type="auto"/>
            <w:shd w:val="clear" w:color="auto" w:fill="auto"/>
          </w:tcPr>
          <w:p w14:paraId="08BC2F14" w14:textId="787E2791" w:rsidR="00C953E5" w:rsidRPr="00C1603D" w:rsidRDefault="00C953E5" w:rsidP="00C953E5">
            <w:pPr>
              <w:pStyle w:val="72TabletextTablesTableFigureBoxstyles"/>
              <w:rPr>
                <w:rFonts w:cs="Calibri"/>
              </w:rPr>
            </w:pPr>
            <w:r w:rsidRPr="00C1603D">
              <w:rPr>
                <w:rFonts w:cs="Calibri"/>
              </w:rPr>
              <w:t>561 (58)</w:t>
            </w:r>
          </w:p>
        </w:tc>
        <w:tc>
          <w:tcPr>
            <w:tcW w:w="0" w:type="auto"/>
            <w:shd w:val="clear" w:color="auto" w:fill="auto"/>
          </w:tcPr>
          <w:p w14:paraId="3666D7F3" w14:textId="5BFAE36B" w:rsidR="00C953E5" w:rsidRPr="00C1603D" w:rsidRDefault="00C953E5" w:rsidP="00C953E5">
            <w:pPr>
              <w:pStyle w:val="72TabletextTablesTableFigureBoxstyles"/>
              <w:rPr>
                <w:rFonts w:cs="Calibri"/>
                <w:lang w:val="nl-NL"/>
              </w:rPr>
            </w:pPr>
            <w:r w:rsidRPr="00C1603D">
              <w:rPr>
                <w:rFonts w:cs="Calibri"/>
                <w:lang w:val="nl-NL"/>
              </w:rPr>
              <w:t>19.9</w:t>
            </w:r>
            <w:r w:rsidR="00B47427" w:rsidRPr="00C1603D">
              <w:rPr>
                <w:rFonts w:cs="Calibri"/>
                <w:lang w:val="nl-NL"/>
              </w:rPr>
              <w:t> </w:t>
            </w:r>
            <w:r w:rsidRPr="00C1603D">
              <w:rPr>
                <w:rFonts w:cs="Calibri"/>
                <w:lang w:val="nl-NL"/>
              </w:rPr>
              <w:t>U/m</w:t>
            </w:r>
            <w:r w:rsidR="00B47427" w:rsidRPr="00C1603D">
              <w:rPr>
                <w:rFonts w:cs="Calibri"/>
                <w:lang w:val="nl-NL"/>
              </w:rPr>
              <w:t>l</w:t>
            </w:r>
          </w:p>
        </w:tc>
        <w:tc>
          <w:tcPr>
            <w:tcW w:w="0" w:type="auto"/>
            <w:shd w:val="clear" w:color="auto" w:fill="auto"/>
          </w:tcPr>
          <w:p w14:paraId="22775C45" w14:textId="6BF742B4" w:rsidR="00C953E5" w:rsidRPr="00C1603D" w:rsidRDefault="00C953E5" w:rsidP="00C953E5">
            <w:pPr>
              <w:pStyle w:val="72TabletextTablesTableFigureBoxstyles"/>
              <w:rPr>
                <w:rFonts w:cs="Calibri"/>
              </w:rPr>
            </w:pPr>
            <w:r w:rsidRPr="00C1603D">
              <w:rPr>
                <w:rFonts w:cs="Calibri"/>
              </w:rPr>
              <w:t>77</w:t>
            </w:r>
            <w:r w:rsidR="00B47427" w:rsidRPr="00C1603D">
              <w:rPr>
                <w:rFonts w:cs="Calibri"/>
              </w:rPr>
              <w:t>–</w:t>
            </w:r>
            <w:r w:rsidRPr="00C1603D">
              <w:rPr>
                <w:rFonts w:cs="Calibri"/>
              </w:rPr>
              <w:t>90</w:t>
            </w:r>
          </w:p>
        </w:tc>
        <w:tc>
          <w:tcPr>
            <w:tcW w:w="0" w:type="auto"/>
            <w:shd w:val="clear" w:color="auto" w:fill="auto"/>
          </w:tcPr>
          <w:p w14:paraId="581B987C" w14:textId="74F4F18D" w:rsidR="00C953E5" w:rsidRPr="00C1603D" w:rsidRDefault="00C953E5" w:rsidP="00C953E5">
            <w:pPr>
              <w:pStyle w:val="72TabletextTablesTableFigureBoxstyles"/>
              <w:rPr>
                <w:rFonts w:cs="Calibri"/>
              </w:rPr>
            </w:pPr>
            <w:r w:rsidRPr="00C1603D">
              <w:rPr>
                <w:rFonts w:cs="Calibri"/>
              </w:rPr>
              <w:t>93.4</w:t>
            </w:r>
            <w:r w:rsidR="00B47427" w:rsidRPr="00C1603D">
              <w:rPr>
                <w:rFonts w:cs="Calibri"/>
              </w:rPr>
              <w:t>–</w:t>
            </w:r>
            <w:r w:rsidRPr="00C1603D">
              <w:rPr>
                <w:rFonts w:cs="Calibri"/>
              </w:rPr>
              <w:t>97</w:t>
            </w:r>
          </w:p>
        </w:tc>
      </w:tr>
      <w:tr w:rsidR="00B47427" w:rsidRPr="00C1603D" w14:paraId="61893721" w14:textId="77777777" w:rsidTr="00C953E5">
        <w:trPr>
          <w:cantSplit/>
          <w:tblHeader/>
        </w:trPr>
        <w:tc>
          <w:tcPr>
            <w:tcW w:w="0" w:type="auto"/>
            <w:shd w:val="clear" w:color="auto" w:fill="auto"/>
          </w:tcPr>
          <w:p w14:paraId="1951A627" w14:textId="20E86619" w:rsidR="00C953E5" w:rsidRPr="00C1603D" w:rsidRDefault="00C953E5" w:rsidP="00C953E5">
            <w:pPr>
              <w:pStyle w:val="72TabletextTablesTableFigureBoxstyles"/>
            </w:pPr>
            <w:r w:rsidRPr="00C1603D">
              <w:rPr>
                <w:rFonts w:cs="Lato"/>
                <w:lang w:val="pt-BR"/>
              </w:rPr>
              <w:t>IgA/IgG DGP</w:t>
            </w:r>
          </w:p>
        </w:tc>
        <w:tc>
          <w:tcPr>
            <w:tcW w:w="0" w:type="auto"/>
            <w:shd w:val="clear" w:color="auto" w:fill="auto"/>
          </w:tcPr>
          <w:p w14:paraId="6C5FE21C" w14:textId="0EA188E1" w:rsidR="00C953E5" w:rsidRPr="00C1603D" w:rsidRDefault="00C953E5" w:rsidP="00C953E5">
            <w:pPr>
              <w:pStyle w:val="72TabletextTablesTableFigureBoxstyles"/>
              <w:rPr>
                <w:rFonts w:cs="Calibri"/>
                <w:lang w:val="pt-BR"/>
              </w:rPr>
            </w:pPr>
            <w:r w:rsidRPr="00C1603D">
              <w:rPr>
                <w:rFonts w:cs="Calibri"/>
              </w:rPr>
              <w:t>2</w:t>
            </w:r>
          </w:p>
        </w:tc>
        <w:tc>
          <w:tcPr>
            <w:tcW w:w="0" w:type="auto"/>
            <w:shd w:val="clear" w:color="auto" w:fill="auto"/>
          </w:tcPr>
          <w:p w14:paraId="35723200" w14:textId="660CD144" w:rsidR="00C953E5" w:rsidRPr="00C1603D" w:rsidRDefault="00C953E5" w:rsidP="00C953E5">
            <w:pPr>
              <w:pStyle w:val="72TabletextTablesTableFigureBoxstyles"/>
              <w:rPr>
                <w:rFonts w:cs="Calibri"/>
              </w:rPr>
            </w:pPr>
            <w:r w:rsidRPr="00C1603D">
              <w:rPr>
                <w:rFonts w:cs="Calibri"/>
              </w:rPr>
              <w:t>562 (56)</w:t>
            </w:r>
          </w:p>
        </w:tc>
        <w:tc>
          <w:tcPr>
            <w:tcW w:w="0" w:type="auto"/>
            <w:shd w:val="clear" w:color="auto" w:fill="auto"/>
          </w:tcPr>
          <w:p w14:paraId="78F4FE24" w14:textId="07E160D2" w:rsidR="00C953E5" w:rsidRPr="00C1603D" w:rsidRDefault="00C953E5" w:rsidP="00C953E5">
            <w:pPr>
              <w:pStyle w:val="72TabletextTablesTableFigureBoxstyles"/>
              <w:rPr>
                <w:rFonts w:cs="Calibri"/>
                <w:lang w:val="nl-NL"/>
              </w:rPr>
            </w:pPr>
            <w:r w:rsidRPr="00C1603D">
              <w:rPr>
                <w:rFonts w:cs="Calibri"/>
              </w:rPr>
              <w:t>19.9</w:t>
            </w:r>
            <w:r w:rsidR="00B47427" w:rsidRPr="00C1603D">
              <w:rPr>
                <w:rFonts w:cs="Calibri"/>
              </w:rPr>
              <w:t> </w:t>
            </w:r>
            <w:r w:rsidRPr="00C1603D">
              <w:rPr>
                <w:rFonts w:cs="Calibri"/>
              </w:rPr>
              <w:t>U/m</w:t>
            </w:r>
            <w:r w:rsidR="00B47427" w:rsidRPr="00C1603D">
              <w:rPr>
                <w:rFonts w:cs="Calibri"/>
              </w:rPr>
              <w:t>l</w:t>
            </w:r>
          </w:p>
        </w:tc>
        <w:tc>
          <w:tcPr>
            <w:tcW w:w="0" w:type="auto"/>
            <w:shd w:val="clear" w:color="auto" w:fill="auto"/>
          </w:tcPr>
          <w:p w14:paraId="69C6AA9B" w14:textId="7F628C08" w:rsidR="00C953E5" w:rsidRPr="00C1603D" w:rsidRDefault="00C953E5" w:rsidP="00C953E5">
            <w:pPr>
              <w:pStyle w:val="72TabletextTablesTableFigureBoxstyles"/>
              <w:rPr>
                <w:rFonts w:cs="Calibri"/>
              </w:rPr>
            </w:pPr>
            <w:r w:rsidRPr="00C1603D">
              <w:rPr>
                <w:rFonts w:cs="Calibri"/>
              </w:rPr>
              <w:t>76</w:t>
            </w:r>
            <w:r w:rsidR="00B47427" w:rsidRPr="00C1603D">
              <w:rPr>
                <w:rFonts w:cs="Calibri"/>
              </w:rPr>
              <w:t>–</w:t>
            </w:r>
            <w:r w:rsidRPr="00C1603D">
              <w:rPr>
                <w:rFonts w:cs="Calibri"/>
              </w:rPr>
              <w:t>80</w:t>
            </w:r>
          </w:p>
        </w:tc>
        <w:tc>
          <w:tcPr>
            <w:tcW w:w="0" w:type="auto"/>
            <w:shd w:val="clear" w:color="auto" w:fill="auto"/>
          </w:tcPr>
          <w:p w14:paraId="058BDC25" w14:textId="419C188B" w:rsidR="00C953E5" w:rsidRPr="00C1603D" w:rsidRDefault="00C953E5" w:rsidP="00C953E5">
            <w:pPr>
              <w:pStyle w:val="72TabletextTablesTableFigureBoxstyles"/>
              <w:rPr>
                <w:rFonts w:cs="Calibri"/>
              </w:rPr>
            </w:pPr>
            <w:r w:rsidRPr="00C1603D">
              <w:rPr>
                <w:rFonts w:cs="Calibri"/>
              </w:rPr>
              <w:t>92.0</w:t>
            </w:r>
            <w:r w:rsidR="00B47427" w:rsidRPr="00C1603D">
              <w:rPr>
                <w:rFonts w:cs="Calibri"/>
              </w:rPr>
              <w:t>–</w:t>
            </w:r>
            <w:r w:rsidRPr="00C1603D">
              <w:rPr>
                <w:rFonts w:cs="Calibri"/>
              </w:rPr>
              <w:t>99</w:t>
            </w:r>
          </w:p>
        </w:tc>
      </w:tr>
      <w:tr w:rsidR="00B47427" w:rsidRPr="00C1603D" w14:paraId="051998AE" w14:textId="77777777" w:rsidTr="00C953E5">
        <w:trPr>
          <w:cantSplit/>
          <w:tblHeader/>
        </w:trPr>
        <w:tc>
          <w:tcPr>
            <w:tcW w:w="0" w:type="auto"/>
            <w:shd w:val="clear" w:color="auto" w:fill="auto"/>
          </w:tcPr>
          <w:p w14:paraId="505B4E95" w14:textId="17D20002" w:rsidR="00C953E5" w:rsidRPr="00C1603D" w:rsidRDefault="00C953E5" w:rsidP="00C953E5">
            <w:pPr>
              <w:pStyle w:val="72TabletextTablesTableFigureBoxstyles"/>
            </w:pPr>
            <w:r w:rsidRPr="00C1603D">
              <w:rPr>
                <w:rFonts w:cs="Lato"/>
                <w:lang w:val="pt-BR"/>
              </w:rPr>
              <w:t>IgA actin antibodies</w:t>
            </w:r>
          </w:p>
        </w:tc>
        <w:tc>
          <w:tcPr>
            <w:tcW w:w="0" w:type="auto"/>
            <w:shd w:val="clear" w:color="auto" w:fill="auto"/>
          </w:tcPr>
          <w:p w14:paraId="59E28983" w14:textId="6E57175A" w:rsidR="00C953E5" w:rsidRPr="00C1603D" w:rsidRDefault="00C953E5" w:rsidP="00C953E5">
            <w:pPr>
              <w:pStyle w:val="72TabletextTablesTableFigureBoxstyles"/>
              <w:rPr>
                <w:rFonts w:cs="Calibri"/>
                <w:lang w:val="pt-BR"/>
              </w:rPr>
            </w:pPr>
            <w:r w:rsidRPr="00C1603D">
              <w:rPr>
                <w:rFonts w:cs="Calibri"/>
              </w:rPr>
              <w:t>3</w:t>
            </w:r>
          </w:p>
        </w:tc>
        <w:tc>
          <w:tcPr>
            <w:tcW w:w="0" w:type="auto"/>
            <w:shd w:val="clear" w:color="auto" w:fill="auto"/>
          </w:tcPr>
          <w:p w14:paraId="62C24932" w14:textId="1E27D49A" w:rsidR="00C953E5" w:rsidRPr="00C1603D" w:rsidRDefault="00C953E5" w:rsidP="00C953E5">
            <w:pPr>
              <w:pStyle w:val="72TabletextTablesTableFigureBoxstyles"/>
              <w:rPr>
                <w:rFonts w:cs="Calibri"/>
              </w:rPr>
            </w:pPr>
            <w:r w:rsidRPr="00C1603D">
              <w:rPr>
                <w:rFonts w:cs="Calibri"/>
              </w:rPr>
              <w:t>480 (48)</w:t>
            </w:r>
          </w:p>
        </w:tc>
        <w:tc>
          <w:tcPr>
            <w:tcW w:w="0" w:type="auto"/>
            <w:shd w:val="clear" w:color="auto" w:fill="auto"/>
          </w:tcPr>
          <w:p w14:paraId="527EDE80" w14:textId="7913E9FD" w:rsidR="00C953E5" w:rsidRPr="00C1603D" w:rsidRDefault="00C953E5" w:rsidP="00C953E5">
            <w:pPr>
              <w:pStyle w:val="72TabletextTablesTableFigureBoxstyles"/>
              <w:rPr>
                <w:rFonts w:cs="Calibri"/>
                <w:lang w:val="nl-NL"/>
              </w:rPr>
            </w:pPr>
            <w:r w:rsidRPr="00C1603D">
              <w:rPr>
                <w:rFonts w:cs="Calibri"/>
              </w:rPr>
              <w:t>NR</w:t>
            </w:r>
          </w:p>
        </w:tc>
        <w:tc>
          <w:tcPr>
            <w:tcW w:w="0" w:type="auto"/>
            <w:shd w:val="clear" w:color="auto" w:fill="auto"/>
          </w:tcPr>
          <w:p w14:paraId="682ABE72" w14:textId="24494E28" w:rsidR="00C953E5" w:rsidRPr="00C1603D" w:rsidRDefault="00C953E5" w:rsidP="00C953E5">
            <w:pPr>
              <w:pStyle w:val="72TabletextTablesTableFigureBoxstyles"/>
              <w:rPr>
                <w:rFonts w:cs="Calibri"/>
              </w:rPr>
            </w:pPr>
            <w:r w:rsidRPr="00C1603D">
              <w:rPr>
                <w:rFonts w:cs="Calibri"/>
              </w:rPr>
              <w:t>71</w:t>
            </w:r>
            <w:r w:rsidR="00B47427" w:rsidRPr="00C1603D">
              <w:rPr>
                <w:rFonts w:cs="Calibri"/>
              </w:rPr>
              <w:t>–</w:t>
            </w:r>
            <w:r w:rsidRPr="00C1603D">
              <w:rPr>
                <w:rFonts w:cs="Calibri"/>
              </w:rPr>
              <w:t>86</w:t>
            </w:r>
          </w:p>
        </w:tc>
        <w:tc>
          <w:tcPr>
            <w:tcW w:w="0" w:type="auto"/>
            <w:shd w:val="clear" w:color="auto" w:fill="auto"/>
          </w:tcPr>
          <w:p w14:paraId="4AD91579" w14:textId="09CEEAB6" w:rsidR="00C953E5" w:rsidRPr="00C1603D" w:rsidRDefault="00C953E5" w:rsidP="00C953E5">
            <w:pPr>
              <w:pStyle w:val="72TabletextTablesTableFigureBoxstyles"/>
              <w:rPr>
                <w:rFonts w:cs="Calibri"/>
              </w:rPr>
            </w:pPr>
            <w:r w:rsidRPr="00C1603D">
              <w:rPr>
                <w:rFonts w:cs="Calibri"/>
              </w:rPr>
              <w:t>92.9</w:t>
            </w:r>
            <w:r w:rsidR="00B47427" w:rsidRPr="00C1603D">
              <w:rPr>
                <w:rFonts w:cs="Calibri"/>
              </w:rPr>
              <w:t>–</w:t>
            </w:r>
            <w:r w:rsidRPr="00C1603D">
              <w:rPr>
                <w:rFonts w:cs="Calibri"/>
              </w:rPr>
              <w:t>99</w:t>
            </w:r>
          </w:p>
        </w:tc>
      </w:tr>
      <w:tr w:rsidR="008B4DF8" w:rsidRPr="00C1603D" w14:paraId="04CD764C" w14:textId="77777777" w:rsidTr="00C953E5">
        <w:trPr>
          <w:cantSplit/>
          <w:tblHeader/>
        </w:trPr>
        <w:tc>
          <w:tcPr>
            <w:tcW w:w="0" w:type="auto"/>
            <w:gridSpan w:val="6"/>
            <w:shd w:val="clear" w:color="auto" w:fill="auto"/>
          </w:tcPr>
          <w:p w14:paraId="5DE0669D" w14:textId="7D07E592" w:rsidR="008B4DF8" w:rsidRPr="00C1603D" w:rsidRDefault="008B4DF8" w:rsidP="00C953E5">
            <w:pPr>
              <w:pStyle w:val="75TablenotesTablesTableFigureBoxstyles"/>
              <w:tabs>
                <w:tab w:val="left" w:pos="550"/>
              </w:tabs>
              <w:rPr>
                <w:rFonts w:cs="Times New Roman"/>
              </w:rPr>
            </w:pPr>
            <w:r w:rsidRPr="00C1603D">
              <w:t>NR, not reported</w:t>
            </w:r>
            <w:r w:rsidR="00267212" w:rsidRPr="00C1603D">
              <w:t>.</w:t>
            </w:r>
          </w:p>
        </w:tc>
      </w:tr>
    </w:tbl>
    <w:p w14:paraId="593FEC3E" w14:textId="3F6E8D37" w:rsidR="008B4DF8" w:rsidRPr="00C1603D" w:rsidRDefault="008B4DF8" w:rsidP="008B4DF8">
      <w:pPr>
        <w:pStyle w:val="602TextfoTextstylesTextstyles"/>
      </w:pPr>
      <w:r w:rsidRPr="00C1603D">
        <w:t xml:space="preserve">Study estimates of sensitivity and specificity at the most commonly reported thresholds are shown in ROC space in </w:t>
      </w:r>
      <w:r w:rsidRPr="00C1603D">
        <w:rPr>
          <w:i/>
          <w:color w:val="FF0000"/>
        </w:rPr>
        <w:t>Figure</w:t>
      </w:r>
      <w:r w:rsidR="00B47427" w:rsidRPr="00C1603D">
        <w:rPr>
          <w:i/>
          <w:color w:val="FF0000"/>
        </w:rPr>
        <w:t>s</w:t>
      </w:r>
      <w:r w:rsidRPr="00C1603D">
        <w:rPr>
          <w:i/>
          <w:color w:val="FF0000"/>
        </w:rPr>
        <w:t xml:space="preserve"> </w:t>
      </w:r>
      <w:r w:rsidRPr="00C1603D">
        <w:rPr>
          <w:i/>
          <w:noProof/>
          <w:color w:val="FF0000"/>
        </w:rPr>
        <w:t>5</w:t>
      </w:r>
      <w:r w:rsidRPr="00C1603D">
        <w:t xml:space="preserve"> and </w:t>
      </w:r>
      <w:r w:rsidRPr="00C1603D">
        <w:rPr>
          <w:i/>
          <w:noProof/>
          <w:color w:val="FF0000"/>
        </w:rPr>
        <w:t>6</w:t>
      </w:r>
      <w:r w:rsidRPr="00C1603D">
        <w:t xml:space="preserve">. These plots also show </w:t>
      </w:r>
      <w:r w:rsidR="004C4B51" w:rsidRPr="00C1603D">
        <w:t>SROC</w:t>
      </w:r>
      <w:r w:rsidRPr="00C1603D">
        <w:t xml:space="preserve"> curves, which are based on all data (i.e. </w:t>
      </w:r>
      <w:r w:rsidRPr="00C1603D">
        <w:lastRenderedPageBreak/>
        <w:t xml:space="preserve">including studies reporting at other thresholds). There was substantial variation in estimates of accuracy across included studies, particularly for IgA tTG and IgA EMA, the most </w:t>
      </w:r>
      <w:r w:rsidRPr="00C1603D">
        <w:rPr>
          <w:color w:val="auto"/>
        </w:rPr>
        <w:t xml:space="preserve">commonly evaluated tests. This made it difficult to draw conclusions regarding the accuracy of these tests. Owing to the range in thresholds used to define a positive test result, it was not appropriate to produce </w:t>
      </w:r>
      <w:r w:rsidRPr="00C1603D">
        <w:t>pooled estimates of sensitivity and specificity based on all studies.</w:t>
      </w:r>
    </w:p>
    <w:p w14:paraId="0456EDEE" w14:textId="341D0F86" w:rsidR="008B4DF8" w:rsidRPr="00C1603D" w:rsidRDefault="008B4DF8" w:rsidP="008B4DF8">
      <w:pPr>
        <w:pStyle w:val="81FigurelegendTableFigureBoxstyles"/>
        <w:rPr>
          <w:sz w:val="22"/>
          <w:szCs w:val="22"/>
          <w:lang w:val="en-GB"/>
        </w:rPr>
      </w:pPr>
      <w:bookmarkStart w:id="272" w:name="_Toc99720786"/>
      <w:r w:rsidRPr="00C1603D">
        <w:rPr>
          <w:b/>
        </w:rPr>
        <w:t>FIGURE 5</w:t>
      </w:r>
      <w:r w:rsidRPr="00C1603D">
        <w:rPr>
          <w:b/>
        </w:rPr>
        <w:t> </w:t>
      </w:r>
      <w:r w:rsidRPr="00C1603D">
        <w:t xml:space="preserve">Study estimates of test sensitivity and specificity </w:t>
      </w:r>
      <w:r w:rsidR="00523153" w:rsidRPr="00C1603D">
        <w:t>among</w:t>
      </w:r>
      <w:r w:rsidRPr="00C1603D">
        <w:t xml:space="preserve"> adults plotted in ROC space</w:t>
      </w:r>
      <w:bookmarkEnd w:id="272"/>
      <w:r w:rsidRPr="00C1603D">
        <w:t>. (a) IgA tTG; (b) IgA EMA; (c) IgA DGP; (d) IgG DGP; (e) IgA/IgG DGP; and (f) IgA/IgG tTG/DGP</w:t>
      </w:r>
      <w:r w:rsidR="00F105EA" w:rsidRPr="00C1603D">
        <w:t>.</w:t>
      </w:r>
      <w:r w:rsidRPr="00C1603D">
        <w:t xml:space="preserve"> </w:t>
      </w:r>
      <w:r w:rsidR="004C4B51" w:rsidRPr="00C1603D">
        <w:t>SROC</w:t>
      </w:r>
      <w:r w:rsidRPr="00C1603D">
        <w:rPr>
          <w:lang w:val="en-GB"/>
        </w:rPr>
        <w:t xml:space="preserve"> curves </w:t>
      </w:r>
      <w:proofErr w:type="gramStart"/>
      <w:r w:rsidRPr="00C1603D">
        <w:rPr>
          <w:lang w:val="en-GB"/>
        </w:rPr>
        <w:t>are estimated</w:t>
      </w:r>
      <w:proofErr w:type="gramEnd"/>
      <w:r w:rsidRPr="00C1603D">
        <w:rPr>
          <w:lang w:val="en-GB"/>
        </w:rPr>
        <w:t xml:space="preserve"> from a meta-analysis of all data, across thresholds. Summary point estimates are estimated from a meta-analysis of data reporting at the most commonly reported threshold only.</w:t>
      </w:r>
    </w:p>
    <w:p w14:paraId="15F26A0D" w14:textId="5BE864CC" w:rsidR="008B4DF8" w:rsidRPr="00C1603D" w:rsidRDefault="008B4DF8" w:rsidP="008B4DF8">
      <w:pPr>
        <w:pStyle w:val="81FigurelegendTableFigureBoxstyles"/>
        <w:rPr>
          <w:rFonts w:ascii="Calibri" w:eastAsia="Calibri" w:hAnsi="Calibri" w:cs="Arial"/>
          <w:sz w:val="22"/>
          <w:szCs w:val="22"/>
        </w:rPr>
      </w:pPr>
      <w:bookmarkStart w:id="273" w:name="_Toc99720787"/>
      <w:r w:rsidRPr="00C1603D">
        <w:rPr>
          <w:b/>
        </w:rPr>
        <w:t>FIGURE 6</w:t>
      </w:r>
      <w:r w:rsidRPr="00C1603D">
        <w:rPr>
          <w:b/>
        </w:rPr>
        <w:t> </w:t>
      </w:r>
      <w:r w:rsidRPr="00C1603D">
        <w:t xml:space="preserve">Study estimates of test sensitivity and specificity </w:t>
      </w:r>
      <w:r w:rsidR="00EA5638" w:rsidRPr="00C1603D">
        <w:t>among</w:t>
      </w:r>
      <w:r w:rsidRPr="00C1603D">
        <w:t xml:space="preserve"> children plotted in ROC space</w:t>
      </w:r>
      <w:bookmarkEnd w:id="273"/>
      <w:r w:rsidRPr="00C1603D">
        <w:t xml:space="preserve">. (a) IgA tTG; (b) IgG tTG; (c) IgA EMA; (d) IgG DGP; (e) IgA/IgG DGP; and (f) IgA/IgG tTG/DGP. </w:t>
      </w:r>
      <w:r w:rsidR="004C4B51" w:rsidRPr="00C1603D">
        <w:t>SROC</w:t>
      </w:r>
      <w:r w:rsidRPr="00C1603D">
        <w:rPr>
          <w:lang w:val="en-GB"/>
        </w:rPr>
        <w:t xml:space="preserve"> curves </w:t>
      </w:r>
      <w:proofErr w:type="gramStart"/>
      <w:r w:rsidRPr="00C1603D">
        <w:rPr>
          <w:lang w:val="en-GB"/>
        </w:rPr>
        <w:t>are estimated</w:t>
      </w:r>
      <w:proofErr w:type="gramEnd"/>
      <w:r w:rsidRPr="00C1603D">
        <w:rPr>
          <w:lang w:val="en-GB"/>
        </w:rPr>
        <w:t xml:space="preserve"> from a meta-analysis of all data, across thresholds. Summary point estimates are estimated from a meta-analysis of data reporting at the most commonly reported threshold only.</w:t>
      </w:r>
    </w:p>
    <w:p w14:paraId="0FDB3D1B" w14:textId="77777777" w:rsidR="008B4DF8" w:rsidRPr="00C1603D" w:rsidRDefault="008B4DF8" w:rsidP="008B4DF8">
      <w:pPr>
        <w:pStyle w:val="54CheadHeadingsHeadingstyles"/>
      </w:pPr>
      <w:r w:rsidRPr="00C1603D">
        <w:t>Accuracy of tests at the most commonly reported thresholds</w:t>
      </w:r>
    </w:p>
    <w:p w14:paraId="68C3FA1D" w14:textId="6F647CB3" w:rsidR="008B4DF8" w:rsidRPr="00C1603D" w:rsidRDefault="008B4DF8" w:rsidP="008B4DF8">
      <w:pPr>
        <w:pStyle w:val="602TextfoTextstylesTextstyles"/>
        <w:rPr>
          <w:color w:val="auto"/>
        </w:rPr>
      </w:pPr>
      <w:r w:rsidRPr="00C1603D">
        <w:rPr>
          <w:i/>
          <w:color w:val="FF0000"/>
        </w:rPr>
        <w:t xml:space="preserve">Table </w:t>
      </w:r>
      <w:r w:rsidRPr="00C1603D">
        <w:rPr>
          <w:i/>
          <w:noProof/>
          <w:color w:val="FF0000"/>
        </w:rPr>
        <w:t>9</w:t>
      </w:r>
      <w:r w:rsidRPr="00C1603D">
        <w:t xml:space="preserve"> shows pooled estimates of the accuracy of each serological test evaluated at the most commonly reported threshold. Summary estimates restricted to the most common threshold are also shown </w:t>
      </w:r>
      <w:r w:rsidRPr="00C1603D">
        <w:rPr>
          <w:color w:val="auto"/>
        </w:rPr>
        <w:t xml:space="preserve">in </w:t>
      </w:r>
      <w:r w:rsidRPr="00C1603D">
        <w:rPr>
          <w:i/>
          <w:color w:val="auto"/>
        </w:rPr>
        <w:t>Figure</w:t>
      </w:r>
      <w:r w:rsidR="00C86D91" w:rsidRPr="00C1603D">
        <w:rPr>
          <w:i/>
          <w:color w:val="auto"/>
        </w:rPr>
        <w:t>s</w:t>
      </w:r>
      <w:r w:rsidRPr="00C1603D">
        <w:rPr>
          <w:i/>
          <w:color w:val="auto"/>
        </w:rPr>
        <w:t xml:space="preserve"> </w:t>
      </w:r>
      <w:r w:rsidRPr="00C1603D">
        <w:rPr>
          <w:i/>
          <w:noProof/>
          <w:color w:val="auto"/>
        </w:rPr>
        <w:t>5</w:t>
      </w:r>
      <w:r w:rsidRPr="00C1603D">
        <w:rPr>
          <w:color w:val="auto"/>
        </w:rPr>
        <w:t xml:space="preserve"> and </w:t>
      </w:r>
      <w:r w:rsidRPr="00C1603D">
        <w:rPr>
          <w:i/>
          <w:noProof/>
          <w:color w:val="auto"/>
        </w:rPr>
        <w:t>6</w:t>
      </w:r>
      <w:r w:rsidRPr="00C1603D">
        <w:rPr>
          <w:color w:val="auto"/>
        </w:rPr>
        <w:t>.</w:t>
      </w:r>
    </w:p>
    <w:p w14:paraId="415F2B69" w14:textId="77777777" w:rsidR="008B4DF8" w:rsidRPr="00C1603D" w:rsidRDefault="008B4DF8" w:rsidP="008B4DF8">
      <w:pPr>
        <w:pStyle w:val="70TablelegendTablesTableFigureBoxstyles"/>
      </w:pPr>
      <w:bookmarkStart w:id="274" w:name="_Ref84000783"/>
      <w:bookmarkStart w:id="275" w:name="_Toc99720720"/>
      <w:r w:rsidRPr="00C1603D">
        <w:rPr>
          <w:b/>
        </w:rPr>
        <w:t>TABLE 9</w:t>
      </w:r>
      <w:r w:rsidRPr="00C1603D">
        <w:rPr>
          <w:b/>
        </w:rPr>
        <w:t> </w:t>
      </w:r>
      <w:r w:rsidRPr="00C1603D">
        <w:t xml:space="preserve">Summary estimates of sensitivity and specificity, restricted to the </w:t>
      </w:r>
      <w:proofErr w:type="gramStart"/>
      <w:r w:rsidRPr="00C1603D">
        <w:t>most commonly reported</w:t>
      </w:r>
      <w:proofErr w:type="gramEnd"/>
      <w:r w:rsidRPr="00C1603D">
        <w:t xml:space="preserve"> threshold only</w:t>
      </w:r>
      <w:bookmarkEnd w:id="274"/>
      <w:bookmarkEnd w:id="275"/>
    </w:p>
    <w:tbl>
      <w:tblPr>
        <w:tblW w:w="0" w:type="auto"/>
        <w:tblCellMar>
          <w:top w:w="40" w:type="dxa"/>
          <w:left w:w="60" w:type="dxa"/>
          <w:bottom w:w="40" w:type="dxa"/>
          <w:right w:w="60" w:type="dxa"/>
        </w:tblCellMar>
        <w:tblLook w:val="04A0" w:firstRow="1" w:lastRow="0" w:firstColumn="1" w:lastColumn="0" w:noHBand="0" w:noVBand="1"/>
      </w:tblPr>
      <w:tblGrid>
        <w:gridCol w:w="1575"/>
        <w:gridCol w:w="892"/>
        <w:gridCol w:w="2110"/>
        <w:gridCol w:w="891"/>
        <w:gridCol w:w="1781"/>
        <w:gridCol w:w="1777"/>
      </w:tblGrid>
      <w:tr w:rsidR="003C176B" w:rsidRPr="00C1603D" w14:paraId="50056BC0" w14:textId="77777777" w:rsidTr="00A06D28">
        <w:trPr>
          <w:cantSplit/>
          <w:tblHeader/>
        </w:trPr>
        <w:tc>
          <w:tcPr>
            <w:tcW w:w="0" w:type="auto"/>
            <w:shd w:val="clear" w:color="auto" w:fill="auto"/>
          </w:tcPr>
          <w:p w14:paraId="7B11452A" w14:textId="77777777" w:rsidR="003C176B" w:rsidRPr="00C1603D" w:rsidRDefault="003C176B" w:rsidP="00A06D28">
            <w:pPr>
              <w:pStyle w:val="710TableheadTablesTableFigureBoxstyles"/>
            </w:pPr>
            <w:r w:rsidRPr="00C1603D">
              <w:t>Serological test</w:t>
            </w:r>
          </w:p>
        </w:tc>
        <w:tc>
          <w:tcPr>
            <w:tcW w:w="0" w:type="auto"/>
            <w:shd w:val="clear" w:color="auto" w:fill="auto"/>
          </w:tcPr>
          <w:p w14:paraId="60975D48" w14:textId="0FCA4DFC" w:rsidR="003C176B" w:rsidRPr="00C1603D" w:rsidRDefault="003C176B" w:rsidP="00A06D28">
            <w:pPr>
              <w:pStyle w:val="710TableheadTablesTableFigureBoxstyles"/>
            </w:pPr>
            <w:r w:rsidRPr="00C1603D">
              <w:t>Studies (</w:t>
            </w:r>
            <w:r w:rsidRPr="00C1603D">
              <w:rPr>
                <w:i/>
                <w:iCs/>
              </w:rPr>
              <w:t>n</w:t>
            </w:r>
            <w:r w:rsidRPr="00C1603D">
              <w:t>)</w:t>
            </w:r>
          </w:p>
        </w:tc>
        <w:tc>
          <w:tcPr>
            <w:tcW w:w="0" w:type="auto"/>
            <w:shd w:val="clear" w:color="auto" w:fill="auto"/>
          </w:tcPr>
          <w:p w14:paraId="29E28B45" w14:textId="57873B40" w:rsidR="003C176B" w:rsidRPr="00C1603D" w:rsidRDefault="003C176B" w:rsidP="00A06D28">
            <w:pPr>
              <w:pStyle w:val="710TableheadTablesTableFigureBoxstyles"/>
            </w:pPr>
            <w:r w:rsidRPr="00C1603D">
              <w:t>Participants (</w:t>
            </w:r>
            <w:r w:rsidRPr="00C1603D">
              <w:rPr>
                <w:i/>
                <w:iCs/>
              </w:rPr>
              <w:t>N</w:t>
            </w:r>
            <w:r w:rsidRPr="00C1603D">
              <w:t xml:space="preserve">) (with CD, </w:t>
            </w:r>
            <w:r w:rsidRPr="00C1603D">
              <w:rPr>
                <w:i/>
                <w:iCs/>
              </w:rPr>
              <w:t>n</w:t>
            </w:r>
            <w:r w:rsidRPr="00C1603D">
              <w:t>)</w:t>
            </w:r>
          </w:p>
        </w:tc>
        <w:tc>
          <w:tcPr>
            <w:tcW w:w="0" w:type="auto"/>
            <w:shd w:val="clear" w:color="auto" w:fill="auto"/>
          </w:tcPr>
          <w:p w14:paraId="7305900F" w14:textId="77777777" w:rsidR="003C176B" w:rsidRPr="00C1603D" w:rsidRDefault="003C176B" w:rsidP="00A06D28">
            <w:pPr>
              <w:pStyle w:val="710TableheadTablesTableFigureBoxstyles"/>
            </w:pPr>
            <w:r w:rsidRPr="00C1603D">
              <w:t>Threshold</w:t>
            </w:r>
          </w:p>
        </w:tc>
        <w:tc>
          <w:tcPr>
            <w:tcW w:w="0" w:type="auto"/>
            <w:shd w:val="clear" w:color="auto" w:fill="auto"/>
          </w:tcPr>
          <w:p w14:paraId="0B5C2694" w14:textId="1BD504BC" w:rsidR="003C176B" w:rsidRPr="00C1603D" w:rsidRDefault="003C176B" w:rsidP="00A06D28">
            <w:pPr>
              <w:pStyle w:val="710TableheadTablesTableFigureBoxstyles"/>
            </w:pPr>
            <w:r w:rsidRPr="00C1603D">
              <w:t>Sensitivity</w:t>
            </w:r>
            <w:r w:rsidR="0087293D" w:rsidRPr="00C1603D">
              <w:t xml:space="preserve"> </w:t>
            </w:r>
            <w:r w:rsidRPr="00C1603D">
              <w:t>(95% CI)</w:t>
            </w:r>
            <w:r w:rsidR="0087293D" w:rsidRPr="00C1603D">
              <w:t xml:space="preserve"> (</w:t>
            </w:r>
            <w:r w:rsidRPr="00C1603D">
              <w:t>%</w:t>
            </w:r>
            <w:r w:rsidR="0087293D" w:rsidRPr="00C1603D">
              <w:t>)</w:t>
            </w:r>
          </w:p>
        </w:tc>
        <w:tc>
          <w:tcPr>
            <w:tcW w:w="0" w:type="auto"/>
            <w:shd w:val="clear" w:color="auto" w:fill="auto"/>
          </w:tcPr>
          <w:p w14:paraId="7000212B" w14:textId="6C8D8E78" w:rsidR="003C176B" w:rsidRPr="00C1603D" w:rsidRDefault="003C176B" w:rsidP="00A06D28">
            <w:pPr>
              <w:pStyle w:val="710TableheadTablesTableFigureBoxstyles"/>
            </w:pPr>
            <w:r w:rsidRPr="00C1603D">
              <w:t>Specificity</w:t>
            </w:r>
            <w:r w:rsidR="0087293D" w:rsidRPr="00C1603D">
              <w:t xml:space="preserve"> </w:t>
            </w:r>
            <w:r w:rsidRPr="00C1603D">
              <w:t>(95% CI)</w:t>
            </w:r>
            <w:r w:rsidR="0087293D" w:rsidRPr="00C1603D">
              <w:t xml:space="preserve"> (</w:t>
            </w:r>
            <w:r w:rsidRPr="00C1603D">
              <w:t>%</w:t>
            </w:r>
            <w:r w:rsidR="0087293D" w:rsidRPr="00C1603D">
              <w:t>)</w:t>
            </w:r>
          </w:p>
        </w:tc>
      </w:tr>
      <w:tr w:rsidR="00926C44" w:rsidRPr="00C1603D" w14:paraId="2A620A8B" w14:textId="77777777" w:rsidTr="00A06D28">
        <w:trPr>
          <w:cantSplit/>
          <w:tblHeader/>
        </w:trPr>
        <w:tc>
          <w:tcPr>
            <w:tcW w:w="0" w:type="auto"/>
            <w:gridSpan w:val="6"/>
            <w:shd w:val="clear" w:color="auto" w:fill="auto"/>
          </w:tcPr>
          <w:p w14:paraId="6A5DC52C" w14:textId="1FFA1E7E" w:rsidR="00926C44" w:rsidRPr="00C1603D" w:rsidRDefault="00926C44" w:rsidP="00A06D28">
            <w:pPr>
              <w:pStyle w:val="711TablesubheadATablesTableFigureBoxstyles"/>
              <w:rPr>
                <w:rFonts w:cs="Calibri"/>
              </w:rPr>
            </w:pPr>
            <w:r w:rsidRPr="00C1603D">
              <w:t>Adults</w:t>
            </w:r>
          </w:p>
        </w:tc>
      </w:tr>
      <w:tr w:rsidR="00926C44" w:rsidRPr="00C1603D" w14:paraId="52F5A588" w14:textId="77777777" w:rsidTr="00A06D28">
        <w:trPr>
          <w:cantSplit/>
          <w:tblHeader/>
        </w:trPr>
        <w:tc>
          <w:tcPr>
            <w:tcW w:w="0" w:type="auto"/>
            <w:shd w:val="clear" w:color="auto" w:fill="auto"/>
          </w:tcPr>
          <w:p w14:paraId="6E0AD2EC" w14:textId="50DDCA5A" w:rsidR="00926C44" w:rsidRPr="00C1603D" w:rsidRDefault="00926C44" w:rsidP="00A06D28">
            <w:pPr>
              <w:pStyle w:val="72TabletextTablesTableFigureBoxstyles"/>
              <w:rPr>
                <w:b/>
              </w:rPr>
            </w:pPr>
            <w:r w:rsidRPr="00C1603D">
              <w:rPr>
                <w:rFonts w:cs="Lato"/>
              </w:rPr>
              <w:t>IgA tTG</w:t>
            </w:r>
          </w:p>
        </w:tc>
        <w:tc>
          <w:tcPr>
            <w:tcW w:w="0" w:type="auto"/>
            <w:shd w:val="clear" w:color="auto" w:fill="auto"/>
          </w:tcPr>
          <w:p w14:paraId="304AAB76" w14:textId="67A8B3D0" w:rsidR="00926C44" w:rsidRPr="00C1603D" w:rsidRDefault="00926C44" w:rsidP="00A06D28">
            <w:pPr>
              <w:pStyle w:val="72TabletextTablesTableFigureBoxstyles"/>
              <w:rPr>
                <w:rFonts w:cs="Calibri"/>
              </w:rPr>
            </w:pPr>
            <w:r w:rsidRPr="00C1603D">
              <w:rPr>
                <w:rFonts w:cs="Calibri"/>
              </w:rPr>
              <w:t>5</w:t>
            </w:r>
          </w:p>
        </w:tc>
        <w:tc>
          <w:tcPr>
            <w:tcW w:w="0" w:type="auto"/>
            <w:shd w:val="clear" w:color="auto" w:fill="auto"/>
          </w:tcPr>
          <w:p w14:paraId="3BA08DEE" w14:textId="4E071997" w:rsidR="00926C44" w:rsidRPr="00C1603D" w:rsidRDefault="00926C44" w:rsidP="00A06D28">
            <w:pPr>
              <w:pStyle w:val="72TabletextTablesTableFigureBoxstyles"/>
              <w:rPr>
                <w:rFonts w:cs="Calibri"/>
              </w:rPr>
            </w:pPr>
            <w:r w:rsidRPr="00C1603D">
              <w:rPr>
                <w:rFonts w:cs="Calibri"/>
              </w:rPr>
              <w:t>4310 (454)</w:t>
            </w:r>
          </w:p>
        </w:tc>
        <w:tc>
          <w:tcPr>
            <w:tcW w:w="0" w:type="auto"/>
            <w:shd w:val="clear" w:color="auto" w:fill="auto"/>
          </w:tcPr>
          <w:p w14:paraId="1971C8EB" w14:textId="0438ED27" w:rsidR="00926C44" w:rsidRPr="00C1603D" w:rsidRDefault="00926C44" w:rsidP="00A06D28">
            <w:pPr>
              <w:pStyle w:val="72TabletextTablesTableFigureBoxstyles"/>
              <w:rPr>
                <w:rFonts w:cs="Calibri"/>
                <w:lang w:val="nl-NL"/>
              </w:rPr>
            </w:pPr>
            <w:r w:rsidRPr="00C1603D">
              <w:rPr>
                <w:rFonts w:cs="Calibri"/>
                <w:lang w:val="nl-NL"/>
              </w:rPr>
              <w:t>15</w:t>
            </w:r>
            <w:r w:rsidR="00507132" w:rsidRPr="00C1603D">
              <w:rPr>
                <w:rFonts w:cs="Calibri"/>
                <w:lang w:val="nl-NL"/>
              </w:rPr>
              <w:t> </w:t>
            </w:r>
            <w:r w:rsidRPr="00C1603D">
              <w:rPr>
                <w:rFonts w:cs="Calibri"/>
                <w:lang w:val="nl-NL"/>
              </w:rPr>
              <w:t>U/m</w:t>
            </w:r>
            <w:r w:rsidR="005023B6" w:rsidRPr="00C1603D">
              <w:rPr>
                <w:rFonts w:cs="Calibri"/>
                <w:lang w:val="nl-NL"/>
              </w:rPr>
              <w:t>l</w:t>
            </w:r>
          </w:p>
        </w:tc>
        <w:tc>
          <w:tcPr>
            <w:tcW w:w="0" w:type="auto"/>
            <w:shd w:val="clear" w:color="auto" w:fill="auto"/>
          </w:tcPr>
          <w:p w14:paraId="3D359099" w14:textId="258AAF80" w:rsidR="00926C44" w:rsidRPr="00C1603D" w:rsidRDefault="00926C44" w:rsidP="00A06D28">
            <w:pPr>
              <w:pStyle w:val="72TabletextTablesTableFigureBoxstyles"/>
              <w:rPr>
                <w:rFonts w:cs="Calibri"/>
              </w:rPr>
            </w:pPr>
            <w:r w:rsidRPr="00C1603D">
              <w:rPr>
                <w:rFonts w:cs="Calibri"/>
              </w:rPr>
              <w:t>90.7 (87.3</w:t>
            </w:r>
            <w:r w:rsidR="00472631" w:rsidRPr="00C1603D">
              <w:rPr>
                <w:rFonts w:cs="Calibri"/>
              </w:rPr>
              <w:t xml:space="preserve"> to </w:t>
            </w:r>
            <w:r w:rsidRPr="00C1603D">
              <w:rPr>
                <w:rFonts w:cs="Calibri"/>
              </w:rPr>
              <w:t>93.2)</w:t>
            </w:r>
          </w:p>
        </w:tc>
        <w:tc>
          <w:tcPr>
            <w:tcW w:w="0" w:type="auto"/>
            <w:shd w:val="clear" w:color="auto" w:fill="auto"/>
          </w:tcPr>
          <w:p w14:paraId="4AF92462" w14:textId="3A0A5D19" w:rsidR="00926C44" w:rsidRPr="00C1603D" w:rsidRDefault="00926C44" w:rsidP="00A06D28">
            <w:pPr>
              <w:pStyle w:val="72TabletextTablesTableFigureBoxstyles"/>
              <w:rPr>
                <w:rFonts w:cs="Calibri"/>
              </w:rPr>
            </w:pPr>
            <w:r w:rsidRPr="00C1603D">
              <w:rPr>
                <w:rFonts w:cs="Calibri"/>
              </w:rPr>
              <w:t>87.4 (84.4</w:t>
            </w:r>
            <w:r w:rsidR="00472631" w:rsidRPr="00C1603D">
              <w:rPr>
                <w:rFonts w:cs="Calibri"/>
              </w:rPr>
              <w:t xml:space="preserve"> to </w:t>
            </w:r>
            <w:r w:rsidRPr="00C1603D">
              <w:rPr>
                <w:rFonts w:cs="Calibri"/>
              </w:rPr>
              <w:t>90.0)</w:t>
            </w:r>
          </w:p>
        </w:tc>
      </w:tr>
      <w:tr w:rsidR="00926C44" w:rsidRPr="00C1603D" w14:paraId="3E28ECA7" w14:textId="77777777" w:rsidTr="00A06D28">
        <w:trPr>
          <w:cantSplit/>
          <w:tblHeader/>
        </w:trPr>
        <w:tc>
          <w:tcPr>
            <w:tcW w:w="0" w:type="auto"/>
            <w:shd w:val="clear" w:color="auto" w:fill="auto"/>
          </w:tcPr>
          <w:p w14:paraId="6FCEAA1C" w14:textId="2106FC32" w:rsidR="00926C44" w:rsidRPr="00C1603D" w:rsidRDefault="00926C44" w:rsidP="00A06D28">
            <w:pPr>
              <w:pStyle w:val="72TabletextTablesTableFigureBoxstyles"/>
              <w:rPr>
                <w:b/>
              </w:rPr>
            </w:pPr>
            <w:r w:rsidRPr="00C1603D">
              <w:rPr>
                <w:rFonts w:cs="Lato"/>
              </w:rPr>
              <w:t>IgA EMA</w:t>
            </w:r>
          </w:p>
        </w:tc>
        <w:tc>
          <w:tcPr>
            <w:tcW w:w="0" w:type="auto"/>
            <w:shd w:val="clear" w:color="auto" w:fill="auto"/>
          </w:tcPr>
          <w:p w14:paraId="6660E66F" w14:textId="2405E01C" w:rsidR="00926C44" w:rsidRPr="00C1603D" w:rsidRDefault="00926C44" w:rsidP="00A06D28">
            <w:pPr>
              <w:pStyle w:val="72TabletextTablesTableFigureBoxstyles"/>
              <w:rPr>
                <w:rFonts w:cs="Calibri"/>
              </w:rPr>
            </w:pPr>
            <w:r w:rsidRPr="00C1603D">
              <w:rPr>
                <w:rFonts w:cs="Calibri"/>
              </w:rPr>
              <w:t>5</w:t>
            </w:r>
          </w:p>
        </w:tc>
        <w:tc>
          <w:tcPr>
            <w:tcW w:w="0" w:type="auto"/>
            <w:shd w:val="clear" w:color="auto" w:fill="auto"/>
          </w:tcPr>
          <w:p w14:paraId="2E7530AE" w14:textId="107352C3" w:rsidR="00926C44" w:rsidRPr="00C1603D" w:rsidRDefault="00926C44" w:rsidP="00A06D28">
            <w:pPr>
              <w:pStyle w:val="72TabletextTablesTableFigureBoxstyles"/>
              <w:rPr>
                <w:rFonts w:cs="Calibri"/>
              </w:rPr>
            </w:pPr>
            <w:r w:rsidRPr="00C1603D">
              <w:rPr>
                <w:rFonts w:cs="Calibri"/>
              </w:rPr>
              <w:t>927 (446)</w:t>
            </w:r>
          </w:p>
        </w:tc>
        <w:tc>
          <w:tcPr>
            <w:tcW w:w="0" w:type="auto"/>
            <w:shd w:val="clear" w:color="auto" w:fill="auto"/>
          </w:tcPr>
          <w:p w14:paraId="60D93C74" w14:textId="392389C3" w:rsidR="00926C44" w:rsidRPr="00C1603D" w:rsidRDefault="00926C44" w:rsidP="00A06D28">
            <w:pPr>
              <w:pStyle w:val="72TabletextTablesTableFigureBoxstyles"/>
              <w:rPr>
                <w:rFonts w:cs="Calibri"/>
                <w:lang w:val="nl-NL"/>
              </w:rPr>
            </w:pPr>
            <w:r w:rsidRPr="00C1603D">
              <w:rPr>
                <w:rFonts w:cs="Calibri"/>
                <w:lang w:val="nl-NL"/>
              </w:rPr>
              <w:t>1</w:t>
            </w:r>
            <w:r w:rsidR="005023B6" w:rsidRPr="00C1603D">
              <w:rPr>
                <w:rFonts w:cs="Calibri"/>
                <w:lang w:val="nl-NL"/>
              </w:rPr>
              <w:t> </w:t>
            </w:r>
            <w:r w:rsidRPr="00C1603D">
              <w:rPr>
                <w:rFonts w:cs="Calibri"/>
                <w:lang w:val="nl-NL"/>
              </w:rPr>
              <w:t>:</w:t>
            </w:r>
            <w:r w:rsidR="005023B6" w:rsidRPr="00C1603D">
              <w:rPr>
                <w:rFonts w:cs="Calibri"/>
                <w:lang w:val="nl-NL"/>
              </w:rPr>
              <w:t> </w:t>
            </w:r>
            <w:r w:rsidRPr="00C1603D">
              <w:rPr>
                <w:rFonts w:cs="Calibri"/>
                <w:lang w:val="nl-NL"/>
              </w:rPr>
              <w:t>5</w:t>
            </w:r>
          </w:p>
        </w:tc>
        <w:tc>
          <w:tcPr>
            <w:tcW w:w="0" w:type="auto"/>
            <w:shd w:val="clear" w:color="auto" w:fill="auto"/>
          </w:tcPr>
          <w:p w14:paraId="08F125A8" w14:textId="2DE1E8FD" w:rsidR="00926C44" w:rsidRPr="00C1603D" w:rsidRDefault="00926C44" w:rsidP="00A06D28">
            <w:pPr>
              <w:pStyle w:val="72TabletextTablesTableFigureBoxstyles"/>
              <w:rPr>
                <w:rFonts w:cs="Calibri"/>
              </w:rPr>
            </w:pPr>
            <w:r w:rsidRPr="00C1603D">
              <w:rPr>
                <w:rFonts w:cs="Calibri"/>
              </w:rPr>
              <w:t>88.0 (75.2</w:t>
            </w:r>
            <w:r w:rsidR="00472631" w:rsidRPr="00C1603D">
              <w:rPr>
                <w:rFonts w:cs="Calibri"/>
              </w:rPr>
              <w:t xml:space="preserve"> to </w:t>
            </w:r>
            <w:r w:rsidRPr="00C1603D">
              <w:rPr>
                <w:rFonts w:cs="Calibri"/>
              </w:rPr>
              <w:t>94.7)</w:t>
            </w:r>
          </w:p>
        </w:tc>
        <w:tc>
          <w:tcPr>
            <w:tcW w:w="0" w:type="auto"/>
            <w:shd w:val="clear" w:color="auto" w:fill="auto"/>
          </w:tcPr>
          <w:p w14:paraId="263E46A5" w14:textId="6CE5CE67" w:rsidR="00926C44" w:rsidRPr="00C1603D" w:rsidRDefault="00926C44" w:rsidP="00A06D28">
            <w:pPr>
              <w:pStyle w:val="72TabletextTablesTableFigureBoxstyles"/>
              <w:rPr>
                <w:rFonts w:cs="Calibri"/>
              </w:rPr>
            </w:pPr>
            <w:r w:rsidRPr="00C1603D">
              <w:rPr>
                <w:rFonts w:cs="Calibri"/>
              </w:rPr>
              <w:t>99.6 (92.3</w:t>
            </w:r>
            <w:r w:rsidR="00472631" w:rsidRPr="00C1603D">
              <w:rPr>
                <w:rFonts w:cs="Calibri"/>
              </w:rPr>
              <w:t xml:space="preserve"> to </w:t>
            </w:r>
            <w:r w:rsidRPr="00C1603D">
              <w:rPr>
                <w:rFonts w:cs="Calibri"/>
              </w:rPr>
              <w:t>100.0)</w:t>
            </w:r>
          </w:p>
        </w:tc>
      </w:tr>
      <w:tr w:rsidR="00926C44" w:rsidRPr="00C1603D" w14:paraId="68AB5F28" w14:textId="77777777" w:rsidTr="00A06D28">
        <w:trPr>
          <w:cantSplit/>
          <w:tblHeader/>
        </w:trPr>
        <w:tc>
          <w:tcPr>
            <w:tcW w:w="0" w:type="auto"/>
            <w:shd w:val="clear" w:color="auto" w:fill="auto"/>
          </w:tcPr>
          <w:p w14:paraId="57958E7F" w14:textId="0F292EE0" w:rsidR="00926C44" w:rsidRPr="00C1603D" w:rsidRDefault="00926C44" w:rsidP="00A06D28">
            <w:pPr>
              <w:pStyle w:val="72TabletextTablesTableFigureBoxstyles"/>
              <w:rPr>
                <w:b/>
              </w:rPr>
            </w:pPr>
            <w:r w:rsidRPr="00C1603D">
              <w:rPr>
                <w:rFonts w:cs="Lato"/>
              </w:rPr>
              <w:t>IgA DGP</w:t>
            </w:r>
            <w:r w:rsidRPr="00C1603D">
              <w:rPr>
                <w:rFonts w:cs="Lato"/>
                <w:vertAlign w:val="superscript"/>
              </w:rPr>
              <w:t>a</w:t>
            </w:r>
          </w:p>
        </w:tc>
        <w:tc>
          <w:tcPr>
            <w:tcW w:w="0" w:type="auto"/>
            <w:shd w:val="clear" w:color="auto" w:fill="auto"/>
          </w:tcPr>
          <w:p w14:paraId="1F888038" w14:textId="39F7F42F" w:rsidR="00926C44" w:rsidRPr="00C1603D" w:rsidRDefault="00926C44" w:rsidP="00A06D28">
            <w:pPr>
              <w:pStyle w:val="72TabletextTablesTableFigureBoxstyles"/>
              <w:rPr>
                <w:rFonts w:cs="Calibri"/>
              </w:rPr>
            </w:pPr>
            <w:r w:rsidRPr="00C1603D">
              <w:rPr>
                <w:rFonts w:cs="Calibri"/>
              </w:rPr>
              <w:t>2</w:t>
            </w:r>
          </w:p>
        </w:tc>
        <w:tc>
          <w:tcPr>
            <w:tcW w:w="0" w:type="auto"/>
            <w:shd w:val="clear" w:color="auto" w:fill="auto"/>
          </w:tcPr>
          <w:p w14:paraId="52ABB544" w14:textId="785F7A60" w:rsidR="00926C44" w:rsidRPr="00C1603D" w:rsidRDefault="00926C44" w:rsidP="00A06D28">
            <w:pPr>
              <w:pStyle w:val="72TabletextTablesTableFigureBoxstyles"/>
              <w:rPr>
                <w:rFonts w:cs="Calibri"/>
              </w:rPr>
            </w:pPr>
            <w:r w:rsidRPr="00C1603D">
              <w:rPr>
                <w:rFonts w:cs="Calibri"/>
              </w:rPr>
              <w:t>820 (140)</w:t>
            </w:r>
          </w:p>
        </w:tc>
        <w:tc>
          <w:tcPr>
            <w:tcW w:w="0" w:type="auto"/>
            <w:shd w:val="clear" w:color="auto" w:fill="auto"/>
          </w:tcPr>
          <w:p w14:paraId="2055D223" w14:textId="6A17DE3F" w:rsidR="00926C44" w:rsidRPr="00C1603D" w:rsidRDefault="00926C44" w:rsidP="00A06D28">
            <w:pPr>
              <w:pStyle w:val="72TabletextTablesTableFigureBoxstyles"/>
              <w:rPr>
                <w:rFonts w:cs="Calibri"/>
                <w:lang w:val="nl-NL"/>
              </w:rPr>
            </w:pPr>
            <w:r w:rsidRPr="00C1603D">
              <w:rPr>
                <w:rFonts w:cs="Calibri"/>
                <w:lang w:val="nl-NL"/>
              </w:rPr>
              <w:t>20</w:t>
            </w:r>
            <w:r w:rsidR="00472631" w:rsidRPr="00C1603D">
              <w:rPr>
                <w:rFonts w:cs="Calibri"/>
                <w:lang w:val="nl-NL"/>
              </w:rPr>
              <w:t> </w:t>
            </w:r>
            <w:r w:rsidRPr="00C1603D">
              <w:rPr>
                <w:rFonts w:cs="Calibri"/>
                <w:lang w:val="nl-NL"/>
              </w:rPr>
              <w:t>U/m</w:t>
            </w:r>
            <w:r w:rsidR="005023B6" w:rsidRPr="00C1603D">
              <w:rPr>
                <w:rFonts w:cs="Calibri"/>
                <w:lang w:val="nl-NL"/>
              </w:rPr>
              <w:t>l</w:t>
            </w:r>
          </w:p>
        </w:tc>
        <w:tc>
          <w:tcPr>
            <w:tcW w:w="0" w:type="auto"/>
            <w:shd w:val="clear" w:color="auto" w:fill="auto"/>
          </w:tcPr>
          <w:p w14:paraId="176B59CA" w14:textId="049AE300" w:rsidR="00926C44" w:rsidRPr="00C1603D" w:rsidRDefault="00926C44" w:rsidP="00A06D28">
            <w:pPr>
              <w:pStyle w:val="72TabletextTablesTableFigureBoxstyles"/>
              <w:rPr>
                <w:rFonts w:cs="Calibri"/>
              </w:rPr>
            </w:pPr>
            <w:r w:rsidRPr="00C1603D">
              <w:rPr>
                <w:rFonts w:cs="Calibri"/>
              </w:rPr>
              <w:t>96.4 (91.7</w:t>
            </w:r>
            <w:r w:rsidR="00472631" w:rsidRPr="00C1603D">
              <w:rPr>
                <w:rFonts w:cs="Calibri"/>
              </w:rPr>
              <w:t xml:space="preserve"> to </w:t>
            </w:r>
            <w:r w:rsidRPr="00C1603D">
              <w:rPr>
                <w:rFonts w:cs="Calibri"/>
              </w:rPr>
              <w:t>98.5)</w:t>
            </w:r>
          </w:p>
        </w:tc>
        <w:tc>
          <w:tcPr>
            <w:tcW w:w="0" w:type="auto"/>
            <w:shd w:val="clear" w:color="auto" w:fill="auto"/>
          </w:tcPr>
          <w:p w14:paraId="0C606264" w14:textId="263673D9" w:rsidR="00926C44" w:rsidRPr="00C1603D" w:rsidRDefault="00926C44" w:rsidP="00A06D28">
            <w:pPr>
              <w:pStyle w:val="72TabletextTablesTableFigureBoxstyles"/>
              <w:rPr>
                <w:rFonts w:cs="Calibri"/>
              </w:rPr>
            </w:pPr>
            <w:r w:rsidRPr="00C1603D">
              <w:rPr>
                <w:rFonts w:cs="Calibri"/>
              </w:rPr>
              <w:t>95.4 (93.6</w:t>
            </w:r>
            <w:r w:rsidR="00472631" w:rsidRPr="00C1603D">
              <w:rPr>
                <w:rFonts w:cs="Calibri"/>
              </w:rPr>
              <w:t xml:space="preserve"> to </w:t>
            </w:r>
            <w:r w:rsidRPr="00C1603D">
              <w:rPr>
                <w:rFonts w:cs="Calibri"/>
              </w:rPr>
              <w:t>96.8)</w:t>
            </w:r>
          </w:p>
        </w:tc>
      </w:tr>
      <w:tr w:rsidR="00926C44" w:rsidRPr="00C1603D" w14:paraId="053701BC" w14:textId="77777777" w:rsidTr="00A06D28">
        <w:trPr>
          <w:cantSplit/>
          <w:tblHeader/>
        </w:trPr>
        <w:tc>
          <w:tcPr>
            <w:tcW w:w="0" w:type="auto"/>
            <w:shd w:val="clear" w:color="auto" w:fill="auto"/>
          </w:tcPr>
          <w:p w14:paraId="41375064" w14:textId="52C61D25" w:rsidR="00926C44" w:rsidRPr="00C1603D" w:rsidRDefault="00926C44" w:rsidP="00A06D28">
            <w:pPr>
              <w:pStyle w:val="72TabletextTablesTableFigureBoxstyles"/>
              <w:rPr>
                <w:b/>
              </w:rPr>
            </w:pPr>
            <w:r w:rsidRPr="00C1603D">
              <w:rPr>
                <w:rFonts w:cs="Lato"/>
              </w:rPr>
              <w:t>IgG DGP</w:t>
            </w:r>
            <w:r w:rsidRPr="00C1603D">
              <w:rPr>
                <w:rFonts w:cs="Lato"/>
                <w:vertAlign w:val="superscript"/>
              </w:rPr>
              <w:t>a</w:t>
            </w:r>
          </w:p>
        </w:tc>
        <w:tc>
          <w:tcPr>
            <w:tcW w:w="0" w:type="auto"/>
            <w:shd w:val="clear" w:color="auto" w:fill="auto"/>
          </w:tcPr>
          <w:p w14:paraId="0213D35D" w14:textId="1558F61D" w:rsidR="00926C44" w:rsidRPr="00C1603D" w:rsidRDefault="00926C44" w:rsidP="00A06D28">
            <w:pPr>
              <w:pStyle w:val="72TabletextTablesTableFigureBoxstyles"/>
              <w:rPr>
                <w:rFonts w:cs="Calibri"/>
              </w:rPr>
            </w:pPr>
            <w:r w:rsidRPr="00C1603D">
              <w:rPr>
                <w:rFonts w:cs="Calibri"/>
              </w:rPr>
              <w:t>3</w:t>
            </w:r>
          </w:p>
        </w:tc>
        <w:tc>
          <w:tcPr>
            <w:tcW w:w="0" w:type="auto"/>
            <w:shd w:val="clear" w:color="auto" w:fill="auto"/>
          </w:tcPr>
          <w:p w14:paraId="4DA051C1" w14:textId="10E67447" w:rsidR="00926C44" w:rsidRPr="00C1603D" w:rsidRDefault="00926C44" w:rsidP="00A06D28">
            <w:pPr>
              <w:pStyle w:val="72TabletextTablesTableFigureBoxstyles"/>
              <w:rPr>
                <w:rFonts w:cs="Calibri"/>
              </w:rPr>
            </w:pPr>
            <w:r w:rsidRPr="00C1603D">
              <w:rPr>
                <w:rFonts w:cs="Calibri"/>
              </w:rPr>
              <w:t>981 (203)</w:t>
            </w:r>
          </w:p>
        </w:tc>
        <w:tc>
          <w:tcPr>
            <w:tcW w:w="0" w:type="auto"/>
            <w:shd w:val="clear" w:color="auto" w:fill="auto"/>
          </w:tcPr>
          <w:p w14:paraId="1A6D3116" w14:textId="547E2094" w:rsidR="00926C44" w:rsidRPr="00C1603D" w:rsidRDefault="00926C44" w:rsidP="00A06D28">
            <w:pPr>
              <w:pStyle w:val="72TabletextTablesTableFigureBoxstyles"/>
              <w:rPr>
                <w:rFonts w:cs="Calibri"/>
                <w:lang w:val="nl-NL"/>
              </w:rPr>
            </w:pPr>
            <w:r w:rsidRPr="00C1603D">
              <w:rPr>
                <w:rFonts w:cs="Calibri"/>
                <w:lang w:val="nl-NL"/>
              </w:rPr>
              <w:t>20</w:t>
            </w:r>
            <w:r w:rsidR="00472631" w:rsidRPr="00C1603D">
              <w:rPr>
                <w:rFonts w:cs="Calibri"/>
                <w:lang w:val="nl-NL"/>
              </w:rPr>
              <w:t> </w:t>
            </w:r>
            <w:r w:rsidRPr="00C1603D">
              <w:rPr>
                <w:rFonts w:cs="Calibri"/>
                <w:lang w:val="nl-NL"/>
              </w:rPr>
              <w:t>U/m</w:t>
            </w:r>
            <w:r w:rsidR="005023B6" w:rsidRPr="00C1603D">
              <w:rPr>
                <w:rFonts w:cs="Calibri"/>
                <w:lang w:val="nl-NL"/>
              </w:rPr>
              <w:t>l</w:t>
            </w:r>
          </w:p>
        </w:tc>
        <w:tc>
          <w:tcPr>
            <w:tcW w:w="0" w:type="auto"/>
            <w:shd w:val="clear" w:color="auto" w:fill="auto"/>
          </w:tcPr>
          <w:p w14:paraId="6A00C68C" w14:textId="32C21CC2" w:rsidR="00926C44" w:rsidRPr="00C1603D" w:rsidRDefault="00926C44" w:rsidP="00A06D28">
            <w:pPr>
              <w:pStyle w:val="72TabletextTablesTableFigureBoxstyles"/>
              <w:rPr>
                <w:rFonts w:cs="Calibri"/>
              </w:rPr>
            </w:pPr>
            <w:r w:rsidRPr="00C1603D">
              <w:rPr>
                <w:rFonts w:cs="Calibri"/>
              </w:rPr>
              <w:t>93.6 (88.6</w:t>
            </w:r>
            <w:r w:rsidR="00472631" w:rsidRPr="00C1603D">
              <w:rPr>
                <w:rFonts w:cs="Calibri"/>
              </w:rPr>
              <w:t xml:space="preserve"> to </w:t>
            </w:r>
            <w:r w:rsidRPr="00C1603D">
              <w:rPr>
                <w:rFonts w:cs="Calibri"/>
              </w:rPr>
              <w:t>96.5)</w:t>
            </w:r>
          </w:p>
        </w:tc>
        <w:tc>
          <w:tcPr>
            <w:tcW w:w="0" w:type="auto"/>
            <w:shd w:val="clear" w:color="auto" w:fill="auto"/>
          </w:tcPr>
          <w:p w14:paraId="3ACDD37C" w14:textId="3E92570E" w:rsidR="00926C44" w:rsidRPr="00C1603D" w:rsidRDefault="00926C44" w:rsidP="00A06D28">
            <w:pPr>
              <w:pStyle w:val="72TabletextTablesTableFigureBoxstyles"/>
              <w:rPr>
                <w:rFonts w:cs="Calibri"/>
              </w:rPr>
            </w:pPr>
            <w:r w:rsidRPr="00C1603D">
              <w:rPr>
                <w:rFonts w:cs="Calibri"/>
              </w:rPr>
              <w:t>99.4 (98.5</w:t>
            </w:r>
            <w:r w:rsidR="00472631" w:rsidRPr="00C1603D">
              <w:rPr>
                <w:rFonts w:cs="Calibri"/>
              </w:rPr>
              <w:t xml:space="preserve"> to </w:t>
            </w:r>
            <w:r w:rsidRPr="00C1603D">
              <w:rPr>
                <w:rFonts w:cs="Calibri"/>
              </w:rPr>
              <w:t>99.7)</w:t>
            </w:r>
          </w:p>
        </w:tc>
      </w:tr>
      <w:tr w:rsidR="00472631" w:rsidRPr="00C1603D" w14:paraId="4F5918AF" w14:textId="77777777" w:rsidTr="00A06D28">
        <w:trPr>
          <w:cantSplit/>
          <w:tblHeader/>
        </w:trPr>
        <w:tc>
          <w:tcPr>
            <w:tcW w:w="0" w:type="auto"/>
            <w:shd w:val="clear" w:color="auto" w:fill="auto"/>
          </w:tcPr>
          <w:p w14:paraId="3789A1EA" w14:textId="37111171" w:rsidR="00472631" w:rsidRPr="00C1603D" w:rsidRDefault="00472631" w:rsidP="00A06D28">
            <w:pPr>
              <w:pStyle w:val="72TabletextTablesTableFigureBoxstyles"/>
              <w:rPr>
                <w:b/>
              </w:rPr>
            </w:pPr>
            <w:r w:rsidRPr="00C1603D">
              <w:rPr>
                <w:rFonts w:cs="Lato"/>
              </w:rPr>
              <w:t>IgA/IgG DGP</w:t>
            </w:r>
          </w:p>
        </w:tc>
        <w:tc>
          <w:tcPr>
            <w:tcW w:w="0" w:type="auto"/>
            <w:shd w:val="clear" w:color="auto" w:fill="auto"/>
          </w:tcPr>
          <w:p w14:paraId="36156FF1" w14:textId="24D6EFE6" w:rsidR="00472631" w:rsidRPr="00C1603D" w:rsidRDefault="00472631" w:rsidP="00A06D28">
            <w:pPr>
              <w:pStyle w:val="72TabletextTablesTableFigureBoxstyles"/>
              <w:rPr>
                <w:rFonts w:cs="Calibri"/>
              </w:rPr>
            </w:pPr>
            <w:r w:rsidRPr="00C1603D">
              <w:rPr>
                <w:rFonts w:cs="Calibri"/>
              </w:rPr>
              <w:t>4</w:t>
            </w:r>
          </w:p>
        </w:tc>
        <w:tc>
          <w:tcPr>
            <w:tcW w:w="0" w:type="auto"/>
            <w:shd w:val="clear" w:color="auto" w:fill="auto"/>
          </w:tcPr>
          <w:p w14:paraId="6F743389" w14:textId="64BE07D8" w:rsidR="00472631" w:rsidRPr="00C1603D" w:rsidRDefault="00472631" w:rsidP="00A06D28">
            <w:pPr>
              <w:pStyle w:val="72TabletextTablesTableFigureBoxstyles"/>
              <w:rPr>
                <w:rFonts w:cs="Calibri"/>
              </w:rPr>
            </w:pPr>
            <w:r w:rsidRPr="00C1603D">
              <w:rPr>
                <w:rFonts w:cs="Calibri"/>
              </w:rPr>
              <w:t>1161 (280)</w:t>
            </w:r>
          </w:p>
        </w:tc>
        <w:tc>
          <w:tcPr>
            <w:tcW w:w="0" w:type="auto"/>
            <w:shd w:val="clear" w:color="auto" w:fill="auto"/>
          </w:tcPr>
          <w:p w14:paraId="57E9F771" w14:textId="26C2759A" w:rsidR="00472631" w:rsidRPr="00C1603D" w:rsidRDefault="00472631" w:rsidP="00A06D28">
            <w:pPr>
              <w:pStyle w:val="72TabletextTablesTableFigureBoxstyles"/>
              <w:rPr>
                <w:rFonts w:cs="Calibri"/>
                <w:lang w:val="nl-NL"/>
              </w:rPr>
            </w:pPr>
            <w:r w:rsidRPr="00C1603D">
              <w:rPr>
                <w:rFonts w:cs="Calibri"/>
                <w:lang w:val="nl-NL"/>
              </w:rPr>
              <w:t>20 U/ml</w:t>
            </w:r>
          </w:p>
        </w:tc>
        <w:tc>
          <w:tcPr>
            <w:tcW w:w="0" w:type="auto"/>
            <w:shd w:val="clear" w:color="auto" w:fill="auto"/>
          </w:tcPr>
          <w:p w14:paraId="45C6A0D0" w14:textId="3D29DD92" w:rsidR="00472631" w:rsidRPr="00C1603D" w:rsidRDefault="00472631" w:rsidP="00A06D28">
            <w:pPr>
              <w:pStyle w:val="72TabletextTablesTableFigureBoxstyles"/>
              <w:rPr>
                <w:rFonts w:cs="Calibri"/>
              </w:rPr>
            </w:pPr>
            <w:r w:rsidRPr="00C1603D">
              <w:rPr>
                <w:rFonts w:cs="Calibri"/>
              </w:rPr>
              <w:t>91.5 (84.7 to 95.4)</w:t>
            </w:r>
          </w:p>
        </w:tc>
        <w:tc>
          <w:tcPr>
            <w:tcW w:w="0" w:type="auto"/>
            <w:shd w:val="clear" w:color="auto" w:fill="auto"/>
          </w:tcPr>
          <w:p w14:paraId="70142194" w14:textId="6DB7D432" w:rsidR="00472631" w:rsidRPr="00C1603D" w:rsidRDefault="00472631" w:rsidP="00A06D28">
            <w:pPr>
              <w:pStyle w:val="72TabletextTablesTableFigureBoxstyles"/>
              <w:rPr>
                <w:rFonts w:cs="Calibri"/>
              </w:rPr>
            </w:pPr>
            <w:r w:rsidRPr="00C1603D">
              <w:rPr>
                <w:rFonts w:cs="Calibri"/>
              </w:rPr>
              <w:t>96.7 (95.3 to 97.7)</w:t>
            </w:r>
          </w:p>
        </w:tc>
      </w:tr>
      <w:tr w:rsidR="00472631" w:rsidRPr="00C1603D" w14:paraId="4D9356E9" w14:textId="77777777" w:rsidTr="00A06D28">
        <w:trPr>
          <w:cantSplit/>
          <w:tblHeader/>
        </w:trPr>
        <w:tc>
          <w:tcPr>
            <w:tcW w:w="0" w:type="auto"/>
            <w:shd w:val="clear" w:color="auto" w:fill="auto"/>
          </w:tcPr>
          <w:p w14:paraId="04A72AAC" w14:textId="39F42091" w:rsidR="00472631" w:rsidRPr="00C1603D" w:rsidRDefault="00472631" w:rsidP="00A06D28">
            <w:pPr>
              <w:pStyle w:val="72TabletextTablesTableFigureBoxstyles"/>
              <w:rPr>
                <w:b/>
              </w:rPr>
            </w:pPr>
            <w:r w:rsidRPr="00C1603D">
              <w:rPr>
                <w:rFonts w:cs="Lato"/>
              </w:rPr>
              <w:t>IgA/IgG tTG/DGP</w:t>
            </w:r>
            <w:r w:rsidRPr="00C1603D">
              <w:rPr>
                <w:rFonts w:cs="Lato"/>
                <w:vertAlign w:val="superscript"/>
              </w:rPr>
              <w:t>a</w:t>
            </w:r>
          </w:p>
        </w:tc>
        <w:tc>
          <w:tcPr>
            <w:tcW w:w="0" w:type="auto"/>
            <w:shd w:val="clear" w:color="auto" w:fill="auto"/>
          </w:tcPr>
          <w:p w14:paraId="1C1CBF09" w14:textId="65923F27" w:rsidR="00472631" w:rsidRPr="00C1603D" w:rsidRDefault="00472631" w:rsidP="00A06D28">
            <w:pPr>
              <w:pStyle w:val="72TabletextTablesTableFigureBoxstyles"/>
              <w:rPr>
                <w:rFonts w:cs="Calibri"/>
              </w:rPr>
            </w:pPr>
            <w:r w:rsidRPr="00C1603D">
              <w:rPr>
                <w:rFonts w:cs="Calibri"/>
              </w:rPr>
              <w:t>2</w:t>
            </w:r>
          </w:p>
        </w:tc>
        <w:tc>
          <w:tcPr>
            <w:tcW w:w="0" w:type="auto"/>
            <w:shd w:val="clear" w:color="auto" w:fill="auto"/>
          </w:tcPr>
          <w:p w14:paraId="15D978BD" w14:textId="368DAB43" w:rsidR="00472631" w:rsidRPr="00C1603D" w:rsidRDefault="00472631" w:rsidP="00A06D28">
            <w:pPr>
              <w:pStyle w:val="72TabletextTablesTableFigureBoxstyles"/>
              <w:rPr>
                <w:rFonts w:cs="Calibri"/>
              </w:rPr>
            </w:pPr>
            <w:r w:rsidRPr="00C1603D">
              <w:rPr>
                <w:rFonts w:cs="Calibri"/>
              </w:rPr>
              <w:t>851 (155)</w:t>
            </w:r>
          </w:p>
        </w:tc>
        <w:tc>
          <w:tcPr>
            <w:tcW w:w="0" w:type="auto"/>
            <w:shd w:val="clear" w:color="auto" w:fill="auto"/>
          </w:tcPr>
          <w:p w14:paraId="52F9B48A" w14:textId="11F9FA4C" w:rsidR="00472631" w:rsidRPr="00C1603D" w:rsidRDefault="00472631" w:rsidP="00A06D28">
            <w:pPr>
              <w:pStyle w:val="72TabletextTablesTableFigureBoxstyles"/>
              <w:rPr>
                <w:rFonts w:cs="Calibri"/>
                <w:lang w:val="nl-NL"/>
              </w:rPr>
            </w:pPr>
            <w:r w:rsidRPr="00C1603D">
              <w:rPr>
                <w:rFonts w:cs="Calibri"/>
                <w:lang w:val="nl-NL"/>
              </w:rPr>
              <w:t>20 U/ml</w:t>
            </w:r>
          </w:p>
        </w:tc>
        <w:tc>
          <w:tcPr>
            <w:tcW w:w="0" w:type="auto"/>
            <w:shd w:val="clear" w:color="auto" w:fill="auto"/>
          </w:tcPr>
          <w:p w14:paraId="508FEFB8" w14:textId="01CA27FA" w:rsidR="00472631" w:rsidRPr="00C1603D" w:rsidRDefault="00472631" w:rsidP="00A06D28">
            <w:pPr>
              <w:pStyle w:val="72TabletextTablesTableFigureBoxstyles"/>
              <w:rPr>
                <w:rFonts w:cs="Calibri"/>
              </w:rPr>
            </w:pPr>
            <w:r w:rsidRPr="00C1603D">
              <w:rPr>
                <w:rFonts w:cs="Calibri"/>
              </w:rPr>
              <w:t>93.5 (88.4 to 96.5)</w:t>
            </w:r>
          </w:p>
        </w:tc>
        <w:tc>
          <w:tcPr>
            <w:tcW w:w="0" w:type="auto"/>
            <w:shd w:val="clear" w:color="auto" w:fill="auto"/>
          </w:tcPr>
          <w:p w14:paraId="3CEC3AAA" w14:textId="2C36CBA0" w:rsidR="00472631" w:rsidRPr="00C1603D" w:rsidRDefault="00472631" w:rsidP="00A06D28">
            <w:pPr>
              <w:pStyle w:val="72TabletextTablesTableFigureBoxstyles"/>
              <w:rPr>
                <w:rFonts w:cs="Calibri"/>
              </w:rPr>
            </w:pPr>
            <w:r w:rsidRPr="00C1603D">
              <w:rPr>
                <w:rFonts w:cs="Calibri"/>
              </w:rPr>
              <w:t>86.3 (79.7 to 91.0)</w:t>
            </w:r>
          </w:p>
        </w:tc>
      </w:tr>
      <w:tr w:rsidR="00926C44" w:rsidRPr="00C1603D" w14:paraId="07D20276" w14:textId="77777777" w:rsidTr="00A06D28">
        <w:trPr>
          <w:cantSplit/>
          <w:tblHeader/>
        </w:trPr>
        <w:tc>
          <w:tcPr>
            <w:tcW w:w="0" w:type="auto"/>
            <w:shd w:val="clear" w:color="auto" w:fill="auto"/>
          </w:tcPr>
          <w:p w14:paraId="08E15508" w14:textId="22BE5FAA" w:rsidR="00926C44" w:rsidRPr="00C1603D" w:rsidRDefault="00926C44" w:rsidP="00A06D28">
            <w:pPr>
              <w:pStyle w:val="72TabletextTablesTableFigureBoxstyles"/>
              <w:rPr>
                <w:b/>
              </w:rPr>
            </w:pPr>
            <w:r w:rsidRPr="00C1603D">
              <w:rPr>
                <w:rFonts w:cs="Lato"/>
              </w:rPr>
              <w:t>IgA actin antibodies</w:t>
            </w:r>
            <w:r w:rsidRPr="00C1603D">
              <w:rPr>
                <w:rFonts w:cs="Lato"/>
                <w:vertAlign w:val="superscript"/>
              </w:rPr>
              <w:t>a</w:t>
            </w:r>
          </w:p>
        </w:tc>
        <w:tc>
          <w:tcPr>
            <w:tcW w:w="0" w:type="auto"/>
            <w:shd w:val="clear" w:color="auto" w:fill="auto"/>
          </w:tcPr>
          <w:p w14:paraId="4787D146" w14:textId="7C68D2D9" w:rsidR="00926C44" w:rsidRPr="00C1603D" w:rsidRDefault="00926C44" w:rsidP="00A06D28">
            <w:pPr>
              <w:pStyle w:val="72TabletextTablesTableFigureBoxstyles"/>
              <w:rPr>
                <w:rFonts w:cs="Calibri"/>
              </w:rPr>
            </w:pPr>
            <w:r w:rsidRPr="00C1603D">
              <w:rPr>
                <w:rFonts w:cs="Calibri"/>
              </w:rPr>
              <w:t>2</w:t>
            </w:r>
          </w:p>
        </w:tc>
        <w:tc>
          <w:tcPr>
            <w:tcW w:w="0" w:type="auto"/>
            <w:shd w:val="clear" w:color="auto" w:fill="auto"/>
          </w:tcPr>
          <w:p w14:paraId="40743B34" w14:textId="5C6DC3B8" w:rsidR="00926C44" w:rsidRPr="00C1603D" w:rsidRDefault="00926C44" w:rsidP="00A06D28">
            <w:pPr>
              <w:pStyle w:val="72TabletextTablesTableFigureBoxstyles"/>
              <w:rPr>
                <w:rFonts w:cs="Calibri"/>
              </w:rPr>
            </w:pPr>
            <w:r w:rsidRPr="00C1603D">
              <w:rPr>
                <w:rFonts w:cs="Calibri"/>
              </w:rPr>
              <w:t>820 (140)</w:t>
            </w:r>
          </w:p>
        </w:tc>
        <w:tc>
          <w:tcPr>
            <w:tcW w:w="0" w:type="auto"/>
            <w:shd w:val="clear" w:color="auto" w:fill="auto"/>
          </w:tcPr>
          <w:p w14:paraId="46100C63" w14:textId="4D1426CF" w:rsidR="00926C44" w:rsidRPr="00C1603D" w:rsidRDefault="00926C44" w:rsidP="00A06D28">
            <w:pPr>
              <w:pStyle w:val="72TabletextTablesTableFigureBoxstyles"/>
              <w:rPr>
                <w:rFonts w:cs="Calibri"/>
                <w:lang w:val="nl-NL"/>
              </w:rPr>
            </w:pPr>
            <w:r w:rsidRPr="00C1603D">
              <w:rPr>
                <w:rFonts w:cs="Calibri"/>
              </w:rPr>
              <w:t>25</w:t>
            </w:r>
            <w:r w:rsidR="00472631" w:rsidRPr="00C1603D">
              <w:rPr>
                <w:rFonts w:cs="Calibri"/>
              </w:rPr>
              <w:t> </w:t>
            </w:r>
            <w:r w:rsidRPr="00C1603D">
              <w:rPr>
                <w:rFonts w:cs="Calibri"/>
              </w:rPr>
              <w:t>U/m</w:t>
            </w:r>
            <w:r w:rsidR="005023B6" w:rsidRPr="00C1603D">
              <w:rPr>
                <w:rFonts w:cs="Calibri"/>
              </w:rPr>
              <w:t>l</w:t>
            </w:r>
          </w:p>
        </w:tc>
        <w:tc>
          <w:tcPr>
            <w:tcW w:w="0" w:type="auto"/>
            <w:shd w:val="clear" w:color="auto" w:fill="auto"/>
          </w:tcPr>
          <w:p w14:paraId="70B80B47" w14:textId="0AD50CEE" w:rsidR="00926C44" w:rsidRPr="00C1603D" w:rsidRDefault="00926C44" w:rsidP="00A06D28">
            <w:pPr>
              <w:pStyle w:val="72TabletextTablesTableFigureBoxstyles"/>
              <w:rPr>
                <w:rFonts w:cs="Calibri"/>
              </w:rPr>
            </w:pPr>
            <w:r w:rsidRPr="00C1603D">
              <w:rPr>
                <w:rFonts w:cs="Calibri"/>
              </w:rPr>
              <w:t>82.9 (75.7</w:t>
            </w:r>
            <w:r w:rsidR="00472631" w:rsidRPr="00C1603D">
              <w:rPr>
                <w:rFonts w:cs="Calibri"/>
              </w:rPr>
              <w:t xml:space="preserve"> to </w:t>
            </w:r>
            <w:r w:rsidRPr="00C1603D">
              <w:rPr>
                <w:rFonts w:cs="Calibri"/>
              </w:rPr>
              <w:t>88.2)</w:t>
            </w:r>
          </w:p>
        </w:tc>
        <w:tc>
          <w:tcPr>
            <w:tcW w:w="0" w:type="auto"/>
            <w:shd w:val="clear" w:color="auto" w:fill="auto"/>
          </w:tcPr>
          <w:p w14:paraId="5F959069" w14:textId="678DCB0C" w:rsidR="00926C44" w:rsidRPr="00C1603D" w:rsidRDefault="00926C44" w:rsidP="00A06D28">
            <w:pPr>
              <w:pStyle w:val="72TabletextTablesTableFigureBoxstyles"/>
              <w:rPr>
                <w:rFonts w:cs="Calibri"/>
              </w:rPr>
            </w:pPr>
            <w:r w:rsidRPr="00C1603D">
              <w:rPr>
                <w:rFonts w:cs="Calibri"/>
              </w:rPr>
              <w:t>92.5 (90.3</w:t>
            </w:r>
            <w:r w:rsidR="00472631" w:rsidRPr="00C1603D">
              <w:rPr>
                <w:rFonts w:cs="Calibri"/>
              </w:rPr>
              <w:t xml:space="preserve"> to </w:t>
            </w:r>
            <w:r w:rsidRPr="00C1603D">
              <w:rPr>
                <w:rFonts w:cs="Calibri"/>
              </w:rPr>
              <w:t>94.3)</w:t>
            </w:r>
          </w:p>
        </w:tc>
      </w:tr>
      <w:tr w:rsidR="003C176B" w:rsidRPr="00C1603D" w14:paraId="23857EC6" w14:textId="77777777" w:rsidTr="00A06D28">
        <w:trPr>
          <w:cantSplit/>
          <w:tblHeader/>
        </w:trPr>
        <w:tc>
          <w:tcPr>
            <w:tcW w:w="0" w:type="auto"/>
            <w:gridSpan w:val="6"/>
            <w:shd w:val="clear" w:color="auto" w:fill="auto"/>
          </w:tcPr>
          <w:p w14:paraId="5F3586E9" w14:textId="4E04B60F" w:rsidR="003C176B" w:rsidRPr="00C1603D" w:rsidRDefault="003C176B" w:rsidP="00A06D28">
            <w:pPr>
              <w:pStyle w:val="711TablesubheadATablesTableFigureBoxstyles"/>
              <w:rPr>
                <w:rFonts w:cs="Calibri"/>
              </w:rPr>
            </w:pPr>
            <w:r w:rsidRPr="00C1603D">
              <w:t>Children</w:t>
            </w:r>
          </w:p>
        </w:tc>
      </w:tr>
      <w:tr w:rsidR="003C176B" w:rsidRPr="00C1603D" w14:paraId="6C5C9241" w14:textId="77777777" w:rsidTr="00A06D28">
        <w:trPr>
          <w:cantSplit/>
          <w:tblHeader/>
        </w:trPr>
        <w:tc>
          <w:tcPr>
            <w:tcW w:w="0" w:type="auto"/>
            <w:shd w:val="clear" w:color="auto" w:fill="auto"/>
          </w:tcPr>
          <w:p w14:paraId="566DC3D4" w14:textId="5BDB7F6C" w:rsidR="003C176B" w:rsidRPr="00C1603D" w:rsidRDefault="003C176B" w:rsidP="00A06D28">
            <w:pPr>
              <w:pStyle w:val="72TabletextTablesTableFigureBoxstyles"/>
              <w:rPr>
                <w:b/>
              </w:rPr>
            </w:pPr>
            <w:r w:rsidRPr="00C1603D">
              <w:rPr>
                <w:rFonts w:cs="Lato"/>
              </w:rPr>
              <w:t>IgA tTG</w:t>
            </w:r>
          </w:p>
        </w:tc>
        <w:tc>
          <w:tcPr>
            <w:tcW w:w="0" w:type="auto"/>
            <w:shd w:val="clear" w:color="auto" w:fill="auto"/>
          </w:tcPr>
          <w:p w14:paraId="4BFE8703" w14:textId="0EB43A77" w:rsidR="003C176B" w:rsidRPr="00C1603D" w:rsidRDefault="003C176B" w:rsidP="00A06D28">
            <w:pPr>
              <w:pStyle w:val="72TabletextTablesTableFigureBoxstyles"/>
              <w:rPr>
                <w:rFonts w:cs="Calibri"/>
              </w:rPr>
            </w:pPr>
            <w:r w:rsidRPr="00C1603D">
              <w:rPr>
                <w:rFonts w:cs="Calibri"/>
              </w:rPr>
              <w:t>6</w:t>
            </w:r>
          </w:p>
        </w:tc>
        <w:tc>
          <w:tcPr>
            <w:tcW w:w="0" w:type="auto"/>
            <w:shd w:val="clear" w:color="auto" w:fill="auto"/>
          </w:tcPr>
          <w:p w14:paraId="7E8E669C" w14:textId="33338DBF" w:rsidR="003C176B" w:rsidRPr="00C1603D" w:rsidRDefault="003C176B" w:rsidP="00A06D28">
            <w:pPr>
              <w:pStyle w:val="72TabletextTablesTableFigureBoxstyles"/>
              <w:rPr>
                <w:rFonts w:cs="Calibri"/>
              </w:rPr>
            </w:pPr>
            <w:r w:rsidRPr="00C1603D">
              <w:rPr>
                <w:rFonts w:cs="Calibri"/>
              </w:rPr>
              <w:t>2232 (1051)</w:t>
            </w:r>
          </w:p>
        </w:tc>
        <w:tc>
          <w:tcPr>
            <w:tcW w:w="0" w:type="auto"/>
            <w:shd w:val="clear" w:color="auto" w:fill="auto"/>
          </w:tcPr>
          <w:p w14:paraId="38037DC9" w14:textId="3AE156DA" w:rsidR="003C176B" w:rsidRPr="00C1603D" w:rsidRDefault="00472631" w:rsidP="00A06D28">
            <w:pPr>
              <w:pStyle w:val="72TabletextTablesTableFigureBoxstyles"/>
              <w:rPr>
                <w:rFonts w:cs="Calibri"/>
              </w:rPr>
            </w:pPr>
            <w:r w:rsidRPr="00C1603D">
              <w:rPr>
                <w:rFonts w:cs="Calibri"/>
                <w:lang w:val="nl-NL"/>
              </w:rPr>
              <w:t>20 U/ml</w:t>
            </w:r>
          </w:p>
        </w:tc>
        <w:tc>
          <w:tcPr>
            <w:tcW w:w="0" w:type="auto"/>
            <w:shd w:val="clear" w:color="auto" w:fill="auto"/>
          </w:tcPr>
          <w:p w14:paraId="78FD5F75" w14:textId="13AD689C" w:rsidR="003C176B" w:rsidRPr="00C1603D" w:rsidRDefault="003C176B" w:rsidP="00A06D28">
            <w:pPr>
              <w:pStyle w:val="72TabletextTablesTableFigureBoxstyles"/>
              <w:rPr>
                <w:rFonts w:cs="Calibri"/>
              </w:rPr>
            </w:pPr>
            <w:r w:rsidRPr="00C1603D">
              <w:rPr>
                <w:rFonts w:cs="Calibri"/>
              </w:rPr>
              <w:t>97.7 (91.0</w:t>
            </w:r>
            <w:r w:rsidR="00472631" w:rsidRPr="00C1603D">
              <w:rPr>
                <w:rFonts w:cs="Calibri"/>
              </w:rPr>
              <w:t xml:space="preserve"> to </w:t>
            </w:r>
            <w:r w:rsidRPr="00C1603D">
              <w:rPr>
                <w:rFonts w:cs="Calibri"/>
              </w:rPr>
              <w:t>99.4)</w:t>
            </w:r>
          </w:p>
        </w:tc>
        <w:tc>
          <w:tcPr>
            <w:tcW w:w="0" w:type="auto"/>
            <w:shd w:val="clear" w:color="auto" w:fill="auto"/>
          </w:tcPr>
          <w:p w14:paraId="2B440ABC" w14:textId="630EAFBC" w:rsidR="003C176B" w:rsidRPr="00C1603D" w:rsidRDefault="003C176B" w:rsidP="00A06D28">
            <w:pPr>
              <w:pStyle w:val="72TabletextTablesTableFigureBoxstyles"/>
              <w:rPr>
                <w:rFonts w:cs="Calibri"/>
              </w:rPr>
            </w:pPr>
            <w:r w:rsidRPr="00C1603D">
              <w:rPr>
                <w:rFonts w:cs="Calibri"/>
              </w:rPr>
              <w:t>70.2 (39.3</w:t>
            </w:r>
            <w:r w:rsidR="00472631" w:rsidRPr="00C1603D">
              <w:rPr>
                <w:rFonts w:cs="Calibri"/>
              </w:rPr>
              <w:t xml:space="preserve"> to </w:t>
            </w:r>
            <w:r w:rsidRPr="00C1603D">
              <w:rPr>
                <w:rFonts w:cs="Calibri"/>
              </w:rPr>
              <w:t>89.6)</w:t>
            </w:r>
          </w:p>
        </w:tc>
      </w:tr>
      <w:tr w:rsidR="003C176B" w:rsidRPr="00C1603D" w14:paraId="2A797EA1" w14:textId="77777777" w:rsidTr="00A06D28">
        <w:trPr>
          <w:cantSplit/>
          <w:tblHeader/>
        </w:trPr>
        <w:tc>
          <w:tcPr>
            <w:tcW w:w="0" w:type="auto"/>
            <w:shd w:val="clear" w:color="auto" w:fill="auto"/>
          </w:tcPr>
          <w:p w14:paraId="74D80D8A" w14:textId="5F22E4A1" w:rsidR="003C176B" w:rsidRPr="00C1603D" w:rsidRDefault="003C176B" w:rsidP="00A06D28">
            <w:pPr>
              <w:pStyle w:val="72TabletextTablesTableFigureBoxstyles"/>
              <w:rPr>
                <w:b/>
              </w:rPr>
            </w:pPr>
            <w:r w:rsidRPr="00C1603D">
              <w:rPr>
                <w:rFonts w:cs="Lato"/>
              </w:rPr>
              <w:t>IgA EMA</w:t>
            </w:r>
          </w:p>
        </w:tc>
        <w:tc>
          <w:tcPr>
            <w:tcW w:w="0" w:type="auto"/>
            <w:shd w:val="clear" w:color="auto" w:fill="auto"/>
          </w:tcPr>
          <w:p w14:paraId="1F8C6DEE" w14:textId="58A9E3E8" w:rsidR="003C176B" w:rsidRPr="00C1603D" w:rsidRDefault="003C176B" w:rsidP="00A06D28">
            <w:pPr>
              <w:pStyle w:val="72TabletextTablesTableFigureBoxstyles"/>
              <w:rPr>
                <w:rFonts w:cs="Calibri"/>
              </w:rPr>
            </w:pPr>
            <w:r w:rsidRPr="00C1603D">
              <w:rPr>
                <w:rFonts w:cs="Calibri"/>
              </w:rPr>
              <w:t>5</w:t>
            </w:r>
          </w:p>
        </w:tc>
        <w:tc>
          <w:tcPr>
            <w:tcW w:w="0" w:type="auto"/>
            <w:shd w:val="clear" w:color="auto" w:fill="auto"/>
          </w:tcPr>
          <w:p w14:paraId="6962149B" w14:textId="089918F2" w:rsidR="003C176B" w:rsidRPr="00C1603D" w:rsidRDefault="003C176B" w:rsidP="00A06D28">
            <w:pPr>
              <w:pStyle w:val="72TabletextTablesTableFigureBoxstyles"/>
              <w:rPr>
                <w:rFonts w:cs="Calibri"/>
              </w:rPr>
            </w:pPr>
            <w:r w:rsidRPr="00C1603D">
              <w:rPr>
                <w:rFonts w:cs="Calibri"/>
              </w:rPr>
              <w:t>1257 (685)</w:t>
            </w:r>
          </w:p>
        </w:tc>
        <w:tc>
          <w:tcPr>
            <w:tcW w:w="0" w:type="auto"/>
            <w:shd w:val="clear" w:color="auto" w:fill="auto"/>
          </w:tcPr>
          <w:p w14:paraId="72BD73A5" w14:textId="692CA177" w:rsidR="003C176B" w:rsidRPr="00C1603D" w:rsidRDefault="003C176B" w:rsidP="00A06D28">
            <w:pPr>
              <w:pStyle w:val="72TabletextTablesTableFigureBoxstyles"/>
              <w:rPr>
                <w:rFonts w:cs="Calibri"/>
              </w:rPr>
            </w:pPr>
            <w:r w:rsidRPr="00C1603D">
              <w:rPr>
                <w:rFonts w:cs="Calibri"/>
              </w:rPr>
              <w:t>1</w:t>
            </w:r>
            <w:r w:rsidR="00472631" w:rsidRPr="00C1603D">
              <w:rPr>
                <w:rFonts w:cs="Calibri"/>
              </w:rPr>
              <w:t> </w:t>
            </w:r>
            <w:r w:rsidRPr="00C1603D">
              <w:rPr>
                <w:rFonts w:cs="Calibri"/>
              </w:rPr>
              <w:t>:</w:t>
            </w:r>
            <w:r w:rsidR="00472631" w:rsidRPr="00C1603D">
              <w:rPr>
                <w:rFonts w:cs="Calibri"/>
              </w:rPr>
              <w:t> </w:t>
            </w:r>
            <w:r w:rsidRPr="00C1603D">
              <w:rPr>
                <w:rFonts w:cs="Calibri"/>
              </w:rPr>
              <w:t>10</w:t>
            </w:r>
          </w:p>
        </w:tc>
        <w:tc>
          <w:tcPr>
            <w:tcW w:w="0" w:type="auto"/>
            <w:shd w:val="clear" w:color="auto" w:fill="auto"/>
          </w:tcPr>
          <w:p w14:paraId="690A6C03" w14:textId="3FC297F0" w:rsidR="003C176B" w:rsidRPr="00C1603D" w:rsidRDefault="003C176B" w:rsidP="00A06D28">
            <w:pPr>
              <w:pStyle w:val="72TabletextTablesTableFigureBoxstyles"/>
              <w:rPr>
                <w:rFonts w:cs="Calibri"/>
              </w:rPr>
            </w:pPr>
            <w:r w:rsidRPr="00C1603D">
              <w:rPr>
                <w:rFonts w:cs="Calibri"/>
              </w:rPr>
              <w:t>94.5 (88.9</w:t>
            </w:r>
            <w:r w:rsidR="00472631" w:rsidRPr="00C1603D">
              <w:rPr>
                <w:rFonts w:cs="Calibri"/>
              </w:rPr>
              <w:t xml:space="preserve"> to </w:t>
            </w:r>
            <w:r w:rsidRPr="00C1603D">
              <w:rPr>
                <w:rFonts w:cs="Calibri"/>
              </w:rPr>
              <w:t>97.3)</w:t>
            </w:r>
          </w:p>
        </w:tc>
        <w:tc>
          <w:tcPr>
            <w:tcW w:w="0" w:type="auto"/>
            <w:shd w:val="clear" w:color="auto" w:fill="auto"/>
          </w:tcPr>
          <w:p w14:paraId="4FDE9EA8" w14:textId="1C052660" w:rsidR="003C176B" w:rsidRPr="00C1603D" w:rsidRDefault="003C176B" w:rsidP="00A06D28">
            <w:pPr>
              <w:pStyle w:val="72TabletextTablesTableFigureBoxstyles"/>
              <w:rPr>
                <w:rFonts w:cs="Calibri"/>
              </w:rPr>
            </w:pPr>
            <w:r w:rsidRPr="00C1603D">
              <w:rPr>
                <w:rFonts w:cs="Calibri"/>
              </w:rPr>
              <w:t>93.8 (85.2</w:t>
            </w:r>
            <w:r w:rsidR="00472631" w:rsidRPr="00C1603D">
              <w:rPr>
                <w:rFonts w:cs="Calibri"/>
              </w:rPr>
              <w:t xml:space="preserve"> to </w:t>
            </w:r>
            <w:r w:rsidRPr="00C1603D">
              <w:rPr>
                <w:rFonts w:cs="Calibri"/>
              </w:rPr>
              <w:t>97.5)</w:t>
            </w:r>
          </w:p>
        </w:tc>
      </w:tr>
      <w:tr w:rsidR="00472631" w:rsidRPr="00C1603D" w14:paraId="43FBB7D4" w14:textId="77777777" w:rsidTr="00A06D28">
        <w:trPr>
          <w:cantSplit/>
          <w:tblHeader/>
        </w:trPr>
        <w:tc>
          <w:tcPr>
            <w:tcW w:w="0" w:type="auto"/>
            <w:shd w:val="clear" w:color="auto" w:fill="auto"/>
          </w:tcPr>
          <w:p w14:paraId="5A974CBF" w14:textId="2A38EDE7" w:rsidR="00472631" w:rsidRPr="00C1603D" w:rsidRDefault="00472631" w:rsidP="00A06D28">
            <w:pPr>
              <w:pStyle w:val="72TabletextTablesTableFigureBoxstyles"/>
              <w:rPr>
                <w:b/>
              </w:rPr>
            </w:pPr>
            <w:r w:rsidRPr="00C1603D">
              <w:rPr>
                <w:rFonts w:cs="Lato"/>
              </w:rPr>
              <w:t>IgA/IgG DGP</w:t>
            </w:r>
          </w:p>
        </w:tc>
        <w:tc>
          <w:tcPr>
            <w:tcW w:w="0" w:type="auto"/>
            <w:shd w:val="clear" w:color="auto" w:fill="auto"/>
          </w:tcPr>
          <w:p w14:paraId="79681D47" w14:textId="650B7ACD" w:rsidR="00472631" w:rsidRPr="00C1603D" w:rsidRDefault="00472631" w:rsidP="00A06D28">
            <w:pPr>
              <w:pStyle w:val="72TabletextTablesTableFigureBoxstyles"/>
              <w:rPr>
                <w:rFonts w:cs="Calibri"/>
              </w:rPr>
            </w:pPr>
            <w:r w:rsidRPr="00C1603D">
              <w:rPr>
                <w:rFonts w:cs="Calibri"/>
              </w:rPr>
              <w:t>5</w:t>
            </w:r>
          </w:p>
        </w:tc>
        <w:tc>
          <w:tcPr>
            <w:tcW w:w="0" w:type="auto"/>
            <w:shd w:val="clear" w:color="auto" w:fill="auto"/>
          </w:tcPr>
          <w:p w14:paraId="2A3825E1" w14:textId="0472FA0B" w:rsidR="00472631" w:rsidRPr="00C1603D" w:rsidRDefault="00472631" w:rsidP="00A06D28">
            <w:pPr>
              <w:pStyle w:val="72TabletextTablesTableFigureBoxstyles"/>
              <w:rPr>
                <w:rFonts w:cs="Calibri"/>
              </w:rPr>
            </w:pPr>
            <w:r w:rsidRPr="00C1603D">
              <w:rPr>
                <w:rFonts w:cs="Calibri"/>
              </w:rPr>
              <w:t>533 (276)</w:t>
            </w:r>
          </w:p>
        </w:tc>
        <w:tc>
          <w:tcPr>
            <w:tcW w:w="0" w:type="auto"/>
            <w:shd w:val="clear" w:color="auto" w:fill="auto"/>
          </w:tcPr>
          <w:p w14:paraId="4711F098" w14:textId="690297B7" w:rsidR="00472631" w:rsidRPr="00C1603D" w:rsidRDefault="00472631" w:rsidP="00A06D28">
            <w:pPr>
              <w:pStyle w:val="72TabletextTablesTableFigureBoxstyles"/>
              <w:rPr>
                <w:rFonts w:cs="Calibri"/>
              </w:rPr>
            </w:pPr>
            <w:r w:rsidRPr="00C1603D">
              <w:rPr>
                <w:rFonts w:cs="Calibri"/>
                <w:lang w:val="nl-NL"/>
              </w:rPr>
              <w:t>20 U/ml</w:t>
            </w:r>
          </w:p>
        </w:tc>
        <w:tc>
          <w:tcPr>
            <w:tcW w:w="0" w:type="auto"/>
            <w:shd w:val="clear" w:color="auto" w:fill="auto"/>
          </w:tcPr>
          <w:p w14:paraId="1647D87B" w14:textId="20CC9CAE" w:rsidR="00472631" w:rsidRPr="00C1603D" w:rsidRDefault="00472631" w:rsidP="00A06D28">
            <w:pPr>
              <w:pStyle w:val="72TabletextTablesTableFigureBoxstyles"/>
              <w:rPr>
                <w:rFonts w:cs="Calibri"/>
              </w:rPr>
            </w:pPr>
            <w:r w:rsidRPr="00C1603D">
              <w:rPr>
                <w:rFonts w:cs="Calibri"/>
              </w:rPr>
              <w:t>96.4 (91.7 to 98.5)</w:t>
            </w:r>
          </w:p>
        </w:tc>
        <w:tc>
          <w:tcPr>
            <w:tcW w:w="0" w:type="auto"/>
            <w:shd w:val="clear" w:color="auto" w:fill="auto"/>
          </w:tcPr>
          <w:p w14:paraId="5D489151" w14:textId="6EF4CA47" w:rsidR="00472631" w:rsidRPr="00C1603D" w:rsidRDefault="00472631" w:rsidP="00A06D28">
            <w:pPr>
              <w:pStyle w:val="72TabletextTablesTableFigureBoxstyles"/>
              <w:rPr>
                <w:rFonts w:cs="Calibri"/>
              </w:rPr>
            </w:pPr>
            <w:r w:rsidRPr="00C1603D">
              <w:rPr>
                <w:rFonts w:cs="Calibri"/>
              </w:rPr>
              <w:t>77.4 (44.0 to 93.7)</w:t>
            </w:r>
          </w:p>
        </w:tc>
      </w:tr>
      <w:tr w:rsidR="00472631" w:rsidRPr="00C1603D" w14:paraId="4E973DB1" w14:textId="77777777" w:rsidTr="00A06D28">
        <w:trPr>
          <w:cantSplit/>
          <w:tblHeader/>
        </w:trPr>
        <w:tc>
          <w:tcPr>
            <w:tcW w:w="0" w:type="auto"/>
            <w:shd w:val="clear" w:color="auto" w:fill="auto"/>
          </w:tcPr>
          <w:p w14:paraId="2F356411" w14:textId="3030DD2C" w:rsidR="00472631" w:rsidRPr="00C1603D" w:rsidRDefault="00472631" w:rsidP="00A06D28">
            <w:pPr>
              <w:pStyle w:val="72TabletextTablesTableFigureBoxstyles"/>
              <w:rPr>
                <w:b/>
              </w:rPr>
            </w:pPr>
            <w:r w:rsidRPr="00C1603D">
              <w:rPr>
                <w:rFonts w:cs="Lato"/>
              </w:rPr>
              <w:t>IgA/IgG tTG/DGP</w:t>
            </w:r>
            <w:r w:rsidRPr="00C1603D">
              <w:rPr>
                <w:rFonts w:cs="Lato"/>
                <w:vertAlign w:val="superscript"/>
              </w:rPr>
              <w:t>a</w:t>
            </w:r>
          </w:p>
        </w:tc>
        <w:tc>
          <w:tcPr>
            <w:tcW w:w="0" w:type="auto"/>
            <w:shd w:val="clear" w:color="auto" w:fill="auto"/>
          </w:tcPr>
          <w:p w14:paraId="2E4CB2AC" w14:textId="5DA19DAD" w:rsidR="00472631" w:rsidRPr="00C1603D" w:rsidRDefault="00472631" w:rsidP="00A06D28">
            <w:pPr>
              <w:pStyle w:val="72TabletextTablesTableFigureBoxstyles"/>
              <w:rPr>
                <w:rFonts w:cs="Calibri"/>
              </w:rPr>
            </w:pPr>
            <w:r w:rsidRPr="00C1603D">
              <w:rPr>
                <w:rFonts w:cs="Calibri"/>
              </w:rPr>
              <w:t>2</w:t>
            </w:r>
          </w:p>
        </w:tc>
        <w:tc>
          <w:tcPr>
            <w:tcW w:w="0" w:type="auto"/>
            <w:shd w:val="clear" w:color="auto" w:fill="auto"/>
          </w:tcPr>
          <w:p w14:paraId="4F6F49CC" w14:textId="1C2AD4A2" w:rsidR="00472631" w:rsidRPr="00C1603D" w:rsidRDefault="00472631" w:rsidP="00A06D28">
            <w:pPr>
              <w:pStyle w:val="72TabletextTablesTableFigureBoxstyles"/>
              <w:rPr>
                <w:rFonts w:cs="Calibri"/>
              </w:rPr>
            </w:pPr>
            <w:r w:rsidRPr="00C1603D">
              <w:rPr>
                <w:rFonts w:cs="Calibri"/>
              </w:rPr>
              <w:t>244 (133)</w:t>
            </w:r>
          </w:p>
        </w:tc>
        <w:tc>
          <w:tcPr>
            <w:tcW w:w="0" w:type="auto"/>
            <w:shd w:val="clear" w:color="auto" w:fill="auto"/>
          </w:tcPr>
          <w:p w14:paraId="7B6F04BA" w14:textId="79E409F9" w:rsidR="00472631" w:rsidRPr="00C1603D" w:rsidRDefault="00472631" w:rsidP="00A06D28">
            <w:pPr>
              <w:pStyle w:val="72TabletextTablesTableFigureBoxstyles"/>
              <w:rPr>
                <w:rFonts w:cs="Calibri"/>
              </w:rPr>
            </w:pPr>
            <w:r w:rsidRPr="00C1603D">
              <w:rPr>
                <w:rFonts w:cs="Calibri"/>
                <w:lang w:val="nl-NL"/>
              </w:rPr>
              <w:t>20 U/ml</w:t>
            </w:r>
          </w:p>
        </w:tc>
        <w:tc>
          <w:tcPr>
            <w:tcW w:w="0" w:type="auto"/>
            <w:shd w:val="clear" w:color="auto" w:fill="auto"/>
          </w:tcPr>
          <w:p w14:paraId="6D1549CE" w14:textId="7FF9F448" w:rsidR="00472631" w:rsidRPr="00C1603D" w:rsidRDefault="00472631" w:rsidP="00A06D28">
            <w:pPr>
              <w:pStyle w:val="72TabletextTablesTableFigureBoxstyles"/>
              <w:rPr>
                <w:rFonts w:cs="Calibri"/>
              </w:rPr>
            </w:pPr>
            <w:r w:rsidRPr="00C1603D">
              <w:rPr>
                <w:rFonts w:cs="Calibri"/>
              </w:rPr>
              <w:t>95.6 (83.9 to 98.9)</w:t>
            </w:r>
          </w:p>
        </w:tc>
        <w:tc>
          <w:tcPr>
            <w:tcW w:w="0" w:type="auto"/>
            <w:shd w:val="clear" w:color="auto" w:fill="auto"/>
          </w:tcPr>
          <w:p w14:paraId="64BD55F3" w14:textId="0853D173" w:rsidR="00472631" w:rsidRPr="00C1603D" w:rsidRDefault="00472631" w:rsidP="00A06D28">
            <w:pPr>
              <w:pStyle w:val="72TabletextTablesTableFigureBoxstyles"/>
              <w:rPr>
                <w:rFonts w:cs="Calibri"/>
              </w:rPr>
            </w:pPr>
            <w:r w:rsidRPr="00C1603D">
              <w:rPr>
                <w:rFonts w:cs="Calibri"/>
              </w:rPr>
              <w:t>62.2 (52.8 to 70.7)</w:t>
            </w:r>
          </w:p>
        </w:tc>
      </w:tr>
      <w:tr w:rsidR="008B4DF8" w:rsidRPr="00C1603D" w14:paraId="1250B947" w14:textId="77777777" w:rsidTr="00A06D28">
        <w:trPr>
          <w:cantSplit/>
          <w:tblHeader/>
        </w:trPr>
        <w:tc>
          <w:tcPr>
            <w:tcW w:w="0" w:type="auto"/>
            <w:gridSpan w:val="6"/>
            <w:shd w:val="clear" w:color="auto" w:fill="auto"/>
          </w:tcPr>
          <w:p w14:paraId="3AC0D24D" w14:textId="2394BDA5" w:rsidR="008B4DF8" w:rsidRPr="00C1603D" w:rsidRDefault="00507132" w:rsidP="00A06D28">
            <w:pPr>
              <w:pStyle w:val="75TablenotesTablesTableFigureBoxstyles"/>
            </w:pPr>
            <w:r w:rsidRPr="00C1603D">
              <w:t>a</w:t>
            </w:r>
            <w:r w:rsidRPr="00C1603D">
              <w:tab/>
            </w:r>
            <w:r w:rsidR="008B4DF8" w:rsidRPr="00C1603D">
              <w:t>Univariate fixed</w:t>
            </w:r>
            <w:r w:rsidRPr="00C1603D">
              <w:t>-</w:t>
            </w:r>
            <w:r w:rsidR="008B4DF8" w:rsidRPr="00C1603D">
              <w:t>effect meta-analysis</w:t>
            </w:r>
            <w:r w:rsidR="00267212" w:rsidRPr="00C1603D">
              <w:t>.</w:t>
            </w:r>
          </w:p>
        </w:tc>
      </w:tr>
    </w:tbl>
    <w:p w14:paraId="3DE0A273" w14:textId="1E7394C4" w:rsidR="008B4DF8" w:rsidRPr="00C1603D" w:rsidRDefault="008B4DF8" w:rsidP="008B4DF8">
      <w:pPr>
        <w:pStyle w:val="602TextfoTextstylesTextstyles"/>
      </w:pPr>
      <w:r w:rsidRPr="00C1603D">
        <w:t xml:space="preserve">Although tTG was evaluated in </w:t>
      </w:r>
      <w:proofErr w:type="gramStart"/>
      <w:r w:rsidRPr="00C1603D">
        <w:t>27</w:t>
      </w:r>
      <w:proofErr w:type="gramEnd"/>
      <w:r w:rsidRPr="00C1603D">
        <w:t xml:space="preserve"> studies </w:t>
      </w:r>
      <w:r w:rsidR="00472631" w:rsidRPr="00C1603D">
        <w:t>with</w:t>
      </w:r>
      <w:r w:rsidRPr="00C1603D">
        <w:t xml:space="preserve"> adults, only five studies reported at a common threshold of 15</w:t>
      </w:r>
      <w:r w:rsidR="00472631" w:rsidRPr="00C1603D">
        <w:t> </w:t>
      </w:r>
      <w:r w:rsidRPr="00C1603D">
        <w:t>U/m</w:t>
      </w:r>
      <w:r w:rsidR="00472631" w:rsidRPr="00C1603D">
        <w:t>l</w:t>
      </w:r>
      <w:r w:rsidRPr="00C1603D">
        <w:t>.</w:t>
      </w:r>
      <w:r w:rsidRPr="00C1603D">
        <w:rPr>
          <w:noProof/>
          <w:vertAlign w:val="superscript"/>
        </w:rPr>
        <w:t>90,100,110,178,179</w:t>
      </w:r>
      <w:r w:rsidRPr="00C1603D">
        <w:t xml:space="preserve"> At this threshold, IgA tTG had a summary sensitivity of 90.7% (95% </w:t>
      </w:r>
      <w:r w:rsidR="00FE01C9" w:rsidRPr="00C1603D">
        <w:t>CI</w:t>
      </w:r>
      <w:r w:rsidRPr="00C1603D">
        <w:t xml:space="preserve"> 87.3</w:t>
      </w:r>
      <w:r w:rsidR="00472631" w:rsidRPr="00C1603D">
        <w:t>%</w:t>
      </w:r>
      <w:r w:rsidRPr="00C1603D">
        <w:t xml:space="preserve"> to 93.2%) and summary specificity of 87.4% (95% CI 84.4</w:t>
      </w:r>
      <w:r w:rsidR="00472631" w:rsidRPr="00C1603D">
        <w:t>%</w:t>
      </w:r>
      <w:r w:rsidRPr="00C1603D">
        <w:t xml:space="preserve"> to 90.0%) for CD </w:t>
      </w:r>
      <w:r w:rsidR="00472631" w:rsidRPr="00C1603D">
        <w:t>among</w:t>
      </w:r>
      <w:r w:rsidRPr="00C1603D">
        <w:t xml:space="preserve"> adults (</w:t>
      </w:r>
      <w:r w:rsidR="00472631" w:rsidRPr="00C1603D">
        <w:t xml:space="preserve">see </w:t>
      </w:r>
      <w:r w:rsidRPr="00C1603D">
        <w:rPr>
          <w:i/>
          <w:color w:val="auto"/>
        </w:rPr>
        <w:t xml:space="preserve">Table </w:t>
      </w:r>
      <w:r w:rsidRPr="00C1603D">
        <w:rPr>
          <w:i/>
          <w:noProof/>
          <w:color w:val="auto"/>
        </w:rPr>
        <w:t>9</w:t>
      </w:r>
      <w:r w:rsidRPr="00C1603D">
        <w:rPr>
          <w:color w:val="auto"/>
        </w:rPr>
        <w:t>). O</w:t>
      </w:r>
      <w:r w:rsidRPr="00C1603D">
        <w:t xml:space="preserve">nly five of the </w:t>
      </w:r>
      <w:proofErr w:type="gramStart"/>
      <w:r w:rsidRPr="00C1603D">
        <w:t>19</w:t>
      </w:r>
      <w:proofErr w:type="gramEnd"/>
      <w:r w:rsidRPr="00C1603D">
        <w:t xml:space="preserve"> studies of IgA EMA </w:t>
      </w:r>
      <w:r w:rsidR="00472631" w:rsidRPr="00C1603D">
        <w:t>among</w:t>
      </w:r>
      <w:r w:rsidRPr="00C1603D">
        <w:t xml:space="preserve"> adults reported accuracy data at a common threshold of 1</w:t>
      </w:r>
      <w:r w:rsidR="00472631" w:rsidRPr="00C1603D">
        <w:t> </w:t>
      </w:r>
      <w:r w:rsidRPr="00C1603D">
        <w:t>:</w:t>
      </w:r>
      <w:r w:rsidR="00472631" w:rsidRPr="00C1603D">
        <w:t> </w:t>
      </w:r>
      <w:r w:rsidRPr="00C1603D">
        <w:t>5.</w:t>
      </w:r>
      <w:r w:rsidRPr="00C1603D">
        <w:rPr>
          <w:noProof/>
          <w:vertAlign w:val="superscript"/>
        </w:rPr>
        <w:t>83,93,107,111,112</w:t>
      </w:r>
      <w:r w:rsidRPr="00C1603D">
        <w:t xml:space="preserve"> These studies reported that </w:t>
      </w:r>
      <w:r w:rsidR="00472631" w:rsidRPr="00C1603D">
        <w:t xml:space="preserve">the </w:t>
      </w:r>
      <w:r w:rsidRPr="00C1603D">
        <w:t xml:space="preserve">EMA </w:t>
      </w:r>
      <w:r w:rsidR="00472631" w:rsidRPr="00C1603D">
        <w:t>was</w:t>
      </w:r>
      <w:r w:rsidRPr="00C1603D">
        <w:t xml:space="preserve"> highly specific</w:t>
      </w:r>
      <w:r w:rsidR="00472631" w:rsidRPr="00C1603D">
        <w:t>,</w:t>
      </w:r>
      <w:r w:rsidRPr="00C1603D">
        <w:t xml:space="preserve"> with a summary specificity of 99.6% (95% CI 92.3</w:t>
      </w:r>
      <w:r w:rsidR="00472631" w:rsidRPr="00C1603D">
        <w:t>%</w:t>
      </w:r>
      <w:r w:rsidRPr="00C1603D">
        <w:t xml:space="preserve"> to 100%) in adults, but summary sensitivity was lower</w:t>
      </w:r>
      <w:r w:rsidR="00E134DB" w:rsidRPr="00C1603D">
        <w:t>,</w:t>
      </w:r>
      <w:r w:rsidRPr="00C1603D">
        <w:t xml:space="preserve"> at 88.0% (95% CI 75.2</w:t>
      </w:r>
      <w:r w:rsidR="007E7B89" w:rsidRPr="00C1603D">
        <w:t>%</w:t>
      </w:r>
      <w:r w:rsidRPr="00C1603D">
        <w:t xml:space="preserve"> to 94.7%). IgA and IgG DGP also showed </w:t>
      </w:r>
      <w:proofErr w:type="gramStart"/>
      <w:r w:rsidRPr="00C1603D">
        <w:t>very good</w:t>
      </w:r>
      <w:proofErr w:type="gramEnd"/>
      <w:r w:rsidRPr="00C1603D">
        <w:t xml:space="preserve"> sensitivity</w:t>
      </w:r>
      <w:r w:rsidR="007E7B89" w:rsidRPr="00C1603D">
        <w:t>,</w:t>
      </w:r>
      <w:r w:rsidRPr="00C1603D">
        <w:t xml:space="preserve"> with summary estimates for IgA, IgG and IgA/IgG DGP all </w:t>
      </w:r>
      <w:r w:rsidR="007E7B89" w:rsidRPr="00C1603D">
        <w:t>&gt; </w:t>
      </w:r>
      <w:r w:rsidRPr="00C1603D">
        <w:t>90%</w:t>
      </w:r>
      <w:r w:rsidR="007E7B89" w:rsidRPr="00C1603D">
        <w:t>,</w:t>
      </w:r>
      <w:r w:rsidRPr="00C1603D">
        <w:t xml:space="preserve"> but these were evaluated in four or fewer studies.</w:t>
      </w:r>
      <w:r w:rsidRPr="00C1603D">
        <w:rPr>
          <w:noProof/>
          <w:vertAlign w:val="superscript"/>
        </w:rPr>
        <w:t>91,101,109</w:t>
      </w:r>
      <w:r w:rsidRPr="00C1603D">
        <w:t xml:space="preserve"> Specificity for these tests was also high</w:t>
      </w:r>
      <w:r w:rsidR="00ED79CA" w:rsidRPr="00C1603D">
        <w:t>,</w:t>
      </w:r>
      <w:r w:rsidRPr="00C1603D">
        <w:t xml:space="preserve"> with all estimates </w:t>
      </w:r>
      <w:r w:rsidR="00ED79CA" w:rsidRPr="00C1603D">
        <w:t>&gt; </w:t>
      </w:r>
      <w:r w:rsidRPr="00C1603D">
        <w:t>95%.</w:t>
      </w:r>
    </w:p>
    <w:p w14:paraId="6DC4DE75" w14:textId="36360A2B" w:rsidR="008B4DF8" w:rsidRPr="00C1603D" w:rsidRDefault="008B4DF8" w:rsidP="008B4DF8">
      <w:pPr>
        <w:pStyle w:val="602TextfoTextstylesTextstyles"/>
      </w:pPr>
      <w:r w:rsidRPr="00C1603D">
        <w:lastRenderedPageBreak/>
        <w:t xml:space="preserve">Six of the </w:t>
      </w:r>
      <w:proofErr w:type="gramStart"/>
      <w:r w:rsidRPr="00C1603D">
        <w:t>37</w:t>
      </w:r>
      <w:proofErr w:type="gramEnd"/>
      <w:r w:rsidRPr="00C1603D">
        <w:t xml:space="preserve"> studies </w:t>
      </w:r>
      <w:r w:rsidR="00ED79CA" w:rsidRPr="00C1603D">
        <w:t>with</w:t>
      </w:r>
      <w:r w:rsidRPr="00C1603D">
        <w:t xml:space="preserve"> children reported data at a common threshold of 20</w:t>
      </w:r>
      <w:r w:rsidR="00ED79CA" w:rsidRPr="00C1603D">
        <w:t> </w:t>
      </w:r>
      <w:r w:rsidRPr="00C1603D">
        <w:t>U/</w:t>
      </w:r>
      <w:r w:rsidR="00472631" w:rsidRPr="00C1603D">
        <w:t>ml</w:t>
      </w:r>
      <w:r w:rsidRPr="00C1603D">
        <w:t>.</w:t>
      </w:r>
      <w:r w:rsidRPr="00C1603D">
        <w:rPr>
          <w:noProof/>
          <w:vertAlign w:val="superscript"/>
        </w:rPr>
        <w:t>121,134,136,140,141,146</w:t>
      </w:r>
      <w:r w:rsidRPr="00C1603D">
        <w:t xml:space="preserve"> These found that IgA tTG was very sensitive</w:t>
      </w:r>
      <w:r w:rsidR="00A06D28" w:rsidRPr="00C1603D">
        <w:t>,</w:t>
      </w:r>
      <w:r w:rsidRPr="00C1603D">
        <w:t xml:space="preserve"> with a summary sensitivity of 97.7% (95% CI 91.0</w:t>
      </w:r>
      <w:r w:rsidR="00A06D28" w:rsidRPr="00C1603D">
        <w:t>%</w:t>
      </w:r>
      <w:r w:rsidRPr="00C1603D">
        <w:t xml:space="preserve"> to 99.4%)</w:t>
      </w:r>
      <w:r w:rsidR="00A06D28" w:rsidRPr="00C1603D">
        <w:t>,</w:t>
      </w:r>
      <w:r w:rsidRPr="00C1603D">
        <w:t xml:space="preserve"> but summary specificity was lower at 70.2% (95% CI 39.3</w:t>
      </w:r>
      <w:r w:rsidR="00A06D28" w:rsidRPr="00C1603D">
        <w:t>%</w:t>
      </w:r>
      <w:r w:rsidRPr="00C1603D">
        <w:t xml:space="preserve"> to 89.6%). Six of the </w:t>
      </w:r>
      <w:proofErr w:type="gramStart"/>
      <w:r w:rsidRPr="00C1603D">
        <w:t>28</w:t>
      </w:r>
      <w:proofErr w:type="gramEnd"/>
      <w:r w:rsidRPr="00C1603D">
        <w:t xml:space="preserve"> studies of EMA</w:t>
      </w:r>
      <w:r w:rsidR="00A06D28" w:rsidRPr="00C1603D">
        <w:t>s</w:t>
      </w:r>
      <w:r w:rsidRPr="00C1603D">
        <w:t xml:space="preserve"> </w:t>
      </w:r>
      <w:r w:rsidR="00A06D28" w:rsidRPr="00C1603D">
        <w:t>with</w:t>
      </w:r>
      <w:r w:rsidRPr="00C1603D">
        <w:t xml:space="preserve"> children reported data at a threshold of 1</w:t>
      </w:r>
      <w:r w:rsidR="00A06D28" w:rsidRPr="00C1603D">
        <w:t> </w:t>
      </w:r>
      <w:r w:rsidRPr="00C1603D">
        <w:t>:</w:t>
      </w:r>
      <w:r w:rsidR="00A06D28" w:rsidRPr="00C1603D">
        <w:t> </w:t>
      </w:r>
      <w:r w:rsidRPr="00C1603D">
        <w:t>10.</w:t>
      </w:r>
      <w:r w:rsidRPr="00C1603D">
        <w:rPr>
          <w:noProof/>
          <w:vertAlign w:val="superscript"/>
        </w:rPr>
        <w:t>121,135,140,144,165,177</w:t>
      </w:r>
      <w:r w:rsidRPr="00C1603D">
        <w:t xml:space="preserve"> Summary sensitivity was 94.5% (</w:t>
      </w:r>
      <w:r w:rsidR="00A06D28" w:rsidRPr="00C1603D">
        <w:t xml:space="preserve">95% CI </w:t>
      </w:r>
      <w:r w:rsidRPr="00C1603D">
        <w:t>88.9</w:t>
      </w:r>
      <w:r w:rsidR="00A06D28" w:rsidRPr="00C1603D">
        <w:t>%</w:t>
      </w:r>
      <w:r w:rsidRPr="00C1603D">
        <w:t xml:space="preserve"> to 97.3%) and summary specificity was 93.8% (95% CI 85.2</w:t>
      </w:r>
      <w:r w:rsidR="00A06D28" w:rsidRPr="00C1603D">
        <w:t>%</w:t>
      </w:r>
      <w:r w:rsidRPr="00C1603D">
        <w:t xml:space="preserve"> to 97.5%). IgA/IgG DGP was also evaluated at a common threshold of 20</w:t>
      </w:r>
      <w:r w:rsidR="00A06D28" w:rsidRPr="00C1603D">
        <w:t> </w:t>
      </w:r>
      <w:r w:rsidRPr="00C1603D">
        <w:t>U/</w:t>
      </w:r>
      <w:r w:rsidR="00472631" w:rsidRPr="00C1603D">
        <w:t>ml</w:t>
      </w:r>
      <w:r w:rsidRPr="00C1603D">
        <w:t xml:space="preserve"> in five studies and showed good sensitivity (summary estimate 96.4%, 95% CI 91.7</w:t>
      </w:r>
      <w:r w:rsidR="00A06D28" w:rsidRPr="00C1603D">
        <w:t>% to</w:t>
      </w:r>
      <w:r w:rsidRPr="00C1603D">
        <w:t xml:space="preserve"> 98.5%), but poorer specificity (summary estimate 77.4%, 95% CI 44</w:t>
      </w:r>
      <w:r w:rsidR="00A06D28" w:rsidRPr="00C1603D">
        <w:t>% to</w:t>
      </w:r>
      <w:r w:rsidRPr="00C1603D">
        <w:t xml:space="preserve"> 93.7%).</w:t>
      </w:r>
      <w:r w:rsidRPr="00C1603D">
        <w:rPr>
          <w:noProof/>
          <w:vertAlign w:val="superscript"/>
        </w:rPr>
        <w:t>124,128,136,138,145,150</w:t>
      </w:r>
    </w:p>
    <w:p w14:paraId="34970FB0" w14:textId="77777777" w:rsidR="008B4DF8" w:rsidRPr="00C1603D" w:rsidRDefault="008B4DF8" w:rsidP="008B4DF8">
      <w:pPr>
        <w:pStyle w:val="53BheadHeadingsHeadingstyles"/>
      </w:pPr>
      <w:bookmarkStart w:id="276" w:name="_Toc99539868"/>
      <w:r w:rsidRPr="00C1603D">
        <w:t>Direct comparisons and test combinations</w:t>
      </w:r>
      <w:bookmarkEnd w:id="276"/>
    </w:p>
    <w:p w14:paraId="22419D0B" w14:textId="2AC72F77" w:rsidR="008B4DF8" w:rsidRPr="00C1603D" w:rsidRDefault="008B4DF8" w:rsidP="008B4DF8">
      <w:pPr>
        <w:pStyle w:val="602TextfoTextstylesTextstyles"/>
      </w:pPr>
      <w:r w:rsidRPr="00C1603D">
        <w:t>Comparative accuracy studies provided little evidence of differences in accuracy between tests (</w:t>
      </w:r>
      <w:r w:rsidRPr="00C1603D">
        <w:rPr>
          <w:i/>
          <w:color w:val="FF0000"/>
        </w:rPr>
        <w:t xml:space="preserve">Table </w:t>
      </w:r>
      <w:r w:rsidRPr="00C1603D">
        <w:rPr>
          <w:i/>
          <w:noProof/>
          <w:color w:val="FF0000"/>
        </w:rPr>
        <w:t>10</w:t>
      </w:r>
      <w:r w:rsidRPr="00C1603D">
        <w:t xml:space="preserve">). Fourteen studies </w:t>
      </w:r>
      <w:r w:rsidR="00A06D28" w:rsidRPr="00C1603D">
        <w:t>with</w:t>
      </w:r>
      <w:r w:rsidRPr="00C1603D">
        <w:t xml:space="preserve"> adults and </w:t>
      </w:r>
      <w:proofErr w:type="gramStart"/>
      <w:r w:rsidR="00A06D28" w:rsidRPr="00C1603D">
        <w:t>16</w:t>
      </w:r>
      <w:proofErr w:type="gramEnd"/>
      <w:r w:rsidRPr="00C1603D">
        <w:t xml:space="preserve"> studies </w:t>
      </w:r>
      <w:r w:rsidR="00A06D28" w:rsidRPr="00C1603D">
        <w:t>with</w:t>
      </w:r>
      <w:r w:rsidRPr="00C1603D">
        <w:t xml:space="preserve"> children provided direct comparison of IgA tTG and IgA EMA. There was a suggestion that IgA EMA was more specific than IgA tTG in adults</w:t>
      </w:r>
      <w:r w:rsidR="00A06D28" w:rsidRPr="00C1603D">
        <w:t>,</w:t>
      </w:r>
      <w:r w:rsidRPr="00C1603D">
        <w:t xml:space="preserve"> with similar estimates of sensitivity; estimates in children were similar for both tests. However, studies reported results at different thresholds</w:t>
      </w:r>
      <w:r w:rsidR="00A06D28" w:rsidRPr="00C1603D">
        <w:t>;</w:t>
      </w:r>
      <w:r w:rsidRPr="00C1603D">
        <w:t xml:space="preserve"> therefore</w:t>
      </w:r>
      <w:r w:rsidR="00A06D28" w:rsidRPr="00C1603D">
        <w:t>,</w:t>
      </w:r>
      <w:r w:rsidRPr="00C1603D">
        <w:t xml:space="preserve"> formal statistical comparison was not appropriate.</w:t>
      </w:r>
    </w:p>
    <w:p w14:paraId="4A327B1F" w14:textId="77777777" w:rsidR="008B4DF8" w:rsidRPr="00C1603D" w:rsidRDefault="008B4DF8" w:rsidP="008B4DF8">
      <w:pPr>
        <w:pStyle w:val="70TablelegendTablesTableFigureBoxstyles"/>
      </w:pPr>
      <w:bookmarkStart w:id="277" w:name="_Ref86655035"/>
      <w:bookmarkStart w:id="278" w:name="_Toc99720721"/>
      <w:r w:rsidRPr="00C1603D">
        <w:rPr>
          <w:b/>
        </w:rPr>
        <w:t>TABLE 10</w:t>
      </w:r>
      <w:r w:rsidRPr="00C1603D">
        <w:rPr>
          <w:b/>
        </w:rPr>
        <w:t> </w:t>
      </w:r>
      <w:r w:rsidRPr="00C1603D">
        <w:t>Study estimates of sensitivity and specificity, restricted to comparative studies only</w:t>
      </w:r>
      <w:bookmarkEnd w:id="277"/>
      <w:bookmarkEnd w:id="278"/>
    </w:p>
    <w:tbl>
      <w:tblPr>
        <w:tblW w:w="0" w:type="auto"/>
        <w:tblCellMar>
          <w:top w:w="40" w:type="dxa"/>
          <w:left w:w="60" w:type="dxa"/>
          <w:bottom w:w="40" w:type="dxa"/>
          <w:right w:w="60" w:type="dxa"/>
        </w:tblCellMar>
        <w:tblLook w:val="04A0" w:firstRow="1" w:lastRow="0" w:firstColumn="1" w:lastColumn="0" w:noHBand="0" w:noVBand="1"/>
      </w:tblPr>
      <w:tblGrid>
        <w:gridCol w:w="1195"/>
        <w:gridCol w:w="740"/>
        <w:gridCol w:w="1318"/>
        <w:gridCol w:w="1021"/>
        <w:gridCol w:w="1123"/>
        <w:gridCol w:w="1257"/>
        <w:gridCol w:w="1119"/>
        <w:gridCol w:w="1253"/>
      </w:tblGrid>
      <w:tr w:rsidR="00A06D28" w:rsidRPr="00C1603D" w14:paraId="6F9D0A2A" w14:textId="77777777" w:rsidTr="00771D4D">
        <w:trPr>
          <w:cantSplit/>
        </w:trPr>
        <w:tc>
          <w:tcPr>
            <w:tcW w:w="0" w:type="auto"/>
            <w:shd w:val="clear" w:color="auto" w:fill="auto"/>
          </w:tcPr>
          <w:p w14:paraId="0DAA4316" w14:textId="77777777" w:rsidR="008B4DF8" w:rsidRPr="00C1603D" w:rsidRDefault="008B4DF8" w:rsidP="00771D4D">
            <w:pPr>
              <w:pStyle w:val="710TableheadTablesTableFigureBoxstyles"/>
            </w:pPr>
            <w:r w:rsidRPr="00C1603D">
              <w:t>Serological test</w:t>
            </w:r>
          </w:p>
        </w:tc>
        <w:tc>
          <w:tcPr>
            <w:tcW w:w="0" w:type="auto"/>
            <w:shd w:val="clear" w:color="auto" w:fill="auto"/>
          </w:tcPr>
          <w:p w14:paraId="57DC48E8" w14:textId="362412B5" w:rsidR="008B4DF8" w:rsidRPr="00C1603D" w:rsidRDefault="008B4DF8" w:rsidP="00771D4D">
            <w:pPr>
              <w:pStyle w:val="710TableheadTablesTableFigureBoxstyles"/>
            </w:pPr>
            <w:r w:rsidRPr="00C1603D">
              <w:t>Studies</w:t>
            </w:r>
            <w:r w:rsidR="00A06D28" w:rsidRPr="00C1603D">
              <w:t xml:space="preserve"> (</w:t>
            </w:r>
            <w:r w:rsidR="00A06D28" w:rsidRPr="00C1603D">
              <w:rPr>
                <w:i/>
                <w:iCs/>
              </w:rPr>
              <w:t>n</w:t>
            </w:r>
            <w:r w:rsidR="00A06D28" w:rsidRPr="00C1603D">
              <w:t>)</w:t>
            </w:r>
          </w:p>
        </w:tc>
        <w:tc>
          <w:tcPr>
            <w:tcW w:w="0" w:type="auto"/>
            <w:shd w:val="clear" w:color="auto" w:fill="auto"/>
          </w:tcPr>
          <w:p w14:paraId="38E5C2AD" w14:textId="144E5653" w:rsidR="008B4DF8" w:rsidRPr="00C1603D" w:rsidRDefault="005042E9" w:rsidP="00771D4D">
            <w:pPr>
              <w:pStyle w:val="710TableheadTablesTableFigureBoxstyles"/>
            </w:pPr>
            <w:r w:rsidRPr="00C1603D">
              <w:t>P</w:t>
            </w:r>
            <w:r w:rsidR="008B4DF8" w:rsidRPr="00C1603D">
              <w:t>articipants</w:t>
            </w:r>
            <w:r w:rsidR="00A06D28" w:rsidRPr="00C1603D">
              <w:t xml:space="preserve"> (</w:t>
            </w:r>
            <w:r w:rsidR="00A06D28" w:rsidRPr="00C1603D">
              <w:rPr>
                <w:i/>
                <w:iCs/>
              </w:rPr>
              <w:t>N</w:t>
            </w:r>
            <w:r w:rsidR="00A06D28" w:rsidRPr="00C1603D">
              <w:t>)</w:t>
            </w:r>
            <w:r w:rsidR="008B4DF8" w:rsidRPr="00C1603D">
              <w:t xml:space="preserve"> (with CD</w:t>
            </w:r>
            <w:r w:rsidR="00A06D28" w:rsidRPr="00C1603D">
              <w:t xml:space="preserve">, </w:t>
            </w:r>
            <w:r w:rsidR="00A06D28" w:rsidRPr="00C1603D">
              <w:rPr>
                <w:i/>
                <w:iCs/>
              </w:rPr>
              <w:t>n</w:t>
            </w:r>
            <w:r w:rsidR="008B4DF8" w:rsidRPr="00C1603D">
              <w:t>)</w:t>
            </w:r>
          </w:p>
        </w:tc>
        <w:tc>
          <w:tcPr>
            <w:tcW w:w="0" w:type="auto"/>
            <w:shd w:val="clear" w:color="auto" w:fill="auto"/>
          </w:tcPr>
          <w:p w14:paraId="616A2AE1" w14:textId="77777777" w:rsidR="008B4DF8" w:rsidRPr="00C1603D" w:rsidRDefault="008B4DF8" w:rsidP="00771D4D">
            <w:pPr>
              <w:pStyle w:val="710TableheadTablesTableFigureBoxstyles"/>
            </w:pPr>
            <w:r w:rsidRPr="00C1603D">
              <w:t>Threshold (range)</w:t>
            </w:r>
          </w:p>
        </w:tc>
        <w:tc>
          <w:tcPr>
            <w:tcW w:w="0" w:type="auto"/>
            <w:shd w:val="clear" w:color="auto" w:fill="auto"/>
          </w:tcPr>
          <w:p w14:paraId="40FBF73E" w14:textId="6E31D516" w:rsidR="008B4DF8" w:rsidRPr="00C1603D" w:rsidRDefault="008B4DF8" w:rsidP="00771D4D">
            <w:pPr>
              <w:pStyle w:val="710TableheadTablesTableFigureBoxstyles"/>
            </w:pPr>
            <w:r w:rsidRPr="00C1603D">
              <w:t>Sensitivity (range)</w:t>
            </w:r>
            <w:r w:rsidR="00A06D28" w:rsidRPr="00C1603D">
              <w:t xml:space="preserve"> (</w:t>
            </w:r>
            <w:r w:rsidRPr="00C1603D">
              <w:t>%</w:t>
            </w:r>
            <w:r w:rsidR="00A06D28" w:rsidRPr="00C1603D">
              <w:t>)</w:t>
            </w:r>
          </w:p>
        </w:tc>
        <w:tc>
          <w:tcPr>
            <w:tcW w:w="0" w:type="auto"/>
            <w:shd w:val="clear" w:color="auto" w:fill="auto"/>
          </w:tcPr>
          <w:p w14:paraId="1D48E8E1" w14:textId="52E6A117" w:rsidR="008B4DF8" w:rsidRPr="00C1603D" w:rsidRDefault="008B4DF8" w:rsidP="00771D4D">
            <w:pPr>
              <w:pStyle w:val="710TableheadTablesTableFigureBoxstyles"/>
            </w:pPr>
            <w:r w:rsidRPr="00C1603D">
              <w:t>Relative sensitivity (range)</w:t>
            </w:r>
            <w:r w:rsidR="00A06D28" w:rsidRPr="00C1603D">
              <w:t xml:space="preserve"> (</w:t>
            </w:r>
            <w:r w:rsidRPr="00C1603D">
              <w:t>%</w:t>
            </w:r>
            <w:r w:rsidR="00A06D28" w:rsidRPr="00C1603D">
              <w:t>)</w:t>
            </w:r>
          </w:p>
        </w:tc>
        <w:tc>
          <w:tcPr>
            <w:tcW w:w="0" w:type="auto"/>
            <w:shd w:val="clear" w:color="auto" w:fill="auto"/>
          </w:tcPr>
          <w:p w14:paraId="111AD409" w14:textId="2DDAAF4B" w:rsidR="008B4DF8" w:rsidRPr="00C1603D" w:rsidRDefault="008B4DF8" w:rsidP="00771D4D">
            <w:pPr>
              <w:pStyle w:val="710TableheadTablesTableFigureBoxstyles"/>
            </w:pPr>
            <w:r w:rsidRPr="00C1603D">
              <w:t>Specificity (range)</w:t>
            </w:r>
            <w:r w:rsidR="00A06D28" w:rsidRPr="00C1603D">
              <w:t xml:space="preserve"> (</w:t>
            </w:r>
            <w:r w:rsidRPr="00C1603D">
              <w:t>%</w:t>
            </w:r>
            <w:r w:rsidR="00A06D28" w:rsidRPr="00C1603D">
              <w:t>)</w:t>
            </w:r>
          </w:p>
        </w:tc>
        <w:tc>
          <w:tcPr>
            <w:tcW w:w="0" w:type="auto"/>
            <w:shd w:val="clear" w:color="auto" w:fill="auto"/>
          </w:tcPr>
          <w:p w14:paraId="4D451E02" w14:textId="5E2D3C55" w:rsidR="008B4DF8" w:rsidRPr="00C1603D" w:rsidRDefault="008B4DF8" w:rsidP="00771D4D">
            <w:pPr>
              <w:pStyle w:val="710TableheadTablesTableFigureBoxstyles"/>
            </w:pPr>
            <w:r w:rsidRPr="00C1603D">
              <w:t>Relative specificity (range)</w:t>
            </w:r>
            <w:r w:rsidR="00A06D28" w:rsidRPr="00C1603D">
              <w:t xml:space="preserve"> (</w:t>
            </w:r>
            <w:r w:rsidRPr="00C1603D">
              <w:t>%</w:t>
            </w:r>
            <w:r w:rsidR="00A06D28" w:rsidRPr="00C1603D">
              <w:t>)</w:t>
            </w:r>
          </w:p>
        </w:tc>
      </w:tr>
      <w:tr w:rsidR="00385FFA" w:rsidRPr="00C1603D" w14:paraId="097A2AA4" w14:textId="77777777" w:rsidTr="00771D4D">
        <w:trPr>
          <w:cantSplit/>
        </w:trPr>
        <w:tc>
          <w:tcPr>
            <w:tcW w:w="0" w:type="auto"/>
            <w:gridSpan w:val="8"/>
            <w:shd w:val="clear" w:color="auto" w:fill="auto"/>
          </w:tcPr>
          <w:p w14:paraId="4974309F" w14:textId="124A1DDC" w:rsidR="00385FFA" w:rsidRPr="00C1603D" w:rsidRDefault="00385FFA" w:rsidP="00771D4D">
            <w:pPr>
              <w:pStyle w:val="711TablesubheadATablesTableFigureBoxstyles"/>
              <w:rPr>
                <w:rFonts w:cs="Calibri"/>
              </w:rPr>
            </w:pPr>
            <w:r w:rsidRPr="00C1603D">
              <w:t>Adults</w:t>
            </w:r>
          </w:p>
        </w:tc>
      </w:tr>
      <w:tr w:rsidR="009D1489" w:rsidRPr="00C1603D" w14:paraId="7159003F" w14:textId="77777777" w:rsidTr="00771D4D">
        <w:trPr>
          <w:cantSplit/>
        </w:trPr>
        <w:tc>
          <w:tcPr>
            <w:tcW w:w="0" w:type="auto"/>
            <w:shd w:val="clear" w:color="auto" w:fill="auto"/>
          </w:tcPr>
          <w:p w14:paraId="6FA87353" w14:textId="6533B7FF" w:rsidR="009D1489" w:rsidRPr="00C1603D" w:rsidRDefault="009D1489" w:rsidP="00771D4D">
            <w:pPr>
              <w:pStyle w:val="72TabletextTablesTableFigureBoxstyles"/>
              <w:rPr>
                <w:b/>
              </w:rPr>
            </w:pPr>
            <w:r w:rsidRPr="00C1603D">
              <w:t>IgA tTG vs. IgA EMA</w:t>
            </w:r>
          </w:p>
        </w:tc>
        <w:tc>
          <w:tcPr>
            <w:tcW w:w="0" w:type="auto"/>
            <w:shd w:val="clear" w:color="auto" w:fill="auto"/>
          </w:tcPr>
          <w:p w14:paraId="2C5D23CD" w14:textId="0C26AF25" w:rsidR="009D1489" w:rsidRPr="00C1603D" w:rsidRDefault="009D1489" w:rsidP="00771D4D">
            <w:pPr>
              <w:pStyle w:val="72TabletextTablesTableFigureBoxstyles"/>
            </w:pPr>
            <w:r w:rsidRPr="00C1603D">
              <w:rPr>
                <w:rFonts w:cstheme="minorHAnsi"/>
                <w:szCs w:val="20"/>
              </w:rPr>
              <w:t>14</w:t>
            </w:r>
          </w:p>
        </w:tc>
        <w:tc>
          <w:tcPr>
            <w:tcW w:w="0" w:type="auto"/>
            <w:shd w:val="clear" w:color="auto" w:fill="auto"/>
          </w:tcPr>
          <w:p w14:paraId="0C3331A3" w14:textId="4319DB6F" w:rsidR="009D1489" w:rsidRPr="00C1603D" w:rsidRDefault="009D1489" w:rsidP="00771D4D">
            <w:pPr>
              <w:pStyle w:val="72TabletextTablesTableFigureBoxstyles"/>
            </w:pPr>
            <w:r w:rsidRPr="00C1603D">
              <w:rPr>
                <w:rFonts w:cstheme="minorHAnsi"/>
                <w:szCs w:val="20"/>
              </w:rPr>
              <w:t>6575 (881)</w:t>
            </w:r>
          </w:p>
        </w:tc>
        <w:tc>
          <w:tcPr>
            <w:tcW w:w="0" w:type="auto"/>
            <w:shd w:val="clear" w:color="auto" w:fill="auto"/>
          </w:tcPr>
          <w:p w14:paraId="2303FC9A" w14:textId="77777777" w:rsidR="009D1489" w:rsidRPr="00C1603D" w:rsidRDefault="009D1489" w:rsidP="00771D4D">
            <w:pPr>
              <w:pStyle w:val="72TabletextTablesTableFigureBoxstyles"/>
              <w:rPr>
                <w:lang w:val="nl-NL"/>
              </w:rPr>
            </w:pPr>
          </w:p>
        </w:tc>
        <w:tc>
          <w:tcPr>
            <w:tcW w:w="0" w:type="auto"/>
            <w:shd w:val="clear" w:color="auto" w:fill="auto"/>
          </w:tcPr>
          <w:p w14:paraId="6AFE773C" w14:textId="77777777" w:rsidR="009D1489" w:rsidRPr="00C1603D" w:rsidRDefault="009D1489" w:rsidP="00771D4D">
            <w:pPr>
              <w:pStyle w:val="72TabletextTablesTableFigureBoxstyles"/>
            </w:pPr>
          </w:p>
        </w:tc>
        <w:tc>
          <w:tcPr>
            <w:tcW w:w="0" w:type="auto"/>
            <w:shd w:val="clear" w:color="auto" w:fill="auto"/>
          </w:tcPr>
          <w:p w14:paraId="3F312A17" w14:textId="77777777" w:rsidR="009D1489" w:rsidRPr="00C1603D" w:rsidRDefault="009D1489" w:rsidP="00771D4D">
            <w:pPr>
              <w:pStyle w:val="72TabletextTablesTableFigureBoxstyles"/>
            </w:pPr>
          </w:p>
        </w:tc>
        <w:tc>
          <w:tcPr>
            <w:tcW w:w="0" w:type="auto"/>
            <w:shd w:val="clear" w:color="auto" w:fill="auto"/>
          </w:tcPr>
          <w:p w14:paraId="5C288068" w14:textId="77777777" w:rsidR="009D1489" w:rsidRPr="00C1603D" w:rsidRDefault="009D1489" w:rsidP="00771D4D">
            <w:pPr>
              <w:pStyle w:val="72TabletextTablesTableFigureBoxstyles"/>
            </w:pPr>
          </w:p>
        </w:tc>
        <w:tc>
          <w:tcPr>
            <w:tcW w:w="0" w:type="auto"/>
            <w:shd w:val="clear" w:color="auto" w:fill="auto"/>
          </w:tcPr>
          <w:p w14:paraId="18D2FDA2" w14:textId="77777777" w:rsidR="009D1489" w:rsidRPr="00C1603D" w:rsidRDefault="009D1489" w:rsidP="00771D4D">
            <w:pPr>
              <w:pStyle w:val="72TabletextTablesTableFigureBoxstyles"/>
            </w:pPr>
          </w:p>
        </w:tc>
      </w:tr>
      <w:tr w:rsidR="009D1489" w:rsidRPr="00C1603D" w14:paraId="4FC87502" w14:textId="77777777" w:rsidTr="00771D4D">
        <w:trPr>
          <w:cantSplit/>
        </w:trPr>
        <w:tc>
          <w:tcPr>
            <w:tcW w:w="0" w:type="auto"/>
            <w:shd w:val="clear" w:color="auto" w:fill="auto"/>
          </w:tcPr>
          <w:p w14:paraId="1D72A38C" w14:textId="0FABFEC7" w:rsidR="009D1489" w:rsidRPr="00C1603D" w:rsidRDefault="00385FFA" w:rsidP="00771D4D">
            <w:pPr>
              <w:pStyle w:val="72TabletextTablesTableFigureBoxstyles"/>
              <w:rPr>
                <w:b/>
              </w:rPr>
            </w:pPr>
            <w:r w:rsidRPr="00C1603D">
              <w:tab/>
            </w:r>
            <w:r w:rsidR="009D1489" w:rsidRPr="00C1603D">
              <w:t>IgA tTG</w:t>
            </w:r>
          </w:p>
        </w:tc>
        <w:tc>
          <w:tcPr>
            <w:tcW w:w="0" w:type="auto"/>
            <w:shd w:val="clear" w:color="auto" w:fill="auto"/>
          </w:tcPr>
          <w:p w14:paraId="51F9010F" w14:textId="77777777" w:rsidR="009D1489" w:rsidRPr="00C1603D" w:rsidRDefault="009D1489" w:rsidP="00771D4D">
            <w:pPr>
              <w:pStyle w:val="72TabletextTablesTableFigureBoxstyles"/>
            </w:pPr>
          </w:p>
        </w:tc>
        <w:tc>
          <w:tcPr>
            <w:tcW w:w="0" w:type="auto"/>
            <w:shd w:val="clear" w:color="auto" w:fill="auto"/>
          </w:tcPr>
          <w:p w14:paraId="58AA7610" w14:textId="77777777" w:rsidR="009D1489" w:rsidRPr="00C1603D" w:rsidRDefault="009D1489" w:rsidP="00771D4D">
            <w:pPr>
              <w:pStyle w:val="72TabletextTablesTableFigureBoxstyles"/>
            </w:pPr>
          </w:p>
        </w:tc>
        <w:tc>
          <w:tcPr>
            <w:tcW w:w="0" w:type="auto"/>
            <w:shd w:val="clear" w:color="auto" w:fill="auto"/>
          </w:tcPr>
          <w:p w14:paraId="1E8026F2" w14:textId="4F2291FE" w:rsidR="009D1489" w:rsidRPr="00C1603D" w:rsidRDefault="009D1489" w:rsidP="00771D4D">
            <w:pPr>
              <w:pStyle w:val="72TabletextTablesTableFigureBoxstyles"/>
              <w:rPr>
                <w:lang w:val="nl-NL"/>
              </w:rPr>
            </w:pPr>
            <w:r w:rsidRPr="00C1603D">
              <w:rPr>
                <w:szCs w:val="20"/>
                <w:lang w:val="nl-NL"/>
              </w:rPr>
              <w:t>5</w:t>
            </w:r>
            <w:r w:rsidR="00385FFA" w:rsidRPr="00C1603D">
              <w:rPr>
                <w:szCs w:val="20"/>
                <w:lang w:val="nl-NL"/>
              </w:rPr>
              <w:t>–</w:t>
            </w:r>
            <w:r w:rsidRPr="00C1603D">
              <w:rPr>
                <w:szCs w:val="20"/>
                <w:lang w:val="nl-NL"/>
              </w:rPr>
              <w:t>25</w:t>
            </w:r>
            <w:r w:rsidR="00EA4CBD" w:rsidRPr="00C1603D">
              <w:rPr>
                <w:szCs w:val="20"/>
                <w:lang w:val="nl-NL"/>
              </w:rPr>
              <w:t> </w:t>
            </w:r>
            <w:r w:rsidRPr="00C1603D">
              <w:rPr>
                <w:szCs w:val="20"/>
                <w:lang w:val="nl-NL"/>
              </w:rPr>
              <w:t>U/m</w:t>
            </w:r>
            <w:r w:rsidR="00EA4CBD" w:rsidRPr="00C1603D">
              <w:rPr>
                <w:szCs w:val="20"/>
                <w:lang w:val="nl-NL"/>
              </w:rPr>
              <w:t>l</w:t>
            </w:r>
          </w:p>
        </w:tc>
        <w:tc>
          <w:tcPr>
            <w:tcW w:w="0" w:type="auto"/>
            <w:shd w:val="clear" w:color="auto" w:fill="auto"/>
          </w:tcPr>
          <w:p w14:paraId="3562D14E" w14:textId="0E774405" w:rsidR="009D1489" w:rsidRPr="00C1603D" w:rsidRDefault="009D1489" w:rsidP="00771D4D">
            <w:pPr>
              <w:pStyle w:val="72TabletextTablesTableFigureBoxstyles"/>
            </w:pPr>
            <w:r w:rsidRPr="00C1603D">
              <w:rPr>
                <w:rFonts w:cstheme="minorHAnsi"/>
                <w:szCs w:val="20"/>
              </w:rPr>
              <w:t>64</w:t>
            </w:r>
            <w:r w:rsidR="00385FFA" w:rsidRPr="00C1603D">
              <w:rPr>
                <w:rFonts w:cstheme="minorHAnsi"/>
                <w:szCs w:val="20"/>
              </w:rPr>
              <w:t>–</w:t>
            </w:r>
            <w:r w:rsidRPr="00C1603D">
              <w:rPr>
                <w:rFonts w:cstheme="minorHAnsi"/>
                <w:szCs w:val="20"/>
              </w:rPr>
              <w:t>100</w:t>
            </w:r>
          </w:p>
        </w:tc>
        <w:tc>
          <w:tcPr>
            <w:tcW w:w="0" w:type="auto"/>
            <w:shd w:val="clear" w:color="auto" w:fill="auto"/>
          </w:tcPr>
          <w:p w14:paraId="2B046A70" w14:textId="77777777" w:rsidR="009D1489" w:rsidRPr="00C1603D" w:rsidRDefault="009D1489" w:rsidP="00771D4D">
            <w:pPr>
              <w:pStyle w:val="72TabletextTablesTableFigureBoxstyles"/>
            </w:pPr>
          </w:p>
        </w:tc>
        <w:tc>
          <w:tcPr>
            <w:tcW w:w="0" w:type="auto"/>
            <w:shd w:val="clear" w:color="auto" w:fill="auto"/>
          </w:tcPr>
          <w:p w14:paraId="63742101" w14:textId="1155ABE6" w:rsidR="009D1489" w:rsidRPr="00C1603D" w:rsidRDefault="009D1489" w:rsidP="00771D4D">
            <w:pPr>
              <w:pStyle w:val="72TabletextTablesTableFigureBoxstyles"/>
            </w:pPr>
            <w:r w:rsidRPr="00C1603D">
              <w:rPr>
                <w:rFonts w:cstheme="minorHAnsi"/>
                <w:szCs w:val="20"/>
              </w:rPr>
              <w:t>81</w:t>
            </w:r>
            <w:r w:rsidR="00385FFA" w:rsidRPr="00C1603D">
              <w:rPr>
                <w:rFonts w:cstheme="minorHAnsi"/>
                <w:szCs w:val="20"/>
              </w:rPr>
              <w:t>–</w:t>
            </w:r>
            <w:r w:rsidRPr="00C1603D">
              <w:rPr>
                <w:rFonts w:cstheme="minorHAnsi"/>
                <w:szCs w:val="20"/>
              </w:rPr>
              <w:t>99</w:t>
            </w:r>
          </w:p>
        </w:tc>
        <w:tc>
          <w:tcPr>
            <w:tcW w:w="0" w:type="auto"/>
            <w:shd w:val="clear" w:color="auto" w:fill="auto"/>
          </w:tcPr>
          <w:p w14:paraId="792306CA" w14:textId="77777777" w:rsidR="009D1489" w:rsidRPr="00C1603D" w:rsidRDefault="009D1489" w:rsidP="00771D4D">
            <w:pPr>
              <w:pStyle w:val="72TabletextTablesTableFigureBoxstyles"/>
            </w:pPr>
          </w:p>
        </w:tc>
      </w:tr>
      <w:tr w:rsidR="009D1489" w:rsidRPr="00C1603D" w14:paraId="31609322" w14:textId="77777777" w:rsidTr="00771D4D">
        <w:trPr>
          <w:cantSplit/>
        </w:trPr>
        <w:tc>
          <w:tcPr>
            <w:tcW w:w="0" w:type="auto"/>
            <w:shd w:val="clear" w:color="auto" w:fill="auto"/>
          </w:tcPr>
          <w:p w14:paraId="115509B3" w14:textId="5459E1CC" w:rsidR="009D1489" w:rsidRPr="00C1603D" w:rsidRDefault="00385FFA" w:rsidP="00771D4D">
            <w:pPr>
              <w:pStyle w:val="72TabletextTablesTableFigureBoxstyles"/>
              <w:rPr>
                <w:b/>
              </w:rPr>
            </w:pPr>
            <w:r w:rsidRPr="00C1603D">
              <w:tab/>
            </w:r>
            <w:r w:rsidR="009D1489" w:rsidRPr="00C1603D">
              <w:t>IgA EMA</w:t>
            </w:r>
          </w:p>
        </w:tc>
        <w:tc>
          <w:tcPr>
            <w:tcW w:w="0" w:type="auto"/>
            <w:shd w:val="clear" w:color="auto" w:fill="auto"/>
          </w:tcPr>
          <w:p w14:paraId="0661C7C3" w14:textId="77777777" w:rsidR="009D1489" w:rsidRPr="00C1603D" w:rsidRDefault="009D1489" w:rsidP="00771D4D">
            <w:pPr>
              <w:pStyle w:val="72TabletextTablesTableFigureBoxstyles"/>
            </w:pPr>
          </w:p>
        </w:tc>
        <w:tc>
          <w:tcPr>
            <w:tcW w:w="0" w:type="auto"/>
            <w:shd w:val="clear" w:color="auto" w:fill="auto"/>
          </w:tcPr>
          <w:p w14:paraId="70392C00" w14:textId="77777777" w:rsidR="009D1489" w:rsidRPr="00C1603D" w:rsidRDefault="009D1489" w:rsidP="00771D4D">
            <w:pPr>
              <w:pStyle w:val="72TabletextTablesTableFigureBoxstyles"/>
            </w:pPr>
          </w:p>
        </w:tc>
        <w:tc>
          <w:tcPr>
            <w:tcW w:w="0" w:type="auto"/>
            <w:shd w:val="clear" w:color="auto" w:fill="auto"/>
          </w:tcPr>
          <w:p w14:paraId="5C59E3A0" w14:textId="0A3215C4" w:rsidR="009D1489" w:rsidRPr="00C1603D" w:rsidRDefault="009D1489" w:rsidP="00771D4D">
            <w:pPr>
              <w:pStyle w:val="72TabletextTablesTableFigureBoxstyles"/>
              <w:rPr>
                <w:lang w:val="nl-NL"/>
              </w:rPr>
            </w:pPr>
            <w:r w:rsidRPr="00C1603D">
              <w:rPr>
                <w:szCs w:val="20"/>
                <w:lang w:val="nl-NL"/>
              </w:rPr>
              <w:t>1</w:t>
            </w:r>
            <w:r w:rsidR="00EA4CBD" w:rsidRPr="00C1603D">
              <w:rPr>
                <w:szCs w:val="20"/>
                <w:lang w:val="nl-NL"/>
              </w:rPr>
              <w:t> </w:t>
            </w:r>
            <w:r w:rsidRPr="00C1603D">
              <w:rPr>
                <w:szCs w:val="20"/>
                <w:lang w:val="nl-NL"/>
              </w:rPr>
              <w:t>:</w:t>
            </w:r>
            <w:r w:rsidR="00EA4CBD" w:rsidRPr="00C1603D">
              <w:rPr>
                <w:szCs w:val="20"/>
                <w:lang w:val="nl-NL"/>
              </w:rPr>
              <w:t> </w:t>
            </w:r>
            <w:r w:rsidRPr="00C1603D">
              <w:rPr>
                <w:szCs w:val="20"/>
                <w:lang w:val="nl-NL"/>
              </w:rPr>
              <w:t>5</w:t>
            </w:r>
          </w:p>
        </w:tc>
        <w:tc>
          <w:tcPr>
            <w:tcW w:w="0" w:type="auto"/>
            <w:shd w:val="clear" w:color="auto" w:fill="auto"/>
          </w:tcPr>
          <w:p w14:paraId="7F7E530D" w14:textId="6B9F0BE1" w:rsidR="009D1489" w:rsidRPr="00C1603D" w:rsidRDefault="009D1489" w:rsidP="00771D4D">
            <w:pPr>
              <w:pStyle w:val="72TabletextTablesTableFigureBoxstyles"/>
            </w:pPr>
            <w:r w:rsidRPr="00C1603D">
              <w:rPr>
                <w:rFonts w:cstheme="minorHAnsi"/>
                <w:szCs w:val="20"/>
              </w:rPr>
              <w:t>61</w:t>
            </w:r>
            <w:r w:rsidR="00385FFA" w:rsidRPr="00C1603D">
              <w:rPr>
                <w:rFonts w:cstheme="minorHAnsi"/>
                <w:szCs w:val="20"/>
              </w:rPr>
              <w:t>–</w:t>
            </w:r>
            <w:r w:rsidRPr="00C1603D">
              <w:rPr>
                <w:rFonts w:cstheme="minorHAnsi"/>
                <w:szCs w:val="20"/>
              </w:rPr>
              <w:t>100</w:t>
            </w:r>
          </w:p>
        </w:tc>
        <w:tc>
          <w:tcPr>
            <w:tcW w:w="0" w:type="auto"/>
            <w:shd w:val="clear" w:color="auto" w:fill="auto"/>
          </w:tcPr>
          <w:p w14:paraId="2C452970" w14:textId="06D41572" w:rsidR="009D1489" w:rsidRPr="00C1603D" w:rsidRDefault="009D1489" w:rsidP="00771D4D">
            <w:pPr>
              <w:pStyle w:val="72TabletextTablesTableFigureBoxstyles"/>
            </w:pPr>
            <w:r w:rsidRPr="00C1603D">
              <w:rPr>
                <w:rFonts w:cstheme="minorHAnsi"/>
                <w:szCs w:val="20"/>
              </w:rPr>
              <w:t>0.81</w:t>
            </w:r>
            <w:r w:rsidR="00385FFA" w:rsidRPr="00C1603D">
              <w:rPr>
                <w:rFonts w:cstheme="minorHAnsi"/>
                <w:szCs w:val="20"/>
              </w:rPr>
              <w:t>–</w:t>
            </w:r>
            <w:r w:rsidRPr="00C1603D">
              <w:rPr>
                <w:rFonts w:cstheme="minorHAnsi"/>
                <w:szCs w:val="20"/>
              </w:rPr>
              <w:t>1.22</w:t>
            </w:r>
          </w:p>
        </w:tc>
        <w:tc>
          <w:tcPr>
            <w:tcW w:w="0" w:type="auto"/>
            <w:shd w:val="clear" w:color="auto" w:fill="auto"/>
          </w:tcPr>
          <w:p w14:paraId="74537025" w14:textId="7DFDA73E" w:rsidR="009D1489" w:rsidRPr="00C1603D" w:rsidRDefault="009D1489" w:rsidP="00771D4D">
            <w:pPr>
              <w:pStyle w:val="72TabletextTablesTableFigureBoxstyles"/>
            </w:pPr>
            <w:r w:rsidRPr="00C1603D">
              <w:rPr>
                <w:rFonts w:cstheme="minorHAnsi"/>
                <w:szCs w:val="20"/>
              </w:rPr>
              <w:t>88</w:t>
            </w:r>
            <w:r w:rsidR="00385FFA" w:rsidRPr="00C1603D">
              <w:rPr>
                <w:rFonts w:cstheme="minorHAnsi"/>
                <w:szCs w:val="20"/>
              </w:rPr>
              <w:t>–</w:t>
            </w:r>
            <w:r w:rsidRPr="00C1603D">
              <w:rPr>
                <w:rFonts w:cstheme="minorHAnsi"/>
                <w:szCs w:val="20"/>
              </w:rPr>
              <w:t>100</w:t>
            </w:r>
          </w:p>
        </w:tc>
        <w:tc>
          <w:tcPr>
            <w:tcW w:w="0" w:type="auto"/>
            <w:shd w:val="clear" w:color="auto" w:fill="auto"/>
          </w:tcPr>
          <w:p w14:paraId="40024011" w14:textId="0BBC0638" w:rsidR="009D1489" w:rsidRPr="00C1603D" w:rsidRDefault="009D1489" w:rsidP="00771D4D">
            <w:pPr>
              <w:pStyle w:val="72TabletextTablesTableFigureBoxstyles"/>
            </w:pPr>
            <w:r w:rsidRPr="00C1603D">
              <w:rPr>
                <w:rFonts w:cstheme="minorHAnsi"/>
                <w:szCs w:val="20"/>
              </w:rPr>
              <w:t>1.00</w:t>
            </w:r>
            <w:r w:rsidR="00385FFA" w:rsidRPr="00C1603D">
              <w:rPr>
                <w:rFonts w:cstheme="minorHAnsi"/>
                <w:szCs w:val="20"/>
              </w:rPr>
              <w:t>–</w:t>
            </w:r>
            <w:r w:rsidRPr="00C1603D">
              <w:rPr>
                <w:rFonts w:cstheme="minorHAnsi"/>
                <w:szCs w:val="20"/>
              </w:rPr>
              <w:t>1.17</w:t>
            </w:r>
          </w:p>
        </w:tc>
      </w:tr>
      <w:tr w:rsidR="009D1489" w:rsidRPr="00C1603D" w14:paraId="40D2A210" w14:textId="77777777" w:rsidTr="00771D4D">
        <w:trPr>
          <w:cantSplit/>
        </w:trPr>
        <w:tc>
          <w:tcPr>
            <w:tcW w:w="0" w:type="auto"/>
            <w:shd w:val="clear" w:color="auto" w:fill="auto"/>
          </w:tcPr>
          <w:p w14:paraId="15805CA6" w14:textId="6F244F8E" w:rsidR="009D1489" w:rsidRPr="00C1603D" w:rsidRDefault="009D1489" w:rsidP="00771D4D">
            <w:pPr>
              <w:pStyle w:val="72TabletextTablesTableFigureBoxstyles"/>
              <w:rPr>
                <w:b/>
              </w:rPr>
            </w:pPr>
            <w:r w:rsidRPr="00C1603D">
              <w:t>IgA tTG vs. IgA DGP</w:t>
            </w:r>
          </w:p>
        </w:tc>
        <w:tc>
          <w:tcPr>
            <w:tcW w:w="0" w:type="auto"/>
            <w:shd w:val="clear" w:color="auto" w:fill="auto"/>
          </w:tcPr>
          <w:p w14:paraId="786F14FC" w14:textId="5F0CE98E" w:rsidR="009D1489" w:rsidRPr="00C1603D" w:rsidRDefault="009D1489" w:rsidP="00771D4D">
            <w:pPr>
              <w:pStyle w:val="72TabletextTablesTableFigureBoxstyles"/>
            </w:pPr>
            <w:r w:rsidRPr="00C1603D">
              <w:rPr>
                <w:rFonts w:cstheme="minorHAnsi"/>
                <w:szCs w:val="20"/>
              </w:rPr>
              <w:t>3</w:t>
            </w:r>
          </w:p>
        </w:tc>
        <w:tc>
          <w:tcPr>
            <w:tcW w:w="0" w:type="auto"/>
            <w:shd w:val="clear" w:color="auto" w:fill="auto"/>
          </w:tcPr>
          <w:p w14:paraId="5884FFBB" w14:textId="0D68C6E1" w:rsidR="009D1489" w:rsidRPr="00C1603D" w:rsidRDefault="009D1489" w:rsidP="00771D4D">
            <w:pPr>
              <w:pStyle w:val="72TabletextTablesTableFigureBoxstyles"/>
            </w:pPr>
            <w:r w:rsidRPr="00C1603D">
              <w:rPr>
                <w:rFonts w:cstheme="minorHAnsi"/>
                <w:szCs w:val="20"/>
              </w:rPr>
              <w:t>885 (154)</w:t>
            </w:r>
          </w:p>
        </w:tc>
        <w:tc>
          <w:tcPr>
            <w:tcW w:w="0" w:type="auto"/>
            <w:shd w:val="clear" w:color="auto" w:fill="auto"/>
          </w:tcPr>
          <w:p w14:paraId="01539044" w14:textId="77777777" w:rsidR="009D1489" w:rsidRPr="00C1603D" w:rsidRDefault="009D1489" w:rsidP="00771D4D">
            <w:pPr>
              <w:pStyle w:val="72TabletextTablesTableFigureBoxstyles"/>
              <w:rPr>
                <w:lang w:val="nl-NL"/>
              </w:rPr>
            </w:pPr>
          </w:p>
        </w:tc>
        <w:tc>
          <w:tcPr>
            <w:tcW w:w="0" w:type="auto"/>
            <w:shd w:val="clear" w:color="auto" w:fill="auto"/>
          </w:tcPr>
          <w:p w14:paraId="7DD22052" w14:textId="77777777" w:rsidR="009D1489" w:rsidRPr="00C1603D" w:rsidRDefault="009D1489" w:rsidP="00771D4D">
            <w:pPr>
              <w:pStyle w:val="72TabletextTablesTableFigureBoxstyles"/>
            </w:pPr>
          </w:p>
        </w:tc>
        <w:tc>
          <w:tcPr>
            <w:tcW w:w="0" w:type="auto"/>
            <w:shd w:val="clear" w:color="auto" w:fill="auto"/>
          </w:tcPr>
          <w:p w14:paraId="012EDCA9" w14:textId="77777777" w:rsidR="009D1489" w:rsidRPr="00C1603D" w:rsidRDefault="009D1489" w:rsidP="00771D4D">
            <w:pPr>
              <w:pStyle w:val="72TabletextTablesTableFigureBoxstyles"/>
            </w:pPr>
          </w:p>
        </w:tc>
        <w:tc>
          <w:tcPr>
            <w:tcW w:w="0" w:type="auto"/>
            <w:shd w:val="clear" w:color="auto" w:fill="auto"/>
          </w:tcPr>
          <w:p w14:paraId="7DD3E993" w14:textId="77777777" w:rsidR="009D1489" w:rsidRPr="00C1603D" w:rsidRDefault="009D1489" w:rsidP="00771D4D">
            <w:pPr>
              <w:pStyle w:val="72TabletextTablesTableFigureBoxstyles"/>
            </w:pPr>
          </w:p>
        </w:tc>
        <w:tc>
          <w:tcPr>
            <w:tcW w:w="0" w:type="auto"/>
            <w:shd w:val="clear" w:color="auto" w:fill="auto"/>
          </w:tcPr>
          <w:p w14:paraId="45B4B6B9" w14:textId="77777777" w:rsidR="009D1489" w:rsidRPr="00C1603D" w:rsidRDefault="009D1489" w:rsidP="00771D4D">
            <w:pPr>
              <w:pStyle w:val="72TabletextTablesTableFigureBoxstyles"/>
            </w:pPr>
          </w:p>
        </w:tc>
      </w:tr>
      <w:tr w:rsidR="009D1489" w:rsidRPr="00C1603D" w14:paraId="33FFA5B6" w14:textId="77777777" w:rsidTr="00771D4D">
        <w:trPr>
          <w:cantSplit/>
        </w:trPr>
        <w:tc>
          <w:tcPr>
            <w:tcW w:w="0" w:type="auto"/>
            <w:shd w:val="clear" w:color="auto" w:fill="auto"/>
          </w:tcPr>
          <w:p w14:paraId="3E652B84" w14:textId="13355079" w:rsidR="009D1489" w:rsidRPr="00C1603D" w:rsidRDefault="00385FFA" w:rsidP="00771D4D">
            <w:pPr>
              <w:pStyle w:val="72TabletextTablesTableFigureBoxstyles"/>
              <w:rPr>
                <w:b/>
              </w:rPr>
            </w:pPr>
            <w:r w:rsidRPr="00C1603D">
              <w:tab/>
            </w:r>
            <w:r w:rsidR="009D1489" w:rsidRPr="00C1603D">
              <w:t>IgA tTG</w:t>
            </w:r>
          </w:p>
        </w:tc>
        <w:tc>
          <w:tcPr>
            <w:tcW w:w="0" w:type="auto"/>
            <w:shd w:val="clear" w:color="auto" w:fill="auto"/>
          </w:tcPr>
          <w:p w14:paraId="4A43309B" w14:textId="77777777" w:rsidR="009D1489" w:rsidRPr="00C1603D" w:rsidRDefault="009D1489" w:rsidP="00771D4D">
            <w:pPr>
              <w:pStyle w:val="72TabletextTablesTableFigureBoxstyles"/>
            </w:pPr>
          </w:p>
        </w:tc>
        <w:tc>
          <w:tcPr>
            <w:tcW w:w="0" w:type="auto"/>
            <w:shd w:val="clear" w:color="auto" w:fill="auto"/>
          </w:tcPr>
          <w:p w14:paraId="0EAC995B" w14:textId="77777777" w:rsidR="009D1489" w:rsidRPr="00C1603D" w:rsidRDefault="009D1489" w:rsidP="00771D4D">
            <w:pPr>
              <w:pStyle w:val="72TabletextTablesTableFigureBoxstyles"/>
            </w:pPr>
          </w:p>
        </w:tc>
        <w:tc>
          <w:tcPr>
            <w:tcW w:w="0" w:type="auto"/>
            <w:shd w:val="clear" w:color="auto" w:fill="auto"/>
          </w:tcPr>
          <w:p w14:paraId="0E83F2E1" w14:textId="250DB408" w:rsidR="009D1489" w:rsidRPr="00C1603D" w:rsidRDefault="009D1489" w:rsidP="00771D4D">
            <w:pPr>
              <w:pStyle w:val="72TabletextTablesTableFigureBoxstyles"/>
              <w:rPr>
                <w:lang w:val="nl-NL"/>
              </w:rPr>
            </w:pPr>
            <w:r w:rsidRPr="00C1603D">
              <w:rPr>
                <w:szCs w:val="20"/>
                <w:lang w:val="nl-NL"/>
              </w:rPr>
              <w:t>10</w:t>
            </w:r>
            <w:r w:rsidR="00385FFA" w:rsidRPr="00C1603D">
              <w:rPr>
                <w:szCs w:val="20"/>
                <w:lang w:val="nl-NL"/>
              </w:rPr>
              <w:t>–</w:t>
            </w:r>
            <w:r w:rsidRPr="00C1603D">
              <w:rPr>
                <w:szCs w:val="20"/>
                <w:lang w:val="nl-NL"/>
              </w:rPr>
              <w:t>20</w:t>
            </w:r>
            <w:r w:rsidR="0057066C" w:rsidRPr="00C1603D">
              <w:rPr>
                <w:szCs w:val="20"/>
                <w:lang w:val="nl-NL"/>
              </w:rPr>
              <w:t> </w:t>
            </w:r>
            <w:r w:rsidRPr="00C1603D">
              <w:rPr>
                <w:szCs w:val="20"/>
                <w:lang w:val="nl-NL"/>
              </w:rPr>
              <w:t>U/</w:t>
            </w:r>
            <w:r w:rsidR="0057066C" w:rsidRPr="00C1603D">
              <w:rPr>
                <w:szCs w:val="20"/>
                <w:lang w:val="nl-NL"/>
              </w:rPr>
              <w:t>ml</w:t>
            </w:r>
          </w:p>
        </w:tc>
        <w:tc>
          <w:tcPr>
            <w:tcW w:w="0" w:type="auto"/>
            <w:shd w:val="clear" w:color="auto" w:fill="auto"/>
          </w:tcPr>
          <w:p w14:paraId="77096BC4" w14:textId="49E75880" w:rsidR="009D1489" w:rsidRPr="00C1603D" w:rsidRDefault="009D1489" w:rsidP="00771D4D">
            <w:pPr>
              <w:pStyle w:val="72TabletextTablesTableFigureBoxstyles"/>
            </w:pPr>
            <w:r w:rsidRPr="00C1603D">
              <w:rPr>
                <w:rFonts w:cstheme="minorHAnsi"/>
                <w:szCs w:val="20"/>
              </w:rPr>
              <w:t>64</w:t>
            </w:r>
            <w:r w:rsidR="00385FFA" w:rsidRPr="00C1603D">
              <w:rPr>
                <w:rFonts w:cstheme="minorHAnsi"/>
                <w:szCs w:val="20"/>
              </w:rPr>
              <w:t>–</w:t>
            </w:r>
            <w:r w:rsidRPr="00C1603D">
              <w:rPr>
                <w:rFonts w:cstheme="minorHAnsi"/>
                <w:szCs w:val="20"/>
              </w:rPr>
              <w:t>95</w:t>
            </w:r>
          </w:p>
        </w:tc>
        <w:tc>
          <w:tcPr>
            <w:tcW w:w="0" w:type="auto"/>
            <w:shd w:val="clear" w:color="auto" w:fill="auto"/>
          </w:tcPr>
          <w:p w14:paraId="3F7829BA" w14:textId="77777777" w:rsidR="009D1489" w:rsidRPr="00C1603D" w:rsidRDefault="009D1489" w:rsidP="00771D4D">
            <w:pPr>
              <w:pStyle w:val="72TabletextTablesTableFigureBoxstyles"/>
            </w:pPr>
          </w:p>
        </w:tc>
        <w:tc>
          <w:tcPr>
            <w:tcW w:w="0" w:type="auto"/>
            <w:shd w:val="clear" w:color="auto" w:fill="auto"/>
          </w:tcPr>
          <w:p w14:paraId="7FE59138" w14:textId="2FF38D83" w:rsidR="009D1489" w:rsidRPr="00C1603D" w:rsidRDefault="009D1489" w:rsidP="00771D4D">
            <w:pPr>
              <w:pStyle w:val="72TabletextTablesTableFigureBoxstyles"/>
            </w:pPr>
            <w:r w:rsidRPr="00C1603D">
              <w:rPr>
                <w:rFonts w:cstheme="minorHAnsi"/>
                <w:szCs w:val="20"/>
              </w:rPr>
              <w:t>88</w:t>
            </w:r>
            <w:r w:rsidR="00385FFA" w:rsidRPr="00C1603D">
              <w:rPr>
                <w:rFonts w:cstheme="minorHAnsi"/>
                <w:szCs w:val="20"/>
              </w:rPr>
              <w:t>–</w:t>
            </w:r>
            <w:r w:rsidRPr="00C1603D">
              <w:rPr>
                <w:rFonts w:cstheme="minorHAnsi"/>
                <w:szCs w:val="20"/>
              </w:rPr>
              <w:t>98</w:t>
            </w:r>
          </w:p>
        </w:tc>
        <w:tc>
          <w:tcPr>
            <w:tcW w:w="0" w:type="auto"/>
            <w:shd w:val="clear" w:color="auto" w:fill="auto"/>
          </w:tcPr>
          <w:p w14:paraId="25010A94" w14:textId="77777777" w:rsidR="009D1489" w:rsidRPr="00C1603D" w:rsidRDefault="009D1489" w:rsidP="00771D4D">
            <w:pPr>
              <w:pStyle w:val="72TabletextTablesTableFigureBoxstyles"/>
            </w:pPr>
          </w:p>
        </w:tc>
      </w:tr>
      <w:tr w:rsidR="009D1489" w:rsidRPr="00C1603D" w14:paraId="47D8DC67" w14:textId="77777777" w:rsidTr="00771D4D">
        <w:trPr>
          <w:cantSplit/>
        </w:trPr>
        <w:tc>
          <w:tcPr>
            <w:tcW w:w="0" w:type="auto"/>
            <w:shd w:val="clear" w:color="auto" w:fill="auto"/>
          </w:tcPr>
          <w:p w14:paraId="120064CC" w14:textId="7F5CEBE0" w:rsidR="009D1489" w:rsidRPr="00C1603D" w:rsidRDefault="00385FFA" w:rsidP="00771D4D">
            <w:pPr>
              <w:pStyle w:val="72TabletextTablesTableFigureBoxstyles"/>
              <w:rPr>
                <w:b/>
              </w:rPr>
            </w:pPr>
            <w:r w:rsidRPr="00C1603D">
              <w:tab/>
            </w:r>
            <w:r w:rsidR="009D1489" w:rsidRPr="00C1603D">
              <w:t>IgA DGP</w:t>
            </w:r>
          </w:p>
        </w:tc>
        <w:tc>
          <w:tcPr>
            <w:tcW w:w="0" w:type="auto"/>
            <w:shd w:val="clear" w:color="auto" w:fill="auto"/>
          </w:tcPr>
          <w:p w14:paraId="34279504" w14:textId="77777777" w:rsidR="009D1489" w:rsidRPr="00C1603D" w:rsidRDefault="009D1489" w:rsidP="00771D4D">
            <w:pPr>
              <w:pStyle w:val="72TabletextTablesTableFigureBoxstyles"/>
            </w:pPr>
          </w:p>
        </w:tc>
        <w:tc>
          <w:tcPr>
            <w:tcW w:w="0" w:type="auto"/>
            <w:shd w:val="clear" w:color="auto" w:fill="auto"/>
          </w:tcPr>
          <w:p w14:paraId="6D8C890D" w14:textId="77777777" w:rsidR="009D1489" w:rsidRPr="00C1603D" w:rsidRDefault="009D1489" w:rsidP="00771D4D">
            <w:pPr>
              <w:pStyle w:val="72TabletextTablesTableFigureBoxstyles"/>
            </w:pPr>
          </w:p>
        </w:tc>
        <w:tc>
          <w:tcPr>
            <w:tcW w:w="0" w:type="auto"/>
            <w:shd w:val="clear" w:color="auto" w:fill="auto"/>
          </w:tcPr>
          <w:p w14:paraId="4372A651" w14:textId="0542319E" w:rsidR="009D1489" w:rsidRPr="00C1603D" w:rsidRDefault="009D1489" w:rsidP="00771D4D">
            <w:pPr>
              <w:pStyle w:val="72TabletextTablesTableFigureBoxstyles"/>
              <w:rPr>
                <w:lang w:val="nl-NL"/>
              </w:rPr>
            </w:pPr>
            <w:r w:rsidRPr="00C1603D">
              <w:rPr>
                <w:szCs w:val="20"/>
                <w:lang w:val="nl-NL"/>
              </w:rPr>
              <w:t>10</w:t>
            </w:r>
            <w:r w:rsidR="00385FFA" w:rsidRPr="00C1603D">
              <w:rPr>
                <w:szCs w:val="20"/>
                <w:lang w:val="nl-NL"/>
              </w:rPr>
              <w:t>–</w:t>
            </w:r>
            <w:r w:rsidRPr="00C1603D">
              <w:rPr>
                <w:szCs w:val="20"/>
                <w:lang w:val="nl-NL"/>
              </w:rPr>
              <w:t>20</w:t>
            </w:r>
            <w:r w:rsidR="0057066C" w:rsidRPr="00C1603D">
              <w:rPr>
                <w:szCs w:val="20"/>
                <w:lang w:val="nl-NL"/>
              </w:rPr>
              <w:t> </w:t>
            </w:r>
            <w:r w:rsidRPr="00C1603D">
              <w:rPr>
                <w:szCs w:val="20"/>
                <w:lang w:val="nl-NL"/>
              </w:rPr>
              <w:t>U/</w:t>
            </w:r>
            <w:r w:rsidR="0057066C" w:rsidRPr="00C1603D">
              <w:rPr>
                <w:szCs w:val="20"/>
                <w:lang w:val="nl-NL"/>
              </w:rPr>
              <w:t>ml</w:t>
            </w:r>
          </w:p>
        </w:tc>
        <w:tc>
          <w:tcPr>
            <w:tcW w:w="0" w:type="auto"/>
            <w:shd w:val="clear" w:color="auto" w:fill="auto"/>
          </w:tcPr>
          <w:p w14:paraId="20634F2A" w14:textId="490A4FE4" w:rsidR="009D1489" w:rsidRPr="00C1603D" w:rsidRDefault="009D1489" w:rsidP="00771D4D">
            <w:pPr>
              <w:pStyle w:val="72TabletextTablesTableFigureBoxstyles"/>
            </w:pPr>
            <w:r w:rsidRPr="00C1603D">
              <w:rPr>
                <w:rFonts w:cstheme="minorHAnsi"/>
                <w:szCs w:val="20"/>
              </w:rPr>
              <w:t>86</w:t>
            </w:r>
            <w:r w:rsidR="00385FFA" w:rsidRPr="00C1603D">
              <w:rPr>
                <w:rFonts w:cstheme="minorHAnsi"/>
                <w:szCs w:val="20"/>
              </w:rPr>
              <w:t>–</w:t>
            </w:r>
            <w:r w:rsidRPr="00C1603D">
              <w:rPr>
                <w:rFonts w:cstheme="minorHAnsi"/>
                <w:szCs w:val="20"/>
              </w:rPr>
              <w:t>98</w:t>
            </w:r>
          </w:p>
        </w:tc>
        <w:tc>
          <w:tcPr>
            <w:tcW w:w="0" w:type="auto"/>
            <w:shd w:val="clear" w:color="auto" w:fill="auto"/>
          </w:tcPr>
          <w:p w14:paraId="1CE0BAA7" w14:textId="5A4CAEA1" w:rsidR="009D1489" w:rsidRPr="00C1603D" w:rsidRDefault="009D1489" w:rsidP="00771D4D">
            <w:pPr>
              <w:pStyle w:val="72TabletextTablesTableFigureBoxstyles"/>
            </w:pPr>
            <w:r w:rsidRPr="00C1603D">
              <w:rPr>
                <w:rFonts w:cstheme="minorHAnsi"/>
                <w:szCs w:val="20"/>
              </w:rPr>
              <w:t>1.04</w:t>
            </w:r>
            <w:r w:rsidR="00385FFA" w:rsidRPr="00C1603D">
              <w:rPr>
                <w:rFonts w:cstheme="minorHAnsi"/>
                <w:szCs w:val="20"/>
              </w:rPr>
              <w:t>–</w:t>
            </w:r>
            <w:r w:rsidRPr="00C1603D">
              <w:rPr>
                <w:rFonts w:cstheme="minorHAnsi"/>
                <w:szCs w:val="20"/>
              </w:rPr>
              <w:t>1.33</w:t>
            </w:r>
          </w:p>
        </w:tc>
        <w:tc>
          <w:tcPr>
            <w:tcW w:w="0" w:type="auto"/>
            <w:shd w:val="clear" w:color="auto" w:fill="auto"/>
          </w:tcPr>
          <w:p w14:paraId="74655B93" w14:textId="4B658022" w:rsidR="009D1489" w:rsidRPr="00C1603D" w:rsidRDefault="009D1489" w:rsidP="00771D4D">
            <w:pPr>
              <w:pStyle w:val="72TabletextTablesTableFigureBoxstyles"/>
            </w:pPr>
            <w:r w:rsidRPr="00C1603D">
              <w:rPr>
                <w:rFonts w:cstheme="minorHAnsi"/>
                <w:szCs w:val="20"/>
              </w:rPr>
              <w:t>92</w:t>
            </w:r>
            <w:r w:rsidR="00385FFA" w:rsidRPr="00C1603D">
              <w:rPr>
                <w:rFonts w:cstheme="minorHAnsi"/>
                <w:szCs w:val="20"/>
              </w:rPr>
              <w:t>–</w:t>
            </w:r>
            <w:r w:rsidRPr="00C1603D">
              <w:rPr>
                <w:rFonts w:cstheme="minorHAnsi"/>
                <w:szCs w:val="20"/>
              </w:rPr>
              <w:t>96</w:t>
            </w:r>
          </w:p>
        </w:tc>
        <w:tc>
          <w:tcPr>
            <w:tcW w:w="0" w:type="auto"/>
            <w:shd w:val="clear" w:color="auto" w:fill="auto"/>
          </w:tcPr>
          <w:p w14:paraId="6F771E78" w14:textId="3CC212F5" w:rsidR="009D1489" w:rsidRPr="00C1603D" w:rsidRDefault="009D1489" w:rsidP="00771D4D">
            <w:pPr>
              <w:pStyle w:val="72TabletextTablesTableFigureBoxstyles"/>
            </w:pPr>
            <w:r w:rsidRPr="00C1603D">
              <w:rPr>
                <w:rFonts w:cstheme="minorHAnsi"/>
                <w:szCs w:val="20"/>
              </w:rPr>
              <w:t>0.96</w:t>
            </w:r>
            <w:r w:rsidR="00385FFA" w:rsidRPr="00C1603D">
              <w:rPr>
                <w:rFonts w:cstheme="minorHAnsi"/>
                <w:szCs w:val="20"/>
              </w:rPr>
              <w:t>–</w:t>
            </w:r>
            <w:r w:rsidRPr="00C1603D">
              <w:rPr>
                <w:rFonts w:cstheme="minorHAnsi"/>
                <w:szCs w:val="20"/>
              </w:rPr>
              <w:t>1.04</w:t>
            </w:r>
          </w:p>
        </w:tc>
      </w:tr>
      <w:tr w:rsidR="009D1489" w:rsidRPr="00C1603D" w14:paraId="3B62D086" w14:textId="77777777" w:rsidTr="00771D4D">
        <w:trPr>
          <w:cantSplit/>
        </w:trPr>
        <w:tc>
          <w:tcPr>
            <w:tcW w:w="0" w:type="auto"/>
            <w:shd w:val="clear" w:color="auto" w:fill="auto"/>
          </w:tcPr>
          <w:p w14:paraId="60112B51" w14:textId="59AE6139" w:rsidR="009D1489" w:rsidRPr="00C1603D" w:rsidRDefault="009D1489" w:rsidP="00771D4D">
            <w:pPr>
              <w:pStyle w:val="72TabletextTablesTableFigureBoxstyles"/>
              <w:rPr>
                <w:b/>
              </w:rPr>
            </w:pPr>
            <w:r w:rsidRPr="00C1603D">
              <w:t>IgA tTG vs. IgG DGP</w:t>
            </w:r>
          </w:p>
        </w:tc>
        <w:tc>
          <w:tcPr>
            <w:tcW w:w="0" w:type="auto"/>
            <w:shd w:val="clear" w:color="auto" w:fill="auto"/>
          </w:tcPr>
          <w:p w14:paraId="0DB79DB1" w14:textId="11D4A8E4" w:rsidR="009D1489" w:rsidRPr="00C1603D" w:rsidRDefault="009D1489" w:rsidP="00771D4D">
            <w:pPr>
              <w:pStyle w:val="72TabletextTablesTableFigureBoxstyles"/>
            </w:pPr>
            <w:r w:rsidRPr="00C1603D">
              <w:rPr>
                <w:rFonts w:cstheme="minorHAnsi"/>
                <w:szCs w:val="20"/>
              </w:rPr>
              <w:t>4</w:t>
            </w:r>
          </w:p>
        </w:tc>
        <w:tc>
          <w:tcPr>
            <w:tcW w:w="0" w:type="auto"/>
            <w:shd w:val="clear" w:color="auto" w:fill="auto"/>
          </w:tcPr>
          <w:p w14:paraId="58294BEB" w14:textId="265FFCDC" w:rsidR="009D1489" w:rsidRPr="00C1603D" w:rsidRDefault="009D1489" w:rsidP="00771D4D">
            <w:pPr>
              <w:pStyle w:val="72TabletextTablesTableFigureBoxstyles"/>
            </w:pPr>
            <w:r w:rsidRPr="00C1603D">
              <w:rPr>
                <w:rFonts w:cstheme="minorHAnsi"/>
                <w:szCs w:val="20"/>
              </w:rPr>
              <w:t>1046 (217)</w:t>
            </w:r>
          </w:p>
        </w:tc>
        <w:tc>
          <w:tcPr>
            <w:tcW w:w="0" w:type="auto"/>
            <w:shd w:val="clear" w:color="auto" w:fill="auto"/>
          </w:tcPr>
          <w:p w14:paraId="43524E30" w14:textId="77777777" w:rsidR="009D1489" w:rsidRPr="00C1603D" w:rsidRDefault="009D1489" w:rsidP="00771D4D">
            <w:pPr>
              <w:pStyle w:val="72TabletextTablesTableFigureBoxstyles"/>
              <w:rPr>
                <w:lang w:val="nl-NL"/>
              </w:rPr>
            </w:pPr>
          </w:p>
        </w:tc>
        <w:tc>
          <w:tcPr>
            <w:tcW w:w="0" w:type="auto"/>
            <w:shd w:val="clear" w:color="auto" w:fill="auto"/>
          </w:tcPr>
          <w:p w14:paraId="478E5CC8" w14:textId="77777777" w:rsidR="009D1489" w:rsidRPr="00C1603D" w:rsidRDefault="009D1489" w:rsidP="00771D4D">
            <w:pPr>
              <w:pStyle w:val="72TabletextTablesTableFigureBoxstyles"/>
            </w:pPr>
          </w:p>
        </w:tc>
        <w:tc>
          <w:tcPr>
            <w:tcW w:w="0" w:type="auto"/>
            <w:shd w:val="clear" w:color="auto" w:fill="auto"/>
          </w:tcPr>
          <w:p w14:paraId="3B8A3A3A" w14:textId="77777777" w:rsidR="009D1489" w:rsidRPr="00C1603D" w:rsidRDefault="009D1489" w:rsidP="00771D4D">
            <w:pPr>
              <w:pStyle w:val="72TabletextTablesTableFigureBoxstyles"/>
            </w:pPr>
          </w:p>
        </w:tc>
        <w:tc>
          <w:tcPr>
            <w:tcW w:w="0" w:type="auto"/>
            <w:shd w:val="clear" w:color="auto" w:fill="auto"/>
          </w:tcPr>
          <w:p w14:paraId="40E8872E" w14:textId="77777777" w:rsidR="009D1489" w:rsidRPr="00C1603D" w:rsidRDefault="009D1489" w:rsidP="00771D4D">
            <w:pPr>
              <w:pStyle w:val="72TabletextTablesTableFigureBoxstyles"/>
            </w:pPr>
          </w:p>
        </w:tc>
        <w:tc>
          <w:tcPr>
            <w:tcW w:w="0" w:type="auto"/>
            <w:shd w:val="clear" w:color="auto" w:fill="auto"/>
          </w:tcPr>
          <w:p w14:paraId="3396CDD2" w14:textId="77777777" w:rsidR="009D1489" w:rsidRPr="00C1603D" w:rsidRDefault="009D1489" w:rsidP="00771D4D">
            <w:pPr>
              <w:pStyle w:val="72TabletextTablesTableFigureBoxstyles"/>
            </w:pPr>
          </w:p>
        </w:tc>
      </w:tr>
      <w:tr w:rsidR="009D1489" w:rsidRPr="00C1603D" w14:paraId="395DE9AB" w14:textId="77777777" w:rsidTr="00771D4D">
        <w:trPr>
          <w:cantSplit/>
        </w:trPr>
        <w:tc>
          <w:tcPr>
            <w:tcW w:w="0" w:type="auto"/>
            <w:shd w:val="clear" w:color="auto" w:fill="auto"/>
          </w:tcPr>
          <w:p w14:paraId="57F39E04" w14:textId="61D24A19" w:rsidR="009D1489" w:rsidRPr="00C1603D" w:rsidRDefault="00385FFA" w:rsidP="00771D4D">
            <w:pPr>
              <w:pStyle w:val="72TabletextTablesTableFigureBoxstyles"/>
              <w:rPr>
                <w:b/>
              </w:rPr>
            </w:pPr>
            <w:r w:rsidRPr="00C1603D">
              <w:tab/>
            </w:r>
            <w:r w:rsidR="009D1489" w:rsidRPr="00C1603D">
              <w:t>IgA tTG</w:t>
            </w:r>
          </w:p>
        </w:tc>
        <w:tc>
          <w:tcPr>
            <w:tcW w:w="0" w:type="auto"/>
            <w:shd w:val="clear" w:color="auto" w:fill="auto"/>
          </w:tcPr>
          <w:p w14:paraId="3801F6D1" w14:textId="77777777" w:rsidR="009D1489" w:rsidRPr="00C1603D" w:rsidRDefault="009D1489" w:rsidP="00771D4D">
            <w:pPr>
              <w:pStyle w:val="72TabletextTablesTableFigureBoxstyles"/>
            </w:pPr>
          </w:p>
        </w:tc>
        <w:tc>
          <w:tcPr>
            <w:tcW w:w="0" w:type="auto"/>
            <w:shd w:val="clear" w:color="auto" w:fill="auto"/>
          </w:tcPr>
          <w:p w14:paraId="3E6670F7" w14:textId="77777777" w:rsidR="009D1489" w:rsidRPr="00C1603D" w:rsidRDefault="009D1489" w:rsidP="00771D4D">
            <w:pPr>
              <w:pStyle w:val="72TabletextTablesTableFigureBoxstyles"/>
            </w:pPr>
          </w:p>
        </w:tc>
        <w:tc>
          <w:tcPr>
            <w:tcW w:w="0" w:type="auto"/>
            <w:shd w:val="clear" w:color="auto" w:fill="auto"/>
          </w:tcPr>
          <w:p w14:paraId="7B0880AE" w14:textId="6A498D60" w:rsidR="009D1489" w:rsidRPr="00C1603D" w:rsidRDefault="009D1489" w:rsidP="00771D4D">
            <w:pPr>
              <w:pStyle w:val="72TabletextTablesTableFigureBoxstyles"/>
              <w:rPr>
                <w:lang w:val="nl-NL"/>
              </w:rPr>
            </w:pPr>
            <w:r w:rsidRPr="00C1603D">
              <w:rPr>
                <w:szCs w:val="20"/>
                <w:lang w:val="nl-NL"/>
              </w:rPr>
              <w:t>10</w:t>
            </w:r>
            <w:r w:rsidR="00385FFA" w:rsidRPr="00C1603D">
              <w:rPr>
                <w:szCs w:val="20"/>
                <w:lang w:val="nl-NL"/>
              </w:rPr>
              <w:t>–</w:t>
            </w:r>
            <w:r w:rsidRPr="00C1603D">
              <w:rPr>
                <w:szCs w:val="20"/>
                <w:lang w:val="nl-NL"/>
              </w:rPr>
              <w:t>20</w:t>
            </w:r>
            <w:r w:rsidR="0057066C" w:rsidRPr="00C1603D">
              <w:rPr>
                <w:szCs w:val="20"/>
                <w:lang w:val="nl-NL"/>
              </w:rPr>
              <w:t> </w:t>
            </w:r>
            <w:r w:rsidRPr="00C1603D">
              <w:rPr>
                <w:szCs w:val="20"/>
                <w:lang w:val="nl-NL"/>
              </w:rPr>
              <w:t>U/</w:t>
            </w:r>
            <w:r w:rsidR="0057066C" w:rsidRPr="00C1603D">
              <w:rPr>
                <w:szCs w:val="20"/>
                <w:lang w:val="nl-NL"/>
              </w:rPr>
              <w:t>ml</w:t>
            </w:r>
          </w:p>
        </w:tc>
        <w:tc>
          <w:tcPr>
            <w:tcW w:w="0" w:type="auto"/>
            <w:shd w:val="clear" w:color="auto" w:fill="auto"/>
          </w:tcPr>
          <w:p w14:paraId="103D81F5" w14:textId="1FA5B3FF" w:rsidR="009D1489" w:rsidRPr="00C1603D" w:rsidRDefault="009D1489" w:rsidP="00771D4D">
            <w:pPr>
              <w:pStyle w:val="72TabletextTablesTableFigureBoxstyles"/>
            </w:pPr>
            <w:r w:rsidRPr="00C1603D">
              <w:rPr>
                <w:rFonts w:cstheme="minorHAnsi"/>
                <w:szCs w:val="20"/>
              </w:rPr>
              <w:t>64</w:t>
            </w:r>
            <w:r w:rsidR="00385FFA" w:rsidRPr="00C1603D">
              <w:rPr>
                <w:rFonts w:cstheme="minorHAnsi"/>
                <w:szCs w:val="20"/>
              </w:rPr>
              <w:t>–</w:t>
            </w:r>
            <w:r w:rsidRPr="00C1603D">
              <w:rPr>
                <w:rFonts w:cstheme="minorHAnsi"/>
                <w:szCs w:val="20"/>
              </w:rPr>
              <w:t>95</w:t>
            </w:r>
          </w:p>
        </w:tc>
        <w:tc>
          <w:tcPr>
            <w:tcW w:w="0" w:type="auto"/>
            <w:shd w:val="clear" w:color="auto" w:fill="auto"/>
          </w:tcPr>
          <w:p w14:paraId="22AF5977" w14:textId="77777777" w:rsidR="009D1489" w:rsidRPr="00C1603D" w:rsidRDefault="009D1489" w:rsidP="00771D4D">
            <w:pPr>
              <w:pStyle w:val="72TabletextTablesTableFigureBoxstyles"/>
            </w:pPr>
          </w:p>
        </w:tc>
        <w:tc>
          <w:tcPr>
            <w:tcW w:w="0" w:type="auto"/>
            <w:shd w:val="clear" w:color="auto" w:fill="auto"/>
          </w:tcPr>
          <w:p w14:paraId="3C07EC51" w14:textId="48BA5E1E" w:rsidR="009D1489" w:rsidRPr="00C1603D" w:rsidRDefault="009D1489" w:rsidP="00771D4D">
            <w:pPr>
              <w:pStyle w:val="72TabletextTablesTableFigureBoxstyles"/>
            </w:pPr>
            <w:r w:rsidRPr="00C1603D">
              <w:rPr>
                <w:rFonts w:cstheme="minorHAnsi"/>
                <w:szCs w:val="20"/>
              </w:rPr>
              <w:t>88</w:t>
            </w:r>
            <w:r w:rsidR="00385FFA" w:rsidRPr="00C1603D">
              <w:rPr>
                <w:rFonts w:cstheme="minorHAnsi"/>
                <w:szCs w:val="20"/>
              </w:rPr>
              <w:t>–</w:t>
            </w:r>
            <w:r w:rsidRPr="00C1603D">
              <w:rPr>
                <w:rFonts w:cstheme="minorHAnsi"/>
                <w:szCs w:val="20"/>
              </w:rPr>
              <w:t>98</w:t>
            </w:r>
          </w:p>
        </w:tc>
        <w:tc>
          <w:tcPr>
            <w:tcW w:w="0" w:type="auto"/>
            <w:shd w:val="clear" w:color="auto" w:fill="auto"/>
          </w:tcPr>
          <w:p w14:paraId="1701C136" w14:textId="77777777" w:rsidR="009D1489" w:rsidRPr="00C1603D" w:rsidRDefault="009D1489" w:rsidP="00771D4D">
            <w:pPr>
              <w:pStyle w:val="72TabletextTablesTableFigureBoxstyles"/>
            </w:pPr>
          </w:p>
        </w:tc>
      </w:tr>
      <w:tr w:rsidR="009D1489" w:rsidRPr="00C1603D" w14:paraId="01A56282" w14:textId="77777777" w:rsidTr="00771D4D">
        <w:trPr>
          <w:cantSplit/>
        </w:trPr>
        <w:tc>
          <w:tcPr>
            <w:tcW w:w="0" w:type="auto"/>
            <w:shd w:val="clear" w:color="auto" w:fill="auto"/>
          </w:tcPr>
          <w:p w14:paraId="46D6AE61" w14:textId="5B719AC4" w:rsidR="009D1489" w:rsidRPr="00C1603D" w:rsidRDefault="00385FFA" w:rsidP="00771D4D">
            <w:pPr>
              <w:pStyle w:val="72TabletextTablesTableFigureBoxstyles"/>
              <w:rPr>
                <w:b/>
              </w:rPr>
            </w:pPr>
            <w:r w:rsidRPr="00C1603D">
              <w:tab/>
            </w:r>
            <w:r w:rsidR="009D1489" w:rsidRPr="00C1603D">
              <w:t>IgG DGP</w:t>
            </w:r>
          </w:p>
        </w:tc>
        <w:tc>
          <w:tcPr>
            <w:tcW w:w="0" w:type="auto"/>
            <w:shd w:val="clear" w:color="auto" w:fill="auto"/>
          </w:tcPr>
          <w:p w14:paraId="34EC91CF" w14:textId="77777777" w:rsidR="009D1489" w:rsidRPr="00C1603D" w:rsidRDefault="009D1489" w:rsidP="00771D4D">
            <w:pPr>
              <w:pStyle w:val="72TabletextTablesTableFigureBoxstyles"/>
            </w:pPr>
          </w:p>
        </w:tc>
        <w:tc>
          <w:tcPr>
            <w:tcW w:w="0" w:type="auto"/>
            <w:shd w:val="clear" w:color="auto" w:fill="auto"/>
          </w:tcPr>
          <w:p w14:paraId="72A2927B" w14:textId="77777777" w:rsidR="009D1489" w:rsidRPr="00C1603D" w:rsidRDefault="009D1489" w:rsidP="00771D4D">
            <w:pPr>
              <w:pStyle w:val="72TabletextTablesTableFigureBoxstyles"/>
            </w:pPr>
          </w:p>
        </w:tc>
        <w:tc>
          <w:tcPr>
            <w:tcW w:w="0" w:type="auto"/>
            <w:shd w:val="clear" w:color="auto" w:fill="auto"/>
          </w:tcPr>
          <w:p w14:paraId="61DA622E" w14:textId="750125CD" w:rsidR="009D1489" w:rsidRPr="00C1603D" w:rsidRDefault="009D1489" w:rsidP="00771D4D">
            <w:pPr>
              <w:pStyle w:val="72TabletextTablesTableFigureBoxstyles"/>
              <w:rPr>
                <w:lang w:val="nl-NL"/>
              </w:rPr>
            </w:pPr>
            <w:r w:rsidRPr="00C1603D">
              <w:rPr>
                <w:rFonts w:cstheme="minorHAnsi"/>
                <w:szCs w:val="20"/>
              </w:rPr>
              <w:t>10</w:t>
            </w:r>
            <w:r w:rsidR="00385FFA" w:rsidRPr="00C1603D">
              <w:rPr>
                <w:rFonts w:cstheme="minorHAnsi"/>
                <w:szCs w:val="20"/>
              </w:rPr>
              <w:t>–</w:t>
            </w:r>
            <w:r w:rsidRPr="00C1603D">
              <w:rPr>
                <w:rFonts w:cstheme="minorHAnsi"/>
                <w:szCs w:val="20"/>
              </w:rPr>
              <w:t>20</w:t>
            </w:r>
            <w:r w:rsidR="0057066C" w:rsidRPr="00C1603D">
              <w:rPr>
                <w:rFonts w:cstheme="minorHAnsi"/>
                <w:szCs w:val="20"/>
              </w:rPr>
              <w:t> </w:t>
            </w:r>
            <w:r w:rsidRPr="00C1603D">
              <w:rPr>
                <w:rFonts w:cstheme="minorHAnsi"/>
                <w:szCs w:val="20"/>
              </w:rPr>
              <w:t>U/</w:t>
            </w:r>
            <w:r w:rsidR="0057066C" w:rsidRPr="00C1603D">
              <w:rPr>
                <w:rFonts w:cstheme="minorHAnsi"/>
                <w:szCs w:val="20"/>
              </w:rPr>
              <w:t>ml</w:t>
            </w:r>
          </w:p>
        </w:tc>
        <w:tc>
          <w:tcPr>
            <w:tcW w:w="0" w:type="auto"/>
            <w:shd w:val="clear" w:color="auto" w:fill="auto"/>
          </w:tcPr>
          <w:p w14:paraId="11F57553" w14:textId="013F2CB5" w:rsidR="009D1489" w:rsidRPr="00C1603D" w:rsidRDefault="009D1489" w:rsidP="00771D4D">
            <w:pPr>
              <w:pStyle w:val="72TabletextTablesTableFigureBoxstyles"/>
            </w:pPr>
            <w:r w:rsidRPr="00C1603D">
              <w:rPr>
                <w:rFonts w:cstheme="minorHAnsi"/>
                <w:szCs w:val="20"/>
              </w:rPr>
              <w:t>90</w:t>
            </w:r>
            <w:r w:rsidR="00385FFA" w:rsidRPr="00C1603D">
              <w:rPr>
                <w:rFonts w:cstheme="minorHAnsi"/>
                <w:szCs w:val="20"/>
              </w:rPr>
              <w:t>–</w:t>
            </w:r>
            <w:r w:rsidRPr="00C1603D">
              <w:rPr>
                <w:rFonts w:cstheme="minorHAnsi"/>
                <w:szCs w:val="20"/>
              </w:rPr>
              <w:t>96</w:t>
            </w:r>
          </w:p>
        </w:tc>
        <w:tc>
          <w:tcPr>
            <w:tcW w:w="0" w:type="auto"/>
            <w:shd w:val="clear" w:color="auto" w:fill="auto"/>
          </w:tcPr>
          <w:p w14:paraId="10A2B93D" w14:textId="51FAF2DE" w:rsidR="009D1489" w:rsidRPr="00C1603D" w:rsidRDefault="009D1489" w:rsidP="00771D4D">
            <w:pPr>
              <w:pStyle w:val="72TabletextTablesTableFigureBoxstyles"/>
            </w:pPr>
            <w:r w:rsidRPr="00C1603D">
              <w:rPr>
                <w:rFonts w:cstheme="minorHAnsi"/>
                <w:szCs w:val="20"/>
              </w:rPr>
              <w:t>0.99</w:t>
            </w:r>
            <w:r w:rsidR="00385FFA" w:rsidRPr="00C1603D">
              <w:rPr>
                <w:rFonts w:cstheme="minorHAnsi"/>
                <w:szCs w:val="20"/>
              </w:rPr>
              <w:t>–</w:t>
            </w:r>
            <w:r w:rsidRPr="00C1603D">
              <w:rPr>
                <w:rFonts w:cstheme="minorHAnsi"/>
                <w:szCs w:val="20"/>
              </w:rPr>
              <w:t>1.44</w:t>
            </w:r>
          </w:p>
        </w:tc>
        <w:tc>
          <w:tcPr>
            <w:tcW w:w="0" w:type="auto"/>
            <w:shd w:val="clear" w:color="auto" w:fill="auto"/>
          </w:tcPr>
          <w:p w14:paraId="4DA90298" w14:textId="0525E827" w:rsidR="009D1489" w:rsidRPr="00C1603D" w:rsidRDefault="009D1489" w:rsidP="00771D4D">
            <w:pPr>
              <w:pStyle w:val="72TabletextTablesTableFigureBoxstyles"/>
            </w:pPr>
            <w:r w:rsidRPr="00C1603D">
              <w:rPr>
                <w:rFonts w:cstheme="minorHAnsi"/>
                <w:szCs w:val="20"/>
              </w:rPr>
              <w:t>99</w:t>
            </w:r>
            <w:r w:rsidR="00385FFA" w:rsidRPr="00C1603D">
              <w:rPr>
                <w:rFonts w:cstheme="minorHAnsi"/>
                <w:szCs w:val="20"/>
              </w:rPr>
              <w:t>–</w:t>
            </w:r>
            <w:r w:rsidRPr="00C1603D">
              <w:rPr>
                <w:rFonts w:cstheme="minorHAnsi"/>
                <w:szCs w:val="20"/>
              </w:rPr>
              <w:t>100</w:t>
            </w:r>
          </w:p>
        </w:tc>
        <w:tc>
          <w:tcPr>
            <w:tcW w:w="0" w:type="auto"/>
            <w:shd w:val="clear" w:color="auto" w:fill="auto"/>
          </w:tcPr>
          <w:p w14:paraId="67D56C37" w14:textId="51F96251" w:rsidR="009D1489" w:rsidRPr="00C1603D" w:rsidRDefault="009D1489" w:rsidP="00771D4D">
            <w:pPr>
              <w:pStyle w:val="72TabletextTablesTableFigureBoxstyles"/>
            </w:pPr>
            <w:r w:rsidRPr="00C1603D">
              <w:rPr>
                <w:rFonts w:cstheme="minorHAnsi"/>
                <w:szCs w:val="20"/>
              </w:rPr>
              <w:t>1.02</w:t>
            </w:r>
            <w:r w:rsidR="00385FFA" w:rsidRPr="00C1603D">
              <w:rPr>
                <w:rFonts w:cstheme="minorHAnsi"/>
                <w:szCs w:val="20"/>
              </w:rPr>
              <w:t>–</w:t>
            </w:r>
            <w:r w:rsidRPr="00C1603D">
              <w:rPr>
                <w:rFonts w:cstheme="minorHAnsi"/>
                <w:szCs w:val="20"/>
              </w:rPr>
              <w:t>1.13</w:t>
            </w:r>
          </w:p>
        </w:tc>
      </w:tr>
      <w:tr w:rsidR="009D1489" w:rsidRPr="00C1603D" w14:paraId="4920A9C6" w14:textId="77777777" w:rsidTr="00771D4D">
        <w:trPr>
          <w:cantSplit/>
        </w:trPr>
        <w:tc>
          <w:tcPr>
            <w:tcW w:w="0" w:type="auto"/>
            <w:shd w:val="clear" w:color="auto" w:fill="auto"/>
          </w:tcPr>
          <w:p w14:paraId="639523E8" w14:textId="11C9E321" w:rsidR="009D1489" w:rsidRPr="00C1603D" w:rsidRDefault="009D1489" w:rsidP="00771D4D">
            <w:pPr>
              <w:pStyle w:val="72TabletextTablesTableFigureBoxstyles"/>
              <w:rPr>
                <w:b/>
              </w:rPr>
            </w:pPr>
            <w:r w:rsidRPr="00C1603D">
              <w:t>IgA tTG vs. IgA/IgG DGP</w:t>
            </w:r>
          </w:p>
        </w:tc>
        <w:tc>
          <w:tcPr>
            <w:tcW w:w="0" w:type="auto"/>
            <w:shd w:val="clear" w:color="auto" w:fill="auto"/>
          </w:tcPr>
          <w:p w14:paraId="6B8F75B6" w14:textId="091B14FA" w:rsidR="009D1489" w:rsidRPr="00C1603D" w:rsidRDefault="009D1489" w:rsidP="00771D4D">
            <w:pPr>
              <w:pStyle w:val="72TabletextTablesTableFigureBoxstyles"/>
            </w:pPr>
            <w:r w:rsidRPr="00C1603D">
              <w:rPr>
                <w:rFonts w:cstheme="minorHAnsi"/>
                <w:szCs w:val="20"/>
              </w:rPr>
              <w:t>4</w:t>
            </w:r>
          </w:p>
        </w:tc>
        <w:tc>
          <w:tcPr>
            <w:tcW w:w="0" w:type="auto"/>
            <w:shd w:val="clear" w:color="auto" w:fill="auto"/>
          </w:tcPr>
          <w:p w14:paraId="79A3BFAC" w14:textId="6F005FD5" w:rsidR="009D1489" w:rsidRPr="00C1603D" w:rsidRDefault="009D1489" w:rsidP="00771D4D">
            <w:pPr>
              <w:pStyle w:val="72TabletextTablesTableFigureBoxstyles"/>
            </w:pPr>
            <w:r w:rsidRPr="00C1603D">
              <w:rPr>
                <w:rFonts w:cstheme="minorHAnsi"/>
                <w:szCs w:val="20"/>
              </w:rPr>
              <w:t>1161 (280)</w:t>
            </w:r>
          </w:p>
        </w:tc>
        <w:tc>
          <w:tcPr>
            <w:tcW w:w="0" w:type="auto"/>
            <w:shd w:val="clear" w:color="auto" w:fill="auto"/>
          </w:tcPr>
          <w:p w14:paraId="19FD33BB" w14:textId="77777777" w:rsidR="009D1489" w:rsidRPr="00C1603D" w:rsidRDefault="009D1489" w:rsidP="00771D4D">
            <w:pPr>
              <w:pStyle w:val="72TabletextTablesTableFigureBoxstyles"/>
              <w:rPr>
                <w:lang w:val="nl-NL"/>
              </w:rPr>
            </w:pPr>
          </w:p>
        </w:tc>
        <w:tc>
          <w:tcPr>
            <w:tcW w:w="0" w:type="auto"/>
            <w:shd w:val="clear" w:color="auto" w:fill="auto"/>
          </w:tcPr>
          <w:p w14:paraId="21B6455B" w14:textId="77777777" w:rsidR="009D1489" w:rsidRPr="00C1603D" w:rsidRDefault="009D1489" w:rsidP="00771D4D">
            <w:pPr>
              <w:pStyle w:val="72TabletextTablesTableFigureBoxstyles"/>
            </w:pPr>
          </w:p>
        </w:tc>
        <w:tc>
          <w:tcPr>
            <w:tcW w:w="0" w:type="auto"/>
            <w:shd w:val="clear" w:color="auto" w:fill="auto"/>
          </w:tcPr>
          <w:p w14:paraId="688F8547" w14:textId="77777777" w:rsidR="009D1489" w:rsidRPr="00C1603D" w:rsidRDefault="009D1489" w:rsidP="00771D4D">
            <w:pPr>
              <w:pStyle w:val="72TabletextTablesTableFigureBoxstyles"/>
            </w:pPr>
          </w:p>
        </w:tc>
        <w:tc>
          <w:tcPr>
            <w:tcW w:w="0" w:type="auto"/>
            <w:shd w:val="clear" w:color="auto" w:fill="auto"/>
          </w:tcPr>
          <w:p w14:paraId="64F8F119" w14:textId="77777777" w:rsidR="009D1489" w:rsidRPr="00C1603D" w:rsidRDefault="009D1489" w:rsidP="00771D4D">
            <w:pPr>
              <w:pStyle w:val="72TabletextTablesTableFigureBoxstyles"/>
            </w:pPr>
          </w:p>
        </w:tc>
        <w:tc>
          <w:tcPr>
            <w:tcW w:w="0" w:type="auto"/>
            <w:shd w:val="clear" w:color="auto" w:fill="auto"/>
          </w:tcPr>
          <w:p w14:paraId="3D463309" w14:textId="77777777" w:rsidR="009D1489" w:rsidRPr="00C1603D" w:rsidRDefault="009D1489" w:rsidP="00771D4D">
            <w:pPr>
              <w:pStyle w:val="72TabletextTablesTableFigureBoxstyles"/>
            </w:pPr>
          </w:p>
        </w:tc>
      </w:tr>
      <w:tr w:rsidR="009D1489" w:rsidRPr="00C1603D" w14:paraId="46FC1494" w14:textId="77777777" w:rsidTr="00771D4D">
        <w:trPr>
          <w:cantSplit/>
        </w:trPr>
        <w:tc>
          <w:tcPr>
            <w:tcW w:w="0" w:type="auto"/>
            <w:shd w:val="clear" w:color="auto" w:fill="auto"/>
          </w:tcPr>
          <w:p w14:paraId="18A1B4B6" w14:textId="6499E6C8" w:rsidR="009D1489" w:rsidRPr="00C1603D" w:rsidRDefault="00385FFA" w:rsidP="00771D4D">
            <w:pPr>
              <w:pStyle w:val="72TabletextTablesTableFigureBoxstyles"/>
              <w:rPr>
                <w:b/>
              </w:rPr>
            </w:pPr>
            <w:r w:rsidRPr="00C1603D">
              <w:tab/>
            </w:r>
            <w:r w:rsidR="009D1489" w:rsidRPr="00C1603D">
              <w:t>IgA tTG</w:t>
            </w:r>
          </w:p>
        </w:tc>
        <w:tc>
          <w:tcPr>
            <w:tcW w:w="0" w:type="auto"/>
            <w:shd w:val="clear" w:color="auto" w:fill="auto"/>
          </w:tcPr>
          <w:p w14:paraId="0E9E68FC" w14:textId="77777777" w:rsidR="009D1489" w:rsidRPr="00C1603D" w:rsidRDefault="009D1489" w:rsidP="00771D4D">
            <w:pPr>
              <w:pStyle w:val="72TabletextTablesTableFigureBoxstyles"/>
            </w:pPr>
          </w:p>
        </w:tc>
        <w:tc>
          <w:tcPr>
            <w:tcW w:w="0" w:type="auto"/>
            <w:shd w:val="clear" w:color="auto" w:fill="auto"/>
          </w:tcPr>
          <w:p w14:paraId="6E2E4E3B" w14:textId="77777777" w:rsidR="009D1489" w:rsidRPr="00C1603D" w:rsidRDefault="009D1489" w:rsidP="00771D4D">
            <w:pPr>
              <w:pStyle w:val="72TabletextTablesTableFigureBoxstyles"/>
            </w:pPr>
          </w:p>
        </w:tc>
        <w:tc>
          <w:tcPr>
            <w:tcW w:w="0" w:type="auto"/>
            <w:shd w:val="clear" w:color="auto" w:fill="auto"/>
          </w:tcPr>
          <w:p w14:paraId="017C209A" w14:textId="482DE7FE" w:rsidR="009D1489" w:rsidRPr="00C1603D" w:rsidRDefault="009D1489" w:rsidP="00771D4D">
            <w:pPr>
              <w:pStyle w:val="72TabletextTablesTableFigureBoxstyles"/>
              <w:rPr>
                <w:lang w:val="nl-NL"/>
              </w:rPr>
            </w:pPr>
            <w:r w:rsidRPr="00C1603D">
              <w:rPr>
                <w:rFonts w:cstheme="minorHAnsi"/>
                <w:szCs w:val="20"/>
              </w:rPr>
              <w:t>5</w:t>
            </w:r>
            <w:r w:rsidR="00385FFA" w:rsidRPr="00C1603D">
              <w:rPr>
                <w:rFonts w:cstheme="minorHAnsi"/>
                <w:szCs w:val="20"/>
              </w:rPr>
              <w:t>–</w:t>
            </w:r>
            <w:r w:rsidRPr="00C1603D">
              <w:rPr>
                <w:rFonts w:cstheme="minorHAnsi"/>
                <w:szCs w:val="20"/>
              </w:rPr>
              <w:t>20</w:t>
            </w:r>
            <w:r w:rsidR="0057066C" w:rsidRPr="00C1603D">
              <w:rPr>
                <w:rFonts w:cstheme="minorHAnsi"/>
                <w:szCs w:val="20"/>
              </w:rPr>
              <w:t> </w:t>
            </w:r>
            <w:r w:rsidRPr="00C1603D">
              <w:rPr>
                <w:rFonts w:cstheme="minorHAnsi"/>
                <w:szCs w:val="20"/>
              </w:rPr>
              <w:t>U/</w:t>
            </w:r>
            <w:r w:rsidR="0057066C" w:rsidRPr="00C1603D">
              <w:rPr>
                <w:rFonts w:cstheme="minorHAnsi"/>
                <w:szCs w:val="20"/>
              </w:rPr>
              <w:t>ml</w:t>
            </w:r>
          </w:p>
        </w:tc>
        <w:tc>
          <w:tcPr>
            <w:tcW w:w="0" w:type="auto"/>
            <w:shd w:val="clear" w:color="auto" w:fill="auto"/>
          </w:tcPr>
          <w:p w14:paraId="11FB6E78" w14:textId="52C2FEF8" w:rsidR="009D1489" w:rsidRPr="00C1603D" w:rsidRDefault="009D1489" w:rsidP="00771D4D">
            <w:pPr>
              <w:pStyle w:val="72TabletextTablesTableFigureBoxstyles"/>
            </w:pPr>
            <w:r w:rsidRPr="00C1603D">
              <w:rPr>
                <w:rFonts w:cstheme="minorHAnsi"/>
                <w:szCs w:val="20"/>
              </w:rPr>
              <w:t>76</w:t>
            </w:r>
            <w:r w:rsidR="00385FFA" w:rsidRPr="00C1603D">
              <w:rPr>
                <w:rFonts w:cstheme="minorHAnsi"/>
                <w:szCs w:val="20"/>
              </w:rPr>
              <w:t>–</w:t>
            </w:r>
            <w:r w:rsidRPr="00C1603D">
              <w:rPr>
                <w:rFonts w:cstheme="minorHAnsi"/>
                <w:szCs w:val="20"/>
              </w:rPr>
              <w:t>95</w:t>
            </w:r>
          </w:p>
        </w:tc>
        <w:tc>
          <w:tcPr>
            <w:tcW w:w="0" w:type="auto"/>
            <w:shd w:val="clear" w:color="auto" w:fill="auto"/>
          </w:tcPr>
          <w:p w14:paraId="75C99FBF" w14:textId="77777777" w:rsidR="009D1489" w:rsidRPr="00C1603D" w:rsidRDefault="009D1489" w:rsidP="00771D4D">
            <w:pPr>
              <w:pStyle w:val="72TabletextTablesTableFigureBoxstyles"/>
            </w:pPr>
          </w:p>
        </w:tc>
        <w:tc>
          <w:tcPr>
            <w:tcW w:w="0" w:type="auto"/>
            <w:shd w:val="clear" w:color="auto" w:fill="auto"/>
          </w:tcPr>
          <w:p w14:paraId="530269E5" w14:textId="5D5B9140" w:rsidR="009D1489" w:rsidRPr="00C1603D" w:rsidRDefault="009D1489" w:rsidP="00771D4D">
            <w:pPr>
              <w:pStyle w:val="72TabletextTablesTableFigureBoxstyles"/>
            </w:pPr>
            <w:r w:rsidRPr="00C1603D">
              <w:rPr>
                <w:rFonts w:cstheme="minorHAnsi"/>
                <w:szCs w:val="20"/>
              </w:rPr>
              <w:t>95</w:t>
            </w:r>
            <w:r w:rsidR="00385FFA" w:rsidRPr="00C1603D">
              <w:rPr>
                <w:rFonts w:cstheme="minorHAnsi"/>
                <w:szCs w:val="20"/>
              </w:rPr>
              <w:t>–</w:t>
            </w:r>
            <w:r w:rsidRPr="00C1603D">
              <w:rPr>
                <w:rFonts w:cstheme="minorHAnsi"/>
                <w:szCs w:val="20"/>
              </w:rPr>
              <w:t>99</w:t>
            </w:r>
          </w:p>
        </w:tc>
        <w:tc>
          <w:tcPr>
            <w:tcW w:w="0" w:type="auto"/>
            <w:shd w:val="clear" w:color="auto" w:fill="auto"/>
          </w:tcPr>
          <w:p w14:paraId="1EA55008" w14:textId="77777777" w:rsidR="009D1489" w:rsidRPr="00C1603D" w:rsidRDefault="009D1489" w:rsidP="00771D4D">
            <w:pPr>
              <w:pStyle w:val="72TabletextTablesTableFigureBoxstyles"/>
            </w:pPr>
          </w:p>
        </w:tc>
      </w:tr>
      <w:tr w:rsidR="009D1489" w:rsidRPr="00C1603D" w14:paraId="18416AFA" w14:textId="77777777" w:rsidTr="00771D4D">
        <w:trPr>
          <w:cantSplit/>
        </w:trPr>
        <w:tc>
          <w:tcPr>
            <w:tcW w:w="0" w:type="auto"/>
            <w:shd w:val="clear" w:color="auto" w:fill="auto"/>
          </w:tcPr>
          <w:p w14:paraId="3F5F2AF5" w14:textId="7F377C84" w:rsidR="009D1489" w:rsidRPr="00C1603D" w:rsidRDefault="00385FFA" w:rsidP="00771D4D">
            <w:pPr>
              <w:pStyle w:val="72TabletextTablesTableFigureBoxstyles"/>
              <w:rPr>
                <w:b/>
              </w:rPr>
            </w:pPr>
            <w:r w:rsidRPr="00C1603D">
              <w:tab/>
            </w:r>
            <w:r w:rsidR="009D1489" w:rsidRPr="00C1603D">
              <w:t>IgA/IgG DGP</w:t>
            </w:r>
          </w:p>
        </w:tc>
        <w:tc>
          <w:tcPr>
            <w:tcW w:w="0" w:type="auto"/>
            <w:shd w:val="clear" w:color="auto" w:fill="auto"/>
          </w:tcPr>
          <w:p w14:paraId="40FFE0A1" w14:textId="255B692E" w:rsidR="009D1489" w:rsidRPr="00C1603D" w:rsidRDefault="009D1489" w:rsidP="00771D4D">
            <w:pPr>
              <w:pStyle w:val="72TabletextTablesTableFigureBoxstyles"/>
            </w:pPr>
          </w:p>
        </w:tc>
        <w:tc>
          <w:tcPr>
            <w:tcW w:w="0" w:type="auto"/>
            <w:shd w:val="clear" w:color="auto" w:fill="auto"/>
          </w:tcPr>
          <w:p w14:paraId="33596259" w14:textId="325FEEDD" w:rsidR="009D1489" w:rsidRPr="00C1603D" w:rsidRDefault="009D1489" w:rsidP="00771D4D">
            <w:pPr>
              <w:pStyle w:val="72TabletextTablesTableFigureBoxstyles"/>
            </w:pPr>
          </w:p>
        </w:tc>
        <w:tc>
          <w:tcPr>
            <w:tcW w:w="0" w:type="auto"/>
            <w:shd w:val="clear" w:color="auto" w:fill="auto"/>
          </w:tcPr>
          <w:p w14:paraId="071EAC5A" w14:textId="72DBF6F9" w:rsidR="009D1489" w:rsidRPr="00C1603D" w:rsidRDefault="009D1489" w:rsidP="00771D4D">
            <w:pPr>
              <w:pStyle w:val="72TabletextTablesTableFigureBoxstyles"/>
              <w:rPr>
                <w:lang w:val="nl-NL"/>
              </w:rPr>
            </w:pPr>
            <w:r w:rsidRPr="00C1603D">
              <w:rPr>
                <w:rFonts w:cstheme="minorHAnsi"/>
                <w:szCs w:val="20"/>
              </w:rPr>
              <w:t>20</w:t>
            </w:r>
            <w:r w:rsidR="0057066C" w:rsidRPr="00C1603D">
              <w:rPr>
                <w:rFonts w:cstheme="minorHAnsi"/>
                <w:szCs w:val="20"/>
              </w:rPr>
              <w:t> </w:t>
            </w:r>
            <w:r w:rsidRPr="00C1603D">
              <w:rPr>
                <w:rFonts w:cstheme="minorHAnsi"/>
                <w:szCs w:val="20"/>
              </w:rPr>
              <w:t>U/</w:t>
            </w:r>
            <w:r w:rsidR="0057066C" w:rsidRPr="00C1603D">
              <w:rPr>
                <w:rFonts w:cstheme="minorHAnsi"/>
                <w:szCs w:val="20"/>
              </w:rPr>
              <w:t>ml</w:t>
            </w:r>
          </w:p>
        </w:tc>
        <w:tc>
          <w:tcPr>
            <w:tcW w:w="0" w:type="auto"/>
            <w:shd w:val="clear" w:color="auto" w:fill="auto"/>
          </w:tcPr>
          <w:p w14:paraId="3EC6BF21" w14:textId="5FE04824" w:rsidR="009D1489" w:rsidRPr="00C1603D" w:rsidRDefault="009D1489" w:rsidP="00771D4D">
            <w:pPr>
              <w:pStyle w:val="72TabletextTablesTableFigureBoxstyles"/>
            </w:pPr>
            <w:r w:rsidRPr="00C1603D">
              <w:rPr>
                <w:rFonts w:cstheme="minorHAnsi"/>
                <w:szCs w:val="20"/>
              </w:rPr>
              <w:t>86</w:t>
            </w:r>
            <w:r w:rsidR="00385FFA" w:rsidRPr="00C1603D">
              <w:rPr>
                <w:rFonts w:cstheme="minorHAnsi"/>
                <w:szCs w:val="20"/>
              </w:rPr>
              <w:t>–</w:t>
            </w:r>
            <w:r w:rsidRPr="00C1603D">
              <w:rPr>
                <w:rFonts w:cstheme="minorHAnsi"/>
                <w:szCs w:val="20"/>
              </w:rPr>
              <w:t>98</w:t>
            </w:r>
          </w:p>
        </w:tc>
        <w:tc>
          <w:tcPr>
            <w:tcW w:w="0" w:type="auto"/>
            <w:shd w:val="clear" w:color="auto" w:fill="auto"/>
          </w:tcPr>
          <w:p w14:paraId="699F24EF" w14:textId="3F1EDF2D" w:rsidR="009D1489" w:rsidRPr="00C1603D" w:rsidRDefault="009D1489" w:rsidP="00771D4D">
            <w:pPr>
              <w:pStyle w:val="72TabletextTablesTableFigureBoxstyles"/>
            </w:pPr>
            <w:r w:rsidRPr="00C1603D">
              <w:rPr>
                <w:rFonts w:cstheme="minorHAnsi"/>
                <w:szCs w:val="20"/>
              </w:rPr>
              <w:t>1.01</w:t>
            </w:r>
            <w:r w:rsidR="00385FFA" w:rsidRPr="00C1603D">
              <w:rPr>
                <w:rFonts w:cstheme="minorHAnsi"/>
                <w:szCs w:val="20"/>
              </w:rPr>
              <w:t>–</w:t>
            </w:r>
            <w:r w:rsidRPr="00C1603D">
              <w:rPr>
                <w:rFonts w:cstheme="minorHAnsi"/>
                <w:szCs w:val="20"/>
              </w:rPr>
              <w:t>1.14</w:t>
            </w:r>
          </w:p>
        </w:tc>
        <w:tc>
          <w:tcPr>
            <w:tcW w:w="0" w:type="auto"/>
            <w:shd w:val="clear" w:color="auto" w:fill="auto"/>
          </w:tcPr>
          <w:p w14:paraId="1958DDC3" w14:textId="123B2DCA" w:rsidR="009D1489" w:rsidRPr="00C1603D" w:rsidRDefault="009D1489" w:rsidP="00771D4D">
            <w:pPr>
              <w:pStyle w:val="72TabletextTablesTableFigureBoxstyles"/>
            </w:pPr>
            <w:r w:rsidRPr="00C1603D">
              <w:rPr>
                <w:rFonts w:cstheme="minorHAnsi"/>
                <w:szCs w:val="20"/>
              </w:rPr>
              <w:t>96</w:t>
            </w:r>
            <w:r w:rsidR="00385FFA" w:rsidRPr="00C1603D">
              <w:rPr>
                <w:rFonts w:cstheme="minorHAnsi"/>
                <w:szCs w:val="20"/>
              </w:rPr>
              <w:t>–</w:t>
            </w:r>
            <w:r w:rsidRPr="00C1603D">
              <w:rPr>
                <w:rFonts w:cstheme="minorHAnsi"/>
                <w:szCs w:val="20"/>
              </w:rPr>
              <w:t>99</w:t>
            </w:r>
          </w:p>
        </w:tc>
        <w:tc>
          <w:tcPr>
            <w:tcW w:w="0" w:type="auto"/>
            <w:shd w:val="clear" w:color="auto" w:fill="auto"/>
          </w:tcPr>
          <w:p w14:paraId="01403BC3" w14:textId="6E26B825" w:rsidR="009D1489" w:rsidRPr="00C1603D" w:rsidRDefault="009D1489" w:rsidP="00771D4D">
            <w:pPr>
              <w:pStyle w:val="72TabletextTablesTableFigureBoxstyles"/>
            </w:pPr>
            <w:r w:rsidRPr="00C1603D">
              <w:rPr>
                <w:rFonts w:cstheme="minorHAnsi"/>
                <w:szCs w:val="20"/>
              </w:rPr>
              <w:t>0.99</w:t>
            </w:r>
            <w:r w:rsidR="00385FFA" w:rsidRPr="00C1603D">
              <w:rPr>
                <w:rFonts w:cstheme="minorHAnsi"/>
                <w:szCs w:val="20"/>
              </w:rPr>
              <w:t>–</w:t>
            </w:r>
            <w:r w:rsidRPr="00C1603D">
              <w:rPr>
                <w:rFonts w:cstheme="minorHAnsi"/>
                <w:szCs w:val="20"/>
              </w:rPr>
              <w:t>1.01</w:t>
            </w:r>
          </w:p>
        </w:tc>
      </w:tr>
      <w:tr w:rsidR="00F62F64" w:rsidRPr="00C1603D" w14:paraId="68DF70F2" w14:textId="77777777" w:rsidTr="00771D4D">
        <w:trPr>
          <w:cantSplit/>
        </w:trPr>
        <w:tc>
          <w:tcPr>
            <w:tcW w:w="0" w:type="auto"/>
            <w:gridSpan w:val="8"/>
            <w:shd w:val="clear" w:color="auto" w:fill="auto"/>
          </w:tcPr>
          <w:p w14:paraId="7C51CAD6" w14:textId="598C92DC" w:rsidR="00F62F64" w:rsidRPr="00C1603D" w:rsidRDefault="00F62F64" w:rsidP="00771D4D">
            <w:pPr>
              <w:pStyle w:val="711TablesubheadATablesTableFigureBoxstyles"/>
              <w:rPr>
                <w:rFonts w:cs="Calibri"/>
              </w:rPr>
            </w:pPr>
            <w:r w:rsidRPr="00C1603D">
              <w:t>Children</w:t>
            </w:r>
          </w:p>
        </w:tc>
      </w:tr>
      <w:tr w:rsidR="00F62F64" w:rsidRPr="00C1603D" w14:paraId="70A19027" w14:textId="77777777" w:rsidTr="00771D4D">
        <w:trPr>
          <w:cantSplit/>
        </w:trPr>
        <w:tc>
          <w:tcPr>
            <w:tcW w:w="0" w:type="auto"/>
            <w:shd w:val="clear" w:color="auto" w:fill="auto"/>
          </w:tcPr>
          <w:p w14:paraId="2B799A41" w14:textId="4B13A65B" w:rsidR="00F62F64" w:rsidRPr="00C1603D" w:rsidRDefault="00F62F64" w:rsidP="00771D4D">
            <w:pPr>
              <w:pStyle w:val="72TabletextTablesTableFigureBoxstyles"/>
              <w:rPr>
                <w:b/>
              </w:rPr>
            </w:pPr>
            <w:r w:rsidRPr="00C1603D">
              <w:t>IgA tTG vs. IgA EMA</w:t>
            </w:r>
          </w:p>
        </w:tc>
        <w:tc>
          <w:tcPr>
            <w:tcW w:w="0" w:type="auto"/>
            <w:shd w:val="clear" w:color="auto" w:fill="auto"/>
          </w:tcPr>
          <w:p w14:paraId="731F81BB" w14:textId="4BE1CA00" w:rsidR="00F62F64" w:rsidRPr="00C1603D" w:rsidRDefault="00F62F64" w:rsidP="00771D4D">
            <w:pPr>
              <w:pStyle w:val="72TabletextTablesTableFigureBoxstyles"/>
            </w:pPr>
            <w:r w:rsidRPr="00C1603D">
              <w:rPr>
                <w:rFonts w:cstheme="minorHAnsi"/>
                <w:szCs w:val="20"/>
              </w:rPr>
              <w:t>16</w:t>
            </w:r>
          </w:p>
        </w:tc>
        <w:tc>
          <w:tcPr>
            <w:tcW w:w="0" w:type="auto"/>
            <w:shd w:val="clear" w:color="auto" w:fill="auto"/>
          </w:tcPr>
          <w:p w14:paraId="1AC0E623" w14:textId="300F2CC8" w:rsidR="00F62F64" w:rsidRPr="00C1603D" w:rsidRDefault="00F62F64" w:rsidP="00771D4D">
            <w:pPr>
              <w:pStyle w:val="72TabletextTablesTableFigureBoxstyles"/>
            </w:pPr>
            <w:r w:rsidRPr="00C1603D">
              <w:rPr>
                <w:rFonts w:cstheme="minorHAnsi"/>
                <w:szCs w:val="20"/>
              </w:rPr>
              <w:t>3021 (1746)</w:t>
            </w:r>
          </w:p>
        </w:tc>
        <w:tc>
          <w:tcPr>
            <w:tcW w:w="0" w:type="auto"/>
            <w:shd w:val="clear" w:color="auto" w:fill="auto"/>
          </w:tcPr>
          <w:p w14:paraId="75498249" w14:textId="77777777" w:rsidR="00F62F64" w:rsidRPr="00C1603D" w:rsidRDefault="00F62F64" w:rsidP="00771D4D">
            <w:pPr>
              <w:pStyle w:val="72TabletextTablesTableFigureBoxstyles"/>
            </w:pPr>
          </w:p>
        </w:tc>
        <w:tc>
          <w:tcPr>
            <w:tcW w:w="0" w:type="auto"/>
            <w:shd w:val="clear" w:color="auto" w:fill="auto"/>
          </w:tcPr>
          <w:p w14:paraId="201825DB" w14:textId="77777777" w:rsidR="00F62F64" w:rsidRPr="00C1603D" w:rsidRDefault="00F62F64" w:rsidP="00771D4D">
            <w:pPr>
              <w:pStyle w:val="72TabletextTablesTableFigureBoxstyles"/>
            </w:pPr>
          </w:p>
        </w:tc>
        <w:tc>
          <w:tcPr>
            <w:tcW w:w="0" w:type="auto"/>
            <w:shd w:val="clear" w:color="auto" w:fill="auto"/>
          </w:tcPr>
          <w:p w14:paraId="5970F56F" w14:textId="77777777" w:rsidR="00F62F64" w:rsidRPr="00C1603D" w:rsidRDefault="00F62F64" w:rsidP="00771D4D">
            <w:pPr>
              <w:pStyle w:val="72TabletextTablesTableFigureBoxstyles"/>
            </w:pPr>
          </w:p>
        </w:tc>
        <w:tc>
          <w:tcPr>
            <w:tcW w:w="0" w:type="auto"/>
            <w:shd w:val="clear" w:color="auto" w:fill="auto"/>
          </w:tcPr>
          <w:p w14:paraId="5D8489F9" w14:textId="77777777" w:rsidR="00F62F64" w:rsidRPr="00C1603D" w:rsidRDefault="00F62F64" w:rsidP="00771D4D">
            <w:pPr>
              <w:pStyle w:val="72TabletextTablesTableFigureBoxstyles"/>
            </w:pPr>
          </w:p>
        </w:tc>
        <w:tc>
          <w:tcPr>
            <w:tcW w:w="0" w:type="auto"/>
            <w:shd w:val="clear" w:color="auto" w:fill="auto"/>
          </w:tcPr>
          <w:p w14:paraId="40AE0FD1" w14:textId="77777777" w:rsidR="00F62F64" w:rsidRPr="00C1603D" w:rsidRDefault="00F62F64" w:rsidP="00771D4D">
            <w:pPr>
              <w:pStyle w:val="72TabletextTablesTableFigureBoxstyles"/>
            </w:pPr>
          </w:p>
        </w:tc>
      </w:tr>
      <w:tr w:rsidR="00F62F64" w:rsidRPr="00C1603D" w14:paraId="2563EF6B" w14:textId="77777777" w:rsidTr="00771D4D">
        <w:trPr>
          <w:cantSplit/>
        </w:trPr>
        <w:tc>
          <w:tcPr>
            <w:tcW w:w="0" w:type="auto"/>
            <w:shd w:val="clear" w:color="auto" w:fill="auto"/>
          </w:tcPr>
          <w:p w14:paraId="6C7A2348" w14:textId="30C77920" w:rsidR="00F62F64" w:rsidRPr="00C1603D" w:rsidRDefault="00F62F64" w:rsidP="00771D4D">
            <w:pPr>
              <w:pStyle w:val="72TabletextTablesTableFigureBoxstyles"/>
              <w:rPr>
                <w:b/>
              </w:rPr>
            </w:pPr>
            <w:r w:rsidRPr="00C1603D">
              <w:tab/>
              <w:t>IgA tTG</w:t>
            </w:r>
          </w:p>
        </w:tc>
        <w:tc>
          <w:tcPr>
            <w:tcW w:w="0" w:type="auto"/>
            <w:shd w:val="clear" w:color="auto" w:fill="auto"/>
          </w:tcPr>
          <w:p w14:paraId="24A86689" w14:textId="77777777" w:rsidR="00F62F64" w:rsidRPr="00C1603D" w:rsidRDefault="00F62F64" w:rsidP="00771D4D">
            <w:pPr>
              <w:pStyle w:val="72TabletextTablesTableFigureBoxstyles"/>
            </w:pPr>
          </w:p>
        </w:tc>
        <w:tc>
          <w:tcPr>
            <w:tcW w:w="0" w:type="auto"/>
            <w:shd w:val="clear" w:color="auto" w:fill="auto"/>
          </w:tcPr>
          <w:p w14:paraId="6B726677" w14:textId="77777777" w:rsidR="00F62F64" w:rsidRPr="00C1603D" w:rsidRDefault="00F62F64" w:rsidP="00771D4D">
            <w:pPr>
              <w:pStyle w:val="72TabletextTablesTableFigureBoxstyles"/>
            </w:pPr>
          </w:p>
        </w:tc>
        <w:tc>
          <w:tcPr>
            <w:tcW w:w="0" w:type="auto"/>
            <w:shd w:val="clear" w:color="auto" w:fill="auto"/>
          </w:tcPr>
          <w:p w14:paraId="1ED1D520" w14:textId="6F837172" w:rsidR="00F62F64" w:rsidRPr="00C1603D" w:rsidRDefault="00F62F64" w:rsidP="00771D4D">
            <w:pPr>
              <w:pStyle w:val="72TabletextTablesTableFigureBoxstyles"/>
            </w:pPr>
            <w:r w:rsidRPr="00C1603D">
              <w:rPr>
                <w:rFonts w:cstheme="minorHAnsi"/>
                <w:szCs w:val="20"/>
              </w:rPr>
              <w:t>5.5</w:t>
            </w:r>
            <w:r w:rsidR="004A697F" w:rsidRPr="00C1603D">
              <w:rPr>
                <w:rFonts w:cstheme="minorHAnsi"/>
                <w:szCs w:val="20"/>
              </w:rPr>
              <w:t>–</w:t>
            </w:r>
            <w:r w:rsidRPr="00C1603D">
              <w:rPr>
                <w:rFonts w:cstheme="minorHAnsi"/>
                <w:szCs w:val="20"/>
              </w:rPr>
              <w:t>21</w:t>
            </w:r>
            <w:r w:rsidR="004A697F" w:rsidRPr="00C1603D">
              <w:rPr>
                <w:rFonts w:cstheme="minorHAnsi"/>
                <w:szCs w:val="20"/>
              </w:rPr>
              <w:t> </w:t>
            </w:r>
            <w:r w:rsidRPr="00C1603D">
              <w:rPr>
                <w:rFonts w:cstheme="minorHAnsi"/>
                <w:szCs w:val="20"/>
              </w:rPr>
              <w:t>U/m</w:t>
            </w:r>
            <w:r w:rsidR="004A697F" w:rsidRPr="00C1603D">
              <w:rPr>
                <w:rFonts w:cstheme="minorHAnsi"/>
                <w:szCs w:val="20"/>
              </w:rPr>
              <w:t>l</w:t>
            </w:r>
          </w:p>
        </w:tc>
        <w:tc>
          <w:tcPr>
            <w:tcW w:w="0" w:type="auto"/>
            <w:shd w:val="clear" w:color="auto" w:fill="auto"/>
          </w:tcPr>
          <w:p w14:paraId="72E9E3B2" w14:textId="5934FCBA" w:rsidR="00F62F64" w:rsidRPr="00C1603D" w:rsidRDefault="00F62F64" w:rsidP="00771D4D">
            <w:pPr>
              <w:pStyle w:val="72TabletextTablesTableFigureBoxstyles"/>
            </w:pPr>
            <w:r w:rsidRPr="00C1603D">
              <w:rPr>
                <w:rFonts w:cstheme="minorHAnsi"/>
                <w:szCs w:val="20"/>
              </w:rPr>
              <w:t>29</w:t>
            </w:r>
            <w:r w:rsidR="004A697F" w:rsidRPr="00C1603D">
              <w:rPr>
                <w:rFonts w:cstheme="minorHAnsi"/>
                <w:szCs w:val="20"/>
              </w:rPr>
              <w:t>–</w:t>
            </w:r>
            <w:r w:rsidRPr="00C1603D">
              <w:rPr>
                <w:rFonts w:cstheme="minorHAnsi"/>
                <w:szCs w:val="20"/>
              </w:rPr>
              <w:t>99</w:t>
            </w:r>
          </w:p>
        </w:tc>
        <w:tc>
          <w:tcPr>
            <w:tcW w:w="0" w:type="auto"/>
            <w:shd w:val="clear" w:color="auto" w:fill="auto"/>
          </w:tcPr>
          <w:p w14:paraId="11D110EA" w14:textId="77777777" w:rsidR="00F62F64" w:rsidRPr="00C1603D" w:rsidRDefault="00F62F64" w:rsidP="00771D4D">
            <w:pPr>
              <w:pStyle w:val="72TabletextTablesTableFigureBoxstyles"/>
            </w:pPr>
          </w:p>
        </w:tc>
        <w:tc>
          <w:tcPr>
            <w:tcW w:w="0" w:type="auto"/>
            <w:shd w:val="clear" w:color="auto" w:fill="auto"/>
          </w:tcPr>
          <w:p w14:paraId="1C828E31" w14:textId="357E8B37" w:rsidR="00F62F64" w:rsidRPr="00C1603D" w:rsidRDefault="00F62F64" w:rsidP="00771D4D">
            <w:pPr>
              <w:pStyle w:val="72TabletextTablesTableFigureBoxstyles"/>
            </w:pPr>
            <w:r w:rsidRPr="00C1603D">
              <w:rPr>
                <w:rFonts w:cstheme="minorHAnsi"/>
                <w:szCs w:val="20"/>
              </w:rPr>
              <w:t>24</w:t>
            </w:r>
            <w:r w:rsidR="004A697F" w:rsidRPr="00C1603D">
              <w:rPr>
                <w:rFonts w:cstheme="minorHAnsi"/>
                <w:szCs w:val="20"/>
              </w:rPr>
              <w:t>–</w:t>
            </w:r>
            <w:r w:rsidRPr="00C1603D">
              <w:rPr>
                <w:rFonts w:cstheme="minorHAnsi"/>
                <w:szCs w:val="20"/>
              </w:rPr>
              <w:t>100</w:t>
            </w:r>
          </w:p>
        </w:tc>
        <w:tc>
          <w:tcPr>
            <w:tcW w:w="0" w:type="auto"/>
            <w:shd w:val="clear" w:color="auto" w:fill="auto"/>
          </w:tcPr>
          <w:p w14:paraId="5795B595" w14:textId="77777777" w:rsidR="00F62F64" w:rsidRPr="00C1603D" w:rsidRDefault="00F62F64" w:rsidP="00771D4D">
            <w:pPr>
              <w:pStyle w:val="72TabletextTablesTableFigureBoxstyles"/>
            </w:pPr>
          </w:p>
        </w:tc>
      </w:tr>
      <w:tr w:rsidR="00F62F64" w:rsidRPr="00C1603D" w14:paraId="1D15D3BE" w14:textId="77777777" w:rsidTr="00771D4D">
        <w:trPr>
          <w:cantSplit/>
        </w:trPr>
        <w:tc>
          <w:tcPr>
            <w:tcW w:w="0" w:type="auto"/>
            <w:shd w:val="clear" w:color="auto" w:fill="auto"/>
          </w:tcPr>
          <w:p w14:paraId="41E27883" w14:textId="6249EED4" w:rsidR="00F62F64" w:rsidRPr="00C1603D" w:rsidRDefault="00F62F64" w:rsidP="00771D4D">
            <w:pPr>
              <w:pStyle w:val="72TabletextTablesTableFigureBoxstyles"/>
              <w:rPr>
                <w:b/>
              </w:rPr>
            </w:pPr>
            <w:r w:rsidRPr="00C1603D">
              <w:tab/>
              <w:t>IgA EMA</w:t>
            </w:r>
          </w:p>
        </w:tc>
        <w:tc>
          <w:tcPr>
            <w:tcW w:w="0" w:type="auto"/>
            <w:shd w:val="clear" w:color="auto" w:fill="auto"/>
          </w:tcPr>
          <w:p w14:paraId="28361CDF" w14:textId="104E4EF4" w:rsidR="00F62F64" w:rsidRPr="00C1603D" w:rsidRDefault="00F62F64" w:rsidP="00771D4D">
            <w:pPr>
              <w:pStyle w:val="72TabletextTablesTableFigureBoxstyles"/>
            </w:pPr>
          </w:p>
        </w:tc>
        <w:tc>
          <w:tcPr>
            <w:tcW w:w="0" w:type="auto"/>
            <w:shd w:val="clear" w:color="auto" w:fill="auto"/>
          </w:tcPr>
          <w:p w14:paraId="3EFE6457" w14:textId="0A2D8B86" w:rsidR="00F62F64" w:rsidRPr="00C1603D" w:rsidRDefault="00F62F64" w:rsidP="00771D4D">
            <w:pPr>
              <w:pStyle w:val="72TabletextTablesTableFigureBoxstyles"/>
            </w:pPr>
          </w:p>
        </w:tc>
        <w:tc>
          <w:tcPr>
            <w:tcW w:w="0" w:type="auto"/>
            <w:shd w:val="clear" w:color="auto" w:fill="auto"/>
          </w:tcPr>
          <w:p w14:paraId="405C2277" w14:textId="4FC8D20E" w:rsidR="00F62F64" w:rsidRPr="00C1603D" w:rsidRDefault="00F62F64" w:rsidP="00771D4D">
            <w:pPr>
              <w:pStyle w:val="72TabletextTablesTableFigureBoxstyles"/>
            </w:pPr>
            <w:r w:rsidRPr="00C1603D">
              <w:rPr>
                <w:rFonts w:cstheme="minorHAnsi"/>
                <w:szCs w:val="20"/>
              </w:rPr>
              <w:t>1</w:t>
            </w:r>
            <w:r w:rsidR="004A697F" w:rsidRPr="00C1603D">
              <w:rPr>
                <w:rFonts w:cstheme="minorHAnsi"/>
                <w:szCs w:val="20"/>
              </w:rPr>
              <w:t> </w:t>
            </w:r>
            <w:r w:rsidRPr="00C1603D">
              <w:rPr>
                <w:rFonts w:cstheme="minorHAnsi"/>
                <w:szCs w:val="20"/>
              </w:rPr>
              <w:t>:</w:t>
            </w:r>
            <w:r w:rsidR="004A697F" w:rsidRPr="00C1603D">
              <w:rPr>
                <w:rFonts w:cstheme="minorHAnsi"/>
                <w:szCs w:val="20"/>
              </w:rPr>
              <w:t> </w:t>
            </w:r>
            <w:r w:rsidRPr="00C1603D">
              <w:rPr>
                <w:rFonts w:cstheme="minorHAnsi"/>
                <w:szCs w:val="20"/>
              </w:rPr>
              <w:t>5</w:t>
            </w:r>
            <w:r w:rsidR="004A697F" w:rsidRPr="00C1603D">
              <w:rPr>
                <w:rFonts w:cstheme="minorHAnsi"/>
                <w:szCs w:val="20"/>
              </w:rPr>
              <w:t>–</w:t>
            </w:r>
            <w:r w:rsidRPr="00C1603D">
              <w:rPr>
                <w:rFonts w:cstheme="minorHAnsi"/>
                <w:szCs w:val="20"/>
              </w:rPr>
              <w:t>1</w:t>
            </w:r>
            <w:r w:rsidR="004A697F" w:rsidRPr="00C1603D">
              <w:rPr>
                <w:rFonts w:cstheme="minorHAnsi"/>
                <w:szCs w:val="20"/>
              </w:rPr>
              <w:t> </w:t>
            </w:r>
            <w:r w:rsidRPr="00C1603D">
              <w:rPr>
                <w:rFonts w:cstheme="minorHAnsi"/>
                <w:szCs w:val="20"/>
              </w:rPr>
              <w:t>:</w:t>
            </w:r>
            <w:r w:rsidR="004A697F" w:rsidRPr="00C1603D">
              <w:rPr>
                <w:rFonts w:cstheme="minorHAnsi"/>
                <w:szCs w:val="20"/>
              </w:rPr>
              <w:t> </w:t>
            </w:r>
            <w:r w:rsidRPr="00C1603D">
              <w:rPr>
                <w:rFonts w:cstheme="minorHAnsi"/>
                <w:szCs w:val="20"/>
              </w:rPr>
              <w:t>10</w:t>
            </w:r>
          </w:p>
        </w:tc>
        <w:tc>
          <w:tcPr>
            <w:tcW w:w="0" w:type="auto"/>
            <w:shd w:val="clear" w:color="auto" w:fill="auto"/>
          </w:tcPr>
          <w:p w14:paraId="29A3064D" w14:textId="1EE59AE2" w:rsidR="00F62F64" w:rsidRPr="00C1603D" w:rsidRDefault="00F62F64" w:rsidP="00771D4D">
            <w:pPr>
              <w:pStyle w:val="72TabletextTablesTableFigureBoxstyles"/>
            </w:pPr>
            <w:r w:rsidRPr="00C1603D">
              <w:rPr>
                <w:rFonts w:cstheme="minorHAnsi"/>
                <w:szCs w:val="20"/>
              </w:rPr>
              <w:t>50</w:t>
            </w:r>
            <w:r w:rsidR="004A697F" w:rsidRPr="00C1603D">
              <w:rPr>
                <w:rFonts w:cstheme="minorHAnsi"/>
                <w:szCs w:val="20"/>
              </w:rPr>
              <w:t>–</w:t>
            </w:r>
            <w:r w:rsidRPr="00C1603D">
              <w:rPr>
                <w:rFonts w:cstheme="minorHAnsi"/>
                <w:szCs w:val="20"/>
              </w:rPr>
              <w:t>100</w:t>
            </w:r>
          </w:p>
        </w:tc>
        <w:tc>
          <w:tcPr>
            <w:tcW w:w="0" w:type="auto"/>
            <w:shd w:val="clear" w:color="auto" w:fill="auto"/>
          </w:tcPr>
          <w:p w14:paraId="6E356DFE" w14:textId="135FCA57" w:rsidR="00F62F64" w:rsidRPr="00C1603D" w:rsidRDefault="00F62F64" w:rsidP="00771D4D">
            <w:pPr>
              <w:pStyle w:val="72TabletextTablesTableFigureBoxstyles"/>
            </w:pPr>
            <w:r w:rsidRPr="00C1603D">
              <w:rPr>
                <w:rFonts w:cstheme="minorHAnsi"/>
                <w:szCs w:val="20"/>
              </w:rPr>
              <w:t>0.91</w:t>
            </w:r>
            <w:r w:rsidR="004A697F" w:rsidRPr="00C1603D">
              <w:rPr>
                <w:rFonts w:cstheme="minorHAnsi"/>
                <w:szCs w:val="20"/>
              </w:rPr>
              <w:t>–</w:t>
            </w:r>
            <w:r w:rsidRPr="00C1603D">
              <w:rPr>
                <w:rFonts w:cstheme="minorHAnsi"/>
                <w:szCs w:val="20"/>
              </w:rPr>
              <w:t>2.25</w:t>
            </w:r>
          </w:p>
        </w:tc>
        <w:tc>
          <w:tcPr>
            <w:tcW w:w="0" w:type="auto"/>
            <w:shd w:val="clear" w:color="auto" w:fill="auto"/>
          </w:tcPr>
          <w:p w14:paraId="12C9A80E" w14:textId="6BDD42A2" w:rsidR="00F62F64" w:rsidRPr="00C1603D" w:rsidRDefault="00F62F64" w:rsidP="00771D4D">
            <w:pPr>
              <w:pStyle w:val="72TabletextTablesTableFigureBoxstyles"/>
            </w:pPr>
            <w:r w:rsidRPr="00C1603D">
              <w:rPr>
                <w:rFonts w:cstheme="minorHAnsi"/>
                <w:szCs w:val="20"/>
              </w:rPr>
              <w:t>29</w:t>
            </w:r>
            <w:r w:rsidR="004A697F" w:rsidRPr="00C1603D">
              <w:rPr>
                <w:rFonts w:cstheme="minorHAnsi"/>
                <w:szCs w:val="20"/>
              </w:rPr>
              <w:t>–</w:t>
            </w:r>
            <w:r w:rsidRPr="00C1603D">
              <w:rPr>
                <w:rFonts w:cstheme="minorHAnsi"/>
                <w:szCs w:val="20"/>
              </w:rPr>
              <w:t>100</w:t>
            </w:r>
          </w:p>
        </w:tc>
        <w:tc>
          <w:tcPr>
            <w:tcW w:w="0" w:type="auto"/>
            <w:shd w:val="clear" w:color="auto" w:fill="auto"/>
          </w:tcPr>
          <w:p w14:paraId="5D40E173" w14:textId="44BC941E" w:rsidR="00F62F64" w:rsidRPr="00C1603D" w:rsidRDefault="00F62F64" w:rsidP="00771D4D">
            <w:pPr>
              <w:pStyle w:val="72TabletextTablesTableFigureBoxstyles"/>
            </w:pPr>
            <w:r w:rsidRPr="00C1603D">
              <w:rPr>
                <w:rFonts w:cstheme="minorHAnsi"/>
                <w:szCs w:val="20"/>
              </w:rPr>
              <w:t>0.76</w:t>
            </w:r>
            <w:r w:rsidR="004A697F" w:rsidRPr="00C1603D">
              <w:rPr>
                <w:rFonts w:cstheme="minorHAnsi"/>
                <w:szCs w:val="20"/>
              </w:rPr>
              <w:t>–</w:t>
            </w:r>
            <w:r w:rsidRPr="00C1603D">
              <w:rPr>
                <w:rFonts w:cstheme="minorHAnsi"/>
                <w:szCs w:val="20"/>
              </w:rPr>
              <w:t>1.25</w:t>
            </w:r>
          </w:p>
        </w:tc>
      </w:tr>
    </w:tbl>
    <w:p w14:paraId="47EF711B" w14:textId="0311961E" w:rsidR="008B4DF8" w:rsidRPr="00C1603D" w:rsidRDefault="008B4DF8" w:rsidP="008B4DF8">
      <w:pPr>
        <w:pStyle w:val="602TextfoTextstylesTextstyles"/>
      </w:pPr>
      <w:r w:rsidRPr="00C1603D">
        <w:t>Other test pairs were compared directly in</w:t>
      </w:r>
      <w:r w:rsidR="00615BE0" w:rsidRPr="00C1603D">
        <w:t xml:space="preserve"> only</w:t>
      </w:r>
      <w:r w:rsidRPr="00C1603D">
        <w:t xml:space="preserve"> three or four studies. IgG DGP an</w:t>
      </w:r>
      <w:r w:rsidR="00615BE0" w:rsidRPr="00C1603D">
        <w:t>d</w:t>
      </w:r>
      <w:r w:rsidRPr="00C1603D">
        <w:t xml:space="preserve"> IgA/IgG DGP </w:t>
      </w:r>
      <w:proofErr w:type="gramStart"/>
      <w:r w:rsidRPr="00C1603D">
        <w:t>appeared</w:t>
      </w:r>
      <w:r w:rsidR="00615BE0" w:rsidRPr="00C1603D">
        <w:t xml:space="preserve"> to be</w:t>
      </w:r>
      <w:proofErr w:type="gramEnd"/>
      <w:r w:rsidRPr="00C1603D">
        <w:t xml:space="preserve"> slightly more sensitive and specific than IgA tTG</w:t>
      </w:r>
      <w:r w:rsidR="00615BE0" w:rsidRPr="00C1603D">
        <w:t>;</w:t>
      </w:r>
      <w:r w:rsidRPr="00C1603D">
        <w:t xml:space="preserve"> however, this difference was much </w:t>
      </w:r>
      <w:r w:rsidRPr="00C1603D">
        <w:lastRenderedPageBreak/>
        <w:t>smaller than indirect comparisons suggested (</w:t>
      </w:r>
      <w:r w:rsidR="001A7C03" w:rsidRPr="00C1603D">
        <w:t xml:space="preserve">see </w:t>
      </w:r>
      <w:r w:rsidRPr="00C1603D">
        <w:rPr>
          <w:i/>
          <w:color w:val="auto"/>
        </w:rPr>
        <w:t xml:space="preserve">Table </w:t>
      </w:r>
      <w:r w:rsidRPr="00C1603D">
        <w:rPr>
          <w:i/>
          <w:noProof/>
          <w:color w:val="auto"/>
        </w:rPr>
        <w:t>10</w:t>
      </w:r>
      <w:r w:rsidRPr="00C1603D">
        <w:rPr>
          <w:noProof/>
          <w:color w:val="auto"/>
        </w:rPr>
        <w:t xml:space="preserve">). </w:t>
      </w:r>
      <w:r w:rsidRPr="00C1603D">
        <w:rPr>
          <w:color w:val="auto"/>
        </w:rPr>
        <w:t xml:space="preserve">This </w:t>
      </w:r>
      <w:r w:rsidRPr="00C1603D">
        <w:t>suggests that studies providing a direct comparison between DGP and other serological tests may be subject to bias, resulting in overestimated accuracy for all tests evaluated in these studies.</w:t>
      </w:r>
    </w:p>
    <w:p w14:paraId="47D2FEB6" w14:textId="595F6108" w:rsidR="008B4DF8" w:rsidRPr="00C1603D" w:rsidRDefault="008B4DF8" w:rsidP="008B4DF8">
      <w:pPr>
        <w:pStyle w:val="602TextfoTextstylesTextstyles"/>
      </w:pPr>
      <w:r w:rsidRPr="00C1603D">
        <w:t xml:space="preserve">A subset of the studies that provided a direct comparison of IgA tTG </w:t>
      </w:r>
      <w:r w:rsidR="001A7C03" w:rsidRPr="00C1603D">
        <w:t>with</w:t>
      </w:r>
      <w:r w:rsidRPr="00C1603D">
        <w:t xml:space="preserve"> IgA EMA also reported data that could be used to estimate the accuracy of these tests when used in combination. We identified six such studies </w:t>
      </w:r>
      <w:r w:rsidR="00E86FC3" w:rsidRPr="00C1603D">
        <w:t>with</w:t>
      </w:r>
      <w:r w:rsidRPr="00C1603D">
        <w:t xml:space="preserve"> adults</w:t>
      </w:r>
      <w:r w:rsidRPr="00C1603D">
        <w:rPr>
          <w:noProof/>
          <w:vertAlign w:val="superscript"/>
        </w:rPr>
        <w:t>81,82,88,90,107,108</w:t>
      </w:r>
      <w:r w:rsidRPr="00C1603D" w:rsidDel="00095E74">
        <w:t xml:space="preserve"> </w:t>
      </w:r>
      <w:r w:rsidRPr="00C1603D">
        <w:t xml:space="preserve">and six </w:t>
      </w:r>
      <w:r w:rsidR="00E86FC3" w:rsidRPr="00C1603D">
        <w:t>with</w:t>
      </w:r>
      <w:r w:rsidRPr="00C1603D">
        <w:t xml:space="preserve"> children.</w:t>
      </w:r>
      <w:r w:rsidRPr="00C1603D">
        <w:rPr>
          <w:noProof/>
          <w:vertAlign w:val="superscript"/>
        </w:rPr>
        <w:t>82,108,121,123,144,145</w:t>
      </w:r>
      <w:r w:rsidRPr="00C1603D">
        <w:t xml:space="preserve"> However, none of these reported accuracy estimates for the same thresholds. We therefore selected the studies that were judged </w:t>
      </w:r>
      <w:r w:rsidR="00AF18C3" w:rsidRPr="00C1603D">
        <w:t xml:space="preserve">to be </w:t>
      </w:r>
      <w:r w:rsidRPr="00C1603D">
        <w:t xml:space="preserve">at lowest risk of bias and that had the largest sample sizes. </w:t>
      </w:r>
      <w:commentRangeStart w:id="279"/>
      <w:commentRangeStart w:id="280"/>
      <w:r w:rsidRPr="00C1603D">
        <w:t xml:space="preserve">These were Hopper </w:t>
      </w:r>
      <w:r w:rsidR="00AF18C3" w:rsidRPr="00C1603D">
        <w:rPr>
          <w:i/>
          <w:iCs/>
        </w:rPr>
        <w:t>et al</w:t>
      </w:r>
      <w:r w:rsidR="00AF18C3" w:rsidRPr="00C1603D">
        <w:t>.</w:t>
      </w:r>
      <w:r w:rsidR="00AF18C3" w:rsidRPr="00C1603D">
        <w:rPr>
          <w:vertAlign w:val="superscript"/>
        </w:rPr>
        <w:t>90</w:t>
      </w:r>
      <w:r w:rsidR="00AF18C3" w:rsidRPr="00C1603D">
        <w:t xml:space="preserve"> </w:t>
      </w:r>
      <w:r w:rsidRPr="00C1603D">
        <w:t>(</w:t>
      </w:r>
      <w:r w:rsidRPr="00C1603D">
        <w:rPr>
          <w:i/>
          <w:color w:val="00B0F0"/>
        </w:rPr>
        <w:t>n</w:t>
      </w:r>
      <w:r w:rsidRPr="00C1603D">
        <w:rPr>
          <w:color w:val="00B0F0"/>
        </w:rPr>
        <w:t> = </w:t>
      </w:r>
      <w:r w:rsidRPr="00C1603D">
        <w:t>2000 adults</w:t>
      </w:r>
      <w:r w:rsidR="00AF18C3" w:rsidRPr="00C1603D">
        <w:t>)</w:t>
      </w:r>
      <w:r w:rsidRPr="00C1603D">
        <w:t xml:space="preserve"> and Wolf</w:t>
      </w:r>
      <w:r w:rsidR="00AF18C3" w:rsidRPr="00C1603D">
        <w:t xml:space="preserve"> </w:t>
      </w:r>
      <w:r w:rsidR="00AF18C3" w:rsidRPr="00C1603D">
        <w:rPr>
          <w:i/>
          <w:iCs/>
        </w:rPr>
        <w:t>et al</w:t>
      </w:r>
      <w:r w:rsidR="00AF18C3" w:rsidRPr="00C1603D">
        <w:t>.</w:t>
      </w:r>
      <w:r w:rsidR="00AF18C3" w:rsidRPr="00C1603D">
        <w:rPr>
          <w:vertAlign w:val="superscript"/>
        </w:rPr>
        <w:t>121</w:t>
      </w:r>
      <w:r w:rsidRPr="00C1603D">
        <w:t xml:space="preserve"> (</w:t>
      </w:r>
      <w:r w:rsidRPr="00C1603D">
        <w:rPr>
          <w:i/>
          <w:color w:val="00B0F0"/>
        </w:rPr>
        <w:t>n</w:t>
      </w:r>
      <w:r w:rsidRPr="00C1603D">
        <w:rPr>
          <w:color w:val="00B0F0"/>
        </w:rPr>
        <w:t> = </w:t>
      </w:r>
      <w:r w:rsidRPr="00C1603D">
        <w:t>949</w:t>
      </w:r>
      <w:r w:rsidR="00AF18C3" w:rsidRPr="00C1603D">
        <w:t xml:space="preserve"> </w:t>
      </w:r>
      <w:r w:rsidRPr="00C1603D">
        <w:t>children</w:t>
      </w:r>
      <w:r w:rsidR="00077007" w:rsidRPr="00C1603D">
        <w:t xml:space="preserve">, </w:t>
      </w:r>
      <w:r w:rsidR="00AF18C3" w:rsidRPr="00C1603D">
        <w:t>)</w:t>
      </w:r>
      <w:commentRangeEnd w:id="279"/>
      <w:r w:rsidR="00952FC5" w:rsidRPr="00C1603D">
        <w:commentReference w:id="279"/>
      </w:r>
      <w:commentRangeEnd w:id="280"/>
      <w:r w:rsidRPr="00C1603D">
        <w:commentReference w:id="280"/>
      </w:r>
      <w:r w:rsidRPr="00C1603D">
        <w:t xml:space="preserve">. Wolf </w:t>
      </w:r>
      <w:r w:rsidR="00AF18C3" w:rsidRPr="00C1603D">
        <w:rPr>
          <w:i/>
          <w:iCs/>
        </w:rPr>
        <w:t>et al</w:t>
      </w:r>
      <w:r w:rsidR="00AF18C3" w:rsidRPr="00C1603D">
        <w:t>.</w:t>
      </w:r>
      <w:r w:rsidR="00AF18C3" w:rsidRPr="00C1603D">
        <w:rPr>
          <w:vertAlign w:val="superscript"/>
        </w:rPr>
        <w:t>121</w:t>
      </w:r>
      <w:r w:rsidR="00AF18C3" w:rsidRPr="00C1603D">
        <w:t xml:space="preserve"> </w:t>
      </w:r>
      <w:r w:rsidRPr="00C1603D">
        <w:t>was judged</w:t>
      </w:r>
      <w:r w:rsidR="00AF18C3" w:rsidRPr="00C1603D">
        <w:t xml:space="preserve"> to be</w:t>
      </w:r>
      <w:r w:rsidRPr="00C1603D">
        <w:t xml:space="preserve"> at </w:t>
      </w:r>
      <w:proofErr w:type="gramStart"/>
      <w:r w:rsidRPr="00C1603D">
        <w:t>low risk</w:t>
      </w:r>
      <w:proofErr w:type="gramEnd"/>
      <w:r w:rsidRPr="00C1603D">
        <w:t xml:space="preserve"> of bias for all domains; Hopper </w:t>
      </w:r>
      <w:r w:rsidR="00AF18C3" w:rsidRPr="00C1603D">
        <w:rPr>
          <w:i/>
          <w:iCs/>
        </w:rPr>
        <w:t>et al</w:t>
      </w:r>
      <w:r w:rsidR="00AF18C3" w:rsidRPr="00C1603D">
        <w:t>.</w:t>
      </w:r>
      <w:r w:rsidR="00AF18C3" w:rsidRPr="00C1603D">
        <w:rPr>
          <w:vertAlign w:val="superscript"/>
        </w:rPr>
        <w:t>90</w:t>
      </w:r>
      <w:r w:rsidR="00AF18C3" w:rsidRPr="00C1603D">
        <w:t xml:space="preserve"> </w:t>
      </w:r>
      <w:r w:rsidRPr="00C1603D">
        <w:t xml:space="preserve">was </w:t>
      </w:r>
      <w:r w:rsidR="00AF18C3" w:rsidRPr="00C1603D">
        <w:t xml:space="preserve">judged to be </w:t>
      </w:r>
      <w:r w:rsidRPr="00C1603D">
        <w:t xml:space="preserve">at low risk of bias for all domains except the reference standard domain, as it was unclear whether </w:t>
      </w:r>
      <w:r w:rsidR="00AF18C3" w:rsidRPr="00C1603D">
        <w:t>or not t</w:t>
      </w:r>
      <w:r w:rsidRPr="00C1603D">
        <w:t xml:space="preserve">he reference standard results were interpreted without knowledge of the index test results. We consider these studies to provide the most reliable comparative estimates of the accuracy </w:t>
      </w:r>
      <w:r w:rsidR="00AF18C3" w:rsidRPr="00C1603D">
        <w:t>of</w:t>
      </w:r>
      <w:r w:rsidRPr="00C1603D">
        <w:t xml:space="preserve"> IgA tTG and IgA EMA, alone and in combination, </w:t>
      </w:r>
      <w:r w:rsidR="00AF18C3" w:rsidRPr="00C1603D">
        <w:t>among</w:t>
      </w:r>
      <w:r w:rsidRPr="00C1603D">
        <w:t xml:space="preserve"> adults and </w:t>
      </w:r>
      <w:r w:rsidR="00AF18C3" w:rsidRPr="00C1603D">
        <w:t>among</w:t>
      </w:r>
      <w:r w:rsidRPr="00C1603D">
        <w:t xml:space="preserve"> children. </w:t>
      </w:r>
      <w:r w:rsidRPr="00C1603D">
        <w:rPr>
          <w:i/>
          <w:color w:val="FF0000"/>
        </w:rPr>
        <w:t xml:space="preserve">Table </w:t>
      </w:r>
      <w:r w:rsidRPr="00C1603D">
        <w:rPr>
          <w:i/>
          <w:noProof/>
          <w:color w:val="FF0000"/>
        </w:rPr>
        <w:t>11</w:t>
      </w:r>
      <w:r w:rsidRPr="00C1603D">
        <w:t xml:space="preserve"> summarises the accuracy data from these studies; </w:t>
      </w:r>
      <w:commentRangeStart w:id="281"/>
      <w:commentRangeStart w:id="282"/>
      <w:r w:rsidRPr="00C1603D">
        <w:t>these estimates of accuracy were selected for inclusion in the economic model (</w:t>
      </w:r>
      <w:r w:rsidR="00AF18C3" w:rsidRPr="00C1603D">
        <w:t xml:space="preserve">see </w:t>
      </w:r>
      <w:r w:rsidRPr="00C1603D">
        <w:rPr>
          <w:i/>
          <w:iCs/>
        </w:rPr>
        <w:t>Chapter 8</w:t>
      </w:r>
      <w:r w:rsidRPr="00C1603D">
        <w:t xml:space="preserve">). </w:t>
      </w:r>
      <w:commentRangeEnd w:id="281"/>
      <w:r w:rsidR="00AF18C3" w:rsidRPr="00C1603D">
        <w:commentReference w:id="281"/>
      </w:r>
      <w:commentRangeEnd w:id="282"/>
      <w:r w:rsidRPr="00C1603D">
        <w:commentReference w:id="282"/>
      </w:r>
      <w:r w:rsidR="00C321E4" w:rsidRPr="00C1603D">
        <w:t>Among</w:t>
      </w:r>
      <w:r w:rsidRPr="00C1603D">
        <w:t xml:space="preserve"> both adults and children, </w:t>
      </w:r>
      <w:r w:rsidR="00C321E4" w:rsidRPr="00C1603D">
        <w:t xml:space="preserve">the </w:t>
      </w:r>
      <w:r w:rsidRPr="00C1603D">
        <w:t>IgA tTG</w:t>
      </w:r>
      <w:r w:rsidR="00C321E4" w:rsidRPr="00C1603D">
        <w:t xml:space="preserve"> test</w:t>
      </w:r>
      <w:r w:rsidRPr="00C1603D">
        <w:t xml:space="preserve"> had the highest sensitivity, although estimates </w:t>
      </w:r>
      <w:r w:rsidR="00C321E4" w:rsidRPr="00C1603D">
        <w:t>among</w:t>
      </w:r>
      <w:r w:rsidRPr="00C1603D">
        <w:t xml:space="preserve"> children were </w:t>
      </w:r>
      <w:proofErr w:type="gramStart"/>
      <w:r w:rsidRPr="00C1603D">
        <w:t>very similar</w:t>
      </w:r>
      <w:proofErr w:type="gramEnd"/>
      <w:r w:rsidRPr="00C1603D">
        <w:t xml:space="preserve">, and </w:t>
      </w:r>
      <w:r w:rsidR="00771D4D" w:rsidRPr="00C1603D">
        <w:t xml:space="preserve">the IgA </w:t>
      </w:r>
      <w:r w:rsidRPr="00C1603D">
        <w:t>EMA</w:t>
      </w:r>
      <w:r w:rsidR="00771D4D" w:rsidRPr="00C1603D">
        <w:t xml:space="preserve"> test</w:t>
      </w:r>
      <w:r w:rsidRPr="00C1603D">
        <w:t xml:space="preserve"> had the highest specificity. There was </w:t>
      </w:r>
      <w:proofErr w:type="gramStart"/>
      <w:r w:rsidRPr="00C1603D">
        <w:t>little improvement</w:t>
      </w:r>
      <w:proofErr w:type="gramEnd"/>
      <w:r w:rsidRPr="00C1603D">
        <w:t xml:space="preserve"> in either sensitivity or specificity when the tests were used in combination. Despite thresholds being the same as those used in the meta-analyses for the individual tTG and EMA tests, there were minor differences between estimates from these studies and summary estimates when all studies that reported at the same thresholds were pooled (</w:t>
      </w:r>
      <w:r w:rsidRPr="00C1603D">
        <w:rPr>
          <w:i/>
          <w:color w:val="FF0000"/>
        </w:rPr>
        <w:t xml:space="preserve">Table </w:t>
      </w:r>
      <w:r w:rsidRPr="00C1603D">
        <w:rPr>
          <w:i/>
          <w:noProof/>
          <w:color w:val="FF0000"/>
        </w:rPr>
        <w:t>12</w:t>
      </w:r>
      <w:r w:rsidRPr="00C1603D">
        <w:t>).</w:t>
      </w:r>
    </w:p>
    <w:p w14:paraId="04826729" w14:textId="77777777" w:rsidR="008B4DF8" w:rsidRPr="00C1603D" w:rsidRDefault="008B4DF8" w:rsidP="008B4DF8">
      <w:pPr>
        <w:pStyle w:val="70TablelegendTablesTableFigureBoxstyles"/>
      </w:pPr>
      <w:bookmarkStart w:id="283" w:name="_Toc99720722"/>
      <w:r w:rsidRPr="00C1603D">
        <w:rPr>
          <w:b/>
        </w:rPr>
        <w:t>TABLE 11</w:t>
      </w:r>
      <w:r w:rsidRPr="00C1603D">
        <w:rPr>
          <w:b/>
        </w:rPr>
        <w:t> </w:t>
      </w:r>
      <w:r w:rsidRPr="00C1603D">
        <w:t>Estimates of accuracy for the two selected studies that provided information on the accuracy of the tests when used in combination</w:t>
      </w:r>
      <w:bookmarkEnd w:id="283"/>
    </w:p>
    <w:tbl>
      <w:tblPr>
        <w:tblW w:w="0" w:type="auto"/>
        <w:tblCellMar>
          <w:top w:w="40" w:type="dxa"/>
          <w:left w:w="60" w:type="dxa"/>
          <w:bottom w:w="40" w:type="dxa"/>
          <w:right w:w="60" w:type="dxa"/>
        </w:tblCellMar>
        <w:tblLook w:val="04A0" w:firstRow="1" w:lastRow="0" w:firstColumn="1" w:lastColumn="0" w:noHBand="0" w:noVBand="1"/>
      </w:tblPr>
      <w:tblGrid>
        <w:gridCol w:w="669"/>
        <w:gridCol w:w="933"/>
        <w:gridCol w:w="3443"/>
        <w:gridCol w:w="686"/>
        <w:gridCol w:w="865"/>
        <w:gridCol w:w="1532"/>
        <w:gridCol w:w="898"/>
      </w:tblGrid>
      <w:tr w:rsidR="00C31D1A" w:rsidRPr="00C1603D" w14:paraId="6D0EF845" w14:textId="77777777" w:rsidTr="005042E9">
        <w:trPr>
          <w:cantSplit/>
        </w:trPr>
        <w:tc>
          <w:tcPr>
            <w:tcW w:w="0" w:type="auto"/>
            <w:shd w:val="clear" w:color="auto" w:fill="auto"/>
          </w:tcPr>
          <w:p w14:paraId="19BC379C" w14:textId="77777777" w:rsidR="008B4DF8" w:rsidRPr="00C1603D" w:rsidRDefault="008B4DF8" w:rsidP="005042E9">
            <w:pPr>
              <w:pStyle w:val="710TableheadTablesTableFigureBoxstyles"/>
            </w:pPr>
            <w:r w:rsidRPr="00C1603D">
              <w:t>Study</w:t>
            </w:r>
          </w:p>
        </w:tc>
        <w:tc>
          <w:tcPr>
            <w:tcW w:w="0" w:type="auto"/>
            <w:shd w:val="clear" w:color="auto" w:fill="auto"/>
          </w:tcPr>
          <w:p w14:paraId="64AE197C" w14:textId="77777777" w:rsidR="008B4DF8" w:rsidRPr="00C1603D" w:rsidRDefault="008B4DF8" w:rsidP="005042E9">
            <w:pPr>
              <w:pStyle w:val="710TableheadTablesTableFigureBoxstyles"/>
              <w:rPr>
                <w:color w:val="000000"/>
              </w:rPr>
            </w:pPr>
            <w:r w:rsidRPr="00C1603D">
              <w:t>Population</w:t>
            </w:r>
          </w:p>
        </w:tc>
        <w:tc>
          <w:tcPr>
            <w:tcW w:w="0" w:type="auto"/>
            <w:shd w:val="clear" w:color="auto" w:fill="auto"/>
          </w:tcPr>
          <w:p w14:paraId="0614A4A2" w14:textId="38A38D34" w:rsidR="008B4DF8" w:rsidRPr="00C1603D" w:rsidRDefault="00952FC5" w:rsidP="005042E9">
            <w:pPr>
              <w:pStyle w:val="710TableheadTablesTableFigureBoxstyles"/>
            </w:pPr>
            <w:r w:rsidRPr="00C1603D">
              <w:t xml:space="preserve">Participants </w:t>
            </w:r>
            <w:r w:rsidR="00400234" w:rsidRPr="00C1603D">
              <w:t xml:space="preserve">with complete data </w:t>
            </w:r>
            <w:r w:rsidRPr="00C1603D">
              <w:t>(</w:t>
            </w:r>
            <w:r w:rsidRPr="00C1603D">
              <w:rPr>
                <w:i/>
                <w:iCs/>
              </w:rPr>
              <w:t>n</w:t>
            </w:r>
            <w:r w:rsidRPr="00C1603D">
              <w:t>)</w:t>
            </w:r>
          </w:p>
        </w:tc>
        <w:tc>
          <w:tcPr>
            <w:tcW w:w="0" w:type="auto"/>
            <w:shd w:val="clear" w:color="auto" w:fill="auto"/>
          </w:tcPr>
          <w:p w14:paraId="60FC949F" w14:textId="77777777" w:rsidR="008B4DF8" w:rsidRPr="00C1603D" w:rsidRDefault="008B4DF8" w:rsidP="005042E9">
            <w:pPr>
              <w:pStyle w:val="710TableheadTablesTableFigureBoxstyles"/>
            </w:pPr>
            <w:r w:rsidRPr="00C1603D">
              <w:t>Test</w:t>
            </w:r>
          </w:p>
        </w:tc>
        <w:tc>
          <w:tcPr>
            <w:tcW w:w="0" w:type="auto"/>
            <w:shd w:val="clear" w:color="auto" w:fill="auto"/>
          </w:tcPr>
          <w:p w14:paraId="54DE7353" w14:textId="77777777" w:rsidR="008B4DF8" w:rsidRPr="00C1603D" w:rsidRDefault="008B4DF8" w:rsidP="005042E9">
            <w:pPr>
              <w:pStyle w:val="710TableheadTablesTableFigureBoxstyles"/>
            </w:pPr>
            <w:r w:rsidRPr="00C1603D">
              <w:t>Threshold</w:t>
            </w:r>
          </w:p>
        </w:tc>
        <w:tc>
          <w:tcPr>
            <w:tcW w:w="0" w:type="auto"/>
            <w:shd w:val="clear" w:color="auto" w:fill="auto"/>
          </w:tcPr>
          <w:p w14:paraId="74FB0FA4" w14:textId="1C1E474D" w:rsidR="008B4DF8" w:rsidRPr="00C1603D" w:rsidRDefault="008B4DF8" w:rsidP="005042E9">
            <w:pPr>
              <w:pStyle w:val="710TableheadTablesTableFigureBoxstyles"/>
            </w:pPr>
            <w:r w:rsidRPr="00C1603D">
              <w:t>Sensitivity</w:t>
            </w:r>
            <w:r w:rsidR="00D02CF3" w:rsidRPr="00C1603D">
              <w:t xml:space="preserve"> (95% CI)</w:t>
            </w:r>
            <w:r w:rsidRPr="00C1603D">
              <w:t xml:space="preserve"> (%)</w:t>
            </w:r>
          </w:p>
        </w:tc>
        <w:tc>
          <w:tcPr>
            <w:tcW w:w="0" w:type="auto"/>
            <w:shd w:val="clear" w:color="auto" w:fill="auto"/>
          </w:tcPr>
          <w:p w14:paraId="5E93F446" w14:textId="6743F84A" w:rsidR="008B4DF8" w:rsidRPr="00C1603D" w:rsidRDefault="008B4DF8" w:rsidP="005042E9">
            <w:pPr>
              <w:pStyle w:val="710TableheadTablesTableFigureBoxstyles"/>
            </w:pPr>
            <w:r w:rsidRPr="00C1603D">
              <w:t xml:space="preserve">Specificity </w:t>
            </w:r>
            <w:r w:rsidR="00D02CF3" w:rsidRPr="00C1603D">
              <w:t xml:space="preserve">(95% CI) </w:t>
            </w:r>
            <w:r w:rsidRPr="00C1603D">
              <w:t>(%)</w:t>
            </w:r>
          </w:p>
        </w:tc>
      </w:tr>
      <w:tr w:rsidR="00C31D1A" w:rsidRPr="00C1603D" w14:paraId="551A7E87" w14:textId="77777777" w:rsidTr="005042E9">
        <w:trPr>
          <w:cantSplit/>
        </w:trPr>
        <w:tc>
          <w:tcPr>
            <w:tcW w:w="0" w:type="auto"/>
            <w:vMerge w:val="restart"/>
            <w:shd w:val="clear" w:color="auto" w:fill="auto"/>
          </w:tcPr>
          <w:p w14:paraId="72575CE9" w14:textId="1B3F41F6" w:rsidR="008B4DF8" w:rsidRPr="00C1603D" w:rsidRDefault="008B4DF8" w:rsidP="005042E9">
            <w:pPr>
              <w:pStyle w:val="72TabletextTablesTableFigureBoxstyles"/>
            </w:pPr>
            <w:r w:rsidRPr="00C1603D">
              <w:t>Hopper</w:t>
            </w:r>
            <w:r w:rsidR="00771D4D" w:rsidRPr="00C1603D">
              <w:t xml:space="preserve"> </w:t>
            </w:r>
            <w:r w:rsidR="00771D4D" w:rsidRPr="00C1603D">
              <w:rPr>
                <w:i/>
                <w:iCs/>
              </w:rPr>
              <w:t>et al</w:t>
            </w:r>
            <w:r w:rsidR="00771D4D" w:rsidRPr="00C1603D">
              <w:t>.</w:t>
            </w:r>
            <w:r w:rsidR="00771D4D" w:rsidRPr="00C1603D">
              <w:rPr>
                <w:vertAlign w:val="superscript"/>
              </w:rPr>
              <w:t>90</w:t>
            </w:r>
            <w:r w:rsidRPr="00C1603D">
              <w:t xml:space="preserve"> 2008</w:t>
            </w:r>
          </w:p>
        </w:tc>
        <w:tc>
          <w:tcPr>
            <w:tcW w:w="0" w:type="auto"/>
            <w:vMerge w:val="restart"/>
            <w:shd w:val="clear" w:color="auto" w:fill="auto"/>
          </w:tcPr>
          <w:p w14:paraId="1C943B93" w14:textId="77777777" w:rsidR="008B4DF8" w:rsidRPr="00C1603D" w:rsidRDefault="008B4DF8" w:rsidP="005042E9">
            <w:pPr>
              <w:pStyle w:val="72TabletextTablesTableFigureBoxstyles"/>
            </w:pPr>
            <w:r w:rsidRPr="00C1603D">
              <w:t>Adults</w:t>
            </w:r>
          </w:p>
        </w:tc>
        <w:tc>
          <w:tcPr>
            <w:tcW w:w="0" w:type="auto"/>
            <w:vMerge w:val="restart"/>
            <w:shd w:val="clear" w:color="auto" w:fill="auto"/>
          </w:tcPr>
          <w:p w14:paraId="7DBE43A6" w14:textId="59B7FAF5" w:rsidR="008B4DF8" w:rsidRPr="00C1603D" w:rsidRDefault="00C31D1A" w:rsidP="005042E9">
            <w:pPr>
              <w:pStyle w:val="72TabletextTablesTableFigureBoxstyles"/>
            </w:pPr>
            <w:commentRangeStart w:id="284"/>
            <w:commentRangeStart w:id="285"/>
            <w:commentRangeStart w:id="286"/>
            <w:commentRangeStart w:id="287"/>
            <w:commentRangeStart w:id="288"/>
            <w:r w:rsidRPr="00C1603D">
              <w:t>2000</w:t>
            </w:r>
            <w:commentRangeEnd w:id="284"/>
            <w:r w:rsidR="003D216C" w:rsidRPr="00C1603D">
              <w:commentReference w:id="284"/>
            </w:r>
            <w:commentRangeEnd w:id="285"/>
            <w:r w:rsidR="003D216C" w:rsidRPr="00C1603D">
              <w:commentReference w:id="285"/>
            </w:r>
            <w:commentRangeEnd w:id="286"/>
            <w:r w:rsidR="003D216C" w:rsidRPr="00C1603D">
              <w:commentReference w:id="286"/>
            </w:r>
            <w:commentRangeEnd w:id="287"/>
            <w:r w:rsidR="003D216C" w:rsidRPr="00C1603D">
              <w:commentReference w:id="287"/>
            </w:r>
            <w:commentRangeEnd w:id="288"/>
            <w:r w:rsidR="003D216C" w:rsidRPr="00C1603D">
              <w:commentReference w:id="288"/>
            </w:r>
          </w:p>
        </w:tc>
        <w:tc>
          <w:tcPr>
            <w:tcW w:w="0" w:type="auto"/>
            <w:shd w:val="clear" w:color="auto" w:fill="auto"/>
          </w:tcPr>
          <w:p w14:paraId="073641ED" w14:textId="2640D569" w:rsidR="008B4DF8" w:rsidRPr="00C1603D" w:rsidRDefault="008B4DF8" w:rsidP="005042E9">
            <w:pPr>
              <w:pStyle w:val="72TabletextTablesTableFigureBoxstyles"/>
            </w:pPr>
            <w:r w:rsidRPr="00C1603D">
              <w:t xml:space="preserve">Both </w:t>
            </w:r>
            <w:r w:rsidR="00D40C7B" w:rsidRPr="00C1603D">
              <w:t>p</w:t>
            </w:r>
            <w:r w:rsidRPr="00C1603D">
              <w:t>ositive</w:t>
            </w:r>
          </w:p>
        </w:tc>
        <w:tc>
          <w:tcPr>
            <w:tcW w:w="0" w:type="auto"/>
            <w:shd w:val="clear" w:color="auto" w:fill="auto"/>
          </w:tcPr>
          <w:p w14:paraId="12A85A1E" w14:textId="300B192F" w:rsidR="008B4DF8" w:rsidRPr="00C1603D" w:rsidRDefault="485719AF" w:rsidP="003D216C">
            <w:pPr>
              <w:pStyle w:val="722TablebulletlistTablesTableFigureBoxstyles"/>
            </w:pPr>
            <w:r w:rsidRPr="00C1603D">
              <w:t>15 U/ml (tTG)</w:t>
            </w:r>
          </w:p>
          <w:p w14:paraId="478BD612" w14:textId="33241285" w:rsidR="008B4DF8" w:rsidRPr="00C1603D" w:rsidRDefault="485719AF" w:rsidP="003D216C">
            <w:pPr>
              <w:pStyle w:val="722TablebulletlistTablesTableFigureBoxstyles"/>
            </w:pPr>
            <w:r w:rsidRPr="00C1603D">
              <w:t>1</w:t>
            </w:r>
            <w:r w:rsidR="003D216C" w:rsidRPr="00C1603D">
              <w:t> </w:t>
            </w:r>
            <w:r w:rsidRPr="00C1603D">
              <w:t>:</w:t>
            </w:r>
            <w:r w:rsidR="003D216C" w:rsidRPr="00C1603D">
              <w:t> </w:t>
            </w:r>
            <w:r w:rsidRPr="00C1603D">
              <w:t>4 (EMA)</w:t>
            </w:r>
          </w:p>
        </w:tc>
        <w:tc>
          <w:tcPr>
            <w:tcW w:w="0" w:type="auto"/>
            <w:shd w:val="clear" w:color="auto" w:fill="auto"/>
          </w:tcPr>
          <w:p w14:paraId="5AA05A7D" w14:textId="5017D785" w:rsidR="008B4DF8" w:rsidRPr="00C1603D" w:rsidRDefault="008B4DF8" w:rsidP="005042E9">
            <w:pPr>
              <w:pStyle w:val="72TabletextTablesTableFigureBoxstyles"/>
            </w:pPr>
            <w:commentRangeStart w:id="289"/>
            <w:commentRangeStart w:id="290"/>
            <w:r w:rsidRPr="00C1603D">
              <w:t>86 (76</w:t>
            </w:r>
            <w:r w:rsidR="00D02CF3" w:rsidRPr="00C1603D">
              <w:t xml:space="preserve"> to</w:t>
            </w:r>
            <w:r w:rsidRPr="00C1603D">
              <w:t xml:space="preserve"> 92)</w:t>
            </w:r>
            <w:commentRangeEnd w:id="289"/>
            <w:r w:rsidR="005042E9" w:rsidRPr="00C1603D">
              <w:commentReference w:id="289"/>
            </w:r>
            <w:commentRangeEnd w:id="290"/>
            <w:r w:rsidRPr="00C1603D">
              <w:commentReference w:id="290"/>
            </w:r>
          </w:p>
        </w:tc>
        <w:tc>
          <w:tcPr>
            <w:tcW w:w="0" w:type="auto"/>
            <w:shd w:val="clear" w:color="auto" w:fill="auto"/>
          </w:tcPr>
          <w:p w14:paraId="54BC411B" w14:textId="60865DF9" w:rsidR="008B4DF8" w:rsidRPr="00C1603D" w:rsidRDefault="008B4DF8" w:rsidP="005042E9">
            <w:pPr>
              <w:pStyle w:val="72TabletextTablesTableFigureBoxstyles"/>
            </w:pPr>
            <w:r w:rsidRPr="00C1603D">
              <w:t>99 (98</w:t>
            </w:r>
            <w:r w:rsidR="00D02CF3" w:rsidRPr="00C1603D">
              <w:t xml:space="preserve"> to</w:t>
            </w:r>
            <w:r w:rsidRPr="00C1603D">
              <w:t xml:space="preserve"> 99)</w:t>
            </w:r>
          </w:p>
        </w:tc>
      </w:tr>
      <w:tr w:rsidR="00C31D1A" w:rsidRPr="00C1603D" w14:paraId="3318C629" w14:textId="77777777" w:rsidTr="50A8A885">
        <w:trPr>
          <w:cantSplit/>
        </w:trPr>
        <w:tc>
          <w:tcPr>
            <w:tcW w:w="0" w:type="auto"/>
            <w:vMerge/>
          </w:tcPr>
          <w:p w14:paraId="7474D316" w14:textId="77777777" w:rsidR="008B4DF8" w:rsidRPr="00C1603D" w:rsidRDefault="008B4DF8" w:rsidP="005042E9">
            <w:pPr>
              <w:pStyle w:val="72TabletextTablesTableFigureBoxstyles"/>
            </w:pPr>
          </w:p>
        </w:tc>
        <w:tc>
          <w:tcPr>
            <w:tcW w:w="0" w:type="auto"/>
            <w:vMerge/>
          </w:tcPr>
          <w:p w14:paraId="40D2EF39" w14:textId="77777777" w:rsidR="008B4DF8" w:rsidRPr="00C1603D" w:rsidRDefault="008B4DF8" w:rsidP="005042E9">
            <w:pPr>
              <w:pStyle w:val="72TabletextTablesTableFigureBoxstyles"/>
            </w:pPr>
          </w:p>
        </w:tc>
        <w:tc>
          <w:tcPr>
            <w:tcW w:w="0" w:type="auto"/>
            <w:vMerge/>
          </w:tcPr>
          <w:p w14:paraId="77303DD6" w14:textId="77777777" w:rsidR="008B4DF8" w:rsidRPr="00C1603D" w:rsidRDefault="008B4DF8" w:rsidP="005042E9">
            <w:pPr>
              <w:pStyle w:val="72TabletextTablesTableFigureBoxstyles"/>
            </w:pPr>
          </w:p>
        </w:tc>
        <w:tc>
          <w:tcPr>
            <w:tcW w:w="0" w:type="auto"/>
            <w:shd w:val="clear" w:color="auto" w:fill="auto"/>
          </w:tcPr>
          <w:p w14:paraId="10C13CAC" w14:textId="77777777" w:rsidR="008B4DF8" w:rsidRPr="00C1603D" w:rsidRDefault="008B4DF8" w:rsidP="005042E9">
            <w:pPr>
              <w:pStyle w:val="72TabletextTablesTableFigureBoxstyles"/>
            </w:pPr>
            <w:r w:rsidRPr="00C1603D">
              <w:t>Either positive</w:t>
            </w:r>
          </w:p>
        </w:tc>
        <w:tc>
          <w:tcPr>
            <w:tcW w:w="0" w:type="auto"/>
            <w:shd w:val="clear" w:color="auto" w:fill="auto"/>
          </w:tcPr>
          <w:p w14:paraId="397DABBA" w14:textId="09E73C34" w:rsidR="008B4DF8" w:rsidRPr="00C1603D" w:rsidRDefault="485719AF" w:rsidP="003D216C">
            <w:pPr>
              <w:pStyle w:val="722TablebulletlistTablesTableFigureBoxstyles"/>
            </w:pPr>
            <w:r w:rsidRPr="00C1603D">
              <w:t>15 U/ml (tTG)</w:t>
            </w:r>
          </w:p>
          <w:p w14:paraId="604144C2" w14:textId="4B25FA3D" w:rsidR="008B4DF8" w:rsidRPr="00C1603D" w:rsidRDefault="485719AF" w:rsidP="003D216C">
            <w:pPr>
              <w:pStyle w:val="722TablebulletlistTablesTableFigureBoxstyles"/>
            </w:pPr>
            <w:r w:rsidRPr="00C1603D">
              <w:t>1</w:t>
            </w:r>
            <w:r w:rsidR="003D216C" w:rsidRPr="00C1603D">
              <w:t> </w:t>
            </w:r>
            <w:r w:rsidRPr="00C1603D">
              <w:t>:</w:t>
            </w:r>
            <w:r w:rsidR="003D216C" w:rsidRPr="00C1603D">
              <w:t> </w:t>
            </w:r>
            <w:r w:rsidRPr="00C1603D">
              <w:t>4 (EMA)</w:t>
            </w:r>
          </w:p>
        </w:tc>
        <w:tc>
          <w:tcPr>
            <w:tcW w:w="0" w:type="auto"/>
            <w:shd w:val="clear" w:color="auto" w:fill="auto"/>
          </w:tcPr>
          <w:p w14:paraId="42F7C21C" w14:textId="5B5A1FFB" w:rsidR="008B4DF8" w:rsidRPr="00C1603D" w:rsidRDefault="008B4DF8" w:rsidP="005042E9">
            <w:pPr>
              <w:pStyle w:val="72TabletextTablesTableFigureBoxstyles"/>
            </w:pPr>
            <w:r w:rsidRPr="00C1603D">
              <w:t>92 (84</w:t>
            </w:r>
            <w:r w:rsidR="00D02CF3" w:rsidRPr="00C1603D">
              <w:t xml:space="preserve"> to</w:t>
            </w:r>
            <w:r w:rsidRPr="00C1603D">
              <w:t xml:space="preserve"> 96)</w:t>
            </w:r>
          </w:p>
        </w:tc>
        <w:tc>
          <w:tcPr>
            <w:tcW w:w="0" w:type="auto"/>
            <w:shd w:val="clear" w:color="auto" w:fill="auto"/>
          </w:tcPr>
          <w:p w14:paraId="35DE7AC6" w14:textId="5D61CD79" w:rsidR="008B4DF8" w:rsidRPr="00C1603D" w:rsidRDefault="008B4DF8" w:rsidP="005042E9">
            <w:pPr>
              <w:pStyle w:val="72TabletextTablesTableFigureBoxstyles"/>
            </w:pPr>
            <w:r w:rsidRPr="00C1603D">
              <w:t>90 (89</w:t>
            </w:r>
            <w:r w:rsidR="00D02CF3" w:rsidRPr="00C1603D">
              <w:t xml:space="preserve"> to</w:t>
            </w:r>
            <w:r w:rsidRPr="00C1603D">
              <w:t xml:space="preserve"> 92)</w:t>
            </w:r>
          </w:p>
        </w:tc>
      </w:tr>
      <w:tr w:rsidR="00C31D1A" w:rsidRPr="00C1603D" w14:paraId="07EEBCE8" w14:textId="77777777" w:rsidTr="50A8A885">
        <w:trPr>
          <w:cantSplit/>
        </w:trPr>
        <w:tc>
          <w:tcPr>
            <w:tcW w:w="0" w:type="auto"/>
            <w:vMerge/>
          </w:tcPr>
          <w:p w14:paraId="5876F0A1" w14:textId="77777777" w:rsidR="008B4DF8" w:rsidRPr="00C1603D" w:rsidRDefault="008B4DF8" w:rsidP="005042E9">
            <w:pPr>
              <w:pStyle w:val="72TabletextTablesTableFigureBoxstyles"/>
            </w:pPr>
          </w:p>
        </w:tc>
        <w:tc>
          <w:tcPr>
            <w:tcW w:w="0" w:type="auto"/>
            <w:vMerge/>
          </w:tcPr>
          <w:p w14:paraId="65FA333E" w14:textId="77777777" w:rsidR="008B4DF8" w:rsidRPr="00C1603D" w:rsidRDefault="008B4DF8" w:rsidP="005042E9">
            <w:pPr>
              <w:pStyle w:val="72TabletextTablesTableFigureBoxstyles"/>
            </w:pPr>
          </w:p>
        </w:tc>
        <w:tc>
          <w:tcPr>
            <w:tcW w:w="0" w:type="auto"/>
            <w:vMerge/>
          </w:tcPr>
          <w:p w14:paraId="4A8CBACC" w14:textId="77777777" w:rsidR="008B4DF8" w:rsidRPr="00C1603D" w:rsidRDefault="008B4DF8" w:rsidP="005042E9">
            <w:pPr>
              <w:pStyle w:val="72TabletextTablesTableFigureBoxstyles"/>
            </w:pPr>
          </w:p>
        </w:tc>
        <w:tc>
          <w:tcPr>
            <w:tcW w:w="0" w:type="auto"/>
            <w:shd w:val="clear" w:color="auto" w:fill="auto"/>
          </w:tcPr>
          <w:p w14:paraId="13E705D2" w14:textId="77777777" w:rsidR="008B4DF8" w:rsidRPr="00C1603D" w:rsidRDefault="008B4DF8" w:rsidP="005042E9">
            <w:pPr>
              <w:pStyle w:val="72TabletextTablesTableFigureBoxstyles"/>
            </w:pPr>
            <w:r w:rsidRPr="00C1603D">
              <w:t>tTG</w:t>
            </w:r>
          </w:p>
        </w:tc>
        <w:tc>
          <w:tcPr>
            <w:tcW w:w="0" w:type="auto"/>
            <w:shd w:val="clear" w:color="auto" w:fill="auto"/>
          </w:tcPr>
          <w:p w14:paraId="20D6F75F" w14:textId="686F150C" w:rsidR="008B4DF8" w:rsidRPr="00C1603D" w:rsidRDefault="008B4DF8" w:rsidP="005042E9">
            <w:pPr>
              <w:pStyle w:val="72TabletextTablesTableFigureBoxstyles"/>
            </w:pPr>
            <w:r w:rsidRPr="00C1603D">
              <w:t>15</w:t>
            </w:r>
            <w:r w:rsidR="00D40C7B" w:rsidRPr="00C1603D">
              <w:t> </w:t>
            </w:r>
            <w:r w:rsidRPr="00C1603D">
              <w:t>U/</w:t>
            </w:r>
            <w:r w:rsidR="00472631" w:rsidRPr="00C1603D">
              <w:t>ml</w:t>
            </w:r>
          </w:p>
        </w:tc>
        <w:tc>
          <w:tcPr>
            <w:tcW w:w="0" w:type="auto"/>
            <w:shd w:val="clear" w:color="auto" w:fill="auto"/>
          </w:tcPr>
          <w:p w14:paraId="71DCC62F" w14:textId="07CBC80B" w:rsidR="008B4DF8" w:rsidRPr="00C1603D" w:rsidRDefault="008B4DF8" w:rsidP="005042E9">
            <w:pPr>
              <w:pStyle w:val="72TabletextTablesTableFigureBoxstyles"/>
            </w:pPr>
            <w:r w:rsidRPr="00C1603D">
              <w:t>91 (82</w:t>
            </w:r>
            <w:r w:rsidR="00D02CF3" w:rsidRPr="00C1603D">
              <w:t xml:space="preserve"> to</w:t>
            </w:r>
            <w:r w:rsidRPr="00C1603D">
              <w:t xml:space="preserve"> 95)</w:t>
            </w:r>
          </w:p>
        </w:tc>
        <w:tc>
          <w:tcPr>
            <w:tcW w:w="0" w:type="auto"/>
            <w:shd w:val="clear" w:color="auto" w:fill="auto"/>
          </w:tcPr>
          <w:p w14:paraId="3DABEEA3" w14:textId="5B5E432D" w:rsidR="008B4DF8" w:rsidRPr="00C1603D" w:rsidRDefault="008B4DF8" w:rsidP="005042E9">
            <w:pPr>
              <w:pStyle w:val="72TabletextTablesTableFigureBoxstyles"/>
            </w:pPr>
            <w:r w:rsidRPr="00C1603D">
              <w:t>91 (90</w:t>
            </w:r>
            <w:r w:rsidR="00D02CF3" w:rsidRPr="00C1603D">
              <w:t xml:space="preserve"> to</w:t>
            </w:r>
            <w:r w:rsidRPr="00C1603D">
              <w:t xml:space="preserve"> 92)</w:t>
            </w:r>
          </w:p>
        </w:tc>
      </w:tr>
      <w:tr w:rsidR="00C31D1A" w:rsidRPr="00C1603D" w14:paraId="64DC51AF" w14:textId="77777777" w:rsidTr="50A8A885">
        <w:trPr>
          <w:cantSplit/>
        </w:trPr>
        <w:tc>
          <w:tcPr>
            <w:tcW w:w="0" w:type="auto"/>
            <w:vMerge/>
          </w:tcPr>
          <w:p w14:paraId="6CD1D404" w14:textId="77777777" w:rsidR="008B4DF8" w:rsidRPr="00C1603D" w:rsidRDefault="008B4DF8" w:rsidP="005042E9">
            <w:pPr>
              <w:pStyle w:val="72TabletextTablesTableFigureBoxstyles"/>
            </w:pPr>
          </w:p>
        </w:tc>
        <w:tc>
          <w:tcPr>
            <w:tcW w:w="0" w:type="auto"/>
            <w:vMerge/>
          </w:tcPr>
          <w:p w14:paraId="48BF7F16" w14:textId="77777777" w:rsidR="008B4DF8" w:rsidRPr="00C1603D" w:rsidRDefault="008B4DF8" w:rsidP="005042E9">
            <w:pPr>
              <w:pStyle w:val="72TabletextTablesTableFigureBoxstyles"/>
            </w:pPr>
          </w:p>
        </w:tc>
        <w:tc>
          <w:tcPr>
            <w:tcW w:w="0" w:type="auto"/>
            <w:vMerge/>
          </w:tcPr>
          <w:p w14:paraId="757B3C8A" w14:textId="77777777" w:rsidR="008B4DF8" w:rsidRPr="00C1603D" w:rsidRDefault="008B4DF8" w:rsidP="005042E9">
            <w:pPr>
              <w:pStyle w:val="72TabletextTablesTableFigureBoxstyles"/>
            </w:pPr>
          </w:p>
        </w:tc>
        <w:tc>
          <w:tcPr>
            <w:tcW w:w="0" w:type="auto"/>
            <w:shd w:val="clear" w:color="auto" w:fill="auto"/>
          </w:tcPr>
          <w:p w14:paraId="13CE7A43" w14:textId="77777777" w:rsidR="008B4DF8" w:rsidRPr="00C1603D" w:rsidRDefault="008B4DF8" w:rsidP="005042E9">
            <w:pPr>
              <w:pStyle w:val="72TabletextTablesTableFigureBoxstyles"/>
            </w:pPr>
            <w:r w:rsidRPr="00C1603D">
              <w:t>EMA</w:t>
            </w:r>
          </w:p>
        </w:tc>
        <w:tc>
          <w:tcPr>
            <w:tcW w:w="0" w:type="auto"/>
            <w:shd w:val="clear" w:color="auto" w:fill="auto"/>
          </w:tcPr>
          <w:p w14:paraId="73352731" w14:textId="5884C8A1" w:rsidR="008B4DF8" w:rsidRPr="00C1603D" w:rsidRDefault="008B4DF8" w:rsidP="005042E9">
            <w:pPr>
              <w:pStyle w:val="72TabletextTablesTableFigureBoxstyles"/>
            </w:pPr>
            <w:r w:rsidRPr="00C1603D">
              <w:t>1</w:t>
            </w:r>
            <w:r w:rsidR="00D40C7B" w:rsidRPr="00C1603D">
              <w:t> </w:t>
            </w:r>
            <w:r w:rsidRPr="00C1603D">
              <w:t>:</w:t>
            </w:r>
            <w:r w:rsidR="00D40C7B" w:rsidRPr="00C1603D">
              <w:t> </w:t>
            </w:r>
            <w:r w:rsidRPr="00C1603D">
              <w:t>4</w:t>
            </w:r>
          </w:p>
        </w:tc>
        <w:tc>
          <w:tcPr>
            <w:tcW w:w="0" w:type="auto"/>
            <w:shd w:val="clear" w:color="auto" w:fill="auto"/>
          </w:tcPr>
          <w:p w14:paraId="592D6E3F" w14:textId="2FED600D" w:rsidR="008B4DF8" w:rsidRPr="00C1603D" w:rsidRDefault="008B4DF8" w:rsidP="005042E9">
            <w:pPr>
              <w:pStyle w:val="72TabletextTablesTableFigureBoxstyles"/>
            </w:pPr>
            <w:r w:rsidRPr="00C1603D">
              <w:t>87 (78</w:t>
            </w:r>
            <w:r w:rsidR="00D02CF3" w:rsidRPr="00C1603D">
              <w:t xml:space="preserve"> to</w:t>
            </w:r>
            <w:r w:rsidRPr="00C1603D">
              <w:t xml:space="preserve"> 93)</w:t>
            </w:r>
          </w:p>
        </w:tc>
        <w:tc>
          <w:tcPr>
            <w:tcW w:w="0" w:type="auto"/>
            <w:shd w:val="clear" w:color="auto" w:fill="auto"/>
          </w:tcPr>
          <w:p w14:paraId="3EEB5302" w14:textId="23895C4C" w:rsidR="008B4DF8" w:rsidRPr="00C1603D" w:rsidRDefault="008B4DF8" w:rsidP="005042E9">
            <w:pPr>
              <w:pStyle w:val="72TabletextTablesTableFigureBoxstyles"/>
            </w:pPr>
            <w:r w:rsidRPr="00C1603D">
              <w:t>98 (97</w:t>
            </w:r>
            <w:r w:rsidR="00D02CF3" w:rsidRPr="00C1603D">
              <w:t xml:space="preserve"> to</w:t>
            </w:r>
            <w:r w:rsidRPr="00C1603D">
              <w:t xml:space="preserve"> 99)</w:t>
            </w:r>
          </w:p>
        </w:tc>
      </w:tr>
      <w:tr w:rsidR="00C31D1A" w:rsidRPr="00C1603D" w14:paraId="00684380" w14:textId="77777777" w:rsidTr="005042E9">
        <w:trPr>
          <w:cantSplit/>
        </w:trPr>
        <w:tc>
          <w:tcPr>
            <w:tcW w:w="0" w:type="auto"/>
            <w:vMerge w:val="restart"/>
            <w:shd w:val="clear" w:color="auto" w:fill="auto"/>
          </w:tcPr>
          <w:p w14:paraId="73369E3B" w14:textId="36329B36" w:rsidR="008B4DF8" w:rsidRPr="00C1603D" w:rsidRDefault="008B4DF8" w:rsidP="005042E9">
            <w:pPr>
              <w:pStyle w:val="72TabletextTablesTableFigureBoxstyles"/>
            </w:pPr>
            <w:r w:rsidRPr="00C1603D">
              <w:t xml:space="preserve">Wolf </w:t>
            </w:r>
            <w:r w:rsidR="00771D4D" w:rsidRPr="00C1603D">
              <w:rPr>
                <w:i/>
                <w:iCs/>
              </w:rPr>
              <w:t>et al</w:t>
            </w:r>
            <w:r w:rsidR="00771D4D" w:rsidRPr="00C1603D">
              <w:t>.</w:t>
            </w:r>
            <w:r w:rsidR="00771D4D" w:rsidRPr="00C1603D">
              <w:rPr>
                <w:vertAlign w:val="superscript"/>
              </w:rPr>
              <w:t>121</w:t>
            </w:r>
            <w:r w:rsidR="00771D4D" w:rsidRPr="00C1603D">
              <w:t xml:space="preserve"> </w:t>
            </w:r>
            <w:r w:rsidRPr="00C1603D">
              <w:t>2017</w:t>
            </w:r>
          </w:p>
        </w:tc>
        <w:tc>
          <w:tcPr>
            <w:tcW w:w="0" w:type="auto"/>
            <w:vMerge w:val="restart"/>
            <w:shd w:val="clear" w:color="auto" w:fill="auto"/>
          </w:tcPr>
          <w:p w14:paraId="116140B6" w14:textId="77777777" w:rsidR="008B4DF8" w:rsidRPr="00C1603D" w:rsidRDefault="008B4DF8" w:rsidP="005042E9">
            <w:pPr>
              <w:pStyle w:val="72TabletextTablesTableFigureBoxstyles"/>
            </w:pPr>
            <w:r w:rsidRPr="00C1603D">
              <w:t>Children</w:t>
            </w:r>
          </w:p>
        </w:tc>
        <w:tc>
          <w:tcPr>
            <w:tcW w:w="0" w:type="auto"/>
            <w:vMerge w:val="restart"/>
            <w:shd w:val="clear" w:color="auto" w:fill="auto"/>
          </w:tcPr>
          <w:p w14:paraId="5AFC4295" w14:textId="1F1917DB" w:rsidR="008B4DF8" w:rsidRPr="00C1603D" w:rsidRDefault="008B4DF8" w:rsidP="005042E9">
            <w:pPr>
              <w:pStyle w:val="72TabletextTablesTableFigureBoxstyles"/>
            </w:pPr>
            <w:r w:rsidRPr="00C1603D">
              <w:t>873</w:t>
            </w:r>
          </w:p>
        </w:tc>
        <w:tc>
          <w:tcPr>
            <w:tcW w:w="0" w:type="auto"/>
            <w:shd w:val="clear" w:color="auto" w:fill="auto"/>
          </w:tcPr>
          <w:p w14:paraId="1A933E60" w14:textId="01BE8B89" w:rsidR="008B4DF8" w:rsidRPr="00C1603D" w:rsidRDefault="008B4DF8" w:rsidP="005042E9">
            <w:pPr>
              <w:pStyle w:val="72TabletextTablesTableFigureBoxstyles"/>
            </w:pPr>
            <w:r w:rsidRPr="00C1603D">
              <w:t xml:space="preserve">Both </w:t>
            </w:r>
            <w:r w:rsidR="00D40C7B" w:rsidRPr="00C1603D">
              <w:t>p</w:t>
            </w:r>
            <w:r w:rsidRPr="00C1603D">
              <w:t>ositive</w:t>
            </w:r>
          </w:p>
        </w:tc>
        <w:tc>
          <w:tcPr>
            <w:tcW w:w="0" w:type="auto"/>
            <w:shd w:val="clear" w:color="auto" w:fill="auto"/>
          </w:tcPr>
          <w:p w14:paraId="3089692C" w14:textId="721F07B9" w:rsidR="008B4DF8" w:rsidRPr="00C1603D" w:rsidRDefault="485719AF" w:rsidP="003D216C">
            <w:pPr>
              <w:pStyle w:val="722TablebulletlistTablesTableFigureBoxstyles"/>
            </w:pPr>
            <w:r w:rsidRPr="00C1603D">
              <w:t>20</w:t>
            </w:r>
            <w:r w:rsidR="003D216C" w:rsidRPr="00C1603D">
              <w:t> </w:t>
            </w:r>
            <w:r w:rsidRPr="00C1603D">
              <w:t>U/ml (tTG)</w:t>
            </w:r>
          </w:p>
          <w:p w14:paraId="1DCCA019" w14:textId="2741A44B" w:rsidR="008B4DF8" w:rsidRPr="00C1603D" w:rsidRDefault="485719AF" w:rsidP="003D216C">
            <w:pPr>
              <w:pStyle w:val="722TablebulletlistTablesTableFigureBoxstyles"/>
            </w:pPr>
            <w:r w:rsidRPr="00C1603D">
              <w:t>1</w:t>
            </w:r>
            <w:r w:rsidR="003D216C" w:rsidRPr="00C1603D">
              <w:t> </w:t>
            </w:r>
            <w:r w:rsidRPr="00C1603D">
              <w:t>:</w:t>
            </w:r>
            <w:r w:rsidR="003D216C" w:rsidRPr="00C1603D">
              <w:t> </w:t>
            </w:r>
            <w:r w:rsidRPr="00C1603D">
              <w:t>10 (EMA)</w:t>
            </w:r>
          </w:p>
        </w:tc>
        <w:tc>
          <w:tcPr>
            <w:tcW w:w="0" w:type="auto"/>
            <w:shd w:val="clear" w:color="auto" w:fill="auto"/>
          </w:tcPr>
          <w:p w14:paraId="4E26B3E6" w14:textId="7B80E355" w:rsidR="008B4DF8" w:rsidRPr="00C1603D" w:rsidRDefault="008B4DF8" w:rsidP="005042E9">
            <w:pPr>
              <w:pStyle w:val="72TabletextTablesTableFigureBoxstyles"/>
            </w:pPr>
            <w:r w:rsidRPr="00C1603D">
              <w:t>95 (93</w:t>
            </w:r>
            <w:r w:rsidR="00D02CF3" w:rsidRPr="00C1603D">
              <w:t xml:space="preserve"> to</w:t>
            </w:r>
            <w:r w:rsidRPr="00C1603D">
              <w:t xml:space="preserve"> 97)</w:t>
            </w:r>
          </w:p>
        </w:tc>
        <w:tc>
          <w:tcPr>
            <w:tcW w:w="0" w:type="auto"/>
            <w:shd w:val="clear" w:color="auto" w:fill="auto"/>
          </w:tcPr>
          <w:p w14:paraId="3DD07012" w14:textId="3FEAF647" w:rsidR="008B4DF8" w:rsidRPr="00C1603D" w:rsidRDefault="008B4DF8" w:rsidP="005042E9">
            <w:pPr>
              <w:pStyle w:val="72TabletextTablesTableFigureBoxstyles"/>
            </w:pPr>
            <w:r w:rsidRPr="00C1603D">
              <w:t>95 (92</w:t>
            </w:r>
            <w:r w:rsidR="00D02CF3" w:rsidRPr="00C1603D">
              <w:t xml:space="preserve"> to</w:t>
            </w:r>
            <w:r w:rsidRPr="00C1603D">
              <w:t xml:space="preserve"> 97)</w:t>
            </w:r>
          </w:p>
        </w:tc>
      </w:tr>
      <w:tr w:rsidR="00C31D1A" w:rsidRPr="00C1603D" w14:paraId="3D0FE1A1" w14:textId="77777777" w:rsidTr="50A8A885">
        <w:trPr>
          <w:cantSplit/>
        </w:trPr>
        <w:tc>
          <w:tcPr>
            <w:tcW w:w="0" w:type="auto"/>
            <w:vMerge/>
          </w:tcPr>
          <w:p w14:paraId="3AF23AA0" w14:textId="77777777" w:rsidR="008B4DF8" w:rsidRPr="00C1603D" w:rsidRDefault="008B4DF8" w:rsidP="005042E9">
            <w:pPr>
              <w:pStyle w:val="72TabletextTablesTableFigureBoxstyles"/>
            </w:pPr>
          </w:p>
        </w:tc>
        <w:tc>
          <w:tcPr>
            <w:tcW w:w="0" w:type="auto"/>
            <w:vMerge/>
          </w:tcPr>
          <w:p w14:paraId="79BFDDA5" w14:textId="77777777" w:rsidR="008B4DF8" w:rsidRPr="00C1603D" w:rsidRDefault="008B4DF8" w:rsidP="005042E9">
            <w:pPr>
              <w:pStyle w:val="72TabletextTablesTableFigureBoxstyles"/>
            </w:pPr>
          </w:p>
        </w:tc>
        <w:tc>
          <w:tcPr>
            <w:tcW w:w="0" w:type="auto"/>
            <w:vMerge/>
          </w:tcPr>
          <w:p w14:paraId="50A70325" w14:textId="77777777" w:rsidR="008B4DF8" w:rsidRPr="00C1603D" w:rsidRDefault="008B4DF8" w:rsidP="005042E9">
            <w:pPr>
              <w:pStyle w:val="72TabletextTablesTableFigureBoxstyles"/>
            </w:pPr>
          </w:p>
        </w:tc>
        <w:tc>
          <w:tcPr>
            <w:tcW w:w="0" w:type="auto"/>
            <w:shd w:val="clear" w:color="auto" w:fill="auto"/>
          </w:tcPr>
          <w:p w14:paraId="32307430" w14:textId="77777777" w:rsidR="008B4DF8" w:rsidRPr="00C1603D" w:rsidRDefault="008B4DF8" w:rsidP="005042E9">
            <w:pPr>
              <w:pStyle w:val="72TabletextTablesTableFigureBoxstyles"/>
            </w:pPr>
            <w:r w:rsidRPr="00C1603D">
              <w:t>Either positive</w:t>
            </w:r>
          </w:p>
        </w:tc>
        <w:tc>
          <w:tcPr>
            <w:tcW w:w="0" w:type="auto"/>
            <w:shd w:val="clear" w:color="auto" w:fill="auto"/>
          </w:tcPr>
          <w:p w14:paraId="6652FCD8" w14:textId="185FA8C9" w:rsidR="008B4DF8" w:rsidRPr="00C1603D" w:rsidRDefault="485719AF" w:rsidP="003D216C">
            <w:pPr>
              <w:pStyle w:val="722TablebulletlistTablesTableFigureBoxstyles"/>
            </w:pPr>
            <w:r w:rsidRPr="00C1603D">
              <w:t>20</w:t>
            </w:r>
            <w:r w:rsidR="003D216C" w:rsidRPr="00C1603D">
              <w:t> </w:t>
            </w:r>
            <w:r w:rsidRPr="00C1603D">
              <w:t>U/ml (tTG)</w:t>
            </w:r>
          </w:p>
          <w:p w14:paraId="07E635CD" w14:textId="11326B7B" w:rsidR="008B4DF8" w:rsidRPr="00C1603D" w:rsidRDefault="485719AF" w:rsidP="003D216C">
            <w:pPr>
              <w:pStyle w:val="722TablebulletlistTablesTableFigureBoxstyles"/>
            </w:pPr>
            <w:r w:rsidRPr="00C1603D">
              <w:t>1</w:t>
            </w:r>
            <w:r w:rsidR="003D216C" w:rsidRPr="00C1603D">
              <w:t> </w:t>
            </w:r>
            <w:r w:rsidRPr="00C1603D">
              <w:t>:</w:t>
            </w:r>
            <w:r w:rsidR="003D216C" w:rsidRPr="00C1603D">
              <w:t> </w:t>
            </w:r>
            <w:r w:rsidRPr="00C1603D">
              <w:t>10 (EMA)</w:t>
            </w:r>
          </w:p>
        </w:tc>
        <w:tc>
          <w:tcPr>
            <w:tcW w:w="0" w:type="auto"/>
            <w:shd w:val="clear" w:color="auto" w:fill="auto"/>
          </w:tcPr>
          <w:p w14:paraId="25AA9D37" w14:textId="1D88E7BA" w:rsidR="008B4DF8" w:rsidRPr="00C1603D" w:rsidRDefault="008B4DF8" w:rsidP="005042E9">
            <w:pPr>
              <w:pStyle w:val="72TabletextTablesTableFigureBoxstyles"/>
            </w:pPr>
            <w:r w:rsidRPr="00C1603D">
              <w:t>97 (95</w:t>
            </w:r>
            <w:r w:rsidR="00D02CF3" w:rsidRPr="00C1603D">
              <w:t xml:space="preserve"> to</w:t>
            </w:r>
            <w:r w:rsidRPr="00C1603D">
              <w:t xml:space="preserve"> 98)</w:t>
            </w:r>
          </w:p>
        </w:tc>
        <w:tc>
          <w:tcPr>
            <w:tcW w:w="0" w:type="auto"/>
            <w:shd w:val="clear" w:color="auto" w:fill="auto"/>
          </w:tcPr>
          <w:p w14:paraId="1D5E131C" w14:textId="1EE21347" w:rsidR="008B4DF8" w:rsidRPr="00C1603D" w:rsidRDefault="008B4DF8" w:rsidP="005042E9">
            <w:pPr>
              <w:pStyle w:val="72TabletextTablesTableFigureBoxstyles"/>
            </w:pPr>
            <w:r w:rsidRPr="00C1603D">
              <w:t>89 (86</w:t>
            </w:r>
            <w:r w:rsidR="00D02CF3" w:rsidRPr="00C1603D">
              <w:t xml:space="preserve"> to</w:t>
            </w:r>
            <w:r w:rsidRPr="00C1603D">
              <w:t xml:space="preserve"> 92)</w:t>
            </w:r>
          </w:p>
        </w:tc>
      </w:tr>
      <w:tr w:rsidR="00C31D1A" w:rsidRPr="00C1603D" w14:paraId="1249F029" w14:textId="77777777" w:rsidTr="50A8A885">
        <w:trPr>
          <w:cantSplit/>
        </w:trPr>
        <w:tc>
          <w:tcPr>
            <w:tcW w:w="0" w:type="auto"/>
            <w:vMerge/>
          </w:tcPr>
          <w:p w14:paraId="254FA9C4" w14:textId="77777777" w:rsidR="008B4DF8" w:rsidRPr="00C1603D" w:rsidRDefault="008B4DF8" w:rsidP="005042E9">
            <w:pPr>
              <w:pStyle w:val="72TabletextTablesTableFigureBoxstyles"/>
            </w:pPr>
          </w:p>
        </w:tc>
        <w:tc>
          <w:tcPr>
            <w:tcW w:w="0" w:type="auto"/>
            <w:vMerge/>
          </w:tcPr>
          <w:p w14:paraId="7C309A98" w14:textId="77777777" w:rsidR="008B4DF8" w:rsidRPr="00C1603D" w:rsidRDefault="008B4DF8" w:rsidP="005042E9">
            <w:pPr>
              <w:pStyle w:val="72TabletextTablesTableFigureBoxstyles"/>
            </w:pPr>
          </w:p>
        </w:tc>
        <w:tc>
          <w:tcPr>
            <w:tcW w:w="0" w:type="auto"/>
            <w:vMerge/>
          </w:tcPr>
          <w:p w14:paraId="6FA7A39D" w14:textId="77777777" w:rsidR="008B4DF8" w:rsidRPr="00C1603D" w:rsidRDefault="008B4DF8" w:rsidP="005042E9">
            <w:pPr>
              <w:pStyle w:val="72TabletextTablesTableFigureBoxstyles"/>
            </w:pPr>
          </w:p>
        </w:tc>
        <w:tc>
          <w:tcPr>
            <w:tcW w:w="0" w:type="auto"/>
            <w:shd w:val="clear" w:color="auto" w:fill="auto"/>
          </w:tcPr>
          <w:p w14:paraId="0D3CBB8B" w14:textId="77777777" w:rsidR="008B4DF8" w:rsidRPr="00C1603D" w:rsidRDefault="008B4DF8" w:rsidP="005042E9">
            <w:pPr>
              <w:pStyle w:val="72TabletextTablesTableFigureBoxstyles"/>
            </w:pPr>
            <w:r w:rsidRPr="00C1603D">
              <w:t>tTG</w:t>
            </w:r>
          </w:p>
        </w:tc>
        <w:tc>
          <w:tcPr>
            <w:tcW w:w="0" w:type="auto"/>
            <w:shd w:val="clear" w:color="auto" w:fill="auto"/>
          </w:tcPr>
          <w:p w14:paraId="6DF3808F" w14:textId="77B02B0F" w:rsidR="008B4DF8" w:rsidRPr="00C1603D" w:rsidRDefault="008B4DF8" w:rsidP="005042E9">
            <w:pPr>
              <w:pStyle w:val="72TabletextTablesTableFigureBoxstyles"/>
            </w:pPr>
            <w:r w:rsidRPr="00C1603D">
              <w:t>20</w:t>
            </w:r>
            <w:r w:rsidR="005C0D80" w:rsidRPr="00C1603D">
              <w:t> </w:t>
            </w:r>
            <w:r w:rsidRPr="00C1603D">
              <w:t>U/</w:t>
            </w:r>
            <w:r w:rsidR="00472631" w:rsidRPr="00C1603D">
              <w:t>ml</w:t>
            </w:r>
          </w:p>
        </w:tc>
        <w:tc>
          <w:tcPr>
            <w:tcW w:w="0" w:type="auto"/>
            <w:shd w:val="clear" w:color="auto" w:fill="auto"/>
          </w:tcPr>
          <w:p w14:paraId="3197EF94" w14:textId="40D52E47" w:rsidR="008B4DF8" w:rsidRPr="00C1603D" w:rsidRDefault="008B4DF8" w:rsidP="005042E9">
            <w:pPr>
              <w:pStyle w:val="72TabletextTablesTableFigureBoxstyles"/>
            </w:pPr>
            <w:r w:rsidRPr="00C1603D">
              <w:t>97 (95</w:t>
            </w:r>
            <w:r w:rsidR="00D02CF3" w:rsidRPr="00C1603D">
              <w:t xml:space="preserve"> to</w:t>
            </w:r>
            <w:r w:rsidRPr="00C1603D">
              <w:t xml:space="preserve"> 98)</w:t>
            </w:r>
          </w:p>
        </w:tc>
        <w:tc>
          <w:tcPr>
            <w:tcW w:w="0" w:type="auto"/>
            <w:shd w:val="clear" w:color="auto" w:fill="auto"/>
          </w:tcPr>
          <w:p w14:paraId="2CCEBD89" w14:textId="0BB7FDD8" w:rsidR="008B4DF8" w:rsidRPr="00C1603D" w:rsidRDefault="008B4DF8" w:rsidP="005042E9">
            <w:pPr>
              <w:pStyle w:val="72TabletextTablesTableFigureBoxstyles"/>
            </w:pPr>
            <w:r w:rsidRPr="00C1603D">
              <w:t>89 (86</w:t>
            </w:r>
            <w:r w:rsidR="00D02CF3" w:rsidRPr="00C1603D">
              <w:t xml:space="preserve"> to</w:t>
            </w:r>
            <w:r w:rsidRPr="00C1603D">
              <w:t xml:space="preserve"> 92)</w:t>
            </w:r>
          </w:p>
        </w:tc>
      </w:tr>
      <w:tr w:rsidR="00C31D1A" w:rsidRPr="00C1603D" w14:paraId="51F89BCA" w14:textId="77777777" w:rsidTr="50A8A885">
        <w:trPr>
          <w:cantSplit/>
        </w:trPr>
        <w:tc>
          <w:tcPr>
            <w:tcW w:w="0" w:type="auto"/>
            <w:vMerge/>
          </w:tcPr>
          <w:p w14:paraId="398F21FF" w14:textId="77777777" w:rsidR="008B4DF8" w:rsidRPr="00C1603D" w:rsidRDefault="008B4DF8" w:rsidP="005042E9">
            <w:pPr>
              <w:pStyle w:val="72TabletextTablesTableFigureBoxstyles"/>
            </w:pPr>
          </w:p>
        </w:tc>
        <w:tc>
          <w:tcPr>
            <w:tcW w:w="0" w:type="auto"/>
            <w:vMerge/>
          </w:tcPr>
          <w:p w14:paraId="431809F4" w14:textId="77777777" w:rsidR="008B4DF8" w:rsidRPr="00C1603D" w:rsidRDefault="008B4DF8" w:rsidP="005042E9">
            <w:pPr>
              <w:pStyle w:val="72TabletextTablesTableFigureBoxstyles"/>
            </w:pPr>
          </w:p>
        </w:tc>
        <w:tc>
          <w:tcPr>
            <w:tcW w:w="0" w:type="auto"/>
            <w:vMerge/>
          </w:tcPr>
          <w:p w14:paraId="0C42B913" w14:textId="77777777" w:rsidR="008B4DF8" w:rsidRPr="00C1603D" w:rsidRDefault="008B4DF8" w:rsidP="005042E9">
            <w:pPr>
              <w:pStyle w:val="72TabletextTablesTableFigureBoxstyles"/>
            </w:pPr>
          </w:p>
        </w:tc>
        <w:tc>
          <w:tcPr>
            <w:tcW w:w="0" w:type="auto"/>
            <w:shd w:val="clear" w:color="auto" w:fill="auto"/>
          </w:tcPr>
          <w:p w14:paraId="76C2C2CC" w14:textId="77777777" w:rsidR="008B4DF8" w:rsidRPr="00C1603D" w:rsidRDefault="008B4DF8" w:rsidP="005042E9">
            <w:pPr>
              <w:pStyle w:val="72TabletextTablesTableFigureBoxstyles"/>
            </w:pPr>
            <w:r w:rsidRPr="00C1603D">
              <w:t>EMA</w:t>
            </w:r>
          </w:p>
        </w:tc>
        <w:tc>
          <w:tcPr>
            <w:tcW w:w="0" w:type="auto"/>
            <w:shd w:val="clear" w:color="auto" w:fill="auto"/>
          </w:tcPr>
          <w:p w14:paraId="28B81574" w14:textId="506286B1" w:rsidR="008B4DF8" w:rsidRPr="00C1603D" w:rsidRDefault="008B4DF8" w:rsidP="005042E9">
            <w:pPr>
              <w:pStyle w:val="72TabletextTablesTableFigureBoxstyles"/>
            </w:pPr>
            <w:r w:rsidRPr="00C1603D">
              <w:t>1</w:t>
            </w:r>
            <w:r w:rsidR="005C0D80" w:rsidRPr="00C1603D">
              <w:t> </w:t>
            </w:r>
            <w:r w:rsidRPr="00C1603D">
              <w:t>:</w:t>
            </w:r>
            <w:r w:rsidR="005C0D80" w:rsidRPr="00C1603D">
              <w:t> </w:t>
            </w:r>
            <w:r w:rsidRPr="00C1603D">
              <w:t>10</w:t>
            </w:r>
          </w:p>
        </w:tc>
        <w:tc>
          <w:tcPr>
            <w:tcW w:w="0" w:type="auto"/>
            <w:shd w:val="clear" w:color="auto" w:fill="auto"/>
          </w:tcPr>
          <w:p w14:paraId="391BDB08" w14:textId="7ABBE066" w:rsidR="008B4DF8" w:rsidRPr="00C1603D" w:rsidRDefault="008B4DF8" w:rsidP="005042E9">
            <w:pPr>
              <w:pStyle w:val="72TabletextTablesTableFigureBoxstyles"/>
            </w:pPr>
            <w:r w:rsidRPr="00C1603D">
              <w:t>96 (94</w:t>
            </w:r>
            <w:r w:rsidR="00D02CF3" w:rsidRPr="00C1603D">
              <w:t xml:space="preserve"> to</w:t>
            </w:r>
            <w:r w:rsidRPr="00C1603D">
              <w:t xml:space="preserve"> 97)</w:t>
            </w:r>
          </w:p>
        </w:tc>
        <w:tc>
          <w:tcPr>
            <w:tcW w:w="0" w:type="auto"/>
            <w:shd w:val="clear" w:color="auto" w:fill="auto"/>
          </w:tcPr>
          <w:p w14:paraId="7CAE9E37" w14:textId="55DD1FC4" w:rsidR="008B4DF8" w:rsidRPr="00C1603D" w:rsidRDefault="008B4DF8" w:rsidP="005042E9">
            <w:pPr>
              <w:pStyle w:val="72TabletextTablesTableFigureBoxstyles"/>
            </w:pPr>
            <w:r w:rsidRPr="00C1603D">
              <w:t>94 (91</w:t>
            </w:r>
            <w:r w:rsidR="00D02CF3" w:rsidRPr="00C1603D">
              <w:t xml:space="preserve"> to</w:t>
            </w:r>
            <w:r w:rsidRPr="00C1603D">
              <w:t xml:space="preserve"> 96)</w:t>
            </w:r>
          </w:p>
        </w:tc>
      </w:tr>
    </w:tbl>
    <w:p w14:paraId="497D7F4E" w14:textId="77777777" w:rsidR="008B4DF8" w:rsidRPr="00C1603D" w:rsidRDefault="008B4DF8" w:rsidP="008B4DF8">
      <w:pPr>
        <w:pStyle w:val="70TablelegendTablesTableFigureBoxstyles"/>
      </w:pPr>
      <w:bookmarkStart w:id="291" w:name="_Toc99720723"/>
      <w:bookmarkStart w:id="292" w:name="_Toc99539869"/>
      <w:r w:rsidRPr="00C1603D">
        <w:rPr>
          <w:b/>
        </w:rPr>
        <w:lastRenderedPageBreak/>
        <w:t>TABLE 12</w:t>
      </w:r>
      <w:r w:rsidRPr="00C1603D">
        <w:rPr>
          <w:b/>
        </w:rPr>
        <w:t> </w:t>
      </w:r>
      <w:r w:rsidRPr="00C1603D">
        <w:t>Study estimates of sensitivity and specificity limited to specific subgroups, stratified by age group and test</w:t>
      </w:r>
      <w:bookmarkEnd w:id="291"/>
    </w:p>
    <w:tbl>
      <w:tblPr>
        <w:tblW w:w="0" w:type="auto"/>
        <w:tblCellMar>
          <w:top w:w="40" w:type="dxa"/>
          <w:left w:w="60" w:type="dxa"/>
          <w:bottom w:w="40" w:type="dxa"/>
          <w:right w:w="60" w:type="dxa"/>
        </w:tblCellMar>
        <w:tblLook w:val="04A0" w:firstRow="1" w:lastRow="0" w:firstColumn="1" w:lastColumn="0" w:noHBand="0" w:noVBand="1"/>
      </w:tblPr>
      <w:tblGrid>
        <w:gridCol w:w="1264"/>
        <w:gridCol w:w="892"/>
        <w:gridCol w:w="2110"/>
        <w:gridCol w:w="1398"/>
        <w:gridCol w:w="1683"/>
        <w:gridCol w:w="1679"/>
      </w:tblGrid>
      <w:tr w:rsidR="005042E9" w:rsidRPr="00C1603D" w14:paraId="3454A8EB" w14:textId="77777777" w:rsidTr="00D43A84">
        <w:trPr>
          <w:cantSplit/>
        </w:trPr>
        <w:tc>
          <w:tcPr>
            <w:tcW w:w="0" w:type="auto"/>
            <w:shd w:val="clear" w:color="auto" w:fill="auto"/>
          </w:tcPr>
          <w:p w14:paraId="6E89B4E4" w14:textId="77777777" w:rsidR="008B4DF8" w:rsidRPr="00C1603D" w:rsidRDefault="008B4DF8" w:rsidP="00D43A84">
            <w:pPr>
              <w:pStyle w:val="710TableheadTablesTableFigureBoxstyles"/>
            </w:pPr>
            <w:r w:rsidRPr="00C1603D">
              <w:t>Serological test</w:t>
            </w:r>
          </w:p>
        </w:tc>
        <w:tc>
          <w:tcPr>
            <w:tcW w:w="0" w:type="auto"/>
            <w:shd w:val="clear" w:color="auto" w:fill="auto"/>
          </w:tcPr>
          <w:p w14:paraId="33ED7BB3" w14:textId="2C45590B" w:rsidR="008B4DF8" w:rsidRPr="00C1603D" w:rsidRDefault="008B4DF8" w:rsidP="00D43A84">
            <w:pPr>
              <w:pStyle w:val="710TableheadTablesTableFigureBoxstyles"/>
            </w:pPr>
            <w:r w:rsidRPr="00C1603D">
              <w:t xml:space="preserve">Studies </w:t>
            </w:r>
            <w:r w:rsidR="005042E9" w:rsidRPr="00C1603D">
              <w:t>(</w:t>
            </w:r>
            <w:r w:rsidRPr="00C1603D">
              <w:rPr>
                <w:i/>
              </w:rPr>
              <w:t>n</w:t>
            </w:r>
            <w:r w:rsidR="005042E9" w:rsidRPr="00C1603D">
              <w:rPr>
                <w:iCs/>
              </w:rPr>
              <w:t>)</w:t>
            </w:r>
          </w:p>
        </w:tc>
        <w:tc>
          <w:tcPr>
            <w:tcW w:w="0" w:type="auto"/>
            <w:shd w:val="clear" w:color="auto" w:fill="auto"/>
          </w:tcPr>
          <w:p w14:paraId="38AF5905" w14:textId="6B77F54E" w:rsidR="008B4DF8" w:rsidRPr="00C1603D" w:rsidRDefault="005042E9" w:rsidP="00D43A84">
            <w:pPr>
              <w:pStyle w:val="710TableheadTablesTableFigureBoxstyles"/>
            </w:pPr>
            <w:r w:rsidRPr="00C1603D">
              <w:t>P</w:t>
            </w:r>
            <w:r w:rsidR="008B4DF8" w:rsidRPr="00C1603D">
              <w:t>articipants</w:t>
            </w:r>
            <w:r w:rsidRPr="00C1603D">
              <w:t xml:space="preserve"> (</w:t>
            </w:r>
            <w:r w:rsidRPr="00C1603D">
              <w:rPr>
                <w:i/>
                <w:iCs/>
              </w:rPr>
              <w:t>N</w:t>
            </w:r>
            <w:r w:rsidRPr="00C1603D">
              <w:t>)</w:t>
            </w:r>
            <w:r w:rsidR="008B4DF8" w:rsidRPr="00C1603D">
              <w:t xml:space="preserve"> (with CD</w:t>
            </w:r>
            <w:r w:rsidRPr="00C1603D">
              <w:t xml:space="preserve">, </w:t>
            </w:r>
            <w:r w:rsidRPr="00C1603D">
              <w:rPr>
                <w:i/>
                <w:iCs/>
              </w:rPr>
              <w:t>n</w:t>
            </w:r>
            <w:r w:rsidR="008B4DF8" w:rsidRPr="00C1603D">
              <w:t>)</w:t>
            </w:r>
          </w:p>
        </w:tc>
        <w:tc>
          <w:tcPr>
            <w:tcW w:w="0" w:type="auto"/>
            <w:shd w:val="clear" w:color="auto" w:fill="auto"/>
          </w:tcPr>
          <w:p w14:paraId="39F6EA3C" w14:textId="77777777" w:rsidR="008B4DF8" w:rsidRPr="00C1603D" w:rsidRDefault="008B4DF8" w:rsidP="00D43A84">
            <w:pPr>
              <w:pStyle w:val="710TableheadTablesTableFigureBoxstyles"/>
            </w:pPr>
            <w:r w:rsidRPr="00C1603D">
              <w:t>Threshold (range)</w:t>
            </w:r>
          </w:p>
        </w:tc>
        <w:tc>
          <w:tcPr>
            <w:tcW w:w="0" w:type="auto"/>
            <w:shd w:val="clear" w:color="auto" w:fill="auto"/>
          </w:tcPr>
          <w:p w14:paraId="5084DC55" w14:textId="72715E27" w:rsidR="008B4DF8" w:rsidRPr="00C1603D" w:rsidRDefault="008B4DF8" w:rsidP="00D43A84">
            <w:pPr>
              <w:pStyle w:val="710TableheadTablesTableFigureBoxstyles"/>
            </w:pPr>
            <w:r w:rsidRPr="00C1603D">
              <w:t>Sensitivity (range)</w:t>
            </w:r>
            <w:r w:rsidR="005042E9" w:rsidRPr="00C1603D">
              <w:t xml:space="preserve"> (</w:t>
            </w:r>
            <w:r w:rsidRPr="00C1603D">
              <w:t>%</w:t>
            </w:r>
            <w:r w:rsidR="005042E9" w:rsidRPr="00C1603D">
              <w:t>)</w:t>
            </w:r>
          </w:p>
        </w:tc>
        <w:tc>
          <w:tcPr>
            <w:tcW w:w="0" w:type="auto"/>
            <w:shd w:val="clear" w:color="auto" w:fill="auto"/>
          </w:tcPr>
          <w:p w14:paraId="14058F3C" w14:textId="69B0714A" w:rsidR="008B4DF8" w:rsidRPr="00C1603D" w:rsidRDefault="008B4DF8" w:rsidP="00D43A84">
            <w:pPr>
              <w:pStyle w:val="710TableheadTablesTableFigureBoxstyles"/>
            </w:pPr>
            <w:r w:rsidRPr="00C1603D">
              <w:t>Specificity (range)</w:t>
            </w:r>
            <w:r w:rsidR="005042E9" w:rsidRPr="00C1603D">
              <w:t xml:space="preserve"> (</w:t>
            </w:r>
            <w:r w:rsidRPr="00C1603D">
              <w:t>%</w:t>
            </w:r>
            <w:r w:rsidR="005042E9" w:rsidRPr="00C1603D">
              <w:t>)</w:t>
            </w:r>
          </w:p>
        </w:tc>
      </w:tr>
      <w:tr w:rsidR="008B4DF8" w:rsidRPr="00C1603D" w14:paraId="0CD8DB0F" w14:textId="77777777" w:rsidTr="00D43A84">
        <w:trPr>
          <w:cantSplit/>
        </w:trPr>
        <w:tc>
          <w:tcPr>
            <w:tcW w:w="0" w:type="auto"/>
            <w:gridSpan w:val="6"/>
            <w:shd w:val="clear" w:color="auto" w:fill="auto"/>
          </w:tcPr>
          <w:p w14:paraId="2EE11B16" w14:textId="77777777" w:rsidR="008B4DF8" w:rsidRPr="00C1603D" w:rsidRDefault="008B4DF8" w:rsidP="00D43A84">
            <w:pPr>
              <w:pStyle w:val="711TablesubheadATablesTableFigureBoxstyles"/>
            </w:pPr>
            <w:r w:rsidRPr="00C1603D">
              <w:t>Symptomatic patients only</w:t>
            </w:r>
          </w:p>
        </w:tc>
      </w:tr>
      <w:tr w:rsidR="00177A78" w:rsidRPr="00C1603D" w14:paraId="47477200" w14:textId="77777777" w:rsidTr="00D43A84">
        <w:trPr>
          <w:cantSplit/>
        </w:trPr>
        <w:tc>
          <w:tcPr>
            <w:tcW w:w="0" w:type="auto"/>
            <w:gridSpan w:val="6"/>
            <w:shd w:val="clear" w:color="auto" w:fill="auto"/>
          </w:tcPr>
          <w:p w14:paraId="72FF4D5A" w14:textId="132CA606" w:rsidR="00177A78" w:rsidRPr="00C1603D" w:rsidRDefault="00177A78" w:rsidP="006B6BB7">
            <w:pPr>
              <w:pStyle w:val="712TablesubheadBTablesTableFigureBoxstyles"/>
            </w:pPr>
            <w:r w:rsidRPr="00C1603D">
              <w:t>Adults</w:t>
            </w:r>
          </w:p>
        </w:tc>
      </w:tr>
      <w:tr w:rsidR="00177A78" w:rsidRPr="00C1603D" w14:paraId="0C78ADAB" w14:textId="77777777" w:rsidTr="00D43A84">
        <w:trPr>
          <w:cantSplit/>
        </w:trPr>
        <w:tc>
          <w:tcPr>
            <w:tcW w:w="0" w:type="auto"/>
            <w:shd w:val="clear" w:color="auto" w:fill="auto"/>
          </w:tcPr>
          <w:p w14:paraId="162CFDD1" w14:textId="55926ECA" w:rsidR="00177A78" w:rsidRPr="00C1603D" w:rsidRDefault="00177A78" w:rsidP="00D43A84">
            <w:pPr>
              <w:pStyle w:val="72TabletextTablesTableFigureBoxstyles"/>
              <w:rPr>
                <w:b/>
              </w:rPr>
            </w:pPr>
            <w:r w:rsidRPr="00C1603D">
              <w:rPr>
                <w:rFonts w:cs="Lato"/>
              </w:rPr>
              <w:t>IgA tTG</w:t>
            </w:r>
          </w:p>
        </w:tc>
        <w:tc>
          <w:tcPr>
            <w:tcW w:w="0" w:type="auto"/>
            <w:shd w:val="clear" w:color="auto" w:fill="auto"/>
          </w:tcPr>
          <w:p w14:paraId="5712064D" w14:textId="6DB11E70" w:rsidR="00177A78" w:rsidRPr="00C1603D" w:rsidRDefault="00177A78" w:rsidP="00D43A84">
            <w:pPr>
              <w:pStyle w:val="72TabletextTablesTableFigureBoxstyles"/>
            </w:pPr>
            <w:r w:rsidRPr="00C1603D">
              <w:rPr>
                <w:rFonts w:cs="Lato"/>
              </w:rPr>
              <w:t>7</w:t>
            </w:r>
          </w:p>
        </w:tc>
        <w:tc>
          <w:tcPr>
            <w:tcW w:w="0" w:type="auto"/>
            <w:shd w:val="clear" w:color="auto" w:fill="auto"/>
          </w:tcPr>
          <w:p w14:paraId="6988ADD5" w14:textId="3EE98D79" w:rsidR="00177A78" w:rsidRPr="00C1603D" w:rsidRDefault="00177A78" w:rsidP="00D43A84">
            <w:pPr>
              <w:pStyle w:val="72TabletextTablesTableFigureBoxstyles"/>
            </w:pPr>
            <w:r w:rsidRPr="00C1603D">
              <w:rPr>
                <w:rFonts w:cs="Lato"/>
              </w:rPr>
              <w:t>4244 (325)</w:t>
            </w:r>
          </w:p>
        </w:tc>
        <w:tc>
          <w:tcPr>
            <w:tcW w:w="0" w:type="auto"/>
            <w:shd w:val="clear" w:color="auto" w:fill="auto"/>
          </w:tcPr>
          <w:p w14:paraId="3B81B9DE" w14:textId="3D04940E" w:rsidR="00177A78" w:rsidRPr="00C1603D" w:rsidRDefault="00177A78" w:rsidP="00D43A84">
            <w:pPr>
              <w:pStyle w:val="72TabletextTablesTableFigureBoxstyles"/>
            </w:pPr>
            <w:r w:rsidRPr="00C1603D">
              <w:rPr>
                <w:rFonts w:cs="Lato"/>
              </w:rPr>
              <w:t>5</w:t>
            </w:r>
            <w:r w:rsidR="00D43A84" w:rsidRPr="00C1603D">
              <w:rPr>
                <w:rFonts w:cs="Lato"/>
              </w:rPr>
              <w:t>–</w:t>
            </w:r>
            <w:r w:rsidRPr="00C1603D">
              <w:rPr>
                <w:rFonts w:cs="Lato"/>
              </w:rPr>
              <w:t>20</w:t>
            </w:r>
            <w:r w:rsidR="00D43A84" w:rsidRPr="00C1603D">
              <w:rPr>
                <w:rFonts w:cs="Lato"/>
              </w:rPr>
              <w:t> </w:t>
            </w:r>
            <w:r w:rsidRPr="00C1603D">
              <w:rPr>
                <w:rFonts w:cs="Lato"/>
              </w:rPr>
              <w:t>U/ml</w:t>
            </w:r>
          </w:p>
        </w:tc>
        <w:tc>
          <w:tcPr>
            <w:tcW w:w="0" w:type="auto"/>
            <w:shd w:val="clear" w:color="auto" w:fill="auto"/>
          </w:tcPr>
          <w:p w14:paraId="7AC44C4B" w14:textId="1B99C10D" w:rsidR="00177A78" w:rsidRPr="00C1603D" w:rsidRDefault="00177A78" w:rsidP="00D43A84">
            <w:pPr>
              <w:pStyle w:val="72TabletextTablesTableFigureBoxstyles"/>
            </w:pPr>
            <w:r w:rsidRPr="00C1603D">
              <w:rPr>
                <w:rFonts w:cs="Lato"/>
              </w:rPr>
              <w:t>64</w:t>
            </w:r>
            <w:r w:rsidR="00D43A84" w:rsidRPr="00C1603D">
              <w:rPr>
                <w:rFonts w:cs="Lato"/>
              </w:rPr>
              <w:t>–</w:t>
            </w:r>
            <w:r w:rsidRPr="00C1603D">
              <w:rPr>
                <w:rFonts w:cs="Lato"/>
              </w:rPr>
              <w:t>100</w:t>
            </w:r>
          </w:p>
        </w:tc>
        <w:tc>
          <w:tcPr>
            <w:tcW w:w="0" w:type="auto"/>
            <w:shd w:val="clear" w:color="auto" w:fill="auto"/>
          </w:tcPr>
          <w:p w14:paraId="57AFC07F" w14:textId="497FB5DD" w:rsidR="00177A78" w:rsidRPr="00C1603D" w:rsidRDefault="00177A78" w:rsidP="00D43A84">
            <w:pPr>
              <w:pStyle w:val="72TabletextTablesTableFigureBoxstyles"/>
            </w:pPr>
            <w:r w:rsidRPr="00C1603D">
              <w:rPr>
                <w:rFonts w:cs="Lato"/>
              </w:rPr>
              <w:t>88</w:t>
            </w:r>
            <w:r w:rsidR="00D43A84" w:rsidRPr="00C1603D">
              <w:rPr>
                <w:rFonts w:cs="Lato"/>
              </w:rPr>
              <w:t>–</w:t>
            </w:r>
            <w:r w:rsidRPr="00C1603D">
              <w:rPr>
                <w:rFonts w:cs="Lato"/>
              </w:rPr>
              <w:t>98</w:t>
            </w:r>
          </w:p>
        </w:tc>
      </w:tr>
      <w:tr w:rsidR="00177A78" w:rsidRPr="00C1603D" w14:paraId="29A37706" w14:textId="77777777" w:rsidTr="00D43A84">
        <w:trPr>
          <w:cantSplit/>
        </w:trPr>
        <w:tc>
          <w:tcPr>
            <w:tcW w:w="0" w:type="auto"/>
            <w:shd w:val="clear" w:color="auto" w:fill="auto"/>
          </w:tcPr>
          <w:p w14:paraId="5E5EFCEB" w14:textId="280EEC79" w:rsidR="00177A78" w:rsidRPr="00C1603D" w:rsidRDefault="00177A78" w:rsidP="00D43A84">
            <w:pPr>
              <w:pStyle w:val="72TabletextTablesTableFigureBoxstyles"/>
              <w:rPr>
                <w:b/>
              </w:rPr>
            </w:pPr>
            <w:r w:rsidRPr="00C1603D">
              <w:rPr>
                <w:rFonts w:cs="Lato"/>
              </w:rPr>
              <w:t>IgA EMA</w:t>
            </w:r>
          </w:p>
        </w:tc>
        <w:tc>
          <w:tcPr>
            <w:tcW w:w="0" w:type="auto"/>
            <w:shd w:val="clear" w:color="auto" w:fill="auto"/>
          </w:tcPr>
          <w:p w14:paraId="7D199B1C" w14:textId="5F92952D" w:rsidR="00177A78" w:rsidRPr="00C1603D" w:rsidRDefault="00177A78" w:rsidP="00D43A84">
            <w:pPr>
              <w:pStyle w:val="72TabletextTablesTableFigureBoxstyles"/>
            </w:pPr>
            <w:r w:rsidRPr="00C1603D">
              <w:rPr>
                <w:rFonts w:cs="Lato"/>
              </w:rPr>
              <w:t>8</w:t>
            </w:r>
          </w:p>
        </w:tc>
        <w:tc>
          <w:tcPr>
            <w:tcW w:w="0" w:type="auto"/>
            <w:shd w:val="clear" w:color="auto" w:fill="auto"/>
          </w:tcPr>
          <w:p w14:paraId="5A6075E9" w14:textId="1571DA88" w:rsidR="00177A78" w:rsidRPr="00C1603D" w:rsidRDefault="00177A78" w:rsidP="00D43A84">
            <w:pPr>
              <w:pStyle w:val="72TabletextTablesTableFigureBoxstyles"/>
            </w:pPr>
            <w:r w:rsidRPr="00C1603D">
              <w:rPr>
                <w:rFonts w:cs="Lato"/>
              </w:rPr>
              <w:t>3786 (327)</w:t>
            </w:r>
          </w:p>
        </w:tc>
        <w:tc>
          <w:tcPr>
            <w:tcW w:w="0" w:type="auto"/>
            <w:shd w:val="clear" w:color="auto" w:fill="auto"/>
          </w:tcPr>
          <w:p w14:paraId="4198457C" w14:textId="3D33DA1A" w:rsidR="00177A78" w:rsidRPr="00C1603D" w:rsidRDefault="00177A78" w:rsidP="00D43A84">
            <w:pPr>
              <w:pStyle w:val="72TabletextTablesTableFigureBoxstyles"/>
            </w:pPr>
            <w:r w:rsidRPr="00C1603D">
              <w:rPr>
                <w:rFonts w:cs="Lato"/>
              </w:rPr>
              <w:t>1</w:t>
            </w:r>
            <w:r w:rsidR="00D43A84" w:rsidRPr="00C1603D">
              <w:rPr>
                <w:rFonts w:cs="Lato"/>
              </w:rPr>
              <w:t> </w:t>
            </w:r>
            <w:r w:rsidRPr="00C1603D">
              <w:rPr>
                <w:rFonts w:cs="Lato"/>
              </w:rPr>
              <w:t>:</w:t>
            </w:r>
            <w:r w:rsidR="00D43A84" w:rsidRPr="00C1603D">
              <w:rPr>
                <w:rFonts w:cs="Lato"/>
              </w:rPr>
              <w:t> </w:t>
            </w:r>
            <w:r w:rsidRPr="00C1603D">
              <w:rPr>
                <w:rFonts w:cs="Lato"/>
              </w:rPr>
              <w:t>5</w:t>
            </w:r>
            <w:r w:rsidR="00D43A84" w:rsidRPr="00C1603D">
              <w:rPr>
                <w:rFonts w:cs="Lato"/>
              </w:rPr>
              <w:t>–</w:t>
            </w:r>
            <w:r w:rsidRPr="00C1603D">
              <w:rPr>
                <w:rFonts w:cs="Lato"/>
              </w:rPr>
              <w:t>1</w:t>
            </w:r>
            <w:r w:rsidR="00D43A84" w:rsidRPr="00C1603D">
              <w:rPr>
                <w:rFonts w:cs="Lato"/>
              </w:rPr>
              <w:t> </w:t>
            </w:r>
            <w:r w:rsidRPr="00C1603D">
              <w:rPr>
                <w:rFonts w:cs="Lato"/>
              </w:rPr>
              <w:t>:</w:t>
            </w:r>
            <w:r w:rsidR="00D43A84" w:rsidRPr="00C1603D">
              <w:rPr>
                <w:rFonts w:cs="Lato"/>
              </w:rPr>
              <w:t> </w:t>
            </w:r>
            <w:r w:rsidRPr="00C1603D">
              <w:rPr>
                <w:rFonts w:cs="Lato"/>
              </w:rPr>
              <w:t>20</w:t>
            </w:r>
          </w:p>
        </w:tc>
        <w:tc>
          <w:tcPr>
            <w:tcW w:w="0" w:type="auto"/>
            <w:shd w:val="clear" w:color="auto" w:fill="auto"/>
          </w:tcPr>
          <w:p w14:paraId="09AE77B9" w14:textId="09FFECB2" w:rsidR="00177A78" w:rsidRPr="00C1603D" w:rsidRDefault="00177A78" w:rsidP="00D43A84">
            <w:pPr>
              <w:pStyle w:val="72TabletextTablesTableFigureBoxstyles"/>
            </w:pPr>
            <w:r w:rsidRPr="00C1603D">
              <w:rPr>
                <w:rFonts w:cs="Lato"/>
              </w:rPr>
              <w:t>61</w:t>
            </w:r>
            <w:r w:rsidR="00D43A84" w:rsidRPr="00C1603D">
              <w:rPr>
                <w:rFonts w:cs="Lato"/>
              </w:rPr>
              <w:t>–</w:t>
            </w:r>
            <w:r w:rsidRPr="00C1603D">
              <w:rPr>
                <w:rFonts w:cs="Lato"/>
              </w:rPr>
              <w:t>100</w:t>
            </w:r>
          </w:p>
        </w:tc>
        <w:tc>
          <w:tcPr>
            <w:tcW w:w="0" w:type="auto"/>
            <w:shd w:val="clear" w:color="auto" w:fill="auto"/>
          </w:tcPr>
          <w:p w14:paraId="0533A73D" w14:textId="2EC3EEA6" w:rsidR="00177A78" w:rsidRPr="00C1603D" w:rsidRDefault="00177A78" w:rsidP="00D43A84">
            <w:pPr>
              <w:pStyle w:val="72TabletextTablesTableFigureBoxstyles"/>
            </w:pPr>
            <w:r w:rsidRPr="00C1603D">
              <w:rPr>
                <w:rFonts w:cs="Lato"/>
              </w:rPr>
              <w:t>98</w:t>
            </w:r>
            <w:r w:rsidR="00D43A84" w:rsidRPr="00C1603D">
              <w:rPr>
                <w:rFonts w:cs="Lato"/>
              </w:rPr>
              <w:t>–</w:t>
            </w:r>
            <w:r w:rsidRPr="00C1603D">
              <w:rPr>
                <w:rFonts w:cs="Lato"/>
              </w:rPr>
              <w:t>100</w:t>
            </w:r>
          </w:p>
        </w:tc>
      </w:tr>
      <w:tr w:rsidR="00177A78" w:rsidRPr="00C1603D" w14:paraId="25AB4703" w14:textId="77777777" w:rsidTr="00D43A84">
        <w:trPr>
          <w:cantSplit/>
        </w:trPr>
        <w:tc>
          <w:tcPr>
            <w:tcW w:w="0" w:type="auto"/>
            <w:gridSpan w:val="6"/>
            <w:shd w:val="clear" w:color="auto" w:fill="auto"/>
          </w:tcPr>
          <w:p w14:paraId="176F58B8" w14:textId="7DD9E934" w:rsidR="00177A78" w:rsidRPr="00C1603D" w:rsidRDefault="00177A78" w:rsidP="006B6BB7">
            <w:pPr>
              <w:pStyle w:val="712TablesubheadBTablesTableFigureBoxstyles"/>
            </w:pPr>
            <w:r w:rsidRPr="00C1603D">
              <w:t>Children</w:t>
            </w:r>
          </w:p>
        </w:tc>
      </w:tr>
      <w:tr w:rsidR="00177A78" w:rsidRPr="00C1603D" w14:paraId="7C9BD8A5" w14:textId="77777777" w:rsidTr="00D43A84">
        <w:trPr>
          <w:cantSplit/>
        </w:trPr>
        <w:tc>
          <w:tcPr>
            <w:tcW w:w="0" w:type="auto"/>
            <w:shd w:val="clear" w:color="auto" w:fill="auto"/>
          </w:tcPr>
          <w:p w14:paraId="4EFBE223" w14:textId="4EF737CA" w:rsidR="00177A78" w:rsidRPr="00C1603D" w:rsidRDefault="00177A78" w:rsidP="00D43A84">
            <w:pPr>
              <w:pStyle w:val="72TabletextTablesTableFigureBoxstyles"/>
              <w:rPr>
                <w:b/>
              </w:rPr>
            </w:pPr>
            <w:r w:rsidRPr="00C1603D">
              <w:rPr>
                <w:rFonts w:cs="Lato"/>
              </w:rPr>
              <w:t>IgA tTG</w:t>
            </w:r>
          </w:p>
        </w:tc>
        <w:tc>
          <w:tcPr>
            <w:tcW w:w="0" w:type="auto"/>
            <w:shd w:val="clear" w:color="auto" w:fill="auto"/>
          </w:tcPr>
          <w:p w14:paraId="301F3CD2" w14:textId="7D241460" w:rsidR="00177A78" w:rsidRPr="00C1603D" w:rsidRDefault="00177A78" w:rsidP="00D43A84">
            <w:pPr>
              <w:pStyle w:val="72TabletextTablesTableFigureBoxstyles"/>
            </w:pPr>
            <w:r w:rsidRPr="00C1603D">
              <w:rPr>
                <w:rFonts w:cs="Lato"/>
              </w:rPr>
              <w:t>8</w:t>
            </w:r>
          </w:p>
        </w:tc>
        <w:tc>
          <w:tcPr>
            <w:tcW w:w="0" w:type="auto"/>
            <w:shd w:val="clear" w:color="auto" w:fill="auto"/>
          </w:tcPr>
          <w:p w14:paraId="396D118A" w14:textId="6C2E9877" w:rsidR="00177A78" w:rsidRPr="00C1603D" w:rsidRDefault="00177A78" w:rsidP="00D43A84">
            <w:pPr>
              <w:pStyle w:val="72TabletextTablesTableFigureBoxstyles"/>
            </w:pPr>
            <w:r w:rsidRPr="00C1603D">
              <w:rPr>
                <w:rFonts w:cs="Lato"/>
              </w:rPr>
              <w:t>1126 (615)</w:t>
            </w:r>
          </w:p>
        </w:tc>
        <w:tc>
          <w:tcPr>
            <w:tcW w:w="0" w:type="auto"/>
            <w:shd w:val="clear" w:color="auto" w:fill="auto"/>
          </w:tcPr>
          <w:p w14:paraId="2846BF63" w14:textId="64FEF3EB" w:rsidR="00177A78" w:rsidRPr="00C1603D" w:rsidRDefault="00177A78" w:rsidP="00D43A84">
            <w:pPr>
              <w:pStyle w:val="72TabletextTablesTableFigureBoxstyles"/>
            </w:pPr>
            <w:r w:rsidRPr="00C1603D">
              <w:rPr>
                <w:rFonts w:cs="Lato"/>
              </w:rPr>
              <w:t>4</w:t>
            </w:r>
            <w:r w:rsidR="00D43A84" w:rsidRPr="00C1603D">
              <w:rPr>
                <w:rFonts w:cs="Lato"/>
              </w:rPr>
              <w:t>–</w:t>
            </w:r>
            <w:r w:rsidRPr="00C1603D">
              <w:rPr>
                <w:rFonts w:cs="Lato"/>
              </w:rPr>
              <w:t>20</w:t>
            </w:r>
            <w:r w:rsidR="00D43A84" w:rsidRPr="00C1603D">
              <w:rPr>
                <w:rFonts w:cs="Lato"/>
              </w:rPr>
              <w:t> </w:t>
            </w:r>
            <w:r w:rsidRPr="00C1603D">
              <w:rPr>
                <w:rFonts w:cs="Lato"/>
              </w:rPr>
              <w:t>U/ml</w:t>
            </w:r>
          </w:p>
        </w:tc>
        <w:tc>
          <w:tcPr>
            <w:tcW w:w="0" w:type="auto"/>
            <w:shd w:val="clear" w:color="auto" w:fill="auto"/>
          </w:tcPr>
          <w:p w14:paraId="3D291427" w14:textId="68E066F0" w:rsidR="00177A78" w:rsidRPr="00C1603D" w:rsidRDefault="00177A78" w:rsidP="00D43A84">
            <w:pPr>
              <w:pStyle w:val="72TabletextTablesTableFigureBoxstyles"/>
            </w:pPr>
            <w:r w:rsidRPr="00C1603D">
              <w:rPr>
                <w:rFonts w:cs="Lato"/>
              </w:rPr>
              <w:t>40</w:t>
            </w:r>
            <w:r w:rsidR="00D43A84" w:rsidRPr="00C1603D">
              <w:rPr>
                <w:rFonts w:cs="Lato"/>
              </w:rPr>
              <w:t>–</w:t>
            </w:r>
            <w:r w:rsidRPr="00C1603D">
              <w:rPr>
                <w:rFonts w:cs="Lato"/>
              </w:rPr>
              <w:t>100</w:t>
            </w:r>
          </w:p>
        </w:tc>
        <w:tc>
          <w:tcPr>
            <w:tcW w:w="0" w:type="auto"/>
            <w:shd w:val="clear" w:color="auto" w:fill="auto"/>
          </w:tcPr>
          <w:p w14:paraId="6BF6F82D" w14:textId="5DFF3FA5" w:rsidR="00177A78" w:rsidRPr="00C1603D" w:rsidRDefault="00177A78" w:rsidP="00D43A84">
            <w:pPr>
              <w:pStyle w:val="72TabletextTablesTableFigureBoxstyles"/>
            </w:pPr>
            <w:r w:rsidRPr="00C1603D">
              <w:rPr>
                <w:rFonts w:cs="Lato"/>
              </w:rPr>
              <w:t>8</w:t>
            </w:r>
            <w:r w:rsidR="00D43A84" w:rsidRPr="00C1603D">
              <w:rPr>
                <w:rFonts w:cs="Lato"/>
              </w:rPr>
              <w:t>–</w:t>
            </w:r>
            <w:r w:rsidRPr="00C1603D">
              <w:rPr>
                <w:rFonts w:cs="Lato"/>
              </w:rPr>
              <w:t>100</w:t>
            </w:r>
          </w:p>
        </w:tc>
      </w:tr>
      <w:tr w:rsidR="00177A78" w:rsidRPr="00C1603D" w14:paraId="23670F50" w14:textId="77777777" w:rsidTr="00D43A84">
        <w:trPr>
          <w:cantSplit/>
        </w:trPr>
        <w:tc>
          <w:tcPr>
            <w:tcW w:w="0" w:type="auto"/>
            <w:shd w:val="clear" w:color="auto" w:fill="auto"/>
          </w:tcPr>
          <w:p w14:paraId="73246520" w14:textId="65E61EF6" w:rsidR="00177A78" w:rsidRPr="00C1603D" w:rsidRDefault="00177A78" w:rsidP="00D43A84">
            <w:pPr>
              <w:pStyle w:val="72TabletextTablesTableFigureBoxstyles"/>
              <w:rPr>
                <w:b/>
              </w:rPr>
            </w:pPr>
            <w:r w:rsidRPr="00C1603D">
              <w:rPr>
                <w:rFonts w:cs="Lato"/>
              </w:rPr>
              <w:t>IgA EMA</w:t>
            </w:r>
          </w:p>
        </w:tc>
        <w:tc>
          <w:tcPr>
            <w:tcW w:w="0" w:type="auto"/>
            <w:shd w:val="clear" w:color="auto" w:fill="auto"/>
          </w:tcPr>
          <w:p w14:paraId="564880CC" w14:textId="483EABF8" w:rsidR="00177A78" w:rsidRPr="00C1603D" w:rsidRDefault="00177A78" w:rsidP="00D43A84">
            <w:pPr>
              <w:pStyle w:val="72TabletextTablesTableFigureBoxstyles"/>
            </w:pPr>
            <w:r w:rsidRPr="00C1603D">
              <w:rPr>
                <w:rFonts w:cs="Lato"/>
              </w:rPr>
              <w:t>8</w:t>
            </w:r>
          </w:p>
        </w:tc>
        <w:tc>
          <w:tcPr>
            <w:tcW w:w="0" w:type="auto"/>
            <w:shd w:val="clear" w:color="auto" w:fill="auto"/>
          </w:tcPr>
          <w:p w14:paraId="3681FBD6" w14:textId="27581273" w:rsidR="00177A78" w:rsidRPr="00C1603D" w:rsidRDefault="00177A78" w:rsidP="00D43A84">
            <w:pPr>
              <w:pStyle w:val="72TabletextTablesTableFigureBoxstyles"/>
            </w:pPr>
            <w:r w:rsidRPr="00C1603D">
              <w:rPr>
                <w:rFonts w:cs="Lato"/>
              </w:rPr>
              <w:t>1327 (753)</w:t>
            </w:r>
          </w:p>
        </w:tc>
        <w:tc>
          <w:tcPr>
            <w:tcW w:w="0" w:type="auto"/>
            <w:shd w:val="clear" w:color="auto" w:fill="auto"/>
          </w:tcPr>
          <w:p w14:paraId="33A6FF88" w14:textId="50B2B83B" w:rsidR="00177A78" w:rsidRPr="00C1603D" w:rsidRDefault="00177A78" w:rsidP="00D43A84">
            <w:pPr>
              <w:pStyle w:val="72TabletextTablesTableFigureBoxstyles"/>
            </w:pPr>
            <w:r w:rsidRPr="00C1603D">
              <w:rPr>
                <w:rFonts w:cs="Lato"/>
              </w:rPr>
              <w:t>1</w:t>
            </w:r>
            <w:r w:rsidR="00D43A84" w:rsidRPr="00C1603D">
              <w:rPr>
                <w:rFonts w:cs="Lato"/>
              </w:rPr>
              <w:t> </w:t>
            </w:r>
            <w:r w:rsidRPr="00C1603D">
              <w:rPr>
                <w:rFonts w:cs="Lato"/>
              </w:rPr>
              <w:t>:</w:t>
            </w:r>
            <w:r w:rsidR="00D43A84" w:rsidRPr="00C1603D">
              <w:rPr>
                <w:rFonts w:cs="Lato"/>
              </w:rPr>
              <w:t> </w:t>
            </w:r>
            <w:r w:rsidRPr="00C1603D">
              <w:rPr>
                <w:rFonts w:cs="Lato"/>
              </w:rPr>
              <w:t>5</w:t>
            </w:r>
            <w:r w:rsidR="00D43A84" w:rsidRPr="00C1603D">
              <w:rPr>
                <w:rFonts w:cs="Lato"/>
              </w:rPr>
              <w:t>–</w:t>
            </w:r>
            <w:r w:rsidRPr="00C1603D">
              <w:rPr>
                <w:rFonts w:cs="Lato"/>
              </w:rPr>
              <w:t>1</w:t>
            </w:r>
            <w:r w:rsidR="00D43A84" w:rsidRPr="00C1603D">
              <w:rPr>
                <w:rFonts w:cs="Lato"/>
              </w:rPr>
              <w:t> </w:t>
            </w:r>
            <w:r w:rsidRPr="00C1603D">
              <w:rPr>
                <w:rFonts w:cs="Lato"/>
              </w:rPr>
              <w:t>:</w:t>
            </w:r>
            <w:r w:rsidR="00D43A84" w:rsidRPr="00C1603D">
              <w:rPr>
                <w:rFonts w:cs="Lato"/>
              </w:rPr>
              <w:t> </w:t>
            </w:r>
            <w:r w:rsidRPr="00C1603D">
              <w:rPr>
                <w:rFonts w:cs="Lato"/>
              </w:rPr>
              <w:t>20</w:t>
            </w:r>
          </w:p>
        </w:tc>
        <w:tc>
          <w:tcPr>
            <w:tcW w:w="0" w:type="auto"/>
            <w:shd w:val="clear" w:color="auto" w:fill="auto"/>
          </w:tcPr>
          <w:p w14:paraId="28A5E67D" w14:textId="2E21140D" w:rsidR="00177A78" w:rsidRPr="00C1603D" w:rsidRDefault="00177A78" w:rsidP="00D43A84">
            <w:pPr>
              <w:pStyle w:val="72TabletextTablesTableFigureBoxstyles"/>
            </w:pPr>
            <w:r w:rsidRPr="00C1603D">
              <w:rPr>
                <w:rFonts w:cs="Lato"/>
              </w:rPr>
              <w:t>40</w:t>
            </w:r>
            <w:r w:rsidR="00D43A84" w:rsidRPr="00C1603D">
              <w:rPr>
                <w:rFonts w:cs="Lato"/>
              </w:rPr>
              <w:t>–</w:t>
            </w:r>
            <w:r w:rsidRPr="00C1603D">
              <w:rPr>
                <w:rFonts w:cs="Lato"/>
              </w:rPr>
              <w:t>98</w:t>
            </w:r>
          </w:p>
        </w:tc>
        <w:tc>
          <w:tcPr>
            <w:tcW w:w="0" w:type="auto"/>
            <w:shd w:val="clear" w:color="auto" w:fill="auto"/>
          </w:tcPr>
          <w:p w14:paraId="7F881A54" w14:textId="312E19FF" w:rsidR="00177A78" w:rsidRPr="00C1603D" w:rsidRDefault="00177A78" w:rsidP="00D43A84">
            <w:pPr>
              <w:pStyle w:val="72TabletextTablesTableFigureBoxstyles"/>
            </w:pPr>
            <w:r w:rsidRPr="00C1603D">
              <w:rPr>
                <w:rFonts w:cs="Lato"/>
              </w:rPr>
              <w:t>43</w:t>
            </w:r>
            <w:r w:rsidR="00D43A84" w:rsidRPr="00C1603D">
              <w:rPr>
                <w:rFonts w:cs="Lato"/>
              </w:rPr>
              <w:t>–</w:t>
            </w:r>
            <w:r w:rsidRPr="00C1603D">
              <w:rPr>
                <w:rFonts w:cs="Lato"/>
              </w:rPr>
              <w:t>100</w:t>
            </w:r>
          </w:p>
        </w:tc>
      </w:tr>
      <w:tr w:rsidR="008B4DF8" w:rsidRPr="00C1603D" w14:paraId="67610092" w14:textId="77777777" w:rsidTr="00D43A84">
        <w:trPr>
          <w:cantSplit/>
        </w:trPr>
        <w:tc>
          <w:tcPr>
            <w:tcW w:w="0" w:type="auto"/>
            <w:gridSpan w:val="6"/>
            <w:shd w:val="clear" w:color="auto" w:fill="auto"/>
          </w:tcPr>
          <w:p w14:paraId="36D01276" w14:textId="77777777" w:rsidR="008B4DF8" w:rsidRPr="00C1603D" w:rsidRDefault="008B4DF8" w:rsidP="00D43A84">
            <w:pPr>
              <w:pStyle w:val="711TablesubheadATablesTableFigureBoxstyles"/>
            </w:pPr>
            <w:r w:rsidRPr="00C1603D">
              <w:t>All patients underwent biopsy</w:t>
            </w:r>
          </w:p>
        </w:tc>
      </w:tr>
      <w:tr w:rsidR="00A46220" w:rsidRPr="00C1603D" w14:paraId="298DC2A4" w14:textId="77777777" w:rsidTr="00D43A84">
        <w:trPr>
          <w:cantSplit/>
        </w:trPr>
        <w:tc>
          <w:tcPr>
            <w:tcW w:w="0" w:type="auto"/>
            <w:gridSpan w:val="6"/>
            <w:shd w:val="clear" w:color="auto" w:fill="auto"/>
          </w:tcPr>
          <w:p w14:paraId="6AA07AA4" w14:textId="11649767" w:rsidR="00A46220" w:rsidRPr="00C1603D" w:rsidRDefault="00A46220" w:rsidP="006B6BB7">
            <w:pPr>
              <w:pStyle w:val="712TablesubheadBTablesTableFigureBoxstyles"/>
            </w:pPr>
            <w:r w:rsidRPr="00C1603D">
              <w:t>Adults</w:t>
            </w:r>
          </w:p>
        </w:tc>
      </w:tr>
      <w:tr w:rsidR="00A46220" w:rsidRPr="00C1603D" w14:paraId="7E62C514" w14:textId="77777777" w:rsidTr="00D43A84">
        <w:trPr>
          <w:cantSplit/>
        </w:trPr>
        <w:tc>
          <w:tcPr>
            <w:tcW w:w="0" w:type="auto"/>
            <w:shd w:val="clear" w:color="auto" w:fill="auto"/>
          </w:tcPr>
          <w:p w14:paraId="24F12E1D" w14:textId="28703473" w:rsidR="00A46220" w:rsidRPr="00C1603D" w:rsidRDefault="00A46220" w:rsidP="00D43A84">
            <w:pPr>
              <w:pStyle w:val="72TabletextTablesTableFigureBoxstyles"/>
              <w:rPr>
                <w:b/>
              </w:rPr>
            </w:pPr>
            <w:r w:rsidRPr="00C1603D">
              <w:rPr>
                <w:rFonts w:cs="Lato"/>
              </w:rPr>
              <w:t>IgA tTG</w:t>
            </w:r>
          </w:p>
        </w:tc>
        <w:tc>
          <w:tcPr>
            <w:tcW w:w="0" w:type="auto"/>
            <w:shd w:val="clear" w:color="auto" w:fill="auto"/>
          </w:tcPr>
          <w:p w14:paraId="5382D5CB" w14:textId="7398EFCC" w:rsidR="00A46220" w:rsidRPr="00C1603D" w:rsidRDefault="00A46220" w:rsidP="00D43A84">
            <w:pPr>
              <w:pStyle w:val="72TabletextTablesTableFigureBoxstyles"/>
            </w:pPr>
            <w:r w:rsidRPr="00C1603D">
              <w:rPr>
                <w:rFonts w:cs="Lato"/>
              </w:rPr>
              <w:t>26</w:t>
            </w:r>
          </w:p>
        </w:tc>
        <w:tc>
          <w:tcPr>
            <w:tcW w:w="0" w:type="auto"/>
            <w:shd w:val="clear" w:color="auto" w:fill="auto"/>
          </w:tcPr>
          <w:p w14:paraId="5D509C9E" w14:textId="73529C60" w:rsidR="00A46220" w:rsidRPr="00C1603D" w:rsidRDefault="00A46220" w:rsidP="00D43A84">
            <w:pPr>
              <w:pStyle w:val="72TabletextTablesTableFigureBoxstyles"/>
            </w:pPr>
            <w:r w:rsidRPr="00C1603D">
              <w:rPr>
                <w:rFonts w:cs="Lato"/>
              </w:rPr>
              <w:t>11</w:t>
            </w:r>
            <w:r w:rsidR="00D43A84" w:rsidRPr="00C1603D">
              <w:rPr>
                <w:rFonts w:cs="Lato"/>
              </w:rPr>
              <w:t>,</w:t>
            </w:r>
            <w:r w:rsidRPr="00C1603D">
              <w:rPr>
                <w:rFonts w:cs="Lato"/>
              </w:rPr>
              <w:t>183 (2444)</w:t>
            </w:r>
          </w:p>
        </w:tc>
        <w:tc>
          <w:tcPr>
            <w:tcW w:w="0" w:type="auto"/>
            <w:shd w:val="clear" w:color="auto" w:fill="auto"/>
          </w:tcPr>
          <w:p w14:paraId="78954B5C" w14:textId="6454318B" w:rsidR="00A46220" w:rsidRPr="00C1603D" w:rsidRDefault="00A46220" w:rsidP="00D43A84">
            <w:pPr>
              <w:pStyle w:val="72TabletextTablesTableFigureBoxstyles"/>
            </w:pPr>
            <w:r w:rsidRPr="00C1603D">
              <w:rPr>
                <w:rFonts w:cs="Lato"/>
              </w:rPr>
              <w:t>5</w:t>
            </w:r>
            <w:r w:rsidR="00D43A84" w:rsidRPr="00C1603D">
              <w:rPr>
                <w:rFonts w:cs="Lato"/>
              </w:rPr>
              <w:t>–</w:t>
            </w:r>
            <w:r w:rsidRPr="00C1603D">
              <w:rPr>
                <w:rFonts w:cs="Lato"/>
              </w:rPr>
              <w:t>25</w:t>
            </w:r>
            <w:r w:rsidR="006B6BB7" w:rsidRPr="00C1603D">
              <w:rPr>
                <w:rFonts w:cs="Lato"/>
              </w:rPr>
              <w:t> </w:t>
            </w:r>
            <w:r w:rsidRPr="00C1603D">
              <w:rPr>
                <w:rFonts w:cs="Lato"/>
              </w:rPr>
              <w:t>U/ml</w:t>
            </w:r>
          </w:p>
        </w:tc>
        <w:tc>
          <w:tcPr>
            <w:tcW w:w="0" w:type="auto"/>
            <w:shd w:val="clear" w:color="auto" w:fill="auto"/>
          </w:tcPr>
          <w:p w14:paraId="12791331" w14:textId="6341F037" w:rsidR="00A46220" w:rsidRPr="00C1603D" w:rsidRDefault="00A46220" w:rsidP="00D43A84">
            <w:pPr>
              <w:pStyle w:val="72TabletextTablesTableFigureBoxstyles"/>
            </w:pPr>
            <w:r w:rsidRPr="00C1603D">
              <w:rPr>
                <w:rFonts w:cs="Lato"/>
              </w:rPr>
              <w:t>64</w:t>
            </w:r>
            <w:r w:rsidR="00D43A84" w:rsidRPr="00C1603D">
              <w:rPr>
                <w:rFonts w:cs="Lato"/>
              </w:rPr>
              <w:t>–</w:t>
            </w:r>
            <w:r w:rsidRPr="00C1603D">
              <w:rPr>
                <w:rFonts w:cs="Lato"/>
              </w:rPr>
              <w:t>100</w:t>
            </w:r>
          </w:p>
        </w:tc>
        <w:tc>
          <w:tcPr>
            <w:tcW w:w="0" w:type="auto"/>
            <w:shd w:val="clear" w:color="auto" w:fill="auto"/>
          </w:tcPr>
          <w:p w14:paraId="49E20190" w14:textId="440F089A" w:rsidR="00A46220" w:rsidRPr="00C1603D" w:rsidRDefault="00A46220" w:rsidP="00D43A84">
            <w:pPr>
              <w:pStyle w:val="72TabletextTablesTableFigureBoxstyles"/>
            </w:pPr>
            <w:r w:rsidRPr="00C1603D">
              <w:rPr>
                <w:rFonts w:cs="Lato"/>
              </w:rPr>
              <w:t>0</w:t>
            </w:r>
            <w:r w:rsidR="00D43A84" w:rsidRPr="00C1603D">
              <w:rPr>
                <w:rFonts w:cs="Lato"/>
              </w:rPr>
              <w:t>–</w:t>
            </w:r>
            <w:r w:rsidRPr="00C1603D">
              <w:rPr>
                <w:rFonts w:cs="Lato"/>
              </w:rPr>
              <w:t>100</w:t>
            </w:r>
          </w:p>
        </w:tc>
      </w:tr>
      <w:tr w:rsidR="00A46220" w:rsidRPr="00C1603D" w14:paraId="34A5EC4F" w14:textId="77777777" w:rsidTr="00D43A84">
        <w:trPr>
          <w:cantSplit/>
        </w:trPr>
        <w:tc>
          <w:tcPr>
            <w:tcW w:w="0" w:type="auto"/>
            <w:shd w:val="clear" w:color="auto" w:fill="auto"/>
          </w:tcPr>
          <w:p w14:paraId="0FAC6CBF" w14:textId="77ACE77A" w:rsidR="00A46220" w:rsidRPr="00C1603D" w:rsidRDefault="00A46220" w:rsidP="00D43A84">
            <w:pPr>
              <w:pStyle w:val="72TabletextTablesTableFigureBoxstyles"/>
              <w:rPr>
                <w:b/>
              </w:rPr>
            </w:pPr>
            <w:r w:rsidRPr="00C1603D">
              <w:rPr>
                <w:rFonts w:cs="Lato"/>
              </w:rPr>
              <w:t>IgA EMA</w:t>
            </w:r>
          </w:p>
        </w:tc>
        <w:tc>
          <w:tcPr>
            <w:tcW w:w="0" w:type="auto"/>
            <w:shd w:val="clear" w:color="auto" w:fill="auto"/>
          </w:tcPr>
          <w:p w14:paraId="64D4918F" w14:textId="3F391F98" w:rsidR="00A46220" w:rsidRPr="00C1603D" w:rsidRDefault="00A46220" w:rsidP="00D43A84">
            <w:pPr>
              <w:pStyle w:val="72TabletextTablesTableFigureBoxstyles"/>
            </w:pPr>
            <w:r w:rsidRPr="00C1603D">
              <w:rPr>
                <w:rFonts w:cs="Lato"/>
              </w:rPr>
              <w:t>18</w:t>
            </w:r>
          </w:p>
        </w:tc>
        <w:tc>
          <w:tcPr>
            <w:tcW w:w="0" w:type="auto"/>
            <w:shd w:val="clear" w:color="auto" w:fill="auto"/>
          </w:tcPr>
          <w:p w14:paraId="49E1014D" w14:textId="0D7DCFD5" w:rsidR="00A46220" w:rsidRPr="00C1603D" w:rsidRDefault="00A46220" w:rsidP="00D43A84">
            <w:pPr>
              <w:pStyle w:val="72TabletextTablesTableFigureBoxstyles"/>
            </w:pPr>
            <w:r w:rsidRPr="00C1603D">
              <w:rPr>
                <w:rFonts w:cs="Lato"/>
              </w:rPr>
              <w:t>7010 (1021)</w:t>
            </w:r>
          </w:p>
        </w:tc>
        <w:tc>
          <w:tcPr>
            <w:tcW w:w="0" w:type="auto"/>
            <w:shd w:val="clear" w:color="auto" w:fill="auto"/>
          </w:tcPr>
          <w:p w14:paraId="57FBC575" w14:textId="4E1B1113" w:rsidR="00A46220" w:rsidRPr="00C1603D" w:rsidRDefault="006B6BB7" w:rsidP="00D43A84">
            <w:pPr>
              <w:pStyle w:val="72TabletextTablesTableFigureBoxstyles"/>
            </w:pPr>
            <w:r w:rsidRPr="00C1603D">
              <w:rPr>
                <w:rFonts w:cs="Lato"/>
              </w:rPr>
              <w:t>1 : 5–1 : 20</w:t>
            </w:r>
          </w:p>
        </w:tc>
        <w:tc>
          <w:tcPr>
            <w:tcW w:w="0" w:type="auto"/>
            <w:shd w:val="clear" w:color="auto" w:fill="auto"/>
          </w:tcPr>
          <w:p w14:paraId="70D2F537" w14:textId="68DD9F87" w:rsidR="00A46220" w:rsidRPr="00C1603D" w:rsidRDefault="00A46220" w:rsidP="00D43A84">
            <w:pPr>
              <w:pStyle w:val="72TabletextTablesTableFigureBoxstyles"/>
            </w:pPr>
            <w:r w:rsidRPr="00C1603D">
              <w:rPr>
                <w:rFonts w:cs="Lato"/>
              </w:rPr>
              <w:t>61</w:t>
            </w:r>
            <w:r w:rsidR="00D43A84" w:rsidRPr="00C1603D">
              <w:rPr>
                <w:rFonts w:cs="Lato"/>
              </w:rPr>
              <w:t>–</w:t>
            </w:r>
            <w:r w:rsidRPr="00C1603D">
              <w:rPr>
                <w:rFonts w:cs="Lato"/>
              </w:rPr>
              <w:t>100</w:t>
            </w:r>
          </w:p>
        </w:tc>
        <w:tc>
          <w:tcPr>
            <w:tcW w:w="0" w:type="auto"/>
            <w:shd w:val="clear" w:color="auto" w:fill="auto"/>
          </w:tcPr>
          <w:p w14:paraId="68162568" w14:textId="7963D329" w:rsidR="00A46220" w:rsidRPr="00C1603D" w:rsidRDefault="00A46220" w:rsidP="00D43A84">
            <w:pPr>
              <w:pStyle w:val="72TabletextTablesTableFigureBoxstyles"/>
            </w:pPr>
            <w:r w:rsidRPr="00C1603D">
              <w:rPr>
                <w:rFonts w:cs="Lato"/>
              </w:rPr>
              <w:t>88</w:t>
            </w:r>
            <w:r w:rsidR="00D43A84" w:rsidRPr="00C1603D">
              <w:rPr>
                <w:rFonts w:cs="Lato"/>
              </w:rPr>
              <w:t>–</w:t>
            </w:r>
            <w:r w:rsidRPr="00C1603D">
              <w:rPr>
                <w:rFonts w:cs="Lato"/>
              </w:rPr>
              <w:t>100</w:t>
            </w:r>
          </w:p>
        </w:tc>
      </w:tr>
      <w:tr w:rsidR="00A46220" w:rsidRPr="00C1603D" w14:paraId="78722088" w14:textId="77777777" w:rsidTr="00D43A84">
        <w:trPr>
          <w:cantSplit/>
        </w:trPr>
        <w:tc>
          <w:tcPr>
            <w:tcW w:w="0" w:type="auto"/>
            <w:gridSpan w:val="6"/>
            <w:shd w:val="clear" w:color="auto" w:fill="auto"/>
          </w:tcPr>
          <w:p w14:paraId="52B4AD88" w14:textId="38AA9B8B" w:rsidR="00A46220" w:rsidRPr="00C1603D" w:rsidRDefault="00A46220" w:rsidP="006B6BB7">
            <w:pPr>
              <w:pStyle w:val="712TablesubheadBTablesTableFigureBoxstyles"/>
            </w:pPr>
            <w:r w:rsidRPr="00C1603D">
              <w:t>Children</w:t>
            </w:r>
          </w:p>
        </w:tc>
      </w:tr>
      <w:tr w:rsidR="00A46220" w:rsidRPr="00C1603D" w14:paraId="28ACA404" w14:textId="77777777" w:rsidTr="00D43A84">
        <w:trPr>
          <w:cantSplit/>
        </w:trPr>
        <w:tc>
          <w:tcPr>
            <w:tcW w:w="0" w:type="auto"/>
            <w:shd w:val="clear" w:color="auto" w:fill="auto"/>
          </w:tcPr>
          <w:p w14:paraId="708D6377" w14:textId="1AACCFED" w:rsidR="00A46220" w:rsidRPr="00C1603D" w:rsidRDefault="00A46220" w:rsidP="00D43A84">
            <w:pPr>
              <w:pStyle w:val="72TabletextTablesTableFigureBoxstyles"/>
              <w:rPr>
                <w:b/>
              </w:rPr>
            </w:pPr>
            <w:r w:rsidRPr="00C1603D">
              <w:rPr>
                <w:rFonts w:cs="Lato"/>
              </w:rPr>
              <w:t>IgA tTG</w:t>
            </w:r>
          </w:p>
        </w:tc>
        <w:tc>
          <w:tcPr>
            <w:tcW w:w="0" w:type="auto"/>
            <w:shd w:val="clear" w:color="auto" w:fill="auto"/>
          </w:tcPr>
          <w:p w14:paraId="7B2DB20E" w14:textId="72B17FA0" w:rsidR="00A46220" w:rsidRPr="00C1603D" w:rsidRDefault="00A46220" w:rsidP="00D43A84">
            <w:pPr>
              <w:pStyle w:val="72TabletextTablesTableFigureBoxstyles"/>
            </w:pPr>
            <w:r w:rsidRPr="00C1603D">
              <w:rPr>
                <w:rFonts w:cs="Lato"/>
              </w:rPr>
              <w:t>31</w:t>
            </w:r>
          </w:p>
        </w:tc>
        <w:tc>
          <w:tcPr>
            <w:tcW w:w="0" w:type="auto"/>
            <w:shd w:val="clear" w:color="auto" w:fill="auto"/>
          </w:tcPr>
          <w:p w14:paraId="2314BD99" w14:textId="1E7A16BC" w:rsidR="00A46220" w:rsidRPr="00C1603D" w:rsidRDefault="00A46220" w:rsidP="00D43A84">
            <w:pPr>
              <w:pStyle w:val="72TabletextTablesTableFigureBoxstyles"/>
            </w:pPr>
            <w:r w:rsidRPr="00C1603D">
              <w:rPr>
                <w:rFonts w:cs="Lato"/>
              </w:rPr>
              <w:t>5824 (3330)</w:t>
            </w:r>
          </w:p>
        </w:tc>
        <w:tc>
          <w:tcPr>
            <w:tcW w:w="0" w:type="auto"/>
            <w:shd w:val="clear" w:color="auto" w:fill="auto"/>
          </w:tcPr>
          <w:p w14:paraId="6DBA4975" w14:textId="41F3CF3F" w:rsidR="00A46220" w:rsidRPr="00C1603D" w:rsidRDefault="00A46220" w:rsidP="00D43A84">
            <w:pPr>
              <w:pStyle w:val="72TabletextTablesTableFigureBoxstyles"/>
            </w:pPr>
            <w:r w:rsidRPr="00C1603D">
              <w:rPr>
                <w:rFonts w:cs="Lato"/>
              </w:rPr>
              <w:t>3</w:t>
            </w:r>
            <w:r w:rsidR="00D43A84" w:rsidRPr="00C1603D">
              <w:rPr>
                <w:rFonts w:cs="Lato"/>
              </w:rPr>
              <w:t>–</w:t>
            </w:r>
            <w:r w:rsidRPr="00C1603D">
              <w:rPr>
                <w:rFonts w:cs="Lato"/>
              </w:rPr>
              <w:t>100</w:t>
            </w:r>
            <w:r w:rsidR="006B6BB7" w:rsidRPr="00C1603D">
              <w:rPr>
                <w:rFonts w:cs="Lato"/>
              </w:rPr>
              <w:t> </w:t>
            </w:r>
            <w:r w:rsidRPr="00C1603D">
              <w:rPr>
                <w:rFonts w:cs="Lato"/>
              </w:rPr>
              <w:t>U/ml</w:t>
            </w:r>
          </w:p>
        </w:tc>
        <w:tc>
          <w:tcPr>
            <w:tcW w:w="0" w:type="auto"/>
            <w:shd w:val="clear" w:color="auto" w:fill="auto"/>
          </w:tcPr>
          <w:p w14:paraId="1EA0F428" w14:textId="4DCD94E4" w:rsidR="00A46220" w:rsidRPr="00C1603D" w:rsidRDefault="00A46220" w:rsidP="00D43A84">
            <w:pPr>
              <w:pStyle w:val="72TabletextTablesTableFigureBoxstyles"/>
            </w:pPr>
            <w:r w:rsidRPr="00C1603D">
              <w:rPr>
                <w:rFonts w:cs="Lato"/>
              </w:rPr>
              <w:t>29</w:t>
            </w:r>
            <w:r w:rsidR="00D43A84" w:rsidRPr="00C1603D">
              <w:rPr>
                <w:rFonts w:cs="Lato"/>
              </w:rPr>
              <w:t>–</w:t>
            </w:r>
            <w:r w:rsidRPr="00C1603D">
              <w:rPr>
                <w:rFonts w:cs="Lato"/>
              </w:rPr>
              <w:t>100</w:t>
            </w:r>
          </w:p>
        </w:tc>
        <w:tc>
          <w:tcPr>
            <w:tcW w:w="0" w:type="auto"/>
            <w:shd w:val="clear" w:color="auto" w:fill="auto"/>
          </w:tcPr>
          <w:p w14:paraId="1FC376AE" w14:textId="3F96ED40" w:rsidR="00A46220" w:rsidRPr="00C1603D" w:rsidRDefault="00A46220" w:rsidP="00D43A84">
            <w:pPr>
              <w:pStyle w:val="72TabletextTablesTableFigureBoxstyles"/>
            </w:pPr>
            <w:r w:rsidRPr="00C1603D">
              <w:rPr>
                <w:rFonts w:cs="Lato"/>
              </w:rPr>
              <w:t>24</w:t>
            </w:r>
            <w:r w:rsidR="00D43A84" w:rsidRPr="00C1603D">
              <w:rPr>
                <w:rFonts w:cs="Lato"/>
              </w:rPr>
              <w:t>–</w:t>
            </w:r>
            <w:r w:rsidRPr="00C1603D">
              <w:rPr>
                <w:rFonts w:cs="Lato"/>
              </w:rPr>
              <w:t>100</w:t>
            </w:r>
          </w:p>
        </w:tc>
      </w:tr>
      <w:tr w:rsidR="00A46220" w:rsidRPr="00C1603D" w14:paraId="5A27257A" w14:textId="77777777" w:rsidTr="00D43A84">
        <w:trPr>
          <w:cantSplit/>
        </w:trPr>
        <w:tc>
          <w:tcPr>
            <w:tcW w:w="0" w:type="auto"/>
            <w:shd w:val="clear" w:color="auto" w:fill="auto"/>
          </w:tcPr>
          <w:p w14:paraId="4FE319C9" w14:textId="14555403" w:rsidR="00A46220" w:rsidRPr="00C1603D" w:rsidRDefault="00A46220" w:rsidP="00D43A84">
            <w:pPr>
              <w:pStyle w:val="72TabletextTablesTableFigureBoxstyles"/>
              <w:rPr>
                <w:b/>
              </w:rPr>
            </w:pPr>
            <w:r w:rsidRPr="00C1603D">
              <w:rPr>
                <w:rFonts w:cs="Lato"/>
              </w:rPr>
              <w:t>IgA EMA</w:t>
            </w:r>
          </w:p>
        </w:tc>
        <w:tc>
          <w:tcPr>
            <w:tcW w:w="0" w:type="auto"/>
            <w:shd w:val="clear" w:color="auto" w:fill="auto"/>
          </w:tcPr>
          <w:p w14:paraId="56610936" w14:textId="2884A360" w:rsidR="00A46220" w:rsidRPr="00C1603D" w:rsidRDefault="00A46220" w:rsidP="00D43A84">
            <w:pPr>
              <w:pStyle w:val="72TabletextTablesTableFigureBoxstyles"/>
            </w:pPr>
            <w:r w:rsidRPr="00C1603D">
              <w:rPr>
                <w:rFonts w:cs="Lato"/>
              </w:rPr>
              <w:t>22</w:t>
            </w:r>
          </w:p>
        </w:tc>
        <w:tc>
          <w:tcPr>
            <w:tcW w:w="0" w:type="auto"/>
            <w:shd w:val="clear" w:color="auto" w:fill="auto"/>
          </w:tcPr>
          <w:p w14:paraId="63AB4A9C" w14:textId="037C5AC4" w:rsidR="00A46220" w:rsidRPr="00C1603D" w:rsidRDefault="00A46220" w:rsidP="00D43A84">
            <w:pPr>
              <w:pStyle w:val="72TabletextTablesTableFigureBoxstyles"/>
            </w:pPr>
            <w:r w:rsidRPr="00C1603D">
              <w:rPr>
                <w:rFonts w:cs="Lato"/>
              </w:rPr>
              <w:t>3685 (2015)</w:t>
            </w:r>
          </w:p>
        </w:tc>
        <w:tc>
          <w:tcPr>
            <w:tcW w:w="0" w:type="auto"/>
            <w:shd w:val="clear" w:color="auto" w:fill="auto"/>
          </w:tcPr>
          <w:p w14:paraId="3D5A3563" w14:textId="428E1D82" w:rsidR="00A46220" w:rsidRPr="00C1603D" w:rsidRDefault="006B6BB7" w:rsidP="00D43A84">
            <w:pPr>
              <w:pStyle w:val="72TabletextTablesTableFigureBoxstyles"/>
            </w:pPr>
            <w:r w:rsidRPr="00C1603D">
              <w:rPr>
                <w:rFonts w:cs="Lato"/>
              </w:rPr>
              <w:t>1 : 5–1 : 40</w:t>
            </w:r>
          </w:p>
        </w:tc>
        <w:tc>
          <w:tcPr>
            <w:tcW w:w="0" w:type="auto"/>
            <w:shd w:val="clear" w:color="auto" w:fill="auto"/>
          </w:tcPr>
          <w:p w14:paraId="48BEF453" w14:textId="1A9DA93E" w:rsidR="00A46220" w:rsidRPr="00C1603D" w:rsidRDefault="00A46220" w:rsidP="00D43A84">
            <w:pPr>
              <w:pStyle w:val="72TabletextTablesTableFigureBoxstyles"/>
            </w:pPr>
            <w:r w:rsidRPr="00C1603D">
              <w:rPr>
                <w:rFonts w:cs="Lato"/>
              </w:rPr>
              <w:t>46</w:t>
            </w:r>
            <w:r w:rsidR="00D43A84" w:rsidRPr="00C1603D">
              <w:rPr>
                <w:rFonts w:cs="Lato"/>
              </w:rPr>
              <w:t>–</w:t>
            </w:r>
            <w:r w:rsidRPr="00C1603D">
              <w:rPr>
                <w:rFonts w:cs="Lato"/>
              </w:rPr>
              <w:t>100</w:t>
            </w:r>
          </w:p>
        </w:tc>
        <w:tc>
          <w:tcPr>
            <w:tcW w:w="0" w:type="auto"/>
            <w:shd w:val="clear" w:color="auto" w:fill="auto"/>
          </w:tcPr>
          <w:p w14:paraId="60AFFA6E" w14:textId="17D6EDFA" w:rsidR="00A46220" w:rsidRPr="00C1603D" w:rsidRDefault="00A46220" w:rsidP="00D43A84">
            <w:pPr>
              <w:pStyle w:val="72TabletextTablesTableFigureBoxstyles"/>
            </w:pPr>
            <w:r w:rsidRPr="00C1603D">
              <w:rPr>
                <w:rFonts w:cs="Lato"/>
              </w:rPr>
              <w:t>29</w:t>
            </w:r>
            <w:r w:rsidR="00D43A84" w:rsidRPr="00C1603D">
              <w:rPr>
                <w:rFonts w:cs="Lato"/>
              </w:rPr>
              <w:t>–</w:t>
            </w:r>
            <w:r w:rsidRPr="00C1603D">
              <w:rPr>
                <w:rFonts w:cs="Lato"/>
              </w:rPr>
              <w:t>100</w:t>
            </w:r>
          </w:p>
        </w:tc>
      </w:tr>
      <w:tr w:rsidR="008B4DF8" w:rsidRPr="00C1603D" w14:paraId="1B75CB8F" w14:textId="77777777" w:rsidTr="00D43A84">
        <w:trPr>
          <w:cantSplit/>
        </w:trPr>
        <w:tc>
          <w:tcPr>
            <w:tcW w:w="0" w:type="auto"/>
            <w:gridSpan w:val="6"/>
            <w:shd w:val="clear" w:color="auto" w:fill="auto"/>
          </w:tcPr>
          <w:p w14:paraId="4D56F159" w14:textId="77777777" w:rsidR="008B4DF8" w:rsidRPr="00C1603D" w:rsidRDefault="008B4DF8" w:rsidP="00D43A84">
            <w:pPr>
              <w:pStyle w:val="711TablesubheadATablesTableFigureBoxstyles"/>
            </w:pPr>
            <w:proofErr w:type="gramStart"/>
            <w:r w:rsidRPr="00C1603D">
              <w:t>Low risk</w:t>
            </w:r>
            <w:proofErr w:type="gramEnd"/>
            <w:r w:rsidRPr="00C1603D">
              <w:t xml:space="preserve"> of bias</w:t>
            </w:r>
          </w:p>
        </w:tc>
      </w:tr>
      <w:tr w:rsidR="00D43A84" w:rsidRPr="00C1603D" w14:paraId="53358231" w14:textId="77777777" w:rsidTr="00D43A84">
        <w:trPr>
          <w:cantSplit/>
        </w:trPr>
        <w:tc>
          <w:tcPr>
            <w:tcW w:w="0" w:type="auto"/>
            <w:gridSpan w:val="6"/>
            <w:shd w:val="clear" w:color="auto" w:fill="auto"/>
          </w:tcPr>
          <w:p w14:paraId="2E56CE4F" w14:textId="6760CF3A" w:rsidR="00D43A84" w:rsidRPr="00C1603D" w:rsidRDefault="00D43A84" w:rsidP="006B6BB7">
            <w:pPr>
              <w:pStyle w:val="712TablesubheadBTablesTableFigureBoxstyles"/>
            </w:pPr>
            <w:r w:rsidRPr="00C1603D">
              <w:t>Adults</w:t>
            </w:r>
          </w:p>
        </w:tc>
      </w:tr>
      <w:tr w:rsidR="00D43A84" w:rsidRPr="00C1603D" w14:paraId="559775B5" w14:textId="77777777" w:rsidTr="00D43A84">
        <w:trPr>
          <w:cantSplit/>
        </w:trPr>
        <w:tc>
          <w:tcPr>
            <w:tcW w:w="0" w:type="auto"/>
            <w:shd w:val="clear" w:color="auto" w:fill="auto"/>
          </w:tcPr>
          <w:p w14:paraId="14B65F8D" w14:textId="5DE7F1DE" w:rsidR="00D43A84" w:rsidRPr="00C1603D" w:rsidRDefault="00D43A84" w:rsidP="00D43A84">
            <w:pPr>
              <w:pStyle w:val="72TabletextTablesTableFigureBoxstyles"/>
              <w:rPr>
                <w:b/>
              </w:rPr>
            </w:pPr>
            <w:r w:rsidRPr="00C1603D">
              <w:rPr>
                <w:rFonts w:cs="Lato"/>
              </w:rPr>
              <w:t>IgA tTG</w:t>
            </w:r>
          </w:p>
        </w:tc>
        <w:tc>
          <w:tcPr>
            <w:tcW w:w="0" w:type="auto"/>
            <w:shd w:val="clear" w:color="auto" w:fill="auto"/>
          </w:tcPr>
          <w:p w14:paraId="337C6F87" w14:textId="2636BA66" w:rsidR="00D43A84" w:rsidRPr="00C1603D" w:rsidRDefault="00D43A84" w:rsidP="00D43A84">
            <w:pPr>
              <w:pStyle w:val="72TabletextTablesTableFigureBoxstyles"/>
            </w:pPr>
            <w:r w:rsidRPr="00C1603D">
              <w:rPr>
                <w:rFonts w:cs="Lato"/>
              </w:rPr>
              <w:t>5</w:t>
            </w:r>
          </w:p>
        </w:tc>
        <w:tc>
          <w:tcPr>
            <w:tcW w:w="0" w:type="auto"/>
            <w:shd w:val="clear" w:color="auto" w:fill="auto"/>
          </w:tcPr>
          <w:p w14:paraId="47CF5693" w14:textId="1C99B259" w:rsidR="00D43A84" w:rsidRPr="00C1603D" w:rsidRDefault="00D43A84" w:rsidP="00D43A84">
            <w:pPr>
              <w:pStyle w:val="72TabletextTablesTableFigureBoxstyles"/>
            </w:pPr>
            <w:r w:rsidRPr="00C1603D">
              <w:rPr>
                <w:rFonts w:cs="Lato"/>
              </w:rPr>
              <w:t>1577 (426)</w:t>
            </w:r>
          </w:p>
        </w:tc>
        <w:tc>
          <w:tcPr>
            <w:tcW w:w="0" w:type="auto"/>
            <w:shd w:val="clear" w:color="auto" w:fill="auto"/>
          </w:tcPr>
          <w:p w14:paraId="783918A5" w14:textId="1016FE9F" w:rsidR="00D43A84" w:rsidRPr="00C1603D" w:rsidRDefault="00D43A84" w:rsidP="00D43A84">
            <w:pPr>
              <w:pStyle w:val="72TabletextTablesTableFigureBoxstyles"/>
            </w:pPr>
            <w:r w:rsidRPr="00C1603D">
              <w:rPr>
                <w:rFonts w:cs="Lato"/>
              </w:rPr>
              <w:t>5–20</w:t>
            </w:r>
            <w:r w:rsidR="006B6BB7" w:rsidRPr="00C1603D">
              <w:rPr>
                <w:rFonts w:cs="Lato"/>
              </w:rPr>
              <w:t> </w:t>
            </w:r>
            <w:r w:rsidRPr="00C1603D">
              <w:rPr>
                <w:rFonts w:cs="Lato"/>
              </w:rPr>
              <w:t>U/ml</w:t>
            </w:r>
          </w:p>
        </w:tc>
        <w:tc>
          <w:tcPr>
            <w:tcW w:w="0" w:type="auto"/>
            <w:shd w:val="clear" w:color="auto" w:fill="auto"/>
          </w:tcPr>
          <w:p w14:paraId="41736A94" w14:textId="2294E4D8" w:rsidR="00D43A84" w:rsidRPr="00C1603D" w:rsidRDefault="00D43A84" w:rsidP="00D43A84">
            <w:pPr>
              <w:pStyle w:val="72TabletextTablesTableFigureBoxstyles"/>
            </w:pPr>
            <w:r w:rsidRPr="00C1603D">
              <w:rPr>
                <w:rFonts w:cs="Lato"/>
              </w:rPr>
              <w:t>76–100</w:t>
            </w:r>
          </w:p>
        </w:tc>
        <w:tc>
          <w:tcPr>
            <w:tcW w:w="0" w:type="auto"/>
            <w:shd w:val="clear" w:color="auto" w:fill="auto"/>
          </w:tcPr>
          <w:p w14:paraId="03CC7454" w14:textId="5B5C9A8F" w:rsidR="00D43A84" w:rsidRPr="00C1603D" w:rsidRDefault="00D43A84" w:rsidP="00D43A84">
            <w:pPr>
              <w:pStyle w:val="72TabletextTablesTableFigureBoxstyles"/>
            </w:pPr>
            <w:r w:rsidRPr="00C1603D">
              <w:rPr>
                <w:rFonts w:cs="Lato"/>
              </w:rPr>
              <w:t>88–98</w:t>
            </w:r>
          </w:p>
        </w:tc>
      </w:tr>
      <w:tr w:rsidR="00D43A84" w:rsidRPr="00C1603D" w14:paraId="225B236B" w14:textId="77777777" w:rsidTr="00D43A84">
        <w:trPr>
          <w:cantSplit/>
        </w:trPr>
        <w:tc>
          <w:tcPr>
            <w:tcW w:w="0" w:type="auto"/>
            <w:shd w:val="clear" w:color="auto" w:fill="auto"/>
          </w:tcPr>
          <w:p w14:paraId="7A9C2851" w14:textId="775C861B" w:rsidR="00D43A84" w:rsidRPr="00C1603D" w:rsidRDefault="00D43A84" w:rsidP="00D43A84">
            <w:pPr>
              <w:pStyle w:val="72TabletextTablesTableFigureBoxstyles"/>
              <w:rPr>
                <w:b/>
              </w:rPr>
            </w:pPr>
            <w:r w:rsidRPr="00C1603D">
              <w:rPr>
                <w:rFonts w:cs="Lato"/>
              </w:rPr>
              <w:t>IgA EMA</w:t>
            </w:r>
          </w:p>
        </w:tc>
        <w:tc>
          <w:tcPr>
            <w:tcW w:w="0" w:type="auto"/>
            <w:shd w:val="clear" w:color="auto" w:fill="auto"/>
          </w:tcPr>
          <w:p w14:paraId="53C3B658" w14:textId="3391B631" w:rsidR="00D43A84" w:rsidRPr="00C1603D" w:rsidRDefault="00D43A84" w:rsidP="00D43A84">
            <w:pPr>
              <w:pStyle w:val="72TabletextTablesTableFigureBoxstyles"/>
            </w:pPr>
            <w:r w:rsidRPr="00C1603D">
              <w:rPr>
                <w:rFonts w:cs="Lato"/>
              </w:rPr>
              <w:t>2</w:t>
            </w:r>
          </w:p>
        </w:tc>
        <w:tc>
          <w:tcPr>
            <w:tcW w:w="0" w:type="auto"/>
            <w:shd w:val="clear" w:color="auto" w:fill="auto"/>
          </w:tcPr>
          <w:p w14:paraId="16371ED2" w14:textId="78073D5B" w:rsidR="00D43A84" w:rsidRPr="00C1603D" w:rsidRDefault="00D43A84" w:rsidP="00D43A84">
            <w:pPr>
              <w:pStyle w:val="72TabletextTablesTableFigureBoxstyles"/>
            </w:pPr>
            <w:r w:rsidRPr="00C1603D">
              <w:rPr>
                <w:rFonts w:cs="Lato"/>
              </w:rPr>
              <w:t>268 (103)</w:t>
            </w:r>
          </w:p>
        </w:tc>
        <w:tc>
          <w:tcPr>
            <w:tcW w:w="0" w:type="auto"/>
            <w:shd w:val="clear" w:color="auto" w:fill="auto"/>
          </w:tcPr>
          <w:p w14:paraId="5BA61164" w14:textId="0242FFF7" w:rsidR="00D43A84" w:rsidRPr="00C1603D" w:rsidRDefault="006B6BB7" w:rsidP="00D43A84">
            <w:pPr>
              <w:pStyle w:val="72TabletextTablesTableFigureBoxstyles"/>
            </w:pPr>
            <w:r w:rsidRPr="00C1603D">
              <w:rPr>
                <w:rFonts w:cs="Lato"/>
              </w:rPr>
              <w:t>1 : 5–1 : 20</w:t>
            </w:r>
          </w:p>
        </w:tc>
        <w:tc>
          <w:tcPr>
            <w:tcW w:w="0" w:type="auto"/>
            <w:shd w:val="clear" w:color="auto" w:fill="auto"/>
          </w:tcPr>
          <w:p w14:paraId="0CF5FE86" w14:textId="0ACD444E" w:rsidR="00D43A84" w:rsidRPr="00C1603D" w:rsidRDefault="00D43A84" w:rsidP="00D43A84">
            <w:pPr>
              <w:pStyle w:val="72TabletextTablesTableFigureBoxstyles"/>
            </w:pPr>
            <w:r w:rsidRPr="00C1603D">
              <w:rPr>
                <w:rFonts w:cs="Lato"/>
              </w:rPr>
              <w:t>61</w:t>
            </w:r>
            <w:r w:rsidR="006B6BB7" w:rsidRPr="00C1603D">
              <w:rPr>
                <w:rFonts w:cs="Lato"/>
              </w:rPr>
              <w:t>–</w:t>
            </w:r>
            <w:r w:rsidRPr="00C1603D">
              <w:rPr>
                <w:rFonts w:cs="Lato"/>
              </w:rPr>
              <w:t>89</w:t>
            </w:r>
          </w:p>
        </w:tc>
        <w:tc>
          <w:tcPr>
            <w:tcW w:w="0" w:type="auto"/>
            <w:shd w:val="clear" w:color="auto" w:fill="auto"/>
          </w:tcPr>
          <w:p w14:paraId="5432224F" w14:textId="275E6C58" w:rsidR="00D43A84" w:rsidRPr="00C1603D" w:rsidRDefault="00D43A84" w:rsidP="00D43A84">
            <w:pPr>
              <w:pStyle w:val="72TabletextTablesTableFigureBoxstyles"/>
            </w:pPr>
            <w:r w:rsidRPr="00C1603D">
              <w:rPr>
                <w:rFonts w:cs="Lato"/>
              </w:rPr>
              <w:t>100</w:t>
            </w:r>
            <w:r w:rsidR="006B6BB7" w:rsidRPr="00C1603D">
              <w:rPr>
                <w:rFonts w:cs="Lato"/>
              </w:rPr>
              <w:t>–</w:t>
            </w:r>
            <w:r w:rsidRPr="00C1603D">
              <w:rPr>
                <w:rFonts w:cs="Lato"/>
              </w:rPr>
              <w:t>100</w:t>
            </w:r>
          </w:p>
        </w:tc>
      </w:tr>
      <w:tr w:rsidR="00D43A84" w:rsidRPr="00C1603D" w14:paraId="03F587BB" w14:textId="77777777" w:rsidTr="00D43A84">
        <w:trPr>
          <w:cantSplit/>
        </w:trPr>
        <w:tc>
          <w:tcPr>
            <w:tcW w:w="0" w:type="auto"/>
            <w:gridSpan w:val="6"/>
            <w:shd w:val="clear" w:color="auto" w:fill="auto"/>
          </w:tcPr>
          <w:p w14:paraId="4CF8E853" w14:textId="3BC1FC16" w:rsidR="00D43A84" w:rsidRPr="00C1603D" w:rsidRDefault="00D43A84" w:rsidP="006B6BB7">
            <w:pPr>
              <w:pStyle w:val="712TablesubheadBTablesTableFigureBoxstyles"/>
            </w:pPr>
            <w:r w:rsidRPr="00C1603D">
              <w:t>Children</w:t>
            </w:r>
          </w:p>
        </w:tc>
      </w:tr>
      <w:tr w:rsidR="00D43A84" w:rsidRPr="00C1603D" w14:paraId="1BEAC134" w14:textId="77777777" w:rsidTr="00D43A84">
        <w:trPr>
          <w:cantSplit/>
        </w:trPr>
        <w:tc>
          <w:tcPr>
            <w:tcW w:w="0" w:type="auto"/>
            <w:shd w:val="clear" w:color="auto" w:fill="auto"/>
          </w:tcPr>
          <w:p w14:paraId="401B5D62" w14:textId="3B2A4685" w:rsidR="00D43A84" w:rsidRPr="00C1603D" w:rsidRDefault="00D43A84" w:rsidP="00D43A84">
            <w:pPr>
              <w:pStyle w:val="72TabletextTablesTableFigureBoxstyles"/>
              <w:rPr>
                <w:b/>
              </w:rPr>
            </w:pPr>
            <w:r w:rsidRPr="00C1603D">
              <w:rPr>
                <w:rFonts w:cs="Lato"/>
              </w:rPr>
              <w:t>IgA tTG</w:t>
            </w:r>
          </w:p>
        </w:tc>
        <w:tc>
          <w:tcPr>
            <w:tcW w:w="0" w:type="auto"/>
            <w:shd w:val="clear" w:color="auto" w:fill="auto"/>
          </w:tcPr>
          <w:p w14:paraId="74DA4207" w14:textId="5FE03E65" w:rsidR="00D43A84" w:rsidRPr="00C1603D" w:rsidRDefault="00D43A84" w:rsidP="00D43A84">
            <w:pPr>
              <w:pStyle w:val="72TabletextTablesTableFigureBoxstyles"/>
            </w:pPr>
            <w:r w:rsidRPr="00C1603D">
              <w:rPr>
                <w:rFonts w:cs="Lato"/>
              </w:rPr>
              <w:t>4</w:t>
            </w:r>
          </w:p>
        </w:tc>
        <w:tc>
          <w:tcPr>
            <w:tcW w:w="0" w:type="auto"/>
            <w:shd w:val="clear" w:color="auto" w:fill="auto"/>
          </w:tcPr>
          <w:p w14:paraId="7424070B" w14:textId="38C69FFA" w:rsidR="00D43A84" w:rsidRPr="00C1603D" w:rsidRDefault="00D43A84" w:rsidP="00D43A84">
            <w:pPr>
              <w:pStyle w:val="72TabletextTablesTableFigureBoxstyles"/>
            </w:pPr>
            <w:r w:rsidRPr="00C1603D">
              <w:rPr>
                <w:rFonts w:cs="Lato"/>
              </w:rPr>
              <w:t>1319 (823)</w:t>
            </w:r>
          </w:p>
        </w:tc>
        <w:tc>
          <w:tcPr>
            <w:tcW w:w="0" w:type="auto"/>
            <w:shd w:val="clear" w:color="auto" w:fill="auto"/>
          </w:tcPr>
          <w:p w14:paraId="252F1E9E" w14:textId="5911ED1C" w:rsidR="00D43A84" w:rsidRPr="00C1603D" w:rsidRDefault="00D43A84" w:rsidP="00D43A84">
            <w:pPr>
              <w:pStyle w:val="72TabletextTablesTableFigureBoxstyles"/>
            </w:pPr>
            <w:r w:rsidRPr="00C1603D">
              <w:rPr>
                <w:rFonts w:cs="Lato"/>
              </w:rPr>
              <w:t>20–21</w:t>
            </w:r>
            <w:r w:rsidR="006B6BB7" w:rsidRPr="00C1603D">
              <w:rPr>
                <w:rFonts w:cs="Lato"/>
              </w:rPr>
              <w:t> </w:t>
            </w:r>
            <w:r w:rsidRPr="00C1603D">
              <w:rPr>
                <w:rFonts w:cs="Lato"/>
              </w:rPr>
              <w:t>U/ml</w:t>
            </w:r>
          </w:p>
        </w:tc>
        <w:tc>
          <w:tcPr>
            <w:tcW w:w="0" w:type="auto"/>
            <w:shd w:val="clear" w:color="auto" w:fill="auto"/>
          </w:tcPr>
          <w:p w14:paraId="1BB66359" w14:textId="5EAFDC57" w:rsidR="00D43A84" w:rsidRPr="00C1603D" w:rsidRDefault="00D43A84" w:rsidP="00D43A84">
            <w:pPr>
              <w:pStyle w:val="72TabletextTablesTableFigureBoxstyles"/>
            </w:pPr>
            <w:r w:rsidRPr="00C1603D">
              <w:rPr>
                <w:rFonts w:cs="Lato"/>
              </w:rPr>
              <w:t>95–100</w:t>
            </w:r>
          </w:p>
        </w:tc>
        <w:tc>
          <w:tcPr>
            <w:tcW w:w="0" w:type="auto"/>
            <w:shd w:val="clear" w:color="auto" w:fill="auto"/>
          </w:tcPr>
          <w:p w14:paraId="3F0E1FE7" w14:textId="20E18A1C" w:rsidR="00D43A84" w:rsidRPr="00C1603D" w:rsidRDefault="00D43A84" w:rsidP="00D43A84">
            <w:pPr>
              <w:pStyle w:val="72TabletextTablesTableFigureBoxstyles"/>
            </w:pPr>
            <w:r w:rsidRPr="00C1603D">
              <w:rPr>
                <w:rFonts w:cs="Lato"/>
              </w:rPr>
              <w:t>24–99</w:t>
            </w:r>
          </w:p>
        </w:tc>
      </w:tr>
      <w:tr w:rsidR="00D43A84" w:rsidRPr="00C1603D" w14:paraId="5EEF17E7" w14:textId="77777777" w:rsidTr="00D43A84">
        <w:trPr>
          <w:cantSplit/>
        </w:trPr>
        <w:tc>
          <w:tcPr>
            <w:tcW w:w="0" w:type="auto"/>
            <w:shd w:val="clear" w:color="auto" w:fill="auto"/>
          </w:tcPr>
          <w:p w14:paraId="3E1774B5" w14:textId="5AD437BE" w:rsidR="00D43A84" w:rsidRPr="00C1603D" w:rsidRDefault="00D43A84" w:rsidP="00D43A84">
            <w:pPr>
              <w:pStyle w:val="72TabletextTablesTableFigureBoxstyles"/>
              <w:rPr>
                <w:b/>
              </w:rPr>
            </w:pPr>
            <w:r w:rsidRPr="00C1603D">
              <w:rPr>
                <w:rFonts w:cs="Lato"/>
              </w:rPr>
              <w:t>IgA EMA</w:t>
            </w:r>
          </w:p>
        </w:tc>
        <w:tc>
          <w:tcPr>
            <w:tcW w:w="0" w:type="auto"/>
            <w:shd w:val="clear" w:color="auto" w:fill="auto"/>
          </w:tcPr>
          <w:p w14:paraId="24E51B0C" w14:textId="1A6B6325" w:rsidR="00D43A84" w:rsidRPr="00C1603D" w:rsidRDefault="00D43A84" w:rsidP="00D43A84">
            <w:pPr>
              <w:pStyle w:val="72TabletextTablesTableFigureBoxstyles"/>
            </w:pPr>
            <w:r w:rsidRPr="00C1603D">
              <w:rPr>
                <w:rFonts w:cs="Lato"/>
              </w:rPr>
              <w:t>1</w:t>
            </w:r>
          </w:p>
        </w:tc>
        <w:tc>
          <w:tcPr>
            <w:tcW w:w="0" w:type="auto"/>
            <w:shd w:val="clear" w:color="auto" w:fill="auto"/>
          </w:tcPr>
          <w:p w14:paraId="044B664B" w14:textId="24C7443B" w:rsidR="00D43A84" w:rsidRPr="00C1603D" w:rsidRDefault="00D43A84" w:rsidP="00D43A84">
            <w:pPr>
              <w:pStyle w:val="72TabletextTablesTableFigureBoxstyles"/>
            </w:pPr>
            <w:r w:rsidRPr="00C1603D">
              <w:rPr>
                <w:rFonts w:cs="Lato"/>
              </w:rPr>
              <w:t>873 (528)</w:t>
            </w:r>
          </w:p>
        </w:tc>
        <w:tc>
          <w:tcPr>
            <w:tcW w:w="0" w:type="auto"/>
            <w:shd w:val="clear" w:color="auto" w:fill="auto"/>
          </w:tcPr>
          <w:p w14:paraId="5B9FF0EF" w14:textId="51FEF166" w:rsidR="00D43A84" w:rsidRPr="00C1603D" w:rsidRDefault="00D43A84" w:rsidP="00D43A84">
            <w:pPr>
              <w:pStyle w:val="72TabletextTablesTableFigureBoxstyles"/>
            </w:pPr>
            <w:r w:rsidRPr="00C1603D">
              <w:rPr>
                <w:rFonts w:cs="Lato"/>
              </w:rPr>
              <w:t>1</w:t>
            </w:r>
            <w:r w:rsidR="006B6BB7" w:rsidRPr="00C1603D">
              <w:rPr>
                <w:rFonts w:cs="Lato"/>
              </w:rPr>
              <w:t> </w:t>
            </w:r>
            <w:r w:rsidRPr="00C1603D">
              <w:rPr>
                <w:rFonts w:cs="Lato"/>
              </w:rPr>
              <w:t>:</w:t>
            </w:r>
            <w:r w:rsidR="006B6BB7" w:rsidRPr="00C1603D">
              <w:rPr>
                <w:rFonts w:cs="Lato"/>
              </w:rPr>
              <w:t> </w:t>
            </w:r>
            <w:r w:rsidRPr="00C1603D">
              <w:rPr>
                <w:rFonts w:cs="Lato"/>
              </w:rPr>
              <w:t>10</w:t>
            </w:r>
          </w:p>
        </w:tc>
        <w:tc>
          <w:tcPr>
            <w:tcW w:w="0" w:type="auto"/>
            <w:shd w:val="clear" w:color="auto" w:fill="auto"/>
          </w:tcPr>
          <w:p w14:paraId="21EAE8AD" w14:textId="60EA6280" w:rsidR="00D43A84" w:rsidRPr="00C1603D" w:rsidRDefault="00D43A84" w:rsidP="00D43A84">
            <w:pPr>
              <w:pStyle w:val="72TabletextTablesTableFigureBoxstyles"/>
            </w:pPr>
            <w:r w:rsidRPr="00C1603D">
              <w:rPr>
                <w:rFonts w:cs="Lato"/>
              </w:rPr>
              <w:t>95</w:t>
            </w:r>
          </w:p>
        </w:tc>
        <w:tc>
          <w:tcPr>
            <w:tcW w:w="0" w:type="auto"/>
            <w:shd w:val="clear" w:color="auto" w:fill="auto"/>
          </w:tcPr>
          <w:p w14:paraId="4BED053F" w14:textId="1AD1B7EC" w:rsidR="00D43A84" w:rsidRPr="00C1603D" w:rsidRDefault="00D43A84" w:rsidP="00D43A84">
            <w:pPr>
              <w:pStyle w:val="72TabletextTablesTableFigureBoxstyles"/>
            </w:pPr>
            <w:r w:rsidRPr="00C1603D">
              <w:rPr>
                <w:rFonts w:cs="Lato"/>
              </w:rPr>
              <w:t>94</w:t>
            </w:r>
          </w:p>
        </w:tc>
      </w:tr>
    </w:tbl>
    <w:p w14:paraId="3C8A99C8" w14:textId="77777777" w:rsidR="008B4DF8" w:rsidRPr="00C1603D" w:rsidRDefault="008B4DF8" w:rsidP="008B4DF8">
      <w:pPr>
        <w:pStyle w:val="53BheadHeadingsHeadingstyles"/>
      </w:pPr>
      <w:r w:rsidRPr="00C1603D">
        <w:t>Sensitivity analyses</w:t>
      </w:r>
      <w:bookmarkEnd w:id="292"/>
    </w:p>
    <w:p w14:paraId="2C3A6F84" w14:textId="6BCD0484" w:rsidR="008B4DF8" w:rsidRPr="00C1603D" w:rsidRDefault="008B4DF8" w:rsidP="008B4DF8">
      <w:pPr>
        <w:pStyle w:val="602TextfoTextstylesTextstyles"/>
      </w:pPr>
      <w:r w:rsidRPr="00C1603D">
        <w:rPr>
          <w:i/>
          <w:color w:val="auto"/>
        </w:rPr>
        <w:t xml:space="preserve">Table </w:t>
      </w:r>
      <w:r w:rsidRPr="00C1603D">
        <w:rPr>
          <w:i/>
          <w:noProof/>
          <w:color w:val="auto"/>
        </w:rPr>
        <w:t>12</w:t>
      </w:r>
      <w:r w:rsidRPr="00C1603D">
        <w:rPr>
          <w:color w:val="auto"/>
        </w:rPr>
        <w:t xml:space="preserve"> shows </w:t>
      </w:r>
      <w:r w:rsidRPr="00C1603D">
        <w:t xml:space="preserve">results from the sensitivity analyses; further details are reported in </w:t>
      </w:r>
      <w:r w:rsidRPr="00C1603D">
        <w:rPr>
          <w:i/>
          <w:iCs/>
        </w:rPr>
        <w:t>Appendix 19</w:t>
      </w:r>
      <w:r w:rsidRPr="00C1603D">
        <w:t xml:space="preserve"> (</w:t>
      </w:r>
      <w:r w:rsidR="00A03EA8" w:rsidRPr="00C1603D">
        <w:t xml:space="preserve">see </w:t>
      </w:r>
      <w:r w:rsidRPr="00C1603D">
        <w:rPr>
          <w:i/>
          <w:color w:val="auto"/>
        </w:rPr>
        <w:t>Figure</w:t>
      </w:r>
      <w:r w:rsidR="00A03EA8" w:rsidRPr="00C1603D">
        <w:rPr>
          <w:i/>
          <w:color w:val="auto"/>
        </w:rPr>
        <w:t>s</w:t>
      </w:r>
      <w:r w:rsidRPr="00C1603D">
        <w:rPr>
          <w:i/>
          <w:color w:val="auto"/>
        </w:rPr>
        <w:t xml:space="preserve"> </w:t>
      </w:r>
      <w:r w:rsidRPr="00C1603D">
        <w:rPr>
          <w:i/>
          <w:noProof/>
          <w:color w:val="auto"/>
        </w:rPr>
        <w:t>58</w:t>
      </w:r>
      <w:r w:rsidR="00A03EA8" w:rsidRPr="00C1603D">
        <w:rPr>
          <w:iCs/>
          <w:noProof/>
          <w:color w:val="auto"/>
        </w:rPr>
        <w:t>–</w:t>
      </w:r>
      <w:r w:rsidRPr="00C1603D">
        <w:rPr>
          <w:i/>
          <w:noProof/>
          <w:color w:val="auto"/>
        </w:rPr>
        <w:t>61</w:t>
      </w:r>
      <w:r w:rsidRPr="00C1603D">
        <w:rPr>
          <w:color w:val="auto"/>
        </w:rPr>
        <w:t>). E</w:t>
      </w:r>
      <w:r w:rsidRPr="00C1603D">
        <w:t>stimates of sensitivity and specificity in analyses restricted to studies of symptomatic patients</w:t>
      </w:r>
      <w:r w:rsidR="00ED6733" w:rsidRPr="00C1603D">
        <w:t>,</w:t>
      </w:r>
      <w:r w:rsidRPr="00C1603D">
        <w:t xml:space="preserve"> studies judged </w:t>
      </w:r>
      <w:r w:rsidR="00A03EA8" w:rsidRPr="00C1603D">
        <w:t xml:space="preserve">to be </w:t>
      </w:r>
      <w:r w:rsidRPr="00C1603D">
        <w:t xml:space="preserve">at </w:t>
      </w:r>
      <w:proofErr w:type="gramStart"/>
      <w:r w:rsidRPr="00C1603D">
        <w:t>low risk</w:t>
      </w:r>
      <w:proofErr w:type="gramEnd"/>
      <w:r w:rsidRPr="00C1603D">
        <w:t xml:space="preserve"> of bias overall on the QUADA</w:t>
      </w:r>
      <w:r w:rsidRPr="00C1603D">
        <w:rPr>
          <w:color w:val="00B0F0"/>
        </w:rPr>
        <w:t>S-2</w:t>
      </w:r>
      <w:r w:rsidRPr="00C1603D">
        <w:t xml:space="preserve"> </w:t>
      </w:r>
      <w:r w:rsidR="00A03EA8" w:rsidRPr="00C1603D">
        <w:t>tool</w:t>
      </w:r>
      <w:r w:rsidRPr="00C1603D">
        <w:t xml:space="preserve"> and </w:t>
      </w:r>
      <w:r w:rsidR="00ED6733" w:rsidRPr="00C1603D">
        <w:t xml:space="preserve">studies </w:t>
      </w:r>
      <w:r w:rsidRPr="00C1603D">
        <w:t xml:space="preserve">in which all patients received a biopsy to confirm whether or not they had CD were similar to </w:t>
      </w:r>
      <w:r w:rsidR="0002719C" w:rsidRPr="00C1603D">
        <w:t>the estimates of analyses</w:t>
      </w:r>
      <w:r w:rsidRPr="00C1603D">
        <w:t xml:space="preserve"> that included all studies. There were insufficient studies to allow comparisons when analyses were restricted to those that reported a common threshold.</w:t>
      </w:r>
    </w:p>
    <w:p w14:paraId="58D4D6F8" w14:textId="77777777" w:rsidR="008B4DF8" w:rsidRPr="00C1603D" w:rsidRDefault="008B4DF8" w:rsidP="008B4DF8">
      <w:pPr>
        <w:pStyle w:val="43ChaptertitleHeadingsHeadingstyles"/>
      </w:pPr>
      <w:bookmarkStart w:id="293" w:name="_Toc99539870"/>
      <w:bookmarkStart w:id="294" w:name="_Hlk86245493"/>
      <w:r w:rsidRPr="00C1603D">
        <w:lastRenderedPageBreak/>
        <w:t>Chapter 6</w:t>
      </w:r>
      <w:r w:rsidRPr="00C1603D">
        <w:t> </w:t>
      </w:r>
      <w:r w:rsidRPr="00C1603D">
        <w:t>Accuracy of genetic tests for coeliac disease</w:t>
      </w:r>
      <w:bookmarkEnd w:id="293"/>
    </w:p>
    <w:bookmarkEnd w:id="294"/>
    <w:p w14:paraId="7847D4E3" w14:textId="47FC06C3" w:rsidR="008B4DF8" w:rsidRPr="00C1603D" w:rsidRDefault="008B4DF8" w:rsidP="008B4DF8">
      <w:pPr>
        <w:pStyle w:val="601TextdropcapTextstylesTextstyles"/>
      </w:pPr>
      <w:r w:rsidRPr="00C1603D">
        <w:t>We conducted a systematic review of the accuracy of genetic tests for CD. We had originally planned to include this as part of the review of the accuracy of serological tests</w:t>
      </w:r>
      <w:r w:rsidR="009612C5" w:rsidRPr="00C1603D">
        <w:t>,</w:t>
      </w:r>
      <w:r w:rsidRPr="00C1603D">
        <w:t xml:space="preserve"> but decided that these tests were sufficiently different from serological tests that a separate review would be appropriate. The review followed recommendations from the Centre for Reviews and Dissemination</w:t>
      </w:r>
      <w:r w:rsidRPr="00C1603D">
        <w:rPr>
          <w:noProof/>
          <w:vertAlign w:val="superscript"/>
        </w:rPr>
        <w:t>22</w:t>
      </w:r>
      <w:r w:rsidRPr="00C1603D">
        <w:t xml:space="preserve"> </w:t>
      </w:r>
      <w:r w:rsidR="003A56D2" w:rsidRPr="00C1603D">
        <w:t xml:space="preserve">and </w:t>
      </w:r>
      <w:r w:rsidRPr="00C1603D">
        <w:t xml:space="preserve">the </w:t>
      </w:r>
      <w:r w:rsidRPr="00C1603D">
        <w:rPr>
          <w:i/>
          <w:iCs/>
        </w:rPr>
        <w:t>Cochrane Handbook for Systematic Reviews of Diagnostic Test Accuracy</w:t>
      </w:r>
      <w:r w:rsidRPr="00C1603D">
        <w:t>,</w:t>
      </w:r>
      <w:r w:rsidRPr="00C1603D">
        <w:rPr>
          <w:noProof/>
          <w:vertAlign w:val="superscript"/>
        </w:rPr>
        <w:t>23</w:t>
      </w:r>
      <w:r w:rsidRPr="00C1603D">
        <w:t xml:space="preserve"> and is reported according to the PRISMA</w:t>
      </w:r>
      <w:r w:rsidR="00F40F76" w:rsidRPr="00C1603D">
        <w:t>-</w:t>
      </w:r>
      <w:r w:rsidRPr="00C1603D">
        <w:t>DTA statement.</w:t>
      </w:r>
      <w:r w:rsidRPr="00C1603D">
        <w:rPr>
          <w:noProof/>
          <w:vertAlign w:val="superscript"/>
        </w:rPr>
        <w:t>24</w:t>
      </w:r>
    </w:p>
    <w:p w14:paraId="76BEFEC6" w14:textId="77777777" w:rsidR="008B4DF8" w:rsidRPr="00C1603D" w:rsidRDefault="008B4DF8" w:rsidP="008B4DF8">
      <w:pPr>
        <w:pStyle w:val="52AheadHeadingsHeadingstyles"/>
      </w:pPr>
      <w:bookmarkStart w:id="295" w:name="_Toc99539871"/>
      <w:r w:rsidRPr="00C1603D">
        <w:t>Systematic review methods</w:t>
      </w:r>
      <w:bookmarkEnd w:id="295"/>
    </w:p>
    <w:p w14:paraId="1840EAF1" w14:textId="77777777" w:rsidR="008B4DF8" w:rsidRPr="00C1603D" w:rsidRDefault="008B4DF8" w:rsidP="008B4DF8">
      <w:pPr>
        <w:pStyle w:val="53BheadHeadingsHeadingstyles"/>
      </w:pPr>
      <w:bookmarkStart w:id="296" w:name="_Toc99539872"/>
      <w:r w:rsidRPr="00C1603D">
        <w:t>Eligibility criteria</w:t>
      </w:r>
      <w:bookmarkEnd w:id="296"/>
    </w:p>
    <w:p w14:paraId="0D81E084" w14:textId="49CE6956" w:rsidR="008B4DF8" w:rsidRPr="00C1603D" w:rsidRDefault="008B4DF8" w:rsidP="008B4DF8">
      <w:pPr>
        <w:pStyle w:val="602TextfoTextstylesTextstyles"/>
      </w:pPr>
      <w:r w:rsidRPr="00C1603D">
        <w:t>We included studies that met the following criteria</w:t>
      </w:r>
      <w:r w:rsidR="003A56D2" w:rsidRPr="00C1603D">
        <w:t>.</w:t>
      </w:r>
    </w:p>
    <w:p w14:paraId="4A8EEDF0" w14:textId="410CEB15" w:rsidR="008B4DF8" w:rsidRPr="00C1603D" w:rsidRDefault="008B4DF8" w:rsidP="00332C16">
      <w:pPr>
        <w:pStyle w:val="611BulletlistTextstyles"/>
        <w:rPr>
          <w:color w:val="auto"/>
        </w:rPr>
      </w:pPr>
      <w:r w:rsidRPr="00C1603D">
        <w:t xml:space="preserve">Study design: </w:t>
      </w:r>
      <w:r w:rsidR="00332C16" w:rsidRPr="00C1603D">
        <w:t>d</w:t>
      </w:r>
      <w:r w:rsidRPr="00C1603D">
        <w:t>iagnostic cohort/cross-sectional studies (</w:t>
      </w:r>
      <w:r w:rsidRPr="00C1603D">
        <w:rPr>
          <w:color w:val="auto"/>
        </w:rPr>
        <w:t xml:space="preserve">also known as </w:t>
      </w:r>
      <w:r w:rsidR="007017F7" w:rsidRPr="00C1603D">
        <w:rPr>
          <w:color w:val="auto"/>
        </w:rPr>
        <w:t>‘</w:t>
      </w:r>
      <w:r w:rsidRPr="00C1603D">
        <w:rPr>
          <w:color w:val="auto"/>
        </w:rPr>
        <w:t>one</w:t>
      </w:r>
      <w:r w:rsidR="00332C16" w:rsidRPr="00C1603D">
        <w:rPr>
          <w:color w:val="auto"/>
        </w:rPr>
        <w:t>-</w:t>
      </w:r>
      <w:r w:rsidRPr="00C1603D">
        <w:rPr>
          <w:color w:val="auto"/>
        </w:rPr>
        <w:t>gate design</w:t>
      </w:r>
      <w:r w:rsidR="007017F7" w:rsidRPr="00C1603D">
        <w:rPr>
          <w:color w:val="auto"/>
        </w:rPr>
        <w:t>’</w:t>
      </w:r>
      <w:r w:rsidRPr="00C1603D">
        <w:rPr>
          <w:color w:val="auto"/>
        </w:rPr>
        <w:t>)</w:t>
      </w:r>
      <w:r w:rsidRPr="00C1603D">
        <w:rPr>
          <w:noProof/>
          <w:color w:val="auto"/>
          <w:vertAlign w:val="superscript"/>
        </w:rPr>
        <w:t>26</w:t>
      </w:r>
      <w:r w:rsidRPr="00C1603D">
        <w:rPr>
          <w:color w:val="auto"/>
        </w:rPr>
        <w:t xml:space="preserve"> or diagnostic case–control studies (also known as </w:t>
      </w:r>
      <w:r w:rsidR="007017F7" w:rsidRPr="00C1603D">
        <w:rPr>
          <w:color w:val="auto"/>
        </w:rPr>
        <w:t>‘</w:t>
      </w:r>
      <w:r w:rsidRPr="00C1603D">
        <w:rPr>
          <w:color w:val="auto"/>
        </w:rPr>
        <w:t>two-gate</w:t>
      </w:r>
      <w:r w:rsidR="007017F7" w:rsidRPr="00C1603D">
        <w:rPr>
          <w:color w:val="auto"/>
        </w:rPr>
        <w:t>’</w:t>
      </w:r>
      <w:r w:rsidRPr="00C1603D">
        <w:rPr>
          <w:color w:val="auto"/>
        </w:rPr>
        <w:t xml:space="preserve"> or </w:t>
      </w:r>
      <w:r w:rsidR="007017F7" w:rsidRPr="00C1603D">
        <w:rPr>
          <w:color w:val="auto"/>
        </w:rPr>
        <w:t>‘</w:t>
      </w:r>
      <w:r w:rsidRPr="00C1603D">
        <w:rPr>
          <w:color w:val="auto"/>
        </w:rPr>
        <w:t>multigate</w:t>
      </w:r>
      <w:r w:rsidR="007017F7" w:rsidRPr="00C1603D">
        <w:rPr>
          <w:color w:val="auto"/>
        </w:rPr>
        <w:t>’</w:t>
      </w:r>
      <w:r w:rsidRPr="00C1603D">
        <w:rPr>
          <w:color w:val="auto"/>
        </w:rPr>
        <w:t xml:space="preserve"> designs).</w:t>
      </w:r>
    </w:p>
    <w:p w14:paraId="684ADCB0" w14:textId="416A6E77" w:rsidR="008B4DF8" w:rsidRPr="00C1603D" w:rsidRDefault="008B4DF8" w:rsidP="00332C16">
      <w:pPr>
        <w:pStyle w:val="611BulletlistTextstyles"/>
        <w:rPr>
          <w:color w:val="auto"/>
        </w:rPr>
      </w:pPr>
      <w:r w:rsidRPr="00C1603D">
        <w:rPr>
          <w:color w:val="auto"/>
        </w:rPr>
        <w:t xml:space="preserve">Participants: </w:t>
      </w:r>
      <w:r w:rsidR="00332C16" w:rsidRPr="00C1603D">
        <w:rPr>
          <w:color w:val="auto"/>
        </w:rPr>
        <w:t>a</w:t>
      </w:r>
      <w:r w:rsidRPr="00C1603D">
        <w:rPr>
          <w:color w:val="auto"/>
        </w:rPr>
        <w:t>dults and/or children representative of the general population. Studies restricted to specific disease populations without healthy participants were excluded.</w:t>
      </w:r>
    </w:p>
    <w:p w14:paraId="1B01373D" w14:textId="13E8CC18" w:rsidR="008B4DF8" w:rsidRPr="00C1603D" w:rsidRDefault="008B4DF8" w:rsidP="00332C16">
      <w:pPr>
        <w:pStyle w:val="611BulletlistTextstyles"/>
        <w:rPr>
          <w:color w:val="auto"/>
        </w:rPr>
      </w:pPr>
      <w:r w:rsidRPr="00C1603D">
        <w:rPr>
          <w:color w:val="auto"/>
        </w:rPr>
        <w:t>Index test: HLA</w:t>
      </w:r>
      <w:r w:rsidR="0067303F" w:rsidRPr="00C1603D">
        <w:rPr>
          <w:color w:val="auto"/>
        </w:rPr>
        <w:t>-</w:t>
      </w:r>
      <w:r w:rsidRPr="00C1603D">
        <w:rPr>
          <w:color w:val="auto"/>
        </w:rPr>
        <w:t>DQ2 and HLA</w:t>
      </w:r>
      <w:r w:rsidR="0067303F" w:rsidRPr="00C1603D">
        <w:rPr>
          <w:color w:val="auto"/>
        </w:rPr>
        <w:t>-</w:t>
      </w:r>
      <w:r w:rsidRPr="00C1603D">
        <w:rPr>
          <w:color w:val="auto"/>
        </w:rPr>
        <w:t>DQ8 genetic tests. Studies had to evaluate both markers to be included.</w:t>
      </w:r>
    </w:p>
    <w:p w14:paraId="18B0D6D6" w14:textId="4FA5EA21" w:rsidR="008B4DF8" w:rsidRPr="00C1603D" w:rsidRDefault="008B4DF8" w:rsidP="00332C16">
      <w:pPr>
        <w:pStyle w:val="614TextbulletlistlastTextstylesTextstyles"/>
      </w:pPr>
      <w:r w:rsidRPr="00C1603D">
        <w:rPr>
          <w:color w:val="auto"/>
        </w:rPr>
        <w:t xml:space="preserve">Reference standard: CD diagnosis, detected by one or more serological </w:t>
      </w:r>
      <w:r w:rsidRPr="00C1603D">
        <w:t>tests, including IgA/</w:t>
      </w:r>
      <w:r w:rsidR="0067303F" w:rsidRPr="00C1603D">
        <w:t>Ig</w:t>
      </w:r>
      <w:r w:rsidRPr="00C1603D">
        <w:t>G tTG, EMA or DGP and/or duodenal biopsy. All participants had to be tested for CD.</w:t>
      </w:r>
    </w:p>
    <w:p w14:paraId="532E81A5" w14:textId="38C12549" w:rsidR="008B4DF8" w:rsidRPr="00C1603D" w:rsidRDefault="008B4DF8" w:rsidP="008B4DF8">
      <w:pPr>
        <w:pStyle w:val="602TextfoTextstylesTextstyles"/>
      </w:pPr>
      <w:r w:rsidRPr="00C1603D">
        <w:t>Studies were included only if sufficient data could be extracted to construct cross-tabulations of the number of people positive for either HLA</w:t>
      </w:r>
      <w:r w:rsidR="001305B5" w:rsidRPr="00C1603D">
        <w:t>-</w:t>
      </w:r>
      <w:r w:rsidRPr="00C1603D">
        <w:t>DQ2 or HLA</w:t>
      </w:r>
      <w:r w:rsidR="001305B5" w:rsidRPr="00C1603D">
        <w:t>-</w:t>
      </w:r>
      <w:r w:rsidRPr="00C1603D">
        <w:t xml:space="preserve">DQ8, against the number of people with and </w:t>
      </w:r>
      <w:r w:rsidR="001305B5" w:rsidRPr="00C1603D">
        <w:t xml:space="preserve">people </w:t>
      </w:r>
      <w:r w:rsidRPr="00C1603D">
        <w:t>without CD according to the reference standard.</w:t>
      </w:r>
    </w:p>
    <w:p w14:paraId="3A306FBB" w14:textId="77777777" w:rsidR="008B4DF8" w:rsidRPr="00C1603D" w:rsidRDefault="008B4DF8" w:rsidP="008B4DF8">
      <w:pPr>
        <w:pStyle w:val="602TextfoTextstylesTextstyles"/>
      </w:pPr>
      <w:r w:rsidRPr="00C1603D">
        <w:t>We excluded studies published before 1997 (the year in which tTG was developed), to reduce the variation in CD diagnostic tests.</w:t>
      </w:r>
    </w:p>
    <w:p w14:paraId="6F3B3C23" w14:textId="77777777" w:rsidR="008B4DF8" w:rsidRPr="00C1603D" w:rsidRDefault="008B4DF8" w:rsidP="008B4DF8">
      <w:pPr>
        <w:pStyle w:val="53BheadHeadingsHeadingstyles"/>
      </w:pPr>
      <w:bookmarkStart w:id="297" w:name="_Toc99539873"/>
      <w:r w:rsidRPr="00C1603D">
        <w:t>Search strategy</w:t>
      </w:r>
      <w:bookmarkEnd w:id="297"/>
    </w:p>
    <w:p w14:paraId="4E7EF76F" w14:textId="4BD6EE76" w:rsidR="008B4DF8" w:rsidRPr="00C1603D" w:rsidRDefault="008B4DF8" w:rsidP="008B4DF8">
      <w:pPr>
        <w:pStyle w:val="602TextfoTextstylesTextstyles"/>
      </w:pPr>
      <w:r w:rsidRPr="00C1603D">
        <w:t>Studies were identified through the same search as used to identify diagnostic indicators (</w:t>
      </w:r>
      <w:r w:rsidR="001305B5" w:rsidRPr="00C1603D">
        <w:t xml:space="preserve">see </w:t>
      </w:r>
      <w:r w:rsidRPr="00C1603D">
        <w:rPr>
          <w:i/>
          <w:iCs/>
        </w:rPr>
        <w:t>Chapter 3</w:t>
      </w:r>
      <w:r w:rsidRPr="00C1603D">
        <w:t xml:space="preserve">). Full details of the search strategy are reported in </w:t>
      </w:r>
      <w:r w:rsidRPr="00C1603D">
        <w:rPr>
          <w:i/>
          <w:iCs/>
        </w:rPr>
        <w:t>Appendix 1</w:t>
      </w:r>
      <w:r w:rsidRPr="00C1603D">
        <w:t>.</w:t>
      </w:r>
    </w:p>
    <w:p w14:paraId="77E74CBD" w14:textId="77777777" w:rsidR="008B4DF8" w:rsidRPr="00C1603D" w:rsidRDefault="008B4DF8" w:rsidP="008B4DF8">
      <w:pPr>
        <w:pStyle w:val="53BheadHeadingsHeadingstyles"/>
      </w:pPr>
      <w:bookmarkStart w:id="298" w:name="_Toc99539874"/>
      <w:r w:rsidRPr="00C1603D">
        <w:t>Study selection</w:t>
      </w:r>
      <w:bookmarkEnd w:id="298"/>
    </w:p>
    <w:p w14:paraId="7F77F2AE" w14:textId="379A7BB3" w:rsidR="008B4DF8" w:rsidRPr="00C1603D" w:rsidRDefault="008B4DF8" w:rsidP="008B4DF8">
      <w:pPr>
        <w:pStyle w:val="602TextfoTextstylesTextstyles"/>
      </w:pPr>
      <w:r w:rsidRPr="00C1603D">
        <w:t>Study selection was conducted in two stages using forms developed in Microsoft Access that were piloted before use. Search results were exported from End</w:t>
      </w:r>
      <w:r w:rsidR="000D1F49" w:rsidRPr="00C1603D">
        <w:t>N</w:t>
      </w:r>
      <w:r w:rsidRPr="00C1603D">
        <w:t xml:space="preserve">ote in a format that could be imported into Microsoft Access. At stage </w:t>
      </w:r>
      <w:r w:rsidR="00242B26" w:rsidRPr="00C1603D">
        <w:t>1</w:t>
      </w:r>
      <w:r w:rsidRPr="00C1603D">
        <w:t xml:space="preserve"> of study selection, titles and abstracts were screened against the inclusion criteria to exclude papers that were clearly irrelevant. At the second stage, full texts identified as possibly relevant in the initial screening were assessed in detail and reasons for exclusion were documented. Both stages of study selection were performed independently by two reviewers and disagreements about study eligibility were resolved through discussion or by consulting a third member of the review team.</w:t>
      </w:r>
    </w:p>
    <w:p w14:paraId="37A5FF83" w14:textId="77777777" w:rsidR="008B4DF8" w:rsidRPr="00C1603D" w:rsidRDefault="008B4DF8" w:rsidP="008B4DF8">
      <w:pPr>
        <w:pStyle w:val="53BheadHeadingsHeadingstyles"/>
      </w:pPr>
      <w:bookmarkStart w:id="299" w:name="_Toc99539875"/>
      <w:r w:rsidRPr="00C1603D">
        <w:t>Data collection process</w:t>
      </w:r>
      <w:bookmarkEnd w:id="299"/>
    </w:p>
    <w:p w14:paraId="764819A1" w14:textId="77777777" w:rsidR="008B4DF8" w:rsidRPr="00C1603D" w:rsidRDefault="008B4DF8" w:rsidP="008B4DF8">
      <w:pPr>
        <w:pStyle w:val="602TextfoTextstylesTextstyles"/>
      </w:pPr>
      <w:r w:rsidRPr="00C1603D">
        <w:t>Standardised data extraction forms were developed using Microsoft Access. These were piloted on a small sample of papers and adapted as necessary before use. Data extraction was performed by one reviewer and checked by a second, with disagreements resolved through discussion or referral to a third reviewer.</w:t>
      </w:r>
    </w:p>
    <w:p w14:paraId="470C3BE9" w14:textId="77777777" w:rsidR="008B4DF8" w:rsidRPr="00C1603D" w:rsidRDefault="008B4DF8" w:rsidP="008B4DF8">
      <w:pPr>
        <w:pStyle w:val="602TextfoTextstylesTextstyles"/>
      </w:pPr>
      <w:r w:rsidRPr="00C1603D">
        <w:lastRenderedPageBreak/>
        <w:t>We extracted the following data from each included study:</w:t>
      </w:r>
    </w:p>
    <w:p w14:paraId="3B632E64" w14:textId="326F160F" w:rsidR="008B4DF8" w:rsidRPr="00C1603D" w:rsidRDefault="00886C7D" w:rsidP="008B4DF8">
      <w:pPr>
        <w:pStyle w:val="611BulletlistTextstyles"/>
      </w:pPr>
      <w:r w:rsidRPr="00C1603D">
        <w:t xml:space="preserve">study </w:t>
      </w:r>
      <w:r w:rsidR="008B4DF8" w:rsidRPr="00C1603D">
        <w:t>characteristics (design, location, setting)</w:t>
      </w:r>
    </w:p>
    <w:p w14:paraId="66F77683" w14:textId="0A8E8D60" w:rsidR="008B4DF8" w:rsidRPr="00C1603D" w:rsidRDefault="00886C7D" w:rsidP="008B4DF8">
      <w:pPr>
        <w:pStyle w:val="611BulletlistTextstyles"/>
      </w:pPr>
      <w:r w:rsidRPr="00C1603D">
        <w:t xml:space="preserve">participant </w:t>
      </w:r>
      <w:r w:rsidR="008B4DF8" w:rsidRPr="00C1603D">
        <w:t>characteristics (age, sex)</w:t>
      </w:r>
    </w:p>
    <w:p w14:paraId="3E8A64AB" w14:textId="74C60E52" w:rsidR="008B4DF8" w:rsidRPr="00C1603D" w:rsidRDefault="00886C7D" w:rsidP="008B4DF8">
      <w:pPr>
        <w:pStyle w:val="611BulletlistTextstyles"/>
      </w:pPr>
      <w:r w:rsidRPr="00C1603D">
        <w:t xml:space="preserve">details </w:t>
      </w:r>
      <w:r w:rsidR="008B4DF8" w:rsidRPr="00C1603D">
        <w:t>on the HLA test</w:t>
      </w:r>
    </w:p>
    <w:p w14:paraId="5E44CF3B" w14:textId="285556EC" w:rsidR="008B4DF8" w:rsidRPr="00C1603D" w:rsidRDefault="00886C7D" w:rsidP="008B4DF8">
      <w:pPr>
        <w:pStyle w:val="614TextbulletlistlastTextstylesTextstyles"/>
      </w:pPr>
      <w:r w:rsidRPr="00C1603D">
        <w:t xml:space="preserve">reference </w:t>
      </w:r>
      <w:r w:rsidR="008B4DF8" w:rsidRPr="00C1603D">
        <w:t>standard test used to confirm the diagnosis of CD.</w:t>
      </w:r>
    </w:p>
    <w:p w14:paraId="10CF05D8" w14:textId="6ED2FB5D" w:rsidR="008B4DF8" w:rsidRPr="00C1603D" w:rsidRDefault="008B4DF8" w:rsidP="008B4DF8">
      <w:pPr>
        <w:pStyle w:val="602TextfoTextstylesTextstyles"/>
      </w:pPr>
      <w:r w:rsidRPr="00C1603D">
        <w:t xml:space="preserve">Results data were extracted as </w:t>
      </w:r>
      <w:r w:rsidR="003C03A0" w:rsidRPr="00C1603D">
        <w:t>2 × 2</w:t>
      </w:r>
      <w:r w:rsidRPr="00C1603D">
        <w:t xml:space="preserve"> tables of test results (number</w:t>
      </w:r>
      <w:r w:rsidR="00886C7D" w:rsidRPr="00C1603D">
        <w:t>s</w:t>
      </w:r>
      <w:r w:rsidRPr="00C1603D">
        <w:t xml:space="preserve"> of true positives, false negatives, false positives and true negatives) for the presence of either HLA-DQ2 or HLA-DQ8 against the reference standard of serological tests or biopsy</w:t>
      </w:r>
      <w:r w:rsidR="00886C7D" w:rsidRPr="00C1603D">
        <w:t xml:space="preserve"> (</w:t>
      </w:r>
      <w:r w:rsidR="00886C7D" w:rsidRPr="00C1603D">
        <w:rPr>
          <w:i/>
          <w:iCs/>
          <w:color w:val="FF0000"/>
        </w:rPr>
        <w:t xml:space="preserve">Table </w:t>
      </w:r>
      <w:r w:rsidR="007C2375" w:rsidRPr="00C1603D">
        <w:rPr>
          <w:i/>
          <w:iCs/>
          <w:color w:val="FF0000"/>
        </w:rPr>
        <w:t>13</w:t>
      </w:r>
      <w:r w:rsidR="00886C7D" w:rsidRPr="00C1603D">
        <w:t>)</w:t>
      </w:r>
      <w:r w:rsidR="007C2375" w:rsidRPr="00C1603D">
        <w:t>.</w:t>
      </w:r>
    </w:p>
    <w:p w14:paraId="1DFE2879" w14:textId="11F019D4" w:rsidR="00886C7D" w:rsidRPr="00C1603D" w:rsidRDefault="00886C7D" w:rsidP="00886C7D">
      <w:pPr>
        <w:pStyle w:val="70TablelegendTablesTableFigureBoxstyles"/>
      </w:pPr>
      <w:commentRangeStart w:id="300"/>
      <w:commentRangeStart w:id="301"/>
      <w:r w:rsidRPr="00C1603D">
        <w:rPr>
          <w:b/>
          <w:bCs/>
        </w:rPr>
        <w:t xml:space="preserve">TABLE </w:t>
      </w:r>
      <w:r w:rsidR="00032460" w:rsidRPr="00C1603D">
        <w:rPr>
          <w:b/>
          <w:bCs/>
        </w:rPr>
        <w:t>13</w:t>
      </w:r>
      <w:r w:rsidRPr="00C1603D">
        <w:t> </w:t>
      </w:r>
      <w:r w:rsidR="00BA27F3" w:rsidRPr="00C1603D">
        <w:t>Extracting results data</w:t>
      </w:r>
      <w:commentRangeEnd w:id="300"/>
      <w:r w:rsidR="00BA27F3" w:rsidRPr="00C1603D">
        <w:commentReference w:id="300"/>
      </w:r>
      <w:commentRangeEnd w:id="301"/>
      <w:r w:rsidRPr="00C1603D">
        <w:commentReference w:id="301"/>
      </w:r>
    </w:p>
    <w:tbl>
      <w:tblPr>
        <w:tblW w:w="0" w:type="auto"/>
        <w:tblCellMar>
          <w:top w:w="40" w:type="dxa"/>
          <w:left w:w="60" w:type="dxa"/>
          <w:bottom w:w="40" w:type="dxa"/>
          <w:right w:w="60" w:type="dxa"/>
        </w:tblCellMar>
        <w:tblLook w:val="04A0" w:firstRow="1" w:lastRow="0" w:firstColumn="1" w:lastColumn="0" w:noHBand="0" w:noVBand="1"/>
      </w:tblPr>
      <w:tblGrid>
        <w:gridCol w:w="2977"/>
        <w:gridCol w:w="1185"/>
        <w:gridCol w:w="1148"/>
      </w:tblGrid>
      <w:tr w:rsidR="008B4DF8" w:rsidRPr="00C1603D" w14:paraId="6C509B19" w14:textId="77777777" w:rsidTr="00AA3BC0">
        <w:trPr>
          <w:cantSplit/>
        </w:trPr>
        <w:tc>
          <w:tcPr>
            <w:tcW w:w="0" w:type="auto"/>
            <w:shd w:val="clear" w:color="auto" w:fill="auto"/>
          </w:tcPr>
          <w:p w14:paraId="711FE929" w14:textId="2011FEB3" w:rsidR="008B4DF8" w:rsidRPr="00C1603D" w:rsidRDefault="00D02CF3" w:rsidP="00AA3BC0">
            <w:pPr>
              <w:pStyle w:val="710TableheadTablesTableFigureBoxstyles"/>
            </w:pPr>
            <w:r w:rsidRPr="00C1603D">
              <w:t>HLA-DQ haplotypes</w:t>
            </w:r>
          </w:p>
        </w:tc>
        <w:tc>
          <w:tcPr>
            <w:tcW w:w="0" w:type="auto"/>
            <w:shd w:val="clear" w:color="auto" w:fill="auto"/>
          </w:tcPr>
          <w:p w14:paraId="7040C4D9" w14:textId="1CC230C8" w:rsidR="008B4DF8" w:rsidRPr="00C1603D" w:rsidRDefault="00DD3AD1" w:rsidP="00AA3BC0">
            <w:pPr>
              <w:pStyle w:val="710TableheadTablesTableFigureBoxstyles"/>
            </w:pPr>
            <w:r w:rsidRPr="00C1603D">
              <w:t>CD</w:t>
            </w:r>
          </w:p>
        </w:tc>
        <w:tc>
          <w:tcPr>
            <w:tcW w:w="0" w:type="auto"/>
            <w:shd w:val="clear" w:color="auto" w:fill="auto"/>
          </w:tcPr>
          <w:p w14:paraId="7FCCBBE1" w14:textId="13F8F3E2" w:rsidR="008B4DF8" w:rsidRPr="00C1603D" w:rsidRDefault="008B4DF8" w:rsidP="00AA3BC0">
            <w:pPr>
              <w:pStyle w:val="710TableheadTablesTableFigureBoxstyles"/>
            </w:pPr>
            <w:r w:rsidRPr="00C1603D">
              <w:t xml:space="preserve">No </w:t>
            </w:r>
            <w:r w:rsidR="00DD3AD1" w:rsidRPr="00C1603D">
              <w:t>CD</w:t>
            </w:r>
          </w:p>
        </w:tc>
      </w:tr>
      <w:tr w:rsidR="008B4DF8" w:rsidRPr="00C1603D" w14:paraId="4A483E1D" w14:textId="77777777" w:rsidTr="00AA3BC0">
        <w:trPr>
          <w:cantSplit/>
        </w:trPr>
        <w:tc>
          <w:tcPr>
            <w:tcW w:w="0" w:type="auto"/>
            <w:shd w:val="clear" w:color="auto" w:fill="auto"/>
          </w:tcPr>
          <w:p w14:paraId="6B5B11BB" w14:textId="23A65A46" w:rsidR="008B4DF8" w:rsidRPr="00C1603D" w:rsidRDefault="008B4DF8" w:rsidP="00AA3BC0">
            <w:pPr>
              <w:pStyle w:val="72TabletextTablesTableFigureBoxstyles"/>
            </w:pPr>
            <w:r w:rsidRPr="00C1603D">
              <w:t>HLA</w:t>
            </w:r>
            <w:r w:rsidR="003958EC" w:rsidRPr="00C1603D">
              <w:t>-</w:t>
            </w:r>
            <w:r w:rsidRPr="00C1603D">
              <w:t>DQ2 or HLA</w:t>
            </w:r>
            <w:r w:rsidR="003958EC" w:rsidRPr="00C1603D">
              <w:t>-</w:t>
            </w:r>
            <w:r w:rsidRPr="00C1603D">
              <w:t>DQ8</w:t>
            </w:r>
          </w:p>
        </w:tc>
        <w:tc>
          <w:tcPr>
            <w:tcW w:w="0" w:type="auto"/>
            <w:shd w:val="clear" w:color="auto" w:fill="auto"/>
          </w:tcPr>
          <w:p w14:paraId="1FC41252" w14:textId="3F46A4C7" w:rsidR="008B4DF8" w:rsidRPr="00C1603D" w:rsidRDefault="008B4DF8" w:rsidP="00AA3BC0">
            <w:pPr>
              <w:pStyle w:val="72TabletextTablesTableFigureBoxstyles"/>
            </w:pPr>
            <w:r w:rsidRPr="00C1603D">
              <w:t>T</w:t>
            </w:r>
            <w:r w:rsidR="00377908" w:rsidRPr="00C1603D">
              <w:t>rue positive</w:t>
            </w:r>
          </w:p>
        </w:tc>
        <w:tc>
          <w:tcPr>
            <w:tcW w:w="0" w:type="auto"/>
            <w:shd w:val="clear" w:color="auto" w:fill="auto"/>
          </w:tcPr>
          <w:p w14:paraId="3FFF901B" w14:textId="74BAF548" w:rsidR="008B4DF8" w:rsidRPr="00C1603D" w:rsidRDefault="008B4DF8" w:rsidP="00AA3BC0">
            <w:pPr>
              <w:pStyle w:val="72TabletextTablesTableFigureBoxstyles"/>
            </w:pPr>
            <w:r w:rsidRPr="00C1603D">
              <w:t>F</w:t>
            </w:r>
            <w:r w:rsidR="00377908" w:rsidRPr="00C1603D">
              <w:t>alse positive</w:t>
            </w:r>
          </w:p>
        </w:tc>
      </w:tr>
      <w:tr w:rsidR="008B4DF8" w:rsidRPr="00C1603D" w14:paraId="579CF5EB" w14:textId="77777777" w:rsidTr="00AA3BC0">
        <w:trPr>
          <w:cantSplit/>
        </w:trPr>
        <w:tc>
          <w:tcPr>
            <w:tcW w:w="0" w:type="auto"/>
            <w:shd w:val="clear" w:color="auto" w:fill="auto"/>
          </w:tcPr>
          <w:p w14:paraId="5083C45D" w14:textId="5B66D791" w:rsidR="008B4DF8" w:rsidRPr="00C1603D" w:rsidRDefault="008B4DF8" w:rsidP="00AA3BC0">
            <w:pPr>
              <w:pStyle w:val="72TabletextTablesTableFigureBoxstyles"/>
            </w:pPr>
            <w:r w:rsidRPr="00C1603D">
              <w:t xml:space="preserve">Negative for HLA-DQ2 and </w:t>
            </w:r>
            <w:r w:rsidR="003958EC" w:rsidRPr="00C1603D">
              <w:t>HLA-</w:t>
            </w:r>
            <w:r w:rsidRPr="00C1603D">
              <w:t>DQ8</w:t>
            </w:r>
          </w:p>
        </w:tc>
        <w:tc>
          <w:tcPr>
            <w:tcW w:w="0" w:type="auto"/>
            <w:shd w:val="clear" w:color="auto" w:fill="auto"/>
          </w:tcPr>
          <w:p w14:paraId="6A10F7DA" w14:textId="0E87B731" w:rsidR="008B4DF8" w:rsidRPr="00C1603D" w:rsidRDefault="008B4DF8" w:rsidP="00AA3BC0">
            <w:pPr>
              <w:pStyle w:val="72TabletextTablesTableFigureBoxstyles"/>
            </w:pPr>
            <w:r w:rsidRPr="00C1603D">
              <w:t>F</w:t>
            </w:r>
            <w:r w:rsidR="00377908" w:rsidRPr="00C1603D">
              <w:t>alse negative</w:t>
            </w:r>
          </w:p>
        </w:tc>
        <w:tc>
          <w:tcPr>
            <w:tcW w:w="0" w:type="auto"/>
            <w:shd w:val="clear" w:color="auto" w:fill="auto"/>
          </w:tcPr>
          <w:p w14:paraId="28015EC2" w14:textId="43AA97F4" w:rsidR="008B4DF8" w:rsidRPr="00C1603D" w:rsidRDefault="008B4DF8" w:rsidP="00AA3BC0">
            <w:pPr>
              <w:pStyle w:val="72TabletextTablesTableFigureBoxstyles"/>
            </w:pPr>
            <w:r w:rsidRPr="00C1603D">
              <w:t>T</w:t>
            </w:r>
            <w:r w:rsidR="00377908" w:rsidRPr="00C1603D">
              <w:t>rue negative</w:t>
            </w:r>
          </w:p>
        </w:tc>
      </w:tr>
    </w:tbl>
    <w:p w14:paraId="3B93101D" w14:textId="77777777" w:rsidR="008B4DF8" w:rsidRPr="00C1603D" w:rsidRDefault="008B4DF8" w:rsidP="008B4DF8">
      <w:pPr>
        <w:pStyle w:val="53BheadHeadingsHeadingstyles"/>
      </w:pPr>
      <w:bookmarkStart w:id="302" w:name="_Toc99539876"/>
      <w:r w:rsidRPr="00C1603D">
        <w:t>Risk of bias</w:t>
      </w:r>
      <w:bookmarkEnd w:id="302"/>
    </w:p>
    <w:p w14:paraId="13DDF6EA" w14:textId="3D6FC3C5" w:rsidR="008B4DF8" w:rsidRPr="00C1603D" w:rsidRDefault="008B4DF8" w:rsidP="008B4DF8">
      <w:pPr>
        <w:pStyle w:val="602TextfoTextstylesTextstyles"/>
      </w:pPr>
      <w:r w:rsidRPr="00C1603D">
        <w:t>Risk of bias was assessed using the QUADA</w:t>
      </w:r>
      <w:r w:rsidRPr="00C1603D">
        <w:rPr>
          <w:color w:val="00B0F0"/>
        </w:rPr>
        <w:t>S-2</w:t>
      </w:r>
      <w:r w:rsidRPr="00C1603D">
        <w:t xml:space="preserve"> tool.</w:t>
      </w:r>
      <w:r w:rsidRPr="00C1603D">
        <w:rPr>
          <w:noProof/>
          <w:vertAlign w:val="superscript"/>
        </w:rPr>
        <w:t>29</w:t>
      </w:r>
      <w:r w:rsidRPr="00C1603D">
        <w:t xml:space="preserve"> We removed the index test domain signalling question </w:t>
      </w:r>
      <w:r w:rsidR="00BA27F3" w:rsidRPr="00C1603D">
        <w:t>(</w:t>
      </w:r>
      <w:r w:rsidR="007017F7" w:rsidRPr="00C1603D">
        <w:rPr>
          <w:color w:val="00B0F0"/>
        </w:rPr>
        <w:t>‘</w:t>
      </w:r>
      <w:r w:rsidRPr="00C1603D">
        <w:t xml:space="preserve">If a threshold was used, was it </w:t>
      </w:r>
      <w:r w:rsidR="003C03A0" w:rsidRPr="00C1603D">
        <w:t>prespec</w:t>
      </w:r>
      <w:r w:rsidRPr="00C1603D">
        <w:t>ified</w:t>
      </w:r>
      <w:r w:rsidR="00BA27F3" w:rsidRPr="00C1603D">
        <w:t>?</w:t>
      </w:r>
      <w:r w:rsidR="007017F7" w:rsidRPr="00C1603D">
        <w:rPr>
          <w:color w:val="00B0F0"/>
        </w:rPr>
        <w:t>’</w:t>
      </w:r>
      <w:r w:rsidR="00BA27F3" w:rsidRPr="00C1603D">
        <w:rPr>
          <w:color w:val="00B0F0"/>
        </w:rPr>
        <w:t>)</w:t>
      </w:r>
      <w:r w:rsidRPr="00C1603D">
        <w:t xml:space="preserve"> as HLA genotyping does not involve a threshold. We also removed the flow and timing domain signalling question </w:t>
      </w:r>
      <w:r w:rsidR="00BA27F3" w:rsidRPr="00C1603D">
        <w:t>(</w:t>
      </w:r>
      <w:r w:rsidR="007017F7" w:rsidRPr="00C1603D">
        <w:rPr>
          <w:color w:val="00B0F0"/>
        </w:rPr>
        <w:t>‘</w:t>
      </w:r>
      <w:r w:rsidRPr="00C1603D">
        <w:t>Was there an appropriate interval between index test and reference standard?</w:t>
      </w:r>
      <w:r w:rsidR="007017F7" w:rsidRPr="00C1603D">
        <w:rPr>
          <w:color w:val="00B0F0"/>
        </w:rPr>
        <w:t>’</w:t>
      </w:r>
      <w:r w:rsidR="00BA27F3" w:rsidRPr="00C1603D">
        <w:rPr>
          <w:color w:val="00B0F0"/>
        </w:rPr>
        <w:t>)</w:t>
      </w:r>
      <w:r w:rsidRPr="00C1603D">
        <w:t xml:space="preserve"> as </w:t>
      </w:r>
      <w:r w:rsidR="00BA27F3" w:rsidRPr="00C1603D">
        <w:t xml:space="preserve">the </w:t>
      </w:r>
      <w:r w:rsidRPr="00C1603D">
        <w:t>HLA genotyping result will not change over time</w:t>
      </w:r>
      <w:r w:rsidR="00BA27F3" w:rsidRPr="00C1603D">
        <w:t>:</w:t>
      </w:r>
      <w:r w:rsidRPr="00C1603D">
        <w:t xml:space="preserve"> you are either born with or without a particular genotype. Therefore, test accuracy will not be influenced by time between genotyping and when the reference standard is performed.</w:t>
      </w:r>
    </w:p>
    <w:p w14:paraId="45562255" w14:textId="77777777" w:rsidR="008B4DF8" w:rsidRPr="00C1603D" w:rsidRDefault="008B4DF8" w:rsidP="008B4DF8">
      <w:pPr>
        <w:pStyle w:val="53BheadHeadingsHeadingstyles"/>
      </w:pPr>
      <w:bookmarkStart w:id="303" w:name="_Toc99539877"/>
      <w:r w:rsidRPr="00C1603D">
        <w:t>Synthesis of results</w:t>
      </w:r>
      <w:bookmarkEnd w:id="303"/>
    </w:p>
    <w:p w14:paraId="147000FB" w14:textId="4A112EF5" w:rsidR="008B4DF8" w:rsidRPr="00C1603D" w:rsidRDefault="008B4DF8" w:rsidP="008B4DF8">
      <w:pPr>
        <w:pStyle w:val="602TextfoTextstylesTextstyles"/>
      </w:pPr>
      <w:r w:rsidRPr="00C1603D">
        <w:t>We present a narrative summary of the included studies, including a summary of the characteristics of the included studies (</w:t>
      </w:r>
      <w:r w:rsidR="0051430A" w:rsidRPr="00C1603D">
        <w:t>e.g.</w:t>
      </w:r>
      <w:r w:rsidRPr="00C1603D">
        <w:t xml:space="preserve"> study design, population size, geographical location, year, population characteristics, genetic test details and CD diagnosis). We also describe the main methodological problems or biases that affected the studies.</w:t>
      </w:r>
    </w:p>
    <w:p w14:paraId="27E25874" w14:textId="3551715B" w:rsidR="008B4DF8" w:rsidRPr="00C1603D" w:rsidRDefault="008B4DF8" w:rsidP="008B4DF8">
      <w:pPr>
        <w:pStyle w:val="602TextfoTextstylesTextstyles"/>
      </w:pPr>
      <w:r w:rsidRPr="00C1603D">
        <w:t xml:space="preserve">We had intended to stratify our analysis according to whether studies were conducted </w:t>
      </w:r>
      <w:r w:rsidR="009F4D53" w:rsidRPr="00C1603D">
        <w:t>with</w:t>
      </w:r>
      <w:r w:rsidRPr="00C1603D">
        <w:t xml:space="preserve"> adults or children</w:t>
      </w:r>
      <w:r w:rsidR="009F4D53" w:rsidRPr="00C1603D">
        <w:t>,</w:t>
      </w:r>
      <w:r w:rsidRPr="00C1603D">
        <w:t xml:space="preserve"> but there were no studies </w:t>
      </w:r>
      <w:r w:rsidR="009F4D53" w:rsidRPr="00C1603D">
        <w:t>with</w:t>
      </w:r>
      <w:r w:rsidRPr="00C1603D">
        <w:t xml:space="preserve"> adults. A bivariate </w:t>
      </w:r>
      <w:r w:rsidR="0087034D" w:rsidRPr="00C1603D">
        <w:t>random-effect</w:t>
      </w:r>
      <w:r w:rsidRPr="00C1603D">
        <w:t>s meta-analysis was fitted, assuming binomial likelihoods for the number</w:t>
      </w:r>
      <w:r w:rsidR="009F4D53" w:rsidRPr="00C1603D">
        <w:t>s</w:t>
      </w:r>
      <w:r w:rsidRPr="00C1603D">
        <w:t xml:space="preserve"> of true positives and </w:t>
      </w:r>
      <w:r w:rsidR="009F4D53" w:rsidRPr="00C1603D">
        <w:t xml:space="preserve">true </w:t>
      </w:r>
      <w:r w:rsidRPr="00C1603D">
        <w:t>negatives in each study.</w:t>
      </w:r>
      <w:r w:rsidRPr="00C1603D">
        <w:rPr>
          <w:noProof/>
          <w:vertAlign w:val="superscript"/>
        </w:rPr>
        <w:t>30,31</w:t>
      </w:r>
      <w:r w:rsidRPr="00C1603D">
        <w:t xml:space="preserve"> Pooled estimates of sensitivity and specificity and estimates of the between-study </w:t>
      </w:r>
      <w:r w:rsidR="00911EA0" w:rsidRPr="00C1603D">
        <w:t>SD</w:t>
      </w:r>
      <w:r w:rsidRPr="00C1603D">
        <w:t xml:space="preserve"> sensitivity and specificity on the logit scale (tau) are reported. </w:t>
      </w:r>
      <w:commentRangeStart w:id="304"/>
      <w:commentRangeStart w:id="305"/>
      <w:r w:rsidRPr="00C1603D">
        <w:t>We present study-specific and pooled estimates of sensitivity and specificity in coupled forest plots</w:t>
      </w:r>
      <w:r w:rsidR="00D02CF3" w:rsidRPr="00C1603D">
        <w:t xml:space="preserve"> (see </w:t>
      </w:r>
      <w:r w:rsidR="00D02CF3" w:rsidRPr="00C1603D">
        <w:rPr>
          <w:i/>
          <w:iCs/>
        </w:rPr>
        <w:t>Figure 7</w:t>
      </w:r>
      <w:r w:rsidR="00D02CF3" w:rsidRPr="00C1603D">
        <w:t>)</w:t>
      </w:r>
      <w:r w:rsidRPr="00C1603D">
        <w:t xml:space="preserve">. </w:t>
      </w:r>
      <w:commentRangeEnd w:id="304"/>
      <w:r w:rsidR="008F3DE1" w:rsidRPr="00C1603D">
        <w:commentReference w:id="304"/>
      </w:r>
      <w:commentRangeEnd w:id="305"/>
      <w:r w:rsidRPr="00C1603D">
        <w:commentReference w:id="305"/>
      </w:r>
      <w:r w:rsidRPr="00C1603D">
        <w:t>We conducted sensitivity analyses to restrict our analysis to studies</w:t>
      </w:r>
      <w:r w:rsidR="008F3DE1" w:rsidRPr="00C1603D">
        <w:t xml:space="preserve"> judged to be</w:t>
      </w:r>
      <w:r w:rsidRPr="00C1603D">
        <w:t xml:space="preserve"> at </w:t>
      </w:r>
      <w:proofErr w:type="gramStart"/>
      <w:r w:rsidRPr="00C1603D">
        <w:t>low risk</w:t>
      </w:r>
      <w:proofErr w:type="gramEnd"/>
      <w:r w:rsidRPr="00C1603D">
        <w:t xml:space="preserve"> of bias.</w:t>
      </w:r>
    </w:p>
    <w:p w14:paraId="3168279E" w14:textId="77777777" w:rsidR="008B4DF8" w:rsidRPr="00C1603D" w:rsidRDefault="008B4DF8" w:rsidP="008B4DF8">
      <w:pPr>
        <w:pStyle w:val="52AheadHeadingsHeadingstyles"/>
      </w:pPr>
      <w:bookmarkStart w:id="306" w:name="_Toc99539878"/>
      <w:r w:rsidRPr="00C1603D">
        <w:t>Results of assessment of diagnostic accuracy of indicators</w:t>
      </w:r>
      <w:bookmarkEnd w:id="306"/>
    </w:p>
    <w:p w14:paraId="03C4AB33" w14:textId="621A6D75" w:rsidR="008B4DF8" w:rsidRPr="00C1603D" w:rsidRDefault="008B4DF8" w:rsidP="008B4DF8">
      <w:pPr>
        <w:pStyle w:val="602TextfoTextstylesTextstyles"/>
        <w:rPr>
          <w:color w:val="auto"/>
        </w:rPr>
      </w:pPr>
      <w:r w:rsidRPr="00C1603D">
        <w:rPr>
          <w:color w:val="auto"/>
        </w:rPr>
        <w:t xml:space="preserve">Full details of the search results are reported in </w:t>
      </w:r>
      <w:r w:rsidRPr="00C1603D">
        <w:rPr>
          <w:i/>
          <w:iCs/>
          <w:color w:val="auto"/>
        </w:rPr>
        <w:t>Chapter 3</w:t>
      </w:r>
      <w:r w:rsidRPr="00C1603D">
        <w:rPr>
          <w:color w:val="auto"/>
        </w:rPr>
        <w:t xml:space="preserve">. We identified </w:t>
      </w:r>
      <w:r w:rsidR="008F3DE1" w:rsidRPr="00C1603D">
        <w:rPr>
          <w:color w:val="auto"/>
        </w:rPr>
        <w:t>four</w:t>
      </w:r>
      <w:r w:rsidRPr="00C1603D">
        <w:rPr>
          <w:color w:val="auto"/>
        </w:rPr>
        <w:t xml:space="preserve"> studies reported in </w:t>
      </w:r>
      <w:r w:rsidR="008F3DE1" w:rsidRPr="00C1603D">
        <w:rPr>
          <w:color w:val="auto"/>
        </w:rPr>
        <w:t>six</w:t>
      </w:r>
      <w:r w:rsidRPr="00C1603D">
        <w:rPr>
          <w:color w:val="auto"/>
        </w:rPr>
        <w:t xml:space="preserve"> publications (</w:t>
      </w:r>
      <w:r w:rsidRPr="00C1603D">
        <w:rPr>
          <w:i/>
          <w:color w:val="auto"/>
        </w:rPr>
        <w:t>n</w:t>
      </w:r>
      <w:r w:rsidRPr="00C1603D">
        <w:rPr>
          <w:color w:val="auto"/>
        </w:rPr>
        <w:t> = 12</w:t>
      </w:r>
      <w:r w:rsidR="008F3DE1" w:rsidRPr="00C1603D">
        <w:rPr>
          <w:color w:val="auto"/>
        </w:rPr>
        <w:t>,</w:t>
      </w:r>
      <w:r w:rsidRPr="00C1603D">
        <w:rPr>
          <w:color w:val="auto"/>
        </w:rPr>
        <w:t>087)</w:t>
      </w:r>
      <w:r w:rsidR="0083686A" w:rsidRPr="00C1603D">
        <w:rPr>
          <w:color w:val="auto"/>
        </w:rPr>
        <w:t>;</w:t>
      </w:r>
      <w:r w:rsidRPr="00C1603D">
        <w:rPr>
          <w:noProof/>
          <w:color w:val="auto"/>
          <w:vertAlign w:val="superscript"/>
        </w:rPr>
        <w:t>180–185</w:t>
      </w:r>
      <w:r w:rsidRPr="00C1603D">
        <w:rPr>
          <w:color w:val="auto"/>
        </w:rPr>
        <w:t xml:space="preserve"> one study, based on the Dutch Generation R birth cohort study, was reported in </w:t>
      </w:r>
      <w:r w:rsidR="0083686A" w:rsidRPr="00C1603D">
        <w:rPr>
          <w:color w:val="auto"/>
        </w:rPr>
        <w:t>three</w:t>
      </w:r>
      <w:r w:rsidRPr="00C1603D">
        <w:rPr>
          <w:color w:val="auto"/>
        </w:rPr>
        <w:t xml:space="preserve"> publications.</w:t>
      </w:r>
      <w:r w:rsidRPr="00C1603D">
        <w:rPr>
          <w:noProof/>
          <w:color w:val="auto"/>
          <w:vertAlign w:val="superscript"/>
        </w:rPr>
        <w:t>183–185</w:t>
      </w:r>
      <w:r w:rsidRPr="00C1603D">
        <w:rPr>
          <w:color w:val="auto"/>
        </w:rPr>
        <w:t xml:space="preserve"> Although none of these specifically aimed to evaluate the accuracy of HLA testing for CD, all reported data that could be used to estimate accuracy of HLA testing. We selected the most recent report, which also provided data on the greatest number of participants, for inclusion in the analysis.</w:t>
      </w:r>
      <w:r w:rsidRPr="00C1603D">
        <w:rPr>
          <w:noProof/>
          <w:color w:val="auto"/>
          <w:vertAlign w:val="superscript"/>
        </w:rPr>
        <w:t>183</w:t>
      </w:r>
    </w:p>
    <w:p w14:paraId="2AE86BFE" w14:textId="77777777" w:rsidR="008B4DF8" w:rsidRPr="00C1603D" w:rsidRDefault="008B4DF8" w:rsidP="008B4DF8">
      <w:pPr>
        <w:pStyle w:val="53BheadHeadingsHeadingstyles"/>
      </w:pPr>
      <w:bookmarkStart w:id="307" w:name="_Toc99539879"/>
      <w:r w:rsidRPr="00C1603D">
        <w:t>Study characteristics</w:t>
      </w:r>
      <w:bookmarkEnd w:id="307"/>
    </w:p>
    <w:p w14:paraId="3183A60C" w14:textId="003D7825" w:rsidR="008B4DF8" w:rsidRPr="00C1603D" w:rsidRDefault="008B4DF8" w:rsidP="008B4DF8">
      <w:pPr>
        <w:pStyle w:val="602TextfoTextstylesTextstyles"/>
        <w:rPr>
          <w:vertAlign w:val="superscript"/>
        </w:rPr>
      </w:pPr>
      <w:r w:rsidRPr="00C1603D">
        <w:rPr>
          <w:i/>
          <w:color w:val="FF0000"/>
        </w:rPr>
        <w:t xml:space="preserve">Table </w:t>
      </w:r>
      <w:r w:rsidRPr="00C1603D">
        <w:rPr>
          <w:i/>
          <w:noProof/>
          <w:color w:val="FF0000"/>
        </w:rPr>
        <w:t>1</w:t>
      </w:r>
      <w:r w:rsidR="007C2375" w:rsidRPr="00C1603D">
        <w:rPr>
          <w:i/>
          <w:noProof/>
          <w:color w:val="FF0000"/>
        </w:rPr>
        <w:t>4</w:t>
      </w:r>
      <w:r w:rsidRPr="00C1603D">
        <w:t xml:space="preserve"> provides an overview of the included studies. All studies were conducted </w:t>
      </w:r>
      <w:r w:rsidR="00CC7BFF" w:rsidRPr="00C1603D">
        <w:t>with</w:t>
      </w:r>
      <w:r w:rsidRPr="00C1603D">
        <w:t xml:space="preserve"> children. Two studies used a nested </w:t>
      </w:r>
      <w:r w:rsidRPr="00C1603D">
        <w:rPr>
          <w:color w:val="00B0F0"/>
        </w:rPr>
        <w:t>case–control</w:t>
      </w:r>
      <w:r w:rsidRPr="00C1603D">
        <w:t xml:space="preserve"> design and two </w:t>
      </w:r>
      <w:r w:rsidR="00CC7BFF" w:rsidRPr="00C1603D">
        <w:t xml:space="preserve">used </w:t>
      </w:r>
      <w:r w:rsidRPr="00C1603D">
        <w:t xml:space="preserve">a cohort design. </w:t>
      </w:r>
      <w:r w:rsidR="00CC7BFF" w:rsidRPr="00C1603D">
        <w:t>The m</w:t>
      </w:r>
      <w:r w:rsidRPr="00C1603D">
        <w:t xml:space="preserve">edian age was 12 years in </w:t>
      </w:r>
      <w:r w:rsidR="00CC7BFF" w:rsidRPr="00C1603D">
        <w:t>two</w:t>
      </w:r>
      <w:r w:rsidRPr="00C1603D">
        <w:t xml:space="preserve"> studies,</w:t>
      </w:r>
      <w:r w:rsidR="00F46C2E" w:rsidRPr="00C1603D">
        <w:rPr>
          <w:vertAlign w:val="superscript"/>
        </w:rPr>
        <w:t>181,182</w:t>
      </w:r>
      <w:r w:rsidRPr="00C1603D">
        <w:t xml:space="preserve"> 6 years in one study</w:t>
      </w:r>
      <w:r w:rsidR="00F46C2E" w:rsidRPr="00C1603D">
        <w:rPr>
          <w:vertAlign w:val="superscript"/>
        </w:rPr>
        <w:t>183</w:t>
      </w:r>
      <w:r w:rsidRPr="00C1603D">
        <w:t xml:space="preserve"> and 3 years in </w:t>
      </w:r>
      <w:r w:rsidR="00F46C2E" w:rsidRPr="00C1603D">
        <w:t>the remaining</w:t>
      </w:r>
      <w:r w:rsidRPr="00C1603D">
        <w:t xml:space="preserve"> study.</w:t>
      </w:r>
      <w:r w:rsidR="00F46C2E" w:rsidRPr="00C1603D">
        <w:rPr>
          <w:vertAlign w:val="superscript"/>
        </w:rPr>
        <w:t>180</w:t>
      </w:r>
      <w:r w:rsidRPr="00C1603D">
        <w:t xml:space="preserve"> Two studies were conducted in Sweden,</w:t>
      </w:r>
      <w:r w:rsidR="00084DAF" w:rsidRPr="00C1603D">
        <w:rPr>
          <w:vertAlign w:val="superscript"/>
        </w:rPr>
        <w:t>180,182</w:t>
      </w:r>
      <w:r w:rsidRPr="00C1603D">
        <w:t xml:space="preserve"> one in Finland</w:t>
      </w:r>
      <w:r w:rsidR="00084DAF" w:rsidRPr="00C1603D">
        <w:rPr>
          <w:vertAlign w:val="superscript"/>
        </w:rPr>
        <w:t>181</w:t>
      </w:r>
      <w:r w:rsidRPr="00C1603D">
        <w:t xml:space="preserve"> and one in the Netherlands. Three studies</w:t>
      </w:r>
      <w:r w:rsidR="00C5104B" w:rsidRPr="00C1603D">
        <w:rPr>
          <w:vertAlign w:val="superscript"/>
        </w:rPr>
        <w:t>180–182</w:t>
      </w:r>
      <w:r w:rsidRPr="00C1603D">
        <w:t xml:space="preserve"> confirmed the diagnosis of CD by a combination of serology with biopsy </w:t>
      </w:r>
      <w:r w:rsidR="00FC790B" w:rsidRPr="00C1603D">
        <w:t>of</w:t>
      </w:r>
      <w:r w:rsidRPr="00C1603D">
        <w:t xml:space="preserve"> those who were positive </w:t>
      </w:r>
      <w:r w:rsidRPr="00C1603D">
        <w:lastRenderedPageBreak/>
        <w:t>on serology, the other used serology alone.</w:t>
      </w:r>
      <w:r w:rsidR="00C5104B" w:rsidRPr="00C1603D">
        <w:rPr>
          <w:vertAlign w:val="superscript"/>
        </w:rPr>
        <w:t>183</w:t>
      </w:r>
    </w:p>
    <w:p w14:paraId="2285EBBC" w14:textId="7019C8F8" w:rsidR="008B4DF8" w:rsidRPr="00C1603D" w:rsidRDefault="008B4DF8" w:rsidP="008B4DF8">
      <w:pPr>
        <w:pStyle w:val="70TablelegendTablesTableFigureBoxstyles"/>
      </w:pPr>
      <w:bookmarkStart w:id="308" w:name="_Toc99720724"/>
      <w:r w:rsidRPr="00C1603D">
        <w:rPr>
          <w:b/>
        </w:rPr>
        <w:t>TABLE 1</w:t>
      </w:r>
      <w:r w:rsidR="00032460" w:rsidRPr="00C1603D">
        <w:rPr>
          <w:b/>
        </w:rPr>
        <w:t>4</w:t>
      </w:r>
      <w:r w:rsidRPr="00C1603D">
        <w:rPr>
          <w:b/>
        </w:rPr>
        <w:t> </w:t>
      </w:r>
      <w:r w:rsidRPr="00C1603D">
        <w:t>Details of studies that evaluated the accuracy of HLA genotyping</w:t>
      </w:r>
      <w:bookmarkEnd w:id="308"/>
    </w:p>
    <w:tbl>
      <w:tblPr>
        <w:tblW w:w="0" w:type="auto"/>
        <w:tblCellMar>
          <w:top w:w="40" w:type="dxa"/>
          <w:left w:w="60" w:type="dxa"/>
          <w:bottom w:w="40" w:type="dxa"/>
          <w:right w:w="60" w:type="dxa"/>
        </w:tblCellMar>
        <w:tblLook w:val="04A0" w:firstRow="1" w:lastRow="0" w:firstColumn="1" w:lastColumn="0" w:noHBand="0" w:noVBand="1"/>
      </w:tblPr>
      <w:tblGrid>
        <w:gridCol w:w="763"/>
        <w:gridCol w:w="795"/>
        <w:gridCol w:w="553"/>
        <w:gridCol w:w="599"/>
        <w:gridCol w:w="732"/>
        <w:gridCol w:w="1513"/>
        <w:gridCol w:w="578"/>
        <w:gridCol w:w="667"/>
        <w:gridCol w:w="750"/>
        <w:gridCol w:w="817"/>
        <w:gridCol w:w="855"/>
        <w:gridCol w:w="404"/>
      </w:tblGrid>
      <w:tr w:rsidR="00650E8F" w:rsidRPr="00C1603D" w14:paraId="07E4CE11" w14:textId="77777777" w:rsidTr="485719AF">
        <w:trPr>
          <w:cantSplit/>
          <w:tblHeader/>
        </w:trPr>
        <w:tc>
          <w:tcPr>
            <w:tcW w:w="0" w:type="auto"/>
            <w:shd w:val="clear" w:color="auto" w:fill="FFFFFF" w:themeFill="background1"/>
          </w:tcPr>
          <w:p w14:paraId="06B148D1" w14:textId="77777777" w:rsidR="008B4DF8" w:rsidRPr="00C1603D" w:rsidRDefault="008B4DF8" w:rsidP="00FC790B">
            <w:pPr>
              <w:pStyle w:val="710TableheadTablesTableFigureBoxstyles"/>
            </w:pPr>
            <w:r w:rsidRPr="00C1603D">
              <w:t>Study</w:t>
            </w:r>
          </w:p>
        </w:tc>
        <w:tc>
          <w:tcPr>
            <w:tcW w:w="0" w:type="auto"/>
            <w:shd w:val="clear" w:color="auto" w:fill="FFFFFF" w:themeFill="background1"/>
          </w:tcPr>
          <w:p w14:paraId="5A433245" w14:textId="02E64975" w:rsidR="008B4DF8" w:rsidRPr="00C1603D" w:rsidRDefault="00FC790B" w:rsidP="00FC790B">
            <w:pPr>
              <w:pStyle w:val="710TableheadTablesTableFigureBoxstyles"/>
            </w:pPr>
            <w:r w:rsidRPr="00C1603D">
              <w:t>Population</w:t>
            </w:r>
          </w:p>
        </w:tc>
        <w:tc>
          <w:tcPr>
            <w:tcW w:w="0" w:type="auto"/>
            <w:shd w:val="clear" w:color="auto" w:fill="FFFFFF" w:themeFill="background1"/>
          </w:tcPr>
          <w:p w14:paraId="5EEC71AF" w14:textId="5C9C95F9" w:rsidR="008B4DF8" w:rsidRPr="00C1603D" w:rsidRDefault="008B4DF8" w:rsidP="00FC790B">
            <w:pPr>
              <w:pStyle w:val="710TableheadTablesTableFigureBoxstyles"/>
            </w:pPr>
            <w:r w:rsidRPr="00C1603D">
              <w:t xml:space="preserve">Study </w:t>
            </w:r>
            <w:r w:rsidR="00FC790B" w:rsidRPr="00C1603D">
              <w:t>d</w:t>
            </w:r>
            <w:r w:rsidRPr="00C1603D">
              <w:t>esign</w:t>
            </w:r>
          </w:p>
        </w:tc>
        <w:tc>
          <w:tcPr>
            <w:tcW w:w="0" w:type="auto"/>
            <w:shd w:val="clear" w:color="auto" w:fill="FFFFFF" w:themeFill="background1"/>
          </w:tcPr>
          <w:p w14:paraId="2FD220A4" w14:textId="77777777" w:rsidR="008B4DF8" w:rsidRPr="00C1603D" w:rsidRDefault="008B4DF8" w:rsidP="00FC790B">
            <w:pPr>
              <w:pStyle w:val="710TableheadTablesTableFigureBoxstyles"/>
            </w:pPr>
            <w:r w:rsidRPr="00C1603D">
              <w:t>Genetic test details</w:t>
            </w:r>
          </w:p>
        </w:tc>
        <w:tc>
          <w:tcPr>
            <w:tcW w:w="0" w:type="auto"/>
            <w:shd w:val="clear" w:color="auto" w:fill="FFFFFF" w:themeFill="background1"/>
          </w:tcPr>
          <w:p w14:paraId="2B3AF3CB" w14:textId="5920ADC3" w:rsidR="008B4DF8" w:rsidRPr="00C1603D" w:rsidRDefault="008B4DF8" w:rsidP="00FC790B">
            <w:pPr>
              <w:pStyle w:val="710TableheadTablesTableFigureBoxstyles"/>
            </w:pPr>
            <w:r w:rsidRPr="00C1603D">
              <w:t xml:space="preserve">Total </w:t>
            </w:r>
            <w:r w:rsidR="00650E8F" w:rsidRPr="00C1603D">
              <w:t>s</w:t>
            </w:r>
            <w:r w:rsidRPr="00C1603D">
              <w:t xml:space="preserve">ample </w:t>
            </w:r>
            <w:r w:rsidR="00650E8F" w:rsidRPr="00C1603D">
              <w:t>(</w:t>
            </w:r>
            <w:r w:rsidR="00650E8F" w:rsidRPr="00C1603D">
              <w:rPr>
                <w:i/>
                <w:iCs/>
              </w:rPr>
              <w:t>N</w:t>
            </w:r>
            <w:r w:rsidR="00650E8F" w:rsidRPr="00C1603D">
              <w:t xml:space="preserve">) </w:t>
            </w:r>
            <w:r w:rsidRPr="00C1603D">
              <w:t>(analysed</w:t>
            </w:r>
            <w:r w:rsidR="00650E8F" w:rsidRPr="00C1603D">
              <w:t xml:space="preserve">, </w:t>
            </w:r>
            <w:r w:rsidR="00650E8F" w:rsidRPr="00C1603D">
              <w:rPr>
                <w:i/>
                <w:iCs/>
              </w:rPr>
              <w:t>n</w:t>
            </w:r>
            <w:r w:rsidRPr="00C1603D">
              <w:t>)</w:t>
            </w:r>
          </w:p>
        </w:tc>
        <w:tc>
          <w:tcPr>
            <w:tcW w:w="0" w:type="auto"/>
            <w:shd w:val="clear" w:color="auto" w:fill="FFFFFF" w:themeFill="background1"/>
          </w:tcPr>
          <w:p w14:paraId="0FA77FC7" w14:textId="30978BB8" w:rsidR="008B4DF8" w:rsidRPr="00C1603D" w:rsidRDefault="008B4DF8" w:rsidP="00FC790B">
            <w:pPr>
              <w:pStyle w:val="710TableheadTablesTableFigureBoxstyles"/>
            </w:pPr>
            <w:commentRangeStart w:id="309"/>
            <w:commentRangeStart w:id="310"/>
            <w:r w:rsidRPr="00C1603D">
              <w:t>Age (years)</w:t>
            </w:r>
            <w:commentRangeEnd w:id="309"/>
            <w:r w:rsidR="001D074C" w:rsidRPr="00C1603D">
              <w:commentReference w:id="309"/>
            </w:r>
            <w:commentRangeEnd w:id="310"/>
            <w:r w:rsidRPr="00C1603D">
              <w:commentReference w:id="310"/>
            </w:r>
          </w:p>
        </w:tc>
        <w:tc>
          <w:tcPr>
            <w:tcW w:w="0" w:type="auto"/>
            <w:shd w:val="clear" w:color="auto" w:fill="FFFFFF" w:themeFill="background1"/>
          </w:tcPr>
          <w:p w14:paraId="27DD9E48" w14:textId="77777777" w:rsidR="008B4DF8" w:rsidRPr="00C1603D" w:rsidRDefault="008B4DF8" w:rsidP="00FC790B">
            <w:pPr>
              <w:pStyle w:val="710TableheadTablesTableFigureBoxstyles"/>
            </w:pPr>
            <w:r w:rsidRPr="00C1603D">
              <w:t>Sex (% female)</w:t>
            </w:r>
          </w:p>
        </w:tc>
        <w:tc>
          <w:tcPr>
            <w:tcW w:w="0" w:type="auto"/>
            <w:shd w:val="clear" w:color="auto" w:fill="FFFFFF" w:themeFill="background1"/>
          </w:tcPr>
          <w:p w14:paraId="7C0DF157" w14:textId="77777777" w:rsidR="008B4DF8" w:rsidRPr="00C1603D" w:rsidRDefault="008B4DF8" w:rsidP="00FC790B">
            <w:pPr>
              <w:pStyle w:val="710TableheadTablesTableFigureBoxstyles"/>
            </w:pPr>
            <w:r w:rsidRPr="00C1603D">
              <w:t>Control group</w:t>
            </w:r>
          </w:p>
        </w:tc>
        <w:tc>
          <w:tcPr>
            <w:tcW w:w="0" w:type="auto"/>
            <w:shd w:val="clear" w:color="auto" w:fill="FFFFFF" w:themeFill="background1"/>
          </w:tcPr>
          <w:p w14:paraId="3DF097DB" w14:textId="77777777" w:rsidR="008B4DF8" w:rsidRPr="00C1603D" w:rsidRDefault="008B4DF8" w:rsidP="00FC790B">
            <w:pPr>
              <w:pStyle w:val="710TableheadTablesTableFigureBoxstyles"/>
            </w:pPr>
            <w:r w:rsidRPr="00C1603D">
              <w:t>Reference standard</w:t>
            </w:r>
          </w:p>
        </w:tc>
        <w:tc>
          <w:tcPr>
            <w:tcW w:w="0" w:type="auto"/>
            <w:shd w:val="clear" w:color="auto" w:fill="FFFFFF" w:themeFill="background1"/>
          </w:tcPr>
          <w:p w14:paraId="51FE9322" w14:textId="77777777" w:rsidR="008B4DF8" w:rsidRPr="00C1603D" w:rsidRDefault="008B4DF8" w:rsidP="00FC790B">
            <w:pPr>
              <w:pStyle w:val="710TableheadTablesTableFigureBoxstyles"/>
            </w:pPr>
            <w:r w:rsidRPr="00C1603D">
              <w:t>Setting</w:t>
            </w:r>
          </w:p>
        </w:tc>
        <w:tc>
          <w:tcPr>
            <w:tcW w:w="0" w:type="auto"/>
            <w:shd w:val="clear" w:color="auto" w:fill="FFFFFF" w:themeFill="background1"/>
          </w:tcPr>
          <w:p w14:paraId="2E5F72BE" w14:textId="77777777" w:rsidR="008B4DF8" w:rsidRPr="00C1603D" w:rsidRDefault="008B4DF8" w:rsidP="00FC790B">
            <w:pPr>
              <w:pStyle w:val="710TableheadTablesTableFigureBoxstyles"/>
            </w:pPr>
            <w:r w:rsidRPr="00C1603D">
              <w:t>Location</w:t>
            </w:r>
          </w:p>
        </w:tc>
        <w:tc>
          <w:tcPr>
            <w:tcW w:w="0" w:type="auto"/>
            <w:shd w:val="clear" w:color="auto" w:fill="FFFFFF" w:themeFill="background1"/>
          </w:tcPr>
          <w:p w14:paraId="1EC1B260" w14:textId="45EFD22B" w:rsidR="008B4DF8" w:rsidRPr="00C1603D" w:rsidRDefault="008B4DF8" w:rsidP="00FC790B">
            <w:pPr>
              <w:pStyle w:val="710TableheadTablesTableFigureBoxstyles"/>
            </w:pPr>
            <w:r w:rsidRPr="00C1603D">
              <w:t>R</w:t>
            </w:r>
            <w:r w:rsidR="001D074C" w:rsidRPr="00C1603D">
              <w:t>isk of bias</w:t>
            </w:r>
          </w:p>
        </w:tc>
      </w:tr>
      <w:tr w:rsidR="001D074C" w:rsidRPr="00C1603D" w14:paraId="35BB5B41" w14:textId="77777777" w:rsidTr="485719AF">
        <w:trPr>
          <w:cantSplit/>
          <w:trHeight w:val="378"/>
          <w:tblHeader/>
        </w:trPr>
        <w:tc>
          <w:tcPr>
            <w:tcW w:w="0" w:type="auto"/>
            <w:vMerge w:val="restart"/>
            <w:shd w:val="clear" w:color="auto" w:fill="FFFFFF" w:themeFill="background1"/>
          </w:tcPr>
          <w:p w14:paraId="6FC216B3" w14:textId="64063F8D" w:rsidR="001D074C" w:rsidRPr="00C1603D" w:rsidRDefault="001D074C" w:rsidP="00FC790B">
            <w:pPr>
              <w:pStyle w:val="72TabletextTablesTableFigureBoxstyles"/>
            </w:pPr>
            <w:r w:rsidRPr="00C1603D">
              <w:t xml:space="preserve">Björck </w:t>
            </w:r>
            <w:r w:rsidRPr="00C1603D">
              <w:rPr>
                <w:i/>
                <w:iCs/>
              </w:rPr>
              <w:t>et al</w:t>
            </w:r>
            <w:r w:rsidRPr="00C1603D">
              <w:t>.</w:t>
            </w:r>
            <w:r w:rsidRPr="00C1603D">
              <w:rPr>
                <w:vertAlign w:val="superscript"/>
              </w:rPr>
              <w:t>180</w:t>
            </w:r>
            <w:r w:rsidRPr="00C1603D">
              <w:t xml:space="preserve"> (2010)</w:t>
            </w:r>
          </w:p>
        </w:tc>
        <w:tc>
          <w:tcPr>
            <w:tcW w:w="0" w:type="auto"/>
            <w:vMerge w:val="restart"/>
            <w:shd w:val="clear" w:color="auto" w:fill="FFFFFF" w:themeFill="background1"/>
          </w:tcPr>
          <w:p w14:paraId="03EDB789" w14:textId="77777777" w:rsidR="001D074C" w:rsidRPr="00C1603D" w:rsidRDefault="001D074C" w:rsidP="00FC790B">
            <w:pPr>
              <w:pStyle w:val="72TabletextTablesTableFigureBoxstyles"/>
            </w:pPr>
            <w:r w:rsidRPr="00C1603D">
              <w:t>Children</w:t>
            </w:r>
          </w:p>
        </w:tc>
        <w:tc>
          <w:tcPr>
            <w:tcW w:w="0" w:type="auto"/>
            <w:vMerge w:val="restart"/>
            <w:shd w:val="clear" w:color="auto" w:fill="FFFFFF" w:themeFill="background1"/>
          </w:tcPr>
          <w:p w14:paraId="51A6A277" w14:textId="7E3254E2" w:rsidR="001D074C" w:rsidRPr="00C1603D" w:rsidRDefault="001D074C" w:rsidP="00FC790B">
            <w:pPr>
              <w:pStyle w:val="72TabletextTablesTableFigureBoxstyles"/>
            </w:pPr>
            <w:r w:rsidRPr="00C1603D">
              <w:t xml:space="preserve">Nested </w:t>
            </w:r>
            <w:r w:rsidRPr="00C1603D">
              <w:rPr>
                <w:color w:val="00B0F0"/>
              </w:rPr>
              <w:t>case–control</w:t>
            </w:r>
          </w:p>
        </w:tc>
        <w:tc>
          <w:tcPr>
            <w:tcW w:w="0" w:type="auto"/>
            <w:vMerge w:val="restart"/>
            <w:shd w:val="clear" w:color="auto" w:fill="FFFFFF" w:themeFill="background1"/>
          </w:tcPr>
          <w:p w14:paraId="00B382B4" w14:textId="49C08FA3" w:rsidR="001D074C" w:rsidRPr="00C1603D" w:rsidRDefault="001D074C" w:rsidP="00FC790B">
            <w:pPr>
              <w:pStyle w:val="72TabletextTablesTableFigureBoxstyles"/>
            </w:pPr>
            <w:r w:rsidRPr="00C1603D">
              <w:t>HLA-DQ2, HLA-DQ8 or both</w:t>
            </w:r>
          </w:p>
        </w:tc>
        <w:tc>
          <w:tcPr>
            <w:tcW w:w="0" w:type="auto"/>
            <w:vMerge w:val="restart"/>
            <w:shd w:val="clear" w:color="auto" w:fill="FFFFFF" w:themeFill="background1"/>
          </w:tcPr>
          <w:p w14:paraId="01A9F435" w14:textId="77777777" w:rsidR="001D074C" w:rsidRPr="00C1603D" w:rsidRDefault="001D074C" w:rsidP="00FC790B">
            <w:pPr>
              <w:pStyle w:val="72TabletextTablesTableFigureBoxstyles"/>
            </w:pPr>
            <w:r w:rsidRPr="00C1603D">
              <w:t>3435 (3435)</w:t>
            </w:r>
          </w:p>
        </w:tc>
        <w:tc>
          <w:tcPr>
            <w:tcW w:w="0" w:type="auto"/>
            <w:vMerge w:val="restart"/>
            <w:shd w:val="clear" w:color="auto" w:fill="FFFFFF" w:themeFill="background1"/>
          </w:tcPr>
          <w:p w14:paraId="700A4D4D" w14:textId="77777777" w:rsidR="001D074C" w:rsidRPr="00C1603D" w:rsidRDefault="001D074C" w:rsidP="00FC790B">
            <w:pPr>
              <w:pStyle w:val="72TabletextTablesTableFigureBoxstyles"/>
            </w:pPr>
            <w:r w:rsidRPr="00C1603D">
              <w:t>3</w:t>
            </w:r>
          </w:p>
        </w:tc>
        <w:tc>
          <w:tcPr>
            <w:tcW w:w="0" w:type="auto"/>
            <w:vMerge w:val="restart"/>
            <w:shd w:val="clear" w:color="auto" w:fill="FFFFFF" w:themeFill="background1"/>
          </w:tcPr>
          <w:p w14:paraId="56446337" w14:textId="77777777" w:rsidR="001D074C" w:rsidRPr="00C1603D" w:rsidRDefault="001D074C" w:rsidP="00FC790B">
            <w:pPr>
              <w:pStyle w:val="72TabletextTablesTableFigureBoxstyles"/>
            </w:pPr>
            <w:r w:rsidRPr="00C1603D">
              <w:t>NR</w:t>
            </w:r>
          </w:p>
        </w:tc>
        <w:tc>
          <w:tcPr>
            <w:tcW w:w="0" w:type="auto"/>
            <w:shd w:val="clear" w:color="auto" w:fill="FFFFFF" w:themeFill="background1"/>
          </w:tcPr>
          <w:p w14:paraId="2A4A517A" w14:textId="1FB6FDDB" w:rsidR="001D074C" w:rsidRPr="00C1603D" w:rsidRDefault="001D074C" w:rsidP="00FC790B">
            <w:pPr>
              <w:pStyle w:val="72TabletextTablesTableFigureBoxstyles"/>
            </w:pPr>
            <w:r w:rsidRPr="00C1603D">
              <w:t>Cases: HLA positive</w:t>
            </w:r>
          </w:p>
        </w:tc>
        <w:tc>
          <w:tcPr>
            <w:tcW w:w="0" w:type="auto"/>
            <w:vMerge w:val="restart"/>
            <w:shd w:val="clear" w:color="auto" w:fill="FFFFFF" w:themeFill="background1"/>
          </w:tcPr>
          <w:p w14:paraId="00248D84" w14:textId="146C8FF3" w:rsidR="001D074C" w:rsidRPr="00C1603D" w:rsidRDefault="001D074C" w:rsidP="00FC790B">
            <w:pPr>
              <w:pStyle w:val="72TabletextTablesTableFigureBoxstyles"/>
            </w:pPr>
            <w:r w:rsidRPr="00C1603D">
              <w:t xml:space="preserve">Serology and only </w:t>
            </w:r>
            <w:r w:rsidR="00322FCF" w:rsidRPr="00C1603D">
              <w:t>positive</w:t>
            </w:r>
            <w:r w:rsidRPr="00C1603D">
              <w:t xml:space="preserve"> patients biopsied</w:t>
            </w:r>
          </w:p>
        </w:tc>
        <w:tc>
          <w:tcPr>
            <w:tcW w:w="0" w:type="auto"/>
            <w:vMerge w:val="restart"/>
            <w:shd w:val="clear" w:color="auto" w:fill="FFFFFF" w:themeFill="background1"/>
          </w:tcPr>
          <w:p w14:paraId="1555AC6A" w14:textId="77777777" w:rsidR="001D074C" w:rsidRPr="00C1603D" w:rsidRDefault="001D074C" w:rsidP="00FC790B">
            <w:pPr>
              <w:pStyle w:val="72TabletextTablesTableFigureBoxstyles"/>
            </w:pPr>
            <w:r w:rsidRPr="00C1603D">
              <w:t>Community</w:t>
            </w:r>
          </w:p>
        </w:tc>
        <w:tc>
          <w:tcPr>
            <w:tcW w:w="0" w:type="auto"/>
            <w:vMerge w:val="restart"/>
            <w:shd w:val="clear" w:color="auto" w:fill="FFFFFF" w:themeFill="background1"/>
          </w:tcPr>
          <w:p w14:paraId="12C41F7A" w14:textId="77777777" w:rsidR="001D074C" w:rsidRPr="00C1603D" w:rsidRDefault="001D074C" w:rsidP="00FC790B">
            <w:pPr>
              <w:pStyle w:val="72TabletextTablesTableFigureBoxstyles"/>
            </w:pPr>
            <w:r w:rsidRPr="00C1603D">
              <w:t>Sweden</w:t>
            </w:r>
          </w:p>
        </w:tc>
        <w:tc>
          <w:tcPr>
            <w:tcW w:w="0" w:type="auto"/>
            <w:vMerge w:val="restart"/>
            <w:shd w:val="clear" w:color="auto" w:fill="FFFFFF" w:themeFill="background1"/>
          </w:tcPr>
          <w:p w14:paraId="08F83950" w14:textId="77777777" w:rsidR="001D074C" w:rsidRPr="00C1603D" w:rsidRDefault="001D074C" w:rsidP="00FC790B">
            <w:pPr>
              <w:pStyle w:val="72TabletextTablesTableFigureBoxstyles"/>
            </w:pPr>
            <w:r w:rsidRPr="00C1603D">
              <w:t>Low</w:t>
            </w:r>
          </w:p>
        </w:tc>
      </w:tr>
      <w:tr w:rsidR="001D074C" w:rsidRPr="00C1603D" w14:paraId="467E5E32" w14:textId="77777777" w:rsidTr="485719AF">
        <w:trPr>
          <w:cantSplit/>
          <w:trHeight w:val="377"/>
          <w:tblHeader/>
        </w:trPr>
        <w:tc>
          <w:tcPr>
            <w:tcW w:w="0" w:type="auto"/>
            <w:vMerge/>
          </w:tcPr>
          <w:p w14:paraId="221D3287" w14:textId="77777777" w:rsidR="001D074C" w:rsidRPr="00C1603D" w:rsidRDefault="001D074C" w:rsidP="00FC790B">
            <w:pPr>
              <w:pStyle w:val="72TabletextTablesTableFigureBoxstyles"/>
            </w:pPr>
          </w:p>
        </w:tc>
        <w:tc>
          <w:tcPr>
            <w:tcW w:w="0" w:type="auto"/>
            <w:vMerge/>
          </w:tcPr>
          <w:p w14:paraId="552833B7" w14:textId="77777777" w:rsidR="001D074C" w:rsidRPr="00C1603D" w:rsidRDefault="001D074C" w:rsidP="00FC790B">
            <w:pPr>
              <w:pStyle w:val="72TabletextTablesTableFigureBoxstyles"/>
            </w:pPr>
          </w:p>
        </w:tc>
        <w:tc>
          <w:tcPr>
            <w:tcW w:w="0" w:type="auto"/>
            <w:vMerge/>
          </w:tcPr>
          <w:p w14:paraId="0254E90C" w14:textId="77777777" w:rsidR="001D074C" w:rsidRPr="00C1603D" w:rsidRDefault="001D074C" w:rsidP="00FC790B">
            <w:pPr>
              <w:pStyle w:val="72TabletextTablesTableFigureBoxstyles"/>
            </w:pPr>
          </w:p>
        </w:tc>
        <w:tc>
          <w:tcPr>
            <w:tcW w:w="0" w:type="auto"/>
            <w:vMerge/>
          </w:tcPr>
          <w:p w14:paraId="0E7D249D" w14:textId="77777777" w:rsidR="001D074C" w:rsidRPr="00C1603D" w:rsidRDefault="001D074C" w:rsidP="00FC790B">
            <w:pPr>
              <w:pStyle w:val="72TabletextTablesTableFigureBoxstyles"/>
            </w:pPr>
          </w:p>
        </w:tc>
        <w:tc>
          <w:tcPr>
            <w:tcW w:w="0" w:type="auto"/>
            <w:vMerge/>
          </w:tcPr>
          <w:p w14:paraId="71F257CD" w14:textId="77777777" w:rsidR="001D074C" w:rsidRPr="00C1603D" w:rsidRDefault="001D074C" w:rsidP="00FC790B">
            <w:pPr>
              <w:pStyle w:val="72TabletextTablesTableFigureBoxstyles"/>
            </w:pPr>
          </w:p>
        </w:tc>
        <w:tc>
          <w:tcPr>
            <w:tcW w:w="0" w:type="auto"/>
            <w:vMerge/>
          </w:tcPr>
          <w:p w14:paraId="791F503A" w14:textId="77777777" w:rsidR="001D074C" w:rsidRPr="00C1603D" w:rsidRDefault="001D074C" w:rsidP="00FC790B">
            <w:pPr>
              <w:pStyle w:val="72TabletextTablesTableFigureBoxstyles"/>
            </w:pPr>
          </w:p>
        </w:tc>
        <w:tc>
          <w:tcPr>
            <w:tcW w:w="0" w:type="auto"/>
            <w:vMerge/>
          </w:tcPr>
          <w:p w14:paraId="4155AB8B" w14:textId="77777777" w:rsidR="001D074C" w:rsidRPr="00C1603D" w:rsidRDefault="001D074C" w:rsidP="00FC790B">
            <w:pPr>
              <w:pStyle w:val="72TabletextTablesTableFigureBoxstyles"/>
            </w:pPr>
          </w:p>
        </w:tc>
        <w:tc>
          <w:tcPr>
            <w:tcW w:w="0" w:type="auto"/>
            <w:shd w:val="clear" w:color="auto" w:fill="FFFFFF" w:themeFill="background1"/>
          </w:tcPr>
          <w:p w14:paraId="0EA2D1AF" w14:textId="35AE964F" w:rsidR="001D074C" w:rsidRPr="00C1603D" w:rsidRDefault="001D074C" w:rsidP="00FC790B">
            <w:pPr>
              <w:pStyle w:val="72TabletextTablesTableFigureBoxstyles"/>
            </w:pPr>
            <w:r w:rsidRPr="00C1603D">
              <w:t>Controls: HLA negative</w:t>
            </w:r>
          </w:p>
        </w:tc>
        <w:tc>
          <w:tcPr>
            <w:tcW w:w="0" w:type="auto"/>
            <w:vMerge/>
          </w:tcPr>
          <w:p w14:paraId="1752E66A" w14:textId="77777777" w:rsidR="001D074C" w:rsidRPr="00C1603D" w:rsidRDefault="001D074C" w:rsidP="00FC790B">
            <w:pPr>
              <w:pStyle w:val="72TabletextTablesTableFigureBoxstyles"/>
            </w:pPr>
          </w:p>
        </w:tc>
        <w:tc>
          <w:tcPr>
            <w:tcW w:w="0" w:type="auto"/>
            <w:vMerge/>
          </w:tcPr>
          <w:p w14:paraId="625E410E" w14:textId="77777777" w:rsidR="001D074C" w:rsidRPr="00C1603D" w:rsidRDefault="001D074C" w:rsidP="00FC790B">
            <w:pPr>
              <w:pStyle w:val="72TabletextTablesTableFigureBoxstyles"/>
            </w:pPr>
          </w:p>
        </w:tc>
        <w:tc>
          <w:tcPr>
            <w:tcW w:w="0" w:type="auto"/>
            <w:vMerge/>
          </w:tcPr>
          <w:p w14:paraId="54F29A0A" w14:textId="77777777" w:rsidR="001D074C" w:rsidRPr="00C1603D" w:rsidRDefault="001D074C" w:rsidP="00FC790B">
            <w:pPr>
              <w:pStyle w:val="72TabletextTablesTableFigureBoxstyles"/>
            </w:pPr>
          </w:p>
        </w:tc>
        <w:tc>
          <w:tcPr>
            <w:tcW w:w="0" w:type="auto"/>
            <w:vMerge/>
          </w:tcPr>
          <w:p w14:paraId="7A0C574F" w14:textId="77777777" w:rsidR="001D074C" w:rsidRPr="00C1603D" w:rsidRDefault="001D074C" w:rsidP="00FC790B">
            <w:pPr>
              <w:pStyle w:val="72TabletextTablesTableFigureBoxstyles"/>
            </w:pPr>
          </w:p>
        </w:tc>
      </w:tr>
      <w:tr w:rsidR="00650E8F" w:rsidRPr="00C1603D" w14:paraId="213B8F43" w14:textId="77777777" w:rsidTr="485719AF">
        <w:trPr>
          <w:cantSplit/>
          <w:tblHeader/>
        </w:trPr>
        <w:tc>
          <w:tcPr>
            <w:tcW w:w="0" w:type="auto"/>
            <w:shd w:val="clear" w:color="auto" w:fill="FFFFFF" w:themeFill="background1"/>
          </w:tcPr>
          <w:p w14:paraId="6FA8AA8D" w14:textId="665E4DF5" w:rsidR="008B4DF8" w:rsidRPr="00C1603D" w:rsidRDefault="00FC790B" w:rsidP="00FC790B">
            <w:pPr>
              <w:pStyle w:val="72TabletextTablesTableFigureBoxstyles"/>
            </w:pPr>
            <w:r w:rsidRPr="00C1603D">
              <w:t xml:space="preserve">Mäki </w:t>
            </w:r>
            <w:r w:rsidRPr="00C1603D">
              <w:rPr>
                <w:i/>
                <w:iCs/>
              </w:rPr>
              <w:t>et al</w:t>
            </w:r>
            <w:r w:rsidRPr="00C1603D">
              <w:t>.</w:t>
            </w:r>
            <w:r w:rsidRPr="00C1603D">
              <w:rPr>
                <w:vertAlign w:val="superscript"/>
              </w:rPr>
              <w:t>181</w:t>
            </w:r>
            <w:r w:rsidRPr="00C1603D">
              <w:t xml:space="preserve"> </w:t>
            </w:r>
            <w:r w:rsidR="008B4DF8" w:rsidRPr="00C1603D">
              <w:t>(2003)</w:t>
            </w:r>
          </w:p>
        </w:tc>
        <w:tc>
          <w:tcPr>
            <w:tcW w:w="0" w:type="auto"/>
            <w:shd w:val="clear" w:color="auto" w:fill="FFFFFF" w:themeFill="background1"/>
          </w:tcPr>
          <w:p w14:paraId="34A3E2C0" w14:textId="77777777" w:rsidR="008B4DF8" w:rsidRPr="00C1603D" w:rsidRDefault="008B4DF8" w:rsidP="00FC790B">
            <w:pPr>
              <w:pStyle w:val="72TabletextTablesTableFigureBoxstyles"/>
            </w:pPr>
            <w:r w:rsidRPr="00C1603D">
              <w:t>Children</w:t>
            </w:r>
          </w:p>
        </w:tc>
        <w:tc>
          <w:tcPr>
            <w:tcW w:w="0" w:type="auto"/>
            <w:shd w:val="clear" w:color="auto" w:fill="FFFFFF" w:themeFill="background1"/>
          </w:tcPr>
          <w:p w14:paraId="0E3EBF96" w14:textId="77777777" w:rsidR="008B4DF8" w:rsidRPr="00C1603D" w:rsidRDefault="008B4DF8" w:rsidP="00FC790B">
            <w:pPr>
              <w:pStyle w:val="72TabletextTablesTableFigureBoxstyles"/>
            </w:pPr>
            <w:r w:rsidRPr="00C1603D">
              <w:t>Cohort</w:t>
            </w:r>
          </w:p>
        </w:tc>
        <w:tc>
          <w:tcPr>
            <w:tcW w:w="0" w:type="auto"/>
            <w:shd w:val="clear" w:color="auto" w:fill="FFFFFF" w:themeFill="background1"/>
          </w:tcPr>
          <w:p w14:paraId="18489D2F" w14:textId="116529BF" w:rsidR="008B4DF8" w:rsidRPr="00C1603D" w:rsidRDefault="008B4DF8" w:rsidP="00FC790B">
            <w:pPr>
              <w:pStyle w:val="72TabletextTablesTableFigureBoxstyles"/>
            </w:pPr>
            <w:r w:rsidRPr="00C1603D">
              <w:t>HLA</w:t>
            </w:r>
            <w:r w:rsidR="00FC790B" w:rsidRPr="00C1603D">
              <w:t>-</w:t>
            </w:r>
            <w:r w:rsidRPr="00C1603D">
              <w:t>DQ2, HLA</w:t>
            </w:r>
            <w:r w:rsidR="00FC790B" w:rsidRPr="00C1603D">
              <w:t>-</w:t>
            </w:r>
            <w:r w:rsidRPr="00C1603D">
              <w:t>DQ8 or both</w:t>
            </w:r>
          </w:p>
        </w:tc>
        <w:tc>
          <w:tcPr>
            <w:tcW w:w="0" w:type="auto"/>
            <w:shd w:val="clear" w:color="auto" w:fill="FFFFFF" w:themeFill="background1"/>
          </w:tcPr>
          <w:p w14:paraId="34C2D6B0" w14:textId="77777777" w:rsidR="008B4DF8" w:rsidRPr="00C1603D" w:rsidRDefault="008B4DF8" w:rsidP="00FC790B">
            <w:pPr>
              <w:pStyle w:val="72TabletextTablesTableFigureBoxstyles"/>
            </w:pPr>
            <w:r w:rsidRPr="00C1603D">
              <w:t>3654 (3617)</w:t>
            </w:r>
          </w:p>
        </w:tc>
        <w:tc>
          <w:tcPr>
            <w:tcW w:w="0" w:type="auto"/>
            <w:shd w:val="clear" w:color="auto" w:fill="FFFFFF" w:themeFill="background1"/>
          </w:tcPr>
          <w:p w14:paraId="31B2E3C6" w14:textId="7EB58637" w:rsidR="008B4DF8" w:rsidRPr="00C1603D" w:rsidRDefault="008B4DF8" w:rsidP="00FC790B">
            <w:pPr>
              <w:pStyle w:val="72TabletextTablesTableFigureBoxstyles"/>
            </w:pPr>
            <w:commentRangeStart w:id="311"/>
            <w:commentRangeStart w:id="312"/>
            <w:r w:rsidRPr="00C1603D">
              <w:t>Median 12 (</w:t>
            </w:r>
            <w:r w:rsidR="00DB1D30">
              <w:t xml:space="preserve">range </w:t>
            </w:r>
            <w:r w:rsidRPr="00C1603D">
              <w:t>7</w:t>
            </w:r>
            <w:r w:rsidR="003C47A2" w:rsidRPr="00C1603D">
              <w:t>–</w:t>
            </w:r>
            <w:r w:rsidRPr="00C1603D">
              <w:t>16)</w:t>
            </w:r>
            <w:commentRangeEnd w:id="311"/>
            <w:r w:rsidR="00344F76" w:rsidRPr="00C1603D">
              <w:commentReference w:id="311"/>
            </w:r>
            <w:commentRangeEnd w:id="312"/>
            <w:r w:rsidRPr="00C1603D">
              <w:commentReference w:id="312"/>
            </w:r>
          </w:p>
        </w:tc>
        <w:tc>
          <w:tcPr>
            <w:tcW w:w="0" w:type="auto"/>
            <w:shd w:val="clear" w:color="auto" w:fill="FFFFFF" w:themeFill="background1"/>
          </w:tcPr>
          <w:p w14:paraId="36D8E17F" w14:textId="77777777" w:rsidR="008B4DF8" w:rsidRPr="00C1603D" w:rsidRDefault="008B4DF8" w:rsidP="00FC790B">
            <w:pPr>
              <w:pStyle w:val="72TabletextTablesTableFigureBoxstyles"/>
            </w:pPr>
            <w:r w:rsidRPr="00C1603D">
              <w:t>NR</w:t>
            </w:r>
          </w:p>
        </w:tc>
        <w:tc>
          <w:tcPr>
            <w:tcW w:w="0" w:type="auto"/>
            <w:shd w:val="clear" w:color="auto" w:fill="FFFFFF" w:themeFill="background1"/>
          </w:tcPr>
          <w:p w14:paraId="394F9250" w14:textId="77777777" w:rsidR="008B4DF8" w:rsidRPr="00C1603D" w:rsidRDefault="008B4DF8" w:rsidP="00FC790B">
            <w:pPr>
              <w:pStyle w:val="72TabletextTablesTableFigureBoxstyles"/>
            </w:pPr>
            <w:r w:rsidRPr="00C1603D">
              <w:t>NA</w:t>
            </w:r>
          </w:p>
        </w:tc>
        <w:tc>
          <w:tcPr>
            <w:tcW w:w="0" w:type="auto"/>
            <w:shd w:val="clear" w:color="auto" w:fill="FFFFFF" w:themeFill="background1"/>
          </w:tcPr>
          <w:p w14:paraId="3CACE459" w14:textId="278BB45E" w:rsidR="008B4DF8" w:rsidRPr="00C1603D" w:rsidRDefault="008B4DF8" w:rsidP="00FC790B">
            <w:pPr>
              <w:pStyle w:val="72TabletextTablesTableFigureBoxstyles"/>
            </w:pPr>
            <w:r w:rsidRPr="00C1603D">
              <w:t xml:space="preserve">Serology and only </w:t>
            </w:r>
            <w:r w:rsidR="00322FCF" w:rsidRPr="00C1603D">
              <w:t>positive</w:t>
            </w:r>
            <w:r w:rsidRPr="00C1603D">
              <w:t xml:space="preserve"> </w:t>
            </w:r>
            <w:r w:rsidR="001D074C" w:rsidRPr="00C1603D">
              <w:t xml:space="preserve">patients </w:t>
            </w:r>
            <w:r w:rsidRPr="00C1603D">
              <w:t>biopsied</w:t>
            </w:r>
          </w:p>
        </w:tc>
        <w:tc>
          <w:tcPr>
            <w:tcW w:w="0" w:type="auto"/>
            <w:shd w:val="clear" w:color="auto" w:fill="FFFFFF" w:themeFill="background1"/>
          </w:tcPr>
          <w:p w14:paraId="4FC109A4" w14:textId="77777777" w:rsidR="008B4DF8" w:rsidRPr="00C1603D" w:rsidRDefault="008B4DF8" w:rsidP="00FC790B">
            <w:pPr>
              <w:pStyle w:val="72TabletextTablesTableFigureBoxstyles"/>
            </w:pPr>
            <w:r w:rsidRPr="00C1603D">
              <w:t>Community</w:t>
            </w:r>
          </w:p>
        </w:tc>
        <w:tc>
          <w:tcPr>
            <w:tcW w:w="0" w:type="auto"/>
            <w:shd w:val="clear" w:color="auto" w:fill="FFFFFF" w:themeFill="background1"/>
          </w:tcPr>
          <w:p w14:paraId="3B9BB437" w14:textId="77777777" w:rsidR="008B4DF8" w:rsidRPr="00C1603D" w:rsidRDefault="008B4DF8" w:rsidP="00FC790B">
            <w:pPr>
              <w:pStyle w:val="72TabletextTablesTableFigureBoxstyles"/>
            </w:pPr>
            <w:r w:rsidRPr="00C1603D">
              <w:t>Finland</w:t>
            </w:r>
          </w:p>
        </w:tc>
        <w:tc>
          <w:tcPr>
            <w:tcW w:w="0" w:type="auto"/>
            <w:shd w:val="clear" w:color="auto" w:fill="FFFFFF" w:themeFill="background1"/>
          </w:tcPr>
          <w:p w14:paraId="5F5D8170" w14:textId="77777777" w:rsidR="008B4DF8" w:rsidRPr="00C1603D" w:rsidRDefault="008B4DF8" w:rsidP="00FC790B">
            <w:pPr>
              <w:pStyle w:val="72TabletextTablesTableFigureBoxstyles"/>
            </w:pPr>
            <w:r w:rsidRPr="00C1603D">
              <w:t>Low</w:t>
            </w:r>
          </w:p>
        </w:tc>
      </w:tr>
      <w:tr w:rsidR="001D074C" w:rsidRPr="00C1603D" w14:paraId="1C30D859" w14:textId="77777777" w:rsidTr="485719AF">
        <w:trPr>
          <w:cantSplit/>
          <w:trHeight w:val="71"/>
          <w:tblHeader/>
        </w:trPr>
        <w:tc>
          <w:tcPr>
            <w:tcW w:w="0" w:type="auto"/>
            <w:vMerge w:val="restart"/>
            <w:shd w:val="clear" w:color="auto" w:fill="FFFFFF" w:themeFill="background1"/>
          </w:tcPr>
          <w:p w14:paraId="04F3D48F" w14:textId="78C74F88" w:rsidR="001D074C" w:rsidRPr="00C1603D" w:rsidRDefault="001D074C" w:rsidP="00FC790B">
            <w:pPr>
              <w:pStyle w:val="72TabletextTablesTableFigureBoxstyles"/>
            </w:pPr>
            <w:r w:rsidRPr="00C1603D">
              <w:t xml:space="preserve">Sandström </w:t>
            </w:r>
            <w:r w:rsidRPr="00C1603D">
              <w:rPr>
                <w:i/>
                <w:iCs/>
              </w:rPr>
              <w:t>et al</w:t>
            </w:r>
            <w:r w:rsidRPr="00C1603D">
              <w:t>.</w:t>
            </w:r>
            <w:r w:rsidRPr="00C1603D">
              <w:rPr>
                <w:vertAlign w:val="superscript"/>
              </w:rPr>
              <w:t>182</w:t>
            </w:r>
            <w:r w:rsidRPr="00C1603D">
              <w:t xml:space="preserve"> (2013)</w:t>
            </w:r>
          </w:p>
        </w:tc>
        <w:tc>
          <w:tcPr>
            <w:tcW w:w="0" w:type="auto"/>
            <w:vMerge w:val="restart"/>
            <w:shd w:val="clear" w:color="auto" w:fill="FFFFFF" w:themeFill="background1"/>
          </w:tcPr>
          <w:p w14:paraId="192E35E9" w14:textId="77777777" w:rsidR="001D074C" w:rsidRPr="00C1603D" w:rsidRDefault="001D074C" w:rsidP="00FC790B">
            <w:pPr>
              <w:pStyle w:val="72TabletextTablesTableFigureBoxstyles"/>
            </w:pPr>
            <w:r w:rsidRPr="00C1603D">
              <w:t>Children</w:t>
            </w:r>
          </w:p>
        </w:tc>
        <w:tc>
          <w:tcPr>
            <w:tcW w:w="0" w:type="auto"/>
            <w:vMerge w:val="restart"/>
            <w:shd w:val="clear" w:color="auto" w:fill="FFFFFF" w:themeFill="background1"/>
          </w:tcPr>
          <w:p w14:paraId="1CD6FBD2" w14:textId="42DFF8AF" w:rsidR="001D074C" w:rsidRPr="00C1603D" w:rsidRDefault="001D074C" w:rsidP="00FC790B">
            <w:pPr>
              <w:pStyle w:val="72TabletextTablesTableFigureBoxstyles"/>
            </w:pPr>
            <w:r w:rsidRPr="00C1603D">
              <w:t>Nested case–control</w:t>
            </w:r>
          </w:p>
        </w:tc>
        <w:tc>
          <w:tcPr>
            <w:tcW w:w="0" w:type="auto"/>
            <w:vMerge w:val="restart"/>
            <w:shd w:val="clear" w:color="auto" w:fill="FFFFFF" w:themeFill="background1"/>
          </w:tcPr>
          <w:p w14:paraId="7E876866" w14:textId="545E19C6" w:rsidR="001D074C" w:rsidRPr="00C1603D" w:rsidRDefault="001D074C" w:rsidP="00FC790B">
            <w:pPr>
              <w:pStyle w:val="72TabletextTablesTableFigureBoxstyles"/>
            </w:pPr>
            <w:r w:rsidRPr="00C1603D">
              <w:t>HLA-DQ2, HLA-DQ8 or both</w:t>
            </w:r>
          </w:p>
        </w:tc>
        <w:tc>
          <w:tcPr>
            <w:tcW w:w="0" w:type="auto"/>
            <w:vMerge w:val="restart"/>
            <w:shd w:val="clear" w:color="auto" w:fill="FFFFFF" w:themeFill="background1"/>
          </w:tcPr>
          <w:p w14:paraId="2BBD0B57" w14:textId="77777777" w:rsidR="001D074C" w:rsidRPr="00C1603D" w:rsidRDefault="001D074C" w:rsidP="00FC790B">
            <w:pPr>
              <w:pStyle w:val="72TabletextTablesTableFigureBoxstyles"/>
            </w:pPr>
            <w:r w:rsidRPr="00C1603D">
              <w:t>1320</w:t>
            </w:r>
          </w:p>
        </w:tc>
        <w:tc>
          <w:tcPr>
            <w:tcW w:w="0" w:type="auto"/>
            <w:vMerge w:val="restart"/>
            <w:shd w:val="clear" w:color="auto" w:fill="FFFFFF" w:themeFill="background1"/>
          </w:tcPr>
          <w:p w14:paraId="0E68CCDE" w14:textId="1BCCAD56" w:rsidR="001D074C" w:rsidRPr="00C1603D" w:rsidRDefault="001D074C" w:rsidP="00FC790B">
            <w:pPr>
              <w:pStyle w:val="72TabletextTablesTableFigureBoxstyles"/>
            </w:pPr>
            <w:r w:rsidRPr="00C1603D">
              <w:t>12</w:t>
            </w:r>
          </w:p>
        </w:tc>
        <w:tc>
          <w:tcPr>
            <w:tcW w:w="0" w:type="auto"/>
            <w:vMerge w:val="restart"/>
            <w:shd w:val="clear" w:color="auto" w:fill="FFFFFF" w:themeFill="background1"/>
          </w:tcPr>
          <w:p w14:paraId="65882654" w14:textId="77777777" w:rsidR="001D074C" w:rsidRPr="00C1603D" w:rsidRDefault="001D074C" w:rsidP="00FC790B">
            <w:pPr>
              <w:pStyle w:val="72TabletextTablesTableFigureBoxstyles"/>
            </w:pPr>
            <w:r w:rsidRPr="00C1603D">
              <w:t>52</w:t>
            </w:r>
          </w:p>
        </w:tc>
        <w:tc>
          <w:tcPr>
            <w:tcW w:w="0" w:type="auto"/>
            <w:shd w:val="clear" w:color="auto" w:fill="FFFFFF" w:themeFill="background1"/>
          </w:tcPr>
          <w:p w14:paraId="553E7D6E" w14:textId="6AEB1D8D" w:rsidR="001D074C" w:rsidRPr="00C1603D" w:rsidRDefault="001D074C" w:rsidP="00FC790B">
            <w:pPr>
              <w:pStyle w:val="72TabletextTablesTableFigureBoxstyles"/>
            </w:pPr>
            <w:r w:rsidRPr="00C1603D">
              <w:t xml:space="preserve">Cases: serology </w:t>
            </w:r>
            <w:r w:rsidR="00322FCF" w:rsidRPr="00C1603D">
              <w:t>positive</w:t>
            </w:r>
            <w:r w:rsidRPr="00C1603D">
              <w:t>, referred for biopsy</w:t>
            </w:r>
          </w:p>
        </w:tc>
        <w:tc>
          <w:tcPr>
            <w:tcW w:w="0" w:type="auto"/>
            <w:vMerge w:val="restart"/>
            <w:shd w:val="clear" w:color="auto" w:fill="FFFFFF" w:themeFill="background1"/>
          </w:tcPr>
          <w:p w14:paraId="595EC17F" w14:textId="3143AB28" w:rsidR="001D074C" w:rsidRPr="00C1603D" w:rsidRDefault="001D074C" w:rsidP="00FC790B">
            <w:pPr>
              <w:pStyle w:val="72TabletextTablesTableFigureBoxstyles"/>
            </w:pPr>
            <w:r w:rsidRPr="00C1603D">
              <w:t xml:space="preserve">Serology and only </w:t>
            </w:r>
            <w:r w:rsidR="00322FCF" w:rsidRPr="00C1603D">
              <w:t>positive</w:t>
            </w:r>
            <w:r w:rsidRPr="00C1603D">
              <w:t xml:space="preserve"> patients biopsied</w:t>
            </w:r>
          </w:p>
        </w:tc>
        <w:tc>
          <w:tcPr>
            <w:tcW w:w="0" w:type="auto"/>
            <w:vMerge w:val="restart"/>
            <w:shd w:val="clear" w:color="auto" w:fill="FFFFFF" w:themeFill="background1"/>
          </w:tcPr>
          <w:p w14:paraId="23320B7E" w14:textId="77777777" w:rsidR="001D074C" w:rsidRPr="00C1603D" w:rsidRDefault="001D074C" w:rsidP="00FC790B">
            <w:pPr>
              <w:pStyle w:val="72TabletextTablesTableFigureBoxstyles"/>
            </w:pPr>
            <w:r w:rsidRPr="00C1603D">
              <w:t>Community</w:t>
            </w:r>
          </w:p>
        </w:tc>
        <w:tc>
          <w:tcPr>
            <w:tcW w:w="0" w:type="auto"/>
            <w:vMerge w:val="restart"/>
            <w:shd w:val="clear" w:color="auto" w:fill="FFFFFF" w:themeFill="background1"/>
          </w:tcPr>
          <w:p w14:paraId="51EF98E5" w14:textId="77777777" w:rsidR="001D074C" w:rsidRPr="00C1603D" w:rsidRDefault="001D074C" w:rsidP="00FC790B">
            <w:pPr>
              <w:pStyle w:val="72TabletextTablesTableFigureBoxstyles"/>
            </w:pPr>
            <w:r w:rsidRPr="00C1603D">
              <w:t>Sweden</w:t>
            </w:r>
          </w:p>
        </w:tc>
        <w:tc>
          <w:tcPr>
            <w:tcW w:w="0" w:type="auto"/>
            <w:vMerge w:val="restart"/>
            <w:shd w:val="clear" w:color="auto" w:fill="FFFFFF" w:themeFill="background1"/>
          </w:tcPr>
          <w:p w14:paraId="6FC964E7" w14:textId="77777777" w:rsidR="001D074C" w:rsidRPr="00C1603D" w:rsidRDefault="001D074C" w:rsidP="00FC790B">
            <w:pPr>
              <w:pStyle w:val="72TabletextTablesTableFigureBoxstyles"/>
            </w:pPr>
            <w:r w:rsidRPr="00C1603D">
              <w:t>Low</w:t>
            </w:r>
          </w:p>
        </w:tc>
      </w:tr>
      <w:tr w:rsidR="001D074C" w:rsidRPr="00C1603D" w14:paraId="4FBD1E32" w14:textId="77777777" w:rsidTr="485719AF">
        <w:trPr>
          <w:cantSplit/>
          <w:trHeight w:val="70"/>
          <w:tblHeader/>
        </w:trPr>
        <w:tc>
          <w:tcPr>
            <w:tcW w:w="0" w:type="auto"/>
            <w:vMerge/>
          </w:tcPr>
          <w:p w14:paraId="630FE065" w14:textId="77777777" w:rsidR="001D074C" w:rsidRPr="00C1603D" w:rsidRDefault="001D074C" w:rsidP="00FC790B">
            <w:pPr>
              <w:pStyle w:val="72TabletextTablesTableFigureBoxstyles"/>
            </w:pPr>
          </w:p>
        </w:tc>
        <w:tc>
          <w:tcPr>
            <w:tcW w:w="0" w:type="auto"/>
            <w:vMerge/>
          </w:tcPr>
          <w:p w14:paraId="732068BE" w14:textId="77777777" w:rsidR="001D074C" w:rsidRPr="00C1603D" w:rsidRDefault="001D074C" w:rsidP="00FC790B">
            <w:pPr>
              <w:pStyle w:val="72TabletextTablesTableFigureBoxstyles"/>
            </w:pPr>
          </w:p>
        </w:tc>
        <w:tc>
          <w:tcPr>
            <w:tcW w:w="0" w:type="auto"/>
            <w:vMerge/>
          </w:tcPr>
          <w:p w14:paraId="3D5F2A00" w14:textId="77777777" w:rsidR="001D074C" w:rsidRPr="00C1603D" w:rsidRDefault="001D074C" w:rsidP="00FC790B">
            <w:pPr>
              <w:pStyle w:val="72TabletextTablesTableFigureBoxstyles"/>
            </w:pPr>
          </w:p>
        </w:tc>
        <w:tc>
          <w:tcPr>
            <w:tcW w:w="0" w:type="auto"/>
            <w:vMerge/>
          </w:tcPr>
          <w:p w14:paraId="06DB07E9" w14:textId="77777777" w:rsidR="001D074C" w:rsidRPr="00C1603D" w:rsidRDefault="001D074C" w:rsidP="00FC790B">
            <w:pPr>
              <w:pStyle w:val="72TabletextTablesTableFigureBoxstyles"/>
            </w:pPr>
          </w:p>
        </w:tc>
        <w:tc>
          <w:tcPr>
            <w:tcW w:w="0" w:type="auto"/>
            <w:vMerge/>
          </w:tcPr>
          <w:p w14:paraId="1BCB3B2E" w14:textId="77777777" w:rsidR="001D074C" w:rsidRPr="00C1603D" w:rsidRDefault="001D074C" w:rsidP="00FC790B">
            <w:pPr>
              <w:pStyle w:val="72TabletextTablesTableFigureBoxstyles"/>
            </w:pPr>
          </w:p>
        </w:tc>
        <w:tc>
          <w:tcPr>
            <w:tcW w:w="0" w:type="auto"/>
            <w:vMerge/>
          </w:tcPr>
          <w:p w14:paraId="5EAA1CC4" w14:textId="77777777" w:rsidR="001D074C" w:rsidRPr="00C1603D" w:rsidRDefault="001D074C" w:rsidP="00FC790B">
            <w:pPr>
              <w:pStyle w:val="72TabletextTablesTableFigureBoxstyles"/>
            </w:pPr>
          </w:p>
        </w:tc>
        <w:tc>
          <w:tcPr>
            <w:tcW w:w="0" w:type="auto"/>
            <w:vMerge/>
          </w:tcPr>
          <w:p w14:paraId="3F1E68DD" w14:textId="77777777" w:rsidR="001D074C" w:rsidRPr="00C1603D" w:rsidRDefault="001D074C" w:rsidP="00FC790B">
            <w:pPr>
              <w:pStyle w:val="72TabletextTablesTableFigureBoxstyles"/>
            </w:pPr>
          </w:p>
        </w:tc>
        <w:tc>
          <w:tcPr>
            <w:tcW w:w="0" w:type="auto"/>
            <w:shd w:val="clear" w:color="auto" w:fill="FFFFFF" w:themeFill="background1"/>
          </w:tcPr>
          <w:p w14:paraId="0CA9C213" w14:textId="203AD5BA" w:rsidR="001D074C" w:rsidRPr="00C1603D" w:rsidRDefault="001D074C" w:rsidP="00FC790B">
            <w:pPr>
              <w:pStyle w:val="72TabletextTablesTableFigureBoxstyles"/>
            </w:pPr>
            <w:r w:rsidRPr="00C1603D">
              <w:t xml:space="preserve">Controls: serology </w:t>
            </w:r>
            <w:r w:rsidR="00322FCF" w:rsidRPr="00C1603D">
              <w:t>negative</w:t>
            </w:r>
          </w:p>
        </w:tc>
        <w:tc>
          <w:tcPr>
            <w:tcW w:w="0" w:type="auto"/>
            <w:vMerge/>
          </w:tcPr>
          <w:p w14:paraId="678719EF" w14:textId="77777777" w:rsidR="001D074C" w:rsidRPr="00C1603D" w:rsidRDefault="001D074C" w:rsidP="00FC790B">
            <w:pPr>
              <w:pStyle w:val="72TabletextTablesTableFigureBoxstyles"/>
            </w:pPr>
          </w:p>
        </w:tc>
        <w:tc>
          <w:tcPr>
            <w:tcW w:w="0" w:type="auto"/>
            <w:vMerge/>
          </w:tcPr>
          <w:p w14:paraId="44FAC728" w14:textId="77777777" w:rsidR="001D074C" w:rsidRPr="00C1603D" w:rsidRDefault="001D074C" w:rsidP="00FC790B">
            <w:pPr>
              <w:pStyle w:val="72TabletextTablesTableFigureBoxstyles"/>
            </w:pPr>
          </w:p>
        </w:tc>
        <w:tc>
          <w:tcPr>
            <w:tcW w:w="0" w:type="auto"/>
            <w:vMerge/>
          </w:tcPr>
          <w:p w14:paraId="63B7217F" w14:textId="77777777" w:rsidR="001D074C" w:rsidRPr="00C1603D" w:rsidRDefault="001D074C" w:rsidP="00FC790B">
            <w:pPr>
              <w:pStyle w:val="72TabletextTablesTableFigureBoxstyles"/>
            </w:pPr>
          </w:p>
        </w:tc>
        <w:tc>
          <w:tcPr>
            <w:tcW w:w="0" w:type="auto"/>
            <w:vMerge/>
          </w:tcPr>
          <w:p w14:paraId="038CE86C" w14:textId="77777777" w:rsidR="001D074C" w:rsidRPr="00C1603D" w:rsidRDefault="001D074C" w:rsidP="00FC790B">
            <w:pPr>
              <w:pStyle w:val="72TabletextTablesTableFigureBoxstyles"/>
            </w:pPr>
          </w:p>
        </w:tc>
      </w:tr>
      <w:tr w:rsidR="00650E8F" w:rsidRPr="00C1603D" w14:paraId="4643BAAD" w14:textId="77777777" w:rsidTr="485719AF">
        <w:trPr>
          <w:cantSplit/>
          <w:tblHeader/>
        </w:trPr>
        <w:tc>
          <w:tcPr>
            <w:tcW w:w="0" w:type="auto"/>
            <w:shd w:val="clear" w:color="auto" w:fill="FFFFFF" w:themeFill="background1"/>
          </w:tcPr>
          <w:p w14:paraId="18E88D80" w14:textId="59ADCB63" w:rsidR="008B4DF8" w:rsidRPr="00C1603D" w:rsidRDefault="008B4DF8" w:rsidP="00FC790B">
            <w:pPr>
              <w:pStyle w:val="72TabletextTablesTableFigureBoxstyles"/>
            </w:pPr>
            <w:r w:rsidRPr="00C1603D">
              <w:t xml:space="preserve">Wahab </w:t>
            </w:r>
            <w:r w:rsidR="00FC790B" w:rsidRPr="00C1603D">
              <w:rPr>
                <w:i/>
                <w:iCs/>
              </w:rPr>
              <w:t>et al</w:t>
            </w:r>
            <w:r w:rsidR="00FC790B" w:rsidRPr="00C1603D">
              <w:t>.</w:t>
            </w:r>
            <w:r w:rsidR="00FC790B" w:rsidRPr="00C1603D">
              <w:rPr>
                <w:vertAlign w:val="superscript"/>
              </w:rPr>
              <w:t>183</w:t>
            </w:r>
            <w:r w:rsidR="00FC790B" w:rsidRPr="00C1603D">
              <w:t xml:space="preserve"> </w:t>
            </w:r>
            <w:r w:rsidRPr="00C1603D">
              <w:t>(2019)</w:t>
            </w:r>
          </w:p>
        </w:tc>
        <w:tc>
          <w:tcPr>
            <w:tcW w:w="0" w:type="auto"/>
            <w:shd w:val="clear" w:color="auto" w:fill="FFFFFF" w:themeFill="background1"/>
          </w:tcPr>
          <w:p w14:paraId="2C891FB3" w14:textId="77777777" w:rsidR="008B4DF8" w:rsidRPr="00C1603D" w:rsidRDefault="008B4DF8" w:rsidP="00FC790B">
            <w:pPr>
              <w:pStyle w:val="72TabletextTablesTableFigureBoxstyles"/>
            </w:pPr>
            <w:r w:rsidRPr="00C1603D">
              <w:t>Children</w:t>
            </w:r>
          </w:p>
        </w:tc>
        <w:tc>
          <w:tcPr>
            <w:tcW w:w="0" w:type="auto"/>
            <w:shd w:val="clear" w:color="auto" w:fill="FFFFFF" w:themeFill="background1"/>
          </w:tcPr>
          <w:p w14:paraId="2391D259" w14:textId="24B63038" w:rsidR="008B4DF8" w:rsidRPr="00C1603D" w:rsidRDefault="008B4DF8" w:rsidP="00FC790B">
            <w:pPr>
              <w:pStyle w:val="72TabletextTablesTableFigureBoxstyles"/>
            </w:pPr>
            <w:r w:rsidRPr="00C1603D">
              <w:t>Cohort</w:t>
            </w:r>
          </w:p>
        </w:tc>
        <w:tc>
          <w:tcPr>
            <w:tcW w:w="0" w:type="auto"/>
            <w:shd w:val="clear" w:color="auto" w:fill="FFFFFF" w:themeFill="background1"/>
          </w:tcPr>
          <w:p w14:paraId="2C3F5C47" w14:textId="58095821" w:rsidR="008B4DF8" w:rsidRPr="00C1603D" w:rsidRDefault="008B4DF8" w:rsidP="00FC790B">
            <w:pPr>
              <w:pStyle w:val="72TabletextTablesTableFigureBoxstyles"/>
            </w:pPr>
            <w:r w:rsidRPr="00C1603D">
              <w:t>HLA</w:t>
            </w:r>
            <w:r w:rsidR="00FC790B" w:rsidRPr="00C1603D">
              <w:t>-</w:t>
            </w:r>
            <w:r w:rsidRPr="00C1603D">
              <w:t>DQ2, HLA</w:t>
            </w:r>
            <w:r w:rsidR="00FC790B" w:rsidRPr="00C1603D">
              <w:t>-</w:t>
            </w:r>
            <w:r w:rsidRPr="00C1603D">
              <w:t>DQ8 or both</w:t>
            </w:r>
          </w:p>
        </w:tc>
        <w:tc>
          <w:tcPr>
            <w:tcW w:w="0" w:type="auto"/>
            <w:shd w:val="clear" w:color="auto" w:fill="FFFFFF" w:themeFill="background1"/>
          </w:tcPr>
          <w:p w14:paraId="15C3CF43" w14:textId="77777777" w:rsidR="008B4DF8" w:rsidRPr="00C1603D" w:rsidRDefault="008B4DF8" w:rsidP="00FC790B">
            <w:pPr>
              <w:pStyle w:val="72TabletextTablesTableFigureBoxstyles"/>
            </w:pPr>
            <w:r w:rsidRPr="00C1603D">
              <w:t>4442 (3715)</w:t>
            </w:r>
          </w:p>
        </w:tc>
        <w:tc>
          <w:tcPr>
            <w:tcW w:w="0" w:type="auto"/>
            <w:shd w:val="clear" w:color="auto" w:fill="FFFFFF" w:themeFill="background1"/>
          </w:tcPr>
          <w:p w14:paraId="13F2EB0D" w14:textId="5994801B" w:rsidR="008B4DF8" w:rsidRPr="00C1603D" w:rsidRDefault="008B4DF8" w:rsidP="00FC790B">
            <w:pPr>
              <w:pStyle w:val="72TabletextTablesTableFigureBoxstyles"/>
            </w:pPr>
            <w:r w:rsidRPr="00C1603D">
              <w:t>Median 6 (range 5</w:t>
            </w:r>
            <w:r w:rsidR="003C47A2" w:rsidRPr="00C1603D">
              <w:t>–</w:t>
            </w:r>
            <w:r w:rsidRPr="00C1603D">
              <w:t>9)</w:t>
            </w:r>
          </w:p>
        </w:tc>
        <w:tc>
          <w:tcPr>
            <w:tcW w:w="0" w:type="auto"/>
            <w:shd w:val="clear" w:color="auto" w:fill="FFFFFF" w:themeFill="background1"/>
          </w:tcPr>
          <w:p w14:paraId="692FFD8E" w14:textId="77777777" w:rsidR="008B4DF8" w:rsidRPr="00C1603D" w:rsidRDefault="008B4DF8" w:rsidP="00FC790B">
            <w:pPr>
              <w:pStyle w:val="72TabletextTablesTableFigureBoxstyles"/>
            </w:pPr>
            <w:r w:rsidRPr="00C1603D">
              <w:t>48</w:t>
            </w:r>
          </w:p>
        </w:tc>
        <w:tc>
          <w:tcPr>
            <w:tcW w:w="0" w:type="auto"/>
            <w:shd w:val="clear" w:color="auto" w:fill="FFFFFF" w:themeFill="background1"/>
          </w:tcPr>
          <w:p w14:paraId="711F1463" w14:textId="77777777" w:rsidR="008B4DF8" w:rsidRPr="00C1603D" w:rsidRDefault="008B4DF8" w:rsidP="00FC790B">
            <w:pPr>
              <w:pStyle w:val="72TabletextTablesTableFigureBoxstyles"/>
            </w:pPr>
            <w:r w:rsidRPr="00C1603D">
              <w:t>NA</w:t>
            </w:r>
          </w:p>
        </w:tc>
        <w:tc>
          <w:tcPr>
            <w:tcW w:w="0" w:type="auto"/>
            <w:shd w:val="clear" w:color="auto" w:fill="FFFFFF" w:themeFill="background1"/>
          </w:tcPr>
          <w:p w14:paraId="505E1812" w14:textId="77777777" w:rsidR="008B4DF8" w:rsidRPr="00C1603D" w:rsidRDefault="008B4DF8" w:rsidP="00FC790B">
            <w:pPr>
              <w:pStyle w:val="72TabletextTablesTableFigureBoxstyles"/>
            </w:pPr>
            <w:r w:rsidRPr="00C1603D">
              <w:t>tTG positive</w:t>
            </w:r>
          </w:p>
        </w:tc>
        <w:tc>
          <w:tcPr>
            <w:tcW w:w="0" w:type="auto"/>
            <w:shd w:val="clear" w:color="auto" w:fill="FFFFFF" w:themeFill="background1"/>
          </w:tcPr>
          <w:p w14:paraId="44CE38FD" w14:textId="77777777" w:rsidR="008B4DF8" w:rsidRPr="00C1603D" w:rsidRDefault="008B4DF8" w:rsidP="00FC790B">
            <w:pPr>
              <w:pStyle w:val="72TabletextTablesTableFigureBoxstyles"/>
            </w:pPr>
            <w:r w:rsidRPr="00C1603D">
              <w:t>Community</w:t>
            </w:r>
          </w:p>
        </w:tc>
        <w:tc>
          <w:tcPr>
            <w:tcW w:w="0" w:type="auto"/>
            <w:shd w:val="clear" w:color="auto" w:fill="FFFFFF" w:themeFill="background1"/>
          </w:tcPr>
          <w:p w14:paraId="366D2292" w14:textId="77777777" w:rsidR="008B4DF8" w:rsidRPr="00C1603D" w:rsidRDefault="008B4DF8" w:rsidP="00FC790B">
            <w:pPr>
              <w:pStyle w:val="72TabletextTablesTableFigureBoxstyles"/>
            </w:pPr>
            <w:r w:rsidRPr="00C1603D">
              <w:t>Netherlands</w:t>
            </w:r>
          </w:p>
        </w:tc>
        <w:tc>
          <w:tcPr>
            <w:tcW w:w="0" w:type="auto"/>
            <w:shd w:val="clear" w:color="auto" w:fill="FFFFFF" w:themeFill="background1"/>
          </w:tcPr>
          <w:p w14:paraId="13D3FAA8" w14:textId="77777777" w:rsidR="008B4DF8" w:rsidRPr="00C1603D" w:rsidRDefault="008B4DF8" w:rsidP="00FC790B">
            <w:pPr>
              <w:pStyle w:val="72TabletextTablesTableFigureBoxstyles"/>
            </w:pPr>
            <w:r w:rsidRPr="00C1603D">
              <w:t>High</w:t>
            </w:r>
          </w:p>
        </w:tc>
      </w:tr>
      <w:tr w:rsidR="001D074C" w:rsidRPr="00C1603D" w14:paraId="2D9E4AC2" w14:textId="77777777" w:rsidTr="485719AF">
        <w:trPr>
          <w:cantSplit/>
          <w:tblHeader/>
        </w:trPr>
        <w:tc>
          <w:tcPr>
            <w:tcW w:w="0" w:type="auto"/>
            <w:gridSpan w:val="12"/>
            <w:shd w:val="clear" w:color="auto" w:fill="FFFFFF" w:themeFill="background1"/>
          </w:tcPr>
          <w:p w14:paraId="3DCAF178" w14:textId="0C25F6BF" w:rsidR="001D074C" w:rsidRPr="00C1603D" w:rsidRDefault="001D074C" w:rsidP="001D074C">
            <w:pPr>
              <w:pStyle w:val="75TablenotesTablesTableFigureBoxstyles"/>
            </w:pPr>
            <w:r w:rsidRPr="00C1603D">
              <w:t>NA, not applicable.</w:t>
            </w:r>
          </w:p>
        </w:tc>
      </w:tr>
    </w:tbl>
    <w:p w14:paraId="2F5D48CE" w14:textId="77777777" w:rsidR="008B4DF8" w:rsidRPr="00C1603D" w:rsidRDefault="008B4DF8" w:rsidP="008B4DF8">
      <w:pPr>
        <w:pStyle w:val="53BheadHeadingsHeadingstyles"/>
      </w:pPr>
      <w:bookmarkStart w:id="313" w:name="_Toc99539880"/>
      <w:r w:rsidRPr="00C1603D">
        <w:t>Risk of bias</w:t>
      </w:r>
      <w:bookmarkEnd w:id="313"/>
    </w:p>
    <w:p w14:paraId="28BEC507" w14:textId="72BA7F47" w:rsidR="008B4DF8" w:rsidRPr="00C1603D" w:rsidRDefault="008B4DF8" w:rsidP="008B4DF8">
      <w:pPr>
        <w:pStyle w:val="602TextfoTextstylesTextstyles"/>
      </w:pPr>
      <w:r w:rsidRPr="00C1603D">
        <w:t xml:space="preserve">Three studies were judged </w:t>
      </w:r>
      <w:r w:rsidR="008E7E35" w:rsidRPr="00C1603D">
        <w:t xml:space="preserve">to be </w:t>
      </w:r>
      <w:r w:rsidRPr="00C1603D">
        <w:t xml:space="preserve">at </w:t>
      </w:r>
      <w:proofErr w:type="gramStart"/>
      <w:r w:rsidRPr="00C1603D">
        <w:t>low risk</w:t>
      </w:r>
      <w:proofErr w:type="gramEnd"/>
      <w:r w:rsidRPr="00C1603D">
        <w:t xml:space="preserve"> of bias across all domains (</w:t>
      </w:r>
      <w:r w:rsidR="008E7E35" w:rsidRPr="00C1603D">
        <w:t xml:space="preserve">see </w:t>
      </w:r>
      <w:r w:rsidRPr="00C1603D">
        <w:rPr>
          <w:i/>
          <w:iCs/>
        </w:rPr>
        <w:t xml:space="preserve">Appendix </w:t>
      </w:r>
      <w:r w:rsidRPr="00C1603D">
        <w:rPr>
          <w:i/>
          <w:iCs/>
          <w:color w:val="auto"/>
        </w:rPr>
        <w:t>20</w:t>
      </w:r>
      <w:r w:rsidR="008E7E35" w:rsidRPr="00C1603D">
        <w:rPr>
          <w:color w:val="auto"/>
        </w:rPr>
        <w:t>,</w:t>
      </w:r>
      <w:r w:rsidRPr="00C1603D">
        <w:rPr>
          <w:color w:val="auto"/>
        </w:rPr>
        <w:t xml:space="preserve"> </w:t>
      </w:r>
      <w:r w:rsidRPr="00C1603D">
        <w:rPr>
          <w:i/>
          <w:color w:val="auto"/>
        </w:rPr>
        <w:t xml:space="preserve">Figure </w:t>
      </w:r>
      <w:r w:rsidRPr="00C1603D">
        <w:rPr>
          <w:i/>
          <w:noProof/>
          <w:color w:val="auto"/>
        </w:rPr>
        <w:t>62</w:t>
      </w:r>
      <w:r w:rsidRPr="00C1603D">
        <w:rPr>
          <w:color w:val="auto"/>
        </w:rPr>
        <w:t>).</w:t>
      </w:r>
      <w:r w:rsidRPr="00C1603D">
        <w:rPr>
          <w:noProof/>
          <w:color w:val="auto"/>
          <w:vertAlign w:val="superscript"/>
        </w:rPr>
        <w:t>180</w:t>
      </w:r>
      <w:r w:rsidRPr="00C1603D">
        <w:rPr>
          <w:noProof/>
          <w:color w:val="00B0F0"/>
          <w:vertAlign w:val="superscript"/>
        </w:rPr>
        <w:t>–1</w:t>
      </w:r>
      <w:r w:rsidRPr="00C1603D">
        <w:rPr>
          <w:noProof/>
          <w:vertAlign w:val="superscript"/>
        </w:rPr>
        <w:t>82</w:t>
      </w:r>
      <w:r w:rsidRPr="00C1603D">
        <w:t xml:space="preserve"> The other was judged </w:t>
      </w:r>
      <w:r w:rsidR="008E7E35" w:rsidRPr="00C1603D">
        <w:t xml:space="preserve">to be </w:t>
      </w:r>
      <w:r w:rsidRPr="00C1603D">
        <w:t>at high risk of bias as CD diagnosis was based on serology alone.</w:t>
      </w:r>
      <w:r w:rsidRPr="00C1603D">
        <w:rPr>
          <w:noProof/>
          <w:vertAlign w:val="superscript"/>
        </w:rPr>
        <w:t>183</w:t>
      </w:r>
      <w:r w:rsidRPr="00C1603D">
        <w:t xml:space="preserve"> This study was judged </w:t>
      </w:r>
      <w:r w:rsidR="008E7E35" w:rsidRPr="00C1603D">
        <w:t xml:space="preserve">to be </w:t>
      </w:r>
      <w:r w:rsidRPr="00C1603D">
        <w:t>at low risk of bias for all other QUADA</w:t>
      </w:r>
      <w:r w:rsidRPr="00C1603D">
        <w:rPr>
          <w:color w:val="00B0F0"/>
        </w:rPr>
        <w:t>S-2</w:t>
      </w:r>
      <w:r w:rsidRPr="00C1603D">
        <w:t xml:space="preserve"> domains.</w:t>
      </w:r>
    </w:p>
    <w:p w14:paraId="39996E3E" w14:textId="77777777" w:rsidR="008B4DF8" w:rsidRPr="00C1603D" w:rsidRDefault="008B4DF8" w:rsidP="008B4DF8">
      <w:pPr>
        <w:pStyle w:val="53BheadHeadingsHeadingstyles"/>
      </w:pPr>
      <w:bookmarkStart w:id="314" w:name="_Toc99539881"/>
      <w:r w:rsidRPr="00C1603D">
        <w:t>Accuracy of diagnostic indicators to detect coeliac disease</w:t>
      </w:r>
      <w:bookmarkEnd w:id="314"/>
    </w:p>
    <w:p w14:paraId="4E270C0D" w14:textId="2BB15870" w:rsidR="008B4DF8" w:rsidRPr="00C1603D" w:rsidRDefault="008B4DF8" w:rsidP="008B4DF8">
      <w:pPr>
        <w:pStyle w:val="602TextfoTextstylesTextstyles"/>
        <w:rPr>
          <w:rFonts w:eastAsia="Yu Mincho"/>
          <w:bCs/>
          <w:lang w:eastAsia="en-GB"/>
        </w:rPr>
      </w:pPr>
      <w:r w:rsidRPr="00C1603D">
        <w:t>Results were broadly consistent across studies</w:t>
      </w:r>
      <w:r w:rsidR="008E7E35" w:rsidRPr="00C1603D">
        <w:t>,</w:t>
      </w:r>
      <w:r w:rsidRPr="00C1603D">
        <w:t xml:space="preserve"> with visual examination of the forest plot (</w:t>
      </w:r>
      <w:r w:rsidRPr="00C1603D">
        <w:rPr>
          <w:i/>
          <w:color w:val="FF0000"/>
        </w:rPr>
        <w:t xml:space="preserve">Figure </w:t>
      </w:r>
      <w:r w:rsidRPr="00C1603D">
        <w:rPr>
          <w:i/>
          <w:noProof/>
          <w:color w:val="FF0000"/>
        </w:rPr>
        <w:t>7</w:t>
      </w:r>
      <w:r w:rsidRPr="00C1603D">
        <w:t xml:space="preserve">) and the </w:t>
      </w:r>
      <w:r w:rsidR="004C4B51" w:rsidRPr="00C1603D">
        <w:t>SROC</w:t>
      </w:r>
      <w:r w:rsidRPr="00C1603D">
        <w:t xml:space="preserve"> plot (</w:t>
      </w:r>
      <w:r w:rsidRPr="00C1603D">
        <w:rPr>
          <w:i/>
          <w:color w:val="FF0000"/>
        </w:rPr>
        <w:t xml:space="preserve">Figure </w:t>
      </w:r>
      <w:r w:rsidRPr="00C1603D">
        <w:rPr>
          <w:i/>
          <w:noProof/>
          <w:color w:val="FF0000"/>
        </w:rPr>
        <w:t>8</w:t>
      </w:r>
      <w:r w:rsidRPr="00C1603D">
        <w:t>) suggesting little evidence of heterogeneity. The presenc</w:t>
      </w:r>
      <w:r w:rsidRPr="00C1603D">
        <w:rPr>
          <w:lang w:eastAsia="en-GB"/>
        </w:rPr>
        <w:t>e of either HLA</w:t>
      </w:r>
      <w:r w:rsidR="008E7E35" w:rsidRPr="00C1603D">
        <w:rPr>
          <w:lang w:eastAsia="en-GB"/>
        </w:rPr>
        <w:t>-</w:t>
      </w:r>
      <w:r w:rsidRPr="00C1603D">
        <w:rPr>
          <w:lang w:eastAsia="en-GB"/>
        </w:rPr>
        <w:t>DQ2 or HLA</w:t>
      </w:r>
      <w:r w:rsidR="008E7E35" w:rsidRPr="00C1603D">
        <w:rPr>
          <w:lang w:eastAsia="en-GB"/>
        </w:rPr>
        <w:t>-</w:t>
      </w:r>
      <w:r w:rsidRPr="00C1603D">
        <w:rPr>
          <w:lang w:eastAsia="en-GB"/>
        </w:rPr>
        <w:t xml:space="preserve">DQ8 had </w:t>
      </w:r>
      <w:proofErr w:type="gramStart"/>
      <w:r w:rsidRPr="00C1603D">
        <w:rPr>
          <w:lang w:eastAsia="en-GB"/>
        </w:rPr>
        <w:t>a very high</w:t>
      </w:r>
      <w:proofErr w:type="gramEnd"/>
      <w:r w:rsidRPr="00C1603D">
        <w:rPr>
          <w:lang w:eastAsia="en-GB"/>
        </w:rPr>
        <w:t xml:space="preserve"> summary sensitivity of 99.2% (95% CI 83.4</w:t>
      </w:r>
      <w:r w:rsidR="008E7E35" w:rsidRPr="00C1603D">
        <w:rPr>
          <w:lang w:eastAsia="en-GB"/>
        </w:rPr>
        <w:t>%</w:t>
      </w:r>
      <w:r w:rsidRPr="00C1603D">
        <w:rPr>
          <w:lang w:eastAsia="en-GB"/>
        </w:rPr>
        <w:t xml:space="preserve"> to 100%) and summary specificity of 55.6% (</w:t>
      </w:r>
      <w:r w:rsidR="008E7E35" w:rsidRPr="00C1603D">
        <w:rPr>
          <w:lang w:eastAsia="en-GB"/>
        </w:rPr>
        <w:t xml:space="preserve">95% CI </w:t>
      </w:r>
      <w:r w:rsidRPr="00C1603D">
        <w:rPr>
          <w:lang w:eastAsia="en-GB"/>
        </w:rPr>
        <w:t>50.2</w:t>
      </w:r>
      <w:r w:rsidR="008E7E35" w:rsidRPr="00C1603D">
        <w:rPr>
          <w:lang w:eastAsia="en-GB"/>
        </w:rPr>
        <w:t>%</w:t>
      </w:r>
      <w:r w:rsidRPr="00C1603D">
        <w:rPr>
          <w:lang w:eastAsia="en-GB"/>
        </w:rPr>
        <w:t xml:space="preserve"> to 60.9%).</w:t>
      </w:r>
      <w:r w:rsidRPr="00C1603D">
        <w:rPr>
          <w:bCs/>
          <w:lang w:eastAsia="en-GB"/>
        </w:rPr>
        <w:t xml:space="preserve"> These figures were included in the economic model in </w:t>
      </w:r>
      <w:r w:rsidRPr="00C1603D">
        <w:rPr>
          <w:bCs/>
          <w:i/>
          <w:iCs/>
          <w:lang w:eastAsia="en-GB"/>
        </w:rPr>
        <w:t>Chapter 8</w:t>
      </w:r>
      <w:r w:rsidRPr="00C1603D">
        <w:rPr>
          <w:bCs/>
          <w:lang w:eastAsia="en-GB"/>
        </w:rPr>
        <w:t>.</w:t>
      </w:r>
    </w:p>
    <w:p w14:paraId="4B062C28" w14:textId="5A04F986" w:rsidR="008B4DF8" w:rsidRPr="00C1603D" w:rsidRDefault="008B4DF8" w:rsidP="008B4DF8">
      <w:pPr>
        <w:pStyle w:val="81FigurelegendTableFigureBoxstyles"/>
      </w:pPr>
      <w:bookmarkStart w:id="315" w:name="_Toc99720788"/>
      <w:r w:rsidRPr="00C1603D">
        <w:rPr>
          <w:b/>
        </w:rPr>
        <w:t xml:space="preserve">FIGURE </w:t>
      </w:r>
      <w:bookmarkStart w:id="316" w:name="_Ref86655664"/>
      <w:r w:rsidRPr="00C1603D">
        <w:rPr>
          <w:b/>
        </w:rPr>
        <w:t>7</w:t>
      </w:r>
      <w:bookmarkEnd w:id="316"/>
      <w:r w:rsidRPr="00C1603D">
        <w:rPr>
          <w:b/>
        </w:rPr>
        <w:t> </w:t>
      </w:r>
      <w:r w:rsidRPr="00C1603D">
        <w:t>Forest plots of individual study and summary estimates of sensitivity and specificity</w:t>
      </w:r>
      <w:bookmarkEnd w:id="315"/>
      <w:r w:rsidR="008E7E35" w:rsidRPr="00C1603D">
        <w:t>.</w:t>
      </w:r>
      <w:r w:rsidR="00BE0D13" w:rsidRPr="00C1603D">
        <w:t xml:space="preserve"> FN, false negative; FP, false positive; TN, true negative; TP, true positive.</w:t>
      </w:r>
    </w:p>
    <w:p w14:paraId="46D8E7C7" w14:textId="78455E2A" w:rsidR="008B4DF8" w:rsidRPr="00C1603D" w:rsidRDefault="008B4DF8" w:rsidP="008B4DF8">
      <w:pPr>
        <w:pStyle w:val="81FigurelegendTableFigureBoxstyles"/>
      </w:pPr>
      <w:bookmarkStart w:id="317" w:name="_Toc99720789"/>
      <w:r w:rsidRPr="00C1603D">
        <w:rPr>
          <w:b/>
        </w:rPr>
        <w:lastRenderedPageBreak/>
        <w:t>FIGURE 8</w:t>
      </w:r>
      <w:r w:rsidRPr="00C1603D">
        <w:rPr>
          <w:b/>
        </w:rPr>
        <w:t> </w:t>
      </w:r>
      <w:r w:rsidR="008E7E35" w:rsidRPr="00C1603D">
        <w:rPr>
          <w:bCs/>
        </w:rPr>
        <w:t xml:space="preserve">The </w:t>
      </w:r>
      <w:r w:rsidR="004C4B51" w:rsidRPr="00C1603D">
        <w:t>SROC</w:t>
      </w:r>
      <w:r w:rsidRPr="00C1603D">
        <w:t xml:space="preserve"> </w:t>
      </w:r>
      <w:r w:rsidR="008E7E35" w:rsidRPr="00C1603D">
        <w:t xml:space="preserve">curve </w:t>
      </w:r>
      <w:r w:rsidRPr="00C1603D">
        <w:t xml:space="preserve">for </w:t>
      </w:r>
      <w:r w:rsidR="008E7E35" w:rsidRPr="00C1603D">
        <w:t>HLA-DQ</w:t>
      </w:r>
      <w:r w:rsidRPr="00C1603D">
        <w:t>2/</w:t>
      </w:r>
      <w:r w:rsidR="008E7E35" w:rsidRPr="00C1603D">
        <w:t>-</w:t>
      </w:r>
      <w:r w:rsidRPr="00C1603D">
        <w:t>DQ8 for diagnosing CD</w:t>
      </w:r>
      <w:bookmarkEnd w:id="317"/>
      <w:r w:rsidR="008E7E35" w:rsidRPr="00C1603D">
        <w:t>.</w:t>
      </w:r>
      <w:r w:rsidR="004D248B" w:rsidRPr="00C1603D">
        <w:t xml:space="preserve"> FPR, false positive rate; TPR, true positive rate</w:t>
      </w:r>
    </w:p>
    <w:p w14:paraId="0A4090B1" w14:textId="77777777" w:rsidR="008B4DF8" w:rsidRPr="00C1603D" w:rsidRDefault="008B4DF8" w:rsidP="008B4DF8">
      <w:pPr>
        <w:pStyle w:val="43ChaptertitleHeadingsHeadingstyles"/>
      </w:pPr>
      <w:bookmarkStart w:id="318" w:name="_Toc99539882"/>
      <w:r w:rsidRPr="00C1603D">
        <w:lastRenderedPageBreak/>
        <w:t>Chapter 7</w:t>
      </w:r>
      <w:r w:rsidRPr="00C1603D">
        <w:t> </w:t>
      </w:r>
      <w:r w:rsidRPr="00C1603D">
        <w:t>Establishing diagnostic thresholds</w:t>
      </w:r>
      <w:bookmarkEnd w:id="318"/>
    </w:p>
    <w:p w14:paraId="69FB9025" w14:textId="77777777" w:rsidR="008B4DF8" w:rsidRPr="00C1603D" w:rsidRDefault="008B4DF8" w:rsidP="008B4DF8">
      <w:pPr>
        <w:pStyle w:val="601TextdropcapTextstylesTextstyles"/>
      </w:pPr>
      <w:r w:rsidRPr="00C1603D">
        <w:t>This chapter describes the collaborative work with patients and the public through focus groups and an online survey to investigate how confident people want to be in their diagnosis before starting a gluten-free diet or undergoing a biopsy.</w:t>
      </w:r>
    </w:p>
    <w:p w14:paraId="72D5BDF8" w14:textId="3812DF02" w:rsidR="008B4DF8" w:rsidRPr="00C1603D" w:rsidRDefault="008B4DF8" w:rsidP="008B4DF8">
      <w:pPr>
        <w:pStyle w:val="602TextfoTextstylesTextstyles"/>
      </w:pPr>
      <w:r w:rsidRPr="00C1603D">
        <w:t>The aims of the survey were</w:t>
      </w:r>
      <w:r w:rsidR="00B63188" w:rsidRPr="00C1603D">
        <w:t xml:space="preserve"> as follows</w:t>
      </w:r>
      <w:r w:rsidRPr="00C1603D">
        <w:t>:</w:t>
      </w:r>
    </w:p>
    <w:p w14:paraId="0CE5CDD4" w14:textId="593B4AF7" w:rsidR="008B4DF8" w:rsidRPr="00C1603D" w:rsidRDefault="00C661AF" w:rsidP="008B4DF8">
      <w:pPr>
        <w:pStyle w:val="621TextnumberedlistTextstylesTextstyles"/>
      </w:pPr>
      <w:r w:rsidRPr="00C1603D">
        <w:t xml:space="preserve">to </w:t>
      </w:r>
      <w:r w:rsidR="008B4DF8" w:rsidRPr="00C1603D">
        <w:t>estimate at what level of diagnostic certainty people are willing to start a gluten-free diet without a confirmation biopsy if they are symptomatic</w:t>
      </w:r>
    </w:p>
    <w:p w14:paraId="671605DF" w14:textId="05F6F2F4" w:rsidR="008B4DF8" w:rsidRPr="00C1603D" w:rsidRDefault="00C661AF" w:rsidP="008B4DF8">
      <w:pPr>
        <w:pStyle w:val="621TextnumberedlistTextstylesTextstyles"/>
      </w:pPr>
      <w:r w:rsidRPr="00C1603D">
        <w:t xml:space="preserve">to </w:t>
      </w:r>
      <w:r w:rsidR="008B4DF8" w:rsidRPr="00C1603D">
        <w:t>estimate at what level of diagnostic certainty people are willing to start a gluten-free diet without a confirmation biopsy if they are asymptomatic</w:t>
      </w:r>
    </w:p>
    <w:p w14:paraId="52EC1D45" w14:textId="20579FDE" w:rsidR="008B4DF8" w:rsidRPr="00C1603D" w:rsidRDefault="00C661AF" w:rsidP="008B4DF8">
      <w:pPr>
        <w:pStyle w:val="621TextnumberedlistTextstylesTextstyles"/>
      </w:pPr>
      <w:r w:rsidRPr="00C1603D">
        <w:t xml:space="preserve">to </w:t>
      </w:r>
      <w:r w:rsidR="008B4DF8" w:rsidRPr="00C1603D">
        <w:t>understand what factors influenced their answers on the above</w:t>
      </w:r>
    </w:p>
    <w:p w14:paraId="472BB110" w14:textId="16A62AB2" w:rsidR="008B4DF8" w:rsidRPr="00C1603D" w:rsidRDefault="00C661AF" w:rsidP="008B4DF8">
      <w:pPr>
        <w:pStyle w:val="621TextnumberedlistTextstylesTextstyles"/>
      </w:pPr>
      <w:r w:rsidRPr="00C1603D">
        <w:t xml:space="preserve">to </w:t>
      </w:r>
      <w:r w:rsidR="008B4DF8" w:rsidRPr="00C1603D">
        <w:t>estimate the quality of life among people with CD</w:t>
      </w:r>
    </w:p>
    <w:p w14:paraId="72349A36" w14:textId="260FCAF5" w:rsidR="008B4DF8" w:rsidRPr="00C1603D" w:rsidRDefault="00C661AF" w:rsidP="008B4DF8">
      <w:pPr>
        <w:pStyle w:val="621TextnumberedlistTextstylesTextstyles"/>
      </w:pPr>
      <w:r w:rsidRPr="00C1603D">
        <w:t xml:space="preserve">to </w:t>
      </w:r>
      <w:r w:rsidR="008B4DF8" w:rsidRPr="00C1603D">
        <w:t>understand how strictly people with CD followed the gluten-free diet</w:t>
      </w:r>
    </w:p>
    <w:p w14:paraId="670CFCEE" w14:textId="3CDD9F65" w:rsidR="008B4DF8" w:rsidRPr="00C1603D" w:rsidRDefault="00C661AF" w:rsidP="008B4DF8">
      <w:pPr>
        <w:pStyle w:val="621TextnumberedlistTextstylesTextstyles"/>
      </w:pPr>
      <w:r w:rsidRPr="00C1603D">
        <w:t xml:space="preserve">to </w:t>
      </w:r>
      <w:r w:rsidR="008B4DF8" w:rsidRPr="00C1603D">
        <w:t>understand how difficult people with CD found it to follow a gluten-free diet</w:t>
      </w:r>
    </w:p>
    <w:p w14:paraId="78502547" w14:textId="4A96892C" w:rsidR="008B4DF8" w:rsidRPr="00C1603D" w:rsidRDefault="00C661AF" w:rsidP="008B4DF8">
      <w:pPr>
        <w:pStyle w:val="6211TextnumberedlistlastTextstylesTextstyles"/>
      </w:pPr>
      <w:r w:rsidRPr="00C1603D">
        <w:t xml:space="preserve">to </w:t>
      </w:r>
      <w:r w:rsidR="008B4DF8" w:rsidRPr="00C1603D">
        <w:t>understand the current assumptions and understandings of CD diagnosis and how that affects confidence in diagnosis before starting a gluten-free diet.</w:t>
      </w:r>
    </w:p>
    <w:p w14:paraId="35B3076F" w14:textId="77777777" w:rsidR="008B4DF8" w:rsidRPr="00C1603D" w:rsidRDefault="008B4DF8" w:rsidP="008B4DF8">
      <w:pPr>
        <w:pStyle w:val="52AheadHeadingsHeadingstyles"/>
      </w:pPr>
      <w:bookmarkStart w:id="319" w:name="_Toc99539883"/>
      <w:r w:rsidRPr="00C1603D">
        <w:t>Survey development and dissemination methods</w:t>
      </w:r>
      <w:bookmarkEnd w:id="319"/>
    </w:p>
    <w:p w14:paraId="303103DE" w14:textId="77777777" w:rsidR="008B4DF8" w:rsidRPr="00C1603D" w:rsidRDefault="008B4DF8" w:rsidP="008B4DF8">
      <w:pPr>
        <w:pStyle w:val="53BheadHeadingsHeadingstyles"/>
      </w:pPr>
      <w:bookmarkStart w:id="320" w:name="_Toc99539884"/>
      <w:r w:rsidRPr="00C1603D">
        <w:t>Survey development</w:t>
      </w:r>
      <w:bookmarkEnd w:id="320"/>
    </w:p>
    <w:p w14:paraId="636E2D9E" w14:textId="25F8BFE5" w:rsidR="008B4DF8" w:rsidRPr="00C1603D" w:rsidRDefault="008B4DF8" w:rsidP="008B4DF8">
      <w:pPr>
        <w:pStyle w:val="602TextfoTextstylesTextstyles"/>
      </w:pPr>
      <w:r w:rsidRPr="00C1603D">
        <w:t xml:space="preserve">Three scenarios (described in more detail </w:t>
      </w:r>
      <w:r w:rsidR="00013300" w:rsidRPr="00C1603D">
        <w:t>in the following section</w:t>
      </w:r>
      <w:r w:rsidRPr="00C1603D">
        <w:t xml:space="preserve">) and the survey questions were drafted by a team of researchers and clinicians. The wording and format of the survey </w:t>
      </w:r>
      <w:r w:rsidR="00B03E32" w:rsidRPr="00C1603D">
        <w:t>were</w:t>
      </w:r>
      <w:r w:rsidRPr="00C1603D">
        <w:t xml:space="preserve"> developed in collaboration with the patient representatives on the </w:t>
      </w:r>
      <w:r w:rsidR="00B03E32" w:rsidRPr="00C1603D">
        <w:t>trial</w:t>
      </w:r>
      <w:r w:rsidRPr="00C1603D">
        <w:t xml:space="preserve"> team. The scenarios were turned into short videos</w:t>
      </w:r>
      <w:r w:rsidR="00B03E32" w:rsidRPr="00C1603D">
        <w:t>,</w:t>
      </w:r>
      <w:r w:rsidRPr="00C1603D">
        <w:t xml:space="preserve"> as suggested by the patient representatives</w:t>
      </w:r>
      <w:r w:rsidR="00B03E32" w:rsidRPr="00C1603D">
        <w:t>,</w:t>
      </w:r>
      <w:r w:rsidRPr="00C1603D">
        <w:t xml:space="preserve"> to make them more accessible, using online VideoScribe software</w:t>
      </w:r>
      <w:r w:rsidR="00960C09" w:rsidRPr="00C1603D">
        <w:t xml:space="preserve"> (Sparkol Ltd, Bristol, UK)</w:t>
      </w:r>
      <w:r w:rsidRPr="00C1603D">
        <w:t>.</w:t>
      </w:r>
      <w:r w:rsidRPr="00C1603D">
        <w:rPr>
          <w:noProof/>
          <w:vertAlign w:val="superscript"/>
        </w:rPr>
        <w:t>186</w:t>
      </w:r>
      <w:r w:rsidRPr="00C1603D">
        <w:t xml:space="preserve"> The videos can be accessed on YouTube</w:t>
      </w:r>
      <w:r w:rsidR="00903BB1" w:rsidRPr="00C1603D">
        <w:t xml:space="preserve"> (YouTube, LLC, San Bruno, CA, USA)</w:t>
      </w:r>
      <w:r w:rsidRPr="00C1603D">
        <w:t>.</w:t>
      </w:r>
      <w:r w:rsidRPr="00C1603D">
        <w:rPr>
          <w:noProof/>
          <w:vertAlign w:val="superscript"/>
        </w:rPr>
        <w:t>187</w:t>
      </w:r>
      <w:r w:rsidRPr="00C1603D">
        <w:rPr>
          <w:noProof/>
          <w:color w:val="00B0F0"/>
          <w:vertAlign w:val="superscript"/>
        </w:rPr>
        <w:t>–1</w:t>
      </w:r>
      <w:r w:rsidRPr="00C1603D">
        <w:rPr>
          <w:noProof/>
          <w:vertAlign w:val="superscript"/>
        </w:rPr>
        <w:t>89</w:t>
      </w:r>
      <w:r w:rsidRPr="00C1603D">
        <w:t xml:space="preserve"> We organised a focus group with four patient representatives who commented on the survey questions, the scenarios and the videos. The survey was adapted according to their comments, and they were given the opportunity to give feedback again to the changes. Finally, the survey questions were tested and commented on by a plain</w:t>
      </w:r>
      <w:r w:rsidR="00CF09FD" w:rsidRPr="00C1603D">
        <w:t>-</w:t>
      </w:r>
      <w:r w:rsidRPr="00C1603D">
        <w:t>language panel to get the view of people who are less familiar with CD. The survey was amended accordingly.</w:t>
      </w:r>
    </w:p>
    <w:p w14:paraId="14D8FBAA" w14:textId="0B585094" w:rsidR="008B4DF8" w:rsidRPr="00C1603D" w:rsidRDefault="008B4DF8" w:rsidP="008B4DF8">
      <w:pPr>
        <w:pStyle w:val="602TextfoTextstylesTextstyles"/>
      </w:pPr>
      <w:r w:rsidRPr="00C1603D">
        <w:t>We used OnlineSurveys</w:t>
      </w:r>
      <w:r w:rsidR="002C4A11" w:rsidRPr="00C1603D">
        <w:t xml:space="preserve"> (Jisc, London, UK)</w:t>
      </w:r>
      <w:r w:rsidRPr="00C1603D">
        <w:t xml:space="preserve"> as the survey platform, which is an online survey tool designed for academic research. OnlineSurveys </w:t>
      </w:r>
      <w:r w:rsidRPr="00C1603D">
        <w:rPr>
          <w:color w:val="auto"/>
        </w:rPr>
        <w:t>use an ISO 27001 certified information security management system</w:t>
      </w:r>
      <w:r w:rsidRPr="00C1603D">
        <w:rPr>
          <w:noProof/>
          <w:color w:val="auto"/>
          <w:vertAlign w:val="superscript"/>
        </w:rPr>
        <w:t>190</w:t>
      </w:r>
      <w:r w:rsidRPr="00C1603D">
        <w:rPr>
          <w:color w:val="auto"/>
        </w:rPr>
        <w:t xml:space="preserve"> and comply with the General Data Protection Regulation.</w:t>
      </w:r>
      <w:r w:rsidRPr="00C1603D">
        <w:rPr>
          <w:noProof/>
          <w:color w:val="auto"/>
          <w:vertAlign w:val="superscript"/>
        </w:rPr>
        <w:t>191</w:t>
      </w:r>
      <w:r w:rsidRPr="00C1603D">
        <w:rPr>
          <w:color w:val="auto"/>
        </w:rPr>
        <w:t xml:space="preserve"> The Faculty of Health Science Research Ethics Committee granted ethics approval for this </w:t>
      </w:r>
      <w:r w:rsidRPr="00C1603D">
        <w:t>study.</w:t>
      </w:r>
    </w:p>
    <w:p w14:paraId="633B667F" w14:textId="77777777" w:rsidR="008B4DF8" w:rsidRPr="00C1603D" w:rsidRDefault="008B4DF8" w:rsidP="008B4DF8">
      <w:pPr>
        <w:pStyle w:val="53BheadHeadingsHeadingstyles"/>
      </w:pPr>
      <w:bookmarkStart w:id="321" w:name="_Toc99539885"/>
      <w:r w:rsidRPr="00C1603D">
        <w:t>Survey questions</w:t>
      </w:r>
      <w:bookmarkEnd w:id="321"/>
    </w:p>
    <w:p w14:paraId="78D809BF" w14:textId="40E1417A" w:rsidR="008B4DF8" w:rsidRPr="00C1603D" w:rsidRDefault="008B4DF8" w:rsidP="008B4DF8">
      <w:pPr>
        <w:pStyle w:val="602TextfoTextstylesTextstyles"/>
      </w:pPr>
      <w:r w:rsidRPr="00C1603D">
        <w:t>In the survey, respondents were shown three short videos in which different scenarios were explained. In each scenario, the risk of having CD was different. In the first scenario</w:t>
      </w:r>
      <w:r w:rsidR="00814CF3" w:rsidRPr="00C1603D">
        <w:t>,</w:t>
      </w:r>
      <w:r w:rsidRPr="00C1603D">
        <w:t xml:space="preserve"> we asked respondents to imagine that they had been suffering from typical symptoms of CD</w:t>
      </w:r>
      <w:r w:rsidR="00814CF3" w:rsidRPr="00C1603D">
        <w:t>;</w:t>
      </w:r>
      <w:r w:rsidRPr="00C1603D">
        <w:t xml:space="preserve"> in the second scenario</w:t>
      </w:r>
      <w:r w:rsidR="00FD5402" w:rsidRPr="00C1603D">
        <w:t>, they were asked to imagine</w:t>
      </w:r>
      <w:r w:rsidRPr="00C1603D">
        <w:t xml:space="preserve"> that a first-degree relative had been diagnosed with CD</w:t>
      </w:r>
      <w:r w:rsidR="00FD5402" w:rsidRPr="00C1603D">
        <w:t>;</w:t>
      </w:r>
      <w:r w:rsidRPr="00C1603D">
        <w:t xml:space="preserve"> and in the third </w:t>
      </w:r>
      <w:r w:rsidR="00FD5402" w:rsidRPr="00C1603D">
        <w:t xml:space="preserve">scenario, they were asked to imagine </w:t>
      </w:r>
      <w:r w:rsidRPr="00C1603D">
        <w:t xml:space="preserve">that they had been diagnosed with a condition that puts them at greater risk of having CD (see scenario descriptions in </w:t>
      </w:r>
      <w:r w:rsidRPr="00C1603D">
        <w:rPr>
          <w:i/>
          <w:iCs/>
        </w:rPr>
        <w:t>Appendix 21</w:t>
      </w:r>
      <w:r w:rsidR="00FD5402" w:rsidRPr="00C1603D">
        <w:rPr>
          <w:color w:val="auto"/>
        </w:rPr>
        <w:t>,</w:t>
      </w:r>
      <w:r w:rsidRPr="00C1603D">
        <w:rPr>
          <w:color w:val="auto"/>
        </w:rPr>
        <w:t xml:space="preserve"> </w:t>
      </w:r>
      <w:r w:rsidR="007C2375" w:rsidRPr="00C1603D">
        <w:rPr>
          <w:i/>
          <w:color w:val="auto"/>
        </w:rPr>
        <w:t>Box 1</w:t>
      </w:r>
      <w:r w:rsidRPr="00C1603D">
        <w:rPr>
          <w:color w:val="auto"/>
        </w:rPr>
        <w:t>). The</w:t>
      </w:r>
      <w:r w:rsidRPr="00C1603D">
        <w:t xml:space="preserve"> videos were followed by </w:t>
      </w:r>
      <w:r w:rsidR="000A61EA" w:rsidRPr="00C1603D">
        <w:t>three or four</w:t>
      </w:r>
      <w:r w:rsidRPr="00C1603D">
        <w:t xml:space="preserve"> questions that asked respondents at which part of the diagnostic pathway they would have wanted to start a gluten-free diet: after the first appointment with the GP (</w:t>
      </w:r>
      <w:proofErr w:type="gramStart"/>
      <w:r w:rsidRPr="00C1603D">
        <w:t>low risk</w:t>
      </w:r>
      <w:proofErr w:type="gramEnd"/>
      <w:r w:rsidRPr="00C1603D">
        <w:t xml:space="preserve"> of CD based on symptoms or risk conditions alone), after getting a positive blood test result (higher risk of CD) or after a confirmation biopsy (CD diagnosis almost certain). Respondents were given the option to explain their answers in a free</w:t>
      </w:r>
      <w:r w:rsidR="00700950" w:rsidRPr="00C1603D">
        <w:t>-</w:t>
      </w:r>
      <w:r w:rsidRPr="00C1603D">
        <w:t>text box. After the respondents</w:t>
      </w:r>
      <w:r w:rsidRPr="00C1603D" w:rsidDel="006847B6">
        <w:t xml:space="preserve"> </w:t>
      </w:r>
      <w:r w:rsidRPr="00C1603D">
        <w:t xml:space="preserve">went through the three scenarios, which were designed to help people think about disease risk and certainty of a diagnosis, </w:t>
      </w:r>
      <w:commentRangeStart w:id="322"/>
      <w:commentRangeStart w:id="323"/>
      <w:r w:rsidR="007829DD" w:rsidRPr="00C1603D">
        <w:t>they</w:t>
      </w:r>
      <w:r w:rsidRPr="00C1603D" w:rsidDel="006847B6">
        <w:t xml:space="preserve"> </w:t>
      </w:r>
      <w:r w:rsidRPr="00C1603D">
        <w:t>were asked</w:t>
      </w:r>
      <w:r w:rsidR="00700950" w:rsidRPr="00C1603D">
        <w:t xml:space="preserve"> </w:t>
      </w:r>
      <w:r w:rsidR="00B16418" w:rsidRPr="00C1603D">
        <w:t xml:space="preserve">what </w:t>
      </w:r>
      <w:r w:rsidRPr="00C1603D">
        <w:lastRenderedPageBreak/>
        <w:t>level of certainty</w:t>
      </w:r>
      <w:r w:rsidR="00376225" w:rsidRPr="00C1603D">
        <w:t xml:space="preserve"> of a CD diagnosis</w:t>
      </w:r>
      <w:r w:rsidRPr="00C1603D">
        <w:t xml:space="preserve"> they would want </w:t>
      </w:r>
      <w:r w:rsidR="00E85664" w:rsidRPr="00C1603D">
        <w:t>from</w:t>
      </w:r>
      <w:r w:rsidR="00B16418" w:rsidRPr="00C1603D">
        <w:t xml:space="preserve"> </w:t>
      </w:r>
      <w:r w:rsidRPr="00C1603D">
        <w:t xml:space="preserve">a blood test before they were willing to start a gluten-free diet (in a scenario with and </w:t>
      </w:r>
      <w:r w:rsidR="007829DD" w:rsidRPr="00C1603D">
        <w:t xml:space="preserve">a scenario </w:t>
      </w:r>
      <w:r w:rsidRPr="00C1603D">
        <w:t>without symptoms).</w:t>
      </w:r>
      <w:commentRangeEnd w:id="322"/>
      <w:r w:rsidR="00024AC4" w:rsidRPr="00C1603D">
        <w:commentReference w:id="322"/>
      </w:r>
      <w:commentRangeEnd w:id="323"/>
      <w:r w:rsidRPr="00C1603D">
        <w:commentReference w:id="323"/>
      </w:r>
    </w:p>
    <w:p w14:paraId="12FAEF02" w14:textId="1580FB64" w:rsidR="008B4DF8" w:rsidRPr="00C1603D" w:rsidRDefault="008B4DF8" w:rsidP="008B4DF8">
      <w:pPr>
        <w:pStyle w:val="602TextfoTextstylesTextstyles"/>
      </w:pPr>
      <w:r w:rsidRPr="00C1603D">
        <w:t>At the end of the survey, we asked for some general demographics (age, sex, ethnicity and socioeconomic status). We also asked if the respondents had (or believed they had) CD, and</w:t>
      </w:r>
      <w:r w:rsidR="005D02D8" w:rsidRPr="00C1603D">
        <w:t>,</w:t>
      </w:r>
      <w:r w:rsidRPr="00C1603D">
        <w:t xml:space="preserve"> if so, we had some follow-up questions about their diet and quality of life. Quality of life was assessed using the </w:t>
      </w:r>
      <w:r w:rsidRPr="00C1603D">
        <w:rPr>
          <w:color w:val="auto"/>
        </w:rPr>
        <w:t xml:space="preserve">Coeliac Disease Quality of Life Measure 1.0 </w:t>
      </w:r>
      <w:r w:rsidRPr="00C1603D">
        <w:t>(CD-Q</w:t>
      </w:r>
      <w:r w:rsidR="001A4534" w:rsidRPr="00C1603D">
        <w:t>O</w:t>
      </w:r>
      <w:r w:rsidRPr="00C1603D">
        <w:t xml:space="preserve">L), which is a validated questionnaire containing </w:t>
      </w:r>
      <w:proofErr w:type="gramStart"/>
      <w:r w:rsidRPr="00C1603D">
        <w:t>20</w:t>
      </w:r>
      <w:proofErr w:type="gramEnd"/>
      <w:r w:rsidRPr="00C1603D">
        <w:t xml:space="preserve"> items across four subscales: limitations, dysphoria, health concerns and inadequate treatment. Psychometric validation has indicated both convergent and discriminate validity of </w:t>
      </w:r>
      <w:r w:rsidR="001A4534" w:rsidRPr="00C1603D">
        <w:t xml:space="preserve">the </w:t>
      </w:r>
      <w:r w:rsidRPr="00C1603D">
        <w:t>CD-QOL</w:t>
      </w:r>
      <w:r w:rsidR="001A4534" w:rsidRPr="00C1603D">
        <w:t>,</w:t>
      </w:r>
      <w:r w:rsidRPr="00C1603D">
        <w:t xml:space="preserve"> and it has been shown to have a high internal consistency and reliability.</w:t>
      </w:r>
      <w:r w:rsidRPr="00C1603D">
        <w:rPr>
          <w:noProof/>
          <w:vertAlign w:val="superscript"/>
        </w:rPr>
        <w:t>192</w:t>
      </w:r>
      <w:r w:rsidRPr="00C1603D">
        <w:t xml:space="preserve"> Finally, respondents </w:t>
      </w:r>
      <w:r w:rsidRPr="00C1603D">
        <w:rPr>
          <w:shd w:val="clear" w:color="auto" w:fill="FFFFFF"/>
        </w:rPr>
        <w:t>had the opportunity to leave any final comments or feedback about the survey in a free</w:t>
      </w:r>
      <w:r w:rsidR="00F60067" w:rsidRPr="00C1603D">
        <w:rPr>
          <w:shd w:val="clear" w:color="auto" w:fill="FFFFFF"/>
        </w:rPr>
        <w:t>-</w:t>
      </w:r>
      <w:r w:rsidRPr="00C1603D">
        <w:rPr>
          <w:shd w:val="clear" w:color="auto" w:fill="FFFFFF"/>
        </w:rPr>
        <w:t>text box.</w:t>
      </w:r>
      <w:r w:rsidRPr="00C1603D">
        <w:t xml:space="preserve"> People of all ages could participate, and it was possible to fill out the survey on behalf of a child.</w:t>
      </w:r>
    </w:p>
    <w:p w14:paraId="3FAFD4B4" w14:textId="77777777" w:rsidR="008B4DF8" w:rsidRPr="00C1603D" w:rsidRDefault="008B4DF8" w:rsidP="008B4DF8">
      <w:pPr>
        <w:pStyle w:val="53BheadHeadingsHeadingstyles"/>
      </w:pPr>
      <w:bookmarkStart w:id="324" w:name="_Toc99539886"/>
      <w:bookmarkStart w:id="325" w:name="_Hlk73539603"/>
      <w:r w:rsidRPr="00C1603D">
        <w:t>Survey distribution</w:t>
      </w:r>
      <w:bookmarkEnd w:id="324"/>
    </w:p>
    <w:p w14:paraId="577FC0FA" w14:textId="2F2E8E82" w:rsidR="008B4DF8" w:rsidRPr="00C1603D" w:rsidRDefault="008B4DF8" w:rsidP="008B4DF8">
      <w:pPr>
        <w:pStyle w:val="602TextfoTextstylesTextstyles"/>
      </w:pPr>
      <w:r w:rsidRPr="00C1603D">
        <w:t xml:space="preserve">A dissemination strategy was developed in collaboration with the communications manager at </w:t>
      </w:r>
      <w:r w:rsidR="00CC7C18" w:rsidRPr="00C1603D">
        <w:t xml:space="preserve">the National Institute for Health and Care Research (NIHR) </w:t>
      </w:r>
      <w:r w:rsidR="00B74A77" w:rsidRPr="00C1603D">
        <w:t>Applied Research Collaboration (</w:t>
      </w:r>
      <w:r w:rsidRPr="00C1603D">
        <w:t>ARC</w:t>
      </w:r>
      <w:r w:rsidR="00B74A77" w:rsidRPr="00C1603D">
        <w:t>)</w:t>
      </w:r>
      <w:r w:rsidRPr="00C1603D">
        <w:t xml:space="preserve"> West. We developed copy for tweets, advert</w:t>
      </w:r>
      <w:r w:rsidR="00B74A77" w:rsidRPr="00C1603D">
        <w:t>isement</w:t>
      </w:r>
      <w:r w:rsidRPr="00C1603D">
        <w:t>s, newsletters and Facebook posts</w:t>
      </w:r>
      <w:r w:rsidR="00484EA7" w:rsidRPr="00C1603D">
        <w:t xml:space="preserve"> (Meta Platforms, Inc., Menlo Park, CA, USA)</w:t>
      </w:r>
      <w:r w:rsidRPr="00C1603D">
        <w:t>. To encourage participation, we offered a prize draw of a £50 Amazon voucher</w:t>
      </w:r>
      <w:r w:rsidR="00111CD8" w:rsidRPr="00C1603D">
        <w:t xml:space="preserve"> (Amazon.com, Inc., Bellevue, WA, USA)</w:t>
      </w:r>
      <w:r w:rsidRPr="00C1603D">
        <w:t>.</w:t>
      </w:r>
    </w:p>
    <w:p w14:paraId="5B1B0A84" w14:textId="04C1B49F" w:rsidR="008B4DF8" w:rsidRPr="00C1603D" w:rsidRDefault="008B4DF8" w:rsidP="008B4DF8">
      <w:pPr>
        <w:pStyle w:val="602TextfoTextstylesTextstyles"/>
        <w:rPr>
          <w:lang w:eastAsia="en-GB"/>
        </w:rPr>
      </w:pPr>
      <w:r w:rsidRPr="00C1603D">
        <w:t xml:space="preserve">The survey was endorsed by the Coeliac UK charity, </w:t>
      </w:r>
      <w:r w:rsidR="00111CD8" w:rsidRPr="00C1603D">
        <w:t>which</w:t>
      </w:r>
      <w:r w:rsidRPr="00C1603D">
        <w:t xml:space="preserve"> helped promote the survey</w:t>
      </w:r>
      <w:r w:rsidRPr="00C1603D">
        <w:rPr>
          <w:lang w:eastAsia="en-GB"/>
        </w:rPr>
        <w:t xml:space="preserve"> on </w:t>
      </w:r>
      <w:r w:rsidR="00111CD8" w:rsidRPr="00C1603D">
        <w:rPr>
          <w:lang w:eastAsia="en-GB"/>
        </w:rPr>
        <w:t>its</w:t>
      </w:r>
      <w:r w:rsidRPr="00C1603D">
        <w:rPr>
          <w:lang w:eastAsia="en-GB"/>
        </w:rPr>
        <w:t xml:space="preserve"> social media platforms.</w:t>
      </w:r>
    </w:p>
    <w:p w14:paraId="376F3FAC" w14:textId="36897206" w:rsidR="008B4DF8" w:rsidRPr="00C1603D" w:rsidRDefault="008B4DF8" w:rsidP="008B4DF8">
      <w:pPr>
        <w:pStyle w:val="602TextfoTextstylesTextstyles"/>
        <w:rPr>
          <w:lang w:eastAsia="en-GB"/>
        </w:rPr>
      </w:pPr>
      <w:r w:rsidRPr="00C1603D">
        <w:t>Fifty-one Facebook groups were contacted</w:t>
      </w:r>
      <w:r w:rsidR="00111CD8" w:rsidRPr="00C1603D">
        <w:t>,</w:t>
      </w:r>
      <w:r w:rsidRPr="00C1603D">
        <w:t xml:space="preserve"> of which the following 20 agreed to promote our survey on their Facebook pages: Coeliacs in Bristol, Healthwatch Bristol, Healthwatch South Gloucestershire, Healthwatch Somerset, Up Your Street, Gluten Free Bristol, BS5 Connect, Bristol Parents Club, </w:t>
      </w:r>
      <w:r w:rsidRPr="00C1603D">
        <w:rPr>
          <w:lang w:eastAsia="en-GB"/>
        </w:rPr>
        <w:t>Gluten Free Vegans UK, Vegetarian Coeliacs UK, Osteoporosis UK, Wirral Coeliac Support Group, Coeliac in the Scottish Borders, Gluten Free Blogger Group, Grub without Gluten, Coeliac children UK (Plus allergies), Coeliac and Gluten Free in Essex, Healthy eating for kids and family, Coeliac Central and GUTs Group (Coeliac UK</w:t>
      </w:r>
      <w:r w:rsidRPr="00C1603D">
        <w:rPr>
          <w:color w:val="00B0F0"/>
          <w:lang w:eastAsia="en-GB"/>
        </w:rPr>
        <w:t>’</w:t>
      </w:r>
      <w:r w:rsidRPr="00C1603D">
        <w:rPr>
          <w:lang w:eastAsia="en-GB"/>
        </w:rPr>
        <w:t>s Gluten free Under Thirties). Diabetes UK, Bristol Healthwatch</w:t>
      </w:r>
      <w:r w:rsidR="00541B7E" w:rsidRPr="00C1603D">
        <w:rPr>
          <w:lang w:eastAsia="en-GB"/>
        </w:rPr>
        <w:t xml:space="preserve"> and</w:t>
      </w:r>
      <w:r w:rsidRPr="00C1603D">
        <w:rPr>
          <w:lang w:eastAsia="en-GB"/>
        </w:rPr>
        <w:t xml:space="preserve"> Healthwatch North Somerset posted our advert</w:t>
      </w:r>
      <w:r w:rsidR="00541B7E" w:rsidRPr="00C1603D">
        <w:rPr>
          <w:lang w:eastAsia="en-GB"/>
        </w:rPr>
        <w:t>isement</w:t>
      </w:r>
      <w:r w:rsidRPr="00C1603D">
        <w:rPr>
          <w:lang w:eastAsia="en-GB"/>
        </w:rPr>
        <w:t xml:space="preserve"> on their website</w:t>
      </w:r>
      <w:r w:rsidR="00541B7E" w:rsidRPr="00C1603D">
        <w:rPr>
          <w:lang w:eastAsia="en-GB"/>
        </w:rPr>
        <w:t>s</w:t>
      </w:r>
      <w:r w:rsidRPr="00C1603D">
        <w:rPr>
          <w:lang w:eastAsia="en-GB"/>
        </w:rPr>
        <w:t>.</w:t>
      </w:r>
    </w:p>
    <w:p w14:paraId="41EA7B88" w14:textId="070B3E15" w:rsidR="008B4DF8" w:rsidRPr="00C1603D" w:rsidRDefault="008B4DF8" w:rsidP="008B4DF8">
      <w:pPr>
        <w:pStyle w:val="602TextfoTextstylesTextstyles"/>
        <w:rPr>
          <w:lang w:eastAsia="en-GB"/>
        </w:rPr>
      </w:pPr>
      <w:r w:rsidRPr="00C1603D">
        <w:rPr>
          <w:lang w:eastAsia="en-GB"/>
        </w:rPr>
        <w:t xml:space="preserve">We </w:t>
      </w:r>
      <w:r w:rsidRPr="00C1603D">
        <w:rPr>
          <w:color w:val="auto"/>
          <w:lang w:eastAsia="en-GB"/>
        </w:rPr>
        <w:t xml:space="preserve">contacted </w:t>
      </w:r>
      <w:proofErr w:type="gramStart"/>
      <w:r w:rsidRPr="00C1603D">
        <w:rPr>
          <w:color w:val="auto"/>
          <w:lang w:eastAsia="en-GB"/>
        </w:rPr>
        <w:t>17</w:t>
      </w:r>
      <w:proofErr w:type="gramEnd"/>
      <w:r w:rsidRPr="00C1603D">
        <w:rPr>
          <w:color w:val="auto"/>
          <w:lang w:eastAsia="en-GB"/>
        </w:rPr>
        <w:t xml:space="preserve"> organisers of citizen panels</w:t>
      </w:r>
      <w:r w:rsidR="005A5424" w:rsidRPr="00C1603D">
        <w:rPr>
          <w:color w:val="auto"/>
          <w:lang w:eastAsia="en-GB"/>
        </w:rPr>
        <w:t>,</w:t>
      </w:r>
      <w:r w:rsidRPr="00C1603D">
        <w:rPr>
          <w:color w:val="auto"/>
          <w:lang w:eastAsia="en-GB"/>
        </w:rPr>
        <w:t xml:space="preserve"> of which three agreed to help. An advert</w:t>
      </w:r>
      <w:r w:rsidR="005A5424" w:rsidRPr="00C1603D">
        <w:rPr>
          <w:color w:val="auto"/>
          <w:lang w:eastAsia="en-GB"/>
        </w:rPr>
        <w:t>isement</w:t>
      </w:r>
      <w:r w:rsidRPr="00C1603D">
        <w:rPr>
          <w:color w:val="auto"/>
          <w:lang w:eastAsia="en-GB"/>
        </w:rPr>
        <w:t xml:space="preserve"> was sent out to Healthier Together Panel, the NHS Lincolnshire Citizens’ Panel and the Leicester City </w:t>
      </w:r>
      <w:r w:rsidR="003609D3" w:rsidRPr="00C1603D">
        <w:rPr>
          <w:color w:val="auto"/>
          <w:lang w:eastAsia="en-GB"/>
        </w:rPr>
        <w:t xml:space="preserve">Clinical Commissioning Group </w:t>
      </w:r>
      <w:r w:rsidRPr="00C1603D">
        <w:rPr>
          <w:color w:val="auto"/>
          <w:lang w:eastAsia="en-GB"/>
        </w:rPr>
        <w:t>Citizens’ Panel, which are online groups</w:t>
      </w:r>
      <w:r w:rsidR="00B75F62" w:rsidRPr="00C1603D">
        <w:rPr>
          <w:color w:val="auto"/>
          <w:lang w:eastAsia="en-GB"/>
        </w:rPr>
        <w:t>,</w:t>
      </w:r>
      <w:r w:rsidRPr="00C1603D">
        <w:rPr>
          <w:color w:val="auto"/>
          <w:lang w:eastAsia="en-GB"/>
        </w:rPr>
        <w:t xml:space="preserve"> each of around </w:t>
      </w:r>
      <w:proofErr w:type="gramStart"/>
      <w:r w:rsidRPr="00C1603D">
        <w:rPr>
          <w:color w:val="auto"/>
          <w:lang w:eastAsia="en-GB"/>
        </w:rPr>
        <w:t>1000</w:t>
      </w:r>
      <w:proofErr w:type="gramEnd"/>
      <w:r w:rsidRPr="00C1603D">
        <w:rPr>
          <w:color w:val="auto"/>
          <w:lang w:eastAsia="en-GB"/>
        </w:rPr>
        <w:t xml:space="preserve"> people</w:t>
      </w:r>
      <w:r w:rsidR="00B75F62" w:rsidRPr="00C1603D">
        <w:rPr>
          <w:color w:val="auto"/>
          <w:lang w:eastAsia="en-GB"/>
        </w:rPr>
        <w:t>,</w:t>
      </w:r>
      <w:r w:rsidRPr="00C1603D">
        <w:rPr>
          <w:color w:val="auto"/>
          <w:lang w:eastAsia="en-GB"/>
        </w:rPr>
        <w:t xml:space="preserve"> from the respective local </w:t>
      </w:r>
      <w:r w:rsidRPr="00C1603D">
        <w:rPr>
          <w:lang w:eastAsia="en-GB"/>
        </w:rPr>
        <w:t>areas.</w:t>
      </w:r>
    </w:p>
    <w:p w14:paraId="5B91E646" w14:textId="2EA8B7D9" w:rsidR="008B4DF8" w:rsidRPr="00C1603D" w:rsidRDefault="008B4DF8" w:rsidP="008B4DF8">
      <w:pPr>
        <w:pStyle w:val="602TextfoTextstylesTextstyles"/>
        <w:rPr>
          <w:lang w:eastAsia="en-GB"/>
        </w:rPr>
      </w:pPr>
      <w:r w:rsidRPr="00C1603D">
        <w:rPr>
          <w:lang w:eastAsia="en-GB"/>
        </w:rPr>
        <w:t>We sent three different tweets from the</w:t>
      </w:r>
      <w:r w:rsidR="00CC7C18" w:rsidRPr="00C1603D">
        <w:rPr>
          <w:lang w:eastAsia="en-GB"/>
        </w:rPr>
        <w:t xml:space="preserve"> NIHR</w:t>
      </w:r>
      <w:r w:rsidRPr="00C1603D">
        <w:rPr>
          <w:lang w:eastAsia="en-GB"/>
        </w:rPr>
        <w:t xml:space="preserve"> ARC West Twitter </w:t>
      </w:r>
      <w:r w:rsidR="009E1D62" w:rsidRPr="00C1603D">
        <w:rPr>
          <w:lang w:eastAsia="en-GB"/>
        </w:rPr>
        <w:t xml:space="preserve">(Twitter, Inc., San Francisco, CA, USA) </w:t>
      </w:r>
      <w:r w:rsidRPr="00C1603D">
        <w:rPr>
          <w:lang w:eastAsia="en-GB"/>
        </w:rPr>
        <w:t xml:space="preserve">account </w:t>
      </w:r>
      <w:r w:rsidR="009E1D62" w:rsidRPr="00C1603D">
        <w:rPr>
          <w:lang w:eastAsia="en-GB"/>
        </w:rPr>
        <w:t xml:space="preserve">that </w:t>
      </w:r>
      <w:r w:rsidRPr="00C1603D">
        <w:rPr>
          <w:lang w:eastAsia="en-GB"/>
        </w:rPr>
        <w:t>includ</w:t>
      </w:r>
      <w:r w:rsidR="009E1D62" w:rsidRPr="00C1603D">
        <w:rPr>
          <w:lang w:eastAsia="en-GB"/>
        </w:rPr>
        <w:t>ed the</w:t>
      </w:r>
      <w:r w:rsidRPr="00C1603D">
        <w:rPr>
          <w:lang w:eastAsia="en-GB"/>
        </w:rPr>
        <w:t xml:space="preserve"> Twitter handles of relevant organisations. Bristol University, Coeliac UK, H</w:t>
      </w:r>
      <w:r w:rsidR="00B73C26" w:rsidRPr="00C1603D">
        <w:rPr>
          <w:lang w:eastAsia="en-GB"/>
        </w:rPr>
        <w:t>ealthcare Improvement Scotland</w:t>
      </w:r>
      <w:r w:rsidRPr="00C1603D">
        <w:rPr>
          <w:lang w:eastAsia="en-GB"/>
        </w:rPr>
        <w:t xml:space="preserve"> – Community Engagement, Healthwatch Bristol and Healthwatch South </w:t>
      </w:r>
      <w:r w:rsidR="009E1D62" w:rsidRPr="00C1603D">
        <w:t>Gloucestershire</w:t>
      </w:r>
      <w:r w:rsidR="009E1D62" w:rsidRPr="00C1603D">
        <w:rPr>
          <w:lang w:eastAsia="en-GB"/>
        </w:rPr>
        <w:t xml:space="preserve"> </w:t>
      </w:r>
      <w:r w:rsidRPr="00C1603D">
        <w:rPr>
          <w:lang w:eastAsia="en-GB"/>
        </w:rPr>
        <w:t>agreed to send tweets from their accounts.</w:t>
      </w:r>
    </w:p>
    <w:p w14:paraId="073BEB6B" w14:textId="37C93660" w:rsidR="008B4DF8" w:rsidRPr="00C1603D" w:rsidRDefault="008B4DF8" w:rsidP="008B4DF8">
      <w:pPr>
        <w:pStyle w:val="602TextfoTextstylesTextstyles"/>
        <w:rPr>
          <w:lang w:eastAsia="en-GB"/>
        </w:rPr>
      </w:pPr>
      <w:r w:rsidRPr="00C1603D">
        <w:t xml:space="preserve">The NIHR Centre for Engagement and Dissemination </w:t>
      </w:r>
      <w:r w:rsidRPr="00C1603D">
        <w:rPr>
          <w:lang w:eastAsia="en-GB"/>
        </w:rPr>
        <w:t xml:space="preserve">agreed to retweet from the </w:t>
      </w:r>
      <w:r w:rsidRPr="00C1603D">
        <w:t xml:space="preserve">@NIHRinvolvement and @NIHRtakepart accounts and add our survey to </w:t>
      </w:r>
      <w:r w:rsidR="00D141FB" w:rsidRPr="00C1603D">
        <w:t>its</w:t>
      </w:r>
      <w:r w:rsidRPr="00C1603D">
        <w:t xml:space="preserve"> public engagement newsletter. </w:t>
      </w:r>
      <w:commentRangeStart w:id="326"/>
      <w:commentRangeStart w:id="327"/>
      <w:r w:rsidRPr="00C1603D">
        <w:t>W</w:t>
      </w:r>
      <w:r w:rsidRPr="00C1603D">
        <w:rPr>
          <w:lang w:eastAsia="en-GB"/>
        </w:rPr>
        <w:t xml:space="preserve">e also promoted our survey through the </w:t>
      </w:r>
      <w:r w:rsidR="00D141FB" w:rsidRPr="00C1603D">
        <w:rPr>
          <w:lang w:eastAsia="en-GB"/>
        </w:rPr>
        <w:t xml:space="preserve">NIHR </w:t>
      </w:r>
      <w:r w:rsidRPr="00C1603D">
        <w:rPr>
          <w:lang w:eastAsia="en-GB"/>
        </w:rPr>
        <w:t xml:space="preserve">ARC West newsletter, </w:t>
      </w:r>
      <w:r w:rsidR="00F00D25" w:rsidRPr="00C1603D">
        <w:rPr>
          <w:lang w:eastAsia="en-GB"/>
        </w:rPr>
        <w:t xml:space="preserve">the </w:t>
      </w:r>
      <w:r w:rsidRPr="00C1603D">
        <w:t xml:space="preserve">People in </w:t>
      </w:r>
      <w:r w:rsidR="00F00D25" w:rsidRPr="00C1603D">
        <w:t xml:space="preserve">Health </w:t>
      </w:r>
      <w:r w:rsidRPr="00C1603D">
        <w:t xml:space="preserve">West of England monthly </w:t>
      </w:r>
      <w:r w:rsidR="004F5AC0" w:rsidRPr="00C1603D">
        <w:t xml:space="preserve">update </w:t>
      </w:r>
      <w:r w:rsidRPr="00C1603D">
        <w:rPr>
          <w:i/>
          <w:iCs/>
        </w:rPr>
        <w:t>Newsflash</w:t>
      </w:r>
      <w:r w:rsidRPr="00C1603D">
        <w:t xml:space="preserve">, and </w:t>
      </w:r>
      <w:r w:rsidR="00184D8E" w:rsidRPr="00C1603D">
        <w:t xml:space="preserve">the </w:t>
      </w:r>
      <w:r w:rsidRPr="00C1603D">
        <w:t>Bristol Population Health Science Institute newsletter.</w:t>
      </w:r>
      <w:commentRangeEnd w:id="326"/>
      <w:r w:rsidR="004F5AC0" w:rsidRPr="00C1603D">
        <w:commentReference w:id="326"/>
      </w:r>
      <w:commentRangeEnd w:id="327"/>
      <w:r w:rsidRPr="00C1603D">
        <w:commentReference w:id="327"/>
      </w:r>
    </w:p>
    <w:p w14:paraId="20C30F23" w14:textId="245C2B47" w:rsidR="008B4DF8" w:rsidRPr="00C1603D" w:rsidRDefault="008B4DF8" w:rsidP="008B4DF8">
      <w:pPr>
        <w:pStyle w:val="602TextfoTextstylesTextstyles"/>
        <w:rPr>
          <w:lang w:eastAsia="en-GB"/>
        </w:rPr>
      </w:pPr>
      <w:r w:rsidRPr="00C1603D">
        <w:rPr>
          <w:lang w:eastAsia="en-GB"/>
        </w:rPr>
        <w:t xml:space="preserve">Finally, a news story was published on the </w:t>
      </w:r>
      <w:r w:rsidR="00471280" w:rsidRPr="00C1603D">
        <w:rPr>
          <w:lang w:eastAsia="en-GB"/>
        </w:rPr>
        <w:t xml:space="preserve">NIHR </w:t>
      </w:r>
      <w:r w:rsidRPr="00C1603D">
        <w:rPr>
          <w:lang w:eastAsia="en-GB"/>
        </w:rPr>
        <w:t xml:space="preserve">ARC West website and the University of Bristol newsroom, and we developed a blog with a public contributor, which was published on the </w:t>
      </w:r>
      <w:r w:rsidR="00471280" w:rsidRPr="00C1603D">
        <w:rPr>
          <w:lang w:eastAsia="en-GB"/>
        </w:rPr>
        <w:t xml:space="preserve">NIHR </w:t>
      </w:r>
      <w:r w:rsidRPr="00C1603D">
        <w:rPr>
          <w:lang w:eastAsia="en-GB"/>
        </w:rPr>
        <w:t>ARC West website and shared on Twitter.</w:t>
      </w:r>
    </w:p>
    <w:p w14:paraId="76286C15" w14:textId="16AF85B5" w:rsidR="008B4DF8" w:rsidRPr="00C1603D" w:rsidRDefault="008B4DF8" w:rsidP="008B4DF8">
      <w:pPr>
        <w:pStyle w:val="602TextfoTextstylesTextstyles"/>
      </w:pPr>
      <w:r w:rsidRPr="00C1603D">
        <w:t xml:space="preserve">The survey was live for </w:t>
      </w:r>
      <w:r w:rsidR="00471280" w:rsidRPr="00C1603D">
        <w:t>2</w:t>
      </w:r>
      <w:r w:rsidRPr="00C1603D">
        <w:t xml:space="preserve"> months, from January to March 2021.</w:t>
      </w:r>
    </w:p>
    <w:p w14:paraId="07C74E94" w14:textId="77777777" w:rsidR="008B4DF8" w:rsidRPr="00C1603D" w:rsidRDefault="008B4DF8" w:rsidP="008B4DF8">
      <w:pPr>
        <w:pStyle w:val="53BheadHeadingsHeadingstyles"/>
      </w:pPr>
      <w:bookmarkStart w:id="328" w:name="_Toc99539887"/>
      <w:bookmarkEnd w:id="325"/>
      <w:r w:rsidRPr="00C1603D">
        <w:lastRenderedPageBreak/>
        <w:t>Data analysis</w:t>
      </w:r>
      <w:bookmarkEnd w:id="328"/>
    </w:p>
    <w:p w14:paraId="041E3B71" w14:textId="3E117F3E" w:rsidR="008B4DF8" w:rsidRPr="00C1603D" w:rsidRDefault="008B4DF8" w:rsidP="008B4DF8">
      <w:pPr>
        <w:pStyle w:val="602TextfoTextstylesTextstyles"/>
      </w:pPr>
      <w:r w:rsidRPr="00C1603D">
        <w:t>The data were exported from the online survey tool. Ethnicity was summarised with a binary variable (white or non-white). Qualifications were recoded</w:t>
      </w:r>
      <w:r w:rsidR="00AF5529" w:rsidRPr="00C1603D">
        <w:t>,</w:t>
      </w:r>
      <w:r w:rsidRPr="00C1603D">
        <w:t xml:space="preserve"> keeping only the highest qualification</w:t>
      </w:r>
      <w:r w:rsidR="00AF5529" w:rsidRPr="00C1603D">
        <w:t>,</w:t>
      </w:r>
      <w:r w:rsidRPr="00C1603D">
        <w:t xml:space="preserve"> using the following order from high to low: college or university degree, A</w:t>
      </w:r>
      <w:r w:rsidR="00AF5529" w:rsidRPr="00C1603D">
        <w:t>dvanced</w:t>
      </w:r>
      <w:r w:rsidRPr="00C1603D">
        <w:t xml:space="preserve"> </w:t>
      </w:r>
      <w:r w:rsidR="00AF5529" w:rsidRPr="00C1603D">
        <w:t>L</w:t>
      </w:r>
      <w:r w:rsidRPr="00C1603D">
        <w:t>evel or equivalent, O</w:t>
      </w:r>
      <w:r w:rsidR="00AF5529" w:rsidRPr="00C1603D">
        <w:t>rdinary</w:t>
      </w:r>
      <w:r w:rsidRPr="00C1603D">
        <w:t xml:space="preserve"> </w:t>
      </w:r>
      <w:r w:rsidR="00AF5529" w:rsidRPr="00C1603D">
        <w:t>L</w:t>
      </w:r>
      <w:r w:rsidRPr="00C1603D">
        <w:t xml:space="preserve">evel or </w:t>
      </w:r>
      <w:r w:rsidR="000E744B" w:rsidRPr="00C1603D">
        <w:t xml:space="preserve">General Certificate of Secondary Education </w:t>
      </w:r>
      <w:r w:rsidRPr="00C1603D">
        <w:t>or equivalent, or other (</w:t>
      </w:r>
      <w:r w:rsidR="000E744B" w:rsidRPr="00C1603D">
        <w:t>National Vocational Qualification</w:t>
      </w:r>
      <w:r w:rsidRPr="00C1603D">
        <w:t>/</w:t>
      </w:r>
      <w:r w:rsidR="005B2350" w:rsidRPr="00C1603D">
        <w:t>Higher National Diploma</w:t>
      </w:r>
      <w:r w:rsidRPr="00C1603D">
        <w:t>/</w:t>
      </w:r>
      <w:r w:rsidR="005B2350" w:rsidRPr="00C1603D">
        <w:t>Higher National Certificate</w:t>
      </w:r>
      <w:r w:rsidRPr="00C1603D">
        <w:t xml:space="preserve">, professional qualifications or </w:t>
      </w:r>
      <w:r w:rsidR="005E0078" w:rsidRPr="00C1603D">
        <w:t>Certificate of Secondary Education</w:t>
      </w:r>
      <w:r w:rsidRPr="00C1603D">
        <w:t>). Postcodes were used to link to IMD</w:t>
      </w:r>
      <w:r w:rsidR="009304B2" w:rsidRPr="00C1603D">
        <w:t xml:space="preserve"> </w:t>
      </w:r>
      <w:r w:rsidRPr="00C1603D">
        <w:t>2015 deprivation deciles for England,</w:t>
      </w:r>
      <w:r w:rsidRPr="00C1603D">
        <w:rPr>
          <w:noProof/>
          <w:vertAlign w:val="superscript"/>
        </w:rPr>
        <w:t>193</w:t>
      </w:r>
      <w:r w:rsidRPr="00C1603D">
        <w:t xml:space="preserve"> Scottish </w:t>
      </w:r>
      <w:r w:rsidR="009304B2" w:rsidRPr="00C1603D">
        <w:t>IMD</w:t>
      </w:r>
      <w:r w:rsidRPr="00C1603D">
        <w:t xml:space="preserve"> 2020v2 deciles,</w:t>
      </w:r>
      <w:r w:rsidRPr="00C1603D">
        <w:rPr>
          <w:noProof/>
          <w:vertAlign w:val="superscript"/>
        </w:rPr>
        <w:t>194</w:t>
      </w:r>
      <w:r w:rsidRPr="00C1603D">
        <w:t xml:space="preserve"> Welsh </w:t>
      </w:r>
      <w:r w:rsidR="009304B2" w:rsidRPr="00C1603D">
        <w:t>IMD</w:t>
      </w:r>
      <w:r w:rsidRPr="00C1603D">
        <w:t xml:space="preserve"> deciles</w:t>
      </w:r>
      <w:r w:rsidRPr="00C1603D">
        <w:rPr>
          <w:noProof/>
          <w:vertAlign w:val="superscript"/>
        </w:rPr>
        <w:t>195</w:t>
      </w:r>
      <w:r w:rsidRPr="00C1603D">
        <w:t xml:space="preserve"> and Northern Ireland deprivation rank converted to decile.</w:t>
      </w:r>
      <w:r w:rsidRPr="00C1603D">
        <w:rPr>
          <w:noProof/>
          <w:vertAlign w:val="superscript"/>
        </w:rPr>
        <w:t>196</w:t>
      </w:r>
      <w:r w:rsidRPr="00C1603D">
        <w:t xml:space="preserve"> Respondents with postcodes from outside the UK were excluded.</w:t>
      </w:r>
    </w:p>
    <w:p w14:paraId="16DB0FF5" w14:textId="704ED314" w:rsidR="008B4DF8" w:rsidRPr="00C1603D" w:rsidRDefault="008B4DF8" w:rsidP="008B4DF8">
      <w:pPr>
        <w:pStyle w:val="602TextfoTextstylesTextstyles"/>
      </w:pPr>
      <w:r w:rsidRPr="00C1603D">
        <w:t>Descriptive statistics</w:t>
      </w:r>
      <w:r w:rsidR="00642211" w:rsidRPr="00C1603D">
        <w:t>,</w:t>
      </w:r>
      <w:r w:rsidRPr="00C1603D">
        <w:t xml:space="preserve"> including percentages, medians and IQR</w:t>
      </w:r>
      <w:r w:rsidR="00642211" w:rsidRPr="00C1603D">
        <w:t>s,</w:t>
      </w:r>
      <w:r w:rsidRPr="00C1603D">
        <w:t xml:space="preserve"> were used to describe the sample. We calculated summary estimates with 95% CIs on the level of certainty respondents want from a blood test before committing to a lifelong gluten-free diet if they </w:t>
      </w:r>
      <w:r w:rsidRPr="00C1603D">
        <w:rPr>
          <w:color w:val="auto"/>
        </w:rPr>
        <w:t>had or did not hav</w:t>
      </w:r>
      <w:r w:rsidRPr="00C1603D">
        <w:t xml:space="preserve">e symptoms. We performed an exploratory analysis to identify </w:t>
      </w:r>
      <w:proofErr w:type="gramStart"/>
      <w:r w:rsidRPr="00C1603D">
        <w:t>possible causes</w:t>
      </w:r>
      <w:proofErr w:type="gramEnd"/>
      <w:r w:rsidRPr="00C1603D">
        <w:t xml:space="preserve"> of variation in answers. We performed multiple linear regression to investigate whether </w:t>
      </w:r>
      <w:r w:rsidR="000A15DB" w:rsidRPr="00C1603D">
        <w:t xml:space="preserve">or not </w:t>
      </w:r>
      <w:r w:rsidRPr="00C1603D">
        <w:t xml:space="preserve">having a CD diagnosis, being familiar with the gluten-free diet or ever having had a biopsy </w:t>
      </w:r>
      <w:r w:rsidR="000A15DB" w:rsidRPr="00C1603D">
        <w:t>were</w:t>
      </w:r>
      <w:r w:rsidRPr="00C1603D">
        <w:t xml:space="preserve"> associated with the level of certainty people chose. We accounted for age group in the model.</w:t>
      </w:r>
    </w:p>
    <w:p w14:paraId="6CFFDC6E" w14:textId="1C31EEFF" w:rsidR="008B4DF8" w:rsidRPr="00C1603D" w:rsidRDefault="008B4DF8" w:rsidP="008B4DF8">
      <w:pPr>
        <w:pStyle w:val="602TextfoTextstylesTextstyles"/>
        <w:rPr>
          <w:shd w:val="clear" w:color="auto" w:fill="FFFFFF"/>
        </w:rPr>
      </w:pPr>
      <w:r w:rsidRPr="00C1603D">
        <w:t>We performed a subset analysis, using descriptive statistics, on all respondents with CD to investigate how difficult they find adhering to the diet and how strictly they adhere to it, and to quantify their quality of life. Quality</w:t>
      </w:r>
      <w:r w:rsidR="000A15DB" w:rsidRPr="00C1603D">
        <w:t>-</w:t>
      </w:r>
      <w:r w:rsidRPr="00C1603D">
        <w:t>of</w:t>
      </w:r>
      <w:r w:rsidR="000A15DB" w:rsidRPr="00C1603D">
        <w:t>-</w:t>
      </w:r>
      <w:r w:rsidRPr="00C1603D">
        <w:t>life measures were calculated according to the standardised CD-Q</w:t>
      </w:r>
      <w:r w:rsidR="000A15DB" w:rsidRPr="00C1603D">
        <w:t>O</w:t>
      </w:r>
      <w:r w:rsidRPr="00C1603D">
        <w:t>L previously described.</w:t>
      </w:r>
      <w:r w:rsidRPr="00C1603D">
        <w:rPr>
          <w:noProof/>
          <w:vertAlign w:val="superscript"/>
        </w:rPr>
        <w:t>192</w:t>
      </w:r>
      <w:r w:rsidRPr="00C1603D">
        <w:t xml:space="preserve"> In brief, questions are grouped into four domains: dysphoria, CD</w:t>
      </w:r>
      <w:r w:rsidR="000A15DB" w:rsidRPr="00C1603D">
        <w:t>-</w:t>
      </w:r>
      <w:r w:rsidRPr="00C1603D">
        <w:t>related limitations, health concerns and inadequate treatment. A score is calculated by transforming the Likert</w:t>
      </w:r>
      <w:r w:rsidR="000A15DB" w:rsidRPr="00C1603D">
        <w:t xml:space="preserve"> </w:t>
      </w:r>
      <w:r w:rsidRPr="00C1603D">
        <w:t>scale to a number, summing up the scores per domain, and converting these to a score that ranges fro</w:t>
      </w:r>
      <w:r w:rsidRPr="00C1603D">
        <w:rPr>
          <w:color w:val="auto"/>
        </w:rPr>
        <w:t>m 0</w:t>
      </w:r>
      <w:r w:rsidR="000A15DB" w:rsidRPr="00C1603D">
        <w:rPr>
          <w:color w:val="auto"/>
        </w:rPr>
        <w:t xml:space="preserve"> to </w:t>
      </w:r>
      <w:r w:rsidRPr="00C1603D">
        <w:rPr>
          <w:color w:val="auto"/>
        </w:rPr>
        <w:t xml:space="preserve">100 </w:t>
      </w:r>
      <w:r w:rsidRPr="00C1603D">
        <w:t>with formulas supplied by the developers.</w:t>
      </w:r>
    </w:p>
    <w:p w14:paraId="2EB84B2B" w14:textId="6F0E5443" w:rsidR="008B4DF8" w:rsidRPr="00C1603D" w:rsidRDefault="008B4DF8" w:rsidP="008B4DF8">
      <w:pPr>
        <w:pStyle w:val="602TextfoTextstylesTextstyles"/>
        <w:rPr>
          <w:shd w:val="clear" w:color="auto" w:fill="FFFFFF"/>
        </w:rPr>
      </w:pPr>
      <w:r w:rsidRPr="00C1603D">
        <w:t>To analyse the free</w:t>
      </w:r>
      <w:r w:rsidR="00F4585F" w:rsidRPr="00C1603D">
        <w:t>-</w:t>
      </w:r>
      <w:r w:rsidRPr="00C1603D">
        <w:t>text answers in which respondents could explain their responses to each scenario, we used content analysis to identify themes and patterns as described by Hsieh and Shannon,</w:t>
      </w:r>
      <w:r w:rsidRPr="00C1603D">
        <w:rPr>
          <w:noProof/>
          <w:vertAlign w:val="superscript"/>
        </w:rPr>
        <w:t>197</w:t>
      </w:r>
      <w:r w:rsidRPr="00C1603D">
        <w:t xml:space="preserve"> where</w:t>
      </w:r>
      <w:r w:rsidR="00587852" w:rsidRPr="00C1603D">
        <w:t>by</w:t>
      </w:r>
      <w:r w:rsidRPr="00C1603D">
        <w:rPr>
          <w:shd w:val="clear" w:color="auto" w:fill="FFFFFF"/>
        </w:rPr>
        <w:t xml:space="preserve"> a bottom-up approach is used to explore qualitative data.</w:t>
      </w:r>
      <w:r w:rsidRPr="00C1603D">
        <w:t xml:space="preserve"> </w:t>
      </w:r>
      <w:r w:rsidRPr="00C1603D">
        <w:rPr>
          <w:shd w:val="clear" w:color="auto" w:fill="FFFFFF"/>
        </w:rPr>
        <w:t>R</w:t>
      </w:r>
      <w:r w:rsidR="00EF5BE4" w:rsidRPr="00C1603D">
        <w:rPr>
          <w:shd w:val="clear" w:color="auto" w:fill="FFFFFF"/>
        </w:rPr>
        <w:t xml:space="preserve">achel </w:t>
      </w:r>
      <w:r w:rsidRPr="00C1603D">
        <w:rPr>
          <w:shd w:val="clear" w:color="auto" w:fill="FFFFFF"/>
        </w:rPr>
        <w:t>O</w:t>
      </w:r>
      <w:r w:rsidR="00EF5BE4" w:rsidRPr="00C1603D">
        <w:rPr>
          <w:shd w:val="clear" w:color="auto" w:fill="FFFFFF"/>
        </w:rPr>
        <w:t>’</w:t>
      </w:r>
      <w:r w:rsidRPr="00C1603D">
        <w:rPr>
          <w:shd w:val="clear" w:color="auto" w:fill="FFFFFF"/>
        </w:rPr>
        <w:t>D</w:t>
      </w:r>
      <w:r w:rsidR="00EF5BE4" w:rsidRPr="00C1603D">
        <w:rPr>
          <w:shd w:val="clear" w:color="auto" w:fill="FFFFFF"/>
        </w:rPr>
        <w:t>onnell</w:t>
      </w:r>
      <w:r w:rsidRPr="00C1603D">
        <w:rPr>
          <w:shd w:val="clear" w:color="auto" w:fill="FFFFFF"/>
        </w:rPr>
        <w:t xml:space="preserve"> coded the free-text answers and analysed the responses by identifying higher-level recurring themes.</w:t>
      </w:r>
    </w:p>
    <w:p w14:paraId="6F2876FA" w14:textId="77777777" w:rsidR="008B4DF8" w:rsidRPr="00C1603D" w:rsidRDefault="008B4DF8" w:rsidP="008B4DF8">
      <w:pPr>
        <w:pStyle w:val="52AheadHeadingsHeadingstyles"/>
      </w:pPr>
      <w:bookmarkStart w:id="329" w:name="_Toc99539888"/>
      <w:r w:rsidRPr="00C1603D">
        <w:t>Results</w:t>
      </w:r>
      <w:bookmarkEnd w:id="329"/>
    </w:p>
    <w:p w14:paraId="7E694429" w14:textId="77777777" w:rsidR="008B4DF8" w:rsidRPr="00C1603D" w:rsidRDefault="008B4DF8" w:rsidP="008B4DF8">
      <w:pPr>
        <w:pStyle w:val="53BheadHeadingsHeadingstyles"/>
      </w:pPr>
      <w:bookmarkStart w:id="330" w:name="_Toc99539889"/>
      <w:r w:rsidRPr="00C1603D">
        <w:t>Respondent characteristics</w:t>
      </w:r>
      <w:bookmarkEnd w:id="330"/>
    </w:p>
    <w:p w14:paraId="2768D61A" w14:textId="21F027B4" w:rsidR="008B4DF8" w:rsidRPr="00C1603D" w:rsidRDefault="008B4DF8" w:rsidP="008B4DF8">
      <w:pPr>
        <w:pStyle w:val="602TextfoTextstylesTextstyles"/>
        <w:rPr>
          <w:color w:val="auto"/>
        </w:rPr>
      </w:pPr>
      <w:proofErr w:type="gramStart"/>
      <w:r w:rsidRPr="00C1603D">
        <w:t>The survey was completed by 472 people</w:t>
      </w:r>
      <w:proofErr w:type="gramEnd"/>
      <w:r w:rsidRPr="00C1603D">
        <w:t>. Five respondents</w:t>
      </w:r>
      <w:r w:rsidRPr="00C1603D" w:rsidDel="006847B6">
        <w:t xml:space="preserve"> </w:t>
      </w:r>
      <w:r w:rsidRPr="00C1603D">
        <w:t xml:space="preserve">did not live in the UK and were removed from the analysis. </w:t>
      </w:r>
      <w:r w:rsidR="00EF5BE4" w:rsidRPr="00C1603D">
        <w:t xml:space="preserve">A total of </w:t>
      </w:r>
      <w:r w:rsidRPr="00C1603D">
        <w:t>244 (52%) respondents</w:t>
      </w:r>
      <w:r w:rsidRPr="00C1603D" w:rsidDel="006847B6">
        <w:t xml:space="preserve"> </w:t>
      </w:r>
      <w:r w:rsidRPr="00C1603D">
        <w:t xml:space="preserve">had CD, with the condition confirmed by a blood test and/or biopsy. An additional </w:t>
      </w:r>
      <w:proofErr w:type="gramStart"/>
      <w:r w:rsidRPr="00C1603D">
        <w:t>36</w:t>
      </w:r>
      <w:proofErr w:type="gramEnd"/>
      <w:r w:rsidRPr="00C1603D">
        <w:t xml:space="preserve"> respondents</w:t>
      </w:r>
      <w:r w:rsidRPr="00C1603D" w:rsidDel="006847B6">
        <w:t xml:space="preserve"> </w:t>
      </w:r>
      <w:r w:rsidRPr="00C1603D">
        <w:t>believed</w:t>
      </w:r>
      <w:r w:rsidR="00EF5BE4" w:rsidRPr="00C1603D">
        <w:t xml:space="preserve"> that</w:t>
      </w:r>
      <w:r w:rsidRPr="00C1603D">
        <w:t xml:space="preserve"> they had CD, although this had not been confirmed by a test. These respondents</w:t>
      </w:r>
      <w:r w:rsidRPr="00C1603D" w:rsidDel="006847B6">
        <w:t xml:space="preserve"> </w:t>
      </w:r>
      <w:r w:rsidRPr="00C1603D">
        <w:t>were included in the group without confirmed CD (</w:t>
      </w:r>
      <w:r w:rsidRPr="00C1603D">
        <w:rPr>
          <w:i/>
          <w:color w:val="00B0F0"/>
        </w:rPr>
        <w:t>n</w:t>
      </w:r>
      <w:r w:rsidRPr="00C1603D">
        <w:rPr>
          <w:color w:val="00B0F0"/>
        </w:rPr>
        <w:t> = </w:t>
      </w:r>
      <w:r w:rsidRPr="00C1603D">
        <w:t xml:space="preserve">223, 48%). </w:t>
      </w:r>
      <w:r w:rsidR="00B033B1" w:rsidRPr="00C1603D">
        <w:t>Thirty-two</w:t>
      </w:r>
      <w:r w:rsidRPr="00C1603D">
        <w:t xml:space="preserve"> (6.9%) respondents</w:t>
      </w:r>
      <w:r w:rsidRPr="00C1603D" w:rsidDel="006847B6">
        <w:t xml:space="preserve"> </w:t>
      </w:r>
      <w:r w:rsidRPr="00C1603D">
        <w:t>were children (age</w:t>
      </w:r>
      <w:r w:rsidR="00B033B1" w:rsidRPr="00C1603D">
        <w:t>d</w:t>
      </w:r>
      <w:r w:rsidRPr="00C1603D">
        <w:t xml:space="preserve"> </w:t>
      </w:r>
      <w:r w:rsidRPr="00C1603D">
        <w:rPr>
          <w:color w:val="00B0F0"/>
        </w:rPr>
        <w:t>&lt; 1</w:t>
      </w:r>
      <w:r w:rsidRPr="00C1603D">
        <w:t>8 years)</w:t>
      </w:r>
      <w:r w:rsidR="00B033B1" w:rsidRPr="00C1603D">
        <w:t>;</w:t>
      </w:r>
      <w:r w:rsidRPr="00C1603D">
        <w:t xml:space="preserve"> either </w:t>
      </w:r>
      <w:r w:rsidR="00B033B1" w:rsidRPr="00C1603D">
        <w:t xml:space="preserve">they </w:t>
      </w:r>
      <w:r w:rsidRPr="00C1603D">
        <w:t xml:space="preserve">filled out the questionnaire by themselves or </w:t>
      </w:r>
      <w:r w:rsidR="00B033B1" w:rsidRPr="00C1603D">
        <w:t>it</w:t>
      </w:r>
      <w:r w:rsidRPr="00C1603D">
        <w:t xml:space="preserve"> was done by a parent on their behalf. The majority of respondents</w:t>
      </w:r>
      <w:r w:rsidRPr="00C1603D" w:rsidDel="006847B6">
        <w:t xml:space="preserve"> </w:t>
      </w:r>
      <w:r w:rsidRPr="00C1603D">
        <w:t xml:space="preserve">were </w:t>
      </w:r>
      <w:r w:rsidR="00B033B1" w:rsidRPr="00C1603D">
        <w:t xml:space="preserve">aged </w:t>
      </w:r>
      <w:r w:rsidRPr="00C1603D">
        <w:t>between 26 and 64 years (</w:t>
      </w:r>
      <w:r w:rsidRPr="00C1603D">
        <w:rPr>
          <w:i/>
          <w:color w:val="00B0F0"/>
        </w:rPr>
        <w:t>n</w:t>
      </w:r>
      <w:r w:rsidRPr="00C1603D">
        <w:rPr>
          <w:color w:val="00B0F0"/>
        </w:rPr>
        <w:t> = </w:t>
      </w:r>
      <w:r w:rsidRPr="00C1603D">
        <w:t>310, 66.2%). Questions on sex, ethnicity, qualifications and postcode were optional; these were completed by most CD patients</w:t>
      </w:r>
      <w:r w:rsidR="00B033B1" w:rsidRPr="00C1603D">
        <w:t>,</w:t>
      </w:r>
      <w:r w:rsidRPr="00C1603D">
        <w:t xml:space="preserve"> whereas most respondents</w:t>
      </w:r>
      <w:r w:rsidRPr="00C1603D" w:rsidDel="006847B6">
        <w:t xml:space="preserve"> </w:t>
      </w:r>
      <w:r w:rsidRPr="00C1603D">
        <w:t>without CD did not answer these questions. Among those who completed the optional questions, the vast majority were white (</w:t>
      </w:r>
      <w:r w:rsidRPr="00C1603D">
        <w:rPr>
          <w:i/>
          <w:color w:val="00B0F0"/>
        </w:rPr>
        <w:t>n</w:t>
      </w:r>
      <w:r w:rsidRPr="00C1603D">
        <w:rPr>
          <w:color w:val="00B0F0"/>
        </w:rPr>
        <w:t> = </w:t>
      </w:r>
      <w:r w:rsidRPr="00C1603D">
        <w:t>264, 95%) and female (</w:t>
      </w:r>
      <w:r w:rsidRPr="00C1603D">
        <w:rPr>
          <w:i/>
          <w:color w:val="00B0F0"/>
        </w:rPr>
        <w:t>n</w:t>
      </w:r>
      <w:r w:rsidRPr="00C1603D">
        <w:rPr>
          <w:color w:val="00B0F0"/>
        </w:rPr>
        <w:t> = </w:t>
      </w:r>
      <w:r w:rsidRPr="00C1603D">
        <w:t>239, 86%)</w:t>
      </w:r>
      <w:r w:rsidR="00B033B1" w:rsidRPr="00C1603D">
        <w:t>.</w:t>
      </w:r>
      <w:r w:rsidRPr="00C1603D">
        <w:t xml:space="preserve"> </w:t>
      </w:r>
      <w:r w:rsidR="00B033B1" w:rsidRPr="00C1603D">
        <w:t>M</w:t>
      </w:r>
      <w:r w:rsidRPr="00C1603D">
        <w:t>ost respondents</w:t>
      </w:r>
      <w:r w:rsidRPr="00C1603D" w:rsidDel="006847B6">
        <w:t xml:space="preserve"> </w:t>
      </w:r>
      <w:r w:rsidRPr="00C1603D">
        <w:t>went to university or college (</w:t>
      </w:r>
      <w:r w:rsidRPr="00C1603D">
        <w:rPr>
          <w:i/>
          <w:color w:val="00B0F0"/>
        </w:rPr>
        <w:t>n</w:t>
      </w:r>
      <w:r w:rsidRPr="00C1603D">
        <w:rPr>
          <w:color w:val="00B0F0"/>
        </w:rPr>
        <w:t> = </w:t>
      </w:r>
      <w:r w:rsidRPr="00C1603D">
        <w:t>159, 58%). The highest proportion lived in South</w:t>
      </w:r>
      <w:r w:rsidR="00B033B1" w:rsidRPr="00C1603D">
        <w:t xml:space="preserve"> W</w:t>
      </w:r>
      <w:r w:rsidRPr="00C1603D">
        <w:t>est England (</w:t>
      </w:r>
      <w:r w:rsidRPr="00C1603D">
        <w:rPr>
          <w:i/>
          <w:color w:val="00B0F0"/>
        </w:rPr>
        <w:t>n</w:t>
      </w:r>
      <w:r w:rsidRPr="00C1603D">
        <w:rPr>
          <w:color w:val="00B0F0"/>
        </w:rPr>
        <w:t> = </w:t>
      </w:r>
      <w:r w:rsidRPr="00C1603D">
        <w:t>98, 36%). Respondents</w:t>
      </w:r>
      <w:r w:rsidRPr="00C1603D" w:rsidDel="006847B6">
        <w:t xml:space="preserve"> </w:t>
      </w:r>
      <w:r w:rsidRPr="00C1603D">
        <w:t xml:space="preserve">tended to live in less deprived areas (median deprivation index of 7) </w:t>
      </w:r>
      <w:r w:rsidR="00B033B1" w:rsidRPr="00C1603D">
        <w:t>than</w:t>
      </w:r>
      <w:r w:rsidRPr="00C1603D">
        <w:t xml:space="preserve"> the national average</w:t>
      </w:r>
      <w:r w:rsidR="00B033B1" w:rsidRPr="00C1603D">
        <w:t>;</w:t>
      </w:r>
      <w:r w:rsidRPr="00C1603D">
        <w:t xml:space="preserve"> this was similar </w:t>
      </w:r>
      <w:r w:rsidR="00B033B1" w:rsidRPr="00C1603D">
        <w:t>across</w:t>
      </w:r>
      <w:r w:rsidRPr="00C1603D">
        <w:t xml:space="preserve"> respondents</w:t>
      </w:r>
      <w:r w:rsidRPr="00C1603D" w:rsidDel="006847B6">
        <w:t xml:space="preserve"> </w:t>
      </w:r>
      <w:r w:rsidRPr="00C1603D">
        <w:t>with and</w:t>
      </w:r>
      <w:r w:rsidR="00B033B1" w:rsidRPr="00C1603D">
        <w:t xml:space="preserve"> those</w:t>
      </w:r>
      <w:r w:rsidRPr="00C1603D">
        <w:t xml:space="preserve"> without CD. </w:t>
      </w:r>
      <w:r w:rsidR="00B033B1" w:rsidRPr="00C1603D">
        <w:t xml:space="preserve">A total of </w:t>
      </w:r>
      <w:r w:rsidRPr="00C1603D">
        <w:t>304 (65%) respondents</w:t>
      </w:r>
      <w:r w:rsidRPr="00C1603D" w:rsidDel="006847B6">
        <w:t xml:space="preserve"> </w:t>
      </w:r>
      <w:r w:rsidRPr="00C1603D">
        <w:t>were following a gluten-free diet at the time of filling out the survey and 28 (6%) had done so in the past (</w:t>
      </w:r>
      <w:r w:rsidR="00B033B1" w:rsidRPr="00C1603D">
        <w:t xml:space="preserve">see </w:t>
      </w:r>
      <w:r w:rsidRPr="00C1603D">
        <w:rPr>
          <w:i/>
          <w:iCs/>
          <w:color w:val="auto"/>
        </w:rPr>
        <w:t>Appendix 22</w:t>
      </w:r>
      <w:r w:rsidR="00B033B1" w:rsidRPr="00C1603D">
        <w:rPr>
          <w:color w:val="auto"/>
        </w:rPr>
        <w:t>,</w:t>
      </w:r>
      <w:r w:rsidRPr="00C1603D">
        <w:rPr>
          <w:color w:val="auto"/>
        </w:rPr>
        <w:t xml:space="preserve"> </w:t>
      </w:r>
      <w:r w:rsidRPr="00C1603D">
        <w:rPr>
          <w:i/>
          <w:color w:val="auto"/>
        </w:rPr>
        <w:t xml:space="preserve">Table </w:t>
      </w:r>
      <w:r w:rsidRPr="00C1603D">
        <w:rPr>
          <w:i/>
          <w:noProof/>
          <w:color w:val="auto"/>
        </w:rPr>
        <w:t>59</w:t>
      </w:r>
      <w:r w:rsidRPr="00C1603D">
        <w:rPr>
          <w:color w:val="auto"/>
        </w:rPr>
        <w:t>).</w:t>
      </w:r>
    </w:p>
    <w:p w14:paraId="7BEA6B00" w14:textId="77777777" w:rsidR="008B4DF8" w:rsidRPr="00C1603D" w:rsidRDefault="008B4DF8" w:rsidP="008B4DF8">
      <w:pPr>
        <w:pStyle w:val="53BheadHeadingsHeadingstyles"/>
      </w:pPr>
      <w:bookmarkStart w:id="331" w:name="_Toc99539890"/>
      <w:r w:rsidRPr="00C1603D">
        <w:t>Scenarios</w:t>
      </w:r>
      <w:bookmarkEnd w:id="331"/>
    </w:p>
    <w:p w14:paraId="6B17CABF" w14:textId="44E2EB5F" w:rsidR="008B4DF8" w:rsidRPr="00C1603D" w:rsidRDefault="008B4DF8" w:rsidP="008B4DF8">
      <w:pPr>
        <w:pStyle w:val="602TextfoTextstylesTextstyles"/>
      </w:pPr>
      <w:r w:rsidRPr="00C1603D">
        <w:t>The scenario questions were answered by 88.5</w:t>
      </w:r>
      <w:r w:rsidRPr="00C1603D">
        <w:rPr>
          <w:color w:val="00B0F0"/>
        </w:rPr>
        <w:t>–9</w:t>
      </w:r>
      <w:r w:rsidRPr="00C1603D">
        <w:t>0.0% of respondents</w:t>
      </w:r>
      <w:r w:rsidRPr="00C1603D" w:rsidDel="006847B6">
        <w:t xml:space="preserve"> </w:t>
      </w:r>
      <w:r w:rsidRPr="00C1603D">
        <w:t>(</w:t>
      </w:r>
      <w:r w:rsidRPr="00C1603D">
        <w:rPr>
          <w:i/>
          <w:color w:val="FF0000"/>
        </w:rPr>
        <w:t xml:space="preserve">Table </w:t>
      </w:r>
      <w:r w:rsidRPr="00C1603D">
        <w:rPr>
          <w:i/>
          <w:noProof/>
          <w:color w:val="FF0000"/>
        </w:rPr>
        <w:t>1</w:t>
      </w:r>
      <w:r w:rsidR="008A6568" w:rsidRPr="00C1603D">
        <w:rPr>
          <w:i/>
          <w:noProof/>
          <w:color w:val="FF0000"/>
        </w:rPr>
        <w:t>5</w:t>
      </w:r>
      <w:r w:rsidRPr="00C1603D">
        <w:t xml:space="preserve">). In scenario </w:t>
      </w:r>
      <w:proofErr w:type="gramStart"/>
      <w:r w:rsidRPr="00C1603D">
        <w:t>1</w:t>
      </w:r>
      <w:proofErr w:type="gramEnd"/>
      <w:r w:rsidRPr="00C1603D">
        <w:t>, in which respondents</w:t>
      </w:r>
      <w:r w:rsidRPr="00C1603D" w:rsidDel="006847B6">
        <w:t xml:space="preserve"> </w:t>
      </w:r>
      <w:r w:rsidRPr="00C1603D">
        <w:t>were asked to imagine having typical CD symptoms, 387 (92.8%) respondents</w:t>
      </w:r>
      <w:r w:rsidRPr="00C1603D" w:rsidDel="006847B6">
        <w:t xml:space="preserve"> </w:t>
      </w:r>
      <w:r w:rsidRPr="00C1603D">
        <w:lastRenderedPageBreak/>
        <w:t>opted for a blood test. If the blood test showed a negative result for CD, 223 (53.5%) respondents</w:t>
      </w:r>
      <w:r w:rsidRPr="00C1603D" w:rsidDel="006847B6">
        <w:t xml:space="preserve"> </w:t>
      </w:r>
      <w:r w:rsidRPr="00C1603D">
        <w:t>chose to follow a gluten-free diet anyway to find out if it reduced their symptoms, 93 (22.3%) respondents</w:t>
      </w:r>
      <w:r w:rsidRPr="00C1603D" w:rsidDel="006847B6">
        <w:t xml:space="preserve"> </w:t>
      </w:r>
      <w:r w:rsidRPr="00C1603D">
        <w:t>wanted further testing for CD and 101 (24.2%) accepted that it was unlikely that they ha</w:t>
      </w:r>
      <w:r w:rsidR="00B033B1" w:rsidRPr="00C1603D">
        <w:t>d</w:t>
      </w:r>
      <w:r w:rsidRPr="00C1603D">
        <w:t xml:space="preserve"> CD. The </w:t>
      </w:r>
      <w:r w:rsidR="00F4585F" w:rsidRPr="00C1603D">
        <w:t>free-text</w:t>
      </w:r>
      <w:r w:rsidRPr="00C1603D">
        <w:t xml:space="preserve"> answers revealed that some respondents misunderstood this question and believed that the negative test result followed two positive test results, which may have affected their answers.</w:t>
      </w:r>
    </w:p>
    <w:p w14:paraId="0AC9E306" w14:textId="33E39A63" w:rsidR="008B4DF8" w:rsidRPr="00C1603D" w:rsidRDefault="008B4DF8" w:rsidP="008B4DF8">
      <w:pPr>
        <w:pStyle w:val="70TablelegendTablesTableFigureBoxstyles"/>
      </w:pPr>
      <w:bookmarkStart w:id="332" w:name="_Toc99720725"/>
      <w:r w:rsidRPr="00C1603D">
        <w:rPr>
          <w:b/>
        </w:rPr>
        <w:t>TABLE 1</w:t>
      </w:r>
      <w:r w:rsidR="00032460" w:rsidRPr="00C1603D">
        <w:rPr>
          <w:b/>
        </w:rPr>
        <w:t>5</w:t>
      </w:r>
      <w:r w:rsidRPr="00C1603D">
        <w:rPr>
          <w:b/>
        </w:rPr>
        <w:t> </w:t>
      </w:r>
      <w:r w:rsidRPr="00C1603D">
        <w:t>Responses to scenarios</w:t>
      </w:r>
      <w:bookmarkEnd w:id="332"/>
    </w:p>
    <w:tbl>
      <w:tblPr>
        <w:tblW w:w="0" w:type="auto"/>
        <w:tblCellMar>
          <w:top w:w="40" w:type="dxa"/>
          <w:left w:w="60" w:type="dxa"/>
          <w:bottom w:w="40" w:type="dxa"/>
          <w:right w:w="60" w:type="dxa"/>
        </w:tblCellMar>
        <w:tblLook w:val="04A0" w:firstRow="1" w:lastRow="0" w:firstColumn="1" w:lastColumn="0" w:noHBand="0" w:noVBand="1"/>
      </w:tblPr>
      <w:tblGrid>
        <w:gridCol w:w="1930"/>
        <w:gridCol w:w="1174"/>
        <w:gridCol w:w="772"/>
        <w:gridCol w:w="1088"/>
        <w:gridCol w:w="1555"/>
        <w:gridCol w:w="2507"/>
      </w:tblGrid>
      <w:tr w:rsidR="008B4DF8" w:rsidRPr="00C1603D" w14:paraId="283D4407" w14:textId="77777777" w:rsidTr="00F83572">
        <w:trPr>
          <w:cantSplit/>
        </w:trPr>
        <w:tc>
          <w:tcPr>
            <w:tcW w:w="0" w:type="auto"/>
            <w:vMerge w:val="restart"/>
            <w:shd w:val="clear" w:color="auto" w:fill="auto"/>
            <w:noWrap/>
          </w:tcPr>
          <w:p w14:paraId="540F63E9" w14:textId="77777777" w:rsidR="008B4DF8" w:rsidRPr="00C1603D" w:rsidRDefault="008B4DF8" w:rsidP="00F83572">
            <w:pPr>
              <w:pStyle w:val="710TableheadTablesTableFigureBoxstyles"/>
              <w:rPr>
                <w:lang w:eastAsia="en-GB"/>
              </w:rPr>
            </w:pPr>
            <w:r w:rsidRPr="00C1603D">
              <w:rPr>
                <w:lang w:eastAsia="en-GB"/>
              </w:rPr>
              <w:t>Scenario</w:t>
            </w:r>
          </w:p>
        </w:tc>
        <w:tc>
          <w:tcPr>
            <w:tcW w:w="0" w:type="auto"/>
            <w:vMerge w:val="restart"/>
            <w:shd w:val="clear" w:color="auto" w:fill="auto"/>
            <w:noWrap/>
          </w:tcPr>
          <w:p w14:paraId="6D78D2DC" w14:textId="2404E049" w:rsidR="008B4DF8" w:rsidRPr="00C1603D" w:rsidRDefault="008B4DF8" w:rsidP="00F83572">
            <w:pPr>
              <w:pStyle w:val="710TableheadTablesTableFigureBoxstyles"/>
              <w:rPr>
                <w:lang w:eastAsia="en-GB"/>
              </w:rPr>
            </w:pPr>
            <w:r w:rsidRPr="00C1603D">
              <w:rPr>
                <w:lang w:eastAsia="en-GB"/>
              </w:rPr>
              <w:t>Risk of CD</w:t>
            </w:r>
            <w:r w:rsidR="00F83572" w:rsidRPr="00C1603D">
              <w:rPr>
                <w:lang w:eastAsia="en-GB"/>
              </w:rPr>
              <w:t xml:space="preserve"> (%)</w:t>
            </w:r>
          </w:p>
        </w:tc>
        <w:tc>
          <w:tcPr>
            <w:tcW w:w="0" w:type="auto"/>
            <w:vMerge w:val="restart"/>
            <w:shd w:val="clear" w:color="auto" w:fill="auto"/>
          </w:tcPr>
          <w:p w14:paraId="4F3E2D5E" w14:textId="77777777" w:rsidR="008B4DF8" w:rsidRPr="00C1603D" w:rsidRDefault="008B4DF8" w:rsidP="00F83572">
            <w:pPr>
              <w:pStyle w:val="710TableheadTablesTableFigureBoxstyles"/>
              <w:rPr>
                <w:lang w:eastAsia="en-GB"/>
              </w:rPr>
            </w:pPr>
            <w:r w:rsidRPr="00C1603D">
              <w:rPr>
                <w:lang w:eastAsia="en-GB"/>
              </w:rPr>
              <w:t>Test result</w:t>
            </w:r>
          </w:p>
        </w:tc>
        <w:tc>
          <w:tcPr>
            <w:tcW w:w="0" w:type="auto"/>
            <w:gridSpan w:val="3"/>
            <w:shd w:val="clear" w:color="auto" w:fill="auto"/>
            <w:noWrap/>
          </w:tcPr>
          <w:p w14:paraId="1F5F5B46" w14:textId="3FEB8CBD" w:rsidR="008B4DF8" w:rsidRPr="00C1603D" w:rsidRDefault="008B4DF8" w:rsidP="00F83572">
            <w:pPr>
              <w:pStyle w:val="705TableheadgroupTablesTableFigureBoxstyles"/>
              <w:rPr>
                <w:lang w:eastAsia="en-GB"/>
              </w:rPr>
            </w:pPr>
            <w:r w:rsidRPr="00C1603D">
              <w:rPr>
                <w:lang w:eastAsia="en-GB"/>
              </w:rPr>
              <w:t>Preferred option per scenario in response to risk of having CD</w:t>
            </w:r>
            <w:r w:rsidR="00F83572" w:rsidRPr="00C1603D">
              <w:rPr>
                <w:lang w:eastAsia="en-GB"/>
              </w:rPr>
              <w:t xml:space="preserve">, </w:t>
            </w:r>
            <w:r w:rsidR="00F83572" w:rsidRPr="00C1603D">
              <w:rPr>
                <w:i/>
                <w:iCs/>
                <w:lang w:eastAsia="en-GB"/>
              </w:rPr>
              <w:t>n</w:t>
            </w:r>
            <w:r w:rsidR="00F83572" w:rsidRPr="00C1603D">
              <w:rPr>
                <w:lang w:eastAsia="en-GB"/>
              </w:rPr>
              <w:t xml:space="preserve"> (%)</w:t>
            </w:r>
          </w:p>
        </w:tc>
      </w:tr>
      <w:tr w:rsidR="008B4DF8" w:rsidRPr="00C1603D" w14:paraId="4A0D2A35" w14:textId="77777777" w:rsidTr="00F83572">
        <w:trPr>
          <w:cantSplit/>
        </w:trPr>
        <w:tc>
          <w:tcPr>
            <w:tcW w:w="0" w:type="auto"/>
            <w:vMerge/>
            <w:shd w:val="clear" w:color="auto" w:fill="auto"/>
            <w:noWrap/>
          </w:tcPr>
          <w:p w14:paraId="516791D7" w14:textId="77777777" w:rsidR="008B4DF8" w:rsidRPr="00C1603D" w:rsidRDefault="008B4DF8" w:rsidP="00F83572">
            <w:pPr>
              <w:rPr>
                <w:rFonts w:cs="Calibri"/>
                <w:sz w:val="18"/>
                <w:szCs w:val="18"/>
                <w:lang w:eastAsia="en-GB"/>
              </w:rPr>
            </w:pPr>
          </w:p>
        </w:tc>
        <w:tc>
          <w:tcPr>
            <w:tcW w:w="0" w:type="auto"/>
            <w:vMerge/>
            <w:shd w:val="clear" w:color="auto" w:fill="auto"/>
            <w:noWrap/>
          </w:tcPr>
          <w:p w14:paraId="0D52C205" w14:textId="77777777" w:rsidR="008B4DF8" w:rsidRPr="00C1603D" w:rsidRDefault="008B4DF8" w:rsidP="00F83572">
            <w:pPr>
              <w:rPr>
                <w:rFonts w:cs="Calibri"/>
                <w:b/>
                <w:bCs/>
                <w:sz w:val="18"/>
                <w:szCs w:val="18"/>
                <w:lang w:eastAsia="en-GB"/>
              </w:rPr>
            </w:pPr>
          </w:p>
        </w:tc>
        <w:tc>
          <w:tcPr>
            <w:tcW w:w="0" w:type="auto"/>
            <w:vMerge/>
            <w:shd w:val="clear" w:color="auto" w:fill="auto"/>
          </w:tcPr>
          <w:p w14:paraId="3AE9F649" w14:textId="77777777" w:rsidR="008B4DF8" w:rsidRPr="00C1603D" w:rsidRDefault="008B4DF8" w:rsidP="00F83572">
            <w:pPr>
              <w:rPr>
                <w:rFonts w:cs="Calibri"/>
                <w:b/>
                <w:bCs/>
                <w:sz w:val="18"/>
                <w:szCs w:val="18"/>
                <w:lang w:eastAsia="en-GB"/>
              </w:rPr>
            </w:pPr>
          </w:p>
        </w:tc>
        <w:tc>
          <w:tcPr>
            <w:tcW w:w="0" w:type="auto"/>
            <w:shd w:val="clear" w:color="auto" w:fill="auto"/>
            <w:noWrap/>
          </w:tcPr>
          <w:p w14:paraId="3C9A1866" w14:textId="77777777" w:rsidR="008B4DF8" w:rsidRPr="00C1603D" w:rsidRDefault="008B4DF8" w:rsidP="00F83572">
            <w:pPr>
              <w:pStyle w:val="710TableheadTablesTableFigureBoxstyles"/>
              <w:rPr>
                <w:lang w:eastAsia="en-GB"/>
              </w:rPr>
            </w:pPr>
            <w:r w:rsidRPr="00C1603D">
              <w:rPr>
                <w:lang w:eastAsia="en-GB"/>
              </w:rPr>
              <w:t>Start GFD</w:t>
            </w:r>
          </w:p>
        </w:tc>
        <w:tc>
          <w:tcPr>
            <w:tcW w:w="0" w:type="auto"/>
            <w:shd w:val="clear" w:color="auto" w:fill="auto"/>
            <w:noWrap/>
          </w:tcPr>
          <w:p w14:paraId="7EA6DEA3" w14:textId="77777777" w:rsidR="008B4DF8" w:rsidRPr="00C1603D" w:rsidRDefault="008B4DF8" w:rsidP="00F83572">
            <w:pPr>
              <w:pStyle w:val="710TableheadTablesTableFigureBoxstyles"/>
              <w:rPr>
                <w:lang w:eastAsia="en-GB"/>
              </w:rPr>
            </w:pPr>
            <w:r w:rsidRPr="00C1603D">
              <w:rPr>
                <w:lang w:eastAsia="en-GB"/>
              </w:rPr>
              <w:t>Further testing</w:t>
            </w:r>
          </w:p>
        </w:tc>
        <w:tc>
          <w:tcPr>
            <w:tcW w:w="0" w:type="auto"/>
            <w:shd w:val="clear" w:color="auto" w:fill="auto"/>
            <w:noWrap/>
          </w:tcPr>
          <w:p w14:paraId="62B80E65" w14:textId="77777777" w:rsidR="008B4DF8" w:rsidRPr="00C1603D" w:rsidRDefault="008B4DF8" w:rsidP="00F83572">
            <w:pPr>
              <w:pStyle w:val="710TableheadTablesTableFigureBoxstyles"/>
              <w:rPr>
                <w:lang w:eastAsia="en-GB"/>
              </w:rPr>
            </w:pPr>
            <w:r w:rsidRPr="00C1603D">
              <w:rPr>
                <w:lang w:eastAsia="en-GB"/>
              </w:rPr>
              <w:t>No further testing or diet</w:t>
            </w:r>
          </w:p>
        </w:tc>
      </w:tr>
      <w:tr w:rsidR="008B4DF8" w:rsidRPr="00C1603D" w14:paraId="2FB4F5C8" w14:textId="77777777" w:rsidTr="00F83572">
        <w:trPr>
          <w:cantSplit/>
        </w:trPr>
        <w:tc>
          <w:tcPr>
            <w:tcW w:w="0" w:type="auto"/>
            <w:shd w:val="clear" w:color="auto" w:fill="auto"/>
            <w:noWrap/>
          </w:tcPr>
          <w:p w14:paraId="76191435" w14:textId="772C2D34" w:rsidR="008B4DF8" w:rsidRPr="00C1603D" w:rsidRDefault="008B4DF8" w:rsidP="00F83572">
            <w:pPr>
              <w:pStyle w:val="72TabletextTablesTableFigureBoxstyles"/>
              <w:rPr>
                <w:rFonts w:cs="Calibri"/>
                <w:lang w:eastAsia="en-GB"/>
              </w:rPr>
            </w:pPr>
            <w:r w:rsidRPr="00C1603D">
              <w:t xml:space="preserve">GI symptoms </w:t>
            </w:r>
            <w:r w:rsidR="00F83572" w:rsidRPr="00C1603D">
              <w:t>and</w:t>
            </w:r>
            <w:r w:rsidRPr="00C1603D">
              <w:t xml:space="preserve"> fatigue</w:t>
            </w:r>
          </w:p>
        </w:tc>
        <w:tc>
          <w:tcPr>
            <w:tcW w:w="0" w:type="auto"/>
            <w:shd w:val="clear" w:color="auto" w:fill="auto"/>
            <w:noWrap/>
          </w:tcPr>
          <w:p w14:paraId="3B29371B" w14:textId="6A1D0AE3" w:rsidR="008B4DF8" w:rsidRPr="00C1603D" w:rsidRDefault="008B4DF8" w:rsidP="00F83572">
            <w:pPr>
              <w:pStyle w:val="72TabletextTablesTableFigureBoxstyles"/>
              <w:rPr>
                <w:rFonts w:cs="Calibri"/>
                <w:lang w:eastAsia="en-GB"/>
              </w:rPr>
            </w:pPr>
            <w:r w:rsidRPr="00C1603D">
              <w:t>1</w:t>
            </w:r>
          </w:p>
        </w:tc>
        <w:tc>
          <w:tcPr>
            <w:tcW w:w="0" w:type="auto"/>
            <w:shd w:val="clear" w:color="auto" w:fill="auto"/>
          </w:tcPr>
          <w:p w14:paraId="3733D868" w14:textId="77777777" w:rsidR="008B4DF8" w:rsidRPr="00C1603D" w:rsidRDefault="008B4DF8" w:rsidP="00F83572">
            <w:pPr>
              <w:pStyle w:val="72TabletextTablesTableFigureBoxstyles"/>
              <w:rPr>
                <w:rFonts w:cs="Calibri"/>
                <w:lang w:eastAsia="en-GB"/>
              </w:rPr>
            </w:pPr>
            <w:r w:rsidRPr="00C1603D">
              <w:t>Negative</w:t>
            </w:r>
          </w:p>
        </w:tc>
        <w:tc>
          <w:tcPr>
            <w:tcW w:w="0" w:type="auto"/>
            <w:shd w:val="clear" w:color="auto" w:fill="auto"/>
            <w:noWrap/>
          </w:tcPr>
          <w:p w14:paraId="5B01E033" w14:textId="4A83117E" w:rsidR="008B4DF8" w:rsidRPr="00C1603D" w:rsidRDefault="008B4DF8" w:rsidP="00F83572">
            <w:pPr>
              <w:pStyle w:val="72TabletextTablesTableFigureBoxstyles"/>
              <w:rPr>
                <w:rFonts w:cs="Calibri"/>
                <w:lang w:eastAsia="en-GB"/>
              </w:rPr>
            </w:pPr>
            <w:r w:rsidRPr="00C1603D">
              <w:t>223 (53.5)</w:t>
            </w:r>
          </w:p>
        </w:tc>
        <w:tc>
          <w:tcPr>
            <w:tcW w:w="0" w:type="auto"/>
            <w:shd w:val="clear" w:color="auto" w:fill="auto"/>
            <w:noWrap/>
          </w:tcPr>
          <w:p w14:paraId="7202FD3C" w14:textId="2142D8A8" w:rsidR="008B4DF8" w:rsidRPr="00C1603D" w:rsidRDefault="008B4DF8" w:rsidP="00F83572">
            <w:pPr>
              <w:pStyle w:val="72TabletextTablesTableFigureBoxstyles"/>
              <w:rPr>
                <w:rFonts w:cs="Calibri"/>
                <w:lang w:eastAsia="en-GB"/>
              </w:rPr>
            </w:pPr>
            <w:r w:rsidRPr="00C1603D">
              <w:t>93 (22.3)</w:t>
            </w:r>
          </w:p>
        </w:tc>
        <w:tc>
          <w:tcPr>
            <w:tcW w:w="0" w:type="auto"/>
            <w:shd w:val="clear" w:color="auto" w:fill="auto"/>
            <w:noWrap/>
          </w:tcPr>
          <w:p w14:paraId="77B9D889" w14:textId="1C7E5C42" w:rsidR="008B4DF8" w:rsidRPr="00C1603D" w:rsidRDefault="008B4DF8" w:rsidP="00F83572">
            <w:pPr>
              <w:pStyle w:val="72TabletextTablesTableFigureBoxstyles"/>
              <w:rPr>
                <w:rFonts w:cs="Calibri"/>
                <w:lang w:eastAsia="en-GB"/>
              </w:rPr>
            </w:pPr>
            <w:r w:rsidRPr="00C1603D">
              <w:t>101 (24.2)</w:t>
            </w:r>
          </w:p>
        </w:tc>
      </w:tr>
      <w:tr w:rsidR="00F83572" w:rsidRPr="00C1603D" w14:paraId="18BFB2A9" w14:textId="77777777" w:rsidTr="00F83572">
        <w:trPr>
          <w:cantSplit/>
        </w:trPr>
        <w:tc>
          <w:tcPr>
            <w:tcW w:w="0" w:type="auto"/>
            <w:shd w:val="clear" w:color="auto" w:fill="auto"/>
            <w:noWrap/>
          </w:tcPr>
          <w:p w14:paraId="4C45D6CB" w14:textId="45D95125" w:rsidR="00F83572" w:rsidRPr="00C1603D" w:rsidRDefault="00F83572" w:rsidP="00F83572">
            <w:pPr>
              <w:pStyle w:val="72TabletextTablesTableFigureBoxstyles"/>
              <w:rPr>
                <w:rFonts w:cs="Calibri"/>
                <w:lang w:eastAsia="en-GB"/>
              </w:rPr>
            </w:pPr>
            <w:r w:rsidRPr="00C1603D">
              <w:t>GI symptoms and fatigue</w:t>
            </w:r>
          </w:p>
        </w:tc>
        <w:tc>
          <w:tcPr>
            <w:tcW w:w="0" w:type="auto"/>
            <w:shd w:val="clear" w:color="auto" w:fill="auto"/>
            <w:noWrap/>
          </w:tcPr>
          <w:p w14:paraId="2E4DFB1F" w14:textId="77379368" w:rsidR="00F83572" w:rsidRPr="00C1603D" w:rsidRDefault="00F83572" w:rsidP="00F83572">
            <w:pPr>
              <w:pStyle w:val="72TabletextTablesTableFigureBoxstyles"/>
              <w:rPr>
                <w:rFonts w:cs="Calibri"/>
                <w:lang w:eastAsia="en-GB"/>
              </w:rPr>
            </w:pPr>
            <w:r w:rsidRPr="00C1603D">
              <w:t>5</w:t>
            </w:r>
          </w:p>
        </w:tc>
        <w:tc>
          <w:tcPr>
            <w:tcW w:w="0" w:type="auto"/>
            <w:shd w:val="clear" w:color="auto" w:fill="auto"/>
          </w:tcPr>
          <w:p w14:paraId="00A791C8" w14:textId="58A5BF8B" w:rsidR="00F83572" w:rsidRPr="00C1603D" w:rsidRDefault="00F83572" w:rsidP="00F83572">
            <w:pPr>
              <w:pStyle w:val="72TabletextTablesTableFigureBoxstyles"/>
              <w:rPr>
                <w:rFonts w:cs="Calibri"/>
                <w:lang w:eastAsia="en-GB"/>
              </w:rPr>
            </w:pPr>
            <w:r w:rsidRPr="00C1603D">
              <w:t>Pre test</w:t>
            </w:r>
          </w:p>
        </w:tc>
        <w:tc>
          <w:tcPr>
            <w:tcW w:w="0" w:type="auto"/>
            <w:shd w:val="clear" w:color="auto" w:fill="auto"/>
            <w:noWrap/>
          </w:tcPr>
          <w:p w14:paraId="37905E01" w14:textId="36A5FE6F" w:rsidR="00F83572" w:rsidRPr="00C1603D" w:rsidRDefault="00F83572" w:rsidP="00F83572">
            <w:pPr>
              <w:pStyle w:val="72TabletextTablesTableFigureBoxstyles"/>
              <w:rPr>
                <w:rFonts w:cs="Calibri"/>
                <w:lang w:eastAsia="en-GB"/>
              </w:rPr>
            </w:pPr>
            <w:r w:rsidRPr="00C1603D">
              <w:t>21 (5)</w:t>
            </w:r>
          </w:p>
        </w:tc>
        <w:tc>
          <w:tcPr>
            <w:tcW w:w="0" w:type="auto"/>
            <w:shd w:val="clear" w:color="auto" w:fill="auto"/>
            <w:noWrap/>
          </w:tcPr>
          <w:p w14:paraId="3873169F" w14:textId="191EB37B" w:rsidR="00F83572" w:rsidRPr="00C1603D" w:rsidRDefault="00F83572" w:rsidP="00F83572">
            <w:pPr>
              <w:pStyle w:val="72TabletextTablesTableFigureBoxstyles"/>
              <w:rPr>
                <w:rFonts w:cs="Calibri"/>
                <w:lang w:eastAsia="en-GB"/>
              </w:rPr>
            </w:pPr>
            <w:r w:rsidRPr="00C1603D">
              <w:t>387 (92.8)</w:t>
            </w:r>
          </w:p>
        </w:tc>
        <w:tc>
          <w:tcPr>
            <w:tcW w:w="0" w:type="auto"/>
            <w:shd w:val="clear" w:color="auto" w:fill="auto"/>
            <w:noWrap/>
          </w:tcPr>
          <w:p w14:paraId="323790ED" w14:textId="49D83047" w:rsidR="00F83572" w:rsidRPr="00C1603D" w:rsidRDefault="00F83572" w:rsidP="00F83572">
            <w:pPr>
              <w:pStyle w:val="72TabletextTablesTableFigureBoxstyles"/>
              <w:rPr>
                <w:rFonts w:cs="Calibri"/>
                <w:lang w:eastAsia="en-GB"/>
              </w:rPr>
            </w:pPr>
            <w:r w:rsidRPr="00C1603D">
              <w:t>12 (2.9)</w:t>
            </w:r>
          </w:p>
        </w:tc>
      </w:tr>
      <w:tr w:rsidR="00F83572" w:rsidRPr="00C1603D" w14:paraId="45BEE408" w14:textId="77777777" w:rsidTr="00F83572">
        <w:trPr>
          <w:cantSplit/>
        </w:trPr>
        <w:tc>
          <w:tcPr>
            <w:tcW w:w="0" w:type="auto"/>
            <w:shd w:val="clear" w:color="auto" w:fill="auto"/>
            <w:noWrap/>
          </w:tcPr>
          <w:p w14:paraId="0D35B9B7" w14:textId="63CD35D8" w:rsidR="00F83572" w:rsidRPr="00C1603D" w:rsidRDefault="00F83572" w:rsidP="00F83572">
            <w:pPr>
              <w:pStyle w:val="72TabletextTablesTableFigureBoxstyles"/>
              <w:rPr>
                <w:rFonts w:cs="Calibri"/>
                <w:lang w:eastAsia="en-GB"/>
              </w:rPr>
            </w:pPr>
            <w:r w:rsidRPr="00C1603D">
              <w:t>GI symptoms and fatigue</w:t>
            </w:r>
          </w:p>
        </w:tc>
        <w:tc>
          <w:tcPr>
            <w:tcW w:w="0" w:type="auto"/>
            <w:shd w:val="clear" w:color="auto" w:fill="auto"/>
            <w:noWrap/>
          </w:tcPr>
          <w:p w14:paraId="61225D6C" w14:textId="2A1F0108" w:rsidR="00F83572" w:rsidRPr="00C1603D" w:rsidRDefault="00F83572" w:rsidP="00F83572">
            <w:pPr>
              <w:pStyle w:val="72TabletextTablesTableFigureBoxstyles"/>
              <w:rPr>
                <w:rFonts w:cs="Calibri"/>
                <w:lang w:eastAsia="en-GB"/>
              </w:rPr>
            </w:pPr>
            <w:r w:rsidRPr="00C1603D">
              <w:t>33</w:t>
            </w:r>
          </w:p>
        </w:tc>
        <w:tc>
          <w:tcPr>
            <w:tcW w:w="0" w:type="auto"/>
            <w:shd w:val="clear" w:color="auto" w:fill="auto"/>
          </w:tcPr>
          <w:p w14:paraId="7E66DE0F" w14:textId="77777777" w:rsidR="00F83572" w:rsidRPr="00C1603D" w:rsidRDefault="00F83572" w:rsidP="00F83572">
            <w:pPr>
              <w:pStyle w:val="72TabletextTablesTableFigureBoxstyles"/>
              <w:rPr>
                <w:rFonts w:cs="Calibri"/>
                <w:lang w:eastAsia="en-GB"/>
              </w:rPr>
            </w:pPr>
            <w:r w:rsidRPr="00C1603D">
              <w:t>Positive</w:t>
            </w:r>
          </w:p>
        </w:tc>
        <w:tc>
          <w:tcPr>
            <w:tcW w:w="0" w:type="auto"/>
            <w:shd w:val="clear" w:color="auto" w:fill="auto"/>
            <w:noWrap/>
          </w:tcPr>
          <w:p w14:paraId="4B61DFE2" w14:textId="05C0EF49" w:rsidR="00F83572" w:rsidRPr="00C1603D" w:rsidRDefault="00F83572" w:rsidP="00F83572">
            <w:pPr>
              <w:pStyle w:val="72TabletextTablesTableFigureBoxstyles"/>
              <w:rPr>
                <w:rFonts w:cs="Calibri"/>
                <w:lang w:eastAsia="en-GB"/>
              </w:rPr>
            </w:pPr>
            <w:r w:rsidRPr="00C1603D">
              <w:t>112 (26.9)</w:t>
            </w:r>
          </w:p>
        </w:tc>
        <w:tc>
          <w:tcPr>
            <w:tcW w:w="0" w:type="auto"/>
            <w:shd w:val="clear" w:color="auto" w:fill="auto"/>
            <w:noWrap/>
          </w:tcPr>
          <w:p w14:paraId="04D6B374" w14:textId="55A86EAD" w:rsidR="00F83572" w:rsidRPr="00C1603D" w:rsidRDefault="00F83572" w:rsidP="00F83572">
            <w:pPr>
              <w:pStyle w:val="72TabletextTablesTableFigureBoxstyles"/>
              <w:rPr>
                <w:rFonts w:cs="Calibri"/>
                <w:lang w:eastAsia="en-GB"/>
              </w:rPr>
            </w:pPr>
            <w:r w:rsidRPr="00C1603D">
              <w:t>295 (70.7)</w:t>
            </w:r>
          </w:p>
        </w:tc>
        <w:tc>
          <w:tcPr>
            <w:tcW w:w="0" w:type="auto"/>
            <w:shd w:val="clear" w:color="auto" w:fill="auto"/>
            <w:noWrap/>
          </w:tcPr>
          <w:p w14:paraId="3BAF0E28" w14:textId="39AAD4AA" w:rsidR="00F83572" w:rsidRPr="00C1603D" w:rsidRDefault="00F83572" w:rsidP="00F83572">
            <w:pPr>
              <w:pStyle w:val="72TabletextTablesTableFigureBoxstyles"/>
              <w:rPr>
                <w:rFonts w:cs="Calibri"/>
                <w:lang w:eastAsia="en-GB"/>
              </w:rPr>
            </w:pPr>
            <w:r w:rsidRPr="00C1603D">
              <w:t>9 (2.2)</w:t>
            </w:r>
          </w:p>
        </w:tc>
      </w:tr>
      <w:tr w:rsidR="00F83572" w:rsidRPr="00C1603D" w14:paraId="71A84D1B" w14:textId="77777777" w:rsidTr="00F83572">
        <w:trPr>
          <w:cantSplit/>
        </w:trPr>
        <w:tc>
          <w:tcPr>
            <w:tcW w:w="0" w:type="auto"/>
            <w:shd w:val="clear" w:color="auto" w:fill="auto"/>
            <w:noWrap/>
          </w:tcPr>
          <w:p w14:paraId="473ED608" w14:textId="1D8D7E64" w:rsidR="00F83572" w:rsidRPr="00C1603D" w:rsidRDefault="00F83572" w:rsidP="00F83572">
            <w:pPr>
              <w:pStyle w:val="72TabletextTablesTableFigureBoxstyles"/>
              <w:rPr>
                <w:rFonts w:cs="Calibri"/>
                <w:lang w:eastAsia="en-GB"/>
              </w:rPr>
            </w:pPr>
            <w:r w:rsidRPr="00C1603D">
              <w:t>GI symptoms and fatigue</w:t>
            </w:r>
          </w:p>
        </w:tc>
        <w:tc>
          <w:tcPr>
            <w:tcW w:w="0" w:type="auto"/>
            <w:shd w:val="clear" w:color="auto" w:fill="auto"/>
            <w:noWrap/>
          </w:tcPr>
          <w:p w14:paraId="50A5C38D" w14:textId="02775A50" w:rsidR="00F83572" w:rsidRPr="00C1603D" w:rsidRDefault="00F83572" w:rsidP="00F83572">
            <w:pPr>
              <w:pStyle w:val="72TabletextTablesTableFigureBoxstyles"/>
              <w:rPr>
                <w:rFonts w:cs="Calibri"/>
                <w:lang w:eastAsia="en-GB"/>
              </w:rPr>
            </w:pPr>
            <w:r w:rsidRPr="00C1603D">
              <w:t>75</w:t>
            </w:r>
          </w:p>
        </w:tc>
        <w:tc>
          <w:tcPr>
            <w:tcW w:w="0" w:type="auto"/>
            <w:shd w:val="clear" w:color="auto" w:fill="auto"/>
          </w:tcPr>
          <w:p w14:paraId="024BDF7A" w14:textId="77777777" w:rsidR="00F83572" w:rsidRPr="00C1603D" w:rsidRDefault="00F83572" w:rsidP="00F83572">
            <w:pPr>
              <w:pStyle w:val="72TabletextTablesTableFigureBoxstyles"/>
              <w:rPr>
                <w:rFonts w:cs="Calibri"/>
                <w:lang w:eastAsia="en-GB"/>
              </w:rPr>
            </w:pPr>
            <w:r w:rsidRPr="00C1603D">
              <w:t>Strong positive</w:t>
            </w:r>
          </w:p>
        </w:tc>
        <w:tc>
          <w:tcPr>
            <w:tcW w:w="0" w:type="auto"/>
            <w:shd w:val="clear" w:color="auto" w:fill="auto"/>
            <w:noWrap/>
          </w:tcPr>
          <w:p w14:paraId="33C90A56" w14:textId="69AD5439" w:rsidR="00F83572" w:rsidRPr="00C1603D" w:rsidRDefault="00F83572" w:rsidP="00F83572">
            <w:pPr>
              <w:pStyle w:val="72TabletextTablesTableFigureBoxstyles"/>
              <w:rPr>
                <w:rFonts w:cs="Calibri"/>
                <w:lang w:eastAsia="en-GB"/>
              </w:rPr>
            </w:pPr>
            <w:r w:rsidRPr="00C1603D">
              <w:t>184 (44.1)</w:t>
            </w:r>
          </w:p>
        </w:tc>
        <w:tc>
          <w:tcPr>
            <w:tcW w:w="0" w:type="auto"/>
            <w:shd w:val="clear" w:color="auto" w:fill="auto"/>
            <w:noWrap/>
          </w:tcPr>
          <w:p w14:paraId="429E55DE" w14:textId="39850013" w:rsidR="00F83572" w:rsidRPr="00C1603D" w:rsidRDefault="00F83572" w:rsidP="00F83572">
            <w:pPr>
              <w:pStyle w:val="72TabletextTablesTableFigureBoxstyles"/>
              <w:rPr>
                <w:rFonts w:cs="Calibri"/>
                <w:lang w:eastAsia="en-GB"/>
              </w:rPr>
            </w:pPr>
            <w:r w:rsidRPr="00C1603D">
              <w:t>224 (53.7)</w:t>
            </w:r>
          </w:p>
        </w:tc>
        <w:tc>
          <w:tcPr>
            <w:tcW w:w="0" w:type="auto"/>
            <w:shd w:val="clear" w:color="auto" w:fill="auto"/>
            <w:noWrap/>
          </w:tcPr>
          <w:p w14:paraId="4F510136" w14:textId="3E60ABEC" w:rsidR="00F83572" w:rsidRPr="00C1603D" w:rsidRDefault="00F83572" w:rsidP="00F83572">
            <w:pPr>
              <w:pStyle w:val="72TabletextTablesTableFigureBoxstyles"/>
              <w:rPr>
                <w:rFonts w:cs="Calibri"/>
                <w:lang w:eastAsia="en-GB"/>
              </w:rPr>
            </w:pPr>
            <w:r w:rsidRPr="00C1603D">
              <w:t>6 (1.4)</w:t>
            </w:r>
          </w:p>
        </w:tc>
      </w:tr>
      <w:tr w:rsidR="008B4DF8" w:rsidRPr="00C1603D" w14:paraId="3BA0F947" w14:textId="77777777" w:rsidTr="00F83572">
        <w:trPr>
          <w:cantSplit/>
        </w:trPr>
        <w:tc>
          <w:tcPr>
            <w:tcW w:w="0" w:type="auto"/>
            <w:shd w:val="clear" w:color="auto" w:fill="auto"/>
            <w:noWrap/>
          </w:tcPr>
          <w:p w14:paraId="60A2F280" w14:textId="3D8F5D9F" w:rsidR="008B4DF8" w:rsidRPr="00C1603D" w:rsidRDefault="008B4DF8" w:rsidP="00F83572">
            <w:pPr>
              <w:pStyle w:val="72TabletextTablesTableFigureBoxstyles"/>
              <w:rPr>
                <w:rFonts w:cs="Calibri"/>
                <w:lang w:eastAsia="en-GB"/>
              </w:rPr>
            </w:pPr>
            <w:r w:rsidRPr="00C1603D">
              <w:t>First</w:t>
            </w:r>
            <w:r w:rsidR="00F83572" w:rsidRPr="00C1603D">
              <w:t>-</w:t>
            </w:r>
            <w:r w:rsidRPr="00C1603D">
              <w:t>degree relative</w:t>
            </w:r>
          </w:p>
        </w:tc>
        <w:tc>
          <w:tcPr>
            <w:tcW w:w="0" w:type="auto"/>
            <w:shd w:val="clear" w:color="auto" w:fill="auto"/>
            <w:noWrap/>
          </w:tcPr>
          <w:p w14:paraId="663E15B4" w14:textId="37D070B3" w:rsidR="008B4DF8" w:rsidRPr="00C1603D" w:rsidRDefault="008B4DF8" w:rsidP="00F83572">
            <w:pPr>
              <w:pStyle w:val="72TabletextTablesTableFigureBoxstyles"/>
              <w:rPr>
                <w:rFonts w:cs="Calibri"/>
                <w:lang w:eastAsia="en-GB"/>
              </w:rPr>
            </w:pPr>
            <w:r w:rsidRPr="00C1603D">
              <w:t>10</w:t>
            </w:r>
          </w:p>
        </w:tc>
        <w:tc>
          <w:tcPr>
            <w:tcW w:w="0" w:type="auto"/>
            <w:shd w:val="clear" w:color="auto" w:fill="auto"/>
          </w:tcPr>
          <w:p w14:paraId="76D3883C" w14:textId="72272131" w:rsidR="008B4DF8" w:rsidRPr="00C1603D" w:rsidRDefault="008B4DF8" w:rsidP="00F83572">
            <w:pPr>
              <w:pStyle w:val="72TabletextTablesTableFigureBoxstyles"/>
              <w:rPr>
                <w:rFonts w:cs="Calibri"/>
                <w:lang w:eastAsia="en-GB"/>
              </w:rPr>
            </w:pPr>
            <w:r w:rsidRPr="00C1603D">
              <w:t>Pre</w:t>
            </w:r>
            <w:r w:rsidR="00F83572" w:rsidRPr="00C1603D">
              <w:t xml:space="preserve"> </w:t>
            </w:r>
            <w:r w:rsidRPr="00C1603D">
              <w:t>test</w:t>
            </w:r>
          </w:p>
        </w:tc>
        <w:tc>
          <w:tcPr>
            <w:tcW w:w="0" w:type="auto"/>
            <w:shd w:val="clear" w:color="auto" w:fill="auto"/>
            <w:noWrap/>
          </w:tcPr>
          <w:p w14:paraId="2C1E4A94" w14:textId="1DB06077" w:rsidR="008B4DF8" w:rsidRPr="00C1603D" w:rsidRDefault="008B4DF8" w:rsidP="00F83572">
            <w:pPr>
              <w:pStyle w:val="72TabletextTablesTableFigureBoxstyles"/>
              <w:rPr>
                <w:rFonts w:cs="Calibri"/>
                <w:lang w:eastAsia="en-GB"/>
              </w:rPr>
            </w:pPr>
            <w:r w:rsidRPr="00C1603D">
              <w:t>21 (5)</w:t>
            </w:r>
          </w:p>
        </w:tc>
        <w:tc>
          <w:tcPr>
            <w:tcW w:w="0" w:type="auto"/>
            <w:shd w:val="clear" w:color="auto" w:fill="auto"/>
            <w:noWrap/>
          </w:tcPr>
          <w:p w14:paraId="211FCF15" w14:textId="12718602" w:rsidR="008B4DF8" w:rsidRPr="00C1603D" w:rsidRDefault="008B4DF8" w:rsidP="00F83572">
            <w:pPr>
              <w:pStyle w:val="72TabletextTablesTableFigureBoxstyles"/>
              <w:rPr>
                <w:rFonts w:cs="Calibri"/>
                <w:lang w:eastAsia="en-GB"/>
              </w:rPr>
            </w:pPr>
            <w:r w:rsidRPr="00C1603D">
              <w:t>369 (88.5)</w:t>
            </w:r>
          </w:p>
        </w:tc>
        <w:tc>
          <w:tcPr>
            <w:tcW w:w="0" w:type="auto"/>
            <w:shd w:val="clear" w:color="auto" w:fill="auto"/>
            <w:noWrap/>
          </w:tcPr>
          <w:p w14:paraId="5C581EC3" w14:textId="282EA6DC" w:rsidR="008B4DF8" w:rsidRPr="00C1603D" w:rsidRDefault="008B4DF8" w:rsidP="00F83572">
            <w:pPr>
              <w:pStyle w:val="72TabletextTablesTableFigureBoxstyles"/>
              <w:rPr>
                <w:rFonts w:cs="Calibri"/>
                <w:lang w:eastAsia="en-GB"/>
              </w:rPr>
            </w:pPr>
            <w:r w:rsidRPr="00C1603D">
              <w:t>30 (7.2)</w:t>
            </w:r>
          </w:p>
        </w:tc>
      </w:tr>
      <w:tr w:rsidR="00F83572" w:rsidRPr="00C1603D" w14:paraId="66A616F4" w14:textId="77777777" w:rsidTr="00F83572">
        <w:trPr>
          <w:cantSplit/>
        </w:trPr>
        <w:tc>
          <w:tcPr>
            <w:tcW w:w="0" w:type="auto"/>
            <w:shd w:val="clear" w:color="auto" w:fill="auto"/>
            <w:noWrap/>
          </w:tcPr>
          <w:p w14:paraId="2987FBDA" w14:textId="0212A997" w:rsidR="00F83572" w:rsidRPr="00C1603D" w:rsidRDefault="00F83572" w:rsidP="00F83572">
            <w:pPr>
              <w:pStyle w:val="72TabletextTablesTableFigureBoxstyles"/>
              <w:rPr>
                <w:rFonts w:cs="Calibri"/>
                <w:lang w:eastAsia="en-GB"/>
              </w:rPr>
            </w:pPr>
            <w:r w:rsidRPr="00C1603D">
              <w:t>First-degree relative</w:t>
            </w:r>
          </w:p>
        </w:tc>
        <w:tc>
          <w:tcPr>
            <w:tcW w:w="0" w:type="auto"/>
            <w:shd w:val="clear" w:color="auto" w:fill="auto"/>
            <w:noWrap/>
          </w:tcPr>
          <w:p w14:paraId="60D5929D" w14:textId="5280615D" w:rsidR="00F83572" w:rsidRPr="00C1603D" w:rsidRDefault="00F83572" w:rsidP="00F83572">
            <w:pPr>
              <w:pStyle w:val="72TabletextTablesTableFigureBoxstyles"/>
              <w:rPr>
                <w:rFonts w:cs="Calibri"/>
                <w:lang w:eastAsia="en-GB"/>
              </w:rPr>
            </w:pPr>
            <w:r w:rsidRPr="00C1603D">
              <w:t>50</w:t>
            </w:r>
          </w:p>
        </w:tc>
        <w:tc>
          <w:tcPr>
            <w:tcW w:w="0" w:type="auto"/>
            <w:shd w:val="clear" w:color="auto" w:fill="auto"/>
          </w:tcPr>
          <w:p w14:paraId="7C66889E" w14:textId="77777777" w:rsidR="00F83572" w:rsidRPr="00C1603D" w:rsidRDefault="00F83572" w:rsidP="00F83572">
            <w:pPr>
              <w:pStyle w:val="72TabletextTablesTableFigureBoxstyles"/>
              <w:rPr>
                <w:rFonts w:cs="Calibri"/>
                <w:lang w:eastAsia="en-GB"/>
              </w:rPr>
            </w:pPr>
            <w:r w:rsidRPr="00C1603D">
              <w:t>Positive</w:t>
            </w:r>
          </w:p>
        </w:tc>
        <w:tc>
          <w:tcPr>
            <w:tcW w:w="0" w:type="auto"/>
            <w:shd w:val="clear" w:color="auto" w:fill="auto"/>
            <w:noWrap/>
          </w:tcPr>
          <w:p w14:paraId="049411B5" w14:textId="20C41F3D" w:rsidR="00F83572" w:rsidRPr="00C1603D" w:rsidRDefault="00F83572" w:rsidP="00F83572">
            <w:pPr>
              <w:pStyle w:val="72TabletextTablesTableFigureBoxstyles"/>
              <w:rPr>
                <w:rFonts w:cs="Calibri"/>
                <w:lang w:eastAsia="en-GB"/>
              </w:rPr>
            </w:pPr>
            <w:r w:rsidRPr="00C1603D">
              <w:t>94 (22.5)</w:t>
            </w:r>
          </w:p>
        </w:tc>
        <w:tc>
          <w:tcPr>
            <w:tcW w:w="0" w:type="auto"/>
            <w:shd w:val="clear" w:color="auto" w:fill="auto"/>
            <w:noWrap/>
          </w:tcPr>
          <w:p w14:paraId="3F780D6B" w14:textId="1EEF2E6B" w:rsidR="00F83572" w:rsidRPr="00C1603D" w:rsidRDefault="00F83572" w:rsidP="00F83572">
            <w:pPr>
              <w:pStyle w:val="72TabletextTablesTableFigureBoxstyles"/>
              <w:rPr>
                <w:rFonts w:cs="Calibri"/>
                <w:lang w:eastAsia="en-GB"/>
              </w:rPr>
            </w:pPr>
            <w:r w:rsidRPr="00C1603D">
              <w:t>297 (71.2)</w:t>
            </w:r>
          </w:p>
        </w:tc>
        <w:tc>
          <w:tcPr>
            <w:tcW w:w="0" w:type="auto"/>
            <w:shd w:val="clear" w:color="auto" w:fill="auto"/>
            <w:noWrap/>
          </w:tcPr>
          <w:p w14:paraId="7BA79257" w14:textId="58D48EBE" w:rsidR="00F83572" w:rsidRPr="00C1603D" w:rsidRDefault="00F83572" w:rsidP="00F83572">
            <w:pPr>
              <w:pStyle w:val="72TabletextTablesTableFigureBoxstyles"/>
              <w:rPr>
                <w:rFonts w:cs="Calibri"/>
                <w:lang w:eastAsia="en-GB"/>
              </w:rPr>
            </w:pPr>
            <w:r w:rsidRPr="00C1603D">
              <w:t>28 (6.7)</w:t>
            </w:r>
          </w:p>
        </w:tc>
      </w:tr>
      <w:tr w:rsidR="00F83572" w:rsidRPr="00C1603D" w14:paraId="63201D83" w14:textId="77777777" w:rsidTr="00F83572">
        <w:trPr>
          <w:cantSplit/>
        </w:trPr>
        <w:tc>
          <w:tcPr>
            <w:tcW w:w="0" w:type="auto"/>
            <w:shd w:val="clear" w:color="auto" w:fill="auto"/>
            <w:noWrap/>
          </w:tcPr>
          <w:p w14:paraId="0CCB7885" w14:textId="33FB01BE" w:rsidR="00F83572" w:rsidRPr="00C1603D" w:rsidRDefault="00F83572" w:rsidP="00F83572">
            <w:pPr>
              <w:pStyle w:val="72TabletextTablesTableFigureBoxstyles"/>
              <w:rPr>
                <w:rFonts w:cs="Calibri"/>
                <w:lang w:eastAsia="en-GB"/>
              </w:rPr>
            </w:pPr>
            <w:r w:rsidRPr="00C1603D">
              <w:t>First-degree relative</w:t>
            </w:r>
          </w:p>
        </w:tc>
        <w:tc>
          <w:tcPr>
            <w:tcW w:w="0" w:type="auto"/>
            <w:shd w:val="clear" w:color="auto" w:fill="auto"/>
            <w:noWrap/>
          </w:tcPr>
          <w:p w14:paraId="74DB2CAD" w14:textId="22241191" w:rsidR="00F83572" w:rsidRPr="00C1603D" w:rsidRDefault="00F83572" w:rsidP="00F83572">
            <w:pPr>
              <w:pStyle w:val="72TabletextTablesTableFigureBoxstyles"/>
              <w:rPr>
                <w:rFonts w:cs="Calibri"/>
                <w:lang w:eastAsia="en-GB"/>
              </w:rPr>
            </w:pPr>
            <w:r w:rsidRPr="00C1603D">
              <w:t>90</w:t>
            </w:r>
          </w:p>
        </w:tc>
        <w:tc>
          <w:tcPr>
            <w:tcW w:w="0" w:type="auto"/>
            <w:shd w:val="clear" w:color="auto" w:fill="auto"/>
          </w:tcPr>
          <w:p w14:paraId="174DE90E" w14:textId="77777777" w:rsidR="00F83572" w:rsidRPr="00C1603D" w:rsidRDefault="00F83572" w:rsidP="00F83572">
            <w:pPr>
              <w:pStyle w:val="72TabletextTablesTableFigureBoxstyles"/>
              <w:rPr>
                <w:rFonts w:cs="Calibri"/>
                <w:lang w:eastAsia="en-GB"/>
              </w:rPr>
            </w:pPr>
            <w:r w:rsidRPr="00C1603D">
              <w:t>Strong positive</w:t>
            </w:r>
          </w:p>
        </w:tc>
        <w:tc>
          <w:tcPr>
            <w:tcW w:w="0" w:type="auto"/>
            <w:shd w:val="clear" w:color="auto" w:fill="auto"/>
            <w:noWrap/>
          </w:tcPr>
          <w:p w14:paraId="22F26979" w14:textId="6D7500FD" w:rsidR="00F83572" w:rsidRPr="00C1603D" w:rsidRDefault="00F83572" w:rsidP="00F83572">
            <w:pPr>
              <w:pStyle w:val="72TabletextTablesTableFigureBoxstyles"/>
              <w:rPr>
                <w:rFonts w:cs="Calibri"/>
                <w:lang w:eastAsia="en-GB"/>
              </w:rPr>
            </w:pPr>
            <w:r w:rsidRPr="00C1603D">
              <w:t>195 (46.8)</w:t>
            </w:r>
          </w:p>
        </w:tc>
        <w:tc>
          <w:tcPr>
            <w:tcW w:w="0" w:type="auto"/>
            <w:shd w:val="clear" w:color="auto" w:fill="auto"/>
            <w:noWrap/>
          </w:tcPr>
          <w:p w14:paraId="48C500F4" w14:textId="3CB3CE51" w:rsidR="00F83572" w:rsidRPr="00C1603D" w:rsidRDefault="00F83572" w:rsidP="00F83572">
            <w:pPr>
              <w:pStyle w:val="72TabletextTablesTableFigureBoxstyles"/>
              <w:rPr>
                <w:rFonts w:cs="Calibri"/>
                <w:lang w:eastAsia="en-GB"/>
              </w:rPr>
            </w:pPr>
            <w:r w:rsidRPr="00C1603D">
              <w:t>207 (49.6)</w:t>
            </w:r>
          </w:p>
        </w:tc>
        <w:tc>
          <w:tcPr>
            <w:tcW w:w="0" w:type="auto"/>
            <w:shd w:val="clear" w:color="auto" w:fill="auto"/>
            <w:noWrap/>
          </w:tcPr>
          <w:p w14:paraId="48C25ABF" w14:textId="58FEBC30" w:rsidR="00F83572" w:rsidRPr="00C1603D" w:rsidRDefault="00F83572" w:rsidP="00F83572">
            <w:pPr>
              <w:pStyle w:val="72TabletextTablesTableFigureBoxstyles"/>
              <w:rPr>
                <w:rFonts w:cs="Calibri"/>
                <w:lang w:eastAsia="en-GB"/>
              </w:rPr>
            </w:pPr>
            <w:r w:rsidRPr="00C1603D">
              <w:t>17 (4.1)</w:t>
            </w:r>
          </w:p>
        </w:tc>
      </w:tr>
      <w:tr w:rsidR="008B4DF8" w:rsidRPr="00C1603D" w14:paraId="2B025271" w14:textId="77777777" w:rsidTr="00F83572">
        <w:trPr>
          <w:cantSplit/>
        </w:trPr>
        <w:tc>
          <w:tcPr>
            <w:tcW w:w="0" w:type="auto"/>
            <w:shd w:val="clear" w:color="auto" w:fill="auto"/>
            <w:noWrap/>
          </w:tcPr>
          <w:p w14:paraId="62191968" w14:textId="77777777" w:rsidR="008B4DF8" w:rsidRPr="00C1603D" w:rsidRDefault="008B4DF8" w:rsidP="00F83572">
            <w:pPr>
              <w:pStyle w:val="72TabletextTablesTableFigureBoxstyles"/>
              <w:rPr>
                <w:rFonts w:cs="Calibri"/>
                <w:lang w:eastAsia="en-GB"/>
              </w:rPr>
            </w:pPr>
            <w:r w:rsidRPr="00C1603D">
              <w:t>Osteoporosis</w:t>
            </w:r>
          </w:p>
        </w:tc>
        <w:tc>
          <w:tcPr>
            <w:tcW w:w="0" w:type="auto"/>
            <w:shd w:val="clear" w:color="auto" w:fill="auto"/>
            <w:noWrap/>
          </w:tcPr>
          <w:p w14:paraId="77F09D6B" w14:textId="5CC2A6EA" w:rsidR="008B4DF8" w:rsidRPr="00C1603D" w:rsidRDefault="008B4DF8" w:rsidP="00F83572">
            <w:pPr>
              <w:pStyle w:val="72TabletextTablesTableFigureBoxstyles"/>
              <w:rPr>
                <w:rFonts w:cs="Calibri"/>
                <w:lang w:eastAsia="en-GB"/>
              </w:rPr>
            </w:pPr>
            <w:r w:rsidRPr="00C1603D">
              <w:t>2</w:t>
            </w:r>
          </w:p>
        </w:tc>
        <w:tc>
          <w:tcPr>
            <w:tcW w:w="0" w:type="auto"/>
            <w:shd w:val="clear" w:color="auto" w:fill="auto"/>
          </w:tcPr>
          <w:p w14:paraId="64D40EA0" w14:textId="188005BB" w:rsidR="008B4DF8" w:rsidRPr="00C1603D" w:rsidRDefault="008B4DF8" w:rsidP="00F83572">
            <w:pPr>
              <w:pStyle w:val="72TabletextTablesTableFigureBoxstyles"/>
              <w:rPr>
                <w:rFonts w:cs="Calibri"/>
                <w:lang w:eastAsia="en-GB"/>
              </w:rPr>
            </w:pPr>
            <w:r w:rsidRPr="00C1603D">
              <w:t>Pre</w:t>
            </w:r>
            <w:r w:rsidR="00F83572" w:rsidRPr="00C1603D">
              <w:t xml:space="preserve"> </w:t>
            </w:r>
            <w:r w:rsidRPr="00C1603D">
              <w:t>test</w:t>
            </w:r>
          </w:p>
        </w:tc>
        <w:tc>
          <w:tcPr>
            <w:tcW w:w="0" w:type="auto"/>
            <w:shd w:val="clear" w:color="auto" w:fill="auto"/>
            <w:noWrap/>
          </w:tcPr>
          <w:p w14:paraId="3641FA99" w14:textId="3F865135" w:rsidR="008B4DF8" w:rsidRPr="00C1603D" w:rsidRDefault="008B4DF8" w:rsidP="00F83572">
            <w:pPr>
              <w:pStyle w:val="72TabletextTablesTableFigureBoxstyles"/>
              <w:rPr>
                <w:rFonts w:cs="Calibri"/>
                <w:lang w:eastAsia="en-GB"/>
              </w:rPr>
            </w:pPr>
            <w:r w:rsidRPr="00C1603D">
              <w:t>15 (3.6)</w:t>
            </w:r>
          </w:p>
        </w:tc>
        <w:tc>
          <w:tcPr>
            <w:tcW w:w="0" w:type="auto"/>
            <w:shd w:val="clear" w:color="auto" w:fill="auto"/>
            <w:noWrap/>
          </w:tcPr>
          <w:p w14:paraId="1C379DB2" w14:textId="1EE63AF1" w:rsidR="008B4DF8" w:rsidRPr="00C1603D" w:rsidRDefault="008B4DF8" w:rsidP="00F83572">
            <w:pPr>
              <w:pStyle w:val="72TabletextTablesTableFigureBoxstyles"/>
              <w:rPr>
                <w:rFonts w:cs="Calibri"/>
                <w:lang w:eastAsia="en-GB"/>
              </w:rPr>
            </w:pPr>
            <w:r w:rsidRPr="00C1603D">
              <w:t>376 (90.2)</w:t>
            </w:r>
          </w:p>
        </w:tc>
        <w:tc>
          <w:tcPr>
            <w:tcW w:w="0" w:type="auto"/>
            <w:shd w:val="clear" w:color="auto" w:fill="auto"/>
            <w:noWrap/>
          </w:tcPr>
          <w:p w14:paraId="1CA96E8A" w14:textId="016FFD7B" w:rsidR="008B4DF8" w:rsidRPr="00C1603D" w:rsidRDefault="008B4DF8" w:rsidP="00F83572">
            <w:pPr>
              <w:pStyle w:val="72TabletextTablesTableFigureBoxstyles"/>
              <w:rPr>
                <w:rFonts w:cs="Calibri"/>
                <w:lang w:eastAsia="en-GB"/>
              </w:rPr>
            </w:pPr>
            <w:r w:rsidRPr="00C1603D">
              <w:t>30 (7.2)</w:t>
            </w:r>
          </w:p>
        </w:tc>
      </w:tr>
      <w:tr w:rsidR="008B4DF8" w:rsidRPr="00C1603D" w14:paraId="28F0E583" w14:textId="77777777" w:rsidTr="00F83572">
        <w:trPr>
          <w:cantSplit/>
        </w:trPr>
        <w:tc>
          <w:tcPr>
            <w:tcW w:w="0" w:type="auto"/>
            <w:shd w:val="clear" w:color="auto" w:fill="auto"/>
            <w:noWrap/>
          </w:tcPr>
          <w:p w14:paraId="13217645" w14:textId="77777777" w:rsidR="008B4DF8" w:rsidRPr="00C1603D" w:rsidRDefault="008B4DF8" w:rsidP="00F83572">
            <w:pPr>
              <w:pStyle w:val="72TabletextTablesTableFigureBoxstyles"/>
              <w:rPr>
                <w:rFonts w:cs="Calibri"/>
                <w:lang w:eastAsia="en-GB"/>
              </w:rPr>
            </w:pPr>
            <w:r w:rsidRPr="00C1603D">
              <w:t>Osteoporosis</w:t>
            </w:r>
          </w:p>
        </w:tc>
        <w:tc>
          <w:tcPr>
            <w:tcW w:w="0" w:type="auto"/>
            <w:shd w:val="clear" w:color="auto" w:fill="auto"/>
            <w:noWrap/>
          </w:tcPr>
          <w:p w14:paraId="05C2F7E8" w14:textId="328A4489" w:rsidR="008B4DF8" w:rsidRPr="00C1603D" w:rsidRDefault="008B4DF8" w:rsidP="00F83572">
            <w:pPr>
              <w:pStyle w:val="72TabletextTablesTableFigureBoxstyles"/>
              <w:rPr>
                <w:rFonts w:cs="Calibri"/>
                <w:lang w:eastAsia="en-GB"/>
              </w:rPr>
            </w:pPr>
            <w:r w:rsidRPr="00C1603D">
              <w:t>15</w:t>
            </w:r>
          </w:p>
        </w:tc>
        <w:tc>
          <w:tcPr>
            <w:tcW w:w="0" w:type="auto"/>
            <w:shd w:val="clear" w:color="auto" w:fill="auto"/>
          </w:tcPr>
          <w:p w14:paraId="23AD33A8" w14:textId="77777777" w:rsidR="008B4DF8" w:rsidRPr="00C1603D" w:rsidRDefault="008B4DF8" w:rsidP="00F83572">
            <w:pPr>
              <w:pStyle w:val="72TabletextTablesTableFigureBoxstyles"/>
              <w:rPr>
                <w:rFonts w:cs="Calibri"/>
                <w:lang w:eastAsia="en-GB"/>
              </w:rPr>
            </w:pPr>
            <w:r w:rsidRPr="00C1603D">
              <w:t>Positive</w:t>
            </w:r>
          </w:p>
        </w:tc>
        <w:tc>
          <w:tcPr>
            <w:tcW w:w="0" w:type="auto"/>
            <w:shd w:val="clear" w:color="auto" w:fill="auto"/>
            <w:noWrap/>
          </w:tcPr>
          <w:p w14:paraId="46A38C99" w14:textId="405C0790" w:rsidR="008B4DF8" w:rsidRPr="00C1603D" w:rsidRDefault="008B4DF8" w:rsidP="00F83572">
            <w:pPr>
              <w:pStyle w:val="72TabletextTablesTableFigureBoxstyles"/>
              <w:rPr>
                <w:rFonts w:cs="Calibri"/>
                <w:lang w:eastAsia="en-GB"/>
              </w:rPr>
            </w:pPr>
            <w:r w:rsidRPr="00C1603D">
              <w:t>51 (12.2)</w:t>
            </w:r>
          </w:p>
        </w:tc>
        <w:tc>
          <w:tcPr>
            <w:tcW w:w="0" w:type="auto"/>
            <w:shd w:val="clear" w:color="auto" w:fill="auto"/>
            <w:noWrap/>
          </w:tcPr>
          <w:p w14:paraId="0B5597E3" w14:textId="259AFBC7" w:rsidR="008B4DF8" w:rsidRPr="00C1603D" w:rsidRDefault="008B4DF8" w:rsidP="00F83572">
            <w:pPr>
              <w:pStyle w:val="72TabletextTablesTableFigureBoxstyles"/>
              <w:rPr>
                <w:rFonts w:cs="Calibri"/>
                <w:lang w:eastAsia="en-GB"/>
              </w:rPr>
            </w:pPr>
            <w:r w:rsidRPr="00C1603D">
              <w:t>336 (80.6)</w:t>
            </w:r>
          </w:p>
        </w:tc>
        <w:tc>
          <w:tcPr>
            <w:tcW w:w="0" w:type="auto"/>
            <w:shd w:val="clear" w:color="auto" w:fill="auto"/>
            <w:noWrap/>
          </w:tcPr>
          <w:p w14:paraId="6DB08BD2" w14:textId="45B9C5C7" w:rsidR="008B4DF8" w:rsidRPr="00C1603D" w:rsidRDefault="008B4DF8" w:rsidP="00F83572">
            <w:pPr>
              <w:pStyle w:val="72TabletextTablesTableFigureBoxstyles"/>
              <w:rPr>
                <w:rFonts w:cs="Calibri"/>
                <w:lang w:eastAsia="en-GB"/>
              </w:rPr>
            </w:pPr>
            <w:r w:rsidRPr="00C1603D">
              <w:t>33 (7.9)</w:t>
            </w:r>
          </w:p>
        </w:tc>
      </w:tr>
      <w:tr w:rsidR="008B4DF8" w:rsidRPr="00C1603D" w14:paraId="1B76FF5B" w14:textId="77777777" w:rsidTr="00F83572">
        <w:trPr>
          <w:cantSplit/>
        </w:trPr>
        <w:tc>
          <w:tcPr>
            <w:tcW w:w="0" w:type="auto"/>
            <w:shd w:val="clear" w:color="auto" w:fill="auto"/>
            <w:noWrap/>
          </w:tcPr>
          <w:p w14:paraId="3CA18D8F" w14:textId="77777777" w:rsidR="008B4DF8" w:rsidRPr="00C1603D" w:rsidRDefault="008B4DF8" w:rsidP="00F83572">
            <w:pPr>
              <w:pStyle w:val="72TabletextTablesTableFigureBoxstyles"/>
              <w:rPr>
                <w:rFonts w:cs="Calibri"/>
                <w:lang w:eastAsia="en-GB"/>
              </w:rPr>
            </w:pPr>
            <w:r w:rsidRPr="00C1603D">
              <w:t>Osteoporosis</w:t>
            </w:r>
          </w:p>
        </w:tc>
        <w:tc>
          <w:tcPr>
            <w:tcW w:w="0" w:type="auto"/>
            <w:shd w:val="clear" w:color="auto" w:fill="auto"/>
            <w:noWrap/>
          </w:tcPr>
          <w:p w14:paraId="1CC07EEB" w14:textId="7D741A53" w:rsidR="008B4DF8" w:rsidRPr="00C1603D" w:rsidRDefault="008B4DF8" w:rsidP="00F83572">
            <w:pPr>
              <w:pStyle w:val="72TabletextTablesTableFigureBoxstyles"/>
              <w:rPr>
                <w:rFonts w:cs="Calibri"/>
                <w:lang w:eastAsia="en-GB"/>
              </w:rPr>
            </w:pPr>
            <w:r w:rsidRPr="00C1603D">
              <w:t>55</w:t>
            </w:r>
          </w:p>
        </w:tc>
        <w:tc>
          <w:tcPr>
            <w:tcW w:w="0" w:type="auto"/>
            <w:shd w:val="clear" w:color="auto" w:fill="auto"/>
          </w:tcPr>
          <w:p w14:paraId="1FD1BA4A" w14:textId="77777777" w:rsidR="008B4DF8" w:rsidRPr="00C1603D" w:rsidRDefault="008B4DF8" w:rsidP="00F83572">
            <w:pPr>
              <w:pStyle w:val="72TabletextTablesTableFigureBoxstyles"/>
              <w:rPr>
                <w:rFonts w:cs="Calibri"/>
                <w:lang w:eastAsia="en-GB"/>
              </w:rPr>
            </w:pPr>
            <w:r w:rsidRPr="00C1603D">
              <w:t>Strong positive</w:t>
            </w:r>
          </w:p>
        </w:tc>
        <w:tc>
          <w:tcPr>
            <w:tcW w:w="0" w:type="auto"/>
            <w:shd w:val="clear" w:color="auto" w:fill="auto"/>
            <w:noWrap/>
          </w:tcPr>
          <w:p w14:paraId="4BE47635" w14:textId="02E53DE3" w:rsidR="008B4DF8" w:rsidRPr="00C1603D" w:rsidRDefault="008B4DF8" w:rsidP="00F83572">
            <w:pPr>
              <w:pStyle w:val="72TabletextTablesTableFigureBoxstyles"/>
              <w:rPr>
                <w:rFonts w:cs="Calibri"/>
                <w:lang w:eastAsia="en-GB"/>
              </w:rPr>
            </w:pPr>
            <w:r w:rsidRPr="00C1603D">
              <w:t>99 (23.7)</w:t>
            </w:r>
          </w:p>
        </w:tc>
        <w:tc>
          <w:tcPr>
            <w:tcW w:w="0" w:type="auto"/>
            <w:shd w:val="clear" w:color="auto" w:fill="auto"/>
            <w:noWrap/>
          </w:tcPr>
          <w:p w14:paraId="1697BA7B" w14:textId="2F83D1BB" w:rsidR="008B4DF8" w:rsidRPr="00C1603D" w:rsidRDefault="008B4DF8" w:rsidP="00F83572">
            <w:pPr>
              <w:pStyle w:val="72TabletextTablesTableFigureBoxstyles"/>
              <w:rPr>
                <w:rFonts w:cs="Calibri"/>
                <w:lang w:eastAsia="en-GB"/>
              </w:rPr>
            </w:pPr>
            <w:r w:rsidRPr="00C1603D">
              <w:t>311 (74.6)</w:t>
            </w:r>
          </w:p>
        </w:tc>
        <w:tc>
          <w:tcPr>
            <w:tcW w:w="0" w:type="auto"/>
            <w:shd w:val="clear" w:color="auto" w:fill="auto"/>
            <w:noWrap/>
          </w:tcPr>
          <w:p w14:paraId="55D9B163" w14:textId="6F11C97A" w:rsidR="008B4DF8" w:rsidRPr="00C1603D" w:rsidRDefault="008B4DF8" w:rsidP="00F83572">
            <w:pPr>
              <w:pStyle w:val="72TabletextTablesTableFigureBoxstyles"/>
              <w:rPr>
                <w:rFonts w:cs="Calibri"/>
                <w:lang w:eastAsia="en-GB"/>
              </w:rPr>
            </w:pPr>
            <w:r w:rsidRPr="00C1603D">
              <w:t>7 (1.7)</w:t>
            </w:r>
          </w:p>
        </w:tc>
      </w:tr>
      <w:tr w:rsidR="00F83572" w:rsidRPr="00C1603D" w14:paraId="0444C57A" w14:textId="77777777" w:rsidTr="00E607F9">
        <w:trPr>
          <w:cantSplit/>
        </w:trPr>
        <w:tc>
          <w:tcPr>
            <w:tcW w:w="0" w:type="auto"/>
            <w:gridSpan w:val="6"/>
            <w:shd w:val="clear" w:color="auto" w:fill="auto"/>
            <w:noWrap/>
          </w:tcPr>
          <w:p w14:paraId="0FE94D3D" w14:textId="24D8FD1D" w:rsidR="00F83572" w:rsidRPr="00C1603D" w:rsidRDefault="00F83572" w:rsidP="00F83572">
            <w:pPr>
              <w:pStyle w:val="75TablenotesTablesTableFigureBoxstyles"/>
            </w:pPr>
            <w:r w:rsidRPr="00C1603D">
              <w:t>GFD, gluten-free diet.</w:t>
            </w:r>
          </w:p>
        </w:tc>
      </w:tr>
    </w:tbl>
    <w:p w14:paraId="3F2EF81C" w14:textId="640EC784" w:rsidR="008B4DF8" w:rsidRPr="00C1603D" w:rsidRDefault="008B4DF8" w:rsidP="008B4DF8">
      <w:pPr>
        <w:pStyle w:val="602TextfoTextstylesTextstyles"/>
      </w:pPr>
      <w:r w:rsidRPr="00C1603D">
        <w:t>If the test result showed a positive result for CD, corresponding to a 33% risk of having CD, the majority of respondents opted for a confirmation biopsy (</w:t>
      </w:r>
      <w:r w:rsidRPr="00C1603D">
        <w:rPr>
          <w:i/>
          <w:color w:val="00B0F0"/>
        </w:rPr>
        <w:t>n</w:t>
      </w:r>
      <w:r w:rsidRPr="00C1603D">
        <w:rPr>
          <w:color w:val="00B0F0"/>
        </w:rPr>
        <w:t> = </w:t>
      </w:r>
      <w:r w:rsidRPr="00C1603D">
        <w:t>295, 70.7%)</w:t>
      </w:r>
      <w:r w:rsidR="00F83572" w:rsidRPr="00C1603D">
        <w:t>,</w:t>
      </w:r>
      <w:r w:rsidRPr="00C1603D">
        <w:t xml:space="preserve"> rather than starting a gluten-free diet immediately. If the blood test showed a strong positive result</w:t>
      </w:r>
      <w:r w:rsidR="00F83572" w:rsidRPr="00C1603D">
        <w:t>,</w:t>
      </w:r>
      <w:r w:rsidRPr="00C1603D">
        <w:t xml:space="preserve"> increasing their risk of CD to 75%, 184 (44.1%) respondents chose to start a gluten-free diet without confirmation biopsy, whereas 224 (53.7%) respondents chose to wait for a biopsy appointment.</w:t>
      </w:r>
    </w:p>
    <w:p w14:paraId="07F130E7" w14:textId="4C000987" w:rsidR="008B4DF8" w:rsidRPr="00C1603D" w:rsidRDefault="008B4DF8" w:rsidP="008B4DF8">
      <w:pPr>
        <w:pStyle w:val="602TextfoTextstylesTextstyles"/>
      </w:pPr>
      <w:r w:rsidRPr="00C1603D">
        <w:t>In scenario 2, in which respondents</w:t>
      </w:r>
      <w:r w:rsidRPr="00C1603D" w:rsidDel="006847B6">
        <w:t xml:space="preserve"> </w:t>
      </w:r>
      <w:r w:rsidRPr="00C1603D">
        <w:t>were asked to imagine that a first-degree relative had CD, the majority opted for a blood test (</w:t>
      </w:r>
      <w:r w:rsidRPr="00C1603D">
        <w:rPr>
          <w:i/>
          <w:color w:val="00B0F0"/>
        </w:rPr>
        <w:t>n</w:t>
      </w:r>
      <w:r w:rsidRPr="00C1603D">
        <w:rPr>
          <w:color w:val="00B0F0"/>
        </w:rPr>
        <w:t> = </w:t>
      </w:r>
      <w:r w:rsidRPr="00C1603D">
        <w:t xml:space="preserve">369, 88.5%). If the test </w:t>
      </w:r>
      <w:proofErr w:type="gramStart"/>
      <w:r w:rsidRPr="00C1603D">
        <w:t>was</w:t>
      </w:r>
      <w:proofErr w:type="gramEnd"/>
      <w:r w:rsidRPr="00C1603D">
        <w:t xml:space="preserve"> positive and the risk of CD </w:t>
      </w:r>
      <w:r w:rsidR="00F83572" w:rsidRPr="00C1603D">
        <w:t xml:space="preserve">was </w:t>
      </w:r>
      <w:r w:rsidRPr="00C1603D">
        <w:t>50%, 94 (22.5%) respondents</w:t>
      </w:r>
      <w:r w:rsidRPr="00C1603D" w:rsidDel="006847B6">
        <w:t xml:space="preserve"> </w:t>
      </w:r>
      <w:r w:rsidRPr="00C1603D">
        <w:t>would start a gluten-free diet without a confirmation biopsy, but most (</w:t>
      </w:r>
      <w:r w:rsidRPr="00C1603D">
        <w:rPr>
          <w:i/>
          <w:color w:val="00B0F0"/>
        </w:rPr>
        <w:t>n</w:t>
      </w:r>
      <w:r w:rsidRPr="00C1603D">
        <w:rPr>
          <w:color w:val="00B0F0"/>
        </w:rPr>
        <w:t> = </w:t>
      </w:r>
      <w:r w:rsidRPr="00C1603D">
        <w:t xml:space="preserve">297, 71.2%) would opt for a confirmation biopsy. If the test </w:t>
      </w:r>
      <w:proofErr w:type="gramStart"/>
      <w:r w:rsidRPr="00C1603D">
        <w:t>was</w:t>
      </w:r>
      <w:proofErr w:type="gramEnd"/>
      <w:r w:rsidRPr="00C1603D">
        <w:t xml:space="preserve"> strongly positive and the risk of CD </w:t>
      </w:r>
      <w:r w:rsidR="00F83572" w:rsidRPr="00C1603D">
        <w:t xml:space="preserve">was </w:t>
      </w:r>
      <w:r w:rsidRPr="00C1603D">
        <w:t>90%, 195 (46.8%) respondents</w:t>
      </w:r>
      <w:r w:rsidRPr="00C1603D" w:rsidDel="006847B6">
        <w:t xml:space="preserve"> </w:t>
      </w:r>
      <w:r w:rsidRPr="00C1603D">
        <w:t>would start the gluten-free diet, whereas 207 (49.6%) respondents</w:t>
      </w:r>
      <w:r w:rsidRPr="00C1603D" w:rsidDel="006847B6">
        <w:t xml:space="preserve"> </w:t>
      </w:r>
      <w:r w:rsidRPr="00C1603D">
        <w:t>still preferred to wait for a confirmation biopsy.</w:t>
      </w:r>
    </w:p>
    <w:p w14:paraId="4AEDC284" w14:textId="3D74139E" w:rsidR="008B4DF8" w:rsidRPr="00C1603D" w:rsidRDefault="008B4DF8" w:rsidP="008B4DF8">
      <w:pPr>
        <w:pStyle w:val="602TextfoTextstylesTextstyles"/>
      </w:pPr>
      <w:r w:rsidRPr="00C1603D">
        <w:t xml:space="preserve">In scenario </w:t>
      </w:r>
      <w:proofErr w:type="gramStart"/>
      <w:r w:rsidRPr="00C1603D">
        <w:t>3</w:t>
      </w:r>
      <w:proofErr w:type="gramEnd"/>
      <w:r w:rsidRPr="00C1603D">
        <w:t>, in which the respondents</w:t>
      </w:r>
      <w:r w:rsidRPr="00C1603D" w:rsidDel="006847B6">
        <w:t xml:space="preserve"> </w:t>
      </w:r>
      <w:r w:rsidRPr="00C1603D">
        <w:t>were asked to imagine being diagnosed with risk conditions that increased their risk of CD to 2%, 376 (90.2%) respondents</w:t>
      </w:r>
      <w:r w:rsidRPr="00C1603D" w:rsidDel="006847B6">
        <w:t xml:space="preserve"> </w:t>
      </w:r>
      <w:r w:rsidRPr="00C1603D">
        <w:t>opted to have the blood test. At 15% and 55% risk</w:t>
      </w:r>
      <w:r w:rsidR="00F83572" w:rsidRPr="00C1603D">
        <w:t>s</w:t>
      </w:r>
      <w:r w:rsidRPr="00C1603D">
        <w:t xml:space="preserve"> </w:t>
      </w:r>
      <w:r w:rsidR="00F83572" w:rsidRPr="00C1603D">
        <w:t>of</w:t>
      </w:r>
      <w:r w:rsidRPr="00C1603D">
        <w:t xml:space="preserve"> CD, after a positive or strongly </w:t>
      </w:r>
      <w:r w:rsidR="00F83572" w:rsidRPr="00C1603D">
        <w:t xml:space="preserve">positive </w:t>
      </w:r>
      <w:r w:rsidRPr="00C1603D">
        <w:t xml:space="preserve">test result, the majority opted for a confirmation biopsy </w:t>
      </w:r>
      <w:r w:rsidR="00F83572" w:rsidRPr="00C1603D">
        <w:t>[</w:t>
      </w:r>
      <w:r w:rsidRPr="00C1603D">
        <w:rPr>
          <w:i/>
          <w:color w:val="00B0F0"/>
        </w:rPr>
        <w:t>n</w:t>
      </w:r>
      <w:r w:rsidRPr="00C1603D">
        <w:rPr>
          <w:color w:val="00B0F0"/>
        </w:rPr>
        <w:t> = </w:t>
      </w:r>
      <w:r w:rsidRPr="00C1603D">
        <w:t xml:space="preserve">336 </w:t>
      </w:r>
      <w:r w:rsidR="00F83572" w:rsidRPr="00C1603D">
        <w:t>(</w:t>
      </w:r>
      <w:r w:rsidRPr="00C1603D">
        <w:t>80.6%</w:t>
      </w:r>
      <w:r w:rsidR="00F83572" w:rsidRPr="00C1603D">
        <w:t>)</w:t>
      </w:r>
      <w:r w:rsidRPr="00C1603D">
        <w:t xml:space="preserve"> </w:t>
      </w:r>
      <w:r w:rsidR="00F83572" w:rsidRPr="00C1603D">
        <w:t xml:space="preserve">and </w:t>
      </w:r>
      <w:r w:rsidRPr="00C1603D">
        <w:rPr>
          <w:i/>
          <w:color w:val="00B0F0"/>
        </w:rPr>
        <w:t>n</w:t>
      </w:r>
      <w:r w:rsidRPr="00C1603D">
        <w:rPr>
          <w:color w:val="00B0F0"/>
        </w:rPr>
        <w:t> = </w:t>
      </w:r>
      <w:r w:rsidRPr="00C1603D">
        <w:t xml:space="preserve">311 </w:t>
      </w:r>
      <w:r w:rsidR="00F83572" w:rsidRPr="00C1603D">
        <w:t>(</w:t>
      </w:r>
      <w:r w:rsidRPr="00C1603D">
        <w:t>74.6%</w:t>
      </w:r>
      <w:r w:rsidR="00F83572" w:rsidRPr="00C1603D">
        <w:t>) for 15% and 55% risks</w:t>
      </w:r>
      <w:r w:rsidRPr="00C1603D">
        <w:t>, respectively</w:t>
      </w:r>
      <w:r w:rsidR="00F83572" w:rsidRPr="00C1603D">
        <w:t>],</w:t>
      </w:r>
      <w:r w:rsidRPr="00C1603D">
        <w:t xml:space="preserve"> rather than starting a gluten-free diet immediately.</w:t>
      </w:r>
    </w:p>
    <w:p w14:paraId="1E4C2F6D" w14:textId="5A7309EF" w:rsidR="008B4DF8" w:rsidRPr="00C1603D" w:rsidRDefault="008B4DF8" w:rsidP="008B4DF8">
      <w:pPr>
        <w:pStyle w:val="53BheadHeadingsHeadingstyles"/>
      </w:pPr>
      <w:bookmarkStart w:id="333" w:name="_Toc99539891"/>
      <w:r w:rsidRPr="00C1603D">
        <w:t xml:space="preserve">Certainty of </w:t>
      </w:r>
      <w:r w:rsidR="00771576" w:rsidRPr="00C1603D">
        <w:t>coeliac disease</w:t>
      </w:r>
      <w:r w:rsidRPr="00C1603D">
        <w:t xml:space="preserve"> diagnosis</w:t>
      </w:r>
      <w:bookmarkEnd w:id="333"/>
    </w:p>
    <w:p w14:paraId="6BC42A88" w14:textId="5894B2BA" w:rsidR="008B4DF8" w:rsidRPr="00C1603D" w:rsidRDefault="008B4DF8" w:rsidP="008B4DF8">
      <w:pPr>
        <w:pStyle w:val="602TextfoTextstylesTextstyles"/>
      </w:pPr>
      <w:commentRangeStart w:id="334"/>
      <w:commentRangeStart w:id="335"/>
      <w:r w:rsidRPr="00C1603D">
        <w:t>When respondents were asked to imagine that they had symptoms, respondents</w:t>
      </w:r>
      <w:r w:rsidRPr="00C1603D" w:rsidDel="006847B6">
        <w:t xml:space="preserve"> </w:t>
      </w:r>
      <w:r w:rsidRPr="00C1603D">
        <w:t xml:space="preserve">wanted to be </w:t>
      </w:r>
      <w:r w:rsidR="00771576" w:rsidRPr="00C1603D">
        <w:t xml:space="preserve">a median of </w:t>
      </w:r>
      <w:r w:rsidRPr="00C1603D">
        <w:t>66% (IQR 33</w:t>
      </w:r>
      <w:r w:rsidR="00771576" w:rsidRPr="00C1603D">
        <w:t>–</w:t>
      </w:r>
      <w:r w:rsidRPr="00C1603D">
        <w:t>90%) certain of the diagnosis before starting a gluten-free diet. Without symptoms, respondents</w:t>
      </w:r>
      <w:r w:rsidRPr="00C1603D" w:rsidDel="006847B6">
        <w:t xml:space="preserve"> </w:t>
      </w:r>
      <w:r w:rsidRPr="00C1603D">
        <w:t>wanted to be more certain</w:t>
      </w:r>
      <w:r w:rsidR="00771576" w:rsidRPr="00C1603D">
        <w:t xml:space="preserve"> </w:t>
      </w:r>
      <w:r w:rsidRPr="00C1603D">
        <w:t>(median</w:t>
      </w:r>
      <w:r w:rsidR="00771576" w:rsidRPr="00C1603D">
        <w:t xml:space="preserve"> 90%</w:t>
      </w:r>
      <w:r w:rsidRPr="00C1603D">
        <w:t>, IQR 66</w:t>
      </w:r>
      <w:r w:rsidR="00771576" w:rsidRPr="00C1603D">
        <w:t>–</w:t>
      </w:r>
      <w:r w:rsidRPr="00C1603D">
        <w:t xml:space="preserve">99%) </w:t>
      </w:r>
      <w:commentRangeEnd w:id="334"/>
      <w:r w:rsidR="00771576" w:rsidRPr="00C1603D">
        <w:commentReference w:id="334"/>
      </w:r>
      <w:commentRangeEnd w:id="335"/>
      <w:r w:rsidRPr="00C1603D">
        <w:commentReference w:id="335"/>
      </w:r>
      <w:r w:rsidRPr="00C1603D">
        <w:t xml:space="preserve">before committing to a </w:t>
      </w:r>
      <w:r w:rsidRPr="00C1603D">
        <w:lastRenderedPageBreak/>
        <w:t>gluten-free diet.</w:t>
      </w:r>
    </w:p>
    <w:p w14:paraId="5FA09D9D" w14:textId="7280FC51" w:rsidR="008B4DF8" w:rsidRPr="00C1603D" w:rsidRDefault="008B4DF8" w:rsidP="008B4DF8">
      <w:pPr>
        <w:pStyle w:val="602TextfoTextstylesTextstyles"/>
        <w:rPr>
          <w:color w:val="auto"/>
        </w:rPr>
      </w:pPr>
      <w:r w:rsidRPr="00C1603D">
        <w:t xml:space="preserve">We found no evidence that age group or having had a biopsy affected the level of certainty </w:t>
      </w:r>
      <w:r w:rsidR="00771576" w:rsidRPr="00C1603D">
        <w:t xml:space="preserve">of CD diagnosis </w:t>
      </w:r>
      <w:r w:rsidRPr="00C1603D">
        <w:t xml:space="preserve">that respondents would like before starting a </w:t>
      </w:r>
      <w:r w:rsidR="00771576" w:rsidRPr="00C1603D">
        <w:t xml:space="preserve">gluten-free </w:t>
      </w:r>
      <w:r w:rsidRPr="00C1603D">
        <w:t>diet. However, respondents</w:t>
      </w:r>
      <w:r w:rsidRPr="00C1603D" w:rsidDel="006847B6">
        <w:t xml:space="preserve"> </w:t>
      </w:r>
      <w:r w:rsidRPr="00C1603D">
        <w:t xml:space="preserve">without CD and those familiar with a gluten-free diet accepted a lower certainty. In the scenario </w:t>
      </w:r>
      <w:r w:rsidR="00771576" w:rsidRPr="00C1603D">
        <w:t>in which</w:t>
      </w:r>
      <w:r w:rsidRPr="00C1603D">
        <w:t xml:space="preserve"> respondents</w:t>
      </w:r>
      <w:r w:rsidRPr="00C1603D" w:rsidDel="006847B6">
        <w:t xml:space="preserve"> </w:t>
      </w:r>
      <w:r w:rsidRPr="00C1603D">
        <w:t xml:space="preserve">were asked to imagine </w:t>
      </w:r>
      <w:r w:rsidR="00771576" w:rsidRPr="00C1603D">
        <w:t xml:space="preserve">that </w:t>
      </w:r>
      <w:r w:rsidRPr="00C1603D">
        <w:t xml:space="preserve">they had symptoms, this was 20% lower for people without CD </w:t>
      </w:r>
      <w:r w:rsidR="00771576" w:rsidRPr="00C1603D">
        <w:t xml:space="preserve">[standard error </w:t>
      </w:r>
      <w:r w:rsidRPr="00C1603D">
        <w:t>(</w:t>
      </w:r>
      <w:r w:rsidRPr="00C1603D">
        <w:rPr>
          <w:color w:val="auto"/>
        </w:rPr>
        <w:t>SE</w:t>
      </w:r>
      <w:r w:rsidR="00771576" w:rsidRPr="00C1603D">
        <w:rPr>
          <w:color w:val="auto"/>
        </w:rPr>
        <w:t xml:space="preserve">) </w:t>
      </w:r>
      <w:r w:rsidRPr="00C1603D">
        <w:rPr>
          <w:color w:val="auto"/>
        </w:rPr>
        <w:t xml:space="preserve">3.8, </w:t>
      </w:r>
      <w:r w:rsidRPr="00C1603D">
        <w:rPr>
          <w:i/>
          <w:iCs/>
          <w:color w:val="auto"/>
        </w:rPr>
        <w:t>t</w:t>
      </w:r>
      <w:r w:rsidRPr="00C1603D">
        <w:rPr>
          <w:color w:val="auto"/>
        </w:rPr>
        <w:t> = –5.1</w:t>
      </w:r>
      <w:r w:rsidR="00771576" w:rsidRPr="00C1603D">
        <w:rPr>
          <w:color w:val="auto"/>
        </w:rPr>
        <w:t>;</w:t>
      </w:r>
      <w:r w:rsidRPr="00C1603D">
        <w:rPr>
          <w:color w:val="auto"/>
        </w:rPr>
        <w:t xml:space="preserve"> </w:t>
      </w:r>
      <w:r w:rsidRPr="00C1603D">
        <w:rPr>
          <w:i/>
          <w:color w:val="auto"/>
        </w:rPr>
        <w:t>p</w:t>
      </w:r>
      <w:r w:rsidR="00771576" w:rsidRPr="00C1603D">
        <w:rPr>
          <w:color w:val="auto"/>
        </w:rPr>
        <w:t> </w:t>
      </w:r>
      <w:r w:rsidRPr="00C1603D">
        <w:rPr>
          <w:color w:val="auto"/>
        </w:rPr>
        <w:t>&lt; 0.001</w:t>
      </w:r>
      <w:r w:rsidR="00771576" w:rsidRPr="00C1603D">
        <w:rPr>
          <w:color w:val="auto"/>
        </w:rPr>
        <w:t>]</w:t>
      </w:r>
      <w:r w:rsidRPr="00C1603D">
        <w:rPr>
          <w:color w:val="auto"/>
        </w:rPr>
        <w:t>, and 15% lower for those familiar with a gluten-free diet (SE</w:t>
      </w:r>
      <w:r w:rsidR="00771576" w:rsidRPr="00C1603D">
        <w:rPr>
          <w:color w:val="auto"/>
        </w:rPr>
        <w:t xml:space="preserve"> </w:t>
      </w:r>
      <w:r w:rsidRPr="00C1603D">
        <w:rPr>
          <w:color w:val="auto"/>
        </w:rPr>
        <w:t xml:space="preserve">4.0, </w:t>
      </w:r>
      <w:r w:rsidRPr="00C1603D">
        <w:rPr>
          <w:i/>
          <w:iCs/>
          <w:color w:val="auto"/>
        </w:rPr>
        <w:t>t</w:t>
      </w:r>
      <w:r w:rsidRPr="00C1603D">
        <w:rPr>
          <w:color w:val="auto"/>
        </w:rPr>
        <w:t> = –3.7</w:t>
      </w:r>
      <w:r w:rsidR="00771576" w:rsidRPr="00C1603D">
        <w:rPr>
          <w:color w:val="auto"/>
        </w:rPr>
        <w:t>;</w:t>
      </w:r>
      <w:r w:rsidRPr="00C1603D">
        <w:rPr>
          <w:color w:val="auto"/>
        </w:rPr>
        <w:t xml:space="preserve"> </w:t>
      </w:r>
      <w:r w:rsidRPr="00C1603D">
        <w:rPr>
          <w:i/>
          <w:color w:val="auto"/>
        </w:rPr>
        <w:t>p</w:t>
      </w:r>
      <w:r w:rsidR="00771576" w:rsidRPr="00C1603D">
        <w:rPr>
          <w:color w:val="auto"/>
        </w:rPr>
        <w:t> </w:t>
      </w:r>
      <w:r w:rsidRPr="00C1603D">
        <w:rPr>
          <w:color w:val="auto"/>
        </w:rPr>
        <w:t xml:space="preserve">&lt; 0.001). In the </w:t>
      </w:r>
      <w:r w:rsidRPr="00C1603D">
        <w:t xml:space="preserve">scenario </w:t>
      </w:r>
      <w:r w:rsidR="00EE4926" w:rsidRPr="00C1603D">
        <w:t>in which</w:t>
      </w:r>
      <w:r w:rsidRPr="00C1603D">
        <w:t xml:space="preserve"> respondents</w:t>
      </w:r>
      <w:r w:rsidRPr="00C1603D" w:rsidDel="006847B6">
        <w:t xml:space="preserve"> </w:t>
      </w:r>
      <w:r w:rsidRPr="00C1603D">
        <w:t>were asked to imagine</w:t>
      </w:r>
      <w:r w:rsidR="00EE4926" w:rsidRPr="00C1603D">
        <w:t xml:space="preserve"> that</w:t>
      </w:r>
      <w:r w:rsidRPr="00C1603D">
        <w:t xml:space="preserve"> they did not have symptoms, this was 13% lower for people without </w:t>
      </w:r>
      <w:r w:rsidRPr="00C1603D">
        <w:rPr>
          <w:color w:val="auto"/>
        </w:rPr>
        <w:t>CD (SE</w:t>
      </w:r>
      <w:r w:rsidR="00EE4926" w:rsidRPr="00C1603D">
        <w:rPr>
          <w:color w:val="auto"/>
        </w:rPr>
        <w:t xml:space="preserve"> </w:t>
      </w:r>
      <w:r w:rsidRPr="00C1603D">
        <w:rPr>
          <w:color w:val="auto"/>
        </w:rPr>
        <w:t xml:space="preserve">3.5, </w:t>
      </w:r>
      <w:r w:rsidRPr="00C1603D">
        <w:rPr>
          <w:i/>
          <w:iCs/>
          <w:color w:val="auto"/>
        </w:rPr>
        <w:t>t</w:t>
      </w:r>
      <w:r w:rsidRPr="00C1603D">
        <w:rPr>
          <w:color w:val="auto"/>
        </w:rPr>
        <w:t> = –3.7603.8</w:t>
      </w:r>
      <w:r w:rsidR="00EE4926" w:rsidRPr="00C1603D">
        <w:rPr>
          <w:color w:val="auto"/>
        </w:rPr>
        <w:t>;</w:t>
      </w:r>
      <w:r w:rsidRPr="00C1603D">
        <w:rPr>
          <w:color w:val="auto"/>
        </w:rPr>
        <w:t xml:space="preserve"> </w:t>
      </w:r>
      <w:r w:rsidRPr="00C1603D">
        <w:rPr>
          <w:i/>
          <w:color w:val="auto"/>
        </w:rPr>
        <w:t>p</w:t>
      </w:r>
      <w:r w:rsidR="00EE4926" w:rsidRPr="00C1603D">
        <w:rPr>
          <w:color w:val="auto"/>
        </w:rPr>
        <w:t> </w:t>
      </w:r>
      <w:r w:rsidRPr="00C1603D">
        <w:rPr>
          <w:color w:val="auto"/>
        </w:rPr>
        <w:t>&lt; 0.001), and 12% lower for those familiar with a gluten-free diet (SE</w:t>
      </w:r>
      <w:r w:rsidR="00EE4926" w:rsidRPr="00C1603D">
        <w:rPr>
          <w:color w:val="auto"/>
        </w:rPr>
        <w:t xml:space="preserve"> </w:t>
      </w:r>
      <w:r w:rsidRPr="00C1603D">
        <w:rPr>
          <w:color w:val="auto"/>
        </w:rPr>
        <w:t>3.6</w:t>
      </w:r>
      <w:r w:rsidR="00EE4926" w:rsidRPr="00C1603D">
        <w:rPr>
          <w:color w:val="auto"/>
        </w:rPr>
        <w:t>;</w:t>
      </w:r>
      <w:r w:rsidRPr="00C1603D">
        <w:rPr>
          <w:color w:val="auto"/>
        </w:rPr>
        <w:t xml:space="preserve"> </w:t>
      </w:r>
      <w:r w:rsidRPr="00C1603D">
        <w:rPr>
          <w:i/>
          <w:iCs/>
          <w:color w:val="auto"/>
        </w:rPr>
        <w:t>t</w:t>
      </w:r>
      <w:r w:rsidRPr="00C1603D">
        <w:rPr>
          <w:color w:val="auto"/>
        </w:rPr>
        <w:t> = –3.2</w:t>
      </w:r>
      <w:r w:rsidR="00EE4926" w:rsidRPr="00C1603D">
        <w:rPr>
          <w:color w:val="auto"/>
        </w:rPr>
        <w:t>;</w:t>
      </w:r>
      <w:r w:rsidRPr="00C1603D">
        <w:rPr>
          <w:color w:val="auto"/>
        </w:rPr>
        <w:t xml:space="preserve"> </w:t>
      </w:r>
      <w:r w:rsidRPr="00C1603D">
        <w:rPr>
          <w:i/>
          <w:color w:val="auto"/>
        </w:rPr>
        <w:t>p</w:t>
      </w:r>
      <w:r w:rsidRPr="00C1603D">
        <w:rPr>
          <w:color w:val="auto"/>
        </w:rPr>
        <w:t> = 0.001)</w:t>
      </w:r>
      <w:r w:rsidR="00673042" w:rsidRPr="00C1603D">
        <w:rPr>
          <w:color w:val="auto"/>
        </w:rPr>
        <w:t xml:space="preserve"> (</w:t>
      </w:r>
      <w:r w:rsidR="00673042" w:rsidRPr="00C1603D">
        <w:rPr>
          <w:i/>
          <w:iCs/>
          <w:color w:val="FF0000"/>
        </w:rPr>
        <w:t>Figure 9</w:t>
      </w:r>
      <w:r w:rsidR="00673042" w:rsidRPr="00C1603D">
        <w:rPr>
          <w:color w:val="auto"/>
        </w:rPr>
        <w:t>)</w:t>
      </w:r>
      <w:r w:rsidRPr="00C1603D">
        <w:rPr>
          <w:color w:val="auto"/>
        </w:rPr>
        <w:t>.</w:t>
      </w:r>
    </w:p>
    <w:p w14:paraId="2FCB73C4" w14:textId="4BCD70C2" w:rsidR="008B4DF8" w:rsidRPr="00C1603D" w:rsidRDefault="008B4DF8" w:rsidP="008B4DF8">
      <w:pPr>
        <w:pStyle w:val="81FigurelegendTableFigureBoxstyles"/>
      </w:pPr>
      <w:bookmarkStart w:id="336" w:name="_Toc99720790"/>
      <w:r w:rsidRPr="00C1603D">
        <w:rPr>
          <w:b/>
        </w:rPr>
        <w:t xml:space="preserve">FIGURE </w:t>
      </w:r>
      <w:bookmarkStart w:id="337" w:name="_Ref85457448"/>
      <w:r w:rsidRPr="00C1603D">
        <w:rPr>
          <w:b/>
        </w:rPr>
        <w:t>9</w:t>
      </w:r>
      <w:bookmarkStart w:id="338" w:name="_Toc86658246"/>
      <w:bookmarkEnd w:id="337"/>
      <w:r w:rsidRPr="00C1603D">
        <w:rPr>
          <w:b/>
        </w:rPr>
        <w:t> </w:t>
      </w:r>
      <w:r w:rsidRPr="00C1603D">
        <w:t xml:space="preserve">Preferred certainty of CD diagnosis before starting a </w:t>
      </w:r>
      <w:bookmarkEnd w:id="336"/>
      <w:bookmarkEnd w:id="338"/>
      <w:r w:rsidR="0046077E" w:rsidRPr="00C1603D">
        <w:t>GFD</w:t>
      </w:r>
      <w:r w:rsidR="00EE4926" w:rsidRPr="00C1603D">
        <w:t>.</w:t>
      </w:r>
      <w:r w:rsidR="0046077E" w:rsidRPr="00C1603D">
        <w:t xml:space="preserve"> GFD, gluten-free diet.</w:t>
      </w:r>
    </w:p>
    <w:p w14:paraId="2B24F6FA" w14:textId="77777777" w:rsidR="008B4DF8" w:rsidRPr="00C1603D" w:rsidRDefault="008B4DF8" w:rsidP="008B4DF8">
      <w:pPr>
        <w:pStyle w:val="53BheadHeadingsHeadingstyles"/>
      </w:pPr>
      <w:bookmarkStart w:id="339" w:name="_Toc99539892"/>
      <w:r w:rsidRPr="00C1603D">
        <w:t>Gluten-free diet adherence and difficulty</w:t>
      </w:r>
      <w:bookmarkEnd w:id="339"/>
    </w:p>
    <w:p w14:paraId="4423A751" w14:textId="6520B74C" w:rsidR="008B4DF8" w:rsidRPr="00C1603D" w:rsidRDefault="008B4DF8" w:rsidP="008B4DF8">
      <w:pPr>
        <w:pStyle w:val="602TextfoTextstylesTextstyles"/>
      </w:pPr>
      <w:r w:rsidRPr="00C1603D">
        <w:rPr>
          <w:i/>
          <w:color w:val="FF0000"/>
        </w:rPr>
        <w:t xml:space="preserve">Figure </w:t>
      </w:r>
      <w:r w:rsidRPr="00C1603D">
        <w:rPr>
          <w:i/>
          <w:noProof/>
          <w:color w:val="FF0000"/>
        </w:rPr>
        <w:t>10</w:t>
      </w:r>
      <w:r w:rsidRPr="00C1603D">
        <w:t xml:space="preserve"> show the results </w:t>
      </w:r>
      <w:r w:rsidR="00FF55E7" w:rsidRPr="00C1603D">
        <w:t>from</w:t>
      </w:r>
      <w:r w:rsidRPr="00C1603D">
        <w:t xml:space="preserve"> CD patients </w:t>
      </w:r>
      <w:r w:rsidR="00FF55E7" w:rsidRPr="00C1603D">
        <w:t>of</w:t>
      </w:r>
      <w:r w:rsidRPr="00C1603D">
        <w:t xml:space="preserve"> the difficulty of following a gluten-free diet and how strictly they adhere to the diet. </w:t>
      </w:r>
      <w:r w:rsidR="0030510A" w:rsidRPr="00C1603D">
        <w:t xml:space="preserve">A total of </w:t>
      </w:r>
      <w:r w:rsidRPr="00C1603D">
        <w:t xml:space="preserve">131 (53.5%) respondents found it easy or </w:t>
      </w:r>
      <w:proofErr w:type="gramStart"/>
      <w:r w:rsidRPr="00C1603D">
        <w:t>very easy</w:t>
      </w:r>
      <w:proofErr w:type="gramEnd"/>
      <w:r w:rsidRPr="00C1603D">
        <w:t xml:space="preserve"> to follow the gluten-free diet, whereas 69 (28.2%) respondents found it difficult or very difficult. Most respondents with confirmed CD reported that they were strict or </w:t>
      </w:r>
      <w:proofErr w:type="gramStart"/>
      <w:r w:rsidRPr="00C1603D">
        <w:t>very strict</w:t>
      </w:r>
      <w:proofErr w:type="gramEnd"/>
      <w:r w:rsidRPr="00C1603D">
        <w:t xml:space="preserve"> in their adherence to the gluten-free diet (</w:t>
      </w:r>
      <w:r w:rsidRPr="00C1603D">
        <w:rPr>
          <w:i/>
          <w:color w:val="00B0F0"/>
        </w:rPr>
        <w:t>n</w:t>
      </w:r>
      <w:r w:rsidRPr="00C1603D">
        <w:rPr>
          <w:color w:val="00B0F0"/>
        </w:rPr>
        <w:t> = </w:t>
      </w:r>
      <w:r w:rsidRPr="00C1603D">
        <w:t>222, 90.6%).</w:t>
      </w:r>
    </w:p>
    <w:p w14:paraId="26D6A7BE" w14:textId="1CAB05A5" w:rsidR="008B4DF8" w:rsidRPr="00C1603D" w:rsidRDefault="008B4DF8" w:rsidP="008B4DF8">
      <w:pPr>
        <w:pStyle w:val="81FigurelegendTableFigureBoxstyles"/>
      </w:pPr>
      <w:bookmarkStart w:id="340" w:name="_Toc99720791"/>
      <w:r w:rsidRPr="00C1603D">
        <w:rPr>
          <w:b/>
        </w:rPr>
        <w:t>FIGURE 10</w:t>
      </w:r>
      <w:r w:rsidRPr="00C1603D">
        <w:rPr>
          <w:b/>
        </w:rPr>
        <w:t> </w:t>
      </w:r>
      <w:r w:rsidR="0030510A" w:rsidRPr="00C1603D">
        <w:rPr>
          <w:bCs/>
        </w:rPr>
        <w:t>Gluten-free diet adherence and difficulty</w:t>
      </w:r>
      <w:r w:rsidR="0030510A" w:rsidRPr="00C1603D">
        <w:t xml:space="preserve">. </w:t>
      </w:r>
      <w:r w:rsidRPr="00C1603D">
        <w:t xml:space="preserve">(a) Difficulty following </w:t>
      </w:r>
      <w:r w:rsidR="0030510A" w:rsidRPr="00C1603D">
        <w:t xml:space="preserve">a </w:t>
      </w:r>
      <w:r w:rsidRPr="00C1603D">
        <w:t xml:space="preserve">GFD; and (b) adherence to </w:t>
      </w:r>
      <w:r w:rsidR="0030510A" w:rsidRPr="00C1603D">
        <w:t xml:space="preserve">a </w:t>
      </w:r>
      <w:r w:rsidRPr="00C1603D">
        <w:t>GFD</w:t>
      </w:r>
      <w:bookmarkEnd w:id="340"/>
      <w:r w:rsidR="00EC0437" w:rsidRPr="00C1603D">
        <w:t>. GFD, gluten-free diet.</w:t>
      </w:r>
    </w:p>
    <w:p w14:paraId="13EDEB49" w14:textId="3D410E1F" w:rsidR="008B4DF8" w:rsidRPr="00C1603D" w:rsidRDefault="008B4DF8" w:rsidP="008B4DF8">
      <w:pPr>
        <w:pStyle w:val="53BheadHeadingsHeadingstyles"/>
      </w:pPr>
      <w:bookmarkStart w:id="341" w:name="_Toc99539893"/>
      <w:r w:rsidRPr="00C1603D">
        <w:t xml:space="preserve">Quality of life among </w:t>
      </w:r>
      <w:r w:rsidR="0092508D" w:rsidRPr="00C1603D">
        <w:t>coeliac disease</w:t>
      </w:r>
      <w:r w:rsidRPr="00C1603D">
        <w:t xml:space="preserve"> patients</w:t>
      </w:r>
      <w:bookmarkEnd w:id="341"/>
    </w:p>
    <w:p w14:paraId="2967F908" w14:textId="2B07BDBD" w:rsidR="008B4DF8" w:rsidRPr="00C1603D" w:rsidRDefault="0092508D" w:rsidP="008B4DF8">
      <w:pPr>
        <w:pStyle w:val="602TextfoTextstylesTextstyles"/>
      </w:pPr>
      <w:r w:rsidRPr="00C1603D">
        <w:t>The median o</w:t>
      </w:r>
      <w:r w:rsidR="008B4DF8" w:rsidRPr="00C1603D">
        <w:t>verall quality</w:t>
      </w:r>
      <w:r w:rsidR="0046159C" w:rsidRPr="00C1603D">
        <w:t>-</w:t>
      </w:r>
      <w:r w:rsidR="008B4DF8" w:rsidRPr="00C1603D">
        <w:t>of</w:t>
      </w:r>
      <w:r w:rsidR="0046159C" w:rsidRPr="00C1603D">
        <w:t>-</w:t>
      </w:r>
      <w:r w:rsidR="008B4DF8" w:rsidRPr="00C1603D">
        <w:t>life</w:t>
      </w:r>
      <w:r w:rsidR="0046159C" w:rsidRPr="00C1603D">
        <w:t xml:space="preserve"> score</w:t>
      </w:r>
      <w:r w:rsidR="008B4DF8" w:rsidRPr="00C1603D">
        <w:t xml:space="preserve"> among CD patients was estimated at 59.38 (IQR 43.75</w:t>
      </w:r>
      <w:r w:rsidRPr="00C1603D">
        <w:t>–</w:t>
      </w:r>
      <w:r w:rsidR="008B4DF8" w:rsidRPr="00C1603D">
        <w:t>76.25)</w:t>
      </w:r>
      <w:r w:rsidRPr="00C1603D">
        <w:t>,</w:t>
      </w:r>
      <w:r w:rsidR="008B4DF8" w:rsidRPr="00C1603D">
        <w:t xml:space="preserve"> based on the CD</w:t>
      </w:r>
      <w:r w:rsidRPr="00C1603D">
        <w:t>-</w:t>
      </w:r>
      <w:r w:rsidR="008B4DF8" w:rsidRPr="00C1603D">
        <w:t>Q</w:t>
      </w:r>
      <w:r w:rsidRPr="00C1603D">
        <w:t>O</w:t>
      </w:r>
      <w:r w:rsidR="008B4DF8" w:rsidRPr="00C1603D">
        <w:t xml:space="preserve">L. This quality-of-life measure is considered good when </w:t>
      </w:r>
      <w:r w:rsidR="006576DD" w:rsidRPr="00C1603D">
        <w:t xml:space="preserve">the score is </w:t>
      </w:r>
      <w:r w:rsidR="008B4DF8" w:rsidRPr="00C1603D">
        <w:rPr>
          <w:color w:val="00B0F0"/>
        </w:rPr>
        <w:t>&gt; 5</w:t>
      </w:r>
      <w:r w:rsidR="008B4DF8" w:rsidRPr="00C1603D">
        <w:t xml:space="preserve">9, medium when </w:t>
      </w:r>
      <w:r w:rsidR="006576DD" w:rsidRPr="00C1603D">
        <w:t xml:space="preserve">the </w:t>
      </w:r>
      <w:r w:rsidR="0046159C" w:rsidRPr="00C1603D">
        <w:t xml:space="preserve">score is </w:t>
      </w:r>
      <w:r w:rsidR="008B4DF8" w:rsidRPr="00C1603D">
        <w:t>37</w:t>
      </w:r>
      <w:r w:rsidR="008B4DF8" w:rsidRPr="00C1603D">
        <w:rPr>
          <w:color w:val="00B0F0"/>
        </w:rPr>
        <w:t>–5</w:t>
      </w:r>
      <w:r w:rsidR="008B4DF8" w:rsidRPr="00C1603D">
        <w:t>9 and poor when</w:t>
      </w:r>
      <w:r w:rsidR="0046159C" w:rsidRPr="00C1603D">
        <w:t xml:space="preserve"> the score is</w:t>
      </w:r>
      <w:r w:rsidR="008B4DF8" w:rsidRPr="00C1603D">
        <w:t xml:space="preserve"> </w:t>
      </w:r>
      <w:r w:rsidR="008B4DF8" w:rsidRPr="00C1603D">
        <w:rPr>
          <w:color w:val="00B0F0"/>
        </w:rPr>
        <w:t>&lt; 3</w:t>
      </w:r>
      <w:r w:rsidR="008B4DF8" w:rsidRPr="00C1603D">
        <w:t>7. Although there was large variation between CD patients</w:t>
      </w:r>
      <w:r w:rsidR="008B4DF8" w:rsidRPr="00C1603D">
        <w:rPr>
          <w:color w:val="00B0F0"/>
        </w:rPr>
        <w:t>’</w:t>
      </w:r>
      <w:r w:rsidR="008B4DF8" w:rsidRPr="00C1603D">
        <w:t xml:space="preserve"> quality</w:t>
      </w:r>
      <w:r w:rsidR="0046159C" w:rsidRPr="00C1603D">
        <w:t>-</w:t>
      </w:r>
      <w:r w:rsidR="008B4DF8" w:rsidRPr="00C1603D">
        <w:t>of</w:t>
      </w:r>
      <w:r w:rsidR="0046159C" w:rsidRPr="00C1603D">
        <w:t>-</w:t>
      </w:r>
      <w:r w:rsidR="008B4DF8" w:rsidRPr="00C1603D">
        <w:t>life score</w:t>
      </w:r>
      <w:r w:rsidR="0046159C" w:rsidRPr="00C1603D">
        <w:t>s</w:t>
      </w:r>
      <w:r w:rsidR="008B4DF8" w:rsidRPr="00C1603D">
        <w:t>, most scores indicated a good or medium quality of life (</w:t>
      </w:r>
      <w:r w:rsidR="008B4DF8" w:rsidRPr="00C1603D">
        <w:rPr>
          <w:i/>
          <w:color w:val="FF0000"/>
        </w:rPr>
        <w:t xml:space="preserve">Figure </w:t>
      </w:r>
      <w:r w:rsidR="008B4DF8" w:rsidRPr="00C1603D">
        <w:rPr>
          <w:i/>
          <w:noProof/>
          <w:color w:val="FF0000"/>
        </w:rPr>
        <w:t>11</w:t>
      </w:r>
      <w:r w:rsidR="008B4DF8" w:rsidRPr="00C1603D">
        <w:t>). CD patients had a high score in the domain dysphoria (median 87.50, IQR 68.75</w:t>
      </w:r>
      <w:r w:rsidR="008A2758" w:rsidRPr="00C1603D">
        <w:t>–</w:t>
      </w:r>
      <w:r w:rsidR="008B4DF8" w:rsidRPr="00C1603D">
        <w:t>93.75), suggesting that dysphoria did not affect quality of life for the majority of respondents. CD patients</w:t>
      </w:r>
      <w:r w:rsidR="008A2758" w:rsidRPr="00C1603D">
        <w:t xml:space="preserve"> also</w:t>
      </w:r>
      <w:r w:rsidR="008B4DF8" w:rsidRPr="00C1603D">
        <w:t xml:space="preserve"> had a good score</w:t>
      </w:r>
      <w:r w:rsidR="005E0400" w:rsidRPr="00C1603D">
        <w:t xml:space="preserve"> in the health concerns domain</w:t>
      </w:r>
      <w:r w:rsidR="008B4DF8" w:rsidRPr="00C1603D">
        <w:t xml:space="preserve"> (median 60.0, IQR 35.0</w:t>
      </w:r>
      <w:r w:rsidR="005E0400" w:rsidRPr="00C1603D">
        <w:t>–</w:t>
      </w:r>
      <w:r w:rsidR="008B4DF8" w:rsidRPr="00C1603D">
        <w:t xml:space="preserve">80.0), although there was more variation and some respondents felt that their quality of life was affected by health concerns. CD patients had a medium score for the domains </w:t>
      </w:r>
      <w:r w:rsidR="008B4DF8" w:rsidRPr="00C1603D">
        <w:rPr>
          <w:color w:val="00B0F0"/>
        </w:rPr>
        <w:t>‘</w:t>
      </w:r>
      <w:r w:rsidR="008B4DF8" w:rsidRPr="00C1603D">
        <w:t>CD</w:t>
      </w:r>
      <w:r w:rsidR="005E0400" w:rsidRPr="00C1603D">
        <w:t>-</w:t>
      </w:r>
      <w:r w:rsidR="008B4DF8" w:rsidRPr="00C1603D">
        <w:t>related limitations</w:t>
      </w:r>
      <w:r w:rsidR="008B4DF8" w:rsidRPr="00C1603D">
        <w:rPr>
          <w:color w:val="00B0F0"/>
        </w:rPr>
        <w:t>’</w:t>
      </w:r>
      <w:r w:rsidR="008B4DF8" w:rsidRPr="00C1603D">
        <w:t xml:space="preserve"> (median 55.56, IQR 36.11</w:t>
      </w:r>
      <w:r w:rsidR="005E0400" w:rsidRPr="00C1603D">
        <w:t>–</w:t>
      </w:r>
      <w:r w:rsidR="008B4DF8" w:rsidRPr="00C1603D">
        <w:t xml:space="preserve">72.22) and </w:t>
      </w:r>
      <w:r w:rsidR="008B4DF8" w:rsidRPr="00C1603D">
        <w:rPr>
          <w:color w:val="00B0F0"/>
        </w:rPr>
        <w:t>‘</w:t>
      </w:r>
      <w:r w:rsidR="008B4DF8" w:rsidRPr="00C1603D">
        <w:t>inadequate treatment</w:t>
      </w:r>
      <w:r w:rsidR="008B4DF8" w:rsidRPr="00C1603D">
        <w:rPr>
          <w:color w:val="00B0F0"/>
        </w:rPr>
        <w:t>’</w:t>
      </w:r>
      <w:r w:rsidR="008B4DF8" w:rsidRPr="00C1603D">
        <w:t xml:space="preserve"> (median 50.00, IQR 37.50</w:t>
      </w:r>
      <w:r w:rsidR="005E0400" w:rsidRPr="00C1603D">
        <w:t>–</w:t>
      </w:r>
      <w:r w:rsidR="008B4DF8" w:rsidRPr="00C1603D">
        <w:t xml:space="preserve">50.00). About </w:t>
      </w:r>
      <w:r w:rsidR="005E0400" w:rsidRPr="00C1603D">
        <w:t>one-</w:t>
      </w:r>
      <w:r w:rsidR="008B4DF8" w:rsidRPr="00C1603D">
        <w:t xml:space="preserve">quarter of the respondents with CD had a low score (associated with </w:t>
      </w:r>
      <w:proofErr w:type="gramStart"/>
      <w:r w:rsidR="008B4DF8" w:rsidRPr="00C1603D">
        <w:t>a poor quality</w:t>
      </w:r>
      <w:proofErr w:type="gramEnd"/>
      <w:r w:rsidR="008B4DF8" w:rsidRPr="00C1603D">
        <w:t xml:space="preserve"> of life) for the CD</w:t>
      </w:r>
      <w:r w:rsidR="005E0400" w:rsidRPr="00C1603D">
        <w:t>-</w:t>
      </w:r>
      <w:r w:rsidR="008B4DF8" w:rsidRPr="00C1603D">
        <w:t>related limitations and health concerns domains.</w:t>
      </w:r>
    </w:p>
    <w:p w14:paraId="14C97383" w14:textId="11263113" w:rsidR="008B4DF8" w:rsidRPr="00C1603D" w:rsidRDefault="008B4DF8" w:rsidP="008B4DF8">
      <w:pPr>
        <w:pStyle w:val="81FigurelegendTableFigureBoxstyles"/>
      </w:pPr>
      <w:bookmarkStart w:id="342" w:name="_Toc99720792"/>
      <w:r w:rsidRPr="00C1603D">
        <w:rPr>
          <w:b/>
        </w:rPr>
        <w:t>FIGURE 11</w:t>
      </w:r>
      <w:r w:rsidRPr="00C1603D">
        <w:rPr>
          <w:b/>
        </w:rPr>
        <w:t> </w:t>
      </w:r>
      <w:r w:rsidRPr="00C1603D">
        <w:t>Quality</w:t>
      </w:r>
      <w:r w:rsidR="0046159C" w:rsidRPr="00C1603D">
        <w:t>-</w:t>
      </w:r>
      <w:r w:rsidRPr="00C1603D">
        <w:t>of</w:t>
      </w:r>
      <w:r w:rsidR="0046159C" w:rsidRPr="00C1603D">
        <w:t>-l</w:t>
      </w:r>
      <w:r w:rsidRPr="00C1603D">
        <w:t>ife score</w:t>
      </w:r>
      <w:r w:rsidR="0046159C" w:rsidRPr="00C1603D">
        <w:t>s</w:t>
      </w:r>
      <w:r w:rsidRPr="00C1603D">
        <w:t xml:space="preserve"> (CD-Q</w:t>
      </w:r>
      <w:r w:rsidR="0046159C" w:rsidRPr="00C1603D">
        <w:t>O</w:t>
      </w:r>
      <w:r w:rsidRPr="00C1603D">
        <w:t>L)</w:t>
      </w:r>
      <w:bookmarkEnd w:id="342"/>
      <w:r w:rsidR="0046159C" w:rsidRPr="00C1603D">
        <w:t>.</w:t>
      </w:r>
    </w:p>
    <w:p w14:paraId="0F6126A2" w14:textId="77777777" w:rsidR="008B4DF8" w:rsidRPr="00C1603D" w:rsidRDefault="008B4DF8" w:rsidP="008B4DF8">
      <w:pPr>
        <w:pStyle w:val="53BheadHeadingsHeadingstyles"/>
      </w:pPr>
      <w:bookmarkStart w:id="343" w:name="_Toc99539894"/>
      <w:r w:rsidRPr="00C1603D">
        <w:t>Qualitative analysis</w:t>
      </w:r>
      <w:bookmarkEnd w:id="343"/>
    </w:p>
    <w:p w14:paraId="1D13D79D" w14:textId="550456D4" w:rsidR="008B4DF8" w:rsidRPr="00C1603D" w:rsidRDefault="005E0400" w:rsidP="008B4DF8">
      <w:pPr>
        <w:pStyle w:val="602TextfoTextstylesTextstyles"/>
        <w:rPr>
          <w:color w:val="auto"/>
        </w:rPr>
      </w:pPr>
      <w:r w:rsidRPr="00C1603D">
        <w:rPr>
          <w:rFonts w:eastAsia="Calibri"/>
        </w:rPr>
        <w:t>O</w:t>
      </w:r>
      <w:r w:rsidR="008B4DF8" w:rsidRPr="00C1603D">
        <w:rPr>
          <w:rFonts w:eastAsia="Calibri"/>
        </w:rPr>
        <w:t>f the 468 respondents</w:t>
      </w:r>
      <w:r w:rsidRPr="00C1603D">
        <w:rPr>
          <w:rFonts w:eastAsia="Calibri"/>
        </w:rPr>
        <w:t>, 353</w:t>
      </w:r>
      <w:r w:rsidR="008B4DF8" w:rsidRPr="00C1603D">
        <w:rPr>
          <w:rFonts w:eastAsia="Calibri"/>
        </w:rPr>
        <w:t xml:space="preserve"> (75.4%) used at least one of the </w:t>
      </w:r>
      <w:r w:rsidR="00F4585F" w:rsidRPr="00C1603D">
        <w:rPr>
          <w:rFonts w:eastAsia="Calibri"/>
        </w:rPr>
        <w:t>free-text</w:t>
      </w:r>
      <w:r w:rsidR="008B4DF8" w:rsidRPr="00C1603D">
        <w:rPr>
          <w:rFonts w:eastAsia="Calibri"/>
        </w:rPr>
        <w:t xml:space="preserve"> boxes to explain their answer on what they would do for a scenario question. </w:t>
      </w:r>
      <w:r w:rsidRPr="00C1603D">
        <w:rPr>
          <w:rFonts w:eastAsia="Calibri"/>
        </w:rPr>
        <w:t>O</w:t>
      </w:r>
      <w:r w:rsidR="008B4DF8" w:rsidRPr="00C1603D">
        <w:rPr>
          <w:rFonts w:eastAsia="Calibri"/>
        </w:rPr>
        <w:t>f these 353 respondents</w:t>
      </w:r>
      <w:r w:rsidRPr="00C1603D">
        <w:rPr>
          <w:rFonts w:eastAsia="Calibri"/>
        </w:rPr>
        <w:t>, 185 (52.4%)</w:t>
      </w:r>
      <w:r w:rsidR="008B4DF8" w:rsidRPr="00C1603D">
        <w:rPr>
          <w:rFonts w:eastAsia="Calibri"/>
        </w:rPr>
        <w:t xml:space="preserve"> had a CD diagnosis confirmed by a blood test and/or biopsy, and 167 (47.3%) did not. The majority</w:t>
      </w:r>
      <w:r w:rsidR="009839CA" w:rsidRPr="00C1603D">
        <w:rPr>
          <w:rFonts w:eastAsia="Calibri"/>
        </w:rPr>
        <w:t xml:space="preserve"> </w:t>
      </w:r>
      <w:r w:rsidR="008B4DF8" w:rsidRPr="00C1603D">
        <w:rPr>
          <w:rFonts w:eastAsia="Calibri"/>
        </w:rPr>
        <w:t>of those who answered were aged 41</w:t>
      </w:r>
      <w:r w:rsidR="008B4DF8" w:rsidRPr="00C1603D">
        <w:rPr>
          <w:rFonts w:eastAsia="Calibri"/>
          <w:color w:val="00B0F0"/>
        </w:rPr>
        <w:t>–6</w:t>
      </w:r>
      <w:r w:rsidR="008B4DF8" w:rsidRPr="00C1603D">
        <w:rPr>
          <w:rFonts w:eastAsia="Calibri"/>
        </w:rPr>
        <w:t>4</w:t>
      </w:r>
      <w:r w:rsidR="009839CA" w:rsidRPr="00C1603D">
        <w:rPr>
          <w:rFonts w:eastAsia="Calibri"/>
        </w:rPr>
        <w:t xml:space="preserve"> years</w:t>
      </w:r>
      <w:r w:rsidR="00531632" w:rsidRPr="00C1603D">
        <w:rPr>
          <w:rFonts w:eastAsia="Calibri"/>
        </w:rPr>
        <w:t xml:space="preserve"> (42.2%)</w:t>
      </w:r>
      <w:r w:rsidR="008B4DF8" w:rsidRPr="00C1603D">
        <w:rPr>
          <w:rFonts w:eastAsia="Calibri"/>
        </w:rPr>
        <w:t>, followed by those aged 26</w:t>
      </w:r>
      <w:r w:rsidR="008B4DF8" w:rsidRPr="00C1603D">
        <w:rPr>
          <w:rFonts w:eastAsia="Calibri"/>
          <w:color w:val="00B0F0"/>
        </w:rPr>
        <w:t>–4</w:t>
      </w:r>
      <w:r w:rsidR="008B4DF8" w:rsidRPr="00C1603D">
        <w:rPr>
          <w:rFonts w:eastAsia="Calibri"/>
        </w:rPr>
        <w:t>0</w:t>
      </w:r>
      <w:r w:rsidR="009839CA" w:rsidRPr="00C1603D">
        <w:rPr>
          <w:rFonts w:eastAsia="Calibri"/>
        </w:rPr>
        <w:t xml:space="preserve"> years</w:t>
      </w:r>
      <w:r w:rsidR="008B4DF8" w:rsidRPr="00C1603D">
        <w:rPr>
          <w:rFonts w:eastAsia="Calibri"/>
        </w:rPr>
        <w:t xml:space="preserve"> (28.0%). </w:t>
      </w:r>
      <w:r w:rsidR="00CC09BD" w:rsidRPr="00C1603D">
        <w:rPr>
          <w:rFonts w:eastAsia="Calibri"/>
        </w:rPr>
        <w:t>Twenty-six</w:t>
      </w:r>
      <w:r w:rsidR="00B11594" w:rsidRPr="00C1603D">
        <w:rPr>
          <w:rFonts w:eastAsia="Calibri"/>
        </w:rPr>
        <w:t xml:space="preserve"> </w:t>
      </w:r>
      <w:r w:rsidR="008B4DF8" w:rsidRPr="00C1603D">
        <w:rPr>
          <w:rFonts w:eastAsia="Calibri"/>
        </w:rPr>
        <w:t>(7.4%) children (age</w:t>
      </w:r>
      <w:r w:rsidR="00B11594" w:rsidRPr="00C1603D">
        <w:rPr>
          <w:rFonts w:eastAsia="Calibri"/>
        </w:rPr>
        <w:t>d</w:t>
      </w:r>
      <w:r w:rsidR="008B4DF8" w:rsidRPr="00C1603D">
        <w:rPr>
          <w:rFonts w:eastAsia="Calibri"/>
        </w:rPr>
        <w:t xml:space="preserve"> </w:t>
      </w:r>
      <w:r w:rsidR="008B4DF8" w:rsidRPr="00C1603D">
        <w:rPr>
          <w:rFonts w:eastAsia="Calibri"/>
          <w:color w:val="00B0F0"/>
        </w:rPr>
        <w:t>&lt; 1</w:t>
      </w:r>
      <w:r w:rsidR="008B4DF8" w:rsidRPr="00C1603D">
        <w:rPr>
          <w:rFonts w:eastAsia="Calibri"/>
        </w:rPr>
        <w:t xml:space="preserve">8 years), or parents of children, explained their answers to the scenario questions. Children made up slightly more of the responses for those with CD than those without a diagnosis </w:t>
      </w:r>
      <w:r w:rsidR="00D06C2C" w:rsidRPr="00C1603D">
        <w:rPr>
          <w:rFonts w:eastAsia="Calibri"/>
        </w:rPr>
        <w:t xml:space="preserve">[CD, </w:t>
      </w:r>
      <w:r w:rsidR="00D06C2C" w:rsidRPr="00C1603D">
        <w:rPr>
          <w:rFonts w:eastAsia="Calibri"/>
          <w:i/>
          <w:iCs/>
        </w:rPr>
        <w:t>n</w:t>
      </w:r>
      <w:r w:rsidR="00D06C2C" w:rsidRPr="00C1603D">
        <w:rPr>
          <w:rFonts w:eastAsia="Calibri"/>
        </w:rPr>
        <w:t> = </w:t>
      </w:r>
      <w:r w:rsidR="008B4DF8" w:rsidRPr="00C1603D">
        <w:rPr>
          <w:rFonts w:eastAsia="Calibri"/>
        </w:rPr>
        <w:t>17 (9.2%)</w:t>
      </w:r>
      <w:r w:rsidR="00D06C2C" w:rsidRPr="00C1603D">
        <w:rPr>
          <w:rFonts w:eastAsia="Calibri"/>
        </w:rPr>
        <w:t>;</w:t>
      </w:r>
      <w:r w:rsidR="008B4DF8" w:rsidRPr="00C1603D">
        <w:rPr>
          <w:rFonts w:eastAsia="Calibri"/>
        </w:rPr>
        <w:t xml:space="preserve"> </w:t>
      </w:r>
      <w:r w:rsidR="00D06C2C" w:rsidRPr="00C1603D">
        <w:rPr>
          <w:rFonts w:eastAsia="Calibri"/>
        </w:rPr>
        <w:t xml:space="preserve">no CD, </w:t>
      </w:r>
      <w:r w:rsidR="00D06C2C" w:rsidRPr="00C1603D">
        <w:rPr>
          <w:rFonts w:eastAsia="Calibri"/>
          <w:i/>
          <w:iCs/>
        </w:rPr>
        <w:t>n</w:t>
      </w:r>
      <w:r w:rsidR="00D06C2C" w:rsidRPr="00C1603D">
        <w:rPr>
          <w:rFonts w:eastAsia="Calibri"/>
        </w:rPr>
        <w:t> = </w:t>
      </w:r>
      <w:r w:rsidR="008B4DF8" w:rsidRPr="00C1603D">
        <w:rPr>
          <w:rFonts w:eastAsia="Calibri"/>
        </w:rPr>
        <w:t>9 (5.4%)</w:t>
      </w:r>
      <w:r w:rsidR="00D06C2C" w:rsidRPr="00C1603D">
        <w:rPr>
          <w:rFonts w:eastAsia="Calibri"/>
        </w:rPr>
        <w:t>]</w:t>
      </w:r>
      <w:r w:rsidR="008B4DF8" w:rsidRPr="00C1603D">
        <w:rPr>
          <w:rFonts w:eastAsia="Calibri"/>
        </w:rPr>
        <w:t xml:space="preserve"> </w:t>
      </w:r>
      <w:r w:rsidR="008B4DF8" w:rsidRPr="00C1603D">
        <w:t>(</w:t>
      </w:r>
      <w:r w:rsidR="00D06C2C" w:rsidRPr="00C1603D">
        <w:t xml:space="preserve">see </w:t>
      </w:r>
      <w:r w:rsidR="008B4DF8" w:rsidRPr="00C1603D">
        <w:rPr>
          <w:i/>
          <w:iCs/>
        </w:rPr>
        <w:t>Appendix 22</w:t>
      </w:r>
      <w:r w:rsidR="00D06C2C" w:rsidRPr="00C1603D">
        <w:rPr>
          <w:color w:val="auto"/>
        </w:rPr>
        <w:t>,</w:t>
      </w:r>
      <w:r w:rsidR="008B4DF8" w:rsidRPr="00C1603D">
        <w:rPr>
          <w:color w:val="auto"/>
        </w:rPr>
        <w:t xml:space="preserve"> </w:t>
      </w:r>
      <w:r w:rsidR="008B4DF8" w:rsidRPr="00C1603D">
        <w:rPr>
          <w:i/>
          <w:color w:val="auto"/>
        </w:rPr>
        <w:t xml:space="preserve">Table </w:t>
      </w:r>
      <w:r w:rsidR="008B4DF8" w:rsidRPr="00C1603D">
        <w:rPr>
          <w:i/>
          <w:noProof/>
          <w:color w:val="auto"/>
        </w:rPr>
        <w:t>60</w:t>
      </w:r>
      <w:r w:rsidR="008B4DF8" w:rsidRPr="00C1603D">
        <w:rPr>
          <w:color w:val="auto"/>
        </w:rPr>
        <w:t>).</w:t>
      </w:r>
    </w:p>
    <w:p w14:paraId="1D4375CF" w14:textId="5BAD5EA0" w:rsidR="008B4DF8" w:rsidRPr="00C1603D" w:rsidRDefault="00F4585F" w:rsidP="008B4DF8">
      <w:pPr>
        <w:pStyle w:val="54CheadHeadingsHeadingstyles"/>
        <w:rPr>
          <w:rFonts w:ascii="Calibri" w:eastAsia="Calibri" w:hAnsi="Calibri" w:cs="Calibri"/>
        </w:rPr>
      </w:pPr>
      <w:r w:rsidRPr="00C1603D">
        <w:rPr>
          <w:rFonts w:eastAsia="Calibri Light"/>
        </w:rPr>
        <w:t>Free-text</w:t>
      </w:r>
      <w:r w:rsidR="008B4DF8" w:rsidRPr="00C1603D">
        <w:rPr>
          <w:rFonts w:eastAsia="Calibri Light"/>
        </w:rPr>
        <w:t xml:space="preserve"> </w:t>
      </w:r>
      <w:r w:rsidR="00F8654D" w:rsidRPr="00C1603D">
        <w:rPr>
          <w:rFonts w:eastAsia="Calibri Light"/>
        </w:rPr>
        <w:t>a</w:t>
      </w:r>
      <w:r w:rsidR="008B4DF8" w:rsidRPr="00C1603D">
        <w:rPr>
          <w:rFonts w:eastAsia="Calibri Light"/>
        </w:rPr>
        <w:t>nalysis</w:t>
      </w:r>
    </w:p>
    <w:p w14:paraId="400B3C86" w14:textId="0C8E215A" w:rsidR="008B4DF8" w:rsidRPr="00C1603D" w:rsidRDefault="008B4DF8" w:rsidP="008B4DF8">
      <w:pPr>
        <w:pStyle w:val="602TextfoTextstylesTextstyles"/>
        <w:rPr>
          <w:rFonts w:eastAsia="Calibri"/>
        </w:rPr>
      </w:pPr>
      <w:r w:rsidRPr="00C1603D">
        <w:rPr>
          <w:rFonts w:eastAsia="Calibri"/>
        </w:rPr>
        <w:t xml:space="preserve">Four key themes and </w:t>
      </w:r>
      <w:proofErr w:type="gramStart"/>
      <w:r w:rsidRPr="00C1603D">
        <w:rPr>
          <w:rFonts w:eastAsia="Calibri"/>
        </w:rPr>
        <w:t>29</w:t>
      </w:r>
      <w:proofErr w:type="gramEnd"/>
      <w:r w:rsidRPr="00C1603D">
        <w:rPr>
          <w:rFonts w:eastAsia="Calibri"/>
        </w:rPr>
        <w:t xml:space="preserve"> subthemes were identified in the explanations respondents gave</w:t>
      </w:r>
      <w:r w:rsidR="009F093B" w:rsidRPr="00C1603D">
        <w:rPr>
          <w:rFonts w:eastAsia="Calibri"/>
        </w:rPr>
        <w:t>. The four key themes were</w:t>
      </w:r>
      <w:r w:rsidRPr="00C1603D">
        <w:rPr>
          <w:rFonts w:eastAsia="Calibri"/>
        </w:rPr>
        <w:t xml:space="preserve"> </w:t>
      </w:r>
      <w:proofErr w:type="gramStart"/>
      <w:r w:rsidRPr="00C1603D">
        <w:rPr>
          <w:rFonts w:eastAsia="Calibri"/>
        </w:rPr>
        <w:t>factors</w:t>
      </w:r>
      <w:proofErr w:type="gramEnd"/>
      <w:r w:rsidRPr="00C1603D">
        <w:rPr>
          <w:rFonts w:eastAsia="Calibri"/>
        </w:rPr>
        <w:t xml:space="preserve"> that prompt CD diagnosis, the diagnostic process, how to respond to a </w:t>
      </w:r>
      <w:r w:rsidRPr="00C1603D">
        <w:rPr>
          <w:rFonts w:eastAsia="Calibri"/>
        </w:rPr>
        <w:lastRenderedPageBreak/>
        <w:t xml:space="preserve">negative test result and opinions on the gluten-free diet </w:t>
      </w:r>
      <w:r w:rsidRPr="00C1603D">
        <w:t>(</w:t>
      </w:r>
      <w:r w:rsidR="00436A1C" w:rsidRPr="00C1603D">
        <w:t xml:space="preserve">see </w:t>
      </w:r>
      <w:r w:rsidRPr="00C1603D">
        <w:rPr>
          <w:i/>
          <w:iCs/>
        </w:rPr>
        <w:t>Appendix 23</w:t>
      </w:r>
      <w:r w:rsidR="00436A1C" w:rsidRPr="00C1603D">
        <w:rPr>
          <w:color w:val="auto"/>
        </w:rPr>
        <w:t>,</w:t>
      </w:r>
      <w:r w:rsidRPr="00C1603D">
        <w:rPr>
          <w:color w:val="auto"/>
        </w:rPr>
        <w:t xml:space="preserve"> </w:t>
      </w:r>
      <w:r w:rsidRPr="00C1603D">
        <w:rPr>
          <w:i/>
          <w:color w:val="auto"/>
        </w:rPr>
        <w:t xml:space="preserve">Table </w:t>
      </w:r>
      <w:r w:rsidRPr="00C1603D">
        <w:rPr>
          <w:i/>
          <w:noProof/>
          <w:color w:val="auto"/>
        </w:rPr>
        <w:t>61</w:t>
      </w:r>
      <w:r w:rsidRPr="00C1603D">
        <w:rPr>
          <w:color w:val="auto"/>
        </w:rPr>
        <w:t>).</w:t>
      </w:r>
      <w:r w:rsidRPr="00C1603D">
        <w:rPr>
          <w:rFonts w:eastAsia="Calibri"/>
          <w:color w:val="auto"/>
        </w:rPr>
        <w:t xml:space="preserve"> T</w:t>
      </w:r>
      <w:r w:rsidRPr="00C1603D">
        <w:rPr>
          <w:rFonts w:eastAsia="Calibri"/>
        </w:rPr>
        <w:t>hemes raised by adults and children were similar.</w:t>
      </w:r>
    </w:p>
    <w:p w14:paraId="0A1DAE9C" w14:textId="7237612B" w:rsidR="008B4DF8" w:rsidRPr="00C1603D" w:rsidRDefault="008B4DF8" w:rsidP="008B4DF8">
      <w:pPr>
        <w:pStyle w:val="54CheadHeadingsHeadingstyles"/>
      </w:pPr>
      <w:r w:rsidRPr="00C1603D">
        <w:t xml:space="preserve">Factors that prompt </w:t>
      </w:r>
      <w:r w:rsidR="00436A1C" w:rsidRPr="00C1603D">
        <w:t>coeliac disease</w:t>
      </w:r>
      <w:r w:rsidRPr="00C1603D">
        <w:t xml:space="preserve"> diagnosis</w:t>
      </w:r>
    </w:p>
    <w:p w14:paraId="2FC0468D" w14:textId="77777777" w:rsidR="008B4DF8" w:rsidRPr="00C1603D" w:rsidRDefault="008B4DF8" w:rsidP="008B4DF8">
      <w:pPr>
        <w:pStyle w:val="602TextfoTextstylesTextstyles"/>
        <w:rPr>
          <w:rFonts w:eastAsia="Calibri"/>
        </w:rPr>
      </w:pPr>
      <w:r w:rsidRPr="00C1603D">
        <w:rPr>
          <w:rFonts w:eastAsia="Calibri"/>
        </w:rPr>
        <w:t>The most frequently mentioned prompt for seeking CD diagnosis was being diagnosed with osteoporosis, with 44 (9.4%) respondents remarking that this would be a worrying development:</w:t>
      </w:r>
    </w:p>
    <w:p w14:paraId="7E5F6BAE" w14:textId="04AA8320" w:rsidR="008B4DF8" w:rsidRPr="00C1603D" w:rsidRDefault="008B4DF8" w:rsidP="008B4DF8">
      <w:pPr>
        <w:pStyle w:val="644TextquoteTextstylesTextstyles"/>
        <w:rPr>
          <w:rFonts w:eastAsia="Calibri"/>
        </w:rPr>
      </w:pPr>
      <w:r w:rsidRPr="00C1603D">
        <w:rPr>
          <w:rFonts w:eastAsia="Calibri"/>
        </w:rPr>
        <w:t>If a young man gets an old woman</w:t>
      </w:r>
      <w:r w:rsidRPr="00C1603D">
        <w:rPr>
          <w:rFonts w:eastAsia="Calibri"/>
          <w:color w:val="00B0F0"/>
        </w:rPr>
        <w:t>’</w:t>
      </w:r>
      <w:r w:rsidRPr="00C1603D">
        <w:rPr>
          <w:rFonts w:eastAsia="Calibri"/>
        </w:rPr>
        <w:t xml:space="preserve">s disease </w:t>
      </w:r>
      <w:proofErr w:type="gramStart"/>
      <w:r w:rsidRPr="00C1603D">
        <w:rPr>
          <w:rFonts w:eastAsia="Calibri"/>
        </w:rPr>
        <w:t>they</w:t>
      </w:r>
      <w:r w:rsidRPr="00C1603D">
        <w:rPr>
          <w:rFonts w:eastAsia="Calibri"/>
          <w:color w:val="00B0F0"/>
        </w:rPr>
        <w:t>’</w:t>
      </w:r>
      <w:r w:rsidRPr="00C1603D">
        <w:rPr>
          <w:rFonts w:eastAsia="Calibri"/>
        </w:rPr>
        <w:t>d</w:t>
      </w:r>
      <w:proofErr w:type="gramEnd"/>
      <w:r w:rsidRPr="00C1603D">
        <w:rPr>
          <w:rFonts w:eastAsia="Calibri"/>
        </w:rPr>
        <w:t xml:space="preserve"> be clutching at lots of straws to try and figure it out</w:t>
      </w:r>
      <w:r w:rsidR="00436A1C" w:rsidRPr="00C1603D">
        <w:rPr>
          <w:rFonts w:eastAsia="Calibri"/>
        </w:rPr>
        <w:t>.</w:t>
      </w:r>
    </w:p>
    <w:p w14:paraId="2DB2F7F6" w14:textId="22488A9E" w:rsidR="008B4DF8" w:rsidRPr="00C1603D" w:rsidRDefault="00436A1C" w:rsidP="008B4DF8">
      <w:pPr>
        <w:pStyle w:val="602TextfoTextstylesTextstyles"/>
        <w:rPr>
          <w:rFonts w:eastAsia="Calibri"/>
        </w:rPr>
      </w:pPr>
      <w:r w:rsidRPr="00C1603D">
        <w:rPr>
          <w:rFonts w:eastAsia="Calibri"/>
        </w:rPr>
        <w:t>Thirty-seven</w:t>
      </w:r>
      <w:r w:rsidR="008B4DF8" w:rsidRPr="00C1603D">
        <w:rPr>
          <w:rFonts w:eastAsia="Calibri"/>
        </w:rPr>
        <w:t xml:space="preserve"> (7.9%) respondents stated throughout the scenarios that the (more general) future risks of CD would prompt seeking or continuing testing for diagnosis. </w:t>
      </w:r>
      <w:r w:rsidRPr="00C1603D">
        <w:rPr>
          <w:rFonts w:eastAsia="Calibri"/>
        </w:rPr>
        <w:t xml:space="preserve">A total of </w:t>
      </w:r>
      <w:r w:rsidR="008B4DF8" w:rsidRPr="00C1603D">
        <w:rPr>
          <w:rFonts w:eastAsia="Calibri"/>
        </w:rPr>
        <w:t>59 (12.6%)</w:t>
      </w:r>
      <w:r w:rsidRPr="00C1603D">
        <w:rPr>
          <w:rFonts w:eastAsia="Calibri"/>
        </w:rPr>
        <w:t xml:space="preserve"> respondents</w:t>
      </w:r>
      <w:r w:rsidR="008B4DF8" w:rsidRPr="00C1603D">
        <w:rPr>
          <w:rFonts w:eastAsia="Calibri"/>
        </w:rPr>
        <w:t xml:space="preserve"> said they would look into CD diagnosis immediately and rule it out early if it was suggested to them by their doctor. For 29 (6.2%) respondents, symptoms would decide whether </w:t>
      </w:r>
      <w:r w:rsidRPr="00C1603D">
        <w:rPr>
          <w:rFonts w:eastAsia="Calibri"/>
        </w:rPr>
        <w:t xml:space="preserve">or not </w:t>
      </w:r>
      <w:r w:rsidR="008B4DF8" w:rsidRPr="00C1603D">
        <w:rPr>
          <w:rFonts w:eastAsia="Calibri"/>
        </w:rPr>
        <w:t xml:space="preserve">they looked into getting or continuing a diagnosis. </w:t>
      </w:r>
      <w:r w:rsidRPr="00C1603D">
        <w:rPr>
          <w:rFonts w:eastAsia="Calibri"/>
        </w:rPr>
        <w:t>Twenty-four</w:t>
      </w:r>
      <w:r w:rsidR="008B4DF8" w:rsidRPr="00C1603D">
        <w:rPr>
          <w:rFonts w:eastAsia="Calibri"/>
        </w:rPr>
        <w:t xml:space="preserve"> (5.1%) respondents said that family has affected them considering a CD diagnosis for themselves.</w:t>
      </w:r>
    </w:p>
    <w:p w14:paraId="45DF54AF" w14:textId="7690B7F7" w:rsidR="008B4DF8" w:rsidRPr="00C1603D" w:rsidRDefault="00436A1C" w:rsidP="008B4DF8">
      <w:pPr>
        <w:pStyle w:val="602TextfoTextstylesTextstyles"/>
        <w:rPr>
          <w:rFonts w:eastAsia="Calibri"/>
        </w:rPr>
      </w:pPr>
      <w:r w:rsidRPr="00C1603D">
        <w:rPr>
          <w:rFonts w:eastAsia="Calibri"/>
        </w:rPr>
        <w:t xml:space="preserve">A total of </w:t>
      </w:r>
      <w:r w:rsidR="008B4DF8" w:rsidRPr="00C1603D">
        <w:rPr>
          <w:rFonts w:eastAsia="Calibri"/>
        </w:rPr>
        <w:t xml:space="preserve">49 (10.5%) </w:t>
      </w:r>
      <w:r w:rsidRPr="00C1603D">
        <w:rPr>
          <w:rFonts w:eastAsia="Calibri"/>
        </w:rPr>
        <w:t xml:space="preserve">respondents </w:t>
      </w:r>
      <w:r w:rsidR="008B4DF8" w:rsidRPr="00C1603D">
        <w:rPr>
          <w:rFonts w:eastAsia="Calibri"/>
        </w:rPr>
        <w:t>said that having an official diagnosis is important to them, stating that there are benefits to having an official record:</w:t>
      </w:r>
    </w:p>
    <w:p w14:paraId="23C09FE2" w14:textId="76AC5819" w:rsidR="008B4DF8" w:rsidRPr="00C1603D" w:rsidRDefault="008B4DF8" w:rsidP="008B4DF8">
      <w:pPr>
        <w:pStyle w:val="644TextquoteTextstylesTextstyles"/>
        <w:rPr>
          <w:rFonts w:eastAsia="Calibri"/>
        </w:rPr>
      </w:pPr>
      <w:r w:rsidRPr="00C1603D">
        <w:rPr>
          <w:rFonts w:eastAsia="Calibri"/>
        </w:rPr>
        <w:t xml:space="preserve">If I have it, I want the diagnosis on my medical records so that I can be allowed </w:t>
      </w:r>
      <w:r w:rsidR="00B90CFE" w:rsidRPr="00C1603D">
        <w:rPr>
          <w:rFonts w:eastAsia="Calibri"/>
        </w:rPr>
        <w:t xml:space="preserve">DEXA [dual-energy X-ray absorptiometry] </w:t>
      </w:r>
      <w:r w:rsidRPr="00C1603D">
        <w:rPr>
          <w:rFonts w:eastAsia="Calibri"/>
        </w:rPr>
        <w:t xml:space="preserve">scans and flu jabs recommended for people with </w:t>
      </w:r>
      <w:r w:rsidR="00436A1C" w:rsidRPr="00C1603D">
        <w:rPr>
          <w:rFonts w:eastAsia="Calibri"/>
        </w:rPr>
        <w:t>c</w:t>
      </w:r>
      <w:r w:rsidRPr="00C1603D">
        <w:rPr>
          <w:rFonts w:eastAsia="Calibri"/>
        </w:rPr>
        <w:t>oeliac disease.</w:t>
      </w:r>
    </w:p>
    <w:p w14:paraId="2FC26091" w14:textId="43870FE4" w:rsidR="008B4DF8" w:rsidRPr="00C1603D" w:rsidRDefault="008B4DF8" w:rsidP="008B4DF8">
      <w:pPr>
        <w:pStyle w:val="602TextfoTextstylesTextstyles"/>
        <w:rPr>
          <w:rFonts w:eastAsia="Calibri"/>
        </w:rPr>
      </w:pPr>
      <w:r w:rsidRPr="00C1603D">
        <w:rPr>
          <w:rFonts w:eastAsia="Calibri"/>
        </w:rPr>
        <w:t xml:space="preserve">In contrast, only </w:t>
      </w:r>
      <w:r w:rsidR="00B90CFE" w:rsidRPr="00C1603D">
        <w:rPr>
          <w:rFonts w:eastAsia="Calibri"/>
        </w:rPr>
        <w:t>four</w:t>
      </w:r>
      <w:r w:rsidRPr="00C1603D">
        <w:rPr>
          <w:rFonts w:eastAsia="Calibri"/>
        </w:rPr>
        <w:t xml:space="preserve"> (0.9%) respondents said that they felt</w:t>
      </w:r>
      <w:r w:rsidR="00B90CFE" w:rsidRPr="00C1603D">
        <w:rPr>
          <w:rFonts w:eastAsia="Calibri"/>
        </w:rPr>
        <w:t xml:space="preserve"> that</w:t>
      </w:r>
      <w:r w:rsidRPr="00C1603D">
        <w:rPr>
          <w:rFonts w:eastAsia="Calibri"/>
        </w:rPr>
        <w:t xml:space="preserve"> there is no point to an official diagnosis:</w:t>
      </w:r>
    </w:p>
    <w:p w14:paraId="4EFF6EBF" w14:textId="79937A97" w:rsidR="008B4DF8" w:rsidRPr="00C1603D" w:rsidRDefault="008B4DF8" w:rsidP="008B4DF8">
      <w:pPr>
        <w:pStyle w:val="644TextquoteTextstylesTextstyles"/>
        <w:rPr>
          <w:rFonts w:eastAsia="Calibri"/>
        </w:rPr>
      </w:pPr>
      <w:r w:rsidRPr="00C1603D">
        <w:rPr>
          <w:rFonts w:eastAsia="Calibri"/>
        </w:rPr>
        <w:t xml:space="preserve">As the </w:t>
      </w:r>
      <w:r w:rsidRPr="00C1603D">
        <w:rPr>
          <w:rFonts w:eastAsia="Calibri"/>
          <w:color w:val="00B0F0"/>
        </w:rPr>
        <w:t>‘</w:t>
      </w:r>
      <w:r w:rsidRPr="00C1603D">
        <w:rPr>
          <w:rFonts w:eastAsia="Calibri"/>
        </w:rPr>
        <w:t>benefit of having a diagnosis</w:t>
      </w:r>
      <w:r w:rsidRPr="00C1603D">
        <w:rPr>
          <w:rFonts w:eastAsia="Calibri"/>
          <w:color w:val="00B0F0"/>
        </w:rPr>
        <w:t>’</w:t>
      </w:r>
      <w:r w:rsidRPr="00C1603D">
        <w:rPr>
          <w:rFonts w:eastAsia="Calibri"/>
        </w:rPr>
        <w:t xml:space="preserve"> is irrelevant as </w:t>
      </w:r>
      <w:r w:rsidR="0087034D" w:rsidRPr="00C1603D">
        <w:rPr>
          <w:rFonts w:eastAsia="Calibri"/>
        </w:rPr>
        <w:t>gluten-free</w:t>
      </w:r>
      <w:r w:rsidRPr="00C1603D">
        <w:rPr>
          <w:rFonts w:eastAsia="Calibri"/>
        </w:rPr>
        <w:t xml:space="preserve"> prescriptions </w:t>
      </w:r>
      <w:proofErr w:type="gramStart"/>
      <w:r w:rsidRPr="00C1603D">
        <w:rPr>
          <w:rFonts w:eastAsia="Calibri"/>
        </w:rPr>
        <w:t>aren</w:t>
      </w:r>
      <w:r w:rsidRPr="00C1603D">
        <w:rPr>
          <w:rFonts w:eastAsia="Calibri"/>
          <w:color w:val="00B0F0"/>
        </w:rPr>
        <w:t>’</w:t>
      </w:r>
      <w:r w:rsidRPr="00C1603D">
        <w:rPr>
          <w:rFonts w:eastAsia="Calibri"/>
        </w:rPr>
        <w:t>t</w:t>
      </w:r>
      <w:proofErr w:type="gramEnd"/>
      <w:r w:rsidRPr="00C1603D">
        <w:rPr>
          <w:rFonts w:eastAsia="Calibri"/>
        </w:rPr>
        <w:t xml:space="preserve"> allowed anymore and little no support or understanding from professionals.</w:t>
      </w:r>
    </w:p>
    <w:p w14:paraId="38486795" w14:textId="26F26844" w:rsidR="008B4DF8" w:rsidRPr="00C1603D" w:rsidRDefault="008B4DF8" w:rsidP="008B4DF8">
      <w:pPr>
        <w:pStyle w:val="54CheadHeadingsHeadingstyles"/>
      </w:pPr>
      <w:r w:rsidRPr="00C1603D">
        <w:t xml:space="preserve">The </w:t>
      </w:r>
      <w:r w:rsidR="00B90CFE" w:rsidRPr="00C1603D">
        <w:t>diagnostic process</w:t>
      </w:r>
    </w:p>
    <w:p w14:paraId="4CBAA2EF" w14:textId="1CD9126E" w:rsidR="008B4DF8" w:rsidRPr="00C1603D" w:rsidRDefault="00B90CFE" w:rsidP="008B4DF8">
      <w:pPr>
        <w:pStyle w:val="602TextfoTextstylesTextstyles"/>
        <w:rPr>
          <w:rFonts w:eastAsia="Calibri"/>
        </w:rPr>
      </w:pPr>
      <w:r w:rsidRPr="00C1603D">
        <w:rPr>
          <w:rFonts w:eastAsia="Calibri"/>
        </w:rPr>
        <w:t xml:space="preserve">A total of </w:t>
      </w:r>
      <w:r w:rsidR="008B4DF8" w:rsidRPr="00C1603D">
        <w:rPr>
          <w:rFonts w:eastAsia="Calibri"/>
        </w:rPr>
        <w:t>184 (39.3%) respondents mentioned that they wanted or were happy to have a blood test for CD, as it is not invasive and is seen as easy to have</w:t>
      </w:r>
      <w:r w:rsidRPr="00C1603D">
        <w:rPr>
          <w:rFonts w:eastAsia="Calibri"/>
        </w:rPr>
        <w:t>:</w:t>
      </w:r>
    </w:p>
    <w:p w14:paraId="2F098291" w14:textId="1BD1E310" w:rsidR="008B4DF8" w:rsidRPr="00C1603D" w:rsidRDefault="008B4DF8" w:rsidP="008B4DF8">
      <w:pPr>
        <w:pStyle w:val="644TextquoteTextstylesTextstyles"/>
        <w:rPr>
          <w:rFonts w:eastAsia="Calibri"/>
        </w:rPr>
      </w:pPr>
      <w:r w:rsidRPr="00C1603D">
        <w:rPr>
          <w:rFonts w:eastAsia="Calibri"/>
        </w:rPr>
        <w:t>It is easy and quick to get a blood test done which would give a much clearer idea of the situation.</w:t>
      </w:r>
    </w:p>
    <w:p w14:paraId="1AE2C30E" w14:textId="38902524" w:rsidR="008B4DF8" w:rsidRPr="00C1603D" w:rsidRDefault="008B4DF8" w:rsidP="008B4DF8">
      <w:pPr>
        <w:pStyle w:val="602TextfoTextstylesTextstyles"/>
        <w:rPr>
          <w:rFonts w:eastAsia="Calibri"/>
        </w:rPr>
      </w:pPr>
      <w:r w:rsidRPr="00C1603D">
        <w:rPr>
          <w:rFonts w:eastAsia="Calibri"/>
        </w:rPr>
        <w:t xml:space="preserve">As for opinion on biopsies, 116 (24.8%) </w:t>
      </w:r>
      <w:r w:rsidR="00B90CFE" w:rsidRPr="00C1603D">
        <w:rPr>
          <w:rFonts w:eastAsia="Calibri"/>
        </w:rPr>
        <w:t xml:space="preserve">respondents </w:t>
      </w:r>
      <w:r w:rsidRPr="00C1603D">
        <w:rPr>
          <w:rFonts w:eastAsia="Calibri"/>
        </w:rPr>
        <w:t xml:space="preserve">said they feel </w:t>
      </w:r>
      <w:r w:rsidR="00B90CFE" w:rsidRPr="00C1603D">
        <w:rPr>
          <w:rFonts w:eastAsia="Calibri"/>
        </w:rPr>
        <w:t>that</w:t>
      </w:r>
      <w:r w:rsidRPr="00C1603D">
        <w:rPr>
          <w:rFonts w:eastAsia="Calibri"/>
        </w:rPr>
        <w:t xml:space="preserve"> a biopsy is necessary for confidence in their diagnosis, whereas 27 (5.8%) feel </w:t>
      </w:r>
      <w:r w:rsidR="00B90CFE" w:rsidRPr="00C1603D">
        <w:rPr>
          <w:rFonts w:eastAsia="Calibri"/>
        </w:rPr>
        <w:t xml:space="preserve">that </w:t>
      </w:r>
      <w:r w:rsidRPr="00C1603D">
        <w:rPr>
          <w:rFonts w:eastAsia="Calibri"/>
        </w:rPr>
        <w:t xml:space="preserve">biopsy is invasive or unpleasant and would want to avoid it. The majority of those </w:t>
      </w:r>
      <w:r w:rsidR="00B90CFE" w:rsidRPr="00C1603D">
        <w:rPr>
          <w:rFonts w:eastAsia="Calibri"/>
        </w:rPr>
        <w:t>who</w:t>
      </w:r>
      <w:r w:rsidRPr="00C1603D">
        <w:rPr>
          <w:rFonts w:eastAsia="Calibri"/>
        </w:rPr>
        <w:t xml:space="preserve"> believe</w:t>
      </w:r>
      <w:r w:rsidR="00B90CFE" w:rsidRPr="00C1603D">
        <w:rPr>
          <w:rFonts w:eastAsia="Calibri"/>
        </w:rPr>
        <w:t xml:space="preserve"> that</w:t>
      </w:r>
      <w:r w:rsidRPr="00C1603D">
        <w:rPr>
          <w:rFonts w:eastAsia="Calibri"/>
        </w:rPr>
        <w:t xml:space="preserve"> a biopsy is necessary for certainty of their diagnosis are those with CD </w:t>
      </w:r>
      <w:r w:rsidR="00B90CFE" w:rsidRPr="00C1603D">
        <w:rPr>
          <w:rFonts w:eastAsia="Calibri"/>
        </w:rPr>
        <w:t xml:space="preserve">[CD, </w:t>
      </w:r>
      <w:r w:rsidR="00B90CFE" w:rsidRPr="00C1603D">
        <w:rPr>
          <w:rFonts w:eastAsia="Calibri"/>
          <w:i/>
          <w:iCs/>
        </w:rPr>
        <w:t>n</w:t>
      </w:r>
      <w:r w:rsidR="00B90CFE" w:rsidRPr="00C1603D">
        <w:rPr>
          <w:rFonts w:eastAsia="Calibri"/>
        </w:rPr>
        <w:t> = </w:t>
      </w:r>
      <w:r w:rsidRPr="00C1603D">
        <w:rPr>
          <w:rFonts w:eastAsia="Calibri"/>
        </w:rPr>
        <w:t>77 (31.63%)</w:t>
      </w:r>
      <w:r w:rsidR="00B90CFE" w:rsidRPr="00C1603D">
        <w:rPr>
          <w:rFonts w:eastAsia="Calibri"/>
        </w:rPr>
        <w:t>; no CD,</w:t>
      </w:r>
      <w:r w:rsidRPr="00C1603D">
        <w:rPr>
          <w:rFonts w:eastAsia="Calibri"/>
        </w:rPr>
        <w:t xml:space="preserve"> </w:t>
      </w:r>
      <w:r w:rsidR="00B90CFE" w:rsidRPr="00C1603D">
        <w:rPr>
          <w:rFonts w:eastAsia="Calibri"/>
          <w:i/>
          <w:iCs/>
        </w:rPr>
        <w:t>n</w:t>
      </w:r>
      <w:r w:rsidR="00B90CFE" w:rsidRPr="00C1603D">
        <w:rPr>
          <w:rFonts w:eastAsia="Calibri"/>
        </w:rPr>
        <w:t> = </w:t>
      </w:r>
      <w:r w:rsidRPr="00C1603D">
        <w:rPr>
          <w:rFonts w:eastAsia="Calibri"/>
        </w:rPr>
        <w:t>39 (17.5%)</w:t>
      </w:r>
      <w:r w:rsidR="00B90CFE" w:rsidRPr="00C1603D">
        <w:rPr>
          <w:rFonts w:eastAsia="Calibri"/>
        </w:rPr>
        <w:t>]</w:t>
      </w:r>
      <w:r w:rsidRPr="00C1603D">
        <w:rPr>
          <w:rFonts w:eastAsia="Calibri"/>
        </w:rPr>
        <w:t xml:space="preserve">. </w:t>
      </w:r>
      <w:r w:rsidR="00B90CFE" w:rsidRPr="00C1603D">
        <w:rPr>
          <w:rFonts w:eastAsia="Calibri"/>
        </w:rPr>
        <w:t>Forty-one</w:t>
      </w:r>
      <w:r w:rsidRPr="00C1603D">
        <w:rPr>
          <w:rFonts w:eastAsia="Calibri"/>
        </w:rPr>
        <w:t xml:space="preserve"> (8.8%) </w:t>
      </w:r>
      <w:r w:rsidR="00B90CFE" w:rsidRPr="00C1603D">
        <w:rPr>
          <w:rFonts w:eastAsia="Calibri"/>
        </w:rPr>
        <w:t xml:space="preserve">respondents </w:t>
      </w:r>
      <w:r w:rsidRPr="00C1603D">
        <w:rPr>
          <w:rFonts w:eastAsia="Calibri"/>
        </w:rPr>
        <w:t xml:space="preserve">said they would continue a gluten diet for biopsy regardless of </w:t>
      </w:r>
      <w:r w:rsidR="00B90CFE" w:rsidRPr="00C1603D">
        <w:rPr>
          <w:rFonts w:eastAsia="Calibri"/>
        </w:rPr>
        <w:t>whether or not</w:t>
      </w:r>
      <w:r w:rsidRPr="00C1603D">
        <w:rPr>
          <w:rFonts w:eastAsia="Calibri"/>
        </w:rPr>
        <w:t xml:space="preserve"> they had symptoms. </w:t>
      </w:r>
      <w:commentRangeStart w:id="344"/>
      <w:commentRangeStart w:id="345"/>
      <w:r w:rsidR="00950E90" w:rsidRPr="00C1603D">
        <w:rPr>
          <w:rFonts w:eastAsia="Calibri"/>
        </w:rPr>
        <w:t xml:space="preserve">A total of </w:t>
      </w:r>
      <w:r w:rsidRPr="00C1603D">
        <w:rPr>
          <w:rFonts w:eastAsia="Calibri"/>
        </w:rPr>
        <w:t xml:space="preserve">76 (16.2%) </w:t>
      </w:r>
      <w:r w:rsidR="00950E90" w:rsidRPr="00C1603D">
        <w:rPr>
          <w:rFonts w:eastAsia="Calibri"/>
        </w:rPr>
        <w:t xml:space="preserve">respondents </w:t>
      </w:r>
      <w:r w:rsidR="004C38DF" w:rsidRPr="00C1603D">
        <w:rPr>
          <w:rFonts w:eastAsia="Calibri"/>
        </w:rPr>
        <w:t>mentioned</w:t>
      </w:r>
      <w:r w:rsidRPr="00C1603D">
        <w:rPr>
          <w:rFonts w:eastAsia="Calibri"/>
        </w:rPr>
        <w:t xml:space="preserve"> that</w:t>
      </w:r>
      <w:r w:rsidR="00950E90" w:rsidRPr="00C1603D">
        <w:rPr>
          <w:rFonts w:eastAsia="Calibri"/>
        </w:rPr>
        <w:t>,</w:t>
      </w:r>
      <w:r w:rsidRPr="00C1603D">
        <w:rPr>
          <w:rFonts w:eastAsia="Calibri"/>
        </w:rPr>
        <w:t xml:space="preserve"> when having no symptoms, a biopsy was more </w:t>
      </w:r>
      <w:r w:rsidR="004C38DF" w:rsidRPr="00C1603D">
        <w:rPr>
          <w:rFonts w:eastAsia="Calibri"/>
        </w:rPr>
        <w:t>important</w:t>
      </w:r>
      <w:r w:rsidRPr="00C1603D">
        <w:rPr>
          <w:rFonts w:eastAsia="Calibri"/>
        </w:rPr>
        <w:t xml:space="preserve"> for confidence in diagnosis </w:t>
      </w:r>
      <w:r w:rsidR="004C38DF" w:rsidRPr="00C1603D">
        <w:rPr>
          <w:rFonts w:eastAsia="Calibri"/>
        </w:rPr>
        <w:t>and they were more willing to continue a gluten-containing diet during the waiting time for a biopsy appointment</w:t>
      </w:r>
      <w:r w:rsidRPr="00C1603D">
        <w:rPr>
          <w:rFonts w:eastAsia="Calibri"/>
        </w:rPr>
        <w:t>.</w:t>
      </w:r>
      <w:commentRangeEnd w:id="344"/>
      <w:r w:rsidR="00950E90" w:rsidRPr="00C1603D">
        <w:commentReference w:id="344"/>
      </w:r>
      <w:commentRangeEnd w:id="345"/>
      <w:r w:rsidRPr="00C1603D">
        <w:commentReference w:id="345"/>
      </w:r>
    </w:p>
    <w:p w14:paraId="0861A36A" w14:textId="117C8017" w:rsidR="008B4DF8" w:rsidRPr="00C1603D" w:rsidRDefault="00950E90" w:rsidP="008B4DF8">
      <w:pPr>
        <w:pStyle w:val="602TextfoTextstylesTextstyles"/>
        <w:rPr>
          <w:rFonts w:eastAsia="Calibri"/>
        </w:rPr>
      </w:pPr>
      <w:r w:rsidRPr="00C1603D">
        <w:rPr>
          <w:rFonts w:eastAsia="Calibri"/>
        </w:rPr>
        <w:t>Twenty-eight</w:t>
      </w:r>
      <w:r w:rsidR="008B4DF8" w:rsidRPr="00C1603D">
        <w:rPr>
          <w:rFonts w:eastAsia="Calibri"/>
        </w:rPr>
        <w:t xml:space="preserve"> (6.0%) </w:t>
      </w:r>
      <w:r w:rsidRPr="00C1603D">
        <w:rPr>
          <w:rFonts w:eastAsia="Calibri"/>
        </w:rPr>
        <w:t xml:space="preserve">respondents </w:t>
      </w:r>
      <w:r w:rsidR="008B4DF8" w:rsidRPr="00C1603D">
        <w:rPr>
          <w:rFonts w:eastAsia="Calibri"/>
        </w:rPr>
        <w:t>stated that 6</w:t>
      </w:r>
      <w:r w:rsidR="008B4DF8" w:rsidRPr="00C1603D">
        <w:rPr>
          <w:rFonts w:eastAsia="Calibri"/>
          <w:color w:val="00B0F0"/>
        </w:rPr>
        <w:t>–8</w:t>
      </w:r>
      <w:r w:rsidR="008B4DF8" w:rsidRPr="00C1603D">
        <w:rPr>
          <w:rFonts w:eastAsia="Calibri"/>
        </w:rPr>
        <w:t xml:space="preserve"> weeks is an acceptable wait time for a biopsy</w:t>
      </w:r>
      <w:r w:rsidRPr="00C1603D">
        <w:rPr>
          <w:rFonts w:eastAsia="Calibri"/>
        </w:rPr>
        <w:t>,</w:t>
      </w:r>
      <w:r w:rsidR="008B4DF8" w:rsidRPr="00C1603D">
        <w:rPr>
          <w:rFonts w:eastAsia="Calibri"/>
        </w:rPr>
        <w:t xml:space="preserve"> compared </w:t>
      </w:r>
      <w:r w:rsidRPr="00C1603D">
        <w:rPr>
          <w:rFonts w:eastAsia="Calibri"/>
        </w:rPr>
        <w:t>with</w:t>
      </w:r>
      <w:r w:rsidR="008B4DF8" w:rsidRPr="00C1603D">
        <w:rPr>
          <w:rFonts w:eastAsia="Calibri"/>
        </w:rPr>
        <w:t xml:space="preserve"> 13 (2.8%) who stated that the wait time was unacceptable, and 76 (16.2%) </w:t>
      </w:r>
      <w:r w:rsidRPr="00C1603D">
        <w:rPr>
          <w:rFonts w:eastAsia="Calibri"/>
        </w:rPr>
        <w:t xml:space="preserve">respondents </w:t>
      </w:r>
      <w:r w:rsidR="008B4DF8" w:rsidRPr="00C1603D">
        <w:rPr>
          <w:rFonts w:eastAsia="Calibri"/>
        </w:rPr>
        <w:t>expressed that</w:t>
      </w:r>
      <w:r w:rsidRPr="00C1603D">
        <w:rPr>
          <w:rFonts w:eastAsia="Calibri"/>
        </w:rPr>
        <w:t>,</w:t>
      </w:r>
      <w:r w:rsidR="008B4DF8" w:rsidRPr="00C1603D">
        <w:rPr>
          <w:rFonts w:eastAsia="Calibri"/>
        </w:rPr>
        <w:t xml:space="preserve"> if the blood test show</w:t>
      </w:r>
      <w:r w:rsidRPr="00C1603D">
        <w:rPr>
          <w:rFonts w:eastAsia="Calibri"/>
        </w:rPr>
        <w:t>ed</w:t>
      </w:r>
      <w:r w:rsidR="008B4DF8" w:rsidRPr="00C1603D">
        <w:rPr>
          <w:rFonts w:eastAsia="Calibri"/>
        </w:rPr>
        <w:t xml:space="preserve"> a </w:t>
      </w:r>
      <w:r w:rsidRPr="00C1603D">
        <w:rPr>
          <w:rFonts w:eastAsia="Calibri"/>
        </w:rPr>
        <w:t>&gt; </w:t>
      </w:r>
      <w:r w:rsidR="008B4DF8" w:rsidRPr="00C1603D">
        <w:rPr>
          <w:rFonts w:eastAsia="Calibri"/>
        </w:rPr>
        <w:t>50% chance of having CD, they would start a gluten-free diet without waiting for a biopsy</w:t>
      </w:r>
      <w:r w:rsidRPr="00C1603D">
        <w:rPr>
          <w:rFonts w:eastAsia="Calibri"/>
        </w:rPr>
        <w:t>:</w:t>
      </w:r>
    </w:p>
    <w:p w14:paraId="24C6DD3F" w14:textId="57C8CBC0" w:rsidR="008B4DF8" w:rsidRPr="00C1603D" w:rsidRDefault="008B4DF8" w:rsidP="008B4DF8">
      <w:pPr>
        <w:pStyle w:val="644TextquoteTextstylesTextstyles"/>
        <w:rPr>
          <w:rFonts w:eastAsia="Calibri"/>
        </w:rPr>
      </w:pPr>
      <w:r w:rsidRPr="00C1603D">
        <w:rPr>
          <w:rFonts w:eastAsia="Calibri"/>
        </w:rPr>
        <w:t xml:space="preserve">This is </w:t>
      </w:r>
      <w:proofErr w:type="gramStart"/>
      <w:r w:rsidRPr="00C1603D">
        <w:rPr>
          <w:rFonts w:eastAsia="Calibri"/>
        </w:rPr>
        <w:t>a very high</w:t>
      </w:r>
      <w:proofErr w:type="gramEnd"/>
      <w:r w:rsidRPr="00C1603D">
        <w:rPr>
          <w:rFonts w:eastAsia="Calibri"/>
        </w:rPr>
        <w:t xml:space="preserve"> answer from a blood test. I feel I </w:t>
      </w:r>
      <w:proofErr w:type="gramStart"/>
      <w:r w:rsidRPr="00C1603D">
        <w:rPr>
          <w:rFonts w:eastAsia="Calibri"/>
        </w:rPr>
        <w:t>have got</w:t>
      </w:r>
      <w:proofErr w:type="gramEnd"/>
      <w:r w:rsidRPr="00C1603D">
        <w:rPr>
          <w:rFonts w:eastAsia="Calibri"/>
        </w:rPr>
        <w:t xml:space="preserve"> the answer I need without needing an invasive biopsy.</w:t>
      </w:r>
    </w:p>
    <w:p w14:paraId="7C227527" w14:textId="77777777" w:rsidR="008B4DF8" w:rsidRPr="00C1603D" w:rsidRDefault="008B4DF8" w:rsidP="008B4DF8">
      <w:pPr>
        <w:pStyle w:val="54CheadHeadingsHeadingstyles"/>
        <w:rPr>
          <w:rFonts w:eastAsia="Calibri"/>
        </w:rPr>
      </w:pPr>
      <w:r w:rsidRPr="00C1603D">
        <w:t>How to respond to a negative test result</w:t>
      </w:r>
    </w:p>
    <w:p w14:paraId="50F54D02" w14:textId="0FCCB4F5" w:rsidR="008B4DF8" w:rsidRPr="00C1603D" w:rsidRDefault="008B4DF8" w:rsidP="008B4DF8">
      <w:pPr>
        <w:pStyle w:val="602TextfoTextstylesTextstyles"/>
        <w:rPr>
          <w:rFonts w:eastAsia="Calibri"/>
        </w:rPr>
      </w:pPr>
      <w:r w:rsidRPr="00C1603D">
        <w:rPr>
          <w:rFonts w:eastAsia="Calibri"/>
        </w:rPr>
        <w:t xml:space="preserve">When presented with a negative or low chance of </w:t>
      </w:r>
      <w:r w:rsidR="00457131" w:rsidRPr="00C1603D">
        <w:rPr>
          <w:rFonts w:eastAsia="Calibri"/>
        </w:rPr>
        <w:t xml:space="preserve">having </w:t>
      </w:r>
      <w:r w:rsidRPr="00C1603D">
        <w:rPr>
          <w:rFonts w:eastAsia="Calibri"/>
        </w:rPr>
        <w:t xml:space="preserve">CD, 37 (7.9%) respondents said that they </w:t>
      </w:r>
      <w:r w:rsidRPr="00C1603D">
        <w:rPr>
          <w:rFonts w:eastAsia="Calibri"/>
        </w:rPr>
        <w:lastRenderedPageBreak/>
        <w:t>would try a gluten-free diet regardless of diagnosis:</w:t>
      </w:r>
    </w:p>
    <w:p w14:paraId="6D9818AB" w14:textId="3B46C80A" w:rsidR="008B4DF8" w:rsidRPr="00C1603D" w:rsidRDefault="008B4DF8" w:rsidP="008B4DF8">
      <w:pPr>
        <w:pStyle w:val="644TextquoteTextstylesTextstyles"/>
        <w:rPr>
          <w:rFonts w:ascii="Calibri" w:eastAsia="Calibri" w:hAnsi="Calibri" w:cs="Calibri"/>
        </w:rPr>
      </w:pPr>
      <w:r w:rsidRPr="00C1603D">
        <w:rPr>
          <w:rFonts w:eastAsia="Calibri"/>
        </w:rPr>
        <w:t>If the gluten-free diet could potentially stop the pain or improve quality of life I would start the diet regardless of diagnosis</w:t>
      </w:r>
      <w:r w:rsidR="00457131" w:rsidRPr="00C1603D">
        <w:rPr>
          <w:rFonts w:eastAsia="Calibri"/>
        </w:rPr>
        <w:t>.</w:t>
      </w:r>
    </w:p>
    <w:p w14:paraId="7EF75B3E" w14:textId="2FAFAEC4" w:rsidR="008B4DF8" w:rsidRPr="00C1603D" w:rsidRDefault="00457131" w:rsidP="008B4DF8">
      <w:pPr>
        <w:pStyle w:val="602TextfoTextstylesTextstyles"/>
        <w:rPr>
          <w:rFonts w:ascii="Calibri" w:eastAsia="Calibri" w:hAnsi="Calibri" w:cs="Calibri"/>
        </w:rPr>
      </w:pPr>
      <w:r w:rsidRPr="00C1603D">
        <w:rPr>
          <w:rFonts w:eastAsia="Calibri"/>
        </w:rPr>
        <w:t>Thirty-two</w:t>
      </w:r>
      <w:r w:rsidR="008B4DF8" w:rsidRPr="00C1603D">
        <w:rPr>
          <w:rFonts w:eastAsia="Calibri"/>
        </w:rPr>
        <w:t xml:space="preserve"> (6.8%) </w:t>
      </w:r>
      <w:r w:rsidRPr="00C1603D">
        <w:rPr>
          <w:rFonts w:eastAsia="Calibri"/>
        </w:rPr>
        <w:t xml:space="preserve">respondents </w:t>
      </w:r>
      <w:r w:rsidR="008B4DF8" w:rsidRPr="00C1603D">
        <w:rPr>
          <w:rFonts w:eastAsia="Calibri"/>
        </w:rPr>
        <w:t xml:space="preserve">would ask for further or retesting if they had a negative result. </w:t>
      </w:r>
      <w:r w:rsidRPr="00C1603D">
        <w:rPr>
          <w:rFonts w:eastAsia="Calibri"/>
        </w:rPr>
        <w:t xml:space="preserve">A total of </w:t>
      </w:r>
      <w:r w:rsidR="008B4DF8" w:rsidRPr="00C1603D">
        <w:rPr>
          <w:rFonts w:eastAsia="Calibri"/>
        </w:rPr>
        <w:t xml:space="preserve">26 (5.6%) </w:t>
      </w:r>
      <w:r w:rsidRPr="00C1603D">
        <w:rPr>
          <w:rFonts w:eastAsia="Calibri"/>
        </w:rPr>
        <w:t xml:space="preserve">respondents </w:t>
      </w:r>
      <w:r w:rsidR="008B4DF8" w:rsidRPr="00C1603D">
        <w:rPr>
          <w:rFonts w:eastAsia="Calibri"/>
        </w:rPr>
        <w:t>commented on how their doctor</w:t>
      </w:r>
      <w:r w:rsidR="008B4DF8" w:rsidRPr="00C1603D">
        <w:rPr>
          <w:rFonts w:eastAsia="Calibri"/>
          <w:color w:val="00B0F0"/>
        </w:rPr>
        <w:t>’</w:t>
      </w:r>
      <w:r w:rsidR="008B4DF8" w:rsidRPr="00C1603D">
        <w:rPr>
          <w:rFonts w:eastAsia="Calibri"/>
        </w:rPr>
        <w:t>s guidance and opinion would be important to them</w:t>
      </w:r>
      <w:r w:rsidRPr="00C1603D">
        <w:rPr>
          <w:rFonts w:eastAsia="Calibri"/>
        </w:rPr>
        <w:t>,</w:t>
      </w:r>
      <w:r w:rsidR="008B4DF8" w:rsidRPr="00C1603D">
        <w:rPr>
          <w:rFonts w:eastAsia="Calibri"/>
        </w:rPr>
        <w:t xml:space="preserve"> and 26 (5.6%) </w:t>
      </w:r>
      <w:r w:rsidRPr="00C1603D">
        <w:rPr>
          <w:rFonts w:eastAsia="Calibri"/>
        </w:rPr>
        <w:t xml:space="preserve">respondents </w:t>
      </w:r>
      <w:r w:rsidR="008B4DF8" w:rsidRPr="00C1603D">
        <w:rPr>
          <w:rFonts w:eastAsia="Calibri"/>
        </w:rPr>
        <w:t>would accept not having CD.</w:t>
      </w:r>
    </w:p>
    <w:p w14:paraId="727454ED" w14:textId="545C4744" w:rsidR="008B4DF8" w:rsidRPr="00C1603D" w:rsidRDefault="008B4DF8" w:rsidP="008B4DF8">
      <w:pPr>
        <w:pStyle w:val="54CheadHeadingsHeadingstyles"/>
        <w:rPr>
          <w:lang w:eastAsia="en-GB"/>
        </w:rPr>
      </w:pPr>
      <w:r w:rsidRPr="00C1603D">
        <w:rPr>
          <w:lang w:eastAsia="en-GB"/>
        </w:rPr>
        <w:t xml:space="preserve">Opinions on </w:t>
      </w:r>
      <w:r w:rsidR="00C87C69" w:rsidRPr="00C1603D">
        <w:rPr>
          <w:lang w:eastAsia="en-GB"/>
        </w:rPr>
        <w:t>a</w:t>
      </w:r>
      <w:r w:rsidR="00DB3739" w:rsidRPr="00C1603D">
        <w:rPr>
          <w:lang w:eastAsia="en-GB"/>
        </w:rPr>
        <w:t xml:space="preserve"> </w:t>
      </w:r>
      <w:r w:rsidRPr="00C1603D">
        <w:rPr>
          <w:lang w:eastAsia="en-GB"/>
        </w:rPr>
        <w:t>gluten-free diet</w:t>
      </w:r>
    </w:p>
    <w:p w14:paraId="73EB0E97" w14:textId="09ED62E7" w:rsidR="008B4DF8" w:rsidRPr="00C1603D" w:rsidRDefault="00DB3739" w:rsidP="008B4DF8">
      <w:pPr>
        <w:pStyle w:val="602TextfoTextstylesTextstyles"/>
        <w:rPr>
          <w:rFonts w:ascii="Segoe UI" w:hAnsi="Segoe UI" w:cs="Segoe UI"/>
          <w:sz w:val="18"/>
          <w:szCs w:val="18"/>
          <w:lang w:eastAsia="en-GB"/>
        </w:rPr>
      </w:pPr>
      <w:r w:rsidRPr="00C1603D">
        <w:rPr>
          <w:lang w:eastAsia="en-GB"/>
        </w:rPr>
        <w:t xml:space="preserve">A total of </w:t>
      </w:r>
      <w:r w:rsidR="008B4DF8" w:rsidRPr="00C1603D">
        <w:rPr>
          <w:lang w:eastAsia="en-GB"/>
        </w:rPr>
        <w:t>128 (27.4%) respondents stated that they</w:t>
      </w:r>
      <w:r w:rsidR="008B4DF8" w:rsidRPr="00C1603D">
        <w:t xml:space="preserve"> would want a definitive diagnosis (through a biopsy) before starting a gluten-free diet, whereas 36 (7.7%) would start a gluten-free diet without a definitive diagnosis.</w:t>
      </w:r>
    </w:p>
    <w:p w14:paraId="1B9BB8DC" w14:textId="7A15F981" w:rsidR="008B4DF8" w:rsidRPr="00C1603D" w:rsidRDefault="00DB3739" w:rsidP="008B4DF8">
      <w:pPr>
        <w:pStyle w:val="602TextfoTextstylesTextstyles"/>
        <w:rPr>
          <w:rFonts w:ascii="Segoe UI" w:hAnsi="Segoe UI" w:cs="Segoe UI"/>
          <w:lang w:eastAsia="en-GB"/>
        </w:rPr>
      </w:pPr>
      <w:r w:rsidRPr="00C1603D">
        <w:t>Twenty-seven</w:t>
      </w:r>
      <w:r w:rsidR="008B4DF8" w:rsidRPr="00C1603D">
        <w:t xml:space="preserve"> (5.8%) </w:t>
      </w:r>
      <w:r w:rsidRPr="00C1603D">
        <w:rPr>
          <w:lang w:eastAsia="en-GB"/>
        </w:rPr>
        <w:t xml:space="preserve">respondents </w:t>
      </w:r>
      <w:r w:rsidR="008B4DF8" w:rsidRPr="00C1603D">
        <w:t>expressed that the lowest likelihood of</w:t>
      </w:r>
      <w:r w:rsidRPr="00C1603D">
        <w:t xml:space="preserve"> having</w:t>
      </w:r>
      <w:r w:rsidR="008B4DF8" w:rsidRPr="00C1603D">
        <w:t xml:space="preserve"> CD would not be enough for them to start a gluten-free diet</w:t>
      </w:r>
      <w:r w:rsidRPr="00C1603D">
        <w:t>,</w:t>
      </w:r>
      <w:r w:rsidR="008B4DF8" w:rsidRPr="00C1603D">
        <w:t xml:space="preserve"> and 25 (5.3%) stated </w:t>
      </w:r>
      <w:r w:rsidRPr="00C1603D">
        <w:t xml:space="preserve">that </w:t>
      </w:r>
      <w:r w:rsidR="008B4DF8" w:rsidRPr="00C1603D">
        <w:t xml:space="preserve">a 50/50 likelihood would not be enough to start a gluten-free diet. However, 20 (4.3%) would start a gluten-free diet at the lowest likelihood </w:t>
      </w:r>
      <w:r w:rsidR="008B4DF8" w:rsidRPr="00C1603D">
        <w:rPr>
          <w:lang w:eastAsia="en-GB"/>
        </w:rPr>
        <w:t>(</w:t>
      </w:r>
      <w:r w:rsidRPr="00C1603D">
        <w:rPr>
          <w:lang w:eastAsia="en-GB"/>
        </w:rPr>
        <w:t>≤ </w:t>
      </w:r>
      <w:r w:rsidR="008B4DF8" w:rsidRPr="00C1603D">
        <w:rPr>
          <w:lang w:eastAsia="en-GB"/>
        </w:rPr>
        <w:t>10% chance) of</w:t>
      </w:r>
      <w:r w:rsidRPr="00C1603D">
        <w:rPr>
          <w:lang w:eastAsia="en-GB"/>
        </w:rPr>
        <w:t xml:space="preserve"> having</w:t>
      </w:r>
      <w:r w:rsidR="008B4DF8" w:rsidRPr="00C1603D">
        <w:rPr>
          <w:lang w:eastAsia="en-GB"/>
        </w:rPr>
        <w:t xml:space="preserve"> CD.</w:t>
      </w:r>
      <w:r w:rsidR="008B4DF8" w:rsidRPr="00C1603D">
        <w:t xml:space="preserve"> The majority of those who stated this were those without a CD diagnosis </w:t>
      </w:r>
      <w:r w:rsidRPr="00C1603D">
        <w:t xml:space="preserve">[CD, </w:t>
      </w:r>
      <w:r w:rsidRPr="00C1603D">
        <w:rPr>
          <w:i/>
          <w:iCs/>
        </w:rPr>
        <w:t>n</w:t>
      </w:r>
      <w:r w:rsidRPr="00C1603D">
        <w:t> = </w:t>
      </w:r>
      <w:r w:rsidR="008B4DF8" w:rsidRPr="00C1603D">
        <w:t>1 (0.2%)</w:t>
      </w:r>
      <w:r w:rsidRPr="00C1603D">
        <w:t>; no CD</w:t>
      </w:r>
      <w:r w:rsidR="008B4DF8" w:rsidRPr="00C1603D">
        <w:t xml:space="preserve"> </w:t>
      </w:r>
      <w:r w:rsidRPr="00C1603D">
        <w:rPr>
          <w:i/>
          <w:iCs/>
        </w:rPr>
        <w:t>n</w:t>
      </w:r>
      <w:r w:rsidRPr="00C1603D">
        <w:t> = </w:t>
      </w:r>
      <w:r w:rsidR="008B4DF8" w:rsidRPr="00C1603D">
        <w:t>19 (8.5%)</w:t>
      </w:r>
      <w:r w:rsidR="00E71E6D" w:rsidRPr="00C1603D">
        <w:t>]</w:t>
      </w:r>
      <w:r w:rsidR="008B4DF8" w:rsidRPr="00C1603D">
        <w:t>:</w:t>
      </w:r>
    </w:p>
    <w:p w14:paraId="400F8918" w14:textId="29AFC140" w:rsidR="008B4DF8" w:rsidRPr="00C1603D" w:rsidRDefault="008B4DF8" w:rsidP="008B4DF8">
      <w:pPr>
        <w:pStyle w:val="644TextquoteTextstylesTextstyles"/>
        <w:rPr>
          <w:rFonts w:ascii="Segoe UI" w:hAnsi="Segoe UI" w:cs="Segoe UI"/>
          <w:lang w:eastAsia="en-GB"/>
        </w:rPr>
      </w:pPr>
      <w:r w:rsidRPr="00C1603D">
        <w:rPr>
          <w:lang w:eastAsia="en-GB"/>
        </w:rPr>
        <w:t xml:space="preserve">I would want my symptoms to get better as soon as possible, so if the [gluten-free diet] helped to eliminate the uncomfortable symptoms, that would be good enough for me. I </w:t>
      </w:r>
      <w:proofErr w:type="gramStart"/>
      <w:r w:rsidRPr="00C1603D">
        <w:rPr>
          <w:lang w:eastAsia="en-GB"/>
        </w:rPr>
        <w:t>wouldn</w:t>
      </w:r>
      <w:r w:rsidRPr="00C1603D">
        <w:rPr>
          <w:color w:val="00B0F0"/>
          <w:lang w:eastAsia="en-GB"/>
        </w:rPr>
        <w:t>’</w:t>
      </w:r>
      <w:r w:rsidRPr="00C1603D">
        <w:rPr>
          <w:lang w:eastAsia="en-GB"/>
        </w:rPr>
        <w:t>t</w:t>
      </w:r>
      <w:proofErr w:type="gramEnd"/>
      <w:r w:rsidRPr="00C1603D">
        <w:rPr>
          <w:lang w:eastAsia="en-GB"/>
        </w:rPr>
        <w:t xml:space="preserve"> need the tests.</w:t>
      </w:r>
    </w:p>
    <w:p w14:paraId="2F0B27E6" w14:textId="5E21B582" w:rsidR="008B4DF8" w:rsidRPr="00C1603D" w:rsidRDefault="00E71E6D" w:rsidP="008B4DF8">
      <w:pPr>
        <w:pStyle w:val="602TextfoTextstylesTextstyles"/>
        <w:rPr>
          <w:rFonts w:ascii="Segoe UI" w:hAnsi="Segoe UI" w:cs="Segoe UI"/>
          <w:lang w:eastAsia="en-GB"/>
        </w:rPr>
      </w:pPr>
      <w:r w:rsidRPr="00C1603D">
        <w:rPr>
          <w:lang w:eastAsia="en-GB"/>
        </w:rPr>
        <w:t xml:space="preserve">A total of </w:t>
      </w:r>
      <w:r w:rsidR="008B4DF8" w:rsidRPr="00C1603D">
        <w:rPr>
          <w:lang w:eastAsia="en-GB"/>
        </w:rPr>
        <w:t>77 (16.5%)</w:t>
      </w:r>
      <w:r w:rsidRPr="00C1603D">
        <w:rPr>
          <w:lang w:eastAsia="en-GB"/>
        </w:rPr>
        <w:t xml:space="preserve"> respondents</w:t>
      </w:r>
      <w:r w:rsidR="008B4DF8" w:rsidRPr="00C1603D">
        <w:rPr>
          <w:lang w:eastAsia="en-GB"/>
        </w:rPr>
        <w:t xml:space="preserve"> said they would start a gluten-free diet and see if CD symptoms improve</w:t>
      </w:r>
      <w:r w:rsidR="00490A69" w:rsidRPr="00C1603D">
        <w:rPr>
          <w:lang w:eastAsia="en-GB"/>
        </w:rPr>
        <w:t>d</w:t>
      </w:r>
      <w:r w:rsidR="008B4DF8" w:rsidRPr="00C1603D">
        <w:rPr>
          <w:lang w:eastAsia="en-GB"/>
        </w:rPr>
        <w:t xml:space="preserve"> (even if not diagnosed with CD)</w:t>
      </w:r>
      <w:r w:rsidR="00490A69" w:rsidRPr="00C1603D">
        <w:rPr>
          <w:lang w:eastAsia="en-GB"/>
        </w:rPr>
        <w:t>;</w:t>
      </w:r>
      <w:r w:rsidR="008B4DF8" w:rsidRPr="00C1603D">
        <w:rPr>
          <w:lang w:eastAsia="en-GB"/>
        </w:rPr>
        <w:t xml:space="preserve"> </w:t>
      </w:r>
      <w:r w:rsidR="00490A69" w:rsidRPr="00C1603D">
        <w:rPr>
          <w:lang w:eastAsia="en-GB"/>
        </w:rPr>
        <w:t xml:space="preserve">of these, </w:t>
      </w:r>
      <w:r w:rsidR="008B4DF8" w:rsidRPr="00C1603D">
        <w:rPr>
          <w:lang w:eastAsia="en-GB"/>
        </w:rPr>
        <w:t xml:space="preserve">22 (4.7%) also said that they may consider restarting a gluten diet and having a biopsy if a gluten-free diet </w:t>
      </w:r>
      <w:r w:rsidR="00490A69" w:rsidRPr="00C1603D">
        <w:rPr>
          <w:lang w:eastAsia="en-GB"/>
        </w:rPr>
        <w:t>did</w:t>
      </w:r>
      <w:r w:rsidR="008B4DF8" w:rsidRPr="00C1603D">
        <w:rPr>
          <w:lang w:eastAsia="en-GB"/>
        </w:rPr>
        <w:t xml:space="preserve"> not work:</w:t>
      </w:r>
    </w:p>
    <w:p w14:paraId="5A0675A6" w14:textId="4292B8DD" w:rsidR="008B4DF8" w:rsidRPr="00C1603D" w:rsidRDefault="008B4DF8" w:rsidP="008B4DF8">
      <w:pPr>
        <w:pStyle w:val="644TextquoteTextstylesTextstyles"/>
        <w:rPr>
          <w:rFonts w:ascii="Segoe UI" w:hAnsi="Segoe UI" w:cs="Segoe UI"/>
          <w:lang w:eastAsia="en-GB"/>
        </w:rPr>
      </w:pPr>
      <w:r w:rsidRPr="00C1603D">
        <w:rPr>
          <w:lang w:eastAsia="en-GB"/>
        </w:rPr>
        <w:t>I could try the gluten-free diet and if my symptoms improve I would continue, if it makes no difference I may go back to eating gluten and then opt for a biopsy or other tests.</w:t>
      </w:r>
    </w:p>
    <w:p w14:paraId="44DC4C01" w14:textId="15D7A9CC" w:rsidR="008B4DF8" w:rsidRPr="00C1603D" w:rsidRDefault="00490A69" w:rsidP="008B4DF8">
      <w:pPr>
        <w:pStyle w:val="602TextfoTextstylesTextstyles"/>
        <w:rPr>
          <w:rFonts w:ascii="Segoe UI" w:hAnsi="Segoe UI" w:cs="Segoe UI"/>
          <w:lang w:eastAsia="en-GB"/>
        </w:rPr>
      </w:pPr>
      <w:r w:rsidRPr="00C1603D">
        <w:rPr>
          <w:rFonts w:eastAsia="Calibri"/>
        </w:rPr>
        <w:t>Thirty-five</w:t>
      </w:r>
      <w:r w:rsidR="008B4DF8" w:rsidRPr="00C1603D">
        <w:rPr>
          <w:rFonts w:eastAsia="Calibri"/>
        </w:rPr>
        <w:t xml:space="preserve"> (7.5%) </w:t>
      </w:r>
      <w:r w:rsidRPr="00C1603D">
        <w:rPr>
          <w:lang w:eastAsia="en-GB"/>
        </w:rPr>
        <w:t xml:space="preserve">respondents </w:t>
      </w:r>
      <w:r w:rsidR="008B4DF8" w:rsidRPr="00C1603D">
        <w:rPr>
          <w:rFonts w:eastAsia="Calibri"/>
        </w:rPr>
        <w:t>have said that</w:t>
      </w:r>
      <w:r w:rsidR="008B4DF8" w:rsidRPr="00C1603D">
        <w:rPr>
          <w:lang w:eastAsia="en-GB"/>
        </w:rPr>
        <w:t xml:space="preserve"> </w:t>
      </w:r>
      <w:r w:rsidR="008B4DF8" w:rsidRPr="00C1603D">
        <w:rPr>
          <w:rFonts w:eastAsia="Calibri"/>
        </w:rPr>
        <w:t>whether or not</w:t>
      </w:r>
      <w:r w:rsidR="008B4DF8" w:rsidRPr="00C1603D">
        <w:rPr>
          <w:lang w:eastAsia="en-GB"/>
        </w:rPr>
        <w:t xml:space="preserve"> </w:t>
      </w:r>
      <w:r w:rsidR="008B4DF8" w:rsidRPr="00C1603D">
        <w:rPr>
          <w:rFonts w:eastAsia="Calibri"/>
        </w:rPr>
        <w:t>they live with another</w:t>
      </w:r>
      <w:r w:rsidR="004A2599" w:rsidRPr="00C1603D">
        <w:rPr>
          <w:rFonts w:eastAsia="Calibri"/>
        </w:rPr>
        <w:t xml:space="preserve"> person</w:t>
      </w:r>
      <w:r w:rsidR="008B4DF8" w:rsidRPr="00C1603D">
        <w:rPr>
          <w:rFonts w:eastAsia="Calibri"/>
        </w:rPr>
        <w:t xml:space="preserve"> who ha</w:t>
      </w:r>
      <w:r w:rsidR="004A2599" w:rsidRPr="00C1603D">
        <w:rPr>
          <w:rFonts w:eastAsia="Calibri"/>
        </w:rPr>
        <w:t>s</w:t>
      </w:r>
      <w:r w:rsidR="008B4DF8" w:rsidRPr="00C1603D">
        <w:rPr>
          <w:rFonts w:eastAsia="Calibri"/>
        </w:rPr>
        <w:t xml:space="preserve"> CD would affect their gluten-free diet adherence</w:t>
      </w:r>
      <w:r w:rsidR="004A2599" w:rsidRPr="00C1603D">
        <w:rPr>
          <w:rFonts w:eastAsia="Calibri"/>
        </w:rPr>
        <w:t>,</w:t>
      </w:r>
      <w:r w:rsidR="008B4DF8" w:rsidRPr="00C1603D">
        <w:rPr>
          <w:rFonts w:eastAsia="Calibri"/>
        </w:rPr>
        <w:t xml:space="preserve"> and 48 (10.3%) expressed a negative opinion on following a gluten-free diet or they see </w:t>
      </w:r>
      <w:r w:rsidR="004A2599" w:rsidRPr="00C1603D">
        <w:rPr>
          <w:rFonts w:eastAsia="Calibri"/>
        </w:rPr>
        <w:t xml:space="preserve">a </w:t>
      </w:r>
      <w:r w:rsidR="008B4DF8" w:rsidRPr="00C1603D">
        <w:rPr>
          <w:rFonts w:eastAsia="Calibri"/>
        </w:rPr>
        <w:t xml:space="preserve">gluten-free diet </w:t>
      </w:r>
      <w:r w:rsidR="004A2599" w:rsidRPr="00C1603D">
        <w:rPr>
          <w:rFonts w:eastAsia="Calibri"/>
        </w:rPr>
        <w:t>a</w:t>
      </w:r>
      <w:r w:rsidR="008B4DF8" w:rsidRPr="00C1603D">
        <w:rPr>
          <w:rFonts w:eastAsia="Calibri"/>
        </w:rPr>
        <w:t xml:space="preserve">s a big commitment. More of those with a CD diagnosis expressed </w:t>
      </w:r>
      <w:r w:rsidR="008B4DF8" w:rsidRPr="00C1603D">
        <w:rPr>
          <w:lang w:eastAsia="en-GB"/>
        </w:rPr>
        <w:t>negativity towards a gluten-free diet</w:t>
      </w:r>
      <w:r w:rsidR="008B4DF8" w:rsidRPr="00C1603D">
        <w:rPr>
          <w:rFonts w:eastAsia="Calibri"/>
        </w:rPr>
        <w:t xml:space="preserve"> </w:t>
      </w:r>
      <w:r w:rsidR="00C860F1" w:rsidRPr="00C1603D">
        <w:rPr>
          <w:rFonts w:eastAsia="Calibri"/>
        </w:rPr>
        <w:t>than</w:t>
      </w:r>
      <w:r w:rsidR="008B4DF8" w:rsidRPr="00C1603D">
        <w:rPr>
          <w:rFonts w:eastAsia="Calibri"/>
        </w:rPr>
        <w:t xml:space="preserve"> those without CD </w:t>
      </w:r>
      <w:r w:rsidR="00C860F1" w:rsidRPr="00C1603D">
        <w:rPr>
          <w:rFonts w:eastAsia="Calibri"/>
        </w:rPr>
        <w:t xml:space="preserve">[CD, </w:t>
      </w:r>
      <w:r w:rsidR="00C860F1" w:rsidRPr="00C1603D">
        <w:rPr>
          <w:i/>
          <w:iCs/>
        </w:rPr>
        <w:t>n</w:t>
      </w:r>
      <w:r w:rsidR="00C860F1" w:rsidRPr="00C1603D">
        <w:t> = </w:t>
      </w:r>
      <w:r w:rsidR="008B4DF8" w:rsidRPr="00C1603D">
        <w:rPr>
          <w:rFonts w:eastAsia="Calibri"/>
        </w:rPr>
        <w:t>33 (13.5%)</w:t>
      </w:r>
      <w:r w:rsidR="00C860F1" w:rsidRPr="00C1603D">
        <w:rPr>
          <w:rFonts w:eastAsia="Calibri"/>
        </w:rPr>
        <w:t>; no CD,</w:t>
      </w:r>
      <w:r w:rsidR="008B4DF8" w:rsidRPr="00C1603D">
        <w:rPr>
          <w:rFonts w:eastAsia="Calibri"/>
        </w:rPr>
        <w:t xml:space="preserve"> </w:t>
      </w:r>
      <w:r w:rsidR="00C860F1" w:rsidRPr="00C1603D">
        <w:rPr>
          <w:i/>
          <w:iCs/>
        </w:rPr>
        <w:t>n</w:t>
      </w:r>
      <w:r w:rsidR="00C860F1" w:rsidRPr="00C1603D">
        <w:t> = </w:t>
      </w:r>
      <w:r w:rsidR="008B4DF8" w:rsidRPr="00C1603D">
        <w:rPr>
          <w:rFonts w:eastAsia="Calibri"/>
        </w:rPr>
        <w:t>15 (6.7%)</w:t>
      </w:r>
      <w:r w:rsidR="00C860F1" w:rsidRPr="00C1603D">
        <w:rPr>
          <w:lang w:eastAsia="en-GB"/>
        </w:rPr>
        <w:t>]</w:t>
      </w:r>
      <w:r w:rsidR="008B4DF8" w:rsidRPr="00C1603D">
        <w:rPr>
          <w:rFonts w:eastAsia="Calibri"/>
        </w:rPr>
        <w:t>:</w:t>
      </w:r>
    </w:p>
    <w:p w14:paraId="525C8F04" w14:textId="233F28EE" w:rsidR="008B4DF8" w:rsidRPr="00C1603D" w:rsidRDefault="008B4DF8" w:rsidP="008B4DF8">
      <w:pPr>
        <w:pStyle w:val="644TextquoteTextstylesTextstyles"/>
      </w:pPr>
      <w:r w:rsidRPr="00C1603D">
        <w:rPr>
          <w:rFonts w:eastAsia="Calibri"/>
        </w:rPr>
        <w:t>I have 30 years on a [gluten-free diet], I know what it is like. You would want to be sure</w:t>
      </w:r>
      <w:r w:rsidRPr="00C1603D">
        <w:rPr>
          <w:lang w:eastAsia="en-GB"/>
        </w:rPr>
        <w:t xml:space="preserve"> </w:t>
      </w:r>
      <w:r w:rsidRPr="00C1603D">
        <w:rPr>
          <w:rFonts w:eastAsia="Calibri"/>
        </w:rPr>
        <w:t xml:space="preserve">before changing your diet for good. It </w:t>
      </w:r>
      <w:proofErr w:type="gramStart"/>
      <w:r w:rsidRPr="00C1603D">
        <w:rPr>
          <w:rFonts w:eastAsia="Calibri"/>
        </w:rPr>
        <w:t>isn</w:t>
      </w:r>
      <w:r w:rsidRPr="00C1603D">
        <w:rPr>
          <w:rFonts w:eastAsia="Calibri"/>
          <w:color w:val="00B0F0"/>
        </w:rPr>
        <w:t>’</w:t>
      </w:r>
      <w:r w:rsidRPr="00C1603D">
        <w:rPr>
          <w:rFonts w:eastAsia="Calibri"/>
        </w:rPr>
        <w:t>t</w:t>
      </w:r>
      <w:proofErr w:type="gramEnd"/>
      <w:r w:rsidRPr="00C1603D">
        <w:rPr>
          <w:rFonts w:eastAsia="Calibri"/>
        </w:rPr>
        <w:t xml:space="preserve"> much fun, long term</w:t>
      </w:r>
      <w:r w:rsidR="00C7550D" w:rsidRPr="00C1603D">
        <w:rPr>
          <w:rFonts w:eastAsia="Calibri"/>
        </w:rPr>
        <w:t>.</w:t>
      </w:r>
    </w:p>
    <w:p w14:paraId="43E75F53" w14:textId="77777777" w:rsidR="008B4DF8" w:rsidRPr="00C1603D" w:rsidRDefault="008B4DF8" w:rsidP="008B4DF8">
      <w:pPr>
        <w:pStyle w:val="43ChaptertitleHeadingsHeadingstyles"/>
      </w:pPr>
      <w:bookmarkStart w:id="347" w:name="_Toc99539895"/>
      <w:r w:rsidRPr="00C1603D">
        <w:lastRenderedPageBreak/>
        <w:t>Chapter 8</w:t>
      </w:r>
      <w:r w:rsidRPr="00C1603D">
        <w:t> </w:t>
      </w:r>
      <w:r w:rsidRPr="00C1603D">
        <w:t>Assessment of cost-effectiveness of diagnostic strategies</w:t>
      </w:r>
      <w:bookmarkEnd w:id="347"/>
    </w:p>
    <w:p w14:paraId="1E40C8F3" w14:textId="027A22D6" w:rsidR="008B4DF8" w:rsidRPr="00C1603D" w:rsidRDefault="008B4DF8" w:rsidP="008B4DF8">
      <w:pPr>
        <w:pStyle w:val="601TextdropcapTextstylesTextstyles"/>
        <w:rPr>
          <w:color w:val="auto"/>
        </w:rPr>
      </w:pPr>
      <w:r w:rsidRPr="00C1603D">
        <w:t xml:space="preserve">This chapter describes the decision tree and Markov modelling to estimate the cost-effectiveness of screening strategies for CD </w:t>
      </w:r>
      <w:r w:rsidR="00AB5931" w:rsidRPr="00C1603D">
        <w:t>among</w:t>
      </w:r>
      <w:r w:rsidRPr="00C1603D">
        <w:t xml:space="preserve"> men, women and children. This builds </w:t>
      </w:r>
      <w:proofErr w:type="gramStart"/>
      <w:r w:rsidRPr="00C1603D">
        <w:t>substantially on</w:t>
      </w:r>
      <w:proofErr w:type="gramEnd"/>
      <w:r w:rsidRPr="00C1603D">
        <w:t xml:space="preserve"> </w:t>
      </w:r>
      <w:r w:rsidR="00E9372B" w:rsidRPr="00C1603D">
        <w:t>previous</w:t>
      </w:r>
      <w:r w:rsidRPr="00C1603D">
        <w:t xml:space="preserve"> chapters. Individual diagnostic indicators from </w:t>
      </w:r>
      <w:r w:rsidRPr="00C1603D">
        <w:rPr>
          <w:i/>
          <w:iCs/>
        </w:rPr>
        <w:t>Chapter 3</w:t>
      </w:r>
      <w:r w:rsidRPr="00C1603D">
        <w:t xml:space="preserve"> and combinations of diagnostic indicators from the prediction model in </w:t>
      </w:r>
      <w:r w:rsidRPr="00C1603D">
        <w:rPr>
          <w:i/>
          <w:iCs/>
        </w:rPr>
        <w:t>Chapter 4</w:t>
      </w:r>
      <w:r w:rsidRPr="00C1603D">
        <w:t xml:space="preserve"> are investigated in combination with serological and genetic tests. Serological test accuracies come from </w:t>
      </w:r>
      <w:r w:rsidRPr="00C1603D">
        <w:rPr>
          <w:i/>
          <w:iCs/>
        </w:rPr>
        <w:t>Chapter 5</w:t>
      </w:r>
      <w:r w:rsidRPr="00C1603D">
        <w:t xml:space="preserve"> and genetic test accuracy</w:t>
      </w:r>
      <w:r w:rsidR="00E9372B" w:rsidRPr="00C1603D">
        <w:t xml:space="preserve"> comes</w:t>
      </w:r>
      <w:r w:rsidRPr="00C1603D">
        <w:t xml:space="preserve"> from </w:t>
      </w:r>
      <w:r w:rsidRPr="00C1603D">
        <w:rPr>
          <w:i/>
          <w:iCs/>
        </w:rPr>
        <w:t>Chapter 6</w:t>
      </w:r>
      <w:r w:rsidRPr="00C1603D">
        <w:t xml:space="preserve">. Results of the patient survey in </w:t>
      </w:r>
      <w:r w:rsidRPr="00C1603D">
        <w:rPr>
          <w:i/>
          <w:iCs/>
        </w:rPr>
        <w:t>Chapter 7</w:t>
      </w:r>
      <w:r w:rsidRPr="00C1603D">
        <w:t xml:space="preserve"> inform </w:t>
      </w:r>
      <w:r w:rsidR="00E9372B" w:rsidRPr="00C1603D">
        <w:t xml:space="preserve">the </w:t>
      </w:r>
      <w:r w:rsidRPr="00C1603D">
        <w:t xml:space="preserve">key assumptions of the model. The objectives of this analysis were </w:t>
      </w:r>
      <w:r w:rsidRPr="00C1603D">
        <w:rPr>
          <w:color w:val="auto"/>
        </w:rPr>
        <w:t>to determine</w:t>
      </w:r>
      <w:r w:rsidR="00FB6A08" w:rsidRPr="00C1603D">
        <w:rPr>
          <w:color w:val="auto"/>
        </w:rPr>
        <w:t xml:space="preserve"> the following</w:t>
      </w:r>
      <w:r w:rsidRPr="00C1603D">
        <w:rPr>
          <w:color w:val="auto"/>
        </w:rPr>
        <w:t>:</w:t>
      </w:r>
    </w:p>
    <w:p w14:paraId="3669C4EE" w14:textId="19EBE0A7" w:rsidR="008B4DF8" w:rsidRPr="00C1603D" w:rsidRDefault="00FB6A08" w:rsidP="00214818">
      <w:pPr>
        <w:pStyle w:val="611BulletlistTextstyles"/>
        <w:rPr>
          <w:color w:val="auto"/>
        </w:rPr>
      </w:pPr>
      <w:r w:rsidRPr="00C1603D">
        <w:rPr>
          <w:color w:val="auto"/>
        </w:rPr>
        <w:t xml:space="preserve">the most cost-effective </w:t>
      </w:r>
      <w:r w:rsidR="008B4DF8" w:rsidRPr="00C1603D">
        <w:rPr>
          <w:color w:val="auto"/>
        </w:rPr>
        <w:t>combination of sensitivity and specificity for a pre-test probability above which all patients should be screened</w:t>
      </w:r>
    </w:p>
    <w:p w14:paraId="12B4B036" w14:textId="2F889407" w:rsidR="008B4DF8" w:rsidRPr="00C1603D" w:rsidRDefault="00FB6A08" w:rsidP="00214818">
      <w:pPr>
        <w:pStyle w:val="614TextbulletlistlastTextstylesTextstyles"/>
      </w:pPr>
      <w:r w:rsidRPr="00C1603D">
        <w:rPr>
          <w:color w:val="auto"/>
        </w:rPr>
        <w:t>the most cost-effective</w:t>
      </w:r>
      <w:r w:rsidRPr="00C1603D">
        <w:t xml:space="preserve"> </w:t>
      </w:r>
      <w:r w:rsidR="008B4DF8" w:rsidRPr="00C1603D">
        <w:t>screening strategy.</w:t>
      </w:r>
    </w:p>
    <w:p w14:paraId="38D8C19D" w14:textId="77777777" w:rsidR="008B4DF8" w:rsidRPr="00C1603D" w:rsidRDefault="008B4DF8" w:rsidP="008B4DF8">
      <w:pPr>
        <w:pStyle w:val="602TextfoTextstylesTextstyles"/>
      </w:pPr>
      <w:r w:rsidRPr="00C1603D">
        <w:t>Results were based on a lifetime time horizon and take a UK NHS perspective.</w:t>
      </w:r>
    </w:p>
    <w:p w14:paraId="6E886E23" w14:textId="77777777" w:rsidR="008B4DF8" w:rsidRPr="00C1603D" w:rsidRDefault="008B4DF8" w:rsidP="008B4DF8">
      <w:pPr>
        <w:pStyle w:val="52AheadHeadingsHeadingstyles"/>
      </w:pPr>
      <w:bookmarkStart w:id="348" w:name="_Toc87507174"/>
      <w:bookmarkStart w:id="349" w:name="_Toc99539896"/>
      <w:r w:rsidRPr="00C1603D">
        <w:t>Screening strategies to investigate</w:t>
      </w:r>
      <w:bookmarkEnd w:id="348"/>
      <w:bookmarkEnd w:id="349"/>
    </w:p>
    <w:p w14:paraId="02F62736" w14:textId="18318298" w:rsidR="008B4DF8" w:rsidRPr="00C1603D" w:rsidRDefault="008B4DF8" w:rsidP="008B4DF8">
      <w:pPr>
        <w:pStyle w:val="602TextfoTextstylesTextstyles"/>
      </w:pPr>
      <w:r w:rsidRPr="00C1603D">
        <w:t xml:space="preserve">To examine the most </w:t>
      </w:r>
      <w:r w:rsidRPr="00C1603D">
        <w:rPr>
          <w:color w:val="auto"/>
        </w:rPr>
        <w:t>cost</w:t>
      </w:r>
      <w:r w:rsidR="00FB6A08" w:rsidRPr="00C1603D">
        <w:rPr>
          <w:color w:val="auto"/>
        </w:rPr>
        <w:t>-</w:t>
      </w:r>
      <w:r w:rsidRPr="00C1603D">
        <w:rPr>
          <w:color w:val="auto"/>
        </w:rPr>
        <w:t xml:space="preserve">effective combination of sensitivity </w:t>
      </w:r>
      <w:r w:rsidRPr="00C1603D">
        <w:t xml:space="preserve">and specificity for a diagnostic indicator (or combinations of diagnostic indicators) above which all patients should be screened, we considered a theoretical selection of combinations of diagnostic indicator sensitivities and specificities. These were every 10% increment </w:t>
      </w:r>
      <w:r w:rsidR="00FB6A08" w:rsidRPr="00C1603D">
        <w:t>&gt; </w:t>
      </w:r>
      <w:r w:rsidRPr="00C1603D">
        <w:t xml:space="preserve">50% for both parameters. A desired threshold of 90% post-test probability before initiating </w:t>
      </w:r>
      <w:r w:rsidR="00FB6A08" w:rsidRPr="00C1603D">
        <w:t xml:space="preserve">a </w:t>
      </w:r>
      <w:r w:rsidRPr="00C1603D">
        <w:t>gluten-free diet was adopted following the results of the patient survey</w:t>
      </w:r>
      <w:r w:rsidR="00FB6A08" w:rsidRPr="00C1603D">
        <w:t>,</w:t>
      </w:r>
      <w:r w:rsidRPr="00C1603D">
        <w:t xml:space="preserve"> described in </w:t>
      </w:r>
      <w:r w:rsidRPr="00C1603D">
        <w:rPr>
          <w:i/>
          <w:iCs/>
        </w:rPr>
        <w:t>Chapter 7</w:t>
      </w:r>
      <w:r w:rsidRPr="00C1603D">
        <w:t xml:space="preserve">. </w:t>
      </w:r>
      <w:commentRangeStart w:id="350"/>
      <w:commentRangeStart w:id="351"/>
      <w:r w:rsidRPr="00C1603D">
        <w:t>This survey found that</w:t>
      </w:r>
      <w:r w:rsidR="00305BBA" w:rsidRPr="00C1603D">
        <w:t xml:space="preserve"> those</w:t>
      </w:r>
      <w:r w:rsidRPr="00C1603D">
        <w:t xml:space="preserve"> without symptoms required a</w:t>
      </w:r>
      <w:r w:rsidR="00305BBA" w:rsidRPr="00C1603D">
        <w:t xml:space="preserve"> median </w:t>
      </w:r>
      <w:r w:rsidRPr="00C1603D">
        <w:t>post-test probability of 90% (IQR 66</w:t>
      </w:r>
      <w:r w:rsidR="00305BBA" w:rsidRPr="00C1603D">
        <w:t>–</w:t>
      </w:r>
      <w:r w:rsidRPr="00C1603D">
        <w:t>99%) before committing to a gluten-free diet</w:t>
      </w:r>
      <w:r w:rsidR="00305BBA" w:rsidRPr="00C1603D">
        <w:t>,</w:t>
      </w:r>
      <w:r w:rsidRPr="00C1603D">
        <w:t xml:space="preserve"> whe</w:t>
      </w:r>
      <w:r w:rsidR="00305BBA" w:rsidRPr="00C1603D">
        <w:t>reas</w:t>
      </w:r>
      <w:r w:rsidRPr="00C1603D">
        <w:t xml:space="preserve"> those with symptoms required a </w:t>
      </w:r>
      <w:r w:rsidR="00305BBA" w:rsidRPr="00C1603D">
        <w:t xml:space="preserve">median </w:t>
      </w:r>
      <w:r w:rsidRPr="00C1603D">
        <w:t>post-test probability of 66% (IQR 33</w:t>
      </w:r>
      <w:r w:rsidR="00305BBA" w:rsidRPr="00C1603D">
        <w:t>–</w:t>
      </w:r>
      <w:r w:rsidRPr="00C1603D">
        <w:t>90%).</w:t>
      </w:r>
      <w:commentRangeEnd w:id="350"/>
      <w:r w:rsidR="000C6848" w:rsidRPr="00C1603D">
        <w:commentReference w:id="350"/>
      </w:r>
      <w:commentRangeEnd w:id="351"/>
      <w:r w:rsidRPr="00C1603D">
        <w:commentReference w:id="351"/>
      </w:r>
      <w:r w:rsidRPr="00C1603D">
        <w:t xml:space="preserve"> We chose the maximum of these two as the desired level of certainty from testing strategies.</w:t>
      </w:r>
    </w:p>
    <w:p w14:paraId="384AE4B6" w14:textId="2E0F73F6" w:rsidR="008B4DF8" w:rsidRPr="00C1603D" w:rsidRDefault="008B4DF8" w:rsidP="008B4DF8">
      <w:pPr>
        <w:pStyle w:val="602TextfoTextstylesTextstyles"/>
      </w:pPr>
      <w:r w:rsidRPr="00C1603D">
        <w:t>For each combination of sensitivity and specificity of diagnostic indicators</w:t>
      </w:r>
      <w:r w:rsidR="00625568" w:rsidRPr="00C1603D">
        <w:t>,</w:t>
      </w:r>
      <w:r w:rsidRPr="00C1603D">
        <w:t xml:space="preserve"> we modelled the following screening strategies:</w:t>
      </w:r>
    </w:p>
    <w:p w14:paraId="2C34E666" w14:textId="4F8A2F6D" w:rsidR="008B4DF8" w:rsidRPr="00C1603D" w:rsidRDefault="006E0892" w:rsidP="008B4DF8">
      <w:pPr>
        <w:pStyle w:val="611BulletlistTextstyles"/>
      </w:pPr>
      <w:r w:rsidRPr="00C1603D">
        <w:t xml:space="preserve">serological </w:t>
      </w:r>
      <w:r w:rsidR="008B4DF8" w:rsidRPr="00C1603D">
        <w:t xml:space="preserve">testing (IgA tTG, IgA EMA, IgA tTG plus IgA EMA) with a confirmatory biopsy </w:t>
      </w:r>
      <w:r w:rsidR="00625568" w:rsidRPr="00C1603D">
        <w:t>for</w:t>
      </w:r>
      <w:r w:rsidR="008B4DF8" w:rsidRPr="00C1603D">
        <w:t xml:space="preserve"> those with a post-test probability</w:t>
      </w:r>
      <w:r w:rsidRPr="00C1603D">
        <w:t xml:space="preserve"> of</w:t>
      </w:r>
      <w:r w:rsidR="008B4DF8" w:rsidRPr="00C1603D">
        <w:t xml:space="preserve"> </w:t>
      </w:r>
      <w:r w:rsidR="008B4DF8" w:rsidRPr="00C1603D">
        <w:rPr>
          <w:color w:val="00B0F0"/>
        </w:rPr>
        <w:t>&lt; </w:t>
      </w:r>
      <w:r w:rsidR="008B4DF8" w:rsidRPr="00C1603D">
        <w:t>90%</w:t>
      </w:r>
    </w:p>
    <w:p w14:paraId="04779E17" w14:textId="740F787A" w:rsidR="008B4DF8" w:rsidRPr="00C1603D" w:rsidRDefault="006E0892" w:rsidP="008B4DF8">
      <w:pPr>
        <w:pStyle w:val="614TextbulletlistlastTextstylesTextstyles"/>
        <w:rPr>
          <w:rFonts w:eastAsia="Yu Mincho"/>
        </w:rPr>
      </w:pPr>
      <w:r w:rsidRPr="00C1603D">
        <w:t xml:space="preserve">a combination </w:t>
      </w:r>
      <w:r w:rsidR="008B4DF8" w:rsidRPr="00C1603D">
        <w:t xml:space="preserve">of serological testing with genetic testing (HLA before or after each serological test or test combination) with a confirmatory biopsy </w:t>
      </w:r>
      <w:r w:rsidRPr="00C1603D">
        <w:t>for</w:t>
      </w:r>
      <w:r w:rsidR="008B4DF8" w:rsidRPr="00C1603D">
        <w:t xml:space="preserve"> those with a post-test probability</w:t>
      </w:r>
      <w:r w:rsidRPr="00C1603D">
        <w:t xml:space="preserve"> of</w:t>
      </w:r>
      <w:r w:rsidR="008B4DF8" w:rsidRPr="00C1603D">
        <w:t xml:space="preserve"> </w:t>
      </w:r>
      <w:r w:rsidR="008B4DF8" w:rsidRPr="00C1603D">
        <w:rPr>
          <w:color w:val="00B0F0"/>
        </w:rPr>
        <w:t>&lt; </w:t>
      </w:r>
      <w:r w:rsidR="008B4DF8" w:rsidRPr="00C1603D">
        <w:t>90%</w:t>
      </w:r>
      <w:r w:rsidRPr="00C1603D">
        <w:t>.</w:t>
      </w:r>
    </w:p>
    <w:p w14:paraId="7BF89352" w14:textId="108DE745" w:rsidR="008B4DF8" w:rsidRPr="00C1603D" w:rsidRDefault="008B4DF8" w:rsidP="008B4DF8">
      <w:pPr>
        <w:pStyle w:val="602TextfoTextstylesTextstyles"/>
      </w:pPr>
      <w:r w:rsidRPr="00C1603D">
        <w:t xml:space="preserve">We also investigated </w:t>
      </w:r>
      <w:r w:rsidR="007017F7" w:rsidRPr="00C1603D">
        <w:rPr>
          <w:color w:val="00B0F0"/>
        </w:rPr>
        <w:t>‘</w:t>
      </w:r>
      <w:r w:rsidRPr="00C1603D">
        <w:t>strategies of interest</w:t>
      </w:r>
      <w:proofErr w:type="gramStart"/>
      <w:r w:rsidR="007017F7" w:rsidRPr="00C1603D">
        <w:rPr>
          <w:color w:val="00B0F0"/>
        </w:rPr>
        <w:t>’</w:t>
      </w:r>
      <w:r w:rsidR="006E0892" w:rsidRPr="00C1603D">
        <w:rPr>
          <w:color w:val="00B0F0"/>
        </w:rPr>
        <w:t>,</w:t>
      </w:r>
      <w:proofErr w:type="gramEnd"/>
      <w:r w:rsidRPr="00C1603D">
        <w:t xml:space="preserve"> identified as the sensitivity and specificity of diagnostic indicator strategies described in </w:t>
      </w:r>
      <w:r w:rsidRPr="00C1603D">
        <w:rPr>
          <w:i/>
          <w:iCs/>
        </w:rPr>
        <w:t>Chapters 3</w:t>
      </w:r>
      <w:r w:rsidRPr="00C1603D">
        <w:t xml:space="preserve"> and </w:t>
      </w:r>
      <w:r w:rsidRPr="00C1603D">
        <w:rPr>
          <w:i/>
          <w:iCs/>
        </w:rPr>
        <w:t>4</w:t>
      </w:r>
      <w:r w:rsidRPr="00C1603D">
        <w:t>, which are pre-test probabilities above which to test for CD. These diagnostic indicator strategies were combined with the serological and genetic testing strategies identified as cost-effective in the previous step.</w:t>
      </w:r>
    </w:p>
    <w:p w14:paraId="0A38AF1F" w14:textId="504AC87B" w:rsidR="008B4DF8" w:rsidRPr="00C1603D" w:rsidRDefault="008B4DF8" w:rsidP="008B4DF8">
      <w:pPr>
        <w:pStyle w:val="602TextfoTextstylesTextstyles"/>
      </w:pPr>
      <w:r w:rsidRPr="00C1603D">
        <w:t>We compared</w:t>
      </w:r>
      <w:r w:rsidR="00375442" w:rsidRPr="00C1603D">
        <w:t xml:space="preserve"> the</w:t>
      </w:r>
      <w:r w:rsidRPr="00C1603D">
        <w:t xml:space="preserve"> strategies </w:t>
      </w:r>
      <w:r w:rsidR="00A2091B" w:rsidRPr="00C1603D">
        <w:t>with</w:t>
      </w:r>
      <w:r w:rsidRPr="00C1603D">
        <w:t xml:space="preserve"> one </w:t>
      </w:r>
      <w:r w:rsidR="00A2091B" w:rsidRPr="00C1603D">
        <w:t>in which</w:t>
      </w:r>
      <w:r w:rsidRPr="00C1603D">
        <w:t xml:space="preserve"> no</w:t>
      </w:r>
      <w:r w:rsidR="00375442" w:rsidRPr="00C1603D">
        <w:t>body</w:t>
      </w:r>
      <w:r w:rsidR="004D5051" w:rsidRPr="00C1603D">
        <w:t xml:space="preserve"> </w:t>
      </w:r>
      <w:r w:rsidRPr="00C1603D">
        <w:t>is screened. No screening is equivalent to standard</w:t>
      </w:r>
      <w:r w:rsidR="00301F4A" w:rsidRPr="00C1603D">
        <w:t>-</w:t>
      </w:r>
      <w:r w:rsidRPr="00C1603D">
        <w:t>of</w:t>
      </w:r>
      <w:r w:rsidR="00301F4A" w:rsidRPr="00C1603D">
        <w:t>-</w:t>
      </w:r>
      <w:r w:rsidRPr="00C1603D">
        <w:t>care opportunistic screening</w:t>
      </w:r>
      <w:r w:rsidR="00301F4A" w:rsidRPr="00C1603D">
        <w:t>,</w:t>
      </w:r>
      <w:r w:rsidRPr="00C1603D">
        <w:t xml:space="preserve"> as the model allows diagnosis independently of screening strategies.</w:t>
      </w:r>
    </w:p>
    <w:p w14:paraId="3BA2F554" w14:textId="77BC2F22" w:rsidR="008B4DF8" w:rsidRPr="00C1603D" w:rsidRDefault="008B4DF8" w:rsidP="008B4DF8">
      <w:pPr>
        <w:pStyle w:val="602TextfoTextstylesTextstyles"/>
        <w:rPr>
          <w:sz w:val="24"/>
          <w:szCs w:val="24"/>
        </w:rPr>
      </w:pPr>
      <w:r w:rsidRPr="00C1603D">
        <w:t xml:space="preserve">The analyses </w:t>
      </w:r>
      <w:r w:rsidR="00301F4A" w:rsidRPr="00C1603D">
        <w:t>were</w:t>
      </w:r>
      <w:r w:rsidRPr="00C1603D">
        <w:t xml:space="preserve"> stratified into adult men, adult women and children. Adults were assumed to be initially 18 years </w:t>
      </w:r>
      <w:r w:rsidR="00301F4A" w:rsidRPr="00C1603D">
        <w:t>of age</w:t>
      </w:r>
      <w:r w:rsidRPr="00C1603D">
        <w:t xml:space="preserve">. The mean age </w:t>
      </w:r>
      <w:r w:rsidR="00301F4A" w:rsidRPr="00C1603D">
        <w:t>of</w:t>
      </w:r>
      <w:r w:rsidRPr="00C1603D">
        <w:t xml:space="preserve"> children was assumed to be 10</w:t>
      </w:r>
      <w:r w:rsidR="00301F4A" w:rsidRPr="00C1603D">
        <w:t xml:space="preserve"> years</w:t>
      </w:r>
      <w:r w:rsidRPr="00C1603D">
        <w:t xml:space="preserve"> in accordance with CPRD data on people with CD </w:t>
      </w:r>
      <w:r w:rsidR="00301F4A" w:rsidRPr="00C1603D">
        <w:t>aged &lt; </w:t>
      </w:r>
      <w:r w:rsidRPr="00C1603D">
        <w:t>18</w:t>
      </w:r>
      <w:r w:rsidR="00301F4A" w:rsidRPr="00C1603D">
        <w:t xml:space="preserve"> years</w:t>
      </w:r>
      <w:r w:rsidRPr="00C1603D">
        <w:t>. The proportion of children who are female was assumed to be 50%.</w:t>
      </w:r>
    </w:p>
    <w:p w14:paraId="75AA72C6" w14:textId="77777777" w:rsidR="008B4DF8" w:rsidRPr="00C1603D" w:rsidRDefault="008B4DF8" w:rsidP="008B4DF8">
      <w:pPr>
        <w:pStyle w:val="52AheadHeadingsHeadingstyles"/>
      </w:pPr>
      <w:bookmarkStart w:id="352" w:name="_Toc87507175"/>
      <w:bookmarkStart w:id="353" w:name="_Toc99539897"/>
      <w:r w:rsidRPr="00C1603D">
        <w:lastRenderedPageBreak/>
        <w:t>Methods</w:t>
      </w:r>
      <w:bookmarkEnd w:id="352"/>
      <w:r w:rsidRPr="00C1603D">
        <w:t xml:space="preserve"> for cost-effectiveness analysis</w:t>
      </w:r>
      <w:bookmarkEnd w:id="353"/>
    </w:p>
    <w:p w14:paraId="27021F46" w14:textId="3CDC074E" w:rsidR="008B4DF8" w:rsidRPr="00C1603D" w:rsidRDefault="008B4DF8" w:rsidP="008B4DF8">
      <w:pPr>
        <w:pStyle w:val="602TextfoTextstylesTextstyles"/>
      </w:pPr>
      <w:r w:rsidRPr="00C1603D">
        <w:t>Our model development was based on a review of previously published models</w:t>
      </w:r>
      <w:r w:rsidR="00301F4A" w:rsidRPr="00C1603D">
        <w:t>;</w:t>
      </w:r>
      <w:r w:rsidRPr="00C1603D">
        <w:t xml:space="preserve"> the results of the diagnostic indicator review (</w:t>
      </w:r>
      <w:r w:rsidR="00301F4A" w:rsidRPr="00C1603D">
        <w:t xml:space="preserve">see </w:t>
      </w:r>
      <w:r w:rsidRPr="00C1603D">
        <w:rPr>
          <w:i/>
          <w:iCs/>
        </w:rPr>
        <w:t>Chapter 3</w:t>
      </w:r>
      <w:r w:rsidRPr="00C1603D">
        <w:t>) and CPRD analysis of diagnostic indicators for CD (</w:t>
      </w:r>
      <w:r w:rsidR="00301F4A" w:rsidRPr="00C1603D">
        <w:t xml:space="preserve">see </w:t>
      </w:r>
      <w:r w:rsidRPr="00C1603D">
        <w:rPr>
          <w:i/>
          <w:iCs/>
        </w:rPr>
        <w:t>Chapter 4</w:t>
      </w:r>
      <w:r w:rsidRPr="00C1603D">
        <w:t>)</w:t>
      </w:r>
      <w:r w:rsidR="00301F4A" w:rsidRPr="00C1603D">
        <w:t>,</w:t>
      </w:r>
      <w:r w:rsidRPr="00C1603D">
        <w:t xml:space="preserve"> which identified important patient characteristics for modelling</w:t>
      </w:r>
      <w:r w:rsidR="00301F4A" w:rsidRPr="00C1603D">
        <w:t>;</w:t>
      </w:r>
      <w:r w:rsidRPr="00C1603D">
        <w:t xml:space="preserve"> the results of the meta-analysis on serological and genetic test accuracies (</w:t>
      </w:r>
      <w:r w:rsidR="00301F4A" w:rsidRPr="00C1603D">
        <w:t xml:space="preserve">see </w:t>
      </w:r>
      <w:r w:rsidRPr="00C1603D">
        <w:rPr>
          <w:i/>
          <w:iCs/>
        </w:rPr>
        <w:t>Chapter</w:t>
      </w:r>
      <w:r w:rsidR="00301F4A" w:rsidRPr="00C1603D">
        <w:rPr>
          <w:i/>
          <w:iCs/>
        </w:rPr>
        <w:t>s</w:t>
      </w:r>
      <w:r w:rsidRPr="00C1603D">
        <w:rPr>
          <w:i/>
          <w:iCs/>
        </w:rPr>
        <w:t xml:space="preserve"> 5</w:t>
      </w:r>
      <w:r w:rsidRPr="00C1603D">
        <w:t xml:space="preserve"> and </w:t>
      </w:r>
      <w:r w:rsidRPr="00C1603D">
        <w:rPr>
          <w:i/>
          <w:iCs/>
        </w:rPr>
        <w:t>6</w:t>
      </w:r>
      <w:r w:rsidRPr="00C1603D">
        <w:t>)</w:t>
      </w:r>
      <w:r w:rsidR="00301F4A" w:rsidRPr="00C1603D">
        <w:t>,</w:t>
      </w:r>
      <w:r w:rsidRPr="00C1603D">
        <w:t xml:space="preserve"> which identified tests to model</w:t>
      </w:r>
      <w:r w:rsidR="00301F4A" w:rsidRPr="00C1603D">
        <w:t>;</w:t>
      </w:r>
      <w:r w:rsidRPr="00C1603D">
        <w:t xml:space="preserve"> the survey of patient opinion (</w:t>
      </w:r>
      <w:r w:rsidR="00301F4A" w:rsidRPr="00C1603D">
        <w:t xml:space="preserve">see </w:t>
      </w:r>
      <w:r w:rsidRPr="00C1603D">
        <w:rPr>
          <w:i/>
          <w:iCs/>
        </w:rPr>
        <w:t>Chapter 7</w:t>
      </w:r>
      <w:r w:rsidRPr="00C1603D">
        <w:t>)</w:t>
      </w:r>
      <w:r w:rsidR="00301F4A" w:rsidRPr="00C1603D">
        <w:t>;</w:t>
      </w:r>
      <w:r w:rsidRPr="00C1603D">
        <w:t xml:space="preserve"> and discussion with our clinical and patient advisers.</w:t>
      </w:r>
    </w:p>
    <w:p w14:paraId="17769853" w14:textId="77777777" w:rsidR="008B4DF8" w:rsidRPr="00C1603D" w:rsidRDefault="008B4DF8" w:rsidP="008B4DF8">
      <w:pPr>
        <w:pStyle w:val="53BheadHeadingsHeadingstyles"/>
      </w:pPr>
      <w:bookmarkStart w:id="354" w:name="_Toc87507176"/>
      <w:bookmarkStart w:id="355" w:name="_Toc99539898"/>
      <w:r w:rsidRPr="00C1603D">
        <w:t>Review of previous cost-effectiveness models</w:t>
      </w:r>
      <w:bookmarkEnd w:id="354"/>
      <w:bookmarkEnd w:id="355"/>
    </w:p>
    <w:p w14:paraId="3BBE5E1A" w14:textId="6011140D" w:rsidR="008B4DF8" w:rsidRPr="00C1603D" w:rsidRDefault="008B4DF8" w:rsidP="008B4DF8">
      <w:pPr>
        <w:pStyle w:val="602TextfoTextstylesTextstyles"/>
      </w:pPr>
      <w:r w:rsidRPr="00C1603D">
        <w:t xml:space="preserve">To identify </w:t>
      </w:r>
      <w:proofErr w:type="gramStart"/>
      <w:r w:rsidRPr="00C1603D">
        <w:t>important elements</w:t>
      </w:r>
      <w:proofErr w:type="gramEnd"/>
      <w:r w:rsidRPr="00C1603D">
        <w:t xml:space="preserve"> of CD to model, and potentially identify existing models we could adapt, we reviewed previously published models as a first step in our method of model development.</w:t>
      </w:r>
    </w:p>
    <w:p w14:paraId="112CDCE5" w14:textId="77777777" w:rsidR="008B4DF8" w:rsidRPr="00C1603D" w:rsidRDefault="008B4DF8" w:rsidP="008B4DF8">
      <w:pPr>
        <w:pStyle w:val="54CheadHeadingsHeadingstyles"/>
      </w:pPr>
      <w:bookmarkStart w:id="356" w:name="_Toc87507177"/>
      <w:r w:rsidRPr="00C1603D">
        <w:t>Search strategy</w:t>
      </w:r>
      <w:bookmarkEnd w:id="356"/>
    </w:p>
    <w:p w14:paraId="012301AE" w14:textId="66778B32" w:rsidR="008B4DF8" w:rsidRPr="00C1603D" w:rsidRDefault="008B4DF8" w:rsidP="008B4DF8">
      <w:pPr>
        <w:pStyle w:val="602TextfoTextstylesTextstyles"/>
      </w:pPr>
      <w:r w:rsidRPr="00C1603D">
        <w:t xml:space="preserve">We searched </w:t>
      </w:r>
      <w:r w:rsidRPr="00C1603D">
        <w:rPr>
          <w:color w:val="00B0F0"/>
        </w:rPr>
        <w:t>EMBASE</w:t>
      </w:r>
      <w:r w:rsidRPr="00C1603D">
        <w:t xml:space="preserve"> and combined terms for CD with an economic model filter. This identified 390 papers, which were screened independently by two reviewers. We identified </w:t>
      </w:r>
      <w:proofErr w:type="gramStart"/>
      <w:r w:rsidRPr="00C1603D">
        <w:t>13</w:t>
      </w:r>
      <w:proofErr w:type="gramEnd"/>
      <w:r w:rsidRPr="00C1603D">
        <w:t xml:space="preserve"> papers as relevant. The inclusion criteria were any studies </w:t>
      </w:r>
      <w:r w:rsidR="00301F4A" w:rsidRPr="00C1603D">
        <w:t>that</w:t>
      </w:r>
      <w:r w:rsidRPr="00C1603D">
        <w:t xml:space="preserve"> contained any type of decision</w:t>
      </w:r>
      <w:r w:rsidR="00301F4A" w:rsidRPr="00C1603D">
        <w:t>-</w:t>
      </w:r>
      <w:r w:rsidRPr="00C1603D">
        <w:t xml:space="preserve">analysis model for CD. We excluded economic evaluations not based on cost-effectiveness models. The full search strategy is provided in </w:t>
      </w:r>
      <w:r w:rsidRPr="00C1603D">
        <w:rPr>
          <w:i/>
          <w:iCs/>
        </w:rPr>
        <w:t>Appendix 24</w:t>
      </w:r>
      <w:r w:rsidRPr="00C1603D">
        <w:t>.</w:t>
      </w:r>
    </w:p>
    <w:p w14:paraId="37042470" w14:textId="77777777" w:rsidR="008B4DF8" w:rsidRPr="00C1603D" w:rsidRDefault="008B4DF8" w:rsidP="008B4DF8">
      <w:pPr>
        <w:pStyle w:val="54CheadHeadingsHeadingstyles"/>
      </w:pPr>
      <w:bookmarkStart w:id="357" w:name="_Toc87507178"/>
      <w:r w:rsidRPr="00C1603D">
        <w:t>Summary of identified models</w:t>
      </w:r>
      <w:bookmarkEnd w:id="357"/>
    </w:p>
    <w:p w14:paraId="34F6A751" w14:textId="78D3EDD0" w:rsidR="008B4DF8" w:rsidRPr="00C1603D" w:rsidRDefault="008B4DF8" w:rsidP="008B4DF8">
      <w:pPr>
        <w:pStyle w:val="602TextfoTextstylesTextstyles"/>
        <w:rPr>
          <w:color w:val="auto"/>
        </w:rPr>
      </w:pPr>
      <w:r w:rsidRPr="00C1603D">
        <w:t xml:space="preserve">Of the </w:t>
      </w:r>
      <w:proofErr w:type="gramStart"/>
      <w:r w:rsidRPr="00C1603D">
        <w:t>13</w:t>
      </w:r>
      <w:proofErr w:type="gramEnd"/>
      <w:r w:rsidRPr="00C1603D">
        <w:t xml:space="preserve"> economic models identified, </w:t>
      </w:r>
      <w:r w:rsidR="00301F4A" w:rsidRPr="00C1603D">
        <w:t>seven</w:t>
      </w:r>
      <w:r w:rsidRPr="00C1603D">
        <w:t xml:space="preserve"> were decision trees, </w:t>
      </w:r>
      <w:r w:rsidR="00301F4A" w:rsidRPr="00C1603D">
        <w:t>four were</w:t>
      </w:r>
      <w:r w:rsidRPr="00C1603D">
        <w:t xml:space="preserve"> Markov models and </w:t>
      </w:r>
      <w:r w:rsidR="00301F4A" w:rsidRPr="00C1603D">
        <w:t>two were</w:t>
      </w:r>
      <w:r w:rsidRPr="00C1603D">
        <w:t xml:space="preserve"> decision trees followed by Markov models. Only the NICE 2015 model was in a UK setting.</w:t>
      </w:r>
      <w:r w:rsidRPr="00C1603D">
        <w:rPr>
          <w:noProof/>
          <w:vertAlign w:val="superscript"/>
          <w:lang w:eastAsia="en-GB"/>
        </w:rPr>
        <w:t>198</w:t>
      </w:r>
      <w:r w:rsidRPr="00C1603D">
        <w:t xml:space="preserve"> Of the others, one was set in the Netherlands</w:t>
      </w:r>
      <w:r w:rsidR="006E4D69" w:rsidRPr="00C1603D">
        <w:rPr>
          <w:vertAlign w:val="superscript"/>
        </w:rPr>
        <w:t>207</w:t>
      </w:r>
      <w:r w:rsidRPr="00C1603D">
        <w:t xml:space="preserve"> and the rest were based in the US</w:t>
      </w:r>
      <w:r w:rsidR="00FA0ACB" w:rsidRPr="00C1603D">
        <w:t>A</w:t>
      </w:r>
      <w:r w:rsidRPr="00C1603D">
        <w:t>.</w:t>
      </w:r>
      <w:r w:rsidR="006E4D69" w:rsidRPr="00C1603D">
        <w:rPr>
          <w:vertAlign w:val="superscript"/>
        </w:rPr>
        <w:t>199</w:t>
      </w:r>
      <w:r w:rsidR="00087DBB" w:rsidRPr="00C1603D">
        <w:rPr>
          <w:vertAlign w:val="superscript"/>
        </w:rPr>
        <w:t>–</w:t>
      </w:r>
      <w:r w:rsidR="006E4D69" w:rsidRPr="00C1603D">
        <w:rPr>
          <w:vertAlign w:val="superscript"/>
        </w:rPr>
        <w:t>20</w:t>
      </w:r>
      <w:r w:rsidR="00087DBB" w:rsidRPr="00C1603D">
        <w:rPr>
          <w:vertAlign w:val="superscript"/>
        </w:rPr>
        <w:t>6,208–210</w:t>
      </w:r>
      <w:r w:rsidRPr="00C1603D">
        <w:t xml:space="preserve"> The studies are discussed in chronological order and details are tabulated in </w:t>
      </w:r>
      <w:r w:rsidRPr="00C1603D">
        <w:rPr>
          <w:i/>
          <w:iCs/>
        </w:rPr>
        <w:t xml:space="preserve">Appendix </w:t>
      </w:r>
      <w:r w:rsidRPr="00C1603D">
        <w:rPr>
          <w:i/>
          <w:iCs/>
          <w:color w:val="auto"/>
        </w:rPr>
        <w:t>25</w:t>
      </w:r>
      <w:r w:rsidR="00FA0ACB" w:rsidRPr="00C1603D">
        <w:rPr>
          <w:color w:val="auto"/>
        </w:rPr>
        <w:t>,</w:t>
      </w:r>
      <w:r w:rsidRPr="00C1603D">
        <w:rPr>
          <w:color w:val="auto"/>
        </w:rPr>
        <w:t xml:space="preserve"> </w:t>
      </w:r>
      <w:r w:rsidRPr="00C1603D">
        <w:rPr>
          <w:i/>
          <w:color w:val="auto"/>
        </w:rPr>
        <w:t xml:space="preserve">Table </w:t>
      </w:r>
      <w:r w:rsidRPr="00C1603D">
        <w:rPr>
          <w:i/>
          <w:noProof/>
          <w:color w:val="auto"/>
        </w:rPr>
        <w:t>62</w:t>
      </w:r>
      <w:r w:rsidRPr="00C1603D">
        <w:rPr>
          <w:color w:val="auto"/>
        </w:rPr>
        <w:t>.</w:t>
      </w:r>
    </w:p>
    <w:p w14:paraId="757DB06E" w14:textId="1C39D021" w:rsidR="008B4DF8" w:rsidRPr="00C1603D" w:rsidRDefault="008B4DF8" w:rsidP="008B4DF8">
      <w:pPr>
        <w:pStyle w:val="602TextfoTextstylesTextstyles"/>
        <w:rPr>
          <w:lang w:eastAsia="en-GB"/>
        </w:rPr>
      </w:pPr>
      <w:r w:rsidRPr="00C1603D">
        <w:rPr>
          <w:lang w:eastAsia="en-GB"/>
        </w:rPr>
        <w:t xml:space="preserve">Harewood </w:t>
      </w:r>
      <w:r w:rsidR="00D76FEB" w:rsidRPr="00C1603D">
        <w:rPr>
          <w:lang w:eastAsia="en-GB"/>
        </w:rPr>
        <w:t>and</w:t>
      </w:r>
      <w:r w:rsidRPr="00C1603D">
        <w:rPr>
          <w:lang w:eastAsia="en-GB"/>
        </w:rPr>
        <w:t xml:space="preserve"> Murray</w:t>
      </w:r>
      <w:r w:rsidR="00D76FEB" w:rsidRPr="00C1603D">
        <w:rPr>
          <w:vertAlign w:val="superscript"/>
          <w:lang w:eastAsia="en-GB"/>
        </w:rPr>
        <w:t>199</w:t>
      </w:r>
      <w:r w:rsidRPr="00C1603D">
        <w:rPr>
          <w:lang w:eastAsia="en-GB"/>
        </w:rPr>
        <w:t xml:space="preserve"> </w:t>
      </w:r>
      <w:r w:rsidR="00D76FEB" w:rsidRPr="00C1603D">
        <w:rPr>
          <w:lang w:eastAsia="en-GB"/>
        </w:rPr>
        <w:t>(</w:t>
      </w:r>
      <w:r w:rsidRPr="00C1603D">
        <w:rPr>
          <w:lang w:eastAsia="en-GB"/>
        </w:rPr>
        <w:t>2001</w:t>
      </w:r>
      <w:r w:rsidR="00D76FEB" w:rsidRPr="00C1603D">
        <w:rPr>
          <w:lang w:eastAsia="en-GB"/>
        </w:rPr>
        <w:t>)</w:t>
      </w:r>
      <w:r w:rsidRPr="00C1603D">
        <w:rPr>
          <w:lang w:eastAsia="en-GB"/>
        </w:rPr>
        <w:t xml:space="preserve"> developed a decision tree to compare the costs of different screening strategies for the detection of CD. This study found screening with EMA to be the least costly strategy</w:t>
      </w:r>
      <w:r w:rsidR="00323DA3" w:rsidRPr="00C1603D">
        <w:rPr>
          <w:lang w:eastAsia="en-GB"/>
        </w:rPr>
        <w:t>,</w:t>
      </w:r>
      <w:r w:rsidRPr="00C1603D">
        <w:rPr>
          <w:lang w:eastAsia="en-GB"/>
        </w:rPr>
        <w:t xml:space="preserve"> compared </w:t>
      </w:r>
      <w:r w:rsidR="00323DA3" w:rsidRPr="00C1603D">
        <w:rPr>
          <w:lang w:eastAsia="en-GB"/>
        </w:rPr>
        <w:t>with</w:t>
      </w:r>
      <w:r w:rsidRPr="00C1603D">
        <w:rPr>
          <w:lang w:eastAsia="en-GB"/>
        </w:rPr>
        <w:t xml:space="preserve"> screening with </w:t>
      </w:r>
      <w:r w:rsidR="00872332" w:rsidRPr="00C1603D">
        <w:rPr>
          <w:lang w:eastAsia="en-GB"/>
        </w:rPr>
        <w:t>GA</w:t>
      </w:r>
      <w:r w:rsidRPr="00C1603D">
        <w:rPr>
          <w:lang w:eastAsia="en-GB"/>
        </w:rPr>
        <w:t xml:space="preserve"> or small bowel biopsy</w:t>
      </w:r>
      <w:r w:rsidR="00323DA3" w:rsidRPr="00C1603D">
        <w:rPr>
          <w:lang w:eastAsia="en-GB"/>
        </w:rPr>
        <w:t>,</w:t>
      </w:r>
      <w:r w:rsidRPr="00C1603D">
        <w:rPr>
          <w:lang w:eastAsia="en-GB"/>
        </w:rPr>
        <w:t xml:space="preserve"> in a low</w:t>
      </w:r>
      <w:r w:rsidR="00323DA3" w:rsidRPr="00C1603D">
        <w:rPr>
          <w:lang w:eastAsia="en-GB"/>
        </w:rPr>
        <w:t>-</w:t>
      </w:r>
      <w:r w:rsidRPr="00C1603D">
        <w:rPr>
          <w:lang w:eastAsia="en-GB"/>
        </w:rPr>
        <w:t xml:space="preserve"> to medium</w:t>
      </w:r>
      <w:r w:rsidR="00323DA3" w:rsidRPr="00C1603D">
        <w:rPr>
          <w:lang w:eastAsia="en-GB"/>
        </w:rPr>
        <w:t>-</w:t>
      </w:r>
      <w:r w:rsidRPr="00C1603D">
        <w:rPr>
          <w:lang w:eastAsia="en-GB"/>
        </w:rPr>
        <w:t>risk population. We note</w:t>
      </w:r>
      <w:r w:rsidR="00323DA3" w:rsidRPr="00C1603D">
        <w:rPr>
          <w:lang w:eastAsia="en-GB"/>
        </w:rPr>
        <w:t>,</w:t>
      </w:r>
      <w:r w:rsidRPr="00C1603D">
        <w:rPr>
          <w:lang w:eastAsia="en-GB"/>
        </w:rPr>
        <w:t xml:space="preserve"> however</w:t>
      </w:r>
      <w:r w:rsidR="00323DA3" w:rsidRPr="00C1603D">
        <w:rPr>
          <w:lang w:eastAsia="en-GB"/>
        </w:rPr>
        <w:t>,</w:t>
      </w:r>
      <w:r w:rsidRPr="00C1603D">
        <w:rPr>
          <w:lang w:eastAsia="en-GB"/>
        </w:rPr>
        <w:t xml:space="preserve"> that </w:t>
      </w:r>
      <w:r w:rsidR="00872332" w:rsidRPr="00C1603D">
        <w:rPr>
          <w:lang w:eastAsia="en-GB"/>
        </w:rPr>
        <w:t>GA</w:t>
      </w:r>
      <w:r w:rsidRPr="00C1603D">
        <w:rPr>
          <w:lang w:eastAsia="en-GB"/>
        </w:rPr>
        <w:t xml:space="preserve"> are not recommended by NICE </w:t>
      </w:r>
      <w:r w:rsidR="00323DA3" w:rsidRPr="00C1603D">
        <w:rPr>
          <w:lang w:eastAsia="en-GB"/>
        </w:rPr>
        <w:t>because of</w:t>
      </w:r>
      <w:r w:rsidRPr="00C1603D">
        <w:rPr>
          <w:lang w:eastAsia="en-GB"/>
        </w:rPr>
        <w:t xml:space="preserve"> their low accuracy.</w:t>
      </w:r>
      <w:r w:rsidRPr="00C1603D">
        <w:rPr>
          <w:noProof/>
          <w:vertAlign w:val="superscript"/>
          <w:lang w:eastAsia="en-GB"/>
        </w:rPr>
        <w:t>198</w:t>
      </w:r>
      <w:r w:rsidRPr="00C1603D">
        <w:rPr>
          <w:lang w:eastAsia="en-GB"/>
        </w:rPr>
        <w:t xml:space="preserve"> Mein </w:t>
      </w:r>
      <w:r w:rsidR="00895698" w:rsidRPr="00C1603D">
        <w:rPr>
          <w:lang w:eastAsia="en-GB"/>
        </w:rPr>
        <w:t>and</w:t>
      </w:r>
      <w:r w:rsidRPr="00C1603D">
        <w:rPr>
          <w:lang w:eastAsia="en-GB"/>
        </w:rPr>
        <w:t xml:space="preserve"> Ladabaum</w:t>
      </w:r>
      <w:r w:rsidR="00895698" w:rsidRPr="00C1603D">
        <w:rPr>
          <w:vertAlign w:val="superscript"/>
          <w:lang w:eastAsia="en-GB"/>
        </w:rPr>
        <w:t>200</w:t>
      </w:r>
      <w:r w:rsidRPr="00C1603D">
        <w:rPr>
          <w:lang w:eastAsia="en-GB"/>
        </w:rPr>
        <w:t xml:space="preserve"> </w:t>
      </w:r>
      <w:r w:rsidR="00D13294" w:rsidRPr="00C1603D">
        <w:rPr>
          <w:lang w:eastAsia="en-GB"/>
        </w:rPr>
        <w:t>(</w:t>
      </w:r>
      <w:r w:rsidRPr="00C1603D">
        <w:rPr>
          <w:lang w:eastAsia="en-GB"/>
        </w:rPr>
        <w:t>2004</w:t>
      </w:r>
      <w:r w:rsidR="00D13294" w:rsidRPr="00C1603D">
        <w:rPr>
          <w:lang w:eastAsia="en-GB"/>
        </w:rPr>
        <w:t>)</w:t>
      </w:r>
      <w:r w:rsidRPr="00C1603D">
        <w:rPr>
          <w:lang w:eastAsia="en-GB"/>
        </w:rPr>
        <w:t xml:space="preserve"> used a decision tree to explore the cost-effectiveness of different screening strategies for CD in patients with IBS symptoms. They concluded that testing for tTG to diagnose CD in patients with a diagnosis </w:t>
      </w:r>
      <w:r w:rsidRPr="00C1603D">
        <w:rPr>
          <w:color w:val="auto"/>
          <w:lang w:eastAsia="en-GB"/>
        </w:rPr>
        <w:t xml:space="preserve">of IBS is cost-effective at thresholds of </w:t>
      </w:r>
      <w:r w:rsidR="00D13294" w:rsidRPr="00C1603D">
        <w:rPr>
          <w:color w:val="auto"/>
          <w:lang w:eastAsia="en-GB"/>
        </w:rPr>
        <w:t>US</w:t>
      </w:r>
      <w:r w:rsidRPr="00C1603D">
        <w:rPr>
          <w:color w:val="auto"/>
          <w:lang w:eastAsia="en-GB"/>
        </w:rPr>
        <w:t xml:space="preserve">$50,000 (assuming a prevalence of CD in IBS patients of 2%) and </w:t>
      </w:r>
      <w:r w:rsidR="00D13294" w:rsidRPr="00C1603D">
        <w:rPr>
          <w:color w:val="auto"/>
          <w:lang w:eastAsia="en-GB"/>
        </w:rPr>
        <w:t>US</w:t>
      </w:r>
      <w:r w:rsidRPr="00C1603D">
        <w:rPr>
          <w:color w:val="auto"/>
          <w:lang w:eastAsia="en-GB"/>
        </w:rPr>
        <w:t xml:space="preserve">$100,000 </w:t>
      </w:r>
      <w:r w:rsidR="004827C1" w:rsidRPr="00C1603D">
        <w:rPr>
          <w:color w:val="auto"/>
          <w:lang w:eastAsia="en-GB"/>
        </w:rPr>
        <w:t xml:space="preserve">(assuming a prevalence of CD in IBS patients of 1.1%) </w:t>
      </w:r>
      <w:r w:rsidRPr="00C1603D">
        <w:rPr>
          <w:color w:val="auto"/>
          <w:lang w:eastAsia="en-GB"/>
        </w:rPr>
        <w:t>per QALY gained. Spiegel</w:t>
      </w:r>
      <w:r w:rsidRPr="00C1603D">
        <w:rPr>
          <w:i/>
          <w:color w:val="auto"/>
          <w:lang w:eastAsia="en-GB"/>
        </w:rPr>
        <w:t xml:space="preserve"> et al</w:t>
      </w:r>
      <w:r w:rsidRPr="00C1603D">
        <w:rPr>
          <w:color w:val="auto"/>
          <w:lang w:eastAsia="en-GB"/>
        </w:rPr>
        <w:t>.</w:t>
      </w:r>
      <w:r w:rsidR="00762012" w:rsidRPr="00C1603D">
        <w:rPr>
          <w:color w:val="auto"/>
          <w:vertAlign w:val="superscript"/>
          <w:lang w:eastAsia="en-GB"/>
        </w:rPr>
        <w:t>201</w:t>
      </w:r>
      <w:r w:rsidRPr="00C1603D">
        <w:rPr>
          <w:color w:val="auto"/>
          <w:lang w:eastAsia="en-GB"/>
        </w:rPr>
        <w:t xml:space="preserve"> </w:t>
      </w:r>
      <w:r w:rsidR="00762012" w:rsidRPr="00C1603D">
        <w:rPr>
          <w:color w:val="auto"/>
          <w:lang w:eastAsia="en-GB"/>
        </w:rPr>
        <w:t>(</w:t>
      </w:r>
      <w:r w:rsidRPr="00C1603D">
        <w:rPr>
          <w:color w:val="auto"/>
          <w:lang w:eastAsia="en-GB"/>
        </w:rPr>
        <w:t>2004</w:t>
      </w:r>
      <w:r w:rsidR="00762012" w:rsidRPr="00C1603D">
        <w:rPr>
          <w:color w:val="auto"/>
          <w:lang w:eastAsia="en-GB"/>
        </w:rPr>
        <w:t>)</w:t>
      </w:r>
      <w:r w:rsidRPr="00C1603D">
        <w:rPr>
          <w:color w:val="auto"/>
          <w:lang w:eastAsia="en-GB"/>
        </w:rPr>
        <w:t xml:space="preserve"> built a decision tree followed by a Markov model to evaluate different screening strategies for CD in IBS patients with predominant diarrhoea symptoms. </w:t>
      </w:r>
      <w:commentRangeStart w:id="358"/>
      <w:commentRangeStart w:id="359"/>
      <w:r w:rsidRPr="00C1603D">
        <w:rPr>
          <w:color w:val="auto"/>
          <w:lang w:eastAsia="en-GB"/>
        </w:rPr>
        <w:t>They found that serological testing for CD resulted in 51.6% of the patients achieving symptomatic improvement at 10 years (at a</w:t>
      </w:r>
      <w:r w:rsidR="00762012" w:rsidRPr="00C1603D">
        <w:rPr>
          <w:color w:val="auto"/>
          <w:lang w:eastAsia="en-GB"/>
        </w:rPr>
        <w:t>n average</w:t>
      </w:r>
      <w:r w:rsidRPr="00C1603D">
        <w:rPr>
          <w:color w:val="auto"/>
          <w:lang w:eastAsia="en-GB"/>
        </w:rPr>
        <w:t xml:space="preserve"> cost of </w:t>
      </w:r>
      <w:r w:rsidR="00762012" w:rsidRPr="00C1603D">
        <w:rPr>
          <w:color w:val="auto"/>
          <w:lang w:eastAsia="en-GB"/>
        </w:rPr>
        <w:t>US</w:t>
      </w:r>
      <w:r w:rsidRPr="00C1603D">
        <w:rPr>
          <w:color w:val="auto"/>
          <w:lang w:eastAsia="en-GB"/>
        </w:rPr>
        <w:t>$4100</w:t>
      </w:r>
      <w:r w:rsidR="00762012" w:rsidRPr="00C1603D">
        <w:rPr>
          <w:color w:val="auto"/>
          <w:lang w:eastAsia="en-GB"/>
        </w:rPr>
        <w:t xml:space="preserve"> </w:t>
      </w:r>
      <w:r w:rsidRPr="00C1603D">
        <w:rPr>
          <w:color w:val="auto"/>
          <w:lang w:eastAsia="en-GB"/>
        </w:rPr>
        <w:t>per patient treated).</w:t>
      </w:r>
      <w:commentRangeEnd w:id="358"/>
      <w:r w:rsidR="00762012" w:rsidRPr="00C1603D">
        <w:commentReference w:id="358"/>
      </w:r>
      <w:commentRangeEnd w:id="359"/>
      <w:r w:rsidRPr="00C1603D">
        <w:commentReference w:id="359"/>
      </w:r>
      <w:r w:rsidRPr="00C1603D">
        <w:rPr>
          <w:color w:val="auto"/>
          <w:lang w:eastAsia="en-GB"/>
        </w:rPr>
        <w:t xml:space="preserve"> Starting IBS therapy without testing for CD resulted in 50.9% of </w:t>
      </w:r>
      <w:r w:rsidRPr="00C1603D">
        <w:rPr>
          <w:lang w:eastAsia="en-GB"/>
        </w:rPr>
        <w:t>the population achieving symptomatic improvement (at a</w:t>
      </w:r>
      <w:r w:rsidR="00762012" w:rsidRPr="00C1603D">
        <w:rPr>
          <w:lang w:eastAsia="en-GB"/>
        </w:rPr>
        <w:t>n average</w:t>
      </w:r>
      <w:r w:rsidRPr="00C1603D">
        <w:rPr>
          <w:lang w:eastAsia="en-GB"/>
        </w:rPr>
        <w:t xml:space="preserve"> cost of $4023 per patient treated). The</w:t>
      </w:r>
      <w:r w:rsidRPr="00C1603D">
        <w:t xml:space="preserve"> </w:t>
      </w:r>
      <w:r w:rsidR="00762012" w:rsidRPr="00C1603D">
        <w:rPr>
          <w:lang w:eastAsia="en-GB"/>
        </w:rPr>
        <w:t>incremental cost-effectiveness ra</w:t>
      </w:r>
      <w:r w:rsidRPr="00C1603D">
        <w:rPr>
          <w:lang w:eastAsia="en-GB"/>
        </w:rPr>
        <w:t>tio (ICER) of CD testing</w:t>
      </w:r>
      <w:r w:rsidR="00134FAB" w:rsidRPr="00C1603D">
        <w:rPr>
          <w:lang w:eastAsia="en-GB"/>
        </w:rPr>
        <w:t>,</w:t>
      </w:r>
      <w:r w:rsidRPr="00C1603D">
        <w:rPr>
          <w:lang w:eastAsia="en-GB"/>
        </w:rPr>
        <w:t xml:space="preserve"> compared </w:t>
      </w:r>
      <w:r w:rsidR="00134FAB" w:rsidRPr="00C1603D">
        <w:rPr>
          <w:lang w:eastAsia="en-GB"/>
        </w:rPr>
        <w:t>with</w:t>
      </w:r>
      <w:r w:rsidRPr="00C1603D">
        <w:rPr>
          <w:lang w:eastAsia="en-GB"/>
        </w:rPr>
        <w:t xml:space="preserve"> IBS treatment alone</w:t>
      </w:r>
      <w:r w:rsidR="00134FAB" w:rsidRPr="00C1603D">
        <w:rPr>
          <w:lang w:eastAsia="en-GB"/>
        </w:rPr>
        <w:t>,</w:t>
      </w:r>
      <w:r w:rsidRPr="00C1603D">
        <w:rPr>
          <w:lang w:eastAsia="en-GB"/>
        </w:rPr>
        <w:t xml:space="preserve"> was </w:t>
      </w:r>
      <w:r w:rsidR="00134FAB" w:rsidRPr="00C1603D">
        <w:rPr>
          <w:lang w:eastAsia="en-GB"/>
        </w:rPr>
        <w:t>US</w:t>
      </w:r>
      <w:r w:rsidRPr="00C1603D">
        <w:rPr>
          <w:lang w:eastAsia="en-GB"/>
        </w:rPr>
        <w:t xml:space="preserve">$11,000 to achieve </w:t>
      </w:r>
      <w:r w:rsidR="00134FAB" w:rsidRPr="00C1603D">
        <w:rPr>
          <w:lang w:eastAsia="en-GB"/>
        </w:rPr>
        <w:t>one</w:t>
      </w:r>
      <w:r w:rsidRPr="00C1603D">
        <w:rPr>
          <w:lang w:eastAsia="en-GB"/>
        </w:rPr>
        <w:t xml:space="preserve"> additional symptomatic improvement. Testing for CD was therefore considered cost-effective.</w:t>
      </w:r>
    </w:p>
    <w:p w14:paraId="71E65C47" w14:textId="17A9643F" w:rsidR="008B4DF8" w:rsidRPr="00C1603D" w:rsidRDefault="008B4DF8" w:rsidP="008B4DF8">
      <w:pPr>
        <w:pStyle w:val="602TextfoTextstylesTextstyles"/>
        <w:rPr>
          <w:lang w:eastAsia="en-GB"/>
        </w:rPr>
      </w:pPr>
      <w:r w:rsidRPr="00C1603D">
        <w:rPr>
          <w:color w:val="auto"/>
          <w:lang w:eastAsia="en-GB"/>
        </w:rPr>
        <w:t>Shamir</w:t>
      </w:r>
      <w:r w:rsidRPr="00C1603D">
        <w:rPr>
          <w:i/>
          <w:color w:val="auto"/>
          <w:lang w:eastAsia="en-GB"/>
        </w:rPr>
        <w:t xml:space="preserve"> et al</w:t>
      </w:r>
      <w:r w:rsidRPr="00C1603D">
        <w:rPr>
          <w:color w:val="auto"/>
          <w:lang w:eastAsia="en-GB"/>
        </w:rPr>
        <w:t>.</w:t>
      </w:r>
      <w:r w:rsidR="00134FAB" w:rsidRPr="00C1603D">
        <w:rPr>
          <w:color w:val="auto"/>
          <w:vertAlign w:val="superscript"/>
          <w:lang w:eastAsia="en-GB"/>
        </w:rPr>
        <w:t>202</w:t>
      </w:r>
      <w:r w:rsidRPr="00C1603D">
        <w:rPr>
          <w:color w:val="auto"/>
          <w:lang w:eastAsia="en-GB"/>
        </w:rPr>
        <w:t xml:space="preserve"> </w:t>
      </w:r>
      <w:r w:rsidR="00134FAB" w:rsidRPr="00C1603D">
        <w:rPr>
          <w:color w:val="auto"/>
          <w:lang w:eastAsia="en-GB"/>
        </w:rPr>
        <w:t>(</w:t>
      </w:r>
      <w:r w:rsidRPr="00C1603D">
        <w:rPr>
          <w:color w:val="auto"/>
          <w:lang w:eastAsia="en-GB"/>
        </w:rPr>
        <w:t>2006</w:t>
      </w:r>
      <w:r w:rsidR="00134FAB" w:rsidRPr="00C1603D">
        <w:rPr>
          <w:color w:val="auto"/>
          <w:lang w:eastAsia="en-GB"/>
        </w:rPr>
        <w:t>)</w:t>
      </w:r>
      <w:r w:rsidRPr="00C1603D">
        <w:rPr>
          <w:color w:val="auto"/>
          <w:lang w:eastAsia="en-GB"/>
        </w:rPr>
        <w:t xml:space="preserve"> developed a lifetime Markov model to conduct a cost-effectiveness analysis comparing </w:t>
      </w:r>
      <w:r w:rsidR="007C5F50" w:rsidRPr="00C1603D">
        <w:rPr>
          <w:color w:val="auto"/>
          <w:lang w:eastAsia="en-GB"/>
        </w:rPr>
        <w:t>seven</w:t>
      </w:r>
      <w:r w:rsidRPr="00C1603D">
        <w:rPr>
          <w:color w:val="auto"/>
          <w:lang w:eastAsia="en-GB"/>
        </w:rPr>
        <w:t xml:space="preserve"> screening strategies for CD </w:t>
      </w:r>
      <w:r w:rsidR="00AC62E4" w:rsidRPr="00C1603D">
        <w:rPr>
          <w:color w:val="auto"/>
          <w:lang w:eastAsia="en-GB"/>
        </w:rPr>
        <w:t>in</w:t>
      </w:r>
      <w:r w:rsidRPr="00C1603D">
        <w:rPr>
          <w:color w:val="auto"/>
          <w:lang w:eastAsia="en-GB"/>
        </w:rPr>
        <w:t xml:space="preserve"> the adult population. The ICER was </w:t>
      </w:r>
      <w:r w:rsidR="007C5F50" w:rsidRPr="00C1603D">
        <w:rPr>
          <w:color w:val="auto"/>
          <w:lang w:eastAsia="en-GB"/>
        </w:rPr>
        <w:t>US</w:t>
      </w:r>
      <w:r w:rsidRPr="00C1603D">
        <w:rPr>
          <w:color w:val="auto"/>
          <w:lang w:eastAsia="en-GB"/>
        </w:rPr>
        <w:t>$44,941 per life-year gained for screening</w:t>
      </w:r>
      <w:r w:rsidR="007C5F50" w:rsidRPr="00C1603D">
        <w:rPr>
          <w:color w:val="auto"/>
          <w:lang w:eastAsia="en-GB"/>
        </w:rPr>
        <w:t>,</w:t>
      </w:r>
      <w:r w:rsidRPr="00C1603D">
        <w:rPr>
          <w:color w:val="auto"/>
          <w:lang w:eastAsia="en-GB"/>
        </w:rPr>
        <w:t xml:space="preserve"> compared </w:t>
      </w:r>
      <w:r w:rsidR="007C5F50" w:rsidRPr="00C1603D">
        <w:rPr>
          <w:color w:val="auto"/>
          <w:lang w:eastAsia="en-GB"/>
        </w:rPr>
        <w:t>with</w:t>
      </w:r>
      <w:r w:rsidRPr="00C1603D">
        <w:rPr>
          <w:color w:val="auto"/>
          <w:lang w:eastAsia="en-GB"/>
        </w:rPr>
        <w:t xml:space="preserve"> no screening</w:t>
      </w:r>
      <w:r w:rsidR="007C5F50" w:rsidRPr="00C1603D">
        <w:rPr>
          <w:color w:val="auto"/>
          <w:lang w:eastAsia="en-GB"/>
        </w:rPr>
        <w:t>,</w:t>
      </w:r>
      <w:r w:rsidRPr="00C1603D">
        <w:rPr>
          <w:color w:val="auto"/>
          <w:lang w:eastAsia="en-GB"/>
        </w:rPr>
        <w:t xml:space="preserve"> using an IgA EMA testing strategy. All remaining </w:t>
      </w:r>
      <w:r w:rsidR="007C5F50" w:rsidRPr="00C1603D">
        <w:rPr>
          <w:color w:val="auto"/>
          <w:lang w:eastAsia="en-GB"/>
        </w:rPr>
        <w:t>six</w:t>
      </w:r>
      <w:r w:rsidRPr="00C1603D">
        <w:rPr>
          <w:color w:val="auto"/>
          <w:lang w:eastAsia="en-GB"/>
        </w:rPr>
        <w:t xml:space="preserve"> strategies were dominated and thus excluded. Swigonski</w:t>
      </w:r>
      <w:r w:rsidRPr="00C1603D">
        <w:rPr>
          <w:i/>
          <w:color w:val="auto"/>
          <w:lang w:eastAsia="en-GB"/>
        </w:rPr>
        <w:t xml:space="preserve"> et al</w:t>
      </w:r>
      <w:r w:rsidRPr="00C1603D">
        <w:rPr>
          <w:color w:val="auto"/>
          <w:lang w:eastAsia="en-GB"/>
        </w:rPr>
        <w:t>.</w:t>
      </w:r>
      <w:r w:rsidR="007C5F50" w:rsidRPr="00C1603D">
        <w:rPr>
          <w:color w:val="auto"/>
          <w:vertAlign w:val="superscript"/>
          <w:lang w:eastAsia="en-GB"/>
        </w:rPr>
        <w:t>203</w:t>
      </w:r>
      <w:r w:rsidRPr="00C1603D">
        <w:rPr>
          <w:color w:val="auto"/>
          <w:lang w:eastAsia="en-GB"/>
        </w:rPr>
        <w:t xml:space="preserve"> </w:t>
      </w:r>
      <w:r w:rsidR="007C5F50" w:rsidRPr="00C1603D">
        <w:rPr>
          <w:color w:val="auto"/>
          <w:lang w:eastAsia="en-GB"/>
        </w:rPr>
        <w:t>(</w:t>
      </w:r>
      <w:r w:rsidRPr="00C1603D">
        <w:rPr>
          <w:color w:val="auto"/>
          <w:lang w:eastAsia="en-GB"/>
        </w:rPr>
        <w:t>2006</w:t>
      </w:r>
      <w:r w:rsidR="007C5F50" w:rsidRPr="00C1603D">
        <w:rPr>
          <w:color w:val="auto"/>
          <w:lang w:eastAsia="en-GB"/>
        </w:rPr>
        <w:t>)</w:t>
      </w:r>
      <w:r w:rsidRPr="00C1603D">
        <w:rPr>
          <w:color w:val="auto"/>
          <w:lang w:eastAsia="en-GB"/>
        </w:rPr>
        <w:t xml:space="preserve"> used a decision tree to evaluate the cost-effectiveness of screening </w:t>
      </w:r>
      <w:r w:rsidRPr="00C1603D">
        <w:rPr>
          <w:lang w:eastAsia="en-GB"/>
        </w:rPr>
        <w:t xml:space="preserve">for CD </w:t>
      </w:r>
      <w:r w:rsidR="00AC62E4" w:rsidRPr="00C1603D">
        <w:rPr>
          <w:lang w:eastAsia="en-GB"/>
        </w:rPr>
        <w:t>among</w:t>
      </w:r>
      <w:r w:rsidRPr="00C1603D">
        <w:rPr>
          <w:lang w:eastAsia="en-GB"/>
        </w:rPr>
        <w:t xml:space="preserve"> asymptomatic children with Down syndrome to prevent lymphoma. They found that screening for CD </w:t>
      </w:r>
      <w:r w:rsidR="00AC62E4" w:rsidRPr="00C1603D">
        <w:rPr>
          <w:lang w:eastAsia="en-GB"/>
        </w:rPr>
        <w:t>among</w:t>
      </w:r>
      <w:r w:rsidRPr="00C1603D">
        <w:rPr>
          <w:lang w:eastAsia="en-GB"/>
        </w:rPr>
        <w:t xml:space="preserve"> children with Down syndrome is more costly and less effective than not screening</w:t>
      </w:r>
      <w:r w:rsidR="00AC62E4" w:rsidRPr="00C1603D">
        <w:rPr>
          <w:lang w:eastAsia="en-GB"/>
        </w:rPr>
        <w:t>,</w:t>
      </w:r>
      <w:r w:rsidRPr="00C1603D">
        <w:rPr>
          <w:lang w:eastAsia="en-GB"/>
        </w:rPr>
        <w:t xml:space="preserve"> and decreases quality of life.</w:t>
      </w:r>
    </w:p>
    <w:p w14:paraId="2D6EF46C" w14:textId="30F977C4" w:rsidR="008B4DF8" w:rsidRPr="00C1603D" w:rsidRDefault="008B4DF8" w:rsidP="008B4DF8">
      <w:pPr>
        <w:pStyle w:val="602TextfoTextstylesTextstyles"/>
        <w:rPr>
          <w:lang w:eastAsia="en-GB"/>
        </w:rPr>
      </w:pPr>
      <w:r w:rsidRPr="00C1603D">
        <w:rPr>
          <w:lang w:eastAsia="en-GB"/>
        </w:rPr>
        <w:t>Dorn and Matchar</w:t>
      </w:r>
      <w:r w:rsidR="00AC62E4" w:rsidRPr="00C1603D">
        <w:rPr>
          <w:vertAlign w:val="superscript"/>
          <w:lang w:eastAsia="en-GB"/>
        </w:rPr>
        <w:t>204</w:t>
      </w:r>
      <w:r w:rsidRPr="00C1603D">
        <w:rPr>
          <w:lang w:eastAsia="en-GB"/>
        </w:rPr>
        <w:t xml:space="preserve"> </w:t>
      </w:r>
      <w:r w:rsidR="00AC62E4" w:rsidRPr="00C1603D">
        <w:rPr>
          <w:lang w:eastAsia="en-GB"/>
        </w:rPr>
        <w:t>(</w:t>
      </w:r>
      <w:r w:rsidRPr="00C1603D">
        <w:rPr>
          <w:lang w:eastAsia="en-GB"/>
        </w:rPr>
        <w:t>2008</w:t>
      </w:r>
      <w:r w:rsidR="00AC62E4" w:rsidRPr="00C1603D">
        <w:rPr>
          <w:lang w:eastAsia="en-GB"/>
        </w:rPr>
        <w:t>)</w:t>
      </w:r>
      <w:r w:rsidRPr="00C1603D">
        <w:rPr>
          <w:lang w:eastAsia="en-GB"/>
        </w:rPr>
        <w:t xml:space="preserve"> evaluated the cost-effectiveness of </w:t>
      </w:r>
      <w:r w:rsidR="00AC62E4" w:rsidRPr="00C1603D">
        <w:rPr>
          <w:lang w:eastAsia="en-GB"/>
        </w:rPr>
        <w:t>five</w:t>
      </w:r>
      <w:r w:rsidRPr="00C1603D">
        <w:rPr>
          <w:lang w:eastAsia="en-GB"/>
        </w:rPr>
        <w:t xml:space="preserve"> strategies for diagnosing CD.</w:t>
      </w:r>
      <w:r w:rsidRPr="00C1603D">
        <w:t xml:space="preserve"> The IgA </w:t>
      </w:r>
      <w:r w:rsidRPr="00C1603D">
        <w:rPr>
          <w:lang w:eastAsia="en-GB"/>
        </w:rPr>
        <w:t>tTG alone strategy was the least costly (</w:t>
      </w:r>
      <w:r w:rsidR="00AC62E4" w:rsidRPr="00C1603D">
        <w:rPr>
          <w:lang w:eastAsia="en-GB"/>
        </w:rPr>
        <w:t>US</w:t>
      </w:r>
      <w:r w:rsidRPr="00C1603D">
        <w:rPr>
          <w:lang w:eastAsia="en-GB"/>
        </w:rPr>
        <w:t xml:space="preserve">$22 per person), but also the least accurate. IgA tTG </w:t>
      </w:r>
      <w:r w:rsidRPr="00C1603D">
        <w:rPr>
          <w:lang w:eastAsia="en-GB"/>
        </w:rPr>
        <w:lastRenderedPageBreak/>
        <w:t xml:space="preserve">then HLA then </w:t>
      </w:r>
      <w:r w:rsidR="00267212" w:rsidRPr="00C1603D">
        <w:rPr>
          <w:lang w:eastAsia="en-GB"/>
        </w:rPr>
        <w:t>o</w:t>
      </w:r>
      <w:r w:rsidRPr="00C1603D">
        <w:t>esophagogastroduodenoscopy (</w:t>
      </w:r>
      <w:r w:rsidR="00267212" w:rsidRPr="00C1603D">
        <w:t>O</w:t>
      </w:r>
      <w:r w:rsidRPr="00C1603D">
        <w:t xml:space="preserve">GD) </w:t>
      </w:r>
      <w:r w:rsidR="00AC62E4" w:rsidRPr="00C1603D">
        <w:rPr>
          <w:lang w:eastAsia="en-GB"/>
        </w:rPr>
        <w:t>cost</w:t>
      </w:r>
      <w:r w:rsidRPr="00C1603D">
        <w:rPr>
          <w:lang w:eastAsia="en-GB"/>
        </w:rPr>
        <w:t xml:space="preserve"> </w:t>
      </w:r>
      <w:r w:rsidR="00AC62E4" w:rsidRPr="00C1603D">
        <w:rPr>
          <w:lang w:eastAsia="en-GB"/>
        </w:rPr>
        <w:t>US</w:t>
      </w:r>
      <w:r w:rsidRPr="00C1603D">
        <w:rPr>
          <w:lang w:eastAsia="en-GB"/>
        </w:rPr>
        <w:t xml:space="preserve">$2233 per additional correctly diagnosed case. IgA tTG followed by further IgA testing and then </w:t>
      </w:r>
      <w:r w:rsidR="00267212" w:rsidRPr="00C1603D">
        <w:rPr>
          <w:lang w:eastAsia="en-GB"/>
        </w:rPr>
        <w:t>OGD</w:t>
      </w:r>
      <w:r w:rsidRPr="00C1603D">
        <w:rPr>
          <w:lang w:eastAsia="en-GB"/>
        </w:rPr>
        <w:t xml:space="preserve"> biopsy was </w:t>
      </w:r>
      <w:r w:rsidR="003909D6" w:rsidRPr="00C1603D">
        <w:rPr>
          <w:lang w:eastAsia="en-GB"/>
        </w:rPr>
        <w:t>US</w:t>
      </w:r>
      <w:r w:rsidRPr="00C1603D">
        <w:rPr>
          <w:lang w:eastAsia="en-GB"/>
        </w:rPr>
        <w:t xml:space="preserve">$32,605 per additional correctly diagnosed case. </w:t>
      </w:r>
      <w:r w:rsidR="00267212" w:rsidRPr="00C1603D">
        <w:rPr>
          <w:lang w:eastAsia="en-GB"/>
        </w:rPr>
        <w:t>OGD</w:t>
      </w:r>
      <w:r w:rsidRPr="00C1603D">
        <w:rPr>
          <w:lang w:eastAsia="en-GB"/>
        </w:rPr>
        <w:t xml:space="preserve"> with biopsy alone had an ICER </w:t>
      </w:r>
      <w:r w:rsidR="003909D6" w:rsidRPr="00C1603D">
        <w:rPr>
          <w:lang w:eastAsia="en-GB"/>
        </w:rPr>
        <w:t>of &gt; US$1M</w:t>
      </w:r>
      <w:r w:rsidRPr="00C1603D">
        <w:rPr>
          <w:lang w:eastAsia="en-GB"/>
        </w:rPr>
        <w:t>. Chang and Green</w:t>
      </w:r>
      <w:r w:rsidR="00504F3B" w:rsidRPr="00C1603D">
        <w:rPr>
          <w:vertAlign w:val="superscript"/>
          <w:lang w:eastAsia="en-GB"/>
        </w:rPr>
        <w:t>205</w:t>
      </w:r>
      <w:r w:rsidRPr="00C1603D">
        <w:rPr>
          <w:lang w:eastAsia="en-GB"/>
        </w:rPr>
        <w:t xml:space="preserve"> </w:t>
      </w:r>
      <w:r w:rsidR="00504F3B" w:rsidRPr="00C1603D">
        <w:rPr>
          <w:lang w:eastAsia="en-GB"/>
        </w:rPr>
        <w:t>(</w:t>
      </w:r>
      <w:r w:rsidRPr="00C1603D">
        <w:rPr>
          <w:lang w:eastAsia="en-GB"/>
        </w:rPr>
        <w:t>2009</w:t>
      </w:r>
      <w:r w:rsidR="00504F3B" w:rsidRPr="00C1603D">
        <w:rPr>
          <w:lang w:eastAsia="en-GB"/>
        </w:rPr>
        <w:t>)</w:t>
      </w:r>
      <w:r w:rsidRPr="00C1603D">
        <w:rPr>
          <w:lang w:eastAsia="en-GB"/>
        </w:rPr>
        <w:t xml:space="preserve"> developed a decision tree to evaluate the cost of genetic testing before </w:t>
      </w:r>
      <w:r w:rsidRPr="00C1603D">
        <w:rPr>
          <w:color w:val="00B0F0"/>
          <w:lang w:eastAsia="en-GB"/>
        </w:rPr>
        <w:t>serological</w:t>
      </w:r>
      <w:r w:rsidRPr="00C1603D">
        <w:rPr>
          <w:lang w:eastAsia="en-GB"/>
        </w:rPr>
        <w:t xml:space="preserve"> screening </w:t>
      </w:r>
      <w:r w:rsidR="00504F3B" w:rsidRPr="00C1603D">
        <w:rPr>
          <w:lang w:eastAsia="en-GB"/>
        </w:rPr>
        <w:t>among</w:t>
      </w:r>
      <w:r w:rsidRPr="00C1603D">
        <w:rPr>
          <w:lang w:eastAsia="en-GB"/>
        </w:rPr>
        <w:t xml:space="preserve"> relatives of </w:t>
      </w:r>
      <w:r w:rsidR="00504F3B" w:rsidRPr="00C1603D">
        <w:rPr>
          <w:lang w:eastAsia="en-GB"/>
        </w:rPr>
        <w:t>people</w:t>
      </w:r>
      <w:r w:rsidRPr="00C1603D">
        <w:rPr>
          <w:lang w:eastAsia="en-GB"/>
        </w:rPr>
        <w:t xml:space="preserve"> with CD. The cost of initial screening with IgA tTG of relatives was </w:t>
      </w:r>
      <w:r w:rsidR="00504F3B" w:rsidRPr="00C1603D">
        <w:rPr>
          <w:lang w:eastAsia="en-GB"/>
        </w:rPr>
        <w:t>US</w:t>
      </w:r>
      <w:r w:rsidRPr="00C1603D">
        <w:rPr>
          <w:lang w:eastAsia="en-GB"/>
        </w:rPr>
        <w:t xml:space="preserve">$434 per person. Genetic screening before serological screening of relatives was more costly, at </w:t>
      </w:r>
      <w:r w:rsidR="00504F3B" w:rsidRPr="00C1603D">
        <w:rPr>
          <w:lang w:eastAsia="en-GB"/>
        </w:rPr>
        <w:t>US</w:t>
      </w:r>
      <w:r w:rsidRPr="00C1603D">
        <w:rPr>
          <w:lang w:eastAsia="en-GB"/>
        </w:rPr>
        <w:t xml:space="preserve">$750 per person. In terms of cost per correct diagnosis of CD, it would cost </w:t>
      </w:r>
      <w:r w:rsidR="00504F3B" w:rsidRPr="00C1603D">
        <w:rPr>
          <w:lang w:eastAsia="en-GB"/>
        </w:rPr>
        <w:t>US</w:t>
      </w:r>
      <w:r w:rsidRPr="00C1603D">
        <w:rPr>
          <w:lang w:eastAsia="en-GB"/>
        </w:rPr>
        <w:t xml:space="preserve">$2668 per case in the initial IgA tTG branch, and </w:t>
      </w:r>
      <w:r w:rsidR="00504F3B" w:rsidRPr="00C1603D">
        <w:rPr>
          <w:lang w:eastAsia="en-GB"/>
        </w:rPr>
        <w:t>US</w:t>
      </w:r>
      <w:r w:rsidRPr="00C1603D">
        <w:rPr>
          <w:lang w:eastAsia="en-GB"/>
        </w:rPr>
        <w:t xml:space="preserve">$4422 </w:t>
      </w:r>
      <w:r w:rsidR="00F470F3" w:rsidRPr="00C1603D">
        <w:rPr>
          <w:lang w:eastAsia="en-GB"/>
        </w:rPr>
        <w:t>per case in the</w:t>
      </w:r>
      <w:r w:rsidRPr="00C1603D">
        <w:rPr>
          <w:lang w:eastAsia="en-GB"/>
        </w:rPr>
        <w:t xml:space="preserve"> HLA branch. The incremental cost per additional case of CD diagnosed would be approximately </w:t>
      </w:r>
      <w:r w:rsidR="00F470F3" w:rsidRPr="00C1603D">
        <w:rPr>
          <w:lang w:eastAsia="en-GB"/>
        </w:rPr>
        <w:t>US</w:t>
      </w:r>
      <w:r w:rsidRPr="00C1603D">
        <w:rPr>
          <w:lang w:eastAsia="en-GB"/>
        </w:rPr>
        <w:t>$449,000 for genetic testing when compared with IgA tTG alone.</w:t>
      </w:r>
    </w:p>
    <w:p w14:paraId="14A3AAFA" w14:textId="7DBBA320" w:rsidR="008B4DF8" w:rsidRPr="00C1603D" w:rsidRDefault="008B4DF8" w:rsidP="008B4DF8">
      <w:pPr>
        <w:pStyle w:val="602TextfoTextstylesTextstyles"/>
        <w:rPr>
          <w:lang w:eastAsia="en-GB"/>
        </w:rPr>
      </w:pPr>
      <w:r w:rsidRPr="00C1603D">
        <w:rPr>
          <w:color w:val="auto"/>
          <w:lang w:eastAsia="en-GB"/>
        </w:rPr>
        <w:t>Hershcovici</w:t>
      </w:r>
      <w:r w:rsidRPr="00C1603D">
        <w:rPr>
          <w:i/>
          <w:color w:val="auto"/>
          <w:lang w:eastAsia="en-GB"/>
        </w:rPr>
        <w:t xml:space="preserve"> et al</w:t>
      </w:r>
      <w:r w:rsidRPr="00C1603D">
        <w:rPr>
          <w:color w:val="auto"/>
          <w:lang w:eastAsia="en-GB"/>
        </w:rPr>
        <w:t>.</w:t>
      </w:r>
      <w:r w:rsidR="00145965" w:rsidRPr="00C1603D">
        <w:rPr>
          <w:color w:val="auto"/>
          <w:vertAlign w:val="superscript"/>
          <w:lang w:eastAsia="en-GB"/>
        </w:rPr>
        <w:t>206</w:t>
      </w:r>
      <w:r w:rsidRPr="00C1603D">
        <w:rPr>
          <w:color w:val="auto"/>
          <w:lang w:eastAsia="en-GB"/>
        </w:rPr>
        <w:t xml:space="preserve"> </w:t>
      </w:r>
      <w:r w:rsidR="00145965" w:rsidRPr="00C1603D">
        <w:rPr>
          <w:color w:val="auto"/>
          <w:lang w:eastAsia="en-GB"/>
        </w:rPr>
        <w:t>(</w:t>
      </w:r>
      <w:r w:rsidRPr="00C1603D">
        <w:rPr>
          <w:color w:val="auto"/>
          <w:lang w:eastAsia="en-GB"/>
        </w:rPr>
        <w:t>2010</w:t>
      </w:r>
      <w:r w:rsidR="00145965" w:rsidRPr="00C1603D">
        <w:rPr>
          <w:color w:val="auto"/>
          <w:lang w:eastAsia="en-GB"/>
        </w:rPr>
        <w:t>)</w:t>
      </w:r>
      <w:r w:rsidRPr="00C1603D">
        <w:rPr>
          <w:color w:val="auto"/>
          <w:lang w:eastAsia="en-GB"/>
        </w:rPr>
        <w:t xml:space="preserve"> developed a Markov model to estimate whether </w:t>
      </w:r>
      <w:r w:rsidR="00145965" w:rsidRPr="00C1603D">
        <w:rPr>
          <w:color w:val="auto"/>
          <w:lang w:eastAsia="en-GB"/>
        </w:rPr>
        <w:t xml:space="preserve">or not </w:t>
      </w:r>
      <w:r w:rsidRPr="00C1603D">
        <w:rPr>
          <w:color w:val="auto"/>
          <w:lang w:eastAsia="en-GB"/>
        </w:rPr>
        <w:t>mass screening using serological tests followed by biopsy is cost-effective</w:t>
      </w:r>
      <w:r w:rsidR="00145965" w:rsidRPr="00C1603D">
        <w:rPr>
          <w:color w:val="auto"/>
          <w:lang w:eastAsia="en-GB"/>
        </w:rPr>
        <w:t>,</w:t>
      </w:r>
      <w:r w:rsidRPr="00C1603D">
        <w:rPr>
          <w:color w:val="auto"/>
          <w:lang w:eastAsia="en-GB"/>
        </w:rPr>
        <w:t xml:space="preserve"> compared </w:t>
      </w:r>
      <w:r w:rsidR="00145965" w:rsidRPr="00C1603D">
        <w:rPr>
          <w:color w:val="auto"/>
          <w:lang w:eastAsia="en-GB"/>
        </w:rPr>
        <w:t>with</w:t>
      </w:r>
      <w:r w:rsidRPr="00C1603D">
        <w:rPr>
          <w:color w:val="auto"/>
          <w:lang w:eastAsia="en-GB"/>
        </w:rPr>
        <w:t xml:space="preserve"> no</w:t>
      </w:r>
      <w:r w:rsidR="00E85555" w:rsidRPr="00C1603D">
        <w:rPr>
          <w:color w:val="auto"/>
          <w:lang w:eastAsia="en-GB"/>
        </w:rPr>
        <w:t xml:space="preserve"> </w:t>
      </w:r>
      <w:r w:rsidRPr="00C1603D">
        <w:rPr>
          <w:color w:val="auto"/>
          <w:lang w:eastAsia="en-GB"/>
        </w:rPr>
        <w:t>screening. The ICER of screening</w:t>
      </w:r>
      <w:r w:rsidR="00145965" w:rsidRPr="00C1603D">
        <w:rPr>
          <w:color w:val="auto"/>
          <w:lang w:eastAsia="en-GB"/>
        </w:rPr>
        <w:t>,</w:t>
      </w:r>
      <w:r w:rsidRPr="00C1603D">
        <w:rPr>
          <w:color w:val="auto"/>
          <w:lang w:eastAsia="en-GB"/>
        </w:rPr>
        <w:t xml:space="preserve"> compared </w:t>
      </w:r>
      <w:r w:rsidR="00145965" w:rsidRPr="00C1603D">
        <w:rPr>
          <w:color w:val="auto"/>
          <w:lang w:eastAsia="en-GB"/>
        </w:rPr>
        <w:t>with</w:t>
      </w:r>
      <w:r w:rsidRPr="00C1603D">
        <w:rPr>
          <w:color w:val="auto"/>
          <w:lang w:eastAsia="en-GB"/>
        </w:rPr>
        <w:t xml:space="preserve"> no screening</w:t>
      </w:r>
      <w:r w:rsidR="00145965" w:rsidRPr="00C1603D">
        <w:rPr>
          <w:color w:val="auto"/>
          <w:lang w:eastAsia="en-GB"/>
        </w:rPr>
        <w:t>,</w:t>
      </w:r>
      <w:r w:rsidRPr="00C1603D">
        <w:rPr>
          <w:color w:val="auto"/>
          <w:lang w:eastAsia="en-GB"/>
        </w:rPr>
        <w:t xml:space="preserve"> was </w:t>
      </w:r>
      <w:r w:rsidR="00145965" w:rsidRPr="00C1603D">
        <w:rPr>
          <w:color w:val="auto"/>
          <w:lang w:eastAsia="en-GB"/>
        </w:rPr>
        <w:t>US</w:t>
      </w:r>
      <w:r w:rsidRPr="00C1603D">
        <w:rPr>
          <w:color w:val="auto"/>
          <w:lang w:eastAsia="en-GB"/>
        </w:rPr>
        <w:t>$48,960 per QALY gain</w:t>
      </w:r>
      <w:r w:rsidR="00145965" w:rsidRPr="00C1603D">
        <w:rPr>
          <w:color w:val="auto"/>
          <w:lang w:eastAsia="en-GB"/>
        </w:rPr>
        <w:t>ed</w:t>
      </w:r>
      <w:r w:rsidRPr="00C1603D">
        <w:rPr>
          <w:color w:val="auto"/>
          <w:lang w:eastAsia="en-GB"/>
        </w:rPr>
        <w:t xml:space="preserve">. However, at a </w:t>
      </w:r>
      <w:r w:rsidR="00145965" w:rsidRPr="00C1603D">
        <w:rPr>
          <w:color w:val="auto"/>
          <w:lang w:eastAsia="en-GB"/>
        </w:rPr>
        <w:t>US</w:t>
      </w:r>
      <w:r w:rsidRPr="00C1603D">
        <w:rPr>
          <w:color w:val="auto"/>
          <w:lang w:eastAsia="en-GB"/>
        </w:rPr>
        <w:t>$50,000 threshold</w:t>
      </w:r>
      <w:r w:rsidR="00145965" w:rsidRPr="00C1603D">
        <w:rPr>
          <w:color w:val="auto"/>
          <w:lang w:eastAsia="en-GB"/>
        </w:rPr>
        <w:t>,</w:t>
      </w:r>
      <w:r w:rsidRPr="00C1603D">
        <w:rPr>
          <w:color w:val="auto"/>
          <w:lang w:eastAsia="en-GB"/>
        </w:rPr>
        <w:t xml:space="preserve"> the probability of being cost-effective was 60%. Mohseninejad</w:t>
      </w:r>
      <w:r w:rsidRPr="00C1603D">
        <w:rPr>
          <w:i/>
          <w:color w:val="auto"/>
          <w:lang w:eastAsia="en-GB"/>
        </w:rPr>
        <w:t xml:space="preserve"> et al</w:t>
      </w:r>
      <w:r w:rsidRPr="00C1603D">
        <w:rPr>
          <w:color w:val="auto"/>
          <w:lang w:eastAsia="en-GB"/>
        </w:rPr>
        <w:t>.</w:t>
      </w:r>
      <w:r w:rsidR="00145965" w:rsidRPr="00C1603D">
        <w:rPr>
          <w:color w:val="auto"/>
          <w:vertAlign w:val="superscript"/>
          <w:lang w:eastAsia="en-GB"/>
        </w:rPr>
        <w:t>207</w:t>
      </w:r>
      <w:r w:rsidRPr="00C1603D">
        <w:rPr>
          <w:color w:val="auto"/>
          <w:lang w:eastAsia="en-GB"/>
        </w:rPr>
        <w:t xml:space="preserve"> </w:t>
      </w:r>
      <w:r w:rsidR="00145965" w:rsidRPr="00C1603D">
        <w:rPr>
          <w:color w:val="auto"/>
          <w:lang w:eastAsia="en-GB"/>
        </w:rPr>
        <w:t>(</w:t>
      </w:r>
      <w:r w:rsidRPr="00C1603D">
        <w:rPr>
          <w:color w:val="auto"/>
          <w:lang w:eastAsia="en-GB"/>
        </w:rPr>
        <w:t>2013</w:t>
      </w:r>
      <w:r w:rsidR="00145965" w:rsidRPr="00C1603D">
        <w:rPr>
          <w:color w:val="auto"/>
          <w:lang w:eastAsia="en-GB"/>
        </w:rPr>
        <w:t>)</w:t>
      </w:r>
      <w:r w:rsidRPr="00C1603D">
        <w:rPr>
          <w:color w:val="auto"/>
          <w:lang w:eastAsia="en-GB"/>
        </w:rPr>
        <w:t xml:space="preserve"> conducted a cost-effectiveness analysis of targeted screening for CD among IBS patients and compared serological screening with no screening. They </w:t>
      </w:r>
      <w:r w:rsidRPr="00C1603D">
        <w:rPr>
          <w:lang w:eastAsia="en-GB"/>
        </w:rPr>
        <w:t xml:space="preserve">concluded that screening patients with confirmed IBS symptoms for CD is cost-effective (ICER of </w:t>
      </w:r>
      <w:r w:rsidR="00D9356E" w:rsidRPr="00C1603D">
        <w:rPr>
          <w:lang w:eastAsia="en-GB"/>
        </w:rPr>
        <w:t>€</w:t>
      </w:r>
      <w:r w:rsidRPr="00C1603D">
        <w:rPr>
          <w:lang w:eastAsia="en-GB"/>
        </w:rPr>
        <w:t>6200).</w:t>
      </w:r>
    </w:p>
    <w:p w14:paraId="65E30731" w14:textId="2E305F18" w:rsidR="008B4DF8" w:rsidRPr="00C1603D" w:rsidRDefault="008B4DF8" w:rsidP="008B4DF8">
      <w:pPr>
        <w:pStyle w:val="602TextfoTextstylesTextstyles"/>
        <w:rPr>
          <w:lang w:eastAsia="en-GB"/>
        </w:rPr>
      </w:pPr>
      <w:r w:rsidRPr="00C1603D">
        <w:rPr>
          <w:color w:val="auto"/>
          <w:lang w:eastAsia="en-GB"/>
        </w:rPr>
        <w:t>Park</w:t>
      </w:r>
      <w:r w:rsidRPr="00C1603D">
        <w:rPr>
          <w:i/>
          <w:color w:val="auto"/>
          <w:lang w:eastAsia="en-GB"/>
        </w:rPr>
        <w:t xml:space="preserve"> et al</w:t>
      </w:r>
      <w:r w:rsidRPr="00C1603D">
        <w:rPr>
          <w:color w:val="auto"/>
          <w:lang w:eastAsia="en-GB"/>
        </w:rPr>
        <w:t>.</w:t>
      </w:r>
      <w:r w:rsidR="00181A17" w:rsidRPr="00C1603D">
        <w:rPr>
          <w:color w:val="auto"/>
          <w:vertAlign w:val="superscript"/>
          <w:lang w:eastAsia="en-GB"/>
        </w:rPr>
        <w:t>208</w:t>
      </w:r>
      <w:r w:rsidRPr="00C1603D">
        <w:rPr>
          <w:color w:val="auto"/>
          <w:lang w:eastAsia="en-GB"/>
        </w:rPr>
        <w:t xml:space="preserve"> </w:t>
      </w:r>
      <w:r w:rsidR="00B8511B" w:rsidRPr="00C1603D">
        <w:rPr>
          <w:color w:val="auto"/>
          <w:lang w:eastAsia="en-GB"/>
        </w:rPr>
        <w:t>(</w:t>
      </w:r>
      <w:r w:rsidRPr="00C1603D">
        <w:rPr>
          <w:color w:val="auto"/>
          <w:lang w:eastAsia="en-GB"/>
        </w:rPr>
        <w:t>2013</w:t>
      </w:r>
      <w:r w:rsidR="00B8511B" w:rsidRPr="00C1603D">
        <w:rPr>
          <w:color w:val="auto"/>
          <w:lang w:eastAsia="en-GB"/>
        </w:rPr>
        <w:t>)</w:t>
      </w:r>
      <w:r w:rsidRPr="00C1603D">
        <w:rPr>
          <w:color w:val="auto"/>
          <w:lang w:eastAsia="en-GB"/>
        </w:rPr>
        <w:t xml:space="preserve"> developed a Markov model to determine the cost-effectiveness of universal serological screening to prevent non</w:t>
      </w:r>
      <w:r w:rsidR="00B8511B" w:rsidRPr="00C1603D">
        <w:rPr>
          <w:color w:val="auto"/>
          <w:lang w:eastAsia="en-GB"/>
        </w:rPr>
        <w:t>-</w:t>
      </w:r>
      <w:r w:rsidRPr="00C1603D">
        <w:rPr>
          <w:color w:val="auto"/>
          <w:lang w:eastAsia="en-GB"/>
        </w:rPr>
        <w:t xml:space="preserve">traumatic hip and vertebral fractures </w:t>
      </w:r>
      <w:r w:rsidR="00181A17" w:rsidRPr="00C1603D">
        <w:rPr>
          <w:color w:val="auto"/>
          <w:lang w:eastAsia="en-GB"/>
        </w:rPr>
        <w:t>among</w:t>
      </w:r>
      <w:r w:rsidRPr="00C1603D">
        <w:rPr>
          <w:color w:val="auto"/>
          <w:lang w:eastAsia="en-GB"/>
        </w:rPr>
        <w:t xml:space="preserve"> patients with CD. They found that universal screening</w:t>
      </w:r>
      <w:r w:rsidR="00181A17" w:rsidRPr="00C1603D">
        <w:rPr>
          <w:color w:val="auto"/>
          <w:lang w:eastAsia="en-GB"/>
        </w:rPr>
        <w:t>,</w:t>
      </w:r>
      <w:r w:rsidRPr="00C1603D">
        <w:rPr>
          <w:color w:val="auto"/>
          <w:lang w:eastAsia="en-GB"/>
        </w:rPr>
        <w:t xml:space="preserve"> compared </w:t>
      </w:r>
      <w:r w:rsidR="00181A17" w:rsidRPr="00C1603D">
        <w:rPr>
          <w:color w:val="auto"/>
          <w:lang w:eastAsia="en-GB"/>
        </w:rPr>
        <w:t>with</w:t>
      </w:r>
      <w:r w:rsidRPr="00C1603D">
        <w:rPr>
          <w:color w:val="auto"/>
          <w:lang w:eastAsia="en-GB"/>
        </w:rPr>
        <w:t xml:space="preserve"> standard care (i.e. screening only symptomatic or at-risk patients)</w:t>
      </w:r>
      <w:r w:rsidR="00181A17" w:rsidRPr="00C1603D">
        <w:rPr>
          <w:color w:val="auto"/>
          <w:lang w:eastAsia="en-GB"/>
        </w:rPr>
        <w:t>,</w:t>
      </w:r>
      <w:r w:rsidRPr="00C1603D">
        <w:rPr>
          <w:color w:val="auto"/>
          <w:lang w:eastAsia="en-GB"/>
        </w:rPr>
        <w:t xml:space="preserve"> is not cost-effective. Standard care had lower costs</w:t>
      </w:r>
      <w:r w:rsidR="00181A17" w:rsidRPr="00C1603D">
        <w:rPr>
          <w:color w:val="auto"/>
          <w:lang w:eastAsia="en-GB"/>
        </w:rPr>
        <w:t>,</w:t>
      </w:r>
      <w:r w:rsidRPr="00C1603D">
        <w:rPr>
          <w:color w:val="auto"/>
          <w:lang w:eastAsia="en-GB"/>
        </w:rPr>
        <w:t xml:space="preserve"> of </w:t>
      </w:r>
      <w:r w:rsidR="00181A17" w:rsidRPr="00C1603D">
        <w:rPr>
          <w:color w:val="auto"/>
          <w:lang w:eastAsia="en-GB"/>
        </w:rPr>
        <w:t>US</w:t>
      </w:r>
      <w:r w:rsidRPr="00C1603D">
        <w:rPr>
          <w:color w:val="auto"/>
          <w:lang w:eastAsia="en-GB"/>
        </w:rPr>
        <w:t>$8472</w:t>
      </w:r>
      <w:r w:rsidR="00181A17" w:rsidRPr="00C1603D">
        <w:rPr>
          <w:color w:val="auto"/>
          <w:lang w:eastAsia="en-GB"/>
        </w:rPr>
        <w:t>,</w:t>
      </w:r>
      <w:r w:rsidRPr="00C1603D">
        <w:rPr>
          <w:color w:val="auto"/>
          <w:lang w:eastAsia="en-GB"/>
        </w:rPr>
        <w:t xml:space="preserve"> and </w:t>
      </w:r>
      <w:r w:rsidR="00DF7689" w:rsidRPr="00C1603D">
        <w:rPr>
          <w:color w:val="auto"/>
          <w:lang w:eastAsia="en-GB"/>
        </w:rPr>
        <w:t>more</w:t>
      </w:r>
      <w:r w:rsidRPr="00C1603D">
        <w:rPr>
          <w:color w:val="auto"/>
          <w:lang w:eastAsia="en-GB"/>
        </w:rPr>
        <w:t xml:space="preserve"> QALYs</w:t>
      </w:r>
      <w:r w:rsidR="00DF7689" w:rsidRPr="00C1603D">
        <w:rPr>
          <w:color w:val="auto"/>
          <w:lang w:eastAsia="en-GB"/>
        </w:rPr>
        <w:t>,</w:t>
      </w:r>
      <w:r w:rsidRPr="00C1603D">
        <w:rPr>
          <w:color w:val="auto"/>
          <w:lang w:eastAsia="en-GB"/>
        </w:rPr>
        <w:t xml:space="preserve"> of 25.515. Yang</w:t>
      </w:r>
      <w:r w:rsidRPr="00C1603D">
        <w:rPr>
          <w:i/>
          <w:color w:val="auto"/>
          <w:lang w:eastAsia="en-GB"/>
        </w:rPr>
        <w:t xml:space="preserve"> et al</w:t>
      </w:r>
      <w:r w:rsidRPr="00C1603D">
        <w:rPr>
          <w:color w:val="auto"/>
          <w:lang w:eastAsia="en-GB"/>
        </w:rPr>
        <w:t>.</w:t>
      </w:r>
      <w:r w:rsidR="00DF7689" w:rsidRPr="00C1603D">
        <w:rPr>
          <w:color w:val="auto"/>
          <w:vertAlign w:val="superscript"/>
          <w:lang w:eastAsia="en-GB"/>
        </w:rPr>
        <w:t>209</w:t>
      </w:r>
      <w:r w:rsidRPr="00C1603D">
        <w:rPr>
          <w:color w:val="auto"/>
          <w:lang w:eastAsia="en-GB"/>
        </w:rPr>
        <w:t xml:space="preserve"> </w:t>
      </w:r>
      <w:r w:rsidR="00DF7689" w:rsidRPr="00C1603D">
        <w:rPr>
          <w:color w:val="auto"/>
          <w:lang w:eastAsia="en-GB"/>
        </w:rPr>
        <w:t>(</w:t>
      </w:r>
      <w:r w:rsidRPr="00C1603D">
        <w:rPr>
          <w:color w:val="auto"/>
          <w:lang w:eastAsia="en-GB"/>
        </w:rPr>
        <w:t>2015</w:t>
      </w:r>
      <w:r w:rsidR="00DF7689" w:rsidRPr="00C1603D">
        <w:rPr>
          <w:color w:val="auto"/>
          <w:lang w:eastAsia="en-GB"/>
        </w:rPr>
        <w:t>)</w:t>
      </w:r>
      <w:r w:rsidRPr="00C1603D">
        <w:rPr>
          <w:color w:val="auto"/>
          <w:lang w:eastAsia="en-GB"/>
        </w:rPr>
        <w:t xml:space="preserve"> conducted a cost-effectiveness analysis of routine duodenal biopsy for CD during endoscopy for gastro-oesophageal reflux, compared </w:t>
      </w:r>
      <w:r w:rsidR="00DF7689" w:rsidRPr="00C1603D">
        <w:rPr>
          <w:color w:val="auto"/>
          <w:lang w:eastAsia="en-GB"/>
        </w:rPr>
        <w:t>with</w:t>
      </w:r>
      <w:r w:rsidRPr="00C1603D">
        <w:rPr>
          <w:color w:val="auto"/>
          <w:lang w:eastAsia="en-GB"/>
        </w:rPr>
        <w:t xml:space="preserve"> no</w:t>
      </w:r>
      <w:r w:rsidR="00DF7689" w:rsidRPr="00C1603D">
        <w:rPr>
          <w:color w:val="auto"/>
          <w:lang w:eastAsia="en-GB"/>
        </w:rPr>
        <w:t xml:space="preserve"> </w:t>
      </w:r>
      <w:r w:rsidRPr="00C1603D">
        <w:rPr>
          <w:color w:val="auto"/>
          <w:lang w:eastAsia="en-GB"/>
        </w:rPr>
        <w:t xml:space="preserve">biopsy, using a lifetime decision tree. They found that performing </w:t>
      </w:r>
      <w:r w:rsidR="00DF7689" w:rsidRPr="00C1603D">
        <w:rPr>
          <w:color w:val="auto"/>
          <w:lang w:eastAsia="en-GB"/>
        </w:rPr>
        <w:t xml:space="preserve">a </w:t>
      </w:r>
      <w:r w:rsidRPr="00C1603D">
        <w:rPr>
          <w:color w:val="auto"/>
          <w:lang w:eastAsia="en-GB"/>
        </w:rPr>
        <w:t xml:space="preserve">biopsy to detect CD </w:t>
      </w:r>
      <w:r w:rsidR="00DF7689" w:rsidRPr="00C1603D">
        <w:rPr>
          <w:color w:val="auto"/>
          <w:lang w:eastAsia="en-GB"/>
        </w:rPr>
        <w:t>among</w:t>
      </w:r>
      <w:r w:rsidRPr="00C1603D">
        <w:rPr>
          <w:color w:val="auto"/>
          <w:lang w:eastAsia="en-GB"/>
        </w:rPr>
        <w:t xml:space="preserve"> patients with gastro-oesophageal reflux disease is not cost-effective (ICER </w:t>
      </w:r>
      <w:r w:rsidR="00DF7689" w:rsidRPr="00C1603D">
        <w:rPr>
          <w:color w:val="auto"/>
          <w:lang w:eastAsia="en-GB"/>
        </w:rPr>
        <w:t>of US</w:t>
      </w:r>
      <w:r w:rsidRPr="00C1603D">
        <w:rPr>
          <w:color w:val="auto"/>
          <w:lang w:eastAsia="en-GB"/>
        </w:rPr>
        <w:t>$121,875 per QALY gain</w:t>
      </w:r>
      <w:r w:rsidR="00DF7689" w:rsidRPr="00C1603D">
        <w:rPr>
          <w:color w:val="auto"/>
          <w:lang w:eastAsia="en-GB"/>
        </w:rPr>
        <w:t>ed</w:t>
      </w:r>
      <w:r w:rsidRPr="00C1603D">
        <w:rPr>
          <w:color w:val="auto"/>
          <w:lang w:eastAsia="en-GB"/>
        </w:rPr>
        <w:t>). Broide</w:t>
      </w:r>
      <w:r w:rsidRPr="00C1603D">
        <w:rPr>
          <w:i/>
          <w:color w:val="auto"/>
          <w:lang w:eastAsia="en-GB"/>
        </w:rPr>
        <w:t xml:space="preserve"> et al</w:t>
      </w:r>
      <w:r w:rsidRPr="00C1603D">
        <w:rPr>
          <w:color w:val="auto"/>
          <w:lang w:eastAsia="en-GB"/>
        </w:rPr>
        <w:t>.</w:t>
      </w:r>
      <w:r w:rsidR="00DF7689" w:rsidRPr="00C1603D">
        <w:rPr>
          <w:noProof/>
          <w:color w:val="auto"/>
          <w:vertAlign w:val="superscript"/>
          <w:lang w:eastAsia="en-GB"/>
        </w:rPr>
        <w:t>210</w:t>
      </w:r>
      <w:r w:rsidRPr="00C1603D">
        <w:rPr>
          <w:color w:val="auto"/>
          <w:lang w:eastAsia="en-GB"/>
        </w:rPr>
        <w:t xml:space="preserve"> </w:t>
      </w:r>
      <w:r w:rsidR="00DF7689" w:rsidRPr="00C1603D">
        <w:rPr>
          <w:color w:val="auto"/>
          <w:lang w:eastAsia="en-GB"/>
        </w:rPr>
        <w:t>(</w:t>
      </w:r>
      <w:r w:rsidRPr="00C1603D">
        <w:rPr>
          <w:color w:val="auto"/>
          <w:lang w:eastAsia="en-GB"/>
        </w:rPr>
        <w:t>2016</w:t>
      </w:r>
      <w:r w:rsidR="00DF7689" w:rsidRPr="00C1603D">
        <w:rPr>
          <w:color w:val="auto"/>
          <w:lang w:eastAsia="en-GB"/>
        </w:rPr>
        <w:t>)</w:t>
      </w:r>
      <w:r w:rsidRPr="00C1603D">
        <w:rPr>
          <w:color w:val="auto"/>
          <w:lang w:eastAsia="en-GB"/>
        </w:rPr>
        <w:t xml:space="preserve"> built a Markov model to determine the cost-effectiveness of routine duodenal biopsy to detect CD </w:t>
      </w:r>
      <w:r w:rsidR="00DF7689" w:rsidRPr="00C1603D">
        <w:rPr>
          <w:color w:val="auto"/>
          <w:lang w:eastAsia="en-GB"/>
        </w:rPr>
        <w:t>among</w:t>
      </w:r>
      <w:r w:rsidRPr="00C1603D">
        <w:rPr>
          <w:color w:val="auto"/>
          <w:lang w:eastAsia="en-GB"/>
        </w:rPr>
        <w:t xml:space="preserve"> patients with IDA. The intervention (biopsy during an </w:t>
      </w:r>
      <w:r w:rsidR="00267212" w:rsidRPr="00C1603D">
        <w:rPr>
          <w:color w:val="auto"/>
          <w:lang w:eastAsia="en-GB"/>
        </w:rPr>
        <w:t>OGD</w:t>
      </w:r>
      <w:r w:rsidRPr="00C1603D">
        <w:rPr>
          <w:color w:val="auto"/>
          <w:lang w:eastAsia="en-GB"/>
        </w:rPr>
        <w:t xml:space="preserve"> in all patients with IDA, irrespective of serological test results) resulted in 19.888 QALY</w:t>
      </w:r>
      <w:r w:rsidR="006E31CB" w:rsidRPr="00C1603D">
        <w:rPr>
          <w:color w:val="auto"/>
          <w:lang w:eastAsia="en-GB"/>
        </w:rPr>
        <w:t>s</w:t>
      </w:r>
      <w:r w:rsidRPr="00C1603D">
        <w:rPr>
          <w:color w:val="auto"/>
          <w:lang w:eastAsia="en-GB"/>
        </w:rPr>
        <w:t xml:space="preserve"> gain</w:t>
      </w:r>
      <w:r w:rsidR="006E31CB" w:rsidRPr="00C1603D">
        <w:rPr>
          <w:color w:val="auto"/>
          <w:lang w:eastAsia="en-GB"/>
        </w:rPr>
        <w:t>ed</w:t>
      </w:r>
      <w:r w:rsidRPr="00C1603D">
        <w:rPr>
          <w:color w:val="auto"/>
          <w:lang w:eastAsia="en-GB"/>
        </w:rPr>
        <w:t xml:space="preserve"> and an average cost of </w:t>
      </w:r>
      <w:r w:rsidR="006E31CB" w:rsidRPr="00C1603D">
        <w:rPr>
          <w:color w:val="auto"/>
          <w:lang w:eastAsia="en-GB"/>
        </w:rPr>
        <w:t>US</w:t>
      </w:r>
      <w:r w:rsidRPr="00C1603D">
        <w:rPr>
          <w:color w:val="auto"/>
          <w:lang w:eastAsia="en-GB"/>
        </w:rPr>
        <w:t>$218.10, dominating the comparator (i.e. performing biopsy only in patients with a positive serological test), which had</w:t>
      </w:r>
      <w:r w:rsidR="005E5562" w:rsidRPr="00C1603D">
        <w:rPr>
          <w:color w:val="auto"/>
          <w:lang w:eastAsia="en-GB"/>
        </w:rPr>
        <w:t xml:space="preserve"> a gain of</w:t>
      </w:r>
      <w:r w:rsidRPr="00C1603D">
        <w:rPr>
          <w:color w:val="auto"/>
          <w:lang w:eastAsia="en-GB"/>
        </w:rPr>
        <w:t xml:space="preserve"> 19.887 QALY</w:t>
      </w:r>
      <w:r w:rsidR="005E5562" w:rsidRPr="00C1603D">
        <w:rPr>
          <w:color w:val="auto"/>
          <w:lang w:eastAsia="en-GB"/>
        </w:rPr>
        <w:t>s</w:t>
      </w:r>
      <w:r w:rsidRPr="00C1603D">
        <w:rPr>
          <w:color w:val="auto"/>
          <w:lang w:eastAsia="en-GB"/>
        </w:rPr>
        <w:t xml:space="preserve"> at </w:t>
      </w:r>
      <w:r w:rsidRPr="00C1603D">
        <w:rPr>
          <w:lang w:eastAsia="en-GB"/>
        </w:rPr>
        <w:t xml:space="preserve">an average cost of </w:t>
      </w:r>
      <w:r w:rsidR="005E5562" w:rsidRPr="00C1603D">
        <w:rPr>
          <w:lang w:eastAsia="en-GB"/>
        </w:rPr>
        <w:t>US</w:t>
      </w:r>
      <w:r w:rsidRPr="00C1603D">
        <w:rPr>
          <w:lang w:eastAsia="en-GB"/>
        </w:rPr>
        <w:t>$234.17.</w:t>
      </w:r>
    </w:p>
    <w:p w14:paraId="5197E2DA" w14:textId="411F48B0" w:rsidR="008B4DF8" w:rsidRPr="00C1603D" w:rsidRDefault="005E5562" w:rsidP="008B4DF8">
      <w:pPr>
        <w:pStyle w:val="602TextfoTextstylesTextstyles"/>
        <w:rPr>
          <w:lang w:eastAsia="en-GB"/>
        </w:rPr>
      </w:pPr>
      <w:r w:rsidRPr="00C1603D">
        <w:rPr>
          <w:lang w:eastAsia="en-GB"/>
        </w:rPr>
        <w:t>I</w:t>
      </w:r>
      <w:r w:rsidR="008B4DF8" w:rsidRPr="00C1603D">
        <w:rPr>
          <w:lang w:eastAsia="en-GB"/>
        </w:rPr>
        <w:t>n 2015</w:t>
      </w:r>
      <w:r w:rsidRPr="00C1603D">
        <w:rPr>
          <w:lang w:eastAsia="en-GB"/>
        </w:rPr>
        <w:t>,</w:t>
      </w:r>
      <w:r w:rsidR="008B4DF8" w:rsidRPr="00C1603D">
        <w:rPr>
          <w:lang w:eastAsia="en-GB"/>
        </w:rPr>
        <w:t xml:space="preserve"> </w:t>
      </w:r>
      <w:r w:rsidRPr="00C1603D">
        <w:rPr>
          <w:lang w:eastAsia="en-GB"/>
        </w:rPr>
        <w:t xml:space="preserve">NICE </w:t>
      </w:r>
      <w:r w:rsidR="008B4DF8" w:rsidRPr="00C1603D">
        <w:rPr>
          <w:lang w:eastAsia="en-GB"/>
        </w:rPr>
        <w:t xml:space="preserve">conducted a cost-effectiveness analysis using a decision tree followed by a Markov model to estimate which serological test is the most appropriate to diagnose CD </w:t>
      </w:r>
      <w:r w:rsidRPr="00C1603D">
        <w:rPr>
          <w:lang w:eastAsia="en-GB"/>
        </w:rPr>
        <w:t>among</w:t>
      </w:r>
      <w:r w:rsidR="008B4DF8" w:rsidRPr="00C1603D">
        <w:rPr>
          <w:lang w:eastAsia="en-GB"/>
        </w:rPr>
        <w:t xml:space="preserve"> both children and adults.</w:t>
      </w:r>
      <w:r w:rsidR="008B4DF8" w:rsidRPr="00C1603D">
        <w:rPr>
          <w:noProof/>
          <w:vertAlign w:val="superscript"/>
          <w:lang w:eastAsia="en-GB"/>
        </w:rPr>
        <w:t>198</w:t>
      </w:r>
      <w:r w:rsidR="008B4DF8" w:rsidRPr="00C1603D">
        <w:rPr>
          <w:lang w:eastAsia="en-GB"/>
        </w:rPr>
        <w:t xml:space="preserve"> For adults, the most effective strategy was the most sensitive</w:t>
      </w:r>
      <w:r w:rsidR="006B15B1" w:rsidRPr="00C1603D">
        <w:rPr>
          <w:lang w:eastAsia="en-GB"/>
        </w:rPr>
        <w:t>:</w:t>
      </w:r>
      <w:r w:rsidR="008B4DF8" w:rsidRPr="00C1603D">
        <w:rPr>
          <w:lang w:eastAsia="en-GB"/>
        </w:rPr>
        <w:t xml:space="preserve"> considering people serologically positive if they are positive on either IgA tTG or IgA EMA (17.6004 total QALYs). However, the ICER was £173,484 per QALY</w:t>
      </w:r>
      <w:r w:rsidR="006B15B1" w:rsidRPr="00C1603D">
        <w:rPr>
          <w:lang w:eastAsia="en-GB"/>
        </w:rPr>
        <w:t xml:space="preserve"> gained</w:t>
      </w:r>
      <w:r w:rsidR="008B4DF8" w:rsidRPr="00C1603D">
        <w:rPr>
          <w:lang w:eastAsia="en-GB"/>
        </w:rPr>
        <w:t xml:space="preserve">. The incremental analysis suggested that most benefits could be achieved at a lower cost by a strategy that tests IgA tTG in all people and reserves IgA EMA to classify cases in which IgA tTG results are weakly positive. All other strategies were strongly dominated. For children, the most effective strategy was IgA tTG plus IgA EMA plus HLA (a combination of serological tests for IgA tTG and IgA EMA and </w:t>
      </w:r>
      <w:r w:rsidR="008E7E35" w:rsidRPr="00C1603D">
        <w:rPr>
          <w:lang w:eastAsia="en-GB"/>
        </w:rPr>
        <w:t>HLA-DQ</w:t>
      </w:r>
      <w:r w:rsidR="008B4DF8" w:rsidRPr="00C1603D">
        <w:rPr>
          <w:lang w:eastAsia="en-GB"/>
        </w:rPr>
        <w:t>2/</w:t>
      </w:r>
      <w:r w:rsidR="00BA5584" w:rsidRPr="00C1603D">
        <w:rPr>
          <w:lang w:eastAsia="en-GB"/>
        </w:rPr>
        <w:t>-</w:t>
      </w:r>
      <w:r w:rsidR="008B4DF8" w:rsidRPr="00C1603D">
        <w:rPr>
          <w:lang w:eastAsia="en-GB"/>
        </w:rPr>
        <w:t xml:space="preserve">DQ8 genotyping), with a total QALY </w:t>
      </w:r>
      <w:r w:rsidR="00BA5584" w:rsidRPr="00C1603D">
        <w:rPr>
          <w:lang w:eastAsia="en-GB"/>
        </w:rPr>
        <w:t xml:space="preserve">gain </w:t>
      </w:r>
      <w:r w:rsidR="008B4DF8" w:rsidRPr="00C1603D">
        <w:rPr>
          <w:lang w:eastAsia="en-GB"/>
        </w:rPr>
        <w:t>of 21.3823. The ICER of this strategy was £33,800 per QALY gained</w:t>
      </w:r>
      <w:r w:rsidR="00BA5584" w:rsidRPr="00C1603D">
        <w:rPr>
          <w:lang w:eastAsia="en-GB"/>
        </w:rPr>
        <w:t>,</w:t>
      </w:r>
      <w:r w:rsidR="008B4DF8" w:rsidRPr="00C1603D">
        <w:rPr>
          <w:lang w:eastAsia="en-GB"/>
        </w:rPr>
        <w:t xml:space="preserve"> compared with the next cheapest non-dominated option. NICE also conducted a health economic evaluation of active </w:t>
      </w:r>
      <w:r w:rsidR="0087034D" w:rsidRPr="00C1603D">
        <w:rPr>
          <w:lang w:eastAsia="en-GB"/>
        </w:rPr>
        <w:t>case-finding</w:t>
      </w:r>
      <w:r w:rsidR="008B4DF8" w:rsidRPr="00C1603D">
        <w:rPr>
          <w:lang w:eastAsia="en-GB"/>
        </w:rPr>
        <w:t xml:space="preserve"> strategies. They found screening first</w:t>
      </w:r>
      <w:r w:rsidR="00BA5584" w:rsidRPr="00C1603D">
        <w:rPr>
          <w:lang w:eastAsia="en-GB"/>
        </w:rPr>
        <w:t>-</w:t>
      </w:r>
      <w:r w:rsidR="008B4DF8" w:rsidRPr="00C1603D">
        <w:rPr>
          <w:lang w:eastAsia="en-GB"/>
        </w:rPr>
        <w:t xml:space="preserve">degree relatives of people with CD was cost-effective </w:t>
      </w:r>
      <w:r w:rsidR="00697C75" w:rsidRPr="00C1603D">
        <w:rPr>
          <w:lang w:eastAsia="en-GB"/>
        </w:rPr>
        <w:t>among</w:t>
      </w:r>
      <w:r w:rsidR="008B4DF8" w:rsidRPr="00C1603D">
        <w:rPr>
          <w:lang w:eastAsia="en-GB"/>
        </w:rPr>
        <w:t xml:space="preserve"> adults and children, that screening people with type 1 diabetes was cost-effective </w:t>
      </w:r>
      <w:r w:rsidR="00697C75" w:rsidRPr="00C1603D">
        <w:rPr>
          <w:lang w:eastAsia="en-GB"/>
        </w:rPr>
        <w:t>among</w:t>
      </w:r>
      <w:r w:rsidR="008B4DF8" w:rsidRPr="00C1603D">
        <w:rPr>
          <w:lang w:eastAsia="en-GB"/>
        </w:rPr>
        <w:t xml:space="preserve"> adults and potentially cost-effective </w:t>
      </w:r>
      <w:r w:rsidR="00697C75" w:rsidRPr="00C1603D">
        <w:rPr>
          <w:lang w:eastAsia="en-GB"/>
        </w:rPr>
        <w:t>among</w:t>
      </w:r>
      <w:r w:rsidR="008B4DF8" w:rsidRPr="00C1603D">
        <w:rPr>
          <w:lang w:eastAsia="en-GB"/>
        </w:rPr>
        <w:t xml:space="preserve"> children, and that screening those with autoimmune thyroid disease was not cost-effective </w:t>
      </w:r>
      <w:r w:rsidR="00697C75" w:rsidRPr="00C1603D">
        <w:rPr>
          <w:lang w:eastAsia="en-GB"/>
        </w:rPr>
        <w:t>among</w:t>
      </w:r>
      <w:r w:rsidR="008B4DF8" w:rsidRPr="00C1603D">
        <w:rPr>
          <w:lang w:eastAsia="en-GB"/>
        </w:rPr>
        <w:t xml:space="preserve"> adults or children.</w:t>
      </w:r>
    </w:p>
    <w:p w14:paraId="4AE6AF4B" w14:textId="3F90DBD3" w:rsidR="008B4DF8" w:rsidRPr="00C1603D" w:rsidRDefault="008B4DF8" w:rsidP="008B4DF8">
      <w:pPr>
        <w:pStyle w:val="54CheadHeadingsHeadingstyles"/>
      </w:pPr>
      <w:bookmarkStart w:id="360" w:name="_Toc87507179"/>
      <w:r w:rsidRPr="00C1603D">
        <w:t xml:space="preserve">Implications for cost-effectiveness modelling in </w:t>
      </w:r>
      <w:bookmarkEnd w:id="360"/>
      <w:r w:rsidR="00E7413B" w:rsidRPr="00C1603D">
        <w:t>coeliac disease</w:t>
      </w:r>
    </w:p>
    <w:p w14:paraId="0EDFB1E2" w14:textId="1AAFAF72" w:rsidR="008B4DF8" w:rsidRPr="00C1603D" w:rsidRDefault="008B4DF8" w:rsidP="008B4DF8">
      <w:pPr>
        <w:pStyle w:val="602TextfoTextstylesTextstyles"/>
      </w:pPr>
      <w:r w:rsidRPr="00C1603D">
        <w:t>A Markov model, rather than a decision tree, is most appropriate for modelling a long-term health</w:t>
      </w:r>
      <w:r w:rsidR="00E7413B" w:rsidRPr="00C1603D">
        <w:t>-</w:t>
      </w:r>
      <w:r w:rsidRPr="00C1603D">
        <w:t>care condition such as CD</w:t>
      </w:r>
      <w:r w:rsidR="00E7413B" w:rsidRPr="00C1603D">
        <w:t>,</w:t>
      </w:r>
      <w:r w:rsidRPr="00C1603D">
        <w:t xml:space="preserve"> as comorbidities, including </w:t>
      </w:r>
      <w:r w:rsidR="00116023" w:rsidRPr="00C1603D">
        <w:t>n</w:t>
      </w:r>
      <w:r w:rsidRPr="00C1603D">
        <w:t xml:space="preserve">on-Hodgkin </w:t>
      </w:r>
      <w:r w:rsidR="00116023" w:rsidRPr="00C1603D">
        <w:t>l</w:t>
      </w:r>
      <w:r w:rsidRPr="00C1603D">
        <w:t>ymphoma (NHL), may not develop for a long time after the initial screening.</w:t>
      </w:r>
      <w:r w:rsidRPr="00C1603D">
        <w:rPr>
          <w:noProof/>
          <w:vertAlign w:val="superscript"/>
        </w:rPr>
        <w:t>211,212</w:t>
      </w:r>
      <w:r w:rsidRPr="00C1603D">
        <w:rPr>
          <w:rFonts w:cs="Calibri"/>
        </w:rPr>
        <w:t xml:space="preserve"> </w:t>
      </w:r>
      <w:r w:rsidRPr="00C1603D">
        <w:t xml:space="preserve">A decision tree is an appropriate structure to model the initial </w:t>
      </w:r>
      <w:r w:rsidRPr="00C1603D">
        <w:lastRenderedPageBreak/>
        <w:t>set of testing strategies</w:t>
      </w:r>
      <w:r w:rsidR="00AD1914" w:rsidRPr="00C1603D">
        <w:t>,</w:t>
      </w:r>
      <w:r w:rsidRPr="00C1603D">
        <w:t xml:space="preserve"> but must be combined with a Markov model to capture long</w:t>
      </w:r>
      <w:r w:rsidR="00AD1914" w:rsidRPr="00C1603D">
        <w:t>-</w:t>
      </w:r>
      <w:r w:rsidRPr="00C1603D">
        <w:t>term impacts.</w:t>
      </w:r>
      <w:r w:rsidRPr="00C1603D">
        <w:rPr>
          <w:noProof/>
          <w:vertAlign w:val="superscript"/>
        </w:rPr>
        <w:t>213,214</w:t>
      </w:r>
      <w:r w:rsidRPr="00C1603D">
        <w:t xml:space="preserve"> Only three of the Markov models considered mass screening, rather than screening focused on patients with fractures, IDA, IBS or Down syndrome. Shamir </w:t>
      </w:r>
      <w:r w:rsidR="00AD1914" w:rsidRPr="00C1603D">
        <w:rPr>
          <w:i/>
          <w:color w:val="auto"/>
          <w:lang w:eastAsia="en-GB"/>
        </w:rPr>
        <w:t>et al</w:t>
      </w:r>
      <w:r w:rsidR="00AD1914" w:rsidRPr="00C1603D">
        <w:rPr>
          <w:color w:val="auto"/>
          <w:lang w:eastAsia="en-GB"/>
        </w:rPr>
        <w:t>.</w:t>
      </w:r>
      <w:r w:rsidR="00AD1914" w:rsidRPr="00C1603D">
        <w:rPr>
          <w:color w:val="auto"/>
          <w:vertAlign w:val="superscript"/>
          <w:lang w:eastAsia="en-GB"/>
        </w:rPr>
        <w:t>202</w:t>
      </w:r>
      <w:r w:rsidR="00AD1914" w:rsidRPr="00C1603D">
        <w:rPr>
          <w:color w:val="auto"/>
          <w:lang w:eastAsia="en-GB"/>
        </w:rPr>
        <w:t xml:space="preserve"> </w:t>
      </w:r>
      <w:r w:rsidRPr="00C1603D">
        <w:t>used states for CD undiagnosed, CD diagnosed on gluten-free diet and CD diagnosed but off gluten-free diet</w:t>
      </w:r>
      <w:r w:rsidR="00152407" w:rsidRPr="00C1603D">
        <w:t>,</w:t>
      </w:r>
      <w:r w:rsidRPr="00C1603D">
        <w:t xml:space="preserve"> while Hershcovici </w:t>
      </w:r>
      <w:r w:rsidR="00152407" w:rsidRPr="00C1603D">
        <w:rPr>
          <w:i/>
          <w:color w:val="auto"/>
          <w:lang w:eastAsia="en-GB"/>
        </w:rPr>
        <w:t>et al</w:t>
      </w:r>
      <w:r w:rsidR="00152407" w:rsidRPr="00C1603D">
        <w:rPr>
          <w:color w:val="auto"/>
          <w:lang w:eastAsia="en-GB"/>
        </w:rPr>
        <w:t>.</w:t>
      </w:r>
      <w:r w:rsidR="00152407" w:rsidRPr="00C1603D">
        <w:rPr>
          <w:color w:val="auto"/>
          <w:vertAlign w:val="superscript"/>
          <w:lang w:eastAsia="en-GB"/>
        </w:rPr>
        <w:t>206</w:t>
      </w:r>
      <w:r w:rsidR="00152407" w:rsidRPr="00C1603D">
        <w:rPr>
          <w:color w:val="auto"/>
          <w:lang w:eastAsia="en-GB"/>
        </w:rPr>
        <w:t xml:space="preserve"> </w:t>
      </w:r>
      <w:r w:rsidRPr="00C1603D">
        <w:t xml:space="preserve">considered states related to whether patients were diagnosed, undiagnosed, adhered to </w:t>
      </w:r>
      <w:r w:rsidR="00152407" w:rsidRPr="00C1603D">
        <w:t xml:space="preserve">a </w:t>
      </w:r>
      <w:r w:rsidRPr="00C1603D">
        <w:t>gluten-free diet, had IDA or had IBS. The NICE 2015 Markov model was the only model in the UK setting and its Markov model included states only for health conditions with</w:t>
      </w:r>
      <w:r w:rsidR="00F71E0C" w:rsidRPr="00C1603D">
        <w:t xml:space="preserve"> a</w:t>
      </w:r>
      <w:r w:rsidRPr="00C1603D">
        <w:t xml:space="preserve"> strong impact on costs and effects.</w:t>
      </w:r>
      <w:r w:rsidRPr="00C1603D">
        <w:rPr>
          <w:rFonts w:cs="Calibri"/>
          <w:noProof/>
          <w:vertAlign w:val="superscript"/>
          <w:lang w:eastAsia="en-GB"/>
        </w:rPr>
        <w:t>198</w:t>
      </w:r>
      <w:r w:rsidRPr="00C1603D">
        <w:t xml:space="preserve"> They used CD on gluten-free diet and CD not on gluten-free diet as primary states, with </w:t>
      </w:r>
      <w:proofErr w:type="gramStart"/>
      <w:r w:rsidRPr="00C1603D">
        <w:t>different levels</w:t>
      </w:r>
      <w:proofErr w:type="gramEnd"/>
      <w:r w:rsidRPr="00C1603D">
        <w:t xml:space="preserve"> of IDA, IBS and other symptoms in these states. They additionally include</w:t>
      </w:r>
      <w:r w:rsidR="00F71E0C" w:rsidRPr="00C1603D">
        <w:t>d</w:t>
      </w:r>
      <w:r w:rsidRPr="00C1603D">
        <w:t xml:space="preserve"> subfertility, osteoporosis, </w:t>
      </w:r>
      <w:r w:rsidR="00F71E0C" w:rsidRPr="00C1603D">
        <w:t>NHL</w:t>
      </w:r>
      <w:r w:rsidRPr="00C1603D">
        <w:t xml:space="preserve"> and other cancers as health states. As the NICE model considered more events and had a richer evidence base than Shamir </w:t>
      </w:r>
      <w:r w:rsidR="00F71E0C" w:rsidRPr="00C1603D">
        <w:rPr>
          <w:i/>
          <w:color w:val="auto"/>
          <w:lang w:eastAsia="en-GB"/>
        </w:rPr>
        <w:t>et al</w:t>
      </w:r>
      <w:r w:rsidR="00F71E0C" w:rsidRPr="00C1603D">
        <w:rPr>
          <w:color w:val="auto"/>
          <w:lang w:eastAsia="en-GB"/>
        </w:rPr>
        <w:t>.</w:t>
      </w:r>
      <w:r w:rsidR="00F71E0C" w:rsidRPr="00C1603D">
        <w:rPr>
          <w:color w:val="auto"/>
          <w:vertAlign w:val="superscript"/>
          <w:lang w:eastAsia="en-GB"/>
        </w:rPr>
        <w:t>202</w:t>
      </w:r>
      <w:r w:rsidR="00F71E0C" w:rsidRPr="00C1603D">
        <w:rPr>
          <w:color w:val="auto"/>
          <w:lang w:eastAsia="en-GB"/>
        </w:rPr>
        <w:t xml:space="preserve"> </w:t>
      </w:r>
      <w:r w:rsidRPr="00C1603D">
        <w:t>or Her</w:t>
      </w:r>
      <w:r w:rsidR="00F71E0C" w:rsidRPr="00C1603D">
        <w:t>s</w:t>
      </w:r>
      <w:r w:rsidRPr="00C1603D">
        <w:t>h</w:t>
      </w:r>
      <w:r w:rsidR="00F71E0C" w:rsidRPr="00C1603D">
        <w:t>c</w:t>
      </w:r>
      <w:r w:rsidRPr="00C1603D">
        <w:t xml:space="preserve">ovici </w:t>
      </w:r>
      <w:r w:rsidR="00F71E0C" w:rsidRPr="00C1603D">
        <w:rPr>
          <w:i/>
          <w:color w:val="auto"/>
          <w:lang w:eastAsia="en-GB"/>
        </w:rPr>
        <w:t>et al</w:t>
      </w:r>
      <w:r w:rsidR="00F71E0C" w:rsidRPr="00C1603D">
        <w:rPr>
          <w:color w:val="auto"/>
          <w:lang w:eastAsia="en-GB"/>
        </w:rPr>
        <w:t>.</w:t>
      </w:r>
      <w:r w:rsidR="0074500D" w:rsidRPr="00C1603D">
        <w:rPr>
          <w:color w:val="auto"/>
          <w:lang w:eastAsia="en-GB"/>
        </w:rPr>
        <w:t>,</w:t>
      </w:r>
      <w:r w:rsidR="00F71E0C" w:rsidRPr="00C1603D">
        <w:rPr>
          <w:color w:val="auto"/>
          <w:vertAlign w:val="superscript"/>
          <w:lang w:eastAsia="en-GB"/>
        </w:rPr>
        <w:t>206</w:t>
      </w:r>
      <w:r w:rsidRPr="00C1603D">
        <w:t xml:space="preserve"> it was taken as the starting point for our model.</w:t>
      </w:r>
    </w:p>
    <w:p w14:paraId="36B7D237" w14:textId="77777777" w:rsidR="008B4DF8" w:rsidRPr="00C1603D" w:rsidRDefault="008B4DF8" w:rsidP="008B4DF8">
      <w:pPr>
        <w:pStyle w:val="53BheadHeadingsHeadingstyles"/>
      </w:pPr>
      <w:bookmarkStart w:id="361" w:name="_Toc87507180"/>
      <w:bookmarkStart w:id="362" w:name="_Toc99539899"/>
      <w:r w:rsidRPr="00C1603D">
        <w:t>Model structure</w:t>
      </w:r>
      <w:bookmarkEnd w:id="361"/>
      <w:bookmarkEnd w:id="362"/>
    </w:p>
    <w:p w14:paraId="45085AC7" w14:textId="0C039A75" w:rsidR="008B4DF8" w:rsidRPr="00C1603D" w:rsidRDefault="008B4DF8" w:rsidP="008B4DF8">
      <w:pPr>
        <w:pStyle w:val="602TextfoTextstylesTextstyles"/>
      </w:pPr>
      <w:r w:rsidRPr="00C1603D">
        <w:t xml:space="preserve">As explained </w:t>
      </w:r>
      <w:r w:rsidR="0074500D" w:rsidRPr="00C1603D">
        <w:t>previously</w:t>
      </w:r>
      <w:r w:rsidRPr="00C1603D">
        <w:t>, we adopt</w:t>
      </w:r>
      <w:r w:rsidR="000B7BCB" w:rsidRPr="00C1603D">
        <w:t>ed</w:t>
      </w:r>
      <w:r w:rsidRPr="00C1603D">
        <w:t xml:space="preserve"> a decision tree followed by a Markov model</w:t>
      </w:r>
      <w:r w:rsidR="000B7BCB" w:rsidRPr="00C1603D">
        <w:t>,</w:t>
      </w:r>
      <w:r w:rsidRPr="00C1603D">
        <w:t xml:space="preserve"> as this can fully describe testing strategies and model long</w:t>
      </w:r>
      <w:r w:rsidR="000B7BCB" w:rsidRPr="00C1603D">
        <w:t>-</w:t>
      </w:r>
      <w:r w:rsidRPr="00C1603D">
        <w:t xml:space="preserve">term consequences of CD, and we </w:t>
      </w:r>
      <w:proofErr w:type="gramStart"/>
      <w:r w:rsidRPr="00C1603D">
        <w:t>largely follow</w:t>
      </w:r>
      <w:proofErr w:type="gramEnd"/>
      <w:r w:rsidRPr="00C1603D">
        <w:t xml:space="preserve"> the evidence-based model of NICE 2015.</w:t>
      </w:r>
      <w:r w:rsidRPr="00C1603D">
        <w:rPr>
          <w:noProof/>
          <w:vertAlign w:val="superscript"/>
        </w:rPr>
        <w:t>198,214</w:t>
      </w:r>
      <w:r w:rsidRPr="00C1603D">
        <w:t xml:space="preserve"> Initial prevalence of CD is determined by a selected pre-test probability of CD, representing the target population for screening, and this drives the maximum number of true positives (i.e. diagnosed CD) that our testing strategy can identify. The decision tree captures the sensitivity and specificity of serological and genetic tests from </w:t>
      </w:r>
      <w:r w:rsidRPr="00C1603D">
        <w:rPr>
          <w:i/>
          <w:iCs/>
        </w:rPr>
        <w:t>Chapter</w:t>
      </w:r>
      <w:r w:rsidR="000B7BCB" w:rsidRPr="00C1603D">
        <w:rPr>
          <w:i/>
          <w:iCs/>
        </w:rPr>
        <w:t>s</w:t>
      </w:r>
      <w:r w:rsidRPr="00C1603D">
        <w:rPr>
          <w:i/>
          <w:iCs/>
        </w:rPr>
        <w:t xml:space="preserve"> 5</w:t>
      </w:r>
      <w:r w:rsidRPr="00C1603D">
        <w:t xml:space="preserve"> and </w:t>
      </w:r>
      <w:r w:rsidRPr="00C1603D">
        <w:rPr>
          <w:i/>
          <w:iCs/>
        </w:rPr>
        <w:t>6</w:t>
      </w:r>
      <w:r w:rsidRPr="00C1603D">
        <w:t xml:space="preserve">, respectively, along with costs and impacts on health of these tests and the confirmatory biopsy. The Markov model captures </w:t>
      </w:r>
      <w:r w:rsidR="000F6B46" w:rsidRPr="00C1603D">
        <w:t xml:space="preserve">the </w:t>
      </w:r>
      <w:r w:rsidRPr="00C1603D">
        <w:t>costs and health impacts of having diagnosed or undiagnosed CD, and thus measures the benefit of initially detecting CD with the decision tree. Modifications were made to the Markov model used by NICE following discussion with our clinical and patient advisers, and the results of our CPRD analysis of risk factors for CD (</w:t>
      </w:r>
      <w:r w:rsidR="004527E2" w:rsidRPr="00C1603D">
        <w:t xml:space="preserve">see </w:t>
      </w:r>
      <w:r w:rsidRPr="00C1603D">
        <w:rPr>
          <w:i/>
          <w:iCs/>
        </w:rPr>
        <w:t>Chapter 4</w:t>
      </w:r>
      <w:r w:rsidRPr="00C1603D">
        <w:t>)</w:t>
      </w:r>
      <w:r w:rsidR="004527E2" w:rsidRPr="00C1603D">
        <w:t>;</w:t>
      </w:r>
      <w:r w:rsidRPr="00C1603D">
        <w:t xml:space="preserve"> </w:t>
      </w:r>
      <w:commentRangeStart w:id="363"/>
      <w:commentRangeStart w:id="364"/>
      <w:r w:rsidRPr="00C1603D">
        <w:t>these are described in more</w:t>
      </w:r>
      <w:r w:rsidR="00DB4E5C" w:rsidRPr="00C1603D">
        <w:t xml:space="preserve"> in </w:t>
      </w:r>
      <w:r w:rsidR="00DB4E5C" w:rsidRPr="00C1603D">
        <w:rPr>
          <w:i/>
          <w:iCs/>
        </w:rPr>
        <w:t>Structure of the Markov model</w:t>
      </w:r>
      <w:commentRangeEnd w:id="363"/>
      <w:r w:rsidR="004527E2" w:rsidRPr="00C1603D">
        <w:commentReference w:id="363"/>
      </w:r>
      <w:commentRangeEnd w:id="364"/>
      <w:r w:rsidRPr="00C1603D">
        <w:commentReference w:id="364"/>
      </w:r>
      <w:r w:rsidRPr="00C1603D">
        <w:t>.</w:t>
      </w:r>
    </w:p>
    <w:p w14:paraId="6C8F531D" w14:textId="025C1BFE" w:rsidR="008B4DF8" w:rsidRPr="00C1603D" w:rsidRDefault="008B4DF8" w:rsidP="008B4DF8">
      <w:pPr>
        <w:pStyle w:val="54CheadHeadingsHeadingstyles"/>
      </w:pPr>
      <w:bookmarkStart w:id="365" w:name="_Toc87507181"/>
      <w:r w:rsidRPr="00C1603D">
        <w:t xml:space="preserve">Structure of </w:t>
      </w:r>
      <w:r w:rsidR="00496C5A" w:rsidRPr="00C1603D">
        <w:t xml:space="preserve">the </w:t>
      </w:r>
      <w:r w:rsidRPr="00C1603D">
        <w:t>decision tree</w:t>
      </w:r>
      <w:bookmarkEnd w:id="365"/>
    </w:p>
    <w:p w14:paraId="51748309" w14:textId="158EDD1B" w:rsidR="008B4DF8" w:rsidRPr="00C1603D" w:rsidRDefault="008B4DF8" w:rsidP="008B4DF8">
      <w:pPr>
        <w:pStyle w:val="602TextfoTextstylesTextstyles"/>
      </w:pPr>
      <w:r w:rsidRPr="00C1603D">
        <w:t xml:space="preserve">The decision tree </w:t>
      </w:r>
      <w:r w:rsidR="00496C5A" w:rsidRPr="00C1603D">
        <w:t>in which</w:t>
      </w:r>
      <w:r w:rsidRPr="00C1603D">
        <w:t xml:space="preserve"> various serological and genetic test combinations are included is illustrated in </w:t>
      </w:r>
      <w:r w:rsidRPr="00C1603D">
        <w:rPr>
          <w:i/>
          <w:color w:val="FF0000"/>
        </w:rPr>
        <w:t xml:space="preserve">Figure </w:t>
      </w:r>
      <w:r w:rsidRPr="00C1603D">
        <w:rPr>
          <w:i/>
          <w:noProof/>
          <w:color w:val="FF0000"/>
        </w:rPr>
        <w:t>12</w:t>
      </w:r>
      <w:r w:rsidRPr="00C1603D">
        <w:t xml:space="preserve">. Patients enter the tree </w:t>
      </w:r>
      <w:r w:rsidR="00496C5A" w:rsidRPr="00C1603D">
        <w:t xml:space="preserve">either </w:t>
      </w:r>
      <w:r w:rsidRPr="00C1603D">
        <w:t>with CD (CD+) or without CD (CD</w:t>
      </w:r>
      <w:r w:rsidR="00496C5A" w:rsidRPr="00C1603D">
        <w:t>–</w:t>
      </w:r>
      <w:r w:rsidRPr="00C1603D">
        <w:t xml:space="preserve">) and then follow one of three branches representing the three strategies: screening by serological testing, screening by serological and genetic testing, or no screening (representing standard of care). If a strategy combines serological and genetic testing, the second test is used </w:t>
      </w:r>
      <w:r w:rsidR="009E1604" w:rsidRPr="00C1603D">
        <w:t xml:space="preserve">only </w:t>
      </w:r>
      <w:r w:rsidRPr="00C1603D">
        <w:t xml:space="preserve">if post-test probability following the first was </w:t>
      </w:r>
      <w:r w:rsidR="009E1604" w:rsidRPr="00C1603D">
        <w:t>&lt; </w:t>
      </w:r>
      <w:r w:rsidRPr="00C1603D">
        <w:t>90% (</w:t>
      </w:r>
      <w:r w:rsidR="009E1604" w:rsidRPr="00C1603D">
        <w:t xml:space="preserve">see </w:t>
      </w:r>
      <w:r w:rsidRPr="00C1603D">
        <w:rPr>
          <w:i/>
          <w:iCs/>
        </w:rPr>
        <w:t>Chapter 7</w:t>
      </w:r>
      <w:r w:rsidRPr="00C1603D">
        <w:t xml:space="preserve">). In each case </w:t>
      </w:r>
      <w:r w:rsidR="009E1604" w:rsidRPr="00C1603D">
        <w:t>in which</w:t>
      </w:r>
      <w:r w:rsidRPr="00C1603D">
        <w:t xml:space="preserve"> a person is tested, a confirmatory biopsy is used only if the post-test probability</w:t>
      </w:r>
      <w:r w:rsidR="00D221DB" w:rsidRPr="00C1603D">
        <w:t xml:space="preserve"> of having CD</w:t>
      </w:r>
      <w:r w:rsidRPr="00C1603D">
        <w:t xml:space="preserve"> is </w:t>
      </w:r>
      <w:r w:rsidR="009E1604" w:rsidRPr="00C1603D">
        <w:t>&lt; </w:t>
      </w:r>
      <w:r w:rsidRPr="00C1603D">
        <w:t>90%. This does not apply to the combination of IgA tTG and IgA EMA</w:t>
      </w:r>
      <w:r w:rsidR="009E1604" w:rsidRPr="00C1603D">
        <w:t>,</w:t>
      </w:r>
      <w:r w:rsidRPr="00C1603D">
        <w:t xml:space="preserve"> which were based on the results of joint testing</w:t>
      </w:r>
      <w:r w:rsidR="009E1604" w:rsidRPr="00C1603D">
        <w:t>,</w:t>
      </w:r>
      <w:r w:rsidRPr="00C1603D">
        <w:t xml:space="preserve"> reported in </w:t>
      </w:r>
      <w:r w:rsidRPr="00C1603D">
        <w:rPr>
          <w:i/>
          <w:iCs/>
        </w:rPr>
        <w:t>Chapter 5</w:t>
      </w:r>
      <w:r w:rsidRPr="00C1603D">
        <w:t>. The model assumes that biopsy is perfectly accurate.</w:t>
      </w:r>
    </w:p>
    <w:p w14:paraId="7DD3C1B7" w14:textId="46DF37F7" w:rsidR="008B4DF8" w:rsidRPr="00C1603D" w:rsidRDefault="008B4DF8" w:rsidP="008B4DF8">
      <w:pPr>
        <w:pStyle w:val="81FigurelegendTableFigureBoxstyles"/>
        <w:rPr>
          <w:sz w:val="22"/>
          <w:szCs w:val="22"/>
        </w:rPr>
      </w:pPr>
      <w:bookmarkStart w:id="366" w:name="_Toc99720793"/>
      <w:r w:rsidRPr="00C1603D">
        <w:rPr>
          <w:b/>
        </w:rPr>
        <w:t>FIGURE 12</w:t>
      </w:r>
      <w:r w:rsidRPr="00C1603D">
        <w:rPr>
          <w:b/>
        </w:rPr>
        <w:t> </w:t>
      </w:r>
      <w:r w:rsidRPr="00C1603D">
        <w:t xml:space="preserve">Decision </w:t>
      </w:r>
      <w:r w:rsidR="009E1604" w:rsidRPr="00C1603D">
        <w:t>t</w:t>
      </w:r>
      <w:r w:rsidRPr="00C1603D">
        <w:t xml:space="preserve">ree representing serological and genetic testing </w:t>
      </w:r>
      <w:r w:rsidR="009E1604" w:rsidRPr="00C1603D">
        <w:t>among</w:t>
      </w:r>
      <w:r w:rsidRPr="00C1603D">
        <w:t xml:space="preserve"> patients with suspected CD.</w:t>
      </w:r>
      <w:bookmarkEnd w:id="366"/>
      <w:r w:rsidR="009E1604" w:rsidRPr="00C1603D">
        <w:t xml:space="preserve"> A</w:t>
      </w:r>
      <w:r w:rsidRPr="00C1603D">
        <w:t xml:space="preserve"> test </w:t>
      </w:r>
      <w:proofErr w:type="gramStart"/>
      <w:r w:rsidRPr="00C1603D">
        <w:t>is judged</w:t>
      </w:r>
      <w:proofErr w:type="gramEnd"/>
      <w:r w:rsidRPr="00C1603D">
        <w:t xml:space="preserve"> </w:t>
      </w:r>
      <w:r w:rsidR="009E1604" w:rsidRPr="00C1603D">
        <w:t xml:space="preserve">to be </w:t>
      </w:r>
      <w:r w:rsidRPr="00C1603D">
        <w:t xml:space="preserve">positive if </w:t>
      </w:r>
      <w:r w:rsidR="009E1604" w:rsidRPr="00C1603D">
        <w:t>a</w:t>
      </w:r>
      <w:r w:rsidRPr="00C1603D">
        <w:t xml:space="preserve"> patient</w:t>
      </w:r>
      <w:r w:rsidR="009E1604" w:rsidRPr="00C1603D">
        <w:t>’</w:t>
      </w:r>
      <w:r w:rsidRPr="00C1603D">
        <w:t>s post-test probability</w:t>
      </w:r>
      <w:r w:rsidR="009E1604" w:rsidRPr="00C1603D">
        <w:t xml:space="preserve"> of having CD</w:t>
      </w:r>
      <w:r w:rsidRPr="00C1603D">
        <w:t xml:space="preserve"> is </w:t>
      </w:r>
      <w:r w:rsidR="009E1604" w:rsidRPr="00C1603D">
        <w:t>&gt; </w:t>
      </w:r>
      <w:r w:rsidRPr="00C1603D">
        <w:t>90%; confirmatory biopsy is applied to all strategies if the post-test probability is below this threshold.</w:t>
      </w:r>
    </w:p>
    <w:p w14:paraId="3FBB7454" w14:textId="33E60740" w:rsidR="008B4DF8" w:rsidRPr="00C1603D" w:rsidRDefault="008B4DF8" w:rsidP="008B4DF8">
      <w:pPr>
        <w:pStyle w:val="602TextfoTextstylesTextstyles"/>
        <w:rPr>
          <w:sz w:val="24"/>
          <w:szCs w:val="24"/>
        </w:rPr>
      </w:pPr>
      <w:r w:rsidRPr="00C1603D">
        <w:t>At the end of the decision tree, patients either have a positive or negative result for CD or remain undiagnosed if they followed the no</w:t>
      </w:r>
      <w:r w:rsidR="000C2549" w:rsidRPr="00C1603D">
        <w:t>-</w:t>
      </w:r>
      <w:r w:rsidRPr="00C1603D">
        <w:t>screening strategy or had a false</w:t>
      </w:r>
      <w:r w:rsidR="007701DE" w:rsidRPr="00C1603D">
        <w:t>-</w:t>
      </w:r>
      <w:r w:rsidRPr="00C1603D">
        <w:t xml:space="preserve">negative test. If they </w:t>
      </w:r>
      <w:r w:rsidR="007701DE" w:rsidRPr="00C1603D">
        <w:t>are diagnosed with</w:t>
      </w:r>
      <w:r w:rsidRPr="00C1603D">
        <w:t xml:space="preserve"> CD through the testing process, they would be advised to follow a gluten-free diet. It is assumed that</w:t>
      </w:r>
      <w:r w:rsidR="006D21DC" w:rsidRPr="00C1603D">
        <w:t>,</w:t>
      </w:r>
      <w:r w:rsidRPr="00C1603D">
        <w:t xml:space="preserve"> beyond the initial costs and disutility associated with testing, patients without CD who are tested will not have different costs or health outcomes </w:t>
      </w:r>
      <w:r w:rsidR="006D21DC" w:rsidRPr="00C1603D">
        <w:t>from</w:t>
      </w:r>
      <w:r w:rsidRPr="00C1603D">
        <w:t xml:space="preserve"> non-CD patients who were not screened. As </w:t>
      </w:r>
      <w:r w:rsidR="00962FA2" w:rsidRPr="00C1603D">
        <w:t>a result</w:t>
      </w:r>
      <w:r w:rsidRPr="00C1603D">
        <w:t xml:space="preserve">, we </w:t>
      </w:r>
      <w:r w:rsidR="00962FA2" w:rsidRPr="00C1603D">
        <w:t xml:space="preserve">only </w:t>
      </w:r>
      <w:r w:rsidRPr="00C1603D">
        <w:t>model</w:t>
      </w:r>
      <w:r w:rsidR="00962FA2" w:rsidRPr="00C1603D">
        <w:t xml:space="preserve"> the</w:t>
      </w:r>
      <w:r w:rsidRPr="00C1603D">
        <w:t xml:space="preserve"> long-term consequences of patients who have diagnosed or undiagnosed CD. Costs and effects associated with false</w:t>
      </w:r>
      <w:r w:rsidR="00962FA2" w:rsidRPr="00C1603D">
        <w:t>-</w:t>
      </w:r>
      <w:r w:rsidRPr="00C1603D">
        <w:t>positive CD patients are scaled by the ratio of false positives to true positives and false negatives (i.e. the number of CD patients who enter the cohort Markov model)</w:t>
      </w:r>
      <w:r w:rsidR="000C7C20" w:rsidRPr="00C1603D">
        <w:t>,</w:t>
      </w:r>
      <w:r w:rsidRPr="00C1603D">
        <w:t xml:space="preserve"> so they are on the same scale as the diagnosed/undiagnosed CD cohort.</w:t>
      </w:r>
    </w:p>
    <w:p w14:paraId="156A9542" w14:textId="2E9D7073" w:rsidR="008B4DF8" w:rsidRPr="00C1603D" w:rsidRDefault="008B4DF8" w:rsidP="008B4DF8">
      <w:pPr>
        <w:pStyle w:val="54CheadHeadingsHeadingstyles"/>
      </w:pPr>
      <w:bookmarkStart w:id="367" w:name="_Toc87507182"/>
      <w:bookmarkStart w:id="368" w:name="_Ref61356189"/>
      <w:r w:rsidRPr="00C1603D">
        <w:lastRenderedPageBreak/>
        <w:t>Structure of</w:t>
      </w:r>
      <w:r w:rsidR="00496C5A" w:rsidRPr="00C1603D">
        <w:t xml:space="preserve"> the</w:t>
      </w:r>
      <w:r w:rsidRPr="00C1603D">
        <w:t xml:space="preserve"> Markov model</w:t>
      </w:r>
      <w:bookmarkEnd w:id="367"/>
    </w:p>
    <w:p w14:paraId="34ECB72E" w14:textId="3855F25C" w:rsidR="008B4DF8" w:rsidRPr="00C1603D" w:rsidRDefault="008B4DF8" w:rsidP="008B4DF8">
      <w:pPr>
        <w:pStyle w:val="602TextfoTextstylesTextstyles"/>
      </w:pPr>
      <w:proofErr w:type="gramStart"/>
      <w:r w:rsidRPr="00C1603D">
        <w:t>The decision tree is followed by a lifetime time-inhomogeneous discrete-time Markov model</w:t>
      </w:r>
      <w:proofErr w:type="gramEnd"/>
      <w:r w:rsidRPr="00C1603D">
        <w:t>.</w:t>
      </w:r>
      <w:r w:rsidRPr="00C1603D">
        <w:rPr>
          <w:noProof/>
          <w:vertAlign w:val="superscript"/>
        </w:rPr>
        <w:t>211,215</w:t>
      </w:r>
      <w:r w:rsidRPr="00C1603D">
        <w:t xml:space="preserve"> In this model, health states are assumed to be mutually exclusive. In other words, a patient can be in </w:t>
      </w:r>
      <w:r w:rsidR="00DA162A" w:rsidRPr="00C1603D">
        <w:t xml:space="preserve">only </w:t>
      </w:r>
      <w:r w:rsidRPr="00C1603D">
        <w:t xml:space="preserve">one health state at a time. Costs and utilities are assigned to each health state, </w:t>
      </w:r>
      <w:r w:rsidR="00DA162A" w:rsidRPr="00C1603D">
        <w:t>and</w:t>
      </w:r>
      <w:r w:rsidRPr="00C1603D">
        <w:t xml:space="preserve"> are accrued for each year spent in that state. As in NICE 2015,</w:t>
      </w:r>
      <w:r w:rsidR="00D413CC" w:rsidRPr="00C1603D">
        <w:rPr>
          <w:vertAlign w:val="superscript"/>
        </w:rPr>
        <w:t>198</w:t>
      </w:r>
      <w:r w:rsidRPr="00C1603D">
        <w:t xml:space="preserve"> our model has annual cycles and a lifetime </w:t>
      </w:r>
      <w:r w:rsidR="00D413CC" w:rsidRPr="00C1603D">
        <w:t xml:space="preserve">time </w:t>
      </w:r>
      <w:r w:rsidRPr="00C1603D">
        <w:t>horizon.</w:t>
      </w:r>
    </w:p>
    <w:p w14:paraId="783C2E02" w14:textId="7AA81AFB" w:rsidR="008B4DF8" w:rsidRPr="00C1603D" w:rsidRDefault="008B4DF8" w:rsidP="008B4DF8">
      <w:pPr>
        <w:pStyle w:val="602TextfoTextstylesTextstyles"/>
      </w:pPr>
      <w:r w:rsidRPr="00C1603D">
        <w:t>Following the NICE model, complications from biopsy are not modelled, thus implicitly assuming</w:t>
      </w:r>
      <w:r w:rsidR="00C07B94" w:rsidRPr="00C1603D">
        <w:t xml:space="preserve"> that</w:t>
      </w:r>
      <w:r w:rsidRPr="00C1603D">
        <w:t xml:space="preserve"> there is no elevated risk of major complications or death from biopsy, although a small disutility is included to represent the procedure and waiting time for diagnosis</w:t>
      </w:r>
      <w:r w:rsidR="00C07B94" w:rsidRPr="00C1603D">
        <w:t>,</w:t>
      </w:r>
      <w:r w:rsidRPr="00C1603D">
        <w:t xml:space="preserve"> during which an undiagnosed CD patient is less likely to be on</w:t>
      </w:r>
      <w:r w:rsidR="00C07B94" w:rsidRPr="00C1603D">
        <w:t xml:space="preserve"> a</w:t>
      </w:r>
      <w:r w:rsidRPr="00C1603D">
        <w:t xml:space="preserve"> gluten-free diet. This assumption is supported by a </w:t>
      </w:r>
      <w:r w:rsidR="008048E9" w:rsidRPr="00C1603D">
        <w:t>2018</w:t>
      </w:r>
      <w:r w:rsidRPr="00C1603D">
        <w:t xml:space="preserve"> study</w:t>
      </w:r>
      <w:r w:rsidR="008048E9" w:rsidRPr="00C1603D">
        <w:rPr>
          <w:vertAlign w:val="superscript"/>
        </w:rPr>
        <w:t>216</w:t>
      </w:r>
      <w:r w:rsidRPr="00C1603D">
        <w:t xml:space="preserve"> </w:t>
      </w:r>
      <w:r w:rsidR="00F27097" w:rsidRPr="00C1603D">
        <w:t xml:space="preserve">that </w:t>
      </w:r>
      <w:r w:rsidRPr="00C1603D">
        <w:t xml:space="preserve">looked at 13,233 patients undergoing outpatient </w:t>
      </w:r>
      <w:r w:rsidR="00267212" w:rsidRPr="00C1603D">
        <w:t>OGD</w:t>
      </w:r>
      <w:r w:rsidRPr="00C1603D">
        <w:t xml:space="preserve"> with biopsy over 5 years in the US</w:t>
      </w:r>
      <w:r w:rsidR="00C07B94" w:rsidRPr="00C1603D">
        <w:t>A</w:t>
      </w:r>
      <w:r w:rsidRPr="00C1603D">
        <w:t xml:space="preserve">. They concluded that no patient was admitted because of complications that could be ascribed to conscious sedation, upper GI endoscopic access or mucosal biopsy and that these data confirm that </w:t>
      </w:r>
      <w:r w:rsidR="00267212" w:rsidRPr="00C1603D">
        <w:t>OGD</w:t>
      </w:r>
      <w:r w:rsidRPr="00C1603D">
        <w:t xml:space="preserve"> biopsy is safe.</w:t>
      </w:r>
      <w:r w:rsidRPr="00C1603D">
        <w:rPr>
          <w:noProof/>
          <w:vertAlign w:val="superscript"/>
        </w:rPr>
        <w:t>216</w:t>
      </w:r>
    </w:p>
    <w:p w14:paraId="37BDFBD0" w14:textId="4F9756E2" w:rsidR="008B4DF8" w:rsidRPr="00C1603D" w:rsidRDefault="008B4DF8" w:rsidP="008B4DF8">
      <w:pPr>
        <w:pStyle w:val="602TextfoTextstylesTextstyles"/>
      </w:pPr>
      <w:r w:rsidRPr="00C1603D">
        <w:t>Unlike the NICE 2015 model,</w:t>
      </w:r>
      <w:r w:rsidR="00F27097" w:rsidRPr="00C1603D">
        <w:rPr>
          <w:vertAlign w:val="superscript"/>
        </w:rPr>
        <w:t>198</w:t>
      </w:r>
      <w:r w:rsidRPr="00C1603D">
        <w:t xml:space="preserve"> our model does not distinguish between people with diagnosed CD following a gluten-free diet </w:t>
      </w:r>
      <w:r w:rsidR="00CD79EA" w:rsidRPr="00C1603D">
        <w:t>and people diagnosed with CD</w:t>
      </w:r>
      <w:r w:rsidRPr="00C1603D">
        <w:t xml:space="preserve"> not</w:t>
      </w:r>
      <w:r w:rsidR="00CD79EA" w:rsidRPr="00C1603D">
        <w:t xml:space="preserve"> following a gluten-free diet</w:t>
      </w:r>
      <w:r w:rsidRPr="00C1603D">
        <w:t xml:space="preserve">. We instead modelled CD patients as being diagnosed or undiagnosed, with different rates of complications in these states due to </w:t>
      </w:r>
      <w:proofErr w:type="gramStart"/>
      <w:r w:rsidRPr="00C1603D">
        <w:t>different levels</w:t>
      </w:r>
      <w:proofErr w:type="gramEnd"/>
      <w:r w:rsidRPr="00C1603D">
        <w:t xml:space="preserve"> </w:t>
      </w:r>
      <w:r w:rsidR="004A3236" w:rsidRPr="00C1603D">
        <w:t xml:space="preserve">of </w:t>
      </w:r>
      <w:r w:rsidR="000920D7" w:rsidRPr="00C1603D">
        <w:t xml:space="preserve">adherence to a </w:t>
      </w:r>
      <w:r w:rsidRPr="00C1603D">
        <w:t xml:space="preserve">gluten-free diet. This modelling choice is </w:t>
      </w:r>
      <w:r w:rsidR="004A3236" w:rsidRPr="00C1603D">
        <w:t>because of</w:t>
      </w:r>
      <w:r w:rsidRPr="00C1603D">
        <w:t xml:space="preserve"> methodological challenges associated with assessing dietary adherence and a lack of reliable data on the health impacts of following a gluten-free diet or not. Reported gluten-free diet adherence rates vary </w:t>
      </w:r>
      <w:proofErr w:type="gramStart"/>
      <w:r w:rsidRPr="00C1603D">
        <w:t>substantially depending</w:t>
      </w:r>
      <w:proofErr w:type="gramEnd"/>
      <w:r w:rsidRPr="00C1603D">
        <w:t xml:space="preserve"> on how it is measured and the population studied.</w:t>
      </w:r>
      <w:r w:rsidRPr="00C1603D">
        <w:rPr>
          <w:noProof/>
          <w:vertAlign w:val="superscript"/>
        </w:rPr>
        <w:t>217</w:t>
      </w:r>
      <w:r w:rsidRPr="00C1603D">
        <w:t xml:space="preserve"> Adherence to </w:t>
      </w:r>
      <w:r w:rsidR="00FE78B5" w:rsidRPr="00C1603D">
        <w:t>a</w:t>
      </w:r>
      <w:r w:rsidRPr="00C1603D">
        <w:t xml:space="preserve"> gluten-free diet is affected by age at diagnosis, type and severity of symptoms, quality of counselling, mental health, local or societal support levels, and the cost and availability of gluten-free foods.</w:t>
      </w:r>
      <w:r w:rsidRPr="00C1603D">
        <w:rPr>
          <w:noProof/>
          <w:vertAlign w:val="superscript"/>
        </w:rPr>
        <w:t>218</w:t>
      </w:r>
      <w:r w:rsidRPr="00C1603D">
        <w:t xml:space="preserve"> Biopsy is the gold standard when assessing adherence</w:t>
      </w:r>
      <w:r w:rsidR="00FE78B5" w:rsidRPr="00C1603D">
        <w:t>,</w:t>
      </w:r>
      <w:r w:rsidRPr="00C1603D">
        <w:t xml:space="preserve"> but the procedure is invasive and costly</w:t>
      </w:r>
      <w:r w:rsidRPr="00C1603D">
        <w:rPr>
          <w:color w:val="00B0F0"/>
        </w:rPr>
        <w:t>. Owing to</w:t>
      </w:r>
      <w:r w:rsidRPr="00C1603D">
        <w:t xml:space="preserve"> this, various other methods are used including validated and non-validated questionnaires, serology, faecal or urine tests, dietitian</w:t>
      </w:r>
      <w:r w:rsidRPr="00C1603D">
        <w:rPr>
          <w:color w:val="00B0F0"/>
        </w:rPr>
        <w:t>’</w:t>
      </w:r>
      <w:r w:rsidRPr="00C1603D">
        <w:t>s assessment, interviews and patient</w:t>
      </w:r>
      <w:r w:rsidR="00666141" w:rsidRPr="00C1603D">
        <w:t>-</w:t>
      </w:r>
      <w:r w:rsidRPr="00C1603D">
        <w:t>reported adherence.</w:t>
      </w:r>
      <w:r w:rsidRPr="00C1603D">
        <w:rPr>
          <w:noProof/>
          <w:vertAlign w:val="superscript"/>
        </w:rPr>
        <w:t>218</w:t>
      </w:r>
      <w:r w:rsidRPr="00C1603D">
        <w:t xml:space="preserve"> Identifying and assigning an average adherence rate to a cohort of individuals is therefore </w:t>
      </w:r>
      <w:proofErr w:type="gramStart"/>
      <w:r w:rsidRPr="00C1603D">
        <w:t>very difficult</w:t>
      </w:r>
      <w:proofErr w:type="gramEnd"/>
      <w:r w:rsidRPr="00C1603D">
        <w:t xml:space="preserve">. Even if this were possible, studies informing the risk of developing complications </w:t>
      </w:r>
      <w:r w:rsidR="00666141" w:rsidRPr="00C1603D">
        <w:t>among</w:t>
      </w:r>
      <w:r w:rsidRPr="00C1603D">
        <w:t xml:space="preserve"> those on a gluten-free diet, compared </w:t>
      </w:r>
      <w:r w:rsidR="00666141" w:rsidRPr="00C1603D">
        <w:t>with</w:t>
      </w:r>
      <w:r w:rsidRPr="00C1603D">
        <w:t xml:space="preserve"> those who are not, are based on cohorts of people with unknown</w:t>
      </w:r>
      <w:r w:rsidR="004A62C5" w:rsidRPr="00C1603D">
        <w:t>,</w:t>
      </w:r>
      <w:r w:rsidRPr="00C1603D">
        <w:t xml:space="preserve"> and </w:t>
      </w:r>
      <w:proofErr w:type="gramStart"/>
      <w:r w:rsidRPr="00C1603D">
        <w:t>presumably mixed</w:t>
      </w:r>
      <w:proofErr w:type="gramEnd"/>
      <w:r w:rsidR="004A62C5" w:rsidRPr="00C1603D">
        <w:t>,</w:t>
      </w:r>
      <w:r w:rsidRPr="00C1603D">
        <w:t xml:space="preserve"> adherence.</w:t>
      </w:r>
    </w:p>
    <w:p w14:paraId="0E72226C" w14:textId="10DC8278" w:rsidR="008B4DF8" w:rsidRPr="00C1603D" w:rsidRDefault="008B4DF8" w:rsidP="008B4DF8">
      <w:pPr>
        <w:pStyle w:val="602TextfoTextstylesTextstyles"/>
      </w:pPr>
      <w:r w:rsidRPr="00C1603D">
        <w:t>A further distinction from the NICE model</w:t>
      </w:r>
      <w:r w:rsidR="004A62C5" w:rsidRPr="00C1603D">
        <w:rPr>
          <w:vertAlign w:val="superscript"/>
        </w:rPr>
        <w:t>198</w:t>
      </w:r>
      <w:r w:rsidRPr="00C1603D">
        <w:t xml:space="preserve"> is that we do not include subfertility as a separate state. Our CPRD analysis found that </w:t>
      </w:r>
      <w:r w:rsidR="004A62C5" w:rsidRPr="00C1603D">
        <w:t xml:space="preserve">the </w:t>
      </w:r>
      <w:r w:rsidRPr="00C1603D">
        <w:t xml:space="preserve">prevalence of subfertility </w:t>
      </w:r>
      <w:r w:rsidR="004A62C5" w:rsidRPr="00C1603D">
        <w:t>among</w:t>
      </w:r>
      <w:r w:rsidRPr="00C1603D">
        <w:t xml:space="preserve"> women is the same regardless of CD status</w:t>
      </w:r>
      <w:r w:rsidR="00B44ACE" w:rsidRPr="00C1603D">
        <w:t>;</w:t>
      </w:r>
      <w:r w:rsidRPr="00C1603D">
        <w:t xml:space="preserve"> this is supported by a growing literature that there is no association between CD and subfertility.</w:t>
      </w:r>
      <w:r w:rsidRPr="00C1603D">
        <w:rPr>
          <w:noProof/>
          <w:vertAlign w:val="superscript"/>
        </w:rPr>
        <w:t>219</w:t>
      </w:r>
      <w:r w:rsidRPr="00C1603D">
        <w:rPr>
          <w:noProof/>
          <w:color w:val="00B0F0"/>
          <w:vertAlign w:val="superscript"/>
        </w:rPr>
        <w:t>–2</w:t>
      </w:r>
      <w:r w:rsidRPr="00C1603D">
        <w:rPr>
          <w:noProof/>
          <w:vertAlign w:val="superscript"/>
        </w:rPr>
        <w:t>22</w:t>
      </w:r>
    </w:p>
    <w:p w14:paraId="4B9F4421" w14:textId="52F15069" w:rsidR="008B4DF8" w:rsidRPr="00C1603D" w:rsidRDefault="008B4DF8" w:rsidP="008B4DF8">
      <w:pPr>
        <w:pStyle w:val="602TextfoTextstylesTextstyles"/>
      </w:pPr>
      <w:r w:rsidRPr="00C1603D">
        <w:t>Iron</w:t>
      </w:r>
      <w:r w:rsidR="00B44ACE" w:rsidRPr="00C1603D">
        <w:t>-</w:t>
      </w:r>
      <w:r w:rsidR="00B44ACE" w:rsidRPr="00C1603D">
        <w:rPr>
          <w:lang w:eastAsia="en-GB"/>
        </w:rPr>
        <w:t xml:space="preserve">deficiency </w:t>
      </w:r>
      <w:r w:rsidR="00B44ACE" w:rsidRPr="00C1603D">
        <w:t>a</w:t>
      </w:r>
      <w:r w:rsidRPr="00C1603D">
        <w:t>naemia was identified as important in our CPRD analysis</w:t>
      </w:r>
      <w:r w:rsidR="00B44ACE" w:rsidRPr="00C1603D">
        <w:t>,</w:t>
      </w:r>
      <w:r w:rsidRPr="00C1603D">
        <w:t xml:space="preserve"> but, in line with NICE, was not modelled as a separate state as our patient and clinical advice was that costs were mostly for over-the-counter medications, and therefore not included from an NHS perspective. The impact of IDA was also captured in utility values in diagnosed and undiagnosed states, aligned with our modelling of the efficacy of </w:t>
      </w:r>
      <w:r w:rsidR="00E146A1" w:rsidRPr="00C1603D">
        <w:t xml:space="preserve">a </w:t>
      </w:r>
      <w:r w:rsidRPr="00C1603D">
        <w:t xml:space="preserve">gluten-free diet, as major CD utility studies included large proportions </w:t>
      </w:r>
      <w:r w:rsidR="00E146A1" w:rsidRPr="00C1603D">
        <w:t xml:space="preserve">of people </w:t>
      </w:r>
      <w:r w:rsidRPr="00C1603D">
        <w:t>with IDA.</w:t>
      </w:r>
    </w:p>
    <w:p w14:paraId="380576FD" w14:textId="74F401AF" w:rsidR="008B4DF8" w:rsidRPr="00C1603D" w:rsidRDefault="008B4DF8" w:rsidP="008B4DF8">
      <w:pPr>
        <w:pStyle w:val="602TextfoTextstylesTextstyles"/>
      </w:pPr>
      <w:r w:rsidRPr="00C1603D">
        <w:t xml:space="preserve">Further risk factors of CD identified by </w:t>
      </w:r>
      <w:r w:rsidR="00E146A1" w:rsidRPr="00C1603D">
        <w:t xml:space="preserve">the </w:t>
      </w:r>
      <w:r w:rsidRPr="00C1603D">
        <w:t>diagnostic indicator review (</w:t>
      </w:r>
      <w:r w:rsidR="00E146A1" w:rsidRPr="00C1603D">
        <w:t xml:space="preserve">see </w:t>
      </w:r>
      <w:r w:rsidRPr="00C1603D">
        <w:rPr>
          <w:i/>
          <w:iCs/>
        </w:rPr>
        <w:t>Chapter 3</w:t>
      </w:r>
      <w:r w:rsidRPr="00C1603D">
        <w:t xml:space="preserve">) and </w:t>
      </w:r>
      <w:r w:rsidR="00E146A1" w:rsidRPr="00C1603D">
        <w:t xml:space="preserve">the </w:t>
      </w:r>
      <w:r w:rsidRPr="00C1603D">
        <w:t>CPRD analysis (</w:t>
      </w:r>
      <w:r w:rsidR="00E146A1" w:rsidRPr="00C1603D">
        <w:t xml:space="preserve">see </w:t>
      </w:r>
      <w:r w:rsidRPr="00C1603D">
        <w:rPr>
          <w:i/>
          <w:iCs/>
        </w:rPr>
        <w:t>Chapter 4</w:t>
      </w:r>
      <w:r w:rsidRPr="00C1603D">
        <w:t xml:space="preserve">) are </w:t>
      </w:r>
      <w:r w:rsidR="007157BC" w:rsidRPr="00C1603D">
        <w:t xml:space="preserve">(1) </w:t>
      </w:r>
      <w:r w:rsidRPr="00C1603D">
        <w:t>captured as general symptoms (e.g. fatigue, GI symptoms, IBS, mood disorders),</w:t>
      </w:r>
      <w:r w:rsidR="007157BC" w:rsidRPr="00C1603D">
        <w:t xml:space="preserve"> (2)</w:t>
      </w:r>
      <w:r w:rsidRPr="00C1603D">
        <w:t xml:space="preserve"> cannot be affected by </w:t>
      </w:r>
      <w:r w:rsidR="007157BC" w:rsidRPr="00C1603D">
        <w:t xml:space="preserve">a </w:t>
      </w:r>
      <w:r w:rsidRPr="00C1603D">
        <w:t xml:space="preserve">gluten-free diet and are thus unaffected by diagnosis (e.g. Down syndrome or having a first-degree relative with CD) or </w:t>
      </w:r>
      <w:r w:rsidR="007157BC" w:rsidRPr="00C1603D">
        <w:t xml:space="preserve">(3) </w:t>
      </w:r>
      <w:r w:rsidRPr="00C1603D">
        <w:t>are either rare or not plausibly caused by CD (e.g. thyroid disorders, Turner syndrome, type 1 diabetes).</w:t>
      </w:r>
    </w:p>
    <w:p w14:paraId="44B288F3" w14:textId="77777777" w:rsidR="008B4DF8" w:rsidRPr="00C1603D" w:rsidRDefault="008B4DF8" w:rsidP="008B4DF8">
      <w:pPr>
        <w:pStyle w:val="602TextfoTextstylesTextstyles"/>
      </w:pPr>
      <w:r w:rsidRPr="00C1603D">
        <w:t xml:space="preserve">Our final Markov model is illustrated in </w:t>
      </w:r>
      <w:r w:rsidRPr="00C1603D">
        <w:rPr>
          <w:i/>
          <w:color w:val="FF0000"/>
        </w:rPr>
        <w:t xml:space="preserve">Figure </w:t>
      </w:r>
      <w:r w:rsidRPr="00C1603D">
        <w:rPr>
          <w:i/>
          <w:noProof/>
          <w:color w:val="FF0000"/>
        </w:rPr>
        <w:t>13</w:t>
      </w:r>
      <w:r w:rsidRPr="00C1603D">
        <w:t>.</w:t>
      </w:r>
    </w:p>
    <w:p w14:paraId="103C9F3B" w14:textId="3993251A" w:rsidR="008B4DF8" w:rsidRPr="00C1603D" w:rsidRDefault="008B4DF8" w:rsidP="008B4DF8">
      <w:pPr>
        <w:pStyle w:val="81FigurelegendTableFigureBoxstyles"/>
        <w:rPr>
          <w:rFonts w:cs="Calibri"/>
        </w:rPr>
      </w:pPr>
      <w:bookmarkStart w:id="369" w:name="_Toc99720794"/>
      <w:r w:rsidRPr="00C1603D">
        <w:rPr>
          <w:b/>
        </w:rPr>
        <w:lastRenderedPageBreak/>
        <w:t>FIGURE 13</w:t>
      </w:r>
      <w:r w:rsidRPr="00C1603D">
        <w:rPr>
          <w:b/>
        </w:rPr>
        <w:t> </w:t>
      </w:r>
      <w:r w:rsidRPr="00C1603D">
        <w:t>Markov model structure</w:t>
      </w:r>
      <w:bookmarkEnd w:id="369"/>
      <w:r w:rsidR="00FC399A" w:rsidRPr="00C1603D">
        <w:t>.</w:t>
      </w:r>
    </w:p>
    <w:p w14:paraId="00B562D2" w14:textId="4E2FB1CB" w:rsidR="008B4DF8" w:rsidRPr="00C1603D" w:rsidRDefault="008B4DF8" w:rsidP="008B4DF8">
      <w:pPr>
        <w:pStyle w:val="602TextfoTextstylesTextstyles"/>
      </w:pPr>
      <w:r w:rsidRPr="00C1603D">
        <w:t>The initial distribution of patients between diagnosed and undiagnosed CD</w:t>
      </w:r>
      <w:r w:rsidR="00355273" w:rsidRPr="00C1603D">
        <w:t xml:space="preserve"> states</w:t>
      </w:r>
      <w:r w:rsidRPr="00C1603D">
        <w:t xml:space="preserve"> is determined by the decision tree. People can transition to death from any state in the model. Patients have an annual probability of transitioning from no complications to health states representing osteoporosis, NHL and death. Patients can also be in any of these health states at diagnosis. As in the NICE model,</w:t>
      </w:r>
      <w:r w:rsidR="00355273" w:rsidRPr="00C1603D">
        <w:rPr>
          <w:vertAlign w:val="superscript"/>
        </w:rPr>
        <w:t>198</w:t>
      </w:r>
      <w:r w:rsidRPr="00C1603D">
        <w:t xml:space="preserve"> and to avoid modelling multiple comorbidities on which CPRD evidence is limited, patients who develop osteoporosis can transition to NHL or death</w:t>
      </w:r>
      <w:r w:rsidR="00BA2517" w:rsidRPr="00C1603D">
        <w:t xml:space="preserve"> only,</w:t>
      </w:r>
      <w:r w:rsidRPr="00C1603D">
        <w:t xml:space="preserve"> and no distinction is made between NHL patients with </w:t>
      </w:r>
      <w:r w:rsidR="00BA2517" w:rsidRPr="00C1603D">
        <w:t>and NHL patients</w:t>
      </w:r>
      <w:r w:rsidRPr="00C1603D">
        <w:t xml:space="preserve"> without prior osteoporosis. Patients who develop NHL are assumed to stay in this health state until death (i.e. </w:t>
      </w:r>
      <w:r w:rsidR="00BA2517" w:rsidRPr="00C1603D">
        <w:t xml:space="preserve">they </w:t>
      </w:r>
      <w:r w:rsidRPr="00C1603D">
        <w:t xml:space="preserve">do not return to the less severe osteoporosis state). Patients with undiagnosed CD transition through the health states and can be diagnosed </w:t>
      </w:r>
      <w:r w:rsidR="00BA2517" w:rsidRPr="00C1603D">
        <w:t xml:space="preserve">at any point, </w:t>
      </w:r>
      <w:r w:rsidRPr="00C1603D">
        <w:t xml:space="preserve">with </w:t>
      </w:r>
      <w:r w:rsidR="00BA2517" w:rsidRPr="00C1603D">
        <w:t>a</w:t>
      </w:r>
      <w:r w:rsidRPr="00C1603D">
        <w:t xml:space="preserve"> proportion receiving biopsy.</w:t>
      </w:r>
    </w:p>
    <w:p w14:paraId="499CB13C" w14:textId="77777777" w:rsidR="008B4DF8" w:rsidRPr="00C1603D" w:rsidRDefault="008B4DF8" w:rsidP="008B4DF8">
      <w:pPr>
        <w:pStyle w:val="53BheadHeadingsHeadingstyles"/>
      </w:pPr>
      <w:bookmarkStart w:id="370" w:name="_Toc87507183"/>
      <w:bookmarkStart w:id="371" w:name="_Toc99539900"/>
      <w:r w:rsidRPr="00C1603D">
        <w:t>Input parameters</w:t>
      </w:r>
      <w:bookmarkEnd w:id="370"/>
      <w:bookmarkEnd w:id="371"/>
    </w:p>
    <w:p w14:paraId="1B482550" w14:textId="6BF00E97" w:rsidR="008B4DF8" w:rsidRPr="00C1603D" w:rsidRDefault="008B4DF8" w:rsidP="008B4DF8">
      <w:pPr>
        <w:pStyle w:val="602TextfoTextstylesTextstyles"/>
        <w:rPr>
          <w:color w:val="auto"/>
        </w:rPr>
      </w:pPr>
      <w:r w:rsidRPr="00C1603D">
        <w:t xml:space="preserve">In this section we describe the parameters of the decision tree and Markov model. These are either informed by the </w:t>
      </w:r>
      <w:r w:rsidR="00F40F76" w:rsidRPr="00C1603D">
        <w:t>DTA</w:t>
      </w:r>
      <w:r w:rsidRPr="00C1603D">
        <w:t xml:space="preserve"> meta-analysis (</w:t>
      </w:r>
      <w:r w:rsidR="00730F11" w:rsidRPr="00C1603D">
        <w:t xml:space="preserve">see </w:t>
      </w:r>
      <w:r w:rsidRPr="00C1603D">
        <w:rPr>
          <w:i/>
          <w:iCs/>
        </w:rPr>
        <w:t>Chapter</w:t>
      </w:r>
      <w:r w:rsidR="00730F11" w:rsidRPr="00C1603D">
        <w:rPr>
          <w:i/>
          <w:iCs/>
        </w:rPr>
        <w:t>s</w:t>
      </w:r>
      <w:r w:rsidRPr="00C1603D">
        <w:rPr>
          <w:i/>
          <w:iCs/>
        </w:rPr>
        <w:t xml:space="preserve"> 5</w:t>
      </w:r>
      <w:r w:rsidRPr="00C1603D">
        <w:t xml:space="preserve"> and </w:t>
      </w:r>
      <w:r w:rsidRPr="00C1603D">
        <w:rPr>
          <w:i/>
          <w:iCs/>
        </w:rPr>
        <w:t>6</w:t>
      </w:r>
      <w:r w:rsidRPr="00C1603D">
        <w:t>), the literature review of coeliac screening cost-effectiveness models, UK CPRD analyses, estimates used in the NICE 2015 model</w:t>
      </w:r>
      <w:r w:rsidR="00730F11" w:rsidRPr="00C1603D">
        <w:rPr>
          <w:vertAlign w:val="superscript"/>
        </w:rPr>
        <w:t>198</w:t>
      </w:r>
      <w:r w:rsidRPr="00C1603D">
        <w:t xml:space="preserve"> or targeted literature searches. A summary of all parameters with evidence sources is shown </w:t>
      </w:r>
      <w:r w:rsidRPr="00C1603D">
        <w:rPr>
          <w:color w:val="auto"/>
        </w:rPr>
        <w:t xml:space="preserve">in </w:t>
      </w:r>
      <w:r w:rsidRPr="00C1603D">
        <w:rPr>
          <w:i/>
          <w:color w:val="auto"/>
        </w:rPr>
        <w:t xml:space="preserve">Table </w:t>
      </w:r>
      <w:r w:rsidRPr="00C1603D">
        <w:rPr>
          <w:i/>
          <w:noProof/>
          <w:color w:val="auto"/>
        </w:rPr>
        <w:t>1</w:t>
      </w:r>
      <w:r w:rsidR="008A6568" w:rsidRPr="00C1603D">
        <w:rPr>
          <w:i/>
          <w:noProof/>
          <w:color w:val="auto"/>
        </w:rPr>
        <w:t>8</w:t>
      </w:r>
      <w:r w:rsidRPr="00C1603D">
        <w:rPr>
          <w:color w:val="auto"/>
        </w:rPr>
        <w:t>.</w:t>
      </w:r>
    </w:p>
    <w:p w14:paraId="39CC3D30" w14:textId="7E351AB6" w:rsidR="008B4DF8" w:rsidRPr="00C1603D" w:rsidRDefault="008B4DF8" w:rsidP="008B4DF8">
      <w:pPr>
        <w:pStyle w:val="54CheadHeadingsHeadingstyles"/>
      </w:pPr>
      <w:bookmarkStart w:id="372" w:name="_Ref84001162"/>
      <w:bookmarkStart w:id="373" w:name="_Toc87507184"/>
      <w:r w:rsidRPr="00C1603D">
        <w:t xml:space="preserve">Prevalence of osteoporosis, </w:t>
      </w:r>
      <w:r w:rsidR="00F4554C" w:rsidRPr="00C1603D">
        <w:t>non-Hodgkin lymphoma</w:t>
      </w:r>
      <w:r w:rsidRPr="00C1603D">
        <w:t xml:space="preserve"> and </w:t>
      </w:r>
      <w:r w:rsidR="00F4554C" w:rsidRPr="00C1603D">
        <w:t>iron-deficiency anaemia</w:t>
      </w:r>
      <w:r w:rsidRPr="00C1603D">
        <w:t xml:space="preserve"> in </w:t>
      </w:r>
      <w:r w:rsidR="00CE3D10" w:rsidRPr="00C1603D">
        <w:t xml:space="preserve">a </w:t>
      </w:r>
      <w:r w:rsidRPr="00C1603D">
        <w:t xml:space="preserve">population with </w:t>
      </w:r>
      <w:bookmarkEnd w:id="372"/>
      <w:bookmarkEnd w:id="373"/>
      <w:r w:rsidR="00CE3D10" w:rsidRPr="00C1603D">
        <w:t>coeliac disease</w:t>
      </w:r>
    </w:p>
    <w:p w14:paraId="6B542D15" w14:textId="2224F471" w:rsidR="008B4DF8" w:rsidRPr="00C1603D" w:rsidRDefault="008B4DF8" w:rsidP="008B4DF8">
      <w:pPr>
        <w:pStyle w:val="602TextfoTextstylesTextstyles"/>
      </w:pPr>
      <w:r w:rsidRPr="00C1603D">
        <w:t xml:space="preserve">The prevalence of NHL, osteoporosis and IDA were estimated using CPRD Aurum data, </w:t>
      </w:r>
      <w:r w:rsidR="00CE3D10" w:rsidRPr="00C1603D">
        <w:t>of</w:t>
      </w:r>
      <w:r w:rsidRPr="00C1603D">
        <w:t xml:space="preserve"> patients with a CD diagnosis, linked to HES</w:t>
      </w:r>
      <w:r w:rsidR="00CE3D10" w:rsidRPr="00C1603D">
        <w:t>,</w:t>
      </w:r>
      <w:r w:rsidRPr="00C1603D">
        <w:t xml:space="preserve"> and assumed </w:t>
      </w:r>
      <w:r w:rsidR="00CE3D10" w:rsidRPr="00C1603D">
        <w:t xml:space="preserve">to be </w:t>
      </w:r>
      <w:r w:rsidRPr="00C1603D">
        <w:t xml:space="preserve">age and gender dependent. Records of complications were identified in HES and </w:t>
      </w:r>
      <w:r w:rsidR="00CC1C3B" w:rsidRPr="00C1603D">
        <w:t xml:space="preserve">the </w:t>
      </w:r>
      <w:r w:rsidRPr="00C1603D">
        <w:t xml:space="preserve">CPRD using </w:t>
      </w:r>
      <w:r w:rsidR="00445E0B" w:rsidRPr="00C1603D">
        <w:t xml:space="preserve">the </w:t>
      </w:r>
      <w:r w:rsidR="00445E0B" w:rsidRPr="00C1603D">
        <w:rPr>
          <w:i/>
          <w:iCs/>
        </w:rPr>
        <w:t>International Statistical Classification of Diseases and Related Health Problems</w:t>
      </w:r>
      <w:r w:rsidR="00445E0B" w:rsidRPr="00C1603D">
        <w:t>, Tenth Revision (ICD-10),</w:t>
      </w:r>
      <w:r w:rsidRPr="00C1603D">
        <w:t xml:space="preserve"> and Aurum medical codes (full details of the analysis and results </w:t>
      </w:r>
      <w:r w:rsidR="0002729D" w:rsidRPr="00C1603D">
        <w:t xml:space="preserve">are </w:t>
      </w:r>
      <w:r w:rsidRPr="00C1603D">
        <w:t xml:space="preserve">in </w:t>
      </w:r>
      <w:r w:rsidR="009F423E" w:rsidRPr="00C1603D">
        <w:t>t</w:t>
      </w:r>
      <w:r w:rsidRPr="00C1603D">
        <w:t>ables S12</w:t>
      </w:r>
      <w:r w:rsidR="009F423E" w:rsidRPr="00C1603D">
        <w:t>–</w:t>
      </w:r>
      <w:r w:rsidRPr="00C1603D">
        <w:t>S16</w:t>
      </w:r>
      <w:r w:rsidR="009F423E" w:rsidRPr="00C1603D">
        <w:t xml:space="preserve"> in </w:t>
      </w:r>
      <w:r w:rsidR="009F423E" w:rsidRPr="00C1603D">
        <w:rPr>
          <w:i/>
          <w:iCs/>
        </w:rPr>
        <w:t>Report Supplementary Material 1</w:t>
      </w:r>
      <w:r w:rsidRPr="00C1603D">
        <w:t xml:space="preserve">). </w:t>
      </w:r>
      <w:r w:rsidR="0002729D" w:rsidRPr="00C1603D">
        <w:t>The i</w:t>
      </w:r>
      <w:r w:rsidRPr="00C1603D">
        <w:t>nitial proportions</w:t>
      </w:r>
      <w:r w:rsidR="0002729D" w:rsidRPr="00C1603D">
        <w:t xml:space="preserve"> of people</w:t>
      </w:r>
      <w:r w:rsidRPr="00C1603D">
        <w:t xml:space="preserve"> with each complication </w:t>
      </w:r>
      <w:r w:rsidR="00FA0EDD" w:rsidRPr="00C1603D">
        <w:t>among</w:t>
      </w:r>
      <w:r w:rsidRPr="00C1603D">
        <w:t xml:space="preserve"> newly diagnosed and undiagnosed CD patients in the Markov model are assumed to follow these prevalences</w:t>
      </w:r>
      <w:r w:rsidR="00FA0EDD" w:rsidRPr="00C1603D">
        <w:t>.</w:t>
      </w:r>
      <w:r w:rsidRPr="00C1603D">
        <w:t xml:space="preserve"> </w:t>
      </w:r>
      <w:commentRangeStart w:id="374"/>
      <w:commentRangeStart w:id="375"/>
      <w:r w:rsidR="00FA0EDD" w:rsidRPr="00C1603D">
        <w:t>I</w:t>
      </w:r>
      <w:r w:rsidRPr="00C1603D">
        <w:t>t is a limitation that CPRD data cannot generate prevalence in undiagnosed CD</w:t>
      </w:r>
      <w:r w:rsidR="00FA0EDD" w:rsidRPr="00C1603D">
        <w:t>;</w:t>
      </w:r>
      <w:r w:rsidRPr="00C1603D">
        <w:t xml:space="preserve"> however</w:t>
      </w:r>
      <w:r w:rsidR="00FA0EDD" w:rsidRPr="00C1603D">
        <w:t>,</w:t>
      </w:r>
      <w:r w:rsidRPr="00C1603D">
        <w:t xml:space="preserve"> rates of developing the complications are modelled to be different (see </w:t>
      </w:r>
      <w:r w:rsidR="00DB4E5C" w:rsidRPr="00C1603D">
        <w:rPr>
          <w:i/>
          <w:iCs/>
        </w:rPr>
        <w:t>Risk of developing osteoporosis, iron-deficiency anaemia and non-Hodgkin lymphoma</w:t>
      </w:r>
      <w:r w:rsidRPr="00C1603D">
        <w:t xml:space="preserve">). </w:t>
      </w:r>
      <w:commentRangeEnd w:id="374"/>
      <w:r w:rsidR="00FA0EDD" w:rsidRPr="00C1603D">
        <w:commentReference w:id="374"/>
      </w:r>
      <w:commentRangeEnd w:id="375"/>
      <w:r w:rsidRPr="00C1603D">
        <w:commentReference w:id="375"/>
      </w:r>
      <w:r w:rsidRPr="00C1603D">
        <w:t>The proportion without these complications begin in the no</w:t>
      </w:r>
      <w:r w:rsidR="00FA0EDD" w:rsidRPr="00C1603D">
        <w:t>-</w:t>
      </w:r>
      <w:r w:rsidRPr="00C1603D">
        <w:t xml:space="preserve">complications state. IDA is modelled independently of NHL </w:t>
      </w:r>
      <w:r w:rsidR="00ED5CB5" w:rsidRPr="00C1603D">
        <w:t>and</w:t>
      </w:r>
      <w:r w:rsidRPr="00C1603D">
        <w:t xml:space="preserve"> osteoporosis</w:t>
      </w:r>
      <w:r w:rsidR="00ED5CB5" w:rsidRPr="00C1603D">
        <w:t>,</w:t>
      </w:r>
      <w:r w:rsidRPr="00C1603D">
        <w:t xml:space="preserve"> so an independent beta distribution is used to present</w:t>
      </w:r>
      <w:r w:rsidR="00ED5CB5" w:rsidRPr="00C1603D">
        <w:t xml:space="preserve"> the</w:t>
      </w:r>
      <w:r w:rsidRPr="00C1603D">
        <w:t xml:space="preserve"> initial probability of having IDA. Although NHL and osteoporosis are separate states in the Markov model, the prevalence estimates are not mutually exclusive. </w:t>
      </w:r>
      <w:r w:rsidR="00ED5CB5" w:rsidRPr="00C1603D">
        <w:t>The p</w:t>
      </w:r>
      <w:r w:rsidRPr="00C1603D">
        <w:t>revalence of NHL is low (</w:t>
      </w:r>
      <w:r w:rsidRPr="00C1603D">
        <w:rPr>
          <w:color w:val="00B0F0"/>
        </w:rPr>
        <w:t>&lt; 2</w:t>
      </w:r>
      <w:r w:rsidRPr="00C1603D">
        <w:t>%)</w:t>
      </w:r>
      <w:r w:rsidR="00ED5CB5" w:rsidRPr="00C1603D">
        <w:t>,</w:t>
      </w:r>
      <w:r w:rsidRPr="00C1603D">
        <w:t xml:space="preserve"> so overlap with osteoporosis is negligible and each prevalence is modelled by an independent </w:t>
      </w:r>
      <w:r w:rsidR="00ED5CB5" w:rsidRPr="00C1603D">
        <w:t>b</w:t>
      </w:r>
      <w:r w:rsidRPr="00C1603D">
        <w:t xml:space="preserve">eta distribution. </w:t>
      </w:r>
      <w:r w:rsidRPr="00C1603D">
        <w:rPr>
          <w:i/>
          <w:iCs/>
        </w:rPr>
        <w:t xml:space="preserve">Appendix </w:t>
      </w:r>
      <w:r w:rsidRPr="00C1603D">
        <w:rPr>
          <w:i/>
          <w:iCs/>
          <w:color w:val="auto"/>
        </w:rPr>
        <w:t>26</w:t>
      </w:r>
      <w:r w:rsidR="00ED5CB5" w:rsidRPr="00C1603D">
        <w:rPr>
          <w:iCs/>
          <w:color w:val="auto"/>
        </w:rPr>
        <w:t>,</w:t>
      </w:r>
      <w:r w:rsidRPr="00C1603D">
        <w:rPr>
          <w:i/>
          <w:color w:val="auto"/>
        </w:rPr>
        <w:t xml:space="preserve"> Table </w:t>
      </w:r>
      <w:r w:rsidRPr="00C1603D">
        <w:rPr>
          <w:i/>
          <w:noProof/>
          <w:color w:val="auto"/>
        </w:rPr>
        <w:t>63</w:t>
      </w:r>
      <w:r w:rsidR="00ED5CB5" w:rsidRPr="00C1603D">
        <w:rPr>
          <w:iCs/>
          <w:noProof/>
          <w:color w:val="auto"/>
        </w:rPr>
        <w:t>,</w:t>
      </w:r>
      <w:r w:rsidRPr="00C1603D">
        <w:rPr>
          <w:color w:val="auto"/>
        </w:rPr>
        <w:t xml:space="preserve"> includes </w:t>
      </w:r>
      <w:r w:rsidRPr="00C1603D">
        <w:t>estimates of</w:t>
      </w:r>
      <w:r w:rsidR="0032675C" w:rsidRPr="00C1603D">
        <w:t xml:space="preserve"> the</w:t>
      </w:r>
      <w:r w:rsidRPr="00C1603D">
        <w:t xml:space="preserve"> prevalence of each of these complications in a mixed</w:t>
      </w:r>
      <w:r w:rsidR="00ED5CB5" w:rsidRPr="00C1603D">
        <w:t>-</w:t>
      </w:r>
      <w:r w:rsidRPr="00C1603D">
        <w:t xml:space="preserve">gender cohort of </w:t>
      </w:r>
      <w:r w:rsidR="00ED5CB5" w:rsidRPr="00C1603D">
        <w:t>&gt; </w:t>
      </w:r>
      <w:r w:rsidRPr="00C1603D">
        <w:t xml:space="preserve">48,046 people with a CD diagnosis recorded in CPRD Aurum. This is stratified into men and women in </w:t>
      </w:r>
      <w:r w:rsidRPr="00C1603D">
        <w:rPr>
          <w:i/>
          <w:iCs/>
          <w:color w:val="auto"/>
        </w:rPr>
        <w:t>Appendix 26</w:t>
      </w:r>
      <w:r w:rsidR="0032675C" w:rsidRPr="00C1603D">
        <w:rPr>
          <w:color w:val="auto"/>
        </w:rPr>
        <w:t>,</w:t>
      </w:r>
      <w:r w:rsidRPr="00C1603D">
        <w:rPr>
          <w:color w:val="auto"/>
        </w:rPr>
        <w:t xml:space="preserve"> </w:t>
      </w:r>
      <w:r w:rsidRPr="00C1603D">
        <w:rPr>
          <w:i/>
          <w:color w:val="auto"/>
        </w:rPr>
        <w:t>Table</w:t>
      </w:r>
      <w:r w:rsidR="0032675C" w:rsidRPr="00C1603D">
        <w:rPr>
          <w:i/>
          <w:color w:val="auto"/>
        </w:rPr>
        <w:t>s</w:t>
      </w:r>
      <w:r w:rsidRPr="00C1603D">
        <w:rPr>
          <w:i/>
          <w:color w:val="auto"/>
        </w:rPr>
        <w:t xml:space="preserve"> </w:t>
      </w:r>
      <w:r w:rsidRPr="00C1603D">
        <w:rPr>
          <w:i/>
          <w:noProof/>
          <w:color w:val="auto"/>
        </w:rPr>
        <w:t>64</w:t>
      </w:r>
      <w:r w:rsidRPr="00C1603D">
        <w:rPr>
          <w:color w:val="auto"/>
        </w:rPr>
        <w:t xml:space="preserve"> and </w:t>
      </w:r>
      <w:r w:rsidRPr="00C1603D">
        <w:rPr>
          <w:i/>
          <w:noProof/>
          <w:color w:val="auto"/>
        </w:rPr>
        <w:t>65</w:t>
      </w:r>
      <w:r w:rsidRPr="00C1603D">
        <w:rPr>
          <w:color w:val="auto"/>
        </w:rPr>
        <w:t>, respectively. The adult men and adult women analyses use the stra</w:t>
      </w:r>
      <w:r w:rsidRPr="00C1603D">
        <w:t>tified estimates whe</w:t>
      </w:r>
      <w:r w:rsidR="0032675C" w:rsidRPr="00C1603D">
        <w:t>reas</w:t>
      </w:r>
      <w:r w:rsidRPr="00C1603D">
        <w:t xml:space="preserve"> the children analyses use the mixed</w:t>
      </w:r>
      <w:r w:rsidR="0032675C" w:rsidRPr="00C1603D">
        <w:t>-</w:t>
      </w:r>
      <w:r w:rsidRPr="00C1603D">
        <w:t>gender estimates.</w:t>
      </w:r>
    </w:p>
    <w:p w14:paraId="175265E2" w14:textId="77777777" w:rsidR="008B4DF8" w:rsidRPr="00C1603D" w:rsidRDefault="008B4DF8" w:rsidP="008B4DF8">
      <w:pPr>
        <w:pStyle w:val="54CheadHeadingsHeadingstyles"/>
      </w:pPr>
      <w:bookmarkStart w:id="376" w:name="_Toc87507185"/>
      <w:bookmarkEnd w:id="368"/>
      <w:r w:rsidRPr="00C1603D">
        <w:t>Percentage receiving biopsy</w:t>
      </w:r>
      <w:bookmarkEnd w:id="376"/>
    </w:p>
    <w:p w14:paraId="4F1B4E44" w14:textId="212F9FEA" w:rsidR="008B4DF8" w:rsidRPr="00C1603D" w:rsidRDefault="008B4DF8" w:rsidP="008B4DF8">
      <w:pPr>
        <w:pStyle w:val="602TextfoTextstylesTextstyles"/>
      </w:pPr>
      <w:r w:rsidRPr="00C1603D">
        <w:t>The percentage of patients with a delayed diagnosis assumed to require a confirmatory biopsy is 70%, based on clinical advice and in accordance with recent research indicating high diagnostic accuracy of tests alone.</w:t>
      </w:r>
      <w:r w:rsidRPr="00C1603D">
        <w:rPr>
          <w:noProof/>
          <w:vertAlign w:val="superscript"/>
        </w:rPr>
        <w:t>223</w:t>
      </w:r>
      <w:r w:rsidRPr="00C1603D">
        <w:rPr>
          <w:noProof/>
          <w:color w:val="00B0F0"/>
          <w:vertAlign w:val="superscript"/>
        </w:rPr>
        <w:t>–2</w:t>
      </w:r>
      <w:r w:rsidRPr="00C1603D">
        <w:rPr>
          <w:noProof/>
          <w:vertAlign w:val="superscript"/>
        </w:rPr>
        <w:t>26</w:t>
      </w:r>
      <w:r w:rsidRPr="00C1603D">
        <w:t xml:space="preserve"> This percentage is varied within a 95% credible interval</w:t>
      </w:r>
      <w:r w:rsidR="00C20511" w:rsidRPr="00C1603D">
        <w:t xml:space="preserve"> (CrI)</w:t>
      </w:r>
      <w:r w:rsidRPr="00C1603D">
        <w:t xml:space="preserve"> of </w:t>
      </w:r>
      <w:r w:rsidRPr="00C1603D">
        <w:rPr>
          <w:color w:val="auto"/>
        </w:rPr>
        <w:t>60</w:t>
      </w:r>
      <w:r w:rsidR="00814112" w:rsidRPr="00C1603D">
        <w:rPr>
          <w:color w:val="auto"/>
        </w:rPr>
        <w:t xml:space="preserve">% to </w:t>
      </w:r>
      <w:r w:rsidRPr="00C1603D">
        <w:rPr>
          <w:color w:val="auto"/>
        </w:rPr>
        <w:t>80</w:t>
      </w:r>
      <w:r w:rsidRPr="00C1603D">
        <w:t>%. The 60% lower bound is based on the findings of a retrospective analysis of 270 adult patients.</w:t>
      </w:r>
      <w:r w:rsidRPr="00C1603D">
        <w:rPr>
          <w:noProof/>
          <w:vertAlign w:val="superscript"/>
        </w:rPr>
        <w:t>225</w:t>
      </w:r>
      <w:r w:rsidRPr="00C1603D">
        <w:t xml:space="preserve"> This study showed that</w:t>
      </w:r>
      <w:r w:rsidR="00506D99" w:rsidRPr="00C1603D">
        <w:t>,</w:t>
      </w:r>
      <w:r w:rsidRPr="00C1603D">
        <w:t xml:space="preserve"> at an IgA tTG antibody cut-off </w:t>
      </w:r>
      <w:r w:rsidR="00506D99" w:rsidRPr="00C1603D">
        <w:t>point of &gt; </w:t>
      </w:r>
      <w:r w:rsidRPr="00C1603D">
        <w:t>45</w:t>
      </w:r>
      <w:r w:rsidR="00506D99" w:rsidRPr="00C1603D">
        <w:t> </w:t>
      </w:r>
      <w:r w:rsidRPr="00C1603D">
        <w:t>U/ml</w:t>
      </w:r>
      <w:r w:rsidR="00506D99" w:rsidRPr="00C1603D">
        <w:t>,</w:t>
      </w:r>
      <w:r w:rsidRPr="00C1603D">
        <w:t xml:space="preserve"> the </w:t>
      </w:r>
      <w:r w:rsidR="00153D32" w:rsidRPr="00C1603D">
        <w:t>PPV</w:t>
      </w:r>
      <w:r w:rsidRPr="00C1603D">
        <w:t xml:space="preserve"> for CD was 100%</w:t>
      </w:r>
      <w:r w:rsidR="003B1286" w:rsidRPr="00C1603D">
        <w:t>,</w:t>
      </w:r>
      <w:r w:rsidRPr="00C1603D">
        <w:t xml:space="preserve"> and that 40% of cases were above this cut-off</w:t>
      </w:r>
      <w:r w:rsidR="003B1286" w:rsidRPr="00C1603D">
        <w:t xml:space="preserve"> point</w:t>
      </w:r>
      <w:r w:rsidRPr="00C1603D">
        <w:t>.</w:t>
      </w:r>
    </w:p>
    <w:p w14:paraId="65966543" w14:textId="77777777" w:rsidR="008B4DF8" w:rsidRPr="00C1603D" w:rsidRDefault="008B4DF8" w:rsidP="008B4DF8">
      <w:pPr>
        <w:pStyle w:val="54CheadHeadingsHeadingstyles"/>
      </w:pPr>
      <w:bookmarkStart w:id="377" w:name="_Toc87507186"/>
      <w:r w:rsidRPr="00C1603D">
        <w:t>Diagnostic accuracy of tests</w:t>
      </w:r>
      <w:bookmarkEnd w:id="377"/>
    </w:p>
    <w:p w14:paraId="55B79E05" w14:textId="1268D9B5" w:rsidR="008B4DF8" w:rsidRPr="00C1603D" w:rsidRDefault="008B4DF8" w:rsidP="008B4DF8">
      <w:pPr>
        <w:pStyle w:val="602TextfoTextstylesTextstyles"/>
      </w:pPr>
      <w:r w:rsidRPr="00C1603D">
        <w:t xml:space="preserve">The diagnostic accuracy parameters for IgA tTG, IgA EMA and IgA tTG plus IgA EMA were informed by the </w:t>
      </w:r>
      <w:r w:rsidR="00F40F76" w:rsidRPr="00C1603D">
        <w:t>DTA</w:t>
      </w:r>
      <w:r w:rsidRPr="00C1603D">
        <w:t xml:space="preserve"> meta-analysis (</w:t>
      </w:r>
      <w:r w:rsidR="003B1286" w:rsidRPr="00C1603D">
        <w:t xml:space="preserve">see </w:t>
      </w:r>
      <w:r w:rsidRPr="00C1603D">
        <w:rPr>
          <w:i/>
          <w:iCs/>
        </w:rPr>
        <w:t>Chapter 5</w:t>
      </w:r>
      <w:r w:rsidRPr="00C1603D">
        <w:t xml:space="preserve">). The diagnostic accuracy of HLA </w:t>
      </w:r>
      <w:r w:rsidR="003B1286" w:rsidRPr="00C1603D">
        <w:t xml:space="preserve">tests </w:t>
      </w:r>
      <w:r w:rsidRPr="00C1603D">
        <w:t>was informed by the genetic test accuracy meta-analysis (</w:t>
      </w:r>
      <w:r w:rsidR="003B1286" w:rsidRPr="00C1603D">
        <w:t xml:space="preserve">see </w:t>
      </w:r>
      <w:r w:rsidRPr="00C1603D">
        <w:rPr>
          <w:i/>
          <w:iCs/>
        </w:rPr>
        <w:t>Chapter 6</w:t>
      </w:r>
      <w:r w:rsidRPr="00C1603D">
        <w:t>). In the serological followed by HLA</w:t>
      </w:r>
      <w:r w:rsidR="002620DE" w:rsidRPr="00C1603D">
        <w:t xml:space="preserve"> testing</w:t>
      </w:r>
      <w:r w:rsidRPr="00C1603D">
        <w:t xml:space="preserve"> and HLA </w:t>
      </w:r>
      <w:r w:rsidRPr="00C1603D">
        <w:lastRenderedPageBreak/>
        <w:t>followed by serological testing combinations, the second test was used</w:t>
      </w:r>
      <w:r w:rsidR="002620DE" w:rsidRPr="00C1603D">
        <w:t xml:space="preserve"> only</w:t>
      </w:r>
      <w:r w:rsidRPr="00C1603D">
        <w:t xml:space="preserve"> </w:t>
      </w:r>
      <w:r w:rsidR="002620DE" w:rsidRPr="00C1603D">
        <w:t>with</w:t>
      </w:r>
      <w:r w:rsidRPr="00C1603D">
        <w:t xml:space="preserve"> patients whose post-(first)-test probability was </w:t>
      </w:r>
      <w:r w:rsidR="002620DE" w:rsidRPr="00C1603D">
        <w:t>&lt; </w:t>
      </w:r>
      <w:r w:rsidRPr="00C1603D">
        <w:t xml:space="preserve">90%, aligning with the patient survey result that this was a threshold above which they would be willing to go on </w:t>
      </w:r>
      <w:r w:rsidR="00807F1B" w:rsidRPr="00C1603D">
        <w:t xml:space="preserve">a </w:t>
      </w:r>
      <w:r w:rsidRPr="00C1603D">
        <w:t>gluten-free diet (</w:t>
      </w:r>
      <w:r w:rsidR="00807F1B" w:rsidRPr="00C1603D">
        <w:t xml:space="preserve">see </w:t>
      </w:r>
      <w:r w:rsidRPr="00C1603D">
        <w:rPr>
          <w:i/>
          <w:iCs/>
        </w:rPr>
        <w:t>Chapter 7</w:t>
      </w:r>
      <w:r w:rsidRPr="00C1603D">
        <w:t xml:space="preserve">). Estimates of </w:t>
      </w:r>
      <w:r w:rsidR="00807F1B" w:rsidRPr="00C1603D">
        <w:t xml:space="preserve">the </w:t>
      </w:r>
      <w:r w:rsidRPr="00C1603D">
        <w:t xml:space="preserve">test accuracy of serological tests </w:t>
      </w:r>
      <w:r w:rsidR="00807F1B" w:rsidRPr="00C1603D">
        <w:t>were</w:t>
      </w:r>
      <w:r w:rsidRPr="00C1603D">
        <w:t xml:space="preserve"> assumed to be independent of HLA </w:t>
      </w:r>
      <w:r w:rsidR="00807F1B" w:rsidRPr="00C1603D">
        <w:t xml:space="preserve">test </w:t>
      </w:r>
      <w:r w:rsidRPr="00C1603D">
        <w:t xml:space="preserve">accuracy. All tests are followed by a confirmatory biopsy </w:t>
      </w:r>
      <w:r w:rsidR="00807F1B" w:rsidRPr="00C1603D">
        <w:t>among</w:t>
      </w:r>
      <w:r w:rsidRPr="00C1603D">
        <w:t xml:space="preserve"> those with a post-test probability </w:t>
      </w:r>
      <w:r w:rsidR="00807F1B" w:rsidRPr="00C1603D">
        <w:t xml:space="preserve">that is </w:t>
      </w:r>
      <w:r w:rsidRPr="00C1603D">
        <w:t xml:space="preserve">still </w:t>
      </w:r>
      <w:r w:rsidR="00807F1B" w:rsidRPr="00C1603D">
        <w:t>&lt; </w:t>
      </w:r>
      <w:r w:rsidRPr="00C1603D">
        <w:t>90%.</w:t>
      </w:r>
    </w:p>
    <w:p w14:paraId="00360820" w14:textId="77777777" w:rsidR="008B4DF8" w:rsidRPr="00C1603D" w:rsidRDefault="008B4DF8" w:rsidP="008B4DF8">
      <w:pPr>
        <w:pStyle w:val="54CheadHeadingsHeadingstyles"/>
      </w:pPr>
      <w:bookmarkStart w:id="378" w:name="_Toc87507187"/>
      <w:r w:rsidRPr="00C1603D">
        <w:t>Costs</w:t>
      </w:r>
      <w:bookmarkEnd w:id="378"/>
    </w:p>
    <w:p w14:paraId="33E27317" w14:textId="1346E525" w:rsidR="008B4DF8" w:rsidRPr="00C1603D" w:rsidRDefault="008B4DF8" w:rsidP="008B4DF8">
      <w:pPr>
        <w:pStyle w:val="602TextfoTextstylesTextstyles"/>
      </w:pPr>
      <w:r w:rsidRPr="00C1603D">
        <w:t>The model includes costs associated with diagnostic tests, biopsy, annual health</w:t>
      </w:r>
      <w:r w:rsidR="00DB4E5C" w:rsidRPr="00C1603D">
        <w:t>-</w:t>
      </w:r>
      <w:r w:rsidRPr="00C1603D">
        <w:t xml:space="preserve">care </w:t>
      </w:r>
      <w:r w:rsidR="00DB4E5C" w:rsidRPr="00C1603D">
        <w:t>resource use</w:t>
      </w:r>
      <w:r w:rsidRPr="00C1603D">
        <w:t xml:space="preserve"> costs </w:t>
      </w:r>
      <w:r w:rsidR="00DB4E5C" w:rsidRPr="00C1603D">
        <w:t>among</w:t>
      </w:r>
      <w:r w:rsidRPr="00C1603D">
        <w:t xml:space="preserve"> diagnosed CD patients, and annual costs of osteoporosis and NHL. A price year of 2018/19 was assumed, aligning with NHS reference costs.</w:t>
      </w:r>
      <w:r w:rsidRPr="00C1603D">
        <w:rPr>
          <w:noProof/>
          <w:vertAlign w:val="superscript"/>
        </w:rPr>
        <w:t>227</w:t>
      </w:r>
      <w:r w:rsidRPr="00C1603D">
        <w:t xml:space="preserve"> The cost of IgA tTG, IgA EMA and HLA tests were sourced from correspondence with hospitals and testing centres affiliated with </w:t>
      </w:r>
      <w:r w:rsidR="00DB4E5C" w:rsidRPr="00C1603D">
        <w:t>the</w:t>
      </w:r>
      <w:r w:rsidRPr="00C1603D">
        <w:t xml:space="preserve"> research team. The cost of biopsy was informed by NHS reference costs.</w:t>
      </w:r>
    </w:p>
    <w:p w14:paraId="11660D6E" w14:textId="07CA4CDA" w:rsidR="008B4DF8" w:rsidRPr="00C1603D" w:rsidRDefault="008B4DF8" w:rsidP="008B4DF8">
      <w:pPr>
        <w:pStyle w:val="602TextfoTextstylesTextstyles"/>
      </w:pPr>
      <w:r w:rsidRPr="00C1603D">
        <w:t xml:space="preserve">Along with test and biopsy costs, to get to a diagnosis, patients would also have nurse, GP and/or specialist consultations. Our clinical and patient team advised on the </w:t>
      </w:r>
      <w:proofErr w:type="gramStart"/>
      <w:r w:rsidRPr="00C1603D">
        <w:t>likely pathway</w:t>
      </w:r>
      <w:proofErr w:type="gramEnd"/>
      <w:r w:rsidRPr="00C1603D">
        <w:t xml:space="preserve"> to diagnosis. We assumed that a person</w:t>
      </w:r>
      <w:r w:rsidRPr="00C1603D">
        <w:rPr>
          <w:color w:val="00B0F0"/>
        </w:rPr>
        <w:t>’</w:t>
      </w:r>
      <w:r w:rsidRPr="00C1603D">
        <w:t xml:space="preserve">s first appointment is either with a nurse or </w:t>
      </w:r>
      <w:r w:rsidR="00DB4E5C" w:rsidRPr="00C1603D">
        <w:t xml:space="preserve">a </w:t>
      </w:r>
      <w:r w:rsidRPr="00C1603D">
        <w:t>GP, at a cost of £10.85 or £39.23, respectively, with average £25.04, reported by the Personal Social Services Research Unit.</w:t>
      </w:r>
      <w:r w:rsidR="00DB4E5C" w:rsidRPr="00C1603D">
        <w:rPr>
          <w:vertAlign w:val="superscript"/>
        </w:rPr>
        <w:t>228</w:t>
      </w:r>
      <w:r w:rsidRPr="00C1603D">
        <w:t xml:space="preserve"> This is assumed to be followed by phlebotomy at a cost of £4, </w:t>
      </w:r>
      <w:r w:rsidRPr="00C1603D">
        <w:rPr>
          <w:color w:val="auto"/>
        </w:rPr>
        <w:t>following NHS reference costs 2018/19, and then by a further GP appointment.</w:t>
      </w:r>
      <w:r w:rsidRPr="00C1603D">
        <w:rPr>
          <w:noProof/>
          <w:color w:val="auto"/>
          <w:vertAlign w:val="superscript"/>
        </w:rPr>
        <w:t>227,229,230</w:t>
      </w:r>
      <w:r w:rsidRPr="00C1603D">
        <w:rPr>
          <w:color w:val="auto"/>
        </w:rPr>
        <w:t xml:space="preserve"> Following that, we assumed patients have</w:t>
      </w:r>
      <w:r w:rsidR="00DB4E5C" w:rsidRPr="00C1603D">
        <w:rPr>
          <w:color w:val="auto"/>
        </w:rPr>
        <w:t>,</w:t>
      </w:r>
      <w:r w:rsidRPr="00C1603D">
        <w:rPr>
          <w:color w:val="auto"/>
        </w:rPr>
        <w:t xml:space="preserve"> on average</w:t>
      </w:r>
      <w:r w:rsidR="00DB4E5C" w:rsidRPr="00C1603D">
        <w:rPr>
          <w:color w:val="auto"/>
        </w:rPr>
        <w:t>,</w:t>
      </w:r>
      <w:r w:rsidRPr="00C1603D">
        <w:rPr>
          <w:color w:val="auto"/>
        </w:rPr>
        <w:t xml:space="preserve"> one gastroenterology outpatient appointment costing £141 and two dietitian appointments at a cost of £85 each before diagnosis.</w:t>
      </w:r>
      <w:r w:rsidR="00DB4E5C" w:rsidRPr="00C1603D">
        <w:rPr>
          <w:color w:val="auto"/>
          <w:vertAlign w:val="superscript"/>
        </w:rPr>
        <w:t>228</w:t>
      </w:r>
      <w:r w:rsidRPr="00C1603D">
        <w:rPr>
          <w:color w:val="auto"/>
        </w:rPr>
        <w:t xml:space="preserve"> This gives a total cost of £379.27 (£25.04</w:t>
      </w:r>
      <w:r w:rsidR="00DB4E5C" w:rsidRPr="00C1603D">
        <w:rPr>
          <w:color w:val="auto"/>
        </w:rPr>
        <w:t> </w:t>
      </w:r>
      <w:r w:rsidRPr="00C1603D">
        <w:rPr>
          <w:color w:val="auto"/>
        </w:rPr>
        <w:t>+</w:t>
      </w:r>
      <w:r w:rsidR="00DB4E5C" w:rsidRPr="00C1603D">
        <w:rPr>
          <w:color w:val="auto"/>
        </w:rPr>
        <w:t> </w:t>
      </w:r>
      <w:r w:rsidRPr="00C1603D">
        <w:t>£4</w:t>
      </w:r>
      <w:r w:rsidR="00DB4E5C" w:rsidRPr="00C1603D">
        <w:t> </w:t>
      </w:r>
      <w:r w:rsidRPr="00C1603D">
        <w:t>+</w:t>
      </w:r>
      <w:r w:rsidR="00DB4E5C" w:rsidRPr="00C1603D">
        <w:t> </w:t>
      </w:r>
      <w:r w:rsidRPr="00C1603D">
        <w:t>£39.23</w:t>
      </w:r>
      <w:r w:rsidR="00DB4E5C" w:rsidRPr="00C1603D">
        <w:t> </w:t>
      </w:r>
      <w:r w:rsidRPr="00C1603D">
        <w:t>+</w:t>
      </w:r>
      <w:r w:rsidR="00DB4E5C" w:rsidRPr="00C1603D">
        <w:t> </w:t>
      </w:r>
      <w:r w:rsidRPr="00C1603D">
        <w:t>£141</w:t>
      </w:r>
      <w:r w:rsidR="00DB4E5C" w:rsidRPr="00C1603D">
        <w:t> </w:t>
      </w:r>
      <w:r w:rsidRPr="00C1603D">
        <w:t>+</w:t>
      </w:r>
      <w:r w:rsidR="00DB4E5C" w:rsidRPr="00C1603D">
        <w:t> </w:t>
      </w:r>
      <w:r w:rsidRPr="00C1603D">
        <w:t>£170) for a patient to reach diagnosis. This cost is applied to both true positives and false positives in the model.</w:t>
      </w:r>
    </w:p>
    <w:p w14:paraId="131DEF2F" w14:textId="10C03EFD" w:rsidR="008B4DF8" w:rsidRPr="00C1603D" w:rsidRDefault="008B4DF8" w:rsidP="008B4DF8">
      <w:pPr>
        <w:pStyle w:val="602TextfoTextstylesTextstyles"/>
      </w:pPr>
      <w:r w:rsidRPr="00C1603D">
        <w:t>Annual health</w:t>
      </w:r>
      <w:r w:rsidR="00DB4E5C" w:rsidRPr="00C1603D">
        <w:t>-</w:t>
      </w:r>
      <w:r w:rsidRPr="00C1603D">
        <w:t xml:space="preserve">care </w:t>
      </w:r>
      <w:r w:rsidR="00DB4E5C" w:rsidRPr="00C1603D">
        <w:t>resource use</w:t>
      </w:r>
      <w:r w:rsidRPr="00C1603D">
        <w:t xml:space="preserve"> costs for patients with CD </w:t>
      </w:r>
      <w:r w:rsidR="00DB4E5C" w:rsidRPr="00C1603D">
        <w:t>were</w:t>
      </w:r>
      <w:r w:rsidRPr="00C1603D">
        <w:t xml:space="preserve"> based on analysis of CPRD data</w:t>
      </w:r>
      <w:r w:rsidR="00DB4E5C" w:rsidRPr="00C1603D">
        <w:t>,</w:t>
      </w:r>
      <w:r w:rsidRPr="00C1603D">
        <w:t xml:space="preserve"> which updated the</w:t>
      </w:r>
      <w:r w:rsidR="00DB4E5C" w:rsidRPr="00C1603D">
        <w:t xml:space="preserve"> 2012</w:t>
      </w:r>
      <w:r w:rsidRPr="00C1603D">
        <w:t xml:space="preserve"> analysis of </w:t>
      </w:r>
      <w:r w:rsidRPr="00C1603D">
        <w:rPr>
          <w:color w:val="auto"/>
        </w:rPr>
        <w:t>Violato</w:t>
      </w:r>
      <w:r w:rsidRPr="00C1603D">
        <w:rPr>
          <w:i/>
          <w:color w:val="auto"/>
        </w:rPr>
        <w:t xml:space="preserve"> et al</w:t>
      </w:r>
      <w:r w:rsidR="00DB4E5C" w:rsidRPr="00C1603D">
        <w:rPr>
          <w:iCs/>
          <w:color w:val="auto"/>
        </w:rPr>
        <w:t>.;</w:t>
      </w:r>
      <w:proofErr w:type="gramStart"/>
      <w:r w:rsidR="00DB4E5C" w:rsidRPr="00C1603D">
        <w:rPr>
          <w:iCs/>
          <w:color w:val="auto"/>
          <w:vertAlign w:val="superscript"/>
        </w:rPr>
        <w:t>51</w:t>
      </w:r>
      <w:proofErr w:type="gramEnd"/>
      <w:r w:rsidRPr="00C1603D">
        <w:rPr>
          <w:color w:val="auto"/>
        </w:rPr>
        <w:t xml:space="preserve"> full details </w:t>
      </w:r>
      <w:r w:rsidR="00DB4E5C" w:rsidRPr="00C1603D">
        <w:rPr>
          <w:color w:val="auto"/>
        </w:rPr>
        <w:t xml:space="preserve">can be found </w:t>
      </w:r>
      <w:r w:rsidRPr="00C1603D">
        <w:rPr>
          <w:color w:val="auto"/>
        </w:rPr>
        <w:t xml:space="preserve">in </w:t>
      </w:r>
      <w:r w:rsidR="008B2C7F" w:rsidRPr="00C1603D">
        <w:rPr>
          <w:i/>
          <w:iCs/>
          <w:color w:val="auto"/>
        </w:rPr>
        <w:t xml:space="preserve">Report </w:t>
      </w:r>
      <w:r w:rsidRPr="00C1603D">
        <w:rPr>
          <w:i/>
          <w:iCs/>
          <w:color w:val="auto"/>
        </w:rPr>
        <w:t xml:space="preserve">Supplementary </w:t>
      </w:r>
      <w:r w:rsidR="008B2C7F" w:rsidRPr="00C1603D">
        <w:rPr>
          <w:i/>
          <w:iCs/>
          <w:color w:val="auto"/>
        </w:rPr>
        <w:t>Material 1</w:t>
      </w:r>
      <w:r w:rsidRPr="00C1603D">
        <w:rPr>
          <w:color w:val="auto"/>
        </w:rPr>
        <w:t xml:space="preserve">, </w:t>
      </w:r>
      <w:r w:rsidR="008B2C7F" w:rsidRPr="00C1603D">
        <w:rPr>
          <w:color w:val="auto"/>
        </w:rPr>
        <w:t>c</w:t>
      </w:r>
      <w:r w:rsidRPr="00C1603D">
        <w:rPr>
          <w:color w:val="auto"/>
        </w:rPr>
        <w:t xml:space="preserve">hapter 8. Following this earlier analysis, we quantified </w:t>
      </w:r>
      <w:r w:rsidRPr="00C1603D">
        <w:t>the volume of health</w:t>
      </w:r>
      <w:r w:rsidR="008B2C7F" w:rsidRPr="00C1603D">
        <w:t>-</w:t>
      </w:r>
      <w:r w:rsidRPr="00C1603D">
        <w:t xml:space="preserve">care resources in terms of primary care consultations, tests, referrals to outpatient hospital care and prescriptions used by individuals diagnosed with CD up to </w:t>
      </w:r>
      <w:r w:rsidR="00317729" w:rsidRPr="00C1603D">
        <w:t>10</w:t>
      </w:r>
      <w:r w:rsidRPr="00C1603D">
        <w:t xml:space="preserve"> years before and after diagnosis in a UK primary care setting. The volume</w:t>
      </w:r>
      <w:r w:rsidR="00317729" w:rsidRPr="00C1603D">
        <w:t>s</w:t>
      </w:r>
      <w:r w:rsidRPr="00C1603D">
        <w:t xml:space="preserve"> of resources</w:t>
      </w:r>
      <w:r w:rsidR="00317729" w:rsidRPr="00C1603D">
        <w:t>,</w:t>
      </w:r>
      <w:r w:rsidRPr="00C1603D">
        <w:t xml:space="preserve"> along with unit costs</w:t>
      </w:r>
      <w:r w:rsidR="00317729" w:rsidRPr="00C1603D">
        <w:t>,</w:t>
      </w:r>
      <w:r w:rsidRPr="00C1603D">
        <w:t xml:space="preserve"> have been used to estimate overall medical costs associated with a true</w:t>
      </w:r>
      <w:r w:rsidR="000C7C20" w:rsidRPr="00C1603D">
        <w:t>-</w:t>
      </w:r>
      <w:r w:rsidRPr="00C1603D">
        <w:t>positive or false</w:t>
      </w:r>
      <w:r w:rsidR="000C7C20" w:rsidRPr="00C1603D">
        <w:t>-</w:t>
      </w:r>
      <w:r w:rsidRPr="00C1603D">
        <w:t xml:space="preserve">negative diagnosis. </w:t>
      </w:r>
      <w:bookmarkStart w:id="379" w:name="_Hlk62217058"/>
      <w:r w:rsidRPr="00C1603D">
        <w:t>A limitation of this analysis is that referrals to gastroenterology are likely to include</w:t>
      </w:r>
      <w:r w:rsidR="00852773" w:rsidRPr="00C1603D">
        <w:t xml:space="preserve"> only</w:t>
      </w:r>
      <w:r w:rsidRPr="00C1603D">
        <w:t xml:space="preserve"> adult referrals</w:t>
      </w:r>
      <w:r w:rsidR="00852773" w:rsidRPr="00C1603D">
        <w:t>,</w:t>
      </w:r>
      <w:r w:rsidRPr="00C1603D">
        <w:t xml:space="preserve"> as children referred to gastroenterology are normally recorded under paediatrics. The unit costs used and a breakdown of costs is provided </w:t>
      </w:r>
      <w:r w:rsidR="009F423E" w:rsidRPr="00C1603D">
        <w:t>t</w:t>
      </w:r>
      <w:r w:rsidRPr="00C1603D">
        <w:t>able</w:t>
      </w:r>
      <w:r w:rsidR="009F423E" w:rsidRPr="00C1603D">
        <w:t>s</w:t>
      </w:r>
      <w:r w:rsidRPr="00C1603D">
        <w:t xml:space="preserve"> S17 and S18</w:t>
      </w:r>
      <w:r w:rsidR="009F423E" w:rsidRPr="00C1603D">
        <w:t xml:space="preserve"> (see </w:t>
      </w:r>
      <w:r w:rsidR="009F423E" w:rsidRPr="00C1603D">
        <w:rPr>
          <w:i/>
          <w:iCs/>
        </w:rPr>
        <w:t>Report Supplementary Material 1</w:t>
      </w:r>
      <w:r w:rsidR="009F423E" w:rsidRPr="00C1603D">
        <w:t>)</w:t>
      </w:r>
      <w:r w:rsidRPr="00C1603D">
        <w:t>.</w:t>
      </w:r>
    </w:p>
    <w:p w14:paraId="7E6D96B7" w14:textId="54CCAB3C" w:rsidR="008B4DF8" w:rsidRPr="00C1603D" w:rsidRDefault="008B4DF8" w:rsidP="008B4DF8">
      <w:pPr>
        <w:pStyle w:val="602TextfoTextstylesTextstyles"/>
      </w:pPr>
      <w:r w:rsidRPr="00C1603D">
        <w:t>The model assumed that patients falsely diagnosed with CD would follow a gluten-free diet for a limited time before stopping. Although such patients are not included in the Markov model, we count this short</w:t>
      </w:r>
      <w:r w:rsidR="00C71D77" w:rsidRPr="00C1603D">
        <w:t>-</w:t>
      </w:r>
      <w:r w:rsidRPr="00C1603D">
        <w:t xml:space="preserve">term impact in the total costs (and total effects). Following input from clinicians and patient advisors </w:t>
      </w:r>
      <w:r w:rsidR="00A907E4" w:rsidRPr="00C1603D">
        <w:t>on the</w:t>
      </w:r>
      <w:r w:rsidRPr="00C1603D">
        <w:t xml:space="preserve"> </w:t>
      </w:r>
      <w:proofErr w:type="gramStart"/>
      <w:r w:rsidRPr="00C1603D">
        <w:t>likely time</w:t>
      </w:r>
      <w:proofErr w:type="gramEnd"/>
      <w:r w:rsidR="00A907E4" w:rsidRPr="00C1603D">
        <w:t xml:space="preserve"> taken</w:t>
      </w:r>
      <w:r w:rsidRPr="00C1603D">
        <w:t xml:space="preserve"> to decide</w:t>
      </w:r>
      <w:r w:rsidR="00A907E4" w:rsidRPr="00C1603D">
        <w:t xml:space="preserve"> that </w:t>
      </w:r>
      <w:r w:rsidR="00A907E4" w:rsidRPr="00C1603D">
        <w:rPr>
          <w:color w:val="auto"/>
        </w:rPr>
        <w:t>the</w:t>
      </w:r>
      <w:r w:rsidRPr="00C1603D">
        <w:rPr>
          <w:color w:val="auto"/>
        </w:rPr>
        <w:t xml:space="preserve"> diet is not of benefit, we assumed </w:t>
      </w:r>
      <w:r w:rsidR="00A907E4" w:rsidRPr="00C1603D">
        <w:rPr>
          <w:color w:val="auto"/>
        </w:rPr>
        <w:t xml:space="preserve">that </w:t>
      </w:r>
      <w:r w:rsidRPr="00C1603D">
        <w:rPr>
          <w:color w:val="auto"/>
        </w:rPr>
        <w:t>this time would be 1 year with a log</w:t>
      </w:r>
      <w:r w:rsidR="008F0307" w:rsidRPr="00C1603D">
        <w:rPr>
          <w:color w:val="auto"/>
        </w:rPr>
        <w:t>-</w:t>
      </w:r>
      <w:r w:rsidRPr="00C1603D">
        <w:rPr>
          <w:color w:val="auto"/>
        </w:rPr>
        <w:t>normal distribution to reflect skew towards longer durations. The only additional costs incurred by people with a false</w:t>
      </w:r>
      <w:r w:rsidR="000C7C20" w:rsidRPr="00C1603D">
        <w:rPr>
          <w:color w:val="auto"/>
        </w:rPr>
        <w:t>-</w:t>
      </w:r>
      <w:r w:rsidRPr="00C1603D">
        <w:rPr>
          <w:color w:val="auto"/>
        </w:rPr>
        <w:t xml:space="preserve">positive diagnosis of CD </w:t>
      </w:r>
      <w:r w:rsidRPr="00C1603D">
        <w:t>was the cost of non-NHS</w:t>
      </w:r>
      <w:r w:rsidR="008F0307" w:rsidRPr="00C1603D">
        <w:t>-</w:t>
      </w:r>
      <w:r w:rsidRPr="00C1603D">
        <w:t xml:space="preserve">reimbursed </w:t>
      </w:r>
      <w:r w:rsidR="0087034D" w:rsidRPr="00C1603D">
        <w:t>gluten-free</w:t>
      </w:r>
      <w:r w:rsidRPr="00C1603D">
        <w:t xml:space="preserve"> products. We assumed no other costs are incurred by people with a true</w:t>
      </w:r>
      <w:r w:rsidR="000C7C20" w:rsidRPr="00C1603D">
        <w:t>-</w:t>
      </w:r>
      <w:r w:rsidRPr="00C1603D">
        <w:t>negative diagnosis.</w:t>
      </w:r>
    </w:p>
    <w:bookmarkEnd w:id="379"/>
    <w:p w14:paraId="4D3BF6F8" w14:textId="5715219F" w:rsidR="008B4DF8" w:rsidRPr="00C1603D" w:rsidRDefault="008B4DF8" w:rsidP="008B4DF8">
      <w:pPr>
        <w:pStyle w:val="602TextfoTextstylesTextstyles"/>
      </w:pPr>
      <w:r w:rsidRPr="00C1603D">
        <w:t>The cost associated with NHL was based on a study by Wang</w:t>
      </w:r>
      <w:r w:rsidRPr="00C1603D">
        <w:rPr>
          <w:i/>
          <w:color w:val="00B0F0"/>
        </w:rPr>
        <w:t xml:space="preserve"> et al</w:t>
      </w:r>
      <w:r w:rsidR="008F0307" w:rsidRPr="00C1603D">
        <w:t>.</w:t>
      </w:r>
      <w:r w:rsidRPr="00C1603D">
        <w:t>,</w:t>
      </w:r>
      <w:r w:rsidRPr="00C1603D">
        <w:rPr>
          <w:noProof/>
          <w:vertAlign w:val="superscript"/>
        </w:rPr>
        <w:t>231</w:t>
      </w:r>
      <w:r w:rsidRPr="00C1603D">
        <w:t xml:space="preserve"> which followed all patients newly diagnosed with </w:t>
      </w:r>
      <w:r w:rsidR="00457CD6" w:rsidRPr="00C1603D">
        <w:t>d</w:t>
      </w:r>
      <w:r w:rsidRPr="00C1603D">
        <w:t>iffuse large B-cell lymphoma in the UK</w:t>
      </w:r>
      <w:r w:rsidRPr="00C1603D">
        <w:rPr>
          <w:color w:val="00B0F0"/>
        </w:rPr>
        <w:t>’</w:t>
      </w:r>
      <w:r w:rsidRPr="00C1603D">
        <w:t xml:space="preserve">s population-based Haematological Malignancy Research Network from 2007 </w:t>
      </w:r>
      <w:r w:rsidR="00457CD6" w:rsidRPr="00C1603D">
        <w:t>to</w:t>
      </w:r>
      <w:r w:rsidRPr="00C1603D">
        <w:t xml:space="preserve"> 2013 (</w:t>
      </w:r>
      <w:r w:rsidRPr="00C1603D">
        <w:rPr>
          <w:i/>
          <w:color w:val="00B0F0"/>
        </w:rPr>
        <w:t>n</w:t>
      </w:r>
      <w:r w:rsidR="00457CD6" w:rsidRPr="00C1603D">
        <w:rPr>
          <w:color w:val="00B0F0"/>
        </w:rPr>
        <w:t> </w:t>
      </w:r>
      <w:r w:rsidRPr="00C1603D">
        <w:rPr>
          <w:color w:val="00B0F0"/>
        </w:rPr>
        <w:t>=</w:t>
      </w:r>
      <w:r w:rsidR="00457CD6" w:rsidRPr="00C1603D">
        <w:rPr>
          <w:color w:val="00B0F0"/>
        </w:rPr>
        <w:t> </w:t>
      </w:r>
      <w:r w:rsidRPr="00C1603D">
        <w:t xml:space="preserve">271). </w:t>
      </w:r>
      <w:commentRangeStart w:id="380"/>
      <w:r w:rsidRPr="00C1603D">
        <w:t>Mapped treatment pathways, alongside cost information derived from the National Tariff 2013/14,</w:t>
      </w:r>
      <w:commentRangeEnd w:id="380"/>
      <w:r w:rsidR="005D52AD" w:rsidRPr="00C1603D">
        <w:rPr>
          <w:rFonts w:ascii="Times New Roman" w:hAnsi="Times New Roman" w:cs="Times New Roman"/>
          <w:color w:val="auto"/>
          <w:lang w:val="en-US"/>
        </w:rPr>
        <w:commentReference w:id="380"/>
      </w:r>
      <w:r w:rsidRPr="00C1603D">
        <w:t xml:space="preserve"> were incorporated into a patient-level simulation model to reflect heterogeneities in patient characteristics and treatment options. As treatment for NHL is usually complete within 5 years, most costs were estimated to fall within 5 years. </w:t>
      </w:r>
      <w:commentRangeStart w:id="381"/>
      <w:r w:rsidRPr="00C1603D">
        <w:t>The average cost per patient was £18,096 (</w:t>
      </w:r>
      <w:r w:rsidR="005D52AD" w:rsidRPr="00C1603D">
        <w:t>£</w:t>
      </w:r>
      <w:r w:rsidRPr="00C1603D">
        <w:t>18,078–18,114) over a 5-year time horizon and £18,396 (</w:t>
      </w:r>
      <w:r w:rsidR="005D52AD" w:rsidRPr="00C1603D">
        <w:t>£</w:t>
      </w:r>
      <w:r w:rsidRPr="00C1603D">
        <w:t xml:space="preserve">18,377–18,415) over a lifetime </w:t>
      </w:r>
      <w:r w:rsidR="005D52AD" w:rsidRPr="00C1603D">
        <w:t xml:space="preserve">time </w:t>
      </w:r>
      <w:r w:rsidRPr="00C1603D">
        <w:t xml:space="preserve">horizon. </w:t>
      </w:r>
      <w:commentRangeEnd w:id="381"/>
      <w:r w:rsidR="005D6D3B" w:rsidRPr="00C1603D">
        <w:rPr>
          <w:rFonts w:ascii="Times New Roman" w:hAnsi="Times New Roman" w:cs="Times New Roman"/>
          <w:color w:val="auto"/>
          <w:lang w:val="en-US"/>
        </w:rPr>
        <w:commentReference w:id="381"/>
      </w:r>
      <w:r w:rsidRPr="00C1603D">
        <w:t xml:space="preserve">Using lifetime costs is problematic for a cohort Markov model as some patients may develop NHL at </w:t>
      </w:r>
      <w:r w:rsidR="005D6D3B" w:rsidRPr="00C1603D">
        <w:t xml:space="preserve">an </w:t>
      </w:r>
      <w:r w:rsidRPr="00C1603D">
        <w:t xml:space="preserve">advanced age and not have many additional years to </w:t>
      </w:r>
      <w:r w:rsidRPr="00C1603D">
        <w:lastRenderedPageBreak/>
        <w:t xml:space="preserve">incur costs. However, the NHL model factors in different survival times when estimating the treatment costs, so patients would incur fewer costs if they died within a shorter time. </w:t>
      </w:r>
      <w:commentRangeStart w:id="382"/>
      <w:r w:rsidRPr="00C1603D">
        <w:t>We therefore assumed a one-off cost of the lifetime cost £18,396 (</w:t>
      </w:r>
      <w:r w:rsidR="005D6D3B" w:rsidRPr="00C1603D">
        <w:t>£</w:t>
      </w:r>
      <w:r w:rsidRPr="00C1603D">
        <w:t>18,377–18,415) with a log</w:t>
      </w:r>
      <w:r w:rsidR="005D6D3B" w:rsidRPr="00C1603D">
        <w:t>-</w:t>
      </w:r>
      <w:r w:rsidRPr="00C1603D">
        <w:t>normal distribution.</w:t>
      </w:r>
      <w:commentRangeEnd w:id="382"/>
      <w:r w:rsidR="00B66CCF" w:rsidRPr="00C1603D">
        <w:rPr>
          <w:rFonts w:ascii="Times New Roman" w:hAnsi="Times New Roman" w:cs="Times New Roman"/>
          <w:color w:val="auto"/>
          <w:lang w:val="en-US"/>
        </w:rPr>
        <w:commentReference w:id="382"/>
      </w:r>
    </w:p>
    <w:p w14:paraId="107E781D" w14:textId="17C88E9F" w:rsidR="008B4DF8" w:rsidRPr="00C1603D" w:rsidRDefault="008B4DF8" w:rsidP="008B4DF8">
      <w:pPr>
        <w:pStyle w:val="602TextfoTextstylesTextstyles"/>
        <w:rPr>
          <w:color w:val="auto"/>
        </w:rPr>
      </w:pPr>
      <w:r w:rsidRPr="00C1603D">
        <w:t xml:space="preserve">For the cost associated with osteoporosis, a </w:t>
      </w:r>
      <w:r w:rsidRPr="00C1603D">
        <w:rPr>
          <w:color w:val="auto"/>
        </w:rPr>
        <w:t>similar approach to</w:t>
      </w:r>
      <w:r w:rsidR="00C65717" w:rsidRPr="00C1603D">
        <w:rPr>
          <w:color w:val="auto"/>
        </w:rPr>
        <w:t xml:space="preserve"> that of</w:t>
      </w:r>
      <w:r w:rsidRPr="00C1603D">
        <w:rPr>
          <w:color w:val="auto"/>
        </w:rPr>
        <w:t xml:space="preserve"> the NICE model</w:t>
      </w:r>
      <w:r w:rsidR="00C65717" w:rsidRPr="00C1603D">
        <w:rPr>
          <w:color w:val="auto"/>
          <w:vertAlign w:val="superscript"/>
        </w:rPr>
        <w:t>198</w:t>
      </w:r>
      <w:r w:rsidRPr="00C1603D">
        <w:rPr>
          <w:color w:val="auto"/>
        </w:rPr>
        <w:t xml:space="preserve"> was taken</w:t>
      </w:r>
      <w:r w:rsidR="00C65717" w:rsidRPr="00C1603D">
        <w:rPr>
          <w:color w:val="auto"/>
        </w:rPr>
        <w:t>,</w:t>
      </w:r>
      <w:r w:rsidRPr="00C1603D">
        <w:rPr>
          <w:color w:val="auto"/>
        </w:rPr>
        <w:t xml:space="preserve"> with the cost being equal to the annual probability of hip, vertebral and wrist fracture multiplied by the cost of each type of fracture. Probabilities were estimated from Curtis</w:t>
      </w:r>
      <w:r w:rsidRPr="00C1603D">
        <w:rPr>
          <w:i/>
          <w:color w:val="auto"/>
        </w:rPr>
        <w:t xml:space="preserve"> et al</w:t>
      </w:r>
      <w:r w:rsidR="00656E4E" w:rsidRPr="00C1603D">
        <w:rPr>
          <w:iCs/>
          <w:color w:val="auto"/>
        </w:rPr>
        <w:t>.,</w:t>
      </w:r>
      <w:r w:rsidR="00656E4E" w:rsidRPr="00C1603D">
        <w:rPr>
          <w:iCs/>
          <w:color w:val="auto"/>
          <w:vertAlign w:val="superscript"/>
        </w:rPr>
        <w:t>232</w:t>
      </w:r>
      <w:r w:rsidRPr="00C1603D">
        <w:rPr>
          <w:color w:val="auto"/>
        </w:rPr>
        <w:t xml:space="preserve"> who used CPRD data to look at trends in fracture rates in the UK over a 24-year period from 1988</w:t>
      </w:r>
      <w:r w:rsidR="00656E4E" w:rsidRPr="00C1603D">
        <w:rPr>
          <w:color w:val="auto"/>
        </w:rPr>
        <w:t xml:space="preserve"> to </w:t>
      </w:r>
      <w:r w:rsidRPr="00C1603D">
        <w:rPr>
          <w:color w:val="auto"/>
        </w:rPr>
        <w:t>2012.</w:t>
      </w:r>
      <w:r w:rsidRPr="00C1603D">
        <w:rPr>
          <w:noProof/>
          <w:color w:val="auto"/>
          <w:vertAlign w:val="superscript"/>
        </w:rPr>
        <w:t>232</w:t>
      </w:r>
      <w:r w:rsidRPr="00C1603D">
        <w:rPr>
          <w:color w:val="auto"/>
        </w:rPr>
        <w:t xml:space="preserve"> The rate</w:t>
      </w:r>
      <w:r w:rsidR="00656E4E" w:rsidRPr="00C1603D">
        <w:rPr>
          <w:color w:val="auto"/>
        </w:rPr>
        <w:t>s</w:t>
      </w:r>
      <w:r w:rsidRPr="00C1603D">
        <w:rPr>
          <w:color w:val="auto"/>
        </w:rPr>
        <w:t xml:space="preserve"> of hip, clinical vertebral and carpus (wrist) fractures found </w:t>
      </w:r>
      <w:r w:rsidR="00656E4E" w:rsidRPr="00C1603D">
        <w:rPr>
          <w:color w:val="auto"/>
        </w:rPr>
        <w:t>among</w:t>
      </w:r>
      <w:r w:rsidRPr="00C1603D">
        <w:rPr>
          <w:color w:val="auto"/>
        </w:rPr>
        <w:t xml:space="preserve"> those aged 18–49 and </w:t>
      </w:r>
      <w:r w:rsidR="00656E4E" w:rsidRPr="00C1603D">
        <w:rPr>
          <w:color w:val="auto"/>
        </w:rPr>
        <w:t>≥ </w:t>
      </w:r>
      <w:r w:rsidRPr="00C1603D">
        <w:rPr>
          <w:color w:val="auto"/>
        </w:rPr>
        <w:t>50</w:t>
      </w:r>
      <w:r w:rsidR="00656E4E" w:rsidRPr="00C1603D">
        <w:rPr>
          <w:color w:val="auto"/>
        </w:rPr>
        <w:t xml:space="preserve"> years</w:t>
      </w:r>
      <w:r w:rsidRPr="00C1603D">
        <w:rPr>
          <w:color w:val="auto"/>
        </w:rPr>
        <w:t xml:space="preserve"> </w:t>
      </w:r>
      <w:r w:rsidR="00656E4E" w:rsidRPr="00C1603D">
        <w:rPr>
          <w:color w:val="auto"/>
        </w:rPr>
        <w:t>are</w:t>
      </w:r>
      <w:r w:rsidRPr="00C1603D">
        <w:rPr>
          <w:color w:val="auto"/>
        </w:rPr>
        <w:t xml:space="preserve"> shown in </w:t>
      </w:r>
      <w:r w:rsidRPr="00C1603D">
        <w:rPr>
          <w:i/>
          <w:iCs/>
          <w:color w:val="auto"/>
        </w:rPr>
        <w:t>Appendix 27</w:t>
      </w:r>
      <w:r w:rsidR="00656E4E" w:rsidRPr="00C1603D">
        <w:rPr>
          <w:color w:val="auto"/>
        </w:rPr>
        <w:t>,</w:t>
      </w:r>
      <w:r w:rsidRPr="00C1603D">
        <w:rPr>
          <w:color w:val="auto"/>
        </w:rPr>
        <w:t xml:space="preserve"> </w:t>
      </w:r>
      <w:r w:rsidRPr="00C1603D">
        <w:rPr>
          <w:i/>
          <w:color w:val="auto"/>
        </w:rPr>
        <w:t xml:space="preserve">Table </w:t>
      </w:r>
      <w:r w:rsidRPr="00C1603D">
        <w:rPr>
          <w:i/>
          <w:noProof/>
          <w:color w:val="auto"/>
        </w:rPr>
        <w:t>66</w:t>
      </w:r>
      <w:r w:rsidRPr="00C1603D">
        <w:rPr>
          <w:color w:val="auto"/>
        </w:rPr>
        <w:t>.</w:t>
      </w:r>
    </w:p>
    <w:p w14:paraId="5ED2B937" w14:textId="21785681" w:rsidR="008B4DF8" w:rsidRPr="00C1603D" w:rsidRDefault="008B4DF8" w:rsidP="008B4DF8">
      <w:pPr>
        <w:pStyle w:val="602TextfoTextstylesTextstyles"/>
      </w:pPr>
      <w:r w:rsidRPr="00C1603D">
        <w:t>For the cost associated with hip fracture</w:t>
      </w:r>
      <w:r w:rsidRPr="00C1603D">
        <w:rPr>
          <w:color w:val="auto"/>
        </w:rPr>
        <w:t>s, Leal</w:t>
      </w:r>
      <w:r w:rsidRPr="00C1603D">
        <w:rPr>
          <w:i/>
          <w:color w:val="auto"/>
        </w:rPr>
        <w:t xml:space="preserve"> et al</w:t>
      </w:r>
      <w:r w:rsidR="00656E4E" w:rsidRPr="00C1603D">
        <w:rPr>
          <w:iCs/>
          <w:color w:val="auto"/>
        </w:rPr>
        <w:t>.</w:t>
      </w:r>
      <w:r w:rsidR="00656E4E" w:rsidRPr="00C1603D">
        <w:rPr>
          <w:iCs/>
          <w:color w:val="auto"/>
          <w:vertAlign w:val="superscript"/>
        </w:rPr>
        <w:t>233</w:t>
      </w:r>
      <w:r w:rsidRPr="00C1603D">
        <w:rPr>
          <w:color w:val="auto"/>
        </w:rPr>
        <w:t xml:space="preserve"> </w:t>
      </w:r>
      <w:r w:rsidRPr="00C1603D">
        <w:t>estimated hospital costs up to 2 years post</w:t>
      </w:r>
      <w:r w:rsidR="00656E4E" w:rsidRPr="00C1603D">
        <w:t xml:space="preserve"> </w:t>
      </w:r>
      <w:r w:rsidRPr="00C1603D">
        <w:t xml:space="preserve">fracture using a cohort of 33,152 patients aged </w:t>
      </w:r>
      <w:r w:rsidR="00656E4E" w:rsidRPr="00C1603D">
        <w:t>&gt; </w:t>
      </w:r>
      <w:r w:rsidRPr="00C1603D">
        <w:t>60 years admitted with a hip fracture in a UK region between 2003 and 2013 who were identified from hospital records and followed until death or administrative censoring. The mean censor-adjusted 2-year hospital cost after index hip fracture was £16,302 (95</w:t>
      </w:r>
      <w:r w:rsidRPr="00C1603D">
        <w:rPr>
          <w:color w:val="00B0F0"/>
        </w:rPr>
        <w:t>%</w:t>
      </w:r>
      <w:r w:rsidRPr="00C1603D">
        <w:t xml:space="preserve"> CI £16,097 to £16,515).</w:t>
      </w:r>
      <w:r w:rsidRPr="00C1603D">
        <w:rPr>
          <w:noProof/>
          <w:vertAlign w:val="superscript"/>
        </w:rPr>
        <w:t>233</w:t>
      </w:r>
      <w:r w:rsidRPr="00C1603D">
        <w:t xml:space="preserve"> For costs associated with vertebral and wrist fractures</w:t>
      </w:r>
      <w:r w:rsidR="00656E4E" w:rsidRPr="00C1603D">
        <w:t>,</w:t>
      </w:r>
      <w:r w:rsidRPr="00C1603D">
        <w:t xml:space="preserve"> we use</w:t>
      </w:r>
      <w:r w:rsidR="00656E4E" w:rsidRPr="00C1603D">
        <w:t>d</w:t>
      </w:r>
      <w:r w:rsidRPr="00C1603D">
        <w:t xml:space="preserve"> estimates from Dolan and Torgerson</w:t>
      </w:r>
      <w:r w:rsidR="00656E4E" w:rsidRPr="00C1603D">
        <w:t>,</w:t>
      </w:r>
      <w:r w:rsidRPr="00C1603D">
        <w:rPr>
          <w:noProof/>
          <w:vertAlign w:val="superscript"/>
        </w:rPr>
        <w:t>234</w:t>
      </w:r>
      <w:r w:rsidRPr="00C1603D">
        <w:t xml:space="preserve"> who estimated the cost </w:t>
      </w:r>
      <w:r w:rsidR="00FD09A0" w:rsidRPr="00C1603D">
        <w:t xml:space="preserve">per annum to be </w:t>
      </w:r>
      <w:r w:rsidR="003F3ACC" w:rsidRPr="00C1603D">
        <w:t>£468 per wrist fracture and £479 per vertebral fracture</w:t>
      </w:r>
      <w:r w:rsidRPr="00C1603D">
        <w:t>. These were based on health</w:t>
      </w:r>
      <w:r w:rsidR="003F3ACC" w:rsidRPr="00C1603D">
        <w:t>-</w:t>
      </w:r>
      <w:r w:rsidRPr="00C1603D">
        <w:t xml:space="preserve"> and social care costs of fractures </w:t>
      </w:r>
      <w:r w:rsidR="003F3ACC" w:rsidRPr="00C1603D">
        <w:t>among</w:t>
      </w:r>
      <w:r w:rsidRPr="00C1603D">
        <w:t xml:space="preserve"> women aged </w:t>
      </w:r>
      <w:r w:rsidR="003F3ACC" w:rsidRPr="00C1603D">
        <w:t>≥ </w:t>
      </w:r>
      <w:r w:rsidRPr="00C1603D">
        <w:t>5</w:t>
      </w:r>
      <w:r w:rsidRPr="00C1603D">
        <w:rPr>
          <w:color w:val="00B0F0"/>
        </w:rPr>
        <w:t>0</w:t>
      </w:r>
      <w:r w:rsidR="003F3ACC" w:rsidRPr="00C1603D">
        <w:rPr>
          <w:color w:val="00B0F0"/>
        </w:rPr>
        <w:t xml:space="preserve"> years</w:t>
      </w:r>
      <w:r w:rsidRPr="00C1603D">
        <w:t xml:space="preserve"> in the UK using a variety of data sources including published estimates, a survey of resource use among fracture patients before and after hip fracture and a case–control study using </w:t>
      </w:r>
      <w:r w:rsidR="00054479" w:rsidRPr="00C1603D">
        <w:t>the General Practice Research Database</w:t>
      </w:r>
      <w:r w:rsidRPr="00C1603D">
        <w:t xml:space="preserve">. </w:t>
      </w:r>
      <w:commentRangeStart w:id="383"/>
      <w:r w:rsidRPr="00C1603D">
        <w:t>All costs are inflated to current</w:t>
      </w:r>
      <w:r w:rsidR="00182FD2" w:rsidRPr="00C1603D">
        <w:t>-</w:t>
      </w:r>
      <w:r w:rsidRPr="00C1603D">
        <w:t xml:space="preserve">day prices using the Composite Price Index published by </w:t>
      </w:r>
      <w:r w:rsidR="0011188E" w:rsidRPr="00C1603D">
        <w:t>the Office for National Statistics</w:t>
      </w:r>
      <w:r w:rsidRPr="00C1603D">
        <w:t>.</w:t>
      </w:r>
      <w:r w:rsidRPr="00C1603D">
        <w:rPr>
          <w:noProof/>
          <w:vertAlign w:val="superscript"/>
        </w:rPr>
        <w:t>235,236</w:t>
      </w:r>
      <w:r w:rsidRPr="00C1603D">
        <w:t xml:space="preserve"> </w:t>
      </w:r>
      <w:commentRangeEnd w:id="383"/>
      <w:r w:rsidR="003C2A54" w:rsidRPr="00C1603D">
        <w:rPr>
          <w:rFonts w:ascii="Times New Roman" w:hAnsi="Times New Roman" w:cs="Times New Roman"/>
          <w:color w:val="auto"/>
          <w:lang w:val="en-US"/>
        </w:rPr>
        <w:commentReference w:id="383"/>
      </w:r>
      <w:r w:rsidRPr="00C1603D">
        <w:t xml:space="preserve">The overall assumed annual cost of osteoporosis is shown in </w:t>
      </w:r>
      <w:r w:rsidRPr="00C1603D">
        <w:rPr>
          <w:i/>
          <w:iCs/>
          <w:color w:val="auto"/>
        </w:rPr>
        <w:t>Appendix 27</w:t>
      </w:r>
      <w:r w:rsidR="003C2A54" w:rsidRPr="00C1603D">
        <w:rPr>
          <w:color w:val="auto"/>
        </w:rPr>
        <w:t>,</w:t>
      </w:r>
      <w:r w:rsidRPr="00C1603D">
        <w:rPr>
          <w:color w:val="auto"/>
        </w:rPr>
        <w:t xml:space="preserve"> </w:t>
      </w:r>
      <w:r w:rsidRPr="00C1603D">
        <w:rPr>
          <w:i/>
          <w:color w:val="auto"/>
        </w:rPr>
        <w:t xml:space="preserve">Table </w:t>
      </w:r>
      <w:r w:rsidRPr="00C1603D">
        <w:rPr>
          <w:i/>
          <w:noProof/>
          <w:color w:val="auto"/>
        </w:rPr>
        <w:t>67</w:t>
      </w:r>
      <w:r w:rsidRPr="00C1603D">
        <w:rPr>
          <w:color w:val="auto"/>
        </w:rPr>
        <w:t xml:space="preserve">. Uncertainty was included by fitting Gamma distributions to the cost of hip, vertebral and wrist fractures </w:t>
      </w:r>
      <w:r w:rsidRPr="00C1603D">
        <w:t xml:space="preserve">with SE set to </w:t>
      </w:r>
      <w:r w:rsidR="00A332BC" w:rsidRPr="00C1603D">
        <w:t xml:space="preserve">one-tenth </w:t>
      </w:r>
      <w:r w:rsidRPr="00C1603D">
        <w:t>of the mean.</w:t>
      </w:r>
      <w:r w:rsidRPr="00C1603D">
        <w:rPr>
          <w:noProof/>
          <w:vertAlign w:val="superscript"/>
        </w:rPr>
        <w:t>215</w:t>
      </w:r>
    </w:p>
    <w:p w14:paraId="55185429" w14:textId="35C35F21" w:rsidR="008B4DF8" w:rsidRPr="00C1603D" w:rsidRDefault="00A332BC" w:rsidP="008B4DF8">
      <w:pPr>
        <w:pStyle w:val="602TextfoTextstylesTextstyles"/>
      </w:pPr>
      <w:r w:rsidRPr="00C1603D">
        <w:t>The c</w:t>
      </w:r>
      <w:r w:rsidR="008B4DF8" w:rsidRPr="00C1603D">
        <w:t>ost of IDA is only that related to over-the-counter iron tablets, which incur no NHS cost.</w:t>
      </w:r>
    </w:p>
    <w:p w14:paraId="2161994A" w14:textId="77777777" w:rsidR="008B4DF8" w:rsidRPr="00C1603D" w:rsidRDefault="008B4DF8" w:rsidP="008B4DF8">
      <w:pPr>
        <w:pStyle w:val="54CheadHeadingsHeadingstyles"/>
      </w:pPr>
      <w:bookmarkStart w:id="384" w:name="_Toc87507188"/>
      <w:r w:rsidRPr="00C1603D">
        <w:t>Utilities</w:t>
      </w:r>
      <w:bookmarkEnd w:id="384"/>
    </w:p>
    <w:p w14:paraId="3842710B" w14:textId="219E1889" w:rsidR="008B4DF8" w:rsidRPr="00C1603D" w:rsidRDefault="008B4DF8" w:rsidP="008B4DF8">
      <w:pPr>
        <w:pStyle w:val="602TextfoTextstylesTextstyles"/>
      </w:pPr>
      <w:r w:rsidRPr="00C1603D">
        <w:t>The model includes health</w:t>
      </w:r>
      <w:r w:rsidR="00A332BC" w:rsidRPr="00C1603D">
        <w:t>-</w:t>
      </w:r>
      <w:r w:rsidRPr="00C1603D">
        <w:t>state utility values associated with undiagnosed CD</w:t>
      </w:r>
      <w:r w:rsidR="00A332BC" w:rsidRPr="00C1603D">
        <w:t xml:space="preserve"> and</w:t>
      </w:r>
      <w:r w:rsidRPr="00C1603D">
        <w:t xml:space="preserve"> diagnosed CD, and disutilities associated with osteoporosis and NHL. As explained, we assume</w:t>
      </w:r>
      <w:r w:rsidR="00A332BC" w:rsidRPr="00C1603D">
        <w:t xml:space="preserve"> that</w:t>
      </w:r>
      <w:r w:rsidRPr="00C1603D">
        <w:t xml:space="preserve"> some proportion of diagnosed CD patients will adhere to a gluten-free diet</w:t>
      </w:r>
      <w:r w:rsidR="00A332BC" w:rsidRPr="00C1603D">
        <w:t>,</w:t>
      </w:r>
      <w:r w:rsidRPr="00C1603D">
        <w:t xml:space="preserve"> so utilities for diagnosed CD should represent this mixed population. We assumed</w:t>
      </w:r>
      <w:r w:rsidR="00A332BC" w:rsidRPr="00C1603D">
        <w:t xml:space="preserve"> that</w:t>
      </w:r>
      <w:r w:rsidRPr="00C1603D">
        <w:t xml:space="preserve"> the health</w:t>
      </w:r>
      <w:r w:rsidR="00A332BC" w:rsidRPr="00C1603D">
        <w:t>-</w:t>
      </w:r>
      <w:r w:rsidRPr="00C1603D">
        <w:t>state utilities for osteoporosis and NHL are the same as for the general (i.e. not CD</w:t>
      </w:r>
      <w:r w:rsidR="00A332BC" w:rsidRPr="00C1603D">
        <w:t>-</w:t>
      </w:r>
      <w:r w:rsidRPr="00C1603D">
        <w:t>specific) population. The model also includes disutilities associated with the biopsy procedure, with the waiting time associated with a biopsy and with a lifetime false</w:t>
      </w:r>
      <w:r w:rsidR="000C7C20" w:rsidRPr="00C1603D">
        <w:t>-</w:t>
      </w:r>
      <w:r w:rsidRPr="00C1603D">
        <w:t>positive diagnosis.</w:t>
      </w:r>
    </w:p>
    <w:p w14:paraId="67F77F92" w14:textId="2D7F8F66" w:rsidR="008B4DF8" w:rsidRPr="00C1603D" w:rsidRDefault="008B4DF8" w:rsidP="008B4DF8">
      <w:pPr>
        <w:pStyle w:val="602TextfoTextstylesTextstyles"/>
      </w:pPr>
      <w:r w:rsidRPr="00C1603D">
        <w:t>Q</w:t>
      </w:r>
      <w:r w:rsidR="00A332BC" w:rsidRPr="00C1603D">
        <w:t>uality-adjusted life-year</w:t>
      </w:r>
      <w:r w:rsidRPr="00C1603D">
        <w:t xml:space="preserve"> norms for the UK are used to reflect background age-specific quality of life, which decreases naturally with age. All state QALYs are multiplied by their norms to reflect this age reduction. The values used, sourced from Janssen and Szende,</w:t>
      </w:r>
      <w:r w:rsidR="00A332BC" w:rsidRPr="00C1603D">
        <w:rPr>
          <w:vertAlign w:val="superscript"/>
        </w:rPr>
        <w:t>237</w:t>
      </w:r>
      <w:r w:rsidRPr="00C1603D">
        <w:t xml:space="preserve"> are shown in </w:t>
      </w:r>
      <w:r w:rsidRPr="00C1603D">
        <w:rPr>
          <w:i/>
          <w:iCs/>
        </w:rPr>
        <w:t>Appendix</w:t>
      </w:r>
      <w:r w:rsidRPr="00C1603D">
        <w:rPr>
          <w:i/>
          <w:iCs/>
          <w:color w:val="auto"/>
        </w:rPr>
        <w:t xml:space="preserve"> 28</w:t>
      </w:r>
      <w:r w:rsidR="00A332BC" w:rsidRPr="00C1603D">
        <w:rPr>
          <w:color w:val="auto"/>
        </w:rPr>
        <w:t>,</w:t>
      </w:r>
      <w:r w:rsidRPr="00C1603D">
        <w:rPr>
          <w:color w:val="auto"/>
        </w:rPr>
        <w:t xml:space="preserve"> </w:t>
      </w:r>
      <w:r w:rsidRPr="00C1603D">
        <w:rPr>
          <w:i/>
          <w:color w:val="auto"/>
        </w:rPr>
        <w:t xml:space="preserve">Table </w:t>
      </w:r>
      <w:r w:rsidRPr="00C1603D">
        <w:rPr>
          <w:i/>
          <w:noProof/>
          <w:color w:val="auto"/>
        </w:rPr>
        <w:t>68</w:t>
      </w:r>
      <w:r w:rsidRPr="00C1603D">
        <w:rPr>
          <w:color w:val="auto"/>
        </w:rPr>
        <w:t>.</w:t>
      </w:r>
    </w:p>
    <w:p w14:paraId="1CE5F64F" w14:textId="40F8E9D2" w:rsidR="008B4DF8" w:rsidRPr="00C1603D" w:rsidRDefault="008B4DF8" w:rsidP="008B4DF8">
      <w:pPr>
        <w:pStyle w:val="602TextfoTextstylesTextstyles"/>
      </w:pPr>
      <w:r w:rsidRPr="00C1603D">
        <w:t>The utility values for undiagnosed CD and diagnosed CD were sourced from Violato</w:t>
      </w:r>
      <w:r w:rsidRPr="00C1603D">
        <w:rPr>
          <w:iCs/>
          <w:color w:val="auto"/>
        </w:rPr>
        <w:t xml:space="preserve"> </w:t>
      </w:r>
      <w:r w:rsidR="00A332BC" w:rsidRPr="00C1603D">
        <w:rPr>
          <w:iCs/>
          <w:color w:val="auto"/>
        </w:rPr>
        <w:t>and Gray</w:t>
      </w:r>
      <w:r w:rsidRPr="00C1603D">
        <w:t>.</w:t>
      </w:r>
      <w:r w:rsidRPr="00C1603D">
        <w:rPr>
          <w:noProof/>
          <w:vertAlign w:val="superscript"/>
        </w:rPr>
        <w:t>238</w:t>
      </w:r>
      <w:r w:rsidRPr="00C1603D">
        <w:t xml:space="preserve"> The values are based on 1584 </w:t>
      </w:r>
      <w:r w:rsidR="00EC6BC0" w:rsidRPr="00C1603D">
        <w:t>EuroQol-5 Dimensions, three-level version (</w:t>
      </w:r>
      <w:r w:rsidRPr="00C1603D">
        <w:t>E</w:t>
      </w:r>
      <w:r w:rsidRPr="00C1603D">
        <w:rPr>
          <w:color w:val="00B0F0"/>
        </w:rPr>
        <w:t>Q-5D-3</w:t>
      </w:r>
      <w:r w:rsidRPr="00C1603D">
        <w:t>L</w:t>
      </w:r>
      <w:r w:rsidR="00EC6BC0" w:rsidRPr="00C1603D">
        <w:t>),</w:t>
      </w:r>
      <w:r w:rsidRPr="00C1603D">
        <w:t xml:space="preserve"> questionnaires</w:t>
      </w:r>
      <w:r w:rsidR="00A332BC" w:rsidRPr="00C1603D">
        <w:t xml:space="preserve"> retrospectively completed</w:t>
      </w:r>
      <w:r w:rsidRPr="00C1603D">
        <w:t xml:space="preserve"> by people with CD in the UK. Participants rated their health using the validated questionnaire before and after their diagnosis. The diagnosed cohort did not all adhere perfectly to a gluten-free diet</w:t>
      </w:r>
      <w:r w:rsidR="00A332BC" w:rsidRPr="00C1603D">
        <w:t>,</w:t>
      </w:r>
      <w:r w:rsidRPr="00C1603D">
        <w:t xml:space="preserve"> with 90.8% reporting adherence all of the time, 8.3% most of the time and 0.9% some/little/none of the time. </w:t>
      </w:r>
      <w:commentRangeStart w:id="385"/>
      <w:r w:rsidRPr="00C1603D">
        <w:t>The estimated utility values for diagnosed CD and undiagnosed CD were 0.65 (0.63, 0.67) and 0.85 (0.84, 0.86)</w:t>
      </w:r>
      <w:r w:rsidR="00A332BC" w:rsidRPr="00C1603D">
        <w:t>,</w:t>
      </w:r>
      <w:r w:rsidRPr="00C1603D">
        <w:t xml:space="preserve"> respectively</w:t>
      </w:r>
      <w:r w:rsidR="00A332BC" w:rsidRPr="00C1603D">
        <w:t>,</w:t>
      </w:r>
      <w:r w:rsidRPr="00C1603D">
        <w:t xml:space="preserve"> in the total sample. In the subgroup aged </w:t>
      </w:r>
      <w:r w:rsidRPr="00C1603D">
        <w:rPr>
          <w:color w:val="00B0F0"/>
        </w:rPr>
        <w:t>&lt; 1</w:t>
      </w:r>
      <w:r w:rsidRPr="00C1603D">
        <w:t>8</w:t>
      </w:r>
      <w:r w:rsidR="00A332BC" w:rsidRPr="00C1603D">
        <w:t xml:space="preserve"> years</w:t>
      </w:r>
      <w:r w:rsidRPr="00C1603D">
        <w:t xml:space="preserve">, </w:t>
      </w:r>
      <w:r w:rsidR="00A332BC" w:rsidRPr="00C1603D">
        <w:t xml:space="preserve">the </w:t>
      </w:r>
      <w:r w:rsidRPr="00C1603D">
        <w:t xml:space="preserve">values were 0.57 (0.51, 0.64) for undiagnosed </w:t>
      </w:r>
      <w:r w:rsidR="00A332BC" w:rsidRPr="00C1603D">
        <w:t xml:space="preserve">CD </w:t>
      </w:r>
      <w:r w:rsidRPr="00C1603D">
        <w:t xml:space="preserve">and 0.88 (0.85, 0.92) for diagnosed CD on gluten-free diet. </w:t>
      </w:r>
      <w:commentRangeEnd w:id="385"/>
      <w:r w:rsidR="00A332BC" w:rsidRPr="00C1603D">
        <w:rPr>
          <w:rFonts w:ascii="Times New Roman" w:hAnsi="Times New Roman" w:cs="Times New Roman"/>
          <w:color w:val="auto"/>
          <w:lang w:val="en-US"/>
        </w:rPr>
        <w:commentReference w:id="385"/>
      </w:r>
      <w:r w:rsidRPr="00C1603D">
        <w:t>An alternative source for utility in diagnosed and undiagnosed CD</w:t>
      </w:r>
      <w:r w:rsidR="00A332BC" w:rsidRPr="00C1603D">
        <w:t xml:space="preserve"> was</w:t>
      </w:r>
      <w:r w:rsidRPr="00C1603D">
        <w:t xml:space="preserve"> identified </w:t>
      </w:r>
      <w:r w:rsidR="00A332BC" w:rsidRPr="00C1603D">
        <w:t xml:space="preserve">in </w:t>
      </w:r>
      <w:r w:rsidRPr="00C1603D">
        <w:t>Casellas</w:t>
      </w:r>
      <w:r w:rsidRPr="00C1603D">
        <w:rPr>
          <w:i/>
          <w:color w:val="00B0F0"/>
        </w:rPr>
        <w:t xml:space="preserve"> et al</w:t>
      </w:r>
      <w:r w:rsidR="00A332BC" w:rsidRPr="00C1603D">
        <w:t>.,</w:t>
      </w:r>
      <w:r w:rsidRPr="00C1603D">
        <w:rPr>
          <w:noProof/>
          <w:vertAlign w:val="superscript"/>
        </w:rPr>
        <w:t>239</w:t>
      </w:r>
      <w:r w:rsidRPr="00C1603D">
        <w:t xml:space="preserve"> who carried out a prospective study of 163 CD patients on a gluten-free diet and 177 newly diagnosed CD patients on a normal diet from seven hospitals in different areas of Spain, with all completing the </w:t>
      </w:r>
      <w:r w:rsidR="00EC6BC0" w:rsidRPr="00C1603D">
        <w:t>EuroQol-5 Dimensions (</w:t>
      </w:r>
      <w:r w:rsidRPr="00C1603D">
        <w:t>E</w:t>
      </w:r>
      <w:r w:rsidRPr="00C1603D">
        <w:rPr>
          <w:color w:val="00B0F0"/>
        </w:rPr>
        <w:t>Q-5</w:t>
      </w:r>
      <w:r w:rsidRPr="00C1603D">
        <w:t>D</w:t>
      </w:r>
      <w:r w:rsidR="00EC6BC0" w:rsidRPr="00C1603D">
        <w:t>)</w:t>
      </w:r>
      <w:r w:rsidRPr="00C1603D">
        <w:t xml:space="preserve">. A similar pattern was found to our </w:t>
      </w:r>
      <w:r w:rsidRPr="00C1603D">
        <w:lastRenderedPageBreak/>
        <w:t>selected source with the median E</w:t>
      </w:r>
      <w:r w:rsidRPr="00C1603D">
        <w:rPr>
          <w:color w:val="00B0F0"/>
        </w:rPr>
        <w:t>Q-5</w:t>
      </w:r>
      <w:r w:rsidRPr="00C1603D">
        <w:t>D value being 0.93 (0.85</w:t>
      </w:r>
      <w:r w:rsidRPr="00C1603D">
        <w:rPr>
          <w:color w:val="00B0F0"/>
        </w:rPr>
        <w:t>–1</w:t>
      </w:r>
      <w:r w:rsidRPr="00C1603D">
        <w:t xml:space="preserve">.0) </w:t>
      </w:r>
      <w:r w:rsidR="00080E54" w:rsidRPr="00C1603D">
        <w:t>among</w:t>
      </w:r>
      <w:r w:rsidRPr="00C1603D">
        <w:t xml:space="preserve"> gluten-free diet patients and 0.72 (0.58</w:t>
      </w:r>
      <w:r w:rsidRPr="00C1603D">
        <w:rPr>
          <w:color w:val="00B0F0"/>
        </w:rPr>
        <w:t>–1</w:t>
      </w:r>
      <w:r w:rsidRPr="00C1603D">
        <w:t>.0) in the normal diet group.</w:t>
      </w:r>
    </w:p>
    <w:p w14:paraId="3D26E840" w14:textId="69C42D22" w:rsidR="008B4DF8" w:rsidRPr="00C1603D" w:rsidRDefault="008B4DF8" w:rsidP="008B4DF8">
      <w:pPr>
        <w:pStyle w:val="602TextfoTextstylesTextstyles"/>
      </w:pPr>
      <w:r w:rsidRPr="00C1603D">
        <w:t>For osteoporosis, a similar approach is taken as with costs, with total disutility being equal to the annual probability of hip, vertebral and wrist fracture</w:t>
      </w:r>
      <w:r w:rsidR="00453FD6" w:rsidRPr="00C1603D">
        <w:t>s</w:t>
      </w:r>
      <w:r w:rsidRPr="00C1603D">
        <w:t xml:space="preserve"> multiplied by the disutility associated with each type of fracture. Results </w:t>
      </w:r>
      <w:r w:rsidR="00453FD6" w:rsidRPr="00C1603D">
        <w:t xml:space="preserve">are </w:t>
      </w:r>
      <w:r w:rsidRPr="00C1603D">
        <w:t xml:space="preserve">presented in </w:t>
      </w:r>
      <w:r w:rsidRPr="00C1603D">
        <w:rPr>
          <w:i/>
          <w:iCs/>
          <w:color w:val="auto"/>
        </w:rPr>
        <w:t>Appendix 28</w:t>
      </w:r>
      <w:r w:rsidR="00453FD6" w:rsidRPr="00C1603D">
        <w:rPr>
          <w:color w:val="auto"/>
        </w:rPr>
        <w:t>,</w:t>
      </w:r>
      <w:r w:rsidRPr="00C1603D">
        <w:rPr>
          <w:color w:val="auto"/>
        </w:rPr>
        <w:t xml:space="preserve"> </w:t>
      </w:r>
      <w:r w:rsidRPr="00C1603D">
        <w:rPr>
          <w:i/>
          <w:color w:val="auto"/>
        </w:rPr>
        <w:t xml:space="preserve">Table </w:t>
      </w:r>
      <w:r w:rsidRPr="00C1603D">
        <w:rPr>
          <w:i/>
          <w:noProof/>
          <w:color w:val="auto"/>
        </w:rPr>
        <w:t>69</w:t>
      </w:r>
      <w:r w:rsidRPr="00C1603D">
        <w:rPr>
          <w:color w:val="auto"/>
        </w:rPr>
        <w:t xml:space="preserve">. These </w:t>
      </w:r>
      <w:r w:rsidRPr="00C1603D">
        <w:t xml:space="preserve">disutilities are estimated from </w:t>
      </w:r>
      <w:r w:rsidR="00453FD6" w:rsidRPr="00C1603D">
        <w:t xml:space="preserve">the </w:t>
      </w:r>
      <w:r w:rsidRPr="00C1603D">
        <w:t>Si</w:t>
      </w:r>
      <w:r w:rsidRPr="00C1603D">
        <w:rPr>
          <w:i/>
          <w:color w:val="00B0F0"/>
        </w:rPr>
        <w:t xml:space="preserve"> et al</w:t>
      </w:r>
      <w:r w:rsidR="00453FD6" w:rsidRPr="00C1603D">
        <w:t>.</w:t>
      </w:r>
      <w:r w:rsidR="00D5585F" w:rsidRPr="00C1603D">
        <w:rPr>
          <w:vertAlign w:val="superscript"/>
        </w:rPr>
        <w:t>240</w:t>
      </w:r>
      <w:r w:rsidR="00453FD6" w:rsidRPr="00C1603D">
        <w:t xml:space="preserve"> study</w:t>
      </w:r>
      <w:r w:rsidRPr="00C1603D">
        <w:t xml:space="preserve">, which was a systematic review and meta-analysis of </w:t>
      </w:r>
      <w:proofErr w:type="gramStart"/>
      <w:r w:rsidRPr="00C1603D">
        <w:t>62</w:t>
      </w:r>
      <w:proofErr w:type="gramEnd"/>
      <w:r w:rsidRPr="00C1603D">
        <w:t xml:space="preserve"> studies reporting utility-based quality of life for osteoporosis-related conditions. Most of the studies used E</w:t>
      </w:r>
      <w:r w:rsidRPr="00C1603D">
        <w:rPr>
          <w:color w:val="00B0F0"/>
        </w:rPr>
        <w:t>Q-5</w:t>
      </w:r>
      <w:r w:rsidRPr="00C1603D">
        <w:t xml:space="preserve">D </w:t>
      </w:r>
      <w:r w:rsidR="00725E5F" w:rsidRPr="00C1603D">
        <w:t>health-state utility values</w:t>
      </w:r>
      <w:r w:rsidRPr="00C1603D">
        <w:t xml:space="preserve">, followed by </w:t>
      </w:r>
      <w:r w:rsidR="006863DE" w:rsidRPr="00C1603D">
        <w:t xml:space="preserve">a </w:t>
      </w:r>
      <w:r w:rsidRPr="00C1603D">
        <w:t>visual analogue scale. Si</w:t>
      </w:r>
      <w:r w:rsidRPr="00C1603D">
        <w:rPr>
          <w:i/>
          <w:color w:val="00B0F0"/>
        </w:rPr>
        <w:t xml:space="preserve"> et al</w:t>
      </w:r>
      <w:r w:rsidR="006863DE" w:rsidRPr="00C1603D">
        <w:rPr>
          <w:iCs/>
          <w:color w:val="00B0F0"/>
        </w:rPr>
        <w:t>.</w:t>
      </w:r>
      <w:r w:rsidR="006863DE" w:rsidRPr="00C1603D">
        <w:rPr>
          <w:iCs/>
          <w:color w:val="00B0F0"/>
          <w:vertAlign w:val="superscript"/>
        </w:rPr>
        <w:t>240</w:t>
      </w:r>
      <w:r w:rsidRPr="00C1603D">
        <w:t xml:space="preserve"> calculated utilities for the first year after hip, vertebral and wrist fractures as 0.59 (0.54, 0.65), 0.55 (0.50, 0.60) and 0.78 (0.72, 0.84), respectively. These utilities are subtracted from the UK population norm of 0.817 </w:t>
      </w:r>
      <w:r w:rsidR="00643744" w:rsidRPr="00C1603D">
        <w:t>for</w:t>
      </w:r>
      <w:r w:rsidRPr="00C1603D">
        <w:t xml:space="preserve"> the</w:t>
      </w:r>
      <w:r w:rsidR="00643744" w:rsidRPr="00C1603D">
        <w:t xml:space="preserve"> group aged</w:t>
      </w:r>
      <w:r w:rsidRPr="00C1603D">
        <w:t xml:space="preserve"> 55–64</w:t>
      </w:r>
      <w:r w:rsidR="00643744" w:rsidRPr="00C1603D">
        <w:t xml:space="preserve"> </w:t>
      </w:r>
      <w:r w:rsidRPr="00C1603D">
        <w:t>year</w:t>
      </w:r>
      <w:r w:rsidR="00643744" w:rsidRPr="00C1603D">
        <w:t>s</w:t>
      </w:r>
      <w:r w:rsidRPr="00C1603D">
        <w:t>. Uncertainty was modelled by moment</w:t>
      </w:r>
      <w:r w:rsidR="00135533" w:rsidRPr="00C1603D">
        <w:t>-</w:t>
      </w:r>
      <w:r w:rsidRPr="00C1603D">
        <w:t xml:space="preserve">matching beta distributions to the hip, vertebral and wrist fracture disutilities with SE for each set to </w:t>
      </w:r>
      <w:r w:rsidR="00135533" w:rsidRPr="00C1603D">
        <w:t>one-tenth</w:t>
      </w:r>
      <w:r w:rsidRPr="00C1603D">
        <w:t xml:space="preserve"> of their means.</w:t>
      </w:r>
      <w:r w:rsidRPr="00C1603D">
        <w:rPr>
          <w:noProof/>
          <w:vertAlign w:val="superscript"/>
        </w:rPr>
        <w:t>215</w:t>
      </w:r>
    </w:p>
    <w:p w14:paraId="18A8B7E5" w14:textId="4C71C48F" w:rsidR="008B4DF8" w:rsidRPr="00C1603D" w:rsidRDefault="008B4DF8" w:rsidP="008B4DF8">
      <w:pPr>
        <w:pStyle w:val="602TextfoTextstylesTextstyles"/>
      </w:pPr>
      <w:r w:rsidRPr="00C1603D">
        <w:t>The utility associated with NHL is based on Fargier</w:t>
      </w:r>
      <w:r w:rsidRPr="00C1603D">
        <w:rPr>
          <w:i/>
          <w:color w:val="00B0F0"/>
        </w:rPr>
        <w:t xml:space="preserve"> et al</w:t>
      </w:r>
      <w:r w:rsidR="00FA487D" w:rsidRPr="00C1603D">
        <w:rPr>
          <w:iCs/>
          <w:color w:val="00B0F0"/>
        </w:rPr>
        <w:t>.,</w:t>
      </w:r>
      <w:r w:rsidR="007E7DEA" w:rsidRPr="00C1603D">
        <w:rPr>
          <w:iCs/>
          <w:color w:val="00B0F0"/>
          <w:vertAlign w:val="superscript"/>
        </w:rPr>
        <w:t>241</w:t>
      </w:r>
      <w:r w:rsidRPr="00C1603D">
        <w:t xml:space="preserve"> which was an observational cross-sectional comparative study conducted in three French teaching hospitals. This study was conducted </w:t>
      </w:r>
      <w:r w:rsidR="007E7DEA" w:rsidRPr="00C1603D">
        <w:t>with</w:t>
      </w:r>
      <w:r w:rsidRPr="00C1603D">
        <w:t xml:space="preserve"> </w:t>
      </w:r>
      <w:proofErr w:type="gramStart"/>
      <w:r w:rsidRPr="00C1603D">
        <w:t>73</w:t>
      </w:r>
      <w:proofErr w:type="gramEnd"/>
      <w:r w:rsidRPr="00C1603D">
        <w:t xml:space="preserve"> patients with follicular lymphoma receiving rituximab maintenance monotherapy. Health-related quality of life was evaluated on the French version of the self-administered E</w:t>
      </w:r>
      <w:r w:rsidRPr="00C1603D">
        <w:rPr>
          <w:color w:val="00B0F0"/>
        </w:rPr>
        <w:t>Q-5D-3</w:t>
      </w:r>
      <w:r w:rsidRPr="00C1603D">
        <w:t xml:space="preserve">L questionnaire. </w:t>
      </w:r>
      <w:r w:rsidR="00227A92" w:rsidRPr="00C1603D">
        <w:t xml:space="preserve">Of the patients, </w:t>
      </w:r>
      <w:r w:rsidRPr="00C1603D">
        <w:t>73% were receiving first</w:t>
      </w:r>
      <w:r w:rsidR="00227A92" w:rsidRPr="00C1603D">
        <w:t>-</w:t>
      </w:r>
      <w:r w:rsidRPr="00C1603D">
        <w:t>line treatment, 21%</w:t>
      </w:r>
      <w:r w:rsidR="00227A92" w:rsidRPr="00C1603D">
        <w:t xml:space="preserve"> were receiving</w:t>
      </w:r>
      <w:r w:rsidRPr="00C1603D">
        <w:t xml:space="preserve"> second</w:t>
      </w:r>
      <w:r w:rsidR="00227A92" w:rsidRPr="00C1603D">
        <w:t>-</w:t>
      </w:r>
      <w:r w:rsidRPr="00C1603D">
        <w:t>line</w:t>
      </w:r>
      <w:r w:rsidR="00227A92" w:rsidRPr="00C1603D">
        <w:t xml:space="preserve"> treatment</w:t>
      </w:r>
      <w:r w:rsidRPr="00C1603D">
        <w:t xml:space="preserve"> and 6%</w:t>
      </w:r>
      <w:r w:rsidR="00227A92" w:rsidRPr="00C1603D">
        <w:t xml:space="preserve"> were receiving</w:t>
      </w:r>
      <w:r w:rsidRPr="00C1603D">
        <w:t xml:space="preserve"> third</w:t>
      </w:r>
      <w:r w:rsidR="00227A92" w:rsidRPr="00C1603D">
        <w:t>-</w:t>
      </w:r>
      <w:r w:rsidRPr="00C1603D">
        <w:t>line</w:t>
      </w:r>
      <w:r w:rsidR="00227A92" w:rsidRPr="00C1603D">
        <w:t xml:space="preserve"> treatment</w:t>
      </w:r>
      <w:r w:rsidRPr="00C1603D">
        <w:t xml:space="preserve">. The aim was to compare the impact of using subcutaneous </w:t>
      </w:r>
      <w:r w:rsidR="00541065" w:rsidRPr="00C1603D">
        <w:t>rituximab with that of</w:t>
      </w:r>
      <w:r w:rsidRPr="00C1603D">
        <w:t xml:space="preserve"> </w:t>
      </w:r>
      <w:r w:rsidR="009C0BE6" w:rsidRPr="00C1603D">
        <w:t xml:space="preserve">using </w:t>
      </w:r>
      <w:r w:rsidRPr="00C1603D">
        <w:t xml:space="preserve">intravenous rituximab as maintenance therapy. </w:t>
      </w:r>
      <w:r w:rsidR="009C0BE6" w:rsidRPr="00C1603D">
        <w:t>The m</w:t>
      </w:r>
      <w:r w:rsidRPr="00C1603D">
        <w:t>ean E</w:t>
      </w:r>
      <w:r w:rsidRPr="00C1603D">
        <w:rPr>
          <w:color w:val="00B0F0"/>
        </w:rPr>
        <w:t>Q-5</w:t>
      </w:r>
      <w:r w:rsidRPr="00C1603D">
        <w:t xml:space="preserve">D score was 0.8 for </w:t>
      </w:r>
      <w:r w:rsidR="00227A92" w:rsidRPr="00C1603D">
        <w:t xml:space="preserve">intravenous </w:t>
      </w:r>
      <w:r w:rsidRPr="00C1603D">
        <w:t xml:space="preserve">rituximab and 0.7 for </w:t>
      </w:r>
      <w:r w:rsidR="00227A92" w:rsidRPr="00C1603D">
        <w:t xml:space="preserve">subcutaneous </w:t>
      </w:r>
      <w:r w:rsidRPr="00C1603D">
        <w:t>rituximab.</w:t>
      </w:r>
      <w:r w:rsidRPr="00C1603D">
        <w:rPr>
          <w:noProof/>
          <w:vertAlign w:val="superscript"/>
        </w:rPr>
        <w:t>241</w:t>
      </w:r>
      <w:r w:rsidRPr="00C1603D">
        <w:t xml:space="preserve"> The average of these two values is subtracted from the French E</w:t>
      </w:r>
      <w:r w:rsidRPr="00C1603D">
        <w:rPr>
          <w:color w:val="00B0F0"/>
        </w:rPr>
        <w:t>Q-5</w:t>
      </w:r>
      <w:r w:rsidRPr="00C1603D">
        <w:t>D population norm for people in the 55</w:t>
      </w:r>
      <w:r w:rsidRPr="00C1603D">
        <w:rPr>
          <w:color w:val="00B0F0"/>
        </w:rPr>
        <w:t>–6</w:t>
      </w:r>
      <w:r w:rsidRPr="00C1603D">
        <w:t>4 age group of 0.836</w:t>
      </w:r>
      <w:r w:rsidRPr="00C1603D">
        <w:rPr>
          <w:noProof/>
          <w:vertAlign w:val="superscript"/>
        </w:rPr>
        <w:t>237</w:t>
      </w:r>
      <w:r w:rsidRPr="00C1603D">
        <w:t xml:space="preserve"> to get a disutility of 0.086. Upper and lower bounds of 0.8 (disutility 0.036) and 0.7 (disutility 0.136) are used to represent uncertainty in this parameter using a uniform distribution.</w:t>
      </w:r>
    </w:p>
    <w:p w14:paraId="1BA37B19" w14:textId="1E0DC787" w:rsidR="008B4DF8" w:rsidRPr="00C1603D" w:rsidRDefault="008B4DF8" w:rsidP="008B4DF8">
      <w:pPr>
        <w:pStyle w:val="602TextfoTextstylesTextstyles"/>
      </w:pPr>
      <w:r w:rsidRPr="00C1603D">
        <w:t xml:space="preserve">The disutility associated with a biopsy in adults is assumed to be equal to </w:t>
      </w:r>
      <w:r w:rsidR="00A2704D" w:rsidRPr="00C1603D">
        <w:t>1</w:t>
      </w:r>
      <w:r w:rsidRPr="00C1603D">
        <w:t xml:space="preserve"> quality-adjusted life</w:t>
      </w:r>
      <w:r w:rsidR="00A2704D" w:rsidRPr="00C1603D">
        <w:t>-</w:t>
      </w:r>
      <w:r w:rsidRPr="00C1603D">
        <w:t>day. This is the same assumption made in the NICE model</w:t>
      </w:r>
      <w:r w:rsidR="00A2704D" w:rsidRPr="00C1603D">
        <w:rPr>
          <w:vertAlign w:val="superscript"/>
        </w:rPr>
        <w:t>198</w:t>
      </w:r>
      <w:r w:rsidRPr="00C1603D">
        <w:t xml:space="preserve"> and aims to account for any anxiety associated with the biopsy as well as potential side effects. </w:t>
      </w:r>
      <w:r w:rsidR="00A2704D" w:rsidRPr="00C1603D">
        <w:t>For</w:t>
      </w:r>
      <w:r w:rsidRPr="00C1603D">
        <w:t xml:space="preserve"> children</w:t>
      </w:r>
      <w:r w:rsidR="00A2704D" w:rsidRPr="00C1603D">
        <w:t>,</w:t>
      </w:r>
      <w:r w:rsidRPr="00C1603D">
        <w:t xml:space="preserve"> the loss of </w:t>
      </w:r>
      <w:proofErr w:type="gramStart"/>
      <w:r w:rsidR="00A2704D" w:rsidRPr="00C1603D">
        <w:t>2</w:t>
      </w:r>
      <w:proofErr w:type="gramEnd"/>
      <w:r w:rsidRPr="00C1603D">
        <w:t xml:space="preserve"> quality-adjusted life</w:t>
      </w:r>
      <w:r w:rsidR="00A2704D" w:rsidRPr="00C1603D">
        <w:t>-</w:t>
      </w:r>
      <w:r w:rsidRPr="00C1603D">
        <w:t xml:space="preserve">days is assumed </w:t>
      </w:r>
      <w:r w:rsidR="00A2704D" w:rsidRPr="00C1603D">
        <w:t>because of</w:t>
      </w:r>
      <w:r w:rsidRPr="00C1603D">
        <w:t xml:space="preserve"> the need for general anaesthetic. The disutility associated with waiting for a biopsy is assumed to be equal to the difference between the utility of being diagnosed with CD and following a gluten-free diet and the utility of having undiagnosed CD. This disutility is assumed to last for 6 weeks in accordance with average waiting times for a biopsy.</w:t>
      </w:r>
    </w:p>
    <w:p w14:paraId="69B63CAE" w14:textId="32017425" w:rsidR="008B4DF8" w:rsidRPr="00C1603D" w:rsidRDefault="008B4DF8" w:rsidP="008B4DF8">
      <w:pPr>
        <w:pStyle w:val="602TextfoTextstylesTextstyles"/>
      </w:pPr>
      <w:r w:rsidRPr="00C1603D">
        <w:t>In line with the NICE model</w:t>
      </w:r>
      <w:r w:rsidR="002B26B9" w:rsidRPr="00C1603D">
        <w:t>,</w:t>
      </w:r>
      <w:r w:rsidR="002B26B9" w:rsidRPr="00C1603D">
        <w:rPr>
          <w:vertAlign w:val="superscript"/>
        </w:rPr>
        <w:t>198</w:t>
      </w:r>
      <w:r w:rsidRPr="00C1603D">
        <w:t xml:space="preserve"> we assume an annual disutility for patients falsely diagnosed with CD of 0.009. This was based on an estimated change in social function score on the </w:t>
      </w:r>
      <w:r w:rsidR="00D1347A" w:rsidRPr="00C1603D">
        <w:t xml:space="preserve">Short Form questionnaire-36 items </w:t>
      </w:r>
      <w:r w:rsidRPr="00C1603D">
        <w:t xml:space="preserve">of </w:t>
      </w:r>
      <w:r w:rsidRPr="00C1603D">
        <w:rPr>
          <w:color w:val="00B0F0"/>
        </w:rPr>
        <w:t>–8</w:t>
      </w:r>
      <w:r w:rsidRPr="00C1603D">
        <w:t>.3 (SE</w:t>
      </w:r>
      <w:r w:rsidRPr="00C1603D">
        <w:rPr>
          <w:color w:val="00B0F0"/>
        </w:rPr>
        <w:t xml:space="preserve"> </w:t>
      </w:r>
      <w:r w:rsidRPr="00C1603D">
        <w:t>3.83) and a mapping for this score to utility scale of 0.0011 (SE</w:t>
      </w:r>
      <w:r w:rsidRPr="00C1603D">
        <w:rPr>
          <w:color w:val="00B0F0"/>
        </w:rPr>
        <w:t xml:space="preserve"> </w:t>
      </w:r>
      <w:r w:rsidRPr="00C1603D">
        <w:t xml:space="preserve">0.0002). We modelled these uncertain factors with </w:t>
      </w:r>
      <w:r w:rsidR="00060A74" w:rsidRPr="00C1603D">
        <w:t>n</w:t>
      </w:r>
      <w:r w:rsidRPr="00C1603D">
        <w:t xml:space="preserve">ormal distributions and the mean of their product was </w:t>
      </w:r>
      <w:r w:rsidRPr="00C1603D">
        <w:rPr>
          <w:color w:val="00B0F0"/>
        </w:rPr>
        <w:t>–0</w:t>
      </w:r>
      <w:r w:rsidRPr="00C1603D">
        <w:t>.009 (SE</w:t>
      </w:r>
      <w:r w:rsidRPr="00C1603D">
        <w:rPr>
          <w:color w:val="00B0F0"/>
        </w:rPr>
        <w:t xml:space="preserve"> = </w:t>
      </w:r>
      <w:r w:rsidRPr="00C1603D">
        <w:t>0.004). Note that we assume</w:t>
      </w:r>
      <w:r w:rsidR="002D52BD" w:rsidRPr="00C1603D">
        <w:t xml:space="preserve"> that</w:t>
      </w:r>
      <w:r w:rsidRPr="00C1603D">
        <w:t xml:space="preserve"> any disutility from </w:t>
      </w:r>
      <w:r w:rsidR="002D52BD" w:rsidRPr="00C1603D">
        <w:t xml:space="preserve">a </w:t>
      </w:r>
      <w:r w:rsidRPr="00C1603D">
        <w:t>gluten-free diet in the true CD population is captured by the Violato</w:t>
      </w:r>
      <w:r w:rsidR="002D52BD" w:rsidRPr="00C1603D">
        <w:t xml:space="preserve"> and Gray</w:t>
      </w:r>
      <w:r w:rsidR="002D52BD" w:rsidRPr="00C1603D">
        <w:rPr>
          <w:vertAlign w:val="superscript"/>
        </w:rPr>
        <w:t>138</w:t>
      </w:r>
      <w:r w:rsidRPr="00C1603D">
        <w:t xml:space="preserve"> 2019 survey.</w:t>
      </w:r>
    </w:p>
    <w:p w14:paraId="0F42CDCF" w14:textId="259A1EF4" w:rsidR="008B4DF8" w:rsidRPr="00C1603D" w:rsidRDefault="008B4DF8" w:rsidP="008B4DF8">
      <w:pPr>
        <w:pStyle w:val="602TextfoTextstylesTextstyles"/>
      </w:pPr>
      <w:r w:rsidRPr="00C1603D">
        <w:t>For IDA</w:t>
      </w:r>
      <w:r w:rsidR="002D52BD" w:rsidRPr="00C1603D">
        <w:t>,</w:t>
      </w:r>
      <w:r w:rsidRPr="00C1603D">
        <w:t xml:space="preserve"> we assume that disutility is already captured in the utility values for undiagnosed CD and diagnosed CD sourced from </w:t>
      </w:r>
      <w:r w:rsidR="002D52BD" w:rsidRPr="00C1603D">
        <w:t>Violato and Gray,</w:t>
      </w:r>
      <w:r w:rsidR="002D52BD" w:rsidRPr="00C1603D">
        <w:rPr>
          <w:vertAlign w:val="superscript"/>
        </w:rPr>
        <w:t>138</w:t>
      </w:r>
      <w:r w:rsidRPr="00C1603D">
        <w:t xml:space="preserve"> as they reported that 64.8% of their population had anaemia prior to diagnosis and 14.5% after.</w:t>
      </w:r>
    </w:p>
    <w:p w14:paraId="10DE3593" w14:textId="662E9230" w:rsidR="008B4DF8" w:rsidRPr="00C1603D" w:rsidRDefault="008B4DF8" w:rsidP="008B4DF8">
      <w:pPr>
        <w:pStyle w:val="54CheadHeadingsHeadingstyles"/>
      </w:pPr>
      <w:bookmarkStart w:id="386" w:name="_Toc87507189"/>
      <w:r w:rsidRPr="00C1603D">
        <w:t xml:space="preserve">Probability of late detection of </w:t>
      </w:r>
      <w:r w:rsidR="000C7C20" w:rsidRPr="00C1603D">
        <w:t>coeliac disease</w:t>
      </w:r>
      <w:r w:rsidRPr="00C1603D">
        <w:t xml:space="preserve"> after </w:t>
      </w:r>
      <w:r w:rsidR="00377908" w:rsidRPr="00C1603D">
        <w:t>false</w:t>
      </w:r>
      <w:r w:rsidR="000C7C20" w:rsidRPr="00C1603D">
        <w:t>-</w:t>
      </w:r>
      <w:r w:rsidR="00377908" w:rsidRPr="00C1603D">
        <w:t>negative</w:t>
      </w:r>
      <w:r w:rsidRPr="00C1603D">
        <w:t xml:space="preserve"> diagnosis</w:t>
      </w:r>
      <w:bookmarkEnd w:id="386"/>
    </w:p>
    <w:p w14:paraId="37BA04CC" w14:textId="58C33D52" w:rsidR="008B4DF8" w:rsidRPr="00C1603D" w:rsidRDefault="008B4DF8" w:rsidP="008B4DF8">
      <w:pPr>
        <w:pStyle w:val="602TextfoTextstylesTextstyles"/>
      </w:pPr>
      <w:r w:rsidRPr="00C1603D">
        <w:t>All patients in the undiagnosed CD state have an annual probability of transitioning to the diagnosed CD state. Violato</w:t>
      </w:r>
      <w:r w:rsidRPr="00C1603D">
        <w:rPr>
          <w:i/>
          <w:color w:val="00B0F0"/>
        </w:rPr>
        <w:t xml:space="preserve"> </w:t>
      </w:r>
      <w:r w:rsidR="002707C4" w:rsidRPr="00C1603D">
        <w:t>and Gray</w:t>
      </w:r>
      <w:r w:rsidR="002707C4" w:rsidRPr="00C1603D">
        <w:rPr>
          <w:vertAlign w:val="superscript"/>
        </w:rPr>
        <w:t>138</w:t>
      </w:r>
      <w:r w:rsidR="002707C4" w:rsidRPr="00C1603D">
        <w:t xml:space="preserve"> </w:t>
      </w:r>
      <w:r w:rsidRPr="00C1603D">
        <w:t>asked patients about the duration of their symptoms prior to diagnosis and found that the average duration was 12.8 years (SD 15.3</w:t>
      </w:r>
      <w:r w:rsidR="002707C4" w:rsidRPr="00C1603D">
        <w:t xml:space="preserve"> years</w:t>
      </w:r>
      <w:r w:rsidRPr="00C1603D">
        <w:t>), based on 1584 completed questionnaires. The average duration across the</w:t>
      </w:r>
      <w:r w:rsidR="00CF760B" w:rsidRPr="00C1603D">
        <w:t xml:space="preserve"> sample aged</w:t>
      </w:r>
      <w:r w:rsidRPr="00C1603D">
        <w:t xml:space="preserve"> </w:t>
      </w:r>
      <w:r w:rsidRPr="00C1603D">
        <w:rPr>
          <w:color w:val="00B0F0"/>
        </w:rPr>
        <w:t>‘</w:t>
      </w:r>
      <w:r w:rsidRPr="00C1603D">
        <w:t>&lt;</w:t>
      </w:r>
      <w:r w:rsidR="002707C4" w:rsidRPr="00C1603D">
        <w:t> </w:t>
      </w:r>
      <w:r w:rsidRPr="00C1603D">
        <w:t>18</w:t>
      </w:r>
      <w:r w:rsidRPr="00C1603D">
        <w:rPr>
          <w:color w:val="00B0F0"/>
        </w:rPr>
        <w:t>’</w:t>
      </w:r>
      <w:r w:rsidRPr="00C1603D">
        <w:t xml:space="preserve"> was </w:t>
      </w:r>
      <w:r w:rsidR="00221115" w:rsidRPr="00C1603D">
        <w:t>shorter,</w:t>
      </w:r>
      <w:r w:rsidRPr="00C1603D">
        <w:t xml:space="preserve"> at 3.3 years (SD 3.7</w:t>
      </w:r>
      <w:r w:rsidR="00221115" w:rsidRPr="00C1603D">
        <w:t xml:space="preserve"> years</w:t>
      </w:r>
      <w:r w:rsidRPr="00C1603D">
        <w:t>). As our adult cohort begins at age 18</w:t>
      </w:r>
      <w:r w:rsidR="00221115" w:rsidRPr="00C1603D">
        <w:t xml:space="preserve"> years</w:t>
      </w:r>
      <w:r w:rsidRPr="00C1603D">
        <w:t xml:space="preserve">, we need the time to diagnosis only as an adult. We use these figures to calculate this average duration in patients </w:t>
      </w:r>
      <w:r w:rsidR="00221115" w:rsidRPr="00C1603D">
        <w:t>aged &gt; </w:t>
      </w:r>
      <w:r w:rsidRPr="00C1603D">
        <w:t xml:space="preserve">18 years of 10.9 </w:t>
      </w:r>
      <w:r w:rsidR="00D95C10" w:rsidRPr="00C1603D">
        <w:t>[</w:t>
      </w:r>
      <w:r w:rsidRPr="00C1603D">
        <w:t>(12.8</w:t>
      </w:r>
      <w:r w:rsidR="00D95C10" w:rsidRPr="00C1603D">
        <w:t> </w:t>
      </w:r>
      <w:r w:rsidRPr="00C1603D">
        <w:t>–</w:t>
      </w:r>
      <w:r w:rsidR="00D95C10" w:rsidRPr="00C1603D">
        <w:t> </w:t>
      </w:r>
      <w:r w:rsidRPr="00C1603D">
        <w:t>3.3)</w:t>
      </w:r>
      <w:r w:rsidR="00D95C10" w:rsidRPr="00C1603D">
        <w:t> × </w:t>
      </w:r>
      <w:r w:rsidRPr="00C1603D">
        <w:t>proportion</w:t>
      </w:r>
      <w:r w:rsidR="009403BF" w:rsidRPr="00C1603D">
        <w:t xml:space="preserve"> aged</w:t>
      </w:r>
      <w:r w:rsidRPr="00C1603D">
        <w:t xml:space="preserve"> </w:t>
      </w:r>
      <w:r w:rsidRPr="00C1603D">
        <w:rPr>
          <w:color w:val="00B0F0"/>
        </w:rPr>
        <w:t>&lt; </w:t>
      </w:r>
      <w:r w:rsidRPr="00C1603D">
        <w:t>18</w:t>
      </w:r>
      <w:r w:rsidR="009403BF" w:rsidRPr="00C1603D">
        <w:t xml:space="preserve"> years</w:t>
      </w:r>
      <w:r w:rsidRPr="00C1603D">
        <w:t>)</w:t>
      </w:r>
      <w:r w:rsidR="00D95C10" w:rsidRPr="00C1603D">
        <w:t> × </w:t>
      </w:r>
      <w:r w:rsidRPr="00C1603D">
        <w:t xml:space="preserve">(proportion </w:t>
      </w:r>
      <w:r w:rsidR="009403BF" w:rsidRPr="00C1603D">
        <w:t xml:space="preserve">aged </w:t>
      </w:r>
      <w:r w:rsidRPr="00C1603D">
        <w:rPr>
          <w:color w:val="00B0F0"/>
        </w:rPr>
        <w:t>&gt; </w:t>
      </w:r>
      <w:r w:rsidRPr="00C1603D">
        <w:t>18</w:t>
      </w:r>
      <w:r w:rsidR="009403BF" w:rsidRPr="00C1603D">
        <w:t xml:space="preserve"> years</w:t>
      </w:r>
      <w:r w:rsidR="00D95C10" w:rsidRPr="00C1603D">
        <w:t> ÷ </w:t>
      </w:r>
      <w:r w:rsidRPr="00C1603D">
        <w:t>1584)</w:t>
      </w:r>
      <w:r w:rsidR="00D95C10" w:rsidRPr="00C1603D">
        <w:t>]</w:t>
      </w:r>
      <w:r w:rsidRPr="00C1603D">
        <w:t xml:space="preserve">. Although our </w:t>
      </w:r>
      <w:r w:rsidRPr="00C1603D">
        <w:lastRenderedPageBreak/>
        <w:t>children cohort begins age 10</w:t>
      </w:r>
      <w:r w:rsidR="00CF760B" w:rsidRPr="00C1603D">
        <w:t xml:space="preserve"> years,</w:t>
      </w:r>
      <w:r w:rsidRPr="00C1603D">
        <w:t xml:space="preserve"> it was not reported what proportion of patients were under the age of 10</w:t>
      </w:r>
      <w:r w:rsidR="00E67706" w:rsidRPr="00C1603D">
        <w:t xml:space="preserve"> years,</w:t>
      </w:r>
      <w:r w:rsidRPr="00C1603D">
        <w:t xml:space="preserve"> so the </w:t>
      </w:r>
      <w:r w:rsidRPr="00C1603D">
        <w:rPr>
          <w:color w:val="00B0F0"/>
        </w:rPr>
        <w:t>‘</w:t>
      </w:r>
      <w:r w:rsidRPr="00C1603D">
        <w:t>&lt;</w:t>
      </w:r>
      <w:r w:rsidR="00E67706" w:rsidRPr="00C1603D">
        <w:t> </w:t>
      </w:r>
      <w:r w:rsidRPr="00C1603D">
        <w:t>18</w:t>
      </w:r>
      <w:r w:rsidRPr="00C1603D">
        <w:rPr>
          <w:color w:val="00B0F0"/>
        </w:rPr>
        <w:t>’</w:t>
      </w:r>
      <w:r w:rsidR="00E67706" w:rsidRPr="00C1603D">
        <w:rPr>
          <w:color w:val="00B0F0"/>
        </w:rPr>
        <w:t xml:space="preserve"> years</w:t>
      </w:r>
      <w:r w:rsidRPr="00C1603D">
        <w:t xml:space="preserve"> figure had to be used. We model the average duration as a </w:t>
      </w:r>
      <w:r w:rsidRPr="00C1603D">
        <w:rPr>
          <w:color w:val="00B0F0"/>
        </w:rPr>
        <w:t>log-normal distribution</w:t>
      </w:r>
      <w:r w:rsidRPr="00C1603D">
        <w:t xml:space="preserve"> moment matched to the reported mean and </w:t>
      </w:r>
      <w:r w:rsidR="00E67706" w:rsidRPr="00C1603D">
        <w:t>SE</w:t>
      </w:r>
      <w:r w:rsidRPr="00C1603D">
        <w:t xml:space="preserve"> calculated using SD and sample size. Assuming a constant rate</w:t>
      </w:r>
      <w:r w:rsidR="00774402" w:rsidRPr="00C1603D">
        <w:t>,</w:t>
      </w:r>
      <w:r w:rsidRPr="00C1603D">
        <w:t xml:space="preserve"> λ</w:t>
      </w:r>
      <w:r w:rsidR="00774402" w:rsidRPr="00C1603D">
        <w:t>,</w:t>
      </w:r>
      <w:r w:rsidRPr="00C1603D">
        <w:t xml:space="preserve"> of diagnosis (i.e. an exponential survival model), the rate is the inverse of the sampled duration. This is used to calculate an annual probability of diagnosis by year </w:t>
      </w:r>
      <m:oMath>
        <m:r>
          <w:rPr>
            <w:rFonts w:ascii="Cambria Math" w:hAnsi="Cambria Math" w:cs="Calibri"/>
          </w:rPr>
          <m:t>t</m:t>
        </m:r>
      </m:oMath>
      <w:r w:rsidRPr="00C1603D">
        <w:rPr>
          <w:rFonts w:eastAsia="Yu Mincho"/>
        </w:rPr>
        <w:t xml:space="preserve"> </w:t>
      </w:r>
      <w:r w:rsidRPr="00C1603D">
        <w:t xml:space="preserve">of </w:t>
      </w:r>
      <m:oMath>
        <m:r>
          <w:rPr>
            <w:rFonts w:ascii="Cambria Math" w:hAnsi="Cambria Math" w:cs="Calibri"/>
          </w:rPr>
          <m:t>1 - </m:t>
        </m:r>
        <m:sSup>
          <m:sSupPr>
            <m:ctrlPr>
              <w:rPr>
                <w:rFonts w:ascii="Cambria Math" w:hAnsi="Cambria Math" w:cs="Calibri"/>
                <w:i/>
              </w:rPr>
            </m:ctrlPr>
          </m:sSupPr>
          <m:e>
            <m:r>
              <w:rPr>
                <w:rFonts w:ascii="Cambria Math" w:hAnsi="Cambria Math" w:cs="Calibri"/>
              </w:rPr>
              <m:t>e</m:t>
            </m:r>
          </m:e>
          <m:sup>
            <m:r>
              <w:rPr>
                <w:rFonts w:ascii="Cambria Math" w:hAnsi="Cambria Math" w:cs="Calibri"/>
              </w:rPr>
              <m:t>-λt</m:t>
            </m:r>
          </m:sup>
        </m:sSup>
      </m:oMath>
      <w:r w:rsidRPr="00C1603D">
        <w:rPr>
          <w:rFonts w:eastAsia="Yu Mincho"/>
        </w:rPr>
        <w:t>.</w:t>
      </w:r>
    </w:p>
    <w:p w14:paraId="7656C904" w14:textId="00490180" w:rsidR="008B4DF8" w:rsidRPr="00C1603D" w:rsidRDefault="008B4DF8" w:rsidP="008B4DF8">
      <w:pPr>
        <w:pStyle w:val="54CheadHeadingsHeadingstyles"/>
      </w:pPr>
      <w:bookmarkStart w:id="387" w:name="_Toc87507190"/>
      <w:r w:rsidRPr="00C1603D">
        <w:t xml:space="preserve">Risk of developing osteoporosis, </w:t>
      </w:r>
      <w:r w:rsidR="00DB4E5C" w:rsidRPr="00C1603D">
        <w:t>iron-deficiency anaemia</w:t>
      </w:r>
      <w:r w:rsidRPr="00C1603D">
        <w:t xml:space="preserve"> and </w:t>
      </w:r>
      <w:bookmarkEnd w:id="387"/>
      <w:r w:rsidR="00DB4E5C" w:rsidRPr="00C1603D">
        <w:t>non-Hodgkin lymphoma</w:t>
      </w:r>
    </w:p>
    <w:p w14:paraId="7A6AA685" w14:textId="1756EC87" w:rsidR="008B4DF8" w:rsidRPr="00C1603D" w:rsidRDefault="008B4DF8" w:rsidP="008B4DF8">
      <w:pPr>
        <w:pStyle w:val="602TextfoTextstylesTextstyles"/>
      </w:pPr>
      <w:r w:rsidRPr="00C1603D">
        <w:t>Patients who are diagnosed have a different risk of developing long</w:t>
      </w:r>
      <w:r w:rsidR="00792CC7" w:rsidRPr="00C1603D">
        <w:t>-</w:t>
      </w:r>
      <w:r w:rsidRPr="00C1603D">
        <w:t xml:space="preserve">term complications than patients who are undiagnosed, </w:t>
      </w:r>
      <w:r w:rsidR="000D6E92" w:rsidRPr="00C1603D">
        <w:t>owing</w:t>
      </w:r>
      <w:r w:rsidRPr="00C1603D">
        <w:t xml:space="preserve"> to</w:t>
      </w:r>
      <w:r w:rsidR="000D6E92" w:rsidRPr="00C1603D">
        <w:t xml:space="preserve"> the</w:t>
      </w:r>
      <w:r w:rsidRPr="00C1603D">
        <w:t xml:space="preserve"> greater likelihood of following a gluten-free diet and receiving improved care and medical advice. To inform this</w:t>
      </w:r>
      <w:r w:rsidR="000D6E92" w:rsidRPr="00C1603D">
        <w:t>,</w:t>
      </w:r>
      <w:r w:rsidRPr="00C1603D">
        <w:t xml:space="preserve"> we use rates </w:t>
      </w:r>
      <w:r w:rsidR="000D6E92" w:rsidRPr="00C1603D">
        <w:t>with</w:t>
      </w:r>
      <w:r w:rsidRPr="00C1603D">
        <w:t xml:space="preserve"> non-CD patients estimated using CPRD data (full details </w:t>
      </w:r>
      <w:r w:rsidR="000D6E92" w:rsidRPr="00C1603D">
        <w:t xml:space="preserve">are </w:t>
      </w:r>
      <w:r w:rsidRPr="00C1603D">
        <w:t xml:space="preserve">in </w:t>
      </w:r>
      <w:r w:rsidR="000D6E92" w:rsidRPr="00C1603D">
        <w:rPr>
          <w:i/>
          <w:iCs/>
        </w:rPr>
        <w:t xml:space="preserve">Report </w:t>
      </w:r>
      <w:r w:rsidRPr="00C1603D">
        <w:rPr>
          <w:i/>
          <w:iCs/>
        </w:rPr>
        <w:t xml:space="preserve">Supplementary </w:t>
      </w:r>
      <w:r w:rsidR="000D6E92" w:rsidRPr="00C1603D">
        <w:rPr>
          <w:i/>
          <w:iCs/>
        </w:rPr>
        <w:t>Material 1</w:t>
      </w:r>
      <w:r w:rsidR="00830D76" w:rsidRPr="00C1603D">
        <w:t>,</w:t>
      </w:r>
      <w:r w:rsidR="000D6E92" w:rsidRPr="00C1603D">
        <w:t xml:space="preserve"> </w:t>
      </w:r>
      <w:r w:rsidR="00830D76" w:rsidRPr="00C1603D">
        <w:t>c</w:t>
      </w:r>
      <w:r w:rsidRPr="00C1603D">
        <w:t xml:space="preserve">hapter 8) and differences in rates between this general population and patients who are diagnosed </w:t>
      </w:r>
      <w:r w:rsidR="00830D76" w:rsidRPr="00C1603D">
        <w:t xml:space="preserve">with </w:t>
      </w:r>
      <w:r w:rsidRPr="00C1603D">
        <w:t>CD and</w:t>
      </w:r>
      <w:r w:rsidR="00830D76" w:rsidRPr="00C1603D">
        <w:t xml:space="preserve"> those</w:t>
      </w:r>
      <w:r w:rsidRPr="00C1603D">
        <w:t xml:space="preserve"> undiagnosed. Evidence on these differences primarily comes from the NICE 2015 model.</w:t>
      </w:r>
      <w:r w:rsidR="00BC22FA" w:rsidRPr="00C1603D">
        <w:rPr>
          <w:vertAlign w:val="superscript"/>
        </w:rPr>
        <w:t>198</w:t>
      </w:r>
      <w:r w:rsidRPr="00C1603D">
        <w:t xml:space="preserve"> In each case, the literature was searched for more recent or higher</w:t>
      </w:r>
      <w:r w:rsidR="00BC22FA" w:rsidRPr="00C1603D">
        <w:t>-</w:t>
      </w:r>
      <w:r w:rsidRPr="00C1603D">
        <w:t>quality studies</w:t>
      </w:r>
      <w:r w:rsidR="00BC22FA" w:rsidRPr="00C1603D">
        <w:t>,</w:t>
      </w:r>
      <w:r w:rsidRPr="00C1603D">
        <w:t xml:space="preserve"> but none </w:t>
      </w:r>
      <w:r w:rsidR="00BC22FA" w:rsidRPr="00C1603D">
        <w:t>was</w:t>
      </w:r>
      <w:r w:rsidRPr="00C1603D">
        <w:t xml:space="preserve"> identified.</w:t>
      </w:r>
    </w:p>
    <w:p w14:paraId="6883371F" w14:textId="0FA120A8" w:rsidR="008B4DF8" w:rsidRPr="00C1603D" w:rsidRDefault="00543BA8" w:rsidP="008B4DF8">
      <w:pPr>
        <w:pStyle w:val="602TextfoTextstylesTextstyles"/>
        <w:rPr>
          <w:color w:val="auto"/>
          <w:vertAlign w:val="superscript"/>
        </w:rPr>
      </w:pPr>
      <w:r w:rsidRPr="00C1603D">
        <w:t>T</w:t>
      </w:r>
      <w:r w:rsidR="008B4DF8" w:rsidRPr="00C1603D">
        <w:t xml:space="preserve">he </w:t>
      </w:r>
      <w:r w:rsidR="008B4DF8" w:rsidRPr="00C1603D">
        <w:rPr>
          <w:color w:val="auto"/>
        </w:rPr>
        <w:t>NICE model</w:t>
      </w:r>
      <w:r w:rsidR="00BC22FA" w:rsidRPr="00C1603D">
        <w:rPr>
          <w:color w:val="auto"/>
          <w:vertAlign w:val="superscript"/>
        </w:rPr>
        <w:t>198</w:t>
      </w:r>
      <w:r w:rsidR="008B4DF8" w:rsidRPr="00C1603D">
        <w:rPr>
          <w:color w:val="auto"/>
        </w:rPr>
        <w:t xml:space="preserve"> based </w:t>
      </w:r>
      <w:r w:rsidRPr="00C1603D">
        <w:rPr>
          <w:color w:val="auto"/>
        </w:rPr>
        <w:t xml:space="preserve">the risk of developing osteoporosis when following a gluten-free diet </w:t>
      </w:r>
      <w:r w:rsidR="008B4DF8" w:rsidRPr="00C1603D">
        <w:rPr>
          <w:color w:val="auto"/>
        </w:rPr>
        <w:t>on Swedish data from</w:t>
      </w:r>
      <w:r w:rsidR="008B4DF8" w:rsidRPr="00C1603D">
        <w:rPr>
          <w:color w:val="auto"/>
          <w:lang w:eastAsia="zh-CN"/>
        </w:rPr>
        <w:t xml:space="preserve"> Ludvigsson</w:t>
      </w:r>
      <w:r w:rsidR="008B4DF8" w:rsidRPr="00C1603D">
        <w:rPr>
          <w:i/>
          <w:color w:val="auto"/>
          <w:lang w:eastAsia="zh-CN"/>
        </w:rPr>
        <w:t xml:space="preserve"> et al</w:t>
      </w:r>
      <w:r w:rsidR="008B4DF8" w:rsidRPr="00C1603D">
        <w:rPr>
          <w:color w:val="auto"/>
          <w:lang w:eastAsia="zh-CN"/>
        </w:rPr>
        <w:t>.,</w:t>
      </w:r>
      <w:r w:rsidR="008B4DF8" w:rsidRPr="00C1603D">
        <w:rPr>
          <w:noProof/>
          <w:color w:val="auto"/>
          <w:vertAlign w:val="superscript"/>
          <w:lang w:eastAsia="zh-CN"/>
        </w:rPr>
        <w:t>242</w:t>
      </w:r>
      <w:r w:rsidR="008B4DF8" w:rsidRPr="00C1603D">
        <w:rPr>
          <w:color w:val="auto"/>
          <w:lang w:eastAsia="zh-CN"/>
        </w:rPr>
        <w:t xml:space="preserve"> </w:t>
      </w:r>
      <w:r w:rsidRPr="00C1603D">
        <w:rPr>
          <w:color w:val="auto"/>
          <w:lang w:eastAsia="zh-CN"/>
        </w:rPr>
        <w:t xml:space="preserve">which </w:t>
      </w:r>
      <w:r w:rsidR="00633FF3" w:rsidRPr="00C1603D">
        <w:rPr>
          <w:color w:val="auto"/>
          <w:lang w:eastAsia="zh-CN"/>
        </w:rPr>
        <w:t>comprised</w:t>
      </w:r>
      <w:r w:rsidRPr="00C1603D">
        <w:rPr>
          <w:color w:val="auto"/>
          <w:lang w:eastAsia="zh-CN"/>
        </w:rPr>
        <w:t xml:space="preserve"> </w:t>
      </w:r>
      <w:r w:rsidR="008B4DF8" w:rsidRPr="00C1603D">
        <w:rPr>
          <w:color w:val="auto"/>
        </w:rPr>
        <w:t>&gt; 13</w:t>
      </w:r>
      <w:r w:rsidR="00BC22FA" w:rsidRPr="00C1603D">
        <w:rPr>
          <w:color w:val="auto"/>
        </w:rPr>
        <w:t>,</w:t>
      </w:r>
      <w:r w:rsidR="008B4DF8" w:rsidRPr="00C1603D">
        <w:rPr>
          <w:color w:val="auto"/>
        </w:rPr>
        <w:t>000 people diagnosed with CD</w:t>
      </w:r>
      <w:r w:rsidR="00BC22FA" w:rsidRPr="00C1603D">
        <w:rPr>
          <w:color w:val="auto"/>
        </w:rPr>
        <w:t>,</w:t>
      </w:r>
      <w:r w:rsidR="008B4DF8" w:rsidRPr="00C1603D">
        <w:rPr>
          <w:color w:val="auto"/>
        </w:rPr>
        <w:t xml:space="preserve"> compared </w:t>
      </w:r>
      <w:r w:rsidR="00BC22FA" w:rsidRPr="00C1603D">
        <w:rPr>
          <w:color w:val="auto"/>
        </w:rPr>
        <w:t>with</w:t>
      </w:r>
      <w:r w:rsidR="008B4DF8" w:rsidRPr="00C1603D">
        <w:rPr>
          <w:color w:val="auto"/>
        </w:rPr>
        <w:t xml:space="preserve"> a matched control group. This study did not distinguish between diagnosed</w:t>
      </w:r>
      <w:r w:rsidR="00633FF3" w:rsidRPr="00C1603D">
        <w:rPr>
          <w:color w:val="auto"/>
        </w:rPr>
        <w:t xml:space="preserve"> and </w:t>
      </w:r>
      <w:r w:rsidR="008B4DF8" w:rsidRPr="00C1603D">
        <w:rPr>
          <w:color w:val="auto"/>
        </w:rPr>
        <w:t>on</w:t>
      </w:r>
      <w:r w:rsidR="00633FF3" w:rsidRPr="00C1603D">
        <w:rPr>
          <w:color w:val="auto"/>
        </w:rPr>
        <w:t xml:space="preserve"> a</w:t>
      </w:r>
      <w:r w:rsidR="008B4DF8" w:rsidRPr="00C1603D">
        <w:rPr>
          <w:color w:val="auto"/>
        </w:rPr>
        <w:t xml:space="preserve"> gluten-free diet and diagnosed but not on </w:t>
      </w:r>
      <w:r w:rsidR="00633FF3" w:rsidRPr="00C1603D">
        <w:rPr>
          <w:color w:val="auto"/>
        </w:rPr>
        <w:t xml:space="preserve">a </w:t>
      </w:r>
      <w:r w:rsidR="008B4DF8" w:rsidRPr="00C1603D">
        <w:rPr>
          <w:color w:val="auto"/>
        </w:rPr>
        <w:t>gluten-free diet, so</w:t>
      </w:r>
      <w:r w:rsidR="00633FF3" w:rsidRPr="00C1603D">
        <w:rPr>
          <w:color w:val="auto"/>
        </w:rPr>
        <w:t xml:space="preserve"> it</w:t>
      </w:r>
      <w:r w:rsidR="008B4DF8" w:rsidRPr="00C1603D">
        <w:rPr>
          <w:color w:val="auto"/>
        </w:rPr>
        <w:t xml:space="preserve"> represents our merged diagnosed CD state. </w:t>
      </w:r>
      <w:commentRangeStart w:id="388"/>
      <w:r w:rsidR="008B4DF8" w:rsidRPr="00C1603D">
        <w:rPr>
          <w:color w:val="auto"/>
        </w:rPr>
        <w:t>The study reported an odds ratio of fractures of any type in the diagnosed CD population</w:t>
      </w:r>
      <w:r w:rsidR="00DD1D37" w:rsidRPr="00C1603D">
        <w:rPr>
          <w:color w:val="auto"/>
        </w:rPr>
        <w:t>,</w:t>
      </w:r>
      <w:r w:rsidR="008B4DF8" w:rsidRPr="00C1603D">
        <w:rPr>
          <w:color w:val="auto"/>
        </w:rPr>
        <w:t xml:space="preserve"> compared </w:t>
      </w:r>
      <w:r w:rsidR="00DD1D37" w:rsidRPr="00C1603D">
        <w:rPr>
          <w:color w:val="auto"/>
        </w:rPr>
        <w:t>with</w:t>
      </w:r>
      <w:r w:rsidR="008B4DF8" w:rsidRPr="00C1603D">
        <w:rPr>
          <w:color w:val="auto"/>
        </w:rPr>
        <w:t xml:space="preserve"> the controls</w:t>
      </w:r>
      <w:r w:rsidR="00DD1D37" w:rsidRPr="00C1603D">
        <w:rPr>
          <w:color w:val="auto"/>
        </w:rPr>
        <w:t>,</w:t>
      </w:r>
      <w:r w:rsidR="008B4DF8" w:rsidRPr="00C1603D">
        <w:rPr>
          <w:color w:val="auto"/>
        </w:rPr>
        <w:t xml:space="preserve"> of 1.40 (</w:t>
      </w:r>
      <w:r w:rsidR="00DD1D37" w:rsidRPr="00C1603D">
        <w:rPr>
          <w:color w:val="auto"/>
        </w:rPr>
        <w:t xml:space="preserve">95% CI </w:t>
      </w:r>
      <w:r w:rsidR="008B4DF8" w:rsidRPr="00C1603D">
        <w:rPr>
          <w:color w:val="auto"/>
        </w:rPr>
        <w:t>1.30</w:t>
      </w:r>
      <w:r w:rsidR="00DD1D37" w:rsidRPr="00C1603D">
        <w:rPr>
          <w:color w:val="auto"/>
        </w:rPr>
        <w:t xml:space="preserve"> to</w:t>
      </w:r>
      <w:r w:rsidR="008B4DF8" w:rsidRPr="00C1603D">
        <w:rPr>
          <w:color w:val="auto"/>
        </w:rPr>
        <w:t xml:space="preserve"> 1.50). The NICE model</w:t>
      </w:r>
      <w:r w:rsidR="00DD1D37" w:rsidRPr="00C1603D">
        <w:rPr>
          <w:color w:val="auto"/>
          <w:vertAlign w:val="superscript"/>
        </w:rPr>
        <w:t>198</w:t>
      </w:r>
      <w:r w:rsidR="008B4DF8" w:rsidRPr="00C1603D">
        <w:rPr>
          <w:color w:val="auto"/>
        </w:rPr>
        <w:t xml:space="preserve"> based the risk of developing osteoporosis when not following a gluten-free diet on a study by Godfrey</w:t>
      </w:r>
      <w:r w:rsidR="008B4DF8" w:rsidRPr="00C1603D">
        <w:rPr>
          <w:i/>
          <w:color w:val="auto"/>
        </w:rPr>
        <w:t xml:space="preserve"> et al</w:t>
      </w:r>
      <w:r w:rsidR="008B4DF8" w:rsidRPr="00C1603D">
        <w:rPr>
          <w:color w:val="auto"/>
        </w:rPr>
        <w:t>.</w:t>
      </w:r>
      <w:r w:rsidR="00DD1D37" w:rsidRPr="00C1603D">
        <w:rPr>
          <w:color w:val="auto"/>
        </w:rPr>
        <w:t>,</w:t>
      </w:r>
      <w:r w:rsidR="008B4DF8" w:rsidRPr="00C1603D">
        <w:rPr>
          <w:noProof/>
          <w:color w:val="auto"/>
          <w:vertAlign w:val="superscript"/>
        </w:rPr>
        <w:t>243</w:t>
      </w:r>
      <w:r w:rsidR="008B4DF8" w:rsidRPr="00C1603D">
        <w:rPr>
          <w:color w:val="auto"/>
        </w:rPr>
        <w:t xml:space="preserve"> who tested blood samples for CD and compared the medical records of 129 US people with undiagnosed positive coeliac serology with </w:t>
      </w:r>
      <w:r w:rsidR="00DD1D37" w:rsidRPr="00C1603D">
        <w:rPr>
          <w:color w:val="auto"/>
        </w:rPr>
        <w:t xml:space="preserve">those of </w:t>
      </w:r>
      <w:r w:rsidR="008B4DF8" w:rsidRPr="00C1603D">
        <w:rPr>
          <w:color w:val="auto"/>
        </w:rPr>
        <w:t>seronegative individuals. They found an odds ratio for developing osteoporosis of 2.59 (</w:t>
      </w:r>
      <w:r w:rsidR="00DD1D37" w:rsidRPr="00C1603D">
        <w:rPr>
          <w:color w:val="auto"/>
        </w:rPr>
        <w:t xml:space="preserve">95% CI </w:t>
      </w:r>
      <w:r w:rsidR="008B4DF8" w:rsidRPr="00C1603D">
        <w:rPr>
          <w:color w:val="auto"/>
        </w:rPr>
        <w:t xml:space="preserve">1.32 </w:t>
      </w:r>
      <w:r w:rsidR="00DD1D37" w:rsidRPr="00C1603D">
        <w:rPr>
          <w:color w:val="auto"/>
        </w:rPr>
        <w:t>to</w:t>
      </w:r>
      <w:r w:rsidR="008B4DF8" w:rsidRPr="00C1603D">
        <w:rPr>
          <w:color w:val="auto"/>
        </w:rPr>
        <w:t xml:space="preserve"> 5.09) in the undiagnosed CD group</w:t>
      </w:r>
      <w:commentRangeEnd w:id="388"/>
      <w:r w:rsidR="009971C1" w:rsidRPr="00C1603D">
        <w:rPr>
          <w:rFonts w:ascii="Times New Roman" w:hAnsi="Times New Roman" w:cs="Times New Roman"/>
          <w:color w:val="auto"/>
          <w:lang w:val="en-US"/>
        </w:rPr>
        <w:commentReference w:id="388"/>
      </w:r>
      <w:r w:rsidR="00DD1D37" w:rsidRPr="00C1603D">
        <w:rPr>
          <w:color w:val="auto"/>
        </w:rPr>
        <w:t>,</w:t>
      </w:r>
      <w:r w:rsidR="008B4DF8" w:rsidRPr="00C1603D">
        <w:rPr>
          <w:color w:val="auto"/>
        </w:rPr>
        <w:t xml:space="preserve"> compared </w:t>
      </w:r>
      <w:r w:rsidR="00DD1D37" w:rsidRPr="00C1603D">
        <w:rPr>
          <w:color w:val="auto"/>
        </w:rPr>
        <w:t>with</w:t>
      </w:r>
      <w:r w:rsidR="008B4DF8" w:rsidRPr="00C1603D">
        <w:rPr>
          <w:color w:val="auto"/>
        </w:rPr>
        <w:t xml:space="preserve"> those without CD, and this is the ratio we used in our model. This finding disagreed with Ludvigsson</w:t>
      </w:r>
      <w:r w:rsidR="008B4DF8" w:rsidRPr="00C1603D">
        <w:rPr>
          <w:i/>
          <w:color w:val="auto"/>
        </w:rPr>
        <w:t xml:space="preserve"> et al</w:t>
      </w:r>
      <w:r w:rsidR="008B4DF8" w:rsidRPr="00C1603D">
        <w:rPr>
          <w:color w:val="auto"/>
        </w:rPr>
        <w:t>.,</w:t>
      </w:r>
      <w:r w:rsidR="00DD1D37" w:rsidRPr="00C1603D">
        <w:rPr>
          <w:color w:val="auto"/>
          <w:vertAlign w:val="superscript"/>
        </w:rPr>
        <w:t>242</w:t>
      </w:r>
      <w:r w:rsidR="008B4DF8" w:rsidRPr="00C1603D">
        <w:rPr>
          <w:color w:val="auto"/>
        </w:rPr>
        <w:t xml:space="preserve"> which found no association between date of diagnosis, used as a proxy for initiating gluten-free diet, and risk of osteoporosis. However, Ludvigsson</w:t>
      </w:r>
      <w:r w:rsidR="008B4DF8" w:rsidRPr="00C1603D">
        <w:rPr>
          <w:i/>
          <w:color w:val="auto"/>
        </w:rPr>
        <w:t xml:space="preserve"> et al</w:t>
      </w:r>
      <w:r w:rsidR="008B4DF8" w:rsidRPr="00C1603D">
        <w:rPr>
          <w:color w:val="auto"/>
        </w:rPr>
        <w:t>.</w:t>
      </w:r>
      <w:r w:rsidR="00372A5D" w:rsidRPr="00C1603D">
        <w:rPr>
          <w:color w:val="auto"/>
          <w:vertAlign w:val="superscript"/>
        </w:rPr>
        <w:t>242</w:t>
      </w:r>
      <w:r w:rsidR="008B4DF8" w:rsidRPr="00C1603D">
        <w:rPr>
          <w:color w:val="auto"/>
        </w:rPr>
        <w:t xml:space="preserve"> did not have data on adherence to gluten-free diet in either diagnosed or undiagnosed states</w:t>
      </w:r>
      <w:r w:rsidR="00372A5D" w:rsidRPr="00C1603D">
        <w:rPr>
          <w:color w:val="auto"/>
        </w:rPr>
        <w:t>, and</w:t>
      </w:r>
      <w:r w:rsidR="008B4DF8" w:rsidRPr="00C1603D">
        <w:rPr>
          <w:color w:val="auto"/>
        </w:rPr>
        <w:t xml:space="preserve"> so is confounded in comparison to Godfrey</w:t>
      </w:r>
      <w:r w:rsidR="008B4DF8" w:rsidRPr="00C1603D">
        <w:rPr>
          <w:i/>
          <w:color w:val="auto"/>
        </w:rPr>
        <w:t xml:space="preserve"> et al</w:t>
      </w:r>
      <w:r w:rsidR="008B4DF8" w:rsidRPr="00C1603D">
        <w:rPr>
          <w:color w:val="auto"/>
        </w:rPr>
        <w:t>.</w:t>
      </w:r>
      <w:r w:rsidR="00372A5D" w:rsidRPr="00C1603D">
        <w:rPr>
          <w:color w:val="auto"/>
          <w:vertAlign w:val="superscript"/>
        </w:rPr>
        <w:t>243</w:t>
      </w:r>
    </w:p>
    <w:p w14:paraId="0CE69561" w14:textId="03795871" w:rsidR="008B4DF8" w:rsidRPr="00C1603D" w:rsidRDefault="008B4DF8" w:rsidP="008B4DF8">
      <w:pPr>
        <w:pStyle w:val="602TextfoTextstylesTextstyles"/>
        <w:rPr>
          <w:lang w:eastAsia="zh-CN"/>
        </w:rPr>
      </w:pPr>
      <w:r w:rsidRPr="00C1603D">
        <w:rPr>
          <w:lang w:eastAsia="zh-CN"/>
        </w:rPr>
        <w:t>The NICE model</w:t>
      </w:r>
      <w:r w:rsidR="009971C1" w:rsidRPr="00C1603D">
        <w:rPr>
          <w:vertAlign w:val="superscript"/>
          <w:lang w:eastAsia="zh-CN"/>
        </w:rPr>
        <w:t>198</w:t>
      </w:r>
      <w:r w:rsidRPr="00C1603D">
        <w:rPr>
          <w:lang w:eastAsia="zh-CN"/>
        </w:rPr>
        <w:t xml:space="preserve"> based the </w:t>
      </w:r>
      <w:r w:rsidRPr="00C1603D">
        <w:t xml:space="preserve">probability of developing NHL from CD not on a gluten-free diet on a study of 1968 previously undiagnosed patients who were subsequently diagnosed with CD at 20 Italian gastroenterology referral </w:t>
      </w:r>
      <w:r w:rsidR="009971C1" w:rsidRPr="00C1603D">
        <w:t>c</w:t>
      </w:r>
      <w:r w:rsidRPr="00C1603D">
        <w:t>entres.</w:t>
      </w:r>
      <w:r w:rsidRPr="00C1603D">
        <w:rPr>
          <w:noProof/>
          <w:vertAlign w:val="superscript"/>
          <w:lang w:eastAsia="zh-CN"/>
        </w:rPr>
        <w:t>244</w:t>
      </w:r>
      <w:r w:rsidRPr="00C1603D">
        <w:t xml:space="preserve"> The incidence ratio of NHL in the population with undiagnosed CD</w:t>
      </w:r>
      <w:r w:rsidR="00B54EBB" w:rsidRPr="00C1603D">
        <w:t>,</w:t>
      </w:r>
      <w:r w:rsidRPr="00C1603D">
        <w:t xml:space="preserve"> compared </w:t>
      </w:r>
      <w:r w:rsidR="00B54EBB" w:rsidRPr="00C1603D">
        <w:t>with</w:t>
      </w:r>
      <w:r w:rsidRPr="00C1603D">
        <w:t xml:space="preserve"> the general population</w:t>
      </w:r>
      <w:r w:rsidR="00B54EBB" w:rsidRPr="00C1603D">
        <w:t>,</w:t>
      </w:r>
      <w:r w:rsidRPr="00C1603D">
        <w:t xml:space="preserve"> was found to be 4.7 (</w:t>
      </w:r>
      <w:r w:rsidR="00B54EBB" w:rsidRPr="00C1603D">
        <w:t xml:space="preserve">95% CI </w:t>
      </w:r>
      <w:r w:rsidRPr="00C1603D">
        <w:t>2.</w:t>
      </w:r>
      <w:r w:rsidRPr="00C1603D">
        <w:rPr>
          <w:color w:val="auto"/>
        </w:rPr>
        <w:t xml:space="preserve">9 </w:t>
      </w:r>
      <w:r w:rsidR="00B54EBB" w:rsidRPr="00C1603D">
        <w:rPr>
          <w:color w:val="auto"/>
        </w:rPr>
        <w:t>to</w:t>
      </w:r>
      <w:r w:rsidRPr="00C1603D">
        <w:rPr>
          <w:color w:val="auto"/>
        </w:rPr>
        <w:t xml:space="preserve"> 7.3). The incidence ratio of NHL in the population with diagnosed CD (3.28</w:t>
      </w:r>
      <w:r w:rsidR="007F3358" w:rsidRPr="00C1603D">
        <w:rPr>
          <w:color w:val="auto"/>
        </w:rPr>
        <w:t>, 95% CI</w:t>
      </w:r>
      <w:r w:rsidRPr="00C1603D">
        <w:rPr>
          <w:color w:val="auto"/>
        </w:rPr>
        <w:t xml:space="preserve"> 1.49 </w:t>
      </w:r>
      <w:r w:rsidR="007F3358" w:rsidRPr="00C1603D">
        <w:rPr>
          <w:color w:val="auto"/>
        </w:rPr>
        <w:t>to</w:t>
      </w:r>
      <w:r w:rsidRPr="00C1603D">
        <w:rPr>
          <w:color w:val="auto"/>
        </w:rPr>
        <w:t xml:space="preserve"> 6.28)</w:t>
      </w:r>
      <w:r w:rsidR="007F3358" w:rsidRPr="00C1603D">
        <w:rPr>
          <w:color w:val="auto"/>
        </w:rPr>
        <w:t>,</w:t>
      </w:r>
      <w:r w:rsidRPr="00C1603D">
        <w:rPr>
          <w:color w:val="auto"/>
        </w:rPr>
        <w:t xml:space="preserve"> relative to the general population</w:t>
      </w:r>
      <w:r w:rsidR="007F3358" w:rsidRPr="00C1603D">
        <w:rPr>
          <w:color w:val="auto"/>
        </w:rPr>
        <w:t>,</w:t>
      </w:r>
      <w:r w:rsidRPr="00C1603D">
        <w:rPr>
          <w:color w:val="auto"/>
        </w:rPr>
        <w:t xml:space="preserve"> was based on an </w:t>
      </w:r>
      <w:r w:rsidRPr="00C1603D">
        <w:rPr>
          <w:color w:val="auto"/>
          <w:lang w:eastAsia="zh-CN"/>
        </w:rPr>
        <w:t xml:space="preserve">analysis of a cohort of patients with diagnosed CD from </w:t>
      </w:r>
      <w:r w:rsidRPr="00C1603D">
        <w:rPr>
          <w:lang w:eastAsia="zh-CN"/>
        </w:rPr>
        <w:t>a linked statistical database of hospital and mortality data in an area in southern England.</w:t>
      </w:r>
      <w:r w:rsidRPr="00C1603D">
        <w:rPr>
          <w:noProof/>
          <w:vertAlign w:val="superscript"/>
          <w:lang w:eastAsia="zh-CN"/>
        </w:rPr>
        <w:t>245</w:t>
      </w:r>
    </w:p>
    <w:p w14:paraId="04FD5A0C" w14:textId="28F1B7A7" w:rsidR="008B4DF8" w:rsidRPr="00C1603D" w:rsidRDefault="008B4DF8" w:rsidP="008B4DF8">
      <w:pPr>
        <w:pStyle w:val="602TextfoTextstylesTextstyles"/>
      </w:pPr>
      <w:r w:rsidRPr="00C1603D">
        <w:rPr>
          <w:lang w:eastAsia="zh-CN"/>
        </w:rPr>
        <w:t>Normal distributions were used to model the log odds ratios and incidence ratios of osteoporosis and NHL, respectively (i.e. log</w:t>
      </w:r>
      <w:r w:rsidR="00D8216D" w:rsidRPr="00C1603D">
        <w:rPr>
          <w:lang w:eastAsia="zh-CN"/>
        </w:rPr>
        <w:t>-</w:t>
      </w:r>
      <w:r w:rsidRPr="00C1603D">
        <w:rPr>
          <w:lang w:eastAsia="zh-CN"/>
        </w:rPr>
        <w:t xml:space="preserve">normal distributions). We added these log ratios to the log of rates </w:t>
      </w:r>
      <w:r w:rsidRPr="00C1603D">
        <w:t xml:space="preserve">of developing long-term conditions </w:t>
      </w:r>
      <w:r w:rsidR="00C1791C" w:rsidRPr="00C1603D">
        <w:t>among</w:t>
      </w:r>
      <w:r w:rsidRPr="00C1603D">
        <w:t xml:space="preserve"> control (i.e. non-CD) patients from our CPRD analysis (</w:t>
      </w:r>
      <w:r w:rsidRPr="00C1603D">
        <w:rPr>
          <w:i/>
          <w:color w:val="FF0000"/>
        </w:rPr>
        <w:t xml:space="preserve">Table </w:t>
      </w:r>
      <w:r w:rsidRPr="00C1603D">
        <w:rPr>
          <w:i/>
          <w:noProof/>
          <w:color w:val="FF0000"/>
        </w:rPr>
        <w:t>1</w:t>
      </w:r>
      <w:r w:rsidR="008A6568" w:rsidRPr="00C1603D">
        <w:rPr>
          <w:i/>
          <w:noProof/>
          <w:color w:val="FF0000"/>
        </w:rPr>
        <w:t>6</w:t>
      </w:r>
      <w:r w:rsidRPr="00C1603D">
        <w:t xml:space="preserve">). </w:t>
      </w:r>
      <w:r w:rsidRPr="00C1603D">
        <w:rPr>
          <w:rFonts w:cs="Arial"/>
        </w:rPr>
        <w:t>Rates</w:t>
      </w:r>
      <w:r w:rsidRPr="00C1603D">
        <w:t xml:space="preserve"> were calculated from the number of outcome events divided by the person-time at risk stratified by decile of age at index date (date of CD diagnosis in matched case) for osteoporosis and IDA. For NHL we grouped patients </w:t>
      </w:r>
      <w:r w:rsidR="00C1791C" w:rsidRPr="00C1603D">
        <w:t>aged &lt; </w:t>
      </w:r>
      <w:r w:rsidRPr="00C1603D">
        <w:t>18</w:t>
      </w:r>
      <w:r w:rsidR="00C1791C" w:rsidRPr="00C1603D">
        <w:t xml:space="preserve"> years</w:t>
      </w:r>
      <w:r w:rsidRPr="00C1603D">
        <w:t xml:space="preserve"> and</w:t>
      </w:r>
      <w:r w:rsidR="00C1791C" w:rsidRPr="00C1603D">
        <w:t xml:space="preserve"> those</w:t>
      </w:r>
      <w:r w:rsidRPr="00C1603D">
        <w:t xml:space="preserve"> aged </w:t>
      </w:r>
      <w:r w:rsidR="00C1791C" w:rsidRPr="00C1603D">
        <w:t>≥ </w:t>
      </w:r>
      <w:r w:rsidRPr="00C1603D">
        <w:t>18</w:t>
      </w:r>
      <w:r w:rsidR="00C1791C" w:rsidRPr="00C1603D">
        <w:t xml:space="preserve"> years</w:t>
      </w:r>
      <w:r w:rsidRPr="00C1603D">
        <w:t xml:space="preserve"> </w:t>
      </w:r>
      <w:r w:rsidR="00C1791C" w:rsidRPr="00C1603D">
        <w:t>because of</w:t>
      </w:r>
      <w:r w:rsidRPr="00C1603D">
        <w:t xml:space="preserve"> limited sample size. Time at risk was calculated from </w:t>
      </w:r>
      <w:r w:rsidR="00C1791C" w:rsidRPr="00C1603D">
        <w:t>a</w:t>
      </w:r>
      <w:r w:rsidRPr="00C1603D">
        <w:t xml:space="preserve"> patient</w:t>
      </w:r>
      <w:r w:rsidR="00C1791C" w:rsidRPr="00C1603D">
        <w:t>’</w:t>
      </w:r>
      <w:r w:rsidRPr="00C1603D">
        <w:t xml:space="preserve">s index date to date of outcome event, date of death or the end date of HES coverage. </w:t>
      </w:r>
      <w:commentRangeStart w:id="389"/>
      <w:r w:rsidRPr="00C1603D">
        <w:t xml:space="preserve">The rates </w:t>
      </w:r>
      <w:r w:rsidR="009F5E28" w:rsidRPr="00C1603D">
        <w:t xml:space="preserve">were </w:t>
      </w:r>
      <w:r w:rsidRPr="00C1603D">
        <w:t xml:space="preserve">used to calculate </w:t>
      </w:r>
      <w:r w:rsidR="009F5E28" w:rsidRPr="00C1603D">
        <w:t xml:space="preserve">the </w:t>
      </w:r>
      <w:r w:rsidRPr="00C1603D">
        <w:t>annual probabilities of developing the conditions</w:t>
      </w:r>
      <w:r w:rsidR="009F5E28" w:rsidRPr="00C1603D">
        <w:t>,</w:t>
      </w:r>
      <w:r w:rsidRPr="00C1603D">
        <w:t xml:space="preserve"> with uncertainty based on a log-normal distribution o</w:t>
      </w:r>
      <w:r w:rsidR="009F5E28" w:rsidRPr="00C1603D">
        <w:t>f</w:t>
      </w:r>
      <w:r w:rsidRPr="00C1603D">
        <w:t xml:space="preserve"> the rates mapped to a log scale, consistent with the ratios for osteoporosis and NHL.</w:t>
      </w:r>
      <w:commentRangeEnd w:id="389"/>
      <w:r w:rsidR="009F5E28" w:rsidRPr="00C1603D">
        <w:rPr>
          <w:rFonts w:ascii="Times New Roman" w:hAnsi="Times New Roman" w:cs="Times New Roman"/>
          <w:color w:val="auto"/>
          <w:lang w:val="en-US"/>
        </w:rPr>
        <w:commentReference w:id="389"/>
      </w:r>
    </w:p>
    <w:p w14:paraId="06742D7E" w14:textId="3D88C2C6" w:rsidR="008B4DF8" w:rsidRPr="00C1603D" w:rsidRDefault="008B4DF8" w:rsidP="008B4DF8">
      <w:pPr>
        <w:pStyle w:val="70TablelegendTablesTableFigureBoxstyles"/>
      </w:pPr>
      <w:bookmarkStart w:id="390" w:name="_Toc99720726"/>
      <w:r w:rsidRPr="00C1603D">
        <w:rPr>
          <w:b/>
        </w:rPr>
        <w:t>TABLE 1</w:t>
      </w:r>
      <w:r w:rsidR="00032460" w:rsidRPr="00C1603D">
        <w:rPr>
          <w:b/>
        </w:rPr>
        <w:t>6</w:t>
      </w:r>
      <w:r w:rsidRPr="00C1603D">
        <w:rPr>
          <w:b/>
        </w:rPr>
        <w:t> </w:t>
      </w:r>
      <w:r w:rsidRPr="00C1603D">
        <w:t xml:space="preserve">Age-stratified rates per 1000 (95% CI) </w:t>
      </w:r>
      <w:r w:rsidR="00C1791C" w:rsidRPr="00C1603D">
        <w:t>among</w:t>
      </w:r>
      <w:r w:rsidRPr="00C1603D">
        <w:t xml:space="preserve"> non-CD controls from CPRD analysis</w:t>
      </w:r>
      <w:bookmarkEnd w:id="390"/>
    </w:p>
    <w:tbl>
      <w:tblPr>
        <w:tblW w:w="0" w:type="auto"/>
        <w:tblCellMar>
          <w:top w:w="40" w:type="dxa"/>
          <w:left w:w="60" w:type="dxa"/>
          <w:bottom w:w="40" w:type="dxa"/>
          <w:right w:w="60" w:type="dxa"/>
        </w:tblCellMar>
        <w:tblLook w:val="04A0" w:firstRow="1" w:lastRow="0" w:firstColumn="1" w:lastColumn="0" w:noHBand="0" w:noVBand="1"/>
      </w:tblPr>
      <w:tblGrid>
        <w:gridCol w:w="1459"/>
        <w:gridCol w:w="1803"/>
        <w:gridCol w:w="1605"/>
        <w:gridCol w:w="1803"/>
      </w:tblGrid>
      <w:tr w:rsidR="00C64D57" w:rsidRPr="00C1603D" w14:paraId="4D5E82C4" w14:textId="77777777" w:rsidTr="00726B42">
        <w:trPr>
          <w:cantSplit/>
        </w:trPr>
        <w:tc>
          <w:tcPr>
            <w:tcW w:w="0" w:type="auto"/>
            <w:vMerge w:val="restart"/>
            <w:shd w:val="clear" w:color="auto" w:fill="auto"/>
          </w:tcPr>
          <w:p w14:paraId="6D5B3632" w14:textId="1262C0B1" w:rsidR="00C64D57" w:rsidRPr="00C1603D" w:rsidRDefault="00C64D57" w:rsidP="00C64D57">
            <w:pPr>
              <w:pStyle w:val="710TableheadTablesTableFigureBoxstyles"/>
              <w:rPr>
                <w:lang w:eastAsia="zh-CN"/>
              </w:rPr>
            </w:pPr>
            <w:r w:rsidRPr="00C1603D">
              <w:rPr>
                <w:lang w:eastAsia="zh-CN"/>
              </w:rPr>
              <w:lastRenderedPageBreak/>
              <w:t>Age group (years)</w:t>
            </w:r>
          </w:p>
        </w:tc>
        <w:tc>
          <w:tcPr>
            <w:tcW w:w="0" w:type="auto"/>
            <w:gridSpan w:val="3"/>
            <w:shd w:val="clear" w:color="auto" w:fill="auto"/>
          </w:tcPr>
          <w:p w14:paraId="41D96E05" w14:textId="54C83C77" w:rsidR="00C64D57" w:rsidRPr="00C1603D" w:rsidRDefault="00C64D57" w:rsidP="00C64D57">
            <w:pPr>
              <w:pStyle w:val="705TableheadgroupTablesTableFigureBoxstyles"/>
              <w:rPr>
                <w:lang w:eastAsia="zh-CN"/>
              </w:rPr>
            </w:pPr>
            <w:r w:rsidRPr="00C1603D">
              <w:rPr>
                <w:lang w:eastAsia="zh-CN"/>
              </w:rPr>
              <w:t>Rate (95% CI)</w:t>
            </w:r>
          </w:p>
        </w:tc>
      </w:tr>
      <w:tr w:rsidR="00C64D57" w:rsidRPr="00C1603D" w14:paraId="79D0178C" w14:textId="77777777" w:rsidTr="002D08DB">
        <w:trPr>
          <w:cantSplit/>
        </w:trPr>
        <w:tc>
          <w:tcPr>
            <w:tcW w:w="0" w:type="auto"/>
            <w:vMerge/>
            <w:shd w:val="clear" w:color="auto" w:fill="auto"/>
          </w:tcPr>
          <w:p w14:paraId="3201F7EB" w14:textId="33C1B05F" w:rsidR="00C64D57" w:rsidRPr="00C1603D" w:rsidRDefault="00C64D57" w:rsidP="00C64D57">
            <w:pPr>
              <w:pStyle w:val="710TableheadTablesTableFigureBoxstyles"/>
              <w:rPr>
                <w:lang w:eastAsia="zh-CN"/>
              </w:rPr>
            </w:pPr>
          </w:p>
        </w:tc>
        <w:tc>
          <w:tcPr>
            <w:tcW w:w="0" w:type="auto"/>
            <w:shd w:val="clear" w:color="auto" w:fill="auto"/>
          </w:tcPr>
          <w:p w14:paraId="1090AE3E" w14:textId="1BCC44C4" w:rsidR="00C64D57" w:rsidRPr="00C1603D" w:rsidRDefault="00C64D57" w:rsidP="00C64D57">
            <w:pPr>
              <w:pStyle w:val="710TableheadTablesTableFigureBoxstyles"/>
              <w:rPr>
                <w:lang w:eastAsia="zh-CN"/>
              </w:rPr>
            </w:pPr>
            <w:r w:rsidRPr="00C1603D">
              <w:rPr>
                <w:lang w:eastAsia="zh-CN"/>
              </w:rPr>
              <w:t>Mixed gender</w:t>
            </w:r>
          </w:p>
        </w:tc>
        <w:tc>
          <w:tcPr>
            <w:tcW w:w="0" w:type="auto"/>
            <w:shd w:val="clear" w:color="auto" w:fill="auto"/>
          </w:tcPr>
          <w:p w14:paraId="19793906" w14:textId="08963709" w:rsidR="00C64D57" w:rsidRPr="00C1603D" w:rsidRDefault="00C64D57" w:rsidP="00C64D57">
            <w:pPr>
              <w:pStyle w:val="710TableheadTablesTableFigureBoxstyles"/>
              <w:rPr>
                <w:lang w:eastAsia="zh-CN"/>
              </w:rPr>
            </w:pPr>
            <w:r w:rsidRPr="00C1603D">
              <w:rPr>
                <w:lang w:eastAsia="zh-CN"/>
              </w:rPr>
              <w:t>Men</w:t>
            </w:r>
          </w:p>
        </w:tc>
        <w:tc>
          <w:tcPr>
            <w:tcW w:w="0" w:type="auto"/>
            <w:shd w:val="clear" w:color="auto" w:fill="auto"/>
          </w:tcPr>
          <w:p w14:paraId="5A8D4D01" w14:textId="5B5F2A00" w:rsidR="00C64D57" w:rsidRPr="00C1603D" w:rsidRDefault="00C64D57" w:rsidP="00C64D57">
            <w:pPr>
              <w:pStyle w:val="710TableheadTablesTableFigureBoxstyles"/>
              <w:rPr>
                <w:lang w:eastAsia="zh-CN"/>
              </w:rPr>
            </w:pPr>
            <w:r w:rsidRPr="00C1603D">
              <w:rPr>
                <w:lang w:eastAsia="zh-CN"/>
              </w:rPr>
              <w:t>Women</w:t>
            </w:r>
          </w:p>
        </w:tc>
      </w:tr>
      <w:tr w:rsidR="008B4DF8" w:rsidRPr="00C1603D" w14:paraId="6C4C207E" w14:textId="77777777" w:rsidTr="002D08DB">
        <w:trPr>
          <w:cantSplit/>
        </w:trPr>
        <w:tc>
          <w:tcPr>
            <w:tcW w:w="0" w:type="auto"/>
            <w:gridSpan w:val="4"/>
            <w:shd w:val="clear" w:color="auto" w:fill="auto"/>
          </w:tcPr>
          <w:p w14:paraId="3F243D30" w14:textId="12BD8021" w:rsidR="008B4DF8" w:rsidRPr="00C1603D" w:rsidRDefault="00F71E0C" w:rsidP="002D08DB">
            <w:pPr>
              <w:pStyle w:val="711TablesubheadATablesTableFigureBoxstyles"/>
              <w:rPr>
                <w:lang w:eastAsia="zh-CN"/>
              </w:rPr>
            </w:pPr>
            <w:r w:rsidRPr="00C1603D">
              <w:rPr>
                <w:lang w:eastAsia="zh-CN"/>
              </w:rPr>
              <w:t>NHL</w:t>
            </w:r>
          </w:p>
        </w:tc>
      </w:tr>
      <w:tr w:rsidR="008B4DF8" w:rsidRPr="00C1603D" w14:paraId="02B21FD9" w14:textId="77777777" w:rsidTr="002D08DB">
        <w:trPr>
          <w:cantSplit/>
        </w:trPr>
        <w:tc>
          <w:tcPr>
            <w:tcW w:w="0" w:type="auto"/>
            <w:shd w:val="clear" w:color="auto" w:fill="auto"/>
            <w:noWrap/>
          </w:tcPr>
          <w:p w14:paraId="3F877B9B" w14:textId="77777777" w:rsidR="008B4DF8" w:rsidRPr="00C1603D" w:rsidRDefault="008B4DF8" w:rsidP="002D08DB">
            <w:pPr>
              <w:pStyle w:val="72TabletextTablesTableFigureBoxstyles"/>
              <w:rPr>
                <w:lang w:eastAsia="zh-CN"/>
              </w:rPr>
            </w:pPr>
            <w:r w:rsidRPr="00C1603D">
              <w:rPr>
                <w:lang w:eastAsia="zh-CN"/>
              </w:rPr>
              <w:t>&lt; 18</w:t>
            </w:r>
          </w:p>
        </w:tc>
        <w:tc>
          <w:tcPr>
            <w:tcW w:w="0" w:type="auto"/>
            <w:shd w:val="clear" w:color="auto" w:fill="auto"/>
            <w:noWrap/>
          </w:tcPr>
          <w:p w14:paraId="4B9DD0A2" w14:textId="3B55A827" w:rsidR="008B4DF8" w:rsidRPr="00C1603D" w:rsidRDefault="008B4DF8" w:rsidP="002D08DB">
            <w:pPr>
              <w:pStyle w:val="72TabletextTablesTableFigureBoxstyles"/>
              <w:rPr>
                <w:lang w:eastAsia="zh-CN"/>
              </w:rPr>
            </w:pPr>
            <w:r w:rsidRPr="00C1603D">
              <w:t>0.03 (0.01</w:t>
            </w:r>
            <w:r w:rsidR="00C64D57" w:rsidRPr="00C1603D">
              <w:t xml:space="preserve"> to </w:t>
            </w:r>
            <w:r w:rsidRPr="00C1603D">
              <w:t>0.07)</w:t>
            </w:r>
          </w:p>
        </w:tc>
        <w:tc>
          <w:tcPr>
            <w:tcW w:w="0" w:type="auto"/>
            <w:shd w:val="clear" w:color="auto" w:fill="auto"/>
          </w:tcPr>
          <w:p w14:paraId="0059C334" w14:textId="633928A3" w:rsidR="008B4DF8" w:rsidRPr="00C1603D" w:rsidRDefault="008B4DF8" w:rsidP="002D08DB">
            <w:pPr>
              <w:pStyle w:val="72TabletextTablesTableFigureBoxstyles"/>
            </w:pPr>
            <w:r w:rsidRPr="00C1603D">
              <w:t>0.02 (0.01</w:t>
            </w:r>
            <w:r w:rsidR="00C64D57" w:rsidRPr="00C1603D">
              <w:t xml:space="preserve"> to </w:t>
            </w:r>
            <w:r w:rsidRPr="00C1603D">
              <w:t>0.09)</w:t>
            </w:r>
          </w:p>
        </w:tc>
        <w:tc>
          <w:tcPr>
            <w:tcW w:w="0" w:type="auto"/>
            <w:shd w:val="clear" w:color="auto" w:fill="auto"/>
          </w:tcPr>
          <w:p w14:paraId="0EA24808" w14:textId="75AB39CD" w:rsidR="008B4DF8" w:rsidRPr="00C1603D" w:rsidRDefault="008B4DF8" w:rsidP="002D08DB">
            <w:pPr>
              <w:pStyle w:val="72TabletextTablesTableFigureBoxstyles"/>
            </w:pPr>
            <w:r w:rsidRPr="00C1603D">
              <w:t>0.04 (0.01</w:t>
            </w:r>
            <w:r w:rsidR="00C64D57" w:rsidRPr="00C1603D">
              <w:t xml:space="preserve"> to </w:t>
            </w:r>
            <w:r w:rsidRPr="00C1603D">
              <w:t>0.12)</w:t>
            </w:r>
          </w:p>
        </w:tc>
      </w:tr>
      <w:tr w:rsidR="008B4DF8" w:rsidRPr="00C1603D" w14:paraId="14162706" w14:textId="77777777" w:rsidTr="002D08DB">
        <w:trPr>
          <w:cantSplit/>
        </w:trPr>
        <w:tc>
          <w:tcPr>
            <w:tcW w:w="0" w:type="auto"/>
            <w:shd w:val="clear" w:color="auto" w:fill="auto"/>
            <w:noWrap/>
          </w:tcPr>
          <w:p w14:paraId="067C6783" w14:textId="40360BEF" w:rsidR="008B4DF8" w:rsidRPr="00C1603D" w:rsidRDefault="00C64D57" w:rsidP="002D08DB">
            <w:pPr>
              <w:pStyle w:val="72TabletextTablesTableFigureBoxstyles"/>
              <w:rPr>
                <w:lang w:eastAsia="zh-CN"/>
              </w:rPr>
            </w:pPr>
            <w:r w:rsidRPr="00C1603D">
              <w:rPr>
                <w:lang w:eastAsia="zh-CN"/>
              </w:rPr>
              <w:t>≥ </w:t>
            </w:r>
            <w:r w:rsidR="008B4DF8" w:rsidRPr="00C1603D">
              <w:rPr>
                <w:lang w:eastAsia="zh-CN"/>
              </w:rPr>
              <w:t>18</w:t>
            </w:r>
          </w:p>
        </w:tc>
        <w:tc>
          <w:tcPr>
            <w:tcW w:w="0" w:type="auto"/>
            <w:shd w:val="clear" w:color="auto" w:fill="auto"/>
            <w:noWrap/>
          </w:tcPr>
          <w:p w14:paraId="6D9BC18C" w14:textId="4B954F51" w:rsidR="008B4DF8" w:rsidRPr="00C1603D" w:rsidRDefault="008B4DF8" w:rsidP="002D08DB">
            <w:pPr>
              <w:pStyle w:val="72TabletextTablesTableFigureBoxstyles"/>
              <w:rPr>
                <w:lang w:eastAsia="zh-CN"/>
              </w:rPr>
            </w:pPr>
            <w:r w:rsidRPr="00C1603D">
              <w:t>0.28 (0.25</w:t>
            </w:r>
            <w:r w:rsidR="00C64D57" w:rsidRPr="00C1603D">
              <w:t xml:space="preserve"> to </w:t>
            </w:r>
            <w:r w:rsidRPr="00C1603D">
              <w:t>0.32)</w:t>
            </w:r>
          </w:p>
        </w:tc>
        <w:tc>
          <w:tcPr>
            <w:tcW w:w="0" w:type="auto"/>
            <w:shd w:val="clear" w:color="auto" w:fill="auto"/>
          </w:tcPr>
          <w:p w14:paraId="0B5CFA4A" w14:textId="2EF8FED9" w:rsidR="008B4DF8" w:rsidRPr="00C1603D" w:rsidRDefault="008B4DF8" w:rsidP="002D08DB">
            <w:pPr>
              <w:pStyle w:val="72TabletextTablesTableFigureBoxstyles"/>
            </w:pPr>
            <w:r w:rsidRPr="00C1603D">
              <w:t>0.30 (0.26</w:t>
            </w:r>
            <w:r w:rsidR="00C64D57" w:rsidRPr="00C1603D">
              <w:t xml:space="preserve"> to </w:t>
            </w:r>
            <w:r w:rsidRPr="00C1603D">
              <w:t>0.35)</w:t>
            </w:r>
          </w:p>
        </w:tc>
        <w:tc>
          <w:tcPr>
            <w:tcW w:w="0" w:type="auto"/>
            <w:shd w:val="clear" w:color="auto" w:fill="auto"/>
          </w:tcPr>
          <w:p w14:paraId="08FAAEF2" w14:textId="6C451B8B" w:rsidR="008B4DF8" w:rsidRPr="00C1603D" w:rsidRDefault="008B4DF8" w:rsidP="002D08DB">
            <w:pPr>
              <w:pStyle w:val="72TabletextTablesTableFigureBoxstyles"/>
            </w:pPr>
            <w:r w:rsidRPr="00C1603D">
              <w:t>0.27 (0.23</w:t>
            </w:r>
            <w:r w:rsidR="00C64D57" w:rsidRPr="00C1603D">
              <w:t xml:space="preserve"> to </w:t>
            </w:r>
            <w:r w:rsidRPr="00C1603D">
              <w:t>0.32)</w:t>
            </w:r>
          </w:p>
        </w:tc>
      </w:tr>
      <w:tr w:rsidR="008B4DF8" w:rsidRPr="00C1603D" w14:paraId="2EFBDBAF" w14:textId="77777777" w:rsidTr="002D08DB">
        <w:trPr>
          <w:cantSplit/>
        </w:trPr>
        <w:tc>
          <w:tcPr>
            <w:tcW w:w="0" w:type="auto"/>
            <w:gridSpan w:val="4"/>
            <w:shd w:val="clear" w:color="auto" w:fill="auto"/>
            <w:noWrap/>
          </w:tcPr>
          <w:p w14:paraId="30E3D1FE" w14:textId="77777777" w:rsidR="008B4DF8" w:rsidRPr="00C1603D" w:rsidRDefault="008B4DF8" w:rsidP="002D08DB">
            <w:pPr>
              <w:pStyle w:val="711TablesubheadATablesTableFigureBoxstyles"/>
              <w:rPr>
                <w:lang w:eastAsia="zh-CN"/>
              </w:rPr>
            </w:pPr>
            <w:r w:rsidRPr="00C1603D">
              <w:rPr>
                <w:lang w:eastAsia="zh-CN"/>
              </w:rPr>
              <w:t>Osteoporosis</w:t>
            </w:r>
          </w:p>
        </w:tc>
      </w:tr>
      <w:tr w:rsidR="008B4DF8" w:rsidRPr="00C1603D" w14:paraId="21923818" w14:textId="77777777" w:rsidTr="002D08DB">
        <w:trPr>
          <w:cantSplit/>
        </w:trPr>
        <w:tc>
          <w:tcPr>
            <w:tcW w:w="0" w:type="auto"/>
            <w:shd w:val="clear" w:color="auto" w:fill="auto"/>
            <w:noWrap/>
          </w:tcPr>
          <w:p w14:paraId="0F279D52" w14:textId="77777777" w:rsidR="008B4DF8" w:rsidRPr="00C1603D" w:rsidRDefault="008B4DF8" w:rsidP="002D08DB">
            <w:pPr>
              <w:pStyle w:val="72TabletextTablesTableFigureBoxstyles"/>
              <w:rPr>
                <w:color w:val="auto"/>
                <w:lang w:eastAsia="zh-CN"/>
              </w:rPr>
            </w:pPr>
            <w:r w:rsidRPr="00C1603D">
              <w:rPr>
                <w:color w:val="auto"/>
                <w:lang w:eastAsia="zh-CN"/>
              </w:rPr>
              <w:t>0–9</w:t>
            </w:r>
          </w:p>
        </w:tc>
        <w:tc>
          <w:tcPr>
            <w:tcW w:w="0" w:type="auto"/>
            <w:shd w:val="clear" w:color="auto" w:fill="auto"/>
            <w:noWrap/>
          </w:tcPr>
          <w:p w14:paraId="7DCB16F8" w14:textId="26CA8AFB" w:rsidR="008B4DF8" w:rsidRPr="00C1603D" w:rsidRDefault="008B4DF8" w:rsidP="002D08DB">
            <w:pPr>
              <w:pStyle w:val="72TabletextTablesTableFigureBoxstyles"/>
              <w:rPr>
                <w:color w:val="auto"/>
                <w:lang w:eastAsia="zh-CN"/>
              </w:rPr>
            </w:pPr>
            <w:r w:rsidRPr="00C1603D">
              <w:rPr>
                <w:color w:val="auto"/>
                <w:lang w:eastAsia="en-GB"/>
              </w:rPr>
              <w:t>0.02 (0.01</w:t>
            </w:r>
            <w:r w:rsidR="00C64D57" w:rsidRPr="00C1603D">
              <w:rPr>
                <w:color w:val="auto"/>
                <w:lang w:eastAsia="en-GB"/>
              </w:rPr>
              <w:t xml:space="preserve"> to </w:t>
            </w:r>
            <w:r w:rsidRPr="00C1603D">
              <w:rPr>
                <w:color w:val="auto"/>
                <w:lang w:eastAsia="en-GB"/>
              </w:rPr>
              <w:t>0.09)</w:t>
            </w:r>
          </w:p>
        </w:tc>
        <w:tc>
          <w:tcPr>
            <w:tcW w:w="0" w:type="auto"/>
            <w:shd w:val="clear" w:color="auto" w:fill="auto"/>
          </w:tcPr>
          <w:p w14:paraId="733D3388" w14:textId="6C7F7227" w:rsidR="008B4DF8" w:rsidRPr="00C1603D" w:rsidRDefault="008B4DF8" w:rsidP="002D08DB">
            <w:pPr>
              <w:pStyle w:val="72TabletextTablesTableFigureBoxstyles"/>
              <w:rPr>
                <w:color w:val="auto"/>
                <w:lang w:eastAsia="en-GB"/>
              </w:rPr>
            </w:pPr>
            <w:r w:rsidRPr="00C1603D">
              <w:rPr>
                <w:color w:val="auto"/>
                <w:lang w:eastAsia="en-GB"/>
              </w:rPr>
              <w:t>0.02 (0.00</w:t>
            </w:r>
            <w:r w:rsidR="00C64D57" w:rsidRPr="00C1603D">
              <w:rPr>
                <w:color w:val="auto"/>
                <w:lang w:eastAsia="en-GB"/>
              </w:rPr>
              <w:t xml:space="preserve"> to </w:t>
            </w:r>
            <w:r w:rsidRPr="00C1603D">
              <w:rPr>
                <w:color w:val="auto"/>
                <w:lang w:eastAsia="en-GB"/>
              </w:rPr>
              <w:t>0.15)</w:t>
            </w:r>
          </w:p>
        </w:tc>
        <w:tc>
          <w:tcPr>
            <w:tcW w:w="0" w:type="auto"/>
            <w:shd w:val="clear" w:color="auto" w:fill="auto"/>
          </w:tcPr>
          <w:p w14:paraId="0DEEE9F6" w14:textId="0EC01068" w:rsidR="008B4DF8" w:rsidRPr="00C1603D" w:rsidRDefault="008B4DF8" w:rsidP="002D08DB">
            <w:pPr>
              <w:pStyle w:val="72TabletextTablesTableFigureBoxstyles"/>
              <w:rPr>
                <w:color w:val="auto"/>
                <w:lang w:eastAsia="en-GB"/>
              </w:rPr>
            </w:pPr>
            <w:r w:rsidRPr="00C1603D">
              <w:rPr>
                <w:color w:val="auto"/>
                <w:lang w:eastAsia="en-GB"/>
              </w:rPr>
              <w:t>0.02 (0.00</w:t>
            </w:r>
            <w:r w:rsidR="00C64D57" w:rsidRPr="00C1603D">
              <w:rPr>
                <w:color w:val="auto"/>
                <w:lang w:eastAsia="en-GB"/>
              </w:rPr>
              <w:t xml:space="preserve"> to </w:t>
            </w:r>
            <w:r w:rsidRPr="00C1603D">
              <w:rPr>
                <w:color w:val="auto"/>
                <w:lang w:eastAsia="en-GB"/>
              </w:rPr>
              <w:t>0.17)</w:t>
            </w:r>
          </w:p>
        </w:tc>
      </w:tr>
      <w:tr w:rsidR="008B4DF8" w:rsidRPr="00C1603D" w14:paraId="3FC8F140" w14:textId="77777777" w:rsidTr="002D08DB">
        <w:trPr>
          <w:cantSplit/>
        </w:trPr>
        <w:tc>
          <w:tcPr>
            <w:tcW w:w="0" w:type="auto"/>
            <w:shd w:val="clear" w:color="auto" w:fill="auto"/>
            <w:noWrap/>
          </w:tcPr>
          <w:p w14:paraId="017EAD44" w14:textId="77777777" w:rsidR="008B4DF8" w:rsidRPr="00C1603D" w:rsidRDefault="008B4DF8" w:rsidP="002D08DB">
            <w:pPr>
              <w:pStyle w:val="72TabletextTablesTableFigureBoxstyles"/>
              <w:rPr>
                <w:color w:val="auto"/>
                <w:lang w:eastAsia="zh-CN"/>
              </w:rPr>
            </w:pPr>
            <w:r w:rsidRPr="00C1603D">
              <w:rPr>
                <w:color w:val="auto"/>
                <w:lang w:eastAsia="zh-CN"/>
              </w:rPr>
              <w:t>10–19</w:t>
            </w:r>
          </w:p>
        </w:tc>
        <w:tc>
          <w:tcPr>
            <w:tcW w:w="0" w:type="auto"/>
            <w:shd w:val="clear" w:color="auto" w:fill="auto"/>
            <w:noWrap/>
          </w:tcPr>
          <w:p w14:paraId="73C9B42F" w14:textId="7A1A3043" w:rsidR="008B4DF8" w:rsidRPr="00C1603D" w:rsidRDefault="008B4DF8" w:rsidP="002D08DB">
            <w:pPr>
              <w:pStyle w:val="72TabletextTablesTableFigureBoxstyles"/>
              <w:rPr>
                <w:color w:val="auto"/>
                <w:lang w:eastAsia="zh-CN"/>
              </w:rPr>
            </w:pPr>
            <w:r w:rsidRPr="00C1603D">
              <w:rPr>
                <w:color w:val="auto"/>
                <w:lang w:eastAsia="en-GB"/>
              </w:rPr>
              <w:t>0.03 (0.01</w:t>
            </w:r>
            <w:r w:rsidR="00C64D57" w:rsidRPr="00C1603D">
              <w:rPr>
                <w:color w:val="auto"/>
                <w:lang w:eastAsia="en-GB"/>
              </w:rPr>
              <w:t xml:space="preserve"> to </w:t>
            </w:r>
            <w:r w:rsidRPr="00C1603D">
              <w:rPr>
                <w:color w:val="auto"/>
                <w:lang w:eastAsia="en-GB"/>
              </w:rPr>
              <w:t>0.10)</w:t>
            </w:r>
          </w:p>
        </w:tc>
        <w:tc>
          <w:tcPr>
            <w:tcW w:w="0" w:type="auto"/>
            <w:shd w:val="clear" w:color="auto" w:fill="auto"/>
          </w:tcPr>
          <w:p w14:paraId="1C126EE8" w14:textId="626EF311" w:rsidR="008B4DF8" w:rsidRPr="00C1603D" w:rsidRDefault="008B4DF8" w:rsidP="002D08DB">
            <w:pPr>
              <w:pStyle w:val="72TabletextTablesTableFigureBoxstyles"/>
              <w:rPr>
                <w:color w:val="auto"/>
                <w:lang w:eastAsia="en-GB"/>
              </w:rPr>
            </w:pPr>
            <w:r w:rsidRPr="00C1603D">
              <w:rPr>
                <w:color w:val="auto"/>
                <w:lang w:eastAsia="en-GB"/>
              </w:rPr>
              <w:t>0.04 (0.01</w:t>
            </w:r>
            <w:r w:rsidR="00C64D57" w:rsidRPr="00C1603D">
              <w:rPr>
                <w:color w:val="auto"/>
                <w:lang w:eastAsia="en-GB"/>
              </w:rPr>
              <w:t xml:space="preserve"> to </w:t>
            </w:r>
            <w:r w:rsidRPr="00C1603D">
              <w:rPr>
                <w:color w:val="auto"/>
                <w:lang w:eastAsia="en-GB"/>
              </w:rPr>
              <w:t>0.15)</w:t>
            </w:r>
          </w:p>
        </w:tc>
        <w:tc>
          <w:tcPr>
            <w:tcW w:w="0" w:type="auto"/>
            <w:shd w:val="clear" w:color="auto" w:fill="auto"/>
          </w:tcPr>
          <w:p w14:paraId="0A3574A7" w14:textId="3D522A51" w:rsidR="008B4DF8" w:rsidRPr="00C1603D" w:rsidRDefault="008B4DF8" w:rsidP="002D08DB">
            <w:pPr>
              <w:pStyle w:val="72TabletextTablesTableFigureBoxstyles"/>
              <w:rPr>
                <w:color w:val="auto"/>
                <w:lang w:eastAsia="en-GB"/>
              </w:rPr>
            </w:pPr>
            <w:r w:rsidRPr="00C1603D">
              <w:rPr>
                <w:color w:val="auto"/>
                <w:lang w:eastAsia="en-GB"/>
              </w:rPr>
              <w:t>0.03 (0.00</w:t>
            </w:r>
            <w:r w:rsidR="00C64D57" w:rsidRPr="00C1603D">
              <w:rPr>
                <w:color w:val="auto"/>
                <w:lang w:eastAsia="en-GB"/>
              </w:rPr>
              <w:t xml:space="preserve"> to </w:t>
            </w:r>
            <w:r w:rsidRPr="00C1603D">
              <w:rPr>
                <w:color w:val="auto"/>
                <w:lang w:eastAsia="en-GB"/>
              </w:rPr>
              <w:t>0.18)</w:t>
            </w:r>
          </w:p>
        </w:tc>
      </w:tr>
      <w:tr w:rsidR="008B4DF8" w:rsidRPr="00C1603D" w14:paraId="6D776E66" w14:textId="77777777" w:rsidTr="002D08DB">
        <w:trPr>
          <w:cantSplit/>
        </w:trPr>
        <w:tc>
          <w:tcPr>
            <w:tcW w:w="0" w:type="auto"/>
            <w:shd w:val="clear" w:color="auto" w:fill="auto"/>
            <w:noWrap/>
          </w:tcPr>
          <w:p w14:paraId="1ADC0223" w14:textId="77777777" w:rsidR="008B4DF8" w:rsidRPr="00C1603D" w:rsidRDefault="008B4DF8" w:rsidP="002D08DB">
            <w:pPr>
              <w:pStyle w:val="72TabletextTablesTableFigureBoxstyles"/>
              <w:rPr>
                <w:color w:val="auto"/>
                <w:lang w:eastAsia="zh-CN"/>
              </w:rPr>
            </w:pPr>
            <w:r w:rsidRPr="00C1603D">
              <w:rPr>
                <w:color w:val="auto"/>
                <w:lang w:eastAsia="zh-CN"/>
              </w:rPr>
              <w:t>20–29</w:t>
            </w:r>
          </w:p>
        </w:tc>
        <w:tc>
          <w:tcPr>
            <w:tcW w:w="0" w:type="auto"/>
            <w:shd w:val="clear" w:color="auto" w:fill="auto"/>
            <w:noWrap/>
          </w:tcPr>
          <w:p w14:paraId="054AC30C" w14:textId="4D12C750" w:rsidR="008B4DF8" w:rsidRPr="00C1603D" w:rsidRDefault="008B4DF8" w:rsidP="002D08DB">
            <w:pPr>
              <w:pStyle w:val="72TabletextTablesTableFigureBoxstyles"/>
              <w:rPr>
                <w:color w:val="auto"/>
                <w:lang w:eastAsia="zh-CN"/>
              </w:rPr>
            </w:pPr>
            <w:r w:rsidRPr="00C1603D">
              <w:rPr>
                <w:color w:val="auto"/>
                <w:lang w:eastAsia="en-GB"/>
              </w:rPr>
              <w:t>0.16 (0.11</w:t>
            </w:r>
            <w:r w:rsidR="00C64D57" w:rsidRPr="00C1603D">
              <w:rPr>
                <w:color w:val="auto"/>
                <w:lang w:eastAsia="en-GB"/>
              </w:rPr>
              <w:t xml:space="preserve"> to </w:t>
            </w:r>
            <w:r w:rsidRPr="00C1603D">
              <w:rPr>
                <w:color w:val="auto"/>
                <w:lang w:eastAsia="en-GB"/>
              </w:rPr>
              <w:t>0.25)</w:t>
            </w:r>
          </w:p>
        </w:tc>
        <w:tc>
          <w:tcPr>
            <w:tcW w:w="0" w:type="auto"/>
            <w:shd w:val="clear" w:color="auto" w:fill="auto"/>
          </w:tcPr>
          <w:p w14:paraId="20295E08" w14:textId="0014E4E4" w:rsidR="008B4DF8" w:rsidRPr="00C1603D" w:rsidRDefault="008B4DF8" w:rsidP="002D08DB">
            <w:pPr>
              <w:pStyle w:val="72TabletextTablesTableFigureBoxstyles"/>
              <w:rPr>
                <w:color w:val="auto"/>
                <w:lang w:eastAsia="en-GB"/>
              </w:rPr>
            </w:pPr>
            <w:r w:rsidRPr="00C1603D">
              <w:rPr>
                <w:color w:val="auto"/>
                <w:lang w:eastAsia="en-GB"/>
              </w:rPr>
              <w:t>0.10 (0.05</w:t>
            </w:r>
            <w:r w:rsidR="00C64D57" w:rsidRPr="00C1603D">
              <w:rPr>
                <w:color w:val="auto"/>
                <w:lang w:eastAsia="en-GB"/>
              </w:rPr>
              <w:t xml:space="preserve"> to </w:t>
            </w:r>
            <w:r w:rsidRPr="00C1603D">
              <w:rPr>
                <w:color w:val="auto"/>
                <w:lang w:eastAsia="en-GB"/>
              </w:rPr>
              <w:t>0.21)</w:t>
            </w:r>
          </w:p>
        </w:tc>
        <w:tc>
          <w:tcPr>
            <w:tcW w:w="0" w:type="auto"/>
            <w:shd w:val="clear" w:color="auto" w:fill="auto"/>
          </w:tcPr>
          <w:p w14:paraId="6E0914FF" w14:textId="08DC8B5E" w:rsidR="008B4DF8" w:rsidRPr="00C1603D" w:rsidRDefault="008B4DF8" w:rsidP="002D08DB">
            <w:pPr>
              <w:pStyle w:val="72TabletextTablesTableFigureBoxstyles"/>
              <w:rPr>
                <w:color w:val="auto"/>
                <w:lang w:eastAsia="en-GB"/>
              </w:rPr>
            </w:pPr>
            <w:r w:rsidRPr="00C1603D">
              <w:rPr>
                <w:color w:val="auto"/>
                <w:lang w:eastAsia="en-GB"/>
              </w:rPr>
              <w:t>0.24 (0.14</w:t>
            </w:r>
            <w:r w:rsidR="00C64D57" w:rsidRPr="00C1603D">
              <w:rPr>
                <w:color w:val="auto"/>
                <w:lang w:eastAsia="en-GB"/>
              </w:rPr>
              <w:t xml:space="preserve"> to </w:t>
            </w:r>
            <w:r w:rsidRPr="00C1603D">
              <w:rPr>
                <w:color w:val="auto"/>
                <w:lang w:eastAsia="en-GB"/>
              </w:rPr>
              <w:t>0.41)</w:t>
            </w:r>
          </w:p>
        </w:tc>
      </w:tr>
      <w:tr w:rsidR="008B4DF8" w:rsidRPr="00C1603D" w14:paraId="1FEE573A" w14:textId="77777777" w:rsidTr="002D08DB">
        <w:trPr>
          <w:cantSplit/>
        </w:trPr>
        <w:tc>
          <w:tcPr>
            <w:tcW w:w="0" w:type="auto"/>
            <w:shd w:val="clear" w:color="auto" w:fill="auto"/>
            <w:noWrap/>
          </w:tcPr>
          <w:p w14:paraId="19D33153" w14:textId="77777777" w:rsidR="008B4DF8" w:rsidRPr="00C1603D" w:rsidRDefault="008B4DF8" w:rsidP="002D08DB">
            <w:pPr>
              <w:pStyle w:val="72TabletextTablesTableFigureBoxstyles"/>
              <w:rPr>
                <w:color w:val="auto"/>
                <w:lang w:eastAsia="zh-CN"/>
              </w:rPr>
            </w:pPr>
            <w:r w:rsidRPr="00C1603D">
              <w:rPr>
                <w:color w:val="auto"/>
                <w:lang w:eastAsia="zh-CN"/>
              </w:rPr>
              <w:t>30–39</w:t>
            </w:r>
          </w:p>
        </w:tc>
        <w:tc>
          <w:tcPr>
            <w:tcW w:w="0" w:type="auto"/>
            <w:shd w:val="clear" w:color="auto" w:fill="auto"/>
            <w:noWrap/>
          </w:tcPr>
          <w:p w14:paraId="5617F0C7" w14:textId="69616099" w:rsidR="008B4DF8" w:rsidRPr="00C1603D" w:rsidRDefault="008B4DF8" w:rsidP="002D08DB">
            <w:pPr>
              <w:pStyle w:val="72TabletextTablesTableFigureBoxstyles"/>
              <w:rPr>
                <w:color w:val="auto"/>
                <w:lang w:eastAsia="zh-CN"/>
              </w:rPr>
            </w:pPr>
            <w:r w:rsidRPr="00C1603D">
              <w:rPr>
                <w:color w:val="auto"/>
                <w:lang w:eastAsia="en-GB"/>
              </w:rPr>
              <w:t>0.42 (0.34</w:t>
            </w:r>
            <w:r w:rsidR="00C64D57" w:rsidRPr="00C1603D">
              <w:rPr>
                <w:color w:val="auto"/>
                <w:lang w:eastAsia="en-GB"/>
              </w:rPr>
              <w:t xml:space="preserve"> to </w:t>
            </w:r>
            <w:r w:rsidRPr="00C1603D">
              <w:rPr>
                <w:color w:val="auto"/>
                <w:lang w:eastAsia="en-GB"/>
              </w:rPr>
              <w:t>0.52)</w:t>
            </w:r>
          </w:p>
        </w:tc>
        <w:tc>
          <w:tcPr>
            <w:tcW w:w="0" w:type="auto"/>
            <w:shd w:val="clear" w:color="auto" w:fill="auto"/>
          </w:tcPr>
          <w:p w14:paraId="6F7CE1E6" w14:textId="0B8FA2A8" w:rsidR="008B4DF8" w:rsidRPr="00C1603D" w:rsidRDefault="008B4DF8" w:rsidP="002D08DB">
            <w:pPr>
              <w:pStyle w:val="72TabletextTablesTableFigureBoxstyles"/>
              <w:rPr>
                <w:color w:val="auto"/>
                <w:lang w:eastAsia="en-GB"/>
              </w:rPr>
            </w:pPr>
            <w:r w:rsidRPr="00C1603D">
              <w:rPr>
                <w:color w:val="auto"/>
                <w:lang w:eastAsia="en-GB"/>
              </w:rPr>
              <w:t>0.17 (0.10</w:t>
            </w:r>
            <w:r w:rsidR="00C64D57" w:rsidRPr="00C1603D">
              <w:rPr>
                <w:color w:val="auto"/>
                <w:lang w:eastAsia="en-GB"/>
              </w:rPr>
              <w:t xml:space="preserve"> to </w:t>
            </w:r>
            <w:r w:rsidRPr="00C1603D">
              <w:rPr>
                <w:color w:val="auto"/>
                <w:lang w:eastAsia="en-GB"/>
              </w:rPr>
              <w:t>0.27)</w:t>
            </w:r>
          </w:p>
        </w:tc>
        <w:tc>
          <w:tcPr>
            <w:tcW w:w="0" w:type="auto"/>
            <w:shd w:val="clear" w:color="auto" w:fill="auto"/>
          </w:tcPr>
          <w:p w14:paraId="24F32C11" w14:textId="11E7D165" w:rsidR="008B4DF8" w:rsidRPr="00C1603D" w:rsidRDefault="008B4DF8" w:rsidP="002D08DB">
            <w:pPr>
              <w:pStyle w:val="72TabletextTablesTableFigureBoxstyles"/>
              <w:rPr>
                <w:color w:val="auto"/>
                <w:lang w:eastAsia="en-GB"/>
              </w:rPr>
            </w:pPr>
            <w:r w:rsidRPr="00C1603D">
              <w:rPr>
                <w:color w:val="auto"/>
                <w:lang w:eastAsia="en-GB"/>
              </w:rPr>
              <w:t>0.66 (0.52</w:t>
            </w:r>
            <w:r w:rsidR="00C64D57" w:rsidRPr="00C1603D">
              <w:rPr>
                <w:color w:val="auto"/>
                <w:lang w:eastAsia="en-GB"/>
              </w:rPr>
              <w:t xml:space="preserve"> to </w:t>
            </w:r>
            <w:r w:rsidRPr="00C1603D">
              <w:rPr>
                <w:color w:val="auto"/>
                <w:lang w:eastAsia="en-GB"/>
              </w:rPr>
              <w:t>0.83)</w:t>
            </w:r>
          </w:p>
        </w:tc>
      </w:tr>
      <w:tr w:rsidR="008B4DF8" w:rsidRPr="00C1603D" w14:paraId="663A002E" w14:textId="77777777" w:rsidTr="002D08DB">
        <w:trPr>
          <w:cantSplit/>
        </w:trPr>
        <w:tc>
          <w:tcPr>
            <w:tcW w:w="0" w:type="auto"/>
            <w:shd w:val="clear" w:color="auto" w:fill="auto"/>
            <w:noWrap/>
          </w:tcPr>
          <w:p w14:paraId="159517C0" w14:textId="77777777" w:rsidR="008B4DF8" w:rsidRPr="00C1603D" w:rsidRDefault="008B4DF8" w:rsidP="002D08DB">
            <w:pPr>
              <w:pStyle w:val="72TabletextTablesTableFigureBoxstyles"/>
              <w:rPr>
                <w:color w:val="auto"/>
                <w:lang w:eastAsia="zh-CN"/>
              </w:rPr>
            </w:pPr>
            <w:r w:rsidRPr="00C1603D">
              <w:rPr>
                <w:color w:val="auto"/>
                <w:lang w:eastAsia="zh-CN"/>
              </w:rPr>
              <w:t>40–49</w:t>
            </w:r>
          </w:p>
        </w:tc>
        <w:tc>
          <w:tcPr>
            <w:tcW w:w="0" w:type="auto"/>
            <w:shd w:val="clear" w:color="auto" w:fill="auto"/>
            <w:noWrap/>
          </w:tcPr>
          <w:p w14:paraId="13BCE5C3" w14:textId="3B46A325" w:rsidR="008B4DF8" w:rsidRPr="00C1603D" w:rsidRDefault="008B4DF8" w:rsidP="002D08DB">
            <w:pPr>
              <w:pStyle w:val="72TabletextTablesTableFigureBoxstyles"/>
              <w:rPr>
                <w:color w:val="auto"/>
                <w:lang w:eastAsia="zh-CN"/>
              </w:rPr>
            </w:pPr>
            <w:r w:rsidRPr="00C1603D">
              <w:rPr>
                <w:color w:val="auto"/>
                <w:lang w:eastAsia="en-GB"/>
              </w:rPr>
              <w:t>1.40 (1.20</w:t>
            </w:r>
            <w:r w:rsidR="00C64D57" w:rsidRPr="00C1603D">
              <w:rPr>
                <w:color w:val="auto"/>
                <w:lang w:eastAsia="en-GB"/>
              </w:rPr>
              <w:t xml:space="preserve"> to </w:t>
            </w:r>
            <w:r w:rsidRPr="00C1603D">
              <w:rPr>
                <w:color w:val="auto"/>
                <w:lang w:eastAsia="en-GB"/>
              </w:rPr>
              <w:t>1.50)</w:t>
            </w:r>
          </w:p>
        </w:tc>
        <w:tc>
          <w:tcPr>
            <w:tcW w:w="0" w:type="auto"/>
            <w:shd w:val="clear" w:color="auto" w:fill="auto"/>
          </w:tcPr>
          <w:p w14:paraId="50C7287B" w14:textId="782FB7BB" w:rsidR="008B4DF8" w:rsidRPr="00C1603D" w:rsidRDefault="008B4DF8" w:rsidP="002D08DB">
            <w:pPr>
              <w:pStyle w:val="72TabletextTablesTableFigureBoxstyles"/>
              <w:rPr>
                <w:color w:val="auto"/>
                <w:lang w:eastAsia="en-GB"/>
              </w:rPr>
            </w:pPr>
            <w:r w:rsidRPr="00C1603D">
              <w:rPr>
                <w:color w:val="auto"/>
                <w:lang w:eastAsia="en-GB"/>
              </w:rPr>
              <w:t>0.55 (0.43</w:t>
            </w:r>
            <w:r w:rsidR="00C64D57" w:rsidRPr="00C1603D">
              <w:rPr>
                <w:color w:val="auto"/>
                <w:lang w:eastAsia="en-GB"/>
              </w:rPr>
              <w:t xml:space="preserve"> to </w:t>
            </w:r>
            <w:r w:rsidRPr="00C1603D">
              <w:rPr>
                <w:color w:val="auto"/>
                <w:lang w:eastAsia="en-GB"/>
              </w:rPr>
              <w:t>0.70)</w:t>
            </w:r>
          </w:p>
        </w:tc>
        <w:tc>
          <w:tcPr>
            <w:tcW w:w="0" w:type="auto"/>
            <w:shd w:val="clear" w:color="auto" w:fill="auto"/>
          </w:tcPr>
          <w:p w14:paraId="0368CAD5" w14:textId="31970038" w:rsidR="008B4DF8" w:rsidRPr="00C1603D" w:rsidRDefault="008B4DF8" w:rsidP="002D08DB">
            <w:pPr>
              <w:pStyle w:val="72TabletextTablesTableFigureBoxstyles"/>
              <w:rPr>
                <w:color w:val="auto"/>
                <w:lang w:eastAsia="en-GB"/>
              </w:rPr>
            </w:pPr>
            <w:r w:rsidRPr="00C1603D">
              <w:rPr>
                <w:color w:val="auto"/>
                <w:lang w:eastAsia="en-GB"/>
              </w:rPr>
              <w:t>2.20 (1.90</w:t>
            </w:r>
            <w:r w:rsidR="00C64D57" w:rsidRPr="00C1603D">
              <w:rPr>
                <w:color w:val="auto"/>
                <w:lang w:eastAsia="en-GB"/>
              </w:rPr>
              <w:t xml:space="preserve"> to </w:t>
            </w:r>
            <w:r w:rsidRPr="00C1603D">
              <w:rPr>
                <w:color w:val="auto"/>
                <w:lang w:eastAsia="en-GB"/>
              </w:rPr>
              <w:t>2.50)</w:t>
            </w:r>
          </w:p>
        </w:tc>
      </w:tr>
      <w:tr w:rsidR="008B4DF8" w:rsidRPr="00C1603D" w14:paraId="3DF41977" w14:textId="77777777" w:rsidTr="002D08DB">
        <w:trPr>
          <w:cantSplit/>
        </w:trPr>
        <w:tc>
          <w:tcPr>
            <w:tcW w:w="0" w:type="auto"/>
            <w:shd w:val="clear" w:color="auto" w:fill="auto"/>
            <w:noWrap/>
          </w:tcPr>
          <w:p w14:paraId="5A25C465" w14:textId="77777777" w:rsidR="008B4DF8" w:rsidRPr="00C1603D" w:rsidRDefault="008B4DF8" w:rsidP="002D08DB">
            <w:pPr>
              <w:pStyle w:val="72TabletextTablesTableFigureBoxstyles"/>
              <w:rPr>
                <w:color w:val="auto"/>
                <w:lang w:eastAsia="zh-CN"/>
              </w:rPr>
            </w:pPr>
            <w:r w:rsidRPr="00C1603D">
              <w:rPr>
                <w:color w:val="auto"/>
                <w:lang w:eastAsia="zh-CN"/>
              </w:rPr>
              <w:t>50–59</w:t>
            </w:r>
          </w:p>
        </w:tc>
        <w:tc>
          <w:tcPr>
            <w:tcW w:w="0" w:type="auto"/>
            <w:shd w:val="clear" w:color="auto" w:fill="auto"/>
            <w:noWrap/>
          </w:tcPr>
          <w:p w14:paraId="75EC2ECE" w14:textId="7F7531F2" w:rsidR="008B4DF8" w:rsidRPr="00C1603D" w:rsidRDefault="008B4DF8" w:rsidP="002D08DB">
            <w:pPr>
              <w:pStyle w:val="72TabletextTablesTableFigureBoxstyles"/>
              <w:rPr>
                <w:color w:val="auto"/>
                <w:lang w:eastAsia="zh-CN"/>
              </w:rPr>
            </w:pPr>
            <w:r w:rsidRPr="00C1603D">
              <w:rPr>
                <w:color w:val="auto"/>
                <w:lang w:eastAsia="en-GB"/>
              </w:rPr>
              <w:t>3.90 (3.60</w:t>
            </w:r>
            <w:r w:rsidR="00C64D57" w:rsidRPr="00C1603D">
              <w:rPr>
                <w:color w:val="auto"/>
                <w:lang w:eastAsia="en-GB"/>
              </w:rPr>
              <w:t xml:space="preserve"> to </w:t>
            </w:r>
            <w:r w:rsidRPr="00C1603D">
              <w:rPr>
                <w:color w:val="auto"/>
                <w:lang w:eastAsia="en-GB"/>
              </w:rPr>
              <w:t>4.20)</w:t>
            </w:r>
          </w:p>
        </w:tc>
        <w:tc>
          <w:tcPr>
            <w:tcW w:w="0" w:type="auto"/>
            <w:shd w:val="clear" w:color="auto" w:fill="auto"/>
          </w:tcPr>
          <w:p w14:paraId="00CC860F" w14:textId="7461D081" w:rsidR="008B4DF8" w:rsidRPr="00C1603D" w:rsidRDefault="008B4DF8" w:rsidP="002D08DB">
            <w:pPr>
              <w:pStyle w:val="72TabletextTablesTableFigureBoxstyles"/>
              <w:rPr>
                <w:color w:val="auto"/>
                <w:lang w:eastAsia="en-GB"/>
              </w:rPr>
            </w:pPr>
            <w:r w:rsidRPr="00C1603D">
              <w:rPr>
                <w:color w:val="auto"/>
                <w:lang w:eastAsia="en-GB"/>
              </w:rPr>
              <w:t>1.20 (1.00</w:t>
            </w:r>
            <w:r w:rsidR="00C64D57" w:rsidRPr="00C1603D">
              <w:rPr>
                <w:color w:val="auto"/>
                <w:lang w:eastAsia="en-GB"/>
              </w:rPr>
              <w:t xml:space="preserve"> to </w:t>
            </w:r>
            <w:r w:rsidRPr="00C1603D">
              <w:rPr>
                <w:color w:val="auto"/>
                <w:lang w:eastAsia="en-GB"/>
              </w:rPr>
              <w:t>1.50)</w:t>
            </w:r>
          </w:p>
        </w:tc>
        <w:tc>
          <w:tcPr>
            <w:tcW w:w="0" w:type="auto"/>
            <w:shd w:val="clear" w:color="auto" w:fill="auto"/>
          </w:tcPr>
          <w:p w14:paraId="413F8C3F" w14:textId="0A94A5D2" w:rsidR="008B4DF8" w:rsidRPr="00C1603D" w:rsidRDefault="008B4DF8" w:rsidP="002D08DB">
            <w:pPr>
              <w:pStyle w:val="72TabletextTablesTableFigureBoxstyles"/>
              <w:rPr>
                <w:color w:val="auto"/>
                <w:lang w:eastAsia="en-GB"/>
              </w:rPr>
            </w:pPr>
            <w:r w:rsidRPr="00C1603D">
              <w:rPr>
                <w:color w:val="auto"/>
                <w:lang w:eastAsia="en-GB"/>
              </w:rPr>
              <w:t>6.60 (6.10</w:t>
            </w:r>
            <w:r w:rsidR="00C64D57" w:rsidRPr="00C1603D">
              <w:rPr>
                <w:color w:val="auto"/>
                <w:lang w:eastAsia="en-GB"/>
              </w:rPr>
              <w:t xml:space="preserve"> to </w:t>
            </w:r>
            <w:r w:rsidRPr="00C1603D">
              <w:rPr>
                <w:color w:val="auto"/>
                <w:lang w:eastAsia="en-GB"/>
              </w:rPr>
              <w:t>7.10)</w:t>
            </w:r>
          </w:p>
        </w:tc>
      </w:tr>
      <w:tr w:rsidR="008B4DF8" w:rsidRPr="00C1603D" w14:paraId="78ACDC37" w14:textId="77777777" w:rsidTr="002D08DB">
        <w:trPr>
          <w:cantSplit/>
        </w:trPr>
        <w:tc>
          <w:tcPr>
            <w:tcW w:w="0" w:type="auto"/>
            <w:shd w:val="clear" w:color="auto" w:fill="auto"/>
            <w:noWrap/>
          </w:tcPr>
          <w:p w14:paraId="5881C198" w14:textId="77777777" w:rsidR="008B4DF8" w:rsidRPr="00C1603D" w:rsidRDefault="008B4DF8" w:rsidP="002D08DB">
            <w:pPr>
              <w:pStyle w:val="72TabletextTablesTableFigureBoxstyles"/>
              <w:rPr>
                <w:color w:val="auto"/>
                <w:lang w:eastAsia="zh-CN"/>
              </w:rPr>
            </w:pPr>
            <w:r w:rsidRPr="00C1603D">
              <w:rPr>
                <w:color w:val="auto"/>
                <w:lang w:eastAsia="zh-CN"/>
              </w:rPr>
              <w:t>60–69</w:t>
            </w:r>
          </w:p>
        </w:tc>
        <w:tc>
          <w:tcPr>
            <w:tcW w:w="0" w:type="auto"/>
            <w:shd w:val="clear" w:color="auto" w:fill="auto"/>
            <w:noWrap/>
          </w:tcPr>
          <w:p w14:paraId="04ECDC7C" w14:textId="2E890F1C" w:rsidR="008B4DF8" w:rsidRPr="00C1603D" w:rsidRDefault="008B4DF8" w:rsidP="002D08DB">
            <w:pPr>
              <w:pStyle w:val="72TabletextTablesTableFigureBoxstyles"/>
              <w:rPr>
                <w:color w:val="auto"/>
                <w:lang w:eastAsia="zh-CN"/>
              </w:rPr>
            </w:pPr>
            <w:r w:rsidRPr="00C1603D">
              <w:rPr>
                <w:color w:val="auto"/>
                <w:lang w:eastAsia="en-GB"/>
              </w:rPr>
              <w:t>7.50 (7.00</w:t>
            </w:r>
            <w:r w:rsidR="00C64D57" w:rsidRPr="00C1603D">
              <w:rPr>
                <w:color w:val="auto"/>
                <w:lang w:eastAsia="en-GB"/>
              </w:rPr>
              <w:t xml:space="preserve"> to </w:t>
            </w:r>
            <w:r w:rsidRPr="00C1603D">
              <w:rPr>
                <w:color w:val="auto"/>
                <w:lang w:eastAsia="en-GB"/>
              </w:rPr>
              <w:t>7.90)</w:t>
            </w:r>
          </w:p>
        </w:tc>
        <w:tc>
          <w:tcPr>
            <w:tcW w:w="0" w:type="auto"/>
            <w:shd w:val="clear" w:color="auto" w:fill="auto"/>
          </w:tcPr>
          <w:p w14:paraId="0DD3229E" w14:textId="637CBED6" w:rsidR="008B4DF8" w:rsidRPr="00C1603D" w:rsidRDefault="008B4DF8" w:rsidP="002D08DB">
            <w:pPr>
              <w:pStyle w:val="72TabletextTablesTableFigureBoxstyles"/>
              <w:rPr>
                <w:color w:val="auto"/>
                <w:lang w:eastAsia="en-GB"/>
              </w:rPr>
            </w:pPr>
            <w:r w:rsidRPr="00C1603D">
              <w:rPr>
                <w:color w:val="auto"/>
                <w:lang w:eastAsia="en-GB"/>
              </w:rPr>
              <w:t>2.70 (2.30</w:t>
            </w:r>
            <w:r w:rsidR="00C64D57" w:rsidRPr="00C1603D">
              <w:rPr>
                <w:color w:val="auto"/>
                <w:lang w:eastAsia="en-GB"/>
              </w:rPr>
              <w:t xml:space="preserve"> to </w:t>
            </w:r>
            <w:r w:rsidRPr="00C1603D">
              <w:rPr>
                <w:color w:val="auto"/>
                <w:lang w:eastAsia="en-GB"/>
              </w:rPr>
              <w:t>3.10)</w:t>
            </w:r>
          </w:p>
        </w:tc>
        <w:tc>
          <w:tcPr>
            <w:tcW w:w="0" w:type="auto"/>
            <w:shd w:val="clear" w:color="auto" w:fill="auto"/>
          </w:tcPr>
          <w:p w14:paraId="77E3C942" w14:textId="1FDDACA7" w:rsidR="008B4DF8" w:rsidRPr="00C1603D" w:rsidRDefault="008B4DF8" w:rsidP="002D08DB">
            <w:pPr>
              <w:pStyle w:val="72TabletextTablesTableFigureBoxstyles"/>
              <w:rPr>
                <w:color w:val="auto"/>
                <w:lang w:eastAsia="en-GB"/>
              </w:rPr>
            </w:pPr>
            <w:r w:rsidRPr="00C1603D">
              <w:rPr>
                <w:color w:val="auto"/>
                <w:lang w:eastAsia="en-GB"/>
              </w:rPr>
              <w:t>12.00 (11.00</w:t>
            </w:r>
            <w:r w:rsidR="00C64D57" w:rsidRPr="00C1603D">
              <w:rPr>
                <w:color w:val="auto"/>
                <w:lang w:eastAsia="en-GB"/>
              </w:rPr>
              <w:t xml:space="preserve"> to </w:t>
            </w:r>
            <w:r w:rsidRPr="00C1603D">
              <w:rPr>
                <w:color w:val="auto"/>
                <w:lang w:eastAsia="en-GB"/>
              </w:rPr>
              <w:t>13.00)</w:t>
            </w:r>
          </w:p>
        </w:tc>
      </w:tr>
      <w:tr w:rsidR="008B4DF8" w:rsidRPr="00C1603D" w14:paraId="5F6464B7" w14:textId="77777777" w:rsidTr="002D08DB">
        <w:trPr>
          <w:cantSplit/>
        </w:trPr>
        <w:tc>
          <w:tcPr>
            <w:tcW w:w="0" w:type="auto"/>
            <w:shd w:val="clear" w:color="auto" w:fill="auto"/>
            <w:noWrap/>
          </w:tcPr>
          <w:p w14:paraId="1A8911E9" w14:textId="77777777" w:rsidR="008B4DF8" w:rsidRPr="00C1603D" w:rsidRDefault="008B4DF8" w:rsidP="002D08DB">
            <w:pPr>
              <w:pStyle w:val="72TabletextTablesTableFigureBoxstyles"/>
              <w:rPr>
                <w:color w:val="auto"/>
                <w:lang w:eastAsia="zh-CN"/>
              </w:rPr>
            </w:pPr>
            <w:r w:rsidRPr="00C1603D">
              <w:rPr>
                <w:color w:val="auto"/>
                <w:lang w:eastAsia="zh-CN"/>
              </w:rPr>
              <w:t>70–79</w:t>
            </w:r>
          </w:p>
        </w:tc>
        <w:tc>
          <w:tcPr>
            <w:tcW w:w="0" w:type="auto"/>
            <w:shd w:val="clear" w:color="auto" w:fill="auto"/>
            <w:noWrap/>
          </w:tcPr>
          <w:p w14:paraId="1780C8BA" w14:textId="1422C754" w:rsidR="008B4DF8" w:rsidRPr="00C1603D" w:rsidRDefault="008B4DF8" w:rsidP="002D08DB">
            <w:pPr>
              <w:pStyle w:val="72TabletextTablesTableFigureBoxstyles"/>
              <w:rPr>
                <w:color w:val="auto"/>
                <w:lang w:eastAsia="zh-CN"/>
              </w:rPr>
            </w:pPr>
            <w:r w:rsidRPr="00C1603D">
              <w:rPr>
                <w:color w:val="auto"/>
                <w:lang w:eastAsia="en-GB"/>
              </w:rPr>
              <w:t>13.00 (12.00</w:t>
            </w:r>
            <w:r w:rsidR="00C64D57" w:rsidRPr="00C1603D">
              <w:rPr>
                <w:color w:val="auto"/>
                <w:lang w:eastAsia="en-GB"/>
              </w:rPr>
              <w:t xml:space="preserve"> to </w:t>
            </w:r>
            <w:r w:rsidRPr="00C1603D">
              <w:rPr>
                <w:color w:val="auto"/>
                <w:lang w:eastAsia="en-GB"/>
              </w:rPr>
              <w:t>14.00)</w:t>
            </w:r>
          </w:p>
        </w:tc>
        <w:tc>
          <w:tcPr>
            <w:tcW w:w="0" w:type="auto"/>
            <w:shd w:val="clear" w:color="auto" w:fill="auto"/>
          </w:tcPr>
          <w:p w14:paraId="42A13A12" w14:textId="2C9F2159" w:rsidR="008B4DF8" w:rsidRPr="00C1603D" w:rsidRDefault="008B4DF8" w:rsidP="002D08DB">
            <w:pPr>
              <w:pStyle w:val="72TabletextTablesTableFigureBoxstyles"/>
              <w:rPr>
                <w:color w:val="auto"/>
                <w:lang w:eastAsia="en-GB"/>
              </w:rPr>
            </w:pPr>
            <w:r w:rsidRPr="00C1603D">
              <w:rPr>
                <w:color w:val="auto"/>
                <w:lang w:eastAsia="en-GB"/>
              </w:rPr>
              <w:t>4.80 (4.10</w:t>
            </w:r>
            <w:r w:rsidR="00C64D57" w:rsidRPr="00C1603D">
              <w:rPr>
                <w:color w:val="auto"/>
                <w:lang w:eastAsia="en-GB"/>
              </w:rPr>
              <w:t xml:space="preserve"> to </w:t>
            </w:r>
            <w:r w:rsidRPr="00C1603D">
              <w:rPr>
                <w:color w:val="auto"/>
                <w:lang w:eastAsia="en-GB"/>
              </w:rPr>
              <w:t>5.60)</w:t>
            </w:r>
          </w:p>
        </w:tc>
        <w:tc>
          <w:tcPr>
            <w:tcW w:w="0" w:type="auto"/>
            <w:shd w:val="clear" w:color="auto" w:fill="auto"/>
          </w:tcPr>
          <w:p w14:paraId="3E3DAEB6" w14:textId="77A63DF1" w:rsidR="008B4DF8" w:rsidRPr="00C1603D" w:rsidRDefault="008B4DF8" w:rsidP="002D08DB">
            <w:pPr>
              <w:pStyle w:val="72TabletextTablesTableFigureBoxstyles"/>
              <w:rPr>
                <w:color w:val="auto"/>
                <w:lang w:eastAsia="en-GB"/>
              </w:rPr>
            </w:pPr>
            <w:r w:rsidRPr="00C1603D">
              <w:rPr>
                <w:color w:val="auto"/>
                <w:lang w:eastAsia="en-GB"/>
              </w:rPr>
              <w:t>20.00 (19.00</w:t>
            </w:r>
            <w:r w:rsidR="00C64D57" w:rsidRPr="00C1603D">
              <w:rPr>
                <w:color w:val="auto"/>
                <w:lang w:eastAsia="en-GB"/>
              </w:rPr>
              <w:t xml:space="preserve"> to </w:t>
            </w:r>
            <w:r w:rsidRPr="00C1603D">
              <w:rPr>
                <w:color w:val="auto"/>
                <w:lang w:eastAsia="en-GB"/>
              </w:rPr>
              <w:t>22.00)</w:t>
            </w:r>
          </w:p>
        </w:tc>
      </w:tr>
      <w:tr w:rsidR="008B4DF8" w:rsidRPr="00C1603D" w14:paraId="3496F164" w14:textId="77777777" w:rsidTr="002D08DB">
        <w:trPr>
          <w:cantSplit/>
        </w:trPr>
        <w:tc>
          <w:tcPr>
            <w:tcW w:w="0" w:type="auto"/>
            <w:shd w:val="clear" w:color="auto" w:fill="auto"/>
            <w:noWrap/>
          </w:tcPr>
          <w:p w14:paraId="2978B033" w14:textId="77777777" w:rsidR="008B4DF8" w:rsidRPr="00C1603D" w:rsidRDefault="008B4DF8" w:rsidP="002D08DB">
            <w:pPr>
              <w:pStyle w:val="72TabletextTablesTableFigureBoxstyles"/>
              <w:rPr>
                <w:color w:val="auto"/>
                <w:lang w:eastAsia="zh-CN"/>
              </w:rPr>
            </w:pPr>
            <w:r w:rsidRPr="00C1603D">
              <w:rPr>
                <w:color w:val="auto"/>
                <w:lang w:eastAsia="zh-CN"/>
              </w:rPr>
              <w:t>80–89</w:t>
            </w:r>
          </w:p>
        </w:tc>
        <w:tc>
          <w:tcPr>
            <w:tcW w:w="0" w:type="auto"/>
            <w:shd w:val="clear" w:color="auto" w:fill="auto"/>
            <w:noWrap/>
          </w:tcPr>
          <w:p w14:paraId="160C67B3" w14:textId="73E4429E" w:rsidR="008B4DF8" w:rsidRPr="00C1603D" w:rsidRDefault="008B4DF8" w:rsidP="002D08DB">
            <w:pPr>
              <w:pStyle w:val="72TabletextTablesTableFigureBoxstyles"/>
              <w:rPr>
                <w:color w:val="auto"/>
                <w:lang w:eastAsia="zh-CN"/>
              </w:rPr>
            </w:pPr>
            <w:r w:rsidRPr="00C1603D">
              <w:rPr>
                <w:color w:val="auto"/>
                <w:lang w:eastAsia="en-GB"/>
              </w:rPr>
              <w:t>21.00 (19.00</w:t>
            </w:r>
            <w:r w:rsidR="00C64D57" w:rsidRPr="00C1603D">
              <w:rPr>
                <w:color w:val="auto"/>
                <w:lang w:eastAsia="en-GB"/>
              </w:rPr>
              <w:t xml:space="preserve"> to </w:t>
            </w:r>
            <w:r w:rsidRPr="00C1603D">
              <w:rPr>
                <w:color w:val="auto"/>
                <w:lang w:eastAsia="en-GB"/>
              </w:rPr>
              <w:t>23.00)</w:t>
            </w:r>
          </w:p>
        </w:tc>
        <w:tc>
          <w:tcPr>
            <w:tcW w:w="0" w:type="auto"/>
            <w:shd w:val="clear" w:color="auto" w:fill="auto"/>
          </w:tcPr>
          <w:p w14:paraId="74F30954" w14:textId="2A86ABBA" w:rsidR="008B4DF8" w:rsidRPr="00C1603D" w:rsidRDefault="008B4DF8" w:rsidP="002D08DB">
            <w:pPr>
              <w:pStyle w:val="72TabletextTablesTableFigureBoxstyles"/>
              <w:rPr>
                <w:color w:val="auto"/>
                <w:lang w:eastAsia="en-GB"/>
              </w:rPr>
            </w:pPr>
            <w:r w:rsidRPr="00C1603D">
              <w:rPr>
                <w:color w:val="auto"/>
                <w:lang w:eastAsia="en-GB"/>
              </w:rPr>
              <w:t>9.60 (7.50</w:t>
            </w:r>
            <w:r w:rsidR="00C64D57" w:rsidRPr="00C1603D">
              <w:rPr>
                <w:color w:val="auto"/>
                <w:lang w:eastAsia="en-GB"/>
              </w:rPr>
              <w:t xml:space="preserve"> to </w:t>
            </w:r>
            <w:r w:rsidRPr="00C1603D">
              <w:rPr>
                <w:color w:val="auto"/>
                <w:lang w:eastAsia="en-GB"/>
              </w:rPr>
              <w:t>12.00)</w:t>
            </w:r>
          </w:p>
        </w:tc>
        <w:tc>
          <w:tcPr>
            <w:tcW w:w="0" w:type="auto"/>
            <w:shd w:val="clear" w:color="auto" w:fill="auto"/>
          </w:tcPr>
          <w:p w14:paraId="2AB9CA69" w14:textId="6487DD4C" w:rsidR="008B4DF8" w:rsidRPr="00C1603D" w:rsidRDefault="008B4DF8" w:rsidP="002D08DB">
            <w:pPr>
              <w:pStyle w:val="72TabletextTablesTableFigureBoxstyles"/>
              <w:rPr>
                <w:color w:val="auto"/>
                <w:lang w:eastAsia="en-GB"/>
              </w:rPr>
            </w:pPr>
            <w:r w:rsidRPr="00C1603D">
              <w:rPr>
                <w:color w:val="auto"/>
                <w:lang w:eastAsia="en-GB"/>
              </w:rPr>
              <w:t>29.00 (26.00</w:t>
            </w:r>
            <w:r w:rsidR="00C64D57" w:rsidRPr="00C1603D">
              <w:rPr>
                <w:color w:val="auto"/>
                <w:lang w:eastAsia="en-GB"/>
              </w:rPr>
              <w:t xml:space="preserve"> to </w:t>
            </w:r>
            <w:r w:rsidRPr="00C1603D">
              <w:rPr>
                <w:color w:val="auto"/>
                <w:lang w:eastAsia="en-GB"/>
              </w:rPr>
              <w:t>33.00)</w:t>
            </w:r>
          </w:p>
        </w:tc>
      </w:tr>
      <w:tr w:rsidR="008B4DF8" w:rsidRPr="00C1603D" w14:paraId="115D998A" w14:textId="77777777" w:rsidTr="002D08DB">
        <w:trPr>
          <w:cantSplit/>
        </w:trPr>
        <w:tc>
          <w:tcPr>
            <w:tcW w:w="0" w:type="auto"/>
            <w:shd w:val="clear" w:color="auto" w:fill="auto"/>
            <w:noWrap/>
          </w:tcPr>
          <w:p w14:paraId="1DB75B9A" w14:textId="77777777" w:rsidR="008B4DF8" w:rsidRPr="00C1603D" w:rsidRDefault="008B4DF8" w:rsidP="002D08DB">
            <w:pPr>
              <w:pStyle w:val="72TabletextTablesTableFigureBoxstyles"/>
              <w:rPr>
                <w:color w:val="auto"/>
                <w:lang w:eastAsia="zh-CN"/>
              </w:rPr>
            </w:pPr>
            <w:r w:rsidRPr="00C1603D">
              <w:rPr>
                <w:color w:val="auto"/>
                <w:lang w:eastAsia="zh-CN"/>
              </w:rPr>
              <w:t>90–99</w:t>
            </w:r>
          </w:p>
        </w:tc>
        <w:tc>
          <w:tcPr>
            <w:tcW w:w="0" w:type="auto"/>
            <w:shd w:val="clear" w:color="auto" w:fill="auto"/>
            <w:noWrap/>
          </w:tcPr>
          <w:p w14:paraId="1E41E75B" w14:textId="2C3A16AA" w:rsidR="008B4DF8" w:rsidRPr="00C1603D" w:rsidRDefault="008B4DF8" w:rsidP="002D08DB">
            <w:pPr>
              <w:pStyle w:val="72TabletextTablesTableFigureBoxstyles"/>
              <w:rPr>
                <w:color w:val="auto"/>
                <w:lang w:eastAsia="zh-CN"/>
              </w:rPr>
            </w:pPr>
            <w:r w:rsidRPr="00C1603D">
              <w:rPr>
                <w:color w:val="auto"/>
                <w:lang w:eastAsia="en-GB"/>
              </w:rPr>
              <w:t>27.00 (19.00</w:t>
            </w:r>
            <w:r w:rsidR="00C64D57" w:rsidRPr="00C1603D">
              <w:rPr>
                <w:color w:val="auto"/>
                <w:lang w:eastAsia="en-GB"/>
              </w:rPr>
              <w:t xml:space="preserve"> to </w:t>
            </w:r>
            <w:r w:rsidRPr="00C1603D">
              <w:rPr>
                <w:color w:val="auto"/>
                <w:lang w:eastAsia="en-GB"/>
              </w:rPr>
              <w:t>38.00)</w:t>
            </w:r>
          </w:p>
        </w:tc>
        <w:tc>
          <w:tcPr>
            <w:tcW w:w="0" w:type="auto"/>
            <w:shd w:val="clear" w:color="auto" w:fill="auto"/>
          </w:tcPr>
          <w:p w14:paraId="615561AD" w14:textId="2E4F4B5A" w:rsidR="008B4DF8" w:rsidRPr="00C1603D" w:rsidRDefault="008B4DF8" w:rsidP="002D08DB">
            <w:pPr>
              <w:pStyle w:val="72TabletextTablesTableFigureBoxstyles"/>
              <w:rPr>
                <w:color w:val="auto"/>
                <w:lang w:eastAsia="en-GB"/>
              </w:rPr>
            </w:pPr>
            <w:r w:rsidRPr="00C1603D">
              <w:rPr>
                <w:color w:val="auto"/>
                <w:lang w:eastAsia="en-GB"/>
              </w:rPr>
              <w:t>5.90 (1.50</w:t>
            </w:r>
            <w:r w:rsidR="00C64D57" w:rsidRPr="00C1603D">
              <w:rPr>
                <w:color w:val="auto"/>
                <w:lang w:eastAsia="en-GB"/>
              </w:rPr>
              <w:t xml:space="preserve"> to </w:t>
            </w:r>
            <w:r w:rsidRPr="00C1603D">
              <w:rPr>
                <w:color w:val="auto"/>
                <w:lang w:eastAsia="en-GB"/>
              </w:rPr>
              <w:t>24.00)</w:t>
            </w:r>
          </w:p>
        </w:tc>
        <w:tc>
          <w:tcPr>
            <w:tcW w:w="0" w:type="auto"/>
            <w:shd w:val="clear" w:color="auto" w:fill="auto"/>
          </w:tcPr>
          <w:p w14:paraId="23911EF6" w14:textId="33B38D02" w:rsidR="008B4DF8" w:rsidRPr="00C1603D" w:rsidRDefault="008B4DF8" w:rsidP="002D08DB">
            <w:pPr>
              <w:pStyle w:val="72TabletextTablesTableFigureBoxstyles"/>
              <w:rPr>
                <w:color w:val="auto"/>
                <w:lang w:eastAsia="en-GB"/>
              </w:rPr>
            </w:pPr>
            <w:r w:rsidRPr="00C1603D">
              <w:rPr>
                <w:color w:val="auto"/>
                <w:lang w:eastAsia="en-GB"/>
              </w:rPr>
              <w:t>36.00 (25.00</w:t>
            </w:r>
            <w:r w:rsidR="00C64D57" w:rsidRPr="00C1603D">
              <w:rPr>
                <w:color w:val="auto"/>
                <w:lang w:eastAsia="en-GB"/>
              </w:rPr>
              <w:t xml:space="preserve"> to </w:t>
            </w:r>
            <w:r w:rsidRPr="00C1603D">
              <w:rPr>
                <w:color w:val="auto"/>
                <w:lang w:eastAsia="en-GB"/>
              </w:rPr>
              <w:t>51.00)</w:t>
            </w:r>
          </w:p>
        </w:tc>
      </w:tr>
    </w:tbl>
    <w:p w14:paraId="4ED7F243" w14:textId="1D760077" w:rsidR="008B4DF8" w:rsidRPr="00C1603D" w:rsidRDefault="008B4DF8" w:rsidP="008B4DF8">
      <w:pPr>
        <w:pStyle w:val="602TextfoTextstylesTextstyles"/>
      </w:pPr>
      <w:r w:rsidRPr="00C1603D">
        <w:rPr>
          <w:rFonts w:eastAsia="Yu Mincho"/>
        </w:rPr>
        <w:t xml:space="preserve">Assuming that events occur at a constant rate </w:t>
      </w:r>
      <w:r w:rsidRPr="00C1603D">
        <w:rPr>
          <w:rFonts w:eastAsia="Yu Mincho"/>
          <w:i/>
          <w:iCs/>
        </w:rPr>
        <w:t xml:space="preserve">r </w:t>
      </w:r>
      <w:r w:rsidRPr="00C1603D">
        <w:rPr>
          <w:rFonts w:eastAsia="Yu Mincho"/>
        </w:rPr>
        <w:t>per unit of time</w:t>
      </w:r>
      <w:r w:rsidRPr="00C1603D">
        <w:rPr>
          <w:rFonts w:eastAsia="Yu Mincho"/>
          <w:i/>
          <w:iCs/>
        </w:rPr>
        <w:t xml:space="preserve"> t, </w:t>
      </w:r>
      <w:r w:rsidRPr="00C1603D">
        <w:rPr>
          <w:rFonts w:eastAsia="Yu Mincho"/>
        </w:rPr>
        <w:t xml:space="preserve">the probability that an event will occur during time </w:t>
      </w:r>
      <w:r w:rsidRPr="00C1603D">
        <w:rPr>
          <w:rFonts w:eastAsia="Yu Mincho"/>
          <w:i/>
          <w:iCs/>
        </w:rPr>
        <w:t>t</w:t>
      </w:r>
      <w:r w:rsidRPr="00C1603D">
        <w:rPr>
          <w:rFonts w:eastAsia="Yu Mincho"/>
        </w:rPr>
        <w:t xml:space="preserve"> is given by </w:t>
      </w:r>
      <m:oMath>
        <m:r>
          <w:rPr>
            <w:rFonts w:ascii="Cambria Math" w:hAnsi="Cambria Math" w:cs="Calibri"/>
          </w:rPr>
          <m:t>p</m:t>
        </m:r>
        <m:r>
          <w:rPr>
            <w:rFonts w:ascii="Cambria Math" w:hAnsi="Cambria Math" w:cs="Calibri"/>
            <w:color w:val="00B0F0"/>
          </w:rPr>
          <m:t> = </m:t>
        </m:r>
        <m:r>
          <w:rPr>
            <w:rFonts w:ascii="Cambria Math" w:hAnsi="Cambria Math" w:cs="Calibri"/>
          </w:rPr>
          <m:t>1 - </m:t>
        </m:r>
        <m:sSup>
          <m:sSupPr>
            <m:ctrlPr>
              <w:rPr>
                <w:rFonts w:ascii="Cambria Math" w:hAnsi="Cambria Math" w:cs="Calibri"/>
                <w:i/>
              </w:rPr>
            </m:ctrlPr>
          </m:sSupPr>
          <m:e>
            <m:r>
              <w:rPr>
                <w:rFonts w:ascii="Cambria Math" w:hAnsi="Cambria Math" w:cs="Calibri"/>
              </w:rPr>
              <m:t>e</m:t>
            </m:r>
          </m:e>
          <m:sup>
            <m:r>
              <w:rPr>
                <w:rFonts w:ascii="Cambria Math" w:hAnsi="Cambria Math" w:cs="Calibri"/>
              </w:rPr>
              <m:t>rt</m:t>
            </m:r>
          </m:sup>
        </m:sSup>
      </m:oMath>
      <w:r w:rsidRPr="00C1603D">
        <w:rPr>
          <w:rFonts w:eastAsia="Yu Mincho"/>
        </w:rPr>
        <w:t>, equivalent to an exponential survival distribution.</w:t>
      </w:r>
      <w:r w:rsidRPr="00C1603D">
        <w:rPr>
          <w:rFonts w:eastAsia="Yu Mincho"/>
          <w:noProof/>
          <w:vertAlign w:val="superscript"/>
        </w:rPr>
        <w:t>246</w:t>
      </w:r>
    </w:p>
    <w:p w14:paraId="4D75D7D8" w14:textId="77777777" w:rsidR="008B4DF8" w:rsidRPr="00C1603D" w:rsidRDefault="008B4DF8" w:rsidP="008B4DF8">
      <w:pPr>
        <w:pStyle w:val="54CheadHeadingsHeadingstyles"/>
        <w:rPr>
          <w:lang w:eastAsia="zh-CN"/>
        </w:rPr>
      </w:pPr>
      <w:bookmarkStart w:id="391" w:name="_Toc87507191"/>
      <w:r w:rsidRPr="00C1603D">
        <w:rPr>
          <w:lang w:eastAsia="zh-CN"/>
        </w:rPr>
        <w:t>Mortality</w:t>
      </w:r>
      <w:bookmarkEnd w:id="391"/>
    </w:p>
    <w:p w14:paraId="3CE65BB3" w14:textId="5E829BB6" w:rsidR="008B4DF8" w:rsidRPr="00C1603D" w:rsidRDefault="008B4DF8" w:rsidP="008B4DF8">
      <w:pPr>
        <w:pStyle w:val="602TextfoTextstylesTextstyles"/>
        <w:rPr>
          <w:color w:val="auto"/>
          <w:lang w:eastAsia="zh-CN"/>
        </w:rPr>
      </w:pPr>
      <w:bookmarkStart w:id="392" w:name="_Hlk62738474"/>
      <w:r w:rsidRPr="00C1603D">
        <w:rPr>
          <w:lang w:eastAsia="zh-CN"/>
        </w:rPr>
        <w:t>Mortality in the model is assumed to be equal to general population mortality</w:t>
      </w:r>
      <w:r w:rsidR="00C64D57" w:rsidRPr="00C1603D">
        <w:rPr>
          <w:lang w:eastAsia="zh-CN"/>
        </w:rPr>
        <w:t>,</w:t>
      </w:r>
      <w:r w:rsidRPr="00C1603D">
        <w:rPr>
          <w:lang w:eastAsia="zh-CN"/>
        </w:rPr>
        <w:t xml:space="preserve"> with excess mortality assigned to those patients who develop </w:t>
      </w:r>
      <w:r w:rsidRPr="00C1603D">
        <w:rPr>
          <w:color w:val="auto"/>
          <w:lang w:eastAsia="zh-CN"/>
        </w:rPr>
        <w:t xml:space="preserve">NHL or osteoporosis. </w:t>
      </w:r>
      <w:bookmarkEnd w:id="392"/>
      <w:r w:rsidRPr="00C1603D">
        <w:rPr>
          <w:color w:val="auto"/>
          <w:lang w:eastAsia="zh-CN"/>
        </w:rPr>
        <w:t>Mortality in the general population came from the 2019 Office for National Statistics lifetables.</w:t>
      </w:r>
      <w:r w:rsidRPr="00C1603D">
        <w:rPr>
          <w:noProof/>
          <w:color w:val="auto"/>
          <w:vertAlign w:val="superscript"/>
          <w:lang w:eastAsia="zh-CN"/>
        </w:rPr>
        <w:t>247</w:t>
      </w:r>
    </w:p>
    <w:p w14:paraId="6C58C0E2" w14:textId="5F0D915B" w:rsidR="008B4DF8" w:rsidRPr="00C1603D" w:rsidRDefault="008B4DF8" w:rsidP="008B4DF8">
      <w:pPr>
        <w:pStyle w:val="602TextfoTextstylesTextstyles"/>
        <w:rPr>
          <w:lang w:eastAsia="zh-CN"/>
        </w:rPr>
      </w:pPr>
      <w:r w:rsidRPr="00C1603D">
        <w:rPr>
          <w:color w:val="auto"/>
          <w:lang w:eastAsia="zh-CN"/>
        </w:rPr>
        <w:t xml:space="preserve">Mortality from NHL is based on data from the Office for National Statistics on adults diagnosed </w:t>
      </w:r>
      <w:r w:rsidRPr="00C1603D">
        <w:rPr>
          <w:lang w:eastAsia="zh-CN"/>
        </w:rPr>
        <w:t>with NHL between 2013 and 2017</w:t>
      </w:r>
      <w:r w:rsidR="00C64D57" w:rsidRPr="00C1603D">
        <w:rPr>
          <w:lang w:eastAsia="zh-CN"/>
        </w:rPr>
        <w:t>,</w:t>
      </w:r>
      <w:r w:rsidRPr="00C1603D">
        <w:rPr>
          <w:lang w:eastAsia="zh-CN"/>
        </w:rPr>
        <w:t xml:space="preserve"> which show that </w:t>
      </w:r>
      <w:r w:rsidR="00C64D57" w:rsidRPr="00C1603D">
        <w:rPr>
          <w:lang w:eastAsia="zh-CN"/>
        </w:rPr>
        <w:t>1</w:t>
      </w:r>
      <w:r w:rsidRPr="00C1603D">
        <w:rPr>
          <w:lang w:eastAsia="zh-CN"/>
        </w:rPr>
        <w:t>-year survival is 79.4% (95% CI 79.0</w:t>
      </w:r>
      <w:r w:rsidR="00C64D57" w:rsidRPr="00C1603D">
        <w:rPr>
          <w:lang w:eastAsia="zh-CN"/>
        </w:rPr>
        <w:t>%</w:t>
      </w:r>
      <w:r w:rsidRPr="00C1603D">
        <w:rPr>
          <w:lang w:eastAsia="zh-CN"/>
        </w:rPr>
        <w:t xml:space="preserve"> </w:t>
      </w:r>
      <w:r w:rsidR="00C64D57" w:rsidRPr="00C1603D">
        <w:rPr>
          <w:lang w:eastAsia="zh-CN"/>
        </w:rPr>
        <w:t>to</w:t>
      </w:r>
      <w:r w:rsidRPr="00C1603D">
        <w:rPr>
          <w:lang w:eastAsia="zh-CN"/>
        </w:rPr>
        <w:t xml:space="preserve"> 79.7</w:t>
      </w:r>
      <w:r w:rsidR="00C64D57" w:rsidRPr="00C1603D">
        <w:rPr>
          <w:lang w:eastAsia="zh-CN"/>
        </w:rPr>
        <w:t>%</w:t>
      </w:r>
      <w:r w:rsidRPr="00C1603D">
        <w:rPr>
          <w:lang w:eastAsia="zh-CN"/>
        </w:rPr>
        <w:t xml:space="preserve">), </w:t>
      </w:r>
      <w:r w:rsidR="00C64D57" w:rsidRPr="00C1603D">
        <w:rPr>
          <w:lang w:eastAsia="zh-CN"/>
        </w:rPr>
        <w:t>5</w:t>
      </w:r>
      <w:r w:rsidRPr="00C1603D">
        <w:rPr>
          <w:lang w:eastAsia="zh-CN"/>
        </w:rPr>
        <w:t>-year survival is 65.6% (</w:t>
      </w:r>
      <w:r w:rsidR="00C64D57" w:rsidRPr="00C1603D">
        <w:rPr>
          <w:lang w:eastAsia="zh-CN"/>
        </w:rPr>
        <w:t xml:space="preserve">95% CI </w:t>
      </w:r>
      <w:r w:rsidRPr="00C1603D">
        <w:rPr>
          <w:lang w:eastAsia="zh-CN"/>
        </w:rPr>
        <w:t>65.0</w:t>
      </w:r>
      <w:r w:rsidR="00C64D57" w:rsidRPr="00C1603D">
        <w:rPr>
          <w:lang w:eastAsia="zh-CN"/>
        </w:rPr>
        <w:t>%</w:t>
      </w:r>
      <w:r w:rsidRPr="00C1603D">
        <w:rPr>
          <w:lang w:eastAsia="zh-CN"/>
        </w:rPr>
        <w:t xml:space="preserve"> </w:t>
      </w:r>
      <w:r w:rsidR="00C64D57" w:rsidRPr="00C1603D">
        <w:rPr>
          <w:lang w:eastAsia="zh-CN"/>
        </w:rPr>
        <w:t>to</w:t>
      </w:r>
      <w:r w:rsidRPr="00C1603D">
        <w:rPr>
          <w:lang w:eastAsia="zh-CN"/>
        </w:rPr>
        <w:t xml:space="preserve"> 66.3</w:t>
      </w:r>
      <w:r w:rsidR="00C64D57" w:rsidRPr="00C1603D">
        <w:rPr>
          <w:lang w:eastAsia="zh-CN"/>
        </w:rPr>
        <w:t>%</w:t>
      </w:r>
      <w:r w:rsidRPr="00C1603D">
        <w:rPr>
          <w:lang w:eastAsia="zh-CN"/>
        </w:rPr>
        <w:t xml:space="preserve">) and </w:t>
      </w:r>
      <w:r w:rsidR="00C64D57" w:rsidRPr="00C1603D">
        <w:rPr>
          <w:lang w:eastAsia="zh-CN"/>
        </w:rPr>
        <w:t>10</w:t>
      </w:r>
      <w:r w:rsidRPr="00C1603D">
        <w:rPr>
          <w:lang w:eastAsia="zh-CN"/>
        </w:rPr>
        <w:t>-year survival is 54.7% (</w:t>
      </w:r>
      <w:r w:rsidR="00C64D57" w:rsidRPr="00C1603D">
        <w:rPr>
          <w:lang w:eastAsia="zh-CN"/>
        </w:rPr>
        <w:t xml:space="preserve">95% CI </w:t>
      </w:r>
      <w:r w:rsidRPr="00C1603D">
        <w:rPr>
          <w:lang w:eastAsia="zh-CN"/>
        </w:rPr>
        <w:t>53.2</w:t>
      </w:r>
      <w:r w:rsidR="00C64D57" w:rsidRPr="00C1603D">
        <w:rPr>
          <w:lang w:eastAsia="zh-CN"/>
        </w:rPr>
        <w:t>%</w:t>
      </w:r>
      <w:r w:rsidRPr="00C1603D">
        <w:rPr>
          <w:lang w:eastAsia="zh-CN"/>
        </w:rPr>
        <w:t xml:space="preserve"> </w:t>
      </w:r>
      <w:r w:rsidR="00C64D57" w:rsidRPr="00C1603D">
        <w:rPr>
          <w:lang w:eastAsia="zh-CN"/>
        </w:rPr>
        <w:t>to</w:t>
      </w:r>
      <w:r w:rsidRPr="00C1603D">
        <w:rPr>
          <w:lang w:eastAsia="zh-CN"/>
        </w:rPr>
        <w:t xml:space="preserve"> 56.3</w:t>
      </w:r>
      <w:r w:rsidR="00C64D57" w:rsidRPr="00C1603D">
        <w:rPr>
          <w:lang w:eastAsia="zh-CN"/>
        </w:rPr>
        <w:t>%</w:t>
      </w:r>
      <w:r w:rsidRPr="00C1603D">
        <w:rPr>
          <w:lang w:eastAsia="zh-CN"/>
        </w:rPr>
        <w:t>).</w:t>
      </w:r>
      <w:r w:rsidRPr="00C1603D">
        <w:rPr>
          <w:noProof/>
          <w:vertAlign w:val="superscript"/>
          <w:lang w:eastAsia="zh-CN"/>
        </w:rPr>
        <w:t>248</w:t>
      </w:r>
      <w:r w:rsidRPr="00C1603D">
        <w:rPr>
          <w:lang w:eastAsia="zh-CN"/>
        </w:rPr>
        <w:t xml:space="preserve"> The Markov model cannot allow the probability of NHL mortality to change over time as patients may enter the NHL state at </w:t>
      </w:r>
      <w:proofErr w:type="gramStart"/>
      <w:r w:rsidRPr="00C1603D">
        <w:rPr>
          <w:lang w:eastAsia="zh-CN"/>
        </w:rPr>
        <w:t>different times</w:t>
      </w:r>
      <w:proofErr w:type="gramEnd"/>
      <w:r w:rsidRPr="00C1603D">
        <w:rPr>
          <w:lang w:eastAsia="zh-CN"/>
        </w:rPr>
        <w:t>. These estimates are therefore used to calculate a single annual probability capturing average survival.</w:t>
      </w:r>
    </w:p>
    <w:p w14:paraId="23EC9CA8" w14:textId="5A8072C3" w:rsidR="008B4DF8" w:rsidRPr="00C1603D" w:rsidRDefault="008B4DF8" w:rsidP="008B4DF8">
      <w:pPr>
        <w:pStyle w:val="602TextfoTextstylesTextstyles"/>
        <w:rPr>
          <w:lang w:eastAsia="zh-CN"/>
        </w:rPr>
      </w:pPr>
      <w:r w:rsidRPr="00C1603D">
        <w:rPr>
          <w:lang w:eastAsia="zh-CN"/>
        </w:rPr>
        <w:t>This synthesis was performed in the Bayesian software OpenBUGS.</w:t>
      </w:r>
      <w:r w:rsidRPr="00C1603D">
        <w:rPr>
          <w:noProof/>
          <w:vertAlign w:val="superscript"/>
          <w:lang w:eastAsia="zh-CN"/>
        </w:rPr>
        <w:t>249</w:t>
      </w:r>
      <w:r w:rsidRPr="00C1603D">
        <w:rPr>
          <w:lang w:eastAsia="zh-CN"/>
        </w:rPr>
        <w:t xml:space="preserve"> </w:t>
      </w:r>
      <w:commentRangeStart w:id="393"/>
      <w:r w:rsidRPr="00C1603D">
        <w:rPr>
          <w:lang w:eastAsia="zh-CN"/>
        </w:rPr>
        <w:t>We first converted observed probabilities to hazards using the under the assumption of constant hazards using</w:t>
      </w:r>
      <w:commentRangeEnd w:id="393"/>
      <w:r w:rsidR="00CD7FF0" w:rsidRPr="00C1603D">
        <w:rPr>
          <w:rFonts w:ascii="Times New Roman" w:hAnsi="Times New Roman" w:cs="Times New Roman"/>
          <w:color w:val="auto"/>
          <w:lang w:val="en-US"/>
        </w:rPr>
        <w:commentReference w:id="393"/>
      </w:r>
      <w:r w:rsidR="00CD7FF0" w:rsidRPr="00C1603D">
        <w:rPr>
          <w:lang w:eastAsia="zh-CN"/>
        </w:rPr>
        <w:t xml:space="preserve"> the following equation:</w:t>
      </w:r>
    </w:p>
    <w:p w14:paraId="4742AAEE" w14:textId="0CBF83BA" w:rsidR="008B4DF8" w:rsidRPr="00C1603D" w:rsidRDefault="008B4DF8" w:rsidP="008B4DF8">
      <w:pPr>
        <w:pStyle w:val="632TextequationTextstylesTextstyles"/>
        <w:rPr>
          <w:lang w:eastAsia="zh-CN"/>
        </w:rPr>
      </w:pPr>
      <m:oMath>
        <m:r>
          <w:rPr>
            <w:rFonts w:ascii="Cambria Math" w:hAnsi="Cambria Math" w:cs="Calibri"/>
            <w:lang w:eastAsia="zh-CN"/>
          </w:rPr>
          <m:t>P</m:t>
        </m:r>
        <m:d>
          <m:dPr>
            <m:ctrlPr>
              <w:rPr>
                <w:rFonts w:ascii="Cambria Math" w:hAnsi="Cambria Math" w:cs="Calibri"/>
                <w:i/>
              </w:rPr>
            </m:ctrlPr>
          </m:dPr>
          <m:e>
            <m:r>
              <w:rPr>
                <w:rFonts w:ascii="Cambria Math" w:hAnsi="Cambria Math" w:cs="Calibri"/>
                <w:lang w:eastAsia="zh-CN"/>
              </w:rPr>
              <m:t>t</m:t>
            </m:r>
          </m:e>
        </m:d>
        <m:r>
          <w:rPr>
            <w:rFonts w:ascii="Cambria Math" w:hAnsi="Cambria Math" w:cs="Calibri"/>
            <w:color w:val="00B0F0"/>
            <w:lang w:eastAsia="zh-CN"/>
          </w:rPr>
          <m:t> = </m:t>
        </m:r>
        <m:sSup>
          <m:sSupPr>
            <m:ctrlPr>
              <w:rPr>
                <w:rFonts w:ascii="Cambria Math" w:hAnsi="Cambria Math" w:cs="Calibri"/>
                <w:i/>
              </w:rPr>
            </m:ctrlPr>
          </m:sSupPr>
          <m:e>
            <m:r>
              <w:rPr>
                <w:rFonts w:ascii="Cambria Math" w:hAnsi="Cambria Math" w:cs="Calibri"/>
                <w:lang w:eastAsia="zh-CN"/>
              </w:rPr>
              <m:t>e</m:t>
            </m:r>
          </m:e>
          <m:sup>
            <m:r>
              <w:rPr>
                <w:rFonts w:ascii="Cambria Math" w:hAnsi="Cambria Math" w:cs="Calibri"/>
                <w:lang w:eastAsia="zh-CN"/>
              </w:rPr>
              <m:t>-</m:t>
            </m:r>
            <m:sSub>
              <m:sSubPr>
                <m:ctrlPr>
                  <w:rPr>
                    <w:rFonts w:ascii="Cambria Math" w:hAnsi="Cambria Math" w:cs="Calibri"/>
                    <w:i/>
                  </w:rPr>
                </m:ctrlPr>
              </m:sSubPr>
              <m:e>
                <m:r>
                  <w:rPr>
                    <w:rFonts w:ascii="Cambria Math" w:hAnsi="Cambria Math" w:cs="Calibri"/>
                    <w:lang w:eastAsia="zh-CN"/>
                  </w:rPr>
                  <m:t>h</m:t>
                </m:r>
              </m:e>
              <m:sub>
                <m:r>
                  <w:rPr>
                    <w:rFonts w:ascii="Cambria Math" w:hAnsi="Cambria Math" w:cs="Calibri"/>
                    <w:lang w:eastAsia="zh-CN"/>
                  </w:rPr>
                  <m:t>t</m:t>
                </m:r>
              </m:sub>
            </m:sSub>
            <m:r>
              <w:rPr>
                <w:rFonts w:ascii="Cambria Math" w:hAnsi="Cambria Math" w:cs="Calibri"/>
                <w:lang w:eastAsia="zh-CN"/>
              </w:rPr>
              <m:t>t</m:t>
            </m:r>
          </m:sup>
        </m:sSup>
      </m:oMath>
      <w:r w:rsidR="00CD7FF0" w:rsidRPr="00C1603D">
        <w:rPr>
          <w:rFonts w:eastAsia="Yu Mincho"/>
        </w:rPr>
        <w:t>.</w:t>
      </w:r>
      <w:r w:rsidRPr="00C1603D">
        <w:rPr>
          <w:rFonts w:eastAsia="Yu Mincho"/>
        </w:rPr>
        <w:tab/>
        <w:t>(1)</w:t>
      </w:r>
    </w:p>
    <w:p w14:paraId="63A43464" w14:textId="74825A4A" w:rsidR="008B4DF8" w:rsidRPr="00C1603D" w:rsidRDefault="008B4DF8" w:rsidP="008B4DF8">
      <w:pPr>
        <w:pStyle w:val="602TextfoTextstylesTextstyles"/>
        <w:rPr>
          <w:lang w:eastAsia="zh-CN"/>
        </w:rPr>
      </w:pPr>
      <w:r w:rsidRPr="00C1603D">
        <w:rPr>
          <w:lang w:eastAsia="zh-CN"/>
        </w:rPr>
        <w:t>These hazards</w:t>
      </w:r>
      <w:r w:rsidR="00CD7FF0" w:rsidRPr="00C1603D">
        <w:rPr>
          <w:lang w:eastAsia="zh-CN"/>
        </w:rPr>
        <w:t>,</w:t>
      </w:r>
      <w:r w:rsidRPr="00C1603D">
        <w:rPr>
          <w:lang w:eastAsia="zh-CN"/>
        </w:rPr>
        <w:t xml:space="preserve"> </w:t>
      </w:r>
      <m:oMath>
        <m:sSub>
          <m:sSubPr>
            <m:ctrlPr>
              <w:rPr>
                <w:rFonts w:ascii="Cambria Math" w:hAnsi="Cambria Math" w:cs="Calibri"/>
                <w:i/>
              </w:rPr>
            </m:ctrlPr>
          </m:sSubPr>
          <m:e>
            <m:r>
              <w:rPr>
                <w:rFonts w:ascii="Cambria Math" w:hAnsi="Cambria Math" w:cs="Calibri"/>
                <w:lang w:eastAsia="zh-CN"/>
              </w:rPr>
              <m:t>h</m:t>
            </m:r>
          </m:e>
          <m:sub>
            <m:r>
              <w:rPr>
                <w:rFonts w:ascii="Cambria Math" w:hAnsi="Cambria Math" w:cs="Calibri"/>
                <w:lang w:eastAsia="zh-CN"/>
              </w:rPr>
              <m:t>t</m:t>
            </m:r>
          </m:sub>
        </m:sSub>
      </m:oMath>
      <w:r w:rsidR="00CD7FF0" w:rsidRPr="00C1603D">
        <w:t>,</w:t>
      </w:r>
      <w:r w:rsidRPr="00C1603D">
        <w:rPr>
          <w:rFonts w:eastAsia="Yu Mincho"/>
          <w:lang w:eastAsia="zh-CN"/>
        </w:rPr>
        <w:t xml:space="preserve"> </w:t>
      </w:r>
      <w:r w:rsidRPr="00C1603D">
        <w:rPr>
          <w:lang w:eastAsia="zh-CN"/>
        </w:rPr>
        <w:t xml:space="preserve">were then converted to a natural log scale (log hazard </w:t>
      </w:r>
      <m:oMath>
        <m:sSub>
          <m:sSubPr>
            <m:ctrlPr>
              <w:rPr>
                <w:rFonts w:ascii="Cambria Math" w:hAnsi="Cambria Math" w:cs="Calibri"/>
                <w:i/>
              </w:rPr>
            </m:ctrlPr>
          </m:sSubPr>
          <m:e>
            <m:r>
              <w:rPr>
                <w:rFonts w:ascii="Cambria Math" w:hAnsi="Cambria Math" w:cs="Calibri"/>
                <w:lang w:eastAsia="zh-CN"/>
              </w:rPr>
              <m:t>y</m:t>
            </m:r>
          </m:e>
          <m:sub>
            <m:r>
              <w:rPr>
                <w:rFonts w:ascii="Cambria Math" w:hAnsi="Cambria Math" w:cs="Calibri"/>
                <w:lang w:eastAsia="zh-CN"/>
              </w:rPr>
              <m:t>t</m:t>
            </m:r>
          </m:sub>
        </m:sSub>
      </m:oMath>
      <w:r w:rsidRPr="00C1603D">
        <w:rPr>
          <w:rFonts w:eastAsia="Yu Mincho"/>
          <w:lang w:eastAsia="zh-CN"/>
        </w:rPr>
        <w:t>)</w:t>
      </w:r>
      <w:r w:rsidRPr="00C1603D">
        <w:rPr>
          <w:lang w:eastAsia="zh-CN"/>
        </w:rPr>
        <w:t xml:space="preserve"> and the upper and lower bounds of the 95% reference range</w:t>
      </w:r>
      <w:r w:rsidR="00CD7FF0" w:rsidRPr="00C1603D">
        <w:rPr>
          <w:lang w:eastAsia="zh-CN"/>
        </w:rPr>
        <w:t xml:space="preserve"> were</w:t>
      </w:r>
      <w:r w:rsidRPr="00C1603D">
        <w:rPr>
          <w:lang w:eastAsia="zh-CN"/>
        </w:rPr>
        <w:t xml:space="preserve"> used to estimate the </w:t>
      </w:r>
      <w:r w:rsidR="00E67706" w:rsidRPr="00C1603D">
        <w:rPr>
          <w:lang w:eastAsia="zh-CN"/>
        </w:rPr>
        <w:t>SE</w:t>
      </w:r>
      <w:r w:rsidRPr="00C1603D">
        <w:rPr>
          <w:lang w:eastAsia="zh-CN"/>
        </w:rPr>
        <w:t xml:space="preserve"> (</w:t>
      </w:r>
      <m:oMath>
        <m:sSub>
          <m:sSubPr>
            <m:ctrlPr>
              <w:rPr>
                <w:rFonts w:ascii="Cambria Math" w:hAnsi="Cambria Math" w:cs="Calibri"/>
                <w:i/>
              </w:rPr>
            </m:ctrlPr>
          </m:sSubPr>
          <m:e>
            <m:r>
              <w:rPr>
                <w:rFonts w:ascii="Cambria Math" w:hAnsi="Cambria Math" w:cs="Calibri"/>
                <w:lang w:eastAsia="zh-CN"/>
              </w:rPr>
              <m:t>SE</m:t>
            </m:r>
          </m:e>
          <m:sub>
            <m:r>
              <w:rPr>
                <w:rFonts w:ascii="Cambria Math" w:hAnsi="Cambria Math" w:cs="Calibri"/>
                <w:lang w:eastAsia="zh-CN"/>
              </w:rPr>
              <m:t>t</m:t>
            </m:r>
          </m:sub>
        </m:sSub>
      </m:oMath>
      <w:r w:rsidRPr="00C1603D">
        <w:rPr>
          <w:lang w:eastAsia="zh-CN"/>
        </w:rPr>
        <w:t>) by assuming normality via the central limit theorem. We then treated them as independent observations of a common log hazard λ</w:t>
      </w:r>
      <w:r w:rsidR="00CD7FF0" w:rsidRPr="00C1603D">
        <w:rPr>
          <w:lang w:eastAsia="zh-CN"/>
        </w:rPr>
        <w:t>:</w:t>
      </w:r>
    </w:p>
    <w:p w14:paraId="2D7AC88E" w14:textId="6264BD8F" w:rsidR="008B4DF8" w:rsidRPr="00C1603D" w:rsidRDefault="00C74EAF" w:rsidP="008B4DF8">
      <w:pPr>
        <w:pStyle w:val="632TextequationTextstylesTextstyles"/>
        <w:rPr>
          <w:rFonts w:eastAsia="Yu Mincho"/>
          <w:lang w:eastAsia="zh-CN"/>
        </w:rPr>
      </w:pPr>
      <m:oMath>
        <m:sSub>
          <m:sSubPr>
            <m:ctrlPr>
              <w:rPr>
                <w:rFonts w:ascii="Cambria Math" w:hAnsi="Cambria Math" w:cs="Calibri"/>
                <w:i/>
              </w:rPr>
            </m:ctrlPr>
          </m:sSubPr>
          <m:e>
            <m:r>
              <w:rPr>
                <w:rFonts w:ascii="Cambria Math" w:hAnsi="Cambria Math" w:cs="Calibri"/>
                <w:lang w:eastAsia="zh-CN"/>
              </w:rPr>
              <m:t>y</m:t>
            </m:r>
          </m:e>
          <m:sub>
            <m:r>
              <w:rPr>
                <w:rFonts w:ascii="Cambria Math" w:hAnsi="Cambria Math" w:cs="Calibri"/>
                <w:lang w:eastAsia="zh-CN"/>
              </w:rPr>
              <m:t>t</m:t>
            </m:r>
          </m:sub>
        </m:sSub>
        <m:r>
          <w:rPr>
            <w:rFonts w:ascii="Cambria Math" w:hAnsi="Cambria Math" w:cs="Calibri"/>
            <w:lang w:eastAsia="zh-CN"/>
          </w:rPr>
          <m:t>~N</m:t>
        </m:r>
        <m:d>
          <m:dPr>
            <m:ctrlPr>
              <w:rPr>
                <w:rFonts w:ascii="Cambria Math" w:hAnsi="Cambria Math" w:cs="Calibri"/>
                <w:i/>
              </w:rPr>
            </m:ctrlPr>
          </m:dPr>
          <m:e>
            <m:r>
              <w:rPr>
                <w:rFonts w:ascii="Cambria Math" w:hAnsi="Cambria Math" w:cs="Calibri"/>
                <w:lang w:eastAsia="zh-CN"/>
              </w:rPr>
              <m:t>λ,</m:t>
            </m:r>
            <m:sSub>
              <m:sSubPr>
                <m:ctrlPr>
                  <w:rPr>
                    <w:rFonts w:ascii="Cambria Math" w:hAnsi="Cambria Math" w:cs="Calibri"/>
                    <w:i/>
                  </w:rPr>
                </m:ctrlPr>
              </m:sSubPr>
              <m:e>
                <m:r>
                  <w:rPr>
                    <w:rFonts w:ascii="Cambria Math" w:hAnsi="Cambria Math" w:cs="Calibri"/>
                    <w:lang w:eastAsia="zh-CN"/>
                  </w:rPr>
                  <m:t>SE</m:t>
                </m:r>
              </m:e>
              <m:sub>
                <m:r>
                  <w:rPr>
                    <w:rFonts w:ascii="Cambria Math" w:hAnsi="Cambria Math" w:cs="Calibri"/>
                    <w:lang w:eastAsia="zh-CN"/>
                  </w:rPr>
                  <m:t>t</m:t>
                </m:r>
              </m:sub>
            </m:sSub>
            <m:r>
              <w:rPr>
                <w:rFonts w:ascii="Cambria Math" w:hAnsi="Cambria Math" w:cs="Calibri"/>
                <w:lang w:eastAsia="zh-CN"/>
              </w:rPr>
              <m:t xml:space="preserve"> </m:t>
            </m:r>
          </m:e>
        </m:d>
      </m:oMath>
      <w:r w:rsidR="00CD7FF0" w:rsidRPr="00C1603D">
        <w:rPr>
          <w:rFonts w:eastAsia="Yu Mincho"/>
        </w:rPr>
        <w:t>,</w:t>
      </w:r>
      <w:r w:rsidR="008B4DF8" w:rsidRPr="00C1603D">
        <w:rPr>
          <w:rFonts w:eastAsia="Yu Mincho"/>
        </w:rPr>
        <w:tab/>
        <w:t>(2)</w:t>
      </w:r>
    </w:p>
    <w:p w14:paraId="5A6CBC76" w14:textId="47CEC02B" w:rsidR="008B4DF8" w:rsidRPr="00C1603D" w:rsidRDefault="00CD7FF0" w:rsidP="008B4DF8">
      <w:pPr>
        <w:pStyle w:val="602TextfoTextstylesTextstyles"/>
        <w:rPr>
          <w:rFonts w:eastAsia="Yu Mincho"/>
          <w:lang w:eastAsia="zh-CN"/>
        </w:rPr>
      </w:pPr>
      <w:r w:rsidRPr="00C1603D">
        <w:rPr>
          <w:rFonts w:eastAsia="Yu Mincho"/>
          <w:lang w:eastAsia="zh-CN"/>
        </w:rPr>
        <w:t>w</w:t>
      </w:r>
      <w:r w:rsidR="008B4DF8" w:rsidRPr="00C1603D">
        <w:rPr>
          <w:rFonts w:eastAsia="Yu Mincho"/>
          <w:lang w:eastAsia="zh-CN"/>
        </w:rPr>
        <w:t>ith a vague prior distribution</w:t>
      </w:r>
      <w:r w:rsidRPr="00C1603D">
        <w:rPr>
          <w:rFonts w:eastAsia="Yu Mincho"/>
          <w:lang w:eastAsia="zh-CN"/>
        </w:rPr>
        <w:t>:</w:t>
      </w:r>
    </w:p>
    <w:p w14:paraId="1886E2A5" w14:textId="61AF120D" w:rsidR="008B4DF8" w:rsidRPr="00C1603D" w:rsidRDefault="008B4DF8" w:rsidP="008B4DF8">
      <w:pPr>
        <w:pStyle w:val="632TextequationTextstylesTextstyles"/>
        <w:rPr>
          <w:rFonts w:eastAsia="Yu Mincho"/>
          <w:lang w:eastAsia="zh-CN"/>
        </w:rPr>
      </w:pPr>
      <m:oMath>
        <m:r>
          <w:rPr>
            <w:rFonts w:ascii="Cambria Math" w:hAnsi="Cambria Math" w:cs="Calibri"/>
            <w:lang w:eastAsia="zh-CN"/>
          </w:rPr>
          <m:t xml:space="preserve">λ~N(0, </m:t>
        </m:r>
        <m:sSup>
          <m:sSupPr>
            <m:ctrlPr>
              <w:rPr>
                <w:rFonts w:ascii="Cambria Math" w:hAnsi="Cambria Math" w:cs="Calibri"/>
                <w:i/>
              </w:rPr>
            </m:ctrlPr>
          </m:sSupPr>
          <m:e>
            <m:r>
              <w:rPr>
                <w:rFonts w:ascii="Cambria Math" w:hAnsi="Cambria Math" w:cs="Calibri"/>
                <w:lang w:eastAsia="zh-CN"/>
              </w:rPr>
              <m:t>σ</m:t>
            </m:r>
          </m:e>
          <m:sup>
            <m:r>
              <w:rPr>
                <w:rFonts w:ascii="Cambria Math" w:hAnsi="Cambria Math" w:cs="Calibri"/>
                <w:lang w:eastAsia="zh-CN"/>
              </w:rPr>
              <m:t>2</m:t>
            </m:r>
          </m:sup>
        </m:sSup>
        <m:r>
          <w:rPr>
            <w:rFonts w:ascii="Cambria Math" w:hAnsi="Cambria Math" w:cs="Calibri"/>
            <w:color w:val="00B0F0"/>
            <w:lang w:eastAsia="zh-CN"/>
          </w:rPr>
          <m:t> = </m:t>
        </m:r>
        <m:r>
          <w:rPr>
            <w:rFonts w:ascii="Cambria Math" w:hAnsi="Cambria Math" w:cs="Calibri"/>
            <w:lang w:eastAsia="zh-CN"/>
          </w:rPr>
          <m:t>1000)</m:t>
        </m:r>
      </m:oMath>
      <w:r w:rsidR="00CD7FF0" w:rsidRPr="00C1603D">
        <w:rPr>
          <w:rFonts w:eastAsia="Yu Mincho"/>
          <w:lang w:eastAsia="zh-CN"/>
        </w:rPr>
        <w:t>.</w:t>
      </w:r>
      <w:r w:rsidRPr="00C1603D">
        <w:rPr>
          <w:rFonts w:eastAsia="Yu Mincho"/>
          <w:lang w:eastAsia="zh-CN"/>
        </w:rPr>
        <w:tab/>
        <w:t>(3)</w:t>
      </w:r>
    </w:p>
    <w:p w14:paraId="09B19D60" w14:textId="5038F965" w:rsidR="008B4DF8" w:rsidRPr="00C1603D" w:rsidRDefault="008B4DF8" w:rsidP="008B4DF8">
      <w:pPr>
        <w:pStyle w:val="602TextfoTextstylesTextstyles"/>
        <w:rPr>
          <w:lang w:eastAsia="zh-CN"/>
        </w:rPr>
      </w:pPr>
      <w:r w:rsidRPr="00C1603D">
        <w:rPr>
          <w:rFonts w:eastAsia="Yu Mincho"/>
          <w:lang w:eastAsia="zh-CN"/>
        </w:rPr>
        <w:t xml:space="preserve">We fit this model in OpenBUGS using two chains, 50,000 burn-in iterations and 10,000 sampling </w:t>
      </w:r>
      <w:r w:rsidRPr="00C1603D">
        <w:rPr>
          <w:rFonts w:eastAsia="Yu Mincho"/>
          <w:lang w:eastAsia="zh-CN"/>
        </w:rPr>
        <w:lastRenderedPageBreak/>
        <w:t xml:space="preserve">iterations. This gave a posterior mean for </w:t>
      </w:r>
      <m:oMath>
        <m:r>
          <w:rPr>
            <w:rFonts w:ascii="Cambria Math" w:hAnsi="Cambria Math" w:cs="Calibri"/>
            <w:lang w:eastAsia="zh-CN"/>
          </w:rPr>
          <m:t>λ</m:t>
        </m:r>
      </m:oMath>
      <w:r w:rsidRPr="00C1603D">
        <w:rPr>
          <w:rFonts w:eastAsia="Yu Mincho"/>
          <w:lang w:eastAsia="zh-CN"/>
        </w:rPr>
        <w:t xml:space="preserve"> of </w:t>
      </w:r>
      <w:r w:rsidRPr="00C1603D">
        <w:rPr>
          <w:rFonts w:eastAsia="Yu Mincho"/>
          <w:color w:val="00B0F0"/>
          <w:lang w:eastAsia="zh-CN"/>
        </w:rPr>
        <w:t>–2</w:t>
      </w:r>
      <w:r w:rsidRPr="00C1603D">
        <w:rPr>
          <w:rFonts w:eastAsia="Yu Mincho"/>
          <w:lang w:eastAsia="zh-CN"/>
        </w:rPr>
        <w:t>.092 (</w:t>
      </w:r>
      <w:r w:rsidR="00CD7FF0" w:rsidRPr="00C1603D">
        <w:rPr>
          <w:rFonts w:eastAsia="Yu Mincho"/>
          <w:lang w:eastAsia="zh-CN"/>
        </w:rPr>
        <w:t xml:space="preserve">SE </w:t>
      </w:r>
      <w:r w:rsidRPr="00C1603D">
        <w:rPr>
          <w:rFonts w:eastAsia="Yu Mincho"/>
          <w:lang w:eastAsia="zh-CN"/>
        </w:rPr>
        <w:t xml:space="preserve">0.006378). These are used in the economic model by sampling from a </w:t>
      </w:r>
      <w:r w:rsidR="00CD7FF0" w:rsidRPr="00C1603D">
        <w:rPr>
          <w:rFonts w:eastAsia="Yu Mincho"/>
          <w:lang w:eastAsia="zh-CN"/>
        </w:rPr>
        <w:t>n</w:t>
      </w:r>
      <w:r w:rsidRPr="00C1603D">
        <w:rPr>
          <w:rFonts w:eastAsia="Yu Mincho"/>
          <w:lang w:eastAsia="zh-CN"/>
        </w:rPr>
        <w:t xml:space="preserve">ormal distribution with mean </w:t>
      </w:r>
      <w:r w:rsidRPr="00C1603D">
        <w:rPr>
          <w:rFonts w:eastAsia="Yu Mincho"/>
          <w:color w:val="00B0F0"/>
          <w:lang w:eastAsia="zh-CN"/>
        </w:rPr>
        <w:t>–2</w:t>
      </w:r>
      <w:r w:rsidRPr="00C1603D">
        <w:rPr>
          <w:rFonts w:eastAsia="Yu Mincho"/>
          <w:lang w:eastAsia="zh-CN"/>
        </w:rPr>
        <w:t xml:space="preserve">.092 and </w:t>
      </w:r>
      <w:r w:rsidR="00911EA0" w:rsidRPr="00C1603D">
        <w:rPr>
          <w:rFonts w:eastAsia="Yu Mincho"/>
          <w:lang w:eastAsia="zh-CN"/>
        </w:rPr>
        <w:t>SD</w:t>
      </w:r>
      <w:r w:rsidRPr="00C1603D">
        <w:rPr>
          <w:rFonts w:eastAsia="Yu Mincho"/>
          <w:lang w:eastAsia="zh-CN"/>
        </w:rPr>
        <w:t xml:space="preserve"> 0.006378.</w:t>
      </w:r>
    </w:p>
    <w:p w14:paraId="7DEF1FA6" w14:textId="35CD8C87" w:rsidR="008B4DF8" w:rsidRPr="00C1603D" w:rsidRDefault="008B4DF8" w:rsidP="008B4DF8">
      <w:pPr>
        <w:pStyle w:val="602TextfoTextstylesTextstyles"/>
        <w:rPr>
          <w:lang w:eastAsia="zh-CN"/>
        </w:rPr>
      </w:pPr>
      <w:r w:rsidRPr="00C1603D">
        <w:rPr>
          <w:lang w:eastAsia="zh-CN"/>
        </w:rPr>
        <w:t>This has the limitation that the hazards are changing over time (</w:t>
      </w:r>
      <w:r w:rsidRPr="00C1603D">
        <w:rPr>
          <w:i/>
          <w:color w:val="FF0000"/>
        </w:rPr>
        <w:t xml:space="preserve">Table </w:t>
      </w:r>
      <w:r w:rsidRPr="00C1603D">
        <w:rPr>
          <w:i/>
          <w:noProof/>
          <w:color w:val="FF0000"/>
        </w:rPr>
        <w:t>1</w:t>
      </w:r>
      <w:r w:rsidR="008A6568" w:rsidRPr="00C1603D">
        <w:rPr>
          <w:i/>
          <w:noProof/>
          <w:color w:val="FF0000"/>
        </w:rPr>
        <w:t>7</w:t>
      </w:r>
      <w:r w:rsidRPr="00C1603D">
        <w:rPr>
          <w:lang w:eastAsia="zh-CN"/>
        </w:rPr>
        <w:t xml:space="preserve">). </w:t>
      </w:r>
      <w:r w:rsidRPr="00C1603D">
        <w:rPr>
          <w:rFonts w:eastAsia="Yu Mincho"/>
          <w:lang w:eastAsia="zh-CN"/>
        </w:rPr>
        <w:t>This overestimates the hazard in later years and underestimates it in earlier years</w:t>
      </w:r>
      <w:r w:rsidR="00CD7FF0" w:rsidRPr="00C1603D">
        <w:rPr>
          <w:rFonts w:eastAsia="Yu Mincho"/>
          <w:lang w:eastAsia="zh-CN"/>
        </w:rPr>
        <w:t>,</w:t>
      </w:r>
      <w:r w:rsidRPr="00C1603D">
        <w:rPr>
          <w:rFonts w:eastAsia="Yu Mincho"/>
          <w:lang w:eastAsia="zh-CN"/>
        </w:rPr>
        <w:t xml:space="preserve"> but is the closest approximation possible. T</w:t>
      </w:r>
      <w:r w:rsidRPr="00C1603D">
        <w:rPr>
          <w:lang w:eastAsia="zh-CN"/>
        </w:rPr>
        <w:t xml:space="preserve">his is a necessary assumption for a cohort Markov model and, </w:t>
      </w:r>
      <w:r w:rsidR="00CD7FF0" w:rsidRPr="00C1603D">
        <w:rPr>
          <w:lang w:eastAsia="zh-CN"/>
        </w:rPr>
        <w:t>owing</w:t>
      </w:r>
      <w:r w:rsidRPr="00C1603D">
        <w:rPr>
          <w:lang w:eastAsia="zh-CN"/>
        </w:rPr>
        <w:t xml:space="preserve"> to the rarity of NHL, is unlikely to affect the conclusions.</w:t>
      </w:r>
    </w:p>
    <w:p w14:paraId="599E10D9" w14:textId="4F5F5574" w:rsidR="008B4DF8" w:rsidRPr="00C1603D" w:rsidRDefault="008B4DF8" w:rsidP="008B4DF8">
      <w:pPr>
        <w:pStyle w:val="70TablelegendTablesTableFigureBoxstyles"/>
      </w:pPr>
      <w:bookmarkStart w:id="394" w:name="_Toc99720727"/>
      <w:r w:rsidRPr="00C1603D">
        <w:rPr>
          <w:b/>
        </w:rPr>
        <w:t>TABLE 1</w:t>
      </w:r>
      <w:r w:rsidR="00032460" w:rsidRPr="00C1603D">
        <w:rPr>
          <w:b/>
        </w:rPr>
        <w:t>7</w:t>
      </w:r>
      <w:r w:rsidRPr="00C1603D">
        <w:rPr>
          <w:b/>
        </w:rPr>
        <w:t> </w:t>
      </w:r>
      <w:r w:rsidRPr="00C1603D">
        <w:t>O</w:t>
      </w:r>
      <w:r w:rsidR="00CD7FF0" w:rsidRPr="00C1603D">
        <w:t xml:space="preserve">ffice for </w:t>
      </w:r>
      <w:r w:rsidRPr="00C1603D">
        <w:t>N</w:t>
      </w:r>
      <w:r w:rsidR="00CD7FF0" w:rsidRPr="00C1603D">
        <w:t xml:space="preserve">ational </w:t>
      </w:r>
      <w:r w:rsidRPr="00C1603D">
        <w:t>S</w:t>
      </w:r>
      <w:r w:rsidR="00CD7FF0" w:rsidRPr="00C1603D">
        <w:t>tatistics</w:t>
      </w:r>
      <w:r w:rsidRPr="00C1603D">
        <w:t xml:space="preserve"> data on </w:t>
      </w:r>
      <w:r w:rsidR="00CD7FF0" w:rsidRPr="00C1603D">
        <w:t xml:space="preserve">the </w:t>
      </w:r>
      <w:r w:rsidRPr="00C1603D">
        <w:t xml:space="preserve">probability of survival following </w:t>
      </w:r>
      <w:r w:rsidR="00CD7FF0" w:rsidRPr="00C1603D">
        <w:t xml:space="preserve">a </w:t>
      </w:r>
      <w:r w:rsidRPr="00C1603D">
        <w:t xml:space="preserve">diagnosis </w:t>
      </w:r>
      <w:r w:rsidR="00CD7FF0" w:rsidRPr="00C1603D">
        <w:t>of</w:t>
      </w:r>
      <w:r w:rsidRPr="00C1603D">
        <w:t xml:space="preserve"> NHL</w:t>
      </w:r>
      <w:bookmarkEnd w:id="394"/>
    </w:p>
    <w:tbl>
      <w:tblPr>
        <w:tblW w:w="0" w:type="auto"/>
        <w:tblCellMar>
          <w:top w:w="40" w:type="dxa"/>
          <w:left w:w="60" w:type="dxa"/>
          <w:bottom w:w="40" w:type="dxa"/>
          <w:right w:w="60" w:type="dxa"/>
        </w:tblCellMar>
        <w:tblLook w:val="04A0" w:firstRow="1" w:lastRow="0" w:firstColumn="1" w:lastColumn="0" w:noHBand="0" w:noVBand="1"/>
      </w:tblPr>
      <w:tblGrid>
        <w:gridCol w:w="479"/>
        <w:gridCol w:w="3328"/>
        <w:gridCol w:w="2393"/>
        <w:gridCol w:w="1518"/>
      </w:tblGrid>
      <w:tr w:rsidR="008B4DF8" w:rsidRPr="00C1603D" w14:paraId="3CFCE764" w14:textId="77777777" w:rsidTr="00CD7FF0">
        <w:trPr>
          <w:cantSplit/>
        </w:trPr>
        <w:tc>
          <w:tcPr>
            <w:tcW w:w="0" w:type="auto"/>
            <w:shd w:val="clear" w:color="auto" w:fill="auto"/>
          </w:tcPr>
          <w:p w14:paraId="1FF94441" w14:textId="77777777" w:rsidR="008B4DF8" w:rsidRPr="00C1603D" w:rsidRDefault="008B4DF8" w:rsidP="00CD7FF0">
            <w:pPr>
              <w:pStyle w:val="710TableheadTablesTableFigureBoxstyles"/>
              <w:rPr>
                <w:lang w:eastAsia="zh-CN"/>
              </w:rPr>
            </w:pPr>
            <w:r w:rsidRPr="00C1603D">
              <w:t>Year</w:t>
            </w:r>
          </w:p>
        </w:tc>
        <w:tc>
          <w:tcPr>
            <w:tcW w:w="0" w:type="auto"/>
            <w:shd w:val="clear" w:color="auto" w:fill="auto"/>
          </w:tcPr>
          <w:p w14:paraId="38BC28E9" w14:textId="77777777" w:rsidR="008B4DF8" w:rsidRPr="00C1603D" w:rsidRDefault="008B4DF8" w:rsidP="00CD7FF0">
            <w:pPr>
              <w:pStyle w:val="710TableheadTablesTableFigureBoxstyles"/>
              <w:rPr>
                <w:lang w:eastAsia="zh-CN"/>
              </w:rPr>
            </w:pPr>
            <w:r w:rsidRPr="00C1603D">
              <w:t>Probability survival (95% reference range)</w:t>
            </w:r>
          </w:p>
        </w:tc>
        <w:tc>
          <w:tcPr>
            <w:tcW w:w="0" w:type="auto"/>
            <w:shd w:val="clear" w:color="auto" w:fill="auto"/>
          </w:tcPr>
          <w:p w14:paraId="257A4E6F" w14:textId="77777777" w:rsidR="008B4DF8" w:rsidRPr="00C1603D" w:rsidRDefault="008B4DF8" w:rsidP="00CD7FF0">
            <w:pPr>
              <w:pStyle w:val="710TableheadTablesTableFigureBoxstyles"/>
              <w:rPr>
                <w:lang w:eastAsia="zh-CN"/>
              </w:rPr>
            </w:pPr>
            <w:r w:rsidRPr="00C1603D">
              <w:t>Hazard (95% reference range)</w:t>
            </w:r>
          </w:p>
        </w:tc>
        <w:tc>
          <w:tcPr>
            <w:tcW w:w="0" w:type="auto"/>
            <w:shd w:val="clear" w:color="auto" w:fill="auto"/>
          </w:tcPr>
          <w:p w14:paraId="601FBF5B" w14:textId="77777777" w:rsidR="008B4DF8" w:rsidRPr="00C1603D" w:rsidRDefault="008B4DF8" w:rsidP="00CD7FF0">
            <w:pPr>
              <w:pStyle w:val="710TableheadTablesTableFigureBoxstyles"/>
              <w:rPr>
                <w:lang w:eastAsia="zh-CN"/>
              </w:rPr>
            </w:pPr>
            <w:r w:rsidRPr="00C1603D">
              <w:t>Log hazard (SE)</w:t>
            </w:r>
          </w:p>
        </w:tc>
      </w:tr>
      <w:tr w:rsidR="008B4DF8" w:rsidRPr="00C1603D" w14:paraId="642A4794" w14:textId="77777777" w:rsidTr="00CD7FF0">
        <w:trPr>
          <w:cantSplit/>
        </w:trPr>
        <w:tc>
          <w:tcPr>
            <w:tcW w:w="0" w:type="auto"/>
            <w:shd w:val="clear" w:color="auto" w:fill="auto"/>
          </w:tcPr>
          <w:p w14:paraId="4D45BF4B" w14:textId="77777777" w:rsidR="008B4DF8" w:rsidRPr="00C1603D" w:rsidRDefault="008B4DF8" w:rsidP="00CD7FF0">
            <w:pPr>
              <w:pStyle w:val="72TabletextTablesTableFigureBoxstyles"/>
              <w:rPr>
                <w:lang w:eastAsia="zh-CN"/>
              </w:rPr>
            </w:pPr>
            <w:r w:rsidRPr="00C1603D">
              <w:t>1</w:t>
            </w:r>
          </w:p>
        </w:tc>
        <w:tc>
          <w:tcPr>
            <w:tcW w:w="0" w:type="auto"/>
            <w:shd w:val="clear" w:color="auto" w:fill="auto"/>
          </w:tcPr>
          <w:p w14:paraId="07C88388" w14:textId="1B4C6324" w:rsidR="008B4DF8" w:rsidRPr="00C1603D" w:rsidRDefault="008B4DF8" w:rsidP="00CD7FF0">
            <w:pPr>
              <w:pStyle w:val="72TabletextTablesTableFigureBoxstyles"/>
              <w:rPr>
                <w:lang w:eastAsia="zh-CN"/>
              </w:rPr>
            </w:pPr>
            <w:r w:rsidRPr="00C1603D">
              <w:t>0.794 (0.79</w:t>
            </w:r>
            <w:r w:rsidR="00CD7FF0" w:rsidRPr="00C1603D">
              <w:t xml:space="preserve"> to</w:t>
            </w:r>
            <w:r w:rsidRPr="00C1603D">
              <w:t xml:space="preserve"> 0.797)</w:t>
            </w:r>
          </w:p>
        </w:tc>
        <w:tc>
          <w:tcPr>
            <w:tcW w:w="0" w:type="auto"/>
            <w:shd w:val="clear" w:color="auto" w:fill="auto"/>
          </w:tcPr>
          <w:p w14:paraId="326A9F5F" w14:textId="24172E7A" w:rsidR="008B4DF8" w:rsidRPr="00C1603D" w:rsidRDefault="008B4DF8" w:rsidP="00CD7FF0">
            <w:pPr>
              <w:pStyle w:val="72TabletextTablesTableFigureBoxstyles"/>
              <w:rPr>
                <w:lang w:eastAsia="zh-CN"/>
              </w:rPr>
            </w:pPr>
            <w:r w:rsidRPr="00C1603D">
              <w:t>0.231</w:t>
            </w:r>
            <w:r w:rsidR="00CD7FF0" w:rsidRPr="00C1603D">
              <w:t xml:space="preserve"> </w:t>
            </w:r>
            <w:r w:rsidRPr="00C1603D">
              <w:t>(0.227</w:t>
            </w:r>
            <w:r w:rsidR="00CD7FF0" w:rsidRPr="00C1603D">
              <w:t xml:space="preserve"> to</w:t>
            </w:r>
            <w:r w:rsidRPr="00C1603D">
              <w:t xml:space="preserve"> 0.236)</w:t>
            </w:r>
          </w:p>
        </w:tc>
        <w:tc>
          <w:tcPr>
            <w:tcW w:w="0" w:type="auto"/>
            <w:shd w:val="clear" w:color="auto" w:fill="auto"/>
          </w:tcPr>
          <w:p w14:paraId="3F70C45F" w14:textId="71C21A34" w:rsidR="008B4DF8" w:rsidRPr="00C1603D" w:rsidRDefault="008B4DF8" w:rsidP="00CD7FF0">
            <w:pPr>
              <w:pStyle w:val="72TabletextTablesTableFigureBoxstyles"/>
              <w:rPr>
                <w:lang w:eastAsia="zh-CN"/>
              </w:rPr>
            </w:pPr>
            <w:r w:rsidRPr="00C1603D">
              <w:rPr>
                <w:color w:val="00B0F0"/>
              </w:rPr>
              <w:t>–1</w:t>
            </w:r>
            <w:r w:rsidRPr="00C1603D">
              <w:t>.467</w:t>
            </w:r>
            <w:r w:rsidR="00CD7FF0" w:rsidRPr="00C1603D">
              <w:t xml:space="preserve"> </w:t>
            </w:r>
            <w:r w:rsidRPr="00C1603D">
              <w:t>(0.00973)</w:t>
            </w:r>
          </w:p>
        </w:tc>
      </w:tr>
      <w:tr w:rsidR="008B4DF8" w:rsidRPr="00C1603D" w14:paraId="138416A9" w14:textId="77777777" w:rsidTr="00CD7FF0">
        <w:trPr>
          <w:cantSplit/>
        </w:trPr>
        <w:tc>
          <w:tcPr>
            <w:tcW w:w="0" w:type="auto"/>
            <w:shd w:val="clear" w:color="auto" w:fill="auto"/>
          </w:tcPr>
          <w:p w14:paraId="4508D527" w14:textId="77777777" w:rsidR="008B4DF8" w:rsidRPr="00C1603D" w:rsidRDefault="008B4DF8" w:rsidP="00CD7FF0">
            <w:pPr>
              <w:pStyle w:val="72TabletextTablesTableFigureBoxstyles"/>
              <w:rPr>
                <w:lang w:eastAsia="zh-CN"/>
              </w:rPr>
            </w:pPr>
            <w:r w:rsidRPr="00C1603D">
              <w:t>5</w:t>
            </w:r>
          </w:p>
        </w:tc>
        <w:tc>
          <w:tcPr>
            <w:tcW w:w="0" w:type="auto"/>
            <w:shd w:val="clear" w:color="auto" w:fill="auto"/>
          </w:tcPr>
          <w:p w14:paraId="7EE61194" w14:textId="53B13119" w:rsidR="008B4DF8" w:rsidRPr="00C1603D" w:rsidRDefault="008B4DF8" w:rsidP="00CD7FF0">
            <w:pPr>
              <w:pStyle w:val="72TabletextTablesTableFigureBoxstyles"/>
              <w:rPr>
                <w:lang w:eastAsia="zh-CN"/>
              </w:rPr>
            </w:pPr>
            <w:r w:rsidRPr="00C1603D">
              <w:t>0.656 (0.650</w:t>
            </w:r>
            <w:r w:rsidR="00CD7FF0" w:rsidRPr="00C1603D">
              <w:t xml:space="preserve"> to</w:t>
            </w:r>
            <w:r w:rsidRPr="00C1603D">
              <w:t xml:space="preserve"> 0.663)</w:t>
            </w:r>
          </w:p>
        </w:tc>
        <w:tc>
          <w:tcPr>
            <w:tcW w:w="0" w:type="auto"/>
            <w:shd w:val="clear" w:color="auto" w:fill="auto"/>
          </w:tcPr>
          <w:p w14:paraId="5B3D67DB" w14:textId="5866BC46" w:rsidR="008B4DF8" w:rsidRPr="00C1603D" w:rsidRDefault="008B4DF8" w:rsidP="00CD7FF0">
            <w:pPr>
              <w:pStyle w:val="72TabletextTablesTableFigureBoxstyles"/>
              <w:rPr>
                <w:lang w:eastAsia="zh-CN"/>
              </w:rPr>
            </w:pPr>
            <w:r w:rsidRPr="00C1603D">
              <w:t>0.084</w:t>
            </w:r>
            <w:r w:rsidR="00CD7FF0" w:rsidRPr="00C1603D">
              <w:t xml:space="preserve"> </w:t>
            </w:r>
            <w:r w:rsidRPr="00C1603D">
              <w:t>(0.632</w:t>
            </w:r>
            <w:r w:rsidR="00CD7FF0" w:rsidRPr="00C1603D">
              <w:t xml:space="preserve"> to</w:t>
            </w:r>
            <w:r w:rsidRPr="00C1603D">
              <w:t xml:space="preserve"> 0.657)</w:t>
            </w:r>
          </w:p>
        </w:tc>
        <w:tc>
          <w:tcPr>
            <w:tcW w:w="0" w:type="auto"/>
            <w:shd w:val="clear" w:color="auto" w:fill="auto"/>
          </w:tcPr>
          <w:p w14:paraId="5DC61798" w14:textId="3E743AB2" w:rsidR="008B4DF8" w:rsidRPr="00C1603D" w:rsidRDefault="008B4DF8" w:rsidP="00CD7FF0">
            <w:pPr>
              <w:pStyle w:val="72TabletextTablesTableFigureBoxstyles"/>
              <w:rPr>
                <w:lang w:eastAsia="zh-CN"/>
              </w:rPr>
            </w:pPr>
            <w:r w:rsidRPr="00C1603D">
              <w:rPr>
                <w:color w:val="00B0F0"/>
              </w:rPr>
              <w:t>–2</w:t>
            </w:r>
            <w:r w:rsidRPr="00C1603D">
              <w:t>.473</w:t>
            </w:r>
            <w:r w:rsidR="00CD7FF0" w:rsidRPr="00C1603D">
              <w:t xml:space="preserve"> </w:t>
            </w:r>
            <w:r w:rsidRPr="00C1603D">
              <w:t>(0.009661)</w:t>
            </w:r>
          </w:p>
        </w:tc>
      </w:tr>
      <w:tr w:rsidR="008B4DF8" w:rsidRPr="00C1603D" w14:paraId="62A81AAD" w14:textId="77777777" w:rsidTr="00CD7FF0">
        <w:trPr>
          <w:cantSplit/>
        </w:trPr>
        <w:tc>
          <w:tcPr>
            <w:tcW w:w="0" w:type="auto"/>
            <w:shd w:val="clear" w:color="auto" w:fill="auto"/>
          </w:tcPr>
          <w:p w14:paraId="4D660F36" w14:textId="77777777" w:rsidR="008B4DF8" w:rsidRPr="00C1603D" w:rsidRDefault="008B4DF8" w:rsidP="00CD7FF0">
            <w:pPr>
              <w:pStyle w:val="72TabletextTablesTableFigureBoxstyles"/>
              <w:rPr>
                <w:lang w:eastAsia="zh-CN"/>
              </w:rPr>
            </w:pPr>
            <w:r w:rsidRPr="00C1603D">
              <w:t>10</w:t>
            </w:r>
          </w:p>
        </w:tc>
        <w:tc>
          <w:tcPr>
            <w:tcW w:w="0" w:type="auto"/>
            <w:shd w:val="clear" w:color="auto" w:fill="auto"/>
          </w:tcPr>
          <w:p w14:paraId="5F625ED6" w14:textId="7F8C43F3" w:rsidR="008B4DF8" w:rsidRPr="00C1603D" w:rsidRDefault="008B4DF8" w:rsidP="00CD7FF0">
            <w:pPr>
              <w:pStyle w:val="72TabletextTablesTableFigureBoxstyles"/>
            </w:pPr>
            <w:r w:rsidRPr="00C1603D">
              <w:t>0.547 (0.532</w:t>
            </w:r>
            <w:r w:rsidR="00CD7FF0" w:rsidRPr="00C1603D">
              <w:t xml:space="preserve"> to</w:t>
            </w:r>
            <w:r w:rsidRPr="00C1603D">
              <w:t xml:space="preserve"> 0.653)</w:t>
            </w:r>
          </w:p>
        </w:tc>
        <w:tc>
          <w:tcPr>
            <w:tcW w:w="0" w:type="auto"/>
            <w:shd w:val="clear" w:color="auto" w:fill="auto"/>
          </w:tcPr>
          <w:p w14:paraId="5BDD17E0" w14:textId="711946E8" w:rsidR="008B4DF8" w:rsidRPr="00C1603D" w:rsidRDefault="008B4DF8" w:rsidP="00CD7FF0">
            <w:pPr>
              <w:pStyle w:val="72TabletextTablesTableFigureBoxstyles"/>
              <w:rPr>
                <w:lang w:eastAsia="zh-CN"/>
              </w:rPr>
            </w:pPr>
            <w:r w:rsidRPr="00C1603D">
              <w:t>0.06</w:t>
            </w:r>
            <w:r w:rsidR="00CD7FF0" w:rsidRPr="00C1603D">
              <w:t xml:space="preserve"> </w:t>
            </w:r>
            <w:r w:rsidRPr="00C1603D">
              <w:t>(1.08</w:t>
            </w:r>
            <w:r w:rsidR="00CD7FF0" w:rsidRPr="00C1603D">
              <w:t xml:space="preserve"> to</w:t>
            </w:r>
            <w:r w:rsidRPr="00C1603D">
              <w:t xml:space="preserve"> 1.154)</w:t>
            </w:r>
          </w:p>
        </w:tc>
        <w:tc>
          <w:tcPr>
            <w:tcW w:w="0" w:type="auto"/>
            <w:shd w:val="clear" w:color="auto" w:fill="auto"/>
          </w:tcPr>
          <w:p w14:paraId="4BE9C7F0" w14:textId="0BFC979C" w:rsidR="008B4DF8" w:rsidRPr="00C1603D" w:rsidRDefault="008B4DF8" w:rsidP="00CD7FF0">
            <w:pPr>
              <w:pStyle w:val="72TabletextTablesTableFigureBoxstyles"/>
              <w:rPr>
                <w:lang w:eastAsia="zh-CN"/>
              </w:rPr>
            </w:pPr>
            <w:r w:rsidRPr="00C1603D">
              <w:rPr>
                <w:color w:val="00B0F0"/>
              </w:rPr>
              <w:t>–2</w:t>
            </w:r>
            <w:r w:rsidRPr="00C1603D">
              <w:t>.808</w:t>
            </w:r>
            <w:r w:rsidR="00CD7FF0" w:rsidRPr="00C1603D">
              <w:t xml:space="preserve"> </w:t>
            </w:r>
            <w:r w:rsidRPr="00C1603D">
              <w:t>(0.016893)</w:t>
            </w:r>
          </w:p>
        </w:tc>
      </w:tr>
    </w:tbl>
    <w:p w14:paraId="66144C8A" w14:textId="233C7241" w:rsidR="008B4DF8" w:rsidRPr="00C1603D" w:rsidRDefault="008B4DF8" w:rsidP="008B4DF8">
      <w:pPr>
        <w:pStyle w:val="602TextfoTextstylesTextstyles"/>
        <w:rPr>
          <w:lang w:eastAsia="zh-CN"/>
        </w:rPr>
      </w:pPr>
      <w:r w:rsidRPr="00C1603D">
        <w:rPr>
          <w:lang w:eastAsia="zh-CN"/>
        </w:rPr>
        <w:t>For mortality from hip fracture, we use</w:t>
      </w:r>
      <w:r w:rsidR="00CD7FF0" w:rsidRPr="00C1603D">
        <w:rPr>
          <w:lang w:eastAsia="zh-CN"/>
        </w:rPr>
        <w:t>d</w:t>
      </w:r>
      <w:r w:rsidRPr="00C1603D">
        <w:rPr>
          <w:lang w:eastAsia="zh-CN"/>
        </w:rPr>
        <w:t xml:space="preserve"> Klop</w:t>
      </w:r>
      <w:r w:rsidRPr="00C1603D">
        <w:rPr>
          <w:i/>
          <w:color w:val="00B0F0"/>
          <w:lang w:eastAsia="zh-CN"/>
        </w:rPr>
        <w:t xml:space="preserve"> et al</w:t>
      </w:r>
      <w:r w:rsidR="00CD7FF0" w:rsidRPr="00C1603D">
        <w:rPr>
          <w:lang w:eastAsia="zh-CN"/>
        </w:rPr>
        <w:t>.,</w:t>
      </w:r>
      <w:r w:rsidRPr="00C1603D">
        <w:rPr>
          <w:noProof/>
          <w:vertAlign w:val="superscript"/>
          <w:lang w:eastAsia="zh-CN"/>
        </w:rPr>
        <w:t>250</w:t>
      </w:r>
      <w:r w:rsidRPr="00C1603D">
        <w:rPr>
          <w:lang w:eastAsia="zh-CN"/>
        </w:rPr>
        <w:t xml:space="preserve"> which used CPRD data to examine all-cause and cause-specific mortality post hip fracture </w:t>
      </w:r>
      <w:r w:rsidR="00CD7FF0" w:rsidRPr="00C1603D">
        <w:rPr>
          <w:lang w:eastAsia="zh-CN"/>
        </w:rPr>
        <w:t>among</w:t>
      </w:r>
      <w:r w:rsidRPr="00C1603D">
        <w:rPr>
          <w:lang w:eastAsia="zh-CN"/>
        </w:rPr>
        <w:t xml:space="preserve"> 31,495 patients with a first hip fracture</w:t>
      </w:r>
      <w:r w:rsidR="00CD7FF0" w:rsidRPr="00C1603D">
        <w:rPr>
          <w:lang w:eastAsia="zh-CN"/>
        </w:rPr>
        <w:t>,</w:t>
      </w:r>
      <w:r w:rsidRPr="00C1603D">
        <w:rPr>
          <w:lang w:eastAsia="zh-CN"/>
        </w:rPr>
        <w:t xml:space="preserve"> compared </w:t>
      </w:r>
      <w:r w:rsidR="00CD7FF0" w:rsidRPr="00C1603D">
        <w:rPr>
          <w:lang w:eastAsia="zh-CN"/>
        </w:rPr>
        <w:t>with</w:t>
      </w:r>
      <w:r w:rsidRPr="00C1603D">
        <w:rPr>
          <w:lang w:eastAsia="zh-CN"/>
        </w:rPr>
        <w:t xml:space="preserve"> general population mortality</w:t>
      </w:r>
      <w:r w:rsidR="00CD7FF0" w:rsidRPr="00C1603D">
        <w:rPr>
          <w:lang w:eastAsia="zh-CN"/>
        </w:rPr>
        <w:t>,</w:t>
      </w:r>
      <w:r w:rsidRPr="00C1603D">
        <w:rPr>
          <w:lang w:eastAsia="zh-CN"/>
        </w:rPr>
        <w:t xml:space="preserve"> from 2000 to 2010. </w:t>
      </w:r>
      <w:r w:rsidR="00CD7FF0" w:rsidRPr="00C1603D">
        <w:rPr>
          <w:lang w:eastAsia="zh-CN"/>
        </w:rPr>
        <w:t>The m</w:t>
      </w:r>
      <w:r w:rsidRPr="00C1603D">
        <w:rPr>
          <w:lang w:eastAsia="zh-CN"/>
        </w:rPr>
        <w:t>ean age was 74.1</w:t>
      </w:r>
      <w:r w:rsidR="00CD7FF0" w:rsidRPr="00C1603D">
        <w:rPr>
          <w:lang w:eastAsia="zh-CN"/>
        </w:rPr>
        <w:t> </w:t>
      </w:r>
      <w:r w:rsidRPr="00C1603D">
        <w:rPr>
          <w:lang w:eastAsia="zh-CN"/>
        </w:rPr>
        <w:t>±</w:t>
      </w:r>
      <w:r w:rsidR="00CD7FF0" w:rsidRPr="00C1603D">
        <w:rPr>
          <w:lang w:eastAsia="zh-CN"/>
        </w:rPr>
        <w:t> </w:t>
      </w:r>
      <w:r w:rsidRPr="00C1603D">
        <w:rPr>
          <w:lang w:eastAsia="zh-CN"/>
        </w:rPr>
        <w:t>14.8</w:t>
      </w:r>
      <w:r w:rsidR="00CD7FF0" w:rsidRPr="00C1603D">
        <w:rPr>
          <w:lang w:eastAsia="zh-CN"/>
        </w:rPr>
        <w:t xml:space="preserve"> years</w:t>
      </w:r>
      <w:r w:rsidRPr="00C1603D">
        <w:rPr>
          <w:lang w:eastAsia="zh-CN"/>
        </w:rPr>
        <w:t xml:space="preserve"> </w:t>
      </w:r>
      <w:r w:rsidR="00CD7FF0" w:rsidRPr="00C1603D">
        <w:rPr>
          <w:lang w:eastAsia="zh-CN"/>
        </w:rPr>
        <w:t>for</w:t>
      </w:r>
      <w:r w:rsidRPr="00C1603D">
        <w:rPr>
          <w:lang w:eastAsia="zh-CN"/>
        </w:rPr>
        <w:t xml:space="preserve"> male hip fracture patients and 80.5</w:t>
      </w:r>
      <w:r w:rsidR="00CD7FF0" w:rsidRPr="00C1603D">
        <w:rPr>
          <w:lang w:eastAsia="zh-CN"/>
        </w:rPr>
        <w:t> </w:t>
      </w:r>
      <w:r w:rsidRPr="00C1603D">
        <w:rPr>
          <w:lang w:eastAsia="zh-CN"/>
        </w:rPr>
        <w:t>±</w:t>
      </w:r>
      <w:r w:rsidR="00CD7FF0" w:rsidRPr="00C1603D">
        <w:rPr>
          <w:lang w:eastAsia="zh-CN"/>
        </w:rPr>
        <w:t> </w:t>
      </w:r>
      <w:r w:rsidRPr="00C1603D">
        <w:rPr>
          <w:lang w:eastAsia="zh-CN"/>
        </w:rPr>
        <w:t>10.5</w:t>
      </w:r>
      <w:r w:rsidR="00CD7FF0" w:rsidRPr="00C1603D">
        <w:rPr>
          <w:lang w:eastAsia="zh-CN"/>
        </w:rPr>
        <w:t xml:space="preserve"> years</w:t>
      </w:r>
      <w:r w:rsidRPr="00C1603D">
        <w:rPr>
          <w:lang w:eastAsia="zh-CN"/>
        </w:rPr>
        <w:t xml:space="preserve"> </w:t>
      </w:r>
      <w:r w:rsidR="00CD7FF0" w:rsidRPr="00C1603D">
        <w:rPr>
          <w:lang w:eastAsia="zh-CN"/>
        </w:rPr>
        <w:t>for</w:t>
      </w:r>
      <w:r w:rsidRPr="00C1603D">
        <w:rPr>
          <w:lang w:eastAsia="zh-CN"/>
        </w:rPr>
        <w:t xml:space="preserve"> female </w:t>
      </w:r>
      <w:r w:rsidR="00CD7FF0" w:rsidRPr="00C1603D">
        <w:rPr>
          <w:lang w:eastAsia="zh-CN"/>
        </w:rPr>
        <w:t xml:space="preserve">hip fracture </w:t>
      </w:r>
      <w:r w:rsidRPr="00C1603D">
        <w:rPr>
          <w:lang w:eastAsia="zh-CN"/>
        </w:rPr>
        <w:t xml:space="preserve">patients. During the total study period, the hazard ratio for </w:t>
      </w:r>
      <w:r w:rsidR="00CD7FF0" w:rsidRPr="00C1603D">
        <w:rPr>
          <w:lang w:eastAsia="zh-CN"/>
        </w:rPr>
        <w:t>1</w:t>
      </w:r>
      <w:r w:rsidRPr="00C1603D">
        <w:rPr>
          <w:lang w:eastAsia="zh-CN"/>
        </w:rPr>
        <w:t>-year all-cause mortality was 3.5 times (95% CI 3.28</w:t>
      </w:r>
      <w:r w:rsidR="00CD7FF0" w:rsidRPr="00C1603D">
        <w:rPr>
          <w:lang w:eastAsia="zh-CN"/>
        </w:rPr>
        <w:t xml:space="preserve"> to </w:t>
      </w:r>
      <w:r w:rsidRPr="00C1603D">
        <w:rPr>
          <w:lang w:eastAsia="zh-CN"/>
        </w:rPr>
        <w:t>3.74</w:t>
      </w:r>
      <w:r w:rsidR="00CD7FF0" w:rsidRPr="00C1603D">
        <w:rPr>
          <w:lang w:eastAsia="zh-CN"/>
        </w:rPr>
        <w:t xml:space="preserve"> times</w:t>
      </w:r>
      <w:r w:rsidRPr="00C1603D">
        <w:rPr>
          <w:lang w:eastAsia="zh-CN"/>
        </w:rPr>
        <w:t>) greater for male hip fracture patients than</w:t>
      </w:r>
      <w:r w:rsidR="00CD7FF0" w:rsidRPr="00C1603D">
        <w:rPr>
          <w:lang w:eastAsia="zh-CN"/>
        </w:rPr>
        <w:t xml:space="preserve"> for</w:t>
      </w:r>
      <w:r w:rsidRPr="00C1603D">
        <w:rPr>
          <w:lang w:eastAsia="zh-CN"/>
        </w:rPr>
        <w:t xml:space="preserve"> control subjects after adjustment for age, comorbidities, medication use and lifestyle factors. </w:t>
      </w:r>
      <w:r w:rsidR="00CD7FF0" w:rsidRPr="00C1603D">
        <w:rPr>
          <w:lang w:eastAsia="zh-CN"/>
        </w:rPr>
        <w:t>For females, t</w:t>
      </w:r>
      <w:r w:rsidRPr="00C1603D">
        <w:rPr>
          <w:lang w:eastAsia="zh-CN"/>
        </w:rPr>
        <w:t>his risk was 2.4-fold (95% CI 2.31</w:t>
      </w:r>
      <w:r w:rsidR="00CD7FF0" w:rsidRPr="00C1603D">
        <w:rPr>
          <w:lang w:eastAsia="zh-CN"/>
        </w:rPr>
        <w:t xml:space="preserve">- to </w:t>
      </w:r>
      <w:r w:rsidRPr="00C1603D">
        <w:rPr>
          <w:lang w:eastAsia="zh-CN"/>
        </w:rPr>
        <w:t>2.50</w:t>
      </w:r>
      <w:r w:rsidR="00CD7FF0" w:rsidRPr="00C1603D">
        <w:rPr>
          <w:lang w:eastAsia="zh-CN"/>
        </w:rPr>
        <w:t>-fold</w:t>
      </w:r>
      <w:r w:rsidRPr="00C1603D">
        <w:rPr>
          <w:lang w:eastAsia="zh-CN"/>
        </w:rPr>
        <w:t xml:space="preserve">) greater than </w:t>
      </w:r>
      <w:r w:rsidR="00CD7FF0" w:rsidRPr="00C1603D">
        <w:rPr>
          <w:lang w:eastAsia="zh-CN"/>
        </w:rPr>
        <w:t xml:space="preserve">that of </w:t>
      </w:r>
      <w:r w:rsidRPr="00C1603D">
        <w:rPr>
          <w:lang w:eastAsia="zh-CN"/>
        </w:rPr>
        <w:t>controls.</w:t>
      </w:r>
    </w:p>
    <w:p w14:paraId="33C94757" w14:textId="69B5190A" w:rsidR="008B4DF8" w:rsidRPr="00C1603D" w:rsidRDefault="008B4DF8" w:rsidP="008B4DF8">
      <w:pPr>
        <w:pStyle w:val="54CheadHeadingsHeadingstyles"/>
      </w:pPr>
      <w:bookmarkStart w:id="395" w:name="_Toc87507192"/>
      <w:bookmarkStart w:id="396" w:name="_Ref61617492"/>
      <w:r w:rsidRPr="00C1603D">
        <w:t xml:space="preserve">Table of </w:t>
      </w:r>
      <w:r w:rsidR="00CD7FF0" w:rsidRPr="00C1603D">
        <w:t>model inp</w:t>
      </w:r>
      <w:r w:rsidRPr="00C1603D">
        <w:t>uts</w:t>
      </w:r>
      <w:bookmarkEnd w:id="395"/>
    </w:p>
    <w:p w14:paraId="4BC29C16" w14:textId="4E57C8E6" w:rsidR="008B4DF8" w:rsidRPr="00C1603D" w:rsidRDefault="008B4DF8" w:rsidP="008B4DF8">
      <w:pPr>
        <w:pStyle w:val="602TextfoTextstylesTextstyles"/>
      </w:pPr>
      <w:proofErr w:type="gramStart"/>
      <w:r w:rsidRPr="00C1603D">
        <w:t>A summary of all input parameters,</w:t>
      </w:r>
      <w:proofErr w:type="gramEnd"/>
      <w:r w:rsidRPr="00C1603D">
        <w:t xml:space="preserve"> assumed distributions and evidence sources are provided in </w:t>
      </w:r>
      <w:r w:rsidRPr="00C1603D">
        <w:rPr>
          <w:rFonts w:cs="Calibri"/>
          <w:i/>
          <w:color w:val="FF0000"/>
        </w:rPr>
        <w:t xml:space="preserve">Table </w:t>
      </w:r>
      <w:r w:rsidRPr="00C1603D">
        <w:rPr>
          <w:i/>
          <w:noProof/>
          <w:color w:val="FF0000"/>
        </w:rPr>
        <w:t>1</w:t>
      </w:r>
      <w:r w:rsidR="008A6568" w:rsidRPr="00C1603D">
        <w:rPr>
          <w:i/>
          <w:noProof/>
          <w:color w:val="FF0000"/>
        </w:rPr>
        <w:t>8</w:t>
      </w:r>
      <w:r w:rsidRPr="00C1603D">
        <w:t>.</w:t>
      </w:r>
    </w:p>
    <w:p w14:paraId="03EADCC6" w14:textId="109EB9F4" w:rsidR="008B4DF8" w:rsidRPr="00C1603D" w:rsidRDefault="008B4DF8" w:rsidP="008B4DF8">
      <w:pPr>
        <w:pStyle w:val="70TablelegendTablesTableFigureBoxstyles"/>
      </w:pPr>
      <w:bookmarkStart w:id="397" w:name="_Toc99720728"/>
      <w:bookmarkEnd w:id="396"/>
      <w:r w:rsidRPr="00C1603D">
        <w:rPr>
          <w:b/>
        </w:rPr>
        <w:t>TABLE 1</w:t>
      </w:r>
      <w:r w:rsidR="00032460" w:rsidRPr="00C1603D">
        <w:rPr>
          <w:b/>
        </w:rPr>
        <w:t>8</w:t>
      </w:r>
      <w:r w:rsidRPr="00C1603D">
        <w:rPr>
          <w:b/>
        </w:rPr>
        <w:t> </w:t>
      </w:r>
      <w:r w:rsidRPr="00C1603D">
        <w:t>Model parameters and data sources</w:t>
      </w:r>
      <w:bookmarkEnd w:id="397"/>
    </w:p>
    <w:tbl>
      <w:tblPr>
        <w:tblW w:w="0" w:type="auto"/>
        <w:tblLayout w:type="fixed"/>
        <w:tblCellMar>
          <w:top w:w="40" w:type="dxa"/>
          <w:left w:w="60" w:type="dxa"/>
          <w:bottom w:w="40" w:type="dxa"/>
          <w:right w:w="60" w:type="dxa"/>
        </w:tblCellMar>
        <w:tblLook w:val="04A0" w:firstRow="1" w:lastRow="0" w:firstColumn="1" w:lastColumn="0" w:noHBand="0" w:noVBand="1"/>
      </w:tblPr>
      <w:tblGrid>
        <w:gridCol w:w="2977"/>
        <w:gridCol w:w="2693"/>
        <w:gridCol w:w="1985"/>
        <w:gridCol w:w="1371"/>
      </w:tblGrid>
      <w:tr w:rsidR="008B4DF8" w:rsidRPr="00C1603D" w14:paraId="49BD2C99" w14:textId="77777777" w:rsidTr="00CD7FF0">
        <w:trPr>
          <w:cantSplit/>
        </w:trPr>
        <w:tc>
          <w:tcPr>
            <w:tcW w:w="2977" w:type="dxa"/>
            <w:shd w:val="clear" w:color="auto" w:fill="auto"/>
          </w:tcPr>
          <w:p w14:paraId="6130F226" w14:textId="77777777" w:rsidR="008B4DF8" w:rsidRPr="00C1603D" w:rsidRDefault="008B4DF8" w:rsidP="00CD7FF0">
            <w:pPr>
              <w:pStyle w:val="710TableheadTablesTableFigureBoxstyles"/>
            </w:pPr>
            <w:r w:rsidRPr="00C1603D">
              <w:t>Parameter</w:t>
            </w:r>
          </w:p>
        </w:tc>
        <w:tc>
          <w:tcPr>
            <w:tcW w:w="2693" w:type="dxa"/>
            <w:shd w:val="clear" w:color="auto" w:fill="auto"/>
          </w:tcPr>
          <w:p w14:paraId="2DC67A5E" w14:textId="77777777" w:rsidR="008B4DF8" w:rsidRPr="00C1603D" w:rsidRDefault="008B4DF8" w:rsidP="00CD7FF0">
            <w:pPr>
              <w:pStyle w:val="710TableheadTablesTableFigureBoxstyles"/>
            </w:pPr>
            <w:r w:rsidRPr="00C1603D">
              <w:t>Estimate</w:t>
            </w:r>
          </w:p>
        </w:tc>
        <w:tc>
          <w:tcPr>
            <w:tcW w:w="1985" w:type="dxa"/>
            <w:shd w:val="clear" w:color="auto" w:fill="auto"/>
          </w:tcPr>
          <w:p w14:paraId="32512478" w14:textId="77777777" w:rsidR="008B4DF8" w:rsidRPr="00C1603D" w:rsidRDefault="008B4DF8" w:rsidP="00CD7FF0">
            <w:pPr>
              <w:pStyle w:val="710TableheadTablesTableFigureBoxstyles"/>
            </w:pPr>
            <w:r w:rsidRPr="00C1603D">
              <w:t>Distribution</w:t>
            </w:r>
          </w:p>
        </w:tc>
        <w:tc>
          <w:tcPr>
            <w:tcW w:w="1371" w:type="dxa"/>
            <w:shd w:val="clear" w:color="auto" w:fill="auto"/>
          </w:tcPr>
          <w:p w14:paraId="6DF0CB89" w14:textId="77777777" w:rsidR="008B4DF8" w:rsidRPr="00C1603D" w:rsidRDefault="008B4DF8" w:rsidP="00CD7FF0">
            <w:pPr>
              <w:pStyle w:val="710TableheadTablesTableFigureBoxstyles"/>
            </w:pPr>
            <w:r w:rsidRPr="00C1603D">
              <w:t>Source</w:t>
            </w:r>
          </w:p>
        </w:tc>
      </w:tr>
      <w:tr w:rsidR="008B4DF8" w:rsidRPr="00C1603D" w14:paraId="28CF61BD" w14:textId="77777777" w:rsidTr="00CD7FF0">
        <w:trPr>
          <w:cantSplit/>
        </w:trPr>
        <w:tc>
          <w:tcPr>
            <w:tcW w:w="9026" w:type="dxa"/>
            <w:gridSpan w:val="4"/>
            <w:shd w:val="clear" w:color="auto" w:fill="auto"/>
          </w:tcPr>
          <w:p w14:paraId="7964BDB9" w14:textId="77777777" w:rsidR="008B4DF8" w:rsidRPr="00C1603D" w:rsidRDefault="008B4DF8" w:rsidP="00CD7FF0">
            <w:pPr>
              <w:pStyle w:val="711TablesubheadATablesTableFigureBoxstyles"/>
            </w:pPr>
            <w:r w:rsidRPr="00C1603D">
              <w:t>Decision tree and Markov initial probabilities</w:t>
            </w:r>
          </w:p>
        </w:tc>
      </w:tr>
      <w:tr w:rsidR="008B4DF8" w:rsidRPr="00C1603D" w14:paraId="31A7B8EC" w14:textId="77777777" w:rsidTr="00CD7FF0">
        <w:trPr>
          <w:cantSplit/>
        </w:trPr>
        <w:tc>
          <w:tcPr>
            <w:tcW w:w="2977" w:type="dxa"/>
            <w:shd w:val="clear" w:color="auto" w:fill="auto"/>
          </w:tcPr>
          <w:p w14:paraId="36E54922" w14:textId="77777777" w:rsidR="008B4DF8" w:rsidRPr="00C1603D" w:rsidRDefault="008B4DF8" w:rsidP="00CD7FF0">
            <w:pPr>
              <w:pStyle w:val="72TabletextTablesTableFigureBoxstyles"/>
            </w:pPr>
            <w:r w:rsidRPr="00C1603D">
              <w:t>Probability of late detection of CD after FN diagnosis</w:t>
            </w:r>
          </w:p>
        </w:tc>
        <w:tc>
          <w:tcPr>
            <w:tcW w:w="2693" w:type="dxa"/>
            <w:shd w:val="clear" w:color="auto" w:fill="auto"/>
          </w:tcPr>
          <w:p w14:paraId="0A494B56" w14:textId="5753E7FD" w:rsidR="00CD7FF0" w:rsidRPr="00C1603D" w:rsidRDefault="00CD7FF0" w:rsidP="00CD7FF0">
            <w:pPr>
              <w:pStyle w:val="72TabletextTablesTableFigureBoxstyles"/>
            </w:pPr>
            <w:r w:rsidRPr="00C1603D">
              <w:t>Mean t</w:t>
            </w:r>
            <w:r w:rsidR="008B4DF8" w:rsidRPr="00C1603D">
              <w:t>ime</w:t>
            </w:r>
            <w:r w:rsidRPr="00C1603D">
              <w:t xml:space="preserve"> (years)</w:t>
            </w:r>
            <w:r w:rsidR="008B4DF8" w:rsidRPr="00C1603D">
              <w:t xml:space="preserve"> to diagnosis</w:t>
            </w:r>
            <w:r w:rsidRPr="00C1603D">
              <w:t>:</w:t>
            </w:r>
          </w:p>
          <w:p w14:paraId="15335D0B" w14:textId="3884714B" w:rsidR="008B4DF8" w:rsidRPr="00C1603D" w:rsidRDefault="00CD7FF0" w:rsidP="00CD7FF0">
            <w:pPr>
              <w:pStyle w:val="722TablebulletlistTablesTableFigureBoxstyles"/>
            </w:pPr>
            <w:r w:rsidRPr="00C1603D">
              <w:t xml:space="preserve">Adults </w:t>
            </w:r>
            <w:r w:rsidR="008B4DF8" w:rsidRPr="00C1603D">
              <w:t>– 10.93 (SD 13.10)</w:t>
            </w:r>
          </w:p>
          <w:p w14:paraId="6E85319B" w14:textId="789C4017" w:rsidR="008B4DF8" w:rsidRPr="00C1603D" w:rsidRDefault="00CD7FF0" w:rsidP="00CD7FF0">
            <w:pPr>
              <w:pStyle w:val="722TablebulletlistTablesTableFigureBoxstyles"/>
            </w:pPr>
            <w:r w:rsidRPr="00C1603D">
              <w:t>Children –</w:t>
            </w:r>
            <w:r w:rsidR="008B4DF8" w:rsidRPr="00C1603D">
              <w:t xml:space="preserve"> 3.34 (SD 3.71)</w:t>
            </w:r>
          </w:p>
        </w:tc>
        <w:tc>
          <w:tcPr>
            <w:tcW w:w="1985" w:type="dxa"/>
            <w:shd w:val="clear" w:color="auto" w:fill="auto"/>
          </w:tcPr>
          <w:p w14:paraId="06CCF382" w14:textId="77777777" w:rsidR="008B4DF8" w:rsidRPr="00C1603D" w:rsidRDefault="008B4DF8" w:rsidP="00CD7FF0">
            <w:pPr>
              <w:pStyle w:val="72TabletextTablesTableFigureBoxstyles"/>
            </w:pPr>
            <w:r w:rsidRPr="00C1603D">
              <w:t>Normal</w:t>
            </w:r>
          </w:p>
        </w:tc>
        <w:tc>
          <w:tcPr>
            <w:tcW w:w="1371" w:type="dxa"/>
            <w:shd w:val="clear" w:color="auto" w:fill="auto"/>
          </w:tcPr>
          <w:p w14:paraId="7FA680CA" w14:textId="1D53A167" w:rsidR="008B4DF8" w:rsidRPr="00C1603D" w:rsidRDefault="008B4DF8" w:rsidP="00CD7FF0">
            <w:pPr>
              <w:pStyle w:val="72TabletextTablesTableFigureBoxstyles"/>
            </w:pPr>
            <w:r w:rsidRPr="00C1603D">
              <w:t>Violato</w:t>
            </w:r>
            <w:r w:rsidRPr="00C1603D">
              <w:rPr>
                <w:i/>
                <w:color w:val="00B0F0"/>
              </w:rPr>
              <w:t xml:space="preserve"> et al</w:t>
            </w:r>
            <w:r w:rsidR="00CD7FF0" w:rsidRPr="00C1603D">
              <w:rPr>
                <w:iCs/>
                <w:color w:val="00B0F0"/>
              </w:rPr>
              <w:t>.</w:t>
            </w:r>
            <w:r w:rsidRPr="00C1603D">
              <w:rPr>
                <w:iCs/>
                <w:noProof/>
                <w:vertAlign w:val="superscript"/>
              </w:rPr>
              <w:t>238</w:t>
            </w:r>
          </w:p>
        </w:tc>
      </w:tr>
      <w:tr w:rsidR="008B4DF8" w:rsidRPr="00C1603D" w14:paraId="2E7B8C6C" w14:textId="77777777" w:rsidTr="00CD7FF0">
        <w:trPr>
          <w:cantSplit/>
        </w:trPr>
        <w:tc>
          <w:tcPr>
            <w:tcW w:w="2977" w:type="dxa"/>
            <w:shd w:val="clear" w:color="auto" w:fill="auto"/>
          </w:tcPr>
          <w:p w14:paraId="0A6E132C" w14:textId="70F31C8D" w:rsidR="008B4DF8" w:rsidRPr="00C1603D" w:rsidRDefault="008B4DF8" w:rsidP="00CD7FF0">
            <w:pPr>
              <w:pStyle w:val="72TabletextTablesTableFigureBoxstyles"/>
            </w:pPr>
            <w:r w:rsidRPr="00C1603D">
              <w:t xml:space="preserve">Probability </w:t>
            </w:r>
            <w:r w:rsidR="00CD7FF0" w:rsidRPr="00C1603D">
              <w:t xml:space="preserve">that </w:t>
            </w:r>
            <w:r w:rsidRPr="00C1603D">
              <w:t>confirmatory biopsy needed</w:t>
            </w:r>
          </w:p>
        </w:tc>
        <w:tc>
          <w:tcPr>
            <w:tcW w:w="2693" w:type="dxa"/>
            <w:shd w:val="clear" w:color="auto" w:fill="auto"/>
          </w:tcPr>
          <w:p w14:paraId="3BE245DE" w14:textId="77777777" w:rsidR="008B4DF8" w:rsidRPr="00C1603D" w:rsidRDefault="008B4DF8" w:rsidP="00CD7FF0">
            <w:pPr>
              <w:pStyle w:val="72TabletextTablesTableFigureBoxstyles"/>
            </w:pPr>
            <w:commentRangeStart w:id="398"/>
            <w:r w:rsidRPr="00C1603D">
              <w:t>0.7 (0.6 – 0.8)</w:t>
            </w:r>
            <w:commentRangeEnd w:id="398"/>
            <w:r w:rsidR="00CD7FF0" w:rsidRPr="00C1603D">
              <w:rPr>
                <w:rFonts w:ascii="Times New Roman" w:hAnsi="Times New Roman" w:cs="Times New Roman"/>
                <w:color w:val="auto"/>
                <w:lang w:val="en-US"/>
              </w:rPr>
              <w:commentReference w:id="398"/>
            </w:r>
          </w:p>
        </w:tc>
        <w:tc>
          <w:tcPr>
            <w:tcW w:w="1985" w:type="dxa"/>
            <w:shd w:val="clear" w:color="auto" w:fill="auto"/>
          </w:tcPr>
          <w:p w14:paraId="729F290A" w14:textId="77777777" w:rsidR="008B4DF8" w:rsidRPr="00C1603D" w:rsidRDefault="008B4DF8" w:rsidP="00CD7FF0">
            <w:pPr>
              <w:pStyle w:val="72TabletextTablesTableFigureBoxstyles"/>
            </w:pPr>
            <w:r w:rsidRPr="00C1603D">
              <w:t>Uniform</w:t>
            </w:r>
          </w:p>
        </w:tc>
        <w:tc>
          <w:tcPr>
            <w:tcW w:w="1371" w:type="dxa"/>
            <w:shd w:val="clear" w:color="auto" w:fill="auto"/>
          </w:tcPr>
          <w:p w14:paraId="5EF66B34" w14:textId="5981E58F" w:rsidR="008B4DF8" w:rsidRPr="00C1603D" w:rsidRDefault="008B4DF8" w:rsidP="00CD7FF0">
            <w:pPr>
              <w:pStyle w:val="72TabletextTablesTableFigureBoxstyles"/>
            </w:pPr>
            <w:r w:rsidRPr="00C1603D">
              <w:t>Studies on percentage needing biopsy</w:t>
            </w:r>
            <w:r w:rsidR="00CD7FF0" w:rsidRPr="00C1603D">
              <w:t>.</w:t>
            </w:r>
            <w:r w:rsidRPr="00C1603D">
              <w:rPr>
                <w:noProof/>
                <w:vertAlign w:val="superscript"/>
              </w:rPr>
              <w:t>223</w:t>
            </w:r>
            <w:r w:rsidRPr="00C1603D">
              <w:rPr>
                <w:noProof/>
                <w:color w:val="00B0F0"/>
                <w:vertAlign w:val="superscript"/>
              </w:rPr>
              <w:t>–2</w:t>
            </w:r>
            <w:r w:rsidRPr="00C1603D">
              <w:rPr>
                <w:noProof/>
                <w:vertAlign w:val="superscript"/>
              </w:rPr>
              <w:t>26</w:t>
            </w:r>
            <w:r w:rsidR="00CD7FF0" w:rsidRPr="00C1603D">
              <w:t xml:space="preserve"> </w:t>
            </w:r>
            <w:r w:rsidRPr="00C1603D">
              <w:t>The 60% lower bound is based on the findings of a retrospective analysis of 270 adult patients</w:t>
            </w:r>
            <w:r w:rsidRPr="00C1603D">
              <w:rPr>
                <w:noProof/>
                <w:vertAlign w:val="superscript"/>
              </w:rPr>
              <w:t>225</w:t>
            </w:r>
          </w:p>
        </w:tc>
      </w:tr>
      <w:tr w:rsidR="008B4DF8" w:rsidRPr="00C1603D" w14:paraId="6CE28E45" w14:textId="77777777" w:rsidTr="00CD7FF0">
        <w:trPr>
          <w:cantSplit/>
        </w:trPr>
        <w:tc>
          <w:tcPr>
            <w:tcW w:w="2977" w:type="dxa"/>
            <w:shd w:val="clear" w:color="auto" w:fill="auto"/>
          </w:tcPr>
          <w:p w14:paraId="54C6DF9A" w14:textId="3810CBAA" w:rsidR="008B4DF8" w:rsidRPr="00C1603D" w:rsidRDefault="008B4DF8" w:rsidP="00CD7FF0">
            <w:pPr>
              <w:pStyle w:val="72TabletextTablesTableFigureBoxstyles"/>
            </w:pPr>
            <w:r w:rsidRPr="00C1603D">
              <w:t>Proportion with osteoporosis</w:t>
            </w:r>
            <w:r w:rsidR="00CD7FF0" w:rsidRPr="00C1603D">
              <w:t>,</w:t>
            </w:r>
            <w:r w:rsidRPr="00C1603D">
              <w:t xml:space="preserve"> NHL or IDA at diagnosis</w:t>
            </w:r>
          </w:p>
        </w:tc>
        <w:tc>
          <w:tcPr>
            <w:tcW w:w="2693" w:type="dxa"/>
            <w:shd w:val="clear" w:color="auto" w:fill="auto"/>
          </w:tcPr>
          <w:p w14:paraId="6C7D0503" w14:textId="7D2503F5" w:rsidR="008B4DF8" w:rsidRPr="00C1603D" w:rsidRDefault="008B4DF8" w:rsidP="00CD7FF0">
            <w:pPr>
              <w:pStyle w:val="72TabletextTablesTableFigureBoxstyles"/>
            </w:pPr>
            <w:r w:rsidRPr="00C1603D">
              <w:t xml:space="preserve">Age dependent (see </w:t>
            </w:r>
            <w:r w:rsidR="009F423E" w:rsidRPr="00C1603D">
              <w:t>t</w:t>
            </w:r>
            <w:r w:rsidRPr="00C1603D">
              <w:t>able S13</w:t>
            </w:r>
            <w:r w:rsidR="009F423E" w:rsidRPr="00C1603D">
              <w:t xml:space="preserve"> in </w:t>
            </w:r>
            <w:r w:rsidR="009F423E" w:rsidRPr="00C1603D">
              <w:rPr>
                <w:i/>
                <w:iCs/>
              </w:rPr>
              <w:t>Report Supplementary Material 1</w:t>
            </w:r>
            <w:r w:rsidRPr="00C1603D">
              <w:t>)</w:t>
            </w:r>
          </w:p>
        </w:tc>
        <w:tc>
          <w:tcPr>
            <w:tcW w:w="1985" w:type="dxa"/>
            <w:shd w:val="clear" w:color="auto" w:fill="auto"/>
          </w:tcPr>
          <w:p w14:paraId="13363DC7" w14:textId="77777777" w:rsidR="008B4DF8" w:rsidRPr="00C1603D" w:rsidRDefault="008B4DF8" w:rsidP="00CD7FF0">
            <w:pPr>
              <w:pStyle w:val="72TabletextTablesTableFigureBoxstyles"/>
            </w:pPr>
            <w:r w:rsidRPr="00C1603D">
              <w:t>Independent beta for each condition</w:t>
            </w:r>
          </w:p>
        </w:tc>
        <w:tc>
          <w:tcPr>
            <w:tcW w:w="1371" w:type="dxa"/>
            <w:shd w:val="clear" w:color="auto" w:fill="auto"/>
          </w:tcPr>
          <w:p w14:paraId="22ECAE2C" w14:textId="77F4FA00" w:rsidR="008B4DF8" w:rsidRPr="00C1603D" w:rsidRDefault="008B4DF8" w:rsidP="00CD7FF0">
            <w:pPr>
              <w:pStyle w:val="72TabletextTablesTableFigureBoxstyles"/>
            </w:pPr>
            <w:r w:rsidRPr="00C1603D">
              <w:t>CPRD age</w:t>
            </w:r>
            <w:r w:rsidR="000178D4" w:rsidRPr="00C1603D">
              <w:t>-</w:t>
            </w:r>
            <w:r w:rsidRPr="00C1603D">
              <w:t xml:space="preserve"> and gender</w:t>
            </w:r>
            <w:r w:rsidR="000178D4" w:rsidRPr="00C1603D">
              <w:t>-</w:t>
            </w:r>
            <w:r w:rsidRPr="00C1603D">
              <w:t>stratified prevalence</w:t>
            </w:r>
          </w:p>
        </w:tc>
      </w:tr>
      <w:tr w:rsidR="008B4DF8" w:rsidRPr="00C1603D" w14:paraId="1B530BE7" w14:textId="77777777" w:rsidTr="00CD7FF0">
        <w:trPr>
          <w:cantSplit/>
        </w:trPr>
        <w:tc>
          <w:tcPr>
            <w:tcW w:w="9026" w:type="dxa"/>
            <w:gridSpan w:val="4"/>
            <w:shd w:val="clear" w:color="auto" w:fill="auto"/>
          </w:tcPr>
          <w:p w14:paraId="4A78E76D" w14:textId="4FED4907" w:rsidR="008B4DF8" w:rsidRPr="00C1603D" w:rsidRDefault="008B4DF8" w:rsidP="00CD7FF0">
            <w:pPr>
              <w:pStyle w:val="711TablesubheadATablesTableFigureBoxstyles"/>
            </w:pPr>
            <w:r w:rsidRPr="00C1603D">
              <w:t xml:space="preserve">Diagnostic accuracy of tests from </w:t>
            </w:r>
            <w:r w:rsidRPr="00C1603D">
              <w:rPr>
                <w:i w:val="0"/>
                <w:iCs w:val="0"/>
              </w:rPr>
              <w:t>Chapter</w:t>
            </w:r>
            <w:r w:rsidR="000178D4" w:rsidRPr="00C1603D">
              <w:rPr>
                <w:i w:val="0"/>
                <w:iCs w:val="0"/>
              </w:rPr>
              <w:t>s</w:t>
            </w:r>
            <w:r w:rsidRPr="00C1603D">
              <w:rPr>
                <w:i w:val="0"/>
                <w:iCs w:val="0"/>
              </w:rPr>
              <w:t xml:space="preserve"> 5</w:t>
            </w:r>
            <w:r w:rsidRPr="00C1603D">
              <w:t xml:space="preserve"> and </w:t>
            </w:r>
            <w:r w:rsidRPr="00C1603D">
              <w:rPr>
                <w:i w:val="0"/>
                <w:iCs w:val="0"/>
              </w:rPr>
              <w:t>6</w:t>
            </w:r>
          </w:p>
        </w:tc>
      </w:tr>
      <w:tr w:rsidR="008B4DF8" w:rsidRPr="00C1603D" w14:paraId="7CCCC005" w14:textId="77777777" w:rsidTr="00CD7FF0">
        <w:trPr>
          <w:cantSplit/>
        </w:trPr>
        <w:tc>
          <w:tcPr>
            <w:tcW w:w="9026" w:type="dxa"/>
            <w:gridSpan w:val="4"/>
            <w:shd w:val="clear" w:color="auto" w:fill="auto"/>
          </w:tcPr>
          <w:p w14:paraId="5BFC6572" w14:textId="77777777" w:rsidR="008B4DF8" w:rsidRPr="00C1603D" w:rsidRDefault="008B4DF8" w:rsidP="00CD7FF0">
            <w:pPr>
              <w:pStyle w:val="712TablesubheadBTablesTableFigureBoxstyles"/>
              <w:rPr>
                <w:lang w:eastAsia="zh-CN"/>
              </w:rPr>
            </w:pPr>
            <w:r w:rsidRPr="00C1603D">
              <w:rPr>
                <w:lang w:eastAsia="zh-CN"/>
              </w:rPr>
              <w:t>Costs</w:t>
            </w:r>
          </w:p>
        </w:tc>
      </w:tr>
      <w:tr w:rsidR="008B4DF8" w:rsidRPr="00C1603D" w14:paraId="09A17DEC" w14:textId="77777777" w:rsidTr="00CD7FF0">
        <w:trPr>
          <w:cantSplit/>
        </w:trPr>
        <w:tc>
          <w:tcPr>
            <w:tcW w:w="2977" w:type="dxa"/>
            <w:shd w:val="clear" w:color="auto" w:fill="auto"/>
            <w:noWrap/>
          </w:tcPr>
          <w:p w14:paraId="55EF7873" w14:textId="5379E8CD" w:rsidR="008B4DF8" w:rsidRPr="00C1603D" w:rsidRDefault="008B4DF8" w:rsidP="00CD7FF0">
            <w:pPr>
              <w:pStyle w:val="72TabletextTablesTableFigureBoxstyles"/>
              <w:rPr>
                <w:lang w:eastAsia="zh-CN"/>
              </w:rPr>
            </w:pPr>
            <w:r w:rsidRPr="00C1603D">
              <w:rPr>
                <w:lang w:eastAsia="zh-CN"/>
              </w:rPr>
              <w:lastRenderedPageBreak/>
              <w:t>Unit cost of IgA EMA</w:t>
            </w:r>
            <w:r w:rsidR="000178D4" w:rsidRPr="00C1603D">
              <w:rPr>
                <w:lang w:eastAsia="zh-CN"/>
              </w:rPr>
              <w:t xml:space="preserve"> test</w:t>
            </w:r>
          </w:p>
        </w:tc>
        <w:tc>
          <w:tcPr>
            <w:tcW w:w="2693" w:type="dxa"/>
            <w:shd w:val="clear" w:color="auto" w:fill="auto"/>
            <w:noWrap/>
          </w:tcPr>
          <w:p w14:paraId="5EECBEB3" w14:textId="623D8560" w:rsidR="008B4DF8" w:rsidRPr="00C1603D" w:rsidRDefault="008B4DF8" w:rsidP="00CD7FF0">
            <w:pPr>
              <w:pStyle w:val="72TabletextTablesTableFigureBoxstyles"/>
              <w:rPr>
                <w:lang w:eastAsia="zh-CN"/>
              </w:rPr>
            </w:pPr>
            <w:r w:rsidRPr="00C1603D">
              <w:rPr>
                <w:lang w:eastAsia="zh-CN"/>
              </w:rPr>
              <w:t>£14.92 (SE 1.87)</w:t>
            </w:r>
          </w:p>
        </w:tc>
        <w:tc>
          <w:tcPr>
            <w:tcW w:w="1985" w:type="dxa"/>
            <w:shd w:val="clear" w:color="auto" w:fill="auto"/>
          </w:tcPr>
          <w:p w14:paraId="3B5CBA96" w14:textId="77777777" w:rsidR="008B4DF8" w:rsidRPr="00C1603D" w:rsidRDefault="008B4DF8" w:rsidP="00CD7FF0">
            <w:pPr>
              <w:pStyle w:val="72TabletextTablesTableFigureBoxstyles"/>
              <w:rPr>
                <w:lang w:eastAsia="zh-CN"/>
              </w:rPr>
            </w:pPr>
            <w:r w:rsidRPr="00C1603D">
              <w:rPr>
                <w:lang w:eastAsia="zh-CN"/>
              </w:rPr>
              <w:t>Gamma</w:t>
            </w:r>
          </w:p>
        </w:tc>
        <w:tc>
          <w:tcPr>
            <w:tcW w:w="1371" w:type="dxa"/>
            <w:shd w:val="clear" w:color="auto" w:fill="auto"/>
          </w:tcPr>
          <w:p w14:paraId="6F6ED2FF" w14:textId="77777777" w:rsidR="008B4DF8" w:rsidRPr="00C1603D" w:rsidRDefault="008B4DF8" w:rsidP="00CD7FF0">
            <w:pPr>
              <w:pStyle w:val="72TabletextTablesTableFigureBoxstyles"/>
              <w:rPr>
                <w:lang w:eastAsia="zh-CN"/>
              </w:rPr>
            </w:pPr>
            <w:commentRangeStart w:id="399"/>
            <w:r w:rsidRPr="00C1603D">
              <w:rPr>
                <w:lang w:eastAsia="zh-CN"/>
              </w:rPr>
              <w:t>Personal communication with various laboratories offering CD testing in the UK</w:t>
            </w:r>
            <w:commentRangeEnd w:id="399"/>
            <w:r w:rsidR="000178D4" w:rsidRPr="00C1603D">
              <w:rPr>
                <w:rFonts w:ascii="Times New Roman" w:hAnsi="Times New Roman" w:cs="Times New Roman"/>
                <w:color w:val="auto"/>
                <w:lang w:val="en-US"/>
              </w:rPr>
              <w:commentReference w:id="399"/>
            </w:r>
          </w:p>
        </w:tc>
      </w:tr>
      <w:tr w:rsidR="008B4DF8" w:rsidRPr="00C1603D" w14:paraId="040BEEB3" w14:textId="77777777" w:rsidTr="00CD7FF0">
        <w:trPr>
          <w:cantSplit/>
        </w:trPr>
        <w:tc>
          <w:tcPr>
            <w:tcW w:w="2977" w:type="dxa"/>
            <w:shd w:val="clear" w:color="auto" w:fill="auto"/>
            <w:noWrap/>
          </w:tcPr>
          <w:p w14:paraId="13686ED3" w14:textId="73C76501" w:rsidR="008B4DF8" w:rsidRPr="00C1603D" w:rsidRDefault="008B4DF8" w:rsidP="00CD7FF0">
            <w:pPr>
              <w:pStyle w:val="72TabletextTablesTableFigureBoxstyles"/>
              <w:rPr>
                <w:lang w:eastAsia="zh-CN"/>
              </w:rPr>
            </w:pPr>
            <w:r w:rsidRPr="00C1603D">
              <w:rPr>
                <w:lang w:eastAsia="zh-CN"/>
              </w:rPr>
              <w:t>Unit cost of IgA tTG</w:t>
            </w:r>
            <w:r w:rsidR="000178D4" w:rsidRPr="00C1603D">
              <w:rPr>
                <w:lang w:eastAsia="zh-CN"/>
              </w:rPr>
              <w:t xml:space="preserve"> test</w:t>
            </w:r>
          </w:p>
        </w:tc>
        <w:tc>
          <w:tcPr>
            <w:tcW w:w="2693" w:type="dxa"/>
            <w:shd w:val="clear" w:color="auto" w:fill="auto"/>
            <w:noWrap/>
          </w:tcPr>
          <w:p w14:paraId="28704EF3" w14:textId="6D329D72" w:rsidR="008B4DF8" w:rsidRPr="00C1603D" w:rsidRDefault="008B4DF8" w:rsidP="00CD7FF0">
            <w:pPr>
              <w:pStyle w:val="72TabletextTablesTableFigureBoxstyles"/>
              <w:rPr>
                <w:lang w:eastAsia="zh-CN"/>
              </w:rPr>
            </w:pPr>
            <w:r w:rsidRPr="00C1603D">
              <w:rPr>
                <w:lang w:eastAsia="zh-CN"/>
              </w:rPr>
              <w:t>£10.77 (SE 2.15)</w:t>
            </w:r>
          </w:p>
        </w:tc>
        <w:tc>
          <w:tcPr>
            <w:tcW w:w="1985" w:type="dxa"/>
            <w:shd w:val="clear" w:color="auto" w:fill="auto"/>
          </w:tcPr>
          <w:p w14:paraId="77917FE3" w14:textId="49CF1BFE" w:rsidR="008B4DF8" w:rsidRPr="00C1603D" w:rsidRDefault="008B4DF8" w:rsidP="00CD7FF0">
            <w:pPr>
              <w:pStyle w:val="72TabletextTablesTableFigureBoxstyles"/>
              <w:rPr>
                <w:lang w:eastAsia="zh-CN"/>
              </w:rPr>
            </w:pPr>
            <w:r w:rsidRPr="00C1603D">
              <w:rPr>
                <w:lang w:eastAsia="zh-CN"/>
              </w:rPr>
              <w:t>Gamma</w:t>
            </w:r>
          </w:p>
        </w:tc>
        <w:tc>
          <w:tcPr>
            <w:tcW w:w="1371" w:type="dxa"/>
            <w:shd w:val="clear" w:color="auto" w:fill="auto"/>
          </w:tcPr>
          <w:p w14:paraId="23E42FD6" w14:textId="77777777" w:rsidR="008B4DF8" w:rsidRPr="00C1603D" w:rsidRDefault="008B4DF8" w:rsidP="00CD7FF0">
            <w:pPr>
              <w:pStyle w:val="72TabletextTablesTableFigureBoxstyles"/>
              <w:rPr>
                <w:lang w:eastAsia="zh-CN"/>
              </w:rPr>
            </w:pPr>
            <w:r w:rsidRPr="00C1603D">
              <w:rPr>
                <w:lang w:eastAsia="zh-CN"/>
              </w:rPr>
              <w:t>Personal communication with various laboratories offering CD testing in the UK</w:t>
            </w:r>
          </w:p>
        </w:tc>
      </w:tr>
      <w:tr w:rsidR="008B4DF8" w:rsidRPr="00C1603D" w14:paraId="5502A8C8" w14:textId="77777777" w:rsidTr="00CD7FF0">
        <w:trPr>
          <w:cantSplit/>
        </w:trPr>
        <w:tc>
          <w:tcPr>
            <w:tcW w:w="2977" w:type="dxa"/>
            <w:shd w:val="clear" w:color="auto" w:fill="auto"/>
            <w:noWrap/>
          </w:tcPr>
          <w:p w14:paraId="58D10737" w14:textId="25A42615" w:rsidR="008B4DF8" w:rsidRPr="00C1603D" w:rsidRDefault="008B4DF8" w:rsidP="00CD7FF0">
            <w:pPr>
              <w:pStyle w:val="72TabletextTablesTableFigureBoxstyles"/>
              <w:rPr>
                <w:lang w:eastAsia="zh-CN"/>
              </w:rPr>
            </w:pPr>
            <w:r w:rsidRPr="00C1603D">
              <w:rPr>
                <w:lang w:eastAsia="zh-CN"/>
              </w:rPr>
              <w:t>Unit cost of HLA</w:t>
            </w:r>
            <w:r w:rsidR="000178D4" w:rsidRPr="00C1603D">
              <w:rPr>
                <w:lang w:eastAsia="zh-CN"/>
              </w:rPr>
              <w:t xml:space="preserve"> test</w:t>
            </w:r>
          </w:p>
        </w:tc>
        <w:tc>
          <w:tcPr>
            <w:tcW w:w="2693" w:type="dxa"/>
            <w:shd w:val="clear" w:color="auto" w:fill="auto"/>
            <w:noWrap/>
          </w:tcPr>
          <w:p w14:paraId="660EC00A" w14:textId="77777777" w:rsidR="008B4DF8" w:rsidRPr="00C1603D" w:rsidRDefault="008B4DF8" w:rsidP="00CD7FF0">
            <w:pPr>
              <w:pStyle w:val="72TabletextTablesTableFigureBoxstyles"/>
              <w:rPr>
                <w:lang w:eastAsia="zh-CN"/>
              </w:rPr>
            </w:pPr>
            <w:r w:rsidRPr="00C1603D">
              <w:rPr>
                <w:lang w:eastAsia="zh-CN"/>
              </w:rPr>
              <w:t>£122.34 (SE 24.47)</w:t>
            </w:r>
          </w:p>
        </w:tc>
        <w:tc>
          <w:tcPr>
            <w:tcW w:w="1985" w:type="dxa"/>
            <w:shd w:val="clear" w:color="auto" w:fill="auto"/>
          </w:tcPr>
          <w:p w14:paraId="5EEA3186" w14:textId="77777777" w:rsidR="008B4DF8" w:rsidRPr="00C1603D" w:rsidRDefault="008B4DF8" w:rsidP="00CD7FF0">
            <w:pPr>
              <w:pStyle w:val="72TabletextTablesTableFigureBoxstyles"/>
              <w:rPr>
                <w:lang w:eastAsia="zh-CN"/>
              </w:rPr>
            </w:pPr>
            <w:r w:rsidRPr="00C1603D">
              <w:rPr>
                <w:lang w:eastAsia="zh-CN"/>
              </w:rPr>
              <w:t>Gamma</w:t>
            </w:r>
          </w:p>
        </w:tc>
        <w:tc>
          <w:tcPr>
            <w:tcW w:w="1371" w:type="dxa"/>
            <w:shd w:val="clear" w:color="auto" w:fill="auto"/>
          </w:tcPr>
          <w:p w14:paraId="597ABF1D" w14:textId="77777777" w:rsidR="008B4DF8" w:rsidRPr="00C1603D" w:rsidRDefault="008B4DF8" w:rsidP="00CD7FF0">
            <w:pPr>
              <w:pStyle w:val="72TabletextTablesTableFigureBoxstyles"/>
              <w:rPr>
                <w:lang w:eastAsia="zh-CN"/>
              </w:rPr>
            </w:pPr>
            <w:r w:rsidRPr="00C1603D">
              <w:rPr>
                <w:lang w:eastAsia="zh-CN"/>
              </w:rPr>
              <w:t>Personal communication with various laboratories offering CD testing in the UK</w:t>
            </w:r>
          </w:p>
        </w:tc>
      </w:tr>
      <w:tr w:rsidR="008B4DF8" w:rsidRPr="00C1603D" w14:paraId="1D286FCD" w14:textId="77777777" w:rsidTr="00CD7FF0">
        <w:trPr>
          <w:cantSplit/>
        </w:trPr>
        <w:tc>
          <w:tcPr>
            <w:tcW w:w="2977" w:type="dxa"/>
            <w:shd w:val="clear" w:color="auto" w:fill="auto"/>
            <w:noWrap/>
          </w:tcPr>
          <w:p w14:paraId="6211D40D" w14:textId="7C3A480C" w:rsidR="008B4DF8" w:rsidRPr="00C1603D" w:rsidRDefault="008B4DF8" w:rsidP="00CD7FF0">
            <w:pPr>
              <w:pStyle w:val="72TabletextTablesTableFigureBoxstyles"/>
              <w:rPr>
                <w:lang w:eastAsia="zh-CN"/>
              </w:rPr>
            </w:pPr>
            <w:r w:rsidRPr="00C1603D">
              <w:rPr>
                <w:lang w:eastAsia="zh-CN"/>
              </w:rPr>
              <w:t>Endoscopic biopsy</w:t>
            </w:r>
            <w:r w:rsidR="000178D4" w:rsidRPr="00C1603D">
              <w:rPr>
                <w:lang w:eastAsia="zh-CN"/>
              </w:rPr>
              <w:t>,</w:t>
            </w:r>
            <w:r w:rsidRPr="00C1603D">
              <w:rPr>
                <w:lang w:eastAsia="zh-CN"/>
              </w:rPr>
              <w:t xml:space="preserve"> adults</w:t>
            </w:r>
            <w:r w:rsidR="000178D4" w:rsidRPr="00C1603D">
              <w:rPr>
                <w:color w:val="00B0F0"/>
                <w:lang w:eastAsia="zh-CN"/>
              </w:rPr>
              <w:t xml:space="preserve">: </w:t>
            </w:r>
            <w:r w:rsidR="000178D4" w:rsidRPr="00C1603D">
              <w:rPr>
                <w:lang w:eastAsia="zh-CN"/>
              </w:rPr>
              <w:t>diagnostic endoscopic upper GI tract procedures with bio</w:t>
            </w:r>
            <w:r w:rsidRPr="00C1603D">
              <w:rPr>
                <w:lang w:eastAsia="zh-CN"/>
              </w:rPr>
              <w:t xml:space="preserve">psy, </w:t>
            </w:r>
            <w:r w:rsidR="000178D4" w:rsidRPr="00C1603D">
              <w:rPr>
                <w:lang w:eastAsia="zh-CN"/>
              </w:rPr>
              <w:t>≥ </w:t>
            </w:r>
            <w:r w:rsidRPr="00C1603D">
              <w:rPr>
                <w:lang w:eastAsia="zh-CN"/>
              </w:rPr>
              <w:t>19 years</w:t>
            </w:r>
          </w:p>
        </w:tc>
        <w:tc>
          <w:tcPr>
            <w:tcW w:w="2693" w:type="dxa"/>
            <w:shd w:val="clear" w:color="auto" w:fill="auto"/>
            <w:noWrap/>
          </w:tcPr>
          <w:p w14:paraId="6100D6EE" w14:textId="77777777" w:rsidR="008B4DF8" w:rsidRPr="00C1603D" w:rsidRDefault="008B4DF8" w:rsidP="00CD7FF0">
            <w:pPr>
              <w:pStyle w:val="72TabletextTablesTableFigureBoxstyles"/>
              <w:rPr>
                <w:lang w:eastAsia="zh-CN"/>
              </w:rPr>
            </w:pPr>
            <w:r w:rsidRPr="00C1603D">
              <w:rPr>
                <w:lang w:eastAsia="zh-CN"/>
              </w:rPr>
              <w:t>£530</w:t>
            </w:r>
          </w:p>
        </w:tc>
        <w:tc>
          <w:tcPr>
            <w:tcW w:w="1985" w:type="dxa"/>
            <w:shd w:val="clear" w:color="auto" w:fill="auto"/>
          </w:tcPr>
          <w:p w14:paraId="78424AFD" w14:textId="2971C999" w:rsidR="008B4DF8" w:rsidRPr="00C1603D" w:rsidRDefault="008B4DF8" w:rsidP="00CD7FF0">
            <w:pPr>
              <w:pStyle w:val="72TabletextTablesTableFigureBoxstyles"/>
              <w:rPr>
                <w:lang w:eastAsia="zh-CN"/>
              </w:rPr>
            </w:pPr>
            <w:r w:rsidRPr="00C1603D">
              <w:rPr>
                <w:lang w:eastAsia="zh-CN"/>
              </w:rPr>
              <w:t>Fixed</w:t>
            </w:r>
          </w:p>
        </w:tc>
        <w:tc>
          <w:tcPr>
            <w:tcW w:w="1371" w:type="dxa"/>
            <w:shd w:val="clear" w:color="auto" w:fill="auto"/>
          </w:tcPr>
          <w:p w14:paraId="2243C6A5" w14:textId="654A0483" w:rsidR="008B4DF8" w:rsidRPr="00C1603D" w:rsidRDefault="008B4DF8" w:rsidP="00CD7FF0">
            <w:pPr>
              <w:pStyle w:val="72TabletextTablesTableFigureBoxstyles"/>
              <w:rPr>
                <w:lang w:eastAsia="zh-CN"/>
              </w:rPr>
            </w:pPr>
            <w:r w:rsidRPr="00C1603D">
              <w:rPr>
                <w:lang w:eastAsia="zh-CN"/>
              </w:rPr>
              <w:t xml:space="preserve">NHS </w:t>
            </w:r>
            <w:r w:rsidR="000178D4" w:rsidRPr="00C1603D">
              <w:rPr>
                <w:lang w:eastAsia="zh-CN"/>
              </w:rPr>
              <w:t>r</w:t>
            </w:r>
            <w:r w:rsidRPr="00C1603D">
              <w:rPr>
                <w:lang w:eastAsia="zh-CN"/>
              </w:rPr>
              <w:t>eference costs (2018/19)</w:t>
            </w:r>
            <w:r w:rsidR="000178D4" w:rsidRPr="00C1603D">
              <w:rPr>
                <w:vertAlign w:val="superscript"/>
                <w:lang w:eastAsia="zh-CN"/>
              </w:rPr>
              <w:t>227</w:t>
            </w:r>
            <w:r w:rsidRPr="00C1603D">
              <w:rPr>
                <w:lang w:eastAsia="zh-CN"/>
              </w:rPr>
              <w:t xml:space="preserve"> FE21Z</w:t>
            </w:r>
          </w:p>
        </w:tc>
      </w:tr>
      <w:tr w:rsidR="008B4DF8" w:rsidRPr="00C1603D" w14:paraId="393C419E" w14:textId="77777777" w:rsidTr="00CD7FF0">
        <w:trPr>
          <w:cantSplit/>
        </w:trPr>
        <w:tc>
          <w:tcPr>
            <w:tcW w:w="2977" w:type="dxa"/>
            <w:shd w:val="clear" w:color="auto" w:fill="auto"/>
            <w:noWrap/>
          </w:tcPr>
          <w:p w14:paraId="3355C65E" w14:textId="49CE20A4" w:rsidR="008B4DF8" w:rsidRPr="00C1603D" w:rsidRDefault="008B4DF8" w:rsidP="00CD7FF0">
            <w:pPr>
              <w:pStyle w:val="72TabletextTablesTableFigureBoxstyles"/>
              <w:rPr>
                <w:lang w:eastAsia="zh-CN"/>
              </w:rPr>
            </w:pPr>
            <w:r w:rsidRPr="00C1603D">
              <w:rPr>
                <w:lang w:eastAsia="zh-CN"/>
              </w:rPr>
              <w:t>Endoscopic biopsy</w:t>
            </w:r>
            <w:r w:rsidR="000178D4" w:rsidRPr="00C1603D">
              <w:rPr>
                <w:lang w:eastAsia="zh-CN"/>
              </w:rPr>
              <w:t>,</w:t>
            </w:r>
            <w:r w:rsidRPr="00C1603D">
              <w:rPr>
                <w:lang w:eastAsia="zh-CN"/>
              </w:rPr>
              <w:t xml:space="preserve"> children</w:t>
            </w:r>
            <w:r w:rsidR="000178D4" w:rsidRPr="00C1603D">
              <w:rPr>
                <w:lang w:eastAsia="zh-CN"/>
              </w:rPr>
              <w:t>: endoscopic or intermediate, upp</w:t>
            </w:r>
            <w:r w:rsidRPr="00C1603D">
              <w:rPr>
                <w:lang w:eastAsia="zh-CN"/>
              </w:rPr>
              <w:t xml:space="preserve">er </w:t>
            </w:r>
            <w:r w:rsidR="00807C54" w:rsidRPr="00C1603D">
              <w:rPr>
                <w:lang w:eastAsia="zh-CN"/>
              </w:rPr>
              <w:t>GI</w:t>
            </w:r>
            <w:r w:rsidRPr="00C1603D">
              <w:rPr>
                <w:lang w:eastAsia="zh-CN"/>
              </w:rPr>
              <w:t xml:space="preserve"> </w:t>
            </w:r>
            <w:r w:rsidR="000178D4" w:rsidRPr="00C1603D">
              <w:rPr>
                <w:lang w:eastAsia="zh-CN"/>
              </w:rPr>
              <w:t>tract procedures</w:t>
            </w:r>
            <w:r w:rsidRPr="00C1603D">
              <w:rPr>
                <w:lang w:eastAsia="zh-CN"/>
              </w:rPr>
              <w:t>, between 5 and 18 years</w:t>
            </w:r>
          </w:p>
        </w:tc>
        <w:tc>
          <w:tcPr>
            <w:tcW w:w="2693" w:type="dxa"/>
            <w:shd w:val="clear" w:color="auto" w:fill="auto"/>
            <w:noWrap/>
          </w:tcPr>
          <w:p w14:paraId="7CA7D524" w14:textId="77777777" w:rsidR="008B4DF8" w:rsidRPr="00C1603D" w:rsidRDefault="008B4DF8" w:rsidP="00CD7FF0">
            <w:pPr>
              <w:pStyle w:val="72TabletextTablesTableFigureBoxstyles"/>
              <w:rPr>
                <w:lang w:eastAsia="zh-CN"/>
              </w:rPr>
            </w:pPr>
            <w:r w:rsidRPr="00C1603D">
              <w:rPr>
                <w:lang w:eastAsia="zh-CN"/>
              </w:rPr>
              <w:t>£823</w:t>
            </w:r>
          </w:p>
        </w:tc>
        <w:tc>
          <w:tcPr>
            <w:tcW w:w="1985" w:type="dxa"/>
            <w:shd w:val="clear" w:color="auto" w:fill="auto"/>
          </w:tcPr>
          <w:p w14:paraId="4DA8D3D8" w14:textId="77777777" w:rsidR="008B4DF8" w:rsidRPr="00C1603D" w:rsidRDefault="008B4DF8" w:rsidP="00CD7FF0">
            <w:pPr>
              <w:pStyle w:val="72TabletextTablesTableFigureBoxstyles"/>
              <w:rPr>
                <w:lang w:eastAsia="zh-CN"/>
              </w:rPr>
            </w:pPr>
            <w:r w:rsidRPr="00C1603D">
              <w:rPr>
                <w:lang w:eastAsia="zh-CN"/>
              </w:rPr>
              <w:t>Fixed</w:t>
            </w:r>
          </w:p>
        </w:tc>
        <w:tc>
          <w:tcPr>
            <w:tcW w:w="1371" w:type="dxa"/>
            <w:shd w:val="clear" w:color="auto" w:fill="auto"/>
          </w:tcPr>
          <w:p w14:paraId="60D3D26B" w14:textId="46121206" w:rsidR="008B4DF8" w:rsidRPr="00C1603D" w:rsidRDefault="008B4DF8" w:rsidP="00CD7FF0">
            <w:pPr>
              <w:pStyle w:val="72TabletextTablesTableFigureBoxstyles"/>
              <w:rPr>
                <w:lang w:eastAsia="zh-CN"/>
              </w:rPr>
            </w:pPr>
            <w:r w:rsidRPr="00C1603D">
              <w:rPr>
                <w:lang w:eastAsia="zh-CN"/>
              </w:rPr>
              <w:t xml:space="preserve">NHS </w:t>
            </w:r>
            <w:r w:rsidR="004E48E6" w:rsidRPr="00C1603D">
              <w:rPr>
                <w:lang w:eastAsia="zh-CN"/>
              </w:rPr>
              <w:t>r</w:t>
            </w:r>
            <w:r w:rsidRPr="00C1603D">
              <w:rPr>
                <w:lang w:eastAsia="zh-CN"/>
              </w:rPr>
              <w:t>eference costs (2018/19)</w:t>
            </w:r>
            <w:r w:rsidR="004E48E6" w:rsidRPr="00C1603D">
              <w:rPr>
                <w:vertAlign w:val="superscript"/>
                <w:lang w:eastAsia="zh-CN"/>
              </w:rPr>
              <w:t>227</w:t>
            </w:r>
            <w:r w:rsidRPr="00C1603D">
              <w:rPr>
                <w:lang w:eastAsia="zh-CN"/>
              </w:rPr>
              <w:t xml:space="preserve"> FE23C</w:t>
            </w:r>
          </w:p>
        </w:tc>
      </w:tr>
      <w:tr w:rsidR="008B4DF8" w:rsidRPr="00C1603D" w14:paraId="0D3870DB" w14:textId="77777777" w:rsidTr="00CD7FF0">
        <w:trPr>
          <w:cantSplit/>
        </w:trPr>
        <w:tc>
          <w:tcPr>
            <w:tcW w:w="2977" w:type="dxa"/>
            <w:shd w:val="clear" w:color="auto" w:fill="auto"/>
            <w:noWrap/>
          </w:tcPr>
          <w:p w14:paraId="57AE0FB5" w14:textId="53292416" w:rsidR="008B4DF8" w:rsidRPr="00C1603D" w:rsidRDefault="008B4DF8" w:rsidP="00CD7FF0">
            <w:pPr>
              <w:pStyle w:val="72TabletextTablesTableFigureBoxstyles"/>
              <w:rPr>
                <w:lang w:eastAsia="zh-CN"/>
              </w:rPr>
            </w:pPr>
            <w:r w:rsidRPr="00C1603D">
              <w:rPr>
                <w:lang w:eastAsia="zh-CN"/>
              </w:rPr>
              <w:t xml:space="preserve">Other diagnosis costs (e.g. nurse, GP, gastroenterologist, </w:t>
            </w:r>
            <w:r w:rsidRPr="00C1603D">
              <w:rPr>
                <w:color w:val="00B0F0"/>
                <w:lang w:eastAsia="zh-CN"/>
              </w:rPr>
              <w:t>dietitian</w:t>
            </w:r>
            <w:r w:rsidRPr="00C1603D">
              <w:rPr>
                <w:lang w:eastAsia="zh-CN"/>
              </w:rPr>
              <w:t xml:space="preserve"> appointments)</w:t>
            </w:r>
          </w:p>
        </w:tc>
        <w:tc>
          <w:tcPr>
            <w:tcW w:w="2693" w:type="dxa"/>
            <w:shd w:val="clear" w:color="auto" w:fill="auto"/>
            <w:noWrap/>
          </w:tcPr>
          <w:p w14:paraId="4B9D6D44" w14:textId="453CCF90" w:rsidR="008B4DF8" w:rsidRPr="00C1603D" w:rsidRDefault="008B4DF8" w:rsidP="00CD7FF0">
            <w:pPr>
              <w:pStyle w:val="72TabletextTablesTableFigureBoxstyles"/>
              <w:rPr>
                <w:lang w:eastAsia="zh-CN"/>
              </w:rPr>
            </w:pPr>
            <w:r w:rsidRPr="00C1603D">
              <w:rPr>
                <w:lang w:eastAsia="zh-CN"/>
              </w:rPr>
              <w:t>£379.27 (SE</w:t>
            </w:r>
            <w:r w:rsidR="004E48E6" w:rsidRPr="00C1603D">
              <w:rPr>
                <w:lang w:eastAsia="zh-CN"/>
              </w:rPr>
              <w:t xml:space="preserve"> </w:t>
            </w:r>
            <w:r w:rsidRPr="00C1603D">
              <w:rPr>
                <w:lang w:eastAsia="zh-CN"/>
              </w:rPr>
              <w:t>37.93)</w:t>
            </w:r>
          </w:p>
        </w:tc>
        <w:tc>
          <w:tcPr>
            <w:tcW w:w="1985" w:type="dxa"/>
            <w:shd w:val="clear" w:color="auto" w:fill="auto"/>
          </w:tcPr>
          <w:p w14:paraId="7175B3B9" w14:textId="77777777" w:rsidR="008B4DF8" w:rsidRPr="00C1603D" w:rsidRDefault="008B4DF8" w:rsidP="00CD7FF0">
            <w:pPr>
              <w:pStyle w:val="72TabletextTablesTableFigureBoxstyles"/>
              <w:rPr>
                <w:lang w:eastAsia="zh-CN"/>
              </w:rPr>
            </w:pPr>
            <w:r w:rsidRPr="00C1603D">
              <w:rPr>
                <w:lang w:eastAsia="zh-CN"/>
              </w:rPr>
              <w:t>Gamma</w:t>
            </w:r>
          </w:p>
        </w:tc>
        <w:tc>
          <w:tcPr>
            <w:tcW w:w="1371" w:type="dxa"/>
            <w:shd w:val="clear" w:color="auto" w:fill="auto"/>
          </w:tcPr>
          <w:p w14:paraId="4B7CC13C" w14:textId="201AE4EF" w:rsidR="008B4DF8" w:rsidRPr="00C1603D" w:rsidRDefault="008B4DF8" w:rsidP="00CD7FF0">
            <w:pPr>
              <w:pStyle w:val="72TabletextTablesTableFigureBoxstyles"/>
              <w:rPr>
                <w:lang w:eastAsia="zh-CN"/>
              </w:rPr>
            </w:pPr>
            <w:r w:rsidRPr="00C1603D">
              <w:rPr>
                <w:lang w:eastAsia="zh-CN"/>
              </w:rPr>
              <w:t xml:space="preserve">NHS </w:t>
            </w:r>
            <w:r w:rsidR="004E48E6" w:rsidRPr="00C1603D">
              <w:rPr>
                <w:lang w:eastAsia="zh-CN"/>
              </w:rPr>
              <w:t>r</w:t>
            </w:r>
            <w:r w:rsidRPr="00C1603D">
              <w:rPr>
                <w:lang w:eastAsia="zh-CN"/>
              </w:rPr>
              <w:t>eference costs (2018/19),</w:t>
            </w:r>
            <w:r w:rsidR="004E48E6" w:rsidRPr="00C1603D">
              <w:rPr>
                <w:vertAlign w:val="superscript"/>
                <w:lang w:eastAsia="zh-CN"/>
              </w:rPr>
              <w:t>227</w:t>
            </w:r>
            <w:r w:rsidRPr="00C1603D">
              <w:rPr>
                <w:lang w:eastAsia="zh-CN"/>
              </w:rPr>
              <w:t xml:space="preserve"> </w:t>
            </w:r>
            <w:r w:rsidR="004E48E6" w:rsidRPr="00C1603D">
              <w:rPr>
                <w:i/>
                <w:iCs/>
                <w:lang w:eastAsia="zh-CN"/>
              </w:rPr>
              <w:t>Unit costs of Health and Social Care 2020</w:t>
            </w:r>
            <w:r w:rsidR="004E48E6" w:rsidRPr="00C1603D">
              <w:rPr>
                <w:vertAlign w:val="superscript"/>
                <w:lang w:eastAsia="zh-CN"/>
              </w:rPr>
              <w:t>228</w:t>
            </w:r>
          </w:p>
          <w:p w14:paraId="0C0DEC8C" w14:textId="5B6DCBE2" w:rsidR="008B4DF8" w:rsidRPr="00C1603D" w:rsidRDefault="00E67706" w:rsidP="00CD7FF0">
            <w:pPr>
              <w:pStyle w:val="72TabletextTablesTableFigureBoxstyles"/>
              <w:rPr>
                <w:vertAlign w:val="superscript"/>
                <w:lang w:eastAsia="zh-CN"/>
              </w:rPr>
            </w:pPr>
            <w:commentRangeStart w:id="400"/>
            <w:r w:rsidRPr="00C1603D">
              <w:rPr>
                <w:lang w:eastAsia="zh-CN"/>
              </w:rPr>
              <w:t>SE</w:t>
            </w:r>
            <w:r w:rsidR="008B4DF8" w:rsidRPr="00C1603D">
              <w:rPr>
                <w:lang w:eastAsia="zh-CN"/>
              </w:rPr>
              <w:t xml:space="preserve"> assumed </w:t>
            </w:r>
            <w:r w:rsidR="004E48E6" w:rsidRPr="00C1603D">
              <w:rPr>
                <w:lang w:eastAsia="zh-CN"/>
              </w:rPr>
              <w:t>one-tenth</w:t>
            </w:r>
            <w:r w:rsidR="008B4DF8" w:rsidRPr="00C1603D">
              <w:rPr>
                <w:lang w:eastAsia="zh-CN"/>
              </w:rPr>
              <w:t xml:space="preserve"> of mean</w:t>
            </w:r>
            <w:commentRangeEnd w:id="400"/>
            <w:r w:rsidR="004E48E6" w:rsidRPr="00C1603D">
              <w:rPr>
                <w:rFonts w:ascii="Times New Roman" w:hAnsi="Times New Roman" w:cs="Times New Roman"/>
                <w:color w:val="auto"/>
                <w:lang w:val="en-US"/>
              </w:rPr>
              <w:commentReference w:id="400"/>
            </w:r>
          </w:p>
        </w:tc>
      </w:tr>
      <w:tr w:rsidR="004E48E6" w:rsidRPr="00C1603D" w14:paraId="677C57D2" w14:textId="77777777" w:rsidTr="00CD7FF0">
        <w:trPr>
          <w:cantSplit/>
        </w:trPr>
        <w:tc>
          <w:tcPr>
            <w:tcW w:w="2977" w:type="dxa"/>
            <w:shd w:val="clear" w:color="auto" w:fill="auto"/>
            <w:noWrap/>
          </w:tcPr>
          <w:p w14:paraId="494E4BAA" w14:textId="6D088BD0" w:rsidR="008B4DF8" w:rsidRPr="00C1603D" w:rsidRDefault="008B4DF8" w:rsidP="00CD7FF0">
            <w:pPr>
              <w:pStyle w:val="72TabletextTablesTableFigureBoxstyles"/>
              <w:rPr>
                <w:lang w:eastAsia="zh-CN"/>
              </w:rPr>
            </w:pPr>
            <w:r w:rsidRPr="00C1603D">
              <w:rPr>
                <w:lang w:eastAsia="zh-CN"/>
              </w:rPr>
              <w:t>Annual health</w:t>
            </w:r>
            <w:r w:rsidR="004E48E6" w:rsidRPr="00C1603D">
              <w:rPr>
                <w:lang w:eastAsia="zh-CN"/>
              </w:rPr>
              <w:t>-</w:t>
            </w:r>
            <w:r w:rsidRPr="00C1603D">
              <w:rPr>
                <w:lang w:eastAsia="zh-CN"/>
              </w:rPr>
              <w:t xml:space="preserve">care </w:t>
            </w:r>
            <w:r w:rsidR="004E48E6" w:rsidRPr="00C1603D">
              <w:rPr>
                <w:lang w:eastAsia="zh-CN"/>
              </w:rPr>
              <w:t>resource use</w:t>
            </w:r>
            <w:r w:rsidRPr="00C1603D">
              <w:rPr>
                <w:lang w:eastAsia="zh-CN"/>
              </w:rPr>
              <w:t xml:space="preserve"> costs by diagnosis – TP</w:t>
            </w:r>
          </w:p>
        </w:tc>
        <w:tc>
          <w:tcPr>
            <w:tcW w:w="2693" w:type="dxa"/>
            <w:shd w:val="clear" w:color="auto" w:fill="auto"/>
            <w:noWrap/>
          </w:tcPr>
          <w:p w14:paraId="5BB984E2" w14:textId="25410582" w:rsidR="008B4DF8" w:rsidRPr="00C1603D" w:rsidRDefault="008B4DF8" w:rsidP="004E48E6">
            <w:pPr>
              <w:pStyle w:val="722TablebulletlistTablesTableFigureBoxstyles"/>
              <w:rPr>
                <w:lang w:eastAsia="zh-CN"/>
              </w:rPr>
            </w:pPr>
            <w:r w:rsidRPr="00C1603D">
              <w:rPr>
                <w:lang w:eastAsia="zh-CN"/>
              </w:rPr>
              <w:t>Adults</w:t>
            </w:r>
            <w:r w:rsidR="004E48E6" w:rsidRPr="00C1603D">
              <w:rPr>
                <w:color w:val="00B0F0"/>
                <w:lang w:eastAsia="zh-CN"/>
              </w:rPr>
              <w:t>:</w:t>
            </w:r>
            <w:r w:rsidRPr="00C1603D">
              <w:rPr>
                <w:color w:val="00B0F0"/>
                <w:lang w:eastAsia="zh-CN"/>
              </w:rPr>
              <w:t xml:space="preserve"> </w:t>
            </w:r>
            <w:r w:rsidRPr="00C1603D">
              <w:rPr>
                <w:lang w:eastAsia="zh-CN"/>
              </w:rPr>
              <w:t>£757 (SE 5.3)</w:t>
            </w:r>
          </w:p>
          <w:p w14:paraId="772BC0EB" w14:textId="0EB89930" w:rsidR="008B4DF8" w:rsidRPr="00C1603D" w:rsidRDefault="008B4DF8" w:rsidP="004E48E6">
            <w:pPr>
              <w:pStyle w:val="722TablebulletlistTablesTableFigureBoxstyles"/>
              <w:rPr>
                <w:color w:val="auto"/>
                <w:lang w:eastAsia="zh-CN"/>
              </w:rPr>
            </w:pPr>
            <w:r w:rsidRPr="00C1603D">
              <w:rPr>
                <w:lang w:eastAsia="zh-CN"/>
              </w:rPr>
              <w:t>Children</w:t>
            </w:r>
            <w:r w:rsidR="004E48E6" w:rsidRPr="00C1603D">
              <w:rPr>
                <w:color w:val="00B0F0"/>
                <w:lang w:eastAsia="zh-CN"/>
              </w:rPr>
              <w:t>:</w:t>
            </w:r>
            <w:r w:rsidRPr="00C1603D">
              <w:rPr>
                <w:color w:val="00B0F0"/>
                <w:lang w:eastAsia="zh-CN"/>
              </w:rPr>
              <w:t xml:space="preserve"> </w:t>
            </w:r>
            <w:r w:rsidRPr="00C1603D">
              <w:rPr>
                <w:lang w:eastAsia="zh-CN"/>
              </w:rPr>
              <w:t>£452 (SE 20.6)</w:t>
            </w:r>
          </w:p>
        </w:tc>
        <w:tc>
          <w:tcPr>
            <w:tcW w:w="1985" w:type="dxa"/>
            <w:shd w:val="clear" w:color="auto" w:fill="auto"/>
          </w:tcPr>
          <w:p w14:paraId="6494EA02" w14:textId="77777777" w:rsidR="008B4DF8" w:rsidRPr="00C1603D" w:rsidRDefault="008B4DF8" w:rsidP="00CD7FF0">
            <w:pPr>
              <w:pStyle w:val="72TabletextTablesTableFigureBoxstyles"/>
              <w:rPr>
                <w:lang w:eastAsia="zh-CN"/>
              </w:rPr>
            </w:pPr>
            <w:r w:rsidRPr="00C1603D">
              <w:rPr>
                <w:lang w:eastAsia="zh-CN"/>
              </w:rPr>
              <w:t>Gamma</w:t>
            </w:r>
          </w:p>
        </w:tc>
        <w:tc>
          <w:tcPr>
            <w:tcW w:w="1371" w:type="dxa"/>
            <w:shd w:val="clear" w:color="auto" w:fill="auto"/>
          </w:tcPr>
          <w:p w14:paraId="3FE24BA2" w14:textId="6F0EBA60" w:rsidR="008B4DF8" w:rsidRPr="00C1603D" w:rsidRDefault="008B4DF8" w:rsidP="00CD7FF0">
            <w:pPr>
              <w:pStyle w:val="72TabletextTablesTableFigureBoxstyles"/>
              <w:rPr>
                <w:color w:val="auto"/>
                <w:lang w:eastAsia="zh-CN"/>
              </w:rPr>
            </w:pPr>
            <w:r w:rsidRPr="00C1603D">
              <w:rPr>
                <w:color w:val="auto"/>
                <w:lang w:eastAsia="zh-CN"/>
              </w:rPr>
              <w:t>CPRD analysis based on update of Violato</w:t>
            </w:r>
            <w:r w:rsidRPr="00C1603D">
              <w:rPr>
                <w:i/>
                <w:color w:val="auto"/>
                <w:lang w:eastAsia="zh-CN"/>
              </w:rPr>
              <w:t xml:space="preserve"> et al</w:t>
            </w:r>
            <w:r w:rsidR="004E48E6" w:rsidRPr="00C1603D">
              <w:rPr>
                <w:color w:val="auto"/>
                <w:lang w:eastAsia="zh-CN"/>
              </w:rPr>
              <w:t>.</w:t>
            </w:r>
            <w:r w:rsidRPr="00C1603D">
              <w:rPr>
                <w:noProof/>
                <w:color w:val="auto"/>
                <w:vertAlign w:val="superscript"/>
                <w:lang w:eastAsia="zh-CN"/>
              </w:rPr>
              <w:t>51</w:t>
            </w:r>
          </w:p>
        </w:tc>
      </w:tr>
      <w:tr w:rsidR="008B4DF8" w:rsidRPr="00C1603D" w14:paraId="1C2A6051" w14:textId="77777777" w:rsidTr="00CD7FF0">
        <w:trPr>
          <w:cantSplit/>
        </w:trPr>
        <w:tc>
          <w:tcPr>
            <w:tcW w:w="2977" w:type="dxa"/>
            <w:shd w:val="clear" w:color="auto" w:fill="auto"/>
            <w:noWrap/>
          </w:tcPr>
          <w:p w14:paraId="2842088E" w14:textId="4667B3ED" w:rsidR="008B4DF8" w:rsidRPr="00C1603D" w:rsidRDefault="008B4DF8" w:rsidP="00CD7FF0">
            <w:pPr>
              <w:pStyle w:val="72TabletextTablesTableFigureBoxstyles"/>
              <w:rPr>
                <w:lang w:eastAsia="zh-CN"/>
              </w:rPr>
            </w:pPr>
            <w:r w:rsidRPr="00C1603D">
              <w:rPr>
                <w:lang w:eastAsia="zh-CN"/>
              </w:rPr>
              <w:t xml:space="preserve">Annual </w:t>
            </w:r>
            <w:r w:rsidR="004E48E6" w:rsidRPr="00C1603D">
              <w:rPr>
                <w:lang w:eastAsia="zh-CN"/>
              </w:rPr>
              <w:t xml:space="preserve">health-care resource use </w:t>
            </w:r>
            <w:r w:rsidRPr="00C1603D">
              <w:rPr>
                <w:lang w:eastAsia="zh-CN"/>
              </w:rPr>
              <w:t>costs by diagnosis – FN</w:t>
            </w:r>
          </w:p>
        </w:tc>
        <w:tc>
          <w:tcPr>
            <w:tcW w:w="2693" w:type="dxa"/>
            <w:shd w:val="clear" w:color="auto" w:fill="auto"/>
            <w:noWrap/>
          </w:tcPr>
          <w:p w14:paraId="084EED55" w14:textId="21688668" w:rsidR="008B4DF8" w:rsidRPr="00C1603D" w:rsidRDefault="008B4DF8" w:rsidP="004E48E6">
            <w:pPr>
              <w:pStyle w:val="722TablebulletlistTablesTableFigureBoxstyles"/>
              <w:rPr>
                <w:lang w:eastAsia="zh-CN"/>
              </w:rPr>
            </w:pPr>
            <w:r w:rsidRPr="00C1603D">
              <w:rPr>
                <w:lang w:eastAsia="zh-CN"/>
              </w:rPr>
              <w:t>Adults</w:t>
            </w:r>
            <w:r w:rsidR="004E48E6" w:rsidRPr="00C1603D">
              <w:rPr>
                <w:color w:val="00B0F0"/>
                <w:lang w:eastAsia="zh-CN"/>
              </w:rPr>
              <w:t>:</w:t>
            </w:r>
            <w:r w:rsidRPr="00C1603D">
              <w:rPr>
                <w:color w:val="00B0F0"/>
                <w:lang w:eastAsia="zh-CN"/>
              </w:rPr>
              <w:t xml:space="preserve"> </w:t>
            </w:r>
            <w:r w:rsidRPr="00C1603D">
              <w:rPr>
                <w:lang w:eastAsia="zh-CN"/>
              </w:rPr>
              <w:t>£421 (SE 3.34)</w:t>
            </w:r>
          </w:p>
          <w:p w14:paraId="56F37CC4" w14:textId="44CBFEA2" w:rsidR="008B4DF8" w:rsidRPr="00C1603D" w:rsidRDefault="008B4DF8" w:rsidP="004E48E6">
            <w:pPr>
              <w:pStyle w:val="722TablebulletlistTablesTableFigureBoxstyles"/>
              <w:rPr>
                <w:lang w:eastAsia="zh-CN"/>
              </w:rPr>
            </w:pPr>
            <w:r w:rsidRPr="00C1603D">
              <w:rPr>
                <w:lang w:eastAsia="zh-CN"/>
              </w:rPr>
              <w:t>Children</w:t>
            </w:r>
            <w:r w:rsidR="004E48E6" w:rsidRPr="00C1603D">
              <w:rPr>
                <w:color w:val="00B0F0"/>
                <w:lang w:eastAsia="zh-CN"/>
              </w:rPr>
              <w:t>:</w:t>
            </w:r>
            <w:r w:rsidRPr="00C1603D">
              <w:rPr>
                <w:color w:val="00B0F0"/>
                <w:lang w:eastAsia="zh-CN"/>
              </w:rPr>
              <w:t xml:space="preserve"> </w:t>
            </w:r>
            <w:r w:rsidRPr="00C1603D">
              <w:rPr>
                <w:lang w:eastAsia="zh-CN"/>
              </w:rPr>
              <w:t>£248 (SE 4.97)</w:t>
            </w:r>
          </w:p>
        </w:tc>
        <w:tc>
          <w:tcPr>
            <w:tcW w:w="1985" w:type="dxa"/>
            <w:shd w:val="clear" w:color="auto" w:fill="auto"/>
          </w:tcPr>
          <w:p w14:paraId="56064F75" w14:textId="77777777" w:rsidR="008B4DF8" w:rsidRPr="00C1603D" w:rsidRDefault="008B4DF8" w:rsidP="00CD7FF0">
            <w:pPr>
              <w:pStyle w:val="72TabletextTablesTableFigureBoxstyles"/>
              <w:rPr>
                <w:lang w:eastAsia="zh-CN"/>
              </w:rPr>
            </w:pPr>
            <w:r w:rsidRPr="00C1603D">
              <w:rPr>
                <w:lang w:eastAsia="zh-CN"/>
              </w:rPr>
              <w:t>Gamma</w:t>
            </w:r>
          </w:p>
        </w:tc>
        <w:tc>
          <w:tcPr>
            <w:tcW w:w="1371" w:type="dxa"/>
            <w:shd w:val="clear" w:color="auto" w:fill="auto"/>
          </w:tcPr>
          <w:p w14:paraId="4B2316B1" w14:textId="6DAB2ACF" w:rsidR="008B4DF8" w:rsidRPr="00C1603D" w:rsidRDefault="008B4DF8" w:rsidP="00CD7FF0">
            <w:pPr>
              <w:pStyle w:val="72TabletextTablesTableFigureBoxstyles"/>
              <w:rPr>
                <w:lang w:eastAsia="zh-CN"/>
              </w:rPr>
            </w:pPr>
            <w:r w:rsidRPr="00C1603D">
              <w:rPr>
                <w:lang w:eastAsia="zh-CN"/>
              </w:rPr>
              <w:t xml:space="preserve">CPRD analysis based on update of </w:t>
            </w:r>
            <w:r w:rsidR="004E48E6" w:rsidRPr="00C1603D">
              <w:rPr>
                <w:color w:val="auto"/>
                <w:lang w:eastAsia="zh-CN"/>
              </w:rPr>
              <w:t>Violato</w:t>
            </w:r>
            <w:r w:rsidR="004E48E6" w:rsidRPr="00C1603D">
              <w:rPr>
                <w:i/>
                <w:color w:val="auto"/>
                <w:lang w:eastAsia="zh-CN"/>
              </w:rPr>
              <w:t xml:space="preserve"> et al</w:t>
            </w:r>
            <w:r w:rsidR="004E48E6" w:rsidRPr="00C1603D">
              <w:rPr>
                <w:color w:val="auto"/>
                <w:lang w:eastAsia="zh-CN"/>
              </w:rPr>
              <w:t>.</w:t>
            </w:r>
            <w:r w:rsidR="004E48E6" w:rsidRPr="00C1603D">
              <w:rPr>
                <w:noProof/>
                <w:color w:val="auto"/>
                <w:vertAlign w:val="superscript"/>
                <w:lang w:eastAsia="zh-CN"/>
              </w:rPr>
              <w:t>51</w:t>
            </w:r>
          </w:p>
        </w:tc>
      </w:tr>
      <w:tr w:rsidR="008B4DF8" w:rsidRPr="00C1603D" w14:paraId="61C5209E" w14:textId="77777777" w:rsidTr="00CD7FF0">
        <w:trPr>
          <w:cantSplit/>
        </w:trPr>
        <w:tc>
          <w:tcPr>
            <w:tcW w:w="2977" w:type="dxa"/>
            <w:shd w:val="clear" w:color="auto" w:fill="auto"/>
            <w:noWrap/>
          </w:tcPr>
          <w:p w14:paraId="20BDB900" w14:textId="77777777" w:rsidR="008B4DF8" w:rsidRPr="00C1603D" w:rsidRDefault="008B4DF8" w:rsidP="00CD7FF0">
            <w:pPr>
              <w:pStyle w:val="72TabletextTablesTableFigureBoxstyles"/>
              <w:rPr>
                <w:lang w:eastAsia="zh-CN"/>
              </w:rPr>
            </w:pPr>
            <w:r w:rsidRPr="00C1603D">
              <w:rPr>
                <w:lang w:eastAsia="zh-CN"/>
              </w:rPr>
              <w:t>Treatment for NHL</w:t>
            </w:r>
          </w:p>
        </w:tc>
        <w:tc>
          <w:tcPr>
            <w:tcW w:w="2693" w:type="dxa"/>
            <w:shd w:val="clear" w:color="auto" w:fill="auto"/>
            <w:noWrap/>
          </w:tcPr>
          <w:p w14:paraId="296F09F8" w14:textId="06F37560" w:rsidR="008B4DF8" w:rsidRPr="00C1603D" w:rsidRDefault="008B4DF8" w:rsidP="00CD7FF0">
            <w:pPr>
              <w:pStyle w:val="72TabletextTablesTableFigureBoxstyles"/>
              <w:rPr>
                <w:lang w:eastAsia="zh-CN"/>
              </w:rPr>
            </w:pPr>
            <w:r w:rsidRPr="00C1603D">
              <w:rPr>
                <w:lang w:eastAsia="zh-CN"/>
              </w:rPr>
              <w:t>£18,396 (</w:t>
            </w:r>
            <w:r w:rsidR="00BF7E3D" w:rsidRPr="00C1603D">
              <w:rPr>
                <w:lang w:eastAsia="zh-CN"/>
              </w:rPr>
              <w:t>£</w:t>
            </w:r>
            <w:r w:rsidRPr="00C1603D">
              <w:rPr>
                <w:lang w:eastAsia="zh-CN"/>
              </w:rPr>
              <w:t>18,377–18,415)</w:t>
            </w:r>
          </w:p>
        </w:tc>
        <w:tc>
          <w:tcPr>
            <w:tcW w:w="1985" w:type="dxa"/>
            <w:shd w:val="clear" w:color="auto" w:fill="auto"/>
          </w:tcPr>
          <w:p w14:paraId="23DE482F" w14:textId="5A962C6D" w:rsidR="008B4DF8" w:rsidRPr="00C1603D" w:rsidRDefault="008B4DF8" w:rsidP="00CD7FF0">
            <w:pPr>
              <w:pStyle w:val="72TabletextTablesTableFigureBoxstyles"/>
              <w:rPr>
                <w:lang w:eastAsia="zh-CN"/>
              </w:rPr>
            </w:pPr>
            <w:r w:rsidRPr="00C1603D">
              <w:rPr>
                <w:lang w:eastAsia="zh-CN"/>
              </w:rPr>
              <w:t>Log</w:t>
            </w:r>
            <w:r w:rsidR="00D8216D" w:rsidRPr="00C1603D">
              <w:rPr>
                <w:lang w:eastAsia="zh-CN"/>
              </w:rPr>
              <w:t xml:space="preserve"> </w:t>
            </w:r>
            <w:r w:rsidRPr="00C1603D">
              <w:rPr>
                <w:lang w:eastAsia="zh-CN"/>
              </w:rPr>
              <w:t>normal</w:t>
            </w:r>
          </w:p>
        </w:tc>
        <w:tc>
          <w:tcPr>
            <w:tcW w:w="1371" w:type="dxa"/>
            <w:shd w:val="clear" w:color="auto" w:fill="auto"/>
          </w:tcPr>
          <w:p w14:paraId="21840BCB" w14:textId="19004C76" w:rsidR="008B4DF8" w:rsidRPr="00C1603D" w:rsidRDefault="008B4DF8" w:rsidP="00CD7FF0">
            <w:pPr>
              <w:pStyle w:val="72TabletextTablesTableFigureBoxstyles"/>
              <w:rPr>
                <w:lang w:eastAsia="zh-CN"/>
              </w:rPr>
            </w:pPr>
            <w:r w:rsidRPr="00C1603D">
              <w:rPr>
                <w:lang w:eastAsia="zh-CN"/>
              </w:rPr>
              <w:t>Wang</w:t>
            </w:r>
            <w:r w:rsidRPr="00C1603D">
              <w:rPr>
                <w:i/>
                <w:color w:val="00B0F0"/>
                <w:lang w:eastAsia="zh-CN"/>
              </w:rPr>
              <w:t xml:space="preserve"> et al</w:t>
            </w:r>
            <w:r w:rsidR="00BF7E3D" w:rsidRPr="00C1603D">
              <w:rPr>
                <w:lang w:eastAsia="zh-CN"/>
              </w:rPr>
              <w:t>.</w:t>
            </w:r>
            <w:r w:rsidRPr="00C1603D">
              <w:rPr>
                <w:noProof/>
                <w:vertAlign w:val="superscript"/>
                <w:lang w:eastAsia="zh-CN"/>
              </w:rPr>
              <w:t>231</w:t>
            </w:r>
            <w:r w:rsidRPr="00C1603D">
              <w:rPr>
                <w:lang w:eastAsia="zh-CN"/>
              </w:rPr>
              <w:t xml:space="preserve"> One-off lifetime cost of treatment</w:t>
            </w:r>
          </w:p>
        </w:tc>
      </w:tr>
      <w:tr w:rsidR="008B4DF8" w:rsidRPr="00C1603D" w14:paraId="339128C8" w14:textId="77777777" w:rsidTr="00CD7FF0">
        <w:trPr>
          <w:cantSplit/>
        </w:trPr>
        <w:tc>
          <w:tcPr>
            <w:tcW w:w="2977" w:type="dxa"/>
            <w:shd w:val="clear" w:color="auto" w:fill="auto"/>
            <w:noWrap/>
          </w:tcPr>
          <w:p w14:paraId="62813E3D" w14:textId="77777777" w:rsidR="008B4DF8" w:rsidRPr="00C1603D" w:rsidRDefault="008B4DF8" w:rsidP="00CD7FF0">
            <w:pPr>
              <w:pStyle w:val="72TabletextTablesTableFigureBoxstyles"/>
              <w:rPr>
                <w:lang w:eastAsia="zh-CN"/>
              </w:rPr>
            </w:pPr>
            <w:r w:rsidRPr="00C1603D">
              <w:rPr>
                <w:lang w:eastAsia="zh-CN"/>
              </w:rPr>
              <w:t>Osteoporosis</w:t>
            </w:r>
          </w:p>
        </w:tc>
        <w:tc>
          <w:tcPr>
            <w:tcW w:w="2693" w:type="dxa"/>
            <w:shd w:val="clear" w:color="auto" w:fill="auto"/>
            <w:noWrap/>
          </w:tcPr>
          <w:p w14:paraId="133D9922" w14:textId="7E54E595" w:rsidR="008B4DF8" w:rsidRPr="00C1603D" w:rsidRDefault="008B4DF8" w:rsidP="00CD7FF0">
            <w:pPr>
              <w:pStyle w:val="72TabletextTablesTableFigureBoxstyles"/>
              <w:rPr>
                <w:lang w:eastAsia="zh-CN"/>
              </w:rPr>
            </w:pPr>
            <w:r w:rsidRPr="00C1603D">
              <w:rPr>
                <w:lang w:eastAsia="zh-CN"/>
              </w:rPr>
              <w:t>£39.04 (SE</w:t>
            </w:r>
            <w:r w:rsidR="00BF7E3D" w:rsidRPr="00C1603D">
              <w:rPr>
                <w:color w:val="00B0F0"/>
                <w:lang w:eastAsia="zh-CN"/>
              </w:rPr>
              <w:t xml:space="preserve"> </w:t>
            </w:r>
            <w:r w:rsidRPr="00C1603D">
              <w:rPr>
                <w:lang w:eastAsia="zh-CN"/>
              </w:rPr>
              <w:t>0.27)</w:t>
            </w:r>
          </w:p>
        </w:tc>
        <w:tc>
          <w:tcPr>
            <w:tcW w:w="1985" w:type="dxa"/>
            <w:shd w:val="clear" w:color="auto" w:fill="auto"/>
          </w:tcPr>
          <w:p w14:paraId="3D286134" w14:textId="33576D58" w:rsidR="008B4DF8" w:rsidRPr="00C1603D" w:rsidRDefault="008B4DF8" w:rsidP="00CD7FF0">
            <w:pPr>
              <w:pStyle w:val="72TabletextTablesTableFigureBoxstyles"/>
              <w:rPr>
                <w:lang w:eastAsia="zh-CN"/>
              </w:rPr>
            </w:pPr>
            <w:r w:rsidRPr="00C1603D">
              <w:rPr>
                <w:lang w:eastAsia="zh-CN"/>
              </w:rPr>
              <w:t>Weighted average of Gamma distributions (</w:t>
            </w:r>
            <w:r w:rsidR="00BF7E3D" w:rsidRPr="00C1603D">
              <w:rPr>
                <w:lang w:eastAsia="zh-CN"/>
              </w:rPr>
              <w:t xml:space="preserve">see </w:t>
            </w:r>
            <w:r w:rsidRPr="00C1603D">
              <w:rPr>
                <w:i/>
                <w:iCs/>
                <w:lang w:eastAsia="zh-CN"/>
              </w:rPr>
              <w:t xml:space="preserve">Appendix </w:t>
            </w:r>
            <w:r w:rsidRPr="00C1603D">
              <w:rPr>
                <w:i/>
                <w:iCs/>
                <w:sz w:val="18"/>
                <w:szCs w:val="18"/>
                <w:lang w:eastAsia="zh-CN"/>
              </w:rPr>
              <w:t>27</w:t>
            </w:r>
            <w:r w:rsidR="00BF7E3D" w:rsidRPr="00C1603D">
              <w:rPr>
                <w:color w:val="auto"/>
                <w:sz w:val="18"/>
                <w:szCs w:val="18"/>
                <w:lang w:eastAsia="zh-CN"/>
              </w:rPr>
              <w:t>,</w:t>
            </w:r>
            <w:r w:rsidRPr="00C1603D">
              <w:rPr>
                <w:color w:val="auto"/>
                <w:sz w:val="18"/>
                <w:szCs w:val="18"/>
                <w:lang w:eastAsia="zh-CN"/>
              </w:rPr>
              <w:t xml:space="preserve"> </w:t>
            </w:r>
            <w:r w:rsidRPr="00C1603D">
              <w:rPr>
                <w:i/>
                <w:color w:val="auto"/>
              </w:rPr>
              <w:t xml:space="preserve">Table </w:t>
            </w:r>
            <w:r w:rsidRPr="00C1603D">
              <w:rPr>
                <w:i/>
                <w:noProof/>
                <w:color w:val="auto"/>
              </w:rPr>
              <w:t>67</w:t>
            </w:r>
            <w:r w:rsidRPr="00C1603D">
              <w:rPr>
                <w:color w:val="auto"/>
                <w:sz w:val="18"/>
                <w:szCs w:val="18"/>
                <w:lang w:eastAsia="zh-CN"/>
              </w:rPr>
              <w:t>)</w:t>
            </w:r>
          </w:p>
        </w:tc>
        <w:tc>
          <w:tcPr>
            <w:tcW w:w="1371" w:type="dxa"/>
            <w:shd w:val="clear" w:color="auto" w:fill="auto"/>
          </w:tcPr>
          <w:p w14:paraId="5125D60A" w14:textId="25778B49" w:rsidR="008B4DF8" w:rsidRPr="00C1603D" w:rsidRDefault="008B4DF8" w:rsidP="00CD7FF0">
            <w:pPr>
              <w:pStyle w:val="72TabletextTablesTableFigureBoxstyles"/>
              <w:rPr>
                <w:lang w:val="fr-FR" w:eastAsia="zh-CN"/>
              </w:rPr>
            </w:pPr>
            <w:r w:rsidRPr="00C1603D">
              <w:rPr>
                <w:lang w:val="fr-FR" w:eastAsia="zh-CN"/>
              </w:rPr>
              <w:t>Curtis</w:t>
            </w:r>
            <w:r w:rsidRPr="00C1603D">
              <w:rPr>
                <w:i/>
                <w:color w:val="00B0F0"/>
                <w:lang w:val="fr-FR" w:eastAsia="zh-CN"/>
              </w:rPr>
              <w:t xml:space="preserve"> et al</w:t>
            </w:r>
            <w:r w:rsidR="00BF7E3D" w:rsidRPr="00C1603D">
              <w:rPr>
                <w:iCs/>
                <w:color w:val="00B0F0"/>
                <w:lang w:val="fr-FR" w:eastAsia="zh-CN"/>
              </w:rPr>
              <w:t>.,</w:t>
            </w:r>
            <w:r w:rsidRPr="00C1603D">
              <w:rPr>
                <w:iCs/>
                <w:noProof/>
                <w:vertAlign w:val="superscript"/>
                <w:lang w:val="fr-FR" w:eastAsia="zh-CN"/>
              </w:rPr>
              <w:t>232</w:t>
            </w:r>
            <w:r w:rsidRPr="00C1603D">
              <w:rPr>
                <w:lang w:val="fr-FR" w:eastAsia="zh-CN"/>
              </w:rPr>
              <w:t xml:space="preserve"> Leal</w:t>
            </w:r>
            <w:r w:rsidRPr="00C1603D">
              <w:rPr>
                <w:i/>
                <w:color w:val="00B0F0"/>
                <w:lang w:val="fr-FR" w:eastAsia="zh-CN"/>
              </w:rPr>
              <w:t xml:space="preserve"> et al</w:t>
            </w:r>
            <w:r w:rsidR="00BF7E3D" w:rsidRPr="00C1603D">
              <w:rPr>
                <w:lang w:val="fr-FR" w:eastAsia="zh-CN"/>
              </w:rPr>
              <w:t>.</w:t>
            </w:r>
            <w:r w:rsidRPr="00C1603D">
              <w:rPr>
                <w:noProof/>
                <w:vertAlign w:val="superscript"/>
                <w:lang w:val="fr-FR" w:eastAsia="zh-CN"/>
              </w:rPr>
              <w:t>233</w:t>
            </w:r>
            <w:r w:rsidRPr="00C1603D">
              <w:rPr>
                <w:lang w:val="fr-FR" w:eastAsia="zh-CN"/>
              </w:rPr>
              <w:t xml:space="preserve"> </w:t>
            </w:r>
            <w:r w:rsidR="00BF7E3D" w:rsidRPr="00C1603D">
              <w:rPr>
                <w:lang w:val="fr-FR" w:eastAsia="zh-CN"/>
              </w:rPr>
              <w:t xml:space="preserve">and </w:t>
            </w:r>
            <w:r w:rsidRPr="00C1603D">
              <w:rPr>
                <w:lang w:val="fr-FR" w:eastAsia="zh-CN"/>
              </w:rPr>
              <w:t>Dolan and Torgerson</w:t>
            </w:r>
            <w:r w:rsidRPr="00C1603D">
              <w:rPr>
                <w:noProof/>
                <w:vertAlign w:val="superscript"/>
                <w:lang w:val="fr-FR" w:eastAsia="zh-CN"/>
              </w:rPr>
              <w:t>234</w:t>
            </w:r>
          </w:p>
        </w:tc>
      </w:tr>
      <w:tr w:rsidR="008B4DF8" w:rsidRPr="00C1603D" w14:paraId="45A706BE" w14:textId="77777777" w:rsidTr="00CD7FF0">
        <w:trPr>
          <w:cantSplit/>
        </w:trPr>
        <w:tc>
          <w:tcPr>
            <w:tcW w:w="2977" w:type="dxa"/>
            <w:shd w:val="clear" w:color="auto" w:fill="auto"/>
            <w:noWrap/>
          </w:tcPr>
          <w:p w14:paraId="62D650C1" w14:textId="77777777" w:rsidR="008B4DF8" w:rsidRPr="00C1603D" w:rsidRDefault="008B4DF8" w:rsidP="00CD7FF0">
            <w:pPr>
              <w:pStyle w:val="72TabletextTablesTableFigureBoxstyles"/>
              <w:rPr>
                <w:lang w:eastAsia="zh-CN"/>
              </w:rPr>
            </w:pPr>
            <w:r w:rsidRPr="00C1603D">
              <w:rPr>
                <w:lang w:eastAsia="zh-CN"/>
              </w:rPr>
              <w:lastRenderedPageBreak/>
              <w:t>Anaemia</w:t>
            </w:r>
          </w:p>
        </w:tc>
        <w:tc>
          <w:tcPr>
            <w:tcW w:w="2693" w:type="dxa"/>
            <w:shd w:val="clear" w:color="auto" w:fill="auto"/>
            <w:noWrap/>
          </w:tcPr>
          <w:p w14:paraId="30F097CE" w14:textId="6F5C221E" w:rsidR="008B4DF8" w:rsidRPr="00C1603D" w:rsidRDefault="00BF7E3D" w:rsidP="00BF7E3D">
            <w:pPr>
              <w:pStyle w:val="72TabletextTablesTableFigureBoxstyles"/>
              <w:rPr>
                <w:lang w:eastAsia="zh-CN"/>
              </w:rPr>
            </w:pPr>
            <w:r w:rsidRPr="00C1603D">
              <w:rPr>
                <w:lang w:eastAsia="zh-CN"/>
              </w:rPr>
              <w:t>£</w:t>
            </w:r>
            <w:r w:rsidR="008B4DF8" w:rsidRPr="00C1603D">
              <w:rPr>
                <w:lang w:eastAsia="zh-CN"/>
              </w:rPr>
              <w:t>0 under NHS</w:t>
            </w:r>
            <w:r w:rsidRPr="00C1603D">
              <w:rPr>
                <w:lang w:eastAsia="zh-CN"/>
              </w:rPr>
              <w:t xml:space="preserve"> </w:t>
            </w:r>
            <w:r w:rsidR="008B4DF8" w:rsidRPr="00C1603D">
              <w:rPr>
                <w:lang w:eastAsia="zh-CN"/>
              </w:rPr>
              <w:t>(£17.89 if counting over-the-counter expenses)</w:t>
            </w:r>
          </w:p>
        </w:tc>
        <w:tc>
          <w:tcPr>
            <w:tcW w:w="1985" w:type="dxa"/>
            <w:shd w:val="clear" w:color="auto" w:fill="auto"/>
          </w:tcPr>
          <w:p w14:paraId="18FC7DB9" w14:textId="77777777" w:rsidR="008B4DF8" w:rsidRPr="00C1603D" w:rsidRDefault="008B4DF8" w:rsidP="00CD7FF0">
            <w:pPr>
              <w:pStyle w:val="72TabletextTablesTableFigureBoxstyles"/>
              <w:rPr>
                <w:lang w:eastAsia="zh-CN"/>
              </w:rPr>
            </w:pPr>
            <w:r w:rsidRPr="00C1603D">
              <w:rPr>
                <w:lang w:eastAsia="zh-CN"/>
              </w:rPr>
              <w:t>Fixed</w:t>
            </w:r>
          </w:p>
        </w:tc>
        <w:tc>
          <w:tcPr>
            <w:tcW w:w="1371" w:type="dxa"/>
            <w:shd w:val="clear" w:color="auto" w:fill="auto"/>
          </w:tcPr>
          <w:p w14:paraId="296FEB6A" w14:textId="64A69DE6" w:rsidR="008B4DF8" w:rsidRPr="00C1603D" w:rsidRDefault="008B4DF8" w:rsidP="00CD7FF0">
            <w:pPr>
              <w:pStyle w:val="72TabletextTablesTableFigureBoxstyles"/>
              <w:rPr>
                <w:lang w:eastAsia="zh-CN"/>
              </w:rPr>
            </w:pPr>
            <w:r w:rsidRPr="00C1603D">
              <w:rPr>
                <w:lang w:eastAsia="zh-CN"/>
              </w:rPr>
              <w:t>Cost of over-the-counter iron tablets. Costed as 20</w:t>
            </w:r>
            <w:r w:rsidRPr="00C1603D">
              <w:rPr>
                <w:color w:val="00B0F0"/>
                <w:lang w:eastAsia="zh-CN"/>
              </w:rPr>
              <w:t xml:space="preserve">0 mg </w:t>
            </w:r>
            <w:r w:rsidR="00BF7E3D" w:rsidRPr="00C1603D">
              <w:rPr>
                <w:color w:val="00B0F0"/>
                <w:lang w:eastAsia="zh-CN"/>
              </w:rPr>
              <w:t xml:space="preserve">of </w:t>
            </w:r>
            <w:r w:rsidRPr="00C1603D">
              <w:rPr>
                <w:lang w:eastAsia="zh-CN"/>
              </w:rPr>
              <w:t>ferrous sulfate tablet twice a day</w:t>
            </w:r>
            <w:r w:rsidR="00BF7E3D" w:rsidRPr="00C1603D">
              <w:rPr>
                <w:lang w:eastAsia="zh-CN"/>
              </w:rPr>
              <w:t>;</w:t>
            </w:r>
            <w:r w:rsidRPr="00C1603D">
              <w:rPr>
                <w:lang w:eastAsia="zh-CN"/>
              </w:rPr>
              <w:t xml:space="preserve"> 1000 tablet pack</w:t>
            </w:r>
            <w:r w:rsidR="00BF7E3D" w:rsidRPr="00C1603D">
              <w:rPr>
                <w:color w:val="00B0F0"/>
                <w:lang w:eastAsia="zh-CN"/>
              </w:rPr>
              <w:t> = </w:t>
            </w:r>
            <w:r w:rsidRPr="00C1603D">
              <w:rPr>
                <w:lang w:eastAsia="zh-CN"/>
              </w:rPr>
              <w:t>£17.89, BNF 2020</w:t>
            </w:r>
            <w:r w:rsidRPr="00C1603D">
              <w:rPr>
                <w:noProof/>
                <w:vertAlign w:val="superscript"/>
                <w:lang w:eastAsia="zh-CN"/>
              </w:rPr>
              <w:t>251</w:t>
            </w:r>
          </w:p>
        </w:tc>
      </w:tr>
      <w:tr w:rsidR="008B4DF8" w:rsidRPr="00C1603D" w14:paraId="13FCFAD3" w14:textId="77777777" w:rsidTr="00CD7FF0">
        <w:trPr>
          <w:cantSplit/>
        </w:trPr>
        <w:tc>
          <w:tcPr>
            <w:tcW w:w="9026" w:type="dxa"/>
            <w:gridSpan w:val="4"/>
            <w:shd w:val="clear" w:color="auto" w:fill="auto"/>
            <w:noWrap/>
          </w:tcPr>
          <w:p w14:paraId="33BA7A92" w14:textId="77777777" w:rsidR="008B4DF8" w:rsidRPr="00C1603D" w:rsidRDefault="008B4DF8" w:rsidP="00CD7FF0">
            <w:pPr>
              <w:pStyle w:val="712TablesubheadBTablesTableFigureBoxstyles"/>
              <w:rPr>
                <w:lang w:eastAsia="zh-CN"/>
              </w:rPr>
            </w:pPr>
            <w:r w:rsidRPr="00C1603D">
              <w:rPr>
                <w:lang w:eastAsia="zh-CN"/>
              </w:rPr>
              <w:t>Utilities</w:t>
            </w:r>
          </w:p>
        </w:tc>
      </w:tr>
      <w:tr w:rsidR="008B4DF8" w:rsidRPr="00C1603D" w14:paraId="5861F4BC" w14:textId="77777777" w:rsidTr="00CD7FF0">
        <w:trPr>
          <w:cantSplit/>
        </w:trPr>
        <w:tc>
          <w:tcPr>
            <w:tcW w:w="2977" w:type="dxa"/>
            <w:shd w:val="clear" w:color="auto" w:fill="auto"/>
            <w:noWrap/>
          </w:tcPr>
          <w:p w14:paraId="6B2F2493" w14:textId="77777777" w:rsidR="008B4DF8" w:rsidRPr="00C1603D" w:rsidRDefault="008B4DF8" w:rsidP="00CD7FF0">
            <w:pPr>
              <w:pStyle w:val="72TabletextTablesTableFigureBoxstyles"/>
              <w:rPr>
                <w:rFonts w:eastAsia="Calibri"/>
              </w:rPr>
            </w:pPr>
            <w:r w:rsidRPr="00C1603D">
              <w:rPr>
                <w:lang w:eastAsia="zh-CN"/>
              </w:rPr>
              <w:t>Diagnosed CD</w:t>
            </w:r>
          </w:p>
        </w:tc>
        <w:tc>
          <w:tcPr>
            <w:tcW w:w="2693" w:type="dxa"/>
            <w:shd w:val="clear" w:color="auto" w:fill="auto"/>
            <w:noWrap/>
          </w:tcPr>
          <w:p w14:paraId="0A9B16E3" w14:textId="46935B0D" w:rsidR="008B4DF8" w:rsidRPr="00C1603D" w:rsidRDefault="008B4DF8" w:rsidP="00BF7E3D">
            <w:pPr>
              <w:pStyle w:val="722TablebulletlistTablesTableFigureBoxstyles"/>
              <w:rPr>
                <w:lang w:eastAsia="zh-CN"/>
              </w:rPr>
            </w:pPr>
            <w:proofErr w:type="gramStart"/>
            <w:r w:rsidRPr="00C1603D">
              <w:rPr>
                <w:lang w:eastAsia="zh-CN"/>
              </w:rPr>
              <w:t>Whole population</w:t>
            </w:r>
            <w:proofErr w:type="gramEnd"/>
            <w:r w:rsidR="00BF7E3D" w:rsidRPr="00C1603D">
              <w:rPr>
                <w:lang w:eastAsia="zh-CN"/>
              </w:rPr>
              <w:t>:</w:t>
            </w:r>
            <w:r w:rsidRPr="00C1603D">
              <w:rPr>
                <w:lang w:eastAsia="zh-CN"/>
              </w:rPr>
              <w:t xml:space="preserve"> 0.85 (0.84, 0.86)</w:t>
            </w:r>
          </w:p>
          <w:p w14:paraId="7AC9C320" w14:textId="28AD93ED" w:rsidR="008B4DF8" w:rsidRPr="00C1603D" w:rsidRDefault="008B4DF8" w:rsidP="00BF7E3D">
            <w:pPr>
              <w:pStyle w:val="722TablebulletlistTablesTableFigureBoxstyles"/>
              <w:rPr>
                <w:lang w:eastAsia="zh-CN"/>
              </w:rPr>
            </w:pPr>
            <w:r w:rsidRPr="00C1603D">
              <w:rPr>
                <w:lang w:eastAsia="zh-CN"/>
              </w:rPr>
              <w:t>Aged</w:t>
            </w:r>
            <w:r w:rsidR="00BF7E3D" w:rsidRPr="00C1603D">
              <w:rPr>
                <w:lang w:eastAsia="zh-CN"/>
              </w:rPr>
              <w:t xml:space="preserve"> </w:t>
            </w:r>
            <w:r w:rsidRPr="00C1603D">
              <w:rPr>
                <w:color w:val="00B0F0"/>
                <w:lang w:eastAsia="zh-CN"/>
              </w:rPr>
              <w:t>&lt; 1</w:t>
            </w:r>
            <w:r w:rsidRPr="00C1603D">
              <w:rPr>
                <w:lang w:eastAsia="zh-CN"/>
              </w:rPr>
              <w:t>8</w:t>
            </w:r>
            <w:r w:rsidR="00BF7E3D" w:rsidRPr="00C1603D">
              <w:rPr>
                <w:lang w:eastAsia="zh-CN"/>
              </w:rPr>
              <w:t xml:space="preserve"> years:</w:t>
            </w:r>
            <w:r w:rsidRPr="00C1603D">
              <w:rPr>
                <w:lang w:eastAsia="zh-CN"/>
              </w:rPr>
              <w:t xml:space="preserve"> 0.88</w:t>
            </w:r>
          </w:p>
        </w:tc>
        <w:tc>
          <w:tcPr>
            <w:tcW w:w="1985" w:type="dxa"/>
            <w:shd w:val="clear" w:color="auto" w:fill="auto"/>
          </w:tcPr>
          <w:p w14:paraId="294F9977" w14:textId="77777777" w:rsidR="008B4DF8" w:rsidRPr="00C1603D" w:rsidRDefault="008B4DF8" w:rsidP="00CD7FF0">
            <w:pPr>
              <w:pStyle w:val="72TabletextTablesTableFigureBoxstyles"/>
              <w:rPr>
                <w:lang w:eastAsia="zh-CN"/>
              </w:rPr>
            </w:pPr>
            <w:r w:rsidRPr="00C1603D">
              <w:rPr>
                <w:lang w:eastAsia="zh-CN"/>
              </w:rPr>
              <w:t>Beta</w:t>
            </w:r>
          </w:p>
        </w:tc>
        <w:tc>
          <w:tcPr>
            <w:tcW w:w="1371" w:type="dxa"/>
            <w:shd w:val="clear" w:color="auto" w:fill="auto"/>
          </w:tcPr>
          <w:p w14:paraId="6DBF2100" w14:textId="77777777" w:rsidR="008B4DF8" w:rsidRPr="00C1603D" w:rsidRDefault="008B4DF8" w:rsidP="00CD7FF0">
            <w:pPr>
              <w:pStyle w:val="72TabletextTablesTableFigureBoxstyles"/>
            </w:pPr>
            <w:r w:rsidRPr="00C1603D">
              <w:rPr>
                <w:lang w:eastAsia="zh-CN"/>
              </w:rPr>
              <w:t>Violato</w:t>
            </w:r>
            <w:r w:rsidRPr="00C1603D">
              <w:rPr>
                <w:i/>
                <w:color w:val="00B0F0"/>
                <w:lang w:eastAsia="zh-CN"/>
              </w:rPr>
              <w:t xml:space="preserve"> et al</w:t>
            </w:r>
            <w:r w:rsidRPr="00C1603D">
              <w:rPr>
                <w:lang w:eastAsia="zh-CN"/>
              </w:rPr>
              <w:t xml:space="preserve"> 2019</w:t>
            </w:r>
            <w:r w:rsidRPr="00C1603D">
              <w:rPr>
                <w:noProof/>
                <w:vertAlign w:val="superscript"/>
                <w:lang w:eastAsia="zh-CN"/>
              </w:rPr>
              <w:t>238</w:t>
            </w:r>
          </w:p>
        </w:tc>
      </w:tr>
      <w:tr w:rsidR="008B4DF8" w:rsidRPr="00C1603D" w14:paraId="23C6B6C3" w14:textId="77777777" w:rsidTr="00CD7FF0">
        <w:trPr>
          <w:cantSplit/>
        </w:trPr>
        <w:tc>
          <w:tcPr>
            <w:tcW w:w="2977" w:type="dxa"/>
            <w:shd w:val="clear" w:color="auto" w:fill="auto"/>
            <w:noWrap/>
          </w:tcPr>
          <w:p w14:paraId="40F6B454" w14:textId="77777777" w:rsidR="008B4DF8" w:rsidRPr="00C1603D" w:rsidRDefault="008B4DF8" w:rsidP="00CD7FF0">
            <w:pPr>
              <w:pStyle w:val="72TabletextTablesTableFigureBoxstyles"/>
              <w:rPr>
                <w:lang w:eastAsia="zh-CN"/>
              </w:rPr>
            </w:pPr>
            <w:r w:rsidRPr="00C1603D">
              <w:rPr>
                <w:lang w:eastAsia="zh-CN"/>
              </w:rPr>
              <w:t>Undiagnosed CD</w:t>
            </w:r>
          </w:p>
        </w:tc>
        <w:tc>
          <w:tcPr>
            <w:tcW w:w="2693" w:type="dxa"/>
            <w:shd w:val="clear" w:color="auto" w:fill="auto"/>
            <w:noWrap/>
          </w:tcPr>
          <w:p w14:paraId="5370C0CC" w14:textId="0CA2790C" w:rsidR="008B4DF8" w:rsidRPr="00C1603D" w:rsidRDefault="008B4DF8" w:rsidP="00FE1D3D">
            <w:pPr>
              <w:pStyle w:val="722TablebulletlistTablesTableFigureBoxstyles"/>
              <w:rPr>
                <w:lang w:eastAsia="zh-CN"/>
              </w:rPr>
            </w:pPr>
            <w:proofErr w:type="gramStart"/>
            <w:r w:rsidRPr="00C1603D">
              <w:rPr>
                <w:lang w:eastAsia="zh-CN"/>
              </w:rPr>
              <w:t>Whole population</w:t>
            </w:r>
            <w:proofErr w:type="gramEnd"/>
            <w:r w:rsidR="00FE1D3D" w:rsidRPr="00C1603D">
              <w:rPr>
                <w:lang w:eastAsia="zh-CN"/>
              </w:rPr>
              <w:t>:</w:t>
            </w:r>
            <w:r w:rsidRPr="00C1603D">
              <w:rPr>
                <w:lang w:eastAsia="zh-CN"/>
              </w:rPr>
              <w:t xml:space="preserve"> 0.65 </w:t>
            </w:r>
            <w:r w:rsidRPr="00C1603D">
              <w:rPr>
                <w:shd w:val="clear" w:color="auto" w:fill="FFFFFF"/>
              </w:rPr>
              <w:t>(0.63, 0.67)</w:t>
            </w:r>
          </w:p>
          <w:p w14:paraId="27A13A7C" w14:textId="03771168" w:rsidR="008B4DF8" w:rsidRPr="00C1603D" w:rsidRDefault="008B4DF8" w:rsidP="00FE1D3D">
            <w:pPr>
              <w:pStyle w:val="722TablebulletlistTablesTableFigureBoxstyles"/>
              <w:rPr>
                <w:lang w:eastAsia="zh-CN"/>
              </w:rPr>
            </w:pPr>
            <w:r w:rsidRPr="00C1603D">
              <w:rPr>
                <w:lang w:eastAsia="zh-CN"/>
              </w:rPr>
              <w:t>Aged</w:t>
            </w:r>
            <w:r w:rsidR="00FE1D3D" w:rsidRPr="00C1603D">
              <w:rPr>
                <w:lang w:eastAsia="zh-CN"/>
              </w:rPr>
              <w:t xml:space="preserve"> </w:t>
            </w:r>
            <w:r w:rsidRPr="00C1603D">
              <w:rPr>
                <w:color w:val="00B0F0"/>
                <w:lang w:eastAsia="zh-CN"/>
              </w:rPr>
              <w:t>&lt; 1</w:t>
            </w:r>
            <w:r w:rsidRPr="00C1603D">
              <w:rPr>
                <w:lang w:eastAsia="zh-CN"/>
              </w:rPr>
              <w:t>8</w:t>
            </w:r>
            <w:r w:rsidR="00FE1D3D" w:rsidRPr="00C1603D">
              <w:rPr>
                <w:lang w:eastAsia="zh-CN"/>
              </w:rPr>
              <w:t xml:space="preserve"> years:</w:t>
            </w:r>
            <w:r w:rsidRPr="00C1603D">
              <w:rPr>
                <w:lang w:eastAsia="zh-CN"/>
              </w:rPr>
              <w:t xml:space="preserve"> 0.57</w:t>
            </w:r>
          </w:p>
        </w:tc>
        <w:tc>
          <w:tcPr>
            <w:tcW w:w="1985" w:type="dxa"/>
            <w:shd w:val="clear" w:color="auto" w:fill="auto"/>
          </w:tcPr>
          <w:p w14:paraId="6F4D81DB" w14:textId="77777777" w:rsidR="008B4DF8" w:rsidRPr="00C1603D" w:rsidRDefault="008B4DF8" w:rsidP="00CD7FF0">
            <w:pPr>
              <w:pStyle w:val="72TabletextTablesTableFigureBoxstyles"/>
              <w:rPr>
                <w:lang w:eastAsia="zh-CN"/>
              </w:rPr>
            </w:pPr>
            <w:r w:rsidRPr="00C1603D">
              <w:rPr>
                <w:lang w:eastAsia="zh-CN"/>
              </w:rPr>
              <w:t>Beta</w:t>
            </w:r>
          </w:p>
        </w:tc>
        <w:tc>
          <w:tcPr>
            <w:tcW w:w="1371" w:type="dxa"/>
            <w:shd w:val="clear" w:color="auto" w:fill="auto"/>
          </w:tcPr>
          <w:p w14:paraId="0B7BB476" w14:textId="77777777" w:rsidR="008B4DF8" w:rsidRPr="00C1603D" w:rsidRDefault="008B4DF8" w:rsidP="00CD7FF0">
            <w:pPr>
              <w:pStyle w:val="72TabletextTablesTableFigureBoxstyles"/>
              <w:rPr>
                <w:lang w:eastAsia="zh-CN"/>
              </w:rPr>
            </w:pPr>
            <w:r w:rsidRPr="00C1603D">
              <w:rPr>
                <w:lang w:eastAsia="zh-CN"/>
              </w:rPr>
              <w:t>Violato</w:t>
            </w:r>
            <w:r w:rsidRPr="00C1603D">
              <w:rPr>
                <w:i/>
                <w:color w:val="00B0F0"/>
                <w:lang w:eastAsia="zh-CN"/>
              </w:rPr>
              <w:t xml:space="preserve"> et al</w:t>
            </w:r>
            <w:r w:rsidRPr="00C1603D">
              <w:rPr>
                <w:lang w:eastAsia="zh-CN"/>
              </w:rPr>
              <w:t xml:space="preserve"> 2019</w:t>
            </w:r>
            <w:r w:rsidRPr="00C1603D">
              <w:rPr>
                <w:noProof/>
                <w:vertAlign w:val="superscript"/>
                <w:lang w:eastAsia="zh-CN"/>
              </w:rPr>
              <w:t>238</w:t>
            </w:r>
          </w:p>
        </w:tc>
      </w:tr>
      <w:tr w:rsidR="008B4DF8" w:rsidRPr="00C1603D" w14:paraId="4AC3D7EF" w14:textId="77777777" w:rsidTr="00CD7FF0">
        <w:trPr>
          <w:cantSplit/>
        </w:trPr>
        <w:tc>
          <w:tcPr>
            <w:tcW w:w="2977" w:type="dxa"/>
            <w:shd w:val="clear" w:color="auto" w:fill="auto"/>
            <w:noWrap/>
          </w:tcPr>
          <w:p w14:paraId="195E0A8B" w14:textId="77777777" w:rsidR="008B4DF8" w:rsidRPr="00C1603D" w:rsidRDefault="008B4DF8" w:rsidP="00CD7FF0">
            <w:pPr>
              <w:pStyle w:val="72TabletextTablesTableFigureBoxstyles"/>
              <w:rPr>
                <w:rFonts w:eastAsia="Calibri"/>
              </w:rPr>
            </w:pPr>
            <w:r w:rsidRPr="00C1603D">
              <w:rPr>
                <w:rFonts w:eastAsia="Calibri"/>
              </w:rPr>
              <w:t>Osteoporosis (annual disutility)</w:t>
            </w:r>
          </w:p>
        </w:tc>
        <w:tc>
          <w:tcPr>
            <w:tcW w:w="2693" w:type="dxa"/>
            <w:shd w:val="clear" w:color="auto" w:fill="auto"/>
            <w:noWrap/>
          </w:tcPr>
          <w:p w14:paraId="47C736B6" w14:textId="07C5BE9E" w:rsidR="008B4DF8" w:rsidRPr="00C1603D" w:rsidRDefault="008B4DF8" w:rsidP="00CD7FF0">
            <w:pPr>
              <w:pStyle w:val="72TabletextTablesTableFigureBoxstyles"/>
              <w:rPr>
                <w:lang w:eastAsia="zh-CN"/>
              </w:rPr>
            </w:pPr>
            <w:r w:rsidRPr="00C1603D">
              <w:rPr>
                <w:lang w:eastAsia="zh-CN"/>
              </w:rPr>
              <w:t>0.0008 (SE</w:t>
            </w:r>
            <w:r w:rsidR="00FE1D3D" w:rsidRPr="00C1603D">
              <w:rPr>
                <w:lang w:eastAsia="zh-CN"/>
              </w:rPr>
              <w:t xml:space="preserve"> </w:t>
            </w:r>
            <w:r w:rsidRPr="00C1603D">
              <w:rPr>
                <w:lang w:eastAsia="zh-CN"/>
              </w:rPr>
              <w:t>0.000067)</w:t>
            </w:r>
          </w:p>
        </w:tc>
        <w:tc>
          <w:tcPr>
            <w:tcW w:w="1985" w:type="dxa"/>
            <w:shd w:val="clear" w:color="auto" w:fill="auto"/>
          </w:tcPr>
          <w:p w14:paraId="408AB125" w14:textId="55645D6D" w:rsidR="008B4DF8" w:rsidRPr="00C1603D" w:rsidRDefault="008B4DF8" w:rsidP="00CD7FF0">
            <w:pPr>
              <w:pStyle w:val="72TabletextTablesTableFigureBoxstyles"/>
            </w:pPr>
            <w:r w:rsidRPr="00C1603D">
              <w:t xml:space="preserve">Weighted average of </w:t>
            </w:r>
            <w:r w:rsidR="00DB304B" w:rsidRPr="00C1603D">
              <w:t>b</w:t>
            </w:r>
            <w:r w:rsidRPr="00C1603D">
              <w:t>eta distributions (</w:t>
            </w:r>
            <w:r w:rsidR="00DB304B" w:rsidRPr="00C1603D">
              <w:t xml:space="preserve">see </w:t>
            </w:r>
            <w:r w:rsidRPr="00C1603D">
              <w:rPr>
                <w:i/>
                <w:iCs/>
              </w:rPr>
              <w:t>Appendix 27</w:t>
            </w:r>
            <w:r w:rsidR="00DB304B" w:rsidRPr="00C1603D">
              <w:rPr>
                <w:color w:val="auto"/>
              </w:rPr>
              <w:t>,</w:t>
            </w:r>
            <w:r w:rsidRPr="00C1603D">
              <w:rPr>
                <w:color w:val="auto"/>
              </w:rPr>
              <w:t xml:space="preserve"> </w:t>
            </w:r>
            <w:r w:rsidRPr="00C1603D">
              <w:rPr>
                <w:i/>
                <w:color w:val="auto"/>
              </w:rPr>
              <w:t xml:space="preserve">Table </w:t>
            </w:r>
            <w:r w:rsidRPr="00C1603D">
              <w:rPr>
                <w:i/>
                <w:noProof/>
                <w:color w:val="auto"/>
              </w:rPr>
              <w:t>69</w:t>
            </w:r>
            <w:r w:rsidRPr="00C1603D">
              <w:rPr>
                <w:color w:val="auto"/>
              </w:rPr>
              <w:t>)</w:t>
            </w:r>
          </w:p>
        </w:tc>
        <w:tc>
          <w:tcPr>
            <w:tcW w:w="1371" w:type="dxa"/>
            <w:shd w:val="clear" w:color="auto" w:fill="auto"/>
          </w:tcPr>
          <w:p w14:paraId="23BAA7CB" w14:textId="2A668780" w:rsidR="008B4DF8" w:rsidRPr="00C1603D" w:rsidRDefault="008B4DF8" w:rsidP="00CD7FF0">
            <w:pPr>
              <w:pStyle w:val="72TabletextTablesTableFigureBoxstyles"/>
              <w:rPr>
                <w:lang w:val="fr-FR"/>
              </w:rPr>
            </w:pPr>
            <w:r w:rsidRPr="00C1603D">
              <w:rPr>
                <w:lang w:val="fr-FR"/>
              </w:rPr>
              <w:t>Si</w:t>
            </w:r>
            <w:r w:rsidRPr="00C1603D">
              <w:rPr>
                <w:i/>
                <w:color w:val="00B0F0"/>
                <w:lang w:val="fr-FR"/>
              </w:rPr>
              <w:t xml:space="preserve"> et al</w:t>
            </w:r>
            <w:r w:rsidR="00DB304B" w:rsidRPr="00C1603D">
              <w:rPr>
                <w:lang w:val="fr-FR"/>
              </w:rPr>
              <w:t>.</w:t>
            </w:r>
            <w:r w:rsidRPr="00C1603D">
              <w:rPr>
                <w:noProof/>
                <w:vertAlign w:val="superscript"/>
                <w:lang w:val="fr-FR"/>
              </w:rPr>
              <w:t>240</w:t>
            </w:r>
            <w:r w:rsidRPr="00C1603D">
              <w:rPr>
                <w:lang w:val="fr-FR"/>
              </w:rPr>
              <w:t xml:space="preserve"> </w:t>
            </w:r>
            <w:r w:rsidR="00DB304B" w:rsidRPr="00C1603D">
              <w:rPr>
                <w:lang w:val="fr-FR"/>
              </w:rPr>
              <w:t xml:space="preserve">and </w:t>
            </w:r>
            <w:r w:rsidRPr="00C1603D">
              <w:rPr>
                <w:lang w:val="fr-FR"/>
              </w:rPr>
              <w:t>Curtis</w:t>
            </w:r>
            <w:r w:rsidRPr="00C1603D">
              <w:rPr>
                <w:i/>
                <w:color w:val="00B0F0"/>
                <w:lang w:val="fr-FR"/>
              </w:rPr>
              <w:t xml:space="preserve"> et al</w:t>
            </w:r>
            <w:r w:rsidR="00DB304B" w:rsidRPr="00C1603D">
              <w:rPr>
                <w:lang w:val="fr-FR"/>
              </w:rPr>
              <w:t>.</w:t>
            </w:r>
            <w:r w:rsidRPr="00C1603D">
              <w:rPr>
                <w:noProof/>
                <w:vertAlign w:val="superscript"/>
                <w:lang w:val="fr-FR"/>
              </w:rPr>
              <w:t>232</w:t>
            </w:r>
          </w:p>
        </w:tc>
      </w:tr>
      <w:tr w:rsidR="008B4DF8" w:rsidRPr="00C1603D" w14:paraId="09F7DBCE" w14:textId="77777777" w:rsidTr="00CD7FF0">
        <w:trPr>
          <w:cantSplit/>
        </w:trPr>
        <w:tc>
          <w:tcPr>
            <w:tcW w:w="2977" w:type="dxa"/>
            <w:shd w:val="clear" w:color="auto" w:fill="auto"/>
            <w:noWrap/>
          </w:tcPr>
          <w:p w14:paraId="563FC6B6" w14:textId="77777777" w:rsidR="008B4DF8" w:rsidRPr="00C1603D" w:rsidRDefault="008B4DF8" w:rsidP="00CD7FF0">
            <w:pPr>
              <w:pStyle w:val="72TabletextTablesTableFigureBoxstyles"/>
              <w:rPr>
                <w:rFonts w:eastAsia="Calibri"/>
              </w:rPr>
            </w:pPr>
            <w:r w:rsidRPr="00C1603D">
              <w:rPr>
                <w:rFonts w:eastAsia="Calibri"/>
              </w:rPr>
              <w:t>NHL (annual disutility)</w:t>
            </w:r>
          </w:p>
        </w:tc>
        <w:tc>
          <w:tcPr>
            <w:tcW w:w="2693" w:type="dxa"/>
            <w:shd w:val="clear" w:color="auto" w:fill="auto"/>
            <w:noWrap/>
          </w:tcPr>
          <w:p w14:paraId="67B71A9E" w14:textId="77777777" w:rsidR="008B4DF8" w:rsidRPr="00C1603D" w:rsidRDefault="008B4DF8" w:rsidP="00CD7FF0">
            <w:pPr>
              <w:pStyle w:val="72TabletextTablesTableFigureBoxstyles"/>
              <w:rPr>
                <w:lang w:eastAsia="zh-CN"/>
              </w:rPr>
            </w:pPr>
            <w:r w:rsidRPr="00C1603D">
              <w:rPr>
                <w:lang w:eastAsia="zh-CN"/>
              </w:rPr>
              <w:t>0.086 (0.036</w:t>
            </w:r>
            <w:r w:rsidRPr="00C1603D">
              <w:rPr>
                <w:color w:val="00B0F0"/>
                <w:lang w:eastAsia="zh-CN"/>
              </w:rPr>
              <w:t xml:space="preserve"> – </w:t>
            </w:r>
            <w:r w:rsidRPr="00C1603D">
              <w:rPr>
                <w:lang w:eastAsia="zh-CN"/>
              </w:rPr>
              <w:t>0.136)</w:t>
            </w:r>
          </w:p>
        </w:tc>
        <w:tc>
          <w:tcPr>
            <w:tcW w:w="1985" w:type="dxa"/>
            <w:shd w:val="clear" w:color="auto" w:fill="auto"/>
          </w:tcPr>
          <w:p w14:paraId="76850BD1" w14:textId="6E07B57D" w:rsidR="008B4DF8" w:rsidRPr="00C1603D" w:rsidRDefault="008B4DF8" w:rsidP="00CD7FF0">
            <w:pPr>
              <w:pStyle w:val="72TabletextTablesTableFigureBoxstyles"/>
            </w:pPr>
            <w:r w:rsidRPr="00C1603D">
              <w:t>Uniform</w:t>
            </w:r>
          </w:p>
        </w:tc>
        <w:tc>
          <w:tcPr>
            <w:tcW w:w="1371" w:type="dxa"/>
            <w:shd w:val="clear" w:color="auto" w:fill="auto"/>
          </w:tcPr>
          <w:p w14:paraId="69234AC2" w14:textId="76A4AC83" w:rsidR="008B4DF8" w:rsidRPr="00C1603D" w:rsidRDefault="008B4DF8" w:rsidP="00CD7FF0">
            <w:pPr>
              <w:pStyle w:val="72TabletextTablesTableFigureBoxstyles"/>
              <w:rPr>
                <w:lang w:val="fr-FR"/>
              </w:rPr>
            </w:pPr>
            <w:r w:rsidRPr="00C1603D">
              <w:rPr>
                <w:lang w:val="fr-FR"/>
              </w:rPr>
              <w:t>Fargier</w:t>
            </w:r>
            <w:r w:rsidRPr="00C1603D">
              <w:rPr>
                <w:i/>
                <w:color w:val="00B0F0"/>
                <w:lang w:val="fr-FR"/>
              </w:rPr>
              <w:t xml:space="preserve"> et al</w:t>
            </w:r>
            <w:r w:rsidR="00DB304B" w:rsidRPr="00C1603D">
              <w:rPr>
                <w:lang w:val="fr-FR"/>
              </w:rPr>
              <w:t>.</w:t>
            </w:r>
            <w:r w:rsidRPr="00C1603D">
              <w:rPr>
                <w:noProof/>
                <w:vertAlign w:val="superscript"/>
                <w:lang w:val="fr-FR"/>
              </w:rPr>
              <w:t>2</w:t>
            </w:r>
            <w:r w:rsidR="00DB304B" w:rsidRPr="00C1603D">
              <w:rPr>
                <w:noProof/>
                <w:vertAlign w:val="superscript"/>
                <w:lang w:val="fr-FR"/>
              </w:rPr>
              <w:t>41</w:t>
            </w:r>
          </w:p>
        </w:tc>
      </w:tr>
      <w:tr w:rsidR="008B4DF8" w:rsidRPr="00C1603D" w14:paraId="473E7D27" w14:textId="77777777" w:rsidTr="00CD7FF0">
        <w:trPr>
          <w:cantSplit/>
        </w:trPr>
        <w:tc>
          <w:tcPr>
            <w:tcW w:w="2977" w:type="dxa"/>
            <w:shd w:val="clear" w:color="auto" w:fill="auto"/>
            <w:noWrap/>
          </w:tcPr>
          <w:p w14:paraId="04B833D3" w14:textId="77777777" w:rsidR="008B4DF8" w:rsidRPr="00C1603D" w:rsidRDefault="008B4DF8" w:rsidP="00CD7FF0">
            <w:pPr>
              <w:pStyle w:val="72TabletextTablesTableFigureBoxstyles"/>
              <w:rPr>
                <w:rFonts w:eastAsia="Calibri"/>
              </w:rPr>
            </w:pPr>
            <w:r w:rsidRPr="00C1603D">
              <w:rPr>
                <w:rFonts w:eastAsia="Calibri"/>
              </w:rPr>
              <w:t>Disutility associated with biopsy in adults</w:t>
            </w:r>
          </w:p>
        </w:tc>
        <w:tc>
          <w:tcPr>
            <w:tcW w:w="2693" w:type="dxa"/>
            <w:shd w:val="clear" w:color="auto" w:fill="auto"/>
            <w:noWrap/>
          </w:tcPr>
          <w:p w14:paraId="29A8CBCB" w14:textId="77777777" w:rsidR="008B4DF8" w:rsidRPr="00C1603D" w:rsidRDefault="008B4DF8" w:rsidP="00CD7FF0">
            <w:pPr>
              <w:pStyle w:val="72TabletextTablesTableFigureBoxstyles"/>
              <w:rPr>
                <w:lang w:eastAsia="zh-CN"/>
              </w:rPr>
            </w:pPr>
            <w:r w:rsidRPr="00C1603D">
              <w:rPr>
                <w:color w:val="00B0F0"/>
                <w:lang w:eastAsia="zh-CN"/>
              </w:rPr>
              <w:t>–0</w:t>
            </w:r>
            <w:r w:rsidRPr="00C1603D">
              <w:rPr>
                <w:lang w:eastAsia="zh-CN"/>
              </w:rPr>
              <w:t>.003 (</w:t>
            </w:r>
            <w:r w:rsidRPr="00C1603D">
              <w:rPr>
                <w:color w:val="00B0F0"/>
                <w:lang w:eastAsia="zh-CN"/>
              </w:rPr>
              <w:t>–0</w:t>
            </w:r>
            <w:r w:rsidRPr="00C1603D">
              <w:rPr>
                <w:lang w:eastAsia="zh-CN"/>
              </w:rPr>
              <w:t>.005 – 0)</w:t>
            </w:r>
          </w:p>
        </w:tc>
        <w:tc>
          <w:tcPr>
            <w:tcW w:w="1985" w:type="dxa"/>
            <w:shd w:val="clear" w:color="auto" w:fill="auto"/>
          </w:tcPr>
          <w:p w14:paraId="4B9EEFAE" w14:textId="77777777" w:rsidR="008B4DF8" w:rsidRPr="00C1603D" w:rsidRDefault="008B4DF8" w:rsidP="00CD7FF0">
            <w:pPr>
              <w:pStyle w:val="72TabletextTablesTableFigureBoxstyles"/>
            </w:pPr>
            <w:r w:rsidRPr="00C1603D">
              <w:t>Triangular</w:t>
            </w:r>
          </w:p>
        </w:tc>
        <w:tc>
          <w:tcPr>
            <w:tcW w:w="1371" w:type="dxa"/>
            <w:shd w:val="clear" w:color="auto" w:fill="auto"/>
          </w:tcPr>
          <w:p w14:paraId="2B5DC43F" w14:textId="77777777" w:rsidR="008B4DF8" w:rsidRPr="00C1603D" w:rsidRDefault="008B4DF8" w:rsidP="00CD7FF0">
            <w:pPr>
              <w:pStyle w:val="72TabletextTablesTableFigureBoxstyles"/>
            </w:pPr>
            <w:commentRangeStart w:id="401"/>
            <w:r w:rsidRPr="00C1603D">
              <w:t>NICE guideline</w:t>
            </w:r>
            <w:commentRangeEnd w:id="401"/>
            <w:r w:rsidR="00DB304B" w:rsidRPr="00C1603D">
              <w:rPr>
                <w:rFonts w:ascii="Times New Roman" w:hAnsi="Times New Roman" w:cs="Times New Roman"/>
                <w:color w:val="auto"/>
                <w:lang w:val="en-US"/>
              </w:rPr>
              <w:commentReference w:id="401"/>
            </w:r>
          </w:p>
        </w:tc>
      </w:tr>
      <w:tr w:rsidR="008B4DF8" w:rsidRPr="00C1603D" w14:paraId="23506251" w14:textId="77777777" w:rsidTr="00CD7FF0">
        <w:trPr>
          <w:cantSplit/>
        </w:trPr>
        <w:tc>
          <w:tcPr>
            <w:tcW w:w="2977" w:type="dxa"/>
            <w:shd w:val="clear" w:color="auto" w:fill="auto"/>
            <w:noWrap/>
          </w:tcPr>
          <w:p w14:paraId="435419F5" w14:textId="77777777" w:rsidR="008B4DF8" w:rsidRPr="00C1603D" w:rsidRDefault="008B4DF8" w:rsidP="00CD7FF0">
            <w:pPr>
              <w:pStyle w:val="72TabletextTablesTableFigureBoxstyles"/>
              <w:rPr>
                <w:rFonts w:eastAsia="Calibri"/>
              </w:rPr>
            </w:pPr>
            <w:r w:rsidRPr="00C1603D">
              <w:rPr>
                <w:rFonts w:eastAsia="Calibri"/>
              </w:rPr>
              <w:t>Disutility associated with biopsy in children</w:t>
            </w:r>
          </w:p>
        </w:tc>
        <w:tc>
          <w:tcPr>
            <w:tcW w:w="2693" w:type="dxa"/>
            <w:shd w:val="clear" w:color="auto" w:fill="auto"/>
            <w:noWrap/>
          </w:tcPr>
          <w:p w14:paraId="0C74AF36" w14:textId="77777777" w:rsidR="008B4DF8" w:rsidRPr="00C1603D" w:rsidRDefault="008B4DF8" w:rsidP="00CD7FF0">
            <w:pPr>
              <w:pStyle w:val="72TabletextTablesTableFigureBoxstyles"/>
              <w:rPr>
                <w:lang w:eastAsia="zh-CN"/>
              </w:rPr>
            </w:pPr>
            <w:r w:rsidRPr="00C1603D">
              <w:rPr>
                <w:color w:val="00B0F0"/>
                <w:lang w:eastAsia="zh-CN"/>
              </w:rPr>
              <w:t>–0</w:t>
            </w:r>
            <w:r w:rsidRPr="00C1603D">
              <w:rPr>
                <w:lang w:eastAsia="zh-CN"/>
              </w:rPr>
              <w:t>.006 (</w:t>
            </w:r>
            <w:r w:rsidRPr="00C1603D">
              <w:rPr>
                <w:color w:val="00B0F0"/>
                <w:lang w:eastAsia="zh-CN"/>
              </w:rPr>
              <w:t>–0</w:t>
            </w:r>
            <w:r w:rsidRPr="00C1603D">
              <w:rPr>
                <w:lang w:eastAsia="zh-CN"/>
              </w:rPr>
              <w:t>.010 – 0)</w:t>
            </w:r>
          </w:p>
        </w:tc>
        <w:tc>
          <w:tcPr>
            <w:tcW w:w="1985" w:type="dxa"/>
            <w:shd w:val="clear" w:color="auto" w:fill="auto"/>
          </w:tcPr>
          <w:p w14:paraId="737270F9" w14:textId="77777777" w:rsidR="008B4DF8" w:rsidRPr="00C1603D" w:rsidRDefault="008B4DF8" w:rsidP="00CD7FF0">
            <w:pPr>
              <w:pStyle w:val="72TabletextTablesTableFigureBoxstyles"/>
            </w:pPr>
            <w:r w:rsidRPr="00C1603D">
              <w:t>Triangular</w:t>
            </w:r>
          </w:p>
        </w:tc>
        <w:tc>
          <w:tcPr>
            <w:tcW w:w="1371" w:type="dxa"/>
            <w:shd w:val="clear" w:color="auto" w:fill="auto"/>
          </w:tcPr>
          <w:p w14:paraId="0864EFCE" w14:textId="77777777" w:rsidR="008B4DF8" w:rsidRPr="00C1603D" w:rsidRDefault="008B4DF8" w:rsidP="00CD7FF0">
            <w:pPr>
              <w:pStyle w:val="72TabletextTablesTableFigureBoxstyles"/>
            </w:pPr>
            <w:r w:rsidRPr="00C1603D">
              <w:t>NICE guideline</w:t>
            </w:r>
          </w:p>
        </w:tc>
      </w:tr>
      <w:tr w:rsidR="008B4DF8" w:rsidRPr="00C1603D" w14:paraId="75960BCE" w14:textId="77777777" w:rsidTr="00CD7FF0">
        <w:trPr>
          <w:cantSplit/>
        </w:trPr>
        <w:tc>
          <w:tcPr>
            <w:tcW w:w="2977" w:type="dxa"/>
            <w:shd w:val="clear" w:color="auto" w:fill="auto"/>
            <w:noWrap/>
          </w:tcPr>
          <w:p w14:paraId="5DD884E8" w14:textId="77777777" w:rsidR="008B4DF8" w:rsidRPr="00C1603D" w:rsidRDefault="008B4DF8" w:rsidP="00CD7FF0">
            <w:pPr>
              <w:pStyle w:val="72TabletextTablesTableFigureBoxstyles"/>
              <w:rPr>
                <w:rFonts w:eastAsia="Calibri"/>
              </w:rPr>
            </w:pPr>
            <w:r w:rsidRPr="00C1603D">
              <w:rPr>
                <w:rFonts w:eastAsia="Calibri"/>
              </w:rPr>
              <w:t>Disutility associated with waiting for a biopsy</w:t>
            </w:r>
          </w:p>
        </w:tc>
        <w:tc>
          <w:tcPr>
            <w:tcW w:w="2693" w:type="dxa"/>
            <w:shd w:val="clear" w:color="auto" w:fill="auto"/>
            <w:noWrap/>
          </w:tcPr>
          <w:p w14:paraId="566F9D0F" w14:textId="6DF7F838" w:rsidR="008B4DF8" w:rsidRPr="00C1603D" w:rsidRDefault="008B4DF8" w:rsidP="00CD7FF0">
            <w:pPr>
              <w:pStyle w:val="72TabletextTablesTableFigureBoxstyles"/>
              <w:rPr>
                <w:lang w:eastAsia="zh-CN"/>
              </w:rPr>
            </w:pPr>
            <w:r w:rsidRPr="00C1603D">
              <w:rPr>
                <w:color w:val="00B0F0"/>
                <w:lang w:eastAsia="zh-CN"/>
              </w:rPr>
              <w:t>–0</w:t>
            </w:r>
            <w:r w:rsidRPr="00C1603D">
              <w:rPr>
                <w:lang w:eastAsia="zh-CN"/>
              </w:rPr>
              <w:t>.023 (</w:t>
            </w:r>
            <w:r w:rsidR="00FE1D3D" w:rsidRPr="00C1603D">
              <w:rPr>
                <w:lang w:eastAsia="zh-CN"/>
              </w:rPr>
              <w:t xml:space="preserve">95% CrI </w:t>
            </w:r>
            <w:r w:rsidRPr="00C1603D">
              <w:rPr>
                <w:color w:val="00B0F0"/>
                <w:lang w:eastAsia="zh-CN"/>
              </w:rPr>
              <w:t>–0</w:t>
            </w:r>
            <w:r w:rsidRPr="00C1603D">
              <w:rPr>
                <w:lang w:eastAsia="zh-CN"/>
              </w:rPr>
              <w:t>.023</w:t>
            </w:r>
            <w:r w:rsidRPr="00C1603D">
              <w:rPr>
                <w:color w:val="00B0F0"/>
                <w:lang w:eastAsia="zh-CN"/>
              </w:rPr>
              <w:t>2</w:t>
            </w:r>
            <w:r w:rsidR="00FE1D3D" w:rsidRPr="00C1603D">
              <w:rPr>
                <w:color w:val="00B0F0"/>
                <w:lang w:eastAsia="zh-CN"/>
              </w:rPr>
              <w:t xml:space="preserve"> to</w:t>
            </w:r>
            <w:r w:rsidRPr="00C1603D">
              <w:rPr>
                <w:color w:val="00B0F0"/>
                <w:lang w:eastAsia="zh-CN"/>
              </w:rPr>
              <w:t xml:space="preserve"> </w:t>
            </w:r>
            <w:r w:rsidR="00FE1D3D" w:rsidRPr="00C1603D">
              <w:rPr>
                <w:color w:val="00B0F0"/>
                <w:lang w:eastAsia="zh-CN"/>
              </w:rPr>
              <w:t>–</w:t>
            </w:r>
            <w:r w:rsidRPr="00C1603D">
              <w:rPr>
                <w:color w:val="00B0F0"/>
                <w:lang w:eastAsia="zh-CN"/>
              </w:rPr>
              <w:t>0</w:t>
            </w:r>
            <w:r w:rsidRPr="00C1603D">
              <w:rPr>
                <w:lang w:eastAsia="zh-CN"/>
              </w:rPr>
              <w:t>.0227)</w:t>
            </w:r>
          </w:p>
        </w:tc>
        <w:tc>
          <w:tcPr>
            <w:tcW w:w="1985" w:type="dxa"/>
            <w:shd w:val="clear" w:color="auto" w:fill="auto"/>
          </w:tcPr>
          <w:p w14:paraId="12E92E0E" w14:textId="77777777" w:rsidR="008B4DF8" w:rsidRPr="00C1603D" w:rsidRDefault="008B4DF8" w:rsidP="00CD7FF0">
            <w:pPr>
              <w:pStyle w:val="72TabletextTablesTableFigureBoxstyles"/>
            </w:pPr>
            <w:r w:rsidRPr="00C1603D">
              <w:t>Combination</w:t>
            </w:r>
          </w:p>
        </w:tc>
        <w:tc>
          <w:tcPr>
            <w:tcW w:w="1371" w:type="dxa"/>
            <w:shd w:val="clear" w:color="auto" w:fill="auto"/>
          </w:tcPr>
          <w:p w14:paraId="16988E41" w14:textId="7B70AFE2" w:rsidR="008B4DF8" w:rsidRPr="00C1603D" w:rsidRDefault="008B4DF8" w:rsidP="00CD7FF0">
            <w:pPr>
              <w:pStyle w:val="72TabletextTablesTableFigureBoxstyles"/>
            </w:pPr>
            <w:r w:rsidRPr="00C1603D">
              <w:t xml:space="preserve">Assumed equal to difference between utility diagnosed CD and </w:t>
            </w:r>
            <w:r w:rsidR="00DB304B" w:rsidRPr="00C1603D">
              <w:t xml:space="preserve">utility </w:t>
            </w:r>
            <w:r w:rsidRPr="00C1603D">
              <w:t>undiagnosed CD for 6 weeks</w:t>
            </w:r>
          </w:p>
        </w:tc>
      </w:tr>
      <w:tr w:rsidR="008B4DF8" w:rsidRPr="00C1603D" w14:paraId="638E309B" w14:textId="77777777" w:rsidTr="00CD7FF0">
        <w:trPr>
          <w:cantSplit/>
        </w:trPr>
        <w:tc>
          <w:tcPr>
            <w:tcW w:w="2977" w:type="dxa"/>
            <w:shd w:val="clear" w:color="auto" w:fill="auto"/>
            <w:noWrap/>
          </w:tcPr>
          <w:p w14:paraId="184FE6E2" w14:textId="5F768CB4" w:rsidR="008B4DF8" w:rsidRPr="00C1603D" w:rsidRDefault="008B4DF8" w:rsidP="00CD7FF0">
            <w:pPr>
              <w:pStyle w:val="72TabletextTablesTableFigureBoxstyles"/>
              <w:rPr>
                <w:rFonts w:eastAsia="Calibri"/>
              </w:rPr>
            </w:pPr>
            <w:r w:rsidRPr="00C1603D">
              <w:rPr>
                <w:rFonts w:eastAsia="Calibri"/>
              </w:rPr>
              <w:t>Disutility associated with false</w:t>
            </w:r>
            <w:r w:rsidR="000C7C20" w:rsidRPr="00C1603D">
              <w:rPr>
                <w:rFonts w:eastAsia="Calibri"/>
              </w:rPr>
              <w:t>-</w:t>
            </w:r>
            <w:r w:rsidRPr="00C1603D">
              <w:rPr>
                <w:rFonts w:eastAsia="Calibri"/>
              </w:rPr>
              <w:t>positive diagnosis</w:t>
            </w:r>
          </w:p>
        </w:tc>
        <w:tc>
          <w:tcPr>
            <w:tcW w:w="2693" w:type="dxa"/>
            <w:shd w:val="clear" w:color="auto" w:fill="auto"/>
            <w:noWrap/>
          </w:tcPr>
          <w:p w14:paraId="4C59281E" w14:textId="2C610FBB" w:rsidR="008B4DF8" w:rsidRPr="00C1603D" w:rsidRDefault="008B4DF8" w:rsidP="00CD7FF0">
            <w:pPr>
              <w:pStyle w:val="72TabletextTablesTableFigureBoxstyles"/>
              <w:rPr>
                <w:lang w:eastAsia="zh-CN"/>
              </w:rPr>
            </w:pPr>
            <w:r w:rsidRPr="00C1603D">
              <w:rPr>
                <w:color w:val="00B0F0"/>
                <w:lang w:eastAsia="zh-CN"/>
              </w:rPr>
              <w:t>–0</w:t>
            </w:r>
            <w:r w:rsidRPr="00C1603D">
              <w:rPr>
                <w:lang w:eastAsia="zh-CN"/>
              </w:rPr>
              <w:t>.009 (SE</w:t>
            </w:r>
            <w:r w:rsidR="00FE1D3D" w:rsidRPr="00C1603D">
              <w:rPr>
                <w:color w:val="00B0F0"/>
                <w:lang w:eastAsia="zh-CN"/>
              </w:rPr>
              <w:t xml:space="preserve"> </w:t>
            </w:r>
            <w:r w:rsidRPr="00C1603D">
              <w:rPr>
                <w:lang w:eastAsia="zh-CN"/>
              </w:rPr>
              <w:t>0.004)</w:t>
            </w:r>
          </w:p>
        </w:tc>
        <w:tc>
          <w:tcPr>
            <w:tcW w:w="1985" w:type="dxa"/>
            <w:shd w:val="clear" w:color="auto" w:fill="auto"/>
          </w:tcPr>
          <w:p w14:paraId="1364F3B3" w14:textId="37DE8100" w:rsidR="008B4DF8" w:rsidRPr="00C1603D" w:rsidRDefault="008B4DF8" w:rsidP="00CD7FF0">
            <w:pPr>
              <w:pStyle w:val="72TabletextTablesTableFigureBoxstyles"/>
            </w:pPr>
            <w:r w:rsidRPr="00C1603D">
              <w:t xml:space="preserve">Product of </w:t>
            </w:r>
            <w:r w:rsidR="00DB304B" w:rsidRPr="00C1603D">
              <w:t>n</w:t>
            </w:r>
            <w:r w:rsidRPr="00C1603D">
              <w:t xml:space="preserve">ormal with mean </w:t>
            </w:r>
            <w:r w:rsidRPr="00C1603D">
              <w:rPr>
                <w:color w:val="00B0F0"/>
              </w:rPr>
              <w:t>–8</w:t>
            </w:r>
            <w:r w:rsidRPr="00C1603D">
              <w:t>.3 and SE</w:t>
            </w:r>
            <w:r w:rsidRPr="00C1603D">
              <w:rPr>
                <w:color w:val="00B0F0"/>
              </w:rPr>
              <w:t xml:space="preserve"> </w:t>
            </w:r>
            <w:r w:rsidRPr="00C1603D">
              <w:t xml:space="preserve">3.83, and </w:t>
            </w:r>
            <w:r w:rsidR="00DB304B" w:rsidRPr="00C1603D">
              <w:t>n</w:t>
            </w:r>
            <w:r w:rsidRPr="00C1603D">
              <w:t>ormal with mean 0.0011 and SE</w:t>
            </w:r>
            <w:r w:rsidR="00DB304B" w:rsidRPr="00C1603D">
              <w:rPr>
                <w:color w:val="00B0F0"/>
                <w:lang w:eastAsia="zh-CN"/>
              </w:rPr>
              <w:t xml:space="preserve"> </w:t>
            </w:r>
            <w:r w:rsidRPr="00C1603D">
              <w:t>0.0002</w:t>
            </w:r>
          </w:p>
        </w:tc>
        <w:tc>
          <w:tcPr>
            <w:tcW w:w="1371" w:type="dxa"/>
            <w:shd w:val="clear" w:color="auto" w:fill="auto"/>
          </w:tcPr>
          <w:p w14:paraId="22E5C39D" w14:textId="77777777" w:rsidR="008B4DF8" w:rsidRPr="00C1603D" w:rsidRDefault="008B4DF8" w:rsidP="00CD7FF0">
            <w:pPr>
              <w:pStyle w:val="72TabletextTablesTableFigureBoxstyles"/>
            </w:pPr>
            <w:r w:rsidRPr="00C1603D">
              <w:t>NICE guideline combination of social function and mapping to utility score</w:t>
            </w:r>
          </w:p>
        </w:tc>
      </w:tr>
      <w:tr w:rsidR="008B4DF8" w:rsidRPr="00C1603D" w14:paraId="648ED574" w14:textId="77777777" w:rsidTr="00CD7FF0">
        <w:trPr>
          <w:cantSplit/>
        </w:trPr>
        <w:tc>
          <w:tcPr>
            <w:tcW w:w="2977" w:type="dxa"/>
            <w:shd w:val="clear" w:color="auto" w:fill="auto"/>
            <w:noWrap/>
          </w:tcPr>
          <w:p w14:paraId="60EB8A97" w14:textId="77777777" w:rsidR="008B4DF8" w:rsidRPr="00C1603D" w:rsidRDefault="008B4DF8" w:rsidP="00CD7FF0">
            <w:pPr>
              <w:pStyle w:val="72TabletextTablesTableFigureBoxstyles"/>
              <w:rPr>
                <w:rFonts w:eastAsia="Calibri"/>
              </w:rPr>
            </w:pPr>
            <w:r w:rsidRPr="00C1603D">
              <w:rPr>
                <w:rFonts w:eastAsia="Calibri"/>
              </w:rPr>
              <w:t>Disutility associated with anaemia</w:t>
            </w:r>
          </w:p>
        </w:tc>
        <w:tc>
          <w:tcPr>
            <w:tcW w:w="2693" w:type="dxa"/>
            <w:shd w:val="clear" w:color="auto" w:fill="auto"/>
            <w:noWrap/>
          </w:tcPr>
          <w:p w14:paraId="4730AC5B" w14:textId="77777777" w:rsidR="008B4DF8" w:rsidRPr="00C1603D" w:rsidRDefault="008B4DF8" w:rsidP="00CD7FF0">
            <w:pPr>
              <w:pStyle w:val="72TabletextTablesTableFigureBoxstyles"/>
              <w:rPr>
                <w:lang w:eastAsia="zh-CN"/>
              </w:rPr>
            </w:pPr>
            <w:r w:rsidRPr="00C1603D">
              <w:rPr>
                <w:lang w:eastAsia="zh-CN"/>
              </w:rPr>
              <w:t>0</w:t>
            </w:r>
          </w:p>
        </w:tc>
        <w:tc>
          <w:tcPr>
            <w:tcW w:w="1985" w:type="dxa"/>
            <w:shd w:val="clear" w:color="auto" w:fill="auto"/>
          </w:tcPr>
          <w:p w14:paraId="3150EF4F" w14:textId="77777777" w:rsidR="008B4DF8" w:rsidRPr="00C1603D" w:rsidRDefault="008B4DF8" w:rsidP="00CD7FF0">
            <w:pPr>
              <w:pStyle w:val="72TabletextTablesTableFigureBoxstyles"/>
            </w:pPr>
            <w:r w:rsidRPr="00C1603D">
              <w:t>Fixed</w:t>
            </w:r>
          </w:p>
        </w:tc>
        <w:tc>
          <w:tcPr>
            <w:tcW w:w="1371" w:type="dxa"/>
            <w:shd w:val="clear" w:color="auto" w:fill="auto"/>
          </w:tcPr>
          <w:p w14:paraId="08F971C9" w14:textId="56089287" w:rsidR="008B4DF8" w:rsidRPr="00C1603D" w:rsidRDefault="008B4DF8" w:rsidP="00CD7FF0">
            <w:pPr>
              <w:pStyle w:val="72TabletextTablesTableFigureBoxstyles"/>
            </w:pPr>
            <w:r w:rsidRPr="00C1603D">
              <w:t>Assumed already captured in overall health</w:t>
            </w:r>
            <w:r w:rsidR="00DB304B" w:rsidRPr="00C1603D">
              <w:t>-</w:t>
            </w:r>
            <w:r w:rsidRPr="00C1603D">
              <w:t>state utility values</w:t>
            </w:r>
          </w:p>
        </w:tc>
      </w:tr>
      <w:tr w:rsidR="008B4DF8" w:rsidRPr="00C1603D" w14:paraId="46E85D3D" w14:textId="77777777" w:rsidTr="00CD7FF0">
        <w:trPr>
          <w:cantSplit/>
        </w:trPr>
        <w:tc>
          <w:tcPr>
            <w:tcW w:w="9026" w:type="dxa"/>
            <w:gridSpan w:val="4"/>
            <w:shd w:val="clear" w:color="auto" w:fill="auto"/>
            <w:noWrap/>
          </w:tcPr>
          <w:p w14:paraId="569FAE23" w14:textId="77777777" w:rsidR="008B4DF8" w:rsidRPr="00C1603D" w:rsidRDefault="008B4DF8" w:rsidP="00CD7FF0">
            <w:pPr>
              <w:pStyle w:val="711TablesubheadATablesTableFigureBoxstyles"/>
            </w:pPr>
            <w:r w:rsidRPr="00C1603D">
              <w:rPr>
                <w:lang w:eastAsia="zh-CN"/>
              </w:rPr>
              <w:t>Transition probabilities</w:t>
            </w:r>
          </w:p>
        </w:tc>
      </w:tr>
      <w:tr w:rsidR="00DB304B" w:rsidRPr="00C1603D" w14:paraId="584295CC" w14:textId="77777777" w:rsidTr="00DB304B">
        <w:trPr>
          <w:cantSplit/>
          <w:trHeight w:val="336"/>
        </w:trPr>
        <w:tc>
          <w:tcPr>
            <w:tcW w:w="2977" w:type="dxa"/>
            <w:vMerge w:val="restart"/>
            <w:shd w:val="clear" w:color="auto" w:fill="auto"/>
            <w:noWrap/>
          </w:tcPr>
          <w:p w14:paraId="5B4DD5E9" w14:textId="77777777" w:rsidR="00DB304B" w:rsidRPr="00C1603D" w:rsidRDefault="00DB304B" w:rsidP="00CD7FF0">
            <w:pPr>
              <w:pStyle w:val="72TabletextTablesTableFigureBoxstyles"/>
              <w:rPr>
                <w:rFonts w:eastAsia="Calibri"/>
              </w:rPr>
            </w:pPr>
            <w:r w:rsidRPr="00C1603D">
              <w:rPr>
                <w:rFonts w:eastAsia="Calibri"/>
              </w:rPr>
              <w:t>Probability of developing osteoporosis with undiagnosed CD</w:t>
            </w:r>
          </w:p>
        </w:tc>
        <w:tc>
          <w:tcPr>
            <w:tcW w:w="2693" w:type="dxa"/>
            <w:shd w:val="clear" w:color="auto" w:fill="auto"/>
            <w:noWrap/>
          </w:tcPr>
          <w:p w14:paraId="238D1C1E" w14:textId="20BBB93C" w:rsidR="00DB304B" w:rsidRPr="00C1603D" w:rsidRDefault="00DB304B" w:rsidP="00CD7FF0">
            <w:pPr>
              <w:pStyle w:val="72TabletextTablesTableFigureBoxstyles"/>
              <w:rPr>
                <w:lang w:eastAsia="zh-CN"/>
              </w:rPr>
            </w:pPr>
            <w:r w:rsidRPr="00C1603D">
              <w:rPr>
                <w:lang w:eastAsia="zh-CN"/>
              </w:rPr>
              <w:t>OR vs. general population, 2.59 (95% CI 1.32 to 5.09)</w:t>
            </w:r>
          </w:p>
        </w:tc>
        <w:tc>
          <w:tcPr>
            <w:tcW w:w="1985" w:type="dxa"/>
            <w:vMerge w:val="restart"/>
            <w:shd w:val="clear" w:color="auto" w:fill="auto"/>
          </w:tcPr>
          <w:p w14:paraId="777C76F3" w14:textId="7F9B8FE4" w:rsidR="00DB304B" w:rsidRPr="00C1603D" w:rsidRDefault="00DB304B" w:rsidP="00CD7FF0">
            <w:pPr>
              <w:pStyle w:val="72TabletextTablesTableFigureBoxstyles"/>
              <w:rPr>
                <w:lang w:eastAsia="zh-CN"/>
              </w:rPr>
            </w:pPr>
            <w:r w:rsidRPr="00C1603D">
              <w:rPr>
                <w:lang w:eastAsia="zh-CN"/>
              </w:rPr>
              <w:t>Log normal on both OR and general population rate</w:t>
            </w:r>
          </w:p>
        </w:tc>
        <w:tc>
          <w:tcPr>
            <w:tcW w:w="1371" w:type="dxa"/>
            <w:vMerge w:val="restart"/>
            <w:shd w:val="clear" w:color="auto" w:fill="auto"/>
          </w:tcPr>
          <w:p w14:paraId="7CEC3020" w14:textId="235B869A" w:rsidR="00DB304B" w:rsidRPr="00C1603D" w:rsidRDefault="00DB304B" w:rsidP="00DB304B">
            <w:pPr>
              <w:pStyle w:val="722TablebulletlistTablesTableFigureBoxstyles"/>
              <w:rPr>
                <w:lang w:eastAsia="zh-CN"/>
              </w:rPr>
            </w:pPr>
            <w:r w:rsidRPr="00C1603D">
              <w:rPr>
                <w:lang w:eastAsia="zh-CN"/>
              </w:rPr>
              <w:t>Godfrey</w:t>
            </w:r>
            <w:r w:rsidRPr="00C1603D">
              <w:rPr>
                <w:i/>
                <w:color w:val="00B0F0"/>
                <w:lang w:eastAsia="zh-CN"/>
              </w:rPr>
              <w:t xml:space="preserve"> et al</w:t>
            </w:r>
            <w:r w:rsidRPr="00C1603D">
              <w:rPr>
                <w:lang w:eastAsia="zh-CN"/>
              </w:rPr>
              <w:t>.</w:t>
            </w:r>
            <w:r w:rsidRPr="00C1603D">
              <w:rPr>
                <w:noProof/>
                <w:vertAlign w:val="superscript"/>
              </w:rPr>
              <w:t>243</w:t>
            </w:r>
          </w:p>
          <w:p w14:paraId="0BFF328A" w14:textId="09478084" w:rsidR="00DB304B" w:rsidRPr="00C1603D" w:rsidRDefault="00DB304B" w:rsidP="00DB304B">
            <w:pPr>
              <w:pStyle w:val="722TablebulletlistTablesTableFigureBoxstyles"/>
            </w:pPr>
            <w:r w:rsidRPr="00C1603D">
              <w:rPr>
                <w:lang w:eastAsia="zh-CN"/>
              </w:rPr>
              <w:t>CPRD rate for general population</w:t>
            </w:r>
          </w:p>
        </w:tc>
      </w:tr>
      <w:tr w:rsidR="00DB304B" w:rsidRPr="00C1603D" w14:paraId="48A41EBA" w14:textId="77777777" w:rsidTr="00CD7FF0">
        <w:trPr>
          <w:cantSplit/>
          <w:trHeight w:val="335"/>
        </w:trPr>
        <w:tc>
          <w:tcPr>
            <w:tcW w:w="2977" w:type="dxa"/>
            <w:vMerge/>
            <w:shd w:val="clear" w:color="auto" w:fill="auto"/>
            <w:noWrap/>
          </w:tcPr>
          <w:p w14:paraId="05B5C4D7" w14:textId="77777777" w:rsidR="00DB304B" w:rsidRPr="00C1603D" w:rsidRDefault="00DB304B" w:rsidP="00CD7FF0">
            <w:pPr>
              <w:pStyle w:val="72TabletextTablesTableFigureBoxstyles"/>
              <w:rPr>
                <w:rFonts w:eastAsia="Calibri"/>
              </w:rPr>
            </w:pPr>
          </w:p>
        </w:tc>
        <w:tc>
          <w:tcPr>
            <w:tcW w:w="2693" w:type="dxa"/>
            <w:shd w:val="clear" w:color="auto" w:fill="auto"/>
            <w:noWrap/>
          </w:tcPr>
          <w:p w14:paraId="294D304B" w14:textId="0BC0DF8A" w:rsidR="00DB304B" w:rsidRPr="00C1603D" w:rsidRDefault="00DB304B" w:rsidP="00CD7FF0">
            <w:pPr>
              <w:pStyle w:val="72TabletextTablesTableFigureBoxstyles"/>
              <w:rPr>
                <w:lang w:eastAsia="zh-CN"/>
              </w:rPr>
            </w:pPr>
            <w:r w:rsidRPr="00C1603D">
              <w:rPr>
                <w:lang w:eastAsia="zh-CN"/>
              </w:rPr>
              <w:t xml:space="preserve">General population rates in </w:t>
            </w:r>
            <w:r w:rsidRPr="00C1603D">
              <w:rPr>
                <w:i/>
                <w:color w:val="auto"/>
              </w:rPr>
              <w:t xml:space="preserve">Table </w:t>
            </w:r>
            <w:r w:rsidRPr="00C1603D">
              <w:rPr>
                <w:i/>
                <w:noProof/>
                <w:color w:val="auto"/>
              </w:rPr>
              <w:t>1</w:t>
            </w:r>
            <w:r w:rsidR="008A6568" w:rsidRPr="00C1603D">
              <w:rPr>
                <w:i/>
                <w:noProof/>
                <w:color w:val="auto"/>
              </w:rPr>
              <w:t>6</w:t>
            </w:r>
          </w:p>
        </w:tc>
        <w:tc>
          <w:tcPr>
            <w:tcW w:w="1985" w:type="dxa"/>
            <w:vMerge/>
            <w:shd w:val="clear" w:color="auto" w:fill="auto"/>
          </w:tcPr>
          <w:p w14:paraId="11426BF7" w14:textId="77777777" w:rsidR="00DB304B" w:rsidRPr="00C1603D" w:rsidRDefault="00DB304B" w:rsidP="00CD7FF0">
            <w:pPr>
              <w:pStyle w:val="72TabletextTablesTableFigureBoxstyles"/>
              <w:rPr>
                <w:lang w:eastAsia="zh-CN"/>
              </w:rPr>
            </w:pPr>
          </w:p>
        </w:tc>
        <w:tc>
          <w:tcPr>
            <w:tcW w:w="1371" w:type="dxa"/>
            <w:vMerge/>
            <w:shd w:val="clear" w:color="auto" w:fill="auto"/>
          </w:tcPr>
          <w:p w14:paraId="3C34977B" w14:textId="77777777" w:rsidR="00DB304B" w:rsidRPr="00C1603D" w:rsidRDefault="00DB304B" w:rsidP="00CD7FF0">
            <w:pPr>
              <w:pStyle w:val="72TabletextTablesTableFigureBoxstyles"/>
              <w:rPr>
                <w:lang w:eastAsia="zh-CN"/>
              </w:rPr>
            </w:pPr>
          </w:p>
        </w:tc>
      </w:tr>
      <w:tr w:rsidR="00DB304B" w:rsidRPr="00C1603D" w14:paraId="4ACEA2BF" w14:textId="77777777" w:rsidTr="00DB304B">
        <w:trPr>
          <w:cantSplit/>
          <w:trHeight w:val="336"/>
        </w:trPr>
        <w:tc>
          <w:tcPr>
            <w:tcW w:w="2977" w:type="dxa"/>
            <w:vMerge w:val="restart"/>
            <w:shd w:val="clear" w:color="auto" w:fill="auto"/>
            <w:noWrap/>
          </w:tcPr>
          <w:p w14:paraId="0D799FC2" w14:textId="77777777" w:rsidR="00DB304B" w:rsidRPr="00C1603D" w:rsidRDefault="00DB304B" w:rsidP="00CD7FF0">
            <w:pPr>
              <w:pStyle w:val="72TabletextTablesTableFigureBoxstyles"/>
              <w:rPr>
                <w:rFonts w:eastAsia="Calibri"/>
              </w:rPr>
            </w:pPr>
            <w:r w:rsidRPr="00C1603D">
              <w:rPr>
                <w:rFonts w:eastAsia="Calibri"/>
              </w:rPr>
              <w:t>Probability of developing osteoporosis with diagnosed CD</w:t>
            </w:r>
          </w:p>
        </w:tc>
        <w:tc>
          <w:tcPr>
            <w:tcW w:w="2693" w:type="dxa"/>
            <w:shd w:val="clear" w:color="auto" w:fill="auto"/>
            <w:noWrap/>
          </w:tcPr>
          <w:p w14:paraId="2EAA713A" w14:textId="109C7CB1" w:rsidR="00DB304B" w:rsidRPr="00C1603D" w:rsidRDefault="00DB304B" w:rsidP="00CD7FF0">
            <w:pPr>
              <w:pStyle w:val="72TabletextTablesTableFigureBoxstyles"/>
              <w:rPr>
                <w:lang w:eastAsia="zh-CN"/>
              </w:rPr>
            </w:pPr>
            <w:r w:rsidRPr="00C1603D">
              <w:rPr>
                <w:lang w:eastAsia="zh-CN"/>
              </w:rPr>
              <w:t>OR vs. general population, 1.40 (95% CI 1.30 to 1.50)</w:t>
            </w:r>
          </w:p>
        </w:tc>
        <w:tc>
          <w:tcPr>
            <w:tcW w:w="1985" w:type="dxa"/>
            <w:vMerge w:val="restart"/>
            <w:shd w:val="clear" w:color="auto" w:fill="auto"/>
          </w:tcPr>
          <w:p w14:paraId="5BC6773D" w14:textId="415CFB9C" w:rsidR="00DB304B" w:rsidRPr="00C1603D" w:rsidRDefault="00DB304B" w:rsidP="00CD7FF0">
            <w:pPr>
              <w:pStyle w:val="72TabletextTablesTableFigureBoxstyles"/>
              <w:rPr>
                <w:lang w:eastAsia="zh-CN"/>
              </w:rPr>
            </w:pPr>
            <w:r w:rsidRPr="00C1603D">
              <w:rPr>
                <w:lang w:eastAsia="zh-CN"/>
              </w:rPr>
              <w:t>Log normal on both OR and general population rate</w:t>
            </w:r>
          </w:p>
        </w:tc>
        <w:tc>
          <w:tcPr>
            <w:tcW w:w="1371" w:type="dxa"/>
            <w:vMerge w:val="restart"/>
            <w:shd w:val="clear" w:color="auto" w:fill="auto"/>
          </w:tcPr>
          <w:p w14:paraId="67D94FB3" w14:textId="06B93840" w:rsidR="00DB304B" w:rsidRPr="00C1603D" w:rsidRDefault="00DB304B" w:rsidP="00DB304B">
            <w:pPr>
              <w:pStyle w:val="722TablebulletlistTablesTableFigureBoxstyles"/>
              <w:rPr>
                <w:lang w:eastAsia="zh-CN"/>
              </w:rPr>
            </w:pPr>
            <w:r w:rsidRPr="00C1603D">
              <w:rPr>
                <w:lang w:eastAsia="zh-CN"/>
              </w:rPr>
              <w:t>Ludvigsson</w:t>
            </w:r>
            <w:r w:rsidRPr="00C1603D">
              <w:rPr>
                <w:i/>
                <w:color w:val="00B0F0"/>
                <w:lang w:eastAsia="zh-CN"/>
              </w:rPr>
              <w:t xml:space="preserve"> et al</w:t>
            </w:r>
            <w:r w:rsidRPr="00C1603D">
              <w:rPr>
                <w:lang w:eastAsia="zh-CN"/>
              </w:rPr>
              <w:t>.</w:t>
            </w:r>
            <w:r w:rsidRPr="00C1603D">
              <w:rPr>
                <w:noProof/>
                <w:vertAlign w:val="superscript"/>
                <w:lang w:eastAsia="zh-CN"/>
              </w:rPr>
              <w:t>242</w:t>
            </w:r>
          </w:p>
          <w:p w14:paraId="16D37F7D" w14:textId="77777777" w:rsidR="00DB304B" w:rsidRPr="00C1603D" w:rsidRDefault="00DB304B" w:rsidP="00DB304B">
            <w:pPr>
              <w:pStyle w:val="722TablebulletlistTablesTableFigureBoxstyles"/>
              <w:rPr>
                <w:lang w:eastAsia="zh-CN"/>
              </w:rPr>
            </w:pPr>
            <w:r w:rsidRPr="00C1603D">
              <w:rPr>
                <w:lang w:eastAsia="zh-CN"/>
              </w:rPr>
              <w:t>CPRD rate for general population</w:t>
            </w:r>
          </w:p>
        </w:tc>
      </w:tr>
      <w:tr w:rsidR="00DB304B" w:rsidRPr="00C1603D" w14:paraId="3C5A1DA1" w14:textId="77777777" w:rsidTr="00CD7FF0">
        <w:trPr>
          <w:cantSplit/>
          <w:trHeight w:val="335"/>
        </w:trPr>
        <w:tc>
          <w:tcPr>
            <w:tcW w:w="2977" w:type="dxa"/>
            <w:vMerge/>
            <w:shd w:val="clear" w:color="auto" w:fill="auto"/>
            <w:noWrap/>
          </w:tcPr>
          <w:p w14:paraId="655BFFE7" w14:textId="77777777" w:rsidR="00DB304B" w:rsidRPr="00C1603D" w:rsidRDefault="00DB304B" w:rsidP="00CD7FF0">
            <w:pPr>
              <w:pStyle w:val="72TabletextTablesTableFigureBoxstyles"/>
              <w:rPr>
                <w:rFonts w:eastAsia="Calibri"/>
              </w:rPr>
            </w:pPr>
          </w:p>
        </w:tc>
        <w:tc>
          <w:tcPr>
            <w:tcW w:w="2693" w:type="dxa"/>
            <w:shd w:val="clear" w:color="auto" w:fill="auto"/>
            <w:noWrap/>
          </w:tcPr>
          <w:p w14:paraId="157536EF" w14:textId="69B9D1FB" w:rsidR="00DB304B" w:rsidRPr="00C1603D" w:rsidRDefault="00DB304B" w:rsidP="00CD7FF0">
            <w:pPr>
              <w:pStyle w:val="72TabletextTablesTableFigureBoxstyles"/>
              <w:rPr>
                <w:lang w:eastAsia="zh-CN"/>
              </w:rPr>
            </w:pPr>
            <w:r w:rsidRPr="00C1603D">
              <w:rPr>
                <w:lang w:eastAsia="zh-CN"/>
              </w:rPr>
              <w:t xml:space="preserve">General population rates in </w:t>
            </w:r>
            <w:r w:rsidRPr="00C1603D">
              <w:rPr>
                <w:i/>
                <w:color w:val="auto"/>
              </w:rPr>
              <w:t xml:space="preserve">Table </w:t>
            </w:r>
            <w:r w:rsidRPr="00C1603D">
              <w:rPr>
                <w:i/>
                <w:noProof/>
                <w:color w:val="auto"/>
              </w:rPr>
              <w:t>1</w:t>
            </w:r>
            <w:r w:rsidR="008A6568" w:rsidRPr="00C1603D">
              <w:rPr>
                <w:i/>
                <w:noProof/>
                <w:color w:val="auto"/>
              </w:rPr>
              <w:t>6</w:t>
            </w:r>
          </w:p>
        </w:tc>
        <w:tc>
          <w:tcPr>
            <w:tcW w:w="1985" w:type="dxa"/>
            <w:vMerge/>
            <w:shd w:val="clear" w:color="auto" w:fill="auto"/>
          </w:tcPr>
          <w:p w14:paraId="4CC92585" w14:textId="77777777" w:rsidR="00DB304B" w:rsidRPr="00C1603D" w:rsidRDefault="00DB304B" w:rsidP="00CD7FF0">
            <w:pPr>
              <w:pStyle w:val="72TabletextTablesTableFigureBoxstyles"/>
              <w:rPr>
                <w:lang w:eastAsia="zh-CN"/>
              </w:rPr>
            </w:pPr>
          </w:p>
        </w:tc>
        <w:tc>
          <w:tcPr>
            <w:tcW w:w="1371" w:type="dxa"/>
            <w:vMerge/>
            <w:shd w:val="clear" w:color="auto" w:fill="auto"/>
          </w:tcPr>
          <w:p w14:paraId="5BB15015" w14:textId="77777777" w:rsidR="00DB304B" w:rsidRPr="00C1603D" w:rsidRDefault="00DB304B" w:rsidP="00CD7FF0">
            <w:pPr>
              <w:pStyle w:val="72TabletextTablesTableFigureBoxstyles"/>
              <w:rPr>
                <w:lang w:eastAsia="zh-CN"/>
              </w:rPr>
            </w:pPr>
          </w:p>
        </w:tc>
      </w:tr>
      <w:tr w:rsidR="00DB304B" w:rsidRPr="00C1603D" w14:paraId="6AFCB03E" w14:textId="77777777" w:rsidTr="00DB304B">
        <w:trPr>
          <w:cantSplit/>
          <w:trHeight w:val="336"/>
        </w:trPr>
        <w:tc>
          <w:tcPr>
            <w:tcW w:w="2977" w:type="dxa"/>
            <w:vMerge w:val="restart"/>
            <w:shd w:val="clear" w:color="auto" w:fill="auto"/>
            <w:noWrap/>
          </w:tcPr>
          <w:p w14:paraId="74464609" w14:textId="77777777" w:rsidR="00DB304B" w:rsidRPr="00C1603D" w:rsidRDefault="00DB304B" w:rsidP="00CD7FF0">
            <w:pPr>
              <w:pStyle w:val="72TabletextTablesTableFigureBoxstyles"/>
              <w:rPr>
                <w:rFonts w:eastAsia="Calibri"/>
              </w:rPr>
            </w:pPr>
            <w:r w:rsidRPr="00C1603D">
              <w:rPr>
                <w:rFonts w:eastAsia="Calibri"/>
              </w:rPr>
              <w:t>Probability of developing NHL with undiagnosed CD</w:t>
            </w:r>
          </w:p>
        </w:tc>
        <w:tc>
          <w:tcPr>
            <w:tcW w:w="2693" w:type="dxa"/>
            <w:shd w:val="clear" w:color="auto" w:fill="auto"/>
            <w:noWrap/>
          </w:tcPr>
          <w:p w14:paraId="765AEACE" w14:textId="36AB7AD5" w:rsidR="00DB304B" w:rsidRPr="00C1603D" w:rsidRDefault="00DB304B" w:rsidP="00CD7FF0">
            <w:pPr>
              <w:pStyle w:val="72TabletextTablesTableFigureBoxstyles"/>
              <w:rPr>
                <w:lang w:eastAsia="zh-CN"/>
              </w:rPr>
            </w:pPr>
            <w:r w:rsidRPr="00C1603D">
              <w:rPr>
                <w:lang w:eastAsia="zh-CN"/>
              </w:rPr>
              <w:t>Incidence ratio vs. general population, 4.7 (95% CI 2.9 to 7.3)</w:t>
            </w:r>
          </w:p>
        </w:tc>
        <w:tc>
          <w:tcPr>
            <w:tcW w:w="1985" w:type="dxa"/>
            <w:vMerge w:val="restart"/>
            <w:shd w:val="clear" w:color="auto" w:fill="auto"/>
          </w:tcPr>
          <w:p w14:paraId="18EEC7CA" w14:textId="272D5522" w:rsidR="00DB304B" w:rsidRPr="00C1603D" w:rsidRDefault="00DB304B" w:rsidP="00CD7FF0">
            <w:pPr>
              <w:pStyle w:val="72TabletextTablesTableFigureBoxstyles"/>
              <w:rPr>
                <w:lang w:eastAsia="zh-CN"/>
              </w:rPr>
            </w:pPr>
            <w:r w:rsidRPr="00C1603D">
              <w:rPr>
                <w:lang w:eastAsia="zh-CN"/>
              </w:rPr>
              <w:t xml:space="preserve">Log normal on both OR and general population </w:t>
            </w:r>
            <w:r w:rsidRPr="00C1603D">
              <w:rPr>
                <w:lang w:eastAsia="zh-CN"/>
              </w:rPr>
              <w:lastRenderedPageBreak/>
              <w:t>rate</w:t>
            </w:r>
          </w:p>
        </w:tc>
        <w:tc>
          <w:tcPr>
            <w:tcW w:w="1371" w:type="dxa"/>
            <w:vMerge w:val="restart"/>
            <w:shd w:val="clear" w:color="auto" w:fill="auto"/>
          </w:tcPr>
          <w:p w14:paraId="1B735A0A" w14:textId="6BC56AF5" w:rsidR="00DB304B" w:rsidRPr="00C1603D" w:rsidRDefault="00DB304B" w:rsidP="00B475CA">
            <w:pPr>
              <w:pStyle w:val="722TablebulletlistTablesTableFigureBoxstyles"/>
              <w:rPr>
                <w:lang w:eastAsia="zh-CN"/>
              </w:rPr>
            </w:pPr>
            <w:proofErr w:type="spellStart"/>
            <w:r w:rsidRPr="00C1603D">
              <w:rPr>
                <w:lang w:eastAsia="zh-CN"/>
              </w:rPr>
              <w:lastRenderedPageBreak/>
              <w:t>Silano</w:t>
            </w:r>
            <w:proofErr w:type="spellEnd"/>
            <w:r w:rsidRPr="00C1603D">
              <w:rPr>
                <w:i/>
                <w:color w:val="00B0F0"/>
                <w:lang w:eastAsia="zh-CN"/>
              </w:rPr>
              <w:t xml:space="preserve"> et al</w:t>
            </w:r>
            <w:r w:rsidR="00CA258A">
              <w:rPr>
                <w:iCs/>
                <w:color w:val="00B0F0"/>
                <w:lang w:eastAsia="zh-CN"/>
              </w:rPr>
              <w:t>.</w:t>
            </w:r>
            <w:r w:rsidRPr="00C1603D">
              <w:rPr>
                <w:noProof/>
                <w:vertAlign w:val="superscript"/>
                <w:lang w:eastAsia="zh-CN"/>
              </w:rPr>
              <w:t>244</w:t>
            </w:r>
          </w:p>
          <w:p w14:paraId="3351FA50" w14:textId="387AEFDE" w:rsidR="00DB304B" w:rsidRPr="00C1603D" w:rsidRDefault="00DB304B" w:rsidP="00B475CA">
            <w:pPr>
              <w:pStyle w:val="722TablebulletlistTablesTableFigureBoxstyles"/>
              <w:rPr>
                <w:lang w:eastAsia="zh-CN"/>
              </w:rPr>
            </w:pPr>
            <w:r w:rsidRPr="00C1603D">
              <w:rPr>
                <w:lang w:eastAsia="zh-CN"/>
              </w:rPr>
              <w:t xml:space="preserve">CPRD rate for </w:t>
            </w:r>
            <w:r w:rsidRPr="00C1603D">
              <w:rPr>
                <w:lang w:eastAsia="zh-CN"/>
              </w:rPr>
              <w:lastRenderedPageBreak/>
              <w:t>general population</w:t>
            </w:r>
          </w:p>
        </w:tc>
      </w:tr>
      <w:tr w:rsidR="00DB304B" w:rsidRPr="00C1603D" w14:paraId="5E32FE6D" w14:textId="77777777" w:rsidTr="00CD7FF0">
        <w:trPr>
          <w:cantSplit/>
          <w:trHeight w:val="335"/>
        </w:trPr>
        <w:tc>
          <w:tcPr>
            <w:tcW w:w="2977" w:type="dxa"/>
            <w:vMerge/>
            <w:shd w:val="clear" w:color="auto" w:fill="auto"/>
            <w:noWrap/>
          </w:tcPr>
          <w:p w14:paraId="14E4383C" w14:textId="77777777" w:rsidR="00DB304B" w:rsidRPr="00C1603D" w:rsidRDefault="00DB304B" w:rsidP="00CD7FF0">
            <w:pPr>
              <w:pStyle w:val="72TabletextTablesTableFigureBoxstyles"/>
              <w:rPr>
                <w:rFonts w:eastAsia="Calibri"/>
              </w:rPr>
            </w:pPr>
          </w:p>
        </w:tc>
        <w:tc>
          <w:tcPr>
            <w:tcW w:w="2693" w:type="dxa"/>
            <w:shd w:val="clear" w:color="auto" w:fill="auto"/>
            <w:noWrap/>
          </w:tcPr>
          <w:p w14:paraId="124E0AED" w14:textId="1F04EBDD" w:rsidR="00DB304B" w:rsidRPr="00C1603D" w:rsidRDefault="00DB304B" w:rsidP="00CD7FF0">
            <w:pPr>
              <w:pStyle w:val="72TabletextTablesTableFigureBoxstyles"/>
              <w:rPr>
                <w:lang w:eastAsia="zh-CN"/>
              </w:rPr>
            </w:pPr>
            <w:r w:rsidRPr="00C1603D">
              <w:rPr>
                <w:lang w:eastAsia="zh-CN"/>
              </w:rPr>
              <w:t xml:space="preserve">General population rates </w:t>
            </w:r>
            <w:r w:rsidRPr="00C1603D">
              <w:rPr>
                <w:color w:val="auto"/>
                <w:lang w:eastAsia="zh-CN"/>
              </w:rPr>
              <w:t xml:space="preserve">in </w:t>
            </w:r>
            <w:r w:rsidRPr="00C1603D">
              <w:rPr>
                <w:i/>
                <w:color w:val="auto"/>
              </w:rPr>
              <w:t xml:space="preserve">Table </w:t>
            </w:r>
            <w:r w:rsidRPr="00C1603D">
              <w:rPr>
                <w:i/>
                <w:noProof/>
                <w:color w:val="auto"/>
              </w:rPr>
              <w:t>1</w:t>
            </w:r>
            <w:r w:rsidR="008A6568" w:rsidRPr="00C1603D">
              <w:rPr>
                <w:i/>
                <w:noProof/>
                <w:color w:val="auto"/>
              </w:rPr>
              <w:t>6</w:t>
            </w:r>
            <w:r w:rsidRPr="00C1603D">
              <w:rPr>
                <w:color w:val="auto"/>
                <w:lang w:eastAsia="zh-CN"/>
              </w:rPr>
              <w:t>, and in tables S14–S16</w:t>
            </w:r>
            <w:r w:rsidRPr="00C1603D">
              <w:rPr>
                <w:lang w:eastAsia="zh-CN"/>
              </w:rPr>
              <w:t xml:space="preserve"> (see </w:t>
            </w:r>
            <w:r w:rsidRPr="00C1603D">
              <w:rPr>
                <w:i/>
                <w:iCs/>
              </w:rPr>
              <w:t>Report Supplementary Material 1</w:t>
            </w:r>
            <w:r w:rsidRPr="00C1603D">
              <w:rPr>
                <w:lang w:eastAsia="zh-CN"/>
              </w:rPr>
              <w:t>)</w:t>
            </w:r>
          </w:p>
        </w:tc>
        <w:tc>
          <w:tcPr>
            <w:tcW w:w="1985" w:type="dxa"/>
            <w:vMerge/>
            <w:shd w:val="clear" w:color="auto" w:fill="auto"/>
          </w:tcPr>
          <w:p w14:paraId="5705D141" w14:textId="77777777" w:rsidR="00DB304B" w:rsidRPr="00C1603D" w:rsidRDefault="00DB304B" w:rsidP="00CD7FF0">
            <w:pPr>
              <w:pStyle w:val="72TabletextTablesTableFigureBoxstyles"/>
              <w:rPr>
                <w:lang w:eastAsia="zh-CN"/>
              </w:rPr>
            </w:pPr>
          </w:p>
        </w:tc>
        <w:tc>
          <w:tcPr>
            <w:tcW w:w="1371" w:type="dxa"/>
            <w:vMerge/>
            <w:shd w:val="clear" w:color="auto" w:fill="auto"/>
          </w:tcPr>
          <w:p w14:paraId="15399C6F" w14:textId="77777777" w:rsidR="00DB304B" w:rsidRPr="00C1603D" w:rsidRDefault="00DB304B" w:rsidP="00CD7FF0">
            <w:pPr>
              <w:pStyle w:val="72TabletextTablesTableFigureBoxstyles"/>
              <w:rPr>
                <w:lang w:eastAsia="zh-CN"/>
              </w:rPr>
            </w:pPr>
          </w:p>
        </w:tc>
      </w:tr>
      <w:tr w:rsidR="00322A4E" w:rsidRPr="00C1603D" w14:paraId="4DEA5B30" w14:textId="77777777" w:rsidTr="00322A4E">
        <w:trPr>
          <w:cantSplit/>
          <w:trHeight w:val="336"/>
        </w:trPr>
        <w:tc>
          <w:tcPr>
            <w:tcW w:w="2977" w:type="dxa"/>
            <w:vMerge w:val="restart"/>
            <w:shd w:val="clear" w:color="auto" w:fill="auto"/>
            <w:noWrap/>
          </w:tcPr>
          <w:p w14:paraId="7B022AEA" w14:textId="77777777" w:rsidR="00322A4E" w:rsidRPr="00C1603D" w:rsidRDefault="00322A4E" w:rsidP="00CD7FF0">
            <w:pPr>
              <w:pStyle w:val="72TabletextTablesTableFigureBoxstyles"/>
              <w:rPr>
                <w:rFonts w:eastAsia="Calibri"/>
              </w:rPr>
            </w:pPr>
            <w:r w:rsidRPr="00C1603D">
              <w:rPr>
                <w:rFonts w:eastAsia="Calibri"/>
              </w:rPr>
              <w:t>Probability of developing NHL with diagnosed CD</w:t>
            </w:r>
          </w:p>
        </w:tc>
        <w:tc>
          <w:tcPr>
            <w:tcW w:w="2693" w:type="dxa"/>
            <w:shd w:val="clear" w:color="auto" w:fill="auto"/>
            <w:noWrap/>
          </w:tcPr>
          <w:p w14:paraId="1EACB40F" w14:textId="5B11A3BE" w:rsidR="00322A4E" w:rsidRPr="00C1603D" w:rsidRDefault="00322A4E" w:rsidP="00CD7FF0">
            <w:pPr>
              <w:pStyle w:val="72TabletextTablesTableFigureBoxstyles"/>
              <w:rPr>
                <w:lang w:eastAsia="zh-CN"/>
              </w:rPr>
            </w:pPr>
            <w:r w:rsidRPr="00C1603D">
              <w:rPr>
                <w:lang w:eastAsia="zh-CN"/>
              </w:rPr>
              <w:t>Incidence ratio vs. general population, 3.28 (95% CI 1.49 to 6.28)</w:t>
            </w:r>
          </w:p>
        </w:tc>
        <w:tc>
          <w:tcPr>
            <w:tcW w:w="1985" w:type="dxa"/>
            <w:vMerge w:val="restart"/>
            <w:shd w:val="clear" w:color="auto" w:fill="auto"/>
          </w:tcPr>
          <w:p w14:paraId="62847651" w14:textId="1127C6E8" w:rsidR="00322A4E" w:rsidRPr="00C1603D" w:rsidRDefault="00322A4E" w:rsidP="00CD7FF0">
            <w:pPr>
              <w:pStyle w:val="72TabletextTablesTableFigureBoxstyles"/>
              <w:rPr>
                <w:lang w:eastAsia="zh-CN"/>
              </w:rPr>
            </w:pPr>
            <w:r w:rsidRPr="00C1603D">
              <w:rPr>
                <w:lang w:eastAsia="zh-CN"/>
              </w:rPr>
              <w:t>Log normal on both OR and general population rate</w:t>
            </w:r>
          </w:p>
        </w:tc>
        <w:tc>
          <w:tcPr>
            <w:tcW w:w="1371" w:type="dxa"/>
            <w:vMerge w:val="restart"/>
            <w:shd w:val="clear" w:color="auto" w:fill="auto"/>
          </w:tcPr>
          <w:p w14:paraId="0EBBFD96" w14:textId="79A5A494" w:rsidR="00322A4E" w:rsidRPr="00C1603D" w:rsidRDefault="00322A4E" w:rsidP="00362DF3">
            <w:pPr>
              <w:pStyle w:val="722TablebulletlistTablesTableFigureBoxstyles"/>
              <w:rPr>
                <w:lang w:eastAsia="zh-CN"/>
              </w:rPr>
            </w:pPr>
            <w:r w:rsidRPr="00C1603D">
              <w:rPr>
                <w:lang w:eastAsia="zh-CN"/>
              </w:rPr>
              <w:t>Goldacre</w:t>
            </w:r>
            <w:r w:rsidRPr="00C1603D">
              <w:rPr>
                <w:i/>
                <w:color w:val="00B0F0"/>
                <w:lang w:eastAsia="zh-CN"/>
              </w:rPr>
              <w:t xml:space="preserve"> et al</w:t>
            </w:r>
            <w:r w:rsidR="00362DF3" w:rsidRPr="00C1603D">
              <w:rPr>
                <w:lang w:eastAsia="zh-CN"/>
              </w:rPr>
              <w:t>.</w:t>
            </w:r>
            <w:r w:rsidRPr="00C1603D">
              <w:rPr>
                <w:noProof/>
                <w:vertAlign w:val="superscript"/>
                <w:lang w:eastAsia="zh-CN"/>
              </w:rPr>
              <w:t>245</w:t>
            </w:r>
          </w:p>
          <w:p w14:paraId="5CFC1624" w14:textId="77777777" w:rsidR="00322A4E" w:rsidRPr="00C1603D" w:rsidRDefault="00322A4E" w:rsidP="00362DF3">
            <w:pPr>
              <w:pStyle w:val="722TablebulletlistTablesTableFigureBoxstyles"/>
              <w:rPr>
                <w:lang w:eastAsia="zh-CN"/>
              </w:rPr>
            </w:pPr>
            <w:r w:rsidRPr="00C1603D">
              <w:rPr>
                <w:lang w:eastAsia="zh-CN"/>
              </w:rPr>
              <w:t>CPRD rate for general population</w:t>
            </w:r>
          </w:p>
        </w:tc>
      </w:tr>
      <w:tr w:rsidR="00322A4E" w:rsidRPr="00C1603D" w14:paraId="1E81661F" w14:textId="77777777" w:rsidTr="00CD7FF0">
        <w:trPr>
          <w:cantSplit/>
          <w:trHeight w:val="335"/>
        </w:trPr>
        <w:tc>
          <w:tcPr>
            <w:tcW w:w="2977" w:type="dxa"/>
            <w:vMerge/>
            <w:shd w:val="clear" w:color="auto" w:fill="auto"/>
            <w:noWrap/>
          </w:tcPr>
          <w:p w14:paraId="1758C8D8" w14:textId="77777777" w:rsidR="00322A4E" w:rsidRPr="00C1603D" w:rsidRDefault="00322A4E" w:rsidP="00CD7FF0">
            <w:pPr>
              <w:pStyle w:val="72TabletextTablesTableFigureBoxstyles"/>
              <w:rPr>
                <w:rFonts w:eastAsia="Calibri"/>
              </w:rPr>
            </w:pPr>
          </w:p>
        </w:tc>
        <w:tc>
          <w:tcPr>
            <w:tcW w:w="2693" w:type="dxa"/>
            <w:shd w:val="clear" w:color="auto" w:fill="auto"/>
            <w:noWrap/>
          </w:tcPr>
          <w:p w14:paraId="441DD4D8" w14:textId="1D216D1F" w:rsidR="00322A4E" w:rsidRPr="00C1603D" w:rsidRDefault="00322A4E" w:rsidP="00CD7FF0">
            <w:pPr>
              <w:pStyle w:val="72TabletextTablesTableFigureBoxstyles"/>
              <w:rPr>
                <w:lang w:eastAsia="zh-CN"/>
              </w:rPr>
            </w:pPr>
            <w:r w:rsidRPr="00C1603D">
              <w:rPr>
                <w:lang w:eastAsia="zh-CN"/>
              </w:rPr>
              <w:t xml:space="preserve">General population </w:t>
            </w:r>
            <w:r w:rsidRPr="00C1603D">
              <w:rPr>
                <w:color w:val="auto"/>
                <w:lang w:eastAsia="zh-CN"/>
              </w:rPr>
              <w:t xml:space="preserve">rates in </w:t>
            </w:r>
            <w:r w:rsidRPr="00C1603D">
              <w:rPr>
                <w:i/>
                <w:color w:val="auto"/>
              </w:rPr>
              <w:t xml:space="preserve">Table </w:t>
            </w:r>
            <w:r w:rsidRPr="00C1603D">
              <w:rPr>
                <w:i/>
                <w:noProof/>
                <w:color w:val="auto"/>
              </w:rPr>
              <w:t>1</w:t>
            </w:r>
            <w:r w:rsidR="008A6568" w:rsidRPr="00C1603D">
              <w:rPr>
                <w:i/>
                <w:noProof/>
                <w:color w:val="auto"/>
              </w:rPr>
              <w:t>6</w:t>
            </w:r>
          </w:p>
        </w:tc>
        <w:tc>
          <w:tcPr>
            <w:tcW w:w="1985" w:type="dxa"/>
            <w:vMerge/>
            <w:shd w:val="clear" w:color="auto" w:fill="auto"/>
          </w:tcPr>
          <w:p w14:paraId="477B3C28" w14:textId="77777777" w:rsidR="00322A4E" w:rsidRPr="00C1603D" w:rsidRDefault="00322A4E" w:rsidP="00CD7FF0">
            <w:pPr>
              <w:pStyle w:val="72TabletextTablesTableFigureBoxstyles"/>
              <w:rPr>
                <w:lang w:eastAsia="zh-CN"/>
              </w:rPr>
            </w:pPr>
          </w:p>
        </w:tc>
        <w:tc>
          <w:tcPr>
            <w:tcW w:w="1371" w:type="dxa"/>
            <w:vMerge/>
            <w:shd w:val="clear" w:color="auto" w:fill="auto"/>
          </w:tcPr>
          <w:p w14:paraId="5DBFB4A1" w14:textId="77777777" w:rsidR="00322A4E" w:rsidRPr="00C1603D" w:rsidRDefault="00322A4E" w:rsidP="00CD7FF0">
            <w:pPr>
              <w:pStyle w:val="72TabletextTablesTableFigureBoxstyles"/>
              <w:rPr>
                <w:lang w:eastAsia="zh-CN"/>
              </w:rPr>
            </w:pPr>
          </w:p>
        </w:tc>
      </w:tr>
      <w:tr w:rsidR="008B4DF8" w:rsidRPr="00C1603D" w14:paraId="580E9BC4" w14:textId="77777777" w:rsidTr="00CD7FF0">
        <w:trPr>
          <w:cantSplit/>
        </w:trPr>
        <w:tc>
          <w:tcPr>
            <w:tcW w:w="2977" w:type="dxa"/>
            <w:shd w:val="clear" w:color="auto" w:fill="auto"/>
            <w:noWrap/>
          </w:tcPr>
          <w:p w14:paraId="32B920CC" w14:textId="77777777" w:rsidR="008B4DF8" w:rsidRPr="00C1603D" w:rsidRDefault="008B4DF8" w:rsidP="00CD7FF0">
            <w:pPr>
              <w:pStyle w:val="72TabletextTablesTableFigureBoxstyles"/>
              <w:rPr>
                <w:rFonts w:eastAsia="Calibri"/>
              </w:rPr>
            </w:pPr>
            <w:r w:rsidRPr="00C1603D">
              <w:rPr>
                <w:rFonts w:eastAsia="Calibri"/>
              </w:rPr>
              <w:t>Mortality probability from osteoporosis</w:t>
            </w:r>
          </w:p>
        </w:tc>
        <w:tc>
          <w:tcPr>
            <w:tcW w:w="2693" w:type="dxa"/>
            <w:shd w:val="clear" w:color="auto" w:fill="auto"/>
            <w:noWrap/>
          </w:tcPr>
          <w:p w14:paraId="032BFC38" w14:textId="04CF16E4" w:rsidR="008B4DF8" w:rsidRPr="00C1603D" w:rsidRDefault="008B4DF8" w:rsidP="00CD7FF0">
            <w:pPr>
              <w:pStyle w:val="72TabletextTablesTableFigureBoxstyles"/>
              <w:rPr>
                <w:lang w:eastAsia="zh-CN"/>
              </w:rPr>
            </w:pPr>
            <w:r w:rsidRPr="00C1603D">
              <w:rPr>
                <w:lang w:eastAsia="zh-CN"/>
              </w:rPr>
              <w:t>H</w:t>
            </w:r>
            <w:r w:rsidR="00362DF3" w:rsidRPr="00C1603D">
              <w:rPr>
                <w:lang w:eastAsia="zh-CN"/>
              </w:rPr>
              <w:t>azard ratio</w:t>
            </w:r>
            <w:r w:rsidRPr="00C1603D">
              <w:rPr>
                <w:lang w:eastAsia="zh-CN"/>
              </w:rPr>
              <w:t xml:space="preserve"> 3.5 (95% CI 3.28</w:t>
            </w:r>
            <w:r w:rsidR="00362DF3" w:rsidRPr="00C1603D">
              <w:rPr>
                <w:lang w:eastAsia="zh-CN"/>
              </w:rPr>
              <w:t xml:space="preserve"> to </w:t>
            </w:r>
            <w:r w:rsidRPr="00C1603D">
              <w:rPr>
                <w:lang w:eastAsia="zh-CN"/>
              </w:rPr>
              <w:t xml:space="preserve">3.74) </w:t>
            </w:r>
            <w:r w:rsidR="0044705D" w:rsidRPr="00C1603D">
              <w:rPr>
                <w:lang w:eastAsia="zh-CN"/>
              </w:rPr>
              <w:t xml:space="preserve">times greater </w:t>
            </w:r>
            <w:r w:rsidRPr="00C1603D">
              <w:rPr>
                <w:lang w:eastAsia="zh-CN"/>
              </w:rPr>
              <w:t>for male hip fracture patients than</w:t>
            </w:r>
            <w:r w:rsidR="0044705D" w:rsidRPr="00C1603D">
              <w:rPr>
                <w:lang w:eastAsia="zh-CN"/>
              </w:rPr>
              <w:t xml:space="preserve"> for</w:t>
            </w:r>
            <w:r w:rsidRPr="00C1603D">
              <w:rPr>
                <w:lang w:eastAsia="zh-CN"/>
              </w:rPr>
              <w:t xml:space="preserve"> controls and 2.4 (95% CI 2.31</w:t>
            </w:r>
            <w:r w:rsidR="00406DB8" w:rsidRPr="00C1603D">
              <w:rPr>
                <w:lang w:eastAsia="zh-CN"/>
              </w:rPr>
              <w:t xml:space="preserve"> to </w:t>
            </w:r>
            <w:r w:rsidRPr="00C1603D">
              <w:rPr>
                <w:lang w:eastAsia="zh-CN"/>
              </w:rPr>
              <w:t xml:space="preserve">2.50) </w:t>
            </w:r>
            <w:r w:rsidR="0044705D" w:rsidRPr="00C1603D">
              <w:rPr>
                <w:lang w:eastAsia="zh-CN"/>
              </w:rPr>
              <w:t xml:space="preserve">times greater </w:t>
            </w:r>
            <w:r w:rsidRPr="00C1603D">
              <w:rPr>
                <w:lang w:eastAsia="zh-CN"/>
              </w:rPr>
              <w:t>for females</w:t>
            </w:r>
            <w:r w:rsidR="0044705D" w:rsidRPr="00C1603D">
              <w:rPr>
                <w:lang w:eastAsia="zh-CN"/>
              </w:rPr>
              <w:t xml:space="preserve"> than for controls</w:t>
            </w:r>
          </w:p>
        </w:tc>
        <w:tc>
          <w:tcPr>
            <w:tcW w:w="1985" w:type="dxa"/>
            <w:shd w:val="clear" w:color="auto" w:fill="auto"/>
          </w:tcPr>
          <w:p w14:paraId="4977961B" w14:textId="77777777" w:rsidR="008B4DF8" w:rsidRPr="00C1603D" w:rsidRDefault="008B4DF8" w:rsidP="00CD7FF0">
            <w:pPr>
              <w:pStyle w:val="72TabletextTablesTableFigureBoxstyles"/>
              <w:rPr>
                <w:lang w:eastAsia="zh-CN"/>
              </w:rPr>
            </w:pPr>
            <w:r w:rsidRPr="00C1603D">
              <w:rPr>
                <w:lang w:eastAsia="zh-CN"/>
              </w:rPr>
              <w:t>Normal distributions on log hazard ratios</w:t>
            </w:r>
          </w:p>
        </w:tc>
        <w:tc>
          <w:tcPr>
            <w:tcW w:w="1371" w:type="dxa"/>
            <w:shd w:val="clear" w:color="auto" w:fill="auto"/>
          </w:tcPr>
          <w:p w14:paraId="0BC678A2" w14:textId="75FA1860" w:rsidR="008B4DF8" w:rsidRPr="00C1603D" w:rsidRDefault="008B4DF8" w:rsidP="00CD7FF0">
            <w:pPr>
              <w:pStyle w:val="72TabletextTablesTableFigureBoxstyles"/>
              <w:rPr>
                <w:lang w:val="fr-FR" w:eastAsia="zh-CN"/>
              </w:rPr>
            </w:pPr>
            <w:r w:rsidRPr="00C1603D">
              <w:rPr>
                <w:lang w:val="fr-FR" w:eastAsia="zh-CN"/>
              </w:rPr>
              <w:t>Klop</w:t>
            </w:r>
            <w:r w:rsidRPr="00C1603D">
              <w:rPr>
                <w:i/>
                <w:color w:val="00B0F0"/>
                <w:lang w:val="fr-FR" w:eastAsia="zh-CN"/>
              </w:rPr>
              <w:t xml:space="preserve"> et al</w:t>
            </w:r>
            <w:r w:rsidR="0044705D" w:rsidRPr="00C1603D">
              <w:rPr>
                <w:iCs/>
                <w:color w:val="00B0F0"/>
                <w:lang w:val="fr-FR" w:eastAsia="zh-CN"/>
              </w:rPr>
              <w:t>.</w:t>
            </w:r>
            <w:r w:rsidRPr="00C1603D">
              <w:rPr>
                <w:noProof/>
                <w:vertAlign w:val="superscript"/>
                <w:lang w:eastAsia="zh-CN"/>
              </w:rPr>
              <w:t>250</w:t>
            </w:r>
          </w:p>
        </w:tc>
      </w:tr>
      <w:tr w:rsidR="008B4DF8" w:rsidRPr="00C1603D" w14:paraId="01BC0AFC" w14:textId="77777777" w:rsidTr="00CD7FF0">
        <w:trPr>
          <w:cantSplit/>
        </w:trPr>
        <w:tc>
          <w:tcPr>
            <w:tcW w:w="2977" w:type="dxa"/>
            <w:shd w:val="clear" w:color="auto" w:fill="auto"/>
            <w:noWrap/>
          </w:tcPr>
          <w:p w14:paraId="437AA1E4" w14:textId="77777777" w:rsidR="008B4DF8" w:rsidRPr="00C1603D" w:rsidRDefault="008B4DF8" w:rsidP="00CD7FF0">
            <w:pPr>
              <w:pStyle w:val="72TabletextTablesTableFigureBoxstyles"/>
              <w:rPr>
                <w:rFonts w:eastAsia="Calibri"/>
              </w:rPr>
            </w:pPr>
            <w:r w:rsidRPr="00C1603D">
              <w:rPr>
                <w:rFonts w:eastAsia="Calibri"/>
              </w:rPr>
              <w:t>Mortality probability from NHL</w:t>
            </w:r>
          </w:p>
        </w:tc>
        <w:tc>
          <w:tcPr>
            <w:tcW w:w="2693" w:type="dxa"/>
            <w:shd w:val="clear" w:color="auto" w:fill="auto"/>
            <w:noWrap/>
          </w:tcPr>
          <w:p w14:paraId="52A1930D" w14:textId="1FC79739" w:rsidR="008B4DF8" w:rsidRPr="00C1603D" w:rsidRDefault="008B4DF8" w:rsidP="00CD7FF0">
            <w:pPr>
              <w:pStyle w:val="72TabletextTablesTableFigureBoxstyles"/>
              <w:rPr>
                <w:lang w:eastAsia="zh-CN"/>
              </w:rPr>
            </w:pPr>
            <w:r w:rsidRPr="00C1603D">
              <w:rPr>
                <w:lang w:eastAsia="zh-CN"/>
              </w:rPr>
              <w:t>Log hazard 2.092 (</w:t>
            </w:r>
            <w:r w:rsidR="0044705D" w:rsidRPr="00C1603D">
              <w:rPr>
                <w:lang w:eastAsia="zh-CN"/>
              </w:rPr>
              <w:t xml:space="preserve">SD </w:t>
            </w:r>
            <w:r w:rsidRPr="00C1603D">
              <w:rPr>
                <w:lang w:eastAsia="zh-CN"/>
              </w:rPr>
              <w:t>0.006378)</w:t>
            </w:r>
          </w:p>
        </w:tc>
        <w:tc>
          <w:tcPr>
            <w:tcW w:w="1985" w:type="dxa"/>
            <w:shd w:val="clear" w:color="auto" w:fill="auto"/>
          </w:tcPr>
          <w:p w14:paraId="1B9330CB" w14:textId="77777777" w:rsidR="008B4DF8" w:rsidRPr="00C1603D" w:rsidRDefault="008B4DF8" w:rsidP="00CD7FF0">
            <w:pPr>
              <w:pStyle w:val="72TabletextTablesTableFigureBoxstyles"/>
              <w:rPr>
                <w:lang w:val="fr-FR" w:eastAsia="zh-CN"/>
              </w:rPr>
            </w:pPr>
            <w:r w:rsidRPr="00C1603D">
              <w:rPr>
                <w:lang w:val="fr-FR" w:eastAsia="zh-CN"/>
              </w:rPr>
              <w:t>Normal</w:t>
            </w:r>
          </w:p>
        </w:tc>
        <w:tc>
          <w:tcPr>
            <w:tcW w:w="1371" w:type="dxa"/>
            <w:shd w:val="clear" w:color="auto" w:fill="auto"/>
          </w:tcPr>
          <w:p w14:paraId="78C391C4" w14:textId="5D0BD3D0" w:rsidR="008B4DF8" w:rsidRPr="00C1603D" w:rsidRDefault="0044705D" w:rsidP="00CD7FF0">
            <w:pPr>
              <w:pStyle w:val="72TabletextTablesTableFigureBoxstyles"/>
              <w:rPr>
                <w:lang w:val="fr-FR" w:eastAsia="zh-CN"/>
              </w:rPr>
            </w:pPr>
            <w:r w:rsidRPr="00C1603D">
              <w:rPr>
                <w:lang w:eastAsia="zh-CN"/>
              </w:rPr>
              <w:t>Office for National Statistics</w:t>
            </w:r>
            <w:r w:rsidR="008B4DF8" w:rsidRPr="00C1603D">
              <w:rPr>
                <w:lang w:eastAsia="zh-CN"/>
              </w:rPr>
              <w:t xml:space="preserve"> 2018</w:t>
            </w:r>
            <w:r w:rsidR="008B4DF8" w:rsidRPr="00C1603D">
              <w:rPr>
                <w:noProof/>
                <w:vertAlign w:val="superscript"/>
                <w:lang w:eastAsia="zh-CN"/>
              </w:rPr>
              <w:t>248</w:t>
            </w:r>
          </w:p>
        </w:tc>
      </w:tr>
      <w:tr w:rsidR="00377908" w:rsidRPr="00C1603D" w14:paraId="6432C5F1" w14:textId="77777777" w:rsidTr="00CD7FF0">
        <w:trPr>
          <w:cantSplit/>
        </w:trPr>
        <w:tc>
          <w:tcPr>
            <w:tcW w:w="9026" w:type="dxa"/>
            <w:gridSpan w:val="4"/>
            <w:shd w:val="clear" w:color="auto" w:fill="auto"/>
            <w:noWrap/>
          </w:tcPr>
          <w:p w14:paraId="5FAF53E8" w14:textId="3B169E56" w:rsidR="00377908" w:rsidRPr="00C1603D" w:rsidRDefault="00BF7E3D" w:rsidP="00CD7FF0">
            <w:pPr>
              <w:pStyle w:val="75TablenotesTablesTableFigureBoxstyles"/>
              <w:rPr>
                <w:lang w:eastAsia="zh-CN"/>
              </w:rPr>
            </w:pPr>
            <w:r w:rsidRPr="00C1603D">
              <w:rPr>
                <w:lang w:eastAsia="en-GB"/>
              </w:rPr>
              <w:t xml:space="preserve">BNF, </w:t>
            </w:r>
            <w:r w:rsidRPr="00C1603D">
              <w:rPr>
                <w:i/>
                <w:iCs/>
                <w:lang w:eastAsia="en-GB"/>
              </w:rPr>
              <w:t>British National Formulary</w:t>
            </w:r>
            <w:r w:rsidRPr="00C1603D">
              <w:rPr>
                <w:lang w:eastAsia="en-GB"/>
              </w:rPr>
              <w:t xml:space="preserve">; </w:t>
            </w:r>
            <w:r w:rsidR="00377908" w:rsidRPr="00C1603D">
              <w:rPr>
                <w:lang w:eastAsia="en-GB"/>
              </w:rPr>
              <w:t>FN, false negative</w:t>
            </w:r>
            <w:r w:rsidR="00C26563" w:rsidRPr="00C1603D">
              <w:rPr>
                <w:lang w:eastAsia="en-GB"/>
              </w:rPr>
              <w:t>;</w:t>
            </w:r>
            <w:r w:rsidR="00362DF3" w:rsidRPr="00C1603D">
              <w:rPr>
                <w:lang w:eastAsia="en-GB"/>
              </w:rPr>
              <w:t xml:space="preserve"> OR, odds ratio;</w:t>
            </w:r>
            <w:r w:rsidR="00C26563" w:rsidRPr="00C1603D">
              <w:rPr>
                <w:lang w:eastAsia="en-GB"/>
              </w:rPr>
              <w:t xml:space="preserve"> TP, true positive</w:t>
            </w:r>
            <w:r w:rsidR="00377908" w:rsidRPr="00C1603D">
              <w:rPr>
                <w:lang w:eastAsia="en-GB"/>
              </w:rPr>
              <w:t>.</w:t>
            </w:r>
          </w:p>
        </w:tc>
      </w:tr>
    </w:tbl>
    <w:p w14:paraId="25FE25EA" w14:textId="77777777" w:rsidR="008B4DF8" w:rsidRPr="00C1603D" w:rsidRDefault="008B4DF8" w:rsidP="008B4DF8">
      <w:pPr>
        <w:pStyle w:val="53BheadHeadingsHeadingstyles"/>
        <w:rPr>
          <w:lang w:eastAsia="ko-KR"/>
        </w:rPr>
      </w:pPr>
      <w:bookmarkStart w:id="402" w:name="_Toc87507193"/>
      <w:bookmarkStart w:id="403" w:name="_Toc99539901"/>
      <w:r w:rsidRPr="00C1603D">
        <w:rPr>
          <w:lang w:eastAsia="ko-KR"/>
        </w:rPr>
        <w:t>Analyses</w:t>
      </w:r>
      <w:bookmarkEnd w:id="402"/>
      <w:bookmarkEnd w:id="403"/>
    </w:p>
    <w:p w14:paraId="2201369D" w14:textId="786D3220" w:rsidR="008B4DF8" w:rsidRPr="00C1603D" w:rsidRDefault="008B4DF8" w:rsidP="008B4DF8">
      <w:pPr>
        <w:pStyle w:val="54CheadHeadingsHeadingstyles"/>
        <w:rPr>
          <w:lang w:eastAsia="ko-KR"/>
        </w:rPr>
      </w:pPr>
      <w:bookmarkStart w:id="404" w:name="_Toc87507194"/>
      <w:r w:rsidRPr="00C1603D">
        <w:rPr>
          <w:lang w:eastAsia="ko-KR"/>
        </w:rPr>
        <w:t>Cost</w:t>
      </w:r>
      <w:r w:rsidR="0044705D" w:rsidRPr="00C1603D">
        <w:rPr>
          <w:lang w:eastAsia="ko-KR"/>
        </w:rPr>
        <w:t>–</w:t>
      </w:r>
      <w:r w:rsidRPr="00C1603D">
        <w:rPr>
          <w:lang w:eastAsia="ko-KR"/>
        </w:rPr>
        <w:t xml:space="preserve">benefit analysis to identify </w:t>
      </w:r>
      <w:r w:rsidR="0044705D" w:rsidRPr="00C1603D">
        <w:rPr>
          <w:lang w:eastAsia="ko-KR"/>
        </w:rPr>
        <w:t xml:space="preserve">the </w:t>
      </w:r>
      <w:r w:rsidRPr="00C1603D">
        <w:rPr>
          <w:lang w:eastAsia="ko-KR"/>
        </w:rPr>
        <w:t>optimal screening strategy</w:t>
      </w:r>
      <w:bookmarkEnd w:id="404"/>
    </w:p>
    <w:p w14:paraId="2398DCC9" w14:textId="46596282" w:rsidR="008B4DF8" w:rsidRPr="00C1603D" w:rsidRDefault="008B4DF8" w:rsidP="008B4DF8">
      <w:pPr>
        <w:pStyle w:val="602TextfoTextstylesTextstyles"/>
        <w:rPr>
          <w:lang w:eastAsia="ko-KR"/>
        </w:rPr>
      </w:pPr>
      <w:r w:rsidRPr="00C1603D">
        <w:rPr>
          <w:lang w:eastAsia="ko-KR"/>
        </w:rPr>
        <w:t>The objective of the model was to calculate the expected costs and health outcomes over a patient</w:t>
      </w:r>
      <w:r w:rsidRPr="00C1603D">
        <w:rPr>
          <w:color w:val="00B0F0"/>
          <w:lang w:eastAsia="ko-KR"/>
        </w:rPr>
        <w:t>’</w:t>
      </w:r>
      <w:r w:rsidRPr="00C1603D">
        <w:rPr>
          <w:lang w:eastAsia="ko-KR"/>
        </w:rPr>
        <w:t>s lifetime for all screening strategies. Risk prediction strategies with sensitivity and specificit</w:t>
      </w:r>
      <w:r w:rsidR="001D030E" w:rsidRPr="00C1603D">
        <w:rPr>
          <w:lang w:eastAsia="ko-KR"/>
        </w:rPr>
        <w:t>y</w:t>
      </w:r>
      <w:r w:rsidRPr="00C1603D">
        <w:rPr>
          <w:lang w:eastAsia="ko-KR"/>
        </w:rPr>
        <w:t xml:space="preserve"> combinations of 0.5, 0.6, 0.7, 0.8, 0.9 and 1.0 were explored</w:t>
      </w:r>
      <w:r w:rsidR="00815E32" w:rsidRPr="00C1603D">
        <w:rPr>
          <w:lang w:eastAsia="ko-KR"/>
        </w:rPr>
        <w:t>,</w:t>
      </w:r>
      <w:r w:rsidRPr="00C1603D">
        <w:rPr>
          <w:lang w:eastAsia="ko-KR"/>
        </w:rPr>
        <w:t xml:space="preserve"> followed by serological testing alone (IgA tTG alone, IgA tTG plus IgA EMA, and IgA EMA alone), combination of serological testing with genetic testing (HLA before or after the three serological testing strategies, with double</w:t>
      </w:r>
      <w:r w:rsidR="00110C85" w:rsidRPr="00C1603D">
        <w:rPr>
          <w:lang w:eastAsia="ko-KR"/>
        </w:rPr>
        <w:t>-</w:t>
      </w:r>
      <w:r w:rsidRPr="00C1603D">
        <w:rPr>
          <w:lang w:eastAsia="ko-KR"/>
        </w:rPr>
        <w:t xml:space="preserve">testing only </w:t>
      </w:r>
      <w:r w:rsidR="00110C85" w:rsidRPr="00C1603D">
        <w:rPr>
          <w:lang w:eastAsia="ko-KR"/>
        </w:rPr>
        <w:t>for</w:t>
      </w:r>
      <w:r w:rsidRPr="00C1603D">
        <w:rPr>
          <w:lang w:eastAsia="ko-KR"/>
        </w:rPr>
        <w:t xml:space="preserve"> those with </w:t>
      </w:r>
      <w:r w:rsidR="00110C85" w:rsidRPr="00C1603D">
        <w:rPr>
          <w:lang w:eastAsia="ko-KR"/>
        </w:rPr>
        <w:t xml:space="preserve">a </w:t>
      </w:r>
      <w:r w:rsidRPr="00C1603D">
        <w:rPr>
          <w:lang w:eastAsia="ko-KR"/>
        </w:rPr>
        <w:t xml:space="preserve">90% post-test probability after the first test) and no screening (routine diagnosis only) </w:t>
      </w:r>
      <w:r w:rsidR="00110C85" w:rsidRPr="00C1603D">
        <w:rPr>
          <w:lang w:eastAsia="ko-KR"/>
        </w:rPr>
        <w:t>in</w:t>
      </w:r>
      <w:r w:rsidRPr="00C1603D">
        <w:rPr>
          <w:lang w:eastAsia="ko-KR"/>
        </w:rPr>
        <w:t xml:space="preserve"> adult men, adult women and children. Half-cycle corrections are applied to the Markov model</w:t>
      </w:r>
      <w:r w:rsidR="00C20511" w:rsidRPr="00C1603D">
        <w:rPr>
          <w:lang w:eastAsia="ko-KR"/>
        </w:rPr>
        <w:t>;</w:t>
      </w:r>
      <w:r w:rsidRPr="00C1603D">
        <w:rPr>
          <w:lang w:eastAsia="ko-KR"/>
        </w:rPr>
        <w:t xml:space="preserve"> costs and QALYs were discounted at 3.5%</w:t>
      </w:r>
      <w:r w:rsidR="00C20511" w:rsidRPr="00C1603D">
        <w:rPr>
          <w:lang w:eastAsia="ko-KR"/>
        </w:rPr>
        <w:t>,</w:t>
      </w:r>
      <w:r w:rsidRPr="00C1603D">
        <w:rPr>
          <w:lang w:eastAsia="ko-KR"/>
        </w:rPr>
        <w:t xml:space="preserve"> as recommended by NICE.</w:t>
      </w:r>
      <w:r w:rsidRPr="00C1603D">
        <w:rPr>
          <w:noProof/>
          <w:vertAlign w:val="superscript"/>
          <w:lang w:eastAsia="ko-KR"/>
        </w:rPr>
        <w:t>252</w:t>
      </w:r>
      <w:r w:rsidRPr="00C1603D">
        <w:rPr>
          <w:lang w:eastAsia="ko-KR"/>
        </w:rPr>
        <w:t xml:space="preserve"> The analysis was fully probabilistic</w:t>
      </w:r>
      <w:r w:rsidR="00C20511" w:rsidRPr="00C1603D">
        <w:rPr>
          <w:lang w:eastAsia="ko-KR"/>
        </w:rPr>
        <w:t>,</w:t>
      </w:r>
      <w:r w:rsidRPr="00C1603D">
        <w:rPr>
          <w:lang w:eastAsia="ko-KR"/>
        </w:rPr>
        <w:t xml:space="preserve"> with </w:t>
      </w:r>
      <w:proofErr w:type="gramStart"/>
      <w:r w:rsidRPr="00C1603D">
        <w:rPr>
          <w:lang w:eastAsia="ko-KR"/>
        </w:rPr>
        <w:t>1000</w:t>
      </w:r>
      <w:proofErr w:type="gramEnd"/>
      <w:r w:rsidRPr="00C1603D">
        <w:rPr>
          <w:lang w:eastAsia="ko-KR"/>
        </w:rPr>
        <w:t xml:space="preserve"> samples being generated for each population</w:t>
      </w:r>
      <w:r w:rsidR="00C20511" w:rsidRPr="00C1603D">
        <w:rPr>
          <w:lang w:eastAsia="ko-KR"/>
        </w:rPr>
        <w:t>;</w:t>
      </w:r>
      <w:r w:rsidRPr="00C1603D">
        <w:rPr>
          <w:lang w:eastAsia="ko-KR"/>
        </w:rPr>
        <w:t xml:space="preserve"> no deterministic results are presented as the Markov model is non-linear.</w:t>
      </w:r>
      <w:r w:rsidRPr="00C1603D">
        <w:rPr>
          <w:noProof/>
          <w:vertAlign w:val="superscript"/>
          <w:lang w:eastAsia="ko-KR"/>
        </w:rPr>
        <w:t>253</w:t>
      </w:r>
    </w:p>
    <w:p w14:paraId="3A5AC3E4" w14:textId="48710298" w:rsidR="008B4DF8" w:rsidRPr="00C1603D" w:rsidRDefault="008B4DF8" w:rsidP="008B4DF8">
      <w:pPr>
        <w:pStyle w:val="602TextfoTextstylesTextstyles"/>
        <w:rPr>
          <w:lang w:eastAsia="ko-KR"/>
        </w:rPr>
      </w:pPr>
      <w:r w:rsidRPr="00C1603D">
        <w:rPr>
          <w:lang w:eastAsia="ko-KR"/>
        </w:rPr>
        <w:t>Total costs and QALY</w:t>
      </w:r>
      <w:r w:rsidR="00A868B0" w:rsidRPr="00C1603D">
        <w:rPr>
          <w:lang w:eastAsia="ko-KR"/>
        </w:rPr>
        <w:t>s</w:t>
      </w:r>
      <w:r w:rsidRPr="00C1603D">
        <w:rPr>
          <w:lang w:eastAsia="ko-KR"/>
        </w:rPr>
        <w:t xml:space="preserve"> were calculated for each of these strategies, along with the net benefit at £20,000</w:t>
      </w:r>
      <w:r w:rsidR="00C20511" w:rsidRPr="00C1603D">
        <w:rPr>
          <w:lang w:eastAsia="ko-KR"/>
        </w:rPr>
        <w:t xml:space="preserve"> per </w:t>
      </w:r>
      <w:r w:rsidRPr="00C1603D">
        <w:rPr>
          <w:lang w:eastAsia="ko-KR"/>
        </w:rPr>
        <w:t>QALY (i.e. total QALYs multiplied by £20,000</w:t>
      </w:r>
      <w:r w:rsidR="00C20511" w:rsidRPr="00C1603D">
        <w:rPr>
          <w:lang w:eastAsia="ko-KR"/>
        </w:rPr>
        <w:t xml:space="preserve"> per </w:t>
      </w:r>
      <w:r w:rsidRPr="00C1603D">
        <w:rPr>
          <w:lang w:eastAsia="ko-KR"/>
        </w:rPr>
        <w:t>QALY minus the total costs). Incremental costs, QALYs and net benefit were calculated relative to no screening. The probabilistic samples were summarised by their means and Bayesian 95% CrI</w:t>
      </w:r>
      <w:r w:rsidR="00C20511" w:rsidRPr="00C1603D">
        <w:rPr>
          <w:lang w:eastAsia="ko-KR"/>
        </w:rPr>
        <w:t>s</w:t>
      </w:r>
      <w:r w:rsidRPr="00C1603D">
        <w:rPr>
          <w:lang w:eastAsia="ko-KR"/>
        </w:rPr>
        <w:t>. The probability of each decision being cost-effective</w:t>
      </w:r>
      <w:r w:rsidR="00D81E21" w:rsidRPr="00C1603D">
        <w:rPr>
          <w:lang w:eastAsia="ko-KR"/>
        </w:rPr>
        <w:t>,</w:t>
      </w:r>
      <w:r w:rsidRPr="00C1603D">
        <w:rPr>
          <w:lang w:eastAsia="ko-KR"/>
        </w:rPr>
        <w:t xml:space="preserve"> compared </w:t>
      </w:r>
      <w:r w:rsidR="00D81E21" w:rsidRPr="00C1603D">
        <w:rPr>
          <w:lang w:eastAsia="ko-KR"/>
        </w:rPr>
        <w:t>with</w:t>
      </w:r>
      <w:r w:rsidRPr="00C1603D">
        <w:rPr>
          <w:lang w:eastAsia="ko-KR"/>
        </w:rPr>
        <w:t xml:space="preserve"> no screening</w:t>
      </w:r>
      <w:r w:rsidR="00D81E21" w:rsidRPr="00C1603D">
        <w:rPr>
          <w:lang w:eastAsia="ko-KR"/>
        </w:rPr>
        <w:t>,</w:t>
      </w:r>
      <w:r w:rsidRPr="00C1603D">
        <w:rPr>
          <w:lang w:eastAsia="ko-KR"/>
        </w:rPr>
        <w:t xml:space="preserve"> at £20,000</w:t>
      </w:r>
      <w:r w:rsidR="00D81E21" w:rsidRPr="00C1603D">
        <w:rPr>
          <w:lang w:eastAsia="ko-KR"/>
        </w:rPr>
        <w:t xml:space="preserve"> per </w:t>
      </w:r>
      <w:r w:rsidRPr="00C1603D">
        <w:rPr>
          <w:lang w:eastAsia="ko-KR"/>
        </w:rPr>
        <w:t>QALY was calculated by counting the proportion of samples for which the incremental net benefit was positive.</w:t>
      </w:r>
    </w:p>
    <w:p w14:paraId="4719D67F" w14:textId="776E0FC1" w:rsidR="008B4DF8" w:rsidRPr="00C1603D" w:rsidRDefault="008B4DF8" w:rsidP="008B4DF8">
      <w:pPr>
        <w:pStyle w:val="602TextfoTextstylesTextstyles"/>
        <w:rPr>
          <w:lang w:eastAsia="ko-KR"/>
        </w:rPr>
      </w:pPr>
      <w:r w:rsidRPr="00C1603D">
        <w:rPr>
          <w:lang w:eastAsia="ko-KR"/>
        </w:rPr>
        <w:t xml:space="preserve">Further investigation was conducted in the testing combinations (e.g. IgA EMA plus HLA or IgA tTG) with </w:t>
      </w:r>
      <w:r w:rsidR="001C1E2C" w:rsidRPr="00C1603D">
        <w:rPr>
          <w:lang w:eastAsia="ko-KR"/>
        </w:rPr>
        <w:t xml:space="preserve">the </w:t>
      </w:r>
      <w:r w:rsidRPr="00C1603D">
        <w:rPr>
          <w:lang w:eastAsia="ko-KR"/>
        </w:rPr>
        <w:t>greatest net benefit and probability of being cost-effective for each population. If cost-effectiveness was similar to</w:t>
      </w:r>
      <w:r w:rsidR="001F72FB" w:rsidRPr="00C1603D">
        <w:rPr>
          <w:lang w:eastAsia="ko-KR"/>
        </w:rPr>
        <w:t xml:space="preserve"> that of</w:t>
      </w:r>
      <w:r w:rsidRPr="00C1603D">
        <w:rPr>
          <w:lang w:eastAsia="ko-KR"/>
        </w:rPr>
        <w:t xml:space="preserve"> other tests, IgA tTG alone was selected </w:t>
      </w:r>
      <w:r w:rsidR="001F72FB" w:rsidRPr="00C1603D">
        <w:rPr>
          <w:lang w:eastAsia="ko-KR"/>
        </w:rPr>
        <w:t>because of</w:t>
      </w:r>
      <w:r w:rsidRPr="00C1603D">
        <w:rPr>
          <w:lang w:eastAsia="ko-KR"/>
        </w:rPr>
        <w:t xml:space="preserve"> its greater availability in UK laboratories.</w:t>
      </w:r>
      <w:r w:rsidRPr="00C1603D">
        <w:rPr>
          <w:noProof/>
          <w:vertAlign w:val="superscript"/>
          <w:lang w:eastAsia="ko-KR"/>
        </w:rPr>
        <w:t>254</w:t>
      </w:r>
      <w:r w:rsidRPr="00C1603D">
        <w:rPr>
          <w:lang w:eastAsia="ko-KR"/>
        </w:rPr>
        <w:t xml:space="preserve"> These testing combinations were applied to the risk prediction strategies </w:t>
      </w:r>
      <w:r w:rsidRPr="00C1603D">
        <w:rPr>
          <w:color w:val="auto"/>
          <w:lang w:eastAsia="ko-KR"/>
        </w:rPr>
        <w:t xml:space="preserve">identified in </w:t>
      </w:r>
      <w:r w:rsidRPr="00C1603D">
        <w:rPr>
          <w:i/>
          <w:color w:val="auto"/>
        </w:rPr>
        <w:t xml:space="preserve">Table </w:t>
      </w:r>
      <w:r w:rsidRPr="00C1603D">
        <w:rPr>
          <w:i/>
          <w:noProof/>
          <w:color w:val="auto"/>
        </w:rPr>
        <w:t>5</w:t>
      </w:r>
      <w:r w:rsidRPr="00C1603D">
        <w:rPr>
          <w:color w:val="auto"/>
          <w:lang w:eastAsia="ko-KR"/>
        </w:rPr>
        <w:t xml:space="preserve">. These </w:t>
      </w:r>
      <w:r w:rsidRPr="00C1603D">
        <w:rPr>
          <w:lang w:eastAsia="ko-KR"/>
        </w:rPr>
        <w:t>were strategies with pre-test probabilities for blood test of 1%, 1.5%, 2%, 5%, 10% and 20%</w:t>
      </w:r>
      <w:r w:rsidR="00910316" w:rsidRPr="00C1603D">
        <w:rPr>
          <w:lang w:eastAsia="ko-KR"/>
        </w:rPr>
        <w:t>,</w:t>
      </w:r>
      <w:r w:rsidRPr="00C1603D">
        <w:rPr>
          <w:lang w:eastAsia="ko-KR"/>
        </w:rPr>
        <w:t xml:space="preserve"> with implied sensitivities (i.e. proportion of those with CD who have the diagnostic indicator combination) and specificities (i.e. proportion of those without CD who would have the diagnostic indicator combination) that can be run through the economic model.</w:t>
      </w:r>
      <w:r w:rsidRPr="00C1603D">
        <w:rPr>
          <w:sz w:val="16"/>
          <w:szCs w:val="16"/>
        </w:rPr>
        <w:t xml:space="preserve"> </w:t>
      </w:r>
      <w:r w:rsidRPr="00C1603D">
        <w:rPr>
          <w:lang w:eastAsia="ko-KR"/>
        </w:rPr>
        <w:t>The cost-effectiveness of these strategies of interest were compared by total costs, QALYs and net benefits. The probability that each strateg</w:t>
      </w:r>
      <w:r w:rsidR="00825460" w:rsidRPr="00C1603D">
        <w:rPr>
          <w:lang w:eastAsia="ko-KR"/>
        </w:rPr>
        <w:t>y</w:t>
      </w:r>
      <w:r w:rsidRPr="00C1603D">
        <w:rPr>
          <w:lang w:eastAsia="ko-KR"/>
        </w:rPr>
        <w:t xml:space="preserve"> has the greatest net benefit at various willingness-to-pay thresholds was also plotted, which is the cost-effectiveness acceptability curve (CEAC).</w:t>
      </w:r>
    </w:p>
    <w:p w14:paraId="4546A9B7" w14:textId="345FA5F4" w:rsidR="008B4DF8" w:rsidRPr="00C1603D" w:rsidRDefault="008B4DF8" w:rsidP="008B4DF8">
      <w:pPr>
        <w:pStyle w:val="54CheadHeadingsHeadingstyles"/>
      </w:pPr>
      <w:bookmarkStart w:id="405" w:name="_Toc87507195"/>
      <w:r w:rsidRPr="00C1603D">
        <w:t>Value</w:t>
      </w:r>
      <w:r w:rsidR="00484FEF" w:rsidRPr="00C1603D">
        <w:t>-</w:t>
      </w:r>
      <w:r w:rsidRPr="00C1603D">
        <w:t>of</w:t>
      </w:r>
      <w:r w:rsidR="00484FEF" w:rsidRPr="00C1603D">
        <w:t>-</w:t>
      </w:r>
      <w:r w:rsidRPr="00C1603D">
        <w:t>information analysis to identify further research priorities</w:t>
      </w:r>
      <w:bookmarkEnd w:id="405"/>
    </w:p>
    <w:p w14:paraId="42E9BAAE" w14:textId="7A9BCF1A" w:rsidR="008B4DF8" w:rsidRPr="00C1603D" w:rsidRDefault="008B4DF8" w:rsidP="008B4DF8">
      <w:pPr>
        <w:pStyle w:val="602TextfoTextstylesTextstyles"/>
      </w:pPr>
      <w:r w:rsidRPr="00C1603D">
        <w:t>Decision uncertainty was quantified using a value</w:t>
      </w:r>
      <w:r w:rsidR="00484FEF" w:rsidRPr="00C1603D">
        <w:t>-</w:t>
      </w:r>
      <w:r w:rsidRPr="00C1603D">
        <w:t>of</w:t>
      </w:r>
      <w:r w:rsidR="00484FEF" w:rsidRPr="00C1603D">
        <w:t>-</w:t>
      </w:r>
      <w:r w:rsidRPr="00C1603D">
        <w:t>information analysis following the best</w:t>
      </w:r>
      <w:r w:rsidR="00484FEF" w:rsidRPr="00C1603D">
        <w:t>-</w:t>
      </w:r>
      <w:r w:rsidRPr="00C1603D">
        <w:t>practice recommendations of the International Society for Pharmacoeconomics and Outcomes Research.</w:t>
      </w:r>
      <w:r w:rsidRPr="00C1603D">
        <w:rPr>
          <w:noProof/>
          <w:vertAlign w:val="superscript"/>
        </w:rPr>
        <w:t>255</w:t>
      </w:r>
      <w:r w:rsidRPr="00C1603D">
        <w:rPr>
          <w:noProof/>
          <w:color w:val="00B0F0"/>
          <w:vertAlign w:val="superscript"/>
        </w:rPr>
        <w:t>–2</w:t>
      </w:r>
      <w:r w:rsidRPr="00C1603D">
        <w:rPr>
          <w:noProof/>
          <w:vertAlign w:val="superscript"/>
        </w:rPr>
        <w:t>57</w:t>
      </w:r>
      <w:r w:rsidRPr="00C1603D">
        <w:t xml:space="preserve"> </w:t>
      </w:r>
      <w:r w:rsidRPr="00C1603D">
        <w:lastRenderedPageBreak/>
        <w:t>The total decision uncertainty was quantified using the expected value of perfect information (EVPI)</w:t>
      </w:r>
      <w:r w:rsidR="00A97D30" w:rsidRPr="00C1603D">
        <w:t>,</w:t>
      </w:r>
      <w:r w:rsidRPr="00C1603D">
        <w:t xml:space="preserve"> whe</w:t>
      </w:r>
      <w:r w:rsidR="00A97D30" w:rsidRPr="00C1603D">
        <w:t>reas</w:t>
      </w:r>
      <w:r w:rsidRPr="00C1603D">
        <w:t xml:space="preserve"> decision uncertainty related to a single parameter, or subset of parameters, was quantified using the expected value of partial perfect information (EVPPI). The ratio of </w:t>
      </w:r>
      <w:r w:rsidR="00115C81" w:rsidRPr="00C1603D">
        <w:t xml:space="preserve">the </w:t>
      </w:r>
      <w:r w:rsidRPr="00C1603D">
        <w:t>EVPPI for each parameter to the total EVPI was calculated to represent the relative importance of each parameter.</w:t>
      </w:r>
      <w:r w:rsidRPr="00C1603D">
        <w:rPr>
          <w:noProof/>
          <w:vertAlign w:val="superscript"/>
        </w:rPr>
        <w:t>258</w:t>
      </w:r>
      <w:r w:rsidRPr="00C1603D">
        <w:t xml:space="preserve"> Generalised additive models were used to approximate the EVPPI for each parameter when calculating ratios with </w:t>
      </w:r>
      <w:r w:rsidR="00115C81" w:rsidRPr="00C1603D">
        <w:t xml:space="preserve">the </w:t>
      </w:r>
      <w:r w:rsidRPr="00C1603D">
        <w:t>EVPI.</w:t>
      </w:r>
      <w:r w:rsidRPr="00C1603D">
        <w:rPr>
          <w:noProof/>
          <w:vertAlign w:val="superscript"/>
        </w:rPr>
        <w:t>259,260</w:t>
      </w:r>
      <w:r w:rsidRPr="00C1603D">
        <w:t xml:space="preserve"> As the exact values of the EVPPI may not be </w:t>
      </w:r>
      <w:proofErr w:type="gramStart"/>
      <w:r w:rsidRPr="00C1603D">
        <w:t>reliable</w:t>
      </w:r>
      <w:proofErr w:type="gramEnd"/>
      <w:r w:rsidRPr="00C1603D">
        <w:t xml:space="preserve">, </w:t>
      </w:r>
      <w:r w:rsidR="006271AD" w:rsidRPr="00C1603D">
        <w:t xml:space="preserve">the </w:t>
      </w:r>
      <w:r w:rsidRPr="00C1603D">
        <w:t>EVPPI for parameters and parameter sets of interest were further estimated using multilevel Monte Carlo (MLMC)</w:t>
      </w:r>
      <w:r w:rsidR="006271AD" w:rsidRPr="00C1603D">
        <w:t xml:space="preserve"> methods</w:t>
      </w:r>
      <w:r w:rsidRPr="00C1603D">
        <w:t>.</w:t>
      </w:r>
      <w:r w:rsidRPr="00C1603D">
        <w:rPr>
          <w:noProof/>
          <w:vertAlign w:val="superscript"/>
        </w:rPr>
        <w:t>261</w:t>
      </w:r>
    </w:p>
    <w:p w14:paraId="1BAB7FF4" w14:textId="64E686B6" w:rsidR="008B4DF8" w:rsidRPr="00C1603D" w:rsidRDefault="008B4DF8" w:rsidP="008B4DF8">
      <w:pPr>
        <w:pStyle w:val="602TextfoTextstylesTextstyles"/>
      </w:pPr>
      <w:r w:rsidRPr="00C1603D">
        <w:t xml:space="preserve">The EVPI and </w:t>
      </w:r>
      <w:r w:rsidR="006C533A" w:rsidRPr="00C1603D">
        <w:t xml:space="preserve">the </w:t>
      </w:r>
      <w:r w:rsidRPr="00C1603D">
        <w:t xml:space="preserve">EVPPI are per person and must be scaled to the size of the population of interest. </w:t>
      </w:r>
      <w:r w:rsidR="006C533A" w:rsidRPr="00C1603D">
        <w:t>For</w:t>
      </w:r>
      <w:r w:rsidRPr="00C1603D">
        <w:t xml:space="preserve"> CD</w:t>
      </w:r>
      <w:r w:rsidR="006C533A" w:rsidRPr="00C1603D">
        <w:t>,</w:t>
      </w:r>
      <w:r w:rsidRPr="00C1603D">
        <w:t xml:space="preserve"> this is the total population of the UK, or 67,081,000 as of 2020.</w:t>
      </w:r>
      <w:r w:rsidRPr="00C1603D">
        <w:rPr>
          <w:noProof/>
          <w:vertAlign w:val="superscript"/>
        </w:rPr>
        <w:t>262</w:t>
      </w:r>
      <w:r w:rsidRPr="00C1603D">
        <w:t xml:space="preserve"> It was assumed that 79% are </w:t>
      </w:r>
      <w:r w:rsidR="006C533A" w:rsidRPr="00C1603D">
        <w:t>aged ≥ </w:t>
      </w:r>
      <w:r w:rsidRPr="00C1603D">
        <w:t xml:space="preserve">18 years and that 50% </w:t>
      </w:r>
      <w:r w:rsidR="006C533A" w:rsidRPr="00C1603D">
        <w:t>are</w:t>
      </w:r>
      <w:r w:rsidRPr="00C1603D">
        <w:t xml:space="preserve"> female.</w:t>
      </w:r>
      <w:r w:rsidRPr="00C1603D">
        <w:rPr>
          <w:noProof/>
          <w:vertAlign w:val="superscript"/>
        </w:rPr>
        <w:t>263</w:t>
      </w:r>
      <w:r w:rsidRPr="00C1603D">
        <w:t xml:space="preserve"> The prevalence of CD was taken as 1%.</w:t>
      </w:r>
      <w:r w:rsidRPr="00C1603D">
        <w:rPr>
          <w:noProof/>
          <w:vertAlign w:val="superscript"/>
        </w:rPr>
        <w:t>2</w:t>
      </w:r>
      <w:r w:rsidRPr="00C1603D">
        <w:t xml:space="preserve"> This gives a total population of 263,465 </w:t>
      </w:r>
      <w:r w:rsidR="006C533A" w:rsidRPr="00C1603D">
        <w:t>for</w:t>
      </w:r>
      <w:r w:rsidRPr="00C1603D">
        <w:t xml:space="preserve"> adult men or adult women, and 140,070 </w:t>
      </w:r>
      <w:r w:rsidR="006C533A" w:rsidRPr="00C1603D">
        <w:t>for</w:t>
      </w:r>
      <w:r w:rsidRPr="00C1603D">
        <w:t xml:space="preserve"> children.</w:t>
      </w:r>
    </w:p>
    <w:p w14:paraId="1D5865D8" w14:textId="3111D701" w:rsidR="008B4DF8" w:rsidRPr="00C1603D" w:rsidRDefault="003C64EE" w:rsidP="008B4DF8">
      <w:pPr>
        <w:pStyle w:val="602TextfoTextstylesTextstyles"/>
      </w:pPr>
      <w:commentRangeStart w:id="406"/>
      <w:r w:rsidRPr="00C1603D">
        <w:t xml:space="preserve">The EVPI and the EVPPI </w:t>
      </w:r>
      <w:r w:rsidR="008B4DF8" w:rsidRPr="00C1603D">
        <w:t xml:space="preserve">must also be summed, with discounting at 3.5%, over a </w:t>
      </w:r>
      <w:r w:rsidR="007017F7" w:rsidRPr="00C1603D">
        <w:rPr>
          <w:color w:val="00B0F0"/>
        </w:rPr>
        <w:t>‘</w:t>
      </w:r>
      <w:r w:rsidR="008B4DF8" w:rsidRPr="00C1603D">
        <w:t>technology horizon</w:t>
      </w:r>
      <w:proofErr w:type="gramStart"/>
      <w:r w:rsidR="007017F7" w:rsidRPr="00C1603D">
        <w:rPr>
          <w:color w:val="00B0F0"/>
        </w:rPr>
        <w:t>’</w:t>
      </w:r>
      <w:r w:rsidR="008B4DF8" w:rsidRPr="00C1603D">
        <w:t>,</w:t>
      </w:r>
      <w:proofErr w:type="gramEnd"/>
      <w:r w:rsidR="008B4DF8" w:rsidRPr="00C1603D">
        <w:t xml:space="preserve"> which is the length of time for which the screening strategy recommendations are likely to remain relevant before newer testing techniques emerge. </w:t>
      </w:r>
      <w:commentRangeEnd w:id="406"/>
      <w:r w:rsidRPr="00C1603D">
        <w:rPr>
          <w:rFonts w:ascii="Times New Roman" w:hAnsi="Times New Roman" w:cs="Times New Roman"/>
          <w:color w:val="auto"/>
          <w:lang w:val="en-US"/>
        </w:rPr>
        <w:commentReference w:id="406"/>
      </w:r>
      <w:r w:rsidR="008B4DF8" w:rsidRPr="00C1603D">
        <w:t xml:space="preserve">The technology horizon was conservatively set at 10 years. This gives a 10-year discounted total population of 2,267,824 </w:t>
      </w:r>
      <w:r w:rsidR="00966AEE" w:rsidRPr="00C1603D">
        <w:t>for</w:t>
      </w:r>
      <w:r w:rsidR="008B4DF8" w:rsidRPr="00C1603D">
        <w:t xml:space="preserve"> adult men or adult women, and of 1,205,679 </w:t>
      </w:r>
      <w:r w:rsidR="00966AEE" w:rsidRPr="00C1603D">
        <w:t>for</w:t>
      </w:r>
      <w:r w:rsidR="008B4DF8" w:rsidRPr="00C1603D">
        <w:t xml:space="preserve"> children.</w:t>
      </w:r>
    </w:p>
    <w:p w14:paraId="6347DDC4" w14:textId="4D2707F2" w:rsidR="008B4DF8" w:rsidRPr="00C1603D" w:rsidRDefault="008B4DF8" w:rsidP="008B4DF8">
      <w:pPr>
        <w:pStyle w:val="602TextfoTextstylesTextstyles"/>
      </w:pPr>
      <w:r w:rsidRPr="00C1603D">
        <w:t>The total population EVPI over 10 years was calculated. The total population EVPPI was also calculated for all utilities and disutilities</w:t>
      </w:r>
      <w:r w:rsidR="006D71C2" w:rsidRPr="00C1603D">
        <w:t>,</w:t>
      </w:r>
      <w:r w:rsidRPr="00C1603D">
        <w:t xml:space="preserve"> all rates of osteoporosis and NHL</w:t>
      </w:r>
      <w:r w:rsidR="006D71C2" w:rsidRPr="00C1603D">
        <w:t>,</w:t>
      </w:r>
      <w:r w:rsidRPr="00C1603D">
        <w:t xml:space="preserve"> all parameters related to a gluten-free diet (i.e. utility and effects of </w:t>
      </w:r>
      <w:r w:rsidR="006D71C2" w:rsidRPr="00C1603D">
        <w:t xml:space="preserve">a </w:t>
      </w:r>
      <w:r w:rsidRPr="00C1603D">
        <w:t>gluten-free diet on NHL and osteoporosis rates)</w:t>
      </w:r>
      <w:r w:rsidR="006D71C2" w:rsidRPr="00C1603D">
        <w:t>,</w:t>
      </w:r>
      <w:r w:rsidRPr="00C1603D">
        <w:t xml:space="preserve"> sensitivity and specificity of tests used in selected strategies of interest</w:t>
      </w:r>
      <w:r w:rsidR="006D71C2" w:rsidRPr="00C1603D">
        <w:t>,</w:t>
      </w:r>
      <w:r w:rsidRPr="00C1603D">
        <w:t xml:space="preserve"> and the probability of late diagnosis.</w:t>
      </w:r>
    </w:p>
    <w:p w14:paraId="5713A149" w14:textId="77777777" w:rsidR="008B4DF8" w:rsidRPr="00C1603D" w:rsidRDefault="008B4DF8" w:rsidP="008B4DF8">
      <w:pPr>
        <w:pStyle w:val="53BheadHeadingsHeadingstyles"/>
      </w:pPr>
      <w:bookmarkStart w:id="407" w:name="_Toc87507196"/>
      <w:bookmarkStart w:id="408" w:name="_Toc99539902"/>
      <w:r w:rsidRPr="00C1603D">
        <w:t>Software</w:t>
      </w:r>
      <w:bookmarkEnd w:id="407"/>
      <w:bookmarkEnd w:id="408"/>
    </w:p>
    <w:p w14:paraId="271F5BBE" w14:textId="4842DA11" w:rsidR="008B4DF8" w:rsidRPr="00C1603D" w:rsidRDefault="008B4DF8" w:rsidP="008B4DF8">
      <w:pPr>
        <w:pStyle w:val="602TextfoTextstylesTextstyles"/>
        <w:rPr>
          <w:lang w:eastAsia="ko-KR"/>
        </w:rPr>
      </w:pPr>
      <w:r w:rsidRPr="00C1603D">
        <w:t xml:space="preserve">The model </w:t>
      </w:r>
      <w:r w:rsidR="00714B02" w:rsidRPr="00C1603D">
        <w:t>wa</w:t>
      </w:r>
      <w:r w:rsidRPr="00C1603D">
        <w:t>s implemented in the R statistical programming language</w:t>
      </w:r>
      <w:r w:rsidR="00714B02" w:rsidRPr="00C1603D">
        <w:t xml:space="preserve">; </w:t>
      </w:r>
      <w:r w:rsidRPr="00C1603D">
        <w:t>the lower</w:t>
      </w:r>
      <w:r w:rsidR="006D71C2" w:rsidRPr="00C1603D">
        <w:t>-</w:t>
      </w:r>
      <w:r w:rsidRPr="00C1603D">
        <w:t xml:space="preserve">level C/C++ programming language </w:t>
      </w:r>
      <w:r w:rsidR="00714B02" w:rsidRPr="00C1603D">
        <w:t xml:space="preserve">was used </w:t>
      </w:r>
      <w:r w:rsidRPr="00C1603D">
        <w:t>for optimisation.</w:t>
      </w:r>
      <w:r w:rsidRPr="00C1603D">
        <w:rPr>
          <w:noProof/>
          <w:vertAlign w:val="superscript"/>
        </w:rPr>
        <w:t>264</w:t>
      </w:r>
      <w:r w:rsidRPr="00C1603D">
        <w:t xml:space="preserve"> This has well</w:t>
      </w:r>
      <w:r w:rsidR="00714B02" w:rsidRPr="00C1603D">
        <w:t>-</w:t>
      </w:r>
      <w:r w:rsidRPr="00C1603D">
        <w:t>documented advantages of efficiency, transparency and flexibility over the more commonly employed Microsoft Excel</w:t>
      </w:r>
      <w:r w:rsidR="00714B02" w:rsidRPr="00C1603D">
        <w:rPr>
          <w:vertAlign w:val="superscript"/>
        </w:rPr>
        <w:t>®</w:t>
      </w:r>
      <w:r w:rsidR="00714B02" w:rsidRPr="00C1603D">
        <w:t xml:space="preserve"> (Microsoft Corporation)</w:t>
      </w:r>
      <w:r w:rsidRPr="00C1603D">
        <w:t>.</w:t>
      </w:r>
      <w:r w:rsidRPr="00C1603D">
        <w:rPr>
          <w:noProof/>
          <w:vertAlign w:val="superscript"/>
        </w:rPr>
        <w:t>265</w:t>
      </w:r>
      <w:r w:rsidRPr="00C1603D">
        <w:t xml:space="preserve"> The R package </w:t>
      </w:r>
      <w:r w:rsidR="00714B02" w:rsidRPr="00C1603D">
        <w:t>‘</w:t>
      </w:r>
      <w:r w:rsidRPr="00C1603D">
        <w:t xml:space="preserve">Bayesian </w:t>
      </w:r>
      <w:r w:rsidR="00714B02" w:rsidRPr="00C1603D">
        <w:t xml:space="preserve">cost-effectiveness analysis’ </w:t>
      </w:r>
      <w:r w:rsidRPr="00C1603D">
        <w:t xml:space="preserve">(BCEA) was used to generate CEACs and estimate EVPPI via generalised additive models for individual parameters. </w:t>
      </w:r>
      <w:r w:rsidR="00714B02" w:rsidRPr="00C1603D">
        <w:t xml:space="preserve">The </w:t>
      </w:r>
      <w:r w:rsidRPr="00C1603D">
        <w:t>BCEA</w:t>
      </w:r>
      <w:r w:rsidR="00714B02" w:rsidRPr="00C1603D">
        <w:t xml:space="preserve"> package</w:t>
      </w:r>
      <w:r w:rsidRPr="00C1603D">
        <w:t xml:space="preserve"> was also used to plot the ratios of EVPPI to EVPI for each parameter using the info.rank() function.</w:t>
      </w:r>
    </w:p>
    <w:p w14:paraId="790F42EA" w14:textId="77777777" w:rsidR="008B4DF8" w:rsidRPr="00C1603D" w:rsidRDefault="008B4DF8" w:rsidP="008B4DF8">
      <w:pPr>
        <w:pStyle w:val="53BheadHeadingsHeadingstyles"/>
      </w:pPr>
      <w:bookmarkStart w:id="409" w:name="_Toc87507197"/>
      <w:bookmarkStart w:id="410" w:name="_Toc99539903"/>
      <w:r w:rsidRPr="00C1603D">
        <w:t>Summary of modelling assumptions</w:t>
      </w:r>
      <w:bookmarkEnd w:id="409"/>
      <w:bookmarkEnd w:id="410"/>
    </w:p>
    <w:p w14:paraId="5987025E" w14:textId="23FD09B2" w:rsidR="008B4DF8" w:rsidRPr="00C1603D" w:rsidRDefault="008B4DF8" w:rsidP="008B4DF8">
      <w:pPr>
        <w:pStyle w:val="602TextfoTextstylesTextstyles"/>
      </w:pPr>
      <w:r w:rsidRPr="00C1603D">
        <w:t xml:space="preserve">A summary of modelling assumptions is provided in </w:t>
      </w:r>
      <w:r w:rsidRPr="00C1603D">
        <w:rPr>
          <w:i/>
          <w:color w:val="FF0000"/>
        </w:rPr>
        <w:t xml:space="preserve">Table </w:t>
      </w:r>
      <w:r w:rsidRPr="00C1603D">
        <w:rPr>
          <w:i/>
          <w:noProof/>
          <w:color w:val="FF0000"/>
        </w:rPr>
        <w:t>1</w:t>
      </w:r>
      <w:r w:rsidR="008A6568" w:rsidRPr="00C1603D">
        <w:rPr>
          <w:i/>
          <w:noProof/>
          <w:color w:val="FF0000"/>
        </w:rPr>
        <w:t>9</w:t>
      </w:r>
      <w:r w:rsidRPr="00C1603D">
        <w:t>.</w:t>
      </w:r>
    </w:p>
    <w:p w14:paraId="2B72B7A0" w14:textId="0F9F15ED" w:rsidR="008B4DF8" w:rsidRPr="00C1603D" w:rsidRDefault="008B4DF8" w:rsidP="008B4DF8">
      <w:pPr>
        <w:pStyle w:val="70TablelegendTablesTableFigureBoxstyles"/>
      </w:pPr>
      <w:bookmarkStart w:id="411" w:name="_Toc99720729"/>
      <w:r w:rsidRPr="00C1603D">
        <w:rPr>
          <w:b/>
        </w:rPr>
        <w:t>TABLE 1</w:t>
      </w:r>
      <w:r w:rsidR="00032460" w:rsidRPr="00C1603D">
        <w:rPr>
          <w:b/>
        </w:rPr>
        <w:t>9</w:t>
      </w:r>
      <w:r w:rsidRPr="00C1603D">
        <w:rPr>
          <w:b/>
        </w:rPr>
        <w:t> </w:t>
      </w:r>
      <w:r w:rsidRPr="00C1603D">
        <w:t>Key assumptions of the cost-effectiveness model</w:t>
      </w:r>
      <w:bookmarkEnd w:id="411"/>
    </w:p>
    <w:tbl>
      <w:tblPr>
        <w:tblW w:w="0" w:type="auto"/>
        <w:tblCellMar>
          <w:top w:w="40" w:type="dxa"/>
          <w:left w:w="60" w:type="dxa"/>
          <w:bottom w:w="40" w:type="dxa"/>
          <w:right w:w="60" w:type="dxa"/>
        </w:tblCellMar>
        <w:tblLook w:val="04A0" w:firstRow="1" w:lastRow="0" w:firstColumn="1" w:lastColumn="0" w:noHBand="0" w:noVBand="1"/>
      </w:tblPr>
      <w:tblGrid>
        <w:gridCol w:w="4669"/>
        <w:gridCol w:w="4357"/>
      </w:tblGrid>
      <w:tr w:rsidR="008B4DF8" w:rsidRPr="00C1603D" w14:paraId="14003A86" w14:textId="77777777" w:rsidTr="008264D7">
        <w:trPr>
          <w:cantSplit/>
        </w:trPr>
        <w:tc>
          <w:tcPr>
            <w:tcW w:w="0" w:type="auto"/>
            <w:shd w:val="clear" w:color="auto" w:fill="auto"/>
          </w:tcPr>
          <w:p w14:paraId="6AFB490B" w14:textId="77777777" w:rsidR="008B4DF8" w:rsidRPr="00C1603D" w:rsidRDefault="008B4DF8" w:rsidP="008264D7">
            <w:pPr>
              <w:pStyle w:val="710TableheadTablesTableFigureBoxstyles"/>
            </w:pPr>
            <w:r w:rsidRPr="00C1603D">
              <w:t>Assumption</w:t>
            </w:r>
          </w:p>
        </w:tc>
        <w:tc>
          <w:tcPr>
            <w:tcW w:w="0" w:type="auto"/>
            <w:shd w:val="clear" w:color="auto" w:fill="auto"/>
          </w:tcPr>
          <w:p w14:paraId="452E159E" w14:textId="77777777" w:rsidR="008B4DF8" w:rsidRPr="00C1603D" w:rsidRDefault="008B4DF8" w:rsidP="008264D7">
            <w:pPr>
              <w:pStyle w:val="710TableheadTablesTableFigureBoxstyles"/>
            </w:pPr>
            <w:r w:rsidRPr="00C1603D">
              <w:t>Justification</w:t>
            </w:r>
          </w:p>
        </w:tc>
      </w:tr>
      <w:tr w:rsidR="008B4DF8" w:rsidRPr="00C1603D" w14:paraId="04A11E45" w14:textId="77777777" w:rsidTr="008264D7">
        <w:trPr>
          <w:cantSplit/>
        </w:trPr>
        <w:tc>
          <w:tcPr>
            <w:tcW w:w="0" w:type="auto"/>
            <w:shd w:val="clear" w:color="auto" w:fill="auto"/>
          </w:tcPr>
          <w:p w14:paraId="67D1DE46" w14:textId="46D39D32" w:rsidR="008B4DF8" w:rsidRPr="00C1603D" w:rsidRDefault="008B4DF8" w:rsidP="008264D7">
            <w:pPr>
              <w:pStyle w:val="72TabletextTablesTableFigureBoxstyles"/>
            </w:pPr>
            <w:r w:rsidRPr="00C1603D">
              <w:t>Biopsy is not associated with any major complications or death</w:t>
            </w:r>
          </w:p>
        </w:tc>
        <w:tc>
          <w:tcPr>
            <w:tcW w:w="0" w:type="auto"/>
            <w:shd w:val="clear" w:color="auto" w:fill="auto"/>
          </w:tcPr>
          <w:p w14:paraId="79491B16" w14:textId="25EBDA33" w:rsidR="008B4DF8" w:rsidRPr="00C1603D" w:rsidRDefault="008B4DF8" w:rsidP="008264D7">
            <w:pPr>
              <w:pStyle w:val="72TabletextTablesTableFigureBoxstyles"/>
            </w:pPr>
            <w:r w:rsidRPr="00C1603D">
              <w:t xml:space="preserve">No recent studies give evidence of major complications or death. </w:t>
            </w:r>
            <w:commentRangeStart w:id="412"/>
            <w:r w:rsidRPr="00C1603D">
              <w:t xml:space="preserve">One recent study of 13,233 patients undergoing outpatient </w:t>
            </w:r>
            <w:r w:rsidR="00267212" w:rsidRPr="00C1603D">
              <w:t>O</w:t>
            </w:r>
            <w:r w:rsidRPr="00C1603D">
              <w:t>GD with biopsy over 5 years in the US</w:t>
            </w:r>
            <w:r w:rsidR="00A72A2C" w:rsidRPr="00C1603D">
              <w:t>A</w:t>
            </w:r>
            <w:r w:rsidRPr="00C1603D">
              <w:t xml:space="preserve"> concluded that no patient was admitted </w:t>
            </w:r>
            <w:r w:rsidR="00A72A2C" w:rsidRPr="00C1603D">
              <w:t>because of</w:t>
            </w:r>
            <w:r w:rsidRPr="00C1603D">
              <w:t xml:space="preserve"> complications (15). </w:t>
            </w:r>
            <w:commentRangeEnd w:id="412"/>
            <w:r w:rsidR="000F528C" w:rsidRPr="00C1603D">
              <w:rPr>
                <w:rFonts w:ascii="Times New Roman" w:hAnsi="Times New Roman" w:cs="Times New Roman"/>
                <w:color w:val="auto"/>
                <w:lang w:val="en-US"/>
              </w:rPr>
              <w:commentReference w:id="412"/>
            </w:r>
            <w:commentRangeStart w:id="413"/>
            <w:r w:rsidRPr="00C1603D">
              <w:t xml:space="preserve">Small disutility </w:t>
            </w:r>
            <w:r w:rsidR="00712E77" w:rsidRPr="00C1603D">
              <w:t>associated with</w:t>
            </w:r>
            <w:r w:rsidRPr="00C1603D">
              <w:t xml:space="preserve"> procedure and waiting time for diagnosis</w:t>
            </w:r>
            <w:commentRangeEnd w:id="413"/>
            <w:r w:rsidR="00712E77" w:rsidRPr="00C1603D">
              <w:rPr>
                <w:rFonts w:ascii="Times New Roman" w:hAnsi="Times New Roman" w:cs="Times New Roman"/>
                <w:color w:val="auto"/>
                <w:lang w:val="en-US"/>
              </w:rPr>
              <w:commentReference w:id="413"/>
            </w:r>
          </w:p>
        </w:tc>
      </w:tr>
      <w:tr w:rsidR="008B4DF8" w:rsidRPr="00C1603D" w14:paraId="1400ABE5" w14:textId="77777777" w:rsidTr="008264D7">
        <w:trPr>
          <w:cantSplit/>
        </w:trPr>
        <w:tc>
          <w:tcPr>
            <w:tcW w:w="0" w:type="auto"/>
            <w:shd w:val="clear" w:color="auto" w:fill="auto"/>
          </w:tcPr>
          <w:p w14:paraId="3412F989" w14:textId="77777777" w:rsidR="008B4DF8" w:rsidRPr="00C1603D" w:rsidRDefault="008B4DF8" w:rsidP="008264D7">
            <w:pPr>
              <w:pStyle w:val="72TabletextTablesTableFigureBoxstyles"/>
            </w:pPr>
            <w:r w:rsidRPr="00C1603D">
              <w:t>Biopsy is perfectly accurate</w:t>
            </w:r>
          </w:p>
        </w:tc>
        <w:tc>
          <w:tcPr>
            <w:tcW w:w="0" w:type="auto"/>
            <w:shd w:val="clear" w:color="auto" w:fill="auto"/>
          </w:tcPr>
          <w:p w14:paraId="56FBC6A6" w14:textId="3BB61C4C" w:rsidR="008B4DF8" w:rsidRPr="00C1603D" w:rsidRDefault="008B4DF8" w:rsidP="008264D7">
            <w:pPr>
              <w:pStyle w:val="72TabletextTablesTableFigureBoxstyles"/>
            </w:pPr>
            <w:r w:rsidRPr="00C1603D">
              <w:t xml:space="preserve">In reality, </w:t>
            </w:r>
            <w:r w:rsidR="006924E4" w:rsidRPr="00C1603D">
              <w:t xml:space="preserve">a </w:t>
            </w:r>
            <w:r w:rsidRPr="00C1603D">
              <w:t>biopsy will not always provide perfect results</w:t>
            </w:r>
            <w:r w:rsidR="006924E4" w:rsidRPr="00C1603D">
              <w:t>;</w:t>
            </w:r>
            <w:r w:rsidRPr="00C1603D">
              <w:t xml:space="preserve"> however</w:t>
            </w:r>
            <w:r w:rsidR="00263289" w:rsidRPr="00C1603D">
              <w:t>,</w:t>
            </w:r>
            <w:r w:rsidRPr="00C1603D">
              <w:t xml:space="preserve"> it is the current gold standard and people are treated on the basis of their biopsy results. </w:t>
            </w:r>
            <w:commentRangeStart w:id="414"/>
            <w:r w:rsidRPr="00C1603D">
              <w:t xml:space="preserve">The </w:t>
            </w:r>
            <w:r w:rsidR="00BA3C20" w:rsidRPr="00C1603D">
              <w:t>2015</w:t>
            </w:r>
            <w:r w:rsidRPr="00C1603D">
              <w:t xml:space="preserve"> NICE health economic analysis</w:t>
            </w:r>
            <w:r w:rsidR="00BA3C20" w:rsidRPr="00C1603D">
              <w:rPr>
                <w:vertAlign w:val="superscript"/>
              </w:rPr>
              <w:t>198</w:t>
            </w:r>
            <w:r w:rsidRPr="00C1603D">
              <w:t xml:space="preserve"> of screening strategies also made this assumption</w:t>
            </w:r>
            <w:commentRangeEnd w:id="414"/>
            <w:r w:rsidR="00BA3C20" w:rsidRPr="00C1603D">
              <w:rPr>
                <w:rFonts w:ascii="Times New Roman" w:hAnsi="Times New Roman" w:cs="Times New Roman"/>
                <w:color w:val="auto"/>
                <w:lang w:val="en-US"/>
              </w:rPr>
              <w:commentReference w:id="414"/>
            </w:r>
          </w:p>
        </w:tc>
      </w:tr>
      <w:tr w:rsidR="008B4DF8" w:rsidRPr="00C1603D" w14:paraId="34F41689" w14:textId="77777777" w:rsidTr="008264D7">
        <w:trPr>
          <w:cantSplit/>
        </w:trPr>
        <w:tc>
          <w:tcPr>
            <w:tcW w:w="0" w:type="auto"/>
            <w:shd w:val="clear" w:color="auto" w:fill="auto"/>
          </w:tcPr>
          <w:p w14:paraId="78CF1EA5" w14:textId="66991A8C" w:rsidR="008B4DF8" w:rsidRPr="00C1603D" w:rsidRDefault="008B4DF8" w:rsidP="008264D7">
            <w:pPr>
              <w:pStyle w:val="72TabletextTablesTableFigureBoxstyles"/>
            </w:pPr>
            <w:r w:rsidRPr="00C1603D">
              <w:lastRenderedPageBreak/>
              <w:t xml:space="preserve">It is assumed that some percentage of undiagnosed patients are diagnosed through routine care </w:t>
            </w:r>
            <w:commentRangeStart w:id="415"/>
            <w:r w:rsidRPr="00C1603D">
              <w:t>and that some the percentage of patients being diagnosed with CD after screening (i.e. initially missed) requiring a confirmatory biopsy before diagnosis is 70% in late diagnosis</w:t>
            </w:r>
            <w:commentRangeEnd w:id="415"/>
            <w:r w:rsidR="00BA3C20" w:rsidRPr="00C1603D">
              <w:rPr>
                <w:rFonts w:ascii="Times New Roman" w:hAnsi="Times New Roman" w:cs="Times New Roman"/>
                <w:color w:val="auto"/>
                <w:lang w:val="en-US"/>
              </w:rPr>
              <w:commentReference w:id="415"/>
            </w:r>
          </w:p>
        </w:tc>
        <w:tc>
          <w:tcPr>
            <w:tcW w:w="0" w:type="auto"/>
            <w:shd w:val="clear" w:color="auto" w:fill="auto"/>
          </w:tcPr>
          <w:p w14:paraId="3CD79175" w14:textId="7BEBB2F7" w:rsidR="008B4DF8" w:rsidRPr="00C1603D" w:rsidRDefault="008B4DF8" w:rsidP="008264D7">
            <w:pPr>
              <w:pStyle w:val="72TabletextTablesTableFigureBoxstyles"/>
            </w:pPr>
            <w:r w:rsidRPr="00C1603D">
              <w:t>Based on clinical advice that 30%, with a plausible range, of patients diagnosed with CD do not require a confirmatory biopsy. This is in accordance with recent research indicating high diagnostic accuracy of tests alone</w:t>
            </w:r>
            <w:r w:rsidRPr="00C1603D">
              <w:rPr>
                <w:noProof/>
                <w:vertAlign w:val="superscript"/>
              </w:rPr>
              <w:t>223</w:t>
            </w:r>
            <w:r w:rsidRPr="00C1603D">
              <w:rPr>
                <w:noProof/>
                <w:color w:val="00B0F0"/>
                <w:vertAlign w:val="superscript"/>
              </w:rPr>
              <w:t>–2</w:t>
            </w:r>
            <w:r w:rsidRPr="00C1603D">
              <w:rPr>
                <w:noProof/>
                <w:vertAlign w:val="superscript"/>
              </w:rPr>
              <w:t>26</w:t>
            </w:r>
          </w:p>
        </w:tc>
      </w:tr>
      <w:tr w:rsidR="00BA3C20" w:rsidRPr="00C1603D" w14:paraId="611200F7" w14:textId="77777777" w:rsidTr="00BA3C20">
        <w:trPr>
          <w:cantSplit/>
          <w:trHeight w:val="378"/>
        </w:trPr>
        <w:tc>
          <w:tcPr>
            <w:tcW w:w="0" w:type="auto"/>
            <w:shd w:val="clear" w:color="auto" w:fill="auto"/>
          </w:tcPr>
          <w:p w14:paraId="1DD84679" w14:textId="1F9EADF7" w:rsidR="00BA3C20" w:rsidRPr="00C1603D" w:rsidRDefault="00BA3C20" w:rsidP="008264D7">
            <w:pPr>
              <w:pStyle w:val="72TabletextTablesTableFigureBoxstyles"/>
            </w:pPr>
            <w:r w:rsidRPr="00C1603D">
              <w:t xml:space="preserve">The only additional cost incurred by people with a false-positive diagnosis of CD is the cost of a gluten-free diet for </w:t>
            </w:r>
            <w:proofErr w:type="gramStart"/>
            <w:r w:rsidRPr="00C1603D">
              <w:t>a short period</w:t>
            </w:r>
            <w:proofErr w:type="gramEnd"/>
            <w:r w:rsidRPr="00C1603D">
              <w:t xml:space="preserve"> of time</w:t>
            </w:r>
          </w:p>
        </w:tc>
        <w:tc>
          <w:tcPr>
            <w:tcW w:w="0" w:type="auto"/>
            <w:vMerge w:val="restart"/>
            <w:shd w:val="clear" w:color="auto" w:fill="auto"/>
          </w:tcPr>
          <w:p w14:paraId="0D145BCA" w14:textId="6AB7269C" w:rsidR="00BA3C20" w:rsidRPr="00C1603D" w:rsidRDefault="00BA3C20" w:rsidP="008264D7">
            <w:pPr>
              <w:pStyle w:val="72TabletextTablesTableFigureBoxstyles"/>
            </w:pPr>
            <w:r w:rsidRPr="00C1603D">
              <w:t>Patients without CD who are screened for CD are assumed not to have costs or health outcomes that are different from those of other non-CD patients who were not screened for CD. As such, we model only the long-term consequences of patients who have CD (whether diagnosed or undiagnosed)</w:t>
            </w:r>
          </w:p>
        </w:tc>
      </w:tr>
      <w:tr w:rsidR="00BA3C20" w:rsidRPr="00C1603D" w14:paraId="763320EB" w14:textId="77777777" w:rsidTr="008264D7">
        <w:trPr>
          <w:cantSplit/>
          <w:trHeight w:val="377"/>
        </w:trPr>
        <w:tc>
          <w:tcPr>
            <w:tcW w:w="0" w:type="auto"/>
            <w:shd w:val="clear" w:color="auto" w:fill="auto"/>
          </w:tcPr>
          <w:p w14:paraId="542E3248" w14:textId="417AA7FC" w:rsidR="00BA3C20" w:rsidRPr="00C1603D" w:rsidRDefault="00BA3C20" w:rsidP="008264D7">
            <w:pPr>
              <w:pStyle w:val="72TabletextTablesTableFigureBoxstyles"/>
            </w:pPr>
            <w:r w:rsidRPr="00C1603D">
              <w:t>No further costs are incurred by people with a true-negative diagnosis</w:t>
            </w:r>
          </w:p>
        </w:tc>
        <w:tc>
          <w:tcPr>
            <w:tcW w:w="0" w:type="auto"/>
            <w:vMerge/>
            <w:shd w:val="clear" w:color="auto" w:fill="auto"/>
          </w:tcPr>
          <w:p w14:paraId="0B4BCE39" w14:textId="77777777" w:rsidR="00BA3C20" w:rsidRPr="00C1603D" w:rsidRDefault="00BA3C20" w:rsidP="008264D7">
            <w:pPr>
              <w:pStyle w:val="72TabletextTablesTableFigureBoxstyles"/>
            </w:pPr>
          </w:p>
        </w:tc>
      </w:tr>
      <w:tr w:rsidR="008B4DF8" w:rsidRPr="00C1603D" w14:paraId="6C92703D" w14:textId="77777777" w:rsidTr="008264D7">
        <w:trPr>
          <w:cantSplit/>
        </w:trPr>
        <w:tc>
          <w:tcPr>
            <w:tcW w:w="0" w:type="auto"/>
            <w:shd w:val="clear" w:color="auto" w:fill="auto"/>
          </w:tcPr>
          <w:p w14:paraId="0ABBE07F" w14:textId="370789FD" w:rsidR="008B4DF8" w:rsidRPr="00C1603D" w:rsidRDefault="008B4DF8" w:rsidP="008264D7">
            <w:pPr>
              <w:pStyle w:val="72TabletextTablesTableFigureBoxstyles"/>
            </w:pPr>
            <w:r w:rsidRPr="00C1603D">
              <w:t>NHL is associated with a one-off lifetime cost of £18,396 (</w:t>
            </w:r>
            <w:r w:rsidR="00BA3C20" w:rsidRPr="00C1603D">
              <w:t>£</w:t>
            </w:r>
            <w:r w:rsidRPr="00C1603D">
              <w:t>18,377–18,415) with a log</w:t>
            </w:r>
            <w:r w:rsidR="00D8216D" w:rsidRPr="00C1603D">
              <w:t>-</w:t>
            </w:r>
            <w:r w:rsidRPr="00C1603D">
              <w:t>normal distribution</w:t>
            </w:r>
          </w:p>
        </w:tc>
        <w:tc>
          <w:tcPr>
            <w:tcW w:w="0" w:type="auto"/>
            <w:shd w:val="clear" w:color="auto" w:fill="auto"/>
          </w:tcPr>
          <w:p w14:paraId="64A016AA" w14:textId="3AE01E29" w:rsidR="008B4DF8" w:rsidRPr="00C1603D" w:rsidRDefault="008B4DF8" w:rsidP="008264D7">
            <w:pPr>
              <w:pStyle w:val="72TabletextTablesTableFigureBoxstyles"/>
            </w:pPr>
            <w:r w:rsidRPr="00C1603D">
              <w:t xml:space="preserve">Treatment for NHL is usually complete within 5 years, with most costs estimated to fall within 5 years. The model </w:t>
            </w:r>
            <w:r w:rsidR="00BA3C20" w:rsidRPr="00C1603D">
              <w:t xml:space="preserve">was </w:t>
            </w:r>
            <w:r w:rsidRPr="00C1603D">
              <w:t xml:space="preserve">used to estimate </w:t>
            </w:r>
            <w:r w:rsidR="00BA3C20" w:rsidRPr="00C1603D">
              <w:t xml:space="preserve">the </w:t>
            </w:r>
            <w:r w:rsidRPr="00C1603D">
              <w:t xml:space="preserve">cost factors </w:t>
            </w:r>
            <w:r w:rsidR="00BA3C20" w:rsidRPr="00C1603D">
              <w:t>of</w:t>
            </w:r>
            <w:r w:rsidRPr="00C1603D">
              <w:t xml:space="preserve"> different survival times when estimating the treatment costs, so patients would incur fewer costs if they died within a shorter time</w:t>
            </w:r>
          </w:p>
        </w:tc>
      </w:tr>
      <w:tr w:rsidR="008B4DF8" w:rsidRPr="00C1603D" w14:paraId="76D25E63" w14:textId="77777777" w:rsidTr="008264D7">
        <w:trPr>
          <w:cantSplit/>
        </w:trPr>
        <w:tc>
          <w:tcPr>
            <w:tcW w:w="0" w:type="auto"/>
            <w:shd w:val="clear" w:color="auto" w:fill="auto"/>
          </w:tcPr>
          <w:p w14:paraId="48E8D75C" w14:textId="42F1CF14" w:rsidR="008B4DF8" w:rsidRPr="00C1603D" w:rsidRDefault="008B4DF8" w:rsidP="008264D7">
            <w:pPr>
              <w:pStyle w:val="72TabletextTablesTableFigureBoxstyles"/>
            </w:pPr>
            <w:r w:rsidRPr="00C1603D">
              <w:t>Annual cost/disutility of osteoporosis is equal to annual probability of hip, vertebral and wrist fracture</w:t>
            </w:r>
            <w:r w:rsidR="00BA3C20" w:rsidRPr="00C1603D">
              <w:t>s</w:t>
            </w:r>
            <w:r w:rsidRPr="00C1603D">
              <w:t xml:space="preserve"> multiplied by cost/disutility of each type of fracture</w:t>
            </w:r>
          </w:p>
        </w:tc>
        <w:tc>
          <w:tcPr>
            <w:tcW w:w="0" w:type="auto"/>
            <w:shd w:val="clear" w:color="auto" w:fill="auto"/>
          </w:tcPr>
          <w:p w14:paraId="279AC05C" w14:textId="739D3F16" w:rsidR="008B4DF8" w:rsidRPr="00C1603D" w:rsidRDefault="008B4DF8" w:rsidP="008264D7">
            <w:pPr>
              <w:pStyle w:val="72TabletextTablesTableFigureBoxstyles"/>
            </w:pPr>
            <w:r w:rsidRPr="00C1603D">
              <w:t>This is the approach taken in the NICE model.</w:t>
            </w:r>
            <w:r w:rsidR="00BA3C20" w:rsidRPr="00C1603D">
              <w:rPr>
                <w:vertAlign w:val="superscript"/>
              </w:rPr>
              <w:t>198</w:t>
            </w:r>
            <w:r w:rsidRPr="00C1603D">
              <w:t xml:space="preserve"> The cost and disutility of osteoporosis </w:t>
            </w:r>
            <w:proofErr w:type="gramStart"/>
            <w:r w:rsidRPr="00C1603D">
              <w:t>mainly relates</w:t>
            </w:r>
            <w:proofErr w:type="gramEnd"/>
            <w:r w:rsidRPr="00C1603D">
              <w:t xml:space="preserve"> to the risk of fracture, of which hip, vertebral and wrist are common types</w:t>
            </w:r>
          </w:p>
        </w:tc>
      </w:tr>
      <w:tr w:rsidR="008B4DF8" w:rsidRPr="00C1603D" w14:paraId="23B106AD" w14:textId="77777777" w:rsidTr="008264D7">
        <w:trPr>
          <w:cantSplit/>
        </w:trPr>
        <w:tc>
          <w:tcPr>
            <w:tcW w:w="0" w:type="auto"/>
            <w:shd w:val="clear" w:color="auto" w:fill="auto"/>
          </w:tcPr>
          <w:p w14:paraId="7F7BFB6A" w14:textId="4F44E136" w:rsidR="008B4DF8" w:rsidRPr="00C1603D" w:rsidRDefault="008B4DF8" w:rsidP="008264D7">
            <w:pPr>
              <w:pStyle w:val="72TabletextTablesTableFigureBoxstyles"/>
            </w:pPr>
            <w:r w:rsidRPr="00C1603D">
              <w:t xml:space="preserve">Treatment for IDA </w:t>
            </w:r>
            <w:r w:rsidR="00BA3C20" w:rsidRPr="00C1603D">
              <w:t>among</w:t>
            </w:r>
            <w:r w:rsidRPr="00C1603D">
              <w:t xml:space="preserve"> CD patients is by over-the-counter iron tablets only.</w:t>
            </w:r>
          </w:p>
        </w:tc>
        <w:tc>
          <w:tcPr>
            <w:tcW w:w="0" w:type="auto"/>
            <w:shd w:val="clear" w:color="auto" w:fill="auto"/>
          </w:tcPr>
          <w:p w14:paraId="526910A9" w14:textId="77777777" w:rsidR="008B4DF8" w:rsidRPr="00C1603D" w:rsidRDefault="008B4DF8" w:rsidP="008264D7">
            <w:pPr>
              <w:pStyle w:val="72TabletextTablesTableFigureBoxstyles"/>
            </w:pPr>
            <w:r w:rsidRPr="00C1603D">
              <w:t>This was based on clinical opinion</w:t>
            </w:r>
          </w:p>
        </w:tc>
      </w:tr>
      <w:tr w:rsidR="008B4DF8" w:rsidRPr="00C1603D" w14:paraId="767C8751" w14:textId="77777777" w:rsidTr="008264D7">
        <w:trPr>
          <w:cantSplit/>
        </w:trPr>
        <w:tc>
          <w:tcPr>
            <w:tcW w:w="0" w:type="auto"/>
            <w:shd w:val="clear" w:color="auto" w:fill="auto"/>
          </w:tcPr>
          <w:p w14:paraId="5959E82C" w14:textId="3C7F101D" w:rsidR="008B4DF8" w:rsidRPr="00C1603D" w:rsidRDefault="008B4DF8" w:rsidP="008264D7">
            <w:pPr>
              <w:pStyle w:val="72TabletextTablesTableFigureBoxstyles"/>
            </w:pPr>
            <w:commentRangeStart w:id="416"/>
            <w:r w:rsidRPr="00C1603D">
              <w:t>IDA disutility is already captured in utility values for undiagnosed CD/diagnosed CD sourced from Violato</w:t>
            </w:r>
            <w:r w:rsidR="00BA3C20" w:rsidRPr="00C1603D">
              <w:t xml:space="preserve"> and Gray</w:t>
            </w:r>
            <w:r w:rsidR="00BA3C20" w:rsidRPr="00C1603D">
              <w:rPr>
                <w:vertAlign w:val="superscript"/>
              </w:rPr>
              <w:t>238</w:t>
            </w:r>
            <w:r w:rsidR="00BA3C20" w:rsidRPr="00C1603D">
              <w:t xml:space="preserve"> </w:t>
            </w:r>
            <w:r w:rsidRPr="00C1603D">
              <w:t>(26)</w:t>
            </w:r>
            <w:commentRangeEnd w:id="416"/>
            <w:r w:rsidR="00BA3C20" w:rsidRPr="00C1603D">
              <w:rPr>
                <w:rFonts w:ascii="Times New Roman" w:hAnsi="Times New Roman" w:cs="Times New Roman"/>
                <w:color w:val="auto"/>
                <w:lang w:val="en-US"/>
              </w:rPr>
              <w:commentReference w:id="416"/>
            </w:r>
          </w:p>
        </w:tc>
        <w:tc>
          <w:tcPr>
            <w:tcW w:w="0" w:type="auto"/>
            <w:shd w:val="clear" w:color="auto" w:fill="auto"/>
          </w:tcPr>
          <w:p w14:paraId="692CCB34" w14:textId="11BD9F82" w:rsidR="008B4DF8" w:rsidRPr="00C1603D" w:rsidRDefault="008B4DF8" w:rsidP="008264D7">
            <w:pPr>
              <w:pStyle w:val="72TabletextTablesTableFigureBoxstyles"/>
            </w:pPr>
            <w:r w:rsidRPr="00C1603D">
              <w:t>Violato</w:t>
            </w:r>
            <w:r w:rsidR="00BA3C20" w:rsidRPr="00C1603D">
              <w:t xml:space="preserve"> and Gray</w:t>
            </w:r>
            <w:r w:rsidR="00BA3C20" w:rsidRPr="00C1603D">
              <w:rPr>
                <w:vertAlign w:val="superscript"/>
              </w:rPr>
              <w:t>238</w:t>
            </w:r>
            <w:r w:rsidR="00BA3C20" w:rsidRPr="00C1603D">
              <w:t xml:space="preserve"> </w:t>
            </w:r>
            <w:r w:rsidRPr="00C1603D">
              <w:t xml:space="preserve">reported that 64.8% of their population had anaemia prior to diagnosis and 14.5% </w:t>
            </w:r>
            <w:r w:rsidR="00BA3C20" w:rsidRPr="00C1603D">
              <w:t xml:space="preserve">had anaemia </w:t>
            </w:r>
            <w:r w:rsidRPr="00C1603D">
              <w:t>after</w:t>
            </w:r>
          </w:p>
        </w:tc>
      </w:tr>
      <w:tr w:rsidR="008B4DF8" w:rsidRPr="00C1603D" w14:paraId="6A41F66F" w14:textId="77777777" w:rsidTr="008264D7">
        <w:trPr>
          <w:cantSplit/>
        </w:trPr>
        <w:tc>
          <w:tcPr>
            <w:tcW w:w="0" w:type="auto"/>
            <w:shd w:val="clear" w:color="auto" w:fill="auto"/>
          </w:tcPr>
          <w:p w14:paraId="2260312E" w14:textId="3CD43346" w:rsidR="008B4DF8" w:rsidRPr="00C1603D" w:rsidRDefault="008B4DF8" w:rsidP="008264D7">
            <w:pPr>
              <w:pStyle w:val="72TabletextTablesTableFigureBoxstyles"/>
            </w:pPr>
            <w:r w:rsidRPr="00C1603D">
              <w:t>Mortality in model is equal to general population mortality</w:t>
            </w:r>
            <w:r w:rsidR="00BA3C20" w:rsidRPr="00C1603D">
              <w:t>,</w:t>
            </w:r>
            <w:r w:rsidRPr="00C1603D">
              <w:t xml:space="preserve"> with excess mortality assigned to patients who develop NHL or osteoporosis</w:t>
            </w:r>
          </w:p>
        </w:tc>
        <w:tc>
          <w:tcPr>
            <w:tcW w:w="0" w:type="auto"/>
            <w:shd w:val="clear" w:color="auto" w:fill="auto"/>
          </w:tcPr>
          <w:p w14:paraId="5F4B63D6" w14:textId="77777777" w:rsidR="008B4DF8" w:rsidRPr="00C1603D" w:rsidRDefault="008B4DF8" w:rsidP="008264D7">
            <w:pPr>
              <w:pStyle w:val="72TabletextTablesTableFigureBoxstyles"/>
            </w:pPr>
          </w:p>
        </w:tc>
      </w:tr>
      <w:tr w:rsidR="008B4DF8" w:rsidRPr="00C1603D" w14:paraId="09491666" w14:textId="77777777" w:rsidTr="008264D7">
        <w:trPr>
          <w:cantSplit/>
        </w:trPr>
        <w:tc>
          <w:tcPr>
            <w:tcW w:w="0" w:type="auto"/>
            <w:shd w:val="clear" w:color="auto" w:fill="auto"/>
          </w:tcPr>
          <w:p w14:paraId="7F97FD87" w14:textId="0F2E1B61" w:rsidR="008B4DF8" w:rsidRPr="00C1603D" w:rsidRDefault="008B4DF8" w:rsidP="008264D7">
            <w:pPr>
              <w:pStyle w:val="72TabletextTablesTableFigureBoxstyles"/>
            </w:pPr>
            <w:r w:rsidRPr="00C1603D">
              <w:t>To get to a diagnosis of CD</w:t>
            </w:r>
            <w:r w:rsidR="00BA3C20" w:rsidRPr="00C1603D">
              <w:t>,</w:t>
            </w:r>
            <w:r w:rsidRPr="00C1603D">
              <w:t xml:space="preserve"> a person</w:t>
            </w:r>
            <w:r w:rsidRPr="00C1603D">
              <w:rPr>
                <w:color w:val="00B0F0"/>
              </w:rPr>
              <w:t>’</w:t>
            </w:r>
            <w:r w:rsidRPr="00C1603D">
              <w:t xml:space="preserve">s first appointment is with </w:t>
            </w:r>
            <w:r w:rsidR="00BA2D57" w:rsidRPr="00C1603D">
              <w:t xml:space="preserve">either </w:t>
            </w:r>
            <w:r w:rsidRPr="00C1603D">
              <w:t xml:space="preserve">a </w:t>
            </w:r>
            <w:r w:rsidR="00BA3C20" w:rsidRPr="00C1603D">
              <w:t>n</w:t>
            </w:r>
            <w:r w:rsidRPr="00C1603D">
              <w:t>urse or a GP, with a 50% chance of this being with one or the other. This is followed by an appointment with a phlebotomist/nurse and then by another GP appointment. Following that, a patient has</w:t>
            </w:r>
            <w:r w:rsidR="00BA2D57" w:rsidRPr="00C1603D">
              <w:t>,</w:t>
            </w:r>
            <w:r w:rsidRPr="00C1603D">
              <w:t xml:space="preserve"> on average</w:t>
            </w:r>
            <w:r w:rsidR="00BA2D57" w:rsidRPr="00C1603D">
              <w:t>,</w:t>
            </w:r>
            <w:r w:rsidRPr="00C1603D">
              <w:t xml:space="preserve"> one gastroenterologist and two </w:t>
            </w:r>
            <w:r w:rsidRPr="00C1603D">
              <w:rPr>
                <w:color w:val="00B0F0"/>
              </w:rPr>
              <w:t>dietitian</w:t>
            </w:r>
            <w:r w:rsidRPr="00C1603D">
              <w:t xml:space="preserve"> appointments before diagnosis</w:t>
            </w:r>
          </w:p>
        </w:tc>
        <w:tc>
          <w:tcPr>
            <w:tcW w:w="0" w:type="auto"/>
            <w:shd w:val="clear" w:color="auto" w:fill="auto"/>
          </w:tcPr>
          <w:p w14:paraId="04E611E4" w14:textId="2B303E41" w:rsidR="008B4DF8" w:rsidRPr="00C1603D" w:rsidRDefault="008B4DF8" w:rsidP="008264D7">
            <w:pPr>
              <w:pStyle w:val="72TabletextTablesTableFigureBoxstyles"/>
            </w:pPr>
            <w:r w:rsidRPr="00C1603D">
              <w:t>This was the most common route to diagnosis</w:t>
            </w:r>
            <w:r w:rsidR="00BA2D57" w:rsidRPr="00C1603D">
              <w:t>,</w:t>
            </w:r>
            <w:r w:rsidRPr="00C1603D">
              <w:t xml:space="preserve"> as agreed by clinicians and patients on </w:t>
            </w:r>
            <w:r w:rsidR="00BA2D57" w:rsidRPr="00C1603D">
              <w:t xml:space="preserve">the </w:t>
            </w:r>
            <w:r w:rsidRPr="00C1603D">
              <w:t>research team</w:t>
            </w:r>
          </w:p>
        </w:tc>
      </w:tr>
    </w:tbl>
    <w:p w14:paraId="53ECEDDE" w14:textId="77777777" w:rsidR="008B4DF8" w:rsidRPr="00C1603D" w:rsidRDefault="008B4DF8" w:rsidP="008B4DF8">
      <w:pPr>
        <w:pStyle w:val="53BheadHeadingsHeadingstyles"/>
      </w:pPr>
      <w:bookmarkStart w:id="417" w:name="_Toc87507198"/>
      <w:bookmarkStart w:id="418" w:name="_Toc99539904"/>
      <w:r w:rsidRPr="00C1603D">
        <w:t>Results</w:t>
      </w:r>
      <w:bookmarkEnd w:id="417"/>
      <w:bookmarkEnd w:id="418"/>
    </w:p>
    <w:p w14:paraId="436E3AEF" w14:textId="65193730" w:rsidR="008B4DF8" w:rsidRPr="00C1603D" w:rsidRDefault="008B4DF8" w:rsidP="00BA2D57">
      <w:pPr>
        <w:pStyle w:val="602TextfoTextstylesTextstyles"/>
      </w:pPr>
      <w:r w:rsidRPr="00C1603D">
        <w:t xml:space="preserve">In this section we present all </w:t>
      </w:r>
      <w:r w:rsidR="005E660E" w:rsidRPr="00C1603D">
        <w:t xml:space="preserve">the </w:t>
      </w:r>
      <w:r w:rsidRPr="00C1603D">
        <w:t xml:space="preserve">results of the cost-effectiveness analysis of case-finding strategies </w:t>
      </w:r>
      <w:r w:rsidR="005E660E" w:rsidRPr="00C1603D">
        <w:t>for</w:t>
      </w:r>
      <w:r w:rsidRPr="00C1603D">
        <w:t xml:space="preserve"> adult men, adult women and children.</w:t>
      </w:r>
    </w:p>
    <w:p w14:paraId="76D7C221" w14:textId="77777777" w:rsidR="008B4DF8" w:rsidRPr="00C1603D" w:rsidRDefault="008B4DF8" w:rsidP="008B4DF8">
      <w:pPr>
        <w:pStyle w:val="54CheadHeadingsHeadingstyles"/>
      </w:pPr>
      <w:bookmarkStart w:id="419" w:name="_Toc87507199"/>
      <w:r w:rsidRPr="00C1603D">
        <w:t>Adult men</w:t>
      </w:r>
      <w:bookmarkEnd w:id="419"/>
    </w:p>
    <w:p w14:paraId="4E3F6DFD" w14:textId="7D839419" w:rsidR="008B4DF8" w:rsidRPr="00C1603D" w:rsidRDefault="008B4DF8" w:rsidP="008B4DF8">
      <w:pPr>
        <w:pStyle w:val="602TextfoTextstylesTextstyles"/>
      </w:pPr>
      <w:r w:rsidRPr="00C1603D">
        <w:t xml:space="preserve">We first compared a range of combinations of sensitivities and specificities for a hypothetical diagnostic indicator (or indicator combinations) in </w:t>
      </w:r>
      <w:r w:rsidR="005E660E" w:rsidRPr="00C1603D">
        <w:t xml:space="preserve">population of </w:t>
      </w:r>
      <w:r w:rsidRPr="00C1603D">
        <w:t xml:space="preserve">the adult men. </w:t>
      </w:r>
      <w:r w:rsidRPr="00C1603D">
        <w:rPr>
          <w:i/>
          <w:color w:val="FF0000"/>
        </w:rPr>
        <w:t xml:space="preserve">Figure </w:t>
      </w:r>
      <w:r w:rsidRPr="00C1603D">
        <w:rPr>
          <w:i/>
          <w:noProof/>
          <w:color w:val="FF0000"/>
        </w:rPr>
        <w:t>14</w:t>
      </w:r>
      <w:r w:rsidRPr="00C1603D">
        <w:t xml:space="preserve"> plots the incremental net benefit at £20,000</w:t>
      </w:r>
      <w:r w:rsidR="005E660E" w:rsidRPr="00C1603D">
        <w:t xml:space="preserve"> per </w:t>
      </w:r>
      <w:r w:rsidRPr="00C1603D">
        <w:t xml:space="preserve">QALY of each sensitivity/specificity combination of an indicator combined with each serological testing strategy, compared </w:t>
      </w:r>
      <w:r w:rsidR="001E1E68" w:rsidRPr="00C1603D">
        <w:t>with</w:t>
      </w:r>
      <w:r w:rsidRPr="00C1603D">
        <w:t xml:space="preserve"> no screening, </w:t>
      </w:r>
      <w:r w:rsidR="001E1E68" w:rsidRPr="00C1603D">
        <w:t>among</w:t>
      </w:r>
      <w:r w:rsidRPr="00C1603D">
        <w:t xml:space="preserve"> adult men. </w:t>
      </w:r>
      <w:commentRangeStart w:id="420"/>
      <w:r w:rsidRPr="00C1603D">
        <w:t>The central estimates are the mean incremental net benefit</w:t>
      </w:r>
      <w:r w:rsidR="001C2197" w:rsidRPr="00C1603D">
        <w:t>,</w:t>
      </w:r>
      <w:r w:rsidRPr="00C1603D">
        <w:t xml:space="preserve"> with the upper and lower </w:t>
      </w:r>
      <w:r w:rsidR="00FE01C9" w:rsidRPr="00C1603D">
        <w:t>CI</w:t>
      </w:r>
      <w:r w:rsidRPr="00C1603D">
        <w:t>s represented by the upper and lower lines.</w:t>
      </w:r>
      <w:commentRangeEnd w:id="420"/>
      <w:r w:rsidR="00672208" w:rsidRPr="00C1603D">
        <w:rPr>
          <w:rFonts w:ascii="Times New Roman" w:hAnsi="Times New Roman" w:cs="Times New Roman"/>
          <w:color w:val="auto"/>
          <w:lang w:val="en-US"/>
        </w:rPr>
        <w:commentReference w:id="420"/>
      </w:r>
    </w:p>
    <w:p w14:paraId="726B6271" w14:textId="754C50CE" w:rsidR="008B4DF8" w:rsidRPr="00C1603D" w:rsidRDefault="008B4DF8" w:rsidP="008B4DF8">
      <w:pPr>
        <w:pStyle w:val="81FigurelegendTableFigureBoxstyles"/>
        <w:rPr>
          <w:rFonts w:cs="Calibri"/>
        </w:rPr>
      </w:pPr>
      <w:bookmarkStart w:id="421" w:name="_Toc99720795"/>
      <w:commentRangeStart w:id="422"/>
      <w:r w:rsidRPr="00C1603D">
        <w:rPr>
          <w:b/>
        </w:rPr>
        <w:t>FIGURE 14</w:t>
      </w:r>
      <w:r w:rsidRPr="00C1603D">
        <w:rPr>
          <w:b/>
        </w:rPr>
        <w:t> </w:t>
      </w:r>
      <w:r w:rsidRPr="00C1603D">
        <w:t>Incremental net benefit at £20,000</w:t>
      </w:r>
      <w:r w:rsidR="001E1E68" w:rsidRPr="00C1603D">
        <w:t xml:space="preserve"> per </w:t>
      </w:r>
      <w:r w:rsidRPr="00C1603D">
        <w:t>QALY</w:t>
      </w:r>
      <w:r w:rsidR="001E1E68" w:rsidRPr="00C1603D">
        <w:t>,</w:t>
      </w:r>
      <w:r w:rsidRPr="00C1603D">
        <w:t xml:space="preserve"> compared </w:t>
      </w:r>
      <w:r w:rsidR="001E1E68" w:rsidRPr="00C1603D">
        <w:t>with</w:t>
      </w:r>
      <w:r w:rsidRPr="00C1603D">
        <w:t xml:space="preserve"> no screening</w:t>
      </w:r>
      <w:r w:rsidR="00A42F5C" w:rsidRPr="00C1603D">
        <w:t>,</w:t>
      </w:r>
      <w:r w:rsidRPr="00C1603D">
        <w:t xml:space="preserve"> at each combination of sensitivity (</w:t>
      </w:r>
      <w:r w:rsidRPr="00C1603D">
        <w:rPr>
          <w:i/>
          <w:iCs/>
        </w:rPr>
        <w:t>x</w:t>
      </w:r>
      <w:r w:rsidRPr="00C1603D">
        <w:t xml:space="preserve">-axis) and specificity (line colour) </w:t>
      </w:r>
      <w:r w:rsidR="00A42F5C" w:rsidRPr="00C1603D">
        <w:t>among</w:t>
      </w:r>
      <w:r w:rsidRPr="00C1603D">
        <w:t xml:space="preserve"> adult men. </w:t>
      </w:r>
      <w:commentRangeEnd w:id="422"/>
      <w:r w:rsidR="00C266F7" w:rsidRPr="00C1603D">
        <w:rPr>
          <w:rFonts w:ascii="Times New Roman" w:hAnsi="Times New Roman" w:cs="Times New Roman"/>
          <w:color w:val="auto"/>
        </w:rPr>
        <w:commentReference w:id="422"/>
      </w:r>
      <w:r w:rsidRPr="00C1603D">
        <w:t xml:space="preserve">(a) IgA EMA; (b) IgA </w:t>
      </w:r>
      <w:r w:rsidR="00A42F5C" w:rsidRPr="00C1603D">
        <w:t>t</w:t>
      </w:r>
      <w:r w:rsidRPr="00C1603D">
        <w:t xml:space="preserve">TG plus EMA; (c) IgA </w:t>
      </w:r>
      <w:r w:rsidR="00A42F5C" w:rsidRPr="00C1603D">
        <w:t>t</w:t>
      </w:r>
      <w:r w:rsidRPr="00C1603D">
        <w:t xml:space="preserve">TG; (d) IgA EMA plus HLA; (e) IgA </w:t>
      </w:r>
      <w:r w:rsidR="00A42F5C" w:rsidRPr="00C1603D">
        <w:t>t</w:t>
      </w:r>
      <w:r w:rsidRPr="00C1603D">
        <w:t xml:space="preserve">TG plus EMA plus HLA; (f) IgA </w:t>
      </w:r>
      <w:r w:rsidR="00A42F5C" w:rsidRPr="00C1603D">
        <w:t>t</w:t>
      </w:r>
      <w:r w:rsidRPr="00C1603D">
        <w:t xml:space="preserve">TG plus HLA; (g) HLA plus IgA EMA; (h) HLA plus IgA </w:t>
      </w:r>
      <w:r w:rsidR="00A42F5C" w:rsidRPr="00C1603D">
        <w:t>t</w:t>
      </w:r>
      <w:r w:rsidRPr="00C1603D">
        <w:t xml:space="preserve">TG plus EMA; and (i) HLA plus IgA </w:t>
      </w:r>
      <w:r w:rsidR="00A42F5C" w:rsidRPr="00C1603D">
        <w:t>t</w:t>
      </w:r>
      <w:r w:rsidRPr="00C1603D">
        <w:t>TG. Note</w:t>
      </w:r>
      <w:r w:rsidR="00A42F5C" w:rsidRPr="00C1603D">
        <w:t xml:space="preserve"> that</w:t>
      </w:r>
      <w:r w:rsidRPr="00C1603D">
        <w:t xml:space="preserve"> thick lines </w:t>
      </w:r>
      <w:r w:rsidR="00A5338B" w:rsidRPr="00C1603D">
        <w:t>indicate</w:t>
      </w:r>
      <w:r w:rsidRPr="00C1603D">
        <w:t xml:space="preserve"> </w:t>
      </w:r>
      <w:r w:rsidR="00A5338B" w:rsidRPr="00C1603D">
        <w:t xml:space="preserve">the </w:t>
      </w:r>
      <w:r w:rsidRPr="00C1603D">
        <w:t xml:space="preserve">mean and narrow lines </w:t>
      </w:r>
      <w:r w:rsidR="00A5338B" w:rsidRPr="00C1603D">
        <w:t>indicate the</w:t>
      </w:r>
      <w:r w:rsidRPr="00C1603D">
        <w:t xml:space="preserve"> 95% CrI.</w:t>
      </w:r>
      <w:bookmarkEnd w:id="421"/>
    </w:p>
    <w:p w14:paraId="1CAC7998" w14:textId="3E5B9551" w:rsidR="008B4DF8" w:rsidRPr="00C1603D" w:rsidRDefault="00672208" w:rsidP="008B4DF8">
      <w:pPr>
        <w:pStyle w:val="602TextfoTextstylesTextstyles"/>
      </w:pPr>
      <w:r w:rsidRPr="00C1603D">
        <w:rPr>
          <w:i/>
          <w:iCs/>
        </w:rPr>
        <w:t>F</w:t>
      </w:r>
      <w:r w:rsidR="008B4DF8" w:rsidRPr="00C1603D">
        <w:rPr>
          <w:i/>
          <w:iCs/>
        </w:rPr>
        <w:t>igure</w:t>
      </w:r>
      <w:r w:rsidRPr="00C1603D">
        <w:rPr>
          <w:i/>
          <w:iCs/>
        </w:rPr>
        <w:t xml:space="preserve"> 14</w:t>
      </w:r>
      <w:r w:rsidR="008B4DF8" w:rsidRPr="00C1603D">
        <w:t xml:space="preserve"> shows that</w:t>
      </w:r>
      <w:r w:rsidRPr="00C1603D">
        <w:t>,</w:t>
      </w:r>
      <w:r w:rsidR="008B4DF8" w:rsidRPr="00C1603D">
        <w:t xml:space="preserve"> for strategies using only serological tests (i.e. without HLA)</w:t>
      </w:r>
      <w:r w:rsidRPr="00C1603D">
        <w:t>,</w:t>
      </w:r>
      <w:r w:rsidR="008B4DF8" w:rsidRPr="00C1603D">
        <w:t xml:space="preserve"> incremental net benefit is positive </w:t>
      </w:r>
      <w:r w:rsidRPr="00C1603D">
        <w:t xml:space="preserve">only </w:t>
      </w:r>
      <w:r w:rsidR="008B4DF8" w:rsidRPr="00C1603D">
        <w:t xml:space="preserve">when diagnostic indicator sensitivity is </w:t>
      </w:r>
      <w:r w:rsidRPr="00C1603D">
        <w:t>&gt; </w:t>
      </w:r>
      <w:r w:rsidR="008B4DF8" w:rsidRPr="00C1603D">
        <w:t xml:space="preserve">0.9 or both the specificity and sensitivity are </w:t>
      </w:r>
      <w:r w:rsidRPr="00C1603D">
        <w:t>&gt; </w:t>
      </w:r>
      <w:r w:rsidR="008B4DF8" w:rsidRPr="00C1603D">
        <w:t xml:space="preserve">0.8. For the serological tests including HLA, </w:t>
      </w:r>
      <w:r w:rsidRPr="00C1603D">
        <w:t xml:space="preserve">the </w:t>
      </w:r>
      <w:r w:rsidR="008B4DF8" w:rsidRPr="00C1603D">
        <w:t>incremental net benefit is positive regardless of the accuracy of the diagnostic indicator, although the lower limit of the 95% CrI show</w:t>
      </w:r>
      <w:r w:rsidRPr="00C1603D">
        <w:t>s</w:t>
      </w:r>
      <w:r w:rsidR="008B4DF8" w:rsidRPr="00C1603D">
        <w:t xml:space="preserve"> </w:t>
      </w:r>
      <w:r w:rsidR="008B4DF8" w:rsidRPr="00C1603D">
        <w:lastRenderedPageBreak/>
        <w:t xml:space="preserve">that there is some uncertainty. The combinations using only the IgA EMA serological test plus HLA (i.e. IgA EMA plus HLA or HLA plus IgA EMA) are more cost-effective than strategies using IgA tTG plus HLA and comparable in cost-effectiveness to tests using all three of IgA EMA, IgA tTG and HLA. HLA being administered before or (as confirmation if post-test probability </w:t>
      </w:r>
      <w:r w:rsidR="008B4DF8" w:rsidRPr="00C1603D">
        <w:rPr>
          <w:color w:val="00B0F0"/>
        </w:rPr>
        <w:t>&lt; 9</w:t>
      </w:r>
      <w:r w:rsidR="008B4DF8" w:rsidRPr="00C1603D">
        <w:t>0%) after IgA EMA or IgA tTG plus EMA does not affect cost-effectiveness</w:t>
      </w:r>
      <w:r w:rsidR="00F87FA2" w:rsidRPr="00C1603D">
        <w:t>,</w:t>
      </w:r>
      <w:r w:rsidR="008B4DF8" w:rsidRPr="00C1603D">
        <w:t xml:space="preserve"> but it is most cost-effective if used before IgA tTG.</w:t>
      </w:r>
    </w:p>
    <w:p w14:paraId="1FC18F77" w14:textId="18134F9D" w:rsidR="008B4DF8" w:rsidRPr="00C1603D" w:rsidRDefault="008B4DF8" w:rsidP="008B4DF8">
      <w:pPr>
        <w:pStyle w:val="602TextfoTextstylesTextstyles"/>
      </w:pPr>
      <w:r w:rsidRPr="00C1603D">
        <w:rPr>
          <w:i/>
          <w:color w:val="FF0000"/>
        </w:rPr>
        <w:t xml:space="preserve">Figure </w:t>
      </w:r>
      <w:r w:rsidRPr="00C1603D">
        <w:rPr>
          <w:i/>
          <w:iCs/>
          <w:noProof/>
          <w:color w:val="FF0000"/>
        </w:rPr>
        <w:t>15</w:t>
      </w:r>
      <w:r w:rsidRPr="00C1603D">
        <w:t xml:space="preserve"> plots the probability that each combination of diagnostic indicator sensitivity and specificity is cost-effective for each test combination at </w:t>
      </w:r>
      <w:r w:rsidR="00540842" w:rsidRPr="00C1603D">
        <w:t>£20,000 per QALY</w:t>
      </w:r>
      <w:r w:rsidRPr="00C1603D">
        <w:t xml:space="preserve"> (i.e. proportion of simulations having a positive incremental net benefit at </w:t>
      </w:r>
      <w:r w:rsidR="00540842" w:rsidRPr="00C1603D">
        <w:t>£20,000 per QALY</w:t>
      </w:r>
      <w:r w:rsidR="00F42FA5" w:rsidRPr="00C1603D">
        <w:t>,</w:t>
      </w:r>
      <w:r w:rsidRPr="00C1603D">
        <w:t xml:space="preserve"> compared </w:t>
      </w:r>
      <w:r w:rsidR="00F42FA5" w:rsidRPr="00C1603D">
        <w:t>with</w:t>
      </w:r>
      <w:r w:rsidRPr="00C1603D">
        <w:t xml:space="preserve"> no screening). </w:t>
      </w:r>
      <w:commentRangeStart w:id="423"/>
      <w:r w:rsidRPr="00C1603D">
        <w:t xml:space="preserve">It again shows that </w:t>
      </w:r>
      <w:r w:rsidR="00792B1A" w:rsidRPr="00C1603D">
        <w:t xml:space="preserve">the </w:t>
      </w:r>
      <w:r w:rsidRPr="00C1603D">
        <w:t xml:space="preserve">only strategies using only serological tests </w:t>
      </w:r>
      <w:r w:rsidR="00792B1A" w:rsidRPr="00C1603D">
        <w:t>that have</w:t>
      </w:r>
      <w:r w:rsidRPr="00C1603D">
        <w:t xml:space="preserve"> </w:t>
      </w:r>
      <w:r w:rsidR="00F42FA5" w:rsidRPr="00C1603D">
        <w:t xml:space="preserve">a </w:t>
      </w:r>
      <w:r w:rsidRPr="00C1603D">
        <w:t>probability</w:t>
      </w:r>
      <w:r w:rsidR="00F42FA5" w:rsidRPr="00C1603D">
        <w:t xml:space="preserve"> of</w:t>
      </w:r>
      <w:r w:rsidRPr="00C1603D">
        <w:t xml:space="preserve"> </w:t>
      </w:r>
      <w:r w:rsidR="00F42FA5" w:rsidRPr="00C1603D">
        <w:t>&gt; </w:t>
      </w:r>
      <w:r w:rsidRPr="00C1603D">
        <w:t xml:space="preserve">50% of being cost-effective are those diagnostic indicators with </w:t>
      </w:r>
      <w:r w:rsidR="00792B1A" w:rsidRPr="00C1603D">
        <w:t xml:space="preserve">a </w:t>
      </w:r>
      <w:r w:rsidRPr="00C1603D">
        <w:t>sensitivity</w:t>
      </w:r>
      <w:r w:rsidR="00792B1A" w:rsidRPr="00C1603D">
        <w:t xml:space="preserve"> of</w:t>
      </w:r>
      <w:r w:rsidRPr="00C1603D">
        <w:t xml:space="preserve"> </w:t>
      </w:r>
      <w:r w:rsidR="00F42FA5" w:rsidRPr="00C1603D">
        <w:t>&gt; </w:t>
      </w:r>
      <w:r w:rsidRPr="00C1603D">
        <w:t>0.9 or both the specificity and sensitivity</w:t>
      </w:r>
      <w:r w:rsidR="00A02534" w:rsidRPr="00C1603D">
        <w:t xml:space="preserve"> of</w:t>
      </w:r>
      <w:r w:rsidRPr="00C1603D">
        <w:t xml:space="preserve"> </w:t>
      </w:r>
      <w:r w:rsidR="00F42FA5" w:rsidRPr="00C1603D">
        <w:t>&gt; </w:t>
      </w:r>
      <w:r w:rsidRPr="00C1603D">
        <w:t xml:space="preserve">0.8. </w:t>
      </w:r>
      <w:commentRangeEnd w:id="423"/>
      <w:r w:rsidR="00A02534" w:rsidRPr="00C1603D">
        <w:rPr>
          <w:rFonts w:ascii="Times New Roman" w:hAnsi="Times New Roman" w:cs="Times New Roman"/>
          <w:color w:val="auto"/>
          <w:lang w:val="en-US"/>
        </w:rPr>
        <w:commentReference w:id="423"/>
      </w:r>
      <w:r w:rsidRPr="00C1603D">
        <w:t xml:space="preserve">As expected, the combinations of tests with the highest probability of being cost-effective are those with a specificity of 0.9 and a sensitivity of 0.9 or 1. The serological tests including HLA have a high probability of being cost-effective regardless of the combination of sensitivity and specificity of the diagnostic indicator. Strategies using IgA EMA or IgA tTG alone with HLA have </w:t>
      </w:r>
      <w:r w:rsidR="00A02534" w:rsidRPr="00C1603D">
        <w:t xml:space="preserve">a </w:t>
      </w:r>
      <w:r w:rsidRPr="00C1603D">
        <w:t xml:space="preserve">probability of cost-effectiveness </w:t>
      </w:r>
      <w:r w:rsidR="00834964" w:rsidRPr="00C1603D">
        <w:t xml:space="preserve">that is similar </w:t>
      </w:r>
      <w:r w:rsidRPr="00C1603D">
        <w:t>to</w:t>
      </w:r>
      <w:r w:rsidR="00834964" w:rsidRPr="00C1603D">
        <w:t xml:space="preserve"> that of</w:t>
      </w:r>
      <w:r w:rsidRPr="00C1603D">
        <w:t xml:space="preserve"> combinations using all three of IgA EMA, HLA and IgA tTG.</w:t>
      </w:r>
    </w:p>
    <w:p w14:paraId="5FA99A80" w14:textId="6B845C86" w:rsidR="008B4DF8" w:rsidRPr="00C1603D" w:rsidRDefault="008B4DF8" w:rsidP="008B4DF8">
      <w:pPr>
        <w:pStyle w:val="81FigurelegendTableFigureBoxstyles"/>
      </w:pPr>
      <w:bookmarkStart w:id="424" w:name="_Toc99720796"/>
      <w:commentRangeStart w:id="425"/>
      <w:r w:rsidRPr="00C1603D">
        <w:rPr>
          <w:b/>
        </w:rPr>
        <w:t>FIGURE 15</w:t>
      </w:r>
      <w:r w:rsidRPr="00C1603D">
        <w:rPr>
          <w:b/>
        </w:rPr>
        <w:t> </w:t>
      </w:r>
      <w:r w:rsidRPr="00C1603D">
        <w:t>Probability</w:t>
      </w:r>
      <w:r w:rsidR="00834964" w:rsidRPr="00C1603D">
        <w:t xml:space="preserve"> of being</w:t>
      </w:r>
      <w:r w:rsidRPr="00C1603D">
        <w:t xml:space="preserve"> cost-effective at </w:t>
      </w:r>
      <w:r w:rsidR="00540842" w:rsidRPr="00C1603D">
        <w:t>£20,000 per QALY</w:t>
      </w:r>
      <w:r w:rsidR="00834964" w:rsidRPr="00C1603D">
        <w:t>,</w:t>
      </w:r>
      <w:r w:rsidRPr="00C1603D">
        <w:t xml:space="preserve"> compared </w:t>
      </w:r>
      <w:r w:rsidR="00834964" w:rsidRPr="00C1603D">
        <w:t>with</w:t>
      </w:r>
      <w:r w:rsidRPr="00C1603D">
        <w:t xml:space="preserve"> no screening</w:t>
      </w:r>
      <w:r w:rsidR="00834964" w:rsidRPr="00C1603D">
        <w:t>,</w:t>
      </w:r>
      <w:r w:rsidRPr="00C1603D">
        <w:t xml:space="preserve"> at each combination of sensitivity (</w:t>
      </w:r>
      <w:r w:rsidRPr="00C1603D">
        <w:rPr>
          <w:i/>
          <w:iCs/>
        </w:rPr>
        <w:t>x</w:t>
      </w:r>
      <w:r w:rsidRPr="00C1603D">
        <w:t xml:space="preserve">-axis) and specificity (line colour) </w:t>
      </w:r>
      <w:r w:rsidR="00834964" w:rsidRPr="00C1603D">
        <w:t>among</w:t>
      </w:r>
      <w:r w:rsidRPr="00C1603D">
        <w:t xml:space="preserve"> adult men</w:t>
      </w:r>
      <w:bookmarkEnd w:id="424"/>
      <w:r w:rsidRPr="00C1603D">
        <w:t xml:space="preserve">. </w:t>
      </w:r>
      <w:commentRangeEnd w:id="425"/>
      <w:r w:rsidR="00E674EA" w:rsidRPr="00C1603D">
        <w:rPr>
          <w:rFonts w:ascii="Times New Roman" w:hAnsi="Times New Roman" w:cs="Times New Roman"/>
          <w:color w:val="auto"/>
        </w:rPr>
        <w:commentReference w:id="425"/>
      </w:r>
      <w:r w:rsidRPr="00C1603D">
        <w:t xml:space="preserve">(a) IgA EMA; (b) IgA </w:t>
      </w:r>
      <w:r w:rsidR="00834964" w:rsidRPr="00C1603D">
        <w:t>t</w:t>
      </w:r>
      <w:r w:rsidRPr="00C1603D">
        <w:t xml:space="preserve">TG plus EMA; (c) IgA </w:t>
      </w:r>
      <w:r w:rsidR="00834964" w:rsidRPr="00C1603D">
        <w:t>tTG</w:t>
      </w:r>
      <w:r w:rsidRPr="00C1603D">
        <w:t xml:space="preserve">; (d) IgA EMA plus HLA; (e) IgA </w:t>
      </w:r>
      <w:r w:rsidR="00834964" w:rsidRPr="00C1603D">
        <w:t>tTG</w:t>
      </w:r>
      <w:r w:rsidRPr="00C1603D">
        <w:t xml:space="preserve"> plus EMA plus HLA; (f) IgA </w:t>
      </w:r>
      <w:r w:rsidR="00834964" w:rsidRPr="00C1603D">
        <w:t>tTG</w:t>
      </w:r>
      <w:r w:rsidRPr="00C1603D">
        <w:t xml:space="preserve"> plus HLA; (g) HLA plus IgA EMA; (h) HLA plus IgA </w:t>
      </w:r>
      <w:r w:rsidR="00834964" w:rsidRPr="00C1603D">
        <w:t>tTG</w:t>
      </w:r>
      <w:r w:rsidRPr="00C1603D">
        <w:t xml:space="preserve"> plus EMA; and (i) HLA plus IgA </w:t>
      </w:r>
      <w:r w:rsidR="00834964" w:rsidRPr="00C1603D">
        <w:t>tTG</w:t>
      </w:r>
      <w:r w:rsidRPr="00C1603D">
        <w:t>.</w:t>
      </w:r>
    </w:p>
    <w:p w14:paraId="08990B47" w14:textId="3741A5CB" w:rsidR="008B4DF8" w:rsidRPr="00C1603D" w:rsidRDefault="008B4DF8" w:rsidP="008B4DF8">
      <w:pPr>
        <w:pStyle w:val="602TextfoTextstylesTextstyles"/>
        <w:rPr>
          <w:color w:val="auto"/>
        </w:rPr>
      </w:pPr>
      <w:r w:rsidRPr="00C1603D">
        <w:t>In general</w:t>
      </w:r>
      <w:r w:rsidR="00034EFC" w:rsidRPr="00C1603D">
        <w:t>,</w:t>
      </w:r>
      <w:r w:rsidRPr="00C1603D">
        <w:t xml:space="preserve"> strategies employing IgA tTG and IgA EMA have similar incremental net benefit</w:t>
      </w:r>
      <w:r w:rsidR="00034EFC" w:rsidRPr="00C1603D">
        <w:t>s</w:t>
      </w:r>
      <w:r w:rsidRPr="00C1603D">
        <w:t xml:space="preserve"> and probabilit</w:t>
      </w:r>
      <w:r w:rsidR="00034EFC" w:rsidRPr="00C1603D">
        <w:t>ies</w:t>
      </w:r>
      <w:r w:rsidRPr="00C1603D">
        <w:t xml:space="preserve"> of being cost-effective; given the greater availability of IgA tTG in the UK, we chose this as one of our strategies of interest</w:t>
      </w:r>
      <w:r w:rsidR="00034EFC" w:rsidRPr="00C1603D">
        <w:t>.</w:t>
      </w:r>
      <w:r w:rsidRPr="00C1603D">
        <w:rPr>
          <w:noProof/>
          <w:vertAlign w:val="superscript"/>
        </w:rPr>
        <w:t>254</w:t>
      </w:r>
      <w:r w:rsidRPr="00C1603D">
        <w:t xml:space="preserve"> </w:t>
      </w:r>
      <w:r w:rsidR="00034EFC" w:rsidRPr="00C1603D">
        <w:t>Although</w:t>
      </w:r>
      <w:r w:rsidRPr="00C1603D">
        <w:t xml:space="preserve"> all strategies employing HLA have higher incremental net benefit and probability of cost-effectiveness, IgA tTG plus HLA performs worst. There is also limited benefit to adding IgA tTG to strategies using IgA EMA and HLA</w:t>
      </w:r>
      <w:r w:rsidR="00034EFC" w:rsidRPr="00C1603D">
        <w:t>,</w:t>
      </w:r>
      <w:r w:rsidRPr="00C1603D">
        <w:t xml:space="preserve"> and limited difference between using IgA EMA or HLA first, so we used IgA EMA followed by HLA for our second testing combination of interest. Again</w:t>
      </w:r>
      <w:r w:rsidR="00034EFC" w:rsidRPr="00C1603D">
        <w:t>,</w:t>
      </w:r>
      <w:r w:rsidRPr="00C1603D">
        <w:t xml:space="preserve"> </w:t>
      </w:r>
      <w:r w:rsidR="00034EFC" w:rsidRPr="00C1603D">
        <w:t>owing</w:t>
      </w:r>
      <w:r w:rsidRPr="00C1603D">
        <w:t xml:space="preserve"> to its wide availability and its having high incremental net benefit and probability of cost-effectiveness, we choose HLA plus IgA tTG as a final test of interest. These selections were combined with the risk prediction strategies </w:t>
      </w:r>
      <w:r w:rsidRPr="00C1603D">
        <w:rPr>
          <w:color w:val="auto"/>
        </w:rPr>
        <w:t xml:space="preserve">of </w:t>
      </w:r>
      <w:r w:rsidRPr="00C1603D">
        <w:rPr>
          <w:i/>
          <w:color w:val="auto"/>
        </w:rPr>
        <w:t xml:space="preserve">Table </w:t>
      </w:r>
      <w:r w:rsidRPr="00C1603D">
        <w:rPr>
          <w:i/>
          <w:noProof/>
          <w:color w:val="auto"/>
        </w:rPr>
        <w:t>5</w:t>
      </w:r>
      <w:r w:rsidRPr="00C1603D">
        <w:rPr>
          <w:color w:val="auto"/>
        </w:rPr>
        <w:t>.</w:t>
      </w:r>
    </w:p>
    <w:p w14:paraId="7252500C" w14:textId="09F10A1A" w:rsidR="008B4DF8" w:rsidRPr="00C1603D" w:rsidRDefault="008B4DF8" w:rsidP="008B4DF8">
      <w:pPr>
        <w:pStyle w:val="602TextfoTextstylesTextstyles"/>
      </w:pPr>
      <w:r w:rsidRPr="00C1603D">
        <w:rPr>
          <w:i/>
          <w:color w:val="FF0000"/>
        </w:rPr>
        <w:t xml:space="preserve">Table </w:t>
      </w:r>
      <w:r w:rsidR="008A6568" w:rsidRPr="00C1603D">
        <w:rPr>
          <w:i/>
          <w:noProof/>
          <w:color w:val="FF0000"/>
        </w:rPr>
        <w:t>20</w:t>
      </w:r>
      <w:r w:rsidRPr="00C1603D">
        <w:t xml:space="preserve"> shows the estimated costs</w:t>
      </w:r>
      <w:r w:rsidRPr="00C1603D">
        <w:rPr>
          <w:color w:val="auto"/>
        </w:rPr>
        <w:t xml:space="preserve">, </w:t>
      </w:r>
      <w:r w:rsidR="00A868B0" w:rsidRPr="00C1603D">
        <w:rPr>
          <w:color w:val="auto"/>
        </w:rPr>
        <w:t>QALY</w:t>
      </w:r>
      <w:r w:rsidRPr="00C1603D">
        <w:rPr>
          <w:color w:val="auto"/>
        </w:rPr>
        <w:t xml:space="preserve">s and </w:t>
      </w:r>
      <w:r w:rsidRPr="00C1603D">
        <w:t>incremental net benefit</w:t>
      </w:r>
      <w:r w:rsidR="0012613B" w:rsidRPr="00C1603D">
        <w:t>,</w:t>
      </w:r>
      <w:r w:rsidRPr="00C1603D">
        <w:t xml:space="preserve"> </w:t>
      </w:r>
      <w:r w:rsidR="0012613B" w:rsidRPr="00C1603D">
        <w:t>compared with</w:t>
      </w:r>
      <w:r w:rsidRPr="00C1603D">
        <w:t xml:space="preserve"> no screening</w:t>
      </w:r>
      <w:r w:rsidR="0012613B" w:rsidRPr="00C1603D">
        <w:t>,</w:t>
      </w:r>
      <w:r w:rsidRPr="00C1603D">
        <w:t xml:space="preserve"> for each of these strategies of interest. All combinations have positive incremental net benefit compared </w:t>
      </w:r>
      <w:r w:rsidR="0012613B" w:rsidRPr="00C1603D">
        <w:t>with</w:t>
      </w:r>
      <w:r w:rsidRPr="00C1603D">
        <w:t xml:space="preserve"> no screening. If using only the serological test IgA tTG, with a pre-test probability of 1%</w:t>
      </w:r>
      <w:r w:rsidR="00CA1E86" w:rsidRPr="00C1603D">
        <w:t>, it</w:t>
      </w:r>
      <w:r w:rsidRPr="00C1603D">
        <w:t xml:space="preserve"> is the most cost-effective strategy (greatest incremental net benefit at </w:t>
      </w:r>
      <w:r w:rsidR="00540842" w:rsidRPr="00C1603D">
        <w:t>£20,000 per QALY</w:t>
      </w:r>
      <w:r w:rsidRPr="00C1603D">
        <w:t>)</w:t>
      </w:r>
      <w:r w:rsidR="00CA1E86" w:rsidRPr="00C1603D">
        <w:t>,</w:t>
      </w:r>
      <w:r w:rsidRPr="00C1603D">
        <w:t xml:space="preserve"> with </w:t>
      </w:r>
      <w:r w:rsidR="00EB148A" w:rsidRPr="00C1603D">
        <w:t xml:space="preserve">the </w:t>
      </w:r>
      <w:r w:rsidRPr="00C1603D">
        <w:t xml:space="preserve">highest costs but also </w:t>
      </w:r>
      <w:r w:rsidR="00EB148A" w:rsidRPr="00C1603D">
        <w:t xml:space="preserve">the </w:t>
      </w:r>
      <w:r w:rsidRPr="00C1603D">
        <w:t xml:space="preserve">highest </w:t>
      </w:r>
      <w:r w:rsidR="00EB148A" w:rsidRPr="00C1603D">
        <w:t xml:space="preserve">number of </w:t>
      </w:r>
      <w:r w:rsidRPr="00C1603D">
        <w:t>QALYs. The net benefits of</w:t>
      </w:r>
      <w:r w:rsidR="00EB148A" w:rsidRPr="00C1603D">
        <w:t xml:space="preserve"> the</w:t>
      </w:r>
      <w:r w:rsidRPr="00C1603D">
        <w:t xml:space="preserve"> IgA EMA plus HLA and </w:t>
      </w:r>
      <w:r w:rsidR="00EB148A" w:rsidRPr="00C1603D">
        <w:t xml:space="preserve">the </w:t>
      </w:r>
      <w:r w:rsidRPr="00C1603D">
        <w:t xml:space="preserve">HLA plus IgA tTG strategies are </w:t>
      </w:r>
      <w:proofErr w:type="gramStart"/>
      <w:r w:rsidRPr="00C1603D">
        <w:t>very similar</w:t>
      </w:r>
      <w:proofErr w:type="gramEnd"/>
      <w:r w:rsidRPr="00C1603D">
        <w:t xml:space="preserve"> to each other and to</w:t>
      </w:r>
      <w:r w:rsidR="000D3197" w:rsidRPr="00C1603D">
        <w:t xml:space="preserve"> those of</w:t>
      </w:r>
      <w:r w:rsidRPr="00C1603D">
        <w:t xml:space="preserve"> IgA tTG with </w:t>
      </w:r>
      <w:r w:rsidR="000D3197" w:rsidRPr="00C1603D">
        <w:t xml:space="preserve">a </w:t>
      </w:r>
      <w:r w:rsidRPr="00C1603D">
        <w:t xml:space="preserve">pre-test probability of 1%, </w:t>
      </w:r>
      <w:r w:rsidR="000D3197" w:rsidRPr="00C1603D">
        <w:t>and</w:t>
      </w:r>
      <w:r w:rsidRPr="00C1603D">
        <w:t xml:space="preserve"> the 95% CrI</w:t>
      </w:r>
      <w:r w:rsidR="000D3197" w:rsidRPr="00C1603D">
        <w:t>s</w:t>
      </w:r>
      <w:r w:rsidRPr="00C1603D">
        <w:t xml:space="preserve"> are completely overlapping. This indicates </w:t>
      </w:r>
      <w:r w:rsidR="000D3197" w:rsidRPr="00C1603D">
        <w:t xml:space="preserve">that </w:t>
      </w:r>
      <w:r w:rsidRPr="00C1603D">
        <w:t>there is little or no difference between these strategies in cost-effectiveness.</w:t>
      </w:r>
    </w:p>
    <w:p w14:paraId="5AD5D179" w14:textId="0D87BD76" w:rsidR="008B4DF8" w:rsidRPr="00C1603D" w:rsidRDefault="008B4DF8" w:rsidP="008B4DF8">
      <w:pPr>
        <w:pStyle w:val="70TablelegendTablesTableFigureBoxstyles"/>
      </w:pPr>
      <w:bookmarkStart w:id="426" w:name="_Toc99720730"/>
      <w:r w:rsidRPr="00C1603D">
        <w:rPr>
          <w:b/>
        </w:rPr>
        <w:t xml:space="preserve">TABLE </w:t>
      </w:r>
      <w:r w:rsidR="00032460" w:rsidRPr="00C1603D">
        <w:rPr>
          <w:b/>
        </w:rPr>
        <w:t>20</w:t>
      </w:r>
      <w:r w:rsidRPr="00C1603D">
        <w:rPr>
          <w:b/>
        </w:rPr>
        <w:t> </w:t>
      </w:r>
      <w:r w:rsidRPr="00C1603D">
        <w:t>Costs, QALYs and incremental net benefit</w:t>
      </w:r>
      <w:r w:rsidR="0017067B" w:rsidRPr="00C1603D">
        <w:t>s, at £20,000 per QALY,</w:t>
      </w:r>
      <w:r w:rsidRPr="00C1603D">
        <w:t xml:space="preserve"> associated with strategies of interest </w:t>
      </w:r>
      <w:r w:rsidR="000D3197" w:rsidRPr="00C1603D">
        <w:t>for</w:t>
      </w:r>
      <w:r w:rsidRPr="00C1603D">
        <w:t xml:space="preserve"> adult men</w:t>
      </w:r>
      <w:bookmarkEnd w:id="426"/>
    </w:p>
    <w:tbl>
      <w:tblPr>
        <w:tblW w:w="0" w:type="auto"/>
        <w:tblCellMar>
          <w:top w:w="40" w:type="dxa"/>
          <w:left w:w="60" w:type="dxa"/>
          <w:bottom w:w="40" w:type="dxa"/>
          <w:right w:w="60" w:type="dxa"/>
        </w:tblCellMar>
        <w:tblLook w:val="04A0" w:firstRow="1" w:lastRow="0" w:firstColumn="1" w:lastColumn="0" w:noHBand="0" w:noVBand="1"/>
      </w:tblPr>
      <w:tblGrid>
        <w:gridCol w:w="1544"/>
        <w:gridCol w:w="1197"/>
        <w:gridCol w:w="1193"/>
        <w:gridCol w:w="787"/>
        <w:gridCol w:w="1103"/>
        <w:gridCol w:w="991"/>
        <w:gridCol w:w="2211"/>
      </w:tblGrid>
      <w:tr w:rsidR="0046462D" w:rsidRPr="00C1603D" w14:paraId="5E5EE647" w14:textId="77777777" w:rsidTr="00FF7475">
        <w:trPr>
          <w:cantSplit/>
        </w:trPr>
        <w:tc>
          <w:tcPr>
            <w:tcW w:w="0" w:type="auto"/>
            <w:vMerge w:val="restart"/>
            <w:shd w:val="clear" w:color="auto" w:fill="auto"/>
          </w:tcPr>
          <w:p w14:paraId="62C213ED" w14:textId="6BC0DE45" w:rsidR="0046462D" w:rsidRPr="00C1603D" w:rsidRDefault="0046462D" w:rsidP="0079431C">
            <w:pPr>
              <w:pStyle w:val="710TableheadTablesTableFigureBoxstyles"/>
            </w:pPr>
            <w:r w:rsidRPr="00C1603D">
              <w:t>Pre-test probability for blood test (%)</w:t>
            </w:r>
          </w:p>
        </w:tc>
        <w:tc>
          <w:tcPr>
            <w:tcW w:w="0" w:type="auto"/>
            <w:vMerge w:val="restart"/>
            <w:shd w:val="clear" w:color="auto" w:fill="auto"/>
          </w:tcPr>
          <w:p w14:paraId="4A83654E" w14:textId="74E55709" w:rsidR="0046462D" w:rsidRPr="00C1603D" w:rsidRDefault="0046462D" w:rsidP="0079431C">
            <w:pPr>
              <w:pStyle w:val="710TableheadTablesTableFigureBoxstyles"/>
            </w:pPr>
            <w:r w:rsidRPr="00C1603D">
              <w:t>Sensitivity of indicator</w:t>
            </w:r>
          </w:p>
        </w:tc>
        <w:tc>
          <w:tcPr>
            <w:tcW w:w="0" w:type="auto"/>
            <w:vMerge w:val="restart"/>
            <w:shd w:val="clear" w:color="auto" w:fill="auto"/>
          </w:tcPr>
          <w:p w14:paraId="2DD244FE" w14:textId="1A86C9BA" w:rsidR="0046462D" w:rsidRPr="00C1603D" w:rsidRDefault="0046462D" w:rsidP="0079431C">
            <w:pPr>
              <w:pStyle w:val="710TableheadTablesTableFigureBoxstyles"/>
            </w:pPr>
            <w:r w:rsidRPr="00C1603D">
              <w:t>Specificity of indicator</w:t>
            </w:r>
          </w:p>
        </w:tc>
        <w:tc>
          <w:tcPr>
            <w:tcW w:w="0" w:type="auto"/>
            <w:vMerge w:val="restart"/>
            <w:shd w:val="clear" w:color="auto" w:fill="auto"/>
          </w:tcPr>
          <w:p w14:paraId="76AD8E13" w14:textId="5164CF30" w:rsidR="0046462D" w:rsidRPr="00C1603D" w:rsidRDefault="0046462D" w:rsidP="0079431C">
            <w:pPr>
              <w:pStyle w:val="710TableheadTablesTableFigureBoxstyles"/>
            </w:pPr>
            <w:r w:rsidRPr="00C1603D">
              <w:t>Test</w:t>
            </w:r>
          </w:p>
        </w:tc>
        <w:tc>
          <w:tcPr>
            <w:tcW w:w="0" w:type="auto"/>
            <w:gridSpan w:val="3"/>
            <w:shd w:val="clear" w:color="auto" w:fill="auto"/>
          </w:tcPr>
          <w:p w14:paraId="3733EEDA" w14:textId="0A6BEFB9" w:rsidR="0046462D" w:rsidRPr="00C1603D" w:rsidRDefault="0046462D" w:rsidP="0046462D">
            <w:pPr>
              <w:pStyle w:val="705TableheadgroupTablesTableFigureBoxstyles"/>
            </w:pPr>
            <w:commentRangeStart w:id="427"/>
            <w:r w:rsidRPr="00C1603D">
              <w:t>Mean (95% CI)</w:t>
            </w:r>
            <w:commentRangeEnd w:id="427"/>
            <w:r w:rsidR="0044057F" w:rsidRPr="00C1603D">
              <w:rPr>
                <w:rFonts w:ascii="Times New Roman" w:hAnsi="Times New Roman" w:cs="Times New Roman"/>
                <w:b w:val="0"/>
                <w:lang w:val="en-US"/>
              </w:rPr>
              <w:commentReference w:id="427"/>
            </w:r>
          </w:p>
        </w:tc>
      </w:tr>
      <w:tr w:rsidR="0046462D" w:rsidRPr="00C1603D" w14:paraId="540ECDD5" w14:textId="77777777" w:rsidTr="0079431C">
        <w:trPr>
          <w:cantSplit/>
        </w:trPr>
        <w:tc>
          <w:tcPr>
            <w:tcW w:w="0" w:type="auto"/>
            <w:vMerge/>
            <w:shd w:val="clear" w:color="auto" w:fill="auto"/>
          </w:tcPr>
          <w:p w14:paraId="57D1E533" w14:textId="75646706" w:rsidR="0046462D" w:rsidRPr="00C1603D" w:rsidRDefault="0046462D" w:rsidP="0079431C">
            <w:pPr>
              <w:pStyle w:val="710TableheadTablesTableFigureBoxstyles"/>
            </w:pPr>
          </w:p>
        </w:tc>
        <w:tc>
          <w:tcPr>
            <w:tcW w:w="0" w:type="auto"/>
            <w:vMerge/>
            <w:shd w:val="clear" w:color="auto" w:fill="auto"/>
          </w:tcPr>
          <w:p w14:paraId="2A52B1FE" w14:textId="72374005" w:rsidR="0046462D" w:rsidRPr="00C1603D" w:rsidRDefault="0046462D" w:rsidP="0079431C">
            <w:pPr>
              <w:pStyle w:val="710TableheadTablesTableFigureBoxstyles"/>
              <w:rPr>
                <w:color w:val="000000"/>
              </w:rPr>
            </w:pPr>
          </w:p>
        </w:tc>
        <w:tc>
          <w:tcPr>
            <w:tcW w:w="0" w:type="auto"/>
            <w:vMerge/>
            <w:shd w:val="clear" w:color="auto" w:fill="auto"/>
          </w:tcPr>
          <w:p w14:paraId="4183164B" w14:textId="080D151F" w:rsidR="0046462D" w:rsidRPr="00C1603D" w:rsidRDefault="0046462D" w:rsidP="0079431C">
            <w:pPr>
              <w:pStyle w:val="710TableheadTablesTableFigureBoxstyles"/>
              <w:rPr>
                <w:color w:val="000000"/>
              </w:rPr>
            </w:pPr>
          </w:p>
        </w:tc>
        <w:tc>
          <w:tcPr>
            <w:tcW w:w="0" w:type="auto"/>
            <w:vMerge/>
            <w:shd w:val="clear" w:color="auto" w:fill="auto"/>
          </w:tcPr>
          <w:p w14:paraId="5CFB1DDA" w14:textId="04A8EEE6" w:rsidR="0046462D" w:rsidRPr="00C1603D" w:rsidRDefault="0046462D" w:rsidP="0079431C">
            <w:pPr>
              <w:pStyle w:val="710TableheadTablesTableFigureBoxstyles"/>
            </w:pPr>
          </w:p>
        </w:tc>
        <w:tc>
          <w:tcPr>
            <w:tcW w:w="0" w:type="auto"/>
            <w:shd w:val="clear" w:color="auto" w:fill="auto"/>
          </w:tcPr>
          <w:p w14:paraId="28B50F89" w14:textId="26E21BD4" w:rsidR="0046462D" w:rsidRPr="00C1603D" w:rsidRDefault="0046462D" w:rsidP="0079431C">
            <w:pPr>
              <w:pStyle w:val="710TableheadTablesTableFigureBoxstyles"/>
            </w:pPr>
            <w:r w:rsidRPr="00C1603D">
              <w:t>Costs (£)</w:t>
            </w:r>
          </w:p>
        </w:tc>
        <w:tc>
          <w:tcPr>
            <w:tcW w:w="0" w:type="auto"/>
            <w:shd w:val="clear" w:color="auto" w:fill="auto"/>
          </w:tcPr>
          <w:p w14:paraId="4521BE5B" w14:textId="08E75FD4" w:rsidR="0046462D" w:rsidRPr="00C1603D" w:rsidRDefault="0046462D" w:rsidP="0079431C">
            <w:pPr>
              <w:pStyle w:val="710TableheadTablesTableFigureBoxstyles"/>
            </w:pPr>
            <w:r w:rsidRPr="00C1603D">
              <w:t>QALYs</w:t>
            </w:r>
          </w:p>
        </w:tc>
        <w:tc>
          <w:tcPr>
            <w:tcW w:w="0" w:type="auto"/>
            <w:shd w:val="clear" w:color="auto" w:fill="auto"/>
          </w:tcPr>
          <w:p w14:paraId="3A907CC1" w14:textId="3C679B72" w:rsidR="0046462D" w:rsidRPr="00C1603D" w:rsidRDefault="0046462D" w:rsidP="0079431C">
            <w:pPr>
              <w:pStyle w:val="710TableheadTablesTableFigureBoxstyles"/>
            </w:pPr>
            <w:r w:rsidRPr="00C1603D">
              <w:t>Incremental net benefit at £20,000 per QALY vs. no screening</w:t>
            </w:r>
            <w:r w:rsidR="008A233F" w:rsidRPr="00C1603D">
              <w:t xml:space="preserve"> (£)</w:t>
            </w:r>
          </w:p>
        </w:tc>
      </w:tr>
      <w:tr w:rsidR="006C4B4B" w:rsidRPr="00C1603D" w14:paraId="2B2603EA" w14:textId="77777777" w:rsidTr="0079431C">
        <w:trPr>
          <w:cantSplit/>
        </w:trPr>
        <w:tc>
          <w:tcPr>
            <w:tcW w:w="0" w:type="auto"/>
            <w:gridSpan w:val="4"/>
            <w:shd w:val="clear" w:color="auto" w:fill="auto"/>
          </w:tcPr>
          <w:p w14:paraId="56FB366D" w14:textId="77777777" w:rsidR="008B4DF8" w:rsidRPr="00C1603D" w:rsidRDefault="008B4DF8" w:rsidP="0079431C">
            <w:pPr>
              <w:pStyle w:val="72TabletextTablesTableFigureBoxstyles"/>
            </w:pPr>
            <w:r w:rsidRPr="00C1603D">
              <w:t>No screening</w:t>
            </w:r>
          </w:p>
        </w:tc>
        <w:tc>
          <w:tcPr>
            <w:tcW w:w="0" w:type="auto"/>
            <w:shd w:val="clear" w:color="auto" w:fill="auto"/>
          </w:tcPr>
          <w:p w14:paraId="7E63C976" w14:textId="6DE12C98" w:rsidR="008B4DF8" w:rsidRPr="00C1603D" w:rsidRDefault="008B4DF8" w:rsidP="0079431C">
            <w:pPr>
              <w:pStyle w:val="72TabletextTablesTableFigureBoxstyles"/>
            </w:pPr>
            <w:r w:rsidRPr="00C1603D">
              <w:t>17</w:t>
            </w:r>
            <w:r w:rsidR="006C4B4B" w:rsidRPr="00C1603D">
              <w:t>,</w:t>
            </w:r>
            <w:r w:rsidRPr="00C1603D">
              <w:t>389 (14</w:t>
            </w:r>
            <w:r w:rsidR="006C4B4B" w:rsidRPr="00C1603D">
              <w:t>,</w:t>
            </w:r>
            <w:r w:rsidRPr="00C1603D">
              <w:t>011</w:t>
            </w:r>
            <w:r w:rsidR="006C4B4B" w:rsidRPr="00C1603D">
              <w:t xml:space="preserve"> to</w:t>
            </w:r>
            <w:r w:rsidRPr="00C1603D">
              <w:t xml:space="preserve"> 19</w:t>
            </w:r>
            <w:r w:rsidR="006C4B4B" w:rsidRPr="00C1603D">
              <w:t>,</w:t>
            </w:r>
            <w:r w:rsidRPr="00C1603D">
              <w:t>332)</w:t>
            </w:r>
          </w:p>
        </w:tc>
        <w:tc>
          <w:tcPr>
            <w:tcW w:w="0" w:type="auto"/>
            <w:shd w:val="clear" w:color="auto" w:fill="auto"/>
          </w:tcPr>
          <w:p w14:paraId="5534BA36" w14:textId="4BE37EB7" w:rsidR="008B4DF8" w:rsidRPr="00C1603D" w:rsidRDefault="008B4DF8" w:rsidP="0079431C">
            <w:pPr>
              <w:pStyle w:val="72TabletextTablesTableFigureBoxstyles"/>
            </w:pPr>
            <w:r w:rsidRPr="00C1603D">
              <w:t>18.31 (16.39</w:t>
            </w:r>
            <w:r w:rsidR="006C4B4B" w:rsidRPr="00C1603D">
              <w:t xml:space="preserve"> to</w:t>
            </w:r>
            <w:r w:rsidRPr="00C1603D">
              <w:t xml:space="preserve"> 19.54)</w:t>
            </w:r>
          </w:p>
        </w:tc>
        <w:tc>
          <w:tcPr>
            <w:tcW w:w="0" w:type="auto"/>
            <w:shd w:val="clear" w:color="auto" w:fill="auto"/>
          </w:tcPr>
          <w:p w14:paraId="62D89DAE" w14:textId="04B66162" w:rsidR="008B4DF8" w:rsidRPr="00C1603D" w:rsidRDefault="008B4DF8" w:rsidP="0079431C">
            <w:pPr>
              <w:pStyle w:val="72TabletextTablesTableFigureBoxstyles"/>
            </w:pPr>
            <w:r w:rsidRPr="00C1603D">
              <w:t>0 (0</w:t>
            </w:r>
            <w:r w:rsidR="006C4B4B" w:rsidRPr="00C1603D">
              <w:t xml:space="preserve"> to</w:t>
            </w:r>
            <w:r w:rsidRPr="00C1603D">
              <w:t xml:space="preserve"> 0)</w:t>
            </w:r>
          </w:p>
        </w:tc>
      </w:tr>
      <w:tr w:rsidR="006C4B4B" w:rsidRPr="00C1603D" w14:paraId="61F91102" w14:textId="77777777" w:rsidTr="0079431C">
        <w:trPr>
          <w:cantSplit/>
        </w:trPr>
        <w:tc>
          <w:tcPr>
            <w:tcW w:w="0" w:type="auto"/>
            <w:shd w:val="clear" w:color="auto" w:fill="auto"/>
          </w:tcPr>
          <w:p w14:paraId="6C70EA78" w14:textId="69D18AA4" w:rsidR="008B4DF8" w:rsidRPr="00C1603D" w:rsidRDefault="008B4DF8" w:rsidP="007106A1">
            <w:pPr>
              <w:pStyle w:val="72TabletextTablesTableFigureBoxstyles"/>
            </w:pPr>
            <w:r w:rsidRPr="00C1603D">
              <w:lastRenderedPageBreak/>
              <w:t>1</w:t>
            </w:r>
          </w:p>
        </w:tc>
        <w:tc>
          <w:tcPr>
            <w:tcW w:w="0" w:type="auto"/>
            <w:shd w:val="clear" w:color="auto" w:fill="auto"/>
          </w:tcPr>
          <w:p w14:paraId="42DFDBDB" w14:textId="77777777" w:rsidR="008B4DF8" w:rsidRPr="00C1603D" w:rsidRDefault="008B4DF8" w:rsidP="007106A1">
            <w:pPr>
              <w:pStyle w:val="72TabletextTablesTableFigureBoxstyles"/>
            </w:pPr>
            <w:r w:rsidRPr="00C1603D">
              <w:t>1</w:t>
            </w:r>
          </w:p>
        </w:tc>
        <w:tc>
          <w:tcPr>
            <w:tcW w:w="0" w:type="auto"/>
            <w:shd w:val="clear" w:color="auto" w:fill="auto"/>
          </w:tcPr>
          <w:p w14:paraId="21022785" w14:textId="77777777" w:rsidR="008B4DF8" w:rsidRPr="00C1603D" w:rsidRDefault="008B4DF8" w:rsidP="007106A1">
            <w:pPr>
              <w:pStyle w:val="72TabletextTablesTableFigureBoxstyles"/>
            </w:pPr>
            <w:r w:rsidRPr="00C1603D">
              <w:t>0</w:t>
            </w:r>
          </w:p>
        </w:tc>
        <w:tc>
          <w:tcPr>
            <w:tcW w:w="0" w:type="auto"/>
            <w:shd w:val="clear" w:color="auto" w:fill="auto"/>
          </w:tcPr>
          <w:p w14:paraId="6AB2CD50" w14:textId="77777777" w:rsidR="008B4DF8" w:rsidRPr="00C1603D" w:rsidRDefault="008B4DF8" w:rsidP="0079431C">
            <w:pPr>
              <w:pStyle w:val="72TabletextTablesTableFigureBoxstyles"/>
            </w:pPr>
            <w:r w:rsidRPr="00C1603D">
              <w:t>IgA tTG</w:t>
            </w:r>
          </w:p>
        </w:tc>
        <w:tc>
          <w:tcPr>
            <w:tcW w:w="0" w:type="auto"/>
            <w:shd w:val="clear" w:color="auto" w:fill="auto"/>
          </w:tcPr>
          <w:p w14:paraId="687B7883" w14:textId="41647CCA" w:rsidR="008B4DF8" w:rsidRPr="00C1603D" w:rsidRDefault="008B4DF8" w:rsidP="0079431C">
            <w:pPr>
              <w:pStyle w:val="72TabletextTablesTableFigureBoxstyles"/>
            </w:pPr>
            <w:r w:rsidRPr="00C1603D">
              <w:t>20</w:t>
            </w:r>
            <w:r w:rsidR="006C4B4B" w:rsidRPr="00C1603D">
              <w:t>,</w:t>
            </w:r>
            <w:r w:rsidRPr="00C1603D">
              <w:t>468 (20</w:t>
            </w:r>
            <w:r w:rsidR="006C4B4B" w:rsidRPr="00C1603D">
              <w:t>,</w:t>
            </w:r>
            <w:r w:rsidRPr="00C1603D">
              <w:t>152</w:t>
            </w:r>
            <w:r w:rsidR="006C4B4B" w:rsidRPr="00C1603D">
              <w:t xml:space="preserve"> to</w:t>
            </w:r>
            <w:r w:rsidRPr="00C1603D">
              <w:t xml:space="preserve"> 20</w:t>
            </w:r>
            <w:r w:rsidR="006C4B4B" w:rsidRPr="00C1603D">
              <w:t>,</w:t>
            </w:r>
            <w:r w:rsidRPr="00C1603D">
              <w:t>778)</w:t>
            </w:r>
          </w:p>
        </w:tc>
        <w:tc>
          <w:tcPr>
            <w:tcW w:w="0" w:type="auto"/>
            <w:shd w:val="clear" w:color="auto" w:fill="auto"/>
          </w:tcPr>
          <w:p w14:paraId="63CB1C7E" w14:textId="787C400B" w:rsidR="008B4DF8" w:rsidRPr="00C1603D" w:rsidRDefault="008B4DF8" w:rsidP="0079431C">
            <w:pPr>
              <w:pStyle w:val="72TabletextTablesTableFigureBoxstyles"/>
            </w:pPr>
            <w:r w:rsidRPr="00C1603D">
              <w:t>19.68 (19.14</w:t>
            </w:r>
            <w:r w:rsidR="006C4B4B" w:rsidRPr="00C1603D">
              <w:t xml:space="preserve"> to</w:t>
            </w:r>
            <w:r w:rsidRPr="00C1603D">
              <w:t xml:space="preserve"> 20.04)</w:t>
            </w:r>
          </w:p>
        </w:tc>
        <w:tc>
          <w:tcPr>
            <w:tcW w:w="0" w:type="auto"/>
            <w:shd w:val="clear" w:color="auto" w:fill="auto"/>
          </w:tcPr>
          <w:p w14:paraId="021104FD" w14:textId="6ACB26E3" w:rsidR="008B4DF8" w:rsidRPr="00C1603D" w:rsidRDefault="008B4DF8" w:rsidP="0079431C">
            <w:pPr>
              <w:pStyle w:val="72TabletextTablesTableFigureBoxstyles"/>
            </w:pPr>
            <w:r w:rsidRPr="00C1603D">
              <w:t>24</w:t>
            </w:r>
            <w:r w:rsidR="006C4B4B" w:rsidRPr="00C1603D">
              <w:t>,</w:t>
            </w:r>
            <w:r w:rsidRPr="00C1603D">
              <w:t>331 (5080</w:t>
            </w:r>
            <w:r w:rsidR="006C4B4B" w:rsidRPr="00C1603D">
              <w:t xml:space="preserve"> to</w:t>
            </w:r>
            <w:r w:rsidRPr="00C1603D">
              <w:t xml:space="preserve"> 56</w:t>
            </w:r>
            <w:r w:rsidR="006C4B4B" w:rsidRPr="00C1603D">
              <w:t>,</w:t>
            </w:r>
            <w:r w:rsidRPr="00C1603D">
              <w:t>493)</w:t>
            </w:r>
          </w:p>
        </w:tc>
      </w:tr>
      <w:tr w:rsidR="006C4B4B" w:rsidRPr="00C1603D" w14:paraId="5ADA0DFC" w14:textId="77777777" w:rsidTr="0079431C">
        <w:trPr>
          <w:cantSplit/>
        </w:trPr>
        <w:tc>
          <w:tcPr>
            <w:tcW w:w="0" w:type="auto"/>
            <w:shd w:val="clear" w:color="auto" w:fill="auto"/>
          </w:tcPr>
          <w:p w14:paraId="2B0E754A" w14:textId="26C0AEAA" w:rsidR="008B4DF8" w:rsidRPr="00C1603D" w:rsidRDefault="008B4DF8" w:rsidP="007106A1">
            <w:pPr>
              <w:pStyle w:val="72TabletextTablesTableFigureBoxstyles"/>
            </w:pPr>
            <w:r w:rsidRPr="00C1603D">
              <w:t>1.5</w:t>
            </w:r>
          </w:p>
        </w:tc>
        <w:tc>
          <w:tcPr>
            <w:tcW w:w="0" w:type="auto"/>
            <w:shd w:val="clear" w:color="auto" w:fill="auto"/>
          </w:tcPr>
          <w:p w14:paraId="64B65027" w14:textId="77777777" w:rsidR="008B4DF8" w:rsidRPr="00C1603D" w:rsidRDefault="008B4DF8" w:rsidP="006C4B4B">
            <w:pPr>
              <w:pStyle w:val="72TabletextTablesTableFigureBoxstyles"/>
            </w:pPr>
            <w:r w:rsidRPr="00C1603D">
              <w:t>0.87</w:t>
            </w:r>
          </w:p>
        </w:tc>
        <w:tc>
          <w:tcPr>
            <w:tcW w:w="0" w:type="auto"/>
            <w:shd w:val="clear" w:color="auto" w:fill="auto"/>
          </w:tcPr>
          <w:p w14:paraId="412DD1D1" w14:textId="77777777" w:rsidR="008B4DF8" w:rsidRPr="00C1603D" w:rsidRDefault="008B4DF8" w:rsidP="006C4B4B">
            <w:pPr>
              <w:pStyle w:val="72TabletextTablesTableFigureBoxstyles"/>
            </w:pPr>
            <w:r w:rsidRPr="00C1603D">
              <w:t>0.431</w:t>
            </w:r>
          </w:p>
        </w:tc>
        <w:tc>
          <w:tcPr>
            <w:tcW w:w="0" w:type="auto"/>
            <w:shd w:val="clear" w:color="auto" w:fill="auto"/>
          </w:tcPr>
          <w:p w14:paraId="15D71D1D" w14:textId="77777777" w:rsidR="008B4DF8" w:rsidRPr="00C1603D" w:rsidRDefault="008B4DF8" w:rsidP="0079431C">
            <w:pPr>
              <w:pStyle w:val="72TabletextTablesTableFigureBoxstyles"/>
            </w:pPr>
            <w:r w:rsidRPr="00C1603D">
              <w:t>IgA tTG</w:t>
            </w:r>
          </w:p>
        </w:tc>
        <w:tc>
          <w:tcPr>
            <w:tcW w:w="0" w:type="auto"/>
            <w:shd w:val="clear" w:color="auto" w:fill="auto"/>
          </w:tcPr>
          <w:p w14:paraId="7884A15F" w14:textId="2ED24E51" w:rsidR="008B4DF8" w:rsidRPr="00C1603D" w:rsidRDefault="008B4DF8" w:rsidP="0079431C">
            <w:pPr>
              <w:pStyle w:val="72TabletextTablesTableFigureBoxstyles"/>
            </w:pPr>
            <w:r w:rsidRPr="00C1603D">
              <w:t>18</w:t>
            </w:r>
            <w:r w:rsidR="0081692F" w:rsidRPr="00C1603D">
              <w:t>,</w:t>
            </w:r>
            <w:r w:rsidRPr="00C1603D">
              <w:t>325 (15</w:t>
            </w:r>
            <w:r w:rsidR="0081692F" w:rsidRPr="00C1603D">
              <w:t>,</w:t>
            </w:r>
            <w:r w:rsidRPr="00C1603D">
              <w:t>069</w:t>
            </w:r>
            <w:r w:rsidR="006C4B4B" w:rsidRPr="00C1603D">
              <w:t xml:space="preserve"> to</w:t>
            </w:r>
            <w:r w:rsidRPr="00C1603D">
              <w:t xml:space="preserve"> 20</w:t>
            </w:r>
            <w:r w:rsidR="0081692F" w:rsidRPr="00C1603D">
              <w:t>,</w:t>
            </w:r>
            <w:r w:rsidRPr="00C1603D">
              <w:t>186)</w:t>
            </w:r>
          </w:p>
        </w:tc>
        <w:tc>
          <w:tcPr>
            <w:tcW w:w="0" w:type="auto"/>
            <w:shd w:val="clear" w:color="auto" w:fill="auto"/>
          </w:tcPr>
          <w:p w14:paraId="132FB06D" w14:textId="2ADB2F52" w:rsidR="008B4DF8" w:rsidRPr="00C1603D" w:rsidRDefault="008B4DF8" w:rsidP="0079431C">
            <w:pPr>
              <w:pStyle w:val="72TabletextTablesTableFigureBoxstyles"/>
            </w:pPr>
            <w:r w:rsidRPr="00C1603D">
              <w:t>18.36 (16.52</w:t>
            </w:r>
            <w:r w:rsidR="006C4B4B" w:rsidRPr="00C1603D">
              <w:t xml:space="preserve"> to</w:t>
            </w:r>
            <w:r w:rsidRPr="00C1603D">
              <w:t xml:space="preserve"> 19.56)</w:t>
            </w:r>
          </w:p>
        </w:tc>
        <w:tc>
          <w:tcPr>
            <w:tcW w:w="0" w:type="auto"/>
            <w:shd w:val="clear" w:color="auto" w:fill="auto"/>
          </w:tcPr>
          <w:p w14:paraId="27900344" w14:textId="34C84CBE" w:rsidR="008B4DF8" w:rsidRPr="00C1603D" w:rsidRDefault="008B4DF8" w:rsidP="0079431C">
            <w:pPr>
              <w:pStyle w:val="72TabletextTablesTableFigureBoxstyles"/>
            </w:pPr>
            <w:r w:rsidRPr="00C1603D">
              <w:t>161 (</w:t>
            </w:r>
            <w:r w:rsidRPr="00C1603D">
              <w:rPr>
                <w:color w:val="00B0F0"/>
              </w:rPr>
              <w:t>–6</w:t>
            </w:r>
            <w:r w:rsidRPr="00C1603D">
              <w:t>76</w:t>
            </w:r>
            <w:r w:rsidR="006C4B4B" w:rsidRPr="00C1603D">
              <w:t xml:space="preserve"> to</w:t>
            </w:r>
            <w:r w:rsidRPr="00C1603D">
              <w:t xml:space="preserve"> 1530)</w:t>
            </w:r>
          </w:p>
        </w:tc>
      </w:tr>
      <w:tr w:rsidR="006C4B4B" w:rsidRPr="00C1603D" w14:paraId="4523DBAF" w14:textId="77777777" w:rsidTr="0079431C">
        <w:trPr>
          <w:cantSplit/>
        </w:trPr>
        <w:tc>
          <w:tcPr>
            <w:tcW w:w="0" w:type="auto"/>
            <w:shd w:val="clear" w:color="auto" w:fill="auto"/>
          </w:tcPr>
          <w:p w14:paraId="7A5764EB" w14:textId="48F9779D" w:rsidR="008B4DF8" w:rsidRPr="00C1603D" w:rsidRDefault="008B4DF8" w:rsidP="007106A1">
            <w:pPr>
              <w:pStyle w:val="72TabletextTablesTableFigureBoxstyles"/>
            </w:pPr>
            <w:r w:rsidRPr="00C1603D">
              <w:t>2</w:t>
            </w:r>
          </w:p>
        </w:tc>
        <w:tc>
          <w:tcPr>
            <w:tcW w:w="0" w:type="auto"/>
            <w:shd w:val="clear" w:color="auto" w:fill="auto"/>
          </w:tcPr>
          <w:p w14:paraId="05C78C8D" w14:textId="77777777" w:rsidR="008B4DF8" w:rsidRPr="00C1603D" w:rsidRDefault="008B4DF8" w:rsidP="006C4B4B">
            <w:pPr>
              <w:pStyle w:val="72TabletextTablesTableFigureBoxstyles"/>
            </w:pPr>
            <w:r w:rsidRPr="00C1603D">
              <w:t>0.79</w:t>
            </w:r>
          </w:p>
        </w:tc>
        <w:tc>
          <w:tcPr>
            <w:tcW w:w="0" w:type="auto"/>
            <w:shd w:val="clear" w:color="auto" w:fill="auto"/>
          </w:tcPr>
          <w:p w14:paraId="5367B664" w14:textId="77777777" w:rsidR="008B4DF8" w:rsidRPr="00C1603D" w:rsidRDefault="008B4DF8" w:rsidP="006C4B4B">
            <w:pPr>
              <w:pStyle w:val="72TabletextTablesTableFigureBoxstyles"/>
            </w:pPr>
            <w:r w:rsidRPr="00C1603D">
              <w:t>0.61</w:t>
            </w:r>
          </w:p>
        </w:tc>
        <w:tc>
          <w:tcPr>
            <w:tcW w:w="0" w:type="auto"/>
            <w:shd w:val="clear" w:color="auto" w:fill="auto"/>
          </w:tcPr>
          <w:p w14:paraId="4CCD0ADF" w14:textId="77777777" w:rsidR="008B4DF8" w:rsidRPr="00C1603D" w:rsidRDefault="008B4DF8" w:rsidP="0079431C">
            <w:pPr>
              <w:pStyle w:val="72TabletextTablesTableFigureBoxstyles"/>
            </w:pPr>
            <w:r w:rsidRPr="00C1603D">
              <w:t>IgA tTG</w:t>
            </w:r>
          </w:p>
        </w:tc>
        <w:tc>
          <w:tcPr>
            <w:tcW w:w="0" w:type="auto"/>
            <w:shd w:val="clear" w:color="auto" w:fill="auto"/>
          </w:tcPr>
          <w:p w14:paraId="7126E01B" w14:textId="13AD2027" w:rsidR="008B4DF8" w:rsidRPr="00C1603D" w:rsidRDefault="008B4DF8" w:rsidP="0079431C">
            <w:pPr>
              <w:pStyle w:val="72TabletextTablesTableFigureBoxstyles"/>
            </w:pPr>
            <w:r w:rsidRPr="00C1603D">
              <w:t>18</w:t>
            </w:r>
            <w:r w:rsidR="0081692F" w:rsidRPr="00C1603D">
              <w:t>,</w:t>
            </w:r>
            <w:r w:rsidRPr="00C1603D">
              <w:t>236 (14</w:t>
            </w:r>
            <w:r w:rsidR="0081692F" w:rsidRPr="00C1603D">
              <w:t>,</w:t>
            </w:r>
            <w:r w:rsidRPr="00C1603D">
              <w:t>990</w:t>
            </w:r>
            <w:r w:rsidR="006C4B4B" w:rsidRPr="00C1603D">
              <w:t xml:space="preserve"> to</w:t>
            </w:r>
            <w:r w:rsidRPr="00C1603D">
              <w:t xml:space="preserve"> 20</w:t>
            </w:r>
            <w:r w:rsidR="0081692F" w:rsidRPr="00C1603D">
              <w:t>,</w:t>
            </w:r>
            <w:r w:rsidRPr="00C1603D">
              <w:t>091)</w:t>
            </w:r>
          </w:p>
        </w:tc>
        <w:tc>
          <w:tcPr>
            <w:tcW w:w="0" w:type="auto"/>
            <w:shd w:val="clear" w:color="auto" w:fill="auto"/>
          </w:tcPr>
          <w:p w14:paraId="7B705681" w14:textId="328A18BC" w:rsidR="008B4DF8" w:rsidRPr="00C1603D" w:rsidRDefault="008B4DF8" w:rsidP="0079431C">
            <w:pPr>
              <w:pStyle w:val="72TabletextTablesTableFigureBoxstyles"/>
            </w:pPr>
            <w:r w:rsidRPr="00C1603D">
              <w:t>18.37 (16.53</w:t>
            </w:r>
            <w:r w:rsidR="006C4B4B" w:rsidRPr="00C1603D">
              <w:t xml:space="preserve"> to</w:t>
            </w:r>
            <w:r w:rsidRPr="00C1603D">
              <w:t xml:space="preserve"> 19.56)</w:t>
            </w:r>
          </w:p>
        </w:tc>
        <w:tc>
          <w:tcPr>
            <w:tcW w:w="0" w:type="auto"/>
            <w:shd w:val="clear" w:color="auto" w:fill="auto"/>
          </w:tcPr>
          <w:p w14:paraId="1FB385E1" w14:textId="1AE80C0B" w:rsidR="008B4DF8" w:rsidRPr="00C1603D" w:rsidRDefault="008B4DF8" w:rsidP="0079431C">
            <w:pPr>
              <w:pStyle w:val="72TabletextTablesTableFigureBoxstyles"/>
            </w:pPr>
            <w:r w:rsidRPr="00C1603D">
              <w:t>355 (</w:t>
            </w:r>
            <w:r w:rsidRPr="00C1603D">
              <w:rPr>
                <w:color w:val="00B0F0"/>
              </w:rPr>
              <w:t>–5</w:t>
            </w:r>
            <w:r w:rsidRPr="00C1603D">
              <w:t>49</w:t>
            </w:r>
            <w:r w:rsidR="006C4B4B" w:rsidRPr="00C1603D">
              <w:t xml:space="preserve"> to</w:t>
            </w:r>
            <w:r w:rsidRPr="00C1603D">
              <w:t xml:space="preserve"> 1838)</w:t>
            </w:r>
          </w:p>
        </w:tc>
      </w:tr>
      <w:tr w:rsidR="006C4B4B" w:rsidRPr="00C1603D" w14:paraId="20DA8E1B" w14:textId="77777777" w:rsidTr="0079431C">
        <w:trPr>
          <w:cantSplit/>
        </w:trPr>
        <w:tc>
          <w:tcPr>
            <w:tcW w:w="0" w:type="auto"/>
            <w:shd w:val="clear" w:color="auto" w:fill="auto"/>
          </w:tcPr>
          <w:p w14:paraId="0BAFA557" w14:textId="256EA34B" w:rsidR="008B4DF8" w:rsidRPr="00C1603D" w:rsidRDefault="008B4DF8" w:rsidP="007106A1">
            <w:pPr>
              <w:pStyle w:val="72TabletextTablesTableFigureBoxstyles"/>
            </w:pPr>
            <w:r w:rsidRPr="00C1603D">
              <w:t>5</w:t>
            </w:r>
          </w:p>
        </w:tc>
        <w:tc>
          <w:tcPr>
            <w:tcW w:w="0" w:type="auto"/>
            <w:shd w:val="clear" w:color="auto" w:fill="auto"/>
          </w:tcPr>
          <w:p w14:paraId="6C66A922" w14:textId="77777777" w:rsidR="008B4DF8" w:rsidRPr="00C1603D" w:rsidRDefault="008B4DF8" w:rsidP="006C4B4B">
            <w:pPr>
              <w:pStyle w:val="72TabletextTablesTableFigureBoxstyles"/>
            </w:pPr>
            <w:r w:rsidRPr="00C1603D">
              <w:t>0.579</w:t>
            </w:r>
          </w:p>
        </w:tc>
        <w:tc>
          <w:tcPr>
            <w:tcW w:w="0" w:type="auto"/>
            <w:shd w:val="clear" w:color="auto" w:fill="auto"/>
          </w:tcPr>
          <w:p w14:paraId="397375D6" w14:textId="77777777" w:rsidR="008B4DF8" w:rsidRPr="00C1603D" w:rsidRDefault="008B4DF8" w:rsidP="006C4B4B">
            <w:pPr>
              <w:pStyle w:val="72TabletextTablesTableFigureBoxstyles"/>
            </w:pPr>
            <w:r w:rsidRPr="00C1603D">
              <w:t>0.889</w:t>
            </w:r>
          </w:p>
        </w:tc>
        <w:tc>
          <w:tcPr>
            <w:tcW w:w="0" w:type="auto"/>
            <w:shd w:val="clear" w:color="auto" w:fill="auto"/>
          </w:tcPr>
          <w:p w14:paraId="1D7C6F95" w14:textId="77777777" w:rsidR="008B4DF8" w:rsidRPr="00C1603D" w:rsidRDefault="008B4DF8" w:rsidP="0079431C">
            <w:pPr>
              <w:pStyle w:val="72TabletextTablesTableFigureBoxstyles"/>
            </w:pPr>
            <w:r w:rsidRPr="00C1603D">
              <w:t>IgA tTG</w:t>
            </w:r>
          </w:p>
        </w:tc>
        <w:tc>
          <w:tcPr>
            <w:tcW w:w="0" w:type="auto"/>
            <w:shd w:val="clear" w:color="auto" w:fill="auto"/>
          </w:tcPr>
          <w:p w14:paraId="49D15CA1" w14:textId="29520FD4" w:rsidR="008B4DF8" w:rsidRPr="00C1603D" w:rsidRDefault="008B4DF8" w:rsidP="0079431C">
            <w:pPr>
              <w:pStyle w:val="72TabletextTablesTableFigureBoxstyles"/>
            </w:pPr>
            <w:r w:rsidRPr="00C1603D">
              <w:t>18</w:t>
            </w:r>
            <w:r w:rsidR="0081692F" w:rsidRPr="00C1603D">
              <w:t>,</w:t>
            </w:r>
            <w:r w:rsidRPr="00C1603D">
              <w:t>270 (15</w:t>
            </w:r>
            <w:r w:rsidR="0081692F" w:rsidRPr="00C1603D">
              <w:t>,</w:t>
            </w:r>
            <w:r w:rsidRPr="00C1603D">
              <w:t>286</w:t>
            </w:r>
            <w:r w:rsidR="006C4B4B" w:rsidRPr="00C1603D">
              <w:t xml:space="preserve"> to</w:t>
            </w:r>
            <w:r w:rsidRPr="00C1603D">
              <w:t xml:space="preserve"> 19</w:t>
            </w:r>
            <w:r w:rsidR="0081692F" w:rsidRPr="00C1603D">
              <w:t>,</w:t>
            </w:r>
            <w:r w:rsidRPr="00C1603D">
              <w:t>963)</w:t>
            </w:r>
          </w:p>
        </w:tc>
        <w:tc>
          <w:tcPr>
            <w:tcW w:w="0" w:type="auto"/>
            <w:shd w:val="clear" w:color="auto" w:fill="auto"/>
          </w:tcPr>
          <w:p w14:paraId="7FDB5A7C" w14:textId="732C3866" w:rsidR="008B4DF8" w:rsidRPr="00C1603D" w:rsidRDefault="008B4DF8" w:rsidP="0079431C">
            <w:pPr>
              <w:pStyle w:val="72TabletextTablesTableFigureBoxstyles"/>
            </w:pPr>
            <w:r w:rsidRPr="00C1603D">
              <w:t>18.49 (16.83</w:t>
            </w:r>
            <w:r w:rsidR="006C4B4B" w:rsidRPr="00C1603D">
              <w:t xml:space="preserve"> to</w:t>
            </w:r>
            <w:r w:rsidRPr="00C1603D">
              <w:t xml:space="preserve"> 19.6)</w:t>
            </w:r>
          </w:p>
        </w:tc>
        <w:tc>
          <w:tcPr>
            <w:tcW w:w="0" w:type="auto"/>
            <w:shd w:val="clear" w:color="auto" w:fill="auto"/>
          </w:tcPr>
          <w:p w14:paraId="1D2B4AA0" w14:textId="02C48CD5" w:rsidR="008B4DF8" w:rsidRPr="00C1603D" w:rsidRDefault="008B4DF8" w:rsidP="0079431C">
            <w:pPr>
              <w:pStyle w:val="72TabletextTablesTableFigureBoxstyles"/>
            </w:pPr>
            <w:r w:rsidRPr="00C1603D">
              <w:t>2838 (187</w:t>
            </w:r>
            <w:r w:rsidR="006C4B4B" w:rsidRPr="00C1603D">
              <w:t xml:space="preserve"> to</w:t>
            </w:r>
            <w:r w:rsidRPr="00C1603D">
              <w:t xml:space="preserve"> 7218)</w:t>
            </w:r>
          </w:p>
        </w:tc>
      </w:tr>
      <w:tr w:rsidR="006C4B4B" w:rsidRPr="00C1603D" w14:paraId="74575339" w14:textId="77777777" w:rsidTr="0079431C">
        <w:trPr>
          <w:cantSplit/>
        </w:trPr>
        <w:tc>
          <w:tcPr>
            <w:tcW w:w="0" w:type="auto"/>
            <w:shd w:val="clear" w:color="auto" w:fill="auto"/>
          </w:tcPr>
          <w:p w14:paraId="7B8A5B33" w14:textId="207B453F" w:rsidR="008B4DF8" w:rsidRPr="00C1603D" w:rsidRDefault="008B4DF8" w:rsidP="007106A1">
            <w:pPr>
              <w:pStyle w:val="72TabletextTablesTableFigureBoxstyles"/>
            </w:pPr>
            <w:r w:rsidRPr="00C1603D">
              <w:t>10</w:t>
            </w:r>
          </w:p>
        </w:tc>
        <w:tc>
          <w:tcPr>
            <w:tcW w:w="0" w:type="auto"/>
            <w:shd w:val="clear" w:color="auto" w:fill="auto"/>
          </w:tcPr>
          <w:p w14:paraId="05D9B8FA" w14:textId="77777777" w:rsidR="008B4DF8" w:rsidRPr="00C1603D" w:rsidRDefault="008B4DF8" w:rsidP="006C4B4B">
            <w:pPr>
              <w:pStyle w:val="72TabletextTablesTableFigureBoxstyles"/>
            </w:pPr>
            <w:r w:rsidRPr="00C1603D">
              <w:t>0.322</w:t>
            </w:r>
          </w:p>
        </w:tc>
        <w:tc>
          <w:tcPr>
            <w:tcW w:w="0" w:type="auto"/>
            <w:shd w:val="clear" w:color="auto" w:fill="auto"/>
          </w:tcPr>
          <w:p w14:paraId="0C9A15A2" w14:textId="77777777" w:rsidR="008B4DF8" w:rsidRPr="00C1603D" w:rsidRDefault="008B4DF8" w:rsidP="006C4B4B">
            <w:pPr>
              <w:pStyle w:val="72TabletextTablesTableFigureBoxstyles"/>
            </w:pPr>
            <w:r w:rsidRPr="00C1603D">
              <w:t>0.971</w:t>
            </w:r>
          </w:p>
        </w:tc>
        <w:tc>
          <w:tcPr>
            <w:tcW w:w="0" w:type="auto"/>
            <w:shd w:val="clear" w:color="auto" w:fill="auto"/>
          </w:tcPr>
          <w:p w14:paraId="0E3C8DEB" w14:textId="77777777" w:rsidR="008B4DF8" w:rsidRPr="00C1603D" w:rsidRDefault="008B4DF8" w:rsidP="0079431C">
            <w:pPr>
              <w:pStyle w:val="72TabletextTablesTableFigureBoxstyles"/>
            </w:pPr>
            <w:r w:rsidRPr="00C1603D">
              <w:t>IgA tTG</w:t>
            </w:r>
          </w:p>
        </w:tc>
        <w:tc>
          <w:tcPr>
            <w:tcW w:w="0" w:type="auto"/>
            <w:shd w:val="clear" w:color="auto" w:fill="auto"/>
          </w:tcPr>
          <w:p w14:paraId="441D2E56" w14:textId="3EC80ECE" w:rsidR="008B4DF8" w:rsidRPr="00C1603D" w:rsidRDefault="008B4DF8" w:rsidP="0079431C">
            <w:pPr>
              <w:pStyle w:val="72TabletextTablesTableFigureBoxstyles"/>
            </w:pPr>
            <w:r w:rsidRPr="00C1603D">
              <w:t>18</w:t>
            </w:r>
            <w:r w:rsidR="0081692F" w:rsidRPr="00C1603D">
              <w:t>,</w:t>
            </w:r>
            <w:r w:rsidRPr="00C1603D">
              <w:t>567 (16</w:t>
            </w:r>
            <w:r w:rsidR="0081692F" w:rsidRPr="00C1603D">
              <w:t>,</w:t>
            </w:r>
            <w:r w:rsidRPr="00C1603D">
              <w:t>137</w:t>
            </w:r>
            <w:r w:rsidR="006C4B4B" w:rsidRPr="00C1603D">
              <w:t xml:space="preserve"> to</w:t>
            </w:r>
            <w:r w:rsidRPr="00C1603D">
              <w:t xml:space="preserve"> 19</w:t>
            </w:r>
            <w:r w:rsidR="0081692F" w:rsidRPr="00C1603D">
              <w:t>,</w:t>
            </w:r>
            <w:r w:rsidRPr="00C1603D">
              <w:t>955)</w:t>
            </w:r>
          </w:p>
        </w:tc>
        <w:tc>
          <w:tcPr>
            <w:tcW w:w="0" w:type="auto"/>
            <w:shd w:val="clear" w:color="auto" w:fill="auto"/>
          </w:tcPr>
          <w:p w14:paraId="2E877B66" w14:textId="7F8B85BB" w:rsidR="008B4DF8" w:rsidRPr="00C1603D" w:rsidRDefault="008B4DF8" w:rsidP="0079431C">
            <w:pPr>
              <w:pStyle w:val="72TabletextTablesTableFigureBoxstyles"/>
            </w:pPr>
            <w:r w:rsidRPr="00C1603D">
              <w:t>18.72 (17.37</w:t>
            </w:r>
            <w:r w:rsidR="006C4B4B" w:rsidRPr="00C1603D">
              <w:t xml:space="preserve"> to</w:t>
            </w:r>
            <w:r w:rsidRPr="00C1603D">
              <w:t xml:space="preserve"> 19.66)</w:t>
            </w:r>
          </w:p>
        </w:tc>
        <w:tc>
          <w:tcPr>
            <w:tcW w:w="0" w:type="auto"/>
            <w:shd w:val="clear" w:color="auto" w:fill="auto"/>
          </w:tcPr>
          <w:p w14:paraId="1E95CFF3" w14:textId="1BECCE14" w:rsidR="008B4DF8" w:rsidRPr="00C1603D" w:rsidRDefault="008B4DF8" w:rsidP="0079431C">
            <w:pPr>
              <w:pStyle w:val="72TabletextTablesTableFigureBoxstyles"/>
            </w:pPr>
            <w:r w:rsidRPr="00C1603D">
              <w:t>7179 (1292</w:t>
            </w:r>
            <w:r w:rsidR="006C4B4B" w:rsidRPr="00C1603D">
              <w:t xml:space="preserve"> to</w:t>
            </w:r>
            <w:r w:rsidRPr="00C1603D">
              <w:t xml:space="preserve"> 16</w:t>
            </w:r>
            <w:r w:rsidR="0081692F" w:rsidRPr="00C1603D">
              <w:t>,</w:t>
            </w:r>
            <w:r w:rsidRPr="00C1603D">
              <w:t>949)</w:t>
            </w:r>
          </w:p>
        </w:tc>
      </w:tr>
      <w:tr w:rsidR="006C4B4B" w:rsidRPr="00C1603D" w14:paraId="5641A528" w14:textId="77777777" w:rsidTr="0079431C">
        <w:trPr>
          <w:cantSplit/>
        </w:trPr>
        <w:tc>
          <w:tcPr>
            <w:tcW w:w="0" w:type="auto"/>
            <w:shd w:val="clear" w:color="auto" w:fill="auto"/>
          </w:tcPr>
          <w:p w14:paraId="5520A984" w14:textId="341C42ED" w:rsidR="008B4DF8" w:rsidRPr="00C1603D" w:rsidRDefault="008B4DF8" w:rsidP="007106A1">
            <w:pPr>
              <w:pStyle w:val="72TabletextTablesTableFigureBoxstyles"/>
            </w:pPr>
            <w:r w:rsidRPr="00C1603D">
              <w:t>20</w:t>
            </w:r>
          </w:p>
        </w:tc>
        <w:tc>
          <w:tcPr>
            <w:tcW w:w="0" w:type="auto"/>
            <w:shd w:val="clear" w:color="auto" w:fill="auto"/>
          </w:tcPr>
          <w:p w14:paraId="611417E0" w14:textId="77777777" w:rsidR="008B4DF8" w:rsidRPr="00C1603D" w:rsidRDefault="008B4DF8" w:rsidP="006C4B4B">
            <w:pPr>
              <w:pStyle w:val="72TabletextTablesTableFigureBoxstyles"/>
            </w:pPr>
            <w:r w:rsidRPr="00C1603D">
              <w:t>0.107</w:t>
            </w:r>
          </w:p>
        </w:tc>
        <w:tc>
          <w:tcPr>
            <w:tcW w:w="0" w:type="auto"/>
            <w:shd w:val="clear" w:color="auto" w:fill="auto"/>
          </w:tcPr>
          <w:p w14:paraId="5AE4CDEE" w14:textId="77777777" w:rsidR="008B4DF8" w:rsidRPr="00C1603D" w:rsidRDefault="008B4DF8" w:rsidP="006C4B4B">
            <w:pPr>
              <w:pStyle w:val="72TabletextTablesTableFigureBoxstyles"/>
            </w:pPr>
            <w:r w:rsidRPr="00C1603D">
              <w:t>0.996</w:t>
            </w:r>
          </w:p>
        </w:tc>
        <w:tc>
          <w:tcPr>
            <w:tcW w:w="0" w:type="auto"/>
            <w:shd w:val="clear" w:color="auto" w:fill="auto"/>
          </w:tcPr>
          <w:p w14:paraId="16BD1056" w14:textId="77777777" w:rsidR="008B4DF8" w:rsidRPr="00C1603D" w:rsidRDefault="008B4DF8" w:rsidP="0079431C">
            <w:pPr>
              <w:pStyle w:val="72TabletextTablesTableFigureBoxstyles"/>
            </w:pPr>
            <w:r w:rsidRPr="00C1603D">
              <w:t>IgA tTG</w:t>
            </w:r>
          </w:p>
        </w:tc>
        <w:tc>
          <w:tcPr>
            <w:tcW w:w="0" w:type="auto"/>
            <w:shd w:val="clear" w:color="auto" w:fill="auto"/>
          </w:tcPr>
          <w:p w14:paraId="6E2863CB" w14:textId="3D78EB5B" w:rsidR="008B4DF8" w:rsidRPr="00C1603D" w:rsidRDefault="008B4DF8" w:rsidP="0079431C">
            <w:pPr>
              <w:pStyle w:val="72TabletextTablesTableFigureBoxstyles"/>
            </w:pPr>
            <w:r w:rsidRPr="00C1603D">
              <w:t>19</w:t>
            </w:r>
            <w:r w:rsidR="0081692F" w:rsidRPr="00C1603D">
              <w:t>,</w:t>
            </w:r>
            <w:r w:rsidRPr="00C1603D">
              <w:t>267 (18</w:t>
            </w:r>
            <w:r w:rsidR="0081692F" w:rsidRPr="00C1603D">
              <w:t>,</w:t>
            </w:r>
            <w:r w:rsidRPr="00C1603D">
              <w:t>020</w:t>
            </w:r>
            <w:r w:rsidR="006C4B4B" w:rsidRPr="00C1603D">
              <w:t xml:space="preserve"> to</w:t>
            </w:r>
            <w:r w:rsidRPr="00C1603D">
              <w:t xml:space="preserve"> 20</w:t>
            </w:r>
            <w:r w:rsidR="0081692F" w:rsidRPr="00C1603D">
              <w:t>,</w:t>
            </w:r>
            <w:r w:rsidRPr="00C1603D">
              <w:t>053)</w:t>
            </w:r>
          </w:p>
        </w:tc>
        <w:tc>
          <w:tcPr>
            <w:tcW w:w="0" w:type="auto"/>
            <w:shd w:val="clear" w:color="auto" w:fill="auto"/>
          </w:tcPr>
          <w:p w14:paraId="1E895790" w14:textId="2334F378" w:rsidR="008B4DF8" w:rsidRPr="00C1603D" w:rsidRDefault="008B4DF8" w:rsidP="0079431C">
            <w:pPr>
              <w:pStyle w:val="72TabletextTablesTableFigureBoxstyles"/>
            </w:pPr>
            <w:r w:rsidRPr="00C1603D">
              <w:t>19.21 (18.43</w:t>
            </w:r>
            <w:r w:rsidR="006C4B4B" w:rsidRPr="00C1603D">
              <w:t xml:space="preserve"> to</w:t>
            </w:r>
            <w:r w:rsidRPr="00C1603D">
              <w:t xml:space="preserve"> 19.82)</w:t>
            </w:r>
          </w:p>
        </w:tc>
        <w:tc>
          <w:tcPr>
            <w:tcW w:w="0" w:type="auto"/>
            <w:shd w:val="clear" w:color="auto" w:fill="auto"/>
          </w:tcPr>
          <w:p w14:paraId="15F0E9AF" w14:textId="42C23FEA" w:rsidR="008B4DF8" w:rsidRPr="00C1603D" w:rsidRDefault="008B4DF8" w:rsidP="0079431C">
            <w:pPr>
              <w:pStyle w:val="72TabletextTablesTableFigureBoxstyles"/>
            </w:pPr>
            <w:r w:rsidRPr="00C1603D">
              <w:t>16</w:t>
            </w:r>
            <w:r w:rsidR="0081692F" w:rsidRPr="00C1603D">
              <w:t>,</w:t>
            </w:r>
            <w:r w:rsidRPr="00C1603D">
              <w:t>114 (3482</w:t>
            </w:r>
            <w:r w:rsidR="006C4B4B" w:rsidRPr="00C1603D">
              <w:t xml:space="preserve"> to</w:t>
            </w:r>
            <w:r w:rsidRPr="00C1603D">
              <w:t xml:space="preserve"> 37</w:t>
            </w:r>
            <w:r w:rsidR="0081692F" w:rsidRPr="00C1603D">
              <w:t>,</w:t>
            </w:r>
            <w:r w:rsidRPr="00C1603D">
              <w:t>161)</w:t>
            </w:r>
          </w:p>
        </w:tc>
      </w:tr>
      <w:tr w:rsidR="006C4B4B" w:rsidRPr="00C1603D" w14:paraId="1E907D0C" w14:textId="77777777" w:rsidTr="0079431C">
        <w:trPr>
          <w:cantSplit/>
        </w:trPr>
        <w:tc>
          <w:tcPr>
            <w:tcW w:w="0" w:type="auto"/>
            <w:shd w:val="clear" w:color="auto" w:fill="auto"/>
          </w:tcPr>
          <w:p w14:paraId="2F69CD6B" w14:textId="3B404B0D" w:rsidR="008B4DF8" w:rsidRPr="00C1603D" w:rsidRDefault="008B4DF8" w:rsidP="007106A1">
            <w:pPr>
              <w:pStyle w:val="72TabletextTablesTableFigureBoxstyles"/>
            </w:pPr>
            <w:r w:rsidRPr="00C1603D">
              <w:t>1</w:t>
            </w:r>
          </w:p>
        </w:tc>
        <w:tc>
          <w:tcPr>
            <w:tcW w:w="0" w:type="auto"/>
            <w:shd w:val="clear" w:color="auto" w:fill="auto"/>
          </w:tcPr>
          <w:p w14:paraId="08FA4C34" w14:textId="77777777" w:rsidR="008B4DF8" w:rsidRPr="00C1603D" w:rsidRDefault="008B4DF8" w:rsidP="006C4B4B">
            <w:pPr>
              <w:pStyle w:val="72TabletextTablesTableFigureBoxstyles"/>
            </w:pPr>
            <w:r w:rsidRPr="00C1603D">
              <w:t>1</w:t>
            </w:r>
          </w:p>
        </w:tc>
        <w:tc>
          <w:tcPr>
            <w:tcW w:w="0" w:type="auto"/>
            <w:shd w:val="clear" w:color="auto" w:fill="auto"/>
          </w:tcPr>
          <w:p w14:paraId="054A2190" w14:textId="77777777" w:rsidR="008B4DF8" w:rsidRPr="00C1603D" w:rsidRDefault="008B4DF8" w:rsidP="006C4B4B">
            <w:pPr>
              <w:pStyle w:val="72TabletextTablesTableFigureBoxstyles"/>
            </w:pPr>
            <w:r w:rsidRPr="00C1603D">
              <w:t>0</w:t>
            </w:r>
          </w:p>
        </w:tc>
        <w:tc>
          <w:tcPr>
            <w:tcW w:w="0" w:type="auto"/>
            <w:shd w:val="clear" w:color="auto" w:fill="auto"/>
          </w:tcPr>
          <w:p w14:paraId="07F64D69" w14:textId="77777777" w:rsidR="008B4DF8" w:rsidRPr="00C1603D" w:rsidRDefault="008B4DF8" w:rsidP="0079431C">
            <w:pPr>
              <w:pStyle w:val="72TabletextTablesTableFigureBoxstyles"/>
            </w:pPr>
            <w:r w:rsidRPr="00C1603D">
              <w:t>IgA EMA plus HLA</w:t>
            </w:r>
          </w:p>
        </w:tc>
        <w:tc>
          <w:tcPr>
            <w:tcW w:w="0" w:type="auto"/>
            <w:shd w:val="clear" w:color="auto" w:fill="auto"/>
          </w:tcPr>
          <w:p w14:paraId="0F045C2F" w14:textId="569888D7" w:rsidR="008B4DF8" w:rsidRPr="00C1603D" w:rsidRDefault="008B4DF8" w:rsidP="0079431C">
            <w:pPr>
              <w:pStyle w:val="72TabletextTablesTableFigureBoxstyles"/>
            </w:pPr>
            <w:r w:rsidRPr="00C1603D">
              <w:t>20</w:t>
            </w:r>
            <w:r w:rsidR="0081692F" w:rsidRPr="00C1603D">
              <w:t>,</w:t>
            </w:r>
            <w:r w:rsidRPr="00C1603D">
              <w:t>841 (20</w:t>
            </w:r>
            <w:r w:rsidR="0081692F" w:rsidRPr="00C1603D">
              <w:t>,</w:t>
            </w:r>
            <w:r w:rsidRPr="00C1603D">
              <w:t>546</w:t>
            </w:r>
            <w:r w:rsidR="006C4B4B" w:rsidRPr="00C1603D">
              <w:t xml:space="preserve"> to</w:t>
            </w:r>
            <w:r w:rsidRPr="00C1603D">
              <w:t xml:space="preserve"> 21</w:t>
            </w:r>
            <w:r w:rsidR="0081692F" w:rsidRPr="00C1603D">
              <w:t>,</w:t>
            </w:r>
            <w:r w:rsidRPr="00C1603D">
              <w:t>147)</w:t>
            </w:r>
          </w:p>
        </w:tc>
        <w:tc>
          <w:tcPr>
            <w:tcW w:w="0" w:type="auto"/>
            <w:shd w:val="clear" w:color="auto" w:fill="auto"/>
          </w:tcPr>
          <w:p w14:paraId="355142E7" w14:textId="1B5B9B95" w:rsidR="008B4DF8" w:rsidRPr="00C1603D" w:rsidRDefault="008B4DF8" w:rsidP="0079431C">
            <w:pPr>
              <w:pStyle w:val="72TabletextTablesTableFigureBoxstyles"/>
            </w:pPr>
            <w:r w:rsidRPr="00C1603D">
              <w:t>19.73 (19.19</w:t>
            </w:r>
            <w:r w:rsidR="006C4B4B" w:rsidRPr="00C1603D">
              <w:t xml:space="preserve"> to</w:t>
            </w:r>
            <w:r w:rsidRPr="00C1603D">
              <w:t xml:space="preserve"> 20.1)</w:t>
            </w:r>
          </w:p>
        </w:tc>
        <w:tc>
          <w:tcPr>
            <w:tcW w:w="0" w:type="auto"/>
            <w:shd w:val="clear" w:color="auto" w:fill="auto"/>
          </w:tcPr>
          <w:p w14:paraId="09806ADE" w14:textId="41125E9E" w:rsidR="008B4DF8" w:rsidRPr="00C1603D" w:rsidRDefault="008B4DF8" w:rsidP="0079431C">
            <w:pPr>
              <w:pStyle w:val="72TabletextTablesTableFigureBoxstyles"/>
            </w:pPr>
            <w:r w:rsidRPr="00C1603D">
              <w:t>25</w:t>
            </w:r>
            <w:r w:rsidR="0081692F" w:rsidRPr="00C1603D">
              <w:t>,</w:t>
            </w:r>
            <w:r w:rsidRPr="00C1603D">
              <w:t>060 (5050</w:t>
            </w:r>
            <w:r w:rsidR="006C4B4B" w:rsidRPr="00C1603D">
              <w:t xml:space="preserve"> to</w:t>
            </w:r>
            <w:r w:rsidRPr="00C1603D">
              <w:t xml:space="preserve"> 58</w:t>
            </w:r>
            <w:r w:rsidR="0081692F" w:rsidRPr="00C1603D">
              <w:t>,</w:t>
            </w:r>
            <w:r w:rsidRPr="00C1603D">
              <w:t>568)</w:t>
            </w:r>
          </w:p>
        </w:tc>
      </w:tr>
      <w:tr w:rsidR="006C4B4B" w:rsidRPr="00C1603D" w14:paraId="1FD7F4D0" w14:textId="77777777" w:rsidTr="0079431C">
        <w:trPr>
          <w:cantSplit/>
        </w:trPr>
        <w:tc>
          <w:tcPr>
            <w:tcW w:w="0" w:type="auto"/>
            <w:shd w:val="clear" w:color="auto" w:fill="auto"/>
          </w:tcPr>
          <w:p w14:paraId="281A0A41" w14:textId="2C8BFA1B" w:rsidR="008B4DF8" w:rsidRPr="00C1603D" w:rsidRDefault="008B4DF8" w:rsidP="007106A1">
            <w:pPr>
              <w:pStyle w:val="72TabletextTablesTableFigureBoxstyles"/>
            </w:pPr>
            <w:r w:rsidRPr="00C1603D">
              <w:t>1.5</w:t>
            </w:r>
          </w:p>
        </w:tc>
        <w:tc>
          <w:tcPr>
            <w:tcW w:w="0" w:type="auto"/>
            <w:shd w:val="clear" w:color="auto" w:fill="auto"/>
          </w:tcPr>
          <w:p w14:paraId="0A0831BD" w14:textId="77777777" w:rsidR="008B4DF8" w:rsidRPr="00C1603D" w:rsidRDefault="008B4DF8" w:rsidP="006C4B4B">
            <w:pPr>
              <w:pStyle w:val="72TabletextTablesTableFigureBoxstyles"/>
            </w:pPr>
            <w:r w:rsidRPr="00C1603D">
              <w:t>0.87</w:t>
            </w:r>
          </w:p>
        </w:tc>
        <w:tc>
          <w:tcPr>
            <w:tcW w:w="0" w:type="auto"/>
            <w:shd w:val="clear" w:color="auto" w:fill="auto"/>
          </w:tcPr>
          <w:p w14:paraId="7768D621" w14:textId="77777777" w:rsidR="008B4DF8" w:rsidRPr="00C1603D" w:rsidRDefault="008B4DF8" w:rsidP="006C4B4B">
            <w:pPr>
              <w:pStyle w:val="72TabletextTablesTableFigureBoxstyles"/>
            </w:pPr>
            <w:r w:rsidRPr="00C1603D">
              <w:t>0.431</w:t>
            </w:r>
          </w:p>
        </w:tc>
        <w:tc>
          <w:tcPr>
            <w:tcW w:w="0" w:type="auto"/>
            <w:shd w:val="clear" w:color="auto" w:fill="auto"/>
          </w:tcPr>
          <w:p w14:paraId="0BEBB238" w14:textId="77777777" w:rsidR="008B4DF8" w:rsidRPr="00C1603D" w:rsidRDefault="008B4DF8" w:rsidP="0079431C">
            <w:pPr>
              <w:pStyle w:val="72TabletextTablesTableFigureBoxstyles"/>
            </w:pPr>
            <w:r w:rsidRPr="00C1603D">
              <w:t>IgA EMA plus HLA</w:t>
            </w:r>
          </w:p>
        </w:tc>
        <w:tc>
          <w:tcPr>
            <w:tcW w:w="0" w:type="auto"/>
            <w:shd w:val="clear" w:color="auto" w:fill="auto"/>
          </w:tcPr>
          <w:p w14:paraId="6C20B621" w14:textId="464C44BA" w:rsidR="008B4DF8" w:rsidRPr="00C1603D" w:rsidRDefault="008B4DF8" w:rsidP="0079431C">
            <w:pPr>
              <w:pStyle w:val="72TabletextTablesTableFigureBoxstyles"/>
            </w:pPr>
            <w:r w:rsidRPr="00C1603D">
              <w:t>20</w:t>
            </w:r>
            <w:r w:rsidR="0081692F" w:rsidRPr="00C1603D">
              <w:t>,</w:t>
            </w:r>
            <w:r w:rsidRPr="00C1603D">
              <w:t>535 (20</w:t>
            </w:r>
            <w:r w:rsidR="0081692F" w:rsidRPr="00C1603D">
              <w:t>,</w:t>
            </w:r>
            <w:r w:rsidRPr="00C1603D">
              <w:t>229</w:t>
            </w:r>
            <w:r w:rsidR="006C4B4B" w:rsidRPr="00C1603D">
              <w:t xml:space="preserve"> to</w:t>
            </w:r>
            <w:r w:rsidRPr="00C1603D">
              <w:t xml:space="preserve"> 20</w:t>
            </w:r>
            <w:r w:rsidR="0081692F" w:rsidRPr="00C1603D">
              <w:t>,</w:t>
            </w:r>
            <w:r w:rsidRPr="00C1603D">
              <w:t>844)</w:t>
            </w:r>
          </w:p>
        </w:tc>
        <w:tc>
          <w:tcPr>
            <w:tcW w:w="0" w:type="auto"/>
            <w:shd w:val="clear" w:color="auto" w:fill="auto"/>
          </w:tcPr>
          <w:p w14:paraId="3DF7FB23" w14:textId="7830556B" w:rsidR="008B4DF8" w:rsidRPr="00C1603D" w:rsidRDefault="008B4DF8" w:rsidP="0079431C">
            <w:pPr>
              <w:pStyle w:val="72TabletextTablesTableFigureBoxstyles"/>
            </w:pPr>
            <w:r w:rsidRPr="00C1603D">
              <w:t>19.71 (19.17</w:t>
            </w:r>
            <w:r w:rsidR="006C4B4B" w:rsidRPr="00C1603D">
              <w:t xml:space="preserve"> to</w:t>
            </w:r>
            <w:r w:rsidRPr="00C1603D">
              <w:t xml:space="preserve"> 20.08)</w:t>
            </w:r>
          </w:p>
        </w:tc>
        <w:tc>
          <w:tcPr>
            <w:tcW w:w="0" w:type="auto"/>
            <w:shd w:val="clear" w:color="auto" w:fill="auto"/>
          </w:tcPr>
          <w:p w14:paraId="6D6A3DF6" w14:textId="4092C565" w:rsidR="008B4DF8" w:rsidRPr="00C1603D" w:rsidRDefault="008B4DF8" w:rsidP="0079431C">
            <w:pPr>
              <w:pStyle w:val="72TabletextTablesTableFigureBoxstyles"/>
            </w:pPr>
            <w:r w:rsidRPr="00C1603D">
              <w:t>24</w:t>
            </w:r>
            <w:r w:rsidR="0081692F" w:rsidRPr="00C1603D">
              <w:t>,</w:t>
            </w:r>
            <w:r w:rsidRPr="00C1603D">
              <w:t>884 (5204</w:t>
            </w:r>
            <w:r w:rsidR="006C4B4B" w:rsidRPr="00C1603D">
              <w:t xml:space="preserve"> to</w:t>
            </w:r>
            <w:r w:rsidRPr="00C1603D">
              <w:t xml:space="preserve"> 57</w:t>
            </w:r>
            <w:r w:rsidR="0081692F" w:rsidRPr="00C1603D">
              <w:t>,</w:t>
            </w:r>
            <w:r w:rsidRPr="00C1603D">
              <w:t>564)</w:t>
            </w:r>
          </w:p>
        </w:tc>
      </w:tr>
      <w:tr w:rsidR="006C4B4B" w:rsidRPr="00C1603D" w14:paraId="3FF38960" w14:textId="77777777" w:rsidTr="0079431C">
        <w:trPr>
          <w:cantSplit/>
        </w:trPr>
        <w:tc>
          <w:tcPr>
            <w:tcW w:w="0" w:type="auto"/>
            <w:shd w:val="clear" w:color="auto" w:fill="auto"/>
          </w:tcPr>
          <w:p w14:paraId="3AD79F83" w14:textId="1106A31F" w:rsidR="008B4DF8" w:rsidRPr="00C1603D" w:rsidRDefault="008B4DF8" w:rsidP="007106A1">
            <w:pPr>
              <w:pStyle w:val="72TabletextTablesTableFigureBoxstyles"/>
            </w:pPr>
            <w:r w:rsidRPr="00C1603D">
              <w:t>2</w:t>
            </w:r>
          </w:p>
        </w:tc>
        <w:tc>
          <w:tcPr>
            <w:tcW w:w="0" w:type="auto"/>
            <w:shd w:val="clear" w:color="auto" w:fill="auto"/>
          </w:tcPr>
          <w:p w14:paraId="7D0F3728" w14:textId="77777777" w:rsidR="008B4DF8" w:rsidRPr="00C1603D" w:rsidRDefault="008B4DF8" w:rsidP="006C4B4B">
            <w:pPr>
              <w:pStyle w:val="72TabletextTablesTableFigureBoxstyles"/>
            </w:pPr>
            <w:r w:rsidRPr="00C1603D">
              <w:t>0.79</w:t>
            </w:r>
          </w:p>
        </w:tc>
        <w:tc>
          <w:tcPr>
            <w:tcW w:w="0" w:type="auto"/>
            <w:shd w:val="clear" w:color="auto" w:fill="auto"/>
          </w:tcPr>
          <w:p w14:paraId="4BC4002D" w14:textId="77777777" w:rsidR="008B4DF8" w:rsidRPr="00C1603D" w:rsidRDefault="008B4DF8" w:rsidP="006C4B4B">
            <w:pPr>
              <w:pStyle w:val="72TabletextTablesTableFigureBoxstyles"/>
            </w:pPr>
            <w:r w:rsidRPr="00C1603D">
              <w:t>0.61</w:t>
            </w:r>
          </w:p>
        </w:tc>
        <w:tc>
          <w:tcPr>
            <w:tcW w:w="0" w:type="auto"/>
            <w:shd w:val="clear" w:color="auto" w:fill="auto"/>
          </w:tcPr>
          <w:p w14:paraId="3947A7EC" w14:textId="77777777" w:rsidR="008B4DF8" w:rsidRPr="00C1603D" w:rsidRDefault="008B4DF8" w:rsidP="0079431C">
            <w:pPr>
              <w:pStyle w:val="72TabletextTablesTableFigureBoxstyles"/>
            </w:pPr>
            <w:r w:rsidRPr="00C1603D">
              <w:t>IgA EMA plus HLA</w:t>
            </w:r>
          </w:p>
        </w:tc>
        <w:tc>
          <w:tcPr>
            <w:tcW w:w="0" w:type="auto"/>
            <w:shd w:val="clear" w:color="auto" w:fill="auto"/>
          </w:tcPr>
          <w:p w14:paraId="0D01DFF4" w14:textId="6E878B5E" w:rsidR="008B4DF8" w:rsidRPr="00C1603D" w:rsidRDefault="008B4DF8" w:rsidP="0079431C">
            <w:pPr>
              <w:pStyle w:val="72TabletextTablesTableFigureBoxstyles"/>
            </w:pPr>
            <w:r w:rsidRPr="00C1603D">
              <w:t>20</w:t>
            </w:r>
            <w:r w:rsidR="0081692F" w:rsidRPr="00C1603D">
              <w:t>,</w:t>
            </w:r>
            <w:r w:rsidRPr="00C1603D">
              <w:t>430 (20</w:t>
            </w:r>
            <w:r w:rsidR="0081692F" w:rsidRPr="00C1603D">
              <w:t>,</w:t>
            </w:r>
            <w:r w:rsidRPr="00C1603D">
              <w:t>123</w:t>
            </w:r>
            <w:r w:rsidR="006C4B4B" w:rsidRPr="00C1603D">
              <w:t xml:space="preserve"> to</w:t>
            </w:r>
            <w:r w:rsidRPr="00C1603D">
              <w:t xml:space="preserve"> 20</w:t>
            </w:r>
            <w:r w:rsidR="0081692F" w:rsidRPr="00C1603D">
              <w:t>,</w:t>
            </w:r>
            <w:r w:rsidRPr="00C1603D">
              <w:t>737)</w:t>
            </w:r>
          </w:p>
        </w:tc>
        <w:tc>
          <w:tcPr>
            <w:tcW w:w="0" w:type="auto"/>
            <w:shd w:val="clear" w:color="auto" w:fill="auto"/>
          </w:tcPr>
          <w:p w14:paraId="1BF9579A" w14:textId="297B8129" w:rsidR="008B4DF8" w:rsidRPr="00C1603D" w:rsidRDefault="008B4DF8" w:rsidP="0079431C">
            <w:pPr>
              <w:pStyle w:val="72TabletextTablesTableFigureBoxstyles"/>
            </w:pPr>
            <w:r w:rsidRPr="00C1603D">
              <w:t>19.71 (19.17</w:t>
            </w:r>
            <w:r w:rsidR="006C4B4B" w:rsidRPr="00C1603D">
              <w:t xml:space="preserve"> to</w:t>
            </w:r>
            <w:r w:rsidRPr="00C1603D">
              <w:t xml:space="preserve"> 20.08)</w:t>
            </w:r>
          </w:p>
        </w:tc>
        <w:tc>
          <w:tcPr>
            <w:tcW w:w="0" w:type="auto"/>
            <w:shd w:val="clear" w:color="auto" w:fill="auto"/>
          </w:tcPr>
          <w:p w14:paraId="47A27F1E" w14:textId="06C220B9" w:rsidR="008B4DF8" w:rsidRPr="00C1603D" w:rsidRDefault="008B4DF8" w:rsidP="0079431C">
            <w:pPr>
              <w:pStyle w:val="72TabletextTablesTableFigureBoxstyles"/>
            </w:pPr>
            <w:r w:rsidRPr="00C1603D">
              <w:t>24</w:t>
            </w:r>
            <w:r w:rsidR="0081692F" w:rsidRPr="00C1603D">
              <w:t>,</w:t>
            </w:r>
            <w:r w:rsidRPr="00C1603D">
              <w:t>981 (5300</w:t>
            </w:r>
            <w:r w:rsidR="006C4B4B" w:rsidRPr="00C1603D">
              <w:t xml:space="preserve"> to</w:t>
            </w:r>
            <w:r w:rsidRPr="00C1603D">
              <w:t xml:space="preserve"> 57</w:t>
            </w:r>
            <w:r w:rsidR="0081692F" w:rsidRPr="00C1603D">
              <w:t>,</w:t>
            </w:r>
            <w:r w:rsidRPr="00C1603D">
              <w:t>672)</w:t>
            </w:r>
          </w:p>
        </w:tc>
      </w:tr>
      <w:tr w:rsidR="006C4B4B" w:rsidRPr="00C1603D" w14:paraId="1F5250CF" w14:textId="77777777" w:rsidTr="0079431C">
        <w:trPr>
          <w:cantSplit/>
        </w:trPr>
        <w:tc>
          <w:tcPr>
            <w:tcW w:w="0" w:type="auto"/>
            <w:shd w:val="clear" w:color="auto" w:fill="auto"/>
          </w:tcPr>
          <w:p w14:paraId="7CE9FBCB" w14:textId="46AC9069" w:rsidR="008B4DF8" w:rsidRPr="00C1603D" w:rsidRDefault="008B4DF8" w:rsidP="007106A1">
            <w:pPr>
              <w:pStyle w:val="72TabletextTablesTableFigureBoxstyles"/>
            </w:pPr>
            <w:r w:rsidRPr="00C1603D">
              <w:t>5</w:t>
            </w:r>
          </w:p>
        </w:tc>
        <w:tc>
          <w:tcPr>
            <w:tcW w:w="0" w:type="auto"/>
            <w:shd w:val="clear" w:color="auto" w:fill="auto"/>
          </w:tcPr>
          <w:p w14:paraId="376D855F" w14:textId="77777777" w:rsidR="008B4DF8" w:rsidRPr="00C1603D" w:rsidRDefault="008B4DF8" w:rsidP="006C4B4B">
            <w:pPr>
              <w:pStyle w:val="72TabletextTablesTableFigureBoxstyles"/>
            </w:pPr>
            <w:r w:rsidRPr="00C1603D">
              <w:t>0.579</w:t>
            </w:r>
          </w:p>
        </w:tc>
        <w:tc>
          <w:tcPr>
            <w:tcW w:w="0" w:type="auto"/>
            <w:shd w:val="clear" w:color="auto" w:fill="auto"/>
          </w:tcPr>
          <w:p w14:paraId="7FA25344" w14:textId="77777777" w:rsidR="008B4DF8" w:rsidRPr="00C1603D" w:rsidRDefault="008B4DF8" w:rsidP="006C4B4B">
            <w:pPr>
              <w:pStyle w:val="72TabletextTablesTableFigureBoxstyles"/>
            </w:pPr>
            <w:r w:rsidRPr="00C1603D">
              <w:t>0.889</w:t>
            </w:r>
          </w:p>
        </w:tc>
        <w:tc>
          <w:tcPr>
            <w:tcW w:w="0" w:type="auto"/>
            <w:shd w:val="clear" w:color="auto" w:fill="auto"/>
          </w:tcPr>
          <w:p w14:paraId="11615C08" w14:textId="77777777" w:rsidR="008B4DF8" w:rsidRPr="00C1603D" w:rsidRDefault="008B4DF8" w:rsidP="0079431C">
            <w:pPr>
              <w:pStyle w:val="72TabletextTablesTableFigureBoxstyles"/>
            </w:pPr>
            <w:r w:rsidRPr="00C1603D">
              <w:t>IgA EMA plus HLA</w:t>
            </w:r>
          </w:p>
        </w:tc>
        <w:tc>
          <w:tcPr>
            <w:tcW w:w="0" w:type="auto"/>
            <w:shd w:val="clear" w:color="auto" w:fill="auto"/>
          </w:tcPr>
          <w:p w14:paraId="5F1449FD" w14:textId="7C482F80" w:rsidR="008B4DF8" w:rsidRPr="00C1603D" w:rsidRDefault="008B4DF8" w:rsidP="0079431C">
            <w:pPr>
              <w:pStyle w:val="72TabletextTablesTableFigureBoxstyles"/>
            </w:pPr>
            <w:r w:rsidRPr="00C1603D">
              <w:t>20</w:t>
            </w:r>
            <w:r w:rsidR="0081692F" w:rsidRPr="00C1603D">
              <w:t>,</w:t>
            </w:r>
            <w:r w:rsidRPr="00C1603D">
              <w:t>330 (20</w:t>
            </w:r>
            <w:r w:rsidR="0081692F" w:rsidRPr="00C1603D">
              <w:t>,</w:t>
            </w:r>
            <w:r w:rsidRPr="00C1603D">
              <w:t>034</w:t>
            </w:r>
            <w:r w:rsidR="006C4B4B" w:rsidRPr="00C1603D">
              <w:t xml:space="preserve"> to</w:t>
            </w:r>
            <w:r w:rsidRPr="00C1603D">
              <w:t xml:space="preserve"> 20</w:t>
            </w:r>
            <w:r w:rsidR="0081692F" w:rsidRPr="00C1603D">
              <w:t>,</w:t>
            </w:r>
            <w:r w:rsidRPr="00C1603D">
              <w:t>641)</w:t>
            </w:r>
          </w:p>
        </w:tc>
        <w:tc>
          <w:tcPr>
            <w:tcW w:w="0" w:type="auto"/>
            <w:shd w:val="clear" w:color="auto" w:fill="auto"/>
          </w:tcPr>
          <w:p w14:paraId="286759C2" w14:textId="7298E05C" w:rsidR="008B4DF8" w:rsidRPr="00C1603D" w:rsidRDefault="008B4DF8" w:rsidP="0079431C">
            <w:pPr>
              <w:pStyle w:val="72TabletextTablesTableFigureBoxstyles"/>
            </w:pPr>
            <w:r w:rsidRPr="00C1603D">
              <w:t>19.72 (19.18</w:t>
            </w:r>
            <w:r w:rsidR="006C4B4B" w:rsidRPr="00C1603D">
              <w:t xml:space="preserve"> to</w:t>
            </w:r>
            <w:r w:rsidRPr="00C1603D">
              <w:t xml:space="preserve"> 20.09)</w:t>
            </w:r>
          </w:p>
        </w:tc>
        <w:tc>
          <w:tcPr>
            <w:tcW w:w="0" w:type="auto"/>
            <w:shd w:val="clear" w:color="auto" w:fill="auto"/>
          </w:tcPr>
          <w:p w14:paraId="1FEB4211" w14:textId="2C6B6F62" w:rsidR="008B4DF8" w:rsidRPr="00C1603D" w:rsidRDefault="008B4DF8" w:rsidP="0079431C">
            <w:pPr>
              <w:pStyle w:val="72TabletextTablesTableFigureBoxstyles"/>
            </w:pPr>
            <w:r w:rsidRPr="00C1603D">
              <w:t>25</w:t>
            </w:r>
            <w:r w:rsidR="0081692F" w:rsidRPr="00C1603D">
              <w:t>,</w:t>
            </w:r>
            <w:r w:rsidRPr="00C1603D">
              <w:t>262 (5415</w:t>
            </w:r>
            <w:r w:rsidR="006C4B4B" w:rsidRPr="00C1603D">
              <w:t xml:space="preserve"> to</w:t>
            </w:r>
            <w:r w:rsidRPr="00C1603D">
              <w:t xml:space="preserve"> 58</w:t>
            </w:r>
            <w:r w:rsidR="0081692F" w:rsidRPr="00C1603D">
              <w:t>,</w:t>
            </w:r>
            <w:r w:rsidRPr="00C1603D">
              <w:t>394)</w:t>
            </w:r>
          </w:p>
        </w:tc>
      </w:tr>
      <w:tr w:rsidR="006C4B4B" w:rsidRPr="00C1603D" w14:paraId="1BDCB7E0" w14:textId="77777777" w:rsidTr="0079431C">
        <w:trPr>
          <w:cantSplit/>
        </w:trPr>
        <w:tc>
          <w:tcPr>
            <w:tcW w:w="0" w:type="auto"/>
            <w:shd w:val="clear" w:color="auto" w:fill="auto"/>
          </w:tcPr>
          <w:p w14:paraId="33F2C561" w14:textId="652CF62B" w:rsidR="008B4DF8" w:rsidRPr="00C1603D" w:rsidRDefault="008B4DF8" w:rsidP="007106A1">
            <w:pPr>
              <w:pStyle w:val="72TabletextTablesTableFigureBoxstyles"/>
            </w:pPr>
            <w:r w:rsidRPr="00C1603D">
              <w:t>10</w:t>
            </w:r>
          </w:p>
        </w:tc>
        <w:tc>
          <w:tcPr>
            <w:tcW w:w="0" w:type="auto"/>
            <w:shd w:val="clear" w:color="auto" w:fill="auto"/>
          </w:tcPr>
          <w:p w14:paraId="038AEC37" w14:textId="77777777" w:rsidR="008B4DF8" w:rsidRPr="00C1603D" w:rsidRDefault="008B4DF8" w:rsidP="006C4B4B">
            <w:pPr>
              <w:pStyle w:val="72TabletextTablesTableFigureBoxstyles"/>
            </w:pPr>
            <w:r w:rsidRPr="00C1603D">
              <w:t>0.322</w:t>
            </w:r>
          </w:p>
        </w:tc>
        <w:tc>
          <w:tcPr>
            <w:tcW w:w="0" w:type="auto"/>
            <w:shd w:val="clear" w:color="auto" w:fill="auto"/>
          </w:tcPr>
          <w:p w14:paraId="0394A285" w14:textId="77777777" w:rsidR="008B4DF8" w:rsidRPr="00C1603D" w:rsidRDefault="008B4DF8" w:rsidP="006C4B4B">
            <w:pPr>
              <w:pStyle w:val="72TabletextTablesTableFigureBoxstyles"/>
            </w:pPr>
            <w:r w:rsidRPr="00C1603D">
              <w:t>0.971</w:t>
            </w:r>
          </w:p>
        </w:tc>
        <w:tc>
          <w:tcPr>
            <w:tcW w:w="0" w:type="auto"/>
            <w:shd w:val="clear" w:color="auto" w:fill="auto"/>
          </w:tcPr>
          <w:p w14:paraId="782B860E" w14:textId="77777777" w:rsidR="008B4DF8" w:rsidRPr="00C1603D" w:rsidRDefault="008B4DF8" w:rsidP="0079431C">
            <w:pPr>
              <w:pStyle w:val="72TabletextTablesTableFigureBoxstyles"/>
            </w:pPr>
            <w:r w:rsidRPr="00C1603D">
              <w:t>IgA EMA plus HLA</w:t>
            </w:r>
          </w:p>
        </w:tc>
        <w:tc>
          <w:tcPr>
            <w:tcW w:w="0" w:type="auto"/>
            <w:shd w:val="clear" w:color="auto" w:fill="auto"/>
          </w:tcPr>
          <w:p w14:paraId="38C2BAB3" w14:textId="4A9FFC15" w:rsidR="008B4DF8" w:rsidRPr="00C1603D" w:rsidRDefault="008B4DF8" w:rsidP="0079431C">
            <w:pPr>
              <w:pStyle w:val="72TabletextTablesTableFigureBoxstyles"/>
            </w:pPr>
            <w:r w:rsidRPr="00C1603D">
              <w:t>20</w:t>
            </w:r>
            <w:r w:rsidR="0081692F" w:rsidRPr="00C1603D">
              <w:t>,</w:t>
            </w:r>
            <w:r w:rsidRPr="00C1603D">
              <w:t>350 (20</w:t>
            </w:r>
            <w:r w:rsidR="0081692F" w:rsidRPr="00C1603D">
              <w:t>,</w:t>
            </w:r>
            <w:r w:rsidRPr="00C1603D">
              <w:t>053</w:t>
            </w:r>
            <w:r w:rsidR="006C4B4B" w:rsidRPr="00C1603D">
              <w:t xml:space="preserve"> to</w:t>
            </w:r>
            <w:r w:rsidRPr="00C1603D">
              <w:t xml:space="preserve"> 20</w:t>
            </w:r>
            <w:r w:rsidR="0081692F" w:rsidRPr="00C1603D">
              <w:t>,</w:t>
            </w:r>
            <w:r w:rsidRPr="00C1603D">
              <w:t>655)</w:t>
            </w:r>
          </w:p>
        </w:tc>
        <w:tc>
          <w:tcPr>
            <w:tcW w:w="0" w:type="auto"/>
            <w:shd w:val="clear" w:color="auto" w:fill="auto"/>
          </w:tcPr>
          <w:p w14:paraId="2181495C" w14:textId="55CB4395" w:rsidR="008B4DF8" w:rsidRPr="00C1603D" w:rsidRDefault="008B4DF8" w:rsidP="0079431C">
            <w:pPr>
              <w:pStyle w:val="72TabletextTablesTableFigureBoxstyles"/>
            </w:pPr>
            <w:r w:rsidRPr="00C1603D">
              <w:t>19.72 (19.18</w:t>
            </w:r>
            <w:r w:rsidR="006C4B4B" w:rsidRPr="00C1603D">
              <w:t xml:space="preserve"> to</w:t>
            </w:r>
            <w:r w:rsidRPr="00C1603D">
              <w:t xml:space="preserve"> 20.09)</w:t>
            </w:r>
          </w:p>
        </w:tc>
        <w:tc>
          <w:tcPr>
            <w:tcW w:w="0" w:type="auto"/>
            <w:shd w:val="clear" w:color="auto" w:fill="auto"/>
          </w:tcPr>
          <w:p w14:paraId="77E80A36" w14:textId="0657C474" w:rsidR="008B4DF8" w:rsidRPr="00C1603D" w:rsidRDefault="008B4DF8" w:rsidP="0079431C">
            <w:pPr>
              <w:pStyle w:val="72TabletextTablesTableFigureBoxstyles"/>
            </w:pPr>
            <w:r w:rsidRPr="00C1603D">
              <w:t>25</w:t>
            </w:r>
            <w:r w:rsidR="0081692F" w:rsidRPr="00C1603D">
              <w:t>,</w:t>
            </w:r>
            <w:r w:rsidRPr="00C1603D">
              <w:t>237 (5331</w:t>
            </w:r>
            <w:r w:rsidR="006C4B4B" w:rsidRPr="00C1603D">
              <w:t xml:space="preserve"> to</w:t>
            </w:r>
            <w:r w:rsidRPr="00C1603D">
              <w:t xml:space="preserve"> 58</w:t>
            </w:r>
            <w:r w:rsidR="0081692F" w:rsidRPr="00C1603D">
              <w:t>,</w:t>
            </w:r>
            <w:r w:rsidRPr="00C1603D">
              <w:t>488)</w:t>
            </w:r>
          </w:p>
        </w:tc>
      </w:tr>
      <w:tr w:rsidR="006C4B4B" w:rsidRPr="00C1603D" w14:paraId="10DFC815" w14:textId="77777777" w:rsidTr="0079431C">
        <w:trPr>
          <w:cantSplit/>
        </w:trPr>
        <w:tc>
          <w:tcPr>
            <w:tcW w:w="0" w:type="auto"/>
            <w:shd w:val="clear" w:color="auto" w:fill="auto"/>
          </w:tcPr>
          <w:p w14:paraId="7D86C265" w14:textId="08ECAA4A" w:rsidR="008B4DF8" w:rsidRPr="00C1603D" w:rsidRDefault="008B4DF8" w:rsidP="007106A1">
            <w:pPr>
              <w:pStyle w:val="72TabletextTablesTableFigureBoxstyles"/>
            </w:pPr>
            <w:r w:rsidRPr="00C1603D">
              <w:t>20</w:t>
            </w:r>
          </w:p>
        </w:tc>
        <w:tc>
          <w:tcPr>
            <w:tcW w:w="0" w:type="auto"/>
            <w:shd w:val="clear" w:color="auto" w:fill="auto"/>
          </w:tcPr>
          <w:p w14:paraId="35DC9B79" w14:textId="77777777" w:rsidR="008B4DF8" w:rsidRPr="00C1603D" w:rsidRDefault="008B4DF8" w:rsidP="006C4B4B">
            <w:pPr>
              <w:pStyle w:val="72TabletextTablesTableFigureBoxstyles"/>
            </w:pPr>
            <w:r w:rsidRPr="00C1603D">
              <w:t>0.107</w:t>
            </w:r>
          </w:p>
        </w:tc>
        <w:tc>
          <w:tcPr>
            <w:tcW w:w="0" w:type="auto"/>
            <w:shd w:val="clear" w:color="auto" w:fill="auto"/>
          </w:tcPr>
          <w:p w14:paraId="6B453151" w14:textId="77777777" w:rsidR="008B4DF8" w:rsidRPr="00C1603D" w:rsidRDefault="008B4DF8" w:rsidP="006C4B4B">
            <w:pPr>
              <w:pStyle w:val="72TabletextTablesTableFigureBoxstyles"/>
            </w:pPr>
            <w:r w:rsidRPr="00C1603D">
              <w:t>0.996</w:t>
            </w:r>
          </w:p>
        </w:tc>
        <w:tc>
          <w:tcPr>
            <w:tcW w:w="0" w:type="auto"/>
            <w:shd w:val="clear" w:color="auto" w:fill="auto"/>
          </w:tcPr>
          <w:p w14:paraId="5881F1C0" w14:textId="77777777" w:rsidR="008B4DF8" w:rsidRPr="00C1603D" w:rsidRDefault="008B4DF8" w:rsidP="0079431C">
            <w:pPr>
              <w:pStyle w:val="72TabletextTablesTableFigureBoxstyles"/>
            </w:pPr>
            <w:r w:rsidRPr="00C1603D">
              <w:t>IgA EMA plus HLA</w:t>
            </w:r>
          </w:p>
        </w:tc>
        <w:tc>
          <w:tcPr>
            <w:tcW w:w="0" w:type="auto"/>
            <w:shd w:val="clear" w:color="auto" w:fill="auto"/>
          </w:tcPr>
          <w:p w14:paraId="0C244060" w14:textId="05228BB5" w:rsidR="008B4DF8" w:rsidRPr="00C1603D" w:rsidRDefault="008B4DF8" w:rsidP="0079431C">
            <w:pPr>
              <w:pStyle w:val="72TabletextTablesTableFigureBoxstyles"/>
            </w:pPr>
            <w:r w:rsidRPr="00C1603D">
              <w:t>20</w:t>
            </w:r>
            <w:r w:rsidR="0081692F" w:rsidRPr="00C1603D">
              <w:t>,</w:t>
            </w:r>
            <w:r w:rsidRPr="00C1603D">
              <w:t>412 (20</w:t>
            </w:r>
            <w:r w:rsidR="0081692F" w:rsidRPr="00C1603D">
              <w:t>,</w:t>
            </w:r>
            <w:r w:rsidRPr="00C1603D">
              <w:t>123</w:t>
            </w:r>
            <w:r w:rsidR="006C4B4B" w:rsidRPr="00C1603D">
              <w:t xml:space="preserve"> to</w:t>
            </w:r>
            <w:r w:rsidRPr="00C1603D">
              <w:t xml:space="preserve"> 20</w:t>
            </w:r>
            <w:r w:rsidR="0081692F" w:rsidRPr="00C1603D">
              <w:t>,</w:t>
            </w:r>
            <w:r w:rsidRPr="00C1603D">
              <w:t>716)</w:t>
            </w:r>
          </w:p>
        </w:tc>
        <w:tc>
          <w:tcPr>
            <w:tcW w:w="0" w:type="auto"/>
            <w:shd w:val="clear" w:color="auto" w:fill="auto"/>
          </w:tcPr>
          <w:p w14:paraId="65C64C62" w14:textId="7055B469" w:rsidR="008B4DF8" w:rsidRPr="00C1603D" w:rsidRDefault="008B4DF8" w:rsidP="0079431C">
            <w:pPr>
              <w:pStyle w:val="72TabletextTablesTableFigureBoxstyles"/>
            </w:pPr>
            <w:r w:rsidRPr="00C1603D">
              <w:t>19.71 (19.18</w:t>
            </w:r>
            <w:r w:rsidR="006C4B4B" w:rsidRPr="00C1603D">
              <w:t xml:space="preserve"> to</w:t>
            </w:r>
            <w:r w:rsidRPr="00C1603D">
              <w:t xml:space="preserve"> 20.09)</w:t>
            </w:r>
          </w:p>
        </w:tc>
        <w:tc>
          <w:tcPr>
            <w:tcW w:w="0" w:type="auto"/>
            <w:shd w:val="clear" w:color="auto" w:fill="auto"/>
          </w:tcPr>
          <w:p w14:paraId="036D3D92" w14:textId="2238551B" w:rsidR="008B4DF8" w:rsidRPr="00C1603D" w:rsidRDefault="008B4DF8" w:rsidP="0079431C">
            <w:pPr>
              <w:pStyle w:val="72TabletextTablesTableFigureBoxstyles"/>
            </w:pPr>
            <w:r w:rsidRPr="00C1603D">
              <w:t>25</w:t>
            </w:r>
            <w:r w:rsidR="0081692F" w:rsidRPr="00C1603D">
              <w:t>,</w:t>
            </w:r>
            <w:r w:rsidRPr="00C1603D">
              <w:t>135 (5186</w:t>
            </w:r>
            <w:r w:rsidR="006C4B4B" w:rsidRPr="00C1603D">
              <w:t xml:space="preserve"> to</w:t>
            </w:r>
            <w:r w:rsidRPr="00C1603D">
              <w:t xml:space="preserve"> 58</w:t>
            </w:r>
            <w:r w:rsidR="0081692F" w:rsidRPr="00C1603D">
              <w:t>,</w:t>
            </w:r>
            <w:r w:rsidRPr="00C1603D">
              <w:t>444)</w:t>
            </w:r>
          </w:p>
        </w:tc>
      </w:tr>
      <w:tr w:rsidR="006C4B4B" w:rsidRPr="00C1603D" w14:paraId="3424431E" w14:textId="77777777" w:rsidTr="0079431C">
        <w:trPr>
          <w:cantSplit/>
        </w:trPr>
        <w:tc>
          <w:tcPr>
            <w:tcW w:w="0" w:type="auto"/>
            <w:shd w:val="clear" w:color="auto" w:fill="auto"/>
          </w:tcPr>
          <w:p w14:paraId="740B9063" w14:textId="7A4D841D" w:rsidR="008B4DF8" w:rsidRPr="00C1603D" w:rsidRDefault="008B4DF8" w:rsidP="007106A1">
            <w:pPr>
              <w:pStyle w:val="72TabletextTablesTableFigureBoxstyles"/>
            </w:pPr>
            <w:r w:rsidRPr="00C1603D">
              <w:t>1</w:t>
            </w:r>
          </w:p>
        </w:tc>
        <w:tc>
          <w:tcPr>
            <w:tcW w:w="0" w:type="auto"/>
            <w:shd w:val="clear" w:color="auto" w:fill="auto"/>
          </w:tcPr>
          <w:p w14:paraId="7AAF2018" w14:textId="77777777" w:rsidR="008B4DF8" w:rsidRPr="00C1603D" w:rsidRDefault="008B4DF8" w:rsidP="006C4B4B">
            <w:pPr>
              <w:pStyle w:val="72TabletextTablesTableFigureBoxstyles"/>
            </w:pPr>
            <w:r w:rsidRPr="00C1603D">
              <w:t>1</w:t>
            </w:r>
          </w:p>
        </w:tc>
        <w:tc>
          <w:tcPr>
            <w:tcW w:w="0" w:type="auto"/>
            <w:shd w:val="clear" w:color="auto" w:fill="auto"/>
          </w:tcPr>
          <w:p w14:paraId="2B6F3BEB" w14:textId="77777777" w:rsidR="008B4DF8" w:rsidRPr="00C1603D" w:rsidRDefault="008B4DF8" w:rsidP="006C4B4B">
            <w:pPr>
              <w:pStyle w:val="72TabletextTablesTableFigureBoxstyles"/>
            </w:pPr>
            <w:r w:rsidRPr="00C1603D">
              <w:t>0</w:t>
            </w:r>
          </w:p>
        </w:tc>
        <w:tc>
          <w:tcPr>
            <w:tcW w:w="0" w:type="auto"/>
            <w:shd w:val="clear" w:color="auto" w:fill="auto"/>
          </w:tcPr>
          <w:p w14:paraId="655A824E" w14:textId="77777777" w:rsidR="008B4DF8" w:rsidRPr="00C1603D" w:rsidRDefault="008B4DF8" w:rsidP="006C4B4B">
            <w:pPr>
              <w:pStyle w:val="72TabletextTablesTableFigureBoxstyles"/>
            </w:pPr>
            <w:r w:rsidRPr="00C1603D">
              <w:t>HLA plus IgA tTG</w:t>
            </w:r>
          </w:p>
        </w:tc>
        <w:tc>
          <w:tcPr>
            <w:tcW w:w="0" w:type="auto"/>
            <w:shd w:val="clear" w:color="auto" w:fill="auto"/>
          </w:tcPr>
          <w:p w14:paraId="5C45E5AB" w14:textId="79865B78" w:rsidR="008B4DF8" w:rsidRPr="00C1603D" w:rsidRDefault="008B4DF8" w:rsidP="006C4B4B">
            <w:pPr>
              <w:pStyle w:val="72TabletextTablesTableFigureBoxstyles"/>
            </w:pPr>
            <w:r w:rsidRPr="00C1603D">
              <w:t>20</w:t>
            </w:r>
            <w:r w:rsidR="0081692F" w:rsidRPr="00C1603D">
              <w:t>,</w:t>
            </w:r>
            <w:r w:rsidRPr="00C1603D">
              <w:t>837 (20</w:t>
            </w:r>
            <w:r w:rsidR="0081692F" w:rsidRPr="00C1603D">
              <w:t>,</w:t>
            </w:r>
            <w:r w:rsidRPr="00C1603D">
              <w:t>545</w:t>
            </w:r>
            <w:r w:rsidR="006C4B4B" w:rsidRPr="00C1603D">
              <w:t xml:space="preserve"> to</w:t>
            </w:r>
            <w:r w:rsidRPr="00C1603D">
              <w:t xml:space="preserve"> 21</w:t>
            </w:r>
            <w:r w:rsidR="0081692F" w:rsidRPr="00C1603D">
              <w:t>,</w:t>
            </w:r>
            <w:r w:rsidRPr="00C1603D">
              <w:t>148)</w:t>
            </w:r>
          </w:p>
        </w:tc>
        <w:tc>
          <w:tcPr>
            <w:tcW w:w="0" w:type="auto"/>
            <w:shd w:val="clear" w:color="auto" w:fill="auto"/>
          </w:tcPr>
          <w:p w14:paraId="0088AA37" w14:textId="1D91C0FB" w:rsidR="008B4DF8" w:rsidRPr="00C1603D" w:rsidRDefault="008B4DF8" w:rsidP="0079431C">
            <w:pPr>
              <w:pStyle w:val="72TabletextTablesTableFigureBoxstyles"/>
            </w:pPr>
            <w:r w:rsidRPr="00C1603D">
              <w:t>19.73 (19.19</w:t>
            </w:r>
            <w:r w:rsidR="006C4B4B" w:rsidRPr="00C1603D">
              <w:t xml:space="preserve"> to</w:t>
            </w:r>
            <w:r w:rsidRPr="00C1603D">
              <w:t xml:space="preserve"> 20.1)</w:t>
            </w:r>
          </w:p>
        </w:tc>
        <w:tc>
          <w:tcPr>
            <w:tcW w:w="0" w:type="auto"/>
            <w:shd w:val="clear" w:color="auto" w:fill="auto"/>
          </w:tcPr>
          <w:p w14:paraId="15F6B256" w14:textId="0F8623FF" w:rsidR="008B4DF8" w:rsidRPr="00C1603D" w:rsidRDefault="008B4DF8" w:rsidP="0079431C">
            <w:pPr>
              <w:pStyle w:val="72TabletextTablesTableFigureBoxstyles"/>
            </w:pPr>
            <w:r w:rsidRPr="00C1603D">
              <w:t>25</w:t>
            </w:r>
            <w:r w:rsidR="0081692F" w:rsidRPr="00C1603D">
              <w:t>,</w:t>
            </w:r>
            <w:r w:rsidRPr="00C1603D">
              <w:t>059 (5055</w:t>
            </w:r>
            <w:r w:rsidR="006C4B4B" w:rsidRPr="00C1603D">
              <w:t xml:space="preserve"> to</w:t>
            </w:r>
            <w:r w:rsidRPr="00C1603D">
              <w:t xml:space="preserve"> 58</w:t>
            </w:r>
            <w:r w:rsidR="0081692F" w:rsidRPr="00C1603D">
              <w:t>,</w:t>
            </w:r>
            <w:r w:rsidRPr="00C1603D">
              <w:t>561)</w:t>
            </w:r>
          </w:p>
        </w:tc>
      </w:tr>
      <w:tr w:rsidR="006C4B4B" w:rsidRPr="00C1603D" w14:paraId="518705BB" w14:textId="77777777" w:rsidTr="0079431C">
        <w:trPr>
          <w:cantSplit/>
        </w:trPr>
        <w:tc>
          <w:tcPr>
            <w:tcW w:w="0" w:type="auto"/>
            <w:shd w:val="clear" w:color="auto" w:fill="auto"/>
          </w:tcPr>
          <w:p w14:paraId="6E2FABE0" w14:textId="0AD24553" w:rsidR="008B4DF8" w:rsidRPr="00C1603D" w:rsidRDefault="008B4DF8" w:rsidP="007106A1">
            <w:pPr>
              <w:pStyle w:val="72TabletextTablesTableFigureBoxstyles"/>
            </w:pPr>
            <w:r w:rsidRPr="00C1603D">
              <w:t>1.5</w:t>
            </w:r>
          </w:p>
        </w:tc>
        <w:tc>
          <w:tcPr>
            <w:tcW w:w="0" w:type="auto"/>
            <w:shd w:val="clear" w:color="auto" w:fill="auto"/>
          </w:tcPr>
          <w:p w14:paraId="35E1ADFE" w14:textId="77777777" w:rsidR="008B4DF8" w:rsidRPr="00C1603D" w:rsidRDefault="008B4DF8" w:rsidP="006C4B4B">
            <w:pPr>
              <w:pStyle w:val="72TabletextTablesTableFigureBoxstyles"/>
            </w:pPr>
            <w:r w:rsidRPr="00C1603D">
              <w:t>0.87</w:t>
            </w:r>
          </w:p>
        </w:tc>
        <w:tc>
          <w:tcPr>
            <w:tcW w:w="0" w:type="auto"/>
            <w:shd w:val="clear" w:color="auto" w:fill="auto"/>
          </w:tcPr>
          <w:p w14:paraId="2DDCC403" w14:textId="77777777" w:rsidR="008B4DF8" w:rsidRPr="00C1603D" w:rsidRDefault="008B4DF8" w:rsidP="006C4B4B">
            <w:pPr>
              <w:pStyle w:val="72TabletextTablesTableFigureBoxstyles"/>
            </w:pPr>
            <w:r w:rsidRPr="00C1603D">
              <w:t>0.431</w:t>
            </w:r>
          </w:p>
        </w:tc>
        <w:tc>
          <w:tcPr>
            <w:tcW w:w="0" w:type="auto"/>
            <w:shd w:val="clear" w:color="auto" w:fill="auto"/>
          </w:tcPr>
          <w:p w14:paraId="09587FA9" w14:textId="77777777" w:rsidR="008B4DF8" w:rsidRPr="00C1603D" w:rsidRDefault="008B4DF8" w:rsidP="006C4B4B">
            <w:pPr>
              <w:pStyle w:val="72TabletextTablesTableFigureBoxstyles"/>
            </w:pPr>
            <w:r w:rsidRPr="00C1603D">
              <w:t>HLA plus IgA tTG</w:t>
            </w:r>
          </w:p>
        </w:tc>
        <w:tc>
          <w:tcPr>
            <w:tcW w:w="0" w:type="auto"/>
            <w:shd w:val="clear" w:color="auto" w:fill="auto"/>
          </w:tcPr>
          <w:p w14:paraId="23261E55" w14:textId="2BAA7230" w:rsidR="008B4DF8" w:rsidRPr="00C1603D" w:rsidRDefault="008B4DF8" w:rsidP="006C4B4B">
            <w:pPr>
              <w:pStyle w:val="72TabletextTablesTableFigureBoxstyles"/>
            </w:pPr>
            <w:r w:rsidRPr="00C1603D">
              <w:t>20</w:t>
            </w:r>
            <w:r w:rsidR="0081692F" w:rsidRPr="00C1603D">
              <w:t>,</w:t>
            </w:r>
            <w:r w:rsidRPr="00C1603D">
              <w:t>541 (20</w:t>
            </w:r>
            <w:r w:rsidR="0081692F" w:rsidRPr="00C1603D">
              <w:t>,</w:t>
            </w:r>
            <w:r w:rsidRPr="00C1603D">
              <w:t>235</w:t>
            </w:r>
            <w:r w:rsidR="006C4B4B" w:rsidRPr="00C1603D">
              <w:t xml:space="preserve"> to</w:t>
            </w:r>
            <w:r w:rsidRPr="00C1603D">
              <w:t xml:space="preserve"> 20</w:t>
            </w:r>
            <w:r w:rsidR="0081692F" w:rsidRPr="00C1603D">
              <w:t>,</w:t>
            </w:r>
            <w:r w:rsidRPr="00C1603D">
              <w:t>850)</w:t>
            </w:r>
          </w:p>
        </w:tc>
        <w:tc>
          <w:tcPr>
            <w:tcW w:w="0" w:type="auto"/>
            <w:shd w:val="clear" w:color="auto" w:fill="auto"/>
          </w:tcPr>
          <w:p w14:paraId="0866759A" w14:textId="432E1B57" w:rsidR="008B4DF8" w:rsidRPr="00C1603D" w:rsidRDefault="008B4DF8" w:rsidP="0079431C">
            <w:pPr>
              <w:pStyle w:val="72TabletextTablesTableFigureBoxstyles"/>
            </w:pPr>
            <w:r w:rsidRPr="00C1603D">
              <w:t>19.71 (19.18</w:t>
            </w:r>
            <w:r w:rsidR="006C4B4B" w:rsidRPr="00C1603D">
              <w:t xml:space="preserve"> to</w:t>
            </w:r>
            <w:r w:rsidRPr="00C1603D">
              <w:t xml:space="preserve"> 20.08)</w:t>
            </w:r>
          </w:p>
        </w:tc>
        <w:tc>
          <w:tcPr>
            <w:tcW w:w="0" w:type="auto"/>
            <w:shd w:val="clear" w:color="auto" w:fill="auto"/>
          </w:tcPr>
          <w:p w14:paraId="5DBA5CCD" w14:textId="14899E4D" w:rsidR="008B4DF8" w:rsidRPr="00C1603D" w:rsidRDefault="008B4DF8" w:rsidP="0079431C">
            <w:pPr>
              <w:pStyle w:val="72TabletextTablesTableFigureBoxstyles"/>
            </w:pPr>
            <w:r w:rsidRPr="00C1603D">
              <w:t>24</w:t>
            </w:r>
            <w:r w:rsidR="0081692F" w:rsidRPr="00C1603D">
              <w:t>,</w:t>
            </w:r>
            <w:r w:rsidRPr="00C1603D">
              <w:t>957 (5217</w:t>
            </w:r>
            <w:r w:rsidR="006C4B4B" w:rsidRPr="00C1603D">
              <w:t xml:space="preserve"> to</w:t>
            </w:r>
            <w:r w:rsidRPr="00C1603D">
              <w:t xml:space="preserve"> 57</w:t>
            </w:r>
            <w:r w:rsidR="0081692F" w:rsidRPr="00C1603D">
              <w:t>,</w:t>
            </w:r>
            <w:r w:rsidRPr="00C1603D">
              <w:t>825)</w:t>
            </w:r>
          </w:p>
        </w:tc>
      </w:tr>
      <w:tr w:rsidR="006C4B4B" w:rsidRPr="00C1603D" w14:paraId="2A546264" w14:textId="77777777" w:rsidTr="0079431C">
        <w:trPr>
          <w:cantSplit/>
        </w:trPr>
        <w:tc>
          <w:tcPr>
            <w:tcW w:w="0" w:type="auto"/>
            <w:shd w:val="clear" w:color="auto" w:fill="auto"/>
          </w:tcPr>
          <w:p w14:paraId="43F3A7EE" w14:textId="3FBA2D23" w:rsidR="008B4DF8" w:rsidRPr="00C1603D" w:rsidRDefault="008B4DF8" w:rsidP="007106A1">
            <w:pPr>
              <w:pStyle w:val="72TabletextTablesTableFigureBoxstyles"/>
            </w:pPr>
            <w:r w:rsidRPr="00C1603D">
              <w:t>2</w:t>
            </w:r>
          </w:p>
        </w:tc>
        <w:tc>
          <w:tcPr>
            <w:tcW w:w="0" w:type="auto"/>
            <w:shd w:val="clear" w:color="auto" w:fill="auto"/>
          </w:tcPr>
          <w:p w14:paraId="757E3CDC" w14:textId="77777777" w:rsidR="008B4DF8" w:rsidRPr="00C1603D" w:rsidRDefault="008B4DF8" w:rsidP="006C4B4B">
            <w:pPr>
              <w:pStyle w:val="72TabletextTablesTableFigureBoxstyles"/>
            </w:pPr>
            <w:r w:rsidRPr="00C1603D">
              <w:t>0.79</w:t>
            </w:r>
          </w:p>
        </w:tc>
        <w:tc>
          <w:tcPr>
            <w:tcW w:w="0" w:type="auto"/>
            <w:shd w:val="clear" w:color="auto" w:fill="auto"/>
          </w:tcPr>
          <w:p w14:paraId="06F1B73E" w14:textId="77777777" w:rsidR="008B4DF8" w:rsidRPr="00C1603D" w:rsidRDefault="008B4DF8" w:rsidP="006C4B4B">
            <w:pPr>
              <w:pStyle w:val="72TabletextTablesTableFigureBoxstyles"/>
            </w:pPr>
            <w:r w:rsidRPr="00C1603D">
              <w:t>0.61</w:t>
            </w:r>
          </w:p>
        </w:tc>
        <w:tc>
          <w:tcPr>
            <w:tcW w:w="0" w:type="auto"/>
            <w:shd w:val="clear" w:color="auto" w:fill="auto"/>
          </w:tcPr>
          <w:p w14:paraId="020F679F" w14:textId="77777777" w:rsidR="008B4DF8" w:rsidRPr="00C1603D" w:rsidRDefault="008B4DF8" w:rsidP="006C4B4B">
            <w:pPr>
              <w:pStyle w:val="72TabletextTablesTableFigureBoxstyles"/>
            </w:pPr>
            <w:r w:rsidRPr="00C1603D">
              <w:t>HLA plus IgA tTG</w:t>
            </w:r>
          </w:p>
        </w:tc>
        <w:tc>
          <w:tcPr>
            <w:tcW w:w="0" w:type="auto"/>
            <w:shd w:val="clear" w:color="auto" w:fill="auto"/>
          </w:tcPr>
          <w:p w14:paraId="2406E4AD" w14:textId="1B9B8104" w:rsidR="008B4DF8" w:rsidRPr="00C1603D" w:rsidRDefault="008B4DF8" w:rsidP="006C4B4B">
            <w:pPr>
              <w:pStyle w:val="72TabletextTablesTableFigureBoxstyles"/>
            </w:pPr>
            <w:r w:rsidRPr="00C1603D">
              <w:t>20</w:t>
            </w:r>
            <w:r w:rsidR="0081692F" w:rsidRPr="00C1603D">
              <w:t>,</w:t>
            </w:r>
            <w:r w:rsidRPr="00C1603D">
              <w:t>437 (20</w:t>
            </w:r>
            <w:r w:rsidR="0081692F" w:rsidRPr="00C1603D">
              <w:t>,</w:t>
            </w:r>
            <w:r w:rsidRPr="00C1603D">
              <w:t>131</w:t>
            </w:r>
            <w:r w:rsidR="006C4B4B" w:rsidRPr="00C1603D">
              <w:t xml:space="preserve"> to</w:t>
            </w:r>
            <w:r w:rsidRPr="00C1603D">
              <w:t xml:space="preserve"> 20</w:t>
            </w:r>
            <w:r w:rsidR="0081692F" w:rsidRPr="00C1603D">
              <w:t>,</w:t>
            </w:r>
            <w:r w:rsidRPr="00C1603D">
              <w:t>747)</w:t>
            </w:r>
          </w:p>
        </w:tc>
        <w:tc>
          <w:tcPr>
            <w:tcW w:w="0" w:type="auto"/>
            <w:shd w:val="clear" w:color="auto" w:fill="auto"/>
          </w:tcPr>
          <w:p w14:paraId="377F973E" w14:textId="58F669AC" w:rsidR="008B4DF8" w:rsidRPr="00C1603D" w:rsidRDefault="008B4DF8" w:rsidP="0079431C">
            <w:pPr>
              <w:pStyle w:val="72TabletextTablesTableFigureBoxstyles"/>
            </w:pPr>
            <w:r w:rsidRPr="00C1603D">
              <w:t>19.71 (19.18</w:t>
            </w:r>
            <w:r w:rsidR="006C4B4B" w:rsidRPr="00C1603D">
              <w:t xml:space="preserve"> to</w:t>
            </w:r>
            <w:r w:rsidRPr="00C1603D">
              <w:t xml:space="preserve"> 20.08)</w:t>
            </w:r>
          </w:p>
        </w:tc>
        <w:tc>
          <w:tcPr>
            <w:tcW w:w="0" w:type="auto"/>
            <w:shd w:val="clear" w:color="auto" w:fill="auto"/>
          </w:tcPr>
          <w:p w14:paraId="34DA0090" w14:textId="2306FC9C" w:rsidR="008B4DF8" w:rsidRPr="00C1603D" w:rsidRDefault="008B4DF8" w:rsidP="0079431C">
            <w:pPr>
              <w:pStyle w:val="72TabletextTablesTableFigureBoxstyles"/>
            </w:pPr>
            <w:r w:rsidRPr="00C1603D">
              <w:t>25</w:t>
            </w:r>
            <w:r w:rsidR="0081692F" w:rsidRPr="00C1603D">
              <w:t>,</w:t>
            </w:r>
            <w:r w:rsidRPr="00C1603D">
              <w:t>048 (5311</w:t>
            </w:r>
            <w:r w:rsidR="006C4B4B" w:rsidRPr="00C1603D">
              <w:t xml:space="preserve"> to</w:t>
            </w:r>
            <w:r w:rsidRPr="00C1603D">
              <w:t xml:space="preserve"> 57</w:t>
            </w:r>
            <w:r w:rsidR="0081692F" w:rsidRPr="00C1603D">
              <w:t>,</w:t>
            </w:r>
            <w:r w:rsidRPr="00C1603D">
              <w:t>918)</w:t>
            </w:r>
          </w:p>
        </w:tc>
      </w:tr>
      <w:tr w:rsidR="006C4B4B" w:rsidRPr="00C1603D" w14:paraId="50902AEB" w14:textId="77777777" w:rsidTr="0079431C">
        <w:trPr>
          <w:cantSplit/>
        </w:trPr>
        <w:tc>
          <w:tcPr>
            <w:tcW w:w="0" w:type="auto"/>
            <w:shd w:val="clear" w:color="auto" w:fill="auto"/>
          </w:tcPr>
          <w:p w14:paraId="024F5426" w14:textId="64626317" w:rsidR="008B4DF8" w:rsidRPr="00C1603D" w:rsidRDefault="008B4DF8" w:rsidP="007106A1">
            <w:pPr>
              <w:pStyle w:val="72TabletextTablesTableFigureBoxstyles"/>
            </w:pPr>
            <w:r w:rsidRPr="00C1603D">
              <w:t>5</w:t>
            </w:r>
          </w:p>
        </w:tc>
        <w:tc>
          <w:tcPr>
            <w:tcW w:w="0" w:type="auto"/>
            <w:shd w:val="clear" w:color="auto" w:fill="auto"/>
          </w:tcPr>
          <w:p w14:paraId="385BE3A9" w14:textId="77777777" w:rsidR="008B4DF8" w:rsidRPr="00C1603D" w:rsidRDefault="008B4DF8" w:rsidP="006C4B4B">
            <w:pPr>
              <w:pStyle w:val="72TabletextTablesTableFigureBoxstyles"/>
            </w:pPr>
            <w:r w:rsidRPr="00C1603D">
              <w:t>0.579</w:t>
            </w:r>
          </w:p>
        </w:tc>
        <w:tc>
          <w:tcPr>
            <w:tcW w:w="0" w:type="auto"/>
            <w:shd w:val="clear" w:color="auto" w:fill="auto"/>
          </w:tcPr>
          <w:p w14:paraId="3839AA88" w14:textId="77777777" w:rsidR="008B4DF8" w:rsidRPr="00C1603D" w:rsidRDefault="008B4DF8" w:rsidP="006C4B4B">
            <w:pPr>
              <w:pStyle w:val="72TabletextTablesTableFigureBoxstyles"/>
            </w:pPr>
            <w:r w:rsidRPr="00C1603D">
              <w:t>0.889</w:t>
            </w:r>
          </w:p>
        </w:tc>
        <w:tc>
          <w:tcPr>
            <w:tcW w:w="0" w:type="auto"/>
            <w:shd w:val="clear" w:color="auto" w:fill="auto"/>
          </w:tcPr>
          <w:p w14:paraId="174FEF9C" w14:textId="77777777" w:rsidR="008B4DF8" w:rsidRPr="00C1603D" w:rsidRDefault="008B4DF8" w:rsidP="006C4B4B">
            <w:pPr>
              <w:pStyle w:val="72TabletextTablesTableFigureBoxstyles"/>
            </w:pPr>
            <w:r w:rsidRPr="00C1603D">
              <w:t>HLA plus IgA tTG</w:t>
            </w:r>
          </w:p>
        </w:tc>
        <w:tc>
          <w:tcPr>
            <w:tcW w:w="0" w:type="auto"/>
            <w:shd w:val="clear" w:color="auto" w:fill="auto"/>
          </w:tcPr>
          <w:p w14:paraId="70A80318" w14:textId="4C93BDEB" w:rsidR="008B4DF8" w:rsidRPr="00C1603D" w:rsidRDefault="008B4DF8" w:rsidP="006C4B4B">
            <w:pPr>
              <w:pStyle w:val="72TabletextTablesTableFigureBoxstyles"/>
            </w:pPr>
            <w:r w:rsidRPr="00C1603D">
              <w:t>20</w:t>
            </w:r>
            <w:r w:rsidR="0081692F" w:rsidRPr="00C1603D">
              <w:t>,</w:t>
            </w:r>
            <w:r w:rsidRPr="00C1603D">
              <w:t>338 (20</w:t>
            </w:r>
            <w:r w:rsidR="0081692F" w:rsidRPr="00C1603D">
              <w:t>,</w:t>
            </w:r>
            <w:r w:rsidRPr="00C1603D">
              <w:t>035</w:t>
            </w:r>
            <w:r w:rsidR="006C4B4B" w:rsidRPr="00C1603D">
              <w:t xml:space="preserve"> to</w:t>
            </w:r>
            <w:r w:rsidRPr="00C1603D">
              <w:t xml:space="preserve"> 20</w:t>
            </w:r>
            <w:r w:rsidR="0081692F" w:rsidRPr="00C1603D">
              <w:t>,</w:t>
            </w:r>
            <w:r w:rsidRPr="00C1603D">
              <w:t>645)</w:t>
            </w:r>
          </w:p>
        </w:tc>
        <w:tc>
          <w:tcPr>
            <w:tcW w:w="0" w:type="auto"/>
            <w:shd w:val="clear" w:color="auto" w:fill="auto"/>
          </w:tcPr>
          <w:p w14:paraId="788B9E3C" w14:textId="17D65F63" w:rsidR="008B4DF8" w:rsidRPr="00C1603D" w:rsidRDefault="008B4DF8" w:rsidP="0079431C">
            <w:pPr>
              <w:pStyle w:val="72TabletextTablesTableFigureBoxstyles"/>
            </w:pPr>
            <w:r w:rsidRPr="00C1603D">
              <w:t>19.72 (19.18</w:t>
            </w:r>
            <w:r w:rsidR="006C4B4B" w:rsidRPr="00C1603D">
              <w:t xml:space="preserve"> to</w:t>
            </w:r>
            <w:r w:rsidRPr="00C1603D">
              <w:t xml:space="preserve"> 20.09)</w:t>
            </w:r>
          </w:p>
        </w:tc>
        <w:tc>
          <w:tcPr>
            <w:tcW w:w="0" w:type="auto"/>
            <w:shd w:val="clear" w:color="auto" w:fill="auto"/>
          </w:tcPr>
          <w:p w14:paraId="1F426101" w14:textId="52B385A2" w:rsidR="008B4DF8" w:rsidRPr="00C1603D" w:rsidRDefault="008B4DF8" w:rsidP="0079431C">
            <w:pPr>
              <w:pStyle w:val="72TabletextTablesTableFigureBoxstyles"/>
            </w:pPr>
            <w:r w:rsidRPr="00C1603D">
              <w:t>25</w:t>
            </w:r>
            <w:r w:rsidR="0081692F" w:rsidRPr="00C1603D">
              <w:t>,</w:t>
            </w:r>
            <w:r w:rsidRPr="00C1603D">
              <w:t>273 (5409</w:t>
            </w:r>
            <w:r w:rsidR="006C4B4B" w:rsidRPr="00C1603D">
              <w:t xml:space="preserve"> to</w:t>
            </w:r>
            <w:r w:rsidRPr="00C1603D">
              <w:t xml:space="preserve"> 58</w:t>
            </w:r>
            <w:r w:rsidR="0081692F" w:rsidRPr="00C1603D">
              <w:t>,</w:t>
            </w:r>
            <w:r w:rsidRPr="00C1603D">
              <w:t>467)</w:t>
            </w:r>
          </w:p>
        </w:tc>
      </w:tr>
      <w:tr w:rsidR="006C4B4B" w:rsidRPr="00C1603D" w14:paraId="26EE1B76" w14:textId="77777777" w:rsidTr="0079431C">
        <w:trPr>
          <w:cantSplit/>
        </w:trPr>
        <w:tc>
          <w:tcPr>
            <w:tcW w:w="0" w:type="auto"/>
            <w:shd w:val="clear" w:color="auto" w:fill="auto"/>
          </w:tcPr>
          <w:p w14:paraId="45CB651E" w14:textId="2D805F38" w:rsidR="008B4DF8" w:rsidRPr="00C1603D" w:rsidRDefault="008B4DF8" w:rsidP="007106A1">
            <w:pPr>
              <w:pStyle w:val="72TabletextTablesTableFigureBoxstyles"/>
            </w:pPr>
            <w:r w:rsidRPr="00C1603D">
              <w:t>10</w:t>
            </w:r>
          </w:p>
        </w:tc>
        <w:tc>
          <w:tcPr>
            <w:tcW w:w="0" w:type="auto"/>
            <w:shd w:val="clear" w:color="auto" w:fill="auto"/>
          </w:tcPr>
          <w:p w14:paraId="26F31162" w14:textId="77777777" w:rsidR="008B4DF8" w:rsidRPr="00C1603D" w:rsidRDefault="008B4DF8" w:rsidP="006C4B4B">
            <w:pPr>
              <w:pStyle w:val="72TabletextTablesTableFigureBoxstyles"/>
            </w:pPr>
            <w:r w:rsidRPr="00C1603D">
              <w:t>0.322</w:t>
            </w:r>
          </w:p>
        </w:tc>
        <w:tc>
          <w:tcPr>
            <w:tcW w:w="0" w:type="auto"/>
            <w:shd w:val="clear" w:color="auto" w:fill="auto"/>
          </w:tcPr>
          <w:p w14:paraId="55EE9C24" w14:textId="77777777" w:rsidR="008B4DF8" w:rsidRPr="00C1603D" w:rsidRDefault="008B4DF8" w:rsidP="006C4B4B">
            <w:pPr>
              <w:pStyle w:val="72TabletextTablesTableFigureBoxstyles"/>
            </w:pPr>
            <w:r w:rsidRPr="00C1603D">
              <w:t>0.971</w:t>
            </w:r>
          </w:p>
        </w:tc>
        <w:tc>
          <w:tcPr>
            <w:tcW w:w="0" w:type="auto"/>
            <w:shd w:val="clear" w:color="auto" w:fill="auto"/>
          </w:tcPr>
          <w:p w14:paraId="3DE8EC1E" w14:textId="77777777" w:rsidR="008B4DF8" w:rsidRPr="00C1603D" w:rsidRDefault="008B4DF8" w:rsidP="006C4B4B">
            <w:pPr>
              <w:pStyle w:val="72TabletextTablesTableFigureBoxstyles"/>
            </w:pPr>
            <w:r w:rsidRPr="00C1603D">
              <w:t>HLA plus IgA tTG</w:t>
            </w:r>
          </w:p>
        </w:tc>
        <w:tc>
          <w:tcPr>
            <w:tcW w:w="0" w:type="auto"/>
            <w:shd w:val="clear" w:color="auto" w:fill="auto"/>
          </w:tcPr>
          <w:p w14:paraId="2BB708FA" w14:textId="428DC144" w:rsidR="008B4DF8" w:rsidRPr="00C1603D" w:rsidRDefault="008B4DF8" w:rsidP="006C4B4B">
            <w:pPr>
              <w:pStyle w:val="72TabletextTablesTableFigureBoxstyles"/>
            </w:pPr>
            <w:r w:rsidRPr="00C1603D">
              <w:t>20</w:t>
            </w:r>
            <w:r w:rsidR="0081692F" w:rsidRPr="00C1603D">
              <w:t>,</w:t>
            </w:r>
            <w:r w:rsidRPr="00C1603D">
              <w:t>358 (20</w:t>
            </w:r>
            <w:r w:rsidR="0081692F" w:rsidRPr="00C1603D">
              <w:t>,</w:t>
            </w:r>
            <w:r w:rsidRPr="00C1603D">
              <w:t>056</w:t>
            </w:r>
            <w:r w:rsidR="006C4B4B" w:rsidRPr="00C1603D">
              <w:t xml:space="preserve"> to</w:t>
            </w:r>
            <w:r w:rsidRPr="00C1603D">
              <w:t xml:space="preserve"> 20</w:t>
            </w:r>
            <w:r w:rsidR="0081692F" w:rsidRPr="00C1603D">
              <w:t>,</w:t>
            </w:r>
            <w:r w:rsidRPr="00C1603D">
              <w:t>665)</w:t>
            </w:r>
          </w:p>
        </w:tc>
        <w:tc>
          <w:tcPr>
            <w:tcW w:w="0" w:type="auto"/>
            <w:shd w:val="clear" w:color="auto" w:fill="auto"/>
          </w:tcPr>
          <w:p w14:paraId="27E01CA3" w14:textId="25125282" w:rsidR="008B4DF8" w:rsidRPr="00C1603D" w:rsidRDefault="008B4DF8" w:rsidP="0079431C">
            <w:pPr>
              <w:pStyle w:val="72TabletextTablesTableFigureBoxstyles"/>
            </w:pPr>
            <w:r w:rsidRPr="00C1603D">
              <w:t>19.72 (19.18</w:t>
            </w:r>
            <w:r w:rsidR="006C4B4B" w:rsidRPr="00C1603D">
              <w:t xml:space="preserve"> to</w:t>
            </w:r>
            <w:r w:rsidRPr="00C1603D">
              <w:t xml:space="preserve"> 20.09)</w:t>
            </w:r>
          </w:p>
        </w:tc>
        <w:tc>
          <w:tcPr>
            <w:tcW w:w="0" w:type="auto"/>
            <w:shd w:val="clear" w:color="auto" w:fill="auto"/>
          </w:tcPr>
          <w:p w14:paraId="5BB76D6F" w14:textId="43840B2A" w:rsidR="008B4DF8" w:rsidRPr="00C1603D" w:rsidRDefault="008B4DF8" w:rsidP="0079431C">
            <w:pPr>
              <w:pStyle w:val="72TabletextTablesTableFigureBoxstyles"/>
            </w:pPr>
            <w:r w:rsidRPr="00C1603D">
              <w:t>25</w:t>
            </w:r>
            <w:r w:rsidR="0081692F" w:rsidRPr="00C1603D">
              <w:t>,</w:t>
            </w:r>
            <w:r w:rsidRPr="00C1603D">
              <w:t>231 (5316</w:t>
            </w:r>
            <w:r w:rsidR="006C4B4B" w:rsidRPr="00C1603D">
              <w:t xml:space="preserve"> to</w:t>
            </w:r>
            <w:r w:rsidRPr="00C1603D">
              <w:t xml:space="preserve"> 58</w:t>
            </w:r>
            <w:r w:rsidR="0081692F" w:rsidRPr="00C1603D">
              <w:t>,</w:t>
            </w:r>
            <w:r w:rsidRPr="00C1603D">
              <w:t>506)</w:t>
            </w:r>
          </w:p>
        </w:tc>
      </w:tr>
      <w:tr w:rsidR="006C4B4B" w:rsidRPr="00C1603D" w14:paraId="3BB6EADB" w14:textId="77777777" w:rsidTr="0079431C">
        <w:trPr>
          <w:cantSplit/>
        </w:trPr>
        <w:tc>
          <w:tcPr>
            <w:tcW w:w="0" w:type="auto"/>
            <w:shd w:val="clear" w:color="auto" w:fill="auto"/>
          </w:tcPr>
          <w:p w14:paraId="17A03312" w14:textId="30D1B678" w:rsidR="008B4DF8" w:rsidRPr="00C1603D" w:rsidRDefault="008B4DF8" w:rsidP="007106A1">
            <w:pPr>
              <w:pStyle w:val="72TabletextTablesTableFigureBoxstyles"/>
            </w:pPr>
            <w:r w:rsidRPr="00C1603D">
              <w:t>20</w:t>
            </w:r>
          </w:p>
        </w:tc>
        <w:tc>
          <w:tcPr>
            <w:tcW w:w="0" w:type="auto"/>
            <w:shd w:val="clear" w:color="auto" w:fill="auto"/>
          </w:tcPr>
          <w:p w14:paraId="77D3EBAA" w14:textId="77777777" w:rsidR="008B4DF8" w:rsidRPr="00C1603D" w:rsidRDefault="008B4DF8" w:rsidP="006C4B4B">
            <w:pPr>
              <w:pStyle w:val="72TabletextTablesTableFigureBoxstyles"/>
            </w:pPr>
            <w:r w:rsidRPr="00C1603D">
              <w:t>0.107</w:t>
            </w:r>
          </w:p>
        </w:tc>
        <w:tc>
          <w:tcPr>
            <w:tcW w:w="0" w:type="auto"/>
            <w:shd w:val="clear" w:color="auto" w:fill="auto"/>
          </w:tcPr>
          <w:p w14:paraId="1804C675" w14:textId="77777777" w:rsidR="008B4DF8" w:rsidRPr="00C1603D" w:rsidRDefault="008B4DF8" w:rsidP="006C4B4B">
            <w:pPr>
              <w:pStyle w:val="72TabletextTablesTableFigureBoxstyles"/>
            </w:pPr>
            <w:r w:rsidRPr="00C1603D">
              <w:t>0.996</w:t>
            </w:r>
          </w:p>
        </w:tc>
        <w:tc>
          <w:tcPr>
            <w:tcW w:w="0" w:type="auto"/>
            <w:shd w:val="clear" w:color="auto" w:fill="auto"/>
          </w:tcPr>
          <w:p w14:paraId="0A3E26FC" w14:textId="77777777" w:rsidR="008B4DF8" w:rsidRPr="00C1603D" w:rsidRDefault="008B4DF8" w:rsidP="006C4B4B">
            <w:pPr>
              <w:pStyle w:val="72TabletextTablesTableFigureBoxstyles"/>
            </w:pPr>
            <w:r w:rsidRPr="00C1603D">
              <w:t>HLA plus IgA tTG</w:t>
            </w:r>
          </w:p>
        </w:tc>
        <w:tc>
          <w:tcPr>
            <w:tcW w:w="0" w:type="auto"/>
            <w:shd w:val="clear" w:color="auto" w:fill="auto"/>
          </w:tcPr>
          <w:p w14:paraId="0D6A5908" w14:textId="52F06B02" w:rsidR="008B4DF8" w:rsidRPr="00C1603D" w:rsidRDefault="008B4DF8" w:rsidP="006C4B4B">
            <w:pPr>
              <w:pStyle w:val="72TabletextTablesTableFigureBoxstyles"/>
            </w:pPr>
            <w:r w:rsidRPr="00C1603D">
              <w:t>20</w:t>
            </w:r>
            <w:r w:rsidR="0081692F" w:rsidRPr="00C1603D">
              <w:t>,</w:t>
            </w:r>
            <w:r w:rsidRPr="00C1603D">
              <w:t>417 (20</w:t>
            </w:r>
            <w:r w:rsidR="0081692F" w:rsidRPr="00C1603D">
              <w:t>,</w:t>
            </w:r>
            <w:r w:rsidRPr="00C1603D">
              <w:t>124</w:t>
            </w:r>
            <w:r w:rsidR="006C4B4B" w:rsidRPr="00C1603D">
              <w:t xml:space="preserve"> to</w:t>
            </w:r>
            <w:r w:rsidRPr="00C1603D">
              <w:t xml:space="preserve"> 20</w:t>
            </w:r>
            <w:r w:rsidR="0081692F" w:rsidRPr="00C1603D">
              <w:t>,</w:t>
            </w:r>
            <w:r w:rsidRPr="00C1603D">
              <w:t>726)</w:t>
            </w:r>
          </w:p>
        </w:tc>
        <w:tc>
          <w:tcPr>
            <w:tcW w:w="0" w:type="auto"/>
            <w:shd w:val="clear" w:color="auto" w:fill="auto"/>
          </w:tcPr>
          <w:p w14:paraId="43E64652" w14:textId="312916CC" w:rsidR="008B4DF8" w:rsidRPr="00C1603D" w:rsidRDefault="008B4DF8" w:rsidP="0079431C">
            <w:pPr>
              <w:pStyle w:val="72TabletextTablesTableFigureBoxstyles"/>
            </w:pPr>
            <w:r w:rsidRPr="00C1603D">
              <w:t>19.71 (19.18</w:t>
            </w:r>
            <w:r w:rsidR="006C4B4B" w:rsidRPr="00C1603D">
              <w:t xml:space="preserve"> to</w:t>
            </w:r>
            <w:r w:rsidRPr="00C1603D">
              <w:t xml:space="preserve"> 20.09)</w:t>
            </w:r>
          </w:p>
        </w:tc>
        <w:tc>
          <w:tcPr>
            <w:tcW w:w="0" w:type="auto"/>
            <w:shd w:val="clear" w:color="auto" w:fill="auto"/>
          </w:tcPr>
          <w:p w14:paraId="74249D64" w14:textId="58C5B584" w:rsidR="008B4DF8" w:rsidRPr="00C1603D" w:rsidRDefault="008B4DF8" w:rsidP="0079431C">
            <w:pPr>
              <w:pStyle w:val="72TabletextTablesTableFigureBoxstyles"/>
            </w:pPr>
            <w:r w:rsidRPr="00C1603D">
              <w:t>25</w:t>
            </w:r>
            <w:r w:rsidR="0081692F" w:rsidRPr="00C1603D">
              <w:t>,</w:t>
            </w:r>
            <w:r w:rsidRPr="00C1603D">
              <w:t>126 (5176</w:t>
            </w:r>
            <w:r w:rsidR="006C4B4B" w:rsidRPr="00C1603D">
              <w:t xml:space="preserve"> to</w:t>
            </w:r>
            <w:r w:rsidRPr="00C1603D">
              <w:t xml:space="preserve"> 58</w:t>
            </w:r>
            <w:r w:rsidR="0081692F" w:rsidRPr="00C1603D">
              <w:t>,</w:t>
            </w:r>
            <w:r w:rsidRPr="00C1603D">
              <w:t>438)</w:t>
            </w:r>
          </w:p>
        </w:tc>
      </w:tr>
    </w:tbl>
    <w:p w14:paraId="735CB231" w14:textId="59D166E5" w:rsidR="008B4DF8" w:rsidRPr="00C1603D" w:rsidRDefault="008B4DF8" w:rsidP="008B4DF8">
      <w:pPr>
        <w:pStyle w:val="602TextfoTextstylesTextstyles"/>
      </w:pPr>
      <w:r w:rsidRPr="00C1603D">
        <w:rPr>
          <w:i/>
          <w:color w:val="FF0000"/>
        </w:rPr>
        <w:t xml:space="preserve">Figure </w:t>
      </w:r>
      <w:r w:rsidRPr="00C1603D">
        <w:rPr>
          <w:i/>
          <w:noProof/>
          <w:color w:val="FF0000"/>
        </w:rPr>
        <w:t>16</w:t>
      </w:r>
      <w:r w:rsidRPr="00C1603D">
        <w:t xml:space="preserve"> plots the </w:t>
      </w:r>
      <w:r w:rsidR="00322B2D" w:rsidRPr="00C1603D">
        <w:t>CEAC</w:t>
      </w:r>
      <w:r w:rsidRPr="00C1603D">
        <w:t>s</w:t>
      </w:r>
      <w:r w:rsidR="00185DC6" w:rsidRPr="00C1603D">
        <w:t>,</w:t>
      </w:r>
      <w:r w:rsidRPr="00C1603D">
        <w:t xml:space="preserve"> which show the probability that each testing strategy is optimal (i.e. </w:t>
      </w:r>
      <w:r w:rsidR="00185DC6" w:rsidRPr="00C1603D">
        <w:t xml:space="preserve">has the </w:t>
      </w:r>
      <w:r w:rsidRPr="00C1603D">
        <w:lastRenderedPageBreak/>
        <w:t>highest net benefit) at each willingness</w:t>
      </w:r>
      <w:r w:rsidR="00185DC6" w:rsidRPr="00C1603D">
        <w:t>-</w:t>
      </w:r>
      <w:r w:rsidRPr="00C1603D">
        <w:t>to</w:t>
      </w:r>
      <w:r w:rsidR="00185DC6" w:rsidRPr="00C1603D">
        <w:t>-</w:t>
      </w:r>
      <w:r w:rsidRPr="00C1603D">
        <w:t xml:space="preserve">pay threshold for an additional QALY. None of the probabilities </w:t>
      </w:r>
      <w:r w:rsidR="00D6548F" w:rsidRPr="00C1603D">
        <w:t>is</w:t>
      </w:r>
      <w:r w:rsidRPr="00C1603D">
        <w:t xml:space="preserve"> </w:t>
      </w:r>
      <w:r w:rsidR="00D6548F" w:rsidRPr="00C1603D">
        <w:t>&gt; </w:t>
      </w:r>
      <w:r w:rsidRPr="00C1603D">
        <w:t>60%</w:t>
      </w:r>
      <w:r w:rsidR="00D6548F" w:rsidRPr="00C1603D">
        <w:t>,</w:t>
      </w:r>
      <w:r w:rsidRPr="00C1603D">
        <w:t xml:space="preserve"> suggesting limited certainty that any of the strategies </w:t>
      </w:r>
      <w:r w:rsidR="00D6548F" w:rsidRPr="00C1603D">
        <w:t>is</w:t>
      </w:r>
      <w:r w:rsidRPr="00C1603D">
        <w:t xml:space="preserve"> most cost-effective. At £10,000</w:t>
      </w:r>
      <w:r w:rsidRPr="00C1603D">
        <w:rPr>
          <w:color w:val="00B0F0"/>
        </w:rPr>
        <w:t>–3</w:t>
      </w:r>
      <w:r w:rsidRPr="00C1603D">
        <w:t>0,000</w:t>
      </w:r>
      <w:r w:rsidR="00D6548F" w:rsidRPr="00C1603D">
        <w:t xml:space="preserve"> per </w:t>
      </w:r>
      <w:r w:rsidRPr="00C1603D">
        <w:t>QALY</w:t>
      </w:r>
      <w:r w:rsidR="00D6548F" w:rsidRPr="00C1603D">
        <w:t>,</w:t>
      </w:r>
      <w:r w:rsidRPr="00C1603D">
        <w:t xml:space="preserve"> the strategy with greatest probability of being cost-effective is HLA plus IgA tTG</w:t>
      </w:r>
      <w:r w:rsidR="00916B8C" w:rsidRPr="00C1603D">
        <w:t xml:space="preserve"> at a pre-test probability of 5%</w:t>
      </w:r>
      <w:r w:rsidR="0035381C" w:rsidRPr="00C1603D">
        <w:t xml:space="preserve"> (i.e. 5% HLA plus IgA tTG)</w:t>
      </w:r>
      <w:r w:rsidR="003D2DBE" w:rsidRPr="00C1603D">
        <w:t>;</w:t>
      </w:r>
      <w:r w:rsidRPr="00C1603D">
        <w:t xml:space="preserve"> above this range</w:t>
      </w:r>
      <w:r w:rsidR="003D2DBE" w:rsidRPr="00C1603D">
        <w:t>,</w:t>
      </w:r>
      <w:r w:rsidRPr="00C1603D">
        <w:t xml:space="preserve"> 1% IgA EMA plus HLA has </w:t>
      </w:r>
      <w:r w:rsidR="003D2DBE" w:rsidRPr="00C1603D">
        <w:t xml:space="preserve">the </w:t>
      </w:r>
      <w:r w:rsidRPr="00C1603D">
        <w:t xml:space="preserve">greatest probability of being cost-effective. </w:t>
      </w:r>
      <w:commentRangeStart w:id="428"/>
      <w:r w:rsidRPr="00C1603D">
        <w:t xml:space="preserve">However, the </w:t>
      </w:r>
      <w:r w:rsidR="00322B2D" w:rsidRPr="00C1603D">
        <w:t>CEAC</w:t>
      </w:r>
      <w:r w:rsidRPr="00C1603D">
        <w:t xml:space="preserve"> does not </w:t>
      </w:r>
      <w:r w:rsidRPr="00C1603D">
        <w:rPr>
          <w:color w:val="auto"/>
        </w:rPr>
        <w:t>account for the magnitude of differences between net benefits</w:t>
      </w:r>
      <w:r w:rsidR="00914E8F" w:rsidRPr="00C1603D">
        <w:rPr>
          <w:color w:val="auto"/>
        </w:rPr>
        <w:t>,</w:t>
      </w:r>
      <w:r w:rsidRPr="00C1603D">
        <w:rPr>
          <w:color w:val="auto"/>
        </w:rPr>
        <w:t xml:space="preserve"> which, as reported in </w:t>
      </w:r>
      <w:r w:rsidRPr="00C1603D">
        <w:rPr>
          <w:i/>
          <w:color w:val="auto"/>
        </w:rPr>
        <w:t xml:space="preserve">Table </w:t>
      </w:r>
      <w:r w:rsidR="008A6568" w:rsidRPr="00C1603D">
        <w:rPr>
          <w:i/>
          <w:noProof/>
          <w:color w:val="auto"/>
        </w:rPr>
        <w:t>20</w:t>
      </w:r>
      <w:r w:rsidRPr="00C1603D">
        <w:rPr>
          <w:color w:val="auto"/>
        </w:rPr>
        <w:t>, are ne</w:t>
      </w:r>
      <w:r w:rsidRPr="00C1603D">
        <w:t>gligible with overlapping 95% CrI</w:t>
      </w:r>
      <w:r w:rsidR="00914E8F" w:rsidRPr="00C1603D">
        <w:t>s</w:t>
      </w:r>
      <w:commentRangeEnd w:id="428"/>
      <w:r w:rsidR="00914E8F" w:rsidRPr="00C1603D">
        <w:rPr>
          <w:rFonts w:ascii="Times New Roman" w:hAnsi="Times New Roman" w:cs="Times New Roman"/>
          <w:color w:val="auto"/>
          <w:lang w:val="en-US"/>
        </w:rPr>
        <w:commentReference w:id="428"/>
      </w:r>
      <w:r w:rsidRPr="00C1603D">
        <w:t>.</w:t>
      </w:r>
    </w:p>
    <w:p w14:paraId="462CEB73" w14:textId="08737733" w:rsidR="008B4DF8" w:rsidRPr="00C1603D" w:rsidRDefault="008B4DF8" w:rsidP="008B4DF8">
      <w:pPr>
        <w:pStyle w:val="81FigurelegendTableFigureBoxstyles"/>
      </w:pPr>
      <w:bookmarkStart w:id="429" w:name="_Toc99720797"/>
      <w:r w:rsidRPr="00C1603D">
        <w:rPr>
          <w:b/>
        </w:rPr>
        <w:t>FIGURE 16</w:t>
      </w:r>
      <w:r w:rsidRPr="00C1603D">
        <w:rPr>
          <w:b/>
        </w:rPr>
        <w:t> </w:t>
      </w:r>
      <w:r w:rsidRPr="00C1603D">
        <w:t xml:space="preserve">Cost-effectiveness acceptability curves for strategies of interest </w:t>
      </w:r>
      <w:r w:rsidR="007D4AE8" w:rsidRPr="00C1603D">
        <w:t>for</w:t>
      </w:r>
      <w:r w:rsidRPr="00C1603D">
        <w:t xml:space="preserve"> adult men</w:t>
      </w:r>
      <w:bookmarkEnd w:id="429"/>
      <w:r w:rsidR="007D4AE8" w:rsidRPr="00C1603D">
        <w:t>.</w:t>
      </w:r>
    </w:p>
    <w:p w14:paraId="4451791D" w14:textId="5DD06298" w:rsidR="008B4DF8" w:rsidRPr="00C1603D" w:rsidRDefault="008B4DF8" w:rsidP="008B4DF8">
      <w:pPr>
        <w:pStyle w:val="602TextfoTextstylesTextstyles"/>
      </w:pPr>
      <w:r w:rsidRPr="00C1603D">
        <w:t>Table S19</w:t>
      </w:r>
      <w:r w:rsidR="009F423E" w:rsidRPr="00C1603D">
        <w:t xml:space="preserve"> (see </w:t>
      </w:r>
      <w:r w:rsidR="009F423E" w:rsidRPr="00C1603D">
        <w:rPr>
          <w:i/>
          <w:iCs/>
        </w:rPr>
        <w:t>Report Supplementary Material 1</w:t>
      </w:r>
      <w:r w:rsidR="009F423E" w:rsidRPr="00C1603D">
        <w:t>)</w:t>
      </w:r>
      <w:r w:rsidRPr="00C1603D">
        <w:t xml:space="preserve"> provides the proportion of time spent in each state for adult men on the strategies of interest. Compared </w:t>
      </w:r>
      <w:r w:rsidR="00D012CF" w:rsidRPr="00C1603D">
        <w:t>with</w:t>
      </w:r>
      <w:r w:rsidRPr="00C1603D">
        <w:t xml:space="preserve"> other pre-test probability strategies with the same serological tests, the 1% IgA EMA strategy has the greatest proportion of time on the CD</w:t>
      </w:r>
      <w:r w:rsidR="0042253A" w:rsidRPr="00C1603D">
        <w:t>,</w:t>
      </w:r>
      <w:r w:rsidRPr="00C1603D">
        <w:t xml:space="preserve"> gluten-free diet</w:t>
      </w:r>
      <w:r w:rsidR="0042253A" w:rsidRPr="00C1603D">
        <w:t>,</w:t>
      </w:r>
      <w:r w:rsidRPr="00C1603D">
        <w:t xml:space="preserve"> no</w:t>
      </w:r>
      <w:r w:rsidR="002136BE" w:rsidRPr="00C1603D">
        <w:t>-</w:t>
      </w:r>
      <w:r w:rsidRPr="00C1603D">
        <w:t xml:space="preserve">complications state and </w:t>
      </w:r>
      <w:r w:rsidR="0042253A" w:rsidRPr="00C1603D">
        <w:t xml:space="preserve">the </w:t>
      </w:r>
      <w:r w:rsidRPr="00C1603D">
        <w:t xml:space="preserve">least time in the undiagnosed states. Osteoporosis </w:t>
      </w:r>
      <w:proofErr w:type="gramStart"/>
      <w:r w:rsidRPr="00C1603D">
        <w:t>appears to be</w:t>
      </w:r>
      <w:proofErr w:type="gramEnd"/>
      <w:r w:rsidRPr="00C1603D">
        <w:t xml:space="preserve"> the complication most patients spend time in, with NHL being up to </w:t>
      </w:r>
      <w:r w:rsidR="00CF6C83" w:rsidRPr="00C1603D">
        <w:t>six</w:t>
      </w:r>
      <w:r w:rsidRPr="00C1603D">
        <w:t xml:space="preserve"> times less common. The HLA strategies have</w:t>
      </w:r>
      <w:r w:rsidR="00D2169E" w:rsidRPr="00C1603D">
        <w:t xml:space="preserve"> a</w:t>
      </w:r>
      <w:r w:rsidRPr="00C1603D">
        <w:t xml:space="preserve"> greater proportion of time in</w:t>
      </w:r>
      <w:r w:rsidR="00D2169E" w:rsidRPr="00C1603D">
        <w:t xml:space="preserve"> the</w:t>
      </w:r>
      <w:r w:rsidRPr="00C1603D">
        <w:t xml:space="preserve"> CD</w:t>
      </w:r>
      <w:r w:rsidR="00D2169E" w:rsidRPr="00C1603D">
        <w:t>,</w:t>
      </w:r>
      <w:r w:rsidRPr="00C1603D">
        <w:t xml:space="preserve"> gluten-free diet</w:t>
      </w:r>
      <w:r w:rsidR="00D2169E" w:rsidRPr="00C1603D">
        <w:t>,</w:t>
      </w:r>
      <w:r w:rsidRPr="00C1603D">
        <w:t xml:space="preserve"> no</w:t>
      </w:r>
      <w:r w:rsidR="00D2169E" w:rsidRPr="00C1603D">
        <w:t>-</w:t>
      </w:r>
      <w:r w:rsidRPr="00C1603D">
        <w:t>complications</w:t>
      </w:r>
      <w:r w:rsidR="00D2169E" w:rsidRPr="00C1603D">
        <w:t xml:space="preserve"> state</w:t>
      </w:r>
      <w:r w:rsidRPr="00C1603D">
        <w:t xml:space="preserve"> and less time in the undiagnosed states than any IgA EMA strategies. These strategies all have </w:t>
      </w:r>
      <w:proofErr w:type="gramStart"/>
      <w:r w:rsidRPr="00C1603D">
        <w:t>very similar</w:t>
      </w:r>
      <w:proofErr w:type="gramEnd"/>
      <w:r w:rsidRPr="00C1603D">
        <w:t xml:space="preserve"> proportions of time across the different pre-test probabilities, with only minor differences between the CD</w:t>
      </w:r>
      <w:r w:rsidR="008E08AA" w:rsidRPr="00C1603D">
        <w:t>,</w:t>
      </w:r>
      <w:r w:rsidRPr="00C1603D">
        <w:t xml:space="preserve"> gluten-free diet</w:t>
      </w:r>
      <w:r w:rsidR="008E08AA" w:rsidRPr="00C1603D">
        <w:t xml:space="preserve"> state</w:t>
      </w:r>
      <w:r w:rsidRPr="00C1603D">
        <w:t xml:space="preserve"> and</w:t>
      </w:r>
      <w:r w:rsidR="008E08AA" w:rsidRPr="00C1603D">
        <w:t xml:space="preserve"> the</w:t>
      </w:r>
      <w:r w:rsidRPr="00C1603D">
        <w:t xml:space="preserve"> undiagnosed CD</w:t>
      </w:r>
      <w:r w:rsidR="008E08AA" w:rsidRPr="00C1603D">
        <w:t>,</w:t>
      </w:r>
      <w:r w:rsidRPr="00C1603D">
        <w:t xml:space="preserve"> no</w:t>
      </w:r>
      <w:r w:rsidR="00FA3A40" w:rsidRPr="00C1603D">
        <w:t>-</w:t>
      </w:r>
      <w:r w:rsidRPr="00C1603D">
        <w:t xml:space="preserve">complications state. </w:t>
      </w:r>
      <w:commentRangeStart w:id="430"/>
      <w:r w:rsidRPr="00C1603D">
        <w:t xml:space="preserve">Overall, cost-effectiveness </w:t>
      </w:r>
      <w:proofErr w:type="gramStart"/>
      <w:r w:rsidRPr="00C1603D">
        <w:t xml:space="preserve">appears </w:t>
      </w:r>
      <w:r w:rsidR="008E08AA" w:rsidRPr="00C1603D">
        <w:t xml:space="preserve">to be </w:t>
      </w:r>
      <w:r w:rsidRPr="00C1603D">
        <w:t>mostly</w:t>
      </w:r>
      <w:proofErr w:type="gramEnd"/>
      <w:r w:rsidRPr="00C1603D">
        <w:t xml:space="preserve"> driven by time spent in the CD</w:t>
      </w:r>
      <w:r w:rsidR="008E08AA" w:rsidRPr="00C1603D">
        <w:t>,</w:t>
      </w:r>
      <w:r w:rsidRPr="00C1603D">
        <w:t xml:space="preserve"> gluten-free diet</w:t>
      </w:r>
      <w:r w:rsidR="008E08AA" w:rsidRPr="00C1603D">
        <w:t>,</w:t>
      </w:r>
      <w:r w:rsidRPr="00C1603D">
        <w:t xml:space="preserve"> no</w:t>
      </w:r>
      <w:r w:rsidR="008E08AA" w:rsidRPr="00C1603D">
        <w:t>-</w:t>
      </w:r>
      <w:r w:rsidRPr="00C1603D">
        <w:t>complications state</w:t>
      </w:r>
      <w:r w:rsidR="003672A2" w:rsidRPr="00C1603D">
        <w:t>; the</w:t>
      </w:r>
      <w:r w:rsidRPr="00C1603D">
        <w:t xml:space="preserve"> CD</w:t>
      </w:r>
      <w:r w:rsidR="003672A2" w:rsidRPr="00C1603D">
        <w:t>,</w:t>
      </w:r>
      <w:r w:rsidRPr="00C1603D">
        <w:t xml:space="preserve"> gluten-free diet</w:t>
      </w:r>
      <w:r w:rsidR="003672A2" w:rsidRPr="00C1603D">
        <w:t>, osteoporosis state;</w:t>
      </w:r>
      <w:r w:rsidRPr="00C1603D">
        <w:t xml:space="preserve"> and </w:t>
      </w:r>
      <w:r w:rsidR="003672A2" w:rsidRPr="00C1603D">
        <w:t xml:space="preserve">the </w:t>
      </w:r>
      <w:r w:rsidRPr="00C1603D">
        <w:t>undiagnosed CD</w:t>
      </w:r>
      <w:r w:rsidR="003672A2" w:rsidRPr="00C1603D">
        <w:t>,</w:t>
      </w:r>
      <w:r w:rsidRPr="00C1603D">
        <w:t xml:space="preserve"> osteoporosis state.</w:t>
      </w:r>
      <w:commentRangeEnd w:id="430"/>
      <w:r w:rsidR="00E716E7" w:rsidRPr="00C1603D">
        <w:rPr>
          <w:rFonts w:ascii="Times New Roman" w:hAnsi="Times New Roman" w:cs="Times New Roman"/>
          <w:color w:val="auto"/>
          <w:lang w:val="en-US"/>
        </w:rPr>
        <w:commentReference w:id="430"/>
      </w:r>
    </w:p>
    <w:p w14:paraId="04A01B51" w14:textId="15057E81" w:rsidR="008B4DF8" w:rsidRPr="00C1603D" w:rsidRDefault="008B4DF8" w:rsidP="008B4DF8">
      <w:pPr>
        <w:pStyle w:val="602TextfoTextstylesTextstyles"/>
      </w:pPr>
      <w:r w:rsidRPr="00C1603D">
        <w:t xml:space="preserve">The ratio of EVPPI to EVPI for each parameter is illustrated in </w:t>
      </w:r>
      <w:r w:rsidRPr="00C1603D">
        <w:rPr>
          <w:i/>
          <w:color w:val="FF0000"/>
        </w:rPr>
        <w:t xml:space="preserve">Figure </w:t>
      </w:r>
      <w:r w:rsidRPr="00C1603D">
        <w:rPr>
          <w:i/>
          <w:noProof/>
          <w:color w:val="FF0000"/>
        </w:rPr>
        <w:t>17</w:t>
      </w:r>
      <w:r w:rsidRPr="00C1603D">
        <w:t xml:space="preserve">. </w:t>
      </w:r>
      <w:r w:rsidR="00A2688B" w:rsidRPr="00C1603D">
        <w:t>The p</w:t>
      </w:r>
      <w:r w:rsidRPr="00C1603D">
        <w:t>robability of late diagnosis and the sensitivity of HLA</w:t>
      </w:r>
      <w:r w:rsidR="00A2688B" w:rsidRPr="00C1603D">
        <w:t xml:space="preserve"> testing</w:t>
      </w:r>
      <w:r w:rsidRPr="00C1603D">
        <w:t xml:space="preserve"> are the most influential parameters. The impact of gluten-free diet on the probability of developing osteoporosis and the accuracy of IgA EMA </w:t>
      </w:r>
      <w:r w:rsidR="00B0589A" w:rsidRPr="00C1603D">
        <w:t xml:space="preserve">testing </w:t>
      </w:r>
      <w:r w:rsidRPr="00C1603D">
        <w:t>have low influence</w:t>
      </w:r>
      <w:r w:rsidR="00A2688B" w:rsidRPr="00C1603D">
        <w:t>, and</w:t>
      </w:r>
      <w:r w:rsidRPr="00C1603D">
        <w:t xml:space="preserve"> all other parameters </w:t>
      </w:r>
      <w:proofErr w:type="gramStart"/>
      <w:r w:rsidRPr="00C1603D">
        <w:t>appear to have</w:t>
      </w:r>
      <w:proofErr w:type="gramEnd"/>
      <w:r w:rsidRPr="00C1603D">
        <w:t xml:space="preserve"> no influence</w:t>
      </w:r>
      <w:r w:rsidR="00E04ED4" w:rsidRPr="00C1603D">
        <w:t>,</w:t>
      </w:r>
      <w:r w:rsidRPr="00C1603D">
        <w:t xml:space="preserve"> on the results.</w:t>
      </w:r>
    </w:p>
    <w:p w14:paraId="0D44945F" w14:textId="18F50F6F" w:rsidR="008B4DF8" w:rsidRPr="00C1603D" w:rsidRDefault="008B4DF8" w:rsidP="008B4DF8">
      <w:pPr>
        <w:pStyle w:val="81FigurelegendTableFigureBoxstyles"/>
        <w:rPr>
          <w:rFonts w:cs="Calibri"/>
        </w:rPr>
      </w:pPr>
      <w:bookmarkStart w:id="431" w:name="_Toc99720798"/>
      <w:commentRangeStart w:id="432"/>
      <w:r w:rsidRPr="00C1603D">
        <w:rPr>
          <w:b/>
        </w:rPr>
        <w:t>FIGURE 17</w:t>
      </w:r>
      <w:r w:rsidRPr="00C1603D">
        <w:rPr>
          <w:b/>
        </w:rPr>
        <w:t> </w:t>
      </w:r>
      <w:r w:rsidRPr="00C1603D">
        <w:t xml:space="preserve">Ratio of EVPPI for each parameter to total EVPI </w:t>
      </w:r>
      <w:r w:rsidR="00B0589A" w:rsidRPr="00C1603D">
        <w:t>among</w:t>
      </w:r>
      <w:r w:rsidRPr="00C1603D">
        <w:t xml:space="preserve"> adult men. Only </w:t>
      </w:r>
      <w:r w:rsidR="00B0589A" w:rsidRPr="00C1603D">
        <w:t xml:space="preserve">the </w:t>
      </w:r>
      <w:proofErr w:type="gramStart"/>
      <w:r w:rsidR="00B0589A" w:rsidRPr="00C1603D">
        <w:t>10</w:t>
      </w:r>
      <w:proofErr w:type="gramEnd"/>
      <w:r w:rsidRPr="00C1603D">
        <w:t xml:space="preserve"> most influential parameters </w:t>
      </w:r>
      <w:r w:rsidR="00B0589A" w:rsidRPr="00C1603D">
        <w:t xml:space="preserve">are </w:t>
      </w:r>
      <w:r w:rsidRPr="00C1603D">
        <w:t>included</w:t>
      </w:r>
      <w:r w:rsidR="00B0589A" w:rsidRPr="00C1603D">
        <w:t>; the</w:t>
      </w:r>
      <w:r w:rsidRPr="00C1603D">
        <w:t xml:space="preserve"> </w:t>
      </w:r>
      <w:r w:rsidR="00B0589A" w:rsidRPr="00C1603D">
        <w:t>r</w:t>
      </w:r>
      <w:r w:rsidRPr="00C1603D">
        <w:t>emaining parameters have minimal influence on</w:t>
      </w:r>
      <w:r w:rsidR="00B0589A" w:rsidRPr="00C1603D">
        <w:t xml:space="preserve"> the</w:t>
      </w:r>
      <w:r w:rsidRPr="00C1603D">
        <w:t xml:space="preserve"> results</w:t>
      </w:r>
      <w:bookmarkEnd w:id="431"/>
      <w:r w:rsidRPr="00C1603D">
        <w:t xml:space="preserve">. </w:t>
      </w:r>
      <w:r w:rsidR="00252326" w:rsidRPr="00C1603D">
        <w:rPr>
          <w:rFonts w:cs="Calibri"/>
        </w:rPr>
        <w:t>GFD, gluten-free diet</w:t>
      </w:r>
      <w:r w:rsidR="006B6A84" w:rsidRPr="00C1603D">
        <w:rPr>
          <w:rFonts w:cs="Calibri"/>
        </w:rPr>
        <w:t xml:space="preserve">; </w:t>
      </w:r>
      <w:r w:rsidR="00161ADF" w:rsidRPr="00C1603D">
        <w:rPr>
          <w:rFonts w:cs="Calibri"/>
        </w:rPr>
        <w:t>log_or_osteoporosis_noGFD</w:t>
      </w:r>
      <w:r w:rsidR="00161ADF" w:rsidRPr="00C1603D">
        <w:rPr>
          <w:rFonts w:cs="Calibri"/>
          <w:color w:val="00B0F0"/>
        </w:rPr>
        <w:t xml:space="preserve">, </w:t>
      </w:r>
      <w:r w:rsidR="00161ADF" w:rsidRPr="00C1603D">
        <w:rPr>
          <w:rFonts w:cs="Calibri"/>
        </w:rPr>
        <w:t>log-odds ratio of developing osteoporosis, not on a GFD, compared with being on a GFD; log_rr_NHL_noGFD</w:t>
      </w:r>
      <w:r w:rsidR="00161ADF" w:rsidRPr="00C1603D">
        <w:rPr>
          <w:rFonts w:cs="Calibri"/>
          <w:color w:val="00B0F0"/>
        </w:rPr>
        <w:t xml:space="preserve">, </w:t>
      </w:r>
      <w:r w:rsidR="00161ADF" w:rsidRPr="00C1603D">
        <w:rPr>
          <w:rFonts w:cs="Calibri"/>
        </w:rPr>
        <w:t xml:space="preserve">log risk ratio of developing NHL, not on a GFD, compared with being on a GFD, for coeliac patients. </w:t>
      </w:r>
      <w:r w:rsidR="006B6A84" w:rsidRPr="00C1603D">
        <w:rPr>
          <w:rFonts w:cs="Calibri"/>
        </w:rPr>
        <w:t>sens, sensitivity; spec, specificity.</w:t>
      </w:r>
      <w:commentRangeEnd w:id="432"/>
      <w:r w:rsidR="00A069FC" w:rsidRPr="00C1603D">
        <w:rPr>
          <w:rFonts w:ascii="Times New Roman" w:hAnsi="Times New Roman" w:cs="Times New Roman"/>
          <w:color w:val="auto"/>
        </w:rPr>
        <w:commentReference w:id="432"/>
      </w:r>
    </w:p>
    <w:p w14:paraId="1AFCBEDB" w14:textId="34AB49AC" w:rsidR="008B4DF8" w:rsidRPr="00C1603D" w:rsidRDefault="008B4DF8" w:rsidP="008B4DF8">
      <w:pPr>
        <w:pStyle w:val="602TextfoTextstylesTextstyles"/>
        <w:rPr>
          <w:color w:val="auto"/>
        </w:rPr>
      </w:pPr>
      <w:r w:rsidRPr="00C1603D">
        <w:t xml:space="preserve">The total EVPI and EVPPI for parameter sets of interest are summarised in </w:t>
      </w:r>
      <w:r w:rsidRPr="00C1603D">
        <w:rPr>
          <w:i/>
          <w:color w:val="FF0000"/>
        </w:rPr>
        <w:t>Table 2</w:t>
      </w:r>
      <w:r w:rsidR="008A6568" w:rsidRPr="00C1603D">
        <w:rPr>
          <w:i/>
          <w:color w:val="FF0000"/>
        </w:rPr>
        <w:t>1</w:t>
      </w:r>
      <w:r w:rsidRPr="00C1603D">
        <w:t>. The total population EVPI</w:t>
      </w:r>
      <w:r w:rsidR="0069646E" w:rsidRPr="00C1603D">
        <w:t xml:space="preserve"> for men</w:t>
      </w:r>
      <w:r w:rsidRPr="00C1603D">
        <w:t xml:space="preserve"> is £25.7</w:t>
      </w:r>
      <w:r w:rsidR="00155BEA" w:rsidRPr="00C1603D">
        <w:t>M</w:t>
      </w:r>
      <w:r w:rsidRPr="00C1603D">
        <w:t>, indicating potential value in conducting further research. The EVPPI for parameter sets indicates</w:t>
      </w:r>
      <w:r w:rsidR="00155BEA" w:rsidRPr="00C1603D">
        <w:t xml:space="preserve"> that</w:t>
      </w:r>
      <w:r w:rsidRPr="00C1603D">
        <w:t xml:space="preserve"> the greatest potential value lies in a study of probabilities of late diagnosis or on test-accuracy parameters. This aligns with the </w:t>
      </w:r>
      <w:r w:rsidRPr="00C1603D">
        <w:rPr>
          <w:color w:val="auto"/>
        </w:rPr>
        <w:t xml:space="preserve">ranking of </w:t>
      </w:r>
      <w:r w:rsidRPr="00C1603D">
        <w:rPr>
          <w:i/>
          <w:color w:val="auto"/>
        </w:rPr>
        <w:t xml:space="preserve">Figure </w:t>
      </w:r>
      <w:r w:rsidRPr="00C1603D">
        <w:rPr>
          <w:i/>
          <w:noProof/>
          <w:color w:val="auto"/>
        </w:rPr>
        <w:t>17</w:t>
      </w:r>
      <w:r w:rsidRPr="00C1603D">
        <w:rPr>
          <w:color w:val="auto"/>
        </w:rPr>
        <w:t>.</w:t>
      </w:r>
    </w:p>
    <w:p w14:paraId="6D328FD4" w14:textId="51531A90" w:rsidR="008B4DF8" w:rsidRPr="00C1603D" w:rsidRDefault="008B4DF8" w:rsidP="008B4DF8">
      <w:pPr>
        <w:pStyle w:val="70TablelegendTablesTableFigureBoxstyles"/>
      </w:pPr>
      <w:bookmarkStart w:id="433" w:name="_Toc99720731"/>
      <w:r w:rsidRPr="00C1603D">
        <w:rPr>
          <w:b/>
        </w:rPr>
        <w:t>TABLE 2</w:t>
      </w:r>
      <w:r w:rsidR="00032460" w:rsidRPr="00C1603D">
        <w:rPr>
          <w:b/>
        </w:rPr>
        <w:t>1</w:t>
      </w:r>
      <w:r w:rsidRPr="00C1603D">
        <w:rPr>
          <w:b/>
        </w:rPr>
        <w:t> </w:t>
      </w:r>
      <w:r w:rsidR="00655BD3" w:rsidRPr="00C1603D">
        <w:rPr>
          <w:bCs/>
        </w:rPr>
        <w:t xml:space="preserve">Total </w:t>
      </w:r>
      <w:r w:rsidRPr="00C1603D">
        <w:t>EVPI and EVPPI for parameter sets of interest</w:t>
      </w:r>
      <w:bookmarkEnd w:id="433"/>
    </w:p>
    <w:tbl>
      <w:tblPr>
        <w:tblW w:w="0" w:type="auto"/>
        <w:tblCellMar>
          <w:top w:w="40" w:type="dxa"/>
          <w:left w:w="60" w:type="dxa"/>
          <w:bottom w:w="40" w:type="dxa"/>
          <w:right w:w="60" w:type="dxa"/>
        </w:tblCellMar>
        <w:tblLook w:val="04A0" w:firstRow="1" w:lastRow="0" w:firstColumn="1" w:lastColumn="0" w:noHBand="0" w:noVBand="1"/>
      </w:tblPr>
      <w:tblGrid>
        <w:gridCol w:w="2003"/>
        <w:gridCol w:w="1007"/>
        <w:gridCol w:w="1334"/>
        <w:gridCol w:w="1007"/>
        <w:gridCol w:w="1334"/>
        <w:gridCol w:w="1007"/>
        <w:gridCol w:w="1334"/>
      </w:tblGrid>
      <w:tr w:rsidR="0031702D" w:rsidRPr="00C1603D" w14:paraId="7C88A2C0" w14:textId="77777777" w:rsidTr="00161ADF">
        <w:trPr>
          <w:cantSplit/>
        </w:trPr>
        <w:tc>
          <w:tcPr>
            <w:tcW w:w="0" w:type="auto"/>
            <w:shd w:val="clear" w:color="auto" w:fill="auto"/>
          </w:tcPr>
          <w:p w14:paraId="47C4A1AA" w14:textId="77777777" w:rsidR="008B4DF8" w:rsidRPr="00C1603D" w:rsidRDefault="008B4DF8" w:rsidP="00161ADF">
            <w:pPr>
              <w:pStyle w:val="710TableheadTablesTableFigureBoxstyles"/>
            </w:pPr>
            <w:r w:rsidRPr="00C1603D">
              <w:t>Parameter set</w:t>
            </w:r>
          </w:p>
        </w:tc>
        <w:tc>
          <w:tcPr>
            <w:tcW w:w="0" w:type="auto"/>
            <w:gridSpan w:val="2"/>
            <w:shd w:val="clear" w:color="auto" w:fill="auto"/>
          </w:tcPr>
          <w:p w14:paraId="5D7AD517" w14:textId="77777777" w:rsidR="008B4DF8" w:rsidRPr="00C1603D" w:rsidRDefault="008B4DF8" w:rsidP="00161ADF">
            <w:pPr>
              <w:pStyle w:val="705TableheadgroupTablesTableFigureBoxstyles"/>
            </w:pPr>
            <w:r w:rsidRPr="00C1603D">
              <w:t>Men</w:t>
            </w:r>
          </w:p>
        </w:tc>
        <w:tc>
          <w:tcPr>
            <w:tcW w:w="0" w:type="auto"/>
            <w:gridSpan w:val="2"/>
            <w:shd w:val="clear" w:color="auto" w:fill="auto"/>
          </w:tcPr>
          <w:p w14:paraId="4C4DC77E" w14:textId="77777777" w:rsidR="008B4DF8" w:rsidRPr="00C1603D" w:rsidRDefault="008B4DF8" w:rsidP="00161ADF">
            <w:pPr>
              <w:pStyle w:val="705TableheadgroupTablesTableFigureBoxstyles"/>
            </w:pPr>
            <w:r w:rsidRPr="00C1603D">
              <w:t>Women</w:t>
            </w:r>
          </w:p>
        </w:tc>
        <w:tc>
          <w:tcPr>
            <w:tcW w:w="0" w:type="auto"/>
            <w:gridSpan w:val="2"/>
            <w:shd w:val="clear" w:color="auto" w:fill="auto"/>
          </w:tcPr>
          <w:p w14:paraId="5EEB1B71" w14:textId="282CD6F9" w:rsidR="008B4DF8" w:rsidRPr="00C1603D" w:rsidRDefault="008B4DF8" w:rsidP="00161ADF">
            <w:pPr>
              <w:pStyle w:val="705TableheadgroupTablesTableFigureBoxstyles"/>
            </w:pPr>
            <w:r w:rsidRPr="00C1603D">
              <w:t>Children</w:t>
            </w:r>
            <w:r w:rsidR="0022507F" w:rsidRPr="00C1603D">
              <w:rPr>
                <w:vertAlign w:val="superscript"/>
              </w:rPr>
              <w:t>a</w:t>
            </w:r>
          </w:p>
        </w:tc>
      </w:tr>
      <w:tr w:rsidR="0031702D" w:rsidRPr="00C1603D" w14:paraId="1CBE995E" w14:textId="77777777" w:rsidTr="00161ADF">
        <w:trPr>
          <w:cantSplit/>
        </w:trPr>
        <w:tc>
          <w:tcPr>
            <w:tcW w:w="0" w:type="auto"/>
            <w:shd w:val="clear" w:color="auto" w:fill="auto"/>
          </w:tcPr>
          <w:p w14:paraId="675A5CEF" w14:textId="0D78437F" w:rsidR="008B4DF8" w:rsidRPr="00C1603D" w:rsidRDefault="008B4DF8" w:rsidP="00B3223C">
            <w:pPr>
              <w:pStyle w:val="72TabletextTablesTableFigureBoxstyles"/>
            </w:pPr>
            <w:r w:rsidRPr="00C1603D">
              <w:t>Total population size</w:t>
            </w:r>
            <w:r w:rsidR="004C484D" w:rsidRPr="00C1603D">
              <w:t xml:space="preserve"> (</w:t>
            </w:r>
            <w:r w:rsidR="00D3265A" w:rsidRPr="00C1603D">
              <w:rPr>
                <w:i/>
                <w:iCs/>
              </w:rPr>
              <w:t>n</w:t>
            </w:r>
            <w:r w:rsidR="004C484D" w:rsidRPr="00C1603D">
              <w:t>)</w:t>
            </w:r>
          </w:p>
        </w:tc>
        <w:tc>
          <w:tcPr>
            <w:tcW w:w="0" w:type="auto"/>
            <w:gridSpan w:val="2"/>
            <w:shd w:val="clear" w:color="auto" w:fill="auto"/>
          </w:tcPr>
          <w:p w14:paraId="10AC32EA" w14:textId="77777777" w:rsidR="008B4DF8" w:rsidRPr="00C1603D" w:rsidRDefault="008B4DF8" w:rsidP="00161ADF">
            <w:pPr>
              <w:pStyle w:val="72TabletextTablesTableFigureBoxstyles"/>
            </w:pPr>
            <w:r w:rsidRPr="00C1603D">
              <w:t>263,465</w:t>
            </w:r>
          </w:p>
        </w:tc>
        <w:tc>
          <w:tcPr>
            <w:tcW w:w="0" w:type="auto"/>
            <w:gridSpan w:val="2"/>
            <w:shd w:val="clear" w:color="auto" w:fill="auto"/>
          </w:tcPr>
          <w:p w14:paraId="3929F8AD" w14:textId="77777777" w:rsidR="008B4DF8" w:rsidRPr="00C1603D" w:rsidRDefault="008B4DF8" w:rsidP="00161ADF">
            <w:pPr>
              <w:pStyle w:val="72TabletextTablesTableFigureBoxstyles"/>
            </w:pPr>
            <w:r w:rsidRPr="00C1603D">
              <w:t>263,465</w:t>
            </w:r>
          </w:p>
        </w:tc>
        <w:tc>
          <w:tcPr>
            <w:tcW w:w="0" w:type="auto"/>
            <w:gridSpan w:val="2"/>
            <w:shd w:val="clear" w:color="auto" w:fill="auto"/>
          </w:tcPr>
          <w:p w14:paraId="1A35CB22" w14:textId="77777777" w:rsidR="008B4DF8" w:rsidRPr="00C1603D" w:rsidRDefault="008B4DF8" w:rsidP="00161ADF">
            <w:pPr>
              <w:pStyle w:val="72TabletextTablesTableFigureBoxstyles"/>
            </w:pPr>
            <w:r w:rsidRPr="00C1603D">
              <w:t>140,070</w:t>
            </w:r>
          </w:p>
        </w:tc>
      </w:tr>
      <w:tr w:rsidR="0031702D" w:rsidRPr="00C1603D" w14:paraId="754CDF1E" w14:textId="77777777" w:rsidTr="00161ADF">
        <w:trPr>
          <w:cantSplit/>
        </w:trPr>
        <w:tc>
          <w:tcPr>
            <w:tcW w:w="0" w:type="auto"/>
            <w:shd w:val="clear" w:color="auto" w:fill="auto"/>
          </w:tcPr>
          <w:p w14:paraId="570E5F99" w14:textId="37E58CDF" w:rsidR="008B4DF8" w:rsidRPr="00C1603D" w:rsidRDefault="008B4DF8" w:rsidP="00B3223C">
            <w:pPr>
              <w:pStyle w:val="72TabletextTablesTableFigureBoxstyles"/>
            </w:pPr>
            <w:r w:rsidRPr="00C1603D">
              <w:t>Discounted population size</w:t>
            </w:r>
            <w:r w:rsidR="00D3265A" w:rsidRPr="00C1603D">
              <w:t xml:space="preserve"> (</w:t>
            </w:r>
            <w:r w:rsidR="00D3265A" w:rsidRPr="00C1603D">
              <w:rPr>
                <w:i/>
                <w:iCs/>
              </w:rPr>
              <w:t>n</w:t>
            </w:r>
            <w:r w:rsidR="00D3265A" w:rsidRPr="00C1603D">
              <w:t>)</w:t>
            </w:r>
          </w:p>
        </w:tc>
        <w:tc>
          <w:tcPr>
            <w:tcW w:w="0" w:type="auto"/>
            <w:gridSpan w:val="2"/>
            <w:shd w:val="clear" w:color="auto" w:fill="auto"/>
          </w:tcPr>
          <w:p w14:paraId="5D76501D" w14:textId="77777777" w:rsidR="008B4DF8" w:rsidRPr="00C1603D" w:rsidRDefault="008B4DF8" w:rsidP="00161ADF">
            <w:pPr>
              <w:pStyle w:val="72TabletextTablesTableFigureBoxstyles"/>
            </w:pPr>
            <w:r w:rsidRPr="00C1603D">
              <w:t>2,267,824</w:t>
            </w:r>
          </w:p>
        </w:tc>
        <w:tc>
          <w:tcPr>
            <w:tcW w:w="0" w:type="auto"/>
            <w:gridSpan w:val="2"/>
            <w:shd w:val="clear" w:color="auto" w:fill="auto"/>
          </w:tcPr>
          <w:p w14:paraId="1EEC5914" w14:textId="77777777" w:rsidR="008B4DF8" w:rsidRPr="00C1603D" w:rsidRDefault="008B4DF8" w:rsidP="00161ADF">
            <w:pPr>
              <w:pStyle w:val="72TabletextTablesTableFigureBoxstyles"/>
            </w:pPr>
            <w:r w:rsidRPr="00C1603D">
              <w:t>2,267,824</w:t>
            </w:r>
          </w:p>
        </w:tc>
        <w:tc>
          <w:tcPr>
            <w:tcW w:w="0" w:type="auto"/>
            <w:gridSpan w:val="2"/>
            <w:shd w:val="clear" w:color="auto" w:fill="auto"/>
          </w:tcPr>
          <w:p w14:paraId="6C22275C" w14:textId="77777777" w:rsidR="008B4DF8" w:rsidRPr="00C1603D" w:rsidRDefault="008B4DF8" w:rsidP="00161ADF">
            <w:pPr>
              <w:pStyle w:val="72TabletextTablesTableFigureBoxstyles"/>
            </w:pPr>
            <w:r w:rsidRPr="00C1603D">
              <w:t>1,205,679</w:t>
            </w:r>
          </w:p>
        </w:tc>
      </w:tr>
      <w:tr w:rsidR="00D3265A" w:rsidRPr="00C1603D" w14:paraId="0A05030F" w14:textId="77777777" w:rsidTr="00161ADF">
        <w:trPr>
          <w:cantSplit/>
        </w:trPr>
        <w:tc>
          <w:tcPr>
            <w:tcW w:w="0" w:type="auto"/>
            <w:shd w:val="clear" w:color="auto" w:fill="auto"/>
          </w:tcPr>
          <w:p w14:paraId="7B8E2253" w14:textId="77777777" w:rsidR="00D3265A" w:rsidRPr="00C1603D" w:rsidRDefault="00D3265A" w:rsidP="00D3265A">
            <w:pPr>
              <w:pStyle w:val="711TablesubheadATablesTableFigureBoxstyles"/>
            </w:pPr>
          </w:p>
        </w:tc>
        <w:tc>
          <w:tcPr>
            <w:tcW w:w="0" w:type="auto"/>
            <w:shd w:val="clear" w:color="auto" w:fill="auto"/>
          </w:tcPr>
          <w:p w14:paraId="16C7CCC1" w14:textId="6B8E4E0F" w:rsidR="00D3265A" w:rsidRPr="00C1603D" w:rsidRDefault="00D3265A" w:rsidP="00D3265A">
            <w:pPr>
              <w:pStyle w:val="711TablesubheadATablesTableFigureBoxstyles"/>
            </w:pPr>
            <w:r w:rsidRPr="00C1603D">
              <w:t>Per person</w:t>
            </w:r>
            <w:r w:rsidR="0069646E" w:rsidRPr="00C1603D">
              <w:t xml:space="preserve"> (£)</w:t>
            </w:r>
          </w:p>
        </w:tc>
        <w:tc>
          <w:tcPr>
            <w:tcW w:w="0" w:type="auto"/>
            <w:shd w:val="clear" w:color="auto" w:fill="auto"/>
          </w:tcPr>
          <w:p w14:paraId="0A06D2AC" w14:textId="69A1782C" w:rsidR="00D3265A" w:rsidRPr="00C1603D" w:rsidRDefault="00D3265A" w:rsidP="00D3265A">
            <w:pPr>
              <w:pStyle w:val="711TablesubheadATablesTableFigureBoxstyles"/>
            </w:pPr>
            <w:r w:rsidRPr="00C1603D">
              <w:t>Population</w:t>
            </w:r>
            <w:r w:rsidR="0069646E" w:rsidRPr="00C1603D">
              <w:t xml:space="preserve"> (£)</w:t>
            </w:r>
          </w:p>
        </w:tc>
        <w:tc>
          <w:tcPr>
            <w:tcW w:w="0" w:type="auto"/>
            <w:shd w:val="clear" w:color="auto" w:fill="auto"/>
          </w:tcPr>
          <w:p w14:paraId="42CCB9B2" w14:textId="0660DBC7" w:rsidR="00D3265A" w:rsidRPr="00C1603D" w:rsidRDefault="00D3265A" w:rsidP="00D3265A">
            <w:pPr>
              <w:pStyle w:val="711TablesubheadATablesTableFigureBoxstyles"/>
            </w:pPr>
            <w:r w:rsidRPr="00C1603D">
              <w:t>Per person</w:t>
            </w:r>
            <w:r w:rsidR="0069646E" w:rsidRPr="00C1603D">
              <w:t xml:space="preserve"> (£)</w:t>
            </w:r>
          </w:p>
        </w:tc>
        <w:tc>
          <w:tcPr>
            <w:tcW w:w="0" w:type="auto"/>
            <w:shd w:val="clear" w:color="auto" w:fill="auto"/>
          </w:tcPr>
          <w:p w14:paraId="42FCB7C2" w14:textId="33298ED3" w:rsidR="00D3265A" w:rsidRPr="00C1603D" w:rsidRDefault="00D3265A" w:rsidP="00D3265A">
            <w:pPr>
              <w:pStyle w:val="711TablesubheadATablesTableFigureBoxstyles"/>
            </w:pPr>
            <w:r w:rsidRPr="00C1603D">
              <w:t>Population</w:t>
            </w:r>
            <w:r w:rsidR="0069646E" w:rsidRPr="00C1603D">
              <w:t xml:space="preserve"> (£)</w:t>
            </w:r>
          </w:p>
        </w:tc>
        <w:tc>
          <w:tcPr>
            <w:tcW w:w="0" w:type="auto"/>
            <w:shd w:val="clear" w:color="auto" w:fill="auto"/>
          </w:tcPr>
          <w:p w14:paraId="74225C00" w14:textId="5DB09EE9" w:rsidR="00D3265A" w:rsidRPr="00C1603D" w:rsidRDefault="00D3265A" w:rsidP="00D3265A">
            <w:pPr>
              <w:pStyle w:val="711TablesubheadATablesTableFigureBoxstyles"/>
            </w:pPr>
            <w:r w:rsidRPr="00C1603D">
              <w:t>Per person</w:t>
            </w:r>
            <w:r w:rsidR="0069646E" w:rsidRPr="00C1603D">
              <w:t xml:space="preserve"> (£)</w:t>
            </w:r>
          </w:p>
        </w:tc>
        <w:tc>
          <w:tcPr>
            <w:tcW w:w="0" w:type="auto"/>
            <w:shd w:val="clear" w:color="auto" w:fill="auto"/>
          </w:tcPr>
          <w:p w14:paraId="653053A0" w14:textId="6D9AF266" w:rsidR="00D3265A" w:rsidRPr="00C1603D" w:rsidRDefault="00D3265A" w:rsidP="00D3265A">
            <w:pPr>
              <w:pStyle w:val="711TablesubheadATablesTableFigureBoxstyles"/>
            </w:pPr>
            <w:r w:rsidRPr="00C1603D">
              <w:t>Population</w:t>
            </w:r>
            <w:r w:rsidR="0069646E" w:rsidRPr="00C1603D">
              <w:t xml:space="preserve"> (£)</w:t>
            </w:r>
          </w:p>
        </w:tc>
      </w:tr>
      <w:tr w:rsidR="0069646E" w:rsidRPr="00C1603D" w14:paraId="3866BD3A" w14:textId="77777777" w:rsidTr="00161ADF">
        <w:trPr>
          <w:cantSplit/>
        </w:trPr>
        <w:tc>
          <w:tcPr>
            <w:tcW w:w="0" w:type="auto"/>
            <w:shd w:val="clear" w:color="auto" w:fill="auto"/>
          </w:tcPr>
          <w:p w14:paraId="211874EA" w14:textId="77777777" w:rsidR="008B4DF8" w:rsidRPr="00C1603D" w:rsidRDefault="008B4DF8" w:rsidP="00B3223C">
            <w:pPr>
              <w:pStyle w:val="72TabletextTablesTableFigureBoxstyles"/>
            </w:pPr>
            <w:r w:rsidRPr="00C1603D">
              <w:t>Total EVPI</w:t>
            </w:r>
          </w:p>
        </w:tc>
        <w:tc>
          <w:tcPr>
            <w:tcW w:w="0" w:type="auto"/>
            <w:shd w:val="clear" w:color="auto" w:fill="auto"/>
          </w:tcPr>
          <w:p w14:paraId="424A07F4" w14:textId="77777777" w:rsidR="008B4DF8" w:rsidRPr="00C1603D" w:rsidRDefault="008B4DF8" w:rsidP="00161ADF">
            <w:pPr>
              <w:pStyle w:val="72TabletextTablesTableFigureBoxstyles"/>
            </w:pPr>
            <w:r w:rsidRPr="00C1603D">
              <w:t>11.32</w:t>
            </w:r>
          </w:p>
        </w:tc>
        <w:tc>
          <w:tcPr>
            <w:tcW w:w="0" w:type="auto"/>
            <w:shd w:val="clear" w:color="auto" w:fill="auto"/>
          </w:tcPr>
          <w:p w14:paraId="2D1FF867" w14:textId="77777777" w:rsidR="008B4DF8" w:rsidRPr="00C1603D" w:rsidRDefault="008B4DF8" w:rsidP="00161ADF">
            <w:pPr>
              <w:pStyle w:val="72TabletextTablesTableFigureBoxstyles"/>
            </w:pPr>
            <w:r w:rsidRPr="00C1603D">
              <w:t>25,679,685</w:t>
            </w:r>
          </w:p>
        </w:tc>
        <w:tc>
          <w:tcPr>
            <w:tcW w:w="0" w:type="auto"/>
            <w:shd w:val="clear" w:color="auto" w:fill="auto"/>
          </w:tcPr>
          <w:p w14:paraId="3E895C50" w14:textId="77777777" w:rsidR="008B4DF8" w:rsidRPr="00C1603D" w:rsidRDefault="008B4DF8" w:rsidP="00161ADF">
            <w:pPr>
              <w:pStyle w:val="72TabletextTablesTableFigureBoxstyles"/>
            </w:pPr>
            <w:r w:rsidRPr="00C1603D">
              <w:t>34.85</w:t>
            </w:r>
          </w:p>
        </w:tc>
        <w:tc>
          <w:tcPr>
            <w:tcW w:w="0" w:type="auto"/>
            <w:shd w:val="clear" w:color="auto" w:fill="auto"/>
          </w:tcPr>
          <w:p w14:paraId="36A73B2F" w14:textId="77777777" w:rsidR="008B4DF8" w:rsidRPr="00C1603D" w:rsidRDefault="008B4DF8" w:rsidP="00161ADF">
            <w:pPr>
              <w:pStyle w:val="72TabletextTablesTableFigureBoxstyles"/>
            </w:pPr>
            <w:r w:rsidRPr="00C1603D">
              <w:t>79,040,182</w:t>
            </w:r>
          </w:p>
        </w:tc>
        <w:tc>
          <w:tcPr>
            <w:tcW w:w="0" w:type="auto"/>
            <w:shd w:val="clear" w:color="auto" w:fill="auto"/>
          </w:tcPr>
          <w:p w14:paraId="489656E9" w14:textId="77777777" w:rsidR="008B4DF8" w:rsidRPr="00C1603D" w:rsidRDefault="008B4DF8" w:rsidP="00161ADF">
            <w:pPr>
              <w:pStyle w:val="72TabletextTablesTableFigureBoxstyles"/>
            </w:pPr>
            <w:r w:rsidRPr="00C1603D">
              <w:t>15.28</w:t>
            </w:r>
          </w:p>
        </w:tc>
        <w:tc>
          <w:tcPr>
            <w:tcW w:w="0" w:type="auto"/>
            <w:shd w:val="clear" w:color="auto" w:fill="auto"/>
          </w:tcPr>
          <w:p w14:paraId="4A910482" w14:textId="77777777" w:rsidR="008B4DF8" w:rsidRPr="00C1603D" w:rsidRDefault="008B4DF8" w:rsidP="00161ADF">
            <w:pPr>
              <w:pStyle w:val="72TabletextTablesTableFigureBoxstyles"/>
            </w:pPr>
            <w:r w:rsidRPr="00C1603D">
              <w:t>18,420,293</w:t>
            </w:r>
          </w:p>
        </w:tc>
      </w:tr>
      <w:tr w:rsidR="0069646E" w:rsidRPr="00C1603D" w14:paraId="0CE8BC10" w14:textId="77777777" w:rsidTr="00161ADF">
        <w:trPr>
          <w:cantSplit/>
        </w:trPr>
        <w:tc>
          <w:tcPr>
            <w:tcW w:w="0" w:type="auto"/>
            <w:shd w:val="clear" w:color="auto" w:fill="auto"/>
          </w:tcPr>
          <w:p w14:paraId="58763748" w14:textId="77777777" w:rsidR="008B4DF8" w:rsidRPr="00C1603D" w:rsidRDefault="008B4DF8" w:rsidP="00B3223C">
            <w:pPr>
              <w:pStyle w:val="72TabletextTablesTableFigureBoxstyles"/>
            </w:pPr>
            <w:r w:rsidRPr="00C1603D">
              <w:t>Utilities and disutilities</w:t>
            </w:r>
          </w:p>
        </w:tc>
        <w:tc>
          <w:tcPr>
            <w:tcW w:w="0" w:type="auto"/>
            <w:shd w:val="clear" w:color="auto" w:fill="auto"/>
          </w:tcPr>
          <w:p w14:paraId="4A339D7F" w14:textId="77777777" w:rsidR="008B4DF8" w:rsidRPr="00C1603D" w:rsidRDefault="008B4DF8" w:rsidP="00161ADF">
            <w:pPr>
              <w:pStyle w:val="72TabletextTablesTableFigureBoxstyles"/>
            </w:pPr>
            <w:r w:rsidRPr="00C1603D">
              <w:t>3.72</w:t>
            </w:r>
          </w:p>
        </w:tc>
        <w:tc>
          <w:tcPr>
            <w:tcW w:w="0" w:type="auto"/>
            <w:shd w:val="clear" w:color="auto" w:fill="auto"/>
          </w:tcPr>
          <w:p w14:paraId="392DF0E5" w14:textId="77777777" w:rsidR="008B4DF8" w:rsidRPr="00C1603D" w:rsidRDefault="008B4DF8" w:rsidP="00161ADF">
            <w:pPr>
              <w:pStyle w:val="72TabletextTablesTableFigureBoxstyles"/>
            </w:pPr>
            <w:r w:rsidRPr="00C1603D">
              <w:t>8,425,612</w:t>
            </w:r>
          </w:p>
        </w:tc>
        <w:tc>
          <w:tcPr>
            <w:tcW w:w="0" w:type="auto"/>
            <w:shd w:val="clear" w:color="auto" w:fill="auto"/>
          </w:tcPr>
          <w:p w14:paraId="327F6047" w14:textId="77777777" w:rsidR="008B4DF8" w:rsidRPr="00C1603D" w:rsidRDefault="008B4DF8" w:rsidP="00161ADF">
            <w:pPr>
              <w:pStyle w:val="72TabletextTablesTableFigureBoxstyles"/>
            </w:pPr>
            <w:r w:rsidRPr="00C1603D">
              <w:t>1.62</w:t>
            </w:r>
          </w:p>
        </w:tc>
        <w:tc>
          <w:tcPr>
            <w:tcW w:w="0" w:type="auto"/>
            <w:shd w:val="clear" w:color="auto" w:fill="auto"/>
          </w:tcPr>
          <w:p w14:paraId="5B9D4A86" w14:textId="77777777" w:rsidR="008B4DF8" w:rsidRPr="00C1603D" w:rsidRDefault="008B4DF8" w:rsidP="00161ADF">
            <w:pPr>
              <w:pStyle w:val="72TabletextTablesTableFigureBoxstyles"/>
            </w:pPr>
            <w:r w:rsidRPr="00C1603D">
              <w:t>3,663,585</w:t>
            </w:r>
          </w:p>
        </w:tc>
        <w:tc>
          <w:tcPr>
            <w:tcW w:w="0" w:type="auto"/>
            <w:shd w:val="clear" w:color="auto" w:fill="auto"/>
          </w:tcPr>
          <w:p w14:paraId="3C40E281" w14:textId="77777777" w:rsidR="008B4DF8" w:rsidRPr="00C1603D" w:rsidRDefault="008B4DF8" w:rsidP="00161ADF">
            <w:pPr>
              <w:pStyle w:val="72TabletextTablesTableFigureBoxstyles"/>
            </w:pPr>
            <w:r w:rsidRPr="00C1603D">
              <w:t>0.93</w:t>
            </w:r>
          </w:p>
        </w:tc>
        <w:tc>
          <w:tcPr>
            <w:tcW w:w="0" w:type="auto"/>
            <w:shd w:val="clear" w:color="auto" w:fill="auto"/>
          </w:tcPr>
          <w:p w14:paraId="203E30F4" w14:textId="77777777" w:rsidR="008B4DF8" w:rsidRPr="00C1603D" w:rsidRDefault="008B4DF8" w:rsidP="00161ADF">
            <w:pPr>
              <w:pStyle w:val="72TabletextTablesTableFigureBoxstyles"/>
            </w:pPr>
            <w:r w:rsidRPr="00C1603D">
              <w:t>1,117,066</w:t>
            </w:r>
          </w:p>
        </w:tc>
      </w:tr>
      <w:tr w:rsidR="0069646E" w:rsidRPr="00C1603D" w14:paraId="3B428203" w14:textId="77777777" w:rsidTr="00161ADF">
        <w:trPr>
          <w:cantSplit/>
        </w:trPr>
        <w:tc>
          <w:tcPr>
            <w:tcW w:w="0" w:type="auto"/>
            <w:shd w:val="clear" w:color="auto" w:fill="auto"/>
          </w:tcPr>
          <w:p w14:paraId="578366DC" w14:textId="77777777" w:rsidR="008B4DF8" w:rsidRPr="00C1603D" w:rsidRDefault="008B4DF8" w:rsidP="00B3223C">
            <w:pPr>
              <w:pStyle w:val="72TabletextTablesTableFigureBoxstyles"/>
            </w:pPr>
            <w:r w:rsidRPr="00C1603D">
              <w:t>Rates of osteoporosis and NHL</w:t>
            </w:r>
          </w:p>
        </w:tc>
        <w:tc>
          <w:tcPr>
            <w:tcW w:w="0" w:type="auto"/>
            <w:shd w:val="clear" w:color="auto" w:fill="auto"/>
          </w:tcPr>
          <w:p w14:paraId="670DF6D6" w14:textId="77777777" w:rsidR="008B4DF8" w:rsidRPr="00C1603D" w:rsidRDefault="008B4DF8" w:rsidP="00161ADF">
            <w:pPr>
              <w:pStyle w:val="72TabletextTablesTableFigureBoxstyles"/>
            </w:pPr>
            <w:r w:rsidRPr="00C1603D">
              <w:t>2.84</w:t>
            </w:r>
          </w:p>
        </w:tc>
        <w:tc>
          <w:tcPr>
            <w:tcW w:w="0" w:type="auto"/>
            <w:shd w:val="clear" w:color="auto" w:fill="auto"/>
          </w:tcPr>
          <w:p w14:paraId="1DC365AF" w14:textId="77777777" w:rsidR="008B4DF8" w:rsidRPr="00C1603D" w:rsidRDefault="008B4DF8" w:rsidP="00161ADF">
            <w:pPr>
              <w:pStyle w:val="72TabletextTablesTableFigureBoxstyles"/>
            </w:pPr>
            <w:r w:rsidRPr="00C1603D">
              <w:t>6,449,814</w:t>
            </w:r>
          </w:p>
        </w:tc>
        <w:tc>
          <w:tcPr>
            <w:tcW w:w="0" w:type="auto"/>
            <w:shd w:val="clear" w:color="auto" w:fill="auto"/>
          </w:tcPr>
          <w:p w14:paraId="6C209A4D" w14:textId="77777777" w:rsidR="008B4DF8" w:rsidRPr="00C1603D" w:rsidRDefault="008B4DF8" w:rsidP="00161ADF">
            <w:pPr>
              <w:pStyle w:val="72TabletextTablesTableFigureBoxstyles"/>
            </w:pPr>
            <w:r w:rsidRPr="00C1603D">
              <w:t>10.08</w:t>
            </w:r>
          </w:p>
        </w:tc>
        <w:tc>
          <w:tcPr>
            <w:tcW w:w="0" w:type="auto"/>
            <w:shd w:val="clear" w:color="auto" w:fill="auto"/>
          </w:tcPr>
          <w:p w14:paraId="39CC70DD" w14:textId="77777777" w:rsidR="008B4DF8" w:rsidRPr="00C1603D" w:rsidRDefault="008B4DF8" w:rsidP="00161ADF">
            <w:pPr>
              <w:pStyle w:val="72TabletextTablesTableFigureBoxstyles"/>
            </w:pPr>
            <w:r w:rsidRPr="00C1603D">
              <w:t>22,849,058</w:t>
            </w:r>
          </w:p>
        </w:tc>
        <w:tc>
          <w:tcPr>
            <w:tcW w:w="0" w:type="auto"/>
            <w:shd w:val="clear" w:color="auto" w:fill="auto"/>
          </w:tcPr>
          <w:p w14:paraId="73128F8B" w14:textId="77777777" w:rsidR="008B4DF8" w:rsidRPr="00C1603D" w:rsidRDefault="008B4DF8" w:rsidP="00161ADF">
            <w:pPr>
              <w:pStyle w:val="72TabletextTablesTableFigureBoxstyles"/>
            </w:pPr>
            <w:r w:rsidRPr="00C1603D">
              <w:t>0.40</w:t>
            </w:r>
          </w:p>
        </w:tc>
        <w:tc>
          <w:tcPr>
            <w:tcW w:w="0" w:type="auto"/>
            <w:shd w:val="clear" w:color="auto" w:fill="auto"/>
          </w:tcPr>
          <w:p w14:paraId="2A19CFB8" w14:textId="77777777" w:rsidR="008B4DF8" w:rsidRPr="00C1603D" w:rsidRDefault="008B4DF8" w:rsidP="00161ADF">
            <w:pPr>
              <w:pStyle w:val="72TabletextTablesTableFigureBoxstyles"/>
            </w:pPr>
            <w:r w:rsidRPr="00C1603D">
              <w:t>486,521</w:t>
            </w:r>
          </w:p>
        </w:tc>
      </w:tr>
      <w:tr w:rsidR="0069646E" w:rsidRPr="00C1603D" w14:paraId="29E7ACC9" w14:textId="77777777" w:rsidTr="00161ADF">
        <w:trPr>
          <w:cantSplit/>
        </w:trPr>
        <w:tc>
          <w:tcPr>
            <w:tcW w:w="0" w:type="auto"/>
            <w:shd w:val="clear" w:color="auto" w:fill="auto"/>
          </w:tcPr>
          <w:p w14:paraId="01828177" w14:textId="77777777" w:rsidR="008B4DF8" w:rsidRPr="00C1603D" w:rsidRDefault="008B4DF8" w:rsidP="00B3223C">
            <w:pPr>
              <w:pStyle w:val="72TabletextTablesTableFigureBoxstyles"/>
            </w:pPr>
            <w:r w:rsidRPr="00C1603D">
              <w:lastRenderedPageBreak/>
              <w:t>GFD effect</w:t>
            </w:r>
          </w:p>
        </w:tc>
        <w:tc>
          <w:tcPr>
            <w:tcW w:w="0" w:type="auto"/>
            <w:shd w:val="clear" w:color="auto" w:fill="auto"/>
          </w:tcPr>
          <w:p w14:paraId="06AD5394" w14:textId="77777777" w:rsidR="008B4DF8" w:rsidRPr="00C1603D" w:rsidRDefault="008B4DF8" w:rsidP="00161ADF">
            <w:pPr>
              <w:pStyle w:val="72TabletextTablesTableFigureBoxstyles"/>
            </w:pPr>
            <w:r w:rsidRPr="00C1603D">
              <w:t>3.02</w:t>
            </w:r>
          </w:p>
        </w:tc>
        <w:tc>
          <w:tcPr>
            <w:tcW w:w="0" w:type="auto"/>
            <w:shd w:val="clear" w:color="auto" w:fill="auto"/>
          </w:tcPr>
          <w:p w14:paraId="426C01B9" w14:textId="77777777" w:rsidR="008B4DF8" w:rsidRPr="00C1603D" w:rsidRDefault="008B4DF8" w:rsidP="00161ADF">
            <w:pPr>
              <w:pStyle w:val="72TabletextTablesTableFigureBoxstyles"/>
            </w:pPr>
            <w:r w:rsidRPr="00C1603D">
              <w:t>6,850,323</w:t>
            </w:r>
          </w:p>
        </w:tc>
        <w:tc>
          <w:tcPr>
            <w:tcW w:w="0" w:type="auto"/>
            <w:shd w:val="clear" w:color="auto" w:fill="auto"/>
          </w:tcPr>
          <w:p w14:paraId="448AFAF3" w14:textId="77777777" w:rsidR="008B4DF8" w:rsidRPr="00C1603D" w:rsidRDefault="008B4DF8" w:rsidP="00161ADF">
            <w:pPr>
              <w:pStyle w:val="72TabletextTablesTableFigureBoxstyles"/>
            </w:pPr>
            <w:r w:rsidRPr="00C1603D">
              <w:t>10.89</w:t>
            </w:r>
          </w:p>
        </w:tc>
        <w:tc>
          <w:tcPr>
            <w:tcW w:w="0" w:type="auto"/>
            <w:shd w:val="clear" w:color="auto" w:fill="auto"/>
          </w:tcPr>
          <w:p w14:paraId="22CA0B41" w14:textId="77777777" w:rsidR="008B4DF8" w:rsidRPr="00C1603D" w:rsidRDefault="008B4DF8" w:rsidP="00161ADF">
            <w:pPr>
              <w:pStyle w:val="72TabletextTablesTableFigureBoxstyles"/>
            </w:pPr>
            <w:r w:rsidRPr="00C1603D">
              <w:t>24,702,170</w:t>
            </w:r>
          </w:p>
        </w:tc>
        <w:tc>
          <w:tcPr>
            <w:tcW w:w="0" w:type="auto"/>
            <w:shd w:val="clear" w:color="auto" w:fill="auto"/>
          </w:tcPr>
          <w:p w14:paraId="3C1E8153" w14:textId="77777777" w:rsidR="008B4DF8" w:rsidRPr="00C1603D" w:rsidRDefault="008B4DF8" w:rsidP="00161ADF">
            <w:pPr>
              <w:pStyle w:val="72TabletextTablesTableFigureBoxstyles"/>
            </w:pPr>
            <w:r w:rsidRPr="00C1603D">
              <w:t>0.26</w:t>
            </w:r>
          </w:p>
        </w:tc>
        <w:tc>
          <w:tcPr>
            <w:tcW w:w="0" w:type="auto"/>
            <w:shd w:val="clear" w:color="auto" w:fill="auto"/>
          </w:tcPr>
          <w:p w14:paraId="79541647" w14:textId="77777777" w:rsidR="008B4DF8" w:rsidRPr="00C1603D" w:rsidRDefault="008B4DF8" w:rsidP="00161ADF">
            <w:pPr>
              <w:pStyle w:val="72TabletextTablesTableFigureBoxstyles"/>
            </w:pPr>
            <w:r w:rsidRPr="00C1603D">
              <w:t>316,551</w:t>
            </w:r>
          </w:p>
        </w:tc>
      </w:tr>
      <w:tr w:rsidR="0069646E" w:rsidRPr="00C1603D" w14:paraId="59A5277F" w14:textId="77777777" w:rsidTr="00161ADF">
        <w:trPr>
          <w:cantSplit/>
        </w:trPr>
        <w:tc>
          <w:tcPr>
            <w:tcW w:w="0" w:type="auto"/>
            <w:shd w:val="clear" w:color="auto" w:fill="auto"/>
          </w:tcPr>
          <w:p w14:paraId="37DC72C3" w14:textId="77777777" w:rsidR="008B4DF8" w:rsidRPr="00C1603D" w:rsidRDefault="008B4DF8" w:rsidP="00B3223C">
            <w:pPr>
              <w:pStyle w:val="72TabletextTablesTableFigureBoxstyles"/>
            </w:pPr>
            <w:r w:rsidRPr="00C1603D">
              <w:t>Test accuracies</w:t>
            </w:r>
          </w:p>
        </w:tc>
        <w:tc>
          <w:tcPr>
            <w:tcW w:w="0" w:type="auto"/>
            <w:shd w:val="clear" w:color="auto" w:fill="auto"/>
          </w:tcPr>
          <w:p w14:paraId="1F2B7138" w14:textId="77777777" w:rsidR="008B4DF8" w:rsidRPr="00C1603D" w:rsidRDefault="008B4DF8" w:rsidP="00161ADF">
            <w:pPr>
              <w:pStyle w:val="72TabletextTablesTableFigureBoxstyles"/>
            </w:pPr>
            <w:r w:rsidRPr="00C1603D">
              <w:t>6.81</w:t>
            </w:r>
          </w:p>
        </w:tc>
        <w:tc>
          <w:tcPr>
            <w:tcW w:w="0" w:type="auto"/>
            <w:shd w:val="clear" w:color="auto" w:fill="auto"/>
          </w:tcPr>
          <w:p w14:paraId="60A324AB" w14:textId="77777777" w:rsidR="008B4DF8" w:rsidRPr="00C1603D" w:rsidRDefault="008B4DF8" w:rsidP="00161ADF">
            <w:pPr>
              <w:pStyle w:val="72TabletextTablesTableFigureBoxstyles"/>
            </w:pPr>
            <w:r w:rsidRPr="00C1603D">
              <w:t>15,447,753</w:t>
            </w:r>
          </w:p>
        </w:tc>
        <w:tc>
          <w:tcPr>
            <w:tcW w:w="0" w:type="auto"/>
            <w:shd w:val="clear" w:color="auto" w:fill="auto"/>
          </w:tcPr>
          <w:p w14:paraId="6DC29E38" w14:textId="77777777" w:rsidR="008B4DF8" w:rsidRPr="00C1603D" w:rsidRDefault="008B4DF8" w:rsidP="00161ADF">
            <w:pPr>
              <w:pStyle w:val="72TabletextTablesTableFigureBoxstyles"/>
            </w:pPr>
            <w:r w:rsidRPr="00C1603D">
              <w:t>18.98</w:t>
            </w:r>
          </w:p>
        </w:tc>
        <w:tc>
          <w:tcPr>
            <w:tcW w:w="0" w:type="auto"/>
            <w:shd w:val="clear" w:color="auto" w:fill="auto"/>
          </w:tcPr>
          <w:p w14:paraId="5E3CABF9" w14:textId="77777777" w:rsidR="008B4DF8" w:rsidRPr="00C1603D" w:rsidRDefault="008B4DF8" w:rsidP="00161ADF">
            <w:pPr>
              <w:pStyle w:val="72TabletextTablesTableFigureBoxstyles"/>
            </w:pPr>
            <w:r w:rsidRPr="00C1603D">
              <w:t>43,035,778</w:t>
            </w:r>
          </w:p>
        </w:tc>
        <w:tc>
          <w:tcPr>
            <w:tcW w:w="0" w:type="auto"/>
            <w:shd w:val="clear" w:color="auto" w:fill="auto"/>
          </w:tcPr>
          <w:p w14:paraId="589E635F" w14:textId="77777777" w:rsidR="008B4DF8" w:rsidRPr="00C1603D" w:rsidRDefault="008B4DF8" w:rsidP="00161ADF">
            <w:pPr>
              <w:pStyle w:val="72TabletextTablesTableFigureBoxstyles"/>
            </w:pPr>
            <w:r w:rsidRPr="00C1603D">
              <w:t>6.48</w:t>
            </w:r>
          </w:p>
        </w:tc>
        <w:tc>
          <w:tcPr>
            <w:tcW w:w="0" w:type="auto"/>
            <w:shd w:val="clear" w:color="auto" w:fill="auto"/>
          </w:tcPr>
          <w:p w14:paraId="4F570D46" w14:textId="77777777" w:rsidR="008B4DF8" w:rsidRPr="00C1603D" w:rsidRDefault="008B4DF8" w:rsidP="00161ADF">
            <w:pPr>
              <w:pStyle w:val="72TabletextTablesTableFigureBoxstyles"/>
            </w:pPr>
            <w:r w:rsidRPr="00C1603D">
              <w:t>7,812,603</w:t>
            </w:r>
          </w:p>
        </w:tc>
      </w:tr>
      <w:tr w:rsidR="0069646E" w:rsidRPr="00C1603D" w14:paraId="180F7D26" w14:textId="77777777" w:rsidTr="00161ADF">
        <w:trPr>
          <w:cantSplit/>
        </w:trPr>
        <w:tc>
          <w:tcPr>
            <w:tcW w:w="0" w:type="auto"/>
            <w:shd w:val="clear" w:color="auto" w:fill="auto"/>
          </w:tcPr>
          <w:p w14:paraId="2FE910A6" w14:textId="77777777" w:rsidR="008B4DF8" w:rsidRPr="00C1603D" w:rsidRDefault="008B4DF8" w:rsidP="00B3223C">
            <w:pPr>
              <w:pStyle w:val="72TabletextTablesTableFigureBoxstyles"/>
            </w:pPr>
            <w:r w:rsidRPr="00C1603D">
              <w:t>Probability of late diagnosis</w:t>
            </w:r>
          </w:p>
        </w:tc>
        <w:tc>
          <w:tcPr>
            <w:tcW w:w="0" w:type="auto"/>
            <w:shd w:val="clear" w:color="auto" w:fill="auto"/>
          </w:tcPr>
          <w:p w14:paraId="1B307E28" w14:textId="77777777" w:rsidR="008B4DF8" w:rsidRPr="00C1603D" w:rsidRDefault="008B4DF8" w:rsidP="00161ADF">
            <w:pPr>
              <w:pStyle w:val="72TabletextTablesTableFigureBoxstyles"/>
            </w:pPr>
            <w:r w:rsidRPr="00C1603D">
              <w:t>8.01</w:t>
            </w:r>
          </w:p>
        </w:tc>
        <w:tc>
          <w:tcPr>
            <w:tcW w:w="0" w:type="auto"/>
            <w:shd w:val="clear" w:color="auto" w:fill="auto"/>
          </w:tcPr>
          <w:p w14:paraId="2E6493CF" w14:textId="77777777" w:rsidR="008B4DF8" w:rsidRPr="00C1603D" w:rsidRDefault="008B4DF8" w:rsidP="00161ADF">
            <w:pPr>
              <w:pStyle w:val="72TabletextTablesTableFigureBoxstyles"/>
            </w:pPr>
            <w:r w:rsidRPr="00C1603D">
              <w:t>18,159,091</w:t>
            </w:r>
          </w:p>
        </w:tc>
        <w:tc>
          <w:tcPr>
            <w:tcW w:w="0" w:type="auto"/>
            <w:shd w:val="clear" w:color="auto" w:fill="auto"/>
          </w:tcPr>
          <w:p w14:paraId="6387266B" w14:textId="77777777" w:rsidR="008B4DF8" w:rsidRPr="00C1603D" w:rsidRDefault="008B4DF8" w:rsidP="00161ADF">
            <w:pPr>
              <w:pStyle w:val="72TabletextTablesTableFigureBoxstyles"/>
            </w:pPr>
            <w:r w:rsidRPr="00C1603D">
              <w:t>30.22</w:t>
            </w:r>
          </w:p>
        </w:tc>
        <w:tc>
          <w:tcPr>
            <w:tcW w:w="0" w:type="auto"/>
            <w:shd w:val="clear" w:color="auto" w:fill="auto"/>
          </w:tcPr>
          <w:p w14:paraId="52D9B5E1" w14:textId="77777777" w:rsidR="008B4DF8" w:rsidRPr="00C1603D" w:rsidRDefault="008B4DF8" w:rsidP="00161ADF">
            <w:pPr>
              <w:pStyle w:val="72TabletextTablesTableFigureBoxstyles"/>
            </w:pPr>
            <w:r w:rsidRPr="00C1603D">
              <w:t>68,534,495</w:t>
            </w:r>
          </w:p>
        </w:tc>
        <w:tc>
          <w:tcPr>
            <w:tcW w:w="0" w:type="auto"/>
            <w:shd w:val="clear" w:color="auto" w:fill="auto"/>
          </w:tcPr>
          <w:p w14:paraId="05235EDF" w14:textId="77777777" w:rsidR="008B4DF8" w:rsidRPr="00C1603D" w:rsidRDefault="008B4DF8" w:rsidP="00161ADF">
            <w:pPr>
              <w:pStyle w:val="72TabletextTablesTableFigureBoxstyles"/>
            </w:pPr>
            <w:r w:rsidRPr="00C1603D">
              <w:t>8.76</w:t>
            </w:r>
          </w:p>
        </w:tc>
        <w:tc>
          <w:tcPr>
            <w:tcW w:w="0" w:type="auto"/>
            <w:shd w:val="clear" w:color="auto" w:fill="auto"/>
          </w:tcPr>
          <w:p w14:paraId="38FB343B" w14:textId="77777777" w:rsidR="008B4DF8" w:rsidRPr="00C1603D" w:rsidRDefault="008B4DF8" w:rsidP="00161ADF">
            <w:pPr>
              <w:pStyle w:val="72TabletextTablesTableFigureBoxstyles"/>
            </w:pPr>
            <w:r w:rsidRPr="00C1603D">
              <w:t>10,561,800</w:t>
            </w:r>
          </w:p>
        </w:tc>
      </w:tr>
      <w:tr w:rsidR="008B4DF8" w:rsidRPr="00C1603D" w14:paraId="43EE3E0B" w14:textId="77777777" w:rsidTr="00161ADF">
        <w:trPr>
          <w:cantSplit/>
        </w:trPr>
        <w:tc>
          <w:tcPr>
            <w:tcW w:w="0" w:type="auto"/>
            <w:gridSpan w:val="7"/>
            <w:shd w:val="clear" w:color="auto" w:fill="auto"/>
          </w:tcPr>
          <w:p w14:paraId="5902A1B5" w14:textId="7DEA2C37" w:rsidR="008B4DF8" w:rsidRPr="00C1603D" w:rsidRDefault="008B4DF8" w:rsidP="00161ADF">
            <w:pPr>
              <w:pStyle w:val="75TablenotesTablesTableFigureBoxstyles"/>
            </w:pPr>
            <w:r w:rsidRPr="00C1603D">
              <w:t>GFD</w:t>
            </w:r>
            <w:r w:rsidR="00B3223C" w:rsidRPr="00C1603D">
              <w:t xml:space="preserve">, </w:t>
            </w:r>
            <w:r w:rsidRPr="00C1603D">
              <w:t>gluten-free diet</w:t>
            </w:r>
            <w:r w:rsidR="00B3223C" w:rsidRPr="00C1603D">
              <w:t>; NR, not reported.</w:t>
            </w:r>
          </w:p>
          <w:p w14:paraId="3B8936C2" w14:textId="161627C7" w:rsidR="0022507F" w:rsidRPr="00C1603D" w:rsidRDefault="0022507F" w:rsidP="00161ADF">
            <w:pPr>
              <w:pStyle w:val="75TablenotesTablesTableFigureBoxstyles"/>
            </w:pPr>
            <w:r w:rsidRPr="00C1603D">
              <w:t>a</w:t>
            </w:r>
            <w:r w:rsidRPr="00C1603D">
              <w:tab/>
              <w:t xml:space="preserve">MLMC method estimates </w:t>
            </w:r>
            <w:r w:rsidR="00F85F91" w:rsidRPr="00C1603D">
              <w:t>for</w:t>
            </w:r>
            <w:r w:rsidRPr="00C1603D">
              <w:t xml:space="preserve"> children failed to converge. Gaussian process estimates </w:t>
            </w:r>
            <w:proofErr w:type="gramStart"/>
            <w:r w:rsidR="00F85F91" w:rsidRPr="00C1603D">
              <w:t xml:space="preserve">are </w:t>
            </w:r>
            <w:r w:rsidRPr="00C1603D">
              <w:t>presented</w:t>
            </w:r>
            <w:proofErr w:type="gramEnd"/>
            <w:r w:rsidR="00F85F91" w:rsidRPr="00C1603D">
              <w:t>,</w:t>
            </w:r>
            <w:r w:rsidRPr="00C1603D">
              <w:t xml:space="preserve"> but </w:t>
            </w:r>
            <w:r w:rsidR="00F85F91" w:rsidRPr="00C1603D">
              <w:t xml:space="preserve">were run only on </w:t>
            </w:r>
            <w:r w:rsidRPr="00C1603D">
              <w:t>the utilities estimate and in this set were also unstable.</w:t>
            </w:r>
          </w:p>
          <w:p w14:paraId="5EC7EEB8" w14:textId="77777777" w:rsidR="00155BEA" w:rsidRPr="00C1603D" w:rsidRDefault="00155BEA" w:rsidP="00161ADF">
            <w:pPr>
              <w:pStyle w:val="74TablenotesheadingTablesTableFigureBoxstyles"/>
            </w:pPr>
            <w:r w:rsidRPr="00C1603D">
              <w:t>Notes</w:t>
            </w:r>
          </w:p>
          <w:p w14:paraId="2540D9BF" w14:textId="5181ED07" w:rsidR="00155BEA" w:rsidRPr="00C1603D" w:rsidRDefault="0031702D" w:rsidP="002C6133">
            <w:pPr>
              <w:pStyle w:val="75TablenotesTablesTableFigureBoxstyles"/>
            </w:pPr>
            <w:r w:rsidRPr="00C1603D">
              <w:t>Values for a</w:t>
            </w:r>
            <w:r w:rsidR="00155BEA" w:rsidRPr="00C1603D">
              <w:t xml:space="preserve">dult men and women </w:t>
            </w:r>
            <w:proofErr w:type="gramStart"/>
            <w:r w:rsidRPr="00C1603D">
              <w:t xml:space="preserve">were </w:t>
            </w:r>
            <w:r w:rsidR="00155BEA" w:rsidRPr="00C1603D">
              <w:t>estimated</w:t>
            </w:r>
            <w:proofErr w:type="gramEnd"/>
            <w:r w:rsidR="00155BEA" w:rsidRPr="00C1603D">
              <w:t xml:space="preserve"> </w:t>
            </w:r>
            <w:r w:rsidRPr="00C1603D">
              <w:t>using the</w:t>
            </w:r>
            <w:r w:rsidR="00155BEA" w:rsidRPr="00C1603D">
              <w:t xml:space="preserve"> MLMC method</w:t>
            </w:r>
            <w:r w:rsidR="00B3223C" w:rsidRPr="00C1603D">
              <w:t>;</w:t>
            </w:r>
            <w:r w:rsidR="002C6133" w:rsidRPr="00C1603D">
              <w:t xml:space="preserve"> Gaussian process estimates are presented for children. </w:t>
            </w:r>
            <w:r w:rsidR="00155BEA" w:rsidRPr="00C1603D">
              <w:t>All EVPI and EVPPI</w:t>
            </w:r>
            <w:r w:rsidR="00300B21" w:rsidRPr="00C1603D">
              <w:t xml:space="preserve"> values</w:t>
            </w:r>
            <w:r w:rsidR="00155BEA" w:rsidRPr="00C1603D">
              <w:t xml:space="preserve"> </w:t>
            </w:r>
            <w:r w:rsidRPr="00C1603D">
              <w:t>are in Great British pounds</w:t>
            </w:r>
            <w:r w:rsidR="00155BEA" w:rsidRPr="00C1603D">
              <w:t>. Higher values indicate greater impact on results and greater value in conducting further research</w:t>
            </w:r>
            <w:r w:rsidRPr="00C1603D">
              <w:t>.</w:t>
            </w:r>
          </w:p>
        </w:tc>
      </w:tr>
    </w:tbl>
    <w:p w14:paraId="25CEF4AE" w14:textId="77777777" w:rsidR="008B4DF8" w:rsidRPr="00C1603D" w:rsidRDefault="008B4DF8" w:rsidP="008B4DF8">
      <w:pPr>
        <w:pStyle w:val="54CheadHeadingsHeadingstyles"/>
      </w:pPr>
      <w:bookmarkStart w:id="434" w:name="_Toc87507200"/>
      <w:r w:rsidRPr="00C1603D">
        <w:t>Adult women</w:t>
      </w:r>
      <w:bookmarkEnd w:id="434"/>
    </w:p>
    <w:p w14:paraId="0F8D7208" w14:textId="6A7296FC" w:rsidR="008B4DF8" w:rsidRPr="00C1603D" w:rsidRDefault="008B4DF8" w:rsidP="008B4DF8">
      <w:pPr>
        <w:pStyle w:val="602TextfoTextstylesTextstyles"/>
      </w:pPr>
      <w:r w:rsidRPr="00C1603D">
        <w:rPr>
          <w:i/>
          <w:color w:val="FF0000"/>
        </w:rPr>
        <w:t xml:space="preserve">Figure </w:t>
      </w:r>
      <w:r w:rsidRPr="00C1603D">
        <w:rPr>
          <w:i/>
          <w:noProof/>
          <w:color w:val="FF0000"/>
        </w:rPr>
        <w:t>18</w:t>
      </w:r>
      <w:r w:rsidRPr="00C1603D">
        <w:t xml:space="preserve"> plots the incremental net benefit of each sensitivity/specificity combination of a diagnostic indicator (or combination of indicators) combined with each serological test, compared </w:t>
      </w:r>
      <w:r w:rsidR="0029499A" w:rsidRPr="00C1603D">
        <w:t>with</w:t>
      </w:r>
      <w:r w:rsidRPr="00C1603D">
        <w:t xml:space="preserve"> no screening, </w:t>
      </w:r>
      <w:r w:rsidR="0029499A" w:rsidRPr="00C1603D">
        <w:t>for</w:t>
      </w:r>
      <w:r w:rsidRPr="00C1603D">
        <w:t xml:space="preserve"> adult women. The central estimates are the mean incremental net benefit</w:t>
      </w:r>
      <w:r w:rsidR="00BD0F55" w:rsidRPr="00C1603D">
        <w:t>,</w:t>
      </w:r>
      <w:r w:rsidRPr="00C1603D">
        <w:t xml:space="preserve"> with the upper and lower </w:t>
      </w:r>
      <w:r w:rsidR="00FE01C9" w:rsidRPr="00C1603D">
        <w:t>CI</w:t>
      </w:r>
      <w:r w:rsidRPr="00C1603D">
        <w:t>s represented by the upper and lower lines.</w:t>
      </w:r>
    </w:p>
    <w:p w14:paraId="405C66F0" w14:textId="06870114" w:rsidR="008B4DF8" w:rsidRPr="00C1603D" w:rsidRDefault="008B4DF8" w:rsidP="008B4DF8">
      <w:pPr>
        <w:pStyle w:val="81FigurelegendTableFigureBoxstyles"/>
      </w:pPr>
      <w:bookmarkStart w:id="435" w:name="_Ref83903280"/>
      <w:bookmarkStart w:id="436" w:name="_Toc99720799"/>
      <w:r w:rsidRPr="00C1603D">
        <w:rPr>
          <w:b/>
        </w:rPr>
        <w:t>FIGURE 18</w:t>
      </w:r>
      <w:r w:rsidRPr="00C1603D">
        <w:rPr>
          <w:b/>
        </w:rPr>
        <w:t> </w:t>
      </w:r>
      <w:r w:rsidRPr="00C1603D">
        <w:t xml:space="preserve">Incremental net benefit at </w:t>
      </w:r>
      <w:r w:rsidR="00540842" w:rsidRPr="00C1603D">
        <w:t>£20,000 per QALY</w:t>
      </w:r>
      <w:r w:rsidR="00BD0F55" w:rsidRPr="00C1603D">
        <w:t>,</w:t>
      </w:r>
      <w:r w:rsidRPr="00C1603D">
        <w:t xml:space="preserve"> compared </w:t>
      </w:r>
      <w:r w:rsidR="00BD0F55" w:rsidRPr="00C1603D">
        <w:t>with</w:t>
      </w:r>
      <w:r w:rsidRPr="00C1603D">
        <w:t xml:space="preserve"> no screening</w:t>
      </w:r>
      <w:r w:rsidR="00BD0F55" w:rsidRPr="00C1603D">
        <w:t>,</w:t>
      </w:r>
      <w:r w:rsidRPr="00C1603D">
        <w:t xml:space="preserve"> at each combination of sensitivity (</w:t>
      </w:r>
      <w:r w:rsidRPr="00C1603D">
        <w:rPr>
          <w:i/>
          <w:iCs/>
        </w:rPr>
        <w:t>x</w:t>
      </w:r>
      <w:r w:rsidRPr="00C1603D">
        <w:t xml:space="preserve">-axis) and specificity (line colour) </w:t>
      </w:r>
      <w:r w:rsidR="00BD0F55" w:rsidRPr="00C1603D">
        <w:t>for</w:t>
      </w:r>
      <w:r w:rsidRPr="00C1603D">
        <w:t xml:space="preserve"> adult women. (a) IgA EMA; (b) IgA </w:t>
      </w:r>
      <w:r w:rsidR="00BD0F55" w:rsidRPr="00C1603D">
        <w:t>tTG</w:t>
      </w:r>
      <w:r w:rsidRPr="00C1603D">
        <w:t xml:space="preserve"> plus EMA; (c) IgA </w:t>
      </w:r>
      <w:r w:rsidR="00BD0F55" w:rsidRPr="00C1603D">
        <w:t>tTG</w:t>
      </w:r>
      <w:r w:rsidRPr="00C1603D">
        <w:t xml:space="preserve">; (d) IgA EMA plus HLA; (e) IgA </w:t>
      </w:r>
      <w:r w:rsidR="00BD0F55" w:rsidRPr="00C1603D">
        <w:t>tTG</w:t>
      </w:r>
      <w:r w:rsidRPr="00C1603D">
        <w:t xml:space="preserve"> plus EMA plus HLA; (f) IgA </w:t>
      </w:r>
      <w:r w:rsidR="00BD0F55" w:rsidRPr="00C1603D">
        <w:t>tTG</w:t>
      </w:r>
      <w:r w:rsidRPr="00C1603D">
        <w:t xml:space="preserve"> plus HLA; (g) HLA plus IgA EMA; (h) HLA plus IgA </w:t>
      </w:r>
      <w:r w:rsidR="00BD0F55" w:rsidRPr="00C1603D">
        <w:t>tTG</w:t>
      </w:r>
      <w:r w:rsidRPr="00C1603D">
        <w:t xml:space="preserve"> plus EMA; and (i) HLA plus IgA </w:t>
      </w:r>
      <w:r w:rsidR="00BD0F55" w:rsidRPr="00C1603D">
        <w:t>tTG</w:t>
      </w:r>
      <w:r w:rsidRPr="00C1603D">
        <w:t>. Note</w:t>
      </w:r>
      <w:r w:rsidR="00BD0F55" w:rsidRPr="00C1603D">
        <w:t xml:space="preserve"> that</w:t>
      </w:r>
      <w:r w:rsidRPr="00C1603D">
        <w:t xml:space="preserve"> thick lines </w:t>
      </w:r>
      <w:r w:rsidR="00BD0F55" w:rsidRPr="00C1603D">
        <w:t xml:space="preserve">indicate the </w:t>
      </w:r>
      <w:r w:rsidRPr="00C1603D">
        <w:t xml:space="preserve">mean and narrow lines </w:t>
      </w:r>
      <w:r w:rsidR="00BD0F55" w:rsidRPr="00C1603D">
        <w:t>represent the</w:t>
      </w:r>
      <w:r w:rsidRPr="00C1603D">
        <w:t xml:space="preserve"> 95% CrI.</w:t>
      </w:r>
      <w:bookmarkEnd w:id="435"/>
      <w:bookmarkEnd w:id="436"/>
    </w:p>
    <w:p w14:paraId="33E5CA59" w14:textId="0BFD434C" w:rsidR="008B4DF8" w:rsidRPr="00C1603D" w:rsidRDefault="000E4FC5" w:rsidP="008B4DF8">
      <w:pPr>
        <w:pStyle w:val="602TextfoTextstylesTextstyles"/>
      </w:pPr>
      <w:r w:rsidRPr="00C1603D">
        <w:t>The r</w:t>
      </w:r>
      <w:r w:rsidR="008B4DF8" w:rsidRPr="00C1603D">
        <w:t xml:space="preserve">esults are extremely similar to those </w:t>
      </w:r>
      <w:r w:rsidRPr="00C1603D">
        <w:t>for</w:t>
      </w:r>
      <w:r w:rsidR="008B4DF8" w:rsidRPr="00C1603D">
        <w:t xml:space="preserve"> adult men. </w:t>
      </w:r>
      <w:r w:rsidR="003C6ABB" w:rsidRPr="00C1603D">
        <w:rPr>
          <w:i/>
          <w:iCs/>
        </w:rPr>
        <w:t>F</w:t>
      </w:r>
      <w:r w:rsidR="008B4DF8" w:rsidRPr="00C1603D">
        <w:rPr>
          <w:i/>
          <w:iCs/>
        </w:rPr>
        <w:t>igure</w:t>
      </w:r>
      <w:r w:rsidR="003C6ABB" w:rsidRPr="00C1603D">
        <w:rPr>
          <w:i/>
          <w:iCs/>
        </w:rPr>
        <w:t xml:space="preserve"> 18</w:t>
      </w:r>
      <w:r w:rsidR="008B4DF8" w:rsidRPr="00C1603D">
        <w:t xml:space="preserve"> shows that</w:t>
      </w:r>
      <w:r w:rsidR="003C6ABB" w:rsidRPr="00C1603D">
        <w:t>,</w:t>
      </w:r>
      <w:r w:rsidR="008B4DF8" w:rsidRPr="00C1603D">
        <w:t xml:space="preserve"> for the serological tests without HLA</w:t>
      </w:r>
      <w:r w:rsidR="003C6ABB" w:rsidRPr="00C1603D">
        <w:t>, the</w:t>
      </w:r>
      <w:r w:rsidR="008B4DF8" w:rsidRPr="00C1603D">
        <w:t xml:space="preserve"> incremental net benefit at </w:t>
      </w:r>
      <w:r w:rsidR="00540842" w:rsidRPr="00C1603D">
        <w:t>£20,000 per QALY</w:t>
      </w:r>
      <w:r w:rsidR="008B4DF8" w:rsidRPr="00C1603D">
        <w:t xml:space="preserve"> is positive </w:t>
      </w:r>
      <w:r w:rsidR="00A50052" w:rsidRPr="00C1603D">
        <w:t xml:space="preserve">only </w:t>
      </w:r>
      <w:r w:rsidR="008B4DF8" w:rsidRPr="00C1603D">
        <w:t xml:space="preserve">when </w:t>
      </w:r>
      <w:r w:rsidR="00A50052" w:rsidRPr="00C1603D">
        <w:t xml:space="preserve">the </w:t>
      </w:r>
      <w:r w:rsidR="008B4DF8" w:rsidRPr="00C1603D">
        <w:t xml:space="preserve">diagnostic indicator sensitivity is </w:t>
      </w:r>
      <w:r w:rsidR="003C6ABB" w:rsidRPr="00C1603D">
        <w:t>&gt; </w:t>
      </w:r>
      <w:r w:rsidR="008B4DF8" w:rsidRPr="00C1603D">
        <w:t xml:space="preserve">0.9 or both the specificity and sensitivity are </w:t>
      </w:r>
      <w:r w:rsidR="003C6ABB" w:rsidRPr="00C1603D">
        <w:t>&gt; </w:t>
      </w:r>
      <w:r w:rsidR="008B4DF8" w:rsidRPr="00C1603D">
        <w:t xml:space="preserve">0.8. For the serological tests including HLA, </w:t>
      </w:r>
      <w:r w:rsidR="00A50052" w:rsidRPr="00C1603D">
        <w:t xml:space="preserve">the </w:t>
      </w:r>
      <w:r w:rsidR="008B4DF8" w:rsidRPr="00C1603D">
        <w:t>incremental net benefit is positive regardless of the accuracy of the diagnostic indicator. The combinations using only the IgA EMA serological test plus HLA are more cost-effective than strategies using IgA tTG plus HLA and</w:t>
      </w:r>
      <w:r w:rsidR="00BB4520" w:rsidRPr="00C1603D">
        <w:t xml:space="preserve"> are</w:t>
      </w:r>
      <w:r w:rsidR="008B4DF8" w:rsidRPr="00C1603D">
        <w:t xml:space="preserve"> comparable in cost-effectiveness to tests using all of EMA, tTG and HLA. Using HLA before or after EMA or tTG plus EMA does not affect cost-effectiveness</w:t>
      </w:r>
      <w:r w:rsidR="00BB4520" w:rsidRPr="00C1603D">
        <w:t>,</w:t>
      </w:r>
      <w:r w:rsidR="008B4DF8" w:rsidRPr="00C1603D">
        <w:t xml:space="preserve"> but</w:t>
      </w:r>
      <w:r w:rsidR="00BB4520" w:rsidRPr="00C1603D">
        <w:t xml:space="preserve"> it</w:t>
      </w:r>
      <w:r w:rsidR="008B4DF8" w:rsidRPr="00C1603D">
        <w:t xml:space="preserve"> </w:t>
      </w:r>
      <w:proofErr w:type="gramStart"/>
      <w:r w:rsidR="008B4DF8" w:rsidRPr="00C1603D">
        <w:t>appears to be</w:t>
      </w:r>
      <w:proofErr w:type="gramEnd"/>
      <w:r w:rsidR="008B4DF8" w:rsidRPr="00C1603D">
        <w:t xml:space="preserve"> most cost-effective if used before IgA tTG alone.</w:t>
      </w:r>
    </w:p>
    <w:p w14:paraId="119084E9" w14:textId="08F0986C" w:rsidR="008B4DF8" w:rsidRPr="00C1603D" w:rsidRDefault="008B4DF8" w:rsidP="008B4DF8">
      <w:pPr>
        <w:pStyle w:val="602TextfoTextstylesTextstyles"/>
      </w:pPr>
      <w:r w:rsidRPr="00C1603D">
        <w:rPr>
          <w:i/>
          <w:color w:val="FF0000"/>
        </w:rPr>
        <w:t xml:space="preserve">Figure </w:t>
      </w:r>
      <w:r w:rsidRPr="00C1603D">
        <w:rPr>
          <w:i/>
          <w:noProof/>
          <w:color w:val="FF0000"/>
        </w:rPr>
        <w:t>19</w:t>
      </w:r>
      <w:r w:rsidRPr="00C1603D">
        <w:t xml:space="preserve"> plots the probability that each combination of diagnostic indicator sensitivity and specificity is cost-effective for each test combination. Results are again </w:t>
      </w:r>
      <w:proofErr w:type="gramStart"/>
      <w:r w:rsidRPr="00C1603D">
        <w:t>nearly identical</w:t>
      </w:r>
      <w:proofErr w:type="gramEnd"/>
      <w:r w:rsidRPr="00C1603D">
        <w:t xml:space="preserve"> to those </w:t>
      </w:r>
      <w:r w:rsidR="00B455F1" w:rsidRPr="00C1603D">
        <w:t>for</w:t>
      </w:r>
      <w:r w:rsidRPr="00C1603D">
        <w:t xml:space="preserve"> adult men. The serological tests including HLA have a high probability of being cost-effective regardless of the combination of sensitivity and specificity of the risk test. Strategies using IgA EMA or IgA tTG alone and HLA have </w:t>
      </w:r>
      <w:r w:rsidR="00992090" w:rsidRPr="00C1603D">
        <w:t xml:space="preserve">a </w:t>
      </w:r>
      <w:r w:rsidRPr="00C1603D">
        <w:t>similar probability of cost-effectiveness to combinations using all three of IgA EMA, HLA and IgA tTG.</w:t>
      </w:r>
    </w:p>
    <w:p w14:paraId="7047AA8B" w14:textId="15EFEFE8" w:rsidR="008B4DF8" w:rsidRPr="00C1603D" w:rsidRDefault="008B4DF8" w:rsidP="008B4DF8">
      <w:pPr>
        <w:pStyle w:val="81FigurelegendTableFigureBoxstyles"/>
      </w:pPr>
      <w:bookmarkStart w:id="437" w:name="_Toc99720800"/>
      <w:r w:rsidRPr="00C1603D">
        <w:rPr>
          <w:b/>
        </w:rPr>
        <w:t>FIGURE 19</w:t>
      </w:r>
      <w:r w:rsidRPr="00C1603D">
        <w:rPr>
          <w:b/>
        </w:rPr>
        <w:t> </w:t>
      </w:r>
      <w:r w:rsidRPr="00C1603D">
        <w:t>Probability</w:t>
      </w:r>
      <w:r w:rsidR="00992090" w:rsidRPr="00C1603D">
        <w:t xml:space="preserve"> of being</w:t>
      </w:r>
      <w:r w:rsidRPr="00C1603D">
        <w:t xml:space="preserve"> cost-effective at </w:t>
      </w:r>
      <w:r w:rsidR="00540842" w:rsidRPr="00C1603D">
        <w:t>£20,000 per QALY</w:t>
      </w:r>
      <w:r w:rsidR="00992090" w:rsidRPr="00C1603D">
        <w:t>,</w:t>
      </w:r>
      <w:r w:rsidRPr="00C1603D">
        <w:t xml:space="preserve"> compared </w:t>
      </w:r>
      <w:r w:rsidR="00992090" w:rsidRPr="00C1603D">
        <w:t>with</w:t>
      </w:r>
      <w:r w:rsidRPr="00C1603D">
        <w:t xml:space="preserve"> no screening</w:t>
      </w:r>
      <w:r w:rsidR="00992090" w:rsidRPr="00C1603D">
        <w:t>,</w:t>
      </w:r>
      <w:r w:rsidRPr="00C1603D">
        <w:t xml:space="preserve"> at each combination of sensitivity (</w:t>
      </w:r>
      <w:r w:rsidRPr="00C1603D">
        <w:rPr>
          <w:i/>
          <w:iCs/>
        </w:rPr>
        <w:t>x</w:t>
      </w:r>
      <w:r w:rsidRPr="00C1603D">
        <w:t xml:space="preserve">-axis) and specificity (line colour) </w:t>
      </w:r>
      <w:r w:rsidR="00992090" w:rsidRPr="00C1603D">
        <w:t>for</w:t>
      </w:r>
      <w:r w:rsidRPr="00C1603D">
        <w:t xml:space="preserve"> adult women</w:t>
      </w:r>
      <w:bookmarkEnd w:id="437"/>
      <w:r w:rsidRPr="00C1603D">
        <w:t xml:space="preserve">. (a) IgA EMA; (b) IgA </w:t>
      </w:r>
      <w:r w:rsidR="00992090" w:rsidRPr="00C1603D">
        <w:t>tTG</w:t>
      </w:r>
      <w:r w:rsidRPr="00C1603D">
        <w:t xml:space="preserve"> plus EMA; (c) IgA </w:t>
      </w:r>
      <w:r w:rsidR="00992090" w:rsidRPr="00C1603D">
        <w:t>tTG</w:t>
      </w:r>
      <w:r w:rsidRPr="00C1603D">
        <w:t xml:space="preserve">; (d) IgA EMA plus HLA; (e) IgA </w:t>
      </w:r>
      <w:r w:rsidR="00992090" w:rsidRPr="00C1603D">
        <w:t>tTG</w:t>
      </w:r>
      <w:r w:rsidRPr="00C1603D">
        <w:t xml:space="preserve"> plus EMA plus HLA; (f) IgA </w:t>
      </w:r>
      <w:r w:rsidR="00992090" w:rsidRPr="00C1603D">
        <w:t>tTG</w:t>
      </w:r>
      <w:r w:rsidRPr="00C1603D">
        <w:t xml:space="preserve"> plus HLA; (g) HLA plus IgA EMA; (h) HLA plus IgA </w:t>
      </w:r>
      <w:r w:rsidR="00992090" w:rsidRPr="00C1603D">
        <w:t>tTG</w:t>
      </w:r>
      <w:r w:rsidRPr="00C1603D">
        <w:t xml:space="preserve"> plus EMA; and (i) HLA plus IgA </w:t>
      </w:r>
      <w:r w:rsidR="00992090" w:rsidRPr="00C1603D">
        <w:t>tTG</w:t>
      </w:r>
      <w:r w:rsidRPr="00C1603D">
        <w:t>.</w:t>
      </w:r>
    </w:p>
    <w:p w14:paraId="086696C7" w14:textId="66CD85CA" w:rsidR="008B4DF8" w:rsidRPr="00C1603D" w:rsidRDefault="008B4DF8" w:rsidP="008B4DF8">
      <w:pPr>
        <w:pStyle w:val="602TextfoTextstylesTextstyles"/>
      </w:pPr>
      <w:r w:rsidRPr="00C1603D">
        <w:t xml:space="preserve">As </w:t>
      </w:r>
      <w:r w:rsidR="00317D9A" w:rsidRPr="00C1603D">
        <w:t>for</w:t>
      </w:r>
      <w:r w:rsidRPr="00C1603D">
        <w:t xml:space="preserve"> adult men, we select the testing strategies IgA tTG alone, IgA EMA plus HLA, and HLA plus IgA tTG to combine with the various risk prediction strategies </w:t>
      </w:r>
      <w:r w:rsidRPr="00C1603D">
        <w:rPr>
          <w:color w:val="auto"/>
        </w:rPr>
        <w:t xml:space="preserve">of </w:t>
      </w:r>
      <w:r w:rsidRPr="00C1603D">
        <w:rPr>
          <w:i/>
          <w:color w:val="auto"/>
        </w:rPr>
        <w:t xml:space="preserve">Table </w:t>
      </w:r>
      <w:r w:rsidRPr="00C1603D">
        <w:rPr>
          <w:i/>
          <w:noProof/>
          <w:color w:val="auto"/>
        </w:rPr>
        <w:t>5</w:t>
      </w:r>
      <w:r w:rsidRPr="00C1603D">
        <w:rPr>
          <w:color w:val="auto"/>
        </w:rPr>
        <w:t xml:space="preserve">. This </w:t>
      </w:r>
      <w:r w:rsidRPr="00C1603D">
        <w:t>is again justified as strategies using IgA tTG and IgA EMA have similar incremental net benefit</w:t>
      </w:r>
      <w:r w:rsidR="00E61E05" w:rsidRPr="00C1603D">
        <w:t>s</w:t>
      </w:r>
      <w:r w:rsidRPr="00C1603D">
        <w:t xml:space="preserve"> and probabilit</w:t>
      </w:r>
      <w:r w:rsidR="00E61E05" w:rsidRPr="00C1603D">
        <w:t>ies</w:t>
      </w:r>
      <w:r w:rsidRPr="00C1603D">
        <w:t xml:space="preserve"> of being cost-effective, IgA tTG plus HLA performs worst among strategies with HLA, there is limited difference between IgA tTG plus EMA plus HLA and IgA EMA plus HLA (i.e. not employing tTG), </w:t>
      </w:r>
      <w:r w:rsidR="00EB1687" w:rsidRPr="00C1603D">
        <w:t xml:space="preserve">and </w:t>
      </w:r>
      <w:r w:rsidRPr="00C1603D">
        <w:t>HLA plus the widely available IgA tTG has similar cost-effectiveness to other strategies. There is also limited difference between strategies applying HLA before or after serological tests</w:t>
      </w:r>
      <w:r w:rsidRPr="00C1603D">
        <w:rPr>
          <w:color w:val="00B0F0"/>
        </w:rPr>
        <w:t>.</w:t>
      </w:r>
    </w:p>
    <w:p w14:paraId="62B30291" w14:textId="78F821B2" w:rsidR="008B4DF8" w:rsidRPr="00C1603D" w:rsidRDefault="008B4DF8" w:rsidP="008B4DF8">
      <w:pPr>
        <w:pStyle w:val="602TextfoTextstylesTextstyles"/>
      </w:pPr>
      <w:r w:rsidRPr="00C1603D">
        <w:rPr>
          <w:i/>
          <w:color w:val="FF0000"/>
        </w:rPr>
        <w:t xml:space="preserve">Table </w:t>
      </w:r>
      <w:r w:rsidRPr="00C1603D">
        <w:rPr>
          <w:i/>
          <w:noProof/>
          <w:color w:val="FF0000"/>
        </w:rPr>
        <w:t>2</w:t>
      </w:r>
      <w:r w:rsidR="008A6568" w:rsidRPr="00C1603D">
        <w:rPr>
          <w:i/>
          <w:noProof/>
          <w:color w:val="FF0000"/>
        </w:rPr>
        <w:t>2</w:t>
      </w:r>
      <w:r w:rsidRPr="00C1603D">
        <w:t xml:space="preserve"> shows the estimated </w:t>
      </w:r>
      <w:r w:rsidRPr="00C1603D">
        <w:rPr>
          <w:color w:val="auto"/>
        </w:rPr>
        <w:t xml:space="preserve">costs, </w:t>
      </w:r>
      <w:r w:rsidR="00A868B0" w:rsidRPr="00C1603D">
        <w:rPr>
          <w:color w:val="auto"/>
        </w:rPr>
        <w:t>QALY</w:t>
      </w:r>
      <w:r w:rsidRPr="00C1603D">
        <w:rPr>
          <w:color w:val="auto"/>
        </w:rPr>
        <w:t xml:space="preserve">s and incremental </w:t>
      </w:r>
      <w:r w:rsidRPr="00C1603D">
        <w:t>net benefit</w:t>
      </w:r>
      <w:r w:rsidR="003212C6" w:rsidRPr="00C1603D">
        <w:t>,</w:t>
      </w:r>
      <w:r w:rsidRPr="00C1603D">
        <w:t xml:space="preserve"> </w:t>
      </w:r>
      <w:r w:rsidR="003212C6" w:rsidRPr="00C1603D">
        <w:t>compared with</w:t>
      </w:r>
      <w:r w:rsidRPr="00C1603D">
        <w:t xml:space="preserve"> no screening</w:t>
      </w:r>
      <w:r w:rsidR="003212C6" w:rsidRPr="00C1603D">
        <w:t>,</w:t>
      </w:r>
      <w:r w:rsidRPr="00C1603D">
        <w:t xml:space="preserve"> </w:t>
      </w:r>
      <w:r w:rsidRPr="00C1603D">
        <w:lastRenderedPageBreak/>
        <w:t xml:space="preserve">for each of these strategies of interest. All combinations, apart from pre-test probabilities </w:t>
      </w:r>
      <w:r w:rsidR="003935F7" w:rsidRPr="00C1603D">
        <w:t xml:space="preserve">of </w:t>
      </w:r>
      <w:r w:rsidRPr="00C1603D">
        <w:t>1.5% with IgA tTG, have positive incremental net benefit</w:t>
      </w:r>
      <w:r w:rsidR="003935F7" w:rsidRPr="00C1603D">
        <w:t>s,</w:t>
      </w:r>
      <w:r w:rsidRPr="00C1603D">
        <w:t xml:space="preserve"> compared </w:t>
      </w:r>
      <w:r w:rsidR="003935F7" w:rsidRPr="00C1603D">
        <w:t>with</w:t>
      </w:r>
      <w:r w:rsidRPr="00C1603D">
        <w:t xml:space="preserve"> no screening. If using only IgA tTG</w:t>
      </w:r>
      <w:r w:rsidR="003935F7" w:rsidRPr="00C1603D">
        <w:t>,</w:t>
      </w:r>
      <w:r w:rsidRPr="00C1603D">
        <w:t xml:space="preserve"> a pre-test probability of 1% is the most cost-effective strategy (greatest incremental net benefit at </w:t>
      </w:r>
      <w:r w:rsidR="00540842" w:rsidRPr="00C1603D">
        <w:t>£20,000 per QALY</w:t>
      </w:r>
      <w:r w:rsidRPr="00C1603D">
        <w:t>)</w:t>
      </w:r>
      <w:r w:rsidR="003935F7" w:rsidRPr="00C1603D">
        <w:t>,</w:t>
      </w:r>
      <w:r w:rsidRPr="00C1603D">
        <w:t xml:space="preserve"> with </w:t>
      </w:r>
      <w:r w:rsidR="00513718" w:rsidRPr="00C1603D">
        <w:t xml:space="preserve">the </w:t>
      </w:r>
      <w:r w:rsidRPr="00C1603D">
        <w:t xml:space="preserve">highest costs but also </w:t>
      </w:r>
      <w:r w:rsidR="00513718" w:rsidRPr="00C1603D">
        <w:t xml:space="preserve">the </w:t>
      </w:r>
      <w:r w:rsidRPr="00C1603D">
        <w:t>highest</w:t>
      </w:r>
      <w:r w:rsidR="00513718" w:rsidRPr="00C1603D">
        <w:t xml:space="preserve"> number of</w:t>
      </w:r>
      <w:r w:rsidRPr="00C1603D">
        <w:t xml:space="preserve"> QALYs. As </w:t>
      </w:r>
      <w:r w:rsidR="009315C1" w:rsidRPr="00C1603D">
        <w:t>with</w:t>
      </w:r>
      <w:r w:rsidRPr="00C1603D">
        <w:t xml:space="preserve"> men, the net benefits of all IgA EMA plus HLA and HLA plus IgA tTG strategies are </w:t>
      </w:r>
      <w:proofErr w:type="gramStart"/>
      <w:r w:rsidRPr="00C1603D">
        <w:t>very similar</w:t>
      </w:r>
      <w:proofErr w:type="gramEnd"/>
      <w:r w:rsidRPr="00C1603D">
        <w:t xml:space="preserve"> to each other and to </w:t>
      </w:r>
      <w:r w:rsidR="00513718" w:rsidRPr="00C1603D">
        <w:t>those of</w:t>
      </w:r>
      <w:r w:rsidR="002C5DB2" w:rsidRPr="00C1603D">
        <w:t xml:space="preserve"> </w:t>
      </w:r>
      <w:r w:rsidRPr="00C1603D">
        <w:t xml:space="preserve">IgA tTG with </w:t>
      </w:r>
      <w:r w:rsidR="002C5DB2" w:rsidRPr="00C1603D">
        <w:t xml:space="preserve">a </w:t>
      </w:r>
      <w:r w:rsidRPr="00C1603D">
        <w:t>pre-test probability</w:t>
      </w:r>
      <w:r w:rsidR="002C5DB2" w:rsidRPr="00C1603D">
        <w:t xml:space="preserve"> of</w:t>
      </w:r>
      <w:r w:rsidRPr="00C1603D">
        <w:t xml:space="preserve"> 1%, </w:t>
      </w:r>
      <w:r w:rsidR="002C5DB2" w:rsidRPr="00C1603D">
        <w:t>and</w:t>
      </w:r>
      <w:r w:rsidRPr="00C1603D">
        <w:t xml:space="preserve"> the 95% CrI</w:t>
      </w:r>
      <w:r w:rsidR="009315C1" w:rsidRPr="00C1603D">
        <w:t>s</w:t>
      </w:r>
      <w:r w:rsidRPr="00C1603D">
        <w:t xml:space="preserve"> are completely overlapping. This again indicates </w:t>
      </w:r>
      <w:proofErr w:type="gramStart"/>
      <w:r w:rsidRPr="00C1603D">
        <w:t>little difference</w:t>
      </w:r>
      <w:proofErr w:type="gramEnd"/>
      <w:r w:rsidRPr="00C1603D">
        <w:t xml:space="preserve"> between the cost-effectiveness of these strategies.</w:t>
      </w:r>
    </w:p>
    <w:p w14:paraId="08767050" w14:textId="2D00EDDA" w:rsidR="008B4DF8" w:rsidRPr="00C1603D" w:rsidRDefault="008B4DF8" w:rsidP="008B4DF8">
      <w:pPr>
        <w:pStyle w:val="70TablelegendTablesTableFigureBoxstyles"/>
      </w:pPr>
      <w:bookmarkStart w:id="438" w:name="_Toc99720732"/>
      <w:r w:rsidRPr="00C1603D">
        <w:rPr>
          <w:b/>
        </w:rPr>
        <w:t>TABLE 2</w:t>
      </w:r>
      <w:r w:rsidR="00032460" w:rsidRPr="00C1603D">
        <w:rPr>
          <w:b/>
        </w:rPr>
        <w:t>2</w:t>
      </w:r>
      <w:r w:rsidRPr="00C1603D">
        <w:rPr>
          <w:b/>
        </w:rPr>
        <w:t> </w:t>
      </w:r>
      <w:r w:rsidRPr="00C1603D">
        <w:t>Costs, QALYs and incremental net benefit</w:t>
      </w:r>
      <w:r w:rsidR="00DC5499" w:rsidRPr="00C1603D">
        <w:t>s</w:t>
      </w:r>
      <w:r w:rsidR="0017067B" w:rsidRPr="00C1603D">
        <w:t>,</w:t>
      </w:r>
      <w:r w:rsidRPr="00C1603D">
        <w:t xml:space="preserve"> at </w:t>
      </w:r>
      <w:r w:rsidR="00540842" w:rsidRPr="00C1603D">
        <w:t>£20,000 per QALY</w:t>
      </w:r>
      <w:r w:rsidR="0017067B" w:rsidRPr="00C1603D">
        <w:t>,</w:t>
      </w:r>
      <w:r w:rsidRPr="00C1603D">
        <w:t xml:space="preserve"> associated with strategies of interest </w:t>
      </w:r>
      <w:r w:rsidR="00DC5499" w:rsidRPr="00C1603D">
        <w:t>for</w:t>
      </w:r>
      <w:r w:rsidRPr="00C1603D">
        <w:t xml:space="preserve"> adult women</w:t>
      </w:r>
      <w:bookmarkEnd w:id="438"/>
    </w:p>
    <w:tbl>
      <w:tblPr>
        <w:tblW w:w="0" w:type="auto"/>
        <w:tblCellMar>
          <w:top w:w="40" w:type="dxa"/>
          <w:left w:w="60" w:type="dxa"/>
          <w:bottom w:w="40" w:type="dxa"/>
          <w:right w:w="60" w:type="dxa"/>
        </w:tblCellMar>
        <w:tblLook w:val="04A0" w:firstRow="1" w:lastRow="0" w:firstColumn="1" w:lastColumn="0" w:noHBand="0" w:noVBand="1"/>
      </w:tblPr>
      <w:tblGrid>
        <w:gridCol w:w="1657"/>
        <w:gridCol w:w="929"/>
        <w:gridCol w:w="925"/>
        <w:gridCol w:w="844"/>
        <w:gridCol w:w="1180"/>
        <w:gridCol w:w="1055"/>
        <w:gridCol w:w="2436"/>
      </w:tblGrid>
      <w:tr w:rsidR="005E697E" w:rsidRPr="00C1603D" w14:paraId="218F706C" w14:textId="77777777" w:rsidTr="00D2202A">
        <w:trPr>
          <w:cantSplit/>
        </w:trPr>
        <w:tc>
          <w:tcPr>
            <w:tcW w:w="0" w:type="auto"/>
            <w:vMerge w:val="restart"/>
            <w:shd w:val="clear" w:color="auto" w:fill="auto"/>
          </w:tcPr>
          <w:p w14:paraId="28B32764" w14:textId="3B25D091" w:rsidR="005E697E" w:rsidRPr="00C1603D" w:rsidRDefault="005E697E" w:rsidP="00DC5499">
            <w:pPr>
              <w:pStyle w:val="710TableheadTablesTableFigureBoxstyles"/>
            </w:pPr>
            <w:r w:rsidRPr="00C1603D">
              <w:t>Pre-test probability for blood test</w:t>
            </w:r>
            <w:r w:rsidR="0017067B" w:rsidRPr="00C1603D">
              <w:t xml:space="preserve"> (%)</w:t>
            </w:r>
          </w:p>
        </w:tc>
        <w:tc>
          <w:tcPr>
            <w:tcW w:w="0" w:type="auto"/>
            <w:vMerge w:val="restart"/>
            <w:shd w:val="clear" w:color="auto" w:fill="auto"/>
          </w:tcPr>
          <w:p w14:paraId="7BFAE3DE" w14:textId="06C606EA" w:rsidR="005E697E" w:rsidRPr="00C1603D" w:rsidRDefault="005E697E" w:rsidP="00DC5499">
            <w:pPr>
              <w:pStyle w:val="710TableheadTablesTableFigureBoxstyles"/>
            </w:pPr>
            <w:r w:rsidRPr="00C1603D">
              <w:t>Sensitivity</w:t>
            </w:r>
          </w:p>
        </w:tc>
        <w:tc>
          <w:tcPr>
            <w:tcW w:w="0" w:type="auto"/>
            <w:vMerge w:val="restart"/>
            <w:shd w:val="clear" w:color="auto" w:fill="auto"/>
          </w:tcPr>
          <w:p w14:paraId="6304B2DC" w14:textId="192241E0" w:rsidR="005E697E" w:rsidRPr="00C1603D" w:rsidRDefault="005E697E" w:rsidP="00DC5499">
            <w:pPr>
              <w:pStyle w:val="710TableheadTablesTableFigureBoxstyles"/>
            </w:pPr>
            <w:r w:rsidRPr="00C1603D">
              <w:t>Specificity</w:t>
            </w:r>
          </w:p>
        </w:tc>
        <w:tc>
          <w:tcPr>
            <w:tcW w:w="0" w:type="auto"/>
            <w:vMerge w:val="restart"/>
            <w:shd w:val="clear" w:color="auto" w:fill="auto"/>
          </w:tcPr>
          <w:p w14:paraId="464E7B76" w14:textId="0B89E92F" w:rsidR="005E697E" w:rsidRPr="00C1603D" w:rsidRDefault="005E697E" w:rsidP="00DC5499">
            <w:pPr>
              <w:pStyle w:val="710TableheadTablesTableFigureBoxstyles"/>
            </w:pPr>
            <w:r w:rsidRPr="00C1603D">
              <w:t>Test</w:t>
            </w:r>
          </w:p>
        </w:tc>
        <w:tc>
          <w:tcPr>
            <w:tcW w:w="0" w:type="auto"/>
            <w:gridSpan w:val="3"/>
            <w:shd w:val="clear" w:color="auto" w:fill="auto"/>
          </w:tcPr>
          <w:p w14:paraId="1EEDBD9A" w14:textId="1DDFBCD2" w:rsidR="005E697E" w:rsidRPr="00C1603D" w:rsidRDefault="005E697E" w:rsidP="005E697E">
            <w:pPr>
              <w:pStyle w:val="705TableheadgroupTablesTableFigureBoxstyles"/>
            </w:pPr>
            <w:r w:rsidRPr="00C1603D">
              <w:t>Mean (95% CI)</w:t>
            </w:r>
          </w:p>
        </w:tc>
      </w:tr>
      <w:tr w:rsidR="005E697E" w:rsidRPr="00C1603D" w14:paraId="463E7343" w14:textId="77777777" w:rsidTr="00DC5499">
        <w:trPr>
          <w:cantSplit/>
        </w:trPr>
        <w:tc>
          <w:tcPr>
            <w:tcW w:w="0" w:type="auto"/>
            <w:vMerge/>
            <w:shd w:val="clear" w:color="auto" w:fill="auto"/>
          </w:tcPr>
          <w:p w14:paraId="42BF554D" w14:textId="4E153079" w:rsidR="005E697E" w:rsidRPr="00C1603D" w:rsidRDefault="005E697E" w:rsidP="00DC5499">
            <w:pPr>
              <w:pStyle w:val="710TableheadTablesTableFigureBoxstyles"/>
            </w:pPr>
          </w:p>
        </w:tc>
        <w:tc>
          <w:tcPr>
            <w:tcW w:w="0" w:type="auto"/>
            <w:vMerge/>
            <w:shd w:val="clear" w:color="auto" w:fill="auto"/>
          </w:tcPr>
          <w:p w14:paraId="41383334" w14:textId="754903EB" w:rsidR="005E697E" w:rsidRPr="00C1603D" w:rsidRDefault="005E697E" w:rsidP="00DC5499">
            <w:pPr>
              <w:pStyle w:val="710TableheadTablesTableFigureBoxstyles"/>
              <w:rPr>
                <w:color w:val="000000"/>
              </w:rPr>
            </w:pPr>
          </w:p>
        </w:tc>
        <w:tc>
          <w:tcPr>
            <w:tcW w:w="0" w:type="auto"/>
            <w:vMerge/>
            <w:shd w:val="clear" w:color="auto" w:fill="auto"/>
          </w:tcPr>
          <w:p w14:paraId="24112FA1" w14:textId="6CCA2BAD" w:rsidR="005E697E" w:rsidRPr="00C1603D" w:rsidRDefault="005E697E" w:rsidP="00DC5499">
            <w:pPr>
              <w:pStyle w:val="710TableheadTablesTableFigureBoxstyles"/>
              <w:rPr>
                <w:color w:val="000000"/>
              </w:rPr>
            </w:pPr>
          </w:p>
        </w:tc>
        <w:tc>
          <w:tcPr>
            <w:tcW w:w="0" w:type="auto"/>
            <w:vMerge/>
            <w:shd w:val="clear" w:color="auto" w:fill="auto"/>
          </w:tcPr>
          <w:p w14:paraId="425CEFE1" w14:textId="08CCD374" w:rsidR="005E697E" w:rsidRPr="00C1603D" w:rsidRDefault="005E697E" w:rsidP="00DC5499">
            <w:pPr>
              <w:pStyle w:val="710TableheadTablesTableFigureBoxstyles"/>
            </w:pPr>
          </w:p>
        </w:tc>
        <w:tc>
          <w:tcPr>
            <w:tcW w:w="0" w:type="auto"/>
            <w:shd w:val="clear" w:color="auto" w:fill="auto"/>
          </w:tcPr>
          <w:p w14:paraId="026B7404" w14:textId="77777777" w:rsidR="005E697E" w:rsidRPr="00C1603D" w:rsidRDefault="005E697E" w:rsidP="00DC5499">
            <w:pPr>
              <w:pStyle w:val="710TableheadTablesTableFigureBoxstyles"/>
            </w:pPr>
            <w:r w:rsidRPr="00C1603D">
              <w:t>Costs (£)</w:t>
            </w:r>
          </w:p>
        </w:tc>
        <w:tc>
          <w:tcPr>
            <w:tcW w:w="0" w:type="auto"/>
            <w:shd w:val="clear" w:color="auto" w:fill="auto"/>
          </w:tcPr>
          <w:p w14:paraId="6F4E78CB" w14:textId="77777777" w:rsidR="005E697E" w:rsidRPr="00C1603D" w:rsidRDefault="005E697E" w:rsidP="00DC5499">
            <w:pPr>
              <w:pStyle w:val="710TableheadTablesTableFigureBoxstyles"/>
            </w:pPr>
            <w:r w:rsidRPr="00C1603D">
              <w:t>QALYs</w:t>
            </w:r>
          </w:p>
        </w:tc>
        <w:tc>
          <w:tcPr>
            <w:tcW w:w="0" w:type="auto"/>
            <w:shd w:val="clear" w:color="auto" w:fill="auto"/>
          </w:tcPr>
          <w:p w14:paraId="307CFE8F" w14:textId="74434BB7" w:rsidR="005E697E" w:rsidRPr="00C1603D" w:rsidRDefault="005E697E" w:rsidP="00DC5499">
            <w:pPr>
              <w:pStyle w:val="710TableheadTablesTableFigureBoxstyles"/>
            </w:pPr>
            <w:r w:rsidRPr="00C1603D">
              <w:t>Incremental net benefit at £20,000 per QALY vs. no screening</w:t>
            </w:r>
            <w:r w:rsidR="008A233F" w:rsidRPr="00C1603D">
              <w:t xml:space="preserve"> (£)</w:t>
            </w:r>
          </w:p>
        </w:tc>
      </w:tr>
      <w:tr w:rsidR="008B4DF8" w:rsidRPr="00C1603D" w14:paraId="61490C21" w14:textId="77777777" w:rsidTr="00DC5499">
        <w:trPr>
          <w:cantSplit/>
        </w:trPr>
        <w:tc>
          <w:tcPr>
            <w:tcW w:w="0" w:type="auto"/>
            <w:gridSpan w:val="4"/>
            <w:shd w:val="clear" w:color="auto" w:fill="auto"/>
          </w:tcPr>
          <w:p w14:paraId="64D8BDD6" w14:textId="77777777" w:rsidR="008B4DF8" w:rsidRPr="00C1603D" w:rsidRDefault="008B4DF8" w:rsidP="00DC5499">
            <w:pPr>
              <w:pStyle w:val="72TabletextTablesTableFigureBoxstyles"/>
            </w:pPr>
            <w:r w:rsidRPr="00C1603D">
              <w:t>No screening</w:t>
            </w:r>
          </w:p>
        </w:tc>
        <w:tc>
          <w:tcPr>
            <w:tcW w:w="0" w:type="auto"/>
            <w:shd w:val="clear" w:color="auto" w:fill="auto"/>
          </w:tcPr>
          <w:p w14:paraId="69F7952E" w14:textId="389D0651" w:rsidR="008B4DF8" w:rsidRPr="00C1603D" w:rsidRDefault="008B4DF8" w:rsidP="00DC5499">
            <w:pPr>
              <w:pStyle w:val="72TabletextTablesTableFigureBoxstyles"/>
            </w:pPr>
            <w:r w:rsidRPr="00C1603D">
              <w:t>17</w:t>
            </w:r>
            <w:r w:rsidR="005E697E" w:rsidRPr="00C1603D">
              <w:t>,</w:t>
            </w:r>
            <w:r w:rsidRPr="00C1603D">
              <w:t>673 (14</w:t>
            </w:r>
            <w:r w:rsidR="005E697E" w:rsidRPr="00C1603D">
              <w:t>,</w:t>
            </w:r>
            <w:r w:rsidRPr="00C1603D">
              <w:t>159</w:t>
            </w:r>
            <w:r w:rsidR="005E697E" w:rsidRPr="00C1603D">
              <w:t xml:space="preserve"> to</w:t>
            </w:r>
            <w:r w:rsidRPr="00C1603D">
              <w:t xml:space="preserve"> 19</w:t>
            </w:r>
            <w:r w:rsidR="005E697E" w:rsidRPr="00C1603D">
              <w:t>,</w:t>
            </w:r>
            <w:r w:rsidRPr="00C1603D">
              <w:t>645)</w:t>
            </w:r>
          </w:p>
        </w:tc>
        <w:tc>
          <w:tcPr>
            <w:tcW w:w="0" w:type="auto"/>
            <w:shd w:val="clear" w:color="auto" w:fill="auto"/>
          </w:tcPr>
          <w:p w14:paraId="5A22E8C4" w14:textId="72A7DEA9" w:rsidR="008B4DF8" w:rsidRPr="00C1603D" w:rsidRDefault="008B4DF8" w:rsidP="00DC5499">
            <w:pPr>
              <w:pStyle w:val="72TabletextTablesTableFigureBoxstyles"/>
            </w:pPr>
            <w:r w:rsidRPr="00C1603D">
              <w:t>18.68 (16.72</w:t>
            </w:r>
            <w:r w:rsidR="005E697E" w:rsidRPr="00C1603D">
              <w:t xml:space="preserve"> to</w:t>
            </w:r>
            <w:r w:rsidRPr="00C1603D">
              <w:t xml:space="preserve"> 19.9)</w:t>
            </w:r>
          </w:p>
        </w:tc>
        <w:tc>
          <w:tcPr>
            <w:tcW w:w="0" w:type="auto"/>
            <w:shd w:val="clear" w:color="auto" w:fill="auto"/>
          </w:tcPr>
          <w:p w14:paraId="084885FE" w14:textId="3CE78D6B" w:rsidR="008B4DF8" w:rsidRPr="00C1603D" w:rsidRDefault="008B4DF8" w:rsidP="00DC5499">
            <w:pPr>
              <w:pStyle w:val="72TabletextTablesTableFigureBoxstyles"/>
            </w:pPr>
            <w:r w:rsidRPr="00C1603D">
              <w:t>0 (0</w:t>
            </w:r>
            <w:r w:rsidR="005E697E" w:rsidRPr="00C1603D">
              <w:t xml:space="preserve"> to</w:t>
            </w:r>
            <w:r w:rsidRPr="00C1603D">
              <w:t xml:space="preserve"> 0)</w:t>
            </w:r>
          </w:p>
        </w:tc>
      </w:tr>
      <w:tr w:rsidR="008B4DF8" w:rsidRPr="00C1603D" w14:paraId="39D0E030" w14:textId="77777777" w:rsidTr="00DC5499">
        <w:trPr>
          <w:cantSplit/>
        </w:trPr>
        <w:tc>
          <w:tcPr>
            <w:tcW w:w="0" w:type="auto"/>
            <w:shd w:val="clear" w:color="auto" w:fill="auto"/>
          </w:tcPr>
          <w:p w14:paraId="4A634A4B" w14:textId="34BF0D37" w:rsidR="008B4DF8" w:rsidRPr="00C1603D" w:rsidRDefault="008B4DF8" w:rsidP="00DC5499">
            <w:pPr>
              <w:pStyle w:val="72TabletextTablesTableFigureBoxstyles"/>
            </w:pPr>
            <w:r w:rsidRPr="00C1603D">
              <w:t>1</w:t>
            </w:r>
          </w:p>
        </w:tc>
        <w:tc>
          <w:tcPr>
            <w:tcW w:w="0" w:type="auto"/>
            <w:shd w:val="clear" w:color="auto" w:fill="auto"/>
          </w:tcPr>
          <w:p w14:paraId="5E260632" w14:textId="77777777" w:rsidR="008B4DF8" w:rsidRPr="00C1603D" w:rsidRDefault="008B4DF8" w:rsidP="00DC5499">
            <w:pPr>
              <w:pStyle w:val="72TabletextTablesTableFigureBoxstyles"/>
            </w:pPr>
            <w:r w:rsidRPr="00C1603D">
              <w:t>1</w:t>
            </w:r>
          </w:p>
        </w:tc>
        <w:tc>
          <w:tcPr>
            <w:tcW w:w="0" w:type="auto"/>
            <w:shd w:val="clear" w:color="auto" w:fill="auto"/>
          </w:tcPr>
          <w:p w14:paraId="73C89C07" w14:textId="77777777" w:rsidR="008B4DF8" w:rsidRPr="00C1603D" w:rsidRDefault="008B4DF8" w:rsidP="00DC5499">
            <w:pPr>
              <w:pStyle w:val="72TabletextTablesTableFigureBoxstyles"/>
            </w:pPr>
            <w:r w:rsidRPr="00C1603D">
              <w:t>0</w:t>
            </w:r>
          </w:p>
        </w:tc>
        <w:tc>
          <w:tcPr>
            <w:tcW w:w="0" w:type="auto"/>
            <w:shd w:val="clear" w:color="auto" w:fill="auto"/>
          </w:tcPr>
          <w:p w14:paraId="7216C003" w14:textId="77777777" w:rsidR="008B4DF8" w:rsidRPr="00C1603D" w:rsidRDefault="008B4DF8" w:rsidP="00DC5499">
            <w:pPr>
              <w:pStyle w:val="72TabletextTablesTableFigureBoxstyles"/>
            </w:pPr>
            <w:r w:rsidRPr="00C1603D">
              <w:t>IgA tTG</w:t>
            </w:r>
          </w:p>
        </w:tc>
        <w:tc>
          <w:tcPr>
            <w:tcW w:w="0" w:type="auto"/>
            <w:shd w:val="clear" w:color="auto" w:fill="auto"/>
          </w:tcPr>
          <w:p w14:paraId="6DD11C83" w14:textId="1EF0A342" w:rsidR="008B4DF8" w:rsidRPr="00C1603D" w:rsidRDefault="008B4DF8" w:rsidP="00DC5499">
            <w:pPr>
              <w:pStyle w:val="72TabletextTablesTableFigureBoxstyles"/>
            </w:pPr>
            <w:r w:rsidRPr="00C1603D">
              <w:t>20</w:t>
            </w:r>
            <w:r w:rsidR="005E697E" w:rsidRPr="00C1603D">
              <w:t>,</w:t>
            </w:r>
            <w:r w:rsidRPr="00C1603D">
              <w:t>771 (20</w:t>
            </w:r>
            <w:r w:rsidR="005E697E" w:rsidRPr="00C1603D">
              <w:t>,</w:t>
            </w:r>
            <w:r w:rsidRPr="00C1603D">
              <w:t>469</w:t>
            </w:r>
            <w:r w:rsidR="005E697E" w:rsidRPr="00C1603D">
              <w:t xml:space="preserve"> to</w:t>
            </w:r>
            <w:r w:rsidRPr="00C1603D">
              <w:t xml:space="preserve"> 21</w:t>
            </w:r>
            <w:r w:rsidR="005E697E" w:rsidRPr="00C1603D">
              <w:t>,</w:t>
            </w:r>
            <w:r w:rsidRPr="00C1603D">
              <w:t>082)</w:t>
            </w:r>
          </w:p>
        </w:tc>
        <w:tc>
          <w:tcPr>
            <w:tcW w:w="0" w:type="auto"/>
            <w:shd w:val="clear" w:color="auto" w:fill="auto"/>
          </w:tcPr>
          <w:p w14:paraId="0A3FBD50" w14:textId="6620872B" w:rsidR="008B4DF8" w:rsidRPr="00C1603D" w:rsidRDefault="008B4DF8" w:rsidP="00DC5499">
            <w:pPr>
              <w:pStyle w:val="72TabletextTablesTableFigureBoxstyles"/>
            </w:pPr>
            <w:r w:rsidRPr="00C1603D">
              <w:t>20.05 (19.59</w:t>
            </w:r>
            <w:r w:rsidR="005E697E" w:rsidRPr="00C1603D">
              <w:t xml:space="preserve"> to</w:t>
            </w:r>
            <w:r w:rsidRPr="00C1603D">
              <w:t xml:space="preserve"> 20.42)</w:t>
            </w:r>
          </w:p>
        </w:tc>
        <w:tc>
          <w:tcPr>
            <w:tcW w:w="0" w:type="auto"/>
            <w:shd w:val="clear" w:color="auto" w:fill="auto"/>
          </w:tcPr>
          <w:p w14:paraId="4A4E52F2" w14:textId="61B2CAE3" w:rsidR="008B4DF8" w:rsidRPr="00C1603D" w:rsidRDefault="008B4DF8" w:rsidP="00DC5499">
            <w:pPr>
              <w:pStyle w:val="72TabletextTablesTableFigureBoxstyles"/>
            </w:pPr>
            <w:r w:rsidRPr="00C1603D">
              <w:t>24</w:t>
            </w:r>
            <w:r w:rsidR="005E697E" w:rsidRPr="00C1603D">
              <w:t>,</w:t>
            </w:r>
            <w:r w:rsidRPr="00C1603D">
              <w:t>382 (4829</w:t>
            </w:r>
            <w:r w:rsidR="005E697E" w:rsidRPr="00C1603D">
              <w:t xml:space="preserve"> to</w:t>
            </w:r>
            <w:r w:rsidRPr="00C1603D">
              <w:t xml:space="preserve"> 59</w:t>
            </w:r>
            <w:r w:rsidR="005E697E" w:rsidRPr="00C1603D">
              <w:t>,</w:t>
            </w:r>
            <w:r w:rsidRPr="00C1603D">
              <w:t>154)</w:t>
            </w:r>
          </w:p>
        </w:tc>
      </w:tr>
      <w:tr w:rsidR="008B4DF8" w:rsidRPr="00C1603D" w14:paraId="690253A0" w14:textId="77777777" w:rsidTr="00DC5499">
        <w:trPr>
          <w:cantSplit/>
        </w:trPr>
        <w:tc>
          <w:tcPr>
            <w:tcW w:w="0" w:type="auto"/>
            <w:shd w:val="clear" w:color="auto" w:fill="auto"/>
          </w:tcPr>
          <w:p w14:paraId="1D3555D9" w14:textId="206AB5D9" w:rsidR="008B4DF8" w:rsidRPr="00C1603D" w:rsidRDefault="008B4DF8" w:rsidP="00DC5499">
            <w:pPr>
              <w:pStyle w:val="72TabletextTablesTableFigureBoxstyles"/>
            </w:pPr>
            <w:r w:rsidRPr="00C1603D">
              <w:t>1.50</w:t>
            </w:r>
          </w:p>
        </w:tc>
        <w:tc>
          <w:tcPr>
            <w:tcW w:w="0" w:type="auto"/>
            <w:shd w:val="clear" w:color="auto" w:fill="auto"/>
          </w:tcPr>
          <w:p w14:paraId="222B3974" w14:textId="77777777" w:rsidR="008B4DF8" w:rsidRPr="00C1603D" w:rsidRDefault="008B4DF8" w:rsidP="00DC5499">
            <w:pPr>
              <w:pStyle w:val="72TabletextTablesTableFigureBoxstyles"/>
            </w:pPr>
            <w:r w:rsidRPr="00C1603D">
              <w:t>0.841</w:t>
            </w:r>
          </w:p>
        </w:tc>
        <w:tc>
          <w:tcPr>
            <w:tcW w:w="0" w:type="auto"/>
            <w:shd w:val="clear" w:color="auto" w:fill="auto"/>
          </w:tcPr>
          <w:p w14:paraId="6F47E5E3" w14:textId="77777777" w:rsidR="008B4DF8" w:rsidRPr="00C1603D" w:rsidRDefault="008B4DF8" w:rsidP="00DC5499">
            <w:pPr>
              <w:pStyle w:val="72TabletextTablesTableFigureBoxstyles"/>
            </w:pPr>
            <w:r w:rsidRPr="00C1603D">
              <w:t>0.448</w:t>
            </w:r>
          </w:p>
        </w:tc>
        <w:tc>
          <w:tcPr>
            <w:tcW w:w="0" w:type="auto"/>
            <w:shd w:val="clear" w:color="auto" w:fill="auto"/>
          </w:tcPr>
          <w:p w14:paraId="344B31FF" w14:textId="77777777" w:rsidR="008B4DF8" w:rsidRPr="00C1603D" w:rsidRDefault="008B4DF8" w:rsidP="00DC5499">
            <w:pPr>
              <w:pStyle w:val="72TabletextTablesTableFigureBoxstyles"/>
            </w:pPr>
            <w:r w:rsidRPr="00C1603D">
              <w:t>IgA tTG</w:t>
            </w:r>
          </w:p>
        </w:tc>
        <w:tc>
          <w:tcPr>
            <w:tcW w:w="0" w:type="auto"/>
            <w:shd w:val="clear" w:color="auto" w:fill="auto"/>
          </w:tcPr>
          <w:p w14:paraId="43C9D948" w14:textId="44338686" w:rsidR="008B4DF8" w:rsidRPr="00C1603D" w:rsidRDefault="008B4DF8" w:rsidP="00DC5499">
            <w:pPr>
              <w:pStyle w:val="72TabletextTablesTableFigureBoxstyles"/>
            </w:pPr>
            <w:r w:rsidRPr="00C1603D">
              <w:t>18</w:t>
            </w:r>
            <w:r w:rsidR="005E697E" w:rsidRPr="00C1603D">
              <w:t>,</w:t>
            </w:r>
            <w:r w:rsidRPr="00C1603D">
              <w:t>585 (15</w:t>
            </w:r>
            <w:r w:rsidR="005E697E" w:rsidRPr="00C1603D">
              <w:t>,</w:t>
            </w:r>
            <w:r w:rsidRPr="00C1603D">
              <w:t>184</w:t>
            </w:r>
            <w:r w:rsidR="005E697E" w:rsidRPr="00C1603D">
              <w:t xml:space="preserve"> to</w:t>
            </w:r>
            <w:r w:rsidRPr="00C1603D">
              <w:t xml:space="preserve"> 20</w:t>
            </w:r>
            <w:r w:rsidR="005E697E" w:rsidRPr="00C1603D">
              <w:t>,</w:t>
            </w:r>
            <w:r w:rsidRPr="00C1603D">
              <w:t>501)</w:t>
            </w:r>
          </w:p>
        </w:tc>
        <w:tc>
          <w:tcPr>
            <w:tcW w:w="0" w:type="auto"/>
            <w:shd w:val="clear" w:color="auto" w:fill="auto"/>
          </w:tcPr>
          <w:p w14:paraId="31A16A3C" w14:textId="0F44CACB" w:rsidR="008B4DF8" w:rsidRPr="00C1603D" w:rsidRDefault="008B4DF8" w:rsidP="00DC5499">
            <w:pPr>
              <w:pStyle w:val="72TabletextTablesTableFigureBoxstyles"/>
            </w:pPr>
            <w:r w:rsidRPr="00C1603D">
              <w:t>18.72 (16.84</w:t>
            </w:r>
            <w:r w:rsidR="005E697E" w:rsidRPr="00C1603D">
              <w:t xml:space="preserve"> to</w:t>
            </w:r>
            <w:r w:rsidRPr="00C1603D">
              <w:t xml:space="preserve"> 19.91)</w:t>
            </w:r>
          </w:p>
        </w:tc>
        <w:tc>
          <w:tcPr>
            <w:tcW w:w="0" w:type="auto"/>
            <w:shd w:val="clear" w:color="auto" w:fill="auto"/>
          </w:tcPr>
          <w:p w14:paraId="187559CA" w14:textId="5EEB1D71" w:rsidR="008B4DF8" w:rsidRPr="00C1603D" w:rsidRDefault="008B4DF8" w:rsidP="00DC5499">
            <w:pPr>
              <w:pStyle w:val="72TabletextTablesTableFigureBoxstyles"/>
            </w:pPr>
            <w:r w:rsidRPr="00C1603D">
              <w:rPr>
                <w:color w:val="00B0F0"/>
              </w:rPr>
              <w:t>–2</w:t>
            </w:r>
            <w:r w:rsidRPr="00C1603D">
              <w:t>7 (</w:t>
            </w:r>
            <w:r w:rsidRPr="00C1603D">
              <w:rPr>
                <w:color w:val="00B0F0"/>
              </w:rPr>
              <w:t>–7</w:t>
            </w:r>
            <w:r w:rsidRPr="00C1603D">
              <w:t>16</w:t>
            </w:r>
            <w:r w:rsidR="005E697E" w:rsidRPr="00C1603D">
              <w:t xml:space="preserve"> to</w:t>
            </w:r>
            <w:r w:rsidRPr="00C1603D">
              <w:t xml:space="preserve"> 1197)</w:t>
            </w:r>
          </w:p>
        </w:tc>
      </w:tr>
      <w:tr w:rsidR="008B4DF8" w:rsidRPr="00C1603D" w14:paraId="739C7A37" w14:textId="77777777" w:rsidTr="00DC5499">
        <w:trPr>
          <w:cantSplit/>
        </w:trPr>
        <w:tc>
          <w:tcPr>
            <w:tcW w:w="0" w:type="auto"/>
            <w:shd w:val="clear" w:color="auto" w:fill="auto"/>
          </w:tcPr>
          <w:p w14:paraId="194F18A3" w14:textId="38CF0885" w:rsidR="008B4DF8" w:rsidRPr="00C1603D" w:rsidRDefault="008B4DF8" w:rsidP="00DC5499">
            <w:pPr>
              <w:pStyle w:val="72TabletextTablesTableFigureBoxstyles"/>
            </w:pPr>
            <w:r w:rsidRPr="00C1603D">
              <w:t>2</w:t>
            </w:r>
          </w:p>
        </w:tc>
        <w:tc>
          <w:tcPr>
            <w:tcW w:w="0" w:type="auto"/>
            <w:shd w:val="clear" w:color="auto" w:fill="auto"/>
          </w:tcPr>
          <w:p w14:paraId="0A70F431" w14:textId="77777777" w:rsidR="008B4DF8" w:rsidRPr="00C1603D" w:rsidRDefault="008B4DF8" w:rsidP="00DC5499">
            <w:pPr>
              <w:pStyle w:val="72TabletextTablesTableFigureBoxstyles"/>
            </w:pPr>
            <w:r w:rsidRPr="00C1603D">
              <w:t>0.758</w:t>
            </w:r>
          </w:p>
        </w:tc>
        <w:tc>
          <w:tcPr>
            <w:tcW w:w="0" w:type="auto"/>
            <w:shd w:val="clear" w:color="auto" w:fill="auto"/>
          </w:tcPr>
          <w:p w14:paraId="2A54C083" w14:textId="77777777" w:rsidR="008B4DF8" w:rsidRPr="00C1603D" w:rsidRDefault="008B4DF8" w:rsidP="00DC5499">
            <w:pPr>
              <w:pStyle w:val="72TabletextTablesTableFigureBoxstyles"/>
            </w:pPr>
            <w:r w:rsidRPr="00C1603D">
              <w:t>0.628</w:t>
            </w:r>
          </w:p>
        </w:tc>
        <w:tc>
          <w:tcPr>
            <w:tcW w:w="0" w:type="auto"/>
            <w:shd w:val="clear" w:color="auto" w:fill="auto"/>
          </w:tcPr>
          <w:p w14:paraId="106A2AB9" w14:textId="77777777" w:rsidR="008B4DF8" w:rsidRPr="00C1603D" w:rsidRDefault="008B4DF8" w:rsidP="00DC5499">
            <w:pPr>
              <w:pStyle w:val="72TabletextTablesTableFigureBoxstyles"/>
            </w:pPr>
            <w:r w:rsidRPr="00C1603D">
              <w:t>IgA tTG</w:t>
            </w:r>
          </w:p>
        </w:tc>
        <w:tc>
          <w:tcPr>
            <w:tcW w:w="0" w:type="auto"/>
            <w:shd w:val="clear" w:color="auto" w:fill="auto"/>
          </w:tcPr>
          <w:p w14:paraId="53F5B979" w14:textId="61D10546" w:rsidR="008B4DF8" w:rsidRPr="00C1603D" w:rsidRDefault="008B4DF8" w:rsidP="00DC5499">
            <w:pPr>
              <w:pStyle w:val="72TabletextTablesTableFigureBoxstyles"/>
            </w:pPr>
            <w:r w:rsidRPr="00C1603D">
              <w:t>18</w:t>
            </w:r>
            <w:r w:rsidR="005E697E" w:rsidRPr="00C1603D">
              <w:t>,</w:t>
            </w:r>
            <w:r w:rsidRPr="00C1603D">
              <w:t>500 (15</w:t>
            </w:r>
            <w:r w:rsidR="005E697E" w:rsidRPr="00C1603D">
              <w:t>,</w:t>
            </w:r>
            <w:r w:rsidRPr="00C1603D">
              <w:t>118</w:t>
            </w:r>
            <w:r w:rsidR="005E697E" w:rsidRPr="00C1603D">
              <w:t xml:space="preserve"> to</w:t>
            </w:r>
            <w:r w:rsidRPr="00C1603D">
              <w:t xml:space="preserve"> 20</w:t>
            </w:r>
            <w:r w:rsidR="005E697E" w:rsidRPr="00C1603D">
              <w:t>,</w:t>
            </w:r>
            <w:r w:rsidRPr="00C1603D">
              <w:t>407)</w:t>
            </w:r>
          </w:p>
        </w:tc>
        <w:tc>
          <w:tcPr>
            <w:tcW w:w="0" w:type="auto"/>
            <w:shd w:val="clear" w:color="auto" w:fill="auto"/>
          </w:tcPr>
          <w:p w14:paraId="14D92EA0" w14:textId="4B13E691" w:rsidR="008B4DF8" w:rsidRPr="00C1603D" w:rsidRDefault="008B4DF8" w:rsidP="00DC5499">
            <w:pPr>
              <w:pStyle w:val="72TabletextTablesTableFigureBoxstyles"/>
            </w:pPr>
            <w:r w:rsidRPr="00C1603D">
              <w:t>18.73 (16.86</w:t>
            </w:r>
            <w:r w:rsidR="005E697E" w:rsidRPr="00C1603D">
              <w:t xml:space="preserve"> to</w:t>
            </w:r>
            <w:r w:rsidRPr="00C1603D">
              <w:t xml:space="preserve"> 19.91)</w:t>
            </w:r>
          </w:p>
        </w:tc>
        <w:tc>
          <w:tcPr>
            <w:tcW w:w="0" w:type="auto"/>
            <w:shd w:val="clear" w:color="auto" w:fill="auto"/>
          </w:tcPr>
          <w:p w14:paraId="6ADE7788" w14:textId="54894579" w:rsidR="008B4DF8" w:rsidRPr="00C1603D" w:rsidRDefault="008B4DF8" w:rsidP="00DC5499">
            <w:pPr>
              <w:pStyle w:val="72TabletextTablesTableFigureBoxstyles"/>
            </w:pPr>
            <w:r w:rsidRPr="00C1603D">
              <w:t>228 (</w:t>
            </w:r>
            <w:r w:rsidRPr="00C1603D">
              <w:rPr>
                <w:color w:val="00B0F0"/>
              </w:rPr>
              <w:t>–5</w:t>
            </w:r>
            <w:r w:rsidRPr="00C1603D">
              <w:t>75</w:t>
            </w:r>
            <w:r w:rsidR="005E697E" w:rsidRPr="00C1603D">
              <w:t xml:space="preserve"> to</w:t>
            </w:r>
            <w:r w:rsidRPr="00C1603D">
              <w:t xml:space="preserve"> 1660)</w:t>
            </w:r>
          </w:p>
        </w:tc>
      </w:tr>
      <w:tr w:rsidR="008B4DF8" w:rsidRPr="00C1603D" w14:paraId="6DB9EDAF" w14:textId="77777777" w:rsidTr="00DC5499">
        <w:trPr>
          <w:cantSplit/>
        </w:trPr>
        <w:tc>
          <w:tcPr>
            <w:tcW w:w="0" w:type="auto"/>
            <w:shd w:val="clear" w:color="auto" w:fill="auto"/>
          </w:tcPr>
          <w:p w14:paraId="550979B4" w14:textId="7986A31D" w:rsidR="008B4DF8" w:rsidRPr="00C1603D" w:rsidRDefault="008B4DF8" w:rsidP="00DC5499">
            <w:pPr>
              <w:pStyle w:val="72TabletextTablesTableFigureBoxstyles"/>
            </w:pPr>
            <w:r w:rsidRPr="00C1603D">
              <w:t>5</w:t>
            </w:r>
          </w:p>
        </w:tc>
        <w:tc>
          <w:tcPr>
            <w:tcW w:w="0" w:type="auto"/>
            <w:shd w:val="clear" w:color="auto" w:fill="auto"/>
          </w:tcPr>
          <w:p w14:paraId="678ED39E" w14:textId="77777777" w:rsidR="008B4DF8" w:rsidRPr="00C1603D" w:rsidRDefault="008B4DF8" w:rsidP="00DC5499">
            <w:pPr>
              <w:pStyle w:val="72TabletextTablesTableFigureBoxstyles"/>
            </w:pPr>
            <w:r w:rsidRPr="00C1603D">
              <w:t>0.387</w:t>
            </w:r>
          </w:p>
        </w:tc>
        <w:tc>
          <w:tcPr>
            <w:tcW w:w="0" w:type="auto"/>
            <w:shd w:val="clear" w:color="auto" w:fill="auto"/>
          </w:tcPr>
          <w:p w14:paraId="6D593D72" w14:textId="77777777" w:rsidR="008B4DF8" w:rsidRPr="00C1603D" w:rsidRDefault="008B4DF8" w:rsidP="00DC5499">
            <w:pPr>
              <w:pStyle w:val="72TabletextTablesTableFigureBoxstyles"/>
            </w:pPr>
            <w:r w:rsidRPr="00C1603D">
              <w:t>0.926</w:t>
            </w:r>
          </w:p>
        </w:tc>
        <w:tc>
          <w:tcPr>
            <w:tcW w:w="0" w:type="auto"/>
            <w:shd w:val="clear" w:color="auto" w:fill="auto"/>
          </w:tcPr>
          <w:p w14:paraId="13973195" w14:textId="77777777" w:rsidR="008B4DF8" w:rsidRPr="00C1603D" w:rsidRDefault="008B4DF8" w:rsidP="00DC5499">
            <w:pPr>
              <w:pStyle w:val="72TabletextTablesTableFigureBoxstyles"/>
            </w:pPr>
            <w:r w:rsidRPr="00C1603D">
              <w:t>IgA tTG</w:t>
            </w:r>
          </w:p>
        </w:tc>
        <w:tc>
          <w:tcPr>
            <w:tcW w:w="0" w:type="auto"/>
            <w:shd w:val="clear" w:color="auto" w:fill="auto"/>
          </w:tcPr>
          <w:p w14:paraId="2A55DBA6" w14:textId="3F7545ED" w:rsidR="008B4DF8" w:rsidRPr="00C1603D" w:rsidRDefault="008B4DF8" w:rsidP="00DC5499">
            <w:pPr>
              <w:pStyle w:val="72TabletextTablesTableFigureBoxstyles"/>
            </w:pPr>
            <w:r w:rsidRPr="00C1603D">
              <w:t>18</w:t>
            </w:r>
            <w:r w:rsidR="005E697E" w:rsidRPr="00C1603D">
              <w:t>,</w:t>
            </w:r>
            <w:r w:rsidRPr="00C1603D">
              <w:t>458 (15</w:t>
            </w:r>
            <w:r w:rsidR="005E697E" w:rsidRPr="00C1603D">
              <w:t>,</w:t>
            </w:r>
            <w:r w:rsidRPr="00C1603D">
              <w:t>268</w:t>
            </w:r>
            <w:r w:rsidR="005E697E" w:rsidRPr="00C1603D">
              <w:t xml:space="preserve"> to</w:t>
            </w:r>
            <w:r w:rsidRPr="00C1603D">
              <w:t xml:space="preserve"> 20</w:t>
            </w:r>
            <w:r w:rsidR="005E697E" w:rsidRPr="00C1603D">
              <w:t>,</w:t>
            </w:r>
            <w:r w:rsidRPr="00C1603D">
              <w:t>262)</w:t>
            </w:r>
          </w:p>
        </w:tc>
        <w:tc>
          <w:tcPr>
            <w:tcW w:w="0" w:type="auto"/>
            <w:shd w:val="clear" w:color="auto" w:fill="auto"/>
          </w:tcPr>
          <w:p w14:paraId="3AD843D3" w14:textId="4DD9C81E" w:rsidR="008B4DF8" w:rsidRPr="00C1603D" w:rsidRDefault="008B4DF8" w:rsidP="00DC5499">
            <w:pPr>
              <w:pStyle w:val="72TabletextTablesTableFigureBoxstyles"/>
            </w:pPr>
            <w:r w:rsidRPr="00C1603D">
              <w:t>18.81 (17.05</w:t>
            </w:r>
            <w:r w:rsidR="005E697E" w:rsidRPr="00C1603D">
              <w:t xml:space="preserve"> to</w:t>
            </w:r>
            <w:r w:rsidRPr="00C1603D">
              <w:t xml:space="preserve"> 19.93)</w:t>
            </w:r>
          </w:p>
        </w:tc>
        <w:tc>
          <w:tcPr>
            <w:tcW w:w="0" w:type="auto"/>
            <w:shd w:val="clear" w:color="auto" w:fill="auto"/>
          </w:tcPr>
          <w:p w14:paraId="15AECB4C" w14:textId="26BB86D9" w:rsidR="008B4DF8" w:rsidRPr="00C1603D" w:rsidRDefault="008B4DF8" w:rsidP="00DC5499">
            <w:pPr>
              <w:pStyle w:val="72TabletextTablesTableFigureBoxstyles"/>
            </w:pPr>
            <w:r w:rsidRPr="00C1603D">
              <w:t>1880 (</w:t>
            </w:r>
            <w:r w:rsidRPr="00C1603D">
              <w:rPr>
                <w:color w:val="00B0F0"/>
              </w:rPr>
              <w:t>–6</w:t>
            </w:r>
            <w:r w:rsidRPr="00C1603D">
              <w:t>3</w:t>
            </w:r>
            <w:r w:rsidR="005E697E" w:rsidRPr="00C1603D">
              <w:t xml:space="preserve"> to</w:t>
            </w:r>
            <w:r w:rsidRPr="00C1603D">
              <w:t xml:space="preserve"> 5360)</w:t>
            </w:r>
          </w:p>
        </w:tc>
      </w:tr>
      <w:tr w:rsidR="008B4DF8" w:rsidRPr="00C1603D" w14:paraId="26234E84" w14:textId="77777777" w:rsidTr="00DC5499">
        <w:trPr>
          <w:cantSplit/>
        </w:trPr>
        <w:tc>
          <w:tcPr>
            <w:tcW w:w="0" w:type="auto"/>
            <w:shd w:val="clear" w:color="auto" w:fill="auto"/>
          </w:tcPr>
          <w:p w14:paraId="10E052EE" w14:textId="3D2C96B5" w:rsidR="008B4DF8" w:rsidRPr="00C1603D" w:rsidRDefault="008B4DF8" w:rsidP="00DC5499">
            <w:pPr>
              <w:pStyle w:val="72TabletextTablesTableFigureBoxstyles"/>
            </w:pPr>
            <w:r w:rsidRPr="00C1603D">
              <w:t>10</w:t>
            </w:r>
          </w:p>
        </w:tc>
        <w:tc>
          <w:tcPr>
            <w:tcW w:w="0" w:type="auto"/>
            <w:shd w:val="clear" w:color="auto" w:fill="auto"/>
          </w:tcPr>
          <w:p w14:paraId="08DA2DC9" w14:textId="77777777" w:rsidR="008B4DF8" w:rsidRPr="00C1603D" w:rsidRDefault="008B4DF8" w:rsidP="00DC5499">
            <w:pPr>
              <w:pStyle w:val="72TabletextTablesTableFigureBoxstyles"/>
            </w:pPr>
            <w:r w:rsidRPr="00C1603D">
              <w:t>0.107</w:t>
            </w:r>
          </w:p>
        </w:tc>
        <w:tc>
          <w:tcPr>
            <w:tcW w:w="0" w:type="auto"/>
            <w:shd w:val="clear" w:color="auto" w:fill="auto"/>
          </w:tcPr>
          <w:p w14:paraId="351B29C6" w14:textId="77777777" w:rsidR="008B4DF8" w:rsidRPr="00C1603D" w:rsidRDefault="008B4DF8" w:rsidP="00DC5499">
            <w:pPr>
              <w:pStyle w:val="72TabletextTablesTableFigureBoxstyles"/>
            </w:pPr>
            <w:r w:rsidRPr="00C1603D">
              <w:t>0.99</w:t>
            </w:r>
          </w:p>
        </w:tc>
        <w:tc>
          <w:tcPr>
            <w:tcW w:w="0" w:type="auto"/>
            <w:shd w:val="clear" w:color="auto" w:fill="auto"/>
          </w:tcPr>
          <w:p w14:paraId="6E1E5BC8" w14:textId="77777777" w:rsidR="008B4DF8" w:rsidRPr="00C1603D" w:rsidRDefault="008B4DF8" w:rsidP="00DC5499">
            <w:pPr>
              <w:pStyle w:val="72TabletextTablesTableFigureBoxstyles"/>
            </w:pPr>
            <w:r w:rsidRPr="00C1603D">
              <w:t>IgA tTG</w:t>
            </w:r>
          </w:p>
        </w:tc>
        <w:tc>
          <w:tcPr>
            <w:tcW w:w="0" w:type="auto"/>
            <w:shd w:val="clear" w:color="auto" w:fill="auto"/>
          </w:tcPr>
          <w:p w14:paraId="1DB3F31B" w14:textId="3CCC8BA5" w:rsidR="008B4DF8" w:rsidRPr="00C1603D" w:rsidRDefault="008B4DF8" w:rsidP="00DC5499">
            <w:pPr>
              <w:pStyle w:val="72TabletextTablesTableFigureBoxstyles"/>
            </w:pPr>
            <w:r w:rsidRPr="00C1603D">
              <w:t>18</w:t>
            </w:r>
            <w:r w:rsidR="005E697E" w:rsidRPr="00C1603D">
              <w:t>,</w:t>
            </w:r>
            <w:r w:rsidRPr="00C1603D">
              <w:t>706 (15</w:t>
            </w:r>
            <w:r w:rsidR="005E697E" w:rsidRPr="00C1603D">
              <w:t>,</w:t>
            </w:r>
            <w:r w:rsidRPr="00C1603D">
              <w:t>970</w:t>
            </w:r>
            <w:r w:rsidR="005E697E" w:rsidRPr="00C1603D">
              <w:t xml:space="preserve"> to</w:t>
            </w:r>
            <w:r w:rsidRPr="00C1603D">
              <w:t xml:space="preserve"> 20</w:t>
            </w:r>
            <w:r w:rsidR="005E697E" w:rsidRPr="00C1603D">
              <w:t>,</w:t>
            </w:r>
            <w:r w:rsidRPr="00C1603D">
              <w:t>247)</w:t>
            </w:r>
          </w:p>
        </w:tc>
        <w:tc>
          <w:tcPr>
            <w:tcW w:w="0" w:type="auto"/>
            <w:shd w:val="clear" w:color="auto" w:fill="auto"/>
          </w:tcPr>
          <w:p w14:paraId="1B821892" w14:textId="66E41DA3" w:rsidR="008B4DF8" w:rsidRPr="00C1603D" w:rsidRDefault="008B4DF8" w:rsidP="00DC5499">
            <w:pPr>
              <w:pStyle w:val="72TabletextTablesTableFigureBoxstyles"/>
            </w:pPr>
            <w:r w:rsidRPr="00C1603D">
              <w:t>19 (17.48</w:t>
            </w:r>
            <w:r w:rsidR="005E697E" w:rsidRPr="00C1603D">
              <w:t xml:space="preserve"> to</w:t>
            </w:r>
            <w:r w:rsidRPr="00C1603D">
              <w:t xml:space="preserve"> 19.98)</w:t>
            </w:r>
          </w:p>
        </w:tc>
        <w:tc>
          <w:tcPr>
            <w:tcW w:w="0" w:type="auto"/>
            <w:shd w:val="clear" w:color="auto" w:fill="auto"/>
          </w:tcPr>
          <w:p w14:paraId="68F550A2" w14:textId="0E160FA3" w:rsidR="008B4DF8" w:rsidRPr="00C1603D" w:rsidRDefault="008B4DF8" w:rsidP="00DC5499">
            <w:pPr>
              <w:pStyle w:val="72TabletextTablesTableFigureBoxstyles"/>
            </w:pPr>
            <w:r w:rsidRPr="00C1603D">
              <w:t>5428 (807</w:t>
            </w:r>
            <w:r w:rsidR="005E697E" w:rsidRPr="00C1603D">
              <w:t xml:space="preserve"> to</w:t>
            </w:r>
            <w:r w:rsidRPr="00C1603D">
              <w:t xml:space="preserve"> 13</w:t>
            </w:r>
            <w:r w:rsidR="005E697E" w:rsidRPr="00C1603D">
              <w:t>,</w:t>
            </w:r>
            <w:r w:rsidRPr="00C1603D">
              <w:t>728)</w:t>
            </w:r>
          </w:p>
        </w:tc>
      </w:tr>
      <w:tr w:rsidR="008B4DF8" w:rsidRPr="00C1603D" w14:paraId="6579AE03" w14:textId="77777777" w:rsidTr="00DC5499">
        <w:trPr>
          <w:cantSplit/>
        </w:trPr>
        <w:tc>
          <w:tcPr>
            <w:tcW w:w="0" w:type="auto"/>
            <w:shd w:val="clear" w:color="auto" w:fill="auto"/>
          </w:tcPr>
          <w:p w14:paraId="3387D481" w14:textId="729E6B4D" w:rsidR="008B4DF8" w:rsidRPr="00C1603D" w:rsidRDefault="008B4DF8" w:rsidP="00DC5499">
            <w:pPr>
              <w:pStyle w:val="72TabletextTablesTableFigureBoxstyles"/>
            </w:pPr>
            <w:r w:rsidRPr="00C1603D">
              <w:t>20</w:t>
            </w:r>
          </w:p>
        </w:tc>
        <w:tc>
          <w:tcPr>
            <w:tcW w:w="0" w:type="auto"/>
            <w:shd w:val="clear" w:color="auto" w:fill="auto"/>
          </w:tcPr>
          <w:p w14:paraId="7CF01554" w14:textId="77777777" w:rsidR="008B4DF8" w:rsidRPr="00C1603D" w:rsidRDefault="008B4DF8" w:rsidP="00DC5499">
            <w:pPr>
              <w:pStyle w:val="72TabletextTablesTableFigureBoxstyles"/>
            </w:pPr>
            <w:r w:rsidRPr="00C1603D">
              <w:t>0.002</w:t>
            </w:r>
          </w:p>
        </w:tc>
        <w:tc>
          <w:tcPr>
            <w:tcW w:w="0" w:type="auto"/>
            <w:shd w:val="clear" w:color="auto" w:fill="auto"/>
          </w:tcPr>
          <w:p w14:paraId="216F27C3" w14:textId="77777777" w:rsidR="008B4DF8" w:rsidRPr="00C1603D" w:rsidRDefault="008B4DF8" w:rsidP="00DC5499">
            <w:pPr>
              <w:pStyle w:val="72TabletextTablesTableFigureBoxstyles"/>
            </w:pPr>
            <w:r w:rsidRPr="00C1603D">
              <w:t>1</w:t>
            </w:r>
          </w:p>
        </w:tc>
        <w:tc>
          <w:tcPr>
            <w:tcW w:w="0" w:type="auto"/>
            <w:shd w:val="clear" w:color="auto" w:fill="auto"/>
          </w:tcPr>
          <w:p w14:paraId="40551B36" w14:textId="77777777" w:rsidR="008B4DF8" w:rsidRPr="00C1603D" w:rsidRDefault="008B4DF8" w:rsidP="00DC5499">
            <w:pPr>
              <w:pStyle w:val="72TabletextTablesTableFigureBoxstyles"/>
            </w:pPr>
            <w:r w:rsidRPr="00C1603D">
              <w:t>IgA tTG</w:t>
            </w:r>
          </w:p>
        </w:tc>
        <w:tc>
          <w:tcPr>
            <w:tcW w:w="0" w:type="auto"/>
            <w:shd w:val="clear" w:color="auto" w:fill="auto"/>
          </w:tcPr>
          <w:p w14:paraId="1C01C960" w14:textId="2B9AB111" w:rsidR="008B4DF8" w:rsidRPr="00C1603D" w:rsidRDefault="008B4DF8" w:rsidP="00DC5499">
            <w:pPr>
              <w:pStyle w:val="72TabletextTablesTableFigureBoxstyles"/>
            </w:pPr>
            <w:r w:rsidRPr="00C1603D">
              <w:t>19</w:t>
            </w:r>
            <w:r w:rsidR="005E697E" w:rsidRPr="00C1603D">
              <w:t>,</w:t>
            </w:r>
            <w:r w:rsidRPr="00C1603D">
              <w:t>214 (17</w:t>
            </w:r>
            <w:r w:rsidR="005E697E" w:rsidRPr="00C1603D">
              <w:t>,</w:t>
            </w:r>
            <w:r w:rsidRPr="00C1603D">
              <w:t>329</w:t>
            </w:r>
            <w:r w:rsidR="005E697E" w:rsidRPr="00C1603D">
              <w:t xml:space="preserve"> to</w:t>
            </w:r>
            <w:r w:rsidRPr="00C1603D">
              <w:t xml:space="preserve"> 20</w:t>
            </w:r>
            <w:r w:rsidR="005E697E" w:rsidRPr="00C1603D">
              <w:t>,</w:t>
            </w:r>
            <w:r w:rsidRPr="00C1603D">
              <w:t>319)</w:t>
            </w:r>
          </w:p>
        </w:tc>
        <w:tc>
          <w:tcPr>
            <w:tcW w:w="0" w:type="auto"/>
            <w:shd w:val="clear" w:color="auto" w:fill="auto"/>
          </w:tcPr>
          <w:p w14:paraId="0B972ACA" w14:textId="60D3F02F" w:rsidR="008B4DF8" w:rsidRPr="00C1603D" w:rsidRDefault="008B4DF8" w:rsidP="00DC5499">
            <w:pPr>
              <w:pStyle w:val="72TabletextTablesTableFigureBoxstyles"/>
            </w:pPr>
            <w:r w:rsidRPr="00C1603D">
              <w:t>19.35 (18.28</w:t>
            </w:r>
            <w:r w:rsidR="005E697E" w:rsidRPr="00C1603D">
              <w:t xml:space="preserve"> to</w:t>
            </w:r>
            <w:r w:rsidRPr="00C1603D">
              <w:t xml:space="preserve"> 20.1)</w:t>
            </w:r>
          </w:p>
        </w:tc>
        <w:tc>
          <w:tcPr>
            <w:tcW w:w="0" w:type="auto"/>
            <w:shd w:val="clear" w:color="auto" w:fill="auto"/>
          </w:tcPr>
          <w:p w14:paraId="415142BA" w14:textId="3705A7FB" w:rsidR="008B4DF8" w:rsidRPr="00C1603D" w:rsidRDefault="008B4DF8" w:rsidP="00DC5499">
            <w:pPr>
              <w:pStyle w:val="72TabletextTablesTableFigureBoxstyles"/>
            </w:pPr>
            <w:r w:rsidRPr="00C1603D">
              <w:t>11</w:t>
            </w:r>
            <w:r w:rsidR="005E697E" w:rsidRPr="00C1603D">
              <w:t>,</w:t>
            </w:r>
            <w:r w:rsidRPr="00C1603D">
              <w:t>835 (2322</w:t>
            </w:r>
            <w:r w:rsidR="005E697E" w:rsidRPr="00C1603D">
              <w:t xml:space="preserve"> to</w:t>
            </w:r>
            <w:r w:rsidRPr="00C1603D">
              <w:t xml:space="preserve"> 28</w:t>
            </w:r>
            <w:r w:rsidR="005E697E" w:rsidRPr="00C1603D">
              <w:t>,</w:t>
            </w:r>
            <w:r w:rsidRPr="00C1603D">
              <w:t>874)</w:t>
            </w:r>
          </w:p>
        </w:tc>
      </w:tr>
      <w:tr w:rsidR="008B4DF8" w:rsidRPr="00C1603D" w14:paraId="2B586FE3" w14:textId="77777777" w:rsidTr="00DC5499">
        <w:trPr>
          <w:cantSplit/>
        </w:trPr>
        <w:tc>
          <w:tcPr>
            <w:tcW w:w="0" w:type="auto"/>
            <w:shd w:val="clear" w:color="auto" w:fill="auto"/>
          </w:tcPr>
          <w:p w14:paraId="08159E22" w14:textId="4287691A" w:rsidR="008B4DF8" w:rsidRPr="00C1603D" w:rsidRDefault="008B4DF8" w:rsidP="00DC5499">
            <w:pPr>
              <w:pStyle w:val="72TabletextTablesTableFigureBoxstyles"/>
            </w:pPr>
            <w:r w:rsidRPr="00C1603D">
              <w:t>1</w:t>
            </w:r>
          </w:p>
        </w:tc>
        <w:tc>
          <w:tcPr>
            <w:tcW w:w="0" w:type="auto"/>
            <w:shd w:val="clear" w:color="auto" w:fill="auto"/>
          </w:tcPr>
          <w:p w14:paraId="40602730" w14:textId="77777777" w:rsidR="008B4DF8" w:rsidRPr="00C1603D" w:rsidRDefault="008B4DF8" w:rsidP="00DC5499">
            <w:pPr>
              <w:pStyle w:val="72TabletextTablesTableFigureBoxstyles"/>
            </w:pPr>
            <w:r w:rsidRPr="00C1603D">
              <w:t>1</w:t>
            </w:r>
          </w:p>
        </w:tc>
        <w:tc>
          <w:tcPr>
            <w:tcW w:w="0" w:type="auto"/>
            <w:shd w:val="clear" w:color="auto" w:fill="auto"/>
          </w:tcPr>
          <w:p w14:paraId="43CC360D" w14:textId="77777777" w:rsidR="008B4DF8" w:rsidRPr="00C1603D" w:rsidRDefault="008B4DF8" w:rsidP="00DC5499">
            <w:pPr>
              <w:pStyle w:val="72TabletextTablesTableFigureBoxstyles"/>
            </w:pPr>
            <w:r w:rsidRPr="00C1603D">
              <w:t>0</w:t>
            </w:r>
          </w:p>
        </w:tc>
        <w:tc>
          <w:tcPr>
            <w:tcW w:w="0" w:type="auto"/>
            <w:shd w:val="clear" w:color="auto" w:fill="auto"/>
          </w:tcPr>
          <w:p w14:paraId="0C4273DB" w14:textId="77777777" w:rsidR="008B4DF8" w:rsidRPr="00C1603D" w:rsidRDefault="008B4DF8" w:rsidP="00DC5499">
            <w:pPr>
              <w:pStyle w:val="72TabletextTablesTableFigureBoxstyles"/>
            </w:pPr>
            <w:r w:rsidRPr="00C1603D">
              <w:t>IgA EMA plus HLA</w:t>
            </w:r>
          </w:p>
        </w:tc>
        <w:tc>
          <w:tcPr>
            <w:tcW w:w="0" w:type="auto"/>
            <w:shd w:val="clear" w:color="auto" w:fill="auto"/>
          </w:tcPr>
          <w:p w14:paraId="6C6357F2" w14:textId="7275E3AD" w:rsidR="008B4DF8" w:rsidRPr="00C1603D" w:rsidRDefault="008B4DF8" w:rsidP="00DC5499">
            <w:pPr>
              <w:pStyle w:val="72TabletextTablesTableFigureBoxstyles"/>
            </w:pPr>
            <w:r w:rsidRPr="00C1603D">
              <w:t>21</w:t>
            </w:r>
            <w:r w:rsidR="005E697E" w:rsidRPr="00C1603D">
              <w:t>,</w:t>
            </w:r>
            <w:r w:rsidRPr="00C1603D">
              <w:t>143 (20</w:t>
            </w:r>
            <w:r w:rsidR="005E697E" w:rsidRPr="00C1603D">
              <w:t>,</w:t>
            </w:r>
            <w:r w:rsidRPr="00C1603D">
              <w:t>863</w:t>
            </w:r>
            <w:r w:rsidR="005E697E" w:rsidRPr="00C1603D">
              <w:t xml:space="preserve"> to</w:t>
            </w:r>
            <w:r w:rsidRPr="00C1603D">
              <w:t xml:space="preserve"> 21</w:t>
            </w:r>
            <w:r w:rsidR="005E697E" w:rsidRPr="00C1603D">
              <w:t>,</w:t>
            </w:r>
            <w:r w:rsidRPr="00C1603D">
              <w:t>447)</w:t>
            </w:r>
          </w:p>
        </w:tc>
        <w:tc>
          <w:tcPr>
            <w:tcW w:w="0" w:type="auto"/>
            <w:shd w:val="clear" w:color="auto" w:fill="auto"/>
          </w:tcPr>
          <w:p w14:paraId="3A31D261" w14:textId="49DF41EA" w:rsidR="008B4DF8" w:rsidRPr="00C1603D" w:rsidRDefault="008B4DF8" w:rsidP="00DC5499">
            <w:pPr>
              <w:pStyle w:val="72TabletextTablesTableFigureBoxstyles"/>
            </w:pPr>
            <w:r w:rsidRPr="00C1603D">
              <w:t>20.11 (19.62</w:t>
            </w:r>
            <w:r w:rsidR="005E697E" w:rsidRPr="00C1603D">
              <w:t xml:space="preserve"> to</w:t>
            </w:r>
            <w:r w:rsidRPr="00C1603D">
              <w:t xml:space="preserve"> 20.46)</w:t>
            </w:r>
          </w:p>
        </w:tc>
        <w:tc>
          <w:tcPr>
            <w:tcW w:w="0" w:type="auto"/>
            <w:shd w:val="clear" w:color="auto" w:fill="auto"/>
          </w:tcPr>
          <w:p w14:paraId="2460A9A2" w14:textId="01313360" w:rsidR="008B4DF8" w:rsidRPr="00C1603D" w:rsidRDefault="008B4DF8" w:rsidP="00DC5499">
            <w:pPr>
              <w:pStyle w:val="72TabletextTablesTableFigureBoxstyles"/>
            </w:pPr>
            <w:r w:rsidRPr="00C1603D">
              <w:t>25</w:t>
            </w:r>
            <w:r w:rsidR="005E697E" w:rsidRPr="00C1603D">
              <w:t>,</w:t>
            </w:r>
            <w:r w:rsidRPr="00C1603D">
              <w:t>115 (4766</w:t>
            </w:r>
            <w:r w:rsidR="005E697E" w:rsidRPr="00C1603D">
              <w:t xml:space="preserve"> to</w:t>
            </w:r>
            <w:r w:rsidRPr="00C1603D">
              <w:t xml:space="preserve"> 61</w:t>
            </w:r>
            <w:r w:rsidR="005E697E" w:rsidRPr="00C1603D">
              <w:t>,</w:t>
            </w:r>
            <w:r w:rsidRPr="00C1603D">
              <w:t>286)</w:t>
            </w:r>
          </w:p>
        </w:tc>
      </w:tr>
      <w:tr w:rsidR="008B4DF8" w:rsidRPr="00C1603D" w14:paraId="2A407F76" w14:textId="77777777" w:rsidTr="00DC5499">
        <w:trPr>
          <w:cantSplit/>
        </w:trPr>
        <w:tc>
          <w:tcPr>
            <w:tcW w:w="0" w:type="auto"/>
            <w:shd w:val="clear" w:color="auto" w:fill="auto"/>
          </w:tcPr>
          <w:p w14:paraId="7AC92E9A" w14:textId="5FD7D54C" w:rsidR="008B4DF8" w:rsidRPr="00C1603D" w:rsidRDefault="008B4DF8" w:rsidP="00DC5499">
            <w:pPr>
              <w:pStyle w:val="72TabletextTablesTableFigureBoxstyles"/>
            </w:pPr>
            <w:r w:rsidRPr="00C1603D">
              <w:t>1.50</w:t>
            </w:r>
          </w:p>
        </w:tc>
        <w:tc>
          <w:tcPr>
            <w:tcW w:w="0" w:type="auto"/>
            <w:shd w:val="clear" w:color="auto" w:fill="auto"/>
          </w:tcPr>
          <w:p w14:paraId="130DD3AB" w14:textId="77777777" w:rsidR="008B4DF8" w:rsidRPr="00C1603D" w:rsidRDefault="008B4DF8" w:rsidP="00DC5499">
            <w:pPr>
              <w:pStyle w:val="72TabletextTablesTableFigureBoxstyles"/>
            </w:pPr>
            <w:r w:rsidRPr="00C1603D">
              <w:t>0.841</w:t>
            </w:r>
          </w:p>
        </w:tc>
        <w:tc>
          <w:tcPr>
            <w:tcW w:w="0" w:type="auto"/>
            <w:shd w:val="clear" w:color="auto" w:fill="auto"/>
          </w:tcPr>
          <w:p w14:paraId="147DF534" w14:textId="77777777" w:rsidR="008B4DF8" w:rsidRPr="00C1603D" w:rsidRDefault="008B4DF8" w:rsidP="00DC5499">
            <w:pPr>
              <w:pStyle w:val="72TabletextTablesTableFigureBoxstyles"/>
            </w:pPr>
            <w:r w:rsidRPr="00C1603D">
              <w:t>0.448</w:t>
            </w:r>
          </w:p>
        </w:tc>
        <w:tc>
          <w:tcPr>
            <w:tcW w:w="0" w:type="auto"/>
            <w:shd w:val="clear" w:color="auto" w:fill="auto"/>
          </w:tcPr>
          <w:p w14:paraId="3F349A91" w14:textId="77777777" w:rsidR="008B4DF8" w:rsidRPr="00C1603D" w:rsidRDefault="008B4DF8" w:rsidP="00DC5499">
            <w:pPr>
              <w:pStyle w:val="72TabletextTablesTableFigureBoxstyles"/>
            </w:pPr>
            <w:r w:rsidRPr="00C1603D">
              <w:t>IgA EMA plus HLA</w:t>
            </w:r>
          </w:p>
        </w:tc>
        <w:tc>
          <w:tcPr>
            <w:tcW w:w="0" w:type="auto"/>
            <w:shd w:val="clear" w:color="auto" w:fill="auto"/>
          </w:tcPr>
          <w:p w14:paraId="601A7BE0" w14:textId="4910973A" w:rsidR="008B4DF8" w:rsidRPr="00C1603D" w:rsidRDefault="008B4DF8" w:rsidP="00DC5499">
            <w:pPr>
              <w:pStyle w:val="72TabletextTablesTableFigureBoxstyles"/>
            </w:pPr>
            <w:r w:rsidRPr="00C1603D">
              <w:t>20</w:t>
            </w:r>
            <w:r w:rsidR="005E697E" w:rsidRPr="00C1603D">
              <w:t>,</w:t>
            </w:r>
            <w:r w:rsidRPr="00C1603D">
              <w:t>817 (20</w:t>
            </w:r>
            <w:r w:rsidR="005E697E" w:rsidRPr="00C1603D">
              <w:t>,</w:t>
            </w:r>
            <w:r w:rsidRPr="00C1603D">
              <w:t>522</w:t>
            </w:r>
            <w:r w:rsidR="005E697E" w:rsidRPr="00C1603D">
              <w:t xml:space="preserve"> to</w:t>
            </w:r>
            <w:r w:rsidRPr="00C1603D">
              <w:t xml:space="preserve"> 21</w:t>
            </w:r>
            <w:r w:rsidR="005E697E" w:rsidRPr="00C1603D">
              <w:t>,</w:t>
            </w:r>
            <w:r w:rsidRPr="00C1603D">
              <w:t>131)</w:t>
            </w:r>
          </w:p>
        </w:tc>
        <w:tc>
          <w:tcPr>
            <w:tcW w:w="0" w:type="auto"/>
            <w:shd w:val="clear" w:color="auto" w:fill="auto"/>
          </w:tcPr>
          <w:p w14:paraId="730F19FD" w14:textId="23758C02" w:rsidR="008B4DF8" w:rsidRPr="00C1603D" w:rsidRDefault="008B4DF8" w:rsidP="00DC5499">
            <w:pPr>
              <w:pStyle w:val="72TabletextTablesTableFigureBoxstyles"/>
            </w:pPr>
            <w:r w:rsidRPr="00C1603D">
              <w:t>20.08 (19.6</w:t>
            </w:r>
            <w:r w:rsidR="005E697E" w:rsidRPr="00C1603D">
              <w:t xml:space="preserve"> to</w:t>
            </w:r>
            <w:r w:rsidRPr="00C1603D">
              <w:t xml:space="preserve"> 20.44)</w:t>
            </w:r>
          </w:p>
        </w:tc>
        <w:tc>
          <w:tcPr>
            <w:tcW w:w="0" w:type="auto"/>
            <w:shd w:val="clear" w:color="auto" w:fill="auto"/>
          </w:tcPr>
          <w:p w14:paraId="2564E20B" w14:textId="6B53C990" w:rsidR="008B4DF8" w:rsidRPr="00C1603D" w:rsidRDefault="008B4DF8" w:rsidP="00DC5499">
            <w:pPr>
              <w:pStyle w:val="72TabletextTablesTableFigureBoxstyles"/>
            </w:pPr>
            <w:r w:rsidRPr="00C1603D">
              <w:t>24</w:t>
            </w:r>
            <w:r w:rsidR="005E697E" w:rsidRPr="00C1603D">
              <w:t>,</w:t>
            </w:r>
            <w:r w:rsidRPr="00C1603D">
              <w:t>844 (4934</w:t>
            </w:r>
            <w:r w:rsidR="005E697E" w:rsidRPr="00C1603D">
              <w:t xml:space="preserve"> to</w:t>
            </w:r>
            <w:r w:rsidRPr="00C1603D">
              <w:t xml:space="preserve"> 60</w:t>
            </w:r>
            <w:r w:rsidR="005E697E" w:rsidRPr="00C1603D">
              <w:t>,</w:t>
            </w:r>
            <w:r w:rsidRPr="00C1603D">
              <w:t>463)</w:t>
            </w:r>
          </w:p>
        </w:tc>
      </w:tr>
      <w:tr w:rsidR="008B4DF8" w:rsidRPr="00C1603D" w14:paraId="6B6E6B60" w14:textId="77777777" w:rsidTr="00DC5499">
        <w:trPr>
          <w:cantSplit/>
        </w:trPr>
        <w:tc>
          <w:tcPr>
            <w:tcW w:w="0" w:type="auto"/>
            <w:shd w:val="clear" w:color="auto" w:fill="auto"/>
          </w:tcPr>
          <w:p w14:paraId="0766A5F1" w14:textId="761EB00E" w:rsidR="008B4DF8" w:rsidRPr="00C1603D" w:rsidRDefault="008B4DF8" w:rsidP="00DC5499">
            <w:pPr>
              <w:pStyle w:val="72TabletextTablesTableFigureBoxstyles"/>
            </w:pPr>
            <w:r w:rsidRPr="00C1603D">
              <w:t>2</w:t>
            </w:r>
          </w:p>
        </w:tc>
        <w:tc>
          <w:tcPr>
            <w:tcW w:w="0" w:type="auto"/>
            <w:shd w:val="clear" w:color="auto" w:fill="auto"/>
          </w:tcPr>
          <w:p w14:paraId="07F8BA63" w14:textId="77777777" w:rsidR="008B4DF8" w:rsidRPr="00C1603D" w:rsidRDefault="008B4DF8" w:rsidP="00DC5499">
            <w:pPr>
              <w:pStyle w:val="72TabletextTablesTableFigureBoxstyles"/>
            </w:pPr>
            <w:r w:rsidRPr="00C1603D">
              <w:t>0.758</w:t>
            </w:r>
          </w:p>
        </w:tc>
        <w:tc>
          <w:tcPr>
            <w:tcW w:w="0" w:type="auto"/>
            <w:shd w:val="clear" w:color="auto" w:fill="auto"/>
          </w:tcPr>
          <w:p w14:paraId="6C132567" w14:textId="77777777" w:rsidR="008B4DF8" w:rsidRPr="00C1603D" w:rsidRDefault="008B4DF8" w:rsidP="00DC5499">
            <w:pPr>
              <w:pStyle w:val="72TabletextTablesTableFigureBoxstyles"/>
            </w:pPr>
            <w:r w:rsidRPr="00C1603D">
              <w:t>0.628</w:t>
            </w:r>
          </w:p>
        </w:tc>
        <w:tc>
          <w:tcPr>
            <w:tcW w:w="0" w:type="auto"/>
            <w:shd w:val="clear" w:color="auto" w:fill="auto"/>
          </w:tcPr>
          <w:p w14:paraId="358EDE86" w14:textId="77777777" w:rsidR="008B4DF8" w:rsidRPr="00C1603D" w:rsidRDefault="008B4DF8" w:rsidP="00DC5499">
            <w:pPr>
              <w:pStyle w:val="72TabletextTablesTableFigureBoxstyles"/>
            </w:pPr>
            <w:r w:rsidRPr="00C1603D">
              <w:t>IgA EMA plus HLA</w:t>
            </w:r>
          </w:p>
        </w:tc>
        <w:tc>
          <w:tcPr>
            <w:tcW w:w="0" w:type="auto"/>
            <w:shd w:val="clear" w:color="auto" w:fill="auto"/>
          </w:tcPr>
          <w:p w14:paraId="44FB8921" w14:textId="0B36C0D9" w:rsidR="008B4DF8" w:rsidRPr="00C1603D" w:rsidRDefault="008B4DF8" w:rsidP="00DC5499">
            <w:pPr>
              <w:pStyle w:val="72TabletextTablesTableFigureBoxstyles"/>
            </w:pPr>
            <w:r w:rsidRPr="00C1603D">
              <w:t>20</w:t>
            </w:r>
            <w:r w:rsidR="00B34847" w:rsidRPr="00C1603D">
              <w:t>,</w:t>
            </w:r>
            <w:r w:rsidRPr="00C1603D">
              <w:t>714 (20</w:t>
            </w:r>
            <w:r w:rsidR="00B34847" w:rsidRPr="00C1603D">
              <w:t>,</w:t>
            </w:r>
            <w:r w:rsidRPr="00C1603D">
              <w:t>419</w:t>
            </w:r>
            <w:r w:rsidR="005E697E" w:rsidRPr="00C1603D">
              <w:t xml:space="preserve"> to</w:t>
            </w:r>
            <w:r w:rsidRPr="00C1603D">
              <w:t xml:space="preserve"> 21</w:t>
            </w:r>
            <w:r w:rsidR="00B34847" w:rsidRPr="00C1603D">
              <w:t>,</w:t>
            </w:r>
            <w:r w:rsidRPr="00C1603D">
              <w:t>030)</w:t>
            </w:r>
          </w:p>
        </w:tc>
        <w:tc>
          <w:tcPr>
            <w:tcW w:w="0" w:type="auto"/>
            <w:shd w:val="clear" w:color="auto" w:fill="auto"/>
          </w:tcPr>
          <w:p w14:paraId="00C897A6" w14:textId="0ED17DCC" w:rsidR="008B4DF8" w:rsidRPr="00C1603D" w:rsidRDefault="008B4DF8" w:rsidP="00DC5499">
            <w:pPr>
              <w:pStyle w:val="72TabletextTablesTableFigureBoxstyles"/>
            </w:pPr>
            <w:r w:rsidRPr="00C1603D">
              <w:t>20.08 (19.6</w:t>
            </w:r>
            <w:r w:rsidR="005E697E" w:rsidRPr="00C1603D">
              <w:t xml:space="preserve"> to</w:t>
            </w:r>
            <w:r w:rsidRPr="00C1603D">
              <w:t xml:space="preserve"> 20.44)</w:t>
            </w:r>
          </w:p>
        </w:tc>
        <w:tc>
          <w:tcPr>
            <w:tcW w:w="0" w:type="auto"/>
            <w:shd w:val="clear" w:color="auto" w:fill="auto"/>
          </w:tcPr>
          <w:p w14:paraId="2A6E7AEC" w14:textId="29482F3F" w:rsidR="008B4DF8" w:rsidRPr="00C1603D" w:rsidRDefault="008B4DF8" w:rsidP="00DC5499">
            <w:pPr>
              <w:pStyle w:val="72TabletextTablesTableFigureBoxstyles"/>
            </w:pPr>
            <w:r w:rsidRPr="00C1603D">
              <w:t>24</w:t>
            </w:r>
            <w:r w:rsidR="00B34847" w:rsidRPr="00C1603D">
              <w:t>,</w:t>
            </w:r>
            <w:r w:rsidRPr="00C1603D">
              <w:t>981 (5033</w:t>
            </w:r>
            <w:r w:rsidR="005E697E" w:rsidRPr="00C1603D">
              <w:t xml:space="preserve"> to</w:t>
            </w:r>
            <w:r w:rsidRPr="00C1603D">
              <w:t xml:space="preserve"> 60</w:t>
            </w:r>
            <w:r w:rsidR="00B34847" w:rsidRPr="00C1603D">
              <w:t>,</w:t>
            </w:r>
            <w:r w:rsidRPr="00C1603D">
              <w:t>663)</w:t>
            </w:r>
          </w:p>
        </w:tc>
      </w:tr>
      <w:tr w:rsidR="008B4DF8" w:rsidRPr="00C1603D" w14:paraId="1FCBE73C" w14:textId="77777777" w:rsidTr="00DC5499">
        <w:trPr>
          <w:cantSplit/>
        </w:trPr>
        <w:tc>
          <w:tcPr>
            <w:tcW w:w="0" w:type="auto"/>
            <w:shd w:val="clear" w:color="auto" w:fill="auto"/>
          </w:tcPr>
          <w:p w14:paraId="061A3DB3" w14:textId="1254F510" w:rsidR="008B4DF8" w:rsidRPr="00C1603D" w:rsidRDefault="008B4DF8" w:rsidP="00DC5499">
            <w:pPr>
              <w:pStyle w:val="72TabletextTablesTableFigureBoxstyles"/>
            </w:pPr>
            <w:r w:rsidRPr="00C1603D">
              <w:t>5</w:t>
            </w:r>
          </w:p>
        </w:tc>
        <w:tc>
          <w:tcPr>
            <w:tcW w:w="0" w:type="auto"/>
            <w:shd w:val="clear" w:color="auto" w:fill="auto"/>
          </w:tcPr>
          <w:p w14:paraId="37BDA29E" w14:textId="77777777" w:rsidR="008B4DF8" w:rsidRPr="00C1603D" w:rsidRDefault="008B4DF8" w:rsidP="00DC5499">
            <w:pPr>
              <w:pStyle w:val="72TabletextTablesTableFigureBoxstyles"/>
            </w:pPr>
            <w:r w:rsidRPr="00C1603D">
              <w:t>0.387</w:t>
            </w:r>
          </w:p>
        </w:tc>
        <w:tc>
          <w:tcPr>
            <w:tcW w:w="0" w:type="auto"/>
            <w:shd w:val="clear" w:color="auto" w:fill="auto"/>
          </w:tcPr>
          <w:p w14:paraId="01144FC9" w14:textId="77777777" w:rsidR="008B4DF8" w:rsidRPr="00C1603D" w:rsidRDefault="008B4DF8" w:rsidP="00DC5499">
            <w:pPr>
              <w:pStyle w:val="72TabletextTablesTableFigureBoxstyles"/>
            </w:pPr>
            <w:r w:rsidRPr="00C1603D">
              <w:t>0.926</w:t>
            </w:r>
          </w:p>
        </w:tc>
        <w:tc>
          <w:tcPr>
            <w:tcW w:w="0" w:type="auto"/>
            <w:shd w:val="clear" w:color="auto" w:fill="auto"/>
          </w:tcPr>
          <w:p w14:paraId="034570F8" w14:textId="77777777" w:rsidR="008B4DF8" w:rsidRPr="00C1603D" w:rsidRDefault="008B4DF8" w:rsidP="00DC5499">
            <w:pPr>
              <w:pStyle w:val="72TabletextTablesTableFigureBoxstyles"/>
            </w:pPr>
            <w:r w:rsidRPr="00C1603D">
              <w:t>IgA EMA plus HLA</w:t>
            </w:r>
          </w:p>
        </w:tc>
        <w:tc>
          <w:tcPr>
            <w:tcW w:w="0" w:type="auto"/>
            <w:shd w:val="clear" w:color="auto" w:fill="auto"/>
          </w:tcPr>
          <w:p w14:paraId="1A0B8E3F" w14:textId="37B610C3" w:rsidR="008B4DF8" w:rsidRPr="00C1603D" w:rsidRDefault="008B4DF8" w:rsidP="00DC5499">
            <w:pPr>
              <w:pStyle w:val="72TabletextTablesTableFigureBoxstyles"/>
            </w:pPr>
            <w:r w:rsidRPr="00C1603D">
              <w:t>20</w:t>
            </w:r>
            <w:r w:rsidR="00B34847" w:rsidRPr="00C1603D">
              <w:t>,</w:t>
            </w:r>
            <w:r w:rsidRPr="00C1603D">
              <w:t>598 (20</w:t>
            </w:r>
            <w:r w:rsidR="00B34847" w:rsidRPr="00C1603D">
              <w:t>,</w:t>
            </w:r>
            <w:r w:rsidRPr="00C1603D">
              <w:t>319</w:t>
            </w:r>
            <w:r w:rsidR="005E697E" w:rsidRPr="00C1603D">
              <w:t xml:space="preserve"> to</w:t>
            </w:r>
            <w:r w:rsidRPr="00C1603D">
              <w:t xml:space="preserve"> 20</w:t>
            </w:r>
            <w:r w:rsidR="00B34847" w:rsidRPr="00C1603D">
              <w:t>,</w:t>
            </w:r>
            <w:r w:rsidRPr="00C1603D">
              <w:t>904)</w:t>
            </w:r>
          </w:p>
        </w:tc>
        <w:tc>
          <w:tcPr>
            <w:tcW w:w="0" w:type="auto"/>
            <w:shd w:val="clear" w:color="auto" w:fill="auto"/>
          </w:tcPr>
          <w:p w14:paraId="485CD60C" w14:textId="64E14844" w:rsidR="008B4DF8" w:rsidRPr="00C1603D" w:rsidRDefault="008B4DF8" w:rsidP="00DC5499">
            <w:pPr>
              <w:pStyle w:val="72TabletextTablesTableFigureBoxstyles"/>
            </w:pPr>
            <w:r w:rsidRPr="00C1603D">
              <w:t>20.09 (19.61</w:t>
            </w:r>
            <w:r w:rsidR="005E697E" w:rsidRPr="00C1603D">
              <w:t xml:space="preserve"> to</w:t>
            </w:r>
            <w:r w:rsidRPr="00C1603D">
              <w:t xml:space="preserve"> 20.44)</w:t>
            </w:r>
          </w:p>
        </w:tc>
        <w:tc>
          <w:tcPr>
            <w:tcW w:w="0" w:type="auto"/>
            <w:shd w:val="clear" w:color="auto" w:fill="auto"/>
          </w:tcPr>
          <w:p w14:paraId="2C8C5CAB" w14:textId="4C743D33" w:rsidR="008B4DF8" w:rsidRPr="00C1603D" w:rsidRDefault="008B4DF8" w:rsidP="00DC5499">
            <w:pPr>
              <w:pStyle w:val="72TabletextTablesTableFigureBoxstyles"/>
            </w:pPr>
            <w:r w:rsidRPr="00C1603D">
              <w:t>25</w:t>
            </w:r>
            <w:r w:rsidR="00B34847" w:rsidRPr="00C1603D">
              <w:t>,</w:t>
            </w:r>
            <w:r w:rsidRPr="00C1603D">
              <w:t>244 (5118</w:t>
            </w:r>
            <w:r w:rsidR="005E697E" w:rsidRPr="00C1603D">
              <w:t xml:space="preserve"> to</w:t>
            </w:r>
            <w:r w:rsidRPr="00C1603D">
              <w:t xml:space="preserve"> 61</w:t>
            </w:r>
            <w:r w:rsidR="00B34847" w:rsidRPr="00C1603D">
              <w:t>,</w:t>
            </w:r>
            <w:r w:rsidRPr="00C1603D">
              <w:t>069)</w:t>
            </w:r>
          </w:p>
        </w:tc>
      </w:tr>
      <w:tr w:rsidR="008B4DF8" w:rsidRPr="00C1603D" w14:paraId="62CBBC82" w14:textId="77777777" w:rsidTr="00DC5499">
        <w:trPr>
          <w:cantSplit/>
        </w:trPr>
        <w:tc>
          <w:tcPr>
            <w:tcW w:w="0" w:type="auto"/>
            <w:shd w:val="clear" w:color="auto" w:fill="auto"/>
          </w:tcPr>
          <w:p w14:paraId="6C72BDD7" w14:textId="604A108C" w:rsidR="008B4DF8" w:rsidRPr="00C1603D" w:rsidRDefault="008B4DF8" w:rsidP="00DC5499">
            <w:pPr>
              <w:pStyle w:val="72TabletextTablesTableFigureBoxstyles"/>
            </w:pPr>
            <w:r w:rsidRPr="00C1603D">
              <w:t>10</w:t>
            </w:r>
          </w:p>
        </w:tc>
        <w:tc>
          <w:tcPr>
            <w:tcW w:w="0" w:type="auto"/>
            <w:shd w:val="clear" w:color="auto" w:fill="auto"/>
          </w:tcPr>
          <w:p w14:paraId="08E9C12B" w14:textId="77777777" w:rsidR="008B4DF8" w:rsidRPr="00C1603D" w:rsidRDefault="008B4DF8" w:rsidP="00DC5499">
            <w:pPr>
              <w:pStyle w:val="72TabletextTablesTableFigureBoxstyles"/>
            </w:pPr>
            <w:r w:rsidRPr="00C1603D">
              <w:t>0.107</w:t>
            </w:r>
          </w:p>
        </w:tc>
        <w:tc>
          <w:tcPr>
            <w:tcW w:w="0" w:type="auto"/>
            <w:shd w:val="clear" w:color="auto" w:fill="auto"/>
          </w:tcPr>
          <w:p w14:paraId="0AA43D01" w14:textId="77777777" w:rsidR="008B4DF8" w:rsidRPr="00C1603D" w:rsidRDefault="008B4DF8" w:rsidP="00DC5499">
            <w:pPr>
              <w:pStyle w:val="72TabletextTablesTableFigureBoxstyles"/>
            </w:pPr>
            <w:r w:rsidRPr="00C1603D">
              <w:t>0.99</w:t>
            </w:r>
          </w:p>
        </w:tc>
        <w:tc>
          <w:tcPr>
            <w:tcW w:w="0" w:type="auto"/>
            <w:shd w:val="clear" w:color="auto" w:fill="auto"/>
          </w:tcPr>
          <w:p w14:paraId="59C5138C" w14:textId="77777777" w:rsidR="008B4DF8" w:rsidRPr="00C1603D" w:rsidRDefault="008B4DF8" w:rsidP="00DC5499">
            <w:pPr>
              <w:pStyle w:val="72TabletextTablesTableFigureBoxstyles"/>
            </w:pPr>
            <w:r w:rsidRPr="00C1603D">
              <w:t>IgA EMA plus HLA</w:t>
            </w:r>
          </w:p>
        </w:tc>
        <w:tc>
          <w:tcPr>
            <w:tcW w:w="0" w:type="auto"/>
            <w:shd w:val="clear" w:color="auto" w:fill="auto"/>
          </w:tcPr>
          <w:p w14:paraId="788BC6EF" w14:textId="74C2CED3" w:rsidR="008B4DF8" w:rsidRPr="00C1603D" w:rsidRDefault="008B4DF8" w:rsidP="00DC5499">
            <w:pPr>
              <w:pStyle w:val="72TabletextTablesTableFigureBoxstyles"/>
            </w:pPr>
            <w:r w:rsidRPr="00C1603D">
              <w:t>20</w:t>
            </w:r>
            <w:r w:rsidR="00B34847" w:rsidRPr="00C1603D">
              <w:t>,</w:t>
            </w:r>
            <w:r w:rsidRPr="00C1603D">
              <w:t>629 (20</w:t>
            </w:r>
            <w:r w:rsidR="00B34847" w:rsidRPr="00C1603D">
              <w:t>,</w:t>
            </w:r>
            <w:r w:rsidRPr="00C1603D">
              <w:t>358</w:t>
            </w:r>
            <w:r w:rsidR="005E697E" w:rsidRPr="00C1603D">
              <w:t xml:space="preserve"> to</w:t>
            </w:r>
            <w:r w:rsidRPr="00C1603D">
              <w:t xml:space="preserve"> 20</w:t>
            </w:r>
            <w:r w:rsidR="00B34847" w:rsidRPr="00C1603D">
              <w:t>,</w:t>
            </w:r>
            <w:r w:rsidRPr="00C1603D">
              <w:t>927)</w:t>
            </w:r>
          </w:p>
        </w:tc>
        <w:tc>
          <w:tcPr>
            <w:tcW w:w="0" w:type="auto"/>
            <w:shd w:val="clear" w:color="auto" w:fill="auto"/>
          </w:tcPr>
          <w:p w14:paraId="255BC04D" w14:textId="15483EB4" w:rsidR="008B4DF8" w:rsidRPr="00C1603D" w:rsidRDefault="008B4DF8" w:rsidP="00DC5499">
            <w:pPr>
              <w:pStyle w:val="72TabletextTablesTableFigureBoxstyles"/>
            </w:pPr>
            <w:r w:rsidRPr="00C1603D">
              <w:t>20.09 (19.61</w:t>
            </w:r>
            <w:r w:rsidR="005E697E" w:rsidRPr="00C1603D">
              <w:t xml:space="preserve"> to</w:t>
            </w:r>
            <w:r w:rsidRPr="00C1603D">
              <w:t xml:space="preserve"> 20.45)</w:t>
            </w:r>
          </w:p>
        </w:tc>
        <w:tc>
          <w:tcPr>
            <w:tcW w:w="0" w:type="auto"/>
            <w:shd w:val="clear" w:color="auto" w:fill="auto"/>
          </w:tcPr>
          <w:p w14:paraId="4BED1F04" w14:textId="495F98A3" w:rsidR="008B4DF8" w:rsidRPr="00C1603D" w:rsidRDefault="008B4DF8" w:rsidP="00DC5499">
            <w:pPr>
              <w:pStyle w:val="72TabletextTablesTableFigureBoxstyles"/>
            </w:pPr>
            <w:r w:rsidRPr="00C1603D">
              <w:t>25</w:t>
            </w:r>
            <w:r w:rsidR="00B34847" w:rsidRPr="00C1603D">
              <w:t>,</w:t>
            </w:r>
            <w:r w:rsidRPr="00C1603D">
              <w:t>259 (5033</w:t>
            </w:r>
            <w:r w:rsidR="005E697E" w:rsidRPr="00C1603D">
              <w:t xml:space="preserve"> to</w:t>
            </w:r>
            <w:r w:rsidRPr="00C1603D">
              <w:t xml:space="preserve"> 61</w:t>
            </w:r>
            <w:r w:rsidR="00B34847" w:rsidRPr="00C1603D">
              <w:t>,</w:t>
            </w:r>
            <w:r w:rsidRPr="00C1603D">
              <w:t>175)</w:t>
            </w:r>
          </w:p>
        </w:tc>
      </w:tr>
      <w:tr w:rsidR="008B4DF8" w:rsidRPr="00C1603D" w14:paraId="4D2932D0" w14:textId="77777777" w:rsidTr="00DC5499">
        <w:trPr>
          <w:cantSplit/>
        </w:trPr>
        <w:tc>
          <w:tcPr>
            <w:tcW w:w="0" w:type="auto"/>
            <w:shd w:val="clear" w:color="auto" w:fill="auto"/>
          </w:tcPr>
          <w:p w14:paraId="3D0BC22F" w14:textId="1469AB5F" w:rsidR="008B4DF8" w:rsidRPr="00C1603D" w:rsidRDefault="008B4DF8" w:rsidP="00DC5499">
            <w:pPr>
              <w:pStyle w:val="72TabletextTablesTableFigureBoxstyles"/>
            </w:pPr>
            <w:r w:rsidRPr="00C1603D">
              <w:t>20</w:t>
            </w:r>
          </w:p>
        </w:tc>
        <w:tc>
          <w:tcPr>
            <w:tcW w:w="0" w:type="auto"/>
            <w:shd w:val="clear" w:color="auto" w:fill="auto"/>
          </w:tcPr>
          <w:p w14:paraId="072561B0" w14:textId="77777777" w:rsidR="008B4DF8" w:rsidRPr="00C1603D" w:rsidRDefault="008B4DF8" w:rsidP="00DC5499">
            <w:pPr>
              <w:pStyle w:val="72TabletextTablesTableFigureBoxstyles"/>
            </w:pPr>
            <w:r w:rsidRPr="00C1603D">
              <w:t>0.002</w:t>
            </w:r>
          </w:p>
        </w:tc>
        <w:tc>
          <w:tcPr>
            <w:tcW w:w="0" w:type="auto"/>
            <w:shd w:val="clear" w:color="auto" w:fill="auto"/>
          </w:tcPr>
          <w:p w14:paraId="402163E5" w14:textId="77777777" w:rsidR="008B4DF8" w:rsidRPr="00C1603D" w:rsidRDefault="008B4DF8" w:rsidP="00DC5499">
            <w:pPr>
              <w:pStyle w:val="72TabletextTablesTableFigureBoxstyles"/>
            </w:pPr>
            <w:r w:rsidRPr="00C1603D">
              <w:t>1</w:t>
            </w:r>
          </w:p>
        </w:tc>
        <w:tc>
          <w:tcPr>
            <w:tcW w:w="0" w:type="auto"/>
            <w:shd w:val="clear" w:color="auto" w:fill="auto"/>
          </w:tcPr>
          <w:p w14:paraId="5C02228E" w14:textId="77777777" w:rsidR="008B4DF8" w:rsidRPr="00C1603D" w:rsidRDefault="008B4DF8" w:rsidP="00DC5499">
            <w:pPr>
              <w:pStyle w:val="72TabletextTablesTableFigureBoxstyles"/>
            </w:pPr>
            <w:r w:rsidRPr="00C1603D">
              <w:t>IgA EMA plus HLA</w:t>
            </w:r>
          </w:p>
        </w:tc>
        <w:tc>
          <w:tcPr>
            <w:tcW w:w="0" w:type="auto"/>
            <w:shd w:val="clear" w:color="auto" w:fill="auto"/>
          </w:tcPr>
          <w:p w14:paraId="58F47DAC" w14:textId="398ED124" w:rsidR="008B4DF8" w:rsidRPr="00C1603D" w:rsidRDefault="008B4DF8" w:rsidP="00DC5499">
            <w:pPr>
              <w:pStyle w:val="72TabletextTablesTableFigureBoxstyles"/>
            </w:pPr>
            <w:r w:rsidRPr="00C1603D">
              <w:t>20</w:t>
            </w:r>
            <w:r w:rsidR="00B34847" w:rsidRPr="00C1603D">
              <w:t>,</w:t>
            </w:r>
            <w:r w:rsidRPr="00C1603D">
              <w:t>683 (20</w:t>
            </w:r>
            <w:r w:rsidR="00B34847" w:rsidRPr="00C1603D">
              <w:t>,</w:t>
            </w:r>
            <w:r w:rsidRPr="00C1603D">
              <w:t>407</w:t>
            </w:r>
            <w:r w:rsidR="005E697E" w:rsidRPr="00C1603D">
              <w:t xml:space="preserve"> to</w:t>
            </w:r>
            <w:r w:rsidRPr="00C1603D">
              <w:t xml:space="preserve"> 20</w:t>
            </w:r>
            <w:r w:rsidR="00B34847" w:rsidRPr="00C1603D">
              <w:t>,</w:t>
            </w:r>
            <w:r w:rsidRPr="00C1603D">
              <w:t>993)</w:t>
            </w:r>
          </w:p>
        </w:tc>
        <w:tc>
          <w:tcPr>
            <w:tcW w:w="0" w:type="auto"/>
            <w:shd w:val="clear" w:color="auto" w:fill="auto"/>
          </w:tcPr>
          <w:p w14:paraId="36861264" w14:textId="14606AE8" w:rsidR="008B4DF8" w:rsidRPr="00C1603D" w:rsidRDefault="008B4DF8" w:rsidP="00DC5499">
            <w:pPr>
              <w:pStyle w:val="72TabletextTablesTableFigureBoxstyles"/>
            </w:pPr>
            <w:r w:rsidRPr="00C1603D">
              <w:t>20.09 (19.61</w:t>
            </w:r>
            <w:r w:rsidR="005E697E" w:rsidRPr="00C1603D">
              <w:t xml:space="preserve"> to</w:t>
            </w:r>
            <w:r w:rsidRPr="00C1603D">
              <w:t xml:space="preserve"> 20.44)</w:t>
            </w:r>
          </w:p>
        </w:tc>
        <w:tc>
          <w:tcPr>
            <w:tcW w:w="0" w:type="auto"/>
            <w:shd w:val="clear" w:color="auto" w:fill="auto"/>
          </w:tcPr>
          <w:p w14:paraId="507C572D" w14:textId="33BEE736" w:rsidR="008B4DF8" w:rsidRPr="00C1603D" w:rsidRDefault="008B4DF8" w:rsidP="00DC5499">
            <w:pPr>
              <w:pStyle w:val="72TabletextTablesTableFigureBoxstyles"/>
            </w:pPr>
            <w:r w:rsidRPr="00C1603D">
              <w:t>25</w:t>
            </w:r>
            <w:r w:rsidR="00B34847" w:rsidRPr="00C1603D">
              <w:t>,</w:t>
            </w:r>
            <w:r w:rsidRPr="00C1603D">
              <w:t>210 (4927</w:t>
            </w:r>
            <w:r w:rsidR="005E697E" w:rsidRPr="00C1603D">
              <w:t xml:space="preserve"> to</w:t>
            </w:r>
            <w:r w:rsidRPr="00C1603D">
              <w:t xml:space="preserve"> 61</w:t>
            </w:r>
            <w:r w:rsidR="00B34847" w:rsidRPr="00C1603D">
              <w:t>,</w:t>
            </w:r>
            <w:r w:rsidRPr="00C1603D">
              <w:t>189)</w:t>
            </w:r>
          </w:p>
        </w:tc>
      </w:tr>
      <w:tr w:rsidR="008B4DF8" w:rsidRPr="00C1603D" w14:paraId="5A03F89F" w14:textId="77777777" w:rsidTr="00DC5499">
        <w:trPr>
          <w:cantSplit/>
        </w:trPr>
        <w:tc>
          <w:tcPr>
            <w:tcW w:w="0" w:type="auto"/>
            <w:shd w:val="clear" w:color="auto" w:fill="auto"/>
          </w:tcPr>
          <w:p w14:paraId="408F2AC2" w14:textId="34E00D31" w:rsidR="008B4DF8" w:rsidRPr="00C1603D" w:rsidRDefault="008B4DF8" w:rsidP="00DC5499">
            <w:pPr>
              <w:pStyle w:val="72TabletextTablesTableFigureBoxstyles"/>
            </w:pPr>
            <w:r w:rsidRPr="00C1603D">
              <w:lastRenderedPageBreak/>
              <w:t>1</w:t>
            </w:r>
          </w:p>
        </w:tc>
        <w:tc>
          <w:tcPr>
            <w:tcW w:w="0" w:type="auto"/>
            <w:shd w:val="clear" w:color="auto" w:fill="auto"/>
          </w:tcPr>
          <w:p w14:paraId="4F681C1B" w14:textId="77777777" w:rsidR="008B4DF8" w:rsidRPr="00C1603D" w:rsidRDefault="008B4DF8" w:rsidP="00DC5499">
            <w:pPr>
              <w:pStyle w:val="72TabletextTablesTableFigureBoxstyles"/>
            </w:pPr>
            <w:r w:rsidRPr="00C1603D">
              <w:t>1</w:t>
            </w:r>
          </w:p>
        </w:tc>
        <w:tc>
          <w:tcPr>
            <w:tcW w:w="0" w:type="auto"/>
            <w:shd w:val="clear" w:color="auto" w:fill="auto"/>
          </w:tcPr>
          <w:p w14:paraId="680B2A86" w14:textId="77777777" w:rsidR="008B4DF8" w:rsidRPr="00C1603D" w:rsidRDefault="008B4DF8" w:rsidP="00DC5499">
            <w:pPr>
              <w:pStyle w:val="72TabletextTablesTableFigureBoxstyles"/>
            </w:pPr>
            <w:r w:rsidRPr="00C1603D">
              <w:t>0</w:t>
            </w:r>
          </w:p>
        </w:tc>
        <w:tc>
          <w:tcPr>
            <w:tcW w:w="0" w:type="auto"/>
            <w:shd w:val="clear" w:color="auto" w:fill="auto"/>
          </w:tcPr>
          <w:p w14:paraId="0F6B340B" w14:textId="77777777" w:rsidR="008B4DF8" w:rsidRPr="00C1603D" w:rsidRDefault="008B4DF8" w:rsidP="00DC5499">
            <w:pPr>
              <w:pStyle w:val="72TabletextTablesTableFigureBoxstyles"/>
            </w:pPr>
            <w:r w:rsidRPr="00C1603D">
              <w:t>HLA plus IgA tTG</w:t>
            </w:r>
          </w:p>
        </w:tc>
        <w:tc>
          <w:tcPr>
            <w:tcW w:w="0" w:type="auto"/>
            <w:shd w:val="clear" w:color="auto" w:fill="auto"/>
          </w:tcPr>
          <w:p w14:paraId="1EB849EA" w14:textId="67B2F6A0" w:rsidR="008B4DF8" w:rsidRPr="00C1603D" w:rsidRDefault="008B4DF8" w:rsidP="00DC5499">
            <w:pPr>
              <w:pStyle w:val="72TabletextTablesTableFigureBoxstyles"/>
            </w:pPr>
            <w:r w:rsidRPr="00C1603D">
              <w:t>21</w:t>
            </w:r>
            <w:r w:rsidR="00B34847" w:rsidRPr="00C1603D">
              <w:t>,</w:t>
            </w:r>
            <w:r w:rsidRPr="00C1603D">
              <w:t>139 (20</w:t>
            </w:r>
            <w:r w:rsidR="00B34847" w:rsidRPr="00C1603D">
              <w:t>,</w:t>
            </w:r>
            <w:r w:rsidRPr="00C1603D">
              <w:t>856</w:t>
            </w:r>
            <w:r w:rsidR="005E697E" w:rsidRPr="00C1603D">
              <w:t xml:space="preserve"> to</w:t>
            </w:r>
            <w:r w:rsidRPr="00C1603D">
              <w:t xml:space="preserve"> 21</w:t>
            </w:r>
            <w:r w:rsidR="00B34847" w:rsidRPr="00C1603D">
              <w:t>,</w:t>
            </w:r>
            <w:r w:rsidRPr="00C1603D">
              <w:t>442)</w:t>
            </w:r>
          </w:p>
        </w:tc>
        <w:tc>
          <w:tcPr>
            <w:tcW w:w="0" w:type="auto"/>
            <w:shd w:val="clear" w:color="auto" w:fill="auto"/>
          </w:tcPr>
          <w:p w14:paraId="1EF8472A" w14:textId="7E42A4BF" w:rsidR="008B4DF8" w:rsidRPr="00C1603D" w:rsidRDefault="008B4DF8" w:rsidP="00DC5499">
            <w:pPr>
              <w:pStyle w:val="72TabletextTablesTableFigureBoxstyles"/>
            </w:pPr>
            <w:r w:rsidRPr="00C1603D">
              <w:t>20.11 (19.62</w:t>
            </w:r>
            <w:r w:rsidR="005E697E" w:rsidRPr="00C1603D">
              <w:t xml:space="preserve"> to</w:t>
            </w:r>
            <w:r w:rsidRPr="00C1603D">
              <w:t xml:space="preserve"> 20.46)</w:t>
            </w:r>
          </w:p>
        </w:tc>
        <w:tc>
          <w:tcPr>
            <w:tcW w:w="0" w:type="auto"/>
            <w:shd w:val="clear" w:color="auto" w:fill="auto"/>
          </w:tcPr>
          <w:p w14:paraId="35CECFBB" w14:textId="04841CB7" w:rsidR="008B4DF8" w:rsidRPr="00C1603D" w:rsidRDefault="008B4DF8" w:rsidP="00DC5499">
            <w:pPr>
              <w:pStyle w:val="72TabletextTablesTableFigureBoxstyles"/>
            </w:pPr>
            <w:r w:rsidRPr="00C1603D">
              <w:t>25</w:t>
            </w:r>
            <w:r w:rsidR="00B34847" w:rsidRPr="00C1603D">
              <w:t>,</w:t>
            </w:r>
            <w:r w:rsidRPr="00C1603D">
              <w:t>114 (4770</w:t>
            </w:r>
            <w:r w:rsidR="005E697E" w:rsidRPr="00C1603D">
              <w:t xml:space="preserve"> to</w:t>
            </w:r>
            <w:r w:rsidRPr="00C1603D">
              <w:t xml:space="preserve"> 61</w:t>
            </w:r>
            <w:r w:rsidR="00B34847" w:rsidRPr="00C1603D">
              <w:t>,</w:t>
            </w:r>
            <w:r w:rsidRPr="00C1603D">
              <w:t>277)</w:t>
            </w:r>
          </w:p>
        </w:tc>
      </w:tr>
      <w:tr w:rsidR="008B4DF8" w:rsidRPr="00C1603D" w14:paraId="44A25B82" w14:textId="77777777" w:rsidTr="00DC5499">
        <w:trPr>
          <w:cantSplit/>
        </w:trPr>
        <w:tc>
          <w:tcPr>
            <w:tcW w:w="0" w:type="auto"/>
            <w:shd w:val="clear" w:color="auto" w:fill="auto"/>
          </w:tcPr>
          <w:p w14:paraId="6565D4BC" w14:textId="1266D4B0" w:rsidR="008B4DF8" w:rsidRPr="00C1603D" w:rsidRDefault="008B4DF8" w:rsidP="00DC5499">
            <w:pPr>
              <w:pStyle w:val="72TabletextTablesTableFigureBoxstyles"/>
            </w:pPr>
            <w:r w:rsidRPr="00C1603D">
              <w:t>1.50</w:t>
            </w:r>
          </w:p>
        </w:tc>
        <w:tc>
          <w:tcPr>
            <w:tcW w:w="0" w:type="auto"/>
            <w:shd w:val="clear" w:color="auto" w:fill="auto"/>
          </w:tcPr>
          <w:p w14:paraId="0E9F1C7F" w14:textId="77777777" w:rsidR="008B4DF8" w:rsidRPr="00C1603D" w:rsidRDefault="008B4DF8" w:rsidP="00DC5499">
            <w:pPr>
              <w:pStyle w:val="72TabletextTablesTableFigureBoxstyles"/>
            </w:pPr>
            <w:r w:rsidRPr="00C1603D">
              <w:t>0.841</w:t>
            </w:r>
          </w:p>
        </w:tc>
        <w:tc>
          <w:tcPr>
            <w:tcW w:w="0" w:type="auto"/>
            <w:shd w:val="clear" w:color="auto" w:fill="auto"/>
          </w:tcPr>
          <w:p w14:paraId="0914F2B5" w14:textId="77777777" w:rsidR="008B4DF8" w:rsidRPr="00C1603D" w:rsidRDefault="008B4DF8" w:rsidP="00DC5499">
            <w:pPr>
              <w:pStyle w:val="72TabletextTablesTableFigureBoxstyles"/>
            </w:pPr>
            <w:r w:rsidRPr="00C1603D">
              <w:t>0.448</w:t>
            </w:r>
          </w:p>
        </w:tc>
        <w:tc>
          <w:tcPr>
            <w:tcW w:w="0" w:type="auto"/>
            <w:shd w:val="clear" w:color="auto" w:fill="auto"/>
          </w:tcPr>
          <w:p w14:paraId="03AFB092" w14:textId="77777777" w:rsidR="008B4DF8" w:rsidRPr="00C1603D" w:rsidRDefault="008B4DF8" w:rsidP="00DC5499">
            <w:pPr>
              <w:pStyle w:val="72TabletextTablesTableFigureBoxstyles"/>
            </w:pPr>
            <w:r w:rsidRPr="00C1603D">
              <w:t>HLA plus IgA tTG</w:t>
            </w:r>
          </w:p>
        </w:tc>
        <w:tc>
          <w:tcPr>
            <w:tcW w:w="0" w:type="auto"/>
            <w:shd w:val="clear" w:color="auto" w:fill="auto"/>
          </w:tcPr>
          <w:p w14:paraId="061587F7" w14:textId="02087E97" w:rsidR="008B4DF8" w:rsidRPr="00C1603D" w:rsidRDefault="008B4DF8" w:rsidP="00DC5499">
            <w:pPr>
              <w:pStyle w:val="72TabletextTablesTableFigureBoxstyles"/>
            </w:pPr>
            <w:r w:rsidRPr="00C1603D">
              <w:t>20</w:t>
            </w:r>
            <w:r w:rsidR="00B34847" w:rsidRPr="00C1603D">
              <w:t>,</w:t>
            </w:r>
            <w:r w:rsidRPr="00C1603D">
              <w:t>824 (20</w:t>
            </w:r>
            <w:r w:rsidR="00B34847" w:rsidRPr="00C1603D">
              <w:t>,</w:t>
            </w:r>
            <w:r w:rsidRPr="00C1603D">
              <w:t>533</w:t>
            </w:r>
            <w:r w:rsidR="005E697E" w:rsidRPr="00C1603D">
              <w:t xml:space="preserve"> to</w:t>
            </w:r>
            <w:r w:rsidRPr="00C1603D">
              <w:t xml:space="preserve"> 21</w:t>
            </w:r>
            <w:r w:rsidR="00B34847" w:rsidRPr="00C1603D">
              <w:t>,</w:t>
            </w:r>
            <w:r w:rsidRPr="00C1603D">
              <w:t>138)</w:t>
            </w:r>
          </w:p>
        </w:tc>
        <w:tc>
          <w:tcPr>
            <w:tcW w:w="0" w:type="auto"/>
            <w:shd w:val="clear" w:color="auto" w:fill="auto"/>
          </w:tcPr>
          <w:p w14:paraId="030DC7AE" w14:textId="5B4650D4" w:rsidR="008B4DF8" w:rsidRPr="00C1603D" w:rsidRDefault="008B4DF8" w:rsidP="00DC5499">
            <w:pPr>
              <w:pStyle w:val="72TabletextTablesTableFigureBoxstyles"/>
            </w:pPr>
            <w:r w:rsidRPr="00C1603D">
              <w:t>20.08 (19.61</w:t>
            </w:r>
            <w:r w:rsidR="005E697E" w:rsidRPr="00C1603D">
              <w:t xml:space="preserve"> to</w:t>
            </w:r>
            <w:r w:rsidRPr="00C1603D">
              <w:t xml:space="preserve"> 20.44)</w:t>
            </w:r>
          </w:p>
        </w:tc>
        <w:tc>
          <w:tcPr>
            <w:tcW w:w="0" w:type="auto"/>
            <w:shd w:val="clear" w:color="auto" w:fill="auto"/>
          </w:tcPr>
          <w:p w14:paraId="42B2137C" w14:textId="56C7902A" w:rsidR="008B4DF8" w:rsidRPr="00C1603D" w:rsidRDefault="008B4DF8" w:rsidP="00DC5499">
            <w:pPr>
              <w:pStyle w:val="72TabletextTablesTableFigureBoxstyles"/>
            </w:pPr>
            <w:r w:rsidRPr="00C1603D">
              <w:t>24</w:t>
            </w:r>
            <w:r w:rsidR="00B34847" w:rsidRPr="00C1603D">
              <w:t>,</w:t>
            </w:r>
            <w:r w:rsidRPr="00C1603D">
              <w:t>935 (4951</w:t>
            </w:r>
            <w:r w:rsidR="005E697E" w:rsidRPr="00C1603D">
              <w:t xml:space="preserve"> to</w:t>
            </w:r>
            <w:r w:rsidRPr="00C1603D">
              <w:t xml:space="preserve"> 60</w:t>
            </w:r>
            <w:r w:rsidR="00B34847" w:rsidRPr="00C1603D">
              <w:t>,</w:t>
            </w:r>
            <w:r w:rsidRPr="00C1603D">
              <w:t>666)</w:t>
            </w:r>
          </w:p>
        </w:tc>
      </w:tr>
      <w:tr w:rsidR="008B4DF8" w:rsidRPr="00C1603D" w14:paraId="1089026B" w14:textId="77777777" w:rsidTr="00DC5499">
        <w:trPr>
          <w:cantSplit/>
        </w:trPr>
        <w:tc>
          <w:tcPr>
            <w:tcW w:w="0" w:type="auto"/>
            <w:shd w:val="clear" w:color="auto" w:fill="auto"/>
          </w:tcPr>
          <w:p w14:paraId="239D6471" w14:textId="0DFA2D25" w:rsidR="008B4DF8" w:rsidRPr="00C1603D" w:rsidRDefault="008B4DF8" w:rsidP="00DC5499">
            <w:pPr>
              <w:pStyle w:val="72TabletextTablesTableFigureBoxstyles"/>
            </w:pPr>
            <w:r w:rsidRPr="00C1603D">
              <w:t>2</w:t>
            </w:r>
          </w:p>
        </w:tc>
        <w:tc>
          <w:tcPr>
            <w:tcW w:w="0" w:type="auto"/>
            <w:shd w:val="clear" w:color="auto" w:fill="auto"/>
          </w:tcPr>
          <w:p w14:paraId="68231133" w14:textId="77777777" w:rsidR="008B4DF8" w:rsidRPr="00C1603D" w:rsidRDefault="008B4DF8" w:rsidP="00DC5499">
            <w:pPr>
              <w:pStyle w:val="72TabletextTablesTableFigureBoxstyles"/>
            </w:pPr>
            <w:r w:rsidRPr="00C1603D">
              <w:t>0.758</w:t>
            </w:r>
          </w:p>
        </w:tc>
        <w:tc>
          <w:tcPr>
            <w:tcW w:w="0" w:type="auto"/>
            <w:shd w:val="clear" w:color="auto" w:fill="auto"/>
          </w:tcPr>
          <w:p w14:paraId="2457BCAD" w14:textId="77777777" w:rsidR="008B4DF8" w:rsidRPr="00C1603D" w:rsidRDefault="008B4DF8" w:rsidP="00DC5499">
            <w:pPr>
              <w:pStyle w:val="72TabletextTablesTableFigureBoxstyles"/>
            </w:pPr>
            <w:r w:rsidRPr="00C1603D">
              <w:t>0.628</w:t>
            </w:r>
          </w:p>
        </w:tc>
        <w:tc>
          <w:tcPr>
            <w:tcW w:w="0" w:type="auto"/>
            <w:shd w:val="clear" w:color="auto" w:fill="auto"/>
          </w:tcPr>
          <w:p w14:paraId="54EE08F2" w14:textId="77777777" w:rsidR="008B4DF8" w:rsidRPr="00C1603D" w:rsidRDefault="008B4DF8" w:rsidP="00DC5499">
            <w:pPr>
              <w:pStyle w:val="72TabletextTablesTableFigureBoxstyles"/>
            </w:pPr>
            <w:r w:rsidRPr="00C1603D">
              <w:t>HLA plus IgA tTG</w:t>
            </w:r>
          </w:p>
        </w:tc>
        <w:tc>
          <w:tcPr>
            <w:tcW w:w="0" w:type="auto"/>
            <w:shd w:val="clear" w:color="auto" w:fill="auto"/>
          </w:tcPr>
          <w:p w14:paraId="4ADA0C6C" w14:textId="40A9314B" w:rsidR="008B4DF8" w:rsidRPr="00C1603D" w:rsidRDefault="008B4DF8" w:rsidP="00DC5499">
            <w:pPr>
              <w:pStyle w:val="72TabletextTablesTableFigureBoxstyles"/>
            </w:pPr>
            <w:r w:rsidRPr="00C1603D">
              <w:t>20</w:t>
            </w:r>
            <w:r w:rsidR="00B34847" w:rsidRPr="00C1603D">
              <w:t>,</w:t>
            </w:r>
            <w:r w:rsidRPr="00C1603D">
              <w:t>722 (20</w:t>
            </w:r>
            <w:r w:rsidR="00B34847" w:rsidRPr="00C1603D">
              <w:t>,</w:t>
            </w:r>
            <w:r w:rsidRPr="00C1603D">
              <w:t>434</w:t>
            </w:r>
            <w:r w:rsidR="005E697E" w:rsidRPr="00C1603D">
              <w:t xml:space="preserve"> to</w:t>
            </w:r>
            <w:r w:rsidRPr="00C1603D">
              <w:t xml:space="preserve"> 21</w:t>
            </w:r>
            <w:r w:rsidR="00B34847" w:rsidRPr="00C1603D">
              <w:t>,</w:t>
            </w:r>
            <w:r w:rsidRPr="00C1603D">
              <w:t>030)</w:t>
            </w:r>
          </w:p>
        </w:tc>
        <w:tc>
          <w:tcPr>
            <w:tcW w:w="0" w:type="auto"/>
            <w:shd w:val="clear" w:color="auto" w:fill="auto"/>
          </w:tcPr>
          <w:p w14:paraId="2A1B6347" w14:textId="40D16E75" w:rsidR="008B4DF8" w:rsidRPr="00C1603D" w:rsidRDefault="008B4DF8" w:rsidP="00DC5499">
            <w:pPr>
              <w:pStyle w:val="72TabletextTablesTableFigureBoxstyles"/>
            </w:pPr>
            <w:r w:rsidRPr="00C1603D">
              <w:t>20.08 (19.61</w:t>
            </w:r>
            <w:r w:rsidR="005E697E" w:rsidRPr="00C1603D">
              <w:t xml:space="preserve"> to</w:t>
            </w:r>
            <w:r w:rsidRPr="00C1603D">
              <w:t xml:space="preserve"> 20.44)</w:t>
            </w:r>
          </w:p>
        </w:tc>
        <w:tc>
          <w:tcPr>
            <w:tcW w:w="0" w:type="auto"/>
            <w:shd w:val="clear" w:color="auto" w:fill="auto"/>
          </w:tcPr>
          <w:p w14:paraId="77BC5EAD" w14:textId="40E62CB2" w:rsidR="008B4DF8" w:rsidRPr="00C1603D" w:rsidRDefault="008B4DF8" w:rsidP="00DC5499">
            <w:pPr>
              <w:pStyle w:val="72TabletextTablesTableFigureBoxstyles"/>
            </w:pPr>
            <w:r w:rsidRPr="00C1603D">
              <w:t>25</w:t>
            </w:r>
            <w:r w:rsidR="00B34847" w:rsidRPr="00C1603D">
              <w:t>,</w:t>
            </w:r>
            <w:r w:rsidRPr="00C1603D">
              <w:t>058 (5043</w:t>
            </w:r>
            <w:r w:rsidR="005E697E" w:rsidRPr="00C1603D">
              <w:t xml:space="preserve"> to</w:t>
            </w:r>
            <w:r w:rsidRPr="00C1603D">
              <w:t xml:space="preserve"> 60</w:t>
            </w:r>
            <w:r w:rsidR="00B34847" w:rsidRPr="00C1603D">
              <w:t>,</w:t>
            </w:r>
            <w:r w:rsidRPr="00C1603D">
              <w:t>805)</w:t>
            </w:r>
          </w:p>
        </w:tc>
      </w:tr>
      <w:tr w:rsidR="008B4DF8" w:rsidRPr="00C1603D" w14:paraId="59581D7B" w14:textId="77777777" w:rsidTr="00DC5499">
        <w:trPr>
          <w:cantSplit/>
        </w:trPr>
        <w:tc>
          <w:tcPr>
            <w:tcW w:w="0" w:type="auto"/>
            <w:shd w:val="clear" w:color="auto" w:fill="auto"/>
          </w:tcPr>
          <w:p w14:paraId="732E882D" w14:textId="51A2A9AD" w:rsidR="008B4DF8" w:rsidRPr="00C1603D" w:rsidRDefault="008B4DF8" w:rsidP="00DC5499">
            <w:pPr>
              <w:pStyle w:val="72TabletextTablesTableFigureBoxstyles"/>
            </w:pPr>
            <w:r w:rsidRPr="00C1603D">
              <w:t>5</w:t>
            </w:r>
          </w:p>
        </w:tc>
        <w:tc>
          <w:tcPr>
            <w:tcW w:w="0" w:type="auto"/>
            <w:shd w:val="clear" w:color="auto" w:fill="auto"/>
          </w:tcPr>
          <w:p w14:paraId="5B2B2739" w14:textId="77777777" w:rsidR="008B4DF8" w:rsidRPr="00C1603D" w:rsidRDefault="008B4DF8" w:rsidP="00DC5499">
            <w:pPr>
              <w:pStyle w:val="72TabletextTablesTableFigureBoxstyles"/>
            </w:pPr>
            <w:r w:rsidRPr="00C1603D">
              <w:t>0.387</w:t>
            </w:r>
          </w:p>
        </w:tc>
        <w:tc>
          <w:tcPr>
            <w:tcW w:w="0" w:type="auto"/>
            <w:shd w:val="clear" w:color="auto" w:fill="auto"/>
          </w:tcPr>
          <w:p w14:paraId="218C9FBC" w14:textId="77777777" w:rsidR="008B4DF8" w:rsidRPr="00C1603D" w:rsidRDefault="008B4DF8" w:rsidP="00DC5499">
            <w:pPr>
              <w:pStyle w:val="72TabletextTablesTableFigureBoxstyles"/>
            </w:pPr>
            <w:r w:rsidRPr="00C1603D">
              <w:t>0.926</w:t>
            </w:r>
          </w:p>
        </w:tc>
        <w:tc>
          <w:tcPr>
            <w:tcW w:w="0" w:type="auto"/>
            <w:shd w:val="clear" w:color="auto" w:fill="auto"/>
          </w:tcPr>
          <w:p w14:paraId="2AD8A399" w14:textId="77777777" w:rsidR="008B4DF8" w:rsidRPr="00C1603D" w:rsidRDefault="008B4DF8" w:rsidP="00DC5499">
            <w:pPr>
              <w:pStyle w:val="72TabletextTablesTableFigureBoxstyles"/>
            </w:pPr>
            <w:r w:rsidRPr="00C1603D">
              <w:t>HLA plus IgA tTG</w:t>
            </w:r>
          </w:p>
        </w:tc>
        <w:tc>
          <w:tcPr>
            <w:tcW w:w="0" w:type="auto"/>
            <w:shd w:val="clear" w:color="auto" w:fill="auto"/>
          </w:tcPr>
          <w:p w14:paraId="5408F62E" w14:textId="6F578A89" w:rsidR="008B4DF8" w:rsidRPr="00C1603D" w:rsidRDefault="008B4DF8" w:rsidP="00DC5499">
            <w:pPr>
              <w:pStyle w:val="72TabletextTablesTableFigureBoxstyles"/>
            </w:pPr>
            <w:r w:rsidRPr="00C1603D">
              <w:t>20</w:t>
            </w:r>
            <w:r w:rsidR="00B34847" w:rsidRPr="00C1603D">
              <w:t>,</w:t>
            </w:r>
            <w:r w:rsidRPr="00C1603D">
              <w:t>607 (20</w:t>
            </w:r>
            <w:r w:rsidR="00B34847" w:rsidRPr="00C1603D">
              <w:t>,</w:t>
            </w:r>
            <w:r w:rsidRPr="00C1603D">
              <w:t>333</w:t>
            </w:r>
            <w:r w:rsidR="005E697E" w:rsidRPr="00C1603D">
              <w:t xml:space="preserve"> to</w:t>
            </w:r>
            <w:r w:rsidRPr="00C1603D">
              <w:t xml:space="preserve"> 20</w:t>
            </w:r>
            <w:r w:rsidR="00B34847" w:rsidRPr="00C1603D">
              <w:t>,</w:t>
            </w:r>
            <w:r w:rsidRPr="00C1603D">
              <w:t>915)</w:t>
            </w:r>
          </w:p>
        </w:tc>
        <w:tc>
          <w:tcPr>
            <w:tcW w:w="0" w:type="auto"/>
            <w:shd w:val="clear" w:color="auto" w:fill="auto"/>
          </w:tcPr>
          <w:p w14:paraId="76D91521" w14:textId="7E08A6B4" w:rsidR="008B4DF8" w:rsidRPr="00C1603D" w:rsidRDefault="008B4DF8" w:rsidP="00DC5499">
            <w:pPr>
              <w:pStyle w:val="72TabletextTablesTableFigureBoxstyles"/>
            </w:pPr>
            <w:r w:rsidRPr="00C1603D">
              <w:t>20.09 (19.61</w:t>
            </w:r>
            <w:r w:rsidR="005E697E" w:rsidRPr="00C1603D">
              <w:t xml:space="preserve"> to</w:t>
            </w:r>
            <w:r w:rsidRPr="00C1603D">
              <w:t xml:space="preserve"> 20.45)</w:t>
            </w:r>
          </w:p>
        </w:tc>
        <w:tc>
          <w:tcPr>
            <w:tcW w:w="0" w:type="auto"/>
            <w:shd w:val="clear" w:color="auto" w:fill="auto"/>
          </w:tcPr>
          <w:p w14:paraId="010C8BB4" w14:textId="726C4E2F" w:rsidR="008B4DF8" w:rsidRPr="00C1603D" w:rsidRDefault="008B4DF8" w:rsidP="00DC5499">
            <w:pPr>
              <w:pStyle w:val="72TabletextTablesTableFigureBoxstyles"/>
            </w:pPr>
            <w:r w:rsidRPr="00C1603D">
              <w:t>25</w:t>
            </w:r>
            <w:r w:rsidR="00B34847" w:rsidRPr="00C1603D">
              <w:t>,</w:t>
            </w:r>
            <w:r w:rsidRPr="00C1603D">
              <w:t>268 (5110</w:t>
            </w:r>
            <w:r w:rsidR="005E697E" w:rsidRPr="00C1603D">
              <w:t xml:space="preserve"> to</w:t>
            </w:r>
            <w:r w:rsidRPr="00C1603D">
              <w:t xml:space="preserve"> 61</w:t>
            </w:r>
            <w:r w:rsidR="00B34847" w:rsidRPr="00C1603D">
              <w:t>,</w:t>
            </w:r>
            <w:r w:rsidRPr="00C1603D">
              <w:t>127)</w:t>
            </w:r>
          </w:p>
        </w:tc>
      </w:tr>
      <w:tr w:rsidR="008B4DF8" w:rsidRPr="00C1603D" w14:paraId="760B00DB" w14:textId="77777777" w:rsidTr="00DC5499">
        <w:trPr>
          <w:cantSplit/>
        </w:trPr>
        <w:tc>
          <w:tcPr>
            <w:tcW w:w="0" w:type="auto"/>
            <w:shd w:val="clear" w:color="auto" w:fill="auto"/>
          </w:tcPr>
          <w:p w14:paraId="246FCE27" w14:textId="68542564" w:rsidR="008B4DF8" w:rsidRPr="00C1603D" w:rsidRDefault="008B4DF8" w:rsidP="00DC5499">
            <w:pPr>
              <w:pStyle w:val="72TabletextTablesTableFigureBoxstyles"/>
            </w:pPr>
            <w:r w:rsidRPr="00C1603D">
              <w:t>10</w:t>
            </w:r>
          </w:p>
        </w:tc>
        <w:tc>
          <w:tcPr>
            <w:tcW w:w="0" w:type="auto"/>
            <w:shd w:val="clear" w:color="auto" w:fill="auto"/>
          </w:tcPr>
          <w:p w14:paraId="704484A2" w14:textId="77777777" w:rsidR="008B4DF8" w:rsidRPr="00C1603D" w:rsidRDefault="008B4DF8" w:rsidP="00DC5499">
            <w:pPr>
              <w:pStyle w:val="72TabletextTablesTableFigureBoxstyles"/>
            </w:pPr>
            <w:r w:rsidRPr="00C1603D">
              <w:t>0.107</w:t>
            </w:r>
          </w:p>
        </w:tc>
        <w:tc>
          <w:tcPr>
            <w:tcW w:w="0" w:type="auto"/>
            <w:shd w:val="clear" w:color="auto" w:fill="auto"/>
          </w:tcPr>
          <w:p w14:paraId="0FA12C39" w14:textId="77777777" w:rsidR="008B4DF8" w:rsidRPr="00C1603D" w:rsidRDefault="008B4DF8" w:rsidP="00DC5499">
            <w:pPr>
              <w:pStyle w:val="72TabletextTablesTableFigureBoxstyles"/>
            </w:pPr>
            <w:r w:rsidRPr="00C1603D">
              <w:t>0.99</w:t>
            </w:r>
          </w:p>
        </w:tc>
        <w:tc>
          <w:tcPr>
            <w:tcW w:w="0" w:type="auto"/>
            <w:shd w:val="clear" w:color="auto" w:fill="auto"/>
          </w:tcPr>
          <w:p w14:paraId="352A3371" w14:textId="77777777" w:rsidR="008B4DF8" w:rsidRPr="00C1603D" w:rsidRDefault="008B4DF8" w:rsidP="00DC5499">
            <w:pPr>
              <w:pStyle w:val="72TabletextTablesTableFigureBoxstyles"/>
            </w:pPr>
            <w:r w:rsidRPr="00C1603D">
              <w:t>HLA plus IgA tTG</w:t>
            </w:r>
          </w:p>
        </w:tc>
        <w:tc>
          <w:tcPr>
            <w:tcW w:w="0" w:type="auto"/>
            <w:shd w:val="clear" w:color="auto" w:fill="auto"/>
          </w:tcPr>
          <w:p w14:paraId="2F043A63" w14:textId="5ECB2442" w:rsidR="008B4DF8" w:rsidRPr="00C1603D" w:rsidRDefault="008B4DF8" w:rsidP="00DC5499">
            <w:pPr>
              <w:pStyle w:val="72TabletextTablesTableFigureBoxstyles"/>
            </w:pPr>
            <w:r w:rsidRPr="00C1603D">
              <w:t>20</w:t>
            </w:r>
            <w:r w:rsidR="00B34847" w:rsidRPr="00C1603D">
              <w:t>,</w:t>
            </w:r>
            <w:r w:rsidRPr="00C1603D">
              <w:t>638 (20</w:t>
            </w:r>
            <w:r w:rsidR="00B34847" w:rsidRPr="00C1603D">
              <w:t>,</w:t>
            </w:r>
            <w:r w:rsidRPr="00C1603D">
              <w:t>366</w:t>
            </w:r>
            <w:r w:rsidR="005E697E" w:rsidRPr="00C1603D">
              <w:t xml:space="preserve"> to</w:t>
            </w:r>
            <w:r w:rsidRPr="00C1603D">
              <w:t xml:space="preserve"> 20</w:t>
            </w:r>
            <w:r w:rsidR="00B34847" w:rsidRPr="00C1603D">
              <w:t>,</w:t>
            </w:r>
            <w:r w:rsidRPr="00C1603D">
              <w:t>938)</w:t>
            </w:r>
          </w:p>
        </w:tc>
        <w:tc>
          <w:tcPr>
            <w:tcW w:w="0" w:type="auto"/>
            <w:shd w:val="clear" w:color="auto" w:fill="auto"/>
          </w:tcPr>
          <w:p w14:paraId="5040B49E" w14:textId="67A0860E" w:rsidR="008B4DF8" w:rsidRPr="00C1603D" w:rsidRDefault="008B4DF8" w:rsidP="00DC5499">
            <w:pPr>
              <w:pStyle w:val="72TabletextTablesTableFigureBoxstyles"/>
            </w:pPr>
            <w:r w:rsidRPr="00C1603D">
              <w:t>20.09 (19.61</w:t>
            </w:r>
            <w:r w:rsidR="005E697E" w:rsidRPr="00C1603D">
              <w:t xml:space="preserve"> to</w:t>
            </w:r>
            <w:r w:rsidRPr="00C1603D">
              <w:t xml:space="preserve"> 20.45)</w:t>
            </w:r>
          </w:p>
        </w:tc>
        <w:tc>
          <w:tcPr>
            <w:tcW w:w="0" w:type="auto"/>
            <w:shd w:val="clear" w:color="auto" w:fill="auto"/>
          </w:tcPr>
          <w:p w14:paraId="5D5DE445" w14:textId="18BAAC21" w:rsidR="008B4DF8" w:rsidRPr="00C1603D" w:rsidRDefault="008B4DF8" w:rsidP="00DC5499">
            <w:pPr>
              <w:pStyle w:val="72TabletextTablesTableFigureBoxstyles"/>
            </w:pPr>
            <w:r w:rsidRPr="00C1603D">
              <w:t>25</w:t>
            </w:r>
            <w:r w:rsidR="00B34847" w:rsidRPr="00C1603D">
              <w:t>,</w:t>
            </w:r>
            <w:r w:rsidRPr="00C1603D">
              <w:t>259 (5018</w:t>
            </w:r>
            <w:r w:rsidR="005E697E" w:rsidRPr="00C1603D">
              <w:t xml:space="preserve"> to</w:t>
            </w:r>
            <w:r w:rsidRPr="00C1603D">
              <w:t xml:space="preserve"> 61</w:t>
            </w:r>
            <w:r w:rsidR="00B34847" w:rsidRPr="00C1603D">
              <w:t>,</w:t>
            </w:r>
            <w:r w:rsidRPr="00C1603D">
              <w:t>192)</w:t>
            </w:r>
          </w:p>
        </w:tc>
      </w:tr>
      <w:tr w:rsidR="008B4DF8" w:rsidRPr="00C1603D" w14:paraId="23787174" w14:textId="77777777" w:rsidTr="00DC5499">
        <w:trPr>
          <w:cantSplit/>
        </w:trPr>
        <w:tc>
          <w:tcPr>
            <w:tcW w:w="0" w:type="auto"/>
            <w:shd w:val="clear" w:color="auto" w:fill="auto"/>
          </w:tcPr>
          <w:p w14:paraId="1F2CD0F0" w14:textId="7F2B5B78" w:rsidR="008B4DF8" w:rsidRPr="00C1603D" w:rsidRDefault="008B4DF8" w:rsidP="00DC5499">
            <w:pPr>
              <w:pStyle w:val="72TabletextTablesTableFigureBoxstyles"/>
            </w:pPr>
            <w:r w:rsidRPr="00C1603D">
              <w:t>20</w:t>
            </w:r>
          </w:p>
        </w:tc>
        <w:tc>
          <w:tcPr>
            <w:tcW w:w="0" w:type="auto"/>
            <w:shd w:val="clear" w:color="auto" w:fill="auto"/>
          </w:tcPr>
          <w:p w14:paraId="155858F0" w14:textId="77777777" w:rsidR="008B4DF8" w:rsidRPr="00C1603D" w:rsidRDefault="008B4DF8" w:rsidP="00DC5499">
            <w:pPr>
              <w:pStyle w:val="72TabletextTablesTableFigureBoxstyles"/>
            </w:pPr>
            <w:r w:rsidRPr="00C1603D">
              <w:t>0.002</w:t>
            </w:r>
          </w:p>
        </w:tc>
        <w:tc>
          <w:tcPr>
            <w:tcW w:w="0" w:type="auto"/>
            <w:shd w:val="clear" w:color="auto" w:fill="auto"/>
          </w:tcPr>
          <w:p w14:paraId="7958A92E" w14:textId="77777777" w:rsidR="008B4DF8" w:rsidRPr="00C1603D" w:rsidRDefault="008B4DF8" w:rsidP="00DC5499">
            <w:pPr>
              <w:pStyle w:val="72TabletextTablesTableFigureBoxstyles"/>
            </w:pPr>
            <w:r w:rsidRPr="00C1603D">
              <w:t>1</w:t>
            </w:r>
          </w:p>
        </w:tc>
        <w:tc>
          <w:tcPr>
            <w:tcW w:w="0" w:type="auto"/>
            <w:shd w:val="clear" w:color="auto" w:fill="auto"/>
          </w:tcPr>
          <w:p w14:paraId="595F3A2D" w14:textId="77777777" w:rsidR="008B4DF8" w:rsidRPr="00C1603D" w:rsidRDefault="008B4DF8" w:rsidP="00DC5499">
            <w:pPr>
              <w:pStyle w:val="72TabletextTablesTableFigureBoxstyles"/>
            </w:pPr>
            <w:r w:rsidRPr="00C1603D">
              <w:t>HLA plus IgA tTG</w:t>
            </w:r>
          </w:p>
        </w:tc>
        <w:tc>
          <w:tcPr>
            <w:tcW w:w="0" w:type="auto"/>
            <w:shd w:val="clear" w:color="auto" w:fill="auto"/>
          </w:tcPr>
          <w:p w14:paraId="3547C2EA" w14:textId="5491EF62" w:rsidR="008B4DF8" w:rsidRPr="00C1603D" w:rsidRDefault="008B4DF8" w:rsidP="00DC5499">
            <w:pPr>
              <w:pStyle w:val="72TabletextTablesTableFigureBoxstyles"/>
            </w:pPr>
            <w:r w:rsidRPr="00C1603D">
              <w:t>20</w:t>
            </w:r>
            <w:r w:rsidR="00B34847" w:rsidRPr="00C1603D">
              <w:t>,</w:t>
            </w:r>
            <w:r w:rsidRPr="00C1603D">
              <w:t>690 (20</w:t>
            </w:r>
            <w:r w:rsidR="00B34847" w:rsidRPr="00C1603D">
              <w:t>,</w:t>
            </w:r>
            <w:r w:rsidRPr="00C1603D">
              <w:t>415</w:t>
            </w:r>
            <w:r w:rsidR="005E697E" w:rsidRPr="00C1603D">
              <w:t xml:space="preserve"> to</w:t>
            </w:r>
            <w:r w:rsidRPr="00C1603D">
              <w:t xml:space="preserve"> 20</w:t>
            </w:r>
            <w:r w:rsidR="00B34847" w:rsidRPr="00C1603D">
              <w:t>,</w:t>
            </w:r>
            <w:r w:rsidRPr="00C1603D">
              <w:t>998)</w:t>
            </w:r>
          </w:p>
        </w:tc>
        <w:tc>
          <w:tcPr>
            <w:tcW w:w="0" w:type="auto"/>
            <w:shd w:val="clear" w:color="auto" w:fill="auto"/>
          </w:tcPr>
          <w:p w14:paraId="1D0D5A6F" w14:textId="2B34C8B5" w:rsidR="008B4DF8" w:rsidRPr="00C1603D" w:rsidRDefault="008B4DF8" w:rsidP="00DC5499">
            <w:pPr>
              <w:pStyle w:val="72TabletextTablesTableFigureBoxstyles"/>
            </w:pPr>
            <w:r w:rsidRPr="00C1603D">
              <w:t>20.09 (19.61</w:t>
            </w:r>
            <w:r w:rsidR="005E697E" w:rsidRPr="00C1603D">
              <w:t xml:space="preserve"> to</w:t>
            </w:r>
            <w:r w:rsidRPr="00C1603D">
              <w:t xml:space="preserve"> 20.44)</w:t>
            </w:r>
          </w:p>
        </w:tc>
        <w:tc>
          <w:tcPr>
            <w:tcW w:w="0" w:type="auto"/>
            <w:shd w:val="clear" w:color="auto" w:fill="auto"/>
          </w:tcPr>
          <w:p w14:paraId="24531C7B" w14:textId="007C0138" w:rsidR="008B4DF8" w:rsidRPr="00C1603D" w:rsidRDefault="008B4DF8" w:rsidP="00DC5499">
            <w:pPr>
              <w:pStyle w:val="72TabletextTablesTableFigureBoxstyles"/>
            </w:pPr>
            <w:r w:rsidRPr="00C1603D">
              <w:t>25</w:t>
            </w:r>
            <w:r w:rsidR="00B34847" w:rsidRPr="00C1603D">
              <w:t>,</w:t>
            </w:r>
            <w:r w:rsidRPr="00C1603D">
              <w:t>203 (4914</w:t>
            </w:r>
            <w:r w:rsidR="005E697E" w:rsidRPr="00C1603D">
              <w:t xml:space="preserve"> to</w:t>
            </w:r>
            <w:r w:rsidRPr="00C1603D">
              <w:t xml:space="preserve"> 61</w:t>
            </w:r>
            <w:r w:rsidR="00B34847" w:rsidRPr="00C1603D">
              <w:t>,</w:t>
            </w:r>
            <w:r w:rsidRPr="00C1603D">
              <w:t>189)</w:t>
            </w:r>
          </w:p>
        </w:tc>
      </w:tr>
    </w:tbl>
    <w:p w14:paraId="5EA52FA7" w14:textId="2285C70E" w:rsidR="008B4DF8" w:rsidRPr="00C1603D" w:rsidRDefault="008B4DF8" w:rsidP="008B4DF8">
      <w:pPr>
        <w:pStyle w:val="602TextfoTextstylesTextstyles"/>
        <w:rPr>
          <w:color w:val="auto"/>
        </w:rPr>
      </w:pPr>
      <w:r w:rsidRPr="00C1603D">
        <w:rPr>
          <w:i/>
          <w:color w:val="FF0000"/>
        </w:rPr>
        <w:t xml:space="preserve">Figure </w:t>
      </w:r>
      <w:r w:rsidRPr="00C1603D">
        <w:rPr>
          <w:i/>
          <w:noProof/>
          <w:color w:val="FF0000"/>
        </w:rPr>
        <w:t>20</w:t>
      </w:r>
      <w:r w:rsidRPr="00C1603D">
        <w:t xml:space="preserve"> plots the </w:t>
      </w:r>
      <w:r w:rsidR="00322B2D" w:rsidRPr="00C1603D">
        <w:t>CEAC</w:t>
      </w:r>
      <w:r w:rsidRPr="00C1603D">
        <w:t>s</w:t>
      </w:r>
      <w:r w:rsidR="00485612" w:rsidRPr="00C1603D">
        <w:t>,</w:t>
      </w:r>
      <w:r w:rsidRPr="00C1603D">
        <w:t xml:space="preserve"> which show the probability that each testing strategy is optimal (i.e. </w:t>
      </w:r>
      <w:r w:rsidR="00485612" w:rsidRPr="00C1603D">
        <w:t xml:space="preserve">has the </w:t>
      </w:r>
      <w:r w:rsidRPr="00C1603D">
        <w:t>highest net benefit) at each willingness</w:t>
      </w:r>
      <w:r w:rsidR="00485612" w:rsidRPr="00C1603D">
        <w:t>-</w:t>
      </w:r>
      <w:r w:rsidRPr="00C1603D">
        <w:t>to</w:t>
      </w:r>
      <w:r w:rsidR="00485612" w:rsidRPr="00C1603D">
        <w:t>-</w:t>
      </w:r>
      <w:r w:rsidRPr="00C1603D">
        <w:t>pay threshold for an additional QALY. None of the probabilities exceed</w:t>
      </w:r>
      <w:r w:rsidR="00485612" w:rsidRPr="00C1603D">
        <w:t>s</w:t>
      </w:r>
      <w:r w:rsidRPr="00C1603D">
        <w:t xml:space="preserve"> 50%</w:t>
      </w:r>
      <w:r w:rsidR="00485612" w:rsidRPr="00C1603D">
        <w:t>,</w:t>
      </w:r>
      <w:r w:rsidRPr="00C1603D">
        <w:t xml:space="preserve"> indicating little certainty that</w:t>
      </w:r>
      <w:r w:rsidR="00485612" w:rsidRPr="00C1603D">
        <w:t xml:space="preserve"> </w:t>
      </w:r>
      <w:r w:rsidR="006D73D3" w:rsidRPr="00C1603D">
        <w:t xml:space="preserve">the </w:t>
      </w:r>
      <w:r w:rsidR="00485612" w:rsidRPr="00C1603D">
        <w:t>1%</w:t>
      </w:r>
      <w:r w:rsidRPr="00C1603D">
        <w:t xml:space="preserve"> IgA tTG</w:t>
      </w:r>
      <w:r w:rsidR="006D73D3" w:rsidRPr="00C1603D">
        <w:t>,</w:t>
      </w:r>
      <w:r w:rsidRPr="00C1603D">
        <w:t xml:space="preserve"> the IgA EMA plus HLA or </w:t>
      </w:r>
      <w:r w:rsidR="006D73D3" w:rsidRPr="00C1603D">
        <w:t xml:space="preserve">the </w:t>
      </w:r>
      <w:r w:rsidRPr="00C1603D">
        <w:t>HLA plus IgA tTG strategies differ in cost-effectiveness. At £10,000</w:t>
      </w:r>
      <w:r w:rsidRPr="00C1603D">
        <w:rPr>
          <w:color w:val="00B0F0"/>
        </w:rPr>
        <w:t>–3</w:t>
      </w:r>
      <w:r w:rsidRPr="00C1603D">
        <w:t>0,000</w:t>
      </w:r>
      <w:r w:rsidR="00514632" w:rsidRPr="00C1603D">
        <w:t xml:space="preserve"> per </w:t>
      </w:r>
      <w:r w:rsidRPr="00C1603D">
        <w:t>QALY</w:t>
      </w:r>
      <w:r w:rsidR="00514632" w:rsidRPr="00C1603D">
        <w:t>,</w:t>
      </w:r>
      <w:r w:rsidRPr="00C1603D">
        <w:t xml:space="preserve"> the strategy with</w:t>
      </w:r>
      <w:r w:rsidR="00514632" w:rsidRPr="00C1603D">
        <w:t xml:space="preserve"> the</w:t>
      </w:r>
      <w:r w:rsidRPr="00C1603D">
        <w:t xml:space="preserve"> greatest probability of being cost-effective is 5</w:t>
      </w:r>
      <w:r w:rsidRPr="00C1603D">
        <w:rPr>
          <w:color w:val="auto"/>
        </w:rPr>
        <w:t>% HLA plus IgA tTG</w:t>
      </w:r>
      <w:r w:rsidR="00514632" w:rsidRPr="00C1603D">
        <w:rPr>
          <w:color w:val="auto"/>
        </w:rPr>
        <w:t>;</w:t>
      </w:r>
      <w:r w:rsidRPr="00C1603D">
        <w:rPr>
          <w:color w:val="auto"/>
        </w:rPr>
        <w:t xml:space="preserve"> above this range</w:t>
      </w:r>
      <w:r w:rsidR="00514632" w:rsidRPr="00C1603D">
        <w:rPr>
          <w:color w:val="auto"/>
        </w:rPr>
        <w:t>,</w:t>
      </w:r>
      <w:r w:rsidRPr="00C1603D">
        <w:rPr>
          <w:color w:val="auto"/>
        </w:rPr>
        <w:t xml:space="preserve"> 1% IgA tTG has </w:t>
      </w:r>
      <w:r w:rsidR="00514632" w:rsidRPr="00C1603D">
        <w:rPr>
          <w:color w:val="auto"/>
        </w:rPr>
        <w:t xml:space="preserve">the </w:t>
      </w:r>
      <w:r w:rsidRPr="00C1603D">
        <w:rPr>
          <w:color w:val="auto"/>
        </w:rPr>
        <w:t xml:space="preserve">greatest probability of being cost-effective. However, the </w:t>
      </w:r>
      <w:r w:rsidR="00322B2D" w:rsidRPr="00C1603D">
        <w:rPr>
          <w:color w:val="auto"/>
        </w:rPr>
        <w:t>CEAC</w:t>
      </w:r>
      <w:r w:rsidRPr="00C1603D">
        <w:rPr>
          <w:color w:val="auto"/>
        </w:rPr>
        <w:t xml:space="preserve"> does not account for the magnitude of differences between net benefits</w:t>
      </w:r>
      <w:r w:rsidR="000C5925" w:rsidRPr="00C1603D">
        <w:rPr>
          <w:color w:val="auto"/>
        </w:rPr>
        <w:t>,</w:t>
      </w:r>
      <w:r w:rsidRPr="00C1603D">
        <w:rPr>
          <w:color w:val="auto"/>
        </w:rPr>
        <w:t xml:space="preserve"> which, as reported in </w:t>
      </w:r>
      <w:r w:rsidRPr="00C1603D">
        <w:rPr>
          <w:i/>
          <w:color w:val="auto"/>
        </w:rPr>
        <w:t xml:space="preserve">Table </w:t>
      </w:r>
      <w:r w:rsidRPr="00C1603D">
        <w:rPr>
          <w:i/>
          <w:noProof/>
          <w:color w:val="auto"/>
        </w:rPr>
        <w:t>2</w:t>
      </w:r>
      <w:r w:rsidR="008A6568" w:rsidRPr="00C1603D">
        <w:rPr>
          <w:i/>
          <w:noProof/>
          <w:color w:val="auto"/>
        </w:rPr>
        <w:t>2</w:t>
      </w:r>
      <w:r w:rsidRPr="00C1603D">
        <w:rPr>
          <w:color w:val="auto"/>
        </w:rPr>
        <w:t>, are negligible</w:t>
      </w:r>
      <w:r w:rsidR="000C5925" w:rsidRPr="00C1603D">
        <w:rPr>
          <w:color w:val="auto"/>
        </w:rPr>
        <w:t>,</w:t>
      </w:r>
      <w:r w:rsidRPr="00C1603D">
        <w:rPr>
          <w:color w:val="auto"/>
        </w:rPr>
        <w:t xml:space="preserve"> with overlapping 95% CrI</w:t>
      </w:r>
      <w:r w:rsidR="000C5925" w:rsidRPr="00C1603D">
        <w:rPr>
          <w:color w:val="auto"/>
        </w:rPr>
        <w:t>s</w:t>
      </w:r>
      <w:r w:rsidRPr="00C1603D">
        <w:rPr>
          <w:color w:val="auto"/>
        </w:rPr>
        <w:t>.</w:t>
      </w:r>
    </w:p>
    <w:p w14:paraId="02220292" w14:textId="43353C33" w:rsidR="008B4DF8" w:rsidRPr="00C1603D" w:rsidRDefault="008B4DF8" w:rsidP="008B4DF8">
      <w:pPr>
        <w:pStyle w:val="81FigurelegendTableFigureBoxstyles"/>
      </w:pPr>
      <w:bookmarkStart w:id="439" w:name="_Toc99720801"/>
      <w:r w:rsidRPr="00C1603D">
        <w:rPr>
          <w:b/>
        </w:rPr>
        <w:t>FIGURE 20</w:t>
      </w:r>
      <w:r w:rsidRPr="00C1603D">
        <w:rPr>
          <w:b/>
        </w:rPr>
        <w:t> </w:t>
      </w:r>
      <w:r w:rsidRPr="00C1603D">
        <w:t xml:space="preserve">Cost-effectiveness acceptability curves for strategies of interest </w:t>
      </w:r>
      <w:r w:rsidR="000C5925" w:rsidRPr="00C1603D">
        <w:t>for</w:t>
      </w:r>
      <w:r w:rsidRPr="00C1603D">
        <w:t xml:space="preserve"> adult women</w:t>
      </w:r>
      <w:bookmarkEnd w:id="439"/>
      <w:r w:rsidR="000C5925" w:rsidRPr="00C1603D">
        <w:t>.</w:t>
      </w:r>
    </w:p>
    <w:p w14:paraId="6DC959E7" w14:textId="4FC0C6F7" w:rsidR="008B4DF8" w:rsidRPr="00C1603D" w:rsidRDefault="008B4DF8" w:rsidP="008B4DF8">
      <w:pPr>
        <w:pStyle w:val="602TextfoTextstylesTextstyles"/>
      </w:pPr>
      <w:r w:rsidRPr="00C1603D">
        <w:t>Table S20</w:t>
      </w:r>
      <w:r w:rsidR="009F423E" w:rsidRPr="00C1603D">
        <w:t xml:space="preserve"> (see </w:t>
      </w:r>
      <w:r w:rsidR="009F423E" w:rsidRPr="00C1603D">
        <w:rPr>
          <w:i/>
          <w:iCs/>
        </w:rPr>
        <w:t>Report Supplementary Material 1</w:t>
      </w:r>
      <w:r w:rsidR="009F423E" w:rsidRPr="00C1603D">
        <w:t>)</w:t>
      </w:r>
      <w:r w:rsidRPr="00C1603D">
        <w:t xml:space="preserve"> provides the proportion of time spent in each state for adult women on the strategies of interest. Compared </w:t>
      </w:r>
      <w:r w:rsidR="00BB5D42" w:rsidRPr="00C1603D">
        <w:t>with</w:t>
      </w:r>
      <w:r w:rsidRPr="00C1603D">
        <w:t xml:space="preserve"> other pre-test probability strategies with the same serological tests, the 1% IgA EMA strategy has the greatest proportion of time on the CD</w:t>
      </w:r>
      <w:r w:rsidR="00295CE9" w:rsidRPr="00C1603D">
        <w:t>,</w:t>
      </w:r>
      <w:r w:rsidRPr="00C1603D">
        <w:t xml:space="preserve"> gluten-free diet</w:t>
      </w:r>
      <w:r w:rsidR="00295CE9" w:rsidRPr="00C1603D">
        <w:t>,</w:t>
      </w:r>
      <w:r w:rsidRPr="00C1603D">
        <w:t xml:space="preserve"> no</w:t>
      </w:r>
      <w:r w:rsidR="00295CE9" w:rsidRPr="00C1603D">
        <w:t>-</w:t>
      </w:r>
      <w:r w:rsidRPr="00C1603D">
        <w:t>complications state and</w:t>
      </w:r>
      <w:r w:rsidR="00295CE9" w:rsidRPr="00C1603D">
        <w:t xml:space="preserve"> the</w:t>
      </w:r>
      <w:r w:rsidRPr="00C1603D">
        <w:t xml:space="preserve"> least time in the undiagnosed states. Osteoporosis </w:t>
      </w:r>
      <w:proofErr w:type="gramStart"/>
      <w:r w:rsidRPr="00C1603D">
        <w:t>appears to be</w:t>
      </w:r>
      <w:proofErr w:type="gramEnd"/>
      <w:r w:rsidRPr="00C1603D">
        <w:t xml:space="preserve"> the complication most patients spend time </w:t>
      </w:r>
      <w:r w:rsidR="00707061" w:rsidRPr="00C1603D">
        <w:t>in;</w:t>
      </w:r>
      <w:r w:rsidRPr="00C1603D">
        <w:t xml:space="preserve"> women appear to spend up to four times as much time with this complication </w:t>
      </w:r>
      <w:r w:rsidR="00707061" w:rsidRPr="00C1603D">
        <w:t>as</w:t>
      </w:r>
      <w:r w:rsidRPr="00C1603D">
        <w:t xml:space="preserve"> men. The HLA strategies have </w:t>
      </w:r>
      <w:r w:rsidR="00403ADF" w:rsidRPr="00C1603D">
        <w:t xml:space="preserve">a </w:t>
      </w:r>
      <w:r w:rsidRPr="00C1603D">
        <w:t xml:space="preserve">greater proportion of time in </w:t>
      </w:r>
      <w:r w:rsidR="00403ADF" w:rsidRPr="00C1603D">
        <w:t xml:space="preserve">the </w:t>
      </w:r>
      <w:r w:rsidRPr="00C1603D">
        <w:t>CD</w:t>
      </w:r>
      <w:r w:rsidR="00403ADF" w:rsidRPr="00C1603D">
        <w:t>,</w:t>
      </w:r>
      <w:r w:rsidRPr="00C1603D">
        <w:t xml:space="preserve"> gluten-free diet</w:t>
      </w:r>
      <w:r w:rsidR="00403ADF" w:rsidRPr="00C1603D">
        <w:t>,</w:t>
      </w:r>
      <w:r w:rsidRPr="00C1603D">
        <w:t xml:space="preserve"> no</w:t>
      </w:r>
      <w:r w:rsidR="00403ADF" w:rsidRPr="00C1603D">
        <w:t>-</w:t>
      </w:r>
      <w:r w:rsidRPr="00C1603D">
        <w:t xml:space="preserve">complications </w:t>
      </w:r>
      <w:r w:rsidR="00403ADF" w:rsidRPr="00C1603D">
        <w:t xml:space="preserve">state </w:t>
      </w:r>
      <w:r w:rsidRPr="00C1603D">
        <w:t xml:space="preserve">and less time in the undiagnosed states than any IgA EMA strategies. </w:t>
      </w:r>
      <w:commentRangeStart w:id="440"/>
      <w:r w:rsidRPr="00C1603D">
        <w:t xml:space="preserve">They have almost identical proportions of time </w:t>
      </w:r>
      <w:r w:rsidR="00130972" w:rsidRPr="00C1603D">
        <w:t xml:space="preserve">in the states </w:t>
      </w:r>
      <w:r w:rsidRPr="00C1603D">
        <w:t>across the different pre-test probabilities, with only minor differences between the undiagnosed CD</w:t>
      </w:r>
      <w:r w:rsidR="00517B6B" w:rsidRPr="00C1603D">
        <w:t>,</w:t>
      </w:r>
      <w:r w:rsidRPr="00C1603D">
        <w:t xml:space="preserve"> no</w:t>
      </w:r>
      <w:r w:rsidR="00517B6B" w:rsidRPr="00C1603D">
        <w:t>-</w:t>
      </w:r>
      <w:r w:rsidRPr="00C1603D">
        <w:t xml:space="preserve">complications </w:t>
      </w:r>
      <w:r w:rsidR="00517B6B" w:rsidRPr="00C1603D">
        <w:t xml:space="preserve">state </w:t>
      </w:r>
      <w:r w:rsidRPr="00C1603D">
        <w:t xml:space="preserve">and </w:t>
      </w:r>
      <w:r w:rsidR="00517B6B" w:rsidRPr="00C1603D">
        <w:t>the</w:t>
      </w:r>
      <w:r w:rsidR="00C968EB" w:rsidRPr="00C1603D">
        <w:t xml:space="preserve"> undiagnosed CD,</w:t>
      </w:r>
      <w:r w:rsidR="00517B6B" w:rsidRPr="00C1603D">
        <w:t xml:space="preserve"> </w:t>
      </w:r>
      <w:r w:rsidRPr="00C1603D">
        <w:t xml:space="preserve">osteoporosis state. Overall, cost-effectiveness </w:t>
      </w:r>
      <w:proofErr w:type="gramStart"/>
      <w:r w:rsidRPr="00C1603D">
        <w:t>appears</w:t>
      </w:r>
      <w:r w:rsidR="00C968EB" w:rsidRPr="00C1603D">
        <w:t xml:space="preserve"> to be</w:t>
      </w:r>
      <w:r w:rsidRPr="00C1603D">
        <w:t xml:space="preserve"> mostly</w:t>
      </w:r>
      <w:proofErr w:type="gramEnd"/>
      <w:r w:rsidRPr="00C1603D">
        <w:t xml:space="preserve"> driven by time spent in the CD</w:t>
      </w:r>
      <w:r w:rsidR="00C968EB" w:rsidRPr="00C1603D">
        <w:t>,</w:t>
      </w:r>
      <w:r w:rsidRPr="00C1603D">
        <w:t xml:space="preserve"> gluten-free diet</w:t>
      </w:r>
      <w:r w:rsidR="00C968EB" w:rsidRPr="00C1603D">
        <w:t>,</w:t>
      </w:r>
      <w:r w:rsidRPr="00C1603D">
        <w:t xml:space="preserve"> no</w:t>
      </w:r>
      <w:r w:rsidR="00C968EB" w:rsidRPr="00C1603D">
        <w:t>-</w:t>
      </w:r>
      <w:r w:rsidRPr="00C1603D">
        <w:t>complications state</w:t>
      </w:r>
      <w:r w:rsidR="004C161D" w:rsidRPr="00C1603D">
        <w:t>; the</w:t>
      </w:r>
      <w:r w:rsidRPr="00C1603D">
        <w:t xml:space="preserve"> CD</w:t>
      </w:r>
      <w:r w:rsidR="004C161D" w:rsidRPr="00C1603D">
        <w:t>,</w:t>
      </w:r>
      <w:r w:rsidRPr="00C1603D">
        <w:t xml:space="preserve"> gluten-free diet</w:t>
      </w:r>
      <w:r w:rsidR="004C161D" w:rsidRPr="00C1603D">
        <w:t>, osteoporosis state;</w:t>
      </w:r>
      <w:r w:rsidRPr="00C1603D">
        <w:t xml:space="preserve"> and</w:t>
      </w:r>
      <w:r w:rsidR="004C161D" w:rsidRPr="00C1603D">
        <w:t xml:space="preserve"> the</w:t>
      </w:r>
      <w:r w:rsidRPr="00C1603D">
        <w:t xml:space="preserve"> undiagnosed CD</w:t>
      </w:r>
      <w:r w:rsidR="004C161D" w:rsidRPr="00C1603D">
        <w:t>,</w:t>
      </w:r>
      <w:r w:rsidRPr="00C1603D">
        <w:t xml:space="preserve"> osteoporosis state.</w:t>
      </w:r>
      <w:commentRangeEnd w:id="440"/>
      <w:r w:rsidR="006E2C22" w:rsidRPr="00C1603D">
        <w:rPr>
          <w:rFonts w:ascii="Times New Roman" w:hAnsi="Times New Roman" w:cs="Times New Roman"/>
          <w:color w:val="auto"/>
          <w:lang w:val="en-US"/>
        </w:rPr>
        <w:commentReference w:id="440"/>
      </w:r>
    </w:p>
    <w:p w14:paraId="608ADBF8" w14:textId="0063F047" w:rsidR="008B4DF8" w:rsidRPr="00C1603D" w:rsidRDefault="008B4DF8" w:rsidP="008B4DF8">
      <w:pPr>
        <w:pStyle w:val="602TextfoTextstylesTextstyles"/>
      </w:pPr>
      <w:r w:rsidRPr="00C1603D">
        <w:t xml:space="preserve">The ratio of EVPPI to EVPI for each parameter is illustrated in </w:t>
      </w:r>
      <w:r w:rsidRPr="00C1603D">
        <w:rPr>
          <w:i/>
          <w:color w:val="FF0000"/>
        </w:rPr>
        <w:t xml:space="preserve">Figure </w:t>
      </w:r>
      <w:r w:rsidRPr="00C1603D">
        <w:rPr>
          <w:i/>
          <w:noProof/>
          <w:color w:val="FF0000"/>
        </w:rPr>
        <w:t>21</w:t>
      </w:r>
      <w:r w:rsidRPr="00C1603D">
        <w:t xml:space="preserve">. As in the population of adult men, </w:t>
      </w:r>
      <w:r w:rsidR="00771571" w:rsidRPr="00C1603D">
        <w:t xml:space="preserve">the </w:t>
      </w:r>
      <w:r w:rsidRPr="00C1603D">
        <w:t xml:space="preserve">probability of late diagnosis and </w:t>
      </w:r>
      <w:commentRangeStart w:id="441"/>
      <w:r w:rsidR="00771571" w:rsidRPr="00C1603D">
        <w:t xml:space="preserve">the </w:t>
      </w:r>
      <w:r w:rsidRPr="00C1603D">
        <w:t xml:space="preserve">sensitivity of </w:t>
      </w:r>
      <w:r w:rsidR="00771571" w:rsidRPr="00C1603D">
        <w:t xml:space="preserve">the </w:t>
      </w:r>
      <w:r w:rsidRPr="00C1603D">
        <w:t xml:space="preserve">HLA </w:t>
      </w:r>
      <w:r w:rsidR="00771571" w:rsidRPr="00C1603D">
        <w:t xml:space="preserve">test </w:t>
      </w:r>
      <w:r w:rsidRPr="00C1603D">
        <w:t xml:space="preserve">are important parameters. However, </w:t>
      </w:r>
      <w:r w:rsidR="00771571" w:rsidRPr="00C1603D">
        <w:t xml:space="preserve">the </w:t>
      </w:r>
      <w:r w:rsidRPr="00C1603D">
        <w:t>specificity of</w:t>
      </w:r>
      <w:r w:rsidR="00771571" w:rsidRPr="00C1603D">
        <w:t xml:space="preserve"> the</w:t>
      </w:r>
      <w:r w:rsidRPr="00C1603D">
        <w:t xml:space="preserve"> IgA EMA</w:t>
      </w:r>
      <w:r w:rsidR="00771571" w:rsidRPr="00C1603D">
        <w:t xml:space="preserve"> test</w:t>
      </w:r>
      <w:r w:rsidRPr="00C1603D">
        <w:t xml:space="preserve"> </w:t>
      </w:r>
      <w:r w:rsidR="00C31721" w:rsidRPr="00C1603D">
        <w:t>among</w:t>
      </w:r>
      <w:r w:rsidRPr="00C1603D">
        <w:t xml:space="preserve"> adults is also important. Test cost of IgA tTG, the disutility of biopsy and </w:t>
      </w:r>
      <w:r w:rsidR="00276558" w:rsidRPr="00C1603D">
        <w:t xml:space="preserve">the </w:t>
      </w:r>
      <w:r w:rsidRPr="00C1603D">
        <w:t>sensitivity of HLA have low influence</w:t>
      </w:r>
      <w:r w:rsidR="00E04ED4" w:rsidRPr="00C1603D">
        <w:t>,</w:t>
      </w:r>
      <w:r w:rsidRPr="00C1603D">
        <w:t xml:space="preserve"> </w:t>
      </w:r>
      <w:commentRangeEnd w:id="441"/>
      <w:r w:rsidR="00276558" w:rsidRPr="00C1603D">
        <w:rPr>
          <w:rFonts w:ascii="Times New Roman" w:hAnsi="Times New Roman" w:cs="Times New Roman"/>
          <w:color w:val="auto"/>
          <w:lang w:val="en-US"/>
        </w:rPr>
        <w:commentReference w:id="441"/>
      </w:r>
      <w:r w:rsidRPr="00C1603D">
        <w:t xml:space="preserve">and </w:t>
      </w:r>
      <w:r w:rsidR="00E04ED4" w:rsidRPr="00C1603D">
        <w:t xml:space="preserve">the </w:t>
      </w:r>
      <w:r w:rsidRPr="00C1603D">
        <w:t>remaining parameters have almost no influence</w:t>
      </w:r>
      <w:r w:rsidR="00E04ED4" w:rsidRPr="00C1603D">
        <w:t>,</w:t>
      </w:r>
      <w:r w:rsidRPr="00C1603D">
        <w:t xml:space="preserve"> on results.</w:t>
      </w:r>
    </w:p>
    <w:p w14:paraId="4A259CF9" w14:textId="18DFE4F3" w:rsidR="008B4DF8" w:rsidRPr="00C1603D" w:rsidRDefault="008B4DF8" w:rsidP="008B4DF8">
      <w:pPr>
        <w:pStyle w:val="81FigurelegendTableFigureBoxstyles"/>
        <w:rPr>
          <w:rFonts w:cs="Arial"/>
        </w:rPr>
      </w:pPr>
      <w:bookmarkStart w:id="442" w:name="_Toc99720802"/>
      <w:r w:rsidRPr="00C1603D">
        <w:rPr>
          <w:b/>
        </w:rPr>
        <w:t>FIGURE 21</w:t>
      </w:r>
      <w:r w:rsidRPr="00C1603D">
        <w:rPr>
          <w:b/>
        </w:rPr>
        <w:t> </w:t>
      </w:r>
      <w:r w:rsidRPr="00C1603D">
        <w:t xml:space="preserve">Ratio of EVPPI for each parameter to total EVPI </w:t>
      </w:r>
      <w:r w:rsidR="008B5488" w:rsidRPr="00C1603D">
        <w:t>for</w:t>
      </w:r>
      <w:r w:rsidRPr="00C1603D">
        <w:t xml:space="preserve"> adult women. Only </w:t>
      </w:r>
      <w:r w:rsidR="008B5488" w:rsidRPr="00C1603D">
        <w:t xml:space="preserve">the </w:t>
      </w:r>
      <w:proofErr w:type="gramStart"/>
      <w:r w:rsidR="008B5488" w:rsidRPr="00C1603D">
        <w:t>10</w:t>
      </w:r>
      <w:proofErr w:type="gramEnd"/>
      <w:r w:rsidRPr="00C1603D">
        <w:t xml:space="preserve"> most influential parameters </w:t>
      </w:r>
      <w:r w:rsidR="008B5488" w:rsidRPr="00C1603D">
        <w:t xml:space="preserve">are </w:t>
      </w:r>
      <w:r w:rsidRPr="00C1603D">
        <w:t>included</w:t>
      </w:r>
      <w:r w:rsidR="008B5488" w:rsidRPr="00C1603D">
        <w:t>; the</w:t>
      </w:r>
      <w:r w:rsidRPr="00C1603D">
        <w:t xml:space="preserve"> </w:t>
      </w:r>
      <w:r w:rsidR="008B5488" w:rsidRPr="00C1603D">
        <w:t>r</w:t>
      </w:r>
      <w:r w:rsidRPr="00C1603D">
        <w:t xml:space="preserve">emaining parameters have minimal influence on </w:t>
      </w:r>
      <w:r w:rsidR="008B5488" w:rsidRPr="00C1603D">
        <w:t xml:space="preserve">the </w:t>
      </w:r>
      <w:r w:rsidRPr="00C1603D">
        <w:t>results</w:t>
      </w:r>
      <w:bookmarkEnd w:id="442"/>
      <w:r w:rsidR="008B5488" w:rsidRPr="00C1603D">
        <w:t>. GFD, gluten-free diet;</w:t>
      </w:r>
      <w:r w:rsidRPr="00C1603D">
        <w:t xml:space="preserve"> </w:t>
      </w:r>
      <w:r w:rsidRPr="00C1603D">
        <w:rPr>
          <w:rFonts w:cs="Calibri"/>
        </w:rPr>
        <w:t>log_rr_NHL_noGFD</w:t>
      </w:r>
      <w:r w:rsidR="001E7BBA" w:rsidRPr="00C1603D">
        <w:rPr>
          <w:rFonts w:cs="Calibri"/>
        </w:rPr>
        <w:t>,</w:t>
      </w:r>
      <w:r w:rsidRPr="00C1603D">
        <w:rPr>
          <w:rFonts w:cs="Calibri"/>
          <w:color w:val="00B0F0"/>
        </w:rPr>
        <w:t xml:space="preserve"> </w:t>
      </w:r>
      <w:r w:rsidRPr="00C1603D">
        <w:rPr>
          <w:rFonts w:cs="Calibri"/>
        </w:rPr>
        <w:t>log risk ratio of developing NHL</w:t>
      </w:r>
      <w:r w:rsidR="001E7BBA" w:rsidRPr="00C1603D">
        <w:rPr>
          <w:rFonts w:cs="Calibri"/>
        </w:rPr>
        <w:t>,</w:t>
      </w:r>
      <w:r w:rsidRPr="00C1603D">
        <w:rPr>
          <w:rFonts w:cs="Calibri"/>
        </w:rPr>
        <w:t xml:space="preserve"> not on GFD</w:t>
      </w:r>
      <w:r w:rsidR="001E7BBA" w:rsidRPr="00C1603D">
        <w:rPr>
          <w:rFonts w:cs="Calibri"/>
        </w:rPr>
        <w:t>,</w:t>
      </w:r>
      <w:r w:rsidRPr="00C1603D">
        <w:rPr>
          <w:rFonts w:cs="Calibri"/>
        </w:rPr>
        <w:t xml:space="preserve"> compared </w:t>
      </w:r>
      <w:r w:rsidR="001E7BBA" w:rsidRPr="00C1603D">
        <w:rPr>
          <w:rFonts w:cs="Calibri"/>
        </w:rPr>
        <w:t>with</w:t>
      </w:r>
      <w:r w:rsidRPr="00C1603D">
        <w:rPr>
          <w:rFonts w:cs="Calibri"/>
        </w:rPr>
        <w:t xml:space="preserve"> being on GFD</w:t>
      </w:r>
      <w:r w:rsidR="001E7BBA" w:rsidRPr="00C1603D">
        <w:rPr>
          <w:rFonts w:cs="Calibri"/>
        </w:rPr>
        <w:t>,</w:t>
      </w:r>
      <w:r w:rsidRPr="00C1603D">
        <w:rPr>
          <w:rFonts w:cs="Calibri"/>
        </w:rPr>
        <w:t xml:space="preserve"> for coeliac patients; death_log_hr_osteoporosis_female</w:t>
      </w:r>
      <w:r w:rsidR="001E7BBA" w:rsidRPr="00C1603D">
        <w:rPr>
          <w:rFonts w:cs="Calibri"/>
          <w:color w:val="00B0F0"/>
        </w:rPr>
        <w:t>,</w:t>
      </w:r>
      <w:r w:rsidRPr="00C1603D">
        <w:rPr>
          <w:rFonts w:cs="Calibri"/>
          <w:color w:val="00B0F0"/>
        </w:rPr>
        <w:t xml:space="preserve"> </w:t>
      </w:r>
      <w:r w:rsidRPr="00C1603D">
        <w:rPr>
          <w:rFonts w:cs="Calibri"/>
        </w:rPr>
        <w:t>log hazard ratio of mortality with osteoporosis</w:t>
      </w:r>
      <w:r w:rsidR="001E7BBA" w:rsidRPr="00C1603D">
        <w:rPr>
          <w:rFonts w:cs="Calibri"/>
        </w:rPr>
        <w:t>,</w:t>
      </w:r>
      <w:r w:rsidRPr="00C1603D">
        <w:rPr>
          <w:rFonts w:cs="Calibri"/>
        </w:rPr>
        <w:t xml:space="preserve"> compared </w:t>
      </w:r>
      <w:r w:rsidR="001E7BBA" w:rsidRPr="00C1603D">
        <w:rPr>
          <w:rFonts w:cs="Calibri"/>
        </w:rPr>
        <w:t>with</w:t>
      </w:r>
      <w:r w:rsidRPr="00C1603D">
        <w:rPr>
          <w:rFonts w:cs="Calibri"/>
        </w:rPr>
        <w:t xml:space="preserve"> general population</w:t>
      </w:r>
      <w:r w:rsidR="001E7BBA" w:rsidRPr="00C1603D">
        <w:rPr>
          <w:rFonts w:cs="Calibri"/>
        </w:rPr>
        <w:t>,</w:t>
      </w:r>
      <w:r w:rsidRPr="00C1603D">
        <w:rPr>
          <w:rFonts w:cs="Calibri"/>
        </w:rPr>
        <w:t xml:space="preserve"> for females</w:t>
      </w:r>
      <w:r w:rsidR="00C61B54" w:rsidRPr="00C1603D">
        <w:rPr>
          <w:rFonts w:cs="Calibri"/>
        </w:rPr>
        <w:t>; sens, sensitivity; spec, specificity</w:t>
      </w:r>
      <w:r w:rsidRPr="00C1603D">
        <w:rPr>
          <w:rFonts w:cs="Calibri"/>
        </w:rPr>
        <w:t>.</w:t>
      </w:r>
    </w:p>
    <w:p w14:paraId="2003DB2B" w14:textId="7CEC3C62" w:rsidR="008B4DF8" w:rsidRPr="00C1603D" w:rsidRDefault="008B4DF8" w:rsidP="008B4DF8">
      <w:pPr>
        <w:pStyle w:val="602TextfoTextstylesTextstyles"/>
      </w:pPr>
      <w:r w:rsidRPr="00C1603D">
        <w:lastRenderedPageBreak/>
        <w:t>The total EVPI and EVPPI for parameter sets of interest</w:t>
      </w:r>
      <w:r w:rsidR="0069646E" w:rsidRPr="00C1603D">
        <w:t xml:space="preserve"> </w:t>
      </w:r>
      <w:r w:rsidRPr="00C1603D">
        <w:t xml:space="preserve">are </w:t>
      </w:r>
      <w:r w:rsidRPr="00C1603D">
        <w:rPr>
          <w:color w:val="auto"/>
        </w:rPr>
        <w:t xml:space="preserve">summarised in </w:t>
      </w:r>
      <w:r w:rsidRPr="00C1603D">
        <w:rPr>
          <w:i/>
          <w:color w:val="auto"/>
        </w:rPr>
        <w:t>Table 2</w:t>
      </w:r>
      <w:r w:rsidR="008A6568" w:rsidRPr="00C1603D">
        <w:rPr>
          <w:i/>
          <w:color w:val="auto"/>
        </w:rPr>
        <w:t>1</w:t>
      </w:r>
      <w:r w:rsidRPr="00C1603D">
        <w:rPr>
          <w:color w:val="auto"/>
        </w:rPr>
        <w:t xml:space="preserve">. The </w:t>
      </w:r>
      <w:r w:rsidRPr="00C1603D">
        <w:t xml:space="preserve">total population EVPI </w:t>
      </w:r>
      <w:r w:rsidR="0069646E" w:rsidRPr="00C1603D">
        <w:t xml:space="preserve">for women </w:t>
      </w:r>
      <w:r w:rsidRPr="00C1603D">
        <w:t>is £79.0</w:t>
      </w:r>
      <w:r w:rsidR="00A22D66" w:rsidRPr="00C1603D">
        <w:t>M</w:t>
      </w:r>
      <w:r w:rsidRPr="00C1603D">
        <w:t xml:space="preserve">, indicating potential value in conducting further research. This is greater than the potential value </w:t>
      </w:r>
      <w:r w:rsidR="0069646E" w:rsidRPr="00C1603D">
        <w:t>for</w:t>
      </w:r>
      <w:r w:rsidRPr="00C1603D">
        <w:t xml:space="preserve"> men (£25.7</w:t>
      </w:r>
      <w:r w:rsidR="0069646E" w:rsidRPr="00C1603D">
        <w:t>M</w:t>
      </w:r>
      <w:r w:rsidRPr="00C1603D">
        <w:t xml:space="preserve">). As </w:t>
      </w:r>
      <w:r w:rsidR="004C5422" w:rsidRPr="00C1603D">
        <w:t>with</w:t>
      </w:r>
      <w:r w:rsidRPr="00C1603D">
        <w:t xml:space="preserve"> men, the EVPPI for parameter sets indicates </w:t>
      </w:r>
      <w:r w:rsidR="004C5422" w:rsidRPr="00C1603D">
        <w:t xml:space="preserve">that </w:t>
      </w:r>
      <w:r w:rsidRPr="00C1603D">
        <w:t>the greatest potential value lies in a study of probabilities of late diagnosis (£68.5</w:t>
      </w:r>
      <w:r w:rsidR="004C5422" w:rsidRPr="00C1603D">
        <w:t>M</w:t>
      </w:r>
      <w:r w:rsidRPr="00C1603D">
        <w:t>) and on test accuracies (£43</w:t>
      </w:r>
      <w:r w:rsidR="004C5422" w:rsidRPr="00C1603D">
        <w:t>M</w:t>
      </w:r>
      <w:r w:rsidRPr="00C1603D">
        <w:t xml:space="preserve">). These values are </w:t>
      </w:r>
      <w:r w:rsidR="004C5422" w:rsidRPr="00C1603D">
        <w:t>two to three</w:t>
      </w:r>
      <w:r w:rsidRPr="00C1603D">
        <w:t xml:space="preserve"> times greater than the corresponding values </w:t>
      </w:r>
      <w:r w:rsidR="001B5777" w:rsidRPr="00C1603D">
        <w:t>for</w:t>
      </w:r>
      <w:r w:rsidRPr="00C1603D">
        <w:t xml:space="preserve"> men, suggesting</w:t>
      </w:r>
      <w:r w:rsidR="001B5777" w:rsidRPr="00C1603D">
        <w:t xml:space="preserve"> that</w:t>
      </w:r>
      <w:r w:rsidRPr="00C1603D">
        <w:t xml:space="preserve"> research should be focused on the adult women population.</w:t>
      </w:r>
    </w:p>
    <w:p w14:paraId="4EFBCAE0" w14:textId="77777777" w:rsidR="008B4DF8" w:rsidRPr="00C1603D" w:rsidRDefault="008B4DF8" w:rsidP="008B4DF8">
      <w:pPr>
        <w:pStyle w:val="54CheadHeadingsHeadingstyles"/>
      </w:pPr>
      <w:bookmarkStart w:id="443" w:name="_Toc87507201"/>
      <w:r w:rsidRPr="00C1603D">
        <w:t>Children</w:t>
      </w:r>
      <w:bookmarkEnd w:id="443"/>
    </w:p>
    <w:p w14:paraId="2CA2CD71" w14:textId="08FE5FEF" w:rsidR="008B4DF8" w:rsidRPr="00C1603D" w:rsidRDefault="008B4DF8" w:rsidP="008B4DF8">
      <w:pPr>
        <w:pStyle w:val="602TextfoTextstylesTextstyles"/>
      </w:pPr>
      <w:r w:rsidRPr="00C1603D">
        <w:rPr>
          <w:i/>
          <w:color w:val="FF0000"/>
        </w:rPr>
        <w:t xml:space="preserve">Figure </w:t>
      </w:r>
      <w:r w:rsidRPr="00C1603D">
        <w:rPr>
          <w:i/>
          <w:noProof/>
          <w:color w:val="FF0000"/>
        </w:rPr>
        <w:t>22</w:t>
      </w:r>
      <w:r w:rsidRPr="00C1603D">
        <w:t xml:space="preserve"> plots the incremental net benefit at </w:t>
      </w:r>
      <w:r w:rsidR="00540842" w:rsidRPr="00C1603D">
        <w:t>£20,000 per QALY</w:t>
      </w:r>
      <w:r w:rsidRPr="00C1603D">
        <w:t xml:space="preserve"> for risk prediction strategies. Results are similar to those in adults, but uncertainty is greater as the 95% CrI</w:t>
      </w:r>
      <w:r w:rsidR="0063021A" w:rsidRPr="00C1603D">
        <w:t>s</w:t>
      </w:r>
      <w:r w:rsidRPr="00C1603D">
        <w:t xml:space="preserve"> are wider and</w:t>
      </w:r>
      <w:r w:rsidR="0063021A" w:rsidRPr="00C1603D">
        <w:t>,</w:t>
      </w:r>
      <w:r w:rsidRPr="00C1603D">
        <w:t xml:space="preserve"> for strategies without HLA</w:t>
      </w:r>
      <w:r w:rsidR="0063021A" w:rsidRPr="00C1603D">
        <w:t>,</w:t>
      </w:r>
      <w:r w:rsidRPr="00C1603D">
        <w:t xml:space="preserve"> now include 0 (i.e. </w:t>
      </w:r>
      <w:r w:rsidR="0063021A" w:rsidRPr="00C1603D">
        <w:t xml:space="preserve">the </w:t>
      </w:r>
      <w:r w:rsidRPr="00C1603D">
        <w:t>strategy</w:t>
      </w:r>
      <w:r w:rsidR="0063021A" w:rsidRPr="00C1603D">
        <w:t xml:space="preserve"> is</w:t>
      </w:r>
      <w:r w:rsidRPr="00C1603D">
        <w:t xml:space="preserve"> not cost-effective</w:t>
      </w:r>
      <w:r w:rsidR="0063021A" w:rsidRPr="00C1603D">
        <w:t xml:space="preserve"> when</w:t>
      </w:r>
      <w:r w:rsidRPr="00C1603D">
        <w:t xml:space="preserve"> compared </w:t>
      </w:r>
      <w:r w:rsidR="0063021A" w:rsidRPr="00C1603D">
        <w:t>with</w:t>
      </w:r>
      <w:r w:rsidRPr="00C1603D">
        <w:t xml:space="preserve"> no screening). </w:t>
      </w:r>
      <w:r w:rsidR="0063021A" w:rsidRPr="00C1603D">
        <w:rPr>
          <w:i/>
          <w:color w:val="auto"/>
        </w:rPr>
        <w:t xml:space="preserve">Figure </w:t>
      </w:r>
      <w:r w:rsidR="0063021A" w:rsidRPr="00C1603D">
        <w:rPr>
          <w:i/>
          <w:noProof/>
          <w:color w:val="auto"/>
        </w:rPr>
        <w:t>22</w:t>
      </w:r>
      <w:r w:rsidR="0063021A" w:rsidRPr="00C1603D">
        <w:rPr>
          <w:color w:val="auto"/>
        </w:rPr>
        <w:t xml:space="preserve"> </w:t>
      </w:r>
      <w:r w:rsidRPr="00C1603D">
        <w:t>shows that</w:t>
      </w:r>
      <w:r w:rsidR="0063021A" w:rsidRPr="00C1603D">
        <w:t>,</w:t>
      </w:r>
      <w:r w:rsidRPr="00C1603D">
        <w:t xml:space="preserve"> for the serological tests without HLA</w:t>
      </w:r>
      <w:r w:rsidR="0063021A" w:rsidRPr="00C1603D">
        <w:t>, the</w:t>
      </w:r>
      <w:r w:rsidRPr="00C1603D">
        <w:t xml:space="preserve"> incremental net benefit at </w:t>
      </w:r>
      <w:r w:rsidR="00540842" w:rsidRPr="00C1603D">
        <w:t>£20,000 per QALY</w:t>
      </w:r>
      <w:r w:rsidRPr="00C1603D">
        <w:t xml:space="preserve"> is positive</w:t>
      </w:r>
      <w:r w:rsidR="0063021A" w:rsidRPr="00C1603D">
        <w:t xml:space="preserve"> only</w:t>
      </w:r>
      <w:r w:rsidRPr="00C1603D">
        <w:t xml:space="preserve"> when </w:t>
      </w:r>
      <w:r w:rsidR="0063021A" w:rsidRPr="00C1603D">
        <w:t xml:space="preserve">the </w:t>
      </w:r>
      <w:r w:rsidRPr="00C1603D">
        <w:t xml:space="preserve">diagnostic indicator sensitivity is </w:t>
      </w:r>
      <w:r w:rsidR="0063021A" w:rsidRPr="00C1603D">
        <w:t>&gt; </w:t>
      </w:r>
      <w:r w:rsidRPr="00C1603D">
        <w:t xml:space="preserve">0.9 or if the specificity is </w:t>
      </w:r>
      <w:r w:rsidR="0063021A" w:rsidRPr="00C1603D">
        <w:t>&gt; </w:t>
      </w:r>
      <w:r w:rsidRPr="00C1603D">
        <w:t xml:space="preserve">0.9 and sensitivity </w:t>
      </w:r>
      <w:r w:rsidR="0063021A" w:rsidRPr="00C1603D">
        <w:t>is &gt; </w:t>
      </w:r>
      <w:r w:rsidRPr="00C1603D">
        <w:t>0.8. For the tests including HLA,</w:t>
      </w:r>
      <w:r w:rsidR="0063021A" w:rsidRPr="00C1603D">
        <w:t xml:space="preserve"> the</w:t>
      </w:r>
      <w:r w:rsidRPr="00C1603D">
        <w:t xml:space="preserve"> incremental net benefit is positive regardless of the accuracy of the diagnostic indicator, except for IgA tTG plus HLA</w:t>
      </w:r>
      <w:r w:rsidR="0063021A" w:rsidRPr="00C1603D">
        <w:t>,</w:t>
      </w:r>
      <w:r w:rsidRPr="00C1603D">
        <w:t xml:space="preserve"> which requires both sensitivity and specificity of the diagnostic indicator to be </w:t>
      </w:r>
      <w:r w:rsidR="0063021A" w:rsidRPr="00C1603D">
        <w:t>&gt; </w:t>
      </w:r>
      <w:r w:rsidRPr="00C1603D">
        <w:t xml:space="preserve">0.6. </w:t>
      </w:r>
      <w:commentRangeStart w:id="444"/>
      <w:r w:rsidRPr="00C1603D">
        <w:t xml:space="preserve">Cost-effectiveness is the same if HLA is applied before or after EMA or tTG plus EMA, </w:t>
      </w:r>
      <w:r w:rsidR="0063021A" w:rsidRPr="00C1603D">
        <w:t>except</w:t>
      </w:r>
      <w:r w:rsidRPr="00C1603D">
        <w:t xml:space="preserve"> when combined with IgA </w:t>
      </w:r>
      <w:r w:rsidR="0063021A" w:rsidRPr="00C1603D">
        <w:t>t</w:t>
      </w:r>
      <w:r w:rsidRPr="00C1603D">
        <w:t>TG alone</w:t>
      </w:r>
      <w:r w:rsidR="0063021A" w:rsidRPr="00C1603D">
        <w:t>,</w:t>
      </w:r>
      <w:r w:rsidRPr="00C1603D">
        <w:t xml:space="preserve"> </w:t>
      </w:r>
      <w:r w:rsidR="0063021A" w:rsidRPr="00C1603D">
        <w:t>in which case</w:t>
      </w:r>
      <w:r w:rsidRPr="00C1603D">
        <w:t xml:space="preserve"> only HLA plus IgA </w:t>
      </w:r>
      <w:r w:rsidR="0063021A" w:rsidRPr="00C1603D">
        <w:t>t</w:t>
      </w:r>
      <w:r w:rsidRPr="00C1603D">
        <w:t>TG (i.e. IgA tTG as confirmatory test after HLA) is cost-effective</w:t>
      </w:r>
      <w:r w:rsidR="0063021A" w:rsidRPr="00C1603D">
        <w:t>,</w:t>
      </w:r>
      <w:r w:rsidRPr="00C1603D">
        <w:t xml:space="preserve"> compared </w:t>
      </w:r>
      <w:r w:rsidR="0063021A" w:rsidRPr="00C1603D">
        <w:t>with</w:t>
      </w:r>
      <w:r w:rsidRPr="00C1603D">
        <w:t xml:space="preserve"> no screening.</w:t>
      </w:r>
      <w:commentRangeEnd w:id="444"/>
      <w:r w:rsidR="0063021A" w:rsidRPr="00C1603D">
        <w:rPr>
          <w:rFonts w:ascii="Times New Roman" w:hAnsi="Times New Roman" w:cs="Times New Roman"/>
          <w:color w:val="auto"/>
          <w:lang w:val="en-US"/>
        </w:rPr>
        <w:commentReference w:id="444"/>
      </w:r>
    </w:p>
    <w:p w14:paraId="7CB02843" w14:textId="4B57518C" w:rsidR="008B4DF8" w:rsidRPr="00C1603D" w:rsidRDefault="008B4DF8" w:rsidP="008B4DF8">
      <w:pPr>
        <w:pStyle w:val="81FigurelegendTableFigureBoxstyles"/>
      </w:pPr>
      <w:bookmarkStart w:id="445" w:name="_Toc99720803"/>
      <w:r w:rsidRPr="00C1603D">
        <w:rPr>
          <w:b/>
        </w:rPr>
        <w:t>FIGURE 22</w:t>
      </w:r>
      <w:r w:rsidRPr="00C1603D">
        <w:rPr>
          <w:b/>
        </w:rPr>
        <w:t> </w:t>
      </w:r>
      <w:r w:rsidRPr="00C1603D">
        <w:t xml:space="preserve">Incremental net benefit at </w:t>
      </w:r>
      <w:r w:rsidR="00540842" w:rsidRPr="00C1603D">
        <w:t>£20,000 per QALY</w:t>
      </w:r>
      <w:r w:rsidR="0063021A" w:rsidRPr="00C1603D">
        <w:t>,</w:t>
      </w:r>
      <w:r w:rsidRPr="00C1603D">
        <w:t xml:space="preserve"> compared </w:t>
      </w:r>
      <w:r w:rsidR="0063021A" w:rsidRPr="00C1603D">
        <w:t>with</w:t>
      </w:r>
      <w:r w:rsidRPr="00C1603D">
        <w:t xml:space="preserve"> no screening</w:t>
      </w:r>
      <w:r w:rsidR="0063021A" w:rsidRPr="00C1603D">
        <w:t>,</w:t>
      </w:r>
      <w:r w:rsidRPr="00C1603D">
        <w:t xml:space="preserve"> at each combination of sensitivity (</w:t>
      </w:r>
      <w:r w:rsidRPr="00C1603D">
        <w:rPr>
          <w:i/>
          <w:iCs/>
        </w:rPr>
        <w:t>x</w:t>
      </w:r>
      <w:r w:rsidRPr="00C1603D">
        <w:t xml:space="preserve">-axis) and specificity (line colour) </w:t>
      </w:r>
      <w:r w:rsidR="0063021A" w:rsidRPr="00C1603D">
        <w:t>for</w:t>
      </w:r>
      <w:r w:rsidRPr="00C1603D">
        <w:t xml:space="preserve"> children. (a) IgA EMA; (b) IgA </w:t>
      </w:r>
      <w:r w:rsidR="0063021A" w:rsidRPr="00C1603D">
        <w:t>tTG</w:t>
      </w:r>
      <w:r w:rsidRPr="00C1603D">
        <w:t xml:space="preserve"> plus EMA; (c) IgA </w:t>
      </w:r>
      <w:r w:rsidR="0063021A" w:rsidRPr="00C1603D">
        <w:t>tTG</w:t>
      </w:r>
      <w:r w:rsidRPr="00C1603D">
        <w:t xml:space="preserve">; (d) IgA EMA plus HLA; (e) IgA </w:t>
      </w:r>
      <w:r w:rsidR="0063021A" w:rsidRPr="00C1603D">
        <w:t>tTG</w:t>
      </w:r>
      <w:r w:rsidRPr="00C1603D">
        <w:t xml:space="preserve"> plus EMA plus HLA; (f) IgA </w:t>
      </w:r>
      <w:r w:rsidR="0063021A" w:rsidRPr="00C1603D">
        <w:t>tTG</w:t>
      </w:r>
      <w:r w:rsidRPr="00C1603D">
        <w:t xml:space="preserve"> plus HLA; (g) HLA plus IgA EMA; (h) HLA plus IgA </w:t>
      </w:r>
      <w:r w:rsidR="0063021A" w:rsidRPr="00C1603D">
        <w:t>tTG</w:t>
      </w:r>
      <w:r w:rsidRPr="00C1603D">
        <w:t xml:space="preserve"> plus EMA; and (i) HLA plus IgA </w:t>
      </w:r>
      <w:r w:rsidR="0063021A" w:rsidRPr="00C1603D">
        <w:t>tTG</w:t>
      </w:r>
      <w:r w:rsidRPr="00C1603D">
        <w:t>. Note</w:t>
      </w:r>
      <w:r w:rsidR="0063021A" w:rsidRPr="00C1603D">
        <w:t xml:space="preserve"> that</w:t>
      </w:r>
      <w:r w:rsidRPr="00C1603D">
        <w:t xml:space="preserve"> thick lines </w:t>
      </w:r>
      <w:r w:rsidR="0063021A" w:rsidRPr="00C1603D">
        <w:t>indicate the</w:t>
      </w:r>
      <w:r w:rsidRPr="00C1603D">
        <w:t xml:space="preserve"> mean and narrow lines </w:t>
      </w:r>
      <w:r w:rsidR="0063021A" w:rsidRPr="00C1603D">
        <w:t>indicate the</w:t>
      </w:r>
      <w:r w:rsidRPr="00C1603D">
        <w:t xml:space="preserve"> 95% CrI.</w:t>
      </w:r>
      <w:bookmarkEnd w:id="445"/>
    </w:p>
    <w:p w14:paraId="0D0585BC" w14:textId="1953F696" w:rsidR="008B4DF8" w:rsidRPr="00C1603D" w:rsidRDefault="008B4DF8" w:rsidP="008B4DF8">
      <w:pPr>
        <w:pStyle w:val="602TextfoTextstylesTextstyles"/>
      </w:pPr>
      <w:r w:rsidRPr="00C1603D">
        <w:rPr>
          <w:i/>
          <w:color w:val="FF0000"/>
        </w:rPr>
        <w:t xml:space="preserve">Figure </w:t>
      </w:r>
      <w:r w:rsidRPr="00C1603D">
        <w:rPr>
          <w:i/>
          <w:noProof/>
          <w:color w:val="FF0000"/>
        </w:rPr>
        <w:t>23</w:t>
      </w:r>
      <w:r w:rsidRPr="00C1603D">
        <w:t xml:space="preserve"> plots the probability that each combination of diagnostic indicator sensitivity and specificity is cost-effective for each serological test (i.e. </w:t>
      </w:r>
      <w:r w:rsidR="00553BA7" w:rsidRPr="00C1603D">
        <w:t xml:space="preserve">the </w:t>
      </w:r>
      <w:r w:rsidRPr="00C1603D">
        <w:t xml:space="preserve">proportion of simulations </w:t>
      </w:r>
      <w:r w:rsidR="00553BA7" w:rsidRPr="00C1603D">
        <w:t>that have</w:t>
      </w:r>
      <w:r w:rsidRPr="00C1603D">
        <w:t xml:space="preserve"> a positive incremental net benefit</w:t>
      </w:r>
      <w:r w:rsidR="00553BA7" w:rsidRPr="00C1603D">
        <w:t>,</w:t>
      </w:r>
      <w:r w:rsidRPr="00C1603D">
        <w:t xml:space="preserve"> compared </w:t>
      </w:r>
      <w:r w:rsidR="00553BA7" w:rsidRPr="00C1603D">
        <w:t>with</w:t>
      </w:r>
      <w:r w:rsidRPr="00C1603D">
        <w:t xml:space="preserve"> no screening</w:t>
      </w:r>
      <w:r w:rsidR="00553BA7" w:rsidRPr="00C1603D">
        <w:t>,</w:t>
      </w:r>
      <w:r w:rsidRPr="00C1603D">
        <w:t xml:space="preserve"> at various willingness</w:t>
      </w:r>
      <w:r w:rsidR="00553BA7" w:rsidRPr="00C1603D">
        <w:t>-</w:t>
      </w:r>
      <w:r w:rsidRPr="00C1603D">
        <w:t>to</w:t>
      </w:r>
      <w:r w:rsidR="00553BA7" w:rsidRPr="00C1603D">
        <w:t>-</w:t>
      </w:r>
      <w:r w:rsidRPr="00C1603D">
        <w:t xml:space="preserve">pay thresholds). It shows that the only IgA EMA, IgA </w:t>
      </w:r>
      <w:r w:rsidR="00553BA7" w:rsidRPr="00C1603D">
        <w:t>tTG</w:t>
      </w:r>
      <w:r w:rsidRPr="00C1603D">
        <w:t xml:space="preserve"> plus EMA or IgA </w:t>
      </w:r>
      <w:r w:rsidR="00553BA7" w:rsidRPr="00C1603D">
        <w:t>tTG</w:t>
      </w:r>
      <w:r w:rsidRPr="00C1603D">
        <w:t xml:space="preserve"> strategies with probabilit</w:t>
      </w:r>
      <w:r w:rsidR="00553BA7" w:rsidRPr="00C1603D">
        <w:t>ies</w:t>
      </w:r>
      <w:r w:rsidRPr="00C1603D">
        <w:t xml:space="preserve"> </w:t>
      </w:r>
      <w:r w:rsidR="00553BA7" w:rsidRPr="00C1603D">
        <w:t>of &gt; </w:t>
      </w:r>
      <w:r w:rsidRPr="00C1603D">
        <w:t xml:space="preserve">50% of being cost-effective are those with diagnostic indicator sensitivity </w:t>
      </w:r>
      <w:r w:rsidR="00553BA7" w:rsidRPr="00C1603D">
        <w:t>of</w:t>
      </w:r>
      <w:r w:rsidRPr="00C1603D">
        <w:t xml:space="preserve"> </w:t>
      </w:r>
      <w:r w:rsidR="00553BA7" w:rsidRPr="00C1603D">
        <w:t>&gt; </w:t>
      </w:r>
      <w:r w:rsidRPr="00C1603D">
        <w:t xml:space="preserve">0.9 or both specificity and sensitivity </w:t>
      </w:r>
      <w:r w:rsidR="00553BA7" w:rsidRPr="00C1603D">
        <w:t>of</w:t>
      </w:r>
      <w:r w:rsidRPr="00C1603D">
        <w:t xml:space="preserve"> </w:t>
      </w:r>
      <w:r w:rsidR="00553BA7" w:rsidRPr="00C1603D">
        <w:t>&gt; </w:t>
      </w:r>
      <w:r w:rsidRPr="00C1603D">
        <w:t>0.8. As expected, the combinations with the highest probabilit</w:t>
      </w:r>
      <w:r w:rsidR="00553BA7" w:rsidRPr="00C1603D">
        <w:t>ies</w:t>
      </w:r>
      <w:r w:rsidRPr="00C1603D">
        <w:t xml:space="preserve"> of being cost-effective are those with a specificity of 0.9 and a sensitivity of 0.9 or 1. The serological tests including HLA have a high probability of being cost-effective regardless of the combination of sensitivity and specificity of the risk test. </w:t>
      </w:r>
      <w:r w:rsidR="00553BA7" w:rsidRPr="00C1603D">
        <w:t>The o</w:t>
      </w:r>
      <w:r w:rsidRPr="00C1603D">
        <w:t>nly exception is IgA tTG plus EMA</w:t>
      </w:r>
      <w:r w:rsidR="00553BA7" w:rsidRPr="00C1603D">
        <w:t>,</w:t>
      </w:r>
      <w:r w:rsidRPr="00C1603D">
        <w:t xml:space="preserve"> which requires a sensitivity </w:t>
      </w:r>
      <w:r w:rsidR="00553BA7" w:rsidRPr="00C1603D">
        <w:t>of &gt; </w:t>
      </w:r>
      <w:r w:rsidRPr="00C1603D">
        <w:t>0.50 to have a high probability of being cost-effective.</w:t>
      </w:r>
    </w:p>
    <w:p w14:paraId="27E82649" w14:textId="0507D447" w:rsidR="008B4DF8" w:rsidRPr="00C1603D" w:rsidRDefault="008B4DF8" w:rsidP="008B4DF8">
      <w:pPr>
        <w:pStyle w:val="81FigurelegendTableFigureBoxstyles"/>
      </w:pPr>
      <w:bookmarkStart w:id="446" w:name="_Toc99720804"/>
      <w:r w:rsidRPr="00C1603D">
        <w:rPr>
          <w:b/>
        </w:rPr>
        <w:t>FIGURE 23</w:t>
      </w:r>
      <w:r w:rsidRPr="00C1603D">
        <w:rPr>
          <w:b/>
        </w:rPr>
        <w:t> </w:t>
      </w:r>
      <w:r w:rsidRPr="00C1603D">
        <w:t xml:space="preserve">Probability </w:t>
      </w:r>
      <w:r w:rsidR="00553BA7" w:rsidRPr="00C1603D">
        <w:t xml:space="preserve">of being </w:t>
      </w:r>
      <w:r w:rsidRPr="00C1603D">
        <w:t xml:space="preserve">cost-effective at </w:t>
      </w:r>
      <w:r w:rsidR="00540842" w:rsidRPr="00C1603D">
        <w:t>£20,000 per QALY</w:t>
      </w:r>
      <w:r w:rsidR="00553BA7" w:rsidRPr="00C1603D">
        <w:t>,</w:t>
      </w:r>
      <w:r w:rsidRPr="00C1603D">
        <w:t xml:space="preserve"> </w:t>
      </w:r>
      <w:r w:rsidR="00553BA7" w:rsidRPr="00C1603D">
        <w:t>compared with</w:t>
      </w:r>
      <w:r w:rsidRPr="00C1603D">
        <w:t xml:space="preserve"> no screening</w:t>
      </w:r>
      <w:r w:rsidR="00553BA7" w:rsidRPr="00C1603D">
        <w:t>,</w:t>
      </w:r>
      <w:r w:rsidRPr="00C1603D">
        <w:t xml:space="preserve"> at each combination of sensitivity (</w:t>
      </w:r>
      <w:r w:rsidRPr="00C1603D">
        <w:rPr>
          <w:i/>
          <w:iCs/>
        </w:rPr>
        <w:t>x</w:t>
      </w:r>
      <w:r w:rsidRPr="00C1603D">
        <w:t xml:space="preserve">-axis) and specificity (line colour) </w:t>
      </w:r>
      <w:r w:rsidR="00553BA7" w:rsidRPr="00C1603D">
        <w:t>for</w:t>
      </w:r>
      <w:r w:rsidRPr="00C1603D">
        <w:t xml:space="preserve"> children</w:t>
      </w:r>
      <w:bookmarkEnd w:id="446"/>
      <w:r w:rsidRPr="00C1603D">
        <w:t xml:space="preserve">. (a) IgA EMA; (b) IgA </w:t>
      </w:r>
      <w:r w:rsidR="00553BA7" w:rsidRPr="00C1603D">
        <w:t>tTG</w:t>
      </w:r>
      <w:r w:rsidRPr="00C1603D">
        <w:t xml:space="preserve"> plus EMA; (c) IgA </w:t>
      </w:r>
      <w:r w:rsidR="00553BA7" w:rsidRPr="00C1603D">
        <w:t>tTG</w:t>
      </w:r>
      <w:r w:rsidRPr="00C1603D">
        <w:t xml:space="preserve">; (d) IgA EMA plus HLA; (e) IgA </w:t>
      </w:r>
      <w:r w:rsidR="00553BA7" w:rsidRPr="00C1603D">
        <w:t>tTG</w:t>
      </w:r>
      <w:r w:rsidRPr="00C1603D">
        <w:t xml:space="preserve"> plus EMA plus HLA; (f) IgA </w:t>
      </w:r>
      <w:r w:rsidR="00553BA7" w:rsidRPr="00C1603D">
        <w:t>tTG</w:t>
      </w:r>
      <w:r w:rsidRPr="00C1603D">
        <w:t xml:space="preserve"> plus HLA; (g) HLA plus IgA EMA; (h) HLA plus IgA </w:t>
      </w:r>
      <w:r w:rsidR="00553BA7" w:rsidRPr="00C1603D">
        <w:t>tTG</w:t>
      </w:r>
      <w:r w:rsidRPr="00C1603D">
        <w:t xml:space="preserve"> plus EMA; and (i) HLA plus IgA </w:t>
      </w:r>
      <w:r w:rsidR="00553BA7" w:rsidRPr="00C1603D">
        <w:t>tTG</w:t>
      </w:r>
      <w:r w:rsidRPr="00C1603D">
        <w:t>.</w:t>
      </w:r>
    </w:p>
    <w:p w14:paraId="10117FB6" w14:textId="34398E8F" w:rsidR="008B4DF8" w:rsidRPr="00C1603D" w:rsidRDefault="008B4DF8" w:rsidP="008B4DF8">
      <w:pPr>
        <w:pStyle w:val="602TextfoTextstylesTextstyles"/>
        <w:rPr>
          <w:color w:val="auto"/>
        </w:rPr>
      </w:pPr>
      <w:r w:rsidRPr="00C1603D">
        <w:t xml:space="preserve">As </w:t>
      </w:r>
      <w:r w:rsidR="00553BA7" w:rsidRPr="00C1603D">
        <w:t>with the</w:t>
      </w:r>
      <w:r w:rsidRPr="00C1603D">
        <w:t xml:space="preserve"> adult</w:t>
      </w:r>
      <w:r w:rsidR="00553BA7" w:rsidRPr="00C1603D">
        <w:t xml:space="preserve"> population</w:t>
      </w:r>
      <w:r w:rsidRPr="00C1603D">
        <w:t>, we select</w:t>
      </w:r>
      <w:r w:rsidR="0071102B" w:rsidRPr="00C1603D">
        <w:t>ed</w:t>
      </w:r>
      <w:r w:rsidRPr="00C1603D">
        <w:t xml:space="preserve"> the testing strategies IgA tTG alone, IgA EMA plus HLA and HLA plus IgA tTG to combine with the various pre-test probabilities </w:t>
      </w:r>
      <w:r w:rsidRPr="00C1603D">
        <w:rPr>
          <w:color w:val="auto"/>
        </w:rPr>
        <w:t xml:space="preserve">list in </w:t>
      </w:r>
      <w:r w:rsidRPr="00C1603D">
        <w:rPr>
          <w:i/>
          <w:color w:val="auto"/>
        </w:rPr>
        <w:t xml:space="preserve">Table </w:t>
      </w:r>
      <w:r w:rsidRPr="00C1603D">
        <w:rPr>
          <w:i/>
          <w:noProof/>
          <w:color w:val="auto"/>
        </w:rPr>
        <w:t>5</w:t>
      </w:r>
      <w:r w:rsidRPr="00C1603D">
        <w:rPr>
          <w:color w:val="auto"/>
        </w:rPr>
        <w:t xml:space="preserve">. This </w:t>
      </w:r>
      <w:r w:rsidRPr="00C1603D">
        <w:t>is justified as strategies using IgA tTG and IgA EMA have similar incremental net benefit</w:t>
      </w:r>
      <w:r w:rsidR="0071102B" w:rsidRPr="00C1603D">
        <w:t>s</w:t>
      </w:r>
      <w:r w:rsidRPr="00C1603D">
        <w:t xml:space="preserve"> and probabilit</w:t>
      </w:r>
      <w:r w:rsidR="0071102B" w:rsidRPr="00C1603D">
        <w:t>ies</w:t>
      </w:r>
      <w:r w:rsidRPr="00C1603D">
        <w:t xml:space="preserve"> of being cost-effective, IgA </w:t>
      </w:r>
      <w:r w:rsidR="00553BA7" w:rsidRPr="00C1603D">
        <w:t>tTG</w:t>
      </w:r>
      <w:r w:rsidRPr="00C1603D">
        <w:t xml:space="preserve"> plus HLA performs worst among strategies with HLA, there is limited difference between IgA </w:t>
      </w:r>
      <w:r w:rsidR="00553BA7" w:rsidRPr="00C1603D">
        <w:t>tTG</w:t>
      </w:r>
      <w:r w:rsidRPr="00C1603D">
        <w:t xml:space="preserve"> plus EMA plus HLA and IgA EMA plus HLA (i.e. not employing </w:t>
      </w:r>
      <w:r w:rsidR="00553BA7" w:rsidRPr="00C1603D">
        <w:t>tTG</w:t>
      </w:r>
      <w:r w:rsidRPr="00C1603D">
        <w:t>), the order in which HLA and EMA</w:t>
      </w:r>
      <w:r w:rsidR="00727824" w:rsidRPr="00C1603D">
        <w:t xml:space="preserve"> tests are conducted</w:t>
      </w:r>
      <w:r w:rsidRPr="00C1603D">
        <w:t xml:space="preserve"> has </w:t>
      </w:r>
      <w:proofErr w:type="gramStart"/>
      <w:r w:rsidRPr="00C1603D">
        <w:rPr>
          <w:color w:val="auto"/>
        </w:rPr>
        <w:t>little impact</w:t>
      </w:r>
      <w:proofErr w:type="gramEnd"/>
      <w:r w:rsidRPr="00C1603D">
        <w:rPr>
          <w:color w:val="auto"/>
        </w:rPr>
        <w:t>, and HLA plus IgA tTG has high cost-effectiveness and employs a widely available test.</w:t>
      </w:r>
    </w:p>
    <w:p w14:paraId="0A5D1DA5" w14:textId="4F9CE655" w:rsidR="008B4DF8" w:rsidRPr="00C1603D" w:rsidRDefault="008B4DF8" w:rsidP="008B4DF8">
      <w:pPr>
        <w:pStyle w:val="602TextfoTextstylesTextstyles"/>
      </w:pPr>
      <w:r w:rsidRPr="00C1603D">
        <w:rPr>
          <w:i/>
          <w:color w:val="FF0000"/>
        </w:rPr>
        <w:t xml:space="preserve">Table </w:t>
      </w:r>
      <w:r w:rsidRPr="00C1603D">
        <w:rPr>
          <w:i/>
          <w:noProof/>
          <w:color w:val="FF0000"/>
        </w:rPr>
        <w:t>2</w:t>
      </w:r>
      <w:r w:rsidR="008A6568" w:rsidRPr="00C1603D">
        <w:rPr>
          <w:i/>
          <w:noProof/>
          <w:color w:val="FF0000"/>
        </w:rPr>
        <w:t>3</w:t>
      </w:r>
      <w:r w:rsidRPr="00C1603D">
        <w:t xml:space="preserve"> shows the estimated costs</w:t>
      </w:r>
      <w:r w:rsidRPr="00C1603D">
        <w:rPr>
          <w:color w:val="auto"/>
        </w:rPr>
        <w:t xml:space="preserve">, </w:t>
      </w:r>
      <w:r w:rsidR="00A868B0" w:rsidRPr="00C1603D">
        <w:rPr>
          <w:color w:val="auto"/>
        </w:rPr>
        <w:t>QALY</w:t>
      </w:r>
      <w:r w:rsidRPr="00C1603D">
        <w:rPr>
          <w:color w:val="auto"/>
        </w:rPr>
        <w:t xml:space="preserve">s and incremental </w:t>
      </w:r>
      <w:r w:rsidRPr="00C1603D">
        <w:t>net benefit</w:t>
      </w:r>
      <w:r w:rsidR="00727824" w:rsidRPr="00C1603D">
        <w:t>s,</w:t>
      </w:r>
      <w:r w:rsidRPr="00C1603D">
        <w:t xml:space="preserve"> </w:t>
      </w:r>
      <w:r w:rsidR="00727824" w:rsidRPr="00C1603D">
        <w:t>compared with</w:t>
      </w:r>
      <w:r w:rsidRPr="00C1603D">
        <w:t xml:space="preserve"> no screening</w:t>
      </w:r>
      <w:r w:rsidR="00727824" w:rsidRPr="00C1603D">
        <w:t>,</w:t>
      </w:r>
      <w:r w:rsidRPr="00C1603D">
        <w:t xml:space="preserve"> for each of these strategies of interest. All combinations, apart from pre-test probabilities</w:t>
      </w:r>
      <w:r w:rsidR="00EF6869" w:rsidRPr="00C1603D">
        <w:t xml:space="preserve"> of</w:t>
      </w:r>
      <w:r w:rsidRPr="00C1603D">
        <w:t xml:space="preserve"> 1.5% and 2% with IgA tTG, have </w:t>
      </w:r>
      <w:r w:rsidR="00EF6869" w:rsidRPr="00C1603D">
        <w:t xml:space="preserve">a </w:t>
      </w:r>
      <w:r w:rsidRPr="00C1603D">
        <w:t xml:space="preserve">positive incremental net benefit at </w:t>
      </w:r>
      <w:r w:rsidR="00540842" w:rsidRPr="00C1603D">
        <w:t>£20,000 per QALY</w:t>
      </w:r>
      <w:r w:rsidR="00EF6869" w:rsidRPr="00C1603D">
        <w:t>,</w:t>
      </w:r>
      <w:r w:rsidRPr="00C1603D">
        <w:t xml:space="preserve"> </w:t>
      </w:r>
      <w:r w:rsidR="00553BA7" w:rsidRPr="00C1603D">
        <w:t>compared with</w:t>
      </w:r>
      <w:r w:rsidRPr="00C1603D">
        <w:t xml:space="preserve"> no screening. If using only IgA tTG, a pre-test probability of 1% is the most cost-effective strategy (</w:t>
      </w:r>
      <w:r w:rsidR="00EF6869" w:rsidRPr="00C1603D">
        <w:t xml:space="preserve">i.e. has </w:t>
      </w:r>
      <w:r w:rsidRPr="00C1603D">
        <w:lastRenderedPageBreak/>
        <w:t xml:space="preserve">greatest incremental net benefit at </w:t>
      </w:r>
      <w:r w:rsidR="00540842" w:rsidRPr="00C1603D">
        <w:t>£20,000 per QALY</w:t>
      </w:r>
      <w:r w:rsidRPr="00C1603D">
        <w:t>)</w:t>
      </w:r>
      <w:r w:rsidR="00EF6869" w:rsidRPr="00C1603D">
        <w:t>,</w:t>
      </w:r>
      <w:r w:rsidRPr="00C1603D">
        <w:t xml:space="preserve"> with highest costs but also </w:t>
      </w:r>
      <w:r w:rsidR="00EF6869" w:rsidRPr="00C1603D">
        <w:t xml:space="preserve">the </w:t>
      </w:r>
      <w:r w:rsidRPr="00C1603D">
        <w:t xml:space="preserve">highest </w:t>
      </w:r>
      <w:r w:rsidR="00EF6869" w:rsidRPr="00C1603D">
        <w:t xml:space="preserve">number of </w:t>
      </w:r>
      <w:r w:rsidRPr="00C1603D">
        <w:t xml:space="preserve">QALYs. If using IgA EMA plus HLA or HLA plus IgA tTG, the pre-test probability of 10% is </w:t>
      </w:r>
      <w:r w:rsidR="00EF6869" w:rsidRPr="00C1603D">
        <w:t xml:space="preserve">the </w:t>
      </w:r>
      <w:r w:rsidRPr="00C1603D">
        <w:t xml:space="preserve">most cost-effective. As </w:t>
      </w:r>
      <w:r w:rsidR="00EF6869" w:rsidRPr="00C1603D">
        <w:t>with the</w:t>
      </w:r>
      <w:r w:rsidRPr="00C1603D">
        <w:t xml:space="preserve"> adult</w:t>
      </w:r>
      <w:r w:rsidR="00EF6869" w:rsidRPr="00C1603D">
        <w:t xml:space="preserve"> population</w:t>
      </w:r>
      <w:r w:rsidRPr="00C1603D">
        <w:t xml:space="preserve">, however, the net benefits of all IgA EMA plus HLA and HLA plus IgA tTG strategies are </w:t>
      </w:r>
      <w:proofErr w:type="gramStart"/>
      <w:r w:rsidRPr="00C1603D">
        <w:t>very similar</w:t>
      </w:r>
      <w:proofErr w:type="gramEnd"/>
      <w:r w:rsidRPr="00C1603D">
        <w:t xml:space="preserve"> to each other and to </w:t>
      </w:r>
      <w:r w:rsidR="00E1037E" w:rsidRPr="00C1603D">
        <w:t xml:space="preserve">1% </w:t>
      </w:r>
      <w:r w:rsidRPr="00C1603D">
        <w:t xml:space="preserve">IgA tTG, </w:t>
      </w:r>
      <w:r w:rsidR="00E1037E" w:rsidRPr="00C1603D">
        <w:t>and</w:t>
      </w:r>
      <w:r w:rsidRPr="00C1603D">
        <w:t xml:space="preserve"> the 95% CrI</w:t>
      </w:r>
      <w:r w:rsidR="00E1037E" w:rsidRPr="00C1603D">
        <w:t>s</w:t>
      </w:r>
      <w:r w:rsidRPr="00C1603D">
        <w:t xml:space="preserve"> overlap. This indicates </w:t>
      </w:r>
      <w:proofErr w:type="gramStart"/>
      <w:r w:rsidRPr="00C1603D">
        <w:t>little difference</w:t>
      </w:r>
      <w:proofErr w:type="gramEnd"/>
      <w:r w:rsidRPr="00C1603D">
        <w:t xml:space="preserve"> between the cost-effectiveness of these strategies, but </w:t>
      </w:r>
      <w:r w:rsidR="0017067B" w:rsidRPr="00C1603D">
        <w:t xml:space="preserve">the </w:t>
      </w:r>
      <w:r w:rsidRPr="00C1603D">
        <w:t xml:space="preserve">differences are greater than </w:t>
      </w:r>
      <w:r w:rsidR="0017067B" w:rsidRPr="00C1603D">
        <w:t>they are for</w:t>
      </w:r>
      <w:r w:rsidRPr="00C1603D">
        <w:t xml:space="preserve"> adults.</w:t>
      </w:r>
    </w:p>
    <w:p w14:paraId="31470315" w14:textId="10203DF3" w:rsidR="008B4DF8" w:rsidRPr="00C1603D" w:rsidRDefault="008B4DF8" w:rsidP="008B4DF8">
      <w:pPr>
        <w:pStyle w:val="70TablelegendTablesTableFigureBoxstyles"/>
      </w:pPr>
      <w:bookmarkStart w:id="447" w:name="_Toc99720733"/>
      <w:r w:rsidRPr="00C1603D">
        <w:rPr>
          <w:b/>
        </w:rPr>
        <w:t>TABLE 2</w:t>
      </w:r>
      <w:r w:rsidR="00032460" w:rsidRPr="00C1603D">
        <w:rPr>
          <w:b/>
        </w:rPr>
        <w:t>3</w:t>
      </w:r>
      <w:r w:rsidRPr="00C1603D">
        <w:rPr>
          <w:b/>
        </w:rPr>
        <w:t> </w:t>
      </w:r>
      <w:r w:rsidRPr="00C1603D">
        <w:t>Costs, QALYs and incremental net benefit</w:t>
      </w:r>
      <w:r w:rsidR="0017067B" w:rsidRPr="00C1603D">
        <w:t>s</w:t>
      </w:r>
      <w:r w:rsidRPr="00C1603D">
        <w:t xml:space="preserve"> associated with strategies of interest in children. Mean estimates with 95% </w:t>
      </w:r>
      <w:r w:rsidR="00FE01C9" w:rsidRPr="00C1603D">
        <w:t>CI</w:t>
      </w:r>
      <w:r w:rsidRPr="00C1603D">
        <w:t>s</w:t>
      </w:r>
      <w:bookmarkEnd w:id="447"/>
    </w:p>
    <w:tbl>
      <w:tblPr>
        <w:tblW w:w="0" w:type="auto"/>
        <w:tblCellMar>
          <w:top w:w="40" w:type="dxa"/>
          <w:left w:w="60" w:type="dxa"/>
          <w:bottom w:w="40" w:type="dxa"/>
          <w:right w:w="60" w:type="dxa"/>
        </w:tblCellMar>
        <w:tblLook w:val="04A0" w:firstRow="1" w:lastRow="0" w:firstColumn="1" w:lastColumn="0" w:noHBand="0" w:noVBand="1"/>
      </w:tblPr>
      <w:tblGrid>
        <w:gridCol w:w="1657"/>
        <w:gridCol w:w="929"/>
        <w:gridCol w:w="925"/>
        <w:gridCol w:w="844"/>
        <w:gridCol w:w="1180"/>
        <w:gridCol w:w="1055"/>
        <w:gridCol w:w="2436"/>
      </w:tblGrid>
      <w:tr w:rsidR="0017067B" w:rsidRPr="00C1603D" w14:paraId="2A566E07" w14:textId="77777777" w:rsidTr="00E27BE6">
        <w:trPr>
          <w:cantSplit/>
        </w:trPr>
        <w:tc>
          <w:tcPr>
            <w:tcW w:w="0" w:type="auto"/>
            <w:vMerge w:val="restart"/>
            <w:shd w:val="clear" w:color="auto" w:fill="auto"/>
          </w:tcPr>
          <w:p w14:paraId="0333C8A9" w14:textId="51B61CB1" w:rsidR="0017067B" w:rsidRPr="00C1603D" w:rsidRDefault="0017067B" w:rsidP="0017067B">
            <w:pPr>
              <w:pStyle w:val="710TableheadTablesTableFigureBoxstyles"/>
            </w:pPr>
            <w:r w:rsidRPr="00C1603D">
              <w:t>Pre-test probability for blood test (%)</w:t>
            </w:r>
          </w:p>
        </w:tc>
        <w:tc>
          <w:tcPr>
            <w:tcW w:w="0" w:type="auto"/>
            <w:vMerge w:val="restart"/>
            <w:shd w:val="clear" w:color="auto" w:fill="auto"/>
          </w:tcPr>
          <w:p w14:paraId="74A5B6BC" w14:textId="661F57FA" w:rsidR="0017067B" w:rsidRPr="00C1603D" w:rsidRDefault="0017067B" w:rsidP="0017067B">
            <w:pPr>
              <w:pStyle w:val="710TableheadTablesTableFigureBoxstyles"/>
            </w:pPr>
            <w:r w:rsidRPr="00C1603D">
              <w:t>Sensitivity</w:t>
            </w:r>
          </w:p>
        </w:tc>
        <w:tc>
          <w:tcPr>
            <w:tcW w:w="0" w:type="auto"/>
            <w:vMerge w:val="restart"/>
            <w:shd w:val="clear" w:color="auto" w:fill="auto"/>
          </w:tcPr>
          <w:p w14:paraId="1460451C" w14:textId="5EEF70A8" w:rsidR="0017067B" w:rsidRPr="00C1603D" w:rsidRDefault="0017067B" w:rsidP="0017067B">
            <w:pPr>
              <w:pStyle w:val="710TableheadTablesTableFigureBoxstyles"/>
            </w:pPr>
            <w:r w:rsidRPr="00C1603D">
              <w:t>Specificity</w:t>
            </w:r>
          </w:p>
        </w:tc>
        <w:tc>
          <w:tcPr>
            <w:tcW w:w="0" w:type="auto"/>
            <w:vMerge w:val="restart"/>
            <w:shd w:val="clear" w:color="auto" w:fill="auto"/>
          </w:tcPr>
          <w:p w14:paraId="4C48027C" w14:textId="15C1CBCB" w:rsidR="0017067B" w:rsidRPr="00C1603D" w:rsidRDefault="0017067B" w:rsidP="0017067B">
            <w:pPr>
              <w:pStyle w:val="710TableheadTablesTableFigureBoxstyles"/>
            </w:pPr>
            <w:r w:rsidRPr="00C1603D">
              <w:t>Test</w:t>
            </w:r>
          </w:p>
        </w:tc>
        <w:tc>
          <w:tcPr>
            <w:tcW w:w="0" w:type="auto"/>
            <w:gridSpan w:val="3"/>
            <w:shd w:val="clear" w:color="auto" w:fill="auto"/>
          </w:tcPr>
          <w:p w14:paraId="28323CE2" w14:textId="37EF9A44" w:rsidR="0017067B" w:rsidRPr="00C1603D" w:rsidRDefault="0017067B" w:rsidP="0017067B">
            <w:pPr>
              <w:pStyle w:val="705TableheadgroupTablesTableFigureBoxstyles"/>
            </w:pPr>
            <w:r w:rsidRPr="00C1603D">
              <w:t>Mean (95% CI)</w:t>
            </w:r>
          </w:p>
        </w:tc>
      </w:tr>
      <w:tr w:rsidR="0017067B" w:rsidRPr="00C1603D" w14:paraId="011CB98E" w14:textId="77777777" w:rsidTr="0017067B">
        <w:trPr>
          <w:cantSplit/>
        </w:trPr>
        <w:tc>
          <w:tcPr>
            <w:tcW w:w="0" w:type="auto"/>
            <w:vMerge/>
            <w:shd w:val="clear" w:color="auto" w:fill="auto"/>
          </w:tcPr>
          <w:p w14:paraId="0C4E02B1" w14:textId="6C622F57" w:rsidR="0017067B" w:rsidRPr="00C1603D" w:rsidRDefault="0017067B" w:rsidP="0017067B">
            <w:pPr>
              <w:pStyle w:val="710TableheadTablesTableFigureBoxstyles"/>
            </w:pPr>
          </w:p>
        </w:tc>
        <w:tc>
          <w:tcPr>
            <w:tcW w:w="0" w:type="auto"/>
            <w:vMerge/>
            <w:shd w:val="clear" w:color="auto" w:fill="auto"/>
          </w:tcPr>
          <w:p w14:paraId="27C9ED69" w14:textId="6E2C806A" w:rsidR="0017067B" w:rsidRPr="00C1603D" w:rsidRDefault="0017067B" w:rsidP="0017067B">
            <w:pPr>
              <w:pStyle w:val="710TableheadTablesTableFigureBoxstyles"/>
              <w:rPr>
                <w:color w:val="000000"/>
              </w:rPr>
            </w:pPr>
          </w:p>
        </w:tc>
        <w:tc>
          <w:tcPr>
            <w:tcW w:w="0" w:type="auto"/>
            <w:vMerge/>
            <w:shd w:val="clear" w:color="auto" w:fill="auto"/>
          </w:tcPr>
          <w:p w14:paraId="08A595F6" w14:textId="71ECC64E" w:rsidR="0017067B" w:rsidRPr="00C1603D" w:rsidRDefault="0017067B" w:rsidP="0017067B">
            <w:pPr>
              <w:pStyle w:val="710TableheadTablesTableFigureBoxstyles"/>
              <w:rPr>
                <w:color w:val="000000"/>
              </w:rPr>
            </w:pPr>
          </w:p>
        </w:tc>
        <w:tc>
          <w:tcPr>
            <w:tcW w:w="0" w:type="auto"/>
            <w:vMerge/>
            <w:shd w:val="clear" w:color="auto" w:fill="auto"/>
          </w:tcPr>
          <w:p w14:paraId="5376B66A" w14:textId="48A4CED7" w:rsidR="0017067B" w:rsidRPr="00C1603D" w:rsidRDefault="0017067B" w:rsidP="0017067B">
            <w:pPr>
              <w:pStyle w:val="710TableheadTablesTableFigureBoxstyles"/>
            </w:pPr>
          </w:p>
        </w:tc>
        <w:tc>
          <w:tcPr>
            <w:tcW w:w="0" w:type="auto"/>
            <w:shd w:val="clear" w:color="auto" w:fill="auto"/>
          </w:tcPr>
          <w:p w14:paraId="0C40D541" w14:textId="77777777" w:rsidR="0017067B" w:rsidRPr="00C1603D" w:rsidRDefault="0017067B" w:rsidP="0017067B">
            <w:pPr>
              <w:pStyle w:val="710TableheadTablesTableFigureBoxstyles"/>
            </w:pPr>
            <w:r w:rsidRPr="00C1603D">
              <w:t>Costs (£)</w:t>
            </w:r>
          </w:p>
        </w:tc>
        <w:tc>
          <w:tcPr>
            <w:tcW w:w="0" w:type="auto"/>
            <w:shd w:val="clear" w:color="auto" w:fill="auto"/>
          </w:tcPr>
          <w:p w14:paraId="2E41E2CD" w14:textId="77777777" w:rsidR="0017067B" w:rsidRPr="00C1603D" w:rsidRDefault="0017067B" w:rsidP="0017067B">
            <w:pPr>
              <w:pStyle w:val="710TableheadTablesTableFigureBoxstyles"/>
            </w:pPr>
            <w:r w:rsidRPr="00C1603D">
              <w:t>QALYs</w:t>
            </w:r>
          </w:p>
        </w:tc>
        <w:tc>
          <w:tcPr>
            <w:tcW w:w="0" w:type="auto"/>
            <w:shd w:val="clear" w:color="auto" w:fill="auto"/>
          </w:tcPr>
          <w:p w14:paraId="30A69130" w14:textId="3697F8BD" w:rsidR="0017067B" w:rsidRPr="00C1603D" w:rsidRDefault="0017067B" w:rsidP="0017067B">
            <w:pPr>
              <w:pStyle w:val="710TableheadTablesTableFigureBoxstyles"/>
            </w:pPr>
            <w:r w:rsidRPr="00C1603D">
              <w:t>Incremental net benefit at £20,000 per QALY vs. no screening (£)</w:t>
            </w:r>
          </w:p>
        </w:tc>
      </w:tr>
      <w:tr w:rsidR="008B4DF8" w:rsidRPr="00C1603D" w14:paraId="7A686D6A" w14:textId="77777777" w:rsidTr="0017067B">
        <w:trPr>
          <w:cantSplit/>
        </w:trPr>
        <w:tc>
          <w:tcPr>
            <w:tcW w:w="0" w:type="auto"/>
            <w:gridSpan w:val="4"/>
            <w:shd w:val="clear" w:color="auto" w:fill="auto"/>
          </w:tcPr>
          <w:p w14:paraId="46072B44" w14:textId="77777777" w:rsidR="008B4DF8" w:rsidRPr="00C1603D" w:rsidRDefault="008B4DF8" w:rsidP="0017067B">
            <w:pPr>
              <w:pStyle w:val="72TabletextTablesTableFigureBoxstyles"/>
            </w:pPr>
            <w:r w:rsidRPr="00C1603D">
              <w:t>No screening</w:t>
            </w:r>
          </w:p>
        </w:tc>
        <w:tc>
          <w:tcPr>
            <w:tcW w:w="0" w:type="auto"/>
            <w:shd w:val="clear" w:color="auto" w:fill="auto"/>
          </w:tcPr>
          <w:p w14:paraId="1C13AFC4" w14:textId="193F5457" w:rsidR="008B4DF8" w:rsidRPr="00C1603D" w:rsidRDefault="008B4DF8" w:rsidP="0017067B">
            <w:pPr>
              <w:pStyle w:val="72TabletextTablesTableFigureBoxstyles"/>
            </w:pPr>
            <w:r w:rsidRPr="00C1603D">
              <w:t>11</w:t>
            </w:r>
            <w:r w:rsidR="0017067B" w:rsidRPr="00C1603D">
              <w:t>,</w:t>
            </w:r>
            <w:r w:rsidRPr="00C1603D">
              <w:t>746 (10</w:t>
            </w:r>
            <w:r w:rsidR="0017067B" w:rsidRPr="00C1603D">
              <w:t>,</w:t>
            </w:r>
            <w:r w:rsidRPr="00C1603D">
              <w:t>204</w:t>
            </w:r>
            <w:r w:rsidR="0017067B" w:rsidRPr="00C1603D">
              <w:t xml:space="preserve"> to</w:t>
            </w:r>
            <w:r w:rsidRPr="00C1603D">
              <w:t xml:space="preserve"> 12</w:t>
            </w:r>
            <w:r w:rsidR="0017067B" w:rsidRPr="00C1603D">
              <w:t>,</w:t>
            </w:r>
            <w:r w:rsidRPr="00C1603D">
              <w:t>966)</w:t>
            </w:r>
          </w:p>
        </w:tc>
        <w:tc>
          <w:tcPr>
            <w:tcW w:w="0" w:type="auto"/>
            <w:shd w:val="clear" w:color="auto" w:fill="auto"/>
          </w:tcPr>
          <w:p w14:paraId="3A4AABE6" w14:textId="75356C8C" w:rsidR="008B4DF8" w:rsidRPr="00C1603D" w:rsidRDefault="008B4DF8" w:rsidP="0017067B">
            <w:pPr>
              <w:pStyle w:val="72TabletextTablesTableFigureBoxstyles"/>
            </w:pPr>
            <w:r w:rsidRPr="00C1603D">
              <w:t>20.6 (19.18</w:t>
            </w:r>
            <w:r w:rsidR="0017067B" w:rsidRPr="00C1603D">
              <w:t xml:space="preserve"> to</w:t>
            </w:r>
            <w:r w:rsidRPr="00C1603D">
              <w:t xml:space="preserve"> 21.6)</w:t>
            </w:r>
          </w:p>
        </w:tc>
        <w:tc>
          <w:tcPr>
            <w:tcW w:w="0" w:type="auto"/>
            <w:shd w:val="clear" w:color="auto" w:fill="auto"/>
          </w:tcPr>
          <w:p w14:paraId="5DB16B26" w14:textId="0AA5519A" w:rsidR="008B4DF8" w:rsidRPr="00C1603D" w:rsidRDefault="008B4DF8" w:rsidP="0017067B">
            <w:pPr>
              <w:pStyle w:val="72TabletextTablesTableFigureBoxstyles"/>
            </w:pPr>
            <w:r w:rsidRPr="00C1603D">
              <w:t>0 (0</w:t>
            </w:r>
            <w:r w:rsidR="0017067B" w:rsidRPr="00C1603D">
              <w:t xml:space="preserve"> to</w:t>
            </w:r>
            <w:r w:rsidRPr="00C1603D">
              <w:t xml:space="preserve"> 0)</w:t>
            </w:r>
          </w:p>
        </w:tc>
      </w:tr>
      <w:tr w:rsidR="008B4DF8" w:rsidRPr="00C1603D" w14:paraId="129004DF" w14:textId="77777777" w:rsidTr="0017067B">
        <w:trPr>
          <w:cantSplit/>
        </w:trPr>
        <w:tc>
          <w:tcPr>
            <w:tcW w:w="0" w:type="auto"/>
            <w:shd w:val="clear" w:color="auto" w:fill="auto"/>
          </w:tcPr>
          <w:p w14:paraId="133A68D5" w14:textId="52778FA9" w:rsidR="008B4DF8" w:rsidRPr="00C1603D" w:rsidRDefault="008B4DF8" w:rsidP="0017067B">
            <w:pPr>
              <w:pStyle w:val="72TabletextTablesTableFigureBoxstyles"/>
            </w:pPr>
            <w:r w:rsidRPr="00C1603D">
              <w:t>1</w:t>
            </w:r>
          </w:p>
        </w:tc>
        <w:tc>
          <w:tcPr>
            <w:tcW w:w="0" w:type="auto"/>
            <w:shd w:val="clear" w:color="auto" w:fill="auto"/>
          </w:tcPr>
          <w:p w14:paraId="42D46774" w14:textId="77777777" w:rsidR="008B4DF8" w:rsidRPr="00C1603D" w:rsidRDefault="008B4DF8" w:rsidP="0017067B">
            <w:pPr>
              <w:pStyle w:val="72TabletextTablesTableFigureBoxstyles"/>
            </w:pPr>
            <w:r w:rsidRPr="00C1603D">
              <w:t>1</w:t>
            </w:r>
          </w:p>
        </w:tc>
        <w:tc>
          <w:tcPr>
            <w:tcW w:w="0" w:type="auto"/>
            <w:shd w:val="clear" w:color="auto" w:fill="auto"/>
          </w:tcPr>
          <w:p w14:paraId="6991B032" w14:textId="77777777" w:rsidR="008B4DF8" w:rsidRPr="00C1603D" w:rsidRDefault="008B4DF8" w:rsidP="0017067B">
            <w:pPr>
              <w:pStyle w:val="72TabletextTablesTableFigureBoxstyles"/>
            </w:pPr>
            <w:r w:rsidRPr="00C1603D">
              <w:t>0</w:t>
            </w:r>
          </w:p>
        </w:tc>
        <w:tc>
          <w:tcPr>
            <w:tcW w:w="0" w:type="auto"/>
            <w:shd w:val="clear" w:color="auto" w:fill="auto"/>
          </w:tcPr>
          <w:p w14:paraId="15214CF4" w14:textId="77777777" w:rsidR="008B4DF8" w:rsidRPr="00C1603D" w:rsidRDefault="008B4DF8" w:rsidP="0017067B">
            <w:pPr>
              <w:pStyle w:val="72TabletextTablesTableFigureBoxstyles"/>
            </w:pPr>
            <w:r w:rsidRPr="00C1603D">
              <w:t>IgA tTG</w:t>
            </w:r>
          </w:p>
        </w:tc>
        <w:tc>
          <w:tcPr>
            <w:tcW w:w="0" w:type="auto"/>
            <w:shd w:val="clear" w:color="auto" w:fill="auto"/>
          </w:tcPr>
          <w:p w14:paraId="3991D780" w14:textId="2FA9E18D" w:rsidR="008B4DF8" w:rsidRPr="00C1603D" w:rsidRDefault="008B4DF8" w:rsidP="0017067B">
            <w:pPr>
              <w:pStyle w:val="72TabletextTablesTableFigureBoxstyles"/>
            </w:pPr>
            <w:r w:rsidRPr="00C1603D">
              <w:t>13</w:t>
            </w:r>
            <w:r w:rsidR="0017067B" w:rsidRPr="00C1603D">
              <w:t>,</w:t>
            </w:r>
            <w:r w:rsidRPr="00C1603D">
              <w:t>537 (12</w:t>
            </w:r>
            <w:r w:rsidR="0017067B" w:rsidRPr="00C1603D">
              <w:t>,</w:t>
            </w:r>
            <w:r w:rsidRPr="00C1603D">
              <w:t>558</w:t>
            </w:r>
            <w:r w:rsidR="0017067B" w:rsidRPr="00C1603D">
              <w:t xml:space="preserve"> to</w:t>
            </w:r>
            <w:r w:rsidRPr="00C1603D">
              <w:t xml:space="preserve"> 14</w:t>
            </w:r>
            <w:r w:rsidR="0017067B" w:rsidRPr="00C1603D">
              <w:t>,</w:t>
            </w:r>
            <w:r w:rsidRPr="00C1603D">
              <w:t>637)</w:t>
            </w:r>
          </w:p>
        </w:tc>
        <w:tc>
          <w:tcPr>
            <w:tcW w:w="0" w:type="auto"/>
            <w:shd w:val="clear" w:color="auto" w:fill="auto"/>
          </w:tcPr>
          <w:p w14:paraId="2B051F72" w14:textId="41CAE3A5" w:rsidR="008B4DF8" w:rsidRPr="00C1603D" w:rsidRDefault="008B4DF8" w:rsidP="0017067B">
            <w:pPr>
              <w:pStyle w:val="72TabletextTablesTableFigureBoxstyles"/>
            </w:pPr>
            <w:r w:rsidRPr="00C1603D">
              <w:t>21.29 (20.29</w:t>
            </w:r>
            <w:r w:rsidR="0017067B" w:rsidRPr="00C1603D">
              <w:t xml:space="preserve"> to</w:t>
            </w:r>
            <w:r w:rsidRPr="00C1603D">
              <w:t xml:space="preserve"> 22.14)</w:t>
            </w:r>
          </w:p>
        </w:tc>
        <w:tc>
          <w:tcPr>
            <w:tcW w:w="0" w:type="auto"/>
            <w:shd w:val="clear" w:color="auto" w:fill="auto"/>
          </w:tcPr>
          <w:p w14:paraId="7E941900" w14:textId="354B1077" w:rsidR="008B4DF8" w:rsidRPr="00C1603D" w:rsidRDefault="008B4DF8" w:rsidP="0017067B">
            <w:pPr>
              <w:pStyle w:val="72TabletextTablesTableFigureBoxstyles"/>
            </w:pPr>
            <w:r w:rsidRPr="00C1603D">
              <w:t>12</w:t>
            </w:r>
            <w:r w:rsidR="0017067B" w:rsidRPr="00C1603D">
              <w:t>,</w:t>
            </w:r>
            <w:r w:rsidRPr="00C1603D">
              <w:t>203 (3257</w:t>
            </w:r>
            <w:r w:rsidR="0017067B" w:rsidRPr="00C1603D">
              <w:t xml:space="preserve"> to</w:t>
            </w:r>
            <w:r w:rsidRPr="00C1603D">
              <w:t xml:space="preserve"> 34</w:t>
            </w:r>
            <w:r w:rsidR="0017067B" w:rsidRPr="00C1603D">
              <w:t>,</w:t>
            </w:r>
            <w:r w:rsidRPr="00C1603D">
              <w:t>639)</w:t>
            </w:r>
          </w:p>
        </w:tc>
      </w:tr>
      <w:tr w:rsidR="008B4DF8" w:rsidRPr="00C1603D" w14:paraId="6393F732" w14:textId="77777777" w:rsidTr="0017067B">
        <w:trPr>
          <w:cantSplit/>
        </w:trPr>
        <w:tc>
          <w:tcPr>
            <w:tcW w:w="0" w:type="auto"/>
            <w:shd w:val="clear" w:color="auto" w:fill="auto"/>
          </w:tcPr>
          <w:p w14:paraId="3A1799D5" w14:textId="4FCF2CAC" w:rsidR="008B4DF8" w:rsidRPr="00C1603D" w:rsidRDefault="008B4DF8" w:rsidP="0017067B">
            <w:pPr>
              <w:pStyle w:val="72TabletextTablesTableFigureBoxstyles"/>
            </w:pPr>
            <w:r w:rsidRPr="00C1603D">
              <w:t>1.5</w:t>
            </w:r>
          </w:p>
        </w:tc>
        <w:tc>
          <w:tcPr>
            <w:tcW w:w="0" w:type="auto"/>
            <w:shd w:val="clear" w:color="auto" w:fill="auto"/>
          </w:tcPr>
          <w:p w14:paraId="36754A69" w14:textId="77777777" w:rsidR="008B4DF8" w:rsidRPr="00C1603D" w:rsidRDefault="008B4DF8" w:rsidP="0017067B">
            <w:pPr>
              <w:pStyle w:val="72TabletextTablesTableFigureBoxstyles"/>
            </w:pPr>
            <w:r w:rsidRPr="00C1603D">
              <w:t>0.882</w:t>
            </w:r>
          </w:p>
        </w:tc>
        <w:tc>
          <w:tcPr>
            <w:tcW w:w="0" w:type="auto"/>
            <w:shd w:val="clear" w:color="auto" w:fill="auto"/>
          </w:tcPr>
          <w:p w14:paraId="4CB4634E" w14:textId="77777777" w:rsidR="008B4DF8" w:rsidRPr="00C1603D" w:rsidRDefault="008B4DF8" w:rsidP="0017067B">
            <w:pPr>
              <w:pStyle w:val="72TabletextTablesTableFigureBoxstyles"/>
            </w:pPr>
            <w:r w:rsidRPr="00C1603D">
              <w:t>0.417</w:t>
            </w:r>
          </w:p>
        </w:tc>
        <w:tc>
          <w:tcPr>
            <w:tcW w:w="0" w:type="auto"/>
            <w:shd w:val="clear" w:color="auto" w:fill="auto"/>
          </w:tcPr>
          <w:p w14:paraId="3F5273EA" w14:textId="77777777" w:rsidR="008B4DF8" w:rsidRPr="00C1603D" w:rsidRDefault="008B4DF8" w:rsidP="0017067B">
            <w:pPr>
              <w:pStyle w:val="72TabletextTablesTableFigureBoxstyles"/>
            </w:pPr>
            <w:r w:rsidRPr="00C1603D">
              <w:t>IgA tTG</w:t>
            </w:r>
          </w:p>
        </w:tc>
        <w:tc>
          <w:tcPr>
            <w:tcW w:w="0" w:type="auto"/>
            <w:shd w:val="clear" w:color="auto" w:fill="auto"/>
          </w:tcPr>
          <w:p w14:paraId="5935A3E9" w14:textId="12607CAB" w:rsidR="008B4DF8" w:rsidRPr="00C1603D" w:rsidRDefault="008B4DF8" w:rsidP="0017067B">
            <w:pPr>
              <w:pStyle w:val="72TabletextTablesTableFigureBoxstyles"/>
            </w:pPr>
            <w:r w:rsidRPr="00C1603D">
              <w:t>13</w:t>
            </w:r>
            <w:r w:rsidR="0017067B" w:rsidRPr="00C1603D">
              <w:t>,</w:t>
            </w:r>
            <w:r w:rsidRPr="00C1603D">
              <w:t>074 (11</w:t>
            </w:r>
            <w:r w:rsidR="0017067B" w:rsidRPr="00C1603D">
              <w:t>,</w:t>
            </w:r>
            <w:r w:rsidRPr="00C1603D">
              <w:t>577</w:t>
            </w:r>
            <w:r w:rsidR="0017067B" w:rsidRPr="00C1603D">
              <w:t xml:space="preserve"> to</w:t>
            </w:r>
            <w:r w:rsidRPr="00C1603D">
              <w:t xml:space="preserve"> 14</w:t>
            </w:r>
            <w:r w:rsidR="0017067B" w:rsidRPr="00C1603D">
              <w:t>,</w:t>
            </w:r>
            <w:r w:rsidRPr="00C1603D">
              <w:t>280)</w:t>
            </w:r>
          </w:p>
        </w:tc>
        <w:tc>
          <w:tcPr>
            <w:tcW w:w="0" w:type="auto"/>
            <w:shd w:val="clear" w:color="auto" w:fill="auto"/>
          </w:tcPr>
          <w:p w14:paraId="79DDFB8E" w14:textId="56BF84F1" w:rsidR="008B4DF8" w:rsidRPr="00C1603D" w:rsidRDefault="008B4DF8" w:rsidP="0017067B">
            <w:pPr>
              <w:pStyle w:val="72TabletextTablesTableFigureBoxstyles"/>
            </w:pPr>
            <w:r w:rsidRPr="00C1603D">
              <w:t>20.62 (19.25</w:t>
            </w:r>
            <w:r w:rsidR="0017067B" w:rsidRPr="00C1603D">
              <w:t xml:space="preserve"> to</w:t>
            </w:r>
            <w:r w:rsidRPr="00C1603D">
              <w:t xml:space="preserve"> 21.61)</w:t>
            </w:r>
          </w:p>
        </w:tc>
        <w:tc>
          <w:tcPr>
            <w:tcW w:w="0" w:type="auto"/>
            <w:shd w:val="clear" w:color="auto" w:fill="auto"/>
          </w:tcPr>
          <w:p w14:paraId="54087597" w14:textId="40140DF6" w:rsidR="008B4DF8" w:rsidRPr="00C1603D" w:rsidRDefault="008B4DF8" w:rsidP="0017067B">
            <w:pPr>
              <w:pStyle w:val="72TabletextTablesTableFigureBoxstyles"/>
            </w:pPr>
            <w:r w:rsidRPr="00C1603D">
              <w:rPr>
                <w:color w:val="00B0F0"/>
              </w:rPr>
              <w:t>–8</w:t>
            </w:r>
            <w:r w:rsidRPr="00C1603D">
              <w:t>41 (</w:t>
            </w:r>
            <w:r w:rsidRPr="00C1603D">
              <w:rPr>
                <w:color w:val="00B0F0"/>
              </w:rPr>
              <w:t>–1</w:t>
            </w:r>
            <w:r w:rsidRPr="00C1603D">
              <w:t>296</w:t>
            </w:r>
            <w:r w:rsidR="0017067B" w:rsidRPr="00C1603D">
              <w:t xml:space="preserve"> to</w:t>
            </w:r>
            <w:r w:rsidRPr="00C1603D">
              <w:t xml:space="preserve"> 242)</w:t>
            </w:r>
          </w:p>
        </w:tc>
      </w:tr>
      <w:tr w:rsidR="008B4DF8" w:rsidRPr="00C1603D" w14:paraId="43966380" w14:textId="77777777" w:rsidTr="0017067B">
        <w:trPr>
          <w:cantSplit/>
        </w:trPr>
        <w:tc>
          <w:tcPr>
            <w:tcW w:w="0" w:type="auto"/>
            <w:shd w:val="clear" w:color="auto" w:fill="auto"/>
          </w:tcPr>
          <w:p w14:paraId="3E7F3519" w14:textId="59F19A00" w:rsidR="008B4DF8" w:rsidRPr="00C1603D" w:rsidRDefault="008B4DF8" w:rsidP="0017067B">
            <w:pPr>
              <w:pStyle w:val="72TabletextTablesTableFigureBoxstyles"/>
            </w:pPr>
            <w:r w:rsidRPr="00C1603D">
              <w:t>2</w:t>
            </w:r>
          </w:p>
        </w:tc>
        <w:tc>
          <w:tcPr>
            <w:tcW w:w="0" w:type="auto"/>
            <w:shd w:val="clear" w:color="auto" w:fill="auto"/>
          </w:tcPr>
          <w:p w14:paraId="3124C431" w14:textId="77777777" w:rsidR="008B4DF8" w:rsidRPr="00C1603D" w:rsidRDefault="008B4DF8" w:rsidP="0017067B">
            <w:pPr>
              <w:pStyle w:val="72TabletextTablesTableFigureBoxstyles"/>
            </w:pPr>
            <w:r w:rsidRPr="00C1603D">
              <w:t>0.807</w:t>
            </w:r>
          </w:p>
        </w:tc>
        <w:tc>
          <w:tcPr>
            <w:tcW w:w="0" w:type="auto"/>
            <w:shd w:val="clear" w:color="auto" w:fill="auto"/>
          </w:tcPr>
          <w:p w14:paraId="6A8769E9" w14:textId="77777777" w:rsidR="008B4DF8" w:rsidRPr="00C1603D" w:rsidRDefault="008B4DF8" w:rsidP="0017067B">
            <w:pPr>
              <w:pStyle w:val="72TabletextTablesTableFigureBoxstyles"/>
            </w:pPr>
            <w:r w:rsidRPr="00C1603D">
              <w:t>0.61</w:t>
            </w:r>
          </w:p>
        </w:tc>
        <w:tc>
          <w:tcPr>
            <w:tcW w:w="0" w:type="auto"/>
            <w:shd w:val="clear" w:color="auto" w:fill="auto"/>
          </w:tcPr>
          <w:p w14:paraId="67F6EEE0" w14:textId="77777777" w:rsidR="008B4DF8" w:rsidRPr="00C1603D" w:rsidRDefault="008B4DF8" w:rsidP="0017067B">
            <w:pPr>
              <w:pStyle w:val="72TabletextTablesTableFigureBoxstyles"/>
            </w:pPr>
            <w:r w:rsidRPr="00C1603D">
              <w:t>IgA tTG</w:t>
            </w:r>
          </w:p>
        </w:tc>
        <w:tc>
          <w:tcPr>
            <w:tcW w:w="0" w:type="auto"/>
            <w:shd w:val="clear" w:color="auto" w:fill="auto"/>
          </w:tcPr>
          <w:p w14:paraId="07370269" w14:textId="6C44F753" w:rsidR="008B4DF8" w:rsidRPr="00C1603D" w:rsidRDefault="008B4DF8" w:rsidP="0017067B">
            <w:pPr>
              <w:pStyle w:val="72TabletextTablesTableFigureBoxstyles"/>
            </w:pPr>
            <w:r w:rsidRPr="00C1603D">
              <w:t>12</w:t>
            </w:r>
            <w:r w:rsidR="0017067B" w:rsidRPr="00C1603D">
              <w:t>,</w:t>
            </w:r>
            <w:r w:rsidRPr="00C1603D">
              <w:t>914 (11</w:t>
            </w:r>
            <w:r w:rsidR="0017067B" w:rsidRPr="00C1603D">
              <w:t>,</w:t>
            </w:r>
            <w:r w:rsidRPr="00C1603D">
              <w:t>431</w:t>
            </w:r>
            <w:r w:rsidR="0017067B" w:rsidRPr="00C1603D">
              <w:t xml:space="preserve"> to</w:t>
            </w:r>
            <w:r w:rsidRPr="00C1603D">
              <w:t xml:space="preserve"> 14</w:t>
            </w:r>
            <w:r w:rsidR="0017067B" w:rsidRPr="00C1603D">
              <w:t>,</w:t>
            </w:r>
            <w:r w:rsidRPr="00C1603D">
              <w:t>119)</w:t>
            </w:r>
          </w:p>
        </w:tc>
        <w:tc>
          <w:tcPr>
            <w:tcW w:w="0" w:type="auto"/>
            <w:shd w:val="clear" w:color="auto" w:fill="auto"/>
          </w:tcPr>
          <w:p w14:paraId="6464335C" w14:textId="11290A22" w:rsidR="008B4DF8" w:rsidRPr="00C1603D" w:rsidRDefault="008B4DF8" w:rsidP="0017067B">
            <w:pPr>
              <w:pStyle w:val="72TabletextTablesTableFigureBoxstyles"/>
            </w:pPr>
            <w:r w:rsidRPr="00C1603D">
              <w:t>20.62 (19.27</w:t>
            </w:r>
            <w:r w:rsidR="0017067B" w:rsidRPr="00C1603D">
              <w:t xml:space="preserve"> to</w:t>
            </w:r>
            <w:r w:rsidRPr="00C1603D">
              <w:t xml:space="preserve"> 21.62)</w:t>
            </w:r>
          </w:p>
        </w:tc>
        <w:tc>
          <w:tcPr>
            <w:tcW w:w="0" w:type="auto"/>
            <w:shd w:val="clear" w:color="auto" w:fill="auto"/>
          </w:tcPr>
          <w:p w14:paraId="7313399E" w14:textId="4FD07627" w:rsidR="008B4DF8" w:rsidRPr="00C1603D" w:rsidRDefault="008B4DF8" w:rsidP="0017067B">
            <w:pPr>
              <w:pStyle w:val="72TabletextTablesTableFigureBoxstyles"/>
            </w:pPr>
            <w:r w:rsidRPr="00C1603D">
              <w:rPr>
                <w:color w:val="00B0F0"/>
              </w:rPr>
              <w:t>–5</w:t>
            </w:r>
            <w:r w:rsidRPr="00C1603D">
              <w:t>74 (</w:t>
            </w:r>
            <w:r w:rsidRPr="00C1603D">
              <w:rPr>
                <w:color w:val="00B0F0"/>
              </w:rPr>
              <w:t>–1</w:t>
            </w:r>
            <w:r w:rsidRPr="00C1603D">
              <w:t>074</w:t>
            </w:r>
            <w:r w:rsidR="0017067B" w:rsidRPr="00C1603D">
              <w:t xml:space="preserve"> to</w:t>
            </w:r>
            <w:r w:rsidRPr="00C1603D">
              <w:t xml:space="preserve"> 638)</w:t>
            </w:r>
          </w:p>
        </w:tc>
      </w:tr>
      <w:tr w:rsidR="008B4DF8" w:rsidRPr="00C1603D" w14:paraId="4091AFA9" w14:textId="77777777" w:rsidTr="0017067B">
        <w:trPr>
          <w:cantSplit/>
        </w:trPr>
        <w:tc>
          <w:tcPr>
            <w:tcW w:w="0" w:type="auto"/>
            <w:shd w:val="clear" w:color="auto" w:fill="auto"/>
          </w:tcPr>
          <w:p w14:paraId="7B73FE23" w14:textId="24ADD1D6" w:rsidR="008B4DF8" w:rsidRPr="00C1603D" w:rsidRDefault="008B4DF8" w:rsidP="0017067B">
            <w:pPr>
              <w:pStyle w:val="72TabletextTablesTableFigureBoxstyles"/>
            </w:pPr>
            <w:r w:rsidRPr="00C1603D">
              <w:t>5</w:t>
            </w:r>
          </w:p>
        </w:tc>
        <w:tc>
          <w:tcPr>
            <w:tcW w:w="0" w:type="auto"/>
            <w:shd w:val="clear" w:color="auto" w:fill="auto"/>
          </w:tcPr>
          <w:p w14:paraId="2BE98059" w14:textId="77777777" w:rsidR="008B4DF8" w:rsidRPr="00C1603D" w:rsidRDefault="008B4DF8" w:rsidP="0017067B">
            <w:pPr>
              <w:pStyle w:val="72TabletextTablesTableFigureBoxstyles"/>
            </w:pPr>
            <w:r w:rsidRPr="00C1603D">
              <w:t>0.667</w:t>
            </w:r>
          </w:p>
        </w:tc>
        <w:tc>
          <w:tcPr>
            <w:tcW w:w="0" w:type="auto"/>
            <w:shd w:val="clear" w:color="auto" w:fill="auto"/>
          </w:tcPr>
          <w:p w14:paraId="37EDA515" w14:textId="77777777" w:rsidR="008B4DF8" w:rsidRPr="00C1603D" w:rsidRDefault="008B4DF8" w:rsidP="0017067B">
            <w:pPr>
              <w:pStyle w:val="72TabletextTablesTableFigureBoxstyles"/>
            </w:pPr>
            <w:r w:rsidRPr="00C1603D">
              <w:t>0.872</w:t>
            </w:r>
          </w:p>
        </w:tc>
        <w:tc>
          <w:tcPr>
            <w:tcW w:w="0" w:type="auto"/>
            <w:shd w:val="clear" w:color="auto" w:fill="auto"/>
          </w:tcPr>
          <w:p w14:paraId="32E2ECCC" w14:textId="77777777" w:rsidR="008B4DF8" w:rsidRPr="00C1603D" w:rsidRDefault="008B4DF8" w:rsidP="0017067B">
            <w:pPr>
              <w:pStyle w:val="72TabletextTablesTableFigureBoxstyles"/>
            </w:pPr>
            <w:r w:rsidRPr="00C1603D">
              <w:t>IgA tTG</w:t>
            </w:r>
          </w:p>
        </w:tc>
        <w:tc>
          <w:tcPr>
            <w:tcW w:w="0" w:type="auto"/>
            <w:shd w:val="clear" w:color="auto" w:fill="auto"/>
          </w:tcPr>
          <w:p w14:paraId="46A3239A" w14:textId="076E50D6" w:rsidR="008B4DF8" w:rsidRPr="00C1603D" w:rsidRDefault="008B4DF8" w:rsidP="0017067B">
            <w:pPr>
              <w:pStyle w:val="72TabletextTablesTableFigureBoxstyles"/>
            </w:pPr>
            <w:r w:rsidRPr="00C1603D">
              <w:t>12</w:t>
            </w:r>
            <w:r w:rsidR="0017067B" w:rsidRPr="00C1603D">
              <w:t>,</w:t>
            </w:r>
            <w:r w:rsidRPr="00C1603D">
              <w:t>713 (11</w:t>
            </w:r>
            <w:r w:rsidR="0017067B" w:rsidRPr="00C1603D">
              <w:t>,</w:t>
            </w:r>
            <w:r w:rsidRPr="00C1603D">
              <w:t>343</w:t>
            </w:r>
            <w:r w:rsidR="0017067B" w:rsidRPr="00C1603D">
              <w:t xml:space="preserve"> to</w:t>
            </w:r>
            <w:r w:rsidRPr="00C1603D">
              <w:t xml:space="preserve"> 13</w:t>
            </w:r>
            <w:r w:rsidR="0017067B" w:rsidRPr="00C1603D">
              <w:t>,</w:t>
            </w:r>
            <w:r w:rsidRPr="00C1603D">
              <w:t>890)</w:t>
            </w:r>
          </w:p>
        </w:tc>
        <w:tc>
          <w:tcPr>
            <w:tcW w:w="0" w:type="auto"/>
            <w:shd w:val="clear" w:color="auto" w:fill="auto"/>
          </w:tcPr>
          <w:p w14:paraId="7B99AE72" w14:textId="6FC640F2" w:rsidR="008B4DF8" w:rsidRPr="00C1603D" w:rsidRDefault="008B4DF8" w:rsidP="0017067B">
            <w:pPr>
              <w:pStyle w:val="72TabletextTablesTableFigureBoxstyles"/>
            </w:pPr>
            <w:r w:rsidRPr="00C1603D">
              <w:t>20.71 (19.48</w:t>
            </w:r>
            <w:r w:rsidR="0017067B" w:rsidRPr="00C1603D">
              <w:t xml:space="preserve"> to</w:t>
            </w:r>
            <w:r w:rsidRPr="00C1603D">
              <w:t xml:space="preserve"> 21.67)</w:t>
            </w:r>
          </w:p>
        </w:tc>
        <w:tc>
          <w:tcPr>
            <w:tcW w:w="0" w:type="auto"/>
            <w:shd w:val="clear" w:color="auto" w:fill="auto"/>
          </w:tcPr>
          <w:p w14:paraId="51C65402" w14:textId="2A7BD5B8" w:rsidR="008B4DF8" w:rsidRPr="00C1603D" w:rsidRDefault="008B4DF8" w:rsidP="0017067B">
            <w:pPr>
              <w:pStyle w:val="72TabletextTablesTableFigureBoxstyles"/>
            </w:pPr>
            <w:r w:rsidRPr="00C1603D">
              <w:t>1290 (</w:t>
            </w:r>
            <w:r w:rsidRPr="00C1603D">
              <w:rPr>
                <w:color w:val="00B0F0"/>
              </w:rPr>
              <w:t>–2</w:t>
            </w:r>
            <w:r w:rsidRPr="00C1603D">
              <w:t>26</w:t>
            </w:r>
            <w:r w:rsidR="0017067B" w:rsidRPr="00C1603D">
              <w:t xml:space="preserve"> to</w:t>
            </w:r>
            <w:r w:rsidRPr="00C1603D">
              <w:t xml:space="preserve"> 5072)</w:t>
            </w:r>
          </w:p>
        </w:tc>
      </w:tr>
      <w:tr w:rsidR="008B4DF8" w:rsidRPr="00C1603D" w14:paraId="45A76BDE" w14:textId="77777777" w:rsidTr="0017067B">
        <w:trPr>
          <w:cantSplit/>
        </w:trPr>
        <w:tc>
          <w:tcPr>
            <w:tcW w:w="0" w:type="auto"/>
            <w:shd w:val="clear" w:color="auto" w:fill="auto"/>
          </w:tcPr>
          <w:p w14:paraId="300CC58E" w14:textId="3B57BE6F" w:rsidR="008B4DF8" w:rsidRPr="00C1603D" w:rsidRDefault="008B4DF8" w:rsidP="0017067B">
            <w:pPr>
              <w:pStyle w:val="72TabletextTablesTableFigureBoxstyles"/>
            </w:pPr>
            <w:r w:rsidRPr="00C1603D">
              <w:t>10</w:t>
            </w:r>
          </w:p>
        </w:tc>
        <w:tc>
          <w:tcPr>
            <w:tcW w:w="0" w:type="auto"/>
            <w:shd w:val="clear" w:color="auto" w:fill="auto"/>
          </w:tcPr>
          <w:p w14:paraId="7503A649" w14:textId="77777777" w:rsidR="008B4DF8" w:rsidRPr="00C1603D" w:rsidRDefault="008B4DF8" w:rsidP="0017067B">
            <w:pPr>
              <w:pStyle w:val="72TabletextTablesTableFigureBoxstyles"/>
            </w:pPr>
            <w:r w:rsidRPr="00C1603D">
              <w:t>0.533</w:t>
            </w:r>
          </w:p>
        </w:tc>
        <w:tc>
          <w:tcPr>
            <w:tcW w:w="0" w:type="auto"/>
            <w:shd w:val="clear" w:color="auto" w:fill="auto"/>
          </w:tcPr>
          <w:p w14:paraId="280F2639" w14:textId="77777777" w:rsidR="008B4DF8" w:rsidRPr="00C1603D" w:rsidRDefault="008B4DF8" w:rsidP="0017067B">
            <w:pPr>
              <w:pStyle w:val="72TabletextTablesTableFigureBoxstyles"/>
            </w:pPr>
            <w:r w:rsidRPr="00C1603D">
              <w:t>0.952</w:t>
            </w:r>
          </w:p>
        </w:tc>
        <w:tc>
          <w:tcPr>
            <w:tcW w:w="0" w:type="auto"/>
            <w:shd w:val="clear" w:color="auto" w:fill="auto"/>
          </w:tcPr>
          <w:p w14:paraId="683A1B2B" w14:textId="77777777" w:rsidR="008B4DF8" w:rsidRPr="00C1603D" w:rsidRDefault="008B4DF8" w:rsidP="0017067B">
            <w:pPr>
              <w:pStyle w:val="72TabletextTablesTableFigureBoxstyles"/>
            </w:pPr>
            <w:r w:rsidRPr="00C1603D">
              <w:t>IgA tTG</w:t>
            </w:r>
          </w:p>
        </w:tc>
        <w:tc>
          <w:tcPr>
            <w:tcW w:w="0" w:type="auto"/>
            <w:shd w:val="clear" w:color="auto" w:fill="auto"/>
          </w:tcPr>
          <w:p w14:paraId="18311EE2" w14:textId="31ED4929" w:rsidR="008B4DF8" w:rsidRPr="00C1603D" w:rsidRDefault="008B4DF8" w:rsidP="0017067B">
            <w:pPr>
              <w:pStyle w:val="72TabletextTablesTableFigureBoxstyles"/>
            </w:pPr>
            <w:r w:rsidRPr="00C1603D">
              <w:t>12</w:t>
            </w:r>
            <w:r w:rsidR="0017067B" w:rsidRPr="00C1603D">
              <w:t>,</w:t>
            </w:r>
            <w:r w:rsidRPr="00C1603D">
              <w:t>679 (11</w:t>
            </w:r>
            <w:r w:rsidR="0017067B" w:rsidRPr="00C1603D">
              <w:t>,</w:t>
            </w:r>
            <w:r w:rsidRPr="00C1603D">
              <w:t>477</w:t>
            </w:r>
            <w:r w:rsidR="0017067B" w:rsidRPr="00C1603D">
              <w:t xml:space="preserve"> to</w:t>
            </w:r>
            <w:r w:rsidRPr="00C1603D">
              <w:t xml:space="preserve"> 13</w:t>
            </w:r>
            <w:r w:rsidR="0017067B" w:rsidRPr="00C1603D">
              <w:t>,</w:t>
            </w:r>
            <w:r w:rsidRPr="00C1603D">
              <w:t>793)</w:t>
            </w:r>
          </w:p>
        </w:tc>
        <w:tc>
          <w:tcPr>
            <w:tcW w:w="0" w:type="auto"/>
            <w:shd w:val="clear" w:color="auto" w:fill="auto"/>
          </w:tcPr>
          <w:p w14:paraId="2F7A8AE9" w14:textId="12A7845F" w:rsidR="008B4DF8" w:rsidRPr="00C1603D" w:rsidRDefault="008B4DF8" w:rsidP="0017067B">
            <w:pPr>
              <w:pStyle w:val="72TabletextTablesTableFigureBoxstyles"/>
            </w:pPr>
            <w:r w:rsidRPr="00C1603D">
              <w:t>20.87 (19.8</w:t>
            </w:r>
            <w:r w:rsidR="0017067B" w:rsidRPr="00C1603D">
              <w:t xml:space="preserve"> to</w:t>
            </w:r>
            <w:r w:rsidRPr="00C1603D">
              <w:t xml:space="preserve"> 21.78)</w:t>
            </w:r>
          </w:p>
        </w:tc>
        <w:tc>
          <w:tcPr>
            <w:tcW w:w="0" w:type="auto"/>
            <w:shd w:val="clear" w:color="auto" w:fill="auto"/>
          </w:tcPr>
          <w:p w14:paraId="0B2FD913" w14:textId="771C7D36" w:rsidR="008B4DF8" w:rsidRPr="00C1603D" w:rsidRDefault="008B4DF8" w:rsidP="0017067B">
            <w:pPr>
              <w:pStyle w:val="72TabletextTablesTableFigureBoxstyles"/>
            </w:pPr>
            <w:r w:rsidRPr="00C1603D">
              <w:t>4517 (1002</w:t>
            </w:r>
            <w:r w:rsidR="0017067B" w:rsidRPr="00C1603D">
              <w:t xml:space="preserve"> to</w:t>
            </w:r>
            <w:r w:rsidRPr="00C1603D">
              <w:t xml:space="preserve"> 13</w:t>
            </w:r>
            <w:r w:rsidR="0017067B" w:rsidRPr="00C1603D">
              <w:t>,</w:t>
            </w:r>
            <w:r w:rsidRPr="00C1603D">
              <w:t>401)</w:t>
            </w:r>
          </w:p>
        </w:tc>
      </w:tr>
      <w:tr w:rsidR="008B4DF8" w:rsidRPr="00C1603D" w14:paraId="62FF861F" w14:textId="77777777" w:rsidTr="0017067B">
        <w:trPr>
          <w:cantSplit/>
        </w:trPr>
        <w:tc>
          <w:tcPr>
            <w:tcW w:w="0" w:type="auto"/>
            <w:shd w:val="clear" w:color="auto" w:fill="auto"/>
          </w:tcPr>
          <w:p w14:paraId="42E205CE" w14:textId="30316AF0" w:rsidR="008B4DF8" w:rsidRPr="00C1603D" w:rsidRDefault="008B4DF8" w:rsidP="0017067B">
            <w:pPr>
              <w:pStyle w:val="72TabletextTablesTableFigureBoxstyles"/>
            </w:pPr>
            <w:r w:rsidRPr="00C1603D">
              <w:t>20</w:t>
            </w:r>
          </w:p>
        </w:tc>
        <w:tc>
          <w:tcPr>
            <w:tcW w:w="0" w:type="auto"/>
            <w:shd w:val="clear" w:color="auto" w:fill="auto"/>
          </w:tcPr>
          <w:p w14:paraId="740587B9" w14:textId="77777777" w:rsidR="008B4DF8" w:rsidRPr="00C1603D" w:rsidRDefault="008B4DF8" w:rsidP="0017067B">
            <w:pPr>
              <w:pStyle w:val="72TabletextTablesTableFigureBoxstyles"/>
            </w:pPr>
            <w:r w:rsidRPr="00C1603D">
              <w:t>0.331</w:t>
            </w:r>
          </w:p>
        </w:tc>
        <w:tc>
          <w:tcPr>
            <w:tcW w:w="0" w:type="auto"/>
            <w:shd w:val="clear" w:color="auto" w:fill="auto"/>
          </w:tcPr>
          <w:p w14:paraId="1334C6E3" w14:textId="77777777" w:rsidR="008B4DF8" w:rsidRPr="00C1603D" w:rsidRDefault="008B4DF8" w:rsidP="0017067B">
            <w:pPr>
              <w:pStyle w:val="72TabletextTablesTableFigureBoxstyles"/>
            </w:pPr>
            <w:r w:rsidRPr="00C1603D">
              <w:t>0.987</w:t>
            </w:r>
          </w:p>
        </w:tc>
        <w:tc>
          <w:tcPr>
            <w:tcW w:w="0" w:type="auto"/>
            <w:shd w:val="clear" w:color="auto" w:fill="auto"/>
          </w:tcPr>
          <w:p w14:paraId="6ABE9D8C" w14:textId="77777777" w:rsidR="008B4DF8" w:rsidRPr="00C1603D" w:rsidRDefault="008B4DF8" w:rsidP="0017067B">
            <w:pPr>
              <w:pStyle w:val="72TabletextTablesTableFigureBoxstyles"/>
            </w:pPr>
            <w:r w:rsidRPr="00C1603D">
              <w:t>IgA tTG</w:t>
            </w:r>
          </w:p>
        </w:tc>
        <w:tc>
          <w:tcPr>
            <w:tcW w:w="0" w:type="auto"/>
            <w:shd w:val="clear" w:color="auto" w:fill="auto"/>
          </w:tcPr>
          <w:p w14:paraId="2DAEEEB5" w14:textId="35AE4C81" w:rsidR="008B4DF8" w:rsidRPr="00C1603D" w:rsidRDefault="008B4DF8" w:rsidP="0017067B">
            <w:pPr>
              <w:pStyle w:val="72TabletextTablesTableFigureBoxstyles"/>
            </w:pPr>
            <w:r w:rsidRPr="00C1603D">
              <w:t>12</w:t>
            </w:r>
            <w:r w:rsidR="0017067B" w:rsidRPr="00C1603D">
              <w:t>,</w:t>
            </w:r>
            <w:r w:rsidRPr="00C1603D">
              <w:t>699 (11</w:t>
            </w:r>
            <w:r w:rsidR="0017067B" w:rsidRPr="00C1603D">
              <w:t>,</w:t>
            </w:r>
            <w:r w:rsidRPr="00C1603D">
              <w:t>686</w:t>
            </w:r>
            <w:r w:rsidR="0017067B" w:rsidRPr="00C1603D">
              <w:t xml:space="preserve"> to</w:t>
            </w:r>
            <w:r w:rsidRPr="00C1603D">
              <w:t xml:space="preserve"> 13</w:t>
            </w:r>
            <w:r w:rsidR="0017067B" w:rsidRPr="00C1603D">
              <w:t>,</w:t>
            </w:r>
            <w:r w:rsidRPr="00C1603D">
              <w:t>797)</w:t>
            </w:r>
          </w:p>
        </w:tc>
        <w:tc>
          <w:tcPr>
            <w:tcW w:w="0" w:type="auto"/>
            <w:shd w:val="clear" w:color="auto" w:fill="auto"/>
          </w:tcPr>
          <w:p w14:paraId="2B087058" w14:textId="2D485DBD" w:rsidR="008B4DF8" w:rsidRPr="00C1603D" w:rsidRDefault="008B4DF8" w:rsidP="0017067B">
            <w:pPr>
              <w:pStyle w:val="72TabletextTablesTableFigureBoxstyles"/>
            </w:pPr>
            <w:r w:rsidRPr="00C1603D">
              <w:t>21.09 (20.08</w:t>
            </w:r>
            <w:r w:rsidR="0017067B" w:rsidRPr="00C1603D">
              <w:t xml:space="preserve"> to</w:t>
            </w:r>
            <w:r w:rsidRPr="00C1603D">
              <w:t xml:space="preserve"> 21.95)</w:t>
            </w:r>
          </w:p>
        </w:tc>
        <w:tc>
          <w:tcPr>
            <w:tcW w:w="0" w:type="auto"/>
            <w:shd w:val="clear" w:color="auto" w:fill="auto"/>
          </w:tcPr>
          <w:p w14:paraId="7DCAAA98" w14:textId="7AB9B7F8" w:rsidR="008B4DF8" w:rsidRPr="00C1603D" w:rsidRDefault="008B4DF8" w:rsidP="0017067B">
            <w:pPr>
              <w:pStyle w:val="72TabletextTablesTableFigureBoxstyles"/>
            </w:pPr>
            <w:r w:rsidRPr="00C1603D">
              <w:t>8896 (2610</w:t>
            </w:r>
            <w:r w:rsidR="0017067B" w:rsidRPr="00C1603D">
              <w:t xml:space="preserve"> to</w:t>
            </w:r>
            <w:r w:rsidRPr="00C1603D">
              <w:t xml:space="preserve"> 24</w:t>
            </w:r>
            <w:r w:rsidR="0017067B" w:rsidRPr="00C1603D">
              <w:t>,</w:t>
            </w:r>
            <w:r w:rsidRPr="00C1603D">
              <w:t>765)</w:t>
            </w:r>
          </w:p>
        </w:tc>
      </w:tr>
      <w:tr w:rsidR="008B4DF8" w:rsidRPr="00C1603D" w14:paraId="532404FA" w14:textId="77777777" w:rsidTr="0017067B">
        <w:trPr>
          <w:cantSplit/>
        </w:trPr>
        <w:tc>
          <w:tcPr>
            <w:tcW w:w="0" w:type="auto"/>
            <w:shd w:val="clear" w:color="auto" w:fill="auto"/>
          </w:tcPr>
          <w:p w14:paraId="7FC94BAB" w14:textId="72E03F05" w:rsidR="008B4DF8" w:rsidRPr="00C1603D" w:rsidRDefault="008B4DF8" w:rsidP="0017067B">
            <w:pPr>
              <w:pStyle w:val="72TabletextTablesTableFigureBoxstyles"/>
            </w:pPr>
            <w:r w:rsidRPr="00C1603D">
              <w:t>1</w:t>
            </w:r>
          </w:p>
        </w:tc>
        <w:tc>
          <w:tcPr>
            <w:tcW w:w="0" w:type="auto"/>
            <w:shd w:val="clear" w:color="auto" w:fill="auto"/>
          </w:tcPr>
          <w:p w14:paraId="6868DB5A" w14:textId="77777777" w:rsidR="008B4DF8" w:rsidRPr="00C1603D" w:rsidRDefault="008B4DF8" w:rsidP="0017067B">
            <w:pPr>
              <w:pStyle w:val="72TabletextTablesTableFigureBoxstyles"/>
            </w:pPr>
            <w:r w:rsidRPr="00C1603D">
              <w:t>1</w:t>
            </w:r>
          </w:p>
        </w:tc>
        <w:tc>
          <w:tcPr>
            <w:tcW w:w="0" w:type="auto"/>
            <w:shd w:val="clear" w:color="auto" w:fill="auto"/>
          </w:tcPr>
          <w:p w14:paraId="19B3EBD5" w14:textId="77777777" w:rsidR="008B4DF8" w:rsidRPr="00C1603D" w:rsidRDefault="008B4DF8" w:rsidP="0017067B">
            <w:pPr>
              <w:pStyle w:val="72TabletextTablesTableFigureBoxstyles"/>
            </w:pPr>
            <w:r w:rsidRPr="00C1603D">
              <w:t>0</w:t>
            </w:r>
          </w:p>
        </w:tc>
        <w:tc>
          <w:tcPr>
            <w:tcW w:w="0" w:type="auto"/>
            <w:shd w:val="clear" w:color="auto" w:fill="auto"/>
          </w:tcPr>
          <w:p w14:paraId="266AFF94" w14:textId="77777777" w:rsidR="008B4DF8" w:rsidRPr="00C1603D" w:rsidRDefault="008B4DF8" w:rsidP="0017067B">
            <w:pPr>
              <w:pStyle w:val="72TabletextTablesTableFigureBoxstyles"/>
            </w:pPr>
            <w:r w:rsidRPr="00C1603D">
              <w:t>IgA EMA plus HLA</w:t>
            </w:r>
          </w:p>
        </w:tc>
        <w:tc>
          <w:tcPr>
            <w:tcW w:w="0" w:type="auto"/>
            <w:shd w:val="clear" w:color="auto" w:fill="auto"/>
          </w:tcPr>
          <w:p w14:paraId="71DBA941" w14:textId="2C007E6D" w:rsidR="008B4DF8" w:rsidRPr="00C1603D" w:rsidRDefault="008B4DF8" w:rsidP="0017067B">
            <w:pPr>
              <w:pStyle w:val="72TabletextTablesTableFigureBoxstyles"/>
            </w:pPr>
            <w:r w:rsidRPr="00C1603D">
              <w:t>13</w:t>
            </w:r>
            <w:r w:rsidR="0017067B" w:rsidRPr="00C1603D">
              <w:t>,</w:t>
            </w:r>
            <w:r w:rsidRPr="00C1603D">
              <w:t>808 (12</w:t>
            </w:r>
            <w:r w:rsidR="0017067B" w:rsidRPr="00C1603D">
              <w:t>,</w:t>
            </w:r>
            <w:r w:rsidRPr="00C1603D">
              <w:t>814</w:t>
            </w:r>
            <w:r w:rsidR="0017067B" w:rsidRPr="00C1603D">
              <w:t xml:space="preserve"> to</w:t>
            </w:r>
            <w:r w:rsidRPr="00C1603D">
              <w:t xml:space="preserve"> 14</w:t>
            </w:r>
            <w:r w:rsidR="0017067B" w:rsidRPr="00C1603D">
              <w:t>,</w:t>
            </w:r>
            <w:r w:rsidRPr="00C1603D">
              <w:t>911)</w:t>
            </w:r>
          </w:p>
        </w:tc>
        <w:tc>
          <w:tcPr>
            <w:tcW w:w="0" w:type="auto"/>
            <w:shd w:val="clear" w:color="auto" w:fill="auto"/>
          </w:tcPr>
          <w:p w14:paraId="12F91050" w14:textId="0464670A" w:rsidR="008B4DF8" w:rsidRPr="00C1603D" w:rsidRDefault="008B4DF8" w:rsidP="0017067B">
            <w:pPr>
              <w:pStyle w:val="72TabletextTablesTableFigureBoxstyles"/>
            </w:pPr>
            <w:r w:rsidRPr="00C1603D">
              <w:t>21.32 (20.32</w:t>
            </w:r>
            <w:r w:rsidR="0017067B" w:rsidRPr="00C1603D">
              <w:t xml:space="preserve"> to</w:t>
            </w:r>
            <w:r w:rsidRPr="00C1603D">
              <w:t xml:space="preserve"> 22.16)</w:t>
            </w:r>
          </w:p>
        </w:tc>
        <w:tc>
          <w:tcPr>
            <w:tcW w:w="0" w:type="auto"/>
            <w:shd w:val="clear" w:color="auto" w:fill="auto"/>
          </w:tcPr>
          <w:p w14:paraId="77F37D8A" w14:textId="32B936C7" w:rsidR="008B4DF8" w:rsidRPr="00C1603D" w:rsidRDefault="008B4DF8" w:rsidP="0017067B">
            <w:pPr>
              <w:pStyle w:val="72TabletextTablesTableFigureBoxstyles"/>
            </w:pPr>
            <w:r w:rsidRPr="00C1603D">
              <w:t>12</w:t>
            </w:r>
            <w:r w:rsidR="0017067B" w:rsidRPr="00C1603D">
              <w:t>,</w:t>
            </w:r>
            <w:r w:rsidRPr="00C1603D">
              <w:t>502 (3202</w:t>
            </w:r>
            <w:r w:rsidR="0017067B" w:rsidRPr="00C1603D">
              <w:t xml:space="preserve"> to</w:t>
            </w:r>
            <w:r w:rsidRPr="00C1603D">
              <w:t xml:space="preserve"> 35</w:t>
            </w:r>
            <w:r w:rsidR="0017067B" w:rsidRPr="00C1603D">
              <w:t>,</w:t>
            </w:r>
            <w:r w:rsidRPr="00C1603D">
              <w:t>895)</w:t>
            </w:r>
          </w:p>
        </w:tc>
      </w:tr>
      <w:tr w:rsidR="008B4DF8" w:rsidRPr="00C1603D" w14:paraId="778B6EE3" w14:textId="77777777" w:rsidTr="0017067B">
        <w:trPr>
          <w:cantSplit/>
        </w:trPr>
        <w:tc>
          <w:tcPr>
            <w:tcW w:w="0" w:type="auto"/>
            <w:shd w:val="clear" w:color="auto" w:fill="auto"/>
          </w:tcPr>
          <w:p w14:paraId="27DFCFC0" w14:textId="1FDE87BF" w:rsidR="008B4DF8" w:rsidRPr="00C1603D" w:rsidRDefault="008B4DF8" w:rsidP="0017067B">
            <w:pPr>
              <w:pStyle w:val="72TabletextTablesTableFigureBoxstyles"/>
            </w:pPr>
            <w:r w:rsidRPr="00C1603D">
              <w:t>1.5</w:t>
            </w:r>
          </w:p>
        </w:tc>
        <w:tc>
          <w:tcPr>
            <w:tcW w:w="0" w:type="auto"/>
            <w:shd w:val="clear" w:color="auto" w:fill="auto"/>
          </w:tcPr>
          <w:p w14:paraId="5031C5ED" w14:textId="77777777" w:rsidR="008B4DF8" w:rsidRPr="00C1603D" w:rsidRDefault="008B4DF8" w:rsidP="0017067B">
            <w:pPr>
              <w:pStyle w:val="72TabletextTablesTableFigureBoxstyles"/>
            </w:pPr>
            <w:r w:rsidRPr="00C1603D">
              <w:t>0.882</w:t>
            </w:r>
          </w:p>
        </w:tc>
        <w:tc>
          <w:tcPr>
            <w:tcW w:w="0" w:type="auto"/>
            <w:shd w:val="clear" w:color="auto" w:fill="auto"/>
          </w:tcPr>
          <w:p w14:paraId="2082F263" w14:textId="77777777" w:rsidR="008B4DF8" w:rsidRPr="00C1603D" w:rsidRDefault="008B4DF8" w:rsidP="0017067B">
            <w:pPr>
              <w:pStyle w:val="72TabletextTablesTableFigureBoxstyles"/>
            </w:pPr>
            <w:r w:rsidRPr="00C1603D">
              <w:t>0.417</w:t>
            </w:r>
          </w:p>
        </w:tc>
        <w:tc>
          <w:tcPr>
            <w:tcW w:w="0" w:type="auto"/>
            <w:shd w:val="clear" w:color="auto" w:fill="auto"/>
          </w:tcPr>
          <w:p w14:paraId="5A9978E9" w14:textId="77777777" w:rsidR="008B4DF8" w:rsidRPr="00C1603D" w:rsidRDefault="008B4DF8" w:rsidP="0017067B">
            <w:pPr>
              <w:pStyle w:val="72TabletextTablesTableFigureBoxstyles"/>
            </w:pPr>
            <w:r w:rsidRPr="00C1603D">
              <w:t>IgA EMA plus HLA</w:t>
            </w:r>
          </w:p>
        </w:tc>
        <w:tc>
          <w:tcPr>
            <w:tcW w:w="0" w:type="auto"/>
            <w:shd w:val="clear" w:color="auto" w:fill="auto"/>
          </w:tcPr>
          <w:p w14:paraId="4CC05E48" w14:textId="670864E8" w:rsidR="008B4DF8" w:rsidRPr="00C1603D" w:rsidRDefault="008B4DF8" w:rsidP="0017067B">
            <w:pPr>
              <w:pStyle w:val="72TabletextTablesTableFigureBoxstyles"/>
            </w:pPr>
            <w:r w:rsidRPr="00C1603D">
              <w:t>13</w:t>
            </w:r>
            <w:r w:rsidR="0017067B" w:rsidRPr="00C1603D">
              <w:t>,</w:t>
            </w:r>
            <w:r w:rsidRPr="00C1603D">
              <w:t>403 (12</w:t>
            </w:r>
            <w:r w:rsidR="0017067B" w:rsidRPr="00C1603D">
              <w:t>,</w:t>
            </w:r>
            <w:r w:rsidRPr="00C1603D">
              <w:t>418</w:t>
            </w:r>
            <w:r w:rsidR="0017067B" w:rsidRPr="00C1603D">
              <w:t xml:space="preserve"> to</w:t>
            </w:r>
            <w:r w:rsidRPr="00C1603D">
              <w:t xml:space="preserve"> 14</w:t>
            </w:r>
            <w:r w:rsidR="0017067B" w:rsidRPr="00C1603D">
              <w:t>,</w:t>
            </w:r>
            <w:r w:rsidRPr="00C1603D">
              <w:t>497)</w:t>
            </w:r>
          </w:p>
        </w:tc>
        <w:tc>
          <w:tcPr>
            <w:tcW w:w="0" w:type="auto"/>
            <w:shd w:val="clear" w:color="auto" w:fill="auto"/>
          </w:tcPr>
          <w:p w14:paraId="0AEDCF9E" w14:textId="263529A7" w:rsidR="008B4DF8" w:rsidRPr="00C1603D" w:rsidRDefault="008B4DF8" w:rsidP="0017067B">
            <w:pPr>
              <w:pStyle w:val="72TabletextTablesTableFigureBoxstyles"/>
            </w:pPr>
            <w:r w:rsidRPr="00C1603D">
              <w:t>21.26 (20.25</w:t>
            </w:r>
            <w:r w:rsidR="0017067B" w:rsidRPr="00C1603D">
              <w:t xml:space="preserve"> to</w:t>
            </w:r>
            <w:r w:rsidRPr="00C1603D">
              <w:t xml:space="preserve"> 22.1)</w:t>
            </w:r>
          </w:p>
        </w:tc>
        <w:tc>
          <w:tcPr>
            <w:tcW w:w="0" w:type="auto"/>
            <w:shd w:val="clear" w:color="auto" w:fill="auto"/>
          </w:tcPr>
          <w:p w14:paraId="6042A39C" w14:textId="4324DF70" w:rsidR="008B4DF8" w:rsidRPr="00C1603D" w:rsidRDefault="008B4DF8" w:rsidP="0017067B">
            <w:pPr>
              <w:pStyle w:val="72TabletextTablesTableFigureBoxstyles"/>
            </w:pPr>
            <w:r w:rsidRPr="00C1603D">
              <w:t>11</w:t>
            </w:r>
            <w:r w:rsidR="0017067B" w:rsidRPr="00C1603D">
              <w:t>,</w:t>
            </w:r>
            <w:r w:rsidRPr="00C1603D">
              <w:t>577 (3050</w:t>
            </w:r>
            <w:r w:rsidR="0017067B" w:rsidRPr="00C1603D">
              <w:t xml:space="preserve"> to</w:t>
            </w:r>
            <w:r w:rsidRPr="00C1603D">
              <w:t xml:space="preserve"> 33</w:t>
            </w:r>
            <w:r w:rsidR="0017067B" w:rsidRPr="00C1603D">
              <w:t>,</w:t>
            </w:r>
            <w:r w:rsidRPr="00C1603D">
              <w:t>066)</w:t>
            </w:r>
          </w:p>
        </w:tc>
      </w:tr>
      <w:tr w:rsidR="008B4DF8" w:rsidRPr="00C1603D" w14:paraId="3E72E4EA" w14:textId="77777777" w:rsidTr="0017067B">
        <w:trPr>
          <w:cantSplit/>
        </w:trPr>
        <w:tc>
          <w:tcPr>
            <w:tcW w:w="0" w:type="auto"/>
            <w:shd w:val="clear" w:color="auto" w:fill="auto"/>
          </w:tcPr>
          <w:p w14:paraId="3B29E4CA" w14:textId="370A77A3" w:rsidR="008B4DF8" w:rsidRPr="00C1603D" w:rsidRDefault="008B4DF8" w:rsidP="0017067B">
            <w:pPr>
              <w:pStyle w:val="72TabletextTablesTableFigureBoxstyles"/>
            </w:pPr>
            <w:r w:rsidRPr="00C1603D">
              <w:t>2</w:t>
            </w:r>
          </w:p>
        </w:tc>
        <w:tc>
          <w:tcPr>
            <w:tcW w:w="0" w:type="auto"/>
            <w:shd w:val="clear" w:color="auto" w:fill="auto"/>
          </w:tcPr>
          <w:p w14:paraId="513AE9A1" w14:textId="77777777" w:rsidR="008B4DF8" w:rsidRPr="00C1603D" w:rsidRDefault="008B4DF8" w:rsidP="0017067B">
            <w:pPr>
              <w:pStyle w:val="72TabletextTablesTableFigureBoxstyles"/>
            </w:pPr>
            <w:r w:rsidRPr="00C1603D">
              <w:t>0.807</w:t>
            </w:r>
          </w:p>
        </w:tc>
        <w:tc>
          <w:tcPr>
            <w:tcW w:w="0" w:type="auto"/>
            <w:shd w:val="clear" w:color="auto" w:fill="auto"/>
          </w:tcPr>
          <w:p w14:paraId="5C21B3EE" w14:textId="77777777" w:rsidR="008B4DF8" w:rsidRPr="00C1603D" w:rsidRDefault="008B4DF8" w:rsidP="0017067B">
            <w:pPr>
              <w:pStyle w:val="72TabletextTablesTableFigureBoxstyles"/>
            </w:pPr>
            <w:r w:rsidRPr="00C1603D">
              <w:t>0.61</w:t>
            </w:r>
          </w:p>
        </w:tc>
        <w:tc>
          <w:tcPr>
            <w:tcW w:w="0" w:type="auto"/>
            <w:shd w:val="clear" w:color="auto" w:fill="auto"/>
          </w:tcPr>
          <w:p w14:paraId="1400A7A0" w14:textId="77777777" w:rsidR="008B4DF8" w:rsidRPr="00C1603D" w:rsidRDefault="008B4DF8" w:rsidP="0017067B">
            <w:pPr>
              <w:pStyle w:val="72TabletextTablesTableFigureBoxstyles"/>
            </w:pPr>
            <w:r w:rsidRPr="00C1603D">
              <w:t>IgA EMA plus HLA</w:t>
            </w:r>
          </w:p>
        </w:tc>
        <w:tc>
          <w:tcPr>
            <w:tcW w:w="0" w:type="auto"/>
            <w:shd w:val="clear" w:color="auto" w:fill="auto"/>
          </w:tcPr>
          <w:p w14:paraId="782B69C2" w14:textId="6F2157A6" w:rsidR="008B4DF8" w:rsidRPr="00C1603D" w:rsidRDefault="008B4DF8" w:rsidP="0017067B">
            <w:pPr>
              <w:pStyle w:val="72TabletextTablesTableFigureBoxstyles"/>
            </w:pPr>
            <w:r w:rsidRPr="00C1603D">
              <w:t>13</w:t>
            </w:r>
            <w:r w:rsidR="0017067B" w:rsidRPr="00C1603D">
              <w:t>,</w:t>
            </w:r>
            <w:r w:rsidRPr="00C1603D">
              <w:t>226 (12</w:t>
            </w:r>
            <w:r w:rsidR="0017067B" w:rsidRPr="00C1603D">
              <w:t>,</w:t>
            </w:r>
            <w:r w:rsidRPr="00C1603D">
              <w:t>242</w:t>
            </w:r>
            <w:r w:rsidR="0017067B" w:rsidRPr="00C1603D">
              <w:t xml:space="preserve"> to</w:t>
            </w:r>
            <w:r w:rsidRPr="00C1603D">
              <w:t xml:space="preserve"> 14</w:t>
            </w:r>
            <w:r w:rsidR="0017067B" w:rsidRPr="00C1603D">
              <w:t>,</w:t>
            </w:r>
            <w:r w:rsidRPr="00C1603D">
              <w:t>325)</w:t>
            </w:r>
          </w:p>
        </w:tc>
        <w:tc>
          <w:tcPr>
            <w:tcW w:w="0" w:type="auto"/>
            <w:shd w:val="clear" w:color="auto" w:fill="auto"/>
          </w:tcPr>
          <w:p w14:paraId="34852001" w14:textId="7C6D0EE0" w:rsidR="008B4DF8" w:rsidRPr="00C1603D" w:rsidRDefault="008B4DF8" w:rsidP="0017067B">
            <w:pPr>
              <w:pStyle w:val="72TabletextTablesTableFigureBoxstyles"/>
            </w:pPr>
            <w:r w:rsidRPr="00C1603D">
              <w:t>21.26 (20.26</w:t>
            </w:r>
            <w:r w:rsidR="0017067B" w:rsidRPr="00C1603D">
              <w:t xml:space="preserve"> to</w:t>
            </w:r>
            <w:r w:rsidRPr="00C1603D">
              <w:t xml:space="preserve"> 22.12)</w:t>
            </w:r>
          </w:p>
        </w:tc>
        <w:tc>
          <w:tcPr>
            <w:tcW w:w="0" w:type="auto"/>
            <w:shd w:val="clear" w:color="auto" w:fill="auto"/>
          </w:tcPr>
          <w:p w14:paraId="722988D2" w14:textId="5CDEAF51" w:rsidR="008B4DF8" w:rsidRPr="00C1603D" w:rsidRDefault="008B4DF8" w:rsidP="0017067B">
            <w:pPr>
              <w:pStyle w:val="72TabletextTablesTableFigureBoxstyles"/>
            </w:pPr>
            <w:r w:rsidRPr="00C1603D">
              <w:t>11</w:t>
            </w:r>
            <w:r w:rsidR="0017067B" w:rsidRPr="00C1603D">
              <w:t>,</w:t>
            </w:r>
            <w:r w:rsidRPr="00C1603D">
              <w:t>878 (3293</w:t>
            </w:r>
            <w:r w:rsidR="0017067B" w:rsidRPr="00C1603D">
              <w:t xml:space="preserve"> to</w:t>
            </w:r>
            <w:r w:rsidRPr="00C1603D">
              <w:t xml:space="preserve"> 33</w:t>
            </w:r>
            <w:r w:rsidR="0017067B" w:rsidRPr="00C1603D">
              <w:t>,</w:t>
            </w:r>
            <w:r w:rsidRPr="00C1603D">
              <w:t>524)</w:t>
            </w:r>
          </w:p>
        </w:tc>
      </w:tr>
      <w:tr w:rsidR="008B4DF8" w:rsidRPr="00C1603D" w14:paraId="24C25FCD" w14:textId="77777777" w:rsidTr="0017067B">
        <w:trPr>
          <w:cantSplit/>
        </w:trPr>
        <w:tc>
          <w:tcPr>
            <w:tcW w:w="0" w:type="auto"/>
            <w:shd w:val="clear" w:color="auto" w:fill="auto"/>
          </w:tcPr>
          <w:p w14:paraId="58C4ABF7" w14:textId="279C8C79" w:rsidR="008B4DF8" w:rsidRPr="00C1603D" w:rsidRDefault="008B4DF8" w:rsidP="0017067B">
            <w:pPr>
              <w:pStyle w:val="72TabletextTablesTableFigureBoxstyles"/>
            </w:pPr>
            <w:r w:rsidRPr="00C1603D">
              <w:t>5</w:t>
            </w:r>
          </w:p>
        </w:tc>
        <w:tc>
          <w:tcPr>
            <w:tcW w:w="0" w:type="auto"/>
            <w:shd w:val="clear" w:color="auto" w:fill="auto"/>
          </w:tcPr>
          <w:p w14:paraId="0C05FD19" w14:textId="77777777" w:rsidR="008B4DF8" w:rsidRPr="00C1603D" w:rsidRDefault="008B4DF8" w:rsidP="0017067B">
            <w:pPr>
              <w:pStyle w:val="72TabletextTablesTableFigureBoxstyles"/>
            </w:pPr>
            <w:r w:rsidRPr="00C1603D">
              <w:t>0.667</w:t>
            </w:r>
          </w:p>
        </w:tc>
        <w:tc>
          <w:tcPr>
            <w:tcW w:w="0" w:type="auto"/>
            <w:shd w:val="clear" w:color="auto" w:fill="auto"/>
          </w:tcPr>
          <w:p w14:paraId="5CCB5DCE" w14:textId="77777777" w:rsidR="008B4DF8" w:rsidRPr="00C1603D" w:rsidRDefault="008B4DF8" w:rsidP="0017067B">
            <w:pPr>
              <w:pStyle w:val="72TabletextTablesTableFigureBoxstyles"/>
            </w:pPr>
            <w:r w:rsidRPr="00C1603D">
              <w:t>0.872</w:t>
            </w:r>
          </w:p>
        </w:tc>
        <w:tc>
          <w:tcPr>
            <w:tcW w:w="0" w:type="auto"/>
            <w:shd w:val="clear" w:color="auto" w:fill="auto"/>
          </w:tcPr>
          <w:p w14:paraId="00DA8ABF" w14:textId="77777777" w:rsidR="008B4DF8" w:rsidRPr="00C1603D" w:rsidRDefault="008B4DF8" w:rsidP="0017067B">
            <w:pPr>
              <w:pStyle w:val="72TabletextTablesTableFigureBoxstyles"/>
            </w:pPr>
            <w:r w:rsidRPr="00C1603D">
              <w:t>IgA EMA plus HLA</w:t>
            </w:r>
          </w:p>
        </w:tc>
        <w:tc>
          <w:tcPr>
            <w:tcW w:w="0" w:type="auto"/>
            <w:shd w:val="clear" w:color="auto" w:fill="auto"/>
          </w:tcPr>
          <w:p w14:paraId="5B096BDF" w14:textId="21D82226" w:rsidR="008B4DF8" w:rsidRPr="00C1603D" w:rsidRDefault="008B4DF8" w:rsidP="0017067B">
            <w:pPr>
              <w:pStyle w:val="72TabletextTablesTableFigureBoxstyles"/>
            </w:pPr>
            <w:r w:rsidRPr="00C1603D">
              <w:t>13</w:t>
            </w:r>
            <w:r w:rsidR="0017067B" w:rsidRPr="00C1603D">
              <w:t>,</w:t>
            </w:r>
            <w:r w:rsidRPr="00C1603D">
              <w:t>018 (12</w:t>
            </w:r>
            <w:r w:rsidR="0017067B" w:rsidRPr="00C1603D">
              <w:t>,</w:t>
            </w:r>
            <w:r w:rsidRPr="00C1603D">
              <w:t>030</w:t>
            </w:r>
            <w:r w:rsidR="0017067B" w:rsidRPr="00C1603D">
              <w:t xml:space="preserve"> to</w:t>
            </w:r>
            <w:r w:rsidRPr="00C1603D">
              <w:t xml:space="preserve"> 14</w:t>
            </w:r>
            <w:r w:rsidR="0017067B" w:rsidRPr="00C1603D">
              <w:t>,</w:t>
            </w:r>
            <w:r w:rsidRPr="00C1603D">
              <w:t>117)</w:t>
            </w:r>
          </w:p>
        </w:tc>
        <w:tc>
          <w:tcPr>
            <w:tcW w:w="0" w:type="auto"/>
            <w:shd w:val="clear" w:color="auto" w:fill="auto"/>
          </w:tcPr>
          <w:p w14:paraId="137C237B" w14:textId="73CA19A1" w:rsidR="008B4DF8" w:rsidRPr="00C1603D" w:rsidRDefault="008B4DF8" w:rsidP="0017067B">
            <w:pPr>
              <w:pStyle w:val="72TabletextTablesTableFigureBoxstyles"/>
            </w:pPr>
            <w:r w:rsidRPr="00C1603D">
              <w:t>21.3 (20.29</w:t>
            </w:r>
            <w:r w:rsidR="0017067B" w:rsidRPr="00C1603D">
              <w:t xml:space="preserve"> to</w:t>
            </w:r>
            <w:r w:rsidRPr="00C1603D">
              <w:t xml:space="preserve"> 22.14)</w:t>
            </w:r>
          </w:p>
        </w:tc>
        <w:tc>
          <w:tcPr>
            <w:tcW w:w="0" w:type="auto"/>
            <w:shd w:val="clear" w:color="auto" w:fill="auto"/>
          </w:tcPr>
          <w:p w14:paraId="1C69DFFB" w14:textId="30683E1C" w:rsidR="008B4DF8" w:rsidRPr="00C1603D" w:rsidRDefault="008B4DF8" w:rsidP="0017067B">
            <w:pPr>
              <w:pStyle w:val="72TabletextTablesTableFigureBoxstyles"/>
            </w:pPr>
            <w:r w:rsidRPr="00C1603D">
              <w:t>12</w:t>
            </w:r>
            <w:r w:rsidR="0017067B" w:rsidRPr="00C1603D">
              <w:t>,</w:t>
            </w:r>
            <w:r w:rsidRPr="00C1603D">
              <w:t>872 (3840</w:t>
            </w:r>
            <w:r w:rsidR="0017067B" w:rsidRPr="00C1603D">
              <w:t xml:space="preserve"> to</w:t>
            </w:r>
            <w:r w:rsidRPr="00C1603D">
              <w:t xml:space="preserve"> 35</w:t>
            </w:r>
            <w:r w:rsidR="0017067B" w:rsidRPr="00C1603D">
              <w:t>,</w:t>
            </w:r>
            <w:r w:rsidRPr="00C1603D">
              <w:t>630)</w:t>
            </w:r>
          </w:p>
        </w:tc>
      </w:tr>
      <w:tr w:rsidR="008B4DF8" w:rsidRPr="00C1603D" w14:paraId="7A6264F4" w14:textId="77777777" w:rsidTr="0017067B">
        <w:trPr>
          <w:cantSplit/>
        </w:trPr>
        <w:tc>
          <w:tcPr>
            <w:tcW w:w="0" w:type="auto"/>
            <w:shd w:val="clear" w:color="auto" w:fill="auto"/>
          </w:tcPr>
          <w:p w14:paraId="4FE1F71D" w14:textId="3BC5B2C8" w:rsidR="008B4DF8" w:rsidRPr="00C1603D" w:rsidRDefault="008B4DF8" w:rsidP="0017067B">
            <w:pPr>
              <w:pStyle w:val="72TabletextTablesTableFigureBoxstyles"/>
            </w:pPr>
            <w:r w:rsidRPr="00C1603D">
              <w:t>10</w:t>
            </w:r>
          </w:p>
        </w:tc>
        <w:tc>
          <w:tcPr>
            <w:tcW w:w="0" w:type="auto"/>
            <w:shd w:val="clear" w:color="auto" w:fill="auto"/>
          </w:tcPr>
          <w:p w14:paraId="2AD203DB" w14:textId="77777777" w:rsidR="008B4DF8" w:rsidRPr="00C1603D" w:rsidRDefault="008B4DF8" w:rsidP="0017067B">
            <w:pPr>
              <w:pStyle w:val="72TabletextTablesTableFigureBoxstyles"/>
            </w:pPr>
            <w:r w:rsidRPr="00C1603D">
              <w:t>0.533</w:t>
            </w:r>
          </w:p>
        </w:tc>
        <w:tc>
          <w:tcPr>
            <w:tcW w:w="0" w:type="auto"/>
            <w:shd w:val="clear" w:color="auto" w:fill="auto"/>
          </w:tcPr>
          <w:p w14:paraId="55EAA6C0" w14:textId="77777777" w:rsidR="008B4DF8" w:rsidRPr="00C1603D" w:rsidRDefault="008B4DF8" w:rsidP="0017067B">
            <w:pPr>
              <w:pStyle w:val="72TabletextTablesTableFigureBoxstyles"/>
            </w:pPr>
            <w:r w:rsidRPr="00C1603D">
              <w:t>0.952</w:t>
            </w:r>
          </w:p>
        </w:tc>
        <w:tc>
          <w:tcPr>
            <w:tcW w:w="0" w:type="auto"/>
            <w:shd w:val="clear" w:color="auto" w:fill="auto"/>
          </w:tcPr>
          <w:p w14:paraId="260BE473" w14:textId="77777777" w:rsidR="008B4DF8" w:rsidRPr="00C1603D" w:rsidRDefault="008B4DF8" w:rsidP="0017067B">
            <w:pPr>
              <w:pStyle w:val="72TabletextTablesTableFigureBoxstyles"/>
            </w:pPr>
            <w:r w:rsidRPr="00C1603D">
              <w:t>IgA EMA plus HLA</w:t>
            </w:r>
          </w:p>
        </w:tc>
        <w:tc>
          <w:tcPr>
            <w:tcW w:w="0" w:type="auto"/>
            <w:shd w:val="clear" w:color="auto" w:fill="auto"/>
          </w:tcPr>
          <w:p w14:paraId="3147DB4E" w14:textId="5363B2BA" w:rsidR="008B4DF8" w:rsidRPr="00C1603D" w:rsidRDefault="008B4DF8" w:rsidP="0017067B">
            <w:pPr>
              <w:pStyle w:val="72TabletextTablesTableFigureBoxstyles"/>
            </w:pPr>
            <w:r w:rsidRPr="00C1603D">
              <w:t>12</w:t>
            </w:r>
            <w:r w:rsidR="0017067B" w:rsidRPr="00C1603D">
              <w:t>,</w:t>
            </w:r>
            <w:r w:rsidRPr="00C1603D">
              <w:t>994 (12</w:t>
            </w:r>
            <w:r w:rsidR="0017067B" w:rsidRPr="00C1603D">
              <w:t>,</w:t>
            </w:r>
            <w:r w:rsidRPr="00C1603D">
              <w:t>003</w:t>
            </w:r>
            <w:r w:rsidR="0017067B" w:rsidRPr="00C1603D">
              <w:t xml:space="preserve"> to</w:t>
            </w:r>
            <w:r w:rsidRPr="00C1603D">
              <w:t xml:space="preserve"> 14</w:t>
            </w:r>
            <w:r w:rsidR="0017067B" w:rsidRPr="00C1603D">
              <w:t>,</w:t>
            </w:r>
            <w:r w:rsidRPr="00C1603D">
              <w:t>103)</w:t>
            </w:r>
          </w:p>
        </w:tc>
        <w:tc>
          <w:tcPr>
            <w:tcW w:w="0" w:type="auto"/>
            <w:shd w:val="clear" w:color="auto" w:fill="auto"/>
          </w:tcPr>
          <w:p w14:paraId="2CB51CC6" w14:textId="7860D4A7" w:rsidR="008B4DF8" w:rsidRPr="00C1603D" w:rsidRDefault="008B4DF8" w:rsidP="0017067B">
            <w:pPr>
              <w:pStyle w:val="72TabletextTablesTableFigureBoxstyles"/>
            </w:pPr>
            <w:r w:rsidRPr="00C1603D">
              <w:t>21.31 (20.31</w:t>
            </w:r>
            <w:r w:rsidR="0017067B" w:rsidRPr="00C1603D">
              <w:t xml:space="preserve"> to</w:t>
            </w:r>
            <w:r w:rsidRPr="00C1603D">
              <w:t xml:space="preserve"> 22.14)</w:t>
            </w:r>
          </w:p>
        </w:tc>
        <w:tc>
          <w:tcPr>
            <w:tcW w:w="0" w:type="auto"/>
            <w:shd w:val="clear" w:color="auto" w:fill="auto"/>
          </w:tcPr>
          <w:p w14:paraId="3B1D9ED0" w14:textId="64ACF4B9" w:rsidR="008B4DF8" w:rsidRPr="00C1603D" w:rsidRDefault="008B4DF8" w:rsidP="0017067B">
            <w:pPr>
              <w:pStyle w:val="72TabletextTablesTableFigureBoxstyles"/>
            </w:pPr>
            <w:r w:rsidRPr="00C1603D">
              <w:t>13</w:t>
            </w:r>
            <w:r w:rsidR="0017067B" w:rsidRPr="00C1603D">
              <w:t>,</w:t>
            </w:r>
            <w:r w:rsidRPr="00C1603D">
              <w:t>085 (3919</w:t>
            </w:r>
            <w:r w:rsidR="0017067B" w:rsidRPr="00C1603D">
              <w:t xml:space="preserve"> to</w:t>
            </w:r>
            <w:r w:rsidRPr="00C1603D">
              <w:t xml:space="preserve"> 36</w:t>
            </w:r>
            <w:r w:rsidR="0017067B" w:rsidRPr="00C1603D">
              <w:t>,</w:t>
            </w:r>
            <w:r w:rsidRPr="00C1603D">
              <w:t>248)</w:t>
            </w:r>
          </w:p>
        </w:tc>
      </w:tr>
      <w:tr w:rsidR="008B4DF8" w:rsidRPr="00C1603D" w14:paraId="11290597" w14:textId="77777777" w:rsidTr="0017067B">
        <w:trPr>
          <w:cantSplit/>
        </w:trPr>
        <w:tc>
          <w:tcPr>
            <w:tcW w:w="0" w:type="auto"/>
            <w:shd w:val="clear" w:color="auto" w:fill="auto"/>
          </w:tcPr>
          <w:p w14:paraId="2BC7EB37" w14:textId="2A687EAB" w:rsidR="008B4DF8" w:rsidRPr="00C1603D" w:rsidRDefault="008B4DF8" w:rsidP="0017067B">
            <w:pPr>
              <w:pStyle w:val="72TabletextTablesTableFigureBoxstyles"/>
            </w:pPr>
            <w:r w:rsidRPr="00C1603D">
              <w:t>20</w:t>
            </w:r>
          </w:p>
        </w:tc>
        <w:tc>
          <w:tcPr>
            <w:tcW w:w="0" w:type="auto"/>
            <w:shd w:val="clear" w:color="auto" w:fill="auto"/>
          </w:tcPr>
          <w:p w14:paraId="2F975926" w14:textId="77777777" w:rsidR="008B4DF8" w:rsidRPr="00C1603D" w:rsidRDefault="008B4DF8" w:rsidP="0017067B">
            <w:pPr>
              <w:pStyle w:val="72TabletextTablesTableFigureBoxstyles"/>
            </w:pPr>
            <w:r w:rsidRPr="00C1603D">
              <w:t>0.331</w:t>
            </w:r>
          </w:p>
        </w:tc>
        <w:tc>
          <w:tcPr>
            <w:tcW w:w="0" w:type="auto"/>
            <w:shd w:val="clear" w:color="auto" w:fill="auto"/>
          </w:tcPr>
          <w:p w14:paraId="5C43DB2C" w14:textId="77777777" w:rsidR="008B4DF8" w:rsidRPr="00C1603D" w:rsidRDefault="008B4DF8" w:rsidP="0017067B">
            <w:pPr>
              <w:pStyle w:val="72TabletextTablesTableFigureBoxstyles"/>
            </w:pPr>
            <w:r w:rsidRPr="00C1603D">
              <w:t>0.987</w:t>
            </w:r>
          </w:p>
        </w:tc>
        <w:tc>
          <w:tcPr>
            <w:tcW w:w="0" w:type="auto"/>
            <w:shd w:val="clear" w:color="auto" w:fill="auto"/>
          </w:tcPr>
          <w:p w14:paraId="323C150E" w14:textId="77777777" w:rsidR="008B4DF8" w:rsidRPr="00C1603D" w:rsidRDefault="008B4DF8" w:rsidP="0017067B">
            <w:pPr>
              <w:pStyle w:val="72TabletextTablesTableFigureBoxstyles"/>
            </w:pPr>
            <w:r w:rsidRPr="00C1603D">
              <w:t>IgA EMA plus HLA</w:t>
            </w:r>
          </w:p>
        </w:tc>
        <w:tc>
          <w:tcPr>
            <w:tcW w:w="0" w:type="auto"/>
            <w:shd w:val="clear" w:color="auto" w:fill="auto"/>
          </w:tcPr>
          <w:p w14:paraId="46008D68" w14:textId="1F893C09" w:rsidR="008B4DF8" w:rsidRPr="00C1603D" w:rsidRDefault="008B4DF8" w:rsidP="0017067B">
            <w:pPr>
              <w:pStyle w:val="72TabletextTablesTableFigureBoxstyles"/>
            </w:pPr>
            <w:r w:rsidRPr="00C1603D">
              <w:t>13</w:t>
            </w:r>
            <w:r w:rsidR="0017067B" w:rsidRPr="00C1603D">
              <w:t>,</w:t>
            </w:r>
            <w:r w:rsidRPr="00C1603D">
              <w:t>034 (12</w:t>
            </w:r>
            <w:r w:rsidR="0017067B" w:rsidRPr="00C1603D">
              <w:t>,</w:t>
            </w:r>
            <w:r w:rsidRPr="00C1603D">
              <w:t>033</w:t>
            </w:r>
            <w:r w:rsidR="0017067B" w:rsidRPr="00C1603D">
              <w:t xml:space="preserve"> to</w:t>
            </w:r>
            <w:r w:rsidRPr="00C1603D">
              <w:t xml:space="preserve"> 14</w:t>
            </w:r>
            <w:r w:rsidR="0017067B" w:rsidRPr="00C1603D">
              <w:t>,</w:t>
            </w:r>
            <w:r w:rsidRPr="00C1603D">
              <w:t>133)</w:t>
            </w:r>
          </w:p>
        </w:tc>
        <w:tc>
          <w:tcPr>
            <w:tcW w:w="0" w:type="auto"/>
            <w:shd w:val="clear" w:color="auto" w:fill="auto"/>
          </w:tcPr>
          <w:p w14:paraId="1E3DA806" w14:textId="720D59A5" w:rsidR="008B4DF8" w:rsidRPr="00C1603D" w:rsidRDefault="008B4DF8" w:rsidP="0017067B">
            <w:pPr>
              <w:pStyle w:val="72TabletextTablesTableFigureBoxstyles"/>
            </w:pPr>
            <w:r w:rsidRPr="00C1603D">
              <w:t>21.31 (20.31</w:t>
            </w:r>
            <w:r w:rsidR="0017067B" w:rsidRPr="00C1603D">
              <w:t xml:space="preserve"> to</w:t>
            </w:r>
            <w:r w:rsidRPr="00C1603D">
              <w:t xml:space="preserve"> 22.15)</w:t>
            </w:r>
          </w:p>
        </w:tc>
        <w:tc>
          <w:tcPr>
            <w:tcW w:w="0" w:type="auto"/>
            <w:shd w:val="clear" w:color="auto" w:fill="auto"/>
          </w:tcPr>
          <w:p w14:paraId="3E63AE78" w14:textId="6122BA80" w:rsidR="008B4DF8" w:rsidRPr="00C1603D" w:rsidRDefault="008B4DF8" w:rsidP="0017067B">
            <w:pPr>
              <w:pStyle w:val="72TabletextTablesTableFigureBoxstyles"/>
            </w:pPr>
            <w:r w:rsidRPr="00C1603D">
              <w:t>13</w:t>
            </w:r>
            <w:r w:rsidR="0017067B" w:rsidRPr="00C1603D">
              <w:t>,</w:t>
            </w:r>
            <w:r w:rsidRPr="00C1603D">
              <w:t>040 (3820</w:t>
            </w:r>
            <w:r w:rsidR="0017067B" w:rsidRPr="00C1603D">
              <w:t xml:space="preserve"> to</w:t>
            </w:r>
            <w:r w:rsidRPr="00C1603D">
              <w:t xml:space="preserve"> 36</w:t>
            </w:r>
            <w:r w:rsidR="0017067B" w:rsidRPr="00C1603D">
              <w:t>,</w:t>
            </w:r>
            <w:r w:rsidRPr="00C1603D">
              <w:t>375)</w:t>
            </w:r>
          </w:p>
        </w:tc>
      </w:tr>
      <w:tr w:rsidR="008B4DF8" w:rsidRPr="00C1603D" w14:paraId="212FDBE9" w14:textId="77777777" w:rsidTr="0017067B">
        <w:trPr>
          <w:cantSplit/>
        </w:trPr>
        <w:tc>
          <w:tcPr>
            <w:tcW w:w="0" w:type="auto"/>
            <w:shd w:val="clear" w:color="auto" w:fill="auto"/>
          </w:tcPr>
          <w:p w14:paraId="6DC83D15" w14:textId="05D04210" w:rsidR="008B4DF8" w:rsidRPr="00C1603D" w:rsidRDefault="008B4DF8" w:rsidP="0017067B">
            <w:pPr>
              <w:pStyle w:val="72TabletextTablesTableFigureBoxstyles"/>
            </w:pPr>
            <w:r w:rsidRPr="00C1603D">
              <w:lastRenderedPageBreak/>
              <w:t>1</w:t>
            </w:r>
          </w:p>
        </w:tc>
        <w:tc>
          <w:tcPr>
            <w:tcW w:w="0" w:type="auto"/>
            <w:shd w:val="clear" w:color="auto" w:fill="auto"/>
          </w:tcPr>
          <w:p w14:paraId="35DC368E" w14:textId="77777777" w:rsidR="008B4DF8" w:rsidRPr="00C1603D" w:rsidRDefault="008B4DF8" w:rsidP="0017067B">
            <w:pPr>
              <w:pStyle w:val="72TabletextTablesTableFigureBoxstyles"/>
            </w:pPr>
            <w:r w:rsidRPr="00C1603D">
              <w:t>1</w:t>
            </w:r>
          </w:p>
        </w:tc>
        <w:tc>
          <w:tcPr>
            <w:tcW w:w="0" w:type="auto"/>
            <w:shd w:val="clear" w:color="auto" w:fill="auto"/>
          </w:tcPr>
          <w:p w14:paraId="5C25BD07" w14:textId="77777777" w:rsidR="008B4DF8" w:rsidRPr="00C1603D" w:rsidRDefault="008B4DF8" w:rsidP="0017067B">
            <w:pPr>
              <w:pStyle w:val="72TabletextTablesTableFigureBoxstyles"/>
            </w:pPr>
            <w:r w:rsidRPr="00C1603D">
              <w:t>0</w:t>
            </w:r>
          </w:p>
        </w:tc>
        <w:tc>
          <w:tcPr>
            <w:tcW w:w="0" w:type="auto"/>
            <w:shd w:val="clear" w:color="auto" w:fill="auto"/>
          </w:tcPr>
          <w:p w14:paraId="2ED18E69" w14:textId="77777777" w:rsidR="008B4DF8" w:rsidRPr="00C1603D" w:rsidRDefault="008B4DF8" w:rsidP="0017067B">
            <w:pPr>
              <w:pStyle w:val="72TabletextTablesTableFigureBoxstyles"/>
            </w:pPr>
            <w:r w:rsidRPr="00C1603D">
              <w:t>HLA plus IgA tTG</w:t>
            </w:r>
          </w:p>
        </w:tc>
        <w:tc>
          <w:tcPr>
            <w:tcW w:w="0" w:type="auto"/>
            <w:shd w:val="clear" w:color="auto" w:fill="auto"/>
          </w:tcPr>
          <w:p w14:paraId="385115F5" w14:textId="2E25CC41" w:rsidR="008B4DF8" w:rsidRPr="00C1603D" w:rsidRDefault="008B4DF8" w:rsidP="0017067B">
            <w:pPr>
              <w:pStyle w:val="72TabletextTablesTableFigureBoxstyles"/>
            </w:pPr>
            <w:r w:rsidRPr="00C1603D">
              <w:t>13</w:t>
            </w:r>
            <w:r w:rsidR="0017067B" w:rsidRPr="00C1603D">
              <w:t>,</w:t>
            </w:r>
            <w:r w:rsidRPr="00C1603D">
              <w:t>800 (12</w:t>
            </w:r>
            <w:r w:rsidR="0017067B" w:rsidRPr="00C1603D">
              <w:t>,</w:t>
            </w:r>
            <w:r w:rsidRPr="00C1603D">
              <w:t>808</w:t>
            </w:r>
            <w:r w:rsidR="0017067B" w:rsidRPr="00C1603D">
              <w:t xml:space="preserve"> to</w:t>
            </w:r>
            <w:r w:rsidRPr="00C1603D">
              <w:t xml:space="preserve"> 14</w:t>
            </w:r>
            <w:r w:rsidR="0017067B" w:rsidRPr="00C1603D">
              <w:t>,</w:t>
            </w:r>
            <w:r w:rsidRPr="00C1603D">
              <w:t>901)</w:t>
            </w:r>
          </w:p>
        </w:tc>
        <w:tc>
          <w:tcPr>
            <w:tcW w:w="0" w:type="auto"/>
            <w:shd w:val="clear" w:color="auto" w:fill="auto"/>
          </w:tcPr>
          <w:p w14:paraId="19C41A3E" w14:textId="53A96F72" w:rsidR="008B4DF8" w:rsidRPr="00C1603D" w:rsidRDefault="008B4DF8" w:rsidP="0017067B">
            <w:pPr>
              <w:pStyle w:val="72TabletextTablesTableFigureBoxstyles"/>
            </w:pPr>
            <w:r w:rsidRPr="00C1603D">
              <w:t>21.32 (20.32</w:t>
            </w:r>
            <w:r w:rsidR="0017067B" w:rsidRPr="00C1603D">
              <w:t xml:space="preserve"> to</w:t>
            </w:r>
            <w:r w:rsidRPr="00C1603D">
              <w:t xml:space="preserve"> 22.16)</w:t>
            </w:r>
          </w:p>
        </w:tc>
        <w:tc>
          <w:tcPr>
            <w:tcW w:w="0" w:type="auto"/>
            <w:shd w:val="clear" w:color="auto" w:fill="auto"/>
          </w:tcPr>
          <w:p w14:paraId="132F85E2" w14:textId="1FFE493E" w:rsidR="008B4DF8" w:rsidRPr="00C1603D" w:rsidRDefault="008B4DF8" w:rsidP="0017067B">
            <w:pPr>
              <w:pStyle w:val="72TabletextTablesTableFigureBoxstyles"/>
            </w:pPr>
            <w:r w:rsidRPr="00C1603D">
              <w:t>12</w:t>
            </w:r>
            <w:r w:rsidR="0017067B" w:rsidRPr="00C1603D">
              <w:t>,</w:t>
            </w:r>
            <w:r w:rsidRPr="00C1603D">
              <w:t>509 (3210</w:t>
            </w:r>
            <w:r w:rsidR="0017067B" w:rsidRPr="00C1603D">
              <w:t xml:space="preserve"> to</w:t>
            </w:r>
            <w:r w:rsidRPr="00C1603D">
              <w:t xml:space="preserve"> 35</w:t>
            </w:r>
            <w:r w:rsidR="0017067B" w:rsidRPr="00C1603D">
              <w:t>,</w:t>
            </w:r>
            <w:r w:rsidRPr="00C1603D">
              <w:t>884)</w:t>
            </w:r>
          </w:p>
        </w:tc>
      </w:tr>
      <w:tr w:rsidR="008B4DF8" w:rsidRPr="00C1603D" w14:paraId="7415DFE6" w14:textId="77777777" w:rsidTr="0017067B">
        <w:trPr>
          <w:cantSplit/>
        </w:trPr>
        <w:tc>
          <w:tcPr>
            <w:tcW w:w="0" w:type="auto"/>
            <w:shd w:val="clear" w:color="auto" w:fill="auto"/>
          </w:tcPr>
          <w:p w14:paraId="441444F3" w14:textId="21830E6C" w:rsidR="008B4DF8" w:rsidRPr="00C1603D" w:rsidRDefault="008B4DF8" w:rsidP="0017067B">
            <w:pPr>
              <w:pStyle w:val="72TabletextTablesTableFigureBoxstyles"/>
            </w:pPr>
            <w:r w:rsidRPr="00C1603D">
              <w:t>1.5</w:t>
            </w:r>
          </w:p>
        </w:tc>
        <w:tc>
          <w:tcPr>
            <w:tcW w:w="0" w:type="auto"/>
            <w:shd w:val="clear" w:color="auto" w:fill="auto"/>
          </w:tcPr>
          <w:p w14:paraId="58A5E6CF" w14:textId="77777777" w:rsidR="008B4DF8" w:rsidRPr="00C1603D" w:rsidRDefault="008B4DF8" w:rsidP="0017067B">
            <w:pPr>
              <w:pStyle w:val="72TabletextTablesTableFigureBoxstyles"/>
            </w:pPr>
            <w:r w:rsidRPr="00C1603D">
              <w:t>0.882</w:t>
            </w:r>
          </w:p>
        </w:tc>
        <w:tc>
          <w:tcPr>
            <w:tcW w:w="0" w:type="auto"/>
            <w:shd w:val="clear" w:color="auto" w:fill="auto"/>
          </w:tcPr>
          <w:p w14:paraId="6F946671" w14:textId="77777777" w:rsidR="008B4DF8" w:rsidRPr="00C1603D" w:rsidRDefault="008B4DF8" w:rsidP="0017067B">
            <w:pPr>
              <w:pStyle w:val="72TabletextTablesTableFigureBoxstyles"/>
            </w:pPr>
            <w:r w:rsidRPr="00C1603D">
              <w:t>0.417</w:t>
            </w:r>
          </w:p>
        </w:tc>
        <w:tc>
          <w:tcPr>
            <w:tcW w:w="0" w:type="auto"/>
            <w:shd w:val="clear" w:color="auto" w:fill="auto"/>
          </w:tcPr>
          <w:p w14:paraId="2B2AF5B0" w14:textId="77777777" w:rsidR="008B4DF8" w:rsidRPr="00C1603D" w:rsidRDefault="008B4DF8" w:rsidP="0017067B">
            <w:pPr>
              <w:pStyle w:val="72TabletextTablesTableFigureBoxstyles"/>
            </w:pPr>
            <w:r w:rsidRPr="00C1603D">
              <w:t>HLA plus IgA tTG</w:t>
            </w:r>
          </w:p>
        </w:tc>
        <w:tc>
          <w:tcPr>
            <w:tcW w:w="0" w:type="auto"/>
            <w:shd w:val="clear" w:color="auto" w:fill="auto"/>
          </w:tcPr>
          <w:p w14:paraId="2A202580" w14:textId="22BBE0F9" w:rsidR="008B4DF8" w:rsidRPr="00C1603D" w:rsidRDefault="008B4DF8" w:rsidP="0017067B">
            <w:pPr>
              <w:pStyle w:val="72TabletextTablesTableFigureBoxstyles"/>
            </w:pPr>
            <w:r w:rsidRPr="00C1603D">
              <w:t>13</w:t>
            </w:r>
            <w:r w:rsidR="0017067B" w:rsidRPr="00C1603D">
              <w:t>,</w:t>
            </w:r>
            <w:r w:rsidRPr="00C1603D">
              <w:t>397 (12</w:t>
            </w:r>
            <w:r w:rsidR="0017067B" w:rsidRPr="00C1603D">
              <w:t>,</w:t>
            </w:r>
            <w:r w:rsidRPr="00C1603D">
              <w:t>416</w:t>
            </w:r>
            <w:r w:rsidR="0017067B" w:rsidRPr="00C1603D">
              <w:t xml:space="preserve"> to</w:t>
            </w:r>
            <w:r w:rsidRPr="00C1603D">
              <w:t xml:space="preserve"> 14</w:t>
            </w:r>
            <w:r w:rsidR="0017067B" w:rsidRPr="00C1603D">
              <w:t>,</w:t>
            </w:r>
            <w:r w:rsidRPr="00C1603D">
              <w:t>492)</w:t>
            </w:r>
          </w:p>
        </w:tc>
        <w:tc>
          <w:tcPr>
            <w:tcW w:w="0" w:type="auto"/>
            <w:shd w:val="clear" w:color="auto" w:fill="auto"/>
          </w:tcPr>
          <w:p w14:paraId="2E4B5AB2" w14:textId="5009CFAA" w:rsidR="008B4DF8" w:rsidRPr="00C1603D" w:rsidRDefault="008B4DF8" w:rsidP="0017067B">
            <w:pPr>
              <w:pStyle w:val="72TabletextTablesTableFigureBoxstyles"/>
            </w:pPr>
            <w:r w:rsidRPr="00C1603D">
              <w:t>21.26 (20.26</w:t>
            </w:r>
            <w:r w:rsidR="0017067B" w:rsidRPr="00C1603D">
              <w:t xml:space="preserve"> to</w:t>
            </w:r>
            <w:r w:rsidRPr="00C1603D">
              <w:t xml:space="preserve"> 22.1)</w:t>
            </w:r>
          </w:p>
        </w:tc>
        <w:tc>
          <w:tcPr>
            <w:tcW w:w="0" w:type="auto"/>
            <w:shd w:val="clear" w:color="auto" w:fill="auto"/>
          </w:tcPr>
          <w:p w14:paraId="1BE3252D" w14:textId="077C0247" w:rsidR="008B4DF8" w:rsidRPr="00C1603D" w:rsidRDefault="008B4DF8" w:rsidP="0017067B">
            <w:pPr>
              <w:pStyle w:val="72TabletextTablesTableFigureBoxstyles"/>
            </w:pPr>
            <w:r w:rsidRPr="00C1603D">
              <w:t>11</w:t>
            </w:r>
            <w:r w:rsidR="0017067B" w:rsidRPr="00C1603D">
              <w:t>,</w:t>
            </w:r>
            <w:r w:rsidRPr="00C1603D">
              <w:t>618 (3029</w:t>
            </w:r>
            <w:r w:rsidR="0017067B" w:rsidRPr="00C1603D">
              <w:t xml:space="preserve"> to</w:t>
            </w:r>
            <w:r w:rsidRPr="00C1603D">
              <w:t xml:space="preserve"> 33</w:t>
            </w:r>
            <w:r w:rsidR="0017067B" w:rsidRPr="00C1603D">
              <w:t>,</w:t>
            </w:r>
            <w:r w:rsidRPr="00C1603D">
              <w:t>293)</w:t>
            </w:r>
          </w:p>
        </w:tc>
      </w:tr>
      <w:tr w:rsidR="008B4DF8" w:rsidRPr="00C1603D" w14:paraId="1479312A" w14:textId="77777777" w:rsidTr="0017067B">
        <w:trPr>
          <w:cantSplit/>
        </w:trPr>
        <w:tc>
          <w:tcPr>
            <w:tcW w:w="0" w:type="auto"/>
            <w:shd w:val="clear" w:color="auto" w:fill="auto"/>
          </w:tcPr>
          <w:p w14:paraId="063B6F5F" w14:textId="3BCCF7F6" w:rsidR="008B4DF8" w:rsidRPr="00C1603D" w:rsidRDefault="008B4DF8" w:rsidP="0017067B">
            <w:pPr>
              <w:pStyle w:val="72TabletextTablesTableFigureBoxstyles"/>
            </w:pPr>
            <w:r w:rsidRPr="00C1603D">
              <w:t>2</w:t>
            </w:r>
          </w:p>
        </w:tc>
        <w:tc>
          <w:tcPr>
            <w:tcW w:w="0" w:type="auto"/>
            <w:shd w:val="clear" w:color="auto" w:fill="auto"/>
          </w:tcPr>
          <w:p w14:paraId="312C49E2" w14:textId="77777777" w:rsidR="008B4DF8" w:rsidRPr="00C1603D" w:rsidRDefault="008B4DF8" w:rsidP="0017067B">
            <w:pPr>
              <w:pStyle w:val="72TabletextTablesTableFigureBoxstyles"/>
            </w:pPr>
            <w:r w:rsidRPr="00C1603D">
              <w:t>0.807</w:t>
            </w:r>
          </w:p>
        </w:tc>
        <w:tc>
          <w:tcPr>
            <w:tcW w:w="0" w:type="auto"/>
            <w:shd w:val="clear" w:color="auto" w:fill="auto"/>
          </w:tcPr>
          <w:p w14:paraId="0B1B29B0" w14:textId="77777777" w:rsidR="008B4DF8" w:rsidRPr="00C1603D" w:rsidRDefault="008B4DF8" w:rsidP="0017067B">
            <w:pPr>
              <w:pStyle w:val="72TabletextTablesTableFigureBoxstyles"/>
            </w:pPr>
            <w:r w:rsidRPr="00C1603D">
              <w:t>0.61</w:t>
            </w:r>
          </w:p>
        </w:tc>
        <w:tc>
          <w:tcPr>
            <w:tcW w:w="0" w:type="auto"/>
            <w:shd w:val="clear" w:color="auto" w:fill="auto"/>
          </w:tcPr>
          <w:p w14:paraId="2C1AFC76" w14:textId="77777777" w:rsidR="008B4DF8" w:rsidRPr="00C1603D" w:rsidRDefault="008B4DF8" w:rsidP="0017067B">
            <w:pPr>
              <w:pStyle w:val="72TabletextTablesTableFigureBoxstyles"/>
            </w:pPr>
            <w:r w:rsidRPr="00C1603D">
              <w:t>HLA plus IgA tTG</w:t>
            </w:r>
          </w:p>
        </w:tc>
        <w:tc>
          <w:tcPr>
            <w:tcW w:w="0" w:type="auto"/>
            <w:shd w:val="clear" w:color="auto" w:fill="auto"/>
          </w:tcPr>
          <w:p w14:paraId="22540533" w14:textId="3FD44861" w:rsidR="008B4DF8" w:rsidRPr="00C1603D" w:rsidRDefault="008B4DF8" w:rsidP="0017067B">
            <w:pPr>
              <w:pStyle w:val="72TabletextTablesTableFigureBoxstyles"/>
            </w:pPr>
            <w:r w:rsidRPr="00C1603D">
              <w:t>13</w:t>
            </w:r>
            <w:r w:rsidR="0017067B" w:rsidRPr="00C1603D">
              <w:t>,</w:t>
            </w:r>
            <w:r w:rsidRPr="00C1603D">
              <w:t>221 (12</w:t>
            </w:r>
            <w:r w:rsidR="0017067B" w:rsidRPr="00C1603D">
              <w:t>,</w:t>
            </w:r>
            <w:r w:rsidRPr="00C1603D">
              <w:t>241</w:t>
            </w:r>
            <w:r w:rsidR="0017067B" w:rsidRPr="00C1603D">
              <w:t xml:space="preserve"> to</w:t>
            </w:r>
            <w:r w:rsidRPr="00C1603D">
              <w:t xml:space="preserve"> 14</w:t>
            </w:r>
            <w:r w:rsidR="0017067B" w:rsidRPr="00C1603D">
              <w:t>,</w:t>
            </w:r>
            <w:r w:rsidRPr="00C1603D">
              <w:t>321)</w:t>
            </w:r>
          </w:p>
        </w:tc>
        <w:tc>
          <w:tcPr>
            <w:tcW w:w="0" w:type="auto"/>
            <w:shd w:val="clear" w:color="auto" w:fill="auto"/>
          </w:tcPr>
          <w:p w14:paraId="0C583033" w14:textId="6C9BB17C" w:rsidR="008B4DF8" w:rsidRPr="00C1603D" w:rsidRDefault="008B4DF8" w:rsidP="0017067B">
            <w:pPr>
              <w:pStyle w:val="72TabletextTablesTableFigureBoxstyles"/>
            </w:pPr>
            <w:r w:rsidRPr="00C1603D">
              <w:t>21.26 (20.27</w:t>
            </w:r>
            <w:r w:rsidR="0017067B" w:rsidRPr="00C1603D">
              <w:t xml:space="preserve"> to</w:t>
            </w:r>
            <w:r w:rsidRPr="00C1603D">
              <w:t xml:space="preserve"> 22.12)</w:t>
            </w:r>
          </w:p>
        </w:tc>
        <w:tc>
          <w:tcPr>
            <w:tcW w:w="0" w:type="auto"/>
            <w:shd w:val="clear" w:color="auto" w:fill="auto"/>
          </w:tcPr>
          <w:p w14:paraId="2E3DD09F" w14:textId="15387C8B" w:rsidR="008B4DF8" w:rsidRPr="00C1603D" w:rsidRDefault="008B4DF8" w:rsidP="0017067B">
            <w:pPr>
              <w:pStyle w:val="72TabletextTablesTableFigureBoxstyles"/>
            </w:pPr>
            <w:r w:rsidRPr="00C1603D">
              <w:t>11</w:t>
            </w:r>
            <w:r w:rsidR="0017067B" w:rsidRPr="00C1603D">
              <w:t>,</w:t>
            </w:r>
            <w:r w:rsidRPr="00C1603D">
              <w:t>914 (3273</w:t>
            </w:r>
            <w:r w:rsidR="0017067B" w:rsidRPr="00C1603D">
              <w:t xml:space="preserve"> to</w:t>
            </w:r>
            <w:r w:rsidRPr="00C1603D">
              <w:t xml:space="preserve"> 33</w:t>
            </w:r>
            <w:r w:rsidR="0017067B" w:rsidRPr="00C1603D">
              <w:t>,</w:t>
            </w:r>
            <w:r w:rsidRPr="00C1603D">
              <w:t>675)</w:t>
            </w:r>
          </w:p>
        </w:tc>
      </w:tr>
      <w:tr w:rsidR="008B4DF8" w:rsidRPr="00C1603D" w14:paraId="5E916FD6" w14:textId="77777777" w:rsidTr="0017067B">
        <w:trPr>
          <w:cantSplit/>
        </w:trPr>
        <w:tc>
          <w:tcPr>
            <w:tcW w:w="0" w:type="auto"/>
            <w:shd w:val="clear" w:color="auto" w:fill="auto"/>
          </w:tcPr>
          <w:p w14:paraId="085FE417" w14:textId="41517115" w:rsidR="008B4DF8" w:rsidRPr="00C1603D" w:rsidRDefault="008B4DF8" w:rsidP="0017067B">
            <w:pPr>
              <w:pStyle w:val="72TabletextTablesTableFigureBoxstyles"/>
            </w:pPr>
            <w:r w:rsidRPr="00C1603D">
              <w:t>5</w:t>
            </w:r>
          </w:p>
        </w:tc>
        <w:tc>
          <w:tcPr>
            <w:tcW w:w="0" w:type="auto"/>
            <w:shd w:val="clear" w:color="auto" w:fill="auto"/>
          </w:tcPr>
          <w:p w14:paraId="61BDF2F0" w14:textId="77777777" w:rsidR="008B4DF8" w:rsidRPr="00C1603D" w:rsidRDefault="008B4DF8" w:rsidP="0017067B">
            <w:pPr>
              <w:pStyle w:val="72TabletextTablesTableFigureBoxstyles"/>
            </w:pPr>
            <w:r w:rsidRPr="00C1603D">
              <w:t>0.667</w:t>
            </w:r>
          </w:p>
        </w:tc>
        <w:tc>
          <w:tcPr>
            <w:tcW w:w="0" w:type="auto"/>
            <w:shd w:val="clear" w:color="auto" w:fill="auto"/>
          </w:tcPr>
          <w:p w14:paraId="4F1DBDF3" w14:textId="77777777" w:rsidR="008B4DF8" w:rsidRPr="00C1603D" w:rsidRDefault="008B4DF8" w:rsidP="0017067B">
            <w:pPr>
              <w:pStyle w:val="72TabletextTablesTableFigureBoxstyles"/>
            </w:pPr>
            <w:r w:rsidRPr="00C1603D">
              <w:t>0.872</w:t>
            </w:r>
          </w:p>
        </w:tc>
        <w:tc>
          <w:tcPr>
            <w:tcW w:w="0" w:type="auto"/>
            <w:shd w:val="clear" w:color="auto" w:fill="auto"/>
          </w:tcPr>
          <w:p w14:paraId="430CE82C" w14:textId="77777777" w:rsidR="008B4DF8" w:rsidRPr="00C1603D" w:rsidRDefault="008B4DF8" w:rsidP="0017067B">
            <w:pPr>
              <w:pStyle w:val="72TabletextTablesTableFigureBoxstyles"/>
            </w:pPr>
            <w:r w:rsidRPr="00C1603D">
              <w:t>HLA plus IgA tTG</w:t>
            </w:r>
          </w:p>
        </w:tc>
        <w:tc>
          <w:tcPr>
            <w:tcW w:w="0" w:type="auto"/>
            <w:shd w:val="clear" w:color="auto" w:fill="auto"/>
          </w:tcPr>
          <w:p w14:paraId="6133B21B" w14:textId="61B21760" w:rsidR="008B4DF8" w:rsidRPr="00C1603D" w:rsidRDefault="008B4DF8" w:rsidP="0017067B">
            <w:pPr>
              <w:pStyle w:val="72TabletextTablesTableFigureBoxstyles"/>
            </w:pPr>
            <w:r w:rsidRPr="00C1603D">
              <w:t>13</w:t>
            </w:r>
            <w:r w:rsidR="0017067B" w:rsidRPr="00C1603D">
              <w:t>,</w:t>
            </w:r>
            <w:r w:rsidRPr="00C1603D">
              <w:t>014 (12</w:t>
            </w:r>
            <w:r w:rsidR="0017067B" w:rsidRPr="00C1603D">
              <w:t>,</w:t>
            </w:r>
            <w:r w:rsidRPr="00C1603D">
              <w:t>027</w:t>
            </w:r>
            <w:r w:rsidR="0017067B" w:rsidRPr="00C1603D">
              <w:t xml:space="preserve"> to</w:t>
            </w:r>
            <w:r w:rsidRPr="00C1603D">
              <w:t xml:space="preserve"> 14</w:t>
            </w:r>
            <w:r w:rsidR="0017067B" w:rsidRPr="00C1603D">
              <w:t>,</w:t>
            </w:r>
            <w:r w:rsidRPr="00C1603D">
              <w:t>114)</w:t>
            </w:r>
          </w:p>
        </w:tc>
        <w:tc>
          <w:tcPr>
            <w:tcW w:w="0" w:type="auto"/>
            <w:shd w:val="clear" w:color="auto" w:fill="auto"/>
          </w:tcPr>
          <w:p w14:paraId="174492A6" w14:textId="1CC4A162" w:rsidR="008B4DF8" w:rsidRPr="00C1603D" w:rsidRDefault="008B4DF8" w:rsidP="0017067B">
            <w:pPr>
              <w:pStyle w:val="72TabletextTablesTableFigureBoxstyles"/>
            </w:pPr>
            <w:r w:rsidRPr="00C1603D">
              <w:t>21.3 (20.29</w:t>
            </w:r>
            <w:r w:rsidR="0017067B" w:rsidRPr="00C1603D">
              <w:t xml:space="preserve"> to</w:t>
            </w:r>
            <w:r w:rsidRPr="00C1603D">
              <w:t xml:space="preserve"> 22.14)</w:t>
            </w:r>
          </w:p>
        </w:tc>
        <w:tc>
          <w:tcPr>
            <w:tcW w:w="0" w:type="auto"/>
            <w:shd w:val="clear" w:color="auto" w:fill="auto"/>
          </w:tcPr>
          <w:p w14:paraId="3CBA9FCE" w14:textId="582E745E" w:rsidR="008B4DF8" w:rsidRPr="00C1603D" w:rsidRDefault="008B4DF8" w:rsidP="0017067B">
            <w:pPr>
              <w:pStyle w:val="72TabletextTablesTableFigureBoxstyles"/>
            </w:pPr>
            <w:r w:rsidRPr="00C1603D">
              <w:t>12</w:t>
            </w:r>
            <w:r w:rsidR="0017067B" w:rsidRPr="00C1603D">
              <w:t>,</w:t>
            </w:r>
            <w:r w:rsidRPr="00C1603D">
              <w:t>885 (3844</w:t>
            </w:r>
            <w:r w:rsidR="0017067B" w:rsidRPr="00C1603D">
              <w:t xml:space="preserve"> to</w:t>
            </w:r>
            <w:r w:rsidRPr="00C1603D">
              <w:t xml:space="preserve"> 35</w:t>
            </w:r>
            <w:r w:rsidR="0017067B" w:rsidRPr="00C1603D">
              <w:t>,</w:t>
            </w:r>
            <w:r w:rsidRPr="00C1603D">
              <w:t>682)</w:t>
            </w:r>
          </w:p>
        </w:tc>
      </w:tr>
      <w:tr w:rsidR="008B4DF8" w:rsidRPr="00C1603D" w14:paraId="10B2B02C" w14:textId="77777777" w:rsidTr="0017067B">
        <w:trPr>
          <w:cantSplit/>
        </w:trPr>
        <w:tc>
          <w:tcPr>
            <w:tcW w:w="0" w:type="auto"/>
            <w:shd w:val="clear" w:color="auto" w:fill="auto"/>
          </w:tcPr>
          <w:p w14:paraId="0C7C41F5" w14:textId="6C6C0EDD" w:rsidR="008B4DF8" w:rsidRPr="00C1603D" w:rsidRDefault="008B4DF8" w:rsidP="0017067B">
            <w:pPr>
              <w:pStyle w:val="72TabletextTablesTableFigureBoxstyles"/>
            </w:pPr>
            <w:r w:rsidRPr="00C1603D">
              <w:t>10</w:t>
            </w:r>
          </w:p>
        </w:tc>
        <w:tc>
          <w:tcPr>
            <w:tcW w:w="0" w:type="auto"/>
            <w:shd w:val="clear" w:color="auto" w:fill="auto"/>
          </w:tcPr>
          <w:p w14:paraId="15FB05FC" w14:textId="77777777" w:rsidR="008B4DF8" w:rsidRPr="00C1603D" w:rsidRDefault="008B4DF8" w:rsidP="0017067B">
            <w:pPr>
              <w:pStyle w:val="72TabletextTablesTableFigureBoxstyles"/>
            </w:pPr>
            <w:r w:rsidRPr="00C1603D">
              <w:t>0.533</w:t>
            </w:r>
          </w:p>
        </w:tc>
        <w:tc>
          <w:tcPr>
            <w:tcW w:w="0" w:type="auto"/>
            <w:shd w:val="clear" w:color="auto" w:fill="auto"/>
          </w:tcPr>
          <w:p w14:paraId="5A214DF1" w14:textId="77777777" w:rsidR="008B4DF8" w:rsidRPr="00C1603D" w:rsidRDefault="008B4DF8" w:rsidP="0017067B">
            <w:pPr>
              <w:pStyle w:val="72TabletextTablesTableFigureBoxstyles"/>
            </w:pPr>
            <w:r w:rsidRPr="00C1603D">
              <w:t>0.952</w:t>
            </w:r>
          </w:p>
        </w:tc>
        <w:tc>
          <w:tcPr>
            <w:tcW w:w="0" w:type="auto"/>
            <w:shd w:val="clear" w:color="auto" w:fill="auto"/>
          </w:tcPr>
          <w:p w14:paraId="4AB7F5A2" w14:textId="77777777" w:rsidR="008B4DF8" w:rsidRPr="00C1603D" w:rsidRDefault="008B4DF8" w:rsidP="0017067B">
            <w:pPr>
              <w:pStyle w:val="72TabletextTablesTableFigureBoxstyles"/>
            </w:pPr>
            <w:r w:rsidRPr="00C1603D">
              <w:t>HLA plus IgA tTG</w:t>
            </w:r>
          </w:p>
        </w:tc>
        <w:tc>
          <w:tcPr>
            <w:tcW w:w="0" w:type="auto"/>
            <w:shd w:val="clear" w:color="auto" w:fill="auto"/>
          </w:tcPr>
          <w:p w14:paraId="0E5734F3" w14:textId="2360ECC1" w:rsidR="008B4DF8" w:rsidRPr="00C1603D" w:rsidRDefault="008B4DF8" w:rsidP="0017067B">
            <w:pPr>
              <w:pStyle w:val="72TabletextTablesTableFigureBoxstyles"/>
            </w:pPr>
            <w:r w:rsidRPr="00C1603D">
              <w:t>12</w:t>
            </w:r>
            <w:r w:rsidR="0017067B" w:rsidRPr="00C1603D">
              <w:t>,</w:t>
            </w:r>
            <w:r w:rsidRPr="00C1603D">
              <w:t>991 (11</w:t>
            </w:r>
            <w:r w:rsidR="0017067B" w:rsidRPr="00C1603D">
              <w:t>,</w:t>
            </w:r>
            <w:r w:rsidRPr="00C1603D">
              <w:t>998</w:t>
            </w:r>
            <w:r w:rsidR="0017067B" w:rsidRPr="00C1603D">
              <w:t xml:space="preserve"> to</w:t>
            </w:r>
            <w:r w:rsidRPr="00C1603D">
              <w:t xml:space="preserve"> 14</w:t>
            </w:r>
            <w:r w:rsidR="0017067B" w:rsidRPr="00C1603D">
              <w:t>,</w:t>
            </w:r>
            <w:r w:rsidRPr="00C1603D">
              <w:t>100)</w:t>
            </w:r>
          </w:p>
        </w:tc>
        <w:tc>
          <w:tcPr>
            <w:tcW w:w="0" w:type="auto"/>
            <w:shd w:val="clear" w:color="auto" w:fill="auto"/>
          </w:tcPr>
          <w:p w14:paraId="429713BC" w14:textId="722AC297" w:rsidR="008B4DF8" w:rsidRPr="00C1603D" w:rsidRDefault="008B4DF8" w:rsidP="0017067B">
            <w:pPr>
              <w:pStyle w:val="72TabletextTablesTableFigureBoxstyles"/>
            </w:pPr>
            <w:r w:rsidRPr="00C1603D">
              <w:t>21.31 (20.31</w:t>
            </w:r>
            <w:r w:rsidR="0017067B" w:rsidRPr="00C1603D">
              <w:t xml:space="preserve"> to</w:t>
            </w:r>
            <w:r w:rsidRPr="00C1603D">
              <w:t xml:space="preserve"> 22.14)</w:t>
            </w:r>
          </w:p>
        </w:tc>
        <w:tc>
          <w:tcPr>
            <w:tcW w:w="0" w:type="auto"/>
            <w:shd w:val="clear" w:color="auto" w:fill="auto"/>
          </w:tcPr>
          <w:p w14:paraId="38DCFBBF" w14:textId="14984ED6" w:rsidR="008B4DF8" w:rsidRPr="00C1603D" w:rsidRDefault="008B4DF8" w:rsidP="0017067B">
            <w:pPr>
              <w:pStyle w:val="72TabletextTablesTableFigureBoxstyles"/>
            </w:pPr>
            <w:r w:rsidRPr="00C1603D">
              <w:t>13</w:t>
            </w:r>
            <w:r w:rsidR="0017067B" w:rsidRPr="00C1603D">
              <w:t>,</w:t>
            </w:r>
            <w:r w:rsidRPr="00C1603D">
              <w:t>090 (3929</w:t>
            </w:r>
            <w:r w:rsidR="0017067B" w:rsidRPr="00C1603D">
              <w:t xml:space="preserve"> to</w:t>
            </w:r>
            <w:r w:rsidRPr="00C1603D">
              <w:t xml:space="preserve"> 36</w:t>
            </w:r>
            <w:r w:rsidR="0017067B" w:rsidRPr="00C1603D">
              <w:t>,</w:t>
            </w:r>
            <w:r w:rsidRPr="00C1603D">
              <w:t>260)</w:t>
            </w:r>
          </w:p>
        </w:tc>
      </w:tr>
      <w:tr w:rsidR="008B4DF8" w:rsidRPr="00C1603D" w14:paraId="368B6191" w14:textId="77777777" w:rsidTr="0017067B">
        <w:trPr>
          <w:cantSplit/>
        </w:trPr>
        <w:tc>
          <w:tcPr>
            <w:tcW w:w="0" w:type="auto"/>
            <w:shd w:val="clear" w:color="auto" w:fill="auto"/>
          </w:tcPr>
          <w:p w14:paraId="321D3D09" w14:textId="08832522" w:rsidR="008B4DF8" w:rsidRPr="00C1603D" w:rsidRDefault="008B4DF8" w:rsidP="0017067B">
            <w:pPr>
              <w:pStyle w:val="72TabletextTablesTableFigureBoxstyles"/>
            </w:pPr>
            <w:r w:rsidRPr="00C1603D">
              <w:t>20</w:t>
            </w:r>
          </w:p>
        </w:tc>
        <w:tc>
          <w:tcPr>
            <w:tcW w:w="0" w:type="auto"/>
            <w:shd w:val="clear" w:color="auto" w:fill="auto"/>
          </w:tcPr>
          <w:p w14:paraId="26BB4CD3" w14:textId="77777777" w:rsidR="008B4DF8" w:rsidRPr="00C1603D" w:rsidRDefault="008B4DF8" w:rsidP="0017067B">
            <w:pPr>
              <w:pStyle w:val="72TabletextTablesTableFigureBoxstyles"/>
            </w:pPr>
            <w:r w:rsidRPr="00C1603D">
              <w:t>0.331</w:t>
            </w:r>
          </w:p>
        </w:tc>
        <w:tc>
          <w:tcPr>
            <w:tcW w:w="0" w:type="auto"/>
            <w:shd w:val="clear" w:color="auto" w:fill="auto"/>
          </w:tcPr>
          <w:p w14:paraId="7A7F0A39" w14:textId="77777777" w:rsidR="008B4DF8" w:rsidRPr="00C1603D" w:rsidRDefault="008B4DF8" w:rsidP="0017067B">
            <w:pPr>
              <w:pStyle w:val="72TabletextTablesTableFigureBoxstyles"/>
            </w:pPr>
            <w:r w:rsidRPr="00C1603D">
              <w:t>0.987</w:t>
            </w:r>
          </w:p>
        </w:tc>
        <w:tc>
          <w:tcPr>
            <w:tcW w:w="0" w:type="auto"/>
            <w:shd w:val="clear" w:color="auto" w:fill="auto"/>
          </w:tcPr>
          <w:p w14:paraId="76B82929" w14:textId="77777777" w:rsidR="008B4DF8" w:rsidRPr="00C1603D" w:rsidRDefault="008B4DF8" w:rsidP="0017067B">
            <w:pPr>
              <w:pStyle w:val="72TabletextTablesTableFigureBoxstyles"/>
            </w:pPr>
            <w:r w:rsidRPr="00C1603D">
              <w:t>HLA plus IgA tTG</w:t>
            </w:r>
          </w:p>
        </w:tc>
        <w:tc>
          <w:tcPr>
            <w:tcW w:w="0" w:type="auto"/>
            <w:shd w:val="clear" w:color="auto" w:fill="auto"/>
          </w:tcPr>
          <w:p w14:paraId="120FFEDC" w14:textId="6F399E9E" w:rsidR="008B4DF8" w:rsidRPr="00C1603D" w:rsidRDefault="008B4DF8" w:rsidP="0017067B">
            <w:pPr>
              <w:pStyle w:val="72TabletextTablesTableFigureBoxstyles"/>
            </w:pPr>
            <w:r w:rsidRPr="00C1603D">
              <w:t>13</w:t>
            </w:r>
            <w:r w:rsidR="0017067B" w:rsidRPr="00C1603D">
              <w:t>,</w:t>
            </w:r>
            <w:r w:rsidRPr="00C1603D">
              <w:t>032 (12</w:t>
            </w:r>
            <w:r w:rsidR="0017067B" w:rsidRPr="00C1603D">
              <w:t>,</w:t>
            </w:r>
            <w:r w:rsidRPr="00C1603D">
              <w:t>029</w:t>
            </w:r>
            <w:r w:rsidR="0017067B" w:rsidRPr="00C1603D">
              <w:t xml:space="preserve"> to</w:t>
            </w:r>
            <w:r w:rsidRPr="00C1603D">
              <w:t xml:space="preserve"> 14</w:t>
            </w:r>
            <w:r w:rsidR="0017067B" w:rsidRPr="00C1603D">
              <w:t>,</w:t>
            </w:r>
            <w:r w:rsidRPr="00C1603D">
              <w:t>132)</w:t>
            </w:r>
          </w:p>
        </w:tc>
        <w:tc>
          <w:tcPr>
            <w:tcW w:w="0" w:type="auto"/>
            <w:shd w:val="clear" w:color="auto" w:fill="auto"/>
          </w:tcPr>
          <w:p w14:paraId="0AB1063B" w14:textId="701659D5" w:rsidR="008B4DF8" w:rsidRPr="00C1603D" w:rsidRDefault="008B4DF8" w:rsidP="0017067B">
            <w:pPr>
              <w:pStyle w:val="72TabletextTablesTableFigureBoxstyles"/>
            </w:pPr>
            <w:r w:rsidRPr="00C1603D">
              <w:t>21.31 (20.31</w:t>
            </w:r>
            <w:r w:rsidR="0017067B" w:rsidRPr="00C1603D">
              <w:t xml:space="preserve"> to</w:t>
            </w:r>
            <w:r w:rsidRPr="00C1603D">
              <w:t xml:space="preserve"> 22.15)</w:t>
            </w:r>
          </w:p>
        </w:tc>
        <w:tc>
          <w:tcPr>
            <w:tcW w:w="0" w:type="auto"/>
            <w:shd w:val="clear" w:color="auto" w:fill="auto"/>
          </w:tcPr>
          <w:p w14:paraId="4448C3C6" w14:textId="2991C67C" w:rsidR="008B4DF8" w:rsidRPr="00C1603D" w:rsidRDefault="008B4DF8" w:rsidP="0017067B">
            <w:pPr>
              <w:pStyle w:val="72TabletextTablesTableFigureBoxstyles"/>
            </w:pPr>
            <w:r w:rsidRPr="00C1603D">
              <w:t>13</w:t>
            </w:r>
            <w:r w:rsidR="0017067B" w:rsidRPr="00C1603D">
              <w:t>,</w:t>
            </w:r>
            <w:r w:rsidRPr="00C1603D">
              <w:t>042 (3835</w:t>
            </w:r>
            <w:r w:rsidR="0017067B" w:rsidRPr="00C1603D">
              <w:t xml:space="preserve"> to</w:t>
            </w:r>
            <w:r w:rsidRPr="00C1603D">
              <w:t xml:space="preserve"> 36</w:t>
            </w:r>
            <w:r w:rsidR="0017067B" w:rsidRPr="00C1603D">
              <w:t>,</w:t>
            </w:r>
            <w:r w:rsidRPr="00C1603D">
              <w:t>372)</w:t>
            </w:r>
          </w:p>
        </w:tc>
      </w:tr>
    </w:tbl>
    <w:p w14:paraId="1C2ABAF7" w14:textId="4E25FFE6" w:rsidR="008B4DF8" w:rsidRPr="00C1603D" w:rsidRDefault="008B4DF8" w:rsidP="008B4DF8">
      <w:pPr>
        <w:pStyle w:val="602TextfoTextstylesTextstyles"/>
      </w:pPr>
      <w:r w:rsidRPr="00C1603D">
        <w:rPr>
          <w:i/>
          <w:color w:val="FF0000"/>
        </w:rPr>
        <w:t xml:space="preserve">Figure </w:t>
      </w:r>
      <w:r w:rsidRPr="00C1603D">
        <w:rPr>
          <w:i/>
          <w:noProof/>
          <w:color w:val="FF0000"/>
        </w:rPr>
        <w:t>24</w:t>
      </w:r>
      <w:r w:rsidRPr="00C1603D">
        <w:t xml:space="preserve"> plots the </w:t>
      </w:r>
      <w:r w:rsidR="00322B2D" w:rsidRPr="00C1603D">
        <w:t>CEAC</w:t>
      </w:r>
      <w:r w:rsidRPr="00C1603D">
        <w:t>s</w:t>
      </w:r>
      <w:r w:rsidR="0017067B" w:rsidRPr="00C1603D">
        <w:t>,</w:t>
      </w:r>
      <w:r w:rsidRPr="00C1603D">
        <w:t xml:space="preserve"> which show the probability that each testing strategy is optimal (i.e. </w:t>
      </w:r>
      <w:r w:rsidR="0017067B" w:rsidRPr="00C1603D">
        <w:t xml:space="preserve">has the </w:t>
      </w:r>
      <w:r w:rsidRPr="00C1603D">
        <w:t xml:space="preserve">highest net benefit) at each </w:t>
      </w:r>
      <w:r w:rsidR="00553BA7" w:rsidRPr="00C1603D">
        <w:t>willingness-to-pay</w:t>
      </w:r>
      <w:r w:rsidRPr="00C1603D">
        <w:t xml:space="preserve"> threshold for an additional QALY. This shows that</w:t>
      </w:r>
      <w:r w:rsidR="0017067B" w:rsidRPr="00C1603D">
        <w:t>,</w:t>
      </w:r>
      <w:r w:rsidRPr="00C1603D">
        <w:t xml:space="preserve"> at any threshold </w:t>
      </w:r>
      <w:r w:rsidR="0017067B" w:rsidRPr="00C1603D">
        <w:t>&gt; </w:t>
      </w:r>
      <w:r w:rsidRPr="00C1603D">
        <w:t>£5000</w:t>
      </w:r>
      <w:r w:rsidR="0017067B" w:rsidRPr="00C1603D">
        <w:t xml:space="preserve"> per </w:t>
      </w:r>
      <w:r w:rsidRPr="00C1603D">
        <w:t>QALY</w:t>
      </w:r>
      <w:r w:rsidR="0017067B" w:rsidRPr="00C1603D">
        <w:t>,</w:t>
      </w:r>
      <w:r w:rsidRPr="00C1603D">
        <w:t xml:space="preserve"> the strategy with </w:t>
      </w:r>
      <w:r w:rsidR="0017067B" w:rsidRPr="00C1603D">
        <w:t xml:space="preserve">the </w:t>
      </w:r>
      <w:r w:rsidRPr="00C1603D">
        <w:t>greatest probability of being cost-effective is 10% HLA plus IgA tTG. This probability is between 60</w:t>
      </w:r>
      <w:r w:rsidR="0017067B" w:rsidRPr="00C1603D">
        <w:t>%</w:t>
      </w:r>
      <w:r w:rsidRPr="00C1603D">
        <w:t xml:space="preserve"> and 80%</w:t>
      </w:r>
      <w:r w:rsidR="0017067B" w:rsidRPr="00C1603D">
        <w:t>,</w:t>
      </w:r>
      <w:r w:rsidRPr="00C1603D">
        <w:t xml:space="preserve"> which, </w:t>
      </w:r>
      <w:r w:rsidR="0017067B" w:rsidRPr="00C1603D">
        <w:t>although</w:t>
      </w:r>
      <w:r w:rsidRPr="00C1603D">
        <w:t xml:space="preserve"> high, does not suggest certainty that any of the IgA EMA plus HLA or HLA plus IgA tTG strategies differ in cost-effectiveness</w:t>
      </w:r>
      <w:r w:rsidR="0017067B" w:rsidRPr="00C1603D">
        <w:t>.</w:t>
      </w:r>
    </w:p>
    <w:p w14:paraId="2E534D8E" w14:textId="2F2825C4" w:rsidR="008B4DF8" w:rsidRPr="00C1603D" w:rsidRDefault="008B4DF8" w:rsidP="008B4DF8">
      <w:pPr>
        <w:pStyle w:val="81FigurelegendTableFigureBoxstyles"/>
      </w:pPr>
      <w:bookmarkStart w:id="448" w:name="_Toc99720805"/>
      <w:r w:rsidRPr="00C1603D">
        <w:rPr>
          <w:b/>
        </w:rPr>
        <w:t>FIGURE 24</w:t>
      </w:r>
      <w:r w:rsidRPr="00C1603D">
        <w:rPr>
          <w:b/>
        </w:rPr>
        <w:t> </w:t>
      </w:r>
      <w:r w:rsidRPr="00C1603D">
        <w:t xml:space="preserve">Cost-effectiveness acceptability curves for strategies of interest </w:t>
      </w:r>
      <w:r w:rsidR="0017067B" w:rsidRPr="00C1603D">
        <w:t>for</w:t>
      </w:r>
      <w:r w:rsidRPr="00C1603D">
        <w:t xml:space="preserve"> children</w:t>
      </w:r>
      <w:bookmarkEnd w:id="448"/>
      <w:r w:rsidR="0017067B" w:rsidRPr="00C1603D">
        <w:t>.</w:t>
      </w:r>
    </w:p>
    <w:p w14:paraId="4CD3006D" w14:textId="0D9007C5" w:rsidR="008B4DF8" w:rsidRPr="00C1603D" w:rsidRDefault="008B4DF8" w:rsidP="008B4DF8">
      <w:pPr>
        <w:pStyle w:val="602TextfoTextstylesTextstyles"/>
      </w:pPr>
      <w:r w:rsidRPr="00C1603D">
        <w:t xml:space="preserve">Table S21 </w:t>
      </w:r>
      <w:r w:rsidR="009F423E" w:rsidRPr="00C1603D">
        <w:t xml:space="preserve">(see </w:t>
      </w:r>
      <w:r w:rsidR="009F423E" w:rsidRPr="00C1603D">
        <w:rPr>
          <w:i/>
          <w:iCs/>
        </w:rPr>
        <w:t>Report Supplementary Material 1</w:t>
      </w:r>
      <w:r w:rsidR="009F423E" w:rsidRPr="00C1603D">
        <w:t xml:space="preserve">) </w:t>
      </w:r>
      <w:r w:rsidRPr="00C1603D">
        <w:t xml:space="preserve">provides the proportion of time spent in each state for children on the strategies of interest. </w:t>
      </w:r>
      <w:r w:rsidR="00553BA7" w:rsidRPr="00C1603D">
        <w:t>Compared with</w:t>
      </w:r>
      <w:r w:rsidRPr="00C1603D">
        <w:t xml:space="preserve"> other IgA tTG strategies, the 1% IgA tTG has the greatest proportion of time </w:t>
      </w:r>
      <w:r w:rsidR="007A35FF" w:rsidRPr="00C1603D">
        <w:t xml:space="preserve">spent </w:t>
      </w:r>
      <w:r w:rsidRPr="00C1603D">
        <w:t>in the CD</w:t>
      </w:r>
      <w:r w:rsidR="007A35FF" w:rsidRPr="00C1603D">
        <w:t>,</w:t>
      </w:r>
      <w:r w:rsidRPr="00C1603D">
        <w:t xml:space="preserve"> gluten-free diet</w:t>
      </w:r>
      <w:r w:rsidR="007A35FF" w:rsidRPr="00C1603D">
        <w:t>,</w:t>
      </w:r>
      <w:r w:rsidRPr="00C1603D">
        <w:t xml:space="preserve"> no</w:t>
      </w:r>
      <w:r w:rsidR="007A35FF" w:rsidRPr="00C1603D">
        <w:t>-</w:t>
      </w:r>
      <w:r w:rsidRPr="00C1603D">
        <w:t>complications state and</w:t>
      </w:r>
      <w:r w:rsidR="007A35FF" w:rsidRPr="00C1603D">
        <w:t xml:space="preserve"> the</w:t>
      </w:r>
      <w:r w:rsidRPr="00C1603D">
        <w:t xml:space="preserve"> least time in the undiagnosed states, and similarly for the 5% HLA strategies </w:t>
      </w:r>
      <w:r w:rsidR="00553BA7" w:rsidRPr="00C1603D">
        <w:t>compared with</w:t>
      </w:r>
      <w:r w:rsidRPr="00C1603D">
        <w:t xml:space="preserve"> other HLA strategies. There is </w:t>
      </w:r>
      <w:proofErr w:type="gramStart"/>
      <w:r w:rsidRPr="00C1603D">
        <w:t>little difference</w:t>
      </w:r>
      <w:proofErr w:type="gramEnd"/>
      <w:r w:rsidRPr="00C1603D">
        <w:t xml:space="preserve"> in</w:t>
      </w:r>
      <w:r w:rsidR="007A35FF" w:rsidRPr="00C1603D">
        <w:t xml:space="preserve"> the</w:t>
      </w:r>
      <w:r w:rsidRPr="00C1603D">
        <w:t xml:space="preserve"> proportions of time spent in the undiagnosed</w:t>
      </w:r>
      <w:r w:rsidR="007A35FF" w:rsidRPr="00C1603D">
        <w:t>,</w:t>
      </w:r>
      <w:r w:rsidRPr="00C1603D">
        <w:t xml:space="preserve"> complication states</w:t>
      </w:r>
      <w:r w:rsidR="007A35FF" w:rsidRPr="00C1603D">
        <w:t>,</w:t>
      </w:r>
      <w:r w:rsidRPr="00C1603D">
        <w:t xml:space="preserve"> as most child patients are eventually diagnosed. Time spent in the death state is the same across strategies for this reason. Overall, cost-effectiveness </w:t>
      </w:r>
      <w:proofErr w:type="gramStart"/>
      <w:r w:rsidRPr="00C1603D">
        <w:t xml:space="preserve">appears </w:t>
      </w:r>
      <w:r w:rsidR="007A35FF" w:rsidRPr="00C1603D">
        <w:t>to be</w:t>
      </w:r>
      <w:proofErr w:type="gramEnd"/>
      <w:r w:rsidR="007A35FF" w:rsidRPr="00C1603D">
        <w:t xml:space="preserve"> </w:t>
      </w:r>
      <w:r w:rsidRPr="00C1603D">
        <w:t>driven by time spent in the CD</w:t>
      </w:r>
      <w:r w:rsidR="007A35FF" w:rsidRPr="00C1603D">
        <w:t>,</w:t>
      </w:r>
      <w:r w:rsidRPr="00C1603D">
        <w:t xml:space="preserve"> gluten-free diet</w:t>
      </w:r>
      <w:r w:rsidR="007A35FF" w:rsidRPr="00C1603D">
        <w:t>,</w:t>
      </w:r>
      <w:r w:rsidRPr="00C1603D">
        <w:t xml:space="preserve"> </w:t>
      </w:r>
      <w:r w:rsidR="007A35FF" w:rsidRPr="00C1603D">
        <w:t xml:space="preserve">no-complications state </w:t>
      </w:r>
      <w:r w:rsidRPr="00C1603D">
        <w:t xml:space="preserve">and </w:t>
      </w:r>
      <w:r w:rsidR="007A35FF" w:rsidRPr="00C1603D">
        <w:t xml:space="preserve">the </w:t>
      </w:r>
      <w:r w:rsidRPr="00C1603D">
        <w:t>undiagnosed CD</w:t>
      </w:r>
      <w:r w:rsidR="007A35FF" w:rsidRPr="00C1603D">
        <w:t>,</w:t>
      </w:r>
      <w:r w:rsidRPr="00C1603D">
        <w:t xml:space="preserve"> no</w:t>
      </w:r>
      <w:r w:rsidR="007A35FF" w:rsidRPr="00C1603D">
        <w:t>-</w:t>
      </w:r>
      <w:r w:rsidRPr="00C1603D">
        <w:t>complications state.</w:t>
      </w:r>
    </w:p>
    <w:p w14:paraId="55C42625" w14:textId="35512F01" w:rsidR="008B4DF8" w:rsidRPr="00C1603D" w:rsidRDefault="008B4DF8" w:rsidP="008B4DF8">
      <w:pPr>
        <w:pStyle w:val="602TextfoTextstylesTextstyles"/>
      </w:pPr>
      <w:r w:rsidRPr="00C1603D">
        <w:t xml:space="preserve">The total EVPI and EVPPI for parameter sets of interest are summarised </w:t>
      </w:r>
      <w:r w:rsidRPr="00C1603D">
        <w:rPr>
          <w:color w:val="auto"/>
        </w:rPr>
        <w:t xml:space="preserve">in </w:t>
      </w:r>
      <w:r w:rsidRPr="00C1603D">
        <w:rPr>
          <w:i/>
          <w:color w:val="auto"/>
        </w:rPr>
        <w:t>Table 2</w:t>
      </w:r>
      <w:r w:rsidR="008A6568" w:rsidRPr="00C1603D">
        <w:rPr>
          <w:i/>
          <w:color w:val="auto"/>
        </w:rPr>
        <w:t>1</w:t>
      </w:r>
      <w:r w:rsidRPr="00C1603D">
        <w:rPr>
          <w:color w:val="auto"/>
        </w:rPr>
        <w:t xml:space="preserve">. The total </w:t>
      </w:r>
      <w:r w:rsidRPr="00C1603D">
        <w:t>population EVPI is £18.4</w:t>
      </w:r>
      <w:r w:rsidR="007A35FF" w:rsidRPr="00C1603D">
        <w:t>M</w:t>
      </w:r>
      <w:r w:rsidRPr="00C1603D">
        <w:t xml:space="preserve">, indicating potential value in conducting further research. However, this potential value is less than </w:t>
      </w:r>
      <w:r w:rsidR="007A35FF" w:rsidRPr="00C1603D">
        <w:t>that for</w:t>
      </w:r>
      <w:r w:rsidRPr="00C1603D">
        <w:t xml:space="preserve"> adult men (£25.7</w:t>
      </w:r>
      <w:r w:rsidR="007A35FF" w:rsidRPr="00C1603D">
        <w:t>M</w:t>
      </w:r>
      <w:r w:rsidRPr="00C1603D">
        <w:t>) and adult women (£79.0</w:t>
      </w:r>
      <w:r w:rsidR="007A35FF" w:rsidRPr="00C1603D">
        <w:t>M</w:t>
      </w:r>
      <w:r w:rsidRPr="00C1603D">
        <w:t xml:space="preserve">). As </w:t>
      </w:r>
      <w:r w:rsidR="007A35FF" w:rsidRPr="00C1603D">
        <w:t>with</w:t>
      </w:r>
      <w:r w:rsidRPr="00C1603D">
        <w:t xml:space="preserve"> adults</w:t>
      </w:r>
      <w:r w:rsidR="007A35FF" w:rsidRPr="00C1603D">
        <w:t>,</w:t>
      </w:r>
      <w:r w:rsidRPr="00C1603D">
        <w:t xml:space="preserve"> the EVPPI is greatest for</w:t>
      </w:r>
      <w:r w:rsidR="007A35FF" w:rsidRPr="00C1603D">
        <w:t xml:space="preserve"> the</w:t>
      </w:r>
      <w:r w:rsidRPr="00C1603D">
        <w:t xml:space="preserve"> probability of late diagnosis (£10.6</w:t>
      </w:r>
      <w:r w:rsidR="007A35FF" w:rsidRPr="00C1603D">
        <w:t>M</w:t>
      </w:r>
      <w:r w:rsidRPr="00C1603D">
        <w:t>) and test accuracies (£7.8</w:t>
      </w:r>
      <w:r w:rsidR="007A35FF" w:rsidRPr="00C1603D">
        <w:t>M</w:t>
      </w:r>
      <w:r w:rsidRPr="00C1603D">
        <w:t xml:space="preserve">). These are half of the corresponding values </w:t>
      </w:r>
      <w:r w:rsidR="007A35FF" w:rsidRPr="00C1603D">
        <w:t>for</w:t>
      </w:r>
      <w:r w:rsidRPr="00C1603D">
        <w:t xml:space="preserve"> adult men and about six times lower than </w:t>
      </w:r>
      <w:r w:rsidR="007A35FF" w:rsidRPr="00C1603D">
        <w:t>for</w:t>
      </w:r>
      <w:r w:rsidRPr="00C1603D">
        <w:t xml:space="preserve"> adult women, again suggesting </w:t>
      </w:r>
      <w:r w:rsidR="007A35FF" w:rsidRPr="00C1603D">
        <w:t xml:space="preserve">that </w:t>
      </w:r>
      <w:r w:rsidRPr="00C1603D">
        <w:t>research should be focused on adult women.</w:t>
      </w:r>
    </w:p>
    <w:p w14:paraId="60F83D65" w14:textId="37674448" w:rsidR="008B4DF8" w:rsidRPr="00C1603D" w:rsidRDefault="008B4DF8" w:rsidP="008B4DF8">
      <w:pPr>
        <w:pStyle w:val="602TextfoTextstylesTextstyles"/>
      </w:pPr>
      <w:r w:rsidRPr="00C1603D">
        <w:t xml:space="preserve">The ratio of EVPPI to EVPI for each parameter is illustrated in </w:t>
      </w:r>
      <w:r w:rsidRPr="00C1603D">
        <w:rPr>
          <w:i/>
          <w:color w:val="FF0000"/>
        </w:rPr>
        <w:t xml:space="preserve">Figure </w:t>
      </w:r>
      <w:r w:rsidRPr="00C1603D">
        <w:rPr>
          <w:i/>
          <w:noProof/>
          <w:color w:val="FF0000"/>
        </w:rPr>
        <w:t>25</w:t>
      </w:r>
      <w:r w:rsidRPr="00C1603D">
        <w:t xml:space="preserve">. As </w:t>
      </w:r>
      <w:r w:rsidR="00981D98" w:rsidRPr="00C1603D">
        <w:t>with</w:t>
      </w:r>
      <w:r w:rsidRPr="00C1603D">
        <w:t xml:space="preserve"> the adult population, probability of late diagnosis, disutility of biopsy and specificity of IgA EMA are important parameters. Note that the effect of a gluten-free diet (i.e. being diagnosed with CD) on osteoporosis is picked out as highly influential</w:t>
      </w:r>
      <w:r w:rsidR="00981D98" w:rsidRPr="00C1603D">
        <w:t>,</w:t>
      </w:r>
      <w:r w:rsidRPr="00C1603D">
        <w:t xml:space="preserve"> and actually its estimated EVPPI is greater than </w:t>
      </w:r>
      <w:r w:rsidRPr="00C1603D">
        <w:rPr>
          <w:color w:val="auto"/>
        </w:rPr>
        <w:t xml:space="preserve">the total EVPI (note that proportion exceeds 1.00). This is due to an algorithm failure. The EVPPI estimated in </w:t>
      </w:r>
      <w:r w:rsidRPr="00C1603D">
        <w:rPr>
          <w:i/>
          <w:color w:val="auto"/>
        </w:rPr>
        <w:t>Table 2</w:t>
      </w:r>
      <w:r w:rsidR="008A6568" w:rsidRPr="00C1603D">
        <w:rPr>
          <w:i/>
          <w:color w:val="auto"/>
        </w:rPr>
        <w:t>1</w:t>
      </w:r>
      <w:r w:rsidRPr="00C1603D">
        <w:rPr>
          <w:color w:val="auto"/>
        </w:rPr>
        <w:t xml:space="preserve"> is based on MLMC </w:t>
      </w:r>
      <w:r w:rsidR="00981D98" w:rsidRPr="00C1603D">
        <w:rPr>
          <w:color w:val="auto"/>
        </w:rPr>
        <w:t xml:space="preserve">methods, </w:t>
      </w:r>
      <w:r w:rsidRPr="00C1603D">
        <w:rPr>
          <w:color w:val="auto"/>
        </w:rPr>
        <w:t>whe</w:t>
      </w:r>
      <w:r w:rsidR="00981D98" w:rsidRPr="00C1603D">
        <w:rPr>
          <w:color w:val="auto"/>
        </w:rPr>
        <w:t>reas</w:t>
      </w:r>
      <w:r w:rsidRPr="00C1603D">
        <w:rPr>
          <w:color w:val="auto"/>
        </w:rPr>
        <w:t xml:space="preserve"> the ratios in </w:t>
      </w:r>
      <w:r w:rsidRPr="00C1603D">
        <w:rPr>
          <w:i/>
          <w:color w:val="auto"/>
        </w:rPr>
        <w:t xml:space="preserve">Figure </w:t>
      </w:r>
      <w:r w:rsidRPr="00C1603D">
        <w:rPr>
          <w:i/>
          <w:noProof/>
          <w:color w:val="auto"/>
        </w:rPr>
        <w:t>25</w:t>
      </w:r>
      <w:r w:rsidRPr="00C1603D">
        <w:rPr>
          <w:color w:val="auto"/>
        </w:rPr>
        <w:t xml:space="preserve"> are based on generalised additive models, and the latter have been found to be unstable in comparison to the former in the literature.</w:t>
      </w:r>
      <w:r w:rsidRPr="00C1603D">
        <w:rPr>
          <w:noProof/>
          <w:color w:val="auto"/>
          <w:vertAlign w:val="superscript"/>
        </w:rPr>
        <w:t>261,266</w:t>
      </w:r>
    </w:p>
    <w:p w14:paraId="2E58315F" w14:textId="6541707F" w:rsidR="008B4DF8" w:rsidRPr="00C1603D" w:rsidRDefault="008B4DF8" w:rsidP="008B4DF8">
      <w:pPr>
        <w:pStyle w:val="81FigurelegendTableFigureBoxstyles"/>
        <w:rPr>
          <w:rFonts w:cs="Arial"/>
        </w:rPr>
      </w:pPr>
      <w:bookmarkStart w:id="449" w:name="_Toc99720806"/>
      <w:r w:rsidRPr="00C1603D">
        <w:rPr>
          <w:b/>
        </w:rPr>
        <w:lastRenderedPageBreak/>
        <w:t>FIGURE 25</w:t>
      </w:r>
      <w:r w:rsidRPr="00C1603D">
        <w:rPr>
          <w:b/>
        </w:rPr>
        <w:t> </w:t>
      </w:r>
      <w:r w:rsidRPr="00C1603D">
        <w:t xml:space="preserve">Ratio of EVPPI for each parameter to total EVPI </w:t>
      </w:r>
      <w:r w:rsidR="00261D13" w:rsidRPr="00C1603D">
        <w:t>for</w:t>
      </w:r>
      <w:r w:rsidRPr="00C1603D">
        <w:t xml:space="preserve"> children. Only </w:t>
      </w:r>
      <w:r w:rsidR="00261D13" w:rsidRPr="00C1603D">
        <w:t xml:space="preserve">the </w:t>
      </w:r>
      <w:proofErr w:type="gramStart"/>
      <w:r w:rsidR="00261D13" w:rsidRPr="00C1603D">
        <w:t>10</w:t>
      </w:r>
      <w:proofErr w:type="gramEnd"/>
      <w:r w:rsidRPr="00C1603D">
        <w:t xml:space="preserve"> most influential parameters </w:t>
      </w:r>
      <w:r w:rsidR="00261D13" w:rsidRPr="00C1603D">
        <w:t xml:space="preserve">are </w:t>
      </w:r>
      <w:r w:rsidRPr="00C1603D">
        <w:t xml:space="preserve">included. Note that log_or_osteoporosis_GFD is high, but this is due to numerical failure of the algorithm. </w:t>
      </w:r>
      <w:r w:rsidR="00261D13" w:rsidRPr="00C1603D">
        <w:t>The r</w:t>
      </w:r>
      <w:r w:rsidRPr="00C1603D">
        <w:t xml:space="preserve">emaining parameters have minimal influence on </w:t>
      </w:r>
      <w:r w:rsidR="00261D13" w:rsidRPr="00C1603D">
        <w:t xml:space="preserve">the </w:t>
      </w:r>
      <w:r w:rsidRPr="00C1603D">
        <w:t>results</w:t>
      </w:r>
      <w:bookmarkEnd w:id="449"/>
      <w:r w:rsidR="00261D13" w:rsidRPr="00C1603D">
        <w:t>.</w:t>
      </w:r>
      <w:r w:rsidRPr="00C1603D">
        <w:t xml:space="preserve"> </w:t>
      </w:r>
      <w:r w:rsidR="00261D13" w:rsidRPr="00C1603D">
        <w:t xml:space="preserve">GFD, gluten-free diet; </w:t>
      </w:r>
      <w:r w:rsidRPr="00C1603D">
        <w:rPr>
          <w:rFonts w:cs="Calibri"/>
        </w:rPr>
        <w:t>log_or_osteoporosis_GFD</w:t>
      </w:r>
      <w:r w:rsidR="00261D13" w:rsidRPr="00C1603D">
        <w:rPr>
          <w:rFonts w:cs="Calibri"/>
          <w:color w:val="00B0F0"/>
        </w:rPr>
        <w:t xml:space="preserve">, </w:t>
      </w:r>
      <w:r w:rsidRPr="00C1603D">
        <w:rPr>
          <w:rFonts w:cs="Calibri"/>
        </w:rPr>
        <w:t>log odds ratio of developing osteoporosis on GFD</w:t>
      </w:r>
      <w:r w:rsidR="00261D13" w:rsidRPr="00C1603D">
        <w:rPr>
          <w:rFonts w:cs="Calibri"/>
        </w:rPr>
        <w:t>,</w:t>
      </w:r>
      <w:r w:rsidRPr="00C1603D">
        <w:rPr>
          <w:rFonts w:cs="Calibri"/>
        </w:rPr>
        <w:t xml:space="preserve"> </w:t>
      </w:r>
      <w:r w:rsidR="00553BA7" w:rsidRPr="00C1603D">
        <w:rPr>
          <w:rFonts w:cs="Calibri"/>
        </w:rPr>
        <w:t>compared with</w:t>
      </w:r>
      <w:r w:rsidRPr="00C1603D">
        <w:rPr>
          <w:rFonts w:cs="Calibri"/>
        </w:rPr>
        <w:t xml:space="preserve"> not on GFD</w:t>
      </w:r>
      <w:r w:rsidR="00261D13" w:rsidRPr="00C1603D">
        <w:rPr>
          <w:rFonts w:cs="Calibri"/>
        </w:rPr>
        <w:t>,</w:t>
      </w:r>
      <w:r w:rsidRPr="00C1603D">
        <w:rPr>
          <w:rFonts w:cs="Calibri"/>
        </w:rPr>
        <w:t xml:space="preserve"> for coeliac patients</w:t>
      </w:r>
      <w:r w:rsidR="00082176" w:rsidRPr="00C1603D">
        <w:rPr>
          <w:rFonts w:cs="Calibri"/>
        </w:rPr>
        <w:t>; sens, sensitivity; spec, specificity</w:t>
      </w:r>
      <w:r w:rsidR="00261D13" w:rsidRPr="00C1603D">
        <w:rPr>
          <w:rFonts w:cs="Calibri"/>
        </w:rPr>
        <w:t>.</w:t>
      </w:r>
    </w:p>
    <w:p w14:paraId="086ACFA6" w14:textId="77777777" w:rsidR="008B4DF8" w:rsidRPr="00C1603D" w:rsidRDefault="008B4DF8" w:rsidP="008B4DF8">
      <w:pPr>
        <w:pStyle w:val="43ChaptertitleHeadingsHeadingstyles"/>
      </w:pPr>
      <w:bookmarkStart w:id="450" w:name="_Toc99539905"/>
      <w:r w:rsidRPr="00C1603D">
        <w:lastRenderedPageBreak/>
        <w:t>Chapter 9</w:t>
      </w:r>
      <w:r w:rsidRPr="00C1603D">
        <w:t> </w:t>
      </w:r>
      <w:r w:rsidRPr="00C1603D">
        <w:t>Discussion</w:t>
      </w:r>
      <w:bookmarkEnd w:id="450"/>
    </w:p>
    <w:p w14:paraId="7608DFBD" w14:textId="10739909" w:rsidR="00FB0C16" w:rsidRPr="00C1603D" w:rsidRDefault="00FB0C16" w:rsidP="00FB0C16">
      <w:pPr>
        <w:pStyle w:val="601TextdropcapTextstylesTextstyles"/>
      </w:pPr>
      <w:r w:rsidRPr="00C1603D">
        <w:t xml:space="preserve">Parts of this chapter are reproduced from Elwenspoek </w:t>
      </w:r>
      <w:r w:rsidRPr="00C1603D">
        <w:rPr>
          <w:i/>
          <w:iCs/>
        </w:rPr>
        <w:t>et al</w:t>
      </w:r>
      <w:r w:rsidRPr="00C1603D">
        <w:t>.</w:t>
      </w:r>
      <w:r w:rsidRPr="00C1603D">
        <w:rPr>
          <w:vertAlign w:val="superscript"/>
        </w:rPr>
        <w:t>25</w:t>
      </w:r>
      <w:r w:rsidRPr="00C1603D">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Pr="00C1603D">
        <w:rPr>
          <w:i/>
          <w:iCs/>
          <w:color w:val="FF0000"/>
        </w:rPr>
        <w:t>&lt;&lt;Typesetter: insert copyright credit line 2&gt;&gt;</w:t>
      </w:r>
    </w:p>
    <w:p w14:paraId="7369B74A" w14:textId="77777777" w:rsidR="008B4DF8" w:rsidRPr="00C1603D" w:rsidRDefault="008B4DF8" w:rsidP="008B4DF8">
      <w:pPr>
        <w:pStyle w:val="52AheadHeadingsHeadingstyles"/>
      </w:pPr>
      <w:bookmarkStart w:id="451" w:name="_Toc99539906"/>
      <w:r w:rsidRPr="00C1603D">
        <w:t>Statement of principal findings</w:t>
      </w:r>
      <w:bookmarkEnd w:id="451"/>
    </w:p>
    <w:p w14:paraId="39A99708" w14:textId="5D79EEC3" w:rsidR="008B4DF8" w:rsidRPr="00C1603D" w:rsidRDefault="008B4DF8" w:rsidP="008B4DF8">
      <w:pPr>
        <w:pStyle w:val="602TextfoTextstylesTextstyles"/>
      </w:pPr>
      <w:r w:rsidRPr="00C1603D">
        <w:t xml:space="preserve">In </w:t>
      </w:r>
      <w:r w:rsidRPr="00C1603D">
        <w:rPr>
          <w:i/>
          <w:iCs/>
        </w:rPr>
        <w:t>Chapter 3</w:t>
      </w:r>
      <w:r w:rsidRPr="00C1603D">
        <w:t xml:space="preserve">, we identified diagnostic indicators and calculated summary estimates for their accuracy in identifying individuals at </w:t>
      </w:r>
      <w:proofErr w:type="gramStart"/>
      <w:r w:rsidRPr="00C1603D">
        <w:t>high risk</w:t>
      </w:r>
      <w:proofErr w:type="gramEnd"/>
      <w:r w:rsidRPr="00C1603D">
        <w:t xml:space="preserve"> of CD. None of the identified diagnostic indicators alone had good sensitivity for detecting CD; however, some showed promise in helping to identify patients who should be offered serological testing. The estimated PPVs for migraine, family history of CD, anaemia, type 1 diabetes, osteoporosis and chronic liver disease were all </w:t>
      </w:r>
      <w:r w:rsidR="008639CA" w:rsidRPr="00C1603D">
        <w:t>&gt; </w:t>
      </w:r>
      <w:r w:rsidRPr="00C1603D">
        <w:t xml:space="preserve">2%, with 95% CIs lying entirely above the population prevalence of 1%. These results suggest that individuals with these conditions are twice as likely to have CD as the general population. There was too little evidence to show an increased risk of CD </w:t>
      </w:r>
      <w:r w:rsidR="008639CA" w:rsidRPr="00C1603D">
        <w:t>among</w:t>
      </w:r>
      <w:r w:rsidRPr="00C1603D">
        <w:t xml:space="preserve"> individuals with systemic lupus erythematosus or multiple sclerosis. Dermatitis herpetiformis showed the highest diagnostic accuracy; however, because dermatitis herpetiformis is rare and treatment is a gluten-free diet even in the absence of a CD diagnosis,</w:t>
      </w:r>
      <w:r w:rsidRPr="00C1603D">
        <w:rPr>
          <w:noProof/>
          <w:vertAlign w:val="superscript"/>
        </w:rPr>
        <w:t>267</w:t>
      </w:r>
      <w:r w:rsidRPr="00C1603D">
        <w:t xml:space="preserve"> it is unlikely to be helpful as a diagnostic indicator. </w:t>
      </w:r>
      <w:r w:rsidR="00807C54" w:rsidRPr="00C1603D">
        <w:t>GI</w:t>
      </w:r>
      <w:r w:rsidRPr="00C1603D">
        <w:t xml:space="preserve"> symptoms showed poor diagnostic ability, whereas individuals with a first-degree relative with CD had </w:t>
      </w:r>
      <w:r w:rsidR="00037D9F" w:rsidRPr="00C1603D">
        <w:t xml:space="preserve">a </w:t>
      </w:r>
      <w:r w:rsidRPr="00C1603D">
        <w:t xml:space="preserve">risk of </w:t>
      </w:r>
      <w:r w:rsidR="00D55AD7" w:rsidRPr="00C1603D">
        <w:t xml:space="preserve">having </w:t>
      </w:r>
      <w:r w:rsidRPr="00C1603D">
        <w:t xml:space="preserve">CD </w:t>
      </w:r>
      <w:r w:rsidR="00D55AD7" w:rsidRPr="00C1603D">
        <w:t xml:space="preserve">that was three times higher </w:t>
      </w:r>
      <w:r w:rsidRPr="00C1603D">
        <w:t>than</w:t>
      </w:r>
      <w:r w:rsidR="00D55AD7" w:rsidRPr="00C1603D">
        <w:t xml:space="preserve"> for</w:t>
      </w:r>
      <w:r w:rsidRPr="00C1603D">
        <w:t xml:space="preserve"> the general population.</w:t>
      </w:r>
    </w:p>
    <w:p w14:paraId="3A13DF34" w14:textId="337F54FF" w:rsidR="008B4DF8" w:rsidRPr="00C1603D" w:rsidRDefault="008B4DF8" w:rsidP="008B4DF8">
      <w:pPr>
        <w:pStyle w:val="602TextfoTextstylesTextstyles"/>
        <w:rPr>
          <w:color w:val="auto"/>
        </w:rPr>
      </w:pPr>
      <w:r w:rsidRPr="00C1603D">
        <w:t xml:space="preserve">In </w:t>
      </w:r>
      <w:r w:rsidRPr="00C1603D">
        <w:rPr>
          <w:i/>
          <w:iCs/>
        </w:rPr>
        <w:t>Chapter 4</w:t>
      </w:r>
      <w:r w:rsidRPr="00C1603D">
        <w:t xml:space="preserve">, we developed prediction models for children, women and men. </w:t>
      </w:r>
      <w:r w:rsidR="00037D9F" w:rsidRPr="00C1603D">
        <w:t>The f</w:t>
      </w:r>
      <w:r w:rsidRPr="00C1603D">
        <w:t xml:space="preserve">inal models included 24, 24 and 21 predictors, respectively. For children, having type 1 diabetes, Turner syndrome, IgA deficiency or a first-degree </w:t>
      </w:r>
      <w:r w:rsidRPr="00C1603D" w:rsidDel="000A7B03">
        <w:t>relative</w:t>
      </w:r>
      <w:r w:rsidRPr="00C1603D" w:rsidDel="00D04057">
        <w:t xml:space="preserve"> </w:t>
      </w:r>
      <w:r w:rsidRPr="00C1603D">
        <w:t>with CD were estimated</w:t>
      </w:r>
      <w:r w:rsidRPr="00C1603D" w:rsidDel="00B77DA9">
        <w:t xml:space="preserve"> to </w:t>
      </w:r>
      <w:r w:rsidRPr="00C1603D">
        <w:t xml:space="preserve">be </w:t>
      </w:r>
      <w:r w:rsidRPr="00C1603D" w:rsidDel="00B77DA9">
        <w:t xml:space="preserve">the </w:t>
      </w:r>
      <w:r w:rsidRPr="00C1603D">
        <w:t xml:space="preserve">strongest predictors (i.e. had the highest estimated coefficients). For </w:t>
      </w:r>
      <w:r w:rsidRPr="00C1603D">
        <w:rPr>
          <w:color w:val="auto"/>
        </w:rPr>
        <w:t xml:space="preserve">women and </w:t>
      </w:r>
      <w:r w:rsidRPr="00C1603D" w:rsidDel="001B57C7">
        <w:rPr>
          <w:color w:val="auto"/>
        </w:rPr>
        <w:t>men</w:t>
      </w:r>
      <w:r w:rsidRPr="00C1603D">
        <w:rPr>
          <w:color w:val="auto"/>
        </w:rPr>
        <w:t>, the strongest predictors were having a first-degree relative with CD</w:t>
      </w:r>
      <w:r w:rsidR="000E738C" w:rsidRPr="00C1603D">
        <w:rPr>
          <w:color w:val="auto"/>
        </w:rPr>
        <w:t>,</w:t>
      </w:r>
      <w:r w:rsidRPr="00C1603D">
        <w:rPr>
          <w:color w:val="auto"/>
        </w:rPr>
        <w:t xml:space="preserve"> </w:t>
      </w:r>
      <w:r w:rsidR="000E738C" w:rsidRPr="00C1603D">
        <w:rPr>
          <w:color w:val="auto"/>
        </w:rPr>
        <w:t>and</w:t>
      </w:r>
      <w:r w:rsidRPr="00C1603D">
        <w:rPr>
          <w:color w:val="auto"/>
        </w:rPr>
        <w:t xml:space="preserve"> anaemia. In the development data set, the model showed good discrimination between patients with and </w:t>
      </w:r>
      <w:r w:rsidR="000E738C" w:rsidRPr="00C1603D">
        <w:rPr>
          <w:color w:val="auto"/>
        </w:rPr>
        <w:t xml:space="preserve">patients </w:t>
      </w:r>
      <w:r w:rsidRPr="00C1603D">
        <w:rPr>
          <w:color w:val="auto"/>
        </w:rPr>
        <w:t xml:space="preserve">without CD, as demonstrated by high </w:t>
      </w:r>
      <w:r w:rsidR="008B5148" w:rsidRPr="00C1603D">
        <w:rPr>
          <w:i/>
          <w:iCs/>
          <w:color w:val="auto"/>
        </w:rPr>
        <w:t>c-</w:t>
      </w:r>
      <w:r w:rsidR="008B5148" w:rsidRPr="00C1603D">
        <w:rPr>
          <w:color w:val="auto"/>
        </w:rPr>
        <w:t>stat</w:t>
      </w:r>
      <w:r w:rsidRPr="00C1603D">
        <w:rPr>
          <w:color w:val="auto"/>
        </w:rPr>
        <w:t>istic</w:t>
      </w:r>
      <w:r w:rsidR="000E738C" w:rsidRPr="00C1603D">
        <w:rPr>
          <w:color w:val="auto"/>
        </w:rPr>
        <w:t>s:</w:t>
      </w:r>
      <w:r w:rsidRPr="00C1603D">
        <w:rPr>
          <w:color w:val="auto"/>
        </w:rPr>
        <w:t xml:space="preserve"> 0.84 (95% CI 0.83</w:t>
      </w:r>
      <w:r w:rsidR="000E738C" w:rsidRPr="00C1603D">
        <w:rPr>
          <w:color w:val="auto"/>
        </w:rPr>
        <w:t xml:space="preserve"> to</w:t>
      </w:r>
      <w:r w:rsidRPr="00C1603D">
        <w:rPr>
          <w:color w:val="auto"/>
        </w:rPr>
        <w:t xml:space="preserve"> 0.84) </w:t>
      </w:r>
      <w:r w:rsidR="000E738C" w:rsidRPr="00C1603D">
        <w:rPr>
          <w:color w:val="auto"/>
        </w:rPr>
        <w:t>for</w:t>
      </w:r>
      <w:r w:rsidRPr="00C1603D">
        <w:rPr>
          <w:color w:val="auto"/>
        </w:rPr>
        <w:t xml:space="preserve"> children, 0.77 (</w:t>
      </w:r>
      <w:r w:rsidR="000E738C" w:rsidRPr="00C1603D">
        <w:rPr>
          <w:color w:val="auto"/>
        </w:rPr>
        <w:t xml:space="preserve">95% CI </w:t>
      </w:r>
      <w:r w:rsidRPr="00C1603D">
        <w:rPr>
          <w:color w:val="auto"/>
        </w:rPr>
        <w:t>0.77</w:t>
      </w:r>
      <w:r w:rsidR="000E738C" w:rsidRPr="00C1603D">
        <w:rPr>
          <w:color w:val="auto"/>
        </w:rPr>
        <w:t xml:space="preserve"> to</w:t>
      </w:r>
      <w:r w:rsidRPr="00C1603D">
        <w:rPr>
          <w:color w:val="auto"/>
        </w:rPr>
        <w:t xml:space="preserve"> 0.78) </w:t>
      </w:r>
      <w:r w:rsidR="000E738C" w:rsidRPr="00C1603D">
        <w:rPr>
          <w:color w:val="auto"/>
        </w:rPr>
        <w:t>for</w:t>
      </w:r>
      <w:r w:rsidRPr="00C1603D">
        <w:rPr>
          <w:color w:val="auto"/>
        </w:rPr>
        <w:t xml:space="preserve"> women and 0.81 (</w:t>
      </w:r>
      <w:r w:rsidR="000E738C" w:rsidRPr="00C1603D">
        <w:rPr>
          <w:color w:val="auto"/>
        </w:rPr>
        <w:t xml:space="preserve">95% CI </w:t>
      </w:r>
      <w:r w:rsidRPr="00C1603D">
        <w:rPr>
          <w:color w:val="auto"/>
        </w:rPr>
        <w:t>0.81</w:t>
      </w:r>
      <w:r w:rsidR="000E738C" w:rsidRPr="00C1603D">
        <w:rPr>
          <w:color w:val="auto"/>
        </w:rPr>
        <w:t xml:space="preserve"> to</w:t>
      </w:r>
      <w:r w:rsidRPr="00C1603D">
        <w:rPr>
          <w:color w:val="auto"/>
        </w:rPr>
        <w:t xml:space="preserve"> 0.82) </w:t>
      </w:r>
      <w:r w:rsidR="000E738C" w:rsidRPr="00C1603D">
        <w:rPr>
          <w:color w:val="auto"/>
        </w:rPr>
        <w:t>for</w:t>
      </w:r>
      <w:r w:rsidRPr="00C1603D">
        <w:rPr>
          <w:color w:val="auto"/>
        </w:rPr>
        <w:t xml:space="preserve"> men. The model discriminated less well between patients with and</w:t>
      </w:r>
      <w:r w:rsidR="005E6ED1" w:rsidRPr="00C1603D">
        <w:rPr>
          <w:color w:val="auto"/>
        </w:rPr>
        <w:t xml:space="preserve"> patients</w:t>
      </w:r>
      <w:r w:rsidRPr="00C1603D">
        <w:rPr>
          <w:color w:val="auto"/>
        </w:rPr>
        <w:t xml:space="preserve"> without CD in the external validation data set, </w:t>
      </w:r>
      <w:r w:rsidR="005E6ED1" w:rsidRPr="00C1603D">
        <w:rPr>
          <w:color w:val="auto"/>
        </w:rPr>
        <w:t>in which</w:t>
      </w:r>
      <w:r w:rsidRPr="00C1603D">
        <w:rPr>
          <w:color w:val="auto"/>
        </w:rPr>
        <w:t xml:space="preserve"> the </w:t>
      </w:r>
      <w:r w:rsidR="008B5148" w:rsidRPr="00C1603D">
        <w:rPr>
          <w:i/>
          <w:iCs/>
          <w:color w:val="auto"/>
        </w:rPr>
        <w:t>c-</w:t>
      </w:r>
      <w:r w:rsidR="008B5148" w:rsidRPr="00C1603D">
        <w:rPr>
          <w:color w:val="auto"/>
        </w:rPr>
        <w:t>stat</w:t>
      </w:r>
      <w:r w:rsidRPr="00C1603D">
        <w:rPr>
          <w:color w:val="auto"/>
        </w:rPr>
        <w:t xml:space="preserve">istics reduced to 0.60 </w:t>
      </w:r>
      <w:r w:rsidR="005E6ED1" w:rsidRPr="00C1603D">
        <w:rPr>
          <w:color w:val="auto"/>
        </w:rPr>
        <w:t>for</w:t>
      </w:r>
      <w:r w:rsidRPr="00C1603D">
        <w:rPr>
          <w:color w:val="auto"/>
        </w:rPr>
        <w:t xml:space="preserve"> children, 0.55 </w:t>
      </w:r>
      <w:r w:rsidR="005E6ED1" w:rsidRPr="00C1603D">
        <w:rPr>
          <w:color w:val="auto"/>
        </w:rPr>
        <w:t>for</w:t>
      </w:r>
      <w:r w:rsidRPr="00C1603D">
        <w:rPr>
          <w:color w:val="auto"/>
        </w:rPr>
        <w:t xml:space="preserve"> women and 0.62 </w:t>
      </w:r>
      <w:r w:rsidR="005E6ED1" w:rsidRPr="00C1603D">
        <w:rPr>
          <w:color w:val="auto"/>
        </w:rPr>
        <w:t>for</w:t>
      </w:r>
      <w:r w:rsidRPr="00C1603D">
        <w:rPr>
          <w:color w:val="auto"/>
        </w:rPr>
        <w:t xml:space="preserve"> men. However, the predictor first-degree relative</w:t>
      </w:r>
      <w:r w:rsidR="005E6ED1" w:rsidRPr="00C1603D">
        <w:rPr>
          <w:color w:val="auto"/>
        </w:rPr>
        <w:t xml:space="preserve"> with CD</w:t>
      </w:r>
      <w:r w:rsidRPr="00C1603D">
        <w:rPr>
          <w:color w:val="auto"/>
        </w:rPr>
        <w:t xml:space="preserve"> was not recorded in the validation data set, which was one of the most important predictors</w:t>
      </w:r>
      <w:r w:rsidR="005E6ED1" w:rsidRPr="00C1603D">
        <w:rPr>
          <w:color w:val="auto"/>
        </w:rPr>
        <w:t>,</w:t>
      </w:r>
      <w:r w:rsidRPr="00C1603D">
        <w:rPr>
          <w:color w:val="auto"/>
        </w:rPr>
        <w:t xml:space="preserve"> leading to an underestimation of model performance in </w:t>
      </w:r>
      <w:r w:rsidR="005E6ED1" w:rsidRPr="00C1603D">
        <w:rPr>
          <w:color w:val="auto"/>
        </w:rPr>
        <w:t>this</w:t>
      </w:r>
      <w:r w:rsidRPr="00C1603D">
        <w:rPr>
          <w:color w:val="auto"/>
        </w:rPr>
        <w:t xml:space="preserve"> data set. The models were poorly calibrated and tended to overestimate the risk of having CD in all three groups in the development data set and</w:t>
      </w:r>
      <w:r w:rsidR="00D92883" w:rsidRPr="00C1603D">
        <w:rPr>
          <w:color w:val="auto"/>
        </w:rPr>
        <w:t xml:space="preserve"> the</w:t>
      </w:r>
      <w:r w:rsidRPr="00C1603D">
        <w:rPr>
          <w:color w:val="auto"/>
        </w:rPr>
        <w:t xml:space="preserve"> validation data set. The models suggest that individuals with any of the selected predictors have an increased risk of CD of </w:t>
      </w:r>
      <w:r w:rsidR="00D92883" w:rsidRPr="00C1603D">
        <w:rPr>
          <w:color w:val="auto"/>
        </w:rPr>
        <w:t>&gt; </w:t>
      </w:r>
      <w:r w:rsidRPr="00C1603D">
        <w:rPr>
          <w:color w:val="auto"/>
        </w:rPr>
        <w:t>50% and thus warrant testing for CD.</w:t>
      </w:r>
    </w:p>
    <w:p w14:paraId="2766AACE" w14:textId="7D73C125" w:rsidR="008B4DF8" w:rsidRPr="00C1603D" w:rsidRDefault="008B4DF8" w:rsidP="008B4DF8">
      <w:pPr>
        <w:pStyle w:val="602TextfoTextstylesTextstyles"/>
      </w:pPr>
      <w:r w:rsidRPr="00C1603D">
        <w:t xml:space="preserve">In </w:t>
      </w:r>
      <w:r w:rsidRPr="00C1603D">
        <w:rPr>
          <w:i/>
          <w:iCs/>
        </w:rPr>
        <w:t>Chapter 5</w:t>
      </w:r>
      <w:r w:rsidRPr="00C1603D">
        <w:t xml:space="preserve">, we estimated the diagnostic accuracy of the most commonly used serological tests for CD: IgA tTG and IgA EMA. </w:t>
      </w:r>
      <w:commentRangeStart w:id="452"/>
      <w:r w:rsidRPr="00C1603D">
        <w:t>IgA tTG was found to have a summary sensitivity of 91% (</w:t>
      </w:r>
      <w:r w:rsidR="00595B76" w:rsidRPr="00C1603D">
        <w:t>95% CI</w:t>
      </w:r>
      <w:r w:rsidRPr="00C1603D">
        <w:t xml:space="preserve"> 87%</w:t>
      </w:r>
      <w:r w:rsidR="00595B76" w:rsidRPr="00C1603D">
        <w:t xml:space="preserve"> to</w:t>
      </w:r>
      <w:r w:rsidRPr="00C1603D">
        <w:t xml:space="preserve"> 93%, threshold: 15</w:t>
      </w:r>
      <w:r w:rsidR="00595B76" w:rsidRPr="00C1603D">
        <w:t> </w:t>
      </w:r>
      <w:r w:rsidRPr="00C1603D">
        <w:t>U/</w:t>
      </w:r>
      <w:r w:rsidR="00472631" w:rsidRPr="00C1603D">
        <w:t>ml</w:t>
      </w:r>
      <w:r w:rsidRPr="00C1603D">
        <w:t xml:space="preserve">) </w:t>
      </w:r>
      <w:r w:rsidR="00595B76" w:rsidRPr="00C1603D">
        <w:t>among</w:t>
      </w:r>
      <w:r w:rsidRPr="00C1603D">
        <w:t xml:space="preserve"> adults and 98% (</w:t>
      </w:r>
      <w:r w:rsidR="00595B76" w:rsidRPr="00C1603D">
        <w:t xml:space="preserve">95% CI </w:t>
      </w:r>
      <w:r w:rsidRPr="00C1603D">
        <w:t>91%</w:t>
      </w:r>
      <w:r w:rsidR="00595B76" w:rsidRPr="00C1603D">
        <w:t xml:space="preserve"> to</w:t>
      </w:r>
      <w:r w:rsidRPr="00C1603D">
        <w:t xml:space="preserve"> 99%, threshold: 20</w:t>
      </w:r>
      <w:r w:rsidR="00595B76" w:rsidRPr="00C1603D">
        <w:t> </w:t>
      </w:r>
      <w:r w:rsidRPr="00C1603D">
        <w:t>U/</w:t>
      </w:r>
      <w:r w:rsidR="00472631" w:rsidRPr="00C1603D">
        <w:t>ml</w:t>
      </w:r>
      <w:r w:rsidRPr="00C1603D">
        <w:t xml:space="preserve">) </w:t>
      </w:r>
      <w:r w:rsidR="00595B76" w:rsidRPr="00C1603D">
        <w:t>among</w:t>
      </w:r>
      <w:r w:rsidRPr="00C1603D">
        <w:t xml:space="preserve"> children, based on five and six studies, respectively. </w:t>
      </w:r>
      <w:commentRangeEnd w:id="452"/>
      <w:r w:rsidR="00595B76" w:rsidRPr="00C1603D">
        <w:rPr>
          <w:rFonts w:ascii="Times New Roman" w:hAnsi="Times New Roman" w:cs="Times New Roman"/>
          <w:color w:val="auto"/>
          <w:lang w:val="en-US"/>
        </w:rPr>
        <w:commentReference w:id="452"/>
      </w:r>
      <w:r w:rsidRPr="00C1603D">
        <w:t>IgA tTG specificity was estimated at 87% (</w:t>
      </w:r>
      <w:r w:rsidR="00595B76" w:rsidRPr="00C1603D">
        <w:t xml:space="preserve">95% CI </w:t>
      </w:r>
      <w:r w:rsidRPr="00C1603D">
        <w:t>84%</w:t>
      </w:r>
      <w:r w:rsidR="00595B76" w:rsidRPr="00C1603D">
        <w:t xml:space="preserve"> to</w:t>
      </w:r>
      <w:r w:rsidRPr="00C1603D">
        <w:t xml:space="preserve"> 90%) </w:t>
      </w:r>
      <w:r w:rsidR="00595B76" w:rsidRPr="00C1603D">
        <w:t>among</w:t>
      </w:r>
      <w:r w:rsidRPr="00C1603D">
        <w:t xml:space="preserve"> adults</w:t>
      </w:r>
      <w:r w:rsidR="00595B76" w:rsidRPr="00C1603D">
        <w:t xml:space="preserve"> and</w:t>
      </w:r>
      <w:r w:rsidRPr="00C1603D">
        <w:t xml:space="preserve"> 70% (</w:t>
      </w:r>
      <w:r w:rsidR="00595B76" w:rsidRPr="00C1603D">
        <w:t xml:space="preserve">95% CI </w:t>
      </w:r>
      <w:r w:rsidRPr="00C1603D">
        <w:t>39%</w:t>
      </w:r>
      <w:r w:rsidR="00595B76" w:rsidRPr="00C1603D">
        <w:t xml:space="preserve"> to</w:t>
      </w:r>
      <w:r w:rsidRPr="00C1603D">
        <w:t xml:space="preserve"> 90%) </w:t>
      </w:r>
      <w:r w:rsidR="00595B76" w:rsidRPr="00C1603D">
        <w:t>among</w:t>
      </w:r>
      <w:r w:rsidRPr="00C1603D">
        <w:t xml:space="preserve"> children. IgA EMA showed a sensitivity of 88% (</w:t>
      </w:r>
      <w:r w:rsidR="00595B76" w:rsidRPr="00C1603D">
        <w:t xml:space="preserve">95% CI </w:t>
      </w:r>
      <w:r w:rsidRPr="00C1603D">
        <w:t>75%</w:t>
      </w:r>
      <w:r w:rsidR="00595B76" w:rsidRPr="00C1603D">
        <w:t xml:space="preserve"> to</w:t>
      </w:r>
      <w:r w:rsidRPr="00C1603D">
        <w:t xml:space="preserve"> 95%, threshold: 1</w:t>
      </w:r>
      <w:r w:rsidR="00595B76" w:rsidRPr="00C1603D">
        <w:t> </w:t>
      </w:r>
      <w:r w:rsidRPr="00C1603D">
        <w:t>:</w:t>
      </w:r>
      <w:r w:rsidR="00595B76" w:rsidRPr="00C1603D">
        <w:t> </w:t>
      </w:r>
      <w:r w:rsidRPr="00C1603D">
        <w:t xml:space="preserve">5) </w:t>
      </w:r>
      <w:r w:rsidR="00595B76" w:rsidRPr="00C1603D">
        <w:t>among</w:t>
      </w:r>
      <w:r w:rsidRPr="00C1603D">
        <w:t xml:space="preserve"> adults and 95% (</w:t>
      </w:r>
      <w:r w:rsidR="00595B76" w:rsidRPr="00C1603D">
        <w:t xml:space="preserve">95% CI </w:t>
      </w:r>
      <w:r w:rsidRPr="00C1603D">
        <w:t>89%</w:t>
      </w:r>
      <w:r w:rsidR="00595B76" w:rsidRPr="00C1603D">
        <w:t xml:space="preserve"> to</w:t>
      </w:r>
      <w:r w:rsidRPr="00C1603D">
        <w:t xml:space="preserve"> 97%, threshold: 1</w:t>
      </w:r>
      <w:r w:rsidR="00595B76" w:rsidRPr="00C1603D">
        <w:t> </w:t>
      </w:r>
      <w:r w:rsidRPr="00C1603D">
        <w:t>:</w:t>
      </w:r>
      <w:r w:rsidR="00595B76" w:rsidRPr="00C1603D">
        <w:t> </w:t>
      </w:r>
      <w:r w:rsidRPr="00C1603D">
        <w:t xml:space="preserve">10) </w:t>
      </w:r>
      <w:r w:rsidR="00595B76" w:rsidRPr="00C1603D">
        <w:t>among</w:t>
      </w:r>
      <w:r w:rsidRPr="00C1603D">
        <w:t xml:space="preserve"> children</w:t>
      </w:r>
      <w:r w:rsidR="00595B76" w:rsidRPr="00C1603D">
        <w:t>,</w:t>
      </w:r>
      <w:r w:rsidRPr="00C1603D">
        <w:t xml:space="preserve"> based on five studies each. </w:t>
      </w:r>
      <w:r w:rsidR="00595B76" w:rsidRPr="00C1603D">
        <w:t xml:space="preserve">The </w:t>
      </w:r>
      <w:r w:rsidRPr="00C1603D">
        <w:t>specificity</w:t>
      </w:r>
      <w:r w:rsidR="00595B76" w:rsidRPr="00C1603D">
        <w:t xml:space="preserve"> of IgA EMA</w:t>
      </w:r>
      <w:r w:rsidRPr="00C1603D">
        <w:t xml:space="preserve"> was 99.6% (</w:t>
      </w:r>
      <w:r w:rsidR="00595B76" w:rsidRPr="00C1603D">
        <w:t xml:space="preserve">95% CI </w:t>
      </w:r>
      <w:r w:rsidRPr="00C1603D">
        <w:t>92%</w:t>
      </w:r>
      <w:r w:rsidR="00595B76" w:rsidRPr="00C1603D">
        <w:t xml:space="preserve"> to</w:t>
      </w:r>
      <w:r w:rsidRPr="00C1603D">
        <w:t xml:space="preserve"> 100%, threshold: 1</w:t>
      </w:r>
      <w:r w:rsidR="00595B76" w:rsidRPr="00C1603D">
        <w:t> </w:t>
      </w:r>
      <w:r w:rsidRPr="00C1603D">
        <w:t>:</w:t>
      </w:r>
      <w:r w:rsidR="00595B76" w:rsidRPr="00C1603D">
        <w:t> </w:t>
      </w:r>
      <w:r w:rsidRPr="00C1603D">
        <w:t xml:space="preserve">5) </w:t>
      </w:r>
      <w:r w:rsidR="00595B76" w:rsidRPr="00C1603D">
        <w:t>among</w:t>
      </w:r>
      <w:r w:rsidRPr="00C1603D">
        <w:t xml:space="preserve"> adults and 94% (</w:t>
      </w:r>
      <w:r w:rsidR="00595B76" w:rsidRPr="00C1603D">
        <w:t xml:space="preserve">95% CI </w:t>
      </w:r>
      <w:r w:rsidRPr="00C1603D">
        <w:t>85%</w:t>
      </w:r>
      <w:r w:rsidR="00595B76" w:rsidRPr="00C1603D">
        <w:t xml:space="preserve"> to</w:t>
      </w:r>
      <w:r w:rsidRPr="00C1603D">
        <w:t xml:space="preserve"> 98%, threshold: 1</w:t>
      </w:r>
      <w:r w:rsidR="00595B76" w:rsidRPr="00C1603D">
        <w:t> </w:t>
      </w:r>
      <w:r w:rsidRPr="00C1603D">
        <w:t>:</w:t>
      </w:r>
      <w:r w:rsidR="00595B76" w:rsidRPr="00C1603D">
        <w:t> </w:t>
      </w:r>
      <w:r w:rsidRPr="00C1603D">
        <w:t xml:space="preserve">10) </w:t>
      </w:r>
      <w:r w:rsidR="00595B76" w:rsidRPr="00C1603D">
        <w:t xml:space="preserve">among </w:t>
      </w:r>
      <w:r w:rsidRPr="00C1603D">
        <w:t>children. To select estimates to inform the economic model</w:t>
      </w:r>
      <w:r w:rsidR="00595B76" w:rsidRPr="00C1603D">
        <w:t>,</w:t>
      </w:r>
      <w:r w:rsidRPr="00C1603D">
        <w:t xml:space="preserve"> we restricted to studies that had evaluated the two main serological tests of interest </w:t>
      </w:r>
      <w:r w:rsidR="00595B76" w:rsidRPr="00C1603D">
        <w:t>(</w:t>
      </w:r>
      <w:r w:rsidRPr="00C1603D">
        <w:t>IgA tTG and IgA EMA, alone and in combination</w:t>
      </w:r>
      <w:r w:rsidR="00595B76" w:rsidRPr="00C1603D">
        <w:t>)</w:t>
      </w:r>
      <w:r w:rsidRPr="00C1603D">
        <w:t xml:space="preserve"> at the same threshold. This was to ensure that estimates used in the economic model were directly </w:t>
      </w:r>
      <w:r w:rsidRPr="00C1603D">
        <w:lastRenderedPageBreak/>
        <w:t>comparable. None of the studies that evaluated both tests alone and in combination reported accuracy estimates for the same thresholds. We therefore selected the studies that were judged</w:t>
      </w:r>
      <w:r w:rsidR="00595B76" w:rsidRPr="00C1603D">
        <w:t xml:space="preserve"> to be</w:t>
      </w:r>
      <w:r w:rsidRPr="00C1603D">
        <w:t xml:space="preserve"> at</w:t>
      </w:r>
      <w:r w:rsidR="00595B76" w:rsidRPr="00C1603D">
        <w:t xml:space="preserve"> the</w:t>
      </w:r>
      <w:r w:rsidRPr="00C1603D">
        <w:t xml:space="preserve"> lowest risk of bias and that had the largest sample sizes. This means that evidence to inform the economic model is derived from two studies</w:t>
      </w:r>
      <w:r w:rsidR="00595B76" w:rsidRPr="00C1603D">
        <w:t>,</w:t>
      </w:r>
      <w:r w:rsidRPr="00C1603D">
        <w:t xml:space="preserve"> one </w:t>
      </w:r>
      <w:r w:rsidR="00595B76" w:rsidRPr="00C1603D">
        <w:t>with</w:t>
      </w:r>
      <w:r w:rsidRPr="00C1603D">
        <w:t xml:space="preserve"> adults and one </w:t>
      </w:r>
      <w:r w:rsidR="00595B76" w:rsidRPr="00C1603D">
        <w:t>with</w:t>
      </w:r>
      <w:r w:rsidRPr="00C1603D">
        <w:t xml:space="preserve"> children, despite identifying </w:t>
      </w:r>
      <w:r w:rsidR="00595B76" w:rsidRPr="00C1603D">
        <w:t>&gt; </w:t>
      </w:r>
      <w:r w:rsidRPr="00C1603D">
        <w:t xml:space="preserve">100 studies that evaluated the accuracy of serological tests for CD. </w:t>
      </w:r>
      <w:r w:rsidR="00595B76" w:rsidRPr="00C1603D">
        <w:t>For</w:t>
      </w:r>
      <w:r w:rsidRPr="00C1603D">
        <w:t xml:space="preserve"> both adults and children, IgA tTG had the highest sensitivity, although estimates </w:t>
      </w:r>
      <w:r w:rsidR="00595B76" w:rsidRPr="00C1603D">
        <w:t>for</w:t>
      </w:r>
      <w:r w:rsidRPr="00C1603D">
        <w:t xml:space="preserve"> children were </w:t>
      </w:r>
      <w:proofErr w:type="gramStart"/>
      <w:r w:rsidRPr="00C1603D">
        <w:t>very similar</w:t>
      </w:r>
      <w:proofErr w:type="gramEnd"/>
      <w:r w:rsidRPr="00C1603D">
        <w:t xml:space="preserve">, and EMA had the highest specificity. There was </w:t>
      </w:r>
      <w:proofErr w:type="gramStart"/>
      <w:r w:rsidRPr="00C1603D">
        <w:t>little improvement</w:t>
      </w:r>
      <w:proofErr w:type="gramEnd"/>
      <w:r w:rsidRPr="00C1603D">
        <w:t xml:space="preserve"> in either sensitivity or specificity when the tests were used in combination. Despite thresholds being the same as those used in the meta-analyses for the individual tTG and EMA tests, there were minor differences between estimates from these studies and summary estimates when all studies that reported at the same thresholds were pooled.</w:t>
      </w:r>
    </w:p>
    <w:p w14:paraId="28B35D4E" w14:textId="640E87A8" w:rsidR="008B4DF8" w:rsidRPr="00C1603D" w:rsidRDefault="008B4DF8" w:rsidP="008B4DF8">
      <w:pPr>
        <w:pStyle w:val="602TextfoTextstylesTextstyles"/>
      </w:pPr>
      <w:r w:rsidRPr="00C1603D">
        <w:t xml:space="preserve">In </w:t>
      </w:r>
      <w:r w:rsidRPr="00C1603D">
        <w:rPr>
          <w:i/>
          <w:iCs/>
        </w:rPr>
        <w:t>Chapter 6</w:t>
      </w:r>
      <w:r w:rsidRPr="00C1603D">
        <w:t xml:space="preserve">, we estimated the accuracy of HLA-DQ2 and/or </w:t>
      </w:r>
      <w:r w:rsidR="00595B76" w:rsidRPr="00C1603D">
        <w:t>-</w:t>
      </w:r>
      <w:r w:rsidRPr="00C1603D">
        <w:t xml:space="preserve">DQ8 to diagnose CD. Summary sensitivity was </w:t>
      </w:r>
      <w:proofErr w:type="gramStart"/>
      <w:r w:rsidRPr="00C1603D">
        <w:t>very high</w:t>
      </w:r>
      <w:proofErr w:type="gramEnd"/>
      <w:r w:rsidR="00595B76" w:rsidRPr="00C1603D">
        <w:t>,</w:t>
      </w:r>
      <w:r w:rsidRPr="00C1603D">
        <w:t xml:space="preserve"> at 99% (</w:t>
      </w:r>
      <w:r w:rsidR="00595B76" w:rsidRPr="00C1603D">
        <w:t xml:space="preserve">95% CI </w:t>
      </w:r>
      <w:r w:rsidRPr="00C1603D">
        <w:t>83%</w:t>
      </w:r>
      <w:r w:rsidR="00595B76" w:rsidRPr="00C1603D">
        <w:t xml:space="preserve"> to</w:t>
      </w:r>
      <w:r w:rsidRPr="00C1603D">
        <w:t xml:space="preserve"> 100%)</w:t>
      </w:r>
      <w:r w:rsidR="00595B76" w:rsidRPr="00C1603D">
        <w:t>,</w:t>
      </w:r>
      <w:r w:rsidRPr="00C1603D">
        <w:t xml:space="preserve"> and specificity </w:t>
      </w:r>
      <w:r w:rsidR="00595B76" w:rsidRPr="00C1603D">
        <w:t>was</w:t>
      </w:r>
      <w:r w:rsidRPr="00C1603D">
        <w:t xml:space="preserve"> 56% (</w:t>
      </w:r>
      <w:r w:rsidR="00595B76" w:rsidRPr="00C1603D">
        <w:t xml:space="preserve">95% CI </w:t>
      </w:r>
      <w:r w:rsidRPr="00C1603D">
        <w:t>50%</w:t>
      </w:r>
      <w:r w:rsidR="00595B76" w:rsidRPr="00C1603D">
        <w:t xml:space="preserve"> to</w:t>
      </w:r>
      <w:r w:rsidRPr="00C1603D">
        <w:t xml:space="preserve"> 61%). The high sensitivity suggests</w:t>
      </w:r>
      <w:r w:rsidR="00595B76" w:rsidRPr="00C1603D">
        <w:t xml:space="preserve"> that</w:t>
      </w:r>
      <w:r w:rsidRPr="00C1603D">
        <w:t xml:space="preserve"> HLA genotyping would be a useful test to rule out CD. However, because of the low specificity</w:t>
      </w:r>
      <w:r w:rsidR="00595B76" w:rsidRPr="00C1603D">
        <w:t>,</w:t>
      </w:r>
      <w:r w:rsidRPr="00C1603D">
        <w:t xml:space="preserve"> this test needs to be used in combination with other tests to diagnose CD.</w:t>
      </w:r>
    </w:p>
    <w:p w14:paraId="040F4338" w14:textId="648C4E8C" w:rsidR="008B4DF8" w:rsidRPr="00C1603D" w:rsidRDefault="008B4DF8" w:rsidP="008B4DF8">
      <w:pPr>
        <w:pStyle w:val="602TextfoTextstylesTextstyles"/>
      </w:pPr>
      <w:r w:rsidRPr="00C1603D">
        <w:t xml:space="preserve">In </w:t>
      </w:r>
      <w:r w:rsidRPr="00C1603D">
        <w:rPr>
          <w:i/>
          <w:iCs/>
        </w:rPr>
        <w:t>Chapter 7</w:t>
      </w:r>
      <w:r w:rsidRPr="00C1603D">
        <w:t xml:space="preserve">, we used collaborative work with patients and an online survey to identify the level of diagnostic certainty people want to have for CD testing and starting treatment. Survey respondents wanted to be </w:t>
      </w:r>
      <w:r w:rsidR="00595B76" w:rsidRPr="00C1603D">
        <w:t xml:space="preserve">a median of </w:t>
      </w:r>
      <w:r w:rsidRPr="00C1603D">
        <w:t>66% (IQR 33</w:t>
      </w:r>
      <w:r w:rsidR="00595B76" w:rsidRPr="00C1603D">
        <w:t>–</w:t>
      </w:r>
      <w:r w:rsidRPr="00C1603D">
        <w:t>90%) certain of the blood test result before starting a gluten-free diet if they were asked to imagine that they had CD symptoms. Without symptoms, respondents wanted to be more certain of the blood test result</w:t>
      </w:r>
      <w:r w:rsidR="00595B76" w:rsidRPr="00C1603D">
        <w:t xml:space="preserve"> before committing to a gluten-free diet:</w:t>
      </w:r>
      <w:r w:rsidRPr="00C1603D">
        <w:t xml:space="preserve"> </w:t>
      </w:r>
      <w:r w:rsidR="00595B76" w:rsidRPr="00C1603D">
        <w:t>median</w:t>
      </w:r>
      <w:r w:rsidRPr="00C1603D">
        <w:t xml:space="preserve"> 90% (IQR 66</w:t>
      </w:r>
      <w:r w:rsidR="00595B76" w:rsidRPr="00C1603D">
        <w:t>–</w:t>
      </w:r>
      <w:r w:rsidRPr="00C1603D">
        <w:t>99%). However, a higher proportion of respondents opted to wait for a confirmation biopsy</w:t>
      </w:r>
      <w:r w:rsidR="00595B76" w:rsidRPr="00C1603D">
        <w:t>,</w:t>
      </w:r>
      <w:r w:rsidRPr="00C1603D">
        <w:t xml:space="preserve"> if given the option</w:t>
      </w:r>
      <w:r w:rsidR="00595B76" w:rsidRPr="00C1603D">
        <w:t>,</w:t>
      </w:r>
      <w:r w:rsidRPr="00C1603D">
        <w:t xml:space="preserve"> instead of starting a gluten-free diet immediately, even if a hypothetical blood test gave 75</w:t>
      </w:r>
      <w:r w:rsidRPr="00C1603D">
        <w:rPr>
          <w:color w:val="00B0F0"/>
        </w:rPr>
        <w:t>–9</w:t>
      </w:r>
      <w:r w:rsidRPr="00C1603D">
        <w:t xml:space="preserve">0% certainty. The </w:t>
      </w:r>
      <w:r w:rsidR="00F4585F" w:rsidRPr="00C1603D">
        <w:t>free-text</w:t>
      </w:r>
      <w:r w:rsidRPr="00C1603D">
        <w:t xml:space="preserve"> answers revealed no barriers to a blood test. Reasons for opting for a confirmation biopsy were to feel more confident about the diagnosis or to get an official diagnosis. Barriers to a biopsy were that it was invasive and unpleasant. Waiting times did not emerge as an important barrier for having a biopsy. There was large variation in attitudes towards following a gluten-free diet. Some respondents were willing to start the diet </w:t>
      </w:r>
      <w:r w:rsidR="00595B76" w:rsidRPr="00C1603D">
        <w:t xml:space="preserve">only </w:t>
      </w:r>
      <w:r w:rsidRPr="00C1603D">
        <w:t xml:space="preserve">with </w:t>
      </w:r>
      <w:proofErr w:type="gramStart"/>
      <w:r w:rsidRPr="00C1603D">
        <w:t>high risk</w:t>
      </w:r>
      <w:proofErr w:type="gramEnd"/>
      <w:r w:rsidRPr="00C1603D">
        <w:t xml:space="preserve"> or great certainty of</w:t>
      </w:r>
      <w:r w:rsidR="00595B76" w:rsidRPr="00C1603D">
        <w:t xml:space="preserve"> having</w:t>
      </w:r>
      <w:r w:rsidRPr="00C1603D">
        <w:t xml:space="preserve"> CD, </w:t>
      </w:r>
      <w:r w:rsidRPr="00C1603D">
        <w:rPr>
          <w:color w:val="00B0F0"/>
        </w:rPr>
        <w:t>whe</w:t>
      </w:r>
      <w:r w:rsidR="00595B76" w:rsidRPr="00C1603D">
        <w:rPr>
          <w:color w:val="00B0F0"/>
        </w:rPr>
        <w:t>reas</w:t>
      </w:r>
      <w:r w:rsidRPr="00C1603D">
        <w:t xml:space="preserve"> others were happy to try it without having a diagnosis or when at very low risk of</w:t>
      </w:r>
      <w:r w:rsidR="00595B76" w:rsidRPr="00C1603D">
        <w:t xml:space="preserve"> having</w:t>
      </w:r>
      <w:r w:rsidRPr="00C1603D">
        <w:t xml:space="preserve"> CD.</w:t>
      </w:r>
    </w:p>
    <w:p w14:paraId="58927291" w14:textId="64E1229B" w:rsidR="008B4DF8" w:rsidRPr="00C1603D" w:rsidRDefault="008B4DF8" w:rsidP="008B4DF8">
      <w:pPr>
        <w:pStyle w:val="602TextfoTextstylesTextstyles"/>
      </w:pPr>
      <w:r w:rsidRPr="00C1603D">
        <w:t xml:space="preserve">The findings from all previous chapters informed the cost-effectiveness analysis presented in </w:t>
      </w:r>
      <w:r w:rsidRPr="00C1603D">
        <w:rPr>
          <w:i/>
          <w:iCs/>
        </w:rPr>
        <w:t>Chapter 8</w:t>
      </w:r>
      <w:r w:rsidRPr="00C1603D">
        <w:t xml:space="preserve">. We used a decision tree and discrete-time cohort Markov model to compare the cost-effectiveness of </w:t>
      </w:r>
      <w:r w:rsidR="0087034D" w:rsidRPr="00C1603D">
        <w:t>case-finding</w:t>
      </w:r>
      <w:r w:rsidRPr="00C1603D">
        <w:t xml:space="preserve"> strategies at </w:t>
      </w:r>
      <w:proofErr w:type="gramStart"/>
      <w:r w:rsidRPr="00C1603D">
        <w:t>different levels</w:t>
      </w:r>
      <w:proofErr w:type="gramEnd"/>
      <w:r w:rsidRPr="00C1603D">
        <w:t xml:space="preserve"> of pre-test probability separately for men, women and children. </w:t>
      </w:r>
      <w:r w:rsidR="00CF12CD" w:rsidRPr="00C1603D">
        <w:t>For</w:t>
      </w:r>
      <w:r w:rsidRPr="00C1603D">
        <w:t xml:space="preserve"> adult men and women</w:t>
      </w:r>
      <w:r w:rsidR="00CF12CD" w:rsidRPr="00C1603D">
        <w:t>,</w:t>
      </w:r>
      <w:r w:rsidRPr="00C1603D">
        <w:t xml:space="preserve"> and using serological testing alone, a 1% pre-test probability (equivalent to population screening) had </w:t>
      </w:r>
      <w:r w:rsidR="00CF12CD" w:rsidRPr="00C1603D">
        <w:t xml:space="preserve">the </w:t>
      </w:r>
      <w:r w:rsidRPr="00C1603D">
        <w:t xml:space="preserve">highest net benefit at </w:t>
      </w:r>
      <w:r w:rsidR="00540842" w:rsidRPr="00C1603D">
        <w:t>£20,000 per QALY</w:t>
      </w:r>
      <w:r w:rsidRPr="00C1603D">
        <w:t xml:space="preserve">, with </w:t>
      </w:r>
      <w:r w:rsidR="00CF12CD" w:rsidRPr="00C1603D">
        <w:t xml:space="preserve">an </w:t>
      </w:r>
      <w:r w:rsidRPr="00C1603D">
        <w:t>incremental net benefit</w:t>
      </w:r>
      <w:r w:rsidR="00CF12CD" w:rsidRPr="00C1603D">
        <w:t>,</w:t>
      </w:r>
      <w:r w:rsidRPr="00C1603D">
        <w:t xml:space="preserve"> relative to no screening</w:t>
      </w:r>
      <w:r w:rsidR="00CF12CD" w:rsidRPr="00C1603D">
        <w:t>,</w:t>
      </w:r>
      <w:r w:rsidRPr="00C1603D">
        <w:t xml:space="preserve"> of £24,331 (95% CrI </w:t>
      </w:r>
      <w:r w:rsidR="00CF12CD" w:rsidRPr="00C1603D">
        <w:t>£</w:t>
      </w:r>
      <w:r w:rsidRPr="00C1603D">
        <w:t>5080</w:t>
      </w:r>
      <w:r w:rsidR="00CF12CD" w:rsidRPr="00C1603D">
        <w:t xml:space="preserve"> to</w:t>
      </w:r>
      <w:r w:rsidRPr="00C1603D">
        <w:t xml:space="preserve"> </w:t>
      </w:r>
      <w:r w:rsidR="00CF12CD" w:rsidRPr="00C1603D">
        <w:t>£</w:t>
      </w:r>
      <w:r w:rsidRPr="00C1603D">
        <w:t>56</w:t>
      </w:r>
      <w:r w:rsidR="00CF12CD" w:rsidRPr="00C1603D">
        <w:t>,</w:t>
      </w:r>
      <w:r w:rsidRPr="00C1603D">
        <w:t xml:space="preserve">493) </w:t>
      </w:r>
      <w:r w:rsidR="00CF12CD" w:rsidRPr="00C1603D">
        <w:t>for</w:t>
      </w:r>
      <w:r w:rsidRPr="00C1603D">
        <w:t xml:space="preserve"> men and £24,382 (</w:t>
      </w:r>
      <w:r w:rsidR="00CF12CD" w:rsidRPr="00C1603D">
        <w:t>95% CrI £</w:t>
      </w:r>
      <w:r w:rsidRPr="00C1603D">
        <w:t>4829</w:t>
      </w:r>
      <w:r w:rsidR="00CF12CD" w:rsidRPr="00C1603D">
        <w:t xml:space="preserve"> to</w:t>
      </w:r>
      <w:r w:rsidRPr="00C1603D">
        <w:t xml:space="preserve"> </w:t>
      </w:r>
      <w:r w:rsidR="00CF12CD" w:rsidRPr="00C1603D">
        <w:t>£</w:t>
      </w:r>
      <w:r w:rsidRPr="00C1603D">
        <w:t>59</w:t>
      </w:r>
      <w:r w:rsidR="00CF12CD" w:rsidRPr="00C1603D">
        <w:t>,</w:t>
      </w:r>
      <w:r w:rsidRPr="00C1603D">
        <w:t xml:space="preserve">154) </w:t>
      </w:r>
      <w:r w:rsidR="00CF12CD" w:rsidRPr="00C1603D">
        <w:t>for</w:t>
      </w:r>
      <w:r w:rsidRPr="00C1603D">
        <w:t xml:space="preserve"> women. Serological tests (IgA EMA and IgA tTG) had similar cost-effectiveness and there was limited benefit to including both EMA and tTG. The </w:t>
      </w:r>
      <w:r w:rsidR="00883186" w:rsidRPr="00C1603D">
        <w:t xml:space="preserve">1% </w:t>
      </w:r>
      <w:r w:rsidRPr="00C1603D">
        <w:t xml:space="preserve">IgA tTG strategy had </w:t>
      </w:r>
      <w:r w:rsidR="00883186" w:rsidRPr="00C1603D">
        <w:t xml:space="preserve">a </w:t>
      </w:r>
      <w:proofErr w:type="gramStart"/>
      <w:r w:rsidRPr="00C1603D">
        <w:t>nearly identical</w:t>
      </w:r>
      <w:proofErr w:type="gramEnd"/>
      <w:r w:rsidRPr="00C1603D">
        <w:t xml:space="preserve"> net benefit</w:t>
      </w:r>
      <w:r w:rsidR="00883186" w:rsidRPr="00C1603D">
        <w:t xml:space="preserve"> to,</w:t>
      </w:r>
      <w:r w:rsidRPr="00C1603D">
        <w:t xml:space="preserve"> and </w:t>
      </w:r>
      <w:r w:rsidR="00883186" w:rsidRPr="00C1603D">
        <w:t xml:space="preserve">a </w:t>
      </w:r>
      <w:r w:rsidRPr="00C1603D">
        <w:t xml:space="preserve">95% CrI </w:t>
      </w:r>
      <w:r w:rsidR="00883186" w:rsidRPr="00C1603D">
        <w:t xml:space="preserve">that overlapped </w:t>
      </w:r>
      <w:r w:rsidRPr="00C1603D">
        <w:t>with</w:t>
      </w:r>
      <w:r w:rsidR="00883186" w:rsidRPr="00C1603D">
        <w:t>, those</w:t>
      </w:r>
      <w:r w:rsidRPr="00C1603D">
        <w:t xml:space="preserve"> </w:t>
      </w:r>
      <w:r w:rsidR="00883186" w:rsidRPr="00C1603D">
        <w:t xml:space="preserve">of </w:t>
      </w:r>
      <w:r w:rsidRPr="00C1603D">
        <w:t xml:space="preserve">strategies using both HLA and serological testing. </w:t>
      </w:r>
      <w:r w:rsidR="00883186" w:rsidRPr="00C1603D">
        <w:t>Moreover</w:t>
      </w:r>
      <w:r w:rsidRPr="00C1603D">
        <w:t xml:space="preserve">, none of the strategies had a probability of being </w:t>
      </w:r>
      <w:r w:rsidR="00883186" w:rsidRPr="00C1603D">
        <w:t xml:space="preserve">the </w:t>
      </w:r>
      <w:r w:rsidRPr="00C1603D">
        <w:t xml:space="preserve">most cost-effective </w:t>
      </w:r>
      <w:r w:rsidR="00883186" w:rsidRPr="00C1603D">
        <w:t>of &gt; </w:t>
      </w:r>
      <w:r w:rsidRPr="00C1603D">
        <w:t xml:space="preserve">60% </w:t>
      </w:r>
      <w:r w:rsidR="008F00D2" w:rsidRPr="00C1603D">
        <w:t>for</w:t>
      </w:r>
      <w:r w:rsidRPr="00C1603D">
        <w:t xml:space="preserve"> men or </w:t>
      </w:r>
      <w:r w:rsidR="00883186" w:rsidRPr="00C1603D">
        <w:t>&gt; </w:t>
      </w:r>
      <w:r w:rsidRPr="00C1603D">
        <w:t xml:space="preserve">50% </w:t>
      </w:r>
      <w:r w:rsidR="008F00D2" w:rsidRPr="00C1603D">
        <w:t>for</w:t>
      </w:r>
      <w:r w:rsidRPr="00C1603D">
        <w:t xml:space="preserve"> women, suggesting limited certainty that they differ in cost-effectiveness. Using IgA tTG alone with </w:t>
      </w:r>
      <w:r w:rsidR="008F00D2" w:rsidRPr="00C1603D">
        <w:t xml:space="preserve">a </w:t>
      </w:r>
      <w:r w:rsidRPr="00C1603D">
        <w:t>1% pre-test probability or any HLA plus IgA tTG strategy represents a practical combination of tests as IgA tTG is routinely available in UK laboratories, is easier to interpret and also provide</w:t>
      </w:r>
      <w:r w:rsidR="008F00D2" w:rsidRPr="00C1603D">
        <w:t>s</w:t>
      </w:r>
      <w:r w:rsidRPr="00C1603D">
        <w:t xml:space="preserve"> some indication of reversal of mucosal damage.</w:t>
      </w:r>
      <w:r w:rsidRPr="00C1603D">
        <w:rPr>
          <w:noProof/>
          <w:vertAlign w:val="superscript"/>
          <w:lang w:eastAsia="ko-KR"/>
        </w:rPr>
        <w:t>254</w:t>
      </w:r>
    </w:p>
    <w:p w14:paraId="0541F980" w14:textId="4E841D06" w:rsidR="008B4DF8" w:rsidRPr="00C1603D" w:rsidRDefault="008B4DF8" w:rsidP="008B4DF8">
      <w:pPr>
        <w:pStyle w:val="602TextfoTextstylesTextstyles"/>
      </w:pPr>
      <w:r w:rsidRPr="00C1603D">
        <w:t>The 95% CrI</w:t>
      </w:r>
      <w:r w:rsidR="008F00D2" w:rsidRPr="00C1603D">
        <w:t>s</w:t>
      </w:r>
      <w:r w:rsidRPr="00C1603D">
        <w:t xml:space="preserve"> on net QALYs, costs and net benefits were very wide and differences between optimal strategies were not substantial. </w:t>
      </w:r>
      <w:commentRangeStart w:id="453"/>
      <w:r w:rsidRPr="00C1603D">
        <w:t xml:space="preserve">Our model was limited by data on the impact of gluten-free diet on rates of osteoporosis and NHL </w:t>
      </w:r>
      <w:r w:rsidR="008F00D2" w:rsidRPr="00C1603D">
        <w:t>among</w:t>
      </w:r>
      <w:r w:rsidRPr="00C1603D">
        <w:t xml:space="preserve"> coeliac patients, and on the routine diagnosis of CD regardless of screening. </w:t>
      </w:r>
      <w:commentRangeEnd w:id="453"/>
      <w:r w:rsidR="008F00D2" w:rsidRPr="00C1603D">
        <w:rPr>
          <w:rFonts w:ascii="Times New Roman" w:hAnsi="Times New Roman" w:cs="Times New Roman"/>
          <w:color w:val="auto"/>
          <w:lang w:val="en-US"/>
        </w:rPr>
        <w:commentReference w:id="453"/>
      </w:r>
      <w:r w:rsidRPr="00C1603D">
        <w:t xml:space="preserve">We used </w:t>
      </w:r>
      <w:r w:rsidR="008F00D2" w:rsidRPr="00C1603D">
        <w:t xml:space="preserve">a </w:t>
      </w:r>
      <w:r w:rsidRPr="00C1603D">
        <w:t>value</w:t>
      </w:r>
      <w:r w:rsidR="008F00D2" w:rsidRPr="00C1603D">
        <w:t>-</w:t>
      </w:r>
      <w:r w:rsidRPr="00C1603D">
        <w:t>of</w:t>
      </w:r>
      <w:r w:rsidR="008F00D2" w:rsidRPr="00C1603D">
        <w:t>-</w:t>
      </w:r>
      <w:r w:rsidRPr="00C1603D">
        <w:t xml:space="preserve">information analysis to identify the most </w:t>
      </w:r>
      <w:r w:rsidRPr="00C1603D">
        <w:rPr>
          <w:color w:val="00B0F0"/>
        </w:rPr>
        <w:t>‘</w:t>
      </w:r>
      <w:r w:rsidRPr="00C1603D">
        <w:t>important</w:t>
      </w:r>
      <w:r w:rsidRPr="00C1603D">
        <w:rPr>
          <w:color w:val="00B0F0"/>
        </w:rPr>
        <w:t>’</w:t>
      </w:r>
      <w:r w:rsidRPr="00C1603D">
        <w:t xml:space="preserve"> uncertainties, defined by their extent of uncertainty and impact on model conclusions. This identified the probability of being eventually diagnosed regardless of screening (i.e. probability of a late diagnosis) as the most </w:t>
      </w:r>
      <w:r w:rsidRPr="00C1603D">
        <w:lastRenderedPageBreak/>
        <w:t xml:space="preserve">important uncertainty for both adult men and women. </w:t>
      </w:r>
      <w:r w:rsidR="004C5453" w:rsidRPr="00C1603D">
        <w:t>For</w:t>
      </w:r>
      <w:r w:rsidRPr="00C1603D">
        <w:t xml:space="preserve"> men, the sensitivity of HLA, </w:t>
      </w:r>
      <w:r w:rsidR="004C5453" w:rsidRPr="00C1603D">
        <w:t xml:space="preserve">the </w:t>
      </w:r>
      <w:r w:rsidRPr="00C1603D">
        <w:t xml:space="preserve">accuracy of IgA EMA and </w:t>
      </w:r>
      <w:r w:rsidR="004C5453" w:rsidRPr="00C1603D">
        <w:t xml:space="preserve">the </w:t>
      </w:r>
      <w:r w:rsidRPr="00C1603D">
        <w:t xml:space="preserve">impact of a gluten-free diet on the chance of developing osteoporosis </w:t>
      </w:r>
      <w:r w:rsidR="004C5453" w:rsidRPr="00C1603D">
        <w:t>among</w:t>
      </w:r>
      <w:r w:rsidRPr="00C1603D">
        <w:t xml:space="preserve"> coeliac patients were also important uncertainties. </w:t>
      </w:r>
      <w:r w:rsidR="004C5453" w:rsidRPr="00C1603D">
        <w:t>For</w:t>
      </w:r>
      <w:r w:rsidRPr="00C1603D">
        <w:t xml:space="preserve"> women, the only other important uncertainties were the specificity of IgA EMA and </w:t>
      </w:r>
      <w:r w:rsidR="004C5453" w:rsidRPr="00C1603D">
        <w:t xml:space="preserve">the </w:t>
      </w:r>
      <w:r w:rsidRPr="00C1603D">
        <w:t>sensitivity of HLA.</w:t>
      </w:r>
    </w:p>
    <w:p w14:paraId="4F0D484A" w14:textId="70E2D34A" w:rsidR="008B4DF8" w:rsidRPr="00C1603D" w:rsidRDefault="004C5453" w:rsidP="008B4DF8">
      <w:pPr>
        <w:pStyle w:val="602TextfoTextstylesTextstyles"/>
      </w:pPr>
      <w:r w:rsidRPr="00C1603D">
        <w:t>For</w:t>
      </w:r>
      <w:r w:rsidR="008B4DF8" w:rsidRPr="00C1603D">
        <w:t xml:space="preserve"> children, a pre-test probability of 10% with HLA plus IgA tTG had the greatest net benefit at </w:t>
      </w:r>
      <w:r w:rsidR="00540842" w:rsidRPr="00C1603D">
        <w:t>£20,000 per QALY</w:t>
      </w:r>
      <w:r w:rsidR="008B4DF8" w:rsidRPr="00C1603D">
        <w:t xml:space="preserve">, with </w:t>
      </w:r>
      <w:r w:rsidRPr="00C1603D">
        <w:t xml:space="preserve">an </w:t>
      </w:r>
      <w:r w:rsidR="008B4DF8" w:rsidRPr="00C1603D">
        <w:t>incremental net benefit</w:t>
      </w:r>
      <w:r w:rsidRPr="00C1603D">
        <w:t xml:space="preserve"> of</w:t>
      </w:r>
      <w:r w:rsidR="008B4DF8" w:rsidRPr="00C1603D">
        <w:t xml:space="preserve"> £13,090 (</w:t>
      </w:r>
      <w:r w:rsidRPr="00C1603D">
        <w:t>95% CrI £</w:t>
      </w:r>
      <w:r w:rsidR="008B4DF8" w:rsidRPr="00C1603D">
        <w:t>3929</w:t>
      </w:r>
      <w:r w:rsidRPr="00C1603D">
        <w:t xml:space="preserve"> to</w:t>
      </w:r>
      <w:r w:rsidR="008B4DF8" w:rsidRPr="00C1603D">
        <w:t xml:space="preserve"> </w:t>
      </w:r>
      <w:r w:rsidRPr="00C1603D">
        <w:t>£</w:t>
      </w:r>
      <w:r w:rsidR="008B4DF8" w:rsidRPr="00C1603D">
        <w:t>36</w:t>
      </w:r>
      <w:r w:rsidRPr="00C1603D">
        <w:t>,</w:t>
      </w:r>
      <w:r w:rsidR="008B4DF8" w:rsidRPr="00C1603D">
        <w:t>260)</w:t>
      </w:r>
      <w:r w:rsidRPr="00C1603D">
        <w:t>,</w:t>
      </w:r>
      <w:r w:rsidR="008B4DF8" w:rsidRPr="00C1603D">
        <w:t xml:space="preserve"> relative to no screening. This also had a probability of 60</w:t>
      </w:r>
      <w:r w:rsidR="008B4DF8" w:rsidRPr="00C1603D">
        <w:rPr>
          <w:color w:val="00B0F0"/>
        </w:rPr>
        <w:t>–8</w:t>
      </w:r>
      <w:r w:rsidR="008B4DF8" w:rsidRPr="00C1603D">
        <w:t xml:space="preserve">0% of being cost-effective </w:t>
      </w:r>
      <w:r w:rsidRPr="00C1603D">
        <w:t>at a willingness-to-pay threshold of &gt; </w:t>
      </w:r>
      <w:r w:rsidR="008B4DF8" w:rsidRPr="00C1603D">
        <w:t>£10,000</w:t>
      </w:r>
      <w:r w:rsidRPr="00C1603D">
        <w:t xml:space="preserve"> per </w:t>
      </w:r>
      <w:r w:rsidR="008B4DF8" w:rsidRPr="00C1603D">
        <w:t xml:space="preserve">QALY. As </w:t>
      </w:r>
      <w:r w:rsidRPr="00C1603D">
        <w:t>with</w:t>
      </w:r>
      <w:r w:rsidR="008B4DF8" w:rsidRPr="00C1603D">
        <w:t xml:space="preserve"> adults, the 95% CrI</w:t>
      </w:r>
      <w:r w:rsidRPr="00C1603D">
        <w:t>s</w:t>
      </w:r>
      <w:r w:rsidR="008B4DF8" w:rsidRPr="00C1603D">
        <w:t xml:space="preserve"> were very wide, indicating substantial uncertainty in our results. The 20% HLA plus IgA tTG and 2% IgA tTG alone strategies also had probabilities of about 20% of being</w:t>
      </w:r>
      <w:r w:rsidRPr="00C1603D">
        <w:t xml:space="preserve"> the</w:t>
      </w:r>
      <w:r w:rsidR="008B4DF8" w:rsidRPr="00C1603D">
        <w:t xml:space="preserve"> most cost-effective. The greatest and most influential uncertainties </w:t>
      </w:r>
      <w:r w:rsidRPr="00C1603D">
        <w:t>for</w:t>
      </w:r>
      <w:r w:rsidR="008B4DF8" w:rsidRPr="00C1603D">
        <w:t xml:space="preserve"> children, as identified by </w:t>
      </w:r>
      <w:r w:rsidRPr="00C1603D">
        <w:t xml:space="preserve">a </w:t>
      </w:r>
      <w:r w:rsidR="008B4DF8" w:rsidRPr="00C1603D">
        <w:t>valu</w:t>
      </w:r>
      <w:r w:rsidRPr="00C1603D">
        <w:t>e-</w:t>
      </w:r>
      <w:r w:rsidR="008B4DF8" w:rsidRPr="00C1603D">
        <w:t>of</w:t>
      </w:r>
      <w:r w:rsidRPr="00C1603D">
        <w:t>-</w:t>
      </w:r>
      <w:r w:rsidR="008B4DF8" w:rsidRPr="00C1603D">
        <w:t>information analysis, were the probability of being eventually diagnosed regardless of screening, and the specificity of IgA EMA.</w:t>
      </w:r>
    </w:p>
    <w:p w14:paraId="4B9B1FD7" w14:textId="4938B701" w:rsidR="008B4DF8" w:rsidRPr="00C1603D" w:rsidRDefault="004C5453" w:rsidP="008B4DF8">
      <w:pPr>
        <w:pStyle w:val="602TextfoTextstylesTextstyles"/>
      </w:pPr>
      <w:commentRangeStart w:id="454"/>
      <w:r w:rsidRPr="00C1603D">
        <w:t>For</w:t>
      </w:r>
      <w:r w:rsidR="008B4DF8" w:rsidRPr="00C1603D">
        <w:t xml:space="preserve"> adults, the greatest difference between strategies was </w:t>
      </w:r>
      <w:r w:rsidR="00E91C6E" w:rsidRPr="00C1603D">
        <w:t>between</w:t>
      </w:r>
      <w:r w:rsidR="008B4DF8" w:rsidRPr="00C1603D">
        <w:t xml:space="preserve"> the time in</w:t>
      </w:r>
      <w:r w:rsidR="00E91C6E" w:rsidRPr="00C1603D">
        <w:t xml:space="preserve"> the</w:t>
      </w:r>
      <w:r w:rsidR="008B4DF8" w:rsidRPr="00C1603D">
        <w:t xml:space="preserve"> undiagnosed CD</w:t>
      </w:r>
      <w:r w:rsidR="00E91C6E" w:rsidRPr="00C1603D">
        <w:t>,</w:t>
      </w:r>
      <w:r w:rsidR="008B4DF8" w:rsidRPr="00C1603D">
        <w:t xml:space="preserve"> osteoporosis state and </w:t>
      </w:r>
      <w:r w:rsidR="00E91C6E" w:rsidRPr="00C1603D">
        <w:t xml:space="preserve">the </w:t>
      </w:r>
      <w:r w:rsidR="008B4DF8" w:rsidRPr="00C1603D">
        <w:t xml:space="preserve">time in </w:t>
      </w:r>
      <w:r w:rsidR="00E91C6E" w:rsidRPr="00C1603D">
        <w:t xml:space="preserve">the </w:t>
      </w:r>
      <w:r w:rsidR="008B4DF8" w:rsidRPr="00C1603D">
        <w:t>CD</w:t>
      </w:r>
      <w:r w:rsidR="00E91C6E" w:rsidRPr="00C1603D">
        <w:t>,</w:t>
      </w:r>
      <w:r w:rsidR="008B4DF8" w:rsidRPr="00C1603D">
        <w:t xml:space="preserve"> gluten-free diet</w:t>
      </w:r>
      <w:r w:rsidR="00E91C6E" w:rsidRPr="00C1603D">
        <w:t>,</w:t>
      </w:r>
      <w:r w:rsidR="008B4DF8" w:rsidRPr="00C1603D">
        <w:t xml:space="preserve"> no</w:t>
      </w:r>
      <w:r w:rsidR="00E91C6E" w:rsidRPr="00C1603D">
        <w:t>-</w:t>
      </w:r>
      <w:r w:rsidR="008B4DF8" w:rsidRPr="00C1603D">
        <w:t>complications</w:t>
      </w:r>
      <w:r w:rsidR="00E91C6E" w:rsidRPr="00C1603D">
        <w:t xml:space="preserve"> state</w:t>
      </w:r>
      <w:r w:rsidR="008B4DF8" w:rsidRPr="00C1603D">
        <w:t xml:space="preserve">. </w:t>
      </w:r>
      <w:commentRangeEnd w:id="454"/>
      <w:r w:rsidR="00E91C6E" w:rsidRPr="00C1603D">
        <w:rPr>
          <w:rFonts w:ascii="Times New Roman" w:hAnsi="Times New Roman" w:cs="Times New Roman"/>
          <w:color w:val="auto"/>
          <w:lang w:val="en-US"/>
        </w:rPr>
        <w:commentReference w:id="454"/>
      </w:r>
      <w:r w:rsidR="008B4DF8" w:rsidRPr="00C1603D">
        <w:t>This was supported by the EVPPI analysis</w:t>
      </w:r>
      <w:r w:rsidR="000D01D2" w:rsidRPr="00C1603D">
        <w:t>,</w:t>
      </w:r>
      <w:r w:rsidR="008B4DF8" w:rsidRPr="00C1603D">
        <w:t xml:space="preserve"> which found </w:t>
      </w:r>
      <w:r w:rsidR="009C357E" w:rsidRPr="00C1603D">
        <w:t xml:space="preserve">the </w:t>
      </w:r>
      <w:r w:rsidR="008B4DF8" w:rsidRPr="00C1603D">
        <w:t xml:space="preserve">probability of late diagnosis (i.e. the parameter that drives time in undiagnosed states) to be </w:t>
      </w:r>
      <w:r w:rsidR="009C357E" w:rsidRPr="00C1603D">
        <w:t xml:space="preserve">the </w:t>
      </w:r>
      <w:r w:rsidR="008B4DF8" w:rsidRPr="00C1603D">
        <w:t>most influential. For children</w:t>
      </w:r>
      <w:r w:rsidR="009C357E" w:rsidRPr="00C1603D">
        <w:t>,</w:t>
      </w:r>
      <w:r w:rsidR="008B4DF8" w:rsidRPr="00C1603D">
        <w:t xml:space="preserve"> the time in</w:t>
      </w:r>
      <w:r w:rsidR="009C357E" w:rsidRPr="00C1603D">
        <w:t xml:space="preserve"> the</w:t>
      </w:r>
      <w:r w:rsidR="008B4DF8" w:rsidRPr="00C1603D">
        <w:t xml:space="preserve"> CD</w:t>
      </w:r>
      <w:r w:rsidR="009C357E" w:rsidRPr="00C1603D">
        <w:t>,</w:t>
      </w:r>
      <w:r w:rsidR="008B4DF8" w:rsidRPr="00C1603D">
        <w:t xml:space="preserve"> gluten-free diet</w:t>
      </w:r>
      <w:r w:rsidR="009C357E" w:rsidRPr="00C1603D">
        <w:t>,</w:t>
      </w:r>
      <w:r w:rsidR="008B4DF8" w:rsidRPr="00C1603D">
        <w:t xml:space="preserve"> no</w:t>
      </w:r>
      <w:r w:rsidR="009C357E" w:rsidRPr="00C1603D">
        <w:t>-</w:t>
      </w:r>
      <w:r w:rsidR="008B4DF8" w:rsidRPr="00C1603D">
        <w:t>complication</w:t>
      </w:r>
      <w:r w:rsidR="009C357E" w:rsidRPr="00C1603D">
        <w:t>s state</w:t>
      </w:r>
      <w:r w:rsidR="008B4DF8" w:rsidRPr="00C1603D">
        <w:t xml:space="preserve"> was</w:t>
      </w:r>
      <w:r w:rsidR="009C357E" w:rsidRPr="00C1603D">
        <w:t>,</w:t>
      </w:r>
      <w:r w:rsidR="008B4DF8" w:rsidRPr="00C1603D">
        <w:t xml:space="preserve"> again</w:t>
      </w:r>
      <w:r w:rsidR="009C357E" w:rsidRPr="00C1603D">
        <w:t>,</w:t>
      </w:r>
      <w:r w:rsidR="008B4DF8" w:rsidRPr="00C1603D">
        <w:t xml:space="preserve"> indicated to be important by both time in states and EVPPI. The effect of</w:t>
      </w:r>
      <w:r w:rsidR="0059725D" w:rsidRPr="00C1603D">
        <w:t xml:space="preserve"> a</w:t>
      </w:r>
      <w:r w:rsidR="008B4DF8" w:rsidRPr="00C1603D">
        <w:t xml:space="preserve"> gluten-free diet on osteoporosis rates was identified as important by </w:t>
      </w:r>
      <w:r w:rsidR="0059725D" w:rsidRPr="00C1603D">
        <w:t xml:space="preserve">the </w:t>
      </w:r>
      <w:r w:rsidR="008B4DF8" w:rsidRPr="00C1603D">
        <w:t xml:space="preserve">EVPPI analysis </w:t>
      </w:r>
      <w:r w:rsidR="0059725D" w:rsidRPr="00C1603D">
        <w:t>for</w:t>
      </w:r>
      <w:r w:rsidR="008B4DF8" w:rsidRPr="00C1603D">
        <w:t xml:space="preserve"> children, </w:t>
      </w:r>
      <w:r w:rsidR="0059725D" w:rsidRPr="00C1603D">
        <w:t xml:space="preserve">which is </w:t>
      </w:r>
      <w:r w:rsidR="008B4DF8" w:rsidRPr="00C1603D">
        <w:t>likely</w:t>
      </w:r>
      <w:r w:rsidR="0059725D" w:rsidRPr="00C1603D">
        <w:t xml:space="preserve"> to be</w:t>
      </w:r>
      <w:r w:rsidR="008B4DF8" w:rsidRPr="00C1603D">
        <w:t xml:space="preserve"> explained by their greater time to benefit from</w:t>
      </w:r>
      <w:r w:rsidR="0059725D" w:rsidRPr="00C1603D">
        <w:t xml:space="preserve"> a</w:t>
      </w:r>
      <w:r w:rsidR="008B4DF8" w:rsidRPr="00C1603D">
        <w:t xml:space="preserve"> gluten-free diet and avoid subsequent osteoporosis.</w:t>
      </w:r>
    </w:p>
    <w:p w14:paraId="19215698" w14:textId="7B326684" w:rsidR="008B4DF8" w:rsidRPr="00C1603D" w:rsidRDefault="008B4DF8" w:rsidP="008B4DF8">
      <w:pPr>
        <w:pStyle w:val="602TextfoTextstylesTextstyles"/>
      </w:pPr>
      <w:r w:rsidRPr="00C1603D">
        <w:t>The total population EVPI was £25.7</w:t>
      </w:r>
      <w:r w:rsidR="0059725D" w:rsidRPr="00C1603D">
        <w:t>M for men</w:t>
      </w:r>
      <w:r w:rsidRPr="00C1603D">
        <w:t>, £79.0</w:t>
      </w:r>
      <w:r w:rsidR="0059725D" w:rsidRPr="00C1603D">
        <w:t>M for women</w:t>
      </w:r>
      <w:r w:rsidRPr="00C1603D">
        <w:t xml:space="preserve"> and £18.4</w:t>
      </w:r>
      <w:r w:rsidR="0059725D" w:rsidRPr="00C1603D">
        <w:t>M for children</w:t>
      </w:r>
      <w:r w:rsidRPr="00C1603D">
        <w:t xml:space="preserve">, indicating substantial potential value of further research. The EVPPI analyses </w:t>
      </w:r>
      <w:r w:rsidR="007E79E9" w:rsidRPr="00C1603D">
        <w:t>for</w:t>
      </w:r>
      <w:r w:rsidRPr="00C1603D">
        <w:t xml:space="preserve"> adults indicated up to three times as much value </w:t>
      </w:r>
      <w:r w:rsidR="007E79E9" w:rsidRPr="00C1603D">
        <w:t>among</w:t>
      </w:r>
      <w:r w:rsidRPr="00C1603D">
        <w:t xml:space="preserve"> women as men. However, in both populations there was substantial potential value in research on the probability of late diagnosis and the accuracy of serological and genetic tests. The population EVPPI estimates </w:t>
      </w:r>
      <w:r w:rsidR="00067139" w:rsidRPr="00C1603D">
        <w:t>for</w:t>
      </w:r>
      <w:r w:rsidRPr="00C1603D">
        <w:t xml:space="preserve"> children were lower than </w:t>
      </w:r>
      <w:r w:rsidR="00067139" w:rsidRPr="00C1603D">
        <w:t>for</w:t>
      </w:r>
      <w:r w:rsidRPr="00C1603D">
        <w:t xml:space="preserve"> adult men or women</w:t>
      </w:r>
      <w:r w:rsidR="00067139" w:rsidRPr="00C1603D">
        <w:t>,</w:t>
      </w:r>
      <w:r w:rsidRPr="00C1603D">
        <w:t xml:space="preserve"> but probability of late diagnosis and test accuracies again came out as most important for future research. To prioritise optimal further research, expected value of sample information should be calculated for suggested research designs.</w:t>
      </w:r>
      <w:r w:rsidRPr="00C1603D">
        <w:rPr>
          <w:noProof/>
          <w:vertAlign w:val="superscript"/>
        </w:rPr>
        <w:t>268</w:t>
      </w:r>
    </w:p>
    <w:p w14:paraId="2F03D6BE" w14:textId="77777777" w:rsidR="008B4DF8" w:rsidRPr="00C1603D" w:rsidRDefault="008B4DF8" w:rsidP="008B4DF8">
      <w:pPr>
        <w:pStyle w:val="52AheadHeadingsHeadingstyles"/>
      </w:pPr>
      <w:bookmarkStart w:id="455" w:name="_Toc99539907"/>
      <w:r w:rsidRPr="00C1603D">
        <w:t>Strengths and limitations</w:t>
      </w:r>
      <w:bookmarkEnd w:id="455"/>
    </w:p>
    <w:p w14:paraId="4152027A" w14:textId="0E85ECFE" w:rsidR="008B4DF8" w:rsidRPr="00C1603D" w:rsidRDefault="008B4DF8" w:rsidP="008B4DF8">
      <w:pPr>
        <w:pStyle w:val="602TextfoTextstylesTextstyles"/>
      </w:pPr>
      <w:r w:rsidRPr="00C1603D">
        <w:t>A key strength of the systematic reviews and meta-analyses was that we applied a robust methodological approach following internationally recognised systematic review guidance. We used sensitive literature search strategies, and study selection was performed by at least two reviewers independently. Data extraction was performed by one reviewer and checked by a second to ensure accuracy and completeness. We conducted detailed risk</w:t>
      </w:r>
      <w:r w:rsidR="001F6AB5" w:rsidRPr="00C1603D">
        <w:t>-</w:t>
      </w:r>
      <w:r w:rsidRPr="00C1603D">
        <w:t>of</w:t>
      </w:r>
      <w:r w:rsidR="001F6AB5" w:rsidRPr="00C1603D">
        <w:t>-</w:t>
      </w:r>
      <w:r w:rsidRPr="00C1603D">
        <w:t>bias assessment</w:t>
      </w:r>
      <w:r w:rsidR="001F6AB5" w:rsidRPr="00C1603D">
        <w:t>s</w:t>
      </w:r>
      <w:r w:rsidRPr="00C1603D">
        <w:t xml:space="preserve"> using a validated tool.</w:t>
      </w:r>
      <w:r w:rsidRPr="00C1603D">
        <w:rPr>
          <w:noProof/>
          <w:vertAlign w:val="superscript"/>
        </w:rPr>
        <w:t>29</w:t>
      </w:r>
      <w:r w:rsidRPr="00C1603D">
        <w:rPr>
          <w:noProof/>
        </w:rPr>
        <w:t xml:space="preserve"> </w:t>
      </w:r>
      <w:r w:rsidRPr="00C1603D">
        <w:t xml:space="preserve">We applied stringent inclusion criteria to minimise bias. Syntheses of studies </w:t>
      </w:r>
      <w:r w:rsidR="001F6AB5" w:rsidRPr="00C1603D">
        <w:t>were</w:t>
      </w:r>
      <w:r w:rsidRPr="00C1603D">
        <w:t xml:space="preserve"> carried out in line with Cochrane</w:t>
      </w:r>
      <w:r w:rsidR="001F6AB5" w:rsidRPr="00C1603D">
        <w:t>-</w:t>
      </w:r>
      <w:r w:rsidRPr="00C1603D">
        <w:t>recommended methods and sensitivity analyses were performed to explore heterogeneity.</w:t>
      </w:r>
      <w:r w:rsidRPr="00C1603D">
        <w:rPr>
          <w:noProof/>
          <w:vertAlign w:val="superscript"/>
        </w:rPr>
        <w:t>22,23</w:t>
      </w:r>
    </w:p>
    <w:p w14:paraId="0235D8CB" w14:textId="39352A97" w:rsidR="008B4DF8" w:rsidRPr="00C1603D" w:rsidRDefault="001F6AB5" w:rsidP="008B4DF8">
      <w:pPr>
        <w:pStyle w:val="602TextfoTextstylesTextstyles"/>
      </w:pPr>
      <w:r w:rsidRPr="00C1603D">
        <w:t>For</w:t>
      </w:r>
      <w:r w:rsidR="008B4DF8" w:rsidRPr="00C1603D">
        <w:t xml:space="preserve"> the diagnostic indicator (</w:t>
      </w:r>
      <w:r w:rsidRPr="00C1603D">
        <w:t xml:space="preserve">see </w:t>
      </w:r>
      <w:r w:rsidR="008B4DF8" w:rsidRPr="00C1603D">
        <w:rPr>
          <w:i/>
          <w:iCs/>
        </w:rPr>
        <w:t>Chapter 3</w:t>
      </w:r>
      <w:r w:rsidR="008B4DF8" w:rsidRPr="00C1603D">
        <w:t>) and accuracy of serological test reviews (</w:t>
      </w:r>
      <w:r w:rsidRPr="00C1603D">
        <w:t xml:space="preserve">see </w:t>
      </w:r>
      <w:r w:rsidR="008B4DF8" w:rsidRPr="00C1603D">
        <w:rPr>
          <w:i/>
          <w:iCs/>
        </w:rPr>
        <w:t>Chapter 5</w:t>
      </w:r>
      <w:r w:rsidR="008B4DF8" w:rsidRPr="00C1603D">
        <w:t>), the interpretation of meta-analyses results was limited by the substantial heterogeneity between the included studies</w:t>
      </w:r>
      <w:r w:rsidR="006559C3" w:rsidRPr="00C1603D">
        <w:t>,</w:t>
      </w:r>
      <w:r w:rsidR="008B4DF8" w:rsidRPr="00C1603D">
        <w:t xml:space="preserve"> and most included studies were judged </w:t>
      </w:r>
      <w:r w:rsidR="006559C3" w:rsidRPr="00C1603D">
        <w:t xml:space="preserve">to be </w:t>
      </w:r>
      <w:r w:rsidR="008B4DF8" w:rsidRPr="00C1603D">
        <w:t xml:space="preserve">at </w:t>
      </w:r>
      <w:proofErr w:type="gramStart"/>
      <w:r w:rsidR="008B4DF8" w:rsidRPr="00C1603D">
        <w:t>high risk</w:t>
      </w:r>
      <w:proofErr w:type="gramEnd"/>
      <w:r w:rsidR="008B4DF8" w:rsidRPr="00C1603D">
        <w:t xml:space="preserve"> of bias. We investigated sources of variability in the diagnostic indicator review by performing stratified meta-analyses by age group, definition of CD and study design</w:t>
      </w:r>
      <w:r w:rsidR="006E0E61" w:rsidRPr="00C1603D">
        <w:t>;</w:t>
      </w:r>
      <w:r w:rsidR="008B4DF8" w:rsidRPr="00C1603D">
        <w:t xml:space="preserve"> only a small minority of diagnostic indicators </w:t>
      </w:r>
      <w:r w:rsidR="00B571D7" w:rsidRPr="00C1603D">
        <w:t>were</w:t>
      </w:r>
      <w:r w:rsidR="008B4DF8" w:rsidRPr="00C1603D">
        <w:t xml:space="preserve"> reported by enough studies to perform these analyses. Finally, we limited our review to diagnostic indicators that were reported by at least </w:t>
      </w:r>
      <w:r w:rsidR="00B571D7" w:rsidRPr="00C1603D">
        <w:t>five</w:t>
      </w:r>
      <w:r w:rsidR="008B4DF8" w:rsidRPr="00C1603D">
        <w:t xml:space="preserve"> studies; therefore, we may have missed other promising diagnostic indicators </w:t>
      </w:r>
      <w:r w:rsidR="00B571D7" w:rsidRPr="00C1603D">
        <w:t>that</w:t>
      </w:r>
      <w:r w:rsidR="008B4DF8" w:rsidRPr="00C1603D">
        <w:t xml:space="preserve"> are evaluated less often. Our broad inclusion criteria</w:t>
      </w:r>
      <w:r w:rsidR="00B571D7" w:rsidRPr="00C1603D">
        <w:t>,</w:t>
      </w:r>
      <w:r w:rsidR="008B4DF8" w:rsidRPr="00C1603D">
        <w:t xml:space="preserve"> such that any diagnostic indicator evaluated in an appropriately design</w:t>
      </w:r>
      <w:r w:rsidR="00B571D7" w:rsidRPr="00C1603D">
        <w:t>ed</w:t>
      </w:r>
      <w:r w:rsidR="008B4DF8" w:rsidRPr="00C1603D">
        <w:t xml:space="preserve"> study was eligible for inclusion</w:t>
      </w:r>
      <w:r w:rsidR="00B571D7" w:rsidRPr="00C1603D">
        <w:t>,</w:t>
      </w:r>
      <w:r w:rsidR="008B4DF8" w:rsidRPr="00C1603D">
        <w:t xml:space="preserve"> mean that we had the potential to identify diagnostic indicators not currently recommended by guidelines.</w:t>
      </w:r>
    </w:p>
    <w:p w14:paraId="66CA8862" w14:textId="65C7E440" w:rsidR="008B4DF8" w:rsidRPr="00C1603D" w:rsidRDefault="008B4DF8" w:rsidP="008B4DF8">
      <w:pPr>
        <w:pStyle w:val="602TextfoTextstylesTextstyles"/>
      </w:pPr>
      <w:r w:rsidRPr="00C1603D">
        <w:lastRenderedPageBreak/>
        <w:t>In the review o</w:t>
      </w:r>
      <w:r w:rsidR="00B571D7" w:rsidRPr="00C1603D">
        <w:t>f</w:t>
      </w:r>
      <w:r w:rsidR="00F44B30" w:rsidRPr="00C1603D">
        <w:t xml:space="preserve"> the</w:t>
      </w:r>
      <w:r w:rsidRPr="00C1603D">
        <w:t xml:space="preserve"> diagnostic accuracy of serological tests, a wide variety of thresholds for test positivity were reported across studies, with some not reporting the threshold at all. Whe</w:t>
      </w:r>
      <w:r w:rsidR="00B95031" w:rsidRPr="00C1603D">
        <w:t>n</w:t>
      </w:r>
      <w:r w:rsidRPr="00C1603D">
        <w:t xml:space="preserve"> threshold units differed between assays, we assumed</w:t>
      </w:r>
      <w:r w:rsidR="00B95031" w:rsidRPr="00C1603D">
        <w:t xml:space="preserve"> that</w:t>
      </w:r>
      <w:r w:rsidRPr="00C1603D">
        <w:t xml:space="preserve"> they represented the same arbitrary units and were comparable. However, as they do not measure absolute amounts of antibodies</w:t>
      </w:r>
      <w:r w:rsidR="00B95031" w:rsidRPr="00C1603D">
        <w:t>,</w:t>
      </w:r>
      <w:r w:rsidRPr="00C1603D">
        <w:t xml:space="preserve"> there may be slight variation between different commercial assays and between laboratories. There was substantial variation in CD prevalence between studies, </w:t>
      </w:r>
      <w:proofErr w:type="gramStart"/>
      <w:r w:rsidR="009118C3" w:rsidRPr="00C1603D">
        <w:t>probably</w:t>
      </w:r>
      <w:r w:rsidRPr="00C1603D">
        <w:t xml:space="preserve"> due</w:t>
      </w:r>
      <w:proofErr w:type="gramEnd"/>
      <w:r w:rsidRPr="00C1603D">
        <w:t xml:space="preserve"> to differences in patient recruitment. Some studies excluded patients with IgA deficiencies whe</w:t>
      </w:r>
      <w:r w:rsidR="009118C3" w:rsidRPr="00C1603D">
        <w:t>reas</w:t>
      </w:r>
      <w:r w:rsidRPr="00C1603D">
        <w:t xml:space="preserve"> others did not, which may have affected the accuracy estimates for tests that detected the presence of IgA in serum samples. Sources of heterogeneity were explored through sensitivity analyses; summary results were </w:t>
      </w:r>
      <w:proofErr w:type="gramStart"/>
      <w:r w:rsidRPr="00C1603D">
        <w:t>relatively robust</w:t>
      </w:r>
      <w:proofErr w:type="gramEnd"/>
      <w:r w:rsidRPr="00C1603D">
        <w:t xml:space="preserve"> to a number of exclusions. Very few studies provided direct comparison of the serological tests, and those that did reported accuracy at different thresholds. This means that</w:t>
      </w:r>
      <w:r w:rsidR="009122FB" w:rsidRPr="00C1603D">
        <w:t>,</w:t>
      </w:r>
      <w:r w:rsidRPr="00C1603D">
        <w:t xml:space="preserve"> despite the review including 113 studies, estimates used for the economic model were based on single studies </w:t>
      </w:r>
      <w:r w:rsidR="009122FB" w:rsidRPr="00C1603D">
        <w:t>with</w:t>
      </w:r>
      <w:r w:rsidRPr="00C1603D">
        <w:t xml:space="preserve"> adults and children. We considered it more appropriate to have directly comparable estimates of the accuracy of IgA EMA and IgA tTG, alone and in combination, than to take the estimates from the meta-analyses as different studies contributed to these.</w:t>
      </w:r>
    </w:p>
    <w:p w14:paraId="02DF10FE" w14:textId="3B95AD33" w:rsidR="008B4DF8" w:rsidRPr="00C1603D" w:rsidRDefault="008B4DF8" w:rsidP="008B4DF8">
      <w:pPr>
        <w:pStyle w:val="602TextfoTextstylesTextstyles"/>
      </w:pPr>
      <w:r w:rsidRPr="00C1603D">
        <w:t>A key strength of our prediction models (</w:t>
      </w:r>
      <w:r w:rsidR="009122FB" w:rsidRPr="00C1603D">
        <w:t xml:space="preserve">see </w:t>
      </w:r>
      <w:r w:rsidRPr="00C1603D">
        <w:rPr>
          <w:i/>
          <w:iCs/>
        </w:rPr>
        <w:t>Chapter 4</w:t>
      </w:r>
      <w:r w:rsidRPr="00C1603D">
        <w:t>) is that we preselected diagnostic indicators to consider in the model based on a review of the literature, as well as current practice guidelines and discussions with clinical experts. We avoided using</w:t>
      </w:r>
      <w:r w:rsidR="00E2227F" w:rsidRPr="00C1603D">
        <w:t xml:space="preserve"> </w:t>
      </w:r>
      <w:r w:rsidRPr="00C1603D">
        <w:t>traditional approach</w:t>
      </w:r>
      <w:r w:rsidR="00E2227F" w:rsidRPr="00C1603D">
        <w:t>es</w:t>
      </w:r>
      <w:r w:rsidRPr="00C1603D">
        <w:t xml:space="preserve"> </w:t>
      </w:r>
      <w:r w:rsidR="00E2227F" w:rsidRPr="00C1603D">
        <w:t>for</w:t>
      </w:r>
      <w:r w:rsidRPr="00C1603D">
        <w:t xml:space="preserve"> model selection</w:t>
      </w:r>
      <w:r w:rsidR="00E2227F" w:rsidRPr="00C1603D">
        <w:t>,</w:t>
      </w:r>
      <w:r w:rsidRPr="00C1603D">
        <w:t xml:space="preserve"> such as stepwise selection, which aim to include</w:t>
      </w:r>
      <w:r w:rsidR="00E2227F" w:rsidRPr="00C1603D">
        <w:t xml:space="preserve"> only</w:t>
      </w:r>
      <w:r w:rsidRPr="00C1603D">
        <w:t xml:space="preserve"> the most significant predictors in a model. Disadvantages of this method is instability of the selection, </w:t>
      </w:r>
      <w:commentRangeStart w:id="456"/>
      <w:r w:rsidRPr="00C1603D">
        <w:t xml:space="preserve">biased estimation of coefficients (estimation bias), </w:t>
      </w:r>
      <w:commentRangeEnd w:id="456"/>
      <w:r w:rsidR="00BA4E60" w:rsidRPr="00C1603D">
        <w:rPr>
          <w:rFonts w:ascii="Times New Roman" w:hAnsi="Times New Roman" w:cs="Times New Roman"/>
          <w:color w:val="auto"/>
          <w:lang w:val="en-US"/>
        </w:rPr>
        <w:commentReference w:id="456"/>
      </w:r>
      <w:r w:rsidRPr="00C1603D">
        <w:t xml:space="preserve">misspecification of variability and exaggeration of </w:t>
      </w:r>
      <w:r w:rsidRPr="00C1603D">
        <w:rPr>
          <w:i/>
          <w:color w:val="00B0F0"/>
        </w:rPr>
        <w:t>p</w:t>
      </w:r>
      <w:r w:rsidRPr="00C1603D">
        <w:t>-values.</w:t>
      </w:r>
      <w:r w:rsidRPr="00C1603D">
        <w:rPr>
          <w:noProof/>
          <w:vertAlign w:val="superscript"/>
        </w:rPr>
        <w:t>46</w:t>
      </w:r>
      <w:r w:rsidRPr="00C1603D">
        <w:t xml:space="preserve"> We performed a second step in variable selection using elastic net regression and bootstrapping, to exclude predictors that have </w:t>
      </w:r>
      <w:proofErr w:type="gramStart"/>
      <w:r w:rsidRPr="00C1603D">
        <w:t>a very small</w:t>
      </w:r>
      <w:proofErr w:type="gramEnd"/>
      <w:r w:rsidRPr="00C1603D">
        <w:t xml:space="preserve"> or uncertain effect on </w:t>
      </w:r>
      <w:r w:rsidR="0054137A" w:rsidRPr="00C1603D">
        <w:t xml:space="preserve">the </w:t>
      </w:r>
      <w:r w:rsidRPr="00C1603D">
        <w:t xml:space="preserve">prediction of CD. The elastic net method is a modern approach to variable selection that uses shrinkage, which optimises the variance (precision) and bias (accuracy) trade-off. It </w:t>
      </w:r>
      <w:r w:rsidRPr="00C1603D">
        <w:rPr>
          <w:color w:val="00B0F0"/>
        </w:rPr>
        <w:t>minimises</w:t>
      </w:r>
      <w:r w:rsidRPr="00C1603D">
        <w:t xml:space="preserve"> overfitting on development data, thereby creating a more robust model for use in the future. Another important strength of the models is that they</w:t>
      </w:r>
      <w:r w:rsidRPr="00C1603D" w:rsidDel="00EA1C12">
        <w:t xml:space="preserve"> </w:t>
      </w:r>
      <w:r w:rsidRPr="00C1603D">
        <w:t xml:space="preserve">were developed in a large primary care </w:t>
      </w:r>
      <w:r w:rsidRPr="00C1603D">
        <w:rPr>
          <w:color w:val="00B0F0"/>
        </w:rPr>
        <w:t>data set</w:t>
      </w:r>
      <w:r w:rsidRPr="00C1603D">
        <w:t xml:space="preserve"> using robust definitions of predictors and were externally validated in another large UK primary care </w:t>
      </w:r>
      <w:r w:rsidRPr="00C1603D">
        <w:rPr>
          <w:color w:val="00B0F0"/>
        </w:rPr>
        <w:t>data set</w:t>
      </w:r>
      <w:r w:rsidRPr="00C1603D">
        <w:t xml:space="preserve">. We used the </w:t>
      </w:r>
      <w:r w:rsidRPr="00C1603D">
        <w:rPr>
          <w:i/>
          <w:iCs/>
        </w:rPr>
        <w:t>International Classification of Primary Care</w:t>
      </w:r>
      <w:r w:rsidRPr="00C1603D">
        <w:t xml:space="preserve"> definitions where available.</w:t>
      </w:r>
      <w:r w:rsidRPr="00C1603D">
        <w:rPr>
          <w:noProof/>
          <w:vertAlign w:val="superscript"/>
        </w:rPr>
        <w:t>53</w:t>
      </w:r>
      <w:r w:rsidRPr="00C1603D">
        <w:t xml:space="preserve"> The corresponding code lists were taken from publications whe</w:t>
      </w:r>
      <w:r w:rsidR="006D6476" w:rsidRPr="00C1603D">
        <w:t>n</w:t>
      </w:r>
      <w:r w:rsidRPr="00C1603D">
        <w:t xml:space="preserve"> possible, and all code lists were checked by at least two clinicians.</w:t>
      </w:r>
      <w:r w:rsidRPr="00C1603D">
        <w:rPr>
          <w:noProof/>
          <w:vertAlign w:val="superscript"/>
        </w:rPr>
        <w:t>269</w:t>
      </w:r>
      <w:r w:rsidRPr="00C1603D">
        <w:t xml:space="preserve"> This makes the model more applicable and generalisable as the model is intended to be used in the primary care setting and GPs have access to the information needed for the model during consultation.</w:t>
      </w:r>
    </w:p>
    <w:p w14:paraId="429B8E48" w14:textId="5FB0AB7D" w:rsidR="008B4DF8" w:rsidRPr="00C1603D" w:rsidRDefault="008B4DF8" w:rsidP="008B4DF8">
      <w:pPr>
        <w:pStyle w:val="602TextfoTextstylesTextstyles"/>
      </w:pPr>
      <w:r w:rsidRPr="00C1603D">
        <w:t xml:space="preserve">A major limitation of </w:t>
      </w:r>
      <w:r w:rsidR="009B10FE" w:rsidRPr="00C1603D">
        <w:t>the</w:t>
      </w:r>
      <w:r w:rsidRPr="00C1603D">
        <w:t xml:space="preserve"> prediction </w:t>
      </w:r>
      <w:r w:rsidRPr="00C1603D">
        <w:rPr>
          <w:color w:val="auto"/>
        </w:rPr>
        <w:t>models is that</w:t>
      </w:r>
      <w:r w:rsidR="009B10FE" w:rsidRPr="00C1603D">
        <w:rPr>
          <w:color w:val="auto"/>
        </w:rPr>
        <w:t>,</w:t>
      </w:r>
      <w:r w:rsidRPr="00C1603D">
        <w:rPr>
          <w:color w:val="auto"/>
        </w:rPr>
        <w:t xml:space="preserve"> as CD is underdiagnosed, it is also </w:t>
      </w:r>
      <w:r w:rsidR="00587DDC" w:rsidRPr="00C1603D">
        <w:rPr>
          <w:color w:val="auto"/>
        </w:rPr>
        <w:t>under-r</w:t>
      </w:r>
      <w:r w:rsidRPr="00C1603D">
        <w:rPr>
          <w:color w:val="auto"/>
        </w:rPr>
        <w:t xml:space="preserve">eported in </w:t>
      </w:r>
      <w:r w:rsidR="009B10FE" w:rsidRPr="00C1603D">
        <w:rPr>
          <w:color w:val="auto"/>
        </w:rPr>
        <w:t xml:space="preserve">the </w:t>
      </w:r>
      <w:r w:rsidRPr="00C1603D">
        <w:rPr>
          <w:color w:val="auto"/>
        </w:rPr>
        <w:t xml:space="preserve">CPRD. The prevalence of CD in both primary care data sets used in </w:t>
      </w:r>
      <w:r w:rsidRPr="00C1603D">
        <w:rPr>
          <w:i/>
          <w:iCs/>
          <w:color w:val="auto"/>
        </w:rPr>
        <w:t>Chapter 5</w:t>
      </w:r>
      <w:r w:rsidRPr="00C1603D">
        <w:rPr>
          <w:color w:val="auto"/>
        </w:rPr>
        <w:t xml:space="preserve"> was around 0.1%, which is </w:t>
      </w:r>
      <w:proofErr w:type="gramStart"/>
      <w:r w:rsidRPr="00C1603D">
        <w:rPr>
          <w:color w:val="auto"/>
        </w:rPr>
        <w:t>10</w:t>
      </w:r>
      <w:proofErr w:type="gramEnd"/>
      <w:r w:rsidRPr="00C1603D">
        <w:rPr>
          <w:color w:val="auto"/>
        </w:rPr>
        <w:t xml:space="preserve"> times lower than the estimated population prevalence in the UK. As a result, we may have selected undiagnosed CD patients in our control group, which could have led to an underestimation of the importance of indicators. To reduce the number of undiagnosed CD patients in </w:t>
      </w:r>
      <w:r w:rsidR="00E30A40" w:rsidRPr="00C1603D">
        <w:rPr>
          <w:color w:val="auto"/>
        </w:rPr>
        <w:t>the</w:t>
      </w:r>
      <w:r w:rsidRPr="00C1603D">
        <w:rPr>
          <w:color w:val="auto"/>
        </w:rPr>
        <w:t xml:space="preserve"> control group, we excluded patients with related conditions, such as dermatitis herpetiformis</w:t>
      </w:r>
      <w:r w:rsidR="00E30A40" w:rsidRPr="00C1603D">
        <w:rPr>
          <w:color w:val="auto"/>
        </w:rPr>
        <w:t>,</w:t>
      </w:r>
      <w:r w:rsidRPr="00C1603D">
        <w:rPr>
          <w:color w:val="auto"/>
        </w:rPr>
        <w:t xml:space="preserve"> </w:t>
      </w:r>
      <w:r w:rsidR="00E30A40" w:rsidRPr="00C1603D">
        <w:rPr>
          <w:color w:val="auto"/>
        </w:rPr>
        <w:t>and</w:t>
      </w:r>
      <w:r w:rsidRPr="00C1603D">
        <w:rPr>
          <w:color w:val="auto"/>
        </w:rPr>
        <w:t xml:space="preserve"> people receiving </w:t>
      </w:r>
      <w:r w:rsidR="0087034D" w:rsidRPr="00C1603D">
        <w:rPr>
          <w:color w:val="auto"/>
        </w:rPr>
        <w:t>gluten-free</w:t>
      </w:r>
      <w:r w:rsidRPr="00C1603D">
        <w:rPr>
          <w:color w:val="auto"/>
        </w:rPr>
        <w:t xml:space="preserve"> prescriptions. What is more problematic is that diagnosed CD patients may have </w:t>
      </w:r>
      <w:proofErr w:type="gramStart"/>
      <w:r w:rsidRPr="00C1603D">
        <w:rPr>
          <w:color w:val="auto"/>
        </w:rPr>
        <w:t>different characteristic</w:t>
      </w:r>
      <w:r w:rsidR="00D13235" w:rsidRPr="00C1603D">
        <w:rPr>
          <w:color w:val="auto"/>
        </w:rPr>
        <w:t>s</w:t>
      </w:r>
      <w:proofErr w:type="gramEnd"/>
      <w:r w:rsidRPr="00C1603D">
        <w:rPr>
          <w:color w:val="auto"/>
        </w:rPr>
        <w:t xml:space="preserve"> from undiagnosed CD patients. We were therefore more likely to confirm predictors that are already in the guidelines because those indicators currently prompt testing. </w:t>
      </w:r>
      <w:commentRangeStart w:id="457"/>
      <w:r w:rsidRPr="00C1603D">
        <w:rPr>
          <w:color w:val="auto"/>
        </w:rPr>
        <w:t xml:space="preserve">Different indicators may be important for undiagnosed CD patients; however, it was not possible to investigate this in </w:t>
      </w:r>
      <w:r w:rsidR="00D13235" w:rsidRPr="00C1603D">
        <w:rPr>
          <w:color w:val="auto"/>
        </w:rPr>
        <w:t>this</w:t>
      </w:r>
      <w:r w:rsidRPr="00C1603D">
        <w:rPr>
          <w:color w:val="auto"/>
        </w:rPr>
        <w:t xml:space="preserve"> data set. </w:t>
      </w:r>
      <w:commentRangeEnd w:id="457"/>
      <w:r w:rsidR="00440A29" w:rsidRPr="00C1603D">
        <w:rPr>
          <w:rFonts w:ascii="Times New Roman" w:hAnsi="Times New Roman" w:cs="Times New Roman"/>
          <w:color w:val="auto"/>
          <w:lang w:val="en-US"/>
        </w:rPr>
        <w:commentReference w:id="457"/>
      </w:r>
      <w:r w:rsidRPr="00C1603D">
        <w:rPr>
          <w:color w:val="auto"/>
        </w:rPr>
        <w:t xml:space="preserve">Results from the diagnostic indicator review were considered more robust for individual diagnostic indicators as we accepted </w:t>
      </w:r>
      <w:r w:rsidR="00440A29" w:rsidRPr="00C1603D">
        <w:rPr>
          <w:color w:val="auto"/>
        </w:rPr>
        <w:t xml:space="preserve">only </w:t>
      </w:r>
      <w:r w:rsidRPr="00C1603D">
        <w:rPr>
          <w:color w:val="auto"/>
        </w:rPr>
        <w:t xml:space="preserve">studies </w:t>
      </w:r>
      <w:r w:rsidR="00440A29" w:rsidRPr="00C1603D">
        <w:rPr>
          <w:color w:val="auto"/>
        </w:rPr>
        <w:t>in which</w:t>
      </w:r>
      <w:r w:rsidRPr="00C1603D">
        <w:rPr>
          <w:color w:val="auto"/>
        </w:rPr>
        <w:t xml:space="preserve"> all participants were tested for CD</w:t>
      </w:r>
      <w:r w:rsidR="00440A29" w:rsidRPr="00C1603D">
        <w:rPr>
          <w:color w:val="auto"/>
        </w:rPr>
        <w:t>;</w:t>
      </w:r>
      <w:r w:rsidRPr="00C1603D">
        <w:rPr>
          <w:color w:val="auto"/>
        </w:rPr>
        <w:t xml:space="preserve"> this may explain why some of the indicators identified by our review</w:t>
      </w:r>
      <w:r w:rsidRPr="00C1603D">
        <w:t>, such as migraine, were not found to be important indicators in the prediction models. Our recommendations on who should be tested are therefore based on both the results of the indicator review and the results of the prediction models.</w:t>
      </w:r>
    </w:p>
    <w:p w14:paraId="64AE27DD" w14:textId="4DDF6B84" w:rsidR="008B4DF8" w:rsidRPr="00C1603D" w:rsidRDefault="008B4DF8" w:rsidP="008B4DF8">
      <w:pPr>
        <w:pStyle w:val="602TextfoTextstylesTextstyles"/>
      </w:pPr>
      <w:r w:rsidRPr="00C1603D">
        <w:t xml:space="preserve">A further limitation of using routine CPRD data to develop </w:t>
      </w:r>
      <w:r w:rsidR="007F330E" w:rsidRPr="00C1603D">
        <w:t>the</w:t>
      </w:r>
      <w:r w:rsidRPr="00C1603D">
        <w:t xml:space="preserve"> prediction models is that we were able to investigate </w:t>
      </w:r>
      <w:r w:rsidR="007F330E" w:rsidRPr="00C1603D">
        <w:t xml:space="preserve">only </w:t>
      </w:r>
      <w:r w:rsidRPr="00C1603D">
        <w:t xml:space="preserve">diagnostic indicators that were recorded by GPs. We were therefore not able to </w:t>
      </w:r>
      <w:r w:rsidRPr="00C1603D">
        <w:lastRenderedPageBreak/>
        <w:t>evaluate some potentially important indicators, such as dental enamel defects, as these are not routinely recorded in primary care. We also relied on accurate recording of indicators by GPs and reporting by patients</w:t>
      </w:r>
      <w:r w:rsidR="00CB3600" w:rsidRPr="00C1603D">
        <w:t xml:space="preserve">; </w:t>
      </w:r>
      <w:r w:rsidRPr="00C1603D">
        <w:t xml:space="preserve">non-specific symptoms such as </w:t>
      </w:r>
      <w:r w:rsidR="00807C54" w:rsidRPr="00C1603D">
        <w:t>GI</w:t>
      </w:r>
      <w:r w:rsidRPr="00C1603D">
        <w:t xml:space="preserve"> symptoms and fatigue are likely to be under-reported and so cannot be fully evaluated using primary care data. Although we used large sample sizes, some indicators, such as Williams</w:t>
      </w:r>
      <w:r w:rsidR="00AA0F2E" w:rsidRPr="00C1603D">
        <w:t>–</w:t>
      </w:r>
      <w:r w:rsidRPr="00C1603D">
        <w:t xml:space="preserve">Beuren syndrome, were too rare to be included in our models. This is a limitation of </w:t>
      </w:r>
      <w:r w:rsidR="00CB3600" w:rsidRPr="00C1603D">
        <w:t>the</w:t>
      </w:r>
      <w:r w:rsidRPr="00C1603D">
        <w:t xml:space="preserve"> model because these indicators are important according to several CD guidelines.</w:t>
      </w:r>
      <w:r w:rsidRPr="00C1603D">
        <w:rPr>
          <w:noProof/>
          <w:vertAlign w:val="superscript"/>
        </w:rPr>
        <w:t>10,12,270</w:t>
      </w:r>
    </w:p>
    <w:p w14:paraId="083C339D" w14:textId="68DC4773" w:rsidR="008B4DF8" w:rsidRPr="00C1603D" w:rsidRDefault="008B4DF8" w:rsidP="008B4DF8">
      <w:pPr>
        <w:pStyle w:val="602TextfoTextstylesTextstyles"/>
      </w:pPr>
      <w:r w:rsidRPr="00C1603D">
        <w:t>A further limitation in the study design for the prediction model is that we used a nested case</w:t>
      </w:r>
      <w:r w:rsidR="00CB3600" w:rsidRPr="00C1603D">
        <w:t>–</w:t>
      </w:r>
      <w:r w:rsidRPr="00C1603D">
        <w:t xml:space="preserve">control design. A cohort design is recommended for prediction modelling and is necessary for reliable estimations of model calibration because it compares the indicators with the observed prevalence. We artificially inflated the control group to recreate a CD prevalence similar to the general population, which allowed us to estimate calibration statistics. This enabled us to calculate and compare all performance measures. This method may </w:t>
      </w:r>
      <w:r w:rsidRPr="00C1603D">
        <w:rPr>
          <w:color w:val="auto"/>
        </w:rPr>
        <w:t xml:space="preserve">have inflated any bias present in the original control group and might explain the poor calibration shown in our models. However, we believe this risk was low because </w:t>
      </w:r>
      <w:r w:rsidR="004901B0" w:rsidRPr="00C1603D">
        <w:rPr>
          <w:color w:val="auto"/>
        </w:rPr>
        <w:t>the</w:t>
      </w:r>
      <w:r w:rsidRPr="00C1603D">
        <w:rPr>
          <w:color w:val="auto"/>
        </w:rPr>
        <w:t xml:space="preserve"> control group had a large sample size (&gt; 80,000 patients</w:t>
      </w:r>
      <w:r w:rsidR="004901B0" w:rsidRPr="00C1603D">
        <w:rPr>
          <w:color w:val="auto"/>
        </w:rPr>
        <w:t>,</w:t>
      </w:r>
      <w:r w:rsidRPr="00C1603D">
        <w:rPr>
          <w:color w:val="auto"/>
        </w:rPr>
        <w:t xml:space="preserve"> large enough to reflect variation in all indicators) and controls had been randomly selected from a sample </w:t>
      </w:r>
      <w:r w:rsidR="004901B0" w:rsidRPr="00C1603D">
        <w:rPr>
          <w:color w:val="auto"/>
        </w:rPr>
        <w:t>that</w:t>
      </w:r>
      <w:r w:rsidRPr="00C1603D">
        <w:rPr>
          <w:color w:val="auto"/>
        </w:rPr>
        <w:t xml:space="preserve"> is </w:t>
      </w:r>
      <w:proofErr w:type="gramStart"/>
      <w:r w:rsidRPr="00C1603D">
        <w:rPr>
          <w:color w:val="auto"/>
        </w:rPr>
        <w:t>largely representative</w:t>
      </w:r>
      <w:proofErr w:type="gramEnd"/>
      <w:r w:rsidRPr="00C1603D">
        <w:rPr>
          <w:color w:val="auto"/>
        </w:rPr>
        <w:t xml:space="preserve"> of the UK. We recreated a cohort with the estimated population prevalence of CD (1%), not the prevalence observed in </w:t>
      </w:r>
      <w:r w:rsidR="004901B0" w:rsidRPr="00C1603D">
        <w:rPr>
          <w:color w:val="auto"/>
        </w:rPr>
        <w:t xml:space="preserve">the </w:t>
      </w:r>
      <w:r w:rsidRPr="00C1603D">
        <w:rPr>
          <w:color w:val="auto"/>
        </w:rPr>
        <w:t>CPRD (0.1%)</w:t>
      </w:r>
      <w:r w:rsidR="004901B0" w:rsidRPr="00C1603D">
        <w:rPr>
          <w:color w:val="auto"/>
        </w:rPr>
        <w:t>,</w:t>
      </w:r>
      <w:r w:rsidRPr="00C1603D">
        <w:rPr>
          <w:color w:val="auto"/>
        </w:rPr>
        <w:t xml:space="preserve"> which is lower than </w:t>
      </w:r>
      <w:r w:rsidR="004901B0" w:rsidRPr="00C1603D">
        <w:rPr>
          <w:color w:val="auto"/>
        </w:rPr>
        <w:t xml:space="preserve">the </w:t>
      </w:r>
      <w:r w:rsidRPr="00C1603D">
        <w:rPr>
          <w:color w:val="auto"/>
        </w:rPr>
        <w:t>actual population prevalence as CD is underdiagnosed. Another limitation of this approach is that we have no information about the characteristics of those with CD who have not been diagnosed and therefore had to assume that they are similar to those who are diagnosed, which is likely to be incorrect</w:t>
      </w:r>
      <w:r w:rsidRPr="00C1603D">
        <w:t>.</w:t>
      </w:r>
    </w:p>
    <w:p w14:paraId="0894B7D9" w14:textId="5D6B27C7" w:rsidR="008B4DF8" w:rsidRPr="00C1603D" w:rsidRDefault="008B4DF8" w:rsidP="008B4DF8">
      <w:pPr>
        <w:pStyle w:val="602TextfoTextstylesTextstyles"/>
      </w:pPr>
      <w:r w:rsidRPr="00C1603D">
        <w:t>We used an innovative form of patient involvement in this project that directly influenced our economic model. The survey (</w:t>
      </w:r>
      <w:r w:rsidR="004901B0" w:rsidRPr="00C1603D">
        <w:t xml:space="preserve">see </w:t>
      </w:r>
      <w:r w:rsidRPr="00C1603D">
        <w:rPr>
          <w:i/>
          <w:iCs/>
        </w:rPr>
        <w:t>Chapter 7</w:t>
      </w:r>
      <w:r w:rsidRPr="00C1603D">
        <w:t xml:space="preserve">) was developed in collaboration with CD patients and tested by people with and </w:t>
      </w:r>
      <w:r w:rsidR="00A77151" w:rsidRPr="00C1603D">
        <w:t xml:space="preserve">people </w:t>
      </w:r>
      <w:r w:rsidRPr="00C1603D">
        <w:t xml:space="preserve">without knowledge of CD. We developed videos to make the information more accessible. The qualitative analyses of </w:t>
      </w:r>
      <w:r w:rsidR="00F4585F" w:rsidRPr="00C1603D">
        <w:t>free-text</w:t>
      </w:r>
      <w:r w:rsidRPr="00C1603D">
        <w:t xml:space="preserve"> answers provided context and helped </w:t>
      </w:r>
      <w:r w:rsidR="00E36189" w:rsidRPr="00C1603D">
        <w:t xml:space="preserve">in </w:t>
      </w:r>
      <w:r w:rsidRPr="00C1603D">
        <w:t>interpreting the multiple-choice answers.</w:t>
      </w:r>
    </w:p>
    <w:p w14:paraId="4C5DC0F2" w14:textId="4DC195DB" w:rsidR="008B4DF8" w:rsidRPr="00C1603D" w:rsidRDefault="008B4DF8" w:rsidP="008B4DF8">
      <w:pPr>
        <w:pStyle w:val="602TextfoTextstylesTextstyles"/>
      </w:pPr>
      <w:r w:rsidRPr="00C1603D">
        <w:t>Although we used multiple routes of promoting the survey to get a variety of people</w:t>
      </w:r>
      <w:r w:rsidR="00E36189" w:rsidRPr="00C1603D">
        <w:t xml:space="preserve"> to</w:t>
      </w:r>
      <w:r w:rsidRPr="00C1603D">
        <w:t xml:space="preserve"> fill</w:t>
      </w:r>
      <w:r w:rsidR="00E36189" w:rsidRPr="00C1603D">
        <w:t xml:space="preserve"> it</w:t>
      </w:r>
      <w:r w:rsidRPr="00C1603D">
        <w:t xml:space="preserve"> out, the sample was not representative of the UK</w:t>
      </w:r>
      <w:r w:rsidR="00A50176" w:rsidRPr="00C1603D">
        <w:t xml:space="preserve"> (</w:t>
      </w:r>
      <w:r w:rsidRPr="00C1603D">
        <w:t>the majority were highly educated white women</w:t>
      </w:r>
      <w:r w:rsidR="00A50176" w:rsidRPr="00C1603D">
        <w:t>)</w:t>
      </w:r>
      <w:r w:rsidRPr="00C1603D">
        <w:t xml:space="preserve">, which is </w:t>
      </w:r>
      <w:proofErr w:type="gramStart"/>
      <w:r w:rsidRPr="00C1603D">
        <w:t>a common problem</w:t>
      </w:r>
      <w:proofErr w:type="gramEnd"/>
      <w:r w:rsidRPr="00C1603D">
        <w:t xml:space="preserve"> with online surveys. Another limitation was that we recruited participants online and the survey was available </w:t>
      </w:r>
      <w:r w:rsidR="00A50176" w:rsidRPr="00C1603D">
        <w:t xml:space="preserve">only </w:t>
      </w:r>
      <w:r w:rsidRPr="00C1603D">
        <w:t xml:space="preserve">in an online format, which may have excluded </w:t>
      </w:r>
      <w:r w:rsidR="005A4E94" w:rsidRPr="00C1603D">
        <w:t>those</w:t>
      </w:r>
      <w:r w:rsidRPr="00C1603D">
        <w:t xml:space="preserve"> who do not have access to internet or do not use social media. The </w:t>
      </w:r>
      <w:r w:rsidR="00F4585F" w:rsidRPr="00C1603D">
        <w:t>free-text</w:t>
      </w:r>
      <w:r w:rsidRPr="00C1603D">
        <w:t xml:space="preserve"> answers revealed that some respondents misunderstood questions, which may have skewed the results. We may have overestimated the adherence to </w:t>
      </w:r>
      <w:r w:rsidR="005A4E94" w:rsidRPr="00C1603D">
        <w:t>a</w:t>
      </w:r>
      <w:r w:rsidRPr="00C1603D">
        <w:t xml:space="preserve"> gluten-free diet </w:t>
      </w:r>
      <w:r w:rsidR="005A4E94" w:rsidRPr="00C1603D">
        <w:t>because of</w:t>
      </w:r>
      <w:r w:rsidRPr="00C1603D">
        <w:t xml:space="preserve"> non-responder biases,</w:t>
      </w:r>
      <w:r w:rsidR="005A4E94" w:rsidRPr="00C1603D">
        <w:t xml:space="preserve"> that is</w:t>
      </w:r>
      <w:r w:rsidRPr="00C1603D">
        <w:t xml:space="preserve"> those with </w:t>
      </w:r>
      <w:r w:rsidRPr="00C1603D">
        <w:rPr>
          <w:color w:val="00B0F0"/>
        </w:rPr>
        <w:t>‘</w:t>
      </w:r>
      <w:r w:rsidRPr="00C1603D">
        <w:t>poor adherence</w:t>
      </w:r>
      <w:r w:rsidRPr="00C1603D">
        <w:rPr>
          <w:color w:val="00B0F0"/>
        </w:rPr>
        <w:t>’</w:t>
      </w:r>
      <w:r w:rsidRPr="00C1603D">
        <w:t xml:space="preserve"> to</w:t>
      </w:r>
      <w:r w:rsidR="005A4E94" w:rsidRPr="00C1603D">
        <w:t xml:space="preserve"> a</w:t>
      </w:r>
      <w:r w:rsidRPr="00C1603D">
        <w:t xml:space="preserve"> gluten-free diet may be less likely to respond to a questionnaire.</w:t>
      </w:r>
    </w:p>
    <w:p w14:paraId="43BFD7D5" w14:textId="1800FB5C" w:rsidR="008B4DF8" w:rsidRPr="00C1603D" w:rsidRDefault="005A4E94" w:rsidP="008B4DF8">
      <w:pPr>
        <w:pStyle w:val="602TextfoTextstylesTextstyles"/>
      </w:pPr>
      <w:r w:rsidRPr="00C1603D">
        <w:t>The</w:t>
      </w:r>
      <w:r w:rsidR="008B4DF8" w:rsidRPr="00C1603D">
        <w:t xml:space="preserve"> cost-effectiveness analysis was based on a state-of-the-art cohort Markov model. We used the CPRD analysis and clinical advice to identify the most important comorbidities </w:t>
      </w:r>
      <w:r w:rsidR="00C12F74" w:rsidRPr="00C1603D">
        <w:t>of</w:t>
      </w:r>
      <w:r w:rsidR="008B4DF8" w:rsidRPr="00C1603D">
        <w:t xml:space="preserve"> CD, namely osteoporosis and NHL. </w:t>
      </w:r>
      <w:r w:rsidR="00C12F74" w:rsidRPr="00C1603D">
        <w:t>The</w:t>
      </w:r>
      <w:r w:rsidR="008B4DF8" w:rsidRPr="00C1603D">
        <w:t xml:space="preserve"> model is fully probabilistic, which means that it avoids assuming that uncertain parameters are fixed. The uncertainty in epidemiological and utility parameters was modelled with statistical distributions and this uncertainty was propagated to the final costs, QALYs and net benefits. </w:t>
      </w:r>
      <w:commentRangeStart w:id="458"/>
      <w:r w:rsidR="008B4DF8" w:rsidRPr="00C1603D">
        <w:t>We went further and conducted value</w:t>
      </w:r>
      <w:r w:rsidR="00297C5C" w:rsidRPr="00C1603D">
        <w:t>-</w:t>
      </w:r>
      <w:r w:rsidR="008B4DF8" w:rsidRPr="00C1603D">
        <w:t>of</w:t>
      </w:r>
      <w:r w:rsidR="00297C5C" w:rsidRPr="00C1603D">
        <w:t>-</w:t>
      </w:r>
      <w:r w:rsidR="008B4DF8" w:rsidRPr="00C1603D">
        <w:t>information analys</w:t>
      </w:r>
      <w:r w:rsidR="00297C5C" w:rsidRPr="00C1603D">
        <w:t>e</w:t>
      </w:r>
      <w:r w:rsidR="008B4DF8" w:rsidRPr="00C1603D">
        <w:t xml:space="preserve">s to identify the most influential uncertain parameters and quantify the value in further research. </w:t>
      </w:r>
      <w:commentRangeEnd w:id="458"/>
      <w:r w:rsidR="00297C5C" w:rsidRPr="00C1603D">
        <w:rPr>
          <w:rFonts w:ascii="Times New Roman" w:hAnsi="Times New Roman" w:cs="Times New Roman"/>
          <w:color w:val="auto"/>
          <w:lang w:val="en-US"/>
        </w:rPr>
        <w:commentReference w:id="458"/>
      </w:r>
      <w:r w:rsidR="008B4DF8" w:rsidRPr="00C1603D">
        <w:t xml:space="preserve">Furthermore, </w:t>
      </w:r>
      <w:r w:rsidR="00297C5C" w:rsidRPr="00C1603D">
        <w:t>the</w:t>
      </w:r>
      <w:r w:rsidR="008B4DF8" w:rsidRPr="00C1603D">
        <w:t xml:space="preserve"> model was implemented in the R statistical programming language and optimised using C/C++, which has extensive benefits in flexibility, transparency and efficiency over the more usual Microsoft Excel.</w:t>
      </w:r>
    </w:p>
    <w:p w14:paraId="31C7F101" w14:textId="2CF4B940" w:rsidR="008B4DF8" w:rsidRPr="00C1603D" w:rsidRDefault="008B4DF8" w:rsidP="008B4DF8">
      <w:pPr>
        <w:pStyle w:val="602TextfoTextstylesTextstyles"/>
      </w:pPr>
      <w:r w:rsidRPr="00C1603D">
        <w:t xml:space="preserve">There are several important limitations </w:t>
      </w:r>
      <w:r w:rsidR="00297C5C" w:rsidRPr="00C1603D">
        <w:t>of</w:t>
      </w:r>
      <w:r w:rsidRPr="00C1603D">
        <w:t xml:space="preserve"> </w:t>
      </w:r>
      <w:r w:rsidR="00297C5C" w:rsidRPr="00C1603D">
        <w:t>the</w:t>
      </w:r>
      <w:r w:rsidRPr="00C1603D">
        <w:t xml:space="preserve"> cost-effectiveness analysis. The Markov model structure was a simplification of CD, for example not modelling a difference between symptomatic and asymptomatic CD or allowing patients to have osteoporosis and NHL. Using a cohort modelling approach did not permit modelling of individuals</w:t>
      </w:r>
      <w:r w:rsidR="005D148A" w:rsidRPr="00C1603D">
        <w:t>;</w:t>
      </w:r>
      <w:r w:rsidRPr="00C1603D">
        <w:t xml:space="preserve"> thus</w:t>
      </w:r>
      <w:r w:rsidR="005D148A" w:rsidRPr="00C1603D">
        <w:t>, we</w:t>
      </w:r>
      <w:r w:rsidRPr="00C1603D">
        <w:t xml:space="preserve"> modelled an average adult male, adult female </w:t>
      </w:r>
      <w:r w:rsidR="005D148A" w:rsidRPr="00C1603D">
        <w:t>and</w:t>
      </w:r>
      <w:r w:rsidRPr="00C1603D">
        <w:t xml:space="preserve"> child with CD, rather than a more granular exploration of types of patients. A full </w:t>
      </w:r>
      <w:r w:rsidRPr="00C1603D">
        <w:lastRenderedPageBreak/>
        <w:t>individual</w:t>
      </w:r>
      <w:r w:rsidR="005D148A" w:rsidRPr="00C1603D">
        <w:t>-</w:t>
      </w:r>
      <w:r w:rsidRPr="00C1603D">
        <w:t xml:space="preserve">level model informed by </w:t>
      </w:r>
      <w:r w:rsidR="005D148A" w:rsidRPr="00C1603D">
        <w:t xml:space="preserve">the </w:t>
      </w:r>
      <w:r w:rsidRPr="00C1603D">
        <w:t xml:space="preserve">CPRD and including more of the indicators identified in </w:t>
      </w:r>
      <w:r w:rsidRPr="00C1603D">
        <w:rPr>
          <w:i/>
          <w:iCs/>
        </w:rPr>
        <w:t>Chapters 3</w:t>
      </w:r>
      <w:r w:rsidRPr="00C1603D">
        <w:t xml:space="preserve"> and </w:t>
      </w:r>
      <w:r w:rsidRPr="00C1603D">
        <w:rPr>
          <w:i/>
          <w:iCs/>
        </w:rPr>
        <w:t>4</w:t>
      </w:r>
      <w:r w:rsidRPr="00C1603D">
        <w:t xml:space="preserve"> is possible. However, this would also require further research on state costs and utilities, and the impact of a gluten-free diet, none of which </w:t>
      </w:r>
      <w:r w:rsidR="005D148A" w:rsidRPr="00C1603D">
        <w:t>are</w:t>
      </w:r>
      <w:r w:rsidRPr="00C1603D">
        <w:t xml:space="preserve"> guaranteed to have high</w:t>
      </w:r>
      <w:r w:rsidR="005D148A" w:rsidRPr="00C1603D">
        <w:t>-</w:t>
      </w:r>
      <w:r w:rsidRPr="00C1603D">
        <w:t>quality data, and may not lead to different recommendations.</w:t>
      </w:r>
      <w:r w:rsidRPr="00C1603D">
        <w:rPr>
          <w:noProof/>
          <w:vertAlign w:val="superscript"/>
        </w:rPr>
        <w:t>271</w:t>
      </w:r>
    </w:p>
    <w:p w14:paraId="5E75790C" w14:textId="74C67A8F" w:rsidR="008B4DF8" w:rsidRPr="00C1603D" w:rsidRDefault="008B4DF8" w:rsidP="008B4DF8">
      <w:pPr>
        <w:pStyle w:val="602TextfoTextstylesTextstyles"/>
        <w:rPr>
          <w:color w:val="auto"/>
        </w:rPr>
      </w:pPr>
      <w:r w:rsidRPr="00C1603D">
        <w:t xml:space="preserve">The data informing our selected model also had limitations. All uncertainties regarding test accuracy from </w:t>
      </w:r>
      <w:r w:rsidRPr="00C1603D">
        <w:rPr>
          <w:i/>
          <w:iCs/>
        </w:rPr>
        <w:t>Chapter</w:t>
      </w:r>
      <w:r w:rsidR="0079015B" w:rsidRPr="00C1603D">
        <w:rPr>
          <w:i/>
          <w:iCs/>
        </w:rPr>
        <w:t>s</w:t>
      </w:r>
      <w:r w:rsidRPr="00C1603D">
        <w:rPr>
          <w:i/>
          <w:iCs/>
        </w:rPr>
        <w:t xml:space="preserve"> 5</w:t>
      </w:r>
      <w:r w:rsidRPr="00C1603D">
        <w:t xml:space="preserve"> and </w:t>
      </w:r>
      <w:r w:rsidRPr="00C1603D">
        <w:rPr>
          <w:i/>
          <w:iCs/>
        </w:rPr>
        <w:t>6</w:t>
      </w:r>
      <w:r w:rsidRPr="00C1603D">
        <w:t xml:space="preserve"> carry through to the cost-effectiveness model. The cost of</w:t>
      </w:r>
      <w:r w:rsidR="0079015B" w:rsidRPr="00C1603D">
        <w:t xml:space="preserve"> the</w:t>
      </w:r>
      <w:r w:rsidRPr="00C1603D">
        <w:t xml:space="preserve"> IgA EMA, IgA tTG and HLA </w:t>
      </w:r>
      <w:r w:rsidR="0079015B" w:rsidRPr="00C1603D">
        <w:t xml:space="preserve">tests </w:t>
      </w:r>
      <w:r w:rsidRPr="00C1603D">
        <w:t>were uncertain; we informed these through quot</w:t>
      </w:r>
      <w:r w:rsidR="0079015B" w:rsidRPr="00C1603D">
        <w:t>ation</w:t>
      </w:r>
      <w:r w:rsidRPr="00C1603D">
        <w:t>s provided by laboratories affiliated with our team</w:t>
      </w:r>
      <w:r w:rsidR="0079015B" w:rsidRPr="00C1603D">
        <w:t>,</w:t>
      </w:r>
      <w:r w:rsidRPr="00C1603D">
        <w:t xml:space="preserve"> but found them to vary even within this small sample. </w:t>
      </w:r>
      <w:commentRangeStart w:id="459"/>
      <w:r w:rsidRPr="00C1603D">
        <w:t xml:space="preserve">The CPRD analysis could estimate </w:t>
      </w:r>
      <w:r w:rsidR="00AA1755" w:rsidRPr="00C1603D">
        <w:t xml:space="preserve">the </w:t>
      </w:r>
      <w:r w:rsidRPr="00C1603D">
        <w:t>prevalence</w:t>
      </w:r>
      <w:r w:rsidR="006C7F63" w:rsidRPr="00C1603D">
        <w:t>s</w:t>
      </w:r>
      <w:r w:rsidRPr="00C1603D">
        <w:t xml:space="preserve"> of osteoporosis, NHL and IDA in a diagnosed CD cohort</w:t>
      </w:r>
      <w:r w:rsidR="00AA1755" w:rsidRPr="00C1603D">
        <w:t xml:space="preserve"> only</w:t>
      </w:r>
      <w:r w:rsidR="0079015B" w:rsidRPr="00C1603D">
        <w:t>,</w:t>
      </w:r>
      <w:r w:rsidRPr="00C1603D">
        <w:t xml:space="preserve"> so the initial prevalence</w:t>
      </w:r>
      <w:r w:rsidR="006C7F63" w:rsidRPr="00C1603D">
        <w:t>s</w:t>
      </w:r>
      <w:r w:rsidRPr="00C1603D">
        <w:t xml:space="preserve"> </w:t>
      </w:r>
      <w:r w:rsidR="00AA1755" w:rsidRPr="00C1603D">
        <w:t>in</w:t>
      </w:r>
      <w:r w:rsidR="0079015B" w:rsidRPr="00C1603D">
        <w:t xml:space="preserve"> the</w:t>
      </w:r>
      <w:r w:rsidRPr="00C1603D">
        <w:t xml:space="preserve"> undiagnosed CD</w:t>
      </w:r>
      <w:r w:rsidR="0079015B" w:rsidRPr="00C1603D">
        <w:t xml:space="preserve"> cohort</w:t>
      </w:r>
      <w:r w:rsidRPr="00C1603D">
        <w:t xml:space="preserve"> </w:t>
      </w:r>
      <w:r w:rsidR="006C7F63" w:rsidRPr="00C1603D">
        <w:t>were</w:t>
      </w:r>
      <w:r w:rsidRPr="00C1603D">
        <w:t xml:space="preserve"> assumed to be the same as </w:t>
      </w:r>
      <w:r w:rsidR="006C7F63" w:rsidRPr="00C1603D">
        <w:t>those</w:t>
      </w:r>
      <w:r w:rsidR="00D3763C" w:rsidRPr="00C1603D">
        <w:t xml:space="preserve"> of the</w:t>
      </w:r>
      <w:r w:rsidRPr="00C1603D">
        <w:t xml:space="preserve"> newly diagnosed CD</w:t>
      </w:r>
      <w:r w:rsidR="00D3763C" w:rsidRPr="00C1603D">
        <w:t xml:space="preserve"> cohort</w:t>
      </w:r>
      <w:r w:rsidRPr="00C1603D">
        <w:t>. However, th</w:t>
      </w:r>
      <w:r w:rsidR="006C7F63" w:rsidRPr="00C1603D">
        <w:t>e</w:t>
      </w:r>
      <w:r w:rsidRPr="00C1603D">
        <w:t xml:space="preserve"> prevalence</w:t>
      </w:r>
      <w:r w:rsidR="006C7F63" w:rsidRPr="00C1603D">
        <w:t>s</w:t>
      </w:r>
      <w:r w:rsidRPr="00C1603D">
        <w:t xml:space="preserve"> eventually diverge </w:t>
      </w:r>
      <w:r w:rsidR="0030482C" w:rsidRPr="00C1603D">
        <w:t>because of</w:t>
      </w:r>
      <w:r w:rsidR="006C7F63" w:rsidRPr="00C1603D">
        <w:t xml:space="preserve"> the</w:t>
      </w:r>
      <w:r w:rsidRPr="00C1603D">
        <w:t xml:space="preserve"> different rates of developing osteoporosis and NHL in diagnosed and undiagnosed CD</w:t>
      </w:r>
      <w:r w:rsidR="0030482C" w:rsidRPr="00C1603D">
        <w:t xml:space="preserve"> cohorts</w:t>
      </w:r>
      <w:r w:rsidRPr="00C1603D">
        <w:t xml:space="preserve">. </w:t>
      </w:r>
      <w:commentRangeEnd w:id="459"/>
      <w:r w:rsidR="006C7F63" w:rsidRPr="00C1603D">
        <w:rPr>
          <w:rFonts w:ascii="Times New Roman" w:hAnsi="Times New Roman" w:cs="Times New Roman"/>
          <w:color w:val="auto"/>
          <w:lang w:val="en-US"/>
        </w:rPr>
        <w:commentReference w:id="459"/>
      </w:r>
      <w:r w:rsidRPr="00C1603D">
        <w:t>Evidence on routine diagnosis of CD was limited</w:t>
      </w:r>
      <w:r w:rsidR="002E1C19" w:rsidRPr="00C1603D">
        <w:t>, so</w:t>
      </w:r>
      <w:r w:rsidRPr="00C1603D">
        <w:t xml:space="preserve"> we relied on a survey on the duration of symptoms prior to diagnosis.</w:t>
      </w:r>
      <w:r w:rsidRPr="00C1603D">
        <w:rPr>
          <w:noProof/>
          <w:vertAlign w:val="superscript"/>
        </w:rPr>
        <w:t>238</w:t>
      </w:r>
      <w:r w:rsidRPr="00C1603D">
        <w:t xml:space="preserve"> This is problematic as it considers only patients who are eventually diagnosed and is estimating time from symptoms rather than time </w:t>
      </w:r>
      <w:r w:rsidRPr="00C1603D">
        <w:rPr>
          <w:color w:val="auto"/>
        </w:rPr>
        <w:t>from developing CD, thus biasing towards lower times to diagnosis. In our model, we also assumed that time to eventual diagnosis is unaffected by an initial false</w:t>
      </w:r>
      <w:r w:rsidR="002E1C19" w:rsidRPr="00C1603D">
        <w:rPr>
          <w:color w:val="auto"/>
        </w:rPr>
        <w:t>-</w:t>
      </w:r>
      <w:r w:rsidRPr="00C1603D">
        <w:rPr>
          <w:color w:val="auto"/>
        </w:rPr>
        <w:t>negative</w:t>
      </w:r>
      <w:r w:rsidR="002E1C19" w:rsidRPr="00C1603D">
        <w:rPr>
          <w:color w:val="auto"/>
        </w:rPr>
        <w:t xml:space="preserve"> result</w:t>
      </w:r>
      <w:r w:rsidRPr="00C1603D">
        <w:rPr>
          <w:color w:val="auto"/>
        </w:rPr>
        <w:t xml:space="preserve"> from the screening programme; bias could be towards lower times to diagnosis if screening leads to greater awareness of CD or towards longer times if the negative result gives a patient a belief that they </w:t>
      </w:r>
      <w:r w:rsidR="00982F48" w:rsidRPr="00C1603D">
        <w:rPr>
          <w:color w:val="auto"/>
        </w:rPr>
        <w:t>do not</w:t>
      </w:r>
      <w:r w:rsidRPr="00C1603D">
        <w:rPr>
          <w:color w:val="auto"/>
        </w:rPr>
        <w:t xml:space="preserve"> have CD.</w:t>
      </w:r>
    </w:p>
    <w:p w14:paraId="5BB1985A" w14:textId="1D9BA0A4" w:rsidR="008B4DF8" w:rsidRPr="00C1603D" w:rsidRDefault="008B4DF8" w:rsidP="008B4DF8">
      <w:pPr>
        <w:pStyle w:val="602TextfoTextstylesTextstyles"/>
      </w:pPr>
      <w:r w:rsidRPr="00C1603D">
        <w:t>The benefit of</w:t>
      </w:r>
      <w:r w:rsidR="00982F48" w:rsidRPr="00C1603D">
        <w:t xml:space="preserve"> a</w:t>
      </w:r>
      <w:r w:rsidRPr="00C1603D">
        <w:t xml:space="preserve"> gluten-free diet, in terms of either quality</w:t>
      </w:r>
      <w:r w:rsidR="00982F48" w:rsidRPr="00C1603D">
        <w:t>-</w:t>
      </w:r>
      <w:r w:rsidRPr="00C1603D">
        <w:t>of</w:t>
      </w:r>
      <w:r w:rsidR="00982F48" w:rsidRPr="00C1603D">
        <w:t>-</w:t>
      </w:r>
      <w:r w:rsidRPr="00C1603D">
        <w:t>life improvements or reduced rates of complications, was uncertain. Unlike the NICE 2015 model,</w:t>
      </w:r>
      <w:r w:rsidR="002C4DA8" w:rsidRPr="00C1603D">
        <w:rPr>
          <w:vertAlign w:val="superscript"/>
        </w:rPr>
        <w:t>198</w:t>
      </w:r>
      <w:r w:rsidRPr="00C1603D">
        <w:t xml:space="preserve"> our model does not distinguish between people with diagnosed CD following a gluten-free diet </w:t>
      </w:r>
      <w:r w:rsidR="002C4DA8" w:rsidRPr="00C1603D">
        <w:t>and people with diagnosed CD</w:t>
      </w:r>
      <w:r w:rsidRPr="00C1603D">
        <w:t xml:space="preserve"> not</w:t>
      </w:r>
      <w:r w:rsidR="002C4DA8" w:rsidRPr="00C1603D">
        <w:t xml:space="preserve"> following a gluten-free diet</w:t>
      </w:r>
      <w:r w:rsidRPr="00C1603D">
        <w:t xml:space="preserve">. This is because there are many methodological challenges associated with assessing dietary adherence and a lack of reliable data on the health impacts of following a gluten-free diet or not. Reported gluten-free diet adherence rates vary </w:t>
      </w:r>
      <w:proofErr w:type="gramStart"/>
      <w:r w:rsidRPr="00C1603D">
        <w:t>substantially depending</w:t>
      </w:r>
      <w:proofErr w:type="gramEnd"/>
      <w:r w:rsidRPr="00C1603D">
        <w:t xml:space="preserve"> on how it is measured and the population studied.</w:t>
      </w:r>
      <w:r w:rsidRPr="00C1603D">
        <w:rPr>
          <w:noProof/>
          <w:vertAlign w:val="superscript"/>
        </w:rPr>
        <w:t>217</w:t>
      </w:r>
      <w:r w:rsidRPr="00C1603D">
        <w:t xml:space="preserve"> </w:t>
      </w:r>
      <w:commentRangeStart w:id="460"/>
      <w:r w:rsidRPr="00C1603D">
        <w:t>Violato</w:t>
      </w:r>
      <w:r w:rsidRPr="00C1603D">
        <w:rPr>
          <w:i/>
          <w:color w:val="00B0F0"/>
        </w:rPr>
        <w:t xml:space="preserve"> et al</w:t>
      </w:r>
      <w:r w:rsidR="002C4DA8" w:rsidRPr="00C1603D">
        <w:rPr>
          <w:iCs/>
          <w:color w:val="00B0F0"/>
        </w:rPr>
        <w:t>.</w:t>
      </w:r>
      <w:r w:rsidRPr="00C1603D">
        <w:t xml:space="preserve"> reported a coefficient for the impact on quality of life of not adhering to a gluten-free diet of </w:t>
      </w:r>
      <w:r w:rsidRPr="00C1603D">
        <w:rPr>
          <w:color w:val="00B0F0"/>
        </w:rPr>
        <w:t>–0</w:t>
      </w:r>
      <w:r w:rsidRPr="00C1603D">
        <w:t>.14 (</w:t>
      </w:r>
      <w:r w:rsidRPr="00C1603D">
        <w:rPr>
          <w:color w:val="00B0F0"/>
        </w:rPr>
        <w:t>–0</w:t>
      </w:r>
      <w:r w:rsidRPr="00C1603D">
        <w:t>.31, 0.03)</w:t>
      </w:r>
      <w:r w:rsidR="002C4DA8" w:rsidRPr="00C1603D">
        <w:t>,</w:t>
      </w:r>
      <w:r w:rsidRPr="00C1603D">
        <w:t xml:space="preserve"> </w:t>
      </w:r>
      <w:r w:rsidR="00553BA7" w:rsidRPr="00C1603D">
        <w:t>compared with</w:t>
      </w:r>
      <w:r w:rsidRPr="00C1603D">
        <w:t xml:space="preserve"> adhering all the time.</w:t>
      </w:r>
      <w:r w:rsidRPr="00C1603D">
        <w:rPr>
          <w:noProof/>
          <w:vertAlign w:val="superscript"/>
        </w:rPr>
        <w:t>217</w:t>
      </w:r>
      <w:r w:rsidRPr="00C1603D">
        <w:t xml:space="preserve"> </w:t>
      </w:r>
      <w:commentRangeEnd w:id="460"/>
      <w:r w:rsidR="002C4DA8" w:rsidRPr="00C1603D">
        <w:rPr>
          <w:rFonts w:ascii="Times New Roman" w:hAnsi="Times New Roman" w:cs="Times New Roman"/>
          <w:color w:val="auto"/>
          <w:lang w:val="en-US"/>
        </w:rPr>
        <w:commentReference w:id="460"/>
      </w:r>
      <w:r w:rsidRPr="00C1603D">
        <w:t>However, we could not use this without a reliable estimate for adherence.</w:t>
      </w:r>
    </w:p>
    <w:p w14:paraId="472E8A1D" w14:textId="64E14714" w:rsidR="008B4DF8" w:rsidRPr="00C1603D" w:rsidRDefault="008B4DF8" w:rsidP="008B4DF8">
      <w:pPr>
        <w:pStyle w:val="602TextfoTextstylesTextstyles"/>
      </w:pPr>
      <w:r w:rsidRPr="00C1603D">
        <w:t>Based on our survey of patients (</w:t>
      </w:r>
      <w:r w:rsidR="002C4DA8" w:rsidRPr="00C1603D">
        <w:t xml:space="preserve">see </w:t>
      </w:r>
      <w:r w:rsidRPr="00C1603D">
        <w:rPr>
          <w:i/>
          <w:iCs/>
        </w:rPr>
        <w:t>Chapter 7</w:t>
      </w:r>
      <w:r w:rsidRPr="00C1603D">
        <w:t xml:space="preserve">), we assumed </w:t>
      </w:r>
      <w:r w:rsidR="002C4DA8" w:rsidRPr="00C1603D">
        <w:t xml:space="preserve">that a </w:t>
      </w:r>
      <w:r w:rsidRPr="00C1603D">
        <w:t xml:space="preserve">confirmatory biopsy would be needed </w:t>
      </w:r>
      <w:r w:rsidR="002C4DA8" w:rsidRPr="00C1603D">
        <w:t>for</w:t>
      </w:r>
      <w:r w:rsidRPr="00C1603D">
        <w:t xml:space="preserve"> patients with post-test probabilities </w:t>
      </w:r>
      <w:r w:rsidR="002C4DA8" w:rsidRPr="00C1603D">
        <w:t>of &lt; </w:t>
      </w:r>
      <w:r w:rsidRPr="00C1603D">
        <w:t xml:space="preserve">90%. This would lead to </w:t>
      </w:r>
      <w:proofErr w:type="gramStart"/>
      <w:r w:rsidRPr="00C1603D">
        <w:t>roughly 70%</w:t>
      </w:r>
      <w:proofErr w:type="gramEnd"/>
      <w:r w:rsidRPr="00C1603D">
        <w:t xml:space="preserve"> of patients having </w:t>
      </w:r>
      <w:r w:rsidR="002C4DA8" w:rsidRPr="00C1603D">
        <w:t xml:space="preserve">a </w:t>
      </w:r>
      <w:r w:rsidRPr="00C1603D">
        <w:t>confirmatory biopsy, in accordance with recent research indicating high diagnostic accuracy of tests alone.</w:t>
      </w:r>
      <w:r w:rsidRPr="00C1603D">
        <w:rPr>
          <w:noProof/>
          <w:vertAlign w:val="superscript"/>
        </w:rPr>
        <w:t>223</w:t>
      </w:r>
      <w:r w:rsidRPr="00C1603D">
        <w:rPr>
          <w:noProof/>
          <w:color w:val="00B0F0"/>
          <w:vertAlign w:val="superscript"/>
        </w:rPr>
        <w:t>–2</w:t>
      </w:r>
      <w:r w:rsidRPr="00C1603D">
        <w:rPr>
          <w:noProof/>
          <w:vertAlign w:val="superscript"/>
        </w:rPr>
        <w:t>26</w:t>
      </w:r>
      <w:r w:rsidRPr="00C1603D">
        <w:t xml:space="preserve"> In all cases of data uncertainty, we varied parameters and propagated uncertainty to the probabilistic results</w:t>
      </w:r>
      <w:r w:rsidR="002C4DA8" w:rsidRPr="00C1603D">
        <w:t>;</w:t>
      </w:r>
      <w:r w:rsidRPr="00C1603D">
        <w:t xml:space="preserve"> this perhaps </w:t>
      </w:r>
      <w:r w:rsidR="002C4DA8" w:rsidRPr="00C1603D">
        <w:t>explains the</w:t>
      </w:r>
      <w:r w:rsidRPr="00C1603D">
        <w:t xml:space="preserve"> lower probabilities that our optimal strategies were </w:t>
      </w:r>
      <w:r w:rsidR="002C4DA8" w:rsidRPr="00C1603D">
        <w:t xml:space="preserve">the </w:t>
      </w:r>
      <w:r w:rsidRPr="00C1603D">
        <w:t xml:space="preserve">most cost-effective. A further limitation </w:t>
      </w:r>
      <w:r w:rsidR="002C4DA8" w:rsidRPr="00C1603D">
        <w:t>of</w:t>
      </w:r>
      <w:r w:rsidRPr="00C1603D">
        <w:t xml:space="preserve"> our analysis is that we did not consider the capital cost of laboratories across the UK having to establish capacity for IgA EMA or HLA testing. This was considered in the NICE model</w:t>
      </w:r>
      <w:r w:rsidR="004D7471" w:rsidRPr="00C1603D">
        <w:t>,</w:t>
      </w:r>
      <w:r w:rsidRPr="00C1603D">
        <w:t xml:space="preserve"> and they found </w:t>
      </w:r>
      <w:r w:rsidR="004D7471" w:rsidRPr="00C1603D">
        <w:t xml:space="preserve">the </w:t>
      </w:r>
      <w:r w:rsidRPr="00C1603D">
        <w:t>results to be insensitive to</w:t>
      </w:r>
      <w:r w:rsidR="004D7471" w:rsidRPr="00C1603D">
        <w:t xml:space="preserve"> the</w:t>
      </w:r>
      <w:r w:rsidRPr="00C1603D">
        <w:t xml:space="preserve"> inclusion of capital costs.</w:t>
      </w:r>
      <w:r w:rsidRPr="00C1603D">
        <w:rPr>
          <w:noProof/>
          <w:vertAlign w:val="superscript"/>
          <w:lang w:eastAsia="en-GB"/>
        </w:rPr>
        <w:t>198</w:t>
      </w:r>
      <w:r w:rsidRPr="00C1603D">
        <w:rPr>
          <w:lang w:eastAsia="en-GB"/>
        </w:rPr>
        <w:t xml:space="preserve"> </w:t>
      </w:r>
      <w:r w:rsidR="004D7471" w:rsidRPr="00C1603D">
        <w:rPr>
          <w:lang w:eastAsia="en-GB"/>
        </w:rPr>
        <w:t>Furthermore</w:t>
      </w:r>
      <w:r w:rsidRPr="00C1603D">
        <w:rPr>
          <w:lang w:eastAsia="en-GB"/>
        </w:rPr>
        <w:t>, when not including HLA</w:t>
      </w:r>
      <w:r w:rsidR="004D7471" w:rsidRPr="00C1603D">
        <w:rPr>
          <w:lang w:eastAsia="en-GB"/>
        </w:rPr>
        <w:t xml:space="preserve"> testing,</w:t>
      </w:r>
      <w:r w:rsidRPr="00C1603D">
        <w:rPr>
          <w:lang w:eastAsia="en-GB"/>
        </w:rPr>
        <w:t xml:space="preserve"> our analyses did not favour IgA EMA or IgA tTG, or a combination thereof. With HLA</w:t>
      </w:r>
      <w:r w:rsidR="004D7471" w:rsidRPr="00C1603D">
        <w:rPr>
          <w:lang w:eastAsia="en-GB"/>
        </w:rPr>
        <w:t xml:space="preserve"> testing,</w:t>
      </w:r>
      <w:r w:rsidRPr="00C1603D">
        <w:rPr>
          <w:lang w:eastAsia="en-GB"/>
        </w:rPr>
        <w:t xml:space="preserve"> we found that IgA EMA plus HLA performed similarly to IgA tTG plus EMA plus HLA, meaning that it would only be necessary to ensure capacity for IgA EMA and HLA.</w:t>
      </w:r>
    </w:p>
    <w:p w14:paraId="5F755712" w14:textId="58DE095D" w:rsidR="008B4DF8" w:rsidRPr="00C1603D" w:rsidRDefault="008B4DF8" w:rsidP="008B4DF8">
      <w:pPr>
        <w:pStyle w:val="602TextfoTextstylesTextstyles"/>
      </w:pPr>
      <w:r w:rsidRPr="00C1603D">
        <w:t xml:space="preserve">A further limitation of </w:t>
      </w:r>
      <w:r w:rsidR="004D7471" w:rsidRPr="00C1603D">
        <w:t>the</w:t>
      </w:r>
      <w:r w:rsidRPr="00C1603D">
        <w:t xml:space="preserve"> economic analysis is that the model used the E</w:t>
      </w:r>
      <w:r w:rsidRPr="00C1603D">
        <w:rPr>
          <w:color w:val="00B0F0"/>
        </w:rPr>
        <w:t>Q-5</w:t>
      </w:r>
      <w:r w:rsidRPr="00C1603D">
        <w:t xml:space="preserve">D measure of quality of life to capture the effect </w:t>
      </w:r>
      <w:r w:rsidR="001956B2" w:rsidRPr="00C1603D">
        <w:t xml:space="preserve">on quality of life </w:t>
      </w:r>
      <w:r w:rsidRPr="00C1603D">
        <w:t xml:space="preserve">of following </w:t>
      </w:r>
      <w:r w:rsidR="00A4526B" w:rsidRPr="00C1603D">
        <w:t>a</w:t>
      </w:r>
      <w:r w:rsidRPr="00C1603D">
        <w:t xml:space="preserve"> gluten-free diet</w:t>
      </w:r>
      <w:r w:rsidR="001956B2" w:rsidRPr="00C1603D">
        <w:t>,</w:t>
      </w:r>
      <w:r w:rsidRPr="00C1603D">
        <w:t xml:space="preserve"> which show</w:t>
      </w:r>
      <w:r w:rsidR="001956B2" w:rsidRPr="00C1603D">
        <w:t>ed</w:t>
      </w:r>
      <w:r w:rsidRPr="00C1603D">
        <w:t xml:space="preserve"> no effect, so the model assumes that following the diet causes no disutility. However, the E</w:t>
      </w:r>
      <w:r w:rsidRPr="00C1603D">
        <w:rPr>
          <w:color w:val="00B0F0"/>
        </w:rPr>
        <w:t>Q-5</w:t>
      </w:r>
      <w:r w:rsidRPr="00C1603D">
        <w:t>D is a very crude measure and does not capture the difficulty of following a strict lifelong diet and its social implications. The CD-</w:t>
      </w:r>
      <w:r w:rsidR="001956B2" w:rsidRPr="00C1603D">
        <w:t xml:space="preserve">QOL </w:t>
      </w:r>
      <w:r w:rsidRPr="00C1603D">
        <w:t xml:space="preserve">(part of the survey in </w:t>
      </w:r>
      <w:r w:rsidRPr="00C1603D">
        <w:rPr>
          <w:i/>
          <w:iCs/>
        </w:rPr>
        <w:t>Chapter 7</w:t>
      </w:r>
      <w:r w:rsidRPr="00C1603D">
        <w:t xml:space="preserve">) showed that </w:t>
      </w:r>
      <w:r w:rsidR="001956B2" w:rsidRPr="00C1603D">
        <w:t>quality of life among</w:t>
      </w:r>
      <w:r w:rsidRPr="00C1603D">
        <w:t xml:space="preserve"> CD patients was </w:t>
      </w:r>
      <w:proofErr w:type="gramStart"/>
      <w:r w:rsidRPr="00C1603D">
        <w:t>mainly affected</w:t>
      </w:r>
      <w:proofErr w:type="gramEnd"/>
      <w:r w:rsidRPr="00C1603D">
        <w:t xml:space="preserve"> by CD</w:t>
      </w:r>
      <w:r w:rsidR="001956B2" w:rsidRPr="00C1603D">
        <w:t>-</w:t>
      </w:r>
      <w:r w:rsidRPr="00C1603D">
        <w:t>related limitations and health concerns. However, it is not currently possible to translate results from the CD-Q</w:t>
      </w:r>
      <w:r w:rsidR="001956B2" w:rsidRPr="00C1603D">
        <w:t>O</w:t>
      </w:r>
      <w:r w:rsidRPr="00C1603D">
        <w:t xml:space="preserve">L to </w:t>
      </w:r>
      <w:r w:rsidR="001956B2" w:rsidRPr="00C1603D">
        <w:t>QALYs,</w:t>
      </w:r>
      <w:r w:rsidRPr="00C1603D">
        <w:t xml:space="preserve"> making it impossible to use this tool to quantify </w:t>
      </w:r>
      <w:r w:rsidR="001956B2" w:rsidRPr="00C1603D">
        <w:t xml:space="preserve">quality of life </w:t>
      </w:r>
      <w:r w:rsidRPr="00C1603D">
        <w:t>in the model.</w:t>
      </w:r>
    </w:p>
    <w:p w14:paraId="339A33E4" w14:textId="6F047A44" w:rsidR="008B4DF8" w:rsidRPr="00C1603D" w:rsidRDefault="008B4DF8" w:rsidP="008B4DF8">
      <w:pPr>
        <w:pStyle w:val="602TextfoTextstylesTextstyles"/>
      </w:pPr>
      <w:r w:rsidRPr="00C1603D">
        <w:lastRenderedPageBreak/>
        <w:t>Finally, a limitation of the serological test accuracy review (</w:t>
      </w:r>
      <w:r w:rsidR="001956B2" w:rsidRPr="00C1603D">
        <w:t xml:space="preserve">see </w:t>
      </w:r>
      <w:r w:rsidRPr="00C1603D">
        <w:rPr>
          <w:i/>
          <w:iCs/>
        </w:rPr>
        <w:t>Chapter 5</w:t>
      </w:r>
      <w:r w:rsidRPr="00C1603D">
        <w:t>) and the economic models (</w:t>
      </w:r>
      <w:r w:rsidR="001956B2" w:rsidRPr="00C1603D">
        <w:t xml:space="preserve">see </w:t>
      </w:r>
      <w:r w:rsidRPr="00C1603D">
        <w:rPr>
          <w:i/>
          <w:iCs/>
        </w:rPr>
        <w:t>Chapter 8</w:t>
      </w:r>
      <w:r w:rsidRPr="00C1603D">
        <w:t>) is that we assumed a 100% accuracy of the biopsy procedure by treating it as a gold standard. No diagnostic procedure is 100% accurate</w:t>
      </w:r>
      <w:r w:rsidR="001956B2" w:rsidRPr="00C1603D">
        <w:t>;</w:t>
      </w:r>
      <w:r w:rsidRPr="00C1603D">
        <w:t xml:space="preserve"> in clinical practice</w:t>
      </w:r>
      <w:r w:rsidR="001956B2" w:rsidRPr="00C1603D">
        <w:t>,</w:t>
      </w:r>
      <w:r w:rsidRPr="00C1603D">
        <w:t xml:space="preserve"> the diagnosis of CD relies on a combination of clinical, serological and histopathological findings. There are many potential histopathological mimics that can cause false</w:t>
      </w:r>
      <w:r w:rsidR="000C7C20" w:rsidRPr="00C1603D">
        <w:t>-</w:t>
      </w:r>
      <w:r w:rsidRPr="00C1603D">
        <w:t xml:space="preserve">positive biopsy results if CD serology is not taken into account, such as infections, other bowel diseases </w:t>
      </w:r>
      <w:r w:rsidR="001956B2" w:rsidRPr="00C1603D">
        <w:t>such as</w:t>
      </w:r>
      <w:r w:rsidRPr="00C1603D">
        <w:t xml:space="preserve"> peptic ulcer disease or IBS, and certain medications.</w:t>
      </w:r>
      <w:r w:rsidRPr="00C1603D">
        <w:rPr>
          <w:noProof/>
          <w:vertAlign w:val="superscript"/>
        </w:rPr>
        <w:t>12</w:t>
      </w:r>
      <w:r w:rsidRPr="00C1603D">
        <w:t xml:space="preserve"> The correct orientation and cutting procedure are essential for appropriate interpretation </w:t>
      </w:r>
      <w:r w:rsidR="001956B2" w:rsidRPr="00C1603D">
        <w:t xml:space="preserve">of </w:t>
      </w:r>
      <w:r w:rsidRPr="00C1603D">
        <w:t>histopathological findings.</w:t>
      </w:r>
      <w:r w:rsidRPr="00C1603D">
        <w:rPr>
          <w:noProof/>
          <w:vertAlign w:val="superscript"/>
        </w:rPr>
        <w:t>10,12</w:t>
      </w:r>
      <w:r w:rsidRPr="00C1603D">
        <w:t xml:space="preserve"> Detecting mucosal architectural changes is further complicated by the fact that CD does not necessarily affect all parts of the small bowel and the severity of coeliac lesions can vary between areas.</w:t>
      </w:r>
      <w:r w:rsidRPr="00C1603D">
        <w:rPr>
          <w:noProof/>
          <w:vertAlign w:val="superscript"/>
        </w:rPr>
        <w:t>272</w:t>
      </w:r>
      <w:r w:rsidRPr="00C1603D">
        <w:t xml:space="preserve"> Thus, pathological findings in CD can be patchy and multiple biopsies are needed to diagnose CD.</w:t>
      </w:r>
      <w:r w:rsidRPr="00C1603D">
        <w:rPr>
          <w:noProof/>
          <w:vertAlign w:val="superscript"/>
        </w:rPr>
        <w:t>273</w:t>
      </w:r>
      <w:r w:rsidRPr="00C1603D">
        <w:t xml:space="preserve"> As a result, interobserver variability is high for the interpret</w:t>
      </w:r>
      <w:r w:rsidR="001956B2" w:rsidRPr="00C1603D">
        <w:t>ation of</w:t>
      </w:r>
      <w:r w:rsidRPr="00C1603D">
        <w:t xml:space="preserve"> biopsy results.</w:t>
      </w:r>
      <w:r w:rsidRPr="00C1603D">
        <w:rPr>
          <w:noProof/>
          <w:vertAlign w:val="superscript"/>
        </w:rPr>
        <w:t>10</w:t>
      </w:r>
    </w:p>
    <w:p w14:paraId="3DC59050" w14:textId="77777777" w:rsidR="008B4DF8" w:rsidRPr="00C1603D" w:rsidRDefault="008B4DF8" w:rsidP="008B4DF8">
      <w:pPr>
        <w:pStyle w:val="52AheadHeadingsHeadingstyles"/>
      </w:pPr>
      <w:bookmarkStart w:id="461" w:name="_Toc99539908"/>
      <w:r w:rsidRPr="00C1603D">
        <w:t>Comparison with other studies</w:t>
      </w:r>
      <w:bookmarkEnd w:id="461"/>
    </w:p>
    <w:p w14:paraId="5F3E28C6" w14:textId="0849BE4F" w:rsidR="008B4DF8" w:rsidRPr="00C1603D" w:rsidRDefault="008B4DF8" w:rsidP="008B4DF8">
      <w:pPr>
        <w:pStyle w:val="602TextfoTextstylesTextstyles"/>
      </w:pPr>
      <w:r w:rsidRPr="00C1603D">
        <w:t>Our estimates of the probability of CD for people with certain risk conditions</w:t>
      </w:r>
      <w:r w:rsidR="001956B2" w:rsidRPr="00C1603D">
        <w:t>,</w:t>
      </w:r>
      <w:r w:rsidRPr="00C1603D">
        <w:t xml:space="preserve"> </w:t>
      </w:r>
      <w:r w:rsidR="00553BA7" w:rsidRPr="00C1603D">
        <w:t>compared with</w:t>
      </w:r>
      <w:r w:rsidRPr="00C1603D">
        <w:t xml:space="preserve"> the general population</w:t>
      </w:r>
      <w:r w:rsidR="001956B2" w:rsidRPr="00C1603D">
        <w:t>,</w:t>
      </w:r>
      <w:r w:rsidRPr="00C1603D">
        <w:t xml:space="preserve"> are in agreement with previous reports on the prevalence of CD among individuals with those conditions. </w:t>
      </w:r>
      <w:commentRangeStart w:id="462"/>
      <w:r w:rsidRPr="00C1603D">
        <w:t xml:space="preserve">Meta-analyses estimated the prevalence of CD </w:t>
      </w:r>
      <w:r w:rsidR="001956B2" w:rsidRPr="00C1603D">
        <w:t xml:space="preserve">to be </w:t>
      </w:r>
      <w:r w:rsidRPr="00C1603D">
        <w:rPr>
          <w:shd w:val="clear" w:color="auto" w:fill="FFFFFF"/>
        </w:rPr>
        <w:t>3</w:t>
      </w:r>
      <w:r w:rsidR="001956B2" w:rsidRPr="00C1603D">
        <w:rPr>
          <w:shd w:val="clear" w:color="auto" w:fill="FFFFFF"/>
        </w:rPr>
        <w:t>–</w:t>
      </w:r>
      <w:r w:rsidRPr="00C1603D">
        <w:rPr>
          <w:color w:val="00B0F0"/>
          <w:shd w:val="clear" w:color="auto" w:fill="FFFFFF"/>
        </w:rPr>
        <w:t>1</w:t>
      </w:r>
      <w:r w:rsidRPr="00C1603D">
        <w:rPr>
          <w:shd w:val="clear" w:color="auto" w:fill="FFFFFF"/>
        </w:rPr>
        <w:t xml:space="preserve">6% </w:t>
      </w:r>
      <w:r w:rsidR="001956B2" w:rsidRPr="00C1603D">
        <w:rPr>
          <w:shd w:val="clear" w:color="auto" w:fill="FFFFFF"/>
        </w:rPr>
        <w:t>among</w:t>
      </w:r>
      <w:r w:rsidRPr="00C1603D">
        <w:rPr>
          <w:shd w:val="clear" w:color="auto" w:fill="FFFFFF"/>
        </w:rPr>
        <w:t xml:space="preserve"> people with type 1 diabetes,</w:t>
      </w:r>
      <w:r w:rsidRPr="00C1603D">
        <w:rPr>
          <w:noProof/>
          <w:shd w:val="clear" w:color="auto" w:fill="FFFFFF"/>
          <w:vertAlign w:val="superscript"/>
        </w:rPr>
        <w:t>274</w:t>
      </w:r>
      <w:r w:rsidRPr="00C1603D">
        <w:t xml:space="preserve"> 1.6</w:t>
      </w:r>
      <w:r w:rsidRPr="00C1603D">
        <w:rPr>
          <w:color w:val="00B0F0"/>
        </w:rPr>
        <w:t>–3</w:t>
      </w:r>
      <w:r w:rsidRPr="00C1603D">
        <w:t>.8% (95% C</w:t>
      </w:r>
      <w:r w:rsidR="001956B2" w:rsidRPr="00C1603D">
        <w:t>I</w:t>
      </w:r>
      <w:r w:rsidRPr="00C1603D">
        <w:t>s) according to serology studies and 2.3</w:t>
      </w:r>
      <w:r w:rsidRPr="00C1603D">
        <w:rPr>
          <w:color w:val="00B0F0"/>
        </w:rPr>
        <w:t>–4</w:t>
      </w:r>
      <w:r w:rsidRPr="00C1603D">
        <w:t xml:space="preserve">.5% biopsy-proven CD </w:t>
      </w:r>
      <w:r w:rsidR="001956B2" w:rsidRPr="00C1603D">
        <w:t>among</w:t>
      </w:r>
      <w:r w:rsidRPr="00C1603D">
        <w:t xml:space="preserve"> people with IBS,</w:t>
      </w:r>
      <w:r w:rsidRPr="00C1603D">
        <w:rPr>
          <w:noProof/>
          <w:vertAlign w:val="superscript"/>
        </w:rPr>
        <w:t>275</w:t>
      </w:r>
      <w:r w:rsidRPr="00C1603D">
        <w:t xml:space="preserve"> 2.6</w:t>
      </w:r>
      <w:r w:rsidRPr="00C1603D">
        <w:rPr>
          <w:color w:val="00B0F0"/>
        </w:rPr>
        <w:t>–3</w:t>
      </w:r>
      <w:r w:rsidRPr="00C1603D">
        <w:t>.9</w:t>
      </w:r>
      <w:r w:rsidR="001956B2" w:rsidRPr="00C1603D">
        <w:t>%</w:t>
      </w:r>
      <w:r w:rsidRPr="00C1603D">
        <w:t xml:space="preserve"> among people with </w:t>
      </w:r>
      <w:r w:rsidR="00BB69D4" w:rsidRPr="00C1603D">
        <w:t>IDA</w:t>
      </w:r>
      <w:r w:rsidRPr="00C1603D">
        <w:t>,</w:t>
      </w:r>
      <w:r w:rsidRPr="00C1603D">
        <w:rPr>
          <w:noProof/>
          <w:vertAlign w:val="superscript"/>
        </w:rPr>
        <w:t>276</w:t>
      </w:r>
      <w:r w:rsidRPr="00C1603D">
        <w:t xml:space="preserve"> 1.6–2.6% </w:t>
      </w:r>
      <w:r w:rsidR="001956B2" w:rsidRPr="00C1603D">
        <w:t>among</w:t>
      </w:r>
      <w:r w:rsidRPr="00C1603D">
        <w:t xml:space="preserve"> people with epilepsy,</w:t>
      </w:r>
      <w:r w:rsidRPr="00C1603D">
        <w:rPr>
          <w:noProof/>
          <w:vertAlign w:val="superscript"/>
        </w:rPr>
        <w:t>277</w:t>
      </w:r>
      <w:r w:rsidRPr="00C1603D">
        <w:t xml:space="preserve"> 1.4</w:t>
      </w:r>
      <w:r w:rsidRPr="00C1603D">
        <w:rPr>
          <w:color w:val="00B0F0"/>
        </w:rPr>
        <w:t>–3</w:t>
      </w:r>
      <w:r w:rsidRPr="00C1603D">
        <w:t xml:space="preserve">.5% </w:t>
      </w:r>
      <w:r w:rsidR="001956B2" w:rsidRPr="00C1603D">
        <w:t>among</w:t>
      </w:r>
      <w:r w:rsidRPr="00C1603D">
        <w:t xml:space="preserve"> women with infertility,</w:t>
      </w:r>
      <w:r w:rsidRPr="00C1603D">
        <w:rPr>
          <w:noProof/>
          <w:vertAlign w:val="superscript"/>
        </w:rPr>
        <w:t>278</w:t>
      </w:r>
      <w:r w:rsidRPr="00C1603D">
        <w:t xml:space="preserve"> 1.3</w:t>
      </w:r>
      <w:r w:rsidRPr="00C1603D">
        <w:rPr>
          <w:color w:val="00B0F0"/>
        </w:rPr>
        <w:t>–1</w:t>
      </w:r>
      <w:r w:rsidRPr="00C1603D">
        <w:t xml:space="preserve">.9% </w:t>
      </w:r>
      <w:r w:rsidR="001956B2" w:rsidRPr="00C1603D">
        <w:t>among</w:t>
      </w:r>
      <w:r w:rsidRPr="00C1603D">
        <w:t xml:space="preserve"> people with autoimmune thyroid disease,</w:t>
      </w:r>
      <w:r w:rsidRPr="00C1603D">
        <w:rPr>
          <w:noProof/>
          <w:vertAlign w:val="superscript"/>
        </w:rPr>
        <w:t>279</w:t>
      </w:r>
      <w:r w:rsidRPr="00C1603D">
        <w:t xml:space="preserve"> 1</w:t>
      </w:r>
      <w:r w:rsidRPr="00C1603D">
        <w:rPr>
          <w:color w:val="00B0F0"/>
        </w:rPr>
        <w:t>–7</w:t>
      </w:r>
      <w:r w:rsidRPr="00C1603D">
        <w:t xml:space="preserve">% </w:t>
      </w:r>
      <w:r w:rsidR="001956B2" w:rsidRPr="00C1603D">
        <w:t>among</w:t>
      </w:r>
      <w:r w:rsidRPr="00C1603D">
        <w:t xml:space="preserve"> people with raised liver enzymes</w:t>
      </w:r>
      <w:r w:rsidRPr="00C1603D">
        <w:rPr>
          <w:noProof/>
          <w:vertAlign w:val="superscript"/>
        </w:rPr>
        <w:t>280</w:t>
      </w:r>
      <w:r w:rsidRPr="00C1603D">
        <w:t xml:space="preserve"> and 1.1</w:t>
      </w:r>
      <w:r w:rsidRPr="00C1603D">
        <w:rPr>
          <w:color w:val="00B0F0"/>
        </w:rPr>
        <w:t>–2</w:t>
      </w:r>
      <w:r w:rsidRPr="00C1603D">
        <w:t xml:space="preserve">.0% </w:t>
      </w:r>
      <w:r w:rsidR="001956B2" w:rsidRPr="00C1603D">
        <w:t>among</w:t>
      </w:r>
      <w:r w:rsidRPr="00C1603D">
        <w:t xml:space="preserve"> people with osteoporosis.</w:t>
      </w:r>
      <w:r w:rsidRPr="00C1603D">
        <w:rPr>
          <w:noProof/>
          <w:vertAlign w:val="superscript"/>
        </w:rPr>
        <w:t>281</w:t>
      </w:r>
      <w:commentRangeEnd w:id="462"/>
      <w:r w:rsidR="001956B2" w:rsidRPr="00C1603D">
        <w:rPr>
          <w:rFonts w:ascii="Times New Roman" w:hAnsi="Times New Roman" w:cs="Times New Roman"/>
          <w:color w:val="auto"/>
          <w:lang w:val="en-US"/>
        </w:rPr>
        <w:commentReference w:id="462"/>
      </w:r>
      <w:r w:rsidRPr="00C1603D">
        <w:t xml:space="preserve"> A meta-analysis of </w:t>
      </w:r>
      <w:r w:rsidR="001956B2" w:rsidRPr="00C1603D">
        <w:t>nine</w:t>
      </w:r>
      <w:r w:rsidRPr="00C1603D">
        <w:t xml:space="preserve"> studies found a pooled odds ratio of 1.7</w:t>
      </w:r>
      <w:r w:rsidRPr="00C1603D">
        <w:rPr>
          <w:color w:val="00B0F0"/>
        </w:rPr>
        <w:t>–2</w:t>
      </w:r>
      <w:r w:rsidRPr="00C1603D">
        <w:t xml:space="preserve">.7 for CD </w:t>
      </w:r>
      <w:r w:rsidR="001956B2" w:rsidRPr="00C1603D">
        <w:t>among</w:t>
      </w:r>
      <w:r w:rsidRPr="00C1603D">
        <w:t xml:space="preserve"> individuals with </w:t>
      </w:r>
      <w:r w:rsidR="00AA1EC4" w:rsidRPr="00C1603D">
        <w:t xml:space="preserve">psoriasis, compared with those </w:t>
      </w:r>
      <w:r w:rsidRPr="00C1603D">
        <w:t>without psoriasis</w:t>
      </w:r>
      <w:r w:rsidR="00AA1EC4" w:rsidRPr="00C1603D">
        <w:t>,</w:t>
      </w:r>
      <w:r w:rsidRPr="00C1603D">
        <w:rPr>
          <w:noProof/>
          <w:vertAlign w:val="superscript"/>
        </w:rPr>
        <w:t>282</w:t>
      </w:r>
      <w:r w:rsidRPr="00C1603D">
        <w:t xml:space="preserve"> and another meta-analysis found a 2.2</w:t>
      </w:r>
      <w:r w:rsidRPr="00C1603D">
        <w:rPr>
          <w:color w:val="00B0F0"/>
        </w:rPr>
        <w:t>–7</w:t>
      </w:r>
      <w:r w:rsidRPr="00C1603D">
        <w:t xml:space="preserve">.0 relative risk of CD </w:t>
      </w:r>
      <w:r w:rsidR="00AA1EC4" w:rsidRPr="00C1603D">
        <w:t>among</w:t>
      </w:r>
      <w:r w:rsidRPr="00C1603D">
        <w:t xml:space="preserve"> patients with inflammatory bowel disease</w:t>
      </w:r>
      <w:r w:rsidR="00AA1EC4" w:rsidRPr="00C1603D">
        <w:t>,</w:t>
      </w:r>
      <w:r w:rsidRPr="00C1603D">
        <w:t xml:space="preserve"> </w:t>
      </w:r>
      <w:r w:rsidR="00553BA7" w:rsidRPr="00C1603D">
        <w:t>compared with</w:t>
      </w:r>
      <w:r w:rsidRPr="00C1603D">
        <w:t xml:space="preserve"> controls.</w:t>
      </w:r>
      <w:r w:rsidRPr="00C1603D">
        <w:rPr>
          <w:noProof/>
          <w:vertAlign w:val="superscript"/>
        </w:rPr>
        <w:t>283</w:t>
      </w:r>
      <w:r w:rsidRPr="00C1603D">
        <w:t xml:space="preserve"> A meta-analysis of 40 studies found that the prevalence of CD </w:t>
      </w:r>
      <w:r w:rsidR="00AA1EC4" w:rsidRPr="00C1603D">
        <w:t>among</w:t>
      </w:r>
      <w:r w:rsidRPr="00C1603D">
        <w:t xml:space="preserve"> children with migraine-like headaches is 1.5</w:t>
      </w:r>
      <w:r w:rsidRPr="00C1603D">
        <w:rPr>
          <w:color w:val="00B0F0"/>
        </w:rPr>
        <w:t>–3</w:t>
      </w:r>
      <w:r w:rsidRPr="00C1603D">
        <w:t>.7 times higher than in the general population, but no evidence was reported on adult populations.</w:t>
      </w:r>
      <w:r w:rsidRPr="00C1603D">
        <w:rPr>
          <w:noProof/>
          <w:vertAlign w:val="superscript"/>
        </w:rPr>
        <w:t>284</w:t>
      </w:r>
      <w:r w:rsidRPr="00C1603D">
        <w:t xml:space="preserve"> Our analysis showed a similar increased risk of 2.8</w:t>
      </w:r>
      <w:r w:rsidR="001A3E18" w:rsidRPr="00C1603D">
        <w:t>-</w:t>
      </w:r>
      <w:r w:rsidRPr="00C1603D">
        <w:t xml:space="preserve">fold, including one study with an adult population </w:t>
      </w:r>
      <w:r w:rsidR="001A3E18" w:rsidRPr="00C1603D">
        <w:t>that</w:t>
      </w:r>
      <w:r w:rsidRPr="00C1603D">
        <w:t xml:space="preserve"> showed similar results.</w:t>
      </w:r>
      <w:r w:rsidRPr="00C1603D">
        <w:rPr>
          <w:noProof/>
          <w:vertAlign w:val="superscript"/>
        </w:rPr>
        <w:t>285</w:t>
      </w:r>
    </w:p>
    <w:p w14:paraId="6EAF1A5B" w14:textId="4613A219" w:rsidR="008B4DF8" w:rsidRPr="00C1603D" w:rsidRDefault="008B4DF8" w:rsidP="008B4DF8">
      <w:pPr>
        <w:pStyle w:val="602TextfoTextstylesTextstyles"/>
      </w:pPr>
      <w:r w:rsidRPr="00C1603D">
        <w:t xml:space="preserve">We found a lower risk </w:t>
      </w:r>
      <w:r w:rsidR="001A3E18" w:rsidRPr="00C1603D">
        <w:t xml:space="preserve">than other studies </w:t>
      </w:r>
      <w:r w:rsidRPr="00C1603D">
        <w:t xml:space="preserve">of CD </w:t>
      </w:r>
      <w:r w:rsidR="001A3E18" w:rsidRPr="00C1603D">
        <w:t>among</w:t>
      </w:r>
      <w:r w:rsidRPr="00C1603D">
        <w:t xml:space="preserve"> people with a family history of CD. A meta-analysis of </w:t>
      </w:r>
      <w:proofErr w:type="gramStart"/>
      <w:r w:rsidRPr="00C1603D">
        <w:t>54</w:t>
      </w:r>
      <w:proofErr w:type="gramEnd"/>
      <w:r w:rsidRPr="00C1603D">
        <w:t xml:space="preserve"> studies showed that the prevalence of CD is 6.3</w:t>
      </w:r>
      <w:r w:rsidRPr="00C1603D">
        <w:rPr>
          <w:color w:val="00B0F0"/>
        </w:rPr>
        <w:t>–8</w:t>
      </w:r>
      <w:r w:rsidRPr="00C1603D">
        <w:t xml:space="preserve">.8 times higher </w:t>
      </w:r>
      <w:r w:rsidR="0084776E" w:rsidRPr="00C1603D">
        <w:t>among</w:t>
      </w:r>
      <w:r w:rsidRPr="00C1603D">
        <w:t xml:space="preserve"> </w:t>
      </w:r>
      <w:r w:rsidR="00BA5584" w:rsidRPr="00C1603D">
        <w:t>first-degree</w:t>
      </w:r>
      <w:r w:rsidRPr="00C1603D">
        <w:t xml:space="preserve"> relatives and 1.3</w:t>
      </w:r>
      <w:r w:rsidRPr="00C1603D">
        <w:rPr>
          <w:color w:val="00B0F0"/>
        </w:rPr>
        <w:t>–3</w:t>
      </w:r>
      <w:r w:rsidRPr="00C1603D">
        <w:t xml:space="preserve">.8 times higher </w:t>
      </w:r>
      <w:r w:rsidR="0084776E" w:rsidRPr="00C1603D">
        <w:t>among</w:t>
      </w:r>
      <w:r w:rsidRPr="00C1603D">
        <w:t xml:space="preserve"> second</w:t>
      </w:r>
      <w:r w:rsidR="0084776E" w:rsidRPr="00C1603D">
        <w:t>-</w:t>
      </w:r>
      <w:r w:rsidRPr="00C1603D">
        <w:t xml:space="preserve">degree relatives </w:t>
      </w:r>
      <w:r w:rsidR="0084776E" w:rsidRPr="00C1603D">
        <w:t>than in</w:t>
      </w:r>
      <w:r w:rsidRPr="00C1603D">
        <w:t xml:space="preserve"> the general population,</w:t>
      </w:r>
      <w:r w:rsidRPr="00C1603D">
        <w:rPr>
          <w:noProof/>
          <w:vertAlign w:val="superscript"/>
        </w:rPr>
        <w:t>286</w:t>
      </w:r>
      <w:r w:rsidRPr="00C1603D">
        <w:t xml:space="preserve"> whereas we found a risk of 1.3 times higher </w:t>
      </w:r>
      <w:r w:rsidR="0084776E" w:rsidRPr="00C1603D">
        <w:t>among</w:t>
      </w:r>
      <w:r w:rsidRPr="00C1603D">
        <w:t xml:space="preserve"> people with a family history of CD. Only six of our included studies </w:t>
      </w:r>
      <w:r w:rsidRPr="00C1603D">
        <w:rPr>
          <w:color w:val="00B0F0"/>
        </w:rPr>
        <w:t>focused</w:t>
      </w:r>
      <w:r w:rsidRPr="00C1603D">
        <w:t xml:space="preserve"> specifically on first-degree relatives, whereas the other six included second-degree relatives or did not specify, which can partly explain our lower estimate. When restricting our analysis to first-degree relatives, we estimated the PPV at 1.3</w:t>
      </w:r>
      <w:r w:rsidRPr="00C1603D">
        <w:rPr>
          <w:color w:val="00B0F0"/>
        </w:rPr>
        <w:t>–7</w:t>
      </w:r>
      <w:r w:rsidRPr="00C1603D">
        <w:t xml:space="preserve">.2%. Finally, some studies included as few as </w:t>
      </w:r>
      <w:r w:rsidR="0084776E" w:rsidRPr="00C1603D">
        <w:t>two</w:t>
      </w:r>
      <w:r w:rsidRPr="00C1603D">
        <w:t xml:space="preserve"> individuals with a family history of CD and </w:t>
      </w:r>
      <w:r w:rsidR="0084776E" w:rsidRPr="00C1603D">
        <w:t>six</w:t>
      </w:r>
      <w:r w:rsidRPr="00C1603D">
        <w:t xml:space="preserve"> individuals with CD in their study population,</w:t>
      </w:r>
      <w:r w:rsidRPr="00C1603D">
        <w:rPr>
          <w:noProof/>
          <w:vertAlign w:val="superscript"/>
        </w:rPr>
        <w:t>287,288</w:t>
      </w:r>
      <w:r w:rsidRPr="00C1603D">
        <w:t xml:space="preserve"> which </w:t>
      </w:r>
      <w:r w:rsidR="0084776E" w:rsidRPr="00C1603D">
        <w:t>is</w:t>
      </w:r>
      <w:r w:rsidRPr="00C1603D">
        <w:t xml:space="preserve"> likely </w:t>
      </w:r>
      <w:r w:rsidR="0084776E" w:rsidRPr="00C1603D">
        <w:t xml:space="preserve">to have </w:t>
      </w:r>
      <w:r w:rsidRPr="00C1603D">
        <w:t>attenuated the estimated association as well.</w:t>
      </w:r>
    </w:p>
    <w:p w14:paraId="4E92FA83" w14:textId="3A1514F7" w:rsidR="008B4DF8" w:rsidRPr="00C1603D" w:rsidRDefault="008B4DF8" w:rsidP="008B4DF8">
      <w:pPr>
        <w:pStyle w:val="602TextfoTextstylesTextstyles"/>
      </w:pPr>
      <w:proofErr w:type="gramStart"/>
      <w:r w:rsidRPr="00C1603D">
        <w:t>Small differences</w:t>
      </w:r>
      <w:proofErr w:type="gramEnd"/>
      <w:r w:rsidRPr="00C1603D">
        <w:t xml:space="preserve"> between our results in </w:t>
      </w:r>
      <w:r w:rsidRPr="00C1603D">
        <w:rPr>
          <w:i/>
          <w:iCs/>
        </w:rPr>
        <w:t>Chapter 4</w:t>
      </w:r>
      <w:r w:rsidRPr="00C1603D">
        <w:t xml:space="preserve"> and results from previous meta-analyses can be explained by our stringent inclusion criteria. Most studies that used routinely collected data were excluded from our review because</w:t>
      </w:r>
      <w:r w:rsidR="0084776E" w:rsidRPr="00C1603D">
        <w:t>,</w:t>
      </w:r>
      <w:r w:rsidRPr="00C1603D">
        <w:t xml:space="preserve"> in these studies</w:t>
      </w:r>
      <w:r w:rsidR="0084776E" w:rsidRPr="00C1603D">
        <w:t>,</w:t>
      </w:r>
      <w:r w:rsidRPr="00C1603D">
        <w:t xml:space="preserve"> patients without a code for CD are assumed to not have the disease. This is problematic </w:t>
      </w:r>
      <w:r w:rsidR="0084776E" w:rsidRPr="00C1603D">
        <w:t>because</w:t>
      </w:r>
      <w:r w:rsidRPr="00C1603D">
        <w:t xml:space="preserve"> CD is known to be underdiagnosed. </w:t>
      </w:r>
      <w:proofErr w:type="gramStart"/>
      <w:r w:rsidRPr="00C1603D">
        <w:t>Small differences</w:t>
      </w:r>
      <w:proofErr w:type="gramEnd"/>
      <w:r w:rsidRPr="00C1603D">
        <w:t xml:space="preserve"> between our estimates of PPV and estimates from meta-analyses of prevalence may also be explained by us including</w:t>
      </w:r>
      <w:r w:rsidR="0084776E" w:rsidRPr="00C1603D">
        <w:t xml:space="preserve"> only</w:t>
      </w:r>
      <w:r w:rsidRPr="00C1603D">
        <w:t xml:space="preserve"> studies that allowed estimation of both sensitivity and specificity (which requires some study participants to not have the diagnostic indicator).</w:t>
      </w:r>
    </w:p>
    <w:p w14:paraId="77A14B54" w14:textId="0E5561D7" w:rsidR="008B4DF8" w:rsidRPr="00C1603D" w:rsidRDefault="008B4DF8" w:rsidP="008B4DF8">
      <w:pPr>
        <w:pStyle w:val="602TextfoTextstylesTextstyles"/>
      </w:pPr>
      <w:r w:rsidRPr="00C1603D">
        <w:t xml:space="preserve">To our knowledge, few previous studies have developed prediction models for CD and none </w:t>
      </w:r>
      <w:r w:rsidR="0084776E" w:rsidRPr="00C1603D">
        <w:t>has</w:t>
      </w:r>
      <w:r w:rsidRPr="00C1603D">
        <w:t xml:space="preserve"> based the prediction rules on symptoms and risk factors alone. Genetic risk models have been developed using HLA and non-HLA variants as predictors of CD. A simple count model that included </w:t>
      </w:r>
      <w:proofErr w:type="gramStart"/>
      <w:r w:rsidRPr="00C1603D">
        <w:t>10</w:t>
      </w:r>
      <w:proofErr w:type="gramEnd"/>
      <w:r w:rsidRPr="00C1603D">
        <w:t xml:space="preserve"> non-HLA genes on top of the usual HLA risk genes showed better classification then HLA risk genes alone.</w:t>
      </w:r>
      <w:r w:rsidRPr="00C1603D">
        <w:rPr>
          <w:noProof/>
          <w:vertAlign w:val="superscript"/>
        </w:rPr>
        <w:t>289</w:t>
      </w:r>
      <w:r w:rsidRPr="00C1603D">
        <w:t xml:space="preserve"> The same authors further improved their model by increasing the number of non-HLA genes to 57. </w:t>
      </w:r>
      <w:r w:rsidRPr="00C1603D">
        <w:lastRenderedPageBreak/>
        <w:t>This model showed good discrimination</w:t>
      </w:r>
      <w:r w:rsidR="00EC70E1" w:rsidRPr="00C1603D">
        <w:t>,</w:t>
      </w:r>
      <w:r w:rsidRPr="00C1603D">
        <w:t xml:space="preserve"> with a </w:t>
      </w:r>
      <w:r w:rsidR="008B5148" w:rsidRPr="00C1603D">
        <w:rPr>
          <w:i/>
          <w:iCs/>
        </w:rPr>
        <w:t>c</w:t>
      </w:r>
      <w:r w:rsidR="008B5148" w:rsidRPr="00C1603D">
        <w:t>-stat</w:t>
      </w:r>
      <w:r w:rsidRPr="00C1603D">
        <w:t>istic of 0</w:t>
      </w:r>
      <w:r w:rsidRPr="00C1603D">
        <w:rPr>
          <w:color w:val="auto"/>
        </w:rPr>
        <w:t>.85 (</w:t>
      </w:r>
      <w:r w:rsidR="00553BA7" w:rsidRPr="00C1603D">
        <w:rPr>
          <w:color w:val="auto"/>
        </w:rPr>
        <w:t>compared with</w:t>
      </w:r>
      <w:r w:rsidRPr="00C1603D">
        <w:rPr>
          <w:color w:val="auto"/>
        </w:rPr>
        <w:t xml:space="preserve"> 0.82 for HLA only).</w:t>
      </w:r>
      <w:r w:rsidRPr="00C1603D">
        <w:rPr>
          <w:noProof/>
          <w:color w:val="auto"/>
          <w:vertAlign w:val="superscript"/>
        </w:rPr>
        <w:t>290</w:t>
      </w:r>
      <w:r w:rsidRPr="00C1603D">
        <w:rPr>
          <w:color w:val="auto"/>
        </w:rPr>
        <w:t xml:space="preserve"> These models can help with assessing risk in at</w:t>
      </w:r>
      <w:r w:rsidR="00EC70E1" w:rsidRPr="00C1603D">
        <w:rPr>
          <w:color w:val="auto"/>
        </w:rPr>
        <w:t>-</w:t>
      </w:r>
      <w:r w:rsidRPr="00C1603D">
        <w:rPr>
          <w:color w:val="auto"/>
        </w:rPr>
        <w:t xml:space="preserve">risk groups, but these genetic tests are not readily available to GPs. Our model performed well in the development data set, </w:t>
      </w:r>
      <w:r w:rsidR="00CC5C3B" w:rsidRPr="00C1603D">
        <w:rPr>
          <w:color w:val="auto"/>
        </w:rPr>
        <w:t>in which</w:t>
      </w:r>
      <w:r w:rsidRPr="00C1603D">
        <w:rPr>
          <w:color w:val="auto"/>
        </w:rPr>
        <w:t xml:space="preserve"> the </w:t>
      </w:r>
      <w:r w:rsidR="008B5148" w:rsidRPr="00C1603D">
        <w:rPr>
          <w:i/>
          <w:iCs/>
          <w:color w:val="auto"/>
        </w:rPr>
        <w:t>c</w:t>
      </w:r>
      <w:r w:rsidR="008B5148" w:rsidRPr="00C1603D">
        <w:rPr>
          <w:color w:val="auto"/>
        </w:rPr>
        <w:t>-stat</w:t>
      </w:r>
      <w:r w:rsidRPr="00C1603D">
        <w:rPr>
          <w:color w:val="auto"/>
        </w:rPr>
        <w:t xml:space="preserve">istic ranged from 0.76 </w:t>
      </w:r>
      <w:r w:rsidR="00CC5C3B" w:rsidRPr="00C1603D">
        <w:rPr>
          <w:color w:val="auto"/>
        </w:rPr>
        <w:t>for</w:t>
      </w:r>
      <w:r w:rsidRPr="00C1603D">
        <w:rPr>
          <w:color w:val="auto"/>
        </w:rPr>
        <w:t xml:space="preserve"> women to 0.82 </w:t>
      </w:r>
      <w:r w:rsidR="00CC5C3B" w:rsidRPr="00C1603D">
        <w:rPr>
          <w:color w:val="auto"/>
        </w:rPr>
        <w:t>for</w:t>
      </w:r>
      <w:r w:rsidRPr="00C1603D">
        <w:rPr>
          <w:color w:val="auto"/>
        </w:rPr>
        <w:t xml:space="preserve"> children, which is in the same range as the Framingham risk score for coronary heart disease (</w:t>
      </w:r>
      <w:r w:rsidR="008B5148" w:rsidRPr="00C1603D">
        <w:rPr>
          <w:i/>
          <w:iCs/>
          <w:color w:val="auto"/>
        </w:rPr>
        <w:t>c</w:t>
      </w:r>
      <w:r w:rsidR="008B5148" w:rsidRPr="00C1603D">
        <w:rPr>
          <w:color w:val="auto"/>
        </w:rPr>
        <w:t>-stat</w:t>
      </w:r>
      <w:r w:rsidRPr="00C1603D">
        <w:rPr>
          <w:color w:val="auto"/>
        </w:rPr>
        <w:t>istic of 0.8), which is clinically useful.</w:t>
      </w:r>
      <w:r w:rsidRPr="00C1603D">
        <w:rPr>
          <w:noProof/>
          <w:color w:val="auto"/>
          <w:vertAlign w:val="superscript"/>
        </w:rPr>
        <w:t>291</w:t>
      </w:r>
      <w:r w:rsidRPr="00C1603D">
        <w:rPr>
          <w:color w:val="auto"/>
        </w:rPr>
        <w:t xml:space="preserve"> </w:t>
      </w:r>
      <w:commentRangeStart w:id="463"/>
      <w:r w:rsidRPr="00C1603D">
        <w:rPr>
          <w:color w:val="auto"/>
        </w:rPr>
        <w:t>Other examples of prediction rules that are in use in primary care are the Q</w:t>
      </w:r>
      <w:r w:rsidR="00974BAE" w:rsidRPr="00C1603D">
        <w:rPr>
          <w:color w:val="auto"/>
        </w:rPr>
        <w:t>C</w:t>
      </w:r>
      <w:r w:rsidRPr="00C1603D">
        <w:rPr>
          <w:color w:val="auto"/>
        </w:rPr>
        <w:t>ancer</w:t>
      </w:r>
      <w:r w:rsidR="00974BAE" w:rsidRPr="00C1603D">
        <w:rPr>
          <w:vertAlign w:val="superscript"/>
        </w:rPr>
        <w:t>®</w:t>
      </w:r>
      <w:r w:rsidRPr="00C1603D">
        <w:t xml:space="preserve"> scores</w:t>
      </w:r>
      <w:r w:rsidR="006A2ACB" w:rsidRPr="00C1603D">
        <w:t xml:space="preserve"> (ClinRisk Ltd, Leeds, UK)</w:t>
      </w:r>
      <w:r w:rsidRPr="00C1603D">
        <w:t>, which showed good discrimination</w:t>
      </w:r>
      <w:commentRangeEnd w:id="463"/>
      <w:r w:rsidR="00B55F56" w:rsidRPr="00C1603D">
        <w:rPr>
          <w:rFonts w:ascii="Times New Roman" w:hAnsi="Times New Roman" w:cs="Times New Roman"/>
          <w:color w:val="auto"/>
          <w:lang w:val="en-US"/>
        </w:rPr>
        <w:commentReference w:id="463"/>
      </w:r>
      <w:r w:rsidR="006A2ACB" w:rsidRPr="00C1603D">
        <w:t>,</w:t>
      </w:r>
      <w:r w:rsidRPr="00C1603D">
        <w:t xml:space="preserve"> with </w:t>
      </w:r>
      <w:r w:rsidR="008B5148" w:rsidRPr="00C1603D">
        <w:rPr>
          <w:i/>
          <w:iCs/>
        </w:rPr>
        <w:t>c</w:t>
      </w:r>
      <w:r w:rsidR="008B5148" w:rsidRPr="00C1603D">
        <w:t>-stat</w:t>
      </w:r>
      <w:r w:rsidRPr="00C1603D">
        <w:t>istic</w:t>
      </w:r>
      <w:r w:rsidR="00372D0D" w:rsidRPr="00C1603D">
        <w:t>s</w:t>
      </w:r>
      <w:r w:rsidRPr="00C1603D">
        <w:t xml:space="preserve"> ranging from 0.73 to 0.91 for different types of cancer </w:t>
      </w:r>
      <w:r w:rsidR="00372D0D" w:rsidRPr="00C1603D">
        <w:t>among</w:t>
      </w:r>
      <w:r w:rsidRPr="00C1603D">
        <w:t xml:space="preserve"> women</w:t>
      </w:r>
      <w:r w:rsidRPr="00C1603D">
        <w:rPr>
          <w:noProof/>
          <w:vertAlign w:val="superscript"/>
        </w:rPr>
        <w:t>292</w:t>
      </w:r>
      <w:r w:rsidRPr="00C1603D">
        <w:t xml:space="preserve"> and from 0.82 to 0.94 for different types of cancer </w:t>
      </w:r>
      <w:r w:rsidR="00372D0D" w:rsidRPr="00C1603D">
        <w:t>among</w:t>
      </w:r>
      <w:r w:rsidRPr="00C1603D">
        <w:t xml:space="preserve"> men.</w:t>
      </w:r>
      <w:r w:rsidRPr="00C1603D">
        <w:rPr>
          <w:noProof/>
          <w:vertAlign w:val="superscript"/>
        </w:rPr>
        <w:t>293</w:t>
      </w:r>
    </w:p>
    <w:p w14:paraId="01D3CA42" w14:textId="1E0E1F44" w:rsidR="008B4DF8" w:rsidRPr="00C1603D" w:rsidRDefault="008B4DF8" w:rsidP="008B4DF8">
      <w:pPr>
        <w:pStyle w:val="602TextfoTextstylesTextstyles"/>
      </w:pPr>
      <w:r w:rsidRPr="00C1603D">
        <w:rPr>
          <w:color w:val="auto"/>
        </w:rPr>
        <w:t xml:space="preserve">Existing evidence on the accuracy of serology for diagnosing CD is mixed. Previous systematic reviews of the accuracy of serological testing for diagnosing CD suggest that the tests are </w:t>
      </w:r>
      <w:proofErr w:type="gramStart"/>
      <w:r w:rsidRPr="00C1603D">
        <w:rPr>
          <w:color w:val="auto"/>
        </w:rPr>
        <w:t>highly sensitive</w:t>
      </w:r>
      <w:proofErr w:type="gramEnd"/>
      <w:r w:rsidRPr="00C1603D">
        <w:rPr>
          <w:color w:val="auto"/>
        </w:rPr>
        <w:t xml:space="preserve"> and specific </w:t>
      </w:r>
      <w:r w:rsidR="002F12E6" w:rsidRPr="00C1603D">
        <w:rPr>
          <w:color w:val="auto"/>
        </w:rPr>
        <w:t>among</w:t>
      </w:r>
      <w:r w:rsidRPr="00C1603D">
        <w:rPr>
          <w:color w:val="auto"/>
        </w:rPr>
        <w:t xml:space="preserve"> both adults and children.</w:t>
      </w:r>
      <w:r w:rsidRPr="00C1603D">
        <w:rPr>
          <w:noProof/>
          <w:color w:val="auto"/>
          <w:vertAlign w:val="superscript"/>
        </w:rPr>
        <w:t>13–16</w:t>
      </w:r>
      <w:r w:rsidRPr="00C1603D">
        <w:rPr>
          <w:color w:val="auto"/>
        </w:rPr>
        <w:t xml:space="preserve"> These systematic reviews, however, are out</w:t>
      </w:r>
      <w:r w:rsidR="002F12E6" w:rsidRPr="00C1603D">
        <w:rPr>
          <w:color w:val="auto"/>
        </w:rPr>
        <w:t xml:space="preserve"> </w:t>
      </w:r>
      <w:r w:rsidRPr="00C1603D">
        <w:rPr>
          <w:color w:val="auto"/>
        </w:rPr>
        <w:t>of</w:t>
      </w:r>
      <w:r w:rsidR="002F12E6" w:rsidRPr="00C1603D">
        <w:rPr>
          <w:color w:val="auto"/>
        </w:rPr>
        <w:t xml:space="preserve"> </w:t>
      </w:r>
      <w:r w:rsidRPr="00C1603D">
        <w:rPr>
          <w:color w:val="auto"/>
        </w:rPr>
        <w:t>date and/or have methodological limitations, including issues with the search strategy, how study quality was assessed and how results were synthesised. All reviews included case–control design studies, which have been shown to overestimate test accuracy measures</w:t>
      </w:r>
      <w:r w:rsidR="002F12E6" w:rsidRPr="00C1603D">
        <w:rPr>
          <w:color w:val="auto"/>
        </w:rPr>
        <w:t>,</w:t>
      </w:r>
      <w:r w:rsidRPr="00C1603D">
        <w:rPr>
          <w:color w:val="auto"/>
        </w:rPr>
        <w:t xml:space="preserve"> </w:t>
      </w:r>
      <w:r w:rsidR="00553BA7" w:rsidRPr="00C1603D">
        <w:rPr>
          <w:color w:val="auto"/>
        </w:rPr>
        <w:t>compared with</w:t>
      </w:r>
      <w:r w:rsidRPr="00C1603D">
        <w:rPr>
          <w:color w:val="auto"/>
        </w:rPr>
        <w:t xml:space="preserve"> cohort designs.</w:t>
      </w:r>
      <w:r w:rsidRPr="00C1603D">
        <w:rPr>
          <w:noProof/>
          <w:color w:val="auto"/>
          <w:vertAlign w:val="superscript"/>
        </w:rPr>
        <w:t>68</w:t>
      </w:r>
      <w:r w:rsidRPr="00C1603D">
        <w:rPr>
          <w:noProof/>
          <w:color w:val="auto"/>
        </w:rPr>
        <w:t xml:space="preserve"> </w:t>
      </w:r>
      <w:r w:rsidRPr="00C1603D">
        <w:rPr>
          <w:color w:val="auto"/>
        </w:rPr>
        <w:t>Rostom</w:t>
      </w:r>
      <w:r w:rsidRPr="00C1603D">
        <w:rPr>
          <w:i/>
          <w:color w:val="auto"/>
        </w:rPr>
        <w:t xml:space="preserve"> et al</w:t>
      </w:r>
      <w:r w:rsidR="002F12E6" w:rsidRPr="00C1603D">
        <w:rPr>
          <w:iCs/>
          <w:color w:val="auto"/>
        </w:rPr>
        <w:t>.</w:t>
      </w:r>
      <w:proofErr w:type="gramStart"/>
      <w:r w:rsidR="002F12E6" w:rsidRPr="00C1603D">
        <w:rPr>
          <w:iCs/>
          <w:color w:val="auto"/>
          <w:vertAlign w:val="superscript"/>
        </w:rPr>
        <w:t>14</w:t>
      </w:r>
      <w:proofErr w:type="gramEnd"/>
      <w:r w:rsidRPr="00C1603D">
        <w:rPr>
          <w:color w:val="auto"/>
        </w:rPr>
        <w:t xml:space="preserve"> stratified their analyses by age, test and substrate. </w:t>
      </w:r>
      <w:r w:rsidR="002F12E6" w:rsidRPr="00C1603D">
        <w:rPr>
          <w:color w:val="auto"/>
        </w:rPr>
        <w:t>The s</w:t>
      </w:r>
      <w:r w:rsidRPr="00C1603D">
        <w:rPr>
          <w:color w:val="auto"/>
        </w:rPr>
        <w:t>ummary sensitivity and specificity of IgA tTG (human recombinant) and IgA EMA</w:t>
      </w:r>
      <w:r w:rsidR="002F12E6" w:rsidRPr="00C1603D">
        <w:rPr>
          <w:color w:val="auto"/>
        </w:rPr>
        <w:t xml:space="preserve"> tests</w:t>
      </w:r>
      <w:r w:rsidRPr="00C1603D">
        <w:rPr>
          <w:color w:val="auto"/>
        </w:rPr>
        <w:t xml:space="preserve"> were &gt; 90% across all age groups. Giersiepen</w:t>
      </w:r>
      <w:r w:rsidRPr="00C1603D">
        <w:rPr>
          <w:i/>
          <w:color w:val="auto"/>
        </w:rPr>
        <w:t xml:space="preserve"> et al</w:t>
      </w:r>
      <w:r w:rsidR="002F12E6" w:rsidRPr="00C1603D">
        <w:rPr>
          <w:iCs/>
          <w:color w:val="auto"/>
        </w:rPr>
        <w:t>.</w:t>
      </w:r>
      <w:proofErr w:type="gramStart"/>
      <w:r w:rsidR="004B155F" w:rsidRPr="00C1603D">
        <w:rPr>
          <w:iCs/>
          <w:color w:val="auto"/>
          <w:vertAlign w:val="superscript"/>
        </w:rPr>
        <w:t>13</w:t>
      </w:r>
      <w:proofErr w:type="gramEnd"/>
      <w:r w:rsidRPr="00C1603D">
        <w:rPr>
          <w:color w:val="auto"/>
        </w:rPr>
        <w:t xml:space="preserve"> conducted a systematic review of antibody test accuracy </w:t>
      </w:r>
      <w:r w:rsidR="004B155F" w:rsidRPr="00C1603D">
        <w:rPr>
          <w:color w:val="auto"/>
        </w:rPr>
        <w:t>among</w:t>
      </w:r>
      <w:r w:rsidRPr="00C1603D">
        <w:rPr>
          <w:color w:val="auto"/>
        </w:rPr>
        <w:t xml:space="preserve"> children. Meta-analyses were not performed </w:t>
      </w:r>
      <w:r w:rsidR="004B155F" w:rsidRPr="00C1603D">
        <w:rPr>
          <w:color w:val="auto"/>
        </w:rPr>
        <w:t>because of</w:t>
      </w:r>
      <w:r w:rsidRPr="00C1603D">
        <w:rPr>
          <w:color w:val="auto"/>
        </w:rPr>
        <w:t xml:space="preserve"> between-study heterogeneity; </w:t>
      </w:r>
      <w:r w:rsidR="004B155F" w:rsidRPr="00C1603D">
        <w:rPr>
          <w:color w:val="auto"/>
        </w:rPr>
        <w:t xml:space="preserve">the </w:t>
      </w:r>
      <w:r w:rsidRPr="00C1603D">
        <w:rPr>
          <w:color w:val="auto"/>
        </w:rPr>
        <w:t>sensitivity and specificity ranged from 13% to 100% and</w:t>
      </w:r>
      <w:r w:rsidR="004B155F" w:rsidRPr="00C1603D">
        <w:rPr>
          <w:color w:val="auto"/>
        </w:rPr>
        <w:t xml:space="preserve"> from</w:t>
      </w:r>
      <w:r w:rsidRPr="00C1603D">
        <w:rPr>
          <w:color w:val="auto"/>
        </w:rPr>
        <w:t xml:space="preserve"> 78% to 100%</w:t>
      </w:r>
      <w:r w:rsidR="00C701A4" w:rsidRPr="00C1603D">
        <w:rPr>
          <w:color w:val="auto"/>
        </w:rPr>
        <w:t>, respectively</w:t>
      </w:r>
      <w:r w:rsidRPr="00C1603D">
        <w:rPr>
          <w:color w:val="auto"/>
        </w:rPr>
        <w:t>,</w:t>
      </w:r>
      <w:r w:rsidR="00C701A4" w:rsidRPr="00C1603D">
        <w:rPr>
          <w:color w:val="auto"/>
        </w:rPr>
        <w:t xml:space="preserve"> for the IgA tTG test</w:t>
      </w:r>
      <w:r w:rsidRPr="00C1603D">
        <w:rPr>
          <w:color w:val="auto"/>
        </w:rPr>
        <w:t xml:space="preserve"> and from 83% to 100% and </w:t>
      </w:r>
      <w:r w:rsidR="002B2508" w:rsidRPr="00C1603D">
        <w:rPr>
          <w:color w:val="auto"/>
        </w:rPr>
        <w:t xml:space="preserve">from </w:t>
      </w:r>
      <w:r w:rsidRPr="00C1603D">
        <w:rPr>
          <w:color w:val="auto"/>
        </w:rPr>
        <w:t>95% to 100%</w:t>
      </w:r>
      <w:r w:rsidR="00C701A4" w:rsidRPr="00C1603D">
        <w:rPr>
          <w:color w:val="auto"/>
        </w:rPr>
        <w:t>, respectively, for the IgA EMA test</w:t>
      </w:r>
      <w:r w:rsidRPr="00C1603D">
        <w:rPr>
          <w:color w:val="auto"/>
        </w:rPr>
        <w:t>. Schyum and Rumessen</w:t>
      </w:r>
      <w:r w:rsidR="002B2508" w:rsidRPr="00C1603D">
        <w:rPr>
          <w:color w:val="auto"/>
          <w:vertAlign w:val="superscript"/>
        </w:rPr>
        <w:t>15</w:t>
      </w:r>
      <w:r w:rsidRPr="00C1603D">
        <w:rPr>
          <w:color w:val="auto"/>
        </w:rPr>
        <w:t xml:space="preserve"> carried out a systematic review of serological test accuracy </w:t>
      </w:r>
      <w:r w:rsidR="002B2508" w:rsidRPr="00C1603D">
        <w:rPr>
          <w:color w:val="auto"/>
        </w:rPr>
        <w:t>among</w:t>
      </w:r>
      <w:r w:rsidRPr="00C1603D">
        <w:rPr>
          <w:color w:val="auto"/>
        </w:rPr>
        <w:t xml:space="preserve"> adults. Study data were not meta-analysed, but </w:t>
      </w:r>
      <w:r w:rsidR="002B2508" w:rsidRPr="00C1603D">
        <w:rPr>
          <w:color w:val="auto"/>
        </w:rPr>
        <w:t xml:space="preserve">the </w:t>
      </w:r>
      <w:r w:rsidRPr="00C1603D">
        <w:rPr>
          <w:color w:val="auto"/>
        </w:rPr>
        <w:t xml:space="preserve">median sensitivity and specificity </w:t>
      </w:r>
      <w:r w:rsidR="002B2508" w:rsidRPr="00C1603D">
        <w:rPr>
          <w:color w:val="auto"/>
        </w:rPr>
        <w:t>were</w:t>
      </w:r>
      <w:r w:rsidRPr="00C1603D">
        <w:rPr>
          <w:color w:val="auto"/>
        </w:rPr>
        <w:t xml:space="preserve"> estimated </w:t>
      </w:r>
      <w:r w:rsidR="00E35FA9" w:rsidRPr="00C1603D">
        <w:rPr>
          <w:color w:val="auto"/>
        </w:rPr>
        <w:t>to be</w:t>
      </w:r>
      <w:r w:rsidRPr="00C1603D">
        <w:rPr>
          <w:color w:val="auto"/>
        </w:rPr>
        <w:t xml:space="preserve"> 93% and 95%</w:t>
      </w:r>
      <w:r w:rsidR="00E35FA9" w:rsidRPr="00C1603D">
        <w:rPr>
          <w:color w:val="auto"/>
        </w:rPr>
        <w:t>, respectively, for the IgA tTG test</w:t>
      </w:r>
      <w:r w:rsidRPr="00C1603D">
        <w:rPr>
          <w:color w:val="auto"/>
        </w:rPr>
        <w:t xml:space="preserve"> and 84% and 100%</w:t>
      </w:r>
      <w:r w:rsidR="00E35FA9" w:rsidRPr="00C1603D">
        <w:rPr>
          <w:color w:val="auto"/>
        </w:rPr>
        <w:t>, respectively, for the IgA EMA test</w:t>
      </w:r>
      <w:r w:rsidRPr="00C1603D">
        <w:rPr>
          <w:color w:val="auto"/>
        </w:rPr>
        <w:t xml:space="preserve">. </w:t>
      </w:r>
      <w:r w:rsidR="00E35FA9" w:rsidRPr="00C1603D">
        <w:rPr>
          <w:color w:val="auto"/>
        </w:rPr>
        <w:t>v</w:t>
      </w:r>
      <w:r w:rsidRPr="00C1603D">
        <w:rPr>
          <w:color w:val="auto"/>
        </w:rPr>
        <w:t>an der Windt</w:t>
      </w:r>
      <w:r w:rsidRPr="00C1603D">
        <w:rPr>
          <w:i/>
          <w:color w:val="auto"/>
        </w:rPr>
        <w:t xml:space="preserve"> et al</w:t>
      </w:r>
      <w:r w:rsidR="00E35FA9" w:rsidRPr="00C1603D">
        <w:rPr>
          <w:iCs/>
          <w:color w:val="auto"/>
        </w:rPr>
        <w:t>.</w:t>
      </w:r>
      <w:proofErr w:type="gramStart"/>
      <w:r w:rsidR="00E35FA9" w:rsidRPr="00C1603D">
        <w:rPr>
          <w:iCs/>
          <w:color w:val="auto"/>
          <w:vertAlign w:val="superscript"/>
        </w:rPr>
        <w:t>16</w:t>
      </w:r>
      <w:proofErr w:type="gramEnd"/>
      <w:r w:rsidRPr="00C1603D">
        <w:rPr>
          <w:color w:val="auto"/>
        </w:rPr>
        <w:t xml:space="preserve"> estimated serological test accuracy </w:t>
      </w:r>
      <w:r w:rsidR="00E35FA9" w:rsidRPr="00C1603D">
        <w:rPr>
          <w:color w:val="auto"/>
        </w:rPr>
        <w:t>among</w:t>
      </w:r>
      <w:r w:rsidRPr="00C1603D">
        <w:rPr>
          <w:color w:val="auto"/>
        </w:rPr>
        <w:t xml:space="preserve"> adults presenting </w:t>
      </w:r>
      <w:r w:rsidR="00E35FA9" w:rsidRPr="00C1603D">
        <w:rPr>
          <w:color w:val="auto"/>
        </w:rPr>
        <w:t xml:space="preserve">to primary care </w:t>
      </w:r>
      <w:r w:rsidRPr="00C1603D">
        <w:rPr>
          <w:color w:val="auto"/>
        </w:rPr>
        <w:t xml:space="preserve">with abdominal symptoms. </w:t>
      </w:r>
      <w:r w:rsidR="00E35FA9" w:rsidRPr="00C1603D">
        <w:rPr>
          <w:color w:val="auto"/>
        </w:rPr>
        <w:t>The s</w:t>
      </w:r>
      <w:r w:rsidRPr="00C1603D">
        <w:rPr>
          <w:color w:val="auto"/>
        </w:rPr>
        <w:t>ummary sensitivity and specificity were 89% and 98%</w:t>
      </w:r>
      <w:r w:rsidR="00E35FA9" w:rsidRPr="00C1603D">
        <w:rPr>
          <w:color w:val="auto"/>
        </w:rPr>
        <w:t>, respectively,</w:t>
      </w:r>
      <w:r w:rsidRPr="00C1603D">
        <w:rPr>
          <w:color w:val="auto"/>
        </w:rPr>
        <w:t xml:space="preserve"> for IgA tTG and 90% and 99%</w:t>
      </w:r>
      <w:r w:rsidR="00E35FA9" w:rsidRPr="00C1603D">
        <w:rPr>
          <w:color w:val="auto"/>
        </w:rPr>
        <w:t>, respectively,</w:t>
      </w:r>
      <w:r w:rsidRPr="00C1603D">
        <w:rPr>
          <w:color w:val="auto"/>
        </w:rPr>
        <w:t xml:space="preserve"> for IgA EMA. </w:t>
      </w:r>
      <w:r w:rsidR="00E35FA9" w:rsidRPr="00C1603D">
        <w:rPr>
          <w:color w:val="auto"/>
        </w:rPr>
        <w:t>The s</w:t>
      </w:r>
      <w:r w:rsidRPr="00C1603D">
        <w:rPr>
          <w:color w:val="auto"/>
        </w:rPr>
        <w:t xml:space="preserve">ensitivity and specificity estimates </w:t>
      </w:r>
      <w:r w:rsidR="00E35FA9" w:rsidRPr="00C1603D">
        <w:rPr>
          <w:color w:val="auto"/>
        </w:rPr>
        <w:t>for</w:t>
      </w:r>
      <w:r w:rsidRPr="00C1603D">
        <w:rPr>
          <w:color w:val="auto"/>
        </w:rPr>
        <w:t xml:space="preserve"> IgA tTG and IgA EMA in our review (</w:t>
      </w:r>
      <w:r w:rsidR="00E35FA9" w:rsidRPr="00C1603D">
        <w:rPr>
          <w:color w:val="auto"/>
        </w:rPr>
        <w:t xml:space="preserve">see </w:t>
      </w:r>
      <w:r w:rsidRPr="00C1603D">
        <w:rPr>
          <w:i/>
          <w:iCs/>
          <w:color w:val="auto"/>
        </w:rPr>
        <w:t>Chapter 5</w:t>
      </w:r>
      <w:r w:rsidRPr="00C1603D">
        <w:rPr>
          <w:color w:val="auto"/>
        </w:rPr>
        <w:t xml:space="preserve">) were slightly lower than in previous reviews. Inclusion of case–control studies may have inflated previous accuracy estimates. Finally, a meta-analysis of </w:t>
      </w:r>
      <w:r w:rsidR="00E35FA9" w:rsidRPr="00C1603D">
        <w:rPr>
          <w:color w:val="auto"/>
        </w:rPr>
        <w:t>six</w:t>
      </w:r>
      <w:r w:rsidRPr="00C1603D">
        <w:rPr>
          <w:color w:val="auto"/>
        </w:rPr>
        <w:t xml:space="preserve"> studies investigated the accuracy of HLA-DQ2 and </w:t>
      </w:r>
      <w:r w:rsidR="00E35FA9" w:rsidRPr="00C1603D">
        <w:rPr>
          <w:color w:val="auto"/>
        </w:rPr>
        <w:t>-</w:t>
      </w:r>
      <w:r w:rsidRPr="00C1603D">
        <w:rPr>
          <w:color w:val="auto"/>
        </w:rPr>
        <w:t>DQ8 typing for the detection of CD and found a pooled sensitivity of 97–99% and specificity of 41–48%,</w:t>
      </w:r>
      <w:r w:rsidRPr="00C1603D">
        <w:rPr>
          <w:noProof/>
          <w:color w:val="auto"/>
          <w:vertAlign w:val="superscript"/>
        </w:rPr>
        <w:t>294</w:t>
      </w:r>
      <w:r w:rsidRPr="00C1603D">
        <w:rPr>
          <w:color w:val="auto"/>
        </w:rPr>
        <w:t xml:space="preserve"> </w:t>
      </w:r>
      <w:r w:rsidR="00553BA7" w:rsidRPr="00C1603D">
        <w:rPr>
          <w:color w:val="auto"/>
        </w:rPr>
        <w:t>compared with</w:t>
      </w:r>
      <w:r w:rsidRPr="00C1603D">
        <w:rPr>
          <w:color w:val="auto"/>
        </w:rPr>
        <w:t xml:space="preserve"> 99% and 56%</w:t>
      </w:r>
      <w:r w:rsidR="00E35FA9" w:rsidRPr="00C1603D">
        <w:rPr>
          <w:color w:val="auto"/>
        </w:rPr>
        <w:t>, respectively,</w:t>
      </w:r>
      <w:r w:rsidRPr="00C1603D">
        <w:t xml:space="preserve"> in </w:t>
      </w:r>
      <w:r w:rsidRPr="00C1603D">
        <w:rPr>
          <w:i/>
          <w:iCs/>
        </w:rPr>
        <w:t>Chapter 6</w:t>
      </w:r>
      <w:r w:rsidRPr="00C1603D">
        <w:t>.</w:t>
      </w:r>
    </w:p>
    <w:p w14:paraId="3502F974" w14:textId="1DDF2007" w:rsidR="008B4DF8" w:rsidRPr="00C1603D" w:rsidRDefault="008B4DF8" w:rsidP="008B4DF8">
      <w:pPr>
        <w:pStyle w:val="602TextfoTextstylesTextstyles"/>
        <w:rPr>
          <w:lang w:eastAsia="en-GB"/>
        </w:rPr>
      </w:pPr>
      <w:r w:rsidRPr="00C1603D">
        <w:rPr>
          <w:lang w:eastAsia="en-GB"/>
        </w:rPr>
        <w:t xml:space="preserve">Our findings that IgA EMA, IgA </w:t>
      </w:r>
      <w:r w:rsidR="00553BA7" w:rsidRPr="00C1603D">
        <w:rPr>
          <w:lang w:eastAsia="en-GB"/>
        </w:rPr>
        <w:t>tTG</w:t>
      </w:r>
      <w:r w:rsidRPr="00C1603D">
        <w:rPr>
          <w:lang w:eastAsia="en-GB"/>
        </w:rPr>
        <w:t xml:space="preserve"> and HLA testing, alone or in combination, of at</w:t>
      </w:r>
      <w:r w:rsidR="00E35FA9" w:rsidRPr="00C1603D">
        <w:rPr>
          <w:lang w:eastAsia="en-GB"/>
        </w:rPr>
        <w:t>-</w:t>
      </w:r>
      <w:r w:rsidRPr="00C1603D">
        <w:rPr>
          <w:lang w:eastAsia="en-GB"/>
        </w:rPr>
        <w:t>risk patients is cost-effective</w:t>
      </w:r>
      <w:r w:rsidR="00E35FA9" w:rsidRPr="00C1603D">
        <w:rPr>
          <w:lang w:eastAsia="en-GB"/>
        </w:rPr>
        <w:t>,</w:t>
      </w:r>
      <w:r w:rsidRPr="00C1603D">
        <w:rPr>
          <w:lang w:eastAsia="en-GB"/>
        </w:rPr>
        <w:t xml:space="preserve"> </w:t>
      </w:r>
      <w:r w:rsidR="00553BA7" w:rsidRPr="00C1603D">
        <w:rPr>
          <w:lang w:eastAsia="en-GB"/>
        </w:rPr>
        <w:t>compared with</w:t>
      </w:r>
      <w:r w:rsidRPr="00C1603D">
        <w:rPr>
          <w:lang w:eastAsia="en-GB"/>
        </w:rPr>
        <w:t xml:space="preserve"> no screening</w:t>
      </w:r>
      <w:r w:rsidR="00E35FA9" w:rsidRPr="00C1603D">
        <w:rPr>
          <w:lang w:eastAsia="en-GB"/>
        </w:rPr>
        <w:t>,</w:t>
      </w:r>
      <w:r w:rsidRPr="00C1603D">
        <w:rPr>
          <w:lang w:eastAsia="en-GB"/>
        </w:rPr>
        <w:t xml:space="preserve"> is consistent with previously published models. These models used a similar framework of decision trees and Markov models, and most were in the US setting. For example, </w:t>
      </w:r>
      <w:r w:rsidR="0000068B" w:rsidRPr="00C1603D">
        <w:rPr>
          <w:lang w:eastAsia="en-GB"/>
        </w:rPr>
        <w:t>among</w:t>
      </w:r>
      <w:r w:rsidRPr="00C1603D">
        <w:rPr>
          <w:lang w:eastAsia="en-GB"/>
        </w:rPr>
        <w:t xml:space="preserve"> patients with IBS symptoms, </w:t>
      </w:r>
      <w:r w:rsidR="0000068B" w:rsidRPr="00C1603D">
        <w:rPr>
          <w:lang w:eastAsia="en-GB"/>
        </w:rPr>
        <w:t xml:space="preserve">Main and </w:t>
      </w:r>
      <w:r w:rsidRPr="00C1603D">
        <w:rPr>
          <w:lang w:eastAsia="en-GB"/>
        </w:rPr>
        <w:t>Ladabaum</w:t>
      </w:r>
      <w:r w:rsidR="0000068B" w:rsidRPr="00C1603D">
        <w:rPr>
          <w:vertAlign w:val="superscript"/>
          <w:lang w:eastAsia="en-GB"/>
        </w:rPr>
        <w:t>200</w:t>
      </w:r>
      <w:r w:rsidRPr="00C1603D">
        <w:rPr>
          <w:lang w:eastAsia="en-GB"/>
        </w:rPr>
        <w:t xml:space="preserve"> found </w:t>
      </w:r>
      <w:r w:rsidR="00553BA7" w:rsidRPr="00C1603D">
        <w:rPr>
          <w:lang w:eastAsia="en-GB"/>
        </w:rPr>
        <w:t>tTG</w:t>
      </w:r>
      <w:r w:rsidRPr="00C1603D">
        <w:rPr>
          <w:lang w:eastAsia="en-GB"/>
        </w:rPr>
        <w:t xml:space="preserve"> to be cost-effective at </w:t>
      </w:r>
      <w:r w:rsidR="0000068B" w:rsidRPr="00C1603D">
        <w:rPr>
          <w:lang w:eastAsia="en-GB"/>
        </w:rPr>
        <w:t>US</w:t>
      </w:r>
      <w:r w:rsidRPr="00C1603D">
        <w:rPr>
          <w:lang w:eastAsia="en-GB"/>
        </w:rPr>
        <w:t xml:space="preserve">$50,000 </w:t>
      </w:r>
      <w:r w:rsidR="0000068B" w:rsidRPr="00C1603D">
        <w:rPr>
          <w:lang w:eastAsia="en-GB"/>
        </w:rPr>
        <w:t xml:space="preserve">per QALY gained </w:t>
      </w:r>
      <w:r w:rsidRPr="00C1603D">
        <w:rPr>
          <w:lang w:eastAsia="en-GB"/>
        </w:rPr>
        <w:t>if pre-test probability was 2%</w:t>
      </w:r>
      <w:r w:rsidR="00B23C13" w:rsidRPr="00C1603D">
        <w:rPr>
          <w:lang w:eastAsia="en-GB"/>
        </w:rPr>
        <w:t>,</w:t>
      </w:r>
      <w:r w:rsidRPr="00C1603D">
        <w:rPr>
          <w:lang w:eastAsia="en-GB"/>
        </w:rPr>
        <w:t xml:space="preserve"> and </w:t>
      </w:r>
      <w:r w:rsidR="00AA4B81" w:rsidRPr="00C1603D">
        <w:rPr>
          <w:lang w:eastAsia="en-GB"/>
        </w:rPr>
        <w:t>found i</w:t>
      </w:r>
      <w:r w:rsidRPr="00C1603D">
        <w:rPr>
          <w:lang w:eastAsia="en-GB"/>
        </w:rPr>
        <w:t>t</w:t>
      </w:r>
      <w:r w:rsidR="00AA4B81" w:rsidRPr="00C1603D">
        <w:rPr>
          <w:lang w:eastAsia="en-GB"/>
        </w:rPr>
        <w:t xml:space="preserve"> cost-effective at</w:t>
      </w:r>
      <w:r w:rsidRPr="00C1603D">
        <w:rPr>
          <w:lang w:eastAsia="en-GB"/>
        </w:rPr>
        <w:t xml:space="preserve"> </w:t>
      </w:r>
      <w:r w:rsidR="0000068B" w:rsidRPr="00C1603D">
        <w:rPr>
          <w:lang w:eastAsia="en-GB"/>
        </w:rPr>
        <w:t>US</w:t>
      </w:r>
      <w:r w:rsidRPr="00C1603D">
        <w:rPr>
          <w:lang w:eastAsia="en-GB"/>
        </w:rPr>
        <w:t xml:space="preserve">$100,000 </w:t>
      </w:r>
      <w:r w:rsidR="00AA4B81" w:rsidRPr="00C1603D">
        <w:rPr>
          <w:lang w:eastAsia="en-GB"/>
        </w:rPr>
        <w:t xml:space="preserve">per QALY gained </w:t>
      </w:r>
      <w:r w:rsidRPr="00C1603D">
        <w:rPr>
          <w:lang w:eastAsia="en-GB"/>
        </w:rPr>
        <w:t xml:space="preserve">if pre-test probability was 1.1%. Shamir </w:t>
      </w:r>
      <w:r w:rsidR="00AA4B81" w:rsidRPr="00C1603D">
        <w:rPr>
          <w:i/>
          <w:iCs/>
          <w:lang w:eastAsia="en-GB"/>
        </w:rPr>
        <w:t>et al</w:t>
      </w:r>
      <w:r w:rsidR="00AA4B81" w:rsidRPr="00C1603D">
        <w:rPr>
          <w:lang w:eastAsia="en-GB"/>
        </w:rPr>
        <w:t>.</w:t>
      </w:r>
      <w:r w:rsidR="00AA4B81" w:rsidRPr="00C1603D">
        <w:rPr>
          <w:vertAlign w:val="superscript"/>
          <w:lang w:eastAsia="en-GB"/>
        </w:rPr>
        <w:t>202</w:t>
      </w:r>
      <w:r w:rsidRPr="00C1603D">
        <w:rPr>
          <w:lang w:eastAsia="en-GB"/>
        </w:rPr>
        <w:t xml:space="preserve"> used a Markov model to find that screening </w:t>
      </w:r>
      <w:r w:rsidR="00D830C6" w:rsidRPr="00C1603D">
        <w:rPr>
          <w:lang w:eastAsia="en-GB"/>
        </w:rPr>
        <w:t xml:space="preserve">the adult population </w:t>
      </w:r>
      <w:r w:rsidRPr="00C1603D">
        <w:rPr>
          <w:lang w:eastAsia="en-GB"/>
        </w:rPr>
        <w:t>for CD using IgA EMA was cost-effective</w:t>
      </w:r>
      <w:r w:rsidR="00D830C6" w:rsidRPr="00C1603D">
        <w:rPr>
          <w:lang w:eastAsia="en-GB"/>
        </w:rPr>
        <w:t>,</w:t>
      </w:r>
      <w:r w:rsidRPr="00C1603D">
        <w:rPr>
          <w:lang w:eastAsia="en-GB"/>
        </w:rPr>
        <w:t xml:space="preserve"> </w:t>
      </w:r>
      <w:r w:rsidR="00553BA7" w:rsidRPr="00C1603D">
        <w:rPr>
          <w:lang w:eastAsia="en-GB"/>
        </w:rPr>
        <w:t>compared with</w:t>
      </w:r>
      <w:r w:rsidRPr="00C1603D">
        <w:rPr>
          <w:lang w:eastAsia="en-GB"/>
        </w:rPr>
        <w:t xml:space="preserve"> no screening. Her</w:t>
      </w:r>
      <w:r w:rsidR="00D830C6" w:rsidRPr="00C1603D">
        <w:rPr>
          <w:lang w:eastAsia="en-GB"/>
        </w:rPr>
        <w:t>s</w:t>
      </w:r>
      <w:r w:rsidRPr="00C1603D">
        <w:rPr>
          <w:lang w:eastAsia="en-GB"/>
        </w:rPr>
        <w:t xml:space="preserve">hcovici </w:t>
      </w:r>
      <w:r w:rsidR="00D830C6" w:rsidRPr="00C1603D">
        <w:rPr>
          <w:i/>
          <w:iCs/>
          <w:lang w:eastAsia="en-GB"/>
        </w:rPr>
        <w:t>et al</w:t>
      </w:r>
      <w:r w:rsidR="00D830C6" w:rsidRPr="00C1603D">
        <w:rPr>
          <w:lang w:eastAsia="en-GB"/>
        </w:rPr>
        <w:t>.</w:t>
      </w:r>
      <w:r w:rsidR="00BF19E0" w:rsidRPr="00C1603D">
        <w:rPr>
          <w:vertAlign w:val="superscript"/>
          <w:lang w:eastAsia="en-GB"/>
        </w:rPr>
        <w:t>206</w:t>
      </w:r>
      <w:r w:rsidR="00D830C6" w:rsidRPr="00C1603D">
        <w:rPr>
          <w:lang w:eastAsia="en-GB"/>
        </w:rPr>
        <w:t xml:space="preserve"> </w:t>
      </w:r>
      <w:r w:rsidRPr="00C1603D">
        <w:rPr>
          <w:lang w:eastAsia="en-GB"/>
        </w:rPr>
        <w:t>used a Markov model to find that mass screening via serological test followed by biopsy was cost-effective</w:t>
      </w:r>
      <w:r w:rsidR="00BF19E0" w:rsidRPr="00C1603D">
        <w:rPr>
          <w:lang w:eastAsia="en-GB"/>
        </w:rPr>
        <w:t>,</w:t>
      </w:r>
      <w:r w:rsidRPr="00C1603D">
        <w:rPr>
          <w:lang w:eastAsia="en-GB"/>
        </w:rPr>
        <w:t xml:space="preserve"> </w:t>
      </w:r>
      <w:r w:rsidR="00553BA7" w:rsidRPr="00C1603D">
        <w:rPr>
          <w:lang w:eastAsia="en-GB"/>
        </w:rPr>
        <w:t>compared with</w:t>
      </w:r>
      <w:r w:rsidRPr="00C1603D">
        <w:rPr>
          <w:lang w:eastAsia="en-GB"/>
        </w:rPr>
        <w:t xml:space="preserve"> no</w:t>
      </w:r>
      <w:r w:rsidR="00BF19E0" w:rsidRPr="00C1603D">
        <w:rPr>
          <w:lang w:eastAsia="en-GB"/>
        </w:rPr>
        <w:t xml:space="preserve"> </w:t>
      </w:r>
      <w:r w:rsidRPr="00C1603D">
        <w:rPr>
          <w:lang w:eastAsia="en-GB"/>
        </w:rPr>
        <w:t xml:space="preserve">screening. Park </w:t>
      </w:r>
      <w:r w:rsidR="00BF19E0" w:rsidRPr="00C1603D">
        <w:rPr>
          <w:i/>
          <w:iCs/>
          <w:lang w:eastAsia="en-GB"/>
        </w:rPr>
        <w:t>et al</w:t>
      </w:r>
      <w:r w:rsidR="00BF19E0" w:rsidRPr="00C1603D">
        <w:rPr>
          <w:lang w:eastAsia="en-GB"/>
        </w:rPr>
        <w:t>.</w:t>
      </w:r>
      <w:r w:rsidR="00BF19E0" w:rsidRPr="00C1603D">
        <w:rPr>
          <w:vertAlign w:val="superscript"/>
          <w:lang w:eastAsia="en-GB"/>
        </w:rPr>
        <w:t>208</w:t>
      </w:r>
      <w:r w:rsidR="00BF19E0" w:rsidRPr="00C1603D">
        <w:rPr>
          <w:lang w:eastAsia="en-GB"/>
        </w:rPr>
        <w:t xml:space="preserve"> </w:t>
      </w:r>
      <w:r w:rsidRPr="00C1603D">
        <w:rPr>
          <w:lang w:eastAsia="en-GB"/>
        </w:rPr>
        <w:t>used a Markov model to find that universal serological screening (i.e. pre-test probability close to CD prevalence of 1%) to prevent non</w:t>
      </w:r>
      <w:r w:rsidR="00BF19E0" w:rsidRPr="00C1603D">
        <w:rPr>
          <w:lang w:eastAsia="en-GB"/>
        </w:rPr>
        <w:t>-</w:t>
      </w:r>
      <w:r w:rsidRPr="00C1603D">
        <w:rPr>
          <w:lang w:eastAsia="en-GB"/>
        </w:rPr>
        <w:t>traumatic hip and vertebral fractures was not cost-effective. However, this model did not consider</w:t>
      </w:r>
      <w:r w:rsidR="00BF19E0" w:rsidRPr="00C1603D">
        <w:rPr>
          <w:lang w:eastAsia="en-GB"/>
        </w:rPr>
        <w:t xml:space="preserve"> the</w:t>
      </w:r>
      <w:r w:rsidRPr="00C1603D">
        <w:rPr>
          <w:lang w:eastAsia="en-GB"/>
        </w:rPr>
        <w:t xml:space="preserve"> impact of osteoporosis patients without fracture, NHL or symptomatic relief via gluten-free diet, so </w:t>
      </w:r>
      <w:r w:rsidR="00BE413B" w:rsidRPr="00C1603D">
        <w:rPr>
          <w:lang w:eastAsia="en-GB"/>
        </w:rPr>
        <w:t xml:space="preserve">it is </w:t>
      </w:r>
      <w:r w:rsidRPr="00C1603D">
        <w:rPr>
          <w:lang w:eastAsia="en-GB"/>
        </w:rPr>
        <w:t xml:space="preserve">likely </w:t>
      </w:r>
      <w:r w:rsidR="00BE413B" w:rsidRPr="00C1603D">
        <w:rPr>
          <w:lang w:eastAsia="en-GB"/>
        </w:rPr>
        <w:t xml:space="preserve">to have </w:t>
      </w:r>
      <w:r w:rsidRPr="00C1603D">
        <w:rPr>
          <w:lang w:eastAsia="en-GB"/>
        </w:rPr>
        <w:t xml:space="preserve">underestimated cost-effectiveness. In the Dutch setting, Mohseninejad </w:t>
      </w:r>
      <w:r w:rsidR="00BE413B" w:rsidRPr="00C1603D">
        <w:rPr>
          <w:i/>
          <w:iCs/>
          <w:lang w:eastAsia="en-GB"/>
        </w:rPr>
        <w:t>et al</w:t>
      </w:r>
      <w:r w:rsidR="00BE413B" w:rsidRPr="00C1603D">
        <w:rPr>
          <w:lang w:eastAsia="en-GB"/>
        </w:rPr>
        <w:t>.</w:t>
      </w:r>
      <w:r w:rsidR="00BE413B" w:rsidRPr="00C1603D">
        <w:rPr>
          <w:vertAlign w:val="superscript"/>
          <w:lang w:eastAsia="en-GB"/>
        </w:rPr>
        <w:t>207</w:t>
      </w:r>
      <w:r w:rsidR="00BE413B" w:rsidRPr="00C1603D">
        <w:rPr>
          <w:lang w:eastAsia="en-GB"/>
        </w:rPr>
        <w:t xml:space="preserve"> </w:t>
      </w:r>
      <w:r w:rsidRPr="00C1603D">
        <w:rPr>
          <w:lang w:eastAsia="en-GB"/>
        </w:rPr>
        <w:t xml:space="preserve">used a Markov model to find that screening patients with IBS symptoms for CD was cost-effective. Our model was </w:t>
      </w:r>
      <w:proofErr w:type="gramStart"/>
      <w:r w:rsidRPr="00C1603D">
        <w:rPr>
          <w:lang w:eastAsia="en-GB"/>
        </w:rPr>
        <w:t>largely based</w:t>
      </w:r>
      <w:proofErr w:type="gramEnd"/>
      <w:r w:rsidRPr="00C1603D">
        <w:rPr>
          <w:lang w:eastAsia="en-GB"/>
        </w:rPr>
        <w:t xml:space="preserve"> on the 2015 UK NICE model.</w:t>
      </w:r>
      <w:r w:rsidRPr="00C1603D">
        <w:rPr>
          <w:noProof/>
          <w:vertAlign w:val="superscript"/>
          <w:lang w:eastAsia="en-GB"/>
        </w:rPr>
        <w:t>198</w:t>
      </w:r>
      <w:r w:rsidRPr="00C1603D">
        <w:rPr>
          <w:lang w:eastAsia="en-GB"/>
        </w:rPr>
        <w:t xml:space="preserve"> Our analysis extends </w:t>
      </w:r>
      <w:r w:rsidR="00BE413B" w:rsidRPr="00C1603D">
        <w:rPr>
          <w:lang w:eastAsia="en-GB"/>
        </w:rPr>
        <w:t>its</w:t>
      </w:r>
      <w:r w:rsidRPr="00C1603D">
        <w:rPr>
          <w:lang w:eastAsia="en-GB"/>
        </w:rPr>
        <w:t xml:space="preserve"> evaluation of active </w:t>
      </w:r>
      <w:r w:rsidR="0087034D" w:rsidRPr="00C1603D">
        <w:rPr>
          <w:lang w:eastAsia="en-GB"/>
        </w:rPr>
        <w:t>case-finding</w:t>
      </w:r>
      <w:r w:rsidRPr="00C1603D">
        <w:rPr>
          <w:lang w:eastAsia="en-GB"/>
        </w:rPr>
        <w:t xml:space="preserve"> strategies. They found </w:t>
      </w:r>
      <w:r w:rsidR="00447EB6" w:rsidRPr="00C1603D">
        <w:rPr>
          <w:lang w:eastAsia="en-GB"/>
        </w:rPr>
        <w:t xml:space="preserve">that </w:t>
      </w:r>
      <w:r w:rsidRPr="00C1603D">
        <w:rPr>
          <w:lang w:eastAsia="en-GB"/>
        </w:rPr>
        <w:t xml:space="preserve">screening first-degree relatives of people with CD was cost-effective </w:t>
      </w:r>
      <w:r w:rsidR="00447EB6" w:rsidRPr="00C1603D">
        <w:rPr>
          <w:lang w:eastAsia="en-GB"/>
        </w:rPr>
        <w:t>among</w:t>
      </w:r>
      <w:r w:rsidRPr="00C1603D">
        <w:rPr>
          <w:lang w:eastAsia="en-GB"/>
        </w:rPr>
        <w:t xml:space="preserve"> adults and children, that screening people with type 1 diabetes was cost-effective </w:t>
      </w:r>
      <w:r w:rsidR="00447EB6" w:rsidRPr="00C1603D">
        <w:rPr>
          <w:lang w:eastAsia="en-GB"/>
        </w:rPr>
        <w:t>among</w:t>
      </w:r>
      <w:r w:rsidRPr="00C1603D">
        <w:rPr>
          <w:lang w:eastAsia="en-GB"/>
        </w:rPr>
        <w:t xml:space="preserve"> adults and potentially cost-effective </w:t>
      </w:r>
      <w:r w:rsidR="00447EB6" w:rsidRPr="00C1603D">
        <w:rPr>
          <w:lang w:eastAsia="en-GB"/>
        </w:rPr>
        <w:t>among</w:t>
      </w:r>
      <w:r w:rsidRPr="00C1603D">
        <w:rPr>
          <w:lang w:eastAsia="en-GB"/>
        </w:rPr>
        <w:t xml:space="preserve"> children, and that screening those </w:t>
      </w:r>
      <w:r w:rsidR="00447EB6" w:rsidRPr="00C1603D">
        <w:rPr>
          <w:lang w:eastAsia="en-GB"/>
        </w:rPr>
        <w:t xml:space="preserve">with </w:t>
      </w:r>
      <w:r w:rsidRPr="00C1603D">
        <w:rPr>
          <w:lang w:eastAsia="en-GB"/>
        </w:rPr>
        <w:t xml:space="preserve">autoimmune thyroid disease was not cost-effective </w:t>
      </w:r>
      <w:r w:rsidR="00447EB6" w:rsidRPr="00C1603D">
        <w:rPr>
          <w:lang w:eastAsia="en-GB"/>
        </w:rPr>
        <w:t>among</w:t>
      </w:r>
      <w:r w:rsidRPr="00C1603D">
        <w:rPr>
          <w:lang w:eastAsia="en-GB"/>
        </w:rPr>
        <w:t xml:space="preserve"> adults or children.</w:t>
      </w:r>
    </w:p>
    <w:p w14:paraId="4E28A8D0" w14:textId="77777777" w:rsidR="008B4DF8" w:rsidRPr="00C1603D" w:rsidRDefault="008B4DF8" w:rsidP="008B4DF8">
      <w:pPr>
        <w:pStyle w:val="43ChaptertitleHeadingsHeadingstyles"/>
      </w:pPr>
      <w:bookmarkStart w:id="464" w:name="_Toc99539909"/>
      <w:r w:rsidRPr="00C1603D">
        <w:lastRenderedPageBreak/>
        <w:t>Chapter 10</w:t>
      </w:r>
      <w:r w:rsidRPr="00C1603D">
        <w:t> </w:t>
      </w:r>
      <w:r w:rsidRPr="00C1603D">
        <w:t>Conclusions</w:t>
      </w:r>
      <w:bookmarkEnd w:id="464"/>
    </w:p>
    <w:p w14:paraId="08E123F5" w14:textId="77777777" w:rsidR="008B4DF8" w:rsidRPr="00C1603D" w:rsidRDefault="008B4DF8" w:rsidP="008B4DF8">
      <w:pPr>
        <w:pStyle w:val="52AheadHeadingsHeadingstyles"/>
      </w:pPr>
      <w:bookmarkStart w:id="465" w:name="_Toc99539910"/>
      <w:r w:rsidRPr="00C1603D">
        <w:t>Implications for practice</w:t>
      </w:r>
      <w:bookmarkEnd w:id="465"/>
    </w:p>
    <w:p w14:paraId="402D332A" w14:textId="06C96095" w:rsidR="008B4DF8" w:rsidRPr="00C1603D" w:rsidRDefault="008B4DF8" w:rsidP="008B4DF8">
      <w:pPr>
        <w:pStyle w:val="602TextfoTextstylesTextstyles"/>
      </w:pPr>
      <w:r w:rsidRPr="00C1603D">
        <w:t>Our cost-effectiveness analysis suggested that</w:t>
      </w:r>
      <w:r w:rsidR="001F04DA" w:rsidRPr="00C1603D">
        <w:t>,</w:t>
      </w:r>
      <w:r w:rsidRPr="00C1603D">
        <w:t xml:space="preserve"> if using serological testing alone</w:t>
      </w:r>
      <w:r w:rsidR="001F04DA" w:rsidRPr="00C1603D">
        <w:t>,</w:t>
      </w:r>
      <w:r w:rsidRPr="00C1603D">
        <w:t xml:space="preserve"> the most cost-effective strategy </w:t>
      </w:r>
      <w:r w:rsidR="001F04DA" w:rsidRPr="00C1603D">
        <w:t>for</w:t>
      </w:r>
      <w:r w:rsidRPr="00C1603D">
        <w:t xml:space="preserve"> adults is likely to be </w:t>
      </w:r>
      <w:r w:rsidR="00631EC4" w:rsidRPr="00C1603D">
        <w:t>population-based</w:t>
      </w:r>
      <w:r w:rsidRPr="00C1603D">
        <w:t xml:space="preserve"> screening (i.e. testing all adults with at least a 1% pre-test probability) with either IgA tTG or IgA EMA, or with a combination of both tests. Given the wider availability of IgA tTG in UK laboratories, the more objective interpretation of the test and its potential value in showing response to a gluten-free diet, we would recommend IgA tTG as the serological test to be used.</w:t>
      </w:r>
      <w:r w:rsidRPr="00C1603D">
        <w:rPr>
          <w:rFonts w:cs="Calibri"/>
          <w:noProof/>
          <w:vertAlign w:val="superscript"/>
          <w:lang w:eastAsia="ko-KR"/>
        </w:rPr>
        <w:t>254</w:t>
      </w:r>
      <w:r w:rsidRPr="00C1603D">
        <w:rPr>
          <w:rFonts w:cs="Calibri"/>
          <w:lang w:eastAsia="ko-KR"/>
        </w:rPr>
        <w:t xml:space="preserve"> </w:t>
      </w:r>
      <w:r w:rsidRPr="00C1603D">
        <w:t>However, there is uncertainty in these results</w:t>
      </w:r>
      <w:r w:rsidR="00981F8D" w:rsidRPr="00C1603D">
        <w:t>,</w:t>
      </w:r>
      <w:r w:rsidRPr="00C1603D">
        <w:t xml:space="preserve"> and</w:t>
      </w:r>
      <w:r w:rsidR="00981F8D" w:rsidRPr="00C1603D">
        <w:t xml:space="preserve"> there is</w:t>
      </w:r>
      <w:r w:rsidRPr="00C1603D">
        <w:t xml:space="preserve"> value, particularly </w:t>
      </w:r>
      <w:r w:rsidR="005C3E2C" w:rsidRPr="00C1603D">
        <w:t>for</w:t>
      </w:r>
      <w:r w:rsidRPr="00C1603D">
        <w:t xml:space="preserve"> adult women, in conducting further research, such as through a long-term randomised controlled trial of screening strategies. Furthermore, decisions to implement </w:t>
      </w:r>
      <w:r w:rsidR="00631EC4" w:rsidRPr="00C1603D">
        <w:t>population-based</w:t>
      </w:r>
      <w:r w:rsidRPr="00C1603D">
        <w:t xml:space="preserve"> screening cannot be made based on this economic analysis alone</w:t>
      </w:r>
      <w:r w:rsidR="004B6A89" w:rsidRPr="00C1603D">
        <w:t>:</w:t>
      </w:r>
      <w:r w:rsidRPr="00C1603D">
        <w:t xml:space="preserve"> the proposed screening programme must meet UK National Screening Committee Criteria.</w:t>
      </w:r>
      <w:r w:rsidRPr="00C1603D">
        <w:rPr>
          <w:noProof/>
          <w:vertAlign w:val="superscript"/>
        </w:rPr>
        <w:t>295</w:t>
      </w:r>
      <w:r w:rsidRPr="00C1603D">
        <w:t xml:space="preserve"> </w:t>
      </w:r>
      <w:r w:rsidR="004B6A89" w:rsidRPr="00C1603D">
        <w:rPr>
          <w:color w:val="00B0F0"/>
        </w:rPr>
        <w:t>Although</w:t>
      </w:r>
      <w:r w:rsidRPr="00C1603D">
        <w:t xml:space="preserve"> a CD screening programme meets some of these criteria</w:t>
      </w:r>
      <w:r w:rsidR="004B6A89" w:rsidRPr="00C1603D">
        <w:t>,</w:t>
      </w:r>
      <w:r w:rsidRPr="00C1603D">
        <w:t xml:space="preserve"> it does not yet meet all criteria (</w:t>
      </w:r>
      <w:r w:rsidR="004B6A89" w:rsidRPr="00C1603D">
        <w:t xml:space="preserve">see </w:t>
      </w:r>
      <w:r w:rsidRPr="00C1603D">
        <w:rPr>
          <w:i/>
          <w:iCs/>
        </w:rPr>
        <w:t>Appendix 29</w:t>
      </w:r>
      <w:r w:rsidRPr="00C1603D">
        <w:t xml:space="preserve">). Key criteria that would need to be met before such a programme could be implemented are consensus on an appropriate threshold for the screening test (IgA tTG), agreement on further diagnostic workup </w:t>
      </w:r>
      <w:r w:rsidR="007523DA" w:rsidRPr="00C1603D">
        <w:t>for</w:t>
      </w:r>
      <w:r w:rsidRPr="00C1603D">
        <w:t xml:space="preserve"> those testing positive for IgA tTG and randomised trials showing the effectiveness of the screening programme.</w:t>
      </w:r>
    </w:p>
    <w:p w14:paraId="21109ED6" w14:textId="6F37F850" w:rsidR="008B4DF8" w:rsidRPr="00C1603D" w:rsidRDefault="007523DA" w:rsidP="008B4DF8">
      <w:pPr>
        <w:pStyle w:val="602TextfoTextstylesTextstyles"/>
      </w:pPr>
      <w:r w:rsidRPr="00C1603D">
        <w:t>The</w:t>
      </w:r>
      <w:r w:rsidR="008B4DF8" w:rsidRPr="00C1603D">
        <w:t xml:space="preserve"> cost-effectiveness analysis found that serological testing combined with HLA testing strategies with 1</w:t>
      </w:r>
      <w:r w:rsidR="008B4DF8" w:rsidRPr="00C1603D">
        <w:rPr>
          <w:color w:val="00B0F0"/>
        </w:rPr>
        <w:t>–2</w:t>
      </w:r>
      <w:r w:rsidR="008B4DF8" w:rsidRPr="00C1603D">
        <w:t xml:space="preserve">0% pre-test probability had </w:t>
      </w:r>
      <w:proofErr w:type="gramStart"/>
      <w:r w:rsidR="008B4DF8" w:rsidRPr="00C1603D">
        <w:t>very similar</w:t>
      </w:r>
      <w:proofErr w:type="gramEnd"/>
      <w:r w:rsidR="008B4DF8" w:rsidRPr="00C1603D">
        <w:t xml:space="preserve"> cost-effectiveness to each other and to IgA tTG with a 1% pre-test probability. Given that population screening is not considered appropriate without additional evidence, the advantages of IgA tTG testing over IgA EMA testing and the difficulty of identifying patients </w:t>
      </w:r>
      <w:r w:rsidR="008B4DF8" w:rsidRPr="00C1603D">
        <w:rPr>
          <w:color w:val="auto"/>
        </w:rPr>
        <w:t xml:space="preserve">with 5–20% pre-test probability, we recommend a strategy that combines HLA testing with IgA tTG testing in those with at least a 1.5% pre-test probability in adults. The cost-effectiveness analysis suggested that it was more cost-effective to perform the HLA test prior to the IgA tTG test. </w:t>
      </w:r>
      <w:r w:rsidR="002F47C3" w:rsidRPr="00C1603D">
        <w:rPr>
          <w:color w:val="auto"/>
        </w:rPr>
        <w:t>For</w:t>
      </w:r>
      <w:r w:rsidR="008B4DF8" w:rsidRPr="00C1603D">
        <w:rPr>
          <w:color w:val="auto"/>
        </w:rPr>
        <w:t xml:space="preserve"> children, the most cost-effective testing strategy is </w:t>
      </w:r>
      <w:r w:rsidR="005C5714" w:rsidRPr="00C1603D">
        <w:rPr>
          <w:color w:val="auto"/>
        </w:rPr>
        <w:t>testing those with a</w:t>
      </w:r>
      <w:r w:rsidR="008B4DF8" w:rsidRPr="00C1603D">
        <w:rPr>
          <w:color w:val="auto"/>
        </w:rPr>
        <w:t xml:space="preserve"> 10% pre-test probability of</w:t>
      </w:r>
      <w:r w:rsidR="005C5714" w:rsidRPr="00C1603D">
        <w:rPr>
          <w:color w:val="auto"/>
        </w:rPr>
        <w:t xml:space="preserve"> having</w:t>
      </w:r>
      <w:r w:rsidR="008B4DF8" w:rsidRPr="00C1603D">
        <w:rPr>
          <w:color w:val="auto"/>
        </w:rPr>
        <w:t xml:space="preserve"> CD (more cost-effective than population </w:t>
      </w:r>
      <w:r w:rsidR="008B4DF8" w:rsidRPr="00C1603D">
        <w:t xml:space="preserve">screening). Indicators that should prompt testing are therefore those that increase the risk of CD to at least 1.5% in adults and to 10% in children. These are summarised in </w:t>
      </w:r>
      <w:r w:rsidR="008B4DF8" w:rsidRPr="00C1603D">
        <w:rPr>
          <w:i/>
          <w:color w:val="FF0000"/>
        </w:rPr>
        <w:t xml:space="preserve">Table </w:t>
      </w:r>
      <w:r w:rsidR="008B4DF8" w:rsidRPr="00C1603D">
        <w:rPr>
          <w:i/>
          <w:noProof/>
          <w:color w:val="FF0000"/>
        </w:rPr>
        <w:t>2</w:t>
      </w:r>
      <w:r w:rsidR="008A6568" w:rsidRPr="00C1603D">
        <w:rPr>
          <w:i/>
          <w:noProof/>
          <w:color w:val="FF0000"/>
        </w:rPr>
        <w:t>4</w:t>
      </w:r>
      <w:r w:rsidR="008B4DF8" w:rsidRPr="00C1603D">
        <w:t>. These are diagnostic indicators identified by our review of diagnostic indicators (</w:t>
      </w:r>
      <w:r w:rsidR="005C5714" w:rsidRPr="00C1603D">
        <w:t xml:space="preserve">see </w:t>
      </w:r>
      <w:r w:rsidR="008B4DF8" w:rsidRPr="00C1603D">
        <w:rPr>
          <w:i/>
          <w:iCs/>
        </w:rPr>
        <w:t>Chapter 3</w:t>
      </w:r>
      <w:r w:rsidR="008B4DF8" w:rsidRPr="00C1603D">
        <w:t>) and through the prediction model (</w:t>
      </w:r>
      <w:r w:rsidR="005C5714" w:rsidRPr="00C1603D">
        <w:t xml:space="preserve">see </w:t>
      </w:r>
      <w:r w:rsidR="008B4DF8" w:rsidRPr="00C1603D">
        <w:rPr>
          <w:i/>
          <w:iCs/>
        </w:rPr>
        <w:t>Chapter 4</w:t>
      </w:r>
      <w:r w:rsidR="008B4DF8" w:rsidRPr="00C1603D">
        <w:t>).</w:t>
      </w:r>
    </w:p>
    <w:p w14:paraId="15AA43A6" w14:textId="41CA5337" w:rsidR="008B4DF8" w:rsidRPr="00C1603D" w:rsidRDefault="008B4DF8" w:rsidP="008B4DF8">
      <w:pPr>
        <w:pStyle w:val="70TablelegendTablesTableFigureBoxstyles"/>
      </w:pPr>
      <w:bookmarkStart w:id="466" w:name="_Toc99720734"/>
      <w:r w:rsidRPr="00C1603D">
        <w:rPr>
          <w:b/>
        </w:rPr>
        <w:t>TABLE 2</w:t>
      </w:r>
      <w:r w:rsidR="00032460" w:rsidRPr="00C1603D">
        <w:rPr>
          <w:b/>
        </w:rPr>
        <w:t>4</w:t>
      </w:r>
      <w:r w:rsidRPr="00C1603D">
        <w:rPr>
          <w:b/>
        </w:rPr>
        <w:t> </w:t>
      </w:r>
      <w:r w:rsidRPr="00C1603D">
        <w:t xml:space="preserve">Indicators that should prompt testing </w:t>
      </w:r>
      <w:r w:rsidR="005C5714" w:rsidRPr="00C1603D">
        <w:t>among</w:t>
      </w:r>
      <w:r w:rsidRPr="00C1603D">
        <w:t xml:space="preserve"> men, women and children</w:t>
      </w:r>
      <w:bookmarkEnd w:id="466"/>
    </w:p>
    <w:tbl>
      <w:tblPr>
        <w:tblW w:w="0" w:type="auto"/>
        <w:tblCellMar>
          <w:top w:w="40" w:type="dxa"/>
          <w:left w:w="60" w:type="dxa"/>
          <w:bottom w:w="40" w:type="dxa"/>
          <w:right w:w="60" w:type="dxa"/>
        </w:tblCellMar>
        <w:tblLook w:val="04A0" w:firstRow="1" w:lastRow="0" w:firstColumn="1" w:lastColumn="0" w:noHBand="0" w:noVBand="1"/>
      </w:tblPr>
      <w:tblGrid>
        <w:gridCol w:w="2498"/>
        <w:gridCol w:w="2966"/>
      </w:tblGrid>
      <w:tr w:rsidR="008B4DF8" w:rsidRPr="00C1603D" w14:paraId="2699F5CC" w14:textId="77777777" w:rsidTr="005C5714">
        <w:trPr>
          <w:cantSplit/>
        </w:trPr>
        <w:tc>
          <w:tcPr>
            <w:tcW w:w="0" w:type="auto"/>
            <w:shd w:val="clear" w:color="auto" w:fill="auto"/>
          </w:tcPr>
          <w:p w14:paraId="3FF1EADB" w14:textId="77777777" w:rsidR="008B4DF8" w:rsidRPr="00C1603D" w:rsidRDefault="008B4DF8" w:rsidP="005C5714">
            <w:pPr>
              <w:pStyle w:val="710TableheadTablesTableFigureBoxstyles"/>
            </w:pPr>
            <w:r w:rsidRPr="00C1603D">
              <w:t>Population</w:t>
            </w:r>
          </w:p>
        </w:tc>
        <w:tc>
          <w:tcPr>
            <w:tcW w:w="0" w:type="auto"/>
            <w:shd w:val="clear" w:color="auto" w:fill="auto"/>
          </w:tcPr>
          <w:p w14:paraId="3ECBAC33" w14:textId="77777777" w:rsidR="008B4DF8" w:rsidRPr="00C1603D" w:rsidRDefault="008B4DF8" w:rsidP="005C5714">
            <w:pPr>
              <w:pStyle w:val="710TableheadTablesTableFigureBoxstyles"/>
            </w:pPr>
            <w:r w:rsidRPr="00C1603D">
              <w:t>Indicator</w:t>
            </w:r>
          </w:p>
        </w:tc>
      </w:tr>
      <w:tr w:rsidR="008B4DF8" w:rsidRPr="00C1603D" w14:paraId="672745E1" w14:textId="77777777" w:rsidTr="005C5714">
        <w:trPr>
          <w:cantSplit/>
        </w:trPr>
        <w:tc>
          <w:tcPr>
            <w:tcW w:w="0" w:type="auto"/>
            <w:shd w:val="clear" w:color="auto" w:fill="auto"/>
          </w:tcPr>
          <w:p w14:paraId="7B7761B5" w14:textId="77777777" w:rsidR="008B4DF8" w:rsidRPr="00C1603D" w:rsidRDefault="008B4DF8" w:rsidP="005C5714">
            <w:pPr>
              <w:pStyle w:val="72TabletextTablesTableFigureBoxstyles"/>
            </w:pPr>
            <w:r w:rsidRPr="00C1603D">
              <w:t>All (men, women and children)</w:t>
            </w:r>
          </w:p>
        </w:tc>
        <w:tc>
          <w:tcPr>
            <w:tcW w:w="0" w:type="auto"/>
            <w:shd w:val="clear" w:color="auto" w:fill="auto"/>
          </w:tcPr>
          <w:p w14:paraId="2DEC4B59" w14:textId="76A0F6A0" w:rsidR="008B4DF8" w:rsidRPr="00C1603D" w:rsidRDefault="00BA5584" w:rsidP="00EA11B6">
            <w:pPr>
              <w:pStyle w:val="722TablebulletlistTablesTableFigureBoxstyles"/>
            </w:pPr>
            <w:r w:rsidRPr="00C1603D">
              <w:t>First-degree</w:t>
            </w:r>
            <w:r w:rsidR="008B4DF8" w:rsidRPr="00C1603D">
              <w:t xml:space="preserve"> relatives with CD</w:t>
            </w:r>
          </w:p>
          <w:p w14:paraId="5D137311" w14:textId="77777777" w:rsidR="008B4DF8" w:rsidRPr="00C1603D" w:rsidRDefault="008B4DF8" w:rsidP="00EA11B6">
            <w:pPr>
              <w:pStyle w:val="722TablebulletlistTablesTableFigureBoxstyles"/>
            </w:pPr>
            <w:r w:rsidRPr="00C1603D">
              <w:t>Anaemia</w:t>
            </w:r>
          </w:p>
          <w:p w14:paraId="4E3235EE" w14:textId="5ED4B933" w:rsidR="008B4DF8" w:rsidRPr="00C1603D" w:rsidRDefault="008B4DF8" w:rsidP="00EA11B6">
            <w:pPr>
              <w:pStyle w:val="722TablebulletlistTablesTableFigureBoxstyles"/>
            </w:pPr>
            <w:r w:rsidRPr="00C1603D">
              <w:t>Iron, vit</w:t>
            </w:r>
            <w:r w:rsidR="00EA11B6" w:rsidRPr="00C1603D">
              <w:t>amin</w:t>
            </w:r>
            <w:r w:rsidRPr="00C1603D">
              <w:t xml:space="preserve"> B</w:t>
            </w:r>
            <w:r w:rsidRPr="00C1603D">
              <w:rPr>
                <w:vertAlign w:val="subscript"/>
              </w:rPr>
              <w:t>12</w:t>
            </w:r>
            <w:r w:rsidRPr="00C1603D">
              <w:t xml:space="preserve"> or folate deficiency</w:t>
            </w:r>
          </w:p>
          <w:p w14:paraId="774BD4BB" w14:textId="77777777" w:rsidR="008B4DF8" w:rsidRPr="00C1603D" w:rsidRDefault="008B4DF8" w:rsidP="00EA11B6">
            <w:pPr>
              <w:pStyle w:val="722TablebulletlistTablesTableFigureBoxstyles"/>
            </w:pPr>
            <w:r w:rsidRPr="00C1603D">
              <w:t>Type 1 diabetes</w:t>
            </w:r>
          </w:p>
          <w:p w14:paraId="332D1201" w14:textId="77777777" w:rsidR="008B4DF8" w:rsidRPr="00C1603D" w:rsidRDefault="008B4DF8" w:rsidP="00EA11B6">
            <w:pPr>
              <w:pStyle w:val="722TablebulletlistTablesTableFigureBoxstyles"/>
            </w:pPr>
            <w:r w:rsidRPr="00C1603D">
              <w:t>Weight loss</w:t>
            </w:r>
          </w:p>
          <w:p w14:paraId="631884CE" w14:textId="77777777" w:rsidR="008B4DF8" w:rsidRPr="00C1603D" w:rsidRDefault="008B4DF8" w:rsidP="00EA11B6">
            <w:pPr>
              <w:pStyle w:val="722TablebulletlistTablesTableFigureBoxstyles"/>
            </w:pPr>
            <w:r w:rsidRPr="00C1603D">
              <w:t>Down syndrome</w:t>
            </w:r>
          </w:p>
          <w:p w14:paraId="3EABC7E0" w14:textId="77777777" w:rsidR="008B4DF8" w:rsidRPr="00C1603D" w:rsidRDefault="008B4DF8" w:rsidP="00EA11B6">
            <w:pPr>
              <w:pStyle w:val="722TablebulletlistTablesTableFigureBoxstyles"/>
              <w:rPr>
                <w:lang w:val="fr-FR"/>
              </w:rPr>
            </w:pPr>
            <w:r w:rsidRPr="00C1603D">
              <w:rPr>
                <w:lang w:val="fr-FR"/>
              </w:rPr>
              <w:t>Thyroid disorders</w:t>
            </w:r>
          </w:p>
          <w:p w14:paraId="5F1FAB93" w14:textId="77777777" w:rsidR="008B4DF8" w:rsidRPr="00C1603D" w:rsidRDefault="008B4DF8" w:rsidP="00EA11B6">
            <w:pPr>
              <w:pStyle w:val="722TablebulletlistTablesTableFigureBoxstyles"/>
              <w:rPr>
                <w:lang w:val="fr-FR"/>
              </w:rPr>
            </w:pPr>
            <w:r w:rsidRPr="00C1603D">
              <w:rPr>
                <w:lang w:val="fr-FR"/>
              </w:rPr>
              <w:t>GI symptoms</w:t>
            </w:r>
          </w:p>
          <w:p w14:paraId="5D060004" w14:textId="77777777" w:rsidR="008B4DF8" w:rsidRPr="00C1603D" w:rsidRDefault="008B4DF8" w:rsidP="00EA11B6">
            <w:pPr>
              <w:pStyle w:val="722TablebulletlistTablesTableFigureBoxstyles"/>
              <w:rPr>
                <w:lang w:val="fr-FR"/>
              </w:rPr>
            </w:pPr>
            <w:r w:rsidRPr="00C1603D">
              <w:rPr>
                <w:lang w:val="fr-FR"/>
              </w:rPr>
              <w:t>Fatigue</w:t>
            </w:r>
          </w:p>
          <w:p w14:paraId="4A3B7C95" w14:textId="06703C97" w:rsidR="008B4DF8" w:rsidRPr="00C1603D" w:rsidRDefault="008B4DF8" w:rsidP="00EA11B6">
            <w:pPr>
              <w:pStyle w:val="722TablebulletlistTablesTableFigureBoxstyles"/>
              <w:rPr>
                <w:lang w:val="fr-FR"/>
              </w:rPr>
            </w:pPr>
            <w:r w:rsidRPr="00C1603D">
              <w:rPr>
                <w:lang w:val="fr-FR"/>
              </w:rPr>
              <w:t>Migraine</w:t>
            </w:r>
            <w:r w:rsidR="00EA11B6" w:rsidRPr="00C1603D">
              <w:rPr>
                <w:vertAlign w:val="superscript"/>
                <w:lang w:val="fr-FR"/>
              </w:rPr>
              <w:t>a</w:t>
            </w:r>
          </w:p>
        </w:tc>
      </w:tr>
      <w:tr w:rsidR="008B4DF8" w:rsidRPr="00C1603D" w14:paraId="5AD65D4F" w14:textId="77777777" w:rsidTr="005C5714">
        <w:trPr>
          <w:cantSplit/>
        </w:trPr>
        <w:tc>
          <w:tcPr>
            <w:tcW w:w="0" w:type="auto"/>
            <w:shd w:val="clear" w:color="auto" w:fill="auto"/>
          </w:tcPr>
          <w:p w14:paraId="68B0BC33" w14:textId="77777777" w:rsidR="008B4DF8" w:rsidRPr="00C1603D" w:rsidRDefault="008B4DF8" w:rsidP="005C5714">
            <w:pPr>
              <w:pStyle w:val="72TabletextTablesTableFigureBoxstyles"/>
            </w:pPr>
            <w:r w:rsidRPr="00C1603D">
              <w:lastRenderedPageBreak/>
              <w:t>Adults only</w:t>
            </w:r>
          </w:p>
        </w:tc>
        <w:tc>
          <w:tcPr>
            <w:tcW w:w="0" w:type="auto"/>
            <w:shd w:val="clear" w:color="auto" w:fill="auto"/>
          </w:tcPr>
          <w:p w14:paraId="5F30ED35" w14:textId="77777777" w:rsidR="008B4DF8" w:rsidRPr="00C1603D" w:rsidRDefault="008B4DF8" w:rsidP="00EA11B6">
            <w:pPr>
              <w:pStyle w:val="722TablebulletlistTablesTableFigureBoxstyles"/>
            </w:pPr>
            <w:r w:rsidRPr="00C1603D">
              <w:t>Osteoporosis</w:t>
            </w:r>
          </w:p>
          <w:p w14:paraId="7308EDAE" w14:textId="77777777" w:rsidR="008B4DF8" w:rsidRPr="00C1603D" w:rsidRDefault="008B4DF8" w:rsidP="00EA11B6">
            <w:pPr>
              <w:pStyle w:val="722TablebulletlistTablesTableFigureBoxstyles"/>
            </w:pPr>
            <w:r w:rsidRPr="00C1603D">
              <w:t>Mouth ulcers</w:t>
            </w:r>
          </w:p>
          <w:p w14:paraId="38932DD6" w14:textId="756EC602" w:rsidR="008B4DF8" w:rsidRPr="00C1603D" w:rsidRDefault="00C82170" w:rsidP="00EA11B6">
            <w:pPr>
              <w:pStyle w:val="722TablebulletlistTablesTableFigureBoxstyles"/>
            </w:pPr>
            <w:r w:rsidRPr="00C1603D">
              <w:t>IBS</w:t>
            </w:r>
          </w:p>
          <w:p w14:paraId="01524DE0" w14:textId="77777777" w:rsidR="008B4DF8" w:rsidRPr="00C1603D" w:rsidRDefault="008B4DF8" w:rsidP="00EA11B6">
            <w:pPr>
              <w:pStyle w:val="722TablebulletlistTablesTableFigureBoxstyles"/>
            </w:pPr>
            <w:r w:rsidRPr="00C1603D">
              <w:t>Chronic liver disease</w:t>
            </w:r>
          </w:p>
          <w:p w14:paraId="4D8249C4" w14:textId="536CFBE0" w:rsidR="008B4DF8" w:rsidRPr="00C1603D" w:rsidRDefault="008B4DF8" w:rsidP="00EA11B6">
            <w:pPr>
              <w:pStyle w:val="722TablebulletlistTablesTableFigureBoxstyles"/>
            </w:pPr>
            <w:r w:rsidRPr="00C1603D">
              <w:t>Epilepsy</w:t>
            </w:r>
            <w:r w:rsidR="005A7804" w:rsidRPr="00C1603D">
              <w:rPr>
                <w:vertAlign w:val="superscript"/>
              </w:rPr>
              <w:t>a</w:t>
            </w:r>
          </w:p>
          <w:p w14:paraId="1A54B14F" w14:textId="1C3AC48E" w:rsidR="008B4DF8" w:rsidRPr="00C1603D" w:rsidRDefault="008B4DF8" w:rsidP="00EA11B6">
            <w:pPr>
              <w:pStyle w:val="722TablebulletlistTablesTableFigureBoxstyles"/>
            </w:pPr>
            <w:r w:rsidRPr="00C1603D">
              <w:t>Cardiovascular disease</w:t>
            </w:r>
            <w:r w:rsidR="005A7804" w:rsidRPr="00C1603D">
              <w:rPr>
                <w:vertAlign w:val="superscript"/>
              </w:rPr>
              <w:t>a</w:t>
            </w:r>
          </w:p>
          <w:p w14:paraId="3E22DF1E" w14:textId="4F35B44C" w:rsidR="008B4DF8" w:rsidRPr="00C1603D" w:rsidRDefault="008B4DF8" w:rsidP="00EA11B6">
            <w:pPr>
              <w:pStyle w:val="722TablebulletlistTablesTableFigureBoxstyles"/>
              <w:rPr>
                <w:vertAlign w:val="superscript"/>
              </w:rPr>
            </w:pPr>
            <w:r w:rsidRPr="00C1603D">
              <w:t>Psoriasis</w:t>
            </w:r>
            <w:r w:rsidR="005A7804" w:rsidRPr="00C1603D">
              <w:rPr>
                <w:vertAlign w:val="superscript"/>
              </w:rPr>
              <w:t>a</w:t>
            </w:r>
          </w:p>
        </w:tc>
      </w:tr>
      <w:tr w:rsidR="008B4DF8" w:rsidRPr="00C1603D" w14:paraId="521242B3" w14:textId="77777777" w:rsidTr="005C5714">
        <w:trPr>
          <w:cantSplit/>
        </w:trPr>
        <w:tc>
          <w:tcPr>
            <w:tcW w:w="0" w:type="auto"/>
            <w:shd w:val="clear" w:color="auto" w:fill="auto"/>
          </w:tcPr>
          <w:p w14:paraId="6CC6909D" w14:textId="77777777" w:rsidR="008B4DF8" w:rsidRPr="00C1603D" w:rsidRDefault="008B4DF8" w:rsidP="005C5714">
            <w:pPr>
              <w:pStyle w:val="72TabletextTablesTableFigureBoxstyles"/>
            </w:pPr>
            <w:r w:rsidRPr="00C1603D">
              <w:t>Children only</w:t>
            </w:r>
          </w:p>
        </w:tc>
        <w:tc>
          <w:tcPr>
            <w:tcW w:w="0" w:type="auto"/>
            <w:shd w:val="clear" w:color="auto" w:fill="auto"/>
          </w:tcPr>
          <w:p w14:paraId="18A6CCFA" w14:textId="38ADAA5F" w:rsidR="008B4DF8" w:rsidRPr="00C1603D" w:rsidRDefault="008B4DF8" w:rsidP="005C5714">
            <w:pPr>
              <w:pStyle w:val="72TabletextTablesTableFigureBoxstyles"/>
            </w:pPr>
            <w:r w:rsidRPr="00C1603D">
              <w:t>Delayed puberty</w:t>
            </w:r>
            <w:r w:rsidR="005A7804" w:rsidRPr="00C1603D">
              <w:rPr>
                <w:vertAlign w:val="superscript"/>
              </w:rPr>
              <w:t>a</w:t>
            </w:r>
          </w:p>
        </w:tc>
      </w:tr>
      <w:tr w:rsidR="008B4DF8" w:rsidRPr="00C1603D" w14:paraId="4CDFE508" w14:textId="77777777" w:rsidTr="005C5714">
        <w:trPr>
          <w:cantSplit/>
        </w:trPr>
        <w:tc>
          <w:tcPr>
            <w:tcW w:w="0" w:type="auto"/>
            <w:shd w:val="clear" w:color="auto" w:fill="auto"/>
          </w:tcPr>
          <w:p w14:paraId="2195A97E" w14:textId="77777777" w:rsidR="008B4DF8" w:rsidRPr="00C1603D" w:rsidRDefault="008B4DF8" w:rsidP="005C5714">
            <w:pPr>
              <w:pStyle w:val="72TabletextTablesTableFigureBoxstyles"/>
            </w:pPr>
            <w:r w:rsidRPr="00C1603D">
              <w:t>Women and children</w:t>
            </w:r>
          </w:p>
        </w:tc>
        <w:tc>
          <w:tcPr>
            <w:tcW w:w="0" w:type="auto"/>
            <w:shd w:val="clear" w:color="auto" w:fill="auto"/>
          </w:tcPr>
          <w:p w14:paraId="0593FFCC" w14:textId="03B62188" w:rsidR="008B4DF8" w:rsidRPr="00C1603D" w:rsidRDefault="008B4DF8" w:rsidP="00EA11B6">
            <w:pPr>
              <w:pStyle w:val="722TablebulletlistTablesTableFigureBoxstyles"/>
            </w:pPr>
            <w:r w:rsidRPr="00C1603D">
              <w:t>IgA deficiency</w:t>
            </w:r>
            <w:r w:rsidR="005A7804" w:rsidRPr="00C1603D">
              <w:rPr>
                <w:vertAlign w:val="superscript"/>
              </w:rPr>
              <w:t>a</w:t>
            </w:r>
          </w:p>
          <w:p w14:paraId="19C8F15B" w14:textId="77777777" w:rsidR="008B4DF8" w:rsidRPr="00C1603D" w:rsidRDefault="008B4DF8" w:rsidP="00EA11B6">
            <w:pPr>
              <w:pStyle w:val="722TablebulletlistTablesTableFigureBoxstyles"/>
            </w:pPr>
            <w:r w:rsidRPr="00C1603D">
              <w:t>Turner syndrome</w:t>
            </w:r>
          </w:p>
        </w:tc>
      </w:tr>
      <w:tr w:rsidR="008B4DF8" w:rsidRPr="00C1603D" w14:paraId="165E7396" w14:textId="77777777" w:rsidTr="005C5714">
        <w:trPr>
          <w:cantSplit/>
        </w:trPr>
        <w:tc>
          <w:tcPr>
            <w:tcW w:w="0" w:type="auto"/>
            <w:shd w:val="clear" w:color="auto" w:fill="auto"/>
          </w:tcPr>
          <w:p w14:paraId="44624DDB" w14:textId="77777777" w:rsidR="008B4DF8" w:rsidRPr="00C1603D" w:rsidRDefault="008B4DF8" w:rsidP="005C5714">
            <w:pPr>
              <w:pStyle w:val="72TabletextTablesTableFigureBoxstyles"/>
            </w:pPr>
            <w:r w:rsidRPr="00C1603D">
              <w:t>Women only</w:t>
            </w:r>
          </w:p>
        </w:tc>
        <w:tc>
          <w:tcPr>
            <w:tcW w:w="0" w:type="auto"/>
            <w:shd w:val="clear" w:color="auto" w:fill="auto"/>
          </w:tcPr>
          <w:p w14:paraId="0A519E42" w14:textId="5BECFAC7" w:rsidR="008B4DF8" w:rsidRPr="00C1603D" w:rsidRDefault="008B4DF8" w:rsidP="00EA11B6">
            <w:pPr>
              <w:pStyle w:val="722TablebulletlistTablesTableFigureBoxstyles"/>
            </w:pPr>
            <w:r w:rsidRPr="00C1603D">
              <w:t>Inflammatory bowel disease</w:t>
            </w:r>
            <w:r w:rsidR="005A7804" w:rsidRPr="00C1603D">
              <w:rPr>
                <w:vertAlign w:val="superscript"/>
              </w:rPr>
              <w:t>a</w:t>
            </w:r>
          </w:p>
          <w:p w14:paraId="7830F954" w14:textId="763E35B6" w:rsidR="008B4DF8" w:rsidRPr="00C1603D" w:rsidRDefault="008B4DF8" w:rsidP="00EA11B6">
            <w:pPr>
              <w:pStyle w:val="722TablebulletlistTablesTableFigureBoxstyles"/>
            </w:pPr>
            <w:r w:rsidRPr="00C1603D">
              <w:t>Systemic lupus erythematosus</w:t>
            </w:r>
            <w:r w:rsidR="005A7804" w:rsidRPr="00C1603D">
              <w:rPr>
                <w:vertAlign w:val="superscript"/>
              </w:rPr>
              <w:t>a</w:t>
            </w:r>
          </w:p>
          <w:p w14:paraId="09DA03EE" w14:textId="4073796B" w:rsidR="008B4DF8" w:rsidRPr="00C1603D" w:rsidRDefault="008B4DF8" w:rsidP="00EA11B6">
            <w:pPr>
              <w:pStyle w:val="722TablebulletlistTablesTableFigureBoxstyles"/>
            </w:pPr>
            <w:r w:rsidRPr="00C1603D">
              <w:t>Fractures</w:t>
            </w:r>
            <w:r w:rsidR="005A7804" w:rsidRPr="00C1603D">
              <w:rPr>
                <w:vertAlign w:val="superscript"/>
              </w:rPr>
              <w:t>a</w:t>
            </w:r>
          </w:p>
          <w:p w14:paraId="0BD5710B" w14:textId="0A8AF71C" w:rsidR="008B4DF8" w:rsidRPr="00C1603D" w:rsidRDefault="008B4DF8" w:rsidP="00EA11B6">
            <w:pPr>
              <w:pStyle w:val="722TablebulletlistTablesTableFigureBoxstyles"/>
            </w:pPr>
            <w:r w:rsidRPr="00C1603D">
              <w:t xml:space="preserve">Neuropathy </w:t>
            </w:r>
            <w:r w:rsidR="004539F5" w:rsidRPr="00C1603D">
              <w:t xml:space="preserve">or </w:t>
            </w:r>
            <w:r w:rsidRPr="00C1603D">
              <w:t>ataxia</w:t>
            </w:r>
          </w:p>
        </w:tc>
      </w:tr>
      <w:tr w:rsidR="008B4DF8" w:rsidRPr="00C1603D" w14:paraId="4B03B9BE" w14:textId="77777777" w:rsidTr="005C5714">
        <w:trPr>
          <w:cantSplit/>
        </w:trPr>
        <w:tc>
          <w:tcPr>
            <w:tcW w:w="0" w:type="auto"/>
            <w:gridSpan w:val="2"/>
            <w:shd w:val="clear" w:color="auto" w:fill="auto"/>
          </w:tcPr>
          <w:p w14:paraId="40850AFF" w14:textId="2905D218" w:rsidR="008B4DF8" w:rsidRPr="00C1603D" w:rsidRDefault="00EA11B6" w:rsidP="005C5714">
            <w:pPr>
              <w:pStyle w:val="75TablenotesTablesTableFigureBoxstyles"/>
              <w:rPr>
                <w:vertAlign w:val="superscript"/>
              </w:rPr>
            </w:pPr>
            <w:r w:rsidRPr="00C1603D">
              <w:t>a</w:t>
            </w:r>
            <w:r w:rsidRPr="00C1603D">
              <w:tab/>
            </w:r>
            <w:r w:rsidR="008B4DF8" w:rsidRPr="00C1603D">
              <w:t>Indicators not currently recommended in NICE guidelines</w:t>
            </w:r>
            <w:r w:rsidRPr="00C1603D">
              <w:t>.</w:t>
            </w:r>
            <w:r w:rsidR="005A7804" w:rsidRPr="00C1603D">
              <w:rPr>
                <w:vertAlign w:val="superscript"/>
              </w:rPr>
              <w:t>9</w:t>
            </w:r>
          </w:p>
        </w:tc>
      </w:tr>
    </w:tbl>
    <w:p w14:paraId="68F99772" w14:textId="77845ACB" w:rsidR="008B4DF8" w:rsidRPr="00C1603D" w:rsidRDefault="008B4DF8" w:rsidP="008B4DF8">
      <w:pPr>
        <w:pStyle w:val="602TextfoTextstylesTextstyles"/>
      </w:pPr>
      <w:r w:rsidRPr="00C1603D">
        <w:t xml:space="preserve">However, recommending a strategy that involves testing </w:t>
      </w:r>
      <w:proofErr w:type="gramStart"/>
      <w:r w:rsidRPr="00C1603D">
        <w:t>a large proportion</w:t>
      </w:r>
      <w:proofErr w:type="gramEnd"/>
      <w:r w:rsidRPr="00C1603D">
        <w:t xml:space="preserve"> of people for the presence of the HLA genes may have unintended costs and consequences not captured by the economic model. As this test has low specificity, </w:t>
      </w:r>
      <w:proofErr w:type="gramStart"/>
      <w:r w:rsidRPr="00C1603D">
        <w:t>a large proportion</w:t>
      </w:r>
      <w:proofErr w:type="gramEnd"/>
      <w:r w:rsidRPr="00C1603D">
        <w:t xml:space="preserve"> of those who test positive would </w:t>
      </w:r>
      <w:r w:rsidR="0016138F" w:rsidRPr="00C1603D">
        <w:t>receive</w:t>
      </w:r>
      <w:r w:rsidRPr="00C1603D">
        <w:t xml:space="preserve"> false</w:t>
      </w:r>
      <w:r w:rsidR="000C7C20" w:rsidRPr="00C1603D">
        <w:t>-</w:t>
      </w:r>
      <w:r w:rsidRPr="00C1603D">
        <w:t>positive results</w:t>
      </w:r>
      <w:r w:rsidR="0016138F" w:rsidRPr="00C1603D">
        <w:t>:</w:t>
      </w:r>
      <w:r w:rsidRPr="00C1603D">
        <w:t xml:space="preserve"> they would not have CD. All of these would require follow-up calls from a GP to discuss their test results and would have to be told that they have a genetic risk factor that puts them at risk of CD and other autoimmune conditions such as type 1 diabetes and rheumatoid arthritis. This could cause unnecessary patient concern.</w:t>
      </w:r>
    </w:p>
    <w:p w14:paraId="4A33E00F" w14:textId="0C7D79A9" w:rsidR="008B4DF8" w:rsidRPr="00C1603D" w:rsidRDefault="008B4DF8" w:rsidP="008B4DF8">
      <w:pPr>
        <w:pStyle w:val="602TextfoTextstylesTextstyles"/>
      </w:pPr>
      <w:r w:rsidRPr="00C1603D">
        <w:t xml:space="preserve">All strategies evaluated assumed that biopsy confirmation would be used if </w:t>
      </w:r>
      <w:r w:rsidRPr="00C1603D">
        <w:rPr>
          <w:color w:val="auto"/>
        </w:rPr>
        <w:t xml:space="preserve">the post-test probability following positive test results remained </w:t>
      </w:r>
      <w:r w:rsidR="00E529CE" w:rsidRPr="00C1603D">
        <w:rPr>
          <w:color w:val="auto"/>
        </w:rPr>
        <w:t>&lt; </w:t>
      </w:r>
      <w:r w:rsidRPr="00C1603D">
        <w:rPr>
          <w:color w:val="auto"/>
        </w:rPr>
        <w:t xml:space="preserve">90%. Whether </w:t>
      </w:r>
      <w:r w:rsidR="00E529CE" w:rsidRPr="00C1603D">
        <w:rPr>
          <w:color w:val="auto"/>
        </w:rPr>
        <w:t xml:space="preserve">or not </w:t>
      </w:r>
      <w:r w:rsidRPr="00C1603D">
        <w:rPr>
          <w:color w:val="auto"/>
        </w:rPr>
        <w:t xml:space="preserve">this is the case will depend on the pre-test probability of disease, and so it may be difficult to implement such a strategy in practice. The variation among individuals in their preferred diagnostic certainty and attitudes towards having a biopsy or following </w:t>
      </w:r>
      <w:r w:rsidR="00E529CE" w:rsidRPr="00C1603D">
        <w:rPr>
          <w:color w:val="auto"/>
        </w:rPr>
        <w:t>a</w:t>
      </w:r>
      <w:r w:rsidRPr="00C1603D">
        <w:rPr>
          <w:color w:val="auto"/>
        </w:rPr>
        <w:t xml:space="preserve"> gluten-free diet suggests that shared decision-making in which patient preferences are tak</w:t>
      </w:r>
      <w:r w:rsidR="00E529CE" w:rsidRPr="00C1603D">
        <w:rPr>
          <w:color w:val="auto"/>
        </w:rPr>
        <w:t>e</w:t>
      </w:r>
      <w:r w:rsidRPr="00C1603D">
        <w:rPr>
          <w:color w:val="auto"/>
        </w:rPr>
        <w:t xml:space="preserve">n into account is important in determining the ‘optimum’ diagnostic </w:t>
      </w:r>
      <w:r w:rsidRPr="00C1603D">
        <w:t>pathway.</w:t>
      </w:r>
    </w:p>
    <w:p w14:paraId="43276BA7" w14:textId="77777777" w:rsidR="008B4DF8" w:rsidRPr="00C1603D" w:rsidRDefault="008B4DF8" w:rsidP="008B4DF8">
      <w:pPr>
        <w:pStyle w:val="52AheadHeadingsHeadingstyles"/>
      </w:pPr>
      <w:bookmarkStart w:id="467" w:name="_Toc99539911"/>
      <w:r w:rsidRPr="00C1603D">
        <w:t>Suggested research priorities</w:t>
      </w:r>
      <w:bookmarkEnd w:id="467"/>
    </w:p>
    <w:p w14:paraId="5A59B517" w14:textId="20E02DA2" w:rsidR="008B4DF8" w:rsidRPr="00C1603D" w:rsidRDefault="008B4DF8" w:rsidP="008B4DF8">
      <w:pPr>
        <w:pStyle w:val="602TextfoTextstylesTextstyles"/>
      </w:pPr>
      <w:r w:rsidRPr="00C1603D">
        <w:t xml:space="preserve">Given that the most cost-effective strategy based on </w:t>
      </w:r>
      <w:r w:rsidR="00E529CE" w:rsidRPr="00C1603D">
        <w:t>the</w:t>
      </w:r>
      <w:r w:rsidRPr="00C1603D">
        <w:t xml:space="preserve"> cost-effectiveness analysis was </w:t>
      </w:r>
      <w:r w:rsidR="00631EC4" w:rsidRPr="00C1603D">
        <w:t>population-based</w:t>
      </w:r>
      <w:r w:rsidRPr="00C1603D">
        <w:t xml:space="preserve"> screening, future work should consider whether</w:t>
      </w:r>
      <w:r w:rsidR="00E529CE" w:rsidRPr="00C1603D">
        <w:t xml:space="preserve"> or not</w:t>
      </w:r>
      <w:r w:rsidRPr="00C1603D">
        <w:t xml:space="preserve"> </w:t>
      </w:r>
      <w:r w:rsidR="00631EC4" w:rsidRPr="00C1603D">
        <w:t>population-based</w:t>
      </w:r>
      <w:r w:rsidRPr="00C1603D">
        <w:t xml:space="preserve"> screening for CD could meet the UK National Screening Committee Criteria.</w:t>
      </w:r>
      <w:r w:rsidRPr="00C1603D">
        <w:rPr>
          <w:noProof/>
          <w:vertAlign w:val="superscript"/>
        </w:rPr>
        <w:t>295</w:t>
      </w:r>
      <w:r w:rsidRPr="00C1603D">
        <w:t xml:space="preserve"> Key criteria that need further evaluation are the appropriate threshold for the screening test (IgA tTG), agreement on further diagnostic workup </w:t>
      </w:r>
      <w:r w:rsidR="00CA77F6" w:rsidRPr="00C1603D">
        <w:t>for</w:t>
      </w:r>
      <w:r w:rsidRPr="00C1603D">
        <w:t xml:space="preserve"> those testing positive for IgA tTG and randomised trials showing the effectiveness of the screening programme. If the alternative strategy of IgA EMA plus HLA is recommended instead of population screening, then further research to measure </w:t>
      </w:r>
      <w:r w:rsidR="00CA77F6" w:rsidRPr="00C1603D">
        <w:t xml:space="preserve">the </w:t>
      </w:r>
      <w:r w:rsidRPr="00C1603D">
        <w:t>clinical effectiveness of these strategies is needed, in particular to consider the trade-off between improved sensitivity with using HLA first but with greater numbers of false-positive results.</w:t>
      </w:r>
    </w:p>
    <w:p w14:paraId="3E8521E0" w14:textId="67151DA9" w:rsidR="008B4DF8" w:rsidRPr="00C1603D" w:rsidRDefault="00B87F36" w:rsidP="008B4DF8">
      <w:pPr>
        <w:pStyle w:val="602TextfoTextstylesTextstyles"/>
      </w:pPr>
      <w:r w:rsidRPr="00C1603D">
        <w:t>The v</w:t>
      </w:r>
      <w:r w:rsidR="008B4DF8" w:rsidRPr="00C1603D">
        <w:t>alue</w:t>
      </w:r>
      <w:r w:rsidRPr="00C1603D">
        <w:t>-</w:t>
      </w:r>
      <w:r w:rsidR="008B4DF8" w:rsidRPr="00C1603D">
        <w:t>of</w:t>
      </w:r>
      <w:r w:rsidRPr="00C1603D">
        <w:t>-</w:t>
      </w:r>
      <w:r w:rsidR="008B4DF8" w:rsidRPr="00C1603D">
        <w:t>information analysis suggested that future research should focus on the probability of late (i.e. routine) diagnosis of CD and the accuracy of serological tests included in the model (IgA EMA and IgA tTG). The analysis also suggests that adult women should be the priority for research over adult men or children.</w:t>
      </w:r>
    </w:p>
    <w:p w14:paraId="14716525" w14:textId="02B8DA3A" w:rsidR="008B4DF8" w:rsidRPr="00C1603D" w:rsidRDefault="008B4DF8" w:rsidP="008B4DF8">
      <w:pPr>
        <w:pStyle w:val="602TextfoTextstylesTextstyles"/>
        <w:rPr>
          <w:color w:val="auto"/>
        </w:rPr>
      </w:pPr>
      <w:r w:rsidRPr="00C1603D">
        <w:t xml:space="preserve">From a clinical perspective, further work to confirm thresholds above and below which we can confidently rule in or rule out CD would be of value, especially if </w:t>
      </w:r>
      <w:r w:rsidR="00631EC4" w:rsidRPr="00C1603D">
        <w:t>population-based</w:t>
      </w:r>
      <w:r w:rsidRPr="00C1603D">
        <w:t xml:space="preserve"> screening is being considered. The practice of dichotomising continuous test results may be an oversimplification of a complex disease with a wide range of clinical presentations. Identification of highly accurate </w:t>
      </w:r>
      <w:r w:rsidRPr="00C1603D">
        <w:lastRenderedPageBreak/>
        <w:t xml:space="preserve">serological testing </w:t>
      </w:r>
      <w:r w:rsidRPr="00C1603D">
        <w:rPr>
          <w:color w:val="auto"/>
        </w:rPr>
        <w:t>strategies may allow for progressively more biopsy-avoidant pathways in the future. A meta-analysis based on individual patient data could be used to identify thresholds above and below which the risk of CD is sufficiently high to be ruled in or</w:t>
      </w:r>
      <w:r w:rsidR="00C85110" w:rsidRPr="00C1603D">
        <w:rPr>
          <w:color w:val="auto"/>
        </w:rPr>
        <w:t xml:space="preserve"> sufficiently</w:t>
      </w:r>
      <w:r w:rsidRPr="00C1603D">
        <w:rPr>
          <w:color w:val="auto"/>
        </w:rPr>
        <w:t xml:space="preserve"> low to be ruled out. Further testing, either additional serological testing, genetic testing or biopsy, could then be recommended </w:t>
      </w:r>
      <w:r w:rsidR="00C85110" w:rsidRPr="00C1603D">
        <w:rPr>
          <w:color w:val="auto"/>
        </w:rPr>
        <w:t>for</w:t>
      </w:r>
      <w:r w:rsidRPr="00C1603D">
        <w:rPr>
          <w:color w:val="auto"/>
        </w:rPr>
        <w:t xml:space="preserve"> </w:t>
      </w:r>
      <w:r w:rsidR="00C85110" w:rsidRPr="00C1603D">
        <w:rPr>
          <w:color w:val="auto"/>
        </w:rPr>
        <w:t>patients</w:t>
      </w:r>
      <w:r w:rsidRPr="00C1603D">
        <w:rPr>
          <w:color w:val="auto"/>
        </w:rPr>
        <w:t xml:space="preserve"> with results between those values. This could allow a more evidence</w:t>
      </w:r>
      <w:r w:rsidR="00C85110" w:rsidRPr="00C1603D">
        <w:rPr>
          <w:color w:val="auto"/>
        </w:rPr>
        <w:t>-</w:t>
      </w:r>
      <w:r w:rsidRPr="00C1603D">
        <w:rPr>
          <w:color w:val="auto"/>
        </w:rPr>
        <w:t>based non-biopsy strategy similar to the strategies recommended by ESPGHAN</w:t>
      </w:r>
      <w:r w:rsidRPr="00C1603D">
        <w:rPr>
          <w:noProof/>
          <w:color w:val="auto"/>
          <w:vertAlign w:val="superscript"/>
        </w:rPr>
        <w:t>10</w:t>
      </w:r>
      <w:r w:rsidRPr="00C1603D">
        <w:rPr>
          <w:color w:val="auto"/>
        </w:rPr>
        <w:t xml:space="preserve"> and the British Society of Gastroenterology,</w:t>
      </w:r>
      <w:r w:rsidRPr="00C1603D">
        <w:rPr>
          <w:noProof/>
          <w:color w:val="auto"/>
          <w:vertAlign w:val="superscript"/>
        </w:rPr>
        <w:t>20</w:t>
      </w:r>
      <w:r w:rsidRPr="00C1603D">
        <w:rPr>
          <w:color w:val="auto"/>
        </w:rPr>
        <w:t xml:space="preserve"> which suggest that</w:t>
      </w:r>
      <w:r w:rsidR="008331F4" w:rsidRPr="00C1603D">
        <w:rPr>
          <w:color w:val="auto"/>
        </w:rPr>
        <w:t>, for</w:t>
      </w:r>
      <w:r w:rsidRPr="00C1603D">
        <w:rPr>
          <w:color w:val="auto"/>
        </w:rPr>
        <w:t xml:space="preserve"> a</w:t>
      </w:r>
      <w:r w:rsidR="008331F4" w:rsidRPr="00C1603D">
        <w:rPr>
          <w:color w:val="auto"/>
        </w:rPr>
        <w:t xml:space="preserve"> person with a</w:t>
      </w:r>
      <w:r w:rsidRPr="00C1603D">
        <w:rPr>
          <w:color w:val="auto"/>
        </w:rPr>
        <w:t xml:space="preserve"> tTG level </w:t>
      </w:r>
      <w:r w:rsidR="00DC4294" w:rsidRPr="00C1603D">
        <w:rPr>
          <w:color w:val="auto"/>
        </w:rPr>
        <w:t xml:space="preserve">of </w:t>
      </w:r>
      <w:r w:rsidRPr="00C1603D">
        <w:rPr>
          <w:noProof/>
          <w:color w:val="auto"/>
        </w:rPr>
        <w:t>at least 10 times the upper limit of normal</w:t>
      </w:r>
      <w:r w:rsidR="008331F4" w:rsidRPr="00C1603D">
        <w:rPr>
          <w:noProof/>
          <w:color w:val="auto"/>
        </w:rPr>
        <w:t>, and</w:t>
      </w:r>
      <w:r w:rsidRPr="00C1603D">
        <w:rPr>
          <w:noProof/>
          <w:color w:val="auto"/>
        </w:rPr>
        <w:t xml:space="preserve"> </w:t>
      </w:r>
      <w:r w:rsidR="00DC4294" w:rsidRPr="00C1603D">
        <w:rPr>
          <w:noProof/>
          <w:color w:val="auto"/>
        </w:rPr>
        <w:t>who</w:t>
      </w:r>
      <w:r w:rsidRPr="00C1603D">
        <w:rPr>
          <w:noProof/>
          <w:color w:val="auto"/>
        </w:rPr>
        <w:t xml:space="preserve"> also test</w:t>
      </w:r>
      <w:r w:rsidR="00DC4294" w:rsidRPr="00C1603D">
        <w:rPr>
          <w:noProof/>
          <w:color w:val="auto"/>
        </w:rPr>
        <w:t>s</w:t>
      </w:r>
      <w:r w:rsidRPr="00C1603D">
        <w:rPr>
          <w:noProof/>
          <w:color w:val="auto"/>
        </w:rPr>
        <w:t xml:space="preserve"> positive for EMA</w:t>
      </w:r>
      <w:r w:rsidR="008331F4" w:rsidRPr="00C1603D">
        <w:rPr>
          <w:noProof/>
          <w:color w:val="auto"/>
        </w:rPr>
        <w:t>,</w:t>
      </w:r>
      <w:r w:rsidRPr="00C1603D">
        <w:rPr>
          <w:noProof/>
          <w:color w:val="auto"/>
        </w:rPr>
        <w:t xml:space="preserve"> </w:t>
      </w:r>
      <w:r w:rsidR="008331F4" w:rsidRPr="00C1603D">
        <w:rPr>
          <w:noProof/>
          <w:color w:val="auto"/>
        </w:rPr>
        <w:t>CD</w:t>
      </w:r>
      <w:r w:rsidRPr="00C1603D">
        <w:rPr>
          <w:noProof/>
          <w:color w:val="auto"/>
        </w:rPr>
        <w:t xml:space="preserve"> be diagnosied without biopsy confirmation.</w:t>
      </w:r>
    </w:p>
    <w:p w14:paraId="5D41FCF4" w14:textId="77777777" w:rsidR="008B4DF8" w:rsidRPr="00C1603D" w:rsidRDefault="008B4DF8" w:rsidP="008B4DF8">
      <w:pPr>
        <w:pStyle w:val="602TextfoTextstylesTextstyles"/>
      </w:pPr>
      <w:r w:rsidRPr="00C1603D">
        <w:rPr>
          <w:color w:val="auto"/>
        </w:rPr>
        <w:t xml:space="preserve">There are further tests in development for CD that will require evaluation, with research focused </w:t>
      </w:r>
      <w:r w:rsidRPr="00C1603D">
        <w:t>on rapid point-of-care tests and genetic tests such as the HLA-DQ-gluten tetramer test.</w:t>
      </w:r>
      <w:r w:rsidRPr="00C1603D">
        <w:rPr>
          <w:noProof/>
          <w:vertAlign w:val="superscript"/>
        </w:rPr>
        <w:t>296</w:t>
      </w:r>
    </w:p>
    <w:p w14:paraId="4792058A" w14:textId="33A9B061" w:rsidR="008B4DF8" w:rsidRPr="00C1603D" w:rsidRDefault="008B4DF8" w:rsidP="008B4DF8">
      <w:pPr>
        <w:pStyle w:val="602TextfoTextstylesTextstyles"/>
      </w:pPr>
      <w:r w:rsidRPr="00C1603D">
        <w:t xml:space="preserve">There is a need for large prospective cohort studies </w:t>
      </w:r>
      <w:r w:rsidR="009306AE" w:rsidRPr="00C1603D">
        <w:t>in which</w:t>
      </w:r>
      <w:r w:rsidRPr="00C1603D">
        <w:t xml:space="preserve"> all participants receive accurate tests for CD to reduce bias in estimates of the diagnostic ability of indicators and to develop a more robust clinical prediction model. </w:t>
      </w:r>
      <w:r w:rsidRPr="00C1603D">
        <w:rPr>
          <w:color w:val="auto"/>
        </w:rPr>
        <w:t xml:space="preserve">Accurate testing strategies that do not rely on invasive tests such as a duodenal biopsy would make this more feasible. It is important that diagnostic prediction models use data in which all patients have been tested for CD to reduce bias as a result of underdiagnosis. Prognostic cohort studies are also essential to identify predictors for CD for patients who are currently not diagnosed, because routinely collected data sets are biased as they depend on current testing practices and are more likely to pick up predictors that are already </w:t>
      </w:r>
      <w:r w:rsidRPr="00C1603D">
        <w:t>used to prompts testing.</w:t>
      </w:r>
    </w:p>
    <w:p w14:paraId="47EB645C" w14:textId="77777777" w:rsidR="008B4DF8" w:rsidRPr="00C1603D" w:rsidRDefault="008B4DF8" w:rsidP="008B4DF8">
      <w:pPr>
        <w:pStyle w:val="43PrelimtitleHeadingsHeadingstyles"/>
      </w:pPr>
      <w:bookmarkStart w:id="468" w:name="_Toc99539912"/>
      <w:r w:rsidRPr="00C1603D">
        <w:t>Acknowledgements</w:t>
      </w:r>
      <w:bookmarkEnd w:id="468"/>
    </w:p>
    <w:p w14:paraId="2C760679" w14:textId="367D7937" w:rsidR="008B4DF8" w:rsidRPr="00C1603D" w:rsidRDefault="008B4DF8" w:rsidP="008B4DF8">
      <w:pPr>
        <w:pStyle w:val="601TextdropcapTextstylesTextstyles"/>
      </w:pPr>
      <w:r w:rsidRPr="00C1603D">
        <w:t xml:space="preserve">We would like to thank James McKernon (Research Associate and CPRD Database Manager at the University of Bristol) and Tim Jones (Senior </w:t>
      </w:r>
      <w:r w:rsidRPr="00C1603D">
        <w:rPr>
          <w:color w:val="auto"/>
        </w:rPr>
        <w:t xml:space="preserve">Research Associate in Quantitative Research and Health Economics at the University of Bristol) for extracting the CPRD data sets that were used in </w:t>
      </w:r>
      <w:r w:rsidRPr="00C1603D">
        <w:rPr>
          <w:i/>
          <w:iCs/>
          <w:color w:val="auto"/>
        </w:rPr>
        <w:t>Chapters 4</w:t>
      </w:r>
      <w:r w:rsidRPr="00C1603D">
        <w:rPr>
          <w:color w:val="auto"/>
        </w:rPr>
        <w:t xml:space="preserve"> and </w:t>
      </w:r>
      <w:r w:rsidRPr="00C1603D">
        <w:rPr>
          <w:i/>
          <w:iCs/>
          <w:color w:val="auto"/>
        </w:rPr>
        <w:t>8</w:t>
      </w:r>
      <w:r w:rsidRPr="00C1603D">
        <w:rPr>
          <w:color w:val="auto"/>
        </w:rPr>
        <w:t xml:space="preserve">. We are grateful for Zoe Trinder-Widdess’ (Head of Communications at NIHR ARC West) and Lucy Cordon’s (Project Support Administrator at NIHR ARC West) help with recruiting survey participants for </w:t>
      </w:r>
      <w:r w:rsidRPr="00C1603D">
        <w:rPr>
          <w:i/>
          <w:iCs/>
          <w:color w:val="auto"/>
        </w:rPr>
        <w:t>Chapter 7</w:t>
      </w:r>
      <w:r w:rsidRPr="00C1603D">
        <w:rPr>
          <w:color w:val="auto"/>
        </w:rPr>
        <w:t>, and to Lucy Cordon for developing the videos for the survey (</w:t>
      </w:r>
      <w:r w:rsidR="005E1346" w:rsidRPr="00C1603D">
        <w:rPr>
          <w:color w:val="auto"/>
        </w:rPr>
        <w:t xml:space="preserve">see </w:t>
      </w:r>
      <w:r w:rsidRPr="00C1603D">
        <w:rPr>
          <w:i/>
          <w:iCs/>
          <w:color w:val="auto"/>
        </w:rPr>
        <w:t>Chapter 7</w:t>
      </w:r>
      <w:r w:rsidRPr="00C1603D">
        <w:rPr>
          <w:color w:val="auto"/>
        </w:rPr>
        <w:t xml:space="preserve">) </w:t>
      </w:r>
      <w:r w:rsidR="00277F26" w:rsidRPr="00C1603D">
        <w:rPr>
          <w:color w:val="auto"/>
        </w:rPr>
        <w:t>and for</w:t>
      </w:r>
      <w:r w:rsidRPr="00C1603D">
        <w:rPr>
          <w:color w:val="auto"/>
        </w:rPr>
        <w:t xml:space="preserve"> retrieving full texts for the review in </w:t>
      </w:r>
      <w:r w:rsidRPr="00C1603D">
        <w:rPr>
          <w:i/>
          <w:iCs/>
          <w:color w:val="auto"/>
        </w:rPr>
        <w:t>Chapter 3</w:t>
      </w:r>
      <w:r w:rsidRPr="00C1603D">
        <w:rPr>
          <w:color w:val="auto"/>
        </w:rPr>
        <w:t>. We would also like to thank Lauren J Scott (Senior Research Associate in Quantitative Research and Evidence Synthesis), Victoria Corfield (GP trainee) and Anthony Sinobas (</w:t>
      </w:r>
      <w:r w:rsidR="00277F26" w:rsidRPr="00C1603D">
        <w:rPr>
          <w:color w:val="auto"/>
        </w:rPr>
        <w:t>m</w:t>
      </w:r>
      <w:r w:rsidRPr="00C1603D">
        <w:rPr>
          <w:color w:val="auto"/>
        </w:rPr>
        <w:t xml:space="preserve">edical student) who contributed to eligibility screening and data extraction for the systematic reviews in </w:t>
      </w:r>
      <w:r w:rsidRPr="00C1603D">
        <w:rPr>
          <w:i/>
          <w:iCs/>
          <w:color w:val="auto"/>
        </w:rPr>
        <w:t>Chapter</w:t>
      </w:r>
      <w:r w:rsidR="00277F26" w:rsidRPr="00C1603D">
        <w:rPr>
          <w:i/>
          <w:iCs/>
          <w:color w:val="auto"/>
        </w:rPr>
        <w:t>s</w:t>
      </w:r>
      <w:r w:rsidRPr="00C1603D">
        <w:rPr>
          <w:i/>
          <w:iCs/>
          <w:color w:val="auto"/>
        </w:rPr>
        <w:t xml:space="preserve"> 3</w:t>
      </w:r>
      <w:r w:rsidRPr="00C1603D">
        <w:rPr>
          <w:color w:val="auto"/>
        </w:rPr>
        <w:t xml:space="preserve">, </w:t>
      </w:r>
      <w:r w:rsidRPr="00C1603D">
        <w:rPr>
          <w:i/>
          <w:iCs/>
          <w:color w:val="auto"/>
        </w:rPr>
        <w:t>5</w:t>
      </w:r>
      <w:r w:rsidRPr="00C1603D">
        <w:rPr>
          <w:color w:val="auto"/>
        </w:rPr>
        <w:t xml:space="preserve"> and </w:t>
      </w:r>
      <w:r w:rsidRPr="00C1603D">
        <w:rPr>
          <w:i/>
          <w:iCs/>
          <w:color w:val="auto"/>
        </w:rPr>
        <w:t>6</w:t>
      </w:r>
      <w:r w:rsidRPr="00C1603D">
        <w:rPr>
          <w:color w:val="auto"/>
        </w:rPr>
        <w:t>. Finally, we would like to thank Jonathan Banks (Research Fellow in Qualitative Research at NIHR ARC West</w:t>
      </w:r>
      <w:r w:rsidRPr="00C1603D">
        <w:t xml:space="preserve">) for advising on the qualitative analysis in </w:t>
      </w:r>
      <w:r w:rsidRPr="00C1603D">
        <w:rPr>
          <w:i/>
          <w:iCs/>
        </w:rPr>
        <w:t>Chapter 7</w:t>
      </w:r>
      <w:r w:rsidRPr="00C1603D">
        <w:t>.</w:t>
      </w:r>
    </w:p>
    <w:p w14:paraId="46E31CC2" w14:textId="25E8B2C4" w:rsidR="008B4DF8" w:rsidRPr="00C1603D" w:rsidRDefault="00FF70C3" w:rsidP="008B4DF8">
      <w:pPr>
        <w:pStyle w:val="52AheadHeadingsHeadingstyles"/>
      </w:pPr>
      <w:r w:rsidRPr="00C1603D">
        <w:t>Avon Longitudinal Study of Parents and Children</w:t>
      </w:r>
    </w:p>
    <w:p w14:paraId="11D31F49" w14:textId="52B95D42" w:rsidR="008B4DF8" w:rsidRPr="00C1603D" w:rsidRDefault="008B4DF8" w:rsidP="008B4DF8">
      <w:pPr>
        <w:pStyle w:val="602TextfoTextstylesTextstyles"/>
      </w:pPr>
      <w:r w:rsidRPr="00C1603D">
        <w:t>We are extremely grateful to all the families who took part in the ALSPAC, the midwives for their help in recruiting them and the whole ALSPAC team, which include</w:t>
      </w:r>
      <w:r w:rsidR="00A3700E" w:rsidRPr="00C1603D">
        <w:t>s</w:t>
      </w:r>
      <w:r w:rsidRPr="00C1603D">
        <w:t xml:space="preserve"> interviewers, computer and laboratory technicians, clerical workers, research scientists, volunteers, managers, receptionists and nurses. The UK Medical Research Council and Wellcome (</w:t>
      </w:r>
      <w:r w:rsidR="003D52F3" w:rsidRPr="00C1603D">
        <w:t>g</w:t>
      </w:r>
      <w:r w:rsidRPr="00C1603D">
        <w:t>rant ref</w:t>
      </w:r>
      <w:r w:rsidR="003D52F3" w:rsidRPr="00C1603D">
        <w:t>erence</w:t>
      </w:r>
      <w:r w:rsidRPr="00C1603D">
        <w:t xml:space="preserve"> 217065/Z/19/Z) and the University of Bristol provide core support for</w:t>
      </w:r>
      <w:r w:rsidR="00A3700E" w:rsidRPr="00C1603D">
        <w:t xml:space="preserve"> the</w:t>
      </w:r>
      <w:r w:rsidRPr="00C1603D">
        <w:t xml:space="preserve"> ALSPAC. This publication is the work of the authors who will serve as guarantors for the contents of this paper. A comprehensive list of grants funding is available on the ALSPAC website </w:t>
      </w:r>
      <w:r w:rsidR="000A3E06" w:rsidRPr="00C1603D">
        <w:t>[</w:t>
      </w:r>
      <w:r w:rsidRPr="00C1603D">
        <w:t>www.bristol.ac.uk/alspac/external/documents/grant-acknowledgements.pdf</w:t>
      </w:r>
      <w:r w:rsidR="000A3E06" w:rsidRPr="00C1603D">
        <w:t xml:space="preserve"> (accessed 20 June 2022)]</w:t>
      </w:r>
      <w:r w:rsidRPr="00C1603D">
        <w:t>.</w:t>
      </w:r>
    </w:p>
    <w:p w14:paraId="6B640111" w14:textId="3D297A5B" w:rsidR="008B4DF8" w:rsidRPr="00C1603D" w:rsidRDefault="008E22B0" w:rsidP="008B4DF8">
      <w:pPr>
        <w:pStyle w:val="52AheadHeadingsHeadingstyles"/>
      </w:pPr>
      <w:bookmarkStart w:id="469" w:name="_Toc99539917"/>
      <w:r w:rsidRPr="00C1603D">
        <w:t>C</w:t>
      </w:r>
      <w:r w:rsidR="008B4DF8" w:rsidRPr="00C1603D">
        <w:t>ontributions</w:t>
      </w:r>
      <w:bookmarkEnd w:id="469"/>
      <w:r w:rsidRPr="00C1603D">
        <w:t xml:space="preserve"> of authors</w:t>
      </w:r>
    </w:p>
    <w:p w14:paraId="4E9FA787" w14:textId="07055911" w:rsidR="008E22B0" w:rsidRPr="00C1603D" w:rsidRDefault="008B4DF8" w:rsidP="008B4DF8">
      <w:pPr>
        <w:pStyle w:val="602TextfoTextstylesTextstyles"/>
      </w:pPr>
      <w:r w:rsidRPr="00C1603D">
        <w:rPr>
          <w:b/>
          <w:bCs/>
        </w:rPr>
        <w:t>Martha MC Elwenspoek</w:t>
      </w:r>
      <w:r w:rsidR="00B93A96" w:rsidRPr="00C1603D">
        <w:rPr>
          <w:b/>
          <w:bCs/>
        </w:rPr>
        <w:t xml:space="preserve"> (</w:t>
      </w:r>
      <w:r w:rsidR="00D4181F" w:rsidRPr="00C1603D">
        <w:rPr>
          <w:b/>
          <w:bCs/>
        </w:rPr>
        <w:t>https://orcid.org/</w:t>
      </w:r>
      <w:r w:rsidR="00B93A96" w:rsidRPr="00C1603D">
        <w:rPr>
          <w:b/>
          <w:bCs/>
        </w:rPr>
        <w:t>0000-0002-9824-9335)</w:t>
      </w:r>
      <w:r w:rsidRPr="00C1603D">
        <w:t xml:space="preserve"> (Research Fellow in Test Evaluation) led on the diagnostic indicator review, prediction model, and survey, and wrote the first </w:t>
      </w:r>
      <w:r w:rsidRPr="00C1603D">
        <w:lastRenderedPageBreak/>
        <w:t xml:space="preserve">drafts of </w:t>
      </w:r>
      <w:r w:rsidR="008E22B0" w:rsidRPr="00C1603D">
        <w:rPr>
          <w:i/>
          <w:iCs/>
        </w:rPr>
        <w:t xml:space="preserve">Chapters </w:t>
      </w:r>
      <w:r w:rsidRPr="00C1603D">
        <w:rPr>
          <w:i/>
          <w:iCs/>
        </w:rPr>
        <w:t>3</w:t>
      </w:r>
      <w:r w:rsidRPr="00C1603D">
        <w:t xml:space="preserve">, </w:t>
      </w:r>
      <w:r w:rsidRPr="00C1603D">
        <w:rPr>
          <w:i/>
          <w:iCs/>
        </w:rPr>
        <w:t>4</w:t>
      </w:r>
      <w:r w:rsidRPr="00C1603D">
        <w:t xml:space="preserve">, </w:t>
      </w:r>
      <w:r w:rsidRPr="00C1603D">
        <w:rPr>
          <w:i/>
          <w:iCs/>
        </w:rPr>
        <w:t>7</w:t>
      </w:r>
      <w:r w:rsidRPr="00C1603D">
        <w:t xml:space="preserve">, </w:t>
      </w:r>
      <w:r w:rsidRPr="00C1603D">
        <w:rPr>
          <w:i/>
          <w:iCs/>
        </w:rPr>
        <w:t>9</w:t>
      </w:r>
      <w:r w:rsidRPr="00C1603D">
        <w:t xml:space="preserve"> and </w:t>
      </w:r>
      <w:r w:rsidRPr="00C1603D">
        <w:rPr>
          <w:i/>
          <w:iCs/>
        </w:rPr>
        <w:t>10</w:t>
      </w:r>
      <w:r w:rsidRPr="00C1603D">
        <w:t>.</w:t>
      </w:r>
    </w:p>
    <w:p w14:paraId="204E1C91" w14:textId="4DB08A9A" w:rsidR="00B93A96" w:rsidRPr="00C1603D" w:rsidRDefault="008B4DF8" w:rsidP="008B4DF8">
      <w:pPr>
        <w:pStyle w:val="602TextfoTextstylesTextstyles"/>
      </w:pPr>
      <w:r w:rsidRPr="00C1603D">
        <w:rPr>
          <w:b/>
          <w:bCs/>
        </w:rPr>
        <w:t>Howard Thom</w:t>
      </w:r>
      <w:r w:rsidR="00D4181F" w:rsidRPr="00C1603D">
        <w:rPr>
          <w:b/>
          <w:bCs/>
        </w:rPr>
        <w:t xml:space="preserve"> (https://orcid.org/</w:t>
      </w:r>
      <w:r w:rsidR="007A58E2" w:rsidRPr="00C1603D">
        <w:rPr>
          <w:b/>
          <w:bCs/>
        </w:rPr>
        <w:t>0000-0001-8576-5552</w:t>
      </w:r>
      <w:r w:rsidR="00D4181F" w:rsidRPr="00C1603D">
        <w:rPr>
          <w:b/>
          <w:bCs/>
        </w:rPr>
        <w:t>)</w:t>
      </w:r>
      <w:r w:rsidRPr="00C1603D">
        <w:t xml:space="preserve"> (Senior Lecturer in Health Economics) led on the cost-effectiveness analysis and wrote the first draft of </w:t>
      </w:r>
      <w:r w:rsidRPr="00C1603D">
        <w:rPr>
          <w:i/>
          <w:iCs/>
        </w:rPr>
        <w:t>Chapter 8</w:t>
      </w:r>
      <w:r w:rsidRPr="00C1603D">
        <w:t>.</w:t>
      </w:r>
    </w:p>
    <w:p w14:paraId="23D42412" w14:textId="55678F7B" w:rsidR="00B93A96" w:rsidRPr="00C1603D" w:rsidRDefault="008B4DF8" w:rsidP="008B4DF8">
      <w:pPr>
        <w:pStyle w:val="602TextfoTextstylesTextstyles"/>
      </w:pPr>
      <w:r w:rsidRPr="00C1603D">
        <w:rPr>
          <w:b/>
          <w:bCs/>
        </w:rPr>
        <w:t>Athena L Sheppard</w:t>
      </w:r>
      <w:r w:rsidR="00D4181F" w:rsidRPr="00C1603D">
        <w:rPr>
          <w:b/>
          <w:bCs/>
        </w:rPr>
        <w:t xml:space="preserve"> (https://orcid.org/</w:t>
      </w:r>
      <w:r w:rsidR="007A58E2" w:rsidRPr="00C1603D">
        <w:rPr>
          <w:b/>
          <w:bCs/>
        </w:rPr>
        <w:t>0000-0003-1564-0740</w:t>
      </w:r>
      <w:r w:rsidR="00D4181F" w:rsidRPr="00C1603D">
        <w:rPr>
          <w:b/>
          <w:bCs/>
        </w:rPr>
        <w:t>)</w:t>
      </w:r>
      <w:r w:rsidRPr="00C1603D">
        <w:t xml:space="preserve"> (Postgraduate Researcher in Biostatistics) led on the systematic review of serological test</w:t>
      </w:r>
      <w:r w:rsidR="00B93A96" w:rsidRPr="00C1603D">
        <w:t>s</w:t>
      </w:r>
      <w:r w:rsidRPr="00C1603D">
        <w:t xml:space="preserve"> and wrote </w:t>
      </w:r>
      <w:r w:rsidR="00B93A96" w:rsidRPr="00C1603D">
        <w:t>the</w:t>
      </w:r>
      <w:r w:rsidRPr="00C1603D">
        <w:t xml:space="preserve"> first draft of </w:t>
      </w:r>
      <w:r w:rsidR="00B93A96" w:rsidRPr="00C1603D">
        <w:rPr>
          <w:i/>
          <w:iCs/>
        </w:rPr>
        <w:t xml:space="preserve">Chapter </w:t>
      </w:r>
      <w:r w:rsidRPr="00C1603D">
        <w:rPr>
          <w:i/>
          <w:iCs/>
        </w:rPr>
        <w:t>5</w:t>
      </w:r>
      <w:r w:rsidRPr="00C1603D">
        <w:t>.</w:t>
      </w:r>
    </w:p>
    <w:p w14:paraId="5DFBBB62" w14:textId="45A040CF" w:rsidR="00B93A96" w:rsidRPr="00C1603D" w:rsidRDefault="008B4DF8" w:rsidP="008B4DF8">
      <w:pPr>
        <w:pStyle w:val="602TextfoTextstylesTextstyles"/>
      </w:pPr>
      <w:r w:rsidRPr="00C1603D">
        <w:rPr>
          <w:b/>
          <w:bCs/>
        </w:rPr>
        <w:t>Edna Keeney</w:t>
      </w:r>
      <w:r w:rsidRPr="00C1603D">
        <w:t xml:space="preserve"> </w:t>
      </w:r>
      <w:r w:rsidR="00D4181F" w:rsidRPr="00C1603D">
        <w:rPr>
          <w:b/>
          <w:bCs/>
        </w:rPr>
        <w:t>(https://orcid.org/</w:t>
      </w:r>
      <w:r w:rsidR="0075257F" w:rsidRPr="00C1603D">
        <w:rPr>
          <w:b/>
          <w:bCs/>
        </w:rPr>
        <w:t>0000-0002-4763-8891</w:t>
      </w:r>
      <w:r w:rsidR="00D4181F" w:rsidRPr="00C1603D">
        <w:rPr>
          <w:b/>
          <w:bCs/>
        </w:rPr>
        <w:t>)</w:t>
      </w:r>
      <w:r w:rsidR="00D4181F" w:rsidRPr="00C1603D">
        <w:t xml:space="preserve"> </w:t>
      </w:r>
      <w:r w:rsidRPr="00C1603D">
        <w:t>(Senior Research Associate in Statistical and Health Economic Modelling) worked on the cost-effectiveness analysis (</w:t>
      </w:r>
      <w:r w:rsidR="00B93A96" w:rsidRPr="00C1603D">
        <w:t xml:space="preserve">see </w:t>
      </w:r>
      <w:r w:rsidRPr="00C1603D">
        <w:rPr>
          <w:i/>
          <w:iCs/>
        </w:rPr>
        <w:t>Chapter 8</w:t>
      </w:r>
      <w:r w:rsidRPr="00C1603D">
        <w:t>).</w:t>
      </w:r>
    </w:p>
    <w:p w14:paraId="6496510B" w14:textId="01EC1219" w:rsidR="00B93A96" w:rsidRPr="00C1603D" w:rsidRDefault="008B4DF8" w:rsidP="008B4DF8">
      <w:pPr>
        <w:pStyle w:val="602TextfoTextstylesTextstyles"/>
      </w:pPr>
      <w:r w:rsidRPr="00C1603D">
        <w:rPr>
          <w:b/>
          <w:bCs/>
        </w:rPr>
        <w:t>Rachel O</w:t>
      </w:r>
      <w:r w:rsidRPr="00C1603D">
        <w:rPr>
          <w:b/>
          <w:bCs/>
          <w:color w:val="00B0F0"/>
        </w:rPr>
        <w:t>’</w:t>
      </w:r>
      <w:r w:rsidRPr="00C1603D">
        <w:rPr>
          <w:b/>
          <w:bCs/>
        </w:rPr>
        <w:t>Donnell</w:t>
      </w:r>
      <w:r w:rsidRPr="00C1603D">
        <w:t xml:space="preserve"> </w:t>
      </w:r>
      <w:r w:rsidR="00D4181F" w:rsidRPr="00C1603D">
        <w:rPr>
          <w:b/>
          <w:bCs/>
        </w:rPr>
        <w:t>(https://orcid.org/</w:t>
      </w:r>
      <w:r w:rsidR="007A58E2" w:rsidRPr="00C1603D">
        <w:rPr>
          <w:b/>
          <w:bCs/>
        </w:rPr>
        <w:t>0000-0002-4354-8135</w:t>
      </w:r>
      <w:r w:rsidR="00D4181F" w:rsidRPr="00C1603D">
        <w:rPr>
          <w:b/>
          <w:bCs/>
        </w:rPr>
        <w:t>)</w:t>
      </w:r>
      <w:r w:rsidR="00D4181F" w:rsidRPr="00C1603D">
        <w:t xml:space="preserve"> </w:t>
      </w:r>
      <w:r w:rsidRPr="00C1603D">
        <w:t>(Research Associate in Mixed</w:t>
      </w:r>
      <w:r w:rsidR="00B93A96" w:rsidRPr="00C1603D">
        <w:t>-m</w:t>
      </w:r>
      <w:r w:rsidRPr="00C1603D">
        <w:t>ethods Research) performed eligibility screening and data extraction (</w:t>
      </w:r>
      <w:r w:rsidR="00B93A96" w:rsidRPr="00C1603D">
        <w:t xml:space="preserve">see </w:t>
      </w:r>
      <w:r w:rsidRPr="00C1603D">
        <w:rPr>
          <w:i/>
          <w:iCs/>
        </w:rPr>
        <w:t>Chapter 3</w:t>
      </w:r>
      <w:r w:rsidRPr="00C1603D">
        <w:t>), and the qualitative analysis of the survey results (</w:t>
      </w:r>
      <w:r w:rsidR="00B93A96" w:rsidRPr="00C1603D">
        <w:t xml:space="preserve">see </w:t>
      </w:r>
      <w:r w:rsidRPr="00C1603D">
        <w:rPr>
          <w:i/>
          <w:iCs/>
        </w:rPr>
        <w:t>Chapter 7</w:t>
      </w:r>
      <w:r w:rsidRPr="00C1603D">
        <w:t>).</w:t>
      </w:r>
    </w:p>
    <w:p w14:paraId="016D6F61" w14:textId="7C13422D" w:rsidR="00B93A96" w:rsidRPr="00C1603D" w:rsidRDefault="008B4DF8" w:rsidP="008B4DF8">
      <w:pPr>
        <w:pStyle w:val="602TextfoTextstylesTextstyles"/>
      </w:pPr>
      <w:r w:rsidRPr="00C1603D">
        <w:rPr>
          <w:b/>
          <w:bCs/>
        </w:rPr>
        <w:t>Joni Jackson</w:t>
      </w:r>
      <w:r w:rsidRPr="00C1603D">
        <w:t xml:space="preserve"> </w:t>
      </w:r>
      <w:r w:rsidR="00D4181F" w:rsidRPr="00C1603D">
        <w:rPr>
          <w:b/>
          <w:bCs/>
        </w:rPr>
        <w:t>(https://orcid.org/</w:t>
      </w:r>
      <w:r w:rsidR="00231B41" w:rsidRPr="00C1603D">
        <w:rPr>
          <w:b/>
          <w:bCs/>
        </w:rPr>
        <w:t>0000-0003-2591-7395</w:t>
      </w:r>
      <w:r w:rsidR="00D4181F" w:rsidRPr="00C1603D">
        <w:rPr>
          <w:b/>
          <w:bCs/>
        </w:rPr>
        <w:t>)</w:t>
      </w:r>
      <w:r w:rsidR="00D4181F" w:rsidRPr="00C1603D">
        <w:t xml:space="preserve"> </w:t>
      </w:r>
      <w:r w:rsidRPr="00C1603D">
        <w:t>(Research Associate in Quantitative Research) performed eligibility screening and data extraction (</w:t>
      </w:r>
      <w:r w:rsidR="00B93A96" w:rsidRPr="00C1603D">
        <w:t xml:space="preserve">see </w:t>
      </w:r>
      <w:r w:rsidRPr="00C1603D">
        <w:rPr>
          <w:i/>
          <w:iCs/>
        </w:rPr>
        <w:t>Chapter 3</w:t>
      </w:r>
      <w:r w:rsidRPr="00C1603D">
        <w:t>), ALSPAC analysis (</w:t>
      </w:r>
      <w:r w:rsidR="00B93A96" w:rsidRPr="00C1603D">
        <w:t xml:space="preserve">see </w:t>
      </w:r>
      <w:r w:rsidRPr="00C1603D">
        <w:rPr>
          <w:i/>
          <w:iCs/>
        </w:rPr>
        <w:t>Chapter 4</w:t>
      </w:r>
      <w:r w:rsidRPr="00C1603D">
        <w:t>) and CPRD analysis for the economic evaluation (</w:t>
      </w:r>
      <w:r w:rsidR="00B93A96" w:rsidRPr="00C1603D">
        <w:t xml:space="preserve">see </w:t>
      </w:r>
      <w:r w:rsidRPr="00C1603D">
        <w:rPr>
          <w:i/>
          <w:iCs/>
        </w:rPr>
        <w:t>Chapter 8</w:t>
      </w:r>
      <w:r w:rsidRPr="00C1603D">
        <w:t>).</w:t>
      </w:r>
    </w:p>
    <w:p w14:paraId="6252DB04" w14:textId="01982A6D" w:rsidR="00B93A96" w:rsidRPr="00C1603D" w:rsidRDefault="008B4DF8" w:rsidP="008B4DF8">
      <w:pPr>
        <w:pStyle w:val="602TextfoTextstylesTextstyles"/>
      </w:pPr>
      <w:r w:rsidRPr="00C1603D">
        <w:rPr>
          <w:b/>
          <w:bCs/>
        </w:rPr>
        <w:t>Cristina Roadevin</w:t>
      </w:r>
      <w:r w:rsidRPr="00C1603D">
        <w:t xml:space="preserve"> </w:t>
      </w:r>
      <w:r w:rsidR="00D4181F" w:rsidRPr="00C1603D">
        <w:rPr>
          <w:b/>
          <w:bCs/>
        </w:rPr>
        <w:t>(https://orcid.org/</w:t>
      </w:r>
      <w:r w:rsidR="00253356" w:rsidRPr="00C1603D">
        <w:rPr>
          <w:b/>
          <w:bCs/>
        </w:rPr>
        <w:t>0000-0001-6279-6823</w:t>
      </w:r>
      <w:r w:rsidR="00D4181F" w:rsidRPr="00C1603D">
        <w:rPr>
          <w:b/>
          <w:bCs/>
        </w:rPr>
        <w:t>)</w:t>
      </w:r>
      <w:r w:rsidR="00D4181F" w:rsidRPr="00C1603D">
        <w:t xml:space="preserve"> </w:t>
      </w:r>
      <w:r w:rsidRPr="00C1603D">
        <w:t>(Senior Research Associate in Health Economics) worked on the cost-effectiveness analysis (</w:t>
      </w:r>
      <w:r w:rsidR="00B93A96" w:rsidRPr="00C1603D">
        <w:t xml:space="preserve">see </w:t>
      </w:r>
      <w:r w:rsidRPr="00C1603D">
        <w:rPr>
          <w:i/>
          <w:iCs/>
        </w:rPr>
        <w:t>Chapter 8</w:t>
      </w:r>
      <w:r w:rsidRPr="00C1603D">
        <w:t>).</w:t>
      </w:r>
    </w:p>
    <w:p w14:paraId="1B6B5790" w14:textId="31436576" w:rsidR="00B93A96" w:rsidRPr="00C1603D" w:rsidRDefault="008B4DF8" w:rsidP="008B4DF8">
      <w:pPr>
        <w:pStyle w:val="602TextfoTextstylesTextstyles"/>
      </w:pPr>
      <w:r w:rsidRPr="00C1603D">
        <w:rPr>
          <w:b/>
          <w:bCs/>
        </w:rPr>
        <w:t>Sarah Dawson</w:t>
      </w:r>
      <w:r w:rsidRPr="00C1603D">
        <w:t xml:space="preserve"> </w:t>
      </w:r>
      <w:r w:rsidR="00D4181F" w:rsidRPr="00C1603D">
        <w:rPr>
          <w:b/>
          <w:bCs/>
        </w:rPr>
        <w:t>(https://orcid.org/</w:t>
      </w:r>
      <w:r w:rsidR="00982D93" w:rsidRPr="00C1603D">
        <w:rPr>
          <w:b/>
          <w:bCs/>
        </w:rPr>
        <w:t>0000-0002-6682-063X</w:t>
      </w:r>
      <w:r w:rsidR="00D4181F" w:rsidRPr="00C1603D">
        <w:rPr>
          <w:b/>
          <w:bCs/>
        </w:rPr>
        <w:t>)</w:t>
      </w:r>
      <w:r w:rsidR="00D4181F" w:rsidRPr="00C1603D">
        <w:t xml:space="preserve"> </w:t>
      </w:r>
      <w:r w:rsidRPr="00C1603D">
        <w:t>(Senior Research Associate in Information Retrieval) developed literature search strategies (</w:t>
      </w:r>
      <w:r w:rsidR="00B93A96" w:rsidRPr="00C1603D">
        <w:t xml:space="preserve">see </w:t>
      </w:r>
      <w:r w:rsidRPr="00C1603D">
        <w:rPr>
          <w:i/>
          <w:iCs/>
        </w:rPr>
        <w:t>Chapter</w:t>
      </w:r>
      <w:r w:rsidR="00B93A96" w:rsidRPr="00C1603D">
        <w:rPr>
          <w:i/>
          <w:iCs/>
        </w:rPr>
        <w:t>s</w:t>
      </w:r>
      <w:r w:rsidRPr="00C1603D">
        <w:rPr>
          <w:i/>
          <w:iCs/>
        </w:rPr>
        <w:t xml:space="preserve"> 3</w:t>
      </w:r>
      <w:r w:rsidRPr="00C1603D">
        <w:t xml:space="preserve"> and </w:t>
      </w:r>
      <w:r w:rsidRPr="00C1603D">
        <w:rPr>
          <w:i/>
          <w:iCs/>
        </w:rPr>
        <w:t>5</w:t>
      </w:r>
      <w:r w:rsidRPr="00C1603D">
        <w:t>).</w:t>
      </w:r>
    </w:p>
    <w:p w14:paraId="3582A9B9" w14:textId="52BEB92B" w:rsidR="00B93A96" w:rsidRPr="00C1603D" w:rsidRDefault="008B4DF8" w:rsidP="008B4DF8">
      <w:pPr>
        <w:pStyle w:val="602TextfoTextstylesTextstyles"/>
      </w:pPr>
      <w:r w:rsidRPr="00C1603D">
        <w:rPr>
          <w:b/>
          <w:bCs/>
        </w:rPr>
        <w:t>Deborah Lane</w:t>
      </w:r>
      <w:r w:rsidRPr="00C1603D">
        <w:t xml:space="preserve"> and </w:t>
      </w:r>
      <w:r w:rsidRPr="00C1603D">
        <w:rPr>
          <w:b/>
          <w:bCs/>
        </w:rPr>
        <w:t>Jo Stubbs</w:t>
      </w:r>
      <w:r w:rsidRPr="00C1603D">
        <w:t xml:space="preserve"> (</w:t>
      </w:r>
      <w:r w:rsidR="00B93A96" w:rsidRPr="00C1603D">
        <w:t>patient re</w:t>
      </w:r>
      <w:r w:rsidRPr="00C1603D">
        <w:t xml:space="preserve">presentatives) provided patient perspectives (all </w:t>
      </w:r>
      <w:r w:rsidR="00B93A96" w:rsidRPr="00C1603D">
        <w:t>c</w:t>
      </w:r>
      <w:r w:rsidRPr="00C1603D">
        <w:t>hapters).</w:t>
      </w:r>
    </w:p>
    <w:p w14:paraId="5791C0C7" w14:textId="1E4CC874" w:rsidR="00B93A96" w:rsidRPr="00C1603D" w:rsidRDefault="008B4DF8" w:rsidP="008B4DF8">
      <w:pPr>
        <w:pStyle w:val="602TextfoTextstylesTextstyles"/>
      </w:pPr>
      <w:r w:rsidRPr="00C1603D">
        <w:rPr>
          <w:b/>
          <w:bCs/>
        </w:rPr>
        <w:t>Hazel Everitt</w:t>
      </w:r>
      <w:r w:rsidRPr="00C1603D">
        <w:t xml:space="preserve"> </w:t>
      </w:r>
      <w:r w:rsidR="00D4181F" w:rsidRPr="00C1603D">
        <w:rPr>
          <w:b/>
          <w:bCs/>
        </w:rPr>
        <w:t>(https://orcid.org/</w:t>
      </w:r>
      <w:r w:rsidR="00544F8E" w:rsidRPr="00C1603D">
        <w:rPr>
          <w:b/>
          <w:bCs/>
        </w:rPr>
        <w:t>0000-0001-7362-8403</w:t>
      </w:r>
      <w:r w:rsidR="00D4181F" w:rsidRPr="00C1603D">
        <w:rPr>
          <w:b/>
          <w:bCs/>
        </w:rPr>
        <w:t>)</w:t>
      </w:r>
      <w:r w:rsidR="00D4181F" w:rsidRPr="00C1603D">
        <w:t xml:space="preserve"> </w:t>
      </w:r>
      <w:r w:rsidRPr="00C1603D">
        <w:t xml:space="preserve">(Professor of Primary Care Research), </w:t>
      </w:r>
      <w:r w:rsidRPr="00C1603D">
        <w:rPr>
          <w:b/>
          <w:bCs/>
        </w:rPr>
        <w:t>Jessica C Watson</w:t>
      </w:r>
      <w:r w:rsidRPr="00C1603D">
        <w:t xml:space="preserve"> </w:t>
      </w:r>
      <w:r w:rsidR="00D4181F" w:rsidRPr="00C1603D">
        <w:rPr>
          <w:b/>
          <w:bCs/>
        </w:rPr>
        <w:t>(https://orcid.org/</w:t>
      </w:r>
      <w:r w:rsidR="00544F8E" w:rsidRPr="00C1603D">
        <w:rPr>
          <w:b/>
          <w:bCs/>
        </w:rPr>
        <w:t>0000-0002-8177-6438</w:t>
      </w:r>
      <w:r w:rsidR="00D4181F" w:rsidRPr="00C1603D">
        <w:rPr>
          <w:b/>
          <w:bCs/>
        </w:rPr>
        <w:t>)</w:t>
      </w:r>
      <w:r w:rsidR="00D4181F" w:rsidRPr="00C1603D">
        <w:t xml:space="preserve"> </w:t>
      </w:r>
      <w:r w:rsidRPr="00C1603D">
        <w:t xml:space="preserve">(Clinical Lecturer in General Practice) and </w:t>
      </w:r>
      <w:r w:rsidRPr="00C1603D">
        <w:rPr>
          <w:b/>
          <w:bCs/>
        </w:rPr>
        <w:t>Alastair D Hay</w:t>
      </w:r>
      <w:r w:rsidRPr="00C1603D">
        <w:t xml:space="preserve"> </w:t>
      </w:r>
      <w:r w:rsidR="00D4181F" w:rsidRPr="00C1603D">
        <w:rPr>
          <w:b/>
          <w:bCs/>
        </w:rPr>
        <w:t>(https://orcid.org/</w:t>
      </w:r>
      <w:r w:rsidR="00544F8E" w:rsidRPr="00C1603D">
        <w:rPr>
          <w:b/>
          <w:bCs/>
        </w:rPr>
        <w:t>0000-0003-3012-375X</w:t>
      </w:r>
      <w:r w:rsidR="00D4181F" w:rsidRPr="00C1603D">
        <w:rPr>
          <w:b/>
          <w:bCs/>
        </w:rPr>
        <w:t>)</w:t>
      </w:r>
      <w:r w:rsidR="00D4181F" w:rsidRPr="00C1603D">
        <w:t xml:space="preserve"> </w:t>
      </w:r>
      <w:r w:rsidRPr="00C1603D">
        <w:t>(Professor of Primary Care) are academic GPs who provided clinical advice from a primary care perspective (all chapters) and checked code lists for CPRD analyses used in the prediction and economic models (</w:t>
      </w:r>
      <w:r w:rsidR="00B93A96" w:rsidRPr="00C1603D">
        <w:t xml:space="preserve">see </w:t>
      </w:r>
      <w:r w:rsidRPr="00C1603D">
        <w:rPr>
          <w:i/>
          <w:iCs/>
        </w:rPr>
        <w:t>Chapters 4</w:t>
      </w:r>
      <w:r w:rsidRPr="00C1603D">
        <w:t xml:space="preserve"> and </w:t>
      </w:r>
      <w:r w:rsidRPr="00C1603D">
        <w:rPr>
          <w:i/>
          <w:iCs/>
        </w:rPr>
        <w:t>8</w:t>
      </w:r>
      <w:r w:rsidRPr="00C1603D">
        <w:t>).</w:t>
      </w:r>
    </w:p>
    <w:p w14:paraId="097380FA" w14:textId="6E943AC6" w:rsidR="00B93A96" w:rsidRPr="00C1603D" w:rsidRDefault="008B4DF8" w:rsidP="008B4DF8">
      <w:pPr>
        <w:pStyle w:val="602TextfoTextstylesTextstyles"/>
      </w:pPr>
      <w:r w:rsidRPr="00C1603D">
        <w:rPr>
          <w:b/>
          <w:bCs/>
        </w:rPr>
        <w:t>Peter Gillett</w:t>
      </w:r>
      <w:r w:rsidRPr="00C1603D">
        <w:t xml:space="preserve"> </w:t>
      </w:r>
      <w:r w:rsidR="00D4181F" w:rsidRPr="00C1603D">
        <w:rPr>
          <w:b/>
          <w:bCs/>
        </w:rPr>
        <w:t>(https://orcid.org/</w:t>
      </w:r>
      <w:r w:rsidR="00BC0721" w:rsidRPr="00C1603D">
        <w:rPr>
          <w:b/>
          <w:bCs/>
        </w:rPr>
        <w:t>0000-0003-2294-4478</w:t>
      </w:r>
      <w:r w:rsidR="00D4181F" w:rsidRPr="00C1603D">
        <w:rPr>
          <w:b/>
          <w:bCs/>
        </w:rPr>
        <w:t>)</w:t>
      </w:r>
      <w:r w:rsidR="00D4181F" w:rsidRPr="00C1603D">
        <w:t xml:space="preserve"> </w:t>
      </w:r>
      <w:r w:rsidRPr="00C1603D">
        <w:t xml:space="preserve">(Consultant Paediatric Gastroenterologist) and </w:t>
      </w:r>
      <w:r w:rsidRPr="00C1603D">
        <w:rPr>
          <w:b/>
          <w:bCs/>
        </w:rPr>
        <w:t>Gerry Robins</w:t>
      </w:r>
      <w:r w:rsidRPr="00C1603D">
        <w:t xml:space="preserve"> </w:t>
      </w:r>
      <w:r w:rsidR="00D4181F" w:rsidRPr="00C1603D">
        <w:rPr>
          <w:b/>
          <w:bCs/>
        </w:rPr>
        <w:t>(https://orcid.org/</w:t>
      </w:r>
      <w:r w:rsidR="008B764C" w:rsidRPr="00C1603D">
        <w:rPr>
          <w:b/>
          <w:bCs/>
        </w:rPr>
        <w:t>0000-0002-7249-4412</w:t>
      </w:r>
      <w:r w:rsidR="00D4181F" w:rsidRPr="00C1603D">
        <w:rPr>
          <w:b/>
          <w:bCs/>
        </w:rPr>
        <w:t>)</w:t>
      </w:r>
      <w:r w:rsidR="00D4181F" w:rsidRPr="00C1603D">
        <w:t xml:space="preserve"> </w:t>
      </w:r>
      <w:r w:rsidRPr="00C1603D">
        <w:t>(Consultant Gastroenterologist) provided clinical advice from a secondary care perspective (all chapters), and checked code lists for CPRD analyses used in the prediction and economic models (</w:t>
      </w:r>
      <w:r w:rsidR="00B93A96" w:rsidRPr="00C1603D">
        <w:t xml:space="preserve">see </w:t>
      </w:r>
      <w:r w:rsidRPr="00C1603D">
        <w:rPr>
          <w:i/>
          <w:iCs/>
        </w:rPr>
        <w:t>Chapters 4</w:t>
      </w:r>
      <w:r w:rsidRPr="00C1603D">
        <w:t xml:space="preserve"> and </w:t>
      </w:r>
      <w:r w:rsidRPr="00C1603D">
        <w:rPr>
          <w:i/>
          <w:iCs/>
        </w:rPr>
        <w:t>8</w:t>
      </w:r>
      <w:r w:rsidRPr="00C1603D">
        <w:t>).</w:t>
      </w:r>
    </w:p>
    <w:p w14:paraId="2D6BC641" w14:textId="2A884426" w:rsidR="00B93A96" w:rsidRPr="00C1603D" w:rsidRDefault="008B4DF8" w:rsidP="008B4DF8">
      <w:pPr>
        <w:pStyle w:val="602TextfoTextstylesTextstyles"/>
      </w:pPr>
      <w:r w:rsidRPr="00C1603D">
        <w:rPr>
          <w:b/>
          <w:bCs/>
        </w:rPr>
        <w:t>Hayley E Jones</w:t>
      </w:r>
      <w:r w:rsidRPr="00C1603D">
        <w:t xml:space="preserve"> </w:t>
      </w:r>
      <w:r w:rsidR="00D4181F" w:rsidRPr="00C1603D">
        <w:rPr>
          <w:b/>
          <w:bCs/>
        </w:rPr>
        <w:t>(https://orcid.org/</w:t>
      </w:r>
      <w:r w:rsidR="008D0BF0" w:rsidRPr="00C1603D">
        <w:rPr>
          <w:b/>
          <w:bCs/>
        </w:rPr>
        <w:t>0000-0002-4265-2854</w:t>
      </w:r>
      <w:r w:rsidR="00D4181F" w:rsidRPr="00C1603D">
        <w:rPr>
          <w:b/>
          <w:bCs/>
        </w:rPr>
        <w:t>)</w:t>
      </w:r>
      <w:r w:rsidR="00D4181F" w:rsidRPr="00C1603D">
        <w:t xml:space="preserve"> </w:t>
      </w:r>
      <w:r w:rsidRPr="00C1603D">
        <w:t xml:space="preserve">(Senior Lecturer in Medical Statistics) offered statistical advice (all </w:t>
      </w:r>
      <w:r w:rsidR="00B93A96" w:rsidRPr="00C1603D">
        <w:t>c</w:t>
      </w:r>
      <w:r w:rsidRPr="00C1603D">
        <w:t>hapters).</w:t>
      </w:r>
    </w:p>
    <w:p w14:paraId="75837B51" w14:textId="1187A5DA" w:rsidR="00B93A96" w:rsidRPr="00C1603D" w:rsidRDefault="008B4DF8" w:rsidP="008B4DF8">
      <w:pPr>
        <w:pStyle w:val="602TextfoTextstylesTextstyles"/>
      </w:pPr>
      <w:r w:rsidRPr="00C1603D">
        <w:rPr>
          <w:b/>
          <w:bCs/>
        </w:rPr>
        <w:t>Sue Mallett</w:t>
      </w:r>
      <w:r w:rsidRPr="00C1603D">
        <w:t xml:space="preserve"> </w:t>
      </w:r>
      <w:r w:rsidR="00D4181F" w:rsidRPr="00C1603D">
        <w:rPr>
          <w:b/>
          <w:bCs/>
        </w:rPr>
        <w:t>(https://orcid.org/</w:t>
      </w:r>
      <w:r w:rsidR="008D0BF0" w:rsidRPr="00C1603D">
        <w:rPr>
          <w:b/>
          <w:bCs/>
        </w:rPr>
        <w:t>0000-0002-0596-8200</w:t>
      </w:r>
      <w:r w:rsidR="00D4181F" w:rsidRPr="00C1603D">
        <w:rPr>
          <w:b/>
          <w:bCs/>
        </w:rPr>
        <w:t>)</w:t>
      </w:r>
      <w:r w:rsidR="00D4181F" w:rsidRPr="00C1603D">
        <w:t xml:space="preserve"> </w:t>
      </w:r>
      <w:r w:rsidRPr="00C1603D">
        <w:t>(Professor in Diagnostic and Prognostic Medical Statistics) offered prediction modelling advice.</w:t>
      </w:r>
    </w:p>
    <w:p w14:paraId="6214DA2C" w14:textId="7A6C14F9" w:rsidR="00B93A96" w:rsidRPr="00C1603D" w:rsidRDefault="008B4DF8" w:rsidP="008B4DF8">
      <w:pPr>
        <w:pStyle w:val="602TextfoTextstylesTextstyles"/>
      </w:pPr>
      <w:r w:rsidRPr="00C1603D">
        <w:rPr>
          <w:b/>
          <w:bCs/>
        </w:rPr>
        <w:t>Penny F Whiting</w:t>
      </w:r>
      <w:r w:rsidRPr="00C1603D">
        <w:t xml:space="preserve"> </w:t>
      </w:r>
      <w:r w:rsidR="00D4181F" w:rsidRPr="00C1603D">
        <w:rPr>
          <w:b/>
          <w:bCs/>
        </w:rPr>
        <w:t>(https://orcid.org/</w:t>
      </w:r>
      <w:r w:rsidR="008D0BF0" w:rsidRPr="00C1603D">
        <w:rPr>
          <w:b/>
          <w:bCs/>
        </w:rPr>
        <w:t>0000-0003-1138-5682</w:t>
      </w:r>
      <w:r w:rsidR="00D4181F" w:rsidRPr="00C1603D">
        <w:rPr>
          <w:b/>
          <w:bCs/>
        </w:rPr>
        <w:t>)</w:t>
      </w:r>
      <w:r w:rsidR="00D4181F" w:rsidRPr="00C1603D">
        <w:t xml:space="preserve"> </w:t>
      </w:r>
      <w:r w:rsidRPr="00C1603D">
        <w:t>(Professor of Clinical Epidemiology) led the project, conceptualisation</w:t>
      </w:r>
      <w:r w:rsidR="00B93A96" w:rsidRPr="00C1603D">
        <w:t xml:space="preserve"> and</w:t>
      </w:r>
      <w:r w:rsidRPr="00C1603D">
        <w:t xml:space="preserve"> funding acquisition, and wrote </w:t>
      </w:r>
      <w:r w:rsidR="00B93A96" w:rsidRPr="00C1603D">
        <w:rPr>
          <w:i/>
          <w:iCs/>
        </w:rPr>
        <w:t xml:space="preserve">Chapters </w:t>
      </w:r>
      <w:r w:rsidRPr="00C1603D">
        <w:rPr>
          <w:i/>
          <w:iCs/>
        </w:rPr>
        <w:t>1</w:t>
      </w:r>
      <w:r w:rsidRPr="00C1603D">
        <w:t xml:space="preserve">, </w:t>
      </w:r>
      <w:r w:rsidRPr="00C1603D">
        <w:rPr>
          <w:i/>
          <w:iCs/>
        </w:rPr>
        <w:t>2</w:t>
      </w:r>
      <w:r w:rsidRPr="00C1603D">
        <w:t>,</w:t>
      </w:r>
      <w:r w:rsidR="00B93A96" w:rsidRPr="00C1603D">
        <w:t xml:space="preserve"> </w:t>
      </w:r>
      <w:r w:rsidRPr="00C1603D">
        <w:rPr>
          <w:i/>
          <w:iCs/>
        </w:rPr>
        <w:t>5</w:t>
      </w:r>
      <w:r w:rsidRPr="00C1603D">
        <w:t xml:space="preserve"> and </w:t>
      </w:r>
      <w:r w:rsidRPr="00C1603D">
        <w:rPr>
          <w:i/>
          <w:iCs/>
        </w:rPr>
        <w:t>6</w:t>
      </w:r>
      <w:r w:rsidRPr="00C1603D">
        <w:t>.</w:t>
      </w:r>
    </w:p>
    <w:p w14:paraId="7689E94D" w14:textId="0581DD56" w:rsidR="008B4DF8" w:rsidRPr="00C1603D" w:rsidRDefault="008B4DF8" w:rsidP="008B4DF8">
      <w:pPr>
        <w:pStyle w:val="602TextfoTextstylesTextstyles"/>
      </w:pPr>
      <w:r w:rsidRPr="00C1603D">
        <w:t>All authors were involved in drafting and/or commenting on the report.</w:t>
      </w:r>
    </w:p>
    <w:p w14:paraId="23C82031" w14:textId="77777777" w:rsidR="008B4DF8" w:rsidRPr="00C1603D" w:rsidRDefault="008B4DF8" w:rsidP="008B4DF8">
      <w:pPr>
        <w:pStyle w:val="52AheadHeadingsHeadingstyles"/>
      </w:pPr>
      <w:bookmarkStart w:id="470" w:name="_Toc99539915"/>
      <w:bookmarkStart w:id="471" w:name="_Toc99539914"/>
      <w:r w:rsidRPr="00C1603D">
        <w:t>Publications</w:t>
      </w:r>
      <w:bookmarkEnd w:id="470"/>
    </w:p>
    <w:p w14:paraId="7536C353" w14:textId="2332BB6A" w:rsidR="008139E5" w:rsidRPr="00C1603D" w:rsidRDefault="008139E5" w:rsidP="008B4DF8">
      <w:pPr>
        <w:pStyle w:val="602TextfoTextstylesTextstyles"/>
        <w:rPr>
          <w:iCs/>
        </w:rPr>
      </w:pPr>
      <w:commentRangeStart w:id="472"/>
      <w:r w:rsidRPr="00C1603D">
        <w:t xml:space="preserve">Elwenspoek MMC, Jackson J, O’Donnell R, </w:t>
      </w:r>
      <w:r w:rsidR="000D7530" w:rsidRPr="00C1603D">
        <w:t xml:space="preserve">Sinobas A, Dawson S, Everitt H, </w:t>
      </w:r>
      <w:r w:rsidR="000D7530" w:rsidRPr="00C1603D">
        <w:rPr>
          <w:i/>
          <w:iCs/>
        </w:rPr>
        <w:t>et al</w:t>
      </w:r>
      <w:r w:rsidR="000D7530" w:rsidRPr="00C1603D">
        <w:t xml:space="preserve">. The accuracy of diagnostic indicators for coeliac disease: a systematic review and meta-analysis. </w:t>
      </w:r>
      <w:r w:rsidR="000D7530" w:rsidRPr="00C1603D">
        <w:rPr>
          <w:i/>
        </w:rPr>
        <w:t xml:space="preserve">PLOS ONE </w:t>
      </w:r>
      <w:r w:rsidR="000D7530" w:rsidRPr="00C1603D">
        <w:rPr>
          <w:iCs/>
        </w:rPr>
        <w:lastRenderedPageBreak/>
        <w:t>2021;</w:t>
      </w:r>
      <w:r w:rsidR="002725F2" w:rsidRPr="00C1603D">
        <w:rPr>
          <w:b/>
          <w:bCs/>
          <w:iCs/>
        </w:rPr>
        <w:t>16</w:t>
      </w:r>
      <w:r w:rsidR="002725F2" w:rsidRPr="00C1603D">
        <w:rPr>
          <w:iCs/>
        </w:rPr>
        <w:t>:e0258501.</w:t>
      </w:r>
      <w:commentRangeEnd w:id="472"/>
      <w:r w:rsidR="003345ED" w:rsidRPr="00C1603D">
        <w:rPr>
          <w:rFonts w:ascii="Times New Roman" w:hAnsi="Times New Roman" w:cs="Times New Roman"/>
          <w:color w:val="auto"/>
          <w:lang w:val="en-US"/>
        </w:rPr>
        <w:commentReference w:id="472"/>
      </w:r>
    </w:p>
    <w:p w14:paraId="2568F5F2" w14:textId="2BF878FE" w:rsidR="008B4DF8" w:rsidRPr="00C1603D" w:rsidRDefault="008B4DF8" w:rsidP="008B4DF8">
      <w:pPr>
        <w:pStyle w:val="52AheadHeadingsHeadingstyles"/>
      </w:pPr>
      <w:r w:rsidRPr="00C1603D">
        <w:t>Data</w:t>
      </w:r>
      <w:r w:rsidR="0086649B" w:rsidRPr="00C1603D">
        <w:t>-</w:t>
      </w:r>
      <w:r w:rsidRPr="00C1603D">
        <w:t>sharing</w:t>
      </w:r>
      <w:bookmarkEnd w:id="471"/>
      <w:r w:rsidR="0086649B" w:rsidRPr="00C1603D">
        <w:t xml:space="preserve"> statement</w:t>
      </w:r>
    </w:p>
    <w:p w14:paraId="46B010D1" w14:textId="4E86C10E" w:rsidR="008B4DF8" w:rsidRPr="00C1603D" w:rsidRDefault="008B4DF8" w:rsidP="008B4DF8">
      <w:pPr>
        <w:pStyle w:val="602TextfoTextstylesTextstyles"/>
      </w:pPr>
      <w:r w:rsidRPr="00C1603D">
        <w:t xml:space="preserve">The data that support the findings of this study are available in the </w:t>
      </w:r>
      <w:r w:rsidR="0086649B" w:rsidRPr="00C1603D">
        <w:t>a</w:t>
      </w:r>
      <w:r w:rsidRPr="00C1603D">
        <w:t xml:space="preserve">ppendices and </w:t>
      </w:r>
      <w:r w:rsidR="0086649B" w:rsidRPr="00C1603D">
        <w:t>s</w:t>
      </w:r>
      <w:r w:rsidRPr="00C1603D">
        <w:t xml:space="preserve">upplementary material. </w:t>
      </w:r>
      <w:r w:rsidRPr="00C1603D">
        <w:rPr>
          <w:color w:val="auto"/>
        </w:rPr>
        <w:t xml:space="preserve">The data sets from </w:t>
      </w:r>
      <w:r w:rsidR="0086649B" w:rsidRPr="00C1603D">
        <w:rPr>
          <w:color w:val="auto"/>
        </w:rPr>
        <w:t>th</w:t>
      </w:r>
      <w:r w:rsidR="0086649B" w:rsidRPr="00C1603D">
        <w:t xml:space="preserve">e </w:t>
      </w:r>
      <w:r w:rsidRPr="00C1603D">
        <w:t xml:space="preserve">CPRD and ALSPAC are not publicly available </w:t>
      </w:r>
      <w:r w:rsidR="0086649B" w:rsidRPr="00C1603D">
        <w:t>because of</w:t>
      </w:r>
      <w:r w:rsidRPr="00C1603D">
        <w:t xml:space="preserve"> data</w:t>
      </w:r>
      <w:r w:rsidR="0086649B" w:rsidRPr="00C1603D">
        <w:t>-</w:t>
      </w:r>
      <w:r w:rsidRPr="00C1603D">
        <w:t xml:space="preserve">sharing restrictions, but can be requested from </w:t>
      </w:r>
      <w:r w:rsidR="0086649B" w:rsidRPr="00C1603D">
        <w:t xml:space="preserve">the </w:t>
      </w:r>
      <w:r w:rsidRPr="00C1603D">
        <w:t xml:space="preserve">CPRD and </w:t>
      </w:r>
      <w:r w:rsidR="0086649B" w:rsidRPr="00C1603D">
        <w:t xml:space="preserve">the </w:t>
      </w:r>
      <w:r w:rsidRPr="00C1603D">
        <w:t>ALSPAC</w:t>
      </w:r>
      <w:r w:rsidR="0086649B" w:rsidRPr="00C1603D">
        <w:t xml:space="preserve"> authors</w:t>
      </w:r>
      <w:r w:rsidRPr="00C1603D">
        <w:t>. All data requests should be submitted to the corresponding author for consideration.</w:t>
      </w:r>
    </w:p>
    <w:p w14:paraId="6B81FBD6" w14:textId="7E1C834A" w:rsidR="008B4DF8" w:rsidRPr="00C1603D" w:rsidRDefault="008B4DF8" w:rsidP="008B4DF8">
      <w:pPr>
        <w:pStyle w:val="52AheadHeadingsHeadingstyles"/>
      </w:pPr>
      <w:bookmarkStart w:id="473" w:name="_Toc99539916"/>
      <w:r w:rsidRPr="00C1603D">
        <w:t>Patient data</w:t>
      </w:r>
      <w:bookmarkEnd w:id="473"/>
    </w:p>
    <w:p w14:paraId="3950947D" w14:textId="635D6024" w:rsidR="000D49CE" w:rsidRPr="00C1603D" w:rsidRDefault="000D49CE" w:rsidP="000D49CE">
      <w:pPr>
        <w:pStyle w:val="602TextfoTextstylesTextstyles"/>
        <w:rPr>
          <w:bCs/>
        </w:rPr>
      </w:pPr>
      <w:r w:rsidRPr="00C1603D">
        <w:t xml:space="preserve">This work uses data provided by patients and collected by the NHS as part of their care and support. Using patient data is vital to improve health and care for everyone. There is </w:t>
      </w:r>
      <w:proofErr w:type="gramStart"/>
      <w:r w:rsidRPr="00C1603D">
        <w:t>huge potential</w:t>
      </w:r>
      <w:proofErr w:type="gramEnd"/>
      <w:r w:rsidRPr="00C1603D">
        <w:t xml:space="preserve"> to make better use of information from people’s patient records, to understand more about disease, develop new treatments, monitor safety, and plan NHS services. Patient data should be kept safe and secure, to protect everyone’s privacy, and </w:t>
      </w:r>
      <w:proofErr w:type="gramStart"/>
      <w:r w:rsidRPr="00C1603D">
        <w:t>it’s</w:t>
      </w:r>
      <w:proofErr w:type="gramEnd"/>
      <w:r w:rsidRPr="00C1603D">
        <w:t xml:space="preserve">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4BB33102" w14:textId="68C71A80" w:rsidR="00EF77DB" w:rsidRPr="00C1603D" w:rsidRDefault="3CDEEDA7" w:rsidP="00EF77DB">
      <w:pPr>
        <w:pStyle w:val="43PrelimtitleHeadingsHeadingstyles"/>
      </w:pPr>
      <w:commentRangeStart w:id="474"/>
      <w:commentRangeStart w:id="475"/>
      <w:r w:rsidRPr="00C1603D">
        <w:t>References</w:t>
      </w:r>
      <w:commentRangeEnd w:id="474"/>
      <w:r w:rsidR="00EF77DB" w:rsidRPr="00C1603D">
        <w:commentReference w:id="474"/>
      </w:r>
      <w:commentRangeEnd w:id="475"/>
      <w:r w:rsidR="00EF77DB" w:rsidRPr="00C1603D">
        <w:commentReference w:id="475"/>
      </w:r>
    </w:p>
    <w:p w14:paraId="6BFC59C5" w14:textId="1CB2CC0B" w:rsidR="00EF77DB" w:rsidRPr="00C1603D" w:rsidRDefault="43B69CA3" w:rsidP="00EF77DB">
      <w:pPr>
        <w:pStyle w:val="65ReferencesTextstylesTextstyles"/>
      </w:pPr>
      <w:r w:rsidRPr="00C1603D">
        <w:t>1.</w:t>
      </w:r>
      <w:r w:rsidR="00EF77DB" w:rsidRPr="00C1603D">
        <w:tab/>
      </w:r>
      <w:r w:rsidR="00523584" w:rsidRPr="00C1603D">
        <w:t>BMJ Best Practice</w:t>
      </w:r>
      <w:commentRangeStart w:id="476"/>
      <w:commentRangeStart w:id="477"/>
      <w:r w:rsidRPr="00C1603D">
        <w:t xml:space="preserve">. </w:t>
      </w:r>
      <w:r w:rsidRPr="00C1603D">
        <w:rPr>
          <w:i/>
          <w:iCs/>
        </w:rPr>
        <w:t xml:space="preserve">Coeliac </w:t>
      </w:r>
      <w:r w:rsidR="00523584" w:rsidRPr="00C1603D">
        <w:rPr>
          <w:i/>
          <w:iCs/>
        </w:rPr>
        <w:t>Disease</w:t>
      </w:r>
      <w:r w:rsidRPr="00C1603D">
        <w:t xml:space="preserve">. </w:t>
      </w:r>
      <w:r w:rsidR="00523584" w:rsidRPr="00C1603D">
        <w:t xml:space="preserve">URL: </w:t>
      </w:r>
      <w:r w:rsidR="00F10D31" w:rsidRPr="00C1603D">
        <w:t>https://bestpractice.bmj.com/topics/en-gb/636 (accessed 2 June 2022)</w:t>
      </w:r>
      <w:r w:rsidRPr="00C1603D">
        <w:t>.</w:t>
      </w:r>
      <w:commentRangeEnd w:id="476"/>
      <w:r w:rsidR="00EF77DB" w:rsidRPr="00C1603D">
        <w:commentReference w:id="476"/>
      </w:r>
      <w:commentRangeEnd w:id="477"/>
      <w:r w:rsidR="00EF77DB" w:rsidRPr="00C1603D">
        <w:commentReference w:id="477"/>
      </w:r>
    </w:p>
    <w:p w14:paraId="4B0CDD3E" w14:textId="77777777" w:rsidR="00EF77DB" w:rsidRPr="00C1603D" w:rsidRDefault="00EF77DB" w:rsidP="00EF77DB">
      <w:pPr>
        <w:pStyle w:val="65ReferencesTextstylesTextstyles"/>
      </w:pPr>
      <w:r w:rsidRPr="00C1603D">
        <w:t>2.</w:t>
      </w:r>
      <w:r w:rsidRPr="00C1603D">
        <w:tab/>
        <w:t xml:space="preserve">Bingley PJ, Williams AJ, Norcross AJ, Unsworth DJ, Lock RJ, Ness AR, Jones RW, Avon Longitudinal Study of Parents and Children Study Team. Undiagnosed coeliac disease at age seven: population based prospective birth cohort study. </w:t>
      </w:r>
      <w:r w:rsidRPr="00C1603D">
        <w:rPr>
          <w:i/>
        </w:rPr>
        <w:t>BMJ</w:t>
      </w:r>
      <w:r w:rsidRPr="00C1603D">
        <w:t xml:space="preserve"> 2004;</w:t>
      </w:r>
      <w:r w:rsidRPr="00C1603D">
        <w:rPr>
          <w:b/>
        </w:rPr>
        <w:t>328</w:t>
      </w:r>
      <w:r w:rsidRPr="00C1603D">
        <w:t>:</w:t>
      </w:r>
      <w:r w:rsidRPr="00C1603D">
        <w:rPr>
          <w:color w:val="auto"/>
        </w:rPr>
        <w:t>322</w:t>
      </w:r>
      <w:r w:rsidRPr="00C1603D">
        <w:rPr>
          <w:color w:val="00B0F0"/>
        </w:rPr>
        <w:t>–</w:t>
      </w:r>
      <w:r w:rsidRPr="00C1603D">
        <w:rPr>
          <w:color w:val="auto"/>
        </w:rPr>
        <w:t>3</w:t>
      </w:r>
      <w:r w:rsidRPr="00C1603D">
        <w:t>. https://doi.org/10.1136/bmj.328.7435.322</w:t>
      </w:r>
    </w:p>
    <w:p w14:paraId="479064F8" w14:textId="2EEAE0A6" w:rsidR="00EF77DB" w:rsidRPr="00C1603D" w:rsidRDefault="00EF77DB" w:rsidP="00EF77DB">
      <w:pPr>
        <w:pStyle w:val="65ReferencesTextstylesTextstyles"/>
      </w:pPr>
      <w:r w:rsidRPr="00C1603D">
        <w:t>3.</w:t>
      </w:r>
      <w:r w:rsidRPr="00C1603D">
        <w:tab/>
        <w:t xml:space="preserve">West J, Otete H, Sultan AA, Crooks CJ. Changes in </w:t>
      </w:r>
      <w:r w:rsidR="00D51F82" w:rsidRPr="00C1603D">
        <w:t xml:space="preserve">testing for and incidence of celiac disease </w:t>
      </w:r>
      <w:r w:rsidRPr="00C1603D">
        <w:t xml:space="preserve">in the United Kingdom: </w:t>
      </w:r>
      <w:r w:rsidR="00D51F82" w:rsidRPr="00C1603D">
        <w:t>a population-based cohort study</w:t>
      </w:r>
      <w:r w:rsidRPr="00C1603D">
        <w:t xml:space="preserve">. </w:t>
      </w:r>
      <w:r w:rsidRPr="00C1603D">
        <w:rPr>
          <w:i/>
        </w:rPr>
        <w:t>Epidemiology</w:t>
      </w:r>
      <w:r w:rsidRPr="00C1603D">
        <w:t xml:space="preserve"> 2019;</w:t>
      </w:r>
      <w:r w:rsidRPr="00C1603D">
        <w:rPr>
          <w:b/>
        </w:rPr>
        <w:t>30</w:t>
      </w:r>
      <w:r w:rsidRPr="00C1603D">
        <w:t>:</w:t>
      </w:r>
      <w:r w:rsidRPr="00C1603D">
        <w:rPr>
          <w:color w:val="auto"/>
        </w:rPr>
        <w:t>e23</w:t>
      </w:r>
      <w:r w:rsidRPr="00C1603D">
        <w:rPr>
          <w:color w:val="00B0F0"/>
        </w:rPr>
        <w:t>–</w:t>
      </w:r>
      <w:r w:rsidRPr="00C1603D">
        <w:rPr>
          <w:color w:val="auto"/>
        </w:rPr>
        <w:t>e24</w:t>
      </w:r>
      <w:r w:rsidRPr="00C1603D">
        <w:t>. https://doi.org/10.1097/EDE.0000000000001006</w:t>
      </w:r>
    </w:p>
    <w:p w14:paraId="097E68F2" w14:textId="77777777" w:rsidR="00EF77DB" w:rsidRPr="00C1603D" w:rsidRDefault="00EF77DB" w:rsidP="00EF77DB">
      <w:pPr>
        <w:pStyle w:val="65ReferencesTextstylesTextstyles"/>
      </w:pPr>
      <w:r w:rsidRPr="00C1603D">
        <w:t>4.</w:t>
      </w:r>
      <w:r w:rsidRPr="00C1603D">
        <w:tab/>
        <w:t xml:space="preserve">West J, Fleming KM, Tata LJ, Card TR, Crooks CJ. Incidence and prevalence of celiac disease and dermatitis herpetiformis in the UK over two decades: population-based study. </w:t>
      </w:r>
      <w:r w:rsidRPr="00C1603D">
        <w:rPr>
          <w:i/>
        </w:rPr>
        <w:t>Am J Gastroenterol</w:t>
      </w:r>
      <w:r w:rsidRPr="00C1603D">
        <w:t xml:space="preserve"> 2014;</w:t>
      </w:r>
      <w:r w:rsidRPr="00C1603D">
        <w:rPr>
          <w:b/>
        </w:rPr>
        <w:t>109</w:t>
      </w:r>
      <w:r w:rsidRPr="00C1603D">
        <w:t>:</w:t>
      </w:r>
      <w:r w:rsidRPr="00C1603D">
        <w:rPr>
          <w:color w:val="auto"/>
        </w:rPr>
        <w:t>757</w:t>
      </w:r>
      <w:r w:rsidRPr="00C1603D">
        <w:rPr>
          <w:color w:val="00B0F0"/>
        </w:rPr>
        <w:t>–</w:t>
      </w:r>
      <w:r w:rsidRPr="00C1603D">
        <w:rPr>
          <w:color w:val="auto"/>
        </w:rPr>
        <w:t>68</w:t>
      </w:r>
      <w:r w:rsidRPr="00C1603D">
        <w:t>. https://doi.org/10.1038/ajg.2014.55</w:t>
      </w:r>
    </w:p>
    <w:p w14:paraId="518CC023" w14:textId="77777777" w:rsidR="00EF77DB" w:rsidRPr="00C1603D" w:rsidRDefault="00EF77DB" w:rsidP="00EF77DB">
      <w:pPr>
        <w:pStyle w:val="65ReferencesTextstylesTextstyles"/>
      </w:pPr>
      <w:r w:rsidRPr="00C1603D">
        <w:t>5.</w:t>
      </w:r>
      <w:r w:rsidRPr="00C1603D">
        <w:tab/>
        <w:t xml:space="preserve">Green PH. Mortality in celiac disease, intestinal inflammation, and gluten sensitivity. </w:t>
      </w:r>
      <w:r w:rsidRPr="00C1603D">
        <w:rPr>
          <w:i/>
        </w:rPr>
        <w:t>JAMA</w:t>
      </w:r>
      <w:r w:rsidRPr="00C1603D">
        <w:t xml:space="preserve"> 2009;</w:t>
      </w:r>
      <w:r w:rsidRPr="00C1603D">
        <w:rPr>
          <w:b/>
        </w:rPr>
        <w:t>302</w:t>
      </w:r>
      <w:r w:rsidRPr="00C1603D">
        <w:t>:</w:t>
      </w:r>
      <w:r w:rsidRPr="00C1603D">
        <w:rPr>
          <w:color w:val="auto"/>
        </w:rPr>
        <w:t>1225</w:t>
      </w:r>
      <w:r w:rsidRPr="00C1603D">
        <w:rPr>
          <w:color w:val="00B0F0"/>
        </w:rPr>
        <w:t>–</w:t>
      </w:r>
      <w:r w:rsidRPr="00C1603D">
        <w:rPr>
          <w:color w:val="auto"/>
        </w:rPr>
        <w:t>6</w:t>
      </w:r>
      <w:r w:rsidRPr="00C1603D">
        <w:t>. https://doi.org/10.1001/jama.281.24.2344</w:t>
      </w:r>
    </w:p>
    <w:p w14:paraId="1FB3EFB6" w14:textId="7A3909DF" w:rsidR="00EF77DB" w:rsidRPr="00C1603D" w:rsidRDefault="00EF77DB" w:rsidP="00EF77DB">
      <w:pPr>
        <w:pStyle w:val="65ReferencesTextstylesTextstyles"/>
      </w:pPr>
      <w:r w:rsidRPr="00C1603D">
        <w:t>6.</w:t>
      </w:r>
      <w:r w:rsidRPr="00C1603D">
        <w:tab/>
        <w:t xml:space="preserve">Green PH, Jabri B. Coeliac disease. </w:t>
      </w:r>
      <w:r w:rsidRPr="00C1603D">
        <w:rPr>
          <w:i/>
        </w:rPr>
        <w:t>Lancet</w:t>
      </w:r>
      <w:r w:rsidRPr="00C1603D">
        <w:t xml:space="preserve"> 2003;</w:t>
      </w:r>
      <w:r w:rsidRPr="00C1603D">
        <w:rPr>
          <w:b/>
        </w:rPr>
        <w:t>362</w:t>
      </w:r>
      <w:r w:rsidRPr="00C1603D">
        <w:t>:383</w:t>
      </w:r>
      <w:r w:rsidR="003D416E" w:rsidRPr="00C1603D">
        <w:t>–</w:t>
      </w:r>
      <w:r w:rsidRPr="00C1603D">
        <w:t>91.</w:t>
      </w:r>
    </w:p>
    <w:p w14:paraId="54FFC94C" w14:textId="6DA0881E" w:rsidR="00EF77DB" w:rsidRPr="00C1603D" w:rsidRDefault="00EF77DB" w:rsidP="00EF77DB">
      <w:pPr>
        <w:pStyle w:val="65ReferencesTextstylesTextstyles"/>
      </w:pPr>
      <w:r w:rsidRPr="00C1603D">
        <w:t>7.</w:t>
      </w:r>
      <w:r w:rsidRPr="00C1603D">
        <w:tab/>
      </w:r>
      <w:proofErr w:type="spellStart"/>
      <w:r w:rsidRPr="00C1603D">
        <w:t>Caio</w:t>
      </w:r>
      <w:proofErr w:type="spellEnd"/>
      <w:r w:rsidRPr="00C1603D">
        <w:t xml:space="preserve"> G, </w:t>
      </w:r>
      <w:proofErr w:type="spellStart"/>
      <w:r w:rsidRPr="00C1603D">
        <w:t>Ciccocioppo</w:t>
      </w:r>
      <w:proofErr w:type="spellEnd"/>
      <w:r w:rsidRPr="00C1603D">
        <w:t xml:space="preserve"> R, Zoli G, De Giorgio R, Volta U. Therapeutic options for coeliac disease: </w:t>
      </w:r>
      <w:r w:rsidR="00F05929" w:rsidRPr="00C1603D">
        <w:t>w</w:t>
      </w:r>
      <w:r w:rsidRPr="00C1603D">
        <w:t xml:space="preserve">hat else beyond gluten-free diet? </w:t>
      </w:r>
      <w:r w:rsidRPr="00C1603D">
        <w:rPr>
          <w:i/>
        </w:rPr>
        <w:t>Dig</w:t>
      </w:r>
      <w:r w:rsidR="00CF0F0E" w:rsidRPr="00C1603D">
        <w:rPr>
          <w:i/>
        </w:rPr>
        <w:t xml:space="preserve"> </w:t>
      </w:r>
      <w:r w:rsidRPr="00C1603D">
        <w:rPr>
          <w:i/>
        </w:rPr>
        <w:t>Liver</w:t>
      </w:r>
      <w:r w:rsidRPr="00C1603D">
        <w:t xml:space="preserve"> </w:t>
      </w:r>
      <w:r w:rsidRPr="00C1603D">
        <w:rPr>
          <w:i/>
        </w:rPr>
        <w:t>Dis</w:t>
      </w:r>
      <w:r w:rsidR="00CF0F0E" w:rsidRPr="00C1603D">
        <w:rPr>
          <w:i/>
        </w:rPr>
        <w:t xml:space="preserve"> </w:t>
      </w:r>
      <w:r w:rsidRPr="00C1603D">
        <w:t>2020;</w:t>
      </w:r>
      <w:r w:rsidRPr="00C1603D">
        <w:rPr>
          <w:b/>
        </w:rPr>
        <w:t>52</w:t>
      </w:r>
      <w:r w:rsidRPr="00C1603D">
        <w:t>:130</w:t>
      </w:r>
      <w:r w:rsidR="00F05929" w:rsidRPr="00C1603D">
        <w:t>–</w:t>
      </w:r>
      <w:r w:rsidRPr="00C1603D">
        <w:t>7.</w:t>
      </w:r>
    </w:p>
    <w:p w14:paraId="73DA3A94" w14:textId="77777777" w:rsidR="00EF77DB" w:rsidRPr="00C1603D" w:rsidRDefault="00EF77DB" w:rsidP="00EF77DB">
      <w:pPr>
        <w:pStyle w:val="65ReferencesTextstylesTextstyles"/>
      </w:pPr>
      <w:r w:rsidRPr="00C1603D">
        <w:t>8.</w:t>
      </w:r>
      <w:r w:rsidRPr="00C1603D">
        <w:tab/>
      </w:r>
      <w:proofErr w:type="spellStart"/>
      <w:r w:rsidRPr="00C1603D">
        <w:t>Norström</w:t>
      </w:r>
      <w:proofErr w:type="spellEnd"/>
      <w:r w:rsidRPr="00C1603D">
        <w:t xml:space="preserve"> F, </w:t>
      </w:r>
      <w:proofErr w:type="spellStart"/>
      <w:r w:rsidRPr="00C1603D">
        <w:t>Myléus</w:t>
      </w:r>
      <w:proofErr w:type="spellEnd"/>
      <w:r w:rsidRPr="00C1603D">
        <w:t xml:space="preserve"> A, </w:t>
      </w:r>
      <w:proofErr w:type="spellStart"/>
      <w:r w:rsidRPr="00C1603D">
        <w:t>Nordyke</w:t>
      </w:r>
      <w:proofErr w:type="spellEnd"/>
      <w:r w:rsidRPr="00C1603D">
        <w:t xml:space="preserve"> K, Carlsson A, </w:t>
      </w:r>
      <w:proofErr w:type="spellStart"/>
      <w:r w:rsidRPr="00C1603D">
        <w:t>Högberg</w:t>
      </w:r>
      <w:proofErr w:type="spellEnd"/>
      <w:r w:rsidRPr="00C1603D">
        <w:t xml:space="preserve"> L, Sandström O, </w:t>
      </w:r>
      <w:r w:rsidRPr="00C1603D">
        <w:rPr>
          <w:i/>
        </w:rPr>
        <w:t>et al</w:t>
      </w:r>
      <w:r w:rsidRPr="00C1603D">
        <w:t xml:space="preserve">. Is mass screening for coeliac disease a wise use of resources? A health economic evaluation. </w:t>
      </w:r>
      <w:r w:rsidRPr="00C1603D">
        <w:rPr>
          <w:i/>
        </w:rPr>
        <w:t>BMC Gastroenterol</w:t>
      </w:r>
      <w:r w:rsidRPr="00C1603D">
        <w:t xml:space="preserve"> 2021;</w:t>
      </w:r>
      <w:r w:rsidRPr="00C1603D">
        <w:rPr>
          <w:b/>
        </w:rPr>
        <w:t>21</w:t>
      </w:r>
      <w:r w:rsidRPr="00C1603D">
        <w:t>:</w:t>
      </w:r>
      <w:r w:rsidRPr="00C1603D">
        <w:rPr>
          <w:color w:val="auto"/>
        </w:rPr>
        <w:t>159</w:t>
      </w:r>
      <w:r w:rsidRPr="00C1603D">
        <w:t>. https://doi.org/10.1186/s12876-021-01737-1</w:t>
      </w:r>
    </w:p>
    <w:p w14:paraId="16063508" w14:textId="26E7B072" w:rsidR="00EF77DB" w:rsidRPr="00C1603D" w:rsidRDefault="00EF77DB" w:rsidP="00EF77DB">
      <w:pPr>
        <w:pStyle w:val="65ReferencesTextstylesTextstyles"/>
      </w:pPr>
      <w:r w:rsidRPr="00C1603D">
        <w:t>9.</w:t>
      </w:r>
      <w:r w:rsidRPr="00C1603D">
        <w:tab/>
        <w:t>National Institute for Health and Care Excellence</w:t>
      </w:r>
      <w:r w:rsidR="00CF0F0E" w:rsidRPr="00C1603D">
        <w:t xml:space="preserve"> (NICE)</w:t>
      </w:r>
      <w:r w:rsidRPr="00C1603D">
        <w:t xml:space="preserve">. </w:t>
      </w:r>
      <w:r w:rsidRPr="00C1603D">
        <w:rPr>
          <w:i/>
          <w:iCs/>
        </w:rPr>
        <w:t xml:space="preserve">Coeliac </w:t>
      </w:r>
      <w:r w:rsidR="00CF0F0E" w:rsidRPr="00C1603D">
        <w:rPr>
          <w:i/>
          <w:iCs/>
        </w:rPr>
        <w:t xml:space="preserve">Disease: Recognition, Assessment </w:t>
      </w:r>
      <w:r w:rsidRPr="00C1603D">
        <w:rPr>
          <w:i/>
          <w:iCs/>
        </w:rPr>
        <w:t xml:space="preserve">and </w:t>
      </w:r>
      <w:r w:rsidR="00CF0F0E" w:rsidRPr="00C1603D">
        <w:rPr>
          <w:i/>
          <w:iCs/>
        </w:rPr>
        <w:t>Management</w:t>
      </w:r>
      <w:r w:rsidR="00CF0F0E" w:rsidRPr="00C1603D">
        <w:t>. NICE guideline [</w:t>
      </w:r>
      <w:r w:rsidRPr="00C1603D">
        <w:t>NG20</w:t>
      </w:r>
      <w:r w:rsidR="00CF0F0E" w:rsidRPr="00C1603D">
        <w:t>]</w:t>
      </w:r>
      <w:r w:rsidRPr="00C1603D">
        <w:t xml:space="preserve">. </w:t>
      </w:r>
      <w:r w:rsidR="00CF0F0E" w:rsidRPr="00C1603D">
        <w:t xml:space="preserve">London: </w:t>
      </w:r>
      <w:r w:rsidR="00CF0F0E" w:rsidRPr="00C1603D">
        <w:rPr>
          <w:iCs/>
        </w:rPr>
        <w:t>NICE;</w:t>
      </w:r>
      <w:r w:rsidRPr="00C1603D">
        <w:t xml:space="preserve"> 2015.</w:t>
      </w:r>
    </w:p>
    <w:p w14:paraId="072D31BA" w14:textId="77777777" w:rsidR="00EF77DB" w:rsidRPr="00C1603D" w:rsidRDefault="00EF77DB" w:rsidP="00EF77DB">
      <w:pPr>
        <w:pStyle w:val="65ReferencesTextstylesTextstyles"/>
      </w:pPr>
      <w:r w:rsidRPr="00C1603D">
        <w:t>10.</w:t>
      </w:r>
      <w:r w:rsidRPr="00C1603D">
        <w:tab/>
      </w:r>
      <w:proofErr w:type="spellStart"/>
      <w:r w:rsidRPr="00C1603D">
        <w:t>Husby</w:t>
      </w:r>
      <w:proofErr w:type="spellEnd"/>
      <w:r w:rsidRPr="00C1603D">
        <w:t xml:space="preserve"> S, </w:t>
      </w:r>
      <w:proofErr w:type="spellStart"/>
      <w:r w:rsidRPr="00C1603D">
        <w:t>Koletzko</w:t>
      </w:r>
      <w:proofErr w:type="spellEnd"/>
      <w:r w:rsidRPr="00C1603D">
        <w:t xml:space="preserve"> S, </w:t>
      </w:r>
      <w:proofErr w:type="spellStart"/>
      <w:r w:rsidRPr="00C1603D">
        <w:t>Korponay-Szabó</w:t>
      </w:r>
      <w:proofErr w:type="spellEnd"/>
      <w:r w:rsidRPr="00C1603D">
        <w:t xml:space="preserve"> I, </w:t>
      </w:r>
      <w:proofErr w:type="spellStart"/>
      <w:r w:rsidRPr="00C1603D">
        <w:t>Kurppa</w:t>
      </w:r>
      <w:proofErr w:type="spellEnd"/>
      <w:r w:rsidRPr="00C1603D">
        <w:t xml:space="preserve"> K, </w:t>
      </w:r>
      <w:proofErr w:type="spellStart"/>
      <w:r w:rsidRPr="00C1603D">
        <w:t>Mearin</w:t>
      </w:r>
      <w:proofErr w:type="spellEnd"/>
      <w:r w:rsidRPr="00C1603D">
        <w:t xml:space="preserve"> ML, Ribes-</w:t>
      </w:r>
      <w:proofErr w:type="spellStart"/>
      <w:r w:rsidRPr="00C1603D">
        <w:t>Koninckx</w:t>
      </w:r>
      <w:proofErr w:type="spellEnd"/>
      <w:r w:rsidRPr="00C1603D">
        <w:t xml:space="preserve"> C, </w:t>
      </w:r>
      <w:r w:rsidRPr="00C1603D">
        <w:rPr>
          <w:i/>
        </w:rPr>
        <w:t>et al</w:t>
      </w:r>
      <w:r w:rsidRPr="00C1603D">
        <w:t xml:space="preserve">. European Society Paediatric Gastroenterology, Hepatology and Nutrition Guidelines for </w:t>
      </w:r>
      <w:r w:rsidRPr="00C1603D">
        <w:lastRenderedPageBreak/>
        <w:t xml:space="preserve">Diagnosing Coeliac Disease 2020.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2020;</w:t>
      </w:r>
      <w:r w:rsidRPr="00C1603D">
        <w:rPr>
          <w:b/>
        </w:rPr>
        <w:t>70</w:t>
      </w:r>
      <w:r w:rsidRPr="00C1603D">
        <w:t>:</w:t>
      </w:r>
      <w:r w:rsidRPr="00C1603D">
        <w:rPr>
          <w:color w:val="auto"/>
        </w:rPr>
        <w:t>141</w:t>
      </w:r>
      <w:r w:rsidRPr="00C1603D">
        <w:rPr>
          <w:color w:val="00B0F0"/>
        </w:rPr>
        <w:t>–</w:t>
      </w:r>
      <w:r w:rsidRPr="00C1603D">
        <w:rPr>
          <w:color w:val="auto"/>
        </w:rPr>
        <w:t>56</w:t>
      </w:r>
      <w:r w:rsidRPr="00C1603D">
        <w:t>. https://doi.org/10.1097/MPG.0000000000002497</w:t>
      </w:r>
    </w:p>
    <w:p w14:paraId="6BD95A6D" w14:textId="77777777" w:rsidR="00EF77DB" w:rsidRPr="00C1603D" w:rsidRDefault="00EF77DB" w:rsidP="00EF77DB">
      <w:pPr>
        <w:pStyle w:val="65ReferencesTextstylesTextstyles"/>
      </w:pPr>
      <w:r w:rsidRPr="00C1603D">
        <w:t>11.</w:t>
      </w:r>
      <w:r w:rsidRPr="00C1603D">
        <w:tab/>
      </w:r>
      <w:proofErr w:type="spellStart"/>
      <w:r w:rsidRPr="00C1603D">
        <w:t>Husby</w:t>
      </w:r>
      <w:proofErr w:type="spellEnd"/>
      <w:r w:rsidRPr="00C1603D">
        <w:t xml:space="preserve"> S, </w:t>
      </w:r>
      <w:proofErr w:type="spellStart"/>
      <w:r w:rsidRPr="00C1603D">
        <w:t>Koletzko</w:t>
      </w:r>
      <w:proofErr w:type="spellEnd"/>
      <w:r w:rsidRPr="00C1603D">
        <w:t xml:space="preserve"> S, </w:t>
      </w:r>
      <w:proofErr w:type="spellStart"/>
      <w:r w:rsidRPr="00C1603D">
        <w:t>Korponay-Szabó</w:t>
      </w:r>
      <w:proofErr w:type="spellEnd"/>
      <w:r w:rsidRPr="00C1603D">
        <w:t xml:space="preserve"> I, </w:t>
      </w:r>
      <w:proofErr w:type="spellStart"/>
      <w:r w:rsidRPr="00C1603D">
        <w:t>Kurppa</w:t>
      </w:r>
      <w:proofErr w:type="spellEnd"/>
      <w:r w:rsidRPr="00C1603D">
        <w:t xml:space="preserve"> K, </w:t>
      </w:r>
      <w:proofErr w:type="spellStart"/>
      <w:r w:rsidRPr="00C1603D">
        <w:t>Mearin</w:t>
      </w:r>
      <w:proofErr w:type="spellEnd"/>
      <w:r w:rsidRPr="00C1603D">
        <w:t xml:space="preserve"> ML, Ribes-</w:t>
      </w:r>
      <w:proofErr w:type="spellStart"/>
      <w:r w:rsidRPr="00C1603D">
        <w:t>Koninckx</w:t>
      </w:r>
      <w:proofErr w:type="spellEnd"/>
      <w:r w:rsidRPr="00C1603D">
        <w:t xml:space="preserve"> C, </w:t>
      </w:r>
      <w:r w:rsidRPr="00C1603D">
        <w:rPr>
          <w:i/>
        </w:rPr>
        <w:t>et al</w:t>
      </w:r>
      <w:r w:rsidRPr="00C1603D">
        <w:t xml:space="preserve">. European Society Paediatric Gastroenterology, Hepatology and Nutrition Guidelines for Diagnosing Coeliac Disease 2020.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2020;</w:t>
      </w:r>
      <w:r w:rsidRPr="00C1603D">
        <w:rPr>
          <w:b/>
        </w:rPr>
        <w:t>70</w:t>
      </w:r>
      <w:r w:rsidRPr="00C1603D">
        <w:t>:</w:t>
      </w:r>
      <w:r w:rsidRPr="00C1603D">
        <w:rPr>
          <w:color w:val="auto"/>
        </w:rPr>
        <w:t>141</w:t>
      </w:r>
      <w:r w:rsidRPr="00C1603D">
        <w:rPr>
          <w:color w:val="00B0F0"/>
        </w:rPr>
        <w:t>–</w:t>
      </w:r>
      <w:r w:rsidRPr="00C1603D">
        <w:rPr>
          <w:color w:val="auto"/>
        </w:rPr>
        <w:t>56</w:t>
      </w:r>
      <w:r w:rsidRPr="00C1603D">
        <w:t>. https://doi.org/10.1097/MPG.0000000000002497</w:t>
      </w:r>
    </w:p>
    <w:p w14:paraId="0C6EE7BC" w14:textId="77777777" w:rsidR="00EF77DB" w:rsidRPr="00C1603D" w:rsidRDefault="00EF77DB" w:rsidP="00EF77DB">
      <w:pPr>
        <w:pStyle w:val="65ReferencesTextstylesTextstyles"/>
      </w:pPr>
      <w:r w:rsidRPr="00C1603D">
        <w:t>12.</w:t>
      </w:r>
      <w:r w:rsidRPr="00C1603D">
        <w:tab/>
        <w:t xml:space="preserve">Al-Toma A, Volta U, </w:t>
      </w:r>
      <w:proofErr w:type="spellStart"/>
      <w:r w:rsidRPr="00C1603D">
        <w:t>Auricchio</w:t>
      </w:r>
      <w:proofErr w:type="spellEnd"/>
      <w:r w:rsidRPr="00C1603D">
        <w:t xml:space="preserve"> R, </w:t>
      </w:r>
      <w:proofErr w:type="spellStart"/>
      <w:r w:rsidRPr="00C1603D">
        <w:t>Castillejo</w:t>
      </w:r>
      <w:proofErr w:type="spellEnd"/>
      <w:r w:rsidRPr="00C1603D">
        <w:t xml:space="preserve"> G, Sanders DS, </w:t>
      </w:r>
      <w:proofErr w:type="spellStart"/>
      <w:r w:rsidRPr="00C1603D">
        <w:t>Cellier</w:t>
      </w:r>
      <w:proofErr w:type="spellEnd"/>
      <w:r w:rsidRPr="00C1603D">
        <w:t xml:space="preserve"> C, </w:t>
      </w:r>
      <w:r w:rsidRPr="00C1603D">
        <w:rPr>
          <w:i/>
        </w:rPr>
        <w:t>et al</w:t>
      </w:r>
      <w:r w:rsidRPr="00C1603D">
        <w:t xml:space="preserve">. European Society for the Study of Coeliac Disease (ESsCD) guideline for coeliac disease and other gluten-related disorders. </w:t>
      </w:r>
      <w:r w:rsidRPr="00C1603D">
        <w:rPr>
          <w:i/>
        </w:rPr>
        <w:t>United European Gastroenterol J</w:t>
      </w:r>
      <w:r w:rsidRPr="00C1603D">
        <w:t xml:space="preserve"> 2019;</w:t>
      </w:r>
      <w:r w:rsidRPr="00C1603D">
        <w:rPr>
          <w:b/>
        </w:rPr>
        <w:t>7</w:t>
      </w:r>
      <w:r w:rsidRPr="00C1603D">
        <w:t>:</w:t>
      </w:r>
      <w:r w:rsidRPr="00C1603D">
        <w:rPr>
          <w:color w:val="auto"/>
        </w:rPr>
        <w:t>583</w:t>
      </w:r>
      <w:r w:rsidRPr="00C1603D">
        <w:rPr>
          <w:color w:val="00B0F0"/>
        </w:rPr>
        <w:t>–</w:t>
      </w:r>
      <w:r w:rsidRPr="00C1603D">
        <w:rPr>
          <w:color w:val="auto"/>
        </w:rPr>
        <w:t>613</w:t>
      </w:r>
      <w:r w:rsidRPr="00C1603D">
        <w:t>. https://doi.org/10.1177/2050640619844125</w:t>
      </w:r>
    </w:p>
    <w:p w14:paraId="15BCCC93" w14:textId="4708749B" w:rsidR="00EF77DB" w:rsidRPr="00C1603D" w:rsidRDefault="00EF77DB" w:rsidP="00EF77DB">
      <w:pPr>
        <w:pStyle w:val="65ReferencesTextstylesTextstyles"/>
      </w:pPr>
      <w:r w:rsidRPr="00C1603D">
        <w:t>13.</w:t>
      </w:r>
      <w:r w:rsidRPr="00C1603D">
        <w:tab/>
        <w:t xml:space="preserve">Giersiepen K, </w:t>
      </w:r>
      <w:proofErr w:type="spellStart"/>
      <w:r w:rsidRPr="00C1603D">
        <w:t>Lelgemann</w:t>
      </w:r>
      <w:proofErr w:type="spellEnd"/>
      <w:r w:rsidRPr="00C1603D">
        <w:t xml:space="preserve"> M, </w:t>
      </w:r>
      <w:proofErr w:type="spellStart"/>
      <w:r w:rsidRPr="00C1603D">
        <w:t>Stuhldreher</w:t>
      </w:r>
      <w:proofErr w:type="spellEnd"/>
      <w:r w:rsidRPr="00C1603D">
        <w:t xml:space="preserve"> N, </w:t>
      </w:r>
      <w:proofErr w:type="spellStart"/>
      <w:r w:rsidRPr="00C1603D">
        <w:t>Ronfani</w:t>
      </w:r>
      <w:proofErr w:type="spellEnd"/>
      <w:r w:rsidRPr="00C1603D">
        <w:t xml:space="preserve"> L, </w:t>
      </w:r>
      <w:proofErr w:type="spellStart"/>
      <w:r w:rsidRPr="00C1603D">
        <w:t>Husby</w:t>
      </w:r>
      <w:proofErr w:type="spellEnd"/>
      <w:r w:rsidRPr="00C1603D">
        <w:t xml:space="preserve"> S, </w:t>
      </w:r>
      <w:proofErr w:type="spellStart"/>
      <w:r w:rsidRPr="00C1603D">
        <w:t>Koletzko</w:t>
      </w:r>
      <w:proofErr w:type="spellEnd"/>
      <w:r w:rsidRPr="00C1603D">
        <w:t xml:space="preserve"> S, </w:t>
      </w:r>
      <w:proofErr w:type="spellStart"/>
      <w:r w:rsidRPr="00C1603D">
        <w:t>Korponay-Szabó</w:t>
      </w:r>
      <w:proofErr w:type="spellEnd"/>
      <w:r w:rsidRPr="00C1603D">
        <w:t xml:space="preserve"> IR, ESPGHAN Working Group on Coeliac Disease Diagnosis. Accuracy of diagnostic antibody tests for coeliac disease in children: summary of an evidence report.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2012;</w:t>
      </w:r>
      <w:r w:rsidRPr="00C1603D">
        <w:rPr>
          <w:b/>
        </w:rPr>
        <w:t>54</w:t>
      </w:r>
      <w:r w:rsidRPr="00C1603D">
        <w:t>:</w:t>
      </w:r>
      <w:r w:rsidRPr="00C1603D">
        <w:rPr>
          <w:color w:val="auto"/>
        </w:rPr>
        <w:t>229</w:t>
      </w:r>
      <w:r w:rsidRPr="00C1603D">
        <w:rPr>
          <w:color w:val="00B0F0"/>
        </w:rPr>
        <w:t>–</w:t>
      </w:r>
      <w:r w:rsidRPr="00C1603D">
        <w:rPr>
          <w:color w:val="auto"/>
        </w:rPr>
        <w:t>41</w:t>
      </w:r>
      <w:r w:rsidRPr="00C1603D">
        <w:t>. https://doi.org/10.1097/MPG.0b013e318216f2e5</w:t>
      </w:r>
    </w:p>
    <w:p w14:paraId="0700DC80" w14:textId="77777777" w:rsidR="00EF77DB" w:rsidRPr="00C1603D" w:rsidRDefault="00EF77DB" w:rsidP="00EF77DB">
      <w:pPr>
        <w:pStyle w:val="65ReferencesTextstylesTextstyles"/>
      </w:pPr>
      <w:r w:rsidRPr="00C1603D">
        <w:t>14.</w:t>
      </w:r>
      <w:r w:rsidRPr="00C1603D">
        <w:tab/>
        <w:t xml:space="preserve">Rostom A, </w:t>
      </w:r>
      <w:proofErr w:type="spellStart"/>
      <w:r w:rsidRPr="00C1603D">
        <w:t>Dubé</w:t>
      </w:r>
      <w:proofErr w:type="spellEnd"/>
      <w:r w:rsidRPr="00C1603D">
        <w:t xml:space="preserve"> C, Cranney A, </w:t>
      </w:r>
      <w:proofErr w:type="spellStart"/>
      <w:r w:rsidRPr="00C1603D">
        <w:t>Saloojee</w:t>
      </w:r>
      <w:proofErr w:type="spellEnd"/>
      <w:r w:rsidRPr="00C1603D">
        <w:t xml:space="preserve"> N, Sy R, </w:t>
      </w:r>
      <w:proofErr w:type="spellStart"/>
      <w:r w:rsidRPr="00C1603D">
        <w:t>Garritty</w:t>
      </w:r>
      <w:proofErr w:type="spellEnd"/>
      <w:r w:rsidRPr="00C1603D">
        <w:t xml:space="preserve"> C, </w:t>
      </w:r>
      <w:r w:rsidRPr="00C1603D">
        <w:rPr>
          <w:i/>
        </w:rPr>
        <w:t>et al</w:t>
      </w:r>
      <w:r w:rsidRPr="00C1603D">
        <w:t xml:space="preserve">. The diagnostic accuracy of serologic tests for celiac disease: a systematic review. </w:t>
      </w:r>
      <w:r w:rsidRPr="00C1603D">
        <w:rPr>
          <w:i/>
        </w:rPr>
        <w:t>Gastroenterology</w:t>
      </w:r>
      <w:r w:rsidRPr="00C1603D">
        <w:t xml:space="preserve"> 2005;</w:t>
      </w:r>
      <w:r w:rsidRPr="00C1603D">
        <w:rPr>
          <w:b/>
        </w:rPr>
        <w:t>128</w:t>
      </w:r>
      <w:r w:rsidRPr="00C1603D">
        <w:t>(Suppl. 4):</w:t>
      </w:r>
      <w:r w:rsidRPr="00C1603D">
        <w:rPr>
          <w:color w:val="auto"/>
        </w:rPr>
        <w:t>38</w:t>
      </w:r>
      <w:r w:rsidRPr="00C1603D">
        <w:rPr>
          <w:color w:val="00B0F0"/>
        </w:rPr>
        <w:t>–</w:t>
      </w:r>
      <w:r w:rsidRPr="00C1603D">
        <w:rPr>
          <w:color w:val="auto"/>
        </w:rPr>
        <w:t>46</w:t>
      </w:r>
      <w:r w:rsidRPr="00C1603D">
        <w:t>.</w:t>
      </w:r>
    </w:p>
    <w:p w14:paraId="4717DDB6" w14:textId="77777777" w:rsidR="00EF77DB" w:rsidRPr="00C1603D" w:rsidRDefault="00EF77DB" w:rsidP="00EF77DB">
      <w:pPr>
        <w:pStyle w:val="65ReferencesTextstylesTextstyles"/>
      </w:pPr>
      <w:r w:rsidRPr="00C1603D">
        <w:t>15.</w:t>
      </w:r>
      <w:r w:rsidRPr="00C1603D">
        <w:tab/>
        <w:t xml:space="preserve">Schyum AC, </w:t>
      </w:r>
      <w:proofErr w:type="spellStart"/>
      <w:r w:rsidRPr="00C1603D">
        <w:t>Rumessen</w:t>
      </w:r>
      <w:proofErr w:type="spellEnd"/>
      <w:r w:rsidRPr="00C1603D">
        <w:t xml:space="preserve"> JJ. Serological testing for celiac disease in adults. </w:t>
      </w:r>
      <w:r w:rsidRPr="00C1603D">
        <w:rPr>
          <w:i/>
        </w:rPr>
        <w:t>United European Gastroenterol J</w:t>
      </w:r>
      <w:r w:rsidRPr="00C1603D">
        <w:t xml:space="preserve"> 2013;</w:t>
      </w:r>
      <w:r w:rsidRPr="00C1603D">
        <w:rPr>
          <w:b/>
        </w:rPr>
        <w:t>1</w:t>
      </w:r>
      <w:r w:rsidRPr="00C1603D">
        <w:t>:</w:t>
      </w:r>
      <w:r w:rsidRPr="00C1603D">
        <w:rPr>
          <w:color w:val="auto"/>
        </w:rPr>
        <w:t>319</w:t>
      </w:r>
      <w:r w:rsidRPr="00C1603D">
        <w:rPr>
          <w:color w:val="00B0F0"/>
        </w:rPr>
        <w:t>–</w:t>
      </w:r>
      <w:r w:rsidRPr="00C1603D">
        <w:rPr>
          <w:color w:val="auto"/>
        </w:rPr>
        <w:t>25</w:t>
      </w:r>
      <w:r w:rsidRPr="00C1603D">
        <w:t>. https://doi.org/10.1177/2050640613502788</w:t>
      </w:r>
    </w:p>
    <w:p w14:paraId="79A16655" w14:textId="77777777" w:rsidR="00EF77DB" w:rsidRPr="00C1603D" w:rsidRDefault="00EF77DB" w:rsidP="00EF77DB">
      <w:pPr>
        <w:pStyle w:val="65ReferencesTextstylesTextstyles"/>
      </w:pPr>
      <w:r w:rsidRPr="00C1603D">
        <w:t>16.</w:t>
      </w:r>
      <w:r w:rsidRPr="00C1603D">
        <w:tab/>
        <w:t xml:space="preserve">van der Windt DA, Jellema P, Mulder CJ, </w:t>
      </w:r>
      <w:proofErr w:type="spellStart"/>
      <w:r w:rsidRPr="00C1603D">
        <w:t>Kneepkens</w:t>
      </w:r>
      <w:proofErr w:type="spellEnd"/>
      <w:r w:rsidRPr="00C1603D">
        <w:t xml:space="preserve"> CM, van der Horst HE. Diagnostic testing for celiac disease among patients with abdominal symptoms: a systematic review. </w:t>
      </w:r>
      <w:r w:rsidRPr="00C1603D">
        <w:rPr>
          <w:i/>
        </w:rPr>
        <w:t>JAMA</w:t>
      </w:r>
      <w:r w:rsidRPr="00C1603D">
        <w:t xml:space="preserve"> 2010;</w:t>
      </w:r>
      <w:r w:rsidRPr="00C1603D">
        <w:rPr>
          <w:b/>
        </w:rPr>
        <w:t>303</w:t>
      </w:r>
      <w:r w:rsidRPr="00C1603D">
        <w:t>:</w:t>
      </w:r>
      <w:r w:rsidRPr="00C1603D">
        <w:rPr>
          <w:color w:val="auto"/>
        </w:rPr>
        <w:t>1738</w:t>
      </w:r>
      <w:r w:rsidRPr="00C1603D">
        <w:rPr>
          <w:color w:val="00B0F0"/>
        </w:rPr>
        <w:t>–</w:t>
      </w:r>
      <w:r w:rsidRPr="00C1603D">
        <w:rPr>
          <w:color w:val="auto"/>
        </w:rPr>
        <w:t>46</w:t>
      </w:r>
      <w:r w:rsidRPr="00C1603D">
        <w:t>. https://doi.org/10.1001/jama.2010.549</w:t>
      </w:r>
    </w:p>
    <w:p w14:paraId="3FDFB534" w14:textId="6DA22B58" w:rsidR="00EF77DB" w:rsidRPr="00C1603D" w:rsidRDefault="00EF77DB" w:rsidP="00EF77DB">
      <w:pPr>
        <w:pStyle w:val="65ReferencesTextstylesTextstyles"/>
      </w:pPr>
      <w:r w:rsidRPr="00C1603D">
        <w:t>17.</w:t>
      </w:r>
      <w:r w:rsidRPr="00C1603D">
        <w:tab/>
      </w:r>
      <w:proofErr w:type="spellStart"/>
      <w:r w:rsidRPr="00C1603D">
        <w:t>Lebwohl</w:t>
      </w:r>
      <w:proofErr w:type="spellEnd"/>
      <w:r w:rsidRPr="00C1603D">
        <w:t xml:space="preserve"> B, Sanders DS, Green PHR. Coeliac disease. </w:t>
      </w:r>
      <w:r w:rsidRPr="00C1603D">
        <w:rPr>
          <w:i/>
        </w:rPr>
        <w:t>Lancet</w:t>
      </w:r>
      <w:r w:rsidRPr="00C1603D">
        <w:t xml:space="preserve"> 2018;</w:t>
      </w:r>
      <w:r w:rsidRPr="00C1603D">
        <w:rPr>
          <w:b/>
        </w:rPr>
        <w:t>391</w:t>
      </w:r>
      <w:r w:rsidRPr="00C1603D">
        <w:t>:70</w:t>
      </w:r>
      <w:r w:rsidR="00CF0F0E" w:rsidRPr="00C1603D">
        <w:t>–</w:t>
      </w:r>
      <w:r w:rsidRPr="00C1603D">
        <w:t>81.</w:t>
      </w:r>
    </w:p>
    <w:p w14:paraId="04375C25" w14:textId="77777777" w:rsidR="00EF77DB" w:rsidRPr="00C1603D" w:rsidRDefault="00EF77DB" w:rsidP="00EF77DB">
      <w:pPr>
        <w:pStyle w:val="65ReferencesTextstylesTextstyles"/>
      </w:pPr>
      <w:r w:rsidRPr="00C1603D">
        <w:t>18.</w:t>
      </w:r>
      <w:r w:rsidRPr="00C1603D">
        <w:tab/>
      </w:r>
      <w:proofErr w:type="spellStart"/>
      <w:r w:rsidRPr="00C1603D">
        <w:t>Cecilio</w:t>
      </w:r>
      <w:proofErr w:type="spellEnd"/>
      <w:r w:rsidRPr="00C1603D">
        <w:t xml:space="preserve"> LA, </w:t>
      </w:r>
      <w:proofErr w:type="spellStart"/>
      <w:r w:rsidRPr="00C1603D">
        <w:t>Bonatto</w:t>
      </w:r>
      <w:proofErr w:type="spellEnd"/>
      <w:r w:rsidRPr="00C1603D">
        <w:t xml:space="preserve"> MW. The prevalence of HLA DQ2 and DQ8 in patients with celiac disease, in family and in general population. </w:t>
      </w:r>
      <w:proofErr w:type="spellStart"/>
      <w:r w:rsidRPr="00C1603D">
        <w:rPr>
          <w:i/>
        </w:rPr>
        <w:t>Arq</w:t>
      </w:r>
      <w:proofErr w:type="spellEnd"/>
      <w:r w:rsidRPr="00C1603D">
        <w:rPr>
          <w:i/>
        </w:rPr>
        <w:t xml:space="preserve"> Bras Cir Dig</w:t>
      </w:r>
      <w:r w:rsidRPr="00C1603D">
        <w:t xml:space="preserve"> 2015;</w:t>
      </w:r>
      <w:r w:rsidRPr="00C1603D">
        <w:rPr>
          <w:b/>
        </w:rPr>
        <w:t>28</w:t>
      </w:r>
      <w:r w:rsidRPr="00C1603D">
        <w:t>:</w:t>
      </w:r>
      <w:r w:rsidRPr="00C1603D">
        <w:rPr>
          <w:color w:val="auto"/>
        </w:rPr>
        <w:t>183</w:t>
      </w:r>
      <w:r w:rsidRPr="00C1603D">
        <w:rPr>
          <w:color w:val="00B0F0"/>
        </w:rPr>
        <w:t>–</w:t>
      </w:r>
      <w:r w:rsidRPr="00C1603D">
        <w:rPr>
          <w:color w:val="auto"/>
        </w:rPr>
        <w:t>5</w:t>
      </w:r>
      <w:r w:rsidRPr="00C1603D">
        <w:t>. https://doi.org/10.1590/S0102-67202015000300009</w:t>
      </w:r>
    </w:p>
    <w:p w14:paraId="5AD69928" w14:textId="77777777" w:rsidR="00EF77DB" w:rsidRPr="00C1603D" w:rsidRDefault="00EF77DB" w:rsidP="00EF77DB">
      <w:pPr>
        <w:pStyle w:val="65ReferencesTextstylesTextstyles"/>
      </w:pPr>
      <w:r w:rsidRPr="00C1603D">
        <w:t>19.</w:t>
      </w:r>
      <w:r w:rsidRPr="00C1603D">
        <w:tab/>
      </w:r>
      <w:proofErr w:type="spellStart"/>
      <w:r w:rsidRPr="00C1603D">
        <w:t>Husby</w:t>
      </w:r>
      <w:proofErr w:type="spellEnd"/>
      <w:r w:rsidRPr="00C1603D">
        <w:t xml:space="preserve"> S, </w:t>
      </w:r>
      <w:proofErr w:type="spellStart"/>
      <w:r w:rsidRPr="00C1603D">
        <w:t>Koletzko</w:t>
      </w:r>
      <w:proofErr w:type="spellEnd"/>
      <w:r w:rsidRPr="00C1603D">
        <w:t xml:space="preserve"> S, </w:t>
      </w:r>
      <w:proofErr w:type="spellStart"/>
      <w:r w:rsidRPr="00C1603D">
        <w:t>Korponay-Szabó</w:t>
      </w:r>
      <w:proofErr w:type="spellEnd"/>
      <w:r w:rsidRPr="00C1603D">
        <w:t xml:space="preserve"> IR, </w:t>
      </w:r>
      <w:proofErr w:type="spellStart"/>
      <w:r w:rsidRPr="00C1603D">
        <w:t>Mearin</w:t>
      </w:r>
      <w:proofErr w:type="spellEnd"/>
      <w:r w:rsidRPr="00C1603D">
        <w:t xml:space="preserve"> ML, Phillips A, Shamir R, </w:t>
      </w:r>
      <w:r w:rsidRPr="00C1603D">
        <w:rPr>
          <w:i/>
        </w:rPr>
        <w:t>et al</w:t>
      </w:r>
      <w:r w:rsidRPr="00C1603D">
        <w:t xml:space="preserve">. European Society for </w:t>
      </w:r>
      <w:proofErr w:type="spellStart"/>
      <w:r w:rsidRPr="00C1603D">
        <w:t>Pediatric</w:t>
      </w:r>
      <w:proofErr w:type="spellEnd"/>
      <w:r w:rsidRPr="00C1603D">
        <w:t xml:space="preserve"> Gastroenterology, Hepatology, and Nutrition guidelines for the diagnosis of coeliac disease.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2012;</w:t>
      </w:r>
      <w:r w:rsidRPr="00C1603D">
        <w:rPr>
          <w:b/>
        </w:rPr>
        <w:t>54</w:t>
      </w:r>
      <w:r w:rsidRPr="00C1603D">
        <w:t>:</w:t>
      </w:r>
      <w:r w:rsidRPr="00C1603D">
        <w:rPr>
          <w:color w:val="auto"/>
        </w:rPr>
        <w:t>136</w:t>
      </w:r>
      <w:r w:rsidRPr="00C1603D">
        <w:rPr>
          <w:color w:val="00B0F0"/>
        </w:rPr>
        <w:t>–</w:t>
      </w:r>
      <w:r w:rsidRPr="00C1603D">
        <w:rPr>
          <w:color w:val="auto"/>
        </w:rPr>
        <w:t>60</w:t>
      </w:r>
      <w:r w:rsidRPr="00C1603D">
        <w:t>. https://doi.org/10.1097/MPG.0b013e31821a23d0</w:t>
      </w:r>
    </w:p>
    <w:p w14:paraId="75BE89B1" w14:textId="2650AF64" w:rsidR="00EF77DB" w:rsidRPr="00C1603D" w:rsidRDefault="00EF77DB" w:rsidP="00EF77DB">
      <w:pPr>
        <w:pStyle w:val="65ReferencesTextstylesTextstyles"/>
      </w:pPr>
      <w:r w:rsidRPr="00C1603D">
        <w:t>20.</w:t>
      </w:r>
      <w:r w:rsidRPr="00C1603D">
        <w:tab/>
        <w:t xml:space="preserve">British Society of Gastroenterology. </w:t>
      </w:r>
      <w:r w:rsidRPr="00C1603D">
        <w:rPr>
          <w:i/>
          <w:iCs/>
        </w:rPr>
        <w:t xml:space="preserve">BSG Interim Guidance: COVID-19 </w:t>
      </w:r>
      <w:r w:rsidR="00CF0F0E" w:rsidRPr="00C1603D">
        <w:rPr>
          <w:i/>
          <w:iCs/>
        </w:rPr>
        <w:t>Specific Non</w:t>
      </w:r>
      <w:r w:rsidRPr="00C1603D">
        <w:rPr>
          <w:i/>
          <w:iCs/>
        </w:rPr>
        <w:t xml:space="preserve">-biopsy </w:t>
      </w:r>
      <w:r w:rsidR="00CF0F0E" w:rsidRPr="00C1603D">
        <w:rPr>
          <w:i/>
          <w:iCs/>
        </w:rPr>
        <w:t xml:space="preserve">Protocol </w:t>
      </w:r>
      <w:r w:rsidRPr="00C1603D">
        <w:rPr>
          <w:i/>
          <w:iCs/>
        </w:rPr>
        <w:t xml:space="preserve">for </w:t>
      </w:r>
      <w:r w:rsidR="00CF0F0E" w:rsidRPr="00C1603D">
        <w:rPr>
          <w:i/>
          <w:iCs/>
        </w:rPr>
        <w:t xml:space="preserve">Those </w:t>
      </w:r>
      <w:r w:rsidRPr="00C1603D">
        <w:rPr>
          <w:i/>
          <w:iCs/>
        </w:rPr>
        <w:t xml:space="preserve">with </w:t>
      </w:r>
      <w:r w:rsidR="00CF0F0E" w:rsidRPr="00C1603D">
        <w:rPr>
          <w:i/>
          <w:iCs/>
        </w:rPr>
        <w:t>Suspected Coeliac Disease</w:t>
      </w:r>
      <w:r w:rsidRPr="00C1603D">
        <w:t xml:space="preserve">. </w:t>
      </w:r>
      <w:r w:rsidR="00CF0F0E" w:rsidRPr="00C1603D">
        <w:t xml:space="preserve">London: </w:t>
      </w:r>
      <w:r w:rsidRPr="00C1603D">
        <w:rPr>
          <w:iCs/>
        </w:rPr>
        <w:t>British Society of Gastroenterology</w:t>
      </w:r>
      <w:r w:rsidR="00CF0F0E" w:rsidRPr="00C1603D">
        <w:rPr>
          <w:iCs/>
        </w:rPr>
        <w:t>;</w:t>
      </w:r>
      <w:r w:rsidRPr="00C1603D">
        <w:t xml:space="preserve"> 2020.</w:t>
      </w:r>
    </w:p>
    <w:p w14:paraId="29B5364D" w14:textId="77777777" w:rsidR="00EF77DB" w:rsidRPr="00C1603D" w:rsidRDefault="00EF77DB" w:rsidP="00EF77DB">
      <w:pPr>
        <w:pStyle w:val="65ReferencesTextstylesTextstyles"/>
      </w:pPr>
      <w:r w:rsidRPr="00C1603D">
        <w:t>21.</w:t>
      </w:r>
      <w:r w:rsidRPr="00C1603D">
        <w:tab/>
        <w:t xml:space="preserve">Elwenspoek MMC, Jackson J, Dawson S, Everitt H, Gillett P, Hay AD, </w:t>
      </w:r>
      <w:r w:rsidRPr="00C1603D">
        <w:rPr>
          <w:i/>
        </w:rPr>
        <w:t>et al</w:t>
      </w:r>
      <w:r w:rsidRPr="00C1603D">
        <w:t xml:space="preserve">. Accuracy of potential diagnostic indicators for coeliac disease: a systematic review protocol. </w:t>
      </w:r>
      <w:r w:rsidRPr="00C1603D">
        <w:rPr>
          <w:i/>
        </w:rPr>
        <w:t>BMJ Open</w:t>
      </w:r>
      <w:r w:rsidRPr="00C1603D">
        <w:t xml:space="preserve"> 2020;</w:t>
      </w:r>
      <w:r w:rsidRPr="00C1603D">
        <w:rPr>
          <w:b/>
        </w:rPr>
        <w:t>10</w:t>
      </w:r>
      <w:r w:rsidRPr="00C1603D">
        <w:t>:</w:t>
      </w:r>
      <w:r w:rsidRPr="00C1603D">
        <w:rPr>
          <w:color w:val="auto"/>
        </w:rPr>
        <w:t>e038994</w:t>
      </w:r>
      <w:r w:rsidRPr="00C1603D">
        <w:t>. https://doi.org/10.1136/bmjopen-2020-038994</w:t>
      </w:r>
    </w:p>
    <w:p w14:paraId="27F0EA23" w14:textId="3E34CF99" w:rsidR="00EF77DB" w:rsidRPr="00C1603D" w:rsidRDefault="00EF77DB" w:rsidP="00EF77DB">
      <w:pPr>
        <w:pStyle w:val="65ReferencesTextstylesTextstyles"/>
      </w:pPr>
      <w:r w:rsidRPr="00C1603D">
        <w:t>22.</w:t>
      </w:r>
      <w:r w:rsidRPr="00C1603D">
        <w:tab/>
      </w:r>
      <w:r w:rsidR="00CF0F0E" w:rsidRPr="00C1603D">
        <w:t xml:space="preserve">Centre for Reviews and Dissemination. </w:t>
      </w:r>
      <w:r w:rsidR="00CF0F0E" w:rsidRPr="00C1603D">
        <w:rPr>
          <w:i/>
          <w:iCs/>
        </w:rPr>
        <w:t>Systematic Reviews – CRD’s Guidance for Undertaking Reviews in Healthcare</w:t>
      </w:r>
      <w:r w:rsidR="00CF0F0E" w:rsidRPr="00C1603D">
        <w:t>. York: Centre for Reviews and Dissemination, University of York; 2009</w:t>
      </w:r>
      <w:r w:rsidRPr="00C1603D">
        <w:t>.</w:t>
      </w:r>
    </w:p>
    <w:p w14:paraId="6053031A" w14:textId="50515237" w:rsidR="00EF77DB" w:rsidRPr="00C1603D" w:rsidRDefault="00EF77DB" w:rsidP="00EF77DB">
      <w:pPr>
        <w:pStyle w:val="65ReferencesTextstylesTextstyles"/>
      </w:pPr>
      <w:r w:rsidRPr="00C1603D">
        <w:t>23.</w:t>
      </w:r>
      <w:r w:rsidRPr="00C1603D">
        <w:tab/>
      </w:r>
      <w:proofErr w:type="spellStart"/>
      <w:r w:rsidRPr="00C1603D">
        <w:t>Deeks</w:t>
      </w:r>
      <w:proofErr w:type="spellEnd"/>
      <w:r w:rsidRPr="00C1603D">
        <w:t xml:space="preserve"> JJ, </w:t>
      </w:r>
      <w:proofErr w:type="spellStart"/>
      <w:r w:rsidRPr="00C1603D">
        <w:t>Bossuyt</w:t>
      </w:r>
      <w:proofErr w:type="spellEnd"/>
      <w:r w:rsidRPr="00C1603D">
        <w:t xml:space="preserve"> PM, </w:t>
      </w:r>
      <w:proofErr w:type="spellStart"/>
      <w:r w:rsidRPr="00C1603D">
        <w:t>Gatsonis</w:t>
      </w:r>
      <w:proofErr w:type="spellEnd"/>
      <w:r w:rsidRPr="00C1603D">
        <w:t xml:space="preserve"> C. </w:t>
      </w:r>
      <w:r w:rsidRPr="00C1603D">
        <w:rPr>
          <w:i/>
          <w:iCs/>
        </w:rPr>
        <w:t>Cochrane Handbook for Systematic Reviews of Diagnostic Test Accuracy Version 1.0.0</w:t>
      </w:r>
      <w:r w:rsidRPr="00C1603D">
        <w:t xml:space="preserve">. </w:t>
      </w:r>
      <w:r w:rsidR="00CF0F0E" w:rsidRPr="00C1603D">
        <w:t xml:space="preserve">London: </w:t>
      </w:r>
      <w:r w:rsidRPr="00C1603D">
        <w:rPr>
          <w:iCs/>
        </w:rPr>
        <w:t>The Cochrane Collaboration</w:t>
      </w:r>
      <w:r w:rsidR="00CF0F0E" w:rsidRPr="00C1603D">
        <w:rPr>
          <w:iCs/>
        </w:rPr>
        <w:t>;</w:t>
      </w:r>
      <w:r w:rsidRPr="00C1603D">
        <w:t xml:space="preserve"> 2013.</w:t>
      </w:r>
    </w:p>
    <w:p w14:paraId="6BAAD3BC" w14:textId="2995A349" w:rsidR="00EF77DB" w:rsidRPr="00C1603D" w:rsidRDefault="00EF77DB" w:rsidP="00EF77DB">
      <w:pPr>
        <w:pStyle w:val="65ReferencesTextstylesTextstyles"/>
      </w:pPr>
      <w:r w:rsidRPr="00C1603D">
        <w:t>24.</w:t>
      </w:r>
      <w:r w:rsidRPr="00C1603D">
        <w:tab/>
        <w:t xml:space="preserve">McInnes MDF, Moher D, Thombs BD, McGrath TA, </w:t>
      </w:r>
      <w:proofErr w:type="spellStart"/>
      <w:r w:rsidRPr="00C1603D">
        <w:t>Bossuyt</w:t>
      </w:r>
      <w:proofErr w:type="spellEnd"/>
      <w:r w:rsidRPr="00C1603D">
        <w:t xml:space="preserve"> PM, Clifford T, </w:t>
      </w:r>
      <w:r w:rsidRPr="00C1603D">
        <w:rPr>
          <w:i/>
        </w:rPr>
        <w:t>et al</w:t>
      </w:r>
      <w:r w:rsidRPr="00C1603D">
        <w:t xml:space="preserve">. Preferred Reporting Items for a Systematic Review and Meta-analysis of Diagnostic Test Accuracy Studies: </w:t>
      </w:r>
      <w:r w:rsidR="00CF0F0E" w:rsidRPr="00C1603D">
        <w:t>t</w:t>
      </w:r>
      <w:r w:rsidRPr="00C1603D">
        <w:t xml:space="preserve">he PRISMA-DTA </w:t>
      </w:r>
      <w:r w:rsidR="00CF0F0E" w:rsidRPr="00C1603D">
        <w:t>s</w:t>
      </w:r>
      <w:r w:rsidRPr="00C1603D">
        <w:t xml:space="preserve">tatement. </w:t>
      </w:r>
      <w:r w:rsidRPr="00C1603D">
        <w:rPr>
          <w:i/>
        </w:rPr>
        <w:t>JAMA</w:t>
      </w:r>
      <w:r w:rsidRPr="00C1603D">
        <w:t xml:space="preserve"> 2018;</w:t>
      </w:r>
      <w:r w:rsidRPr="00C1603D">
        <w:rPr>
          <w:b/>
        </w:rPr>
        <w:t>319</w:t>
      </w:r>
      <w:r w:rsidRPr="00C1603D">
        <w:t>:</w:t>
      </w:r>
      <w:r w:rsidRPr="00C1603D">
        <w:rPr>
          <w:color w:val="auto"/>
        </w:rPr>
        <w:t>388</w:t>
      </w:r>
      <w:r w:rsidRPr="00C1603D">
        <w:rPr>
          <w:color w:val="00B0F0"/>
        </w:rPr>
        <w:t>–</w:t>
      </w:r>
      <w:r w:rsidRPr="00C1603D">
        <w:rPr>
          <w:color w:val="auto"/>
        </w:rPr>
        <w:t>96</w:t>
      </w:r>
      <w:r w:rsidRPr="00C1603D">
        <w:t>. https://doi.org/10.1001/jama.2017.19163</w:t>
      </w:r>
    </w:p>
    <w:p w14:paraId="1389C497" w14:textId="75AEF99B" w:rsidR="00EF77DB" w:rsidRPr="00C1603D" w:rsidRDefault="00EF77DB" w:rsidP="00EF77DB">
      <w:pPr>
        <w:pStyle w:val="65ReferencesTextstylesTextstyles"/>
      </w:pPr>
      <w:r w:rsidRPr="00C1603D">
        <w:t>25.</w:t>
      </w:r>
      <w:r w:rsidRPr="00C1603D">
        <w:tab/>
        <w:t xml:space="preserve">Elwenspoek MMC, Jackson J, O’Donnell R, Sinobas A, Dawson S, Everitt H, </w:t>
      </w:r>
      <w:r w:rsidRPr="00C1603D">
        <w:rPr>
          <w:i/>
        </w:rPr>
        <w:t>et al</w:t>
      </w:r>
      <w:r w:rsidRPr="00C1603D">
        <w:t xml:space="preserve">. The </w:t>
      </w:r>
      <w:r w:rsidRPr="00C1603D">
        <w:lastRenderedPageBreak/>
        <w:t xml:space="preserve">accuracy of diagnostic indicators for coeliac disease: </w:t>
      </w:r>
      <w:r w:rsidR="00CF0F0E" w:rsidRPr="00C1603D">
        <w:t>a</w:t>
      </w:r>
      <w:r w:rsidRPr="00C1603D">
        <w:t xml:space="preserve"> systematic review and meta-analysis. </w:t>
      </w:r>
      <w:r w:rsidRPr="00C1603D">
        <w:rPr>
          <w:i/>
        </w:rPr>
        <w:t xml:space="preserve">PLOS </w:t>
      </w:r>
      <w:r w:rsidR="00BE755E" w:rsidRPr="00C1603D">
        <w:rPr>
          <w:i/>
        </w:rPr>
        <w:t>ONE</w:t>
      </w:r>
      <w:r w:rsidR="00BE755E" w:rsidRPr="00C1603D">
        <w:t xml:space="preserve"> </w:t>
      </w:r>
      <w:r w:rsidRPr="00C1603D">
        <w:t>2021;</w:t>
      </w:r>
      <w:r w:rsidRPr="00C1603D">
        <w:rPr>
          <w:b/>
        </w:rPr>
        <w:t>16</w:t>
      </w:r>
      <w:r w:rsidRPr="00C1603D">
        <w:t>:</w:t>
      </w:r>
      <w:r w:rsidRPr="00C1603D">
        <w:rPr>
          <w:color w:val="auto"/>
        </w:rPr>
        <w:t>e0258501</w:t>
      </w:r>
      <w:r w:rsidRPr="00C1603D">
        <w:t>. https://doi.org/10.1371/journal.pone.0258501</w:t>
      </w:r>
    </w:p>
    <w:p w14:paraId="2747A0E9" w14:textId="3497B53C" w:rsidR="00EF77DB" w:rsidRPr="00C1603D" w:rsidRDefault="00EF77DB" w:rsidP="00EF77DB">
      <w:pPr>
        <w:pStyle w:val="65ReferencesTextstylesTextstyles"/>
      </w:pPr>
      <w:r w:rsidRPr="00C1603D">
        <w:t>26.</w:t>
      </w:r>
      <w:r w:rsidRPr="00C1603D">
        <w:tab/>
      </w:r>
      <w:proofErr w:type="spellStart"/>
      <w:r w:rsidRPr="00C1603D">
        <w:t>Rutjes</w:t>
      </w:r>
      <w:proofErr w:type="spellEnd"/>
      <w:r w:rsidRPr="00C1603D">
        <w:t xml:space="preserve"> AW, </w:t>
      </w:r>
      <w:proofErr w:type="spellStart"/>
      <w:r w:rsidRPr="00C1603D">
        <w:t>Reitsma</w:t>
      </w:r>
      <w:proofErr w:type="spellEnd"/>
      <w:r w:rsidRPr="00C1603D">
        <w:t xml:space="preserve"> JB, </w:t>
      </w:r>
      <w:proofErr w:type="spellStart"/>
      <w:r w:rsidRPr="00C1603D">
        <w:t>Vandenbroucke</w:t>
      </w:r>
      <w:proofErr w:type="spellEnd"/>
      <w:r w:rsidRPr="00C1603D">
        <w:t xml:space="preserve"> JP, </w:t>
      </w:r>
      <w:proofErr w:type="spellStart"/>
      <w:r w:rsidRPr="00C1603D">
        <w:t>Glas</w:t>
      </w:r>
      <w:proofErr w:type="spellEnd"/>
      <w:r w:rsidRPr="00C1603D">
        <w:t xml:space="preserve"> AS, </w:t>
      </w:r>
      <w:proofErr w:type="spellStart"/>
      <w:r w:rsidRPr="00C1603D">
        <w:t>Bossuyt</w:t>
      </w:r>
      <w:proofErr w:type="spellEnd"/>
      <w:r w:rsidRPr="00C1603D">
        <w:t xml:space="preserve"> PM. Case</w:t>
      </w:r>
      <w:r w:rsidR="00CF0F0E" w:rsidRPr="00C1603D">
        <w:t>–</w:t>
      </w:r>
      <w:r w:rsidRPr="00C1603D">
        <w:t xml:space="preserve">control and two-gate designs in diagnostic accuracy studies. </w:t>
      </w:r>
      <w:r w:rsidRPr="00C1603D">
        <w:rPr>
          <w:i/>
        </w:rPr>
        <w:t>Clin Chem</w:t>
      </w:r>
      <w:r w:rsidRPr="00C1603D">
        <w:t xml:space="preserve"> 2005;</w:t>
      </w:r>
      <w:r w:rsidRPr="00C1603D">
        <w:rPr>
          <w:b/>
        </w:rPr>
        <w:t>51</w:t>
      </w:r>
      <w:r w:rsidRPr="00C1603D">
        <w:t>:</w:t>
      </w:r>
      <w:r w:rsidRPr="00C1603D">
        <w:rPr>
          <w:color w:val="auto"/>
        </w:rPr>
        <w:t>1335</w:t>
      </w:r>
      <w:r w:rsidRPr="00C1603D">
        <w:rPr>
          <w:color w:val="00B0F0"/>
        </w:rPr>
        <w:t>–</w:t>
      </w:r>
      <w:r w:rsidRPr="00C1603D">
        <w:rPr>
          <w:color w:val="auto"/>
        </w:rPr>
        <w:t>41</w:t>
      </w:r>
      <w:r w:rsidRPr="00C1603D">
        <w:t>.</w:t>
      </w:r>
    </w:p>
    <w:p w14:paraId="01F4CC23" w14:textId="4660D9BC" w:rsidR="00EF77DB" w:rsidRPr="00C1603D" w:rsidRDefault="00EF77DB" w:rsidP="00EF77DB">
      <w:pPr>
        <w:pStyle w:val="65ReferencesTextstylesTextstyles"/>
      </w:pPr>
      <w:r w:rsidRPr="00C1603D">
        <w:t>27.</w:t>
      </w:r>
      <w:r w:rsidRPr="00C1603D">
        <w:tab/>
      </w:r>
      <w:proofErr w:type="spellStart"/>
      <w:r w:rsidRPr="00C1603D">
        <w:t>Geersing</w:t>
      </w:r>
      <w:proofErr w:type="spellEnd"/>
      <w:r w:rsidRPr="00C1603D">
        <w:t xml:space="preserve"> GJ, Bouwmeester W, </w:t>
      </w:r>
      <w:proofErr w:type="spellStart"/>
      <w:r w:rsidRPr="00C1603D">
        <w:t>Zuithoff</w:t>
      </w:r>
      <w:proofErr w:type="spellEnd"/>
      <w:r w:rsidRPr="00C1603D">
        <w:t xml:space="preserve"> P, </w:t>
      </w:r>
      <w:proofErr w:type="spellStart"/>
      <w:r w:rsidRPr="00C1603D">
        <w:t>Spijker</w:t>
      </w:r>
      <w:proofErr w:type="spellEnd"/>
      <w:r w:rsidRPr="00C1603D">
        <w:t xml:space="preserve"> R, </w:t>
      </w:r>
      <w:proofErr w:type="spellStart"/>
      <w:r w:rsidRPr="00C1603D">
        <w:t>Leeflang</w:t>
      </w:r>
      <w:proofErr w:type="spellEnd"/>
      <w:r w:rsidRPr="00C1603D">
        <w:t xml:space="preserve"> M, Moons KG, Moons K. Search filters for finding prognostic and diagnostic prediction studies in </w:t>
      </w:r>
      <w:r w:rsidR="00CF0F0E" w:rsidRPr="00C1603D">
        <w:t xml:space="preserve">MEDLINE </w:t>
      </w:r>
      <w:r w:rsidRPr="00C1603D">
        <w:t xml:space="preserve">to enhance systematic reviews. </w:t>
      </w:r>
      <w:r w:rsidRPr="00C1603D">
        <w:rPr>
          <w:i/>
        </w:rPr>
        <w:t xml:space="preserve">PLOS </w:t>
      </w:r>
      <w:r w:rsidR="00BA577B" w:rsidRPr="00C1603D">
        <w:rPr>
          <w:i/>
        </w:rPr>
        <w:t>ONE</w:t>
      </w:r>
      <w:r w:rsidR="00BA577B" w:rsidRPr="00C1603D">
        <w:t xml:space="preserve"> </w:t>
      </w:r>
      <w:r w:rsidRPr="00C1603D">
        <w:t>2012;</w:t>
      </w:r>
      <w:r w:rsidRPr="00C1603D">
        <w:rPr>
          <w:b/>
        </w:rPr>
        <w:t>7</w:t>
      </w:r>
      <w:r w:rsidRPr="00C1603D">
        <w:t>:</w:t>
      </w:r>
      <w:r w:rsidRPr="00C1603D">
        <w:rPr>
          <w:color w:val="auto"/>
        </w:rPr>
        <w:t>e32844</w:t>
      </w:r>
      <w:r w:rsidRPr="00C1603D">
        <w:t>. https://doi.org/10.1371/journal.pone.0032844</w:t>
      </w:r>
    </w:p>
    <w:p w14:paraId="274804C0" w14:textId="77777777" w:rsidR="00EF77DB" w:rsidRPr="00C1603D" w:rsidRDefault="00EF77DB" w:rsidP="00EF77DB">
      <w:pPr>
        <w:pStyle w:val="65ReferencesTextstylesTextstyles"/>
      </w:pPr>
      <w:r w:rsidRPr="00C1603D">
        <w:t>28.</w:t>
      </w:r>
      <w:r w:rsidRPr="00C1603D">
        <w:tab/>
      </w:r>
      <w:proofErr w:type="spellStart"/>
      <w:r w:rsidRPr="00C1603D">
        <w:t>Ingui</w:t>
      </w:r>
      <w:proofErr w:type="spellEnd"/>
      <w:r w:rsidRPr="00C1603D">
        <w:t xml:space="preserve"> BJ, Rogers MA. Searching for clinical prediction rules in MEDLINE. </w:t>
      </w:r>
      <w:r w:rsidRPr="00C1603D">
        <w:rPr>
          <w:i/>
        </w:rPr>
        <w:t>J Am Med Inform Assoc</w:t>
      </w:r>
      <w:r w:rsidRPr="00C1603D">
        <w:t xml:space="preserve"> 2001;</w:t>
      </w:r>
      <w:r w:rsidRPr="00C1603D">
        <w:rPr>
          <w:b/>
        </w:rPr>
        <w:t>8</w:t>
      </w:r>
      <w:r w:rsidRPr="00C1603D">
        <w:t>:</w:t>
      </w:r>
      <w:r w:rsidRPr="00C1603D">
        <w:rPr>
          <w:color w:val="auto"/>
        </w:rPr>
        <w:t>391</w:t>
      </w:r>
      <w:r w:rsidRPr="00C1603D">
        <w:rPr>
          <w:color w:val="00B0F0"/>
        </w:rPr>
        <w:t>–</w:t>
      </w:r>
      <w:r w:rsidRPr="00C1603D">
        <w:rPr>
          <w:color w:val="auto"/>
        </w:rPr>
        <w:t>7</w:t>
      </w:r>
      <w:r w:rsidRPr="00C1603D">
        <w:t>.</w:t>
      </w:r>
    </w:p>
    <w:p w14:paraId="10EB0FC6" w14:textId="77777777" w:rsidR="00EF77DB" w:rsidRPr="00C1603D" w:rsidRDefault="00EF77DB" w:rsidP="00EF77DB">
      <w:pPr>
        <w:pStyle w:val="65ReferencesTextstylesTextstyles"/>
      </w:pPr>
      <w:r w:rsidRPr="00C1603D">
        <w:t>29.</w:t>
      </w:r>
      <w:r w:rsidRPr="00C1603D">
        <w:tab/>
        <w:t xml:space="preserve">Whiting PF, </w:t>
      </w:r>
      <w:proofErr w:type="spellStart"/>
      <w:r w:rsidRPr="00C1603D">
        <w:t>Rutjes</w:t>
      </w:r>
      <w:proofErr w:type="spellEnd"/>
      <w:r w:rsidRPr="00C1603D">
        <w:t xml:space="preserve"> AW, Westwood ME, Mallett S, </w:t>
      </w:r>
      <w:proofErr w:type="spellStart"/>
      <w:r w:rsidRPr="00C1603D">
        <w:t>Deeks</w:t>
      </w:r>
      <w:proofErr w:type="spellEnd"/>
      <w:r w:rsidRPr="00C1603D">
        <w:t xml:space="preserve"> JJ, </w:t>
      </w:r>
      <w:proofErr w:type="spellStart"/>
      <w:r w:rsidRPr="00C1603D">
        <w:t>Reitsma</w:t>
      </w:r>
      <w:proofErr w:type="spellEnd"/>
      <w:r w:rsidRPr="00C1603D">
        <w:t xml:space="preserve"> JB, </w:t>
      </w:r>
      <w:r w:rsidRPr="00C1603D">
        <w:rPr>
          <w:i/>
        </w:rPr>
        <w:t>et al</w:t>
      </w:r>
      <w:r w:rsidRPr="00C1603D">
        <w:t xml:space="preserve">. QUADAS-2: a revised tool for the quality assessment of diagnostic accuracy studies. </w:t>
      </w:r>
      <w:r w:rsidRPr="00C1603D">
        <w:rPr>
          <w:i/>
        </w:rPr>
        <w:t>Ann Intern Med</w:t>
      </w:r>
      <w:r w:rsidRPr="00C1603D">
        <w:t xml:space="preserve"> 2011;</w:t>
      </w:r>
      <w:r w:rsidRPr="00C1603D">
        <w:rPr>
          <w:b/>
        </w:rPr>
        <w:t>155</w:t>
      </w:r>
      <w:r w:rsidRPr="00C1603D">
        <w:t>:</w:t>
      </w:r>
      <w:r w:rsidRPr="00C1603D">
        <w:rPr>
          <w:color w:val="auto"/>
        </w:rPr>
        <w:t>529</w:t>
      </w:r>
      <w:r w:rsidRPr="00C1603D">
        <w:rPr>
          <w:color w:val="00B0F0"/>
        </w:rPr>
        <w:t>–</w:t>
      </w:r>
      <w:r w:rsidRPr="00C1603D">
        <w:rPr>
          <w:color w:val="auto"/>
        </w:rPr>
        <w:t>36</w:t>
      </w:r>
      <w:r w:rsidRPr="00C1603D">
        <w:t>. https://doi.org/10.7326/0003-4819-155-8-201110180-00009</w:t>
      </w:r>
    </w:p>
    <w:p w14:paraId="24C8D721" w14:textId="77777777" w:rsidR="00EF77DB" w:rsidRPr="00C1603D" w:rsidRDefault="00EF77DB" w:rsidP="00EF77DB">
      <w:pPr>
        <w:pStyle w:val="65ReferencesTextstylesTextstyles"/>
      </w:pPr>
      <w:r w:rsidRPr="00C1603D">
        <w:t>30.</w:t>
      </w:r>
      <w:r w:rsidRPr="00C1603D">
        <w:tab/>
      </w:r>
      <w:proofErr w:type="spellStart"/>
      <w:r w:rsidRPr="00C1603D">
        <w:t>Reitsma</w:t>
      </w:r>
      <w:proofErr w:type="spellEnd"/>
      <w:r w:rsidRPr="00C1603D">
        <w:t xml:space="preserve"> JB, </w:t>
      </w:r>
      <w:proofErr w:type="spellStart"/>
      <w:r w:rsidRPr="00C1603D">
        <w:t>Glas</w:t>
      </w:r>
      <w:proofErr w:type="spellEnd"/>
      <w:r w:rsidRPr="00C1603D">
        <w:t xml:space="preserve"> AS, </w:t>
      </w:r>
      <w:proofErr w:type="spellStart"/>
      <w:r w:rsidRPr="00C1603D">
        <w:t>Rutjes</w:t>
      </w:r>
      <w:proofErr w:type="spellEnd"/>
      <w:r w:rsidRPr="00C1603D">
        <w:t xml:space="preserve"> AW, Scholten RJ, </w:t>
      </w:r>
      <w:proofErr w:type="spellStart"/>
      <w:r w:rsidRPr="00C1603D">
        <w:t>Bossuyt</w:t>
      </w:r>
      <w:proofErr w:type="spellEnd"/>
      <w:r w:rsidRPr="00C1603D">
        <w:t xml:space="preserve"> PM, </w:t>
      </w:r>
      <w:proofErr w:type="spellStart"/>
      <w:r w:rsidRPr="00C1603D">
        <w:t>Zwinderman</w:t>
      </w:r>
      <w:proofErr w:type="spellEnd"/>
      <w:r w:rsidRPr="00C1603D">
        <w:t xml:space="preserve"> AH. Bivariate analysis of sensitivity and specificity produces informative summary measures in diagnostic reviews. </w:t>
      </w:r>
      <w:r w:rsidRPr="00C1603D">
        <w:rPr>
          <w:i/>
        </w:rPr>
        <w:t xml:space="preserve">J Clin </w:t>
      </w:r>
      <w:proofErr w:type="spellStart"/>
      <w:r w:rsidRPr="00C1603D">
        <w:rPr>
          <w:i/>
        </w:rPr>
        <w:t>Epidemiol</w:t>
      </w:r>
      <w:proofErr w:type="spellEnd"/>
      <w:r w:rsidRPr="00C1603D">
        <w:t xml:space="preserve"> 2005;</w:t>
      </w:r>
      <w:r w:rsidRPr="00C1603D">
        <w:rPr>
          <w:b/>
        </w:rPr>
        <w:t>58</w:t>
      </w:r>
      <w:r w:rsidRPr="00C1603D">
        <w:t>:</w:t>
      </w:r>
      <w:r w:rsidRPr="00C1603D">
        <w:rPr>
          <w:color w:val="auto"/>
        </w:rPr>
        <w:t>982</w:t>
      </w:r>
      <w:r w:rsidRPr="00C1603D">
        <w:rPr>
          <w:color w:val="00B0F0"/>
        </w:rPr>
        <w:t>–</w:t>
      </w:r>
      <w:r w:rsidRPr="00C1603D">
        <w:rPr>
          <w:color w:val="auto"/>
        </w:rPr>
        <w:t>90</w:t>
      </w:r>
      <w:r w:rsidRPr="00C1603D">
        <w:t>.</w:t>
      </w:r>
    </w:p>
    <w:p w14:paraId="47F1C94E" w14:textId="77777777" w:rsidR="00EF77DB" w:rsidRPr="00C1603D" w:rsidRDefault="00EF77DB" w:rsidP="00EF77DB">
      <w:pPr>
        <w:pStyle w:val="65ReferencesTextstylesTextstyles"/>
      </w:pPr>
      <w:r w:rsidRPr="00C1603D">
        <w:t>31.</w:t>
      </w:r>
      <w:r w:rsidRPr="00C1603D">
        <w:tab/>
        <w:t xml:space="preserve">Chu H, Cole SR. Bivariate meta-analysis of sensitivity and specificity with sparse data: a generalized linear mixed model approach. </w:t>
      </w:r>
      <w:r w:rsidRPr="00C1603D">
        <w:rPr>
          <w:i/>
        </w:rPr>
        <w:t xml:space="preserve">J Clin </w:t>
      </w:r>
      <w:proofErr w:type="spellStart"/>
      <w:r w:rsidRPr="00C1603D">
        <w:rPr>
          <w:i/>
        </w:rPr>
        <w:t>Epidemiol</w:t>
      </w:r>
      <w:proofErr w:type="spellEnd"/>
      <w:r w:rsidRPr="00C1603D">
        <w:t xml:space="preserve"> 2006;</w:t>
      </w:r>
      <w:r w:rsidRPr="00C1603D">
        <w:rPr>
          <w:b/>
        </w:rPr>
        <w:t>59</w:t>
      </w:r>
      <w:r w:rsidRPr="00C1603D">
        <w:t>:</w:t>
      </w:r>
      <w:r w:rsidRPr="00C1603D">
        <w:rPr>
          <w:color w:val="auto"/>
        </w:rPr>
        <w:t>1331</w:t>
      </w:r>
      <w:r w:rsidRPr="00C1603D">
        <w:rPr>
          <w:color w:val="00B0F0"/>
        </w:rPr>
        <w:t>–</w:t>
      </w:r>
      <w:r w:rsidRPr="00C1603D">
        <w:rPr>
          <w:color w:val="auto"/>
        </w:rPr>
        <w:t>2</w:t>
      </w:r>
      <w:r w:rsidRPr="00C1603D">
        <w:t>.</w:t>
      </w:r>
    </w:p>
    <w:p w14:paraId="21C497A5" w14:textId="77777777" w:rsidR="00EF77DB" w:rsidRPr="00C1603D" w:rsidRDefault="00EF77DB" w:rsidP="00EF77DB">
      <w:pPr>
        <w:pStyle w:val="65ReferencesTextstylesTextstyles"/>
      </w:pPr>
      <w:r w:rsidRPr="00C1603D">
        <w:t>32.</w:t>
      </w:r>
      <w:r w:rsidRPr="00C1603D">
        <w:tab/>
        <w:t xml:space="preserve">Ludvigsson JF, Leffler DA, Bai JC, </w:t>
      </w:r>
      <w:proofErr w:type="spellStart"/>
      <w:r w:rsidRPr="00C1603D">
        <w:t>Biagi</w:t>
      </w:r>
      <w:proofErr w:type="spellEnd"/>
      <w:r w:rsidRPr="00C1603D">
        <w:t xml:space="preserve"> F, Fasano A, Green PH, </w:t>
      </w:r>
      <w:r w:rsidRPr="00C1603D">
        <w:rPr>
          <w:i/>
        </w:rPr>
        <w:t>et al</w:t>
      </w:r>
      <w:r w:rsidRPr="00C1603D">
        <w:t xml:space="preserve">. The Oslo definitions for coeliac disease and related terms. </w:t>
      </w:r>
      <w:r w:rsidRPr="00C1603D">
        <w:rPr>
          <w:i/>
        </w:rPr>
        <w:t>Gut</w:t>
      </w:r>
      <w:r w:rsidRPr="00C1603D">
        <w:t xml:space="preserve"> 2013;</w:t>
      </w:r>
      <w:r w:rsidRPr="00C1603D">
        <w:rPr>
          <w:b/>
        </w:rPr>
        <w:t>62</w:t>
      </w:r>
      <w:r w:rsidRPr="00C1603D">
        <w:t>:</w:t>
      </w:r>
      <w:r w:rsidRPr="00C1603D">
        <w:rPr>
          <w:color w:val="auto"/>
        </w:rPr>
        <w:t>43</w:t>
      </w:r>
      <w:r w:rsidRPr="00C1603D">
        <w:rPr>
          <w:color w:val="00B0F0"/>
        </w:rPr>
        <w:t>–</w:t>
      </w:r>
      <w:r w:rsidRPr="00C1603D">
        <w:rPr>
          <w:color w:val="auto"/>
        </w:rPr>
        <w:t>52</w:t>
      </w:r>
      <w:r w:rsidRPr="00C1603D">
        <w:t>. https://doi.org/10.1136/gutjnl-2011-301346</w:t>
      </w:r>
    </w:p>
    <w:p w14:paraId="0DFA5469" w14:textId="23E31DF8" w:rsidR="00EF77DB" w:rsidRPr="00C1603D" w:rsidRDefault="00EF77DB" w:rsidP="00EF77DB">
      <w:pPr>
        <w:pStyle w:val="65ReferencesTextstylesTextstyles"/>
      </w:pPr>
      <w:r w:rsidRPr="00C1603D">
        <w:t>33.</w:t>
      </w:r>
      <w:r w:rsidRPr="00C1603D">
        <w:tab/>
        <w:t xml:space="preserve">Singh P, Arora A, Strand TA, Leffler DA, </w:t>
      </w:r>
      <w:proofErr w:type="spellStart"/>
      <w:r w:rsidRPr="00C1603D">
        <w:t>Catassi</w:t>
      </w:r>
      <w:proofErr w:type="spellEnd"/>
      <w:r w:rsidRPr="00C1603D">
        <w:t xml:space="preserve"> C, Green PH, </w:t>
      </w:r>
      <w:r w:rsidRPr="00C1603D">
        <w:rPr>
          <w:i/>
        </w:rPr>
        <w:t>et al</w:t>
      </w:r>
      <w:r w:rsidRPr="00C1603D">
        <w:t xml:space="preserve">. Global </w:t>
      </w:r>
      <w:r w:rsidR="00CF0F0E" w:rsidRPr="00C1603D">
        <w:t>prevalence of celiac disease: systematic review and meta-a</w:t>
      </w:r>
      <w:r w:rsidRPr="00C1603D">
        <w:t xml:space="preserve">nalysis. </w:t>
      </w:r>
      <w:r w:rsidRPr="00C1603D">
        <w:rPr>
          <w:i/>
        </w:rPr>
        <w:t>Clin Gastroenterol Hepatol</w:t>
      </w:r>
      <w:r w:rsidRPr="00C1603D">
        <w:t xml:space="preserve"> 2018;</w:t>
      </w:r>
      <w:r w:rsidRPr="00C1603D">
        <w:rPr>
          <w:b/>
        </w:rPr>
        <w:t>16</w:t>
      </w:r>
      <w:r w:rsidRPr="00C1603D">
        <w:t>:</w:t>
      </w:r>
      <w:r w:rsidRPr="00C1603D">
        <w:rPr>
          <w:color w:val="auto"/>
        </w:rPr>
        <w:t>823</w:t>
      </w:r>
      <w:r w:rsidRPr="00C1603D">
        <w:rPr>
          <w:color w:val="00B0F0"/>
        </w:rPr>
        <w:t>–</w:t>
      </w:r>
      <w:r w:rsidRPr="00C1603D">
        <w:rPr>
          <w:color w:val="auto"/>
        </w:rPr>
        <w:t>36</w:t>
      </w:r>
      <w:r w:rsidRPr="00C1603D">
        <w:rPr>
          <w:color w:val="00B0F0"/>
        </w:rPr>
        <w:t>.</w:t>
      </w:r>
      <w:r w:rsidRPr="00C1603D">
        <w:rPr>
          <w:color w:val="auto"/>
        </w:rPr>
        <w:t>e2</w:t>
      </w:r>
      <w:r w:rsidRPr="00C1603D">
        <w:t>.</w:t>
      </w:r>
    </w:p>
    <w:p w14:paraId="5784EDDA" w14:textId="7D5AF87A" w:rsidR="00EF77DB" w:rsidRPr="00C1603D" w:rsidRDefault="3CDEEDA7" w:rsidP="00EF77DB">
      <w:pPr>
        <w:pStyle w:val="65ReferencesTextstylesTextstyles"/>
      </w:pPr>
      <w:r w:rsidRPr="00C1603D">
        <w:t>34.</w:t>
      </w:r>
      <w:r w:rsidR="00EF77DB" w:rsidRPr="00C1603D">
        <w:tab/>
      </w:r>
      <w:commentRangeStart w:id="478"/>
      <w:commentRangeStart w:id="479"/>
      <w:r w:rsidRPr="00C1603D">
        <w:t xml:space="preserve">R Core Team. </w:t>
      </w:r>
      <w:r w:rsidRPr="00C1603D">
        <w:rPr>
          <w:i/>
          <w:iCs/>
        </w:rPr>
        <w:t>R: A Language and Environment for Statistical Computing</w:t>
      </w:r>
      <w:r w:rsidRPr="00C1603D">
        <w:t xml:space="preserve">. </w:t>
      </w:r>
      <w:r w:rsidR="00794E82" w:rsidRPr="00C1603D">
        <w:t xml:space="preserve">Vienna: </w:t>
      </w:r>
      <w:r w:rsidRPr="00C1603D">
        <w:t>R Foundation for Statistical Computing</w:t>
      </w:r>
      <w:r w:rsidR="00794E82" w:rsidRPr="00C1603D">
        <w:t>;</w:t>
      </w:r>
      <w:r w:rsidRPr="00C1603D">
        <w:t xml:space="preserve"> 2020.</w:t>
      </w:r>
      <w:commentRangeEnd w:id="478"/>
      <w:r w:rsidR="00EF77DB" w:rsidRPr="00C1603D">
        <w:commentReference w:id="478"/>
      </w:r>
      <w:commentRangeEnd w:id="479"/>
      <w:r w:rsidR="00EF77DB" w:rsidRPr="00C1603D">
        <w:commentReference w:id="479"/>
      </w:r>
    </w:p>
    <w:p w14:paraId="21A59665" w14:textId="168200C7" w:rsidR="00EF77DB" w:rsidRPr="00C1603D" w:rsidRDefault="00EF77DB" w:rsidP="00EF77DB">
      <w:pPr>
        <w:pStyle w:val="65ReferencesTextstylesTextstyles"/>
      </w:pPr>
      <w:r w:rsidRPr="00C1603D">
        <w:t>35.</w:t>
      </w:r>
      <w:r w:rsidRPr="00C1603D">
        <w:tab/>
        <w:t xml:space="preserve">Bates D, </w:t>
      </w:r>
      <w:proofErr w:type="spellStart"/>
      <w:r w:rsidRPr="00C1603D">
        <w:t>Maechler</w:t>
      </w:r>
      <w:proofErr w:type="spellEnd"/>
      <w:r w:rsidRPr="00C1603D">
        <w:t xml:space="preserve"> M, </w:t>
      </w:r>
      <w:proofErr w:type="spellStart"/>
      <w:r w:rsidRPr="00C1603D">
        <w:t>Bolker</w:t>
      </w:r>
      <w:proofErr w:type="spellEnd"/>
      <w:r w:rsidRPr="00C1603D">
        <w:t xml:space="preserve"> B, Walker S. Fitting </w:t>
      </w:r>
      <w:r w:rsidR="00CF0F0E" w:rsidRPr="00C1603D">
        <w:t>linear mixed-effects models using lme4</w:t>
      </w:r>
      <w:r w:rsidRPr="00C1603D">
        <w:t xml:space="preserve">. </w:t>
      </w:r>
      <w:r w:rsidR="00CF0F0E" w:rsidRPr="00C1603D">
        <w:rPr>
          <w:i/>
        </w:rPr>
        <w:t>J</w:t>
      </w:r>
      <w:r w:rsidRPr="00C1603D">
        <w:t xml:space="preserve"> </w:t>
      </w:r>
      <w:r w:rsidRPr="00C1603D">
        <w:rPr>
          <w:i/>
        </w:rPr>
        <w:t>Stat</w:t>
      </w:r>
      <w:r w:rsidR="00CF0F0E" w:rsidRPr="00C1603D">
        <w:rPr>
          <w:i/>
        </w:rPr>
        <w:t xml:space="preserve"> </w:t>
      </w:r>
      <w:proofErr w:type="spellStart"/>
      <w:r w:rsidRPr="00C1603D">
        <w:rPr>
          <w:i/>
        </w:rPr>
        <w:t>Softw</w:t>
      </w:r>
      <w:proofErr w:type="spellEnd"/>
      <w:r w:rsidRPr="00C1603D">
        <w:t xml:space="preserve"> 2015;</w:t>
      </w:r>
      <w:r w:rsidRPr="00C1603D">
        <w:rPr>
          <w:b/>
        </w:rPr>
        <w:t>67</w:t>
      </w:r>
      <w:r w:rsidRPr="00C1603D">
        <w:t>:1</w:t>
      </w:r>
      <w:r w:rsidR="00CF0F0E" w:rsidRPr="00C1603D">
        <w:t>–</w:t>
      </w:r>
      <w:r w:rsidRPr="00C1603D">
        <w:t>48. https://doi.org/10.18637/jss.v067.i01</w:t>
      </w:r>
    </w:p>
    <w:p w14:paraId="68875E21" w14:textId="449A80A4" w:rsidR="00EF77DB" w:rsidRPr="00C1603D" w:rsidRDefault="00EF77DB" w:rsidP="00EF77DB">
      <w:pPr>
        <w:pStyle w:val="65ReferencesTextstylesTextstyles"/>
      </w:pPr>
      <w:r w:rsidRPr="00C1603D">
        <w:t>36.</w:t>
      </w:r>
      <w:r w:rsidRPr="00C1603D">
        <w:tab/>
        <w:t xml:space="preserve">Scherer R. </w:t>
      </w:r>
      <w:proofErr w:type="spellStart"/>
      <w:r w:rsidRPr="00C1603D">
        <w:rPr>
          <w:i/>
          <w:iCs/>
        </w:rPr>
        <w:t>PropCIs</w:t>
      </w:r>
      <w:proofErr w:type="spellEnd"/>
      <w:r w:rsidRPr="00C1603D">
        <w:rPr>
          <w:i/>
          <w:iCs/>
        </w:rPr>
        <w:t>: Various Confidence Interval Methods for Proportions</w:t>
      </w:r>
      <w:r w:rsidRPr="00C1603D">
        <w:t xml:space="preserve">. </w:t>
      </w:r>
      <w:r w:rsidRPr="00C1603D">
        <w:rPr>
          <w:i/>
        </w:rPr>
        <w:t>R</w:t>
      </w:r>
      <w:r w:rsidRPr="00C1603D">
        <w:t xml:space="preserve"> </w:t>
      </w:r>
      <w:r w:rsidR="00D66BB3" w:rsidRPr="00C1603D">
        <w:rPr>
          <w:i/>
        </w:rPr>
        <w:t>Package</w:t>
      </w:r>
      <w:r w:rsidR="00D66BB3" w:rsidRPr="00C1603D">
        <w:t xml:space="preserve"> </w:t>
      </w:r>
      <w:r w:rsidR="00D66BB3" w:rsidRPr="00C1603D">
        <w:rPr>
          <w:i/>
        </w:rPr>
        <w:t>Version</w:t>
      </w:r>
      <w:r w:rsidR="00D66BB3" w:rsidRPr="00C1603D">
        <w:t xml:space="preserve"> </w:t>
      </w:r>
      <w:r w:rsidRPr="00C1603D">
        <w:rPr>
          <w:i/>
        </w:rPr>
        <w:t>0</w:t>
      </w:r>
      <w:r w:rsidR="007E2901" w:rsidRPr="00C1603D">
        <w:rPr>
          <w:i/>
        </w:rPr>
        <w:t>.</w:t>
      </w:r>
      <w:r w:rsidRPr="00C1603D">
        <w:rPr>
          <w:i/>
        </w:rPr>
        <w:t>3</w:t>
      </w:r>
      <w:r w:rsidRPr="00C1603D">
        <w:t>-</w:t>
      </w:r>
      <w:r w:rsidRPr="00C1603D">
        <w:rPr>
          <w:i/>
        </w:rPr>
        <w:t>0</w:t>
      </w:r>
      <w:r w:rsidR="00D66BB3" w:rsidRPr="00C1603D">
        <w:rPr>
          <w:iCs/>
        </w:rPr>
        <w:t>.</w:t>
      </w:r>
      <w:r w:rsidRPr="00C1603D">
        <w:t xml:space="preserve"> 2018.</w:t>
      </w:r>
      <w:r w:rsidR="00D66BB3" w:rsidRPr="00C1603D">
        <w:t xml:space="preserve"> URL: https://CRAN.R-project.org/package=PropCIs (accessed 23 June 2022).</w:t>
      </w:r>
    </w:p>
    <w:p w14:paraId="2C331618" w14:textId="6CB839AE" w:rsidR="00EF77DB" w:rsidRPr="00C1603D" w:rsidRDefault="00EF77DB" w:rsidP="00EF77DB">
      <w:pPr>
        <w:pStyle w:val="65ReferencesTextstylesTextstyles"/>
      </w:pPr>
      <w:r w:rsidRPr="00C1603D">
        <w:t>37.</w:t>
      </w:r>
      <w:r w:rsidRPr="00C1603D">
        <w:tab/>
        <w:t xml:space="preserve">Gordon M, Lumley T. </w:t>
      </w:r>
      <w:r w:rsidRPr="00C1603D">
        <w:rPr>
          <w:i/>
          <w:iCs/>
        </w:rPr>
        <w:t>Advanced Forest Plot Using ‘grid’ Graphics</w:t>
      </w:r>
      <w:r w:rsidRPr="00C1603D">
        <w:t xml:space="preserve"> </w:t>
      </w:r>
      <w:r w:rsidR="002E75C8" w:rsidRPr="00C1603D">
        <w:t>[</w:t>
      </w:r>
      <w:r w:rsidRPr="00C1603D">
        <w:rPr>
          <w:i/>
        </w:rPr>
        <w:t>R</w:t>
      </w:r>
      <w:r w:rsidRPr="00C1603D">
        <w:t xml:space="preserve"> </w:t>
      </w:r>
      <w:r w:rsidR="00DB2E18" w:rsidRPr="00C1603D">
        <w:rPr>
          <w:i/>
        </w:rPr>
        <w:t>Package</w:t>
      </w:r>
      <w:r w:rsidR="00DB2E18" w:rsidRPr="00C1603D">
        <w:t xml:space="preserve"> </w:t>
      </w:r>
      <w:r w:rsidR="00DB2E18" w:rsidRPr="00C1603D">
        <w:rPr>
          <w:i/>
        </w:rPr>
        <w:t>Version</w:t>
      </w:r>
      <w:r w:rsidR="00DB2E18" w:rsidRPr="00C1603D">
        <w:t xml:space="preserve"> </w:t>
      </w:r>
      <w:r w:rsidRPr="00C1603D">
        <w:rPr>
          <w:i/>
        </w:rPr>
        <w:t>1</w:t>
      </w:r>
      <w:r w:rsidR="002E75C8" w:rsidRPr="00C1603D">
        <w:rPr>
          <w:i/>
        </w:rPr>
        <w:t>.</w:t>
      </w:r>
      <w:r w:rsidRPr="00C1603D">
        <w:rPr>
          <w:i/>
        </w:rPr>
        <w:t>10</w:t>
      </w:r>
      <w:r w:rsidR="002E75C8" w:rsidRPr="00C1603D">
        <w:rPr>
          <w:i/>
        </w:rPr>
        <w:t>.1]</w:t>
      </w:r>
      <w:r w:rsidR="002E75C8" w:rsidRPr="00C1603D">
        <w:rPr>
          <w:iCs/>
        </w:rPr>
        <w:t>.</w:t>
      </w:r>
      <w:r w:rsidRPr="00C1603D">
        <w:t xml:space="preserve"> 2020.</w:t>
      </w:r>
    </w:p>
    <w:p w14:paraId="3EE36518" w14:textId="6EEF71BC" w:rsidR="00EF77DB" w:rsidRPr="00C1603D" w:rsidRDefault="00EF77DB" w:rsidP="00EF77DB">
      <w:pPr>
        <w:pStyle w:val="65ReferencesTextstylesTextstyles"/>
      </w:pPr>
      <w:r w:rsidRPr="00C1603D">
        <w:t>38.</w:t>
      </w:r>
      <w:r w:rsidRPr="00C1603D">
        <w:tab/>
      </w:r>
      <w:proofErr w:type="spellStart"/>
      <w:r w:rsidRPr="00C1603D">
        <w:t>Gohel</w:t>
      </w:r>
      <w:proofErr w:type="spellEnd"/>
      <w:r w:rsidRPr="00C1603D">
        <w:t xml:space="preserve"> D. </w:t>
      </w:r>
      <w:proofErr w:type="spellStart"/>
      <w:r w:rsidR="00507006" w:rsidRPr="00C1603D">
        <w:rPr>
          <w:i/>
          <w:iCs/>
        </w:rPr>
        <w:t>f</w:t>
      </w:r>
      <w:r w:rsidR="00433567" w:rsidRPr="00C1603D">
        <w:rPr>
          <w:i/>
          <w:iCs/>
        </w:rPr>
        <w:t>lextable</w:t>
      </w:r>
      <w:proofErr w:type="spellEnd"/>
      <w:r w:rsidRPr="00C1603D">
        <w:rPr>
          <w:i/>
          <w:iCs/>
        </w:rPr>
        <w:t>: Functions for Tabular Reporting.</w:t>
      </w:r>
      <w:r w:rsidRPr="00C1603D">
        <w:t xml:space="preserve"> </w:t>
      </w:r>
      <w:r w:rsidRPr="00C1603D">
        <w:rPr>
          <w:i/>
        </w:rPr>
        <w:t>R</w:t>
      </w:r>
      <w:r w:rsidRPr="00C1603D">
        <w:t xml:space="preserve"> </w:t>
      </w:r>
      <w:r w:rsidR="00433567" w:rsidRPr="00C1603D">
        <w:rPr>
          <w:i/>
        </w:rPr>
        <w:t>Package</w:t>
      </w:r>
      <w:r w:rsidR="00433567" w:rsidRPr="00C1603D">
        <w:t xml:space="preserve"> </w:t>
      </w:r>
      <w:r w:rsidR="00433567" w:rsidRPr="00C1603D">
        <w:rPr>
          <w:i/>
        </w:rPr>
        <w:t>Version</w:t>
      </w:r>
      <w:r w:rsidR="00433567" w:rsidRPr="00C1603D">
        <w:t xml:space="preserve"> </w:t>
      </w:r>
      <w:r w:rsidRPr="00C1603D">
        <w:rPr>
          <w:i/>
        </w:rPr>
        <w:t>0</w:t>
      </w:r>
      <w:r w:rsidR="00325C8F" w:rsidRPr="00C1603D">
        <w:rPr>
          <w:i/>
        </w:rPr>
        <w:t>.</w:t>
      </w:r>
      <w:r w:rsidRPr="00C1603D">
        <w:rPr>
          <w:i/>
        </w:rPr>
        <w:t>5</w:t>
      </w:r>
      <w:r w:rsidR="00325C8F" w:rsidRPr="00C1603D">
        <w:rPr>
          <w:i/>
        </w:rPr>
        <w:t>.</w:t>
      </w:r>
      <w:r w:rsidRPr="00C1603D">
        <w:rPr>
          <w:i/>
        </w:rPr>
        <w:t>11</w:t>
      </w:r>
      <w:r w:rsidR="00433567" w:rsidRPr="00C1603D">
        <w:rPr>
          <w:i/>
        </w:rPr>
        <w:t>.</w:t>
      </w:r>
      <w:r w:rsidRPr="00C1603D">
        <w:t xml:space="preserve"> 2020.</w:t>
      </w:r>
    </w:p>
    <w:p w14:paraId="34AA2369" w14:textId="0D5C5AC8" w:rsidR="00EF77DB" w:rsidRPr="00C1603D" w:rsidRDefault="00EF77DB" w:rsidP="00EF77DB">
      <w:pPr>
        <w:pStyle w:val="65ReferencesTextstylesTextstyles"/>
      </w:pPr>
      <w:r w:rsidRPr="00C1603D">
        <w:t>39.</w:t>
      </w:r>
      <w:r w:rsidRPr="00C1603D">
        <w:tab/>
        <w:t xml:space="preserve">Wickham H. </w:t>
      </w:r>
      <w:r w:rsidRPr="00C1603D">
        <w:rPr>
          <w:i/>
          <w:iCs/>
        </w:rPr>
        <w:t>ggplot2: Elegant Graphics for Data Analysis</w:t>
      </w:r>
      <w:r w:rsidRPr="00C1603D">
        <w:t xml:space="preserve">. </w:t>
      </w:r>
      <w:r w:rsidR="00CF0F0E" w:rsidRPr="00C1603D">
        <w:rPr>
          <w:iCs/>
        </w:rPr>
        <w:t>New York, NY:</w:t>
      </w:r>
      <w:r w:rsidR="00CF0F0E" w:rsidRPr="00C1603D">
        <w:t xml:space="preserve"> </w:t>
      </w:r>
      <w:r w:rsidRPr="00C1603D">
        <w:rPr>
          <w:iCs/>
        </w:rPr>
        <w:t>Springer-Verlag</w:t>
      </w:r>
      <w:r w:rsidR="00CF0F0E" w:rsidRPr="00C1603D">
        <w:rPr>
          <w:iCs/>
        </w:rPr>
        <w:t>;</w:t>
      </w:r>
      <w:r w:rsidRPr="00C1603D">
        <w:rPr>
          <w:iCs/>
        </w:rPr>
        <w:t xml:space="preserve"> </w:t>
      </w:r>
      <w:r w:rsidRPr="00C1603D">
        <w:t>2016.</w:t>
      </w:r>
    </w:p>
    <w:p w14:paraId="7E1D36E0" w14:textId="11165C57" w:rsidR="00EF77DB" w:rsidRPr="00C1603D" w:rsidRDefault="00EF77DB" w:rsidP="00EF77DB">
      <w:pPr>
        <w:pStyle w:val="65ReferencesTextstylesTextstyles"/>
      </w:pPr>
      <w:r w:rsidRPr="00C1603D">
        <w:t>40.</w:t>
      </w:r>
      <w:r w:rsidRPr="00C1603D">
        <w:tab/>
      </w:r>
      <w:proofErr w:type="spellStart"/>
      <w:r w:rsidRPr="00C1603D">
        <w:t>Doebler</w:t>
      </w:r>
      <w:proofErr w:type="spellEnd"/>
      <w:r w:rsidRPr="00C1603D">
        <w:t xml:space="preserve"> P. </w:t>
      </w:r>
      <w:proofErr w:type="spellStart"/>
      <w:r w:rsidRPr="00C1603D">
        <w:rPr>
          <w:i/>
          <w:iCs/>
        </w:rPr>
        <w:t>mada</w:t>
      </w:r>
      <w:proofErr w:type="spellEnd"/>
      <w:r w:rsidRPr="00C1603D">
        <w:rPr>
          <w:i/>
          <w:iCs/>
        </w:rPr>
        <w:t>: Meta-</w:t>
      </w:r>
      <w:r w:rsidR="0042233E" w:rsidRPr="00C1603D">
        <w:rPr>
          <w:i/>
          <w:iCs/>
        </w:rPr>
        <w:t>a</w:t>
      </w:r>
      <w:r w:rsidRPr="00C1603D">
        <w:rPr>
          <w:i/>
          <w:iCs/>
        </w:rPr>
        <w:t>nalysis of Diagnostic Accuracy.</w:t>
      </w:r>
      <w:r w:rsidRPr="00C1603D">
        <w:t xml:space="preserve"> </w:t>
      </w:r>
      <w:r w:rsidRPr="00C1603D">
        <w:rPr>
          <w:i/>
        </w:rPr>
        <w:t>R</w:t>
      </w:r>
      <w:r w:rsidRPr="00C1603D">
        <w:t xml:space="preserve"> </w:t>
      </w:r>
      <w:r w:rsidR="0042233E" w:rsidRPr="00C1603D">
        <w:rPr>
          <w:i/>
        </w:rPr>
        <w:t>Package</w:t>
      </w:r>
      <w:r w:rsidR="0042233E" w:rsidRPr="00C1603D">
        <w:t xml:space="preserve"> </w:t>
      </w:r>
      <w:r w:rsidR="0042233E" w:rsidRPr="00C1603D">
        <w:rPr>
          <w:i/>
        </w:rPr>
        <w:t>Version</w:t>
      </w:r>
      <w:r w:rsidR="0042233E" w:rsidRPr="00C1603D">
        <w:t xml:space="preserve"> </w:t>
      </w:r>
      <w:r w:rsidRPr="00C1603D">
        <w:rPr>
          <w:i/>
        </w:rPr>
        <w:t>0</w:t>
      </w:r>
      <w:r w:rsidR="0042233E" w:rsidRPr="00C1603D">
        <w:rPr>
          <w:i/>
        </w:rPr>
        <w:t>.</w:t>
      </w:r>
      <w:r w:rsidRPr="00C1603D">
        <w:rPr>
          <w:i/>
        </w:rPr>
        <w:t>5</w:t>
      </w:r>
      <w:r w:rsidR="0042233E" w:rsidRPr="00C1603D">
        <w:rPr>
          <w:i/>
        </w:rPr>
        <w:t>.</w:t>
      </w:r>
      <w:r w:rsidRPr="00C1603D">
        <w:rPr>
          <w:i/>
        </w:rPr>
        <w:t>10</w:t>
      </w:r>
      <w:r w:rsidR="0042233E" w:rsidRPr="00C1603D">
        <w:rPr>
          <w:iCs/>
        </w:rPr>
        <w:t>.</w:t>
      </w:r>
      <w:r w:rsidRPr="00C1603D">
        <w:t xml:space="preserve"> 2020.</w:t>
      </w:r>
    </w:p>
    <w:p w14:paraId="41CF375F" w14:textId="6A1550A4" w:rsidR="00EF77DB" w:rsidRPr="00C1603D" w:rsidRDefault="00EF77DB" w:rsidP="00EF77DB">
      <w:pPr>
        <w:pStyle w:val="65ReferencesTextstylesTextstyles"/>
      </w:pPr>
      <w:r w:rsidRPr="00C1603D">
        <w:t>41.</w:t>
      </w:r>
      <w:r w:rsidRPr="00C1603D">
        <w:tab/>
        <w:t xml:space="preserve">Murdoch D, Chow ED. </w:t>
      </w:r>
      <w:r w:rsidRPr="00C1603D">
        <w:rPr>
          <w:i/>
          <w:iCs/>
        </w:rPr>
        <w:t>ellipse: Functions for Drawing Ellipses and Ellipse-</w:t>
      </w:r>
      <w:r w:rsidR="0042233E" w:rsidRPr="00C1603D">
        <w:rPr>
          <w:i/>
          <w:iCs/>
        </w:rPr>
        <w:t>l</w:t>
      </w:r>
      <w:r w:rsidRPr="00C1603D">
        <w:rPr>
          <w:i/>
          <w:iCs/>
        </w:rPr>
        <w:t xml:space="preserve">ike Confidence Regions. </w:t>
      </w:r>
      <w:r w:rsidRPr="00C1603D">
        <w:rPr>
          <w:i/>
        </w:rPr>
        <w:t>R</w:t>
      </w:r>
      <w:r w:rsidRPr="00C1603D">
        <w:t xml:space="preserve"> </w:t>
      </w:r>
      <w:r w:rsidR="0042233E" w:rsidRPr="00C1603D">
        <w:rPr>
          <w:i/>
        </w:rPr>
        <w:t>Package</w:t>
      </w:r>
      <w:r w:rsidR="0042233E" w:rsidRPr="00C1603D">
        <w:t xml:space="preserve"> </w:t>
      </w:r>
      <w:r w:rsidR="0042233E" w:rsidRPr="00C1603D">
        <w:rPr>
          <w:i/>
        </w:rPr>
        <w:t>Version</w:t>
      </w:r>
      <w:r w:rsidR="0042233E" w:rsidRPr="00C1603D">
        <w:t xml:space="preserve"> </w:t>
      </w:r>
      <w:r w:rsidRPr="00C1603D">
        <w:rPr>
          <w:i/>
        </w:rPr>
        <w:t>0</w:t>
      </w:r>
      <w:r w:rsidR="00CE3DD1" w:rsidRPr="00C1603D">
        <w:rPr>
          <w:i/>
        </w:rPr>
        <w:t>.</w:t>
      </w:r>
      <w:r w:rsidRPr="00C1603D">
        <w:rPr>
          <w:i/>
        </w:rPr>
        <w:t>4</w:t>
      </w:r>
      <w:r w:rsidR="00CE3DD1" w:rsidRPr="00C1603D">
        <w:rPr>
          <w:i/>
        </w:rPr>
        <w:t>.</w:t>
      </w:r>
      <w:r w:rsidRPr="00C1603D">
        <w:rPr>
          <w:i/>
        </w:rPr>
        <w:t>2</w:t>
      </w:r>
      <w:r w:rsidR="0042233E" w:rsidRPr="00C1603D">
        <w:rPr>
          <w:iCs/>
        </w:rPr>
        <w:t>.</w:t>
      </w:r>
      <w:r w:rsidRPr="00C1603D">
        <w:t xml:space="preserve"> 2020.</w:t>
      </w:r>
    </w:p>
    <w:p w14:paraId="458C0510" w14:textId="77777777" w:rsidR="00EF77DB" w:rsidRPr="00C1603D" w:rsidRDefault="00EF77DB" w:rsidP="00EF77DB">
      <w:pPr>
        <w:pStyle w:val="65ReferencesTextstylesTextstyles"/>
      </w:pPr>
      <w:r w:rsidRPr="00C1603D">
        <w:t>42.</w:t>
      </w:r>
      <w:r w:rsidRPr="00C1603D">
        <w:tab/>
        <w:t xml:space="preserve">Ludvigsson JF, Bai JC, </w:t>
      </w:r>
      <w:proofErr w:type="spellStart"/>
      <w:r w:rsidRPr="00C1603D">
        <w:t>Biagi</w:t>
      </w:r>
      <w:proofErr w:type="spellEnd"/>
      <w:r w:rsidRPr="00C1603D">
        <w:t xml:space="preserve"> F, Card TR, </w:t>
      </w:r>
      <w:proofErr w:type="spellStart"/>
      <w:r w:rsidRPr="00C1603D">
        <w:t>Ciacci</w:t>
      </w:r>
      <w:proofErr w:type="spellEnd"/>
      <w:r w:rsidRPr="00C1603D">
        <w:t xml:space="preserve"> C, </w:t>
      </w:r>
      <w:proofErr w:type="spellStart"/>
      <w:r w:rsidRPr="00C1603D">
        <w:t>Ciclitira</w:t>
      </w:r>
      <w:proofErr w:type="spellEnd"/>
      <w:r w:rsidRPr="00C1603D">
        <w:t xml:space="preserve"> PJ, </w:t>
      </w:r>
      <w:r w:rsidRPr="00C1603D">
        <w:rPr>
          <w:i/>
        </w:rPr>
        <w:t>et al</w:t>
      </w:r>
      <w:r w:rsidRPr="00C1603D">
        <w:t xml:space="preserve">. Diagnosis and management of adult coeliac disease: guidelines from the British Society of Gastroenterology. </w:t>
      </w:r>
      <w:r w:rsidRPr="00C1603D">
        <w:rPr>
          <w:i/>
        </w:rPr>
        <w:t>Gut</w:t>
      </w:r>
      <w:r w:rsidRPr="00C1603D">
        <w:t xml:space="preserve"> 2014;</w:t>
      </w:r>
      <w:r w:rsidRPr="00C1603D">
        <w:rPr>
          <w:b/>
        </w:rPr>
        <w:t>63</w:t>
      </w:r>
      <w:r w:rsidRPr="00C1603D">
        <w:t>:</w:t>
      </w:r>
      <w:r w:rsidRPr="00C1603D">
        <w:rPr>
          <w:color w:val="auto"/>
        </w:rPr>
        <w:t>1210</w:t>
      </w:r>
      <w:r w:rsidRPr="00C1603D">
        <w:rPr>
          <w:color w:val="00B0F0"/>
        </w:rPr>
        <w:t>–</w:t>
      </w:r>
      <w:r w:rsidRPr="00C1603D">
        <w:rPr>
          <w:color w:val="auto"/>
        </w:rPr>
        <w:t>28</w:t>
      </w:r>
      <w:r w:rsidRPr="00C1603D">
        <w:t>. https://doi.org/10.1136/gutjnl-2013-306578</w:t>
      </w:r>
    </w:p>
    <w:p w14:paraId="27AB1094" w14:textId="77777777" w:rsidR="00EF77DB" w:rsidRPr="00C1603D" w:rsidRDefault="00EF77DB" w:rsidP="00EF77DB">
      <w:pPr>
        <w:pStyle w:val="65ReferencesTextstylesTextstyles"/>
      </w:pPr>
      <w:r w:rsidRPr="00C1603D">
        <w:t>43.</w:t>
      </w:r>
      <w:r w:rsidRPr="00C1603D">
        <w:tab/>
        <w:t xml:space="preserve">Al-Toma A, Volta U, </w:t>
      </w:r>
      <w:proofErr w:type="spellStart"/>
      <w:r w:rsidRPr="00C1603D">
        <w:t>Auricchio</w:t>
      </w:r>
      <w:proofErr w:type="spellEnd"/>
      <w:r w:rsidRPr="00C1603D">
        <w:t xml:space="preserve"> R, </w:t>
      </w:r>
      <w:proofErr w:type="spellStart"/>
      <w:r w:rsidRPr="00C1603D">
        <w:t>Castillejo</w:t>
      </w:r>
      <w:proofErr w:type="spellEnd"/>
      <w:r w:rsidRPr="00C1603D">
        <w:t xml:space="preserve"> G, Sanders DS, </w:t>
      </w:r>
      <w:proofErr w:type="spellStart"/>
      <w:r w:rsidRPr="00C1603D">
        <w:t>Cellier</w:t>
      </w:r>
      <w:proofErr w:type="spellEnd"/>
      <w:r w:rsidRPr="00C1603D">
        <w:t xml:space="preserve"> C, </w:t>
      </w:r>
      <w:r w:rsidRPr="00C1603D">
        <w:rPr>
          <w:i/>
        </w:rPr>
        <w:t>et al</w:t>
      </w:r>
      <w:r w:rsidRPr="00C1603D">
        <w:t xml:space="preserve">. European Society for the Study of Coeliac Disease (ESsCD) guideline for coeliac disease and other gluten-related disorders. </w:t>
      </w:r>
      <w:r w:rsidRPr="00C1603D">
        <w:rPr>
          <w:i/>
        </w:rPr>
        <w:t>United European Gastroenterol J</w:t>
      </w:r>
      <w:r w:rsidRPr="00C1603D">
        <w:t xml:space="preserve"> 2019;</w:t>
      </w:r>
      <w:r w:rsidRPr="00C1603D">
        <w:rPr>
          <w:b/>
        </w:rPr>
        <w:t>7</w:t>
      </w:r>
      <w:r w:rsidRPr="00C1603D">
        <w:t>:</w:t>
      </w:r>
      <w:r w:rsidRPr="00C1603D">
        <w:rPr>
          <w:color w:val="auto"/>
        </w:rPr>
        <w:t>583</w:t>
      </w:r>
      <w:r w:rsidRPr="00C1603D">
        <w:rPr>
          <w:color w:val="00B0F0"/>
        </w:rPr>
        <w:t>–</w:t>
      </w:r>
      <w:r w:rsidRPr="00C1603D">
        <w:rPr>
          <w:color w:val="auto"/>
        </w:rPr>
        <w:t>613</w:t>
      </w:r>
      <w:r w:rsidRPr="00C1603D">
        <w:t xml:space="preserve">. </w:t>
      </w:r>
      <w:r w:rsidRPr="00C1603D">
        <w:lastRenderedPageBreak/>
        <w:t>https://doi.org/10.1177/2050640619844125</w:t>
      </w:r>
    </w:p>
    <w:p w14:paraId="68A7C878" w14:textId="5F4CCBC4" w:rsidR="00EF77DB" w:rsidRPr="00C1603D" w:rsidRDefault="3CDEEDA7" w:rsidP="00EF77DB">
      <w:pPr>
        <w:pStyle w:val="65ReferencesTextstylesTextstyles"/>
      </w:pPr>
      <w:r w:rsidRPr="00C1603D">
        <w:t>44.</w:t>
      </w:r>
      <w:r w:rsidR="00EF77DB" w:rsidRPr="00C1603D">
        <w:tab/>
      </w:r>
      <w:commentRangeStart w:id="480"/>
      <w:commentRangeStart w:id="481"/>
      <w:r w:rsidRPr="00C1603D">
        <w:t xml:space="preserve">National Institute for Health and Care Excellence (NICE). </w:t>
      </w:r>
      <w:r w:rsidRPr="00C1603D">
        <w:rPr>
          <w:i/>
          <w:iCs/>
        </w:rPr>
        <w:t>2019 Surveillance of Coeliac Disease: Recognition, Assessment and Management (NICE guideline NG20)</w:t>
      </w:r>
      <w:r w:rsidRPr="00C1603D">
        <w:t>. URL: www.nice.org.uk/guidance/ng20/resources/2019-surveillance-of-coeliac-disease-recognition-assessment-and-management-nice-guideline-ng20-pdf-9097196600005 (</w:t>
      </w:r>
      <w:proofErr w:type="spellStart"/>
      <w:r w:rsidRPr="00C1603D">
        <w:t>acessed</w:t>
      </w:r>
      <w:proofErr w:type="spellEnd"/>
      <w:r w:rsidRPr="00C1603D">
        <w:t xml:space="preserve"> 19 January 2021.</w:t>
      </w:r>
      <w:commentRangeEnd w:id="480"/>
      <w:r w:rsidR="00EF77DB" w:rsidRPr="00C1603D">
        <w:commentReference w:id="480"/>
      </w:r>
      <w:commentRangeEnd w:id="481"/>
      <w:r w:rsidR="00EF77DB" w:rsidRPr="00C1603D">
        <w:commentReference w:id="481"/>
      </w:r>
    </w:p>
    <w:p w14:paraId="07C2811C" w14:textId="1B24531B" w:rsidR="00EF77DB" w:rsidRPr="00C1603D" w:rsidRDefault="3CDEEDA7" w:rsidP="00EF77DB">
      <w:pPr>
        <w:pStyle w:val="65ReferencesTextstylesTextstyles"/>
      </w:pPr>
      <w:r w:rsidRPr="00C1603D">
        <w:t>45.</w:t>
      </w:r>
      <w:r w:rsidR="00EF77DB" w:rsidRPr="00C1603D">
        <w:tab/>
      </w:r>
      <w:commentRangeStart w:id="482"/>
      <w:commentRangeStart w:id="483"/>
      <w:r w:rsidRPr="00C1603D">
        <w:t xml:space="preserve">Elwenspoek MMC, Jones HE, Thom H, Watson JC, Hay AD, Everitt H, </w:t>
      </w:r>
      <w:r w:rsidRPr="00C1603D">
        <w:rPr>
          <w:i/>
          <w:iCs/>
        </w:rPr>
        <w:t>et</w:t>
      </w:r>
      <w:r w:rsidRPr="00C1603D">
        <w:t xml:space="preserve"> </w:t>
      </w:r>
      <w:r w:rsidRPr="00C1603D">
        <w:rPr>
          <w:i/>
          <w:iCs/>
        </w:rPr>
        <w:t>al</w:t>
      </w:r>
      <w:r w:rsidRPr="00C1603D">
        <w:t xml:space="preserve">. </w:t>
      </w:r>
      <w:r w:rsidRPr="00C1603D">
        <w:rPr>
          <w:i/>
          <w:iCs/>
        </w:rPr>
        <w:t>Prediction Model for Coeliac Disease Diagnosis: Statistical Analysis Plan (SAP)</w:t>
      </w:r>
      <w:r w:rsidRPr="00C1603D">
        <w:t>. URL: https://osf.io/egfr5/#! (accessed 25 May 2022).</w:t>
      </w:r>
      <w:commentRangeEnd w:id="482"/>
      <w:r w:rsidR="00EF77DB" w:rsidRPr="00C1603D">
        <w:commentReference w:id="482"/>
      </w:r>
      <w:commentRangeEnd w:id="483"/>
      <w:r w:rsidR="00EF77DB" w:rsidRPr="00C1603D">
        <w:commentReference w:id="483"/>
      </w:r>
    </w:p>
    <w:p w14:paraId="4BDFB6A9" w14:textId="0B2C5428" w:rsidR="00EF77DB" w:rsidRPr="00C1603D" w:rsidRDefault="3CDEEDA7" w:rsidP="00EF77DB">
      <w:pPr>
        <w:pStyle w:val="65ReferencesTextstylesTextstyles"/>
      </w:pPr>
      <w:r w:rsidRPr="00C1603D">
        <w:t>46.</w:t>
      </w:r>
      <w:r w:rsidR="00EF77DB" w:rsidRPr="00C1603D">
        <w:tab/>
      </w:r>
      <w:commentRangeStart w:id="484"/>
      <w:commentRangeStart w:id="485"/>
      <w:proofErr w:type="spellStart"/>
      <w:r w:rsidRPr="00C1603D">
        <w:t>Steyerberg</w:t>
      </w:r>
      <w:proofErr w:type="spellEnd"/>
      <w:r w:rsidRPr="00C1603D">
        <w:t xml:space="preserve"> EW. </w:t>
      </w:r>
      <w:r w:rsidRPr="00C1603D">
        <w:rPr>
          <w:i/>
          <w:iCs/>
        </w:rPr>
        <w:t>Clinical Prediction Models. A Practical Approach to Development, Validation, and Updating</w:t>
      </w:r>
      <w:r w:rsidRPr="00C1603D">
        <w:t xml:space="preserve">. 2nd </w:t>
      </w:r>
      <w:proofErr w:type="spellStart"/>
      <w:r w:rsidRPr="00C1603D">
        <w:t>edn</w:t>
      </w:r>
      <w:proofErr w:type="spellEnd"/>
      <w:r w:rsidRPr="00C1603D">
        <w:t>. Cham: Springer Nature Switzerland; 2019.</w:t>
      </w:r>
      <w:commentRangeEnd w:id="484"/>
      <w:r w:rsidR="00EF77DB" w:rsidRPr="00C1603D">
        <w:commentReference w:id="484"/>
      </w:r>
      <w:commentRangeEnd w:id="485"/>
      <w:r w:rsidR="00EF77DB" w:rsidRPr="00C1603D">
        <w:commentReference w:id="485"/>
      </w:r>
    </w:p>
    <w:p w14:paraId="606F40AB" w14:textId="0BD59FAF" w:rsidR="00EF77DB" w:rsidRPr="00C1603D" w:rsidRDefault="00EF77DB" w:rsidP="00EF77DB">
      <w:pPr>
        <w:pStyle w:val="65ReferencesTextstylesTextstyles"/>
      </w:pPr>
      <w:r w:rsidRPr="00C1603D">
        <w:t>47.</w:t>
      </w:r>
      <w:r w:rsidRPr="00C1603D">
        <w:tab/>
        <w:t xml:space="preserve">Collins GS, </w:t>
      </w:r>
      <w:proofErr w:type="spellStart"/>
      <w:r w:rsidRPr="00C1603D">
        <w:t>Reitsma</w:t>
      </w:r>
      <w:proofErr w:type="spellEnd"/>
      <w:r w:rsidRPr="00C1603D">
        <w:t xml:space="preserve"> JB, Altman DG, Moons KG. Transparent Reporting of a multivariable prediction model for Individual Prognosis Or Diagnosis (TRIPOD). </w:t>
      </w:r>
      <w:r w:rsidRPr="00C1603D">
        <w:rPr>
          <w:i/>
        </w:rPr>
        <w:t>Ann</w:t>
      </w:r>
      <w:r w:rsidRPr="00C1603D">
        <w:t xml:space="preserve"> </w:t>
      </w:r>
      <w:r w:rsidRPr="00C1603D">
        <w:rPr>
          <w:i/>
        </w:rPr>
        <w:t>Intern</w:t>
      </w:r>
      <w:r w:rsidRPr="00C1603D">
        <w:t xml:space="preserve"> </w:t>
      </w:r>
      <w:r w:rsidRPr="00C1603D">
        <w:rPr>
          <w:i/>
        </w:rPr>
        <w:t>Med</w:t>
      </w:r>
      <w:r w:rsidRPr="00C1603D">
        <w:t xml:space="preserve"> 2015;</w:t>
      </w:r>
      <w:r w:rsidRPr="00C1603D">
        <w:rPr>
          <w:b/>
        </w:rPr>
        <w:t>162</w:t>
      </w:r>
      <w:r w:rsidRPr="00C1603D">
        <w:t>:735</w:t>
      </w:r>
      <w:r w:rsidR="00CF0F0E" w:rsidRPr="00C1603D">
        <w:t>–</w:t>
      </w:r>
      <w:r w:rsidRPr="00C1603D">
        <w:t>6.</w:t>
      </w:r>
    </w:p>
    <w:p w14:paraId="2710C0B5" w14:textId="77777777" w:rsidR="00EF77DB" w:rsidRPr="00C1603D" w:rsidRDefault="00EF77DB" w:rsidP="00EF77DB">
      <w:pPr>
        <w:pStyle w:val="65ReferencesTextstylesTextstyles"/>
      </w:pPr>
      <w:r w:rsidRPr="00C1603D">
        <w:t>48.</w:t>
      </w:r>
      <w:r w:rsidRPr="00C1603D">
        <w:tab/>
      </w:r>
      <w:proofErr w:type="spellStart"/>
      <w:r w:rsidRPr="00C1603D">
        <w:t>Herrett</w:t>
      </w:r>
      <w:proofErr w:type="spellEnd"/>
      <w:r w:rsidRPr="00C1603D">
        <w:t xml:space="preserve"> E, Gallagher AM, </w:t>
      </w:r>
      <w:proofErr w:type="spellStart"/>
      <w:r w:rsidRPr="00C1603D">
        <w:t>Bhaskaran</w:t>
      </w:r>
      <w:proofErr w:type="spellEnd"/>
      <w:r w:rsidRPr="00C1603D">
        <w:t xml:space="preserve"> K, Forbes H, Mathur R, van </w:t>
      </w:r>
      <w:proofErr w:type="spellStart"/>
      <w:r w:rsidRPr="00C1603D">
        <w:t>Staa</w:t>
      </w:r>
      <w:proofErr w:type="spellEnd"/>
      <w:r w:rsidRPr="00C1603D">
        <w:t xml:space="preserve"> T, Smeeth L. Data Resource Profile: Clinical Practice Research Datalink (CPRD). </w:t>
      </w:r>
      <w:r w:rsidRPr="00C1603D">
        <w:rPr>
          <w:i/>
        </w:rPr>
        <w:t xml:space="preserve">Int J </w:t>
      </w:r>
      <w:proofErr w:type="spellStart"/>
      <w:r w:rsidRPr="00C1603D">
        <w:rPr>
          <w:i/>
        </w:rPr>
        <w:t>Epidemiol</w:t>
      </w:r>
      <w:proofErr w:type="spellEnd"/>
      <w:r w:rsidRPr="00C1603D">
        <w:t xml:space="preserve"> 2015;</w:t>
      </w:r>
      <w:r w:rsidRPr="00C1603D">
        <w:rPr>
          <w:b/>
        </w:rPr>
        <w:t>44</w:t>
      </w:r>
      <w:r w:rsidRPr="00C1603D">
        <w:t>:</w:t>
      </w:r>
      <w:r w:rsidRPr="00C1603D">
        <w:rPr>
          <w:color w:val="auto"/>
        </w:rPr>
        <w:t>827</w:t>
      </w:r>
      <w:r w:rsidRPr="00C1603D">
        <w:rPr>
          <w:color w:val="00B0F0"/>
        </w:rPr>
        <w:t>–</w:t>
      </w:r>
      <w:r w:rsidRPr="00C1603D">
        <w:rPr>
          <w:color w:val="auto"/>
        </w:rPr>
        <w:t>36</w:t>
      </w:r>
      <w:r w:rsidRPr="00C1603D">
        <w:t>. https://doi.org/10.1093/ije/dyv098</w:t>
      </w:r>
    </w:p>
    <w:p w14:paraId="48BD9866" w14:textId="68029034" w:rsidR="00EF77DB" w:rsidRPr="00C1603D" w:rsidRDefault="3CDEEDA7" w:rsidP="00EF77DB">
      <w:pPr>
        <w:pStyle w:val="65ReferencesTextstylesTextstyles"/>
      </w:pPr>
      <w:r w:rsidRPr="00C1603D">
        <w:t>49.</w:t>
      </w:r>
      <w:r w:rsidR="00EF77DB" w:rsidRPr="00C1603D">
        <w:tab/>
      </w:r>
      <w:commentRangeStart w:id="486"/>
      <w:commentRangeStart w:id="487"/>
      <w:r w:rsidRPr="00C1603D">
        <w:t xml:space="preserve">Clinical Practice Research Datalink. </w:t>
      </w:r>
      <w:r w:rsidRPr="00C1603D">
        <w:rPr>
          <w:i/>
          <w:iCs/>
        </w:rPr>
        <w:t>CPRD GOLD June 2021 (Version 2021.06.001)</w:t>
      </w:r>
      <w:r w:rsidRPr="00C1603D">
        <w:t>. Clinical Practice Research Datalink; 2021. https://doi.org/10.48329/7308-xf35</w:t>
      </w:r>
      <w:commentRangeEnd w:id="486"/>
      <w:r w:rsidR="00EF77DB" w:rsidRPr="00C1603D">
        <w:commentReference w:id="486"/>
      </w:r>
      <w:commentRangeEnd w:id="487"/>
      <w:r w:rsidR="00EF77DB" w:rsidRPr="00C1603D">
        <w:commentReference w:id="487"/>
      </w:r>
    </w:p>
    <w:p w14:paraId="2C8C672F" w14:textId="77777777" w:rsidR="00EF77DB" w:rsidRPr="00C1603D" w:rsidRDefault="00EF77DB" w:rsidP="00EF77DB">
      <w:pPr>
        <w:pStyle w:val="65ReferencesTextstylesTextstyles"/>
      </w:pPr>
      <w:r w:rsidRPr="00C1603D">
        <w:t>50.</w:t>
      </w:r>
      <w:r w:rsidRPr="00C1603D">
        <w:tab/>
        <w:t xml:space="preserve">Abdul Sultan A, Crooks CJ, Card T, Tata LJ, Fleming KM, West J. Causes of death in people with coeliac disease in England compared with the general population: a competing risk analysis. </w:t>
      </w:r>
      <w:r w:rsidRPr="00C1603D">
        <w:rPr>
          <w:i/>
        </w:rPr>
        <w:t>Gut</w:t>
      </w:r>
      <w:r w:rsidRPr="00C1603D">
        <w:t xml:space="preserve"> 2015;</w:t>
      </w:r>
      <w:r w:rsidRPr="00C1603D">
        <w:rPr>
          <w:b/>
        </w:rPr>
        <w:t>64</w:t>
      </w:r>
      <w:r w:rsidRPr="00C1603D">
        <w:t>:</w:t>
      </w:r>
      <w:r w:rsidRPr="00C1603D">
        <w:rPr>
          <w:color w:val="auto"/>
        </w:rPr>
        <w:t>1220</w:t>
      </w:r>
      <w:r w:rsidRPr="00C1603D">
        <w:rPr>
          <w:color w:val="00B0F0"/>
        </w:rPr>
        <w:t>–</w:t>
      </w:r>
      <w:r w:rsidRPr="00C1603D">
        <w:rPr>
          <w:color w:val="auto"/>
        </w:rPr>
        <w:t>6</w:t>
      </w:r>
      <w:r w:rsidRPr="00C1603D">
        <w:t>. https://doi.org/10.1136/gutjnl-2014-308285</w:t>
      </w:r>
    </w:p>
    <w:p w14:paraId="215F3FA8" w14:textId="5026F53D" w:rsidR="00EF77DB" w:rsidRPr="00C1603D" w:rsidRDefault="00EF77DB" w:rsidP="00EF77DB">
      <w:pPr>
        <w:pStyle w:val="65ReferencesTextstylesTextstyles"/>
      </w:pPr>
      <w:r w:rsidRPr="00C1603D">
        <w:t>51.</w:t>
      </w:r>
      <w:r w:rsidRPr="00C1603D">
        <w:tab/>
        <w:t xml:space="preserve">Violato M, Gray A, </w:t>
      </w:r>
      <w:proofErr w:type="spellStart"/>
      <w:r w:rsidRPr="00C1603D">
        <w:t>Papanicolas</w:t>
      </w:r>
      <w:proofErr w:type="spellEnd"/>
      <w:r w:rsidRPr="00C1603D">
        <w:t xml:space="preserve"> I, Ouellet M. Resource use and costs associated with coeliac disease before and after diagnosis in 3,646 cases: results of a UK primary care database analysis. </w:t>
      </w:r>
      <w:r w:rsidRPr="00C1603D">
        <w:rPr>
          <w:i/>
        </w:rPr>
        <w:t xml:space="preserve">PLOS </w:t>
      </w:r>
      <w:r w:rsidR="00BA577B" w:rsidRPr="00C1603D">
        <w:rPr>
          <w:i/>
        </w:rPr>
        <w:t>ONE</w:t>
      </w:r>
      <w:r w:rsidR="00BA577B" w:rsidRPr="00C1603D">
        <w:t xml:space="preserve"> </w:t>
      </w:r>
      <w:r w:rsidRPr="00C1603D">
        <w:t>2012;</w:t>
      </w:r>
      <w:r w:rsidRPr="00C1603D">
        <w:rPr>
          <w:b/>
        </w:rPr>
        <w:t>7</w:t>
      </w:r>
      <w:r w:rsidRPr="00C1603D">
        <w:t>:</w:t>
      </w:r>
      <w:r w:rsidRPr="00C1603D">
        <w:rPr>
          <w:color w:val="auto"/>
        </w:rPr>
        <w:t>e41308</w:t>
      </w:r>
      <w:r w:rsidRPr="00C1603D">
        <w:t>. https://doi.org/10.1371/journal.pone.0041308</w:t>
      </w:r>
    </w:p>
    <w:p w14:paraId="5E19D1BE" w14:textId="089604DF" w:rsidR="00EF77DB" w:rsidRPr="00C1603D" w:rsidRDefault="00EF77DB" w:rsidP="00EF77DB">
      <w:pPr>
        <w:pStyle w:val="65ReferencesTextstylesTextstyles"/>
      </w:pPr>
      <w:r w:rsidRPr="00C1603D">
        <w:t>52.</w:t>
      </w:r>
      <w:r w:rsidRPr="00C1603D">
        <w:tab/>
        <w:t xml:space="preserve">Riley RD, Snell KIE, Ensor J, Burke DL, Harrell FE, Moons KGM, </w:t>
      </w:r>
      <w:r w:rsidRPr="00C1603D">
        <w:rPr>
          <w:i/>
        </w:rPr>
        <w:t>et</w:t>
      </w:r>
      <w:r w:rsidRPr="00C1603D">
        <w:t xml:space="preserve"> </w:t>
      </w:r>
      <w:r w:rsidRPr="00C1603D">
        <w:rPr>
          <w:i/>
        </w:rPr>
        <w:t>al</w:t>
      </w:r>
      <w:r w:rsidRPr="00C1603D">
        <w:t xml:space="preserve">. Minimum sample size for developing a multivariable prediction model: PART II </w:t>
      </w:r>
      <w:r w:rsidR="00CF0F0E" w:rsidRPr="00C1603D">
        <w:t xml:space="preserve">– </w:t>
      </w:r>
      <w:r w:rsidRPr="00C1603D">
        <w:t>binary and tim</w:t>
      </w:r>
      <w:r w:rsidR="00CF0F0E" w:rsidRPr="00C1603D">
        <w:t>e-to-</w:t>
      </w:r>
      <w:r w:rsidRPr="00C1603D">
        <w:t xml:space="preserve">event outcomes. </w:t>
      </w:r>
      <w:r w:rsidR="00CF0F0E" w:rsidRPr="00C1603D">
        <w:rPr>
          <w:i/>
        </w:rPr>
        <w:t>Stat Med</w:t>
      </w:r>
      <w:r w:rsidRPr="00C1603D">
        <w:t xml:space="preserve"> 2019;</w:t>
      </w:r>
      <w:r w:rsidRPr="00C1603D">
        <w:rPr>
          <w:b/>
        </w:rPr>
        <w:t>38</w:t>
      </w:r>
      <w:r w:rsidRPr="00C1603D">
        <w:t>:1276</w:t>
      </w:r>
      <w:r w:rsidR="00CF0F0E" w:rsidRPr="00C1603D">
        <w:t>–</w:t>
      </w:r>
      <w:r w:rsidRPr="00C1603D">
        <w:t>96.</w:t>
      </w:r>
    </w:p>
    <w:p w14:paraId="1F904B54" w14:textId="49A1E12E" w:rsidR="00EF77DB" w:rsidRPr="00C1603D" w:rsidRDefault="3CDEEDA7" w:rsidP="00EF77DB">
      <w:pPr>
        <w:pStyle w:val="65ReferencesTextstylesTextstyles"/>
      </w:pPr>
      <w:r w:rsidRPr="00C1603D">
        <w:t>53.</w:t>
      </w:r>
      <w:r w:rsidR="00EF77DB" w:rsidRPr="00C1603D">
        <w:tab/>
      </w:r>
      <w:commentRangeStart w:id="488"/>
      <w:commentRangeStart w:id="489"/>
      <w:r w:rsidRPr="00C1603D">
        <w:t xml:space="preserve">World Organization of Family Doctors’ International Classification Committee. </w:t>
      </w:r>
      <w:r w:rsidRPr="00C1603D">
        <w:rPr>
          <w:i/>
          <w:iCs/>
        </w:rPr>
        <w:t>International Classification of Primary Care (ICPC-2)</w:t>
      </w:r>
      <w:r w:rsidRPr="00C1603D">
        <w:t xml:space="preserve">. 2nd </w:t>
      </w:r>
      <w:proofErr w:type="spellStart"/>
      <w:r w:rsidRPr="00C1603D">
        <w:t>edn</w:t>
      </w:r>
      <w:proofErr w:type="spellEnd"/>
      <w:r w:rsidRPr="00C1603D">
        <w:t>. Oxford: Oxford University Press; 2015.</w:t>
      </w:r>
      <w:commentRangeEnd w:id="488"/>
      <w:r w:rsidR="00EF77DB" w:rsidRPr="00C1603D">
        <w:commentReference w:id="488"/>
      </w:r>
      <w:commentRangeEnd w:id="489"/>
      <w:r w:rsidR="00EF77DB" w:rsidRPr="00C1603D">
        <w:commentReference w:id="489"/>
      </w:r>
    </w:p>
    <w:p w14:paraId="7DA69F2B" w14:textId="77777777" w:rsidR="00EF77DB" w:rsidRPr="00C1603D" w:rsidRDefault="00EF77DB" w:rsidP="00EF77DB">
      <w:pPr>
        <w:pStyle w:val="65ReferencesTextstylesTextstyles"/>
      </w:pPr>
      <w:r w:rsidRPr="00C1603D">
        <w:t>54.</w:t>
      </w:r>
      <w:r w:rsidRPr="00C1603D">
        <w:tab/>
        <w:t xml:space="preserve">Holmes GKT, </w:t>
      </w:r>
      <w:proofErr w:type="spellStart"/>
      <w:r w:rsidRPr="00C1603D">
        <w:t>Muirhead</w:t>
      </w:r>
      <w:proofErr w:type="spellEnd"/>
      <w:r w:rsidRPr="00C1603D">
        <w:t xml:space="preserve"> A. Epidemiology of coeliac disease in a single centre in Southern Derbyshire 1958-2014. </w:t>
      </w:r>
      <w:r w:rsidRPr="00C1603D">
        <w:rPr>
          <w:i/>
        </w:rPr>
        <w:t>BMJ Open Gastroenterol</w:t>
      </w:r>
      <w:r w:rsidRPr="00C1603D">
        <w:t xml:space="preserve"> 2017;</w:t>
      </w:r>
      <w:r w:rsidRPr="00C1603D">
        <w:rPr>
          <w:b/>
        </w:rPr>
        <w:t>4</w:t>
      </w:r>
      <w:r w:rsidRPr="00C1603D">
        <w:t>:</w:t>
      </w:r>
      <w:r w:rsidRPr="00C1603D">
        <w:rPr>
          <w:color w:val="auto"/>
        </w:rPr>
        <w:t>e000137</w:t>
      </w:r>
      <w:r w:rsidRPr="00C1603D">
        <w:t>. https://doi.org/10.1136/bmjgast-2017-000137</w:t>
      </w:r>
    </w:p>
    <w:p w14:paraId="7C3523A9" w14:textId="0C6232C8" w:rsidR="00EF77DB" w:rsidRPr="00C1603D" w:rsidRDefault="00EF77DB" w:rsidP="00EF77DB">
      <w:pPr>
        <w:pStyle w:val="65ReferencesTextstylesTextstyles"/>
      </w:pPr>
      <w:r w:rsidRPr="00C1603D">
        <w:t>55.</w:t>
      </w:r>
      <w:r w:rsidRPr="00C1603D">
        <w:tab/>
      </w:r>
      <w:proofErr w:type="spellStart"/>
      <w:r w:rsidRPr="00C1603D">
        <w:t>Biesheuvel</w:t>
      </w:r>
      <w:proofErr w:type="spellEnd"/>
      <w:r w:rsidRPr="00C1603D">
        <w:t xml:space="preserve"> CJ, </w:t>
      </w:r>
      <w:proofErr w:type="spellStart"/>
      <w:r w:rsidRPr="00C1603D">
        <w:t>Vergouwe</w:t>
      </w:r>
      <w:proofErr w:type="spellEnd"/>
      <w:r w:rsidRPr="00C1603D">
        <w:t xml:space="preserve"> Y, </w:t>
      </w:r>
      <w:proofErr w:type="spellStart"/>
      <w:r w:rsidRPr="00C1603D">
        <w:t>Oudega</w:t>
      </w:r>
      <w:proofErr w:type="spellEnd"/>
      <w:r w:rsidRPr="00C1603D">
        <w:t xml:space="preserve"> R, Hoes AW, </w:t>
      </w:r>
      <w:proofErr w:type="spellStart"/>
      <w:r w:rsidRPr="00C1603D">
        <w:t>Grobbee</w:t>
      </w:r>
      <w:proofErr w:type="spellEnd"/>
      <w:r w:rsidRPr="00C1603D">
        <w:t xml:space="preserve"> DE, Moons KG. Advantages of the nested case</w:t>
      </w:r>
      <w:r w:rsidR="00CF0F0E" w:rsidRPr="00C1603D">
        <w:t>–</w:t>
      </w:r>
      <w:r w:rsidRPr="00C1603D">
        <w:t xml:space="preserve">control design in diagnostic research. </w:t>
      </w:r>
      <w:r w:rsidRPr="00C1603D">
        <w:rPr>
          <w:i/>
        </w:rPr>
        <w:t xml:space="preserve">BMC Med Res </w:t>
      </w:r>
      <w:proofErr w:type="spellStart"/>
      <w:r w:rsidRPr="00C1603D">
        <w:rPr>
          <w:i/>
        </w:rPr>
        <w:t>Methodol</w:t>
      </w:r>
      <w:proofErr w:type="spellEnd"/>
      <w:r w:rsidRPr="00C1603D">
        <w:t xml:space="preserve"> 2008;</w:t>
      </w:r>
      <w:r w:rsidRPr="00C1603D">
        <w:rPr>
          <w:b/>
        </w:rPr>
        <w:t>8</w:t>
      </w:r>
      <w:r w:rsidRPr="00C1603D">
        <w:t>:</w:t>
      </w:r>
      <w:r w:rsidRPr="00C1603D">
        <w:rPr>
          <w:color w:val="auto"/>
        </w:rPr>
        <w:t>48</w:t>
      </w:r>
      <w:r w:rsidRPr="00C1603D">
        <w:t>. https://doi.org/10.1186/1471-2288-8-48</w:t>
      </w:r>
    </w:p>
    <w:p w14:paraId="1DA61218" w14:textId="77777777" w:rsidR="00EF77DB" w:rsidRPr="00C1603D" w:rsidRDefault="00EF77DB" w:rsidP="00EF77DB">
      <w:pPr>
        <w:pStyle w:val="65ReferencesTextstylesTextstyles"/>
      </w:pPr>
      <w:r w:rsidRPr="00C1603D">
        <w:t>56.</w:t>
      </w:r>
      <w:r w:rsidRPr="00C1603D">
        <w:tab/>
        <w:t xml:space="preserve">Moons KG. Criteria for scientific evaluation of novel markers: a perspective. </w:t>
      </w:r>
      <w:r w:rsidRPr="00C1603D">
        <w:rPr>
          <w:i/>
        </w:rPr>
        <w:t>Clin Chem</w:t>
      </w:r>
      <w:r w:rsidRPr="00C1603D">
        <w:t xml:space="preserve"> 2010;</w:t>
      </w:r>
      <w:r w:rsidRPr="00C1603D">
        <w:rPr>
          <w:b/>
        </w:rPr>
        <w:t>56</w:t>
      </w:r>
      <w:r w:rsidRPr="00C1603D">
        <w:t>:</w:t>
      </w:r>
      <w:r w:rsidRPr="00C1603D">
        <w:rPr>
          <w:color w:val="auto"/>
        </w:rPr>
        <w:t>537</w:t>
      </w:r>
      <w:r w:rsidRPr="00C1603D">
        <w:rPr>
          <w:color w:val="00B0F0"/>
        </w:rPr>
        <w:t>–</w:t>
      </w:r>
      <w:r w:rsidRPr="00C1603D">
        <w:rPr>
          <w:color w:val="auto"/>
        </w:rPr>
        <w:t>41</w:t>
      </w:r>
      <w:r w:rsidRPr="00C1603D">
        <w:t>. https://doi.org/10.1373/clinchem.2009.134155</w:t>
      </w:r>
    </w:p>
    <w:p w14:paraId="0710D466" w14:textId="083D7B2A" w:rsidR="00EF77DB" w:rsidRPr="00C1603D" w:rsidRDefault="00EF77DB" w:rsidP="00EF77DB">
      <w:pPr>
        <w:pStyle w:val="65ReferencesTextstylesTextstyles"/>
      </w:pPr>
      <w:r w:rsidRPr="00C1603D">
        <w:t>57.</w:t>
      </w:r>
      <w:r w:rsidRPr="00C1603D">
        <w:tab/>
        <w:t xml:space="preserve">Moons KGM, Wolff RF, Riley RD, Whiting PF, Westwood M, Collins GS, </w:t>
      </w:r>
      <w:r w:rsidRPr="00C1603D">
        <w:rPr>
          <w:i/>
        </w:rPr>
        <w:t>et al</w:t>
      </w:r>
      <w:r w:rsidRPr="00C1603D">
        <w:t xml:space="preserve">. PROBAST: </w:t>
      </w:r>
      <w:r w:rsidR="00CF0F0E" w:rsidRPr="00C1603D">
        <w:t>a tool to assess risk of bias and applicability of prediction model studies: explanation and elaboration</w:t>
      </w:r>
      <w:r w:rsidRPr="00C1603D">
        <w:t xml:space="preserve">. </w:t>
      </w:r>
      <w:r w:rsidRPr="00C1603D">
        <w:rPr>
          <w:i/>
        </w:rPr>
        <w:t>Ann Intern Med</w:t>
      </w:r>
      <w:r w:rsidRPr="00C1603D">
        <w:t xml:space="preserve"> 2019;</w:t>
      </w:r>
      <w:r w:rsidRPr="00C1603D">
        <w:rPr>
          <w:b/>
        </w:rPr>
        <w:t>170</w:t>
      </w:r>
      <w:r w:rsidRPr="00C1603D">
        <w:t>:</w:t>
      </w:r>
      <w:r w:rsidRPr="00C1603D">
        <w:rPr>
          <w:color w:val="auto"/>
        </w:rPr>
        <w:t>W1</w:t>
      </w:r>
      <w:r w:rsidRPr="00C1603D">
        <w:rPr>
          <w:color w:val="00B0F0"/>
        </w:rPr>
        <w:t>–</w:t>
      </w:r>
      <w:r w:rsidRPr="00C1603D">
        <w:rPr>
          <w:color w:val="auto"/>
        </w:rPr>
        <w:t>W33</w:t>
      </w:r>
      <w:r w:rsidRPr="00C1603D">
        <w:t>. https://doi.org/10.7326/M18-1377</w:t>
      </w:r>
    </w:p>
    <w:p w14:paraId="2BB110F1" w14:textId="77777777" w:rsidR="00EF77DB" w:rsidRPr="00C1603D" w:rsidRDefault="00EF77DB" w:rsidP="00EF77DB">
      <w:pPr>
        <w:pStyle w:val="65ReferencesTextstylesTextstyles"/>
      </w:pPr>
      <w:r w:rsidRPr="00C1603D">
        <w:t>58.</w:t>
      </w:r>
      <w:r w:rsidRPr="00C1603D">
        <w:tab/>
        <w:t xml:space="preserve">Wolf A, Dedman D, Campbell J, Booth H, Lunn D, Chapman J, Myles P. Data resource profile: Clinical Practice Research Datalink (CPRD) Aurum. </w:t>
      </w:r>
      <w:r w:rsidRPr="00C1603D">
        <w:rPr>
          <w:i/>
        </w:rPr>
        <w:t xml:space="preserve">Int J </w:t>
      </w:r>
      <w:proofErr w:type="spellStart"/>
      <w:r w:rsidRPr="00C1603D">
        <w:rPr>
          <w:i/>
        </w:rPr>
        <w:t>Epidemiol</w:t>
      </w:r>
      <w:proofErr w:type="spellEnd"/>
      <w:r w:rsidRPr="00C1603D">
        <w:t xml:space="preserve"> 2019;</w:t>
      </w:r>
      <w:r w:rsidRPr="00C1603D">
        <w:rPr>
          <w:b/>
        </w:rPr>
        <w:t>48</w:t>
      </w:r>
      <w:r w:rsidRPr="00C1603D">
        <w:t>:</w:t>
      </w:r>
      <w:r w:rsidRPr="00C1603D">
        <w:rPr>
          <w:color w:val="auto"/>
        </w:rPr>
        <w:t>1740</w:t>
      </w:r>
      <w:r w:rsidRPr="00C1603D">
        <w:rPr>
          <w:color w:val="00B0F0"/>
        </w:rPr>
        <w:t>–</w:t>
      </w:r>
      <w:r w:rsidRPr="00C1603D">
        <w:rPr>
          <w:color w:val="auto"/>
        </w:rPr>
        <w:t>1740g</w:t>
      </w:r>
      <w:r w:rsidRPr="00C1603D">
        <w:t>. https://doi.org/10.1093/ije/dyz034</w:t>
      </w:r>
    </w:p>
    <w:p w14:paraId="42E3B6C2" w14:textId="7010EA93" w:rsidR="00EF77DB" w:rsidRPr="00C1603D" w:rsidRDefault="3CDEEDA7" w:rsidP="00EF77DB">
      <w:pPr>
        <w:pStyle w:val="65ReferencesTextstylesTextstyles"/>
      </w:pPr>
      <w:r w:rsidRPr="00C1603D">
        <w:lastRenderedPageBreak/>
        <w:t>59.</w:t>
      </w:r>
      <w:r w:rsidR="00EF77DB" w:rsidRPr="00C1603D">
        <w:tab/>
      </w:r>
      <w:commentRangeStart w:id="490"/>
      <w:commentRangeStart w:id="491"/>
      <w:r w:rsidRPr="00C1603D">
        <w:t xml:space="preserve">Clinical Practice Research Datalink. </w:t>
      </w:r>
      <w:r w:rsidRPr="00C1603D">
        <w:rPr>
          <w:i/>
          <w:iCs/>
        </w:rPr>
        <w:t>CPRD Aurum June 2021 (Version 2021.06.001)</w:t>
      </w:r>
      <w:r w:rsidRPr="00C1603D">
        <w:t>. Clinical Practice Research Datalink; 2021. https://doi.org/10.48329/pyc2-we97</w:t>
      </w:r>
      <w:commentRangeEnd w:id="490"/>
      <w:r w:rsidR="00EF77DB" w:rsidRPr="00C1603D">
        <w:commentReference w:id="490"/>
      </w:r>
      <w:commentRangeEnd w:id="491"/>
      <w:r w:rsidR="00EF77DB" w:rsidRPr="00C1603D">
        <w:commentReference w:id="491"/>
      </w:r>
    </w:p>
    <w:p w14:paraId="34E6F5B6" w14:textId="3B173003" w:rsidR="00EF77DB" w:rsidRPr="00C1603D" w:rsidRDefault="00EF77DB" w:rsidP="00EF77DB">
      <w:pPr>
        <w:pStyle w:val="65ReferencesTextstylesTextstyles"/>
      </w:pPr>
      <w:r w:rsidRPr="00C1603D">
        <w:t>60.</w:t>
      </w:r>
      <w:r w:rsidRPr="00C1603D">
        <w:tab/>
        <w:t xml:space="preserve">Golding J, </w:t>
      </w:r>
      <w:proofErr w:type="spellStart"/>
      <w:r w:rsidRPr="00C1603D">
        <w:t>Pembrey</w:t>
      </w:r>
      <w:proofErr w:type="spellEnd"/>
      <w:r w:rsidRPr="00C1603D">
        <w:t xml:space="preserve"> M, Jones R, Team AS. ALSPAC</w:t>
      </w:r>
      <w:r w:rsidR="00CF0F0E" w:rsidRPr="00C1603D">
        <w:t xml:space="preserve"> – </w:t>
      </w:r>
      <w:r w:rsidRPr="00C1603D">
        <w:t xml:space="preserve">the Avon Longitudinal Study of Parents and Children. I. Study methodology. </w:t>
      </w:r>
      <w:proofErr w:type="spellStart"/>
      <w:r w:rsidRPr="00C1603D">
        <w:rPr>
          <w:i/>
        </w:rPr>
        <w:t>Paediatr</w:t>
      </w:r>
      <w:proofErr w:type="spellEnd"/>
      <w:r w:rsidRPr="00C1603D">
        <w:t xml:space="preserve"> </w:t>
      </w:r>
      <w:r w:rsidRPr="00C1603D">
        <w:rPr>
          <w:i/>
        </w:rPr>
        <w:t>Perinat</w:t>
      </w:r>
      <w:r w:rsidRPr="00C1603D">
        <w:t xml:space="preserve"> </w:t>
      </w:r>
      <w:proofErr w:type="spellStart"/>
      <w:r w:rsidRPr="00C1603D">
        <w:rPr>
          <w:i/>
        </w:rPr>
        <w:t>Epidemiol</w:t>
      </w:r>
      <w:proofErr w:type="spellEnd"/>
      <w:r w:rsidRPr="00C1603D">
        <w:t xml:space="preserve"> 2001;</w:t>
      </w:r>
      <w:r w:rsidRPr="00C1603D">
        <w:rPr>
          <w:b/>
        </w:rPr>
        <w:t>15</w:t>
      </w:r>
      <w:r w:rsidRPr="00C1603D">
        <w:t>:74</w:t>
      </w:r>
      <w:r w:rsidR="00CF0F0E" w:rsidRPr="00C1603D">
        <w:t>–</w:t>
      </w:r>
      <w:r w:rsidRPr="00C1603D">
        <w:t>87.</w:t>
      </w:r>
    </w:p>
    <w:p w14:paraId="1B6D1AAA" w14:textId="1EAF47FE" w:rsidR="00EF77DB" w:rsidRPr="00C1603D" w:rsidRDefault="00EF77DB" w:rsidP="00EF77DB">
      <w:pPr>
        <w:pStyle w:val="65ReferencesTextstylesTextstyles"/>
      </w:pPr>
      <w:r w:rsidRPr="00C1603D">
        <w:t>61.</w:t>
      </w:r>
      <w:r w:rsidRPr="00C1603D">
        <w:tab/>
        <w:t xml:space="preserve">Boyd A, Golding J, Macleod J, Lawlor DA, Fraser A, Henderson J, </w:t>
      </w:r>
      <w:r w:rsidRPr="00C1603D">
        <w:rPr>
          <w:i/>
        </w:rPr>
        <w:t>et al</w:t>
      </w:r>
      <w:r w:rsidRPr="00C1603D">
        <w:t xml:space="preserve">. Cohort </w:t>
      </w:r>
      <w:r w:rsidR="00CF0F0E" w:rsidRPr="00C1603D">
        <w:t>p</w:t>
      </w:r>
      <w:r w:rsidRPr="00C1603D">
        <w:t>rofile: the ‘</w:t>
      </w:r>
      <w:r w:rsidR="00CF0F0E" w:rsidRPr="00C1603D">
        <w:t xml:space="preserve">Children </w:t>
      </w:r>
      <w:r w:rsidRPr="00C1603D">
        <w:t xml:space="preserve">of the </w:t>
      </w:r>
      <w:proofErr w:type="gramStart"/>
      <w:r w:rsidRPr="00C1603D">
        <w:t>90s</w:t>
      </w:r>
      <w:proofErr w:type="gramEnd"/>
      <w:r w:rsidRPr="00C1603D">
        <w:t xml:space="preserve">’ – the index offspring of the Avon Longitudinal Study of Parents and Children. </w:t>
      </w:r>
      <w:r w:rsidRPr="00C1603D">
        <w:rPr>
          <w:i/>
        </w:rPr>
        <w:t xml:space="preserve">Int J </w:t>
      </w:r>
      <w:proofErr w:type="spellStart"/>
      <w:r w:rsidRPr="00C1603D">
        <w:rPr>
          <w:i/>
        </w:rPr>
        <w:t>Epidemiol</w:t>
      </w:r>
      <w:proofErr w:type="spellEnd"/>
      <w:r w:rsidRPr="00C1603D">
        <w:t xml:space="preserve"> 2013;</w:t>
      </w:r>
      <w:r w:rsidRPr="00C1603D">
        <w:rPr>
          <w:b/>
        </w:rPr>
        <w:t>42</w:t>
      </w:r>
      <w:r w:rsidRPr="00C1603D">
        <w:t>:</w:t>
      </w:r>
      <w:r w:rsidRPr="00C1603D">
        <w:rPr>
          <w:color w:val="auto"/>
        </w:rPr>
        <w:t>111</w:t>
      </w:r>
      <w:r w:rsidRPr="00C1603D">
        <w:rPr>
          <w:color w:val="00B0F0"/>
        </w:rPr>
        <w:t>–</w:t>
      </w:r>
      <w:r w:rsidRPr="00C1603D">
        <w:rPr>
          <w:color w:val="auto"/>
        </w:rPr>
        <w:t>27</w:t>
      </w:r>
      <w:r w:rsidRPr="00C1603D">
        <w:t>. https://doi.org/10.1093/ije/dys064</w:t>
      </w:r>
    </w:p>
    <w:p w14:paraId="43A4B38A" w14:textId="00CF284F" w:rsidR="00EF77DB" w:rsidRPr="00C1603D" w:rsidRDefault="00EF77DB" w:rsidP="00EF77DB">
      <w:pPr>
        <w:pStyle w:val="65ReferencesTextstylesTextstyles"/>
      </w:pPr>
      <w:r w:rsidRPr="00C1603D">
        <w:t>62.</w:t>
      </w:r>
      <w:r w:rsidRPr="00C1603D">
        <w:tab/>
        <w:t xml:space="preserve">Fraser A, Macdonald-Wallis C, Tilling K, Boyd A, Golding J, Davey Smith G, </w:t>
      </w:r>
      <w:r w:rsidRPr="00C1603D">
        <w:rPr>
          <w:i/>
        </w:rPr>
        <w:t>et al</w:t>
      </w:r>
      <w:r w:rsidRPr="00C1603D">
        <w:t xml:space="preserve">. Cohort </w:t>
      </w:r>
      <w:r w:rsidR="00CF0F0E" w:rsidRPr="00C1603D">
        <w:t>p</w:t>
      </w:r>
      <w:r w:rsidRPr="00C1603D">
        <w:t xml:space="preserve">rofile: the Avon Longitudinal Study of Parents and Children: ALSPAC mothers cohort. </w:t>
      </w:r>
      <w:r w:rsidRPr="00C1603D">
        <w:rPr>
          <w:i/>
        </w:rPr>
        <w:t xml:space="preserve">Int J </w:t>
      </w:r>
      <w:proofErr w:type="spellStart"/>
      <w:r w:rsidRPr="00C1603D">
        <w:rPr>
          <w:i/>
        </w:rPr>
        <w:t>Epidemiol</w:t>
      </w:r>
      <w:proofErr w:type="spellEnd"/>
      <w:r w:rsidRPr="00C1603D">
        <w:t xml:space="preserve"> 2013;</w:t>
      </w:r>
      <w:r w:rsidRPr="00C1603D">
        <w:rPr>
          <w:b/>
        </w:rPr>
        <w:t>42</w:t>
      </w:r>
      <w:r w:rsidRPr="00C1603D">
        <w:t>:</w:t>
      </w:r>
      <w:r w:rsidRPr="00C1603D">
        <w:rPr>
          <w:color w:val="auto"/>
        </w:rPr>
        <w:t>97</w:t>
      </w:r>
      <w:r w:rsidRPr="00C1603D">
        <w:rPr>
          <w:color w:val="00B0F0"/>
        </w:rPr>
        <w:t>–</w:t>
      </w:r>
      <w:r w:rsidRPr="00C1603D">
        <w:rPr>
          <w:color w:val="auto"/>
        </w:rPr>
        <w:t>110</w:t>
      </w:r>
      <w:r w:rsidRPr="00C1603D">
        <w:t>. https://doi.org/10.1093/ije/dys066</w:t>
      </w:r>
    </w:p>
    <w:p w14:paraId="20888F6C" w14:textId="77777777" w:rsidR="00EF77DB" w:rsidRPr="00C1603D" w:rsidRDefault="00EF77DB" w:rsidP="00EF77DB">
      <w:pPr>
        <w:pStyle w:val="65ReferencesTextstylesTextstyles"/>
      </w:pPr>
      <w:r w:rsidRPr="00C1603D">
        <w:t>63.</w:t>
      </w:r>
      <w:r w:rsidRPr="00C1603D">
        <w:tab/>
        <w:t xml:space="preserve">Bingley PJ, Williams AJ, Norcross AJ, Unsworth DJ, Lock RJ, Ness AR, Jones RW, Avon Longitudinal Study of Parents and Children Study Team. Undiagnosed coeliac disease at age seven: population based prospective birth cohort study. </w:t>
      </w:r>
      <w:r w:rsidRPr="00C1603D">
        <w:rPr>
          <w:i/>
        </w:rPr>
        <w:t>BMJ</w:t>
      </w:r>
      <w:r w:rsidRPr="00C1603D">
        <w:t xml:space="preserve"> 2004;</w:t>
      </w:r>
      <w:r w:rsidRPr="00C1603D">
        <w:rPr>
          <w:b/>
        </w:rPr>
        <w:t>328</w:t>
      </w:r>
      <w:r w:rsidRPr="00C1603D">
        <w:t>:</w:t>
      </w:r>
      <w:r w:rsidRPr="00C1603D">
        <w:rPr>
          <w:color w:val="auto"/>
        </w:rPr>
        <w:t>322</w:t>
      </w:r>
      <w:r w:rsidRPr="00C1603D">
        <w:rPr>
          <w:color w:val="00B0F0"/>
        </w:rPr>
        <w:t>–</w:t>
      </w:r>
      <w:r w:rsidRPr="00C1603D">
        <w:rPr>
          <w:color w:val="auto"/>
        </w:rPr>
        <w:t>3</w:t>
      </w:r>
      <w:r w:rsidRPr="00C1603D">
        <w:t>. https://doi.org/10.1136/bmj.328.7435.322</w:t>
      </w:r>
    </w:p>
    <w:p w14:paraId="31F2F75B" w14:textId="7CA71464" w:rsidR="00EF77DB" w:rsidRPr="00C1603D" w:rsidRDefault="00EF77DB" w:rsidP="00EF77DB">
      <w:pPr>
        <w:pStyle w:val="65ReferencesTextstylesTextstyles"/>
      </w:pPr>
      <w:r w:rsidRPr="00C1603D">
        <w:t>64.</w:t>
      </w:r>
      <w:r w:rsidRPr="00C1603D">
        <w:tab/>
      </w:r>
      <w:r w:rsidR="00CF0F0E" w:rsidRPr="00C1603D">
        <w:t>University of Bristol</w:t>
      </w:r>
      <w:r w:rsidRPr="00C1603D">
        <w:t xml:space="preserve">. </w:t>
      </w:r>
      <w:r w:rsidRPr="00C1603D">
        <w:rPr>
          <w:i/>
        </w:rPr>
        <w:t>Explore</w:t>
      </w:r>
      <w:r w:rsidRPr="00C1603D">
        <w:t xml:space="preserve"> </w:t>
      </w:r>
      <w:r w:rsidR="00CF0F0E" w:rsidRPr="00C1603D">
        <w:rPr>
          <w:i/>
        </w:rPr>
        <w:t>Data</w:t>
      </w:r>
      <w:r w:rsidR="00CF0F0E" w:rsidRPr="00C1603D">
        <w:t xml:space="preserve"> </w:t>
      </w:r>
      <w:r w:rsidRPr="00C1603D">
        <w:rPr>
          <w:i/>
        </w:rPr>
        <w:t>and</w:t>
      </w:r>
      <w:r w:rsidRPr="00C1603D">
        <w:t xml:space="preserve"> </w:t>
      </w:r>
      <w:r w:rsidR="00CF0F0E" w:rsidRPr="00C1603D">
        <w:rPr>
          <w:i/>
        </w:rPr>
        <w:t>Samples</w:t>
      </w:r>
      <w:r w:rsidRPr="00C1603D">
        <w:t xml:space="preserve">. URL: www.bristol.ac.uk/alspac/researchers/our-data/ </w:t>
      </w:r>
      <w:r w:rsidR="00CF0F0E" w:rsidRPr="00C1603D">
        <w:t>(accessed November 2021)</w:t>
      </w:r>
      <w:r w:rsidRPr="00C1603D">
        <w:t>.</w:t>
      </w:r>
    </w:p>
    <w:p w14:paraId="51081EB9" w14:textId="77777777" w:rsidR="00EF77DB" w:rsidRPr="00C1603D" w:rsidRDefault="00EF77DB" w:rsidP="00EF77DB">
      <w:pPr>
        <w:pStyle w:val="65ReferencesTextstylesTextstyles"/>
      </w:pPr>
      <w:r w:rsidRPr="00C1603D">
        <w:t>65.</w:t>
      </w:r>
      <w:r w:rsidRPr="00C1603D">
        <w:tab/>
        <w:t xml:space="preserve">Heinze G, </w:t>
      </w:r>
      <w:proofErr w:type="spellStart"/>
      <w:r w:rsidRPr="00C1603D">
        <w:t>Schemper</w:t>
      </w:r>
      <w:proofErr w:type="spellEnd"/>
      <w:r w:rsidRPr="00C1603D">
        <w:t xml:space="preserve"> M. A solution to the problem of separation in logistic regression. </w:t>
      </w:r>
      <w:r w:rsidRPr="00C1603D">
        <w:rPr>
          <w:i/>
        </w:rPr>
        <w:t>Stat Med</w:t>
      </w:r>
      <w:r w:rsidRPr="00C1603D">
        <w:t xml:space="preserve"> 2002;</w:t>
      </w:r>
      <w:r w:rsidRPr="00C1603D">
        <w:rPr>
          <w:b/>
        </w:rPr>
        <w:t>21</w:t>
      </w:r>
      <w:r w:rsidRPr="00C1603D">
        <w:t>:</w:t>
      </w:r>
      <w:r w:rsidRPr="00C1603D">
        <w:rPr>
          <w:color w:val="auto"/>
        </w:rPr>
        <w:t>2409</w:t>
      </w:r>
      <w:r w:rsidRPr="00C1603D">
        <w:rPr>
          <w:color w:val="00B0F0"/>
        </w:rPr>
        <w:t>–</w:t>
      </w:r>
      <w:r w:rsidRPr="00C1603D">
        <w:rPr>
          <w:color w:val="auto"/>
        </w:rPr>
        <w:t>19</w:t>
      </w:r>
      <w:r w:rsidRPr="00C1603D">
        <w:t>. https://doi.org/10.1002/sim.1047</w:t>
      </w:r>
    </w:p>
    <w:p w14:paraId="3F8F6FAE" w14:textId="39551527" w:rsidR="00EF77DB" w:rsidRPr="00C1603D" w:rsidRDefault="00EF77DB" w:rsidP="00EF77DB">
      <w:pPr>
        <w:pStyle w:val="65ReferencesTextstylesTextstyles"/>
      </w:pPr>
      <w:r w:rsidRPr="00C1603D">
        <w:t>66.</w:t>
      </w:r>
      <w:r w:rsidRPr="00C1603D">
        <w:tab/>
      </w:r>
      <w:r w:rsidR="00CF0F0E" w:rsidRPr="00C1603D">
        <w:t xml:space="preserve">Firth </w:t>
      </w:r>
      <w:r w:rsidRPr="00C1603D">
        <w:t xml:space="preserve">D. Bias reduction of maximum likelihood estimates. </w:t>
      </w:r>
      <w:proofErr w:type="spellStart"/>
      <w:r w:rsidRPr="00C1603D">
        <w:rPr>
          <w:i/>
        </w:rPr>
        <w:t>Biometrika</w:t>
      </w:r>
      <w:proofErr w:type="spellEnd"/>
      <w:r w:rsidRPr="00C1603D">
        <w:t xml:space="preserve"> 1993;</w:t>
      </w:r>
      <w:r w:rsidRPr="00C1603D">
        <w:rPr>
          <w:b/>
        </w:rPr>
        <w:t>80</w:t>
      </w:r>
      <w:r w:rsidRPr="00C1603D">
        <w:t>:27</w:t>
      </w:r>
      <w:r w:rsidR="00CF0F0E" w:rsidRPr="00C1603D">
        <w:t>–</w:t>
      </w:r>
      <w:r w:rsidRPr="00C1603D">
        <w:t>38.</w:t>
      </w:r>
    </w:p>
    <w:p w14:paraId="7CBC4332" w14:textId="75C3CC98" w:rsidR="00EF77DB" w:rsidRPr="00C1603D" w:rsidRDefault="3CDEEDA7" w:rsidP="00EF77DB">
      <w:pPr>
        <w:pStyle w:val="65ReferencesTextstylesTextstyles"/>
      </w:pPr>
      <w:r w:rsidRPr="00C1603D">
        <w:t>67.</w:t>
      </w:r>
      <w:r w:rsidR="00EF77DB" w:rsidRPr="00C1603D">
        <w:tab/>
      </w:r>
      <w:commentRangeStart w:id="492"/>
      <w:commentRangeStart w:id="493"/>
      <w:r w:rsidRPr="00C1603D">
        <w:t xml:space="preserve">Harrell FE. </w:t>
      </w:r>
      <w:r w:rsidRPr="00C1603D">
        <w:rPr>
          <w:i/>
          <w:iCs/>
        </w:rPr>
        <w:t xml:space="preserve">Regression </w:t>
      </w:r>
      <w:proofErr w:type="spellStart"/>
      <w:r w:rsidRPr="00C1603D">
        <w:rPr>
          <w:i/>
          <w:iCs/>
        </w:rPr>
        <w:t>Modeling</w:t>
      </w:r>
      <w:proofErr w:type="spellEnd"/>
      <w:r w:rsidRPr="00C1603D">
        <w:rPr>
          <w:i/>
          <w:iCs/>
        </w:rPr>
        <w:t xml:space="preserve"> Strategies: With Applications to Linear Models, Logistic and Ordinal Regression, and Survival Analysis</w:t>
      </w:r>
      <w:r w:rsidRPr="00C1603D">
        <w:t xml:space="preserve">. 2nd </w:t>
      </w:r>
      <w:proofErr w:type="spellStart"/>
      <w:r w:rsidRPr="00C1603D">
        <w:t>edn</w:t>
      </w:r>
      <w:proofErr w:type="spellEnd"/>
      <w:r w:rsidRPr="00C1603D">
        <w:t>. Cham: Springer International Publishing; 2015. https://doi.org/10.1007/978-3-319-19425-7</w:t>
      </w:r>
      <w:commentRangeEnd w:id="492"/>
      <w:r w:rsidR="00EF77DB" w:rsidRPr="00C1603D">
        <w:commentReference w:id="492"/>
      </w:r>
      <w:commentRangeEnd w:id="493"/>
      <w:r w:rsidR="00EF77DB" w:rsidRPr="00C1603D">
        <w:commentReference w:id="493"/>
      </w:r>
    </w:p>
    <w:p w14:paraId="5D6ABEF6" w14:textId="77777777" w:rsidR="00EF77DB" w:rsidRPr="00C1603D" w:rsidRDefault="00EF77DB" w:rsidP="00EF77DB">
      <w:pPr>
        <w:pStyle w:val="65ReferencesTextstylesTextstyles"/>
      </w:pPr>
      <w:r w:rsidRPr="00C1603D">
        <w:t>68.</w:t>
      </w:r>
      <w:r w:rsidRPr="00C1603D">
        <w:tab/>
        <w:t xml:space="preserve">Whiting PF, </w:t>
      </w:r>
      <w:proofErr w:type="spellStart"/>
      <w:r w:rsidRPr="00C1603D">
        <w:t>Rutjes</w:t>
      </w:r>
      <w:proofErr w:type="spellEnd"/>
      <w:r w:rsidRPr="00C1603D">
        <w:t xml:space="preserve"> AW, Westwood ME, Mallett S, QUADAS-2 Steering Group. A systematic review classifies sources of bias and variation in diagnostic test accuracy studies. </w:t>
      </w:r>
      <w:r w:rsidRPr="00C1603D">
        <w:rPr>
          <w:i/>
        </w:rPr>
        <w:t xml:space="preserve">J Clin </w:t>
      </w:r>
      <w:proofErr w:type="spellStart"/>
      <w:r w:rsidRPr="00C1603D">
        <w:rPr>
          <w:i/>
        </w:rPr>
        <w:t>Epidemiol</w:t>
      </w:r>
      <w:proofErr w:type="spellEnd"/>
      <w:r w:rsidRPr="00C1603D">
        <w:t xml:space="preserve"> 2013;</w:t>
      </w:r>
      <w:r w:rsidRPr="00C1603D">
        <w:rPr>
          <w:b/>
        </w:rPr>
        <w:t>66</w:t>
      </w:r>
      <w:r w:rsidRPr="00C1603D">
        <w:t>:</w:t>
      </w:r>
      <w:r w:rsidRPr="00C1603D">
        <w:rPr>
          <w:color w:val="auto"/>
        </w:rPr>
        <w:t>1093</w:t>
      </w:r>
      <w:r w:rsidRPr="00C1603D">
        <w:rPr>
          <w:color w:val="00B0F0"/>
        </w:rPr>
        <w:t>–</w:t>
      </w:r>
      <w:r w:rsidRPr="00C1603D">
        <w:rPr>
          <w:color w:val="auto"/>
        </w:rPr>
        <w:t>104</w:t>
      </w:r>
      <w:r w:rsidRPr="00C1603D">
        <w:t>. https://doi.org/10.1016/j.jclinepi.2013.05.014</w:t>
      </w:r>
    </w:p>
    <w:p w14:paraId="632CCF7D" w14:textId="770DF52D" w:rsidR="00EF77DB" w:rsidRPr="00C1603D" w:rsidRDefault="00EF77DB" w:rsidP="00EF77DB">
      <w:pPr>
        <w:pStyle w:val="65ReferencesTextstylesTextstyles"/>
      </w:pPr>
      <w:r w:rsidRPr="00C1603D">
        <w:t>69.</w:t>
      </w:r>
      <w:r w:rsidRPr="00C1603D">
        <w:tab/>
        <w:t xml:space="preserve">Singh P, Arora A, Strand TA, Leffler DA, Mäki M, Kelly CP, </w:t>
      </w:r>
      <w:r w:rsidRPr="00C1603D">
        <w:rPr>
          <w:i/>
        </w:rPr>
        <w:t>et al</w:t>
      </w:r>
      <w:r w:rsidRPr="00C1603D">
        <w:t xml:space="preserve">. Diagnostic </w:t>
      </w:r>
      <w:r w:rsidR="00CF0F0E" w:rsidRPr="00C1603D">
        <w:t>accuracy of point of care tests for diagnosing celiac disease: a systematic review and meta-anal</w:t>
      </w:r>
      <w:r w:rsidRPr="00C1603D">
        <w:t xml:space="preserve">ysis. </w:t>
      </w:r>
      <w:r w:rsidRPr="00C1603D">
        <w:rPr>
          <w:i/>
        </w:rPr>
        <w:t>J Clin Gastroenterol</w:t>
      </w:r>
      <w:r w:rsidRPr="00C1603D">
        <w:t xml:space="preserve"> 2019;</w:t>
      </w:r>
      <w:r w:rsidRPr="00C1603D">
        <w:rPr>
          <w:b/>
        </w:rPr>
        <w:t>53</w:t>
      </w:r>
      <w:r w:rsidRPr="00C1603D">
        <w:t>:</w:t>
      </w:r>
      <w:r w:rsidRPr="00C1603D">
        <w:rPr>
          <w:color w:val="auto"/>
        </w:rPr>
        <w:t>535</w:t>
      </w:r>
      <w:r w:rsidRPr="00C1603D">
        <w:rPr>
          <w:color w:val="00B0F0"/>
        </w:rPr>
        <w:t>–</w:t>
      </w:r>
      <w:r w:rsidRPr="00C1603D">
        <w:rPr>
          <w:color w:val="auto"/>
        </w:rPr>
        <w:t>42</w:t>
      </w:r>
      <w:r w:rsidRPr="00C1603D">
        <w:t>. https://doi.org/10.1097/MCG.0000000000001081</w:t>
      </w:r>
    </w:p>
    <w:p w14:paraId="4920CC5F" w14:textId="2E11D8AA" w:rsidR="00EF77DB" w:rsidRPr="00C1603D" w:rsidRDefault="00EF77DB" w:rsidP="00EF77DB">
      <w:pPr>
        <w:pStyle w:val="65ReferencesTextstylesTextstyles"/>
      </w:pPr>
      <w:r w:rsidRPr="00C1603D">
        <w:t>70.</w:t>
      </w:r>
      <w:r w:rsidRPr="00C1603D">
        <w:tab/>
        <w:t xml:space="preserve">Holmes G, </w:t>
      </w:r>
      <w:proofErr w:type="spellStart"/>
      <w:r w:rsidRPr="00C1603D">
        <w:t>Ciacci</w:t>
      </w:r>
      <w:proofErr w:type="spellEnd"/>
      <w:r w:rsidRPr="00C1603D">
        <w:t xml:space="preserve"> C. The serological diagnosis of coeliac disease </w:t>
      </w:r>
      <w:r w:rsidR="00CF0F0E" w:rsidRPr="00C1603D">
        <w:t>–</w:t>
      </w:r>
      <w:r w:rsidRPr="00C1603D">
        <w:t xml:space="preserve"> a step forward. </w:t>
      </w:r>
      <w:r w:rsidRPr="00C1603D">
        <w:rPr>
          <w:i/>
        </w:rPr>
        <w:t>Gastroenterol Hepatol Bed Bench</w:t>
      </w:r>
      <w:r w:rsidRPr="00C1603D">
        <w:t xml:space="preserve"> 2018;</w:t>
      </w:r>
      <w:r w:rsidRPr="00C1603D">
        <w:rPr>
          <w:b/>
        </w:rPr>
        <w:t>11</w:t>
      </w:r>
      <w:r w:rsidRPr="00C1603D">
        <w:t>:</w:t>
      </w:r>
      <w:r w:rsidRPr="00C1603D">
        <w:rPr>
          <w:color w:val="auto"/>
        </w:rPr>
        <w:t>209</w:t>
      </w:r>
      <w:r w:rsidRPr="00C1603D">
        <w:rPr>
          <w:color w:val="00B0F0"/>
        </w:rPr>
        <w:t>–</w:t>
      </w:r>
      <w:r w:rsidRPr="00C1603D">
        <w:rPr>
          <w:color w:val="auto"/>
        </w:rPr>
        <w:t>15</w:t>
      </w:r>
      <w:r w:rsidRPr="00C1603D">
        <w:t>.</w:t>
      </w:r>
    </w:p>
    <w:p w14:paraId="0A4D29D0" w14:textId="1AA37D42" w:rsidR="00EF77DB" w:rsidRPr="00C1603D" w:rsidRDefault="00EF77DB" w:rsidP="00EF77DB">
      <w:pPr>
        <w:pStyle w:val="65ReferencesTextstylesTextstyles"/>
      </w:pPr>
      <w:r w:rsidRPr="00C1603D">
        <w:t>71.</w:t>
      </w:r>
      <w:r w:rsidRPr="00C1603D">
        <w:tab/>
      </w:r>
      <w:proofErr w:type="spellStart"/>
      <w:r w:rsidRPr="00C1603D">
        <w:t>Ouzzani</w:t>
      </w:r>
      <w:proofErr w:type="spellEnd"/>
      <w:r w:rsidRPr="00C1603D">
        <w:t xml:space="preserve"> M, </w:t>
      </w:r>
      <w:proofErr w:type="spellStart"/>
      <w:r w:rsidRPr="00C1603D">
        <w:t>Hammady</w:t>
      </w:r>
      <w:proofErr w:type="spellEnd"/>
      <w:r w:rsidRPr="00C1603D">
        <w:t xml:space="preserve"> H, </w:t>
      </w:r>
      <w:proofErr w:type="spellStart"/>
      <w:r w:rsidRPr="00C1603D">
        <w:t>Fedorowicz</w:t>
      </w:r>
      <w:proofErr w:type="spellEnd"/>
      <w:r w:rsidRPr="00C1603D">
        <w:t xml:space="preserve"> Z, </w:t>
      </w:r>
      <w:proofErr w:type="spellStart"/>
      <w:r w:rsidRPr="00C1603D">
        <w:t>Elmagarmid</w:t>
      </w:r>
      <w:proofErr w:type="spellEnd"/>
      <w:r w:rsidRPr="00C1603D">
        <w:t xml:space="preserve"> A. Rayyan</w:t>
      </w:r>
      <w:r w:rsidR="00CF0F0E" w:rsidRPr="00C1603D">
        <w:t xml:space="preserve"> – </w:t>
      </w:r>
      <w:r w:rsidRPr="00C1603D">
        <w:t xml:space="preserve">a web and mobile app for systematic reviews. </w:t>
      </w:r>
      <w:proofErr w:type="spellStart"/>
      <w:r w:rsidRPr="00C1603D">
        <w:rPr>
          <w:i/>
        </w:rPr>
        <w:t>Syst</w:t>
      </w:r>
      <w:proofErr w:type="spellEnd"/>
      <w:r w:rsidRPr="00C1603D">
        <w:rPr>
          <w:i/>
        </w:rPr>
        <w:t xml:space="preserve"> Rev</w:t>
      </w:r>
      <w:r w:rsidRPr="00C1603D">
        <w:t xml:space="preserve"> 2016;</w:t>
      </w:r>
      <w:r w:rsidRPr="00C1603D">
        <w:rPr>
          <w:b/>
        </w:rPr>
        <w:t>5</w:t>
      </w:r>
      <w:r w:rsidRPr="00C1603D">
        <w:t>:</w:t>
      </w:r>
      <w:r w:rsidRPr="00C1603D">
        <w:rPr>
          <w:color w:val="auto"/>
        </w:rPr>
        <w:t>210</w:t>
      </w:r>
      <w:r w:rsidRPr="00C1603D">
        <w:t>. https://doi.org/10.1186/s13643-016-0384-4</w:t>
      </w:r>
    </w:p>
    <w:p w14:paraId="4D49C71C" w14:textId="6C2A443B" w:rsidR="00EF77DB" w:rsidRPr="00C1603D" w:rsidRDefault="3CDEEDA7" w:rsidP="00EF77DB">
      <w:pPr>
        <w:pStyle w:val="65ReferencesTextstylesTextstyles"/>
      </w:pPr>
      <w:commentRangeStart w:id="494"/>
      <w:commentRangeStart w:id="495"/>
      <w:r w:rsidRPr="00C1603D">
        <w:t>72.</w:t>
      </w:r>
      <w:r w:rsidR="00EF77DB" w:rsidRPr="00C1603D">
        <w:tab/>
      </w:r>
      <w:r w:rsidRPr="00C1603D">
        <w:t xml:space="preserve">Yang B, Mallett S, </w:t>
      </w:r>
      <w:proofErr w:type="spellStart"/>
      <w:r w:rsidRPr="00C1603D">
        <w:t>Takwoingi</w:t>
      </w:r>
      <w:proofErr w:type="spellEnd"/>
      <w:r w:rsidRPr="00C1603D">
        <w:t xml:space="preserve"> Y, Davenport CF, Hyde CJ, Whiting PF, </w:t>
      </w:r>
      <w:r w:rsidRPr="00C1603D">
        <w:rPr>
          <w:i/>
          <w:iCs/>
        </w:rPr>
        <w:t>et al</w:t>
      </w:r>
      <w:r w:rsidRPr="00C1603D">
        <w:t xml:space="preserve">. QUADAS-C: a tool for assessing risk of bias in comparative diagnostic accuracy studies. </w:t>
      </w:r>
      <w:r w:rsidRPr="00C1603D">
        <w:rPr>
          <w:i/>
          <w:iCs/>
        </w:rPr>
        <w:t>Ann Intern Med</w:t>
      </w:r>
      <w:r w:rsidRPr="00C1603D">
        <w:t xml:space="preserve"> 2021;</w:t>
      </w:r>
      <w:r w:rsidRPr="00C1603D">
        <w:rPr>
          <w:b/>
          <w:bCs/>
        </w:rPr>
        <w:t>174</w:t>
      </w:r>
      <w:r w:rsidRPr="00C1603D">
        <w:t>:</w:t>
      </w:r>
      <w:r w:rsidRPr="00C1603D">
        <w:rPr>
          <w:color w:val="auto"/>
        </w:rPr>
        <w:t>1592</w:t>
      </w:r>
      <w:r w:rsidRPr="00C1603D">
        <w:rPr>
          <w:color w:val="00B0F0"/>
        </w:rPr>
        <w:t>–</w:t>
      </w:r>
      <w:r w:rsidRPr="00C1603D">
        <w:rPr>
          <w:color w:val="auto"/>
        </w:rPr>
        <w:t>9</w:t>
      </w:r>
      <w:r w:rsidRPr="00C1603D">
        <w:t>. https://doi.org/10.7326/M21-2234</w:t>
      </w:r>
      <w:commentRangeEnd w:id="494"/>
      <w:r w:rsidR="00EF77DB" w:rsidRPr="00C1603D">
        <w:commentReference w:id="494"/>
      </w:r>
      <w:commentRangeEnd w:id="495"/>
      <w:r w:rsidR="00EF77DB" w:rsidRPr="00C1603D">
        <w:commentReference w:id="495"/>
      </w:r>
    </w:p>
    <w:p w14:paraId="22686001" w14:textId="77777777" w:rsidR="00EF77DB" w:rsidRPr="00C1603D" w:rsidRDefault="00EF77DB" w:rsidP="00EF77DB">
      <w:pPr>
        <w:pStyle w:val="65ReferencesTextstylesTextstyles"/>
      </w:pPr>
      <w:r w:rsidRPr="00C1603D">
        <w:t>73.</w:t>
      </w:r>
      <w:r w:rsidRPr="00C1603D">
        <w:tab/>
        <w:t xml:space="preserve">StataCorp. </w:t>
      </w:r>
      <w:r w:rsidRPr="00C1603D">
        <w:rPr>
          <w:i/>
        </w:rPr>
        <w:t>Stata</w:t>
      </w:r>
      <w:r w:rsidRPr="00C1603D">
        <w:t xml:space="preserve"> </w:t>
      </w:r>
      <w:r w:rsidRPr="00C1603D">
        <w:rPr>
          <w:i/>
        </w:rPr>
        <w:t>Statistical</w:t>
      </w:r>
      <w:r w:rsidRPr="00C1603D">
        <w:t xml:space="preserve"> </w:t>
      </w:r>
      <w:r w:rsidRPr="00C1603D">
        <w:rPr>
          <w:i/>
        </w:rPr>
        <w:t>Software</w:t>
      </w:r>
      <w:r w:rsidRPr="00C1603D">
        <w:t xml:space="preserve">: </w:t>
      </w:r>
      <w:r w:rsidRPr="00C1603D">
        <w:rPr>
          <w:i/>
        </w:rPr>
        <w:t>Release</w:t>
      </w:r>
      <w:r w:rsidRPr="00C1603D">
        <w:t xml:space="preserve"> </w:t>
      </w:r>
      <w:r w:rsidRPr="00C1603D">
        <w:rPr>
          <w:i/>
        </w:rPr>
        <w:t>16</w:t>
      </w:r>
      <w:r w:rsidRPr="00C1603D">
        <w:t>. College Station, TX: StataCorp LLC; 2019.</w:t>
      </w:r>
    </w:p>
    <w:p w14:paraId="1937D03F" w14:textId="77777777" w:rsidR="00EF77DB" w:rsidRPr="00C1603D" w:rsidRDefault="00EF77DB" w:rsidP="00EF77DB">
      <w:pPr>
        <w:pStyle w:val="65ReferencesTextstylesTextstyles"/>
      </w:pPr>
      <w:r w:rsidRPr="00C1603D">
        <w:t>74.</w:t>
      </w:r>
      <w:r w:rsidRPr="00C1603D">
        <w:tab/>
        <w:t xml:space="preserve">Whiting P, Davenport C. Understanding test accuracy research: a test consequence graphic. </w:t>
      </w:r>
      <w:proofErr w:type="spellStart"/>
      <w:r w:rsidRPr="00C1603D">
        <w:rPr>
          <w:i/>
        </w:rPr>
        <w:t>Diagn</w:t>
      </w:r>
      <w:proofErr w:type="spellEnd"/>
      <w:r w:rsidRPr="00C1603D">
        <w:rPr>
          <w:i/>
        </w:rPr>
        <w:t xml:space="preserve"> </w:t>
      </w:r>
      <w:proofErr w:type="spellStart"/>
      <w:r w:rsidRPr="00C1603D">
        <w:rPr>
          <w:i/>
        </w:rPr>
        <w:t>Progn</w:t>
      </w:r>
      <w:proofErr w:type="spellEnd"/>
      <w:r w:rsidRPr="00C1603D">
        <w:rPr>
          <w:i/>
        </w:rPr>
        <w:t xml:space="preserve"> Res</w:t>
      </w:r>
      <w:r w:rsidRPr="00C1603D">
        <w:t xml:space="preserve"> 2018;</w:t>
      </w:r>
      <w:r w:rsidRPr="00C1603D">
        <w:rPr>
          <w:b/>
        </w:rPr>
        <w:t>2</w:t>
      </w:r>
      <w:r w:rsidRPr="00C1603D">
        <w:t>:</w:t>
      </w:r>
      <w:r w:rsidRPr="00C1603D">
        <w:rPr>
          <w:color w:val="auto"/>
        </w:rPr>
        <w:t>2</w:t>
      </w:r>
      <w:r w:rsidRPr="00C1603D">
        <w:t>. https://doi.org/10.1186/s41512-017-0023-0</w:t>
      </w:r>
    </w:p>
    <w:p w14:paraId="0D3CB81D" w14:textId="2F021675" w:rsidR="00EF77DB" w:rsidRPr="00C1603D" w:rsidRDefault="00EF77DB" w:rsidP="00EF77DB">
      <w:pPr>
        <w:pStyle w:val="65ReferencesTextstylesTextstyles"/>
      </w:pPr>
      <w:r w:rsidRPr="00C1603D">
        <w:t>75.</w:t>
      </w:r>
      <w:r w:rsidRPr="00C1603D">
        <w:tab/>
        <w:t xml:space="preserve">Yuan J, Zhou C, Gao J, Li J, Yu F, Lu J, </w:t>
      </w:r>
      <w:r w:rsidRPr="00C1603D">
        <w:rPr>
          <w:i/>
        </w:rPr>
        <w:t>et al</w:t>
      </w:r>
      <w:r w:rsidRPr="00C1603D">
        <w:t xml:space="preserve">. Prevalence of </w:t>
      </w:r>
      <w:r w:rsidR="00CF0F0E" w:rsidRPr="00C1603D">
        <w:t>celiac disease autoimmunity among adolescents and young adu</w:t>
      </w:r>
      <w:r w:rsidRPr="00C1603D">
        <w:t xml:space="preserve">lts in China. </w:t>
      </w:r>
      <w:r w:rsidRPr="00C1603D">
        <w:rPr>
          <w:i/>
        </w:rPr>
        <w:t>Clin Gastroenterol Hepatol</w:t>
      </w:r>
      <w:r w:rsidRPr="00C1603D">
        <w:t xml:space="preserve"> 2017;</w:t>
      </w:r>
      <w:r w:rsidRPr="00C1603D">
        <w:rPr>
          <w:b/>
        </w:rPr>
        <w:t>15</w:t>
      </w:r>
      <w:r w:rsidRPr="00C1603D">
        <w:t>:</w:t>
      </w:r>
      <w:r w:rsidRPr="00C1603D">
        <w:rPr>
          <w:color w:val="auto"/>
        </w:rPr>
        <w:t>1572</w:t>
      </w:r>
      <w:r w:rsidRPr="00C1603D">
        <w:rPr>
          <w:color w:val="00B0F0"/>
        </w:rPr>
        <w:t>–</w:t>
      </w:r>
      <w:r w:rsidRPr="00C1603D">
        <w:rPr>
          <w:color w:val="auto"/>
        </w:rPr>
        <w:t>9</w:t>
      </w:r>
      <w:r w:rsidRPr="00C1603D">
        <w:rPr>
          <w:color w:val="00B0F0"/>
        </w:rPr>
        <w:t>.</w:t>
      </w:r>
      <w:r w:rsidRPr="00C1603D">
        <w:rPr>
          <w:color w:val="auto"/>
        </w:rPr>
        <w:t>e1</w:t>
      </w:r>
      <w:r w:rsidRPr="00C1603D">
        <w:t>.</w:t>
      </w:r>
    </w:p>
    <w:p w14:paraId="6D6FDEFD" w14:textId="531E1253" w:rsidR="00EF77DB" w:rsidRPr="00C1603D" w:rsidRDefault="00EF77DB" w:rsidP="00EF77DB">
      <w:pPr>
        <w:pStyle w:val="65ReferencesTextstylesTextstyles"/>
      </w:pPr>
      <w:r w:rsidRPr="00C1603D">
        <w:t>76.</w:t>
      </w:r>
      <w:r w:rsidRPr="00C1603D">
        <w:tab/>
        <w:t xml:space="preserve">Abrams JA, Brar P, Diamond B, Rotterdam H, Green PH. Utility in clinical practice of immunoglobulin </w:t>
      </w:r>
      <w:r w:rsidR="00CF0F0E" w:rsidRPr="00C1603D">
        <w:t>A</w:t>
      </w:r>
      <w:r w:rsidRPr="00C1603D">
        <w:t xml:space="preserve"> anti-tissue transglutaminase antibody for the diagnosis of celiac disease. </w:t>
      </w:r>
      <w:r w:rsidRPr="00C1603D">
        <w:rPr>
          <w:i/>
        </w:rPr>
        <w:t>Clin Gastroenterol Hepatol</w:t>
      </w:r>
      <w:r w:rsidRPr="00C1603D">
        <w:t xml:space="preserve"> 2006;</w:t>
      </w:r>
      <w:r w:rsidRPr="00C1603D">
        <w:rPr>
          <w:b/>
        </w:rPr>
        <w:t>4</w:t>
      </w:r>
      <w:r w:rsidRPr="00C1603D">
        <w:t>:</w:t>
      </w:r>
      <w:r w:rsidRPr="00C1603D">
        <w:rPr>
          <w:color w:val="auto"/>
        </w:rPr>
        <w:t>726</w:t>
      </w:r>
      <w:r w:rsidRPr="00C1603D">
        <w:rPr>
          <w:color w:val="00B0F0"/>
        </w:rPr>
        <w:t>–</w:t>
      </w:r>
      <w:r w:rsidRPr="00C1603D">
        <w:rPr>
          <w:color w:val="auto"/>
        </w:rPr>
        <w:t>30</w:t>
      </w:r>
      <w:r w:rsidRPr="00C1603D">
        <w:t>.</w:t>
      </w:r>
    </w:p>
    <w:p w14:paraId="77CA816C" w14:textId="173E5309" w:rsidR="00EF77DB" w:rsidRPr="00C1603D" w:rsidRDefault="00EF77DB" w:rsidP="00EF77DB">
      <w:pPr>
        <w:pStyle w:val="65ReferencesTextstylesTextstyles"/>
      </w:pPr>
      <w:r w:rsidRPr="00C1603D">
        <w:lastRenderedPageBreak/>
        <w:t>77.</w:t>
      </w:r>
      <w:r w:rsidRPr="00C1603D">
        <w:tab/>
        <w:t xml:space="preserve">Al </w:t>
      </w:r>
      <w:proofErr w:type="spellStart"/>
      <w:r w:rsidRPr="00C1603D">
        <w:t>Saidi</w:t>
      </w:r>
      <w:proofErr w:type="spellEnd"/>
      <w:r w:rsidRPr="00C1603D">
        <w:t xml:space="preserve"> SS, Al </w:t>
      </w:r>
      <w:proofErr w:type="spellStart"/>
      <w:r w:rsidRPr="00C1603D">
        <w:t>Harthi</w:t>
      </w:r>
      <w:proofErr w:type="spellEnd"/>
      <w:r w:rsidRPr="00C1603D">
        <w:t xml:space="preserve"> SO, </w:t>
      </w:r>
      <w:proofErr w:type="spellStart"/>
      <w:r w:rsidRPr="00C1603D">
        <w:t>Mula</w:t>
      </w:r>
      <w:proofErr w:type="spellEnd"/>
      <w:r w:rsidRPr="00C1603D">
        <w:t xml:space="preserve">-Abed WA. Diagnostic utility of coeliac disease: a descriptive study in a tertiary care hospital, </w:t>
      </w:r>
      <w:r w:rsidR="00CF0F0E" w:rsidRPr="00C1603D">
        <w:t>Oman</w:t>
      </w:r>
      <w:r w:rsidRPr="00C1603D">
        <w:t xml:space="preserve">. </w:t>
      </w:r>
      <w:r w:rsidRPr="00C1603D">
        <w:rPr>
          <w:i/>
        </w:rPr>
        <w:t>Oman Med J</w:t>
      </w:r>
      <w:r w:rsidRPr="00C1603D">
        <w:t xml:space="preserve"> 2013;</w:t>
      </w:r>
      <w:r w:rsidRPr="00C1603D">
        <w:rPr>
          <w:b/>
        </w:rPr>
        <w:t>28</w:t>
      </w:r>
      <w:r w:rsidRPr="00C1603D">
        <w:t>:</w:t>
      </w:r>
      <w:r w:rsidRPr="00C1603D">
        <w:rPr>
          <w:color w:val="auto"/>
        </w:rPr>
        <w:t>232</w:t>
      </w:r>
      <w:r w:rsidRPr="00C1603D">
        <w:rPr>
          <w:color w:val="00B0F0"/>
        </w:rPr>
        <w:t>–</w:t>
      </w:r>
      <w:r w:rsidRPr="00C1603D">
        <w:rPr>
          <w:color w:val="auto"/>
        </w:rPr>
        <w:t>6</w:t>
      </w:r>
      <w:r w:rsidRPr="00C1603D">
        <w:t>. https://doi.org/10.5001/omj.2013.68</w:t>
      </w:r>
    </w:p>
    <w:p w14:paraId="2ED413A2" w14:textId="77777777" w:rsidR="00EF77DB" w:rsidRPr="00C1603D" w:rsidRDefault="00EF77DB" w:rsidP="00EF77DB">
      <w:pPr>
        <w:pStyle w:val="65ReferencesTextstylesTextstyles"/>
      </w:pPr>
      <w:r w:rsidRPr="00C1603D">
        <w:t>78.</w:t>
      </w:r>
      <w:r w:rsidRPr="00C1603D">
        <w:tab/>
      </w:r>
      <w:proofErr w:type="spellStart"/>
      <w:r w:rsidRPr="00C1603D">
        <w:t>Ashorn</w:t>
      </w:r>
      <w:proofErr w:type="spellEnd"/>
      <w:r w:rsidRPr="00C1603D">
        <w:t xml:space="preserve"> S, </w:t>
      </w:r>
      <w:proofErr w:type="spellStart"/>
      <w:r w:rsidRPr="00C1603D">
        <w:t>Raukola</w:t>
      </w:r>
      <w:proofErr w:type="spellEnd"/>
      <w:r w:rsidRPr="00C1603D">
        <w:t xml:space="preserve"> H, </w:t>
      </w:r>
      <w:proofErr w:type="spellStart"/>
      <w:r w:rsidRPr="00C1603D">
        <w:t>Välineva</w:t>
      </w:r>
      <w:proofErr w:type="spellEnd"/>
      <w:r w:rsidRPr="00C1603D">
        <w:t xml:space="preserve"> T, </w:t>
      </w:r>
      <w:proofErr w:type="spellStart"/>
      <w:r w:rsidRPr="00C1603D">
        <w:t>Ashorn</w:t>
      </w:r>
      <w:proofErr w:type="spellEnd"/>
      <w:r w:rsidRPr="00C1603D">
        <w:t xml:space="preserve"> M, Wei B, Braun J, </w:t>
      </w:r>
      <w:r w:rsidRPr="00C1603D">
        <w:rPr>
          <w:i/>
        </w:rPr>
        <w:t>et al</w:t>
      </w:r>
      <w:r w:rsidRPr="00C1603D">
        <w:t>. Elevated serum anti-Saccharomyces cerevisiae, anti-I2 and anti-</w:t>
      </w:r>
      <w:proofErr w:type="spellStart"/>
      <w:r w:rsidRPr="00C1603D">
        <w:t>OmpW</w:t>
      </w:r>
      <w:proofErr w:type="spellEnd"/>
      <w:r w:rsidRPr="00C1603D">
        <w:t xml:space="preserve"> antibody levels in patients with suspicion of celiac disease. </w:t>
      </w:r>
      <w:r w:rsidRPr="00C1603D">
        <w:rPr>
          <w:i/>
        </w:rPr>
        <w:t>J Clin Immunol</w:t>
      </w:r>
      <w:r w:rsidRPr="00C1603D">
        <w:t xml:space="preserve"> 2008;</w:t>
      </w:r>
      <w:r w:rsidRPr="00C1603D">
        <w:rPr>
          <w:b/>
        </w:rPr>
        <w:t>28</w:t>
      </w:r>
      <w:r w:rsidRPr="00C1603D">
        <w:t>:</w:t>
      </w:r>
      <w:r w:rsidRPr="00C1603D">
        <w:rPr>
          <w:color w:val="auto"/>
        </w:rPr>
        <w:t>486</w:t>
      </w:r>
      <w:r w:rsidRPr="00C1603D">
        <w:rPr>
          <w:color w:val="00B0F0"/>
        </w:rPr>
        <w:t>–</w:t>
      </w:r>
      <w:r w:rsidRPr="00C1603D">
        <w:rPr>
          <w:color w:val="auto"/>
        </w:rPr>
        <w:t>94</w:t>
      </w:r>
      <w:r w:rsidRPr="00C1603D">
        <w:t>. https://doi.org/10.1007/s10875-008-9200-9</w:t>
      </w:r>
    </w:p>
    <w:p w14:paraId="1901EA06" w14:textId="77777777" w:rsidR="00EF77DB" w:rsidRPr="00C1603D" w:rsidRDefault="00EF77DB" w:rsidP="00EF77DB">
      <w:pPr>
        <w:pStyle w:val="65ReferencesTextstylesTextstyles"/>
      </w:pPr>
      <w:r w:rsidRPr="00C1603D">
        <w:t>79.</w:t>
      </w:r>
      <w:r w:rsidRPr="00C1603D">
        <w:tab/>
      </w:r>
      <w:proofErr w:type="spellStart"/>
      <w:r w:rsidRPr="00C1603D">
        <w:t>Barada</w:t>
      </w:r>
      <w:proofErr w:type="spellEnd"/>
      <w:r w:rsidRPr="00C1603D">
        <w:t xml:space="preserve"> K, Habib RH, </w:t>
      </w:r>
      <w:proofErr w:type="spellStart"/>
      <w:r w:rsidRPr="00C1603D">
        <w:t>Malli</w:t>
      </w:r>
      <w:proofErr w:type="spellEnd"/>
      <w:r w:rsidRPr="00C1603D">
        <w:t xml:space="preserve"> A, </w:t>
      </w:r>
      <w:proofErr w:type="spellStart"/>
      <w:r w:rsidRPr="00C1603D">
        <w:t>Hashash</w:t>
      </w:r>
      <w:proofErr w:type="spellEnd"/>
      <w:r w:rsidRPr="00C1603D">
        <w:t xml:space="preserve"> JG, </w:t>
      </w:r>
      <w:proofErr w:type="spellStart"/>
      <w:r w:rsidRPr="00C1603D">
        <w:t>Halawi</w:t>
      </w:r>
      <w:proofErr w:type="spellEnd"/>
      <w:r w:rsidRPr="00C1603D">
        <w:t xml:space="preserve"> H, </w:t>
      </w:r>
      <w:proofErr w:type="spellStart"/>
      <w:r w:rsidRPr="00C1603D">
        <w:t>Maasri</w:t>
      </w:r>
      <w:proofErr w:type="spellEnd"/>
      <w:r w:rsidRPr="00C1603D">
        <w:t xml:space="preserve"> K, </w:t>
      </w:r>
      <w:r w:rsidRPr="00C1603D">
        <w:rPr>
          <w:i/>
        </w:rPr>
        <w:t>et al</w:t>
      </w:r>
      <w:r w:rsidRPr="00C1603D">
        <w:t xml:space="preserve">. Prediction of celiac disease at endoscopy. </w:t>
      </w:r>
      <w:r w:rsidRPr="00C1603D">
        <w:rPr>
          <w:i/>
        </w:rPr>
        <w:t>Endoscopy</w:t>
      </w:r>
      <w:r w:rsidRPr="00C1603D">
        <w:t xml:space="preserve"> 2014;</w:t>
      </w:r>
      <w:r w:rsidRPr="00C1603D">
        <w:rPr>
          <w:b/>
        </w:rPr>
        <w:t>46</w:t>
      </w:r>
      <w:r w:rsidRPr="00C1603D">
        <w:t>:</w:t>
      </w:r>
      <w:r w:rsidRPr="00C1603D">
        <w:rPr>
          <w:color w:val="auto"/>
        </w:rPr>
        <w:t>110</w:t>
      </w:r>
      <w:r w:rsidRPr="00C1603D">
        <w:rPr>
          <w:color w:val="00B0F0"/>
        </w:rPr>
        <w:t>–</w:t>
      </w:r>
      <w:r w:rsidRPr="00C1603D">
        <w:rPr>
          <w:color w:val="auto"/>
        </w:rPr>
        <w:t>19</w:t>
      </w:r>
      <w:r w:rsidRPr="00C1603D">
        <w:t>. https://doi.org/10.1055/s-0033-1359200</w:t>
      </w:r>
    </w:p>
    <w:p w14:paraId="797B962F" w14:textId="28DF2A54" w:rsidR="00EF77DB" w:rsidRPr="00C1603D" w:rsidRDefault="00EF77DB" w:rsidP="00EF77DB">
      <w:pPr>
        <w:pStyle w:val="65ReferencesTextstylesTextstyles"/>
      </w:pPr>
      <w:r w:rsidRPr="00C1603D">
        <w:t>80.</w:t>
      </w:r>
      <w:r w:rsidRPr="00C1603D">
        <w:tab/>
        <w:t xml:space="preserve">Bayram Y, Parlak M, </w:t>
      </w:r>
      <w:proofErr w:type="spellStart"/>
      <w:r w:rsidRPr="00C1603D">
        <w:t>Aypak</w:t>
      </w:r>
      <w:proofErr w:type="spellEnd"/>
      <w:r w:rsidRPr="00C1603D">
        <w:t xml:space="preserve"> C, Bayram I, Yilmaz D, </w:t>
      </w:r>
      <w:proofErr w:type="spellStart"/>
      <w:r w:rsidRPr="00C1603D">
        <w:t>Cikman</w:t>
      </w:r>
      <w:proofErr w:type="spellEnd"/>
      <w:r w:rsidRPr="00C1603D">
        <w:t xml:space="preserve"> A. Diagnostic accuracy of IgA anti-tissue transglutaminase in celiac disease in Van</w:t>
      </w:r>
      <w:r w:rsidR="00CF0F0E" w:rsidRPr="00C1603D">
        <w:t xml:space="preserve"> – </w:t>
      </w:r>
      <w:r w:rsidRPr="00C1603D">
        <w:t xml:space="preserve">Turkey. </w:t>
      </w:r>
      <w:r w:rsidRPr="00C1603D">
        <w:rPr>
          <w:i/>
        </w:rPr>
        <w:t>East</w:t>
      </w:r>
      <w:r w:rsidR="00CF0F0E" w:rsidRPr="00C1603D">
        <w:rPr>
          <w:i/>
        </w:rPr>
        <w:t xml:space="preserve"> J</w:t>
      </w:r>
      <w:r w:rsidRPr="00C1603D">
        <w:t xml:space="preserve"> </w:t>
      </w:r>
      <w:r w:rsidRPr="00C1603D">
        <w:rPr>
          <w:i/>
        </w:rPr>
        <w:t>Med</w:t>
      </w:r>
      <w:r w:rsidR="00CF0F0E" w:rsidRPr="00C1603D">
        <w:rPr>
          <w:i/>
        </w:rPr>
        <w:t xml:space="preserve"> </w:t>
      </w:r>
      <w:r w:rsidRPr="00C1603D">
        <w:t>2015;</w:t>
      </w:r>
      <w:r w:rsidRPr="00C1603D">
        <w:rPr>
          <w:b/>
        </w:rPr>
        <w:t>20</w:t>
      </w:r>
      <w:r w:rsidRPr="00C1603D">
        <w:t>:20</w:t>
      </w:r>
      <w:r w:rsidR="00CF0F0E" w:rsidRPr="00C1603D">
        <w:t>–</w:t>
      </w:r>
      <w:r w:rsidRPr="00C1603D">
        <w:t>3.</w:t>
      </w:r>
    </w:p>
    <w:p w14:paraId="153D7726" w14:textId="77777777" w:rsidR="00EF77DB" w:rsidRPr="00C1603D" w:rsidRDefault="00EF77DB" w:rsidP="00EF77DB">
      <w:pPr>
        <w:pStyle w:val="65ReferencesTextstylesTextstyles"/>
      </w:pPr>
      <w:r w:rsidRPr="00C1603D">
        <w:t>81.</w:t>
      </w:r>
      <w:r w:rsidRPr="00C1603D">
        <w:tab/>
        <w:t xml:space="preserve">Carroccio A, Vitale G, Di Prima L, </w:t>
      </w:r>
      <w:proofErr w:type="spellStart"/>
      <w:r w:rsidRPr="00C1603D">
        <w:t>Chifari</w:t>
      </w:r>
      <w:proofErr w:type="spellEnd"/>
      <w:r w:rsidRPr="00C1603D">
        <w:t xml:space="preserve"> N, Napoli S, La Russa C, </w:t>
      </w:r>
      <w:r w:rsidRPr="00C1603D">
        <w:rPr>
          <w:i/>
        </w:rPr>
        <w:t>et al</w:t>
      </w:r>
      <w:r w:rsidRPr="00C1603D">
        <w:t xml:space="preserve">. Comparison of anti-transglutaminase ELISAs and an anti-endomysial antibody assay in the diagnosis of celiac disease: a prospective study. </w:t>
      </w:r>
      <w:r w:rsidRPr="00C1603D">
        <w:rPr>
          <w:i/>
        </w:rPr>
        <w:t>Clin Chem</w:t>
      </w:r>
      <w:r w:rsidRPr="00C1603D">
        <w:t xml:space="preserve"> 2002;</w:t>
      </w:r>
      <w:r w:rsidRPr="00C1603D">
        <w:rPr>
          <w:b/>
        </w:rPr>
        <w:t>48</w:t>
      </w:r>
      <w:r w:rsidRPr="00C1603D">
        <w:t>:</w:t>
      </w:r>
      <w:r w:rsidRPr="00C1603D">
        <w:rPr>
          <w:color w:val="auto"/>
        </w:rPr>
        <w:t>1546</w:t>
      </w:r>
      <w:r w:rsidRPr="00C1603D">
        <w:rPr>
          <w:color w:val="00B0F0"/>
        </w:rPr>
        <w:t>–</w:t>
      </w:r>
      <w:r w:rsidRPr="00C1603D">
        <w:rPr>
          <w:color w:val="auto"/>
        </w:rPr>
        <w:t>50</w:t>
      </w:r>
      <w:r w:rsidRPr="00C1603D">
        <w:t>.</w:t>
      </w:r>
    </w:p>
    <w:p w14:paraId="721099D5" w14:textId="77777777" w:rsidR="00EF77DB" w:rsidRPr="00C1603D" w:rsidRDefault="00EF77DB" w:rsidP="00EF77DB">
      <w:pPr>
        <w:pStyle w:val="65ReferencesTextstylesTextstyles"/>
      </w:pPr>
      <w:r w:rsidRPr="00C1603D">
        <w:t>82.</w:t>
      </w:r>
      <w:r w:rsidRPr="00C1603D">
        <w:tab/>
        <w:t xml:space="preserve">Carroccio A, Di Prima L, </w:t>
      </w:r>
      <w:proofErr w:type="spellStart"/>
      <w:r w:rsidRPr="00C1603D">
        <w:t>Pirrone</w:t>
      </w:r>
      <w:proofErr w:type="spellEnd"/>
      <w:r w:rsidRPr="00C1603D">
        <w:t xml:space="preserve"> G, </w:t>
      </w:r>
      <w:proofErr w:type="spellStart"/>
      <w:r w:rsidRPr="00C1603D">
        <w:t>Scalici</w:t>
      </w:r>
      <w:proofErr w:type="spellEnd"/>
      <w:r w:rsidRPr="00C1603D">
        <w:t xml:space="preserve"> C, </w:t>
      </w:r>
      <w:proofErr w:type="spellStart"/>
      <w:r w:rsidRPr="00C1603D">
        <w:t>Florena</w:t>
      </w:r>
      <w:proofErr w:type="spellEnd"/>
      <w:r w:rsidRPr="00C1603D">
        <w:t xml:space="preserve"> AM, </w:t>
      </w:r>
      <w:proofErr w:type="spellStart"/>
      <w:r w:rsidRPr="00C1603D">
        <w:t>Gasparin</w:t>
      </w:r>
      <w:proofErr w:type="spellEnd"/>
      <w:r w:rsidRPr="00C1603D">
        <w:t xml:space="preserve"> M, </w:t>
      </w:r>
      <w:r w:rsidRPr="00C1603D">
        <w:rPr>
          <w:i/>
        </w:rPr>
        <w:t>et al</w:t>
      </w:r>
      <w:r w:rsidRPr="00C1603D">
        <w:t xml:space="preserve">. Anti-transglutaminase antibody assay of the culture medium of intestinal biopsy specimens can improve the accuracy of celiac disease diagnosis. </w:t>
      </w:r>
      <w:r w:rsidRPr="00C1603D">
        <w:rPr>
          <w:i/>
        </w:rPr>
        <w:t>Clin Chem</w:t>
      </w:r>
      <w:r w:rsidRPr="00C1603D">
        <w:t xml:space="preserve"> 2006;</w:t>
      </w:r>
      <w:r w:rsidRPr="00C1603D">
        <w:rPr>
          <w:b/>
        </w:rPr>
        <w:t>52</w:t>
      </w:r>
      <w:r w:rsidRPr="00C1603D">
        <w:t>:</w:t>
      </w:r>
      <w:r w:rsidRPr="00C1603D">
        <w:rPr>
          <w:color w:val="auto"/>
        </w:rPr>
        <w:t>1175</w:t>
      </w:r>
      <w:r w:rsidRPr="00C1603D">
        <w:rPr>
          <w:color w:val="00B0F0"/>
        </w:rPr>
        <w:t>–</w:t>
      </w:r>
      <w:r w:rsidRPr="00C1603D">
        <w:rPr>
          <w:color w:val="auto"/>
        </w:rPr>
        <w:t>80</w:t>
      </w:r>
      <w:r w:rsidRPr="00C1603D">
        <w:t>.</w:t>
      </w:r>
    </w:p>
    <w:p w14:paraId="01EA86F4" w14:textId="77777777" w:rsidR="00EF77DB" w:rsidRPr="00C1603D" w:rsidRDefault="00EF77DB" w:rsidP="00EF77DB">
      <w:pPr>
        <w:pStyle w:val="65ReferencesTextstylesTextstyles"/>
      </w:pPr>
      <w:r w:rsidRPr="00C1603D">
        <w:t>83.</w:t>
      </w:r>
      <w:r w:rsidRPr="00C1603D">
        <w:tab/>
      </w:r>
      <w:proofErr w:type="spellStart"/>
      <w:r w:rsidRPr="00C1603D">
        <w:t>Dahle</w:t>
      </w:r>
      <w:proofErr w:type="spellEnd"/>
      <w:r w:rsidRPr="00C1603D">
        <w:t xml:space="preserve"> C, Hagman A, </w:t>
      </w:r>
      <w:proofErr w:type="spellStart"/>
      <w:r w:rsidRPr="00C1603D">
        <w:t>Ignatova</w:t>
      </w:r>
      <w:proofErr w:type="spellEnd"/>
      <w:r w:rsidRPr="00C1603D">
        <w:t xml:space="preserve"> S, </w:t>
      </w:r>
      <w:proofErr w:type="spellStart"/>
      <w:r w:rsidRPr="00C1603D">
        <w:t>Ström</w:t>
      </w:r>
      <w:proofErr w:type="spellEnd"/>
      <w:r w:rsidRPr="00C1603D">
        <w:t xml:space="preserve"> M. Antibodies against deamidated gliadin peptides identify adult coeliac disease patients negative for antibodies against endomysium and tissue transglutaminase.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2010;</w:t>
      </w:r>
      <w:r w:rsidRPr="00C1603D">
        <w:rPr>
          <w:b/>
        </w:rPr>
        <w:t>32</w:t>
      </w:r>
      <w:r w:rsidRPr="00C1603D">
        <w:t>:</w:t>
      </w:r>
      <w:r w:rsidRPr="00C1603D">
        <w:rPr>
          <w:color w:val="auto"/>
        </w:rPr>
        <w:t>254</w:t>
      </w:r>
      <w:r w:rsidRPr="00C1603D">
        <w:rPr>
          <w:color w:val="00B0F0"/>
        </w:rPr>
        <w:t>–</w:t>
      </w:r>
      <w:r w:rsidRPr="00C1603D">
        <w:rPr>
          <w:color w:val="auto"/>
        </w:rPr>
        <w:t>60</w:t>
      </w:r>
      <w:r w:rsidRPr="00C1603D">
        <w:t>. https://doi.org/10.1111/j.1365-2036.2010.04337.x</w:t>
      </w:r>
    </w:p>
    <w:p w14:paraId="1D47FACF" w14:textId="77777777" w:rsidR="00EF77DB" w:rsidRPr="00C1603D" w:rsidRDefault="00EF77DB" w:rsidP="00EF77DB">
      <w:pPr>
        <w:pStyle w:val="65ReferencesTextstylesTextstyles"/>
      </w:pPr>
      <w:r w:rsidRPr="00C1603D">
        <w:t>84.</w:t>
      </w:r>
      <w:r w:rsidRPr="00C1603D">
        <w:tab/>
        <w:t xml:space="preserve">Dutta AK, Chacko A, </w:t>
      </w:r>
      <w:proofErr w:type="spellStart"/>
      <w:r w:rsidRPr="00C1603D">
        <w:t>Avinash</w:t>
      </w:r>
      <w:proofErr w:type="spellEnd"/>
      <w:r w:rsidRPr="00C1603D">
        <w:t xml:space="preserve"> B. Suboptimal performance of IgG anti-tissue transglutaminase in the diagnosis of celiac disease in a tropical country. </w:t>
      </w:r>
      <w:r w:rsidRPr="00C1603D">
        <w:rPr>
          <w:i/>
        </w:rPr>
        <w:t>Dig Dis Sci</w:t>
      </w:r>
      <w:r w:rsidRPr="00C1603D">
        <w:t xml:space="preserve"> 2010;</w:t>
      </w:r>
      <w:r w:rsidRPr="00C1603D">
        <w:rPr>
          <w:b/>
        </w:rPr>
        <w:t>55</w:t>
      </w:r>
      <w:r w:rsidRPr="00C1603D">
        <w:t>:</w:t>
      </w:r>
      <w:r w:rsidRPr="00C1603D">
        <w:rPr>
          <w:color w:val="auto"/>
        </w:rPr>
        <w:t>698</w:t>
      </w:r>
      <w:r w:rsidRPr="00C1603D">
        <w:rPr>
          <w:color w:val="00B0F0"/>
        </w:rPr>
        <w:t>–</w:t>
      </w:r>
      <w:r w:rsidRPr="00C1603D">
        <w:rPr>
          <w:color w:val="auto"/>
        </w:rPr>
        <w:t>702</w:t>
      </w:r>
      <w:r w:rsidRPr="00C1603D">
        <w:t>. https://doi.org/10.1007/s10620-009-0789-1</w:t>
      </w:r>
    </w:p>
    <w:p w14:paraId="6D6DAB92" w14:textId="6460F636" w:rsidR="00EF77DB" w:rsidRPr="00C1603D" w:rsidRDefault="00EF77DB" w:rsidP="00EF77DB">
      <w:pPr>
        <w:pStyle w:val="65ReferencesTextstylesTextstyles"/>
      </w:pPr>
      <w:r w:rsidRPr="00C1603D">
        <w:t>85.</w:t>
      </w:r>
      <w:r w:rsidRPr="00C1603D">
        <w:tab/>
      </w:r>
      <w:proofErr w:type="spellStart"/>
      <w:r w:rsidRPr="00C1603D">
        <w:t>Emami</w:t>
      </w:r>
      <w:proofErr w:type="spellEnd"/>
      <w:r w:rsidRPr="00C1603D">
        <w:t xml:space="preserve"> MH, Karimi S, </w:t>
      </w:r>
      <w:proofErr w:type="spellStart"/>
      <w:r w:rsidRPr="00C1603D">
        <w:t>Kouhestani</w:t>
      </w:r>
      <w:proofErr w:type="spellEnd"/>
      <w:r w:rsidRPr="00C1603D">
        <w:t xml:space="preserve"> S, Hashemi M, Taheri H. Diagnostic accuracy of IgA anti-tissue transglutaminase in patients suspected of having coeliac disease in Iran. </w:t>
      </w:r>
      <w:r w:rsidRPr="00C1603D">
        <w:rPr>
          <w:i/>
        </w:rPr>
        <w:t xml:space="preserve">J </w:t>
      </w:r>
      <w:proofErr w:type="spellStart"/>
      <w:r w:rsidRPr="00C1603D">
        <w:rPr>
          <w:i/>
        </w:rPr>
        <w:t>Gastrointestin</w:t>
      </w:r>
      <w:proofErr w:type="spellEnd"/>
      <w:r w:rsidRPr="00C1603D">
        <w:rPr>
          <w:i/>
        </w:rPr>
        <w:t xml:space="preserve"> Liver Dis</w:t>
      </w:r>
      <w:r w:rsidRPr="00C1603D">
        <w:t xml:space="preserve"> 2008;</w:t>
      </w:r>
      <w:r w:rsidRPr="00C1603D">
        <w:rPr>
          <w:b/>
        </w:rPr>
        <w:t>17</w:t>
      </w:r>
      <w:r w:rsidRPr="00C1603D">
        <w:t>:</w:t>
      </w:r>
      <w:r w:rsidRPr="00C1603D">
        <w:rPr>
          <w:color w:val="auto"/>
        </w:rPr>
        <w:t>141</w:t>
      </w:r>
      <w:r w:rsidRPr="00C1603D">
        <w:rPr>
          <w:color w:val="00B0F0"/>
        </w:rPr>
        <w:t>–</w:t>
      </w:r>
      <w:r w:rsidRPr="00C1603D">
        <w:rPr>
          <w:color w:val="auto"/>
        </w:rPr>
        <w:t>6</w:t>
      </w:r>
      <w:r w:rsidRPr="00C1603D">
        <w:t>.</w:t>
      </w:r>
    </w:p>
    <w:p w14:paraId="235BDEC0" w14:textId="1C065705" w:rsidR="00EF77DB" w:rsidRPr="00C1603D" w:rsidRDefault="00EF77DB" w:rsidP="00EF77DB">
      <w:pPr>
        <w:pStyle w:val="65ReferencesTextstylesTextstyles"/>
      </w:pPr>
      <w:r w:rsidRPr="00C1603D">
        <w:t>86.</w:t>
      </w:r>
      <w:r w:rsidRPr="00C1603D">
        <w:tab/>
        <w:t xml:space="preserve">Eremic N, </w:t>
      </w:r>
      <w:proofErr w:type="spellStart"/>
      <w:r w:rsidRPr="00C1603D">
        <w:t>Deic</w:t>
      </w:r>
      <w:proofErr w:type="spellEnd"/>
      <w:r w:rsidRPr="00C1603D">
        <w:t xml:space="preserve"> M, </w:t>
      </w:r>
      <w:proofErr w:type="spellStart"/>
      <w:r w:rsidRPr="00C1603D">
        <w:t>Hadnadev</w:t>
      </w:r>
      <w:proofErr w:type="spellEnd"/>
      <w:r w:rsidRPr="00C1603D">
        <w:t xml:space="preserve"> L. Diagnostic accuracy of IGA anti-tissue transglutaminase antibody testing in celiac disease. </w:t>
      </w:r>
      <w:r w:rsidR="00CF0F0E" w:rsidRPr="00C1603D">
        <w:rPr>
          <w:i/>
        </w:rPr>
        <w:t>J Med</w:t>
      </w:r>
      <w:r w:rsidRPr="00C1603D">
        <w:t xml:space="preserve"> </w:t>
      </w:r>
      <w:proofErr w:type="spellStart"/>
      <w:r w:rsidRPr="00C1603D">
        <w:rPr>
          <w:i/>
        </w:rPr>
        <w:t>Biochem</w:t>
      </w:r>
      <w:proofErr w:type="spellEnd"/>
      <w:r w:rsidR="00CF0F0E" w:rsidRPr="00C1603D">
        <w:rPr>
          <w:i/>
        </w:rPr>
        <w:t xml:space="preserve"> </w:t>
      </w:r>
      <w:r w:rsidRPr="00C1603D">
        <w:t>2012;</w:t>
      </w:r>
      <w:r w:rsidRPr="00C1603D">
        <w:rPr>
          <w:b/>
        </w:rPr>
        <w:t>31</w:t>
      </w:r>
      <w:r w:rsidRPr="00C1603D">
        <w:t>:100</w:t>
      </w:r>
      <w:r w:rsidR="00CF0F0E" w:rsidRPr="00C1603D">
        <w:t>–</w:t>
      </w:r>
      <w:r w:rsidRPr="00C1603D">
        <w:t>6.</w:t>
      </w:r>
    </w:p>
    <w:p w14:paraId="167D3602" w14:textId="77777777" w:rsidR="00EF77DB" w:rsidRPr="00C1603D" w:rsidRDefault="00EF77DB" w:rsidP="00EF77DB">
      <w:pPr>
        <w:pStyle w:val="65ReferencesTextstylesTextstyles"/>
      </w:pPr>
      <w:r w:rsidRPr="00C1603D">
        <w:t>87.</w:t>
      </w:r>
      <w:r w:rsidRPr="00C1603D">
        <w:tab/>
        <w:t xml:space="preserve">Fernández ML, </w:t>
      </w:r>
      <w:proofErr w:type="spellStart"/>
      <w:r w:rsidRPr="00C1603D">
        <w:t>Vivas</w:t>
      </w:r>
      <w:proofErr w:type="spellEnd"/>
      <w:r w:rsidRPr="00C1603D">
        <w:t xml:space="preserve"> S, Ruiz de Morales JM, </w:t>
      </w:r>
      <w:proofErr w:type="spellStart"/>
      <w:r w:rsidRPr="00C1603D">
        <w:t>Marugán</w:t>
      </w:r>
      <w:proofErr w:type="spellEnd"/>
      <w:r w:rsidRPr="00C1603D">
        <w:t xml:space="preserve"> JM. [Usefulness of anti-transglutaminase antibodies in the diagnosis of celiac disease.] </w:t>
      </w:r>
      <w:r w:rsidRPr="00C1603D">
        <w:rPr>
          <w:i/>
        </w:rPr>
        <w:t>Gastroenterol Hepatol</w:t>
      </w:r>
      <w:r w:rsidRPr="00C1603D">
        <w:t xml:space="preserve"> 2005;</w:t>
      </w:r>
      <w:r w:rsidRPr="00C1603D">
        <w:rPr>
          <w:b/>
        </w:rPr>
        <w:t>28</w:t>
      </w:r>
      <w:r w:rsidRPr="00C1603D">
        <w:t>:</w:t>
      </w:r>
      <w:r w:rsidRPr="00C1603D">
        <w:rPr>
          <w:color w:val="auto"/>
        </w:rPr>
        <w:t>437</w:t>
      </w:r>
      <w:r w:rsidRPr="00C1603D">
        <w:rPr>
          <w:color w:val="00B0F0"/>
        </w:rPr>
        <w:t>–</w:t>
      </w:r>
      <w:r w:rsidRPr="00C1603D">
        <w:rPr>
          <w:color w:val="auto"/>
        </w:rPr>
        <w:t>40</w:t>
      </w:r>
      <w:r w:rsidRPr="00C1603D">
        <w:t>.</w:t>
      </w:r>
    </w:p>
    <w:p w14:paraId="5C8D9E6D" w14:textId="77777777" w:rsidR="00EF77DB" w:rsidRPr="00C1603D" w:rsidRDefault="00EF77DB" w:rsidP="00EF77DB">
      <w:pPr>
        <w:pStyle w:val="65ReferencesTextstylesTextstyles"/>
      </w:pPr>
      <w:r w:rsidRPr="00C1603D">
        <w:t>88.</w:t>
      </w:r>
      <w:r w:rsidRPr="00C1603D">
        <w:tab/>
      </w:r>
      <w:proofErr w:type="spellStart"/>
      <w:r w:rsidRPr="00C1603D">
        <w:t>Hadithi</w:t>
      </w:r>
      <w:proofErr w:type="spellEnd"/>
      <w:r w:rsidRPr="00C1603D">
        <w:t xml:space="preserve"> M, von Blomberg BM, Crusius JB, </w:t>
      </w:r>
      <w:proofErr w:type="spellStart"/>
      <w:r w:rsidRPr="00C1603D">
        <w:t>Bloemena</w:t>
      </w:r>
      <w:proofErr w:type="spellEnd"/>
      <w:r w:rsidRPr="00C1603D">
        <w:t xml:space="preserve"> E, </w:t>
      </w:r>
      <w:proofErr w:type="spellStart"/>
      <w:r w:rsidRPr="00C1603D">
        <w:t>Kostense</w:t>
      </w:r>
      <w:proofErr w:type="spellEnd"/>
      <w:r w:rsidRPr="00C1603D">
        <w:t xml:space="preserve"> PJ, Meijer JW, </w:t>
      </w:r>
      <w:r w:rsidRPr="00C1603D">
        <w:rPr>
          <w:i/>
        </w:rPr>
        <w:t>et al</w:t>
      </w:r>
      <w:r w:rsidRPr="00C1603D">
        <w:t xml:space="preserve">. Accuracy of serologic tests and HLA-DQ typing for diagnosing celiac disease. </w:t>
      </w:r>
      <w:r w:rsidRPr="00C1603D">
        <w:rPr>
          <w:i/>
        </w:rPr>
        <w:t>Ann Intern Med</w:t>
      </w:r>
      <w:r w:rsidRPr="00C1603D">
        <w:t xml:space="preserve"> 2007;</w:t>
      </w:r>
      <w:r w:rsidRPr="00C1603D">
        <w:rPr>
          <w:b/>
        </w:rPr>
        <w:t>147</w:t>
      </w:r>
      <w:r w:rsidRPr="00C1603D">
        <w:t>:</w:t>
      </w:r>
      <w:r w:rsidRPr="00C1603D">
        <w:rPr>
          <w:color w:val="auto"/>
        </w:rPr>
        <w:t>294</w:t>
      </w:r>
      <w:r w:rsidRPr="00C1603D">
        <w:rPr>
          <w:color w:val="00B0F0"/>
        </w:rPr>
        <w:t>–</w:t>
      </w:r>
      <w:r w:rsidRPr="00C1603D">
        <w:rPr>
          <w:color w:val="auto"/>
        </w:rPr>
        <w:t>302</w:t>
      </w:r>
      <w:r w:rsidRPr="00C1603D">
        <w:t>.</w:t>
      </w:r>
    </w:p>
    <w:p w14:paraId="4003A22D" w14:textId="698AEC32" w:rsidR="00EF77DB" w:rsidRPr="00C1603D" w:rsidRDefault="00EF77DB" w:rsidP="00EF77DB">
      <w:pPr>
        <w:pStyle w:val="65ReferencesTextstylesTextstyles"/>
      </w:pPr>
      <w:r w:rsidRPr="00C1603D">
        <w:t>89.</w:t>
      </w:r>
      <w:r w:rsidRPr="00C1603D">
        <w:tab/>
        <w:t xml:space="preserve">Holmes GKT, Forsyth JM, Knowles S, Seddon H, Hill PG, Austin AS. Coeliac disease: </w:t>
      </w:r>
      <w:r w:rsidR="00CF0F0E" w:rsidRPr="00C1603D">
        <w:t>f</w:t>
      </w:r>
      <w:r w:rsidRPr="00C1603D">
        <w:t xml:space="preserve">urther evidence that biopsy is not always necessary for diagnosis. </w:t>
      </w:r>
      <w:proofErr w:type="spellStart"/>
      <w:r w:rsidR="00CF0F0E" w:rsidRPr="00C1603D">
        <w:rPr>
          <w:i/>
        </w:rPr>
        <w:t>Eur</w:t>
      </w:r>
      <w:proofErr w:type="spellEnd"/>
      <w:r w:rsidR="00CF0F0E" w:rsidRPr="00C1603D">
        <w:rPr>
          <w:i/>
        </w:rPr>
        <w:t xml:space="preserve"> J</w:t>
      </w:r>
      <w:r w:rsidRPr="00C1603D">
        <w:t xml:space="preserve"> </w:t>
      </w:r>
      <w:r w:rsidRPr="00C1603D">
        <w:rPr>
          <w:i/>
        </w:rPr>
        <w:t>Gastroenterol</w:t>
      </w:r>
      <w:r w:rsidR="00CF0F0E" w:rsidRPr="00C1603D">
        <w:rPr>
          <w:i/>
        </w:rPr>
        <w:t xml:space="preserve"> </w:t>
      </w:r>
      <w:r w:rsidRPr="00C1603D">
        <w:rPr>
          <w:i/>
        </w:rPr>
        <w:t>Hepatol</w:t>
      </w:r>
      <w:r w:rsidRPr="00C1603D">
        <w:t xml:space="preserve"> 2017;</w:t>
      </w:r>
      <w:r w:rsidRPr="00C1603D">
        <w:rPr>
          <w:b/>
        </w:rPr>
        <w:t>29</w:t>
      </w:r>
      <w:r w:rsidRPr="00C1603D">
        <w:t>:640</w:t>
      </w:r>
      <w:r w:rsidR="00CF0F0E" w:rsidRPr="00C1603D">
        <w:t>–</w:t>
      </w:r>
      <w:r w:rsidRPr="00C1603D">
        <w:t>5.</w:t>
      </w:r>
    </w:p>
    <w:p w14:paraId="6671655F" w14:textId="77777777" w:rsidR="00EF77DB" w:rsidRPr="00C1603D" w:rsidRDefault="00EF77DB" w:rsidP="00EF77DB">
      <w:pPr>
        <w:pStyle w:val="65ReferencesTextstylesTextstyles"/>
      </w:pPr>
      <w:r w:rsidRPr="00C1603D">
        <w:t>90.</w:t>
      </w:r>
      <w:r w:rsidRPr="00C1603D">
        <w:tab/>
        <w:t xml:space="preserve">Hopper AD, </w:t>
      </w:r>
      <w:proofErr w:type="spellStart"/>
      <w:r w:rsidRPr="00C1603D">
        <w:t>Hadjivassiliou</w:t>
      </w:r>
      <w:proofErr w:type="spellEnd"/>
      <w:r w:rsidRPr="00C1603D">
        <w:t xml:space="preserve"> M, Hurlstone DP, Lobo AJ, </w:t>
      </w:r>
      <w:proofErr w:type="spellStart"/>
      <w:r w:rsidRPr="00C1603D">
        <w:t>McAlindon</w:t>
      </w:r>
      <w:proofErr w:type="spellEnd"/>
      <w:r w:rsidRPr="00C1603D">
        <w:t xml:space="preserve"> ME, </w:t>
      </w:r>
      <w:proofErr w:type="spellStart"/>
      <w:r w:rsidRPr="00C1603D">
        <w:t>Egner</w:t>
      </w:r>
      <w:proofErr w:type="spellEnd"/>
      <w:r w:rsidRPr="00C1603D">
        <w:t xml:space="preserve"> W, </w:t>
      </w:r>
      <w:r w:rsidRPr="00C1603D">
        <w:rPr>
          <w:i/>
        </w:rPr>
        <w:t>et al</w:t>
      </w:r>
      <w:r w:rsidRPr="00C1603D">
        <w:t xml:space="preserve">. What is the role of serologic testing in celiac disease? A prospective, biopsy-confirmed study with economic analysis. </w:t>
      </w:r>
      <w:r w:rsidRPr="00C1603D">
        <w:rPr>
          <w:i/>
        </w:rPr>
        <w:t>Clin Gastroenterol Hepatol</w:t>
      </w:r>
      <w:r w:rsidRPr="00C1603D">
        <w:t xml:space="preserve"> 2008;</w:t>
      </w:r>
      <w:r w:rsidRPr="00C1603D">
        <w:rPr>
          <w:b/>
        </w:rPr>
        <w:t>6</w:t>
      </w:r>
      <w:r w:rsidRPr="00C1603D">
        <w:t>:</w:t>
      </w:r>
      <w:r w:rsidRPr="00C1603D">
        <w:rPr>
          <w:color w:val="auto"/>
        </w:rPr>
        <w:t>314</w:t>
      </w:r>
      <w:r w:rsidRPr="00C1603D">
        <w:rPr>
          <w:color w:val="00B0F0"/>
        </w:rPr>
        <w:t>–</w:t>
      </w:r>
      <w:r w:rsidRPr="00C1603D">
        <w:rPr>
          <w:color w:val="auto"/>
        </w:rPr>
        <w:t>20</w:t>
      </w:r>
      <w:r w:rsidRPr="00C1603D">
        <w:t>. https://doi.org/10.1016/j.cgh.2007.12.008</w:t>
      </w:r>
    </w:p>
    <w:p w14:paraId="274AE33A" w14:textId="2ABE69E0" w:rsidR="00EF77DB" w:rsidRPr="00C1603D" w:rsidRDefault="00EF77DB" w:rsidP="00EF77DB">
      <w:pPr>
        <w:pStyle w:val="65ReferencesTextstylesTextstyles"/>
      </w:pPr>
      <w:r w:rsidRPr="00C1603D">
        <w:t>91.</w:t>
      </w:r>
      <w:r w:rsidRPr="00C1603D">
        <w:tab/>
      </w:r>
      <w:proofErr w:type="spellStart"/>
      <w:r w:rsidRPr="00C1603D">
        <w:t>Jarmi</w:t>
      </w:r>
      <w:proofErr w:type="spellEnd"/>
      <w:r w:rsidRPr="00C1603D">
        <w:t xml:space="preserve"> V, </w:t>
      </w:r>
      <w:proofErr w:type="spellStart"/>
      <w:r w:rsidRPr="00C1603D">
        <w:t>Cejas</w:t>
      </w:r>
      <w:proofErr w:type="spellEnd"/>
      <w:r w:rsidRPr="00C1603D">
        <w:t xml:space="preserve"> N, </w:t>
      </w:r>
      <w:proofErr w:type="spellStart"/>
      <w:r w:rsidRPr="00C1603D">
        <w:t>Kiener</w:t>
      </w:r>
      <w:proofErr w:type="spellEnd"/>
      <w:r w:rsidRPr="00C1603D">
        <w:t xml:space="preserve"> O, de Elías R, </w:t>
      </w:r>
      <w:proofErr w:type="spellStart"/>
      <w:r w:rsidRPr="00C1603D">
        <w:t>Balzola</w:t>
      </w:r>
      <w:proofErr w:type="spellEnd"/>
      <w:r w:rsidRPr="00C1603D">
        <w:t xml:space="preserve"> S, Cordoba C, </w:t>
      </w:r>
      <w:r w:rsidRPr="00C1603D">
        <w:rPr>
          <w:i/>
        </w:rPr>
        <w:t>et</w:t>
      </w:r>
      <w:r w:rsidRPr="00C1603D">
        <w:t xml:space="preserve"> </w:t>
      </w:r>
      <w:r w:rsidRPr="00C1603D">
        <w:rPr>
          <w:i/>
        </w:rPr>
        <w:t>al</w:t>
      </w:r>
      <w:r w:rsidRPr="00C1603D">
        <w:t xml:space="preserve">. Diagnostic accuracy of antibodies to deamidated gliadin peptides. </w:t>
      </w:r>
      <w:r w:rsidR="00CF0F0E" w:rsidRPr="00C1603D">
        <w:rPr>
          <w:i/>
        </w:rPr>
        <w:t xml:space="preserve">Acta </w:t>
      </w:r>
      <w:proofErr w:type="spellStart"/>
      <w:r w:rsidR="00CF0F0E" w:rsidRPr="00C1603D">
        <w:rPr>
          <w:i/>
        </w:rPr>
        <w:t>Bioquim</w:t>
      </w:r>
      <w:proofErr w:type="spellEnd"/>
      <w:r w:rsidR="00CF0F0E" w:rsidRPr="00C1603D">
        <w:rPr>
          <w:i/>
        </w:rPr>
        <w:t xml:space="preserve"> Clin </w:t>
      </w:r>
      <w:proofErr w:type="spellStart"/>
      <w:r w:rsidR="00CF0F0E" w:rsidRPr="00C1603D">
        <w:rPr>
          <w:i/>
        </w:rPr>
        <w:t>Latinoam</w:t>
      </w:r>
      <w:proofErr w:type="spellEnd"/>
      <w:r w:rsidR="00CF0F0E" w:rsidRPr="00C1603D">
        <w:rPr>
          <w:i/>
        </w:rPr>
        <w:t xml:space="preserve"> </w:t>
      </w:r>
      <w:r w:rsidRPr="00C1603D">
        <w:t>2010;</w:t>
      </w:r>
      <w:r w:rsidRPr="00C1603D">
        <w:rPr>
          <w:b/>
        </w:rPr>
        <w:t>44</w:t>
      </w:r>
      <w:r w:rsidRPr="00C1603D">
        <w:t>:47</w:t>
      </w:r>
      <w:r w:rsidR="00CF0F0E" w:rsidRPr="00C1603D">
        <w:t>–</w:t>
      </w:r>
      <w:r w:rsidRPr="00C1603D">
        <w:t>52.</w:t>
      </w:r>
    </w:p>
    <w:p w14:paraId="7EFBE941" w14:textId="72403493" w:rsidR="00EF77DB" w:rsidRPr="00C1603D" w:rsidRDefault="00EF77DB" w:rsidP="00EF77DB">
      <w:pPr>
        <w:pStyle w:val="65ReferencesTextstylesTextstyles"/>
      </w:pPr>
      <w:r w:rsidRPr="00C1603D">
        <w:t>92.</w:t>
      </w:r>
      <w:r w:rsidRPr="00C1603D">
        <w:tab/>
      </w:r>
      <w:proofErr w:type="spellStart"/>
      <w:r w:rsidRPr="00C1603D">
        <w:t>Javaeed</w:t>
      </w:r>
      <w:proofErr w:type="spellEnd"/>
      <w:r w:rsidRPr="00C1603D">
        <w:t xml:space="preserve"> A, Shah W, Akhtar R, </w:t>
      </w:r>
      <w:proofErr w:type="spellStart"/>
      <w:r w:rsidRPr="00C1603D">
        <w:t>Ghauri</w:t>
      </w:r>
      <w:proofErr w:type="spellEnd"/>
      <w:r w:rsidRPr="00C1603D">
        <w:t xml:space="preserve"> SK, </w:t>
      </w:r>
      <w:proofErr w:type="spellStart"/>
      <w:r w:rsidRPr="00C1603D">
        <w:t>Ghauri</w:t>
      </w:r>
      <w:proofErr w:type="spellEnd"/>
      <w:r w:rsidRPr="00C1603D">
        <w:t xml:space="preserve"> SK, </w:t>
      </w:r>
      <w:proofErr w:type="spellStart"/>
      <w:r w:rsidRPr="00C1603D">
        <w:t>Alvi</w:t>
      </w:r>
      <w:proofErr w:type="spellEnd"/>
      <w:r w:rsidRPr="00C1603D">
        <w:t xml:space="preserve"> AH. Diagnostic accuracy of IgA anti-tissue transglutaminase antibodies in comparison with histopathological findings in </w:t>
      </w:r>
      <w:r w:rsidRPr="00C1603D">
        <w:lastRenderedPageBreak/>
        <w:t xml:space="preserve">celiac disease in Pakistan. </w:t>
      </w:r>
      <w:r w:rsidRPr="00C1603D">
        <w:rPr>
          <w:i/>
        </w:rPr>
        <w:t>Medical</w:t>
      </w:r>
      <w:r w:rsidRPr="00C1603D">
        <w:t xml:space="preserve"> </w:t>
      </w:r>
      <w:r w:rsidRPr="00C1603D">
        <w:rPr>
          <w:i/>
        </w:rPr>
        <w:t>Forum</w:t>
      </w:r>
      <w:r w:rsidRPr="00C1603D">
        <w:t xml:space="preserve"> </w:t>
      </w:r>
      <w:r w:rsidRPr="00C1603D">
        <w:rPr>
          <w:i/>
        </w:rPr>
        <w:t>Mon</w:t>
      </w:r>
      <w:r w:rsidR="00CF0F0E" w:rsidRPr="00C1603D">
        <w:rPr>
          <w:i/>
        </w:rPr>
        <w:t xml:space="preserve"> </w:t>
      </w:r>
      <w:r w:rsidRPr="00C1603D">
        <w:t>2014;</w:t>
      </w:r>
      <w:r w:rsidRPr="00C1603D">
        <w:rPr>
          <w:b/>
        </w:rPr>
        <w:t>25</w:t>
      </w:r>
      <w:r w:rsidRPr="00C1603D">
        <w:t>:15</w:t>
      </w:r>
      <w:r w:rsidR="00CF0F0E" w:rsidRPr="00C1603D">
        <w:t>–</w:t>
      </w:r>
      <w:r w:rsidRPr="00C1603D">
        <w:t>9.</w:t>
      </w:r>
    </w:p>
    <w:p w14:paraId="213063DE" w14:textId="77777777" w:rsidR="00EF77DB" w:rsidRPr="00C1603D" w:rsidRDefault="00EF77DB" w:rsidP="00EF77DB">
      <w:pPr>
        <w:pStyle w:val="65ReferencesTextstylesTextstyles"/>
      </w:pPr>
      <w:r w:rsidRPr="00C1603D">
        <w:t>93.</w:t>
      </w:r>
      <w:r w:rsidRPr="00C1603D">
        <w:tab/>
        <w:t xml:space="preserve">Johnston SD, McMillan SA, Collins JS, </w:t>
      </w:r>
      <w:proofErr w:type="spellStart"/>
      <w:r w:rsidRPr="00C1603D">
        <w:t>Tham</w:t>
      </w:r>
      <w:proofErr w:type="spellEnd"/>
      <w:r w:rsidRPr="00C1603D">
        <w:t xml:space="preserve"> TC, McDougall NI, Murphy P. A comparison of antibodies to tissue transglutaminase with conventional serological tests in the diagnosis of coeliac disease. </w:t>
      </w:r>
      <w:proofErr w:type="spellStart"/>
      <w:r w:rsidRPr="00C1603D">
        <w:rPr>
          <w:i/>
        </w:rPr>
        <w:t>Eur</w:t>
      </w:r>
      <w:proofErr w:type="spellEnd"/>
      <w:r w:rsidRPr="00C1603D">
        <w:rPr>
          <w:i/>
        </w:rPr>
        <w:t xml:space="preserve"> J Gastroenterol Hepatol</w:t>
      </w:r>
      <w:r w:rsidRPr="00C1603D">
        <w:t xml:space="preserve"> 2003;</w:t>
      </w:r>
      <w:r w:rsidRPr="00C1603D">
        <w:rPr>
          <w:b/>
        </w:rPr>
        <w:t>15</w:t>
      </w:r>
      <w:r w:rsidRPr="00C1603D">
        <w:t>:</w:t>
      </w:r>
      <w:r w:rsidRPr="00C1603D">
        <w:rPr>
          <w:color w:val="auto"/>
        </w:rPr>
        <w:t>1001</w:t>
      </w:r>
      <w:r w:rsidRPr="00C1603D">
        <w:rPr>
          <w:color w:val="00B0F0"/>
        </w:rPr>
        <w:t>–</w:t>
      </w:r>
      <w:r w:rsidRPr="00C1603D">
        <w:rPr>
          <w:color w:val="auto"/>
        </w:rPr>
        <w:t>4</w:t>
      </w:r>
      <w:r w:rsidRPr="00C1603D">
        <w:t>. https://doi.org/10.1097/00042737-200309000-00010</w:t>
      </w:r>
    </w:p>
    <w:p w14:paraId="5873FBDC" w14:textId="6F5ACF83" w:rsidR="00EF77DB" w:rsidRPr="00C1603D" w:rsidRDefault="43B69CA3" w:rsidP="00EF77DB">
      <w:pPr>
        <w:pStyle w:val="65ReferencesTextstylesTextstyles"/>
      </w:pPr>
      <w:r w:rsidRPr="00C1603D">
        <w:t>94.</w:t>
      </w:r>
      <w:r w:rsidR="00EF77DB" w:rsidRPr="00C1603D">
        <w:tab/>
      </w:r>
      <w:commentRangeStart w:id="496"/>
      <w:commentRangeStart w:id="497"/>
      <w:r w:rsidRPr="00C1603D">
        <w:t xml:space="preserve">Kashif T, Kashif A, Kashif Z. Prevalence of </w:t>
      </w:r>
      <w:r w:rsidR="00295772" w:rsidRPr="00C1603D">
        <w:t xml:space="preserve">celiac disease and role of anti-tissue transglutaminase antibodies in </w:t>
      </w:r>
      <w:proofErr w:type="gramStart"/>
      <w:r w:rsidR="00295772" w:rsidRPr="00C1603D">
        <w:t>different types</w:t>
      </w:r>
      <w:proofErr w:type="gramEnd"/>
      <w:r w:rsidR="00295772" w:rsidRPr="00C1603D">
        <w:t xml:space="preserve"> of intestinal damage in celiac disease accordin</w:t>
      </w:r>
      <w:r w:rsidRPr="00C1603D">
        <w:t xml:space="preserve">g to Marsh </w:t>
      </w:r>
      <w:r w:rsidR="00295772" w:rsidRPr="00C1603D">
        <w:t>classification</w:t>
      </w:r>
      <w:r w:rsidRPr="00C1603D">
        <w:t>.</w:t>
      </w:r>
      <w:r w:rsidR="00B75519" w:rsidRPr="00C1603D">
        <w:t xml:space="preserve"> </w:t>
      </w:r>
      <w:r w:rsidR="00B75519" w:rsidRPr="00C1603D">
        <w:rPr>
          <w:i/>
          <w:iCs/>
        </w:rPr>
        <w:t>Pakistan J Medical Health Sci</w:t>
      </w:r>
      <w:r w:rsidR="00B75519" w:rsidRPr="00C1603D">
        <w:t xml:space="preserve"> </w:t>
      </w:r>
      <w:r w:rsidR="00DF590F" w:rsidRPr="00C1603D">
        <w:t>2017;</w:t>
      </w:r>
      <w:r w:rsidR="00DF590F" w:rsidRPr="00C1603D">
        <w:rPr>
          <w:b/>
          <w:bCs/>
        </w:rPr>
        <w:t>11</w:t>
      </w:r>
      <w:r w:rsidR="00DF590F" w:rsidRPr="00C1603D">
        <w:t>:475</w:t>
      </w:r>
      <w:r w:rsidRPr="00C1603D">
        <w:t>.</w:t>
      </w:r>
      <w:commentRangeEnd w:id="496"/>
      <w:r w:rsidR="00EF77DB" w:rsidRPr="00C1603D">
        <w:commentReference w:id="496"/>
      </w:r>
      <w:commentRangeEnd w:id="497"/>
      <w:r w:rsidR="00EF77DB" w:rsidRPr="00C1603D">
        <w:commentReference w:id="497"/>
      </w:r>
    </w:p>
    <w:p w14:paraId="74921A4F" w14:textId="1045757B" w:rsidR="00EF77DB" w:rsidRPr="00C1603D" w:rsidRDefault="00EF77DB" w:rsidP="00EF77DB">
      <w:pPr>
        <w:pStyle w:val="65ReferencesTextstylesTextstyles"/>
      </w:pPr>
      <w:r w:rsidRPr="00C1603D">
        <w:t>95.</w:t>
      </w:r>
      <w:r w:rsidRPr="00C1603D">
        <w:tab/>
      </w:r>
      <w:proofErr w:type="spellStart"/>
      <w:r w:rsidRPr="00C1603D">
        <w:t>Kurien</w:t>
      </w:r>
      <w:proofErr w:type="spellEnd"/>
      <w:r w:rsidRPr="00C1603D">
        <w:t xml:space="preserve"> M, Johnston A, Avgerinos A, Sanders DS. Does IgA tissue transglutaminase antibody levels correlate with histological findings of Coeliac Disease (CD)? </w:t>
      </w:r>
      <w:r w:rsidRPr="00C1603D">
        <w:rPr>
          <w:i/>
        </w:rPr>
        <w:t>United</w:t>
      </w:r>
      <w:r w:rsidRPr="00C1603D">
        <w:t xml:space="preserve"> </w:t>
      </w:r>
      <w:r w:rsidRPr="00C1603D">
        <w:rPr>
          <w:i/>
        </w:rPr>
        <w:t>European</w:t>
      </w:r>
      <w:r w:rsidRPr="00C1603D">
        <w:t xml:space="preserve"> </w:t>
      </w:r>
      <w:r w:rsidRPr="00C1603D">
        <w:rPr>
          <w:i/>
        </w:rPr>
        <w:t>Gastroenterol</w:t>
      </w:r>
      <w:r w:rsidRPr="00C1603D">
        <w:t xml:space="preserve"> </w:t>
      </w:r>
      <w:r w:rsidR="00CF0F0E" w:rsidRPr="00C1603D">
        <w:rPr>
          <w:i/>
        </w:rPr>
        <w:t>J</w:t>
      </w:r>
      <w:r w:rsidRPr="00C1603D">
        <w:t xml:space="preserve"> 2013;</w:t>
      </w:r>
      <w:r w:rsidRPr="00C1603D">
        <w:rPr>
          <w:b/>
        </w:rPr>
        <w:t>1</w:t>
      </w:r>
      <w:r w:rsidRPr="00C1603D">
        <w:t>:A22</w:t>
      </w:r>
      <w:r w:rsidR="00CF0F0E" w:rsidRPr="00C1603D">
        <w:t>–</w:t>
      </w:r>
      <w:r w:rsidRPr="00C1603D">
        <w:t>A3.</w:t>
      </w:r>
    </w:p>
    <w:p w14:paraId="24083E6A" w14:textId="1E88785D" w:rsidR="00EF77DB" w:rsidRPr="00C1603D" w:rsidRDefault="00EF77DB" w:rsidP="00EF77DB">
      <w:pPr>
        <w:pStyle w:val="65ReferencesTextstylesTextstyles"/>
      </w:pPr>
      <w:r w:rsidRPr="00C1603D">
        <w:t>96.</w:t>
      </w:r>
      <w:r w:rsidRPr="00C1603D">
        <w:tab/>
        <w:t xml:space="preserve">Lau MS, Mooney PD, White WL, Rees MA, Wong SH, </w:t>
      </w:r>
      <w:proofErr w:type="spellStart"/>
      <w:r w:rsidRPr="00C1603D">
        <w:t>Hadjivassiliou</w:t>
      </w:r>
      <w:proofErr w:type="spellEnd"/>
      <w:r w:rsidRPr="00C1603D">
        <w:t xml:space="preserve"> M, </w:t>
      </w:r>
      <w:r w:rsidRPr="00C1603D">
        <w:rPr>
          <w:i/>
        </w:rPr>
        <w:t>et al</w:t>
      </w:r>
      <w:r w:rsidRPr="00C1603D">
        <w:t>. Office-</w:t>
      </w:r>
      <w:r w:rsidR="00CF0F0E" w:rsidRPr="00C1603D">
        <w:t xml:space="preserve">based point of care testing </w:t>
      </w:r>
      <w:r w:rsidRPr="00C1603D">
        <w:t>(IgA/IgG-</w:t>
      </w:r>
      <w:r w:rsidR="00CF0F0E" w:rsidRPr="00C1603D">
        <w:t>deamidated gliadin peptide</w:t>
      </w:r>
      <w:r w:rsidRPr="00C1603D">
        <w:t xml:space="preserve">) for </w:t>
      </w:r>
      <w:r w:rsidR="00CF0F0E" w:rsidRPr="00C1603D">
        <w:t>celiac disease</w:t>
      </w:r>
      <w:r w:rsidRPr="00C1603D">
        <w:t xml:space="preserve">. </w:t>
      </w:r>
      <w:r w:rsidRPr="00C1603D">
        <w:rPr>
          <w:i/>
        </w:rPr>
        <w:t>Am J Gastroenterol</w:t>
      </w:r>
      <w:r w:rsidRPr="00C1603D">
        <w:t xml:space="preserve"> 2018;</w:t>
      </w:r>
      <w:r w:rsidRPr="00C1603D">
        <w:rPr>
          <w:b/>
        </w:rPr>
        <w:t>113</w:t>
      </w:r>
      <w:r w:rsidRPr="00C1603D">
        <w:t>:</w:t>
      </w:r>
      <w:r w:rsidRPr="00C1603D">
        <w:rPr>
          <w:color w:val="auto"/>
        </w:rPr>
        <w:t>1238</w:t>
      </w:r>
      <w:r w:rsidRPr="00C1603D">
        <w:rPr>
          <w:color w:val="00B0F0"/>
        </w:rPr>
        <w:t>–</w:t>
      </w:r>
      <w:r w:rsidRPr="00C1603D">
        <w:rPr>
          <w:color w:val="auto"/>
        </w:rPr>
        <w:t>46</w:t>
      </w:r>
      <w:r w:rsidRPr="00C1603D">
        <w:t>. https://doi.org/10.1038/s41395-018-0143-3</w:t>
      </w:r>
    </w:p>
    <w:p w14:paraId="6B4F29C5" w14:textId="77777777" w:rsidR="00EF77DB" w:rsidRPr="00C1603D" w:rsidRDefault="00EF77DB" w:rsidP="00EF77DB">
      <w:pPr>
        <w:pStyle w:val="65ReferencesTextstylesTextstyles"/>
      </w:pPr>
      <w:r w:rsidRPr="00C1603D">
        <w:t>97.</w:t>
      </w:r>
      <w:r w:rsidRPr="00C1603D">
        <w:tab/>
      </w:r>
      <w:proofErr w:type="spellStart"/>
      <w:r w:rsidRPr="00C1603D">
        <w:t>Llorente</w:t>
      </w:r>
      <w:proofErr w:type="spellEnd"/>
      <w:r w:rsidRPr="00C1603D">
        <w:t xml:space="preserve"> MJ, Sebastián M, Fernández-</w:t>
      </w:r>
      <w:proofErr w:type="spellStart"/>
      <w:r w:rsidRPr="00C1603D">
        <w:t>Aceñero</w:t>
      </w:r>
      <w:proofErr w:type="spellEnd"/>
      <w:r w:rsidRPr="00C1603D">
        <w:t xml:space="preserve"> MJ, Serrano G, Villanueva S, Prieto G. IgA antibodies against tissue transglutaminase in the diagnosis of celiac disease: concordance with intestinal biopsy in children and adults. </w:t>
      </w:r>
      <w:r w:rsidRPr="00C1603D">
        <w:rPr>
          <w:i/>
        </w:rPr>
        <w:t>Clin Chem</w:t>
      </w:r>
      <w:r w:rsidRPr="00C1603D">
        <w:t xml:space="preserve"> 2004;</w:t>
      </w:r>
      <w:r w:rsidRPr="00C1603D">
        <w:rPr>
          <w:b/>
        </w:rPr>
        <w:t>50</w:t>
      </w:r>
      <w:r w:rsidRPr="00C1603D">
        <w:t>:</w:t>
      </w:r>
      <w:r w:rsidRPr="00C1603D">
        <w:rPr>
          <w:color w:val="auto"/>
        </w:rPr>
        <w:t>451</w:t>
      </w:r>
      <w:r w:rsidRPr="00C1603D">
        <w:rPr>
          <w:color w:val="00B0F0"/>
        </w:rPr>
        <w:t>–</w:t>
      </w:r>
      <w:r w:rsidRPr="00C1603D">
        <w:rPr>
          <w:color w:val="auto"/>
        </w:rPr>
        <w:t>3</w:t>
      </w:r>
      <w:r w:rsidRPr="00C1603D">
        <w:t>. https://doi.org/10.1373/clinchem.2003.024976</w:t>
      </w:r>
    </w:p>
    <w:p w14:paraId="57024C6C" w14:textId="5D0127C6" w:rsidR="00EF77DB" w:rsidRPr="00C1603D" w:rsidRDefault="43B69CA3" w:rsidP="00EF77DB">
      <w:pPr>
        <w:pStyle w:val="65ReferencesTextstylesTextstyles"/>
      </w:pPr>
      <w:r w:rsidRPr="00C1603D">
        <w:t>98.</w:t>
      </w:r>
      <w:r w:rsidR="00EF77DB" w:rsidRPr="00C1603D">
        <w:tab/>
      </w:r>
      <w:commentRangeStart w:id="498"/>
      <w:commentRangeStart w:id="499"/>
      <w:proofErr w:type="spellStart"/>
      <w:r w:rsidRPr="00C1603D">
        <w:t>Longarini</w:t>
      </w:r>
      <w:proofErr w:type="spellEnd"/>
      <w:r w:rsidRPr="00C1603D">
        <w:t xml:space="preserve"> GI, </w:t>
      </w:r>
      <w:proofErr w:type="spellStart"/>
      <w:r w:rsidRPr="00C1603D">
        <w:t>Sugai</w:t>
      </w:r>
      <w:proofErr w:type="spellEnd"/>
      <w:r w:rsidRPr="00C1603D">
        <w:t xml:space="preserve"> E, Hwang H, </w:t>
      </w:r>
      <w:r w:rsidR="00DF590F" w:rsidRPr="00C1603D">
        <w:t>Nachman</w:t>
      </w:r>
      <w:r w:rsidR="00271EE3" w:rsidRPr="00C1603D">
        <w:t xml:space="preserve"> F, Vazquez H, Costa A, </w:t>
      </w:r>
      <w:r w:rsidRPr="00C1603D">
        <w:rPr>
          <w:i/>
          <w:iCs/>
        </w:rPr>
        <w:t>et al</w:t>
      </w:r>
      <w:r w:rsidRPr="00C1603D">
        <w:t xml:space="preserve">. How does specific serology match with </w:t>
      </w:r>
      <w:proofErr w:type="spellStart"/>
      <w:r w:rsidRPr="00C1603D">
        <w:t>esphgan</w:t>
      </w:r>
      <w:proofErr w:type="spellEnd"/>
      <w:r w:rsidRPr="00C1603D">
        <w:t xml:space="preserve"> serologic guidelines for diagnosis of celiac disease in a prospective cohort of adults with high </w:t>
      </w:r>
      <w:proofErr w:type="spellStart"/>
      <w:r w:rsidRPr="00C1603D">
        <w:t>pretest</w:t>
      </w:r>
      <w:proofErr w:type="spellEnd"/>
      <w:r w:rsidRPr="00C1603D">
        <w:t xml:space="preserve"> probability? </w:t>
      </w:r>
      <w:r w:rsidRPr="00C1603D">
        <w:rPr>
          <w:i/>
          <w:iCs/>
        </w:rPr>
        <w:t>United</w:t>
      </w:r>
      <w:r w:rsidRPr="00C1603D">
        <w:t xml:space="preserve"> </w:t>
      </w:r>
      <w:r w:rsidRPr="00C1603D">
        <w:rPr>
          <w:i/>
          <w:iCs/>
        </w:rPr>
        <w:t>European</w:t>
      </w:r>
      <w:r w:rsidRPr="00C1603D">
        <w:t xml:space="preserve"> </w:t>
      </w:r>
      <w:r w:rsidRPr="00C1603D">
        <w:rPr>
          <w:i/>
          <w:iCs/>
        </w:rPr>
        <w:t>Gastroenterol</w:t>
      </w:r>
      <w:r w:rsidRPr="00C1603D">
        <w:t xml:space="preserve"> </w:t>
      </w:r>
      <w:r w:rsidRPr="00C1603D">
        <w:rPr>
          <w:i/>
          <w:iCs/>
        </w:rPr>
        <w:t>J</w:t>
      </w:r>
      <w:r w:rsidRPr="00C1603D">
        <w:t xml:space="preserve"> 2014;</w:t>
      </w:r>
      <w:r w:rsidRPr="00C1603D">
        <w:rPr>
          <w:b/>
          <w:bCs/>
        </w:rPr>
        <w:t>2</w:t>
      </w:r>
      <w:r w:rsidRPr="00C1603D">
        <w:t>:A278.</w:t>
      </w:r>
      <w:commentRangeEnd w:id="498"/>
      <w:r w:rsidR="00EF77DB" w:rsidRPr="00C1603D">
        <w:commentReference w:id="498"/>
      </w:r>
      <w:commentRangeEnd w:id="499"/>
      <w:r w:rsidR="00EF77DB" w:rsidRPr="00C1603D">
        <w:commentReference w:id="499"/>
      </w:r>
    </w:p>
    <w:p w14:paraId="0E3AADC5" w14:textId="3BE74DCF" w:rsidR="00EF77DB" w:rsidRPr="00C1603D" w:rsidRDefault="00EF77DB" w:rsidP="00EF77DB">
      <w:pPr>
        <w:pStyle w:val="65ReferencesTextstylesTextstyles"/>
      </w:pPr>
      <w:r w:rsidRPr="00C1603D">
        <w:t>99.</w:t>
      </w:r>
      <w:r w:rsidRPr="00C1603D">
        <w:tab/>
        <w:t xml:space="preserve">Mooney PD, </w:t>
      </w:r>
      <w:proofErr w:type="spellStart"/>
      <w:r w:rsidRPr="00C1603D">
        <w:t>Kurien</w:t>
      </w:r>
      <w:proofErr w:type="spellEnd"/>
      <w:r w:rsidRPr="00C1603D">
        <w:t xml:space="preserve"> M, Johnston AJ, Wong SH, Avgerinos A, </w:t>
      </w:r>
      <w:proofErr w:type="spellStart"/>
      <w:r w:rsidRPr="00C1603D">
        <w:t>Hadjivassiliou</w:t>
      </w:r>
      <w:proofErr w:type="spellEnd"/>
      <w:r w:rsidRPr="00C1603D">
        <w:t xml:space="preserve"> M, </w:t>
      </w:r>
      <w:r w:rsidRPr="00C1603D">
        <w:rPr>
          <w:i/>
        </w:rPr>
        <w:t>et</w:t>
      </w:r>
      <w:r w:rsidRPr="00C1603D">
        <w:t xml:space="preserve"> </w:t>
      </w:r>
      <w:r w:rsidRPr="00C1603D">
        <w:rPr>
          <w:i/>
        </w:rPr>
        <w:t>al</w:t>
      </w:r>
      <w:r w:rsidRPr="00C1603D">
        <w:t xml:space="preserve">. Point of care testing for adult celiac disease: </w:t>
      </w:r>
      <w:r w:rsidR="00CF0F0E" w:rsidRPr="00C1603D">
        <w:t>a</w:t>
      </w:r>
      <w:r w:rsidRPr="00C1603D">
        <w:t xml:space="preserve"> novel role in endoscopy. </w:t>
      </w:r>
      <w:r w:rsidRPr="00C1603D">
        <w:rPr>
          <w:i/>
        </w:rPr>
        <w:t>Gastroenterology</w:t>
      </w:r>
      <w:r w:rsidRPr="00C1603D">
        <w:t xml:space="preserve"> 2014;</w:t>
      </w:r>
      <w:r w:rsidRPr="00C1603D">
        <w:rPr>
          <w:b/>
        </w:rPr>
        <w:t>146</w:t>
      </w:r>
      <w:r w:rsidRPr="00C1603D">
        <w:t>:S</w:t>
      </w:r>
      <w:r w:rsidR="00CF0F0E" w:rsidRPr="00C1603D">
        <w:t>–</w:t>
      </w:r>
      <w:r w:rsidRPr="00C1603D">
        <w:t>472. https://doi.org/10.1016/S0016-5085%2814%2961693-0</w:t>
      </w:r>
    </w:p>
    <w:p w14:paraId="7C290C92" w14:textId="0F6E5694" w:rsidR="00EF77DB" w:rsidRPr="00C1603D" w:rsidRDefault="00EF77DB" w:rsidP="00EF77DB">
      <w:pPr>
        <w:pStyle w:val="65ReferencesTextstylesTextstyles"/>
      </w:pPr>
      <w:r w:rsidRPr="00C1603D">
        <w:t>100.</w:t>
      </w:r>
      <w:r w:rsidRPr="00C1603D">
        <w:tab/>
        <w:t xml:space="preserve">Mooney PD, Wong SH, Johnston AJ, </w:t>
      </w:r>
      <w:proofErr w:type="spellStart"/>
      <w:r w:rsidRPr="00C1603D">
        <w:t>Kurien</w:t>
      </w:r>
      <w:proofErr w:type="spellEnd"/>
      <w:r w:rsidRPr="00C1603D">
        <w:t xml:space="preserve"> M, Avgerinos A, Sanders DS. Increased </w:t>
      </w:r>
      <w:r w:rsidR="00CF0F0E" w:rsidRPr="00C1603D">
        <w:t>detection of celiac disease with measurement of deamidated gliadin peptide antibody before endoscopy</w:t>
      </w:r>
      <w:r w:rsidRPr="00C1603D">
        <w:t xml:space="preserve">. </w:t>
      </w:r>
      <w:r w:rsidRPr="00C1603D">
        <w:rPr>
          <w:i/>
        </w:rPr>
        <w:t>Clin Gastroenterol Hepatol</w:t>
      </w:r>
      <w:r w:rsidRPr="00C1603D">
        <w:t xml:space="preserve"> 2015;</w:t>
      </w:r>
      <w:r w:rsidRPr="00C1603D">
        <w:rPr>
          <w:b/>
        </w:rPr>
        <w:t>13</w:t>
      </w:r>
      <w:r w:rsidRPr="00C1603D">
        <w:t>:</w:t>
      </w:r>
      <w:r w:rsidRPr="00C1603D">
        <w:rPr>
          <w:color w:val="auto"/>
        </w:rPr>
        <w:t>1278</w:t>
      </w:r>
      <w:r w:rsidRPr="00C1603D">
        <w:rPr>
          <w:color w:val="00B0F0"/>
        </w:rPr>
        <w:t>–</w:t>
      </w:r>
      <w:r w:rsidRPr="00C1603D">
        <w:rPr>
          <w:color w:val="auto"/>
        </w:rPr>
        <w:t>84</w:t>
      </w:r>
      <w:r w:rsidRPr="00C1603D">
        <w:rPr>
          <w:color w:val="00B0F0"/>
        </w:rPr>
        <w:t>.</w:t>
      </w:r>
      <w:r w:rsidRPr="00C1603D">
        <w:rPr>
          <w:color w:val="auto"/>
        </w:rPr>
        <w:t>e1</w:t>
      </w:r>
      <w:r w:rsidRPr="00C1603D">
        <w:t>. https://doi.org/10.1016/j.cgh.2015.01.010</w:t>
      </w:r>
    </w:p>
    <w:p w14:paraId="4DD42B1C" w14:textId="77777777" w:rsidR="00EF77DB" w:rsidRPr="00C1603D" w:rsidRDefault="00EF77DB" w:rsidP="00EF77DB">
      <w:pPr>
        <w:pStyle w:val="65ReferencesTextstylesTextstyles"/>
      </w:pPr>
      <w:r w:rsidRPr="00C1603D">
        <w:t>101.</w:t>
      </w:r>
      <w:r w:rsidRPr="00C1603D">
        <w:tab/>
      </w:r>
      <w:proofErr w:type="spellStart"/>
      <w:r w:rsidRPr="00C1603D">
        <w:t>Niveloni</w:t>
      </w:r>
      <w:proofErr w:type="spellEnd"/>
      <w:r w:rsidRPr="00C1603D">
        <w:t xml:space="preserve"> S, </w:t>
      </w:r>
      <w:proofErr w:type="spellStart"/>
      <w:r w:rsidRPr="00C1603D">
        <w:t>Sugai</w:t>
      </w:r>
      <w:proofErr w:type="spellEnd"/>
      <w:r w:rsidRPr="00C1603D">
        <w:t xml:space="preserve"> E, </w:t>
      </w:r>
      <w:proofErr w:type="spellStart"/>
      <w:r w:rsidRPr="00C1603D">
        <w:t>Cabanne</w:t>
      </w:r>
      <w:proofErr w:type="spellEnd"/>
      <w:r w:rsidRPr="00C1603D">
        <w:t xml:space="preserve"> A, Vazquez H, </w:t>
      </w:r>
      <w:proofErr w:type="spellStart"/>
      <w:r w:rsidRPr="00C1603D">
        <w:t>Argonz</w:t>
      </w:r>
      <w:proofErr w:type="spellEnd"/>
      <w:r w:rsidRPr="00C1603D">
        <w:t xml:space="preserve"> J, </w:t>
      </w:r>
      <w:proofErr w:type="spellStart"/>
      <w:r w:rsidRPr="00C1603D">
        <w:t>Smecuol</w:t>
      </w:r>
      <w:proofErr w:type="spellEnd"/>
      <w:r w:rsidRPr="00C1603D">
        <w:t xml:space="preserve"> E, </w:t>
      </w:r>
      <w:r w:rsidRPr="00C1603D">
        <w:rPr>
          <w:i/>
        </w:rPr>
        <w:t>et al</w:t>
      </w:r>
      <w:r w:rsidRPr="00C1603D">
        <w:t xml:space="preserve">. Antibodies against synthetic deamidated gliadin peptides as predictors of celiac disease: prospective assessment in an adult population with a high </w:t>
      </w:r>
      <w:proofErr w:type="spellStart"/>
      <w:r w:rsidRPr="00C1603D">
        <w:t>pretest</w:t>
      </w:r>
      <w:proofErr w:type="spellEnd"/>
      <w:r w:rsidRPr="00C1603D">
        <w:t xml:space="preserve"> probability of disease. </w:t>
      </w:r>
      <w:r w:rsidRPr="00C1603D">
        <w:rPr>
          <w:i/>
        </w:rPr>
        <w:t>Clin Chem</w:t>
      </w:r>
      <w:r w:rsidRPr="00C1603D">
        <w:t xml:space="preserve"> 2007;</w:t>
      </w:r>
      <w:r w:rsidRPr="00C1603D">
        <w:rPr>
          <w:b/>
        </w:rPr>
        <w:t>53</w:t>
      </w:r>
      <w:r w:rsidRPr="00C1603D">
        <w:t>:</w:t>
      </w:r>
      <w:r w:rsidRPr="00C1603D">
        <w:rPr>
          <w:color w:val="auto"/>
        </w:rPr>
        <w:t>2186</w:t>
      </w:r>
      <w:r w:rsidRPr="00C1603D">
        <w:rPr>
          <w:color w:val="00B0F0"/>
        </w:rPr>
        <w:t>–</w:t>
      </w:r>
      <w:r w:rsidRPr="00C1603D">
        <w:rPr>
          <w:color w:val="auto"/>
        </w:rPr>
        <w:t>92</w:t>
      </w:r>
      <w:r w:rsidRPr="00C1603D">
        <w:t>.</w:t>
      </w:r>
    </w:p>
    <w:p w14:paraId="5F86A491" w14:textId="77777777" w:rsidR="00EF77DB" w:rsidRPr="00C1603D" w:rsidRDefault="00EF77DB" w:rsidP="00EF77DB">
      <w:pPr>
        <w:pStyle w:val="65ReferencesTextstylesTextstyles"/>
      </w:pPr>
      <w:r w:rsidRPr="00C1603D">
        <w:t>102.</w:t>
      </w:r>
      <w:r w:rsidRPr="00C1603D">
        <w:tab/>
      </w:r>
      <w:proofErr w:type="spellStart"/>
      <w:r w:rsidRPr="00C1603D">
        <w:t>Pallav</w:t>
      </w:r>
      <w:proofErr w:type="spellEnd"/>
      <w:r w:rsidRPr="00C1603D">
        <w:t xml:space="preserve"> K, </w:t>
      </w:r>
      <w:proofErr w:type="spellStart"/>
      <w:r w:rsidRPr="00C1603D">
        <w:t>Kabbani</w:t>
      </w:r>
      <w:proofErr w:type="spellEnd"/>
      <w:r w:rsidRPr="00C1603D">
        <w:t xml:space="preserve"> T, Tariq S, Vanga R, Kelly CP, Leffler DA. Clinical utility of celiac disease-associated HLA testing. </w:t>
      </w:r>
      <w:r w:rsidRPr="00C1603D">
        <w:rPr>
          <w:i/>
        </w:rPr>
        <w:t>Dig Dis Sci</w:t>
      </w:r>
      <w:r w:rsidRPr="00C1603D">
        <w:t xml:space="preserve"> 2014;</w:t>
      </w:r>
      <w:r w:rsidRPr="00C1603D">
        <w:rPr>
          <w:b/>
        </w:rPr>
        <w:t>59</w:t>
      </w:r>
      <w:r w:rsidRPr="00C1603D">
        <w:t>:</w:t>
      </w:r>
      <w:r w:rsidRPr="00C1603D">
        <w:rPr>
          <w:color w:val="auto"/>
        </w:rPr>
        <w:t>2199</w:t>
      </w:r>
      <w:r w:rsidRPr="00C1603D">
        <w:rPr>
          <w:color w:val="00B0F0"/>
        </w:rPr>
        <w:t>–</w:t>
      </w:r>
      <w:r w:rsidRPr="00C1603D">
        <w:rPr>
          <w:color w:val="auto"/>
        </w:rPr>
        <w:t>206</w:t>
      </w:r>
      <w:r w:rsidRPr="00C1603D">
        <w:t>. https://doi.org/10.1007/s10620-014-3143-1</w:t>
      </w:r>
    </w:p>
    <w:p w14:paraId="4B642EE2" w14:textId="0B3D6DD1" w:rsidR="00EF77DB" w:rsidRPr="00C1603D" w:rsidRDefault="00EF77DB" w:rsidP="00EF77DB">
      <w:pPr>
        <w:pStyle w:val="65ReferencesTextstylesTextstyles"/>
      </w:pPr>
      <w:r w:rsidRPr="00C1603D">
        <w:t>103.</w:t>
      </w:r>
      <w:r w:rsidRPr="00C1603D">
        <w:tab/>
      </w:r>
      <w:proofErr w:type="spellStart"/>
      <w:r w:rsidRPr="00C1603D">
        <w:t>Previtali</w:t>
      </w:r>
      <w:proofErr w:type="spellEnd"/>
      <w:r w:rsidRPr="00C1603D">
        <w:t xml:space="preserve"> G, </w:t>
      </w:r>
      <w:proofErr w:type="spellStart"/>
      <w:r w:rsidRPr="00C1603D">
        <w:t>Licini</w:t>
      </w:r>
      <w:proofErr w:type="spellEnd"/>
      <w:r w:rsidRPr="00C1603D">
        <w:t xml:space="preserve"> L, </w:t>
      </w:r>
      <w:proofErr w:type="spellStart"/>
      <w:r w:rsidRPr="00C1603D">
        <w:t>D’Antiga</w:t>
      </w:r>
      <w:proofErr w:type="spellEnd"/>
      <w:r w:rsidRPr="00C1603D">
        <w:t xml:space="preserve"> L, </w:t>
      </w:r>
      <w:proofErr w:type="spellStart"/>
      <w:r w:rsidRPr="00C1603D">
        <w:t>Marseglia</w:t>
      </w:r>
      <w:proofErr w:type="spellEnd"/>
      <w:r w:rsidRPr="00C1603D">
        <w:t xml:space="preserve"> A, Ravasio R, </w:t>
      </w:r>
      <w:proofErr w:type="spellStart"/>
      <w:r w:rsidRPr="00C1603D">
        <w:t>Nembrini</w:t>
      </w:r>
      <w:proofErr w:type="spellEnd"/>
      <w:r w:rsidRPr="00C1603D">
        <w:t xml:space="preserve"> F, </w:t>
      </w:r>
      <w:r w:rsidRPr="00C1603D">
        <w:rPr>
          <w:i/>
        </w:rPr>
        <w:t>et</w:t>
      </w:r>
      <w:r w:rsidRPr="00C1603D">
        <w:t xml:space="preserve"> </w:t>
      </w:r>
      <w:r w:rsidRPr="00C1603D">
        <w:rPr>
          <w:i/>
        </w:rPr>
        <w:t>al</w:t>
      </w:r>
      <w:r w:rsidRPr="00C1603D">
        <w:t xml:space="preserve">. Celiac </w:t>
      </w:r>
      <w:r w:rsidR="00CF0F0E" w:rsidRPr="00C1603D">
        <w:t xml:space="preserve">disease diagnosis without biopsy: is </w:t>
      </w:r>
      <w:r w:rsidRPr="00C1603D">
        <w:t>a 10</w:t>
      </w:r>
      <w:r w:rsidR="00CF0F0E" w:rsidRPr="00C1603D">
        <w:rPr>
          <w:rFonts w:cs="Lato"/>
        </w:rPr>
        <w:t>×</w:t>
      </w:r>
      <w:r w:rsidRPr="00C1603D">
        <w:t xml:space="preserve"> ULN </w:t>
      </w:r>
      <w:r w:rsidR="00CF0F0E" w:rsidRPr="00C1603D">
        <w:t>anti-transglutaminase result suitable for a chemiluminescence metho</w:t>
      </w:r>
      <w:r w:rsidRPr="00C1603D">
        <w:t xml:space="preserve">d? </w:t>
      </w:r>
      <w:r w:rsidR="00CF0F0E" w:rsidRPr="00C1603D">
        <w:rPr>
          <w:i/>
        </w:rPr>
        <w:t>J</w:t>
      </w:r>
      <w:r w:rsidRPr="00C1603D">
        <w:t xml:space="preserve"> </w:t>
      </w:r>
      <w:proofErr w:type="spellStart"/>
      <w:r w:rsidRPr="00C1603D">
        <w:rPr>
          <w:i/>
        </w:rPr>
        <w:t>Pediatr</w:t>
      </w:r>
      <w:proofErr w:type="spellEnd"/>
      <w:r w:rsidRPr="00C1603D">
        <w:t xml:space="preserve"> </w:t>
      </w:r>
      <w:r w:rsidRPr="00C1603D">
        <w:rPr>
          <w:i/>
        </w:rPr>
        <w:t>Gastroenterol</w:t>
      </w:r>
      <w:r w:rsidR="00CF0F0E" w:rsidRPr="00C1603D">
        <w:rPr>
          <w:i/>
        </w:rPr>
        <w:t xml:space="preserve"> </w:t>
      </w:r>
      <w:proofErr w:type="spellStart"/>
      <w:r w:rsidRPr="00C1603D">
        <w:rPr>
          <w:i/>
        </w:rPr>
        <w:t>Nutr</w:t>
      </w:r>
      <w:proofErr w:type="spellEnd"/>
      <w:r w:rsidRPr="00C1603D">
        <w:t xml:space="preserve"> 2018;</w:t>
      </w:r>
      <w:r w:rsidRPr="00C1603D">
        <w:rPr>
          <w:b/>
        </w:rPr>
        <w:t>66</w:t>
      </w:r>
      <w:r w:rsidRPr="00C1603D">
        <w:t>:645</w:t>
      </w:r>
      <w:r w:rsidR="00CF0F0E" w:rsidRPr="00C1603D">
        <w:t>–</w:t>
      </w:r>
      <w:r w:rsidRPr="00C1603D">
        <w:t>50.</w:t>
      </w:r>
    </w:p>
    <w:p w14:paraId="5D6776A1" w14:textId="587AAC4D" w:rsidR="00EF77DB" w:rsidRPr="00C1603D" w:rsidRDefault="00EF77DB" w:rsidP="00EF77DB">
      <w:pPr>
        <w:pStyle w:val="65ReferencesTextstylesTextstyles"/>
      </w:pPr>
      <w:r w:rsidRPr="00C1603D">
        <w:t>104.</w:t>
      </w:r>
      <w:r w:rsidRPr="00C1603D">
        <w:tab/>
        <w:t xml:space="preserve">Rahmati A, </w:t>
      </w:r>
      <w:proofErr w:type="spellStart"/>
      <w:r w:rsidRPr="00C1603D">
        <w:t>Shakeri</w:t>
      </w:r>
      <w:proofErr w:type="spellEnd"/>
      <w:r w:rsidRPr="00C1603D">
        <w:t xml:space="preserve"> R, </w:t>
      </w:r>
      <w:proofErr w:type="spellStart"/>
      <w:r w:rsidRPr="00C1603D">
        <w:t>Sohrabi</w:t>
      </w:r>
      <w:proofErr w:type="spellEnd"/>
      <w:r w:rsidRPr="00C1603D">
        <w:t xml:space="preserve"> M, </w:t>
      </w:r>
      <w:proofErr w:type="spellStart"/>
      <w:r w:rsidRPr="00C1603D">
        <w:t>Alipour</w:t>
      </w:r>
      <w:proofErr w:type="spellEnd"/>
      <w:r w:rsidRPr="00C1603D">
        <w:t xml:space="preserve"> A, </w:t>
      </w:r>
      <w:proofErr w:type="spellStart"/>
      <w:r w:rsidRPr="00C1603D">
        <w:t>Boghratian</w:t>
      </w:r>
      <w:proofErr w:type="spellEnd"/>
      <w:r w:rsidRPr="00C1603D">
        <w:t xml:space="preserve"> A, Setareh M, Zamani F. Correlation of tissue transglutaminase antibody with duodenal histologic marsh grading. </w:t>
      </w:r>
      <w:r w:rsidRPr="00C1603D">
        <w:rPr>
          <w:i/>
        </w:rPr>
        <w:t>Middle East J Dig Dis</w:t>
      </w:r>
      <w:r w:rsidRPr="00C1603D">
        <w:t xml:space="preserve"> 2014;</w:t>
      </w:r>
      <w:r w:rsidRPr="00C1603D">
        <w:rPr>
          <w:b/>
        </w:rPr>
        <w:t>6</w:t>
      </w:r>
      <w:r w:rsidRPr="00C1603D">
        <w:t>:</w:t>
      </w:r>
      <w:r w:rsidRPr="00C1603D">
        <w:rPr>
          <w:color w:val="auto"/>
        </w:rPr>
        <w:t>131</w:t>
      </w:r>
      <w:r w:rsidRPr="00C1603D">
        <w:rPr>
          <w:color w:val="00B0F0"/>
        </w:rPr>
        <w:t>–</w:t>
      </w:r>
      <w:r w:rsidRPr="00C1603D">
        <w:rPr>
          <w:color w:val="auto"/>
        </w:rPr>
        <w:t>6</w:t>
      </w:r>
      <w:r w:rsidRPr="00C1603D">
        <w:t>.</w:t>
      </w:r>
    </w:p>
    <w:p w14:paraId="653EF938" w14:textId="77777777" w:rsidR="00EF77DB" w:rsidRPr="00C1603D" w:rsidRDefault="00EF77DB" w:rsidP="00EF77DB">
      <w:pPr>
        <w:pStyle w:val="65ReferencesTextstylesTextstyles"/>
      </w:pPr>
      <w:r w:rsidRPr="00C1603D">
        <w:t>105.</w:t>
      </w:r>
      <w:r w:rsidRPr="00C1603D">
        <w:tab/>
        <w:t xml:space="preserve">Reeves GE, </w:t>
      </w:r>
      <w:proofErr w:type="spellStart"/>
      <w:r w:rsidRPr="00C1603D">
        <w:t>Squance</w:t>
      </w:r>
      <w:proofErr w:type="spellEnd"/>
      <w:r w:rsidRPr="00C1603D">
        <w:t xml:space="preserve"> ML, Duggan AE, </w:t>
      </w:r>
      <w:proofErr w:type="spellStart"/>
      <w:r w:rsidRPr="00C1603D">
        <w:t>Murugasu</w:t>
      </w:r>
      <w:proofErr w:type="spellEnd"/>
      <w:r w:rsidRPr="00C1603D">
        <w:t xml:space="preserve"> RR, Wilson RJ, Wong RC, </w:t>
      </w:r>
      <w:r w:rsidRPr="00C1603D">
        <w:rPr>
          <w:i/>
        </w:rPr>
        <w:t>et al</w:t>
      </w:r>
      <w:r w:rsidRPr="00C1603D">
        <w:t xml:space="preserve">. Diagnostic accuracy of coeliac serological tests: a prospective study. </w:t>
      </w:r>
      <w:proofErr w:type="spellStart"/>
      <w:r w:rsidRPr="00C1603D">
        <w:rPr>
          <w:i/>
        </w:rPr>
        <w:t>Eur</w:t>
      </w:r>
      <w:proofErr w:type="spellEnd"/>
      <w:r w:rsidRPr="00C1603D">
        <w:rPr>
          <w:i/>
        </w:rPr>
        <w:t xml:space="preserve"> J Gastroenterol Hepatol</w:t>
      </w:r>
      <w:r w:rsidRPr="00C1603D">
        <w:t xml:space="preserve"> 2006;</w:t>
      </w:r>
      <w:r w:rsidRPr="00C1603D">
        <w:rPr>
          <w:b/>
        </w:rPr>
        <w:t>18</w:t>
      </w:r>
      <w:r w:rsidRPr="00C1603D">
        <w:t>:</w:t>
      </w:r>
      <w:r w:rsidRPr="00C1603D">
        <w:rPr>
          <w:color w:val="auto"/>
        </w:rPr>
        <w:t>493</w:t>
      </w:r>
      <w:r w:rsidRPr="00C1603D">
        <w:rPr>
          <w:color w:val="00B0F0"/>
        </w:rPr>
        <w:t>–</w:t>
      </w:r>
      <w:r w:rsidRPr="00C1603D">
        <w:rPr>
          <w:color w:val="auto"/>
        </w:rPr>
        <w:t>501</w:t>
      </w:r>
      <w:r w:rsidRPr="00C1603D">
        <w:t>.</w:t>
      </w:r>
    </w:p>
    <w:p w14:paraId="3BEBC76A" w14:textId="77777777" w:rsidR="00EF77DB" w:rsidRPr="00C1603D" w:rsidRDefault="00EF77DB" w:rsidP="00EF77DB">
      <w:pPr>
        <w:pStyle w:val="65ReferencesTextstylesTextstyles"/>
      </w:pPr>
      <w:r w:rsidRPr="00C1603D">
        <w:t>106.</w:t>
      </w:r>
      <w:r w:rsidRPr="00C1603D">
        <w:tab/>
      </w:r>
      <w:proofErr w:type="spellStart"/>
      <w:r w:rsidRPr="00C1603D">
        <w:t>Santaolalla</w:t>
      </w:r>
      <w:proofErr w:type="spellEnd"/>
      <w:r w:rsidRPr="00C1603D">
        <w:t xml:space="preserve"> R, Fernández-</w:t>
      </w:r>
      <w:proofErr w:type="spellStart"/>
      <w:r w:rsidRPr="00C1603D">
        <w:t>Bañares</w:t>
      </w:r>
      <w:proofErr w:type="spellEnd"/>
      <w:r w:rsidRPr="00C1603D">
        <w:t xml:space="preserve"> F, Rodríguez R, </w:t>
      </w:r>
      <w:proofErr w:type="spellStart"/>
      <w:r w:rsidRPr="00C1603D">
        <w:t>Alsina</w:t>
      </w:r>
      <w:proofErr w:type="spellEnd"/>
      <w:r w:rsidRPr="00C1603D">
        <w:t xml:space="preserve"> M, </w:t>
      </w:r>
      <w:proofErr w:type="spellStart"/>
      <w:r w:rsidRPr="00C1603D">
        <w:t>Rosinach</w:t>
      </w:r>
      <w:proofErr w:type="spellEnd"/>
      <w:r w:rsidRPr="00C1603D">
        <w:t xml:space="preserve"> M, </w:t>
      </w:r>
      <w:proofErr w:type="spellStart"/>
      <w:r w:rsidRPr="00C1603D">
        <w:t>Mariné</w:t>
      </w:r>
      <w:proofErr w:type="spellEnd"/>
      <w:r w:rsidRPr="00C1603D">
        <w:t xml:space="preserve"> M, </w:t>
      </w:r>
      <w:r w:rsidRPr="00C1603D">
        <w:rPr>
          <w:i/>
        </w:rPr>
        <w:t xml:space="preserve">et </w:t>
      </w:r>
      <w:r w:rsidRPr="00C1603D">
        <w:rPr>
          <w:i/>
        </w:rPr>
        <w:lastRenderedPageBreak/>
        <w:t>al</w:t>
      </w:r>
      <w:r w:rsidRPr="00C1603D">
        <w:t xml:space="preserve">. Diagnostic value of duodenal antitissue transglutaminase antibodies in gluten-sensitive enteropathy.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2008;</w:t>
      </w:r>
      <w:r w:rsidRPr="00C1603D">
        <w:rPr>
          <w:b/>
        </w:rPr>
        <w:t>27</w:t>
      </w:r>
      <w:r w:rsidRPr="00C1603D">
        <w:t>:</w:t>
      </w:r>
      <w:r w:rsidRPr="00C1603D">
        <w:rPr>
          <w:color w:val="auto"/>
        </w:rPr>
        <w:t>820</w:t>
      </w:r>
      <w:r w:rsidRPr="00C1603D">
        <w:rPr>
          <w:color w:val="00B0F0"/>
        </w:rPr>
        <w:t>–</w:t>
      </w:r>
      <w:r w:rsidRPr="00C1603D">
        <w:rPr>
          <w:color w:val="auto"/>
        </w:rPr>
        <w:t>9</w:t>
      </w:r>
      <w:r w:rsidRPr="00C1603D">
        <w:t>. https://doi.org/10.1111/j.1365-2036.2008.03652.x</w:t>
      </w:r>
    </w:p>
    <w:p w14:paraId="5F4E00D4" w14:textId="77777777" w:rsidR="00EF77DB" w:rsidRPr="00C1603D" w:rsidRDefault="00EF77DB" w:rsidP="00EF77DB">
      <w:pPr>
        <w:pStyle w:val="65ReferencesTextstylesTextstyles"/>
      </w:pPr>
      <w:r w:rsidRPr="00C1603D">
        <w:t>107.</w:t>
      </w:r>
      <w:r w:rsidRPr="00C1603D">
        <w:tab/>
        <w:t xml:space="preserve">Sayed SK, Imam HM, </w:t>
      </w:r>
      <w:proofErr w:type="spellStart"/>
      <w:r w:rsidRPr="00C1603D">
        <w:t>Mahran</w:t>
      </w:r>
      <w:proofErr w:type="spellEnd"/>
      <w:r w:rsidRPr="00C1603D">
        <w:t xml:space="preserve"> AM, </w:t>
      </w:r>
      <w:proofErr w:type="spellStart"/>
      <w:r w:rsidRPr="00C1603D">
        <w:t>Refaiy</w:t>
      </w:r>
      <w:proofErr w:type="spellEnd"/>
      <w:r w:rsidRPr="00C1603D">
        <w:t xml:space="preserve"> AM. Diagnostic utility of deamidated gliadin peptide antibody in celiac disease compared to anti-tissue transglutaminase and IgA- endomysium antibodies. </w:t>
      </w:r>
      <w:r w:rsidRPr="00C1603D">
        <w:rPr>
          <w:i/>
        </w:rPr>
        <w:t>Egypt J Immunol</w:t>
      </w:r>
      <w:r w:rsidRPr="00C1603D">
        <w:t xml:space="preserve"> 2012;</w:t>
      </w:r>
      <w:r w:rsidRPr="00C1603D">
        <w:rPr>
          <w:b/>
        </w:rPr>
        <w:t>19</w:t>
      </w:r>
      <w:r w:rsidRPr="00C1603D">
        <w:t>:</w:t>
      </w:r>
      <w:r w:rsidRPr="00C1603D">
        <w:rPr>
          <w:color w:val="auto"/>
        </w:rPr>
        <w:t>41</w:t>
      </w:r>
      <w:r w:rsidRPr="00C1603D">
        <w:rPr>
          <w:color w:val="00B0F0"/>
        </w:rPr>
        <w:t>–</w:t>
      </w:r>
      <w:r w:rsidRPr="00C1603D">
        <w:rPr>
          <w:color w:val="auto"/>
        </w:rPr>
        <w:t>52</w:t>
      </w:r>
      <w:r w:rsidRPr="00C1603D">
        <w:t>.</w:t>
      </w:r>
    </w:p>
    <w:p w14:paraId="4E829E41" w14:textId="38094847" w:rsidR="00EF77DB" w:rsidRPr="00C1603D" w:rsidRDefault="00EF77DB" w:rsidP="00EF77DB">
      <w:pPr>
        <w:pStyle w:val="65ReferencesTextstylesTextstyles"/>
      </w:pPr>
      <w:r w:rsidRPr="00C1603D">
        <w:t>108.</w:t>
      </w:r>
      <w:r w:rsidRPr="00C1603D">
        <w:tab/>
      </w:r>
      <w:proofErr w:type="spellStart"/>
      <w:r w:rsidRPr="00C1603D">
        <w:t>Scoglio</w:t>
      </w:r>
      <w:proofErr w:type="spellEnd"/>
      <w:r w:rsidRPr="00C1603D">
        <w:t xml:space="preserve"> R, Di Pasquale G, Pagano G, </w:t>
      </w:r>
      <w:proofErr w:type="spellStart"/>
      <w:r w:rsidRPr="00C1603D">
        <w:t>Lucanto</w:t>
      </w:r>
      <w:proofErr w:type="spellEnd"/>
      <w:r w:rsidRPr="00C1603D">
        <w:t xml:space="preserve"> MC, </w:t>
      </w:r>
      <w:proofErr w:type="spellStart"/>
      <w:r w:rsidRPr="00C1603D">
        <w:t>Magazzu</w:t>
      </w:r>
      <w:proofErr w:type="spellEnd"/>
      <w:r w:rsidRPr="00C1603D">
        <w:t xml:space="preserve"> G, </w:t>
      </w:r>
      <w:proofErr w:type="spellStart"/>
      <w:r w:rsidRPr="00C1603D">
        <w:t>Sferlazzas</w:t>
      </w:r>
      <w:proofErr w:type="spellEnd"/>
      <w:r w:rsidRPr="00C1603D">
        <w:t xml:space="preserve"> C. Is intestinal biopsy always needed for diagnosis of celiac disease? </w:t>
      </w:r>
      <w:r w:rsidR="00CF0F0E" w:rsidRPr="00C1603D">
        <w:rPr>
          <w:i/>
        </w:rPr>
        <w:t>Am J</w:t>
      </w:r>
      <w:r w:rsidRPr="00C1603D">
        <w:t xml:space="preserve"> </w:t>
      </w:r>
      <w:r w:rsidRPr="00C1603D">
        <w:rPr>
          <w:i/>
        </w:rPr>
        <w:t>Gastroenterol</w:t>
      </w:r>
      <w:r w:rsidRPr="00C1603D">
        <w:t xml:space="preserve"> 2003;</w:t>
      </w:r>
      <w:r w:rsidRPr="00C1603D">
        <w:rPr>
          <w:b/>
        </w:rPr>
        <w:t>98</w:t>
      </w:r>
      <w:r w:rsidRPr="00C1603D">
        <w:t>:1325</w:t>
      </w:r>
      <w:r w:rsidR="00CF0F0E" w:rsidRPr="00C1603D">
        <w:t>–</w:t>
      </w:r>
      <w:r w:rsidRPr="00C1603D">
        <w:t>31.</w:t>
      </w:r>
    </w:p>
    <w:p w14:paraId="03FE0A45" w14:textId="3CFED5F7" w:rsidR="00EF77DB" w:rsidRPr="00C1603D" w:rsidRDefault="00EF77DB" w:rsidP="00EF77DB">
      <w:pPr>
        <w:pStyle w:val="65ReferencesTextstylesTextstyles"/>
      </w:pPr>
      <w:r w:rsidRPr="00C1603D">
        <w:t>109.</w:t>
      </w:r>
      <w:r w:rsidRPr="00C1603D">
        <w:tab/>
      </w:r>
      <w:proofErr w:type="spellStart"/>
      <w:r w:rsidRPr="00C1603D">
        <w:t>Sugai</w:t>
      </w:r>
      <w:proofErr w:type="spellEnd"/>
      <w:r w:rsidRPr="00C1603D">
        <w:t xml:space="preserve"> E, Moreno ML, Hwang HJ, </w:t>
      </w:r>
      <w:proofErr w:type="spellStart"/>
      <w:r w:rsidRPr="00C1603D">
        <w:t>Cabanne</w:t>
      </w:r>
      <w:proofErr w:type="spellEnd"/>
      <w:r w:rsidRPr="00C1603D">
        <w:t xml:space="preserve"> A, </w:t>
      </w:r>
      <w:proofErr w:type="spellStart"/>
      <w:r w:rsidRPr="00C1603D">
        <w:t>Crivelli</w:t>
      </w:r>
      <w:proofErr w:type="spellEnd"/>
      <w:r w:rsidRPr="00C1603D">
        <w:t xml:space="preserve"> A, Nachman F, </w:t>
      </w:r>
      <w:r w:rsidRPr="00C1603D">
        <w:rPr>
          <w:i/>
        </w:rPr>
        <w:t>et</w:t>
      </w:r>
      <w:r w:rsidRPr="00C1603D">
        <w:t xml:space="preserve"> </w:t>
      </w:r>
      <w:r w:rsidRPr="00C1603D">
        <w:rPr>
          <w:i/>
        </w:rPr>
        <w:t>al</w:t>
      </w:r>
      <w:r w:rsidRPr="00C1603D">
        <w:t xml:space="preserve">. Celiac disease serology in patients with different </w:t>
      </w:r>
      <w:proofErr w:type="spellStart"/>
      <w:r w:rsidRPr="00C1603D">
        <w:t>pretest</w:t>
      </w:r>
      <w:proofErr w:type="spellEnd"/>
      <w:r w:rsidRPr="00C1603D">
        <w:t xml:space="preserve"> probabilities: </w:t>
      </w:r>
      <w:r w:rsidR="00CF0F0E" w:rsidRPr="00C1603D">
        <w:t>i</w:t>
      </w:r>
      <w:r w:rsidRPr="00C1603D">
        <w:t xml:space="preserve">s biopsy avoidable? </w:t>
      </w:r>
      <w:r w:rsidRPr="00C1603D">
        <w:rPr>
          <w:i/>
        </w:rPr>
        <w:t>World</w:t>
      </w:r>
      <w:r w:rsidRPr="00C1603D">
        <w:t xml:space="preserve"> </w:t>
      </w:r>
      <w:r w:rsidR="00CF0F0E" w:rsidRPr="00C1603D">
        <w:rPr>
          <w:i/>
        </w:rPr>
        <w:t>J</w:t>
      </w:r>
      <w:r w:rsidRPr="00C1603D">
        <w:t xml:space="preserve"> </w:t>
      </w:r>
      <w:r w:rsidRPr="00C1603D">
        <w:rPr>
          <w:i/>
        </w:rPr>
        <w:t>Gastroenterol</w:t>
      </w:r>
      <w:r w:rsidRPr="00C1603D">
        <w:t xml:space="preserve"> 2010;</w:t>
      </w:r>
      <w:r w:rsidRPr="00C1603D">
        <w:rPr>
          <w:b/>
        </w:rPr>
        <w:t>16</w:t>
      </w:r>
      <w:r w:rsidRPr="00C1603D">
        <w:t>:3144</w:t>
      </w:r>
      <w:r w:rsidR="00CF0F0E" w:rsidRPr="00C1603D">
        <w:t>–</w:t>
      </w:r>
      <w:r w:rsidRPr="00C1603D">
        <w:t>52.</w:t>
      </w:r>
    </w:p>
    <w:p w14:paraId="43DCA6B3" w14:textId="79B32819" w:rsidR="00EF77DB" w:rsidRPr="00C1603D" w:rsidRDefault="00EF77DB" w:rsidP="00EF77DB">
      <w:pPr>
        <w:pStyle w:val="65ReferencesTextstylesTextstyles"/>
      </w:pPr>
      <w:r w:rsidRPr="00C1603D">
        <w:t>110.</w:t>
      </w:r>
      <w:r w:rsidRPr="00C1603D">
        <w:tab/>
        <w:t xml:space="preserve">Swallow K, Wild G, </w:t>
      </w:r>
      <w:proofErr w:type="spellStart"/>
      <w:r w:rsidRPr="00C1603D">
        <w:t>Sargur</w:t>
      </w:r>
      <w:proofErr w:type="spellEnd"/>
      <w:r w:rsidRPr="00C1603D">
        <w:t xml:space="preserve"> R, Sanders DS, Aziz I, Hopper AD, </w:t>
      </w:r>
      <w:r w:rsidRPr="00C1603D">
        <w:rPr>
          <w:i/>
        </w:rPr>
        <w:t>et</w:t>
      </w:r>
      <w:r w:rsidRPr="00C1603D">
        <w:t xml:space="preserve"> </w:t>
      </w:r>
      <w:r w:rsidRPr="00C1603D">
        <w:rPr>
          <w:i/>
        </w:rPr>
        <w:t>al</w:t>
      </w:r>
      <w:r w:rsidRPr="00C1603D">
        <w:t xml:space="preserve">. Quality not quantity for transglutaminase antibody 2: the performance of an endomysial and tissue transglutaminase test in screening coeliac disease remains stable over time. </w:t>
      </w:r>
      <w:r w:rsidRPr="00C1603D">
        <w:rPr>
          <w:i/>
        </w:rPr>
        <w:t>Clin</w:t>
      </w:r>
      <w:r w:rsidRPr="00C1603D">
        <w:t xml:space="preserve"> </w:t>
      </w:r>
      <w:r w:rsidRPr="00C1603D">
        <w:rPr>
          <w:i/>
        </w:rPr>
        <w:t>Exp</w:t>
      </w:r>
      <w:r w:rsidRPr="00C1603D">
        <w:t xml:space="preserve"> </w:t>
      </w:r>
      <w:r w:rsidRPr="00C1603D">
        <w:rPr>
          <w:i/>
        </w:rPr>
        <w:t>Immunol</w:t>
      </w:r>
      <w:r w:rsidRPr="00C1603D">
        <w:t xml:space="preserve"> 2013;</w:t>
      </w:r>
      <w:r w:rsidRPr="00C1603D">
        <w:rPr>
          <w:b/>
        </w:rPr>
        <w:t>171</w:t>
      </w:r>
      <w:r w:rsidRPr="00C1603D">
        <w:t>:100</w:t>
      </w:r>
      <w:r w:rsidR="00CF0F0E" w:rsidRPr="00C1603D">
        <w:t>–</w:t>
      </w:r>
      <w:r w:rsidRPr="00C1603D">
        <w:t>6.</w:t>
      </w:r>
    </w:p>
    <w:p w14:paraId="02F3EC42" w14:textId="77777777" w:rsidR="00EF77DB" w:rsidRPr="00C1603D" w:rsidRDefault="00EF77DB" w:rsidP="00EF77DB">
      <w:pPr>
        <w:pStyle w:val="65ReferencesTextstylesTextstyles"/>
      </w:pPr>
      <w:r w:rsidRPr="00C1603D">
        <w:t>111.</w:t>
      </w:r>
      <w:r w:rsidRPr="00C1603D">
        <w:tab/>
      </w:r>
      <w:proofErr w:type="spellStart"/>
      <w:r w:rsidRPr="00C1603D">
        <w:t>Tesei</w:t>
      </w:r>
      <w:proofErr w:type="spellEnd"/>
      <w:r w:rsidRPr="00C1603D">
        <w:t xml:space="preserve"> N, </w:t>
      </w:r>
      <w:proofErr w:type="spellStart"/>
      <w:r w:rsidRPr="00C1603D">
        <w:t>Sugai</w:t>
      </w:r>
      <w:proofErr w:type="spellEnd"/>
      <w:r w:rsidRPr="00C1603D">
        <w:t xml:space="preserve"> E, Vázquez H, </w:t>
      </w:r>
      <w:proofErr w:type="spellStart"/>
      <w:r w:rsidRPr="00C1603D">
        <w:t>Smecuol</w:t>
      </w:r>
      <w:proofErr w:type="spellEnd"/>
      <w:r w:rsidRPr="00C1603D">
        <w:t xml:space="preserve"> E, </w:t>
      </w:r>
      <w:proofErr w:type="spellStart"/>
      <w:r w:rsidRPr="00C1603D">
        <w:t>Niveloni</w:t>
      </w:r>
      <w:proofErr w:type="spellEnd"/>
      <w:r w:rsidRPr="00C1603D">
        <w:t xml:space="preserve"> S, </w:t>
      </w:r>
      <w:proofErr w:type="spellStart"/>
      <w:r w:rsidRPr="00C1603D">
        <w:t>Mazure</w:t>
      </w:r>
      <w:proofErr w:type="spellEnd"/>
      <w:r w:rsidRPr="00C1603D">
        <w:t xml:space="preserve"> R, </w:t>
      </w:r>
      <w:r w:rsidRPr="00C1603D">
        <w:rPr>
          <w:i/>
        </w:rPr>
        <w:t>et al</w:t>
      </w:r>
      <w:r w:rsidRPr="00C1603D">
        <w:t xml:space="preserve">. Antibodies to human recombinant tissue transglutaminase may detect coeliac disease patients undiagnosed by endomysial antibodies.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2003;</w:t>
      </w:r>
      <w:r w:rsidRPr="00C1603D">
        <w:rPr>
          <w:b/>
        </w:rPr>
        <w:t>17</w:t>
      </w:r>
      <w:r w:rsidRPr="00C1603D">
        <w:t>:</w:t>
      </w:r>
      <w:r w:rsidRPr="00C1603D">
        <w:rPr>
          <w:color w:val="auto"/>
        </w:rPr>
        <w:t>1415</w:t>
      </w:r>
      <w:r w:rsidRPr="00C1603D">
        <w:rPr>
          <w:color w:val="00B0F0"/>
        </w:rPr>
        <w:t>–</w:t>
      </w:r>
      <w:r w:rsidRPr="00C1603D">
        <w:rPr>
          <w:color w:val="auto"/>
        </w:rPr>
        <w:t>23</w:t>
      </w:r>
      <w:r w:rsidRPr="00C1603D">
        <w:t>.</w:t>
      </w:r>
    </w:p>
    <w:p w14:paraId="62BB6189" w14:textId="77777777" w:rsidR="00EF77DB" w:rsidRPr="00C1603D" w:rsidRDefault="00EF77DB" w:rsidP="00EF77DB">
      <w:pPr>
        <w:pStyle w:val="65ReferencesTextstylesTextstyles"/>
      </w:pPr>
      <w:r w:rsidRPr="00C1603D">
        <w:t>112.</w:t>
      </w:r>
      <w:r w:rsidRPr="00C1603D">
        <w:tab/>
        <w:t xml:space="preserve">Volta U, </w:t>
      </w:r>
      <w:proofErr w:type="spellStart"/>
      <w:r w:rsidRPr="00C1603D">
        <w:t>Granito</w:t>
      </w:r>
      <w:proofErr w:type="spellEnd"/>
      <w:r w:rsidRPr="00C1603D">
        <w:t xml:space="preserve"> A, </w:t>
      </w:r>
      <w:proofErr w:type="spellStart"/>
      <w:r w:rsidRPr="00C1603D">
        <w:t>Parisi</w:t>
      </w:r>
      <w:proofErr w:type="spellEnd"/>
      <w:r w:rsidRPr="00C1603D">
        <w:t xml:space="preserve"> C, </w:t>
      </w:r>
      <w:proofErr w:type="spellStart"/>
      <w:r w:rsidRPr="00C1603D">
        <w:t>Fabbri</w:t>
      </w:r>
      <w:proofErr w:type="spellEnd"/>
      <w:r w:rsidRPr="00C1603D">
        <w:t xml:space="preserve"> A, </w:t>
      </w:r>
      <w:proofErr w:type="spellStart"/>
      <w:r w:rsidRPr="00C1603D">
        <w:t>Fiorini</w:t>
      </w:r>
      <w:proofErr w:type="spellEnd"/>
      <w:r w:rsidRPr="00C1603D">
        <w:t xml:space="preserve"> E, </w:t>
      </w:r>
      <w:proofErr w:type="spellStart"/>
      <w:r w:rsidRPr="00C1603D">
        <w:t>Piscaglia</w:t>
      </w:r>
      <w:proofErr w:type="spellEnd"/>
      <w:r w:rsidRPr="00C1603D">
        <w:t xml:space="preserve"> M, </w:t>
      </w:r>
      <w:r w:rsidRPr="00C1603D">
        <w:rPr>
          <w:i/>
        </w:rPr>
        <w:t>et al</w:t>
      </w:r>
      <w:r w:rsidRPr="00C1603D">
        <w:t xml:space="preserve">. Deamidated gliadin peptide antibodies as a routine test for celiac disease: a prospective analysis. </w:t>
      </w:r>
      <w:r w:rsidRPr="00C1603D">
        <w:rPr>
          <w:i/>
        </w:rPr>
        <w:t>J Clin Gastroenterol</w:t>
      </w:r>
      <w:r w:rsidRPr="00C1603D">
        <w:t xml:space="preserve"> 2010;</w:t>
      </w:r>
      <w:r w:rsidRPr="00C1603D">
        <w:rPr>
          <w:b/>
        </w:rPr>
        <w:t>44</w:t>
      </w:r>
      <w:r w:rsidRPr="00C1603D">
        <w:t>:</w:t>
      </w:r>
      <w:r w:rsidRPr="00C1603D">
        <w:rPr>
          <w:color w:val="auto"/>
        </w:rPr>
        <w:t>186</w:t>
      </w:r>
      <w:r w:rsidRPr="00C1603D">
        <w:rPr>
          <w:color w:val="00B0F0"/>
        </w:rPr>
        <w:t>–</w:t>
      </w:r>
      <w:r w:rsidRPr="00C1603D">
        <w:rPr>
          <w:color w:val="auto"/>
        </w:rPr>
        <w:t>90</w:t>
      </w:r>
      <w:r w:rsidRPr="00C1603D">
        <w:t>. https://doi.org/10.1097/MCG.0b013e3181c378f6</w:t>
      </w:r>
    </w:p>
    <w:p w14:paraId="4999C280" w14:textId="169CCE90" w:rsidR="00EF77DB" w:rsidRPr="00C1603D" w:rsidRDefault="00EF77DB" w:rsidP="00EF77DB">
      <w:pPr>
        <w:pStyle w:val="65ReferencesTextstylesTextstyles"/>
      </w:pPr>
      <w:r w:rsidRPr="00C1603D">
        <w:t>113.</w:t>
      </w:r>
      <w:r w:rsidRPr="00C1603D">
        <w:tab/>
        <w:t xml:space="preserve">Whyte M, </w:t>
      </w:r>
      <w:proofErr w:type="spellStart"/>
      <w:r w:rsidRPr="00C1603D">
        <w:t>Smale</w:t>
      </w:r>
      <w:proofErr w:type="spellEnd"/>
      <w:r w:rsidRPr="00C1603D">
        <w:t xml:space="preserve"> S, Heil PM, Prasad P, Davis T, Sewell C, </w:t>
      </w:r>
      <w:r w:rsidRPr="00C1603D">
        <w:rPr>
          <w:i/>
        </w:rPr>
        <w:t>et</w:t>
      </w:r>
      <w:r w:rsidRPr="00C1603D">
        <w:t xml:space="preserve"> </w:t>
      </w:r>
      <w:r w:rsidRPr="00C1603D">
        <w:rPr>
          <w:i/>
        </w:rPr>
        <w:t>al</w:t>
      </w:r>
      <w:r w:rsidRPr="00C1603D">
        <w:t xml:space="preserve">. IgA antibody to tissue transglutaminase is </w:t>
      </w:r>
      <w:proofErr w:type="gramStart"/>
      <w:r w:rsidRPr="00C1603D">
        <w:t>a highly sensitive</w:t>
      </w:r>
      <w:proofErr w:type="gramEnd"/>
      <w:r w:rsidRPr="00C1603D">
        <w:t xml:space="preserve"> predictor of adult onset coeliac disease in clinical practice. </w:t>
      </w:r>
      <w:r w:rsidRPr="00C1603D">
        <w:rPr>
          <w:i/>
        </w:rPr>
        <w:t>Gut</w:t>
      </w:r>
      <w:r w:rsidRPr="00C1603D">
        <w:t xml:space="preserve"> 2001;</w:t>
      </w:r>
      <w:r w:rsidRPr="00C1603D">
        <w:rPr>
          <w:b/>
        </w:rPr>
        <w:t>48</w:t>
      </w:r>
      <w:r w:rsidRPr="00C1603D">
        <w:t>:A77.</w:t>
      </w:r>
    </w:p>
    <w:p w14:paraId="2AC79167" w14:textId="77777777" w:rsidR="00EF77DB" w:rsidRPr="00C1603D" w:rsidRDefault="00EF77DB" w:rsidP="00EF77DB">
      <w:pPr>
        <w:pStyle w:val="65ReferencesTextstylesTextstyles"/>
      </w:pPr>
      <w:r w:rsidRPr="00C1603D">
        <w:t>114.</w:t>
      </w:r>
      <w:r w:rsidRPr="00C1603D">
        <w:tab/>
      </w:r>
      <w:proofErr w:type="spellStart"/>
      <w:r w:rsidRPr="00C1603D">
        <w:t>Zanini</w:t>
      </w:r>
      <w:proofErr w:type="spellEnd"/>
      <w:r w:rsidRPr="00C1603D">
        <w:t xml:space="preserve"> B, </w:t>
      </w:r>
      <w:proofErr w:type="spellStart"/>
      <w:r w:rsidRPr="00C1603D">
        <w:t>Magni</w:t>
      </w:r>
      <w:proofErr w:type="spellEnd"/>
      <w:r w:rsidRPr="00C1603D">
        <w:t xml:space="preserve"> A, </w:t>
      </w:r>
      <w:proofErr w:type="spellStart"/>
      <w:r w:rsidRPr="00C1603D">
        <w:t>Caselani</w:t>
      </w:r>
      <w:proofErr w:type="spellEnd"/>
      <w:r w:rsidRPr="00C1603D">
        <w:t xml:space="preserve"> F, </w:t>
      </w:r>
      <w:proofErr w:type="spellStart"/>
      <w:r w:rsidRPr="00C1603D">
        <w:t>Lanzarotto</w:t>
      </w:r>
      <w:proofErr w:type="spellEnd"/>
      <w:r w:rsidRPr="00C1603D">
        <w:t xml:space="preserve"> F, </w:t>
      </w:r>
      <w:proofErr w:type="spellStart"/>
      <w:r w:rsidRPr="00C1603D">
        <w:t>Carabellese</w:t>
      </w:r>
      <w:proofErr w:type="spellEnd"/>
      <w:r w:rsidRPr="00C1603D">
        <w:t xml:space="preserve"> N, </w:t>
      </w:r>
      <w:proofErr w:type="spellStart"/>
      <w:r w:rsidRPr="00C1603D">
        <w:t>Villanacci</w:t>
      </w:r>
      <w:proofErr w:type="spellEnd"/>
      <w:r w:rsidRPr="00C1603D">
        <w:t xml:space="preserve"> V, </w:t>
      </w:r>
      <w:r w:rsidRPr="00C1603D">
        <w:rPr>
          <w:i/>
        </w:rPr>
        <w:t>et al</w:t>
      </w:r>
      <w:r w:rsidRPr="00C1603D">
        <w:t xml:space="preserve">. High tissue-transglutaminase antibody level predicts small intestinal villous atrophy in adult patients at </w:t>
      </w:r>
      <w:proofErr w:type="gramStart"/>
      <w:r w:rsidRPr="00C1603D">
        <w:t>high risk</w:t>
      </w:r>
      <w:proofErr w:type="gramEnd"/>
      <w:r w:rsidRPr="00C1603D">
        <w:t xml:space="preserve"> of celiac disease. </w:t>
      </w:r>
      <w:r w:rsidRPr="00C1603D">
        <w:rPr>
          <w:i/>
        </w:rPr>
        <w:t>Dig Liver Dis</w:t>
      </w:r>
      <w:r w:rsidRPr="00C1603D">
        <w:t xml:space="preserve"> 2012;</w:t>
      </w:r>
      <w:r w:rsidRPr="00C1603D">
        <w:rPr>
          <w:b/>
        </w:rPr>
        <w:t>44</w:t>
      </w:r>
      <w:r w:rsidRPr="00C1603D">
        <w:t>:</w:t>
      </w:r>
      <w:r w:rsidRPr="00C1603D">
        <w:rPr>
          <w:color w:val="auto"/>
        </w:rPr>
        <w:t>280</w:t>
      </w:r>
      <w:r w:rsidRPr="00C1603D">
        <w:rPr>
          <w:color w:val="00B0F0"/>
        </w:rPr>
        <w:t>–</w:t>
      </w:r>
      <w:r w:rsidRPr="00C1603D">
        <w:rPr>
          <w:color w:val="auto"/>
        </w:rPr>
        <w:t>5</w:t>
      </w:r>
      <w:r w:rsidRPr="00C1603D">
        <w:t>. https://doi.org/10.1016/j.dld.2011.10.013</w:t>
      </w:r>
    </w:p>
    <w:p w14:paraId="4521DB48" w14:textId="69340A89" w:rsidR="00EF77DB" w:rsidRPr="00C1603D" w:rsidRDefault="3CDEEDA7" w:rsidP="00EF77DB">
      <w:pPr>
        <w:pStyle w:val="65ReferencesTextstylesTextstyles"/>
      </w:pPr>
      <w:r w:rsidRPr="00C1603D">
        <w:t>115.</w:t>
      </w:r>
      <w:r w:rsidR="00EF77DB" w:rsidRPr="00C1603D">
        <w:tab/>
      </w:r>
      <w:commentRangeStart w:id="500"/>
      <w:commentRangeStart w:id="501"/>
      <w:proofErr w:type="spellStart"/>
      <w:r w:rsidRPr="00C1603D">
        <w:t>Pretto</w:t>
      </w:r>
      <w:proofErr w:type="spellEnd"/>
      <w:r w:rsidRPr="00C1603D">
        <w:t xml:space="preserve"> LE, Hernández MA, </w:t>
      </w:r>
      <w:proofErr w:type="spellStart"/>
      <w:r w:rsidRPr="00C1603D">
        <w:t>Eusebi</w:t>
      </w:r>
      <w:proofErr w:type="spellEnd"/>
      <w:r w:rsidRPr="00C1603D">
        <w:t xml:space="preserve"> SM, </w:t>
      </w:r>
      <w:proofErr w:type="spellStart"/>
      <w:r w:rsidRPr="00C1603D">
        <w:t>Tamagnini</w:t>
      </w:r>
      <w:proofErr w:type="spellEnd"/>
      <w:r w:rsidRPr="00C1603D">
        <w:t xml:space="preserve"> GA, </w:t>
      </w:r>
      <w:proofErr w:type="spellStart"/>
      <w:r w:rsidRPr="00C1603D">
        <w:t>Tibaldo</w:t>
      </w:r>
      <w:proofErr w:type="spellEnd"/>
      <w:r w:rsidRPr="00C1603D">
        <w:t xml:space="preserve"> AE, </w:t>
      </w:r>
      <w:proofErr w:type="spellStart"/>
      <w:r w:rsidRPr="00C1603D">
        <w:t>Pezzarini</w:t>
      </w:r>
      <w:proofErr w:type="spellEnd"/>
      <w:r w:rsidRPr="00C1603D">
        <w:t xml:space="preserve"> E, </w:t>
      </w:r>
      <w:r w:rsidRPr="00C1603D">
        <w:rPr>
          <w:i/>
          <w:iCs/>
        </w:rPr>
        <w:t>et al</w:t>
      </w:r>
      <w:r w:rsidRPr="00C1603D">
        <w:t xml:space="preserve">. </w:t>
      </w:r>
      <w:r w:rsidRPr="00C1603D">
        <w:rPr>
          <w:i/>
          <w:iCs/>
        </w:rPr>
        <w:t>Utility of Anti Deamidated Gliadin Peptides Antibodies in the Screening of Celiac Disease in Children</w:t>
      </w:r>
      <w:r w:rsidRPr="00C1603D">
        <w:t>. XX Congress–XXXVIII Annual Meeting of Rosario Biology Society, 27 and 28 November 2018, Rosario, Argentina, abstract no. 60.</w:t>
      </w:r>
      <w:commentRangeEnd w:id="500"/>
      <w:r w:rsidR="00EF77DB" w:rsidRPr="00C1603D">
        <w:commentReference w:id="500"/>
      </w:r>
      <w:commentRangeEnd w:id="501"/>
      <w:r w:rsidR="00EF77DB" w:rsidRPr="00C1603D">
        <w:commentReference w:id="501"/>
      </w:r>
    </w:p>
    <w:p w14:paraId="3EE64235" w14:textId="2A15E3F7" w:rsidR="00EF77DB" w:rsidRPr="00C1603D" w:rsidRDefault="00EF77DB" w:rsidP="00EF77DB">
      <w:pPr>
        <w:pStyle w:val="65ReferencesTextstylesTextstyles"/>
      </w:pPr>
      <w:r w:rsidRPr="00C1603D">
        <w:t>116.</w:t>
      </w:r>
      <w:r w:rsidRPr="00C1603D">
        <w:tab/>
        <w:t xml:space="preserve">Rabbani MW, Aziz MT, Basit A, Iqbal I. Diagnostic accuracy of serum anti-tissue transglutaminase IgA, in the diagnosis of celiac disease, taking small bowel biopsy as a gold standard. </w:t>
      </w:r>
      <w:r w:rsidRPr="00C1603D">
        <w:rPr>
          <w:i/>
        </w:rPr>
        <w:t>Pak</w:t>
      </w:r>
      <w:r w:rsidR="00CF0F0E" w:rsidRPr="00C1603D">
        <w:rPr>
          <w:i/>
        </w:rPr>
        <w:t xml:space="preserve"> </w:t>
      </w:r>
      <w:proofErr w:type="spellStart"/>
      <w:r w:rsidRPr="00C1603D">
        <w:rPr>
          <w:i/>
        </w:rPr>
        <w:t>Paediatr</w:t>
      </w:r>
      <w:proofErr w:type="spellEnd"/>
      <w:r w:rsidRPr="00C1603D">
        <w:t xml:space="preserve"> </w:t>
      </w:r>
      <w:r w:rsidR="00CF0F0E" w:rsidRPr="00C1603D">
        <w:rPr>
          <w:i/>
        </w:rPr>
        <w:t>J</w:t>
      </w:r>
      <w:r w:rsidRPr="00C1603D">
        <w:t xml:space="preserve"> 2015;</w:t>
      </w:r>
      <w:r w:rsidRPr="00C1603D">
        <w:rPr>
          <w:b/>
        </w:rPr>
        <w:t>39</w:t>
      </w:r>
      <w:r w:rsidRPr="00C1603D">
        <w:t>:203</w:t>
      </w:r>
      <w:r w:rsidR="00CF0F0E" w:rsidRPr="00C1603D">
        <w:t>–</w:t>
      </w:r>
      <w:r w:rsidRPr="00C1603D">
        <w:t>8.</w:t>
      </w:r>
    </w:p>
    <w:p w14:paraId="2286B80F" w14:textId="7A45FE4E" w:rsidR="00EF77DB" w:rsidRPr="00C1603D" w:rsidRDefault="00EF77DB" w:rsidP="00EF77DB">
      <w:pPr>
        <w:pStyle w:val="65ReferencesTextstylesTextstyles"/>
      </w:pPr>
      <w:r w:rsidRPr="00C1603D">
        <w:t>117.</w:t>
      </w:r>
      <w:r w:rsidRPr="00C1603D">
        <w:tab/>
        <w:t xml:space="preserve">Roca M, </w:t>
      </w:r>
      <w:proofErr w:type="spellStart"/>
      <w:r w:rsidRPr="00C1603D">
        <w:t>Donat</w:t>
      </w:r>
      <w:proofErr w:type="spellEnd"/>
      <w:r w:rsidRPr="00C1603D">
        <w:t xml:space="preserve"> E, Marco-</w:t>
      </w:r>
      <w:proofErr w:type="spellStart"/>
      <w:r w:rsidRPr="00C1603D">
        <w:t>Maestud</w:t>
      </w:r>
      <w:proofErr w:type="spellEnd"/>
      <w:r w:rsidRPr="00C1603D">
        <w:t xml:space="preserve"> N, </w:t>
      </w:r>
      <w:proofErr w:type="spellStart"/>
      <w:r w:rsidRPr="00C1603D">
        <w:t>Masip</w:t>
      </w:r>
      <w:proofErr w:type="spellEnd"/>
      <w:r w:rsidRPr="00C1603D">
        <w:t xml:space="preserve"> E, </w:t>
      </w:r>
      <w:proofErr w:type="spellStart"/>
      <w:r w:rsidRPr="00C1603D">
        <w:t>Hervás</w:t>
      </w:r>
      <w:proofErr w:type="spellEnd"/>
      <w:r w:rsidRPr="00C1603D">
        <w:t xml:space="preserve">-Marín D, Ramos D, </w:t>
      </w:r>
      <w:r w:rsidRPr="00C1603D">
        <w:rPr>
          <w:i/>
        </w:rPr>
        <w:t>et al</w:t>
      </w:r>
      <w:r w:rsidRPr="00C1603D">
        <w:t xml:space="preserve">. Efficacy </w:t>
      </w:r>
      <w:r w:rsidR="00CF0F0E" w:rsidRPr="00C1603D">
        <w:t xml:space="preserve">study of anti-endomysium antibodies for celiac disease diagnosis: a retrospective study </w:t>
      </w:r>
      <w:r w:rsidRPr="00C1603D">
        <w:t xml:space="preserve">in a Spanish </w:t>
      </w:r>
      <w:proofErr w:type="spellStart"/>
      <w:r w:rsidR="00CF0F0E" w:rsidRPr="00C1603D">
        <w:t>pediatric</w:t>
      </w:r>
      <w:proofErr w:type="spellEnd"/>
      <w:r w:rsidR="00CF0F0E" w:rsidRPr="00C1603D">
        <w:t xml:space="preserve"> population</w:t>
      </w:r>
      <w:r w:rsidRPr="00C1603D">
        <w:t xml:space="preserve">. </w:t>
      </w:r>
      <w:r w:rsidRPr="00C1603D">
        <w:rPr>
          <w:i/>
        </w:rPr>
        <w:t>J Clin Med</w:t>
      </w:r>
      <w:r w:rsidRPr="00C1603D">
        <w:t xml:space="preserve"> 2019;</w:t>
      </w:r>
      <w:r w:rsidRPr="00C1603D">
        <w:rPr>
          <w:b/>
        </w:rPr>
        <w:t>8</w:t>
      </w:r>
      <w:r w:rsidRPr="00C1603D">
        <w:t>:</w:t>
      </w:r>
      <w:r w:rsidRPr="00C1603D">
        <w:rPr>
          <w:color w:val="auto"/>
        </w:rPr>
        <w:t>E2179</w:t>
      </w:r>
      <w:r w:rsidRPr="00C1603D">
        <w:t>.</w:t>
      </w:r>
    </w:p>
    <w:p w14:paraId="254FD1E5" w14:textId="2E0205BA" w:rsidR="00EF77DB" w:rsidRPr="00C1603D" w:rsidRDefault="00EF77DB" w:rsidP="00EF77DB">
      <w:pPr>
        <w:pStyle w:val="65ReferencesTextstylesTextstyles"/>
      </w:pPr>
      <w:r w:rsidRPr="00C1603D">
        <w:t>118.</w:t>
      </w:r>
      <w:r w:rsidRPr="00C1603D">
        <w:tab/>
      </w:r>
      <w:proofErr w:type="spellStart"/>
      <w:r w:rsidRPr="00C1603D">
        <w:t>Saneian</w:t>
      </w:r>
      <w:proofErr w:type="spellEnd"/>
      <w:r w:rsidRPr="00C1603D">
        <w:t xml:space="preserve"> H, </w:t>
      </w:r>
      <w:proofErr w:type="spellStart"/>
      <w:r w:rsidRPr="00C1603D">
        <w:t>Gorgani</w:t>
      </w:r>
      <w:proofErr w:type="spellEnd"/>
      <w:r w:rsidRPr="00C1603D">
        <w:t xml:space="preserve"> AM. Diagnostic value of serologic tests in celiac screening. </w:t>
      </w:r>
      <w:r w:rsidR="00CF0F0E" w:rsidRPr="00C1603D">
        <w:rPr>
          <w:i/>
        </w:rPr>
        <w:t>Int J</w:t>
      </w:r>
      <w:r w:rsidRPr="00C1603D">
        <w:t xml:space="preserve"> </w:t>
      </w:r>
      <w:proofErr w:type="spellStart"/>
      <w:r w:rsidR="00CF0F0E" w:rsidRPr="00C1603D">
        <w:rPr>
          <w:i/>
        </w:rPr>
        <w:t>Prev</w:t>
      </w:r>
      <w:proofErr w:type="spellEnd"/>
      <w:r w:rsidR="00CF0F0E" w:rsidRPr="00C1603D">
        <w:rPr>
          <w:i/>
        </w:rPr>
        <w:t xml:space="preserve"> Med</w:t>
      </w:r>
      <w:r w:rsidR="00CF0F0E" w:rsidRPr="00C1603D">
        <w:t xml:space="preserve"> </w:t>
      </w:r>
      <w:r w:rsidRPr="00C1603D">
        <w:t>2012;</w:t>
      </w:r>
      <w:r w:rsidRPr="00C1603D">
        <w:rPr>
          <w:b/>
        </w:rPr>
        <w:t>3</w:t>
      </w:r>
      <w:r w:rsidRPr="00C1603D">
        <w:t>:S58</w:t>
      </w:r>
      <w:r w:rsidR="00CF0F0E" w:rsidRPr="00C1603D">
        <w:t>–</w:t>
      </w:r>
      <w:r w:rsidRPr="00C1603D">
        <w:t>63.</w:t>
      </w:r>
    </w:p>
    <w:p w14:paraId="02340BBF" w14:textId="6FA7C57D" w:rsidR="00EF77DB" w:rsidRPr="00C1603D" w:rsidRDefault="00EF77DB" w:rsidP="00EF77DB">
      <w:pPr>
        <w:pStyle w:val="65ReferencesTextstylesTextstyles"/>
      </w:pPr>
      <w:r w:rsidRPr="00C1603D">
        <w:t>119.</w:t>
      </w:r>
      <w:r w:rsidRPr="00C1603D">
        <w:tab/>
      </w:r>
      <w:proofErr w:type="spellStart"/>
      <w:r w:rsidRPr="00C1603D">
        <w:t>Tronconi</w:t>
      </w:r>
      <w:proofErr w:type="spellEnd"/>
      <w:r w:rsidRPr="00C1603D">
        <w:t xml:space="preserve"> GM, Parma B, </w:t>
      </w:r>
      <w:proofErr w:type="spellStart"/>
      <w:r w:rsidRPr="00C1603D">
        <w:t>Bazzigaluppi</w:t>
      </w:r>
      <w:proofErr w:type="spellEnd"/>
      <w:r w:rsidRPr="00C1603D">
        <w:t xml:space="preserve"> E, </w:t>
      </w:r>
      <w:proofErr w:type="spellStart"/>
      <w:r w:rsidRPr="00C1603D">
        <w:t>Corsin</w:t>
      </w:r>
      <w:proofErr w:type="spellEnd"/>
      <w:r w:rsidRPr="00C1603D">
        <w:t xml:space="preserve"> P, </w:t>
      </w:r>
      <w:proofErr w:type="spellStart"/>
      <w:r w:rsidRPr="00C1603D">
        <w:t>Barera</w:t>
      </w:r>
      <w:proofErr w:type="spellEnd"/>
      <w:r w:rsidRPr="00C1603D">
        <w:t xml:space="preserve"> G. Antibodies against synthetic deamidated gliadin peptides for the diagnosis of childhood celiac disease: </w:t>
      </w:r>
      <w:r w:rsidR="00CF0F0E" w:rsidRPr="00C1603D">
        <w:t>d</w:t>
      </w:r>
      <w:r w:rsidRPr="00C1603D">
        <w:t xml:space="preserve">o they play a role? </w:t>
      </w:r>
      <w:r w:rsidR="00CF0F0E" w:rsidRPr="00C1603D">
        <w:rPr>
          <w:i/>
        </w:rPr>
        <w:t>Dig Liver Dis</w:t>
      </w:r>
      <w:r w:rsidRPr="00C1603D">
        <w:t xml:space="preserve"> 2010;</w:t>
      </w:r>
      <w:r w:rsidRPr="00C1603D">
        <w:rPr>
          <w:b/>
        </w:rPr>
        <w:t>42</w:t>
      </w:r>
      <w:r w:rsidRPr="00C1603D">
        <w:t>:S350.</w:t>
      </w:r>
    </w:p>
    <w:p w14:paraId="21B351CA" w14:textId="77777777" w:rsidR="00EF77DB" w:rsidRPr="00C1603D" w:rsidRDefault="00EF77DB" w:rsidP="00EF77DB">
      <w:pPr>
        <w:pStyle w:val="65ReferencesTextstylesTextstyles"/>
      </w:pPr>
      <w:r w:rsidRPr="00C1603D">
        <w:t>120.</w:t>
      </w:r>
      <w:r w:rsidRPr="00C1603D">
        <w:tab/>
      </w:r>
      <w:proofErr w:type="spellStart"/>
      <w:r w:rsidRPr="00C1603D">
        <w:t>Weile</w:t>
      </w:r>
      <w:proofErr w:type="spellEnd"/>
      <w:r w:rsidRPr="00C1603D">
        <w:t xml:space="preserve"> B, Heegaard NH, </w:t>
      </w:r>
      <w:proofErr w:type="spellStart"/>
      <w:r w:rsidRPr="00C1603D">
        <w:t>Høier</w:t>
      </w:r>
      <w:proofErr w:type="spellEnd"/>
      <w:r w:rsidRPr="00C1603D">
        <w:t xml:space="preserve">-Madsen M, </w:t>
      </w:r>
      <w:proofErr w:type="spellStart"/>
      <w:r w:rsidRPr="00C1603D">
        <w:t>Wiik</w:t>
      </w:r>
      <w:proofErr w:type="spellEnd"/>
      <w:r w:rsidRPr="00C1603D">
        <w:t xml:space="preserve"> A, </w:t>
      </w:r>
      <w:proofErr w:type="spellStart"/>
      <w:r w:rsidRPr="00C1603D">
        <w:t>Krasilnikoff</w:t>
      </w:r>
      <w:proofErr w:type="spellEnd"/>
      <w:r w:rsidRPr="00C1603D">
        <w:t xml:space="preserve"> PA. Tissue transglutaminase and endomysial autoantibodies measured in an historical cohort of children and young adults in whom coeliac disease was suspected. </w:t>
      </w:r>
      <w:proofErr w:type="spellStart"/>
      <w:r w:rsidRPr="00C1603D">
        <w:rPr>
          <w:i/>
        </w:rPr>
        <w:t>Eur</w:t>
      </w:r>
      <w:proofErr w:type="spellEnd"/>
      <w:r w:rsidRPr="00C1603D">
        <w:rPr>
          <w:i/>
        </w:rPr>
        <w:t xml:space="preserve"> J Gastroenterol Hepatol</w:t>
      </w:r>
      <w:r w:rsidRPr="00C1603D">
        <w:t xml:space="preserve"> 2002;</w:t>
      </w:r>
      <w:r w:rsidRPr="00C1603D">
        <w:rPr>
          <w:b/>
        </w:rPr>
        <w:t>14</w:t>
      </w:r>
      <w:r w:rsidRPr="00C1603D">
        <w:t>:</w:t>
      </w:r>
      <w:r w:rsidRPr="00C1603D">
        <w:rPr>
          <w:color w:val="auto"/>
        </w:rPr>
        <w:t>71</w:t>
      </w:r>
      <w:r w:rsidRPr="00C1603D">
        <w:rPr>
          <w:color w:val="00B0F0"/>
        </w:rPr>
        <w:t>–</w:t>
      </w:r>
      <w:r w:rsidRPr="00C1603D">
        <w:rPr>
          <w:color w:val="auto"/>
        </w:rPr>
        <w:t>6</w:t>
      </w:r>
      <w:r w:rsidRPr="00C1603D">
        <w:t>. https://doi.org/10.1097/00042737-200201000-00012</w:t>
      </w:r>
    </w:p>
    <w:p w14:paraId="77557D16" w14:textId="61E8F137" w:rsidR="00EF77DB" w:rsidRPr="00C1603D" w:rsidRDefault="00EF77DB" w:rsidP="00EF77DB">
      <w:pPr>
        <w:pStyle w:val="65ReferencesTextstylesTextstyles"/>
      </w:pPr>
      <w:r w:rsidRPr="00C1603D">
        <w:lastRenderedPageBreak/>
        <w:t>121.</w:t>
      </w:r>
      <w:r w:rsidRPr="00C1603D">
        <w:tab/>
        <w:t xml:space="preserve">Wolf J, Petroff D, Richter T, Auth MKH, Uhlig HH, </w:t>
      </w:r>
      <w:proofErr w:type="spellStart"/>
      <w:r w:rsidRPr="00C1603D">
        <w:t>Laass</w:t>
      </w:r>
      <w:proofErr w:type="spellEnd"/>
      <w:r w:rsidRPr="00C1603D">
        <w:t xml:space="preserve"> MW, </w:t>
      </w:r>
      <w:r w:rsidRPr="00C1603D">
        <w:rPr>
          <w:i/>
        </w:rPr>
        <w:t>et al</w:t>
      </w:r>
      <w:r w:rsidRPr="00C1603D">
        <w:t xml:space="preserve">. Validation of </w:t>
      </w:r>
      <w:r w:rsidR="00CF0F0E" w:rsidRPr="00C1603D">
        <w:t xml:space="preserve">antibody-based strategies for diagnosis of </w:t>
      </w:r>
      <w:proofErr w:type="spellStart"/>
      <w:r w:rsidR="00CF0F0E" w:rsidRPr="00C1603D">
        <w:t>pediatric</w:t>
      </w:r>
      <w:proofErr w:type="spellEnd"/>
      <w:r w:rsidR="00CF0F0E" w:rsidRPr="00C1603D">
        <w:t xml:space="preserve"> celiac disease without biopsy</w:t>
      </w:r>
      <w:r w:rsidRPr="00C1603D">
        <w:t xml:space="preserve">. </w:t>
      </w:r>
      <w:r w:rsidRPr="00C1603D">
        <w:rPr>
          <w:i/>
        </w:rPr>
        <w:t>Gastroenterology</w:t>
      </w:r>
      <w:r w:rsidRPr="00C1603D">
        <w:t xml:space="preserve"> 2017;</w:t>
      </w:r>
      <w:r w:rsidRPr="00C1603D">
        <w:rPr>
          <w:b/>
        </w:rPr>
        <w:t>153</w:t>
      </w:r>
      <w:r w:rsidRPr="00C1603D">
        <w:t>:</w:t>
      </w:r>
      <w:r w:rsidRPr="00C1603D">
        <w:rPr>
          <w:color w:val="auto"/>
        </w:rPr>
        <w:t>410</w:t>
      </w:r>
      <w:r w:rsidRPr="00C1603D">
        <w:rPr>
          <w:color w:val="00B0F0"/>
        </w:rPr>
        <w:t>–</w:t>
      </w:r>
      <w:r w:rsidRPr="00C1603D">
        <w:rPr>
          <w:color w:val="auto"/>
        </w:rPr>
        <w:t>19</w:t>
      </w:r>
      <w:r w:rsidRPr="00C1603D">
        <w:rPr>
          <w:color w:val="00B0F0"/>
        </w:rPr>
        <w:t>.</w:t>
      </w:r>
      <w:r w:rsidRPr="00C1603D">
        <w:rPr>
          <w:color w:val="auto"/>
        </w:rPr>
        <w:t>e17</w:t>
      </w:r>
      <w:r w:rsidRPr="00C1603D">
        <w:t>.</w:t>
      </w:r>
    </w:p>
    <w:p w14:paraId="25ACA982" w14:textId="309741CD" w:rsidR="00EF77DB" w:rsidRPr="00C1603D" w:rsidRDefault="00EF77DB" w:rsidP="00EF77DB">
      <w:pPr>
        <w:pStyle w:val="65ReferencesTextstylesTextstyles"/>
      </w:pPr>
      <w:r w:rsidRPr="00C1603D">
        <w:t>122.</w:t>
      </w:r>
      <w:r w:rsidRPr="00C1603D">
        <w:tab/>
        <w:t xml:space="preserve">Mubarak A, </w:t>
      </w:r>
      <w:proofErr w:type="spellStart"/>
      <w:r w:rsidRPr="00C1603D">
        <w:t>Houwen</w:t>
      </w:r>
      <w:proofErr w:type="spellEnd"/>
      <w:r w:rsidRPr="00C1603D">
        <w:t xml:space="preserve"> R. Tissue transglutaminase antibody levels &gt;=</w:t>
      </w:r>
      <w:r w:rsidR="00CF0F0E" w:rsidRPr="00C1603D">
        <w:t> </w:t>
      </w:r>
      <w:r w:rsidRPr="00C1603D">
        <w:t>100</w:t>
      </w:r>
      <w:r w:rsidR="00CF0F0E" w:rsidRPr="00C1603D">
        <w:t> </w:t>
      </w:r>
      <w:r w:rsidRPr="00C1603D">
        <w:t xml:space="preserve">U/mL and celiac disease: </w:t>
      </w:r>
      <w:r w:rsidR="00CF0F0E" w:rsidRPr="00C1603D">
        <w:t>t</w:t>
      </w:r>
      <w:r w:rsidRPr="00C1603D">
        <w:t xml:space="preserve">he first prospective study. </w:t>
      </w:r>
      <w:r w:rsidRPr="00C1603D">
        <w:rPr>
          <w:i/>
        </w:rPr>
        <w:t>Gastroenterology</w:t>
      </w:r>
      <w:r w:rsidRPr="00C1603D">
        <w:t xml:space="preserve"> 2012;</w:t>
      </w:r>
      <w:r w:rsidRPr="00C1603D">
        <w:rPr>
          <w:b/>
        </w:rPr>
        <w:t>142</w:t>
      </w:r>
      <w:r w:rsidRPr="00C1603D">
        <w:t>:S277.</w:t>
      </w:r>
    </w:p>
    <w:p w14:paraId="6BEFA515" w14:textId="77777777" w:rsidR="00EF77DB" w:rsidRPr="00C1603D" w:rsidRDefault="00EF77DB" w:rsidP="00EF77DB">
      <w:pPr>
        <w:pStyle w:val="65ReferencesTextstylesTextstyles"/>
      </w:pPr>
      <w:r w:rsidRPr="00C1603D">
        <w:t>123.</w:t>
      </w:r>
      <w:r w:rsidRPr="00C1603D">
        <w:tab/>
        <w:t xml:space="preserve">Panetta F, Torre G, </w:t>
      </w:r>
      <w:proofErr w:type="spellStart"/>
      <w:r w:rsidRPr="00C1603D">
        <w:t>Colistro</w:t>
      </w:r>
      <w:proofErr w:type="spellEnd"/>
      <w:r w:rsidRPr="00C1603D">
        <w:t xml:space="preserve"> F, Ferretti F, Daniele A, </w:t>
      </w:r>
      <w:proofErr w:type="spellStart"/>
      <w:r w:rsidRPr="00C1603D">
        <w:t>Diamanti</w:t>
      </w:r>
      <w:proofErr w:type="spellEnd"/>
      <w:r w:rsidRPr="00C1603D">
        <w:t xml:space="preserve"> A. Clinical accuracy of anti-tissue transglutaminase as screening test for celiac disease under 2 years. </w:t>
      </w:r>
      <w:r w:rsidRPr="00C1603D">
        <w:rPr>
          <w:i/>
        </w:rPr>
        <w:t xml:space="preserve">Acta </w:t>
      </w:r>
      <w:proofErr w:type="spellStart"/>
      <w:r w:rsidRPr="00C1603D">
        <w:rPr>
          <w:i/>
        </w:rPr>
        <w:t>Paediatr</w:t>
      </w:r>
      <w:proofErr w:type="spellEnd"/>
      <w:r w:rsidRPr="00C1603D">
        <w:t xml:space="preserve"> 2011;</w:t>
      </w:r>
      <w:r w:rsidRPr="00C1603D">
        <w:rPr>
          <w:b/>
        </w:rPr>
        <w:t>100</w:t>
      </w:r>
      <w:r w:rsidRPr="00C1603D">
        <w:t>:</w:t>
      </w:r>
      <w:r w:rsidRPr="00C1603D">
        <w:rPr>
          <w:color w:val="auto"/>
        </w:rPr>
        <w:t>728</w:t>
      </w:r>
      <w:r w:rsidRPr="00C1603D">
        <w:rPr>
          <w:color w:val="00B0F0"/>
        </w:rPr>
        <w:t>–</w:t>
      </w:r>
      <w:r w:rsidRPr="00C1603D">
        <w:rPr>
          <w:color w:val="auto"/>
        </w:rPr>
        <w:t>31</w:t>
      </w:r>
      <w:r w:rsidRPr="00C1603D">
        <w:t>. https://doi.org/10.1111/j.1651-2227.2010.02124.x</w:t>
      </w:r>
    </w:p>
    <w:p w14:paraId="639D140F" w14:textId="77777777" w:rsidR="00EF77DB" w:rsidRPr="00C1603D" w:rsidRDefault="00EF77DB" w:rsidP="00EF77DB">
      <w:pPr>
        <w:pStyle w:val="65ReferencesTextstylesTextstyles"/>
      </w:pPr>
      <w:r w:rsidRPr="00C1603D">
        <w:t>124.</w:t>
      </w:r>
      <w:r w:rsidRPr="00C1603D">
        <w:tab/>
      </w:r>
      <w:proofErr w:type="spellStart"/>
      <w:r w:rsidRPr="00C1603D">
        <w:t>Parizade</w:t>
      </w:r>
      <w:proofErr w:type="spellEnd"/>
      <w:r w:rsidRPr="00C1603D">
        <w:t xml:space="preserve"> M, </w:t>
      </w:r>
      <w:proofErr w:type="spellStart"/>
      <w:r w:rsidRPr="00C1603D">
        <w:t>Bujanover</w:t>
      </w:r>
      <w:proofErr w:type="spellEnd"/>
      <w:r w:rsidRPr="00C1603D">
        <w:t xml:space="preserve"> Y, Weiss B, </w:t>
      </w:r>
      <w:proofErr w:type="spellStart"/>
      <w:r w:rsidRPr="00C1603D">
        <w:t>Nachmias</w:t>
      </w:r>
      <w:proofErr w:type="spellEnd"/>
      <w:r w:rsidRPr="00C1603D">
        <w:t xml:space="preserve"> V, </w:t>
      </w:r>
      <w:proofErr w:type="spellStart"/>
      <w:r w:rsidRPr="00C1603D">
        <w:t>Shainberg</w:t>
      </w:r>
      <w:proofErr w:type="spellEnd"/>
      <w:r w:rsidRPr="00C1603D">
        <w:t xml:space="preserve"> B. Performance of serology assays for diagnosing celiac disease in a clinical setting. </w:t>
      </w:r>
      <w:r w:rsidRPr="00C1603D">
        <w:rPr>
          <w:i/>
        </w:rPr>
        <w:t>Clin Vaccine Immunol</w:t>
      </w:r>
      <w:r w:rsidRPr="00C1603D">
        <w:t xml:space="preserve"> 2009;</w:t>
      </w:r>
      <w:r w:rsidRPr="00C1603D">
        <w:rPr>
          <w:b/>
        </w:rPr>
        <w:t>16</w:t>
      </w:r>
      <w:r w:rsidRPr="00C1603D">
        <w:t>:</w:t>
      </w:r>
      <w:r w:rsidRPr="00C1603D">
        <w:rPr>
          <w:color w:val="auto"/>
        </w:rPr>
        <w:t>1576</w:t>
      </w:r>
      <w:r w:rsidRPr="00C1603D">
        <w:rPr>
          <w:color w:val="00B0F0"/>
        </w:rPr>
        <w:t>–</w:t>
      </w:r>
      <w:r w:rsidRPr="00C1603D">
        <w:rPr>
          <w:color w:val="auto"/>
        </w:rPr>
        <w:t>82</w:t>
      </w:r>
      <w:r w:rsidRPr="00C1603D">
        <w:t>. https://doi.org/10.1128/CVI.00205-09</w:t>
      </w:r>
    </w:p>
    <w:p w14:paraId="1C175FFD" w14:textId="51D2D08B" w:rsidR="00EF77DB" w:rsidRPr="00C1603D" w:rsidRDefault="00EF77DB" w:rsidP="00EF77DB">
      <w:pPr>
        <w:pStyle w:val="65ReferencesTextstylesTextstyles"/>
      </w:pPr>
      <w:r w:rsidRPr="00C1603D">
        <w:t>125.</w:t>
      </w:r>
      <w:r w:rsidRPr="00C1603D">
        <w:tab/>
        <w:t xml:space="preserve">Pettie MJ, Levine JJ. The use of tissue transglutaminase IGG antibody (TTG-G) in the diagnosis of celiac disease. </w:t>
      </w:r>
      <w:r w:rsidR="00CF0F0E" w:rsidRPr="00C1603D">
        <w:rPr>
          <w:i/>
        </w:rPr>
        <w:t>J</w:t>
      </w:r>
      <w:r w:rsidRPr="00C1603D">
        <w:t xml:space="preserve"> </w:t>
      </w:r>
      <w:proofErr w:type="spellStart"/>
      <w:r w:rsidRPr="00C1603D">
        <w:rPr>
          <w:i/>
        </w:rPr>
        <w:t>Pediatr</w:t>
      </w:r>
      <w:proofErr w:type="spellEnd"/>
      <w:r w:rsidRPr="00C1603D">
        <w:t xml:space="preserve"> </w:t>
      </w:r>
      <w:r w:rsidRPr="00C1603D">
        <w:rPr>
          <w:i/>
        </w:rPr>
        <w:t>Gastroenterol</w:t>
      </w:r>
      <w:r w:rsidR="00CF0F0E" w:rsidRPr="00C1603D">
        <w:rPr>
          <w:i/>
        </w:rPr>
        <w:t xml:space="preserve"> </w:t>
      </w:r>
      <w:proofErr w:type="spellStart"/>
      <w:r w:rsidRPr="00C1603D">
        <w:rPr>
          <w:i/>
        </w:rPr>
        <w:t>Nutr</w:t>
      </w:r>
      <w:proofErr w:type="spellEnd"/>
      <w:r w:rsidR="00CF0F0E" w:rsidRPr="00C1603D">
        <w:rPr>
          <w:i/>
        </w:rPr>
        <w:t xml:space="preserve"> </w:t>
      </w:r>
      <w:r w:rsidRPr="00C1603D">
        <w:t>2009;</w:t>
      </w:r>
      <w:r w:rsidRPr="00C1603D">
        <w:rPr>
          <w:b/>
        </w:rPr>
        <w:t>49</w:t>
      </w:r>
      <w:r w:rsidRPr="00C1603D">
        <w:t>:E16.</w:t>
      </w:r>
    </w:p>
    <w:p w14:paraId="47CA2CE6" w14:textId="770E259E" w:rsidR="00EF77DB" w:rsidRPr="00C1603D" w:rsidRDefault="00EF77DB" w:rsidP="00EF77DB">
      <w:pPr>
        <w:pStyle w:val="65ReferencesTextstylesTextstyles"/>
      </w:pPr>
      <w:r w:rsidRPr="00C1603D">
        <w:t>126.</w:t>
      </w:r>
      <w:r w:rsidRPr="00C1603D">
        <w:tab/>
        <w:t xml:space="preserve">Poddar U, Thapa BR, Nain CK, Singh K. Is tissue transglutaminase autoantibody the best for diagnosing celiac disease in children of developing countries? </w:t>
      </w:r>
      <w:r w:rsidR="00CF0F0E" w:rsidRPr="00C1603D">
        <w:rPr>
          <w:i/>
        </w:rPr>
        <w:t>J Clin</w:t>
      </w:r>
      <w:r w:rsidRPr="00C1603D">
        <w:t xml:space="preserve"> </w:t>
      </w:r>
      <w:r w:rsidRPr="00C1603D">
        <w:rPr>
          <w:i/>
        </w:rPr>
        <w:t>Gastroenterol</w:t>
      </w:r>
      <w:r w:rsidRPr="00C1603D">
        <w:t xml:space="preserve"> 2008;</w:t>
      </w:r>
      <w:r w:rsidRPr="00C1603D">
        <w:rPr>
          <w:b/>
        </w:rPr>
        <w:t>42</w:t>
      </w:r>
      <w:r w:rsidRPr="00C1603D">
        <w:t>:147</w:t>
      </w:r>
      <w:r w:rsidR="00CF0F0E" w:rsidRPr="00C1603D">
        <w:t>–</w:t>
      </w:r>
      <w:r w:rsidRPr="00C1603D">
        <w:t>51.</w:t>
      </w:r>
    </w:p>
    <w:p w14:paraId="3229520A" w14:textId="702924C3" w:rsidR="00EF77DB" w:rsidRPr="00C1603D" w:rsidRDefault="00EF77DB" w:rsidP="00EF77DB">
      <w:pPr>
        <w:pStyle w:val="65ReferencesTextstylesTextstyles"/>
      </w:pPr>
      <w:r w:rsidRPr="00C1603D">
        <w:t>127.</w:t>
      </w:r>
      <w:r w:rsidRPr="00C1603D">
        <w:tab/>
        <w:t xml:space="preserve">Polanco I, Esteban MM, </w:t>
      </w:r>
      <w:proofErr w:type="spellStart"/>
      <w:r w:rsidRPr="00C1603D">
        <w:t>Larrauri</w:t>
      </w:r>
      <w:proofErr w:type="spellEnd"/>
      <w:r w:rsidRPr="00C1603D">
        <w:t xml:space="preserve"> J. Relation of anti-tissue transglutaminase IgA antibodies with the morphology of the intestinal mucosa in children with celiac disease. </w:t>
      </w:r>
      <w:proofErr w:type="spellStart"/>
      <w:r w:rsidRPr="00C1603D">
        <w:rPr>
          <w:i/>
        </w:rPr>
        <w:t>Pediatrika</w:t>
      </w:r>
      <w:proofErr w:type="spellEnd"/>
      <w:r w:rsidRPr="00C1603D">
        <w:t xml:space="preserve"> 2001;</w:t>
      </w:r>
      <w:r w:rsidRPr="00C1603D">
        <w:rPr>
          <w:b/>
        </w:rPr>
        <w:t>21</w:t>
      </w:r>
      <w:r w:rsidRPr="00C1603D">
        <w:t>:9</w:t>
      </w:r>
      <w:r w:rsidR="00CF0F0E" w:rsidRPr="00C1603D">
        <w:t>–</w:t>
      </w:r>
      <w:r w:rsidRPr="00C1603D">
        <w:t>20.</w:t>
      </w:r>
    </w:p>
    <w:p w14:paraId="763D2558" w14:textId="77777777" w:rsidR="00EF77DB" w:rsidRPr="00C1603D" w:rsidRDefault="3CDEEDA7" w:rsidP="00EF77DB">
      <w:pPr>
        <w:pStyle w:val="65ReferencesTextstylesTextstyles"/>
      </w:pPr>
      <w:commentRangeStart w:id="502"/>
      <w:commentRangeStart w:id="503"/>
      <w:r w:rsidRPr="00C1603D">
        <w:t>128.</w:t>
      </w:r>
      <w:r w:rsidR="00EF77DB" w:rsidRPr="00C1603D">
        <w:tab/>
      </w:r>
      <w:r w:rsidRPr="00C1603D">
        <w:t xml:space="preserve">Olen O, </w:t>
      </w:r>
      <w:proofErr w:type="spellStart"/>
      <w:r w:rsidRPr="00C1603D">
        <w:t>Gudjónsdóttir</w:t>
      </w:r>
      <w:proofErr w:type="spellEnd"/>
      <w:r w:rsidRPr="00C1603D">
        <w:t xml:space="preserve"> AH, </w:t>
      </w:r>
      <w:proofErr w:type="spellStart"/>
      <w:r w:rsidRPr="00C1603D">
        <w:t>Browaldh</w:t>
      </w:r>
      <w:proofErr w:type="spellEnd"/>
      <w:r w:rsidRPr="00C1603D">
        <w:t xml:space="preserve"> L, </w:t>
      </w:r>
      <w:proofErr w:type="spellStart"/>
      <w:r w:rsidRPr="00C1603D">
        <w:t>Hessami</w:t>
      </w:r>
      <w:proofErr w:type="spellEnd"/>
      <w:r w:rsidRPr="00C1603D">
        <w:t xml:space="preserve"> M, Elvin K, </w:t>
      </w:r>
      <w:proofErr w:type="spellStart"/>
      <w:r w:rsidRPr="00C1603D">
        <w:t>Liedberg</w:t>
      </w:r>
      <w:proofErr w:type="spellEnd"/>
      <w:r w:rsidRPr="00C1603D">
        <w:t xml:space="preserve"> AS, </w:t>
      </w:r>
      <w:r w:rsidRPr="00C1603D">
        <w:rPr>
          <w:i/>
          <w:iCs/>
        </w:rPr>
        <w:t>et al</w:t>
      </w:r>
      <w:r w:rsidRPr="00C1603D">
        <w:t xml:space="preserve">. Antibodies against deamidated gliadin peptides and tissue transglutaminase for diagnosis of </w:t>
      </w:r>
      <w:proofErr w:type="spellStart"/>
      <w:r w:rsidRPr="00C1603D">
        <w:t>pediatric</w:t>
      </w:r>
      <w:proofErr w:type="spellEnd"/>
      <w:r w:rsidRPr="00C1603D">
        <w:t xml:space="preserve"> celiac disease. </w:t>
      </w:r>
      <w:r w:rsidRPr="00C1603D">
        <w:rPr>
          <w:i/>
          <w:iCs/>
        </w:rPr>
        <w:t xml:space="preserve">J </w:t>
      </w:r>
      <w:proofErr w:type="spellStart"/>
      <w:r w:rsidRPr="00C1603D">
        <w:rPr>
          <w:i/>
          <w:iCs/>
        </w:rPr>
        <w:t>Pediatr</w:t>
      </w:r>
      <w:proofErr w:type="spellEnd"/>
      <w:r w:rsidRPr="00C1603D">
        <w:rPr>
          <w:i/>
          <w:iCs/>
        </w:rPr>
        <w:t xml:space="preserve"> Gastroenterol </w:t>
      </w:r>
      <w:proofErr w:type="spellStart"/>
      <w:r w:rsidRPr="00C1603D">
        <w:rPr>
          <w:i/>
          <w:iCs/>
        </w:rPr>
        <w:t>Nutr</w:t>
      </w:r>
      <w:proofErr w:type="spellEnd"/>
      <w:r w:rsidRPr="00C1603D">
        <w:t xml:space="preserve"> 2012;</w:t>
      </w:r>
      <w:r w:rsidRPr="00C1603D">
        <w:rPr>
          <w:b/>
          <w:bCs/>
        </w:rPr>
        <w:t>55</w:t>
      </w:r>
      <w:r w:rsidRPr="00C1603D">
        <w:t>:</w:t>
      </w:r>
      <w:r w:rsidRPr="00C1603D">
        <w:rPr>
          <w:color w:val="auto"/>
        </w:rPr>
        <w:t>695</w:t>
      </w:r>
      <w:r w:rsidRPr="00C1603D">
        <w:rPr>
          <w:color w:val="00B0F0"/>
        </w:rPr>
        <w:t>–</w:t>
      </w:r>
      <w:proofErr w:type="gramStart"/>
      <w:r w:rsidRPr="00C1603D">
        <w:rPr>
          <w:color w:val="auto"/>
        </w:rPr>
        <w:t>700</w:t>
      </w:r>
      <w:proofErr w:type="gramEnd"/>
      <w:r w:rsidRPr="00C1603D">
        <w:t>. https://doi.org/10.1097/MPG.0b013e3182645c54</w:t>
      </w:r>
      <w:commentRangeEnd w:id="502"/>
      <w:r w:rsidR="00EF77DB" w:rsidRPr="00C1603D">
        <w:commentReference w:id="502"/>
      </w:r>
      <w:commentRangeEnd w:id="503"/>
      <w:r w:rsidR="00EF77DB" w:rsidRPr="00C1603D">
        <w:commentReference w:id="503"/>
      </w:r>
    </w:p>
    <w:p w14:paraId="22CE8766" w14:textId="5E30BB0D" w:rsidR="00EF77DB" w:rsidRPr="00C1603D" w:rsidRDefault="00EF77DB" w:rsidP="00EF77DB">
      <w:pPr>
        <w:pStyle w:val="65ReferencesTextstylesTextstyles"/>
      </w:pPr>
      <w:r w:rsidRPr="00C1603D">
        <w:t>129.</w:t>
      </w:r>
      <w:r w:rsidRPr="00C1603D">
        <w:tab/>
        <w:t xml:space="preserve">Nguyen CMT, </w:t>
      </w:r>
      <w:proofErr w:type="spellStart"/>
      <w:r w:rsidRPr="00C1603D">
        <w:t>Portolese</w:t>
      </w:r>
      <w:proofErr w:type="spellEnd"/>
      <w:r w:rsidRPr="00C1603D">
        <w:t xml:space="preserve"> O, Yazdani PA, et al. Validation of the ESPGHAN guidelines for the diagnosis of coeliac disease in a Canadian population. </w:t>
      </w:r>
      <w:r w:rsidR="00CF0F0E" w:rsidRPr="00C1603D">
        <w:rPr>
          <w:i/>
        </w:rPr>
        <w:t>J</w:t>
      </w:r>
      <w:r w:rsidRPr="00C1603D">
        <w:t xml:space="preserve"> </w:t>
      </w:r>
      <w:proofErr w:type="spellStart"/>
      <w:r w:rsidRPr="00C1603D">
        <w:rPr>
          <w:i/>
        </w:rPr>
        <w:t>Pediatr</w:t>
      </w:r>
      <w:proofErr w:type="spellEnd"/>
      <w:r w:rsidRPr="00C1603D">
        <w:t xml:space="preserve"> </w:t>
      </w:r>
      <w:r w:rsidRPr="00C1603D">
        <w:rPr>
          <w:i/>
        </w:rPr>
        <w:t>Gastroenterol</w:t>
      </w:r>
      <w:r w:rsidR="00CF0F0E" w:rsidRPr="00C1603D">
        <w:rPr>
          <w:i/>
        </w:rPr>
        <w:t xml:space="preserve"> </w:t>
      </w:r>
      <w:proofErr w:type="spellStart"/>
      <w:r w:rsidRPr="00C1603D">
        <w:rPr>
          <w:i/>
        </w:rPr>
        <w:t>Nutr</w:t>
      </w:r>
      <w:proofErr w:type="spellEnd"/>
      <w:r w:rsidR="00CF0F0E" w:rsidRPr="00C1603D">
        <w:rPr>
          <w:i/>
        </w:rPr>
        <w:t xml:space="preserve"> </w:t>
      </w:r>
      <w:r w:rsidRPr="00C1603D">
        <w:t>2019;</w:t>
      </w:r>
      <w:r w:rsidRPr="00C1603D">
        <w:rPr>
          <w:b/>
        </w:rPr>
        <w:t>130</w:t>
      </w:r>
      <w:r w:rsidRPr="00C1603D">
        <w:t>:167.</w:t>
      </w:r>
    </w:p>
    <w:p w14:paraId="682D1338" w14:textId="5134E272" w:rsidR="00EF77DB" w:rsidRPr="00C1603D" w:rsidRDefault="00EF77DB" w:rsidP="00EF77DB">
      <w:pPr>
        <w:pStyle w:val="65ReferencesTextstylesTextstyles"/>
      </w:pPr>
      <w:r w:rsidRPr="00C1603D">
        <w:t>130.</w:t>
      </w:r>
      <w:r w:rsidRPr="00C1603D">
        <w:tab/>
      </w:r>
      <w:proofErr w:type="spellStart"/>
      <w:r w:rsidRPr="00C1603D">
        <w:t>Kutty</w:t>
      </w:r>
      <w:proofErr w:type="spellEnd"/>
      <w:r w:rsidRPr="00C1603D">
        <w:t xml:space="preserve"> JS, McDermott M, O’Sullivan M, Quinn S, Broderick A, Bourke B, </w:t>
      </w:r>
      <w:r w:rsidRPr="00C1603D">
        <w:rPr>
          <w:i/>
        </w:rPr>
        <w:t>et</w:t>
      </w:r>
      <w:r w:rsidRPr="00C1603D">
        <w:t xml:space="preserve"> </w:t>
      </w:r>
      <w:r w:rsidRPr="00C1603D">
        <w:rPr>
          <w:i/>
        </w:rPr>
        <w:t>al</w:t>
      </w:r>
      <w:r w:rsidRPr="00C1603D">
        <w:t>. Coeliac serology testing in Irish children</w:t>
      </w:r>
      <w:r w:rsidR="00CF0F0E" w:rsidRPr="00C1603D">
        <w:t xml:space="preserve"> – </w:t>
      </w:r>
      <w:r w:rsidRPr="00C1603D">
        <w:t xml:space="preserve">a substitute for biopsy? </w:t>
      </w:r>
      <w:r w:rsidR="00CF0F0E" w:rsidRPr="00C1603D">
        <w:rPr>
          <w:i/>
        </w:rPr>
        <w:t>Arch</w:t>
      </w:r>
      <w:r w:rsidRPr="00C1603D">
        <w:t xml:space="preserve"> </w:t>
      </w:r>
      <w:r w:rsidRPr="00C1603D">
        <w:rPr>
          <w:i/>
        </w:rPr>
        <w:t>Dis</w:t>
      </w:r>
      <w:r w:rsidR="00CF0F0E" w:rsidRPr="00C1603D">
        <w:rPr>
          <w:i/>
        </w:rPr>
        <w:t xml:space="preserve"> </w:t>
      </w:r>
      <w:r w:rsidRPr="00C1603D">
        <w:rPr>
          <w:i/>
        </w:rPr>
        <w:t>Child</w:t>
      </w:r>
      <w:r w:rsidR="00CF0F0E" w:rsidRPr="00C1603D">
        <w:rPr>
          <w:i/>
        </w:rPr>
        <w:t xml:space="preserve"> </w:t>
      </w:r>
      <w:r w:rsidRPr="00C1603D">
        <w:t>2014;</w:t>
      </w:r>
      <w:r w:rsidRPr="00C1603D">
        <w:rPr>
          <w:b/>
        </w:rPr>
        <w:t>99</w:t>
      </w:r>
      <w:r w:rsidRPr="00C1603D">
        <w:t>:A3</w:t>
      </w:r>
      <w:r w:rsidR="00CF0F0E" w:rsidRPr="00C1603D">
        <w:t>–</w:t>
      </w:r>
      <w:r w:rsidRPr="00C1603D">
        <w:t>A4.</w:t>
      </w:r>
    </w:p>
    <w:p w14:paraId="244729E8" w14:textId="77777777" w:rsidR="00EF77DB" w:rsidRPr="00C1603D" w:rsidRDefault="00EF77DB" w:rsidP="00EF77DB">
      <w:pPr>
        <w:pStyle w:val="65ReferencesTextstylesTextstyles"/>
      </w:pPr>
      <w:r w:rsidRPr="00C1603D">
        <w:t>131.</w:t>
      </w:r>
      <w:r w:rsidRPr="00C1603D">
        <w:tab/>
        <w:t xml:space="preserve">Mubarak A, </w:t>
      </w:r>
      <w:proofErr w:type="spellStart"/>
      <w:r w:rsidRPr="00C1603D">
        <w:t>Gmelig-Meyling</w:t>
      </w:r>
      <w:proofErr w:type="spellEnd"/>
      <w:r w:rsidRPr="00C1603D">
        <w:t xml:space="preserve"> FH, Wolters VM, Ten Kate FJ, </w:t>
      </w:r>
      <w:proofErr w:type="spellStart"/>
      <w:r w:rsidRPr="00C1603D">
        <w:t>Houwen</w:t>
      </w:r>
      <w:proofErr w:type="spellEnd"/>
      <w:r w:rsidRPr="00C1603D">
        <w:t xml:space="preserve"> RH. Immunoglobulin G antibodies against deamidated-gliadin-peptides outperform anti-endomysium and tissue transglutaminase antibodies in children &lt;2 years age. </w:t>
      </w:r>
      <w:r w:rsidRPr="00C1603D">
        <w:rPr>
          <w:i/>
        </w:rPr>
        <w:t>APMIS</w:t>
      </w:r>
      <w:r w:rsidRPr="00C1603D">
        <w:t xml:space="preserve"> 2011;</w:t>
      </w:r>
      <w:r w:rsidRPr="00C1603D">
        <w:rPr>
          <w:b/>
        </w:rPr>
        <w:t>119</w:t>
      </w:r>
      <w:r w:rsidRPr="00C1603D">
        <w:t>:</w:t>
      </w:r>
      <w:r w:rsidRPr="00C1603D">
        <w:rPr>
          <w:color w:val="auto"/>
        </w:rPr>
        <w:t>894</w:t>
      </w:r>
      <w:r w:rsidRPr="00C1603D">
        <w:rPr>
          <w:color w:val="00B0F0"/>
        </w:rPr>
        <w:t>–</w:t>
      </w:r>
      <w:proofErr w:type="gramStart"/>
      <w:r w:rsidRPr="00C1603D">
        <w:rPr>
          <w:color w:val="auto"/>
        </w:rPr>
        <w:t>900</w:t>
      </w:r>
      <w:proofErr w:type="gramEnd"/>
      <w:r w:rsidRPr="00C1603D">
        <w:t>. https://doi.org/10.1111/j.1600-0463.2011.02817.x</w:t>
      </w:r>
    </w:p>
    <w:p w14:paraId="591F6599" w14:textId="1665DDB5" w:rsidR="00EF77DB" w:rsidRPr="00C1603D" w:rsidRDefault="00EF77DB" w:rsidP="00EF77DB">
      <w:pPr>
        <w:pStyle w:val="65ReferencesTextstylesTextstyles"/>
      </w:pPr>
      <w:r w:rsidRPr="00C1603D">
        <w:t>132.</w:t>
      </w:r>
      <w:r w:rsidRPr="00C1603D">
        <w:tab/>
      </w:r>
      <w:proofErr w:type="spellStart"/>
      <w:r w:rsidRPr="00C1603D">
        <w:t>Kabatova</w:t>
      </w:r>
      <w:proofErr w:type="spellEnd"/>
      <w:r w:rsidRPr="00C1603D">
        <w:t xml:space="preserve"> J, </w:t>
      </w:r>
      <w:proofErr w:type="spellStart"/>
      <w:r w:rsidRPr="00C1603D">
        <w:t>Hust’ak</w:t>
      </w:r>
      <w:proofErr w:type="spellEnd"/>
      <w:r w:rsidRPr="00C1603D">
        <w:t xml:space="preserve"> R, </w:t>
      </w:r>
      <w:proofErr w:type="spellStart"/>
      <w:r w:rsidRPr="00C1603D">
        <w:t>Blazickova</w:t>
      </w:r>
      <w:proofErr w:type="spellEnd"/>
      <w:r w:rsidRPr="00C1603D">
        <w:t xml:space="preserve"> S, </w:t>
      </w:r>
      <w:proofErr w:type="spellStart"/>
      <w:r w:rsidRPr="00C1603D">
        <w:t>Bosak</w:t>
      </w:r>
      <w:proofErr w:type="spellEnd"/>
      <w:r w:rsidRPr="00C1603D">
        <w:t xml:space="preserve"> V. Evaluation and applicability of </w:t>
      </w:r>
      <w:proofErr w:type="spellStart"/>
      <w:r w:rsidRPr="00C1603D">
        <w:t>nonbiopsy</w:t>
      </w:r>
      <w:proofErr w:type="spellEnd"/>
      <w:r w:rsidRPr="00C1603D">
        <w:t xml:space="preserve"> criteria in children and adolescents according to </w:t>
      </w:r>
      <w:r w:rsidR="009D46C4" w:rsidRPr="00C1603D">
        <w:t xml:space="preserve">ESPGHAN </w:t>
      </w:r>
      <w:r w:rsidRPr="00C1603D">
        <w:t xml:space="preserve">for diagnosis of celiac disease. </w:t>
      </w:r>
      <w:r w:rsidRPr="00C1603D">
        <w:rPr>
          <w:i/>
        </w:rPr>
        <w:t>Gastroenterol</w:t>
      </w:r>
      <w:r w:rsidR="00402821" w:rsidRPr="00C1603D">
        <w:rPr>
          <w:i/>
        </w:rPr>
        <w:t xml:space="preserve"> </w:t>
      </w:r>
      <w:r w:rsidRPr="00C1603D">
        <w:rPr>
          <w:i/>
        </w:rPr>
        <w:t>Hepatol</w:t>
      </w:r>
      <w:r w:rsidR="00402821" w:rsidRPr="00C1603D">
        <w:rPr>
          <w:i/>
        </w:rPr>
        <w:t xml:space="preserve"> </w:t>
      </w:r>
      <w:r w:rsidRPr="00C1603D">
        <w:t>2017;</w:t>
      </w:r>
      <w:r w:rsidRPr="00C1603D">
        <w:rPr>
          <w:b/>
        </w:rPr>
        <w:t>71</w:t>
      </w:r>
      <w:r w:rsidRPr="00C1603D">
        <w:t>:469</w:t>
      </w:r>
      <w:r w:rsidR="009D46C4" w:rsidRPr="00C1603D">
        <w:t>–</w:t>
      </w:r>
      <w:r w:rsidRPr="00C1603D">
        <w:t>75.</w:t>
      </w:r>
    </w:p>
    <w:p w14:paraId="248980E4" w14:textId="1FF04674" w:rsidR="00EF77DB" w:rsidRPr="00C1603D" w:rsidRDefault="43B69CA3" w:rsidP="00EF77DB">
      <w:pPr>
        <w:pStyle w:val="65ReferencesTextstylesTextstyles"/>
      </w:pPr>
      <w:r w:rsidRPr="00C1603D">
        <w:t>133.</w:t>
      </w:r>
      <w:r w:rsidR="00EF77DB" w:rsidRPr="00C1603D">
        <w:tab/>
      </w:r>
      <w:commentRangeStart w:id="504"/>
      <w:commentRangeStart w:id="505"/>
      <w:proofErr w:type="spellStart"/>
      <w:r w:rsidRPr="00C1603D">
        <w:t>Iwańczak</w:t>
      </w:r>
      <w:proofErr w:type="spellEnd"/>
      <w:r w:rsidRPr="00C1603D">
        <w:t xml:space="preserve"> F, </w:t>
      </w:r>
      <w:proofErr w:type="spellStart"/>
      <w:r w:rsidRPr="00C1603D">
        <w:t>Iwanczak</w:t>
      </w:r>
      <w:proofErr w:type="spellEnd"/>
      <w:r w:rsidRPr="00C1603D">
        <w:t xml:space="preserve"> B, </w:t>
      </w:r>
      <w:proofErr w:type="spellStart"/>
      <w:r w:rsidRPr="00C1603D">
        <w:t>Matusiewicz</w:t>
      </w:r>
      <w:proofErr w:type="spellEnd"/>
      <w:r w:rsidRPr="00C1603D">
        <w:t xml:space="preserve"> K, </w:t>
      </w:r>
      <w:proofErr w:type="spellStart"/>
      <w:r w:rsidRPr="00C1603D">
        <w:t>Mowszet</w:t>
      </w:r>
      <w:proofErr w:type="spellEnd"/>
      <w:r w:rsidRPr="00C1603D">
        <w:t xml:space="preserve"> K. Assessment of serum antibodies against gliadin, endomysium and tissue transglutaminase in diagnosis of celiac disease in children. </w:t>
      </w:r>
      <w:r w:rsidR="00673810" w:rsidRPr="00C1603D">
        <w:rPr>
          <w:i/>
          <w:iCs/>
        </w:rPr>
        <w:t>Gastroenterol Pol</w:t>
      </w:r>
      <w:r w:rsidR="00673810" w:rsidRPr="00C1603D">
        <w:t xml:space="preserve"> </w:t>
      </w:r>
      <w:r w:rsidRPr="00C1603D">
        <w:t>2003;</w:t>
      </w:r>
      <w:r w:rsidRPr="00C1603D">
        <w:rPr>
          <w:b/>
          <w:bCs/>
        </w:rPr>
        <w:t>10</w:t>
      </w:r>
      <w:r w:rsidRPr="00C1603D">
        <w:t>:323–8.</w:t>
      </w:r>
      <w:commentRangeEnd w:id="504"/>
      <w:r w:rsidR="00EF77DB" w:rsidRPr="00C1603D">
        <w:commentReference w:id="504"/>
      </w:r>
      <w:commentRangeEnd w:id="505"/>
      <w:r w:rsidR="00EF77DB" w:rsidRPr="00C1603D">
        <w:commentReference w:id="505"/>
      </w:r>
    </w:p>
    <w:p w14:paraId="4A226A4B" w14:textId="24AD7684" w:rsidR="00EF77DB" w:rsidRPr="00C1603D" w:rsidRDefault="00EF77DB" w:rsidP="00EF77DB">
      <w:pPr>
        <w:pStyle w:val="65ReferencesTextstylesTextstyles"/>
      </w:pPr>
      <w:r w:rsidRPr="00C1603D">
        <w:t>134.</w:t>
      </w:r>
      <w:r w:rsidRPr="00C1603D">
        <w:tab/>
      </w:r>
      <w:proofErr w:type="spellStart"/>
      <w:r w:rsidRPr="00C1603D">
        <w:t>Jora</w:t>
      </w:r>
      <w:proofErr w:type="spellEnd"/>
      <w:r w:rsidRPr="00C1603D">
        <w:t xml:space="preserve"> R, Raghuvanshi V, </w:t>
      </w:r>
      <w:proofErr w:type="spellStart"/>
      <w:r w:rsidRPr="00C1603D">
        <w:t>Payal</w:t>
      </w:r>
      <w:proofErr w:type="spellEnd"/>
      <w:r w:rsidRPr="00C1603D">
        <w:t xml:space="preserve"> V, Sharma P, </w:t>
      </w:r>
      <w:proofErr w:type="spellStart"/>
      <w:r w:rsidRPr="00C1603D">
        <w:t>Vishnoi</w:t>
      </w:r>
      <w:proofErr w:type="spellEnd"/>
      <w:r w:rsidRPr="00C1603D">
        <w:t xml:space="preserve"> SK. Correlation of </w:t>
      </w:r>
      <w:r w:rsidR="00717A58" w:rsidRPr="00C1603D">
        <w:t>tissue transglutaminase with modifi</w:t>
      </w:r>
      <w:r w:rsidRPr="00C1603D">
        <w:t xml:space="preserve">ed Marsh </w:t>
      </w:r>
      <w:r w:rsidR="00717A58" w:rsidRPr="00C1603D">
        <w:t>grading in celiac disease: a prospective cohort s</w:t>
      </w:r>
      <w:r w:rsidRPr="00C1603D">
        <w:t xml:space="preserve">tudy. </w:t>
      </w:r>
      <w:r w:rsidRPr="00C1603D">
        <w:rPr>
          <w:i/>
        </w:rPr>
        <w:t xml:space="preserve">Indian J </w:t>
      </w:r>
      <w:proofErr w:type="spellStart"/>
      <w:r w:rsidRPr="00C1603D">
        <w:rPr>
          <w:i/>
        </w:rPr>
        <w:t>Pediatr</w:t>
      </w:r>
      <w:proofErr w:type="spellEnd"/>
      <w:r w:rsidRPr="00C1603D">
        <w:t xml:space="preserve"> 2017;</w:t>
      </w:r>
      <w:r w:rsidRPr="00C1603D">
        <w:rPr>
          <w:b/>
        </w:rPr>
        <w:t>84</w:t>
      </w:r>
      <w:r w:rsidRPr="00C1603D">
        <w:t>:</w:t>
      </w:r>
      <w:r w:rsidRPr="00C1603D">
        <w:rPr>
          <w:color w:val="auto"/>
        </w:rPr>
        <w:t>515</w:t>
      </w:r>
      <w:r w:rsidRPr="00C1603D">
        <w:rPr>
          <w:color w:val="00B0F0"/>
        </w:rPr>
        <w:t>–</w:t>
      </w:r>
      <w:r w:rsidRPr="00C1603D">
        <w:rPr>
          <w:color w:val="auto"/>
        </w:rPr>
        <w:t>20</w:t>
      </w:r>
      <w:r w:rsidRPr="00C1603D">
        <w:t>. https://doi.org/10.1007/s12098-017-2323-3</w:t>
      </w:r>
    </w:p>
    <w:p w14:paraId="25549351" w14:textId="3C45E1D2" w:rsidR="00EF77DB" w:rsidRPr="00C1603D" w:rsidRDefault="3CDEEDA7" w:rsidP="00EF77DB">
      <w:pPr>
        <w:pStyle w:val="65ReferencesTextstylesTextstyles"/>
      </w:pPr>
      <w:commentRangeStart w:id="506"/>
      <w:commentRangeStart w:id="507"/>
      <w:r w:rsidRPr="00C1603D">
        <w:t>135.</w:t>
      </w:r>
      <w:r w:rsidR="00EF77DB" w:rsidRPr="00C1603D">
        <w:tab/>
      </w:r>
      <w:proofErr w:type="spellStart"/>
      <w:r w:rsidRPr="00C1603D">
        <w:t>Hollén</w:t>
      </w:r>
      <w:proofErr w:type="spellEnd"/>
      <w:r w:rsidRPr="00C1603D">
        <w:t xml:space="preserve"> E, </w:t>
      </w:r>
      <w:proofErr w:type="spellStart"/>
      <w:r w:rsidRPr="00C1603D">
        <w:t>Farnebäck</w:t>
      </w:r>
      <w:proofErr w:type="spellEnd"/>
      <w:r w:rsidRPr="00C1603D">
        <w:t xml:space="preserve"> M, </w:t>
      </w:r>
      <w:proofErr w:type="spellStart"/>
      <w:r w:rsidRPr="00C1603D">
        <w:t>Forslund</w:t>
      </w:r>
      <w:proofErr w:type="spellEnd"/>
      <w:r w:rsidRPr="00C1603D">
        <w:t xml:space="preserve"> T, Magnusson KE, Sundqvist T, </w:t>
      </w:r>
      <w:proofErr w:type="spellStart"/>
      <w:r w:rsidRPr="00C1603D">
        <w:t>Fälth</w:t>
      </w:r>
      <w:proofErr w:type="spellEnd"/>
      <w:r w:rsidRPr="00C1603D">
        <w:t xml:space="preserve">-Magnusson K. Evaluation of multiple diagnostic indicators in comparison to the intestinal biopsy as the golden standard in diagnosing celiac disease in children. </w:t>
      </w:r>
      <w:r w:rsidRPr="00C1603D">
        <w:rPr>
          <w:i/>
          <w:iCs/>
        </w:rPr>
        <w:t>Med Sci</w:t>
      </w:r>
      <w:r w:rsidRPr="00C1603D">
        <w:t xml:space="preserve"> 2016;</w:t>
      </w:r>
      <w:r w:rsidRPr="00C1603D">
        <w:rPr>
          <w:b/>
          <w:bCs/>
        </w:rPr>
        <w:t>4</w:t>
      </w:r>
      <w:r w:rsidRPr="00C1603D">
        <w:t>:</w:t>
      </w:r>
      <w:r w:rsidRPr="00C1603D">
        <w:rPr>
          <w:color w:val="auto"/>
        </w:rPr>
        <w:t>E20</w:t>
      </w:r>
      <w:r w:rsidRPr="00C1603D">
        <w:t>.</w:t>
      </w:r>
      <w:commentRangeEnd w:id="506"/>
      <w:r w:rsidR="00EF77DB" w:rsidRPr="00C1603D">
        <w:commentReference w:id="506"/>
      </w:r>
      <w:commentRangeEnd w:id="507"/>
      <w:r w:rsidR="00EF77DB" w:rsidRPr="00C1603D">
        <w:commentReference w:id="507"/>
      </w:r>
    </w:p>
    <w:p w14:paraId="38A45C9F" w14:textId="77777777" w:rsidR="00EF77DB" w:rsidRPr="00C1603D" w:rsidRDefault="00EF77DB" w:rsidP="00EF77DB">
      <w:pPr>
        <w:pStyle w:val="65ReferencesTextstylesTextstyles"/>
      </w:pPr>
      <w:r w:rsidRPr="00C1603D">
        <w:t>136.</w:t>
      </w:r>
      <w:r w:rsidRPr="00C1603D">
        <w:tab/>
      </w:r>
      <w:proofErr w:type="spellStart"/>
      <w:r w:rsidRPr="00C1603D">
        <w:t>Hojsak</w:t>
      </w:r>
      <w:proofErr w:type="spellEnd"/>
      <w:r w:rsidRPr="00C1603D">
        <w:t xml:space="preserve"> I, </w:t>
      </w:r>
      <w:proofErr w:type="spellStart"/>
      <w:r w:rsidRPr="00C1603D">
        <w:t>Mozer</w:t>
      </w:r>
      <w:proofErr w:type="spellEnd"/>
      <w:r w:rsidRPr="00C1603D">
        <w:t xml:space="preserve">-Glassberg Y, Segal Gilboa N, Weinberger R, Hartman C, Shamir R. Celiac disease screening assays for children younger than 3 years of age: the performance of </w:t>
      </w:r>
      <w:r w:rsidRPr="00C1603D">
        <w:lastRenderedPageBreak/>
        <w:t xml:space="preserve">three serological tests. </w:t>
      </w:r>
      <w:r w:rsidRPr="00C1603D">
        <w:rPr>
          <w:i/>
        </w:rPr>
        <w:t>Dig Dis Sci</w:t>
      </w:r>
      <w:r w:rsidRPr="00C1603D">
        <w:t xml:space="preserve"> 2012;</w:t>
      </w:r>
      <w:r w:rsidRPr="00C1603D">
        <w:rPr>
          <w:b/>
        </w:rPr>
        <w:t>57</w:t>
      </w:r>
      <w:r w:rsidRPr="00C1603D">
        <w:t>:</w:t>
      </w:r>
      <w:r w:rsidRPr="00C1603D">
        <w:rPr>
          <w:color w:val="auto"/>
        </w:rPr>
        <w:t>127</w:t>
      </w:r>
      <w:r w:rsidRPr="00C1603D">
        <w:rPr>
          <w:color w:val="00B0F0"/>
        </w:rPr>
        <w:t>–</w:t>
      </w:r>
      <w:r w:rsidRPr="00C1603D">
        <w:rPr>
          <w:color w:val="auto"/>
        </w:rPr>
        <w:t>32</w:t>
      </w:r>
      <w:r w:rsidRPr="00C1603D">
        <w:t>. https://doi.org/10.1007/s10620-011-1857-x</w:t>
      </w:r>
    </w:p>
    <w:p w14:paraId="14822392" w14:textId="6B576707" w:rsidR="00EF77DB" w:rsidRPr="00C1603D" w:rsidRDefault="00EF77DB" w:rsidP="00EF77DB">
      <w:pPr>
        <w:pStyle w:val="65ReferencesTextstylesTextstyles"/>
      </w:pPr>
      <w:r w:rsidRPr="00C1603D">
        <w:t>137.</w:t>
      </w:r>
      <w:r w:rsidRPr="00C1603D">
        <w:tab/>
      </w:r>
      <w:proofErr w:type="spellStart"/>
      <w:r w:rsidRPr="00C1603D">
        <w:t>Clouzeau</w:t>
      </w:r>
      <w:proofErr w:type="spellEnd"/>
      <w:r w:rsidRPr="00C1603D">
        <w:t xml:space="preserve"> H, Taupin JL, Le Bail B,</w:t>
      </w:r>
      <w:r w:rsidR="00957AA1" w:rsidRPr="00C1603D">
        <w:t xml:space="preserve"> Michaud L, </w:t>
      </w:r>
      <w:proofErr w:type="spellStart"/>
      <w:r w:rsidR="00957AA1" w:rsidRPr="00C1603D">
        <w:t>Bridoux-Henno</w:t>
      </w:r>
      <w:proofErr w:type="spellEnd"/>
      <w:r w:rsidR="00957AA1" w:rsidRPr="00C1603D">
        <w:t xml:space="preserve"> L, Olives J,</w:t>
      </w:r>
      <w:r w:rsidRPr="00C1603D">
        <w:t xml:space="preserve"> </w:t>
      </w:r>
      <w:r w:rsidRPr="00C1603D">
        <w:rPr>
          <w:i/>
          <w:iCs/>
        </w:rPr>
        <w:t>et al</w:t>
      </w:r>
      <w:r w:rsidRPr="00C1603D">
        <w:t xml:space="preserve">. Diagnostic value of HLA DQ2/DQ8 and </w:t>
      </w:r>
      <w:proofErr w:type="spellStart"/>
      <w:r w:rsidRPr="00C1603D">
        <w:t>antitransglutaminase</w:t>
      </w:r>
      <w:proofErr w:type="spellEnd"/>
      <w:r w:rsidRPr="00C1603D">
        <w:t xml:space="preserve"> antibodies for the diagnosis of coeliac disease: </w:t>
      </w:r>
      <w:r w:rsidR="00BD3CBB" w:rsidRPr="00C1603D">
        <w:t>i</w:t>
      </w:r>
      <w:r w:rsidRPr="00C1603D">
        <w:t xml:space="preserve">s jejunal biopsy still mandatory? </w:t>
      </w:r>
      <w:r w:rsidR="003273B7" w:rsidRPr="00C1603D">
        <w:rPr>
          <w:i/>
        </w:rPr>
        <w:t>J</w:t>
      </w:r>
      <w:r w:rsidRPr="00C1603D">
        <w:t xml:space="preserve"> </w:t>
      </w:r>
      <w:proofErr w:type="spellStart"/>
      <w:r w:rsidRPr="00C1603D">
        <w:rPr>
          <w:i/>
        </w:rPr>
        <w:t>Pediatr</w:t>
      </w:r>
      <w:proofErr w:type="spellEnd"/>
      <w:r w:rsidRPr="00C1603D">
        <w:t xml:space="preserve"> </w:t>
      </w:r>
      <w:r w:rsidRPr="00C1603D">
        <w:rPr>
          <w:i/>
        </w:rPr>
        <w:t>Gastroenterol</w:t>
      </w:r>
      <w:r w:rsidR="003273B7" w:rsidRPr="00C1603D">
        <w:rPr>
          <w:i/>
        </w:rPr>
        <w:t xml:space="preserve"> </w:t>
      </w:r>
      <w:proofErr w:type="spellStart"/>
      <w:r w:rsidRPr="00C1603D">
        <w:rPr>
          <w:i/>
        </w:rPr>
        <w:t>Nutr</w:t>
      </w:r>
      <w:proofErr w:type="spellEnd"/>
      <w:r w:rsidR="003273B7" w:rsidRPr="00C1603D">
        <w:rPr>
          <w:i/>
        </w:rPr>
        <w:t xml:space="preserve"> </w:t>
      </w:r>
      <w:r w:rsidRPr="00C1603D">
        <w:t>2007;</w:t>
      </w:r>
      <w:r w:rsidRPr="00C1603D">
        <w:rPr>
          <w:b/>
        </w:rPr>
        <w:t>44</w:t>
      </w:r>
      <w:r w:rsidRPr="00C1603D">
        <w:t>:e63.</w:t>
      </w:r>
    </w:p>
    <w:p w14:paraId="5F9B496A" w14:textId="28BD19EB" w:rsidR="00EF77DB" w:rsidRPr="00C1603D" w:rsidRDefault="00EF77DB" w:rsidP="00EF77DB">
      <w:pPr>
        <w:pStyle w:val="65ReferencesTextstylesTextstyles"/>
      </w:pPr>
      <w:r w:rsidRPr="00C1603D">
        <w:t>138.</w:t>
      </w:r>
      <w:r w:rsidRPr="00C1603D">
        <w:tab/>
      </w:r>
      <w:proofErr w:type="spellStart"/>
      <w:r w:rsidRPr="00C1603D">
        <w:t>Dahlbom</w:t>
      </w:r>
      <w:proofErr w:type="spellEnd"/>
      <w:r w:rsidRPr="00C1603D">
        <w:t xml:space="preserve"> I, Nyberg BI, </w:t>
      </w:r>
      <w:proofErr w:type="spellStart"/>
      <w:r w:rsidRPr="00C1603D">
        <w:t>Berntson</w:t>
      </w:r>
      <w:proofErr w:type="spellEnd"/>
      <w:r w:rsidRPr="00C1603D">
        <w:t xml:space="preserve"> L, Hansson T. Simultaneous detection of IgA and IgG antibodies against tissue transglutaminase: </w:t>
      </w:r>
      <w:r w:rsidR="00957AA1" w:rsidRPr="00C1603D">
        <w:t>t</w:t>
      </w:r>
      <w:r w:rsidRPr="00C1603D">
        <w:t xml:space="preserve">he preferred pre-biopsy test in childhood celiac disease. </w:t>
      </w:r>
      <w:proofErr w:type="spellStart"/>
      <w:r w:rsidRPr="00C1603D">
        <w:rPr>
          <w:i/>
        </w:rPr>
        <w:t>Scand</w:t>
      </w:r>
      <w:proofErr w:type="spellEnd"/>
      <w:r w:rsidRPr="00C1603D">
        <w:rPr>
          <w:i/>
        </w:rPr>
        <w:t xml:space="preserve"> J Clin Lab Invest</w:t>
      </w:r>
      <w:r w:rsidRPr="00C1603D">
        <w:t xml:space="preserve"> 2016;</w:t>
      </w:r>
      <w:r w:rsidRPr="00C1603D">
        <w:rPr>
          <w:b/>
        </w:rPr>
        <w:t>76</w:t>
      </w:r>
      <w:r w:rsidRPr="00C1603D">
        <w:t>:</w:t>
      </w:r>
      <w:r w:rsidRPr="00C1603D">
        <w:rPr>
          <w:color w:val="auto"/>
        </w:rPr>
        <w:t>208</w:t>
      </w:r>
      <w:r w:rsidRPr="00C1603D">
        <w:rPr>
          <w:color w:val="00B0F0"/>
        </w:rPr>
        <w:t>–</w:t>
      </w:r>
      <w:r w:rsidRPr="00C1603D">
        <w:rPr>
          <w:color w:val="auto"/>
        </w:rPr>
        <w:t>16</w:t>
      </w:r>
      <w:r w:rsidRPr="00C1603D">
        <w:t>. https://doi.org/10.3109/00365513.2015.1137348</w:t>
      </w:r>
    </w:p>
    <w:p w14:paraId="635C5C3F" w14:textId="77777777" w:rsidR="00EF77DB" w:rsidRPr="00C1603D" w:rsidRDefault="00EF77DB" w:rsidP="00EF77DB">
      <w:pPr>
        <w:pStyle w:val="65ReferencesTextstylesTextstyles"/>
      </w:pPr>
      <w:r w:rsidRPr="00C1603D">
        <w:t>139.</w:t>
      </w:r>
      <w:r w:rsidRPr="00C1603D">
        <w:tab/>
      </w:r>
      <w:proofErr w:type="spellStart"/>
      <w:r w:rsidRPr="00C1603D">
        <w:t>Diamanti</w:t>
      </w:r>
      <w:proofErr w:type="spellEnd"/>
      <w:r w:rsidRPr="00C1603D">
        <w:t xml:space="preserve"> A, </w:t>
      </w:r>
      <w:proofErr w:type="spellStart"/>
      <w:r w:rsidRPr="00C1603D">
        <w:t>Colistro</w:t>
      </w:r>
      <w:proofErr w:type="spellEnd"/>
      <w:r w:rsidRPr="00C1603D">
        <w:t xml:space="preserve"> F, </w:t>
      </w:r>
      <w:proofErr w:type="spellStart"/>
      <w:r w:rsidRPr="00C1603D">
        <w:t>Calce</w:t>
      </w:r>
      <w:proofErr w:type="spellEnd"/>
      <w:r w:rsidRPr="00C1603D">
        <w:t xml:space="preserve"> A, </w:t>
      </w:r>
      <w:proofErr w:type="spellStart"/>
      <w:r w:rsidRPr="00C1603D">
        <w:t>Devito</w:t>
      </w:r>
      <w:proofErr w:type="spellEnd"/>
      <w:r w:rsidRPr="00C1603D">
        <w:t xml:space="preserve"> R, Ferretti F, </w:t>
      </w:r>
      <w:proofErr w:type="spellStart"/>
      <w:r w:rsidRPr="00C1603D">
        <w:t>Minozzi</w:t>
      </w:r>
      <w:proofErr w:type="spellEnd"/>
      <w:r w:rsidRPr="00C1603D">
        <w:t xml:space="preserve"> A, </w:t>
      </w:r>
      <w:r w:rsidRPr="00C1603D">
        <w:rPr>
          <w:i/>
        </w:rPr>
        <w:t>et al</w:t>
      </w:r>
      <w:r w:rsidRPr="00C1603D">
        <w:t xml:space="preserve">. Clinical value of immunoglobulin A </w:t>
      </w:r>
      <w:proofErr w:type="spellStart"/>
      <w:r w:rsidRPr="00C1603D">
        <w:t>antitransglutaminase</w:t>
      </w:r>
      <w:proofErr w:type="spellEnd"/>
      <w:r w:rsidRPr="00C1603D">
        <w:t xml:space="preserve"> assay in the diagnosis of celiac disease. </w:t>
      </w:r>
      <w:proofErr w:type="spellStart"/>
      <w:r w:rsidRPr="00C1603D">
        <w:rPr>
          <w:i/>
        </w:rPr>
        <w:t>Pediatrics</w:t>
      </w:r>
      <w:proofErr w:type="spellEnd"/>
      <w:r w:rsidRPr="00C1603D">
        <w:t xml:space="preserve"> 2006;</w:t>
      </w:r>
      <w:r w:rsidRPr="00C1603D">
        <w:rPr>
          <w:b/>
        </w:rPr>
        <w:t>118</w:t>
      </w:r>
      <w:r w:rsidRPr="00C1603D">
        <w:t>:</w:t>
      </w:r>
      <w:r w:rsidRPr="00C1603D">
        <w:rPr>
          <w:color w:val="auto"/>
        </w:rPr>
        <w:t>e1696</w:t>
      </w:r>
      <w:r w:rsidRPr="00C1603D">
        <w:rPr>
          <w:color w:val="00B0F0"/>
        </w:rPr>
        <w:t>–</w:t>
      </w:r>
      <w:proofErr w:type="gramStart"/>
      <w:r w:rsidRPr="00C1603D">
        <w:rPr>
          <w:color w:val="auto"/>
        </w:rPr>
        <w:t>700</w:t>
      </w:r>
      <w:proofErr w:type="gramEnd"/>
      <w:r w:rsidRPr="00C1603D">
        <w:t>.</w:t>
      </w:r>
    </w:p>
    <w:p w14:paraId="694BB693" w14:textId="77777777" w:rsidR="00EF77DB" w:rsidRPr="00C1603D" w:rsidRDefault="00EF77DB" w:rsidP="00EF77DB">
      <w:pPr>
        <w:pStyle w:val="65ReferencesTextstylesTextstyles"/>
      </w:pPr>
      <w:r w:rsidRPr="00C1603D">
        <w:t>140.</w:t>
      </w:r>
      <w:r w:rsidRPr="00C1603D">
        <w:tab/>
        <w:t xml:space="preserve">Donaldson MR, Firth SD, </w:t>
      </w:r>
      <w:proofErr w:type="spellStart"/>
      <w:r w:rsidRPr="00C1603D">
        <w:t>Wimpee</w:t>
      </w:r>
      <w:proofErr w:type="spellEnd"/>
      <w:r w:rsidRPr="00C1603D">
        <w:t xml:space="preserve"> H, </w:t>
      </w:r>
      <w:proofErr w:type="spellStart"/>
      <w:r w:rsidRPr="00C1603D">
        <w:t>Leiferman</w:t>
      </w:r>
      <w:proofErr w:type="spellEnd"/>
      <w:r w:rsidRPr="00C1603D">
        <w:t xml:space="preserve"> KM, Zone JJ, Horsley W, </w:t>
      </w:r>
      <w:r w:rsidRPr="00C1603D">
        <w:rPr>
          <w:i/>
        </w:rPr>
        <w:t>et al</w:t>
      </w:r>
      <w:r w:rsidRPr="00C1603D">
        <w:t xml:space="preserve">. Correlation of duodenal histology with tissue transglutaminase and endomysial antibody levels in </w:t>
      </w:r>
      <w:proofErr w:type="spellStart"/>
      <w:r w:rsidRPr="00C1603D">
        <w:t>pediatric</w:t>
      </w:r>
      <w:proofErr w:type="spellEnd"/>
      <w:r w:rsidRPr="00C1603D">
        <w:t xml:space="preserve"> celiac disease. </w:t>
      </w:r>
      <w:r w:rsidRPr="00C1603D">
        <w:rPr>
          <w:i/>
        </w:rPr>
        <w:t>Clin Gastroenterol Hepatol</w:t>
      </w:r>
      <w:r w:rsidRPr="00C1603D">
        <w:t xml:space="preserve"> 2007;</w:t>
      </w:r>
      <w:r w:rsidRPr="00C1603D">
        <w:rPr>
          <w:b/>
        </w:rPr>
        <w:t>5</w:t>
      </w:r>
      <w:r w:rsidRPr="00C1603D">
        <w:t>:</w:t>
      </w:r>
      <w:r w:rsidRPr="00C1603D">
        <w:rPr>
          <w:color w:val="auto"/>
        </w:rPr>
        <w:t>567</w:t>
      </w:r>
      <w:r w:rsidRPr="00C1603D">
        <w:rPr>
          <w:color w:val="00B0F0"/>
        </w:rPr>
        <w:t>–</w:t>
      </w:r>
      <w:r w:rsidRPr="00C1603D">
        <w:rPr>
          <w:color w:val="auto"/>
        </w:rPr>
        <w:t>73</w:t>
      </w:r>
      <w:r w:rsidRPr="00C1603D">
        <w:t>.</w:t>
      </w:r>
    </w:p>
    <w:p w14:paraId="18A80F81" w14:textId="4E719D59" w:rsidR="00EF77DB" w:rsidRPr="00C1603D" w:rsidRDefault="00EF77DB" w:rsidP="00EF77DB">
      <w:pPr>
        <w:pStyle w:val="65ReferencesTextstylesTextstyles"/>
      </w:pPr>
      <w:r w:rsidRPr="00C1603D">
        <w:t>141.</w:t>
      </w:r>
      <w:r w:rsidRPr="00C1603D">
        <w:tab/>
      </w:r>
      <w:proofErr w:type="spellStart"/>
      <w:r w:rsidRPr="00C1603D">
        <w:t>Gidrewicz</w:t>
      </w:r>
      <w:proofErr w:type="spellEnd"/>
      <w:r w:rsidRPr="00C1603D">
        <w:t xml:space="preserve"> D, Potter K, </w:t>
      </w:r>
      <w:proofErr w:type="spellStart"/>
      <w:r w:rsidRPr="00C1603D">
        <w:t>Trevenen</w:t>
      </w:r>
      <w:proofErr w:type="spellEnd"/>
      <w:r w:rsidRPr="00C1603D">
        <w:t xml:space="preserve"> CL, Lyon M, </w:t>
      </w:r>
      <w:proofErr w:type="spellStart"/>
      <w:r w:rsidRPr="00C1603D">
        <w:t>Butzner</w:t>
      </w:r>
      <w:proofErr w:type="spellEnd"/>
      <w:r w:rsidRPr="00C1603D">
        <w:t xml:space="preserve"> JD. Evaluation of the ESPGHAN </w:t>
      </w:r>
      <w:r w:rsidR="00957AA1" w:rsidRPr="00C1603D">
        <w:t xml:space="preserve">celiac guidelines </w:t>
      </w:r>
      <w:r w:rsidRPr="00C1603D">
        <w:t xml:space="preserve">in a North American </w:t>
      </w:r>
      <w:proofErr w:type="spellStart"/>
      <w:r w:rsidR="00957AA1" w:rsidRPr="00C1603D">
        <w:t>pediatric</w:t>
      </w:r>
      <w:proofErr w:type="spellEnd"/>
      <w:r w:rsidR="00957AA1" w:rsidRPr="00C1603D">
        <w:t xml:space="preserve"> population</w:t>
      </w:r>
      <w:r w:rsidRPr="00C1603D">
        <w:t xml:space="preserve">. </w:t>
      </w:r>
      <w:r w:rsidRPr="00C1603D">
        <w:rPr>
          <w:i/>
        </w:rPr>
        <w:t>Am J Gastroenterol</w:t>
      </w:r>
      <w:r w:rsidRPr="00C1603D">
        <w:t xml:space="preserve"> 2015;</w:t>
      </w:r>
      <w:r w:rsidRPr="00C1603D">
        <w:rPr>
          <w:b/>
        </w:rPr>
        <w:t>110</w:t>
      </w:r>
      <w:r w:rsidRPr="00C1603D">
        <w:t>:</w:t>
      </w:r>
      <w:r w:rsidRPr="00C1603D">
        <w:rPr>
          <w:color w:val="auto"/>
        </w:rPr>
        <w:t>760</w:t>
      </w:r>
      <w:r w:rsidRPr="00C1603D">
        <w:rPr>
          <w:color w:val="00B0F0"/>
        </w:rPr>
        <w:t>–</w:t>
      </w:r>
      <w:r w:rsidRPr="00C1603D">
        <w:rPr>
          <w:color w:val="auto"/>
        </w:rPr>
        <w:t>7</w:t>
      </w:r>
      <w:r w:rsidRPr="00C1603D">
        <w:t>. https://doi.org/10.1038/ajg.2015.87</w:t>
      </w:r>
    </w:p>
    <w:p w14:paraId="02678323" w14:textId="1DBCEB63" w:rsidR="00EF77DB" w:rsidRPr="00C1603D" w:rsidRDefault="00EF77DB" w:rsidP="00EF77DB">
      <w:pPr>
        <w:pStyle w:val="65ReferencesTextstylesTextstyles"/>
      </w:pPr>
      <w:r w:rsidRPr="00C1603D">
        <w:t>142.</w:t>
      </w:r>
      <w:r w:rsidRPr="00C1603D">
        <w:tab/>
        <w:t xml:space="preserve">Hashmi MA, Hussain T, Masood N, Younas M, Asghar RM, </w:t>
      </w:r>
      <w:proofErr w:type="spellStart"/>
      <w:r w:rsidRPr="00C1603D">
        <w:t>Shafi</w:t>
      </w:r>
      <w:proofErr w:type="spellEnd"/>
      <w:r w:rsidRPr="00C1603D">
        <w:t xml:space="preserve"> MS. Accuracy of </w:t>
      </w:r>
      <w:r w:rsidR="00957AA1" w:rsidRPr="00C1603D">
        <w:t>anti-tissue transglutam</w:t>
      </w:r>
      <w:r w:rsidRPr="00C1603D">
        <w:t xml:space="preserve">inase IgA </w:t>
      </w:r>
      <w:r w:rsidR="00957AA1" w:rsidRPr="00C1603D">
        <w:t>antibody in the diagnosis of paediatric celiac di</w:t>
      </w:r>
      <w:r w:rsidRPr="00C1603D">
        <w:t xml:space="preserve">sease. </w:t>
      </w:r>
      <w:r w:rsidRPr="00C1603D">
        <w:rPr>
          <w:i/>
        </w:rPr>
        <w:t xml:space="preserve">J Coll Physicians </w:t>
      </w:r>
      <w:proofErr w:type="spellStart"/>
      <w:r w:rsidRPr="00C1603D">
        <w:rPr>
          <w:i/>
        </w:rPr>
        <w:t>Surg</w:t>
      </w:r>
      <w:proofErr w:type="spellEnd"/>
      <w:r w:rsidRPr="00C1603D">
        <w:rPr>
          <w:i/>
        </w:rPr>
        <w:t xml:space="preserve"> Pak</w:t>
      </w:r>
      <w:r w:rsidRPr="00C1603D">
        <w:t xml:space="preserve"> 2016;</w:t>
      </w:r>
      <w:r w:rsidRPr="00C1603D">
        <w:rPr>
          <w:b/>
        </w:rPr>
        <w:t>26</w:t>
      </w:r>
      <w:r w:rsidRPr="00C1603D">
        <w:t>:</w:t>
      </w:r>
      <w:r w:rsidRPr="00C1603D">
        <w:rPr>
          <w:color w:val="auto"/>
        </w:rPr>
        <w:t>263</w:t>
      </w:r>
      <w:r w:rsidRPr="00C1603D">
        <w:rPr>
          <w:color w:val="00B0F0"/>
        </w:rPr>
        <w:t>–</w:t>
      </w:r>
      <w:r w:rsidRPr="00C1603D">
        <w:rPr>
          <w:color w:val="auto"/>
        </w:rPr>
        <w:t>6</w:t>
      </w:r>
      <w:r w:rsidRPr="00C1603D">
        <w:t>. https://doi.org/2288</w:t>
      </w:r>
    </w:p>
    <w:p w14:paraId="581E7CD4" w14:textId="2F5D57FF" w:rsidR="00EF77DB" w:rsidRPr="00C1603D" w:rsidRDefault="00EF77DB" w:rsidP="00EF77DB">
      <w:pPr>
        <w:pStyle w:val="65ReferencesTextstylesTextstyles"/>
      </w:pPr>
      <w:r w:rsidRPr="00C1603D">
        <w:t>143.</w:t>
      </w:r>
      <w:r w:rsidRPr="00C1603D">
        <w:tab/>
      </w:r>
      <w:proofErr w:type="spellStart"/>
      <w:r w:rsidRPr="00C1603D">
        <w:t>Bozzato</w:t>
      </w:r>
      <w:proofErr w:type="spellEnd"/>
      <w:r w:rsidRPr="00C1603D">
        <w:t xml:space="preserve"> D, Rossi E, </w:t>
      </w:r>
      <w:proofErr w:type="spellStart"/>
      <w:r w:rsidRPr="00C1603D">
        <w:t>Pelloso</w:t>
      </w:r>
      <w:proofErr w:type="spellEnd"/>
      <w:r w:rsidRPr="00C1603D">
        <w:t xml:space="preserve"> M, </w:t>
      </w:r>
      <w:proofErr w:type="spellStart"/>
      <w:r w:rsidRPr="00C1603D">
        <w:t>Guariso</w:t>
      </w:r>
      <w:proofErr w:type="spellEnd"/>
      <w:r w:rsidRPr="00C1603D">
        <w:t xml:space="preserve"> G, </w:t>
      </w:r>
      <w:proofErr w:type="spellStart"/>
      <w:r w:rsidRPr="00C1603D">
        <w:t>Moz</w:t>
      </w:r>
      <w:proofErr w:type="spellEnd"/>
      <w:r w:rsidRPr="00C1603D">
        <w:t xml:space="preserve"> S, </w:t>
      </w:r>
      <w:proofErr w:type="spellStart"/>
      <w:r w:rsidRPr="00C1603D">
        <w:t>Padoan</w:t>
      </w:r>
      <w:proofErr w:type="spellEnd"/>
      <w:r w:rsidRPr="00C1603D">
        <w:t xml:space="preserve"> A, </w:t>
      </w:r>
      <w:r w:rsidRPr="00C1603D">
        <w:rPr>
          <w:i/>
        </w:rPr>
        <w:t>et</w:t>
      </w:r>
      <w:r w:rsidRPr="00C1603D">
        <w:t xml:space="preserve"> </w:t>
      </w:r>
      <w:r w:rsidRPr="00C1603D">
        <w:rPr>
          <w:i/>
        </w:rPr>
        <w:t>al</w:t>
      </w:r>
      <w:r w:rsidRPr="00C1603D">
        <w:t xml:space="preserve">. </w:t>
      </w:r>
      <w:proofErr w:type="spellStart"/>
      <w:r w:rsidRPr="00C1603D">
        <w:t>Aeskulisa</w:t>
      </w:r>
      <w:proofErr w:type="spellEnd"/>
      <w:r w:rsidRPr="00C1603D">
        <w:t xml:space="preserve"> and H-TTG/DGP screen for celiac disease diagnosis. </w:t>
      </w:r>
      <w:r w:rsidR="00B051B0" w:rsidRPr="00C1603D">
        <w:rPr>
          <w:i/>
        </w:rPr>
        <w:t>Clin Chem Lab Med</w:t>
      </w:r>
      <w:r w:rsidRPr="00C1603D">
        <w:t xml:space="preserve"> 2011;</w:t>
      </w:r>
      <w:r w:rsidRPr="00C1603D">
        <w:rPr>
          <w:b/>
        </w:rPr>
        <w:t>49</w:t>
      </w:r>
      <w:r w:rsidRPr="00C1603D">
        <w:t>:S596.</w:t>
      </w:r>
    </w:p>
    <w:p w14:paraId="24A7A3D1" w14:textId="77777777" w:rsidR="00EF77DB" w:rsidRPr="00C1603D" w:rsidRDefault="00EF77DB" w:rsidP="00EF77DB">
      <w:pPr>
        <w:pStyle w:val="65ReferencesTextstylesTextstyles"/>
      </w:pPr>
      <w:r w:rsidRPr="00C1603D">
        <w:t>144.</w:t>
      </w:r>
      <w:r w:rsidRPr="00C1603D">
        <w:tab/>
        <w:t xml:space="preserve">Chan AW, </w:t>
      </w:r>
      <w:proofErr w:type="spellStart"/>
      <w:r w:rsidRPr="00C1603D">
        <w:t>Butzner</w:t>
      </w:r>
      <w:proofErr w:type="spellEnd"/>
      <w:r w:rsidRPr="00C1603D">
        <w:t xml:space="preserve"> JD, McKenna R, </w:t>
      </w:r>
      <w:proofErr w:type="spellStart"/>
      <w:r w:rsidRPr="00C1603D">
        <w:t>Fritzler</w:t>
      </w:r>
      <w:proofErr w:type="spellEnd"/>
      <w:r w:rsidRPr="00C1603D">
        <w:t xml:space="preserve"> MJ. Tissue transglutaminase enzyme-linked immunosorbent assay as a screening test for celiac disease in </w:t>
      </w:r>
      <w:proofErr w:type="spellStart"/>
      <w:r w:rsidRPr="00C1603D">
        <w:t>pediatric</w:t>
      </w:r>
      <w:proofErr w:type="spellEnd"/>
      <w:r w:rsidRPr="00C1603D">
        <w:t xml:space="preserve"> patients. </w:t>
      </w:r>
      <w:proofErr w:type="spellStart"/>
      <w:r w:rsidRPr="00C1603D">
        <w:rPr>
          <w:i/>
        </w:rPr>
        <w:t>Pediatrics</w:t>
      </w:r>
      <w:proofErr w:type="spellEnd"/>
      <w:r w:rsidRPr="00C1603D">
        <w:t xml:space="preserve"> 2001;</w:t>
      </w:r>
      <w:r w:rsidRPr="00C1603D">
        <w:rPr>
          <w:b/>
        </w:rPr>
        <w:t>107</w:t>
      </w:r>
      <w:r w:rsidRPr="00C1603D">
        <w:t>:</w:t>
      </w:r>
      <w:r w:rsidRPr="00C1603D">
        <w:rPr>
          <w:color w:val="auto"/>
        </w:rPr>
        <w:t>E8</w:t>
      </w:r>
      <w:r w:rsidRPr="00C1603D">
        <w:t>. https://doi.org/10.1542/peds.107.1.e8</w:t>
      </w:r>
    </w:p>
    <w:p w14:paraId="4E444864" w14:textId="390D6819" w:rsidR="00EF77DB" w:rsidRPr="00C1603D" w:rsidRDefault="00EF77DB" w:rsidP="00EF77DB">
      <w:pPr>
        <w:pStyle w:val="65ReferencesTextstylesTextstyles"/>
      </w:pPr>
      <w:r w:rsidRPr="00C1603D">
        <w:t>145.</w:t>
      </w:r>
      <w:r w:rsidRPr="00C1603D">
        <w:tab/>
        <w:t xml:space="preserve">Bishop J, Reed P, Austin P, Hurst M, </w:t>
      </w:r>
      <w:proofErr w:type="spellStart"/>
      <w:r w:rsidRPr="00C1603D">
        <w:t>Ameratunga</w:t>
      </w:r>
      <w:proofErr w:type="spellEnd"/>
      <w:r w:rsidRPr="00C1603D">
        <w:t xml:space="preserve"> R, Craigie A, </w:t>
      </w:r>
      <w:r w:rsidRPr="00C1603D">
        <w:rPr>
          <w:i/>
        </w:rPr>
        <w:t>et al</w:t>
      </w:r>
      <w:r w:rsidRPr="00C1603D">
        <w:t xml:space="preserve">. Prospective </w:t>
      </w:r>
      <w:r w:rsidR="00B051B0" w:rsidRPr="00C1603D">
        <w:t>e</w:t>
      </w:r>
      <w:r w:rsidRPr="00C1603D">
        <w:t xml:space="preserve">valuation of the ESPGHAN </w:t>
      </w:r>
      <w:r w:rsidR="00B051B0" w:rsidRPr="00C1603D">
        <w:t>guidelines for diagnosis of celiac disea</w:t>
      </w:r>
      <w:r w:rsidRPr="00C1603D">
        <w:t xml:space="preserve">se in New Zealand </w:t>
      </w:r>
      <w:r w:rsidR="00B051B0" w:rsidRPr="00C1603D">
        <w:t>c</w:t>
      </w:r>
      <w:r w:rsidRPr="00C1603D">
        <w:t xml:space="preserve">hildren.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2018;</w:t>
      </w:r>
      <w:r w:rsidRPr="00C1603D">
        <w:rPr>
          <w:b/>
        </w:rPr>
        <w:t>67</w:t>
      </w:r>
      <w:r w:rsidRPr="00C1603D">
        <w:t>:</w:t>
      </w:r>
      <w:r w:rsidRPr="00C1603D">
        <w:rPr>
          <w:color w:val="auto"/>
        </w:rPr>
        <w:t>749</w:t>
      </w:r>
      <w:r w:rsidRPr="00C1603D">
        <w:rPr>
          <w:color w:val="00B0F0"/>
        </w:rPr>
        <w:t>–</w:t>
      </w:r>
      <w:r w:rsidRPr="00C1603D">
        <w:rPr>
          <w:color w:val="auto"/>
        </w:rPr>
        <w:t>54</w:t>
      </w:r>
      <w:r w:rsidRPr="00C1603D">
        <w:t>. https://doi.org/10.1097/MPG.0000000000002065</w:t>
      </w:r>
    </w:p>
    <w:p w14:paraId="2C99F866" w14:textId="5310F683" w:rsidR="00EF77DB" w:rsidRPr="00C1603D" w:rsidRDefault="00EF77DB" w:rsidP="00EF77DB">
      <w:pPr>
        <w:pStyle w:val="65ReferencesTextstylesTextstyles"/>
      </w:pPr>
      <w:r w:rsidRPr="00C1603D">
        <w:t>146.</w:t>
      </w:r>
      <w:r w:rsidRPr="00C1603D">
        <w:tab/>
        <w:t xml:space="preserve">Barker CC, Mitton C, Jevon G, Mock T. Can tissue transglutaminase antibody </w:t>
      </w:r>
      <w:proofErr w:type="spellStart"/>
      <w:r w:rsidRPr="00C1603D">
        <w:t>titers</w:t>
      </w:r>
      <w:proofErr w:type="spellEnd"/>
      <w:r w:rsidRPr="00C1603D">
        <w:t xml:space="preserve"> replace small-bowel biopsy to diagnose celiac disease in select </w:t>
      </w:r>
      <w:proofErr w:type="spellStart"/>
      <w:r w:rsidRPr="00C1603D">
        <w:t>pediatric</w:t>
      </w:r>
      <w:proofErr w:type="spellEnd"/>
      <w:r w:rsidRPr="00C1603D">
        <w:t xml:space="preserve"> populations? </w:t>
      </w:r>
      <w:proofErr w:type="spellStart"/>
      <w:r w:rsidRPr="00C1603D">
        <w:rPr>
          <w:i/>
        </w:rPr>
        <w:t>Pediatrics</w:t>
      </w:r>
      <w:proofErr w:type="spellEnd"/>
      <w:r w:rsidRPr="00C1603D">
        <w:t xml:space="preserve"> 2005;</w:t>
      </w:r>
      <w:r w:rsidRPr="00C1603D">
        <w:rPr>
          <w:b/>
        </w:rPr>
        <w:t>115</w:t>
      </w:r>
      <w:r w:rsidRPr="00C1603D">
        <w:t>:1341</w:t>
      </w:r>
      <w:r w:rsidR="00B051B0" w:rsidRPr="00C1603D">
        <w:t>–</w:t>
      </w:r>
      <w:r w:rsidRPr="00C1603D">
        <w:t>6.</w:t>
      </w:r>
    </w:p>
    <w:p w14:paraId="29DB3341" w14:textId="77777777" w:rsidR="00EF77DB" w:rsidRPr="00C1603D" w:rsidRDefault="00EF77DB" w:rsidP="00EF77DB">
      <w:pPr>
        <w:pStyle w:val="65ReferencesTextstylesTextstyles"/>
      </w:pPr>
      <w:r w:rsidRPr="00C1603D">
        <w:t>147.</w:t>
      </w:r>
      <w:r w:rsidRPr="00C1603D">
        <w:tab/>
        <w:t xml:space="preserve">Basso D, Gallo N, </w:t>
      </w:r>
      <w:proofErr w:type="spellStart"/>
      <w:r w:rsidRPr="00C1603D">
        <w:t>Guariso</w:t>
      </w:r>
      <w:proofErr w:type="spellEnd"/>
      <w:r w:rsidRPr="00C1603D">
        <w:t xml:space="preserve"> G, </w:t>
      </w:r>
      <w:proofErr w:type="spellStart"/>
      <w:r w:rsidRPr="00C1603D">
        <w:t>Pittoni</w:t>
      </w:r>
      <w:proofErr w:type="spellEnd"/>
      <w:r w:rsidRPr="00C1603D">
        <w:t xml:space="preserve"> M, </w:t>
      </w:r>
      <w:proofErr w:type="spellStart"/>
      <w:r w:rsidRPr="00C1603D">
        <w:t>Piva</w:t>
      </w:r>
      <w:proofErr w:type="spellEnd"/>
      <w:r w:rsidRPr="00C1603D">
        <w:t xml:space="preserve"> MG, </w:t>
      </w:r>
      <w:proofErr w:type="spellStart"/>
      <w:r w:rsidRPr="00C1603D">
        <w:t>Plebani</w:t>
      </w:r>
      <w:proofErr w:type="spellEnd"/>
      <w:r w:rsidRPr="00C1603D">
        <w:t xml:space="preserve"> M. Role of anti-transglutaminase (anti-tTG), anti-gliadin, and anti-endomysium serum antibodies in diagnosing celiac disease: a comparison of four different commercial kits for anti-tTG determination. </w:t>
      </w:r>
      <w:r w:rsidRPr="00C1603D">
        <w:rPr>
          <w:i/>
        </w:rPr>
        <w:t>J Clin Lab Anal</w:t>
      </w:r>
      <w:r w:rsidRPr="00C1603D">
        <w:t xml:space="preserve"> 2001;</w:t>
      </w:r>
      <w:r w:rsidRPr="00C1603D">
        <w:rPr>
          <w:b/>
        </w:rPr>
        <w:t>15</w:t>
      </w:r>
      <w:r w:rsidRPr="00C1603D">
        <w:t>:</w:t>
      </w:r>
      <w:r w:rsidRPr="00C1603D">
        <w:rPr>
          <w:color w:val="auto"/>
        </w:rPr>
        <w:t>112</w:t>
      </w:r>
      <w:r w:rsidRPr="00C1603D">
        <w:rPr>
          <w:color w:val="00B0F0"/>
        </w:rPr>
        <w:t>–</w:t>
      </w:r>
      <w:r w:rsidRPr="00C1603D">
        <w:rPr>
          <w:color w:val="auto"/>
        </w:rPr>
        <w:t>15</w:t>
      </w:r>
      <w:r w:rsidRPr="00C1603D">
        <w:t>.</w:t>
      </w:r>
    </w:p>
    <w:p w14:paraId="594A020E" w14:textId="72BA26A2" w:rsidR="00EF77DB" w:rsidRPr="00C1603D" w:rsidRDefault="00EF77DB" w:rsidP="00EF77DB">
      <w:pPr>
        <w:pStyle w:val="65ReferencesTextstylesTextstyles"/>
      </w:pPr>
      <w:r w:rsidRPr="00C1603D">
        <w:t>148.</w:t>
      </w:r>
      <w:r w:rsidRPr="00C1603D">
        <w:tab/>
        <w:t xml:space="preserve">Alonso M, Saenz M, </w:t>
      </w:r>
      <w:proofErr w:type="spellStart"/>
      <w:r w:rsidRPr="00C1603D">
        <w:t>Echaniz</w:t>
      </w:r>
      <w:proofErr w:type="spellEnd"/>
      <w:r w:rsidRPr="00C1603D">
        <w:t xml:space="preserve"> P, Prada A, De Juan MD, </w:t>
      </w:r>
      <w:proofErr w:type="spellStart"/>
      <w:r w:rsidRPr="00C1603D">
        <w:t>Urreta</w:t>
      </w:r>
      <w:proofErr w:type="spellEnd"/>
      <w:r w:rsidRPr="00C1603D">
        <w:t xml:space="preserve"> I, </w:t>
      </w:r>
      <w:r w:rsidRPr="00C1603D">
        <w:rPr>
          <w:i/>
        </w:rPr>
        <w:t>et</w:t>
      </w:r>
      <w:r w:rsidRPr="00C1603D">
        <w:t xml:space="preserve"> </w:t>
      </w:r>
      <w:r w:rsidRPr="00C1603D">
        <w:rPr>
          <w:i/>
        </w:rPr>
        <w:t>al</w:t>
      </w:r>
      <w:r w:rsidRPr="00C1603D">
        <w:t xml:space="preserve">. Evaluation of intraepithelial duodenal subsets, marsh pathological grades, and anti transglutaminase antibodies in diagnosis of celiac disease in a paediatric population. </w:t>
      </w:r>
      <w:proofErr w:type="spellStart"/>
      <w:r w:rsidR="00B051B0" w:rsidRPr="00C1603D">
        <w:rPr>
          <w:i/>
        </w:rPr>
        <w:t>Eur</w:t>
      </w:r>
      <w:proofErr w:type="spellEnd"/>
      <w:r w:rsidR="00B051B0" w:rsidRPr="00C1603D">
        <w:rPr>
          <w:i/>
        </w:rPr>
        <w:t xml:space="preserve"> J</w:t>
      </w:r>
      <w:r w:rsidRPr="00C1603D">
        <w:t xml:space="preserve"> </w:t>
      </w:r>
      <w:r w:rsidRPr="00C1603D">
        <w:rPr>
          <w:i/>
        </w:rPr>
        <w:t>Immunol</w:t>
      </w:r>
      <w:r w:rsidRPr="00C1603D">
        <w:t xml:space="preserve"> 2009;</w:t>
      </w:r>
      <w:r w:rsidRPr="00C1603D">
        <w:rPr>
          <w:b/>
        </w:rPr>
        <w:t>39</w:t>
      </w:r>
      <w:r w:rsidRPr="00C1603D">
        <w:t>:S704.</w:t>
      </w:r>
    </w:p>
    <w:p w14:paraId="073DAAD5" w14:textId="650CEBC2" w:rsidR="00EF77DB" w:rsidRPr="00C1603D" w:rsidRDefault="3CDEEDA7" w:rsidP="00EF77DB">
      <w:pPr>
        <w:pStyle w:val="65ReferencesTextstylesTextstyles"/>
      </w:pPr>
      <w:r w:rsidRPr="00C1603D">
        <w:t>149.</w:t>
      </w:r>
      <w:r w:rsidR="00EF77DB" w:rsidRPr="00C1603D">
        <w:tab/>
      </w:r>
      <w:commentRangeStart w:id="508"/>
      <w:commentRangeStart w:id="509"/>
      <w:r w:rsidRPr="00C1603D">
        <w:t xml:space="preserve">Ali Z, </w:t>
      </w:r>
      <w:proofErr w:type="spellStart"/>
      <w:r w:rsidRPr="00C1603D">
        <w:t>Hagglund</w:t>
      </w:r>
      <w:proofErr w:type="spellEnd"/>
      <w:r w:rsidRPr="00C1603D">
        <w:t xml:space="preserve"> K, Lyons A, Sheikh U, Lyons H. Is small intestinal biopsy always necessary to diagnose celiac disease in children? </w:t>
      </w:r>
      <w:r w:rsidRPr="00C1603D">
        <w:rPr>
          <w:i/>
          <w:iCs/>
        </w:rPr>
        <w:t>Am J</w:t>
      </w:r>
      <w:r w:rsidRPr="00C1603D">
        <w:t xml:space="preserve"> </w:t>
      </w:r>
      <w:r w:rsidRPr="00C1603D">
        <w:rPr>
          <w:i/>
          <w:iCs/>
        </w:rPr>
        <w:t>Gastroenterol</w:t>
      </w:r>
      <w:r w:rsidRPr="00C1603D">
        <w:t xml:space="preserve"> 2012;</w:t>
      </w:r>
      <w:r w:rsidRPr="00C1603D">
        <w:rPr>
          <w:b/>
          <w:bCs/>
        </w:rPr>
        <w:t>107</w:t>
      </w:r>
      <w:r w:rsidRPr="00C1603D">
        <w:t>:S785.</w:t>
      </w:r>
      <w:commentRangeEnd w:id="508"/>
      <w:r w:rsidR="00EF77DB" w:rsidRPr="00C1603D">
        <w:commentReference w:id="508"/>
      </w:r>
      <w:commentRangeEnd w:id="509"/>
      <w:r w:rsidR="00EF77DB" w:rsidRPr="00C1603D">
        <w:commentReference w:id="509"/>
      </w:r>
    </w:p>
    <w:p w14:paraId="63CF5564" w14:textId="77777777" w:rsidR="00EF77DB" w:rsidRPr="00C1603D" w:rsidRDefault="00EF77DB" w:rsidP="00EF77DB">
      <w:pPr>
        <w:pStyle w:val="65ReferencesTextstylesTextstyles"/>
      </w:pPr>
      <w:r w:rsidRPr="00C1603D">
        <w:t>150.</w:t>
      </w:r>
      <w:r w:rsidRPr="00C1603D">
        <w:tab/>
        <w:t xml:space="preserve">Aberg AK, </w:t>
      </w:r>
      <w:proofErr w:type="spellStart"/>
      <w:r w:rsidRPr="00C1603D">
        <w:t>Olcén</w:t>
      </w:r>
      <w:proofErr w:type="spellEnd"/>
      <w:r w:rsidRPr="00C1603D">
        <w:t xml:space="preserve"> P. Serologic screening for celiac disease in children: a comparison between established assays and tests with deamidated gliadin-derived peptides plus conjugates for both IgA and IgG antibodies. </w:t>
      </w:r>
      <w:r w:rsidRPr="00C1603D">
        <w:rPr>
          <w:i/>
        </w:rPr>
        <w:t>APMIS</w:t>
      </w:r>
      <w:r w:rsidRPr="00C1603D">
        <w:t xml:space="preserve"> 2009;</w:t>
      </w:r>
      <w:r w:rsidRPr="00C1603D">
        <w:rPr>
          <w:b/>
        </w:rPr>
        <w:t>117</w:t>
      </w:r>
      <w:r w:rsidRPr="00C1603D">
        <w:t>:</w:t>
      </w:r>
      <w:r w:rsidRPr="00C1603D">
        <w:rPr>
          <w:color w:val="auto"/>
        </w:rPr>
        <w:t>808</w:t>
      </w:r>
      <w:r w:rsidRPr="00C1603D">
        <w:rPr>
          <w:color w:val="00B0F0"/>
        </w:rPr>
        <w:t>–</w:t>
      </w:r>
      <w:r w:rsidRPr="00C1603D">
        <w:rPr>
          <w:color w:val="auto"/>
        </w:rPr>
        <w:t>13</w:t>
      </w:r>
      <w:r w:rsidRPr="00C1603D">
        <w:t>. https://doi.org/10.1111/j.1600-0463.2009.02541.x</w:t>
      </w:r>
    </w:p>
    <w:p w14:paraId="240BB705" w14:textId="73F0B26C" w:rsidR="00EF77DB" w:rsidRPr="00C1603D" w:rsidRDefault="00EF77DB" w:rsidP="00EF77DB">
      <w:pPr>
        <w:pStyle w:val="65ReferencesTextstylesTextstyles"/>
      </w:pPr>
      <w:r w:rsidRPr="00C1603D">
        <w:lastRenderedPageBreak/>
        <w:t>151.</w:t>
      </w:r>
      <w:r w:rsidRPr="00C1603D">
        <w:tab/>
      </w:r>
      <w:proofErr w:type="spellStart"/>
      <w:r w:rsidRPr="00C1603D">
        <w:t>Abdollahi</w:t>
      </w:r>
      <w:proofErr w:type="spellEnd"/>
      <w:r w:rsidRPr="00C1603D">
        <w:t xml:space="preserve"> A, </w:t>
      </w:r>
      <w:proofErr w:type="spellStart"/>
      <w:r w:rsidRPr="00C1603D">
        <w:t>Mehrazma</w:t>
      </w:r>
      <w:proofErr w:type="spellEnd"/>
      <w:r w:rsidRPr="00C1603D">
        <w:t xml:space="preserve"> M, </w:t>
      </w:r>
      <w:proofErr w:type="spellStart"/>
      <w:r w:rsidRPr="00C1603D">
        <w:t>Talachian</w:t>
      </w:r>
      <w:proofErr w:type="spellEnd"/>
      <w:r w:rsidRPr="00C1603D">
        <w:t xml:space="preserve"> E. The </w:t>
      </w:r>
      <w:r w:rsidR="00400E96" w:rsidRPr="00C1603D">
        <w:t xml:space="preserve">diagnostic value of serum </w:t>
      </w:r>
      <w:r w:rsidRPr="00C1603D">
        <w:t>IGG-</w:t>
      </w:r>
      <w:r w:rsidR="00400E96" w:rsidRPr="00C1603D">
        <w:t>a</w:t>
      </w:r>
      <w:r w:rsidRPr="00C1603D">
        <w:t xml:space="preserve">ntigliadin, IGA </w:t>
      </w:r>
      <w:r w:rsidR="00400E96" w:rsidRPr="00C1603D">
        <w:t>anti-end</w:t>
      </w:r>
      <w:r w:rsidRPr="00C1603D">
        <w:t xml:space="preserve">omysial and IGA </w:t>
      </w:r>
      <w:r w:rsidR="00400E96" w:rsidRPr="00C1603D">
        <w:t xml:space="preserve">anti-tissue transglutaminase antibodies for </w:t>
      </w:r>
      <w:proofErr w:type="spellStart"/>
      <w:r w:rsidR="00400E96" w:rsidRPr="00C1603D">
        <w:t>pediatric</w:t>
      </w:r>
      <w:proofErr w:type="spellEnd"/>
      <w:r w:rsidR="00400E96" w:rsidRPr="00C1603D">
        <w:t xml:space="preserve"> celiac disease</w:t>
      </w:r>
      <w:r w:rsidRPr="00C1603D">
        <w:t xml:space="preserve">. </w:t>
      </w:r>
      <w:proofErr w:type="spellStart"/>
      <w:r w:rsidRPr="00C1603D">
        <w:rPr>
          <w:i/>
        </w:rPr>
        <w:t>Pediatr</w:t>
      </w:r>
      <w:proofErr w:type="spellEnd"/>
      <w:r w:rsidRPr="00C1603D">
        <w:t xml:space="preserve"> </w:t>
      </w:r>
      <w:r w:rsidRPr="00C1603D">
        <w:rPr>
          <w:i/>
        </w:rPr>
        <w:t>Res</w:t>
      </w:r>
      <w:r w:rsidR="00400E96" w:rsidRPr="00C1603D">
        <w:rPr>
          <w:i/>
        </w:rPr>
        <w:t xml:space="preserve"> </w:t>
      </w:r>
      <w:r w:rsidRPr="00C1603D">
        <w:t>2011;</w:t>
      </w:r>
      <w:r w:rsidRPr="00C1603D">
        <w:rPr>
          <w:b/>
        </w:rPr>
        <w:t>70</w:t>
      </w:r>
      <w:r w:rsidRPr="00C1603D">
        <w:t>:775.</w:t>
      </w:r>
    </w:p>
    <w:p w14:paraId="7078FE8D" w14:textId="77777777" w:rsidR="00EF77DB" w:rsidRPr="00C1603D" w:rsidRDefault="00EF77DB" w:rsidP="00EF77DB">
      <w:pPr>
        <w:pStyle w:val="65ReferencesTextstylesTextstyles"/>
      </w:pPr>
      <w:r w:rsidRPr="00C1603D">
        <w:t>152.</w:t>
      </w:r>
      <w:r w:rsidRPr="00C1603D">
        <w:tab/>
      </w:r>
      <w:proofErr w:type="spellStart"/>
      <w:r w:rsidRPr="00C1603D">
        <w:t>Bowron</w:t>
      </w:r>
      <w:proofErr w:type="spellEnd"/>
      <w:r w:rsidRPr="00C1603D">
        <w:t xml:space="preserve"> A, </w:t>
      </w:r>
      <w:proofErr w:type="spellStart"/>
      <w:r w:rsidRPr="00C1603D">
        <w:t>Moorghen</w:t>
      </w:r>
      <w:proofErr w:type="spellEnd"/>
      <w:r w:rsidRPr="00C1603D">
        <w:t xml:space="preserve"> M, Morgan JE, Osborne JR, </w:t>
      </w:r>
      <w:proofErr w:type="spellStart"/>
      <w:r w:rsidRPr="00C1603D">
        <w:t>Stansbie</w:t>
      </w:r>
      <w:proofErr w:type="spellEnd"/>
      <w:r w:rsidRPr="00C1603D">
        <w:t xml:space="preserve"> D, Stone JE. Cost-effective strategy for the serological investigation of coeliac disease. </w:t>
      </w:r>
      <w:r w:rsidRPr="00C1603D">
        <w:rPr>
          <w:i/>
        </w:rPr>
        <w:t xml:space="preserve">Ann Clin </w:t>
      </w:r>
      <w:proofErr w:type="spellStart"/>
      <w:r w:rsidRPr="00C1603D">
        <w:rPr>
          <w:i/>
        </w:rPr>
        <w:t>Biochem</w:t>
      </w:r>
      <w:proofErr w:type="spellEnd"/>
      <w:r w:rsidRPr="00C1603D">
        <w:t xml:space="preserve"> 2000;</w:t>
      </w:r>
      <w:r w:rsidRPr="00C1603D">
        <w:rPr>
          <w:b/>
        </w:rPr>
        <w:t>37</w:t>
      </w:r>
      <w:r w:rsidRPr="00C1603D">
        <w:t>:</w:t>
      </w:r>
      <w:r w:rsidRPr="00C1603D">
        <w:rPr>
          <w:color w:val="auto"/>
        </w:rPr>
        <w:t>467</w:t>
      </w:r>
      <w:r w:rsidRPr="00C1603D">
        <w:rPr>
          <w:color w:val="00B0F0"/>
        </w:rPr>
        <w:t>–</w:t>
      </w:r>
      <w:r w:rsidRPr="00C1603D">
        <w:rPr>
          <w:color w:val="auto"/>
        </w:rPr>
        <w:t>70</w:t>
      </w:r>
      <w:r w:rsidRPr="00C1603D">
        <w:t>. https://doi.org/10.1177/000456320003700406</w:t>
      </w:r>
    </w:p>
    <w:p w14:paraId="6CCA48DA" w14:textId="77777777" w:rsidR="00EF77DB" w:rsidRPr="00C1603D" w:rsidRDefault="00EF77DB" w:rsidP="00EF77DB">
      <w:pPr>
        <w:pStyle w:val="65ReferencesTextstylesTextstyles"/>
      </w:pPr>
      <w:r w:rsidRPr="00C1603D">
        <w:t>153.</w:t>
      </w:r>
      <w:r w:rsidRPr="00C1603D">
        <w:tab/>
        <w:t xml:space="preserve">Corrao G, </w:t>
      </w:r>
      <w:proofErr w:type="spellStart"/>
      <w:r w:rsidRPr="00C1603D">
        <w:t>Corazza</w:t>
      </w:r>
      <w:proofErr w:type="spellEnd"/>
      <w:r w:rsidRPr="00C1603D">
        <w:t xml:space="preserve"> GR, </w:t>
      </w:r>
      <w:proofErr w:type="spellStart"/>
      <w:r w:rsidRPr="00C1603D">
        <w:t>Andreani</w:t>
      </w:r>
      <w:proofErr w:type="spellEnd"/>
      <w:r w:rsidRPr="00C1603D">
        <w:t xml:space="preserve"> ML, </w:t>
      </w:r>
      <w:proofErr w:type="spellStart"/>
      <w:r w:rsidRPr="00C1603D">
        <w:t>Torchio</w:t>
      </w:r>
      <w:proofErr w:type="spellEnd"/>
      <w:r w:rsidRPr="00C1603D">
        <w:t xml:space="preserve"> P, </w:t>
      </w:r>
      <w:proofErr w:type="spellStart"/>
      <w:r w:rsidRPr="00C1603D">
        <w:t>Valentini</w:t>
      </w:r>
      <w:proofErr w:type="spellEnd"/>
      <w:r w:rsidRPr="00C1603D">
        <w:t xml:space="preserve"> RA, </w:t>
      </w:r>
      <w:proofErr w:type="spellStart"/>
      <w:r w:rsidRPr="00C1603D">
        <w:t>Galatola</w:t>
      </w:r>
      <w:proofErr w:type="spellEnd"/>
      <w:r w:rsidRPr="00C1603D">
        <w:t xml:space="preserve"> G, </w:t>
      </w:r>
      <w:r w:rsidRPr="00C1603D">
        <w:rPr>
          <w:i/>
        </w:rPr>
        <w:t>et al</w:t>
      </w:r>
      <w:r w:rsidRPr="00C1603D">
        <w:t xml:space="preserve">. Serological screening of coeliac disease: choosing the optimal procedure according to various prevalence values. </w:t>
      </w:r>
      <w:r w:rsidRPr="00C1603D">
        <w:rPr>
          <w:i/>
        </w:rPr>
        <w:t>Gut</w:t>
      </w:r>
      <w:r w:rsidRPr="00C1603D">
        <w:t xml:space="preserve"> 1994;</w:t>
      </w:r>
      <w:r w:rsidRPr="00C1603D">
        <w:rPr>
          <w:b/>
        </w:rPr>
        <w:t>35</w:t>
      </w:r>
      <w:r w:rsidRPr="00C1603D">
        <w:t>:</w:t>
      </w:r>
      <w:r w:rsidRPr="00C1603D">
        <w:rPr>
          <w:color w:val="auto"/>
        </w:rPr>
        <w:t>771</w:t>
      </w:r>
      <w:r w:rsidRPr="00C1603D">
        <w:rPr>
          <w:color w:val="00B0F0"/>
        </w:rPr>
        <w:t>–</w:t>
      </w:r>
      <w:r w:rsidRPr="00C1603D">
        <w:rPr>
          <w:color w:val="auto"/>
        </w:rPr>
        <w:t>5</w:t>
      </w:r>
      <w:r w:rsidRPr="00C1603D">
        <w:t>.</w:t>
      </w:r>
    </w:p>
    <w:p w14:paraId="2759C71C" w14:textId="4F125DBB" w:rsidR="00EF77DB" w:rsidRPr="00C1603D" w:rsidRDefault="00EF77DB" w:rsidP="00EF77DB">
      <w:pPr>
        <w:pStyle w:val="65ReferencesTextstylesTextstyles"/>
      </w:pPr>
      <w:r w:rsidRPr="00C1603D">
        <w:t>154.</w:t>
      </w:r>
      <w:r w:rsidRPr="00C1603D">
        <w:tab/>
        <w:t xml:space="preserve">Al </w:t>
      </w:r>
      <w:proofErr w:type="spellStart"/>
      <w:r w:rsidRPr="00C1603D">
        <w:t>Saidi</w:t>
      </w:r>
      <w:proofErr w:type="spellEnd"/>
      <w:r w:rsidRPr="00C1603D">
        <w:t xml:space="preserve"> SS, Al </w:t>
      </w:r>
      <w:proofErr w:type="spellStart"/>
      <w:r w:rsidRPr="00C1603D">
        <w:t>Harthi</w:t>
      </w:r>
      <w:proofErr w:type="spellEnd"/>
      <w:r w:rsidRPr="00C1603D">
        <w:t xml:space="preserve"> SO, </w:t>
      </w:r>
      <w:proofErr w:type="spellStart"/>
      <w:r w:rsidRPr="00C1603D">
        <w:t>Mula</w:t>
      </w:r>
      <w:proofErr w:type="spellEnd"/>
      <w:r w:rsidRPr="00C1603D">
        <w:t xml:space="preserve">-Abed WA. Diagnostic utility of coeliac disease: a descriptive study in a tertiary care hospital, </w:t>
      </w:r>
      <w:r w:rsidR="000129E8" w:rsidRPr="00C1603D">
        <w:t>Oman</w:t>
      </w:r>
      <w:r w:rsidRPr="00C1603D">
        <w:t xml:space="preserve">. </w:t>
      </w:r>
      <w:r w:rsidRPr="00C1603D">
        <w:rPr>
          <w:i/>
        </w:rPr>
        <w:t>Oman Med J</w:t>
      </w:r>
      <w:r w:rsidRPr="00C1603D">
        <w:t xml:space="preserve"> 2013;</w:t>
      </w:r>
      <w:r w:rsidRPr="00C1603D">
        <w:rPr>
          <w:b/>
        </w:rPr>
        <w:t>28</w:t>
      </w:r>
      <w:r w:rsidRPr="00C1603D">
        <w:t>:</w:t>
      </w:r>
      <w:r w:rsidRPr="00C1603D">
        <w:rPr>
          <w:color w:val="auto"/>
        </w:rPr>
        <w:t>232</w:t>
      </w:r>
      <w:r w:rsidRPr="00C1603D">
        <w:rPr>
          <w:color w:val="00B0F0"/>
        </w:rPr>
        <w:t>–</w:t>
      </w:r>
      <w:r w:rsidRPr="00C1603D">
        <w:rPr>
          <w:color w:val="auto"/>
        </w:rPr>
        <w:t>6</w:t>
      </w:r>
      <w:r w:rsidRPr="00C1603D">
        <w:t>. https://doi.org/10.5001/omj.2013.68</w:t>
      </w:r>
    </w:p>
    <w:p w14:paraId="3A385703" w14:textId="77777777" w:rsidR="00EF77DB" w:rsidRPr="00C1603D" w:rsidRDefault="00EF77DB" w:rsidP="00EF77DB">
      <w:pPr>
        <w:pStyle w:val="65ReferencesTextstylesTextstyles"/>
      </w:pPr>
      <w:r w:rsidRPr="00C1603D">
        <w:t>155.</w:t>
      </w:r>
      <w:r w:rsidRPr="00C1603D">
        <w:tab/>
        <w:t xml:space="preserve">Atkinson K, </w:t>
      </w:r>
      <w:proofErr w:type="spellStart"/>
      <w:r w:rsidRPr="00C1603D">
        <w:t>Tokmakajian</w:t>
      </w:r>
      <w:proofErr w:type="spellEnd"/>
      <w:r w:rsidRPr="00C1603D">
        <w:t xml:space="preserve"> S, Watson W, Gregor J. Evaluation of the endomysial antibody for celiac disease: operating properties and associated cost implications in clinical practice. </w:t>
      </w:r>
      <w:r w:rsidRPr="00C1603D">
        <w:rPr>
          <w:i/>
        </w:rPr>
        <w:t>Can J Gastroenterol</w:t>
      </w:r>
      <w:r w:rsidRPr="00C1603D">
        <w:t xml:space="preserve"> 1997;</w:t>
      </w:r>
      <w:r w:rsidRPr="00C1603D">
        <w:rPr>
          <w:b/>
        </w:rPr>
        <w:t>11</w:t>
      </w:r>
      <w:r w:rsidRPr="00C1603D">
        <w:t>:</w:t>
      </w:r>
      <w:r w:rsidRPr="00C1603D">
        <w:rPr>
          <w:color w:val="auto"/>
        </w:rPr>
        <w:t>673</w:t>
      </w:r>
      <w:r w:rsidRPr="00C1603D">
        <w:rPr>
          <w:color w:val="00B0F0"/>
        </w:rPr>
        <w:t>–</w:t>
      </w:r>
      <w:r w:rsidRPr="00C1603D">
        <w:rPr>
          <w:color w:val="auto"/>
        </w:rPr>
        <w:t>7</w:t>
      </w:r>
      <w:r w:rsidRPr="00C1603D">
        <w:t>. https://doi.org/10.1155/1997/813148</w:t>
      </w:r>
    </w:p>
    <w:p w14:paraId="1E6EDFC4" w14:textId="77777777" w:rsidR="00EF77DB" w:rsidRPr="00C1603D" w:rsidRDefault="00EF77DB" w:rsidP="00EF77DB">
      <w:pPr>
        <w:pStyle w:val="65ReferencesTextstylesTextstyles"/>
      </w:pPr>
      <w:r w:rsidRPr="00C1603D">
        <w:t>156.</w:t>
      </w:r>
      <w:r w:rsidRPr="00C1603D">
        <w:tab/>
        <w:t xml:space="preserve">Dickey W, McMillan SA, McCrum EE, Evans AE. Association between serum levels of total IgA and IgA class endomysial and antigliadin antibodies: implications for coeliac disease screening. </w:t>
      </w:r>
      <w:proofErr w:type="spellStart"/>
      <w:r w:rsidRPr="00C1603D">
        <w:rPr>
          <w:i/>
        </w:rPr>
        <w:t>Eur</w:t>
      </w:r>
      <w:proofErr w:type="spellEnd"/>
      <w:r w:rsidRPr="00C1603D">
        <w:rPr>
          <w:i/>
        </w:rPr>
        <w:t xml:space="preserve"> J Gastroenterol Hepatol</w:t>
      </w:r>
      <w:r w:rsidRPr="00C1603D">
        <w:t xml:space="preserve"> 1997;</w:t>
      </w:r>
      <w:r w:rsidRPr="00C1603D">
        <w:rPr>
          <w:b/>
        </w:rPr>
        <w:t>9</w:t>
      </w:r>
      <w:r w:rsidRPr="00C1603D">
        <w:t>:</w:t>
      </w:r>
      <w:r w:rsidRPr="00C1603D">
        <w:rPr>
          <w:color w:val="auto"/>
        </w:rPr>
        <w:t>559</w:t>
      </w:r>
      <w:r w:rsidRPr="00C1603D">
        <w:rPr>
          <w:color w:val="00B0F0"/>
        </w:rPr>
        <w:t>–</w:t>
      </w:r>
      <w:r w:rsidRPr="00C1603D">
        <w:rPr>
          <w:color w:val="auto"/>
        </w:rPr>
        <w:t>62</w:t>
      </w:r>
      <w:r w:rsidRPr="00C1603D">
        <w:t>. https://doi.org/10.1097/00042737-199706000-00002</w:t>
      </w:r>
    </w:p>
    <w:p w14:paraId="1E8B153B" w14:textId="36AC7637" w:rsidR="00EF77DB" w:rsidRPr="00C1603D" w:rsidRDefault="00EF77DB" w:rsidP="00EF77DB">
      <w:pPr>
        <w:pStyle w:val="65ReferencesTextstylesTextstyles"/>
      </w:pPr>
      <w:r w:rsidRPr="00C1603D">
        <w:t>157.</w:t>
      </w:r>
      <w:r w:rsidRPr="00C1603D">
        <w:tab/>
      </w:r>
      <w:proofErr w:type="spellStart"/>
      <w:r w:rsidRPr="00C1603D">
        <w:t>Feighery</w:t>
      </w:r>
      <w:proofErr w:type="spellEnd"/>
      <w:r w:rsidRPr="00C1603D">
        <w:t xml:space="preserve"> C, Weir DG, Whelan A, Willoughby R, </w:t>
      </w:r>
      <w:proofErr w:type="spellStart"/>
      <w:r w:rsidRPr="00C1603D">
        <w:t>Youngprapakorn</w:t>
      </w:r>
      <w:proofErr w:type="spellEnd"/>
      <w:r w:rsidRPr="00C1603D">
        <w:t xml:space="preserve"> S, Lynch S, </w:t>
      </w:r>
      <w:r w:rsidRPr="00C1603D">
        <w:rPr>
          <w:i/>
        </w:rPr>
        <w:t>et</w:t>
      </w:r>
      <w:r w:rsidRPr="00C1603D">
        <w:t xml:space="preserve"> </w:t>
      </w:r>
      <w:r w:rsidRPr="00C1603D">
        <w:rPr>
          <w:i/>
        </w:rPr>
        <w:t>al</w:t>
      </w:r>
      <w:r w:rsidRPr="00C1603D">
        <w:t xml:space="preserve">. Diagnosis of gluten-sensitive enteropathy: </w:t>
      </w:r>
      <w:r w:rsidR="000129E8" w:rsidRPr="00C1603D">
        <w:t>i</w:t>
      </w:r>
      <w:r w:rsidRPr="00C1603D">
        <w:t xml:space="preserve">s exclusive reliance on histology appropriate? </w:t>
      </w:r>
      <w:proofErr w:type="spellStart"/>
      <w:r w:rsidR="000129E8" w:rsidRPr="00C1603D">
        <w:rPr>
          <w:i/>
        </w:rPr>
        <w:t>Eur</w:t>
      </w:r>
      <w:proofErr w:type="spellEnd"/>
      <w:r w:rsidR="000129E8" w:rsidRPr="00C1603D">
        <w:rPr>
          <w:i/>
        </w:rPr>
        <w:t xml:space="preserve"> J</w:t>
      </w:r>
      <w:r w:rsidRPr="00C1603D">
        <w:t xml:space="preserve"> </w:t>
      </w:r>
      <w:r w:rsidRPr="00C1603D">
        <w:rPr>
          <w:i/>
        </w:rPr>
        <w:t>Gastroenterol</w:t>
      </w:r>
      <w:r w:rsidR="000129E8" w:rsidRPr="00C1603D">
        <w:rPr>
          <w:i/>
        </w:rPr>
        <w:t xml:space="preserve"> </w:t>
      </w:r>
      <w:r w:rsidRPr="00C1603D">
        <w:rPr>
          <w:i/>
        </w:rPr>
        <w:t>Hepatol</w:t>
      </w:r>
      <w:r w:rsidRPr="00C1603D">
        <w:t xml:space="preserve"> 1998;</w:t>
      </w:r>
      <w:r w:rsidRPr="00C1603D">
        <w:rPr>
          <w:b/>
        </w:rPr>
        <w:t>10</w:t>
      </w:r>
      <w:r w:rsidRPr="00C1603D">
        <w:t>:919</w:t>
      </w:r>
      <w:r w:rsidR="000129E8" w:rsidRPr="00C1603D">
        <w:t>–</w:t>
      </w:r>
      <w:r w:rsidRPr="00C1603D">
        <w:t>25.</w:t>
      </w:r>
    </w:p>
    <w:p w14:paraId="58BA46A8" w14:textId="57E19253" w:rsidR="00EF77DB" w:rsidRPr="00C1603D" w:rsidRDefault="00EF77DB" w:rsidP="00EF77DB">
      <w:pPr>
        <w:pStyle w:val="65ReferencesTextstylesTextstyles"/>
      </w:pPr>
      <w:r w:rsidRPr="00C1603D">
        <w:t>158.</w:t>
      </w:r>
      <w:r w:rsidRPr="00C1603D">
        <w:tab/>
      </w:r>
      <w:proofErr w:type="spellStart"/>
      <w:r w:rsidRPr="00C1603D">
        <w:t>Jarmi</w:t>
      </w:r>
      <w:proofErr w:type="spellEnd"/>
      <w:r w:rsidRPr="00C1603D">
        <w:t xml:space="preserve"> V, </w:t>
      </w:r>
      <w:proofErr w:type="spellStart"/>
      <w:r w:rsidRPr="00C1603D">
        <w:t>Cejas</w:t>
      </w:r>
      <w:proofErr w:type="spellEnd"/>
      <w:r w:rsidRPr="00C1603D">
        <w:t xml:space="preserve"> N, </w:t>
      </w:r>
      <w:proofErr w:type="spellStart"/>
      <w:r w:rsidRPr="00C1603D">
        <w:t>Kiener</w:t>
      </w:r>
      <w:proofErr w:type="spellEnd"/>
      <w:r w:rsidRPr="00C1603D">
        <w:t xml:space="preserve"> O, de Elias R, </w:t>
      </w:r>
      <w:proofErr w:type="spellStart"/>
      <w:r w:rsidRPr="00C1603D">
        <w:t>Balzola</w:t>
      </w:r>
      <w:proofErr w:type="spellEnd"/>
      <w:r w:rsidRPr="00C1603D">
        <w:t xml:space="preserve"> S, Cordoba C, </w:t>
      </w:r>
      <w:r w:rsidRPr="00C1603D">
        <w:rPr>
          <w:i/>
        </w:rPr>
        <w:t>et</w:t>
      </w:r>
      <w:r w:rsidRPr="00C1603D">
        <w:t xml:space="preserve"> </w:t>
      </w:r>
      <w:r w:rsidRPr="00C1603D">
        <w:rPr>
          <w:i/>
        </w:rPr>
        <w:t>al</w:t>
      </w:r>
      <w:r w:rsidRPr="00C1603D">
        <w:t xml:space="preserve">. Diagnostic accuracy of antibodies to deamidated gliadin peptides. </w:t>
      </w:r>
      <w:r w:rsidR="00A03826" w:rsidRPr="00C1603D">
        <w:rPr>
          <w:i/>
        </w:rPr>
        <w:t xml:space="preserve">Acta </w:t>
      </w:r>
      <w:proofErr w:type="spellStart"/>
      <w:r w:rsidR="00A03826" w:rsidRPr="00C1603D">
        <w:rPr>
          <w:i/>
        </w:rPr>
        <w:t>Bioquim</w:t>
      </w:r>
      <w:proofErr w:type="spellEnd"/>
      <w:r w:rsidR="00A03826" w:rsidRPr="00C1603D">
        <w:rPr>
          <w:i/>
        </w:rPr>
        <w:t xml:space="preserve"> Clin </w:t>
      </w:r>
      <w:proofErr w:type="spellStart"/>
      <w:r w:rsidR="00A03826" w:rsidRPr="00C1603D">
        <w:rPr>
          <w:i/>
        </w:rPr>
        <w:t>Latinoam</w:t>
      </w:r>
      <w:proofErr w:type="spellEnd"/>
      <w:r w:rsidR="00A03826" w:rsidRPr="00C1603D">
        <w:rPr>
          <w:i/>
        </w:rPr>
        <w:t xml:space="preserve"> </w:t>
      </w:r>
      <w:r w:rsidRPr="00C1603D">
        <w:t>2010;</w:t>
      </w:r>
      <w:r w:rsidRPr="00C1603D">
        <w:rPr>
          <w:b/>
        </w:rPr>
        <w:t>44</w:t>
      </w:r>
      <w:r w:rsidRPr="00C1603D">
        <w:t>:47</w:t>
      </w:r>
      <w:r w:rsidR="00A03826" w:rsidRPr="00C1603D">
        <w:t>–</w:t>
      </w:r>
      <w:r w:rsidRPr="00C1603D">
        <w:t>52.</w:t>
      </w:r>
    </w:p>
    <w:p w14:paraId="7D358D25" w14:textId="77777777" w:rsidR="00EF77DB" w:rsidRPr="00C1603D" w:rsidRDefault="00EF77DB" w:rsidP="00EF77DB">
      <w:pPr>
        <w:pStyle w:val="65ReferencesTextstylesTextstyles"/>
      </w:pPr>
      <w:r w:rsidRPr="00C1603D">
        <w:t>159.</w:t>
      </w:r>
      <w:r w:rsidRPr="00C1603D">
        <w:tab/>
        <w:t xml:space="preserve">Kotze LM, </w:t>
      </w:r>
      <w:proofErr w:type="spellStart"/>
      <w:r w:rsidRPr="00C1603D">
        <w:t>Utiyama</w:t>
      </w:r>
      <w:proofErr w:type="spellEnd"/>
      <w:r w:rsidRPr="00C1603D">
        <w:t xml:space="preserve"> SR, </w:t>
      </w:r>
      <w:proofErr w:type="spellStart"/>
      <w:r w:rsidRPr="00C1603D">
        <w:t>Nisihara</w:t>
      </w:r>
      <w:proofErr w:type="spellEnd"/>
      <w:r w:rsidRPr="00C1603D">
        <w:t xml:space="preserve"> RM, de Camargo VF, </w:t>
      </w:r>
      <w:proofErr w:type="spellStart"/>
      <w:r w:rsidRPr="00C1603D">
        <w:t>Ioshii</w:t>
      </w:r>
      <w:proofErr w:type="spellEnd"/>
      <w:r w:rsidRPr="00C1603D">
        <w:t xml:space="preserve"> SO. IgA class anti-endomysial and anti-tissue transglutaminase antibodies in relation to duodenal mucosa changes in coeliac disease. </w:t>
      </w:r>
      <w:r w:rsidRPr="00C1603D">
        <w:rPr>
          <w:i/>
        </w:rPr>
        <w:t>Pathology</w:t>
      </w:r>
      <w:r w:rsidRPr="00C1603D">
        <w:t xml:space="preserve"> 2003;</w:t>
      </w:r>
      <w:r w:rsidRPr="00C1603D">
        <w:rPr>
          <w:b/>
        </w:rPr>
        <w:t>35</w:t>
      </w:r>
      <w:r w:rsidRPr="00C1603D">
        <w:t>:</w:t>
      </w:r>
      <w:r w:rsidRPr="00C1603D">
        <w:rPr>
          <w:color w:val="auto"/>
        </w:rPr>
        <w:t>56</w:t>
      </w:r>
      <w:r w:rsidRPr="00C1603D">
        <w:rPr>
          <w:color w:val="00B0F0"/>
        </w:rPr>
        <w:t>–</w:t>
      </w:r>
      <w:r w:rsidRPr="00C1603D">
        <w:rPr>
          <w:color w:val="auto"/>
        </w:rPr>
        <w:t>60</w:t>
      </w:r>
      <w:r w:rsidRPr="00C1603D">
        <w:t>.</w:t>
      </w:r>
    </w:p>
    <w:p w14:paraId="0A74B6C9" w14:textId="01C9F783" w:rsidR="00EF77DB" w:rsidRPr="00C1603D" w:rsidRDefault="00EF77DB" w:rsidP="00EF77DB">
      <w:pPr>
        <w:pStyle w:val="65ReferencesTextstylesTextstyles"/>
      </w:pPr>
      <w:r w:rsidRPr="00C1603D">
        <w:t>160.</w:t>
      </w:r>
      <w:r w:rsidRPr="00C1603D">
        <w:tab/>
        <w:t xml:space="preserve">Lau MS, Mooney PD, Rees MA, White WL, Marks LJ, </w:t>
      </w:r>
      <w:proofErr w:type="spellStart"/>
      <w:r w:rsidRPr="00C1603D">
        <w:t>Hadjivassiliou</w:t>
      </w:r>
      <w:proofErr w:type="spellEnd"/>
      <w:r w:rsidRPr="00C1603D">
        <w:t xml:space="preserve"> M, </w:t>
      </w:r>
      <w:r w:rsidRPr="00C1603D">
        <w:rPr>
          <w:i/>
        </w:rPr>
        <w:t>et</w:t>
      </w:r>
      <w:r w:rsidRPr="00C1603D">
        <w:t xml:space="preserve"> </w:t>
      </w:r>
      <w:r w:rsidRPr="00C1603D">
        <w:rPr>
          <w:i/>
        </w:rPr>
        <w:t>al</w:t>
      </w:r>
      <w:r w:rsidRPr="00C1603D">
        <w:t xml:space="preserve">. Gluten free diet adherence assessment using CDAT and BIAGI questionnaires in patients with coeliac disease. </w:t>
      </w:r>
      <w:r w:rsidRPr="00C1603D">
        <w:rPr>
          <w:i/>
        </w:rPr>
        <w:t>Gut</w:t>
      </w:r>
      <w:r w:rsidRPr="00C1603D">
        <w:t xml:space="preserve"> 2018;</w:t>
      </w:r>
      <w:r w:rsidRPr="00C1603D">
        <w:rPr>
          <w:b/>
        </w:rPr>
        <w:t>67</w:t>
      </w:r>
      <w:r w:rsidRPr="00C1603D">
        <w:t>:A160</w:t>
      </w:r>
      <w:r w:rsidR="00DB6489" w:rsidRPr="00C1603D">
        <w:t>–</w:t>
      </w:r>
      <w:r w:rsidRPr="00C1603D">
        <w:t>A1.</w:t>
      </w:r>
    </w:p>
    <w:p w14:paraId="3A94F7B0" w14:textId="77777777" w:rsidR="00EF77DB" w:rsidRPr="00C1603D" w:rsidRDefault="00EF77DB" w:rsidP="00EF77DB">
      <w:pPr>
        <w:pStyle w:val="65ReferencesTextstylesTextstyles"/>
      </w:pPr>
      <w:r w:rsidRPr="00C1603D">
        <w:t>161.</w:t>
      </w:r>
      <w:r w:rsidRPr="00C1603D">
        <w:tab/>
        <w:t xml:space="preserve">McMillan SA, Haughton DJ, </w:t>
      </w:r>
      <w:proofErr w:type="spellStart"/>
      <w:r w:rsidRPr="00C1603D">
        <w:t>Biggart</w:t>
      </w:r>
      <w:proofErr w:type="spellEnd"/>
      <w:r w:rsidRPr="00C1603D">
        <w:t xml:space="preserve"> JD, Edgar JD, Porter KG, McNeill TA. Predictive value for coeliac disease of antibodies to gliadin, endomysium, and jejunum in patients attending for jejunal biopsy. </w:t>
      </w:r>
      <w:r w:rsidRPr="00C1603D">
        <w:rPr>
          <w:i/>
        </w:rPr>
        <w:t>BMJ</w:t>
      </w:r>
      <w:r w:rsidRPr="00C1603D">
        <w:t xml:space="preserve"> 1991;</w:t>
      </w:r>
      <w:r w:rsidRPr="00C1603D">
        <w:rPr>
          <w:b/>
        </w:rPr>
        <w:t>303</w:t>
      </w:r>
      <w:r w:rsidRPr="00C1603D">
        <w:t>:</w:t>
      </w:r>
      <w:r w:rsidRPr="00C1603D">
        <w:rPr>
          <w:color w:val="auto"/>
        </w:rPr>
        <w:t>1163</w:t>
      </w:r>
      <w:r w:rsidRPr="00C1603D">
        <w:rPr>
          <w:color w:val="00B0F0"/>
        </w:rPr>
        <w:t>–</w:t>
      </w:r>
      <w:r w:rsidRPr="00C1603D">
        <w:rPr>
          <w:color w:val="auto"/>
        </w:rPr>
        <w:t>5</w:t>
      </w:r>
      <w:r w:rsidRPr="00C1603D">
        <w:t>.</w:t>
      </w:r>
    </w:p>
    <w:p w14:paraId="7FEEFD64" w14:textId="77777777" w:rsidR="00EF77DB" w:rsidRPr="00C1603D" w:rsidRDefault="00EF77DB" w:rsidP="00EF77DB">
      <w:pPr>
        <w:pStyle w:val="65ReferencesTextstylesTextstyles"/>
      </w:pPr>
      <w:r w:rsidRPr="00C1603D">
        <w:t>162.</w:t>
      </w:r>
      <w:r w:rsidRPr="00C1603D">
        <w:tab/>
        <w:t xml:space="preserve">Mooney PD, </w:t>
      </w:r>
      <w:proofErr w:type="spellStart"/>
      <w:r w:rsidRPr="00C1603D">
        <w:t>Kurien</w:t>
      </w:r>
      <w:proofErr w:type="spellEnd"/>
      <w:r w:rsidRPr="00C1603D">
        <w:t xml:space="preserve"> M, Evans KE, </w:t>
      </w:r>
      <w:proofErr w:type="spellStart"/>
      <w:r w:rsidRPr="00C1603D">
        <w:t>Chalkiadakis</w:t>
      </w:r>
      <w:proofErr w:type="spellEnd"/>
      <w:r w:rsidRPr="00C1603D">
        <w:t xml:space="preserve"> I, Hale MF, Kannan MZ, </w:t>
      </w:r>
      <w:r w:rsidRPr="00C1603D">
        <w:rPr>
          <w:i/>
        </w:rPr>
        <w:t>et al</w:t>
      </w:r>
      <w:r w:rsidRPr="00C1603D">
        <w:t xml:space="preserve">. Point-of-care testing for celiac disease has a low sensitivity in endoscopy. </w:t>
      </w:r>
      <w:proofErr w:type="spellStart"/>
      <w:r w:rsidRPr="00C1603D">
        <w:rPr>
          <w:i/>
        </w:rPr>
        <w:t>Gastrointest</w:t>
      </w:r>
      <w:proofErr w:type="spellEnd"/>
      <w:r w:rsidRPr="00C1603D">
        <w:rPr>
          <w:i/>
        </w:rPr>
        <w:t xml:space="preserve"> </w:t>
      </w:r>
      <w:proofErr w:type="spellStart"/>
      <w:r w:rsidRPr="00C1603D">
        <w:rPr>
          <w:i/>
        </w:rPr>
        <w:t>Endosc</w:t>
      </w:r>
      <w:proofErr w:type="spellEnd"/>
      <w:r w:rsidRPr="00C1603D">
        <w:t xml:space="preserve"> 2014;</w:t>
      </w:r>
      <w:r w:rsidRPr="00C1603D">
        <w:rPr>
          <w:b/>
        </w:rPr>
        <w:t>80</w:t>
      </w:r>
      <w:r w:rsidRPr="00C1603D">
        <w:t>:</w:t>
      </w:r>
      <w:r w:rsidRPr="00C1603D">
        <w:rPr>
          <w:color w:val="auto"/>
        </w:rPr>
        <w:t>456</w:t>
      </w:r>
      <w:r w:rsidRPr="00C1603D">
        <w:rPr>
          <w:color w:val="00B0F0"/>
        </w:rPr>
        <w:t>–</w:t>
      </w:r>
      <w:r w:rsidRPr="00C1603D">
        <w:rPr>
          <w:color w:val="auto"/>
        </w:rPr>
        <w:t>62</w:t>
      </w:r>
      <w:r w:rsidRPr="00C1603D">
        <w:t>. https://doi.org/10.1016/j.gie.2014.02.009</w:t>
      </w:r>
    </w:p>
    <w:p w14:paraId="0E7BD918" w14:textId="562CCE77" w:rsidR="00EF77DB" w:rsidRPr="00C1603D" w:rsidRDefault="00EF77DB" w:rsidP="00EF77DB">
      <w:pPr>
        <w:pStyle w:val="65ReferencesTextstylesTextstyles"/>
      </w:pPr>
      <w:r w:rsidRPr="00C1603D">
        <w:t>163.</w:t>
      </w:r>
      <w:r w:rsidRPr="00C1603D">
        <w:tab/>
      </w:r>
      <w:proofErr w:type="spellStart"/>
      <w:r w:rsidRPr="00C1603D">
        <w:t>Valdimarsson</w:t>
      </w:r>
      <w:proofErr w:type="spellEnd"/>
      <w:r w:rsidRPr="00C1603D">
        <w:t xml:space="preserve"> T, Franzen L, </w:t>
      </w:r>
      <w:proofErr w:type="spellStart"/>
      <w:r w:rsidRPr="00C1603D">
        <w:t>Grodzinsky</w:t>
      </w:r>
      <w:proofErr w:type="spellEnd"/>
      <w:r w:rsidRPr="00C1603D">
        <w:t xml:space="preserve"> E, </w:t>
      </w:r>
      <w:proofErr w:type="spellStart"/>
      <w:r w:rsidRPr="00C1603D">
        <w:t>Skogh</w:t>
      </w:r>
      <w:proofErr w:type="spellEnd"/>
      <w:r w:rsidRPr="00C1603D">
        <w:t xml:space="preserve"> T, </w:t>
      </w:r>
      <w:proofErr w:type="spellStart"/>
      <w:r w:rsidRPr="00C1603D">
        <w:t>Ström</w:t>
      </w:r>
      <w:proofErr w:type="spellEnd"/>
      <w:r w:rsidRPr="00C1603D">
        <w:t xml:space="preserve"> M. Is small bowel biopsy necessary in adults with suspected celiac disease and IgA anti-endomysium antibodies? </w:t>
      </w:r>
      <w:r w:rsidR="00DB6489" w:rsidRPr="00C1603D">
        <w:rPr>
          <w:i/>
        </w:rPr>
        <w:t>Dig Dis Sci</w:t>
      </w:r>
      <w:r w:rsidRPr="00C1603D">
        <w:t xml:space="preserve"> 1996;</w:t>
      </w:r>
      <w:r w:rsidRPr="00C1603D">
        <w:rPr>
          <w:b/>
        </w:rPr>
        <w:t>41</w:t>
      </w:r>
      <w:r w:rsidRPr="00C1603D">
        <w:t>:83</w:t>
      </w:r>
      <w:r w:rsidR="00DB6489" w:rsidRPr="00C1603D">
        <w:rPr>
          <w:lang w:val="en-IE"/>
        </w:rPr>
        <w:t>–</w:t>
      </w:r>
      <w:r w:rsidRPr="00C1603D">
        <w:t>7.</w:t>
      </w:r>
    </w:p>
    <w:p w14:paraId="4044399F" w14:textId="77777777" w:rsidR="00EF77DB" w:rsidRPr="00C1603D" w:rsidRDefault="00EF77DB" w:rsidP="00EF77DB">
      <w:pPr>
        <w:pStyle w:val="65ReferencesTextstylesTextstyles"/>
      </w:pPr>
      <w:r w:rsidRPr="00C1603D">
        <w:t>164.</w:t>
      </w:r>
      <w:r w:rsidRPr="00C1603D">
        <w:tab/>
        <w:t xml:space="preserve">Vogelsang H, </w:t>
      </w:r>
      <w:proofErr w:type="spellStart"/>
      <w:r w:rsidRPr="00C1603D">
        <w:t>Genser</w:t>
      </w:r>
      <w:proofErr w:type="spellEnd"/>
      <w:r w:rsidRPr="00C1603D">
        <w:t xml:space="preserve"> D, Wyatt J, Lochs H, </w:t>
      </w:r>
      <w:proofErr w:type="spellStart"/>
      <w:r w:rsidRPr="00C1603D">
        <w:t>Ferenci</w:t>
      </w:r>
      <w:proofErr w:type="spellEnd"/>
      <w:r w:rsidRPr="00C1603D">
        <w:t xml:space="preserve"> P, </w:t>
      </w:r>
      <w:proofErr w:type="spellStart"/>
      <w:r w:rsidRPr="00C1603D">
        <w:t>Granditsch</w:t>
      </w:r>
      <w:proofErr w:type="spellEnd"/>
      <w:r w:rsidRPr="00C1603D">
        <w:t xml:space="preserve"> G, Penner E. Screening for celiac disease: a prospective study on the value of </w:t>
      </w:r>
      <w:proofErr w:type="spellStart"/>
      <w:r w:rsidRPr="00C1603D">
        <w:t>noninvasive</w:t>
      </w:r>
      <w:proofErr w:type="spellEnd"/>
      <w:r w:rsidRPr="00C1603D">
        <w:t xml:space="preserve"> tests. </w:t>
      </w:r>
      <w:r w:rsidRPr="00C1603D">
        <w:rPr>
          <w:i/>
        </w:rPr>
        <w:t>Am J Gastroenterol</w:t>
      </w:r>
      <w:r w:rsidRPr="00C1603D">
        <w:t xml:space="preserve"> 1995;</w:t>
      </w:r>
      <w:r w:rsidRPr="00C1603D">
        <w:rPr>
          <w:b/>
        </w:rPr>
        <w:t>90</w:t>
      </w:r>
      <w:r w:rsidRPr="00C1603D">
        <w:t>:</w:t>
      </w:r>
      <w:r w:rsidRPr="00C1603D">
        <w:rPr>
          <w:color w:val="auto"/>
        </w:rPr>
        <w:t>394</w:t>
      </w:r>
      <w:r w:rsidRPr="00C1603D">
        <w:rPr>
          <w:color w:val="00B0F0"/>
        </w:rPr>
        <w:t>–</w:t>
      </w:r>
      <w:r w:rsidRPr="00C1603D">
        <w:rPr>
          <w:color w:val="auto"/>
        </w:rPr>
        <w:t>8</w:t>
      </w:r>
      <w:r w:rsidRPr="00C1603D">
        <w:t>.</w:t>
      </w:r>
    </w:p>
    <w:p w14:paraId="146362AE" w14:textId="77777777" w:rsidR="00EF77DB" w:rsidRPr="00C1603D" w:rsidRDefault="3CDEEDA7" w:rsidP="00EF77DB">
      <w:pPr>
        <w:pStyle w:val="65ReferencesTextstylesTextstyles"/>
      </w:pPr>
      <w:commentRangeStart w:id="510"/>
      <w:commentRangeStart w:id="511"/>
      <w:r w:rsidRPr="00C1603D">
        <w:t>165.</w:t>
      </w:r>
      <w:r w:rsidR="00EF77DB" w:rsidRPr="00C1603D">
        <w:tab/>
      </w:r>
      <w:r w:rsidRPr="00C1603D">
        <w:t xml:space="preserve">Bhatnagar S, Gupta SD, Mathur M, Phillips AD, Kumar R, </w:t>
      </w:r>
      <w:proofErr w:type="spellStart"/>
      <w:r w:rsidRPr="00C1603D">
        <w:t>Knutton</w:t>
      </w:r>
      <w:proofErr w:type="spellEnd"/>
      <w:r w:rsidRPr="00C1603D">
        <w:t xml:space="preserve"> S, </w:t>
      </w:r>
      <w:r w:rsidRPr="00C1603D">
        <w:rPr>
          <w:i/>
          <w:iCs/>
        </w:rPr>
        <w:t>et al</w:t>
      </w:r>
      <w:r w:rsidRPr="00C1603D">
        <w:t xml:space="preserve">. Celiac disease with mild to moderate histologic changes is a common cause of chronic </w:t>
      </w:r>
      <w:proofErr w:type="spellStart"/>
      <w:r w:rsidRPr="00C1603D">
        <w:t>diarrhea</w:t>
      </w:r>
      <w:proofErr w:type="spellEnd"/>
      <w:r w:rsidRPr="00C1603D">
        <w:t xml:space="preserve"> in Indian children. </w:t>
      </w:r>
      <w:r w:rsidRPr="00C1603D">
        <w:rPr>
          <w:i/>
          <w:iCs/>
        </w:rPr>
        <w:t xml:space="preserve">J </w:t>
      </w:r>
      <w:proofErr w:type="spellStart"/>
      <w:r w:rsidRPr="00C1603D">
        <w:rPr>
          <w:i/>
          <w:iCs/>
        </w:rPr>
        <w:t>Pediatr</w:t>
      </w:r>
      <w:proofErr w:type="spellEnd"/>
      <w:r w:rsidRPr="00C1603D">
        <w:rPr>
          <w:i/>
          <w:iCs/>
        </w:rPr>
        <w:t xml:space="preserve"> Gastroenterol </w:t>
      </w:r>
      <w:proofErr w:type="spellStart"/>
      <w:r w:rsidRPr="00C1603D">
        <w:rPr>
          <w:i/>
          <w:iCs/>
        </w:rPr>
        <w:t>Nutr</w:t>
      </w:r>
      <w:proofErr w:type="spellEnd"/>
      <w:r w:rsidRPr="00C1603D">
        <w:t xml:space="preserve"> 2005;</w:t>
      </w:r>
      <w:r w:rsidRPr="00C1603D">
        <w:rPr>
          <w:b/>
          <w:bCs/>
        </w:rPr>
        <w:t>41</w:t>
      </w:r>
      <w:r w:rsidRPr="00C1603D">
        <w:t>:</w:t>
      </w:r>
      <w:r w:rsidRPr="00C1603D">
        <w:rPr>
          <w:color w:val="auto"/>
        </w:rPr>
        <w:t>204</w:t>
      </w:r>
      <w:r w:rsidRPr="00C1603D">
        <w:rPr>
          <w:color w:val="00B0F0"/>
        </w:rPr>
        <w:t>–</w:t>
      </w:r>
      <w:r w:rsidRPr="00C1603D">
        <w:rPr>
          <w:color w:val="auto"/>
        </w:rPr>
        <w:t>9</w:t>
      </w:r>
      <w:r w:rsidRPr="00C1603D">
        <w:t>.</w:t>
      </w:r>
      <w:commentRangeEnd w:id="510"/>
      <w:r w:rsidR="00EF77DB" w:rsidRPr="00C1603D">
        <w:commentReference w:id="510"/>
      </w:r>
      <w:commentRangeEnd w:id="511"/>
      <w:r w:rsidR="00EF77DB" w:rsidRPr="00C1603D">
        <w:commentReference w:id="511"/>
      </w:r>
    </w:p>
    <w:p w14:paraId="43CD5F7D" w14:textId="57488BEC" w:rsidR="00EF77DB" w:rsidRPr="00C1603D" w:rsidRDefault="43B69CA3" w:rsidP="00EF77DB">
      <w:pPr>
        <w:pStyle w:val="65ReferencesTextstylesTextstyles"/>
      </w:pPr>
      <w:r w:rsidRPr="00C1603D">
        <w:t>166.</w:t>
      </w:r>
      <w:r w:rsidR="00EF77DB" w:rsidRPr="00C1603D">
        <w:tab/>
      </w:r>
      <w:commentRangeStart w:id="512"/>
      <w:commentRangeStart w:id="513"/>
      <w:proofErr w:type="spellStart"/>
      <w:r w:rsidRPr="00C1603D">
        <w:t>Bürgin</w:t>
      </w:r>
      <w:proofErr w:type="spellEnd"/>
      <w:r w:rsidRPr="00C1603D">
        <w:t xml:space="preserve">-Wolff A, Gaze H, </w:t>
      </w:r>
      <w:proofErr w:type="spellStart"/>
      <w:r w:rsidRPr="00C1603D">
        <w:t>Hadziselimovic</w:t>
      </w:r>
      <w:proofErr w:type="spellEnd"/>
      <w:r w:rsidRPr="00C1603D">
        <w:t xml:space="preserve"> F, </w:t>
      </w:r>
      <w:proofErr w:type="spellStart"/>
      <w:r w:rsidRPr="00C1603D">
        <w:t>Lentze</w:t>
      </w:r>
      <w:proofErr w:type="spellEnd"/>
      <w:r w:rsidRPr="00C1603D">
        <w:t xml:space="preserve"> M, </w:t>
      </w:r>
      <w:proofErr w:type="spellStart"/>
      <w:r w:rsidRPr="00C1603D">
        <w:t>Nusslé</w:t>
      </w:r>
      <w:proofErr w:type="spellEnd"/>
      <w:r w:rsidRPr="00C1603D">
        <w:t xml:space="preserve"> D. The Diagnostic </w:t>
      </w:r>
      <w:r w:rsidRPr="00C1603D">
        <w:lastRenderedPageBreak/>
        <w:t xml:space="preserve">Significance of Gliadin and Endomysium Antibodies in Childhood Coeliac Disease. In </w:t>
      </w:r>
      <w:proofErr w:type="spellStart"/>
      <w:r w:rsidRPr="00C1603D">
        <w:t>Hadziselimovic</w:t>
      </w:r>
      <w:proofErr w:type="spellEnd"/>
      <w:r w:rsidRPr="00C1603D">
        <w:t xml:space="preserve"> F, Herzog B, </w:t>
      </w:r>
      <w:proofErr w:type="spellStart"/>
      <w:r w:rsidRPr="00C1603D">
        <w:t>Bürgin</w:t>
      </w:r>
      <w:proofErr w:type="spellEnd"/>
      <w:r w:rsidRPr="00C1603D">
        <w:t>-Wolff A, editors.</w:t>
      </w:r>
      <w:r w:rsidRPr="00C1603D">
        <w:rPr>
          <w:i/>
          <w:iCs/>
        </w:rPr>
        <w:t xml:space="preserve"> Inflammatory</w:t>
      </w:r>
      <w:r w:rsidRPr="00C1603D">
        <w:t xml:space="preserve"> </w:t>
      </w:r>
      <w:r w:rsidRPr="00C1603D">
        <w:rPr>
          <w:i/>
          <w:iCs/>
        </w:rPr>
        <w:t>Bowel</w:t>
      </w:r>
      <w:r w:rsidRPr="00C1603D">
        <w:t xml:space="preserve"> </w:t>
      </w:r>
      <w:r w:rsidRPr="00C1603D">
        <w:rPr>
          <w:i/>
          <w:iCs/>
        </w:rPr>
        <w:t>Disease</w:t>
      </w:r>
      <w:r w:rsidRPr="00C1603D">
        <w:t xml:space="preserve"> </w:t>
      </w:r>
      <w:r w:rsidRPr="00C1603D">
        <w:rPr>
          <w:i/>
          <w:iCs/>
        </w:rPr>
        <w:t>and</w:t>
      </w:r>
      <w:r w:rsidRPr="00C1603D">
        <w:t xml:space="preserve"> </w:t>
      </w:r>
      <w:r w:rsidRPr="00C1603D">
        <w:rPr>
          <w:i/>
          <w:iCs/>
        </w:rPr>
        <w:t>Coeliac</w:t>
      </w:r>
      <w:r w:rsidRPr="00C1603D">
        <w:t xml:space="preserve"> </w:t>
      </w:r>
      <w:r w:rsidRPr="00C1603D">
        <w:rPr>
          <w:i/>
          <w:iCs/>
        </w:rPr>
        <w:t>Disease</w:t>
      </w:r>
      <w:r w:rsidRPr="00C1603D">
        <w:t xml:space="preserve"> </w:t>
      </w:r>
      <w:r w:rsidRPr="00C1603D">
        <w:rPr>
          <w:i/>
          <w:iCs/>
        </w:rPr>
        <w:t>in</w:t>
      </w:r>
      <w:r w:rsidRPr="00C1603D">
        <w:t xml:space="preserve"> </w:t>
      </w:r>
      <w:r w:rsidRPr="00C1603D">
        <w:rPr>
          <w:i/>
          <w:iCs/>
        </w:rPr>
        <w:t>Children</w:t>
      </w:r>
      <w:r w:rsidRPr="00C1603D">
        <w:t xml:space="preserve">. </w:t>
      </w:r>
      <w:r w:rsidR="00673810" w:rsidRPr="00C1603D">
        <w:t xml:space="preserve">Dordrecht: </w:t>
      </w:r>
      <w:r w:rsidRPr="00C1603D">
        <w:t>Springer; 1990. pp.</w:t>
      </w:r>
      <w:r w:rsidRPr="00C1603D">
        <w:rPr>
          <w:lang w:val="en-IE"/>
        </w:rPr>
        <w:t xml:space="preserve"> </w:t>
      </w:r>
      <w:r w:rsidRPr="00C1603D">
        <w:t>177–87.</w:t>
      </w:r>
      <w:commentRangeEnd w:id="512"/>
      <w:r w:rsidR="00EF77DB" w:rsidRPr="00C1603D">
        <w:commentReference w:id="512"/>
      </w:r>
      <w:commentRangeEnd w:id="513"/>
      <w:r w:rsidR="00EF77DB" w:rsidRPr="00C1603D">
        <w:commentReference w:id="513"/>
      </w:r>
    </w:p>
    <w:p w14:paraId="38D513AE" w14:textId="3B1C4DD4" w:rsidR="00EF77DB" w:rsidRPr="00C1603D" w:rsidRDefault="00EF77DB" w:rsidP="00EF77DB">
      <w:pPr>
        <w:pStyle w:val="65ReferencesTextstylesTextstyles"/>
      </w:pPr>
      <w:r w:rsidRPr="00C1603D">
        <w:t>167.</w:t>
      </w:r>
      <w:r w:rsidRPr="00C1603D">
        <w:tab/>
      </w:r>
      <w:proofErr w:type="spellStart"/>
      <w:r w:rsidRPr="00C1603D">
        <w:t>Camarero</w:t>
      </w:r>
      <w:proofErr w:type="spellEnd"/>
      <w:r w:rsidRPr="00C1603D">
        <w:t xml:space="preserve"> C, Roldan B, Sebastian M, Barrio A, Alvarez I, </w:t>
      </w:r>
      <w:proofErr w:type="spellStart"/>
      <w:r w:rsidRPr="00C1603D">
        <w:t>Eiras</w:t>
      </w:r>
      <w:proofErr w:type="spellEnd"/>
      <w:r w:rsidRPr="00C1603D">
        <w:t xml:space="preserve"> P, </w:t>
      </w:r>
      <w:r w:rsidRPr="00C1603D">
        <w:rPr>
          <w:i/>
        </w:rPr>
        <w:t>et</w:t>
      </w:r>
      <w:r w:rsidRPr="00C1603D">
        <w:t xml:space="preserve"> </w:t>
      </w:r>
      <w:r w:rsidRPr="00C1603D">
        <w:rPr>
          <w:i/>
        </w:rPr>
        <w:t>al</w:t>
      </w:r>
      <w:r w:rsidRPr="00C1603D">
        <w:t xml:space="preserve">. Predictive value of antigliadin, </w:t>
      </w:r>
      <w:proofErr w:type="spellStart"/>
      <w:r w:rsidRPr="00C1603D">
        <w:t>antireticulin</w:t>
      </w:r>
      <w:proofErr w:type="spellEnd"/>
      <w:r w:rsidRPr="00C1603D">
        <w:t xml:space="preserve">, and </w:t>
      </w:r>
      <w:proofErr w:type="spellStart"/>
      <w:r w:rsidRPr="00C1603D">
        <w:t>antiendomysium</w:t>
      </w:r>
      <w:proofErr w:type="spellEnd"/>
      <w:r w:rsidRPr="00C1603D">
        <w:t xml:space="preserve"> antibodies in the diagnosis of gluten-associated enteropathy. </w:t>
      </w:r>
      <w:r w:rsidR="0057531C" w:rsidRPr="00C1603D">
        <w:rPr>
          <w:i/>
        </w:rPr>
        <w:t xml:space="preserve">Rev </w:t>
      </w:r>
      <w:proofErr w:type="spellStart"/>
      <w:r w:rsidR="0057531C" w:rsidRPr="00C1603D">
        <w:rPr>
          <w:i/>
        </w:rPr>
        <w:t>Esp</w:t>
      </w:r>
      <w:proofErr w:type="spellEnd"/>
      <w:r w:rsidRPr="00C1603D">
        <w:t xml:space="preserve"> </w:t>
      </w:r>
      <w:proofErr w:type="spellStart"/>
      <w:r w:rsidRPr="00C1603D">
        <w:rPr>
          <w:i/>
        </w:rPr>
        <w:t>Pediatr</w:t>
      </w:r>
      <w:proofErr w:type="spellEnd"/>
      <w:r w:rsidRPr="00C1603D">
        <w:t xml:space="preserve"> 1997;</w:t>
      </w:r>
      <w:r w:rsidRPr="00C1603D">
        <w:rPr>
          <w:b/>
        </w:rPr>
        <w:t>53</w:t>
      </w:r>
      <w:r w:rsidRPr="00C1603D">
        <w:t>:309</w:t>
      </w:r>
      <w:r w:rsidR="0057531C" w:rsidRPr="00C1603D">
        <w:t>–</w:t>
      </w:r>
      <w:r w:rsidRPr="00C1603D">
        <w:t>14.</w:t>
      </w:r>
    </w:p>
    <w:p w14:paraId="6160C8CF" w14:textId="77777777" w:rsidR="00EF77DB" w:rsidRPr="00C1603D" w:rsidRDefault="00EF77DB" w:rsidP="00EF77DB">
      <w:pPr>
        <w:pStyle w:val="65ReferencesTextstylesTextstyles"/>
      </w:pPr>
      <w:r w:rsidRPr="00C1603D">
        <w:t>168.</w:t>
      </w:r>
      <w:r w:rsidRPr="00C1603D">
        <w:tab/>
        <w:t xml:space="preserve">Del Rosario MA, Fitzgerald JF, Chong SK, </w:t>
      </w:r>
      <w:proofErr w:type="spellStart"/>
      <w:r w:rsidRPr="00C1603D">
        <w:t>Croffie</w:t>
      </w:r>
      <w:proofErr w:type="spellEnd"/>
      <w:r w:rsidRPr="00C1603D">
        <w:t xml:space="preserve"> JM, Gupta SK. Further studies of anti-endomysium and anti-gliadin antibodies in patients with suspected celiac disease.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1998;</w:t>
      </w:r>
      <w:r w:rsidRPr="00C1603D">
        <w:rPr>
          <w:b/>
        </w:rPr>
        <w:t>27</w:t>
      </w:r>
      <w:r w:rsidRPr="00C1603D">
        <w:t>:</w:t>
      </w:r>
      <w:r w:rsidRPr="00C1603D">
        <w:rPr>
          <w:color w:val="auto"/>
        </w:rPr>
        <w:t>191</w:t>
      </w:r>
      <w:r w:rsidRPr="00C1603D">
        <w:rPr>
          <w:color w:val="00B0F0"/>
        </w:rPr>
        <w:t>–</w:t>
      </w:r>
      <w:r w:rsidRPr="00C1603D">
        <w:rPr>
          <w:color w:val="auto"/>
        </w:rPr>
        <w:t>5</w:t>
      </w:r>
      <w:r w:rsidRPr="00C1603D">
        <w:t>. https://doi.org/10.1097/00005176-199808000-00012</w:t>
      </w:r>
    </w:p>
    <w:p w14:paraId="59049BCB" w14:textId="77777777" w:rsidR="00EF77DB" w:rsidRPr="00C1603D" w:rsidRDefault="00EF77DB" w:rsidP="00EF77DB">
      <w:pPr>
        <w:pStyle w:val="65ReferencesTextstylesTextstyles"/>
      </w:pPr>
      <w:r w:rsidRPr="00C1603D">
        <w:t>169.</w:t>
      </w:r>
      <w:r w:rsidRPr="00C1603D">
        <w:tab/>
        <w:t xml:space="preserve">Fernández E, </w:t>
      </w:r>
      <w:proofErr w:type="spellStart"/>
      <w:r w:rsidRPr="00C1603D">
        <w:t>Riestra</w:t>
      </w:r>
      <w:proofErr w:type="spellEnd"/>
      <w:r w:rsidRPr="00C1603D">
        <w:t xml:space="preserve"> S, Rodrigo L, Blanco C, López-Vázquez A, Fuentes D, </w:t>
      </w:r>
      <w:r w:rsidRPr="00C1603D">
        <w:rPr>
          <w:i/>
        </w:rPr>
        <w:t>et al</w:t>
      </w:r>
      <w:r w:rsidRPr="00C1603D">
        <w:t xml:space="preserve">. Comparison of six human anti-transglutaminase ELISA-tests in the diagnosis of celiac disease in the Saharawi population. </w:t>
      </w:r>
      <w:r w:rsidRPr="00C1603D">
        <w:rPr>
          <w:i/>
        </w:rPr>
        <w:t>World J Gastroenterol</w:t>
      </w:r>
      <w:r w:rsidRPr="00C1603D">
        <w:t xml:space="preserve"> 2005;</w:t>
      </w:r>
      <w:r w:rsidRPr="00C1603D">
        <w:rPr>
          <w:b/>
        </w:rPr>
        <w:t>11</w:t>
      </w:r>
      <w:r w:rsidRPr="00C1603D">
        <w:t>:</w:t>
      </w:r>
      <w:r w:rsidRPr="00C1603D">
        <w:rPr>
          <w:color w:val="auto"/>
        </w:rPr>
        <w:t>3762</w:t>
      </w:r>
      <w:r w:rsidRPr="00C1603D">
        <w:rPr>
          <w:color w:val="00B0F0"/>
        </w:rPr>
        <w:t>–</w:t>
      </w:r>
      <w:r w:rsidRPr="00C1603D">
        <w:rPr>
          <w:color w:val="auto"/>
        </w:rPr>
        <w:t>6</w:t>
      </w:r>
      <w:r w:rsidRPr="00C1603D">
        <w:t>.</w:t>
      </w:r>
    </w:p>
    <w:p w14:paraId="20D9987C" w14:textId="7F013331" w:rsidR="00EF77DB" w:rsidRPr="00C1603D" w:rsidRDefault="00EF77DB" w:rsidP="00EF77DB">
      <w:pPr>
        <w:pStyle w:val="65ReferencesTextstylesTextstyles"/>
      </w:pPr>
      <w:r w:rsidRPr="00C1603D">
        <w:t>170.</w:t>
      </w:r>
      <w:r w:rsidRPr="00C1603D">
        <w:tab/>
        <w:t xml:space="preserve">Gandolfi L, </w:t>
      </w:r>
      <w:proofErr w:type="spellStart"/>
      <w:r w:rsidRPr="00C1603D">
        <w:t>Catassi</w:t>
      </w:r>
      <w:proofErr w:type="spellEnd"/>
      <w:r w:rsidRPr="00C1603D">
        <w:t xml:space="preserve"> C, Garcia S, </w:t>
      </w:r>
      <w:proofErr w:type="spellStart"/>
      <w:r w:rsidRPr="00C1603D">
        <w:t>Modelli</w:t>
      </w:r>
      <w:proofErr w:type="spellEnd"/>
      <w:r w:rsidRPr="00C1603D">
        <w:t xml:space="preserve"> IC, Campos D, Jr, </w:t>
      </w:r>
      <w:proofErr w:type="spellStart"/>
      <w:r w:rsidRPr="00C1603D">
        <w:t>Pratesi</w:t>
      </w:r>
      <w:proofErr w:type="spellEnd"/>
      <w:r w:rsidRPr="00C1603D">
        <w:t xml:space="preserve"> R. </w:t>
      </w:r>
      <w:proofErr w:type="spellStart"/>
      <w:r w:rsidRPr="00C1603D">
        <w:t>Antiendomysial</w:t>
      </w:r>
      <w:proofErr w:type="spellEnd"/>
      <w:r w:rsidRPr="00C1603D">
        <w:t xml:space="preserve"> antibody test reliability in children with frequent </w:t>
      </w:r>
      <w:proofErr w:type="spellStart"/>
      <w:r w:rsidRPr="00C1603D">
        <w:t>diarrhea</w:t>
      </w:r>
      <w:proofErr w:type="spellEnd"/>
      <w:r w:rsidRPr="00C1603D">
        <w:t xml:space="preserve"> and malnutrition: is it celiac disease? </w:t>
      </w:r>
      <w:r w:rsidR="0057531C" w:rsidRPr="00C1603D">
        <w:rPr>
          <w:i/>
        </w:rPr>
        <w:t>J</w:t>
      </w:r>
      <w:r w:rsidRPr="00C1603D">
        <w:t xml:space="preserve"> </w:t>
      </w:r>
      <w:proofErr w:type="spellStart"/>
      <w:r w:rsidR="0057531C" w:rsidRPr="00C1603D">
        <w:rPr>
          <w:i/>
        </w:rPr>
        <w:t>Pediatr</w:t>
      </w:r>
      <w:proofErr w:type="spellEnd"/>
      <w:r w:rsidR="0057531C" w:rsidRPr="00C1603D">
        <w:t xml:space="preserve"> </w:t>
      </w:r>
      <w:r w:rsidR="0057531C" w:rsidRPr="00C1603D">
        <w:rPr>
          <w:i/>
        </w:rPr>
        <w:t xml:space="preserve">Gastroenterol </w:t>
      </w:r>
      <w:proofErr w:type="spellStart"/>
      <w:r w:rsidR="0057531C" w:rsidRPr="00C1603D">
        <w:rPr>
          <w:i/>
        </w:rPr>
        <w:t>Nutr</w:t>
      </w:r>
      <w:proofErr w:type="spellEnd"/>
      <w:r w:rsidR="0057531C" w:rsidRPr="00C1603D">
        <w:rPr>
          <w:i/>
        </w:rPr>
        <w:t xml:space="preserve"> </w:t>
      </w:r>
      <w:r w:rsidRPr="00C1603D">
        <w:t>2001;</w:t>
      </w:r>
      <w:r w:rsidRPr="00C1603D">
        <w:rPr>
          <w:b/>
        </w:rPr>
        <w:t>33</w:t>
      </w:r>
      <w:r w:rsidRPr="00C1603D">
        <w:t>:483</w:t>
      </w:r>
      <w:r w:rsidR="0057531C" w:rsidRPr="00C1603D">
        <w:t>–</w:t>
      </w:r>
      <w:r w:rsidRPr="00C1603D">
        <w:t>7.</w:t>
      </w:r>
    </w:p>
    <w:p w14:paraId="56BB8970" w14:textId="77777777" w:rsidR="00EF77DB" w:rsidRPr="00C1603D" w:rsidRDefault="00EF77DB" w:rsidP="00EF77DB">
      <w:pPr>
        <w:pStyle w:val="65ReferencesTextstylesTextstyles"/>
      </w:pPr>
      <w:r w:rsidRPr="00C1603D">
        <w:t>171.</w:t>
      </w:r>
      <w:r w:rsidRPr="00C1603D">
        <w:tab/>
      </w:r>
      <w:proofErr w:type="spellStart"/>
      <w:r w:rsidRPr="00C1603D">
        <w:t>Grodzinsky</w:t>
      </w:r>
      <w:proofErr w:type="spellEnd"/>
      <w:r w:rsidRPr="00C1603D">
        <w:t xml:space="preserve"> E, Jansson G, </w:t>
      </w:r>
      <w:proofErr w:type="spellStart"/>
      <w:r w:rsidRPr="00C1603D">
        <w:t>Skogh</w:t>
      </w:r>
      <w:proofErr w:type="spellEnd"/>
      <w:r w:rsidRPr="00C1603D">
        <w:t xml:space="preserve"> T, </w:t>
      </w:r>
      <w:proofErr w:type="spellStart"/>
      <w:r w:rsidRPr="00C1603D">
        <w:t>Stenhammar</w:t>
      </w:r>
      <w:proofErr w:type="spellEnd"/>
      <w:r w:rsidRPr="00C1603D">
        <w:t xml:space="preserve"> L, </w:t>
      </w:r>
      <w:proofErr w:type="spellStart"/>
      <w:r w:rsidRPr="00C1603D">
        <w:t>Fälth</w:t>
      </w:r>
      <w:proofErr w:type="spellEnd"/>
      <w:r w:rsidRPr="00C1603D">
        <w:t xml:space="preserve">-Magnusson K. Anti-endomysium and anti-gliadin antibodies as serological markers for coeliac disease in childhood: a clinical study to develop a practical routine. </w:t>
      </w:r>
      <w:r w:rsidRPr="00C1603D">
        <w:rPr>
          <w:i/>
        </w:rPr>
        <w:t xml:space="preserve">Acta </w:t>
      </w:r>
      <w:proofErr w:type="spellStart"/>
      <w:r w:rsidRPr="00C1603D">
        <w:rPr>
          <w:i/>
        </w:rPr>
        <w:t>Paediatr</w:t>
      </w:r>
      <w:proofErr w:type="spellEnd"/>
      <w:r w:rsidRPr="00C1603D">
        <w:t xml:space="preserve"> 1995;</w:t>
      </w:r>
      <w:r w:rsidRPr="00C1603D">
        <w:rPr>
          <w:b/>
        </w:rPr>
        <w:t>84</w:t>
      </w:r>
      <w:r w:rsidRPr="00C1603D">
        <w:t>:</w:t>
      </w:r>
      <w:r w:rsidRPr="00C1603D">
        <w:rPr>
          <w:color w:val="auto"/>
        </w:rPr>
        <w:t>294</w:t>
      </w:r>
      <w:r w:rsidRPr="00C1603D">
        <w:rPr>
          <w:color w:val="00B0F0"/>
        </w:rPr>
        <w:t>–</w:t>
      </w:r>
      <w:r w:rsidRPr="00C1603D">
        <w:rPr>
          <w:color w:val="auto"/>
        </w:rPr>
        <w:t>8</w:t>
      </w:r>
      <w:r w:rsidRPr="00C1603D">
        <w:t>. https://doi.org/10.1111/j.1651-2227.1995.tb13631.x</w:t>
      </w:r>
    </w:p>
    <w:p w14:paraId="739476F5" w14:textId="77777777" w:rsidR="00EF77DB" w:rsidRPr="00C1603D" w:rsidRDefault="00EF77DB" w:rsidP="00EF77DB">
      <w:pPr>
        <w:pStyle w:val="65ReferencesTextstylesTextstyles"/>
      </w:pPr>
      <w:r w:rsidRPr="00C1603D">
        <w:t>172.</w:t>
      </w:r>
      <w:r w:rsidRPr="00C1603D">
        <w:tab/>
        <w:t xml:space="preserve">Kotze LM, </w:t>
      </w:r>
      <w:proofErr w:type="spellStart"/>
      <w:r w:rsidRPr="00C1603D">
        <w:t>Utiyama</w:t>
      </w:r>
      <w:proofErr w:type="spellEnd"/>
      <w:r w:rsidRPr="00C1603D">
        <w:t xml:space="preserve"> SR, </w:t>
      </w:r>
      <w:proofErr w:type="spellStart"/>
      <w:r w:rsidRPr="00C1603D">
        <w:t>Nisihara</w:t>
      </w:r>
      <w:proofErr w:type="spellEnd"/>
      <w:r w:rsidRPr="00C1603D">
        <w:t xml:space="preserve"> RM, de Camargo VF, </w:t>
      </w:r>
      <w:proofErr w:type="spellStart"/>
      <w:r w:rsidRPr="00C1603D">
        <w:t>Ioshii</w:t>
      </w:r>
      <w:proofErr w:type="spellEnd"/>
      <w:r w:rsidRPr="00C1603D">
        <w:t xml:space="preserve"> SO. IgA class anti-endomysial and anti-tissue transglutaminase antibodies in relation to duodenal mucosa changes in coeliac disease. </w:t>
      </w:r>
      <w:r w:rsidRPr="00C1603D">
        <w:rPr>
          <w:i/>
        </w:rPr>
        <w:t>Pathology</w:t>
      </w:r>
      <w:r w:rsidRPr="00C1603D">
        <w:t xml:space="preserve"> 2003;</w:t>
      </w:r>
      <w:r w:rsidRPr="00C1603D">
        <w:rPr>
          <w:b/>
        </w:rPr>
        <w:t>35</w:t>
      </w:r>
      <w:r w:rsidRPr="00C1603D">
        <w:t>:</w:t>
      </w:r>
      <w:r w:rsidRPr="00C1603D">
        <w:rPr>
          <w:color w:val="auto"/>
        </w:rPr>
        <w:t>56</w:t>
      </w:r>
      <w:r w:rsidRPr="00C1603D">
        <w:rPr>
          <w:color w:val="00B0F0"/>
        </w:rPr>
        <w:t>–</w:t>
      </w:r>
      <w:r w:rsidRPr="00C1603D">
        <w:rPr>
          <w:color w:val="auto"/>
        </w:rPr>
        <w:t>60</w:t>
      </w:r>
      <w:r w:rsidRPr="00C1603D">
        <w:t>.</w:t>
      </w:r>
    </w:p>
    <w:p w14:paraId="21A49D13" w14:textId="77777777" w:rsidR="00EF77DB" w:rsidRPr="00C1603D" w:rsidRDefault="00EF77DB" w:rsidP="00EF77DB">
      <w:pPr>
        <w:pStyle w:val="65ReferencesTextstylesTextstyles"/>
      </w:pPr>
      <w:r w:rsidRPr="00C1603D">
        <w:t>173.</w:t>
      </w:r>
      <w:r w:rsidRPr="00C1603D">
        <w:tab/>
        <w:t xml:space="preserve">Lindquist BL, </w:t>
      </w:r>
      <w:proofErr w:type="spellStart"/>
      <w:r w:rsidRPr="00C1603D">
        <w:t>Rogozinski</w:t>
      </w:r>
      <w:proofErr w:type="spellEnd"/>
      <w:r w:rsidRPr="00C1603D">
        <w:t xml:space="preserve"> T, Moi H, Danielsson D, </w:t>
      </w:r>
      <w:proofErr w:type="spellStart"/>
      <w:r w:rsidRPr="00C1603D">
        <w:t>Olcén</w:t>
      </w:r>
      <w:proofErr w:type="spellEnd"/>
      <w:r w:rsidRPr="00C1603D">
        <w:t xml:space="preserve"> P. Endomysium and gliadin IgA antibodies in children with coeliac disease. </w:t>
      </w:r>
      <w:proofErr w:type="spellStart"/>
      <w:r w:rsidRPr="00C1603D">
        <w:rPr>
          <w:i/>
        </w:rPr>
        <w:t>Scand</w:t>
      </w:r>
      <w:proofErr w:type="spellEnd"/>
      <w:r w:rsidRPr="00C1603D">
        <w:rPr>
          <w:i/>
        </w:rPr>
        <w:t xml:space="preserve"> J Gastroenterol</w:t>
      </w:r>
      <w:r w:rsidRPr="00C1603D">
        <w:t xml:space="preserve"> 1994;</w:t>
      </w:r>
      <w:r w:rsidRPr="00C1603D">
        <w:rPr>
          <w:b/>
        </w:rPr>
        <w:t>29</w:t>
      </w:r>
      <w:r w:rsidRPr="00C1603D">
        <w:t>:</w:t>
      </w:r>
      <w:r w:rsidRPr="00C1603D">
        <w:rPr>
          <w:color w:val="auto"/>
        </w:rPr>
        <w:t>452</w:t>
      </w:r>
      <w:r w:rsidRPr="00C1603D">
        <w:rPr>
          <w:color w:val="00B0F0"/>
        </w:rPr>
        <w:t>–</w:t>
      </w:r>
      <w:r w:rsidRPr="00C1603D">
        <w:rPr>
          <w:color w:val="auto"/>
        </w:rPr>
        <w:t>6</w:t>
      </w:r>
      <w:r w:rsidRPr="00C1603D">
        <w:t>. https://doi.org/10.3109/00365529409096837</w:t>
      </w:r>
    </w:p>
    <w:p w14:paraId="432AB659" w14:textId="455AFE3A" w:rsidR="00EF77DB" w:rsidRPr="00C1603D" w:rsidRDefault="00EF77DB" w:rsidP="00EF77DB">
      <w:pPr>
        <w:pStyle w:val="65ReferencesTextstylesTextstyles"/>
      </w:pPr>
      <w:r w:rsidRPr="00C1603D">
        <w:t>174.</w:t>
      </w:r>
      <w:r w:rsidRPr="00C1603D">
        <w:tab/>
        <w:t xml:space="preserve">Mendez NI, </w:t>
      </w:r>
      <w:proofErr w:type="spellStart"/>
      <w:r w:rsidRPr="00C1603D">
        <w:t>Guastavino</w:t>
      </w:r>
      <w:proofErr w:type="spellEnd"/>
      <w:r w:rsidRPr="00C1603D">
        <w:t xml:space="preserve"> MA, </w:t>
      </w:r>
      <w:proofErr w:type="spellStart"/>
      <w:r w:rsidRPr="00C1603D">
        <w:t>Zacharzewski</w:t>
      </w:r>
      <w:proofErr w:type="spellEnd"/>
      <w:r w:rsidRPr="00C1603D">
        <w:t xml:space="preserve"> CL, Zapata PD, Sprang M. Autoantibodies: </w:t>
      </w:r>
      <w:r w:rsidR="0057531C" w:rsidRPr="00C1603D">
        <w:t xml:space="preserve">utility </w:t>
      </w:r>
      <w:r w:rsidRPr="00C1603D">
        <w:t xml:space="preserve">in coeliac disease. </w:t>
      </w:r>
      <w:r w:rsidR="0057531C" w:rsidRPr="00C1603D">
        <w:t>a</w:t>
      </w:r>
      <w:r w:rsidRPr="00C1603D">
        <w:t xml:space="preserve"> study in Misiones province. </w:t>
      </w:r>
      <w:r w:rsidR="0057531C" w:rsidRPr="00C1603D">
        <w:rPr>
          <w:i/>
        </w:rPr>
        <w:t xml:space="preserve">Acta </w:t>
      </w:r>
      <w:proofErr w:type="spellStart"/>
      <w:r w:rsidR="0057531C" w:rsidRPr="00C1603D">
        <w:rPr>
          <w:i/>
        </w:rPr>
        <w:t>Bioquim</w:t>
      </w:r>
      <w:proofErr w:type="spellEnd"/>
      <w:r w:rsidR="0057531C" w:rsidRPr="00C1603D">
        <w:rPr>
          <w:i/>
        </w:rPr>
        <w:t xml:space="preserve"> Clin </w:t>
      </w:r>
      <w:proofErr w:type="spellStart"/>
      <w:r w:rsidR="0057531C" w:rsidRPr="00C1603D">
        <w:rPr>
          <w:i/>
        </w:rPr>
        <w:t>Latinoam</w:t>
      </w:r>
      <w:proofErr w:type="spellEnd"/>
      <w:r w:rsidR="0057531C" w:rsidRPr="00C1603D">
        <w:rPr>
          <w:i/>
        </w:rPr>
        <w:t xml:space="preserve"> </w:t>
      </w:r>
      <w:r w:rsidRPr="00C1603D">
        <w:t>1998;</w:t>
      </w:r>
      <w:r w:rsidRPr="00C1603D">
        <w:rPr>
          <w:b/>
        </w:rPr>
        <w:t>32</w:t>
      </w:r>
      <w:r w:rsidRPr="00C1603D">
        <w:t>:55</w:t>
      </w:r>
      <w:r w:rsidR="0057531C" w:rsidRPr="00C1603D">
        <w:t>–</w:t>
      </w:r>
      <w:r w:rsidRPr="00C1603D">
        <w:t>61.</w:t>
      </w:r>
    </w:p>
    <w:p w14:paraId="58A24301" w14:textId="45DB6A52" w:rsidR="00EF77DB" w:rsidRPr="00C1603D" w:rsidRDefault="00EF77DB" w:rsidP="00EF77DB">
      <w:pPr>
        <w:pStyle w:val="65ReferencesTextstylesTextstyles"/>
      </w:pPr>
      <w:r w:rsidRPr="00C1603D">
        <w:t>175.</w:t>
      </w:r>
      <w:r w:rsidRPr="00C1603D">
        <w:tab/>
        <w:t xml:space="preserve">Russo PA, Chartrand LJ, Seidman E. Comparative analysis of serologic screening tests for the initial diagnosis of celiac disease. </w:t>
      </w:r>
      <w:proofErr w:type="spellStart"/>
      <w:r w:rsidRPr="00C1603D">
        <w:rPr>
          <w:i/>
        </w:rPr>
        <w:t>Pediatrics</w:t>
      </w:r>
      <w:proofErr w:type="spellEnd"/>
      <w:r w:rsidRPr="00C1603D">
        <w:t xml:space="preserve"> 1999;</w:t>
      </w:r>
      <w:r w:rsidRPr="00C1603D">
        <w:rPr>
          <w:b/>
        </w:rPr>
        <w:t>104</w:t>
      </w:r>
      <w:r w:rsidRPr="00C1603D">
        <w:t>:75</w:t>
      </w:r>
      <w:r w:rsidR="0057531C" w:rsidRPr="00C1603D">
        <w:t>–</w:t>
      </w:r>
      <w:r w:rsidRPr="00C1603D">
        <w:t>8.</w:t>
      </w:r>
    </w:p>
    <w:p w14:paraId="63F172ED" w14:textId="77777777" w:rsidR="00EF77DB" w:rsidRPr="00C1603D" w:rsidRDefault="00EF77DB" w:rsidP="00EF77DB">
      <w:pPr>
        <w:pStyle w:val="65ReferencesTextstylesTextstyles"/>
      </w:pPr>
      <w:r w:rsidRPr="00C1603D">
        <w:t>176.</w:t>
      </w:r>
      <w:r w:rsidRPr="00C1603D">
        <w:tab/>
        <w:t xml:space="preserve">Vargas Pérez ML, </w:t>
      </w:r>
      <w:proofErr w:type="spellStart"/>
      <w:r w:rsidRPr="00C1603D">
        <w:t>Melero</w:t>
      </w:r>
      <w:proofErr w:type="spellEnd"/>
      <w:r w:rsidRPr="00C1603D">
        <w:t xml:space="preserve"> Ruiz J, Fernández de </w:t>
      </w:r>
      <w:proofErr w:type="spellStart"/>
      <w:r w:rsidRPr="00C1603D">
        <w:t>Mera</w:t>
      </w:r>
      <w:proofErr w:type="spellEnd"/>
      <w:r w:rsidRPr="00C1603D">
        <w:t xml:space="preserve"> J, González </w:t>
      </w:r>
      <w:proofErr w:type="spellStart"/>
      <w:r w:rsidRPr="00C1603D">
        <w:t>Roiz</w:t>
      </w:r>
      <w:proofErr w:type="spellEnd"/>
      <w:r w:rsidRPr="00C1603D">
        <w:t xml:space="preserve"> C, Catalina Fernández I, Romero </w:t>
      </w:r>
      <w:proofErr w:type="spellStart"/>
      <w:r w:rsidRPr="00C1603D">
        <w:t>Albillos</w:t>
      </w:r>
      <w:proofErr w:type="spellEnd"/>
      <w:r w:rsidRPr="00C1603D">
        <w:t xml:space="preserve"> A. [Serological and genetic markers in the diagnosis and follow-up of coeliac disease.] </w:t>
      </w:r>
      <w:r w:rsidRPr="00C1603D">
        <w:rPr>
          <w:i/>
        </w:rPr>
        <w:t xml:space="preserve">An </w:t>
      </w:r>
      <w:proofErr w:type="spellStart"/>
      <w:r w:rsidRPr="00C1603D">
        <w:rPr>
          <w:i/>
        </w:rPr>
        <w:t>Pediatr</w:t>
      </w:r>
      <w:proofErr w:type="spellEnd"/>
      <w:r w:rsidRPr="00C1603D">
        <w:t xml:space="preserve"> 2005;</w:t>
      </w:r>
      <w:r w:rsidRPr="00C1603D">
        <w:rPr>
          <w:b/>
        </w:rPr>
        <w:t>62</w:t>
      </w:r>
      <w:r w:rsidRPr="00C1603D">
        <w:t>:</w:t>
      </w:r>
      <w:r w:rsidRPr="00C1603D">
        <w:rPr>
          <w:color w:val="auto"/>
        </w:rPr>
        <w:t>412</w:t>
      </w:r>
      <w:r w:rsidRPr="00C1603D">
        <w:rPr>
          <w:color w:val="00B0F0"/>
        </w:rPr>
        <w:t>–</w:t>
      </w:r>
      <w:r w:rsidRPr="00C1603D">
        <w:rPr>
          <w:color w:val="auto"/>
        </w:rPr>
        <w:t>19</w:t>
      </w:r>
      <w:r w:rsidRPr="00C1603D">
        <w:t>.</w:t>
      </w:r>
    </w:p>
    <w:p w14:paraId="40D2C7B6" w14:textId="77777777" w:rsidR="00EF77DB" w:rsidRPr="00C1603D" w:rsidRDefault="00EF77DB" w:rsidP="00EF77DB">
      <w:pPr>
        <w:pStyle w:val="65ReferencesTextstylesTextstyles"/>
      </w:pPr>
      <w:r w:rsidRPr="00C1603D">
        <w:t>177.</w:t>
      </w:r>
      <w:r w:rsidRPr="00C1603D">
        <w:tab/>
      </w:r>
      <w:proofErr w:type="spellStart"/>
      <w:r w:rsidRPr="00C1603D">
        <w:t>Wildfang</w:t>
      </w:r>
      <w:proofErr w:type="spellEnd"/>
      <w:r w:rsidRPr="00C1603D">
        <w:t xml:space="preserve"> S, Knauss M, Stern M. [IgA endomysium antibodies. Detection in children with celiac disease.] </w:t>
      </w:r>
      <w:proofErr w:type="spellStart"/>
      <w:r w:rsidRPr="00C1603D">
        <w:rPr>
          <w:i/>
        </w:rPr>
        <w:t>Monatsschr</w:t>
      </w:r>
      <w:proofErr w:type="spellEnd"/>
      <w:r w:rsidRPr="00C1603D">
        <w:rPr>
          <w:i/>
        </w:rPr>
        <w:t xml:space="preserve"> </w:t>
      </w:r>
      <w:proofErr w:type="spellStart"/>
      <w:r w:rsidRPr="00C1603D">
        <w:rPr>
          <w:i/>
        </w:rPr>
        <w:t>Kinderheilkd</w:t>
      </w:r>
      <w:proofErr w:type="spellEnd"/>
      <w:r w:rsidRPr="00C1603D">
        <w:t xml:space="preserve"> 1992;</w:t>
      </w:r>
      <w:r w:rsidRPr="00C1603D">
        <w:rPr>
          <w:b/>
        </w:rPr>
        <w:t>140</w:t>
      </w:r>
      <w:r w:rsidRPr="00C1603D">
        <w:t>:</w:t>
      </w:r>
      <w:r w:rsidRPr="00C1603D">
        <w:rPr>
          <w:color w:val="auto"/>
        </w:rPr>
        <w:t>639</w:t>
      </w:r>
      <w:r w:rsidRPr="00C1603D">
        <w:rPr>
          <w:color w:val="00B0F0"/>
        </w:rPr>
        <w:t>–</w:t>
      </w:r>
      <w:r w:rsidRPr="00C1603D">
        <w:rPr>
          <w:color w:val="auto"/>
        </w:rPr>
        <w:t>45</w:t>
      </w:r>
      <w:r w:rsidRPr="00C1603D">
        <w:t>.</w:t>
      </w:r>
    </w:p>
    <w:p w14:paraId="7144743F" w14:textId="5C1B6026" w:rsidR="00EF77DB" w:rsidRPr="00C1603D" w:rsidRDefault="00EF77DB" w:rsidP="00EF77DB">
      <w:pPr>
        <w:pStyle w:val="65ReferencesTextstylesTextstyles"/>
      </w:pPr>
      <w:r w:rsidRPr="00C1603D">
        <w:t>178.</w:t>
      </w:r>
      <w:r w:rsidRPr="00C1603D">
        <w:tab/>
      </w:r>
      <w:commentRangeStart w:id="514"/>
      <w:proofErr w:type="spellStart"/>
      <w:r w:rsidRPr="00C1603D">
        <w:t>Kurien</w:t>
      </w:r>
      <w:proofErr w:type="spellEnd"/>
      <w:r w:rsidRPr="00C1603D">
        <w:t xml:space="preserve"> M, Johnston A, Avgerinos A, Sanders D. Does IGA </w:t>
      </w:r>
      <w:r w:rsidR="0057531C" w:rsidRPr="00C1603D">
        <w:t xml:space="preserve">tissue transglutaminase antibody levels correlate with histological findings of coeliac disease </w:t>
      </w:r>
      <w:r w:rsidRPr="00C1603D">
        <w:t xml:space="preserve">(CD)? </w:t>
      </w:r>
      <w:r w:rsidRPr="00C1603D">
        <w:rPr>
          <w:i/>
        </w:rPr>
        <w:t>Gut</w:t>
      </w:r>
      <w:r w:rsidRPr="00C1603D">
        <w:t xml:space="preserve"> 2013;</w:t>
      </w:r>
      <w:r w:rsidRPr="00C1603D">
        <w:rPr>
          <w:b/>
        </w:rPr>
        <w:t>62</w:t>
      </w:r>
      <w:r w:rsidRPr="00C1603D">
        <w:t>:A26</w:t>
      </w:r>
      <w:r w:rsidR="0057531C" w:rsidRPr="00C1603D">
        <w:t>–</w:t>
      </w:r>
      <w:r w:rsidRPr="00C1603D">
        <w:t>A.</w:t>
      </w:r>
      <w:commentRangeEnd w:id="514"/>
      <w:r w:rsidR="007E09BA" w:rsidRPr="00C1603D">
        <w:rPr>
          <w:rFonts w:ascii="Times New Roman" w:hAnsi="Times New Roman" w:cs="Times New Roman"/>
          <w:color w:val="auto"/>
          <w:lang w:val="en-US"/>
        </w:rPr>
        <w:commentReference w:id="514"/>
      </w:r>
    </w:p>
    <w:p w14:paraId="6A2C7AA3" w14:textId="5C9E2E2D" w:rsidR="00EF77DB" w:rsidRPr="00C1603D" w:rsidRDefault="00EF77DB" w:rsidP="00EF77DB">
      <w:pPr>
        <w:pStyle w:val="65ReferencesTextstylesTextstyles"/>
      </w:pPr>
      <w:r w:rsidRPr="00C1603D">
        <w:t>179.</w:t>
      </w:r>
      <w:r w:rsidRPr="00C1603D">
        <w:tab/>
        <w:t xml:space="preserve">Mooney PD, </w:t>
      </w:r>
      <w:proofErr w:type="spellStart"/>
      <w:r w:rsidRPr="00C1603D">
        <w:t>Kurien</w:t>
      </w:r>
      <w:proofErr w:type="spellEnd"/>
      <w:r w:rsidRPr="00C1603D">
        <w:t xml:space="preserve"> M, Wong S, Sanders DS. Point of care testing for adult coeliac disease: </w:t>
      </w:r>
      <w:r w:rsidR="0057531C" w:rsidRPr="00C1603D">
        <w:t>a</w:t>
      </w:r>
      <w:r w:rsidRPr="00C1603D">
        <w:t xml:space="preserve"> potential role in endoscopy. </w:t>
      </w:r>
      <w:r w:rsidRPr="00C1603D">
        <w:rPr>
          <w:i/>
        </w:rPr>
        <w:t>United</w:t>
      </w:r>
      <w:r w:rsidRPr="00C1603D">
        <w:t xml:space="preserve"> </w:t>
      </w:r>
      <w:r w:rsidRPr="00C1603D">
        <w:rPr>
          <w:i/>
        </w:rPr>
        <w:t>European</w:t>
      </w:r>
      <w:r w:rsidRPr="00C1603D">
        <w:t xml:space="preserve"> </w:t>
      </w:r>
      <w:r w:rsidRPr="00C1603D">
        <w:rPr>
          <w:i/>
        </w:rPr>
        <w:t>Gastroenterol</w:t>
      </w:r>
      <w:r w:rsidR="0057531C" w:rsidRPr="00C1603D">
        <w:rPr>
          <w:i/>
        </w:rPr>
        <w:t xml:space="preserve"> J</w:t>
      </w:r>
      <w:r w:rsidRPr="00C1603D">
        <w:t xml:space="preserve"> 2014;</w:t>
      </w:r>
      <w:r w:rsidRPr="00C1603D">
        <w:rPr>
          <w:b/>
        </w:rPr>
        <w:t>2</w:t>
      </w:r>
      <w:r w:rsidRPr="00C1603D">
        <w:t>:A435.</w:t>
      </w:r>
    </w:p>
    <w:p w14:paraId="4769B2D4" w14:textId="77777777" w:rsidR="00EF77DB" w:rsidRPr="00C1603D" w:rsidRDefault="00EF77DB" w:rsidP="00EF77DB">
      <w:pPr>
        <w:pStyle w:val="65ReferencesTextstylesTextstyles"/>
      </w:pPr>
      <w:r w:rsidRPr="00C1603D">
        <w:t>180.</w:t>
      </w:r>
      <w:r w:rsidRPr="00C1603D">
        <w:tab/>
        <w:t xml:space="preserve">Björck S, </w:t>
      </w:r>
      <w:proofErr w:type="spellStart"/>
      <w:r w:rsidRPr="00C1603D">
        <w:t>Brundin</w:t>
      </w:r>
      <w:proofErr w:type="spellEnd"/>
      <w:r w:rsidRPr="00C1603D">
        <w:t xml:space="preserve"> C, </w:t>
      </w:r>
      <w:proofErr w:type="spellStart"/>
      <w:r w:rsidRPr="00C1603D">
        <w:t>Lörinc</w:t>
      </w:r>
      <w:proofErr w:type="spellEnd"/>
      <w:r w:rsidRPr="00C1603D">
        <w:t xml:space="preserve"> E, Lynch KF, </w:t>
      </w:r>
      <w:proofErr w:type="spellStart"/>
      <w:r w:rsidRPr="00C1603D">
        <w:t>Agardh</w:t>
      </w:r>
      <w:proofErr w:type="spellEnd"/>
      <w:r w:rsidRPr="00C1603D">
        <w:t xml:space="preserve"> D. Screening detects a high proportion of celiac disease in young HLA-genotyped children.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2010;</w:t>
      </w:r>
      <w:r w:rsidRPr="00C1603D">
        <w:rPr>
          <w:b/>
        </w:rPr>
        <w:t>50</w:t>
      </w:r>
      <w:r w:rsidRPr="00C1603D">
        <w:t>:</w:t>
      </w:r>
      <w:r w:rsidRPr="00C1603D">
        <w:rPr>
          <w:color w:val="auto"/>
        </w:rPr>
        <w:t>49</w:t>
      </w:r>
      <w:r w:rsidRPr="00C1603D">
        <w:rPr>
          <w:color w:val="00B0F0"/>
        </w:rPr>
        <w:t>–</w:t>
      </w:r>
      <w:r w:rsidRPr="00C1603D">
        <w:rPr>
          <w:color w:val="auto"/>
        </w:rPr>
        <w:t>53</w:t>
      </w:r>
      <w:r w:rsidRPr="00C1603D">
        <w:t>. https://doi.org/10.1097/MPG.0b013e3181b477a6</w:t>
      </w:r>
    </w:p>
    <w:p w14:paraId="3CFE5345" w14:textId="2E73FBE2" w:rsidR="00EF77DB" w:rsidRPr="00C1603D" w:rsidRDefault="00EF77DB" w:rsidP="00EF77DB">
      <w:pPr>
        <w:pStyle w:val="65ReferencesTextstylesTextstyles"/>
      </w:pPr>
      <w:r w:rsidRPr="00C1603D">
        <w:t>181.</w:t>
      </w:r>
      <w:r w:rsidRPr="00C1603D">
        <w:tab/>
        <w:t xml:space="preserve">Mäki M, </w:t>
      </w:r>
      <w:proofErr w:type="spellStart"/>
      <w:r w:rsidRPr="00C1603D">
        <w:t>Mustalahti</w:t>
      </w:r>
      <w:proofErr w:type="spellEnd"/>
      <w:r w:rsidRPr="00C1603D">
        <w:t xml:space="preserve"> K, </w:t>
      </w:r>
      <w:proofErr w:type="spellStart"/>
      <w:r w:rsidRPr="00C1603D">
        <w:t>Kokkonen</w:t>
      </w:r>
      <w:proofErr w:type="spellEnd"/>
      <w:r w:rsidRPr="00C1603D">
        <w:t xml:space="preserve"> J, </w:t>
      </w:r>
      <w:proofErr w:type="spellStart"/>
      <w:r w:rsidRPr="00C1603D">
        <w:t>Kulmala</w:t>
      </w:r>
      <w:proofErr w:type="spellEnd"/>
      <w:r w:rsidRPr="00C1603D">
        <w:t xml:space="preserve"> P, </w:t>
      </w:r>
      <w:proofErr w:type="spellStart"/>
      <w:r w:rsidRPr="00C1603D">
        <w:t>Haapalahti</w:t>
      </w:r>
      <w:proofErr w:type="spellEnd"/>
      <w:r w:rsidRPr="00C1603D">
        <w:t xml:space="preserve"> M, </w:t>
      </w:r>
      <w:proofErr w:type="spellStart"/>
      <w:r w:rsidRPr="00C1603D">
        <w:t>Karttunen</w:t>
      </w:r>
      <w:proofErr w:type="spellEnd"/>
      <w:r w:rsidRPr="00C1603D">
        <w:t xml:space="preserve"> T, </w:t>
      </w:r>
      <w:r w:rsidRPr="00C1603D">
        <w:rPr>
          <w:i/>
        </w:rPr>
        <w:t>et al</w:t>
      </w:r>
      <w:r w:rsidRPr="00C1603D">
        <w:t xml:space="preserve">. Prevalence of </w:t>
      </w:r>
      <w:r w:rsidR="0057531C" w:rsidRPr="00C1603D">
        <w:t>c</w:t>
      </w:r>
      <w:r w:rsidRPr="00C1603D">
        <w:t xml:space="preserve">eliac disease among children in Finland. </w:t>
      </w:r>
      <w:r w:rsidRPr="00C1603D">
        <w:rPr>
          <w:i/>
        </w:rPr>
        <w:t xml:space="preserve">N </w:t>
      </w:r>
      <w:proofErr w:type="spellStart"/>
      <w:r w:rsidRPr="00C1603D">
        <w:rPr>
          <w:i/>
        </w:rPr>
        <w:t>Engl</w:t>
      </w:r>
      <w:proofErr w:type="spellEnd"/>
      <w:r w:rsidRPr="00C1603D">
        <w:rPr>
          <w:i/>
        </w:rPr>
        <w:t xml:space="preserve"> J Med</w:t>
      </w:r>
      <w:r w:rsidRPr="00C1603D">
        <w:t xml:space="preserve"> 2003;</w:t>
      </w:r>
      <w:r w:rsidRPr="00C1603D">
        <w:rPr>
          <w:b/>
        </w:rPr>
        <w:t>348</w:t>
      </w:r>
      <w:r w:rsidRPr="00C1603D">
        <w:t>:</w:t>
      </w:r>
      <w:r w:rsidRPr="00C1603D">
        <w:rPr>
          <w:color w:val="auto"/>
        </w:rPr>
        <w:t>2517</w:t>
      </w:r>
      <w:r w:rsidRPr="00C1603D">
        <w:rPr>
          <w:color w:val="00B0F0"/>
        </w:rPr>
        <w:t>–</w:t>
      </w:r>
      <w:r w:rsidRPr="00C1603D">
        <w:rPr>
          <w:color w:val="auto"/>
        </w:rPr>
        <w:t>24</w:t>
      </w:r>
      <w:r w:rsidRPr="00C1603D">
        <w:t>. https://doi.org/10.1056/NEJMoa021687</w:t>
      </w:r>
    </w:p>
    <w:p w14:paraId="03CD5942" w14:textId="77777777" w:rsidR="00EF77DB" w:rsidRPr="00C1603D" w:rsidRDefault="00EF77DB" w:rsidP="00EF77DB">
      <w:pPr>
        <w:pStyle w:val="65ReferencesTextstylesTextstyles"/>
      </w:pPr>
      <w:r w:rsidRPr="00C1603D">
        <w:lastRenderedPageBreak/>
        <w:t>182.</w:t>
      </w:r>
      <w:r w:rsidRPr="00C1603D">
        <w:tab/>
        <w:t xml:space="preserve">Sandström O, </w:t>
      </w:r>
      <w:proofErr w:type="spellStart"/>
      <w:r w:rsidRPr="00C1603D">
        <w:t>Rosén</w:t>
      </w:r>
      <w:proofErr w:type="spellEnd"/>
      <w:r w:rsidRPr="00C1603D">
        <w:t xml:space="preserve"> A, </w:t>
      </w:r>
      <w:proofErr w:type="spellStart"/>
      <w:r w:rsidRPr="00C1603D">
        <w:t>Lagerqvist</w:t>
      </w:r>
      <w:proofErr w:type="spellEnd"/>
      <w:r w:rsidRPr="00C1603D">
        <w:t xml:space="preserve"> C, Carlsson A, </w:t>
      </w:r>
      <w:proofErr w:type="spellStart"/>
      <w:r w:rsidRPr="00C1603D">
        <w:t>Hernell</w:t>
      </w:r>
      <w:proofErr w:type="spellEnd"/>
      <w:r w:rsidRPr="00C1603D">
        <w:t xml:space="preserve"> O, </w:t>
      </w:r>
      <w:proofErr w:type="spellStart"/>
      <w:r w:rsidRPr="00C1603D">
        <w:t>Högberg</w:t>
      </w:r>
      <w:proofErr w:type="spellEnd"/>
      <w:r w:rsidRPr="00C1603D">
        <w:t xml:space="preserve"> L, Ivarsson A. Transglutaminase IgA antibodies in a celiac disease mass screening and the role of HLA-DQ genotyping and endomysial antibodies in sequential testing.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2013;</w:t>
      </w:r>
      <w:r w:rsidRPr="00C1603D">
        <w:rPr>
          <w:b/>
        </w:rPr>
        <w:t>57</w:t>
      </w:r>
      <w:r w:rsidRPr="00C1603D">
        <w:t>:</w:t>
      </w:r>
      <w:r w:rsidRPr="00C1603D">
        <w:rPr>
          <w:color w:val="auto"/>
        </w:rPr>
        <w:t>472</w:t>
      </w:r>
      <w:r w:rsidRPr="00C1603D">
        <w:rPr>
          <w:color w:val="00B0F0"/>
        </w:rPr>
        <w:t>–</w:t>
      </w:r>
      <w:r w:rsidRPr="00C1603D">
        <w:rPr>
          <w:color w:val="auto"/>
        </w:rPr>
        <w:t>6</w:t>
      </w:r>
      <w:r w:rsidRPr="00C1603D">
        <w:t>. https://doi.org/10.1097/MPG.0b013e31829ef65d</w:t>
      </w:r>
    </w:p>
    <w:p w14:paraId="77E5EE9F" w14:textId="5EA40FF7" w:rsidR="00EF77DB" w:rsidRPr="00C1603D" w:rsidRDefault="00EF77DB" w:rsidP="00EF77DB">
      <w:pPr>
        <w:pStyle w:val="65ReferencesTextstylesTextstyles"/>
      </w:pPr>
      <w:r w:rsidRPr="00C1603D">
        <w:t>183.</w:t>
      </w:r>
      <w:r w:rsidRPr="00C1603D">
        <w:tab/>
        <w:t xml:space="preserve">Wahab RJ, Beth SA, Derks IPM, Jansen PW, Moll HA, </w:t>
      </w:r>
      <w:proofErr w:type="spellStart"/>
      <w:r w:rsidRPr="00C1603D">
        <w:t>Kiefte</w:t>
      </w:r>
      <w:proofErr w:type="spellEnd"/>
      <w:r w:rsidRPr="00C1603D">
        <w:t xml:space="preserve">-de Jong JC. Celiac </w:t>
      </w:r>
      <w:r w:rsidR="0057531C" w:rsidRPr="00C1603D">
        <w:t xml:space="preserve">disease autoimmunity and emotional and </w:t>
      </w:r>
      <w:proofErr w:type="spellStart"/>
      <w:r w:rsidR="0057531C" w:rsidRPr="00C1603D">
        <w:t>behavioral</w:t>
      </w:r>
      <w:proofErr w:type="spellEnd"/>
      <w:r w:rsidR="0057531C" w:rsidRPr="00C1603D">
        <w:t xml:space="preserve"> problems in childhood</w:t>
      </w:r>
      <w:r w:rsidRPr="00C1603D">
        <w:t xml:space="preserve">. </w:t>
      </w:r>
      <w:proofErr w:type="spellStart"/>
      <w:r w:rsidRPr="00C1603D">
        <w:rPr>
          <w:i/>
        </w:rPr>
        <w:t>Pediatrics</w:t>
      </w:r>
      <w:proofErr w:type="spellEnd"/>
      <w:r w:rsidRPr="00C1603D">
        <w:t xml:space="preserve"> 2019;</w:t>
      </w:r>
      <w:r w:rsidRPr="00C1603D">
        <w:rPr>
          <w:b/>
        </w:rPr>
        <w:t>144</w:t>
      </w:r>
      <w:r w:rsidRPr="00C1603D">
        <w:t>:</w:t>
      </w:r>
      <w:r w:rsidRPr="00C1603D">
        <w:rPr>
          <w:color w:val="auto"/>
        </w:rPr>
        <w:t>e20183933</w:t>
      </w:r>
      <w:r w:rsidRPr="00C1603D">
        <w:t>.</w:t>
      </w:r>
    </w:p>
    <w:p w14:paraId="4B004C10" w14:textId="6B16A0ED" w:rsidR="00EF77DB" w:rsidRPr="00C1603D" w:rsidRDefault="00EF77DB" w:rsidP="00EF77DB">
      <w:pPr>
        <w:pStyle w:val="65ReferencesTextstylesTextstyles"/>
      </w:pPr>
      <w:r w:rsidRPr="00C1603D">
        <w:t>184.</w:t>
      </w:r>
      <w:r w:rsidRPr="00C1603D">
        <w:tab/>
        <w:t xml:space="preserve">Beth SA, Jansen MAE, </w:t>
      </w:r>
      <w:proofErr w:type="spellStart"/>
      <w:r w:rsidRPr="00C1603D">
        <w:t>Elfrink</w:t>
      </w:r>
      <w:proofErr w:type="spellEnd"/>
      <w:r w:rsidRPr="00C1603D">
        <w:t xml:space="preserve"> MEC, </w:t>
      </w:r>
      <w:proofErr w:type="spellStart"/>
      <w:r w:rsidRPr="00C1603D">
        <w:t>Kiefte</w:t>
      </w:r>
      <w:proofErr w:type="spellEnd"/>
      <w:r w:rsidRPr="00C1603D">
        <w:t xml:space="preserve">-de Jong JC, </w:t>
      </w:r>
      <w:proofErr w:type="spellStart"/>
      <w:r w:rsidRPr="00C1603D">
        <w:t>Wolvius</w:t>
      </w:r>
      <w:proofErr w:type="spellEnd"/>
      <w:r w:rsidRPr="00C1603D">
        <w:t xml:space="preserve"> EB, </w:t>
      </w:r>
      <w:proofErr w:type="spellStart"/>
      <w:r w:rsidRPr="00C1603D">
        <w:t>Jaddoe</w:t>
      </w:r>
      <w:proofErr w:type="spellEnd"/>
      <w:r w:rsidRPr="00C1603D">
        <w:t xml:space="preserve"> VWV, </w:t>
      </w:r>
      <w:r w:rsidRPr="00C1603D">
        <w:rPr>
          <w:i/>
        </w:rPr>
        <w:t>et</w:t>
      </w:r>
      <w:r w:rsidRPr="00C1603D">
        <w:t xml:space="preserve"> </w:t>
      </w:r>
      <w:r w:rsidRPr="00C1603D">
        <w:rPr>
          <w:i/>
        </w:rPr>
        <w:t>al</w:t>
      </w:r>
      <w:r w:rsidRPr="00C1603D">
        <w:t xml:space="preserve">. Generation R birth cohort study shows that specific enamel defects were not associated with elevated serum transglutaminase type 2 antibodies. </w:t>
      </w:r>
      <w:r w:rsidRPr="00C1603D">
        <w:rPr>
          <w:i/>
        </w:rPr>
        <w:t>Acta</w:t>
      </w:r>
      <w:r w:rsidRPr="00C1603D">
        <w:t xml:space="preserve"> </w:t>
      </w:r>
      <w:proofErr w:type="spellStart"/>
      <w:r w:rsidRPr="00C1603D">
        <w:rPr>
          <w:i/>
        </w:rPr>
        <w:t>Paediatr</w:t>
      </w:r>
      <w:proofErr w:type="spellEnd"/>
      <w:r w:rsidRPr="00C1603D">
        <w:t xml:space="preserve"> 2016;</w:t>
      </w:r>
      <w:r w:rsidRPr="00C1603D">
        <w:rPr>
          <w:b/>
        </w:rPr>
        <w:t>105</w:t>
      </w:r>
      <w:r w:rsidRPr="00C1603D">
        <w:t>:e485</w:t>
      </w:r>
      <w:r w:rsidR="00587728" w:rsidRPr="00C1603D">
        <w:t>–</w:t>
      </w:r>
      <w:r w:rsidRPr="00C1603D">
        <w:t>e91. https://doi.org/10.1111/apa.13533</w:t>
      </w:r>
    </w:p>
    <w:p w14:paraId="6572D6DB" w14:textId="77777777" w:rsidR="00EF77DB" w:rsidRPr="00C1603D" w:rsidRDefault="00EF77DB" w:rsidP="00EF77DB">
      <w:pPr>
        <w:pStyle w:val="65ReferencesTextstylesTextstyles"/>
      </w:pPr>
      <w:r w:rsidRPr="00C1603D">
        <w:t>185.</w:t>
      </w:r>
      <w:r w:rsidRPr="00C1603D">
        <w:tab/>
        <w:t xml:space="preserve">Jansen MA, </w:t>
      </w:r>
      <w:proofErr w:type="spellStart"/>
      <w:r w:rsidRPr="00C1603D">
        <w:t>Kiefte</w:t>
      </w:r>
      <w:proofErr w:type="spellEnd"/>
      <w:r w:rsidRPr="00C1603D">
        <w:t xml:space="preserve">-de Jong JC, Gaillard R, Escher JC, </w:t>
      </w:r>
      <w:proofErr w:type="spellStart"/>
      <w:r w:rsidRPr="00C1603D">
        <w:t>Hofman</w:t>
      </w:r>
      <w:proofErr w:type="spellEnd"/>
      <w:r w:rsidRPr="00C1603D">
        <w:t xml:space="preserve"> A, </w:t>
      </w:r>
      <w:proofErr w:type="spellStart"/>
      <w:r w:rsidRPr="00C1603D">
        <w:t>Jaddoe</w:t>
      </w:r>
      <w:proofErr w:type="spellEnd"/>
      <w:r w:rsidRPr="00C1603D">
        <w:t xml:space="preserve"> VW, </w:t>
      </w:r>
      <w:r w:rsidRPr="00C1603D">
        <w:rPr>
          <w:i/>
        </w:rPr>
        <w:t>et al</w:t>
      </w:r>
      <w:r w:rsidRPr="00C1603D">
        <w:t xml:space="preserve">. Growth trajectories and bone mineral density in anti-tissue transglutaminase antibody-positive children: the Generation R Study. </w:t>
      </w:r>
      <w:r w:rsidRPr="00C1603D">
        <w:rPr>
          <w:i/>
        </w:rPr>
        <w:t>Clin Gastroenterol Hepatol</w:t>
      </w:r>
      <w:r w:rsidRPr="00C1603D">
        <w:t xml:space="preserve"> 2015;</w:t>
      </w:r>
      <w:r w:rsidRPr="00C1603D">
        <w:rPr>
          <w:b/>
        </w:rPr>
        <w:t>13</w:t>
      </w:r>
      <w:r w:rsidRPr="00C1603D">
        <w:t>:</w:t>
      </w:r>
      <w:r w:rsidRPr="00C1603D">
        <w:rPr>
          <w:color w:val="auto"/>
        </w:rPr>
        <w:t>913</w:t>
      </w:r>
      <w:r w:rsidRPr="00C1603D">
        <w:rPr>
          <w:color w:val="00B0F0"/>
        </w:rPr>
        <w:t>–</w:t>
      </w:r>
      <w:r w:rsidRPr="00C1603D">
        <w:rPr>
          <w:color w:val="auto"/>
        </w:rPr>
        <w:t>20</w:t>
      </w:r>
      <w:r w:rsidRPr="00C1603D">
        <w:rPr>
          <w:color w:val="00B0F0"/>
        </w:rPr>
        <w:t>.</w:t>
      </w:r>
      <w:r w:rsidRPr="00C1603D">
        <w:rPr>
          <w:color w:val="auto"/>
        </w:rPr>
        <w:t>e5</w:t>
      </w:r>
      <w:r w:rsidRPr="00C1603D">
        <w:t>. https://doi.org/10.1016/j.cgh.2014.09.032</w:t>
      </w:r>
    </w:p>
    <w:p w14:paraId="01A96F9F" w14:textId="6A6DDDC9" w:rsidR="00EF77DB" w:rsidRPr="00C1603D" w:rsidRDefault="00EF77DB" w:rsidP="00EF77DB">
      <w:pPr>
        <w:pStyle w:val="65ReferencesTextstylesTextstyles"/>
      </w:pPr>
      <w:r w:rsidRPr="00C1603D">
        <w:t>186.</w:t>
      </w:r>
      <w:r w:rsidRPr="00C1603D">
        <w:tab/>
        <w:t>VideoScribe: Easy animation software to make whiteboard videos fast. www.videoscribe.co/en/. In; (Last accessed in Sept 2020).</w:t>
      </w:r>
    </w:p>
    <w:p w14:paraId="5C2BD4FE" w14:textId="548053D6" w:rsidR="00EF77DB" w:rsidRPr="00C1603D" w:rsidRDefault="00EF77DB" w:rsidP="00EF77DB">
      <w:pPr>
        <w:pStyle w:val="65ReferencesTextstylesTextstyles"/>
      </w:pPr>
      <w:r w:rsidRPr="00C1603D">
        <w:t>187.</w:t>
      </w:r>
      <w:r w:rsidRPr="00C1603D">
        <w:tab/>
      </w:r>
      <w:r w:rsidR="00301D60" w:rsidRPr="00C1603D">
        <w:t>National Institute for Health and Care Research</w:t>
      </w:r>
      <w:r w:rsidR="00971A7E" w:rsidRPr="00C1603D">
        <w:t xml:space="preserve"> Applied Research Collaboration </w:t>
      </w:r>
      <w:r w:rsidRPr="00C1603D">
        <w:t xml:space="preserve">West. </w:t>
      </w:r>
      <w:r w:rsidRPr="00C1603D">
        <w:rPr>
          <w:i/>
          <w:iCs/>
        </w:rPr>
        <w:t>Coeliac Disease Survey, Video 1</w:t>
      </w:r>
      <w:r w:rsidRPr="00C1603D">
        <w:t>.</w:t>
      </w:r>
      <w:r w:rsidR="00971A7E" w:rsidRPr="00C1603D">
        <w:t xml:space="preserve"> URL:</w:t>
      </w:r>
      <w:r w:rsidRPr="00C1603D">
        <w:t xml:space="preserve"> https://youtu.be/M5tfW8-yLfM </w:t>
      </w:r>
      <w:r w:rsidR="00971A7E" w:rsidRPr="00C1603D">
        <w:t>(</w:t>
      </w:r>
      <w:r w:rsidRPr="00C1603D">
        <w:t>accessed 7</w:t>
      </w:r>
      <w:r w:rsidR="00971A7E" w:rsidRPr="00C1603D">
        <w:t xml:space="preserve"> February </w:t>
      </w:r>
      <w:r w:rsidRPr="00C1603D">
        <w:t>2022</w:t>
      </w:r>
      <w:r w:rsidR="00971A7E" w:rsidRPr="00C1603D">
        <w:t>)</w:t>
      </w:r>
      <w:r w:rsidRPr="00C1603D">
        <w:t>.</w:t>
      </w:r>
    </w:p>
    <w:p w14:paraId="1896F0E4" w14:textId="287E4E61" w:rsidR="00EF77DB" w:rsidRPr="00C1603D" w:rsidRDefault="00EF77DB" w:rsidP="00EF77DB">
      <w:pPr>
        <w:pStyle w:val="65ReferencesTextstylesTextstyles"/>
      </w:pPr>
      <w:r w:rsidRPr="00C1603D">
        <w:t>188.</w:t>
      </w:r>
      <w:r w:rsidRPr="00C1603D">
        <w:tab/>
      </w:r>
      <w:r w:rsidR="00301D60" w:rsidRPr="00C1603D">
        <w:t>National Institute for Health and Care Research</w:t>
      </w:r>
      <w:r w:rsidR="00971A7E" w:rsidRPr="00C1603D">
        <w:t xml:space="preserve"> Applied Research Collaboration </w:t>
      </w:r>
      <w:r w:rsidRPr="00C1603D">
        <w:t xml:space="preserve">West. </w:t>
      </w:r>
      <w:r w:rsidRPr="00C1603D">
        <w:rPr>
          <w:i/>
          <w:iCs/>
        </w:rPr>
        <w:t>Coeliac Disease Survey, Video 2</w:t>
      </w:r>
      <w:r w:rsidRPr="00C1603D">
        <w:t>.</w:t>
      </w:r>
      <w:r w:rsidR="00971A7E" w:rsidRPr="00C1603D">
        <w:t xml:space="preserve"> URL:</w:t>
      </w:r>
      <w:r w:rsidRPr="00C1603D">
        <w:t xml:space="preserve"> https://youtu.be/_PVLGDVSL3E </w:t>
      </w:r>
      <w:r w:rsidR="00971A7E" w:rsidRPr="00C1603D">
        <w:t>(</w:t>
      </w:r>
      <w:r w:rsidRPr="00C1603D">
        <w:t xml:space="preserve">accessed </w:t>
      </w:r>
      <w:r w:rsidR="00971A7E" w:rsidRPr="00C1603D">
        <w:t>7 February 2022)</w:t>
      </w:r>
      <w:r w:rsidRPr="00C1603D">
        <w:t>.</w:t>
      </w:r>
    </w:p>
    <w:p w14:paraId="71A406E2" w14:textId="405972BE" w:rsidR="00EF77DB" w:rsidRPr="00C1603D" w:rsidRDefault="00EF77DB" w:rsidP="00EF77DB">
      <w:pPr>
        <w:pStyle w:val="65ReferencesTextstylesTextstyles"/>
      </w:pPr>
      <w:r w:rsidRPr="00C1603D">
        <w:t>189.</w:t>
      </w:r>
      <w:r w:rsidRPr="00C1603D">
        <w:tab/>
      </w:r>
      <w:r w:rsidR="00301D60" w:rsidRPr="00C1603D">
        <w:t>National Institute for Health and Care Research</w:t>
      </w:r>
      <w:r w:rsidR="00971A7E" w:rsidRPr="00C1603D">
        <w:t xml:space="preserve"> Applied Research Collaboration </w:t>
      </w:r>
      <w:r w:rsidRPr="00C1603D">
        <w:t xml:space="preserve">West. </w:t>
      </w:r>
      <w:r w:rsidRPr="00C1603D">
        <w:rPr>
          <w:i/>
          <w:iCs/>
        </w:rPr>
        <w:t>Coeliac Disease Survey, Video 3</w:t>
      </w:r>
      <w:r w:rsidRPr="00C1603D">
        <w:t xml:space="preserve">. </w:t>
      </w:r>
      <w:r w:rsidR="00971A7E" w:rsidRPr="00C1603D">
        <w:t xml:space="preserve">URL: </w:t>
      </w:r>
      <w:r w:rsidRPr="00C1603D">
        <w:t xml:space="preserve">https://youtu.be/GL8tzH4IxAk </w:t>
      </w:r>
      <w:r w:rsidR="00971A7E" w:rsidRPr="00C1603D">
        <w:t>(accessed 7 February 2022)</w:t>
      </w:r>
      <w:r w:rsidRPr="00C1603D">
        <w:t>.</w:t>
      </w:r>
    </w:p>
    <w:p w14:paraId="3CA904D0" w14:textId="7D686D17" w:rsidR="00EF77DB" w:rsidRPr="00C1603D" w:rsidRDefault="00EF77DB" w:rsidP="00EF77DB">
      <w:pPr>
        <w:pStyle w:val="65ReferencesTextstylesTextstyles"/>
        <w:rPr>
          <w:iCs/>
        </w:rPr>
      </w:pPr>
      <w:r w:rsidRPr="00C1603D">
        <w:t>190.</w:t>
      </w:r>
      <w:r w:rsidRPr="00C1603D">
        <w:tab/>
      </w:r>
      <w:r w:rsidR="00A66260" w:rsidRPr="00C1603D">
        <w:t>International Organization for Standardization</w:t>
      </w:r>
      <w:r w:rsidRPr="00C1603D">
        <w:t xml:space="preserve">. </w:t>
      </w:r>
      <w:r w:rsidRPr="00C1603D">
        <w:rPr>
          <w:i/>
          <w:iCs/>
        </w:rPr>
        <w:t>ISO/IEC 27001</w:t>
      </w:r>
      <w:r w:rsidR="000C6A05" w:rsidRPr="00C1603D">
        <w:rPr>
          <w:i/>
          <w:iCs/>
        </w:rPr>
        <w:t>:</w:t>
      </w:r>
      <w:r w:rsidRPr="00C1603D">
        <w:rPr>
          <w:i/>
          <w:iCs/>
        </w:rPr>
        <w:t xml:space="preserve"> </w:t>
      </w:r>
      <w:r w:rsidR="00971A7E" w:rsidRPr="00C1603D">
        <w:rPr>
          <w:i/>
          <w:iCs/>
        </w:rPr>
        <w:t>Information Security Management</w:t>
      </w:r>
      <w:r w:rsidRPr="00C1603D">
        <w:t xml:space="preserve">. </w:t>
      </w:r>
      <w:r w:rsidR="000C6A05" w:rsidRPr="00C1603D">
        <w:rPr>
          <w:iCs/>
        </w:rPr>
        <w:t>URL: www.iso.org/isoiec-27001-information-security.html (accessed 27 May 2022).</w:t>
      </w:r>
    </w:p>
    <w:p w14:paraId="0DED55D5" w14:textId="0A8EC275" w:rsidR="00F25C11" w:rsidRPr="00C1603D" w:rsidRDefault="00EF77DB" w:rsidP="00EF77DB">
      <w:pPr>
        <w:pStyle w:val="65ReferencesTextstylesTextstyles"/>
      </w:pPr>
      <w:r w:rsidRPr="00C1603D">
        <w:t>191.</w:t>
      </w:r>
      <w:r w:rsidRPr="00C1603D">
        <w:tab/>
        <w:t xml:space="preserve">Information Commissioner’s Office. </w:t>
      </w:r>
      <w:r w:rsidRPr="00C1603D">
        <w:rPr>
          <w:i/>
          <w:iCs/>
        </w:rPr>
        <w:t xml:space="preserve">Guide to the </w:t>
      </w:r>
      <w:r w:rsidR="008F48D5" w:rsidRPr="00C1603D">
        <w:rPr>
          <w:i/>
          <w:iCs/>
        </w:rPr>
        <w:t xml:space="preserve">UK </w:t>
      </w:r>
      <w:r w:rsidRPr="00C1603D">
        <w:rPr>
          <w:i/>
          <w:iCs/>
        </w:rPr>
        <w:t>General Data Protection Regulation (</w:t>
      </w:r>
      <w:r w:rsidR="008F48D5" w:rsidRPr="00C1603D">
        <w:rPr>
          <w:i/>
          <w:iCs/>
        </w:rPr>
        <w:t xml:space="preserve">UK </w:t>
      </w:r>
      <w:r w:rsidRPr="00C1603D">
        <w:rPr>
          <w:i/>
          <w:iCs/>
        </w:rPr>
        <w:t>GDPR)</w:t>
      </w:r>
      <w:r w:rsidRPr="00C1603D">
        <w:t xml:space="preserve">. </w:t>
      </w:r>
      <w:r w:rsidR="008F48D5" w:rsidRPr="00C1603D">
        <w:t xml:space="preserve">URL: </w:t>
      </w:r>
      <w:r w:rsidR="00F25C11" w:rsidRPr="00C1603D">
        <w:t>https://ico.org.uk/for-organisations/guide-to-data-protection/guide-to-the-general-data-protection-regulation-gdpr/</w:t>
      </w:r>
      <w:r w:rsidR="008F48D5" w:rsidRPr="00C1603D">
        <w:t xml:space="preserve"> </w:t>
      </w:r>
      <w:r w:rsidR="008F48D5" w:rsidRPr="00C1603D">
        <w:rPr>
          <w:iCs/>
        </w:rPr>
        <w:t>(accessed 27 May 2022).</w:t>
      </w:r>
    </w:p>
    <w:p w14:paraId="65584EEB" w14:textId="77777777" w:rsidR="00EF77DB" w:rsidRPr="00C1603D" w:rsidRDefault="00EF77DB" w:rsidP="00EF77DB">
      <w:pPr>
        <w:pStyle w:val="65ReferencesTextstylesTextstyles"/>
      </w:pPr>
      <w:r w:rsidRPr="00C1603D">
        <w:t>192.</w:t>
      </w:r>
      <w:r w:rsidRPr="00C1603D">
        <w:tab/>
        <w:t xml:space="preserve">Dorn SD, Hernandez L, </w:t>
      </w:r>
      <w:proofErr w:type="spellStart"/>
      <w:r w:rsidRPr="00C1603D">
        <w:t>Minaya</w:t>
      </w:r>
      <w:proofErr w:type="spellEnd"/>
      <w:r w:rsidRPr="00C1603D">
        <w:t xml:space="preserve"> MT, Morris CB, Hu Y, </w:t>
      </w:r>
      <w:proofErr w:type="spellStart"/>
      <w:r w:rsidRPr="00C1603D">
        <w:t>Leserman</w:t>
      </w:r>
      <w:proofErr w:type="spellEnd"/>
      <w:r w:rsidRPr="00C1603D">
        <w:t xml:space="preserve"> J, </w:t>
      </w:r>
      <w:r w:rsidRPr="00C1603D">
        <w:rPr>
          <w:i/>
        </w:rPr>
        <w:t>et al</w:t>
      </w:r>
      <w:r w:rsidRPr="00C1603D">
        <w:t xml:space="preserve">. The development and validation of a new coeliac disease quality of life survey (CD-QOL).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2010;</w:t>
      </w:r>
      <w:r w:rsidRPr="00C1603D">
        <w:rPr>
          <w:b/>
        </w:rPr>
        <w:t>31</w:t>
      </w:r>
      <w:r w:rsidRPr="00C1603D">
        <w:t>:</w:t>
      </w:r>
      <w:r w:rsidRPr="00C1603D">
        <w:rPr>
          <w:color w:val="auto"/>
        </w:rPr>
        <w:t>666</w:t>
      </w:r>
      <w:r w:rsidRPr="00C1603D">
        <w:rPr>
          <w:color w:val="00B0F0"/>
        </w:rPr>
        <w:t>–</w:t>
      </w:r>
      <w:r w:rsidRPr="00C1603D">
        <w:rPr>
          <w:color w:val="auto"/>
        </w:rPr>
        <w:t>75</w:t>
      </w:r>
      <w:r w:rsidRPr="00C1603D">
        <w:t>. https://doi.org/10.1111/j.1365-2036.2009.04220.x</w:t>
      </w:r>
    </w:p>
    <w:p w14:paraId="07D87EBE" w14:textId="265A51D2" w:rsidR="00EF77DB" w:rsidRPr="00C1603D" w:rsidRDefault="3CDEEDA7" w:rsidP="0063507D">
      <w:pPr>
        <w:pStyle w:val="65ReferencesTextstylesTextstyles"/>
      </w:pPr>
      <w:commentRangeStart w:id="515"/>
      <w:commentRangeStart w:id="516"/>
      <w:r w:rsidRPr="00C1603D">
        <w:t>193.</w:t>
      </w:r>
      <w:r w:rsidR="00EF77DB" w:rsidRPr="00C1603D">
        <w:tab/>
      </w:r>
      <w:r w:rsidRPr="00C1603D">
        <w:t xml:space="preserve">Ministry of Housing, Communities and Local Government. </w:t>
      </w:r>
      <w:r w:rsidRPr="00C1603D">
        <w:rPr>
          <w:i/>
          <w:iCs/>
        </w:rPr>
        <w:t>National Statistics: English Indices of Deprivation 2015</w:t>
      </w:r>
      <w:r w:rsidRPr="00C1603D">
        <w:t>. URL: www.gov.uk/government/statistics/english-indices-of-deprivation-2015 (accessed 27 May 2022).</w:t>
      </w:r>
    </w:p>
    <w:p w14:paraId="1782EBAF" w14:textId="587DE3B7" w:rsidR="00EF77DB" w:rsidRPr="00C1603D" w:rsidRDefault="00EF77DB" w:rsidP="00EF77DB">
      <w:pPr>
        <w:pStyle w:val="65ReferencesTextstylesTextstyles"/>
        <w:rPr>
          <w:iCs/>
        </w:rPr>
      </w:pPr>
      <w:r w:rsidRPr="00C1603D">
        <w:t>194.</w:t>
      </w:r>
      <w:r w:rsidRPr="00C1603D">
        <w:tab/>
      </w:r>
      <w:r w:rsidR="00E9739A" w:rsidRPr="00C1603D">
        <w:t>Scottish Government</w:t>
      </w:r>
      <w:r w:rsidRPr="00C1603D">
        <w:t xml:space="preserve">. </w:t>
      </w:r>
      <w:r w:rsidRPr="00C1603D">
        <w:rPr>
          <w:i/>
          <w:iCs/>
        </w:rPr>
        <w:t xml:space="preserve">Scottish Index of Multiple Deprivation 2020v2 </w:t>
      </w:r>
      <w:r w:rsidR="00E9739A" w:rsidRPr="00C1603D">
        <w:rPr>
          <w:i/>
          <w:iCs/>
        </w:rPr>
        <w:t>Postcode Lookup File</w:t>
      </w:r>
      <w:r w:rsidRPr="00C1603D">
        <w:t xml:space="preserve">. </w:t>
      </w:r>
      <w:r w:rsidR="00E9739A" w:rsidRPr="00C1603D">
        <w:rPr>
          <w:iCs/>
        </w:rPr>
        <w:t xml:space="preserve">URL: </w:t>
      </w:r>
      <w:r w:rsidR="007D326E" w:rsidRPr="00C1603D">
        <w:rPr>
          <w:iCs/>
        </w:rPr>
        <w:t>www.gov.scot/publications/scottish-index-of-multiple-deprivation-2020v2-postcode-look-up/ (accessed 27 May 2022).</w:t>
      </w:r>
    </w:p>
    <w:p w14:paraId="149855F2" w14:textId="33E3D30E" w:rsidR="00EF77DB" w:rsidRPr="00C1603D" w:rsidRDefault="3CDEEDA7" w:rsidP="00EF77DB">
      <w:pPr>
        <w:pStyle w:val="65ReferencesTextstylesTextstyles"/>
      </w:pPr>
      <w:r w:rsidRPr="00C1603D">
        <w:t>195.</w:t>
      </w:r>
      <w:r w:rsidR="00EF77DB" w:rsidRPr="00C1603D">
        <w:tab/>
      </w:r>
      <w:r w:rsidRPr="00C1603D">
        <w:t xml:space="preserve">Welsh Government. </w:t>
      </w:r>
      <w:r w:rsidRPr="00C1603D">
        <w:rPr>
          <w:i/>
          <w:iCs/>
        </w:rPr>
        <w:t>Welsh Index of Multiple Deprivation (WIMD) Index Guidance, Technical Information and Background Documentation</w:t>
      </w:r>
      <w:r w:rsidRPr="00C1603D">
        <w:t>. URL: https://gov.wales/welsh-index-multiple-deprivation-index-guidance (accessed 27 May 2022).</w:t>
      </w:r>
      <w:commentRangeEnd w:id="515"/>
      <w:r w:rsidR="00EF77DB" w:rsidRPr="00C1603D">
        <w:commentReference w:id="515"/>
      </w:r>
      <w:commentRangeEnd w:id="516"/>
      <w:r w:rsidR="00EF77DB" w:rsidRPr="00C1603D">
        <w:commentReference w:id="516"/>
      </w:r>
    </w:p>
    <w:p w14:paraId="6D9627C9" w14:textId="53655B4F" w:rsidR="0058782E" w:rsidRPr="00C1603D" w:rsidRDefault="43B69CA3" w:rsidP="00266DB1">
      <w:pPr>
        <w:pStyle w:val="65ReferencesTextstylesTextstyles"/>
      </w:pPr>
      <w:r w:rsidRPr="00C1603D">
        <w:t>196.</w:t>
      </w:r>
      <w:r w:rsidR="00EF77DB" w:rsidRPr="00C1603D">
        <w:tab/>
      </w:r>
      <w:commentRangeStart w:id="517"/>
      <w:commentRangeStart w:id="518"/>
      <w:r w:rsidRPr="00C1603D">
        <w:t xml:space="preserve">Northern Ireland Statistics and Research Agency. </w:t>
      </w:r>
      <w:r w:rsidRPr="00C1603D">
        <w:rPr>
          <w:i/>
          <w:iCs/>
        </w:rPr>
        <w:t>NI Multiple Deprivation Measures</w:t>
      </w:r>
      <w:r w:rsidRPr="00C1603D">
        <w:t>.</w:t>
      </w:r>
      <w:commentRangeEnd w:id="517"/>
      <w:r w:rsidR="00EF77DB" w:rsidRPr="00C1603D">
        <w:commentReference w:id="517"/>
      </w:r>
      <w:commentRangeEnd w:id="518"/>
      <w:r w:rsidR="00EF77DB" w:rsidRPr="00C1603D">
        <w:commentReference w:id="518"/>
      </w:r>
      <w:r w:rsidR="00266DB1" w:rsidRPr="00C1603D">
        <w:t xml:space="preserve"> URL: www.nisra.gov.uk/statistics/deprivation (accessed 27 May 2022).</w:t>
      </w:r>
    </w:p>
    <w:p w14:paraId="4C8F75A6" w14:textId="77777777" w:rsidR="00EF77DB" w:rsidRPr="00C1603D" w:rsidRDefault="00EF77DB" w:rsidP="00EF77DB">
      <w:pPr>
        <w:pStyle w:val="65ReferencesTextstylesTextstyles"/>
      </w:pPr>
      <w:r w:rsidRPr="00C1603D">
        <w:lastRenderedPageBreak/>
        <w:t>197.</w:t>
      </w:r>
      <w:r w:rsidRPr="00C1603D">
        <w:tab/>
        <w:t xml:space="preserve">Hsieh HF, Shannon SE. Three approaches to qualitative content analysis. </w:t>
      </w:r>
      <w:r w:rsidRPr="00C1603D">
        <w:rPr>
          <w:i/>
        </w:rPr>
        <w:t>Qual Health Res</w:t>
      </w:r>
      <w:r w:rsidRPr="00C1603D">
        <w:t xml:space="preserve"> 2005;</w:t>
      </w:r>
      <w:r w:rsidRPr="00C1603D">
        <w:rPr>
          <w:b/>
        </w:rPr>
        <w:t>15</w:t>
      </w:r>
      <w:r w:rsidRPr="00C1603D">
        <w:t>:</w:t>
      </w:r>
      <w:r w:rsidRPr="00C1603D">
        <w:rPr>
          <w:color w:val="auto"/>
        </w:rPr>
        <w:t>1277</w:t>
      </w:r>
      <w:r w:rsidRPr="00C1603D">
        <w:rPr>
          <w:color w:val="00B0F0"/>
        </w:rPr>
        <w:t>–</w:t>
      </w:r>
      <w:r w:rsidRPr="00C1603D">
        <w:rPr>
          <w:color w:val="auto"/>
        </w:rPr>
        <w:t>88</w:t>
      </w:r>
      <w:r w:rsidRPr="00C1603D">
        <w:t>.</w:t>
      </w:r>
    </w:p>
    <w:p w14:paraId="36A13A9F" w14:textId="510AD7CB" w:rsidR="00EF77DB" w:rsidRPr="00C1603D" w:rsidRDefault="00EF77DB" w:rsidP="00EF77DB">
      <w:pPr>
        <w:pStyle w:val="65ReferencesTextstylesTextstyles"/>
      </w:pPr>
      <w:r w:rsidRPr="00C1603D">
        <w:t>198.</w:t>
      </w:r>
      <w:r w:rsidRPr="00C1603D">
        <w:tab/>
      </w:r>
      <w:r w:rsidR="008D0BEF" w:rsidRPr="00C1603D">
        <w:t>National Institute for Health and Care Excellence</w:t>
      </w:r>
      <w:r w:rsidRPr="00C1603D">
        <w:t xml:space="preserve">. </w:t>
      </w:r>
      <w:r w:rsidRPr="00C1603D">
        <w:rPr>
          <w:i/>
          <w:iCs/>
        </w:rPr>
        <w:t>Coeliac Disease. Full Health Economics Report</w:t>
      </w:r>
      <w:r w:rsidRPr="00C1603D">
        <w:t>.</w:t>
      </w:r>
      <w:r w:rsidR="004B7F16" w:rsidRPr="00C1603D">
        <w:t xml:space="preserve"> London: National Institute for Health and Care Excellence;</w:t>
      </w:r>
      <w:r w:rsidRPr="00C1603D">
        <w:t xml:space="preserve"> 2015.</w:t>
      </w:r>
    </w:p>
    <w:p w14:paraId="6252AD04" w14:textId="77777777" w:rsidR="00EF77DB" w:rsidRPr="00C1603D" w:rsidRDefault="00EF77DB" w:rsidP="00EF77DB">
      <w:pPr>
        <w:pStyle w:val="65ReferencesTextstylesTextstyles"/>
      </w:pPr>
      <w:r w:rsidRPr="00C1603D">
        <w:t>199.</w:t>
      </w:r>
      <w:r w:rsidRPr="00C1603D">
        <w:tab/>
        <w:t xml:space="preserve">Harewood GC, Murray JA. Diagnostic approach to a patient with suspected celiac disease: a cost analysis. </w:t>
      </w:r>
      <w:r w:rsidRPr="00C1603D">
        <w:rPr>
          <w:i/>
        </w:rPr>
        <w:t>Dig Dis Sci</w:t>
      </w:r>
      <w:r w:rsidRPr="00C1603D">
        <w:t xml:space="preserve"> 2001;</w:t>
      </w:r>
      <w:r w:rsidRPr="00C1603D">
        <w:rPr>
          <w:b/>
        </w:rPr>
        <w:t>46</w:t>
      </w:r>
      <w:r w:rsidRPr="00C1603D">
        <w:t>:</w:t>
      </w:r>
      <w:r w:rsidRPr="00C1603D">
        <w:rPr>
          <w:color w:val="auto"/>
        </w:rPr>
        <w:t>2510</w:t>
      </w:r>
      <w:r w:rsidRPr="00C1603D">
        <w:rPr>
          <w:color w:val="00B0F0"/>
        </w:rPr>
        <w:t>–</w:t>
      </w:r>
      <w:r w:rsidRPr="00C1603D">
        <w:rPr>
          <w:color w:val="auto"/>
        </w:rPr>
        <w:t>14</w:t>
      </w:r>
      <w:r w:rsidRPr="00C1603D">
        <w:t>. https://doi.org/10.1023/a:1012396408370</w:t>
      </w:r>
    </w:p>
    <w:p w14:paraId="18C468B1" w14:textId="77777777" w:rsidR="00EF77DB" w:rsidRPr="00C1603D" w:rsidRDefault="00EF77DB" w:rsidP="00EF77DB">
      <w:pPr>
        <w:pStyle w:val="65ReferencesTextstylesTextstyles"/>
      </w:pPr>
      <w:r w:rsidRPr="00C1603D">
        <w:t>200.</w:t>
      </w:r>
      <w:r w:rsidRPr="00C1603D">
        <w:tab/>
        <w:t xml:space="preserve">Mein SM, </w:t>
      </w:r>
      <w:proofErr w:type="spellStart"/>
      <w:r w:rsidRPr="00C1603D">
        <w:t>Ladabaum</w:t>
      </w:r>
      <w:proofErr w:type="spellEnd"/>
      <w:r w:rsidRPr="00C1603D">
        <w:t xml:space="preserve"> U. Serological testing for coeliac disease in patients with symptoms of irritable bowel syndrome: a cost-effectiveness analysis.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2004;</w:t>
      </w:r>
      <w:r w:rsidRPr="00C1603D">
        <w:rPr>
          <w:b/>
        </w:rPr>
        <w:t>19</w:t>
      </w:r>
      <w:r w:rsidRPr="00C1603D">
        <w:t>:</w:t>
      </w:r>
      <w:r w:rsidRPr="00C1603D">
        <w:rPr>
          <w:color w:val="auto"/>
        </w:rPr>
        <w:t>1199</w:t>
      </w:r>
      <w:r w:rsidRPr="00C1603D">
        <w:rPr>
          <w:color w:val="00B0F0"/>
        </w:rPr>
        <w:t>–</w:t>
      </w:r>
      <w:r w:rsidRPr="00C1603D">
        <w:rPr>
          <w:color w:val="auto"/>
        </w:rPr>
        <w:t>210</w:t>
      </w:r>
      <w:r w:rsidRPr="00C1603D">
        <w:t>. https://doi.org/10.1111/j.1365-2036.2004.01958.x</w:t>
      </w:r>
    </w:p>
    <w:p w14:paraId="41F119E7" w14:textId="77777777" w:rsidR="00EF77DB" w:rsidRPr="00C1603D" w:rsidRDefault="00EF77DB" w:rsidP="00EF77DB">
      <w:pPr>
        <w:pStyle w:val="65ReferencesTextstylesTextstyles"/>
      </w:pPr>
      <w:r w:rsidRPr="00C1603D">
        <w:t>201.</w:t>
      </w:r>
      <w:r w:rsidRPr="00C1603D">
        <w:tab/>
        <w:t xml:space="preserve">Spiegel BM, DeRosa VP, </w:t>
      </w:r>
      <w:proofErr w:type="spellStart"/>
      <w:r w:rsidRPr="00C1603D">
        <w:t>Gralnek</w:t>
      </w:r>
      <w:proofErr w:type="spellEnd"/>
      <w:r w:rsidRPr="00C1603D">
        <w:t xml:space="preserve"> IM, Wang V, </w:t>
      </w:r>
      <w:proofErr w:type="spellStart"/>
      <w:r w:rsidRPr="00C1603D">
        <w:t>Dulai</w:t>
      </w:r>
      <w:proofErr w:type="spellEnd"/>
      <w:r w:rsidRPr="00C1603D">
        <w:t xml:space="preserve"> GS. Testing for celiac sprue in irritable bowel syndrome with predominant </w:t>
      </w:r>
      <w:proofErr w:type="spellStart"/>
      <w:r w:rsidRPr="00C1603D">
        <w:t>diarrhea</w:t>
      </w:r>
      <w:proofErr w:type="spellEnd"/>
      <w:r w:rsidRPr="00C1603D">
        <w:t xml:space="preserve">: a cost-effectiveness analysis. </w:t>
      </w:r>
      <w:r w:rsidRPr="00C1603D">
        <w:rPr>
          <w:i/>
        </w:rPr>
        <w:t>Gastroenterology</w:t>
      </w:r>
      <w:r w:rsidRPr="00C1603D">
        <w:t xml:space="preserve"> 2004;</w:t>
      </w:r>
      <w:r w:rsidRPr="00C1603D">
        <w:rPr>
          <w:b/>
        </w:rPr>
        <w:t>126</w:t>
      </w:r>
      <w:r w:rsidRPr="00C1603D">
        <w:t>:</w:t>
      </w:r>
      <w:r w:rsidRPr="00C1603D">
        <w:rPr>
          <w:color w:val="auto"/>
        </w:rPr>
        <w:t>1721</w:t>
      </w:r>
      <w:r w:rsidRPr="00C1603D">
        <w:rPr>
          <w:color w:val="00B0F0"/>
        </w:rPr>
        <w:t>–</w:t>
      </w:r>
      <w:r w:rsidRPr="00C1603D">
        <w:rPr>
          <w:color w:val="auto"/>
        </w:rPr>
        <w:t>32</w:t>
      </w:r>
      <w:r w:rsidRPr="00C1603D">
        <w:t>.</w:t>
      </w:r>
    </w:p>
    <w:p w14:paraId="597B9752" w14:textId="77777777" w:rsidR="00EF77DB" w:rsidRPr="00C1603D" w:rsidRDefault="00EF77DB" w:rsidP="00EF77DB">
      <w:pPr>
        <w:pStyle w:val="65ReferencesTextstylesTextstyles"/>
      </w:pPr>
      <w:r w:rsidRPr="00C1603D">
        <w:t>202.</w:t>
      </w:r>
      <w:r w:rsidRPr="00C1603D">
        <w:tab/>
        <w:t xml:space="preserve">Shamir R, </w:t>
      </w:r>
      <w:proofErr w:type="spellStart"/>
      <w:r w:rsidRPr="00C1603D">
        <w:t>Hernell</w:t>
      </w:r>
      <w:proofErr w:type="spellEnd"/>
      <w:r w:rsidRPr="00C1603D">
        <w:t xml:space="preserve"> O, </w:t>
      </w:r>
      <w:proofErr w:type="spellStart"/>
      <w:r w:rsidRPr="00C1603D">
        <w:t>Leshno</w:t>
      </w:r>
      <w:proofErr w:type="spellEnd"/>
      <w:r w:rsidRPr="00C1603D">
        <w:t xml:space="preserve"> M. Cost-effectiveness analysis of screening for celiac disease in the adult population. </w:t>
      </w:r>
      <w:r w:rsidRPr="00C1603D">
        <w:rPr>
          <w:i/>
        </w:rPr>
        <w:t xml:space="preserve">Med </w:t>
      </w:r>
      <w:proofErr w:type="spellStart"/>
      <w:r w:rsidRPr="00C1603D">
        <w:rPr>
          <w:i/>
        </w:rPr>
        <w:t>Decis</w:t>
      </w:r>
      <w:proofErr w:type="spellEnd"/>
      <w:r w:rsidRPr="00C1603D">
        <w:rPr>
          <w:i/>
        </w:rPr>
        <w:t xml:space="preserve"> Making</w:t>
      </w:r>
      <w:r w:rsidRPr="00C1603D">
        <w:t xml:space="preserve"> 2006;</w:t>
      </w:r>
      <w:r w:rsidRPr="00C1603D">
        <w:rPr>
          <w:b/>
        </w:rPr>
        <w:t>26</w:t>
      </w:r>
      <w:r w:rsidRPr="00C1603D">
        <w:t>:</w:t>
      </w:r>
      <w:r w:rsidRPr="00C1603D">
        <w:rPr>
          <w:color w:val="auto"/>
        </w:rPr>
        <w:t>282</w:t>
      </w:r>
      <w:r w:rsidRPr="00C1603D">
        <w:rPr>
          <w:color w:val="00B0F0"/>
        </w:rPr>
        <w:t>–</w:t>
      </w:r>
      <w:r w:rsidRPr="00C1603D">
        <w:rPr>
          <w:color w:val="auto"/>
        </w:rPr>
        <w:t>93</w:t>
      </w:r>
      <w:r w:rsidRPr="00C1603D">
        <w:t>.</w:t>
      </w:r>
    </w:p>
    <w:p w14:paraId="75690DE9" w14:textId="77777777" w:rsidR="00EF77DB" w:rsidRPr="00C1603D" w:rsidRDefault="00EF77DB" w:rsidP="00EF77DB">
      <w:pPr>
        <w:pStyle w:val="65ReferencesTextstylesTextstyles"/>
      </w:pPr>
      <w:r w:rsidRPr="00C1603D">
        <w:t>203.</w:t>
      </w:r>
      <w:r w:rsidRPr="00C1603D">
        <w:tab/>
        <w:t xml:space="preserve">Swigonski NL, </w:t>
      </w:r>
      <w:proofErr w:type="spellStart"/>
      <w:r w:rsidRPr="00C1603D">
        <w:t>Kuhlenschmidt</w:t>
      </w:r>
      <w:proofErr w:type="spellEnd"/>
      <w:r w:rsidRPr="00C1603D">
        <w:t xml:space="preserve"> HL, Bull MJ, </w:t>
      </w:r>
      <w:proofErr w:type="spellStart"/>
      <w:r w:rsidRPr="00C1603D">
        <w:t>Corkins</w:t>
      </w:r>
      <w:proofErr w:type="spellEnd"/>
      <w:r w:rsidRPr="00C1603D">
        <w:t xml:space="preserve"> MR, Downs SM. Screening for celiac disease in asymptomatic children with Down syndrome: cost-effectiveness of preventing lymphoma. </w:t>
      </w:r>
      <w:proofErr w:type="spellStart"/>
      <w:r w:rsidRPr="00C1603D">
        <w:rPr>
          <w:i/>
        </w:rPr>
        <w:t>Pediatrics</w:t>
      </w:r>
      <w:proofErr w:type="spellEnd"/>
      <w:r w:rsidRPr="00C1603D">
        <w:t xml:space="preserve"> 2006;</w:t>
      </w:r>
      <w:r w:rsidRPr="00C1603D">
        <w:rPr>
          <w:b/>
        </w:rPr>
        <w:t>118</w:t>
      </w:r>
      <w:r w:rsidRPr="00C1603D">
        <w:t>:</w:t>
      </w:r>
      <w:r w:rsidRPr="00C1603D">
        <w:rPr>
          <w:color w:val="auto"/>
        </w:rPr>
        <w:t>594</w:t>
      </w:r>
      <w:r w:rsidRPr="00C1603D">
        <w:rPr>
          <w:color w:val="00B0F0"/>
        </w:rPr>
        <w:t>–</w:t>
      </w:r>
      <w:r w:rsidRPr="00C1603D">
        <w:rPr>
          <w:color w:val="auto"/>
        </w:rPr>
        <w:t>602</w:t>
      </w:r>
      <w:r w:rsidRPr="00C1603D">
        <w:t>.</w:t>
      </w:r>
    </w:p>
    <w:p w14:paraId="5A479DC7" w14:textId="77777777" w:rsidR="00EF77DB" w:rsidRPr="00C1603D" w:rsidRDefault="00EF77DB" w:rsidP="00EF77DB">
      <w:pPr>
        <w:pStyle w:val="65ReferencesTextstylesTextstyles"/>
      </w:pPr>
      <w:r w:rsidRPr="00C1603D">
        <w:t>204.</w:t>
      </w:r>
      <w:r w:rsidRPr="00C1603D">
        <w:tab/>
        <w:t xml:space="preserve">Dorn SD, </w:t>
      </w:r>
      <w:proofErr w:type="spellStart"/>
      <w:r w:rsidRPr="00C1603D">
        <w:t>Matchar</w:t>
      </w:r>
      <w:proofErr w:type="spellEnd"/>
      <w:r w:rsidRPr="00C1603D">
        <w:t xml:space="preserve"> DB. Cost-effectiveness analysis of strategies for diagnosing celiac disease. </w:t>
      </w:r>
      <w:r w:rsidRPr="00C1603D">
        <w:rPr>
          <w:i/>
        </w:rPr>
        <w:t>Dig Dis Sci</w:t>
      </w:r>
      <w:r w:rsidRPr="00C1603D">
        <w:t xml:space="preserve"> 2008;</w:t>
      </w:r>
      <w:r w:rsidRPr="00C1603D">
        <w:rPr>
          <w:b/>
        </w:rPr>
        <w:t>53</w:t>
      </w:r>
      <w:r w:rsidRPr="00C1603D">
        <w:t>:</w:t>
      </w:r>
      <w:r w:rsidRPr="00C1603D">
        <w:rPr>
          <w:color w:val="auto"/>
        </w:rPr>
        <w:t>680</w:t>
      </w:r>
      <w:r w:rsidRPr="00C1603D">
        <w:rPr>
          <w:color w:val="00B0F0"/>
        </w:rPr>
        <w:t>–</w:t>
      </w:r>
      <w:r w:rsidRPr="00C1603D">
        <w:rPr>
          <w:color w:val="auto"/>
        </w:rPr>
        <w:t>8</w:t>
      </w:r>
      <w:r w:rsidRPr="00C1603D">
        <w:t>. https://doi.org/10.1007/s10620-007-9939-5</w:t>
      </w:r>
    </w:p>
    <w:p w14:paraId="087CB822" w14:textId="77777777" w:rsidR="00EF77DB" w:rsidRPr="00C1603D" w:rsidRDefault="00EF77DB" w:rsidP="00EF77DB">
      <w:pPr>
        <w:pStyle w:val="65ReferencesTextstylesTextstyles"/>
      </w:pPr>
      <w:r w:rsidRPr="00C1603D">
        <w:t>205.</w:t>
      </w:r>
      <w:r w:rsidRPr="00C1603D">
        <w:tab/>
        <w:t xml:space="preserve">Chang M, Green PH. Genetic testing before serologic screening in relatives of patients with celiac disease as a cost containment method. </w:t>
      </w:r>
      <w:r w:rsidRPr="00C1603D">
        <w:rPr>
          <w:i/>
        </w:rPr>
        <w:t>J Clin Gastroenterol</w:t>
      </w:r>
      <w:r w:rsidRPr="00C1603D">
        <w:t xml:space="preserve"> 2009;</w:t>
      </w:r>
      <w:r w:rsidRPr="00C1603D">
        <w:rPr>
          <w:b/>
        </w:rPr>
        <w:t>43</w:t>
      </w:r>
      <w:r w:rsidRPr="00C1603D">
        <w:t>:</w:t>
      </w:r>
      <w:r w:rsidRPr="00C1603D">
        <w:rPr>
          <w:color w:val="auto"/>
        </w:rPr>
        <w:t>43</w:t>
      </w:r>
      <w:r w:rsidRPr="00C1603D">
        <w:rPr>
          <w:color w:val="00B0F0"/>
        </w:rPr>
        <w:t>–</w:t>
      </w:r>
      <w:r w:rsidRPr="00C1603D">
        <w:rPr>
          <w:color w:val="auto"/>
        </w:rPr>
        <w:t>50</w:t>
      </w:r>
      <w:r w:rsidRPr="00C1603D">
        <w:t>. https://doi.org/10.1097/MCG.0b013e318187311d</w:t>
      </w:r>
    </w:p>
    <w:p w14:paraId="33B0A5DA" w14:textId="77777777" w:rsidR="00EF77DB" w:rsidRPr="00C1603D" w:rsidRDefault="00EF77DB" w:rsidP="00EF77DB">
      <w:pPr>
        <w:pStyle w:val="65ReferencesTextstylesTextstyles"/>
      </w:pPr>
      <w:r w:rsidRPr="00C1603D">
        <w:t>206.</w:t>
      </w:r>
      <w:r w:rsidRPr="00C1603D">
        <w:tab/>
        <w:t xml:space="preserve">Hershcovici T, </w:t>
      </w:r>
      <w:proofErr w:type="spellStart"/>
      <w:r w:rsidRPr="00C1603D">
        <w:t>Leshno</w:t>
      </w:r>
      <w:proofErr w:type="spellEnd"/>
      <w:r w:rsidRPr="00C1603D">
        <w:t xml:space="preserve"> M, Goldin E, Shamir R, Israeli E. Cost effectiveness of mass screening for coeliac disease is determined by time-delay to diagnosis and quality of life on a gluten-free diet.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2010;</w:t>
      </w:r>
      <w:r w:rsidRPr="00C1603D">
        <w:rPr>
          <w:b/>
        </w:rPr>
        <w:t>31</w:t>
      </w:r>
      <w:r w:rsidRPr="00C1603D">
        <w:t>:</w:t>
      </w:r>
      <w:r w:rsidRPr="00C1603D">
        <w:rPr>
          <w:color w:val="auto"/>
        </w:rPr>
        <w:t>901</w:t>
      </w:r>
      <w:r w:rsidRPr="00C1603D">
        <w:rPr>
          <w:color w:val="00B0F0"/>
        </w:rPr>
        <w:t>–</w:t>
      </w:r>
      <w:r w:rsidRPr="00C1603D">
        <w:rPr>
          <w:color w:val="auto"/>
        </w:rPr>
        <w:t>10</w:t>
      </w:r>
      <w:r w:rsidRPr="00C1603D">
        <w:t>. https://doi.org/10.1111/j.1365-2036.2010.04242.x</w:t>
      </w:r>
    </w:p>
    <w:p w14:paraId="1AD76A33" w14:textId="21A8D9E3" w:rsidR="00EF77DB" w:rsidRPr="00C1603D" w:rsidRDefault="00EF77DB" w:rsidP="00EF77DB">
      <w:pPr>
        <w:pStyle w:val="65ReferencesTextstylesTextstyles"/>
      </w:pPr>
      <w:r w:rsidRPr="00C1603D">
        <w:t>207.</w:t>
      </w:r>
      <w:r w:rsidRPr="00C1603D">
        <w:tab/>
        <w:t xml:space="preserve">Mohseninejad L, </w:t>
      </w:r>
      <w:proofErr w:type="spellStart"/>
      <w:r w:rsidRPr="00C1603D">
        <w:t>Feenstra</w:t>
      </w:r>
      <w:proofErr w:type="spellEnd"/>
      <w:r w:rsidRPr="00C1603D">
        <w:t xml:space="preserve"> T, van der Horst HE, </w:t>
      </w:r>
      <w:proofErr w:type="spellStart"/>
      <w:r w:rsidRPr="00C1603D">
        <w:t>Woutersen</w:t>
      </w:r>
      <w:proofErr w:type="spellEnd"/>
      <w:r w:rsidRPr="00C1603D">
        <w:t xml:space="preserve">-Koch H, </w:t>
      </w:r>
      <w:proofErr w:type="spellStart"/>
      <w:r w:rsidRPr="00C1603D">
        <w:t>Buskens</w:t>
      </w:r>
      <w:proofErr w:type="spellEnd"/>
      <w:r w:rsidRPr="00C1603D">
        <w:t xml:space="preserve"> E. Targeted screening for </w:t>
      </w:r>
      <w:r w:rsidR="00303054" w:rsidRPr="00C1603D">
        <w:t xml:space="preserve">coeliac disease </w:t>
      </w:r>
      <w:r w:rsidRPr="00C1603D">
        <w:t xml:space="preserve">among irritable bowel syndrome patients: analysis of cost-effectiveness and value of information. </w:t>
      </w:r>
      <w:proofErr w:type="spellStart"/>
      <w:r w:rsidRPr="00C1603D">
        <w:rPr>
          <w:i/>
        </w:rPr>
        <w:t>Eur</w:t>
      </w:r>
      <w:proofErr w:type="spellEnd"/>
      <w:r w:rsidRPr="00C1603D">
        <w:rPr>
          <w:i/>
        </w:rPr>
        <w:t xml:space="preserve"> J Health Econ</w:t>
      </w:r>
      <w:r w:rsidRPr="00C1603D">
        <w:t xml:space="preserve"> 2013;</w:t>
      </w:r>
      <w:r w:rsidRPr="00C1603D">
        <w:rPr>
          <w:b/>
        </w:rPr>
        <w:t>14</w:t>
      </w:r>
      <w:r w:rsidRPr="00C1603D">
        <w:t>:</w:t>
      </w:r>
      <w:r w:rsidRPr="00C1603D">
        <w:rPr>
          <w:color w:val="auto"/>
        </w:rPr>
        <w:t>947</w:t>
      </w:r>
      <w:r w:rsidRPr="00C1603D">
        <w:rPr>
          <w:color w:val="00B0F0"/>
        </w:rPr>
        <w:t>–</w:t>
      </w:r>
      <w:r w:rsidRPr="00C1603D">
        <w:rPr>
          <w:color w:val="auto"/>
        </w:rPr>
        <w:t>57</w:t>
      </w:r>
      <w:r w:rsidRPr="00C1603D">
        <w:t>. https://doi.org/10.1007/s10198-012-0441-4</w:t>
      </w:r>
    </w:p>
    <w:p w14:paraId="5511DD60" w14:textId="77777777" w:rsidR="00EF77DB" w:rsidRPr="00C1603D" w:rsidRDefault="00EF77DB" w:rsidP="00EF77DB">
      <w:pPr>
        <w:pStyle w:val="65ReferencesTextstylesTextstyles"/>
      </w:pPr>
      <w:r w:rsidRPr="00C1603D">
        <w:t>208.</w:t>
      </w:r>
      <w:r w:rsidRPr="00C1603D">
        <w:tab/>
        <w:t xml:space="preserve">Park KT, Tsai R, Wang L, Khavari N, Bachrach L, Bass D. Cost-effectiveness of universal serologic screening to prevent nontraumatic hip and vertebral fractures in patients with celiac disease. </w:t>
      </w:r>
      <w:r w:rsidRPr="00C1603D">
        <w:rPr>
          <w:i/>
        </w:rPr>
        <w:t>Clin Gastroenterol Hepatol</w:t>
      </w:r>
      <w:r w:rsidRPr="00C1603D">
        <w:t xml:space="preserve"> 2013;</w:t>
      </w:r>
      <w:r w:rsidRPr="00C1603D">
        <w:rPr>
          <w:b/>
        </w:rPr>
        <w:t>11</w:t>
      </w:r>
      <w:r w:rsidRPr="00C1603D">
        <w:t>:</w:t>
      </w:r>
      <w:r w:rsidRPr="00C1603D">
        <w:rPr>
          <w:color w:val="auto"/>
        </w:rPr>
        <w:t>645</w:t>
      </w:r>
      <w:r w:rsidRPr="00C1603D">
        <w:rPr>
          <w:color w:val="00B0F0"/>
        </w:rPr>
        <w:t>–</w:t>
      </w:r>
      <w:r w:rsidRPr="00C1603D">
        <w:rPr>
          <w:color w:val="auto"/>
        </w:rPr>
        <w:t>53</w:t>
      </w:r>
      <w:r w:rsidRPr="00C1603D">
        <w:t>. https://doi.org/10.1016/j.cgh.2012.12.037</w:t>
      </w:r>
    </w:p>
    <w:p w14:paraId="29668438" w14:textId="43D84BDB" w:rsidR="00EF77DB" w:rsidRPr="00C1603D" w:rsidRDefault="00EF77DB" w:rsidP="00EF77DB">
      <w:pPr>
        <w:pStyle w:val="65ReferencesTextstylesTextstyles"/>
      </w:pPr>
      <w:r w:rsidRPr="00C1603D">
        <w:t>209.</w:t>
      </w:r>
      <w:r w:rsidRPr="00C1603D">
        <w:tab/>
        <w:t xml:space="preserve">Yang JJ, </w:t>
      </w:r>
      <w:proofErr w:type="spellStart"/>
      <w:r w:rsidRPr="00C1603D">
        <w:t>Thanataveerat</w:t>
      </w:r>
      <w:proofErr w:type="spellEnd"/>
      <w:r w:rsidRPr="00C1603D">
        <w:t xml:space="preserve"> A, Green PH, </w:t>
      </w:r>
      <w:proofErr w:type="spellStart"/>
      <w:r w:rsidRPr="00C1603D">
        <w:t>Lebwohl</w:t>
      </w:r>
      <w:proofErr w:type="spellEnd"/>
      <w:r w:rsidRPr="00C1603D">
        <w:t xml:space="preserve"> B. Cost </w:t>
      </w:r>
      <w:r w:rsidR="00303054" w:rsidRPr="00C1603D">
        <w:t>effectiveness of routine duodenal biopsy analysis for celiac disease during endoscopy for gastroesophageal refl</w:t>
      </w:r>
      <w:r w:rsidRPr="00C1603D">
        <w:t xml:space="preserve">ux. </w:t>
      </w:r>
      <w:r w:rsidRPr="00C1603D">
        <w:rPr>
          <w:i/>
        </w:rPr>
        <w:t>Clin Gastroenterol Hepatol</w:t>
      </w:r>
      <w:r w:rsidRPr="00C1603D">
        <w:t xml:space="preserve"> 2015;</w:t>
      </w:r>
      <w:r w:rsidRPr="00C1603D">
        <w:rPr>
          <w:b/>
        </w:rPr>
        <w:t>13</w:t>
      </w:r>
      <w:r w:rsidRPr="00C1603D">
        <w:t>:</w:t>
      </w:r>
      <w:r w:rsidRPr="00C1603D">
        <w:rPr>
          <w:color w:val="auto"/>
        </w:rPr>
        <w:t>1437</w:t>
      </w:r>
      <w:r w:rsidRPr="00C1603D">
        <w:rPr>
          <w:color w:val="00B0F0"/>
        </w:rPr>
        <w:t>–</w:t>
      </w:r>
      <w:r w:rsidRPr="00C1603D">
        <w:rPr>
          <w:color w:val="auto"/>
        </w:rPr>
        <w:t>43</w:t>
      </w:r>
      <w:r w:rsidRPr="00C1603D">
        <w:t>. https://doi.org/10.1016/j.cgh.2015.03.022</w:t>
      </w:r>
    </w:p>
    <w:p w14:paraId="5CEB11BD" w14:textId="77777777" w:rsidR="00EF77DB" w:rsidRPr="00C1603D" w:rsidRDefault="00EF77DB" w:rsidP="00EF77DB">
      <w:pPr>
        <w:pStyle w:val="65ReferencesTextstylesTextstyles"/>
      </w:pPr>
      <w:r w:rsidRPr="00C1603D">
        <w:t>210.</w:t>
      </w:r>
      <w:r w:rsidRPr="00C1603D">
        <w:tab/>
        <w:t xml:space="preserve">Broide E, </w:t>
      </w:r>
      <w:proofErr w:type="spellStart"/>
      <w:r w:rsidRPr="00C1603D">
        <w:t>Matalon</w:t>
      </w:r>
      <w:proofErr w:type="spellEnd"/>
      <w:r w:rsidRPr="00C1603D">
        <w:t xml:space="preserve"> S, </w:t>
      </w:r>
      <w:proofErr w:type="spellStart"/>
      <w:r w:rsidRPr="00C1603D">
        <w:t>Kriger-Sharabi</w:t>
      </w:r>
      <w:proofErr w:type="spellEnd"/>
      <w:r w:rsidRPr="00C1603D">
        <w:t xml:space="preserve"> O, Richter V, Shirin H, </w:t>
      </w:r>
      <w:proofErr w:type="spellStart"/>
      <w:r w:rsidRPr="00C1603D">
        <w:t>Leshno</w:t>
      </w:r>
      <w:proofErr w:type="spellEnd"/>
      <w:r w:rsidRPr="00C1603D">
        <w:t xml:space="preserve"> M. Cost effectiveness of routine duodenal biopsies in iron deficiency </w:t>
      </w:r>
      <w:proofErr w:type="spellStart"/>
      <w:r w:rsidRPr="00C1603D">
        <w:t>anemia</w:t>
      </w:r>
      <w:proofErr w:type="spellEnd"/>
      <w:r w:rsidRPr="00C1603D">
        <w:t xml:space="preserve">. </w:t>
      </w:r>
      <w:r w:rsidRPr="00C1603D">
        <w:rPr>
          <w:i/>
        </w:rPr>
        <w:t>World J Gastroenterol</w:t>
      </w:r>
      <w:r w:rsidRPr="00C1603D">
        <w:t xml:space="preserve"> 2016;</w:t>
      </w:r>
      <w:r w:rsidRPr="00C1603D">
        <w:rPr>
          <w:b/>
        </w:rPr>
        <w:t>22</w:t>
      </w:r>
      <w:r w:rsidRPr="00C1603D">
        <w:t>:</w:t>
      </w:r>
      <w:r w:rsidRPr="00C1603D">
        <w:rPr>
          <w:color w:val="auto"/>
        </w:rPr>
        <w:t>7813</w:t>
      </w:r>
      <w:r w:rsidRPr="00C1603D">
        <w:rPr>
          <w:color w:val="00B0F0"/>
        </w:rPr>
        <w:t>–</w:t>
      </w:r>
      <w:r w:rsidRPr="00C1603D">
        <w:rPr>
          <w:color w:val="auto"/>
        </w:rPr>
        <w:t>23</w:t>
      </w:r>
      <w:r w:rsidRPr="00C1603D">
        <w:t>. https://doi.org/10.3748/wjg.v22.i34.7813</w:t>
      </w:r>
    </w:p>
    <w:p w14:paraId="41145EBF" w14:textId="6627990F" w:rsidR="00EF77DB" w:rsidRPr="00C1603D" w:rsidRDefault="00EF77DB" w:rsidP="00EF77DB">
      <w:pPr>
        <w:pStyle w:val="65ReferencesTextstylesTextstyles"/>
      </w:pPr>
      <w:r w:rsidRPr="00C1603D">
        <w:t>211.</w:t>
      </w:r>
      <w:r w:rsidRPr="00C1603D">
        <w:tab/>
        <w:t xml:space="preserve">Siebert U, </w:t>
      </w:r>
      <w:proofErr w:type="spellStart"/>
      <w:r w:rsidRPr="00C1603D">
        <w:t>Alagoz</w:t>
      </w:r>
      <w:proofErr w:type="spellEnd"/>
      <w:r w:rsidRPr="00C1603D">
        <w:t xml:space="preserve"> O, </w:t>
      </w:r>
      <w:proofErr w:type="spellStart"/>
      <w:r w:rsidRPr="00C1603D">
        <w:t>Bayoumi</w:t>
      </w:r>
      <w:proofErr w:type="spellEnd"/>
      <w:r w:rsidRPr="00C1603D">
        <w:t xml:space="preserve"> AM, Jahn B, Owens DK, Cohen DJ, </w:t>
      </w:r>
      <w:r w:rsidRPr="00C1603D">
        <w:rPr>
          <w:i/>
        </w:rPr>
        <w:t>et</w:t>
      </w:r>
      <w:r w:rsidRPr="00C1603D">
        <w:t xml:space="preserve"> </w:t>
      </w:r>
      <w:r w:rsidRPr="00C1603D">
        <w:rPr>
          <w:i/>
        </w:rPr>
        <w:t>al</w:t>
      </w:r>
      <w:r w:rsidRPr="00C1603D">
        <w:t>. State-</w:t>
      </w:r>
      <w:r w:rsidR="00303054" w:rsidRPr="00C1603D">
        <w:t xml:space="preserve">transition modelling: a </w:t>
      </w:r>
      <w:r w:rsidRPr="00C1603D">
        <w:t xml:space="preserve">report of the ISPOR-SMDM Modelling Good Research Practices Task Force-3. </w:t>
      </w:r>
      <w:r w:rsidRPr="00C1603D">
        <w:rPr>
          <w:i/>
        </w:rPr>
        <w:t>Value</w:t>
      </w:r>
      <w:r w:rsidRPr="00C1603D">
        <w:t xml:space="preserve"> </w:t>
      </w:r>
      <w:r w:rsidRPr="00C1603D">
        <w:rPr>
          <w:i/>
        </w:rPr>
        <w:t>Health</w:t>
      </w:r>
      <w:r w:rsidRPr="00C1603D">
        <w:t xml:space="preserve"> 2012;</w:t>
      </w:r>
      <w:r w:rsidRPr="00C1603D">
        <w:rPr>
          <w:b/>
        </w:rPr>
        <w:t>15</w:t>
      </w:r>
      <w:r w:rsidRPr="00C1603D">
        <w:t>:812</w:t>
      </w:r>
      <w:r w:rsidR="00303054" w:rsidRPr="00C1603D">
        <w:t>–</w:t>
      </w:r>
      <w:r w:rsidRPr="00C1603D">
        <w:t>20.</w:t>
      </w:r>
    </w:p>
    <w:p w14:paraId="45838C1E" w14:textId="5719A187" w:rsidR="00EF77DB" w:rsidRPr="00C1603D" w:rsidRDefault="00EF77DB" w:rsidP="00EF77DB">
      <w:pPr>
        <w:pStyle w:val="65ReferencesTextstylesTextstyles"/>
      </w:pPr>
      <w:r w:rsidRPr="00C1603D">
        <w:t>212.</w:t>
      </w:r>
      <w:r w:rsidRPr="00C1603D">
        <w:tab/>
      </w:r>
      <w:r w:rsidR="0003229C" w:rsidRPr="00C1603D">
        <w:t xml:space="preserve">Coeliac </w:t>
      </w:r>
      <w:r w:rsidRPr="00C1603D">
        <w:t xml:space="preserve">UK. </w:t>
      </w:r>
      <w:r w:rsidRPr="00C1603D">
        <w:rPr>
          <w:i/>
        </w:rPr>
        <w:t>Ongoing</w:t>
      </w:r>
      <w:r w:rsidRPr="00C1603D">
        <w:t xml:space="preserve"> </w:t>
      </w:r>
      <w:r w:rsidR="00303054" w:rsidRPr="00C1603D">
        <w:rPr>
          <w:i/>
        </w:rPr>
        <w:t>Symptoms</w:t>
      </w:r>
      <w:r w:rsidR="00303054" w:rsidRPr="00C1603D">
        <w:t xml:space="preserve"> </w:t>
      </w:r>
      <w:r w:rsidRPr="00C1603D">
        <w:rPr>
          <w:i/>
        </w:rPr>
        <w:t>and</w:t>
      </w:r>
      <w:r w:rsidRPr="00C1603D">
        <w:t xml:space="preserve"> </w:t>
      </w:r>
      <w:r w:rsidR="00303054" w:rsidRPr="00C1603D">
        <w:rPr>
          <w:i/>
        </w:rPr>
        <w:t>Complications</w:t>
      </w:r>
      <w:r w:rsidRPr="00C1603D">
        <w:t>. URL: www.coeliac.org.uk/healthcare-professionals/management/ongoing-symptoms-and-</w:t>
      </w:r>
      <w:r w:rsidRPr="00C1603D">
        <w:lastRenderedPageBreak/>
        <w:t>complications/ (accessed 25</w:t>
      </w:r>
      <w:r w:rsidR="00303054" w:rsidRPr="00C1603D">
        <w:t xml:space="preserve"> January 20</w:t>
      </w:r>
      <w:r w:rsidRPr="00C1603D">
        <w:t>21).</w:t>
      </w:r>
    </w:p>
    <w:p w14:paraId="62A346B8" w14:textId="77777777" w:rsidR="00EF77DB" w:rsidRPr="00C1603D" w:rsidRDefault="00EF77DB" w:rsidP="00EF77DB">
      <w:pPr>
        <w:pStyle w:val="65ReferencesTextstylesTextstyles"/>
      </w:pPr>
      <w:r w:rsidRPr="00C1603D">
        <w:t>213.</w:t>
      </w:r>
      <w:r w:rsidRPr="00C1603D">
        <w:tab/>
        <w:t xml:space="preserve">Welton NJ, </w:t>
      </w:r>
      <w:proofErr w:type="spellStart"/>
      <w:r w:rsidRPr="00C1603D">
        <w:t>McAleenan</w:t>
      </w:r>
      <w:proofErr w:type="spellEnd"/>
      <w:r w:rsidRPr="00C1603D">
        <w:t xml:space="preserve"> A, Thom HH, Davies P, Hollingworth W, Higgins JP, </w:t>
      </w:r>
      <w:r w:rsidRPr="00C1603D">
        <w:rPr>
          <w:i/>
        </w:rPr>
        <w:t>et al</w:t>
      </w:r>
      <w:r w:rsidRPr="00C1603D">
        <w:t xml:space="preserve">. Screening strategies for atrial fibrillation: a systematic review and cost-effectiveness analysis. </w:t>
      </w:r>
      <w:r w:rsidRPr="00C1603D">
        <w:rPr>
          <w:i/>
        </w:rPr>
        <w:t xml:space="preserve">Health </w:t>
      </w:r>
      <w:proofErr w:type="spellStart"/>
      <w:r w:rsidRPr="00C1603D">
        <w:rPr>
          <w:i/>
        </w:rPr>
        <w:t>Technol</w:t>
      </w:r>
      <w:proofErr w:type="spellEnd"/>
      <w:r w:rsidRPr="00C1603D">
        <w:rPr>
          <w:i/>
        </w:rPr>
        <w:t xml:space="preserve"> Assess</w:t>
      </w:r>
      <w:r w:rsidRPr="00C1603D">
        <w:t xml:space="preserve"> 2017;</w:t>
      </w:r>
      <w:r w:rsidRPr="00C1603D">
        <w:rPr>
          <w:b/>
        </w:rPr>
        <w:t>21</w:t>
      </w:r>
      <w:r w:rsidRPr="00C1603D">
        <w:t>(29). https://doi.org/10.3310/hta21290</w:t>
      </w:r>
    </w:p>
    <w:p w14:paraId="2CDCE94C" w14:textId="77777777" w:rsidR="00EF77DB" w:rsidRPr="00C1603D" w:rsidRDefault="00EF77DB" w:rsidP="00EF77DB">
      <w:pPr>
        <w:pStyle w:val="65ReferencesTextstylesTextstyles"/>
      </w:pPr>
      <w:r w:rsidRPr="00C1603D">
        <w:t>214.</w:t>
      </w:r>
      <w:r w:rsidRPr="00C1603D">
        <w:tab/>
      </w:r>
      <w:proofErr w:type="spellStart"/>
      <w:r w:rsidRPr="00C1603D">
        <w:t>Iragorri</w:t>
      </w:r>
      <w:proofErr w:type="spellEnd"/>
      <w:r w:rsidRPr="00C1603D">
        <w:t xml:space="preserve"> N, Spackman E. Assessing the value of screening tools: reviewing the challenges and opportunities of cost-effectiveness analysis. </w:t>
      </w:r>
      <w:r w:rsidRPr="00C1603D">
        <w:rPr>
          <w:i/>
        </w:rPr>
        <w:t>Public Health Rev</w:t>
      </w:r>
      <w:r w:rsidRPr="00C1603D">
        <w:t xml:space="preserve"> 2018;</w:t>
      </w:r>
      <w:r w:rsidRPr="00C1603D">
        <w:rPr>
          <w:b/>
        </w:rPr>
        <w:t>39</w:t>
      </w:r>
      <w:r w:rsidRPr="00C1603D">
        <w:t>:</w:t>
      </w:r>
      <w:r w:rsidRPr="00C1603D">
        <w:rPr>
          <w:color w:val="auto"/>
        </w:rPr>
        <w:t>17</w:t>
      </w:r>
      <w:r w:rsidRPr="00C1603D">
        <w:t>. https://doi.org/10.1186/s40985-018-0093-8</w:t>
      </w:r>
    </w:p>
    <w:p w14:paraId="31EEC407" w14:textId="4C4959B3" w:rsidR="00EF77DB" w:rsidRPr="00C1603D" w:rsidRDefault="00EF77DB" w:rsidP="00EF77DB">
      <w:pPr>
        <w:pStyle w:val="65ReferencesTextstylesTextstyles"/>
      </w:pPr>
      <w:r w:rsidRPr="00C1603D">
        <w:t>215.</w:t>
      </w:r>
      <w:r w:rsidRPr="00C1603D">
        <w:tab/>
        <w:t xml:space="preserve">Briggs AH, Claxton K, </w:t>
      </w:r>
      <w:proofErr w:type="spellStart"/>
      <w:r w:rsidRPr="00C1603D">
        <w:t>Sculpher</w:t>
      </w:r>
      <w:proofErr w:type="spellEnd"/>
      <w:r w:rsidRPr="00C1603D">
        <w:t xml:space="preserve"> MJ. </w:t>
      </w:r>
      <w:r w:rsidRPr="00C1603D">
        <w:rPr>
          <w:i/>
        </w:rPr>
        <w:t>Decision</w:t>
      </w:r>
      <w:r w:rsidRPr="00C1603D">
        <w:t xml:space="preserve"> </w:t>
      </w:r>
      <w:r w:rsidR="0003229C" w:rsidRPr="00C1603D">
        <w:rPr>
          <w:i/>
        </w:rPr>
        <w:t>Modelling</w:t>
      </w:r>
      <w:r w:rsidR="0003229C" w:rsidRPr="00C1603D">
        <w:t xml:space="preserve"> </w:t>
      </w:r>
      <w:r w:rsidRPr="00C1603D">
        <w:rPr>
          <w:i/>
        </w:rPr>
        <w:t>for</w:t>
      </w:r>
      <w:r w:rsidRPr="00C1603D">
        <w:t xml:space="preserve"> </w:t>
      </w:r>
      <w:r w:rsidR="0003229C" w:rsidRPr="00C1603D">
        <w:rPr>
          <w:i/>
        </w:rPr>
        <w:t>Health</w:t>
      </w:r>
      <w:r w:rsidR="0003229C" w:rsidRPr="00C1603D">
        <w:t xml:space="preserve"> </w:t>
      </w:r>
      <w:r w:rsidR="0003229C" w:rsidRPr="00C1603D">
        <w:rPr>
          <w:i/>
        </w:rPr>
        <w:t>Economic</w:t>
      </w:r>
      <w:r w:rsidR="0003229C" w:rsidRPr="00C1603D">
        <w:t xml:space="preserve"> </w:t>
      </w:r>
      <w:r w:rsidR="0003229C" w:rsidRPr="00C1603D">
        <w:rPr>
          <w:i/>
        </w:rPr>
        <w:t>Evaluation</w:t>
      </w:r>
      <w:r w:rsidRPr="00C1603D">
        <w:t>. Oxford: Oxford University Press; 2006.</w:t>
      </w:r>
    </w:p>
    <w:p w14:paraId="2FE31BF5" w14:textId="1A2E23ED" w:rsidR="00EF77DB" w:rsidRPr="00C1603D" w:rsidRDefault="3CDEEDA7" w:rsidP="00EF77DB">
      <w:pPr>
        <w:pStyle w:val="65ReferencesTextstylesTextstyles"/>
      </w:pPr>
      <w:commentRangeStart w:id="519"/>
      <w:commentRangeStart w:id="520"/>
      <w:r w:rsidRPr="00C1603D">
        <w:t>216.</w:t>
      </w:r>
      <w:r w:rsidR="00EF77DB" w:rsidRPr="00C1603D">
        <w:tab/>
      </w:r>
      <w:r w:rsidRPr="00C1603D">
        <w:t xml:space="preserve">Johnson B, </w:t>
      </w:r>
      <w:proofErr w:type="spellStart"/>
      <w:r w:rsidRPr="00C1603D">
        <w:t>Basson</w:t>
      </w:r>
      <w:proofErr w:type="spellEnd"/>
      <w:r w:rsidRPr="00C1603D">
        <w:t xml:space="preserve"> MD. Absence of complications after endoscopic mucosal biopsy. </w:t>
      </w:r>
      <w:r w:rsidRPr="00C1603D">
        <w:rPr>
          <w:i/>
          <w:iCs/>
        </w:rPr>
        <w:t>Dig Dis</w:t>
      </w:r>
      <w:r w:rsidRPr="00C1603D">
        <w:t xml:space="preserve"> 2018;</w:t>
      </w:r>
      <w:r w:rsidRPr="00C1603D">
        <w:rPr>
          <w:b/>
          <w:bCs/>
        </w:rPr>
        <w:t>36</w:t>
      </w:r>
      <w:r w:rsidRPr="00C1603D">
        <w:t>:</w:t>
      </w:r>
      <w:r w:rsidRPr="00C1603D">
        <w:rPr>
          <w:color w:val="auto"/>
        </w:rPr>
        <w:t>328</w:t>
      </w:r>
      <w:r w:rsidRPr="00C1603D">
        <w:rPr>
          <w:color w:val="00B0F0"/>
        </w:rPr>
        <w:t>–</w:t>
      </w:r>
      <w:r w:rsidRPr="00C1603D">
        <w:rPr>
          <w:color w:val="auto"/>
        </w:rPr>
        <w:t>32</w:t>
      </w:r>
      <w:r w:rsidRPr="00C1603D">
        <w:t>. https://doi.org/10.1159/000489394</w:t>
      </w:r>
      <w:commentRangeEnd w:id="519"/>
      <w:r w:rsidR="00EF77DB" w:rsidRPr="00C1603D">
        <w:commentReference w:id="519"/>
      </w:r>
      <w:commentRangeEnd w:id="520"/>
      <w:r w:rsidR="00EF77DB" w:rsidRPr="00C1603D">
        <w:commentReference w:id="520"/>
      </w:r>
    </w:p>
    <w:p w14:paraId="36B4508F" w14:textId="77777777" w:rsidR="00EF77DB" w:rsidRPr="00C1603D" w:rsidRDefault="00EF77DB" w:rsidP="00EF77DB">
      <w:pPr>
        <w:pStyle w:val="65ReferencesTextstylesTextstyles"/>
      </w:pPr>
      <w:r w:rsidRPr="00C1603D">
        <w:t>217.</w:t>
      </w:r>
      <w:r w:rsidRPr="00C1603D">
        <w:tab/>
        <w:t xml:space="preserve">Hall NJ, Rubin G, Charnock A. Systematic review: adherence to a gluten-free diet in adult patients with coeliac disease.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2009;</w:t>
      </w:r>
      <w:r w:rsidRPr="00C1603D">
        <w:rPr>
          <w:b/>
        </w:rPr>
        <w:t>30</w:t>
      </w:r>
      <w:r w:rsidRPr="00C1603D">
        <w:t>:</w:t>
      </w:r>
      <w:r w:rsidRPr="00C1603D">
        <w:rPr>
          <w:color w:val="auto"/>
        </w:rPr>
        <w:t>315</w:t>
      </w:r>
      <w:r w:rsidRPr="00C1603D">
        <w:rPr>
          <w:color w:val="00B0F0"/>
        </w:rPr>
        <w:t>–</w:t>
      </w:r>
      <w:r w:rsidRPr="00C1603D">
        <w:rPr>
          <w:color w:val="auto"/>
        </w:rPr>
        <w:t>30</w:t>
      </w:r>
      <w:r w:rsidRPr="00C1603D">
        <w:t>. https://doi.org/10.1111/j.1365-2036.2009.04053.x</w:t>
      </w:r>
    </w:p>
    <w:p w14:paraId="3E834D86" w14:textId="77777777" w:rsidR="00EF77DB" w:rsidRPr="00C1603D" w:rsidRDefault="00EF77DB" w:rsidP="00EF77DB">
      <w:pPr>
        <w:pStyle w:val="65ReferencesTextstylesTextstyles"/>
      </w:pPr>
      <w:r w:rsidRPr="00C1603D">
        <w:t>218.</w:t>
      </w:r>
      <w:r w:rsidRPr="00C1603D">
        <w:tab/>
        <w:t xml:space="preserve">Muhammad H, Reeves S, Jeanes YM. Identifying and improving adherence to the gluten-free diet in people with coeliac disease. </w:t>
      </w:r>
      <w:r w:rsidRPr="00C1603D">
        <w:rPr>
          <w:i/>
        </w:rPr>
        <w:t xml:space="preserve">Proc </w:t>
      </w:r>
      <w:proofErr w:type="spellStart"/>
      <w:r w:rsidRPr="00C1603D">
        <w:rPr>
          <w:i/>
        </w:rPr>
        <w:t>Nutr</w:t>
      </w:r>
      <w:proofErr w:type="spellEnd"/>
      <w:r w:rsidRPr="00C1603D">
        <w:rPr>
          <w:i/>
        </w:rPr>
        <w:t xml:space="preserve"> Soc</w:t>
      </w:r>
      <w:r w:rsidRPr="00C1603D">
        <w:t xml:space="preserve"> 2019;</w:t>
      </w:r>
      <w:r w:rsidRPr="00C1603D">
        <w:rPr>
          <w:b/>
        </w:rPr>
        <w:t>78</w:t>
      </w:r>
      <w:r w:rsidRPr="00C1603D">
        <w:t>:</w:t>
      </w:r>
      <w:r w:rsidRPr="00C1603D">
        <w:rPr>
          <w:color w:val="auto"/>
        </w:rPr>
        <w:t>418</w:t>
      </w:r>
      <w:r w:rsidRPr="00C1603D">
        <w:rPr>
          <w:color w:val="00B0F0"/>
        </w:rPr>
        <w:t>–</w:t>
      </w:r>
      <w:r w:rsidRPr="00C1603D">
        <w:rPr>
          <w:color w:val="auto"/>
        </w:rPr>
        <w:t>25</w:t>
      </w:r>
      <w:r w:rsidRPr="00C1603D">
        <w:t>. https://doi.org/10.1017/S002966511800277X</w:t>
      </w:r>
    </w:p>
    <w:p w14:paraId="4E41E3C6" w14:textId="77777777" w:rsidR="00EF77DB" w:rsidRPr="00C1603D" w:rsidRDefault="00EF77DB" w:rsidP="00EF77DB">
      <w:pPr>
        <w:pStyle w:val="65ReferencesTextstylesTextstyles"/>
      </w:pPr>
      <w:r w:rsidRPr="00C1603D">
        <w:t>219.</w:t>
      </w:r>
      <w:r w:rsidRPr="00C1603D">
        <w:tab/>
      </w:r>
      <w:proofErr w:type="spellStart"/>
      <w:r w:rsidRPr="00C1603D">
        <w:t>Dhalwani</w:t>
      </w:r>
      <w:proofErr w:type="spellEnd"/>
      <w:r w:rsidRPr="00C1603D">
        <w:t xml:space="preserve"> NN, West J, Sultan AA, Ban L, Tata LJ. Women with celiac disease present with fertility problems no more often than women in the general population. </w:t>
      </w:r>
      <w:r w:rsidRPr="00C1603D">
        <w:rPr>
          <w:i/>
        </w:rPr>
        <w:t>Gastroenterology</w:t>
      </w:r>
      <w:r w:rsidRPr="00C1603D">
        <w:t xml:space="preserve"> 2014;</w:t>
      </w:r>
      <w:r w:rsidRPr="00C1603D">
        <w:rPr>
          <w:b/>
        </w:rPr>
        <w:t>147</w:t>
      </w:r>
      <w:r w:rsidRPr="00C1603D">
        <w:t>:</w:t>
      </w:r>
      <w:r w:rsidRPr="00C1603D">
        <w:rPr>
          <w:color w:val="auto"/>
        </w:rPr>
        <w:t>1267</w:t>
      </w:r>
      <w:r w:rsidRPr="00C1603D">
        <w:rPr>
          <w:color w:val="00B0F0"/>
        </w:rPr>
        <w:t>–</w:t>
      </w:r>
      <w:r w:rsidRPr="00C1603D">
        <w:rPr>
          <w:color w:val="auto"/>
        </w:rPr>
        <w:t>74</w:t>
      </w:r>
      <w:r w:rsidRPr="00C1603D">
        <w:rPr>
          <w:color w:val="00B0F0"/>
        </w:rPr>
        <w:t>.</w:t>
      </w:r>
      <w:r w:rsidRPr="00C1603D">
        <w:rPr>
          <w:color w:val="auto"/>
        </w:rPr>
        <w:t>e1</w:t>
      </w:r>
      <w:r w:rsidRPr="00C1603D">
        <w:t>. https://doi.org/10.1053/j.gastro.2014.08.025</w:t>
      </w:r>
    </w:p>
    <w:p w14:paraId="50CBF174" w14:textId="77777777" w:rsidR="00EF77DB" w:rsidRPr="00C1603D" w:rsidRDefault="00EF77DB" w:rsidP="00EF77DB">
      <w:pPr>
        <w:pStyle w:val="65ReferencesTextstylesTextstyles"/>
      </w:pPr>
      <w:r w:rsidRPr="00C1603D">
        <w:t>220.</w:t>
      </w:r>
      <w:r w:rsidRPr="00C1603D">
        <w:tab/>
        <w:t xml:space="preserve">Tata LJ, Card TR, Logan RF, Hubbard RB, Smith CJ, West J. Fertility and pregnancy-related events in women with celiac disease: a population-based cohort study. </w:t>
      </w:r>
      <w:r w:rsidRPr="00C1603D">
        <w:rPr>
          <w:i/>
        </w:rPr>
        <w:t>Gastroenterology</w:t>
      </w:r>
      <w:r w:rsidRPr="00C1603D">
        <w:t xml:space="preserve"> 2005;</w:t>
      </w:r>
      <w:r w:rsidRPr="00C1603D">
        <w:rPr>
          <w:b/>
        </w:rPr>
        <w:t>128</w:t>
      </w:r>
      <w:r w:rsidRPr="00C1603D">
        <w:t>:</w:t>
      </w:r>
      <w:r w:rsidRPr="00C1603D">
        <w:rPr>
          <w:color w:val="auto"/>
        </w:rPr>
        <w:t>849</w:t>
      </w:r>
      <w:r w:rsidRPr="00C1603D">
        <w:rPr>
          <w:color w:val="00B0F0"/>
        </w:rPr>
        <w:t>–</w:t>
      </w:r>
      <w:r w:rsidRPr="00C1603D">
        <w:rPr>
          <w:color w:val="auto"/>
        </w:rPr>
        <w:t>55</w:t>
      </w:r>
      <w:r w:rsidRPr="00C1603D">
        <w:t>.</w:t>
      </w:r>
    </w:p>
    <w:p w14:paraId="3AFAD6C4" w14:textId="77777777" w:rsidR="00EF77DB" w:rsidRPr="00C1603D" w:rsidRDefault="00EF77DB" w:rsidP="00EF77DB">
      <w:pPr>
        <w:pStyle w:val="65ReferencesTextstylesTextstyles"/>
      </w:pPr>
      <w:r w:rsidRPr="00C1603D">
        <w:t>221.</w:t>
      </w:r>
      <w:r w:rsidRPr="00C1603D">
        <w:tab/>
      </w:r>
      <w:proofErr w:type="spellStart"/>
      <w:r w:rsidRPr="00C1603D">
        <w:t>Zugna</w:t>
      </w:r>
      <w:proofErr w:type="spellEnd"/>
      <w:r w:rsidRPr="00C1603D">
        <w:t xml:space="preserve"> D, </w:t>
      </w:r>
      <w:proofErr w:type="spellStart"/>
      <w:r w:rsidRPr="00C1603D">
        <w:t>Richiardi</w:t>
      </w:r>
      <w:proofErr w:type="spellEnd"/>
      <w:r w:rsidRPr="00C1603D">
        <w:t xml:space="preserve"> L, </w:t>
      </w:r>
      <w:proofErr w:type="spellStart"/>
      <w:r w:rsidRPr="00C1603D">
        <w:t>Akre</w:t>
      </w:r>
      <w:proofErr w:type="spellEnd"/>
      <w:r w:rsidRPr="00C1603D">
        <w:t xml:space="preserve"> O, </w:t>
      </w:r>
      <w:proofErr w:type="spellStart"/>
      <w:r w:rsidRPr="00C1603D">
        <w:t>Stephansson</w:t>
      </w:r>
      <w:proofErr w:type="spellEnd"/>
      <w:r w:rsidRPr="00C1603D">
        <w:t xml:space="preserve"> O, Ludvigsson JF. A nationwide population-based study to determine whether coeliac disease is associated with infertility. </w:t>
      </w:r>
      <w:r w:rsidRPr="00C1603D">
        <w:rPr>
          <w:i/>
        </w:rPr>
        <w:t>Gut</w:t>
      </w:r>
      <w:r w:rsidRPr="00C1603D">
        <w:t xml:space="preserve"> 2010;</w:t>
      </w:r>
      <w:r w:rsidRPr="00C1603D">
        <w:rPr>
          <w:b/>
        </w:rPr>
        <w:t>59</w:t>
      </w:r>
      <w:r w:rsidRPr="00C1603D">
        <w:t>:</w:t>
      </w:r>
      <w:r w:rsidRPr="00C1603D">
        <w:rPr>
          <w:color w:val="auto"/>
        </w:rPr>
        <w:t>1471</w:t>
      </w:r>
      <w:r w:rsidRPr="00C1603D">
        <w:rPr>
          <w:color w:val="00B0F0"/>
        </w:rPr>
        <w:t>–</w:t>
      </w:r>
      <w:r w:rsidRPr="00C1603D">
        <w:rPr>
          <w:color w:val="auto"/>
        </w:rPr>
        <w:t>5</w:t>
      </w:r>
      <w:r w:rsidRPr="00C1603D">
        <w:t>. https://doi.org/10.1136/gut.2010.219030</w:t>
      </w:r>
    </w:p>
    <w:p w14:paraId="440DFF0F" w14:textId="77777777" w:rsidR="00EF77DB" w:rsidRPr="00C1603D" w:rsidRDefault="00EF77DB" w:rsidP="00EF77DB">
      <w:pPr>
        <w:pStyle w:val="65ReferencesTextstylesTextstyles"/>
      </w:pPr>
      <w:r w:rsidRPr="00C1603D">
        <w:t>222.</w:t>
      </w:r>
      <w:r w:rsidRPr="00C1603D">
        <w:tab/>
      </w:r>
      <w:proofErr w:type="spellStart"/>
      <w:r w:rsidRPr="00C1603D">
        <w:t>Hogen</w:t>
      </w:r>
      <w:proofErr w:type="spellEnd"/>
      <w:r w:rsidRPr="00C1603D">
        <w:t xml:space="preserve"> </w:t>
      </w:r>
      <w:proofErr w:type="spellStart"/>
      <w:r w:rsidRPr="00C1603D">
        <w:t>Esch</w:t>
      </w:r>
      <w:proofErr w:type="spellEnd"/>
      <w:r w:rsidRPr="00C1603D">
        <w:t xml:space="preserve"> CE, Van </w:t>
      </w:r>
      <w:proofErr w:type="spellStart"/>
      <w:r w:rsidRPr="00C1603D">
        <w:t>Rijssen</w:t>
      </w:r>
      <w:proofErr w:type="spellEnd"/>
      <w:r w:rsidRPr="00C1603D">
        <w:t xml:space="preserve"> MJ, </w:t>
      </w:r>
      <w:proofErr w:type="spellStart"/>
      <w:r w:rsidRPr="00C1603D">
        <w:t>Roos</w:t>
      </w:r>
      <w:proofErr w:type="spellEnd"/>
      <w:r w:rsidRPr="00C1603D">
        <w:t xml:space="preserve"> A, Koning F, Dekker FW, </w:t>
      </w:r>
      <w:proofErr w:type="spellStart"/>
      <w:r w:rsidRPr="00C1603D">
        <w:t>Mearin</w:t>
      </w:r>
      <w:proofErr w:type="spellEnd"/>
      <w:r w:rsidRPr="00C1603D">
        <w:t xml:space="preserve"> ML, </w:t>
      </w:r>
      <w:r w:rsidRPr="00C1603D">
        <w:rPr>
          <w:i/>
        </w:rPr>
        <w:t>et al</w:t>
      </w:r>
      <w:r w:rsidRPr="00C1603D">
        <w:t xml:space="preserve">. Screening for unrecognized coeliac disease in </w:t>
      </w:r>
      <w:proofErr w:type="spellStart"/>
      <w:r w:rsidRPr="00C1603D">
        <w:t>subfertile</w:t>
      </w:r>
      <w:proofErr w:type="spellEnd"/>
      <w:r w:rsidRPr="00C1603D">
        <w:t xml:space="preserve"> couples. </w:t>
      </w:r>
      <w:proofErr w:type="spellStart"/>
      <w:r w:rsidRPr="00C1603D">
        <w:rPr>
          <w:i/>
        </w:rPr>
        <w:t>Scand</w:t>
      </w:r>
      <w:proofErr w:type="spellEnd"/>
      <w:r w:rsidRPr="00C1603D">
        <w:rPr>
          <w:i/>
        </w:rPr>
        <w:t xml:space="preserve"> J Gastroenterol</w:t>
      </w:r>
      <w:r w:rsidRPr="00C1603D">
        <w:t xml:space="preserve"> 2011;</w:t>
      </w:r>
      <w:r w:rsidRPr="00C1603D">
        <w:rPr>
          <w:b/>
        </w:rPr>
        <w:t>46</w:t>
      </w:r>
      <w:r w:rsidRPr="00C1603D">
        <w:t>:</w:t>
      </w:r>
      <w:r w:rsidRPr="00C1603D">
        <w:rPr>
          <w:color w:val="auto"/>
        </w:rPr>
        <w:t>1423</w:t>
      </w:r>
      <w:r w:rsidRPr="00C1603D">
        <w:rPr>
          <w:color w:val="00B0F0"/>
        </w:rPr>
        <w:t>–</w:t>
      </w:r>
      <w:r w:rsidRPr="00C1603D">
        <w:rPr>
          <w:color w:val="auto"/>
        </w:rPr>
        <w:t>8</w:t>
      </w:r>
      <w:r w:rsidRPr="00C1603D">
        <w:t>. https://doi.org/10.3109/00365521.2011.615858</w:t>
      </w:r>
    </w:p>
    <w:p w14:paraId="67FEC4D4" w14:textId="77777777" w:rsidR="00EF77DB" w:rsidRPr="00C1603D" w:rsidRDefault="00EF77DB" w:rsidP="00EF77DB">
      <w:pPr>
        <w:pStyle w:val="65ReferencesTextstylesTextstyles"/>
      </w:pPr>
      <w:r w:rsidRPr="00C1603D">
        <w:t>223.</w:t>
      </w:r>
      <w:r w:rsidRPr="00C1603D">
        <w:tab/>
        <w:t xml:space="preserve">Fuchs V, </w:t>
      </w:r>
      <w:proofErr w:type="spellStart"/>
      <w:r w:rsidRPr="00C1603D">
        <w:t>Kurppa</w:t>
      </w:r>
      <w:proofErr w:type="spellEnd"/>
      <w:r w:rsidRPr="00C1603D">
        <w:t xml:space="preserve"> K, </w:t>
      </w:r>
      <w:proofErr w:type="spellStart"/>
      <w:r w:rsidRPr="00C1603D">
        <w:t>Huhtala</w:t>
      </w:r>
      <w:proofErr w:type="spellEnd"/>
      <w:r w:rsidRPr="00C1603D">
        <w:t xml:space="preserve"> H, </w:t>
      </w:r>
      <w:proofErr w:type="spellStart"/>
      <w:r w:rsidRPr="00C1603D">
        <w:t>Laurila</w:t>
      </w:r>
      <w:proofErr w:type="spellEnd"/>
      <w:r w:rsidRPr="00C1603D">
        <w:t xml:space="preserve"> K, Mäki M, Collin P, </w:t>
      </w:r>
      <w:r w:rsidRPr="00C1603D">
        <w:rPr>
          <w:i/>
        </w:rPr>
        <w:t>et al</w:t>
      </w:r>
      <w:r w:rsidRPr="00C1603D">
        <w:t xml:space="preserve">. Serology-based criteria for adult coeliac disease have excellent accuracy across the range of pre-test probabilities.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2019;</w:t>
      </w:r>
      <w:r w:rsidRPr="00C1603D">
        <w:rPr>
          <w:b/>
        </w:rPr>
        <w:t>49</w:t>
      </w:r>
      <w:r w:rsidRPr="00C1603D">
        <w:t>:</w:t>
      </w:r>
      <w:r w:rsidRPr="00C1603D">
        <w:rPr>
          <w:color w:val="auto"/>
        </w:rPr>
        <w:t>277</w:t>
      </w:r>
      <w:r w:rsidRPr="00C1603D">
        <w:rPr>
          <w:color w:val="00B0F0"/>
        </w:rPr>
        <w:t>–</w:t>
      </w:r>
      <w:r w:rsidRPr="00C1603D">
        <w:rPr>
          <w:color w:val="auto"/>
        </w:rPr>
        <w:t>84</w:t>
      </w:r>
      <w:r w:rsidRPr="00C1603D">
        <w:t>. https://doi.org/10.1111/apt.15109</w:t>
      </w:r>
    </w:p>
    <w:p w14:paraId="33D1E5D0" w14:textId="267755E0" w:rsidR="00EF77DB" w:rsidRPr="00C1603D" w:rsidRDefault="00EF77DB" w:rsidP="00EF77DB">
      <w:pPr>
        <w:pStyle w:val="65ReferencesTextstylesTextstyles"/>
      </w:pPr>
      <w:r w:rsidRPr="00C1603D">
        <w:t>224.</w:t>
      </w:r>
      <w:r w:rsidRPr="00C1603D">
        <w:tab/>
        <w:t xml:space="preserve">Hill PG, Holmes GK. Coeliac disease: a biopsy is not always necessary for diagnosis. </w:t>
      </w:r>
      <w:r w:rsidRPr="00C1603D">
        <w:rPr>
          <w:i/>
        </w:rPr>
        <w:t>Aliment</w:t>
      </w:r>
      <w:r w:rsidRPr="00C1603D">
        <w:t xml:space="preserve"> </w:t>
      </w:r>
      <w:proofErr w:type="spellStart"/>
      <w:r w:rsidRPr="00C1603D">
        <w:rPr>
          <w:i/>
        </w:rPr>
        <w:t>Pharmacol</w:t>
      </w:r>
      <w:proofErr w:type="spellEnd"/>
      <w:r w:rsidRPr="00C1603D">
        <w:t xml:space="preserve"> </w:t>
      </w:r>
      <w:proofErr w:type="spellStart"/>
      <w:r w:rsidRPr="00C1603D">
        <w:rPr>
          <w:i/>
        </w:rPr>
        <w:t>Ther</w:t>
      </w:r>
      <w:proofErr w:type="spellEnd"/>
      <w:r w:rsidRPr="00C1603D">
        <w:t xml:space="preserve"> 2008;</w:t>
      </w:r>
      <w:r w:rsidRPr="00C1603D">
        <w:rPr>
          <w:b/>
        </w:rPr>
        <w:t>27</w:t>
      </w:r>
      <w:r w:rsidRPr="00C1603D">
        <w:t>:572</w:t>
      </w:r>
      <w:r w:rsidR="0003229C" w:rsidRPr="00C1603D">
        <w:t>–</w:t>
      </w:r>
      <w:r w:rsidRPr="00C1603D">
        <w:t>7.</w:t>
      </w:r>
    </w:p>
    <w:p w14:paraId="166A2C84" w14:textId="6A5E1EC1" w:rsidR="00EF77DB" w:rsidRPr="00C1603D" w:rsidRDefault="00EF77DB" w:rsidP="00EF77DB">
      <w:pPr>
        <w:pStyle w:val="65ReferencesTextstylesTextstyles"/>
      </w:pPr>
      <w:r w:rsidRPr="00C1603D">
        <w:t>225.</w:t>
      </w:r>
      <w:r w:rsidRPr="00C1603D">
        <w:tab/>
        <w:t xml:space="preserve">Holmes GKT, Forsyth JM, Knowles S, Seddon H, Hill PG, Austin AS. Coeliac disease: further evidence that biopsy is not always necessary for diagnosis. </w:t>
      </w:r>
      <w:proofErr w:type="spellStart"/>
      <w:r w:rsidRPr="00C1603D">
        <w:rPr>
          <w:i/>
        </w:rPr>
        <w:t>Eur</w:t>
      </w:r>
      <w:proofErr w:type="spellEnd"/>
      <w:r w:rsidRPr="00C1603D">
        <w:t xml:space="preserve"> </w:t>
      </w:r>
      <w:r w:rsidRPr="00C1603D">
        <w:rPr>
          <w:i/>
        </w:rPr>
        <w:t>J</w:t>
      </w:r>
      <w:r w:rsidRPr="00C1603D">
        <w:t xml:space="preserve"> </w:t>
      </w:r>
      <w:r w:rsidRPr="00C1603D">
        <w:rPr>
          <w:i/>
        </w:rPr>
        <w:t>Gastroenterol</w:t>
      </w:r>
      <w:r w:rsidRPr="00C1603D">
        <w:t xml:space="preserve"> </w:t>
      </w:r>
      <w:r w:rsidRPr="00C1603D">
        <w:rPr>
          <w:i/>
        </w:rPr>
        <w:t>Hepatol</w:t>
      </w:r>
      <w:r w:rsidRPr="00C1603D">
        <w:t xml:space="preserve"> 2017;</w:t>
      </w:r>
      <w:r w:rsidRPr="00C1603D">
        <w:rPr>
          <w:b/>
        </w:rPr>
        <w:t>29</w:t>
      </w:r>
      <w:r w:rsidRPr="00C1603D">
        <w:t>:640</w:t>
      </w:r>
      <w:r w:rsidR="0003229C" w:rsidRPr="00C1603D">
        <w:t>–</w:t>
      </w:r>
      <w:r w:rsidRPr="00C1603D">
        <w:t>5.</w:t>
      </w:r>
    </w:p>
    <w:p w14:paraId="023A702A" w14:textId="096762F6" w:rsidR="00EF77DB" w:rsidRPr="00C1603D" w:rsidRDefault="00EF77DB" w:rsidP="00EF77DB">
      <w:pPr>
        <w:pStyle w:val="65ReferencesTextstylesTextstyles"/>
      </w:pPr>
      <w:r w:rsidRPr="00C1603D">
        <w:t>226.</w:t>
      </w:r>
      <w:r w:rsidRPr="00C1603D">
        <w:tab/>
        <w:t xml:space="preserve">Holmes G, </w:t>
      </w:r>
      <w:proofErr w:type="spellStart"/>
      <w:r w:rsidRPr="00C1603D">
        <w:t>Ciacci</w:t>
      </w:r>
      <w:proofErr w:type="spellEnd"/>
      <w:r w:rsidRPr="00C1603D">
        <w:t xml:space="preserve"> C. The serological diagnosis of coeliac disease </w:t>
      </w:r>
      <w:r w:rsidR="004A6988" w:rsidRPr="00C1603D">
        <w:t>–</w:t>
      </w:r>
      <w:r w:rsidRPr="00C1603D">
        <w:t xml:space="preserve"> a step forward. </w:t>
      </w:r>
      <w:r w:rsidRPr="00C1603D">
        <w:rPr>
          <w:i/>
        </w:rPr>
        <w:t>Gastroenterol Hepatol Bed Bench</w:t>
      </w:r>
      <w:r w:rsidRPr="00C1603D">
        <w:t xml:space="preserve"> 2018;</w:t>
      </w:r>
      <w:r w:rsidRPr="00C1603D">
        <w:rPr>
          <w:b/>
        </w:rPr>
        <w:t>11</w:t>
      </w:r>
      <w:r w:rsidRPr="00C1603D">
        <w:t>:</w:t>
      </w:r>
      <w:r w:rsidRPr="00C1603D">
        <w:rPr>
          <w:color w:val="auto"/>
        </w:rPr>
        <w:t>209</w:t>
      </w:r>
      <w:r w:rsidRPr="00C1603D">
        <w:rPr>
          <w:color w:val="00B0F0"/>
        </w:rPr>
        <w:t>–</w:t>
      </w:r>
      <w:r w:rsidRPr="00C1603D">
        <w:rPr>
          <w:color w:val="auto"/>
        </w:rPr>
        <w:t>15</w:t>
      </w:r>
      <w:r w:rsidRPr="00C1603D">
        <w:t>.</w:t>
      </w:r>
    </w:p>
    <w:p w14:paraId="16EDB52E" w14:textId="4366517A" w:rsidR="00EF77DB" w:rsidRPr="00C1603D" w:rsidRDefault="00EF77DB" w:rsidP="00EF77DB">
      <w:pPr>
        <w:pStyle w:val="65ReferencesTextstylesTextstyles"/>
      </w:pPr>
      <w:r w:rsidRPr="00C1603D">
        <w:t>227.</w:t>
      </w:r>
      <w:r w:rsidRPr="00C1603D">
        <w:tab/>
      </w:r>
      <w:r w:rsidR="004A6988" w:rsidRPr="00C1603D">
        <w:t>NHS</w:t>
      </w:r>
      <w:r w:rsidRPr="00C1603D">
        <w:t xml:space="preserve">. </w:t>
      </w:r>
      <w:r w:rsidRPr="00C1603D">
        <w:rPr>
          <w:i/>
          <w:iCs/>
        </w:rPr>
        <w:t xml:space="preserve">National Schedule of NHS </w:t>
      </w:r>
      <w:r w:rsidR="004A6988" w:rsidRPr="00C1603D">
        <w:rPr>
          <w:i/>
          <w:iCs/>
        </w:rPr>
        <w:t>Costs</w:t>
      </w:r>
      <w:r w:rsidR="00C019E4" w:rsidRPr="00C1603D">
        <w:rPr>
          <w:i/>
          <w:iCs/>
        </w:rPr>
        <w:t xml:space="preserve"> 2019</w:t>
      </w:r>
      <w:r w:rsidRPr="00C1603D">
        <w:t xml:space="preserve">. </w:t>
      </w:r>
      <w:r w:rsidR="004A6988" w:rsidRPr="00C1603D">
        <w:t>URL:</w:t>
      </w:r>
      <w:r w:rsidRPr="00C1603D">
        <w:t xml:space="preserve"> www.england.nhs.uk/national-cost-collection/ </w:t>
      </w:r>
      <w:r w:rsidR="004A6988" w:rsidRPr="00C1603D">
        <w:t>(</w:t>
      </w:r>
      <w:r w:rsidRPr="00C1603D">
        <w:t>accessed 5</w:t>
      </w:r>
      <w:r w:rsidR="004A6988" w:rsidRPr="00C1603D">
        <w:t xml:space="preserve"> October </w:t>
      </w:r>
      <w:r w:rsidRPr="00C1603D">
        <w:t>2021</w:t>
      </w:r>
      <w:r w:rsidR="004A6988" w:rsidRPr="00C1603D">
        <w:t>)</w:t>
      </w:r>
      <w:r w:rsidRPr="00C1603D">
        <w:t>.</w:t>
      </w:r>
    </w:p>
    <w:p w14:paraId="384C68DA" w14:textId="3F8A2B43" w:rsidR="00EF77DB" w:rsidRPr="00C1603D" w:rsidRDefault="3CDEEDA7" w:rsidP="00EF77DB">
      <w:pPr>
        <w:pStyle w:val="65ReferencesTextstylesTextstyles"/>
      </w:pPr>
      <w:r w:rsidRPr="00C1603D">
        <w:t>228.</w:t>
      </w:r>
      <w:r w:rsidR="00EF77DB" w:rsidRPr="00C1603D">
        <w:tab/>
      </w:r>
      <w:commentRangeStart w:id="521"/>
      <w:commentRangeStart w:id="522"/>
      <w:r w:rsidRPr="00C1603D">
        <w:t xml:space="preserve">Curtis L, Burns A. </w:t>
      </w:r>
      <w:r w:rsidRPr="00C1603D">
        <w:rPr>
          <w:i/>
          <w:iCs/>
        </w:rPr>
        <w:t>Unit Costs of Health and Social Care 2020</w:t>
      </w:r>
      <w:r w:rsidRPr="00C1603D">
        <w:t>. Canterbury: Personal Social Services Research Unit, University of Kent; 2020.</w:t>
      </w:r>
      <w:commentRangeEnd w:id="521"/>
      <w:r w:rsidR="00EF77DB" w:rsidRPr="00C1603D">
        <w:commentReference w:id="521"/>
      </w:r>
      <w:commentRangeEnd w:id="522"/>
      <w:r w:rsidR="00EF77DB" w:rsidRPr="00C1603D">
        <w:commentReference w:id="522"/>
      </w:r>
    </w:p>
    <w:p w14:paraId="665F3415" w14:textId="4A5587CC" w:rsidR="00EF77DB" w:rsidRPr="00C1603D" w:rsidRDefault="00EF77DB" w:rsidP="00EF77DB">
      <w:pPr>
        <w:pStyle w:val="65ReferencesTextstylesTextstyles"/>
      </w:pPr>
      <w:r w:rsidRPr="00C1603D">
        <w:t>229.</w:t>
      </w:r>
      <w:r w:rsidRPr="00C1603D">
        <w:tab/>
      </w:r>
      <w:r w:rsidR="00C019E4" w:rsidRPr="00C1603D">
        <w:t xml:space="preserve">NHS. </w:t>
      </w:r>
      <w:r w:rsidR="00C019E4" w:rsidRPr="00C1603D">
        <w:rPr>
          <w:i/>
          <w:iCs/>
        </w:rPr>
        <w:t>National Schedule of NHS Costs 2019</w:t>
      </w:r>
      <w:r w:rsidR="00C019E4" w:rsidRPr="00C1603D">
        <w:t>. URL: www.england.nhs.uk/national-cost-collection/ (accessed 5 October 2021).</w:t>
      </w:r>
    </w:p>
    <w:p w14:paraId="6D5DEF01" w14:textId="77777777" w:rsidR="00EF77DB" w:rsidRPr="00C1603D" w:rsidRDefault="00EF77DB" w:rsidP="00EF77DB">
      <w:pPr>
        <w:pStyle w:val="65ReferencesTextstylesTextstyles"/>
      </w:pPr>
      <w:r w:rsidRPr="00C1603D">
        <w:lastRenderedPageBreak/>
        <w:t>230.</w:t>
      </w:r>
      <w:r w:rsidRPr="00C1603D">
        <w:tab/>
        <w:t xml:space="preserve">. </w:t>
      </w:r>
      <w:r w:rsidRPr="00C1603D">
        <w:rPr>
          <w:i/>
        </w:rPr>
        <w:t>National</w:t>
      </w:r>
      <w:r w:rsidRPr="00C1603D">
        <w:t xml:space="preserve"> </w:t>
      </w:r>
      <w:r w:rsidRPr="00C1603D">
        <w:rPr>
          <w:i/>
        </w:rPr>
        <w:t>Schedule</w:t>
      </w:r>
      <w:r w:rsidRPr="00C1603D">
        <w:t xml:space="preserve"> </w:t>
      </w:r>
      <w:r w:rsidRPr="00C1603D">
        <w:rPr>
          <w:i/>
        </w:rPr>
        <w:t>of</w:t>
      </w:r>
      <w:r w:rsidRPr="00C1603D">
        <w:t xml:space="preserve"> </w:t>
      </w:r>
      <w:r w:rsidRPr="00C1603D">
        <w:rPr>
          <w:i/>
        </w:rPr>
        <w:t>NHS</w:t>
      </w:r>
      <w:r w:rsidRPr="00C1603D">
        <w:t xml:space="preserve"> </w:t>
      </w:r>
      <w:r w:rsidRPr="00C1603D">
        <w:rPr>
          <w:i/>
        </w:rPr>
        <w:t>costs</w:t>
      </w:r>
      <w:r w:rsidRPr="00C1603D">
        <w:t>; 2019.</w:t>
      </w:r>
    </w:p>
    <w:p w14:paraId="47A6F059" w14:textId="77777777" w:rsidR="00EF77DB" w:rsidRPr="00C1603D" w:rsidRDefault="00EF77DB" w:rsidP="00EF77DB">
      <w:pPr>
        <w:pStyle w:val="65ReferencesTextstylesTextstyles"/>
      </w:pPr>
      <w:r w:rsidRPr="00C1603D">
        <w:t>231.</w:t>
      </w:r>
      <w:r w:rsidRPr="00C1603D">
        <w:tab/>
        <w:t xml:space="preserve">Wang HI, Smith A, </w:t>
      </w:r>
      <w:proofErr w:type="spellStart"/>
      <w:r w:rsidRPr="00C1603D">
        <w:t>Aas</w:t>
      </w:r>
      <w:proofErr w:type="spellEnd"/>
      <w:r w:rsidRPr="00C1603D">
        <w:t xml:space="preserve"> E, Roman E, Crouch S, Burton C, Patmore R. Treatment cost and life expectancy of diffuse large B-cell lymphoma (DLBCL): a discrete event simulation model on a UK population-based observational cohort. </w:t>
      </w:r>
      <w:proofErr w:type="spellStart"/>
      <w:r w:rsidRPr="00C1603D">
        <w:rPr>
          <w:i/>
        </w:rPr>
        <w:t>Eur</w:t>
      </w:r>
      <w:proofErr w:type="spellEnd"/>
      <w:r w:rsidRPr="00C1603D">
        <w:rPr>
          <w:i/>
        </w:rPr>
        <w:t xml:space="preserve"> J Health Econ</w:t>
      </w:r>
      <w:r w:rsidRPr="00C1603D">
        <w:t xml:space="preserve"> 2017;</w:t>
      </w:r>
      <w:r w:rsidRPr="00C1603D">
        <w:rPr>
          <w:b/>
        </w:rPr>
        <w:t>18</w:t>
      </w:r>
      <w:r w:rsidRPr="00C1603D">
        <w:t>:</w:t>
      </w:r>
      <w:r w:rsidRPr="00C1603D">
        <w:rPr>
          <w:color w:val="auto"/>
        </w:rPr>
        <w:t>255</w:t>
      </w:r>
      <w:r w:rsidRPr="00C1603D">
        <w:rPr>
          <w:color w:val="00B0F0"/>
        </w:rPr>
        <w:t>–</w:t>
      </w:r>
      <w:r w:rsidRPr="00C1603D">
        <w:rPr>
          <w:color w:val="auto"/>
        </w:rPr>
        <w:t>67</w:t>
      </w:r>
      <w:r w:rsidRPr="00C1603D">
        <w:t>. https://doi.org/10.1007/s10198-016-0775-4</w:t>
      </w:r>
    </w:p>
    <w:p w14:paraId="6A5F7141" w14:textId="0D79DE74" w:rsidR="00EF77DB" w:rsidRPr="00C1603D" w:rsidRDefault="00EF77DB" w:rsidP="00EF77DB">
      <w:pPr>
        <w:pStyle w:val="65ReferencesTextstylesTextstyles"/>
      </w:pPr>
      <w:r w:rsidRPr="00C1603D">
        <w:t>232.</w:t>
      </w:r>
      <w:r w:rsidRPr="00C1603D">
        <w:tab/>
        <w:t xml:space="preserve">Curtis EM, van der Velde R, Moon RJ, van den Bergh JP, </w:t>
      </w:r>
      <w:proofErr w:type="spellStart"/>
      <w:r w:rsidRPr="00C1603D">
        <w:t>Geusens</w:t>
      </w:r>
      <w:proofErr w:type="spellEnd"/>
      <w:r w:rsidRPr="00C1603D">
        <w:t xml:space="preserve"> P, de Vries F, </w:t>
      </w:r>
      <w:r w:rsidRPr="00C1603D">
        <w:rPr>
          <w:i/>
        </w:rPr>
        <w:t>et al</w:t>
      </w:r>
      <w:r w:rsidRPr="00C1603D">
        <w:t>. Epidemiology of fractures in the United Kingdom 1988</w:t>
      </w:r>
      <w:r w:rsidR="00C019E4" w:rsidRPr="00C1603D">
        <w:t>–</w:t>
      </w:r>
      <w:r w:rsidRPr="00C1603D">
        <w:t xml:space="preserve">2012: </w:t>
      </w:r>
      <w:r w:rsidR="00C019E4" w:rsidRPr="00C1603D">
        <w:t>v</w:t>
      </w:r>
      <w:r w:rsidRPr="00C1603D">
        <w:t xml:space="preserve">ariation with age, sex, geography, ethnicity and socioeconomic status. </w:t>
      </w:r>
      <w:r w:rsidRPr="00C1603D">
        <w:rPr>
          <w:i/>
        </w:rPr>
        <w:t>Bone</w:t>
      </w:r>
      <w:r w:rsidRPr="00C1603D">
        <w:t xml:space="preserve"> 2016;</w:t>
      </w:r>
      <w:r w:rsidRPr="00C1603D">
        <w:rPr>
          <w:b/>
        </w:rPr>
        <w:t>87</w:t>
      </w:r>
      <w:r w:rsidRPr="00C1603D">
        <w:t>:</w:t>
      </w:r>
      <w:r w:rsidRPr="00C1603D">
        <w:rPr>
          <w:color w:val="auto"/>
        </w:rPr>
        <w:t>19</w:t>
      </w:r>
      <w:r w:rsidRPr="00C1603D">
        <w:rPr>
          <w:color w:val="00B0F0"/>
        </w:rPr>
        <w:t>–</w:t>
      </w:r>
      <w:r w:rsidRPr="00C1603D">
        <w:rPr>
          <w:color w:val="auto"/>
        </w:rPr>
        <w:t>26</w:t>
      </w:r>
      <w:r w:rsidRPr="00C1603D">
        <w:t>. https://doi.org/10.1016/j.bone.2016.03.006</w:t>
      </w:r>
    </w:p>
    <w:p w14:paraId="6A88AC2B" w14:textId="77777777" w:rsidR="00EF77DB" w:rsidRPr="00C1603D" w:rsidRDefault="00EF77DB" w:rsidP="00EF77DB">
      <w:pPr>
        <w:pStyle w:val="65ReferencesTextstylesTextstyles"/>
      </w:pPr>
      <w:r w:rsidRPr="00C1603D">
        <w:t>233.</w:t>
      </w:r>
      <w:r w:rsidRPr="00C1603D">
        <w:tab/>
        <w:t xml:space="preserve">Leal J, Gray AM, Prieto-Alhambra D, Arden NK, Cooper C, Javaid MK, Judge A, </w:t>
      </w:r>
      <w:proofErr w:type="spellStart"/>
      <w:r w:rsidRPr="00C1603D">
        <w:t>REFReSH</w:t>
      </w:r>
      <w:proofErr w:type="spellEnd"/>
      <w:r w:rsidRPr="00C1603D">
        <w:t xml:space="preserve"> study group. Impact of hip fracture on hospital care costs: a population-based study. </w:t>
      </w:r>
      <w:proofErr w:type="spellStart"/>
      <w:r w:rsidRPr="00C1603D">
        <w:rPr>
          <w:i/>
        </w:rPr>
        <w:t>Osteoporos</w:t>
      </w:r>
      <w:proofErr w:type="spellEnd"/>
      <w:r w:rsidRPr="00C1603D">
        <w:rPr>
          <w:i/>
        </w:rPr>
        <w:t xml:space="preserve"> Int</w:t>
      </w:r>
      <w:r w:rsidRPr="00C1603D">
        <w:t xml:space="preserve"> 2016;</w:t>
      </w:r>
      <w:r w:rsidRPr="00C1603D">
        <w:rPr>
          <w:b/>
        </w:rPr>
        <w:t>27</w:t>
      </w:r>
      <w:r w:rsidRPr="00C1603D">
        <w:t>:</w:t>
      </w:r>
      <w:r w:rsidRPr="00C1603D">
        <w:rPr>
          <w:color w:val="auto"/>
        </w:rPr>
        <w:t>549</w:t>
      </w:r>
      <w:r w:rsidRPr="00C1603D">
        <w:rPr>
          <w:color w:val="00B0F0"/>
        </w:rPr>
        <w:t>–</w:t>
      </w:r>
      <w:r w:rsidRPr="00C1603D">
        <w:rPr>
          <w:color w:val="auto"/>
        </w:rPr>
        <w:t>58</w:t>
      </w:r>
      <w:r w:rsidRPr="00C1603D">
        <w:t>. https://doi.org/10.1007/s00198-015-3277-9</w:t>
      </w:r>
    </w:p>
    <w:p w14:paraId="1841DA7F" w14:textId="77777777" w:rsidR="00EF77DB" w:rsidRPr="00C1603D" w:rsidRDefault="00EF77DB" w:rsidP="00EF77DB">
      <w:pPr>
        <w:pStyle w:val="65ReferencesTextstylesTextstyles"/>
      </w:pPr>
      <w:r w:rsidRPr="00C1603D">
        <w:t>234.</w:t>
      </w:r>
      <w:r w:rsidRPr="00C1603D">
        <w:tab/>
        <w:t xml:space="preserve">Dolan P, Torgerson DJ. The cost of treating osteoporotic fractures in the United Kingdom female population. </w:t>
      </w:r>
      <w:proofErr w:type="spellStart"/>
      <w:r w:rsidRPr="00C1603D">
        <w:rPr>
          <w:i/>
        </w:rPr>
        <w:t>Osteoporos</w:t>
      </w:r>
      <w:proofErr w:type="spellEnd"/>
      <w:r w:rsidRPr="00C1603D">
        <w:rPr>
          <w:i/>
        </w:rPr>
        <w:t xml:space="preserve"> Int</w:t>
      </w:r>
      <w:r w:rsidRPr="00C1603D">
        <w:t xml:space="preserve"> 1998;</w:t>
      </w:r>
      <w:r w:rsidRPr="00C1603D">
        <w:rPr>
          <w:b/>
        </w:rPr>
        <w:t>8</w:t>
      </w:r>
      <w:r w:rsidRPr="00C1603D">
        <w:t>:</w:t>
      </w:r>
      <w:r w:rsidRPr="00C1603D">
        <w:rPr>
          <w:color w:val="auto"/>
        </w:rPr>
        <w:t>611</w:t>
      </w:r>
      <w:r w:rsidRPr="00C1603D">
        <w:rPr>
          <w:color w:val="00B0F0"/>
        </w:rPr>
        <w:t>–</w:t>
      </w:r>
      <w:r w:rsidRPr="00C1603D">
        <w:rPr>
          <w:color w:val="auto"/>
        </w:rPr>
        <w:t>17</w:t>
      </w:r>
      <w:r w:rsidRPr="00C1603D">
        <w:t>. https://doi.org/10.1007/s001980050107</w:t>
      </w:r>
    </w:p>
    <w:p w14:paraId="3167EAB1" w14:textId="5AF64118" w:rsidR="00EF77DB" w:rsidRPr="00C1603D" w:rsidRDefault="00EF77DB" w:rsidP="00EF77DB">
      <w:pPr>
        <w:pStyle w:val="65ReferencesTextstylesTextstyles"/>
      </w:pPr>
      <w:r w:rsidRPr="00C1603D">
        <w:t>235.</w:t>
      </w:r>
      <w:r w:rsidRPr="00C1603D">
        <w:tab/>
      </w:r>
      <w:r w:rsidR="001369F1" w:rsidRPr="00C1603D">
        <w:t>Office for National Statistics</w:t>
      </w:r>
      <w:r w:rsidRPr="00C1603D">
        <w:t xml:space="preserve">. </w:t>
      </w:r>
      <w:r w:rsidRPr="00C1603D">
        <w:rPr>
          <w:i/>
          <w:iCs/>
        </w:rPr>
        <w:t xml:space="preserve">Consumer </w:t>
      </w:r>
      <w:r w:rsidR="001369F1" w:rsidRPr="00C1603D">
        <w:rPr>
          <w:i/>
          <w:iCs/>
        </w:rPr>
        <w:t>Price Inflation Tables</w:t>
      </w:r>
      <w:r w:rsidRPr="00C1603D">
        <w:t>.</w:t>
      </w:r>
      <w:r w:rsidR="001369F1" w:rsidRPr="00C1603D">
        <w:t xml:space="preserve"> URL:</w:t>
      </w:r>
      <w:r w:rsidRPr="00C1603D">
        <w:t xml:space="preserve"> www.ons.gov.uk/economy/inflationandpriceindices/datasets/consumerpriceinflation </w:t>
      </w:r>
      <w:r w:rsidR="001369F1" w:rsidRPr="00C1603D">
        <w:t>(</w:t>
      </w:r>
      <w:r w:rsidRPr="00C1603D">
        <w:t>accessed 11</w:t>
      </w:r>
      <w:r w:rsidR="001369F1" w:rsidRPr="00C1603D">
        <w:t xml:space="preserve"> November </w:t>
      </w:r>
      <w:r w:rsidRPr="00C1603D">
        <w:t>2021</w:t>
      </w:r>
      <w:r w:rsidR="001369F1" w:rsidRPr="00C1603D">
        <w:t>)</w:t>
      </w:r>
      <w:r w:rsidRPr="00C1603D">
        <w:t>.</w:t>
      </w:r>
    </w:p>
    <w:p w14:paraId="7AA356BF" w14:textId="77777777" w:rsidR="00EF77DB" w:rsidRPr="00C1603D" w:rsidRDefault="00EF77DB" w:rsidP="00EF77DB">
      <w:pPr>
        <w:pStyle w:val="65ReferencesTextstylesTextstyles"/>
      </w:pPr>
      <w:r w:rsidRPr="00C1603D">
        <w:t>236.</w:t>
      </w:r>
      <w:r w:rsidRPr="00C1603D">
        <w:tab/>
        <w:t xml:space="preserve">. </w:t>
      </w:r>
      <w:r w:rsidRPr="00C1603D">
        <w:rPr>
          <w:i/>
        </w:rPr>
        <w:t>Consumer</w:t>
      </w:r>
      <w:r w:rsidRPr="00C1603D">
        <w:t xml:space="preserve"> </w:t>
      </w:r>
      <w:r w:rsidRPr="00C1603D">
        <w:rPr>
          <w:i/>
        </w:rPr>
        <w:t>price</w:t>
      </w:r>
      <w:r w:rsidRPr="00C1603D">
        <w:t xml:space="preserve"> </w:t>
      </w:r>
      <w:r w:rsidRPr="00C1603D">
        <w:rPr>
          <w:i/>
        </w:rPr>
        <w:t>inflation</w:t>
      </w:r>
      <w:r w:rsidRPr="00C1603D">
        <w:t xml:space="preserve"> </w:t>
      </w:r>
      <w:r w:rsidRPr="00C1603D">
        <w:rPr>
          <w:i/>
        </w:rPr>
        <w:t>tables</w:t>
      </w:r>
      <w:r w:rsidRPr="00C1603D">
        <w:t>; 2021.</w:t>
      </w:r>
    </w:p>
    <w:p w14:paraId="6743E468" w14:textId="3B686912" w:rsidR="00EF77DB" w:rsidRPr="00C1603D" w:rsidRDefault="00EF77DB" w:rsidP="00EF77DB">
      <w:pPr>
        <w:pStyle w:val="65ReferencesTextstylesTextstyles"/>
      </w:pPr>
      <w:r w:rsidRPr="00C1603D">
        <w:t>237.</w:t>
      </w:r>
      <w:r w:rsidRPr="00C1603D">
        <w:tab/>
        <w:t xml:space="preserve">Janssen B, </w:t>
      </w:r>
      <w:proofErr w:type="spellStart"/>
      <w:r w:rsidRPr="00C1603D">
        <w:t>Szende</w:t>
      </w:r>
      <w:proofErr w:type="spellEnd"/>
      <w:r w:rsidRPr="00C1603D">
        <w:t xml:space="preserve"> A. Population Norms for the EQ-5D. In </w:t>
      </w:r>
      <w:proofErr w:type="spellStart"/>
      <w:r w:rsidRPr="00C1603D">
        <w:t>Szende</w:t>
      </w:r>
      <w:proofErr w:type="spellEnd"/>
      <w:r w:rsidRPr="00C1603D">
        <w:t xml:space="preserve"> A, Janssen B, </w:t>
      </w:r>
      <w:proofErr w:type="spellStart"/>
      <w:r w:rsidRPr="00C1603D">
        <w:t>Cabases</w:t>
      </w:r>
      <w:proofErr w:type="spellEnd"/>
      <w:r w:rsidRPr="00C1603D">
        <w:t xml:space="preserve"> J, editors. </w:t>
      </w:r>
      <w:r w:rsidRPr="00C1603D">
        <w:rPr>
          <w:i/>
        </w:rPr>
        <w:t>Self</w:t>
      </w:r>
      <w:r w:rsidRPr="00C1603D">
        <w:t>-</w:t>
      </w:r>
      <w:r w:rsidRPr="00C1603D">
        <w:rPr>
          <w:i/>
        </w:rPr>
        <w:t>Reported</w:t>
      </w:r>
      <w:r w:rsidRPr="00C1603D">
        <w:t xml:space="preserve"> </w:t>
      </w:r>
      <w:r w:rsidRPr="00C1603D">
        <w:rPr>
          <w:i/>
        </w:rPr>
        <w:t>Population</w:t>
      </w:r>
      <w:r w:rsidRPr="00C1603D">
        <w:t xml:space="preserve"> </w:t>
      </w:r>
      <w:r w:rsidRPr="00C1603D">
        <w:rPr>
          <w:i/>
        </w:rPr>
        <w:t>Health</w:t>
      </w:r>
      <w:r w:rsidRPr="00C1603D">
        <w:t xml:space="preserve">: </w:t>
      </w:r>
      <w:r w:rsidRPr="00C1603D">
        <w:rPr>
          <w:i/>
        </w:rPr>
        <w:t>An</w:t>
      </w:r>
      <w:r w:rsidRPr="00C1603D">
        <w:t xml:space="preserve"> </w:t>
      </w:r>
      <w:r w:rsidRPr="00C1603D">
        <w:rPr>
          <w:i/>
        </w:rPr>
        <w:t>International</w:t>
      </w:r>
      <w:r w:rsidRPr="00C1603D">
        <w:t xml:space="preserve"> </w:t>
      </w:r>
      <w:r w:rsidRPr="00C1603D">
        <w:rPr>
          <w:i/>
        </w:rPr>
        <w:t>Perspective</w:t>
      </w:r>
      <w:r w:rsidRPr="00C1603D">
        <w:t xml:space="preserve"> </w:t>
      </w:r>
      <w:r w:rsidR="001369F1" w:rsidRPr="00C1603D">
        <w:rPr>
          <w:i/>
        </w:rPr>
        <w:t>Based</w:t>
      </w:r>
      <w:r w:rsidR="001369F1" w:rsidRPr="00C1603D">
        <w:t xml:space="preserve"> </w:t>
      </w:r>
      <w:r w:rsidRPr="00C1603D">
        <w:rPr>
          <w:i/>
        </w:rPr>
        <w:t>on</w:t>
      </w:r>
      <w:r w:rsidRPr="00C1603D">
        <w:t xml:space="preserve"> </w:t>
      </w:r>
      <w:r w:rsidRPr="00C1603D">
        <w:rPr>
          <w:i/>
        </w:rPr>
        <w:t>EQ</w:t>
      </w:r>
      <w:r w:rsidRPr="00C1603D">
        <w:rPr>
          <w:i/>
          <w:iCs/>
        </w:rPr>
        <w:t>-5D</w:t>
      </w:r>
      <w:r w:rsidR="001369F1" w:rsidRPr="00C1603D">
        <w:t xml:space="preserve">. </w:t>
      </w:r>
      <w:r w:rsidRPr="00C1603D">
        <w:t>Dordrecht: Springer Netherlands; 2014</w:t>
      </w:r>
      <w:r w:rsidR="001369F1" w:rsidRPr="00C1603D">
        <w:t xml:space="preserve">. pp. </w:t>
      </w:r>
      <w:r w:rsidRPr="00C1603D">
        <w:t>19</w:t>
      </w:r>
      <w:r w:rsidR="001369F1" w:rsidRPr="00C1603D">
        <w:t>–</w:t>
      </w:r>
      <w:r w:rsidRPr="00C1603D">
        <w:t>30.</w:t>
      </w:r>
    </w:p>
    <w:p w14:paraId="329E4FE9" w14:textId="77777777" w:rsidR="00EF77DB" w:rsidRPr="00C1603D" w:rsidRDefault="00EF77DB" w:rsidP="00EF77DB">
      <w:pPr>
        <w:pStyle w:val="65ReferencesTextstylesTextstyles"/>
      </w:pPr>
      <w:r w:rsidRPr="00C1603D">
        <w:t>238.</w:t>
      </w:r>
      <w:r w:rsidRPr="00C1603D">
        <w:tab/>
        <w:t xml:space="preserve">Violato M, Gray A. The impact of diagnosis on health-related quality of life in people with coeliac disease: a UK population-based longitudinal perspective. </w:t>
      </w:r>
      <w:r w:rsidRPr="00C1603D">
        <w:rPr>
          <w:i/>
        </w:rPr>
        <w:t>BMC Gastroenterol</w:t>
      </w:r>
      <w:r w:rsidRPr="00C1603D">
        <w:t xml:space="preserve"> 2019;</w:t>
      </w:r>
      <w:r w:rsidRPr="00C1603D">
        <w:rPr>
          <w:b/>
        </w:rPr>
        <w:t>19</w:t>
      </w:r>
      <w:r w:rsidRPr="00C1603D">
        <w:t>:</w:t>
      </w:r>
      <w:r w:rsidRPr="00C1603D">
        <w:rPr>
          <w:color w:val="auto"/>
        </w:rPr>
        <w:t>68</w:t>
      </w:r>
      <w:r w:rsidRPr="00C1603D">
        <w:t>. https://doi.org/10.1186/s12876-019-0980-6</w:t>
      </w:r>
    </w:p>
    <w:p w14:paraId="7E6C6738" w14:textId="77777777" w:rsidR="00EF77DB" w:rsidRPr="00C1603D" w:rsidRDefault="00EF77DB" w:rsidP="00EF77DB">
      <w:pPr>
        <w:pStyle w:val="65ReferencesTextstylesTextstyles"/>
      </w:pPr>
      <w:r w:rsidRPr="00C1603D">
        <w:t>239.</w:t>
      </w:r>
      <w:r w:rsidRPr="00C1603D">
        <w:tab/>
        <w:t xml:space="preserve">Casellas F, Rodrigo L, </w:t>
      </w:r>
      <w:proofErr w:type="spellStart"/>
      <w:r w:rsidRPr="00C1603D">
        <w:t>Vivancos</w:t>
      </w:r>
      <w:proofErr w:type="spellEnd"/>
      <w:r w:rsidRPr="00C1603D">
        <w:t xml:space="preserve"> JL, </w:t>
      </w:r>
      <w:proofErr w:type="spellStart"/>
      <w:r w:rsidRPr="00C1603D">
        <w:t>Riestra</w:t>
      </w:r>
      <w:proofErr w:type="spellEnd"/>
      <w:r w:rsidRPr="00C1603D">
        <w:t xml:space="preserve"> S, </w:t>
      </w:r>
      <w:proofErr w:type="spellStart"/>
      <w:r w:rsidRPr="00C1603D">
        <w:t>Pantiga</w:t>
      </w:r>
      <w:proofErr w:type="spellEnd"/>
      <w:r w:rsidRPr="00C1603D">
        <w:t xml:space="preserve"> C, </w:t>
      </w:r>
      <w:proofErr w:type="spellStart"/>
      <w:r w:rsidRPr="00C1603D">
        <w:t>Baudet</w:t>
      </w:r>
      <w:proofErr w:type="spellEnd"/>
      <w:r w:rsidRPr="00C1603D">
        <w:t xml:space="preserve"> JS, </w:t>
      </w:r>
      <w:r w:rsidRPr="00C1603D">
        <w:rPr>
          <w:i/>
        </w:rPr>
        <w:t>et al</w:t>
      </w:r>
      <w:r w:rsidRPr="00C1603D">
        <w:t xml:space="preserve">. Factors that impact health-related quality of life in adults with celiac disease: a </w:t>
      </w:r>
      <w:proofErr w:type="spellStart"/>
      <w:r w:rsidRPr="00C1603D">
        <w:t>multicenter</w:t>
      </w:r>
      <w:proofErr w:type="spellEnd"/>
      <w:r w:rsidRPr="00C1603D">
        <w:t xml:space="preserve"> study. </w:t>
      </w:r>
      <w:r w:rsidRPr="00C1603D">
        <w:rPr>
          <w:i/>
        </w:rPr>
        <w:t>World J Gastroenterol</w:t>
      </w:r>
      <w:r w:rsidRPr="00C1603D">
        <w:t xml:space="preserve"> 2008;</w:t>
      </w:r>
      <w:r w:rsidRPr="00C1603D">
        <w:rPr>
          <w:b/>
        </w:rPr>
        <w:t>14</w:t>
      </w:r>
      <w:r w:rsidRPr="00C1603D">
        <w:t>:</w:t>
      </w:r>
      <w:r w:rsidRPr="00C1603D">
        <w:rPr>
          <w:color w:val="auto"/>
        </w:rPr>
        <w:t>46</w:t>
      </w:r>
      <w:r w:rsidRPr="00C1603D">
        <w:rPr>
          <w:color w:val="00B0F0"/>
        </w:rPr>
        <w:t>–</w:t>
      </w:r>
      <w:r w:rsidRPr="00C1603D">
        <w:rPr>
          <w:color w:val="auto"/>
        </w:rPr>
        <w:t>52</w:t>
      </w:r>
      <w:r w:rsidRPr="00C1603D">
        <w:t>.</w:t>
      </w:r>
    </w:p>
    <w:p w14:paraId="1FC0DDC9" w14:textId="77777777" w:rsidR="00EF77DB" w:rsidRPr="00C1603D" w:rsidRDefault="00EF77DB" w:rsidP="00EF77DB">
      <w:pPr>
        <w:pStyle w:val="65ReferencesTextstylesTextstyles"/>
      </w:pPr>
      <w:r w:rsidRPr="00C1603D">
        <w:t>240.</w:t>
      </w:r>
      <w:r w:rsidRPr="00C1603D">
        <w:tab/>
        <w:t xml:space="preserve">Si L, </w:t>
      </w:r>
      <w:proofErr w:type="spellStart"/>
      <w:r w:rsidRPr="00C1603D">
        <w:t>Winzenberg</w:t>
      </w:r>
      <w:proofErr w:type="spellEnd"/>
      <w:r w:rsidRPr="00C1603D">
        <w:t xml:space="preserve"> TM, de Graaff B, Palmer AJ. A systematic review and meta-analysis of utility-based quality of life for osteoporosis-related conditions. </w:t>
      </w:r>
      <w:proofErr w:type="spellStart"/>
      <w:r w:rsidRPr="00C1603D">
        <w:rPr>
          <w:i/>
        </w:rPr>
        <w:t>Osteoporos</w:t>
      </w:r>
      <w:proofErr w:type="spellEnd"/>
      <w:r w:rsidRPr="00C1603D">
        <w:rPr>
          <w:i/>
        </w:rPr>
        <w:t xml:space="preserve"> Int</w:t>
      </w:r>
      <w:r w:rsidRPr="00C1603D">
        <w:t xml:space="preserve"> 2014;</w:t>
      </w:r>
      <w:r w:rsidRPr="00C1603D">
        <w:rPr>
          <w:b/>
        </w:rPr>
        <w:t>25</w:t>
      </w:r>
      <w:r w:rsidRPr="00C1603D">
        <w:t>:</w:t>
      </w:r>
      <w:r w:rsidRPr="00C1603D">
        <w:rPr>
          <w:color w:val="auto"/>
        </w:rPr>
        <w:t>1987</w:t>
      </w:r>
      <w:r w:rsidRPr="00C1603D">
        <w:rPr>
          <w:color w:val="00B0F0"/>
        </w:rPr>
        <w:t>–</w:t>
      </w:r>
      <w:r w:rsidRPr="00C1603D">
        <w:rPr>
          <w:color w:val="auto"/>
        </w:rPr>
        <w:t>97</w:t>
      </w:r>
      <w:r w:rsidRPr="00C1603D">
        <w:t>. https://doi.org/10.1007/s00198-014-2636-2</w:t>
      </w:r>
    </w:p>
    <w:p w14:paraId="45092709" w14:textId="3C438B70" w:rsidR="00EF77DB" w:rsidRPr="00C1603D" w:rsidRDefault="00EF77DB" w:rsidP="00EF77DB">
      <w:pPr>
        <w:pStyle w:val="65ReferencesTextstylesTextstyles"/>
      </w:pPr>
      <w:r w:rsidRPr="00C1603D">
        <w:t>241.</w:t>
      </w:r>
      <w:r w:rsidRPr="00C1603D">
        <w:tab/>
        <w:t xml:space="preserve">Fargier E, </w:t>
      </w:r>
      <w:proofErr w:type="spellStart"/>
      <w:r w:rsidRPr="00C1603D">
        <w:t>Ranchon</w:t>
      </w:r>
      <w:proofErr w:type="spellEnd"/>
      <w:r w:rsidRPr="00C1603D">
        <w:t xml:space="preserve"> F, </w:t>
      </w:r>
      <w:proofErr w:type="spellStart"/>
      <w:r w:rsidRPr="00C1603D">
        <w:t>Huot</w:t>
      </w:r>
      <w:proofErr w:type="spellEnd"/>
      <w:r w:rsidRPr="00C1603D">
        <w:t xml:space="preserve"> L, Guerre P, Safar V, </w:t>
      </w:r>
      <w:proofErr w:type="spellStart"/>
      <w:r w:rsidRPr="00C1603D">
        <w:t>Dony</w:t>
      </w:r>
      <w:proofErr w:type="spellEnd"/>
      <w:r w:rsidRPr="00C1603D">
        <w:t xml:space="preserve"> A, </w:t>
      </w:r>
      <w:r w:rsidRPr="00C1603D">
        <w:rPr>
          <w:i/>
        </w:rPr>
        <w:t>et al</w:t>
      </w:r>
      <w:r w:rsidRPr="00C1603D">
        <w:t xml:space="preserve">. </w:t>
      </w:r>
      <w:proofErr w:type="spellStart"/>
      <w:r w:rsidRPr="00C1603D">
        <w:t>SMABcare</w:t>
      </w:r>
      <w:proofErr w:type="spellEnd"/>
      <w:r w:rsidRPr="00C1603D">
        <w:t xml:space="preserve"> study: subcutaneous monoclonal antibody in cancer care: cost</w:t>
      </w:r>
      <w:r w:rsidR="00D95EB3" w:rsidRPr="00C1603D">
        <w:t>–</w:t>
      </w:r>
      <w:r w:rsidRPr="00C1603D">
        <w:t xml:space="preserve">consequence analysis of subcutaneous rituximab in patients with follicular lymphoma. </w:t>
      </w:r>
      <w:r w:rsidRPr="00C1603D">
        <w:rPr>
          <w:i/>
        </w:rPr>
        <w:t xml:space="preserve">Ann </w:t>
      </w:r>
      <w:proofErr w:type="spellStart"/>
      <w:r w:rsidRPr="00C1603D">
        <w:rPr>
          <w:i/>
        </w:rPr>
        <w:t>Hematol</w:t>
      </w:r>
      <w:proofErr w:type="spellEnd"/>
      <w:r w:rsidRPr="00C1603D">
        <w:t xml:space="preserve"> 2018;</w:t>
      </w:r>
      <w:r w:rsidRPr="00C1603D">
        <w:rPr>
          <w:b/>
        </w:rPr>
        <w:t>97</w:t>
      </w:r>
      <w:r w:rsidRPr="00C1603D">
        <w:t>:</w:t>
      </w:r>
      <w:r w:rsidRPr="00C1603D">
        <w:rPr>
          <w:color w:val="auto"/>
        </w:rPr>
        <w:t>123</w:t>
      </w:r>
      <w:r w:rsidRPr="00C1603D">
        <w:rPr>
          <w:color w:val="00B0F0"/>
        </w:rPr>
        <w:t>–</w:t>
      </w:r>
      <w:r w:rsidRPr="00C1603D">
        <w:rPr>
          <w:color w:val="auto"/>
        </w:rPr>
        <w:t>31</w:t>
      </w:r>
      <w:r w:rsidRPr="00C1603D">
        <w:t>. https://doi.org/10.1007/s00277-017-3147-y</w:t>
      </w:r>
    </w:p>
    <w:p w14:paraId="0B2B54E5" w14:textId="1FFEE358" w:rsidR="00EF77DB" w:rsidRPr="00C1603D" w:rsidRDefault="00EF77DB" w:rsidP="00EF77DB">
      <w:pPr>
        <w:pStyle w:val="65ReferencesTextstylesTextstyles"/>
      </w:pPr>
      <w:r w:rsidRPr="00C1603D">
        <w:t>242.</w:t>
      </w:r>
      <w:r w:rsidRPr="00C1603D">
        <w:tab/>
        <w:t xml:space="preserve">Ludvigsson JF, </w:t>
      </w:r>
      <w:proofErr w:type="spellStart"/>
      <w:r w:rsidRPr="00C1603D">
        <w:t>Michaelsson</w:t>
      </w:r>
      <w:proofErr w:type="spellEnd"/>
      <w:r w:rsidRPr="00C1603D">
        <w:t xml:space="preserve"> K, Ekbom A, Montgomery SM. Coeliac disease and the risk of fractures </w:t>
      </w:r>
      <w:r w:rsidR="008A6177" w:rsidRPr="00C1603D">
        <w:t>–</w:t>
      </w:r>
      <w:r w:rsidRPr="00C1603D">
        <w:t xml:space="preserve"> a general population-based cohort study.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2007;</w:t>
      </w:r>
      <w:r w:rsidRPr="00C1603D">
        <w:rPr>
          <w:b/>
        </w:rPr>
        <w:t>25</w:t>
      </w:r>
      <w:r w:rsidRPr="00C1603D">
        <w:t>:</w:t>
      </w:r>
      <w:r w:rsidRPr="00C1603D">
        <w:rPr>
          <w:color w:val="auto"/>
        </w:rPr>
        <w:t>273</w:t>
      </w:r>
      <w:r w:rsidRPr="00C1603D">
        <w:rPr>
          <w:color w:val="00B0F0"/>
        </w:rPr>
        <w:t>–</w:t>
      </w:r>
      <w:r w:rsidRPr="00C1603D">
        <w:rPr>
          <w:color w:val="auto"/>
        </w:rPr>
        <w:t>85</w:t>
      </w:r>
      <w:r w:rsidRPr="00C1603D">
        <w:t>.</w:t>
      </w:r>
    </w:p>
    <w:p w14:paraId="186499C1" w14:textId="77777777" w:rsidR="00EF77DB" w:rsidRPr="00C1603D" w:rsidRDefault="00EF77DB" w:rsidP="00EF77DB">
      <w:pPr>
        <w:pStyle w:val="65ReferencesTextstylesTextstyles"/>
      </w:pPr>
      <w:r w:rsidRPr="00C1603D">
        <w:t>243.</w:t>
      </w:r>
      <w:r w:rsidRPr="00C1603D">
        <w:tab/>
        <w:t xml:space="preserve">Godfrey JD, </w:t>
      </w:r>
      <w:proofErr w:type="spellStart"/>
      <w:r w:rsidRPr="00C1603D">
        <w:t>Brantner</w:t>
      </w:r>
      <w:proofErr w:type="spellEnd"/>
      <w:r w:rsidRPr="00C1603D">
        <w:t xml:space="preserve"> TL, </w:t>
      </w:r>
      <w:proofErr w:type="spellStart"/>
      <w:r w:rsidRPr="00C1603D">
        <w:t>Brinjikji</w:t>
      </w:r>
      <w:proofErr w:type="spellEnd"/>
      <w:r w:rsidRPr="00C1603D">
        <w:t xml:space="preserve"> W, Christensen KN, Brogan DL, Van Dyke CT, </w:t>
      </w:r>
      <w:r w:rsidRPr="00C1603D">
        <w:rPr>
          <w:i/>
        </w:rPr>
        <w:t>et al</w:t>
      </w:r>
      <w:r w:rsidRPr="00C1603D">
        <w:t xml:space="preserve">. Morbidity and mortality among older individuals with undiagnosed celiac disease. </w:t>
      </w:r>
      <w:r w:rsidRPr="00C1603D">
        <w:rPr>
          <w:i/>
        </w:rPr>
        <w:t>Gastroenterology</w:t>
      </w:r>
      <w:r w:rsidRPr="00C1603D">
        <w:t xml:space="preserve"> 2010;</w:t>
      </w:r>
      <w:r w:rsidRPr="00C1603D">
        <w:rPr>
          <w:b/>
        </w:rPr>
        <w:t>139</w:t>
      </w:r>
      <w:r w:rsidRPr="00C1603D">
        <w:t>:</w:t>
      </w:r>
      <w:r w:rsidRPr="00C1603D">
        <w:rPr>
          <w:color w:val="auto"/>
        </w:rPr>
        <w:t>763</w:t>
      </w:r>
      <w:r w:rsidRPr="00C1603D">
        <w:rPr>
          <w:color w:val="00B0F0"/>
        </w:rPr>
        <w:t>–</w:t>
      </w:r>
      <w:r w:rsidRPr="00C1603D">
        <w:rPr>
          <w:color w:val="auto"/>
        </w:rPr>
        <w:t>9</w:t>
      </w:r>
      <w:r w:rsidRPr="00C1603D">
        <w:t>. https://doi.org/10.1053/j.gastro.2010.05.041</w:t>
      </w:r>
    </w:p>
    <w:p w14:paraId="666B3C4E" w14:textId="77777777" w:rsidR="00EF77DB" w:rsidRPr="00C1603D" w:rsidRDefault="00EF77DB" w:rsidP="00EF77DB">
      <w:pPr>
        <w:pStyle w:val="65ReferencesTextstylesTextstyles"/>
      </w:pPr>
      <w:r w:rsidRPr="00C1603D">
        <w:t>244.</w:t>
      </w:r>
      <w:r w:rsidRPr="00C1603D">
        <w:tab/>
      </w:r>
      <w:proofErr w:type="spellStart"/>
      <w:r w:rsidRPr="00C1603D">
        <w:t>Silano</w:t>
      </w:r>
      <w:proofErr w:type="spellEnd"/>
      <w:r w:rsidRPr="00C1603D">
        <w:t xml:space="preserve"> M, Volta U, </w:t>
      </w:r>
      <w:proofErr w:type="spellStart"/>
      <w:r w:rsidRPr="00C1603D">
        <w:t>Mecchia</w:t>
      </w:r>
      <w:proofErr w:type="spellEnd"/>
      <w:r w:rsidRPr="00C1603D">
        <w:t xml:space="preserve"> AM, </w:t>
      </w:r>
      <w:proofErr w:type="spellStart"/>
      <w:r w:rsidRPr="00C1603D">
        <w:t>Dessì</w:t>
      </w:r>
      <w:proofErr w:type="spellEnd"/>
      <w:r w:rsidRPr="00C1603D">
        <w:t xml:space="preserve"> M, Di Benedetto R, De </w:t>
      </w:r>
      <w:proofErr w:type="spellStart"/>
      <w:r w:rsidRPr="00C1603D">
        <w:t>Vincenzi</w:t>
      </w:r>
      <w:proofErr w:type="spellEnd"/>
      <w:r w:rsidRPr="00C1603D">
        <w:t xml:space="preserve"> M, Collaborating </w:t>
      </w:r>
      <w:proofErr w:type="spellStart"/>
      <w:r w:rsidRPr="00C1603D">
        <w:t>centers</w:t>
      </w:r>
      <w:proofErr w:type="spellEnd"/>
      <w:r w:rsidRPr="00C1603D">
        <w:t xml:space="preserve"> of the Italian registry of the complications of coeliac disease. Delayed diagnosis of coeliac disease increases cancer risk. </w:t>
      </w:r>
      <w:r w:rsidRPr="00C1603D">
        <w:rPr>
          <w:i/>
        </w:rPr>
        <w:t>BMC Gastroenterol</w:t>
      </w:r>
      <w:r w:rsidRPr="00C1603D">
        <w:t xml:space="preserve"> 2007;</w:t>
      </w:r>
      <w:r w:rsidRPr="00C1603D">
        <w:rPr>
          <w:b/>
        </w:rPr>
        <w:t>7</w:t>
      </w:r>
      <w:r w:rsidRPr="00C1603D">
        <w:t>:</w:t>
      </w:r>
      <w:r w:rsidRPr="00C1603D">
        <w:rPr>
          <w:color w:val="auto"/>
        </w:rPr>
        <w:t>8</w:t>
      </w:r>
      <w:r w:rsidRPr="00C1603D">
        <w:t>.</w:t>
      </w:r>
    </w:p>
    <w:p w14:paraId="3AF56935" w14:textId="77777777" w:rsidR="00EF77DB" w:rsidRPr="00C1603D" w:rsidRDefault="3CDEEDA7" w:rsidP="00EF77DB">
      <w:pPr>
        <w:pStyle w:val="65ReferencesTextstylesTextstyles"/>
      </w:pPr>
      <w:commentRangeStart w:id="523"/>
      <w:commentRangeStart w:id="524"/>
      <w:r w:rsidRPr="00C1603D">
        <w:t>245.</w:t>
      </w:r>
      <w:r w:rsidR="00EF77DB" w:rsidRPr="00C1603D">
        <w:tab/>
      </w:r>
      <w:r w:rsidRPr="00C1603D">
        <w:t xml:space="preserve">Goldacre MJ, Wotton CJ, </w:t>
      </w:r>
      <w:proofErr w:type="spellStart"/>
      <w:r w:rsidRPr="00C1603D">
        <w:t>Yeates</w:t>
      </w:r>
      <w:proofErr w:type="spellEnd"/>
      <w:r w:rsidRPr="00C1603D">
        <w:t xml:space="preserve"> D, </w:t>
      </w:r>
      <w:proofErr w:type="spellStart"/>
      <w:r w:rsidRPr="00C1603D">
        <w:t>Seagroatt</w:t>
      </w:r>
      <w:proofErr w:type="spellEnd"/>
      <w:r w:rsidRPr="00C1603D">
        <w:t xml:space="preserve"> V, Jewell D. Cancer in patients with ulcerative colitis, Crohn’s disease and coeliac disease: record linkage study. </w:t>
      </w:r>
      <w:proofErr w:type="spellStart"/>
      <w:r w:rsidRPr="00C1603D">
        <w:rPr>
          <w:i/>
          <w:iCs/>
        </w:rPr>
        <w:t>Eur</w:t>
      </w:r>
      <w:proofErr w:type="spellEnd"/>
      <w:r w:rsidRPr="00C1603D">
        <w:rPr>
          <w:i/>
          <w:iCs/>
        </w:rPr>
        <w:t xml:space="preserve"> J Gastroenterol </w:t>
      </w:r>
      <w:r w:rsidRPr="00C1603D">
        <w:rPr>
          <w:i/>
          <w:iCs/>
        </w:rPr>
        <w:lastRenderedPageBreak/>
        <w:t>Hepatol</w:t>
      </w:r>
      <w:r w:rsidRPr="00C1603D">
        <w:t xml:space="preserve"> 2008;</w:t>
      </w:r>
      <w:r w:rsidRPr="00C1603D">
        <w:rPr>
          <w:b/>
          <w:bCs/>
        </w:rPr>
        <w:t>20</w:t>
      </w:r>
      <w:r w:rsidRPr="00C1603D">
        <w:t>:</w:t>
      </w:r>
      <w:r w:rsidRPr="00C1603D">
        <w:rPr>
          <w:color w:val="auto"/>
        </w:rPr>
        <w:t>297</w:t>
      </w:r>
      <w:r w:rsidRPr="00C1603D">
        <w:rPr>
          <w:color w:val="00B0F0"/>
        </w:rPr>
        <w:t>–</w:t>
      </w:r>
      <w:r w:rsidRPr="00C1603D">
        <w:rPr>
          <w:color w:val="auto"/>
        </w:rPr>
        <w:t>304</w:t>
      </w:r>
      <w:r w:rsidRPr="00C1603D">
        <w:t>. https://doi.org/10.1097/MEG.0b013e3282f2a5e2</w:t>
      </w:r>
      <w:commentRangeEnd w:id="523"/>
      <w:r w:rsidR="00EF77DB" w:rsidRPr="00C1603D">
        <w:commentReference w:id="523"/>
      </w:r>
      <w:commentRangeEnd w:id="524"/>
      <w:r w:rsidR="00EF77DB" w:rsidRPr="00C1603D">
        <w:commentReference w:id="524"/>
      </w:r>
    </w:p>
    <w:p w14:paraId="73D1ED2B" w14:textId="77777777" w:rsidR="00EF77DB" w:rsidRPr="00C1603D" w:rsidRDefault="00EF77DB" w:rsidP="00EF77DB">
      <w:pPr>
        <w:pStyle w:val="65ReferencesTextstylesTextstyles"/>
      </w:pPr>
      <w:r w:rsidRPr="00C1603D">
        <w:t>246.</w:t>
      </w:r>
      <w:r w:rsidRPr="00C1603D">
        <w:tab/>
      </w:r>
      <w:proofErr w:type="spellStart"/>
      <w:r w:rsidRPr="00C1603D">
        <w:t>Fleurence</w:t>
      </w:r>
      <w:proofErr w:type="spellEnd"/>
      <w:r w:rsidRPr="00C1603D">
        <w:t xml:space="preserve"> RL, </w:t>
      </w:r>
      <w:proofErr w:type="spellStart"/>
      <w:r w:rsidRPr="00C1603D">
        <w:t>Hollenbeak</w:t>
      </w:r>
      <w:proofErr w:type="spellEnd"/>
      <w:r w:rsidRPr="00C1603D">
        <w:t xml:space="preserve"> CS. Rates and probabilities in economic modelling: transformation, translation and appropriate application. </w:t>
      </w:r>
      <w:proofErr w:type="spellStart"/>
      <w:r w:rsidRPr="00C1603D">
        <w:rPr>
          <w:i/>
        </w:rPr>
        <w:t>PharmacoEconomics</w:t>
      </w:r>
      <w:proofErr w:type="spellEnd"/>
      <w:r w:rsidRPr="00C1603D">
        <w:t xml:space="preserve"> 2007;</w:t>
      </w:r>
      <w:r w:rsidRPr="00C1603D">
        <w:rPr>
          <w:b/>
        </w:rPr>
        <w:t>25</w:t>
      </w:r>
      <w:r w:rsidRPr="00C1603D">
        <w:t>:</w:t>
      </w:r>
      <w:r w:rsidRPr="00C1603D">
        <w:rPr>
          <w:color w:val="auto"/>
        </w:rPr>
        <w:t>3</w:t>
      </w:r>
      <w:r w:rsidRPr="00C1603D">
        <w:rPr>
          <w:color w:val="00B0F0"/>
        </w:rPr>
        <w:t>–</w:t>
      </w:r>
      <w:r w:rsidRPr="00C1603D">
        <w:rPr>
          <w:color w:val="auto"/>
        </w:rPr>
        <w:t>6</w:t>
      </w:r>
      <w:r w:rsidRPr="00C1603D">
        <w:t>.</w:t>
      </w:r>
    </w:p>
    <w:p w14:paraId="57847F6F" w14:textId="3D94D8E6" w:rsidR="00EF77DB" w:rsidRPr="00C1603D" w:rsidRDefault="00EF77DB" w:rsidP="00EF77DB">
      <w:pPr>
        <w:pStyle w:val="65ReferencesTextstylesTextstyles"/>
        <w:rPr>
          <w:iCs/>
        </w:rPr>
      </w:pPr>
      <w:r w:rsidRPr="00C1603D">
        <w:t>247.</w:t>
      </w:r>
      <w:r w:rsidRPr="00C1603D">
        <w:tab/>
      </w:r>
      <w:r w:rsidR="005F1673" w:rsidRPr="00C1603D">
        <w:t>Office for National Statistics</w:t>
      </w:r>
      <w:r w:rsidRPr="00C1603D">
        <w:t xml:space="preserve">. </w:t>
      </w:r>
      <w:r w:rsidRPr="00C1603D">
        <w:rPr>
          <w:i/>
          <w:iCs/>
        </w:rPr>
        <w:t>National Life Tables, United Kingdom, 1980</w:t>
      </w:r>
      <w:r w:rsidR="005F1673" w:rsidRPr="00C1603D">
        <w:rPr>
          <w:i/>
          <w:iCs/>
        </w:rPr>
        <w:t>–</w:t>
      </w:r>
      <w:r w:rsidRPr="00C1603D">
        <w:rPr>
          <w:i/>
          <w:iCs/>
        </w:rPr>
        <w:t>1982 to 2017</w:t>
      </w:r>
      <w:r w:rsidR="005F1673" w:rsidRPr="00C1603D">
        <w:rPr>
          <w:i/>
          <w:iCs/>
        </w:rPr>
        <w:t>–</w:t>
      </w:r>
      <w:r w:rsidRPr="00C1603D">
        <w:rPr>
          <w:i/>
          <w:iCs/>
        </w:rPr>
        <w:t>2019</w:t>
      </w:r>
      <w:r w:rsidRPr="00C1603D">
        <w:t xml:space="preserve">. </w:t>
      </w:r>
      <w:r w:rsidR="00F72468" w:rsidRPr="00C1603D">
        <w:t>URL: www.ons.gov.uk/peoplepopulationandcommunity/birthsdeathsandmarriages/lifeexpectancies/datasets/nationallifetablesunitedkingdomreferencetables</w:t>
      </w:r>
      <w:r w:rsidR="00F72468" w:rsidRPr="00C1603D">
        <w:rPr>
          <w:iCs/>
        </w:rPr>
        <w:t xml:space="preserve"> </w:t>
      </w:r>
      <w:r w:rsidR="005F1673" w:rsidRPr="00C1603D">
        <w:rPr>
          <w:iCs/>
        </w:rPr>
        <w:t>(</w:t>
      </w:r>
      <w:r w:rsidRPr="00C1603D">
        <w:rPr>
          <w:iCs/>
        </w:rPr>
        <w:t>accessed 10</w:t>
      </w:r>
      <w:r w:rsidR="005F1673" w:rsidRPr="00C1603D">
        <w:rPr>
          <w:iCs/>
        </w:rPr>
        <w:t xml:space="preserve"> November </w:t>
      </w:r>
      <w:r w:rsidRPr="00C1603D">
        <w:rPr>
          <w:iCs/>
        </w:rPr>
        <w:t>2020</w:t>
      </w:r>
      <w:r w:rsidR="005F1673" w:rsidRPr="00C1603D">
        <w:rPr>
          <w:iCs/>
        </w:rPr>
        <w:t>)</w:t>
      </w:r>
      <w:r w:rsidRPr="00C1603D">
        <w:rPr>
          <w:iCs/>
        </w:rPr>
        <w:t>.</w:t>
      </w:r>
    </w:p>
    <w:p w14:paraId="1119A60F" w14:textId="7AE6FD00" w:rsidR="00EF77DB" w:rsidRPr="00C1603D" w:rsidRDefault="3CDEEDA7" w:rsidP="00EF77DB">
      <w:pPr>
        <w:pStyle w:val="65ReferencesTextstylesTextstyles"/>
      </w:pPr>
      <w:r w:rsidRPr="00C1603D">
        <w:t>248.</w:t>
      </w:r>
      <w:r w:rsidR="00EF77DB" w:rsidRPr="00C1603D">
        <w:tab/>
      </w:r>
      <w:commentRangeStart w:id="525"/>
      <w:commentRangeStart w:id="526"/>
      <w:r w:rsidRPr="00C1603D">
        <w:t xml:space="preserve">Office for National Statistics. </w:t>
      </w:r>
      <w:r w:rsidRPr="00C1603D">
        <w:rPr>
          <w:i/>
          <w:iCs/>
        </w:rPr>
        <w:t>Cancer Survival in England: Adults Diagnosed Between 2013 and 2017 and Followed up to 2018</w:t>
      </w:r>
      <w:r w:rsidRPr="00C1603D">
        <w:t>. Newport: Office for National Statistics; 2018.</w:t>
      </w:r>
      <w:commentRangeEnd w:id="525"/>
      <w:r w:rsidR="00EF77DB" w:rsidRPr="00C1603D">
        <w:commentReference w:id="525"/>
      </w:r>
      <w:commentRangeEnd w:id="526"/>
      <w:r w:rsidR="00EF77DB" w:rsidRPr="00C1603D">
        <w:commentReference w:id="526"/>
      </w:r>
    </w:p>
    <w:p w14:paraId="20045409" w14:textId="11541E01" w:rsidR="00EF77DB" w:rsidRPr="00C1603D" w:rsidRDefault="00EF77DB" w:rsidP="00EF77DB">
      <w:pPr>
        <w:pStyle w:val="65ReferencesTextstylesTextstyles"/>
      </w:pPr>
      <w:r w:rsidRPr="00C1603D">
        <w:t>249.</w:t>
      </w:r>
      <w:r w:rsidRPr="00C1603D">
        <w:tab/>
        <w:t xml:space="preserve">Lunn D, Jackson C, Best N, Thomas A, </w:t>
      </w:r>
      <w:proofErr w:type="spellStart"/>
      <w:r w:rsidRPr="00C1603D">
        <w:t>Spiegelhalter</w:t>
      </w:r>
      <w:proofErr w:type="spellEnd"/>
      <w:r w:rsidRPr="00C1603D">
        <w:t xml:space="preserve"> DJ. </w:t>
      </w:r>
      <w:r w:rsidRPr="00C1603D">
        <w:rPr>
          <w:i/>
        </w:rPr>
        <w:t>The</w:t>
      </w:r>
      <w:r w:rsidRPr="00C1603D">
        <w:t xml:space="preserve"> </w:t>
      </w:r>
      <w:r w:rsidRPr="00C1603D">
        <w:rPr>
          <w:i/>
        </w:rPr>
        <w:t>BUGS</w:t>
      </w:r>
      <w:r w:rsidRPr="00C1603D">
        <w:t xml:space="preserve"> </w:t>
      </w:r>
      <w:r w:rsidR="006227FB" w:rsidRPr="00C1603D">
        <w:rPr>
          <w:i/>
        </w:rPr>
        <w:t>Book</w:t>
      </w:r>
      <w:r w:rsidR="006227FB" w:rsidRPr="00C1603D">
        <w:t xml:space="preserve"> : </w:t>
      </w:r>
      <w:r w:rsidR="006227FB" w:rsidRPr="00C1603D">
        <w:rPr>
          <w:i/>
        </w:rPr>
        <w:t>A</w:t>
      </w:r>
      <w:r w:rsidR="006227FB" w:rsidRPr="00C1603D">
        <w:t xml:space="preserve"> </w:t>
      </w:r>
      <w:r w:rsidR="006227FB" w:rsidRPr="00C1603D">
        <w:rPr>
          <w:i/>
        </w:rPr>
        <w:t>Practical</w:t>
      </w:r>
      <w:r w:rsidR="006227FB" w:rsidRPr="00C1603D">
        <w:t xml:space="preserve"> </w:t>
      </w:r>
      <w:r w:rsidR="006227FB" w:rsidRPr="00C1603D">
        <w:rPr>
          <w:i/>
        </w:rPr>
        <w:t>Introduction</w:t>
      </w:r>
      <w:r w:rsidR="006227FB" w:rsidRPr="00C1603D">
        <w:t xml:space="preserve"> </w:t>
      </w:r>
      <w:r w:rsidRPr="00C1603D">
        <w:rPr>
          <w:i/>
        </w:rPr>
        <w:t>to</w:t>
      </w:r>
      <w:r w:rsidRPr="00C1603D">
        <w:t xml:space="preserve"> </w:t>
      </w:r>
      <w:r w:rsidRPr="00C1603D">
        <w:rPr>
          <w:i/>
        </w:rPr>
        <w:t>Bayesian</w:t>
      </w:r>
      <w:r w:rsidRPr="00C1603D">
        <w:t xml:space="preserve"> </w:t>
      </w:r>
      <w:r w:rsidR="006227FB" w:rsidRPr="00C1603D">
        <w:rPr>
          <w:i/>
        </w:rPr>
        <w:t>Analysis</w:t>
      </w:r>
      <w:r w:rsidRPr="00C1603D">
        <w:t>. Boca Raton</w:t>
      </w:r>
      <w:r w:rsidR="00E15822" w:rsidRPr="00C1603D">
        <w:t>, FL</w:t>
      </w:r>
      <w:r w:rsidRPr="00C1603D">
        <w:t>: CRC Press; 2013.</w:t>
      </w:r>
    </w:p>
    <w:p w14:paraId="611894CA" w14:textId="6E50AC00" w:rsidR="00EF77DB" w:rsidRPr="00C1603D" w:rsidRDefault="00EF77DB" w:rsidP="00EF77DB">
      <w:pPr>
        <w:pStyle w:val="65ReferencesTextstylesTextstyles"/>
      </w:pPr>
      <w:r w:rsidRPr="00C1603D">
        <w:t>250.</w:t>
      </w:r>
      <w:r w:rsidRPr="00C1603D">
        <w:tab/>
        <w:t xml:space="preserve">Klop C, </w:t>
      </w:r>
      <w:proofErr w:type="spellStart"/>
      <w:r w:rsidRPr="00C1603D">
        <w:t>Welsing</w:t>
      </w:r>
      <w:proofErr w:type="spellEnd"/>
      <w:r w:rsidRPr="00C1603D">
        <w:t xml:space="preserve"> PM, Cooper C, Harvey NC, Elders PJ, </w:t>
      </w:r>
      <w:proofErr w:type="spellStart"/>
      <w:r w:rsidRPr="00C1603D">
        <w:t>Bijlsma</w:t>
      </w:r>
      <w:proofErr w:type="spellEnd"/>
      <w:r w:rsidRPr="00C1603D">
        <w:t xml:space="preserve"> JW, </w:t>
      </w:r>
      <w:r w:rsidRPr="00C1603D">
        <w:rPr>
          <w:i/>
        </w:rPr>
        <w:t>et al</w:t>
      </w:r>
      <w:r w:rsidRPr="00C1603D">
        <w:t>. Mortality in British hip fracture patients, 2000</w:t>
      </w:r>
      <w:r w:rsidR="00E15822" w:rsidRPr="00C1603D">
        <w:t>–</w:t>
      </w:r>
      <w:r w:rsidRPr="00C1603D">
        <w:t xml:space="preserve">2010: a population-based retrospective cohort study. </w:t>
      </w:r>
      <w:r w:rsidRPr="00C1603D">
        <w:rPr>
          <w:i/>
        </w:rPr>
        <w:t>Bone</w:t>
      </w:r>
      <w:r w:rsidRPr="00C1603D">
        <w:t xml:space="preserve"> 2014;</w:t>
      </w:r>
      <w:r w:rsidRPr="00C1603D">
        <w:rPr>
          <w:b/>
        </w:rPr>
        <w:t>66</w:t>
      </w:r>
      <w:r w:rsidRPr="00C1603D">
        <w:t>:</w:t>
      </w:r>
      <w:r w:rsidRPr="00C1603D">
        <w:rPr>
          <w:color w:val="auto"/>
        </w:rPr>
        <w:t>171</w:t>
      </w:r>
      <w:r w:rsidRPr="00C1603D">
        <w:rPr>
          <w:color w:val="00B0F0"/>
        </w:rPr>
        <w:t>–</w:t>
      </w:r>
      <w:r w:rsidRPr="00C1603D">
        <w:rPr>
          <w:color w:val="auto"/>
        </w:rPr>
        <w:t>7</w:t>
      </w:r>
      <w:r w:rsidRPr="00C1603D">
        <w:t>. https://doi.org/10.1016/j.bone.2014.06.011</w:t>
      </w:r>
    </w:p>
    <w:p w14:paraId="0710FA14" w14:textId="0323509F" w:rsidR="00EF77DB" w:rsidRPr="00C1603D" w:rsidRDefault="3CDEEDA7" w:rsidP="00EF77DB">
      <w:pPr>
        <w:pStyle w:val="65ReferencesTextstylesTextstyles"/>
      </w:pPr>
      <w:r w:rsidRPr="00C1603D">
        <w:t>251.</w:t>
      </w:r>
      <w:r w:rsidR="00EF77DB" w:rsidRPr="00C1603D">
        <w:tab/>
      </w:r>
      <w:commentRangeStart w:id="527"/>
      <w:commentRangeStart w:id="528"/>
      <w:r w:rsidRPr="00C1603D">
        <w:t xml:space="preserve">Joint Formulary Committee. </w:t>
      </w:r>
      <w:r w:rsidRPr="00C1603D">
        <w:rPr>
          <w:i/>
          <w:iCs/>
        </w:rPr>
        <w:t>British National Formulary</w:t>
      </w:r>
      <w:r w:rsidRPr="00C1603D">
        <w:t xml:space="preserve"> (online). London: BMJ Group and Pharmaceutical Press. URL: www.medicinescomplete.com (accessed 11 November 2021).</w:t>
      </w:r>
      <w:commentRangeEnd w:id="527"/>
      <w:r w:rsidR="00EF77DB" w:rsidRPr="00C1603D">
        <w:commentReference w:id="527"/>
      </w:r>
      <w:commentRangeEnd w:id="528"/>
      <w:r w:rsidR="00EF77DB" w:rsidRPr="00C1603D">
        <w:commentReference w:id="528"/>
      </w:r>
    </w:p>
    <w:p w14:paraId="31568BF0" w14:textId="36A8C2D4" w:rsidR="00EF77DB" w:rsidRPr="00C1603D" w:rsidRDefault="3CDEEDA7" w:rsidP="00EF77DB">
      <w:pPr>
        <w:pStyle w:val="65ReferencesTextstylesTextstyles"/>
      </w:pPr>
      <w:r w:rsidRPr="00C1603D">
        <w:t>252.</w:t>
      </w:r>
      <w:r w:rsidR="00EF77DB" w:rsidRPr="00C1603D">
        <w:tab/>
      </w:r>
      <w:commentRangeStart w:id="529"/>
      <w:commentRangeStart w:id="530"/>
      <w:r w:rsidRPr="00C1603D">
        <w:t xml:space="preserve">National Institute for Health and Care Excellence. </w:t>
      </w:r>
      <w:r w:rsidRPr="00C1603D">
        <w:rPr>
          <w:i/>
          <w:iCs/>
        </w:rPr>
        <w:t>Guide to the Methods of Technology Appraisal 2013. Process and Methods [PMG9]</w:t>
      </w:r>
      <w:r w:rsidRPr="00C1603D">
        <w:t>. URL: www.nice.org.uk/process/pmg9/chapter/foreword (accessed 27 May 2022).</w:t>
      </w:r>
      <w:commentRangeEnd w:id="529"/>
      <w:r w:rsidR="00EF77DB" w:rsidRPr="00C1603D">
        <w:commentReference w:id="529"/>
      </w:r>
      <w:commentRangeEnd w:id="530"/>
      <w:r w:rsidR="00EF77DB" w:rsidRPr="00C1603D">
        <w:commentReference w:id="530"/>
      </w:r>
    </w:p>
    <w:p w14:paraId="60433247" w14:textId="7874FEA3" w:rsidR="00EF77DB" w:rsidRPr="00C1603D" w:rsidRDefault="00EF77DB" w:rsidP="00EF77DB">
      <w:pPr>
        <w:pStyle w:val="65ReferencesTextstylesTextstyles"/>
      </w:pPr>
      <w:r w:rsidRPr="00C1603D">
        <w:t>253.</w:t>
      </w:r>
      <w:r w:rsidRPr="00C1603D">
        <w:tab/>
        <w:t xml:space="preserve">Wilson ECF. Methodological </w:t>
      </w:r>
      <w:r w:rsidR="00070884" w:rsidRPr="00C1603D">
        <w:t xml:space="preserve">note: reporting deterministic versus probabilistic results </w:t>
      </w:r>
      <w:r w:rsidRPr="00C1603D">
        <w:t xml:space="preserve">of Markov, </w:t>
      </w:r>
      <w:r w:rsidR="00070884" w:rsidRPr="00C1603D">
        <w:t>partitioned survival and other non-linear models</w:t>
      </w:r>
      <w:r w:rsidRPr="00C1603D">
        <w:t xml:space="preserve">. </w:t>
      </w:r>
      <w:proofErr w:type="spellStart"/>
      <w:r w:rsidRPr="00C1603D">
        <w:rPr>
          <w:i/>
        </w:rPr>
        <w:t>Appl</w:t>
      </w:r>
      <w:proofErr w:type="spellEnd"/>
      <w:r w:rsidRPr="00C1603D">
        <w:rPr>
          <w:i/>
        </w:rPr>
        <w:t xml:space="preserve"> Health Econ Health Policy</w:t>
      </w:r>
      <w:r w:rsidRPr="00C1603D">
        <w:t xml:space="preserve"> 2021;</w:t>
      </w:r>
      <w:r w:rsidRPr="00C1603D">
        <w:rPr>
          <w:b/>
        </w:rPr>
        <w:t>19</w:t>
      </w:r>
      <w:r w:rsidRPr="00C1603D">
        <w:t>:</w:t>
      </w:r>
      <w:r w:rsidRPr="00C1603D">
        <w:rPr>
          <w:color w:val="auto"/>
        </w:rPr>
        <w:t>789</w:t>
      </w:r>
      <w:r w:rsidRPr="00C1603D">
        <w:rPr>
          <w:color w:val="00B0F0"/>
        </w:rPr>
        <w:t>–</w:t>
      </w:r>
      <w:r w:rsidRPr="00C1603D">
        <w:rPr>
          <w:color w:val="auto"/>
        </w:rPr>
        <w:t>95</w:t>
      </w:r>
      <w:r w:rsidRPr="00C1603D">
        <w:t>. https://doi.org/10.1007/s40258-021-00664-2</w:t>
      </w:r>
    </w:p>
    <w:p w14:paraId="0CECC190" w14:textId="77777777" w:rsidR="00EF77DB" w:rsidRPr="00C1603D" w:rsidRDefault="00EF77DB" w:rsidP="00EF77DB">
      <w:pPr>
        <w:pStyle w:val="65ReferencesTextstylesTextstyles"/>
      </w:pPr>
      <w:r w:rsidRPr="00C1603D">
        <w:t>254.</w:t>
      </w:r>
      <w:r w:rsidRPr="00C1603D">
        <w:tab/>
        <w:t xml:space="preserve">Paul SP, Harries SL, </w:t>
      </w:r>
      <w:proofErr w:type="spellStart"/>
      <w:r w:rsidRPr="00C1603D">
        <w:t>Basude</w:t>
      </w:r>
      <w:proofErr w:type="spellEnd"/>
      <w:r w:rsidRPr="00C1603D">
        <w:t xml:space="preserve"> D. Barriers to implementing the revised ESPGHAN guidelines for coeliac disease in children: a cross-sectional survey of coeliac screen reporting in laboratories in England. </w:t>
      </w:r>
      <w:r w:rsidRPr="00C1603D">
        <w:rPr>
          <w:i/>
        </w:rPr>
        <w:t>Arch Dis Child</w:t>
      </w:r>
      <w:r w:rsidRPr="00C1603D">
        <w:t xml:space="preserve"> 2017;</w:t>
      </w:r>
      <w:r w:rsidRPr="00C1603D">
        <w:rPr>
          <w:b/>
        </w:rPr>
        <w:t>102</w:t>
      </w:r>
      <w:r w:rsidRPr="00C1603D">
        <w:t>:</w:t>
      </w:r>
      <w:r w:rsidRPr="00C1603D">
        <w:rPr>
          <w:color w:val="auto"/>
        </w:rPr>
        <w:t>942</w:t>
      </w:r>
      <w:r w:rsidRPr="00C1603D">
        <w:rPr>
          <w:color w:val="00B0F0"/>
        </w:rPr>
        <w:t>–</w:t>
      </w:r>
      <w:r w:rsidRPr="00C1603D">
        <w:rPr>
          <w:color w:val="auto"/>
        </w:rPr>
        <w:t>6</w:t>
      </w:r>
      <w:r w:rsidRPr="00C1603D">
        <w:t>. https://doi.org/10.1136/archdischild-2016-312027</w:t>
      </w:r>
    </w:p>
    <w:p w14:paraId="71CA56C6" w14:textId="77777777" w:rsidR="00EF77DB" w:rsidRPr="00C1603D" w:rsidRDefault="00EF77DB" w:rsidP="00EF77DB">
      <w:pPr>
        <w:pStyle w:val="65ReferencesTextstylesTextstyles"/>
      </w:pPr>
      <w:r w:rsidRPr="00C1603D">
        <w:t>255.</w:t>
      </w:r>
      <w:r w:rsidRPr="00C1603D">
        <w:tab/>
        <w:t xml:space="preserve">Barton GR, Briggs AH, Fenwick EA. Optimal cost-effectiveness decisions: the role of the cost-effectiveness acceptability curve (CEAC), the cost-effectiveness acceptability frontier (CEAF), and the expected value of perfection information (EVPI). </w:t>
      </w:r>
      <w:r w:rsidRPr="00C1603D">
        <w:rPr>
          <w:i/>
        </w:rPr>
        <w:t>Value Health</w:t>
      </w:r>
      <w:r w:rsidRPr="00C1603D">
        <w:t xml:space="preserve"> 2008;</w:t>
      </w:r>
      <w:r w:rsidRPr="00C1603D">
        <w:rPr>
          <w:b/>
        </w:rPr>
        <w:t>11</w:t>
      </w:r>
      <w:r w:rsidRPr="00C1603D">
        <w:t>:</w:t>
      </w:r>
      <w:r w:rsidRPr="00C1603D">
        <w:rPr>
          <w:color w:val="auto"/>
        </w:rPr>
        <w:t>886</w:t>
      </w:r>
      <w:r w:rsidRPr="00C1603D">
        <w:rPr>
          <w:color w:val="00B0F0"/>
        </w:rPr>
        <w:t>–</w:t>
      </w:r>
      <w:r w:rsidRPr="00C1603D">
        <w:rPr>
          <w:color w:val="auto"/>
        </w:rPr>
        <w:t>97</w:t>
      </w:r>
      <w:r w:rsidRPr="00C1603D">
        <w:t>. https://doi.org/10.1111/j.1524-4733.2008.00358.x</w:t>
      </w:r>
    </w:p>
    <w:p w14:paraId="7A6FE33C" w14:textId="1C995628" w:rsidR="00EF77DB" w:rsidRPr="00C1603D" w:rsidRDefault="00EF77DB" w:rsidP="00EF77DB">
      <w:pPr>
        <w:pStyle w:val="65ReferencesTextstylesTextstyles"/>
      </w:pPr>
      <w:r w:rsidRPr="00C1603D">
        <w:t>256.</w:t>
      </w:r>
      <w:r w:rsidRPr="00C1603D">
        <w:tab/>
        <w:t xml:space="preserve">Fenwick E, </w:t>
      </w:r>
      <w:proofErr w:type="spellStart"/>
      <w:r w:rsidRPr="00C1603D">
        <w:t>Steuten</w:t>
      </w:r>
      <w:proofErr w:type="spellEnd"/>
      <w:r w:rsidRPr="00C1603D">
        <w:t xml:space="preserve"> L, </w:t>
      </w:r>
      <w:proofErr w:type="spellStart"/>
      <w:r w:rsidRPr="00C1603D">
        <w:t>Knies</w:t>
      </w:r>
      <w:proofErr w:type="spellEnd"/>
      <w:r w:rsidRPr="00C1603D">
        <w:t xml:space="preserve"> S, </w:t>
      </w:r>
      <w:proofErr w:type="spellStart"/>
      <w:r w:rsidRPr="00C1603D">
        <w:t>Ghabri</w:t>
      </w:r>
      <w:proofErr w:type="spellEnd"/>
      <w:r w:rsidRPr="00C1603D">
        <w:t xml:space="preserve"> S, </w:t>
      </w:r>
      <w:proofErr w:type="spellStart"/>
      <w:r w:rsidRPr="00C1603D">
        <w:t>Basu</w:t>
      </w:r>
      <w:proofErr w:type="spellEnd"/>
      <w:r w:rsidRPr="00C1603D">
        <w:t xml:space="preserve"> A, Murray JF, </w:t>
      </w:r>
      <w:r w:rsidRPr="00C1603D">
        <w:rPr>
          <w:i/>
        </w:rPr>
        <w:t>et al</w:t>
      </w:r>
      <w:r w:rsidRPr="00C1603D">
        <w:t xml:space="preserve">. Value of </w:t>
      </w:r>
      <w:r w:rsidR="00070884" w:rsidRPr="00C1603D">
        <w:t>information analysis for research decisions – a</w:t>
      </w:r>
      <w:r w:rsidRPr="00C1603D">
        <w:t xml:space="preserve">n </w:t>
      </w:r>
      <w:r w:rsidR="00070884" w:rsidRPr="00C1603D">
        <w:t xml:space="preserve">introduction: report </w:t>
      </w:r>
      <w:proofErr w:type="gramStart"/>
      <w:r w:rsidRPr="00C1603D">
        <w:t>1</w:t>
      </w:r>
      <w:proofErr w:type="gramEnd"/>
      <w:r w:rsidRPr="00C1603D">
        <w:t xml:space="preserve"> of the ISPOR Value of Information Analysis Emerging Good Practices Task Force. </w:t>
      </w:r>
      <w:r w:rsidRPr="00C1603D">
        <w:rPr>
          <w:i/>
        </w:rPr>
        <w:t>Value Health</w:t>
      </w:r>
      <w:r w:rsidRPr="00C1603D">
        <w:t xml:space="preserve"> 2020;</w:t>
      </w:r>
      <w:r w:rsidRPr="00C1603D">
        <w:rPr>
          <w:b/>
        </w:rPr>
        <w:t>23</w:t>
      </w:r>
      <w:r w:rsidRPr="00C1603D">
        <w:t>:</w:t>
      </w:r>
      <w:r w:rsidRPr="00C1603D">
        <w:rPr>
          <w:color w:val="auto"/>
        </w:rPr>
        <w:t>139</w:t>
      </w:r>
      <w:r w:rsidRPr="00C1603D">
        <w:rPr>
          <w:color w:val="00B0F0"/>
        </w:rPr>
        <w:t>–</w:t>
      </w:r>
      <w:r w:rsidRPr="00C1603D">
        <w:rPr>
          <w:color w:val="auto"/>
        </w:rPr>
        <w:t>50</w:t>
      </w:r>
      <w:r w:rsidRPr="00C1603D">
        <w:t>.</w:t>
      </w:r>
    </w:p>
    <w:p w14:paraId="316D77FF" w14:textId="6A321316" w:rsidR="00EF77DB" w:rsidRPr="00C1603D" w:rsidRDefault="00EF77DB" w:rsidP="00EF77DB">
      <w:pPr>
        <w:pStyle w:val="65ReferencesTextstylesTextstyles"/>
      </w:pPr>
      <w:r w:rsidRPr="00C1603D">
        <w:t>257.</w:t>
      </w:r>
      <w:r w:rsidRPr="00C1603D">
        <w:tab/>
      </w:r>
      <w:proofErr w:type="spellStart"/>
      <w:r w:rsidRPr="00C1603D">
        <w:t>Rothery</w:t>
      </w:r>
      <w:proofErr w:type="spellEnd"/>
      <w:r w:rsidRPr="00C1603D">
        <w:t xml:space="preserve"> C, Strong M, </w:t>
      </w:r>
      <w:proofErr w:type="spellStart"/>
      <w:r w:rsidRPr="00C1603D">
        <w:t>Koffijberg</w:t>
      </w:r>
      <w:proofErr w:type="spellEnd"/>
      <w:r w:rsidRPr="00C1603D">
        <w:t xml:space="preserve"> HE, </w:t>
      </w:r>
      <w:proofErr w:type="spellStart"/>
      <w:r w:rsidRPr="00C1603D">
        <w:t>Basu</w:t>
      </w:r>
      <w:proofErr w:type="spellEnd"/>
      <w:r w:rsidRPr="00C1603D">
        <w:t xml:space="preserve"> A, </w:t>
      </w:r>
      <w:proofErr w:type="spellStart"/>
      <w:r w:rsidRPr="00C1603D">
        <w:t>Ghabri</w:t>
      </w:r>
      <w:proofErr w:type="spellEnd"/>
      <w:r w:rsidRPr="00C1603D">
        <w:t xml:space="preserve"> S, </w:t>
      </w:r>
      <w:proofErr w:type="spellStart"/>
      <w:r w:rsidRPr="00C1603D">
        <w:t>Knies</w:t>
      </w:r>
      <w:proofErr w:type="spellEnd"/>
      <w:r w:rsidRPr="00C1603D">
        <w:t xml:space="preserve"> S, </w:t>
      </w:r>
      <w:r w:rsidRPr="00C1603D">
        <w:rPr>
          <w:i/>
        </w:rPr>
        <w:t>et al</w:t>
      </w:r>
      <w:r w:rsidRPr="00C1603D">
        <w:t xml:space="preserve">. Value of </w:t>
      </w:r>
      <w:r w:rsidR="00070884" w:rsidRPr="00C1603D">
        <w:t xml:space="preserve">information analytical methods: report </w:t>
      </w:r>
      <w:proofErr w:type="gramStart"/>
      <w:r w:rsidRPr="00C1603D">
        <w:t>2</w:t>
      </w:r>
      <w:proofErr w:type="gramEnd"/>
      <w:r w:rsidRPr="00C1603D">
        <w:t xml:space="preserve"> of the ISPOR Value of Information Analysis Emerging Good Practices Task Force. </w:t>
      </w:r>
      <w:r w:rsidRPr="00C1603D">
        <w:rPr>
          <w:i/>
        </w:rPr>
        <w:t>Value Health</w:t>
      </w:r>
      <w:r w:rsidRPr="00C1603D">
        <w:t xml:space="preserve"> 2020;</w:t>
      </w:r>
      <w:r w:rsidRPr="00C1603D">
        <w:rPr>
          <w:b/>
        </w:rPr>
        <w:t>23</w:t>
      </w:r>
      <w:r w:rsidRPr="00C1603D">
        <w:t>:</w:t>
      </w:r>
      <w:r w:rsidRPr="00C1603D">
        <w:rPr>
          <w:color w:val="auto"/>
        </w:rPr>
        <w:t>277</w:t>
      </w:r>
      <w:r w:rsidRPr="00C1603D">
        <w:rPr>
          <w:color w:val="00B0F0"/>
        </w:rPr>
        <w:t>–</w:t>
      </w:r>
      <w:r w:rsidRPr="00C1603D">
        <w:rPr>
          <w:color w:val="auto"/>
        </w:rPr>
        <w:t>86</w:t>
      </w:r>
      <w:r w:rsidRPr="00C1603D">
        <w:t>.</w:t>
      </w:r>
    </w:p>
    <w:p w14:paraId="4FA14D93" w14:textId="77777777" w:rsidR="00EF77DB" w:rsidRPr="00C1603D" w:rsidRDefault="00EF77DB" w:rsidP="00EF77DB">
      <w:pPr>
        <w:pStyle w:val="65ReferencesTextstylesTextstyles"/>
      </w:pPr>
      <w:r w:rsidRPr="00C1603D">
        <w:t>258.</w:t>
      </w:r>
      <w:r w:rsidRPr="00C1603D">
        <w:tab/>
      </w:r>
      <w:proofErr w:type="spellStart"/>
      <w:r w:rsidRPr="00C1603D">
        <w:t>Baio</w:t>
      </w:r>
      <w:proofErr w:type="spellEnd"/>
      <w:r w:rsidRPr="00C1603D">
        <w:t xml:space="preserve"> G, </w:t>
      </w:r>
      <w:proofErr w:type="spellStart"/>
      <w:r w:rsidRPr="00C1603D">
        <w:t>Dawid</w:t>
      </w:r>
      <w:proofErr w:type="spellEnd"/>
      <w:r w:rsidRPr="00C1603D">
        <w:t xml:space="preserve"> AP. Probabilistic sensitivity analysis in health economics. </w:t>
      </w:r>
      <w:r w:rsidRPr="00C1603D">
        <w:rPr>
          <w:i/>
        </w:rPr>
        <w:t>Stat Methods Med Res</w:t>
      </w:r>
      <w:r w:rsidRPr="00C1603D">
        <w:t xml:space="preserve"> 2015;</w:t>
      </w:r>
      <w:r w:rsidRPr="00C1603D">
        <w:rPr>
          <w:b/>
        </w:rPr>
        <w:t>24</w:t>
      </w:r>
      <w:r w:rsidRPr="00C1603D">
        <w:t>:</w:t>
      </w:r>
      <w:r w:rsidRPr="00C1603D">
        <w:rPr>
          <w:color w:val="auto"/>
        </w:rPr>
        <w:t>615</w:t>
      </w:r>
      <w:r w:rsidRPr="00C1603D">
        <w:rPr>
          <w:color w:val="00B0F0"/>
        </w:rPr>
        <w:t>–</w:t>
      </w:r>
      <w:r w:rsidRPr="00C1603D">
        <w:rPr>
          <w:color w:val="auto"/>
        </w:rPr>
        <w:t>34</w:t>
      </w:r>
      <w:r w:rsidRPr="00C1603D">
        <w:t>. https://doi.org/10.1177/0962280211419832</w:t>
      </w:r>
    </w:p>
    <w:p w14:paraId="7A29D55E" w14:textId="77777777" w:rsidR="00EF77DB" w:rsidRPr="00C1603D" w:rsidRDefault="00EF77DB" w:rsidP="00EF77DB">
      <w:pPr>
        <w:pStyle w:val="65ReferencesTextstylesTextstyles"/>
      </w:pPr>
      <w:r w:rsidRPr="00C1603D">
        <w:t>259.</w:t>
      </w:r>
      <w:r w:rsidRPr="00C1603D">
        <w:tab/>
        <w:t xml:space="preserve">Strong M, Oakley JE, Brennan A. Estimating multiparameter partial expected value of perfect information from a probabilistic sensitivity analysis sample: a nonparametric regression approach. </w:t>
      </w:r>
      <w:r w:rsidRPr="00C1603D">
        <w:rPr>
          <w:i/>
        </w:rPr>
        <w:t xml:space="preserve">Med </w:t>
      </w:r>
      <w:proofErr w:type="spellStart"/>
      <w:r w:rsidRPr="00C1603D">
        <w:rPr>
          <w:i/>
        </w:rPr>
        <w:t>Decis</w:t>
      </w:r>
      <w:proofErr w:type="spellEnd"/>
      <w:r w:rsidRPr="00C1603D">
        <w:rPr>
          <w:i/>
        </w:rPr>
        <w:t xml:space="preserve"> Making</w:t>
      </w:r>
      <w:r w:rsidRPr="00C1603D">
        <w:t xml:space="preserve"> 2014;</w:t>
      </w:r>
      <w:r w:rsidRPr="00C1603D">
        <w:rPr>
          <w:b/>
        </w:rPr>
        <w:t>34</w:t>
      </w:r>
      <w:r w:rsidRPr="00C1603D">
        <w:t>:</w:t>
      </w:r>
      <w:r w:rsidRPr="00C1603D">
        <w:rPr>
          <w:color w:val="auto"/>
        </w:rPr>
        <w:t>311</w:t>
      </w:r>
      <w:r w:rsidRPr="00C1603D">
        <w:rPr>
          <w:color w:val="00B0F0"/>
        </w:rPr>
        <w:t>–</w:t>
      </w:r>
      <w:r w:rsidRPr="00C1603D">
        <w:rPr>
          <w:color w:val="auto"/>
        </w:rPr>
        <w:t>26</w:t>
      </w:r>
      <w:r w:rsidRPr="00C1603D">
        <w:t>. https://doi.org/10.1177/0272989X13505910</w:t>
      </w:r>
    </w:p>
    <w:p w14:paraId="31EB769A" w14:textId="5A67AFD3" w:rsidR="00EF77DB" w:rsidRPr="00C1603D" w:rsidRDefault="00EF77DB" w:rsidP="00EF77DB">
      <w:pPr>
        <w:pStyle w:val="65ReferencesTextstylesTextstyles"/>
      </w:pPr>
      <w:r w:rsidRPr="00C1603D">
        <w:t>260.</w:t>
      </w:r>
      <w:r w:rsidRPr="00C1603D">
        <w:tab/>
        <w:t xml:space="preserve">Strong M, Oakley JE, Brennan A, Breeze P. Estimating the </w:t>
      </w:r>
      <w:r w:rsidR="00070884" w:rsidRPr="00C1603D">
        <w:t>expected value of sample information using the probabilistic sensitivity analysis sample: a fast, nonparametric regression-based meth</w:t>
      </w:r>
      <w:r w:rsidRPr="00C1603D">
        <w:t xml:space="preserve">od. </w:t>
      </w:r>
      <w:r w:rsidRPr="00C1603D">
        <w:rPr>
          <w:i/>
        </w:rPr>
        <w:t xml:space="preserve">Med </w:t>
      </w:r>
      <w:proofErr w:type="spellStart"/>
      <w:r w:rsidRPr="00C1603D">
        <w:rPr>
          <w:i/>
        </w:rPr>
        <w:t>Decis</w:t>
      </w:r>
      <w:proofErr w:type="spellEnd"/>
      <w:r w:rsidRPr="00C1603D">
        <w:rPr>
          <w:i/>
        </w:rPr>
        <w:t xml:space="preserve"> Making</w:t>
      </w:r>
      <w:r w:rsidRPr="00C1603D">
        <w:t xml:space="preserve"> 2015;</w:t>
      </w:r>
      <w:r w:rsidRPr="00C1603D">
        <w:rPr>
          <w:b/>
        </w:rPr>
        <w:t>35</w:t>
      </w:r>
      <w:r w:rsidRPr="00C1603D">
        <w:t>:</w:t>
      </w:r>
      <w:r w:rsidRPr="00C1603D">
        <w:rPr>
          <w:color w:val="auto"/>
        </w:rPr>
        <w:t>570</w:t>
      </w:r>
      <w:r w:rsidRPr="00C1603D">
        <w:rPr>
          <w:color w:val="00B0F0"/>
        </w:rPr>
        <w:t>–</w:t>
      </w:r>
      <w:r w:rsidRPr="00C1603D">
        <w:rPr>
          <w:color w:val="auto"/>
        </w:rPr>
        <w:t>83</w:t>
      </w:r>
      <w:r w:rsidRPr="00C1603D">
        <w:t>. https://doi.org/10.1177/0272989X15575286</w:t>
      </w:r>
    </w:p>
    <w:p w14:paraId="3131CABD" w14:textId="16E602FE" w:rsidR="00EF77DB" w:rsidRPr="00C1603D" w:rsidRDefault="3CDEEDA7" w:rsidP="00EF77DB">
      <w:pPr>
        <w:pStyle w:val="65ReferencesTextstylesTextstyles"/>
      </w:pPr>
      <w:r w:rsidRPr="00C1603D">
        <w:lastRenderedPageBreak/>
        <w:t>261.</w:t>
      </w:r>
      <w:r w:rsidR="00EF77DB" w:rsidRPr="00C1603D">
        <w:tab/>
      </w:r>
      <w:commentRangeStart w:id="531"/>
      <w:commentRangeStart w:id="532"/>
      <w:r w:rsidRPr="00C1603D">
        <w:t xml:space="preserve">Fang W, Wang Z, Giles MB, Jackson CH, Welton NJ, </w:t>
      </w:r>
      <w:proofErr w:type="spellStart"/>
      <w:r w:rsidRPr="00C1603D">
        <w:t>Andrieu</w:t>
      </w:r>
      <w:proofErr w:type="spellEnd"/>
      <w:r w:rsidRPr="00C1603D">
        <w:t xml:space="preserve"> C, Thom H. Multilevel and quasi Monte Carlo methods for the calculation of the expected value of partial perfect information. </w:t>
      </w:r>
      <w:r w:rsidRPr="00C1603D">
        <w:rPr>
          <w:i/>
          <w:iCs/>
        </w:rPr>
        <w:t>Med</w:t>
      </w:r>
      <w:r w:rsidRPr="00C1603D">
        <w:t xml:space="preserve"> </w:t>
      </w:r>
      <w:proofErr w:type="spellStart"/>
      <w:r w:rsidRPr="00C1603D">
        <w:rPr>
          <w:i/>
          <w:iCs/>
        </w:rPr>
        <w:t>Decis</w:t>
      </w:r>
      <w:proofErr w:type="spellEnd"/>
      <w:r w:rsidRPr="00C1603D">
        <w:t xml:space="preserve"> </w:t>
      </w:r>
      <w:r w:rsidRPr="00C1603D">
        <w:rPr>
          <w:i/>
          <w:iCs/>
        </w:rPr>
        <w:t>Making</w:t>
      </w:r>
      <w:r w:rsidRPr="00C1603D">
        <w:t xml:space="preserve"> 2022;</w:t>
      </w:r>
      <w:r w:rsidRPr="00C1603D">
        <w:rPr>
          <w:b/>
          <w:bCs/>
        </w:rPr>
        <w:t>42</w:t>
      </w:r>
      <w:r w:rsidRPr="00C1603D">
        <w:t>:168–81. https://doi.org/10.1177/0272989X211026305</w:t>
      </w:r>
      <w:commentRangeEnd w:id="531"/>
      <w:r w:rsidR="00EF77DB" w:rsidRPr="00C1603D">
        <w:commentReference w:id="531"/>
      </w:r>
      <w:commentRangeEnd w:id="532"/>
      <w:r w:rsidR="00EF77DB" w:rsidRPr="00C1603D">
        <w:commentReference w:id="532"/>
      </w:r>
    </w:p>
    <w:p w14:paraId="5E3B7180" w14:textId="7070EC1E" w:rsidR="00EF77DB" w:rsidRPr="00C1603D" w:rsidRDefault="00EF77DB" w:rsidP="00EF77DB">
      <w:pPr>
        <w:pStyle w:val="65ReferencesTextstylesTextstyles"/>
      </w:pPr>
      <w:r w:rsidRPr="00C1603D">
        <w:t>262.</w:t>
      </w:r>
      <w:r w:rsidRPr="00C1603D">
        <w:tab/>
      </w:r>
      <w:r w:rsidR="0080606B" w:rsidRPr="00C1603D">
        <w:t>Office for National Statistics</w:t>
      </w:r>
      <w:r w:rsidRPr="00C1603D">
        <w:t xml:space="preserve">. </w:t>
      </w:r>
      <w:r w:rsidRPr="00C1603D">
        <w:rPr>
          <w:i/>
          <w:iCs/>
        </w:rPr>
        <w:t xml:space="preserve">Population </w:t>
      </w:r>
      <w:r w:rsidR="0080606B" w:rsidRPr="00C1603D">
        <w:rPr>
          <w:i/>
          <w:iCs/>
        </w:rPr>
        <w:t>Estimates</w:t>
      </w:r>
      <w:r w:rsidRPr="00C1603D">
        <w:t xml:space="preserve">. </w:t>
      </w:r>
      <w:r w:rsidR="0080606B" w:rsidRPr="00C1603D">
        <w:t xml:space="preserve">URL: </w:t>
      </w:r>
      <w:r w:rsidRPr="00C1603D">
        <w:t>www.ons.gov.uk/peoplepopulationandcommunity/populationandmigration/populationestimates (accessed 10</w:t>
      </w:r>
      <w:r w:rsidR="0080606B" w:rsidRPr="00C1603D">
        <w:t xml:space="preserve"> </w:t>
      </w:r>
      <w:r w:rsidRPr="00C1603D">
        <w:t>November</w:t>
      </w:r>
      <w:r w:rsidR="0080606B" w:rsidRPr="00C1603D">
        <w:t xml:space="preserve"> </w:t>
      </w:r>
      <w:r w:rsidRPr="00C1603D">
        <w:t>2021).</w:t>
      </w:r>
    </w:p>
    <w:p w14:paraId="297E2839" w14:textId="13E26275" w:rsidR="00EF77DB" w:rsidRPr="00C1603D" w:rsidRDefault="3CDEEDA7" w:rsidP="00EF77DB">
      <w:pPr>
        <w:pStyle w:val="65ReferencesTextstylesTextstyles"/>
      </w:pPr>
      <w:r w:rsidRPr="00C1603D">
        <w:t>263.</w:t>
      </w:r>
      <w:r w:rsidR="00EF77DB" w:rsidRPr="00C1603D">
        <w:tab/>
      </w:r>
      <w:commentRangeStart w:id="533"/>
      <w:commentRangeStart w:id="534"/>
      <w:r w:rsidRPr="00C1603D">
        <w:t xml:space="preserve">Government of the UK. </w:t>
      </w:r>
      <w:r w:rsidRPr="00C1603D">
        <w:rPr>
          <w:i/>
          <w:iCs/>
        </w:rPr>
        <w:t>UK Population by Ethnicity: Age Groups</w:t>
      </w:r>
      <w:r w:rsidRPr="00C1603D">
        <w:t>. URL: www.ethnicity-facts-figures.service.gov.uk/uk-population-by-ethnicity/demographics/age-groups/latest (accessed 27 May 2022).</w:t>
      </w:r>
      <w:commentRangeEnd w:id="533"/>
      <w:r w:rsidR="00EF77DB" w:rsidRPr="00C1603D">
        <w:commentReference w:id="533"/>
      </w:r>
      <w:commentRangeEnd w:id="534"/>
      <w:r w:rsidR="00EF77DB" w:rsidRPr="00C1603D">
        <w:commentReference w:id="534"/>
      </w:r>
    </w:p>
    <w:p w14:paraId="67D9DBAF" w14:textId="41BEC6A2" w:rsidR="00EF77DB" w:rsidRPr="00C1603D" w:rsidRDefault="00EF77DB" w:rsidP="00EF77DB">
      <w:pPr>
        <w:pStyle w:val="65ReferencesTextstylesTextstyles"/>
      </w:pPr>
      <w:r w:rsidRPr="00C1603D">
        <w:t>264.</w:t>
      </w:r>
      <w:r w:rsidRPr="00C1603D">
        <w:tab/>
      </w:r>
      <w:commentRangeStart w:id="535"/>
      <w:r w:rsidR="00DA78BD" w:rsidRPr="00C1603D">
        <w:t xml:space="preserve">R Core </w:t>
      </w:r>
      <w:r w:rsidRPr="00C1603D">
        <w:t xml:space="preserve">Team. </w:t>
      </w:r>
      <w:r w:rsidRPr="00C1603D">
        <w:rPr>
          <w:i/>
          <w:iCs/>
        </w:rPr>
        <w:t xml:space="preserve">R: A </w:t>
      </w:r>
      <w:r w:rsidR="00DA78BD" w:rsidRPr="00C1603D">
        <w:rPr>
          <w:i/>
          <w:iCs/>
        </w:rPr>
        <w:t xml:space="preserve">Language </w:t>
      </w:r>
      <w:r w:rsidRPr="00C1603D">
        <w:rPr>
          <w:i/>
          <w:iCs/>
        </w:rPr>
        <w:t xml:space="preserve">and </w:t>
      </w:r>
      <w:r w:rsidR="00DA78BD" w:rsidRPr="00C1603D">
        <w:rPr>
          <w:i/>
          <w:iCs/>
        </w:rPr>
        <w:t xml:space="preserve">Environment </w:t>
      </w:r>
      <w:r w:rsidRPr="00C1603D">
        <w:rPr>
          <w:i/>
          <w:iCs/>
        </w:rPr>
        <w:t xml:space="preserve">for </w:t>
      </w:r>
      <w:r w:rsidR="00DA78BD" w:rsidRPr="00C1603D">
        <w:rPr>
          <w:i/>
          <w:iCs/>
        </w:rPr>
        <w:t>Statistical Computing</w:t>
      </w:r>
      <w:r w:rsidRPr="00C1603D">
        <w:t xml:space="preserve">. </w:t>
      </w:r>
      <w:r w:rsidR="00292CC8" w:rsidRPr="00C1603D">
        <w:t xml:space="preserve">Vienna: R Foundation for Statistical Computing; </w:t>
      </w:r>
      <w:r w:rsidRPr="00C1603D">
        <w:t>2013.</w:t>
      </w:r>
      <w:commentRangeEnd w:id="535"/>
      <w:r w:rsidR="0019562D" w:rsidRPr="00C1603D">
        <w:rPr>
          <w:rFonts w:ascii="Times New Roman" w:hAnsi="Times New Roman" w:cs="Times New Roman"/>
          <w:color w:val="auto"/>
          <w:lang w:val="en-US"/>
        </w:rPr>
        <w:commentReference w:id="535"/>
      </w:r>
    </w:p>
    <w:p w14:paraId="2BCDC5A2" w14:textId="7213F7E3" w:rsidR="00EF77DB" w:rsidRPr="00C1603D" w:rsidRDefault="00EF77DB" w:rsidP="00EF77DB">
      <w:pPr>
        <w:pStyle w:val="65ReferencesTextstylesTextstyles"/>
      </w:pPr>
      <w:r w:rsidRPr="00C1603D">
        <w:t>265.</w:t>
      </w:r>
      <w:r w:rsidRPr="00C1603D">
        <w:tab/>
      </w:r>
      <w:proofErr w:type="spellStart"/>
      <w:r w:rsidRPr="00C1603D">
        <w:t>Incerti</w:t>
      </w:r>
      <w:proofErr w:type="spellEnd"/>
      <w:r w:rsidRPr="00C1603D">
        <w:t xml:space="preserve"> D, Thom H, </w:t>
      </w:r>
      <w:proofErr w:type="spellStart"/>
      <w:r w:rsidRPr="00C1603D">
        <w:t>Baio</w:t>
      </w:r>
      <w:proofErr w:type="spellEnd"/>
      <w:r w:rsidRPr="00C1603D">
        <w:t xml:space="preserve"> G, Jansen JP. R You </w:t>
      </w:r>
      <w:r w:rsidR="000C0796" w:rsidRPr="00C1603D">
        <w:t xml:space="preserve">still using </w:t>
      </w:r>
      <w:r w:rsidRPr="00C1603D">
        <w:t xml:space="preserve">Excel? The </w:t>
      </w:r>
      <w:r w:rsidR="000C0796" w:rsidRPr="00C1603D">
        <w:t xml:space="preserve">advantages </w:t>
      </w:r>
      <w:r w:rsidRPr="00C1603D">
        <w:t xml:space="preserve">of </w:t>
      </w:r>
      <w:r w:rsidR="000C0796" w:rsidRPr="00C1603D">
        <w:t xml:space="preserve">modern software tools </w:t>
      </w:r>
      <w:r w:rsidRPr="00C1603D">
        <w:t xml:space="preserve">for </w:t>
      </w:r>
      <w:r w:rsidR="000C0796" w:rsidRPr="00C1603D">
        <w:t>health technology assessment</w:t>
      </w:r>
      <w:r w:rsidRPr="00C1603D">
        <w:t xml:space="preserve">. </w:t>
      </w:r>
      <w:r w:rsidRPr="00C1603D">
        <w:rPr>
          <w:i/>
        </w:rPr>
        <w:t>Value Health</w:t>
      </w:r>
      <w:r w:rsidRPr="00C1603D">
        <w:t xml:space="preserve"> 2019;</w:t>
      </w:r>
      <w:r w:rsidRPr="00C1603D">
        <w:rPr>
          <w:b/>
        </w:rPr>
        <w:t>22</w:t>
      </w:r>
      <w:r w:rsidRPr="00C1603D">
        <w:t>:</w:t>
      </w:r>
      <w:r w:rsidRPr="00C1603D">
        <w:rPr>
          <w:color w:val="auto"/>
        </w:rPr>
        <w:t>575</w:t>
      </w:r>
      <w:r w:rsidRPr="00C1603D">
        <w:rPr>
          <w:color w:val="00B0F0"/>
        </w:rPr>
        <w:t>–</w:t>
      </w:r>
      <w:r w:rsidRPr="00C1603D">
        <w:rPr>
          <w:color w:val="auto"/>
        </w:rPr>
        <w:t>9</w:t>
      </w:r>
      <w:r w:rsidRPr="00C1603D">
        <w:t>.</w:t>
      </w:r>
    </w:p>
    <w:p w14:paraId="10239166" w14:textId="0F6EFDDD" w:rsidR="00EF77DB" w:rsidRPr="00C1603D" w:rsidRDefault="00EF77DB" w:rsidP="00EF77DB">
      <w:pPr>
        <w:pStyle w:val="65ReferencesTextstylesTextstyles"/>
      </w:pPr>
      <w:r w:rsidRPr="00C1603D">
        <w:t>266.</w:t>
      </w:r>
      <w:r w:rsidRPr="00C1603D">
        <w:tab/>
        <w:t xml:space="preserve">Fang W, Wang Z, Giles MB, Jackson CH, Welton NJ, </w:t>
      </w:r>
      <w:proofErr w:type="spellStart"/>
      <w:r w:rsidRPr="00C1603D">
        <w:t>Andrieu</w:t>
      </w:r>
      <w:proofErr w:type="spellEnd"/>
      <w:r w:rsidRPr="00C1603D">
        <w:t xml:space="preserve"> C, Thom H. Multilevel and </w:t>
      </w:r>
      <w:r w:rsidR="007334F1" w:rsidRPr="00C1603D">
        <w:t>q</w:t>
      </w:r>
      <w:r w:rsidRPr="00C1603D">
        <w:t xml:space="preserve">uasi Monte Carlo </w:t>
      </w:r>
      <w:r w:rsidR="00E13B5B" w:rsidRPr="00C1603D">
        <w:t>m</w:t>
      </w:r>
      <w:r w:rsidRPr="00C1603D">
        <w:t xml:space="preserve">ethods for the </w:t>
      </w:r>
      <w:r w:rsidR="007334F1" w:rsidRPr="00C1603D">
        <w:t>calculation of the expected value of partial perfect information</w:t>
      </w:r>
      <w:r w:rsidRPr="00C1603D">
        <w:t xml:space="preserve">. </w:t>
      </w:r>
      <w:r w:rsidRPr="00C1603D">
        <w:rPr>
          <w:i/>
        </w:rPr>
        <w:t xml:space="preserve">Med </w:t>
      </w:r>
      <w:proofErr w:type="spellStart"/>
      <w:r w:rsidRPr="00C1603D">
        <w:rPr>
          <w:i/>
        </w:rPr>
        <w:t>Decis</w:t>
      </w:r>
      <w:proofErr w:type="spellEnd"/>
      <w:r w:rsidRPr="00C1603D">
        <w:rPr>
          <w:i/>
        </w:rPr>
        <w:t xml:space="preserve"> Making</w:t>
      </w:r>
      <w:r w:rsidRPr="00C1603D">
        <w:t xml:space="preserve"> 2022;</w:t>
      </w:r>
      <w:r w:rsidRPr="00C1603D">
        <w:rPr>
          <w:b/>
        </w:rPr>
        <w:t>42</w:t>
      </w:r>
      <w:r w:rsidRPr="00C1603D">
        <w:t>:</w:t>
      </w:r>
      <w:r w:rsidRPr="00C1603D">
        <w:rPr>
          <w:color w:val="auto"/>
        </w:rPr>
        <w:t>168</w:t>
      </w:r>
      <w:r w:rsidRPr="00C1603D">
        <w:rPr>
          <w:color w:val="00B0F0"/>
        </w:rPr>
        <w:t>–</w:t>
      </w:r>
      <w:r w:rsidRPr="00C1603D">
        <w:rPr>
          <w:color w:val="auto"/>
        </w:rPr>
        <w:t>81</w:t>
      </w:r>
      <w:r w:rsidRPr="00C1603D">
        <w:t>. https://doi.org/10.1177/0272989X211026305</w:t>
      </w:r>
    </w:p>
    <w:p w14:paraId="3F8DBCB6" w14:textId="77777777" w:rsidR="00EF77DB" w:rsidRPr="00C1603D" w:rsidRDefault="00EF77DB" w:rsidP="00EF77DB">
      <w:pPr>
        <w:pStyle w:val="65ReferencesTextstylesTextstyles"/>
      </w:pPr>
      <w:r w:rsidRPr="00C1603D">
        <w:t>267.</w:t>
      </w:r>
      <w:r w:rsidRPr="00C1603D">
        <w:tab/>
      </w:r>
      <w:proofErr w:type="spellStart"/>
      <w:r w:rsidRPr="00C1603D">
        <w:t>Antiga</w:t>
      </w:r>
      <w:proofErr w:type="spellEnd"/>
      <w:r w:rsidRPr="00C1603D">
        <w:t xml:space="preserve"> E, </w:t>
      </w:r>
      <w:proofErr w:type="spellStart"/>
      <w:r w:rsidRPr="00C1603D">
        <w:t>Caproni</w:t>
      </w:r>
      <w:proofErr w:type="spellEnd"/>
      <w:r w:rsidRPr="00C1603D">
        <w:t xml:space="preserve"> M. The diagnosis and treatment of dermatitis herpetiformis. </w:t>
      </w:r>
      <w:r w:rsidRPr="00C1603D">
        <w:rPr>
          <w:i/>
        </w:rPr>
        <w:t xml:space="preserve">Clin </w:t>
      </w:r>
      <w:proofErr w:type="spellStart"/>
      <w:r w:rsidRPr="00C1603D">
        <w:rPr>
          <w:i/>
        </w:rPr>
        <w:t>Cosmet</w:t>
      </w:r>
      <w:proofErr w:type="spellEnd"/>
      <w:r w:rsidRPr="00C1603D">
        <w:rPr>
          <w:i/>
        </w:rPr>
        <w:t xml:space="preserve"> </w:t>
      </w:r>
      <w:proofErr w:type="spellStart"/>
      <w:r w:rsidRPr="00C1603D">
        <w:rPr>
          <w:i/>
        </w:rPr>
        <w:t>Investig</w:t>
      </w:r>
      <w:proofErr w:type="spellEnd"/>
      <w:r w:rsidRPr="00C1603D">
        <w:rPr>
          <w:i/>
        </w:rPr>
        <w:t xml:space="preserve"> Dermatol</w:t>
      </w:r>
      <w:r w:rsidRPr="00C1603D">
        <w:t xml:space="preserve"> 2015;</w:t>
      </w:r>
      <w:r w:rsidRPr="00C1603D">
        <w:rPr>
          <w:b/>
        </w:rPr>
        <w:t>8</w:t>
      </w:r>
      <w:r w:rsidRPr="00C1603D">
        <w:t>:</w:t>
      </w:r>
      <w:r w:rsidRPr="00C1603D">
        <w:rPr>
          <w:color w:val="auto"/>
        </w:rPr>
        <w:t>257</w:t>
      </w:r>
      <w:r w:rsidRPr="00C1603D">
        <w:rPr>
          <w:color w:val="00B0F0"/>
        </w:rPr>
        <w:t>–</w:t>
      </w:r>
      <w:r w:rsidRPr="00C1603D">
        <w:rPr>
          <w:color w:val="auto"/>
        </w:rPr>
        <w:t>65</w:t>
      </w:r>
      <w:r w:rsidRPr="00C1603D">
        <w:t>. https://doi.org/10.2147/CCID.S69127</w:t>
      </w:r>
    </w:p>
    <w:p w14:paraId="3B8D76F9" w14:textId="60A1459A" w:rsidR="00EF77DB" w:rsidRPr="00C1603D" w:rsidRDefault="3CDEEDA7" w:rsidP="00EF77DB">
      <w:pPr>
        <w:pStyle w:val="65ReferencesTextstylesTextstyles"/>
      </w:pPr>
      <w:commentRangeStart w:id="536"/>
      <w:commentRangeStart w:id="537"/>
      <w:r w:rsidRPr="00C1603D">
        <w:t>268.</w:t>
      </w:r>
      <w:r w:rsidR="00EF77DB" w:rsidRPr="00C1603D">
        <w:tab/>
      </w:r>
      <w:r w:rsidRPr="00C1603D">
        <w:t xml:space="preserve">Kunst N, Wilson ECF, Glynn D, </w:t>
      </w:r>
      <w:proofErr w:type="spellStart"/>
      <w:r w:rsidRPr="00C1603D">
        <w:t>Alarid</w:t>
      </w:r>
      <w:proofErr w:type="spellEnd"/>
      <w:r w:rsidRPr="00C1603D">
        <w:t xml:space="preserve">-Escudero F, </w:t>
      </w:r>
      <w:proofErr w:type="spellStart"/>
      <w:r w:rsidRPr="00C1603D">
        <w:t>Baio</w:t>
      </w:r>
      <w:proofErr w:type="spellEnd"/>
      <w:r w:rsidRPr="00C1603D">
        <w:t xml:space="preserve"> G, Brennan A, </w:t>
      </w:r>
      <w:r w:rsidRPr="00C1603D">
        <w:rPr>
          <w:i/>
          <w:iCs/>
        </w:rPr>
        <w:t>et al</w:t>
      </w:r>
      <w:r w:rsidRPr="00C1603D">
        <w:t xml:space="preserve">. Computing the expected value of sample information efficiently: practical guidance and recommendations for four model-based methods. </w:t>
      </w:r>
      <w:r w:rsidRPr="00C1603D">
        <w:rPr>
          <w:i/>
          <w:iCs/>
        </w:rPr>
        <w:t>Value Health</w:t>
      </w:r>
      <w:r w:rsidRPr="00C1603D">
        <w:t xml:space="preserve"> 2020;</w:t>
      </w:r>
      <w:r w:rsidRPr="00C1603D">
        <w:rPr>
          <w:b/>
          <w:bCs/>
        </w:rPr>
        <w:t>23</w:t>
      </w:r>
      <w:r w:rsidRPr="00C1603D">
        <w:t>:</w:t>
      </w:r>
      <w:r w:rsidRPr="00C1603D">
        <w:rPr>
          <w:color w:val="auto"/>
        </w:rPr>
        <w:t>734</w:t>
      </w:r>
      <w:r w:rsidRPr="00C1603D">
        <w:rPr>
          <w:color w:val="00B0F0"/>
        </w:rPr>
        <w:t>–</w:t>
      </w:r>
      <w:r w:rsidRPr="00C1603D">
        <w:rPr>
          <w:color w:val="auto"/>
        </w:rPr>
        <w:t>42</w:t>
      </w:r>
      <w:r w:rsidRPr="00C1603D">
        <w:t>.</w:t>
      </w:r>
      <w:commentRangeEnd w:id="536"/>
      <w:r w:rsidR="00EF77DB" w:rsidRPr="00C1603D">
        <w:commentReference w:id="536"/>
      </w:r>
      <w:commentRangeEnd w:id="537"/>
      <w:r w:rsidR="00EF77DB" w:rsidRPr="00C1603D">
        <w:commentReference w:id="537"/>
      </w:r>
    </w:p>
    <w:p w14:paraId="3D19F4AA" w14:textId="77777777" w:rsidR="00EF77DB" w:rsidRPr="00C1603D" w:rsidRDefault="00EF77DB" w:rsidP="00EF77DB">
      <w:pPr>
        <w:pStyle w:val="65ReferencesTextstylesTextstyles"/>
      </w:pPr>
      <w:r w:rsidRPr="00C1603D">
        <w:t>269.</w:t>
      </w:r>
      <w:r w:rsidRPr="00C1603D">
        <w:tab/>
        <w:t xml:space="preserve">Watson J, Nicholson BD, Hamilton W, Price S. Identifying clinical features in primary care electronic health record studies: methods for </w:t>
      </w:r>
      <w:proofErr w:type="spellStart"/>
      <w:r w:rsidRPr="00C1603D">
        <w:t>codelist</w:t>
      </w:r>
      <w:proofErr w:type="spellEnd"/>
      <w:r w:rsidRPr="00C1603D">
        <w:t xml:space="preserve"> development. </w:t>
      </w:r>
      <w:r w:rsidRPr="00C1603D">
        <w:rPr>
          <w:i/>
        </w:rPr>
        <w:t>BMJ Open</w:t>
      </w:r>
      <w:r w:rsidRPr="00C1603D">
        <w:t xml:space="preserve"> 2017;</w:t>
      </w:r>
      <w:r w:rsidRPr="00C1603D">
        <w:rPr>
          <w:b/>
        </w:rPr>
        <w:t>7</w:t>
      </w:r>
      <w:r w:rsidRPr="00C1603D">
        <w:t>:</w:t>
      </w:r>
      <w:r w:rsidRPr="00C1603D">
        <w:rPr>
          <w:color w:val="auto"/>
        </w:rPr>
        <w:t>e019637</w:t>
      </w:r>
      <w:r w:rsidRPr="00C1603D">
        <w:t>. https://doi.org/10.1136/bmjopen-2017-019637</w:t>
      </w:r>
    </w:p>
    <w:p w14:paraId="27CBFF2B" w14:textId="4213FA8D" w:rsidR="00EF77DB" w:rsidRPr="00C1603D" w:rsidRDefault="00EF77DB" w:rsidP="00EF77DB">
      <w:pPr>
        <w:pStyle w:val="65ReferencesTextstylesTextstyles"/>
      </w:pPr>
      <w:r w:rsidRPr="00C1603D">
        <w:t>270.</w:t>
      </w:r>
      <w:r w:rsidRPr="00C1603D">
        <w:tab/>
      </w:r>
      <w:r w:rsidR="00EC4496" w:rsidRPr="00C1603D">
        <w:t xml:space="preserve">National Institute for Health and Care Excellence (NICE). </w:t>
      </w:r>
      <w:r w:rsidR="00EC4496" w:rsidRPr="00C1603D">
        <w:rPr>
          <w:i/>
          <w:iCs/>
        </w:rPr>
        <w:t>Coeliac Disease: Recognition, Assessment and Management</w:t>
      </w:r>
      <w:r w:rsidR="00EC4496" w:rsidRPr="00C1603D">
        <w:t xml:space="preserve">. NICE guideline [NG20]. London: </w:t>
      </w:r>
      <w:r w:rsidR="00EC4496" w:rsidRPr="00C1603D">
        <w:rPr>
          <w:iCs/>
        </w:rPr>
        <w:t>NICE;</w:t>
      </w:r>
      <w:r w:rsidR="00EC4496" w:rsidRPr="00C1603D">
        <w:t xml:space="preserve"> 2015</w:t>
      </w:r>
      <w:r w:rsidRPr="00C1603D">
        <w:t>.</w:t>
      </w:r>
    </w:p>
    <w:p w14:paraId="5808CD31" w14:textId="73047F46" w:rsidR="00EF77DB" w:rsidRPr="00C1603D" w:rsidRDefault="00EF77DB" w:rsidP="00EF77DB">
      <w:pPr>
        <w:pStyle w:val="65ReferencesTextstylesTextstyles"/>
      </w:pPr>
      <w:r w:rsidRPr="00C1603D">
        <w:t>271.</w:t>
      </w:r>
      <w:r w:rsidRPr="00C1603D">
        <w:tab/>
        <w:t xml:space="preserve">Davis S, Stevenson M, </w:t>
      </w:r>
      <w:proofErr w:type="spellStart"/>
      <w:r w:rsidRPr="00C1603D">
        <w:t>Tappenden</w:t>
      </w:r>
      <w:proofErr w:type="spellEnd"/>
      <w:r w:rsidRPr="00C1603D">
        <w:t xml:space="preserve"> P, </w:t>
      </w:r>
      <w:proofErr w:type="spellStart"/>
      <w:r w:rsidRPr="00C1603D">
        <w:t>Wailoo</w:t>
      </w:r>
      <w:proofErr w:type="spellEnd"/>
      <w:r w:rsidRPr="00C1603D">
        <w:t xml:space="preserve"> A. In: </w:t>
      </w:r>
      <w:r w:rsidRPr="00C1603D">
        <w:rPr>
          <w:i/>
        </w:rPr>
        <w:t>NICE</w:t>
      </w:r>
      <w:r w:rsidRPr="00C1603D">
        <w:t xml:space="preserve"> </w:t>
      </w:r>
      <w:r w:rsidRPr="00C1603D">
        <w:rPr>
          <w:i/>
        </w:rPr>
        <w:t>DSU</w:t>
      </w:r>
      <w:r w:rsidRPr="00C1603D">
        <w:t xml:space="preserve"> </w:t>
      </w:r>
      <w:r w:rsidRPr="00C1603D">
        <w:rPr>
          <w:i/>
        </w:rPr>
        <w:t>Technical</w:t>
      </w:r>
      <w:r w:rsidRPr="00C1603D">
        <w:t xml:space="preserve"> </w:t>
      </w:r>
      <w:r w:rsidRPr="00C1603D">
        <w:rPr>
          <w:i/>
        </w:rPr>
        <w:t>Support</w:t>
      </w:r>
      <w:r w:rsidRPr="00C1603D">
        <w:t xml:space="preserve"> </w:t>
      </w:r>
      <w:r w:rsidRPr="00C1603D">
        <w:rPr>
          <w:i/>
        </w:rPr>
        <w:t>Document</w:t>
      </w:r>
      <w:r w:rsidRPr="00C1603D">
        <w:t xml:space="preserve"> </w:t>
      </w:r>
      <w:r w:rsidRPr="00C1603D">
        <w:rPr>
          <w:i/>
        </w:rPr>
        <w:t>15</w:t>
      </w:r>
      <w:r w:rsidRPr="00C1603D">
        <w:t xml:space="preserve">: </w:t>
      </w:r>
      <w:r w:rsidRPr="00C1603D">
        <w:rPr>
          <w:i/>
        </w:rPr>
        <w:t>Cost</w:t>
      </w:r>
      <w:r w:rsidRPr="00C1603D">
        <w:t>-</w:t>
      </w:r>
      <w:r w:rsidRPr="00C1603D">
        <w:rPr>
          <w:i/>
        </w:rPr>
        <w:t>Effectiveness</w:t>
      </w:r>
      <w:r w:rsidRPr="00C1603D">
        <w:t xml:space="preserve"> </w:t>
      </w:r>
      <w:r w:rsidRPr="00C1603D">
        <w:rPr>
          <w:i/>
        </w:rPr>
        <w:t>Modelling</w:t>
      </w:r>
      <w:r w:rsidRPr="00C1603D">
        <w:t xml:space="preserve"> </w:t>
      </w:r>
      <w:r w:rsidRPr="00C1603D">
        <w:rPr>
          <w:i/>
        </w:rPr>
        <w:t>Using</w:t>
      </w:r>
      <w:r w:rsidRPr="00C1603D">
        <w:t xml:space="preserve"> </w:t>
      </w:r>
      <w:r w:rsidRPr="00C1603D">
        <w:rPr>
          <w:i/>
        </w:rPr>
        <w:t>Patient</w:t>
      </w:r>
      <w:r w:rsidRPr="00C1603D">
        <w:t>-</w:t>
      </w:r>
      <w:r w:rsidRPr="00C1603D">
        <w:rPr>
          <w:i/>
        </w:rPr>
        <w:t>Level</w:t>
      </w:r>
      <w:r w:rsidRPr="00C1603D">
        <w:t xml:space="preserve"> </w:t>
      </w:r>
      <w:r w:rsidRPr="00C1603D">
        <w:rPr>
          <w:i/>
          <w:iCs/>
        </w:rPr>
        <w:t>Simulation</w:t>
      </w:r>
      <w:r w:rsidR="00BB59B7" w:rsidRPr="00C1603D">
        <w:t xml:space="preserve">. </w:t>
      </w:r>
      <w:r w:rsidRPr="00C1603D">
        <w:t>London</w:t>
      </w:r>
      <w:r w:rsidR="00572444" w:rsidRPr="00C1603D">
        <w:t xml:space="preserve">: </w:t>
      </w:r>
      <w:r w:rsidR="003C59D1" w:rsidRPr="00C1603D">
        <w:t>National Institute for Health and Care Excellence</w:t>
      </w:r>
      <w:r w:rsidRPr="00C1603D">
        <w:t>; 2014.</w:t>
      </w:r>
    </w:p>
    <w:p w14:paraId="64B4AFF5" w14:textId="485822EB" w:rsidR="00EF77DB" w:rsidRPr="00C1603D" w:rsidRDefault="00EF77DB" w:rsidP="00EF77DB">
      <w:pPr>
        <w:pStyle w:val="65ReferencesTextstylesTextstyles"/>
      </w:pPr>
      <w:r w:rsidRPr="00C1603D">
        <w:t>272.</w:t>
      </w:r>
      <w:r w:rsidRPr="00C1603D">
        <w:tab/>
      </w:r>
      <w:proofErr w:type="spellStart"/>
      <w:r w:rsidRPr="00C1603D">
        <w:t>Ravelli</w:t>
      </w:r>
      <w:proofErr w:type="spellEnd"/>
      <w:r w:rsidRPr="00C1603D">
        <w:t xml:space="preserve"> A, </w:t>
      </w:r>
      <w:proofErr w:type="spellStart"/>
      <w:r w:rsidRPr="00C1603D">
        <w:t>Villanacci</w:t>
      </w:r>
      <w:proofErr w:type="spellEnd"/>
      <w:r w:rsidRPr="00C1603D">
        <w:t xml:space="preserve"> V, </w:t>
      </w:r>
      <w:proofErr w:type="spellStart"/>
      <w:r w:rsidRPr="00C1603D">
        <w:t>Monfredini</w:t>
      </w:r>
      <w:proofErr w:type="spellEnd"/>
      <w:r w:rsidRPr="00C1603D">
        <w:t xml:space="preserve"> C, </w:t>
      </w:r>
      <w:proofErr w:type="spellStart"/>
      <w:r w:rsidRPr="00C1603D">
        <w:t>Martinazzi</w:t>
      </w:r>
      <w:proofErr w:type="spellEnd"/>
      <w:r w:rsidRPr="00C1603D">
        <w:t xml:space="preserve"> S, Grassi V, </w:t>
      </w:r>
      <w:proofErr w:type="spellStart"/>
      <w:r w:rsidRPr="00C1603D">
        <w:t>Manenti</w:t>
      </w:r>
      <w:proofErr w:type="spellEnd"/>
      <w:r w:rsidRPr="00C1603D">
        <w:t xml:space="preserve"> S. How patchy is patchy villous atrophy? </w:t>
      </w:r>
      <w:r w:rsidR="003C59D1" w:rsidRPr="00C1603D">
        <w:t>D</w:t>
      </w:r>
      <w:r w:rsidRPr="00C1603D">
        <w:t xml:space="preserve">istribution pattern of histological lesions in the duodenum of children with celiac disease. </w:t>
      </w:r>
      <w:r w:rsidRPr="00C1603D">
        <w:rPr>
          <w:i/>
        </w:rPr>
        <w:t>Am J Gastroenterol</w:t>
      </w:r>
      <w:r w:rsidRPr="00C1603D">
        <w:t xml:space="preserve"> 2010;</w:t>
      </w:r>
      <w:r w:rsidRPr="00C1603D">
        <w:rPr>
          <w:b/>
        </w:rPr>
        <w:t>105</w:t>
      </w:r>
      <w:r w:rsidRPr="00C1603D">
        <w:t>:</w:t>
      </w:r>
      <w:r w:rsidRPr="00C1603D">
        <w:rPr>
          <w:color w:val="auto"/>
        </w:rPr>
        <w:t>2103</w:t>
      </w:r>
      <w:r w:rsidRPr="00C1603D">
        <w:rPr>
          <w:color w:val="00B0F0"/>
        </w:rPr>
        <w:t>–</w:t>
      </w:r>
      <w:r w:rsidRPr="00C1603D">
        <w:rPr>
          <w:color w:val="auto"/>
        </w:rPr>
        <w:t>10</w:t>
      </w:r>
      <w:r w:rsidRPr="00C1603D">
        <w:t>. https://doi.org/10.1038/ajg.2010.153</w:t>
      </w:r>
    </w:p>
    <w:p w14:paraId="02CF3E12" w14:textId="77777777" w:rsidR="00EF77DB" w:rsidRPr="00C1603D" w:rsidRDefault="00EF77DB" w:rsidP="00EF77DB">
      <w:pPr>
        <w:pStyle w:val="65ReferencesTextstylesTextstyles"/>
      </w:pPr>
      <w:r w:rsidRPr="00C1603D">
        <w:t>273.</w:t>
      </w:r>
      <w:r w:rsidRPr="00C1603D">
        <w:tab/>
      </w:r>
      <w:proofErr w:type="spellStart"/>
      <w:r w:rsidRPr="00C1603D">
        <w:t>Lebwohl</w:t>
      </w:r>
      <w:proofErr w:type="spellEnd"/>
      <w:r w:rsidRPr="00C1603D">
        <w:t xml:space="preserve"> B, </w:t>
      </w:r>
      <w:proofErr w:type="spellStart"/>
      <w:r w:rsidRPr="00C1603D">
        <w:t>Kapel</w:t>
      </w:r>
      <w:proofErr w:type="spellEnd"/>
      <w:r w:rsidRPr="00C1603D">
        <w:t xml:space="preserve"> RC, </w:t>
      </w:r>
      <w:proofErr w:type="spellStart"/>
      <w:r w:rsidRPr="00C1603D">
        <w:t>Neugut</w:t>
      </w:r>
      <w:proofErr w:type="spellEnd"/>
      <w:r w:rsidRPr="00C1603D">
        <w:t xml:space="preserve"> AI, Green PH, </w:t>
      </w:r>
      <w:proofErr w:type="spellStart"/>
      <w:r w:rsidRPr="00C1603D">
        <w:t>Genta</w:t>
      </w:r>
      <w:proofErr w:type="spellEnd"/>
      <w:r w:rsidRPr="00C1603D">
        <w:t xml:space="preserve"> RM. Adherence to biopsy guidelines increases celiac disease diagnosis. </w:t>
      </w:r>
      <w:proofErr w:type="spellStart"/>
      <w:r w:rsidRPr="00C1603D">
        <w:rPr>
          <w:i/>
        </w:rPr>
        <w:t>Gastrointest</w:t>
      </w:r>
      <w:proofErr w:type="spellEnd"/>
      <w:r w:rsidRPr="00C1603D">
        <w:rPr>
          <w:i/>
        </w:rPr>
        <w:t xml:space="preserve"> </w:t>
      </w:r>
      <w:proofErr w:type="spellStart"/>
      <w:r w:rsidRPr="00C1603D">
        <w:rPr>
          <w:i/>
        </w:rPr>
        <w:t>Endosc</w:t>
      </w:r>
      <w:proofErr w:type="spellEnd"/>
      <w:r w:rsidRPr="00C1603D">
        <w:t xml:space="preserve"> 2011;</w:t>
      </w:r>
      <w:r w:rsidRPr="00C1603D">
        <w:rPr>
          <w:b/>
        </w:rPr>
        <w:t>74</w:t>
      </w:r>
      <w:r w:rsidRPr="00C1603D">
        <w:t>:</w:t>
      </w:r>
      <w:r w:rsidRPr="00C1603D">
        <w:rPr>
          <w:color w:val="auto"/>
        </w:rPr>
        <w:t>103</w:t>
      </w:r>
      <w:r w:rsidRPr="00C1603D">
        <w:rPr>
          <w:color w:val="00B0F0"/>
        </w:rPr>
        <w:t>–</w:t>
      </w:r>
      <w:r w:rsidRPr="00C1603D">
        <w:rPr>
          <w:color w:val="auto"/>
        </w:rPr>
        <w:t>9</w:t>
      </w:r>
      <w:r w:rsidRPr="00C1603D">
        <w:t>. https://doi.org/10.1016/j.gie.2011.03.1236</w:t>
      </w:r>
    </w:p>
    <w:p w14:paraId="638CF9E0" w14:textId="77777777" w:rsidR="00EF77DB" w:rsidRPr="00C1603D" w:rsidRDefault="00EF77DB" w:rsidP="00EF77DB">
      <w:pPr>
        <w:pStyle w:val="65ReferencesTextstylesTextstyles"/>
      </w:pPr>
      <w:r w:rsidRPr="00C1603D">
        <w:t>274.</w:t>
      </w:r>
      <w:r w:rsidRPr="00C1603D">
        <w:tab/>
        <w:t xml:space="preserve">Cohn A, Sofia AM, Kupfer SS. Type 1 diabetes and celiac disease: clinical overlap and new insights into disease pathogenesis. </w:t>
      </w:r>
      <w:proofErr w:type="spellStart"/>
      <w:r w:rsidRPr="00C1603D">
        <w:rPr>
          <w:i/>
        </w:rPr>
        <w:t>Curr</w:t>
      </w:r>
      <w:proofErr w:type="spellEnd"/>
      <w:r w:rsidRPr="00C1603D">
        <w:rPr>
          <w:i/>
        </w:rPr>
        <w:t xml:space="preserve"> Diab Rep</w:t>
      </w:r>
      <w:r w:rsidRPr="00C1603D">
        <w:t xml:space="preserve"> 2014;</w:t>
      </w:r>
      <w:r w:rsidRPr="00C1603D">
        <w:rPr>
          <w:b/>
        </w:rPr>
        <w:t>14</w:t>
      </w:r>
      <w:r w:rsidRPr="00C1603D">
        <w:t>:</w:t>
      </w:r>
      <w:r w:rsidRPr="00C1603D">
        <w:rPr>
          <w:color w:val="auto"/>
        </w:rPr>
        <w:t>517</w:t>
      </w:r>
      <w:r w:rsidRPr="00C1603D">
        <w:t>. https://doi.org/10.1007/s11892-014-0517-x</w:t>
      </w:r>
    </w:p>
    <w:p w14:paraId="325AEF34" w14:textId="615E7C54" w:rsidR="00EF77DB" w:rsidRPr="00C1603D" w:rsidRDefault="00EF77DB" w:rsidP="00EF77DB">
      <w:pPr>
        <w:pStyle w:val="65ReferencesTextstylesTextstyles"/>
      </w:pPr>
      <w:r w:rsidRPr="00C1603D">
        <w:t>275.</w:t>
      </w:r>
      <w:r w:rsidRPr="00C1603D">
        <w:tab/>
        <w:t xml:space="preserve">Irvine AJ, Chey WD, Ford AC. Screening for </w:t>
      </w:r>
      <w:r w:rsidR="00F77505" w:rsidRPr="00C1603D">
        <w:t>celiac disease in irritable bowel syndrome: an updated systematic review and meta-analysis</w:t>
      </w:r>
      <w:r w:rsidRPr="00C1603D">
        <w:t xml:space="preserve">. </w:t>
      </w:r>
      <w:r w:rsidRPr="00C1603D">
        <w:rPr>
          <w:i/>
        </w:rPr>
        <w:t>Am J Gastroenterol</w:t>
      </w:r>
      <w:r w:rsidRPr="00C1603D">
        <w:t xml:space="preserve"> 2017;</w:t>
      </w:r>
      <w:r w:rsidRPr="00C1603D">
        <w:rPr>
          <w:b/>
        </w:rPr>
        <w:t>112</w:t>
      </w:r>
      <w:r w:rsidRPr="00C1603D">
        <w:t>:</w:t>
      </w:r>
      <w:r w:rsidRPr="00C1603D">
        <w:rPr>
          <w:color w:val="auto"/>
        </w:rPr>
        <w:t>65</w:t>
      </w:r>
      <w:r w:rsidRPr="00C1603D">
        <w:rPr>
          <w:color w:val="00B0F0"/>
        </w:rPr>
        <w:t>–</w:t>
      </w:r>
      <w:r w:rsidRPr="00C1603D">
        <w:rPr>
          <w:color w:val="auto"/>
        </w:rPr>
        <w:t>76</w:t>
      </w:r>
      <w:r w:rsidRPr="00C1603D">
        <w:t>. https://doi.org/10.1038/ajg.2016.466</w:t>
      </w:r>
    </w:p>
    <w:p w14:paraId="65976CCA" w14:textId="302690D2" w:rsidR="00EF77DB" w:rsidRPr="00C1603D" w:rsidRDefault="00EF77DB" w:rsidP="00EF77DB">
      <w:pPr>
        <w:pStyle w:val="65ReferencesTextstylesTextstyles"/>
      </w:pPr>
      <w:r w:rsidRPr="00C1603D">
        <w:t>276.</w:t>
      </w:r>
      <w:r w:rsidRPr="00C1603D">
        <w:tab/>
        <w:t xml:space="preserve">Mahadev S, </w:t>
      </w:r>
      <w:proofErr w:type="spellStart"/>
      <w:r w:rsidRPr="00C1603D">
        <w:t>Laszkowska</w:t>
      </w:r>
      <w:proofErr w:type="spellEnd"/>
      <w:r w:rsidRPr="00C1603D">
        <w:t xml:space="preserve"> M, </w:t>
      </w:r>
      <w:proofErr w:type="spellStart"/>
      <w:r w:rsidRPr="00C1603D">
        <w:t>Sundström</w:t>
      </w:r>
      <w:proofErr w:type="spellEnd"/>
      <w:r w:rsidRPr="00C1603D">
        <w:t xml:space="preserve"> J, </w:t>
      </w:r>
      <w:proofErr w:type="spellStart"/>
      <w:r w:rsidRPr="00C1603D">
        <w:t>Björkholm</w:t>
      </w:r>
      <w:proofErr w:type="spellEnd"/>
      <w:r w:rsidRPr="00C1603D">
        <w:t xml:space="preserve"> M, </w:t>
      </w:r>
      <w:proofErr w:type="spellStart"/>
      <w:r w:rsidRPr="00C1603D">
        <w:t>Lebwohl</w:t>
      </w:r>
      <w:proofErr w:type="spellEnd"/>
      <w:r w:rsidRPr="00C1603D">
        <w:t xml:space="preserve"> B, Green PHR, Ludvigsson JF. Prevalence of </w:t>
      </w:r>
      <w:r w:rsidR="00F77505" w:rsidRPr="00C1603D">
        <w:t xml:space="preserve">celiac disease in patients with iron deficiency </w:t>
      </w:r>
      <w:proofErr w:type="spellStart"/>
      <w:r w:rsidR="00F77505" w:rsidRPr="00C1603D">
        <w:t>anemia</w:t>
      </w:r>
      <w:proofErr w:type="spellEnd"/>
      <w:r w:rsidR="00F77505" w:rsidRPr="00C1603D">
        <w:t xml:space="preserve"> – a </w:t>
      </w:r>
      <w:r w:rsidR="00F77505" w:rsidRPr="00C1603D">
        <w:lastRenderedPageBreak/>
        <w:t>systematic review with meta-anal</w:t>
      </w:r>
      <w:r w:rsidRPr="00C1603D">
        <w:t xml:space="preserve">ysis. </w:t>
      </w:r>
      <w:r w:rsidRPr="00C1603D">
        <w:rPr>
          <w:i/>
        </w:rPr>
        <w:t>Gastroenterology</w:t>
      </w:r>
      <w:r w:rsidRPr="00C1603D">
        <w:t xml:space="preserve"> 2018;</w:t>
      </w:r>
      <w:r w:rsidRPr="00C1603D">
        <w:rPr>
          <w:b/>
        </w:rPr>
        <w:t>155</w:t>
      </w:r>
      <w:r w:rsidRPr="00C1603D">
        <w:t>:</w:t>
      </w:r>
      <w:r w:rsidRPr="00C1603D">
        <w:rPr>
          <w:color w:val="auto"/>
        </w:rPr>
        <w:t>374</w:t>
      </w:r>
      <w:r w:rsidRPr="00C1603D">
        <w:rPr>
          <w:color w:val="00B0F0"/>
        </w:rPr>
        <w:t>–</w:t>
      </w:r>
      <w:r w:rsidRPr="00C1603D">
        <w:rPr>
          <w:color w:val="auto"/>
        </w:rPr>
        <w:t>82</w:t>
      </w:r>
      <w:r w:rsidRPr="00C1603D">
        <w:rPr>
          <w:color w:val="00B0F0"/>
        </w:rPr>
        <w:t>.</w:t>
      </w:r>
      <w:r w:rsidRPr="00C1603D">
        <w:rPr>
          <w:color w:val="auto"/>
        </w:rPr>
        <w:t>e1</w:t>
      </w:r>
      <w:r w:rsidRPr="00C1603D">
        <w:t>.</w:t>
      </w:r>
    </w:p>
    <w:p w14:paraId="7D35657C" w14:textId="77777777" w:rsidR="00EF77DB" w:rsidRPr="00C1603D" w:rsidRDefault="00EF77DB" w:rsidP="00EF77DB">
      <w:pPr>
        <w:pStyle w:val="65ReferencesTextstylesTextstyles"/>
      </w:pPr>
      <w:r w:rsidRPr="00C1603D">
        <w:t>277.</w:t>
      </w:r>
      <w:r w:rsidRPr="00C1603D">
        <w:tab/>
        <w:t xml:space="preserve">Julian T, </w:t>
      </w:r>
      <w:proofErr w:type="spellStart"/>
      <w:r w:rsidRPr="00C1603D">
        <w:t>Hadjivassiliou</w:t>
      </w:r>
      <w:proofErr w:type="spellEnd"/>
      <w:r w:rsidRPr="00C1603D">
        <w:t xml:space="preserve"> M, </w:t>
      </w:r>
      <w:proofErr w:type="spellStart"/>
      <w:r w:rsidRPr="00C1603D">
        <w:t>Zis</w:t>
      </w:r>
      <w:proofErr w:type="spellEnd"/>
      <w:r w:rsidRPr="00C1603D">
        <w:t xml:space="preserve"> P. Gluten sensitivity and epilepsy: a systematic review. </w:t>
      </w:r>
      <w:r w:rsidRPr="00C1603D">
        <w:rPr>
          <w:i/>
        </w:rPr>
        <w:t xml:space="preserve">J </w:t>
      </w:r>
      <w:proofErr w:type="spellStart"/>
      <w:r w:rsidRPr="00C1603D">
        <w:rPr>
          <w:i/>
        </w:rPr>
        <w:t>Neurol</w:t>
      </w:r>
      <w:proofErr w:type="spellEnd"/>
      <w:r w:rsidRPr="00C1603D">
        <w:t xml:space="preserve"> 2019;</w:t>
      </w:r>
      <w:r w:rsidRPr="00C1603D">
        <w:rPr>
          <w:b/>
        </w:rPr>
        <w:t>266</w:t>
      </w:r>
      <w:r w:rsidRPr="00C1603D">
        <w:t>:</w:t>
      </w:r>
      <w:r w:rsidRPr="00C1603D">
        <w:rPr>
          <w:color w:val="auto"/>
        </w:rPr>
        <w:t>1557</w:t>
      </w:r>
      <w:r w:rsidRPr="00C1603D">
        <w:rPr>
          <w:color w:val="00B0F0"/>
        </w:rPr>
        <w:t>–</w:t>
      </w:r>
      <w:r w:rsidRPr="00C1603D">
        <w:rPr>
          <w:color w:val="auto"/>
        </w:rPr>
        <w:t>65</w:t>
      </w:r>
      <w:r w:rsidRPr="00C1603D">
        <w:t>. https://doi.org/10.1007/s00415-018-9025-2</w:t>
      </w:r>
    </w:p>
    <w:p w14:paraId="048339AA" w14:textId="05F9B2A8" w:rsidR="00EF77DB" w:rsidRPr="00C1603D" w:rsidRDefault="00EF77DB" w:rsidP="00EF77DB">
      <w:pPr>
        <w:pStyle w:val="65ReferencesTextstylesTextstyles"/>
      </w:pPr>
      <w:r w:rsidRPr="00C1603D">
        <w:t>278.</w:t>
      </w:r>
      <w:r w:rsidRPr="00C1603D">
        <w:tab/>
        <w:t xml:space="preserve">Singh P, Arora S, Lal S, Strand TA, </w:t>
      </w:r>
      <w:proofErr w:type="spellStart"/>
      <w:r w:rsidRPr="00C1603D">
        <w:t>Makharia</w:t>
      </w:r>
      <w:proofErr w:type="spellEnd"/>
      <w:r w:rsidRPr="00C1603D">
        <w:t xml:space="preserve"> GK. Celiac </w:t>
      </w:r>
      <w:r w:rsidR="00F77505" w:rsidRPr="00C1603D">
        <w:t>disease in women with infertility: a meta-ana</w:t>
      </w:r>
      <w:r w:rsidRPr="00C1603D">
        <w:t xml:space="preserve">lysis. </w:t>
      </w:r>
      <w:r w:rsidRPr="00C1603D">
        <w:rPr>
          <w:i/>
        </w:rPr>
        <w:t>J Clin Gastroenterol</w:t>
      </w:r>
      <w:r w:rsidRPr="00C1603D">
        <w:t xml:space="preserve"> 2016;</w:t>
      </w:r>
      <w:r w:rsidRPr="00C1603D">
        <w:rPr>
          <w:b/>
        </w:rPr>
        <w:t>50</w:t>
      </w:r>
      <w:r w:rsidRPr="00C1603D">
        <w:t>:</w:t>
      </w:r>
      <w:r w:rsidRPr="00C1603D">
        <w:rPr>
          <w:color w:val="auto"/>
        </w:rPr>
        <w:t>33</w:t>
      </w:r>
      <w:r w:rsidRPr="00C1603D">
        <w:rPr>
          <w:color w:val="00B0F0"/>
        </w:rPr>
        <w:t>–</w:t>
      </w:r>
      <w:r w:rsidRPr="00C1603D">
        <w:rPr>
          <w:color w:val="auto"/>
        </w:rPr>
        <w:t>9</w:t>
      </w:r>
      <w:r w:rsidRPr="00C1603D">
        <w:t>. https://doi.org/10.1097/MCG.0000000000000285</w:t>
      </w:r>
    </w:p>
    <w:p w14:paraId="3947ECB9" w14:textId="200B96BF" w:rsidR="00EF77DB" w:rsidRPr="00C1603D" w:rsidRDefault="00EF77DB" w:rsidP="00EF77DB">
      <w:pPr>
        <w:pStyle w:val="65ReferencesTextstylesTextstyles"/>
      </w:pPr>
      <w:r w:rsidRPr="00C1603D">
        <w:t>279.</w:t>
      </w:r>
      <w:r w:rsidRPr="00C1603D">
        <w:tab/>
        <w:t xml:space="preserve">Roy A, </w:t>
      </w:r>
      <w:proofErr w:type="spellStart"/>
      <w:r w:rsidRPr="00C1603D">
        <w:t>Laszkowska</w:t>
      </w:r>
      <w:proofErr w:type="spellEnd"/>
      <w:r w:rsidRPr="00C1603D">
        <w:t xml:space="preserve"> M, </w:t>
      </w:r>
      <w:proofErr w:type="spellStart"/>
      <w:r w:rsidRPr="00C1603D">
        <w:t>Sundström</w:t>
      </w:r>
      <w:proofErr w:type="spellEnd"/>
      <w:r w:rsidRPr="00C1603D">
        <w:t xml:space="preserve"> J, </w:t>
      </w:r>
      <w:proofErr w:type="spellStart"/>
      <w:r w:rsidRPr="00C1603D">
        <w:t>Lebwohl</w:t>
      </w:r>
      <w:proofErr w:type="spellEnd"/>
      <w:r w:rsidRPr="00C1603D">
        <w:t xml:space="preserve"> B, Green PH, </w:t>
      </w:r>
      <w:proofErr w:type="spellStart"/>
      <w:r w:rsidRPr="00C1603D">
        <w:t>Kämpe</w:t>
      </w:r>
      <w:proofErr w:type="spellEnd"/>
      <w:r w:rsidRPr="00C1603D">
        <w:t xml:space="preserve"> O, Ludvigsson JF. Prevalence of </w:t>
      </w:r>
      <w:r w:rsidR="00F77505" w:rsidRPr="00C1603D">
        <w:t>celiac disease in patients with autoimmune thyroid disease: a meta-analysis</w:t>
      </w:r>
      <w:r w:rsidRPr="00C1603D">
        <w:t xml:space="preserve">. </w:t>
      </w:r>
      <w:r w:rsidRPr="00C1603D">
        <w:rPr>
          <w:i/>
        </w:rPr>
        <w:t>Thyroid</w:t>
      </w:r>
      <w:r w:rsidRPr="00C1603D">
        <w:t xml:space="preserve"> 2016;</w:t>
      </w:r>
      <w:r w:rsidRPr="00C1603D">
        <w:rPr>
          <w:b/>
        </w:rPr>
        <w:t>26</w:t>
      </w:r>
      <w:r w:rsidRPr="00C1603D">
        <w:t>:</w:t>
      </w:r>
      <w:r w:rsidRPr="00C1603D">
        <w:rPr>
          <w:color w:val="auto"/>
        </w:rPr>
        <w:t>880</w:t>
      </w:r>
      <w:r w:rsidRPr="00C1603D">
        <w:rPr>
          <w:color w:val="00B0F0"/>
        </w:rPr>
        <w:t>–</w:t>
      </w:r>
      <w:r w:rsidRPr="00C1603D">
        <w:rPr>
          <w:color w:val="auto"/>
        </w:rPr>
        <w:t>90</w:t>
      </w:r>
      <w:r w:rsidRPr="00C1603D">
        <w:t>. https://doi.org/10.1089/thy.2016.0108</w:t>
      </w:r>
    </w:p>
    <w:p w14:paraId="1751575E" w14:textId="3DA08F88" w:rsidR="00EF77DB" w:rsidRPr="00C1603D" w:rsidRDefault="00EF77DB" w:rsidP="00EF77DB">
      <w:pPr>
        <w:pStyle w:val="65ReferencesTextstylesTextstyles"/>
      </w:pPr>
      <w:r w:rsidRPr="00C1603D">
        <w:t>280.</w:t>
      </w:r>
      <w:r w:rsidRPr="00C1603D">
        <w:tab/>
        <w:t xml:space="preserve">Sainsbury A, Sanders DS, Ford AC. Meta-analysis: </w:t>
      </w:r>
      <w:r w:rsidR="00F77505" w:rsidRPr="00C1603D">
        <w:t>c</w:t>
      </w:r>
      <w:r w:rsidRPr="00C1603D">
        <w:t xml:space="preserve">oeliac disease and </w:t>
      </w:r>
      <w:proofErr w:type="spellStart"/>
      <w:r w:rsidRPr="00C1603D">
        <w:t>hypertransaminasaemia</w:t>
      </w:r>
      <w:proofErr w:type="spellEnd"/>
      <w:r w:rsidRPr="00C1603D">
        <w:t xml:space="preserve">.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2011;</w:t>
      </w:r>
      <w:r w:rsidRPr="00C1603D">
        <w:rPr>
          <w:b/>
        </w:rPr>
        <w:t>34</w:t>
      </w:r>
      <w:r w:rsidRPr="00C1603D">
        <w:t>:</w:t>
      </w:r>
      <w:r w:rsidRPr="00C1603D">
        <w:rPr>
          <w:color w:val="auto"/>
        </w:rPr>
        <w:t>33</w:t>
      </w:r>
      <w:r w:rsidRPr="00C1603D">
        <w:rPr>
          <w:color w:val="00B0F0"/>
        </w:rPr>
        <w:t>–</w:t>
      </w:r>
      <w:r w:rsidRPr="00C1603D">
        <w:rPr>
          <w:color w:val="auto"/>
        </w:rPr>
        <w:t>40</w:t>
      </w:r>
      <w:r w:rsidRPr="00C1603D">
        <w:t>. https://doi.org/10.1111/j.1365-2036.2011.04685.x</w:t>
      </w:r>
    </w:p>
    <w:p w14:paraId="269162AE" w14:textId="77777777" w:rsidR="00EF77DB" w:rsidRPr="00C1603D" w:rsidRDefault="00EF77DB" w:rsidP="00EF77DB">
      <w:pPr>
        <w:pStyle w:val="65ReferencesTextstylesTextstyles"/>
      </w:pPr>
      <w:r w:rsidRPr="00C1603D">
        <w:t>281.</w:t>
      </w:r>
      <w:r w:rsidRPr="00C1603D">
        <w:tab/>
      </w:r>
      <w:proofErr w:type="spellStart"/>
      <w:r w:rsidRPr="00C1603D">
        <w:t>Laszkowska</w:t>
      </w:r>
      <w:proofErr w:type="spellEnd"/>
      <w:r w:rsidRPr="00C1603D">
        <w:t xml:space="preserve"> M, Mahadev S, </w:t>
      </w:r>
      <w:proofErr w:type="spellStart"/>
      <w:r w:rsidRPr="00C1603D">
        <w:t>Sundström</w:t>
      </w:r>
      <w:proofErr w:type="spellEnd"/>
      <w:r w:rsidRPr="00C1603D">
        <w:t xml:space="preserve"> J, </w:t>
      </w:r>
      <w:proofErr w:type="spellStart"/>
      <w:r w:rsidRPr="00C1603D">
        <w:t>Lebwohl</w:t>
      </w:r>
      <w:proofErr w:type="spellEnd"/>
      <w:r w:rsidRPr="00C1603D">
        <w:t xml:space="preserve"> B, Green PHR, </w:t>
      </w:r>
      <w:proofErr w:type="spellStart"/>
      <w:r w:rsidRPr="00C1603D">
        <w:t>Michaelsson</w:t>
      </w:r>
      <w:proofErr w:type="spellEnd"/>
      <w:r w:rsidRPr="00C1603D">
        <w:t xml:space="preserve"> K, Ludvigsson JF. Systematic review with meta-analysis: the prevalence of coeliac disease in patients with osteoporosis.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2018;</w:t>
      </w:r>
      <w:r w:rsidRPr="00C1603D">
        <w:rPr>
          <w:b/>
        </w:rPr>
        <w:t>48</w:t>
      </w:r>
      <w:r w:rsidRPr="00C1603D">
        <w:t>:</w:t>
      </w:r>
      <w:r w:rsidRPr="00C1603D">
        <w:rPr>
          <w:color w:val="auto"/>
        </w:rPr>
        <w:t>590</w:t>
      </w:r>
      <w:r w:rsidRPr="00C1603D">
        <w:rPr>
          <w:color w:val="00B0F0"/>
        </w:rPr>
        <w:t>–</w:t>
      </w:r>
      <w:r w:rsidRPr="00C1603D">
        <w:rPr>
          <w:color w:val="auto"/>
        </w:rPr>
        <w:t>7</w:t>
      </w:r>
      <w:r w:rsidRPr="00C1603D">
        <w:t>. https://doi.org/10.1111/apt.14911</w:t>
      </w:r>
    </w:p>
    <w:p w14:paraId="32836329" w14:textId="048DA18B" w:rsidR="00EF77DB" w:rsidRPr="00C1603D" w:rsidRDefault="00EF77DB" w:rsidP="00EF77DB">
      <w:pPr>
        <w:pStyle w:val="65ReferencesTextstylesTextstyles"/>
      </w:pPr>
      <w:r w:rsidRPr="00C1603D">
        <w:t>282.</w:t>
      </w:r>
      <w:r w:rsidRPr="00C1603D">
        <w:tab/>
        <w:t xml:space="preserve">Acharya P, Mathur M. Association between psoriasis and celiac disease: </w:t>
      </w:r>
      <w:r w:rsidR="00F77505" w:rsidRPr="00C1603D">
        <w:t>a</w:t>
      </w:r>
      <w:r w:rsidRPr="00C1603D">
        <w:t xml:space="preserve"> systematic review and meta-analysis. </w:t>
      </w:r>
      <w:r w:rsidRPr="00C1603D">
        <w:rPr>
          <w:i/>
        </w:rPr>
        <w:t xml:space="preserve">J Am </w:t>
      </w:r>
      <w:proofErr w:type="spellStart"/>
      <w:r w:rsidRPr="00C1603D">
        <w:rPr>
          <w:i/>
        </w:rPr>
        <w:t>Acad</w:t>
      </w:r>
      <w:proofErr w:type="spellEnd"/>
      <w:r w:rsidRPr="00C1603D">
        <w:rPr>
          <w:i/>
        </w:rPr>
        <w:t xml:space="preserve"> Dermatol</w:t>
      </w:r>
      <w:r w:rsidRPr="00C1603D">
        <w:t xml:space="preserve"> 2020;</w:t>
      </w:r>
      <w:r w:rsidRPr="00C1603D">
        <w:rPr>
          <w:b/>
        </w:rPr>
        <w:t>82</w:t>
      </w:r>
      <w:r w:rsidRPr="00C1603D">
        <w:t>:</w:t>
      </w:r>
      <w:r w:rsidRPr="00C1603D">
        <w:rPr>
          <w:color w:val="auto"/>
        </w:rPr>
        <w:t>1376</w:t>
      </w:r>
      <w:r w:rsidRPr="00C1603D">
        <w:rPr>
          <w:color w:val="00B0F0"/>
        </w:rPr>
        <w:t>–</w:t>
      </w:r>
      <w:r w:rsidRPr="00C1603D">
        <w:rPr>
          <w:color w:val="auto"/>
        </w:rPr>
        <w:t>85</w:t>
      </w:r>
      <w:r w:rsidRPr="00C1603D">
        <w:t>.</w:t>
      </w:r>
    </w:p>
    <w:p w14:paraId="757FED57" w14:textId="2DFAA5E3" w:rsidR="00EF77DB" w:rsidRPr="00C1603D" w:rsidRDefault="00EF77DB" w:rsidP="00EF77DB">
      <w:pPr>
        <w:pStyle w:val="65ReferencesTextstylesTextstyles"/>
      </w:pPr>
      <w:r w:rsidRPr="00C1603D">
        <w:t>283.</w:t>
      </w:r>
      <w:r w:rsidRPr="00C1603D">
        <w:tab/>
        <w:t xml:space="preserve">Pinto-Sanchez MI, Seiler CL, </w:t>
      </w:r>
      <w:proofErr w:type="spellStart"/>
      <w:r w:rsidRPr="00C1603D">
        <w:t>Santesso</w:t>
      </w:r>
      <w:proofErr w:type="spellEnd"/>
      <w:r w:rsidRPr="00C1603D">
        <w:t xml:space="preserve"> N, </w:t>
      </w:r>
      <w:proofErr w:type="spellStart"/>
      <w:r w:rsidRPr="00C1603D">
        <w:t>Alaedini</w:t>
      </w:r>
      <w:proofErr w:type="spellEnd"/>
      <w:r w:rsidRPr="00C1603D">
        <w:t xml:space="preserve"> A, Semrad C, Lee AR, </w:t>
      </w:r>
      <w:r w:rsidRPr="00C1603D">
        <w:rPr>
          <w:i/>
        </w:rPr>
        <w:t>et al</w:t>
      </w:r>
      <w:r w:rsidRPr="00C1603D">
        <w:t xml:space="preserve">. Association </w:t>
      </w:r>
      <w:r w:rsidR="00F77505" w:rsidRPr="00C1603D">
        <w:t>between inflammatory bowel diseases and celiac disease: a systematic review and meta-analy</w:t>
      </w:r>
      <w:r w:rsidRPr="00C1603D">
        <w:t xml:space="preserve">sis. </w:t>
      </w:r>
      <w:r w:rsidRPr="00C1603D">
        <w:rPr>
          <w:i/>
        </w:rPr>
        <w:t>Gastroenterology</w:t>
      </w:r>
      <w:r w:rsidRPr="00C1603D">
        <w:t xml:space="preserve"> 2020;</w:t>
      </w:r>
      <w:r w:rsidRPr="00C1603D">
        <w:rPr>
          <w:b/>
        </w:rPr>
        <w:t>159</w:t>
      </w:r>
      <w:r w:rsidRPr="00C1603D">
        <w:t>:</w:t>
      </w:r>
      <w:r w:rsidRPr="00C1603D">
        <w:rPr>
          <w:color w:val="auto"/>
        </w:rPr>
        <w:t>884</w:t>
      </w:r>
      <w:r w:rsidRPr="00C1603D">
        <w:rPr>
          <w:color w:val="00B0F0"/>
        </w:rPr>
        <w:t>–</w:t>
      </w:r>
      <w:r w:rsidRPr="00C1603D">
        <w:rPr>
          <w:color w:val="auto"/>
        </w:rPr>
        <w:t>903</w:t>
      </w:r>
      <w:r w:rsidRPr="00C1603D">
        <w:rPr>
          <w:color w:val="00B0F0"/>
        </w:rPr>
        <w:t>.</w:t>
      </w:r>
      <w:r w:rsidRPr="00C1603D">
        <w:rPr>
          <w:color w:val="auto"/>
        </w:rPr>
        <w:t>e31</w:t>
      </w:r>
      <w:r w:rsidRPr="00C1603D">
        <w:t>.</w:t>
      </w:r>
    </w:p>
    <w:p w14:paraId="47C10D74" w14:textId="7FCCEA55" w:rsidR="00EF77DB" w:rsidRPr="00C1603D" w:rsidRDefault="3CDEEDA7" w:rsidP="00EF77DB">
      <w:pPr>
        <w:pStyle w:val="65ReferencesTextstylesTextstyles"/>
      </w:pPr>
      <w:commentRangeStart w:id="538"/>
      <w:commentRangeStart w:id="539"/>
      <w:r w:rsidRPr="00C1603D">
        <w:t>284.</w:t>
      </w:r>
      <w:r w:rsidR="00EF77DB" w:rsidRPr="00C1603D">
        <w:tab/>
      </w:r>
      <w:proofErr w:type="spellStart"/>
      <w:r w:rsidRPr="00C1603D">
        <w:t>Zis</w:t>
      </w:r>
      <w:proofErr w:type="spellEnd"/>
      <w:r w:rsidRPr="00C1603D">
        <w:t xml:space="preserve"> P, Julian T, </w:t>
      </w:r>
      <w:proofErr w:type="spellStart"/>
      <w:r w:rsidRPr="00C1603D">
        <w:t>Hadjivassiliou</w:t>
      </w:r>
      <w:proofErr w:type="spellEnd"/>
      <w:r w:rsidRPr="00C1603D">
        <w:t xml:space="preserve"> M. Headache associated with coeliac disease: a systematic review and meta-analysis. </w:t>
      </w:r>
      <w:r w:rsidRPr="00C1603D">
        <w:rPr>
          <w:i/>
          <w:iCs/>
        </w:rPr>
        <w:t>Nutrients</w:t>
      </w:r>
      <w:r w:rsidRPr="00C1603D">
        <w:t xml:space="preserve"> 2018;</w:t>
      </w:r>
      <w:r w:rsidRPr="00C1603D">
        <w:rPr>
          <w:b/>
          <w:bCs/>
        </w:rPr>
        <w:t>10</w:t>
      </w:r>
      <w:r w:rsidRPr="00C1603D">
        <w:t>:</w:t>
      </w:r>
      <w:r w:rsidRPr="00C1603D">
        <w:rPr>
          <w:color w:val="auto"/>
        </w:rPr>
        <w:t>E1445</w:t>
      </w:r>
      <w:r w:rsidRPr="00C1603D">
        <w:t>.</w:t>
      </w:r>
      <w:commentRangeEnd w:id="538"/>
      <w:r w:rsidR="00EF77DB" w:rsidRPr="00C1603D">
        <w:commentReference w:id="538"/>
      </w:r>
      <w:commentRangeEnd w:id="539"/>
      <w:r w:rsidR="00EF77DB" w:rsidRPr="00C1603D">
        <w:commentReference w:id="539"/>
      </w:r>
    </w:p>
    <w:p w14:paraId="542DF5E1" w14:textId="715B9BDE" w:rsidR="00EF77DB" w:rsidRPr="00C1603D" w:rsidRDefault="00EF77DB" w:rsidP="00EF77DB">
      <w:pPr>
        <w:pStyle w:val="65ReferencesTextstylesTextstyles"/>
      </w:pPr>
      <w:r w:rsidRPr="00C1603D">
        <w:t>285.</w:t>
      </w:r>
      <w:r w:rsidRPr="00C1603D">
        <w:tab/>
      </w:r>
      <w:proofErr w:type="spellStart"/>
      <w:r w:rsidRPr="00C1603D">
        <w:t>Gabrielli</w:t>
      </w:r>
      <w:proofErr w:type="spellEnd"/>
      <w:r w:rsidRPr="00C1603D">
        <w:t xml:space="preserve"> M, </w:t>
      </w:r>
      <w:proofErr w:type="spellStart"/>
      <w:r w:rsidRPr="00C1603D">
        <w:t>Cremonini</w:t>
      </w:r>
      <w:proofErr w:type="spellEnd"/>
      <w:r w:rsidRPr="00C1603D">
        <w:t xml:space="preserve"> F, Fiore G, Addolorato G, </w:t>
      </w:r>
      <w:proofErr w:type="spellStart"/>
      <w:r w:rsidRPr="00C1603D">
        <w:t>Padalino</w:t>
      </w:r>
      <w:proofErr w:type="spellEnd"/>
      <w:r w:rsidRPr="00C1603D">
        <w:t xml:space="preserve"> C, </w:t>
      </w:r>
      <w:proofErr w:type="spellStart"/>
      <w:r w:rsidRPr="00C1603D">
        <w:t>Candelli</w:t>
      </w:r>
      <w:proofErr w:type="spellEnd"/>
      <w:r w:rsidRPr="00C1603D">
        <w:t xml:space="preserve"> M, </w:t>
      </w:r>
      <w:r w:rsidRPr="00C1603D">
        <w:rPr>
          <w:i/>
        </w:rPr>
        <w:t>et al</w:t>
      </w:r>
      <w:r w:rsidRPr="00C1603D">
        <w:t xml:space="preserve">. Association between migraine and </w:t>
      </w:r>
      <w:r w:rsidR="00F77505" w:rsidRPr="00C1603D">
        <w:t>c</w:t>
      </w:r>
      <w:r w:rsidRPr="00C1603D">
        <w:t>eliac disease: results from a preliminary case</w:t>
      </w:r>
      <w:r w:rsidR="00F77505" w:rsidRPr="00C1603D">
        <w:t>–</w:t>
      </w:r>
      <w:r w:rsidRPr="00C1603D">
        <w:t xml:space="preserve">control and therapeutic study. </w:t>
      </w:r>
      <w:r w:rsidRPr="00C1603D">
        <w:rPr>
          <w:i/>
        </w:rPr>
        <w:t>Am J Gastroenterol</w:t>
      </w:r>
      <w:r w:rsidRPr="00C1603D">
        <w:t xml:space="preserve"> 2003;</w:t>
      </w:r>
      <w:r w:rsidRPr="00C1603D">
        <w:rPr>
          <w:b/>
        </w:rPr>
        <w:t>98</w:t>
      </w:r>
      <w:r w:rsidRPr="00C1603D">
        <w:t>:</w:t>
      </w:r>
      <w:r w:rsidRPr="00C1603D">
        <w:rPr>
          <w:color w:val="auto"/>
        </w:rPr>
        <w:t>625</w:t>
      </w:r>
      <w:r w:rsidRPr="00C1603D">
        <w:rPr>
          <w:color w:val="00B0F0"/>
        </w:rPr>
        <w:t>–</w:t>
      </w:r>
      <w:r w:rsidRPr="00C1603D">
        <w:rPr>
          <w:color w:val="auto"/>
        </w:rPr>
        <w:t>9</w:t>
      </w:r>
      <w:r w:rsidRPr="00C1603D">
        <w:t>.</w:t>
      </w:r>
    </w:p>
    <w:p w14:paraId="023E914F" w14:textId="625A68A8" w:rsidR="00EF77DB" w:rsidRPr="00C1603D" w:rsidRDefault="00EF77DB" w:rsidP="00EF77DB">
      <w:pPr>
        <w:pStyle w:val="65ReferencesTextstylesTextstyles"/>
      </w:pPr>
      <w:r w:rsidRPr="00C1603D">
        <w:t>286.</w:t>
      </w:r>
      <w:r w:rsidRPr="00C1603D">
        <w:tab/>
        <w:t xml:space="preserve">Singh P, Arora S, Lal S, Strand TA, </w:t>
      </w:r>
      <w:proofErr w:type="spellStart"/>
      <w:r w:rsidRPr="00C1603D">
        <w:t>Makharia</w:t>
      </w:r>
      <w:proofErr w:type="spellEnd"/>
      <w:r w:rsidRPr="00C1603D">
        <w:t xml:space="preserve"> GK. Risk of </w:t>
      </w:r>
      <w:r w:rsidR="00F77505" w:rsidRPr="00C1603D">
        <w:t>celiac disease in the first- and second-degree relatives of patients with celiac disease: a systematic review and meta-analysi</w:t>
      </w:r>
      <w:r w:rsidRPr="00C1603D">
        <w:t xml:space="preserve">s. </w:t>
      </w:r>
      <w:r w:rsidRPr="00C1603D">
        <w:rPr>
          <w:i/>
        </w:rPr>
        <w:t>Am J Gastroenterol</w:t>
      </w:r>
      <w:r w:rsidRPr="00C1603D">
        <w:t xml:space="preserve"> 2015;</w:t>
      </w:r>
      <w:r w:rsidRPr="00C1603D">
        <w:rPr>
          <w:b/>
        </w:rPr>
        <w:t>110</w:t>
      </w:r>
      <w:r w:rsidRPr="00C1603D">
        <w:t>:</w:t>
      </w:r>
      <w:r w:rsidRPr="00C1603D">
        <w:rPr>
          <w:color w:val="auto"/>
        </w:rPr>
        <w:t>1539</w:t>
      </w:r>
      <w:r w:rsidRPr="00C1603D">
        <w:rPr>
          <w:color w:val="00B0F0"/>
        </w:rPr>
        <w:t>–</w:t>
      </w:r>
      <w:r w:rsidRPr="00C1603D">
        <w:rPr>
          <w:color w:val="auto"/>
        </w:rPr>
        <w:t>48</w:t>
      </w:r>
      <w:r w:rsidRPr="00C1603D">
        <w:t>. https://doi.org/10.1038/ajg.2015.296</w:t>
      </w:r>
    </w:p>
    <w:p w14:paraId="35592BA3" w14:textId="5C8975EF" w:rsidR="00EF77DB" w:rsidRPr="00C1603D" w:rsidRDefault="00EF77DB" w:rsidP="00EF77DB">
      <w:pPr>
        <w:pStyle w:val="65ReferencesTextstylesTextstyles"/>
      </w:pPr>
      <w:r w:rsidRPr="00C1603D">
        <w:t>287.</w:t>
      </w:r>
      <w:r w:rsidRPr="00C1603D">
        <w:tab/>
        <w:t xml:space="preserve">Yap TW, Chan WK, </w:t>
      </w:r>
      <w:proofErr w:type="spellStart"/>
      <w:r w:rsidRPr="00C1603D">
        <w:t>Leow</w:t>
      </w:r>
      <w:proofErr w:type="spellEnd"/>
      <w:r w:rsidRPr="00C1603D">
        <w:t xml:space="preserve"> AH, Azmi AN, Loke MF, </w:t>
      </w:r>
      <w:proofErr w:type="spellStart"/>
      <w:r w:rsidRPr="00C1603D">
        <w:t>Vadivelu</w:t>
      </w:r>
      <w:proofErr w:type="spellEnd"/>
      <w:r w:rsidRPr="00C1603D">
        <w:t xml:space="preserve"> J, Goh KL. Prevalence of serum celiac antibodies in a multiracial Asian population – a first study in the young Asian adult population of Malaysia. </w:t>
      </w:r>
      <w:r w:rsidRPr="00C1603D">
        <w:rPr>
          <w:i/>
        </w:rPr>
        <w:t xml:space="preserve">PLOS </w:t>
      </w:r>
      <w:r w:rsidR="00BA577B" w:rsidRPr="00C1603D">
        <w:rPr>
          <w:i/>
        </w:rPr>
        <w:t>ONE</w:t>
      </w:r>
      <w:r w:rsidR="00BA577B" w:rsidRPr="00C1603D">
        <w:t xml:space="preserve"> </w:t>
      </w:r>
      <w:r w:rsidRPr="00C1603D">
        <w:t>2015;</w:t>
      </w:r>
      <w:r w:rsidRPr="00C1603D">
        <w:rPr>
          <w:b/>
        </w:rPr>
        <w:t>10</w:t>
      </w:r>
      <w:r w:rsidRPr="00C1603D">
        <w:t>:</w:t>
      </w:r>
      <w:r w:rsidRPr="00C1603D">
        <w:rPr>
          <w:color w:val="auto"/>
        </w:rPr>
        <w:t>e0121908</w:t>
      </w:r>
      <w:r w:rsidRPr="00C1603D">
        <w:t>. https://doi.org/10.1371/journal.pone.0121908</w:t>
      </w:r>
    </w:p>
    <w:p w14:paraId="38EBDEF0" w14:textId="77777777" w:rsidR="00EF77DB" w:rsidRPr="00C1603D" w:rsidRDefault="00EF77DB" w:rsidP="00EF77DB">
      <w:pPr>
        <w:pStyle w:val="65ReferencesTextstylesTextstyles"/>
      </w:pPr>
      <w:r w:rsidRPr="00C1603D">
        <w:t>288.</w:t>
      </w:r>
      <w:r w:rsidRPr="00C1603D">
        <w:tab/>
        <w:t>Abu-</w:t>
      </w:r>
      <w:proofErr w:type="spellStart"/>
      <w:r w:rsidRPr="00C1603D">
        <w:t>Zeid</w:t>
      </w:r>
      <w:proofErr w:type="spellEnd"/>
      <w:r w:rsidRPr="00C1603D">
        <w:t xml:space="preserve"> YA, </w:t>
      </w:r>
      <w:proofErr w:type="spellStart"/>
      <w:r w:rsidRPr="00C1603D">
        <w:t>Jasem</w:t>
      </w:r>
      <w:proofErr w:type="spellEnd"/>
      <w:r w:rsidRPr="00C1603D">
        <w:t xml:space="preserve"> WS, </w:t>
      </w:r>
      <w:proofErr w:type="spellStart"/>
      <w:r w:rsidRPr="00C1603D">
        <w:t>Lebwohl</w:t>
      </w:r>
      <w:proofErr w:type="spellEnd"/>
      <w:r w:rsidRPr="00C1603D">
        <w:t xml:space="preserve"> B, Green PH, </w:t>
      </w:r>
      <w:proofErr w:type="spellStart"/>
      <w:r w:rsidRPr="00C1603D">
        <w:t>ElGhazali</w:t>
      </w:r>
      <w:proofErr w:type="spellEnd"/>
      <w:r w:rsidRPr="00C1603D">
        <w:t xml:space="preserve"> G. Seroprevalence of celiac disease among United Arab Emirates healthy adult nationals: a gender disparity. </w:t>
      </w:r>
      <w:r w:rsidRPr="00C1603D">
        <w:rPr>
          <w:i/>
        </w:rPr>
        <w:t>World J Gastroenterol</w:t>
      </w:r>
      <w:r w:rsidRPr="00C1603D">
        <w:t xml:space="preserve"> 2014;</w:t>
      </w:r>
      <w:r w:rsidRPr="00C1603D">
        <w:rPr>
          <w:b/>
        </w:rPr>
        <w:t>20</w:t>
      </w:r>
      <w:r w:rsidRPr="00C1603D">
        <w:t>:</w:t>
      </w:r>
      <w:r w:rsidRPr="00C1603D">
        <w:rPr>
          <w:color w:val="auto"/>
        </w:rPr>
        <w:t>15830</w:t>
      </w:r>
      <w:r w:rsidRPr="00C1603D">
        <w:rPr>
          <w:color w:val="00B0F0"/>
        </w:rPr>
        <w:t>–</w:t>
      </w:r>
      <w:r w:rsidRPr="00C1603D">
        <w:rPr>
          <w:color w:val="auto"/>
        </w:rPr>
        <w:t>6</w:t>
      </w:r>
      <w:r w:rsidRPr="00C1603D">
        <w:t>. https://doi.org/10.3748/wjg.v20.i42.15830</w:t>
      </w:r>
    </w:p>
    <w:p w14:paraId="4BD47C0C" w14:textId="77777777" w:rsidR="00EF77DB" w:rsidRPr="00C1603D" w:rsidRDefault="00EF77DB" w:rsidP="00EF77DB">
      <w:pPr>
        <w:pStyle w:val="65ReferencesTextstylesTextstyles"/>
      </w:pPr>
      <w:r w:rsidRPr="00C1603D">
        <w:t>289.</w:t>
      </w:r>
      <w:r w:rsidRPr="00C1603D">
        <w:tab/>
      </w:r>
      <w:proofErr w:type="spellStart"/>
      <w:r w:rsidRPr="00C1603D">
        <w:t>Romanos</w:t>
      </w:r>
      <w:proofErr w:type="spellEnd"/>
      <w:r w:rsidRPr="00C1603D">
        <w:t xml:space="preserve"> J, van Diemen CC, Nolte IM, </w:t>
      </w:r>
      <w:proofErr w:type="spellStart"/>
      <w:r w:rsidRPr="00C1603D">
        <w:t>Trynka</w:t>
      </w:r>
      <w:proofErr w:type="spellEnd"/>
      <w:r w:rsidRPr="00C1603D">
        <w:t xml:space="preserve"> G, </w:t>
      </w:r>
      <w:proofErr w:type="spellStart"/>
      <w:r w:rsidRPr="00C1603D">
        <w:t>Zhernakova</w:t>
      </w:r>
      <w:proofErr w:type="spellEnd"/>
      <w:r w:rsidRPr="00C1603D">
        <w:t xml:space="preserve"> A, Fu J, </w:t>
      </w:r>
      <w:r w:rsidRPr="00C1603D">
        <w:rPr>
          <w:i/>
        </w:rPr>
        <w:t>et al</w:t>
      </w:r>
      <w:r w:rsidRPr="00C1603D">
        <w:t xml:space="preserve">. Analysis of HLA and non-HLA alleles can identify individuals at </w:t>
      </w:r>
      <w:proofErr w:type="gramStart"/>
      <w:r w:rsidRPr="00C1603D">
        <w:t>high risk</w:t>
      </w:r>
      <w:proofErr w:type="gramEnd"/>
      <w:r w:rsidRPr="00C1603D">
        <w:t xml:space="preserve"> for celiac disease. </w:t>
      </w:r>
      <w:r w:rsidRPr="00C1603D">
        <w:rPr>
          <w:i/>
        </w:rPr>
        <w:t>Gastroenterology</w:t>
      </w:r>
      <w:r w:rsidRPr="00C1603D">
        <w:t xml:space="preserve"> 2009;</w:t>
      </w:r>
      <w:r w:rsidRPr="00C1603D">
        <w:rPr>
          <w:b/>
        </w:rPr>
        <w:t>137</w:t>
      </w:r>
      <w:r w:rsidRPr="00C1603D">
        <w:t>:</w:t>
      </w:r>
      <w:r w:rsidRPr="00C1603D">
        <w:rPr>
          <w:color w:val="auto"/>
        </w:rPr>
        <w:t>834</w:t>
      </w:r>
      <w:r w:rsidRPr="00C1603D">
        <w:rPr>
          <w:color w:val="00B0F0"/>
        </w:rPr>
        <w:t>–</w:t>
      </w:r>
      <w:r w:rsidRPr="00C1603D">
        <w:rPr>
          <w:color w:val="auto"/>
        </w:rPr>
        <w:t>40</w:t>
      </w:r>
      <w:r w:rsidRPr="00C1603D">
        <w:rPr>
          <w:color w:val="00B0F0"/>
        </w:rPr>
        <w:t xml:space="preserve">, </w:t>
      </w:r>
      <w:r w:rsidRPr="00C1603D">
        <w:rPr>
          <w:color w:val="auto"/>
        </w:rPr>
        <w:t>840</w:t>
      </w:r>
      <w:r w:rsidRPr="00C1603D">
        <w:rPr>
          <w:color w:val="00B0F0"/>
        </w:rPr>
        <w:t>.</w:t>
      </w:r>
      <w:r w:rsidRPr="00C1603D">
        <w:rPr>
          <w:color w:val="auto"/>
        </w:rPr>
        <w:t>e1</w:t>
      </w:r>
      <w:r w:rsidRPr="00C1603D">
        <w:rPr>
          <w:color w:val="00B0F0"/>
        </w:rPr>
        <w:t>–</w:t>
      </w:r>
      <w:r w:rsidRPr="00C1603D">
        <w:rPr>
          <w:color w:val="auto"/>
        </w:rPr>
        <w:t>3</w:t>
      </w:r>
      <w:r w:rsidRPr="00C1603D">
        <w:t>. https://doi.org/10.1053/j.gastro.2009.05.040</w:t>
      </w:r>
    </w:p>
    <w:p w14:paraId="31A7B08D" w14:textId="77777777" w:rsidR="00EF77DB" w:rsidRPr="00C1603D" w:rsidRDefault="00EF77DB" w:rsidP="00EF77DB">
      <w:pPr>
        <w:pStyle w:val="65ReferencesTextstylesTextstyles"/>
      </w:pPr>
      <w:r w:rsidRPr="00C1603D">
        <w:t>290.</w:t>
      </w:r>
      <w:r w:rsidRPr="00C1603D">
        <w:tab/>
      </w:r>
      <w:proofErr w:type="spellStart"/>
      <w:r w:rsidRPr="00C1603D">
        <w:t>Romanos</w:t>
      </w:r>
      <w:proofErr w:type="spellEnd"/>
      <w:r w:rsidRPr="00C1603D">
        <w:t xml:space="preserve"> J, </w:t>
      </w:r>
      <w:proofErr w:type="spellStart"/>
      <w:r w:rsidRPr="00C1603D">
        <w:t>Rosén</w:t>
      </w:r>
      <w:proofErr w:type="spellEnd"/>
      <w:r w:rsidRPr="00C1603D">
        <w:t xml:space="preserve"> A, Kumar V, </w:t>
      </w:r>
      <w:proofErr w:type="spellStart"/>
      <w:r w:rsidRPr="00C1603D">
        <w:t>Trynka</w:t>
      </w:r>
      <w:proofErr w:type="spellEnd"/>
      <w:r w:rsidRPr="00C1603D">
        <w:t xml:space="preserve"> G, Franke L, </w:t>
      </w:r>
      <w:proofErr w:type="spellStart"/>
      <w:r w:rsidRPr="00C1603D">
        <w:t>Szperl</w:t>
      </w:r>
      <w:proofErr w:type="spellEnd"/>
      <w:r w:rsidRPr="00C1603D">
        <w:t xml:space="preserve"> A, </w:t>
      </w:r>
      <w:r w:rsidRPr="00C1603D">
        <w:rPr>
          <w:i/>
        </w:rPr>
        <w:t>et al</w:t>
      </w:r>
      <w:r w:rsidRPr="00C1603D">
        <w:t xml:space="preserve">. Improving coeliac disease risk prediction by testing non-HLA variants additional to HLA variants. </w:t>
      </w:r>
      <w:r w:rsidRPr="00C1603D">
        <w:rPr>
          <w:i/>
        </w:rPr>
        <w:t>Gut</w:t>
      </w:r>
      <w:r w:rsidRPr="00C1603D">
        <w:t xml:space="preserve"> 2014;</w:t>
      </w:r>
      <w:r w:rsidRPr="00C1603D">
        <w:rPr>
          <w:b/>
        </w:rPr>
        <w:t>63</w:t>
      </w:r>
      <w:r w:rsidRPr="00C1603D">
        <w:t>:</w:t>
      </w:r>
      <w:r w:rsidRPr="00C1603D">
        <w:rPr>
          <w:color w:val="auto"/>
        </w:rPr>
        <w:t>415</w:t>
      </w:r>
      <w:r w:rsidRPr="00C1603D">
        <w:rPr>
          <w:color w:val="00B0F0"/>
        </w:rPr>
        <w:t>–</w:t>
      </w:r>
      <w:r w:rsidRPr="00C1603D">
        <w:rPr>
          <w:color w:val="auto"/>
        </w:rPr>
        <w:t>22</w:t>
      </w:r>
      <w:r w:rsidRPr="00C1603D">
        <w:t>. https://doi.org/10.1136/gutjnl-2012-304110</w:t>
      </w:r>
    </w:p>
    <w:p w14:paraId="092CE30C" w14:textId="77777777" w:rsidR="00EF77DB" w:rsidRPr="00C1603D" w:rsidRDefault="00EF77DB" w:rsidP="00EF77DB">
      <w:pPr>
        <w:pStyle w:val="65ReferencesTextstylesTextstyles"/>
      </w:pPr>
      <w:r w:rsidRPr="00C1603D">
        <w:t>291.</w:t>
      </w:r>
      <w:r w:rsidRPr="00C1603D">
        <w:tab/>
        <w:t xml:space="preserve">Wilson PW, D’Agostino RB, Levy D, Belanger AM, </w:t>
      </w:r>
      <w:proofErr w:type="spellStart"/>
      <w:r w:rsidRPr="00C1603D">
        <w:t>Silbershatz</w:t>
      </w:r>
      <w:proofErr w:type="spellEnd"/>
      <w:r w:rsidRPr="00C1603D">
        <w:t xml:space="preserve"> H, </w:t>
      </w:r>
      <w:proofErr w:type="spellStart"/>
      <w:r w:rsidRPr="00C1603D">
        <w:t>Kannel</w:t>
      </w:r>
      <w:proofErr w:type="spellEnd"/>
      <w:r w:rsidRPr="00C1603D">
        <w:t xml:space="preserve"> WB. Prediction of coronary heart disease using risk factor categories. </w:t>
      </w:r>
      <w:r w:rsidRPr="00C1603D">
        <w:rPr>
          <w:i/>
        </w:rPr>
        <w:t>Circulation</w:t>
      </w:r>
      <w:r w:rsidRPr="00C1603D">
        <w:t xml:space="preserve"> 1998;</w:t>
      </w:r>
      <w:r w:rsidRPr="00C1603D">
        <w:rPr>
          <w:b/>
        </w:rPr>
        <w:t>97</w:t>
      </w:r>
      <w:r w:rsidRPr="00C1603D">
        <w:t>:</w:t>
      </w:r>
      <w:r w:rsidRPr="00C1603D">
        <w:rPr>
          <w:color w:val="auto"/>
        </w:rPr>
        <w:t>1837</w:t>
      </w:r>
      <w:r w:rsidRPr="00C1603D">
        <w:rPr>
          <w:color w:val="00B0F0"/>
        </w:rPr>
        <w:t>–</w:t>
      </w:r>
      <w:r w:rsidRPr="00C1603D">
        <w:rPr>
          <w:color w:val="auto"/>
        </w:rPr>
        <w:t>47</w:t>
      </w:r>
      <w:r w:rsidRPr="00C1603D">
        <w:t>. https://doi.org/10.1161/01.cir.97.18.1837</w:t>
      </w:r>
    </w:p>
    <w:p w14:paraId="1A0F0453" w14:textId="77777777" w:rsidR="00EF77DB" w:rsidRPr="00C1603D" w:rsidRDefault="00EF77DB" w:rsidP="00EF77DB">
      <w:pPr>
        <w:pStyle w:val="65ReferencesTextstylesTextstyles"/>
      </w:pPr>
      <w:r w:rsidRPr="00C1603D">
        <w:lastRenderedPageBreak/>
        <w:t>292.</w:t>
      </w:r>
      <w:r w:rsidRPr="00C1603D">
        <w:tab/>
      </w:r>
      <w:proofErr w:type="spellStart"/>
      <w:r w:rsidRPr="00C1603D">
        <w:t>Hippisley</w:t>
      </w:r>
      <w:proofErr w:type="spellEnd"/>
      <w:r w:rsidRPr="00C1603D">
        <w:t xml:space="preserve">-Cox J, Coupland C. Symptoms and risk factors to identify women with suspected cancer in primary care: derivation and validation of an algorithm. </w:t>
      </w:r>
      <w:r w:rsidRPr="00C1603D">
        <w:rPr>
          <w:i/>
        </w:rPr>
        <w:t xml:space="preserve">Br J Gen </w:t>
      </w:r>
      <w:proofErr w:type="spellStart"/>
      <w:r w:rsidRPr="00C1603D">
        <w:rPr>
          <w:i/>
        </w:rPr>
        <w:t>Pract</w:t>
      </w:r>
      <w:proofErr w:type="spellEnd"/>
      <w:r w:rsidRPr="00C1603D">
        <w:t xml:space="preserve"> 2013;</w:t>
      </w:r>
      <w:r w:rsidRPr="00C1603D">
        <w:rPr>
          <w:b/>
        </w:rPr>
        <w:t>63</w:t>
      </w:r>
      <w:r w:rsidRPr="00C1603D">
        <w:t>:</w:t>
      </w:r>
      <w:r w:rsidRPr="00C1603D">
        <w:rPr>
          <w:color w:val="auto"/>
        </w:rPr>
        <w:t>e11</w:t>
      </w:r>
      <w:r w:rsidRPr="00C1603D">
        <w:rPr>
          <w:color w:val="00B0F0"/>
        </w:rPr>
        <w:t>–</w:t>
      </w:r>
      <w:r w:rsidRPr="00C1603D">
        <w:rPr>
          <w:color w:val="auto"/>
        </w:rPr>
        <w:t>21</w:t>
      </w:r>
      <w:r w:rsidRPr="00C1603D">
        <w:t>. https://doi.org/10.3399/bjgp13X660733</w:t>
      </w:r>
    </w:p>
    <w:p w14:paraId="4D25AA23" w14:textId="77777777" w:rsidR="00EF77DB" w:rsidRPr="00C1603D" w:rsidRDefault="00EF77DB" w:rsidP="00EF77DB">
      <w:pPr>
        <w:pStyle w:val="65ReferencesTextstylesTextstyles"/>
      </w:pPr>
      <w:r w:rsidRPr="00C1603D">
        <w:t>293.</w:t>
      </w:r>
      <w:r w:rsidRPr="00C1603D">
        <w:tab/>
      </w:r>
      <w:proofErr w:type="spellStart"/>
      <w:r w:rsidRPr="00C1603D">
        <w:t>Hippisley</w:t>
      </w:r>
      <w:proofErr w:type="spellEnd"/>
      <w:r w:rsidRPr="00C1603D">
        <w:t xml:space="preserve">-Cox J, Coupland C. Symptoms and risk factors to identify men with suspected cancer in primary care: derivation and validation of an algorithm. </w:t>
      </w:r>
      <w:r w:rsidRPr="00C1603D">
        <w:rPr>
          <w:i/>
        </w:rPr>
        <w:t xml:space="preserve">Br J Gen </w:t>
      </w:r>
      <w:proofErr w:type="spellStart"/>
      <w:r w:rsidRPr="00C1603D">
        <w:rPr>
          <w:i/>
        </w:rPr>
        <w:t>Pract</w:t>
      </w:r>
      <w:proofErr w:type="spellEnd"/>
      <w:r w:rsidRPr="00C1603D">
        <w:t xml:space="preserve"> 2013;</w:t>
      </w:r>
      <w:r w:rsidRPr="00C1603D">
        <w:rPr>
          <w:b/>
        </w:rPr>
        <w:t>63</w:t>
      </w:r>
      <w:r w:rsidRPr="00C1603D">
        <w:t>:</w:t>
      </w:r>
      <w:r w:rsidRPr="00C1603D">
        <w:rPr>
          <w:color w:val="auto"/>
        </w:rPr>
        <w:t>e1</w:t>
      </w:r>
      <w:r w:rsidRPr="00C1603D">
        <w:rPr>
          <w:color w:val="00B0F0"/>
        </w:rPr>
        <w:t>–</w:t>
      </w:r>
      <w:r w:rsidRPr="00C1603D">
        <w:rPr>
          <w:color w:val="auto"/>
        </w:rPr>
        <w:t>10</w:t>
      </w:r>
      <w:r w:rsidRPr="00C1603D">
        <w:t>. https://doi.org/10.3399/bjgp13X660724</w:t>
      </w:r>
    </w:p>
    <w:p w14:paraId="38FCCD38" w14:textId="10D57DCC" w:rsidR="00EF77DB" w:rsidRPr="00C1603D" w:rsidRDefault="00EF77DB" w:rsidP="00EF77DB">
      <w:pPr>
        <w:pStyle w:val="65ReferencesTextstylesTextstyles"/>
      </w:pPr>
      <w:r w:rsidRPr="00C1603D">
        <w:t>294.</w:t>
      </w:r>
      <w:r w:rsidRPr="00C1603D">
        <w:tab/>
        <w:t>Díaz-Redondo A, Miranda-Bautista J, García-</w:t>
      </w:r>
      <w:proofErr w:type="spellStart"/>
      <w:r w:rsidRPr="00C1603D">
        <w:t>Lledó</w:t>
      </w:r>
      <w:proofErr w:type="spellEnd"/>
      <w:r w:rsidRPr="00C1603D">
        <w:t xml:space="preserve"> J, </w:t>
      </w:r>
      <w:proofErr w:type="spellStart"/>
      <w:r w:rsidRPr="00C1603D">
        <w:t>Gisbert</w:t>
      </w:r>
      <w:proofErr w:type="spellEnd"/>
      <w:r w:rsidRPr="00C1603D">
        <w:t xml:space="preserve"> JP, </w:t>
      </w:r>
      <w:proofErr w:type="spellStart"/>
      <w:r w:rsidRPr="00C1603D">
        <w:t>Menchén</w:t>
      </w:r>
      <w:proofErr w:type="spellEnd"/>
      <w:r w:rsidRPr="00C1603D">
        <w:t xml:space="preserve"> L. The potential usefulness of human leukocyte antigen typing for celiac disease screening: </w:t>
      </w:r>
      <w:r w:rsidR="008C17D9" w:rsidRPr="00C1603D">
        <w:t>a</w:t>
      </w:r>
      <w:r w:rsidRPr="00C1603D">
        <w:t xml:space="preserve"> systematic review and meta-analysis. </w:t>
      </w:r>
      <w:r w:rsidRPr="00C1603D">
        <w:rPr>
          <w:i/>
        </w:rPr>
        <w:t xml:space="preserve">Rev </w:t>
      </w:r>
      <w:proofErr w:type="spellStart"/>
      <w:r w:rsidRPr="00C1603D">
        <w:rPr>
          <w:i/>
        </w:rPr>
        <w:t>Esp</w:t>
      </w:r>
      <w:proofErr w:type="spellEnd"/>
      <w:r w:rsidRPr="00C1603D">
        <w:rPr>
          <w:i/>
        </w:rPr>
        <w:t xml:space="preserve"> </w:t>
      </w:r>
      <w:proofErr w:type="spellStart"/>
      <w:r w:rsidRPr="00C1603D">
        <w:rPr>
          <w:i/>
        </w:rPr>
        <w:t>Enferm</w:t>
      </w:r>
      <w:proofErr w:type="spellEnd"/>
      <w:r w:rsidRPr="00C1603D">
        <w:rPr>
          <w:i/>
        </w:rPr>
        <w:t xml:space="preserve"> Dig</w:t>
      </w:r>
      <w:r w:rsidRPr="00C1603D">
        <w:t xml:space="preserve"> 2015;</w:t>
      </w:r>
      <w:r w:rsidRPr="00C1603D">
        <w:rPr>
          <w:b/>
        </w:rPr>
        <w:t>107</w:t>
      </w:r>
      <w:r w:rsidRPr="00C1603D">
        <w:t>:</w:t>
      </w:r>
      <w:r w:rsidRPr="00C1603D">
        <w:rPr>
          <w:color w:val="auto"/>
        </w:rPr>
        <w:t>423</w:t>
      </w:r>
      <w:r w:rsidRPr="00C1603D">
        <w:rPr>
          <w:color w:val="00B0F0"/>
        </w:rPr>
        <w:t>–</w:t>
      </w:r>
      <w:r w:rsidRPr="00C1603D">
        <w:rPr>
          <w:color w:val="auto"/>
        </w:rPr>
        <w:t>9</w:t>
      </w:r>
      <w:r w:rsidRPr="00C1603D">
        <w:t>. https://doi.org/10.17235/reed.2015.3758/2015</w:t>
      </w:r>
    </w:p>
    <w:p w14:paraId="5559A247" w14:textId="5731DE6E" w:rsidR="00EF77DB" w:rsidRPr="00C1603D" w:rsidRDefault="43B69CA3" w:rsidP="00A230C0">
      <w:pPr>
        <w:pStyle w:val="65ReferencesTextstylesTextstyles"/>
      </w:pPr>
      <w:r w:rsidRPr="00C1603D">
        <w:t>295.</w:t>
      </w:r>
      <w:r w:rsidR="00EF77DB" w:rsidRPr="00C1603D">
        <w:tab/>
      </w:r>
      <w:r w:rsidR="008E4EB9" w:rsidRPr="00C1603D">
        <w:t xml:space="preserve">UK National Screening Committee. </w:t>
      </w:r>
      <w:commentRangeStart w:id="540"/>
      <w:commentRangeStart w:id="541"/>
      <w:r w:rsidRPr="00C1603D">
        <w:rPr>
          <w:i/>
          <w:iCs/>
        </w:rPr>
        <w:t>Criteria</w:t>
      </w:r>
      <w:r w:rsidRPr="00C1603D">
        <w:t xml:space="preserve"> </w:t>
      </w:r>
      <w:r w:rsidRPr="00C1603D">
        <w:rPr>
          <w:i/>
          <w:iCs/>
        </w:rPr>
        <w:t>for</w:t>
      </w:r>
      <w:r w:rsidRPr="00C1603D">
        <w:t xml:space="preserve"> </w:t>
      </w:r>
      <w:r w:rsidRPr="00C1603D">
        <w:rPr>
          <w:i/>
          <w:iCs/>
        </w:rPr>
        <w:t>Appraising</w:t>
      </w:r>
      <w:r w:rsidRPr="00C1603D">
        <w:t xml:space="preserve"> </w:t>
      </w:r>
      <w:r w:rsidRPr="00C1603D">
        <w:rPr>
          <w:i/>
          <w:iCs/>
        </w:rPr>
        <w:t>the</w:t>
      </w:r>
      <w:r w:rsidRPr="00C1603D">
        <w:t xml:space="preserve"> </w:t>
      </w:r>
      <w:r w:rsidRPr="00C1603D">
        <w:rPr>
          <w:i/>
          <w:iCs/>
        </w:rPr>
        <w:t>Viability</w:t>
      </w:r>
      <w:r w:rsidRPr="00C1603D">
        <w:t xml:space="preserve">, </w:t>
      </w:r>
      <w:r w:rsidRPr="00C1603D">
        <w:rPr>
          <w:i/>
          <w:iCs/>
        </w:rPr>
        <w:t>Effectiveness</w:t>
      </w:r>
      <w:r w:rsidRPr="00C1603D">
        <w:t xml:space="preserve"> </w:t>
      </w:r>
      <w:r w:rsidRPr="00C1603D">
        <w:rPr>
          <w:i/>
          <w:iCs/>
        </w:rPr>
        <w:t>and</w:t>
      </w:r>
      <w:r w:rsidRPr="00C1603D">
        <w:t xml:space="preserve"> </w:t>
      </w:r>
      <w:r w:rsidRPr="00C1603D">
        <w:rPr>
          <w:i/>
          <w:iCs/>
        </w:rPr>
        <w:t>Appropriateness</w:t>
      </w:r>
      <w:r w:rsidRPr="00C1603D">
        <w:t xml:space="preserve"> </w:t>
      </w:r>
      <w:r w:rsidRPr="00C1603D">
        <w:rPr>
          <w:i/>
          <w:iCs/>
        </w:rPr>
        <w:t>of</w:t>
      </w:r>
      <w:r w:rsidRPr="00C1603D">
        <w:t xml:space="preserve"> </w:t>
      </w:r>
      <w:r w:rsidRPr="00C1603D">
        <w:rPr>
          <w:i/>
          <w:iCs/>
        </w:rPr>
        <w:t>a</w:t>
      </w:r>
      <w:r w:rsidRPr="00C1603D">
        <w:t xml:space="preserve"> </w:t>
      </w:r>
      <w:r w:rsidRPr="00C1603D">
        <w:rPr>
          <w:i/>
          <w:iCs/>
        </w:rPr>
        <w:t>Screening</w:t>
      </w:r>
      <w:r w:rsidRPr="00C1603D">
        <w:t xml:space="preserve"> </w:t>
      </w:r>
      <w:r w:rsidRPr="00C1603D">
        <w:rPr>
          <w:i/>
          <w:iCs/>
        </w:rPr>
        <w:t>Programme</w:t>
      </w:r>
      <w:r w:rsidRPr="00C1603D">
        <w:t xml:space="preserve">. </w:t>
      </w:r>
      <w:r w:rsidR="00A230C0" w:rsidRPr="00C1603D">
        <w:t>URL: www.gov.uk/government/publications/evidence-review-criteria-national-screening-programmes/criteria-for-appraising-the-viability-effectiveness-and-appropriateness-of-a-screening-programme (accessed 27 May 2022)</w:t>
      </w:r>
      <w:r w:rsidRPr="00C1603D">
        <w:t>.</w:t>
      </w:r>
      <w:commentRangeEnd w:id="540"/>
      <w:r w:rsidR="00EF77DB" w:rsidRPr="00C1603D">
        <w:commentReference w:id="540"/>
      </w:r>
      <w:commentRangeEnd w:id="541"/>
      <w:r w:rsidR="00EF77DB" w:rsidRPr="00C1603D">
        <w:commentReference w:id="541"/>
      </w:r>
    </w:p>
    <w:p w14:paraId="6AB35BD3" w14:textId="42C39215" w:rsidR="00EF77DB" w:rsidRPr="00C1603D" w:rsidRDefault="00EF77DB" w:rsidP="00EF77DB">
      <w:pPr>
        <w:pStyle w:val="65ReferencesTextstylesTextstyles"/>
      </w:pPr>
      <w:r w:rsidRPr="00C1603D">
        <w:t>296.</w:t>
      </w:r>
      <w:r w:rsidRPr="00C1603D">
        <w:tab/>
        <w:t xml:space="preserve">Sarna VK, Lundin KEA, </w:t>
      </w:r>
      <w:proofErr w:type="spellStart"/>
      <w:r w:rsidRPr="00C1603D">
        <w:t>Mørkrid</w:t>
      </w:r>
      <w:proofErr w:type="spellEnd"/>
      <w:r w:rsidRPr="00C1603D">
        <w:t xml:space="preserve"> L, </w:t>
      </w:r>
      <w:proofErr w:type="spellStart"/>
      <w:r w:rsidRPr="00C1603D">
        <w:t>Qiao</w:t>
      </w:r>
      <w:proofErr w:type="spellEnd"/>
      <w:r w:rsidRPr="00C1603D">
        <w:t xml:space="preserve"> SW, </w:t>
      </w:r>
      <w:proofErr w:type="spellStart"/>
      <w:r w:rsidRPr="00C1603D">
        <w:t>Sollid</w:t>
      </w:r>
      <w:proofErr w:type="spellEnd"/>
      <w:r w:rsidRPr="00C1603D">
        <w:t xml:space="preserve"> LM, </w:t>
      </w:r>
      <w:proofErr w:type="spellStart"/>
      <w:r w:rsidRPr="00C1603D">
        <w:t>Christophersen</w:t>
      </w:r>
      <w:proofErr w:type="spellEnd"/>
      <w:r w:rsidRPr="00C1603D">
        <w:t xml:space="preserve"> A. HLA-DQ-</w:t>
      </w:r>
      <w:r w:rsidR="002E4E1F" w:rsidRPr="00C1603D">
        <w:t>gluten tetramer blood test accurately identifies patients with and without celiac disease in absence of gluten consumption</w:t>
      </w:r>
      <w:r w:rsidRPr="00C1603D">
        <w:t xml:space="preserve">. </w:t>
      </w:r>
      <w:r w:rsidRPr="00C1603D">
        <w:rPr>
          <w:i/>
        </w:rPr>
        <w:t>Gastroenterology</w:t>
      </w:r>
      <w:r w:rsidRPr="00C1603D">
        <w:t xml:space="preserve"> 2018;</w:t>
      </w:r>
      <w:r w:rsidRPr="00C1603D">
        <w:rPr>
          <w:b/>
        </w:rPr>
        <w:t>154</w:t>
      </w:r>
      <w:r w:rsidRPr="00C1603D">
        <w:t>:</w:t>
      </w:r>
      <w:r w:rsidRPr="00C1603D">
        <w:rPr>
          <w:color w:val="auto"/>
        </w:rPr>
        <w:t>886</w:t>
      </w:r>
      <w:r w:rsidRPr="00C1603D">
        <w:rPr>
          <w:color w:val="00B0F0"/>
        </w:rPr>
        <w:t>–</w:t>
      </w:r>
      <w:r w:rsidRPr="00C1603D">
        <w:rPr>
          <w:color w:val="auto"/>
        </w:rPr>
        <w:t>96</w:t>
      </w:r>
      <w:r w:rsidRPr="00C1603D">
        <w:rPr>
          <w:color w:val="00B0F0"/>
        </w:rPr>
        <w:t>.</w:t>
      </w:r>
      <w:r w:rsidRPr="00C1603D">
        <w:rPr>
          <w:color w:val="auto"/>
        </w:rPr>
        <w:t>e6</w:t>
      </w:r>
      <w:r w:rsidRPr="00C1603D">
        <w:t>.</w:t>
      </w:r>
    </w:p>
    <w:p w14:paraId="7DD6AC47" w14:textId="25278D67" w:rsidR="00EF77DB" w:rsidRPr="00C1603D" w:rsidRDefault="00EF77DB" w:rsidP="00EF77DB">
      <w:pPr>
        <w:pStyle w:val="65ReferencesTextstylesTextstyles"/>
      </w:pPr>
      <w:r w:rsidRPr="00C1603D">
        <w:t>297.</w:t>
      </w:r>
      <w:r w:rsidRPr="00C1603D">
        <w:tab/>
        <w:t xml:space="preserve">Hopper AD, </w:t>
      </w:r>
      <w:proofErr w:type="spellStart"/>
      <w:r w:rsidRPr="00C1603D">
        <w:t>Azmy</w:t>
      </w:r>
      <w:proofErr w:type="spellEnd"/>
      <w:r w:rsidRPr="00C1603D">
        <w:t xml:space="preserve"> IA, Rahman N, Hurlstone DP, Leeds JS, George RR, </w:t>
      </w:r>
      <w:r w:rsidRPr="00C1603D">
        <w:rPr>
          <w:i/>
        </w:rPr>
        <w:t>et</w:t>
      </w:r>
      <w:r w:rsidRPr="00C1603D">
        <w:t xml:space="preserve"> </w:t>
      </w:r>
      <w:r w:rsidRPr="00C1603D">
        <w:rPr>
          <w:i/>
        </w:rPr>
        <w:t>al</w:t>
      </w:r>
      <w:r w:rsidRPr="00C1603D">
        <w:t xml:space="preserve">. Association of adult coeliac disease with surgical abdominal pain: a case controlled study in patients referred to secondary care. </w:t>
      </w:r>
      <w:r w:rsidRPr="00C1603D">
        <w:rPr>
          <w:i/>
        </w:rPr>
        <w:t>Gastroenterology</w:t>
      </w:r>
      <w:r w:rsidRPr="00C1603D">
        <w:t xml:space="preserve"> 2005;</w:t>
      </w:r>
      <w:r w:rsidRPr="00C1603D">
        <w:rPr>
          <w:b/>
        </w:rPr>
        <w:t>128</w:t>
      </w:r>
      <w:r w:rsidRPr="00C1603D">
        <w:t>:A255</w:t>
      </w:r>
      <w:r w:rsidR="002E4E1F" w:rsidRPr="00C1603D">
        <w:t>–</w:t>
      </w:r>
      <w:r w:rsidRPr="00C1603D">
        <w:t>A.</w:t>
      </w:r>
    </w:p>
    <w:p w14:paraId="2F9C1EF3" w14:textId="2E5BD9D1" w:rsidR="00EF77DB" w:rsidRPr="00C1603D" w:rsidRDefault="00EF77DB" w:rsidP="00EF77DB">
      <w:pPr>
        <w:pStyle w:val="65ReferencesTextstylesTextstyles"/>
      </w:pPr>
      <w:r w:rsidRPr="00C1603D">
        <w:t>298.</w:t>
      </w:r>
      <w:r w:rsidRPr="00C1603D">
        <w:tab/>
        <w:t xml:space="preserve">Sanders DS, Hopper AD, </w:t>
      </w:r>
      <w:proofErr w:type="spellStart"/>
      <w:r w:rsidRPr="00C1603D">
        <w:t>Azmy</w:t>
      </w:r>
      <w:proofErr w:type="spellEnd"/>
      <w:r w:rsidRPr="00C1603D">
        <w:t xml:space="preserve"> IA, Rahman N, Hurlstone DP, Leeds JS, </w:t>
      </w:r>
      <w:r w:rsidRPr="00C1603D">
        <w:rPr>
          <w:i/>
        </w:rPr>
        <w:t>et al</w:t>
      </w:r>
      <w:r w:rsidRPr="00C1603D">
        <w:t>. Association of adult celiac disease with surgical abdominal pain: a case</w:t>
      </w:r>
      <w:r w:rsidR="002E4E1F" w:rsidRPr="00C1603D">
        <w:t>–</w:t>
      </w:r>
      <w:r w:rsidRPr="00C1603D">
        <w:t xml:space="preserve">control study in patients referred to secondary care. </w:t>
      </w:r>
      <w:r w:rsidRPr="00C1603D">
        <w:rPr>
          <w:i/>
        </w:rPr>
        <w:t xml:space="preserve">Ann </w:t>
      </w:r>
      <w:proofErr w:type="spellStart"/>
      <w:r w:rsidRPr="00C1603D">
        <w:rPr>
          <w:i/>
        </w:rPr>
        <w:t>Surg</w:t>
      </w:r>
      <w:proofErr w:type="spellEnd"/>
      <w:r w:rsidRPr="00C1603D">
        <w:t xml:space="preserve"> 2005;</w:t>
      </w:r>
      <w:r w:rsidRPr="00C1603D">
        <w:rPr>
          <w:b/>
        </w:rPr>
        <w:t>242</w:t>
      </w:r>
      <w:r w:rsidRPr="00C1603D">
        <w:t>:</w:t>
      </w:r>
      <w:r w:rsidRPr="00C1603D">
        <w:rPr>
          <w:color w:val="auto"/>
        </w:rPr>
        <w:t>201</w:t>
      </w:r>
      <w:r w:rsidRPr="00C1603D">
        <w:rPr>
          <w:color w:val="00B0F0"/>
        </w:rPr>
        <w:t>–</w:t>
      </w:r>
      <w:r w:rsidRPr="00C1603D">
        <w:rPr>
          <w:color w:val="auto"/>
        </w:rPr>
        <w:t>7</w:t>
      </w:r>
      <w:r w:rsidRPr="00C1603D">
        <w:t>.</w:t>
      </w:r>
    </w:p>
    <w:p w14:paraId="135C0D32" w14:textId="0A425E2F" w:rsidR="00EF77DB" w:rsidRPr="00C1603D" w:rsidRDefault="00EF77DB" w:rsidP="00EF77DB">
      <w:pPr>
        <w:pStyle w:val="65ReferencesTextstylesTextstyles"/>
      </w:pPr>
      <w:r w:rsidRPr="00C1603D">
        <w:t>299.</w:t>
      </w:r>
      <w:r w:rsidRPr="00C1603D">
        <w:tab/>
        <w:t xml:space="preserve">Choung RS, Rubio-Tapia A, Lahr BD, Kyle RA, Camilleri MJ, Locke GR, </w:t>
      </w:r>
      <w:r w:rsidRPr="00C1603D">
        <w:rPr>
          <w:i/>
        </w:rPr>
        <w:t>et al</w:t>
      </w:r>
      <w:r w:rsidRPr="00C1603D">
        <w:t xml:space="preserve">. Evidence </w:t>
      </w:r>
      <w:r w:rsidR="002E4E1F" w:rsidRPr="00C1603D">
        <w:t>against routine testing of patients with functional gastrointestinal disorders for celiac disease: a population-based stu</w:t>
      </w:r>
      <w:r w:rsidRPr="00C1603D">
        <w:t xml:space="preserve">dy. </w:t>
      </w:r>
      <w:r w:rsidRPr="00C1603D">
        <w:rPr>
          <w:i/>
        </w:rPr>
        <w:t>Clin Gastroenterol Hepatol</w:t>
      </w:r>
      <w:r w:rsidRPr="00C1603D">
        <w:t xml:space="preserve"> 2015;</w:t>
      </w:r>
      <w:r w:rsidRPr="00C1603D">
        <w:rPr>
          <w:b/>
        </w:rPr>
        <w:t>13</w:t>
      </w:r>
      <w:r w:rsidRPr="00C1603D">
        <w:t>:</w:t>
      </w:r>
      <w:r w:rsidRPr="00C1603D">
        <w:rPr>
          <w:color w:val="auto"/>
        </w:rPr>
        <w:t>1937</w:t>
      </w:r>
      <w:r w:rsidRPr="00C1603D">
        <w:rPr>
          <w:color w:val="00B0F0"/>
        </w:rPr>
        <w:t>–</w:t>
      </w:r>
      <w:r w:rsidRPr="00C1603D">
        <w:rPr>
          <w:color w:val="auto"/>
        </w:rPr>
        <w:t>43</w:t>
      </w:r>
      <w:r w:rsidRPr="00C1603D">
        <w:t>. https://doi.org/10.1016/j.cgh.2015.05.014</w:t>
      </w:r>
    </w:p>
    <w:p w14:paraId="4D73047D" w14:textId="77777777" w:rsidR="00EF77DB" w:rsidRPr="00C1603D" w:rsidRDefault="00EF77DB" w:rsidP="00EF77DB">
      <w:pPr>
        <w:pStyle w:val="65ReferencesTextstylesTextstyles"/>
      </w:pPr>
      <w:r w:rsidRPr="00C1603D">
        <w:t>300.</w:t>
      </w:r>
      <w:r w:rsidRPr="00C1603D">
        <w:tab/>
        <w:t xml:space="preserve">Oliveira RP, </w:t>
      </w:r>
      <w:proofErr w:type="spellStart"/>
      <w:r w:rsidRPr="00C1603D">
        <w:t>Sdepanian</w:t>
      </w:r>
      <w:proofErr w:type="spellEnd"/>
      <w:r w:rsidRPr="00C1603D">
        <w:t xml:space="preserve"> VL, Barreto JA, Cortez AJ, Carvalho FO, </w:t>
      </w:r>
      <w:proofErr w:type="spellStart"/>
      <w:r w:rsidRPr="00C1603D">
        <w:t>Bordin</w:t>
      </w:r>
      <w:proofErr w:type="spellEnd"/>
      <w:r w:rsidRPr="00C1603D">
        <w:t xml:space="preserve"> JO, </w:t>
      </w:r>
      <w:r w:rsidRPr="00C1603D">
        <w:rPr>
          <w:i/>
        </w:rPr>
        <w:t>et al</w:t>
      </w:r>
      <w:r w:rsidRPr="00C1603D">
        <w:t xml:space="preserve">. High prevalence of celiac disease in Brazilian blood donor volunteers based on screening by IgA antitissue transglutaminase antibody. </w:t>
      </w:r>
      <w:proofErr w:type="spellStart"/>
      <w:r w:rsidRPr="00C1603D">
        <w:rPr>
          <w:i/>
        </w:rPr>
        <w:t>Eur</w:t>
      </w:r>
      <w:proofErr w:type="spellEnd"/>
      <w:r w:rsidRPr="00C1603D">
        <w:rPr>
          <w:i/>
        </w:rPr>
        <w:t xml:space="preserve"> J Gastroenterol Hepatol</w:t>
      </w:r>
      <w:r w:rsidRPr="00C1603D">
        <w:t xml:space="preserve"> 2007;</w:t>
      </w:r>
      <w:r w:rsidRPr="00C1603D">
        <w:rPr>
          <w:b/>
        </w:rPr>
        <w:t>19</w:t>
      </w:r>
      <w:r w:rsidRPr="00C1603D">
        <w:t>:</w:t>
      </w:r>
      <w:r w:rsidRPr="00C1603D">
        <w:rPr>
          <w:color w:val="auto"/>
        </w:rPr>
        <w:t>43</w:t>
      </w:r>
      <w:r w:rsidRPr="00C1603D">
        <w:rPr>
          <w:color w:val="00B0F0"/>
        </w:rPr>
        <w:t>–</w:t>
      </w:r>
      <w:r w:rsidRPr="00C1603D">
        <w:rPr>
          <w:color w:val="auto"/>
        </w:rPr>
        <w:t>9</w:t>
      </w:r>
      <w:r w:rsidRPr="00C1603D">
        <w:t>. https://doi.org/10.1097/01.meg.0000250586.61232.a3</w:t>
      </w:r>
    </w:p>
    <w:p w14:paraId="50801AA2" w14:textId="77777777" w:rsidR="00EF77DB" w:rsidRPr="00C1603D" w:rsidRDefault="00EF77DB" w:rsidP="00EF77DB">
      <w:pPr>
        <w:pStyle w:val="65ReferencesTextstylesTextstyles"/>
      </w:pPr>
      <w:r w:rsidRPr="00C1603D">
        <w:t>301.</w:t>
      </w:r>
      <w:r w:rsidRPr="00C1603D">
        <w:tab/>
      </w:r>
      <w:proofErr w:type="spellStart"/>
      <w:r w:rsidRPr="00C1603D">
        <w:t>Hujoel</w:t>
      </w:r>
      <w:proofErr w:type="spellEnd"/>
      <w:r w:rsidRPr="00C1603D">
        <w:t xml:space="preserve"> IA, Van Dyke CT, </w:t>
      </w:r>
      <w:proofErr w:type="spellStart"/>
      <w:r w:rsidRPr="00C1603D">
        <w:t>Brantner</w:t>
      </w:r>
      <w:proofErr w:type="spellEnd"/>
      <w:r w:rsidRPr="00C1603D">
        <w:t xml:space="preserve"> T, Larson J, King KS, Sharma A, </w:t>
      </w:r>
      <w:r w:rsidRPr="00C1603D">
        <w:rPr>
          <w:i/>
        </w:rPr>
        <w:t>et al</w:t>
      </w:r>
      <w:r w:rsidRPr="00C1603D">
        <w:t xml:space="preserve">. Natural history and clinical detection of undiagnosed coeliac disease in a North American community. </w:t>
      </w:r>
      <w:r w:rsidRPr="00C1603D">
        <w:rPr>
          <w:i/>
        </w:rPr>
        <w:t xml:space="preserve">Aliment </w:t>
      </w:r>
      <w:proofErr w:type="spellStart"/>
      <w:r w:rsidRPr="00C1603D">
        <w:rPr>
          <w:i/>
        </w:rPr>
        <w:t>Pharmacol</w:t>
      </w:r>
      <w:proofErr w:type="spellEnd"/>
      <w:r w:rsidRPr="00C1603D">
        <w:rPr>
          <w:i/>
        </w:rPr>
        <w:t xml:space="preserve"> </w:t>
      </w:r>
      <w:proofErr w:type="spellStart"/>
      <w:r w:rsidRPr="00C1603D">
        <w:rPr>
          <w:i/>
        </w:rPr>
        <w:t>Ther</w:t>
      </w:r>
      <w:proofErr w:type="spellEnd"/>
      <w:r w:rsidRPr="00C1603D">
        <w:t xml:space="preserve"> 2018;</w:t>
      </w:r>
      <w:r w:rsidRPr="00C1603D">
        <w:rPr>
          <w:b/>
        </w:rPr>
        <w:t>47</w:t>
      </w:r>
      <w:r w:rsidRPr="00C1603D">
        <w:t>:</w:t>
      </w:r>
      <w:r w:rsidRPr="00C1603D">
        <w:rPr>
          <w:color w:val="auto"/>
        </w:rPr>
        <w:t>1358</w:t>
      </w:r>
      <w:r w:rsidRPr="00C1603D">
        <w:rPr>
          <w:color w:val="00B0F0"/>
        </w:rPr>
        <w:t>–</w:t>
      </w:r>
      <w:r w:rsidRPr="00C1603D">
        <w:rPr>
          <w:color w:val="auto"/>
        </w:rPr>
        <w:t>66</w:t>
      </w:r>
      <w:r w:rsidRPr="00C1603D">
        <w:t>. https://doi.org/10.1111/apt.14625</w:t>
      </w:r>
    </w:p>
    <w:p w14:paraId="5D8A8FEB" w14:textId="77777777" w:rsidR="00EF77DB" w:rsidRPr="00C1603D" w:rsidRDefault="00EF77DB" w:rsidP="00EF77DB">
      <w:pPr>
        <w:pStyle w:val="65ReferencesTextstylesTextstyles"/>
      </w:pPr>
      <w:r w:rsidRPr="00C1603D">
        <w:t>302.</w:t>
      </w:r>
      <w:r w:rsidRPr="00C1603D">
        <w:tab/>
        <w:t xml:space="preserve">Godfrey JD, </w:t>
      </w:r>
      <w:proofErr w:type="spellStart"/>
      <w:r w:rsidRPr="00C1603D">
        <w:t>Brantner</w:t>
      </w:r>
      <w:proofErr w:type="spellEnd"/>
      <w:r w:rsidRPr="00C1603D">
        <w:t xml:space="preserve"> TL, </w:t>
      </w:r>
      <w:proofErr w:type="spellStart"/>
      <w:r w:rsidRPr="00C1603D">
        <w:t>Brinjikji</w:t>
      </w:r>
      <w:proofErr w:type="spellEnd"/>
      <w:r w:rsidRPr="00C1603D">
        <w:t xml:space="preserve"> W, Christensen KN, Brogan DL, Van Dyke CT, </w:t>
      </w:r>
      <w:r w:rsidRPr="00C1603D">
        <w:rPr>
          <w:i/>
        </w:rPr>
        <w:t>et al</w:t>
      </w:r>
      <w:r w:rsidRPr="00C1603D">
        <w:t xml:space="preserve">. Morbidity and mortality among older individuals with undiagnosed celiac disease. </w:t>
      </w:r>
      <w:r w:rsidRPr="00C1603D">
        <w:rPr>
          <w:i/>
        </w:rPr>
        <w:t>Gastroenterology</w:t>
      </w:r>
      <w:r w:rsidRPr="00C1603D">
        <w:t xml:space="preserve"> 2010;</w:t>
      </w:r>
      <w:r w:rsidRPr="00C1603D">
        <w:rPr>
          <w:b/>
        </w:rPr>
        <w:t>139</w:t>
      </w:r>
      <w:r w:rsidRPr="00C1603D">
        <w:t>:</w:t>
      </w:r>
      <w:r w:rsidRPr="00C1603D">
        <w:rPr>
          <w:color w:val="auto"/>
        </w:rPr>
        <w:t>763</w:t>
      </w:r>
      <w:r w:rsidRPr="00C1603D">
        <w:rPr>
          <w:color w:val="00B0F0"/>
        </w:rPr>
        <w:t>–</w:t>
      </w:r>
      <w:r w:rsidRPr="00C1603D">
        <w:rPr>
          <w:color w:val="auto"/>
        </w:rPr>
        <w:t>9</w:t>
      </w:r>
      <w:r w:rsidRPr="00C1603D">
        <w:t>. https://doi.org/10.1053/j.gastro.2010.05.041</w:t>
      </w:r>
    </w:p>
    <w:p w14:paraId="27C006C2" w14:textId="77777777" w:rsidR="00EF77DB" w:rsidRPr="00C1603D" w:rsidRDefault="00EF77DB" w:rsidP="00EF77DB">
      <w:pPr>
        <w:pStyle w:val="65ReferencesTextstylesTextstyles"/>
      </w:pPr>
      <w:r w:rsidRPr="00C1603D">
        <w:t>303.</w:t>
      </w:r>
      <w:r w:rsidRPr="00C1603D">
        <w:tab/>
        <w:t xml:space="preserve">Fitzpatrick KP, Sherman PM, </w:t>
      </w:r>
      <w:proofErr w:type="spellStart"/>
      <w:r w:rsidRPr="00C1603D">
        <w:t>Ipp</w:t>
      </w:r>
      <w:proofErr w:type="spellEnd"/>
      <w:r w:rsidRPr="00C1603D">
        <w:t xml:space="preserve"> M, Saunders N, Macarthur C. Screening for celiac disease in children with recurrent abdominal pain.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2001;</w:t>
      </w:r>
      <w:r w:rsidRPr="00C1603D">
        <w:rPr>
          <w:b/>
        </w:rPr>
        <w:t>33</w:t>
      </w:r>
      <w:r w:rsidRPr="00C1603D">
        <w:t>:</w:t>
      </w:r>
      <w:r w:rsidRPr="00C1603D">
        <w:rPr>
          <w:color w:val="auto"/>
        </w:rPr>
        <w:t>250</w:t>
      </w:r>
      <w:r w:rsidRPr="00C1603D">
        <w:rPr>
          <w:color w:val="00B0F0"/>
        </w:rPr>
        <w:t>–</w:t>
      </w:r>
      <w:r w:rsidRPr="00C1603D">
        <w:rPr>
          <w:color w:val="auto"/>
        </w:rPr>
        <w:t>2</w:t>
      </w:r>
      <w:r w:rsidRPr="00C1603D">
        <w:t>. https://doi.org/10.1097/00005176-200109000-00004</w:t>
      </w:r>
    </w:p>
    <w:p w14:paraId="0CD018E5" w14:textId="0F28DE6E" w:rsidR="00EF77DB" w:rsidRPr="00C1603D" w:rsidRDefault="00EF77DB" w:rsidP="00EF77DB">
      <w:pPr>
        <w:pStyle w:val="65ReferencesTextstylesTextstyles"/>
      </w:pPr>
      <w:r w:rsidRPr="00C1603D">
        <w:t>304.</w:t>
      </w:r>
      <w:r w:rsidRPr="00C1603D">
        <w:tab/>
      </w:r>
      <w:proofErr w:type="spellStart"/>
      <w:r w:rsidRPr="00C1603D">
        <w:t>Dalgic</w:t>
      </w:r>
      <w:proofErr w:type="spellEnd"/>
      <w:r w:rsidRPr="00C1603D">
        <w:t xml:space="preserve"> B, Sari S, </w:t>
      </w:r>
      <w:proofErr w:type="spellStart"/>
      <w:r w:rsidRPr="00C1603D">
        <w:t>Ozcan</w:t>
      </w:r>
      <w:proofErr w:type="spellEnd"/>
      <w:r w:rsidRPr="00C1603D">
        <w:t xml:space="preserve"> B, </w:t>
      </w:r>
      <w:proofErr w:type="spellStart"/>
      <w:r w:rsidRPr="00C1603D">
        <w:t>Basturk</w:t>
      </w:r>
      <w:proofErr w:type="spellEnd"/>
      <w:r w:rsidRPr="00C1603D">
        <w:t xml:space="preserve"> B, </w:t>
      </w:r>
      <w:proofErr w:type="spellStart"/>
      <w:r w:rsidRPr="00C1603D">
        <w:t>Ensari</w:t>
      </w:r>
      <w:proofErr w:type="spellEnd"/>
      <w:r w:rsidRPr="00C1603D">
        <w:t xml:space="preserve"> A, </w:t>
      </w:r>
      <w:proofErr w:type="spellStart"/>
      <w:r w:rsidRPr="00C1603D">
        <w:t>Egritas</w:t>
      </w:r>
      <w:proofErr w:type="spellEnd"/>
      <w:r w:rsidRPr="00C1603D">
        <w:t xml:space="preserve"> O, </w:t>
      </w:r>
      <w:r w:rsidRPr="00C1603D">
        <w:rPr>
          <w:i/>
        </w:rPr>
        <w:t>et</w:t>
      </w:r>
      <w:r w:rsidRPr="00C1603D">
        <w:t xml:space="preserve"> </w:t>
      </w:r>
      <w:r w:rsidRPr="00C1603D">
        <w:rPr>
          <w:i/>
        </w:rPr>
        <w:t>al</w:t>
      </w:r>
      <w:r w:rsidRPr="00C1603D">
        <w:t xml:space="preserve">. The evaluation of factors and symptoms related to celiac disease in Turkish children. </w:t>
      </w:r>
      <w:r w:rsidRPr="00C1603D">
        <w:rPr>
          <w:i/>
        </w:rPr>
        <w:t>Turk</w:t>
      </w:r>
      <w:r w:rsidRPr="00C1603D">
        <w:t xml:space="preserve"> </w:t>
      </w:r>
      <w:proofErr w:type="spellStart"/>
      <w:r w:rsidRPr="00C1603D">
        <w:rPr>
          <w:i/>
        </w:rPr>
        <w:t>Pediatri</w:t>
      </w:r>
      <w:proofErr w:type="spellEnd"/>
      <w:r w:rsidRPr="00C1603D">
        <w:t xml:space="preserve"> </w:t>
      </w:r>
      <w:proofErr w:type="spellStart"/>
      <w:r w:rsidRPr="00C1603D">
        <w:rPr>
          <w:i/>
        </w:rPr>
        <w:t>Arsivi</w:t>
      </w:r>
      <w:proofErr w:type="spellEnd"/>
      <w:r w:rsidRPr="00C1603D">
        <w:t xml:space="preserve"> 2011;</w:t>
      </w:r>
      <w:r w:rsidRPr="00C1603D">
        <w:rPr>
          <w:b/>
        </w:rPr>
        <w:t>46</w:t>
      </w:r>
      <w:r w:rsidRPr="00C1603D">
        <w:t>:314</w:t>
      </w:r>
      <w:r w:rsidR="002E4E1F" w:rsidRPr="00C1603D">
        <w:t>–</w:t>
      </w:r>
      <w:r w:rsidRPr="00C1603D">
        <w:t>21.</w:t>
      </w:r>
    </w:p>
    <w:p w14:paraId="2657C98F" w14:textId="3D7A1B15" w:rsidR="00EF77DB" w:rsidRPr="00C1603D" w:rsidRDefault="00EF77DB" w:rsidP="00EF77DB">
      <w:pPr>
        <w:pStyle w:val="65ReferencesTextstylesTextstyles"/>
      </w:pPr>
      <w:r w:rsidRPr="00C1603D">
        <w:t>305.</w:t>
      </w:r>
      <w:r w:rsidRPr="00C1603D">
        <w:tab/>
        <w:t xml:space="preserve">Stahl MG, Geno Rasmussen C, Dong F, Waugh K, Norris JM, Baxter J, </w:t>
      </w:r>
      <w:r w:rsidRPr="00C1603D">
        <w:rPr>
          <w:i/>
        </w:rPr>
        <w:t>et al</w:t>
      </w:r>
      <w:r w:rsidRPr="00C1603D">
        <w:t xml:space="preserve">. Mass </w:t>
      </w:r>
      <w:r w:rsidR="00811565" w:rsidRPr="00C1603D">
        <w:t>screening for celiac disease: th</w:t>
      </w:r>
      <w:r w:rsidRPr="00C1603D">
        <w:t xml:space="preserve">e Autoimmunity Screening for Kids </w:t>
      </w:r>
      <w:r w:rsidR="00811565" w:rsidRPr="00C1603D">
        <w:t>s</w:t>
      </w:r>
      <w:r w:rsidRPr="00C1603D">
        <w:t xml:space="preserve">tudy. </w:t>
      </w:r>
      <w:r w:rsidRPr="00C1603D">
        <w:rPr>
          <w:i/>
        </w:rPr>
        <w:t>Am J Gastroenterol</w:t>
      </w:r>
      <w:r w:rsidRPr="00C1603D">
        <w:t xml:space="preserve"> 2021;</w:t>
      </w:r>
      <w:r w:rsidRPr="00C1603D">
        <w:rPr>
          <w:b/>
        </w:rPr>
        <w:t>116</w:t>
      </w:r>
      <w:r w:rsidRPr="00C1603D">
        <w:t>:</w:t>
      </w:r>
      <w:r w:rsidRPr="00C1603D">
        <w:rPr>
          <w:color w:val="auto"/>
        </w:rPr>
        <w:t>180</w:t>
      </w:r>
      <w:r w:rsidRPr="00C1603D">
        <w:rPr>
          <w:color w:val="00B0F0"/>
        </w:rPr>
        <w:t>–</w:t>
      </w:r>
      <w:r w:rsidRPr="00C1603D">
        <w:rPr>
          <w:color w:val="auto"/>
        </w:rPr>
        <w:t>7</w:t>
      </w:r>
      <w:r w:rsidRPr="00C1603D">
        <w:t>. https://doi.org/10.14309/ajg.0000000000000751</w:t>
      </w:r>
    </w:p>
    <w:p w14:paraId="10DC278D" w14:textId="2C084947" w:rsidR="00EF77DB" w:rsidRPr="00C1603D" w:rsidRDefault="00EF77DB" w:rsidP="00EF77DB">
      <w:pPr>
        <w:pStyle w:val="65ReferencesTextstylesTextstyles"/>
      </w:pPr>
      <w:r w:rsidRPr="00C1603D">
        <w:lastRenderedPageBreak/>
        <w:t>306.</w:t>
      </w:r>
      <w:r w:rsidRPr="00C1603D">
        <w:tab/>
        <w:t xml:space="preserve">Lasa J, </w:t>
      </w:r>
      <w:proofErr w:type="spellStart"/>
      <w:r w:rsidRPr="00C1603D">
        <w:t>Spallone</w:t>
      </w:r>
      <w:proofErr w:type="spellEnd"/>
      <w:r w:rsidRPr="00C1603D">
        <w:t xml:space="preserve"> L, Gandara S, </w:t>
      </w:r>
      <w:proofErr w:type="spellStart"/>
      <w:r w:rsidRPr="00C1603D">
        <w:t>Chaar</w:t>
      </w:r>
      <w:proofErr w:type="spellEnd"/>
      <w:r w:rsidRPr="00C1603D">
        <w:t xml:space="preserve"> E, Berman S, </w:t>
      </w:r>
      <w:proofErr w:type="spellStart"/>
      <w:r w:rsidRPr="00C1603D">
        <w:t>Zagalsky</w:t>
      </w:r>
      <w:proofErr w:type="spellEnd"/>
      <w:r w:rsidRPr="00C1603D">
        <w:t xml:space="preserve"> D. Celiac disease prevalence is not increased in patients with functional dyspepsia. </w:t>
      </w:r>
      <w:proofErr w:type="spellStart"/>
      <w:r w:rsidRPr="00C1603D">
        <w:rPr>
          <w:i/>
        </w:rPr>
        <w:t>Arq</w:t>
      </w:r>
      <w:proofErr w:type="spellEnd"/>
      <w:r w:rsidR="002C0128" w:rsidRPr="00C1603D">
        <w:rPr>
          <w:i/>
        </w:rPr>
        <w:t xml:space="preserve"> </w:t>
      </w:r>
      <w:r w:rsidRPr="00C1603D">
        <w:rPr>
          <w:i/>
        </w:rPr>
        <w:t>Gastroenterol</w:t>
      </w:r>
      <w:r w:rsidR="002C0128" w:rsidRPr="00C1603D">
        <w:rPr>
          <w:i/>
        </w:rPr>
        <w:t xml:space="preserve"> </w:t>
      </w:r>
      <w:r w:rsidRPr="00C1603D">
        <w:t>2017;</w:t>
      </w:r>
      <w:r w:rsidRPr="00C1603D">
        <w:rPr>
          <w:b/>
        </w:rPr>
        <w:t>54</w:t>
      </w:r>
      <w:r w:rsidRPr="00C1603D">
        <w:t>:37</w:t>
      </w:r>
      <w:r w:rsidR="002C0128" w:rsidRPr="00C1603D">
        <w:t>–</w:t>
      </w:r>
      <w:r w:rsidRPr="00C1603D">
        <w:t>40.</w:t>
      </w:r>
    </w:p>
    <w:p w14:paraId="68E61354" w14:textId="15C75C5B" w:rsidR="00EF77DB" w:rsidRPr="00C1603D" w:rsidRDefault="00EF77DB" w:rsidP="00EF77DB">
      <w:pPr>
        <w:pStyle w:val="65ReferencesTextstylesTextstyles"/>
      </w:pPr>
      <w:r w:rsidRPr="00C1603D">
        <w:t>307.</w:t>
      </w:r>
      <w:r w:rsidRPr="00C1603D">
        <w:tab/>
      </w:r>
      <w:proofErr w:type="spellStart"/>
      <w:r w:rsidRPr="00C1603D">
        <w:t>Lecleire</w:t>
      </w:r>
      <w:proofErr w:type="spellEnd"/>
      <w:r w:rsidRPr="00C1603D">
        <w:t xml:space="preserve"> S, Di Fiore F, </w:t>
      </w:r>
      <w:proofErr w:type="spellStart"/>
      <w:r w:rsidRPr="00C1603D">
        <w:t>Antonietti</w:t>
      </w:r>
      <w:proofErr w:type="spellEnd"/>
      <w:r w:rsidRPr="00C1603D">
        <w:t xml:space="preserve"> M, </w:t>
      </w:r>
      <w:proofErr w:type="spellStart"/>
      <w:r w:rsidRPr="00C1603D">
        <w:t>Savoye</w:t>
      </w:r>
      <w:proofErr w:type="spellEnd"/>
      <w:r w:rsidRPr="00C1603D">
        <w:t xml:space="preserve"> G, </w:t>
      </w:r>
      <w:proofErr w:type="spellStart"/>
      <w:r w:rsidRPr="00C1603D">
        <w:t>Lerebours</w:t>
      </w:r>
      <w:proofErr w:type="spellEnd"/>
      <w:r w:rsidRPr="00C1603D">
        <w:t xml:space="preserve"> E, </w:t>
      </w:r>
      <w:proofErr w:type="spellStart"/>
      <w:r w:rsidRPr="00C1603D">
        <w:t>Ducrotte</w:t>
      </w:r>
      <w:proofErr w:type="spellEnd"/>
      <w:r w:rsidRPr="00C1603D">
        <w:t xml:space="preserve"> P. Endoscopic markers for screening of villous atrophy in patients with dyspepsia or high-risk of celiac disease: a prospective controlled study. </w:t>
      </w:r>
      <w:r w:rsidRPr="00C1603D">
        <w:rPr>
          <w:i/>
        </w:rPr>
        <w:t>Gastroenterology</w:t>
      </w:r>
      <w:r w:rsidRPr="00C1603D">
        <w:t xml:space="preserve"> 2005;</w:t>
      </w:r>
      <w:r w:rsidRPr="00C1603D">
        <w:rPr>
          <w:b/>
        </w:rPr>
        <w:t>128</w:t>
      </w:r>
      <w:r w:rsidRPr="00C1603D">
        <w:t>:A257</w:t>
      </w:r>
      <w:r w:rsidR="002C0128" w:rsidRPr="00C1603D">
        <w:t>–</w:t>
      </w:r>
      <w:r w:rsidRPr="00C1603D">
        <w:t>A.</w:t>
      </w:r>
    </w:p>
    <w:p w14:paraId="5D8065D0" w14:textId="77777777" w:rsidR="00EF77DB" w:rsidRPr="00C1603D" w:rsidRDefault="00EF77DB" w:rsidP="00EF77DB">
      <w:pPr>
        <w:pStyle w:val="65ReferencesTextstylesTextstyles"/>
      </w:pPr>
      <w:r w:rsidRPr="00C1603D">
        <w:t>308.</w:t>
      </w:r>
      <w:r w:rsidRPr="00C1603D">
        <w:tab/>
        <w:t xml:space="preserve">Katz KD, </w:t>
      </w:r>
      <w:proofErr w:type="spellStart"/>
      <w:r w:rsidRPr="00C1603D">
        <w:t>Rashtak</w:t>
      </w:r>
      <w:proofErr w:type="spellEnd"/>
      <w:r w:rsidRPr="00C1603D">
        <w:t xml:space="preserve"> S, Lahr BD, Melton LJ, Krause PK, Maggi K, </w:t>
      </w:r>
      <w:r w:rsidRPr="00C1603D">
        <w:rPr>
          <w:i/>
        </w:rPr>
        <w:t>et al</w:t>
      </w:r>
      <w:r w:rsidRPr="00C1603D">
        <w:t xml:space="preserve">. Screening for celiac disease in a North American population: sequential serology and gastrointestinal symptoms. </w:t>
      </w:r>
      <w:r w:rsidRPr="00C1603D">
        <w:rPr>
          <w:i/>
        </w:rPr>
        <w:t>Am J Gastroenterol</w:t>
      </w:r>
      <w:r w:rsidRPr="00C1603D">
        <w:t xml:space="preserve"> 2011;</w:t>
      </w:r>
      <w:r w:rsidRPr="00C1603D">
        <w:rPr>
          <w:b/>
        </w:rPr>
        <w:t>106</w:t>
      </w:r>
      <w:r w:rsidRPr="00C1603D">
        <w:t>:</w:t>
      </w:r>
      <w:r w:rsidRPr="00C1603D">
        <w:rPr>
          <w:color w:val="auto"/>
        </w:rPr>
        <w:t>1333</w:t>
      </w:r>
      <w:r w:rsidRPr="00C1603D">
        <w:rPr>
          <w:color w:val="00B0F0"/>
        </w:rPr>
        <w:t>–</w:t>
      </w:r>
      <w:r w:rsidRPr="00C1603D">
        <w:rPr>
          <w:color w:val="auto"/>
        </w:rPr>
        <w:t>9</w:t>
      </w:r>
      <w:r w:rsidRPr="00C1603D">
        <w:t>. https://doi.org/10.1038/ajg.2011.21</w:t>
      </w:r>
    </w:p>
    <w:p w14:paraId="21CED6C6" w14:textId="7CA069C6" w:rsidR="00EF77DB" w:rsidRPr="00C1603D" w:rsidRDefault="00EF77DB" w:rsidP="00EF77DB">
      <w:pPr>
        <w:pStyle w:val="65ReferencesTextstylesTextstyles"/>
      </w:pPr>
      <w:r w:rsidRPr="00C1603D">
        <w:t>309.</w:t>
      </w:r>
      <w:r w:rsidRPr="00C1603D">
        <w:tab/>
        <w:t xml:space="preserve">Lara-Carmona J, </w:t>
      </w:r>
      <w:proofErr w:type="spellStart"/>
      <w:r w:rsidRPr="00C1603D">
        <w:t>Amieva-Balmori</w:t>
      </w:r>
      <w:proofErr w:type="spellEnd"/>
      <w:r w:rsidRPr="00C1603D">
        <w:t xml:space="preserve"> M, Martinez-</w:t>
      </w:r>
      <w:proofErr w:type="spellStart"/>
      <w:r w:rsidRPr="00C1603D">
        <w:t>Conejo</w:t>
      </w:r>
      <w:proofErr w:type="spellEnd"/>
      <w:r w:rsidRPr="00C1603D">
        <w:t xml:space="preserve"> A, Jorge FJC, Garcia-</w:t>
      </w:r>
      <w:proofErr w:type="spellStart"/>
      <w:r w:rsidRPr="00C1603D">
        <w:t>Zermeno</w:t>
      </w:r>
      <w:proofErr w:type="spellEnd"/>
      <w:r w:rsidRPr="00C1603D">
        <w:t xml:space="preserve"> KR, Flores KH, </w:t>
      </w:r>
      <w:r w:rsidRPr="00C1603D">
        <w:rPr>
          <w:i/>
        </w:rPr>
        <w:t>et</w:t>
      </w:r>
      <w:r w:rsidRPr="00C1603D">
        <w:t xml:space="preserve"> </w:t>
      </w:r>
      <w:r w:rsidRPr="00C1603D">
        <w:rPr>
          <w:i/>
        </w:rPr>
        <w:t>al</w:t>
      </w:r>
      <w:r w:rsidRPr="00C1603D">
        <w:t xml:space="preserve">. </w:t>
      </w:r>
      <w:r w:rsidR="002C0128" w:rsidRPr="00C1603D">
        <w:t>Prevalence of celiac disease (CD) in subjects with dyspeptic symptoms: a case–control study</w:t>
      </w:r>
      <w:r w:rsidRPr="00C1603D">
        <w:t xml:space="preserve">. </w:t>
      </w:r>
      <w:r w:rsidRPr="00C1603D">
        <w:rPr>
          <w:i/>
        </w:rPr>
        <w:t>Gastroenterology</w:t>
      </w:r>
      <w:r w:rsidRPr="00C1603D">
        <w:t xml:space="preserve"> 2019;</w:t>
      </w:r>
      <w:r w:rsidRPr="00C1603D">
        <w:rPr>
          <w:b/>
        </w:rPr>
        <w:t>156</w:t>
      </w:r>
      <w:r w:rsidRPr="00C1603D">
        <w:t>:S</w:t>
      </w:r>
      <w:r w:rsidR="002C0128" w:rsidRPr="00C1603D">
        <w:t>–</w:t>
      </w:r>
      <w:r w:rsidRPr="00C1603D">
        <w:t>918.</w:t>
      </w:r>
    </w:p>
    <w:p w14:paraId="17122739" w14:textId="77777777" w:rsidR="00EF77DB" w:rsidRPr="00C1603D" w:rsidRDefault="00EF77DB" w:rsidP="00EF77DB">
      <w:pPr>
        <w:pStyle w:val="65ReferencesTextstylesTextstyles"/>
      </w:pPr>
      <w:r w:rsidRPr="00C1603D">
        <w:t>310.</w:t>
      </w:r>
      <w:r w:rsidRPr="00C1603D">
        <w:tab/>
      </w:r>
      <w:proofErr w:type="spellStart"/>
      <w:r w:rsidRPr="00C1603D">
        <w:t>Tikkakoski</w:t>
      </w:r>
      <w:proofErr w:type="spellEnd"/>
      <w:r w:rsidRPr="00C1603D">
        <w:t xml:space="preserve"> S, </w:t>
      </w:r>
      <w:proofErr w:type="spellStart"/>
      <w:r w:rsidRPr="00C1603D">
        <w:t>Savilahti</w:t>
      </w:r>
      <w:proofErr w:type="spellEnd"/>
      <w:r w:rsidRPr="00C1603D">
        <w:t xml:space="preserve"> E, </w:t>
      </w:r>
      <w:proofErr w:type="spellStart"/>
      <w:r w:rsidRPr="00C1603D">
        <w:t>Kolho</w:t>
      </w:r>
      <w:proofErr w:type="spellEnd"/>
      <w:r w:rsidRPr="00C1603D">
        <w:t xml:space="preserve"> KL. Undiagnosed coeliac disease and nutritional deficiencies in adults screened in primary health care. </w:t>
      </w:r>
      <w:proofErr w:type="spellStart"/>
      <w:r w:rsidRPr="00C1603D">
        <w:rPr>
          <w:i/>
        </w:rPr>
        <w:t>Scand</w:t>
      </w:r>
      <w:proofErr w:type="spellEnd"/>
      <w:r w:rsidRPr="00C1603D">
        <w:rPr>
          <w:i/>
        </w:rPr>
        <w:t xml:space="preserve"> J Gastroenterol</w:t>
      </w:r>
      <w:r w:rsidRPr="00C1603D">
        <w:t xml:space="preserve"> 2007;</w:t>
      </w:r>
      <w:r w:rsidRPr="00C1603D">
        <w:rPr>
          <w:b/>
        </w:rPr>
        <w:t>42</w:t>
      </w:r>
      <w:r w:rsidRPr="00C1603D">
        <w:t>:</w:t>
      </w:r>
      <w:r w:rsidRPr="00C1603D">
        <w:rPr>
          <w:color w:val="auto"/>
        </w:rPr>
        <w:t>60</w:t>
      </w:r>
      <w:r w:rsidRPr="00C1603D">
        <w:rPr>
          <w:color w:val="00B0F0"/>
        </w:rPr>
        <w:t>–</w:t>
      </w:r>
      <w:r w:rsidRPr="00C1603D">
        <w:rPr>
          <w:color w:val="auto"/>
        </w:rPr>
        <w:t>5</w:t>
      </w:r>
      <w:r w:rsidRPr="00C1603D">
        <w:t>.</w:t>
      </w:r>
    </w:p>
    <w:p w14:paraId="2E777F83" w14:textId="77777777" w:rsidR="00EF77DB" w:rsidRPr="00C1603D" w:rsidRDefault="00EF77DB" w:rsidP="00EF77DB">
      <w:pPr>
        <w:pStyle w:val="65ReferencesTextstylesTextstyles"/>
      </w:pPr>
      <w:r w:rsidRPr="00C1603D">
        <w:t>311.</w:t>
      </w:r>
      <w:r w:rsidRPr="00C1603D">
        <w:tab/>
        <w:t xml:space="preserve">Ludvigsson JF, </w:t>
      </w:r>
      <w:proofErr w:type="spellStart"/>
      <w:r w:rsidRPr="00C1603D">
        <w:t>Aro</w:t>
      </w:r>
      <w:proofErr w:type="spellEnd"/>
      <w:r w:rsidRPr="00C1603D">
        <w:t xml:space="preserve"> P, Walker MM, </w:t>
      </w:r>
      <w:proofErr w:type="spellStart"/>
      <w:r w:rsidRPr="00C1603D">
        <w:t>Vieth</w:t>
      </w:r>
      <w:proofErr w:type="spellEnd"/>
      <w:r w:rsidRPr="00C1603D">
        <w:t xml:space="preserve"> M, </w:t>
      </w:r>
      <w:proofErr w:type="spellStart"/>
      <w:r w:rsidRPr="00C1603D">
        <w:t>Agréus</w:t>
      </w:r>
      <w:proofErr w:type="spellEnd"/>
      <w:r w:rsidRPr="00C1603D">
        <w:t xml:space="preserve"> L, Talley NJ, </w:t>
      </w:r>
      <w:r w:rsidRPr="00C1603D">
        <w:rPr>
          <w:i/>
        </w:rPr>
        <w:t>et al</w:t>
      </w:r>
      <w:r w:rsidRPr="00C1603D">
        <w:t xml:space="preserve">. Celiac disease, eosinophilic esophagitis and gastroesophageal reflux disease, an adult population-based study. </w:t>
      </w:r>
      <w:proofErr w:type="spellStart"/>
      <w:r w:rsidRPr="00C1603D">
        <w:rPr>
          <w:i/>
        </w:rPr>
        <w:t>Scand</w:t>
      </w:r>
      <w:proofErr w:type="spellEnd"/>
      <w:r w:rsidRPr="00C1603D">
        <w:rPr>
          <w:i/>
        </w:rPr>
        <w:t xml:space="preserve"> J Gastroenterol</w:t>
      </w:r>
      <w:r w:rsidRPr="00C1603D">
        <w:t xml:space="preserve"> 2013;</w:t>
      </w:r>
      <w:r w:rsidRPr="00C1603D">
        <w:rPr>
          <w:b/>
        </w:rPr>
        <w:t>48</w:t>
      </w:r>
      <w:r w:rsidRPr="00C1603D">
        <w:t>:</w:t>
      </w:r>
      <w:r w:rsidRPr="00C1603D">
        <w:rPr>
          <w:color w:val="auto"/>
        </w:rPr>
        <w:t>808</w:t>
      </w:r>
      <w:r w:rsidRPr="00C1603D">
        <w:rPr>
          <w:color w:val="00B0F0"/>
        </w:rPr>
        <w:t>–</w:t>
      </w:r>
      <w:r w:rsidRPr="00C1603D">
        <w:rPr>
          <w:color w:val="auto"/>
        </w:rPr>
        <w:t>14</w:t>
      </w:r>
      <w:r w:rsidRPr="00C1603D">
        <w:t>. https://doi.org/10.3109/00365521.2013.792389</w:t>
      </w:r>
    </w:p>
    <w:p w14:paraId="39639B35" w14:textId="2BCBA5D7" w:rsidR="00EF77DB" w:rsidRPr="00C1603D" w:rsidRDefault="00EF77DB" w:rsidP="00EF77DB">
      <w:pPr>
        <w:pStyle w:val="65ReferencesTextstylesTextstyles"/>
      </w:pPr>
      <w:r w:rsidRPr="00C1603D">
        <w:t>312.</w:t>
      </w:r>
      <w:r w:rsidRPr="00C1603D">
        <w:tab/>
        <w:t xml:space="preserve">Locke GR, Murray JA, </w:t>
      </w:r>
      <w:proofErr w:type="spellStart"/>
      <w:r w:rsidRPr="00C1603D">
        <w:t>Zinsmeister</w:t>
      </w:r>
      <w:proofErr w:type="spellEnd"/>
      <w:r w:rsidRPr="00C1603D">
        <w:t xml:space="preserve"> AR, Melton LJ, Talley NJ. Celiac disease serology in irritable bowel syndrome and dyspepsia: a population-based </w:t>
      </w:r>
      <w:r w:rsidR="00B25FE9" w:rsidRPr="00C1603D">
        <w:t>case–control</w:t>
      </w:r>
      <w:r w:rsidRPr="00C1603D">
        <w:t xml:space="preserve"> study. </w:t>
      </w:r>
      <w:r w:rsidRPr="00C1603D">
        <w:rPr>
          <w:i/>
        </w:rPr>
        <w:t>Mayo Clin Proc</w:t>
      </w:r>
      <w:r w:rsidRPr="00C1603D">
        <w:t xml:space="preserve"> 2004;</w:t>
      </w:r>
      <w:r w:rsidRPr="00C1603D">
        <w:rPr>
          <w:b/>
        </w:rPr>
        <w:t>79</w:t>
      </w:r>
      <w:r w:rsidRPr="00C1603D">
        <w:t>:</w:t>
      </w:r>
      <w:r w:rsidRPr="00C1603D">
        <w:rPr>
          <w:color w:val="auto"/>
        </w:rPr>
        <w:t>476</w:t>
      </w:r>
      <w:r w:rsidRPr="00C1603D">
        <w:rPr>
          <w:color w:val="00B0F0"/>
        </w:rPr>
        <w:t>–</w:t>
      </w:r>
      <w:r w:rsidRPr="00C1603D">
        <w:rPr>
          <w:color w:val="auto"/>
        </w:rPr>
        <w:t>82</w:t>
      </w:r>
      <w:r w:rsidRPr="00C1603D">
        <w:t>.</w:t>
      </w:r>
    </w:p>
    <w:p w14:paraId="3D461932" w14:textId="77777777" w:rsidR="00EF77DB" w:rsidRPr="00C1603D" w:rsidRDefault="00EF77DB" w:rsidP="00EF77DB">
      <w:pPr>
        <w:pStyle w:val="65ReferencesTextstylesTextstyles"/>
      </w:pPr>
      <w:r w:rsidRPr="00C1603D">
        <w:t>313.</w:t>
      </w:r>
      <w:r w:rsidRPr="00C1603D">
        <w:tab/>
      </w:r>
      <w:proofErr w:type="spellStart"/>
      <w:r w:rsidRPr="00C1603D">
        <w:t>Vivas</w:t>
      </w:r>
      <w:proofErr w:type="spellEnd"/>
      <w:r w:rsidRPr="00C1603D">
        <w:t xml:space="preserve"> S, Ruiz de Morales JM, Martinez J, González MC, Martín S, Martín J, </w:t>
      </w:r>
      <w:r w:rsidRPr="00C1603D">
        <w:rPr>
          <w:i/>
        </w:rPr>
        <w:t>et al</w:t>
      </w:r>
      <w:r w:rsidRPr="00C1603D">
        <w:t xml:space="preserve">. Human recombinant anti-transglutaminase antibody testing is useful in the diagnosis of silent coeliac disease in a selected group of at-risk patients. </w:t>
      </w:r>
      <w:proofErr w:type="spellStart"/>
      <w:r w:rsidRPr="00C1603D">
        <w:rPr>
          <w:i/>
        </w:rPr>
        <w:t>Eur</w:t>
      </w:r>
      <w:proofErr w:type="spellEnd"/>
      <w:r w:rsidRPr="00C1603D">
        <w:rPr>
          <w:i/>
        </w:rPr>
        <w:t xml:space="preserve"> J Gastroenterol Hepatol</w:t>
      </w:r>
      <w:r w:rsidRPr="00C1603D">
        <w:t xml:space="preserve"> 2003;</w:t>
      </w:r>
      <w:r w:rsidRPr="00C1603D">
        <w:rPr>
          <w:b/>
        </w:rPr>
        <w:t>15</w:t>
      </w:r>
      <w:r w:rsidRPr="00C1603D">
        <w:t>:</w:t>
      </w:r>
      <w:r w:rsidRPr="00C1603D">
        <w:rPr>
          <w:color w:val="auto"/>
        </w:rPr>
        <w:t>479</w:t>
      </w:r>
      <w:r w:rsidRPr="00C1603D">
        <w:rPr>
          <w:color w:val="00B0F0"/>
        </w:rPr>
        <w:t>–</w:t>
      </w:r>
      <w:r w:rsidRPr="00C1603D">
        <w:rPr>
          <w:color w:val="auto"/>
        </w:rPr>
        <w:t>83</w:t>
      </w:r>
      <w:r w:rsidRPr="00C1603D">
        <w:t>. https://doi.org/10.1097/01.meg.0000059104.41030.1c</w:t>
      </w:r>
    </w:p>
    <w:p w14:paraId="45415DF1" w14:textId="77777777" w:rsidR="00EF77DB" w:rsidRPr="00C1603D" w:rsidRDefault="00EF77DB" w:rsidP="00EF77DB">
      <w:pPr>
        <w:pStyle w:val="65ReferencesTextstylesTextstyles"/>
      </w:pPr>
      <w:r w:rsidRPr="00C1603D">
        <w:t>314.</w:t>
      </w:r>
      <w:r w:rsidRPr="00C1603D">
        <w:tab/>
        <w:t xml:space="preserve">Alexander TS, </w:t>
      </w:r>
      <w:proofErr w:type="spellStart"/>
      <w:r w:rsidRPr="00C1603D">
        <w:t>Oshilaja</w:t>
      </w:r>
      <w:proofErr w:type="spellEnd"/>
      <w:r w:rsidRPr="00C1603D">
        <w:t xml:space="preserve"> O, Define L. The incidence of celiac disease antibodies in plasma specimens with low </w:t>
      </w:r>
      <w:proofErr w:type="spellStart"/>
      <w:r w:rsidRPr="00C1603D">
        <w:t>hemoglobin</w:t>
      </w:r>
      <w:proofErr w:type="spellEnd"/>
      <w:r w:rsidRPr="00C1603D">
        <w:t xml:space="preserve"> levels. </w:t>
      </w:r>
      <w:r w:rsidRPr="00C1603D">
        <w:rPr>
          <w:i/>
        </w:rPr>
        <w:t xml:space="preserve">Ann N Y </w:t>
      </w:r>
      <w:proofErr w:type="spellStart"/>
      <w:r w:rsidRPr="00C1603D">
        <w:rPr>
          <w:i/>
        </w:rPr>
        <w:t>Acad</w:t>
      </w:r>
      <w:proofErr w:type="spellEnd"/>
      <w:r w:rsidRPr="00C1603D">
        <w:rPr>
          <w:i/>
        </w:rPr>
        <w:t xml:space="preserve"> Sci</w:t>
      </w:r>
      <w:r w:rsidRPr="00C1603D">
        <w:t xml:space="preserve"> 2009;</w:t>
      </w:r>
      <w:r w:rsidRPr="00C1603D">
        <w:rPr>
          <w:b/>
        </w:rPr>
        <w:t>1173</w:t>
      </w:r>
      <w:r w:rsidRPr="00C1603D">
        <w:t>:</w:t>
      </w:r>
      <w:r w:rsidRPr="00C1603D">
        <w:rPr>
          <w:color w:val="auto"/>
        </w:rPr>
        <w:t>186</w:t>
      </w:r>
      <w:r w:rsidRPr="00C1603D">
        <w:rPr>
          <w:color w:val="00B0F0"/>
        </w:rPr>
        <w:t>–</w:t>
      </w:r>
      <w:r w:rsidRPr="00C1603D">
        <w:rPr>
          <w:color w:val="auto"/>
        </w:rPr>
        <w:t>9</w:t>
      </w:r>
      <w:r w:rsidRPr="00C1603D">
        <w:t>. https://doi.org/10.1111/j.1749-6632.2009.04755.x</w:t>
      </w:r>
    </w:p>
    <w:p w14:paraId="77BDCB07" w14:textId="77777777" w:rsidR="00EF77DB" w:rsidRPr="00C1603D" w:rsidRDefault="00EF77DB" w:rsidP="00EF77DB">
      <w:pPr>
        <w:pStyle w:val="65ReferencesTextstylesTextstyles"/>
      </w:pPr>
      <w:r w:rsidRPr="00C1603D">
        <w:t>315.</w:t>
      </w:r>
      <w:r w:rsidRPr="00C1603D">
        <w:tab/>
        <w:t xml:space="preserve">Javid G, Lone SN, </w:t>
      </w:r>
      <w:proofErr w:type="spellStart"/>
      <w:r w:rsidRPr="00C1603D">
        <w:t>Shoukat</w:t>
      </w:r>
      <w:proofErr w:type="spellEnd"/>
      <w:r w:rsidRPr="00C1603D">
        <w:t xml:space="preserve"> A, Khan BA, </w:t>
      </w:r>
      <w:proofErr w:type="spellStart"/>
      <w:r w:rsidRPr="00C1603D">
        <w:t>Yattoo</w:t>
      </w:r>
      <w:proofErr w:type="spellEnd"/>
      <w:r w:rsidRPr="00C1603D">
        <w:t xml:space="preserve"> GN, Shah A, </w:t>
      </w:r>
      <w:r w:rsidRPr="00C1603D">
        <w:rPr>
          <w:i/>
        </w:rPr>
        <w:t>et al</w:t>
      </w:r>
      <w:r w:rsidRPr="00C1603D">
        <w:t xml:space="preserve">. Prevalence of celiac disease in adult patients with iron-deficiency </w:t>
      </w:r>
      <w:proofErr w:type="spellStart"/>
      <w:r w:rsidRPr="00C1603D">
        <w:t>anemia</w:t>
      </w:r>
      <w:proofErr w:type="spellEnd"/>
      <w:r w:rsidRPr="00C1603D">
        <w:t xml:space="preserve"> of obscure origin in Kashmir (India). </w:t>
      </w:r>
      <w:r w:rsidRPr="00C1603D">
        <w:rPr>
          <w:i/>
        </w:rPr>
        <w:t>Indian J Gastroenterol</w:t>
      </w:r>
      <w:r w:rsidRPr="00C1603D">
        <w:t xml:space="preserve"> 2015;</w:t>
      </w:r>
      <w:r w:rsidRPr="00C1603D">
        <w:rPr>
          <w:b/>
        </w:rPr>
        <w:t>34</w:t>
      </w:r>
      <w:r w:rsidRPr="00C1603D">
        <w:t>:</w:t>
      </w:r>
      <w:r w:rsidRPr="00C1603D">
        <w:rPr>
          <w:color w:val="auto"/>
        </w:rPr>
        <w:t>314</w:t>
      </w:r>
      <w:r w:rsidRPr="00C1603D">
        <w:rPr>
          <w:color w:val="00B0F0"/>
        </w:rPr>
        <w:t>–</w:t>
      </w:r>
      <w:r w:rsidRPr="00C1603D">
        <w:rPr>
          <w:color w:val="auto"/>
        </w:rPr>
        <w:t>19</w:t>
      </w:r>
      <w:r w:rsidRPr="00C1603D">
        <w:t>. https://doi.org/10.1007/s12664-015-0586-z</w:t>
      </w:r>
    </w:p>
    <w:p w14:paraId="4722BBA3" w14:textId="77777777" w:rsidR="00EF77DB" w:rsidRPr="00C1603D" w:rsidRDefault="00EF77DB" w:rsidP="00EF77DB">
      <w:pPr>
        <w:pStyle w:val="65ReferencesTextstylesTextstyles"/>
      </w:pPr>
      <w:r w:rsidRPr="00C1603D">
        <w:t>316.</w:t>
      </w:r>
      <w:r w:rsidRPr="00C1603D">
        <w:tab/>
        <w:t xml:space="preserve">Uçardağ D, </w:t>
      </w:r>
      <w:proofErr w:type="spellStart"/>
      <w:r w:rsidRPr="00C1603D">
        <w:t>Güliter</w:t>
      </w:r>
      <w:proofErr w:type="spellEnd"/>
      <w:r w:rsidRPr="00C1603D">
        <w:t xml:space="preserve"> S, </w:t>
      </w:r>
      <w:proofErr w:type="spellStart"/>
      <w:r w:rsidRPr="00C1603D">
        <w:t>Ceneli</w:t>
      </w:r>
      <w:proofErr w:type="spellEnd"/>
      <w:r w:rsidRPr="00C1603D">
        <w:t xml:space="preserve"> O, </w:t>
      </w:r>
      <w:proofErr w:type="spellStart"/>
      <w:r w:rsidRPr="00C1603D">
        <w:t>Yakaryilmaz</w:t>
      </w:r>
      <w:proofErr w:type="spellEnd"/>
      <w:r w:rsidRPr="00C1603D">
        <w:t xml:space="preserve"> F, </w:t>
      </w:r>
      <w:proofErr w:type="spellStart"/>
      <w:r w:rsidRPr="00C1603D">
        <w:t>Atasoy</w:t>
      </w:r>
      <w:proofErr w:type="spellEnd"/>
      <w:r w:rsidRPr="00C1603D">
        <w:t xml:space="preserve"> P, </w:t>
      </w:r>
      <w:proofErr w:type="spellStart"/>
      <w:r w:rsidRPr="00C1603D">
        <w:t>Ca</w:t>
      </w:r>
      <w:r w:rsidRPr="00C1603D">
        <w:rPr>
          <w:rFonts w:ascii="Cambria" w:hAnsi="Cambria" w:cs="Cambria"/>
        </w:rPr>
        <w:t>ğ</w:t>
      </w:r>
      <w:r w:rsidRPr="00C1603D">
        <w:t>layan</w:t>
      </w:r>
      <w:proofErr w:type="spellEnd"/>
      <w:r w:rsidRPr="00C1603D">
        <w:t xml:space="preserve"> O. Celiac disease prevalence in patients with iron deficiency </w:t>
      </w:r>
      <w:proofErr w:type="spellStart"/>
      <w:r w:rsidRPr="00C1603D">
        <w:t>anemia</w:t>
      </w:r>
      <w:proofErr w:type="spellEnd"/>
      <w:r w:rsidRPr="00C1603D">
        <w:t xml:space="preserve"> of obscure origin. </w:t>
      </w:r>
      <w:r w:rsidRPr="00C1603D">
        <w:rPr>
          <w:i/>
        </w:rPr>
        <w:t>Turk J Gastroenterol</w:t>
      </w:r>
      <w:r w:rsidRPr="00C1603D">
        <w:t xml:space="preserve"> 2009;</w:t>
      </w:r>
      <w:r w:rsidRPr="00C1603D">
        <w:rPr>
          <w:b/>
        </w:rPr>
        <w:t>20</w:t>
      </w:r>
      <w:r w:rsidRPr="00C1603D">
        <w:t>:</w:t>
      </w:r>
      <w:r w:rsidRPr="00C1603D">
        <w:rPr>
          <w:color w:val="auto"/>
        </w:rPr>
        <w:t>266</w:t>
      </w:r>
      <w:r w:rsidRPr="00C1603D">
        <w:rPr>
          <w:color w:val="00B0F0"/>
        </w:rPr>
        <w:t>–</w:t>
      </w:r>
      <w:r w:rsidRPr="00C1603D">
        <w:rPr>
          <w:color w:val="auto"/>
        </w:rPr>
        <w:t>70</w:t>
      </w:r>
      <w:r w:rsidRPr="00C1603D">
        <w:t>. https://doi.org/10.4318/tjg.2009.0024</w:t>
      </w:r>
    </w:p>
    <w:p w14:paraId="1A852BDE" w14:textId="77777777" w:rsidR="00EF77DB" w:rsidRPr="00C1603D" w:rsidRDefault="00EF77DB" w:rsidP="00EF77DB">
      <w:pPr>
        <w:pStyle w:val="65ReferencesTextstylesTextstyles"/>
      </w:pPr>
      <w:r w:rsidRPr="00C1603D">
        <w:t>317.</w:t>
      </w:r>
      <w:r w:rsidRPr="00C1603D">
        <w:tab/>
        <w:t xml:space="preserve">Lasa JS, Olivera P, </w:t>
      </w:r>
      <w:proofErr w:type="spellStart"/>
      <w:r w:rsidRPr="00C1603D">
        <w:t>Soifer</w:t>
      </w:r>
      <w:proofErr w:type="spellEnd"/>
      <w:r w:rsidRPr="00C1603D">
        <w:t xml:space="preserve"> L, Moore R. Iron-deficiency </w:t>
      </w:r>
      <w:proofErr w:type="spellStart"/>
      <w:r w:rsidRPr="00C1603D">
        <w:t>anemia</w:t>
      </w:r>
      <w:proofErr w:type="spellEnd"/>
      <w:r w:rsidRPr="00C1603D">
        <w:t xml:space="preserve"> as a subclinical celiac disease presentation in an Argentinian population. </w:t>
      </w:r>
      <w:r w:rsidRPr="00C1603D">
        <w:rPr>
          <w:i/>
        </w:rPr>
        <w:t>Rev Gastroenterol Mex</w:t>
      </w:r>
      <w:r w:rsidRPr="00C1603D">
        <w:t xml:space="preserve"> 2017;</w:t>
      </w:r>
      <w:r w:rsidRPr="00C1603D">
        <w:rPr>
          <w:b/>
        </w:rPr>
        <w:t>82</w:t>
      </w:r>
      <w:r w:rsidRPr="00C1603D">
        <w:t>:</w:t>
      </w:r>
      <w:r w:rsidRPr="00C1603D">
        <w:rPr>
          <w:color w:val="auto"/>
        </w:rPr>
        <w:t>270</w:t>
      </w:r>
      <w:r w:rsidRPr="00C1603D">
        <w:rPr>
          <w:color w:val="00B0F0"/>
        </w:rPr>
        <w:t>–</w:t>
      </w:r>
      <w:r w:rsidRPr="00C1603D">
        <w:rPr>
          <w:color w:val="auto"/>
        </w:rPr>
        <w:t>3</w:t>
      </w:r>
      <w:r w:rsidRPr="00C1603D">
        <w:t>.</w:t>
      </w:r>
    </w:p>
    <w:p w14:paraId="01F09A5A" w14:textId="77777777" w:rsidR="00EF77DB" w:rsidRPr="00C1603D" w:rsidRDefault="00EF77DB" w:rsidP="00EF77DB">
      <w:pPr>
        <w:pStyle w:val="65ReferencesTextstylesTextstyles"/>
      </w:pPr>
      <w:r w:rsidRPr="00C1603D">
        <w:t>318.</w:t>
      </w:r>
      <w:r w:rsidRPr="00C1603D">
        <w:tab/>
      </w:r>
      <w:proofErr w:type="spellStart"/>
      <w:r w:rsidRPr="00C1603D">
        <w:t>Cikrikcioglu</w:t>
      </w:r>
      <w:proofErr w:type="spellEnd"/>
      <w:r w:rsidRPr="00C1603D">
        <w:t xml:space="preserve"> MA, </w:t>
      </w:r>
      <w:proofErr w:type="spellStart"/>
      <w:r w:rsidRPr="00C1603D">
        <w:t>Halac</w:t>
      </w:r>
      <w:proofErr w:type="spellEnd"/>
      <w:r w:rsidRPr="00C1603D">
        <w:t xml:space="preserve"> G, </w:t>
      </w:r>
      <w:proofErr w:type="spellStart"/>
      <w:r w:rsidRPr="00C1603D">
        <w:t>Hursitoglu</w:t>
      </w:r>
      <w:proofErr w:type="spellEnd"/>
      <w:r w:rsidRPr="00C1603D">
        <w:t xml:space="preserve"> M, </w:t>
      </w:r>
      <w:proofErr w:type="spellStart"/>
      <w:r w:rsidRPr="00C1603D">
        <w:t>Erkal</w:t>
      </w:r>
      <w:proofErr w:type="spellEnd"/>
      <w:r w:rsidRPr="00C1603D">
        <w:t xml:space="preserve"> H, </w:t>
      </w:r>
      <w:proofErr w:type="spellStart"/>
      <w:r w:rsidRPr="00C1603D">
        <w:t>Cakirca</w:t>
      </w:r>
      <w:proofErr w:type="spellEnd"/>
      <w:r w:rsidRPr="00C1603D">
        <w:t xml:space="preserve"> M, Kinas BE, </w:t>
      </w:r>
      <w:r w:rsidRPr="00C1603D">
        <w:rPr>
          <w:i/>
        </w:rPr>
        <w:t>et al</w:t>
      </w:r>
      <w:r w:rsidRPr="00C1603D">
        <w:t xml:space="preserve">. Prevalence of gluten sensitive enteropathy antibodies in restless legs syndrome. </w:t>
      </w:r>
      <w:r w:rsidRPr="00C1603D">
        <w:rPr>
          <w:i/>
        </w:rPr>
        <w:t xml:space="preserve">Acta </w:t>
      </w:r>
      <w:proofErr w:type="spellStart"/>
      <w:r w:rsidRPr="00C1603D">
        <w:rPr>
          <w:i/>
        </w:rPr>
        <w:t>Neurol</w:t>
      </w:r>
      <w:proofErr w:type="spellEnd"/>
      <w:r w:rsidRPr="00C1603D">
        <w:rPr>
          <w:i/>
        </w:rPr>
        <w:t xml:space="preserve"> </w:t>
      </w:r>
      <w:proofErr w:type="spellStart"/>
      <w:r w:rsidRPr="00C1603D">
        <w:rPr>
          <w:i/>
        </w:rPr>
        <w:t>Belg</w:t>
      </w:r>
      <w:proofErr w:type="spellEnd"/>
      <w:r w:rsidRPr="00C1603D">
        <w:t xml:space="preserve"> 2011;</w:t>
      </w:r>
      <w:r w:rsidRPr="00C1603D">
        <w:rPr>
          <w:b/>
        </w:rPr>
        <w:t>111</w:t>
      </w:r>
      <w:r w:rsidRPr="00C1603D">
        <w:t>:</w:t>
      </w:r>
      <w:r w:rsidRPr="00C1603D">
        <w:rPr>
          <w:color w:val="auto"/>
        </w:rPr>
        <w:t>282</w:t>
      </w:r>
      <w:r w:rsidRPr="00C1603D">
        <w:rPr>
          <w:color w:val="00B0F0"/>
        </w:rPr>
        <w:t>–</w:t>
      </w:r>
      <w:r w:rsidRPr="00C1603D">
        <w:rPr>
          <w:color w:val="auto"/>
        </w:rPr>
        <w:t>6</w:t>
      </w:r>
      <w:r w:rsidRPr="00C1603D">
        <w:t>.</w:t>
      </w:r>
    </w:p>
    <w:p w14:paraId="065E12BD" w14:textId="77777777" w:rsidR="00EF77DB" w:rsidRPr="00C1603D" w:rsidRDefault="00EF77DB" w:rsidP="00EF77DB">
      <w:pPr>
        <w:pStyle w:val="65ReferencesTextstylesTextstyles"/>
      </w:pPr>
      <w:r w:rsidRPr="00C1603D">
        <w:t>319.</w:t>
      </w:r>
      <w:r w:rsidRPr="00C1603D">
        <w:tab/>
        <w:t xml:space="preserve">Morawiec-Szymonik E, Foltyn W, Marek B, </w:t>
      </w:r>
      <w:proofErr w:type="spellStart"/>
      <w:r w:rsidRPr="00C1603D">
        <w:t>Głogowska-Szel</w:t>
      </w:r>
      <w:r w:rsidRPr="00C1603D">
        <w:rPr>
          <w:rFonts w:ascii="Cambria" w:hAnsi="Cambria" w:cs="Cambria"/>
        </w:rPr>
        <w:t>ą</w:t>
      </w:r>
      <w:r w:rsidRPr="00C1603D">
        <w:t>g</w:t>
      </w:r>
      <w:proofErr w:type="spellEnd"/>
      <w:r w:rsidRPr="00C1603D">
        <w:t xml:space="preserve"> J, Kos-</w:t>
      </w:r>
      <w:proofErr w:type="spellStart"/>
      <w:r w:rsidRPr="00C1603D">
        <w:t>Kudła</w:t>
      </w:r>
      <w:proofErr w:type="spellEnd"/>
      <w:r w:rsidRPr="00C1603D">
        <w:t xml:space="preserve"> B, </w:t>
      </w:r>
      <w:proofErr w:type="spellStart"/>
      <w:r w:rsidRPr="00C1603D">
        <w:t>Kajdaniuk</w:t>
      </w:r>
      <w:proofErr w:type="spellEnd"/>
      <w:r w:rsidRPr="00C1603D">
        <w:t xml:space="preserve"> D. Antibodies involved in the development of pernicious </w:t>
      </w:r>
      <w:proofErr w:type="spellStart"/>
      <w:r w:rsidRPr="00C1603D">
        <w:t>anemia</w:t>
      </w:r>
      <w:proofErr w:type="spellEnd"/>
      <w:r w:rsidRPr="00C1603D">
        <w:t xml:space="preserve"> and other autoimmune diseases. </w:t>
      </w:r>
      <w:r w:rsidRPr="00C1603D">
        <w:rPr>
          <w:i/>
        </w:rPr>
        <w:t>Pol Arch Intern Med</w:t>
      </w:r>
      <w:r w:rsidRPr="00C1603D">
        <w:t xml:space="preserve"> 2020;</w:t>
      </w:r>
      <w:r w:rsidRPr="00C1603D">
        <w:rPr>
          <w:b/>
        </w:rPr>
        <w:t>130</w:t>
      </w:r>
      <w:r w:rsidRPr="00C1603D">
        <w:t>:</w:t>
      </w:r>
      <w:r w:rsidRPr="00C1603D">
        <w:rPr>
          <w:color w:val="auto"/>
        </w:rPr>
        <w:t>31</w:t>
      </w:r>
      <w:r w:rsidRPr="00C1603D">
        <w:rPr>
          <w:color w:val="00B0F0"/>
        </w:rPr>
        <w:t>–</w:t>
      </w:r>
      <w:r w:rsidRPr="00C1603D">
        <w:rPr>
          <w:color w:val="auto"/>
        </w:rPr>
        <w:t>7</w:t>
      </w:r>
      <w:r w:rsidRPr="00C1603D">
        <w:t>. https://doi.org/10.20452/pamw.15094</w:t>
      </w:r>
    </w:p>
    <w:p w14:paraId="62019E4C" w14:textId="77777777" w:rsidR="00EF77DB" w:rsidRPr="00C1603D" w:rsidRDefault="00EF77DB" w:rsidP="00EF77DB">
      <w:pPr>
        <w:pStyle w:val="65ReferencesTextstylesTextstyles"/>
      </w:pPr>
      <w:r w:rsidRPr="00C1603D">
        <w:t>320.</w:t>
      </w:r>
      <w:r w:rsidRPr="00C1603D">
        <w:tab/>
        <w:t xml:space="preserve">Ransford RA, Hayes M, Palmer M, Hall MJ. A controlled, prospective screening study of celiac disease presenting as iron deficiency </w:t>
      </w:r>
      <w:proofErr w:type="spellStart"/>
      <w:r w:rsidRPr="00C1603D">
        <w:t>anemia</w:t>
      </w:r>
      <w:proofErr w:type="spellEnd"/>
      <w:r w:rsidRPr="00C1603D">
        <w:t xml:space="preserve">. </w:t>
      </w:r>
      <w:r w:rsidRPr="00C1603D">
        <w:rPr>
          <w:i/>
        </w:rPr>
        <w:t>J Clin Gastroenterol</w:t>
      </w:r>
      <w:r w:rsidRPr="00C1603D">
        <w:t xml:space="preserve"> 2002;</w:t>
      </w:r>
      <w:r w:rsidRPr="00C1603D">
        <w:rPr>
          <w:b/>
        </w:rPr>
        <w:t>35</w:t>
      </w:r>
      <w:r w:rsidRPr="00C1603D">
        <w:t>:</w:t>
      </w:r>
      <w:r w:rsidRPr="00C1603D">
        <w:rPr>
          <w:color w:val="auto"/>
        </w:rPr>
        <w:t>228</w:t>
      </w:r>
      <w:r w:rsidRPr="00C1603D">
        <w:rPr>
          <w:color w:val="00B0F0"/>
        </w:rPr>
        <w:t>–</w:t>
      </w:r>
      <w:r w:rsidRPr="00C1603D">
        <w:rPr>
          <w:color w:val="auto"/>
        </w:rPr>
        <w:t>33</w:t>
      </w:r>
      <w:r w:rsidRPr="00C1603D">
        <w:t>. https://doi.org/10.1097/00004836-200209000-00006</w:t>
      </w:r>
    </w:p>
    <w:p w14:paraId="7322BEEF" w14:textId="77777777" w:rsidR="00EF77DB" w:rsidRPr="00C1603D" w:rsidRDefault="00EF77DB" w:rsidP="00EF77DB">
      <w:pPr>
        <w:pStyle w:val="65ReferencesTextstylesTextstyles"/>
      </w:pPr>
      <w:r w:rsidRPr="00C1603D">
        <w:t>321.</w:t>
      </w:r>
      <w:r w:rsidRPr="00C1603D">
        <w:tab/>
        <w:t xml:space="preserve">Sanders DS, Patel D, Stephenson TJ, Ward AM, McCloskey EV, </w:t>
      </w:r>
      <w:proofErr w:type="spellStart"/>
      <w:r w:rsidRPr="00C1603D">
        <w:t>Hadjivassiliou</w:t>
      </w:r>
      <w:proofErr w:type="spellEnd"/>
      <w:r w:rsidRPr="00C1603D">
        <w:t xml:space="preserve"> M, Lobo </w:t>
      </w:r>
      <w:r w:rsidRPr="00C1603D">
        <w:lastRenderedPageBreak/>
        <w:t xml:space="preserve">AJ. A primary care cross-sectional study of undiagnosed adult coeliac disease. </w:t>
      </w:r>
      <w:proofErr w:type="spellStart"/>
      <w:r w:rsidRPr="00C1603D">
        <w:rPr>
          <w:i/>
        </w:rPr>
        <w:t>Eur</w:t>
      </w:r>
      <w:proofErr w:type="spellEnd"/>
      <w:r w:rsidRPr="00C1603D">
        <w:rPr>
          <w:i/>
        </w:rPr>
        <w:t xml:space="preserve"> J Gastroenterol Hepatol</w:t>
      </w:r>
      <w:r w:rsidRPr="00C1603D">
        <w:t xml:space="preserve"> 2003;</w:t>
      </w:r>
      <w:r w:rsidRPr="00C1603D">
        <w:rPr>
          <w:b/>
        </w:rPr>
        <w:t>15</w:t>
      </w:r>
      <w:r w:rsidRPr="00C1603D">
        <w:t>:</w:t>
      </w:r>
      <w:r w:rsidRPr="00C1603D">
        <w:rPr>
          <w:color w:val="auto"/>
        </w:rPr>
        <w:t>407</w:t>
      </w:r>
      <w:r w:rsidRPr="00C1603D">
        <w:rPr>
          <w:color w:val="00B0F0"/>
        </w:rPr>
        <w:t>–</w:t>
      </w:r>
      <w:r w:rsidRPr="00C1603D">
        <w:rPr>
          <w:color w:val="auto"/>
        </w:rPr>
        <w:t>13</w:t>
      </w:r>
      <w:r w:rsidRPr="00C1603D">
        <w:t>. https://doi.org/10.1097/00042737-200304000-00012</w:t>
      </w:r>
    </w:p>
    <w:p w14:paraId="1703D8FA" w14:textId="11243BCF" w:rsidR="00EF77DB" w:rsidRPr="00C1603D" w:rsidRDefault="00EF77DB" w:rsidP="00EF77DB">
      <w:pPr>
        <w:pStyle w:val="65ReferencesTextstylesTextstyles"/>
      </w:pPr>
      <w:r w:rsidRPr="00C1603D">
        <w:t>322.</w:t>
      </w:r>
      <w:r w:rsidRPr="00C1603D">
        <w:tab/>
        <w:t xml:space="preserve">Greco L, </w:t>
      </w:r>
      <w:proofErr w:type="spellStart"/>
      <w:r w:rsidRPr="00C1603D">
        <w:t>Veneziano</w:t>
      </w:r>
      <w:proofErr w:type="spellEnd"/>
      <w:r w:rsidRPr="00C1603D">
        <w:t xml:space="preserve"> A, Di Donato L, </w:t>
      </w:r>
      <w:proofErr w:type="spellStart"/>
      <w:r w:rsidRPr="00C1603D">
        <w:t>Zampella</w:t>
      </w:r>
      <w:proofErr w:type="spellEnd"/>
      <w:r w:rsidRPr="00C1603D">
        <w:t xml:space="preserve"> C, Pecoraro M, </w:t>
      </w:r>
      <w:proofErr w:type="spellStart"/>
      <w:r w:rsidRPr="00C1603D">
        <w:t>Paladini</w:t>
      </w:r>
      <w:proofErr w:type="spellEnd"/>
      <w:r w:rsidRPr="00C1603D">
        <w:t xml:space="preserve"> D, </w:t>
      </w:r>
      <w:r w:rsidRPr="00C1603D">
        <w:rPr>
          <w:i/>
        </w:rPr>
        <w:t>et</w:t>
      </w:r>
      <w:r w:rsidRPr="00C1603D">
        <w:t xml:space="preserve"> </w:t>
      </w:r>
      <w:r w:rsidRPr="00C1603D">
        <w:rPr>
          <w:i/>
        </w:rPr>
        <w:t>al</w:t>
      </w:r>
      <w:r w:rsidRPr="00C1603D">
        <w:t xml:space="preserve">. Undiagnosed coeliac disease does not appear to be associated with unfavourable outcome of pregnancy. </w:t>
      </w:r>
      <w:r w:rsidRPr="00C1603D">
        <w:rPr>
          <w:i/>
        </w:rPr>
        <w:t>Gut</w:t>
      </w:r>
      <w:r w:rsidRPr="00C1603D">
        <w:t xml:space="preserve"> 2004;</w:t>
      </w:r>
      <w:r w:rsidRPr="00C1603D">
        <w:rPr>
          <w:b/>
        </w:rPr>
        <w:t>53</w:t>
      </w:r>
      <w:r w:rsidRPr="00C1603D">
        <w:t>:149</w:t>
      </w:r>
      <w:r w:rsidR="005E79C4" w:rsidRPr="00C1603D">
        <w:t>–</w:t>
      </w:r>
      <w:r w:rsidRPr="00C1603D">
        <w:t>51.</w:t>
      </w:r>
    </w:p>
    <w:p w14:paraId="09A7B5EE" w14:textId="77777777" w:rsidR="00EF77DB" w:rsidRPr="00C1603D" w:rsidRDefault="00EF77DB" w:rsidP="00EF77DB">
      <w:pPr>
        <w:pStyle w:val="65ReferencesTextstylesTextstyles"/>
      </w:pPr>
      <w:r w:rsidRPr="00C1603D">
        <w:t>323.</w:t>
      </w:r>
      <w:r w:rsidRPr="00C1603D">
        <w:tab/>
      </w:r>
      <w:proofErr w:type="spellStart"/>
      <w:r w:rsidRPr="00C1603D">
        <w:t>Kalayci</w:t>
      </w:r>
      <w:proofErr w:type="spellEnd"/>
      <w:r w:rsidRPr="00C1603D">
        <w:t xml:space="preserve"> AG, </w:t>
      </w:r>
      <w:proofErr w:type="spellStart"/>
      <w:r w:rsidRPr="00C1603D">
        <w:t>Kanber</w:t>
      </w:r>
      <w:proofErr w:type="spellEnd"/>
      <w:r w:rsidRPr="00C1603D">
        <w:t xml:space="preserve"> Y, </w:t>
      </w:r>
      <w:proofErr w:type="spellStart"/>
      <w:r w:rsidRPr="00C1603D">
        <w:t>Birinci</w:t>
      </w:r>
      <w:proofErr w:type="spellEnd"/>
      <w:r w:rsidRPr="00C1603D">
        <w:t xml:space="preserve"> A, </w:t>
      </w:r>
      <w:proofErr w:type="spellStart"/>
      <w:r w:rsidRPr="00C1603D">
        <w:t>Yildiz</w:t>
      </w:r>
      <w:proofErr w:type="spellEnd"/>
      <w:r w:rsidRPr="00C1603D">
        <w:t xml:space="preserve"> L, Albayrak D. The prevalence of coeliac disease as detected by screening in children with iron deficiency anaemia. </w:t>
      </w:r>
      <w:r w:rsidRPr="00C1603D">
        <w:rPr>
          <w:i/>
        </w:rPr>
        <w:t xml:space="preserve">Acta </w:t>
      </w:r>
      <w:proofErr w:type="spellStart"/>
      <w:r w:rsidRPr="00C1603D">
        <w:rPr>
          <w:i/>
        </w:rPr>
        <w:t>Paediatr</w:t>
      </w:r>
      <w:proofErr w:type="spellEnd"/>
      <w:r w:rsidRPr="00C1603D">
        <w:t xml:space="preserve"> 2005;</w:t>
      </w:r>
      <w:r w:rsidRPr="00C1603D">
        <w:rPr>
          <w:b/>
        </w:rPr>
        <w:t>94</w:t>
      </w:r>
      <w:r w:rsidRPr="00C1603D">
        <w:t>:</w:t>
      </w:r>
      <w:r w:rsidRPr="00C1603D">
        <w:rPr>
          <w:color w:val="auto"/>
        </w:rPr>
        <w:t>678</w:t>
      </w:r>
      <w:r w:rsidRPr="00C1603D">
        <w:rPr>
          <w:color w:val="00B0F0"/>
        </w:rPr>
        <w:t>–</w:t>
      </w:r>
      <w:r w:rsidRPr="00C1603D">
        <w:rPr>
          <w:color w:val="auto"/>
        </w:rPr>
        <w:t>81</w:t>
      </w:r>
      <w:r w:rsidRPr="00C1603D">
        <w:t>.</w:t>
      </w:r>
    </w:p>
    <w:p w14:paraId="01FB2D67" w14:textId="2BF17703" w:rsidR="00EF77DB" w:rsidRPr="00C1603D" w:rsidRDefault="00EF77DB" w:rsidP="00EF77DB">
      <w:pPr>
        <w:pStyle w:val="65ReferencesTextstylesTextstyles"/>
      </w:pPr>
      <w:r w:rsidRPr="00C1603D">
        <w:t>324.</w:t>
      </w:r>
      <w:r w:rsidRPr="00C1603D">
        <w:tab/>
      </w:r>
      <w:proofErr w:type="spellStart"/>
      <w:r w:rsidRPr="00C1603D">
        <w:t>Shahriari</w:t>
      </w:r>
      <w:proofErr w:type="spellEnd"/>
      <w:r w:rsidRPr="00C1603D">
        <w:t xml:space="preserve"> M, </w:t>
      </w:r>
      <w:proofErr w:type="spellStart"/>
      <w:r w:rsidRPr="00C1603D">
        <w:t>Honar</w:t>
      </w:r>
      <w:proofErr w:type="spellEnd"/>
      <w:r w:rsidRPr="00C1603D">
        <w:t xml:space="preserve"> N, </w:t>
      </w:r>
      <w:proofErr w:type="spellStart"/>
      <w:r w:rsidRPr="00C1603D">
        <w:t>Yousefi</w:t>
      </w:r>
      <w:proofErr w:type="spellEnd"/>
      <w:r w:rsidRPr="00C1603D">
        <w:t xml:space="preserve"> A, </w:t>
      </w:r>
      <w:proofErr w:type="spellStart"/>
      <w:r w:rsidRPr="00C1603D">
        <w:t>Javaherizadeh</w:t>
      </w:r>
      <w:proofErr w:type="spellEnd"/>
      <w:r w:rsidRPr="00C1603D">
        <w:t xml:space="preserve"> H. </w:t>
      </w:r>
      <w:r w:rsidR="005E79C4" w:rsidRPr="00C1603D">
        <w:t xml:space="preserve">Association of potential celiac disease and refractory iron deficiency </w:t>
      </w:r>
      <w:proofErr w:type="spellStart"/>
      <w:r w:rsidR="005E79C4" w:rsidRPr="00C1603D">
        <w:t>anemia</w:t>
      </w:r>
      <w:proofErr w:type="spellEnd"/>
      <w:r w:rsidR="005E79C4" w:rsidRPr="00C1603D">
        <w:t xml:space="preserve"> in children and adolescents</w:t>
      </w:r>
      <w:r w:rsidRPr="00C1603D">
        <w:t xml:space="preserve">. </w:t>
      </w:r>
      <w:proofErr w:type="spellStart"/>
      <w:r w:rsidRPr="00C1603D">
        <w:rPr>
          <w:i/>
        </w:rPr>
        <w:t>Arq</w:t>
      </w:r>
      <w:proofErr w:type="spellEnd"/>
      <w:r w:rsidRPr="00C1603D">
        <w:rPr>
          <w:i/>
        </w:rPr>
        <w:t xml:space="preserve"> Gastroenterol</w:t>
      </w:r>
      <w:r w:rsidRPr="00C1603D">
        <w:t xml:space="preserve"> 2018;</w:t>
      </w:r>
      <w:r w:rsidRPr="00C1603D">
        <w:rPr>
          <w:b/>
        </w:rPr>
        <w:t>55</w:t>
      </w:r>
      <w:r w:rsidRPr="00C1603D">
        <w:t>:</w:t>
      </w:r>
      <w:r w:rsidRPr="00C1603D">
        <w:rPr>
          <w:color w:val="auto"/>
        </w:rPr>
        <w:t>78</w:t>
      </w:r>
      <w:r w:rsidRPr="00C1603D">
        <w:rPr>
          <w:color w:val="00B0F0"/>
        </w:rPr>
        <w:t>–</w:t>
      </w:r>
      <w:r w:rsidRPr="00C1603D">
        <w:rPr>
          <w:color w:val="auto"/>
        </w:rPr>
        <w:t>81</w:t>
      </w:r>
      <w:r w:rsidRPr="00C1603D">
        <w:t>.</w:t>
      </w:r>
    </w:p>
    <w:p w14:paraId="1C0975E7" w14:textId="3C03239A" w:rsidR="00EF77DB" w:rsidRPr="00C1603D" w:rsidRDefault="00EF77DB" w:rsidP="00EF77DB">
      <w:pPr>
        <w:pStyle w:val="65ReferencesTextstylesTextstyles"/>
      </w:pPr>
      <w:r w:rsidRPr="00C1603D">
        <w:t>325.</w:t>
      </w:r>
      <w:r w:rsidRPr="00C1603D">
        <w:tab/>
        <w:t xml:space="preserve">Narang M, Natarajan R, Shah D, Puri AS, Manchanda V, </w:t>
      </w:r>
      <w:proofErr w:type="spellStart"/>
      <w:r w:rsidRPr="00C1603D">
        <w:t>Kotru</w:t>
      </w:r>
      <w:proofErr w:type="spellEnd"/>
      <w:r w:rsidRPr="00C1603D">
        <w:t xml:space="preserve"> M. Celiac </w:t>
      </w:r>
      <w:r w:rsidR="005E79C4" w:rsidRPr="00C1603D">
        <w:t xml:space="preserve">disease in children with moderate-to-severe iron-deficiency </w:t>
      </w:r>
      <w:proofErr w:type="spellStart"/>
      <w:r w:rsidR="005E79C4" w:rsidRPr="00C1603D">
        <w:t>anemia</w:t>
      </w:r>
      <w:proofErr w:type="spellEnd"/>
      <w:r w:rsidRPr="00C1603D">
        <w:t xml:space="preserve">. </w:t>
      </w:r>
      <w:r w:rsidRPr="00C1603D">
        <w:rPr>
          <w:i/>
        </w:rPr>
        <w:t xml:space="preserve">Indian </w:t>
      </w:r>
      <w:proofErr w:type="spellStart"/>
      <w:r w:rsidRPr="00C1603D">
        <w:rPr>
          <w:i/>
        </w:rPr>
        <w:t>Pediatr</w:t>
      </w:r>
      <w:proofErr w:type="spellEnd"/>
      <w:r w:rsidRPr="00C1603D">
        <w:t xml:space="preserve"> 2018;</w:t>
      </w:r>
      <w:r w:rsidRPr="00C1603D">
        <w:rPr>
          <w:b/>
        </w:rPr>
        <w:t>55</w:t>
      </w:r>
      <w:r w:rsidRPr="00C1603D">
        <w:t>:</w:t>
      </w:r>
      <w:r w:rsidRPr="00C1603D">
        <w:rPr>
          <w:color w:val="auto"/>
        </w:rPr>
        <w:t>31</w:t>
      </w:r>
      <w:r w:rsidRPr="00C1603D">
        <w:rPr>
          <w:color w:val="00B0F0"/>
        </w:rPr>
        <w:t>–</w:t>
      </w:r>
      <w:r w:rsidRPr="00C1603D">
        <w:rPr>
          <w:color w:val="auto"/>
        </w:rPr>
        <w:t>4</w:t>
      </w:r>
      <w:r w:rsidRPr="00C1603D">
        <w:t>.</w:t>
      </w:r>
    </w:p>
    <w:p w14:paraId="31FCDC36" w14:textId="7BDC6205" w:rsidR="00EF77DB" w:rsidRPr="00C1603D" w:rsidRDefault="00EF77DB" w:rsidP="00EF77DB">
      <w:pPr>
        <w:pStyle w:val="65ReferencesTextstylesTextstyles"/>
      </w:pPr>
      <w:r w:rsidRPr="00C1603D">
        <w:t>326.</w:t>
      </w:r>
      <w:r w:rsidRPr="00C1603D">
        <w:tab/>
      </w:r>
      <w:proofErr w:type="spellStart"/>
      <w:r w:rsidRPr="00C1603D">
        <w:t>Ertekin</w:t>
      </w:r>
      <w:proofErr w:type="spellEnd"/>
      <w:r w:rsidRPr="00C1603D">
        <w:t xml:space="preserve"> V, </w:t>
      </w:r>
      <w:proofErr w:type="spellStart"/>
      <w:r w:rsidRPr="00C1603D">
        <w:t>Selimoglu</w:t>
      </w:r>
      <w:proofErr w:type="spellEnd"/>
      <w:r w:rsidRPr="00C1603D">
        <w:t xml:space="preserve"> MA, </w:t>
      </w:r>
      <w:proofErr w:type="spellStart"/>
      <w:r w:rsidRPr="00C1603D">
        <w:t>Kardas</w:t>
      </w:r>
      <w:proofErr w:type="spellEnd"/>
      <w:r w:rsidRPr="00C1603D">
        <w:t xml:space="preserve"> F, </w:t>
      </w:r>
      <w:proofErr w:type="spellStart"/>
      <w:r w:rsidRPr="00C1603D">
        <w:t>Aktas</w:t>
      </w:r>
      <w:proofErr w:type="spellEnd"/>
      <w:r w:rsidRPr="00C1603D">
        <w:t xml:space="preserve"> E. Prevalence of celiac disease in Turkish children. </w:t>
      </w:r>
      <w:r w:rsidR="005E79C4" w:rsidRPr="00C1603D">
        <w:rPr>
          <w:i/>
        </w:rPr>
        <w:t>J</w:t>
      </w:r>
      <w:r w:rsidRPr="00C1603D">
        <w:t xml:space="preserve"> </w:t>
      </w:r>
      <w:r w:rsidRPr="00C1603D">
        <w:rPr>
          <w:i/>
        </w:rPr>
        <w:t>Clin</w:t>
      </w:r>
      <w:r w:rsidR="005E79C4" w:rsidRPr="00C1603D">
        <w:rPr>
          <w:i/>
        </w:rPr>
        <w:t xml:space="preserve"> </w:t>
      </w:r>
      <w:r w:rsidRPr="00C1603D">
        <w:rPr>
          <w:i/>
        </w:rPr>
        <w:t>Gastroenterol</w:t>
      </w:r>
      <w:r w:rsidRPr="00C1603D">
        <w:t xml:space="preserve"> 2005;</w:t>
      </w:r>
      <w:r w:rsidRPr="00C1603D">
        <w:rPr>
          <w:b/>
        </w:rPr>
        <w:t>39</w:t>
      </w:r>
      <w:r w:rsidRPr="00C1603D">
        <w:t>:689</w:t>
      </w:r>
      <w:r w:rsidR="005E79C4" w:rsidRPr="00C1603D">
        <w:t>–</w:t>
      </w:r>
      <w:r w:rsidRPr="00C1603D">
        <w:t>91.</w:t>
      </w:r>
    </w:p>
    <w:p w14:paraId="4C98E46D" w14:textId="77777777" w:rsidR="00EF77DB" w:rsidRPr="00C1603D" w:rsidRDefault="00EF77DB" w:rsidP="00EF77DB">
      <w:pPr>
        <w:pStyle w:val="65ReferencesTextstylesTextstyles"/>
      </w:pPr>
      <w:r w:rsidRPr="00C1603D">
        <w:t>327.</w:t>
      </w:r>
      <w:r w:rsidRPr="00C1603D">
        <w:tab/>
      </w:r>
      <w:proofErr w:type="spellStart"/>
      <w:r w:rsidRPr="00C1603D">
        <w:t>Bizzaro</w:t>
      </w:r>
      <w:proofErr w:type="spellEnd"/>
      <w:r w:rsidRPr="00C1603D">
        <w:t xml:space="preserve"> N, </w:t>
      </w:r>
      <w:proofErr w:type="spellStart"/>
      <w:r w:rsidRPr="00C1603D">
        <w:t>Villalta</w:t>
      </w:r>
      <w:proofErr w:type="spellEnd"/>
      <w:r w:rsidRPr="00C1603D">
        <w:t xml:space="preserve"> D, </w:t>
      </w:r>
      <w:proofErr w:type="spellStart"/>
      <w:r w:rsidRPr="00C1603D">
        <w:t>Tonutti</w:t>
      </w:r>
      <w:proofErr w:type="spellEnd"/>
      <w:r w:rsidRPr="00C1603D">
        <w:t xml:space="preserve"> E, </w:t>
      </w:r>
      <w:proofErr w:type="spellStart"/>
      <w:r w:rsidRPr="00C1603D">
        <w:t>Doria</w:t>
      </w:r>
      <w:proofErr w:type="spellEnd"/>
      <w:r w:rsidRPr="00C1603D">
        <w:t xml:space="preserve"> A, </w:t>
      </w:r>
      <w:proofErr w:type="spellStart"/>
      <w:r w:rsidRPr="00C1603D">
        <w:t>Tampoia</w:t>
      </w:r>
      <w:proofErr w:type="spellEnd"/>
      <w:r w:rsidRPr="00C1603D">
        <w:t xml:space="preserve"> M, </w:t>
      </w:r>
      <w:proofErr w:type="spellStart"/>
      <w:r w:rsidRPr="00C1603D">
        <w:t>Bassetti</w:t>
      </w:r>
      <w:proofErr w:type="spellEnd"/>
      <w:r w:rsidRPr="00C1603D">
        <w:t xml:space="preserve"> D, </w:t>
      </w:r>
      <w:proofErr w:type="spellStart"/>
      <w:r w:rsidRPr="00C1603D">
        <w:t>Tozzoli</w:t>
      </w:r>
      <w:proofErr w:type="spellEnd"/>
      <w:r w:rsidRPr="00C1603D">
        <w:t xml:space="preserve"> R. IgA and IgG tissue transglutaminase antibody prevalence and clinical significance in connective tissue diseases, inflammatory bowel disease, and primary biliary cirrhosis. </w:t>
      </w:r>
      <w:r w:rsidRPr="00C1603D">
        <w:rPr>
          <w:i/>
        </w:rPr>
        <w:t>Dig Dis Sci</w:t>
      </w:r>
      <w:r w:rsidRPr="00C1603D">
        <w:t xml:space="preserve"> 2003;</w:t>
      </w:r>
      <w:r w:rsidRPr="00C1603D">
        <w:rPr>
          <w:b/>
        </w:rPr>
        <w:t>48</w:t>
      </w:r>
      <w:r w:rsidRPr="00C1603D">
        <w:t>:</w:t>
      </w:r>
      <w:r w:rsidRPr="00C1603D">
        <w:rPr>
          <w:color w:val="auto"/>
        </w:rPr>
        <w:t>2360</w:t>
      </w:r>
      <w:r w:rsidRPr="00C1603D">
        <w:rPr>
          <w:color w:val="00B0F0"/>
        </w:rPr>
        <w:t>–</w:t>
      </w:r>
      <w:r w:rsidRPr="00C1603D">
        <w:rPr>
          <w:color w:val="auto"/>
        </w:rPr>
        <w:t>5</w:t>
      </w:r>
      <w:r w:rsidRPr="00C1603D">
        <w:t>. https://doi.org/10.1023/b:ddas.0000007875.72256.e8</w:t>
      </w:r>
    </w:p>
    <w:p w14:paraId="207FF727" w14:textId="77777777" w:rsidR="00EF77DB" w:rsidRPr="00C1603D" w:rsidRDefault="00EF77DB" w:rsidP="00EF77DB">
      <w:pPr>
        <w:pStyle w:val="65ReferencesTextstylesTextstyles"/>
      </w:pPr>
      <w:r w:rsidRPr="00C1603D">
        <w:t>328.</w:t>
      </w:r>
      <w:r w:rsidRPr="00C1603D">
        <w:tab/>
      </w:r>
      <w:proofErr w:type="spellStart"/>
      <w:r w:rsidRPr="00C1603D">
        <w:t>Feighery</w:t>
      </w:r>
      <w:proofErr w:type="spellEnd"/>
      <w:r w:rsidRPr="00C1603D">
        <w:t xml:space="preserve"> L, Collins C, </w:t>
      </w:r>
      <w:proofErr w:type="spellStart"/>
      <w:r w:rsidRPr="00C1603D">
        <w:t>Feighery</w:t>
      </w:r>
      <w:proofErr w:type="spellEnd"/>
      <w:r w:rsidRPr="00C1603D">
        <w:t xml:space="preserve"> C, Mahmud N, Coughlan G, Willoughby R, Jackson J. Anti-transglutaminase antibodies and the serological diagnosis of coeliac disease. </w:t>
      </w:r>
      <w:r w:rsidRPr="00C1603D">
        <w:rPr>
          <w:i/>
        </w:rPr>
        <w:t>Br J Biomed Sci</w:t>
      </w:r>
      <w:r w:rsidRPr="00C1603D">
        <w:t xml:space="preserve"> 2003;</w:t>
      </w:r>
      <w:r w:rsidRPr="00C1603D">
        <w:rPr>
          <w:b/>
        </w:rPr>
        <w:t>60</w:t>
      </w:r>
      <w:r w:rsidRPr="00C1603D">
        <w:t>:</w:t>
      </w:r>
      <w:r w:rsidRPr="00C1603D">
        <w:rPr>
          <w:color w:val="auto"/>
        </w:rPr>
        <w:t>14</w:t>
      </w:r>
      <w:r w:rsidRPr="00C1603D">
        <w:rPr>
          <w:color w:val="00B0F0"/>
        </w:rPr>
        <w:t>–</w:t>
      </w:r>
      <w:r w:rsidRPr="00C1603D">
        <w:rPr>
          <w:color w:val="auto"/>
        </w:rPr>
        <w:t>18</w:t>
      </w:r>
      <w:r w:rsidRPr="00C1603D">
        <w:t>. https://doi.org/10.1080/09674845.2003.11783671</w:t>
      </w:r>
    </w:p>
    <w:p w14:paraId="68394691" w14:textId="0B9BE764" w:rsidR="00EF77DB" w:rsidRPr="00C1603D" w:rsidRDefault="00EF77DB" w:rsidP="00EF77DB">
      <w:pPr>
        <w:pStyle w:val="65ReferencesTextstylesTextstyles"/>
      </w:pPr>
      <w:r w:rsidRPr="00C1603D">
        <w:t>329.</w:t>
      </w:r>
      <w:r w:rsidRPr="00C1603D">
        <w:tab/>
      </w:r>
      <w:proofErr w:type="spellStart"/>
      <w:r w:rsidRPr="00C1603D">
        <w:t>Nisihara</w:t>
      </w:r>
      <w:proofErr w:type="spellEnd"/>
      <w:r w:rsidRPr="00C1603D">
        <w:t xml:space="preserve"> RM, </w:t>
      </w:r>
      <w:proofErr w:type="spellStart"/>
      <w:r w:rsidRPr="00C1603D">
        <w:t>Skare</w:t>
      </w:r>
      <w:proofErr w:type="spellEnd"/>
      <w:r w:rsidRPr="00C1603D">
        <w:t xml:space="preserve"> TL, Silva MB, </w:t>
      </w:r>
      <w:proofErr w:type="spellStart"/>
      <w:r w:rsidRPr="00C1603D">
        <w:t>Utiyama</w:t>
      </w:r>
      <w:proofErr w:type="spellEnd"/>
      <w:r w:rsidRPr="00C1603D">
        <w:t xml:space="preserve"> SR. Rheumatoid </w:t>
      </w:r>
      <w:r w:rsidR="008375AE" w:rsidRPr="00C1603D">
        <w:t>a</w:t>
      </w:r>
      <w:r w:rsidRPr="00C1603D">
        <w:t xml:space="preserve">rthritis and anti-endomysial antibodies. </w:t>
      </w:r>
      <w:r w:rsidRPr="00C1603D">
        <w:rPr>
          <w:i/>
        </w:rPr>
        <w:t xml:space="preserve">Acta </w:t>
      </w:r>
      <w:proofErr w:type="spellStart"/>
      <w:r w:rsidRPr="00C1603D">
        <w:rPr>
          <w:i/>
        </w:rPr>
        <w:t>Reumatol</w:t>
      </w:r>
      <w:proofErr w:type="spellEnd"/>
      <w:r w:rsidRPr="00C1603D">
        <w:rPr>
          <w:i/>
        </w:rPr>
        <w:t xml:space="preserve"> Port</w:t>
      </w:r>
      <w:r w:rsidRPr="00C1603D">
        <w:t xml:space="preserve"> 2007;</w:t>
      </w:r>
      <w:r w:rsidRPr="00C1603D">
        <w:rPr>
          <w:b/>
        </w:rPr>
        <w:t>32</w:t>
      </w:r>
      <w:r w:rsidRPr="00C1603D">
        <w:t>:</w:t>
      </w:r>
      <w:r w:rsidRPr="00C1603D">
        <w:rPr>
          <w:color w:val="auto"/>
        </w:rPr>
        <w:t>163</w:t>
      </w:r>
      <w:r w:rsidRPr="00C1603D">
        <w:rPr>
          <w:color w:val="00B0F0"/>
        </w:rPr>
        <w:t>–</w:t>
      </w:r>
      <w:r w:rsidRPr="00C1603D">
        <w:rPr>
          <w:color w:val="auto"/>
        </w:rPr>
        <w:t>67</w:t>
      </w:r>
      <w:r w:rsidRPr="00C1603D">
        <w:t>.</w:t>
      </w:r>
    </w:p>
    <w:p w14:paraId="785519BD" w14:textId="6A8F4CA6" w:rsidR="00EF77DB" w:rsidRPr="00C1603D" w:rsidRDefault="00EF77DB" w:rsidP="00EF77DB">
      <w:pPr>
        <w:pStyle w:val="65ReferencesTextstylesTextstyles"/>
      </w:pPr>
      <w:r w:rsidRPr="00C1603D">
        <w:t>330.</w:t>
      </w:r>
      <w:r w:rsidRPr="00C1603D">
        <w:tab/>
      </w:r>
      <w:proofErr w:type="spellStart"/>
      <w:r w:rsidRPr="00C1603D">
        <w:t>Picarelli</w:t>
      </w:r>
      <w:proofErr w:type="spellEnd"/>
      <w:r w:rsidRPr="00C1603D">
        <w:t xml:space="preserve"> A, Di Tola M, </w:t>
      </w:r>
      <w:proofErr w:type="spellStart"/>
      <w:r w:rsidRPr="00C1603D">
        <w:t>Sabbatella</w:t>
      </w:r>
      <w:proofErr w:type="spellEnd"/>
      <w:r w:rsidRPr="00C1603D">
        <w:t xml:space="preserve"> L, </w:t>
      </w:r>
      <w:proofErr w:type="spellStart"/>
      <w:r w:rsidRPr="00C1603D">
        <w:t>Vetrano</w:t>
      </w:r>
      <w:proofErr w:type="spellEnd"/>
      <w:r w:rsidRPr="00C1603D">
        <w:t xml:space="preserve"> S, </w:t>
      </w:r>
      <w:proofErr w:type="spellStart"/>
      <w:r w:rsidRPr="00C1603D">
        <w:t>Anania</w:t>
      </w:r>
      <w:proofErr w:type="spellEnd"/>
      <w:r w:rsidRPr="00C1603D">
        <w:t xml:space="preserve"> MC, Spadaro A, </w:t>
      </w:r>
      <w:r w:rsidRPr="00C1603D">
        <w:rPr>
          <w:i/>
        </w:rPr>
        <w:t>et</w:t>
      </w:r>
      <w:r w:rsidRPr="00C1603D">
        <w:t xml:space="preserve"> </w:t>
      </w:r>
      <w:r w:rsidRPr="00C1603D">
        <w:rPr>
          <w:i/>
        </w:rPr>
        <w:t>al</w:t>
      </w:r>
      <w:r w:rsidRPr="00C1603D">
        <w:t xml:space="preserve">. Anti-tissue transglutaminase antibodies in arthritic patients: a disease-specific finding? </w:t>
      </w:r>
      <w:r w:rsidR="008375AE" w:rsidRPr="00C1603D">
        <w:rPr>
          <w:i/>
        </w:rPr>
        <w:t>Clin Chem</w:t>
      </w:r>
      <w:r w:rsidR="008375AE" w:rsidRPr="00C1603D">
        <w:t xml:space="preserve"> </w:t>
      </w:r>
      <w:r w:rsidRPr="00C1603D">
        <w:t>2003;</w:t>
      </w:r>
      <w:r w:rsidRPr="00C1603D">
        <w:rPr>
          <w:b/>
        </w:rPr>
        <w:t>49</w:t>
      </w:r>
      <w:r w:rsidRPr="00C1603D">
        <w:t>:2091</w:t>
      </w:r>
      <w:r w:rsidR="008375AE" w:rsidRPr="00C1603D">
        <w:t>–</w:t>
      </w:r>
      <w:r w:rsidRPr="00C1603D">
        <w:t>4.</w:t>
      </w:r>
    </w:p>
    <w:p w14:paraId="73C96B88" w14:textId="2B50D0EB" w:rsidR="00EF77DB" w:rsidRPr="00C1603D" w:rsidRDefault="00EF77DB" w:rsidP="00EF77DB">
      <w:pPr>
        <w:pStyle w:val="65ReferencesTextstylesTextstyles"/>
      </w:pPr>
      <w:r w:rsidRPr="00C1603D">
        <w:t>331.</w:t>
      </w:r>
      <w:r w:rsidRPr="00C1603D">
        <w:tab/>
      </w:r>
      <w:proofErr w:type="spellStart"/>
      <w:r w:rsidRPr="00C1603D">
        <w:t>Riente</w:t>
      </w:r>
      <w:proofErr w:type="spellEnd"/>
      <w:r w:rsidRPr="00C1603D">
        <w:t xml:space="preserve"> L, </w:t>
      </w:r>
      <w:proofErr w:type="spellStart"/>
      <w:r w:rsidRPr="00C1603D">
        <w:t>Chimenti</w:t>
      </w:r>
      <w:proofErr w:type="spellEnd"/>
      <w:r w:rsidRPr="00C1603D">
        <w:t xml:space="preserve"> D, </w:t>
      </w:r>
      <w:proofErr w:type="spellStart"/>
      <w:r w:rsidRPr="00C1603D">
        <w:t>Pratesi</w:t>
      </w:r>
      <w:proofErr w:type="spellEnd"/>
      <w:r w:rsidRPr="00C1603D">
        <w:t xml:space="preserve"> F, </w:t>
      </w:r>
      <w:proofErr w:type="spellStart"/>
      <w:r w:rsidRPr="00C1603D">
        <w:t>Delle</w:t>
      </w:r>
      <w:proofErr w:type="spellEnd"/>
      <w:r w:rsidRPr="00C1603D">
        <w:t xml:space="preserve"> </w:t>
      </w:r>
      <w:proofErr w:type="spellStart"/>
      <w:r w:rsidRPr="00C1603D">
        <w:t>Sedie</w:t>
      </w:r>
      <w:proofErr w:type="spellEnd"/>
      <w:r w:rsidRPr="00C1603D">
        <w:t xml:space="preserve"> A, </w:t>
      </w:r>
      <w:proofErr w:type="spellStart"/>
      <w:r w:rsidRPr="00C1603D">
        <w:t>Tommasi</w:t>
      </w:r>
      <w:proofErr w:type="spellEnd"/>
      <w:r w:rsidRPr="00C1603D">
        <w:t xml:space="preserve"> S, </w:t>
      </w:r>
      <w:proofErr w:type="spellStart"/>
      <w:r w:rsidRPr="00C1603D">
        <w:t>Tommasi</w:t>
      </w:r>
      <w:proofErr w:type="spellEnd"/>
      <w:r w:rsidRPr="00C1603D">
        <w:t xml:space="preserve"> C, </w:t>
      </w:r>
      <w:r w:rsidRPr="00C1603D">
        <w:rPr>
          <w:i/>
        </w:rPr>
        <w:t>et al</w:t>
      </w:r>
      <w:r w:rsidRPr="00C1603D">
        <w:t xml:space="preserve">. Antibodies to tissue transglutaminase and </w:t>
      </w:r>
      <w:r w:rsidR="008375AE" w:rsidRPr="00C1603D">
        <w:t>s</w:t>
      </w:r>
      <w:r w:rsidRPr="00C1603D">
        <w:t xml:space="preserve">accharomyces cerevisiae in ankylosing spondylitis and psoriatic arthritis. </w:t>
      </w:r>
      <w:r w:rsidRPr="00C1603D">
        <w:rPr>
          <w:i/>
        </w:rPr>
        <w:t xml:space="preserve">J </w:t>
      </w:r>
      <w:proofErr w:type="spellStart"/>
      <w:r w:rsidRPr="00C1603D">
        <w:rPr>
          <w:i/>
        </w:rPr>
        <w:t>Rheumatol</w:t>
      </w:r>
      <w:proofErr w:type="spellEnd"/>
      <w:r w:rsidRPr="00C1603D">
        <w:t xml:space="preserve"> 2004;</w:t>
      </w:r>
      <w:r w:rsidRPr="00C1603D">
        <w:rPr>
          <w:b/>
        </w:rPr>
        <w:t>31</w:t>
      </w:r>
      <w:r w:rsidRPr="00C1603D">
        <w:t>:</w:t>
      </w:r>
      <w:r w:rsidRPr="00C1603D">
        <w:rPr>
          <w:color w:val="auto"/>
        </w:rPr>
        <w:t>920</w:t>
      </w:r>
      <w:r w:rsidRPr="00C1603D">
        <w:rPr>
          <w:color w:val="00B0F0"/>
        </w:rPr>
        <w:t>–</w:t>
      </w:r>
      <w:r w:rsidRPr="00C1603D">
        <w:rPr>
          <w:color w:val="auto"/>
        </w:rPr>
        <w:t>4</w:t>
      </w:r>
      <w:r w:rsidRPr="00C1603D">
        <w:t>.</w:t>
      </w:r>
    </w:p>
    <w:p w14:paraId="112F34A0" w14:textId="6C6DDDC2" w:rsidR="00EF77DB" w:rsidRPr="00C1603D" w:rsidRDefault="00EF77DB" w:rsidP="00EF77DB">
      <w:pPr>
        <w:pStyle w:val="65ReferencesTextstylesTextstyles"/>
      </w:pPr>
      <w:r w:rsidRPr="00C1603D">
        <w:t>332.</w:t>
      </w:r>
      <w:r w:rsidRPr="00C1603D">
        <w:tab/>
      </w:r>
      <w:proofErr w:type="spellStart"/>
      <w:r w:rsidRPr="00C1603D">
        <w:t>Luft</w:t>
      </w:r>
      <w:proofErr w:type="spellEnd"/>
      <w:r w:rsidRPr="00C1603D">
        <w:t xml:space="preserve"> LM, Barr SG, Martin LO, Chan EK, </w:t>
      </w:r>
      <w:proofErr w:type="spellStart"/>
      <w:r w:rsidRPr="00C1603D">
        <w:t>Fritzler</w:t>
      </w:r>
      <w:proofErr w:type="spellEnd"/>
      <w:r w:rsidRPr="00C1603D">
        <w:t xml:space="preserve"> MJ. Autoantibodies to tissue transglutaminase in </w:t>
      </w:r>
      <w:proofErr w:type="spellStart"/>
      <w:r w:rsidRPr="00C1603D">
        <w:t>Sjögren’s</w:t>
      </w:r>
      <w:proofErr w:type="spellEnd"/>
      <w:r w:rsidRPr="00C1603D">
        <w:t xml:space="preserve"> syndrome and related rheumatic diseases. </w:t>
      </w:r>
      <w:r w:rsidRPr="00C1603D">
        <w:rPr>
          <w:i/>
        </w:rPr>
        <w:t xml:space="preserve">J </w:t>
      </w:r>
      <w:proofErr w:type="spellStart"/>
      <w:r w:rsidRPr="00C1603D">
        <w:rPr>
          <w:i/>
        </w:rPr>
        <w:t>Rheumatol</w:t>
      </w:r>
      <w:proofErr w:type="spellEnd"/>
      <w:r w:rsidRPr="00C1603D">
        <w:t xml:space="preserve"> 2003;</w:t>
      </w:r>
      <w:r w:rsidRPr="00C1603D">
        <w:rPr>
          <w:b/>
        </w:rPr>
        <w:t>30</w:t>
      </w:r>
      <w:r w:rsidRPr="00C1603D">
        <w:t>:</w:t>
      </w:r>
      <w:r w:rsidRPr="00C1603D">
        <w:rPr>
          <w:color w:val="auto"/>
        </w:rPr>
        <w:t>2613</w:t>
      </w:r>
      <w:r w:rsidRPr="00C1603D">
        <w:rPr>
          <w:color w:val="00B0F0"/>
        </w:rPr>
        <w:t>–</w:t>
      </w:r>
      <w:r w:rsidRPr="00C1603D">
        <w:rPr>
          <w:color w:val="auto"/>
        </w:rPr>
        <w:t>19</w:t>
      </w:r>
      <w:r w:rsidRPr="00C1603D">
        <w:t>.</w:t>
      </w:r>
    </w:p>
    <w:p w14:paraId="5B02871C" w14:textId="77777777" w:rsidR="00EF77DB" w:rsidRPr="00C1603D" w:rsidRDefault="00EF77DB" w:rsidP="00EF77DB">
      <w:pPr>
        <w:pStyle w:val="65ReferencesTextstylesTextstyles"/>
      </w:pPr>
      <w:r w:rsidRPr="00C1603D">
        <w:t>333.</w:t>
      </w:r>
      <w:r w:rsidRPr="00C1603D">
        <w:tab/>
        <w:t xml:space="preserve">Heikkilä K, </w:t>
      </w:r>
      <w:proofErr w:type="spellStart"/>
      <w:r w:rsidRPr="00C1603D">
        <w:t>Heliövaara</w:t>
      </w:r>
      <w:proofErr w:type="spellEnd"/>
      <w:r w:rsidRPr="00C1603D">
        <w:t xml:space="preserve"> M, </w:t>
      </w:r>
      <w:proofErr w:type="spellStart"/>
      <w:r w:rsidRPr="00C1603D">
        <w:t>Impivaara</w:t>
      </w:r>
      <w:proofErr w:type="spellEnd"/>
      <w:r w:rsidRPr="00C1603D">
        <w:t xml:space="preserve"> O, </w:t>
      </w:r>
      <w:proofErr w:type="spellStart"/>
      <w:r w:rsidRPr="00C1603D">
        <w:t>Kröger</w:t>
      </w:r>
      <w:proofErr w:type="spellEnd"/>
      <w:r w:rsidRPr="00C1603D">
        <w:t xml:space="preserve"> H, </w:t>
      </w:r>
      <w:proofErr w:type="spellStart"/>
      <w:r w:rsidRPr="00C1603D">
        <w:t>Knekt</w:t>
      </w:r>
      <w:proofErr w:type="spellEnd"/>
      <w:r w:rsidRPr="00C1603D">
        <w:t xml:space="preserve"> P, </w:t>
      </w:r>
      <w:proofErr w:type="spellStart"/>
      <w:r w:rsidRPr="00C1603D">
        <w:t>Rissanen</w:t>
      </w:r>
      <w:proofErr w:type="spellEnd"/>
      <w:r w:rsidRPr="00C1603D">
        <w:t xml:space="preserve"> H, </w:t>
      </w:r>
      <w:r w:rsidRPr="00C1603D">
        <w:rPr>
          <w:i/>
        </w:rPr>
        <w:t>et al</w:t>
      </w:r>
      <w:r w:rsidRPr="00C1603D">
        <w:t xml:space="preserve">. Celiac disease autoimmunity and hip fracture risk: findings from a prospective cohort study. </w:t>
      </w:r>
      <w:r w:rsidRPr="00C1603D">
        <w:rPr>
          <w:i/>
        </w:rPr>
        <w:t>J Bone Miner Res</w:t>
      </w:r>
      <w:r w:rsidRPr="00C1603D">
        <w:t xml:space="preserve"> 2015;</w:t>
      </w:r>
      <w:r w:rsidRPr="00C1603D">
        <w:rPr>
          <w:b/>
        </w:rPr>
        <w:t>30</w:t>
      </w:r>
      <w:r w:rsidRPr="00C1603D">
        <w:t>:</w:t>
      </w:r>
      <w:r w:rsidRPr="00C1603D">
        <w:rPr>
          <w:color w:val="auto"/>
        </w:rPr>
        <w:t>630</w:t>
      </w:r>
      <w:r w:rsidRPr="00C1603D">
        <w:rPr>
          <w:color w:val="00B0F0"/>
        </w:rPr>
        <w:t>–</w:t>
      </w:r>
      <w:r w:rsidRPr="00C1603D">
        <w:rPr>
          <w:color w:val="auto"/>
        </w:rPr>
        <w:t>6</w:t>
      </w:r>
      <w:r w:rsidRPr="00C1603D">
        <w:t>. https://doi.org/10.1002/jbmr.2380</w:t>
      </w:r>
    </w:p>
    <w:p w14:paraId="0B0624BA" w14:textId="77777777" w:rsidR="00EF77DB" w:rsidRPr="00C1603D" w:rsidRDefault="00EF77DB" w:rsidP="00EF77DB">
      <w:pPr>
        <w:pStyle w:val="65ReferencesTextstylesTextstyles"/>
      </w:pPr>
      <w:r w:rsidRPr="00C1603D">
        <w:t>334.</w:t>
      </w:r>
      <w:r w:rsidRPr="00C1603D">
        <w:tab/>
      </w:r>
      <w:proofErr w:type="spellStart"/>
      <w:r w:rsidRPr="00C1603D">
        <w:t>Gheita</w:t>
      </w:r>
      <w:proofErr w:type="spellEnd"/>
      <w:r w:rsidRPr="00C1603D">
        <w:t xml:space="preserve"> TA, </w:t>
      </w:r>
      <w:proofErr w:type="spellStart"/>
      <w:r w:rsidRPr="00C1603D">
        <w:t>Fawzy</w:t>
      </w:r>
      <w:proofErr w:type="spellEnd"/>
      <w:r w:rsidRPr="00C1603D">
        <w:t xml:space="preserve"> SM, Nour El-Din AM, Gomaa HE. Asymptomatic celiac sprue in juvenile rheumatic diseases children. </w:t>
      </w:r>
      <w:r w:rsidRPr="00C1603D">
        <w:rPr>
          <w:i/>
        </w:rPr>
        <w:t>Int J Rheum Dis</w:t>
      </w:r>
      <w:r w:rsidRPr="00C1603D">
        <w:t xml:space="preserve"> 2012;</w:t>
      </w:r>
      <w:r w:rsidRPr="00C1603D">
        <w:rPr>
          <w:b/>
        </w:rPr>
        <w:t>15</w:t>
      </w:r>
      <w:r w:rsidRPr="00C1603D">
        <w:t>:</w:t>
      </w:r>
      <w:r w:rsidRPr="00C1603D">
        <w:rPr>
          <w:color w:val="auto"/>
        </w:rPr>
        <w:t>220</w:t>
      </w:r>
      <w:r w:rsidRPr="00C1603D">
        <w:rPr>
          <w:color w:val="00B0F0"/>
        </w:rPr>
        <w:t>–</w:t>
      </w:r>
      <w:r w:rsidRPr="00C1603D">
        <w:rPr>
          <w:color w:val="auto"/>
        </w:rPr>
        <w:t>6</w:t>
      </w:r>
      <w:r w:rsidRPr="00C1603D">
        <w:t>. https://doi.org/10.1111/j.1756-185X.2011.01681.x</w:t>
      </w:r>
    </w:p>
    <w:p w14:paraId="05BBA819" w14:textId="45B0E231" w:rsidR="00EF77DB" w:rsidRPr="00C1603D" w:rsidRDefault="00EF77DB" w:rsidP="00EF77DB">
      <w:pPr>
        <w:pStyle w:val="65ReferencesTextstylesTextstyles"/>
      </w:pPr>
      <w:r w:rsidRPr="00C1603D">
        <w:t>335.</w:t>
      </w:r>
      <w:r w:rsidRPr="00C1603D">
        <w:tab/>
      </w:r>
      <w:proofErr w:type="spellStart"/>
      <w:r w:rsidRPr="00C1603D">
        <w:t>Sahin</w:t>
      </w:r>
      <w:proofErr w:type="spellEnd"/>
      <w:r w:rsidRPr="00C1603D">
        <w:t xml:space="preserve"> Y, </w:t>
      </w:r>
      <w:proofErr w:type="spellStart"/>
      <w:r w:rsidRPr="00C1603D">
        <w:t>Sahin</w:t>
      </w:r>
      <w:proofErr w:type="spellEnd"/>
      <w:r w:rsidRPr="00C1603D">
        <w:t xml:space="preserve"> S, Barut K, </w:t>
      </w:r>
      <w:proofErr w:type="spellStart"/>
      <w:r w:rsidRPr="00C1603D">
        <w:t>Cokugras</w:t>
      </w:r>
      <w:proofErr w:type="spellEnd"/>
      <w:r w:rsidRPr="00C1603D">
        <w:t xml:space="preserve"> FC, Erkan T, </w:t>
      </w:r>
      <w:proofErr w:type="spellStart"/>
      <w:r w:rsidRPr="00C1603D">
        <w:t>Adrovic</w:t>
      </w:r>
      <w:proofErr w:type="spellEnd"/>
      <w:r w:rsidRPr="00C1603D">
        <w:t xml:space="preserve"> A, </w:t>
      </w:r>
      <w:r w:rsidRPr="00C1603D">
        <w:rPr>
          <w:i/>
        </w:rPr>
        <w:t>et</w:t>
      </w:r>
      <w:r w:rsidRPr="00C1603D">
        <w:t xml:space="preserve"> </w:t>
      </w:r>
      <w:r w:rsidRPr="00C1603D">
        <w:rPr>
          <w:i/>
        </w:rPr>
        <w:t>al</w:t>
      </w:r>
      <w:r w:rsidRPr="00C1603D">
        <w:t xml:space="preserve">. The frequency of the celiac disease in patients with juvenile idiopathic arthritis. </w:t>
      </w:r>
      <w:r w:rsidR="008375AE" w:rsidRPr="00C1603D">
        <w:rPr>
          <w:i/>
        </w:rPr>
        <w:t>J</w:t>
      </w:r>
      <w:r w:rsidRPr="00C1603D">
        <w:t xml:space="preserve"> </w:t>
      </w:r>
      <w:proofErr w:type="spellStart"/>
      <w:r w:rsidRPr="00C1603D">
        <w:rPr>
          <w:i/>
        </w:rPr>
        <w:t>Pediatr</w:t>
      </w:r>
      <w:proofErr w:type="spellEnd"/>
      <w:r w:rsidRPr="00C1603D">
        <w:t xml:space="preserve"> </w:t>
      </w:r>
      <w:r w:rsidRPr="00C1603D">
        <w:rPr>
          <w:i/>
        </w:rPr>
        <w:t>Gastroenterol</w:t>
      </w:r>
      <w:r w:rsidR="008375AE" w:rsidRPr="00C1603D">
        <w:rPr>
          <w:i/>
        </w:rPr>
        <w:t xml:space="preserve"> </w:t>
      </w:r>
      <w:proofErr w:type="spellStart"/>
      <w:r w:rsidRPr="00C1603D">
        <w:rPr>
          <w:i/>
        </w:rPr>
        <w:t>Nutr</w:t>
      </w:r>
      <w:proofErr w:type="spellEnd"/>
      <w:r w:rsidR="008375AE" w:rsidRPr="00C1603D">
        <w:rPr>
          <w:i/>
        </w:rPr>
        <w:t xml:space="preserve"> </w:t>
      </w:r>
      <w:r w:rsidRPr="00C1603D">
        <w:t>2017;</w:t>
      </w:r>
      <w:r w:rsidRPr="00C1603D">
        <w:rPr>
          <w:b/>
        </w:rPr>
        <w:t>64</w:t>
      </w:r>
      <w:r w:rsidRPr="00C1603D">
        <w:t>:222</w:t>
      </w:r>
      <w:r w:rsidR="008375AE" w:rsidRPr="00C1603D">
        <w:t>–</w:t>
      </w:r>
      <w:r w:rsidRPr="00C1603D">
        <w:t>3.</w:t>
      </w:r>
    </w:p>
    <w:p w14:paraId="0B2C8739" w14:textId="77777777" w:rsidR="00EF77DB" w:rsidRPr="00C1603D" w:rsidRDefault="00EF77DB" w:rsidP="00EF77DB">
      <w:pPr>
        <w:pStyle w:val="65ReferencesTextstylesTextstyles"/>
      </w:pPr>
      <w:r w:rsidRPr="00C1603D">
        <w:t>336.</w:t>
      </w:r>
      <w:r w:rsidRPr="00C1603D">
        <w:tab/>
      </w:r>
      <w:proofErr w:type="spellStart"/>
      <w:r w:rsidRPr="00C1603D">
        <w:t>Skrabl</w:t>
      </w:r>
      <w:proofErr w:type="spellEnd"/>
      <w:r w:rsidRPr="00C1603D">
        <w:t xml:space="preserve">-Baumgartner A, Christine Hauer A, </w:t>
      </w:r>
      <w:proofErr w:type="spellStart"/>
      <w:r w:rsidRPr="00C1603D">
        <w:t>Erwa</w:t>
      </w:r>
      <w:proofErr w:type="spellEnd"/>
      <w:r w:rsidRPr="00C1603D">
        <w:t xml:space="preserve"> W, </w:t>
      </w:r>
      <w:proofErr w:type="spellStart"/>
      <w:r w:rsidRPr="00C1603D">
        <w:t>Jahnel</w:t>
      </w:r>
      <w:proofErr w:type="spellEnd"/>
      <w:r w:rsidRPr="00C1603D">
        <w:t xml:space="preserve"> J. HLA genotyping as first-line screening tool for coeliac disease in children with juvenile idiopathic arthritis. </w:t>
      </w:r>
      <w:r w:rsidRPr="00C1603D">
        <w:rPr>
          <w:i/>
        </w:rPr>
        <w:t>Arch Dis Child</w:t>
      </w:r>
      <w:r w:rsidRPr="00C1603D">
        <w:t xml:space="preserve"> 2017;</w:t>
      </w:r>
      <w:r w:rsidRPr="00C1603D">
        <w:rPr>
          <w:b/>
        </w:rPr>
        <w:t>102</w:t>
      </w:r>
      <w:r w:rsidRPr="00C1603D">
        <w:t>:</w:t>
      </w:r>
      <w:r w:rsidRPr="00C1603D">
        <w:rPr>
          <w:color w:val="auto"/>
        </w:rPr>
        <w:t>607</w:t>
      </w:r>
      <w:r w:rsidRPr="00C1603D">
        <w:rPr>
          <w:color w:val="00B0F0"/>
        </w:rPr>
        <w:t>–</w:t>
      </w:r>
      <w:r w:rsidRPr="00C1603D">
        <w:rPr>
          <w:color w:val="auto"/>
        </w:rPr>
        <w:t>11</w:t>
      </w:r>
      <w:r w:rsidRPr="00C1603D">
        <w:t>. https://doi.org/10.1136/archdischild-2016-311544</w:t>
      </w:r>
    </w:p>
    <w:p w14:paraId="464C5BC4" w14:textId="77777777" w:rsidR="00EF77DB" w:rsidRPr="00C1603D" w:rsidRDefault="00EF77DB" w:rsidP="00EF77DB">
      <w:pPr>
        <w:pStyle w:val="65ReferencesTextstylesTextstyles"/>
      </w:pPr>
      <w:r w:rsidRPr="00C1603D">
        <w:lastRenderedPageBreak/>
        <w:t>337.</w:t>
      </w:r>
      <w:r w:rsidRPr="00C1603D">
        <w:tab/>
      </w:r>
      <w:proofErr w:type="spellStart"/>
      <w:r w:rsidRPr="00C1603D">
        <w:t>Stagi</w:t>
      </w:r>
      <w:proofErr w:type="spellEnd"/>
      <w:r w:rsidRPr="00C1603D">
        <w:t xml:space="preserve"> S, </w:t>
      </w:r>
      <w:proofErr w:type="spellStart"/>
      <w:r w:rsidRPr="00C1603D">
        <w:t>Giani</w:t>
      </w:r>
      <w:proofErr w:type="spellEnd"/>
      <w:r w:rsidRPr="00C1603D">
        <w:t xml:space="preserve"> T, </w:t>
      </w:r>
      <w:proofErr w:type="spellStart"/>
      <w:r w:rsidRPr="00C1603D">
        <w:t>Simonini</w:t>
      </w:r>
      <w:proofErr w:type="spellEnd"/>
      <w:r w:rsidRPr="00C1603D">
        <w:t xml:space="preserve"> G, </w:t>
      </w:r>
      <w:proofErr w:type="spellStart"/>
      <w:r w:rsidRPr="00C1603D">
        <w:t>Falcini</w:t>
      </w:r>
      <w:proofErr w:type="spellEnd"/>
      <w:r w:rsidRPr="00C1603D">
        <w:t xml:space="preserve"> F. Thyroid function, autoimmune thyroiditis and coeliac disease in juvenile idiopathic arthritis. </w:t>
      </w:r>
      <w:r w:rsidRPr="00C1603D">
        <w:rPr>
          <w:i/>
        </w:rPr>
        <w:t>Rheumatology</w:t>
      </w:r>
      <w:r w:rsidRPr="00C1603D">
        <w:t xml:space="preserve"> 2005;</w:t>
      </w:r>
      <w:r w:rsidRPr="00C1603D">
        <w:rPr>
          <w:b/>
        </w:rPr>
        <w:t>44</w:t>
      </w:r>
      <w:r w:rsidRPr="00C1603D">
        <w:t>:</w:t>
      </w:r>
      <w:r w:rsidRPr="00C1603D">
        <w:rPr>
          <w:color w:val="auto"/>
        </w:rPr>
        <w:t>517</w:t>
      </w:r>
      <w:r w:rsidRPr="00C1603D">
        <w:rPr>
          <w:color w:val="00B0F0"/>
        </w:rPr>
        <w:t>–</w:t>
      </w:r>
      <w:r w:rsidRPr="00C1603D">
        <w:rPr>
          <w:color w:val="auto"/>
        </w:rPr>
        <w:t>20</w:t>
      </w:r>
      <w:r w:rsidRPr="00C1603D">
        <w:t>.</w:t>
      </w:r>
    </w:p>
    <w:p w14:paraId="7A6941AC" w14:textId="1FE00CD6" w:rsidR="00EF77DB" w:rsidRPr="00C1603D" w:rsidRDefault="00EF77DB" w:rsidP="00EF77DB">
      <w:pPr>
        <w:pStyle w:val="65ReferencesTextstylesTextstyles"/>
      </w:pPr>
      <w:r w:rsidRPr="00C1603D">
        <w:t>338.</w:t>
      </w:r>
      <w:r w:rsidRPr="00C1603D">
        <w:tab/>
      </w:r>
      <w:proofErr w:type="spellStart"/>
      <w:r w:rsidRPr="00C1603D">
        <w:t>Robazzi</w:t>
      </w:r>
      <w:proofErr w:type="spellEnd"/>
      <w:r w:rsidRPr="00C1603D">
        <w:t xml:space="preserve"> TC, Adan LF, Pimentel K, </w:t>
      </w:r>
      <w:proofErr w:type="spellStart"/>
      <w:r w:rsidRPr="00C1603D">
        <w:t>Guimarães</w:t>
      </w:r>
      <w:proofErr w:type="spellEnd"/>
      <w:r w:rsidRPr="00C1603D">
        <w:t xml:space="preserve"> I, </w:t>
      </w:r>
      <w:proofErr w:type="spellStart"/>
      <w:r w:rsidRPr="00C1603D">
        <w:t>Magalhães</w:t>
      </w:r>
      <w:proofErr w:type="spellEnd"/>
      <w:r w:rsidRPr="00C1603D">
        <w:t xml:space="preserve"> Filho J, </w:t>
      </w:r>
      <w:proofErr w:type="spellStart"/>
      <w:r w:rsidRPr="00C1603D">
        <w:t>Toralles</w:t>
      </w:r>
      <w:proofErr w:type="spellEnd"/>
      <w:r w:rsidRPr="00C1603D">
        <w:t xml:space="preserve"> MB, </w:t>
      </w:r>
      <w:proofErr w:type="spellStart"/>
      <w:r w:rsidRPr="00C1603D">
        <w:t>Rolim</w:t>
      </w:r>
      <w:proofErr w:type="spellEnd"/>
      <w:r w:rsidRPr="00C1603D">
        <w:t xml:space="preserve"> AM. Autoimmune endocrine disorders and coeliac disease in children and adolescents with juvenile idiopathic arthritis and rheumatic fever. </w:t>
      </w:r>
      <w:r w:rsidRPr="00C1603D">
        <w:rPr>
          <w:i/>
        </w:rPr>
        <w:t xml:space="preserve">Clin Exp </w:t>
      </w:r>
      <w:proofErr w:type="spellStart"/>
      <w:r w:rsidRPr="00C1603D">
        <w:rPr>
          <w:i/>
        </w:rPr>
        <w:t>Rheumatol</w:t>
      </w:r>
      <w:proofErr w:type="spellEnd"/>
      <w:r w:rsidRPr="00C1603D">
        <w:t xml:space="preserve"> 2013;</w:t>
      </w:r>
      <w:r w:rsidRPr="00C1603D">
        <w:rPr>
          <w:b/>
        </w:rPr>
        <w:t>31</w:t>
      </w:r>
      <w:r w:rsidRPr="00C1603D">
        <w:t>:</w:t>
      </w:r>
      <w:r w:rsidRPr="00C1603D">
        <w:rPr>
          <w:color w:val="auto"/>
        </w:rPr>
        <w:t>310</w:t>
      </w:r>
      <w:r w:rsidRPr="00C1603D">
        <w:rPr>
          <w:color w:val="00B0F0"/>
        </w:rPr>
        <w:t>–</w:t>
      </w:r>
      <w:r w:rsidRPr="00C1603D">
        <w:rPr>
          <w:color w:val="auto"/>
        </w:rPr>
        <w:t>17</w:t>
      </w:r>
      <w:r w:rsidRPr="00C1603D">
        <w:t>.</w:t>
      </w:r>
    </w:p>
    <w:p w14:paraId="33094AA9" w14:textId="2B2B46C5" w:rsidR="00EF77DB" w:rsidRPr="00C1603D" w:rsidRDefault="00EF77DB" w:rsidP="00EF77DB">
      <w:pPr>
        <w:pStyle w:val="65ReferencesTextstylesTextstyles"/>
      </w:pPr>
      <w:r w:rsidRPr="00C1603D">
        <w:t>339.</w:t>
      </w:r>
      <w:r w:rsidRPr="00C1603D">
        <w:tab/>
        <w:t xml:space="preserve">Taneja A, Prahalad S, Hersh AO, Ponder L, Chan LHK, </w:t>
      </w:r>
      <w:proofErr w:type="spellStart"/>
      <w:r w:rsidRPr="00C1603D">
        <w:t>Rouster</w:t>
      </w:r>
      <w:proofErr w:type="spellEnd"/>
      <w:r w:rsidRPr="00C1603D">
        <w:t xml:space="preserve">-Stevens KA, </w:t>
      </w:r>
      <w:r w:rsidRPr="00C1603D">
        <w:rPr>
          <w:i/>
        </w:rPr>
        <w:t>et</w:t>
      </w:r>
      <w:r w:rsidRPr="00C1603D">
        <w:t xml:space="preserve"> </w:t>
      </w:r>
      <w:r w:rsidRPr="00C1603D">
        <w:rPr>
          <w:i/>
        </w:rPr>
        <w:t>al</w:t>
      </w:r>
      <w:r w:rsidRPr="00C1603D">
        <w:t xml:space="preserve">. Prevalence of celiac antibodies and IgA deficiency in juvenile idiopathic arthritis. </w:t>
      </w:r>
      <w:r w:rsidRPr="00C1603D">
        <w:rPr>
          <w:i/>
        </w:rPr>
        <w:t>Arthr</w:t>
      </w:r>
      <w:r w:rsidR="00887986" w:rsidRPr="00C1603D">
        <w:rPr>
          <w:i/>
        </w:rPr>
        <w:t>itis</w:t>
      </w:r>
      <w:r w:rsidR="009C038A" w:rsidRPr="00C1603D">
        <w:rPr>
          <w:i/>
        </w:rPr>
        <w:t xml:space="preserve"> </w:t>
      </w:r>
      <w:proofErr w:type="spellStart"/>
      <w:r w:rsidRPr="00C1603D">
        <w:rPr>
          <w:i/>
        </w:rPr>
        <w:t>Rheumatol</w:t>
      </w:r>
      <w:proofErr w:type="spellEnd"/>
      <w:r w:rsidRPr="00C1603D">
        <w:t xml:space="preserve"> 2017;</w:t>
      </w:r>
      <w:r w:rsidRPr="00C1603D">
        <w:rPr>
          <w:b/>
        </w:rPr>
        <w:t>69</w:t>
      </w:r>
      <w:r w:rsidRPr="00C1603D">
        <w:t>:22</w:t>
      </w:r>
      <w:r w:rsidR="00887986" w:rsidRPr="00C1603D">
        <w:t>–</w:t>
      </w:r>
      <w:r w:rsidRPr="00C1603D">
        <w:t>3.</w:t>
      </w:r>
    </w:p>
    <w:p w14:paraId="068213E2" w14:textId="784888A6" w:rsidR="00EF77DB" w:rsidRPr="00C1603D" w:rsidRDefault="00EF77DB" w:rsidP="00EF77DB">
      <w:pPr>
        <w:pStyle w:val="65ReferencesTextstylesTextstyles"/>
      </w:pPr>
      <w:r w:rsidRPr="00C1603D">
        <w:t>340.</w:t>
      </w:r>
      <w:r w:rsidRPr="00C1603D">
        <w:tab/>
        <w:t xml:space="preserve">Toğrol RE, </w:t>
      </w:r>
      <w:proofErr w:type="spellStart"/>
      <w:r w:rsidRPr="00C1603D">
        <w:t>Nalbant</w:t>
      </w:r>
      <w:proofErr w:type="spellEnd"/>
      <w:r w:rsidRPr="00C1603D">
        <w:t xml:space="preserve"> S, </w:t>
      </w:r>
      <w:proofErr w:type="spellStart"/>
      <w:r w:rsidRPr="00C1603D">
        <w:t>Solmazgül</w:t>
      </w:r>
      <w:proofErr w:type="spellEnd"/>
      <w:r w:rsidRPr="00C1603D">
        <w:t xml:space="preserve"> E, Ozyurt M, Kaplan M, </w:t>
      </w:r>
      <w:proofErr w:type="spellStart"/>
      <w:r w:rsidRPr="00C1603D">
        <w:t>Kiralp</w:t>
      </w:r>
      <w:proofErr w:type="spellEnd"/>
      <w:r w:rsidRPr="00C1603D">
        <w:t xml:space="preserve"> MZ, </w:t>
      </w:r>
      <w:r w:rsidRPr="00C1603D">
        <w:rPr>
          <w:i/>
        </w:rPr>
        <w:t>et al</w:t>
      </w:r>
      <w:r w:rsidRPr="00C1603D">
        <w:t>. The significance of coeliac disease antibodies in patients with ankylosing spondylitis: a case</w:t>
      </w:r>
      <w:r w:rsidR="00887986" w:rsidRPr="00C1603D">
        <w:t>–</w:t>
      </w:r>
      <w:r w:rsidRPr="00C1603D">
        <w:t xml:space="preserve">controlled study. </w:t>
      </w:r>
      <w:r w:rsidRPr="00C1603D">
        <w:rPr>
          <w:i/>
        </w:rPr>
        <w:t>J Int Med Res</w:t>
      </w:r>
      <w:r w:rsidRPr="00C1603D">
        <w:t xml:space="preserve"> 2009;</w:t>
      </w:r>
      <w:r w:rsidRPr="00C1603D">
        <w:rPr>
          <w:b/>
        </w:rPr>
        <w:t>37</w:t>
      </w:r>
      <w:r w:rsidRPr="00C1603D">
        <w:t>:</w:t>
      </w:r>
      <w:r w:rsidRPr="00C1603D">
        <w:rPr>
          <w:color w:val="auto"/>
        </w:rPr>
        <w:t>220</w:t>
      </w:r>
      <w:r w:rsidRPr="00C1603D">
        <w:rPr>
          <w:color w:val="00B0F0"/>
        </w:rPr>
        <w:t>–</w:t>
      </w:r>
      <w:r w:rsidRPr="00C1603D">
        <w:rPr>
          <w:color w:val="auto"/>
        </w:rPr>
        <w:t>6</w:t>
      </w:r>
      <w:r w:rsidRPr="00C1603D">
        <w:t>. https://doi.org/10.1177/147323000903700127</w:t>
      </w:r>
    </w:p>
    <w:p w14:paraId="47417A73" w14:textId="77777777" w:rsidR="00EF77DB" w:rsidRPr="00C1603D" w:rsidRDefault="00EF77DB" w:rsidP="00EF77DB">
      <w:pPr>
        <w:pStyle w:val="65ReferencesTextstylesTextstyles"/>
      </w:pPr>
      <w:r w:rsidRPr="00C1603D">
        <w:t>341.</w:t>
      </w:r>
      <w:r w:rsidRPr="00C1603D">
        <w:tab/>
      </w:r>
      <w:proofErr w:type="spellStart"/>
      <w:r w:rsidRPr="00C1603D">
        <w:t>Nenna</w:t>
      </w:r>
      <w:proofErr w:type="spellEnd"/>
      <w:r w:rsidRPr="00C1603D">
        <w:t xml:space="preserve"> R, </w:t>
      </w:r>
      <w:proofErr w:type="spellStart"/>
      <w:r w:rsidRPr="00C1603D">
        <w:t>Tiberti</w:t>
      </w:r>
      <w:proofErr w:type="spellEnd"/>
      <w:r w:rsidRPr="00C1603D">
        <w:t xml:space="preserve"> C, </w:t>
      </w:r>
      <w:proofErr w:type="spellStart"/>
      <w:r w:rsidRPr="00C1603D">
        <w:t>Petrarca</w:t>
      </w:r>
      <w:proofErr w:type="spellEnd"/>
      <w:r w:rsidRPr="00C1603D">
        <w:t xml:space="preserve"> L, </w:t>
      </w:r>
      <w:proofErr w:type="spellStart"/>
      <w:r w:rsidRPr="00C1603D">
        <w:t>Lucantoni</w:t>
      </w:r>
      <w:proofErr w:type="spellEnd"/>
      <w:r w:rsidRPr="00C1603D">
        <w:t xml:space="preserve"> F, </w:t>
      </w:r>
      <w:proofErr w:type="spellStart"/>
      <w:r w:rsidRPr="00C1603D">
        <w:t>Mennini</w:t>
      </w:r>
      <w:proofErr w:type="spellEnd"/>
      <w:r w:rsidRPr="00C1603D">
        <w:t xml:space="preserve"> M, </w:t>
      </w:r>
      <w:proofErr w:type="spellStart"/>
      <w:r w:rsidRPr="00C1603D">
        <w:t>Luparia</w:t>
      </w:r>
      <w:proofErr w:type="spellEnd"/>
      <w:r w:rsidRPr="00C1603D">
        <w:t xml:space="preserve"> RP, </w:t>
      </w:r>
      <w:r w:rsidRPr="00C1603D">
        <w:rPr>
          <w:i/>
        </w:rPr>
        <w:t>et al</w:t>
      </w:r>
      <w:r w:rsidRPr="00C1603D">
        <w:t xml:space="preserve">. The celiac iceberg: characterization of the disease in primary schoolchildren.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2013;</w:t>
      </w:r>
      <w:r w:rsidRPr="00C1603D">
        <w:rPr>
          <w:b/>
        </w:rPr>
        <w:t>56</w:t>
      </w:r>
      <w:r w:rsidRPr="00C1603D">
        <w:t>:</w:t>
      </w:r>
      <w:r w:rsidRPr="00C1603D">
        <w:rPr>
          <w:color w:val="auto"/>
        </w:rPr>
        <w:t>416</w:t>
      </w:r>
      <w:r w:rsidRPr="00C1603D">
        <w:rPr>
          <w:color w:val="00B0F0"/>
        </w:rPr>
        <w:t>–</w:t>
      </w:r>
      <w:r w:rsidRPr="00C1603D">
        <w:rPr>
          <w:color w:val="auto"/>
        </w:rPr>
        <w:t>21</w:t>
      </w:r>
      <w:r w:rsidRPr="00C1603D">
        <w:t>. https://doi.org/10.1097/MPG.0b013e31827b7f64</w:t>
      </w:r>
    </w:p>
    <w:p w14:paraId="36037435" w14:textId="77777777" w:rsidR="00EF77DB" w:rsidRPr="00C1603D" w:rsidRDefault="00EF77DB" w:rsidP="00EF77DB">
      <w:pPr>
        <w:pStyle w:val="65ReferencesTextstylesTextstyles"/>
      </w:pPr>
      <w:r w:rsidRPr="00C1603D">
        <w:t>342.</w:t>
      </w:r>
      <w:r w:rsidRPr="00C1603D">
        <w:tab/>
        <w:t xml:space="preserve">Çakir M, </w:t>
      </w:r>
      <w:proofErr w:type="spellStart"/>
      <w:r w:rsidRPr="00C1603D">
        <w:t>Cezaroğlu</w:t>
      </w:r>
      <w:proofErr w:type="spellEnd"/>
      <w:r w:rsidRPr="00C1603D">
        <w:t xml:space="preserve"> S, </w:t>
      </w:r>
      <w:proofErr w:type="spellStart"/>
      <w:r w:rsidRPr="00C1603D">
        <w:t>Çobanoğlu</w:t>
      </w:r>
      <w:proofErr w:type="spellEnd"/>
      <w:r w:rsidRPr="00C1603D">
        <w:t xml:space="preserve"> Ü. Celiac disease in children with chronic constipation. </w:t>
      </w:r>
      <w:r w:rsidRPr="00C1603D">
        <w:rPr>
          <w:i/>
        </w:rPr>
        <w:t>Turk J Med Sci</w:t>
      </w:r>
      <w:r w:rsidRPr="00C1603D">
        <w:t xml:space="preserve"> 2016;</w:t>
      </w:r>
      <w:r w:rsidRPr="00C1603D">
        <w:rPr>
          <w:b/>
        </w:rPr>
        <w:t>46</w:t>
      </w:r>
      <w:r w:rsidRPr="00C1603D">
        <w:t>:</w:t>
      </w:r>
      <w:r w:rsidRPr="00C1603D">
        <w:rPr>
          <w:color w:val="auto"/>
        </w:rPr>
        <w:t>651</w:t>
      </w:r>
      <w:r w:rsidRPr="00C1603D">
        <w:rPr>
          <w:color w:val="00B0F0"/>
        </w:rPr>
        <w:t>–</w:t>
      </w:r>
      <w:r w:rsidRPr="00C1603D">
        <w:rPr>
          <w:color w:val="auto"/>
        </w:rPr>
        <w:t>6</w:t>
      </w:r>
      <w:r w:rsidRPr="00C1603D">
        <w:t>. https://doi.org/10.3906/sag-1502-130</w:t>
      </w:r>
    </w:p>
    <w:p w14:paraId="3D8DD458" w14:textId="67D29839" w:rsidR="00EF77DB" w:rsidRPr="00C1603D" w:rsidRDefault="3CDEEDA7" w:rsidP="00EF77DB">
      <w:pPr>
        <w:pStyle w:val="65ReferencesTextstylesTextstyles"/>
      </w:pPr>
      <w:commentRangeStart w:id="542"/>
      <w:commentRangeStart w:id="543"/>
      <w:r w:rsidRPr="00C1603D">
        <w:t>343.</w:t>
      </w:r>
      <w:r w:rsidR="00EF77DB" w:rsidRPr="00C1603D">
        <w:tab/>
      </w:r>
      <w:r w:rsidRPr="00C1603D">
        <w:t xml:space="preserve">Fifi AC, Velasco-Benitez C, Saps M. Celiac disease in children with functional constipation: a school-based multicity study. </w:t>
      </w:r>
      <w:r w:rsidRPr="00C1603D">
        <w:rPr>
          <w:i/>
          <w:iCs/>
        </w:rPr>
        <w:t xml:space="preserve">J </w:t>
      </w:r>
      <w:proofErr w:type="spellStart"/>
      <w:r w:rsidRPr="00C1603D">
        <w:rPr>
          <w:i/>
          <w:iCs/>
        </w:rPr>
        <w:t>Pediatr</w:t>
      </w:r>
      <w:proofErr w:type="spellEnd"/>
      <w:r w:rsidRPr="00C1603D">
        <w:t xml:space="preserve"> 2020;</w:t>
      </w:r>
      <w:r w:rsidRPr="00C1603D">
        <w:rPr>
          <w:b/>
          <w:bCs/>
        </w:rPr>
        <w:t>227</w:t>
      </w:r>
      <w:r w:rsidRPr="00C1603D">
        <w:t>:</w:t>
      </w:r>
      <w:r w:rsidRPr="00C1603D">
        <w:rPr>
          <w:color w:val="auto"/>
        </w:rPr>
        <w:t>77</w:t>
      </w:r>
      <w:r w:rsidRPr="00C1603D">
        <w:rPr>
          <w:color w:val="00B0F0"/>
        </w:rPr>
        <w:t>–</w:t>
      </w:r>
      <w:r w:rsidRPr="00C1603D">
        <w:rPr>
          <w:color w:val="auto"/>
        </w:rPr>
        <w:t>80</w:t>
      </w:r>
      <w:r w:rsidRPr="00C1603D">
        <w:t>.</w:t>
      </w:r>
      <w:commentRangeEnd w:id="542"/>
      <w:r w:rsidR="00EF77DB" w:rsidRPr="00C1603D">
        <w:commentReference w:id="542"/>
      </w:r>
      <w:commentRangeEnd w:id="543"/>
      <w:r w:rsidR="00EF77DB" w:rsidRPr="00C1603D">
        <w:commentReference w:id="543"/>
      </w:r>
    </w:p>
    <w:p w14:paraId="05180B90" w14:textId="77777777" w:rsidR="00EF77DB" w:rsidRPr="00C1603D" w:rsidRDefault="00EF77DB" w:rsidP="00EF77DB">
      <w:pPr>
        <w:pStyle w:val="65ReferencesTextstylesTextstyles"/>
      </w:pPr>
      <w:r w:rsidRPr="00C1603D">
        <w:t>344.</w:t>
      </w:r>
      <w:r w:rsidRPr="00C1603D">
        <w:tab/>
        <w:t xml:space="preserve">Kumar V, </w:t>
      </w:r>
      <w:proofErr w:type="spellStart"/>
      <w:r w:rsidRPr="00C1603D">
        <w:t>Jarzabek-Chorzelska</w:t>
      </w:r>
      <w:proofErr w:type="spellEnd"/>
      <w:r w:rsidRPr="00C1603D">
        <w:t xml:space="preserve"> M, </w:t>
      </w:r>
      <w:proofErr w:type="spellStart"/>
      <w:r w:rsidRPr="00C1603D">
        <w:t>Sulej</w:t>
      </w:r>
      <w:proofErr w:type="spellEnd"/>
      <w:r w:rsidRPr="00C1603D">
        <w:t xml:space="preserve"> J, </w:t>
      </w:r>
      <w:proofErr w:type="spellStart"/>
      <w:r w:rsidRPr="00C1603D">
        <w:t>Rajadhyaksha</w:t>
      </w:r>
      <w:proofErr w:type="spellEnd"/>
      <w:r w:rsidRPr="00C1603D">
        <w:t xml:space="preserve"> M, </w:t>
      </w:r>
      <w:proofErr w:type="spellStart"/>
      <w:r w:rsidRPr="00C1603D">
        <w:t>Jablonska</w:t>
      </w:r>
      <w:proofErr w:type="spellEnd"/>
      <w:r w:rsidRPr="00C1603D">
        <w:t xml:space="preserve"> S. Tissue transglutaminase and endomysial antibodies-diagnostic markers of gluten-sensitive enteropathy in dermatitis herpetiformis. </w:t>
      </w:r>
      <w:r w:rsidRPr="00C1603D">
        <w:rPr>
          <w:i/>
        </w:rPr>
        <w:t>Clin Immunol</w:t>
      </w:r>
      <w:r w:rsidRPr="00C1603D">
        <w:t xml:space="preserve"> 2001;</w:t>
      </w:r>
      <w:r w:rsidRPr="00C1603D">
        <w:rPr>
          <w:b/>
        </w:rPr>
        <w:t>98</w:t>
      </w:r>
      <w:r w:rsidRPr="00C1603D">
        <w:t>:</w:t>
      </w:r>
      <w:r w:rsidRPr="00C1603D">
        <w:rPr>
          <w:color w:val="auto"/>
        </w:rPr>
        <w:t>378</w:t>
      </w:r>
      <w:r w:rsidRPr="00C1603D">
        <w:rPr>
          <w:color w:val="00B0F0"/>
        </w:rPr>
        <w:t>–</w:t>
      </w:r>
      <w:r w:rsidRPr="00C1603D">
        <w:rPr>
          <w:color w:val="auto"/>
        </w:rPr>
        <w:t>82</w:t>
      </w:r>
      <w:r w:rsidRPr="00C1603D">
        <w:t>. https://doi.org/10.1006/clim.2000.4983</w:t>
      </w:r>
    </w:p>
    <w:p w14:paraId="068053C1" w14:textId="30DBFDEE" w:rsidR="00EF77DB" w:rsidRPr="00C1603D" w:rsidRDefault="3CDEEDA7" w:rsidP="00EF77DB">
      <w:pPr>
        <w:pStyle w:val="65ReferencesTextstylesTextstyles"/>
      </w:pPr>
      <w:commentRangeStart w:id="544"/>
      <w:commentRangeStart w:id="545"/>
      <w:r w:rsidRPr="00C1603D">
        <w:t>345.</w:t>
      </w:r>
      <w:r w:rsidR="00EF77DB" w:rsidRPr="00C1603D">
        <w:tab/>
      </w:r>
      <w:proofErr w:type="spellStart"/>
      <w:r w:rsidRPr="00C1603D">
        <w:t>Velikova</w:t>
      </w:r>
      <w:proofErr w:type="spellEnd"/>
      <w:r w:rsidRPr="00C1603D">
        <w:t xml:space="preserve"> T, Shahid M, Ivanova-Todorova E, </w:t>
      </w:r>
      <w:proofErr w:type="spellStart"/>
      <w:r w:rsidRPr="00C1603D">
        <w:t>Drenovska</w:t>
      </w:r>
      <w:proofErr w:type="spellEnd"/>
      <w:r w:rsidRPr="00C1603D">
        <w:t xml:space="preserve"> K, </w:t>
      </w:r>
      <w:proofErr w:type="spellStart"/>
      <w:r w:rsidRPr="00C1603D">
        <w:t>Tumangelova-Yuzeir</w:t>
      </w:r>
      <w:proofErr w:type="spellEnd"/>
      <w:r w:rsidRPr="00C1603D">
        <w:t xml:space="preserve"> K, </w:t>
      </w:r>
      <w:proofErr w:type="spellStart"/>
      <w:r w:rsidRPr="00C1603D">
        <w:t>Altankova</w:t>
      </w:r>
      <w:proofErr w:type="spellEnd"/>
      <w:r w:rsidRPr="00C1603D">
        <w:t xml:space="preserve"> I, </w:t>
      </w:r>
      <w:proofErr w:type="spellStart"/>
      <w:r w:rsidRPr="00C1603D">
        <w:t>Vassileva</w:t>
      </w:r>
      <w:proofErr w:type="spellEnd"/>
      <w:r w:rsidRPr="00C1603D">
        <w:t xml:space="preserve"> S. Celiac-related autoantibodies and IL-17A in Bulgarian patients with dermatitis herpetiformis: a cross-sectional study. </w:t>
      </w:r>
      <w:proofErr w:type="spellStart"/>
      <w:r w:rsidRPr="00C1603D">
        <w:rPr>
          <w:i/>
          <w:iCs/>
        </w:rPr>
        <w:t>Medicina</w:t>
      </w:r>
      <w:proofErr w:type="spellEnd"/>
      <w:r w:rsidRPr="00C1603D">
        <w:t xml:space="preserve"> 2019;</w:t>
      </w:r>
      <w:r w:rsidRPr="00C1603D">
        <w:rPr>
          <w:b/>
          <w:bCs/>
        </w:rPr>
        <w:t>55</w:t>
      </w:r>
      <w:r w:rsidRPr="00C1603D">
        <w:t>:</w:t>
      </w:r>
      <w:r w:rsidRPr="00C1603D">
        <w:rPr>
          <w:color w:val="auto"/>
        </w:rPr>
        <w:t>E136</w:t>
      </w:r>
      <w:r w:rsidRPr="00C1603D">
        <w:t>.</w:t>
      </w:r>
      <w:commentRangeEnd w:id="544"/>
      <w:r w:rsidR="00EF77DB" w:rsidRPr="00C1603D">
        <w:commentReference w:id="544"/>
      </w:r>
      <w:commentRangeEnd w:id="545"/>
      <w:r w:rsidR="00EF77DB" w:rsidRPr="00C1603D">
        <w:commentReference w:id="545"/>
      </w:r>
    </w:p>
    <w:p w14:paraId="0419CEAF" w14:textId="77777777" w:rsidR="00EF77DB" w:rsidRPr="00C1603D" w:rsidRDefault="00EF77DB" w:rsidP="00EF77DB">
      <w:pPr>
        <w:pStyle w:val="65ReferencesTextstylesTextstyles"/>
      </w:pPr>
      <w:r w:rsidRPr="00C1603D">
        <w:t>346.</w:t>
      </w:r>
      <w:r w:rsidRPr="00C1603D">
        <w:tab/>
      </w:r>
      <w:proofErr w:type="spellStart"/>
      <w:r w:rsidRPr="00C1603D">
        <w:t>Smecuol</w:t>
      </w:r>
      <w:proofErr w:type="spellEnd"/>
      <w:r w:rsidRPr="00C1603D">
        <w:t xml:space="preserve"> E, </w:t>
      </w:r>
      <w:proofErr w:type="spellStart"/>
      <w:r w:rsidRPr="00C1603D">
        <w:t>Sugai</w:t>
      </w:r>
      <w:proofErr w:type="spellEnd"/>
      <w:r w:rsidRPr="00C1603D">
        <w:t xml:space="preserve"> E, </w:t>
      </w:r>
      <w:proofErr w:type="spellStart"/>
      <w:r w:rsidRPr="00C1603D">
        <w:t>Niveloni</w:t>
      </w:r>
      <w:proofErr w:type="spellEnd"/>
      <w:r w:rsidRPr="00C1603D">
        <w:t xml:space="preserve"> S, Vázquez H, </w:t>
      </w:r>
      <w:proofErr w:type="spellStart"/>
      <w:r w:rsidRPr="00C1603D">
        <w:t>Pedreira</w:t>
      </w:r>
      <w:proofErr w:type="spellEnd"/>
      <w:r w:rsidRPr="00C1603D">
        <w:t xml:space="preserve"> S, </w:t>
      </w:r>
      <w:proofErr w:type="spellStart"/>
      <w:r w:rsidRPr="00C1603D">
        <w:t>Mazure</w:t>
      </w:r>
      <w:proofErr w:type="spellEnd"/>
      <w:r w:rsidRPr="00C1603D">
        <w:t xml:space="preserve"> R, </w:t>
      </w:r>
      <w:r w:rsidRPr="00C1603D">
        <w:rPr>
          <w:i/>
        </w:rPr>
        <w:t>et al</w:t>
      </w:r>
      <w:r w:rsidRPr="00C1603D">
        <w:t xml:space="preserve">. Permeability, </w:t>
      </w:r>
      <w:proofErr w:type="spellStart"/>
      <w:r w:rsidRPr="00C1603D">
        <w:t>zonulin</w:t>
      </w:r>
      <w:proofErr w:type="spellEnd"/>
      <w:r w:rsidRPr="00C1603D">
        <w:t xml:space="preserve"> production, and enteropathy in dermatitis herpetiformis. </w:t>
      </w:r>
      <w:r w:rsidRPr="00C1603D">
        <w:rPr>
          <w:i/>
        </w:rPr>
        <w:t>Clin Gastroenterol Hepatol</w:t>
      </w:r>
      <w:r w:rsidRPr="00C1603D">
        <w:t xml:space="preserve"> 2005;</w:t>
      </w:r>
      <w:r w:rsidRPr="00C1603D">
        <w:rPr>
          <w:b/>
        </w:rPr>
        <w:t>3</w:t>
      </w:r>
      <w:r w:rsidRPr="00C1603D">
        <w:t>:</w:t>
      </w:r>
      <w:r w:rsidRPr="00C1603D">
        <w:rPr>
          <w:color w:val="auto"/>
        </w:rPr>
        <w:t>335</w:t>
      </w:r>
      <w:r w:rsidRPr="00C1603D">
        <w:rPr>
          <w:color w:val="00B0F0"/>
        </w:rPr>
        <w:t>–</w:t>
      </w:r>
      <w:r w:rsidRPr="00C1603D">
        <w:rPr>
          <w:color w:val="auto"/>
        </w:rPr>
        <w:t>41</w:t>
      </w:r>
      <w:r w:rsidRPr="00C1603D">
        <w:t>.</w:t>
      </w:r>
    </w:p>
    <w:p w14:paraId="6D1AD28F" w14:textId="77777777" w:rsidR="00EF77DB" w:rsidRPr="00C1603D" w:rsidRDefault="00EF77DB" w:rsidP="00EF77DB">
      <w:pPr>
        <w:pStyle w:val="65ReferencesTextstylesTextstyles"/>
      </w:pPr>
      <w:r w:rsidRPr="00C1603D">
        <w:t>347.</w:t>
      </w:r>
      <w:r w:rsidRPr="00C1603D">
        <w:tab/>
      </w:r>
      <w:proofErr w:type="spellStart"/>
      <w:r w:rsidRPr="00C1603D">
        <w:t>Imanzadeh</w:t>
      </w:r>
      <w:proofErr w:type="spellEnd"/>
      <w:r w:rsidRPr="00C1603D">
        <w:t xml:space="preserve"> F, Sayyari AA, Yaghoobi M, Akbari MR, </w:t>
      </w:r>
      <w:proofErr w:type="spellStart"/>
      <w:r w:rsidRPr="00C1603D">
        <w:t>Shafagh</w:t>
      </w:r>
      <w:proofErr w:type="spellEnd"/>
      <w:r w:rsidRPr="00C1603D">
        <w:t xml:space="preserve"> H, </w:t>
      </w:r>
      <w:proofErr w:type="spellStart"/>
      <w:r w:rsidRPr="00C1603D">
        <w:t>Farsar</w:t>
      </w:r>
      <w:proofErr w:type="spellEnd"/>
      <w:r w:rsidRPr="00C1603D">
        <w:t xml:space="preserve"> AR. Celiac disease in children with </w:t>
      </w:r>
      <w:proofErr w:type="spellStart"/>
      <w:r w:rsidRPr="00C1603D">
        <w:t>diarrhea</w:t>
      </w:r>
      <w:proofErr w:type="spellEnd"/>
      <w:r w:rsidRPr="00C1603D">
        <w:t xml:space="preserve"> is more frequent than previously suspected.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2005;</w:t>
      </w:r>
      <w:r w:rsidRPr="00C1603D">
        <w:rPr>
          <w:b/>
        </w:rPr>
        <w:t>40</w:t>
      </w:r>
      <w:r w:rsidRPr="00C1603D">
        <w:t>:</w:t>
      </w:r>
      <w:r w:rsidRPr="00C1603D">
        <w:rPr>
          <w:color w:val="auto"/>
        </w:rPr>
        <w:t>309</w:t>
      </w:r>
      <w:r w:rsidRPr="00C1603D">
        <w:rPr>
          <w:color w:val="00B0F0"/>
        </w:rPr>
        <w:t>–</w:t>
      </w:r>
      <w:r w:rsidRPr="00C1603D">
        <w:rPr>
          <w:color w:val="auto"/>
        </w:rPr>
        <w:t>11</w:t>
      </w:r>
      <w:r w:rsidRPr="00C1603D">
        <w:t>.</w:t>
      </w:r>
    </w:p>
    <w:p w14:paraId="390CA0A0" w14:textId="77777777" w:rsidR="00EF77DB" w:rsidRPr="00C1603D" w:rsidRDefault="00EF77DB" w:rsidP="00EF77DB">
      <w:pPr>
        <w:pStyle w:val="65ReferencesTextstylesTextstyles"/>
      </w:pPr>
      <w:r w:rsidRPr="00C1603D">
        <w:t>348.</w:t>
      </w:r>
      <w:r w:rsidRPr="00C1603D">
        <w:tab/>
      </w:r>
      <w:proofErr w:type="spellStart"/>
      <w:r w:rsidRPr="00C1603D">
        <w:t>Ranua</w:t>
      </w:r>
      <w:proofErr w:type="spellEnd"/>
      <w:r w:rsidRPr="00C1603D">
        <w:t xml:space="preserve"> J, </w:t>
      </w:r>
      <w:proofErr w:type="spellStart"/>
      <w:r w:rsidRPr="00C1603D">
        <w:t>Luoma</w:t>
      </w:r>
      <w:proofErr w:type="spellEnd"/>
      <w:r w:rsidRPr="00C1603D">
        <w:t xml:space="preserve"> K, </w:t>
      </w:r>
      <w:proofErr w:type="spellStart"/>
      <w:r w:rsidRPr="00C1603D">
        <w:t>Auvinen</w:t>
      </w:r>
      <w:proofErr w:type="spellEnd"/>
      <w:r w:rsidRPr="00C1603D">
        <w:t xml:space="preserve"> A, Mäki M, </w:t>
      </w:r>
      <w:proofErr w:type="spellStart"/>
      <w:r w:rsidRPr="00C1603D">
        <w:t>Haapala</w:t>
      </w:r>
      <w:proofErr w:type="spellEnd"/>
      <w:r w:rsidRPr="00C1603D">
        <w:t xml:space="preserve"> AM, </w:t>
      </w:r>
      <w:proofErr w:type="spellStart"/>
      <w:r w:rsidRPr="00C1603D">
        <w:t>Peltola</w:t>
      </w:r>
      <w:proofErr w:type="spellEnd"/>
      <w:r w:rsidRPr="00C1603D">
        <w:t xml:space="preserve"> J, </w:t>
      </w:r>
      <w:r w:rsidRPr="00C1603D">
        <w:rPr>
          <w:i/>
        </w:rPr>
        <w:t>et al</w:t>
      </w:r>
      <w:r w:rsidRPr="00C1603D">
        <w:t xml:space="preserve">. Celiac disease-related antibodies in an epilepsy cohort and matched reference population. </w:t>
      </w:r>
      <w:r w:rsidRPr="00C1603D">
        <w:rPr>
          <w:i/>
        </w:rPr>
        <w:t xml:space="preserve">Epilepsy </w:t>
      </w:r>
      <w:proofErr w:type="spellStart"/>
      <w:r w:rsidRPr="00C1603D">
        <w:rPr>
          <w:i/>
        </w:rPr>
        <w:t>Behav</w:t>
      </w:r>
      <w:proofErr w:type="spellEnd"/>
      <w:r w:rsidRPr="00C1603D">
        <w:t xml:space="preserve"> 2005;</w:t>
      </w:r>
      <w:r w:rsidRPr="00C1603D">
        <w:rPr>
          <w:b/>
        </w:rPr>
        <w:t>6</w:t>
      </w:r>
      <w:r w:rsidRPr="00C1603D">
        <w:t>:</w:t>
      </w:r>
      <w:r w:rsidRPr="00C1603D">
        <w:rPr>
          <w:color w:val="auto"/>
        </w:rPr>
        <w:t>388</w:t>
      </w:r>
      <w:r w:rsidRPr="00C1603D">
        <w:rPr>
          <w:color w:val="00B0F0"/>
        </w:rPr>
        <w:t>–</w:t>
      </w:r>
      <w:r w:rsidRPr="00C1603D">
        <w:rPr>
          <w:color w:val="auto"/>
        </w:rPr>
        <w:t>92</w:t>
      </w:r>
      <w:r w:rsidRPr="00C1603D">
        <w:t>.</w:t>
      </w:r>
    </w:p>
    <w:p w14:paraId="347AEA86" w14:textId="77777777" w:rsidR="00EF77DB" w:rsidRPr="00C1603D" w:rsidRDefault="00EF77DB" w:rsidP="00EF77DB">
      <w:pPr>
        <w:pStyle w:val="65ReferencesTextstylesTextstyles"/>
      </w:pPr>
      <w:r w:rsidRPr="00C1603D">
        <w:t>349.</w:t>
      </w:r>
      <w:r w:rsidRPr="00C1603D">
        <w:tab/>
      </w:r>
      <w:proofErr w:type="spellStart"/>
      <w:r w:rsidRPr="00C1603D">
        <w:t>Mavroudi</w:t>
      </w:r>
      <w:proofErr w:type="spellEnd"/>
      <w:r w:rsidRPr="00C1603D">
        <w:t xml:space="preserve"> A, </w:t>
      </w:r>
      <w:proofErr w:type="spellStart"/>
      <w:r w:rsidRPr="00C1603D">
        <w:t>Antigoni</w:t>
      </w:r>
      <w:proofErr w:type="spellEnd"/>
      <w:r w:rsidRPr="00C1603D">
        <w:t xml:space="preserve"> M, </w:t>
      </w:r>
      <w:proofErr w:type="spellStart"/>
      <w:r w:rsidRPr="00C1603D">
        <w:t>Xinias</w:t>
      </w:r>
      <w:proofErr w:type="spellEnd"/>
      <w:r w:rsidRPr="00C1603D">
        <w:t xml:space="preserve"> I, Papastavrou T, </w:t>
      </w:r>
      <w:proofErr w:type="spellStart"/>
      <w:r w:rsidRPr="00C1603D">
        <w:t>Theodouli</w:t>
      </w:r>
      <w:proofErr w:type="spellEnd"/>
      <w:r w:rsidRPr="00C1603D">
        <w:t xml:space="preserve"> P, </w:t>
      </w:r>
      <w:proofErr w:type="spellStart"/>
      <w:r w:rsidRPr="00C1603D">
        <w:t>Karatza</w:t>
      </w:r>
      <w:proofErr w:type="spellEnd"/>
      <w:r w:rsidRPr="00C1603D">
        <w:t xml:space="preserve"> E, </w:t>
      </w:r>
      <w:r w:rsidRPr="00C1603D">
        <w:rPr>
          <w:i/>
        </w:rPr>
        <w:t>et al</w:t>
      </w:r>
      <w:r w:rsidRPr="00C1603D">
        <w:t xml:space="preserve">. Increased prevalence of silent celiac disease among Greek epileptic children. </w:t>
      </w:r>
      <w:proofErr w:type="spellStart"/>
      <w:r w:rsidRPr="00C1603D">
        <w:rPr>
          <w:i/>
        </w:rPr>
        <w:t>Pediatr</w:t>
      </w:r>
      <w:proofErr w:type="spellEnd"/>
      <w:r w:rsidRPr="00C1603D">
        <w:rPr>
          <w:i/>
        </w:rPr>
        <w:t xml:space="preserve"> </w:t>
      </w:r>
      <w:proofErr w:type="spellStart"/>
      <w:r w:rsidRPr="00C1603D">
        <w:rPr>
          <w:i/>
        </w:rPr>
        <w:t>Neurol</w:t>
      </w:r>
      <w:proofErr w:type="spellEnd"/>
      <w:r w:rsidRPr="00C1603D">
        <w:t xml:space="preserve"> 2007;</w:t>
      </w:r>
      <w:r w:rsidRPr="00C1603D">
        <w:rPr>
          <w:b/>
        </w:rPr>
        <w:t>36</w:t>
      </w:r>
      <w:r w:rsidRPr="00C1603D">
        <w:t>:</w:t>
      </w:r>
      <w:r w:rsidRPr="00C1603D">
        <w:rPr>
          <w:color w:val="auto"/>
        </w:rPr>
        <w:t>165</w:t>
      </w:r>
      <w:r w:rsidRPr="00C1603D">
        <w:rPr>
          <w:color w:val="00B0F0"/>
        </w:rPr>
        <w:t>–</w:t>
      </w:r>
      <w:r w:rsidRPr="00C1603D">
        <w:rPr>
          <w:color w:val="auto"/>
        </w:rPr>
        <w:t>9</w:t>
      </w:r>
      <w:r w:rsidRPr="00C1603D">
        <w:t>.</w:t>
      </w:r>
    </w:p>
    <w:p w14:paraId="6A83ECB2" w14:textId="77777777" w:rsidR="00EF77DB" w:rsidRPr="00C1603D" w:rsidRDefault="00EF77DB" w:rsidP="00EF77DB">
      <w:pPr>
        <w:pStyle w:val="65ReferencesTextstylesTextstyles"/>
      </w:pPr>
      <w:r w:rsidRPr="00C1603D">
        <w:t>350.</w:t>
      </w:r>
      <w:r w:rsidRPr="00C1603D">
        <w:tab/>
      </w:r>
      <w:proofErr w:type="spellStart"/>
      <w:r w:rsidRPr="00C1603D">
        <w:t>Mavroudi</w:t>
      </w:r>
      <w:proofErr w:type="spellEnd"/>
      <w:r w:rsidRPr="00C1603D">
        <w:t xml:space="preserve"> A, </w:t>
      </w:r>
      <w:proofErr w:type="spellStart"/>
      <w:r w:rsidRPr="00C1603D">
        <w:t>Antigoni</w:t>
      </w:r>
      <w:proofErr w:type="spellEnd"/>
      <w:r w:rsidRPr="00C1603D">
        <w:t xml:space="preserve"> M, </w:t>
      </w:r>
      <w:proofErr w:type="spellStart"/>
      <w:r w:rsidRPr="00C1603D">
        <w:t>Xinias</w:t>
      </w:r>
      <w:proofErr w:type="spellEnd"/>
      <w:r w:rsidRPr="00C1603D">
        <w:t xml:space="preserve"> I, Papastavrou T, </w:t>
      </w:r>
      <w:proofErr w:type="spellStart"/>
      <w:r w:rsidRPr="00C1603D">
        <w:t>Theodouli</w:t>
      </w:r>
      <w:proofErr w:type="spellEnd"/>
      <w:r w:rsidRPr="00C1603D">
        <w:t xml:space="preserve"> P, </w:t>
      </w:r>
      <w:proofErr w:type="spellStart"/>
      <w:r w:rsidRPr="00C1603D">
        <w:t>Karatza</w:t>
      </w:r>
      <w:proofErr w:type="spellEnd"/>
      <w:r w:rsidRPr="00C1603D">
        <w:t xml:space="preserve"> E, </w:t>
      </w:r>
      <w:r w:rsidRPr="00C1603D">
        <w:rPr>
          <w:i/>
        </w:rPr>
        <w:t>et al</w:t>
      </w:r>
      <w:r w:rsidRPr="00C1603D">
        <w:t xml:space="preserve">. Increased prevalence of silent celiac disease among Greek epileptic children. </w:t>
      </w:r>
      <w:proofErr w:type="spellStart"/>
      <w:r w:rsidRPr="00C1603D">
        <w:rPr>
          <w:i/>
        </w:rPr>
        <w:t>Pediatr</w:t>
      </w:r>
      <w:proofErr w:type="spellEnd"/>
      <w:r w:rsidRPr="00C1603D">
        <w:rPr>
          <w:i/>
        </w:rPr>
        <w:t xml:space="preserve"> </w:t>
      </w:r>
      <w:proofErr w:type="spellStart"/>
      <w:r w:rsidRPr="00C1603D">
        <w:rPr>
          <w:i/>
        </w:rPr>
        <w:t>Neurol</w:t>
      </w:r>
      <w:proofErr w:type="spellEnd"/>
      <w:r w:rsidRPr="00C1603D">
        <w:t xml:space="preserve"> 2007;</w:t>
      </w:r>
      <w:r w:rsidRPr="00C1603D">
        <w:rPr>
          <w:b/>
        </w:rPr>
        <w:t>36</w:t>
      </w:r>
      <w:r w:rsidRPr="00C1603D">
        <w:t>:</w:t>
      </w:r>
      <w:r w:rsidRPr="00C1603D">
        <w:rPr>
          <w:color w:val="auto"/>
        </w:rPr>
        <w:t>165</w:t>
      </w:r>
      <w:r w:rsidRPr="00C1603D">
        <w:rPr>
          <w:color w:val="00B0F0"/>
        </w:rPr>
        <w:t>–</w:t>
      </w:r>
      <w:r w:rsidRPr="00C1603D">
        <w:rPr>
          <w:color w:val="auto"/>
        </w:rPr>
        <w:t>9</w:t>
      </w:r>
      <w:r w:rsidRPr="00C1603D">
        <w:t>.</w:t>
      </w:r>
    </w:p>
    <w:p w14:paraId="621C5695" w14:textId="77777777" w:rsidR="00EF77DB" w:rsidRPr="00C1603D" w:rsidRDefault="00EF77DB" w:rsidP="00EF77DB">
      <w:pPr>
        <w:pStyle w:val="65ReferencesTextstylesTextstyles"/>
      </w:pPr>
      <w:r w:rsidRPr="00C1603D">
        <w:t>351.</w:t>
      </w:r>
      <w:r w:rsidRPr="00C1603D">
        <w:tab/>
        <w:t xml:space="preserve">Dalgiç B, </w:t>
      </w:r>
      <w:proofErr w:type="spellStart"/>
      <w:r w:rsidRPr="00C1603D">
        <w:t>Dursun</w:t>
      </w:r>
      <w:proofErr w:type="spellEnd"/>
      <w:r w:rsidRPr="00C1603D">
        <w:t xml:space="preserve"> I, </w:t>
      </w:r>
      <w:proofErr w:type="spellStart"/>
      <w:r w:rsidRPr="00C1603D">
        <w:t>Serdaroğlu</w:t>
      </w:r>
      <w:proofErr w:type="spellEnd"/>
      <w:r w:rsidRPr="00C1603D">
        <w:t xml:space="preserve"> A, </w:t>
      </w:r>
      <w:proofErr w:type="spellStart"/>
      <w:r w:rsidRPr="00C1603D">
        <w:t>Dursun</w:t>
      </w:r>
      <w:proofErr w:type="spellEnd"/>
      <w:r w:rsidRPr="00C1603D">
        <w:t xml:space="preserve"> A. Latent and potential celiac disease in epileptic Turkish children. </w:t>
      </w:r>
      <w:r w:rsidRPr="00C1603D">
        <w:rPr>
          <w:i/>
        </w:rPr>
        <w:t xml:space="preserve">J Child </w:t>
      </w:r>
      <w:proofErr w:type="spellStart"/>
      <w:r w:rsidRPr="00C1603D">
        <w:rPr>
          <w:i/>
        </w:rPr>
        <w:t>Neurol</w:t>
      </w:r>
      <w:proofErr w:type="spellEnd"/>
      <w:r w:rsidRPr="00C1603D">
        <w:t xml:space="preserve"> 2006;</w:t>
      </w:r>
      <w:r w:rsidRPr="00C1603D">
        <w:rPr>
          <w:b/>
        </w:rPr>
        <w:t>21</w:t>
      </w:r>
      <w:r w:rsidRPr="00C1603D">
        <w:t>:</w:t>
      </w:r>
      <w:r w:rsidRPr="00C1603D">
        <w:rPr>
          <w:color w:val="auto"/>
        </w:rPr>
        <w:t>6</w:t>
      </w:r>
      <w:r w:rsidRPr="00C1603D">
        <w:rPr>
          <w:color w:val="00B0F0"/>
        </w:rPr>
        <w:t>–</w:t>
      </w:r>
      <w:r w:rsidRPr="00C1603D">
        <w:rPr>
          <w:color w:val="auto"/>
        </w:rPr>
        <w:t>7</w:t>
      </w:r>
      <w:r w:rsidRPr="00C1603D">
        <w:t>. https://doi.org/10.1177/08830738060210010301</w:t>
      </w:r>
    </w:p>
    <w:p w14:paraId="74327DDF" w14:textId="77777777" w:rsidR="00EF77DB" w:rsidRPr="00C1603D" w:rsidRDefault="00EF77DB" w:rsidP="00EF77DB">
      <w:pPr>
        <w:pStyle w:val="65ReferencesTextstylesTextstyles"/>
      </w:pPr>
      <w:r w:rsidRPr="00C1603D">
        <w:t>352.</w:t>
      </w:r>
      <w:r w:rsidRPr="00C1603D">
        <w:tab/>
        <w:t xml:space="preserve">Dai AI, </w:t>
      </w:r>
      <w:proofErr w:type="spellStart"/>
      <w:r w:rsidRPr="00C1603D">
        <w:t>Akcali</w:t>
      </w:r>
      <w:proofErr w:type="spellEnd"/>
      <w:r w:rsidRPr="00C1603D">
        <w:t xml:space="preserve"> A, Varan C, </w:t>
      </w:r>
      <w:proofErr w:type="spellStart"/>
      <w:r w:rsidRPr="00C1603D">
        <w:t>Demiryürek</w:t>
      </w:r>
      <w:proofErr w:type="spellEnd"/>
      <w:r w:rsidRPr="00C1603D">
        <w:t xml:space="preserve"> AT. Prevalence of resistant occipital lobe epilepsy associated with celiac disease in children. </w:t>
      </w:r>
      <w:r w:rsidRPr="00C1603D">
        <w:rPr>
          <w:i/>
        </w:rPr>
        <w:t xml:space="preserve">Childs </w:t>
      </w:r>
      <w:proofErr w:type="spellStart"/>
      <w:r w:rsidRPr="00C1603D">
        <w:rPr>
          <w:i/>
        </w:rPr>
        <w:t>Nerv</w:t>
      </w:r>
      <w:proofErr w:type="spellEnd"/>
      <w:r w:rsidRPr="00C1603D">
        <w:rPr>
          <w:i/>
        </w:rPr>
        <w:t xml:space="preserve"> </w:t>
      </w:r>
      <w:proofErr w:type="spellStart"/>
      <w:r w:rsidRPr="00C1603D">
        <w:rPr>
          <w:i/>
        </w:rPr>
        <w:t>Syst</w:t>
      </w:r>
      <w:proofErr w:type="spellEnd"/>
      <w:r w:rsidRPr="00C1603D">
        <w:t xml:space="preserve"> 2014;</w:t>
      </w:r>
      <w:r w:rsidRPr="00C1603D">
        <w:rPr>
          <w:b/>
        </w:rPr>
        <w:t>30</w:t>
      </w:r>
      <w:r w:rsidRPr="00C1603D">
        <w:t>:</w:t>
      </w:r>
      <w:r w:rsidRPr="00C1603D">
        <w:rPr>
          <w:color w:val="auto"/>
        </w:rPr>
        <w:t>1091</w:t>
      </w:r>
      <w:r w:rsidRPr="00C1603D">
        <w:rPr>
          <w:color w:val="00B0F0"/>
        </w:rPr>
        <w:t>–</w:t>
      </w:r>
      <w:r w:rsidRPr="00C1603D">
        <w:rPr>
          <w:color w:val="auto"/>
        </w:rPr>
        <w:t>8</w:t>
      </w:r>
      <w:r w:rsidRPr="00C1603D">
        <w:t xml:space="preserve">. </w:t>
      </w:r>
      <w:r w:rsidRPr="00C1603D">
        <w:lastRenderedPageBreak/>
        <w:t>https://doi.org/10.1007/s00381-014-2387-6</w:t>
      </w:r>
    </w:p>
    <w:p w14:paraId="5013DBDB" w14:textId="77777777" w:rsidR="00EF77DB" w:rsidRPr="00C1603D" w:rsidRDefault="00EF77DB" w:rsidP="00EF77DB">
      <w:pPr>
        <w:pStyle w:val="65ReferencesTextstylesTextstyles"/>
      </w:pPr>
      <w:r w:rsidRPr="00C1603D">
        <w:t>353.</w:t>
      </w:r>
      <w:r w:rsidRPr="00C1603D">
        <w:tab/>
        <w:t xml:space="preserve">Djurić Z, </w:t>
      </w:r>
      <w:proofErr w:type="spellStart"/>
      <w:r w:rsidRPr="00C1603D">
        <w:t>Nagorni</w:t>
      </w:r>
      <w:proofErr w:type="spellEnd"/>
      <w:r w:rsidRPr="00C1603D">
        <w:t xml:space="preserve"> A, </w:t>
      </w:r>
      <w:proofErr w:type="spellStart"/>
      <w:r w:rsidRPr="00C1603D">
        <w:t>Jocić-Jakubi</w:t>
      </w:r>
      <w:proofErr w:type="spellEnd"/>
      <w:r w:rsidRPr="00C1603D">
        <w:t xml:space="preserve"> B, </w:t>
      </w:r>
      <w:proofErr w:type="spellStart"/>
      <w:r w:rsidRPr="00C1603D">
        <w:t>Dimić</w:t>
      </w:r>
      <w:proofErr w:type="spellEnd"/>
      <w:r w:rsidRPr="00C1603D">
        <w:t xml:space="preserve"> M, Novak M, </w:t>
      </w:r>
      <w:proofErr w:type="spellStart"/>
      <w:r w:rsidRPr="00C1603D">
        <w:t>Milićević</w:t>
      </w:r>
      <w:proofErr w:type="spellEnd"/>
      <w:r w:rsidRPr="00C1603D">
        <w:t xml:space="preserve"> R, </w:t>
      </w:r>
      <w:proofErr w:type="spellStart"/>
      <w:r w:rsidRPr="00C1603D">
        <w:t>Radenković</w:t>
      </w:r>
      <w:proofErr w:type="spellEnd"/>
      <w:r w:rsidRPr="00C1603D">
        <w:t xml:space="preserve"> G. Celiac disease prevalence in epileptic children from Serbia. </w:t>
      </w:r>
      <w:r w:rsidRPr="00C1603D">
        <w:rPr>
          <w:i/>
        </w:rPr>
        <w:t xml:space="preserve">Turk J </w:t>
      </w:r>
      <w:proofErr w:type="spellStart"/>
      <w:r w:rsidRPr="00C1603D">
        <w:rPr>
          <w:i/>
        </w:rPr>
        <w:t>Pediatr</w:t>
      </w:r>
      <w:proofErr w:type="spellEnd"/>
      <w:r w:rsidRPr="00C1603D">
        <w:t xml:space="preserve"> 2012;</w:t>
      </w:r>
      <w:r w:rsidRPr="00C1603D">
        <w:rPr>
          <w:b/>
        </w:rPr>
        <w:t>54</w:t>
      </w:r>
      <w:r w:rsidRPr="00C1603D">
        <w:t>:</w:t>
      </w:r>
      <w:r w:rsidRPr="00C1603D">
        <w:rPr>
          <w:color w:val="auto"/>
        </w:rPr>
        <w:t>247</w:t>
      </w:r>
      <w:r w:rsidRPr="00C1603D">
        <w:rPr>
          <w:color w:val="00B0F0"/>
        </w:rPr>
        <w:t>–</w:t>
      </w:r>
      <w:r w:rsidRPr="00C1603D">
        <w:rPr>
          <w:color w:val="auto"/>
        </w:rPr>
        <w:t>50</w:t>
      </w:r>
      <w:r w:rsidRPr="00C1603D">
        <w:t>.</w:t>
      </w:r>
    </w:p>
    <w:p w14:paraId="24E6468A" w14:textId="77777777" w:rsidR="00EF77DB" w:rsidRPr="00C1603D" w:rsidRDefault="00EF77DB" w:rsidP="00EF77DB">
      <w:pPr>
        <w:pStyle w:val="65ReferencesTextstylesTextstyles"/>
      </w:pPr>
      <w:r w:rsidRPr="00C1603D">
        <w:t>354.</w:t>
      </w:r>
      <w:r w:rsidRPr="00C1603D">
        <w:tab/>
        <w:t xml:space="preserve">Giordano L, </w:t>
      </w:r>
      <w:proofErr w:type="spellStart"/>
      <w:r w:rsidRPr="00C1603D">
        <w:t>Valotti</w:t>
      </w:r>
      <w:proofErr w:type="spellEnd"/>
      <w:r w:rsidRPr="00C1603D">
        <w:t xml:space="preserve"> M, </w:t>
      </w:r>
      <w:proofErr w:type="spellStart"/>
      <w:r w:rsidRPr="00C1603D">
        <w:t>Bosetti</w:t>
      </w:r>
      <w:proofErr w:type="spellEnd"/>
      <w:r w:rsidRPr="00C1603D">
        <w:t xml:space="preserve"> A, Accorsi P, </w:t>
      </w:r>
      <w:proofErr w:type="spellStart"/>
      <w:r w:rsidRPr="00C1603D">
        <w:t>Caimi</w:t>
      </w:r>
      <w:proofErr w:type="spellEnd"/>
      <w:r w:rsidRPr="00C1603D">
        <w:t xml:space="preserve"> L, </w:t>
      </w:r>
      <w:proofErr w:type="spellStart"/>
      <w:r w:rsidRPr="00C1603D">
        <w:t>Imberti</w:t>
      </w:r>
      <w:proofErr w:type="spellEnd"/>
      <w:r w:rsidRPr="00C1603D">
        <w:t xml:space="preserve"> L. Celiac disease-related antibodies in Italian children with epilepsy. </w:t>
      </w:r>
      <w:proofErr w:type="spellStart"/>
      <w:r w:rsidRPr="00C1603D">
        <w:rPr>
          <w:i/>
        </w:rPr>
        <w:t>Pediatr</w:t>
      </w:r>
      <w:proofErr w:type="spellEnd"/>
      <w:r w:rsidRPr="00C1603D">
        <w:rPr>
          <w:i/>
        </w:rPr>
        <w:t xml:space="preserve"> </w:t>
      </w:r>
      <w:proofErr w:type="spellStart"/>
      <w:r w:rsidRPr="00C1603D">
        <w:rPr>
          <w:i/>
        </w:rPr>
        <w:t>Neurol</w:t>
      </w:r>
      <w:proofErr w:type="spellEnd"/>
      <w:r w:rsidRPr="00C1603D">
        <w:t xml:space="preserve"> 2009;</w:t>
      </w:r>
      <w:r w:rsidRPr="00C1603D">
        <w:rPr>
          <w:b/>
        </w:rPr>
        <w:t>41</w:t>
      </w:r>
      <w:r w:rsidRPr="00C1603D">
        <w:t>:</w:t>
      </w:r>
      <w:r w:rsidRPr="00C1603D">
        <w:rPr>
          <w:color w:val="auto"/>
        </w:rPr>
        <w:t>34</w:t>
      </w:r>
      <w:r w:rsidRPr="00C1603D">
        <w:rPr>
          <w:color w:val="00B0F0"/>
        </w:rPr>
        <w:t>–</w:t>
      </w:r>
      <w:r w:rsidRPr="00C1603D">
        <w:rPr>
          <w:color w:val="auto"/>
        </w:rPr>
        <w:t>6</w:t>
      </w:r>
      <w:r w:rsidRPr="00C1603D">
        <w:t>. https://doi.org/10.1016/j.pediatrneurol.2009.02.009</w:t>
      </w:r>
    </w:p>
    <w:p w14:paraId="312CD7C7" w14:textId="1081FCBD" w:rsidR="00EF77DB" w:rsidRPr="00C1603D" w:rsidRDefault="00EF77DB" w:rsidP="00EF77DB">
      <w:pPr>
        <w:pStyle w:val="65ReferencesTextstylesTextstyles"/>
      </w:pPr>
      <w:r w:rsidRPr="00C1603D">
        <w:t>355.</w:t>
      </w:r>
      <w:r w:rsidRPr="00C1603D">
        <w:tab/>
        <w:t xml:space="preserve">Işikay S, </w:t>
      </w:r>
      <w:proofErr w:type="spellStart"/>
      <w:r w:rsidRPr="00C1603D">
        <w:t>Hizli</w:t>
      </w:r>
      <w:proofErr w:type="spellEnd"/>
      <w:r w:rsidRPr="00C1603D">
        <w:t xml:space="preserve"> Ş, Yilmaz K. Prevalence of celiac disease in Turkish children with idiopathic epilepsy. </w:t>
      </w:r>
      <w:r w:rsidRPr="00C1603D">
        <w:rPr>
          <w:i/>
        </w:rPr>
        <w:t xml:space="preserve">Iran J </w:t>
      </w:r>
      <w:proofErr w:type="spellStart"/>
      <w:r w:rsidRPr="00C1603D">
        <w:rPr>
          <w:i/>
        </w:rPr>
        <w:t>Pediatr</w:t>
      </w:r>
      <w:proofErr w:type="spellEnd"/>
      <w:r w:rsidRPr="00C1603D">
        <w:t xml:space="preserve"> 2014;</w:t>
      </w:r>
      <w:r w:rsidRPr="00C1603D">
        <w:rPr>
          <w:b/>
        </w:rPr>
        <w:t>24</w:t>
      </w:r>
      <w:r w:rsidRPr="00C1603D">
        <w:t>:</w:t>
      </w:r>
      <w:r w:rsidRPr="00C1603D">
        <w:rPr>
          <w:color w:val="auto"/>
        </w:rPr>
        <w:t>280</w:t>
      </w:r>
      <w:r w:rsidRPr="00C1603D">
        <w:rPr>
          <w:color w:val="00B0F0"/>
        </w:rPr>
        <w:t>–</w:t>
      </w:r>
      <w:r w:rsidRPr="00C1603D">
        <w:rPr>
          <w:color w:val="auto"/>
        </w:rPr>
        <w:t>4</w:t>
      </w:r>
      <w:r w:rsidRPr="00C1603D">
        <w:t>.</w:t>
      </w:r>
    </w:p>
    <w:p w14:paraId="205EB740" w14:textId="77777777" w:rsidR="00EF77DB" w:rsidRPr="00C1603D" w:rsidRDefault="00EF77DB" w:rsidP="00EF77DB">
      <w:pPr>
        <w:pStyle w:val="65ReferencesTextstylesTextstyles"/>
      </w:pPr>
      <w:r w:rsidRPr="00C1603D">
        <w:t>356.</w:t>
      </w:r>
      <w:r w:rsidRPr="00C1603D">
        <w:tab/>
        <w:t xml:space="preserve">Işıkay S, </w:t>
      </w:r>
      <w:proofErr w:type="spellStart"/>
      <w:r w:rsidRPr="00C1603D">
        <w:t>Kocamaz</w:t>
      </w:r>
      <w:proofErr w:type="spellEnd"/>
      <w:r w:rsidRPr="00C1603D">
        <w:t xml:space="preserve"> H. Prevalence of celiac disease in children with idiopathic epilepsy in southeast Turkey. </w:t>
      </w:r>
      <w:proofErr w:type="spellStart"/>
      <w:r w:rsidRPr="00C1603D">
        <w:rPr>
          <w:i/>
        </w:rPr>
        <w:t>Pediatr</w:t>
      </w:r>
      <w:proofErr w:type="spellEnd"/>
      <w:r w:rsidRPr="00C1603D">
        <w:rPr>
          <w:i/>
        </w:rPr>
        <w:t xml:space="preserve"> </w:t>
      </w:r>
      <w:proofErr w:type="spellStart"/>
      <w:r w:rsidRPr="00C1603D">
        <w:rPr>
          <w:i/>
        </w:rPr>
        <w:t>Neurol</w:t>
      </w:r>
      <w:proofErr w:type="spellEnd"/>
      <w:r w:rsidRPr="00C1603D">
        <w:t xml:space="preserve"> 2014;</w:t>
      </w:r>
      <w:r w:rsidRPr="00C1603D">
        <w:rPr>
          <w:b/>
        </w:rPr>
        <w:t>50</w:t>
      </w:r>
      <w:r w:rsidRPr="00C1603D">
        <w:t>:</w:t>
      </w:r>
      <w:r w:rsidRPr="00C1603D">
        <w:rPr>
          <w:color w:val="auto"/>
        </w:rPr>
        <w:t>479</w:t>
      </w:r>
      <w:r w:rsidRPr="00C1603D">
        <w:rPr>
          <w:color w:val="00B0F0"/>
        </w:rPr>
        <w:t>–</w:t>
      </w:r>
      <w:r w:rsidRPr="00C1603D">
        <w:rPr>
          <w:color w:val="auto"/>
        </w:rPr>
        <w:t>81</w:t>
      </w:r>
      <w:r w:rsidRPr="00C1603D">
        <w:t>. https://doi.org/10.1016/j.pediatrneurol.2014.01.021</w:t>
      </w:r>
    </w:p>
    <w:p w14:paraId="6CA8D070" w14:textId="77777777" w:rsidR="00EF77DB" w:rsidRPr="00C1603D" w:rsidRDefault="00EF77DB" w:rsidP="00EF77DB">
      <w:pPr>
        <w:pStyle w:val="65ReferencesTextstylesTextstyles"/>
      </w:pPr>
      <w:r w:rsidRPr="00C1603D">
        <w:t>357.</w:t>
      </w:r>
      <w:r w:rsidRPr="00C1603D">
        <w:tab/>
        <w:t xml:space="preserve">Lahat E, Broide E, </w:t>
      </w:r>
      <w:proofErr w:type="spellStart"/>
      <w:r w:rsidRPr="00C1603D">
        <w:t>Leshem</w:t>
      </w:r>
      <w:proofErr w:type="spellEnd"/>
      <w:r w:rsidRPr="00C1603D">
        <w:t xml:space="preserve"> M, Evans S, Scapa E. Prevalence of celiac antibodies in children with neurologic disorders. </w:t>
      </w:r>
      <w:proofErr w:type="spellStart"/>
      <w:r w:rsidRPr="00C1603D">
        <w:rPr>
          <w:i/>
        </w:rPr>
        <w:t>Pediatr</w:t>
      </w:r>
      <w:proofErr w:type="spellEnd"/>
      <w:r w:rsidRPr="00C1603D">
        <w:rPr>
          <w:i/>
        </w:rPr>
        <w:t xml:space="preserve"> </w:t>
      </w:r>
      <w:proofErr w:type="spellStart"/>
      <w:r w:rsidRPr="00C1603D">
        <w:rPr>
          <w:i/>
        </w:rPr>
        <w:t>Neurol</w:t>
      </w:r>
      <w:proofErr w:type="spellEnd"/>
      <w:r w:rsidRPr="00C1603D">
        <w:t xml:space="preserve"> 2000;</w:t>
      </w:r>
      <w:r w:rsidRPr="00C1603D">
        <w:rPr>
          <w:b/>
        </w:rPr>
        <w:t>22</w:t>
      </w:r>
      <w:r w:rsidRPr="00C1603D">
        <w:t>:</w:t>
      </w:r>
      <w:r w:rsidRPr="00C1603D">
        <w:rPr>
          <w:color w:val="auto"/>
        </w:rPr>
        <w:t>393</w:t>
      </w:r>
      <w:r w:rsidRPr="00C1603D">
        <w:rPr>
          <w:color w:val="00B0F0"/>
        </w:rPr>
        <w:t>–</w:t>
      </w:r>
      <w:r w:rsidRPr="00C1603D">
        <w:rPr>
          <w:color w:val="auto"/>
        </w:rPr>
        <w:t>6</w:t>
      </w:r>
      <w:r w:rsidRPr="00C1603D">
        <w:t>.</w:t>
      </w:r>
    </w:p>
    <w:p w14:paraId="23514FC0" w14:textId="3B484A63" w:rsidR="00EF77DB" w:rsidRPr="00C1603D" w:rsidRDefault="00EF77DB" w:rsidP="00EF77DB">
      <w:pPr>
        <w:pStyle w:val="65ReferencesTextstylesTextstyles"/>
      </w:pPr>
      <w:r w:rsidRPr="00C1603D">
        <w:t>358.</w:t>
      </w:r>
      <w:r w:rsidRPr="00C1603D">
        <w:tab/>
      </w:r>
      <w:proofErr w:type="spellStart"/>
      <w:r w:rsidRPr="00C1603D">
        <w:t>Pratesi</w:t>
      </w:r>
      <w:proofErr w:type="spellEnd"/>
      <w:r w:rsidRPr="00C1603D">
        <w:t xml:space="preserve"> R, Gandolfi L, Martins RC, </w:t>
      </w:r>
      <w:proofErr w:type="spellStart"/>
      <w:r w:rsidRPr="00C1603D">
        <w:t>Tauil</w:t>
      </w:r>
      <w:proofErr w:type="spellEnd"/>
      <w:r w:rsidRPr="00C1603D">
        <w:t xml:space="preserve"> PL, </w:t>
      </w:r>
      <w:proofErr w:type="spellStart"/>
      <w:r w:rsidRPr="00C1603D">
        <w:t>Nobrega</w:t>
      </w:r>
      <w:proofErr w:type="spellEnd"/>
      <w:r w:rsidRPr="00C1603D">
        <w:t xml:space="preserve"> YK, Teixeira WA. Is the prevalence of celiac disease increased among epileptic patients? </w:t>
      </w:r>
      <w:proofErr w:type="spellStart"/>
      <w:r w:rsidR="00E86044" w:rsidRPr="00C1603D">
        <w:rPr>
          <w:i/>
        </w:rPr>
        <w:t>Arq</w:t>
      </w:r>
      <w:proofErr w:type="spellEnd"/>
      <w:r w:rsidR="00E86044" w:rsidRPr="00C1603D">
        <w:rPr>
          <w:i/>
        </w:rPr>
        <w:t xml:space="preserve"> </w:t>
      </w:r>
      <w:proofErr w:type="spellStart"/>
      <w:r w:rsidR="00E86044" w:rsidRPr="00C1603D">
        <w:rPr>
          <w:i/>
        </w:rPr>
        <w:t>Neuropsiquiatr</w:t>
      </w:r>
      <w:proofErr w:type="spellEnd"/>
      <w:r w:rsidR="00E86044" w:rsidRPr="00C1603D">
        <w:rPr>
          <w:i/>
        </w:rPr>
        <w:t xml:space="preserve"> </w:t>
      </w:r>
      <w:r w:rsidRPr="00C1603D">
        <w:t>2003;</w:t>
      </w:r>
      <w:r w:rsidRPr="00C1603D">
        <w:rPr>
          <w:b/>
        </w:rPr>
        <w:t>61</w:t>
      </w:r>
      <w:r w:rsidRPr="00C1603D">
        <w:t>:330</w:t>
      </w:r>
      <w:r w:rsidR="007A43B2" w:rsidRPr="00C1603D">
        <w:t>–</w:t>
      </w:r>
      <w:r w:rsidRPr="00C1603D">
        <w:t>4.</w:t>
      </w:r>
    </w:p>
    <w:p w14:paraId="016D445B" w14:textId="77777777" w:rsidR="00EF77DB" w:rsidRPr="00C1603D" w:rsidRDefault="00EF77DB" w:rsidP="00EF77DB">
      <w:pPr>
        <w:pStyle w:val="65ReferencesTextstylesTextstyles"/>
      </w:pPr>
      <w:r w:rsidRPr="00C1603D">
        <w:t>359.</w:t>
      </w:r>
      <w:r w:rsidRPr="00C1603D">
        <w:tab/>
      </w:r>
      <w:proofErr w:type="spellStart"/>
      <w:r w:rsidRPr="00C1603D">
        <w:t>Soni</w:t>
      </w:r>
      <w:proofErr w:type="spellEnd"/>
      <w:r w:rsidRPr="00C1603D">
        <w:t xml:space="preserve"> S, Agarwal A, Singh A, Gupta V, </w:t>
      </w:r>
      <w:proofErr w:type="spellStart"/>
      <w:r w:rsidRPr="00C1603D">
        <w:t>Khadgawat</w:t>
      </w:r>
      <w:proofErr w:type="spellEnd"/>
      <w:r w:rsidRPr="00C1603D">
        <w:t xml:space="preserve"> R, Chaturvedi PK, </w:t>
      </w:r>
      <w:r w:rsidRPr="00C1603D">
        <w:rPr>
          <w:i/>
        </w:rPr>
        <w:t>et al</w:t>
      </w:r>
      <w:r w:rsidRPr="00C1603D">
        <w:t xml:space="preserve">. Prevalence of thyroid autoimmunity in first-degree relatives of patients with celiac disease. </w:t>
      </w:r>
      <w:r w:rsidRPr="00C1603D">
        <w:rPr>
          <w:i/>
        </w:rPr>
        <w:t>Indian J Gastroenterol</w:t>
      </w:r>
      <w:r w:rsidRPr="00C1603D">
        <w:t xml:space="preserve"> 2019;</w:t>
      </w:r>
      <w:r w:rsidRPr="00C1603D">
        <w:rPr>
          <w:b/>
        </w:rPr>
        <w:t>38</w:t>
      </w:r>
      <w:r w:rsidRPr="00C1603D">
        <w:t>:</w:t>
      </w:r>
      <w:r w:rsidRPr="00C1603D">
        <w:rPr>
          <w:color w:val="auto"/>
        </w:rPr>
        <w:t>450</w:t>
      </w:r>
      <w:r w:rsidRPr="00C1603D">
        <w:rPr>
          <w:color w:val="00B0F0"/>
        </w:rPr>
        <w:t>–</w:t>
      </w:r>
      <w:r w:rsidRPr="00C1603D">
        <w:rPr>
          <w:color w:val="auto"/>
        </w:rPr>
        <w:t>5</w:t>
      </w:r>
      <w:r w:rsidRPr="00C1603D">
        <w:t>. https://doi.org/10.1007/s12664-019-00990-3</w:t>
      </w:r>
    </w:p>
    <w:p w14:paraId="57E41519" w14:textId="297A22D7" w:rsidR="00EF77DB" w:rsidRPr="00C1603D" w:rsidRDefault="00EF77DB" w:rsidP="00EF77DB">
      <w:pPr>
        <w:pStyle w:val="65ReferencesTextstylesTextstyles"/>
      </w:pPr>
      <w:r w:rsidRPr="00C1603D">
        <w:t>360.</w:t>
      </w:r>
      <w:r w:rsidRPr="00C1603D">
        <w:tab/>
        <w:t xml:space="preserve">Choung RS, Horwath IE, Marietta E, </w:t>
      </w:r>
      <w:proofErr w:type="spellStart"/>
      <w:r w:rsidRPr="00C1603D">
        <w:t>Bublitz</w:t>
      </w:r>
      <w:proofErr w:type="spellEnd"/>
      <w:r w:rsidRPr="00C1603D">
        <w:t xml:space="preserve"> JT, Olson JE, Murray JA. </w:t>
      </w:r>
      <w:r w:rsidR="00E86044" w:rsidRPr="00C1603D">
        <w:t>Prevalence of celiac disease autoimmunity and associated morbid conditions in first-degree relatives of patients with celiac disease</w:t>
      </w:r>
      <w:r w:rsidRPr="00C1603D">
        <w:t xml:space="preserve">. </w:t>
      </w:r>
      <w:r w:rsidRPr="00C1603D">
        <w:rPr>
          <w:i/>
        </w:rPr>
        <w:t>Gastroenterology</w:t>
      </w:r>
      <w:r w:rsidRPr="00C1603D">
        <w:t xml:space="preserve"> 2019;</w:t>
      </w:r>
      <w:r w:rsidRPr="00C1603D">
        <w:rPr>
          <w:b/>
        </w:rPr>
        <w:t>156</w:t>
      </w:r>
      <w:r w:rsidRPr="00C1603D">
        <w:t>:S</w:t>
      </w:r>
      <w:r w:rsidR="00E86044" w:rsidRPr="00C1603D">
        <w:t>–</w:t>
      </w:r>
      <w:r w:rsidRPr="00C1603D">
        <w:t>136.</w:t>
      </w:r>
    </w:p>
    <w:p w14:paraId="640A4935" w14:textId="77777777" w:rsidR="00EF77DB" w:rsidRPr="00C1603D" w:rsidRDefault="00EF77DB" w:rsidP="00EF77DB">
      <w:pPr>
        <w:pStyle w:val="65ReferencesTextstylesTextstyles"/>
      </w:pPr>
      <w:r w:rsidRPr="00C1603D">
        <w:t>361.</w:t>
      </w:r>
      <w:r w:rsidRPr="00C1603D">
        <w:tab/>
        <w:t xml:space="preserve">Fasano A, </w:t>
      </w:r>
      <w:proofErr w:type="spellStart"/>
      <w:r w:rsidRPr="00C1603D">
        <w:t>Berti</w:t>
      </w:r>
      <w:proofErr w:type="spellEnd"/>
      <w:r w:rsidRPr="00C1603D">
        <w:t xml:space="preserve"> I, </w:t>
      </w:r>
      <w:proofErr w:type="spellStart"/>
      <w:r w:rsidRPr="00C1603D">
        <w:t>Gerarduzzi</w:t>
      </w:r>
      <w:proofErr w:type="spellEnd"/>
      <w:r w:rsidRPr="00C1603D">
        <w:t xml:space="preserve"> T, Not T, </w:t>
      </w:r>
      <w:proofErr w:type="spellStart"/>
      <w:r w:rsidRPr="00C1603D">
        <w:t>Colletti</w:t>
      </w:r>
      <w:proofErr w:type="spellEnd"/>
      <w:r w:rsidRPr="00C1603D">
        <w:t xml:space="preserve"> RB, Drago S, </w:t>
      </w:r>
      <w:r w:rsidRPr="00C1603D">
        <w:rPr>
          <w:i/>
        </w:rPr>
        <w:t>et al</w:t>
      </w:r>
      <w:r w:rsidRPr="00C1603D">
        <w:t xml:space="preserve">. Prevalence of celiac disease in at-risk and not-at-risk groups in the United States: a large </w:t>
      </w:r>
      <w:proofErr w:type="spellStart"/>
      <w:r w:rsidRPr="00C1603D">
        <w:t>multicenter</w:t>
      </w:r>
      <w:proofErr w:type="spellEnd"/>
      <w:r w:rsidRPr="00C1603D">
        <w:t xml:space="preserve"> study. </w:t>
      </w:r>
      <w:r w:rsidRPr="00C1603D">
        <w:rPr>
          <w:i/>
        </w:rPr>
        <w:t>Arch Intern Med</w:t>
      </w:r>
      <w:r w:rsidRPr="00C1603D">
        <w:t xml:space="preserve"> 2003;</w:t>
      </w:r>
      <w:r w:rsidRPr="00C1603D">
        <w:rPr>
          <w:b/>
        </w:rPr>
        <w:t>163</w:t>
      </w:r>
      <w:r w:rsidRPr="00C1603D">
        <w:t>:</w:t>
      </w:r>
      <w:r w:rsidRPr="00C1603D">
        <w:rPr>
          <w:color w:val="auto"/>
        </w:rPr>
        <w:t>286</w:t>
      </w:r>
      <w:r w:rsidRPr="00C1603D">
        <w:rPr>
          <w:color w:val="00B0F0"/>
        </w:rPr>
        <w:t>–</w:t>
      </w:r>
      <w:r w:rsidRPr="00C1603D">
        <w:rPr>
          <w:color w:val="auto"/>
        </w:rPr>
        <w:t>92</w:t>
      </w:r>
      <w:r w:rsidRPr="00C1603D">
        <w:t>.</w:t>
      </w:r>
    </w:p>
    <w:p w14:paraId="79A7557C" w14:textId="0D487558" w:rsidR="00EF77DB" w:rsidRPr="00C1603D" w:rsidRDefault="00EF77DB" w:rsidP="00EF77DB">
      <w:pPr>
        <w:pStyle w:val="65ReferencesTextstylesTextstyles"/>
      </w:pPr>
      <w:r w:rsidRPr="00C1603D">
        <w:t>362.</w:t>
      </w:r>
      <w:r w:rsidRPr="00C1603D">
        <w:tab/>
      </w:r>
      <w:proofErr w:type="spellStart"/>
      <w:r w:rsidRPr="00C1603D">
        <w:t>Beser</w:t>
      </w:r>
      <w:proofErr w:type="spellEnd"/>
      <w:r w:rsidRPr="00C1603D">
        <w:t xml:space="preserve"> OF, </w:t>
      </w:r>
      <w:proofErr w:type="spellStart"/>
      <w:r w:rsidRPr="00C1603D">
        <w:t>Gulluelli</w:t>
      </w:r>
      <w:proofErr w:type="spellEnd"/>
      <w:r w:rsidRPr="00C1603D">
        <w:t xml:space="preserve"> E, </w:t>
      </w:r>
      <w:proofErr w:type="spellStart"/>
      <w:r w:rsidRPr="00C1603D">
        <w:t>Cullu</w:t>
      </w:r>
      <w:proofErr w:type="spellEnd"/>
      <w:r w:rsidRPr="00C1603D">
        <w:t xml:space="preserve"> </w:t>
      </w:r>
      <w:proofErr w:type="spellStart"/>
      <w:r w:rsidRPr="00C1603D">
        <w:t>Cokugras</w:t>
      </w:r>
      <w:proofErr w:type="spellEnd"/>
      <w:r w:rsidRPr="00C1603D">
        <w:t xml:space="preserve"> F, Erkan T, </w:t>
      </w:r>
      <w:proofErr w:type="spellStart"/>
      <w:r w:rsidRPr="00C1603D">
        <w:t>Kutlu</w:t>
      </w:r>
      <w:proofErr w:type="spellEnd"/>
      <w:r w:rsidRPr="00C1603D">
        <w:t xml:space="preserve"> T, </w:t>
      </w:r>
      <w:proofErr w:type="spellStart"/>
      <w:r w:rsidRPr="00C1603D">
        <w:t>Yagci</w:t>
      </w:r>
      <w:proofErr w:type="spellEnd"/>
      <w:r w:rsidRPr="00C1603D">
        <w:t xml:space="preserve"> </w:t>
      </w:r>
      <w:proofErr w:type="gramStart"/>
      <w:r w:rsidRPr="00C1603D">
        <w:t>RV</w:t>
      </w:r>
      <w:proofErr w:type="gramEnd"/>
      <w:r w:rsidRPr="00C1603D">
        <w:t xml:space="preserve">, </w:t>
      </w:r>
      <w:r w:rsidRPr="00C1603D">
        <w:rPr>
          <w:i/>
        </w:rPr>
        <w:t>et al</w:t>
      </w:r>
      <w:r w:rsidRPr="00C1603D">
        <w:t xml:space="preserve">. Prevalence and </w:t>
      </w:r>
      <w:r w:rsidR="006309AD" w:rsidRPr="00C1603D">
        <w:t>clinical features of celiac disease in healthy school-aged children</w:t>
      </w:r>
      <w:r w:rsidRPr="00C1603D">
        <w:t xml:space="preserve">. </w:t>
      </w:r>
      <w:r w:rsidRPr="00C1603D">
        <w:rPr>
          <w:i/>
        </w:rPr>
        <w:t>Dig Dis Sci</w:t>
      </w:r>
      <w:r w:rsidRPr="00C1603D">
        <w:t xml:space="preserve"> 2019;</w:t>
      </w:r>
      <w:r w:rsidRPr="00C1603D">
        <w:rPr>
          <w:b/>
        </w:rPr>
        <w:t>64</w:t>
      </w:r>
      <w:r w:rsidRPr="00C1603D">
        <w:t>:</w:t>
      </w:r>
      <w:r w:rsidRPr="00C1603D">
        <w:rPr>
          <w:color w:val="auto"/>
        </w:rPr>
        <w:t>173</w:t>
      </w:r>
      <w:r w:rsidRPr="00C1603D">
        <w:rPr>
          <w:color w:val="00B0F0"/>
        </w:rPr>
        <w:t>–</w:t>
      </w:r>
      <w:r w:rsidRPr="00C1603D">
        <w:rPr>
          <w:color w:val="auto"/>
        </w:rPr>
        <w:t>81</w:t>
      </w:r>
      <w:r w:rsidRPr="00C1603D">
        <w:t>. https://doi.org/10.1007/s10620-018-5320-0</w:t>
      </w:r>
    </w:p>
    <w:p w14:paraId="23877115" w14:textId="6C4B68F7" w:rsidR="00EF77DB" w:rsidRPr="00C1603D" w:rsidRDefault="00EF77DB" w:rsidP="00EF77DB">
      <w:pPr>
        <w:pStyle w:val="65ReferencesTextstylesTextstyles"/>
      </w:pPr>
      <w:r w:rsidRPr="00C1603D">
        <w:t>363.</w:t>
      </w:r>
      <w:r w:rsidRPr="00C1603D">
        <w:tab/>
      </w:r>
      <w:proofErr w:type="spellStart"/>
      <w:r w:rsidRPr="00C1603D">
        <w:t>Cintado</w:t>
      </w:r>
      <w:proofErr w:type="spellEnd"/>
      <w:r w:rsidRPr="00C1603D">
        <w:t xml:space="preserve"> A, </w:t>
      </w:r>
      <w:proofErr w:type="spellStart"/>
      <w:r w:rsidRPr="00C1603D">
        <w:t>Sorell</w:t>
      </w:r>
      <w:proofErr w:type="spellEnd"/>
      <w:r w:rsidRPr="00C1603D">
        <w:t xml:space="preserve"> L, Galvan JA, Martinez L, Castaneda C, Fragoso T, </w:t>
      </w:r>
      <w:r w:rsidRPr="00C1603D">
        <w:rPr>
          <w:i/>
        </w:rPr>
        <w:t>et</w:t>
      </w:r>
      <w:r w:rsidRPr="00C1603D">
        <w:t xml:space="preserve"> </w:t>
      </w:r>
      <w:r w:rsidRPr="00C1603D">
        <w:rPr>
          <w:i/>
        </w:rPr>
        <w:t>al</w:t>
      </w:r>
      <w:r w:rsidRPr="00C1603D">
        <w:t xml:space="preserve">. HLA DQA1*0501 and DQB 1*02 in Cuban celiac patients. </w:t>
      </w:r>
      <w:r w:rsidRPr="00C1603D">
        <w:rPr>
          <w:i/>
        </w:rPr>
        <w:t>Hum</w:t>
      </w:r>
      <w:r w:rsidRPr="00C1603D">
        <w:t xml:space="preserve"> </w:t>
      </w:r>
      <w:r w:rsidRPr="00C1603D">
        <w:rPr>
          <w:i/>
        </w:rPr>
        <w:t>Immunol</w:t>
      </w:r>
      <w:r w:rsidRPr="00C1603D">
        <w:t xml:space="preserve"> 2006;</w:t>
      </w:r>
      <w:r w:rsidRPr="00C1603D">
        <w:rPr>
          <w:b/>
        </w:rPr>
        <w:t>67</w:t>
      </w:r>
      <w:r w:rsidRPr="00C1603D">
        <w:t>:639</w:t>
      </w:r>
      <w:r w:rsidR="006309AD" w:rsidRPr="00C1603D">
        <w:t>–</w:t>
      </w:r>
      <w:r w:rsidRPr="00C1603D">
        <w:t>42.</w:t>
      </w:r>
    </w:p>
    <w:p w14:paraId="1E09EFFF" w14:textId="77777777" w:rsidR="00EF77DB" w:rsidRPr="00C1603D" w:rsidRDefault="00EF77DB" w:rsidP="00EF77DB">
      <w:pPr>
        <w:pStyle w:val="65ReferencesTextstylesTextstyles"/>
      </w:pPr>
      <w:r w:rsidRPr="00C1603D">
        <w:t>364.</w:t>
      </w:r>
      <w:r w:rsidRPr="00C1603D">
        <w:tab/>
        <w:t xml:space="preserve">Kotze LM, </w:t>
      </w:r>
      <w:proofErr w:type="spellStart"/>
      <w:r w:rsidRPr="00C1603D">
        <w:t>Utiyama</w:t>
      </w:r>
      <w:proofErr w:type="spellEnd"/>
      <w:r w:rsidRPr="00C1603D">
        <w:t xml:space="preserve"> SR, </w:t>
      </w:r>
      <w:proofErr w:type="spellStart"/>
      <w:r w:rsidRPr="00C1603D">
        <w:t>Nisihara</w:t>
      </w:r>
      <w:proofErr w:type="spellEnd"/>
      <w:r w:rsidRPr="00C1603D">
        <w:t xml:space="preserve"> RM, </w:t>
      </w:r>
      <w:proofErr w:type="spellStart"/>
      <w:r w:rsidRPr="00C1603D">
        <w:t>Zeni</w:t>
      </w:r>
      <w:proofErr w:type="spellEnd"/>
      <w:r w:rsidRPr="00C1603D">
        <w:t xml:space="preserve"> MP, de </w:t>
      </w:r>
      <w:proofErr w:type="spellStart"/>
      <w:r w:rsidRPr="00C1603D">
        <w:t>Sena</w:t>
      </w:r>
      <w:proofErr w:type="spellEnd"/>
      <w:r w:rsidRPr="00C1603D">
        <w:t xml:space="preserve"> MG, </w:t>
      </w:r>
      <w:proofErr w:type="spellStart"/>
      <w:r w:rsidRPr="00C1603D">
        <w:t>Amarante</w:t>
      </w:r>
      <w:proofErr w:type="spellEnd"/>
      <w:r w:rsidRPr="00C1603D">
        <w:t xml:space="preserve"> HM. </w:t>
      </w:r>
      <w:proofErr w:type="spellStart"/>
      <w:r w:rsidRPr="00C1603D">
        <w:t>Antiendomysium</w:t>
      </w:r>
      <w:proofErr w:type="spellEnd"/>
      <w:r w:rsidRPr="00C1603D">
        <w:t xml:space="preserve"> antibodies in Brazilian patients with celiac disease and their first-degree relatives. </w:t>
      </w:r>
      <w:proofErr w:type="spellStart"/>
      <w:r w:rsidRPr="00C1603D">
        <w:rPr>
          <w:i/>
        </w:rPr>
        <w:t>Arq</w:t>
      </w:r>
      <w:proofErr w:type="spellEnd"/>
      <w:r w:rsidRPr="00C1603D">
        <w:rPr>
          <w:i/>
        </w:rPr>
        <w:t xml:space="preserve"> Gastroenterol</w:t>
      </w:r>
      <w:r w:rsidRPr="00C1603D">
        <w:t xml:space="preserve"> 2001;</w:t>
      </w:r>
      <w:r w:rsidRPr="00C1603D">
        <w:rPr>
          <w:b/>
        </w:rPr>
        <w:t>38</w:t>
      </w:r>
      <w:r w:rsidRPr="00C1603D">
        <w:t>:</w:t>
      </w:r>
      <w:r w:rsidRPr="00C1603D">
        <w:rPr>
          <w:color w:val="auto"/>
        </w:rPr>
        <w:t>94</w:t>
      </w:r>
      <w:r w:rsidRPr="00C1603D">
        <w:rPr>
          <w:color w:val="00B0F0"/>
        </w:rPr>
        <w:t>–</w:t>
      </w:r>
      <w:r w:rsidRPr="00C1603D">
        <w:rPr>
          <w:color w:val="auto"/>
        </w:rPr>
        <w:t>103</w:t>
      </w:r>
      <w:r w:rsidRPr="00C1603D">
        <w:t>. https://doi.org/10.1590/s0004-28032001000200004</w:t>
      </w:r>
    </w:p>
    <w:p w14:paraId="7E48DA68" w14:textId="77777777" w:rsidR="00EF77DB" w:rsidRPr="00C1603D" w:rsidRDefault="00EF77DB" w:rsidP="00EF77DB">
      <w:pPr>
        <w:pStyle w:val="65ReferencesTextstylesTextstyles"/>
      </w:pPr>
      <w:r w:rsidRPr="00C1603D">
        <w:t>365.</w:t>
      </w:r>
      <w:r w:rsidRPr="00C1603D">
        <w:tab/>
        <w:t xml:space="preserve">Nass FR, Kotze LM, </w:t>
      </w:r>
      <w:proofErr w:type="spellStart"/>
      <w:r w:rsidRPr="00C1603D">
        <w:t>Nisihara</w:t>
      </w:r>
      <w:proofErr w:type="spellEnd"/>
      <w:r w:rsidRPr="00C1603D">
        <w:t xml:space="preserve"> RM, de </w:t>
      </w:r>
      <w:proofErr w:type="spellStart"/>
      <w:r w:rsidRPr="00C1603D">
        <w:t>Messias</w:t>
      </w:r>
      <w:proofErr w:type="spellEnd"/>
      <w:r w:rsidRPr="00C1603D">
        <w:t xml:space="preserve">-Reason IJ, Ramos da Rosa </w:t>
      </w:r>
      <w:proofErr w:type="spellStart"/>
      <w:r w:rsidRPr="00C1603D">
        <w:t>Utiyama</w:t>
      </w:r>
      <w:proofErr w:type="spellEnd"/>
      <w:r w:rsidRPr="00C1603D">
        <w:t xml:space="preserve"> S. Serological and clinical follow-up of relatives of celiac disease patients from southern Brazil. </w:t>
      </w:r>
      <w:r w:rsidRPr="00C1603D">
        <w:rPr>
          <w:i/>
        </w:rPr>
        <w:t>Digestion</w:t>
      </w:r>
      <w:r w:rsidRPr="00C1603D">
        <w:t xml:space="preserve"> 2011;</w:t>
      </w:r>
      <w:r w:rsidRPr="00C1603D">
        <w:rPr>
          <w:b/>
        </w:rPr>
        <w:t>83</w:t>
      </w:r>
      <w:r w:rsidRPr="00C1603D">
        <w:t>:</w:t>
      </w:r>
      <w:r w:rsidRPr="00C1603D">
        <w:rPr>
          <w:color w:val="auto"/>
        </w:rPr>
        <w:t>89</w:t>
      </w:r>
      <w:r w:rsidRPr="00C1603D">
        <w:rPr>
          <w:color w:val="00B0F0"/>
        </w:rPr>
        <w:t>–</w:t>
      </w:r>
      <w:r w:rsidRPr="00C1603D">
        <w:rPr>
          <w:color w:val="auto"/>
        </w:rPr>
        <w:t>95</w:t>
      </w:r>
      <w:r w:rsidRPr="00C1603D">
        <w:t>. https://doi.org/10.1159/000320451</w:t>
      </w:r>
    </w:p>
    <w:p w14:paraId="4BEFC0A4" w14:textId="77777777" w:rsidR="00EF77DB" w:rsidRPr="00C1603D" w:rsidRDefault="00EF77DB" w:rsidP="00EF77DB">
      <w:pPr>
        <w:pStyle w:val="65ReferencesTextstylesTextstyles"/>
      </w:pPr>
      <w:r w:rsidRPr="00C1603D">
        <w:t>366.</w:t>
      </w:r>
      <w:r w:rsidRPr="00C1603D">
        <w:tab/>
      </w:r>
      <w:proofErr w:type="spellStart"/>
      <w:r w:rsidRPr="00C1603D">
        <w:t>Utiyama</w:t>
      </w:r>
      <w:proofErr w:type="spellEnd"/>
      <w:r w:rsidRPr="00C1603D">
        <w:t xml:space="preserve"> SR, Nass FR, Kotze LM, </w:t>
      </w:r>
      <w:proofErr w:type="spellStart"/>
      <w:r w:rsidRPr="00C1603D">
        <w:t>Nisihara</w:t>
      </w:r>
      <w:proofErr w:type="spellEnd"/>
      <w:r w:rsidRPr="00C1603D">
        <w:t xml:space="preserve"> RM, Ambrosio AR, </w:t>
      </w:r>
      <w:proofErr w:type="spellStart"/>
      <w:r w:rsidRPr="00C1603D">
        <w:t>Messias</w:t>
      </w:r>
      <w:proofErr w:type="spellEnd"/>
      <w:r w:rsidRPr="00C1603D">
        <w:t xml:space="preserve">-Reason IT. [Serological screening of relatives of celiac disease patients: </w:t>
      </w:r>
      <w:proofErr w:type="spellStart"/>
      <w:r w:rsidRPr="00C1603D">
        <w:t>antiendomysium</w:t>
      </w:r>
      <w:proofErr w:type="spellEnd"/>
      <w:r w:rsidRPr="00C1603D">
        <w:t xml:space="preserve"> antibodies, anti-tissue transglutaminase or both?.] </w:t>
      </w:r>
      <w:proofErr w:type="spellStart"/>
      <w:r w:rsidRPr="00C1603D">
        <w:rPr>
          <w:i/>
        </w:rPr>
        <w:t>Arq</w:t>
      </w:r>
      <w:proofErr w:type="spellEnd"/>
      <w:r w:rsidRPr="00C1603D">
        <w:rPr>
          <w:i/>
        </w:rPr>
        <w:t xml:space="preserve"> Gastroenterol</w:t>
      </w:r>
      <w:r w:rsidRPr="00C1603D">
        <w:t xml:space="preserve"> 2007;</w:t>
      </w:r>
      <w:r w:rsidRPr="00C1603D">
        <w:rPr>
          <w:b/>
        </w:rPr>
        <w:t>44</w:t>
      </w:r>
      <w:r w:rsidRPr="00C1603D">
        <w:t>:</w:t>
      </w:r>
      <w:r w:rsidRPr="00C1603D">
        <w:rPr>
          <w:color w:val="auto"/>
        </w:rPr>
        <w:t>156</w:t>
      </w:r>
      <w:r w:rsidRPr="00C1603D">
        <w:rPr>
          <w:color w:val="00B0F0"/>
        </w:rPr>
        <w:t>–</w:t>
      </w:r>
      <w:r w:rsidRPr="00C1603D">
        <w:rPr>
          <w:color w:val="auto"/>
        </w:rPr>
        <w:t>61</w:t>
      </w:r>
      <w:r w:rsidRPr="00C1603D">
        <w:t>.</w:t>
      </w:r>
    </w:p>
    <w:p w14:paraId="47BE2CF8" w14:textId="77777777" w:rsidR="00EF77DB" w:rsidRPr="00C1603D" w:rsidRDefault="00EF77DB" w:rsidP="00EF77DB">
      <w:pPr>
        <w:pStyle w:val="65ReferencesTextstylesTextstyles"/>
      </w:pPr>
      <w:r w:rsidRPr="00C1603D">
        <w:t>367.</w:t>
      </w:r>
      <w:r w:rsidRPr="00C1603D">
        <w:tab/>
      </w:r>
      <w:proofErr w:type="spellStart"/>
      <w:r w:rsidRPr="00C1603D">
        <w:t>Hjelle</w:t>
      </w:r>
      <w:proofErr w:type="spellEnd"/>
      <w:r w:rsidRPr="00C1603D">
        <w:t xml:space="preserve"> AM, </w:t>
      </w:r>
      <w:proofErr w:type="spellStart"/>
      <w:r w:rsidRPr="00C1603D">
        <w:t>Apalset</w:t>
      </w:r>
      <w:proofErr w:type="spellEnd"/>
      <w:r w:rsidRPr="00C1603D">
        <w:t xml:space="preserve"> E, </w:t>
      </w:r>
      <w:proofErr w:type="spellStart"/>
      <w:r w:rsidRPr="00C1603D">
        <w:t>Mielnik</w:t>
      </w:r>
      <w:proofErr w:type="spellEnd"/>
      <w:r w:rsidRPr="00C1603D">
        <w:t xml:space="preserve"> P, Nilsen RM, Lundin KEA, Tell GS. Positive IgA against transglutaminase </w:t>
      </w:r>
      <w:proofErr w:type="gramStart"/>
      <w:r w:rsidRPr="00C1603D">
        <w:t>2</w:t>
      </w:r>
      <w:proofErr w:type="gramEnd"/>
      <w:r w:rsidRPr="00C1603D">
        <w:t xml:space="preserve"> in patients with distal radius and ankle fractures compared to community-based controls. </w:t>
      </w:r>
      <w:proofErr w:type="spellStart"/>
      <w:r w:rsidRPr="00C1603D">
        <w:rPr>
          <w:i/>
        </w:rPr>
        <w:t>Scand</w:t>
      </w:r>
      <w:proofErr w:type="spellEnd"/>
      <w:r w:rsidRPr="00C1603D">
        <w:rPr>
          <w:i/>
        </w:rPr>
        <w:t xml:space="preserve"> J Gastroenterol</w:t>
      </w:r>
      <w:r w:rsidRPr="00C1603D">
        <w:t xml:space="preserve"> 2018;</w:t>
      </w:r>
      <w:r w:rsidRPr="00C1603D">
        <w:rPr>
          <w:b/>
        </w:rPr>
        <w:t>53</w:t>
      </w:r>
      <w:r w:rsidRPr="00C1603D">
        <w:t>:</w:t>
      </w:r>
      <w:r w:rsidRPr="00C1603D">
        <w:rPr>
          <w:color w:val="auto"/>
        </w:rPr>
        <w:t>1212</w:t>
      </w:r>
      <w:r w:rsidRPr="00C1603D">
        <w:rPr>
          <w:color w:val="00B0F0"/>
        </w:rPr>
        <w:t>–</w:t>
      </w:r>
      <w:r w:rsidRPr="00C1603D">
        <w:rPr>
          <w:color w:val="auto"/>
        </w:rPr>
        <w:t>16</w:t>
      </w:r>
      <w:r w:rsidRPr="00C1603D">
        <w:t>. https://doi.org/10.1080/00365521.2018.1509122</w:t>
      </w:r>
    </w:p>
    <w:p w14:paraId="65CFF451" w14:textId="013AAA11" w:rsidR="00EF77DB" w:rsidRPr="00C1603D" w:rsidRDefault="3CDEEDA7" w:rsidP="00EF77DB">
      <w:pPr>
        <w:pStyle w:val="65ReferencesTextstylesTextstyles"/>
      </w:pPr>
      <w:r w:rsidRPr="00C1603D">
        <w:t>368.</w:t>
      </w:r>
      <w:r w:rsidR="00EF77DB" w:rsidRPr="00C1603D">
        <w:tab/>
      </w:r>
      <w:commentRangeStart w:id="546"/>
      <w:commentRangeStart w:id="547"/>
      <w:proofErr w:type="spellStart"/>
      <w:r w:rsidRPr="00C1603D">
        <w:t>Hjelle</w:t>
      </w:r>
      <w:proofErr w:type="spellEnd"/>
      <w:r w:rsidRPr="00C1603D">
        <w:t xml:space="preserve"> AM, </w:t>
      </w:r>
      <w:proofErr w:type="spellStart"/>
      <w:r w:rsidRPr="00C1603D">
        <w:t>Mielnik</w:t>
      </w:r>
      <w:proofErr w:type="spellEnd"/>
      <w:r w:rsidRPr="00C1603D">
        <w:t xml:space="preserve"> P, </w:t>
      </w:r>
      <w:proofErr w:type="spellStart"/>
      <w:r w:rsidRPr="00C1603D">
        <w:t>Apalset</w:t>
      </w:r>
      <w:proofErr w:type="spellEnd"/>
      <w:r w:rsidRPr="00C1603D">
        <w:t xml:space="preserve"> E, Tell GS. Celiac disease and positive IgA tissue </w:t>
      </w:r>
      <w:r w:rsidRPr="00C1603D">
        <w:lastRenderedPageBreak/>
        <w:t xml:space="preserve">transglutaminase in patients with distal radius or ankle fracture: interim analysis. </w:t>
      </w:r>
      <w:r w:rsidRPr="00C1603D">
        <w:rPr>
          <w:i/>
          <w:iCs/>
        </w:rPr>
        <w:t>Ann Rheum</w:t>
      </w:r>
      <w:r w:rsidRPr="00C1603D">
        <w:t xml:space="preserve"> </w:t>
      </w:r>
      <w:r w:rsidRPr="00C1603D">
        <w:rPr>
          <w:i/>
          <w:iCs/>
        </w:rPr>
        <w:t xml:space="preserve">Dis </w:t>
      </w:r>
      <w:r w:rsidRPr="00C1603D">
        <w:t>2014;</w:t>
      </w:r>
      <w:r w:rsidRPr="00C1603D">
        <w:rPr>
          <w:b/>
          <w:bCs/>
        </w:rPr>
        <w:t>73</w:t>
      </w:r>
      <w:r w:rsidRPr="00C1603D">
        <w:t>:1069. https://doi.org/10.1136/annrheumdis-2014-eular.1238</w:t>
      </w:r>
      <w:commentRangeEnd w:id="546"/>
      <w:r w:rsidR="00EF77DB" w:rsidRPr="00C1603D">
        <w:commentReference w:id="546"/>
      </w:r>
      <w:commentRangeEnd w:id="547"/>
      <w:r w:rsidR="00EF77DB" w:rsidRPr="00C1603D">
        <w:commentReference w:id="547"/>
      </w:r>
    </w:p>
    <w:p w14:paraId="75DCB98A" w14:textId="7C1749D8" w:rsidR="00EF77DB" w:rsidRPr="00C1603D" w:rsidRDefault="00EF77DB" w:rsidP="00EF77DB">
      <w:pPr>
        <w:pStyle w:val="65ReferencesTextstylesTextstyles"/>
      </w:pPr>
      <w:r w:rsidRPr="00C1603D">
        <w:t>369.</w:t>
      </w:r>
      <w:r w:rsidRPr="00C1603D">
        <w:tab/>
      </w:r>
      <w:proofErr w:type="spellStart"/>
      <w:r w:rsidRPr="00C1603D">
        <w:t>LeBoff</w:t>
      </w:r>
      <w:proofErr w:type="spellEnd"/>
      <w:r w:rsidRPr="00C1603D">
        <w:t xml:space="preserve"> MS, Cobb H, Gao LY, Hawkes W, Yu-</w:t>
      </w:r>
      <w:proofErr w:type="spellStart"/>
      <w:r w:rsidRPr="00C1603D">
        <w:t>Yahiro</w:t>
      </w:r>
      <w:proofErr w:type="spellEnd"/>
      <w:r w:rsidRPr="00C1603D">
        <w:t xml:space="preserve"> J, </w:t>
      </w:r>
      <w:proofErr w:type="spellStart"/>
      <w:r w:rsidRPr="00C1603D">
        <w:t>Kolatkar</w:t>
      </w:r>
      <w:proofErr w:type="spellEnd"/>
      <w:r w:rsidRPr="00C1603D">
        <w:t xml:space="preserve"> NS, </w:t>
      </w:r>
      <w:r w:rsidRPr="00C1603D">
        <w:rPr>
          <w:i/>
        </w:rPr>
        <w:t>et</w:t>
      </w:r>
      <w:r w:rsidRPr="00C1603D">
        <w:t xml:space="preserve"> </w:t>
      </w:r>
      <w:r w:rsidRPr="00C1603D">
        <w:rPr>
          <w:i/>
        </w:rPr>
        <w:t>al</w:t>
      </w:r>
      <w:r w:rsidRPr="00C1603D">
        <w:t xml:space="preserve">. Celiac disease is not increased in women with hip fractures and low vitamin D levels. </w:t>
      </w:r>
      <w:r w:rsidR="00D82AB4" w:rsidRPr="00C1603D">
        <w:rPr>
          <w:i/>
        </w:rPr>
        <w:t>J</w:t>
      </w:r>
      <w:r w:rsidRPr="00C1603D">
        <w:t xml:space="preserve"> </w:t>
      </w:r>
      <w:proofErr w:type="spellStart"/>
      <w:r w:rsidRPr="00C1603D">
        <w:rPr>
          <w:i/>
        </w:rPr>
        <w:t>Nutr</w:t>
      </w:r>
      <w:proofErr w:type="spellEnd"/>
      <w:r w:rsidRPr="00C1603D">
        <w:t xml:space="preserve"> </w:t>
      </w:r>
      <w:r w:rsidRPr="00C1603D">
        <w:rPr>
          <w:i/>
        </w:rPr>
        <w:t>Health</w:t>
      </w:r>
      <w:r w:rsidRPr="00C1603D">
        <w:t xml:space="preserve"> </w:t>
      </w:r>
      <w:r w:rsidRPr="00C1603D">
        <w:rPr>
          <w:i/>
        </w:rPr>
        <w:t>Aging</w:t>
      </w:r>
      <w:r w:rsidRPr="00C1603D">
        <w:t xml:space="preserve"> 2013;</w:t>
      </w:r>
      <w:r w:rsidRPr="00C1603D">
        <w:rPr>
          <w:b/>
        </w:rPr>
        <w:t>17</w:t>
      </w:r>
      <w:r w:rsidRPr="00C1603D">
        <w:t>:562</w:t>
      </w:r>
      <w:r w:rsidR="00D82AB4" w:rsidRPr="00C1603D">
        <w:t>–</w:t>
      </w:r>
      <w:r w:rsidRPr="00C1603D">
        <w:t>5.</w:t>
      </w:r>
    </w:p>
    <w:p w14:paraId="2FC6D57A" w14:textId="1A8941A0" w:rsidR="00EF77DB" w:rsidRPr="00C1603D" w:rsidRDefault="00EF77DB" w:rsidP="00EF77DB">
      <w:pPr>
        <w:pStyle w:val="65ReferencesTextstylesTextstyles"/>
      </w:pPr>
      <w:r w:rsidRPr="00C1603D">
        <w:t>370.</w:t>
      </w:r>
      <w:r w:rsidRPr="00C1603D">
        <w:tab/>
        <w:t xml:space="preserve">Potter MDE, Walker MM, Hancock S, Holliday E, Brogan G, Jones M, </w:t>
      </w:r>
      <w:r w:rsidRPr="00C1603D">
        <w:rPr>
          <w:i/>
        </w:rPr>
        <w:t>et al</w:t>
      </w:r>
      <w:r w:rsidRPr="00C1603D">
        <w:t xml:space="preserve">. A </w:t>
      </w:r>
      <w:r w:rsidR="00D82AB4" w:rsidRPr="00C1603D">
        <w:t xml:space="preserve">serological diagnosis of coeliac disease is associated with osteoporosis in older </w:t>
      </w:r>
      <w:r w:rsidRPr="00C1603D">
        <w:t xml:space="preserve">Australian </w:t>
      </w:r>
      <w:r w:rsidR="00D82AB4" w:rsidRPr="00C1603D">
        <w:t>adults</w:t>
      </w:r>
      <w:r w:rsidRPr="00C1603D">
        <w:t xml:space="preserve">. </w:t>
      </w:r>
      <w:r w:rsidRPr="00C1603D">
        <w:rPr>
          <w:i/>
        </w:rPr>
        <w:t>Nutrients</w:t>
      </w:r>
      <w:r w:rsidRPr="00C1603D">
        <w:t xml:space="preserve"> 2018;</w:t>
      </w:r>
      <w:r w:rsidRPr="00C1603D">
        <w:rPr>
          <w:b/>
        </w:rPr>
        <w:t>10</w:t>
      </w:r>
      <w:r w:rsidRPr="00C1603D">
        <w:t>:</w:t>
      </w:r>
      <w:r w:rsidRPr="00C1603D">
        <w:rPr>
          <w:color w:val="auto"/>
        </w:rPr>
        <w:t>E849</w:t>
      </w:r>
      <w:r w:rsidRPr="00C1603D">
        <w:t>.</w:t>
      </w:r>
    </w:p>
    <w:p w14:paraId="79F863FC" w14:textId="77777777" w:rsidR="00EF77DB" w:rsidRPr="00C1603D" w:rsidRDefault="00EF77DB" w:rsidP="00EF77DB">
      <w:pPr>
        <w:pStyle w:val="65ReferencesTextstylesTextstyles"/>
      </w:pPr>
      <w:r w:rsidRPr="00C1603D">
        <w:t>371.</w:t>
      </w:r>
      <w:r w:rsidRPr="00C1603D">
        <w:tab/>
      </w:r>
      <w:proofErr w:type="spellStart"/>
      <w:r w:rsidRPr="00C1603D">
        <w:t>Agardh</w:t>
      </w:r>
      <w:proofErr w:type="spellEnd"/>
      <w:r w:rsidRPr="00C1603D">
        <w:t xml:space="preserve"> D, Björck S, </w:t>
      </w:r>
      <w:proofErr w:type="spellStart"/>
      <w:r w:rsidRPr="00C1603D">
        <w:t>Agardh</w:t>
      </w:r>
      <w:proofErr w:type="spellEnd"/>
      <w:r w:rsidRPr="00C1603D">
        <w:t xml:space="preserve"> CD, </w:t>
      </w:r>
      <w:proofErr w:type="spellStart"/>
      <w:r w:rsidRPr="00C1603D">
        <w:t>Lidfeldt</w:t>
      </w:r>
      <w:proofErr w:type="spellEnd"/>
      <w:r w:rsidRPr="00C1603D">
        <w:t xml:space="preserve"> J. Coeliac disease-specific tissue transglutaminase autoantibodies are associated with osteoporosis and related fractures in middle-aged women. </w:t>
      </w:r>
      <w:proofErr w:type="spellStart"/>
      <w:r w:rsidRPr="00C1603D">
        <w:rPr>
          <w:i/>
        </w:rPr>
        <w:t>Scand</w:t>
      </w:r>
      <w:proofErr w:type="spellEnd"/>
      <w:r w:rsidRPr="00C1603D">
        <w:rPr>
          <w:i/>
        </w:rPr>
        <w:t xml:space="preserve"> J Gastroenterol</w:t>
      </w:r>
      <w:r w:rsidRPr="00C1603D">
        <w:t xml:space="preserve"> 2009;</w:t>
      </w:r>
      <w:r w:rsidRPr="00C1603D">
        <w:rPr>
          <w:b/>
        </w:rPr>
        <w:t>44</w:t>
      </w:r>
      <w:r w:rsidRPr="00C1603D">
        <w:t>:</w:t>
      </w:r>
      <w:r w:rsidRPr="00C1603D">
        <w:rPr>
          <w:color w:val="auto"/>
        </w:rPr>
        <w:t>571</w:t>
      </w:r>
      <w:r w:rsidRPr="00C1603D">
        <w:rPr>
          <w:color w:val="00B0F0"/>
        </w:rPr>
        <w:t>–</w:t>
      </w:r>
      <w:r w:rsidRPr="00C1603D">
        <w:rPr>
          <w:color w:val="auto"/>
        </w:rPr>
        <w:t>8</w:t>
      </w:r>
      <w:r w:rsidRPr="00C1603D">
        <w:t>. https://doi.org/10.1080/00365520902718929</w:t>
      </w:r>
    </w:p>
    <w:p w14:paraId="4920C35E" w14:textId="77777777" w:rsidR="00EF77DB" w:rsidRPr="00C1603D" w:rsidRDefault="00EF77DB" w:rsidP="00EF77DB">
      <w:pPr>
        <w:pStyle w:val="65ReferencesTextstylesTextstyles"/>
      </w:pPr>
      <w:r w:rsidRPr="00C1603D">
        <w:t>372.</w:t>
      </w:r>
      <w:r w:rsidRPr="00C1603D">
        <w:tab/>
        <w:t xml:space="preserve">West J, Logan RF, Hill PG, Lloyd A, Lewis S, Hubbard R, </w:t>
      </w:r>
      <w:r w:rsidRPr="00C1603D">
        <w:rPr>
          <w:i/>
        </w:rPr>
        <w:t>et al</w:t>
      </w:r>
      <w:r w:rsidRPr="00C1603D">
        <w:t xml:space="preserve">. Seroprevalence, correlates, and characteristics of undetected coeliac disease in England. </w:t>
      </w:r>
      <w:r w:rsidRPr="00C1603D">
        <w:rPr>
          <w:i/>
        </w:rPr>
        <w:t>Gut</w:t>
      </w:r>
      <w:r w:rsidRPr="00C1603D">
        <w:t xml:space="preserve"> 2003;</w:t>
      </w:r>
      <w:r w:rsidRPr="00C1603D">
        <w:rPr>
          <w:b/>
        </w:rPr>
        <w:t>52</w:t>
      </w:r>
      <w:r w:rsidRPr="00C1603D">
        <w:t>:</w:t>
      </w:r>
      <w:r w:rsidRPr="00C1603D">
        <w:rPr>
          <w:color w:val="auto"/>
        </w:rPr>
        <w:t>960</w:t>
      </w:r>
      <w:r w:rsidRPr="00C1603D">
        <w:rPr>
          <w:color w:val="00B0F0"/>
        </w:rPr>
        <w:t>–</w:t>
      </w:r>
      <w:r w:rsidRPr="00C1603D">
        <w:rPr>
          <w:color w:val="auto"/>
        </w:rPr>
        <w:t>5</w:t>
      </w:r>
      <w:r w:rsidRPr="00C1603D">
        <w:t>.</w:t>
      </w:r>
    </w:p>
    <w:p w14:paraId="08F3BAB4" w14:textId="36B5CD1B" w:rsidR="00EF77DB" w:rsidRPr="00C1603D" w:rsidRDefault="00EF77DB" w:rsidP="00EF77DB">
      <w:pPr>
        <w:pStyle w:val="65ReferencesTextstylesTextstyles"/>
      </w:pPr>
      <w:r w:rsidRPr="00C1603D">
        <w:t>373.</w:t>
      </w:r>
      <w:r w:rsidRPr="00C1603D">
        <w:tab/>
        <w:t xml:space="preserve">Choung RS, Larson SA, Khaleghi S, Rubio-Tapia A, </w:t>
      </w:r>
      <w:proofErr w:type="spellStart"/>
      <w:r w:rsidRPr="00C1603D">
        <w:t>Ovsyannikova</w:t>
      </w:r>
      <w:proofErr w:type="spellEnd"/>
      <w:r w:rsidRPr="00C1603D">
        <w:t xml:space="preserve"> IG, King KS, </w:t>
      </w:r>
      <w:r w:rsidRPr="00C1603D">
        <w:rPr>
          <w:i/>
        </w:rPr>
        <w:t>et al</w:t>
      </w:r>
      <w:r w:rsidRPr="00C1603D">
        <w:t xml:space="preserve">. Prevalence and </w:t>
      </w:r>
      <w:r w:rsidR="00D82AB4" w:rsidRPr="00C1603D">
        <w:t>morbidity of undiagnosed celiac disease from a community-based stud</w:t>
      </w:r>
      <w:r w:rsidRPr="00C1603D">
        <w:t xml:space="preserve">y. </w:t>
      </w:r>
      <w:r w:rsidRPr="00C1603D">
        <w:rPr>
          <w:i/>
        </w:rPr>
        <w:t>Gastroenterology</w:t>
      </w:r>
      <w:r w:rsidRPr="00C1603D">
        <w:t xml:space="preserve"> 2017;</w:t>
      </w:r>
      <w:r w:rsidRPr="00C1603D">
        <w:rPr>
          <w:b/>
        </w:rPr>
        <w:t>152</w:t>
      </w:r>
      <w:r w:rsidRPr="00C1603D">
        <w:t>:</w:t>
      </w:r>
      <w:r w:rsidRPr="00C1603D">
        <w:rPr>
          <w:color w:val="auto"/>
        </w:rPr>
        <w:t>830</w:t>
      </w:r>
      <w:r w:rsidRPr="00C1603D">
        <w:rPr>
          <w:color w:val="00B0F0"/>
        </w:rPr>
        <w:t>–</w:t>
      </w:r>
      <w:r w:rsidRPr="00C1603D">
        <w:rPr>
          <w:color w:val="auto"/>
        </w:rPr>
        <w:t>9</w:t>
      </w:r>
      <w:r w:rsidRPr="00C1603D">
        <w:rPr>
          <w:color w:val="00B0F0"/>
        </w:rPr>
        <w:t>.</w:t>
      </w:r>
      <w:r w:rsidRPr="00C1603D">
        <w:rPr>
          <w:color w:val="auto"/>
        </w:rPr>
        <w:t>e5</w:t>
      </w:r>
      <w:r w:rsidRPr="00C1603D">
        <w:t>.</w:t>
      </w:r>
    </w:p>
    <w:p w14:paraId="094E3ECC" w14:textId="77777777" w:rsidR="00EF77DB" w:rsidRPr="00C1603D" w:rsidRDefault="00EF77DB" w:rsidP="00EF77DB">
      <w:pPr>
        <w:pStyle w:val="65ReferencesTextstylesTextstyles"/>
      </w:pPr>
      <w:r w:rsidRPr="00C1603D">
        <w:t>374.</w:t>
      </w:r>
      <w:r w:rsidRPr="00C1603D">
        <w:tab/>
        <w:t xml:space="preserve">Walker MM, Murray JA, </w:t>
      </w:r>
      <w:proofErr w:type="spellStart"/>
      <w:r w:rsidRPr="00C1603D">
        <w:t>Ronkainen</w:t>
      </w:r>
      <w:proofErr w:type="spellEnd"/>
      <w:r w:rsidRPr="00C1603D">
        <w:t xml:space="preserve"> J, </w:t>
      </w:r>
      <w:proofErr w:type="spellStart"/>
      <w:r w:rsidRPr="00C1603D">
        <w:t>Aro</w:t>
      </w:r>
      <w:proofErr w:type="spellEnd"/>
      <w:r w:rsidRPr="00C1603D">
        <w:t xml:space="preserve"> P, </w:t>
      </w:r>
      <w:proofErr w:type="spellStart"/>
      <w:r w:rsidRPr="00C1603D">
        <w:t>Storskrubb</w:t>
      </w:r>
      <w:proofErr w:type="spellEnd"/>
      <w:r w:rsidRPr="00C1603D">
        <w:t xml:space="preserve"> T, D’Amato M, </w:t>
      </w:r>
      <w:r w:rsidRPr="00C1603D">
        <w:rPr>
          <w:i/>
        </w:rPr>
        <w:t>et al</w:t>
      </w:r>
      <w:r w:rsidRPr="00C1603D">
        <w:t xml:space="preserve">. Detection of celiac disease and lymphocytic enteropathy by parallel serology and histopathology in a population-based study. </w:t>
      </w:r>
      <w:r w:rsidRPr="00C1603D">
        <w:rPr>
          <w:i/>
        </w:rPr>
        <w:t>Gastroenterology</w:t>
      </w:r>
      <w:r w:rsidRPr="00C1603D">
        <w:t xml:space="preserve"> 2010;</w:t>
      </w:r>
      <w:r w:rsidRPr="00C1603D">
        <w:rPr>
          <w:b/>
        </w:rPr>
        <w:t>139</w:t>
      </w:r>
      <w:r w:rsidRPr="00C1603D">
        <w:t>:</w:t>
      </w:r>
      <w:r w:rsidRPr="00C1603D">
        <w:rPr>
          <w:color w:val="auto"/>
        </w:rPr>
        <w:t>112</w:t>
      </w:r>
      <w:r w:rsidRPr="00C1603D">
        <w:rPr>
          <w:color w:val="00B0F0"/>
        </w:rPr>
        <w:t>–</w:t>
      </w:r>
      <w:r w:rsidRPr="00C1603D">
        <w:rPr>
          <w:color w:val="auto"/>
        </w:rPr>
        <w:t>19</w:t>
      </w:r>
      <w:r w:rsidRPr="00C1603D">
        <w:t>. https://doi.org/10.1053/j.gastro.2010.04.007</w:t>
      </w:r>
    </w:p>
    <w:p w14:paraId="19CBBC74" w14:textId="1CE3AFE5" w:rsidR="00EF77DB" w:rsidRPr="00C1603D" w:rsidRDefault="00EF77DB" w:rsidP="00EF77DB">
      <w:pPr>
        <w:pStyle w:val="65ReferencesTextstylesTextstyles"/>
      </w:pPr>
      <w:r w:rsidRPr="00C1603D">
        <w:t>375.</w:t>
      </w:r>
      <w:r w:rsidRPr="00C1603D">
        <w:tab/>
      </w:r>
      <w:proofErr w:type="spellStart"/>
      <w:r w:rsidRPr="00C1603D">
        <w:t>Khudher</w:t>
      </w:r>
      <w:proofErr w:type="spellEnd"/>
      <w:r w:rsidRPr="00C1603D">
        <w:t xml:space="preserve"> SN, Mohammed KAS, Ali NH. Influence of HLA-DQ on clinical and serological biomarkers in patients with celiac disease. </w:t>
      </w:r>
      <w:r w:rsidR="00C65AC6" w:rsidRPr="00C1603D">
        <w:rPr>
          <w:i/>
        </w:rPr>
        <w:t>Ann Trop Med</w:t>
      </w:r>
      <w:r w:rsidRPr="00C1603D">
        <w:t xml:space="preserve"> </w:t>
      </w:r>
      <w:r w:rsidRPr="00C1603D">
        <w:rPr>
          <w:i/>
        </w:rPr>
        <w:t>Public</w:t>
      </w:r>
      <w:r w:rsidRPr="00C1603D">
        <w:t xml:space="preserve"> </w:t>
      </w:r>
      <w:r w:rsidRPr="00C1603D">
        <w:rPr>
          <w:i/>
        </w:rPr>
        <w:t>Health</w:t>
      </w:r>
      <w:r w:rsidRPr="00C1603D">
        <w:t xml:space="preserve"> 2020;</w:t>
      </w:r>
      <w:r w:rsidRPr="00C1603D">
        <w:rPr>
          <w:b/>
        </w:rPr>
        <w:t>23</w:t>
      </w:r>
      <w:r w:rsidR="00773CA9" w:rsidRPr="00C1603D">
        <w:t>:SP231617</w:t>
      </w:r>
      <w:r w:rsidRPr="00C1603D">
        <w:t>.</w:t>
      </w:r>
    </w:p>
    <w:p w14:paraId="3809654A" w14:textId="4EF25F79" w:rsidR="00EF77DB" w:rsidRPr="00C1603D" w:rsidRDefault="00EF77DB" w:rsidP="00EF77DB">
      <w:pPr>
        <w:pStyle w:val="65ReferencesTextstylesTextstyles"/>
      </w:pPr>
      <w:r w:rsidRPr="00C1603D">
        <w:t>376.</w:t>
      </w:r>
      <w:r w:rsidRPr="00C1603D">
        <w:tab/>
      </w:r>
      <w:proofErr w:type="spellStart"/>
      <w:r w:rsidRPr="00C1603D">
        <w:t>Horoldt</w:t>
      </w:r>
      <w:proofErr w:type="spellEnd"/>
      <w:r w:rsidRPr="00C1603D">
        <w:t xml:space="preserve"> BS, Leeds JS, Sidhu R, Hopper AD, Robinson K, Toulson B, </w:t>
      </w:r>
      <w:r w:rsidRPr="00C1603D">
        <w:rPr>
          <w:i/>
        </w:rPr>
        <w:t>et</w:t>
      </w:r>
      <w:r w:rsidRPr="00C1603D">
        <w:t xml:space="preserve"> </w:t>
      </w:r>
      <w:r w:rsidRPr="00C1603D">
        <w:rPr>
          <w:i/>
        </w:rPr>
        <w:t>al</w:t>
      </w:r>
      <w:r w:rsidRPr="00C1603D">
        <w:t xml:space="preserve">. Is there a relationship between coeliac disease and inflammatory bowel disease? A bidirectional prevalence study with controls. </w:t>
      </w:r>
      <w:r w:rsidRPr="00C1603D">
        <w:rPr>
          <w:i/>
        </w:rPr>
        <w:t>Gut</w:t>
      </w:r>
      <w:r w:rsidRPr="00C1603D">
        <w:t xml:space="preserve"> 2006;</w:t>
      </w:r>
      <w:r w:rsidRPr="00C1603D">
        <w:rPr>
          <w:b/>
        </w:rPr>
        <w:t>55</w:t>
      </w:r>
      <w:r w:rsidRPr="00C1603D">
        <w:t>:A98</w:t>
      </w:r>
      <w:r w:rsidR="00C65AC6" w:rsidRPr="00C1603D">
        <w:t>–</w:t>
      </w:r>
      <w:r w:rsidRPr="00C1603D">
        <w:t>A.</w:t>
      </w:r>
    </w:p>
    <w:p w14:paraId="5B7F95BB" w14:textId="77777777" w:rsidR="00EF77DB" w:rsidRPr="00C1603D" w:rsidRDefault="00EF77DB" w:rsidP="00EF77DB">
      <w:pPr>
        <w:pStyle w:val="65ReferencesTextstylesTextstyles"/>
      </w:pPr>
      <w:r w:rsidRPr="00C1603D">
        <w:t>377.</w:t>
      </w:r>
      <w:r w:rsidRPr="00C1603D">
        <w:tab/>
        <w:t xml:space="preserve">Leeds JS, </w:t>
      </w:r>
      <w:proofErr w:type="spellStart"/>
      <w:r w:rsidRPr="00C1603D">
        <w:t>Höroldt</w:t>
      </w:r>
      <w:proofErr w:type="spellEnd"/>
      <w:r w:rsidRPr="00C1603D">
        <w:t xml:space="preserve"> BS, Sidhu R, Hopper AD, Robinson K, Toulson B, </w:t>
      </w:r>
      <w:r w:rsidRPr="00C1603D">
        <w:rPr>
          <w:i/>
        </w:rPr>
        <w:t>et al</w:t>
      </w:r>
      <w:r w:rsidRPr="00C1603D">
        <w:t xml:space="preserve">. Is there an association between coeliac disease and inflammatory bowel diseases? A study of relative prevalence in comparison with population controls. </w:t>
      </w:r>
      <w:proofErr w:type="spellStart"/>
      <w:r w:rsidRPr="00C1603D">
        <w:rPr>
          <w:i/>
        </w:rPr>
        <w:t>Scand</w:t>
      </w:r>
      <w:proofErr w:type="spellEnd"/>
      <w:r w:rsidRPr="00C1603D">
        <w:rPr>
          <w:i/>
        </w:rPr>
        <w:t xml:space="preserve"> J Gastroenterol</w:t>
      </w:r>
      <w:r w:rsidRPr="00C1603D">
        <w:t xml:space="preserve"> 2007;</w:t>
      </w:r>
      <w:r w:rsidRPr="00C1603D">
        <w:rPr>
          <w:b/>
        </w:rPr>
        <w:t>42</w:t>
      </w:r>
      <w:r w:rsidRPr="00C1603D">
        <w:t>:</w:t>
      </w:r>
      <w:r w:rsidRPr="00C1603D">
        <w:rPr>
          <w:color w:val="auto"/>
        </w:rPr>
        <w:t>1214</w:t>
      </w:r>
      <w:r w:rsidRPr="00C1603D">
        <w:rPr>
          <w:color w:val="00B0F0"/>
        </w:rPr>
        <w:t>–</w:t>
      </w:r>
      <w:r w:rsidRPr="00C1603D">
        <w:rPr>
          <w:color w:val="auto"/>
        </w:rPr>
        <w:t>20</w:t>
      </w:r>
      <w:r w:rsidRPr="00C1603D">
        <w:t>.</w:t>
      </w:r>
    </w:p>
    <w:p w14:paraId="48A01C92" w14:textId="77777777" w:rsidR="00EF77DB" w:rsidRPr="00C1603D" w:rsidRDefault="00EF77DB" w:rsidP="00EF77DB">
      <w:pPr>
        <w:pStyle w:val="65ReferencesTextstylesTextstyles"/>
      </w:pPr>
      <w:r w:rsidRPr="00C1603D">
        <w:t>378.</w:t>
      </w:r>
      <w:r w:rsidRPr="00C1603D">
        <w:tab/>
        <w:t xml:space="preserve">Watanabe C, </w:t>
      </w:r>
      <w:proofErr w:type="spellStart"/>
      <w:r w:rsidRPr="00C1603D">
        <w:t>Komoto</w:t>
      </w:r>
      <w:proofErr w:type="spellEnd"/>
      <w:r w:rsidRPr="00C1603D">
        <w:t xml:space="preserve"> S, </w:t>
      </w:r>
      <w:proofErr w:type="spellStart"/>
      <w:r w:rsidRPr="00C1603D">
        <w:t>Hokari</w:t>
      </w:r>
      <w:proofErr w:type="spellEnd"/>
      <w:r w:rsidRPr="00C1603D">
        <w:t xml:space="preserve"> R, </w:t>
      </w:r>
      <w:proofErr w:type="spellStart"/>
      <w:r w:rsidRPr="00C1603D">
        <w:t>Kurihara</w:t>
      </w:r>
      <w:proofErr w:type="spellEnd"/>
      <w:r w:rsidRPr="00C1603D">
        <w:t xml:space="preserve"> C, Okada Y, </w:t>
      </w:r>
      <w:proofErr w:type="spellStart"/>
      <w:r w:rsidRPr="00C1603D">
        <w:t>Hozumi</w:t>
      </w:r>
      <w:proofErr w:type="spellEnd"/>
      <w:r w:rsidRPr="00C1603D">
        <w:t xml:space="preserve"> H, </w:t>
      </w:r>
      <w:r w:rsidRPr="00C1603D">
        <w:rPr>
          <w:i/>
        </w:rPr>
        <w:t>et al</w:t>
      </w:r>
      <w:r w:rsidRPr="00C1603D">
        <w:t xml:space="preserve">. Prevalence of serum celiac antibody in patients with IBD in Japan. </w:t>
      </w:r>
      <w:r w:rsidRPr="00C1603D">
        <w:rPr>
          <w:i/>
        </w:rPr>
        <w:t>J Gastroenterol</w:t>
      </w:r>
      <w:r w:rsidRPr="00C1603D">
        <w:t xml:space="preserve"> 2014;</w:t>
      </w:r>
      <w:r w:rsidRPr="00C1603D">
        <w:rPr>
          <w:b/>
        </w:rPr>
        <w:t>49</w:t>
      </w:r>
      <w:r w:rsidRPr="00C1603D">
        <w:t>:</w:t>
      </w:r>
      <w:r w:rsidRPr="00C1603D">
        <w:rPr>
          <w:color w:val="auto"/>
        </w:rPr>
        <w:t>825</w:t>
      </w:r>
      <w:r w:rsidRPr="00C1603D">
        <w:rPr>
          <w:color w:val="00B0F0"/>
        </w:rPr>
        <w:t>–</w:t>
      </w:r>
      <w:r w:rsidRPr="00C1603D">
        <w:rPr>
          <w:color w:val="auto"/>
        </w:rPr>
        <w:t>34</w:t>
      </w:r>
      <w:r w:rsidRPr="00C1603D">
        <w:t>. https://doi.org/10.1007/s00535-013-0838-6</w:t>
      </w:r>
    </w:p>
    <w:p w14:paraId="4174ED9F" w14:textId="031BDDAE" w:rsidR="00EF77DB" w:rsidRPr="00C1603D" w:rsidRDefault="00EF77DB" w:rsidP="00EF77DB">
      <w:pPr>
        <w:pStyle w:val="65ReferencesTextstylesTextstyles"/>
      </w:pPr>
      <w:r w:rsidRPr="00C1603D">
        <w:t>379.</w:t>
      </w:r>
      <w:r w:rsidRPr="00C1603D">
        <w:tab/>
        <w:t>El-</w:t>
      </w:r>
      <w:proofErr w:type="spellStart"/>
      <w:r w:rsidRPr="00C1603D">
        <w:t>Matary</w:t>
      </w:r>
      <w:proofErr w:type="spellEnd"/>
      <w:r w:rsidRPr="00C1603D">
        <w:t xml:space="preserve"> W, </w:t>
      </w:r>
      <w:proofErr w:type="spellStart"/>
      <w:r w:rsidRPr="00C1603D">
        <w:t>Fedorak</w:t>
      </w:r>
      <w:proofErr w:type="spellEnd"/>
      <w:r w:rsidRPr="00C1603D">
        <w:t xml:space="preserve"> RN, </w:t>
      </w:r>
      <w:proofErr w:type="spellStart"/>
      <w:r w:rsidRPr="00C1603D">
        <w:t>Senthilselvan</w:t>
      </w:r>
      <w:proofErr w:type="spellEnd"/>
      <w:r w:rsidRPr="00C1603D">
        <w:t xml:space="preserve"> A, </w:t>
      </w:r>
      <w:proofErr w:type="spellStart"/>
      <w:r w:rsidRPr="00C1603D">
        <w:t>Spady</w:t>
      </w:r>
      <w:proofErr w:type="spellEnd"/>
      <w:r w:rsidRPr="00C1603D">
        <w:t xml:space="preserve"> D. Celiac disease and inflammatory bowel disease in children: </w:t>
      </w:r>
      <w:r w:rsidR="00C65AC6" w:rsidRPr="00C1603D">
        <w:t>i</w:t>
      </w:r>
      <w:r w:rsidRPr="00C1603D">
        <w:t xml:space="preserve">s there a link? </w:t>
      </w:r>
      <w:r w:rsidRPr="00C1603D">
        <w:rPr>
          <w:i/>
        </w:rPr>
        <w:t>Gastroenterology</w:t>
      </w:r>
      <w:r w:rsidRPr="00C1603D">
        <w:t xml:space="preserve"> 2012;</w:t>
      </w:r>
      <w:r w:rsidRPr="00C1603D">
        <w:rPr>
          <w:b/>
        </w:rPr>
        <w:t>142</w:t>
      </w:r>
      <w:r w:rsidRPr="00C1603D">
        <w:t>:S370</w:t>
      </w:r>
      <w:r w:rsidR="00C65AC6" w:rsidRPr="00C1603D">
        <w:t>–</w:t>
      </w:r>
      <w:r w:rsidRPr="00C1603D">
        <w:t>S1.</w:t>
      </w:r>
    </w:p>
    <w:p w14:paraId="3DCCCBC5" w14:textId="77777777" w:rsidR="00EF77DB" w:rsidRPr="00C1603D" w:rsidRDefault="00EF77DB" w:rsidP="00EF77DB">
      <w:pPr>
        <w:pStyle w:val="65ReferencesTextstylesTextstyles"/>
      </w:pPr>
      <w:r w:rsidRPr="00C1603D">
        <w:t>380.</w:t>
      </w:r>
      <w:r w:rsidRPr="00C1603D">
        <w:tab/>
        <w:t xml:space="preserve">Kull K, </w:t>
      </w:r>
      <w:proofErr w:type="spellStart"/>
      <w:r w:rsidRPr="00C1603D">
        <w:t>Uibo</w:t>
      </w:r>
      <w:proofErr w:type="spellEnd"/>
      <w:r w:rsidRPr="00C1603D">
        <w:t xml:space="preserve"> O, </w:t>
      </w:r>
      <w:proofErr w:type="spellStart"/>
      <w:r w:rsidRPr="00C1603D">
        <w:t>Salupere</w:t>
      </w:r>
      <w:proofErr w:type="spellEnd"/>
      <w:r w:rsidRPr="00C1603D">
        <w:t xml:space="preserve"> R, </w:t>
      </w:r>
      <w:proofErr w:type="spellStart"/>
      <w:r w:rsidRPr="00C1603D">
        <w:t>Metsküla</w:t>
      </w:r>
      <w:proofErr w:type="spellEnd"/>
      <w:r w:rsidRPr="00C1603D">
        <w:t xml:space="preserve"> K, </w:t>
      </w:r>
      <w:proofErr w:type="spellStart"/>
      <w:r w:rsidRPr="00C1603D">
        <w:t>Uibo</w:t>
      </w:r>
      <w:proofErr w:type="spellEnd"/>
      <w:r w:rsidRPr="00C1603D">
        <w:t xml:space="preserve"> R. High frequency of antigliadin antibodies and absence of </w:t>
      </w:r>
      <w:proofErr w:type="spellStart"/>
      <w:r w:rsidRPr="00C1603D">
        <w:t>antireticulin</w:t>
      </w:r>
      <w:proofErr w:type="spellEnd"/>
      <w:r w:rsidRPr="00C1603D">
        <w:t xml:space="preserve"> and </w:t>
      </w:r>
      <w:proofErr w:type="spellStart"/>
      <w:r w:rsidRPr="00C1603D">
        <w:t>antiendomysium</w:t>
      </w:r>
      <w:proofErr w:type="spellEnd"/>
      <w:r w:rsidRPr="00C1603D">
        <w:t xml:space="preserve"> antibodies in patients with ulcerative colitis. </w:t>
      </w:r>
      <w:r w:rsidRPr="00C1603D">
        <w:rPr>
          <w:i/>
        </w:rPr>
        <w:t>J Gastroenterol</w:t>
      </w:r>
      <w:r w:rsidRPr="00C1603D">
        <w:t xml:space="preserve"> 1999;</w:t>
      </w:r>
      <w:r w:rsidRPr="00C1603D">
        <w:rPr>
          <w:b/>
        </w:rPr>
        <w:t>34</w:t>
      </w:r>
      <w:r w:rsidRPr="00C1603D">
        <w:t>:</w:t>
      </w:r>
      <w:r w:rsidRPr="00C1603D">
        <w:rPr>
          <w:color w:val="auto"/>
        </w:rPr>
        <w:t>61</w:t>
      </w:r>
      <w:r w:rsidRPr="00C1603D">
        <w:rPr>
          <w:color w:val="00B0F0"/>
        </w:rPr>
        <w:t>–</w:t>
      </w:r>
      <w:r w:rsidRPr="00C1603D">
        <w:rPr>
          <w:color w:val="auto"/>
        </w:rPr>
        <w:t>5</w:t>
      </w:r>
      <w:r w:rsidRPr="00C1603D">
        <w:t>. https://doi.org/10.1007/s005350050217</w:t>
      </w:r>
    </w:p>
    <w:p w14:paraId="74B22AB1" w14:textId="40226612" w:rsidR="00EF77DB" w:rsidRPr="00C1603D" w:rsidRDefault="00EF77DB" w:rsidP="00EF77DB">
      <w:pPr>
        <w:pStyle w:val="65ReferencesTextstylesTextstyles"/>
      </w:pPr>
      <w:r w:rsidRPr="00C1603D">
        <w:t>381.</w:t>
      </w:r>
      <w:r w:rsidRPr="00C1603D">
        <w:tab/>
        <w:t xml:space="preserve">Mehdi Z, </w:t>
      </w:r>
      <w:proofErr w:type="spellStart"/>
      <w:r w:rsidRPr="00C1603D">
        <w:t>Sakineh</w:t>
      </w:r>
      <w:proofErr w:type="spellEnd"/>
      <w:r w:rsidRPr="00C1603D">
        <w:t xml:space="preserve"> E, Mohammad F, Mansour R, Alireza A. Celiac disease: </w:t>
      </w:r>
      <w:r w:rsidR="00C65AC6" w:rsidRPr="00C1603D">
        <w:t>s</w:t>
      </w:r>
      <w:r w:rsidRPr="00C1603D">
        <w:t xml:space="preserve">erologic prevalence in patients with irritable bowel syndrome. </w:t>
      </w:r>
      <w:r w:rsidRPr="00C1603D">
        <w:rPr>
          <w:i/>
        </w:rPr>
        <w:t>J Res Med Sci</w:t>
      </w:r>
      <w:r w:rsidRPr="00C1603D">
        <w:t xml:space="preserve"> 2012;</w:t>
      </w:r>
      <w:r w:rsidRPr="00C1603D">
        <w:rPr>
          <w:b/>
        </w:rPr>
        <w:t>17</w:t>
      </w:r>
      <w:r w:rsidRPr="00C1603D">
        <w:t>:</w:t>
      </w:r>
      <w:r w:rsidRPr="00C1603D">
        <w:rPr>
          <w:color w:val="auto"/>
        </w:rPr>
        <w:t>839</w:t>
      </w:r>
      <w:r w:rsidRPr="00C1603D">
        <w:rPr>
          <w:color w:val="00B0F0"/>
        </w:rPr>
        <w:t>–</w:t>
      </w:r>
      <w:r w:rsidRPr="00C1603D">
        <w:rPr>
          <w:color w:val="auto"/>
        </w:rPr>
        <w:t>42</w:t>
      </w:r>
      <w:r w:rsidRPr="00C1603D">
        <w:t>.</w:t>
      </w:r>
    </w:p>
    <w:p w14:paraId="721CB83E" w14:textId="26DE537B" w:rsidR="00EF77DB" w:rsidRPr="00C1603D" w:rsidRDefault="00EF77DB" w:rsidP="00EF77DB">
      <w:pPr>
        <w:pStyle w:val="65ReferencesTextstylesTextstyles"/>
      </w:pPr>
      <w:r w:rsidRPr="00C1603D">
        <w:t>382.</w:t>
      </w:r>
      <w:r w:rsidRPr="00C1603D">
        <w:tab/>
      </w:r>
      <w:proofErr w:type="spellStart"/>
      <w:r w:rsidRPr="00C1603D">
        <w:t>Respondek</w:t>
      </w:r>
      <w:proofErr w:type="spellEnd"/>
      <w:r w:rsidRPr="00C1603D">
        <w:t xml:space="preserve"> W, </w:t>
      </w:r>
      <w:proofErr w:type="spellStart"/>
      <w:r w:rsidRPr="00C1603D">
        <w:t>Tomasiuk</w:t>
      </w:r>
      <w:proofErr w:type="spellEnd"/>
      <w:r w:rsidRPr="00C1603D">
        <w:t xml:space="preserve"> R, Jarosz M, </w:t>
      </w:r>
      <w:proofErr w:type="spellStart"/>
      <w:r w:rsidRPr="00C1603D">
        <w:t>Traczyk</w:t>
      </w:r>
      <w:proofErr w:type="spellEnd"/>
      <w:r w:rsidRPr="00C1603D">
        <w:t xml:space="preserve"> I, </w:t>
      </w:r>
      <w:proofErr w:type="spellStart"/>
      <w:r w:rsidRPr="00C1603D">
        <w:t>Mekus</w:t>
      </w:r>
      <w:proofErr w:type="spellEnd"/>
      <w:r w:rsidRPr="00C1603D">
        <w:t xml:space="preserve"> M. Is it reasonable to perform serological tests for celiac disease in patients with irritable bowel syndrome? </w:t>
      </w:r>
      <w:proofErr w:type="spellStart"/>
      <w:r w:rsidRPr="00C1603D">
        <w:rPr>
          <w:i/>
        </w:rPr>
        <w:t>Prz</w:t>
      </w:r>
      <w:proofErr w:type="spellEnd"/>
      <w:r w:rsidR="006B173F" w:rsidRPr="00C1603D">
        <w:rPr>
          <w:i/>
        </w:rPr>
        <w:t xml:space="preserve"> </w:t>
      </w:r>
      <w:r w:rsidRPr="00C1603D">
        <w:rPr>
          <w:i/>
        </w:rPr>
        <w:t>Gastroenterol</w:t>
      </w:r>
      <w:r w:rsidR="006B173F" w:rsidRPr="00C1603D">
        <w:rPr>
          <w:i/>
        </w:rPr>
        <w:t xml:space="preserve"> </w:t>
      </w:r>
      <w:r w:rsidRPr="00C1603D">
        <w:t>2013;</w:t>
      </w:r>
      <w:r w:rsidRPr="00C1603D">
        <w:rPr>
          <w:b/>
        </w:rPr>
        <w:t>8</w:t>
      </w:r>
      <w:r w:rsidRPr="00C1603D">
        <w:t>:184</w:t>
      </w:r>
      <w:r w:rsidR="00C65AC6" w:rsidRPr="00C1603D">
        <w:t>–</w:t>
      </w:r>
      <w:r w:rsidRPr="00C1603D">
        <w:t>90.</w:t>
      </w:r>
    </w:p>
    <w:p w14:paraId="52D50ABF" w14:textId="3AEBCF5A" w:rsidR="00EF77DB" w:rsidRPr="00C1603D" w:rsidRDefault="00EF77DB" w:rsidP="00EF77DB">
      <w:pPr>
        <w:pStyle w:val="65ReferencesTextstylesTextstyles"/>
      </w:pPr>
      <w:r w:rsidRPr="00C1603D">
        <w:t>383.</w:t>
      </w:r>
      <w:r w:rsidRPr="00C1603D">
        <w:tab/>
      </w:r>
      <w:proofErr w:type="spellStart"/>
      <w:r w:rsidRPr="00C1603D">
        <w:t>Almazar</w:t>
      </w:r>
      <w:proofErr w:type="spellEnd"/>
      <w:r w:rsidRPr="00C1603D">
        <w:t xml:space="preserve"> AE, Talley NJ, Larson JJ, Atkinson EJ, Murray JA, Saito YA. Celiac disease is uncommon in irritable bowel syndrome in the USA. </w:t>
      </w:r>
      <w:proofErr w:type="spellStart"/>
      <w:r w:rsidR="004715C0" w:rsidRPr="00C1603D">
        <w:rPr>
          <w:i/>
        </w:rPr>
        <w:t>Eur</w:t>
      </w:r>
      <w:proofErr w:type="spellEnd"/>
      <w:r w:rsidR="004715C0" w:rsidRPr="00C1603D">
        <w:rPr>
          <w:i/>
        </w:rPr>
        <w:t xml:space="preserve"> J</w:t>
      </w:r>
      <w:r w:rsidRPr="00C1603D">
        <w:t xml:space="preserve"> </w:t>
      </w:r>
      <w:r w:rsidRPr="00C1603D">
        <w:rPr>
          <w:i/>
        </w:rPr>
        <w:t>Gastroenterol</w:t>
      </w:r>
      <w:r w:rsidR="004715C0" w:rsidRPr="00C1603D">
        <w:rPr>
          <w:i/>
        </w:rPr>
        <w:t xml:space="preserve"> </w:t>
      </w:r>
      <w:r w:rsidRPr="00C1603D">
        <w:rPr>
          <w:i/>
        </w:rPr>
        <w:t>Hepatol</w:t>
      </w:r>
      <w:r w:rsidRPr="00C1603D">
        <w:t xml:space="preserve"> 2018;</w:t>
      </w:r>
      <w:r w:rsidRPr="00C1603D">
        <w:rPr>
          <w:b/>
        </w:rPr>
        <w:t>30</w:t>
      </w:r>
      <w:r w:rsidRPr="00C1603D">
        <w:t>:149</w:t>
      </w:r>
      <w:r w:rsidR="004715C0" w:rsidRPr="00C1603D">
        <w:t>–</w:t>
      </w:r>
      <w:r w:rsidRPr="00C1603D">
        <w:t>54.</w:t>
      </w:r>
    </w:p>
    <w:p w14:paraId="520A34B3" w14:textId="77777777" w:rsidR="00EF77DB" w:rsidRPr="00C1603D" w:rsidRDefault="00EF77DB" w:rsidP="00EF77DB">
      <w:pPr>
        <w:pStyle w:val="65ReferencesTextstylesTextstyles"/>
      </w:pPr>
      <w:r w:rsidRPr="00C1603D">
        <w:lastRenderedPageBreak/>
        <w:t>384.</w:t>
      </w:r>
      <w:r w:rsidRPr="00C1603D">
        <w:tab/>
        <w:t xml:space="preserve">Cash BD, Rubenstein JH, Young PE, Gentry A, </w:t>
      </w:r>
      <w:proofErr w:type="spellStart"/>
      <w:r w:rsidRPr="00C1603D">
        <w:t>Nojkov</w:t>
      </w:r>
      <w:proofErr w:type="spellEnd"/>
      <w:r w:rsidRPr="00C1603D">
        <w:t xml:space="preserve"> B, Lee D, </w:t>
      </w:r>
      <w:r w:rsidRPr="00C1603D">
        <w:rPr>
          <w:i/>
        </w:rPr>
        <w:t>et al</w:t>
      </w:r>
      <w:r w:rsidRPr="00C1603D">
        <w:t xml:space="preserve">. The prevalence of celiac disease among patients with </w:t>
      </w:r>
      <w:proofErr w:type="spellStart"/>
      <w:r w:rsidRPr="00C1603D">
        <w:t>nonconstipated</w:t>
      </w:r>
      <w:proofErr w:type="spellEnd"/>
      <w:r w:rsidRPr="00C1603D">
        <w:t xml:space="preserve"> irritable bowel syndrome is similar to controls. </w:t>
      </w:r>
      <w:r w:rsidRPr="00C1603D">
        <w:rPr>
          <w:i/>
        </w:rPr>
        <w:t>Gastroenterology</w:t>
      </w:r>
      <w:r w:rsidRPr="00C1603D">
        <w:t xml:space="preserve"> 2011;</w:t>
      </w:r>
      <w:r w:rsidRPr="00C1603D">
        <w:rPr>
          <w:b/>
        </w:rPr>
        <w:t>141</w:t>
      </w:r>
      <w:r w:rsidRPr="00C1603D">
        <w:t>:</w:t>
      </w:r>
      <w:r w:rsidRPr="00C1603D">
        <w:rPr>
          <w:color w:val="auto"/>
        </w:rPr>
        <w:t>1187</w:t>
      </w:r>
      <w:r w:rsidRPr="00C1603D">
        <w:rPr>
          <w:color w:val="00B0F0"/>
        </w:rPr>
        <w:t>–</w:t>
      </w:r>
      <w:r w:rsidRPr="00C1603D">
        <w:rPr>
          <w:color w:val="auto"/>
        </w:rPr>
        <w:t>93</w:t>
      </w:r>
      <w:r w:rsidRPr="00C1603D">
        <w:t>. https://doi.org/10.1053/j.gastro.2011.06.084</w:t>
      </w:r>
    </w:p>
    <w:p w14:paraId="6C94A5C5" w14:textId="77777777" w:rsidR="00EF77DB" w:rsidRPr="00C1603D" w:rsidRDefault="00EF77DB" w:rsidP="00EF77DB">
      <w:pPr>
        <w:pStyle w:val="65ReferencesTextstylesTextstyles"/>
      </w:pPr>
      <w:r w:rsidRPr="00C1603D">
        <w:t>385.</w:t>
      </w:r>
      <w:r w:rsidRPr="00C1603D">
        <w:tab/>
        <w:t xml:space="preserve">Domżał-Magrowska D, Kowalski MK, </w:t>
      </w:r>
      <w:proofErr w:type="spellStart"/>
      <w:r w:rsidRPr="00C1603D">
        <w:t>Szcze</w:t>
      </w:r>
      <w:r w:rsidRPr="00C1603D">
        <w:rPr>
          <w:rFonts w:ascii="Cambria" w:hAnsi="Cambria" w:cs="Cambria"/>
        </w:rPr>
        <w:t>ś</w:t>
      </w:r>
      <w:r w:rsidRPr="00C1603D">
        <w:t>niak</w:t>
      </w:r>
      <w:proofErr w:type="spellEnd"/>
      <w:r w:rsidRPr="00C1603D">
        <w:t xml:space="preserve"> P, </w:t>
      </w:r>
      <w:proofErr w:type="spellStart"/>
      <w:r w:rsidRPr="00C1603D">
        <w:t>Bulska</w:t>
      </w:r>
      <w:proofErr w:type="spellEnd"/>
      <w:r w:rsidRPr="00C1603D">
        <w:t xml:space="preserve"> M, </w:t>
      </w:r>
      <w:proofErr w:type="spellStart"/>
      <w:r w:rsidRPr="00C1603D">
        <w:t>Orszulak</w:t>
      </w:r>
      <w:proofErr w:type="spellEnd"/>
      <w:r w:rsidRPr="00C1603D">
        <w:t xml:space="preserve">-Michalak D, </w:t>
      </w:r>
      <w:proofErr w:type="spellStart"/>
      <w:r w:rsidRPr="00C1603D">
        <w:t>Małecka-Panas</w:t>
      </w:r>
      <w:proofErr w:type="spellEnd"/>
      <w:r w:rsidRPr="00C1603D">
        <w:t xml:space="preserve"> E. The prevalence of celiac disease in patients with irritable bowel syndrome and its subtypes. </w:t>
      </w:r>
      <w:proofErr w:type="spellStart"/>
      <w:r w:rsidRPr="00C1603D">
        <w:rPr>
          <w:i/>
        </w:rPr>
        <w:t>Prz</w:t>
      </w:r>
      <w:proofErr w:type="spellEnd"/>
      <w:r w:rsidRPr="00C1603D">
        <w:rPr>
          <w:i/>
        </w:rPr>
        <w:t xml:space="preserve"> Gastroenterol</w:t>
      </w:r>
      <w:r w:rsidRPr="00C1603D">
        <w:t xml:space="preserve"> 2016;</w:t>
      </w:r>
      <w:r w:rsidRPr="00C1603D">
        <w:rPr>
          <w:b/>
        </w:rPr>
        <w:t>11</w:t>
      </w:r>
      <w:r w:rsidRPr="00C1603D">
        <w:t>:</w:t>
      </w:r>
      <w:r w:rsidRPr="00C1603D">
        <w:rPr>
          <w:color w:val="auto"/>
        </w:rPr>
        <w:t>276</w:t>
      </w:r>
      <w:r w:rsidRPr="00C1603D">
        <w:rPr>
          <w:color w:val="00B0F0"/>
        </w:rPr>
        <w:t>–</w:t>
      </w:r>
      <w:r w:rsidRPr="00C1603D">
        <w:rPr>
          <w:color w:val="auto"/>
        </w:rPr>
        <w:t>81</w:t>
      </w:r>
      <w:r w:rsidRPr="00C1603D">
        <w:t>. https://doi.org/10.5114/pg.2016.57941</w:t>
      </w:r>
    </w:p>
    <w:p w14:paraId="1DA8623E" w14:textId="0E46E99F" w:rsidR="00EF77DB" w:rsidRPr="00C1603D" w:rsidRDefault="00EF77DB" w:rsidP="00EF77DB">
      <w:pPr>
        <w:pStyle w:val="65ReferencesTextstylesTextstyles"/>
      </w:pPr>
      <w:r w:rsidRPr="00C1603D">
        <w:t>386.</w:t>
      </w:r>
      <w:r w:rsidRPr="00C1603D">
        <w:tab/>
        <w:t xml:space="preserve">Kou GJ, Guo J, </w:t>
      </w:r>
      <w:proofErr w:type="spellStart"/>
      <w:r w:rsidRPr="00C1603D">
        <w:t>Zuo</w:t>
      </w:r>
      <w:proofErr w:type="spellEnd"/>
      <w:r w:rsidRPr="00C1603D">
        <w:t xml:space="preserve"> XL, Li CQ, Liu C, Ji R, </w:t>
      </w:r>
      <w:r w:rsidRPr="00C1603D">
        <w:rPr>
          <w:i/>
        </w:rPr>
        <w:t>et al</w:t>
      </w:r>
      <w:r w:rsidRPr="00C1603D">
        <w:t xml:space="preserve">. Prevalence of celiac disease in adult Chinese patients with </w:t>
      </w:r>
      <w:proofErr w:type="spellStart"/>
      <w:r w:rsidRPr="00C1603D">
        <w:t>diarrhea</w:t>
      </w:r>
      <w:proofErr w:type="spellEnd"/>
      <w:r w:rsidRPr="00C1603D">
        <w:t xml:space="preserve">-predominant irritable bowel syndrome: </w:t>
      </w:r>
      <w:r w:rsidR="004715C0" w:rsidRPr="00C1603D">
        <w:t>a</w:t>
      </w:r>
      <w:r w:rsidRPr="00C1603D">
        <w:t xml:space="preserve"> prospective, controlled, cohort study. </w:t>
      </w:r>
      <w:r w:rsidRPr="00C1603D">
        <w:rPr>
          <w:i/>
        </w:rPr>
        <w:t>J Dig Dis</w:t>
      </w:r>
      <w:r w:rsidRPr="00C1603D">
        <w:t xml:space="preserve"> 2018;</w:t>
      </w:r>
      <w:r w:rsidRPr="00C1603D">
        <w:rPr>
          <w:b/>
        </w:rPr>
        <w:t>19</w:t>
      </w:r>
      <w:r w:rsidRPr="00C1603D">
        <w:t>:</w:t>
      </w:r>
      <w:r w:rsidRPr="00C1603D">
        <w:rPr>
          <w:color w:val="auto"/>
        </w:rPr>
        <w:t>136</w:t>
      </w:r>
      <w:r w:rsidRPr="00C1603D">
        <w:rPr>
          <w:color w:val="00B0F0"/>
        </w:rPr>
        <w:t>–</w:t>
      </w:r>
      <w:r w:rsidRPr="00C1603D">
        <w:rPr>
          <w:color w:val="auto"/>
        </w:rPr>
        <w:t>43</w:t>
      </w:r>
      <w:r w:rsidRPr="00C1603D">
        <w:t>. https://doi.org/10.1111/1751-2980.12587</w:t>
      </w:r>
    </w:p>
    <w:p w14:paraId="5FCD98BF" w14:textId="4D552B4E" w:rsidR="00EF77DB" w:rsidRPr="00C1603D" w:rsidRDefault="00EF77DB" w:rsidP="00EF77DB">
      <w:pPr>
        <w:pStyle w:val="65ReferencesTextstylesTextstyles"/>
      </w:pPr>
      <w:r w:rsidRPr="00C1603D">
        <w:t>387.</w:t>
      </w:r>
      <w:r w:rsidRPr="00C1603D">
        <w:tab/>
        <w:t xml:space="preserve">Saito-Loftus Y, </w:t>
      </w:r>
      <w:proofErr w:type="spellStart"/>
      <w:r w:rsidRPr="00C1603D">
        <w:t>Brantner</w:t>
      </w:r>
      <w:proofErr w:type="spellEnd"/>
      <w:r w:rsidRPr="00C1603D">
        <w:t xml:space="preserve"> T, Zimmerman J, Talley N, Murray J. The prevalence of positive serologic tests for celiac sprue does not differ between irritable bowel syndrome (IBS) patients compared with controls. </w:t>
      </w:r>
      <w:r w:rsidR="004715C0" w:rsidRPr="00C1603D">
        <w:rPr>
          <w:i/>
        </w:rPr>
        <w:t>Am J</w:t>
      </w:r>
      <w:r w:rsidRPr="00C1603D">
        <w:t xml:space="preserve"> </w:t>
      </w:r>
      <w:r w:rsidRPr="00C1603D">
        <w:rPr>
          <w:i/>
        </w:rPr>
        <w:t>Gastroenterol</w:t>
      </w:r>
      <w:r w:rsidRPr="00C1603D">
        <w:t xml:space="preserve"> 2008;</w:t>
      </w:r>
      <w:r w:rsidRPr="00C1603D">
        <w:rPr>
          <w:b/>
        </w:rPr>
        <w:t>103</w:t>
      </w:r>
      <w:r w:rsidRPr="00C1603D">
        <w:t>:S472</w:t>
      </w:r>
      <w:r w:rsidR="004715C0" w:rsidRPr="00C1603D">
        <w:t>–</w:t>
      </w:r>
      <w:r w:rsidRPr="00C1603D">
        <w:t>S.</w:t>
      </w:r>
    </w:p>
    <w:p w14:paraId="6D69C860" w14:textId="486A4EBD" w:rsidR="00EF77DB" w:rsidRPr="00C1603D" w:rsidRDefault="00EF77DB" w:rsidP="00EF77DB">
      <w:pPr>
        <w:pStyle w:val="65ReferencesTextstylesTextstyles"/>
      </w:pPr>
      <w:r w:rsidRPr="00C1603D">
        <w:t>388.</w:t>
      </w:r>
      <w:r w:rsidRPr="00C1603D">
        <w:tab/>
        <w:t xml:space="preserve">Sánchez-Vargas LA, Thomas-Dupont P, Torres-Aguilera M, </w:t>
      </w:r>
      <w:proofErr w:type="spellStart"/>
      <w:r w:rsidRPr="00C1603D">
        <w:t>Azamar</w:t>
      </w:r>
      <w:proofErr w:type="spellEnd"/>
      <w:r w:rsidRPr="00C1603D">
        <w:t>-Jacome AA, Ramírez-</w:t>
      </w:r>
      <w:proofErr w:type="spellStart"/>
      <w:r w:rsidRPr="00C1603D">
        <w:t>Ceervanes</w:t>
      </w:r>
      <w:proofErr w:type="spellEnd"/>
      <w:r w:rsidRPr="00C1603D">
        <w:t xml:space="preserve"> KL, </w:t>
      </w:r>
      <w:proofErr w:type="spellStart"/>
      <w:r w:rsidRPr="00C1603D">
        <w:t>Aedo-Garcés</w:t>
      </w:r>
      <w:proofErr w:type="spellEnd"/>
      <w:r w:rsidRPr="00C1603D">
        <w:t xml:space="preserve"> MR, </w:t>
      </w:r>
      <w:r w:rsidRPr="00C1603D">
        <w:rPr>
          <w:i/>
        </w:rPr>
        <w:t>et al</w:t>
      </w:r>
      <w:r w:rsidRPr="00C1603D">
        <w:t>. Prevalence of celiac disease and related antibodies in patients diagnosed with irritable bowel syndrome according to the Rome III criteria. A case</w:t>
      </w:r>
      <w:r w:rsidR="004715C0" w:rsidRPr="00C1603D">
        <w:t>–</w:t>
      </w:r>
      <w:r w:rsidRPr="00C1603D">
        <w:t xml:space="preserve">control study. </w:t>
      </w:r>
      <w:proofErr w:type="spellStart"/>
      <w:r w:rsidRPr="00C1603D">
        <w:rPr>
          <w:i/>
        </w:rPr>
        <w:t>Neurogastroenterol</w:t>
      </w:r>
      <w:proofErr w:type="spellEnd"/>
      <w:r w:rsidRPr="00C1603D">
        <w:rPr>
          <w:i/>
        </w:rPr>
        <w:t xml:space="preserve"> </w:t>
      </w:r>
      <w:proofErr w:type="spellStart"/>
      <w:r w:rsidRPr="00C1603D">
        <w:rPr>
          <w:i/>
        </w:rPr>
        <w:t>Motil</w:t>
      </w:r>
      <w:proofErr w:type="spellEnd"/>
      <w:r w:rsidRPr="00C1603D">
        <w:t xml:space="preserve"> 2016;</w:t>
      </w:r>
      <w:r w:rsidRPr="00C1603D">
        <w:rPr>
          <w:b/>
        </w:rPr>
        <w:t>28</w:t>
      </w:r>
      <w:r w:rsidRPr="00C1603D">
        <w:t>:</w:t>
      </w:r>
      <w:r w:rsidRPr="00C1603D">
        <w:rPr>
          <w:color w:val="auto"/>
        </w:rPr>
        <w:t>994</w:t>
      </w:r>
      <w:r w:rsidRPr="00C1603D">
        <w:rPr>
          <w:color w:val="00B0F0"/>
        </w:rPr>
        <w:t>–</w:t>
      </w:r>
      <w:proofErr w:type="gramStart"/>
      <w:r w:rsidRPr="00C1603D">
        <w:rPr>
          <w:color w:val="auto"/>
        </w:rPr>
        <w:t>1000</w:t>
      </w:r>
      <w:proofErr w:type="gramEnd"/>
      <w:r w:rsidRPr="00C1603D">
        <w:t>. https://doi.org/10.1111/nmo.12799</w:t>
      </w:r>
    </w:p>
    <w:p w14:paraId="0E3907C9" w14:textId="1FC3ED80" w:rsidR="00EF77DB" w:rsidRPr="00C1603D" w:rsidRDefault="00EF77DB" w:rsidP="00EF77DB">
      <w:pPr>
        <w:pStyle w:val="65ReferencesTextstylesTextstyles"/>
      </w:pPr>
      <w:r w:rsidRPr="00C1603D">
        <w:t>389.</w:t>
      </w:r>
      <w:r w:rsidRPr="00C1603D">
        <w:tab/>
        <w:t xml:space="preserve">Sanders DS, Carter MJ, Hurlstone DP, Pearce A, Ward AM, </w:t>
      </w:r>
      <w:proofErr w:type="spellStart"/>
      <w:r w:rsidRPr="00C1603D">
        <w:t>McAlindon</w:t>
      </w:r>
      <w:proofErr w:type="spellEnd"/>
      <w:r w:rsidRPr="00C1603D">
        <w:t xml:space="preserve"> ME, Lobo AJ. Association of adult coeliac disease with irritable bowel syndrome: a case</w:t>
      </w:r>
      <w:r w:rsidR="004715C0" w:rsidRPr="00C1603D">
        <w:t>–</w:t>
      </w:r>
      <w:r w:rsidRPr="00C1603D">
        <w:t xml:space="preserve">control study in patients fulfilling ROME II criteria referred to secondary care. </w:t>
      </w:r>
      <w:r w:rsidRPr="00C1603D">
        <w:rPr>
          <w:i/>
        </w:rPr>
        <w:t>Lancet</w:t>
      </w:r>
      <w:r w:rsidRPr="00C1603D">
        <w:t xml:space="preserve"> 2001;</w:t>
      </w:r>
      <w:r w:rsidRPr="00C1603D">
        <w:rPr>
          <w:b/>
        </w:rPr>
        <w:t>358</w:t>
      </w:r>
      <w:r w:rsidRPr="00C1603D">
        <w:t>:</w:t>
      </w:r>
      <w:r w:rsidRPr="00C1603D">
        <w:rPr>
          <w:color w:val="auto"/>
        </w:rPr>
        <w:t>1504</w:t>
      </w:r>
      <w:r w:rsidRPr="00C1603D">
        <w:rPr>
          <w:color w:val="00B0F0"/>
        </w:rPr>
        <w:t>–</w:t>
      </w:r>
      <w:r w:rsidRPr="00C1603D">
        <w:rPr>
          <w:color w:val="auto"/>
        </w:rPr>
        <w:t>8</w:t>
      </w:r>
      <w:r w:rsidRPr="00C1603D">
        <w:t>.</w:t>
      </w:r>
    </w:p>
    <w:p w14:paraId="3CEC55B4" w14:textId="72D866F6" w:rsidR="00EF77DB" w:rsidRPr="00C1603D" w:rsidRDefault="00EF77DB" w:rsidP="00EF77DB">
      <w:pPr>
        <w:pStyle w:val="65ReferencesTextstylesTextstyles"/>
      </w:pPr>
      <w:r w:rsidRPr="00C1603D">
        <w:t>390.</w:t>
      </w:r>
      <w:r w:rsidRPr="00C1603D">
        <w:tab/>
        <w:t xml:space="preserve">Vargas LAS, Garces M, Dupont PT, </w:t>
      </w:r>
      <w:proofErr w:type="spellStart"/>
      <w:r w:rsidRPr="00C1603D">
        <w:t>Meixueiro</w:t>
      </w:r>
      <w:proofErr w:type="spellEnd"/>
      <w:r w:rsidRPr="00C1603D">
        <w:t xml:space="preserve"> A, Jacome AAA, </w:t>
      </w:r>
      <w:proofErr w:type="spellStart"/>
      <w:r w:rsidRPr="00C1603D">
        <w:t>Roesch</w:t>
      </w:r>
      <w:proofErr w:type="spellEnd"/>
      <w:r w:rsidRPr="00C1603D">
        <w:t xml:space="preserve"> FB, </w:t>
      </w:r>
      <w:r w:rsidRPr="00C1603D">
        <w:rPr>
          <w:i/>
        </w:rPr>
        <w:t>et</w:t>
      </w:r>
      <w:r w:rsidRPr="00C1603D">
        <w:t xml:space="preserve"> </w:t>
      </w:r>
      <w:r w:rsidRPr="00C1603D">
        <w:rPr>
          <w:i/>
        </w:rPr>
        <w:t>al</w:t>
      </w:r>
      <w:r w:rsidRPr="00C1603D">
        <w:t xml:space="preserve">. Prevalence of </w:t>
      </w:r>
      <w:r w:rsidR="004715C0" w:rsidRPr="00C1603D">
        <w:t>antibodies related to celiac dise</w:t>
      </w:r>
      <w:r w:rsidRPr="00C1603D">
        <w:t xml:space="preserve">ase (CD) in </w:t>
      </w:r>
      <w:r w:rsidR="004715C0" w:rsidRPr="00C1603D">
        <w:t>patients with irritable bowel syndro</w:t>
      </w:r>
      <w:r w:rsidRPr="00C1603D">
        <w:t xml:space="preserve">me (IBS) </w:t>
      </w:r>
      <w:r w:rsidR="004715C0" w:rsidRPr="00C1603D">
        <w:t>a</w:t>
      </w:r>
      <w:r w:rsidRPr="00C1603D">
        <w:t xml:space="preserve">ccording to ROME III </w:t>
      </w:r>
      <w:r w:rsidR="004715C0" w:rsidRPr="00C1603D">
        <w:t>criteria. a case–control study</w:t>
      </w:r>
      <w:r w:rsidRPr="00C1603D">
        <w:t xml:space="preserve">. </w:t>
      </w:r>
      <w:r w:rsidRPr="00C1603D">
        <w:rPr>
          <w:i/>
        </w:rPr>
        <w:t>Gastroenterology</w:t>
      </w:r>
      <w:r w:rsidRPr="00C1603D">
        <w:t xml:space="preserve"> 2013;</w:t>
      </w:r>
      <w:r w:rsidRPr="00C1603D">
        <w:rPr>
          <w:b/>
        </w:rPr>
        <w:t>144</w:t>
      </w:r>
      <w:r w:rsidRPr="00C1603D">
        <w:t>:S252</w:t>
      </w:r>
      <w:r w:rsidR="004715C0" w:rsidRPr="00C1603D">
        <w:t>–</w:t>
      </w:r>
      <w:r w:rsidRPr="00C1603D">
        <w:t>S.</w:t>
      </w:r>
    </w:p>
    <w:p w14:paraId="51A0B042" w14:textId="5AB00CDE" w:rsidR="00EF77DB" w:rsidRPr="00C1603D" w:rsidRDefault="00EF77DB" w:rsidP="00EF77DB">
      <w:pPr>
        <w:pStyle w:val="65ReferencesTextstylesTextstyles"/>
      </w:pPr>
      <w:r w:rsidRPr="00C1603D">
        <w:t>391.</w:t>
      </w:r>
      <w:r w:rsidRPr="00C1603D">
        <w:tab/>
        <w:t xml:space="preserve">Wang H, Zhou G, Luo L, Crusius JBA, Yuan A, Kou J, </w:t>
      </w:r>
      <w:r w:rsidRPr="00C1603D">
        <w:rPr>
          <w:i/>
        </w:rPr>
        <w:t>et al</w:t>
      </w:r>
      <w:r w:rsidRPr="00C1603D">
        <w:t xml:space="preserve">. Serological </w:t>
      </w:r>
      <w:r w:rsidR="004715C0" w:rsidRPr="00C1603D">
        <w:t>screening for celiac disease in adu</w:t>
      </w:r>
      <w:r w:rsidRPr="00C1603D">
        <w:t xml:space="preserve">lt Chinese </w:t>
      </w:r>
      <w:r w:rsidR="004715C0" w:rsidRPr="00C1603D">
        <w:t xml:space="preserve">patients with </w:t>
      </w:r>
      <w:proofErr w:type="spellStart"/>
      <w:r w:rsidR="004715C0" w:rsidRPr="00C1603D">
        <w:t>diarrhea</w:t>
      </w:r>
      <w:proofErr w:type="spellEnd"/>
      <w:r w:rsidR="004715C0" w:rsidRPr="00C1603D">
        <w:t xml:space="preserve"> predominant irritable bowel syndrome</w:t>
      </w:r>
      <w:r w:rsidRPr="00C1603D">
        <w:t xml:space="preserve">. </w:t>
      </w:r>
      <w:r w:rsidRPr="00C1603D">
        <w:rPr>
          <w:i/>
        </w:rPr>
        <w:t>Medicine</w:t>
      </w:r>
      <w:r w:rsidRPr="00C1603D">
        <w:t xml:space="preserve"> 2015;</w:t>
      </w:r>
      <w:r w:rsidRPr="00C1603D">
        <w:rPr>
          <w:b/>
        </w:rPr>
        <w:t>94</w:t>
      </w:r>
      <w:r w:rsidRPr="00C1603D">
        <w:t>:</w:t>
      </w:r>
      <w:r w:rsidRPr="00C1603D">
        <w:rPr>
          <w:color w:val="auto"/>
        </w:rPr>
        <w:t>e1779</w:t>
      </w:r>
      <w:r w:rsidRPr="00C1603D">
        <w:t>. https://doi.org/10.1097/MD.0000000000001779</w:t>
      </w:r>
    </w:p>
    <w:p w14:paraId="1C96B3F6" w14:textId="1BA22205" w:rsidR="00EF77DB" w:rsidRPr="00C1603D" w:rsidRDefault="00EF77DB" w:rsidP="00EF77DB">
      <w:pPr>
        <w:pStyle w:val="65ReferencesTextstylesTextstyles"/>
      </w:pPr>
      <w:r w:rsidRPr="00C1603D">
        <w:t>392.</w:t>
      </w:r>
      <w:r w:rsidRPr="00C1603D">
        <w:tab/>
      </w:r>
      <w:proofErr w:type="spellStart"/>
      <w:r w:rsidRPr="00C1603D">
        <w:t>Khayyat</w:t>
      </w:r>
      <w:proofErr w:type="spellEnd"/>
      <w:r w:rsidRPr="00C1603D">
        <w:t xml:space="preserve"> YM. Undiagnosed </w:t>
      </w:r>
      <w:r w:rsidR="004715C0" w:rsidRPr="00C1603D">
        <w:t>celiac disease in patients presenting with irritable bowel syndrome sympto</w:t>
      </w:r>
      <w:r w:rsidRPr="00C1603D">
        <w:t xml:space="preserve">ms. </w:t>
      </w:r>
      <w:r w:rsidRPr="00C1603D">
        <w:rPr>
          <w:i/>
        </w:rPr>
        <w:t xml:space="preserve">J </w:t>
      </w:r>
      <w:proofErr w:type="spellStart"/>
      <w:r w:rsidRPr="00C1603D">
        <w:rPr>
          <w:i/>
        </w:rPr>
        <w:t>Ayub</w:t>
      </w:r>
      <w:proofErr w:type="spellEnd"/>
      <w:r w:rsidRPr="00C1603D">
        <w:rPr>
          <w:i/>
        </w:rPr>
        <w:t xml:space="preserve"> Med Coll Abbottabad</w:t>
      </w:r>
      <w:r w:rsidRPr="00C1603D">
        <w:t xml:space="preserve"> 2020;</w:t>
      </w:r>
      <w:r w:rsidRPr="00C1603D">
        <w:rPr>
          <w:b/>
        </w:rPr>
        <w:t>32</w:t>
      </w:r>
      <w:r w:rsidRPr="00C1603D">
        <w:t>:</w:t>
      </w:r>
      <w:r w:rsidRPr="00C1603D">
        <w:rPr>
          <w:color w:val="auto"/>
        </w:rPr>
        <w:t>18</w:t>
      </w:r>
      <w:r w:rsidRPr="00C1603D">
        <w:rPr>
          <w:color w:val="00B0F0"/>
        </w:rPr>
        <w:t>–</w:t>
      </w:r>
      <w:r w:rsidRPr="00C1603D">
        <w:rPr>
          <w:color w:val="auto"/>
        </w:rPr>
        <w:t>23</w:t>
      </w:r>
      <w:r w:rsidRPr="00C1603D">
        <w:t>.</w:t>
      </w:r>
    </w:p>
    <w:p w14:paraId="5C82B1FE" w14:textId="1ED44039" w:rsidR="00EF77DB" w:rsidRPr="00C1603D" w:rsidRDefault="00EF77DB" w:rsidP="00EF77DB">
      <w:pPr>
        <w:pStyle w:val="65ReferencesTextstylesTextstyles"/>
      </w:pPr>
      <w:r w:rsidRPr="00C1603D">
        <w:t>393.</w:t>
      </w:r>
      <w:r w:rsidRPr="00C1603D">
        <w:tab/>
        <w:t xml:space="preserve">Olen O, Sandstrom O, </w:t>
      </w:r>
      <w:proofErr w:type="spellStart"/>
      <w:r w:rsidRPr="00C1603D">
        <w:t>Myleus</w:t>
      </w:r>
      <w:proofErr w:type="spellEnd"/>
      <w:r w:rsidRPr="00C1603D">
        <w:t xml:space="preserve"> A, Rosen A, Carlsson A, </w:t>
      </w:r>
      <w:proofErr w:type="spellStart"/>
      <w:r w:rsidRPr="00C1603D">
        <w:t>Hogberg</w:t>
      </w:r>
      <w:proofErr w:type="spellEnd"/>
      <w:r w:rsidRPr="00C1603D">
        <w:t xml:space="preserve"> L, </w:t>
      </w:r>
      <w:r w:rsidRPr="00C1603D">
        <w:rPr>
          <w:i/>
        </w:rPr>
        <w:t>et</w:t>
      </w:r>
      <w:r w:rsidRPr="00C1603D">
        <w:t xml:space="preserve"> </w:t>
      </w:r>
      <w:r w:rsidRPr="00C1603D">
        <w:rPr>
          <w:i/>
        </w:rPr>
        <w:t>al</w:t>
      </w:r>
      <w:r w:rsidRPr="00C1603D">
        <w:t xml:space="preserve">. Functional gastrointestinal disorders and the association to celiac disease-a population based screening study in children. </w:t>
      </w:r>
      <w:r w:rsidRPr="00C1603D">
        <w:rPr>
          <w:i/>
        </w:rPr>
        <w:t>Gastroenterology</w:t>
      </w:r>
      <w:r w:rsidRPr="00C1603D">
        <w:t xml:space="preserve"> 2014;</w:t>
      </w:r>
      <w:r w:rsidRPr="00C1603D">
        <w:rPr>
          <w:b/>
        </w:rPr>
        <w:t>146</w:t>
      </w:r>
      <w:r w:rsidRPr="00C1603D">
        <w:t>:S</w:t>
      </w:r>
      <w:r w:rsidR="004715C0" w:rsidRPr="00C1603D">
        <w:t>–</w:t>
      </w:r>
      <w:r w:rsidRPr="00C1603D">
        <w:t>173.</w:t>
      </w:r>
    </w:p>
    <w:p w14:paraId="1CF33E02" w14:textId="4571CE5E" w:rsidR="00EF77DB" w:rsidRPr="00C1603D" w:rsidRDefault="00EF77DB" w:rsidP="00EF77DB">
      <w:pPr>
        <w:pStyle w:val="65ReferencesTextstylesTextstyles"/>
      </w:pPr>
      <w:r w:rsidRPr="00C1603D">
        <w:t>394.</w:t>
      </w:r>
      <w:r w:rsidRPr="00C1603D">
        <w:tab/>
      </w:r>
      <w:proofErr w:type="spellStart"/>
      <w:r w:rsidRPr="00C1603D">
        <w:t>Chatzicostas</w:t>
      </w:r>
      <w:proofErr w:type="spellEnd"/>
      <w:r w:rsidRPr="00C1603D">
        <w:t xml:space="preserve"> C, </w:t>
      </w:r>
      <w:proofErr w:type="spellStart"/>
      <w:r w:rsidRPr="00C1603D">
        <w:t>Roussomoustakaki</w:t>
      </w:r>
      <w:proofErr w:type="spellEnd"/>
      <w:r w:rsidRPr="00C1603D">
        <w:t xml:space="preserve"> M, </w:t>
      </w:r>
      <w:proofErr w:type="spellStart"/>
      <w:r w:rsidRPr="00C1603D">
        <w:t>Drygiannakis</w:t>
      </w:r>
      <w:proofErr w:type="spellEnd"/>
      <w:r w:rsidRPr="00C1603D">
        <w:t xml:space="preserve"> D, </w:t>
      </w:r>
      <w:proofErr w:type="spellStart"/>
      <w:r w:rsidRPr="00C1603D">
        <w:t>Niniraki</w:t>
      </w:r>
      <w:proofErr w:type="spellEnd"/>
      <w:r w:rsidRPr="00C1603D">
        <w:t xml:space="preserve"> M, </w:t>
      </w:r>
      <w:proofErr w:type="spellStart"/>
      <w:r w:rsidRPr="00C1603D">
        <w:t>Tzardi</w:t>
      </w:r>
      <w:proofErr w:type="spellEnd"/>
      <w:r w:rsidRPr="00C1603D">
        <w:t xml:space="preserve"> M, </w:t>
      </w:r>
      <w:proofErr w:type="spellStart"/>
      <w:r w:rsidRPr="00C1603D">
        <w:t>Koulentaki</w:t>
      </w:r>
      <w:proofErr w:type="spellEnd"/>
      <w:r w:rsidRPr="00C1603D">
        <w:t xml:space="preserve"> M, </w:t>
      </w:r>
      <w:r w:rsidRPr="00C1603D">
        <w:rPr>
          <w:i/>
        </w:rPr>
        <w:t>et</w:t>
      </w:r>
      <w:r w:rsidRPr="00C1603D">
        <w:t xml:space="preserve"> </w:t>
      </w:r>
      <w:r w:rsidRPr="00C1603D">
        <w:rPr>
          <w:i/>
        </w:rPr>
        <w:t>al</w:t>
      </w:r>
      <w:r w:rsidRPr="00C1603D">
        <w:t xml:space="preserve">. Primary biliary cirrhosis and autoimmune cholangitis are not associated with coeliac disease in Crete. </w:t>
      </w:r>
      <w:r w:rsidRPr="00C1603D">
        <w:rPr>
          <w:i/>
        </w:rPr>
        <w:t>BMC</w:t>
      </w:r>
      <w:r w:rsidRPr="00C1603D">
        <w:t xml:space="preserve"> </w:t>
      </w:r>
      <w:r w:rsidRPr="00C1603D">
        <w:rPr>
          <w:i/>
        </w:rPr>
        <w:t>Gastroenterology</w:t>
      </w:r>
      <w:r w:rsidRPr="00C1603D">
        <w:t xml:space="preserve"> 2002;</w:t>
      </w:r>
      <w:r w:rsidRPr="00C1603D">
        <w:rPr>
          <w:b/>
        </w:rPr>
        <w:t>2</w:t>
      </w:r>
      <w:r w:rsidRPr="00C1603D">
        <w:t>:5.</w:t>
      </w:r>
    </w:p>
    <w:p w14:paraId="3A9E994F" w14:textId="77777777" w:rsidR="00EF77DB" w:rsidRPr="00C1603D" w:rsidRDefault="00EF77DB" w:rsidP="00EF77DB">
      <w:pPr>
        <w:pStyle w:val="65ReferencesTextstylesTextstyles"/>
      </w:pPr>
      <w:r w:rsidRPr="00C1603D">
        <w:t>395.</w:t>
      </w:r>
      <w:r w:rsidRPr="00C1603D">
        <w:tab/>
        <w:t>Durante-</w:t>
      </w:r>
      <w:proofErr w:type="spellStart"/>
      <w:r w:rsidRPr="00C1603D">
        <w:t>Mangoni</w:t>
      </w:r>
      <w:proofErr w:type="spellEnd"/>
      <w:r w:rsidRPr="00C1603D">
        <w:t xml:space="preserve"> E, </w:t>
      </w:r>
      <w:proofErr w:type="spellStart"/>
      <w:r w:rsidRPr="00C1603D">
        <w:t>Iardino</w:t>
      </w:r>
      <w:proofErr w:type="spellEnd"/>
      <w:r w:rsidRPr="00C1603D">
        <w:t xml:space="preserve"> P, </w:t>
      </w:r>
      <w:proofErr w:type="spellStart"/>
      <w:r w:rsidRPr="00C1603D">
        <w:t>Resse</w:t>
      </w:r>
      <w:proofErr w:type="spellEnd"/>
      <w:r w:rsidRPr="00C1603D">
        <w:t xml:space="preserve"> M, </w:t>
      </w:r>
      <w:proofErr w:type="spellStart"/>
      <w:r w:rsidRPr="00C1603D">
        <w:t>Cesaro</w:t>
      </w:r>
      <w:proofErr w:type="spellEnd"/>
      <w:r w:rsidRPr="00C1603D">
        <w:t xml:space="preserve"> G, </w:t>
      </w:r>
      <w:proofErr w:type="spellStart"/>
      <w:r w:rsidRPr="00C1603D">
        <w:t>Sica</w:t>
      </w:r>
      <w:proofErr w:type="spellEnd"/>
      <w:r w:rsidRPr="00C1603D">
        <w:t xml:space="preserve"> A, </w:t>
      </w:r>
      <w:proofErr w:type="spellStart"/>
      <w:r w:rsidRPr="00C1603D">
        <w:t>Farzati</w:t>
      </w:r>
      <w:proofErr w:type="spellEnd"/>
      <w:r w:rsidRPr="00C1603D">
        <w:t xml:space="preserve"> B, </w:t>
      </w:r>
      <w:r w:rsidRPr="00C1603D">
        <w:rPr>
          <w:i/>
        </w:rPr>
        <w:t>et al</w:t>
      </w:r>
      <w:r w:rsidRPr="00C1603D">
        <w:t xml:space="preserve">. Silent celiac disease in chronic hepatitis C: impact of interferon treatment on the disease onset and clinical outcome. </w:t>
      </w:r>
      <w:r w:rsidRPr="00C1603D">
        <w:rPr>
          <w:i/>
        </w:rPr>
        <w:t>J Clin Gastroenterol</w:t>
      </w:r>
      <w:r w:rsidRPr="00C1603D">
        <w:t xml:space="preserve"> 2004;</w:t>
      </w:r>
      <w:r w:rsidRPr="00C1603D">
        <w:rPr>
          <w:b/>
        </w:rPr>
        <w:t>38</w:t>
      </w:r>
      <w:r w:rsidRPr="00C1603D">
        <w:t>:</w:t>
      </w:r>
      <w:r w:rsidRPr="00C1603D">
        <w:rPr>
          <w:color w:val="auto"/>
        </w:rPr>
        <w:t>901</w:t>
      </w:r>
      <w:r w:rsidRPr="00C1603D">
        <w:rPr>
          <w:color w:val="00B0F0"/>
        </w:rPr>
        <w:t>–</w:t>
      </w:r>
      <w:r w:rsidRPr="00C1603D">
        <w:rPr>
          <w:color w:val="auto"/>
        </w:rPr>
        <w:t>5</w:t>
      </w:r>
      <w:r w:rsidRPr="00C1603D">
        <w:t>.</w:t>
      </w:r>
    </w:p>
    <w:p w14:paraId="716C4995" w14:textId="74BE93AF" w:rsidR="00EF77DB" w:rsidRPr="00C1603D" w:rsidRDefault="00EF77DB" w:rsidP="00EF77DB">
      <w:pPr>
        <w:pStyle w:val="65ReferencesTextstylesTextstyles"/>
      </w:pPr>
      <w:r w:rsidRPr="00C1603D">
        <w:t>396.</w:t>
      </w:r>
      <w:r w:rsidRPr="00C1603D">
        <w:tab/>
        <w:t xml:space="preserve">Hernandez L, Johnson TC, </w:t>
      </w:r>
      <w:proofErr w:type="spellStart"/>
      <w:r w:rsidRPr="00C1603D">
        <w:t>Naiyer</w:t>
      </w:r>
      <w:proofErr w:type="spellEnd"/>
      <w:r w:rsidRPr="00C1603D">
        <w:t xml:space="preserve"> AJ, </w:t>
      </w:r>
      <w:proofErr w:type="spellStart"/>
      <w:r w:rsidRPr="00C1603D">
        <w:t>Kryszak</w:t>
      </w:r>
      <w:proofErr w:type="spellEnd"/>
      <w:r w:rsidRPr="00C1603D">
        <w:t xml:space="preserve"> D, </w:t>
      </w:r>
      <w:proofErr w:type="spellStart"/>
      <w:r w:rsidRPr="00C1603D">
        <w:t>Ciaccio</w:t>
      </w:r>
      <w:proofErr w:type="spellEnd"/>
      <w:r w:rsidRPr="00C1603D">
        <w:t xml:space="preserve"> EJ, Min A, </w:t>
      </w:r>
      <w:r w:rsidRPr="00C1603D">
        <w:rPr>
          <w:i/>
        </w:rPr>
        <w:t>et</w:t>
      </w:r>
      <w:r w:rsidRPr="00C1603D">
        <w:t xml:space="preserve"> </w:t>
      </w:r>
      <w:r w:rsidRPr="00C1603D">
        <w:rPr>
          <w:i/>
        </w:rPr>
        <w:t>al</w:t>
      </w:r>
      <w:r w:rsidRPr="00C1603D">
        <w:t xml:space="preserve">. Chronic hepatitis C virus and celiac disease, is there an association? </w:t>
      </w:r>
      <w:r w:rsidR="004715C0" w:rsidRPr="00C1603D">
        <w:rPr>
          <w:i/>
        </w:rPr>
        <w:t>Dig Dis Sci</w:t>
      </w:r>
      <w:r w:rsidRPr="00C1603D">
        <w:t xml:space="preserve"> 2008;</w:t>
      </w:r>
      <w:r w:rsidRPr="00C1603D">
        <w:rPr>
          <w:b/>
        </w:rPr>
        <w:t>53</w:t>
      </w:r>
      <w:r w:rsidRPr="00C1603D">
        <w:t>:256</w:t>
      </w:r>
      <w:r w:rsidR="004715C0" w:rsidRPr="00C1603D">
        <w:t>–</w:t>
      </w:r>
      <w:r w:rsidRPr="00C1603D">
        <w:t>61.</w:t>
      </w:r>
    </w:p>
    <w:p w14:paraId="624FC9D2" w14:textId="77777777" w:rsidR="00EF77DB" w:rsidRPr="00C1603D" w:rsidRDefault="00EF77DB" w:rsidP="00EF77DB">
      <w:pPr>
        <w:pStyle w:val="65ReferencesTextstylesTextstyles"/>
      </w:pPr>
      <w:r w:rsidRPr="00C1603D">
        <w:t>397.</w:t>
      </w:r>
      <w:r w:rsidRPr="00C1603D">
        <w:tab/>
        <w:t xml:space="preserve">Sjöberg K, Lindgren S, Eriksson S. Frequent occurrence of non-specific gliadin antibodies in chronic liver disease. Endomysial but not gliadin antibodies predict coeliac disease in patients with chronic liver disease. </w:t>
      </w:r>
      <w:proofErr w:type="spellStart"/>
      <w:r w:rsidRPr="00C1603D">
        <w:rPr>
          <w:i/>
        </w:rPr>
        <w:t>Scand</w:t>
      </w:r>
      <w:proofErr w:type="spellEnd"/>
      <w:r w:rsidRPr="00C1603D">
        <w:rPr>
          <w:i/>
        </w:rPr>
        <w:t xml:space="preserve"> J Gastroenterol</w:t>
      </w:r>
      <w:r w:rsidRPr="00C1603D">
        <w:t xml:space="preserve"> 1997;</w:t>
      </w:r>
      <w:r w:rsidRPr="00C1603D">
        <w:rPr>
          <w:b/>
        </w:rPr>
        <w:t>32</w:t>
      </w:r>
      <w:r w:rsidRPr="00C1603D">
        <w:t>:</w:t>
      </w:r>
      <w:r w:rsidRPr="00C1603D">
        <w:rPr>
          <w:color w:val="auto"/>
        </w:rPr>
        <w:t>1162</w:t>
      </w:r>
      <w:r w:rsidRPr="00C1603D">
        <w:rPr>
          <w:color w:val="00B0F0"/>
        </w:rPr>
        <w:t>–</w:t>
      </w:r>
      <w:r w:rsidRPr="00C1603D">
        <w:rPr>
          <w:color w:val="auto"/>
        </w:rPr>
        <w:t>7</w:t>
      </w:r>
      <w:r w:rsidRPr="00C1603D">
        <w:t>. https://doi.org/10.3109/00365529709002997</w:t>
      </w:r>
    </w:p>
    <w:p w14:paraId="29FE5E53" w14:textId="77777777" w:rsidR="00EF77DB" w:rsidRPr="00C1603D" w:rsidRDefault="00EF77DB" w:rsidP="00EF77DB">
      <w:pPr>
        <w:pStyle w:val="65ReferencesTextstylesTextstyles"/>
      </w:pPr>
      <w:r w:rsidRPr="00C1603D">
        <w:t>398.</w:t>
      </w:r>
      <w:r w:rsidRPr="00C1603D">
        <w:tab/>
        <w:t xml:space="preserve">Yuan J, Gao J, Yao Y, Chen H. Serologic testing for celiac disease in young people with elevated transaminases. </w:t>
      </w:r>
      <w:r w:rsidRPr="00C1603D">
        <w:rPr>
          <w:i/>
        </w:rPr>
        <w:t>Turk J Med Sci</w:t>
      </w:r>
      <w:r w:rsidRPr="00C1603D">
        <w:t xml:space="preserve"> 2015;</w:t>
      </w:r>
      <w:r w:rsidRPr="00C1603D">
        <w:rPr>
          <w:b/>
        </w:rPr>
        <w:t>45</w:t>
      </w:r>
      <w:r w:rsidRPr="00C1603D">
        <w:t>:</w:t>
      </w:r>
      <w:r w:rsidRPr="00C1603D">
        <w:rPr>
          <w:color w:val="auto"/>
        </w:rPr>
        <w:t>668</w:t>
      </w:r>
      <w:r w:rsidRPr="00C1603D">
        <w:rPr>
          <w:color w:val="00B0F0"/>
        </w:rPr>
        <w:t>–</w:t>
      </w:r>
      <w:r w:rsidRPr="00C1603D">
        <w:rPr>
          <w:color w:val="auto"/>
        </w:rPr>
        <w:t>73</w:t>
      </w:r>
      <w:r w:rsidRPr="00C1603D">
        <w:t>. https://doi.org/10.3906/sag-1403-127</w:t>
      </w:r>
    </w:p>
    <w:p w14:paraId="1E75523F" w14:textId="77777777" w:rsidR="00EF77DB" w:rsidRPr="00C1603D" w:rsidRDefault="00EF77DB" w:rsidP="00EF77DB">
      <w:pPr>
        <w:pStyle w:val="65ReferencesTextstylesTextstyles"/>
      </w:pPr>
      <w:r w:rsidRPr="00C1603D">
        <w:lastRenderedPageBreak/>
        <w:t>399.</w:t>
      </w:r>
      <w:r w:rsidRPr="00C1603D">
        <w:tab/>
        <w:t>El-</w:t>
      </w:r>
      <w:proofErr w:type="spellStart"/>
      <w:r w:rsidRPr="00C1603D">
        <w:t>Shabrawi</w:t>
      </w:r>
      <w:proofErr w:type="spellEnd"/>
      <w:r w:rsidRPr="00C1603D">
        <w:t xml:space="preserve"> M, El-</w:t>
      </w:r>
      <w:proofErr w:type="spellStart"/>
      <w:r w:rsidRPr="00C1603D">
        <w:t>Karaksy</w:t>
      </w:r>
      <w:proofErr w:type="spellEnd"/>
      <w:r w:rsidRPr="00C1603D">
        <w:t xml:space="preserve"> H, Mohsen N, Isa M, Al-</w:t>
      </w:r>
      <w:proofErr w:type="spellStart"/>
      <w:r w:rsidRPr="00C1603D">
        <w:t>Biltagi</w:t>
      </w:r>
      <w:proofErr w:type="spellEnd"/>
      <w:r w:rsidRPr="00C1603D">
        <w:t xml:space="preserve"> M, El-Ansari M. Celiac disease in children and adolescents with autoimmune hepatitis: a single-centre experience. </w:t>
      </w:r>
      <w:r w:rsidRPr="00C1603D">
        <w:rPr>
          <w:i/>
        </w:rPr>
        <w:t xml:space="preserve">J Trop </w:t>
      </w:r>
      <w:proofErr w:type="spellStart"/>
      <w:r w:rsidRPr="00C1603D">
        <w:rPr>
          <w:i/>
        </w:rPr>
        <w:t>Pediatr</w:t>
      </w:r>
      <w:proofErr w:type="spellEnd"/>
      <w:r w:rsidRPr="00C1603D">
        <w:t xml:space="preserve"> 2011;</w:t>
      </w:r>
      <w:r w:rsidRPr="00C1603D">
        <w:rPr>
          <w:b/>
        </w:rPr>
        <w:t>57</w:t>
      </w:r>
      <w:r w:rsidRPr="00C1603D">
        <w:t>:</w:t>
      </w:r>
      <w:r w:rsidRPr="00C1603D">
        <w:rPr>
          <w:color w:val="auto"/>
        </w:rPr>
        <w:t>104</w:t>
      </w:r>
      <w:r w:rsidRPr="00C1603D">
        <w:rPr>
          <w:color w:val="00B0F0"/>
        </w:rPr>
        <w:t>–</w:t>
      </w:r>
      <w:r w:rsidRPr="00C1603D">
        <w:rPr>
          <w:color w:val="auto"/>
        </w:rPr>
        <w:t>8</w:t>
      </w:r>
      <w:r w:rsidRPr="00C1603D">
        <w:t>. https://doi.org/10.1093/tropej/fmq057</w:t>
      </w:r>
    </w:p>
    <w:p w14:paraId="15E1084A" w14:textId="0F9DC048" w:rsidR="00EF77DB" w:rsidRPr="00C1603D" w:rsidRDefault="00EF77DB" w:rsidP="00EF77DB">
      <w:pPr>
        <w:pStyle w:val="65ReferencesTextstylesTextstyles"/>
      </w:pPr>
      <w:r w:rsidRPr="00C1603D">
        <w:t>400.</w:t>
      </w:r>
      <w:r w:rsidRPr="00C1603D">
        <w:tab/>
      </w:r>
      <w:proofErr w:type="spellStart"/>
      <w:r w:rsidRPr="00C1603D">
        <w:t>Oana</w:t>
      </w:r>
      <w:proofErr w:type="spellEnd"/>
      <w:r w:rsidRPr="00C1603D">
        <w:t xml:space="preserve"> B, Laura O, </w:t>
      </w:r>
      <w:proofErr w:type="spellStart"/>
      <w:r w:rsidRPr="00C1603D">
        <w:t>Ioan</w:t>
      </w:r>
      <w:proofErr w:type="spellEnd"/>
      <w:r w:rsidRPr="00C1603D">
        <w:t xml:space="preserve"> S, Tamara M, Otilia M. Celiac disease prevalence among children with autoimmune hepatitis and autoimmune thyroid disorders. A 10-years single centre experience. </w:t>
      </w:r>
      <w:r w:rsidR="00002CE8" w:rsidRPr="00C1603D">
        <w:rPr>
          <w:i/>
        </w:rPr>
        <w:t xml:space="preserve">J </w:t>
      </w:r>
      <w:proofErr w:type="spellStart"/>
      <w:r w:rsidR="00002CE8" w:rsidRPr="00C1603D">
        <w:rPr>
          <w:i/>
        </w:rPr>
        <w:t>Gastrointestin</w:t>
      </w:r>
      <w:proofErr w:type="spellEnd"/>
      <w:r w:rsidR="00002CE8" w:rsidRPr="00C1603D">
        <w:rPr>
          <w:i/>
        </w:rPr>
        <w:t xml:space="preserve"> Liver Dis </w:t>
      </w:r>
      <w:r w:rsidRPr="00C1603D">
        <w:t>2018;</w:t>
      </w:r>
      <w:r w:rsidRPr="00C1603D">
        <w:rPr>
          <w:b/>
        </w:rPr>
        <w:t>27</w:t>
      </w:r>
      <w:r w:rsidRPr="00C1603D">
        <w:t>(Suppl</w:t>
      </w:r>
      <w:r w:rsidR="00002CE8" w:rsidRPr="00C1603D">
        <w:t xml:space="preserve">. </w:t>
      </w:r>
      <w:r w:rsidRPr="00C1603D">
        <w:t>2):</w:t>
      </w:r>
      <w:proofErr w:type="gramStart"/>
      <w:r w:rsidRPr="00C1603D">
        <w:t>79</w:t>
      </w:r>
      <w:proofErr w:type="gramEnd"/>
      <w:r w:rsidRPr="00C1603D">
        <w:t>.</w:t>
      </w:r>
    </w:p>
    <w:p w14:paraId="7507CAB5" w14:textId="77777777" w:rsidR="00EF77DB" w:rsidRPr="00C1603D" w:rsidRDefault="00EF77DB" w:rsidP="00EF77DB">
      <w:pPr>
        <w:pStyle w:val="65ReferencesTextstylesTextstyles"/>
      </w:pPr>
      <w:r w:rsidRPr="00C1603D">
        <w:t>401.</w:t>
      </w:r>
      <w:r w:rsidRPr="00C1603D">
        <w:tab/>
      </w:r>
      <w:proofErr w:type="spellStart"/>
      <w:r w:rsidRPr="00C1603D">
        <w:t>Germenis</w:t>
      </w:r>
      <w:proofErr w:type="spellEnd"/>
      <w:r w:rsidRPr="00C1603D">
        <w:t xml:space="preserve"> AE, </w:t>
      </w:r>
      <w:proofErr w:type="spellStart"/>
      <w:r w:rsidRPr="00C1603D">
        <w:t>Yiannaki</w:t>
      </w:r>
      <w:proofErr w:type="spellEnd"/>
      <w:r w:rsidRPr="00C1603D">
        <w:t xml:space="preserve"> EE, </w:t>
      </w:r>
      <w:proofErr w:type="spellStart"/>
      <w:r w:rsidRPr="00C1603D">
        <w:t>Zachou</w:t>
      </w:r>
      <w:proofErr w:type="spellEnd"/>
      <w:r w:rsidRPr="00C1603D">
        <w:t xml:space="preserve"> K, Roka V, </w:t>
      </w:r>
      <w:proofErr w:type="spellStart"/>
      <w:r w:rsidRPr="00C1603D">
        <w:t>Barbanis</w:t>
      </w:r>
      <w:proofErr w:type="spellEnd"/>
      <w:r w:rsidRPr="00C1603D">
        <w:t xml:space="preserve"> S, </w:t>
      </w:r>
      <w:proofErr w:type="spellStart"/>
      <w:r w:rsidRPr="00C1603D">
        <w:t>Liaskos</w:t>
      </w:r>
      <w:proofErr w:type="spellEnd"/>
      <w:r w:rsidRPr="00C1603D">
        <w:t xml:space="preserve"> C, </w:t>
      </w:r>
      <w:r w:rsidRPr="00C1603D">
        <w:rPr>
          <w:i/>
        </w:rPr>
        <w:t>et al</w:t>
      </w:r>
      <w:r w:rsidRPr="00C1603D">
        <w:t xml:space="preserve">. Prevalence and clinical significance of immunoglobulin A antibodies against tissue transglutaminase in patients with diverse chronic liver diseases. </w:t>
      </w:r>
      <w:r w:rsidRPr="00C1603D">
        <w:rPr>
          <w:i/>
        </w:rPr>
        <w:t xml:space="preserve">Clin </w:t>
      </w:r>
      <w:proofErr w:type="spellStart"/>
      <w:r w:rsidRPr="00C1603D">
        <w:rPr>
          <w:i/>
        </w:rPr>
        <w:t>Diagn</w:t>
      </w:r>
      <w:proofErr w:type="spellEnd"/>
      <w:r w:rsidRPr="00C1603D">
        <w:rPr>
          <w:i/>
        </w:rPr>
        <w:t xml:space="preserve"> Lab Immunol</w:t>
      </w:r>
      <w:r w:rsidRPr="00C1603D">
        <w:t xml:space="preserve"> 2005;</w:t>
      </w:r>
      <w:r w:rsidRPr="00C1603D">
        <w:rPr>
          <w:b/>
        </w:rPr>
        <w:t>12</w:t>
      </w:r>
      <w:r w:rsidRPr="00C1603D">
        <w:t>:</w:t>
      </w:r>
      <w:r w:rsidRPr="00C1603D">
        <w:rPr>
          <w:color w:val="auto"/>
        </w:rPr>
        <w:t>941</w:t>
      </w:r>
      <w:r w:rsidRPr="00C1603D">
        <w:rPr>
          <w:color w:val="00B0F0"/>
        </w:rPr>
        <w:t>–</w:t>
      </w:r>
      <w:r w:rsidRPr="00C1603D">
        <w:rPr>
          <w:color w:val="auto"/>
        </w:rPr>
        <w:t>8</w:t>
      </w:r>
      <w:r w:rsidRPr="00C1603D">
        <w:t>.</w:t>
      </w:r>
    </w:p>
    <w:p w14:paraId="46F87B10" w14:textId="77777777" w:rsidR="00EF77DB" w:rsidRPr="00C1603D" w:rsidRDefault="00EF77DB" w:rsidP="00EF77DB">
      <w:pPr>
        <w:pStyle w:val="65ReferencesTextstylesTextstyles"/>
      </w:pPr>
      <w:r w:rsidRPr="00C1603D">
        <w:t>402.</w:t>
      </w:r>
      <w:r w:rsidRPr="00C1603D">
        <w:tab/>
      </w:r>
      <w:proofErr w:type="spellStart"/>
      <w:r w:rsidRPr="00C1603D">
        <w:t>Villalta</w:t>
      </w:r>
      <w:proofErr w:type="spellEnd"/>
      <w:r w:rsidRPr="00C1603D">
        <w:t xml:space="preserve"> D, </w:t>
      </w:r>
      <w:proofErr w:type="spellStart"/>
      <w:r w:rsidRPr="00C1603D">
        <w:t>Girolami</w:t>
      </w:r>
      <w:proofErr w:type="spellEnd"/>
      <w:r w:rsidRPr="00C1603D">
        <w:t xml:space="preserve"> D, </w:t>
      </w:r>
      <w:proofErr w:type="spellStart"/>
      <w:r w:rsidRPr="00C1603D">
        <w:t>Bidoli</w:t>
      </w:r>
      <w:proofErr w:type="spellEnd"/>
      <w:r w:rsidRPr="00C1603D">
        <w:t xml:space="preserve"> E, </w:t>
      </w:r>
      <w:proofErr w:type="spellStart"/>
      <w:r w:rsidRPr="00C1603D">
        <w:t>Bizzaro</w:t>
      </w:r>
      <w:proofErr w:type="spellEnd"/>
      <w:r w:rsidRPr="00C1603D">
        <w:t xml:space="preserve"> N, </w:t>
      </w:r>
      <w:proofErr w:type="spellStart"/>
      <w:r w:rsidRPr="00C1603D">
        <w:t>Tampoia</w:t>
      </w:r>
      <w:proofErr w:type="spellEnd"/>
      <w:r w:rsidRPr="00C1603D">
        <w:t xml:space="preserve"> M, Liguori M, </w:t>
      </w:r>
      <w:r w:rsidRPr="00C1603D">
        <w:rPr>
          <w:i/>
        </w:rPr>
        <w:t>et al</w:t>
      </w:r>
      <w:r w:rsidRPr="00C1603D">
        <w:t xml:space="preserve">. High prevalence of celiac disease in autoimmune hepatitis detected by anti-tissue </w:t>
      </w:r>
      <w:proofErr w:type="spellStart"/>
      <w:r w:rsidRPr="00C1603D">
        <w:t>tranglutaminase</w:t>
      </w:r>
      <w:proofErr w:type="spellEnd"/>
      <w:r w:rsidRPr="00C1603D">
        <w:t xml:space="preserve"> autoantibodies. </w:t>
      </w:r>
      <w:r w:rsidRPr="00C1603D">
        <w:rPr>
          <w:i/>
        </w:rPr>
        <w:t>J Clin Lab Anal</w:t>
      </w:r>
      <w:r w:rsidRPr="00C1603D">
        <w:t xml:space="preserve"> 2005;</w:t>
      </w:r>
      <w:r w:rsidRPr="00C1603D">
        <w:rPr>
          <w:b/>
        </w:rPr>
        <w:t>19</w:t>
      </w:r>
      <w:r w:rsidRPr="00C1603D">
        <w:t>:</w:t>
      </w:r>
      <w:r w:rsidRPr="00C1603D">
        <w:rPr>
          <w:color w:val="auto"/>
        </w:rPr>
        <w:t>6</w:t>
      </w:r>
      <w:r w:rsidRPr="00C1603D">
        <w:rPr>
          <w:color w:val="00B0F0"/>
        </w:rPr>
        <w:t>–</w:t>
      </w:r>
      <w:r w:rsidRPr="00C1603D">
        <w:rPr>
          <w:color w:val="auto"/>
        </w:rPr>
        <w:t>10</w:t>
      </w:r>
      <w:r w:rsidRPr="00C1603D">
        <w:t>. https://doi.org/10.1002/jcla.20047</w:t>
      </w:r>
    </w:p>
    <w:p w14:paraId="4595F1A6" w14:textId="64EC2D1C" w:rsidR="00EF77DB" w:rsidRPr="00C1603D" w:rsidRDefault="00EF77DB" w:rsidP="00EF77DB">
      <w:pPr>
        <w:pStyle w:val="65ReferencesTextstylesTextstyles"/>
      </w:pPr>
      <w:r w:rsidRPr="00C1603D">
        <w:t>403.</w:t>
      </w:r>
      <w:r w:rsidRPr="00C1603D">
        <w:tab/>
      </w:r>
      <w:proofErr w:type="spellStart"/>
      <w:r w:rsidRPr="00C1603D">
        <w:t>Gabrielli</w:t>
      </w:r>
      <w:proofErr w:type="spellEnd"/>
      <w:r w:rsidRPr="00C1603D">
        <w:t xml:space="preserve"> M, </w:t>
      </w:r>
      <w:proofErr w:type="spellStart"/>
      <w:r w:rsidRPr="00C1603D">
        <w:t>Cremonini</w:t>
      </w:r>
      <w:proofErr w:type="spellEnd"/>
      <w:r w:rsidRPr="00C1603D">
        <w:t xml:space="preserve"> F, Fiore G, Addolorato G, </w:t>
      </w:r>
      <w:proofErr w:type="spellStart"/>
      <w:r w:rsidRPr="00C1603D">
        <w:t>Padalino</w:t>
      </w:r>
      <w:proofErr w:type="spellEnd"/>
      <w:r w:rsidRPr="00C1603D">
        <w:t xml:space="preserve"> C, </w:t>
      </w:r>
      <w:proofErr w:type="spellStart"/>
      <w:r w:rsidRPr="00C1603D">
        <w:t>Candelli</w:t>
      </w:r>
      <w:proofErr w:type="spellEnd"/>
      <w:r w:rsidRPr="00C1603D">
        <w:t xml:space="preserve"> M, </w:t>
      </w:r>
      <w:r w:rsidRPr="00C1603D">
        <w:rPr>
          <w:i/>
        </w:rPr>
        <w:t>et al</w:t>
      </w:r>
      <w:r w:rsidRPr="00C1603D">
        <w:t xml:space="preserve">. Association between migraine and </w:t>
      </w:r>
      <w:r w:rsidR="00002CE8" w:rsidRPr="00C1603D">
        <w:t>c</w:t>
      </w:r>
      <w:r w:rsidRPr="00C1603D">
        <w:t>eliac disease: results from a preliminary case</w:t>
      </w:r>
      <w:r w:rsidR="00002CE8" w:rsidRPr="00C1603D">
        <w:t>–</w:t>
      </w:r>
      <w:r w:rsidRPr="00C1603D">
        <w:t xml:space="preserve">control and therapeutic study. </w:t>
      </w:r>
      <w:r w:rsidRPr="00C1603D">
        <w:rPr>
          <w:i/>
        </w:rPr>
        <w:t>Am J Gastroenterol</w:t>
      </w:r>
      <w:r w:rsidRPr="00C1603D">
        <w:t xml:space="preserve"> 2003;</w:t>
      </w:r>
      <w:r w:rsidRPr="00C1603D">
        <w:rPr>
          <w:b/>
        </w:rPr>
        <w:t>98</w:t>
      </w:r>
      <w:r w:rsidRPr="00C1603D">
        <w:t>:</w:t>
      </w:r>
      <w:r w:rsidRPr="00C1603D">
        <w:rPr>
          <w:color w:val="auto"/>
        </w:rPr>
        <w:t>625</w:t>
      </w:r>
      <w:r w:rsidRPr="00C1603D">
        <w:rPr>
          <w:color w:val="00B0F0"/>
        </w:rPr>
        <w:t>–</w:t>
      </w:r>
      <w:r w:rsidRPr="00C1603D">
        <w:rPr>
          <w:color w:val="auto"/>
        </w:rPr>
        <w:t>9</w:t>
      </w:r>
      <w:r w:rsidRPr="00C1603D">
        <w:t>.</w:t>
      </w:r>
    </w:p>
    <w:p w14:paraId="2464492B" w14:textId="55B4CB79" w:rsidR="00EF77DB" w:rsidRPr="00C1603D" w:rsidRDefault="00EF77DB" w:rsidP="00EF77DB">
      <w:pPr>
        <w:pStyle w:val="65ReferencesTextstylesTextstyles"/>
      </w:pPr>
      <w:r w:rsidRPr="00C1603D">
        <w:t>404.</w:t>
      </w:r>
      <w:r w:rsidRPr="00C1603D">
        <w:tab/>
      </w:r>
      <w:proofErr w:type="spellStart"/>
      <w:r w:rsidRPr="00C1603D">
        <w:t>Balci</w:t>
      </w:r>
      <w:proofErr w:type="spellEnd"/>
      <w:r w:rsidRPr="00C1603D">
        <w:t xml:space="preserve"> O, Yilmaz D, </w:t>
      </w:r>
      <w:proofErr w:type="spellStart"/>
      <w:r w:rsidRPr="00C1603D">
        <w:t>Sezer</w:t>
      </w:r>
      <w:proofErr w:type="spellEnd"/>
      <w:r w:rsidRPr="00C1603D">
        <w:t xml:space="preserve"> T, </w:t>
      </w:r>
      <w:proofErr w:type="spellStart"/>
      <w:r w:rsidRPr="00C1603D">
        <w:t>Hizli</w:t>
      </w:r>
      <w:proofErr w:type="spellEnd"/>
      <w:r w:rsidRPr="00C1603D">
        <w:t xml:space="preserve"> S. Is </w:t>
      </w:r>
      <w:r w:rsidR="00002CE8" w:rsidRPr="00C1603D">
        <w:t>celiac disease an etiological factor in children with migrain</w:t>
      </w:r>
      <w:r w:rsidRPr="00C1603D">
        <w:t xml:space="preserve">e? </w:t>
      </w:r>
      <w:r w:rsidR="00002CE8" w:rsidRPr="00C1603D">
        <w:rPr>
          <w:i/>
        </w:rPr>
        <w:t>J</w:t>
      </w:r>
      <w:r w:rsidRPr="00C1603D">
        <w:t xml:space="preserve"> </w:t>
      </w:r>
      <w:r w:rsidR="00002CE8" w:rsidRPr="00C1603D">
        <w:rPr>
          <w:i/>
        </w:rPr>
        <w:t>Child</w:t>
      </w:r>
      <w:r w:rsidR="00002CE8" w:rsidRPr="00C1603D">
        <w:t xml:space="preserve"> </w:t>
      </w:r>
      <w:proofErr w:type="spellStart"/>
      <w:r w:rsidR="00002CE8" w:rsidRPr="00C1603D">
        <w:rPr>
          <w:i/>
        </w:rPr>
        <w:t>Neurol</w:t>
      </w:r>
      <w:proofErr w:type="spellEnd"/>
      <w:r w:rsidR="00002CE8" w:rsidRPr="00C1603D">
        <w:t xml:space="preserve"> </w:t>
      </w:r>
      <w:r w:rsidRPr="00C1603D">
        <w:t>2016;</w:t>
      </w:r>
      <w:r w:rsidRPr="00C1603D">
        <w:rPr>
          <w:b/>
        </w:rPr>
        <w:t>31</w:t>
      </w:r>
      <w:r w:rsidRPr="00C1603D">
        <w:t>:929</w:t>
      </w:r>
      <w:r w:rsidR="00002CE8" w:rsidRPr="00C1603D">
        <w:t>–</w:t>
      </w:r>
      <w:r w:rsidRPr="00C1603D">
        <w:t>31.</w:t>
      </w:r>
    </w:p>
    <w:p w14:paraId="3657C49F" w14:textId="77777777" w:rsidR="00EF77DB" w:rsidRPr="00C1603D" w:rsidRDefault="00EF77DB" w:rsidP="00EF77DB">
      <w:pPr>
        <w:pStyle w:val="65ReferencesTextstylesTextstyles"/>
      </w:pPr>
      <w:r w:rsidRPr="00C1603D">
        <w:t>405.</w:t>
      </w:r>
      <w:r w:rsidRPr="00C1603D">
        <w:tab/>
      </w:r>
      <w:proofErr w:type="spellStart"/>
      <w:r w:rsidRPr="00C1603D">
        <w:t>Alehan</w:t>
      </w:r>
      <w:proofErr w:type="spellEnd"/>
      <w:r w:rsidRPr="00C1603D">
        <w:t xml:space="preserve"> F, </w:t>
      </w:r>
      <w:proofErr w:type="spellStart"/>
      <w:r w:rsidRPr="00C1603D">
        <w:t>Ozçay</w:t>
      </w:r>
      <w:proofErr w:type="spellEnd"/>
      <w:r w:rsidRPr="00C1603D">
        <w:t xml:space="preserve"> F, Erol I, </w:t>
      </w:r>
      <w:proofErr w:type="spellStart"/>
      <w:r w:rsidRPr="00C1603D">
        <w:t>Canan</w:t>
      </w:r>
      <w:proofErr w:type="spellEnd"/>
      <w:r w:rsidRPr="00C1603D">
        <w:t xml:space="preserve"> O, </w:t>
      </w:r>
      <w:proofErr w:type="spellStart"/>
      <w:r w:rsidRPr="00C1603D">
        <w:t>Cemil</w:t>
      </w:r>
      <w:proofErr w:type="spellEnd"/>
      <w:r w:rsidRPr="00C1603D">
        <w:t xml:space="preserve"> T. Increased risk for coeliac disease in paediatric patients with migraine. </w:t>
      </w:r>
      <w:r w:rsidRPr="00C1603D">
        <w:rPr>
          <w:i/>
        </w:rPr>
        <w:t>Cephalalgia</w:t>
      </w:r>
      <w:r w:rsidRPr="00C1603D">
        <w:t xml:space="preserve"> 2008;</w:t>
      </w:r>
      <w:r w:rsidRPr="00C1603D">
        <w:rPr>
          <w:b/>
        </w:rPr>
        <w:t>28</w:t>
      </w:r>
      <w:r w:rsidRPr="00C1603D">
        <w:t>:</w:t>
      </w:r>
      <w:r w:rsidRPr="00C1603D">
        <w:rPr>
          <w:color w:val="auto"/>
        </w:rPr>
        <w:t>945</w:t>
      </w:r>
      <w:r w:rsidRPr="00C1603D">
        <w:rPr>
          <w:color w:val="00B0F0"/>
        </w:rPr>
        <w:t>–</w:t>
      </w:r>
      <w:r w:rsidRPr="00C1603D">
        <w:rPr>
          <w:color w:val="auto"/>
        </w:rPr>
        <w:t>9</w:t>
      </w:r>
      <w:r w:rsidRPr="00C1603D">
        <w:t>. https://doi.org/10.1111/j.1468-2982.2008.01630.x</w:t>
      </w:r>
    </w:p>
    <w:p w14:paraId="601EE4F9" w14:textId="77777777" w:rsidR="00EF77DB" w:rsidRPr="00C1603D" w:rsidRDefault="00EF77DB" w:rsidP="00EF77DB">
      <w:pPr>
        <w:pStyle w:val="65ReferencesTextstylesTextstyles"/>
      </w:pPr>
      <w:r w:rsidRPr="00C1603D">
        <w:t>406.</w:t>
      </w:r>
      <w:r w:rsidRPr="00C1603D">
        <w:tab/>
      </w:r>
      <w:proofErr w:type="spellStart"/>
      <w:r w:rsidRPr="00C1603D">
        <w:t>Inaloo</w:t>
      </w:r>
      <w:proofErr w:type="spellEnd"/>
      <w:r w:rsidRPr="00C1603D">
        <w:t xml:space="preserve"> S, </w:t>
      </w:r>
      <w:proofErr w:type="spellStart"/>
      <w:r w:rsidRPr="00C1603D">
        <w:t>Dehghani</w:t>
      </w:r>
      <w:proofErr w:type="spellEnd"/>
      <w:r w:rsidRPr="00C1603D">
        <w:t xml:space="preserve"> SM, </w:t>
      </w:r>
      <w:proofErr w:type="spellStart"/>
      <w:r w:rsidRPr="00C1603D">
        <w:t>Farzadi</w:t>
      </w:r>
      <w:proofErr w:type="spellEnd"/>
      <w:r w:rsidRPr="00C1603D">
        <w:t xml:space="preserve"> F, </w:t>
      </w:r>
      <w:proofErr w:type="spellStart"/>
      <w:r w:rsidRPr="00C1603D">
        <w:t>Haghighat</w:t>
      </w:r>
      <w:proofErr w:type="spellEnd"/>
      <w:r w:rsidRPr="00C1603D">
        <w:t xml:space="preserve"> M, </w:t>
      </w:r>
      <w:proofErr w:type="spellStart"/>
      <w:r w:rsidRPr="00C1603D">
        <w:t>Imanieh</w:t>
      </w:r>
      <w:proofErr w:type="spellEnd"/>
      <w:r w:rsidRPr="00C1603D">
        <w:t xml:space="preserve"> MH. A comparative study of celiac disease in children with migraine headache and a normal control group. </w:t>
      </w:r>
      <w:r w:rsidRPr="00C1603D">
        <w:rPr>
          <w:i/>
        </w:rPr>
        <w:t>Turk J Gastroenterol</w:t>
      </w:r>
      <w:r w:rsidRPr="00C1603D">
        <w:t xml:space="preserve"> 2011;</w:t>
      </w:r>
      <w:r w:rsidRPr="00C1603D">
        <w:rPr>
          <w:b/>
        </w:rPr>
        <w:t>22</w:t>
      </w:r>
      <w:r w:rsidRPr="00C1603D">
        <w:t>:</w:t>
      </w:r>
      <w:r w:rsidRPr="00C1603D">
        <w:rPr>
          <w:color w:val="auto"/>
        </w:rPr>
        <w:t>32</w:t>
      </w:r>
      <w:r w:rsidRPr="00C1603D">
        <w:rPr>
          <w:color w:val="00B0F0"/>
        </w:rPr>
        <w:t>–</w:t>
      </w:r>
      <w:r w:rsidRPr="00C1603D">
        <w:rPr>
          <w:color w:val="auto"/>
        </w:rPr>
        <w:t>5</w:t>
      </w:r>
      <w:r w:rsidRPr="00C1603D">
        <w:t>. https://doi.org/10.4318/tjg.2011.0153</w:t>
      </w:r>
    </w:p>
    <w:p w14:paraId="1C42FCCD" w14:textId="2E01F15B" w:rsidR="00EF77DB" w:rsidRPr="00C1603D" w:rsidRDefault="00EF77DB" w:rsidP="00EF77DB">
      <w:pPr>
        <w:pStyle w:val="65ReferencesTextstylesTextstyles"/>
      </w:pPr>
      <w:r w:rsidRPr="00C1603D">
        <w:t>407.</w:t>
      </w:r>
      <w:r w:rsidRPr="00C1603D">
        <w:tab/>
      </w:r>
      <w:proofErr w:type="spellStart"/>
      <w:r w:rsidRPr="00C1603D">
        <w:t>Abolfazli</w:t>
      </w:r>
      <w:proofErr w:type="spellEnd"/>
      <w:r w:rsidRPr="00C1603D">
        <w:t xml:space="preserve"> R, </w:t>
      </w:r>
      <w:proofErr w:type="spellStart"/>
      <w:r w:rsidRPr="00C1603D">
        <w:t>Mirbagheri</w:t>
      </w:r>
      <w:proofErr w:type="spellEnd"/>
      <w:r w:rsidRPr="00C1603D">
        <w:t xml:space="preserve"> A, Rabbani </w:t>
      </w:r>
      <w:proofErr w:type="spellStart"/>
      <w:r w:rsidRPr="00C1603D">
        <w:t>Anari</w:t>
      </w:r>
      <w:proofErr w:type="spellEnd"/>
      <w:r w:rsidRPr="00C1603D">
        <w:t xml:space="preserve"> M, </w:t>
      </w:r>
      <w:proofErr w:type="spellStart"/>
      <w:r w:rsidRPr="00C1603D">
        <w:t>Samadzadeh</w:t>
      </w:r>
      <w:proofErr w:type="spellEnd"/>
      <w:r w:rsidRPr="00C1603D">
        <w:t xml:space="preserve"> S. The association of celiac disease with multiple sclerosis. </w:t>
      </w:r>
      <w:r w:rsidR="00334716" w:rsidRPr="00C1603D">
        <w:rPr>
          <w:i/>
        </w:rPr>
        <w:t>J</w:t>
      </w:r>
      <w:r w:rsidRPr="00C1603D">
        <w:t xml:space="preserve"> </w:t>
      </w:r>
      <w:proofErr w:type="spellStart"/>
      <w:r w:rsidRPr="00C1603D">
        <w:rPr>
          <w:i/>
        </w:rPr>
        <w:t>Neurol</w:t>
      </w:r>
      <w:proofErr w:type="spellEnd"/>
      <w:r w:rsidR="00334716" w:rsidRPr="00C1603D">
        <w:rPr>
          <w:i/>
        </w:rPr>
        <w:t xml:space="preserve"> </w:t>
      </w:r>
      <w:r w:rsidRPr="00C1603D">
        <w:rPr>
          <w:i/>
        </w:rPr>
        <w:t>Sci</w:t>
      </w:r>
      <w:r w:rsidR="00334716" w:rsidRPr="00C1603D">
        <w:rPr>
          <w:i/>
        </w:rPr>
        <w:t xml:space="preserve"> </w:t>
      </w:r>
      <w:r w:rsidRPr="00C1603D">
        <w:t>2009;</w:t>
      </w:r>
      <w:r w:rsidRPr="00C1603D">
        <w:rPr>
          <w:b/>
        </w:rPr>
        <w:t>285</w:t>
      </w:r>
      <w:r w:rsidRPr="00C1603D">
        <w:t>:S214.</w:t>
      </w:r>
    </w:p>
    <w:p w14:paraId="50E8FDDE" w14:textId="290B8945" w:rsidR="00EF77DB" w:rsidRPr="00C1603D" w:rsidRDefault="00EF77DB" w:rsidP="00EF77DB">
      <w:pPr>
        <w:pStyle w:val="65ReferencesTextstylesTextstyles"/>
      </w:pPr>
      <w:r w:rsidRPr="00C1603D">
        <w:t>408.</w:t>
      </w:r>
      <w:r w:rsidRPr="00C1603D">
        <w:tab/>
        <w:t xml:space="preserve">Nicoletti A, Patti F, Lo Fermo S, Sciacca A, </w:t>
      </w:r>
      <w:proofErr w:type="spellStart"/>
      <w:r w:rsidRPr="00C1603D">
        <w:t>Laisa</w:t>
      </w:r>
      <w:proofErr w:type="spellEnd"/>
      <w:r w:rsidRPr="00C1603D">
        <w:t xml:space="preserve"> P, </w:t>
      </w:r>
      <w:proofErr w:type="spellStart"/>
      <w:r w:rsidRPr="00C1603D">
        <w:t>Liberto</w:t>
      </w:r>
      <w:proofErr w:type="spellEnd"/>
      <w:r w:rsidRPr="00C1603D">
        <w:t xml:space="preserve"> A, </w:t>
      </w:r>
      <w:r w:rsidRPr="00C1603D">
        <w:rPr>
          <w:i/>
        </w:rPr>
        <w:t>et</w:t>
      </w:r>
      <w:r w:rsidRPr="00C1603D">
        <w:t xml:space="preserve"> </w:t>
      </w:r>
      <w:r w:rsidRPr="00C1603D">
        <w:rPr>
          <w:i/>
        </w:rPr>
        <w:t>al</w:t>
      </w:r>
      <w:r w:rsidRPr="00C1603D">
        <w:t xml:space="preserve">. Frequency of celiac disease is not increased among multiple sclerosis patients. </w:t>
      </w:r>
      <w:r w:rsidRPr="00C1603D">
        <w:rPr>
          <w:i/>
        </w:rPr>
        <w:t>Mult</w:t>
      </w:r>
      <w:r w:rsidR="00BE0D30" w:rsidRPr="00C1603D">
        <w:rPr>
          <w:i/>
        </w:rPr>
        <w:t xml:space="preserve"> </w:t>
      </w:r>
      <w:proofErr w:type="spellStart"/>
      <w:r w:rsidR="00BE0D30" w:rsidRPr="00C1603D">
        <w:rPr>
          <w:i/>
        </w:rPr>
        <w:t>Scler</w:t>
      </w:r>
      <w:proofErr w:type="spellEnd"/>
      <w:r w:rsidR="00BE0D30" w:rsidRPr="00C1603D">
        <w:rPr>
          <w:i/>
        </w:rPr>
        <w:t xml:space="preserve"> </w:t>
      </w:r>
      <w:r w:rsidRPr="00C1603D">
        <w:t>2008;</w:t>
      </w:r>
      <w:r w:rsidRPr="00C1603D">
        <w:rPr>
          <w:b/>
        </w:rPr>
        <w:t>14</w:t>
      </w:r>
      <w:r w:rsidRPr="00C1603D">
        <w:t>:698</w:t>
      </w:r>
      <w:r w:rsidR="00BE0D30" w:rsidRPr="00C1603D">
        <w:t>–</w:t>
      </w:r>
      <w:proofErr w:type="gramStart"/>
      <w:r w:rsidRPr="00C1603D">
        <w:t>700</w:t>
      </w:r>
      <w:proofErr w:type="gramEnd"/>
      <w:r w:rsidRPr="00C1603D">
        <w:t>. https://doi.org/10.1177/1352458507087268</w:t>
      </w:r>
    </w:p>
    <w:p w14:paraId="15600CBC" w14:textId="77777777" w:rsidR="00EF77DB" w:rsidRPr="00C1603D" w:rsidRDefault="00EF77DB" w:rsidP="00EF77DB">
      <w:pPr>
        <w:pStyle w:val="65ReferencesTextstylesTextstyles"/>
      </w:pPr>
      <w:r w:rsidRPr="00C1603D">
        <w:t>409.</w:t>
      </w:r>
      <w:r w:rsidRPr="00C1603D">
        <w:tab/>
        <w:t>Rodrigo L, Hernández-</w:t>
      </w:r>
      <w:proofErr w:type="spellStart"/>
      <w:r w:rsidRPr="00C1603D">
        <w:t>Lahoz</w:t>
      </w:r>
      <w:proofErr w:type="spellEnd"/>
      <w:r w:rsidRPr="00C1603D">
        <w:t xml:space="preserve"> C, Fuentes D, Alvarez N, López-Vázquez A, González S. Prevalence of celiac disease in multiple sclerosis. </w:t>
      </w:r>
      <w:r w:rsidRPr="00C1603D">
        <w:rPr>
          <w:i/>
        </w:rPr>
        <w:t xml:space="preserve">BMC </w:t>
      </w:r>
      <w:proofErr w:type="spellStart"/>
      <w:r w:rsidRPr="00C1603D">
        <w:rPr>
          <w:i/>
        </w:rPr>
        <w:t>Neurol</w:t>
      </w:r>
      <w:proofErr w:type="spellEnd"/>
      <w:r w:rsidRPr="00C1603D">
        <w:t xml:space="preserve"> 2011;</w:t>
      </w:r>
      <w:r w:rsidRPr="00C1603D">
        <w:rPr>
          <w:b/>
        </w:rPr>
        <w:t>11</w:t>
      </w:r>
      <w:r w:rsidRPr="00C1603D">
        <w:t>:</w:t>
      </w:r>
      <w:r w:rsidRPr="00C1603D">
        <w:rPr>
          <w:color w:val="auto"/>
        </w:rPr>
        <w:t>31</w:t>
      </w:r>
      <w:r w:rsidRPr="00C1603D">
        <w:t>. https://doi.org/10.1186/1471-2377-11-31</w:t>
      </w:r>
    </w:p>
    <w:p w14:paraId="20D54F08" w14:textId="4C17F103" w:rsidR="00EF77DB" w:rsidRPr="00C1603D" w:rsidRDefault="00EF77DB" w:rsidP="00EF77DB">
      <w:pPr>
        <w:pStyle w:val="65ReferencesTextstylesTextstyles"/>
      </w:pPr>
      <w:r w:rsidRPr="00C1603D">
        <w:t>410.</w:t>
      </w:r>
      <w:r w:rsidRPr="00C1603D">
        <w:tab/>
        <w:t xml:space="preserve">Roth EB, </w:t>
      </w:r>
      <w:proofErr w:type="spellStart"/>
      <w:r w:rsidRPr="00C1603D">
        <w:t>Theander</w:t>
      </w:r>
      <w:proofErr w:type="spellEnd"/>
      <w:r w:rsidRPr="00C1603D">
        <w:t xml:space="preserve"> E, </w:t>
      </w:r>
      <w:proofErr w:type="spellStart"/>
      <w:r w:rsidRPr="00C1603D">
        <w:t>Londos</w:t>
      </w:r>
      <w:proofErr w:type="spellEnd"/>
      <w:r w:rsidRPr="00C1603D">
        <w:t xml:space="preserve"> E, Sandberg-</w:t>
      </w:r>
      <w:proofErr w:type="spellStart"/>
      <w:r w:rsidRPr="00C1603D">
        <w:t>Wollheim</w:t>
      </w:r>
      <w:proofErr w:type="spellEnd"/>
      <w:r w:rsidRPr="00C1603D">
        <w:t xml:space="preserve"> M, Larsson A, Sjoberg K, </w:t>
      </w:r>
      <w:r w:rsidRPr="00C1603D">
        <w:rPr>
          <w:i/>
        </w:rPr>
        <w:t>et</w:t>
      </w:r>
      <w:r w:rsidRPr="00C1603D">
        <w:t xml:space="preserve"> </w:t>
      </w:r>
      <w:r w:rsidRPr="00C1603D">
        <w:rPr>
          <w:i/>
        </w:rPr>
        <w:t>al</w:t>
      </w:r>
      <w:r w:rsidRPr="00C1603D">
        <w:t xml:space="preserve">. Pathogenesis of autoimmune diseases: </w:t>
      </w:r>
      <w:r w:rsidR="00BE0D30" w:rsidRPr="00C1603D">
        <w:t>a</w:t>
      </w:r>
      <w:r w:rsidRPr="00C1603D">
        <w:t xml:space="preserve">ntibodies against transglutaminase, </w:t>
      </w:r>
      <w:proofErr w:type="spellStart"/>
      <w:r w:rsidRPr="00C1603D">
        <w:t>peptidylarginine</w:t>
      </w:r>
      <w:proofErr w:type="spellEnd"/>
      <w:r w:rsidRPr="00C1603D">
        <w:t xml:space="preserve"> deiminase and protein-bound citrulline in primary Sjogren’s syndrome, multiple sclerosis and Alzheimer’s disease. </w:t>
      </w:r>
      <w:proofErr w:type="spellStart"/>
      <w:r w:rsidRPr="00C1603D">
        <w:rPr>
          <w:i/>
        </w:rPr>
        <w:t>Scand</w:t>
      </w:r>
      <w:proofErr w:type="spellEnd"/>
      <w:r w:rsidR="005E3BDE" w:rsidRPr="00C1603D">
        <w:rPr>
          <w:i/>
        </w:rPr>
        <w:t xml:space="preserve"> J</w:t>
      </w:r>
      <w:r w:rsidRPr="00C1603D">
        <w:t xml:space="preserve"> </w:t>
      </w:r>
      <w:r w:rsidRPr="00C1603D">
        <w:rPr>
          <w:i/>
        </w:rPr>
        <w:t>Immunol</w:t>
      </w:r>
      <w:r w:rsidRPr="00C1603D">
        <w:t xml:space="preserve"> 2008;</w:t>
      </w:r>
      <w:r w:rsidRPr="00C1603D">
        <w:rPr>
          <w:b/>
        </w:rPr>
        <w:t>67</w:t>
      </w:r>
      <w:r w:rsidRPr="00C1603D">
        <w:t>:626</w:t>
      </w:r>
      <w:r w:rsidR="005E3BDE" w:rsidRPr="00C1603D">
        <w:t>–</w:t>
      </w:r>
      <w:r w:rsidRPr="00C1603D">
        <w:t>31.</w:t>
      </w:r>
    </w:p>
    <w:p w14:paraId="3245AB5E" w14:textId="77777777" w:rsidR="00EF77DB" w:rsidRPr="00C1603D" w:rsidRDefault="00EF77DB" w:rsidP="00EF77DB">
      <w:pPr>
        <w:pStyle w:val="65ReferencesTextstylesTextstyles"/>
      </w:pPr>
      <w:r w:rsidRPr="00C1603D">
        <w:t>411.</w:t>
      </w:r>
      <w:r w:rsidRPr="00C1603D">
        <w:tab/>
      </w:r>
      <w:proofErr w:type="spellStart"/>
      <w:r w:rsidRPr="00C1603D">
        <w:t>Khoshbaten</w:t>
      </w:r>
      <w:proofErr w:type="spellEnd"/>
      <w:r w:rsidRPr="00C1603D">
        <w:t xml:space="preserve"> M, </w:t>
      </w:r>
      <w:proofErr w:type="spellStart"/>
      <w:r w:rsidRPr="00C1603D">
        <w:t>Farhoudi</w:t>
      </w:r>
      <w:proofErr w:type="spellEnd"/>
      <w:r w:rsidRPr="00C1603D">
        <w:t xml:space="preserve"> M, </w:t>
      </w:r>
      <w:proofErr w:type="spellStart"/>
      <w:r w:rsidRPr="00C1603D">
        <w:t>Nikanfar</w:t>
      </w:r>
      <w:proofErr w:type="spellEnd"/>
      <w:r w:rsidRPr="00C1603D">
        <w:t xml:space="preserve"> M, </w:t>
      </w:r>
      <w:proofErr w:type="spellStart"/>
      <w:r w:rsidRPr="00C1603D">
        <w:t>Ayromlou</w:t>
      </w:r>
      <w:proofErr w:type="spellEnd"/>
      <w:r w:rsidRPr="00C1603D">
        <w:t xml:space="preserve"> H, </w:t>
      </w:r>
      <w:proofErr w:type="spellStart"/>
      <w:r w:rsidRPr="00C1603D">
        <w:t>Shaafi</w:t>
      </w:r>
      <w:proofErr w:type="spellEnd"/>
      <w:r w:rsidRPr="00C1603D">
        <w:t xml:space="preserve"> S, </w:t>
      </w:r>
      <w:proofErr w:type="spellStart"/>
      <w:r w:rsidRPr="00C1603D">
        <w:t>Sadreddini</w:t>
      </w:r>
      <w:proofErr w:type="spellEnd"/>
      <w:r w:rsidRPr="00C1603D">
        <w:t xml:space="preserve"> SA, </w:t>
      </w:r>
      <w:r w:rsidRPr="00C1603D">
        <w:rPr>
          <w:i/>
        </w:rPr>
        <w:t>et al</w:t>
      </w:r>
      <w:r w:rsidRPr="00C1603D">
        <w:t xml:space="preserve">. Celiac disease and multiple sclerosis in the northwest of Iran. </w:t>
      </w:r>
      <w:proofErr w:type="spellStart"/>
      <w:r w:rsidRPr="00C1603D">
        <w:rPr>
          <w:i/>
        </w:rPr>
        <w:t>Bratisl</w:t>
      </w:r>
      <w:proofErr w:type="spellEnd"/>
      <w:r w:rsidRPr="00C1603D">
        <w:rPr>
          <w:i/>
        </w:rPr>
        <w:t xml:space="preserve"> Lek </w:t>
      </w:r>
      <w:proofErr w:type="spellStart"/>
      <w:r w:rsidRPr="00C1603D">
        <w:rPr>
          <w:i/>
        </w:rPr>
        <w:t>Listy</w:t>
      </w:r>
      <w:proofErr w:type="spellEnd"/>
      <w:r w:rsidRPr="00C1603D">
        <w:t xml:space="preserve"> 2012;</w:t>
      </w:r>
      <w:r w:rsidRPr="00C1603D">
        <w:rPr>
          <w:b/>
        </w:rPr>
        <w:t>113</w:t>
      </w:r>
      <w:r w:rsidRPr="00C1603D">
        <w:t>:</w:t>
      </w:r>
      <w:r w:rsidRPr="00C1603D">
        <w:rPr>
          <w:color w:val="auto"/>
        </w:rPr>
        <w:t>495</w:t>
      </w:r>
      <w:r w:rsidRPr="00C1603D">
        <w:rPr>
          <w:color w:val="00B0F0"/>
        </w:rPr>
        <w:t>–</w:t>
      </w:r>
      <w:r w:rsidRPr="00C1603D">
        <w:rPr>
          <w:color w:val="auto"/>
        </w:rPr>
        <w:t>7</w:t>
      </w:r>
      <w:r w:rsidRPr="00C1603D">
        <w:t>. https://doi.org/10.4149/bll_2012_109</w:t>
      </w:r>
    </w:p>
    <w:p w14:paraId="35CBF73C" w14:textId="78257B57" w:rsidR="00EF77DB" w:rsidRPr="00C1603D" w:rsidRDefault="00EF77DB" w:rsidP="00EF77DB">
      <w:pPr>
        <w:pStyle w:val="65ReferencesTextstylesTextstyles"/>
      </w:pPr>
      <w:r w:rsidRPr="00C1603D">
        <w:t>412.</w:t>
      </w:r>
      <w:r w:rsidRPr="00C1603D">
        <w:tab/>
      </w:r>
      <w:proofErr w:type="spellStart"/>
      <w:r w:rsidRPr="00C1603D">
        <w:t>Gusso</w:t>
      </w:r>
      <w:proofErr w:type="spellEnd"/>
      <w:r w:rsidRPr="00C1603D">
        <w:t xml:space="preserve"> L, </w:t>
      </w:r>
      <w:proofErr w:type="spellStart"/>
      <w:r w:rsidRPr="00C1603D">
        <w:t>Simoes</w:t>
      </w:r>
      <w:proofErr w:type="spellEnd"/>
      <w:r w:rsidRPr="00C1603D">
        <w:t xml:space="preserve"> MC, </w:t>
      </w:r>
      <w:proofErr w:type="spellStart"/>
      <w:r w:rsidRPr="00C1603D">
        <w:t>Skare</w:t>
      </w:r>
      <w:proofErr w:type="spellEnd"/>
      <w:r w:rsidRPr="00C1603D">
        <w:t xml:space="preserve"> TL, </w:t>
      </w:r>
      <w:proofErr w:type="spellStart"/>
      <w:r w:rsidRPr="00C1603D">
        <w:t>Nisihara</w:t>
      </w:r>
      <w:proofErr w:type="spellEnd"/>
      <w:r w:rsidRPr="00C1603D">
        <w:t xml:space="preserve"> R, </w:t>
      </w:r>
      <w:proofErr w:type="spellStart"/>
      <w:r w:rsidRPr="00C1603D">
        <w:t>Burkiewicz</w:t>
      </w:r>
      <w:proofErr w:type="spellEnd"/>
      <w:r w:rsidRPr="00C1603D">
        <w:t xml:space="preserve"> CC, </w:t>
      </w:r>
      <w:proofErr w:type="spellStart"/>
      <w:r w:rsidRPr="00C1603D">
        <w:t>Utiyama</w:t>
      </w:r>
      <w:proofErr w:type="spellEnd"/>
      <w:r w:rsidRPr="00C1603D">
        <w:t xml:space="preserve"> S. Celiac disease screening in Brazilian patients with osteoporosis. </w:t>
      </w:r>
      <w:proofErr w:type="spellStart"/>
      <w:r w:rsidR="000C1681" w:rsidRPr="00C1603D">
        <w:rPr>
          <w:i/>
        </w:rPr>
        <w:t>Arq</w:t>
      </w:r>
      <w:proofErr w:type="spellEnd"/>
      <w:r w:rsidR="000C1681" w:rsidRPr="00C1603D">
        <w:rPr>
          <w:i/>
        </w:rPr>
        <w:t xml:space="preserve"> Bras Endocrinol </w:t>
      </w:r>
      <w:proofErr w:type="spellStart"/>
      <w:r w:rsidR="000C1681" w:rsidRPr="00C1603D">
        <w:rPr>
          <w:i/>
        </w:rPr>
        <w:t>Metabol</w:t>
      </w:r>
      <w:proofErr w:type="spellEnd"/>
      <w:r w:rsidR="000C1681" w:rsidRPr="00C1603D">
        <w:rPr>
          <w:i/>
        </w:rPr>
        <w:t xml:space="preserve"> </w:t>
      </w:r>
      <w:r w:rsidRPr="00C1603D">
        <w:t>2014;</w:t>
      </w:r>
      <w:r w:rsidRPr="00C1603D">
        <w:rPr>
          <w:b/>
        </w:rPr>
        <w:t>58</w:t>
      </w:r>
      <w:r w:rsidRPr="00C1603D">
        <w:t>:270</w:t>
      </w:r>
      <w:r w:rsidR="000C1681" w:rsidRPr="00C1603D">
        <w:t>–</w:t>
      </w:r>
      <w:r w:rsidRPr="00C1603D">
        <w:t>3.</w:t>
      </w:r>
    </w:p>
    <w:p w14:paraId="6CD89A93" w14:textId="58241AA7" w:rsidR="00EF77DB" w:rsidRPr="00C1603D" w:rsidRDefault="00EF77DB" w:rsidP="00EF77DB">
      <w:pPr>
        <w:pStyle w:val="65ReferencesTextstylesTextstyles"/>
      </w:pPr>
      <w:r w:rsidRPr="00C1603D">
        <w:t>413.</w:t>
      </w:r>
      <w:r w:rsidRPr="00C1603D">
        <w:tab/>
      </w:r>
      <w:proofErr w:type="spellStart"/>
      <w:r w:rsidRPr="00C1603D">
        <w:t>Shahbazkhani</w:t>
      </w:r>
      <w:proofErr w:type="spellEnd"/>
      <w:r w:rsidRPr="00C1603D">
        <w:t xml:space="preserve"> B, </w:t>
      </w:r>
      <w:proofErr w:type="spellStart"/>
      <w:r w:rsidRPr="00C1603D">
        <w:t>Aletaha</w:t>
      </w:r>
      <w:proofErr w:type="spellEnd"/>
      <w:r w:rsidRPr="00C1603D">
        <w:t xml:space="preserve"> N, </w:t>
      </w:r>
      <w:proofErr w:type="spellStart"/>
      <w:r w:rsidRPr="00C1603D">
        <w:t>Khonche</w:t>
      </w:r>
      <w:proofErr w:type="spellEnd"/>
      <w:r w:rsidRPr="00C1603D">
        <w:t xml:space="preserve"> A, </w:t>
      </w:r>
      <w:proofErr w:type="spellStart"/>
      <w:r w:rsidRPr="00C1603D">
        <w:t>Farahvash</w:t>
      </w:r>
      <w:proofErr w:type="spellEnd"/>
      <w:r w:rsidRPr="00C1603D">
        <w:t xml:space="preserve"> B, </w:t>
      </w:r>
      <w:proofErr w:type="spellStart"/>
      <w:r w:rsidRPr="00C1603D">
        <w:t>Malekzadeh</w:t>
      </w:r>
      <w:proofErr w:type="spellEnd"/>
      <w:r w:rsidRPr="00C1603D">
        <w:t xml:space="preserve"> R. Is it necessary to screen for celiac disease in adult idiopathic osteoporosis? </w:t>
      </w:r>
      <w:r w:rsidR="000C1681" w:rsidRPr="00C1603D">
        <w:rPr>
          <w:i/>
        </w:rPr>
        <w:t>Gastroenterol Hepatol Bed Bench</w:t>
      </w:r>
      <w:r w:rsidRPr="00C1603D">
        <w:t xml:space="preserve"> 2015;</w:t>
      </w:r>
      <w:r w:rsidRPr="00C1603D">
        <w:rPr>
          <w:b/>
        </w:rPr>
        <w:t>8</w:t>
      </w:r>
      <w:r w:rsidRPr="00C1603D">
        <w:t>:140</w:t>
      </w:r>
      <w:r w:rsidR="000C1681" w:rsidRPr="00C1603D">
        <w:t>–</w:t>
      </w:r>
      <w:r w:rsidRPr="00C1603D">
        <w:t>5.</w:t>
      </w:r>
    </w:p>
    <w:p w14:paraId="4CAEFB2D" w14:textId="77777777" w:rsidR="00EF77DB" w:rsidRPr="00C1603D" w:rsidRDefault="00EF77DB" w:rsidP="00EF77DB">
      <w:pPr>
        <w:pStyle w:val="65ReferencesTextstylesTextstyles"/>
      </w:pPr>
      <w:r w:rsidRPr="00C1603D">
        <w:t>414.</w:t>
      </w:r>
      <w:r w:rsidRPr="00C1603D">
        <w:tab/>
        <w:t xml:space="preserve">Stenson WF, Newberry R, Lorenz R, Baldus C, </w:t>
      </w:r>
      <w:proofErr w:type="spellStart"/>
      <w:r w:rsidRPr="00C1603D">
        <w:t>Civitelli</w:t>
      </w:r>
      <w:proofErr w:type="spellEnd"/>
      <w:r w:rsidRPr="00C1603D">
        <w:t xml:space="preserve"> R. Increased prevalence of celiac disease and need for routine screening among patients with osteoporosis. </w:t>
      </w:r>
      <w:r w:rsidRPr="00C1603D">
        <w:rPr>
          <w:i/>
        </w:rPr>
        <w:t>Arch Intern Med</w:t>
      </w:r>
      <w:r w:rsidRPr="00C1603D">
        <w:t xml:space="preserve"> 2005;</w:t>
      </w:r>
      <w:r w:rsidRPr="00C1603D">
        <w:rPr>
          <w:b/>
        </w:rPr>
        <w:t>165</w:t>
      </w:r>
      <w:r w:rsidRPr="00C1603D">
        <w:t>:</w:t>
      </w:r>
      <w:r w:rsidRPr="00C1603D">
        <w:rPr>
          <w:color w:val="auto"/>
        </w:rPr>
        <w:t>393</w:t>
      </w:r>
      <w:r w:rsidRPr="00C1603D">
        <w:rPr>
          <w:color w:val="00B0F0"/>
        </w:rPr>
        <w:t>–</w:t>
      </w:r>
      <w:r w:rsidRPr="00C1603D">
        <w:rPr>
          <w:color w:val="auto"/>
        </w:rPr>
        <w:t>9</w:t>
      </w:r>
      <w:r w:rsidRPr="00C1603D">
        <w:t>.</w:t>
      </w:r>
    </w:p>
    <w:p w14:paraId="6FE6DE43" w14:textId="77777777" w:rsidR="00EF77DB" w:rsidRPr="00C1603D" w:rsidRDefault="00EF77DB" w:rsidP="00EF77DB">
      <w:pPr>
        <w:pStyle w:val="65ReferencesTextstylesTextstyles"/>
      </w:pPr>
      <w:r w:rsidRPr="00C1603D">
        <w:lastRenderedPageBreak/>
        <w:t>415.</w:t>
      </w:r>
      <w:r w:rsidRPr="00C1603D">
        <w:tab/>
      </w:r>
      <w:proofErr w:type="spellStart"/>
      <w:r w:rsidRPr="00C1603D">
        <w:t>Vanciková</w:t>
      </w:r>
      <w:proofErr w:type="spellEnd"/>
      <w:r w:rsidRPr="00C1603D">
        <w:t xml:space="preserve"> Z, </w:t>
      </w:r>
      <w:proofErr w:type="spellStart"/>
      <w:r w:rsidRPr="00C1603D">
        <w:t>Chlumecký</w:t>
      </w:r>
      <w:proofErr w:type="spellEnd"/>
      <w:r w:rsidRPr="00C1603D">
        <w:t xml:space="preserve"> V, Sokol D, </w:t>
      </w:r>
      <w:proofErr w:type="spellStart"/>
      <w:r w:rsidRPr="00C1603D">
        <w:t>Horáková</w:t>
      </w:r>
      <w:proofErr w:type="spellEnd"/>
      <w:r w:rsidRPr="00C1603D">
        <w:t xml:space="preserve"> D, </w:t>
      </w:r>
      <w:proofErr w:type="spellStart"/>
      <w:r w:rsidRPr="00C1603D">
        <w:t>Hamsíková</w:t>
      </w:r>
      <w:proofErr w:type="spellEnd"/>
      <w:r w:rsidRPr="00C1603D">
        <w:t xml:space="preserve"> E, </w:t>
      </w:r>
      <w:proofErr w:type="spellStart"/>
      <w:r w:rsidRPr="00C1603D">
        <w:t>Fucíková</w:t>
      </w:r>
      <w:proofErr w:type="spellEnd"/>
      <w:r w:rsidRPr="00C1603D">
        <w:t xml:space="preserve"> T, </w:t>
      </w:r>
      <w:r w:rsidRPr="00C1603D">
        <w:rPr>
          <w:i/>
        </w:rPr>
        <w:t>et al</w:t>
      </w:r>
      <w:r w:rsidRPr="00C1603D">
        <w:t xml:space="preserve">. The serologic screening for celiac disease in the general population (blood donors) and in some high-risk groups of adults (patients with autoimmune diseases, osteoporosis and infertility) in the Czech republic. </w:t>
      </w:r>
      <w:r w:rsidRPr="00C1603D">
        <w:rPr>
          <w:i/>
        </w:rPr>
        <w:t xml:space="preserve">Folia </w:t>
      </w:r>
      <w:proofErr w:type="spellStart"/>
      <w:r w:rsidRPr="00C1603D">
        <w:rPr>
          <w:i/>
        </w:rPr>
        <w:t>Microbiol</w:t>
      </w:r>
      <w:proofErr w:type="spellEnd"/>
      <w:r w:rsidRPr="00C1603D">
        <w:t xml:space="preserve"> 2002;</w:t>
      </w:r>
      <w:r w:rsidRPr="00C1603D">
        <w:rPr>
          <w:b/>
        </w:rPr>
        <w:t>47</w:t>
      </w:r>
      <w:r w:rsidRPr="00C1603D">
        <w:t>:</w:t>
      </w:r>
      <w:r w:rsidRPr="00C1603D">
        <w:rPr>
          <w:color w:val="auto"/>
        </w:rPr>
        <w:t>753</w:t>
      </w:r>
      <w:r w:rsidRPr="00C1603D">
        <w:rPr>
          <w:color w:val="00B0F0"/>
        </w:rPr>
        <w:t>–</w:t>
      </w:r>
      <w:r w:rsidRPr="00C1603D">
        <w:rPr>
          <w:color w:val="auto"/>
        </w:rPr>
        <w:t>8</w:t>
      </w:r>
      <w:r w:rsidRPr="00C1603D">
        <w:t>. https://doi.org/10.1007/BF02818684</w:t>
      </w:r>
    </w:p>
    <w:p w14:paraId="06E9A648" w14:textId="6596DD09" w:rsidR="00EF77DB" w:rsidRPr="00C1603D" w:rsidRDefault="00EF77DB" w:rsidP="00EF77DB">
      <w:pPr>
        <w:pStyle w:val="65ReferencesTextstylesTextstyles"/>
      </w:pPr>
      <w:r w:rsidRPr="00C1603D">
        <w:t>416.</w:t>
      </w:r>
      <w:r w:rsidRPr="00C1603D">
        <w:tab/>
        <w:t xml:space="preserve">Shen Y, Wang M, Martinez D. Celiac disease and low femoral bone density in a </w:t>
      </w:r>
      <w:proofErr w:type="spellStart"/>
      <w:r w:rsidRPr="00C1603D">
        <w:t>multiethnic</w:t>
      </w:r>
      <w:proofErr w:type="spellEnd"/>
      <w:r w:rsidRPr="00C1603D">
        <w:t xml:space="preserve"> </w:t>
      </w:r>
      <w:r w:rsidR="000C1681" w:rsidRPr="00C1603D">
        <w:t xml:space="preserve">US </w:t>
      </w:r>
      <w:r w:rsidRPr="00C1603D">
        <w:t xml:space="preserve">national survey. </w:t>
      </w:r>
      <w:proofErr w:type="spellStart"/>
      <w:r w:rsidRPr="00C1603D">
        <w:rPr>
          <w:i/>
        </w:rPr>
        <w:t>Osteoporos</w:t>
      </w:r>
      <w:proofErr w:type="spellEnd"/>
      <w:r w:rsidRPr="00C1603D">
        <w:t xml:space="preserve"> </w:t>
      </w:r>
      <w:r w:rsidR="008A1EB8" w:rsidRPr="00C1603D">
        <w:rPr>
          <w:i/>
        </w:rPr>
        <w:t>Int</w:t>
      </w:r>
      <w:r w:rsidRPr="00C1603D">
        <w:t xml:space="preserve"> 2014;</w:t>
      </w:r>
      <w:r w:rsidRPr="00C1603D">
        <w:rPr>
          <w:b/>
        </w:rPr>
        <w:t>25</w:t>
      </w:r>
      <w:r w:rsidRPr="00C1603D">
        <w:t>:578.</w:t>
      </w:r>
    </w:p>
    <w:p w14:paraId="4C9CC809" w14:textId="77777777" w:rsidR="00EF77DB" w:rsidRPr="00C1603D" w:rsidRDefault="00EF77DB" w:rsidP="00EF77DB">
      <w:pPr>
        <w:pStyle w:val="65ReferencesTextstylesTextstyles"/>
      </w:pPr>
      <w:r w:rsidRPr="00C1603D">
        <w:t>417.</w:t>
      </w:r>
      <w:r w:rsidRPr="00C1603D">
        <w:tab/>
        <w:t xml:space="preserve">De </w:t>
      </w:r>
      <w:proofErr w:type="spellStart"/>
      <w:r w:rsidRPr="00C1603D">
        <w:t>Bastiani</w:t>
      </w:r>
      <w:proofErr w:type="spellEnd"/>
      <w:r w:rsidRPr="00C1603D">
        <w:t xml:space="preserve"> R, </w:t>
      </w:r>
      <w:proofErr w:type="spellStart"/>
      <w:r w:rsidRPr="00C1603D">
        <w:t>Gabrielli</w:t>
      </w:r>
      <w:proofErr w:type="spellEnd"/>
      <w:r w:rsidRPr="00C1603D">
        <w:t xml:space="preserve"> M, Lora L, Napoli L, </w:t>
      </w:r>
      <w:proofErr w:type="spellStart"/>
      <w:r w:rsidRPr="00C1603D">
        <w:t>Tosetti</w:t>
      </w:r>
      <w:proofErr w:type="spellEnd"/>
      <w:r w:rsidRPr="00C1603D">
        <w:t xml:space="preserve"> C, </w:t>
      </w:r>
      <w:proofErr w:type="spellStart"/>
      <w:r w:rsidRPr="00C1603D">
        <w:t>Pirrotta</w:t>
      </w:r>
      <w:proofErr w:type="spellEnd"/>
      <w:r w:rsidRPr="00C1603D">
        <w:t xml:space="preserve"> E, </w:t>
      </w:r>
      <w:r w:rsidRPr="00C1603D">
        <w:rPr>
          <w:i/>
        </w:rPr>
        <w:t>et al</w:t>
      </w:r>
      <w:r w:rsidRPr="00C1603D">
        <w:t xml:space="preserve">. Association between coeliac disease and psoriasis: Italian primary care multicentre study. </w:t>
      </w:r>
      <w:r w:rsidRPr="00C1603D">
        <w:rPr>
          <w:i/>
        </w:rPr>
        <w:t>Dermatology</w:t>
      </w:r>
      <w:r w:rsidRPr="00C1603D">
        <w:t xml:space="preserve"> 2015;</w:t>
      </w:r>
      <w:r w:rsidRPr="00C1603D">
        <w:rPr>
          <w:b/>
        </w:rPr>
        <w:t>230</w:t>
      </w:r>
      <w:r w:rsidRPr="00C1603D">
        <w:t>:</w:t>
      </w:r>
      <w:r w:rsidRPr="00C1603D">
        <w:rPr>
          <w:color w:val="auto"/>
        </w:rPr>
        <w:t>156</w:t>
      </w:r>
      <w:r w:rsidRPr="00C1603D">
        <w:rPr>
          <w:color w:val="00B0F0"/>
        </w:rPr>
        <w:t>–</w:t>
      </w:r>
      <w:r w:rsidRPr="00C1603D">
        <w:rPr>
          <w:color w:val="auto"/>
        </w:rPr>
        <w:t>60</w:t>
      </w:r>
      <w:r w:rsidRPr="00C1603D">
        <w:t>. https://doi.org/10.1159/000369615</w:t>
      </w:r>
    </w:p>
    <w:p w14:paraId="35B2DDBB" w14:textId="77777777" w:rsidR="00EF77DB" w:rsidRPr="00C1603D" w:rsidRDefault="00EF77DB" w:rsidP="00EF77DB">
      <w:pPr>
        <w:pStyle w:val="65ReferencesTextstylesTextstyles"/>
      </w:pPr>
      <w:r w:rsidRPr="00C1603D">
        <w:t>418.</w:t>
      </w:r>
      <w:r w:rsidRPr="00C1603D">
        <w:tab/>
      </w:r>
      <w:proofErr w:type="spellStart"/>
      <w:r w:rsidRPr="00C1603D">
        <w:t>Akbulut</w:t>
      </w:r>
      <w:proofErr w:type="spellEnd"/>
      <w:r w:rsidRPr="00C1603D">
        <w:t xml:space="preserve"> S, </w:t>
      </w:r>
      <w:proofErr w:type="spellStart"/>
      <w:r w:rsidRPr="00C1603D">
        <w:t>Gür</w:t>
      </w:r>
      <w:proofErr w:type="spellEnd"/>
      <w:r w:rsidRPr="00C1603D">
        <w:t xml:space="preserve"> G, </w:t>
      </w:r>
      <w:proofErr w:type="spellStart"/>
      <w:r w:rsidRPr="00C1603D">
        <w:t>Topal</w:t>
      </w:r>
      <w:proofErr w:type="spellEnd"/>
      <w:r w:rsidRPr="00C1603D">
        <w:t xml:space="preserve"> F, </w:t>
      </w:r>
      <w:proofErr w:type="spellStart"/>
      <w:r w:rsidRPr="00C1603D">
        <w:t>Senel</w:t>
      </w:r>
      <w:proofErr w:type="spellEnd"/>
      <w:r w:rsidRPr="00C1603D">
        <w:t xml:space="preserve"> E, </w:t>
      </w:r>
      <w:proofErr w:type="spellStart"/>
      <w:r w:rsidRPr="00C1603D">
        <w:t>Topal</w:t>
      </w:r>
      <w:proofErr w:type="spellEnd"/>
      <w:r w:rsidRPr="00C1603D">
        <w:t xml:space="preserve"> FE, Alli N, </w:t>
      </w:r>
      <w:proofErr w:type="spellStart"/>
      <w:r w:rsidRPr="00C1603D">
        <w:t>Saritas</w:t>
      </w:r>
      <w:proofErr w:type="spellEnd"/>
      <w:r w:rsidRPr="00C1603D">
        <w:t xml:space="preserve"> U. Coeliac disease-associated antibodies in psoriasis. </w:t>
      </w:r>
      <w:r w:rsidRPr="00C1603D">
        <w:rPr>
          <w:i/>
        </w:rPr>
        <w:t>Ann Dermatol</w:t>
      </w:r>
      <w:r w:rsidRPr="00C1603D">
        <w:t xml:space="preserve"> 2013;</w:t>
      </w:r>
      <w:r w:rsidRPr="00C1603D">
        <w:rPr>
          <w:b/>
        </w:rPr>
        <w:t>25</w:t>
      </w:r>
      <w:r w:rsidRPr="00C1603D">
        <w:t>:</w:t>
      </w:r>
      <w:r w:rsidRPr="00C1603D">
        <w:rPr>
          <w:color w:val="auto"/>
        </w:rPr>
        <w:t>298</w:t>
      </w:r>
      <w:r w:rsidRPr="00C1603D">
        <w:rPr>
          <w:color w:val="00B0F0"/>
        </w:rPr>
        <w:t>–</w:t>
      </w:r>
      <w:r w:rsidRPr="00C1603D">
        <w:rPr>
          <w:color w:val="auto"/>
        </w:rPr>
        <w:t>303</w:t>
      </w:r>
      <w:r w:rsidRPr="00C1603D">
        <w:t>. https://doi.org/10.5021/ad.2013.25.3.298</w:t>
      </w:r>
    </w:p>
    <w:p w14:paraId="29F12E52" w14:textId="05AD75E8" w:rsidR="00EF77DB" w:rsidRPr="00C1603D" w:rsidRDefault="00EF77DB" w:rsidP="00EF77DB">
      <w:pPr>
        <w:pStyle w:val="65ReferencesTextstylesTextstyles"/>
      </w:pPr>
      <w:r w:rsidRPr="00C1603D">
        <w:t>419.</w:t>
      </w:r>
      <w:r w:rsidRPr="00C1603D">
        <w:tab/>
      </w:r>
      <w:proofErr w:type="spellStart"/>
      <w:r w:rsidRPr="00C1603D">
        <w:t>Dhattarwal</w:t>
      </w:r>
      <w:proofErr w:type="spellEnd"/>
      <w:r w:rsidRPr="00C1603D">
        <w:t xml:space="preserve"> N, Mahajan VK, Mehta KS, Chauhan PS, Yadav RS, Sharma SB, </w:t>
      </w:r>
      <w:r w:rsidRPr="00C1603D">
        <w:rPr>
          <w:i/>
        </w:rPr>
        <w:t>et al</w:t>
      </w:r>
      <w:r w:rsidRPr="00C1603D">
        <w:t xml:space="preserve">. The association of anti-gliadin and anti-transglutaminase antibodies and chronic plaque psoriasis in Indian patients: </w:t>
      </w:r>
      <w:r w:rsidR="00535538" w:rsidRPr="00C1603D">
        <w:t>p</w:t>
      </w:r>
      <w:r w:rsidRPr="00C1603D">
        <w:t xml:space="preserve">reliminary results of a descriptive cross-sectional study. </w:t>
      </w:r>
      <w:proofErr w:type="spellStart"/>
      <w:r w:rsidRPr="00C1603D">
        <w:rPr>
          <w:i/>
        </w:rPr>
        <w:t>Australas</w:t>
      </w:r>
      <w:proofErr w:type="spellEnd"/>
      <w:r w:rsidRPr="00C1603D">
        <w:rPr>
          <w:i/>
        </w:rPr>
        <w:t xml:space="preserve"> J Dermatol</w:t>
      </w:r>
      <w:r w:rsidRPr="00C1603D">
        <w:t xml:space="preserve"> 2020;</w:t>
      </w:r>
      <w:r w:rsidRPr="00C1603D">
        <w:rPr>
          <w:b/>
        </w:rPr>
        <w:t>61</w:t>
      </w:r>
      <w:r w:rsidRPr="00C1603D">
        <w:t>:</w:t>
      </w:r>
      <w:r w:rsidRPr="00C1603D">
        <w:rPr>
          <w:color w:val="auto"/>
        </w:rPr>
        <w:t>e378</w:t>
      </w:r>
      <w:r w:rsidRPr="00C1603D">
        <w:rPr>
          <w:color w:val="00B0F0"/>
        </w:rPr>
        <w:t>–</w:t>
      </w:r>
      <w:r w:rsidRPr="00C1603D">
        <w:rPr>
          <w:color w:val="auto"/>
        </w:rPr>
        <w:t>e382</w:t>
      </w:r>
      <w:r w:rsidRPr="00C1603D">
        <w:t>. https://doi.org/10.1111/ajd.13308</w:t>
      </w:r>
    </w:p>
    <w:p w14:paraId="248ABC09" w14:textId="55BE067E" w:rsidR="00EF77DB" w:rsidRPr="00C1603D" w:rsidRDefault="00EF77DB" w:rsidP="00EF77DB">
      <w:pPr>
        <w:pStyle w:val="65ReferencesTextstylesTextstyles"/>
      </w:pPr>
      <w:r w:rsidRPr="00C1603D">
        <w:t>420.</w:t>
      </w:r>
      <w:r w:rsidRPr="00C1603D">
        <w:tab/>
      </w:r>
      <w:proofErr w:type="spellStart"/>
      <w:r w:rsidRPr="00C1603D">
        <w:t>Montesu</w:t>
      </w:r>
      <w:proofErr w:type="spellEnd"/>
      <w:r w:rsidRPr="00C1603D">
        <w:t xml:space="preserve"> MA, </w:t>
      </w:r>
      <w:proofErr w:type="spellStart"/>
      <w:r w:rsidRPr="00C1603D">
        <w:t>Dessì-Fulgheri</w:t>
      </w:r>
      <w:proofErr w:type="spellEnd"/>
      <w:r w:rsidRPr="00C1603D">
        <w:t xml:space="preserve"> C, </w:t>
      </w:r>
      <w:proofErr w:type="spellStart"/>
      <w:r w:rsidRPr="00C1603D">
        <w:t>Pattaro</w:t>
      </w:r>
      <w:proofErr w:type="spellEnd"/>
      <w:r w:rsidRPr="00C1603D">
        <w:t xml:space="preserve"> C, Ventura V, </w:t>
      </w:r>
      <w:proofErr w:type="spellStart"/>
      <w:r w:rsidRPr="00C1603D">
        <w:t>Satta</w:t>
      </w:r>
      <w:proofErr w:type="spellEnd"/>
      <w:r w:rsidRPr="00C1603D">
        <w:t xml:space="preserve"> R, </w:t>
      </w:r>
      <w:proofErr w:type="spellStart"/>
      <w:r w:rsidRPr="00C1603D">
        <w:t>Cottoni</w:t>
      </w:r>
      <w:proofErr w:type="spellEnd"/>
      <w:r w:rsidRPr="00C1603D">
        <w:t xml:space="preserve"> F. Association between psoriasis and coeliac disease? A case</w:t>
      </w:r>
      <w:r w:rsidR="00535538" w:rsidRPr="00C1603D">
        <w:t>–</w:t>
      </w:r>
      <w:r w:rsidRPr="00C1603D">
        <w:t xml:space="preserve">control study. </w:t>
      </w:r>
      <w:r w:rsidRPr="00C1603D">
        <w:rPr>
          <w:i/>
        </w:rPr>
        <w:t xml:space="preserve">Acta </w:t>
      </w:r>
      <w:proofErr w:type="spellStart"/>
      <w:r w:rsidRPr="00C1603D">
        <w:rPr>
          <w:i/>
        </w:rPr>
        <w:t>Derm</w:t>
      </w:r>
      <w:proofErr w:type="spellEnd"/>
      <w:r w:rsidRPr="00C1603D">
        <w:rPr>
          <w:i/>
        </w:rPr>
        <w:t xml:space="preserve"> </w:t>
      </w:r>
      <w:proofErr w:type="spellStart"/>
      <w:r w:rsidRPr="00C1603D">
        <w:rPr>
          <w:i/>
        </w:rPr>
        <w:t>Venereol</w:t>
      </w:r>
      <w:proofErr w:type="spellEnd"/>
      <w:r w:rsidRPr="00C1603D">
        <w:t xml:space="preserve"> 2011;</w:t>
      </w:r>
      <w:r w:rsidRPr="00C1603D">
        <w:rPr>
          <w:b/>
        </w:rPr>
        <w:t>91</w:t>
      </w:r>
      <w:r w:rsidRPr="00C1603D">
        <w:t>:</w:t>
      </w:r>
      <w:r w:rsidRPr="00C1603D">
        <w:rPr>
          <w:color w:val="auto"/>
        </w:rPr>
        <w:t>92</w:t>
      </w:r>
      <w:r w:rsidRPr="00C1603D">
        <w:rPr>
          <w:color w:val="00B0F0"/>
        </w:rPr>
        <w:t>–</w:t>
      </w:r>
      <w:r w:rsidRPr="00C1603D">
        <w:rPr>
          <w:color w:val="auto"/>
        </w:rPr>
        <w:t>3</w:t>
      </w:r>
      <w:r w:rsidRPr="00C1603D">
        <w:t>. https://doi.org/10.2340/00015555-0960</w:t>
      </w:r>
    </w:p>
    <w:p w14:paraId="795C5A3E" w14:textId="77777777" w:rsidR="00EF77DB" w:rsidRPr="00C1603D" w:rsidRDefault="00EF77DB" w:rsidP="00EF77DB">
      <w:pPr>
        <w:pStyle w:val="65ReferencesTextstylesTextstyles"/>
      </w:pPr>
      <w:r w:rsidRPr="00C1603D">
        <w:t>421.</w:t>
      </w:r>
      <w:r w:rsidRPr="00C1603D">
        <w:tab/>
      </w:r>
      <w:proofErr w:type="spellStart"/>
      <w:r w:rsidRPr="00C1603D">
        <w:t>Nagui</w:t>
      </w:r>
      <w:proofErr w:type="spellEnd"/>
      <w:r w:rsidRPr="00C1603D">
        <w:t xml:space="preserve"> N, El </w:t>
      </w:r>
      <w:proofErr w:type="spellStart"/>
      <w:r w:rsidRPr="00C1603D">
        <w:t>Nabarawy</w:t>
      </w:r>
      <w:proofErr w:type="spellEnd"/>
      <w:r w:rsidRPr="00C1603D">
        <w:t xml:space="preserve"> E, </w:t>
      </w:r>
      <w:proofErr w:type="spellStart"/>
      <w:r w:rsidRPr="00C1603D">
        <w:t>Mahgoub</w:t>
      </w:r>
      <w:proofErr w:type="spellEnd"/>
      <w:r w:rsidRPr="00C1603D">
        <w:t xml:space="preserve"> D, </w:t>
      </w:r>
      <w:proofErr w:type="spellStart"/>
      <w:r w:rsidRPr="00C1603D">
        <w:t>Mashaly</w:t>
      </w:r>
      <w:proofErr w:type="spellEnd"/>
      <w:r w:rsidRPr="00C1603D">
        <w:t xml:space="preserve"> HM, Saad NE, El-</w:t>
      </w:r>
      <w:proofErr w:type="spellStart"/>
      <w:r w:rsidRPr="00C1603D">
        <w:t>Deeb</w:t>
      </w:r>
      <w:proofErr w:type="spellEnd"/>
      <w:r w:rsidRPr="00C1603D">
        <w:t xml:space="preserve"> DF. Estimation of (IgA) anti-gliadin, anti-endomysium and tissue transglutaminase in the serum of patients with psoriasis. </w:t>
      </w:r>
      <w:r w:rsidRPr="00C1603D">
        <w:rPr>
          <w:i/>
        </w:rPr>
        <w:t>Clin Exp Dermatol</w:t>
      </w:r>
      <w:r w:rsidRPr="00C1603D">
        <w:t xml:space="preserve"> 2011;</w:t>
      </w:r>
      <w:r w:rsidRPr="00C1603D">
        <w:rPr>
          <w:b/>
        </w:rPr>
        <w:t>36</w:t>
      </w:r>
      <w:r w:rsidRPr="00C1603D">
        <w:t>:</w:t>
      </w:r>
      <w:r w:rsidRPr="00C1603D">
        <w:rPr>
          <w:color w:val="auto"/>
        </w:rPr>
        <w:t>302</w:t>
      </w:r>
      <w:r w:rsidRPr="00C1603D">
        <w:rPr>
          <w:color w:val="00B0F0"/>
        </w:rPr>
        <w:t>–</w:t>
      </w:r>
      <w:r w:rsidRPr="00C1603D">
        <w:rPr>
          <w:color w:val="auto"/>
        </w:rPr>
        <w:t>4</w:t>
      </w:r>
      <w:r w:rsidRPr="00C1603D">
        <w:t>. https://doi.org/10.1111/j.1365-2230.2010.03980.x</w:t>
      </w:r>
    </w:p>
    <w:p w14:paraId="66FEE678" w14:textId="5B223DB7" w:rsidR="00EF77DB" w:rsidRPr="00C1603D" w:rsidRDefault="00EF77DB" w:rsidP="00EF77DB">
      <w:pPr>
        <w:pStyle w:val="65ReferencesTextstylesTextstyles"/>
      </w:pPr>
      <w:r w:rsidRPr="00C1603D">
        <w:t>422.</w:t>
      </w:r>
      <w:r w:rsidRPr="00C1603D">
        <w:tab/>
        <w:t xml:space="preserve">Singh S, </w:t>
      </w:r>
      <w:proofErr w:type="spellStart"/>
      <w:r w:rsidRPr="00C1603D">
        <w:t>Sonkar</w:t>
      </w:r>
      <w:proofErr w:type="spellEnd"/>
      <w:r w:rsidRPr="00C1603D">
        <w:t xml:space="preserve"> GK, Usha, Singh S. Celiac disease-associated antibodies in patients with psoriasis and correlation with HLA Cw6. </w:t>
      </w:r>
      <w:r w:rsidR="00EF572C" w:rsidRPr="00C1603D">
        <w:rPr>
          <w:i/>
        </w:rPr>
        <w:t>J Clin Lab Anal</w:t>
      </w:r>
      <w:r w:rsidRPr="00C1603D">
        <w:t xml:space="preserve"> 2010;</w:t>
      </w:r>
      <w:r w:rsidRPr="00C1603D">
        <w:rPr>
          <w:b/>
        </w:rPr>
        <w:t>24</w:t>
      </w:r>
      <w:r w:rsidRPr="00C1603D">
        <w:t>:269</w:t>
      </w:r>
      <w:r w:rsidR="00EF572C" w:rsidRPr="00C1603D">
        <w:t>–</w:t>
      </w:r>
      <w:r w:rsidRPr="00C1603D">
        <w:t>72.</w:t>
      </w:r>
    </w:p>
    <w:p w14:paraId="5BDC83CD" w14:textId="77777777" w:rsidR="00EF77DB" w:rsidRPr="00C1603D" w:rsidRDefault="00EF77DB" w:rsidP="00EF77DB">
      <w:pPr>
        <w:pStyle w:val="65ReferencesTextstylesTextstyles"/>
      </w:pPr>
      <w:r w:rsidRPr="00C1603D">
        <w:t>423.</w:t>
      </w:r>
      <w:r w:rsidRPr="00C1603D">
        <w:tab/>
      </w:r>
      <w:proofErr w:type="spellStart"/>
      <w:r w:rsidRPr="00C1603D">
        <w:t>Marai</w:t>
      </w:r>
      <w:proofErr w:type="spellEnd"/>
      <w:r w:rsidRPr="00C1603D">
        <w:t xml:space="preserve"> I, </w:t>
      </w:r>
      <w:proofErr w:type="spellStart"/>
      <w:r w:rsidRPr="00C1603D">
        <w:t>Shoenfeld</w:t>
      </w:r>
      <w:proofErr w:type="spellEnd"/>
      <w:r w:rsidRPr="00C1603D">
        <w:t xml:space="preserve"> Y, </w:t>
      </w:r>
      <w:proofErr w:type="spellStart"/>
      <w:r w:rsidRPr="00C1603D">
        <w:t>Bizzaro</w:t>
      </w:r>
      <w:proofErr w:type="spellEnd"/>
      <w:r w:rsidRPr="00C1603D">
        <w:t xml:space="preserve"> N, </w:t>
      </w:r>
      <w:proofErr w:type="spellStart"/>
      <w:r w:rsidRPr="00C1603D">
        <w:t>Villalta</w:t>
      </w:r>
      <w:proofErr w:type="spellEnd"/>
      <w:r w:rsidRPr="00C1603D">
        <w:t xml:space="preserve"> D, </w:t>
      </w:r>
      <w:proofErr w:type="spellStart"/>
      <w:r w:rsidRPr="00C1603D">
        <w:t>Doria</w:t>
      </w:r>
      <w:proofErr w:type="spellEnd"/>
      <w:r w:rsidRPr="00C1603D">
        <w:t xml:space="preserve"> A, </w:t>
      </w:r>
      <w:proofErr w:type="spellStart"/>
      <w:r w:rsidRPr="00C1603D">
        <w:t>Tonutti</w:t>
      </w:r>
      <w:proofErr w:type="spellEnd"/>
      <w:r w:rsidRPr="00C1603D">
        <w:t xml:space="preserve"> E, </w:t>
      </w:r>
      <w:proofErr w:type="spellStart"/>
      <w:r w:rsidRPr="00C1603D">
        <w:t>Tozzoli</w:t>
      </w:r>
      <w:proofErr w:type="spellEnd"/>
      <w:r w:rsidRPr="00C1603D">
        <w:t xml:space="preserve"> R. IgA and IgG tissue transglutaminase antibodies in systemic lupus erythematosus. </w:t>
      </w:r>
      <w:r w:rsidRPr="00C1603D">
        <w:rPr>
          <w:i/>
        </w:rPr>
        <w:t>Lupus</w:t>
      </w:r>
      <w:r w:rsidRPr="00C1603D">
        <w:t xml:space="preserve"> 2004;</w:t>
      </w:r>
      <w:r w:rsidRPr="00C1603D">
        <w:rPr>
          <w:b/>
        </w:rPr>
        <w:t>13</w:t>
      </w:r>
      <w:r w:rsidRPr="00C1603D">
        <w:t>:</w:t>
      </w:r>
      <w:r w:rsidRPr="00C1603D">
        <w:rPr>
          <w:color w:val="auto"/>
        </w:rPr>
        <w:t>241</w:t>
      </w:r>
      <w:r w:rsidRPr="00C1603D">
        <w:rPr>
          <w:color w:val="00B0F0"/>
        </w:rPr>
        <w:t>–</w:t>
      </w:r>
      <w:r w:rsidRPr="00C1603D">
        <w:rPr>
          <w:color w:val="auto"/>
        </w:rPr>
        <w:t>4</w:t>
      </w:r>
      <w:r w:rsidRPr="00C1603D">
        <w:t>. https://doi.org/10.1191/0961203304lu1004oa</w:t>
      </w:r>
    </w:p>
    <w:p w14:paraId="35B93321" w14:textId="77777777" w:rsidR="00EF77DB" w:rsidRPr="00C1603D" w:rsidRDefault="00EF77DB" w:rsidP="00EF77DB">
      <w:pPr>
        <w:pStyle w:val="65ReferencesTextstylesTextstyles"/>
      </w:pPr>
      <w:r w:rsidRPr="00C1603D">
        <w:t>424.</w:t>
      </w:r>
      <w:r w:rsidRPr="00C1603D">
        <w:tab/>
      </w:r>
      <w:proofErr w:type="spellStart"/>
      <w:r w:rsidRPr="00C1603D">
        <w:t>Picceli</w:t>
      </w:r>
      <w:proofErr w:type="spellEnd"/>
      <w:r w:rsidRPr="00C1603D">
        <w:t xml:space="preserve"> VF, </w:t>
      </w:r>
      <w:proofErr w:type="spellStart"/>
      <w:r w:rsidRPr="00C1603D">
        <w:t>Skare</w:t>
      </w:r>
      <w:proofErr w:type="spellEnd"/>
      <w:r w:rsidRPr="00C1603D">
        <w:t xml:space="preserve"> TL, </w:t>
      </w:r>
      <w:proofErr w:type="spellStart"/>
      <w:r w:rsidRPr="00C1603D">
        <w:t>Nisihara</w:t>
      </w:r>
      <w:proofErr w:type="spellEnd"/>
      <w:r w:rsidRPr="00C1603D">
        <w:t xml:space="preserve"> R, Kotze L, </w:t>
      </w:r>
      <w:proofErr w:type="spellStart"/>
      <w:r w:rsidRPr="00C1603D">
        <w:t>Messias</w:t>
      </w:r>
      <w:proofErr w:type="spellEnd"/>
      <w:r w:rsidRPr="00C1603D">
        <w:t xml:space="preserve">-Reason I, </w:t>
      </w:r>
      <w:proofErr w:type="spellStart"/>
      <w:r w:rsidRPr="00C1603D">
        <w:t>Utiyama</w:t>
      </w:r>
      <w:proofErr w:type="spellEnd"/>
      <w:r w:rsidRPr="00C1603D">
        <w:t xml:space="preserve"> SR. Spectrum of autoantibodies for gastrointestinal autoimmune diseases in systemic lupus erythematosus patients. </w:t>
      </w:r>
      <w:r w:rsidRPr="00C1603D">
        <w:rPr>
          <w:i/>
        </w:rPr>
        <w:t>Lupus</w:t>
      </w:r>
      <w:r w:rsidRPr="00C1603D">
        <w:t xml:space="preserve"> 2013;</w:t>
      </w:r>
      <w:r w:rsidRPr="00C1603D">
        <w:rPr>
          <w:b/>
        </w:rPr>
        <w:t>22</w:t>
      </w:r>
      <w:r w:rsidRPr="00C1603D">
        <w:t>:</w:t>
      </w:r>
      <w:r w:rsidRPr="00C1603D">
        <w:rPr>
          <w:color w:val="auto"/>
        </w:rPr>
        <w:t>1150</w:t>
      </w:r>
      <w:r w:rsidRPr="00C1603D">
        <w:rPr>
          <w:color w:val="00B0F0"/>
        </w:rPr>
        <w:t>–</w:t>
      </w:r>
      <w:r w:rsidRPr="00C1603D">
        <w:rPr>
          <w:color w:val="auto"/>
        </w:rPr>
        <w:t>5</w:t>
      </w:r>
      <w:r w:rsidRPr="00C1603D">
        <w:t>. https://doi.org/10.1177/0961203313503911</w:t>
      </w:r>
    </w:p>
    <w:p w14:paraId="1CEB42CC" w14:textId="0331EC3F" w:rsidR="00EF77DB" w:rsidRPr="00C1603D" w:rsidRDefault="00EF77DB" w:rsidP="00EF77DB">
      <w:pPr>
        <w:pStyle w:val="65ReferencesTextstylesTextstyles"/>
      </w:pPr>
      <w:r w:rsidRPr="00C1603D">
        <w:t>425.</w:t>
      </w:r>
      <w:r w:rsidRPr="00C1603D">
        <w:tab/>
      </w:r>
      <w:proofErr w:type="spellStart"/>
      <w:r w:rsidRPr="00C1603D">
        <w:t>Sahin</w:t>
      </w:r>
      <w:proofErr w:type="spellEnd"/>
      <w:r w:rsidRPr="00C1603D">
        <w:t xml:space="preserve"> Y, </w:t>
      </w:r>
      <w:proofErr w:type="spellStart"/>
      <w:r w:rsidRPr="00C1603D">
        <w:t>Sahin</w:t>
      </w:r>
      <w:proofErr w:type="spellEnd"/>
      <w:r w:rsidRPr="00C1603D">
        <w:t xml:space="preserve"> S, </w:t>
      </w:r>
      <w:proofErr w:type="spellStart"/>
      <w:r w:rsidRPr="00C1603D">
        <w:t>Adrovic</w:t>
      </w:r>
      <w:proofErr w:type="spellEnd"/>
      <w:r w:rsidRPr="00C1603D">
        <w:t xml:space="preserve"> A, Erkan T, </w:t>
      </w:r>
      <w:proofErr w:type="spellStart"/>
      <w:r w:rsidRPr="00C1603D">
        <w:t>Kutlu</w:t>
      </w:r>
      <w:proofErr w:type="spellEnd"/>
      <w:r w:rsidRPr="00C1603D">
        <w:t xml:space="preserve"> T, Barut K, </w:t>
      </w:r>
      <w:r w:rsidRPr="00C1603D">
        <w:rPr>
          <w:i/>
        </w:rPr>
        <w:t>et</w:t>
      </w:r>
      <w:r w:rsidRPr="00C1603D">
        <w:t xml:space="preserve"> </w:t>
      </w:r>
      <w:r w:rsidRPr="00C1603D">
        <w:rPr>
          <w:i/>
        </w:rPr>
        <w:t>al</w:t>
      </w:r>
      <w:r w:rsidRPr="00C1603D">
        <w:t xml:space="preserve">. The frequency of celiac disease in Turkish children with systemic lupus erythematosus. </w:t>
      </w:r>
      <w:r w:rsidR="00EF572C" w:rsidRPr="00C1603D">
        <w:rPr>
          <w:i/>
        </w:rPr>
        <w:t>J</w:t>
      </w:r>
      <w:r w:rsidRPr="00C1603D">
        <w:t xml:space="preserve"> </w:t>
      </w:r>
      <w:proofErr w:type="spellStart"/>
      <w:r w:rsidRPr="00C1603D">
        <w:rPr>
          <w:i/>
        </w:rPr>
        <w:t>Pediatr</w:t>
      </w:r>
      <w:proofErr w:type="spellEnd"/>
      <w:r w:rsidRPr="00C1603D">
        <w:t xml:space="preserve"> </w:t>
      </w:r>
      <w:r w:rsidRPr="00C1603D">
        <w:rPr>
          <w:i/>
        </w:rPr>
        <w:t>Gastroenterol</w:t>
      </w:r>
      <w:r w:rsidR="00EF572C" w:rsidRPr="00C1603D">
        <w:rPr>
          <w:i/>
        </w:rPr>
        <w:t xml:space="preserve"> </w:t>
      </w:r>
      <w:proofErr w:type="spellStart"/>
      <w:r w:rsidRPr="00C1603D">
        <w:rPr>
          <w:i/>
        </w:rPr>
        <w:t>Nutr</w:t>
      </w:r>
      <w:proofErr w:type="spellEnd"/>
      <w:r w:rsidR="00EF572C" w:rsidRPr="00C1603D">
        <w:rPr>
          <w:i/>
        </w:rPr>
        <w:t xml:space="preserve"> </w:t>
      </w:r>
      <w:r w:rsidRPr="00C1603D">
        <w:t>2017;</w:t>
      </w:r>
      <w:r w:rsidRPr="00C1603D">
        <w:rPr>
          <w:b/>
        </w:rPr>
        <w:t>64</w:t>
      </w:r>
      <w:r w:rsidRPr="00C1603D">
        <w:t>:230.</w:t>
      </w:r>
    </w:p>
    <w:p w14:paraId="086E3C5E" w14:textId="4BA860E3" w:rsidR="00EF77DB" w:rsidRPr="00C1603D" w:rsidRDefault="00EF77DB" w:rsidP="00EF77DB">
      <w:pPr>
        <w:pStyle w:val="65ReferencesTextstylesTextstyles"/>
      </w:pPr>
      <w:r w:rsidRPr="00C1603D">
        <w:t>426.</w:t>
      </w:r>
      <w:r w:rsidRPr="00C1603D">
        <w:tab/>
        <w:t xml:space="preserve">Cedíková M, </w:t>
      </w:r>
      <w:proofErr w:type="spellStart"/>
      <w:r w:rsidRPr="00C1603D">
        <w:t>Ulčová-Gallová</w:t>
      </w:r>
      <w:proofErr w:type="spellEnd"/>
      <w:r w:rsidRPr="00C1603D">
        <w:t xml:space="preserve"> Z, </w:t>
      </w:r>
      <w:proofErr w:type="spellStart"/>
      <w:r w:rsidRPr="00C1603D">
        <w:t>Bibková</w:t>
      </w:r>
      <w:proofErr w:type="spellEnd"/>
      <w:r w:rsidRPr="00C1603D">
        <w:t xml:space="preserve"> K, </w:t>
      </w:r>
      <w:proofErr w:type="spellStart"/>
      <w:r w:rsidRPr="00C1603D">
        <w:t>Mičanová</w:t>
      </w:r>
      <w:proofErr w:type="spellEnd"/>
      <w:r w:rsidRPr="00C1603D">
        <w:t xml:space="preserve"> Z. [The incidence of latent asymptomatic celiac disease in women with decreased fertility.] </w:t>
      </w:r>
      <w:proofErr w:type="spellStart"/>
      <w:r w:rsidRPr="00C1603D">
        <w:rPr>
          <w:i/>
        </w:rPr>
        <w:t>Ceska</w:t>
      </w:r>
      <w:proofErr w:type="spellEnd"/>
      <w:r w:rsidRPr="00C1603D">
        <w:rPr>
          <w:i/>
        </w:rPr>
        <w:t xml:space="preserve"> </w:t>
      </w:r>
      <w:proofErr w:type="spellStart"/>
      <w:r w:rsidRPr="00C1603D">
        <w:rPr>
          <w:i/>
        </w:rPr>
        <w:t>Gynekol</w:t>
      </w:r>
      <w:proofErr w:type="spellEnd"/>
      <w:r w:rsidRPr="00C1603D">
        <w:t xml:space="preserve"> 2013;</w:t>
      </w:r>
      <w:r w:rsidRPr="00C1603D">
        <w:rPr>
          <w:b/>
        </w:rPr>
        <w:t>78</w:t>
      </w:r>
      <w:r w:rsidRPr="00C1603D">
        <w:t>:</w:t>
      </w:r>
      <w:r w:rsidRPr="00C1603D">
        <w:rPr>
          <w:color w:val="auto"/>
        </w:rPr>
        <w:t>247</w:t>
      </w:r>
      <w:r w:rsidRPr="00C1603D">
        <w:rPr>
          <w:color w:val="00B0F0"/>
        </w:rPr>
        <w:t>–</w:t>
      </w:r>
      <w:r w:rsidRPr="00C1603D">
        <w:rPr>
          <w:color w:val="auto"/>
        </w:rPr>
        <w:t>51</w:t>
      </w:r>
      <w:r w:rsidRPr="00C1603D">
        <w:t>.</w:t>
      </w:r>
    </w:p>
    <w:p w14:paraId="080E94BB" w14:textId="5CF6A387" w:rsidR="00EF77DB" w:rsidRPr="00C1603D" w:rsidRDefault="00EF77DB" w:rsidP="00EF77DB">
      <w:pPr>
        <w:pStyle w:val="65ReferencesTextstylesTextstyles"/>
      </w:pPr>
      <w:r w:rsidRPr="00C1603D">
        <w:t>427.</w:t>
      </w:r>
      <w:r w:rsidRPr="00C1603D">
        <w:tab/>
      </w:r>
      <w:proofErr w:type="spellStart"/>
      <w:r w:rsidRPr="00C1603D">
        <w:t>Remes</w:t>
      </w:r>
      <w:proofErr w:type="spellEnd"/>
      <w:r w:rsidRPr="00C1603D">
        <w:t xml:space="preserve">-Troche JM, Vargas LAS, </w:t>
      </w:r>
      <w:proofErr w:type="spellStart"/>
      <w:r w:rsidRPr="00C1603D">
        <w:t>Meixueiro</w:t>
      </w:r>
      <w:proofErr w:type="spellEnd"/>
      <w:r w:rsidRPr="00C1603D">
        <w:t xml:space="preserve"> A, </w:t>
      </w:r>
      <w:proofErr w:type="spellStart"/>
      <w:r w:rsidRPr="00C1603D">
        <w:t>Patino</w:t>
      </w:r>
      <w:proofErr w:type="spellEnd"/>
      <w:r w:rsidRPr="00C1603D">
        <w:t xml:space="preserve"> ED, Gonzalez-Sicilia E, Abreu JA, </w:t>
      </w:r>
      <w:r w:rsidRPr="00C1603D">
        <w:rPr>
          <w:i/>
        </w:rPr>
        <w:t>et</w:t>
      </w:r>
      <w:r w:rsidRPr="00C1603D">
        <w:t xml:space="preserve"> </w:t>
      </w:r>
      <w:r w:rsidRPr="00C1603D">
        <w:rPr>
          <w:i/>
        </w:rPr>
        <w:t>al</w:t>
      </w:r>
      <w:r w:rsidRPr="00C1603D">
        <w:t xml:space="preserve">. Celiac </w:t>
      </w:r>
      <w:r w:rsidR="00EF572C" w:rsidRPr="00C1603D">
        <w:t>disease screening in patients previously diagnosed with infer</w:t>
      </w:r>
      <w:r w:rsidRPr="00C1603D">
        <w:t xml:space="preserve">tility. A </w:t>
      </w:r>
      <w:r w:rsidR="00EF572C" w:rsidRPr="00C1603D">
        <w:t>prospective stud</w:t>
      </w:r>
      <w:r w:rsidRPr="00C1603D">
        <w:t xml:space="preserve">y in Mexican </w:t>
      </w:r>
      <w:r w:rsidR="00EF572C" w:rsidRPr="00C1603D">
        <w:t>population</w:t>
      </w:r>
      <w:r w:rsidRPr="00C1603D">
        <w:t xml:space="preserve">. </w:t>
      </w:r>
      <w:r w:rsidRPr="00C1603D">
        <w:rPr>
          <w:i/>
        </w:rPr>
        <w:t>Gastroenterology</w:t>
      </w:r>
      <w:r w:rsidRPr="00C1603D">
        <w:t xml:space="preserve"> 2014;</w:t>
      </w:r>
      <w:r w:rsidRPr="00C1603D">
        <w:rPr>
          <w:b/>
        </w:rPr>
        <w:t>146</w:t>
      </w:r>
      <w:r w:rsidRPr="00C1603D">
        <w:t>:S468</w:t>
      </w:r>
      <w:r w:rsidR="00EF572C" w:rsidRPr="00C1603D">
        <w:t>–</w:t>
      </w:r>
      <w:r w:rsidRPr="00C1603D">
        <w:t>S.</w:t>
      </w:r>
    </w:p>
    <w:p w14:paraId="326C6E5A" w14:textId="09A5C902" w:rsidR="00EF77DB" w:rsidRPr="00C1603D" w:rsidRDefault="3CDEEDA7" w:rsidP="00EF77DB">
      <w:pPr>
        <w:pStyle w:val="65ReferencesTextstylesTextstyles"/>
      </w:pPr>
      <w:r w:rsidRPr="00C1603D">
        <w:t>428.</w:t>
      </w:r>
      <w:r w:rsidR="00EF77DB" w:rsidRPr="00C1603D">
        <w:tab/>
      </w:r>
      <w:commentRangeStart w:id="548"/>
      <w:commentRangeStart w:id="549"/>
      <w:proofErr w:type="spellStart"/>
      <w:r w:rsidRPr="00C1603D">
        <w:t>Herraiz-Nicuesa</w:t>
      </w:r>
      <w:proofErr w:type="spellEnd"/>
      <w:r w:rsidRPr="00C1603D">
        <w:t xml:space="preserve"> L, </w:t>
      </w:r>
      <w:proofErr w:type="spellStart"/>
      <w:r w:rsidRPr="00C1603D">
        <w:t>Tejera</w:t>
      </w:r>
      <w:proofErr w:type="spellEnd"/>
      <w:r w:rsidRPr="00C1603D">
        <w:t xml:space="preserve">-Alhambra M, Garcia-Segovia A, Ramos-Medina R, Alonso B, Gil-Pulido J, </w:t>
      </w:r>
      <w:r w:rsidRPr="00C1603D">
        <w:rPr>
          <w:i/>
          <w:iCs/>
        </w:rPr>
        <w:t>et</w:t>
      </w:r>
      <w:r w:rsidRPr="00C1603D">
        <w:t xml:space="preserve"> </w:t>
      </w:r>
      <w:r w:rsidRPr="00C1603D">
        <w:rPr>
          <w:i/>
          <w:iCs/>
        </w:rPr>
        <w:t>al</w:t>
      </w:r>
      <w:r w:rsidRPr="00C1603D">
        <w:t xml:space="preserve">. Increasing prevalence of undiagnosed celiac disease in Spanish women with recurrent reproductive failure. </w:t>
      </w:r>
      <w:r w:rsidRPr="00C1603D">
        <w:rPr>
          <w:i/>
          <w:iCs/>
        </w:rPr>
        <w:t>Hum</w:t>
      </w:r>
      <w:r w:rsidRPr="00C1603D">
        <w:t xml:space="preserve"> </w:t>
      </w:r>
      <w:proofErr w:type="spellStart"/>
      <w:r w:rsidRPr="00C1603D">
        <w:rPr>
          <w:i/>
          <w:iCs/>
        </w:rPr>
        <w:t>Reprod</w:t>
      </w:r>
      <w:proofErr w:type="spellEnd"/>
      <w:r w:rsidRPr="00C1603D">
        <w:rPr>
          <w:i/>
          <w:iCs/>
        </w:rPr>
        <w:t xml:space="preserve"> </w:t>
      </w:r>
      <w:r w:rsidRPr="00C1603D">
        <w:t>2013;</w:t>
      </w:r>
      <w:r w:rsidRPr="00C1603D">
        <w:rPr>
          <w:b/>
          <w:bCs/>
        </w:rPr>
        <w:t>28</w:t>
      </w:r>
      <w:r w:rsidRPr="00C1603D">
        <w:t>: i139–49. https://doi.org/10.1093/humrep/det209</w:t>
      </w:r>
      <w:commentRangeEnd w:id="548"/>
      <w:r w:rsidR="00EF77DB" w:rsidRPr="00C1603D">
        <w:commentReference w:id="548"/>
      </w:r>
      <w:commentRangeEnd w:id="549"/>
      <w:r w:rsidR="00EF77DB" w:rsidRPr="00C1603D">
        <w:commentReference w:id="549"/>
      </w:r>
    </w:p>
    <w:p w14:paraId="04D230D1" w14:textId="77777777" w:rsidR="00EF77DB" w:rsidRPr="00C1603D" w:rsidRDefault="00EF77DB" w:rsidP="00EF77DB">
      <w:pPr>
        <w:pStyle w:val="65ReferencesTextstylesTextstyles"/>
      </w:pPr>
      <w:r w:rsidRPr="00C1603D">
        <w:t>429.</w:t>
      </w:r>
      <w:r w:rsidRPr="00C1603D">
        <w:tab/>
        <w:t xml:space="preserve">Kumar A, Meena M, Begum N, Kumar N, Gupta RK, Aggarwal S, </w:t>
      </w:r>
      <w:r w:rsidRPr="00C1603D">
        <w:rPr>
          <w:i/>
        </w:rPr>
        <w:t>et al</w:t>
      </w:r>
      <w:r w:rsidRPr="00C1603D">
        <w:t xml:space="preserve">. Latent celiac disease in reproductive performance of women. </w:t>
      </w:r>
      <w:proofErr w:type="spellStart"/>
      <w:r w:rsidRPr="00C1603D">
        <w:rPr>
          <w:i/>
        </w:rPr>
        <w:t>Fertil</w:t>
      </w:r>
      <w:proofErr w:type="spellEnd"/>
      <w:r w:rsidRPr="00C1603D">
        <w:rPr>
          <w:i/>
        </w:rPr>
        <w:t xml:space="preserve"> </w:t>
      </w:r>
      <w:proofErr w:type="spellStart"/>
      <w:r w:rsidRPr="00C1603D">
        <w:rPr>
          <w:i/>
        </w:rPr>
        <w:t>Steril</w:t>
      </w:r>
      <w:proofErr w:type="spellEnd"/>
      <w:r w:rsidRPr="00C1603D">
        <w:t xml:space="preserve"> 2011;</w:t>
      </w:r>
      <w:r w:rsidRPr="00C1603D">
        <w:rPr>
          <w:b/>
        </w:rPr>
        <w:t>95</w:t>
      </w:r>
      <w:r w:rsidRPr="00C1603D">
        <w:t>:</w:t>
      </w:r>
      <w:r w:rsidRPr="00C1603D">
        <w:rPr>
          <w:color w:val="auto"/>
        </w:rPr>
        <w:t>922</w:t>
      </w:r>
      <w:r w:rsidRPr="00C1603D">
        <w:rPr>
          <w:color w:val="00B0F0"/>
        </w:rPr>
        <w:t>–</w:t>
      </w:r>
      <w:r w:rsidRPr="00C1603D">
        <w:rPr>
          <w:color w:val="auto"/>
        </w:rPr>
        <w:t>7</w:t>
      </w:r>
      <w:r w:rsidRPr="00C1603D">
        <w:t xml:space="preserve">. </w:t>
      </w:r>
      <w:r w:rsidRPr="00C1603D">
        <w:lastRenderedPageBreak/>
        <w:t>https://doi.org/10.1016/j.fertnstert.2010.11.005</w:t>
      </w:r>
    </w:p>
    <w:p w14:paraId="0EA7654C" w14:textId="77777777" w:rsidR="00EF77DB" w:rsidRPr="00C1603D" w:rsidRDefault="00EF77DB" w:rsidP="00EF77DB">
      <w:pPr>
        <w:pStyle w:val="65ReferencesTextstylesTextstyles"/>
      </w:pPr>
      <w:r w:rsidRPr="00C1603D">
        <w:t>430.</w:t>
      </w:r>
      <w:r w:rsidRPr="00C1603D">
        <w:tab/>
      </w:r>
      <w:proofErr w:type="spellStart"/>
      <w:r w:rsidRPr="00C1603D">
        <w:t>Kutteh</w:t>
      </w:r>
      <w:proofErr w:type="spellEnd"/>
      <w:r w:rsidRPr="00C1603D">
        <w:t xml:space="preserve"> MA, </w:t>
      </w:r>
      <w:proofErr w:type="spellStart"/>
      <w:r w:rsidRPr="00C1603D">
        <w:t>Abiad</w:t>
      </w:r>
      <w:proofErr w:type="spellEnd"/>
      <w:r w:rsidRPr="00C1603D">
        <w:t xml:space="preserve"> M, Norman GL, </w:t>
      </w:r>
      <w:proofErr w:type="spellStart"/>
      <w:r w:rsidRPr="00C1603D">
        <w:t>Kutteh</w:t>
      </w:r>
      <w:proofErr w:type="spellEnd"/>
      <w:r w:rsidRPr="00C1603D">
        <w:t xml:space="preserve"> WH. Comparison of celiac disease markers in women with early recurrent pregnancy loss and normal controls. </w:t>
      </w:r>
      <w:r w:rsidRPr="00C1603D">
        <w:rPr>
          <w:i/>
        </w:rPr>
        <w:t xml:space="preserve">Am J </w:t>
      </w:r>
      <w:proofErr w:type="spellStart"/>
      <w:r w:rsidRPr="00C1603D">
        <w:rPr>
          <w:i/>
        </w:rPr>
        <w:t>Reprod</w:t>
      </w:r>
      <w:proofErr w:type="spellEnd"/>
      <w:r w:rsidRPr="00C1603D">
        <w:rPr>
          <w:i/>
        </w:rPr>
        <w:t xml:space="preserve"> Immunol</w:t>
      </w:r>
      <w:r w:rsidRPr="00C1603D">
        <w:t xml:space="preserve"> 2019;</w:t>
      </w:r>
      <w:r w:rsidRPr="00C1603D">
        <w:rPr>
          <w:b/>
        </w:rPr>
        <w:t>82</w:t>
      </w:r>
      <w:r w:rsidRPr="00C1603D">
        <w:t>:</w:t>
      </w:r>
      <w:r w:rsidRPr="00C1603D">
        <w:rPr>
          <w:color w:val="auto"/>
        </w:rPr>
        <w:t>e13127</w:t>
      </w:r>
      <w:r w:rsidRPr="00C1603D">
        <w:t>. https://doi.org/10.1111/aji.13127</w:t>
      </w:r>
    </w:p>
    <w:p w14:paraId="46E5BDE5" w14:textId="121F7577" w:rsidR="00EF77DB" w:rsidRPr="00C1603D" w:rsidRDefault="00EF77DB" w:rsidP="00EF77DB">
      <w:pPr>
        <w:pStyle w:val="65ReferencesTextstylesTextstyles"/>
      </w:pPr>
      <w:r w:rsidRPr="00C1603D">
        <w:t>431.</w:t>
      </w:r>
      <w:r w:rsidRPr="00C1603D">
        <w:tab/>
      </w:r>
      <w:proofErr w:type="spellStart"/>
      <w:r w:rsidRPr="00C1603D">
        <w:t>Sarikaya</w:t>
      </w:r>
      <w:proofErr w:type="spellEnd"/>
      <w:r w:rsidRPr="00C1603D">
        <w:t xml:space="preserve"> E, </w:t>
      </w:r>
      <w:proofErr w:type="spellStart"/>
      <w:r w:rsidRPr="00C1603D">
        <w:t>Tokmak</w:t>
      </w:r>
      <w:proofErr w:type="spellEnd"/>
      <w:r w:rsidRPr="00C1603D">
        <w:t xml:space="preserve"> A, Aksoy RT, </w:t>
      </w:r>
      <w:proofErr w:type="spellStart"/>
      <w:r w:rsidRPr="00C1603D">
        <w:t>Pekcan</w:t>
      </w:r>
      <w:proofErr w:type="spellEnd"/>
      <w:r w:rsidRPr="00C1603D">
        <w:t xml:space="preserve"> MK, </w:t>
      </w:r>
      <w:proofErr w:type="spellStart"/>
      <w:r w:rsidRPr="00C1603D">
        <w:t>Alisik</w:t>
      </w:r>
      <w:proofErr w:type="spellEnd"/>
      <w:r w:rsidRPr="00C1603D">
        <w:t xml:space="preserve"> M, </w:t>
      </w:r>
      <w:proofErr w:type="spellStart"/>
      <w:r w:rsidRPr="00C1603D">
        <w:t>Alkan</w:t>
      </w:r>
      <w:proofErr w:type="spellEnd"/>
      <w:r w:rsidRPr="00C1603D">
        <w:t xml:space="preserve"> A. The </w:t>
      </w:r>
      <w:r w:rsidR="00E116CA" w:rsidRPr="00C1603D">
        <w:t xml:space="preserve">association between serological markers of celiac disease and idiopathic recurrent pregnancy loss. </w:t>
      </w:r>
      <w:proofErr w:type="spellStart"/>
      <w:r w:rsidRPr="00C1603D">
        <w:rPr>
          <w:i/>
        </w:rPr>
        <w:t>Fetal</w:t>
      </w:r>
      <w:proofErr w:type="spellEnd"/>
      <w:r w:rsidRPr="00C1603D">
        <w:rPr>
          <w:i/>
        </w:rPr>
        <w:t xml:space="preserve"> </w:t>
      </w:r>
      <w:proofErr w:type="spellStart"/>
      <w:r w:rsidRPr="00C1603D">
        <w:rPr>
          <w:i/>
        </w:rPr>
        <w:t>Pediatr</w:t>
      </w:r>
      <w:proofErr w:type="spellEnd"/>
      <w:r w:rsidRPr="00C1603D">
        <w:rPr>
          <w:i/>
        </w:rPr>
        <w:t xml:space="preserve"> </w:t>
      </w:r>
      <w:proofErr w:type="spellStart"/>
      <w:r w:rsidRPr="00C1603D">
        <w:rPr>
          <w:i/>
        </w:rPr>
        <w:t>Pathol</w:t>
      </w:r>
      <w:proofErr w:type="spellEnd"/>
      <w:r w:rsidRPr="00C1603D">
        <w:t xml:space="preserve"> 2017;</w:t>
      </w:r>
      <w:r w:rsidRPr="00C1603D">
        <w:rPr>
          <w:b/>
        </w:rPr>
        <w:t>36</w:t>
      </w:r>
      <w:r w:rsidRPr="00C1603D">
        <w:t>:</w:t>
      </w:r>
      <w:r w:rsidRPr="00C1603D">
        <w:rPr>
          <w:color w:val="auto"/>
        </w:rPr>
        <w:t>373</w:t>
      </w:r>
      <w:r w:rsidRPr="00C1603D">
        <w:rPr>
          <w:color w:val="00B0F0"/>
        </w:rPr>
        <w:t>–</w:t>
      </w:r>
      <w:r w:rsidRPr="00C1603D">
        <w:rPr>
          <w:color w:val="auto"/>
        </w:rPr>
        <w:t>9</w:t>
      </w:r>
      <w:r w:rsidRPr="00C1603D">
        <w:t>. https://doi.org/10.1080/15513815.2017.1346018</w:t>
      </w:r>
    </w:p>
    <w:p w14:paraId="76B2D740" w14:textId="7D4089EE" w:rsidR="00EF77DB" w:rsidRPr="00C1603D" w:rsidRDefault="00EF77DB" w:rsidP="00EF77DB">
      <w:pPr>
        <w:pStyle w:val="65ReferencesTextstylesTextstyles"/>
      </w:pPr>
      <w:r w:rsidRPr="00C1603D">
        <w:t>432.</w:t>
      </w:r>
      <w:r w:rsidRPr="00C1603D">
        <w:tab/>
      </w:r>
      <w:proofErr w:type="spellStart"/>
      <w:r w:rsidRPr="00C1603D">
        <w:t>Shamaly</w:t>
      </w:r>
      <w:proofErr w:type="spellEnd"/>
      <w:r w:rsidRPr="00C1603D">
        <w:t xml:space="preserve"> H, </w:t>
      </w:r>
      <w:proofErr w:type="spellStart"/>
      <w:r w:rsidRPr="00C1603D">
        <w:t>Mahameed</w:t>
      </w:r>
      <w:proofErr w:type="spellEnd"/>
      <w:r w:rsidRPr="00C1603D">
        <w:t xml:space="preserve"> A, </w:t>
      </w:r>
      <w:proofErr w:type="spellStart"/>
      <w:r w:rsidRPr="00C1603D">
        <w:t>Sharony</w:t>
      </w:r>
      <w:proofErr w:type="spellEnd"/>
      <w:r w:rsidRPr="00C1603D">
        <w:t xml:space="preserve"> A, Shamir R. Infertility and celiac disease: </w:t>
      </w:r>
      <w:r w:rsidR="00E116CA" w:rsidRPr="00C1603D">
        <w:t>d</w:t>
      </w:r>
      <w:r w:rsidRPr="00C1603D">
        <w:t xml:space="preserve">o we need more than one serological marker? </w:t>
      </w:r>
      <w:r w:rsidRPr="00C1603D">
        <w:rPr>
          <w:i/>
        </w:rPr>
        <w:t>Acta</w:t>
      </w:r>
      <w:r w:rsidRPr="00C1603D">
        <w:t xml:space="preserve"> </w:t>
      </w:r>
      <w:proofErr w:type="spellStart"/>
      <w:r w:rsidRPr="00C1603D">
        <w:rPr>
          <w:i/>
        </w:rPr>
        <w:t>Obstet</w:t>
      </w:r>
      <w:proofErr w:type="spellEnd"/>
      <w:r w:rsidR="00280AF2" w:rsidRPr="00C1603D">
        <w:rPr>
          <w:i/>
        </w:rPr>
        <w:t xml:space="preserve"> </w:t>
      </w:r>
      <w:proofErr w:type="spellStart"/>
      <w:r w:rsidRPr="00C1603D">
        <w:rPr>
          <w:i/>
        </w:rPr>
        <w:t>Gynecol</w:t>
      </w:r>
      <w:proofErr w:type="spellEnd"/>
      <w:r w:rsidR="00280AF2" w:rsidRPr="00C1603D">
        <w:rPr>
          <w:i/>
        </w:rPr>
        <w:t xml:space="preserve"> </w:t>
      </w:r>
      <w:proofErr w:type="spellStart"/>
      <w:r w:rsidRPr="00C1603D">
        <w:rPr>
          <w:i/>
        </w:rPr>
        <w:t>Scand</w:t>
      </w:r>
      <w:proofErr w:type="spellEnd"/>
      <w:r w:rsidR="00280AF2" w:rsidRPr="00C1603D">
        <w:rPr>
          <w:i/>
        </w:rPr>
        <w:t xml:space="preserve"> </w:t>
      </w:r>
      <w:r w:rsidRPr="00C1603D">
        <w:t>2004;</w:t>
      </w:r>
      <w:r w:rsidRPr="00C1603D">
        <w:rPr>
          <w:b/>
        </w:rPr>
        <w:t>83</w:t>
      </w:r>
      <w:r w:rsidRPr="00C1603D">
        <w:t>:1184</w:t>
      </w:r>
      <w:r w:rsidR="00280AF2" w:rsidRPr="00C1603D">
        <w:t>–</w:t>
      </w:r>
      <w:r w:rsidRPr="00C1603D">
        <w:t>8.</w:t>
      </w:r>
    </w:p>
    <w:p w14:paraId="45F8A304" w14:textId="48722EBA" w:rsidR="00EF77DB" w:rsidRPr="00C1603D" w:rsidRDefault="00EF77DB" w:rsidP="00EF77DB">
      <w:pPr>
        <w:pStyle w:val="65ReferencesTextstylesTextstyles"/>
      </w:pPr>
      <w:r w:rsidRPr="00C1603D">
        <w:t>433.</w:t>
      </w:r>
      <w:r w:rsidRPr="00C1603D">
        <w:tab/>
      </w:r>
      <w:proofErr w:type="spellStart"/>
      <w:r w:rsidRPr="00C1603D">
        <w:t>Sharshiner</w:t>
      </w:r>
      <w:proofErr w:type="spellEnd"/>
      <w:r w:rsidRPr="00C1603D">
        <w:t xml:space="preserve"> R, Romero S, Silver R, Branch DW. Celiac disease serum markers and recurrent pregnancy loss. </w:t>
      </w:r>
      <w:r w:rsidR="00280AF2" w:rsidRPr="00C1603D">
        <w:rPr>
          <w:i/>
        </w:rPr>
        <w:t>Am J</w:t>
      </w:r>
      <w:r w:rsidRPr="00C1603D">
        <w:t xml:space="preserve"> </w:t>
      </w:r>
      <w:proofErr w:type="spellStart"/>
      <w:r w:rsidRPr="00C1603D">
        <w:rPr>
          <w:i/>
        </w:rPr>
        <w:t>Obstet</w:t>
      </w:r>
      <w:proofErr w:type="spellEnd"/>
      <w:r w:rsidR="00BD59D2" w:rsidRPr="00C1603D">
        <w:rPr>
          <w:i/>
        </w:rPr>
        <w:t xml:space="preserve"> </w:t>
      </w:r>
      <w:proofErr w:type="spellStart"/>
      <w:r w:rsidRPr="00C1603D">
        <w:rPr>
          <w:i/>
        </w:rPr>
        <w:t>Gynecol</w:t>
      </w:r>
      <w:proofErr w:type="spellEnd"/>
      <w:r w:rsidRPr="00C1603D">
        <w:t xml:space="preserve"> 2013;</w:t>
      </w:r>
      <w:r w:rsidRPr="00C1603D">
        <w:rPr>
          <w:b/>
        </w:rPr>
        <w:t>208</w:t>
      </w:r>
      <w:r w:rsidRPr="00C1603D">
        <w:t>:S75</w:t>
      </w:r>
      <w:r w:rsidR="00BD59D2" w:rsidRPr="00C1603D">
        <w:t>–</w:t>
      </w:r>
      <w:r w:rsidRPr="00C1603D">
        <w:t>S6.</w:t>
      </w:r>
    </w:p>
    <w:p w14:paraId="6E92B887" w14:textId="77777777" w:rsidR="00EF77DB" w:rsidRPr="00C1603D" w:rsidRDefault="00EF77DB" w:rsidP="00EF77DB">
      <w:pPr>
        <w:pStyle w:val="65ReferencesTextstylesTextstyles"/>
      </w:pPr>
      <w:r w:rsidRPr="00C1603D">
        <w:t>434.</w:t>
      </w:r>
      <w:r w:rsidRPr="00C1603D">
        <w:tab/>
      </w:r>
      <w:proofErr w:type="spellStart"/>
      <w:r w:rsidRPr="00C1603D">
        <w:t>Tiboni</w:t>
      </w:r>
      <w:proofErr w:type="spellEnd"/>
      <w:r w:rsidRPr="00C1603D">
        <w:t xml:space="preserve"> GM, de Vita MG, </w:t>
      </w:r>
      <w:proofErr w:type="spellStart"/>
      <w:r w:rsidRPr="00C1603D">
        <w:t>Faricelli</w:t>
      </w:r>
      <w:proofErr w:type="spellEnd"/>
      <w:r w:rsidRPr="00C1603D">
        <w:t xml:space="preserve"> R, </w:t>
      </w:r>
      <w:proofErr w:type="spellStart"/>
      <w:r w:rsidRPr="00C1603D">
        <w:t>Giampietro</w:t>
      </w:r>
      <w:proofErr w:type="spellEnd"/>
      <w:r w:rsidRPr="00C1603D">
        <w:t xml:space="preserve"> F, </w:t>
      </w:r>
      <w:proofErr w:type="spellStart"/>
      <w:r w:rsidRPr="00C1603D">
        <w:t>Liberati</w:t>
      </w:r>
      <w:proofErr w:type="spellEnd"/>
      <w:r w:rsidRPr="00C1603D">
        <w:t xml:space="preserve"> M. Serological testing for celiac disease in women undergoing assisted reproduction techniques. </w:t>
      </w:r>
      <w:r w:rsidRPr="00C1603D">
        <w:rPr>
          <w:i/>
        </w:rPr>
        <w:t xml:space="preserve">Hum </w:t>
      </w:r>
      <w:proofErr w:type="spellStart"/>
      <w:r w:rsidRPr="00C1603D">
        <w:rPr>
          <w:i/>
        </w:rPr>
        <w:t>Reprod</w:t>
      </w:r>
      <w:proofErr w:type="spellEnd"/>
      <w:r w:rsidRPr="00C1603D">
        <w:t xml:space="preserve"> 2006;</w:t>
      </w:r>
      <w:r w:rsidRPr="00C1603D">
        <w:rPr>
          <w:b/>
        </w:rPr>
        <w:t>21</w:t>
      </w:r>
      <w:r w:rsidRPr="00C1603D">
        <w:t>:</w:t>
      </w:r>
      <w:r w:rsidRPr="00C1603D">
        <w:rPr>
          <w:color w:val="auto"/>
        </w:rPr>
        <w:t>376</w:t>
      </w:r>
      <w:r w:rsidRPr="00C1603D">
        <w:rPr>
          <w:color w:val="00B0F0"/>
        </w:rPr>
        <w:t>–</w:t>
      </w:r>
      <w:r w:rsidRPr="00C1603D">
        <w:rPr>
          <w:color w:val="auto"/>
        </w:rPr>
        <w:t>9</w:t>
      </w:r>
      <w:r w:rsidRPr="00C1603D">
        <w:t>.</w:t>
      </w:r>
    </w:p>
    <w:p w14:paraId="0DBDF859" w14:textId="79B35924" w:rsidR="00EF77DB" w:rsidRPr="00C1603D" w:rsidRDefault="00EF77DB" w:rsidP="00EF77DB">
      <w:pPr>
        <w:pStyle w:val="65ReferencesTextstylesTextstyles"/>
      </w:pPr>
      <w:r w:rsidRPr="00C1603D">
        <w:t>435.</w:t>
      </w:r>
      <w:r w:rsidRPr="00C1603D">
        <w:tab/>
      </w:r>
      <w:proofErr w:type="spellStart"/>
      <w:r w:rsidRPr="00C1603D">
        <w:t>Zahmatkeshan</w:t>
      </w:r>
      <w:proofErr w:type="spellEnd"/>
      <w:r w:rsidRPr="00C1603D">
        <w:t xml:space="preserve"> M. Prevalence of coeliac disease in infertile women. </w:t>
      </w:r>
      <w:r w:rsidR="008D5A91" w:rsidRPr="00C1603D">
        <w:rPr>
          <w:i/>
        </w:rPr>
        <w:t>J</w:t>
      </w:r>
      <w:r w:rsidRPr="00C1603D">
        <w:t xml:space="preserve"> </w:t>
      </w:r>
      <w:proofErr w:type="spellStart"/>
      <w:r w:rsidRPr="00C1603D">
        <w:rPr>
          <w:i/>
        </w:rPr>
        <w:t>Pediatr</w:t>
      </w:r>
      <w:proofErr w:type="spellEnd"/>
      <w:r w:rsidRPr="00C1603D">
        <w:t xml:space="preserve"> </w:t>
      </w:r>
      <w:r w:rsidRPr="00C1603D">
        <w:rPr>
          <w:i/>
        </w:rPr>
        <w:t>Gastroenterol</w:t>
      </w:r>
      <w:r w:rsidRPr="00C1603D">
        <w:t xml:space="preserve"> </w:t>
      </w:r>
      <w:proofErr w:type="spellStart"/>
      <w:r w:rsidRPr="00C1603D">
        <w:rPr>
          <w:i/>
        </w:rPr>
        <w:t>Nutr</w:t>
      </w:r>
      <w:proofErr w:type="spellEnd"/>
      <w:r w:rsidR="008D5A91" w:rsidRPr="00C1603D">
        <w:rPr>
          <w:i/>
        </w:rPr>
        <w:t xml:space="preserve"> </w:t>
      </w:r>
      <w:r w:rsidRPr="00C1603D">
        <w:t>2019;</w:t>
      </w:r>
      <w:r w:rsidRPr="00C1603D">
        <w:rPr>
          <w:b/>
        </w:rPr>
        <w:t>68</w:t>
      </w:r>
      <w:r w:rsidRPr="00C1603D">
        <w:t>:199.</w:t>
      </w:r>
    </w:p>
    <w:p w14:paraId="4BED37FC" w14:textId="09CF2148" w:rsidR="00EF77DB" w:rsidRPr="00C1603D" w:rsidRDefault="00EF77DB" w:rsidP="00EF77DB">
      <w:pPr>
        <w:pStyle w:val="65ReferencesTextstylesTextstyles"/>
      </w:pPr>
      <w:r w:rsidRPr="00C1603D">
        <w:t>436.</w:t>
      </w:r>
      <w:r w:rsidRPr="00C1603D">
        <w:tab/>
      </w:r>
      <w:proofErr w:type="spellStart"/>
      <w:r w:rsidRPr="00C1603D">
        <w:t>Celdir</w:t>
      </w:r>
      <w:proofErr w:type="spellEnd"/>
      <w:r w:rsidRPr="00C1603D">
        <w:t xml:space="preserve"> MG, Choung RS, </w:t>
      </w:r>
      <w:proofErr w:type="spellStart"/>
      <w:r w:rsidRPr="00C1603D">
        <w:t>Rostamkolaei</w:t>
      </w:r>
      <w:proofErr w:type="spellEnd"/>
      <w:r w:rsidRPr="00C1603D">
        <w:t xml:space="preserve"> SK, Jansson-</w:t>
      </w:r>
      <w:proofErr w:type="spellStart"/>
      <w:r w:rsidRPr="00C1603D">
        <w:t>Knodell</w:t>
      </w:r>
      <w:proofErr w:type="spellEnd"/>
      <w:r w:rsidRPr="00C1603D">
        <w:t xml:space="preserve"> CL, King KS, Larson JJ, </w:t>
      </w:r>
      <w:r w:rsidRPr="00C1603D">
        <w:rPr>
          <w:i/>
        </w:rPr>
        <w:t>et al</w:t>
      </w:r>
      <w:r w:rsidRPr="00C1603D">
        <w:t xml:space="preserve">. Reproductive </w:t>
      </w:r>
      <w:r w:rsidR="008D5A91" w:rsidRPr="00C1603D">
        <w:t>characteristics and pregnancy outcomes in hidden celiac disease auto</w:t>
      </w:r>
      <w:r w:rsidRPr="00C1603D">
        <w:t xml:space="preserve">immunity. </w:t>
      </w:r>
      <w:r w:rsidRPr="00C1603D">
        <w:rPr>
          <w:i/>
        </w:rPr>
        <w:t>Am J Gastroenterol</w:t>
      </w:r>
      <w:r w:rsidRPr="00C1603D">
        <w:t xml:space="preserve"> 2021;</w:t>
      </w:r>
      <w:r w:rsidRPr="00C1603D">
        <w:rPr>
          <w:b/>
        </w:rPr>
        <w:t>116</w:t>
      </w:r>
      <w:r w:rsidRPr="00C1603D">
        <w:t>:</w:t>
      </w:r>
      <w:r w:rsidRPr="00C1603D">
        <w:rPr>
          <w:color w:val="auto"/>
        </w:rPr>
        <w:t>593</w:t>
      </w:r>
      <w:r w:rsidRPr="00C1603D">
        <w:rPr>
          <w:color w:val="00B0F0"/>
        </w:rPr>
        <w:t>–</w:t>
      </w:r>
      <w:r w:rsidRPr="00C1603D">
        <w:rPr>
          <w:color w:val="auto"/>
        </w:rPr>
        <w:t>9</w:t>
      </w:r>
      <w:r w:rsidRPr="00C1603D">
        <w:t>. https://doi.org/10.14309/ajg.0000000000001148</w:t>
      </w:r>
    </w:p>
    <w:p w14:paraId="6689AD97" w14:textId="77777777" w:rsidR="00EF77DB" w:rsidRPr="00C1603D" w:rsidRDefault="00EF77DB" w:rsidP="00EF77DB">
      <w:pPr>
        <w:pStyle w:val="65ReferencesTextstylesTextstyles"/>
      </w:pPr>
      <w:r w:rsidRPr="00C1603D">
        <w:t>437.</w:t>
      </w:r>
      <w:r w:rsidRPr="00C1603D">
        <w:tab/>
        <w:t xml:space="preserve">Martinelli P, </w:t>
      </w:r>
      <w:proofErr w:type="spellStart"/>
      <w:r w:rsidRPr="00C1603D">
        <w:t>Troncone</w:t>
      </w:r>
      <w:proofErr w:type="spellEnd"/>
      <w:r w:rsidRPr="00C1603D">
        <w:t xml:space="preserve"> R, </w:t>
      </w:r>
      <w:proofErr w:type="spellStart"/>
      <w:r w:rsidRPr="00C1603D">
        <w:t>Paparo</w:t>
      </w:r>
      <w:proofErr w:type="spellEnd"/>
      <w:r w:rsidRPr="00C1603D">
        <w:t xml:space="preserve"> F, Torre P, </w:t>
      </w:r>
      <w:proofErr w:type="spellStart"/>
      <w:r w:rsidRPr="00C1603D">
        <w:t>Trapanese</w:t>
      </w:r>
      <w:proofErr w:type="spellEnd"/>
      <w:r w:rsidRPr="00C1603D">
        <w:t xml:space="preserve"> E, Fasano C, </w:t>
      </w:r>
      <w:r w:rsidRPr="00C1603D">
        <w:rPr>
          <w:i/>
        </w:rPr>
        <w:t>et al</w:t>
      </w:r>
      <w:r w:rsidRPr="00C1603D">
        <w:t xml:space="preserve">. Coeliac disease and unfavourable outcome of pregnancy. </w:t>
      </w:r>
      <w:r w:rsidRPr="00C1603D">
        <w:rPr>
          <w:i/>
        </w:rPr>
        <w:t>Gut</w:t>
      </w:r>
      <w:r w:rsidRPr="00C1603D">
        <w:t xml:space="preserve"> 2000;</w:t>
      </w:r>
      <w:r w:rsidRPr="00C1603D">
        <w:rPr>
          <w:b/>
        </w:rPr>
        <w:t>46</w:t>
      </w:r>
      <w:r w:rsidRPr="00C1603D">
        <w:t>:</w:t>
      </w:r>
      <w:r w:rsidRPr="00C1603D">
        <w:rPr>
          <w:color w:val="auto"/>
        </w:rPr>
        <w:t>332</w:t>
      </w:r>
      <w:r w:rsidRPr="00C1603D">
        <w:rPr>
          <w:color w:val="00B0F0"/>
        </w:rPr>
        <w:t>–</w:t>
      </w:r>
      <w:r w:rsidRPr="00C1603D">
        <w:rPr>
          <w:color w:val="auto"/>
        </w:rPr>
        <w:t>5</w:t>
      </w:r>
      <w:r w:rsidRPr="00C1603D">
        <w:t>.</w:t>
      </w:r>
    </w:p>
    <w:p w14:paraId="4AD55B0A" w14:textId="4309C273" w:rsidR="00EF77DB" w:rsidRPr="00C1603D" w:rsidRDefault="00EF77DB" w:rsidP="00EF77DB">
      <w:pPr>
        <w:pStyle w:val="65ReferencesTextstylesTextstyles"/>
      </w:pPr>
      <w:r w:rsidRPr="00C1603D">
        <w:t>438.</w:t>
      </w:r>
      <w:r w:rsidRPr="00C1603D">
        <w:tab/>
        <w:t xml:space="preserve">Mohammed MA, </w:t>
      </w:r>
      <w:proofErr w:type="spellStart"/>
      <w:r w:rsidRPr="00C1603D">
        <w:t>Elrabbat</w:t>
      </w:r>
      <w:proofErr w:type="spellEnd"/>
      <w:r w:rsidRPr="00C1603D">
        <w:t xml:space="preserve"> AM, Omar NM, </w:t>
      </w:r>
      <w:proofErr w:type="spellStart"/>
      <w:r w:rsidRPr="00C1603D">
        <w:t>Shebl</w:t>
      </w:r>
      <w:proofErr w:type="spellEnd"/>
      <w:r w:rsidRPr="00C1603D">
        <w:t xml:space="preserve"> AM, Mansour AH, </w:t>
      </w:r>
      <w:proofErr w:type="spellStart"/>
      <w:r w:rsidRPr="00C1603D">
        <w:t>Elmasry</w:t>
      </w:r>
      <w:proofErr w:type="spellEnd"/>
      <w:r w:rsidRPr="00C1603D">
        <w:t xml:space="preserve"> E, </w:t>
      </w:r>
      <w:r w:rsidRPr="00C1603D">
        <w:rPr>
          <w:i/>
        </w:rPr>
        <w:t>et</w:t>
      </w:r>
      <w:r w:rsidRPr="00C1603D">
        <w:t xml:space="preserve"> </w:t>
      </w:r>
      <w:r w:rsidRPr="00C1603D">
        <w:rPr>
          <w:i/>
        </w:rPr>
        <w:t>al</w:t>
      </w:r>
      <w:r w:rsidRPr="00C1603D">
        <w:t xml:space="preserve">. Celiac disease prevalence and its HLA-genotypic profile in Egyptian patients with type 1 diabetes mellitus. </w:t>
      </w:r>
      <w:r w:rsidRPr="00C1603D">
        <w:rPr>
          <w:i/>
        </w:rPr>
        <w:t>Trends</w:t>
      </w:r>
      <w:r w:rsidRPr="00C1603D">
        <w:t xml:space="preserve"> </w:t>
      </w:r>
      <w:r w:rsidRPr="00C1603D">
        <w:rPr>
          <w:i/>
        </w:rPr>
        <w:t>Medical</w:t>
      </w:r>
      <w:r w:rsidRPr="00C1603D">
        <w:t xml:space="preserve"> </w:t>
      </w:r>
      <w:r w:rsidRPr="00C1603D">
        <w:rPr>
          <w:i/>
        </w:rPr>
        <w:t>Res</w:t>
      </w:r>
      <w:r w:rsidR="00E13494" w:rsidRPr="00C1603D">
        <w:rPr>
          <w:i/>
        </w:rPr>
        <w:t xml:space="preserve"> </w:t>
      </w:r>
      <w:r w:rsidRPr="00C1603D">
        <w:t>2014;</w:t>
      </w:r>
      <w:r w:rsidRPr="00C1603D">
        <w:rPr>
          <w:b/>
        </w:rPr>
        <w:t>9</w:t>
      </w:r>
      <w:r w:rsidRPr="00C1603D">
        <w:t>:81</w:t>
      </w:r>
      <w:r w:rsidR="00E13494" w:rsidRPr="00C1603D">
        <w:t>–</w:t>
      </w:r>
      <w:r w:rsidRPr="00C1603D">
        <w:t>97.</w:t>
      </w:r>
    </w:p>
    <w:p w14:paraId="761258A9" w14:textId="77777777" w:rsidR="00EF77DB" w:rsidRPr="00C1603D" w:rsidRDefault="00EF77DB" w:rsidP="00EF77DB">
      <w:pPr>
        <w:pStyle w:val="65ReferencesTextstylesTextstyles"/>
      </w:pPr>
      <w:r w:rsidRPr="00C1603D">
        <w:t>439.</w:t>
      </w:r>
      <w:r w:rsidRPr="00C1603D">
        <w:tab/>
      </w:r>
      <w:proofErr w:type="spellStart"/>
      <w:r w:rsidRPr="00C1603D">
        <w:t>Picarelli</w:t>
      </w:r>
      <w:proofErr w:type="spellEnd"/>
      <w:r w:rsidRPr="00C1603D">
        <w:t xml:space="preserve"> A, </w:t>
      </w:r>
      <w:proofErr w:type="spellStart"/>
      <w:r w:rsidRPr="00C1603D">
        <w:t>Sabbatella</w:t>
      </w:r>
      <w:proofErr w:type="spellEnd"/>
      <w:r w:rsidRPr="00C1603D">
        <w:t xml:space="preserve"> L, Di Tola M, </w:t>
      </w:r>
      <w:proofErr w:type="spellStart"/>
      <w:r w:rsidRPr="00C1603D">
        <w:t>Vetrano</w:t>
      </w:r>
      <w:proofErr w:type="spellEnd"/>
      <w:r w:rsidRPr="00C1603D">
        <w:t xml:space="preserve"> S, </w:t>
      </w:r>
      <w:proofErr w:type="spellStart"/>
      <w:r w:rsidRPr="00C1603D">
        <w:t>Casale</w:t>
      </w:r>
      <w:proofErr w:type="spellEnd"/>
      <w:r w:rsidRPr="00C1603D">
        <w:t xml:space="preserve"> C, </w:t>
      </w:r>
      <w:proofErr w:type="spellStart"/>
      <w:r w:rsidRPr="00C1603D">
        <w:t>Anania</w:t>
      </w:r>
      <w:proofErr w:type="spellEnd"/>
      <w:r w:rsidRPr="00C1603D">
        <w:t xml:space="preserve"> MC, </w:t>
      </w:r>
      <w:r w:rsidRPr="00C1603D">
        <w:rPr>
          <w:i/>
        </w:rPr>
        <w:t>et al</w:t>
      </w:r>
      <w:r w:rsidRPr="00C1603D">
        <w:t xml:space="preserve">. Anti-endomysial antibody of IgG1 isotype detection strongly increases the prevalence of coeliac disease in patients affected by type I diabetes mellitus. </w:t>
      </w:r>
      <w:r w:rsidRPr="00C1603D">
        <w:rPr>
          <w:i/>
        </w:rPr>
        <w:t>Clin Exp Immunol</w:t>
      </w:r>
      <w:r w:rsidRPr="00C1603D">
        <w:t xml:space="preserve"> 2005;</w:t>
      </w:r>
      <w:r w:rsidRPr="00C1603D">
        <w:rPr>
          <w:b/>
        </w:rPr>
        <w:t>142</w:t>
      </w:r>
      <w:r w:rsidRPr="00C1603D">
        <w:t>:</w:t>
      </w:r>
      <w:r w:rsidRPr="00C1603D">
        <w:rPr>
          <w:color w:val="auto"/>
        </w:rPr>
        <w:t>111</w:t>
      </w:r>
      <w:r w:rsidRPr="00C1603D">
        <w:rPr>
          <w:color w:val="00B0F0"/>
        </w:rPr>
        <w:t>–</w:t>
      </w:r>
      <w:r w:rsidRPr="00C1603D">
        <w:rPr>
          <w:color w:val="auto"/>
        </w:rPr>
        <w:t>15</w:t>
      </w:r>
      <w:r w:rsidRPr="00C1603D">
        <w:t>.</w:t>
      </w:r>
    </w:p>
    <w:p w14:paraId="38E036EB" w14:textId="77777777" w:rsidR="00EF77DB" w:rsidRPr="00C1603D" w:rsidRDefault="00EF77DB" w:rsidP="00EF77DB">
      <w:pPr>
        <w:pStyle w:val="65ReferencesTextstylesTextstyles"/>
      </w:pPr>
      <w:r w:rsidRPr="00C1603D">
        <w:t>440.</w:t>
      </w:r>
      <w:r w:rsidRPr="00C1603D">
        <w:tab/>
      </w:r>
      <w:proofErr w:type="spellStart"/>
      <w:r w:rsidRPr="00C1603D">
        <w:t>Dagdelen</w:t>
      </w:r>
      <w:proofErr w:type="spellEnd"/>
      <w:r w:rsidRPr="00C1603D">
        <w:t xml:space="preserve"> S, </w:t>
      </w:r>
      <w:proofErr w:type="spellStart"/>
      <w:r w:rsidRPr="00C1603D">
        <w:t>Hascelik</w:t>
      </w:r>
      <w:proofErr w:type="spellEnd"/>
      <w:r w:rsidRPr="00C1603D">
        <w:t xml:space="preserve"> G, </w:t>
      </w:r>
      <w:proofErr w:type="spellStart"/>
      <w:r w:rsidRPr="00C1603D">
        <w:t>Bayraktar</w:t>
      </w:r>
      <w:proofErr w:type="spellEnd"/>
      <w:r w:rsidRPr="00C1603D">
        <w:t xml:space="preserve"> M. Simultaneous triple organ specific autoantibody profiling in adult patients with type 1 diabetes mellitus and their first-degree relatives. </w:t>
      </w:r>
      <w:r w:rsidRPr="00C1603D">
        <w:rPr>
          <w:i/>
        </w:rPr>
        <w:t xml:space="preserve">Int J Clin </w:t>
      </w:r>
      <w:proofErr w:type="spellStart"/>
      <w:r w:rsidRPr="00C1603D">
        <w:rPr>
          <w:i/>
        </w:rPr>
        <w:t>Pract</w:t>
      </w:r>
      <w:proofErr w:type="spellEnd"/>
      <w:r w:rsidRPr="00C1603D">
        <w:t xml:space="preserve"> 2009;</w:t>
      </w:r>
      <w:r w:rsidRPr="00C1603D">
        <w:rPr>
          <w:b/>
        </w:rPr>
        <w:t>63</w:t>
      </w:r>
      <w:r w:rsidRPr="00C1603D">
        <w:t>:</w:t>
      </w:r>
      <w:r w:rsidRPr="00C1603D">
        <w:rPr>
          <w:color w:val="auto"/>
        </w:rPr>
        <w:t>449</w:t>
      </w:r>
      <w:r w:rsidRPr="00C1603D">
        <w:rPr>
          <w:color w:val="00B0F0"/>
        </w:rPr>
        <w:t>–</w:t>
      </w:r>
      <w:r w:rsidRPr="00C1603D">
        <w:rPr>
          <w:color w:val="auto"/>
        </w:rPr>
        <w:t>56</w:t>
      </w:r>
      <w:r w:rsidRPr="00C1603D">
        <w:t>. https://doi.org/10.1111/j.1742-1241.2007.01619.x</w:t>
      </w:r>
    </w:p>
    <w:p w14:paraId="0CA7A207" w14:textId="77777777" w:rsidR="00EF77DB" w:rsidRPr="00C1603D" w:rsidRDefault="00EF77DB" w:rsidP="00EF77DB">
      <w:pPr>
        <w:pStyle w:val="65ReferencesTextstylesTextstyles"/>
      </w:pPr>
      <w:r w:rsidRPr="00C1603D">
        <w:t>441.</w:t>
      </w:r>
      <w:r w:rsidRPr="00C1603D">
        <w:tab/>
        <w:t xml:space="preserve">Güvenç S, </w:t>
      </w:r>
      <w:proofErr w:type="spellStart"/>
      <w:r w:rsidRPr="00C1603D">
        <w:t>Kaymakoğlu</w:t>
      </w:r>
      <w:proofErr w:type="spellEnd"/>
      <w:r w:rsidRPr="00C1603D">
        <w:t xml:space="preserve"> S, </w:t>
      </w:r>
      <w:proofErr w:type="spellStart"/>
      <w:r w:rsidRPr="00C1603D">
        <w:t>Gürel</w:t>
      </w:r>
      <w:proofErr w:type="spellEnd"/>
      <w:r w:rsidRPr="00C1603D">
        <w:t xml:space="preserve"> N, </w:t>
      </w:r>
      <w:proofErr w:type="spellStart"/>
      <w:r w:rsidRPr="00C1603D">
        <w:t>Karşidağ</w:t>
      </w:r>
      <w:proofErr w:type="spellEnd"/>
      <w:r w:rsidRPr="00C1603D">
        <w:t xml:space="preserve"> K, Demir K, </w:t>
      </w:r>
      <w:proofErr w:type="spellStart"/>
      <w:r w:rsidRPr="00C1603D">
        <w:t>Dinçer</w:t>
      </w:r>
      <w:proofErr w:type="spellEnd"/>
      <w:r w:rsidRPr="00C1603D">
        <w:t xml:space="preserve"> D, </w:t>
      </w:r>
      <w:r w:rsidRPr="00C1603D">
        <w:rPr>
          <w:i/>
        </w:rPr>
        <w:t>et al</w:t>
      </w:r>
      <w:r w:rsidRPr="00C1603D">
        <w:t xml:space="preserve">. The prevalence of manifest and latent celiac disease in type 1 diabetes mellitus. </w:t>
      </w:r>
      <w:r w:rsidRPr="00C1603D">
        <w:rPr>
          <w:i/>
        </w:rPr>
        <w:t>Turk J Gastroenterol</w:t>
      </w:r>
      <w:r w:rsidRPr="00C1603D">
        <w:t xml:space="preserve"> 2002;</w:t>
      </w:r>
      <w:r w:rsidRPr="00C1603D">
        <w:rPr>
          <w:b/>
        </w:rPr>
        <w:t>13</w:t>
      </w:r>
      <w:r w:rsidRPr="00C1603D">
        <w:t>:</w:t>
      </w:r>
      <w:r w:rsidRPr="00C1603D">
        <w:rPr>
          <w:color w:val="auto"/>
        </w:rPr>
        <w:t>103</w:t>
      </w:r>
      <w:r w:rsidRPr="00C1603D">
        <w:rPr>
          <w:color w:val="00B0F0"/>
        </w:rPr>
        <w:t>–</w:t>
      </w:r>
      <w:r w:rsidRPr="00C1603D">
        <w:rPr>
          <w:color w:val="auto"/>
        </w:rPr>
        <w:t>7</w:t>
      </w:r>
      <w:r w:rsidRPr="00C1603D">
        <w:t>.</w:t>
      </w:r>
    </w:p>
    <w:p w14:paraId="15FF930E" w14:textId="77777777" w:rsidR="00EF77DB" w:rsidRPr="00C1603D" w:rsidRDefault="00EF77DB" w:rsidP="00EF77DB">
      <w:pPr>
        <w:pStyle w:val="65ReferencesTextstylesTextstyles"/>
      </w:pPr>
      <w:r w:rsidRPr="00C1603D">
        <w:t>442.</w:t>
      </w:r>
      <w:r w:rsidRPr="00C1603D">
        <w:tab/>
      </w:r>
      <w:proofErr w:type="spellStart"/>
      <w:r w:rsidRPr="00C1603D">
        <w:t>Hanukoglu</w:t>
      </w:r>
      <w:proofErr w:type="spellEnd"/>
      <w:r w:rsidRPr="00C1603D">
        <w:t xml:space="preserve"> A, Mizrachi A, </w:t>
      </w:r>
      <w:proofErr w:type="spellStart"/>
      <w:r w:rsidRPr="00C1603D">
        <w:t>Dalal</w:t>
      </w:r>
      <w:proofErr w:type="spellEnd"/>
      <w:r w:rsidRPr="00C1603D">
        <w:t xml:space="preserve"> I, </w:t>
      </w:r>
      <w:proofErr w:type="spellStart"/>
      <w:r w:rsidRPr="00C1603D">
        <w:t>Admoni</w:t>
      </w:r>
      <w:proofErr w:type="spellEnd"/>
      <w:r w:rsidRPr="00C1603D">
        <w:t xml:space="preserve"> O, </w:t>
      </w:r>
      <w:proofErr w:type="spellStart"/>
      <w:r w:rsidRPr="00C1603D">
        <w:t>Rakover</w:t>
      </w:r>
      <w:proofErr w:type="spellEnd"/>
      <w:r w:rsidRPr="00C1603D">
        <w:t xml:space="preserve"> Y, </w:t>
      </w:r>
      <w:proofErr w:type="spellStart"/>
      <w:r w:rsidRPr="00C1603D">
        <w:t>Bistritzer</w:t>
      </w:r>
      <w:proofErr w:type="spellEnd"/>
      <w:r w:rsidRPr="00C1603D">
        <w:t xml:space="preserve"> Z, </w:t>
      </w:r>
      <w:r w:rsidRPr="00C1603D">
        <w:rPr>
          <w:i/>
        </w:rPr>
        <w:t>et al</w:t>
      </w:r>
      <w:r w:rsidRPr="00C1603D">
        <w:t xml:space="preserve">. </w:t>
      </w:r>
      <w:proofErr w:type="spellStart"/>
      <w:r w:rsidRPr="00C1603D">
        <w:t>Extrapancreatic</w:t>
      </w:r>
      <w:proofErr w:type="spellEnd"/>
      <w:r w:rsidRPr="00C1603D">
        <w:t xml:space="preserve"> autoimmune manifestations in type 1 diabetes patients and their first-degree relatives: a </w:t>
      </w:r>
      <w:proofErr w:type="spellStart"/>
      <w:r w:rsidRPr="00C1603D">
        <w:t>multicenter</w:t>
      </w:r>
      <w:proofErr w:type="spellEnd"/>
      <w:r w:rsidRPr="00C1603D">
        <w:t xml:space="preserve"> study. </w:t>
      </w:r>
      <w:r w:rsidRPr="00C1603D">
        <w:rPr>
          <w:i/>
        </w:rPr>
        <w:t>Diabetes Care</w:t>
      </w:r>
      <w:r w:rsidRPr="00C1603D">
        <w:t xml:space="preserve"> 2003;</w:t>
      </w:r>
      <w:r w:rsidRPr="00C1603D">
        <w:rPr>
          <w:b/>
        </w:rPr>
        <w:t>26</w:t>
      </w:r>
      <w:r w:rsidRPr="00C1603D">
        <w:t>:</w:t>
      </w:r>
      <w:r w:rsidRPr="00C1603D">
        <w:rPr>
          <w:color w:val="auto"/>
        </w:rPr>
        <w:t>1235</w:t>
      </w:r>
      <w:r w:rsidRPr="00C1603D">
        <w:rPr>
          <w:color w:val="00B0F0"/>
        </w:rPr>
        <w:t>–</w:t>
      </w:r>
      <w:r w:rsidRPr="00C1603D">
        <w:rPr>
          <w:color w:val="auto"/>
        </w:rPr>
        <w:t>40</w:t>
      </w:r>
      <w:r w:rsidRPr="00C1603D">
        <w:t>. https://doi.org/10.2337/diacare.26.4.1235</w:t>
      </w:r>
    </w:p>
    <w:p w14:paraId="08B92F85" w14:textId="44AE3B46" w:rsidR="00EF77DB" w:rsidRPr="00C1603D" w:rsidRDefault="00EF77DB" w:rsidP="00EF77DB">
      <w:pPr>
        <w:pStyle w:val="65ReferencesTextstylesTextstyles"/>
      </w:pPr>
      <w:r w:rsidRPr="00C1603D">
        <w:t>443.</w:t>
      </w:r>
      <w:r w:rsidRPr="00C1603D">
        <w:tab/>
      </w:r>
      <w:proofErr w:type="spellStart"/>
      <w:r w:rsidRPr="00C1603D">
        <w:t>Kurien</w:t>
      </w:r>
      <w:proofErr w:type="spellEnd"/>
      <w:r w:rsidRPr="00C1603D">
        <w:t xml:space="preserve"> M, Leeds JS, Hopper AD, Wild G, </w:t>
      </w:r>
      <w:proofErr w:type="spellStart"/>
      <w:r w:rsidRPr="00C1603D">
        <w:t>Egner</w:t>
      </w:r>
      <w:proofErr w:type="spellEnd"/>
      <w:r w:rsidRPr="00C1603D">
        <w:t xml:space="preserve"> W, Tesfaye S, </w:t>
      </w:r>
      <w:r w:rsidRPr="00C1603D">
        <w:rPr>
          <w:i/>
        </w:rPr>
        <w:t>et</w:t>
      </w:r>
      <w:r w:rsidRPr="00C1603D">
        <w:t xml:space="preserve"> </w:t>
      </w:r>
      <w:r w:rsidRPr="00C1603D">
        <w:rPr>
          <w:i/>
        </w:rPr>
        <w:t>al</w:t>
      </w:r>
      <w:r w:rsidRPr="00C1603D">
        <w:t xml:space="preserve">. Serological testing for coeliac disease in </w:t>
      </w:r>
      <w:r w:rsidR="00263A66" w:rsidRPr="00C1603D">
        <w:t>t</w:t>
      </w:r>
      <w:r w:rsidRPr="00C1603D">
        <w:t xml:space="preserve">ype 1 diabetes mellitus: </w:t>
      </w:r>
      <w:r w:rsidR="00263A66" w:rsidRPr="00C1603D">
        <w:t>i</w:t>
      </w:r>
      <w:r w:rsidRPr="00C1603D">
        <w:t xml:space="preserve">s immunoglobulin A level measurement necessary? </w:t>
      </w:r>
      <w:proofErr w:type="spellStart"/>
      <w:r w:rsidRPr="00C1603D">
        <w:rPr>
          <w:i/>
        </w:rPr>
        <w:t>Diabet</w:t>
      </w:r>
      <w:proofErr w:type="spellEnd"/>
      <w:r w:rsidRPr="00C1603D">
        <w:t xml:space="preserve"> </w:t>
      </w:r>
      <w:r w:rsidRPr="00C1603D">
        <w:rPr>
          <w:i/>
        </w:rPr>
        <w:t>Med</w:t>
      </w:r>
      <w:r w:rsidR="00DD4105" w:rsidRPr="00C1603D">
        <w:rPr>
          <w:i/>
        </w:rPr>
        <w:t xml:space="preserve"> </w:t>
      </w:r>
      <w:r w:rsidRPr="00C1603D">
        <w:t>2013;</w:t>
      </w:r>
      <w:r w:rsidRPr="00C1603D">
        <w:rPr>
          <w:b/>
        </w:rPr>
        <w:t>30</w:t>
      </w:r>
      <w:r w:rsidRPr="00C1603D">
        <w:t>:840</w:t>
      </w:r>
      <w:r w:rsidR="00DD4105" w:rsidRPr="00C1603D">
        <w:t>–</w:t>
      </w:r>
      <w:r w:rsidRPr="00C1603D">
        <w:t>5</w:t>
      </w:r>
      <w:r w:rsidR="00DD4105" w:rsidRPr="00C1603D">
        <w:t>.</w:t>
      </w:r>
    </w:p>
    <w:p w14:paraId="4360B3F8" w14:textId="77777777" w:rsidR="00EF77DB" w:rsidRPr="00C1603D" w:rsidRDefault="00EF77DB" w:rsidP="00EF77DB">
      <w:pPr>
        <w:pStyle w:val="65ReferencesTextstylesTextstyles"/>
      </w:pPr>
      <w:r w:rsidRPr="00C1603D">
        <w:t>444.</w:t>
      </w:r>
      <w:r w:rsidRPr="00C1603D">
        <w:tab/>
      </w:r>
      <w:proofErr w:type="spellStart"/>
      <w:r w:rsidRPr="00C1603D">
        <w:t>Shivaprasad</w:t>
      </w:r>
      <w:proofErr w:type="spellEnd"/>
      <w:r w:rsidRPr="00C1603D">
        <w:t xml:space="preserve"> C, </w:t>
      </w:r>
      <w:proofErr w:type="spellStart"/>
      <w:r w:rsidRPr="00C1603D">
        <w:t>Kolly</w:t>
      </w:r>
      <w:proofErr w:type="spellEnd"/>
      <w:r w:rsidRPr="00C1603D">
        <w:t xml:space="preserve"> A, </w:t>
      </w:r>
      <w:proofErr w:type="spellStart"/>
      <w:r w:rsidRPr="00C1603D">
        <w:t>Pulikkal</w:t>
      </w:r>
      <w:proofErr w:type="spellEnd"/>
      <w:r w:rsidRPr="00C1603D">
        <w:t xml:space="preserve"> A, Kumar KMP. High prevalence of organ specific autoantibodies in Indian type 1 diabetic patients. </w:t>
      </w:r>
      <w:r w:rsidRPr="00C1603D">
        <w:rPr>
          <w:i/>
        </w:rPr>
        <w:t xml:space="preserve">J </w:t>
      </w:r>
      <w:proofErr w:type="spellStart"/>
      <w:r w:rsidRPr="00C1603D">
        <w:rPr>
          <w:i/>
        </w:rPr>
        <w:t>Pediatr</w:t>
      </w:r>
      <w:proofErr w:type="spellEnd"/>
      <w:r w:rsidRPr="00C1603D">
        <w:rPr>
          <w:i/>
        </w:rPr>
        <w:t xml:space="preserve"> Endocrinol </w:t>
      </w:r>
      <w:proofErr w:type="spellStart"/>
      <w:r w:rsidRPr="00C1603D">
        <w:rPr>
          <w:i/>
        </w:rPr>
        <w:t>Metab</w:t>
      </w:r>
      <w:proofErr w:type="spellEnd"/>
      <w:r w:rsidRPr="00C1603D">
        <w:t xml:space="preserve"> 2017;</w:t>
      </w:r>
      <w:r w:rsidRPr="00C1603D">
        <w:rPr>
          <w:b/>
        </w:rPr>
        <w:t>30</w:t>
      </w:r>
      <w:r w:rsidRPr="00C1603D">
        <w:t>:</w:t>
      </w:r>
      <w:r w:rsidRPr="00C1603D">
        <w:rPr>
          <w:color w:val="auto"/>
        </w:rPr>
        <w:t>707</w:t>
      </w:r>
      <w:r w:rsidRPr="00C1603D">
        <w:rPr>
          <w:color w:val="00B0F0"/>
        </w:rPr>
        <w:t>–</w:t>
      </w:r>
      <w:r w:rsidRPr="00C1603D">
        <w:rPr>
          <w:color w:val="auto"/>
        </w:rPr>
        <w:t>12</w:t>
      </w:r>
      <w:r w:rsidRPr="00C1603D">
        <w:t>. https://doi.org/10.1515/jpem-2017-0011</w:t>
      </w:r>
    </w:p>
    <w:p w14:paraId="6FE502D7" w14:textId="73C2DC42" w:rsidR="00EF77DB" w:rsidRPr="00C1603D" w:rsidRDefault="00EF77DB" w:rsidP="00EF77DB">
      <w:pPr>
        <w:pStyle w:val="65ReferencesTextstylesTextstyles"/>
      </w:pPr>
      <w:r w:rsidRPr="00C1603D">
        <w:t>445.</w:t>
      </w:r>
      <w:r w:rsidRPr="00C1603D">
        <w:tab/>
        <w:t xml:space="preserve">Zhao Z, Zou J, Zhao L, Cheng Y, Cai H, Li M, </w:t>
      </w:r>
      <w:r w:rsidRPr="00C1603D">
        <w:rPr>
          <w:i/>
        </w:rPr>
        <w:t>et al</w:t>
      </w:r>
      <w:r w:rsidRPr="00C1603D">
        <w:t xml:space="preserve">. Celiac </w:t>
      </w:r>
      <w:r w:rsidR="00DD4105" w:rsidRPr="00C1603D">
        <w:t>disease autoimmunity in patients with autoimmune diabetes and thyroid dis</w:t>
      </w:r>
      <w:r w:rsidRPr="00C1603D">
        <w:t xml:space="preserve">ease among Chinese </w:t>
      </w:r>
      <w:r w:rsidR="00DD4105" w:rsidRPr="00C1603D">
        <w:t>population</w:t>
      </w:r>
      <w:r w:rsidRPr="00C1603D">
        <w:t xml:space="preserve">. </w:t>
      </w:r>
      <w:r w:rsidRPr="00C1603D">
        <w:rPr>
          <w:i/>
        </w:rPr>
        <w:t xml:space="preserve">PLOS </w:t>
      </w:r>
      <w:r w:rsidR="00BA577B" w:rsidRPr="00C1603D">
        <w:rPr>
          <w:i/>
        </w:rPr>
        <w:t>ONE</w:t>
      </w:r>
      <w:r w:rsidR="00BA577B" w:rsidRPr="00C1603D">
        <w:t xml:space="preserve"> </w:t>
      </w:r>
      <w:r w:rsidRPr="00C1603D">
        <w:lastRenderedPageBreak/>
        <w:t>2016;</w:t>
      </w:r>
      <w:r w:rsidRPr="00C1603D">
        <w:rPr>
          <w:b/>
        </w:rPr>
        <w:t>11</w:t>
      </w:r>
      <w:r w:rsidRPr="00C1603D">
        <w:t>:</w:t>
      </w:r>
      <w:r w:rsidRPr="00C1603D">
        <w:rPr>
          <w:color w:val="auto"/>
        </w:rPr>
        <w:t>e0157510</w:t>
      </w:r>
      <w:r w:rsidRPr="00C1603D">
        <w:t>. https://doi.org/10.1371/journal.pone.0157510</w:t>
      </w:r>
    </w:p>
    <w:p w14:paraId="3FAAD277" w14:textId="4AF3CA45" w:rsidR="00EF77DB" w:rsidRPr="00C1603D" w:rsidRDefault="00EF77DB" w:rsidP="00EF77DB">
      <w:pPr>
        <w:pStyle w:val="65ReferencesTextstylesTextstyles"/>
      </w:pPr>
      <w:r w:rsidRPr="00C1603D">
        <w:t>446.</w:t>
      </w:r>
      <w:r w:rsidRPr="00C1603D">
        <w:tab/>
        <w:t>Abu-</w:t>
      </w:r>
      <w:proofErr w:type="spellStart"/>
      <w:r w:rsidRPr="00C1603D">
        <w:t>Zekry</w:t>
      </w:r>
      <w:proofErr w:type="spellEnd"/>
      <w:r w:rsidRPr="00C1603D">
        <w:t xml:space="preserve"> M, </w:t>
      </w:r>
      <w:proofErr w:type="spellStart"/>
      <w:r w:rsidRPr="00C1603D">
        <w:t>Kryszak</w:t>
      </w:r>
      <w:proofErr w:type="spellEnd"/>
      <w:r w:rsidRPr="00C1603D">
        <w:t xml:space="preserve"> D, Diab M, </w:t>
      </w:r>
      <w:proofErr w:type="spellStart"/>
      <w:r w:rsidRPr="00C1603D">
        <w:t>Catassi</w:t>
      </w:r>
      <w:proofErr w:type="spellEnd"/>
      <w:r w:rsidRPr="00C1603D">
        <w:t xml:space="preserve"> C, Fasano A. Prevalence of celiac disease in Egyptian children disputes the east</w:t>
      </w:r>
      <w:r w:rsidR="00DD4105" w:rsidRPr="00C1603D">
        <w:t>–</w:t>
      </w:r>
      <w:r w:rsidRPr="00C1603D">
        <w:t xml:space="preserve">west agriculture-dependent spread of the disease.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2008;</w:t>
      </w:r>
      <w:r w:rsidRPr="00C1603D">
        <w:rPr>
          <w:b/>
        </w:rPr>
        <w:t>47</w:t>
      </w:r>
      <w:r w:rsidRPr="00C1603D">
        <w:t>:</w:t>
      </w:r>
      <w:r w:rsidRPr="00C1603D">
        <w:rPr>
          <w:color w:val="auto"/>
        </w:rPr>
        <w:t>136</w:t>
      </w:r>
      <w:r w:rsidRPr="00C1603D">
        <w:rPr>
          <w:color w:val="00B0F0"/>
        </w:rPr>
        <w:t>–</w:t>
      </w:r>
      <w:r w:rsidRPr="00C1603D">
        <w:rPr>
          <w:color w:val="auto"/>
        </w:rPr>
        <w:t>40</w:t>
      </w:r>
      <w:r w:rsidRPr="00C1603D">
        <w:t>. https://doi.org/10.1097/MPG.0b013e31815ce5d1</w:t>
      </w:r>
    </w:p>
    <w:p w14:paraId="1758E97D" w14:textId="77777777" w:rsidR="00EF77DB" w:rsidRPr="00C1603D" w:rsidRDefault="00EF77DB" w:rsidP="00EF77DB">
      <w:pPr>
        <w:pStyle w:val="65ReferencesTextstylesTextstyles"/>
      </w:pPr>
      <w:r w:rsidRPr="00C1603D">
        <w:t>447.</w:t>
      </w:r>
      <w:r w:rsidRPr="00C1603D">
        <w:tab/>
      </w:r>
      <w:proofErr w:type="spellStart"/>
      <w:r w:rsidRPr="00C1603D">
        <w:t>Adlercreutz</w:t>
      </w:r>
      <w:proofErr w:type="spellEnd"/>
      <w:r w:rsidRPr="00C1603D">
        <w:t xml:space="preserve"> EH, </w:t>
      </w:r>
      <w:proofErr w:type="spellStart"/>
      <w:r w:rsidRPr="00C1603D">
        <w:t>Svensson</w:t>
      </w:r>
      <w:proofErr w:type="spellEnd"/>
      <w:r w:rsidRPr="00C1603D">
        <w:t xml:space="preserve"> J, Hansen D, </w:t>
      </w:r>
      <w:proofErr w:type="spellStart"/>
      <w:r w:rsidRPr="00C1603D">
        <w:t>Buschard</w:t>
      </w:r>
      <w:proofErr w:type="spellEnd"/>
      <w:r w:rsidRPr="00C1603D">
        <w:t xml:space="preserve"> K, </w:t>
      </w:r>
      <w:proofErr w:type="spellStart"/>
      <w:r w:rsidRPr="00C1603D">
        <w:t>Lernmark</w:t>
      </w:r>
      <w:proofErr w:type="spellEnd"/>
      <w:r w:rsidRPr="00C1603D">
        <w:t xml:space="preserve"> Å, Mortensen HB, </w:t>
      </w:r>
      <w:proofErr w:type="spellStart"/>
      <w:r w:rsidRPr="00C1603D">
        <w:t>Agardh</w:t>
      </w:r>
      <w:proofErr w:type="spellEnd"/>
      <w:r w:rsidRPr="00C1603D">
        <w:t xml:space="preserve"> D. Prevalence of celiac disease autoimmunity in children with type 1 diabetes: regional variations across the </w:t>
      </w:r>
      <w:proofErr w:type="spellStart"/>
      <w:r w:rsidRPr="00C1603D">
        <w:t>Øresund</w:t>
      </w:r>
      <w:proofErr w:type="spellEnd"/>
      <w:r w:rsidRPr="00C1603D">
        <w:t xml:space="preserve"> strait between Denmark and southernmost Sweden. </w:t>
      </w:r>
      <w:proofErr w:type="spellStart"/>
      <w:r w:rsidRPr="00C1603D">
        <w:rPr>
          <w:i/>
        </w:rPr>
        <w:t>Pediatr</w:t>
      </w:r>
      <w:proofErr w:type="spellEnd"/>
      <w:r w:rsidRPr="00C1603D">
        <w:rPr>
          <w:i/>
        </w:rPr>
        <w:t xml:space="preserve"> Diabetes</w:t>
      </w:r>
      <w:r w:rsidRPr="00C1603D">
        <w:t xml:space="preserve"> 2015;</w:t>
      </w:r>
      <w:r w:rsidRPr="00C1603D">
        <w:rPr>
          <w:b/>
        </w:rPr>
        <w:t>16</w:t>
      </w:r>
      <w:r w:rsidRPr="00C1603D">
        <w:t>:</w:t>
      </w:r>
      <w:r w:rsidRPr="00C1603D">
        <w:rPr>
          <w:color w:val="auto"/>
        </w:rPr>
        <w:t>504</w:t>
      </w:r>
      <w:r w:rsidRPr="00C1603D">
        <w:rPr>
          <w:color w:val="00B0F0"/>
        </w:rPr>
        <w:t>–</w:t>
      </w:r>
      <w:r w:rsidRPr="00C1603D">
        <w:rPr>
          <w:color w:val="auto"/>
        </w:rPr>
        <w:t>9</w:t>
      </w:r>
      <w:r w:rsidRPr="00C1603D">
        <w:t>. https://doi.org/10.1111/pedi.12200</w:t>
      </w:r>
    </w:p>
    <w:p w14:paraId="4902141C" w14:textId="77777777" w:rsidR="00EF77DB" w:rsidRPr="00C1603D" w:rsidRDefault="00EF77DB" w:rsidP="00EF77DB">
      <w:pPr>
        <w:pStyle w:val="65ReferencesTextstylesTextstyles"/>
      </w:pPr>
      <w:r w:rsidRPr="00C1603D">
        <w:t>448.</w:t>
      </w:r>
      <w:r w:rsidRPr="00C1603D">
        <w:tab/>
      </w:r>
      <w:proofErr w:type="spellStart"/>
      <w:r w:rsidRPr="00C1603D">
        <w:t>Aktay</w:t>
      </w:r>
      <w:proofErr w:type="spellEnd"/>
      <w:r w:rsidRPr="00C1603D">
        <w:t xml:space="preserve"> AN, Lee PC, Kumar V, Parton E, Wyatt DT, </w:t>
      </w:r>
      <w:proofErr w:type="spellStart"/>
      <w:r w:rsidRPr="00C1603D">
        <w:t>Werlin</w:t>
      </w:r>
      <w:proofErr w:type="spellEnd"/>
      <w:r w:rsidRPr="00C1603D">
        <w:t xml:space="preserve"> SL. The prevalence and clinical characteristics of celiac disease in juvenile diabetes in Wisconsin. </w:t>
      </w:r>
      <w:r w:rsidRPr="00C1603D">
        <w:rPr>
          <w:i/>
        </w:rPr>
        <w:t xml:space="preserve">J </w:t>
      </w:r>
      <w:proofErr w:type="spellStart"/>
      <w:r w:rsidRPr="00C1603D">
        <w:rPr>
          <w:i/>
        </w:rPr>
        <w:t>Pediatr</w:t>
      </w:r>
      <w:proofErr w:type="spellEnd"/>
      <w:r w:rsidRPr="00C1603D">
        <w:rPr>
          <w:i/>
        </w:rPr>
        <w:t xml:space="preserve"> Gastroenterol </w:t>
      </w:r>
      <w:proofErr w:type="spellStart"/>
      <w:r w:rsidRPr="00C1603D">
        <w:rPr>
          <w:i/>
        </w:rPr>
        <w:t>Nutr</w:t>
      </w:r>
      <w:proofErr w:type="spellEnd"/>
      <w:r w:rsidRPr="00C1603D">
        <w:t xml:space="preserve"> 2001;</w:t>
      </w:r>
      <w:r w:rsidRPr="00C1603D">
        <w:rPr>
          <w:b/>
        </w:rPr>
        <w:t>33</w:t>
      </w:r>
      <w:r w:rsidRPr="00C1603D">
        <w:t>:</w:t>
      </w:r>
      <w:r w:rsidRPr="00C1603D">
        <w:rPr>
          <w:color w:val="auto"/>
        </w:rPr>
        <w:t>462</w:t>
      </w:r>
      <w:r w:rsidRPr="00C1603D">
        <w:rPr>
          <w:color w:val="00B0F0"/>
        </w:rPr>
        <w:t>–</w:t>
      </w:r>
      <w:r w:rsidRPr="00C1603D">
        <w:rPr>
          <w:color w:val="auto"/>
        </w:rPr>
        <w:t>5</w:t>
      </w:r>
      <w:r w:rsidRPr="00C1603D">
        <w:t>. https://doi.org/10.1097/00005176-200110000-00008</w:t>
      </w:r>
    </w:p>
    <w:p w14:paraId="6FCA5CBF" w14:textId="0A8921A1" w:rsidR="00EF77DB" w:rsidRPr="00C1603D" w:rsidRDefault="00EF77DB" w:rsidP="00EF77DB">
      <w:pPr>
        <w:pStyle w:val="65ReferencesTextstylesTextstyles"/>
      </w:pPr>
      <w:r w:rsidRPr="00C1603D">
        <w:t>449.</w:t>
      </w:r>
      <w:r w:rsidRPr="00C1603D">
        <w:tab/>
        <w:t xml:space="preserve">Baptista ML, </w:t>
      </w:r>
      <w:proofErr w:type="spellStart"/>
      <w:r w:rsidRPr="00C1603D">
        <w:t>Koda</w:t>
      </w:r>
      <w:proofErr w:type="spellEnd"/>
      <w:r w:rsidRPr="00C1603D">
        <w:t xml:space="preserve"> YKL, </w:t>
      </w:r>
      <w:proofErr w:type="spellStart"/>
      <w:r w:rsidRPr="00C1603D">
        <w:t>Mitsunori</w:t>
      </w:r>
      <w:proofErr w:type="spellEnd"/>
      <w:r w:rsidRPr="00C1603D">
        <w:t xml:space="preserve"> R, </w:t>
      </w:r>
      <w:proofErr w:type="spellStart"/>
      <w:r w:rsidRPr="00C1603D">
        <w:t>Nisihara</w:t>
      </w:r>
      <w:proofErr w:type="spellEnd"/>
      <w:r w:rsidRPr="00C1603D">
        <w:t xml:space="preserve">, </w:t>
      </w:r>
      <w:proofErr w:type="spellStart"/>
      <w:r w:rsidRPr="00C1603D">
        <w:t>Ioshii</w:t>
      </w:r>
      <w:proofErr w:type="spellEnd"/>
      <w:r w:rsidRPr="00C1603D">
        <w:t xml:space="preserve"> SO. Prevalence of celiac disease in Brazilian children and adolescents with type 1 diabetes mellitus. </w:t>
      </w:r>
      <w:r w:rsidR="00F13AB7" w:rsidRPr="00C1603D">
        <w:rPr>
          <w:i/>
        </w:rPr>
        <w:t>J</w:t>
      </w:r>
      <w:r w:rsidRPr="00C1603D">
        <w:t xml:space="preserve"> </w:t>
      </w:r>
      <w:proofErr w:type="spellStart"/>
      <w:r w:rsidRPr="00C1603D">
        <w:rPr>
          <w:i/>
        </w:rPr>
        <w:t>Pediatr</w:t>
      </w:r>
      <w:proofErr w:type="spellEnd"/>
      <w:r w:rsidRPr="00C1603D">
        <w:t xml:space="preserve"> </w:t>
      </w:r>
      <w:r w:rsidRPr="00C1603D">
        <w:rPr>
          <w:i/>
        </w:rPr>
        <w:t>Gastroenterol</w:t>
      </w:r>
      <w:r w:rsidRPr="00C1603D">
        <w:t xml:space="preserve"> </w:t>
      </w:r>
      <w:proofErr w:type="spellStart"/>
      <w:r w:rsidRPr="00C1603D">
        <w:rPr>
          <w:i/>
        </w:rPr>
        <w:t>Nutr</w:t>
      </w:r>
      <w:proofErr w:type="spellEnd"/>
      <w:r w:rsidR="00F13AB7" w:rsidRPr="00C1603D">
        <w:rPr>
          <w:i/>
        </w:rPr>
        <w:t xml:space="preserve"> </w:t>
      </w:r>
      <w:r w:rsidRPr="00C1603D">
        <w:t>2005;</w:t>
      </w:r>
      <w:r w:rsidRPr="00C1603D">
        <w:rPr>
          <w:b/>
        </w:rPr>
        <w:t>41</w:t>
      </w:r>
      <w:r w:rsidRPr="00C1603D">
        <w:t>:621</w:t>
      </w:r>
      <w:r w:rsidR="00F13AB7" w:rsidRPr="00C1603D">
        <w:t>–</w:t>
      </w:r>
      <w:r w:rsidRPr="00C1603D">
        <w:t>4.</w:t>
      </w:r>
    </w:p>
    <w:p w14:paraId="4154FEC7" w14:textId="77777777" w:rsidR="00EF77DB" w:rsidRPr="00C1603D" w:rsidRDefault="00EF77DB" w:rsidP="00EF77DB">
      <w:pPr>
        <w:pStyle w:val="65ReferencesTextstylesTextstyles"/>
      </w:pPr>
      <w:r w:rsidRPr="00C1603D">
        <w:t>450.</w:t>
      </w:r>
      <w:r w:rsidRPr="00C1603D">
        <w:tab/>
        <w:t xml:space="preserve">Djurić Z, </w:t>
      </w:r>
      <w:proofErr w:type="spellStart"/>
      <w:r w:rsidRPr="00C1603D">
        <w:t>Stamenković</w:t>
      </w:r>
      <w:proofErr w:type="spellEnd"/>
      <w:r w:rsidRPr="00C1603D">
        <w:t xml:space="preserve"> H, </w:t>
      </w:r>
      <w:proofErr w:type="spellStart"/>
      <w:r w:rsidRPr="00C1603D">
        <w:t>Stanković</w:t>
      </w:r>
      <w:proofErr w:type="spellEnd"/>
      <w:r w:rsidRPr="00C1603D">
        <w:t xml:space="preserve"> T, </w:t>
      </w:r>
      <w:proofErr w:type="spellStart"/>
      <w:r w:rsidRPr="00C1603D">
        <w:t>Milićević</w:t>
      </w:r>
      <w:proofErr w:type="spellEnd"/>
      <w:r w:rsidRPr="00C1603D">
        <w:t xml:space="preserve"> R, </w:t>
      </w:r>
      <w:proofErr w:type="spellStart"/>
      <w:r w:rsidRPr="00C1603D">
        <w:t>Branković</w:t>
      </w:r>
      <w:proofErr w:type="spellEnd"/>
      <w:r w:rsidRPr="00C1603D">
        <w:t xml:space="preserve"> L, </w:t>
      </w:r>
      <w:proofErr w:type="spellStart"/>
      <w:r w:rsidRPr="00C1603D">
        <w:t>Cirić</w:t>
      </w:r>
      <w:proofErr w:type="spellEnd"/>
      <w:r w:rsidRPr="00C1603D">
        <w:t xml:space="preserve"> V, </w:t>
      </w:r>
      <w:proofErr w:type="spellStart"/>
      <w:r w:rsidRPr="00C1603D">
        <w:t>Katić</w:t>
      </w:r>
      <w:proofErr w:type="spellEnd"/>
      <w:r w:rsidRPr="00C1603D">
        <w:t xml:space="preserve"> V. Celiac disease prevalence in children and adolescents with type 1 diabetes from Serbia. </w:t>
      </w:r>
      <w:proofErr w:type="spellStart"/>
      <w:r w:rsidRPr="00C1603D">
        <w:rPr>
          <w:i/>
        </w:rPr>
        <w:t>Pediatr</w:t>
      </w:r>
      <w:proofErr w:type="spellEnd"/>
      <w:r w:rsidRPr="00C1603D">
        <w:rPr>
          <w:i/>
        </w:rPr>
        <w:t xml:space="preserve"> Int</w:t>
      </w:r>
      <w:r w:rsidRPr="00C1603D">
        <w:t xml:space="preserve"> 2010;</w:t>
      </w:r>
      <w:r w:rsidRPr="00C1603D">
        <w:rPr>
          <w:b/>
        </w:rPr>
        <w:t>52</w:t>
      </w:r>
      <w:r w:rsidRPr="00C1603D">
        <w:t>:</w:t>
      </w:r>
      <w:r w:rsidRPr="00C1603D">
        <w:rPr>
          <w:color w:val="auto"/>
        </w:rPr>
        <w:t>579</w:t>
      </w:r>
      <w:r w:rsidRPr="00C1603D">
        <w:rPr>
          <w:color w:val="00B0F0"/>
        </w:rPr>
        <w:t>–</w:t>
      </w:r>
      <w:r w:rsidRPr="00C1603D">
        <w:rPr>
          <w:color w:val="auto"/>
        </w:rPr>
        <w:t>83</w:t>
      </w:r>
      <w:r w:rsidRPr="00C1603D">
        <w:t>. https://doi.org/10.1111/j.1442-200X.2010.03085.x</w:t>
      </w:r>
    </w:p>
    <w:p w14:paraId="74BEE7A4" w14:textId="101210AD" w:rsidR="00EF77DB" w:rsidRPr="00C1603D" w:rsidRDefault="00EF77DB" w:rsidP="00EF77DB">
      <w:pPr>
        <w:pStyle w:val="65ReferencesTextstylesTextstyles"/>
      </w:pPr>
      <w:r w:rsidRPr="00C1603D">
        <w:t>451.</w:t>
      </w:r>
      <w:r w:rsidRPr="00C1603D">
        <w:tab/>
      </w:r>
      <w:proofErr w:type="spellStart"/>
      <w:r w:rsidRPr="00C1603D">
        <w:t>Frohnert</w:t>
      </w:r>
      <w:proofErr w:type="spellEnd"/>
      <w:r w:rsidRPr="00C1603D">
        <w:t xml:space="preserve"> BI, Simmons K, Liu E, Taki I, Klingensmith GJ, </w:t>
      </w:r>
      <w:proofErr w:type="spellStart"/>
      <w:r w:rsidRPr="00C1603D">
        <w:t>McFann</w:t>
      </w:r>
      <w:proofErr w:type="spellEnd"/>
      <w:r w:rsidRPr="00C1603D">
        <w:t xml:space="preserve"> K, </w:t>
      </w:r>
      <w:r w:rsidRPr="00C1603D">
        <w:rPr>
          <w:i/>
        </w:rPr>
        <w:t>et</w:t>
      </w:r>
      <w:r w:rsidRPr="00C1603D">
        <w:t xml:space="preserve"> </w:t>
      </w:r>
      <w:r w:rsidRPr="00C1603D">
        <w:rPr>
          <w:i/>
        </w:rPr>
        <w:t>al</w:t>
      </w:r>
      <w:r w:rsidRPr="00C1603D">
        <w:t xml:space="preserve">. Poor </w:t>
      </w:r>
      <w:proofErr w:type="spellStart"/>
      <w:r w:rsidRPr="00C1603D">
        <w:t>glycemic</w:t>
      </w:r>
      <w:proofErr w:type="spellEnd"/>
      <w:r w:rsidRPr="00C1603D">
        <w:t xml:space="preserve"> control and celiac disease autoimmunity are independently associated with reduced bone mineral density in children with type 1 diabetes. </w:t>
      </w:r>
      <w:r w:rsidRPr="00C1603D">
        <w:rPr>
          <w:i/>
        </w:rPr>
        <w:t>Diabetes</w:t>
      </w:r>
      <w:r w:rsidRPr="00C1603D">
        <w:t xml:space="preserve"> 2015;</w:t>
      </w:r>
      <w:r w:rsidRPr="00C1603D">
        <w:rPr>
          <w:b/>
        </w:rPr>
        <w:t>64</w:t>
      </w:r>
      <w:r w:rsidRPr="00C1603D">
        <w:t>:A72.</w:t>
      </w:r>
    </w:p>
    <w:p w14:paraId="5AC96621" w14:textId="598CA8F8" w:rsidR="00EF77DB" w:rsidRPr="00C1603D" w:rsidRDefault="00EF77DB" w:rsidP="00EF77DB">
      <w:pPr>
        <w:pStyle w:val="65ReferencesTextstylesTextstyles"/>
      </w:pPr>
      <w:r w:rsidRPr="00C1603D">
        <w:t>452.</w:t>
      </w:r>
      <w:r w:rsidRPr="00C1603D">
        <w:tab/>
      </w:r>
      <w:proofErr w:type="spellStart"/>
      <w:r w:rsidRPr="00C1603D">
        <w:t>Gurau</w:t>
      </w:r>
      <w:proofErr w:type="spellEnd"/>
      <w:r w:rsidRPr="00C1603D">
        <w:t xml:space="preserve"> G, </w:t>
      </w:r>
      <w:proofErr w:type="spellStart"/>
      <w:r w:rsidRPr="00C1603D">
        <w:t>Dobre</w:t>
      </w:r>
      <w:proofErr w:type="spellEnd"/>
      <w:r w:rsidRPr="00C1603D">
        <w:t xml:space="preserve"> M, </w:t>
      </w:r>
      <w:proofErr w:type="spellStart"/>
      <w:r w:rsidRPr="00C1603D">
        <w:t>Nechita</w:t>
      </w:r>
      <w:proofErr w:type="spellEnd"/>
      <w:r w:rsidRPr="00C1603D">
        <w:t xml:space="preserve"> A. Anti-tissue transglutaminase antibodies in patients with anti-glutamate dehydrogenase positive type 1 diabetes mellitus. </w:t>
      </w:r>
      <w:r w:rsidR="00575011" w:rsidRPr="00C1603D">
        <w:rPr>
          <w:i/>
        </w:rPr>
        <w:t xml:space="preserve">Rev Romana de </w:t>
      </w:r>
      <w:proofErr w:type="spellStart"/>
      <w:r w:rsidR="00575011" w:rsidRPr="00C1603D">
        <w:rPr>
          <w:i/>
        </w:rPr>
        <w:t>Medicina</w:t>
      </w:r>
      <w:proofErr w:type="spellEnd"/>
      <w:r w:rsidR="00575011" w:rsidRPr="00C1603D">
        <w:rPr>
          <w:i/>
        </w:rPr>
        <w:t xml:space="preserve"> de Lab</w:t>
      </w:r>
      <w:r w:rsidRPr="00C1603D">
        <w:t xml:space="preserve"> 2012;</w:t>
      </w:r>
      <w:r w:rsidRPr="00C1603D">
        <w:rPr>
          <w:b/>
        </w:rPr>
        <w:t>20</w:t>
      </w:r>
      <w:r w:rsidRPr="00C1603D">
        <w:t>:39</w:t>
      </w:r>
      <w:r w:rsidR="00575011" w:rsidRPr="00C1603D">
        <w:t>–</w:t>
      </w:r>
      <w:r w:rsidRPr="00C1603D">
        <w:t>46.</w:t>
      </w:r>
    </w:p>
    <w:p w14:paraId="7B5FDB06" w14:textId="77777777" w:rsidR="00EF77DB" w:rsidRPr="00C1603D" w:rsidRDefault="00EF77DB" w:rsidP="00EF77DB">
      <w:pPr>
        <w:pStyle w:val="65ReferencesTextstylesTextstyles"/>
      </w:pPr>
      <w:r w:rsidRPr="00C1603D">
        <w:t>453.</w:t>
      </w:r>
      <w:r w:rsidRPr="00C1603D">
        <w:tab/>
        <w:t xml:space="preserve">Hansson T, </w:t>
      </w:r>
      <w:proofErr w:type="spellStart"/>
      <w:r w:rsidRPr="00C1603D">
        <w:t>Dahlbom</w:t>
      </w:r>
      <w:proofErr w:type="spellEnd"/>
      <w:r w:rsidRPr="00C1603D">
        <w:t xml:space="preserve"> I, </w:t>
      </w:r>
      <w:proofErr w:type="spellStart"/>
      <w:r w:rsidRPr="00C1603D">
        <w:t>Tuvemo</w:t>
      </w:r>
      <w:proofErr w:type="spellEnd"/>
      <w:r w:rsidRPr="00C1603D">
        <w:t xml:space="preserve"> T, Frisk G. Silent coeliac disease is over-represented in children with type 1 diabetes and their siblings. </w:t>
      </w:r>
      <w:r w:rsidRPr="00C1603D">
        <w:rPr>
          <w:i/>
        </w:rPr>
        <w:t xml:space="preserve">Acta </w:t>
      </w:r>
      <w:proofErr w:type="spellStart"/>
      <w:r w:rsidRPr="00C1603D">
        <w:rPr>
          <w:i/>
        </w:rPr>
        <w:t>Paediatr</w:t>
      </w:r>
      <w:proofErr w:type="spellEnd"/>
      <w:r w:rsidRPr="00C1603D">
        <w:t xml:space="preserve"> 2015;</w:t>
      </w:r>
      <w:r w:rsidRPr="00C1603D">
        <w:rPr>
          <w:b/>
        </w:rPr>
        <w:t>104</w:t>
      </w:r>
      <w:r w:rsidRPr="00C1603D">
        <w:t>:</w:t>
      </w:r>
      <w:r w:rsidRPr="00C1603D">
        <w:rPr>
          <w:color w:val="auto"/>
        </w:rPr>
        <w:t>185</w:t>
      </w:r>
      <w:r w:rsidRPr="00C1603D">
        <w:rPr>
          <w:color w:val="00B0F0"/>
        </w:rPr>
        <w:t>–</w:t>
      </w:r>
      <w:r w:rsidRPr="00C1603D">
        <w:rPr>
          <w:color w:val="auto"/>
        </w:rPr>
        <w:t>91</w:t>
      </w:r>
      <w:r w:rsidRPr="00C1603D">
        <w:t>. https://doi.org/10.1111/apa.12823</w:t>
      </w:r>
    </w:p>
    <w:p w14:paraId="2762699F" w14:textId="77777777" w:rsidR="00EF77DB" w:rsidRPr="00C1603D" w:rsidRDefault="00EF77DB" w:rsidP="00EF77DB">
      <w:pPr>
        <w:pStyle w:val="65ReferencesTextstylesTextstyles"/>
      </w:pPr>
      <w:r w:rsidRPr="00C1603D">
        <w:t>454.</w:t>
      </w:r>
      <w:r w:rsidRPr="00C1603D">
        <w:tab/>
        <w:t xml:space="preserve">Krause I, Anaya JM, Fraser A, Barzilai O, Ram M, Abad V, </w:t>
      </w:r>
      <w:r w:rsidRPr="00C1603D">
        <w:rPr>
          <w:i/>
        </w:rPr>
        <w:t>et al</w:t>
      </w:r>
      <w:r w:rsidRPr="00C1603D">
        <w:t xml:space="preserve">. Anti-infectious antibodies and autoimmune-associated autoantibodies in patients with type I diabetes mellitus and their close family members. </w:t>
      </w:r>
      <w:r w:rsidRPr="00C1603D">
        <w:rPr>
          <w:i/>
        </w:rPr>
        <w:t xml:space="preserve">Ann N Y </w:t>
      </w:r>
      <w:proofErr w:type="spellStart"/>
      <w:r w:rsidRPr="00C1603D">
        <w:rPr>
          <w:i/>
        </w:rPr>
        <w:t>Acad</w:t>
      </w:r>
      <w:proofErr w:type="spellEnd"/>
      <w:r w:rsidRPr="00C1603D">
        <w:rPr>
          <w:i/>
        </w:rPr>
        <w:t xml:space="preserve"> Sci</w:t>
      </w:r>
      <w:r w:rsidRPr="00C1603D">
        <w:t xml:space="preserve"> 2009;</w:t>
      </w:r>
      <w:r w:rsidRPr="00C1603D">
        <w:rPr>
          <w:b/>
        </w:rPr>
        <w:t>1173</w:t>
      </w:r>
      <w:r w:rsidRPr="00C1603D">
        <w:t>:</w:t>
      </w:r>
      <w:r w:rsidRPr="00C1603D">
        <w:rPr>
          <w:color w:val="auto"/>
        </w:rPr>
        <w:t>633</w:t>
      </w:r>
      <w:r w:rsidRPr="00C1603D">
        <w:rPr>
          <w:color w:val="00B0F0"/>
        </w:rPr>
        <w:t>–</w:t>
      </w:r>
      <w:r w:rsidRPr="00C1603D">
        <w:rPr>
          <w:color w:val="auto"/>
        </w:rPr>
        <w:t>9</w:t>
      </w:r>
      <w:r w:rsidRPr="00C1603D">
        <w:t>. https://doi.org/10.1111/j.1749-6632.2009.04619.x</w:t>
      </w:r>
    </w:p>
    <w:p w14:paraId="057AB6BB" w14:textId="77777777" w:rsidR="00EF77DB" w:rsidRPr="00C1603D" w:rsidRDefault="00EF77DB" w:rsidP="00EF77DB">
      <w:pPr>
        <w:pStyle w:val="65ReferencesTextstylesTextstyles"/>
      </w:pPr>
      <w:r w:rsidRPr="00C1603D">
        <w:t>455.</w:t>
      </w:r>
      <w:r w:rsidRPr="00C1603D">
        <w:tab/>
      </w:r>
      <w:proofErr w:type="spellStart"/>
      <w:r w:rsidRPr="00C1603D">
        <w:t>Soyucen</w:t>
      </w:r>
      <w:proofErr w:type="spellEnd"/>
      <w:r w:rsidRPr="00C1603D">
        <w:t xml:space="preserve"> E, Yilmaz S, </w:t>
      </w:r>
      <w:proofErr w:type="spellStart"/>
      <w:r w:rsidRPr="00C1603D">
        <w:t>Çeltık</w:t>
      </w:r>
      <w:proofErr w:type="spellEnd"/>
      <w:r w:rsidRPr="00C1603D">
        <w:t xml:space="preserve"> C, </w:t>
      </w:r>
      <w:proofErr w:type="spellStart"/>
      <w:r w:rsidRPr="00C1603D">
        <w:t>Vatansever</w:t>
      </w:r>
      <w:proofErr w:type="spellEnd"/>
      <w:r w:rsidRPr="00C1603D">
        <w:t xml:space="preserve"> U, </w:t>
      </w:r>
      <w:proofErr w:type="spellStart"/>
      <w:r w:rsidRPr="00C1603D">
        <w:t>Öner</w:t>
      </w:r>
      <w:proofErr w:type="spellEnd"/>
      <w:r w:rsidRPr="00C1603D">
        <w:t xml:space="preserve"> N, </w:t>
      </w:r>
      <w:proofErr w:type="spellStart"/>
      <w:r w:rsidRPr="00C1603D">
        <w:t>Karasalıhoğlu</w:t>
      </w:r>
      <w:proofErr w:type="spellEnd"/>
      <w:r w:rsidRPr="00C1603D">
        <w:t xml:space="preserve"> S. Seroprevalence of autoimmune thyroiditis and celiac disease in children with insulin-dependent diabetes mellitus in the Thrace region of Turkey. </w:t>
      </w:r>
      <w:r w:rsidRPr="00C1603D">
        <w:rPr>
          <w:i/>
        </w:rPr>
        <w:t>Turk J Gastroenterol</w:t>
      </w:r>
      <w:r w:rsidRPr="00C1603D">
        <w:t xml:space="preserve"> 2010;</w:t>
      </w:r>
      <w:r w:rsidRPr="00C1603D">
        <w:rPr>
          <w:b/>
        </w:rPr>
        <w:t>21</w:t>
      </w:r>
      <w:r w:rsidRPr="00C1603D">
        <w:t>:</w:t>
      </w:r>
      <w:r w:rsidRPr="00C1603D">
        <w:rPr>
          <w:color w:val="auto"/>
        </w:rPr>
        <w:t>231</w:t>
      </w:r>
      <w:r w:rsidRPr="00C1603D">
        <w:rPr>
          <w:color w:val="00B0F0"/>
        </w:rPr>
        <w:t>–</w:t>
      </w:r>
      <w:r w:rsidRPr="00C1603D">
        <w:rPr>
          <w:color w:val="auto"/>
        </w:rPr>
        <w:t>5</w:t>
      </w:r>
      <w:r w:rsidRPr="00C1603D">
        <w:t>. https://doi.org/10.4318/tjg.2010.0093</w:t>
      </w:r>
    </w:p>
    <w:p w14:paraId="4FC0DFBA" w14:textId="24242983" w:rsidR="00EF77DB" w:rsidRPr="00C1603D" w:rsidRDefault="00EF77DB" w:rsidP="00EF77DB">
      <w:pPr>
        <w:pStyle w:val="65ReferencesTextstylesTextstyles"/>
      </w:pPr>
      <w:r w:rsidRPr="00C1603D">
        <w:t>456.</w:t>
      </w:r>
      <w:r w:rsidRPr="00C1603D">
        <w:tab/>
        <w:t xml:space="preserve">Velasco C, Ortiz C, Ruiz A. HLA typing in healthy and diabetic children with celiac disease in Cali, Colombia. </w:t>
      </w:r>
      <w:r w:rsidR="002D15B0" w:rsidRPr="00C1603D">
        <w:rPr>
          <w:i/>
        </w:rPr>
        <w:t>J</w:t>
      </w:r>
      <w:r w:rsidRPr="00C1603D">
        <w:t xml:space="preserve"> </w:t>
      </w:r>
      <w:proofErr w:type="spellStart"/>
      <w:r w:rsidRPr="00C1603D">
        <w:rPr>
          <w:i/>
        </w:rPr>
        <w:t>Pediatr</w:t>
      </w:r>
      <w:proofErr w:type="spellEnd"/>
      <w:r w:rsidR="002D15B0" w:rsidRPr="00C1603D">
        <w:rPr>
          <w:i/>
        </w:rPr>
        <w:t xml:space="preserve"> </w:t>
      </w:r>
      <w:r w:rsidRPr="00C1603D">
        <w:rPr>
          <w:i/>
        </w:rPr>
        <w:t>Gastroenterol</w:t>
      </w:r>
      <w:r w:rsidR="002D15B0" w:rsidRPr="00C1603D">
        <w:rPr>
          <w:i/>
        </w:rPr>
        <w:t xml:space="preserve"> </w:t>
      </w:r>
      <w:proofErr w:type="spellStart"/>
      <w:r w:rsidRPr="00C1603D">
        <w:rPr>
          <w:i/>
        </w:rPr>
        <w:t>Nutr</w:t>
      </w:r>
      <w:proofErr w:type="spellEnd"/>
      <w:r w:rsidR="002D15B0" w:rsidRPr="00C1603D">
        <w:rPr>
          <w:i/>
        </w:rPr>
        <w:t xml:space="preserve"> </w:t>
      </w:r>
      <w:r w:rsidRPr="00C1603D">
        <w:t>2016;</w:t>
      </w:r>
      <w:r w:rsidRPr="00C1603D">
        <w:rPr>
          <w:b/>
        </w:rPr>
        <w:t>63</w:t>
      </w:r>
      <w:r w:rsidRPr="00C1603D">
        <w:t>:S293.</w:t>
      </w:r>
    </w:p>
    <w:p w14:paraId="3553BA76" w14:textId="760A26E5" w:rsidR="00EF77DB" w:rsidRPr="00C1603D" w:rsidRDefault="00EF77DB" w:rsidP="00EF77DB">
      <w:pPr>
        <w:pStyle w:val="65ReferencesTextstylesTextstyles"/>
      </w:pPr>
      <w:r w:rsidRPr="00C1603D">
        <w:t>457.</w:t>
      </w:r>
      <w:r w:rsidRPr="00C1603D">
        <w:tab/>
        <w:t xml:space="preserve">Not T, </w:t>
      </w:r>
      <w:proofErr w:type="spellStart"/>
      <w:r w:rsidRPr="00C1603D">
        <w:t>Tommasini</w:t>
      </w:r>
      <w:proofErr w:type="spellEnd"/>
      <w:r w:rsidRPr="00C1603D">
        <w:t xml:space="preserve"> A, </w:t>
      </w:r>
      <w:proofErr w:type="spellStart"/>
      <w:r w:rsidRPr="00C1603D">
        <w:t>Tonini</w:t>
      </w:r>
      <w:proofErr w:type="spellEnd"/>
      <w:r w:rsidRPr="00C1603D">
        <w:t xml:space="preserve"> G, Buratti E, </w:t>
      </w:r>
      <w:proofErr w:type="spellStart"/>
      <w:r w:rsidRPr="00C1603D">
        <w:t>Pocecco</w:t>
      </w:r>
      <w:proofErr w:type="spellEnd"/>
      <w:r w:rsidRPr="00C1603D">
        <w:t xml:space="preserve"> M, </w:t>
      </w:r>
      <w:proofErr w:type="spellStart"/>
      <w:r w:rsidRPr="00C1603D">
        <w:t>Tortul</w:t>
      </w:r>
      <w:proofErr w:type="spellEnd"/>
      <w:r w:rsidRPr="00C1603D">
        <w:t xml:space="preserve"> C, </w:t>
      </w:r>
      <w:r w:rsidRPr="00C1603D">
        <w:rPr>
          <w:i/>
        </w:rPr>
        <w:t>et al</w:t>
      </w:r>
      <w:r w:rsidRPr="00C1603D">
        <w:t xml:space="preserve">. Undiagnosed coeliac disease and risk of autoimmune disorders in subjects with </w:t>
      </w:r>
      <w:r w:rsidR="00122EA7" w:rsidRPr="00C1603D">
        <w:t>t</w:t>
      </w:r>
      <w:r w:rsidRPr="00C1603D">
        <w:t xml:space="preserve">ype I diabetes mellitus. </w:t>
      </w:r>
      <w:proofErr w:type="spellStart"/>
      <w:r w:rsidRPr="00C1603D">
        <w:rPr>
          <w:i/>
        </w:rPr>
        <w:t>Diabetologia</w:t>
      </w:r>
      <w:proofErr w:type="spellEnd"/>
      <w:r w:rsidRPr="00C1603D">
        <w:t xml:space="preserve"> 2001;</w:t>
      </w:r>
      <w:r w:rsidRPr="00C1603D">
        <w:rPr>
          <w:b/>
        </w:rPr>
        <w:t>44</w:t>
      </w:r>
      <w:r w:rsidRPr="00C1603D">
        <w:t>:</w:t>
      </w:r>
      <w:r w:rsidRPr="00C1603D">
        <w:rPr>
          <w:color w:val="auto"/>
        </w:rPr>
        <w:t>151</w:t>
      </w:r>
      <w:r w:rsidRPr="00C1603D">
        <w:rPr>
          <w:color w:val="00B0F0"/>
        </w:rPr>
        <w:t>–</w:t>
      </w:r>
      <w:r w:rsidRPr="00C1603D">
        <w:rPr>
          <w:color w:val="auto"/>
        </w:rPr>
        <w:t>5</w:t>
      </w:r>
      <w:r w:rsidRPr="00C1603D">
        <w:t>. https://doi.org/10.1007/s001250051593</w:t>
      </w:r>
    </w:p>
    <w:p w14:paraId="68251D2D" w14:textId="77777777" w:rsidR="00EF77DB" w:rsidRPr="00C1603D" w:rsidRDefault="00EF77DB" w:rsidP="00EF77DB">
      <w:pPr>
        <w:pStyle w:val="65ReferencesTextstylesTextstyles"/>
      </w:pPr>
      <w:r w:rsidRPr="00C1603D">
        <w:t>458.</w:t>
      </w:r>
      <w:r w:rsidRPr="00C1603D">
        <w:tab/>
      </w:r>
      <w:proofErr w:type="spellStart"/>
      <w:r w:rsidRPr="00C1603D">
        <w:t>Premawardhana</w:t>
      </w:r>
      <w:proofErr w:type="spellEnd"/>
      <w:r w:rsidRPr="00C1603D">
        <w:t xml:space="preserve"> LD, </w:t>
      </w:r>
      <w:proofErr w:type="spellStart"/>
      <w:r w:rsidRPr="00C1603D">
        <w:t>Wijeyaratne</w:t>
      </w:r>
      <w:proofErr w:type="spellEnd"/>
      <w:r w:rsidRPr="00C1603D">
        <w:t xml:space="preserve"> CN, Chen S, Wijesuriya M, </w:t>
      </w:r>
      <w:proofErr w:type="spellStart"/>
      <w:r w:rsidRPr="00C1603D">
        <w:t>Illangasekera</w:t>
      </w:r>
      <w:proofErr w:type="spellEnd"/>
      <w:r w:rsidRPr="00C1603D">
        <w:t xml:space="preserve"> U, Brooking H, </w:t>
      </w:r>
      <w:r w:rsidRPr="00C1603D">
        <w:rPr>
          <w:i/>
        </w:rPr>
        <w:t>et al</w:t>
      </w:r>
      <w:r w:rsidRPr="00C1603D">
        <w:t xml:space="preserve">. Islet cell, thyroid, adrenal and celiac disease related autoantibodies in patients with Type 1 diabetes from Sri Lanka. </w:t>
      </w:r>
      <w:r w:rsidRPr="00C1603D">
        <w:rPr>
          <w:i/>
        </w:rPr>
        <w:t>J Endocrinol Invest</w:t>
      </w:r>
      <w:r w:rsidRPr="00C1603D">
        <w:t xml:space="preserve"> 2006;</w:t>
      </w:r>
      <w:r w:rsidRPr="00C1603D">
        <w:rPr>
          <w:b/>
        </w:rPr>
        <w:t>29</w:t>
      </w:r>
      <w:r w:rsidRPr="00C1603D">
        <w:t>:</w:t>
      </w:r>
      <w:r w:rsidRPr="00C1603D">
        <w:rPr>
          <w:color w:val="auto"/>
        </w:rPr>
        <w:t>968</w:t>
      </w:r>
      <w:r w:rsidRPr="00C1603D">
        <w:rPr>
          <w:color w:val="00B0F0"/>
        </w:rPr>
        <w:t>–</w:t>
      </w:r>
      <w:r w:rsidRPr="00C1603D">
        <w:rPr>
          <w:color w:val="auto"/>
        </w:rPr>
        <w:t>74</w:t>
      </w:r>
      <w:r w:rsidRPr="00C1603D">
        <w:t>.</w:t>
      </w:r>
    </w:p>
    <w:p w14:paraId="72DD3F28" w14:textId="77777777" w:rsidR="00EF77DB" w:rsidRPr="00C1603D" w:rsidRDefault="00EF77DB" w:rsidP="00EF77DB">
      <w:pPr>
        <w:pStyle w:val="65ReferencesTextstylesTextstyles"/>
      </w:pPr>
      <w:r w:rsidRPr="00C1603D">
        <w:t>459.</w:t>
      </w:r>
      <w:r w:rsidRPr="00C1603D">
        <w:tab/>
        <w:t xml:space="preserve">Jaeger C, </w:t>
      </w:r>
      <w:proofErr w:type="spellStart"/>
      <w:r w:rsidRPr="00C1603D">
        <w:t>Hatziagelaki</w:t>
      </w:r>
      <w:proofErr w:type="spellEnd"/>
      <w:r w:rsidRPr="00C1603D">
        <w:t xml:space="preserve"> E, </w:t>
      </w:r>
      <w:proofErr w:type="spellStart"/>
      <w:r w:rsidRPr="00C1603D">
        <w:t>Petzoldt</w:t>
      </w:r>
      <w:proofErr w:type="spellEnd"/>
      <w:r w:rsidRPr="00C1603D">
        <w:t xml:space="preserve"> R, </w:t>
      </w:r>
      <w:proofErr w:type="spellStart"/>
      <w:r w:rsidRPr="00C1603D">
        <w:t>Bretzel</w:t>
      </w:r>
      <w:proofErr w:type="spellEnd"/>
      <w:r w:rsidRPr="00C1603D">
        <w:t xml:space="preserve"> RG. Comparative analysis of organ-specific autoantibodies and celiac disease – associated antibodies in type 1 diabetic patients, their first-degree relatives, and healthy control subjects. </w:t>
      </w:r>
      <w:r w:rsidRPr="00C1603D">
        <w:rPr>
          <w:i/>
        </w:rPr>
        <w:t>Diabetes Care</w:t>
      </w:r>
      <w:r w:rsidRPr="00C1603D">
        <w:t xml:space="preserve"> 2001;</w:t>
      </w:r>
      <w:r w:rsidRPr="00C1603D">
        <w:rPr>
          <w:b/>
        </w:rPr>
        <w:t>24</w:t>
      </w:r>
      <w:r w:rsidRPr="00C1603D">
        <w:t>:</w:t>
      </w:r>
      <w:r w:rsidRPr="00C1603D">
        <w:rPr>
          <w:color w:val="auto"/>
        </w:rPr>
        <w:t>27</w:t>
      </w:r>
      <w:r w:rsidRPr="00C1603D">
        <w:rPr>
          <w:color w:val="00B0F0"/>
        </w:rPr>
        <w:t>–</w:t>
      </w:r>
      <w:r w:rsidRPr="00C1603D">
        <w:rPr>
          <w:color w:val="auto"/>
        </w:rPr>
        <w:t>32</w:t>
      </w:r>
      <w:r w:rsidRPr="00C1603D">
        <w:t>. https://doi.org/10.2337/diacare.24.1.27</w:t>
      </w:r>
    </w:p>
    <w:p w14:paraId="2CCCCC61" w14:textId="77777777" w:rsidR="00EF77DB" w:rsidRPr="00C1603D" w:rsidRDefault="3CDEEDA7" w:rsidP="00EF77DB">
      <w:pPr>
        <w:pStyle w:val="65ReferencesTextstylesTextstyles"/>
      </w:pPr>
      <w:commentRangeStart w:id="550"/>
      <w:commentRangeStart w:id="551"/>
      <w:r w:rsidRPr="00C1603D">
        <w:lastRenderedPageBreak/>
        <w:t>460.</w:t>
      </w:r>
      <w:r w:rsidR="00EF77DB" w:rsidRPr="00C1603D">
        <w:tab/>
      </w:r>
      <w:r w:rsidRPr="00C1603D">
        <w:t xml:space="preserve">Kanungo A, </w:t>
      </w:r>
      <w:proofErr w:type="spellStart"/>
      <w:r w:rsidRPr="00C1603D">
        <w:t>Shtauvere-Brameus</w:t>
      </w:r>
      <w:proofErr w:type="spellEnd"/>
      <w:r w:rsidRPr="00C1603D">
        <w:t xml:space="preserve"> A, </w:t>
      </w:r>
      <w:proofErr w:type="spellStart"/>
      <w:r w:rsidRPr="00C1603D">
        <w:t>Samal</w:t>
      </w:r>
      <w:proofErr w:type="spellEnd"/>
      <w:r w:rsidRPr="00C1603D">
        <w:t xml:space="preserve"> KC, </w:t>
      </w:r>
      <w:proofErr w:type="spellStart"/>
      <w:r w:rsidRPr="00C1603D">
        <w:t>Sanjeevi</w:t>
      </w:r>
      <w:proofErr w:type="spellEnd"/>
      <w:r w:rsidRPr="00C1603D">
        <w:t xml:space="preserve"> CB. Autoantibodies to tissue transglutaminase in patients from eastern India with malnutrition-modulated diabetes mellitus, insulin-dependent diabetes mellitus, and non-insulin-dependent diabetes mellitus. </w:t>
      </w:r>
      <w:r w:rsidRPr="00C1603D">
        <w:rPr>
          <w:i/>
          <w:iCs/>
        </w:rPr>
        <w:t xml:space="preserve">Ann N Y </w:t>
      </w:r>
      <w:proofErr w:type="spellStart"/>
      <w:r w:rsidRPr="00C1603D">
        <w:rPr>
          <w:i/>
          <w:iCs/>
        </w:rPr>
        <w:t>Acad</w:t>
      </w:r>
      <w:proofErr w:type="spellEnd"/>
      <w:r w:rsidRPr="00C1603D">
        <w:rPr>
          <w:i/>
          <w:iCs/>
        </w:rPr>
        <w:t xml:space="preserve"> Sci</w:t>
      </w:r>
      <w:r w:rsidRPr="00C1603D">
        <w:t xml:space="preserve"> 2002;</w:t>
      </w:r>
      <w:r w:rsidRPr="00C1603D">
        <w:rPr>
          <w:b/>
          <w:bCs/>
        </w:rPr>
        <w:t>958</w:t>
      </w:r>
      <w:r w:rsidRPr="00C1603D">
        <w:t>:</w:t>
      </w:r>
      <w:r w:rsidRPr="00C1603D">
        <w:rPr>
          <w:color w:val="auto"/>
        </w:rPr>
        <w:t>232</w:t>
      </w:r>
      <w:r w:rsidRPr="00C1603D">
        <w:rPr>
          <w:color w:val="00B0F0"/>
        </w:rPr>
        <w:t>–</w:t>
      </w:r>
      <w:r w:rsidRPr="00C1603D">
        <w:rPr>
          <w:color w:val="auto"/>
        </w:rPr>
        <w:t>4</w:t>
      </w:r>
      <w:r w:rsidRPr="00C1603D">
        <w:t>. https://doi.org/10.1111/j.1749-6632.2002.tb02976.x</w:t>
      </w:r>
      <w:commentRangeEnd w:id="550"/>
      <w:r w:rsidR="00EF77DB" w:rsidRPr="00C1603D">
        <w:commentReference w:id="550"/>
      </w:r>
      <w:commentRangeEnd w:id="551"/>
      <w:r w:rsidR="00EF77DB" w:rsidRPr="00C1603D">
        <w:commentReference w:id="551"/>
      </w:r>
    </w:p>
    <w:p w14:paraId="47C97FFA" w14:textId="0B0F8C3F" w:rsidR="00EF77DB" w:rsidRPr="00C1603D" w:rsidRDefault="00EF77DB" w:rsidP="00EF77DB">
      <w:pPr>
        <w:pStyle w:val="65ReferencesTextstylesTextstyles"/>
      </w:pPr>
      <w:r w:rsidRPr="00C1603D">
        <w:t>461.</w:t>
      </w:r>
      <w:r w:rsidRPr="00C1603D">
        <w:tab/>
        <w:t xml:space="preserve">Sari S, </w:t>
      </w:r>
      <w:proofErr w:type="spellStart"/>
      <w:r w:rsidRPr="00C1603D">
        <w:t>Yeşilkaya</w:t>
      </w:r>
      <w:proofErr w:type="spellEnd"/>
      <w:r w:rsidRPr="00C1603D">
        <w:t xml:space="preserve"> E, </w:t>
      </w:r>
      <w:proofErr w:type="spellStart"/>
      <w:r w:rsidRPr="00C1603D">
        <w:t>Eğritaş</w:t>
      </w:r>
      <w:proofErr w:type="spellEnd"/>
      <w:r w:rsidRPr="00C1603D">
        <w:t xml:space="preserve"> O, </w:t>
      </w:r>
      <w:proofErr w:type="spellStart"/>
      <w:r w:rsidRPr="00C1603D">
        <w:t>Bideci</w:t>
      </w:r>
      <w:proofErr w:type="spellEnd"/>
      <w:r w:rsidRPr="00C1603D">
        <w:t xml:space="preserve"> A, </w:t>
      </w:r>
      <w:proofErr w:type="spellStart"/>
      <w:r w:rsidRPr="00C1603D">
        <w:t>Cinaz</w:t>
      </w:r>
      <w:proofErr w:type="spellEnd"/>
      <w:r w:rsidRPr="00C1603D">
        <w:t xml:space="preserve"> P, Dalgiç B. Prevalence of </w:t>
      </w:r>
      <w:r w:rsidR="00122EA7" w:rsidRPr="00C1603D">
        <w:t>c</w:t>
      </w:r>
      <w:r w:rsidRPr="00C1603D">
        <w:t xml:space="preserve">eliac disease in Turkish children with type 1 diabetes mellitus and their non-diabetic first-degree relatives. </w:t>
      </w:r>
      <w:r w:rsidRPr="00C1603D">
        <w:rPr>
          <w:i/>
        </w:rPr>
        <w:t>Turk J Gastroenterol</w:t>
      </w:r>
      <w:r w:rsidRPr="00C1603D">
        <w:t xml:space="preserve"> 2010;</w:t>
      </w:r>
      <w:r w:rsidRPr="00C1603D">
        <w:rPr>
          <w:b/>
        </w:rPr>
        <w:t>21</w:t>
      </w:r>
      <w:r w:rsidRPr="00C1603D">
        <w:t>:</w:t>
      </w:r>
      <w:r w:rsidRPr="00C1603D">
        <w:rPr>
          <w:color w:val="auto"/>
        </w:rPr>
        <w:t>34</w:t>
      </w:r>
      <w:r w:rsidRPr="00C1603D">
        <w:rPr>
          <w:color w:val="00B0F0"/>
        </w:rPr>
        <w:t>–</w:t>
      </w:r>
      <w:r w:rsidRPr="00C1603D">
        <w:rPr>
          <w:color w:val="auto"/>
        </w:rPr>
        <w:t>8</w:t>
      </w:r>
      <w:r w:rsidRPr="00C1603D">
        <w:t>. https://doi.org/10.4318/tjg.2010.0045</w:t>
      </w:r>
    </w:p>
    <w:p w14:paraId="183F7263" w14:textId="77777777" w:rsidR="00EF77DB" w:rsidRPr="00C1603D" w:rsidRDefault="00EF77DB" w:rsidP="00EF77DB">
      <w:pPr>
        <w:pStyle w:val="65ReferencesTextstylesTextstyles"/>
      </w:pPr>
      <w:r w:rsidRPr="00C1603D">
        <w:t>462.</w:t>
      </w:r>
      <w:r w:rsidRPr="00C1603D">
        <w:tab/>
        <w:t xml:space="preserve">Lampasona V, Bonfanti R, </w:t>
      </w:r>
      <w:proofErr w:type="spellStart"/>
      <w:r w:rsidRPr="00C1603D">
        <w:t>Bazzigaluppi</w:t>
      </w:r>
      <w:proofErr w:type="spellEnd"/>
      <w:r w:rsidRPr="00C1603D">
        <w:t xml:space="preserve"> E, </w:t>
      </w:r>
      <w:proofErr w:type="spellStart"/>
      <w:r w:rsidRPr="00C1603D">
        <w:t>Venerando</w:t>
      </w:r>
      <w:proofErr w:type="spellEnd"/>
      <w:r w:rsidRPr="00C1603D">
        <w:t xml:space="preserve"> A, </w:t>
      </w:r>
      <w:proofErr w:type="spellStart"/>
      <w:r w:rsidRPr="00C1603D">
        <w:t>Chiumello</w:t>
      </w:r>
      <w:proofErr w:type="spellEnd"/>
      <w:r w:rsidRPr="00C1603D">
        <w:t xml:space="preserve"> G, </w:t>
      </w:r>
      <w:proofErr w:type="spellStart"/>
      <w:r w:rsidRPr="00C1603D">
        <w:t>Bosi</w:t>
      </w:r>
      <w:proofErr w:type="spellEnd"/>
      <w:r w:rsidRPr="00C1603D">
        <w:t xml:space="preserve"> E, Bonifacio E. Antibodies to tissue transglutaminase C in type I diabetes. </w:t>
      </w:r>
      <w:proofErr w:type="spellStart"/>
      <w:r w:rsidRPr="00C1603D">
        <w:rPr>
          <w:i/>
        </w:rPr>
        <w:t>Diabetologia</w:t>
      </w:r>
      <w:proofErr w:type="spellEnd"/>
      <w:r w:rsidRPr="00C1603D">
        <w:t xml:space="preserve"> 1999;</w:t>
      </w:r>
      <w:r w:rsidRPr="00C1603D">
        <w:rPr>
          <w:b/>
        </w:rPr>
        <w:t>42</w:t>
      </w:r>
      <w:r w:rsidRPr="00C1603D">
        <w:t>:</w:t>
      </w:r>
      <w:r w:rsidRPr="00C1603D">
        <w:rPr>
          <w:color w:val="auto"/>
        </w:rPr>
        <w:t>1195</w:t>
      </w:r>
      <w:r w:rsidRPr="00C1603D">
        <w:rPr>
          <w:color w:val="00B0F0"/>
        </w:rPr>
        <w:t>–</w:t>
      </w:r>
      <w:r w:rsidRPr="00C1603D">
        <w:rPr>
          <w:color w:val="auto"/>
        </w:rPr>
        <w:t>8</w:t>
      </w:r>
      <w:r w:rsidRPr="00C1603D">
        <w:t>.</w:t>
      </w:r>
    </w:p>
    <w:p w14:paraId="55140E44" w14:textId="77777777" w:rsidR="00EF77DB" w:rsidRPr="00C1603D" w:rsidRDefault="00EF77DB" w:rsidP="00EF77DB">
      <w:pPr>
        <w:pStyle w:val="65ReferencesTextstylesTextstyles"/>
      </w:pPr>
      <w:r w:rsidRPr="00C1603D">
        <w:t>463.</w:t>
      </w:r>
      <w:r w:rsidRPr="00C1603D">
        <w:tab/>
        <w:t xml:space="preserve">Sharifi N, </w:t>
      </w:r>
      <w:proofErr w:type="spellStart"/>
      <w:r w:rsidRPr="00C1603D">
        <w:t>Khoshbaten</w:t>
      </w:r>
      <w:proofErr w:type="spellEnd"/>
      <w:r w:rsidRPr="00C1603D">
        <w:t xml:space="preserve"> M, </w:t>
      </w:r>
      <w:proofErr w:type="spellStart"/>
      <w:r w:rsidRPr="00C1603D">
        <w:t>Aliasgarzade</w:t>
      </w:r>
      <w:proofErr w:type="spellEnd"/>
      <w:r w:rsidRPr="00C1603D">
        <w:t xml:space="preserve"> A, </w:t>
      </w:r>
      <w:proofErr w:type="spellStart"/>
      <w:r w:rsidRPr="00C1603D">
        <w:t>Bahrami</w:t>
      </w:r>
      <w:proofErr w:type="spellEnd"/>
      <w:r w:rsidRPr="00C1603D">
        <w:t xml:space="preserve"> A. Celiac disease in patients with type-1 diabetes mellitus screened by tissue transglutaminase antibodies in northwest of Iran. </w:t>
      </w:r>
      <w:r w:rsidRPr="00C1603D">
        <w:rPr>
          <w:i/>
        </w:rPr>
        <w:t xml:space="preserve">Int J Diabetes Dev </w:t>
      </w:r>
      <w:proofErr w:type="spellStart"/>
      <w:r w:rsidRPr="00C1603D">
        <w:rPr>
          <w:i/>
        </w:rPr>
        <w:t>Ctries</w:t>
      </w:r>
      <w:proofErr w:type="spellEnd"/>
      <w:r w:rsidRPr="00C1603D">
        <w:t xml:space="preserve"> 2008;</w:t>
      </w:r>
      <w:r w:rsidRPr="00C1603D">
        <w:rPr>
          <w:b/>
        </w:rPr>
        <w:t>28</w:t>
      </w:r>
      <w:r w:rsidRPr="00C1603D">
        <w:t>:</w:t>
      </w:r>
      <w:r w:rsidRPr="00C1603D">
        <w:rPr>
          <w:color w:val="auto"/>
        </w:rPr>
        <w:t>95</w:t>
      </w:r>
      <w:r w:rsidRPr="00C1603D">
        <w:rPr>
          <w:color w:val="00B0F0"/>
        </w:rPr>
        <w:t>–</w:t>
      </w:r>
      <w:r w:rsidRPr="00C1603D">
        <w:rPr>
          <w:color w:val="auto"/>
        </w:rPr>
        <w:t>9</w:t>
      </w:r>
      <w:r w:rsidRPr="00C1603D">
        <w:t>. https://doi.org/10.4103/0973-3930.44081</w:t>
      </w:r>
    </w:p>
    <w:p w14:paraId="7D74196C" w14:textId="0BE67746" w:rsidR="00EF77DB" w:rsidRPr="00C1603D" w:rsidRDefault="43B69CA3" w:rsidP="00EF77DB">
      <w:pPr>
        <w:pStyle w:val="65ReferencesTextstylesTextstyles"/>
      </w:pPr>
      <w:r w:rsidRPr="00C1603D">
        <w:t>464.</w:t>
      </w:r>
      <w:r w:rsidR="00EF77DB" w:rsidRPr="00C1603D">
        <w:tab/>
      </w:r>
      <w:commentRangeStart w:id="552"/>
      <w:commentRangeStart w:id="553"/>
      <w:proofErr w:type="spellStart"/>
      <w:r w:rsidRPr="00C1603D">
        <w:t>Sheikholeslami</w:t>
      </w:r>
      <w:proofErr w:type="spellEnd"/>
      <w:r w:rsidRPr="00C1603D">
        <w:t xml:space="preserve"> H, </w:t>
      </w:r>
      <w:proofErr w:type="spellStart"/>
      <w:r w:rsidRPr="00C1603D">
        <w:t>Boostani</w:t>
      </w:r>
      <w:proofErr w:type="spellEnd"/>
      <w:r w:rsidRPr="00C1603D">
        <w:t xml:space="preserve"> K, </w:t>
      </w:r>
      <w:proofErr w:type="spellStart"/>
      <w:r w:rsidRPr="00C1603D">
        <w:t>Hashemipoor</w:t>
      </w:r>
      <w:proofErr w:type="spellEnd"/>
      <w:r w:rsidRPr="00C1603D">
        <w:t xml:space="preserve"> S, </w:t>
      </w:r>
      <w:proofErr w:type="spellStart"/>
      <w:r w:rsidRPr="00C1603D">
        <w:t>Hadjmanoochehri</w:t>
      </w:r>
      <w:proofErr w:type="spellEnd"/>
      <w:r w:rsidRPr="00C1603D">
        <w:t xml:space="preserve"> F, </w:t>
      </w:r>
      <w:proofErr w:type="spellStart"/>
      <w:r w:rsidRPr="00C1603D">
        <w:t>Ziaee</w:t>
      </w:r>
      <w:proofErr w:type="spellEnd"/>
      <w:r w:rsidRPr="00C1603D">
        <w:t xml:space="preserve"> A. Prevalence of celiac disease in type1 diabetic patients comparing with nondiabetic healthy individuals. </w:t>
      </w:r>
      <w:r w:rsidRPr="00C1603D">
        <w:rPr>
          <w:i/>
          <w:iCs/>
        </w:rPr>
        <w:t xml:space="preserve">J Iran Diabetes Lipid </w:t>
      </w:r>
      <w:r w:rsidRPr="00C1603D">
        <w:t>2005;</w:t>
      </w:r>
      <w:r w:rsidRPr="00C1603D">
        <w:rPr>
          <w:b/>
          <w:bCs/>
        </w:rPr>
        <w:t>4</w:t>
      </w:r>
      <w:r w:rsidRPr="00C1603D">
        <w:t>:49–55.</w:t>
      </w:r>
      <w:commentRangeEnd w:id="552"/>
      <w:r w:rsidR="00EF77DB" w:rsidRPr="00C1603D">
        <w:commentReference w:id="552"/>
      </w:r>
      <w:commentRangeEnd w:id="553"/>
      <w:r w:rsidR="00EF77DB" w:rsidRPr="00C1603D">
        <w:commentReference w:id="553"/>
      </w:r>
    </w:p>
    <w:p w14:paraId="6A003274" w14:textId="77777777" w:rsidR="00EF77DB" w:rsidRPr="00C1603D" w:rsidRDefault="00EF77DB" w:rsidP="00EF77DB">
      <w:pPr>
        <w:pStyle w:val="65ReferencesTextstylesTextstyles"/>
      </w:pPr>
      <w:r w:rsidRPr="00C1603D">
        <w:t>465.</w:t>
      </w:r>
      <w:r w:rsidRPr="00C1603D">
        <w:tab/>
      </w:r>
      <w:proofErr w:type="spellStart"/>
      <w:r w:rsidRPr="00C1603D">
        <w:t>Kizilgul</w:t>
      </w:r>
      <w:proofErr w:type="spellEnd"/>
      <w:r w:rsidRPr="00C1603D">
        <w:t xml:space="preserve"> M, </w:t>
      </w:r>
      <w:proofErr w:type="spellStart"/>
      <w:r w:rsidRPr="00C1603D">
        <w:t>Ozcelik</w:t>
      </w:r>
      <w:proofErr w:type="spellEnd"/>
      <w:r w:rsidRPr="00C1603D">
        <w:t xml:space="preserve"> O, </w:t>
      </w:r>
      <w:proofErr w:type="spellStart"/>
      <w:r w:rsidRPr="00C1603D">
        <w:t>Beysel</w:t>
      </w:r>
      <w:proofErr w:type="spellEnd"/>
      <w:r w:rsidRPr="00C1603D">
        <w:t xml:space="preserve"> S, Akinci H, Kan S, </w:t>
      </w:r>
      <w:proofErr w:type="spellStart"/>
      <w:r w:rsidRPr="00C1603D">
        <w:t>Ucan</w:t>
      </w:r>
      <w:proofErr w:type="spellEnd"/>
      <w:r w:rsidRPr="00C1603D">
        <w:t xml:space="preserve"> B, </w:t>
      </w:r>
      <w:r w:rsidRPr="00C1603D">
        <w:rPr>
          <w:i/>
        </w:rPr>
        <w:t>et al</w:t>
      </w:r>
      <w:r w:rsidRPr="00C1603D">
        <w:t xml:space="preserve">. Screening for celiac disease in poorly controlled type 2 diabetes mellitus: worth it or not? </w:t>
      </w:r>
      <w:r w:rsidRPr="00C1603D">
        <w:rPr>
          <w:i/>
        </w:rPr>
        <w:t xml:space="preserve">BMC </w:t>
      </w:r>
      <w:proofErr w:type="spellStart"/>
      <w:r w:rsidRPr="00C1603D">
        <w:rPr>
          <w:i/>
        </w:rPr>
        <w:t>Endocr</w:t>
      </w:r>
      <w:proofErr w:type="spellEnd"/>
      <w:r w:rsidRPr="00C1603D">
        <w:rPr>
          <w:i/>
        </w:rPr>
        <w:t xml:space="preserve"> </w:t>
      </w:r>
      <w:proofErr w:type="spellStart"/>
      <w:r w:rsidRPr="00C1603D">
        <w:rPr>
          <w:i/>
        </w:rPr>
        <w:t>Disord</w:t>
      </w:r>
      <w:proofErr w:type="spellEnd"/>
      <w:r w:rsidRPr="00C1603D">
        <w:t xml:space="preserve"> 2017;</w:t>
      </w:r>
      <w:r w:rsidRPr="00C1603D">
        <w:rPr>
          <w:b/>
        </w:rPr>
        <w:t>17</w:t>
      </w:r>
      <w:r w:rsidRPr="00C1603D">
        <w:t>:</w:t>
      </w:r>
      <w:r w:rsidRPr="00C1603D">
        <w:rPr>
          <w:color w:val="auto"/>
        </w:rPr>
        <w:t>62</w:t>
      </w:r>
      <w:r w:rsidRPr="00C1603D">
        <w:t>. https://doi.org/10.1186/s12902-017-0212-4</w:t>
      </w:r>
    </w:p>
    <w:p w14:paraId="249C6D79" w14:textId="0BF67D79" w:rsidR="00EF77DB" w:rsidRPr="00C1603D" w:rsidRDefault="00EF77DB" w:rsidP="00EF77DB">
      <w:pPr>
        <w:pStyle w:val="65ReferencesTextstylesTextstyles"/>
      </w:pPr>
      <w:r w:rsidRPr="00C1603D">
        <w:t>466.</w:t>
      </w:r>
      <w:r w:rsidRPr="00C1603D">
        <w:tab/>
      </w:r>
      <w:proofErr w:type="spellStart"/>
      <w:r w:rsidRPr="00C1603D">
        <w:t>Szepietowska</w:t>
      </w:r>
      <w:proofErr w:type="spellEnd"/>
      <w:r w:rsidRPr="00C1603D">
        <w:t xml:space="preserve"> B, </w:t>
      </w:r>
      <w:proofErr w:type="spellStart"/>
      <w:r w:rsidRPr="00C1603D">
        <w:t>Wawrusiewicz-Kurylonek</w:t>
      </w:r>
      <w:proofErr w:type="spellEnd"/>
      <w:r w:rsidRPr="00C1603D">
        <w:t xml:space="preserve"> N, </w:t>
      </w:r>
      <w:proofErr w:type="spellStart"/>
      <w:r w:rsidRPr="00C1603D">
        <w:t>Kr</w:t>
      </w:r>
      <w:r w:rsidRPr="00C1603D">
        <w:rPr>
          <w:rFonts w:ascii="Cambria" w:hAnsi="Cambria" w:cs="Cambria"/>
        </w:rPr>
        <w:t>ę</w:t>
      </w:r>
      <w:r w:rsidRPr="00C1603D">
        <w:t>towski</w:t>
      </w:r>
      <w:proofErr w:type="spellEnd"/>
      <w:r w:rsidRPr="00C1603D">
        <w:t xml:space="preserve"> A, </w:t>
      </w:r>
      <w:proofErr w:type="spellStart"/>
      <w:r w:rsidRPr="00C1603D">
        <w:t>Górska</w:t>
      </w:r>
      <w:proofErr w:type="spellEnd"/>
      <w:r w:rsidRPr="00C1603D">
        <w:t xml:space="preserve"> M, </w:t>
      </w:r>
      <w:proofErr w:type="spellStart"/>
      <w:r w:rsidRPr="00C1603D">
        <w:t>Szelachowska</w:t>
      </w:r>
      <w:proofErr w:type="spellEnd"/>
      <w:r w:rsidRPr="00C1603D">
        <w:t xml:space="preserve"> M. Endocrine autoimmunity in patients with </w:t>
      </w:r>
      <w:r w:rsidR="00CA799C" w:rsidRPr="00C1603D">
        <w:t xml:space="preserve">latent autoimmune diabetes in adults </w:t>
      </w:r>
      <w:r w:rsidRPr="00C1603D">
        <w:t xml:space="preserve">(LADA) — association with HLA genotype. </w:t>
      </w:r>
      <w:proofErr w:type="spellStart"/>
      <w:r w:rsidRPr="00C1603D">
        <w:rPr>
          <w:i/>
        </w:rPr>
        <w:t>Endokrynol</w:t>
      </w:r>
      <w:proofErr w:type="spellEnd"/>
      <w:r w:rsidRPr="00C1603D">
        <w:rPr>
          <w:i/>
        </w:rPr>
        <w:t xml:space="preserve"> Pol</w:t>
      </w:r>
      <w:r w:rsidRPr="00C1603D">
        <w:t xml:space="preserve"> 2016;</w:t>
      </w:r>
      <w:r w:rsidRPr="00C1603D">
        <w:rPr>
          <w:b/>
        </w:rPr>
        <w:t>67</w:t>
      </w:r>
      <w:r w:rsidRPr="00C1603D">
        <w:t>:</w:t>
      </w:r>
      <w:r w:rsidRPr="00C1603D">
        <w:rPr>
          <w:color w:val="auto"/>
        </w:rPr>
        <w:t>197</w:t>
      </w:r>
      <w:r w:rsidRPr="00C1603D">
        <w:rPr>
          <w:color w:val="00B0F0"/>
        </w:rPr>
        <w:t>–</w:t>
      </w:r>
      <w:r w:rsidRPr="00C1603D">
        <w:rPr>
          <w:color w:val="auto"/>
        </w:rPr>
        <w:t>201</w:t>
      </w:r>
      <w:r w:rsidRPr="00C1603D">
        <w:t>. https://doi.org/10.5603/EP.a2016.0017</w:t>
      </w:r>
    </w:p>
    <w:p w14:paraId="202092ED" w14:textId="77777777" w:rsidR="00EF77DB" w:rsidRPr="00C1603D" w:rsidRDefault="00EF77DB" w:rsidP="00EF77DB">
      <w:pPr>
        <w:pStyle w:val="65ReferencesTextstylesTextstyles"/>
      </w:pPr>
      <w:r w:rsidRPr="00C1603D">
        <w:t>467.</w:t>
      </w:r>
      <w:r w:rsidRPr="00C1603D">
        <w:tab/>
      </w:r>
      <w:proofErr w:type="spellStart"/>
      <w:r w:rsidRPr="00C1603D">
        <w:t>Ravaglia</w:t>
      </w:r>
      <w:proofErr w:type="spellEnd"/>
      <w:r w:rsidRPr="00C1603D">
        <w:t xml:space="preserve"> G, Forti P, </w:t>
      </w:r>
      <w:proofErr w:type="spellStart"/>
      <w:r w:rsidRPr="00C1603D">
        <w:t>Maioli</w:t>
      </w:r>
      <w:proofErr w:type="spellEnd"/>
      <w:r w:rsidRPr="00C1603D">
        <w:t xml:space="preserve"> F, Volta U, Arnone G, </w:t>
      </w:r>
      <w:proofErr w:type="spellStart"/>
      <w:r w:rsidRPr="00C1603D">
        <w:t>Pantieri</w:t>
      </w:r>
      <w:proofErr w:type="spellEnd"/>
      <w:r w:rsidRPr="00C1603D">
        <w:t xml:space="preserve"> G, </w:t>
      </w:r>
      <w:r w:rsidRPr="00C1603D">
        <w:rPr>
          <w:i/>
        </w:rPr>
        <w:t>et al</w:t>
      </w:r>
      <w:r w:rsidRPr="00C1603D">
        <w:t xml:space="preserve">. Increased prevalence of coeliac disease in autoimmune thyroiditis is restricted to aged patients. </w:t>
      </w:r>
      <w:r w:rsidRPr="00C1603D">
        <w:rPr>
          <w:i/>
        </w:rPr>
        <w:t xml:space="preserve">Exp </w:t>
      </w:r>
      <w:proofErr w:type="spellStart"/>
      <w:r w:rsidRPr="00C1603D">
        <w:rPr>
          <w:i/>
        </w:rPr>
        <w:t>Gerontol</w:t>
      </w:r>
      <w:proofErr w:type="spellEnd"/>
      <w:r w:rsidRPr="00C1603D">
        <w:t xml:space="preserve"> 2003;</w:t>
      </w:r>
      <w:r w:rsidRPr="00C1603D">
        <w:rPr>
          <w:b/>
        </w:rPr>
        <w:t>38</w:t>
      </w:r>
      <w:r w:rsidRPr="00C1603D">
        <w:t>:</w:t>
      </w:r>
      <w:r w:rsidRPr="00C1603D">
        <w:rPr>
          <w:color w:val="auto"/>
        </w:rPr>
        <w:t>589</w:t>
      </w:r>
      <w:r w:rsidRPr="00C1603D">
        <w:rPr>
          <w:color w:val="00B0F0"/>
        </w:rPr>
        <w:t>–</w:t>
      </w:r>
      <w:r w:rsidRPr="00C1603D">
        <w:rPr>
          <w:color w:val="auto"/>
        </w:rPr>
        <w:t>95</w:t>
      </w:r>
      <w:r w:rsidRPr="00C1603D">
        <w:t>.</w:t>
      </w:r>
    </w:p>
    <w:p w14:paraId="1CB14B04" w14:textId="5C56923C" w:rsidR="00EF77DB" w:rsidRPr="00C1603D" w:rsidRDefault="00EF77DB" w:rsidP="00EF77DB">
      <w:pPr>
        <w:pStyle w:val="65ReferencesTextstylesTextstyles"/>
      </w:pPr>
      <w:r w:rsidRPr="00C1603D">
        <w:t>468.</w:t>
      </w:r>
      <w:r w:rsidRPr="00C1603D">
        <w:tab/>
      </w:r>
      <w:proofErr w:type="spellStart"/>
      <w:r w:rsidRPr="00C1603D">
        <w:t>Riseh</w:t>
      </w:r>
      <w:proofErr w:type="spellEnd"/>
      <w:r w:rsidRPr="00C1603D">
        <w:t xml:space="preserve"> SH, </w:t>
      </w:r>
      <w:proofErr w:type="spellStart"/>
      <w:r w:rsidRPr="00C1603D">
        <w:t>Farhang</w:t>
      </w:r>
      <w:proofErr w:type="spellEnd"/>
      <w:r w:rsidRPr="00C1603D">
        <w:t xml:space="preserve"> MA, </w:t>
      </w:r>
      <w:proofErr w:type="spellStart"/>
      <w:r w:rsidRPr="00C1603D">
        <w:t>Mobasseri</w:t>
      </w:r>
      <w:proofErr w:type="spellEnd"/>
      <w:r w:rsidRPr="00C1603D">
        <w:t xml:space="preserve"> M, </w:t>
      </w:r>
      <w:proofErr w:type="spellStart"/>
      <w:r w:rsidRPr="00C1603D">
        <w:t>Jafarabadi</w:t>
      </w:r>
      <w:proofErr w:type="spellEnd"/>
      <w:r w:rsidRPr="00C1603D">
        <w:t xml:space="preserve"> MA. </w:t>
      </w:r>
      <w:r w:rsidR="00CA799C" w:rsidRPr="00C1603D">
        <w:t>The relationship between thyroid hormones, antithyroid antibodies, anti-tissue transglutaminase and anti-gliadin antibodies in patients with Hashimoto’s thyroiditis</w:t>
      </w:r>
      <w:r w:rsidRPr="00C1603D">
        <w:t xml:space="preserve">. </w:t>
      </w:r>
      <w:r w:rsidRPr="00C1603D">
        <w:rPr>
          <w:i/>
        </w:rPr>
        <w:t>Acta</w:t>
      </w:r>
      <w:r w:rsidRPr="00C1603D">
        <w:t xml:space="preserve"> </w:t>
      </w:r>
      <w:r w:rsidRPr="00C1603D">
        <w:rPr>
          <w:i/>
        </w:rPr>
        <w:t>Endocrinol</w:t>
      </w:r>
      <w:r w:rsidR="003A54A1" w:rsidRPr="00C1603D">
        <w:rPr>
          <w:i/>
        </w:rPr>
        <w:t xml:space="preserve"> </w:t>
      </w:r>
      <w:r w:rsidRPr="00C1603D">
        <w:t>2017;</w:t>
      </w:r>
      <w:r w:rsidRPr="00C1603D">
        <w:rPr>
          <w:b/>
        </w:rPr>
        <w:t>13</w:t>
      </w:r>
      <w:r w:rsidRPr="00C1603D">
        <w:t>:174</w:t>
      </w:r>
      <w:r w:rsidR="003A54A1" w:rsidRPr="00C1603D">
        <w:t>–</w:t>
      </w:r>
      <w:r w:rsidRPr="00C1603D">
        <w:t>9.</w:t>
      </w:r>
    </w:p>
    <w:p w14:paraId="5897A5C7" w14:textId="655A01BE" w:rsidR="00EF77DB" w:rsidRPr="00C1603D" w:rsidRDefault="00EF77DB" w:rsidP="00EF77DB">
      <w:pPr>
        <w:pStyle w:val="65ReferencesTextstylesTextstyles"/>
      </w:pPr>
      <w:r w:rsidRPr="00C1603D">
        <w:t>469.</w:t>
      </w:r>
      <w:r w:rsidRPr="00C1603D">
        <w:tab/>
      </w:r>
      <w:proofErr w:type="spellStart"/>
      <w:r w:rsidRPr="00C1603D">
        <w:t>Miskiewicz</w:t>
      </w:r>
      <w:proofErr w:type="spellEnd"/>
      <w:r w:rsidRPr="00C1603D">
        <w:t xml:space="preserve"> P, </w:t>
      </w:r>
      <w:proofErr w:type="spellStart"/>
      <w:r w:rsidRPr="00C1603D">
        <w:t>Gos</w:t>
      </w:r>
      <w:proofErr w:type="spellEnd"/>
      <w:r w:rsidRPr="00C1603D">
        <w:t xml:space="preserve">-Zajac A, </w:t>
      </w:r>
      <w:proofErr w:type="spellStart"/>
      <w:r w:rsidRPr="00C1603D">
        <w:t>Kurylowicz</w:t>
      </w:r>
      <w:proofErr w:type="spellEnd"/>
      <w:r w:rsidRPr="00C1603D">
        <w:t xml:space="preserve"> A, </w:t>
      </w:r>
      <w:proofErr w:type="spellStart"/>
      <w:r w:rsidRPr="00C1603D">
        <w:t>Plazinska</w:t>
      </w:r>
      <w:proofErr w:type="spellEnd"/>
      <w:r w:rsidRPr="00C1603D">
        <w:t xml:space="preserve"> TM, </w:t>
      </w:r>
      <w:proofErr w:type="spellStart"/>
      <w:r w:rsidRPr="00C1603D">
        <w:t>Franaszczyk</w:t>
      </w:r>
      <w:proofErr w:type="spellEnd"/>
      <w:r w:rsidRPr="00C1603D">
        <w:t xml:space="preserve"> M, </w:t>
      </w:r>
      <w:proofErr w:type="spellStart"/>
      <w:r w:rsidRPr="00C1603D">
        <w:t>Bartoszewicz</w:t>
      </w:r>
      <w:proofErr w:type="spellEnd"/>
      <w:r w:rsidRPr="00C1603D">
        <w:t xml:space="preserve"> Z, </w:t>
      </w:r>
      <w:r w:rsidRPr="00C1603D">
        <w:rPr>
          <w:i/>
        </w:rPr>
        <w:t>et al</w:t>
      </w:r>
      <w:r w:rsidRPr="00C1603D">
        <w:t xml:space="preserve">. HLA DQ2 </w:t>
      </w:r>
      <w:r w:rsidR="003A54A1" w:rsidRPr="00C1603D">
        <w:t xml:space="preserve">haplotype, early onset of </w:t>
      </w:r>
      <w:r w:rsidR="00852DB3" w:rsidRPr="00C1603D">
        <w:t xml:space="preserve">Graves’ </w:t>
      </w:r>
      <w:r w:rsidR="003A54A1" w:rsidRPr="00C1603D">
        <w:t xml:space="preserve">disease, and positive family history of autoimmune disorders are risk factors for developing celiac disease in patients with </w:t>
      </w:r>
      <w:r w:rsidR="00852DB3" w:rsidRPr="00C1603D">
        <w:t xml:space="preserve">Graves’ </w:t>
      </w:r>
      <w:r w:rsidR="003A54A1" w:rsidRPr="00C1603D">
        <w:t>disease</w:t>
      </w:r>
      <w:r w:rsidRPr="00C1603D">
        <w:t xml:space="preserve">. </w:t>
      </w:r>
      <w:proofErr w:type="spellStart"/>
      <w:r w:rsidRPr="00C1603D">
        <w:rPr>
          <w:i/>
        </w:rPr>
        <w:t>Endocr</w:t>
      </w:r>
      <w:proofErr w:type="spellEnd"/>
      <w:r w:rsidRPr="00C1603D">
        <w:rPr>
          <w:i/>
        </w:rPr>
        <w:t xml:space="preserve"> </w:t>
      </w:r>
      <w:proofErr w:type="spellStart"/>
      <w:r w:rsidRPr="00C1603D">
        <w:rPr>
          <w:i/>
        </w:rPr>
        <w:t>Pract</w:t>
      </w:r>
      <w:proofErr w:type="spellEnd"/>
      <w:r w:rsidRPr="00C1603D">
        <w:t xml:space="preserve"> 2015;</w:t>
      </w:r>
      <w:r w:rsidRPr="00C1603D">
        <w:rPr>
          <w:b/>
        </w:rPr>
        <w:t>21</w:t>
      </w:r>
      <w:r w:rsidRPr="00C1603D">
        <w:t>:</w:t>
      </w:r>
      <w:r w:rsidRPr="00C1603D">
        <w:rPr>
          <w:color w:val="auto"/>
        </w:rPr>
        <w:t>993</w:t>
      </w:r>
      <w:r w:rsidRPr="00C1603D">
        <w:rPr>
          <w:color w:val="00B0F0"/>
        </w:rPr>
        <w:t>–</w:t>
      </w:r>
      <w:proofErr w:type="gramStart"/>
      <w:r w:rsidRPr="00C1603D">
        <w:rPr>
          <w:color w:val="auto"/>
        </w:rPr>
        <w:t>1000</w:t>
      </w:r>
      <w:proofErr w:type="gramEnd"/>
      <w:r w:rsidRPr="00C1603D">
        <w:t>. https://doi.org/10.4158/EP15700.OR</w:t>
      </w:r>
    </w:p>
    <w:p w14:paraId="4CBFAE84" w14:textId="77777777" w:rsidR="00EF77DB" w:rsidRPr="00C1603D" w:rsidRDefault="00EF77DB" w:rsidP="00EF77DB">
      <w:pPr>
        <w:pStyle w:val="65ReferencesTextstylesTextstyles"/>
      </w:pPr>
      <w:r w:rsidRPr="00C1603D">
        <w:t>470.</w:t>
      </w:r>
      <w:r w:rsidRPr="00C1603D">
        <w:tab/>
      </w:r>
      <w:proofErr w:type="spellStart"/>
      <w:r w:rsidRPr="00C1603D">
        <w:t>Berti</w:t>
      </w:r>
      <w:proofErr w:type="spellEnd"/>
      <w:r w:rsidRPr="00C1603D">
        <w:t xml:space="preserve"> I, </w:t>
      </w:r>
      <w:proofErr w:type="spellStart"/>
      <w:r w:rsidRPr="00C1603D">
        <w:t>Trevisiol</w:t>
      </w:r>
      <w:proofErr w:type="spellEnd"/>
      <w:r w:rsidRPr="00C1603D">
        <w:t xml:space="preserve"> C, </w:t>
      </w:r>
      <w:proofErr w:type="spellStart"/>
      <w:r w:rsidRPr="00C1603D">
        <w:t>Tommasini</w:t>
      </w:r>
      <w:proofErr w:type="spellEnd"/>
      <w:r w:rsidRPr="00C1603D">
        <w:t xml:space="preserve"> A, </w:t>
      </w:r>
      <w:proofErr w:type="spellStart"/>
      <w:r w:rsidRPr="00C1603D">
        <w:t>Città</w:t>
      </w:r>
      <w:proofErr w:type="spellEnd"/>
      <w:r w:rsidRPr="00C1603D">
        <w:t xml:space="preserve"> A, </w:t>
      </w:r>
      <w:proofErr w:type="spellStart"/>
      <w:r w:rsidRPr="00C1603D">
        <w:t>Neri</w:t>
      </w:r>
      <w:proofErr w:type="spellEnd"/>
      <w:r w:rsidRPr="00C1603D">
        <w:t xml:space="preserve"> E, </w:t>
      </w:r>
      <w:proofErr w:type="spellStart"/>
      <w:r w:rsidRPr="00C1603D">
        <w:t>Geatti</w:t>
      </w:r>
      <w:proofErr w:type="spellEnd"/>
      <w:r w:rsidRPr="00C1603D">
        <w:t xml:space="preserve"> O, </w:t>
      </w:r>
      <w:r w:rsidRPr="00C1603D">
        <w:rPr>
          <w:i/>
        </w:rPr>
        <w:t>et al</w:t>
      </w:r>
      <w:r w:rsidRPr="00C1603D">
        <w:t xml:space="preserve">. Usefulness of screening program for celiac disease in autoimmune thyroiditis. </w:t>
      </w:r>
      <w:r w:rsidRPr="00C1603D">
        <w:rPr>
          <w:i/>
        </w:rPr>
        <w:t>Dig Dis Sci</w:t>
      </w:r>
      <w:r w:rsidRPr="00C1603D">
        <w:t xml:space="preserve"> 2000;</w:t>
      </w:r>
      <w:r w:rsidRPr="00C1603D">
        <w:rPr>
          <w:b/>
        </w:rPr>
        <w:t>45</w:t>
      </w:r>
      <w:r w:rsidRPr="00C1603D">
        <w:t>:</w:t>
      </w:r>
      <w:r w:rsidRPr="00C1603D">
        <w:rPr>
          <w:color w:val="auto"/>
        </w:rPr>
        <w:t>403</w:t>
      </w:r>
      <w:r w:rsidRPr="00C1603D">
        <w:rPr>
          <w:color w:val="00B0F0"/>
        </w:rPr>
        <w:t>–</w:t>
      </w:r>
      <w:r w:rsidRPr="00C1603D">
        <w:rPr>
          <w:color w:val="auto"/>
        </w:rPr>
        <w:t>6</w:t>
      </w:r>
      <w:r w:rsidRPr="00C1603D">
        <w:t>. https://doi.org/10.1023/a:1005441400107</w:t>
      </w:r>
    </w:p>
    <w:p w14:paraId="7096D504" w14:textId="77777777" w:rsidR="00EF77DB" w:rsidRPr="00C1603D" w:rsidRDefault="00EF77DB" w:rsidP="00EF77DB">
      <w:pPr>
        <w:pStyle w:val="65ReferencesTextstylesTextstyles"/>
      </w:pPr>
      <w:r w:rsidRPr="00C1603D">
        <w:t>471.</w:t>
      </w:r>
      <w:r w:rsidRPr="00C1603D">
        <w:tab/>
      </w:r>
      <w:proofErr w:type="spellStart"/>
      <w:r w:rsidRPr="00C1603D">
        <w:t>Ch’ng</w:t>
      </w:r>
      <w:proofErr w:type="spellEnd"/>
      <w:r w:rsidRPr="00C1603D">
        <w:t xml:space="preserve"> CL, Biswas M, Benton A, Jones MK, </w:t>
      </w:r>
      <w:proofErr w:type="spellStart"/>
      <w:r w:rsidRPr="00C1603D">
        <w:t>Kingham</w:t>
      </w:r>
      <w:proofErr w:type="spellEnd"/>
      <w:r w:rsidRPr="00C1603D">
        <w:t xml:space="preserve"> JG. Prospective screening for coeliac disease in patients with Graves’ hyperthyroidism using anti-gliadin and tissue transglutaminase antibodies. </w:t>
      </w:r>
      <w:r w:rsidRPr="00C1603D">
        <w:rPr>
          <w:i/>
        </w:rPr>
        <w:t>Clin Endocrinol</w:t>
      </w:r>
      <w:r w:rsidRPr="00C1603D">
        <w:t xml:space="preserve"> 2005;</w:t>
      </w:r>
      <w:r w:rsidRPr="00C1603D">
        <w:rPr>
          <w:b/>
        </w:rPr>
        <w:t>62</w:t>
      </w:r>
      <w:r w:rsidRPr="00C1603D">
        <w:t>:</w:t>
      </w:r>
      <w:r w:rsidRPr="00C1603D">
        <w:rPr>
          <w:color w:val="auto"/>
        </w:rPr>
        <w:t>303</w:t>
      </w:r>
      <w:r w:rsidRPr="00C1603D">
        <w:rPr>
          <w:color w:val="00B0F0"/>
        </w:rPr>
        <w:t>–</w:t>
      </w:r>
      <w:r w:rsidRPr="00C1603D">
        <w:rPr>
          <w:color w:val="auto"/>
        </w:rPr>
        <w:t>6</w:t>
      </w:r>
      <w:r w:rsidRPr="00C1603D">
        <w:t>.</w:t>
      </w:r>
    </w:p>
    <w:p w14:paraId="6576FD33" w14:textId="77777777" w:rsidR="00EF77DB" w:rsidRPr="00C1603D" w:rsidRDefault="00EF77DB" w:rsidP="00EF77DB">
      <w:pPr>
        <w:pStyle w:val="65ReferencesTextstylesTextstyles"/>
      </w:pPr>
      <w:r w:rsidRPr="00C1603D">
        <w:t>472.</w:t>
      </w:r>
      <w:r w:rsidRPr="00C1603D">
        <w:tab/>
      </w:r>
      <w:proofErr w:type="spellStart"/>
      <w:r w:rsidRPr="00C1603D">
        <w:t>Guliter</w:t>
      </w:r>
      <w:proofErr w:type="spellEnd"/>
      <w:r w:rsidRPr="00C1603D">
        <w:t xml:space="preserve"> S, </w:t>
      </w:r>
      <w:proofErr w:type="spellStart"/>
      <w:r w:rsidRPr="00C1603D">
        <w:t>Yakaryilmaz</w:t>
      </w:r>
      <w:proofErr w:type="spellEnd"/>
      <w:r w:rsidRPr="00C1603D">
        <w:t xml:space="preserve"> F, </w:t>
      </w:r>
      <w:proofErr w:type="spellStart"/>
      <w:r w:rsidRPr="00C1603D">
        <w:t>Ozkurt</w:t>
      </w:r>
      <w:proofErr w:type="spellEnd"/>
      <w:r w:rsidRPr="00C1603D">
        <w:t xml:space="preserve"> Z, </w:t>
      </w:r>
      <w:proofErr w:type="spellStart"/>
      <w:r w:rsidRPr="00C1603D">
        <w:t>Ersoy</w:t>
      </w:r>
      <w:proofErr w:type="spellEnd"/>
      <w:r w:rsidRPr="00C1603D">
        <w:t xml:space="preserve"> R, </w:t>
      </w:r>
      <w:proofErr w:type="spellStart"/>
      <w:r w:rsidRPr="00C1603D">
        <w:t>Ucardag</w:t>
      </w:r>
      <w:proofErr w:type="spellEnd"/>
      <w:r w:rsidRPr="00C1603D">
        <w:t xml:space="preserve"> D, </w:t>
      </w:r>
      <w:proofErr w:type="spellStart"/>
      <w:r w:rsidRPr="00C1603D">
        <w:t>Caglayan</w:t>
      </w:r>
      <w:proofErr w:type="spellEnd"/>
      <w:r w:rsidRPr="00C1603D">
        <w:t xml:space="preserve"> O, </w:t>
      </w:r>
      <w:proofErr w:type="spellStart"/>
      <w:r w:rsidRPr="00C1603D">
        <w:t>Atasoy</w:t>
      </w:r>
      <w:proofErr w:type="spellEnd"/>
      <w:r w:rsidRPr="00C1603D">
        <w:t xml:space="preserve"> P. Prevalence of coeliac disease in patients with autoimmune thyroiditis in a Turkish population. </w:t>
      </w:r>
      <w:r w:rsidRPr="00C1603D">
        <w:rPr>
          <w:i/>
        </w:rPr>
        <w:t>World J Gastroenterol</w:t>
      </w:r>
      <w:r w:rsidRPr="00C1603D">
        <w:t xml:space="preserve"> 2007;</w:t>
      </w:r>
      <w:r w:rsidRPr="00C1603D">
        <w:rPr>
          <w:b/>
        </w:rPr>
        <w:t>13</w:t>
      </w:r>
      <w:r w:rsidRPr="00C1603D">
        <w:t>:</w:t>
      </w:r>
      <w:r w:rsidRPr="00C1603D">
        <w:rPr>
          <w:color w:val="auto"/>
        </w:rPr>
        <w:t>1599</w:t>
      </w:r>
      <w:r w:rsidRPr="00C1603D">
        <w:rPr>
          <w:color w:val="00B0F0"/>
        </w:rPr>
        <w:t>–</w:t>
      </w:r>
      <w:r w:rsidRPr="00C1603D">
        <w:rPr>
          <w:color w:val="auto"/>
        </w:rPr>
        <w:t>601</w:t>
      </w:r>
      <w:r w:rsidRPr="00C1603D">
        <w:t>.</w:t>
      </w:r>
    </w:p>
    <w:p w14:paraId="20DC8C62" w14:textId="77777777" w:rsidR="00EF77DB" w:rsidRPr="00C1603D" w:rsidRDefault="00EF77DB" w:rsidP="00EF77DB">
      <w:pPr>
        <w:pStyle w:val="65ReferencesTextstylesTextstyles"/>
      </w:pPr>
      <w:r w:rsidRPr="00C1603D">
        <w:t>473.</w:t>
      </w:r>
      <w:r w:rsidRPr="00C1603D">
        <w:tab/>
        <w:t xml:space="preserve">Volta U, </w:t>
      </w:r>
      <w:proofErr w:type="spellStart"/>
      <w:r w:rsidRPr="00C1603D">
        <w:t>Ravaglia</w:t>
      </w:r>
      <w:proofErr w:type="spellEnd"/>
      <w:r w:rsidRPr="00C1603D">
        <w:t xml:space="preserve"> G, </w:t>
      </w:r>
      <w:proofErr w:type="spellStart"/>
      <w:r w:rsidRPr="00C1603D">
        <w:t>Granito</w:t>
      </w:r>
      <w:proofErr w:type="spellEnd"/>
      <w:r w:rsidRPr="00C1603D">
        <w:t xml:space="preserve"> A, Forti P, </w:t>
      </w:r>
      <w:proofErr w:type="spellStart"/>
      <w:r w:rsidRPr="00C1603D">
        <w:t>Maioli</w:t>
      </w:r>
      <w:proofErr w:type="spellEnd"/>
      <w:r w:rsidRPr="00C1603D">
        <w:t xml:space="preserve"> F, </w:t>
      </w:r>
      <w:proofErr w:type="spellStart"/>
      <w:r w:rsidRPr="00C1603D">
        <w:t>Petrolini</w:t>
      </w:r>
      <w:proofErr w:type="spellEnd"/>
      <w:r w:rsidRPr="00C1603D">
        <w:t xml:space="preserve"> N, </w:t>
      </w:r>
      <w:r w:rsidRPr="00C1603D">
        <w:rPr>
          <w:i/>
        </w:rPr>
        <w:t>et al</w:t>
      </w:r>
      <w:r w:rsidRPr="00C1603D">
        <w:t xml:space="preserve">. Coeliac disease in patients with autoimmune thyroiditis. </w:t>
      </w:r>
      <w:r w:rsidRPr="00C1603D">
        <w:rPr>
          <w:i/>
        </w:rPr>
        <w:t>Digestion</w:t>
      </w:r>
      <w:r w:rsidRPr="00C1603D">
        <w:t xml:space="preserve"> 2001;</w:t>
      </w:r>
      <w:r w:rsidRPr="00C1603D">
        <w:rPr>
          <w:b/>
        </w:rPr>
        <w:t>64</w:t>
      </w:r>
      <w:r w:rsidRPr="00C1603D">
        <w:t>:</w:t>
      </w:r>
      <w:r w:rsidRPr="00C1603D">
        <w:rPr>
          <w:color w:val="auto"/>
        </w:rPr>
        <w:t>61</w:t>
      </w:r>
      <w:r w:rsidRPr="00C1603D">
        <w:rPr>
          <w:color w:val="00B0F0"/>
        </w:rPr>
        <w:t>–</w:t>
      </w:r>
      <w:r w:rsidRPr="00C1603D">
        <w:rPr>
          <w:color w:val="auto"/>
        </w:rPr>
        <w:t>5</w:t>
      </w:r>
      <w:r w:rsidRPr="00C1603D">
        <w:t>.</w:t>
      </w:r>
    </w:p>
    <w:p w14:paraId="480252EF" w14:textId="77777777" w:rsidR="00EF77DB" w:rsidRPr="00C1603D" w:rsidRDefault="00EF77DB" w:rsidP="00EF77DB">
      <w:pPr>
        <w:pStyle w:val="65ReferencesTextstylesTextstyles"/>
      </w:pPr>
      <w:r w:rsidRPr="00C1603D">
        <w:t>474.</w:t>
      </w:r>
      <w:r w:rsidRPr="00C1603D">
        <w:tab/>
        <w:t xml:space="preserve">Metzger MH, </w:t>
      </w:r>
      <w:proofErr w:type="spellStart"/>
      <w:r w:rsidRPr="00C1603D">
        <w:t>Heier</w:t>
      </w:r>
      <w:proofErr w:type="spellEnd"/>
      <w:r w:rsidRPr="00C1603D">
        <w:t xml:space="preserve"> M, Mäki M, </w:t>
      </w:r>
      <w:proofErr w:type="spellStart"/>
      <w:r w:rsidRPr="00C1603D">
        <w:t>Bravi</w:t>
      </w:r>
      <w:proofErr w:type="spellEnd"/>
      <w:r w:rsidRPr="00C1603D">
        <w:t xml:space="preserve"> E, Schneider A, </w:t>
      </w:r>
      <w:proofErr w:type="spellStart"/>
      <w:r w:rsidRPr="00C1603D">
        <w:t>Löwel</w:t>
      </w:r>
      <w:proofErr w:type="spellEnd"/>
      <w:r w:rsidRPr="00C1603D">
        <w:t xml:space="preserve"> H, </w:t>
      </w:r>
      <w:r w:rsidRPr="00C1603D">
        <w:rPr>
          <w:i/>
        </w:rPr>
        <w:t>et al</w:t>
      </w:r>
      <w:r w:rsidRPr="00C1603D">
        <w:t xml:space="preserve">. Mortality excess in individuals with elevated IgA anti-transglutaminase antibodies: the KORA/MONICA Augsburg cohort study 1989-1998. </w:t>
      </w:r>
      <w:proofErr w:type="spellStart"/>
      <w:r w:rsidRPr="00C1603D">
        <w:rPr>
          <w:i/>
        </w:rPr>
        <w:t>Eur</w:t>
      </w:r>
      <w:proofErr w:type="spellEnd"/>
      <w:r w:rsidRPr="00C1603D">
        <w:rPr>
          <w:i/>
        </w:rPr>
        <w:t xml:space="preserve"> J </w:t>
      </w:r>
      <w:proofErr w:type="spellStart"/>
      <w:r w:rsidRPr="00C1603D">
        <w:rPr>
          <w:i/>
        </w:rPr>
        <w:t>Epidemiol</w:t>
      </w:r>
      <w:proofErr w:type="spellEnd"/>
      <w:r w:rsidRPr="00C1603D">
        <w:t xml:space="preserve"> 2006;</w:t>
      </w:r>
      <w:r w:rsidRPr="00C1603D">
        <w:rPr>
          <w:b/>
        </w:rPr>
        <w:t>21</w:t>
      </w:r>
      <w:r w:rsidRPr="00C1603D">
        <w:t>:</w:t>
      </w:r>
      <w:r w:rsidRPr="00C1603D">
        <w:rPr>
          <w:color w:val="auto"/>
        </w:rPr>
        <w:t>359</w:t>
      </w:r>
      <w:r w:rsidRPr="00C1603D">
        <w:rPr>
          <w:color w:val="00B0F0"/>
        </w:rPr>
        <w:t>–</w:t>
      </w:r>
      <w:r w:rsidRPr="00C1603D">
        <w:rPr>
          <w:color w:val="auto"/>
        </w:rPr>
        <w:t>65</w:t>
      </w:r>
      <w:r w:rsidRPr="00C1603D">
        <w:t xml:space="preserve">. </w:t>
      </w:r>
      <w:r w:rsidRPr="00C1603D">
        <w:lastRenderedPageBreak/>
        <w:t>https://doi.org/10.1007/s10654-006-9002-4</w:t>
      </w:r>
    </w:p>
    <w:p w14:paraId="1C3471AB" w14:textId="36319278" w:rsidR="00EF77DB" w:rsidRPr="00C1603D" w:rsidRDefault="00EF77DB" w:rsidP="00EF77DB">
      <w:pPr>
        <w:pStyle w:val="65ReferencesTextstylesTextstyles"/>
      </w:pPr>
      <w:r w:rsidRPr="00C1603D">
        <w:t>475.</w:t>
      </w:r>
      <w:r w:rsidRPr="00C1603D">
        <w:tab/>
        <w:t xml:space="preserve">Marwaha RK, Garg MK, Tandon N, Kanwar R, Narang A, Sastry A, </w:t>
      </w:r>
      <w:r w:rsidRPr="00C1603D">
        <w:rPr>
          <w:i/>
        </w:rPr>
        <w:t>et al</w:t>
      </w:r>
      <w:r w:rsidRPr="00C1603D">
        <w:t xml:space="preserve">. Glutamic acid decarboxylase (anti-GAD) . tissue transglutaminase (anti-TTG) antibodies in patients with thyroid autoimmunity. </w:t>
      </w:r>
      <w:r w:rsidRPr="00C1603D">
        <w:rPr>
          <w:i/>
        </w:rPr>
        <w:t>Indian J Med Res</w:t>
      </w:r>
      <w:r w:rsidRPr="00C1603D">
        <w:t xml:space="preserve"> 2013;</w:t>
      </w:r>
      <w:r w:rsidRPr="00C1603D">
        <w:rPr>
          <w:b/>
        </w:rPr>
        <w:t>137</w:t>
      </w:r>
      <w:r w:rsidRPr="00C1603D">
        <w:t>:</w:t>
      </w:r>
      <w:r w:rsidRPr="00C1603D">
        <w:rPr>
          <w:color w:val="auto"/>
        </w:rPr>
        <w:t>82</w:t>
      </w:r>
      <w:r w:rsidRPr="00C1603D">
        <w:rPr>
          <w:color w:val="00B0F0"/>
        </w:rPr>
        <w:t>–</w:t>
      </w:r>
      <w:r w:rsidRPr="00C1603D">
        <w:rPr>
          <w:color w:val="auto"/>
        </w:rPr>
        <w:t>6</w:t>
      </w:r>
      <w:r w:rsidRPr="00C1603D">
        <w:t>.</w:t>
      </w:r>
    </w:p>
    <w:p w14:paraId="22F9749B" w14:textId="652CBDFB" w:rsidR="00EF77DB" w:rsidRPr="00C1603D" w:rsidRDefault="00EF77DB" w:rsidP="00EF77DB">
      <w:pPr>
        <w:pStyle w:val="65ReferencesTextstylesTextstyles"/>
      </w:pPr>
      <w:r w:rsidRPr="00C1603D">
        <w:t>476.</w:t>
      </w:r>
      <w:r w:rsidRPr="00C1603D">
        <w:tab/>
      </w:r>
      <w:proofErr w:type="spellStart"/>
      <w:r w:rsidRPr="00C1603D">
        <w:t>Sahin</w:t>
      </w:r>
      <w:proofErr w:type="spellEnd"/>
      <w:r w:rsidRPr="00C1603D">
        <w:t xml:space="preserve"> Y, </w:t>
      </w:r>
      <w:proofErr w:type="spellStart"/>
      <w:r w:rsidRPr="00C1603D">
        <w:t>Evliyaoglu</w:t>
      </w:r>
      <w:proofErr w:type="spellEnd"/>
      <w:r w:rsidRPr="00C1603D">
        <w:t xml:space="preserve"> O, Erkan T, </w:t>
      </w:r>
      <w:proofErr w:type="spellStart"/>
      <w:r w:rsidRPr="00C1603D">
        <w:t>Cokugras</w:t>
      </w:r>
      <w:proofErr w:type="spellEnd"/>
      <w:r w:rsidRPr="00C1603D">
        <w:t xml:space="preserve"> FC, </w:t>
      </w:r>
      <w:proofErr w:type="spellStart"/>
      <w:r w:rsidRPr="00C1603D">
        <w:t>Ercan</w:t>
      </w:r>
      <w:proofErr w:type="spellEnd"/>
      <w:r w:rsidRPr="00C1603D">
        <w:t xml:space="preserve"> O, </w:t>
      </w:r>
      <w:proofErr w:type="spellStart"/>
      <w:r w:rsidRPr="00C1603D">
        <w:t>Kutlu</w:t>
      </w:r>
      <w:proofErr w:type="spellEnd"/>
      <w:r w:rsidRPr="00C1603D">
        <w:t xml:space="preserve"> T. The frequency of celiac disease in children with autoimmune thyroiditis. </w:t>
      </w:r>
      <w:r w:rsidR="00077318" w:rsidRPr="00C1603D">
        <w:rPr>
          <w:i/>
          <w:iCs/>
        </w:rPr>
        <w:t xml:space="preserve">J </w:t>
      </w:r>
      <w:proofErr w:type="spellStart"/>
      <w:r w:rsidR="00077318" w:rsidRPr="00C1603D">
        <w:rPr>
          <w:i/>
          <w:iCs/>
        </w:rPr>
        <w:t>Pediatr</w:t>
      </w:r>
      <w:proofErr w:type="spellEnd"/>
      <w:r w:rsidR="00077318" w:rsidRPr="00C1603D">
        <w:rPr>
          <w:i/>
          <w:iCs/>
        </w:rPr>
        <w:t xml:space="preserve"> Gastroenterol </w:t>
      </w:r>
      <w:proofErr w:type="spellStart"/>
      <w:r w:rsidR="00077318" w:rsidRPr="00C1603D">
        <w:rPr>
          <w:i/>
          <w:iCs/>
        </w:rPr>
        <w:t>Nutr</w:t>
      </w:r>
      <w:proofErr w:type="spellEnd"/>
      <w:r w:rsidR="00077318" w:rsidRPr="00C1603D">
        <w:rPr>
          <w:i/>
          <w:iCs/>
        </w:rPr>
        <w:t xml:space="preserve"> </w:t>
      </w:r>
      <w:r w:rsidR="00077318" w:rsidRPr="00C1603D">
        <w:t>2017;</w:t>
      </w:r>
      <w:r w:rsidR="00077318" w:rsidRPr="00C1603D">
        <w:rPr>
          <w:b/>
          <w:bCs/>
        </w:rPr>
        <w:t>64</w:t>
      </w:r>
      <w:r w:rsidR="00077318" w:rsidRPr="00C1603D">
        <w:t xml:space="preserve">:227. </w:t>
      </w:r>
      <w:r w:rsidRPr="00C1603D">
        <w:rPr>
          <w:i/>
        </w:rPr>
        <w:t xml:space="preserve">Acta Gastroenterol </w:t>
      </w:r>
      <w:proofErr w:type="spellStart"/>
      <w:r w:rsidRPr="00C1603D">
        <w:rPr>
          <w:i/>
        </w:rPr>
        <w:t>Belg</w:t>
      </w:r>
      <w:proofErr w:type="spellEnd"/>
      <w:r w:rsidRPr="00C1603D">
        <w:t xml:space="preserve"> 2018;</w:t>
      </w:r>
      <w:r w:rsidRPr="00C1603D">
        <w:rPr>
          <w:b/>
        </w:rPr>
        <w:t>81</w:t>
      </w:r>
      <w:r w:rsidRPr="00C1603D">
        <w:t>:</w:t>
      </w:r>
      <w:r w:rsidRPr="00C1603D">
        <w:rPr>
          <w:color w:val="auto"/>
        </w:rPr>
        <w:t>5</w:t>
      </w:r>
      <w:r w:rsidRPr="00C1603D">
        <w:rPr>
          <w:color w:val="00B0F0"/>
        </w:rPr>
        <w:t>–</w:t>
      </w:r>
      <w:r w:rsidRPr="00C1603D">
        <w:rPr>
          <w:color w:val="auto"/>
        </w:rPr>
        <w:t>8</w:t>
      </w:r>
      <w:r w:rsidRPr="00C1603D">
        <w:t>.</w:t>
      </w:r>
    </w:p>
    <w:p w14:paraId="56FB1CB9" w14:textId="77777777" w:rsidR="00EF77DB" w:rsidRPr="00C1603D" w:rsidRDefault="00EF77DB" w:rsidP="00EF77DB">
      <w:pPr>
        <w:pStyle w:val="65ReferencesTextstylesTextstyles"/>
      </w:pPr>
      <w:r w:rsidRPr="00C1603D">
        <w:t>477.</w:t>
      </w:r>
      <w:r w:rsidRPr="00C1603D">
        <w:tab/>
        <w:t xml:space="preserve">Sari S, </w:t>
      </w:r>
      <w:proofErr w:type="spellStart"/>
      <w:r w:rsidRPr="00C1603D">
        <w:t>Yesilkaya</w:t>
      </w:r>
      <w:proofErr w:type="spellEnd"/>
      <w:r w:rsidRPr="00C1603D">
        <w:t xml:space="preserve"> E, </w:t>
      </w:r>
      <w:proofErr w:type="spellStart"/>
      <w:r w:rsidRPr="00C1603D">
        <w:t>Egritas</w:t>
      </w:r>
      <w:proofErr w:type="spellEnd"/>
      <w:r w:rsidRPr="00C1603D">
        <w:t xml:space="preserve"> O, </w:t>
      </w:r>
      <w:proofErr w:type="spellStart"/>
      <w:r w:rsidRPr="00C1603D">
        <w:t>Bideci</w:t>
      </w:r>
      <w:proofErr w:type="spellEnd"/>
      <w:r w:rsidRPr="00C1603D">
        <w:t xml:space="preserve"> A, </w:t>
      </w:r>
      <w:proofErr w:type="spellStart"/>
      <w:r w:rsidRPr="00C1603D">
        <w:t>Dalgic</w:t>
      </w:r>
      <w:proofErr w:type="spellEnd"/>
      <w:r w:rsidRPr="00C1603D">
        <w:t xml:space="preserve"> B. Prevalence of celiac disease in Turkish children with autoimmune thyroiditis. </w:t>
      </w:r>
      <w:r w:rsidRPr="00C1603D">
        <w:rPr>
          <w:i/>
        </w:rPr>
        <w:t>Dig Dis Sci</w:t>
      </w:r>
      <w:r w:rsidRPr="00C1603D">
        <w:t xml:space="preserve"> 2009;</w:t>
      </w:r>
      <w:r w:rsidRPr="00C1603D">
        <w:rPr>
          <w:b/>
        </w:rPr>
        <w:t>54</w:t>
      </w:r>
      <w:r w:rsidRPr="00C1603D">
        <w:t>:</w:t>
      </w:r>
      <w:r w:rsidRPr="00C1603D">
        <w:rPr>
          <w:color w:val="auto"/>
        </w:rPr>
        <w:t>830</w:t>
      </w:r>
      <w:r w:rsidRPr="00C1603D">
        <w:rPr>
          <w:color w:val="00B0F0"/>
        </w:rPr>
        <w:t>–</w:t>
      </w:r>
      <w:r w:rsidRPr="00C1603D">
        <w:rPr>
          <w:color w:val="auto"/>
        </w:rPr>
        <w:t>2</w:t>
      </w:r>
      <w:r w:rsidRPr="00C1603D">
        <w:t>. https://doi.org/10.1007/s10620-008-0437-1</w:t>
      </w:r>
    </w:p>
    <w:p w14:paraId="7A89CACE" w14:textId="77777777" w:rsidR="00EF77DB" w:rsidRPr="00C1603D" w:rsidRDefault="00EF77DB" w:rsidP="00EF77DB">
      <w:pPr>
        <w:pStyle w:val="65ReferencesTextstylesTextstyles"/>
      </w:pPr>
      <w:r w:rsidRPr="00C1603D">
        <w:t>478.</w:t>
      </w:r>
      <w:r w:rsidRPr="00C1603D">
        <w:tab/>
        <w:t xml:space="preserve">van der Pals M, Ivarsson A, </w:t>
      </w:r>
      <w:proofErr w:type="spellStart"/>
      <w:r w:rsidRPr="00C1603D">
        <w:t>Norström</w:t>
      </w:r>
      <w:proofErr w:type="spellEnd"/>
      <w:r w:rsidRPr="00C1603D">
        <w:t xml:space="preserve"> F, </w:t>
      </w:r>
      <w:proofErr w:type="spellStart"/>
      <w:r w:rsidRPr="00C1603D">
        <w:t>Högberg</w:t>
      </w:r>
      <w:proofErr w:type="spellEnd"/>
      <w:r w:rsidRPr="00C1603D">
        <w:t xml:space="preserve"> L, </w:t>
      </w:r>
      <w:proofErr w:type="spellStart"/>
      <w:r w:rsidRPr="00C1603D">
        <w:t>Svensson</w:t>
      </w:r>
      <w:proofErr w:type="spellEnd"/>
      <w:r w:rsidRPr="00C1603D">
        <w:t xml:space="preserve"> J, Carlsson A. Prevalence of thyroid autoimmunity in children with celiac disease compared to healthy 12-year olds. </w:t>
      </w:r>
      <w:r w:rsidRPr="00C1603D">
        <w:rPr>
          <w:i/>
        </w:rPr>
        <w:t>Autoimmune Dis</w:t>
      </w:r>
      <w:r w:rsidRPr="00C1603D">
        <w:t xml:space="preserve"> 2014;</w:t>
      </w:r>
      <w:r w:rsidRPr="00C1603D">
        <w:rPr>
          <w:b/>
        </w:rPr>
        <w:t>2014</w:t>
      </w:r>
      <w:r w:rsidRPr="00C1603D">
        <w:t>:</w:t>
      </w:r>
      <w:r w:rsidRPr="00C1603D">
        <w:rPr>
          <w:color w:val="auto"/>
        </w:rPr>
        <w:t>417356</w:t>
      </w:r>
      <w:r w:rsidRPr="00C1603D">
        <w:t>. https://doi.org/10.1155/2014/417356</w:t>
      </w:r>
    </w:p>
    <w:p w14:paraId="13364CBB" w14:textId="70CDA4C6" w:rsidR="00EF77DB" w:rsidRPr="00C1603D" w:rsidRDefault="00EF77DB" w:rsidP="00EF77DB">
      <w:pPr>
        <w:pStyle w:val="65ReferencesTextstylesTextstyles"/>
      </w:pPr>
      <w:r w:rsidRPr="00C1603D">
        <w:t>479.</w:t>
      </w:r>
      <w:r w:rsidRPr="00C1603D">
        <w:tab/>
      </w:r>
      <w:proofErr w:type="spellStart"/>
      <w:r w:rsidRPr="00C1603D">
        <w:t>Risan</w:t>
      </w:r>
      <w:proofErr w:type="spellEnd"/>
      <w:r w:rsidRPr="00C1603D">
        <w:t xml:space="preserve"> FA. Association between autoimmune thyroiditis with gluten sensitive enteropathy patients in Baghdad. </w:t>
      </w:r>
      <w:r w:rsidR="00B23D53" w:rsidRPr="00C1603D">
        <w:rPr>
          <w:i/>
        </w:rPr>
        <w:t>J</w:t>
      </w:r>
      <w:r w:rsidRPr="00C1603D">
        <w:t xml:space="preserve"> </w:t>
      </w:r>
      <w:r w:rsidRPr="00C1603D">
        <w:rPr>
          <w:i/>
        </w:rPr>
        <w:t>Pharm</w:t>
      </w:r>
      <w:r w:rsidR="00B23D53" w:rsidRPr="00C1603D">
        <w:rPr>
          <w:i/>
        </w:rPr>
        <w:t xml:space="preserve"> </w:t>
      </w:r>
      <w:r w:rsidRPr="00C1603D">
        <w:rPr>
          <w:i/>
        </w:rPr>
        <w:t>Sci</w:t>
      </w:r>
      <w:r w:rsidR="00B23D53" w:rsidRPr="00C1603D">
        <w:rPr>
          <w:i/>
        </w:rPr>
        <w:t xml:space="preserve"> </w:t>
      </w:r>
      <w:r w:rsidRPr="00C1603D">
        <w:rPr>
          <w:i/>
        </w:rPr>
        <w:t>Res</w:t>
      </w:r>
      <w:r w:rsidR="00B23D53" w:rsidRPr="00C1603D">
        <w:rPr>
          <w:i/>
        </w:rPr>
        <w:t xml:space="preserve"> </w:t>
      </w:r>
      <w:r w:rsidRPr="00C1603D">
        <w:t>2018;</w:t>
      </w:r>
      <w:r w:rsidRPr="00C1603D">
        <w:rPr>
          <w:b/>
        </w:rPr>
        <w:t>10</w:t>
      </w:r>
      <w:r w:rsidRPr="00C1603D">
        <w:t>:3307</w:t>
      </w:r>
      <w:r w:rsidR="00B23D53" w:rsidRPr="00C1603D">
        <w:t>–</w:t>
      </w:r>
      <w:r w:rsidRPr="00C1603D">
        <w:t>9.</w:t>
      </w:r>
    </w:p>
    <w:p w14:paraId="252A5A35" w14:textId="3D8F9236" w:rsidR="00EF77DB" w:rsidRPr="00C1603D" w:rsidRDefault="3CDEEDA7" w:rsidP="00EF77DB">
      <w:pPr>
        <w:pStyle w:val="65ReferencesTextstylesTextstyles"/>
      </w:pPr>
      <w:r w:rsidRPr="00C1603D">
        <w:t>480.</w:t>
      </w:r>
      <w:r w:rsidR="00EF77DB" w:rsidRPr="00C1603D">
        <w:tab/>
      </w:r>
      <w:commentRangeStart w:id="554"/>
      <w:commentRangeStart w:id="555"/>
      <w:r w:rsidRPr="00C1603D">
        <w:t xml:space="preserve">de Melo FM, Cavalcanti MSM, dos Santos Severino B, Lopes AKBF, de Oliveira FAA. [Association between serum markers for celiac and thyroid autoimmune diseases]. </w:t>
      </w:r>
      <w:proofErr w:type="spellStart"/>
      <w:r w:rsidRPr="00C1603D">
        <w:rPr>
          <w:i/>
          <w:iCs/>
        </w:rPr>
        <w:t>Arq</w:t>
      </w:r>
      <w:proofErr w:type="spellEnd"/>
      <w:r w:rsidRPr="00C1603D">
        <w:rPr>
          <w:i/>
          <w:iCs/>
        </w:rPr>
        <w:t xml:space="preserve"> Bras Endocrinol </w:t>
      </w:r>
      <w:proofErr w:type="spellStart"/>
      <w:r w:rsidRPr="00C1603D">
        <w:rPr>
          <w:i/>
          <w:iCs/>
        </w:rPr>
        <w:t>Metabol</w:t>
      </w:r>
      <w:proofErr w:type="spellEnd"/>
      <w:r w:rsidRPr="00C1603D">
        <w:t xml:space="preserve"> 2005;</w:t>
      </w:r>
      <w:r w:rsidRPr="00C1603D">
        <w:rPr>
          <w:b/>
          <w:bCs/>
        </w:rPr>
        <w:t>49</w:t>
      </w:r>
      <w:r w:rsidRPr="00C1603D">
        <w:t>:542–7.</w:t>
      </w:r>
      <w:commentRangeEnd w:id="554"/>
      <w:r w:rsidR="00EF77DB" w:rsidRPr="00C1603D">
        <w:commentReference w:id="554"/>
      </w:r>
      <w:commentRangeEnd w:id="555"/>
      <w:r w:rsidR="00EF77DB" w:rsidRPr="00C1603D">
        <w:commentReference w:id="555"/>
      </w:r>
    </w:p>
    <w:p w14:paraId="1D119A52" w14:textId="043526BA" w:rsidR="00EF77DB" w:rsidRPr="00C1603D" w:rsidRDefault="3CDEEDA7" w:rsidP="00EF77DB">
      <w:pPr>
        <w:pStyle w:val="65ReferencesTextstylesTextstyles"/>
      </w:pPr>
      <w:r w:rsidRPr="00C1603D">
        <w:t>481.</w:t>
      </w:r>
      <w:r w:rsidR="00EF77DB" w:rsidRPr="00C1603D">
        <w:tab/>
      </w:r>
      <w:commentRangeStart w:id="556"/>
      <w:commentRangeStart w:id="557"/>
      <w:r w:rsidRPr="00C1603D">
        <w:t xml:space="preserve">NICE. Coeliac disease: recognition, assessment and management. </w:t>
      </w:r>
      <w:r w:rsidRPr="00C1603D">
        <w:rPr>
          <w:i/>
          <w:iCs/>
        </w:rPr>
        <w:t>NICE</w:t>
      </w:r>
      <w:r w:rsidRPr="00C1603D">
        <w:t xml:space="preserve"> </w:t>
      </w:r>
      <w:r w:rsidRPr="00C1603D">
        <w:rPr>
          <w:i/>
          <w:iCs/>
        </w:rPr>
        <w:t>guideline</w:t>
      </w:r>
      <w:r w:rsidRPr="00C1603D">
        <w:t xml:space="preserve"> 2015;NG20.</w:t>
      </w:r>
      <w:commentRangeEnd w:id="556"/>
      <w:r w:rsidR="00EF77DB" w:rsidRPr="00C1603D">
        <w:commentReference w:id="556"/>
      </w:r>
      <w:commentRangeEnd w:id="557"/>
      <w:r w:rsidR="00EF77DB" w:rsidRPr="00C1603D">
        <w:commentReference w:id="557"/>
      </w:r>
    </w:p>
    <w:p w14:paraId="16DA64EA" w14:textId="10D5FFCC" w:rsidR="00E453F0" w:rsidRPr="00C1603D" w:rsidRDefault="00E453F0" w:rsidP="00EF77DB">
      <w:pPr>
        <w:pStyle w:val="65ReferencesTextstylesTextstyles"/>
        <w:rPr>
          <w:iCs/>
        </w:rPr>
      </w:pPr>
      <w:r w:rsidRPr="00C1603D">
        <w:t>600.</w:t>
      </w:r>
      <w:r w:rsidRPr="00C1603D">
        <w:tab/>
        <w:t xml:space="preserve">Ministry of Housing, Communities and Local Government. </w:t>
      </w:r>
      <w:r w:rsidRPr="00C1603D">
        <w:rPr>
          <w:i/>
          <w:iCs/>
        </w:rPr>
        <w:t>National Statistics: English Indices of Deprivation 201</w:t>
      </w:r>
      <w:r w:rsidR="00A26C2C" w:rsidRPr="00C1603D">
        <w:rPr>
          <w:i/>
          <w:iCs/>
        </w:rPr>
        <w:t>9</w:t>
      </w:r>
      <w:r w:rsidRPr="00C1603D">
        <w:t xml:space="preserve">. URL: </w:t>
      </w:r>
      <w:r w:rsidR="00B70B69" w:rsidRPr="00C1603D">
        <w:t>www.gov.uk/government/statistics/english-indices-of-deprivation-2019</w:t>
      </w:r>
      <w:r w:rsidRPr="00C1603D">
        <w:t xml:space="preserve"> </w:t>
      </w:r>
      <w:r w:rsidRPr="00C1603D">
        <w:rPr>
          <w:iCs/>
        </w:rPr>
        <w:t xml:space="preserve">(accessed </w:t>
      </w:r>
      <w:r w:rsidR="00B70B69" w:rsidRPr="00C1603D">
        <w:rPr>
          <w:iCs/>
        </w:rPr>
        <w:t>30</w:t>
      </w:r>
      <w:r w:rsidRPr="00C1603D">
        <w:rPr>
          <w:iCs/>
        </w:rPr>
        <w:t xml:space="preserve"> May 2022)</w:t>
      </w:r>
      <w:r w:rsidR="00B70B69" w:rsidRPr="00C1603D">
        <w:rPr>
          <w:iCs/>
        </w:rPr>
        <w:t>.</w:t>
      </w:r>
    </w:p>
    <w:p w14:paraId="50360878" w14:textId="4D30F938" w:rsidR="00040202" w:rsidRPr="00C1603D" w:rsidRDefault="00040202" w:rsidP="00EF77DB">
      <w:pPr>
        <w:pStyle w:val="65ReferencesTextstylesTextstyles"/>
        <w:rPr>
          <w:iCs/>
        </w:rPr>
      </w:pPr>
      <w:r w:rsidRPr="00C1603D">
        <w:rPr>
          <w:iCs/>
        </w:rPr>
        <w:t>601.</w:t>
      </w:r>
      <w:r w:rsidRPr="00C1603D">
        <w:rPr>
          <w:iCs/>
        </w:rPr>
        <w:tab/>
      </w:r>
      <w:r w:rsidR="00C07E40" w:rsidRPr="00C1603D">
        <w:rPr>
          <w:iCs/>
        </w:rPr>
        <w:t xml:space="preserve">Great Britain. </w:t>
      </w:r>
      <w:r w:rsidR="00C07E40" w:rsidRPr="00C1603D">
        <w:rPr>
          <w:i/>
          <w:iCs/>
        </w:rPr>
        <w:t>Human Tissue Act 2004</w:t>
      </w:r>
      <w:r w:rsidR="00C07E40" w:rsidRPr="00C1603D">
        <w:rPr>
          <w:iCs/>
        </w:rPr>
        <w:t>. London: The Stationery Office; 2004.</w:t>
      </w:r>
    </w:p>
    <w:p w14:paraId="5F5FEBFB" w14:textId="0C78397B" w:rsidR="00CC2FC8" w:rsidRPr="00C1603D" w:rsidRDefault="00CC2FC8" w:rsidP="00EF77DB">
      <w:pPr>
        <w:pStyle w:val="65ReferencesTextstylesTextstyles"/>
        <w:rPr>
          <w:iCs/>
        </w:rPr>
      </w:pPr>
      <w:r w:rsidRPr="00C1603D">
        <w:rPr>
          <w:iCs/>
        </w:rPr>
        <w:t>602.</w:t>
      </w:r>
      <w:r w:rsidRPr="00C1603D">
        <w:rPr>
          <w:iCs/>
        </w:rPr>
        <w:tab/>
      </w:r>
      <w:r w:rsidR="00BD78EA" w:rsidRPr="00C1603D">
        <w:rPr>
          <w:iCs/>
        </w:rPr>
        <w:t xml:space="preserve">Sheppard A, Whiting P, Corfield V, </w:t>
      </w:r>
      <w:r w:rsidR="00406CC8" w:rsidRPr="00C1603D">
        <w:rPr>
          <w:iCs/>
        </w:rPr>
        <w:t xml:space="preserve">Elwenspoek M, Richards A, Jones H, </w:t>
      </w:r>
      <w:r w:rsidR="00406CC8" w:rsidRPr="00C1603D">
        <w:rPr>
          <w:i/>
        </w:rPr>
        <w:t>et al</w:t>
      </w:r>
      <w:r w:rsidR="00406CC8" w:rsidRPr="00C1603D">
        <w:rPr>
          <w:iCs/>
        </w:rPr>
        <w:t xml:space="preserve">. </w:t>
      </w:r>
      <w:r w:rsidR="004B4B0E" w:rsidRPr="00C1603D">
        <w:rPr>
          <w:i/>
        </w:rPr>
        <w:t>What is the Accuracy of Serological Testing for Diagnosing Coeliac Disease in Adults and Children? A Systematic Review</w:t>
      </w:r>
      <w:r w:rsidR="004B4B0E" w:rsidRPr="00C1603D">
        <w:rPr>
          <w:iCs/>
        </w:rPr>
        <w:t>. PROSPERO 2019 CRD42019115506. URL: www.crd.york.ac.uk/prospero/display_record.php?ID=CRD42019115506 (accessed 8 June 2022).</w:t>
      </w:r>
    </w:p>
    <w:p w14:paraId="7781A756" w14:textId="0E473D9A" w:rsidR="001C752B" w:rsidRPr="00C1603D" w:rsidRDefault="001C752B" w:rsidP="00EF77DB">
      <w:pPr>
        <w:pStyle w:val="65ReferencesTextstylesTextstyles"/>
        <w:rPr>
          <w:iCs/>
        </w:rPr>
      </w:pPr>
      <w:r w:rsidRPr="00C1603D">
        <w:rPr>
          <w:iCs/>
        </w:rPr>
        <w:t>603.</w:t>
      </w:r>
      <w:r w:rsidRPr="00C1603D">
        <w:rPr>
          <w:iCs/>
        </w:rPr>
        <w:tab/>
        <w:t xml:space="preserve">National Institute for Health and Care Excellence. </w:t>
      </w:r>
      <w:r w:rsidR="00FC0FE4" w:rsidRPr="00C1603D">
        <w:rPr>
          <w:i/>
        </w:rPr>
        <w:t>Fertility Problems: Assessment and Treatment. Clinical Guideline [CG156]</w:t>
      </w:r>
      <w:r w:rsidR="00FC0FE4" w:rsidRPr="00C1603D">
        <w:rPr>
          <w:iCs/>
        </w:rPr>
        <w:t>. URL: www.nice.org.uk/guidance/CG156 (accessed 27 June 2022).</w:t>
      </w:r>
    </w:p>
    <w:p w14:paraId="4F4557BB" w14:textId="391032B1" w:rsidR="008B4DF8" w:rsidRPr="00C1603D" w:rsidRDefault="008B4DF8" w:rsidP="008B4DF8">
      <w:pPr>
        <w:pStyle w:val="43AppendixtitleHeadingsHeadingstyles"/>
      </w:pPr>
      <w:bookmarkStart w:id="558" w:name="_Ref86164730"/>
      <w:bookmarkStart w:id="559" w:name="_Ref87617946"/>
      <w:bookmarkStart w:id="560" w:name="_Ref87618008"/>
      <w:bookmarkStart w:id="561" w:name="_Toc99539920"/>
      <w:bookmarkStart w:id="562" w:name="_Ref83902704"/>
      <w:bookmarkStart w:id="563" w:name="_Ref83903679"/>
      <w:commentRangeStart w:id="564"/>
      <w:r w:rsidRPr="00C1603D">
        <w:lastRenderedPageBreak/>
        <w:t xml:space="preserve">Appendix </w:t>
      </w:r>
      <w:bookmarkEnd w:id="558"/>
      <w:r w:rsidRPr="00C1603D">
        <w:t>1</w:t>
      </w:r>
      <w:bookmarkEnd w:id="559"/>
      <w:bookmarkEnd w:id="560"/>
      <w:bookmarkEnd w:id="561"/>
      <w:r w:rsidR="008158CF" w:rsidRPr="00C1603D">
        <w:t> </w:t>
      </w:r>
      <w:r w:rsidR="008158CF" w:rsidRPr="00C1603D">
        <w:t>Search strategies</w:t>
      </w:r>
      <w:commentRangeEnd w:id="564"/>
      <w:r w:rsidR="00E95267" w:rsidRPr="00C1603D">
        <w:rPr>
          <w:rFonts w:ascii="Times New Roman" w:hAnsi="Times New Roman" w:cs="Times New Roman"/>
          <w:b w:val="0"/>
          <w:bCs w:val="0"/>
          <w:color w:val="auto"/>
          <w:lang w:val="en-US"/>
        </w:rPr>
        <w:commentReference w:id="564"/>
      </w:r>
    </w:p>
    <w:p w14:paraId="32437694" w14:textId="78D4DF43" w:rsidR="008B4DF8" w:rsidRPr="00C1603D" w:rsidRDefault="008158CF" w:rsidP="008B4DF8">
      <w:pPr>
        <w:pStyle w:val="52AheadHeadingsHeadingstyles"/>
      </w:pPr>
      <w:bookmarkStart w:id="565" w:name="_Toc99539921"/>
      <w:commentRangeStart w:id="566"/>
      <w:r w:rsidRPr="00C1603D">
        <w:t>D</w:t>
      </w:r>
      <w:r w:rsidR="008B4DF8" w:rsidRPr="00C1603D">
        <w:t>iagnostic indicator review</w:t>
      </w:r>
      <w:bookmarkEnd w:id="562"/>
      <w:bookmarkEnd w:id="565"/>
    </w:p>
    <w:p w14:paraId="6128D6D8" w14:textId="5CC8FAE9" w:rsidR="008B4DF8" w:rsidRPr="00C1603D" w:rsidRDefault="008B4DF8" w:rsidP="008B4DF8">
      <w:pPr>
        <w:pStyle w:val="602TextfoTextstylesTextstyles"/>
      </w:pPr>
      <w:r w:rsidRPr="00C1603D">
        <w:t xml:space="preserve">Database: </w:t>
      </w:r>
      <w:r w:rsidR="008158CF" w:rsidRPr="00C1603D">
        <w:t>EMBASE.</w:t>
      </w:r>
      <w:commentRangeEnd w:id="566"/>
      <w:r w:rsidR="008158CF" w:rsidRPr="00C1603D">
        <w:rPr>
          <w:rFonts w:ascii="Times New Roman" w:hAnsi="Times New Roman" w:cs="Times New Roman"/>
          <w:color w:val="auto"/>
          <w:lang w:val="en-US"/>
        </w:rPr>
        <w:commentReference w:id="566"/>
      </w:r>
    </w:p>
    <w:p w14:paraId="47B0D936" w14:textId="41C03503" w:rsidR="00100453" w:rsidRPr="00C1603D" w:rsidRDefault="00100453" w:rsidP="00100453">
      <w:pPr>
        <w:pStyle w:val="621TextnumberedlistTextstylesTextstyles"/>
      </w:pPr>
      <w:r w:rsidRPr="00C1603D">
        <w:t>Celiac Disease/ (29</w:t>
      </w:r>
      <w:r w:rsidR="00263FAE" w:rsidRPr="00C1603D">
        <w:t>,</w:t>
      </w:r>
      <w:r w:rsidRPr="00C1603D">
        <w:t>729)</w:t>
      </w:r>
    </w:p>
    <w:p w14:paraId="6689B4FF" w14:textId="151E2D65" w:rsidR="00100453" w:rsidRPr="00C1603D" w:rsidRDefault="00100453" w:rsidP="00100453">
      <w:pPr>
        <w:pStyle w:val="621TextnumberedlistTextstylesTextstyles"/>
      </w:pPr>
      <w:proofErr w:type="spellStart"/>
      <w:r w:rsidRPr="00C1603D">
        <w:t>c?eliac.ti,kw</w:t>
      </w:r>
      <w:proofErr w:type="spellEnd"/>
      <w:r w:rsidRPr="00C1603D">
        <w:t>. (22</w:t>
      </w:r>
      <w:r w:rsidR="00263FAE" w:rsidRPr="00C1603D">
        <w:t>,</w:t>
      </w:r>
      <w:r w:rsidRPr="00C1603D">
        <w:t>813)</w:t>
      </w:r>
    </w:p>
    <w:p w14:paraId="4BF1864F" w14:textId="7A1BBC92" w:rsidR="00100453" w:rsidRPr="00C1603D" w:rsidRDefault="00100453" w:rsidP="00100453">
      <w:pPr>
        <w:pStyle w:val="621TextnumberedlistTextstylesTextstyles"/>
      </w:pPr>
      <w:r w:rsidRPr="00C1603D">
        <w:t>c?eliac.af. and gastroenterology.ec. (22</w:t>
      </w:r>
      <w:r w:rsidR="00263FAE" w:rsidRPr="00C1603D">
        <w:t>,</w:t>
      </w:r>
      <w:r w:rsidRPr="00C1603D">
        <w:t>352)</w:t>
      </w:r>
    </w:p>
    <w:p w14:paraId="0BBA5F37" w14:textId="36964266" w:rsidR="00100453" w:rsidRPr="00C1603D" w:rsidRDefault="00100453" w:rsidP="00100453">
      <w:pPr>
        <w:pStyle w:val="621TextnumberedlistTextstylesTextstyles"/>
      </w:pPr>
      <w:r w:rsidRPr="00C1603D">
        <w:t>(celiac or coeliac).ab. /</w:t>
      </w:r>
      <w:proofErr w:type="spellStart"/>
      <w:r w:rsidRPr="00C1603D">
        <w:t>freq</w:t>
      </w:r>
      <w:proofErr w:type="spellEnd"/>
      <w:r w:rsidRPr="00C1603D">
        <w:t>=3 (9328)</w:t>
      </w:r>
    </w:p>
    <w:p w14:paraId="07E384A5" w14:textId="4D66C18A" w:rsidR="00100453" w:rsidRPr="00C1603D" w:rsidRDefault="00100453" w:rsidP="00100453">
      <w:pPr>
        <w:pStyle w:val="621TextnumberedlistTextstylesTextstyles"/>
      </w:pPr>
      <w:r w:rsidRPr="00C1603D">
        <w:t>or/1-4 (39</w:t>
      </w:r>
      <w:r w:rsidR="00263FAE" w:rsidRPr="00C1603D">
        <w:t>,</w:t>
      </w:r>
      <w:r w:rsidRPr="00C1603D">
        <w:t>462)</w:t>
      </w:r>
    </w:p>
    <w:p w14:paraId="3E64623E" w14:textId="37DA511E" w:rsidR="00100453" w:rsidRPr="00C1603D" w:rsidRDefault="00100453" w:rsidP="00100453">
      <w:pPr>
        <w:pStyle w:val="621TextnumberedlistTextstylesTextstyles"/>
      </w:pPr>
      <w:r w:rsidRPr="00C1603D">
        <w:t xml:space="preserve">((detect* or </w:t>
      </w:r>
      <w:proofErr w:type="spellStart"/>
      <w:r w:rsidRPr="00C1603D">
        <w:t>diagnos</w:t>
      </w:r>
      <w:proofErr w:type="spellEnd"/>
      <w:r w:rsidRPr="00C1603D">
        <w:t xml:space="preserve">* or </w:t>
      </w:r>
      <w:proofErr w:type="spellStart"/>
      <w:r w:rsidRPr="00C1603D">
        <w:t>identif</w:t>
      </w:r>
      <w:proofErr w:type="spellEnd"/>
      <w:r w:rsidRPr="00C1603D">
        <w:t xml:space="preserve">* or decision* or predict* or </w:t>
      </w:r>
      <w:proofErr w:type="spellStart"/>
      <w:r w:rsidRPr="00C1603D">
        <w:t>prognos</w:t>
      </w:r>
      <w:proofErr w:type="spellEnd"/>
      <w:r w:rsidRPr="00C1603D">
        <w:t xml:space="preserve">* or risk or risks or </w:t>
      </w:r>
      <w:proofErr w:type="spellStart"/>
      <w:r w:rsidRPr="00C1603D">
        <w:t>stratif</w:t>
      </w:r>
      <w:proofErr w:type="spellEnd"/>
      <w:r w:rsidRPr="00C1603D">
        <w:t xml:space="preserve">* or </w:t>
      </w:r>
      <w:proofErr w:type="spellStart"/>
      <w:r w:rsidRPr="00C1603D">
        <w:t>validat</w:t>
      </w:r>
      <w:proofErr w:type="spellEnd"/>
      <w:r w:rsidRPr="00C1603D">
        <w:t xml:space="preserve">*) adj3 (model* or factor* or algorithm? or </w:t>
      </w:r>
      <w:proofErr w:type="spellStart"/>
      <w:r w:rsidRPr="00C1603D">
        <w:t>scor</w:t>
      </w:r>
      <w:proofErr w:type="spellEnd"/>
      <w:r w:rsidRPr="00C1603D">
        <w:t xml:space="preserve">* or system or technique? or aid? or </w:t>
      </w:r>
      <w:proofErr w:type="gramStart"/>
      <w:r w:rsidRPr="00C1603D">
        <w:t>rule or rules or index</w:t>
      </w:r>
      <w:proofErr w:type="gramEnd"/>
      <w:r w:rsidRPr="00C1603D">
        <w:t xml:space="preserve"> or variable* or tool? or panel or </w:t>
      </w:r>
      <w:proofErr w:type="spellStart"/>
      <w:r w:rsidRPr="00C1603D">
        <w:t>criteri</w:t>
      </w:r>
      <w:proofErr w:type="spellEnd"/>
      <w:r w:rsidRPr="00C1603D">
        <w:t xml:space="preserve">* or characteristic? or history or finding* or value* or assay or </w:t>
      </w:r>
      <w:proofErr w:type="spellStart"/>
      <w:r w:rsidRPr="00C1603D">
        <w:t>stratif</w:t>
      </w:r>
      <w:proofErr w:type="spellEnd"/>
      <w:r w:rsidRPr="00C1603D">
        <w:t>* or biomarker?)).</w:t>
      </w:r>
      <w:proofErr w:type="spellStart"/>
      <w:r w:rsidRPr="00C1603D">
        <w:t>ti,ab,kw</w:t>
      </w:r>
      <w:proofErr w:type="spellEnd"/>
      <w:r w:rsidRPr="00C1603D">
        <w:t>. (2</w:t>
      </w:r>
      <w:r w:rsidR="00263FAE" w:rsidRPr="00C1603D">
        <w:t>,</w:t>
      </w:r>
      <w:r w:rsidRPr="00C1603D">
        <w:t>855</w:t>
      </w:r>
      <w:r w:rsidR="00263FAE" w:rsidRPr="00C1603D">
        <w:t>,</w:t>
      </w:r>
      <w:r w:rsidRPr="00C1603D">
        <w:t>495)</w:t>
      </w:r>
    </w:p>
    <w:p w14:paraId="2C19B61F" w14:textId="1C0B1092" w:rsidR="00100453" w:rsidRPr="00C1603D" w:rsidRDefault="00100453" w:rsidP="00100453">
      <w:pPr>
        <w:pStyle w:val="621TextnumberedlistTextstylesTextstyles"/>
      </w:pPr>
      <w:r w:rsidRPr="00C1603D">
        <w:t xml:space="preserve">((detect* or </w:t>
      </w:r>
      <w:proofErr w:type="spellStart"/>
      <w:r w:rsidRPr="00C1603D">
        <w:t>diagnos</w:t>
      </w:r>
      <w:proofErr w:type="spellEnd"/>
      <w:r w:rsidRPr="00C1603D">
        <w:t xml:space="preserve">* or </w:t>
      </w:r>
      <w:proofErr w:type="spellStart"/>
      <w:r w:rsidRPr="00C1603D">
        <w:t>identif</w:t>
      </w:r>
      <w:proofErr w:type="spellEnd"/>
      <w:r w:rsidRPr="00C1603D">
        <w:t xml:space="preserve">* or decision* or predict* or </w:t>
      </w:r>
      <w:proofErr w:type="spellStart"/>
      <w:r w:rsidRPr="00C1603D">
        <w:t>prognos</w:t>
      </w:r>
      <w:proofErr w:type="spellEnd"/>
      <w:r w:rsidRPr="00C1603D">
        <w:t xml:space="preserve">* or </w:t>
      </w:r>
      <w:proofErr w:type="spellStart"/>
      <w:r w:rsidRPr="00C1603D">
        <w:t>stratif</w:t>
      </w:r>
      <w:proofErr w:type="spellEnd"/>
      <w:r w:rsidRPr="00C1603D">
        <w:t xml:space="preserve">* or </w:t>
      </w:r>
      <w:proofErr w:type="spellStart"/>
      <w:r w:rsidRPr="00C1603D">
        <w:t>validat</w:t>
      </w:r>
      <w:proofErr w:type="spellEnd"/>
      <w:r w:rsidRPr="00C1603D">
        <w:t xml:space="preserve">*) adj3 (risk or risks or model* or factor* or algorithm? or </w:t>
      </w:r>
      <w:proofErr w:type="spellStart"/>
      <w:r w:rsidRPr="00C1603D">
        <w:t>scor</w:t>
      </w:r>
      <w:proofErr w:type="spellEnd"/>
      <w:r w:rsidRPr="00C1603D">
        <w:t xml:space="preserve">* or system or technique? or aid? or </w:t>
      </w:r>
      <w:proofErr w:type="gramStart"/>
      <w:r w:rsidRPr="00C1603D">
        <w:t>rule or rules or index</w:t>
      </w:r>
      <w:proofErr w:type="gramEnd"/>
      <w:r w:rsidRPr="00C1603D">
        <w:t xml:space="preserve"> or variable* or tool? or panel or </w:t>
      </w:r>
      <w:proofErr w:type="spellStart"/>
      <w:r w:rsidRPr="00C1603D">
        <w:t>criteri</w:t>
      </w:r>
      <w:proofErr w:type="spellEnd"/>
      <w:r w:rsidRPr="00C1603D">
        <w:t xml:space="preserve">* or characteristic? or history or finding* or value* or assay or </w:t>
      </w:r>
      <w:proofErr w:type="spellStart"/>
      <w:r w:rsidRPr="00C1603D">
        <w:t>stratif</w:t>
      </w:r>
      <w:proofErr w:type="spellEnd"/>
      <w:r w:rsidRPr="00C1603D">
        <w:t>* or biomarker?)).</w:t>
      </w:r>
      <w:proofErr w:type="spellStart"/>
      <w:r w:rsidRPr="00C1603D">
        <w:t>ti,ab,kw</w:t>
      </w:r>
      <w:proofErr w:type="spellEnd"/>
      <w:r w:rsidRPr="00C1603D">
        <w:t>. (2</w:t>
      </w:r>
      <w:r w:rsidR="00263FAE" w:rsidRPr="00C1603D">
        <w:t>,</w:t>
      </w:r>
      <w:r w:rsidRPr="00C1603D">
        <w:t>225</w:t>
      </w:r>
      <w:r w:rsidR="00263FAE" w:rsidRPr="00C1603D">
        <w:t>,</w:t>
      </w:r>
      <w:r w:rsidRPr="00C1603D">
        <w:t>766)</w:t>
      </w:r>
    </w:p>
    <w:p w14:paraId="716C95AE" w14:textId="19EC25C8" w:rsidR="00100453" w:rsidRPr="00C1603D" w:rsidRDefault="00100453" w:rsidP="00100453">
      <w:pPr>
        <w:pStyle w:val="621TextnumberedlistTextstylesTextstyles"/>
      </w:pPr>
      <w:r w:rsidRPr="00C1603D">
        <w:t xml:space="preserve">(clinic* adj3 (model* or algorithm? or </w:t>
      </w:r>
      <w:proofErr w:type="spellStart"/>
      <w:r w:rsidRPr="00C1603D">
        <w:t>scor</w:t>
      </w:r>
      <w:proofErr w:type="spellEnd"/>
      <w:r w:rsidRPr="00C1603D">
        <w:t xml:space="preserve">* or </w:t>
      </w:r>
      <w:proofErr w:type="gramStart"/>
      <w:r w:rsidRPr="00C1603D">
        <w:t>risk or risks or rule</w:t>
      </w:r>
      <w:proofErr w:type="gramEnd"/>
      <w:r w:rsidRPr="00C1603D">
        <w:t xml:space="preserve"> or rules or predict* or index or tool? or panel or </w:t>
      </w:r>
      <w:proofErr w:type="spellStart"/>
      <w:r w:rsidRPr="00C1603D">
        <w:t>criteri</w:t>
      </w:r>
      <w:proofErr w:type="spellEnd"/>
      <w:r w:rsidRPr="00C1603D">
        <w:t xml:space="preserve">* or decision* or </w:t>
      </w:r>
      <w:proofErr w:type="spellStart"/>
      <w:r w:rsidRPr="00C1603D">
        <w:t>stratif</w:t>
      </w:r>
      <w:proofErr w:type="spellEnd"/>
      <w:r w:rsidRPr="00C1603D">
        <w:t xml:space="preserve">* or </w:t>
      </w:r>
      <w:proofErr w:type="spellStart"/>
      <w:r w:rsidRPr="00C1603D">
        <w:t>diagnos</w:t>
      </w:r>
      <w:proofErr w:type="spellEnd"/>
      <w:r w:rsidRPr="00C1603D">
        <w:t xml:space="preserve">* or detect* or </w:t>
      </w:r>
      <w:proofErr w:type="spellStart"/>
      <w:r w:rsidRPr="00C1603D">
        <w:t>identif</w:t>
      </w:r>
      <w:proofErr w:type="spellEnd"/>
      <w:r w:rsidRPr="00C1603D">
        <w:t xml:space="preserve">* or </w:t>
      </w:r>
      <w:proofErr w:type="spellStart"/>
      <w:r w:rsidRPr="00C1603D">
        <w:t>probabilit</w:t>
      </w:r>
      <w:proofErr w:type="spellEnd"/>
      <w:r w:rsidRPr="00C1603D">
        <w:t>*)).</w:t>
      </w:r>
      <w:proofErr w:type="spellStart"/>
      <w:r w:rsidRPr="00C1603D">
        <w:t>ti,ab,kw</w:t>
      </w:r>
      <w:proofErr w:type="spellEnd"/>
      <w:r w:rsidRPr="00C1603D">
        <w:t>. (632</w:t>
      </w:r>
      <w:r w:rsidR="00263FAE" w:rsidRPr="00C1603D">
        <w:t>,</w:t>
      </w:r>
      <w:r w:rsidRPr="00C1603D">
        <w:t>961)</w:t>
      </w:r>
    </w:p>
    <w:p w14:paraId="6DB72CEB" w14:textId="532A542D" w:rsidR="00100453" w:rsidRPr="00C1603D" w:rsidRDefault="00100453" w:rsidP="00100453">
      <w:pPr>
        <w:pStyle w:val="621TextnumberedlistTextstylesTextstyles"/>
      </w:pPr>
      <w:r w:rsidRPr="00C1603D">
        <w:t>((</w:t>
      </w:r>
      <w:proofErr w:type="spellStart"/>
      <w:r w:rsidRPr="00C1603D">
        <w:t>multivaria</w:t>
      </w:r>
      <w:proofErr w:type="spellEnd"/>
      <w:r w:rsidRPr="00C1603D">
        <w:t xml:space="preserve">* or multicomponent?) adj3 (model* or algorithm? or </w:t>
      </w:r>
      <w:proofErr w:type="spellStart"/>
      <w:r w:rsidRPr="00C1603D">
        <w:t>scor</w:t>
      </w:r>
      <w:proofErr w:type="spellEnd"/>
      <w:r w:rsidRPr="00C1603D">
        <w:t xml:space="preserve">* or </w:t>
      </w:r>
      <w:proofErr w:type="gramStart"/>
      <w:r w:rsidRPr="00C1603D">
        <w:t>rule or rules or index</w:t>
      </w:r>
      <w:proofErr w:type="gramEnd"/>
      <w:r w:rsidRPr="00C1603D">
        <w:t xml:space="preserve"> or tool? or panel or </w:t>
      </w:r>
      <w:proofErr w:type="spellStart"/>
      <w:r w:rsidRPr="00C1603D">
        <w:t>criteri</w:t>
      </w:r>
      <w:proofErr w:type="spellEnd"/>
      <w:r w:rsidRPr="00C1603D">
        <w:t>*)).</w:t>
      </w:r>
      <w:proofErr w:type="spellStart"/>
      <w:r w:rsidRPr="00C1603D">
        <w:t>ti,ab,kw</w:t>
      </w:r>
      <w:proofErr w:type="spellEnd"/>
      <w:r w:rsidRPr="00C1603D">
        <w:t>. (110</w:t>
      </w:r>
      <w:r w:rsidR="00263FAE" w:rsidRPr="00C1603D">
        <w:t>,</w:t>
      </w:r>
      <w:r w:rsidRPr="00C1603D">
        <w:t>662)</w:t>
      </w:r>
    </w:p>
    <w:p w14:paraId="27432530" w14:textId="79126E9C" w:rsidR="00100453" w:rsidRPr="00C1603D" w:rsidRDefault="00100453" w:rsidP="00100453">
      <w:pPr>
        <w:pStyle w:val="621TextnumberedlistTextstylesTextstyles"/>
      </w:pPr>
      <w:r w:rsidRPr="00C1603D">
        <w:t>clinical decision making/ or statistical model/ or algorithm/ (444</w:t>
      </w:r>
      <w:r w:rsidR="00263FAE" w:rsidRPr="00C1603D">
        <w:t>,</w:t>
      </w:r>
      <w:r w:rsidRPr="00C1603D">
        <w:t>594)</w:t>
      </w:r>
    </w:p>
    <w:p w14:paraId="55F678FB" w14:textId="47C203A3" w:rsidR="00100453" w:rsidRPr="00C1603D" w:rsidRDefault="00100453" w:rsidP="00100453">
      <w:pPr>
        <w:pStyle w:val="621TextnumberedlistTextstylesTextstyles"/>
      </w:pPr>
      <w:r w:rsidRPr="00C1603D">
        <w:t>or/6-10 (3</w:t>
      </w:r>
      <w:r w:rsidR="00263FAE" w:rsidRPr="00C1603D">
        <w:t>,</w:t>
      </w:r>
      <w:r w:rsidRPr="00C1603D">
        <w:t>678</w:t>
      </w:r>
      <w:r w:rsidR="00263FAE" w:rsidRPr="00C1603D">
        <w:t>,</w:t>
      </w:r>
      <w:r w:rsidRPr="00C1603D">
        <w:t>637)</w:t>
      </w:r>
    </w:p>
    <w:p w14:paraId="6B8C0727" w14:textId="76547689" w:rsidR="00100453" w:rsidRPr="00C1603D" w:rsidRDefault="00100453" w:rsidP="00100453">
      <w:pPr>
        <w:pStyle w:val="621TextnumberedlistTextstylesTextstyles"/>
      </w:pPr>
      <w:r w:rsidRPr="00C1603D">
        <w:t>5 and 11 (6036)</w:t>
      </w:r>
    </w:p>
    <w:p w14:paraId="75FB586E" w14:textId="35ADAD00" w:rsidR="00100453" w:rsidRPr="00C1603D" w:rsidRDefault="00100453" w:rsidP="00100453">
      <w:pPr>
        <w:pStyle w:val="621TextnumberedlistTextstylesTextstyles"/>
      </w:pPr>
      <w:r w:rsidRPr="00C1603D">
        <w:t>*physical disease by body function/ or exp *abnormal blood pressure/ or exp *abnormal posture/ or *aerophagia/ or exp *appetite disorder/ or *asthenia/ or *asymptomatic disease/ or exp *autonomic dysfunction/ or exp *balance disorder/ or exp *blood clotting disorder/ or exp *body temperature disorder/ or exp *body weight disorder/ or exp *common cold symptom/ or exp *consciousness disorder/ or exp *constipation/ or exp *coughing/ or exp *cyanosis/ or exp *</w:t>
      </w:r>
      <w:proofErr w:type="spellStart"/>
      <w:r w:rsidRPr="00C1603D">
        <w:t>diarrhea</w:t>
      </w:r>
      <w:proofErr w:type="spellEnd"/>
      <w:r w:rsidRPr="00C1603D">
        <w:t>/ or exp *disability/ or exp *"disorders of higher cerebral function"/ or exp *dysphagia/ or *eructation/ or exp *faintness/ or exp *fatigue/ or *functional disease/ or exp *growth disorder/ or exp *immunopathology/ or exp *incontinence/ or exp *infertility/ or *listlessness/ or *malaise/ or *meningism/ or exp *metabolic disorder/ or exp *micturition disorder/ or exp *motor dysfunction/ or exp *multiple organ failure/ or exp *"nausea and vomiting"/ or exp *nutritional disorder/ or exp *pain/ or *pallor/ or exp *pregnancy disorder/ or *qi deficiency/ or *qi stagnation/ or exp *reflex disorder/ or exp *respiratory function disorder/ or exp *salivation disorder/ or exp *sensory dysfunction/ or exp *sexual dysfunction/ or exp *shock/ or exp *sleep disorder/ or exp *speech disorder/ or *weakness/ or *yang deficiency/ or *yin deficiency/ (4</w:t>
      </w:r>
      <w:r w:rsidR="00263FAE" w:rsidRPr="00C1603D">
        <w:t>,</w:t>
      </w:r>
      <w:r w:rsidRPr="00C1603D">
        <w:t>991</w:t>
      </w:r>
      <w:r w:rsidR="00263FAE" w:rsidRPr="00C1603D">
        <w:t>,</w:t>
      </w:r>
      <w:r w:rsidRPr="00C1603D">
        <w:t>033)</w:t>
      </w:r>
    </w:p>
    <w:p w14:paraId="467C5824" w14:textId="218B8C03" w:rsidR="00100453" w:rsidRPr="00C1603D" w:rsidRDefault="00100453" w:rsidP="00100453">
      <w:pPr>
        <w:pStyle w:val="621TextnumberedlistTextstylesTextstyles"/>
      </w:pPr>
      <w:r w:rsidRPr="00C1603D">
        <w:t>*physical disease by anatomical structure/ or exp *abdominal disease/ or exp *abnormal body build/ or exp *breast disease/ or exp *cardiovascular disease/ or exp *connective tissue disease/ or exp *digestive system disease/ or exp *ear nose throat disease/ or exp *endocrine disease/ or exp *eye disease/ or exp *"head and neck disease"/ or exp *hematologic disease/ or exp *mouth disease/ or exp *mucosal disease/ or exp *musculoskeletal disease/ or exp *neurologic disease/ or exp *pelvic disease/ or exp *respiratory tract disease/ or exp *skin disease/ or exp *soft tissue disease/ or exp *thorax disease/ or exp *urogenital tract disease/ (11</w:t>
      </w:r>
      <w:r w:rsidR="00263FAE" w:rsidRPr="00C1603D">
        <w:t>,</w:t>
      </w:r>
      <w:r w:rsidRPr="00C1603D">
        <w:t>959</w:t>
      </w:r>
      <w:r w:rsidR="00263FAE" w:rsidRPr="00C1603D">
        <w:t>,</w:t>
      </w:r>
      <w:r w:rsidRPr="00C1603D">
        <w:t>905)</w:t>
      </w:r>
    </w:p>
    <w:p w14:paraId="2B4E3160" w14:textId="44A4E42F" w:rsidR="00100453" w:rsidRPr="00C1603D" w:rsidRDefault="00100453" w:rsidP="00100453">
      <w:pPr>
        <w:pStyle w:val="621TextnumberedlistTextstylesTextstyles"/>
      </w:pPr>
      <w:r w:rsidRPr="00C1603D">
        <w:t xml:space="preserve">*"physical disease by composition of body fluids, excreta and secretions"/ or exp *abnormal </w:t>
      </w:r>
      <w:proofErr w:type="spellStart"/>
      <w:r w:rsidRPr="00C1603D">
        <w:t>feces</w:t>
      </w:r>
      <w:proofErr w:type="spellEnd"/>
      <w:r w:rsidRPr="00C1603D">
        <w:t xml:space="preserve"> composition/ or exp *abnormal substrate concentration in blood/ or exp *abnormal urine composition/ or *dehydration/ or *hypervolemia/ (344</w:t>
      </w:r>
      <w:r w:rsidR="00263FAE" w:rsidRPr="00C1603D">
        <w:t>,</w:t>
      </w:r>
      <w:r w:rsidRPr="00C1603D">
        <w:t>197)</w:t>
      </w:r>
    </w:p>
    <w:p w14:paraId="71C8F09C" w14:textId="0CBE3928" w:rsidR="00100453" w:rsidRPr="00C1603D" w:rsidRDefault="00100453" w:rsidP="00100453">
      <w:pPr>
        <w:pStyle w:val="621TextnumberedlistTextstylesTextstyles"/>
      </w:pPr>
      <w:r w:rsidRPr="00C1603D">
        <w:lastRenderedPageBreak/>
        <w:t>((</w:t>
      </w:r>
      <w:proofErr w:type="spellStart"/>
      <w:r w:rsidRPr="00C1603D">
        <w:t>addison</w:t>
      </w:r>
      <w:proofErr w:type="spellEnd"/>
      <w:r w:rsidRPr="00C1603D">
        <w:t xml:space="preserve">* adj3 (disease* or disorder* or </w:t>
      </w:r>
      <w:proofErr w:type="spellStart"/>
      <w:r w:rsidRPr="00C1603D">
        <w:t>syndrom</w:t>
      </w:r>
      <w:proofErr w:type="spellEnd"/>
      <w:r w:rsidRPr="00C1603D">
        <w:t xml:space="preserve">*)) or alopecia or baldness or amenorrhea* or amenorrhoea* or oligomenorrhea* or oligomenorrhoea* or anxiety disorder* or anorexia or adrenal </w:t>
      </w:r>
      <w:proofErr w:type="spellStart"/>
      <w:r w:rsidRPr="00C1603D">
        <w:t>insufficienc</w:t>
      </w:r>
      <w:proofErr w:type="spellEnd"/>
      <w:r w:rsidRPr="00C1603D">
        <w:t xml:space="preserve">* or adrenocortical </w:t>
      </w:r>
      <w:proofErr w:type="spellStart"/>
      <w:r w:rsidRPr="00C1603D">
        <w:t>insufficienc</w:t>
      </w:r>
      <w:proofErr w:type="spellEnd"/>
      <w:r w:rsidRPr="00C1603D">
        <w:t xml:space="preserve">* or </w:t>
      </w:r>
      <w:proofErr w:type="spellStart"/>
      <w:r w:rsidRPr="00C1603D">
        <w:t>allerg</w:t>
      </w:r>
      <w:proofErr w:type="spellEnd"/>
      <w:r w:rsidRPr="00C1603D">
        <w:t xml:space="preserve">* or </w:t>
      </w:r>
      <w:proofErr w:type="spellStart"/>
      <w:r w:rsidRPr="00C1603D">
        <w:t>anemi</w:t>
      </w:r>
      <w:proofErr w:type="spellEnd"/>
      <w:r w:rsidRPr="00C1603D">
        <w:t xml:space="preserve">* or </w:t>
      </w:r>
      <w:proofErr w:type="spellStart"/>
      <w:r w:rsidRPr="00C1603D">
        <w:t>anaemi</w:t>
      </w:r>
      <w:proofErr w:type="spellEnd"/>
      <w:r w:rsidRPr="00C1603D">
        <w:t xml:space="preserve">* or angina or aneurysm or ankylosing spondylitis or </w:t>
      </w:r>
      <w:proofErr w:type="spellStart"/>
      <w:r w:rsidRPr="00C1603D">
        <w:t>arthropath</w:t>
      </w:r>
      <w:proofErr w:type="spellEnd"/>
      <w:r w:rsidRPr="00C1603D">
        <w:t xml:space="preserve">* or </w:t>
      </w:r>
      <w:proofErr w:type="spellStart"/>
      <w:r w:rsidRPr="00C1603D">
        <w:t>arthriti</w:t>
      </w:r>
      <w:proofErr w:type="spellEnd"/>
      <w:r w:rsidRPr="00C1603D">
        <w:t xml:space="preserve">* or arthrosis or arthroses or asthma* or asthenia or ataxia or atrial fibrillation or atrophy or autoimmune disorder* or (autoimmune </w:t>
      </w:r>
      <w:proofErr w:type="spellStart"/>
      <w:r w:rsidRPr="00C1603D">
        <w:t>adj</w:t>
      </w:r>
      <w:proofErr w:type="spellEnd"/>
      <w:r w:rsidRPr="00C1603D">
        <w:t xml:space="preserve"> (disease* or disorder* or </w:t>
      </w:r>
      <w:proofErr w:type="spellStart"/>
      <w:r w:rsidRPr="00C1603D">
        <w:t>syndrom</w:t>
      </w:r>
      <w:proofErr w:type="spellEnd"/>
      <w:r w:rsidRPr="00C1603D">
        <w:t xml:space="preserve">*)) or ataxia or avitaminosis or </w:t>
      </w:r>
      <w:proofErr w:type="spellStart"/>
      <w:r w:rsidRPr="00C1603D">
        <w:t>bonnevie</w:t>
      </w:r>
      <w:proofErr w:type="spellEnd"/>
      <w:r w:rsidRPr="00C1603D">
        <w:t xml:space="preserve"> </w:t>
      </w:r>
      <w:proofErr w:type="spellStart"/>
      <w:r w:rsidRPr="00C1603D">
        <w:t>ullrich</w:t>
      </w:r>
      <w:proofErr w:type="spellEnd"/>
      <w:r w:rsidRPr="00C1603D">
        <w:t xml:space="preserve"> or back pain or (biliary adj3 (disease* or disorder* or </w:t>
      </w:r>
      <w:proofErr w:type="spellStart"/>
      <w:r w:rsidRPr="00C1603D">
        <w:t>syndrom</w:t>
      </w:r>
      <w:proofErr w:type="spellEnd"/>
      <w:r w:rsidRPr="00C1603D">
        <w:t xml:space="preserve">*)) or (bipolar adj3 disorder*) or blindness or blind loop </w:t>
      </w:r>
      <w:proofErr w:type="spellStart"/>
      <w:r w:rsidRPr="00C1603D">
        <w:t>syndrom</w:t>
      </w:r>
      <w:proofErr w:type="spellEnd"/>
      <w:r w:rsidRPr="00C1603D">
        <w:t xml:space="preserve">* or (blood adj3 poisoning) or brain </w:t>
      </w:r>
      <w:proofErr w:type="spellStart"/>
      <w:r w:rsidRPr="00C1603D">
        <w:t>atroph</w:t>
      </w:r>
      <w:proofErr w:type="spellEnd"/>
      <w:r w:rsidRPr="00C1603D">
        <w:t xml:space="preserve">* or ((bone or bones) adj3 (broken or disease* or disorder* or </w:t>
      </w:r>
      <w:proofErr w:type="spellStart"/>
      <w:r w:rsidRPr="00C1603D">
        <w:t>syndrom</w:t>
      </w:r>
      <w:proofErr w:type="spellEnd"/>
      <w:r w:rsidRPr="00C1603D">
        <w:t xml:space="preserve">*)) or (bone* adj3 (mineral* or </w:t>
      </w:r>
      <w:proofErr w:type="spellStart"/>
      <w:r w:rsidRPr="00C1603D">
        <w:t>densit</w:t>
      </w:r>
      <w:proofErr w:type="spellEnd"/>
      <w:r w:rsidRPr="00C1603D">
        <w:t xml:space="preserve">* or soft* or decay*)) or (brain adj3 (disease* or disorder* or </w:t>
      </w:r>
      <w:proofErr w:type="spellStart"/>
      <w:r w:rsidRPr="00C1603D">
        <w:t>syndrom</w:t>
      </w:r>
      <w:proofErr w:type="spellEnd"/>
      <w:r w:rsidRPr="00C1603D">
        <w:t xml:space="preserve">*)) or (bronchi* adj3 (disease* or disorder* or </w:t>
      </w:r>
      <w:proofErr w:type="spellStart"/>
      <w:r w:rsidRPr="00C1603D">
        <w:t>syndrom</w:t>
      </w:r>
      <w:proofErr w:type="spellEnd"/>
      <w:r w:rsidRPr="00C1603D">
        <w:t xml:space="preserve">*)) or (bowel* adj3 (disease* or disorder* or </w:t>
      </w:r>
      <w:proofErr w:type="spellStart"/>
      <w:r w:rsidRPr="00C1603D">
        <w:t>syndrom</w:t>
      </w:r>
      <w:proofErr w:type="spellEnd"/>
      <w:r w:rsidRPr="00C1603D">
        <w:t xml:space="preserve">*)) or calcinosis or cancer* or carcinoma* or adenocarcinoma* or neoplasm* or neoplastic or </w:t>
      </w:r>
      <w:proofErr w:type="spellStart"/>
      <w:r w:rsidRPr="00C1603D">
        <w:t>metasta</w:t>
      </w:r>
      <w:proofErr w:type="spellEnd"/>
      <w:r w:rsidRPr="00C1603D">
        <w:t xml:space="preserve">* or </w:t>
      </w:r>
      <w:proofErr w:type="spellStart"/>
      <w:r w:rsidRPr="00C1603D">
        <w:t>malignan</w:t>
      </w:r>
      <w:proofErr w:type="spellEnd"/>
      <w:r w:rsidRPr="00C1603D">
        <w:t xml:space="preserve">* or tumour or tumours or </w:t>
      </w:r>
      <w:proofErr w:type="spellStart"/>
      <w:r w:rsidRPr="00C1603D">
        <w:t>tumor</w:t>
      </w:r>
      <w:proofErr w:type="spellEnd"/>
      <w:r w:rsidRPr="00C1603D">
        <w:t xml:space="preserve"> or </w:t>
      </w:r>
      <w:proofErr w:type="spellStart"/>
      <w:r w:rsidRPr="00C1603D">
        <w:t>tumors</w:t>
      </w:r>
      <w:proofErr w:type="spellEnd"/>
      <w:r w:rsidRPr="00C1603D">
        <w:t xml:space="preserve"> or (cardiac adj3 (arrest or arrhythmia* or disease* or disorder* or </w:t>
      </w:r>
      <w:proofErr w:type="spellStart"/>
      <w:r w:rsidRPr="00C1603D">
        <w:t>surg</w:t>
      </w:r>
      <w:proofErr w:type="spellEnd"/>
      <w:r w:rsidRPr="00C1603D">
        <w:t xml:space="preserve">* or </w:t>
      </w:r>
      <w:proofErr w:type="spellStart"/>
      <w:r w:rsidRPr="00C1603D">
        <w:t>syndrom</w:t>
      </w:r>
      <w:proofErr w:type="spellEnd"/>
      <w:r w:rsidRPr="00C1603D">
        <w:t xml:space="preserve">*)) or </w:t>
      </w:r>
      <w:proofErr w:type="spellStart"/>
      <w:r w:rsidRPr="00C1603D">
        <w:t>cardiomyopath</w:t>
      </w:r>
      <w:proofErr w:type="spellEnd"/>
      <w:r w:rsidRPr="00C1603D">
        <w:t xml:space="preserve">* or ((cardiovascular or coronary) adj3 (disease* or disorder* or event* or </w:t>
      </w:r>
      <w:proofErr w:type="spellStart"/>
      <w:r w:rsidRPr="00C1603D">
        <w:t>syndrom</w:t>
      </w:r>
      <w:proofErr w:type="spellEnd"/>
      <w:r w:rsidRPr="00C1603D">
        <w:t>*)) or cachexia or ((</w:t>
      </w:r>
      <w:proofErr w:type="spellStart"/>
      <w:r w:rsidRPr="00C1603D">
        <w:t>cecal</w:t>
      </w:r>
      <w:proofErr w:type="spellEnd"/>
      <w:r w:rsidRPr="00C1603D">
        <w:t xml:space="preserve"> or colon* or </w:t>
      </w:r>
      <w:proofErr w:type="spellStart"/>
      <w:r w:rsidRPr="00C1603D">
        <w:t>duoden</w:t>
      </w:r>
      <w:proofErr w:type="spellEnd"/>
      <w:r w:rsidRPr="00C1603D">
        <w:t xml:space="preserve">*) adj3 (disease* or disorder* or </w:t>
      </w:r>
      <w:proofErr w:type="spellStart"/>
      <w:r w:rsidRPr="00C1603D">
        <w:t>syndrom</w:t>
      </w:r>
      <w:proofErr w:type="spellEnd"/>
      <w:r w:rsidRPr="00C1603D">
        <w:t>*)) or cerebral palsy or (</w:t>
      </w:r>
      <w:proofErr w:type="spellStart"/>
      <w:r w:rsidRPr="00C1603D">
        <w:t>cerebro</w:t>
      </w:r>
      <w:proofErr w:type="spellEnd"/>
      <w:r w:rsidRPr="00C1603D">
        <w:t>* adj3 (</w:t>
      </w:r>
      <w:proofErr w:type="spellStart"/>
      <w:r w:rsidRPr="00C1603D">
        <w:t>degenerat</w:t>
      </w:r>
      <w:proofErr w:type="spellEnd"/>
      <w:r w:rsidRPr="00C1603D">
        <w:t xml:space="preserve">* or disease* or disorder* or event* or </w:t>
      </w:r>
      <w:proofErr w:type="spellStart"/>
      <w:r w:rsidRPr="00C1603D">
        <w:t>syndrom</w:t>
      </w:r>
      <w:proofErr w:type="spellEnd"/>
      <w:r w:rsidRPr="00C1603D">
        <w:t xml:space="preserve">*)) or chronic obstructive disease* or cirrhosis or claudication or colic or </w:t>
      </w:r>
      <w:proofErr w:type="spellStart"/>
      <w:r w:rsidRPr="00C1603D">
        <w:t>copd</w:t>
      </w:r>
      <w:proofErr w:type="spellEnd"/>
      <w:r w:rsidRPr="00C1603D">
        <w:t xml:space="preserve"> or ((coordination or co-ordination) adj3 (impair* or lack)) or congenital </w:t>
      </w:r>
      <w:proofErr w:type="spellStart"/>
      <w:r w:rsidRPr="00C1603D">
        <w:t>abnormalit</w:t>
      </w:r>
      <w:proofErr w:type="spellEnd"/>
      <w:r w:rsidRPr="00C1603D">
        <w:t>* or (</w:t>
      </w:r>
      <w:proofErr w:type="spellStart"/>
      <w:r w:rsidRPr="00C1603D">
        <w:t>congential</w:t>
      </w:r>
      <w:proofErr w:type="spellEnd"/>
      <w:r w:rsidRPr="00C1603D">
        <w:t xml:space="preserve"> adj3 (disease* or disorder* or </w:t>
      </w:r>
      <w:proofErr w:type="spellStart"/>
      <w:r w:rsidRPr="00C1603D">
        <w:t>syndrom</w:t>
      </w:r>
      <w:proofErr w:type="spellEnd"/>
      <w:r w:rsidRPr="00C1603D">
        <w:t xml:space="preserve">*)) or ((connective or collagen* or skin) adj3 (disease* or disorder* or </w:t>
      </w:r>
      <w:proofErr w:type="spellStart"/>
      <w:r w:rsidRPr="00C1603D">
        <w:t>syndrom</w:t>
      </w:r>
      <w:proofErr w:type="spellEnd"/>
      <w:r w:rsidRPr="00C1603D">
        <w:t xml:space="preserve">*)) or collagenous sprue or colitis or </w:t>
      </w:r>
      <w:proofErr w:type="spellStart"/>
      <w:r w:rsidRPr="00C1603D">
        <w:t>colotides</w:t>
      </w:r>
      <w:proofErr w:type="spellEnd"/>
      <w:r w:rsidRPr="00C1603D">
        <w:t xml:space="preserve"> or coxarthrosis or </w:t>
      </w:r>
      <w:proofErr w:type="spellStart"/>
      <w:r w:rsidRPr="00C1603D">
        <w:t>crohn</w:t>
      </w:r>
      <w:proofErr w:type="spellEnd"/>
      <w:r w:rsidRPr="00C1603D">
        <w:t xml:space="preserve">* or </w:t>
      </w:r>
      <w:proofErr w:type="spellStart"/>
      <w:r w:rsidRPr="00C1603D">
        <w:t>cushing</w:t>
      </w:r>
      <w:proofErr w:type="spellEnd"/>
      <w:r w:rsidRPr="00C1603D">
        <w:t xml:space="preserve">* or cyanosis or cystic fibrosis or cystitis or deaf* or </w:t>
      </w:r>
      <w:proofErr w:type="spellStart"/>
      <w:r w:rsidRPr="00C1603D">
        <w:t>deformit</w:t>
      </w:r>
      <w:proofErr w:type="spellEnd"/>
      <w:r w:rsidRPr="00C1603D">
        <w:t xml:space="preserve">* or delayed puberty or dental or depressive disorder* or dysphoria or dysthymia or disabled or (physical adj3 (deform* or </w:t>
      </w:r>
      <w:proofErr w:type="spellStart"/>
      <w:r w:rsidRPr="00C1603D">
        <w:t>disab</w:t>
      </w:r>
      <w:proofErr w:type="spellEnd"/>
      <w:r w:rsidRPr="00C1603D">
        <w:t xml:space="preserve">* or impair*)) or dermatitis or </w:t>
      </w:r>
      <w:proofErr w:type="spellStart"/>
      <w:r w:rsidRPr="00C1603D">
        <w:t>dermato</w:t>
      </w:r>
      <w:proofErr w:type="spellEnd"/>
      <w:r w:rsidRPr="00C1603D">
        <w:t xml:space="preserve">* or </w:t>
      </w:r>
      <w:proofErr w:type="spellStart"/>
      <w:r w:rsidRPr="00C1603D">
        <w:t>dorsopath</w:t>
      </w:r>
      <w:proofErr w:type="spellEnd"/>
      <w:r w:rsidRPr="00C1603D">
        <w:t xml:space="preserve">* or </w:t>
      </w:r>
      <w:proofErr w:type="spellStart"/>
      <w:r w:rsidRPr="00C1603D">
        <w:t>diabet</w:t>
      </w:r>
      <w:proofErr w:type="spellEnd"/>
      <w:r w:rsidRPr="00C1603D">
        <w:t xml:space="preserve">* or down* </w:t>
      </w:r>
      <w:proofErr w:type="spellStart"/>
      <w:r w:rsidRPr="00C1603D">
        <w:t>syndrom</w:t>
      </w:r>
      <w:proofErr w:type="spellEnd"/>
      <w:r w:rsidRPr="00C1603D">
        <w:t xml:space="preserve">* or </w:t>
      </w:r>
      <w:proofErr w:type="spellStart"/>
      <w:r w:rsidRPr="00C1603D">
        <w:t>duhring</w:t>
      </w:r>
      <w:proofErr w:type="spellEnd"/>
      <w:r w:rsidRPr="00C1603D">
        <w:t xml:space="preserve">* or </w:t>
      </w:r>
      <w:proofErr w:type="spellStart"/>
      <w:r w:rsidRPr="00C1603D">
        <w:t>duehring</w:t>
      </w:r>
      <w:proofErr w:type="spellEnd"/>
      <w:r w:rsidRPr="00C1603D">
        <w:t xml:space="preserve">* or </w:t>
      </w:r>
      <w:proofErr w:type="spellStart"/>
      <w:r w:rsidRPr="00C1603D">
        <w:t>duhrig</w:t>
      </w:r>
      <w:proofErr w:type="spellEnd"/>
      <w:r w:rsidRPr="00C1603D">
        <w:t xml:space="preserve">* or </w:t>
      </w:r>
      <w:proofErr w:type="spellStart"/>
      <w:r w:rsidRPr="00C1603D">
        <w:t>duehrig</w:t>
      </w:r>
      <w:proofErr w:type="spellEnd"/>
      <w:r w:rsidRPr="00C1603D">
        <w:t xml:space="preserve">* or dyscoordination or </w:t>
      </w:r>
      <w:proofErr w:type="spellStart"/>
      <w:r w:rsidRPr="00C1603D">
        <w:t>dys</w:t>
      </w:r>
      <w:proofErr w:type="spellEnd"/>
      <w:r w:rsidRPr="00C1603D">
        <w:t xml:space="preserve">-coordination or </w:t>
      </w:r>
      <w:proofErr w:type="spellStart"/>
      <w:r w:rsidRPr="00C1603D">
        <w:t>dys</w:t>
      </w:r>
      <w:proofErr w:type="spellEnd"/>
      <w:r w:rsidRPr="00C1603D">
        <w:t xml:space="preserve">-coordination or </w:t>
      </w:r>
      <w:proofErr w:type="spellStart"/>
      <w:r w:rsidRPr="00C1603D">
        <w:t>dys</w:t>
      </w:r>
      <w:proofErr w:type="spellEnd"/>
      <w:r w:rsidRPr="00C1603D">
        <w:t xml:space="preserve">-co-ordination or dysentery or dyssynergia or </w:t>
      </w:r>
      <w:proofErr w:type="spellStart"/>
      <w:r w:rsidRPr="00C1603D">
        <w:t>dys</w:t>
      </w:r>
      <w:proofErr w:type="spellEnd"/>
      <w:r w:rsidRPr="00C1603D">
        <w:t xml:space="preserve">-synergia or </w:t>
      </w:r>
      <w:proofErr w:type="spellStart"/>
      <w:r w:rsidRPr="00C1603D">
        <w:t>emaciat</w:t>
      </w:r>
      <w:proofErr w:type="spellEnd"/>
      <w:r w:rsidRPr="00C1603D">
        <w:t xml:space="preserve">* or enteritis or enterocolitis* or enteropathy or dystonia or eczema or </w:t>
      </w:r>
      <w:proofErr w:type="spellStart"/>
      <w:r w:rsidRPr="00C1603D">
        <w:t>edema</w:t>
      </w:r>
      <w:proofErr w:type="spellEnd"/>
      <w:r w:rsidRPr="00C1603D">
        <w:t xml:space="preserve"> or oedema or elfin face </w:t>
      </w:r>
      <w:proofErr w:type="spellStart"/>
      <w:r w:rsidRPr="00C1603D">
        <w:t>sydrom</w:t>
      </w:r>
      <w:proofErr w:type="spellEnd"/>
      <w:r w:rsidRPr="00C1603D">
        <w:t xml:space="preserve">* or </w:t>
      </w:r>
      <w:proofErr w:type="spellStart"/>
      <w:r w:rsidRPr="00C1603D">
        <w:t>encephalopath</w:t>
      </w:r>
      <w:proofErr w:type="spellEnd"/>
      <w:r w:rsidRPr="00C1603D">
        <w:t xml:space="preserve">* or (endocrine adj3 (disease* or disorder* or </w:t>
      </w:r>
      <w:proofErr w:type="spellStart"/>
      <w:r w:rsidRPr="00C1603D">
        <w:t>syndrom</w:t>
      </w:r>
      <w:proofErr w:type="spellEnd"/>
      <w:r w:rsidRPr="00C1603D">
        <w:t xml:space="preserve">*)) or enuresis or </w:t>
      </w:r>
      <w:proofErr w:type="spellStart"/>
      <w:r w:rsidRPr="00C1603D">
        <w:t>enteropath</w:t>
      </w:r>
      <w:proofErr w:type="spellEnd"/>
      <w:r w:rsidRPr="00C1603D">
        <w:t xml:space="preserve">* or </w:t>
      </w:r>
      <w:proofErr w:type="spellStart"/>
      <w:r w:rsidRPr="00C1603D">
        <w:t>epilep</w:t>
      </w:r>
      <w:proofErr w:type="spellEnd"/>
      <w:r w:rsidRPr="00C1603D">
        <w:t xml:space="preserve">* or (eye adj3 (disease* or disorder* or manifestation* or </w:t>
      </w:r>
      <w:proofErr w:type="spellStart"/>
      <w:r w:rsidRPr="00C1603D">
        <w:t>syndrom</w:t>
      </w:r>
      <w:proofErr w:type="spellEnd"/>
      <w:r w:rsidRPr="00C1603D">
        <w:t xml:space="preserve">*)) or fatigue syndrome or chronic fatigue or failure to thrive or fibromyalgia or fibrosis or food hypersensitivity or fractures or gammaglobulinemia or </w:t>
      </w:r>
      <w:proofErr w:type="spellStart"/>
      <w:r w:rsidRPr="00C1603D">
        <w:t>gammaglobulinaemia</w:t>
      </w:r>
      <w:proofErr w:type="spellEnd"/>
      <w:r w:rsidRPr="00C1603D">
        <w:t xml:space="preserve"> or (</w:t>
      </w:r>
      <w:proofErr w:type="spellStart"/>
      <w:r w:rsidRPr="00C1603D">
        <w:t>gardner</w:t>
      </w:r>
      <w:proofErr w:type="spellEnd"/>
      <w:r w:rsidRPr="00C1603D">
        <w:t>* adj3 (</w:t>
      </w:r>
      <w:proofErr w:type="spellStart"/>
      <w:r w:rsidRPr="00C1603D">
        <w:t>syndrom</w:t>
      </w:r>
      <w:proofErr w:type="spellEnd"/>
      <w:r w:rsidRPr="00C1603D">
        <w:t>* or disease* or disorder*)) or gastritis or gastroenteritis or gout or (</w:t>
      </w:r>
      <w:proofErr w:type="spellStart"/>
      <w:r w:rsidRPr="00C1603D">
        <w:t>glomerul</w:t>
      </w:r>
      <w:proofErr w:type="spellEnd"/>
      <w:r w:rsidRPr="00C1603D">
        <w:t xml:space="preserve">* adj3 (disease* or disorder* or </w:t>
      </w:r>
      <w:proofErr w:type="spellStart"/>
      <w:r w:rsidRPr="00C1603D">
        <w:t>syndrom</w:t>
      </w:r>
      <w:proofErr w:type="spellEnd"/>
      <w:r w:rsidRPr="00C1603D">
        <w:t>*)) or (</w:t>
      </w:r>
      <w:proofErr w:type="spellStart"/>
      <w:r w:rsidRPr="00C1603D">
        <w:t>gonodal</w:t>
      </w:r>
      <w:proofErr w:type="spellEnd"/>
      <w:r w:rsidRPr="00C1603D">
        <w:t xml:space="preserve"> adj3 </w:t>
      </w:r>
      <w:proofErr w:type="spellStart"/>
      <w:r w:rsidRPr="00C1603D">
        <w:t>dysgen</w:t>
      </w:r>
      <w:proofErr w:type="spellEnd"/>
      <w:r w:rsidRPr="00C1603D">
        <w:t xml:space="preserve">*) or (growth adj3 (disease* or disorder* or </w:t>
      </w:r>
      <w:proofErr w:type="spellStart"/>
      <w:r w:rsidRPr="00C1603D">
        <w:t>syndrom</w:t>
      </w:r>
      <w:proofErr w:type="spellEnd"/>
      <w:r w:rsidRPr="00C1603D">
        <w:t xml:space="preserve">*)) or headache* or ((hemic or haemic or lymph*) adj3 (disease* or disorder* or </w:t>
      </w:r>
      <w:proofErr w:type="spellStart"/>
      <w:r w:rsidRPr="00C1603D">
        <w:t>syndrom</w:t>
      </w:r>
      <w:proofErr w:type="spellEnd"/>
      <w:r w:rsidRPr="00C1603D">
        <w:t xml:space="preserve">*)) or </w:t>
      </w:r>
      <w:proofErr w:type="spellStart"/>
      <w:r w:rsidRPr="00C1603D">
        <w:t>hematuria</w:t>
      </w:r>
      <w:proofErr w:type="spellEnd"/>
      <w:r w:rsidRPr="00C1603D">
        <w:t xml:space="preserve"> or haematuria or </w:t>
      </w:r>
      <w:proofErr w:type="spellStart"/>
      <w:r w:rsidRPr="00C1603D">
        <w:t>hemophili</w:t>
      </w:r>
      <w:proofErr w:type="spellEnd"/>
      <w:r w:rsidRPr="00C1603D">
        <w:t xml:space="preserve">* or haemophili* or ((hearing or visual or vision or sight) adj3 (aid* or impair* or loss)) or (heart adj3 (disease* or disorder* or </w:t>
      </w:r>
      <w:proofErr w:type="spellStart"/>
      <w:r w:rsidRPr="00C1603D">
        <w:t>syndrom</w:t>
      </w:r>
      <w:proofErr w:type="spellEnd"/>
      <w:r w:rsidRPr="00C1603D">
        <w:t xml:space="preserve">* or manifestation* or </w:t>
      </w:r>
      <w:proofErr w:type="spellStart"/>
      <w:r w:rsidRPr="00C1603D">
        <w:t>myopath</w:t>
      </w:r>
      <w:proofErr w:type="spellEnd"/>
      <w:r w:rsidRPr="00C1603D">
        <w:t xml:space="preserve">*)) or </w:t>
      </w:r>
      <w:proofErr w:type="spellStart"/>
      <w:r w:rsidRPr="00C1603D">
        <w:t>hemiplegi</w:t>
      </w:r>
      <w:proofErr w:type="spellEnd"/>
      <w:r w:rsidRPr="00C1603D">
        <w:t xml:space="preserve">* or hepatitis or </w:t>
      </w:r>
      <w:proofErr w:type="spellStart"/>
      <w:r w:rsidRPr="00C1603D">
        <w:t>hemodialysis</w:t>
      </w:r>
      <w:proofErr w:type="spellEnd"/>
      <w:r w:rsidRPr="00C1603D">
        <w:t xml:space="preserve"> or haemodialysis or (heart adj3 (disease* or disorder* or failure or </w:t>
      </w:r>
      <w:proofErr w:type="spellStart"/>
      <w:r w:rsidRPr="00C1603D">
        <w:t>syndrom</w:t>
      </w:r>
      <w:proofErr w:type="spellEnd"/>
      <w:r w:rsidRPr="00C1603D">
        <w:t xml:space="preserve">*)) or </w:t>
      </w:r>
      <w:proofErr w:type="spellStart"/>
      <w:r w:rsidRPr="00C1603D">
        <w:t>hiv</w:t>
      </w:r>
      <w:proofErr w:type="spellEnd"/>
      <w:r w:rsidRPr="00C1603D">
        <w:t xml:space="preserve"> or human immunodeficiency virus or acquired </w:t>
      </w:r>
      <w:proofErr w:type="spellStart"/>
      <w:r w:rsidRPr="00C1603D">
        <w:t>immunodeficieny</w:t>
      </w:r>
      <w:proofErr w:type="spellEnd"/>
      <w:r w:rsidRPr="00C1603D">
        <w:t xml:space="preserve"> </w:t>
      </w:r>
      <w:proofErr w:type="spellStart"/>
      <w:r w:rsidRPr="00C1603D">
        <w:t>syndrom</w:t>
      </w:r>
      <w:proofErr w:type="spellEnd"/>
      <w:r w:rsidRPr="00C1603D">
        <w:t xml:space="preserve">* or </w:t>
      </w:r>
      <w:proofErr w:type="spellStart"/>
      <w:r w:rsidRPr="00C1603D">
        <w:t>heerfordt</w:t>
      </w:r>
      <w:proofErr w:type="spellEnd"/>
      <w:r w:rsidRPr="00C1603D">
        <w:t xml:space="preserve"> </w:t>
      </w:r>
      <w:proofErr w:type="spellStart"/>
      <w:r w:rsidRPr="00C1603D">
        <w:t>waldenstrom</w:t>
      </w:r>
      <w:proofErr w:type="spellEnd"/>
      <w:r w:rsidRPr="00C1603D">
        <w:t xml:space="preserve">* or </w:t>
      </w:r>
      <w:proofErr w:type="spellStart"/>
      <w:r w:rsidRPr="00C1603D">
        <w:t>hidroa</w:t>
      </w:r>
      <w:proofErr w:type="spellEnd"/>
      <w:r w:rsidRPr="00C1603D">
        <w:t xml:space="preserve"> or </w:t>
      </w:r>
      <w:proofErr w:type="spellStart"/>
      <w:r w:rsidRPr="00C1603D">
        <w:t>hydroa</w:t>
      </w:r>
      <w:proofErr w:type="spellEnd"/>
      <w:r w:rsidRPr="00C1603D">
        <w:t xml:space="preserve"> or </w:t>
      </w:r>
      <w:proofErr w:type="spellStart"/>
      <w:r w:rsidRPr="00C1603D">
        <w:t>hippel</w:t>
      </w:r>
      <w:proofErr w:type="spellEnd"/>
      <w:r w:rsidRPr="00C1603D">
        <w:t xml:space="preserve"> </w:t>
      </w:r>
      <w:proofErr w:type="spellStart"/>
      <w:r w:rsidRPr="00C1603D">
        <w:t>lindau</w:t>
      </w:r>
      <w:proofErr w:type="spellEnd"/>
      <w:r w:rsidRPr="00C1603D">
        <w:t xml:space="preserve">* or </w:t>
      </w:r>
      <w:proofErr w:type="spellStart"/>
      <w:r w:rsidRPr="00C1603D">
        <w:t>hypertensi</w:t>
      </w:r>
      <w:proofErr w:type="spellEnd"/>
      <w:r w:rsidRPr="00C1603D">
        <w:t xml:space="preserve">* or </w:t>
      </w:r>
      <w:proofErr w:type="spellStart"/>
      <w:r w:rsidRPr="00C1603D">
        <w:t>hypotensi</w:t>
      </w:r>
      <w:proofErr w:type="spellEnd"/>
      <w:r w:rsidRPr="00C1603D">
        <w:t xml:space="preserve">* or hyperthyroidism or hypothyroidism or </w:t>
      </w:r>
      <w:proofErr w:type="spellStart"/>
      <w:r w:rsidRPr="00C1603D">
        <w:t>hypocortisolism</w:t>
      </w:r>
      <w:proofErr w:type="spellEnd"/>
      <w:r w:rsidRPr="00C1603D">
        <w:t xml:space="preserve"> or </w:t>
      </w:r>
      <w:proofErr w:type="spellStart"/>
      <w:r w:rsidRPr="00C1603D">
        <w:t>hypocorticism</w:t>
      </w:r>
      <w:proofErr w:type="spellEnd"/>
      <w:r w:rsidRPr="00C1603D">
        <w:t xml:space="preserve"> or hypoadrenalism or hyperthyroidism or hypothyroidism or incoordination or </w:t>
      </w:r>
      <w:proofErr w:type="spellStart"/>
      <w:r w:rsidRPr="00C1603D">
        <w:t>inco</w:t>
      </w:r>
      <w:proofErr w:type="spellEnd"/>
      <w:r w:rsidRPr="00C1603D">
        <w:t xml:space="preserve">-ordination or in-coordination or in-co-ordination or infertility or subfertility or sub-fertility or sterility or inflammatory disease* or inflammatory bowel disease* or </w:t>
      </w:r>
      <w:proofErr w:type="spellStart"/>
      <w:r w:rsidRPr="00C1603D">
        <w:t>incontinen</w:t>
      </w:r>
      <w:proofErr w:type="spellEnd"/>
      <w:r w:rsidRPr="00C1603D">
        <w:t xml:space="preserve">* or intestinal </w:t>
      </w:r>
      <w:proofErr w:type="spellStart"/>
      <w:r w:rsidRPr="00C1603D">
        <w:t>atresi</w:t>
      </w:r>
      <w:proofErr w:type="spellEnd"/>
      <w:r w:rsidRPr="00C1603D">
        <w:t xml:space="preserve">* or intussusception or irritable bowel or </w:t>
      </w:r>
      <w:proofErr w:type="spellStart"/>
      <w:r w:rsidRPr="00C1603D">
        <w:t>ischemi</w:t>
      </w:r>
      <w:proofErr w:type="spellEnd"/>
      <w:r w:rsidRPr="00C1603D">
        <w:t xml:space="preserve">* or </w:t>
      </w:r>
      <w:proofErr w:type="spellStart"/>
      <w:r w:rsidRPr="00C1603D">
        <w:t>ischaemi</w:t>
      </w:r>
      <w:proofErr w:type="spellEnd"/>
      <w:r w:rsidRPr="00C1603D">
        <w:t xml:space="preserve">* or fistula* or (joint adj3 (disease* or disorder* or </w:t>
      </w:r>
      <w:proofErr w:type="spellStart"/>
      <w:r w:rsidRPr="00C1603D">
        <w:t>syndrom</w:t>
      </w:r>
      <w:proofErr w:type="spellEnd"/>
      <w:r w:rsidRPr="00C1603D">
        <w:t xml:space="preserve">*)) or (jejunal adj3 (disease* or disorder* or </w:t>
      </w:r>
      <w:proofErr w:type="spellStart"/>
      <w:r w:rsidRPr="00C1603D">
        <w:t>syndrom</w:t>
      </w:r>
      <w:proofErr w:type="spellEnd"/>
      <w:r w:rsidRPr="00C1603D">
        <w:t xml:space="preserve">*)) or kyphosis or </w:t>
      </w:r>
      <w:proofErr w:type="spellStart"/>
      <w:r w:rsidRPr="00C1603D">
        <w:t>lav-htlv</w:t>
      </w:r>
      <w:proofErr w:type="spellEnd"/>
      <w:r w:rsidRPr="00C1603D">
        <w:t xml:space="preserve">* or </w:t>
      </w:r>
      <w:proofErr w:type="spellStart"/>
      <w:r w:rsidRPr="00C1603D">
        <w:t>leukemia</w:t>
      </w:r>
      <w:proofErr w:type="spellEnd"/>
      <w:r w:rsidRPr="00C1603D">
        <w:t xml:space="preserve"> or leukaemia or ((liver or hepatic) adj3 (disease* or disorder* or failure or </w:t>
      </w:r>
      <w:proofErr w:type="spellStart"/>
      <w:r w:rsidRPr="00C1603D">
        <w:t>syndrom</w:t>
      </w:r>
      <w:proofErr w:type="spellEnd"/>
      <w:r w:rsidRPr="00C1603D">
        <w:t xml:space="preserve">*)) or lordosis or (lung adj3 (disease* or disorder*)) or lupus or lymphoma or lymphogranuloma* or </w:t>
      </w:r>
      <w:proofErr w:type="spellStart"/>
      <w:r w:rsidRPr="00C1603D">
        <w:t>lymphadenopath</w:t>
      </w:r>
      <w:proofErr w:type="spellEnd"/>
      <w:r w:rsidRPr="00C1603D">
        <w:t xml:space="preserve">* or </w:t>
      </w:r>
      <w:proofErr w:type="spellStart"/>
      <w:r w:rsidRPr="00C1603D">
        <w:t>lymphotrop</w:t>
      </w:r>
      <w:proofErr w:type="spellEnd"/>
      <w:r w:rsidRPr="00C1603D">
        <w:t xml:space="preserve">* or </w:t>
      </w:r>
      <w:proofErr w:type="spellStart"/>
      <w:r w:rsidRPr="00C1603D">
        <w:t>machado</w:t>
      </w:r>
      <w:proofErr w:type="spellEnd"/>
      <w:r w:rsidRPr="00C1603D">
        <w:t xml:space="preserve"> joseph* or macular degeneration or malnutrition or (mental adj2 (disorder* or disease* or health or illness*)) or mania or manic or (</w:t>
      </w:r>
      <w:proofErr w:type="spellStart"/>
      <w:r w:rsidRPr="00C1603D">
        <w:t>menstr</w:t>
      </w:r>
      <w:proofErr w:type="spellEnd"/>
      <w:r w:rsidRPr="00C1603D">
        <w:t>* adj3 (</w:t>
      </w:r>
      <w:proofErr w:type="spellStart"/>
      <w:r w:rsidRPr="00C1603D">
        <w:t>ceas</w:t>
      </w:r>
      <w:proofErr w:type="spellEnd"/>
      <w:r w:rsidRPr="00C1603D">
        <w:t xml:space="preserve">* or disturb* or disease* or disorder* or stop* or </w:t>
      </w:r>
      <w:proofErr w:type="spellStart"/>
      <w:r w:rsidRPr="00C1603D">
        <w:t>syndrom</w:t>
      </w:r>
      <w:proofErr w:type="spellEnd"/>
      <w:r w:rsidRPr="00C1603D">
        <w:t xml:space="preserve">*)) or migraine* or (mitochondrial adj3 (disease* or disorder* or </w:t>
      </w:r>
      <w:proofErr w:type="spellStart"/>
      <w:r w:rsidRPr="00C1603D">
        <w:t>syndrom</w:t>
      </w:r>
      <w:proofErr w:type="spellEnd"/>
      <w:r w:rsidRPr="00C1603D">
        <w:t xml:space="preserve">*)) or movement disorder* or mucinosis or musculoskeletal or </w:t>
      </w:r>
      <w:proofErr w:type="spellStart"/>
      <w:r w:rsidRPr="00C1603D">
        <w:t>narp</w:t>
      </w:r>
      <w:proofErr w:type="spellEnd"/>
      <w:r w:rsidRPr="00C1603D">
        <w:t xml:space="preserve"> </w:t>
      </w:r>
      <w:proofErr w:type="spellStart"/>
      <w:r w:rsidRPr="00C1603D">
        <w:t>syndrom</w:t>
      </w:r>
      <w:proofErr w:type="spellEnd"/>
      <w:r w:rsidRPr="00C1603D">
        <w:t>* or necrotizing or nephrotic* or neuromuscular or non-</w:t>
      </w:r>
      <w:proofErr w:type="spellStart"/>
      <w:r w:rsidRPr="00C1603D">
        <w:t>hodgkin</w:t>
      </w:r>
      <w:proofErr w:type="spellEnd"/>
      <w:r w:rsidRPr="00C1603D">
        <w:t xml:space="preserve">* or </w:t>
      </w:r>
      <w:proofErr w:type="spellStart"/>
      <w:r w:rsidRPr="00C1603D">
        <w:t>nonhodgkin</w:t>
      </w:r>
      <w:proofErr w:type="spellEnd"/>
      <w:r w:rsidRPr="00C1603D">
        <w:t xml:space="preserve">* or multiple sclerosis or myeloma or myocarditis or </w:t>
      </w:r>
      <w:proofErr w:type="spellStart"/>
      <w:r w:rsidRPr="00C1603D">
        <w:t>myocardiopath</w:t>
      </w:r>
      <w:proofErr w:type="spellEnd"/>
      <w:r w:rsidRPr="00C1603D">
        <w:t xml:space="preserve">* or </w:t>
      </w:r>
      <w:proofErr w:type="spellStart"/>
      <w:r w:rsidRPr="00C1603D">
        <w:t>myopath</w:t>
      </w:r>
      <w:proofErr w:type="spellEnd"/>
      <w:r w:rsidRPr="00C1603D">
        <w:t>* or (</w:t>
      </w:r>
      <w:proofErr w:type="spellStart"/>
      <w:r w:rsidRPr="00C1603D">
        <w:t>myocardi</w:t>
      </w:r>
      <w:proofErr w:type="spellEnd"/>
      <w:r w:rsidRPr="00C1603D">
        <w:t>* adj3 (</w:t>
      </w:r>
      <w:proofErr w:type="spellStart"/>
      <w:r w:rsidRPr="00C1603D">
        <w:t>deteri</w:t>
      </w:r>
      <w:proofErr w:type="spellEnd"/>
      <w:r w:rsidRPr="00C1603D">
        <w:t xml:space="preserve">* or disease* or disorder* or </w:t>
      </w:r>
      <w:proofErr w:type="spellStart"/>
      <w:r w:rsidRPr="00C1603D">
        <w:t>syndrom</w:t>
      </w:r>
      <w:proofErr w:type="spellEnd"/>
      <w:r w:rsidRPr="00C1603D">
        <w:t>* or manifestation*)) or nephrotic syndrome* or ((</w:t>
      </w:r>
      <w:proofErr w:type="spellStart"/>
      <w:r w:rsidRPr="00C1603D">
        <w:t>neurodegenerat</w:t>
      </w:r>
      <w:proofErr w:type="spellEnd"/>
      <w:r w:rsidRPr="00C1603D">
        <w:t xml:space="preserve">* </w:t>
      </w:r>
      <w:r w:rsidRPr="00C1603D">
        <w:lastRenderedPageBreak/>
        <w:t>or neuro-</w:t>
      </w:r>
      <w:proofErr w:type="spellStart"/>
      <w:r w:rsidRPr="00C1603D">
        <w:t>degenerat</w:t>
      </w:r>
      <w:proofErr w:type="spellEnd"/>
      <w:r w:rsidRPr="00C1603D">
        <w:t xml:space="preserve">) adj3 (disease* or disorder* or </w:t>
      </w:r>
      <w:proofErr w:type="spellStart"/>
      <w:r w:rsidRPr="00C1603D">
        <w:t>syndrom</w:t>
      </w:r>
      <w:proofErr w:type="spellEnd"/>
      <w:r w:rsidRPr="00C1603D">
        <w:t xml:space="preserve">*)) or ((nutritional or metabolic) adj3 (disease* or disorder* or </w:t>
      </w:r>
      <w:proofErr w:type="spellStart"/>
      <w:r w:rsidRPr="00C1603D">
        <w:t>syndrom</w:t>
      </w:r>
      <w:proofErr w:type="spellEnd"/>
      <w:r w:rsidRPr="00C1603D">
        <w:t xml:space="preserve">*)) or ((organ* or kidney or stem cell) adj3 (transplant* or recipient*)) or (nervous system adj3 (disease* or disorder* or </w:t>
      </w:r>
      <w:proofErr w:type="spellStart"/>
      <w:r w:rsidRPr="00C1603D">
        <w:t>syndrom</w:t>
      </w:r>
      <w:proofErr w:type="spellEnd"/>
      <w:r w:rsidRPr="00C1603D">
        <w:t xml:space="preserve">*)) or (neurological adj3 (condition* or disease* or disorder* or </w:t>
      </w:r>
      <w:proofErr w:type="spellStart"/>
      <w:r w:rsidRPr="00C1603D">
        <w:t>syndrom</w:t>
      </w:r>
      <w:proofErr w:type="spellEnd"/>
      <w:r w:rsidRPr="00C1603D">
        <w:t xml:space="preserve">*)) or neuropath* or </w:t>
      </w:r>
      <w:proofErr w:type="spellStart"/>
      <w:r w:rsidRPr="00C1603D">
        <w:t>neurosarcoido</w:t>
      </w:r>
      <w:proofErr w:type="spellEnd"/>
      <w:r w:rsidRPr="00C1603D">
        <w:t xml:space="preserve">* or occlusion* or obesity or obese or </w:t>
      </w:r>
      <w:proofErr w:type="spellStart"/>
      <w:r w:rsidRPr="00C1603D">
        <w:t>orthopedic</w:t>
      </w:r>
      <w:proofErr w:type="spellEnd"/>
      <w:r w:rsidRPr="00C1603D">
        <w:t>* or orthopaedic* or ((</w:t>
      </w:r>
      <w:proofErr w:type="spellStart"/>
      <w:r w:rsidRPr="00C1603D">
        <w:t>esophageal</w:t>
      </w:r>
      <w:proofErr w:type="spellEnd"/>
      <w:r w:rsidRPr="00C1603D">
        <w:t xml:space="preserve"> or oesophageal) adj3 (disease* or disorder* or </w:t>
      </w:r>
      <w:proofErr w:type="spellStart"/>
      <w:r w:rsidRPr="00C1603D">
        <w:t>syndrom</w:t>
      </w:r>
      <w:proofErr w:type="spellEnd"/>
      <w:r w:rsidRPr="00C1603D">
        <w:t xml:space="preserve">*)) or ((oral or mouth) adj3 (disease* or disorder* or </w:t>
      </w:r>
      <w:proofErr w:type="spellStart"/>
      <w:r w:rsidRPr="00C1603D">
        <w:t>syndrom</w:t>
      </w:r>
      <w:proofErr w:type="spellEnd"/>
      <w:r w:rsidRPr="00C1603D">
        <w:t xml:space="preserve">* or manifestation*)) or osteo* or otitis media or </w:t>
      </w:r>
      <w:proofErr w:type="spellStart"/>
      <w:r w:rsidRPr="00C1603D">
        <w:t>otorhinolaryngolog</w:t>
      </w:r>
      <w:proofErr w:type="spellEnd"/>
      <w:r w:rsidRPr="00C1603D">
        <w:t>* or otosclerosis or (</w:t>
      </w:r>
      <w:proofErr w:type="spellStart"/>
      <w:r w:rsidRPr="00C1603D">
        <w:t>pancrea</w:t>
      </w:r>
      <w:proofErr w:type="spellEnd"/>
      <w:r w:rsidRPr="00C1603D">
        <w:t xml:space="preserve">* adj3 (disease* or disorder* or </w:t>
      </w:r>
      <w:proofErr w:type="spellStart"/>
      <w:r w:rsidRPr="00C1603D">
        <w:t>syndrom</w:t>
      </w:r>
      <w:proofErr w:type="spellEnd"/>
      <w:r w:rsidRPr="00C1603D">
        <w:t xml:space="preserve">*)) or </w:t>
      </w:r>
      <w:proofErr w:type="spellStart"/>
      <w:r w:rsidRPr="00C1603D">
        <w:t>papulosquamous</w:t>
      </w:r>
      <w:proofErr w:type="spellEnd"/>
      <w:r w:rsidRPr="00C1603D">
        <w:t xml:space="preserve"> or </w:t>
      </w:r>
      <w:proofErr w:type="spellStart"/>
      <w:r w:rsidRPr="00C1603D">
        <w:t>paraplegi</w:t>
      </w:r>
      <w:proofErr w:type="spellEnd"/>
      <w:r w:rsidRPr="00C1603D">
        <w:t xml:space="preserve">* or </w:t>
      </w:r>
      <w:proofErr w:type="spellStart"/>
      <w:r w:rsidRPr="00C1603D">
        <w:t>parkinson</w:t>
      </w:r>
      <w:proofErr w:type="spellEnd"/>
      <w:r w:rsidRPr="00C1603D">
        <w:t xml:space="preserve">* or (peripheral adj3 (arterial or vascular or disease* or disorder* or </w:t>
      </w:r>
      <w:proofErr w:type="spellStart"/>
      <w:r w:rsidRPr="00C1603D">
        <w:t>syndrom</w:t>
      </w:r>
      <w:proofErr w:type="spellEnd"/>
      <w:r w:rsidRPr="00C1603D">
        <w:t xml:space="preserve">*)) or (peritoneal adj3 (disease* or disorder* or </w:t>
      </w:r>
      <w:proofErr w:type="spellStart"/>
      <w:r w:rsidRPr="00C1603D">
        <w:t>syndrom</w:t>
      </w:r>
      <w:proofErr w:type="spellEnd"/>
      <w:r w:rsidRPr="00C1603D">
        <w:t xml:space="preserve">*)) or </w:t>
      </w:r>
      <w:proofErr w:type="spellStart"/>
      <w:r w:rsidRPr="00C1603D">
        <w:t>photodermato</w:t>
      </w:r>
      <w:proofErr w:type="spellEnd"/>
      <w:r w:rsidRPr="00C1603D">
        <w:t xml:space="preserve">* or pick disease* or </w:t>
      </w:r>
      <w:proofErr w:type="spellStart"/>
      <w:r w:rsidRPr="00C1603D">
        <w:t>pneumo</w:t>
      </w:r>
      <w:proofErr w:type="spellEnd"/>
      <w:r w:rsidRPr="00C1603D">
        <w:t xml:space="preserve">* or polio* or polyp* or polydipsia or </w:t>
      </w:r>
      <w:proofErr w:type="spellStart"/>
      <w:r w:rsidRPr="00C1603D">
        <w:t>polyarthropath</w:t>
      </w:r>
      <w:proofErr w:type="spellEnd"/>
      <w:r w:rsidRPr="00C1603D">
        <w:t xml:space="preserve">* or polyarteritis or </w:t>
      </w:r>
      <w:proofErr w:type="spellStart"/>
      <w:r w:rsidRPr="00C1603D">
        <w:t>polyarthrosis</w:t>
      </w:r>
      <w:proofErr w:type="spellEnd"/>
      <w:r w:rsidRPr="00C1603D">
        <w:t xml:space="preserve"> or </w:t>
      </w:r>
      <w:proofErr w:type="spellStart"/>
      <w:r w:rsidRPr="00C1603D">
        <w:t>polyneuropath</w:t>
      </w:r>
      <w:proofErr w:type="spellEnd"/>
      <w:r w:rsidRPr="00C1603D">
        <w:t xml:space="preserve">* or </w:t>
      </w:r>
      <w:proofErr w:type="spellStart"/>
      <w:r w:rsidRPr="00C1603D">
        <w:t>porphyrias</w:t>
      </w:r>
      <w:proofErr w:type="spellEnd"/>
      <w:r w:rsidRPr="00C1603D">
        <w:t xml:space="preserve"> or (pregnancy adj3 </w:t>
      </w:r>
      <w:proofErr w:type="spellStart"/>
      <w:r w:rsidRPr="00C1603D">
        <w:t>complicat</w:t>
      </w:r>
      <w:proofErr w:type="spellEnd"/>
      <w:r w:rsidRPr="00C1603D">
        <w:t xml:space="preserve">*) or premature aging or </w:t>
      </w:r>
      <w:proofErr w:type="spellStart"/>
      <w:r w:rsidRPr="00C1603D">
        <w:t>proteostasis</w:t>
      </w:r>
      <w:proofErr w:type="spellEnd"/>
      <w:r w:rsidRPr="00C1603D">
        <w:t xml:space="preserve"> or pseudophakia or psoriasis or parapsoriasis or prolapse or (pulmonary adj3 (disease* or disorder* or </w:t>
      </w:r>
      <w:proofErr w:type="spellStart"/>
      <w:r w:rsidRPr="00C1603D">
        <w:t>syndrom</w:t>
      </w:r>
      <w:proofErr w:type="spellEnd"/>
      <w:r w:rsidRPr="00C1603D">
        <w:t xml:space="preserve">*)) or </w:t>
      </w:r>
      <w:proofErr w:type="spellStart"/>
      <w:r w:rsidRPr="00C1603D">
        <w:t>purpur</w:t>
      </w:r>
      <w:proofErr w:type="spellEnd"/>
      <w:r w:rsidRPr="00C1603D">
        <w:t>* or (</w:t>
      </w:r>
      <w:proofErr w:type="spellStart"/>
      <w:r w:rsidRPr="00C1603D">
        <w:t>recurren</w:t>
      </w:r>
      <w:proofErr w:type="spellEnd"/>
      <w:r w:rsidRPr="00C1603D">
        <w:t xml:space="preserve">* adj3 (abortion* or </w:t>
      </w:r>
      <w:proofErr w:type="spellStart"/>
      <w:r w:rsidRPr="00C1603D">
        <w:t>miscarr</w:t>
      </w:r>
      <w:proofErr w:type="spellEnd"/>
      <w:r w:rsidRPr="00C1603D">
        <w:t>*)) or (</w:t>
      </w:r>
      <w:proofErr w:type="spellStart"/>
      <w:r w:rsidRPr="00C1603D">
        <w:t>rect</w:t>
      </w:r>
      <w:proofErr w:type="spellEnd"/>
      <w:r w:rsidRPr="00C1603D">
        <w:t xml:space="preserve">* adj3 (disease* or disorder* or </w:t>
      </w:r>
      <w:proofErr w:type="spellStart"/>
      <w:r w:rsidRPr="00C1603D">
        <w:t>syndrom</w:t>
      </w:r>
      <w:proofErr w:type="spellEnd"/>
      <w:r w:rsidRPr="00C1603D">
        <w:t xml:space="preserve">*)) or ((renal or kidney) adj3 (disease* or disorder* or failure or </w:t>
      </w:r>
      <w:proofErr w:type="spellStart"/>
      <w:r w:rsidRPr="00C1603D">
        <w:t>syndrom</w:t>
      </w:r>
      <w:proofErr w:type="spellEnd"/>
      <w:r w:rsidRPr="00C1603D">
        <w:t xml:space="preserve">*)) or (respiratory adj3 (disease* or disorder* or </w:t>
      </w:r>
      <w:proofErr w:type="spellStart"/>
      <w:r w:rsidRPr="00C1603D">
        <w:t>syndrom</w:t>
      </w:r>
      <w:proofErr w:type="spellEnd"/>
      <w:r w:rsidRPr="00C1603D">
        <w:t xml:space="preserve">*)) or </w:t>
      </w:r>
      <w:proofErr w:type="spellStart"/>
      <w:r w:rsidRPr="00C1603D">
        <w:t>reticulocytosis</w:t>
      </w:r>
      <w:proofErr w:type="spellEnd"/>
      <w:r w:rsidRPr="00C1603D">
        <w:t xml:space="preserve"> or retinopathy or </w:t>
      </w:r>
      <w:proofErr w:type="spellStart"/>
      <w:r w:rsidRPr="00C1603D">
        <w:t>rheumat</w:t>
      </w:r>
      <w:proofErr w:type="spellEnd"/>
      <w:r w:rsidRPr="00C1603D">
        <w:t xml:space="preserve">* or ricket* or </w:t>
      </w:r>
      <w:proofErr w:type="spellStart"/>
      <w:r w:rsidRPr="00C1603D">
        <w:t>sarcoido</w:t>
      </w:r>
      <w:proofErr w:type="spellEnd"/>
      <w:r w:rsidRPr="00C1603D">
        <w:t>* or sepsis or septic* or seizure* or sclerosis or scoliosis or sickle cell or ((</w:t>
      </w:r>
      <w:proofErr w:type="spellStart"/>
      <w:r w:rsidRPr="00C1603D">
        <w:t>sjogren</w:t>
      </w:r>
      <w:proofErr w:type="spellEnd"/>
      <w:r w:rsidRPr="00C1603D">
        <w:t xml:space="preserve">* or </w:t>
      </w:r>
      <w:proofErr w:type="spellStart"/>
      <w:r w:rsidRPr="00C1603D">
        <w:t>sjoegren</w:t>
      </w:r>
      <w:proofErr w:type="spellEnd"/>
      <w:r w:rsidRPr="00C1603D">
        <w:t>* or sicca*) adj3 (</w:t>
      </w:r>
      <w:proofErr w:type="spellStart"/>
      <w:r w:rsidRPr="00C1603D">
        <w:t>syndrom</w:t>
      </w:r>
      <w:proofErr w:type="spellEnd"/>
      <w:r w:rsidRPr="00C1603D">
        <w:t xml:space="preserve">* or disease* or disorder*)) or ((skin or connective tissue) adj3 (disease* or disorder* or </w:t>
      </w:r>
      <w:proofErr w:type="spellStart"/>
      <w:r w:rsidRPr="00C1603D">
        <w:t>syndrom</w:t>
      </w:r>
      <w:proofErr w:type="spellEnd"/>
      <w:r w:rsidRPr="00C1603D">
        <w:t xml:space="preserve">*)) or sleep disorder* or sleep </w:t>
      </w:r>
      <w:proofErr w:type="spellStart"/>
      <w:r w:rsidRPr="00C1603D">
        <w:t>apnea</w:t>
      </w:r>
      <w:proofErr w:type="spellEnd"/>
      <w:r w:rsidRPr="00C1603D">
        <w:t xml:space="preserve"> or sleep apnoea or insomnia* or dyssomnia* or hypersomnia* or spina bifida or muscular </w:t>
      </w:r>
      <w:proofErr w:type="spellStart"/>
      <w:r w:rsidRPr="00C1603D">
        <w:t>atropy</w:t>
      </w:r>
      <w:proofErr w:type="spellEnd"/>
      <w:r w:rsidRPr="00C1603D">
        <w:t xml:space="preserve"> or short stature* or short bowel </w:t>
      </w:r>
      <w:proofErr w:type="spellStart"/>
      <w:r w:rsidRPr="00C1603D">
        <w:t>syndrom</w:t>
      </w:r>
      <w:proofErr w:type="spellEnd"/>
      <w:r w:rsidRPr="00C1603D">
        <w:t>* or (spin* adj3 (</w:t>
      </w:r>
      <w:proofErr w:type="spellStart"/>
      <w:r w:rsidRPr="00C1603D">
        <w:t>degenerat</w:t>
      </w:r>
      <w:proofErr w:type="spellEnd"/>
      <w:r w:rsidRPr="00C1603D">
        <w:t xml:space="preserve">* or disease* or disorder* or </w:t>
      </w:r>
      <w:proofErr w:type="spellStart"/>
      <w:r w:rsidRPr="00C1603D">
        <w:t>syndrom</w:t>
      </w:r>
      <w:proofErr w:type="spellEnd"/>
      <w:r w:rsidRPr="00C1603D">
        <w:t xml:space="preserve">*)) or (spleen* adj3 (disease* or disorder* or </w:t>
      </w:r>
      <w:proofErr w:type="spellStart"/>
      <w:r w:rsidRPr="00C1603D">
        <w:t>syndrom</w:t>
      </w:r>
      <w:proofErr w:type="spellEnd"/>
      <w:r w:rsidRPr="00C1603D">
        <w:t xml:space="preserve">*)) or </w:t>
      </w:r>
      <w:proofErr w:type="spellStart"/>
      <w:r w:rsidRPr="00C1603D">
        <w:t>spondylo</w:t>
      </w:r>
      <w:proofErr w:type="spellEnd"/>
      <w:r w:rsidRPr="00C1603D">
        <w:t xml:space="preserve">* or stenosis* or stoma* or (stomach adj3 (disease* or disorder* or </w:t>
      </w:r>
      <w:proofErr w:type="spellStart"/>
      <w:r w:rsidRPr="00C1603D">
        <w:t>syndrom</w:t>
      </w:r>
      <w:proofErr w:type="spellEnd"/>
      <w:r w:rsidRPr="00C1603D">
        <w:t xml:space="preserve">*)) or stroke or strokes or cerebral infarct* or </w:t>
      </w:r>
      <w:proofErr w:type="spellStart"/>
      <w:r w:rsidRPr="00C1603D">
        <w:t>tetraplegi</w:t>
      </w:r>
      <w:proofErr w:type="spellEnd"/>
      <w:r w:rsidRPr="00C1603D">
        <w:t xml:space="preserve">* or thyroiditis* or (thyroid* adj3 (disease* or disorder* or dysfunction* or </w:t>
      </w:r>
      <w:proofErr w:type="spellStart"/>
      <w:r w:rsidRPr="00C1603D">
        <w:t>syndrom</w:t>
      </w:r>
      <w:proofErr w:type="spellEnd"/>
      <w:r w:rsidRPr="00C1603D">
        <w:t xml:space="preserve">*)) or ((tooth or teeth or enamel) adj3 (decay* or </w:t>
      </w:r>
      <w:proofErr w:type="spellStart"/>
      <w:r w:rsidRPr="00C1603D">
        <w:t>discolo</w:t>
      </w:r>
      <w:proofErr w:type="spellEnd"/>
      <w:r w:rsidRPr="00C1603D">
        <w:t xml:space="preserve">* or disease* or disorder* or dysfunction* or </w:t>
      </w:r>
      <w:proofErr w:type="spellStart"/>
      <w:r w:rsidRPr="00C1603D">
        <w:t>syndrom</w:t>
      </w:r>
      <w:proofErr w:type="spellEnd"/>
      <w:r w:rsidRPr="00C1603D">
        <w:t xml:space="preserve">*)) or tropical sprue or tuberculosis or (systemic adj3 (disorder* or disease* or </w:t>
      </w:r>
      <w:proofErr w:type="spellStart"/>
      <w:r w:rsidRPr="00C1603D">
        <w:t>syndrom</w:t>
      </w:r>
      <w:proofErr w:type="spellEnd"/>
      <w:r w:rsidRPr="00C1603D">
        <w:t xml:space="preserve">*)) or </w:t>
      </w:r>
      <w:proofErr w:type="spellStart"/>
      <w:r w:rsidRPr="00C1603D">
        <w:t>thrombocyto</w:t>
      </w:r>
      <w:proofErr w:type="spellEnd"/>
      <w:r w:rsidRPr="00C1603D">
        <w:t>* or tremor or tremors or (turner* adj3 (</w:t>
      </w:r>
      <w:proofErr w:type="spellStart"/>
      <w:r w:rsidRPr="00C1603D">
        <w:t>syndrom</w:t>
      </w:r>
      <w:proofErr w:type="spellEnd"/>
      <w:r w:rsidRPr="00C1603D">
        <w:t xml:space="preserve">* or disease* or disorder*)) or ulcer* or (urogenital adj3 (disease* or disorder* or </w:t>
      </w:r>
      <w:proofErr w:type="spellStart"/>
      <w:r w:rsidRPr="00C1603D">
        <w:t>syndrom</w:t>
      </w:r>
      <w:proofErr w:type="spellEnd"/>
      <w:r w:rsidRPr="00C1603D">
        <w:t xml:space="preserve">*)) or </w:t>
      </w:r>
      <w:proofErr w:type="spellStart"/>
      <w:r w:rsidRPr="00C1603D">
        <w:t>vasculopath</w:t>
      </w:r>
      <w:proofErr w:type="spellEnd"/>
      <w:r w:rsidRPr="00C1603D">
        <w:t xml:space="preserve">* or (vascular adj3 (disease* or disorder* or </w:t>
      </w:r>
      <w:proofErr w:type="spellStart"/>
      <w:r w:rsidRPr="00C1603D">
        <w:t>occlu</w:t>
      </w:r>
      <w:proofErr w:type="spellEnd"/>
      <w:r w:rsidRPr="00C1603D">
        <w:t xml:space="preserve">* or </w:t>
      </w:r>
      <w:proofErr w:type="spellStart"/>
      <w:r w:rsidRPr="00C1603D">
        <w:t>syndrom</w:t>
      </w:r>
      <w:proofErr w:type="spellEnd"/>
      <w:r w:rsidRPr="00C1603D">
        <w:t xml:space="preserve">*)) or vestibular or ((virus or viral or </w:t>
      </w:r>
      <w:proofErr w:type="spellStart"/>
      <w:r w:rsidRPr="00C1603D">
        <w:t>bacteri</w:t>
      </w:r>
      <w:proofErr w:type="spellEnd"/>
      <w:r w:rsidRPr="00C1603D">
        <w:t xml:space="preserve">* or </w:t>
      </w:r>
      <w:proofErr w:type="spellStart"/>
      <w:r w:rsidRPr="00C1603D">
        <w:t>parasit</w:t>
      </w:r>
      <w:proofErr w:type="spellEnd"/>
      <w:r w:rsidRPr="00C1603D">
        <w:t xml:space="preserve">*) adj3 (infection* or disease*)) or (wasting adj3 (disorder* or disease* or </w:t>
      </w:r>
      <w:proofErr w:type="spellStart"/>
      <w:r w:rsidRPr="00C1603D">
        <w:t>syndrom</w:t>
      </w:r>
      <w:proofErr w:type="spellEnd"/>
      <w:r w:rsidRPr="00C1603D">
        <w:t>*)) or (</w:t>
      </w:r>
      <w:proofErr w:type="spellStart"/>
      <w:r w:rsidRPr="00C1603D">
        <w:t>whipple</w:t>
      </w:r>
      <w:proofErr w:type="spellEnd"/>
      <w:r w:rsidRPr="00C1603D">
        <w:t xml:space="preserve"> adj3 (disorder* or disease* or </w:t>
      </w:r>
      <w:proofErr w:type="spellStart"/>
      <w:r w:rsidRPr="00C1603D">
        <w:t>syndrom</w:t>
      </w:r>
      <w:proofErr w:type="spellEnd"/>
      <w:r w:rsidRPr="00C1603D">
        <w:t>*)) or (</w:t>
      </w:r>
      <w:proofErr w:type="spellStart"/>
      <w:r w:rsidRPr="00C1603D">
        <w:t>william</w:t>
      </w:r>
      <w:proofErr w:type="spellEnd"/>
      <w:r w:rsidRPr="00C1603D">
        <w:t>* adj3 (</w:t>
      </w:r>
      <w:proofErr w:type="spellStart"/>
      <w:r w:rsidRPr="00C1603D">
        <w:t>syndrom</w:t>
      </w:r>
      <w:proofErr w:type="spellEnd"/>
      <w:r w:rsidRPr="00C1603D">
        <w:t>* or disease* or disorder*)) or zoster*).</w:t>
      </w:r>
      <w:proofErr w:type="spellStart"/>
      <w:r w:rsidRPr="00C1603D">
        <w:t>ti,ab,kw</w:t>
      </w:r>
      <w:proofErr w:type="spellEnd"/>
      <w:r w:rsidRPr="00C1603D">
        <w:t>. (14</w:t>
      </w:r>
      <w:r w:rsidR="00CA6F87" w:rsidRPr="00C1603D">
        <w:t>,</w:t>
      </w:r>
      <w:r w:rsidRPr="00C1603D">
        <w:t>232</w:t>
      </w:r>
      <w:r w:rsidR="00CA6F87" w:rsidRPr="00C1603D">
        <w:t>,</w:t>
      </w:r>
      <w:r w:rsidRPr="00C1603D">
        <w:t>139)</w:t>
      </w:r>
    </w:p>
    <w:p w14:paraId="44C38E7A" w14:textId="416B3760" w:rsidR="00100453" w:rsidRPr="00C1603D" w:rsidRDefault="00100453" w:rsidP="00100453">
      <w:pPr>
        <w:pStyle w:val="621TextnumberedlistTextstylesTextstyles"/>
      </w:pPr>
      <w:r w:rsidRPr="00C1603D">
        <w:t xml:space="preserve">((digestive system* or </w:t>
      </w:r>
      <w:proofErr w:type="spellStart"/>
      <w:r w:rsidRPr="00C1603D">
        <w:t>duoden</w:t>
      </w:r>
      <w:proofErr w:type="spellEnd"/>
      <w:r w:rsidRPr="00C1603D">
        <w:t xml:space="preserve">* or </w:t>
      </w:r>
      <w:proofErr w:type="spellStart"/>
      <w:r w:rsidRPr="00C1603D">
        <w:t>gastr</w:t>
      </w:r>
      <w:proofErr w:type="spellEnd"/>
      <w:r w:rsidRPr="00C1603D">
        <w:t xml:space="preserve">* or </w:t>
      </w:r>
      <w:proofErr w:type="spellStart"/>
      <w:r w:rsidRPr="00C1603D">
        <w:t>intestin</w:t>
      </w:r>
      <w:proofErr w:type="spellEnd"/>
      <w:r w:rsidRPr="00C1603D">
        <w:t xml:space="preserve">* or nutrition* or </w:t>
      </w:r>
      <w:proofErr w:type="spellStart"/>
      <w:r w:rsidRPr="00C1603D">
        <w:t>malabsor</w:t>
      </w:r>
      <w:proofErr w:type="spellEnd"/>
      <w:r w:rsidRPr="00C1603D">
        <w:t xml:space="preserve">* or metabolic*) adj3 (disease* or disorder* or </w:t>
      </w:r>
      <w:proofErr w:type="spellStart"/>
      <w:r w:rsidRPr="00C1603D">
        <w:t>syndrom</w:t>
      </w:r>
      <w:proofErr w:type="spellEnd"/>
      <w:r w:rsidRPr="00C1603D">
        <w:t>* or manifestation*)).</w:t>
      </w:r>
      <w:proofErr w:type="spellStart"/>
      <w:r w:rsidRPr="00C1603D">
        <w:t>ti,ab,kw</w:t>
      </w:r>
      <w:proofErr w:type="spellEnd"/>
      <w:r w:rsidRPr="00C1603D">
        <w:t>. (254</w:t>
      </w:r>
      <w:r w:rsidR="00CA6F87" w:rsidRPr="00C1603D">
        <w:t>,</w:t>
      </w:r>
      <w:r w:rsidRPr="00C1603D">
        <w:t>303)</w:t>
      </w:r>
    </w:p>
    <w:p w14:paraId="1D3DB743" w14:textId="48535EDE" w:rsidR="00100453" w:rsidRPr="00C1603D" w:rsidRDefault="00100453" w:rsidP="00100453">
      <w:pPr>
        <w:pStyle w:val="621TextnumberedlistTextstylesTextstyles"/>
      </w:pPr>
      <w:r w:rsidRPr="00C1603D">
        <w:t xml:space="preserve">(constipation or constipated or diarrhoea or </w:t>
      </w:r>
      <w:proofErr w:type="spellStart"/>
      <w:r w:rsidRPr="00C1603D">
        <w:t>diarrhea</w:t>
      </w:r>
      <w:proofErr w:type="spellEnd"/>
      <w:r w:rsidRPr="00C1603D">
        <w:t xml:space="preserve"> or (abdominal adj3 (</w:t>
      </w:r>
      <w:proofErr w:type="spellStart"/>
      <w:r w:rsidRPr="00C1603D">
        <w:t>disten</w:t>
      </w:r>
      <w:proofErr w:type="spellEnd"/>
      <w:r w:rsidRPr="00C1603D">
        <w:t xml:space="preserve">* or pain or bloating or cramp or cramps)) or flatulence or meteorism or </w:t>
      </w:r>
      <w:proofErr w:type="spellStart"/>
      <w:r w:rsidRPr="00C1603D">
        <w:t>steatorrhoea</w:t>
      </w:r>
      <w:proofErr w:type="spellEnd"/>
      <w:r w:rsidRPr="00C1603D">
        <w:t xml:space="preserve"> or steatorrhea or ((acid base or calcium or cyanocobalamin* or electrolyte* or folate or folic acid or glucose or IgA or immunoglobulin A or iron or lactose or lipid* or </w:t>
      </w:r>
      <w:proofErr w:type="spellStart"/>
      <w:r w:rsidRPr="00C1603D">
        <w:t>phosph</w:t>
      </w:r>
      <w:proofErr w:type="spellEnd"/>
      <w:r w:rsidRPr="00C1603D">
        <w:t xml:space="preserve">* or protein* or triglyceride* or vitamin* or mineral*) adj3 (disorder* or </w:t>
      </w:r>
      <w:proofErr w:type="spellStart"/>
      <w:r w:rsidRPr="00C1603D">
        <w:t>deficien</w:t>
      </w:r>
      <w:proofErr w:type="spellEnd"/>
      <w:r w:rsidRPr="00C1603D">
        <w:t xml:space="preserve">* or imbalance* or insufficiency or </w:t>
      </w:r>
      <w:proofErr w:type="spellStart"/>
      <w:r w:rsidRPr="00C1603D">
        <w:t>intoleran</w:t>
      </w:r>
      <w:proofErr w:type="spellEnd"/>
      <w:r w:rsidRPr="00C1603D">
        <w:t xml:space="preserve">*)) or fever* or febrile or malaise or fatigue or </w:t>
      </w:r>
      <w:proofErr w:type="spellStart"/>
      <w:r w:rsidRPr="00C1603D">
        <w:t>letharg</w:t>
      </w:r>
      <w:proofErr w:type="spellEnd"/>
      <w:r w:rsidRPr="00C1603D">
        <w:t xml:space="preserve">* or exhaustion or vomiting or nausea or emesis or sickness or weight loss or wait gain or hot flashes or hot flushes or medically unexplained or unexplained symptoms or unexplained medical or (signs adj2 symptoms) or sleepiness or ((calciferol or cholecalciferol or </w:t>
      </w:r>
      <w:proofErr w:type="spellStart"/>
      <w:r w:rsidRPr="00C1603D">
        <w:t>colecalciferol</w:t>
      </w:r>
      <w:proofErr w:type="spellEnd"/>
      <w:r w:rsidRPr="00C1603D">
        <w:t xml:space="preserve"> or </w:t>
      </w:r>
      <w:proofErr w:type="spellStart"/>
      <w:r w:rsidRPr="00C1603D">
        <w:t>egocalciferol</w:t>
      </w:r>
      <w:proofErr w:type="spellEnd"/>
      <w:r w:rsidRPr="00C1603D">
        <w:t xml:space="preserve">) adj3 (disorder* or </w:t>
      </w:r>
      <w:proofErr w:type="spellStart"/>
      <w:r w:rsidRPr="00C1603D">
        <w:t>deficien</w:t>
      </w:r>
      <w:proofErr w:type="spellEnd"/>
      <w:r w:rsidRPr="00C1603D">
        <w:t xml:space="preserve">* or imbalance* or insufficiency or </w:t>
      </w:r>
      <w:proofErr w:type="spellStart"/>
      <w:r w:rsidRPr="00C1603D">
        <w:t>intoleran</w:t>
      </w:r>
      <w:proofErr w:type="spellEnd"/>
      <w:r w:rsidRPr="00C1603D">
        <w:t>*)) or conditions linked or linked conditions).</w:t>
      </w:r>
      <w:proofErr w:type="spellStart"/>
      <w:r w:rsidRPr="00C1603D">
        <w:t>ti,ab,kw</w:t>
      </w:r>
      <w:proofErr w:type="spellEnd"/>
      <w:r w:rsidRPr="00C1603D">
        <w:t>. (1</w:t>
      </w:r>
      <w:r w:rsidR="00CA6F87" w:rsidRPr="00C1603D">
        <w:t>,</w:t>
      </w:r>
      <w:r w:rsidRPr="00C1603D">
        <w:t>126</w:t>
      </w:r>
      <w:r w:rsidR="00CA6F87" w:rsidRPr="00C1603D">
        <w:t>,</w:t>
      </w:r>
      <w:r w:rsidRPr="00C1603D">
        <w:t>673)</w:t>
      </w:r>
    </w:p>
    <w:p w14:paraId="63AC501E" w14:textId="658C5BD1" w:rsidR="00100453" w:rsidRPr="00C1603D" w:rsidRDefault="00100453" w:rsidP="00100453">
      <w:pPr>
        <w:pStyle w:val="621TextnumberedlistTextstylesTextstyles"/>
      </w:pPr>
      <w:r w:rsidRPr="00C1603D">
        <w:t>(medical* morbid* or (medical* adj3 comorbid*) or (medical* adj3 co-morbid*) or multimorbid* or multi* morbid* or multi* comorbid* or multi* co-morbid* or multi* physical*).</w:t>
      </w:r>
      <w:proofErr w:type="spellStart"/>
      <w:r w:rsidRPr="00C1603D">
        <w:t>ti,ab,kw</w:t>
      </w:r>
      <w:proofErr w:type="spellEnd"/>
      <w:r w:rsidRPr="00C1603D">
        <w:t>. (30</w:t>
      </w:r>
      <w:r w:rsidR="00CA6F87" w:rsidRPr="00C1603D">
        <w:t>,</w:t>
      </w:r>
      <w:r w:rsidRPr="00C1603D">
        <w:t>923)</w:t>
      </w:r>
    </w:p>
    <w:p w14:paraId="648A7360" w14:textId="6E02955C" w:rsidR="00100453" w:rsidRPr="00C1603D" w:rsidRDefault="00100453" w:rsidP="00100453">
      <w:pPr>
        <w:pStyle w:val="621TextnumberedlistTextstylesTextstyles"/>
      </w:pPr>
      <w:r w:rsidRPr="00C1603D">
        <w:t>first-degree relative/ (6249)</w:t>
      </w:r>
    </w:p>
    <w:p w14:paraId="2E7919F8" w14:textId="7428CE73" w:rsidR="00100453" w:rsidRPr="00C1603D" w:rsidRDefault="00100453" w:rsidP="00100453">
      <w:pPr>
        <w:pStyle w:val="621TextnumberedlistTextstylesTextstyles"/>
      </w:pPr>
      <w:r w:rsidRPr="00C1603D">
        <w:t xml:space="preserve">((first adj5 (relative* or relation?)) and </w:t>
      </w:r>
      <w:proofErr w:type="spellStart"/>
      <w:r w:rsidRPr="00C1603D">
        <w:t>c?eliac</w:t>
      </w:r>
      <w:proofErr w:type="spellEnd"/>
      <w:r w:rsidRPr="00C1603D">
        <w:t>).</w:t>
      </w:r>
      <w:proofErr w:type="spellStart"/>
      <w:r w:rsidRPr="00C1603D">
        <w:t>ti,ab,kw</w:t>
      </w:r>
      <w:proofErr w:type="spellEnd"/>
      <w:r w:rsidRPr="00C1603D">
        <w:t>. (452)</w:t>
      </w:r>
    </w:p>
    <w:p w14:paraId="76E60EBD" w14:textId="64E5F8F3" w:rsidR="00100453" w:rsidRPr="00C1603D" w:rsidRDefault="00100453" w:rsidP="00100453">
      <w:pPr>
        <w:pStyle w:val="621TextnumberedlistTextstylesTextstyles"/>
      </w:pPr>
      <w:r w:rsidRPr="00C1603D">
        <w:t>or/13-21 (18</w:t>
      </w:r>
      <w:r w:rsidR="00CA6F87" w:rsidRPr="00C1603D">
        <w:t>,</w:t>
      </w:r>
      <w:r w:rsidRPr="00C1603D">
        <w:t>446</w:t>
      </w:r>
      <w:r w:rsidR="00CA6F87" w:rsidRPr="00C1603D">
        <w:t>,</w:t>
      </w:r>
      <w:r w:rsidRPr="00C1603D">
        <w:t>309)</w:t>
      </w:r>
    </w:p>
    <w:p w14:paraId="72D06C15" w14:textId="75243D8D" w:rsidR="00100453" w:rsidRPr="00C1603D" w:rsidRDefault="00100453" w:rsidP="00100453">
      <w:pPr>
        <w:pStyle w:val="621TextnumberedlistTextstylesTextstyles"/>
      </w:pPr>
      <w:r w:rsidRPr="00C1603D">
        <w:t xml:space="preserve">(((case? adj2 find*) or detect* or </w:t>
      </w:r>
      <w:proofErr w:type="spellStart"/>
      <w:r w:rsidRPr="00C1603D">
        <w:t>diagnos</w:t>
      </w:r>
      <w:proofErr w:type="spellEnd"/>
      <w:r w:rsidRPr="00C1603D">
        <w:t xml:space="preserve">* or predict* or incidence or prevalence or seroprevalence* or risk or risk factor? or risk indicator? or screen* or test*) adj3 </w:t>
      </w:r>
      <w:proofErr w:type="spellStart"/>
      <w:r w:rsidRPr="00C1603D">
        <w:t>c?eliac</w:t>
      </w:r>
      <w:proofErr w:type="spellEnd"/>
      <w:r w:rsidRPr="00C1603D">
        <w:t>*).</w:t>
      </w:r>
      <w:proofErr w:type="spellStart"/>
      <w:r w:rsidRPr="00C1603D">
        <w:t>ti,ab,kw</w:t>
      </w:r>
      <w:proofErr w:type="spellEnd"/>
      <w:r w:rsidRPr="00C1603D">
        <w:t>. (7675)</w:t>
      </w:r>
    </w:p>
    <w:p w14:paraId="40CF528C" w14:textId="0A5A4E40" w:rsidR="00100453" w:rsidRPr="00C1603D" w:rsidRDefault="00100453" w:rsidP="00100453">
      <w:pPr>
        <w:pStyle w:val="621TextnumberedlistTextstylesTextstyles"/>
      </w:pPr>
      <w:r w:rsidRPr="00C1603D">
        <w:t>(</w:t>
      </w:r>
      <w:proofErr w:type="spellStart"/>
      <w:r w:rsidRPr="00C1603D">
        <w:t>c?eliac</w:t>
      </w:r>
      <w:proofErr w:type="spellEnd"/>
      <w:r w:rsidRPr="00C1603D">
        <w:t xml:space="preserve"> and ((detect* or </w:t>
      </w:r>
      <w:proofErr w:type="spellStart"/>
      <w:r w:rsidRPr="00C1603D">
        <w:t>diagnos</w:t>
      </w:r>
      <w:proofErr w:type="spellEnd"/>
      <w:r w:rsidRPr="00C1603D">
        <w:t>* or predict* or incidence or prevalence or seroprevalence* or risk or risk factor? or screen* or test*) adj2 CD)).ab. (3440)</w:t>
      </w:r>
    </w:p>
    <w:p w14:paraId="6C9E9481" w14:textId="4578A2D3" w:rsidR="00100453" w:rsidRPr="00C1603D" w:rsidRDefault="00100453" w:rsidP="00100453">
      <w:pPr>
        <w:pStyle w:val="621TextnumberedlistTextstylesTextstyles"/>
      </w:pPr>
      <w:r w:rsidRPr="00C1603D">
        <w:t xml:space="preserve">(((association? or associated or indicator? or indicated or predict*) adj3 (risk? or symptom* or </w:t>
      </w:r>
      <w:r w:rsidRPr="00C1603D">
        <w:lastRenderedPageBreak/>
        <w:t xml:space="preserve">disease? or disorder? or </w:t>
      </w:r>
      <w:proofErr w:type="spellStart"/>
      <w:r w:rsidRPr="00C1603D">
        <w:t>histor</w:t>
      </w:r>
      <w:proofErr w:type="spellEnd"/>
      <w:r w:rsidRPr="00C1603D">
        <w:t xml:space="preserve">*)) and </w:t>
      </w:r>
      <w:proofErr w:type="spellStart"/>
      <w:r w:rsidRPr="00C1603D">
        <w:t>c?eliac</w:t>
      </w:r>
      <w:proofErr w:type="spellEnd"/>
      <w:r w:rsidRPr="00C1603D">
        <w:t>).</w:t>
      </w:r>
      <w:proofErr w:type="spellStart"/>
      <w:r w:rsidRPr="00C1603D">
        <w:t>ti,ab,kw</w:t>
      </w:r>
      <w:proofErr w:type="spellEnd"/>
      <w:r w:rsidRPr="00C1603D">
        <w:t>. (4503)</w:t>
      </w:r>
    </w:p>
    <w:p w14:paraId="1AB41C4A" w14:textId="400B4D9F" w:rsidR="00100453" w:rsidRPr="00C1603D" w:rsidRDefault="00100453" w:rsidP="00100453">
      <w:pPr>
        <w:pStyle w:val="621TextnumberedlistTextstylesTextstyles"/>
      </w:pPr>
      <w:r w:rsidRPr="00C1603D">
        <w:t xml:space="preserve">((association between or relationship between) and </w:t>
      </w:r>
      <w:proofErr w:type="spellStart"/>
      <w:r w:rsidRPr="00C1603D">
        <w:t>c?eliac</w:t>
      </w:r>
      <w:proofErr w:type="spellEnd"/>
      <w:r w:rsidRPr="00C1603D">
        <w:t>?).</w:t>
      </w:r>
      <w:proofErr w:type="spellStart"/>
      <w:r w:rsidRPr="00C1603D">
        <w:t>ti,ab,kw</w:t>
      </w:r>
      <w:proofErr w:type="spellEnd"/>
      <w:r w:rsidRPr="00C1603D">
        <w:t>. (2279)</w:t>
      </w:r>
    </w:p>
    <w:p w14:paraId="0AAE0D71" w14:textId="0CADA5DB" w:rsidR="00100453" w:rsidRPr="00C1603D" w:rsidRDefault="00100453" w:rsidP="00100453">
      <w:pPr>
        <w:pStyle w:val="621TextnumberedlistTextstylesTextstyles"/>
      </w:pPr>
      <w:r w:rsidRPr="00C1603D">
        <w:t>*celiac disease/di [Diagnosis] (5931)</w:t>
      </w:r>
    </w:p>
    <w:p w14:paraId="52465143" w14:textId="7CC074E8" w:rsidR="00100453" w:rsidRPr="00C1603D" w:rsidRDefault="00100453" w:rsidP="00100453">
      <w:pPr>
        <w:pStyle w:val="621TextnumberedlistTextstylesTextstyles"/>
      </w:pPr>
      <w:r w:rsidRPr="00C1603D">
        <w:t>celiac disease/ and (*diagnosis/ or *differential diagnosis/ or *seroprevalence/ or *screening/ or *screening test/ or *incidence/ or *prevalence/) (1064)</w:t>
      </w:r>
    </w:p>
    <w:p w14:paraId="6EA84D6E" w14:textId="7E51EAE1" w:rsidR="00100453" w:rsidRPr="00C1603D" w:rsidRDefault="00100453" w:rsidP="00100453">
      <w:pPr>
        <w:pStyle w:val="621TextnumberedlistTextstylesTextstyles"/>
      </w:pPr>
      <w:r w:rsidRPr="00C1603D">
        <w:t>celiac disease/ and ("prediction and forecasting"/ or prediction/ or predictive validity/ or predictive value/) (755)</w:t>
      </w:r>
    </w:p>
    <w:p w14:paraId="49AF69D9" w14:textId="508409B8" w:rsidR="00100453" w:rsidRPr="00C1603D" w:rsidRDefault="00100453" w:rsidP="00100453">
      <w:pPr>
        <w:pStyle w:val="621TextnumberedlistTextstylesTextstyles"/>
      </w:pPr>
      <w:r w:rsidRPr="00C1603D">
        <w:t>or/23-29 (16</w:t>
      </w:r>
      <w:r w:rsidR="00CA6F87" w:rsidRPr="00C1603D">
        <w:t>,</w:t>
      </w:r>
      <w:r w:rsidRPr="00C1603D">
        <w:t>111)</w:t>
      </w:r>
    </w:p>
    <w:p w14:paraId="697C9175" w14:textId="4DA866FE" w:rsidR="00100453" w:rsidRPr="00C1603D" w:rsidRDefault="00100453" w:rsidP="00100453">
      <w:pPr>
        <w:pStyle w:val="621TextnumberedlistTextstylesTextstyles"/>
      </w:pPr>
      <w:r w:rsidRPr="00C1603D">
        <w:t>5 and 22 and 30 (15</w:t>
      </w:r>
      <w:r w:rsidR="00CA6F87" w:rsidRPr="00C1603D">
        <w:t>,</w:t>
      </w:r>
      <w:r w:rsidRPr="00C1603D">
        <w:t>090)</w:t>
      </w:r>
    </w:p>
    <w:p w14:paraId="6AE5175C" w14:textId="116EF646" w:rsidR="00100453" w:rsidRPr="00C1603D" w:rsidRDefault="00100453" w:rsidP="00100453">
      <w:pPr>
        <w:pStyle w:val="621TextnumberedlistTextstylesTextstyles"/>
      </w:pPr>
      <w:r w:rsidRPr="00C1603D">
        <w:t xml:space="preserve">(((double* or dual*) adj5 </w:t>
      </w:r>
      <w:proofErr w:type="spellStart"/>
      <w:r w:rsidRPr="00C1603D">
        <w:t>diagnos</w:t>
      </w:r>
      <w:proofErr w:type="spellEnd"/>
      <w:r w:rsidRPr="00C1603D">
        <w:t xml:space="preserve">* adj5 </w:t>
      </w:r>
      <w:proofErr w:type="spellStart"/>
      <w:r w:rsidRPr="00C1603D">
        <w:t>c?eliac</w:t>
      </w:r>
      <w:proofErr w:type="spellEnd"/>
      <w:r w:rsidRPr="00C1603D">
        <w:t xml:space="preserve">?) or (comorbid* adj5 </w:t>
      </w:r>
      <w:proofErr w:type="spellStart"/>
      <w:r w:rsidRPr="00C1603D">
        <w:t>c?eliac</w:t>
      </w:r>
      <w:proofErr w:type="spellEnd"/>
      <w:r w:rsidRPr="00C1603D">
        <w:t>)).</w:t>
      </w:r>
      <w:proofErr w:type="spellStart"/>
      <w:r w:rsidRPr="00C1603D">
        <w:t>ti,ab,kw</w:t>
      </w:r>
      <w:proofErr w:type="spellEnd"/>
      <w:r w:rsidRPr="00C1603D">
        <w:t>. (85)</w:t>
      </w:r>
    </w:p>
    <w:p w14:paraId="71BE06CD" w14:textId="68EAA5D5" w:rsidR="00100453" w:rsidRPr="00C1603D" w:rsidRDefault="00100453" w:rsidP="00100453">
      <w:pPr>
        <w:pStyle w:val="621TextnumberedlistTextstylesTextstyles"/>
      </w:pPr>
      <w:r w:rsidRPr="00C1603D">
        <w:t>(</w:t>
      </w:r>
      <w:proofErr w:type="gramStart"/>
      <w:r w:rsidRPr="00C1603D">
        <w:t>high risk</w:t>
      </w:r>
      <w:proofErr w:type="gramEnd"/>
      <w:r w:rsidRPr="00C1603D">
        <w:t xml:space="preserve"> adj5 </w:t>
      </w:r>
      <w:proofErr w:type="spellStart"/>
      <w:r w:rsidRPr="00C1603D">
        <w:t>c?eliac</w:t>
      </w:r>
      <w:proofErr w:type="spellEnd"/>
      <w:r w:rsidRPr="00C1603D">
        <w:t>?).</w:t>
      </w:r>
      <w:proofErr w:type="spellStart"/>
      <w:r w:rsidRPr="00C1603D">
        <w:t>ti,ab,kw</w:t>
      </w:r>
      <w:proofErr w:type="spellEnd"/>
      <w:r w:rsidRPr="00C1603D">
        <w:t>. (103)</w:t>
      </w:r>
    </w:p>
    <w:p w14:paraId="2217D358" w14:textId="0CE8C462" w:rsidR="00100453" w:rsidRPr="00C1603D" w:rsidRDefault="00100453" w:rsidP="00100453">
      <w:pPr>
        <w:pStyle w:val="621TextnumberedlistTextstylesTextstyles"/>
      </w:pPr>
      <w:r w:rsidRPr="00C1603D">
        <w:t>(</w:t>
      </w:r>
      <w:proofErr w:type="spellStart"/>
      <w:r w:rsidRPr="00C1603D">
        <w:t>famil</w:t>
      </w:r>
      <w:proofErr w:type="spellEnd"/>
      <w:r w:rsidRPr="00C1603D">
        <w:t xml:space="preserve">* </w:t>
      </w:r>
      <w:proofErr w:type="spellStart"/>
      <w:r w:rsidRPr="00C1603D">
        <w:t>histor</w:t>
      </w:r>
      <w:proofErr w:type="spellEnd"/>
      <w:r w:rsidRPr="00C1603D">
        <w:t xml:space="preserve">* adj2 </w:t>
      </w:r>
      <w:proofErr w:type="spellStart"/>
      <w:r w:rsidRPr="00C1603D">
        <w:t>c?eliac</w:t>
      </w:r>
      <w:proofErr w:type="spellEnd"/>
      <w:r w:rsidRPr="00C1603D">
        <w:t>).</w:t>
      </w:r>
      <w:proofErr w:type="spellStart"/>
      <w:r w:rsidRPr="00C1603D">
        <w:t>ti,ab,kw</w:t>
      </w:r>
      <w:proofErr w:type="spellEnd"/>
      <w:r w:rsidRPr="00C1603D">
        <w:t>. (93)</w:t>
      </w:r>
    </w:p>
    <w:p w14:paraId="0713ADF7" w14:textId="58C29B92" w:rsidR="00100453" w:rsidRPr="00C1603D" w:rsidRDefault="00100453" w:rsidP="00100453">
      <w:pPr>
        <w:pStyle w:val="621TextnumberedlistTextstylesTextstyles"/>
      </w:pPr>
      <w:r w:rsidRPr="00C1603D">
        <w:t xml:space="preserve">(children </w:t>
      </w:r>
      <w:proofErr w:type="spellStart"/>
      <w:r w:rsidRPr="00C1603D">
        <w:t>adj</w:t>
      </w:r>
      <w:proofErr w:type="spellEnd"/>
      <w:r w:rsidRPr="00C1603D">
        <w:t xml:space="preserve"> of* adj5 </w:t>
      </w:r>
      <w:proofErr w:type="spellStart"/>
      <w:r w:rsidRPr="00C1603D">
        <w:t>c?eliac</w:t>
      </w:r>
      <w:proofErr w:type="spellEnd"/>
      <w:r w:rsidRPr="00C1603D">
        <w:t>).</w:t>
      </w:r>
      <w:proofErr w:type="spellStart"/>
      <w:r w:rsidRPr="00C1603D">
        <w:t>ti,ab,kw</w:t>
      </w:r>
      <w:proofErr w:type="spellEnd"/>
      <w:r w:rsidRPr="00C1603D">
        <w:t>. (30)</w:t>
      </w:r>
    </w:p>
    <w:p w14:paraId="19058BCA" w14:textId="3CD7242E" w:rsidR="00100453" w:rsidRPr="00C1603D" w:rsidRDefault="00100453" w:rsidP="00100453">
      <w:pPr>
        <w:pStyle w:val="621TextnumberedlistTextstylesTextstyles"/>
      </w:pPr>
      <w:r w:rsidRPr="00C1603D">
        <w:t>celiac disease test kit/ (11)</w:t>
      </w:r>
    </w:p>
    <w:p w14:paraId="04D07A8F" w14:textId="2493C105" w:rsidR="00100453" w:rsidRPr="00C1603D" w:rsidRDefault="00100453" w:rsidP="00100453">
      <w:pPr>
        <w:pStyle w:val="621TextnumberedlistTextstylesTextstyles"/>
      </w:pPr>
      <w:r w:rsidRPr="00C1603D">
        <w:t>or/32-36 (315)</w:t>
      </w:r>
    </w:p>
    <w:p w14:paraId="4CFA7FF0" w14:textId="2C5B8274" w:rsidR="00100453" w:rsidRPr="00C1603D" w:rsidRDefault="00100453" w:rsidP="00100453">
      <w:pPr>
        <w:pStyle w:val="621TextnumberedlistTextstylesTextstyles"/>
      </w:pPr>
      <w:r w:rsidRPr="00C1603D">
        <w:t>12 or 31 or 37 (17</w:t>
      </w:r>
      <w:r w:rsidR="00CA6F87" w:rsidRPr="00C1603D">
        <w:t>,</w:t>
      </w:r>
      <w:r w:rsidRPr="00C1603D">
        <w:t>603)</w:t>
      </w:r>
    </w:p>
    <w:p w14:paraId="410AF8AC" w14:textId="0C6EED8C" w:rsidR="00100453" w:rsidRPr="00C1603D" w:rsidRDefault="00100453" w:rsidP="00100453">
      <w:pPr>
        <w:pStyle w:val="621TextnumberedlistTextstylesTextstyles"/>
      </w:pPr>
      <w:r w:rsidRPr="00C1603D">
        <w:t xml:space="preserve">limit </w:t>
      </w:r>
      <w:proofErr w:type="gramStart"/>
      <w:r w:rsidRPr="00C1603D">
        <w:t>38</w:t>
      </w:r>
      <w:proofErr w:type="gramEnd"/>
      <w:r w:rsidRPr="00C1603D">
        <w:t xml:space="preserve"> to </w:t>
      </w:r>
      <w:proofErr w:type="spellStart"/>
      <w:r w:rsidRPr="00C1603D">
        <w:t>embase</w:t>
      </w:r>
      <w:proofErr w:type="spellEnd"/>
      <w:r w:rsidRPr="00C1603D">
        <w:t xml:space="preserve"> status (11</w:t>
      </w:r>
      <w:r w:rsidR="00CA6F87" w:rsidRPr="00C1603D">
        <w:t>,</w:t>
      </w:r>
      <w:r w:rsidRPr="00C1603D">
        <w:t>243)</w:t>
      </w:r>
    </w:p>
    <w:p w14:paraId="5CF2BA32" w14:textId="5DF7F495" w:rsidR="00100453" w:rsidRPr="00C1603D" w:rsidRDefault="00100453" w:rsidP="00100453">
      <w:pPr>
        <w:pStyle w:val="621TextnumberedlistTextstylesTextstyles"/>
      </w:pPr>
      <w:r w:rsidRPr="00C1603D">
        <w:t xml:space="preserve">((celiac* or coeliac*) adj2 (asymptomatic or atypical or </w:t>
      </w:r>
      <w:proofErr w:type="spellStart"/>
      <w:r w:rsidRPr="00C1603D">
        <w:t>adolesc</w:t>
      </w:r>
      <w:proofErr w:type="spellEnd"/>
      <w:r w:rsidRPr="00C1603D">
        <w:t xml:space="preserve">* or adult* or cases or cohort* or child* or disease* or family or families or familial or genetic </w:t>
      </w:r>
      <w:proofErr w:type="spellStart"/>
      <w:r w:rsidRPr="00C1603D">
        <w:t>predispos</w:t>
      </w:r>
      <w:proofErr w:type="spellEnd"/>
      <w:r w:rsidRPr="00C1603D">
        <w:t>* or genetic pre-</w:t>
      </w:r>
      <w:proofErr w:type="spellStart"/>
      <w:r w:rsidRPr="00C1603D">
        <w:t>dispos</w:t>
      </w:r>
      <w:proofErr w:type="spellEnd"/>
      <w:r w:rsidRPr="00C1603D">
        <w:t xml:space="preserve">* or </w:t>
      </w:r>
      <w:proofErr w:type="spellStart"/>
      <w:r w:rsidRPr="00C1603D">
        <w:t>heredit</w:t>
      </w:r>
      <w:proofErr w:type="spellEnd"/>
      <w:r w:rsidRPr="00C1603D">
        <w:t xml:space="preserve">* or infant* or men or patient* or people or population* or subjects or symptomatic or </w:t>
      </w:r>
      <w:proofErr w:type="spellStart"/>
      <w:r w:rsidRPr="00C1603D">
        <w:t>syndrom</w:t>
      </w:r>
      <w:proofErr w:type="spellEnd"/>
      <w:r w:rsidRPr="00C1603D">
        <w:t>* or sprue or women)).</w:t>
      </w:r>
      <w:proofErr w:type="spellStart"/>
      <w:r w:rsidRPr="00C1603D">
        <w:t>ti,ab,kw</w:t>
      </w:r>
      <w:proofErr w:type="spellEnd"/>
      <w:r w:rsidRPr="00C1603D">
        <w:t>. (26</w:t>
      </w:r>
      <w:r w:rsidR="00CA6F87" w:rsidRPr="00C1603D">
        <w:t>,</w:t>
      </w:r>
      <w:r w:rsidRPr="00C1603D">
        <w:t>735)</w:t>
      </w:r>
    </w:p>
    <w:p w14:paraId="66DDF697" w14:textId="37D51278" w:rsidR="00100453" w:rsidRPr="00C1603D" w:rsidRDefault="00100453" w:rsidP="00100453">
      <w:pPr>
        <w:pStyle w:val="621TextnumberedlistTextstylesTextstyles"/>
      </w:pPr>
      <w:r w:rsidRPr="00C1603D">
        <w:t xml:space="preserve">limit </w:t>
      </w:r>
      <w:proofErr w:type="gramStart"/>
      <w:r w:rsidRPr="00C1603D">
        <w:t>40</w:t>
      </w:r>
      <w:proofErr w:type="gramEnd"/>
      <w:r w:rsidRPr="00C1603D">
        <w:t xml:space="preserve"> to (article-in-press status or in-process status) (372)</w:t>
      </w:r>
    </w:p>
    <w:p w14:paraId="6C49E44E" w14:textId="213A8B1F" w:rsidR="00100453" w:rsidRPr="00C1603D" w:rsidRDefault="00100453" w:rsidP="00100453">
      <w:pPr>
        <w:pStyle w:val="621TextnumberedlistTextstylesTextstyles"/>
      </w:pPr>
      <w:proofErr w:type="spellStart"/>
      <w:r w:rsidRPr="00C1603D">
        <w:t>c?eliac.ti</w:t>
      </w:r>
      <w:proofErr w:type="spellEnd"/>
      <w:r w:rsidRPr="00C1603D">
        <w:t>. (20</w:t>
      </w:r>
      <w:r w:rsidR="00CA6F87" w:rsidRPr="00C1603D">
        <w:t>,</w:t>
      </w:r>
      <w:r w:rsidRPr="00C1603D">
        <w:t>558)</w:t>
      </w:r>
    </w:p>
    <w:p w14:paraId="69C8824A" w14:textId="179E83E0" w:rsidR="00100453" w:rsidRPr="00C1603D" w:rsidRDefault="00100453" w:rsidP="00100453">
      <w:pPr>
        <w:pStyle w:val="621TextnumberedlistTextstylesTextstyles"/>
      </w:pPr>
      <w:r w:rsidRPr="00C1603D">
        <w:t xml:space="preserve">limit </w:t>
      </w:r>
      <w:proofErr w:type="gramStart"/>
      <w:r w:rsidRPr="00C1603D">
        <w:t>38</w:t>
      </w:r>
      <w:proofErr w:type="gramEnd"/>
      <w:r w:rsidRPr="00C1603D">
        <w:t xml:space="preserve"> to conference abstract status (4569)</w:t>
      </w:r>
    </w:p>
    <w:p w14:paraId="4C3B37C2" w14:textId="3735E5F8" w:rsidR="00100453" w:rsidRPr="00C1603D" w:rsidRDefault="00100453" w:rsidP="00100453">
      <w:pPr>
        <w:pStyle w:val="621TextnumberedlistTextstylesTextstyles"/>
      </w:pPr>
      <w:r w:rsidRPr="00C1603D">
        <w:t>42 and 43 (2794)</w:t>
      </w:r>
    </w:p>
    <w:p w14:paraId="16D6F661" w14:textId="0B1AE11B" w:rsidR="00100453" w:rsidRPr="00C1603D" w:rsidRDefault="00100453" w:rsidP="00100453">
      <w:pPr>
        <w:pStyle w:val="621TextnumberedlistTextstylesTextstyles"/>
      </w:pPr>
      <w:r w:rsidRPr="00C1603D">
        <w:t>39 or 41 or 44 (14</w:t>
      </w:r>
      <w:r w:rsidR="00CA6F87" w:rsidRPr="00C1603D">
        <w:t>,</w:t>
      </w:r>
      <w:r w:rsidRPr="00C1603D">
        <w:t>409)</w:t>
      </w:r>
    </w:p>
    <w:p w14:paraId="4FB6A61A" w14:textId="1FE0B8B6" w:rsidR="00100453" w:rsidRPr="00C1603D" w:rsidRDefault="00100453" w:rsidP="00100453">
      <w:pPr>
        <w:pStyle w:val="621TextnumberedlistTextstylesTextstyles"/>
      </w:pPr>
      <w:r w:rsidRPr="00C1603D">
        <w:t xml:space="preserve">((celiac* or coeliac*) </w:t>
      </w:r>
      <w:proofErr w:type="spellStart"/>
      <w:r w:rsidRPr="00C1603D">
        <w:t>adj</w:t>
      </w:r>
      <w:proofErr w:type="spellEnd"/>
      <w:r w:rsidRPr="00C1603D">
        <w:t xml:space="preserve"> (</w:t>
      </w:r>
      <w:proofErr w:type="spellStart"/>
      <w:r w:rsidRPr="00C1603D">
        <w:t>angiograp</w:t>
      </w:r>
      <w:proofErr w:type="spellEnd"/>
      <w:r w:rsidRPr="00C1603D">
        <w:t xml:space="preserve">* or </w:t>
      </w:r>
      <w:proofErr w:type="spellStart"/>
      <w:r w:rsidRPr="00C1603D">
        <w:t>arter</w:t>
      </w:r>
      <w:proofErr w:type="spellEnd"/>
      <w:r w:rsidRPr="00C1603D">
        <w:t xml:space="preserve">* or </w:t>
      </w:r>
      <w:proofErr w:type="gramStart"/>
      <w:r w:rsidRPr="00C1603D">
        <w:t>axis or plexus</w:t>
      </w:r>
      <w:proofErr w:type="gramEnd"/>
      <w:r w:rsidRPr="00C1603D">
        <w:t xml:space="preserve"> or trunk)).</w:t>
      </w:r>
      <w:proofErr w:type="spellStart"/>
      <w:r w:rsidRPr="00C1603D">
        <w:t>ti,ab,kw,hw</w:t>
      </w:r>
      <w:proofErr w:type="spellEnd"/>
      <w:r w:rsidRPr="00C1603D">
        <w:t>. (12</w:t>
      </w:r>
      <w:r w:rsidR="00CA6F87" w:rsidRPr="00C1603D">
        <w:t>,</w:t>
      </w:r>
      <w:r w:rsidRPr="00C1603D">
        <w:t>186)</w:t>
      </w:r>
    </w:p>
    <w:p w14:paraId="2D0F1C7F" w14:textId="490D5773" w:rsidR="00100453" w:rsidRPr="00C1603D" w:rsidRDefault="00100453" w:rsidP="00100453">
      <w:pPr>
        <w:pStyle w:val="621TextnumberedlistTextstylesTextstyles"/>
      </w:pPr>
      <w:r w:rsidRPr="00C1603D">
        <w:t xml:space="preserve">case </w:t>
      </w:r>
      <w:proofErr w:type="spellStart"/>
      <w:r w:rsidRPr="00C1603D">
        <w:t>report.ti</w:t>
      </w:r>
      <w:proofErr w:type="spellEnd"/>
      <w:r w:rsidRPr="00C1603D">
        <w:t>. (283</w:t>
      </w:r>
      <w:r w:rsidR="00CA6F87" w:rsidRPr="00C1603D">
        <w:t>,</w:t>
      </w:r>
      <w:r w:rsidRPr="00C1603D">
        <w:t>693)</w:t>
      </w:r>
    </w:p>
    <w:p w14:paraId="37C500F0" w14:textId="753D3B00" w:rsidR="00100453" w:rsidRPr="00C1603D" w:rsidRDefault="00100453" w:rsidP="00100453">
      <w:pPr>
        <w:pStyle w:val="621TextnumberedlistTextstylesTextstyles"/>
      </w:pPr>
      <w:r w:rsidRPr="00C1603D">
        <w:t xml:space="preserve">((case </w:t>
      </w:r>
      <w:proofErr w:type="spellStart"/>
      <w:r w:rsidRPr="00C1603D">
        <w:t>adj</w:t>
      </w:r>
      <w:proofErr w:type="spellEnd"/>
      <w:r w:rsidRPr="00C1603D">
        <w:t xml:space="preserve"> of*) and (</w:t>
      </w:r>
      <w:proofErr w:type="gramStart"/>
      <w:r w:rsidRPr="00C1603D">
        <w:t>patient or man</w:t>
      </w:r>
      <w:proofErr w:type="gramEnd"/>
      <w:r w:rsidRPr="00C1603D">
        <w:t xml:space="preserve"> or woman)).</w:t>
      </w:r>
      <w:proofErr w:type="spellStart"/>
      <w:r w:rsidRPr="00C1603D">
        <w:t>ti,ab</w:t>
      </w:r>
      <w:proofErr w:type="spellEnd"/>
      <w:r w:rsidRPr="00C1603D">
        <w:t>. and case report.sh. (347</w:t>
      </w:r>
      <w:r w:rsidR="00CA6F87" w:rsidRPr="00C1603D">
        <w:t>,</w:t>
      </w:r>
      <w:r w:rsidRPr="00C1603D">
        <w:t>041)</w:t>
      </w:r>
    </w:p>
    <w:p w14:paraId="1BC1D7FF" w14:textId="06047D07" w:rsidR="00100453" w:rsidRPr="00C1603D" w:rsidRDefault="00100453" w:rsidP="00100453">
      <w:pPr>
        <w:pStyle w:val="621TextnumberedlistTextstylesTextstyles"/>
      </w:pPr>
      <w:r w:rsidRPr="00C1603D">
        <w:t>(editorial or letter).pt. (1</w:t>
      </w:r>
      <w:r w:rsidR="00CA6F87" w:rsidRPr="00C1603D">
        <w:t>,</w:t>
      </w:r>
      <w:r w:rsidRPr="00C1603D">
        <w:t>747</w:t>
      </w:r>
      <w:r w:rsidR="00CA6F87" w:rsidRPr="00C1603D">
        <w:t>,</w:t>
      </w:r>
      <w:r w:rsidRPr="00C1603D">
        <w:t>770)</w:t>
      </w:r>
    </w:p>
    <w:p w14:paraId="76881F2F" w14:textId="0782CF66" w:rsidR="00100453" w:rsidRPr="00C1603D" w:rsidRDefault="00100453" w:rsidP="00100453">
      <w:pPr>
        <w:pStyle w:val="621TextnumberedlistTextstylesTextstyles"/>
      </w:pPr>
      <w:r w:rsidRPr="00C1603D">
        <w:t xml:space="preserve">(exp experimental organism/ or animal tissue/ or animal cell/ or exp animal disease/ or exp carnivore disease/ or exp bird/ or exp experimental animal welfare/ or exp animal husbandry/ or animal </w:t>
      </w:r>
      <w:proofErr w:type="spellStart"/>
      <w:r w:rsidRPr="00C1603D">
        <w:t>behavior</w:t>
      </w:r>
      <w:proofErr w:type="spellEnd"/>
      <w:r w:rsidRPr="00C1603D">
        <w:t xml:space="preserve">/ or exp animal cell culture/ or exp marine species/ or nonhuman/ or </w:t>
      </w:r>
      <w:proofErr w:type="spellStart"/>
      <w:r w:rsidRPr="00C1603D">
        <w:t>animal.hw</w:t>
      </w:r>
      <w:proofErr w:type="spellEnd"/>
      <w:r w:rsidRPr="00C1603D">
        <w:t>.) not human/ (6</w:t>
      </w:r>
      <w:r w:rsidR="00CA6F87" w:rsidRPr="00C1603D">
        <w:t>,</w:t>
      </w:r>
      <w:r w:rsidRPr="00C1603D">
        <w:t>072</w:t>
      </w:r>
      <w:r w:rsidR="00CA6F87" w:rsidRPr="00C1603D">
        <w:t>,</w:t>
      </w:r>
      <w:r w:rsidRPr="00C1603D">
        <w:t>159)</w:t>
      </w:r>
    </w:p>
    <w:p w14:paraId="5F214E33" w14:textId="34B161C8" w:rsidR="00100453" w:rsidRPr="00C1603D" w:rsidRDefault="00100453" w:rsidP="00100453">
      <w:pPr>
        <w:pStyle w:val="621TextnumberedlistTextstylesTextstyles"/>
      </w:pPr>
      <w:r w:rsidRPr="00C1603D">
        <w:t>((</w:t>
      </w:r>
      <w:proofErr w:type="gramStart"/>
      <w:r w:rsidRPr="00C1603D">
        <w:t>rat or rats or mouse or mice</w:t>
      </w:r>
      <w:proofErr w:type="gramEnd"/>
      <w:r w:rsidRPr="00C1603D">
        <w:t xml:space="preserve"> or rodent* or animal* or murine or porcine or feline or canine or dog or dogs or cat or cats or pig or pigs or monkey* or macaque*) not human*).</w:t>
      </w:r>
      <w:proofErr w:type="spellStart"/>
      <w:r w:rsidRPr="00C1603D">
        <w:t>ti</w:t>
      </w:r>
      <w:proofErr w:type="spellEnd"/>
      <w:r w:rsidRPr="00C1603D">
        <w:t>. (1</w:t>
      </w:r>
      <w:r w:rsidR="00CA6F87" w:rsidRPr="00C1603D">
        <w:t>,</w:t>
      </w:r>
      <w:r w:rsidRPr="00C1603D">
        <w:t>957</w:t>
      </w:r>
      <w:r w:rsidR="00CA6F87" w:rsidRPr="00C1603D">
        <w:t>,</w:t>
      </w:r>
      <w:r w:rsidRPr="00C1603D">
        <w:t>387)</w:t>
      </w:r>
    </w:p>
    <w:p w14:paraId="1BC1EBBF" w14:textId="3EB61B02" w:rsidR="00100453" w:rsidRPr="00C1603D" w:rsidRDefault="00100453" w:rsidP="00100453">
      <w:pPr>
        <w:pStyle w:val="621TextnumberedlistTextstylesTextstyles"/>
      </w:pPr>
      <w:r w:rsidRPr="00C1603D">
        <w:t>or/46-51 (8</w:t>
      </w:r>
      <w:r w:rsidR="00CA6F87" w:rsidRPr="00C1603D">
        <w:t>,</w:t>
      </w:r>
      <w:r w:rsidRPr="00C1603D">
        <w:t>620</w:t>
      </w:r>
      <w:r w:rsidR="00CA6F87" w:rsidRPr="00C1603D">
        <w:t>,</w:t>
      </w:r>
      <w:r w:rsidRPr="00C1603D">
        <w:t>748)</w:t>
      </w:r>
    </w:p>
    <w:p w14:paraId="797DC378" w14:textId="15ECDDB0" w:rsidR="00100453" w:rsidRPr="00C1603D" w:rsidRDefault="00100453" w:rsidP="00100453">
      <w:pPr>
        <w:pStyle w:val="621TextnumberedlistTextstylesTextstyles"/>
      </w:pPr>
      <w:proofErr w:type="gramStart"/>
      <w:r w:rsidRPr="00C1603D">
        <w:t>45</w:t>
      </w:r>
      <w:proofErr w:type="gramEnd"/>
      <w:r w:rsidRPr="00C1603D">
        <w:t xml:space="preserve"> not 52 (12</w:t>
      </w:r>
      <w:r w:rsidR="00CA6F87" w:rsidRPr="00C1603D">
        <w:t>,</w:t>
      </w:r>
      <w:r w:rsidRPr="00C1603D">
        <w:t>083)</w:t>
      </w:r>
    </w:p>
    <w:p w14:paraId="68C0BE90" w14:textId="5BF660CF" w:rsidR="00100453" w:rsidRPr="00C1603D" w:rsidRDefault="00100453" w:rsidP="00100453">
      <w:pPr>
        <w:pStyle w:val="621TextnumberedlistTextstylesTextstyles"/>
      </w:pPr>
      <w:r w:rsidRPr="00C1603D">
        <w:t>case control study/ or hospital based case control study/ or population based case control study/ or exp longitudinal study/ or prospective study/ or retrospective study/ (1</w:t>
      </w:r>
      <w:r w:rsidR="00CA6F87" w:rsidRPr="00C1603D">
        <w:t>,</w:t>
      </w:r>
      <w:r w:rsidRPr="00C1603D">
        <w:t>667</w:t>
      </w:r>
      <w:r w:rsidR="00CA6F87" w:rsidRPr="00C1603D">
        <w:t>,</w:t>
      </w:r>
      <w:r w:rsidRPr="00C1603D">
        <w:t>885)</w:t>
      </w:r>
    </w:p>
    <w:p w14:paraId="455B90C6" w14:textId="1FF72875" w:rsidR="00100453" w:rsidRPr="00C1603D" w:rsidRDefault="00100453" w:rsidP="00100453">
      <w:pPr>
        <w:pStyle w:val="621TextnumberedlistTextstylesTextstyles"/>
      </w:pPr>
      <w:r w:rsidRPr="00C1603D">
        <w:t>case finding/ or cohort analysis/ or control group/ or correlational study/ or cross-sectional study/ (1</w:t>
      </w:r>
      <w:r w:rsidR="00CA6F87" w:rsidRPr="00C1603D">
        <w:t>,</w:t>
      </w:r>
      <w:r w:rsidRPr="00C1603D">
        <w:t>006</w:t>
      </w:r>
      <w:r w:rsidR="00CA6F87" w:rsidRPr="00C1603D">
        <w:t>,</w:t>
      </w:r>
      <w:r w:rsidRPr="00C1603D">
        <w:t>525)</w:t>
      </w:r>
    </w:p>
    <w:p w14:paraId="64CDDC6F" w14:textId="79D8F4FC" w:rsidR="00100453" w:rsidRPr="00C1603D" w:rsidRDefault="00100453" w:rsidP="00100453">
      <w:pPr>
        <w:pStyle w:val="621TextnumberedlistTextstylesTextstyles"/>
      </w:pPr>
      <w:proofErr w:type="spellStart"/>
      <w:r w:rsidRPr="00C1603D">
        <w:t>seroepidemiology</w:t>
      </w:r>
      <w:proofErr w:type="spellEnd"/>
      <w:r w:rsidRPr="00C1603D">
        <w:t>/ (3934)</w:t>
      </w:r>
    </w:p>
    <w:p w14:paraId="488E8CBA" w14:textId="7FED4AAF" w:rsidR="00100453" w:rsidRPr="00C1603D" w:rsidRDefault="00100453" w:rsidP="00100453">
      <w:pPr>
        <w:pStyle w:val="621TextnumberedlistTextstylesTextstyles"/>
      </w:pPr>
      <w:r w:rsidRPr="00C1603D">
        <w:t>(cohort or case control* or case finding or cross-sectional or longitudinal).</w:t>
      </w:r>
      <w:proofErr w:type="spellStart"/>
      <w:r w:rsidRPr="00C1603D">
        <w:t>ti,ab,kw</w:t>
      </w:r>
      <w:proofErr w:type="spellEnd"/>
      <w:r w:rsidRPr="00C1603D">
        <w:t>. (1</w:t>
      </w:r>
      <w:r w:rsidR="00CA6F87" w:rsidRPr="00C1603D">
        <w:t>,</w:t>
      </w:r>
      <w:r w:rsidRPr="00C1603D">
        <w:t>661</w:t>
      </w:r>
      <w:r w:rsidR="00CA6F87" w:rsidRPr="00C1603D">
        <w:t>,</w:t>
      </w:r>
      <w:r w:rsidRPr="00C1603D">
        <w:t>606)</w:t>
      </w:r>
    </w:p>
    <w:p w14:paraId="1FB9A5D2" w14:textId="37E9F0B2" w:rsidR="00100453" w:rsidRPr="00C1603D" w:rsidRDefault="00100453" w:rsidP="00100453">
      <w:pPr>
        <w:pStyle w:val="621TextnumberedlistTextstylesTextstyles"/>
      </w:pPr>
      <w:proofErr w:type="spellStart"/>
      <w:r w:rsidRPr="00C1603D">
        <w:t>study.ti</w:t>
      </w:r>
      <w:proofErr w:type="spellEnd"/>
      <w:r w:rsidRPr="00C1603D">
        <w:t>. (1</w:t>
      </w:r>
      <w:r w:rsidR="00CA6F87" w:rsidRPr="00C1603D">
        <w:t>,</w:t>
      </w:r>
      <w:r w:rsidRPr="00C1603D">
        <w:t>569</w:t>
      </w:r>
      <w:r w:rsidR="00CA6F87" w:rsidRPr="00C1603D">
        <w:t>,</w:t>
      </w:r>
      <w:r w:rsidRPr="00C1603D">
        <w:t>542)</w:t>
      </w:r>
    </w:p>
    <w:p w14:paraId="301B327F" w14:textId="1F046999" w:rsidR="00100453" w:rsidRPr="00C1603D" w:rsidRDefault="00100453" w:rsidP="00100453">
      <w:pPr>
        <w:pStyle w:val="621TextnumberedlistTextstylesTextstyles"/>
      </w:pPr>
      <w:r w:rsidRPr="00C1603D">
        <w:t>(study and (</w:t>
      </w:r>
      <w:proofErr w:type="spellStart"/>
      <w:r w:rsidRPr="00C1603D">
        <w:t>analys</w:t>
      </w:r>
      <w:proofErr w:type="spellEnd"/>
      <w:r w:rsidRPr="00C1603D">
        <w:t xml:space="preserve">* or cases or clinical or control* or </w:t>
      </w:r>
      <w:proofErr w:type="spellStart"/>
      <w:r w:rsidRPr="00C1603D">
        <w:t>compar</w:t>
      </w:r>
      <w:proofErr w:type="spellEnd"/>
      <w:r w:rsidRPr="00C1603D">
        <w:t xml:space="preserve">* or </w:t>
      </w:r>
      <w:proofErr w:type="spellStart"/>
      <w:r w:rsidRPr="00C1603D">
        <w:t>correlat</w:t>
      </w:r>
      <w:proofErr w:type="spellEnd"/>
      <w:r w:rsidRPr="00C1603D">
        <w:t xml:space="preserve">* or </w:t>
      </w:r>
      <w:proofErr w:type="spellStart"/>
      <w:r w:rsidRPr="00C1603D">
        <w:t>associat</w:t>
      </w:r>
      <w:proofErr w:type="spellEnd"/>
      <w:r w:rsidRPr="00C1603D">
        <w:t xml:space="preserve">* or </w:t>
      </w:r>
      <w:proofErr w:type="spellStart"/>
      <w:r w:rsidRPr="00C1603D">
        <w:t>epidemiolog</w:t>
      </w:r>
      <w:proofErr w:type="spellEnd"/>
      <w:r w:rsidRPr="00C1603D">
        <w:t xml:space="preserve">* or </w:t>
      </w:r>
      <w:proofErr w:type="spellStart"/>
      <w:r w:rsidRPr="00C1603D">
        <w:t>evaluat</w:t>
      </w:r>
      <w:proofErr w:type="spellEnd"/>
      <w:r w:rsidRPr="00C1603D">
        <w:t xml:space="preserve">* or </w:t>
      </w:r>
      <w:proofErr w:type="spellStart"/>
      <w:r w:rsidRPr="00C1603D">
        <w:t>examin</w:t>
      </w:r>
      <w:proofErr w:type="spellEnd"/>
      <w:r w:rsidRPr="00C1603D">
        <w:t xml:space="preserve">* or </w:t>
      </w:r>
      <w:proofErr w:type="spellStart"/>
      <w:r w:rsidRPr="00C1603D">
        <w:t>investigat</w:t>
      </w:r>
      <w:proofErr w:type="spellEnd"/>
      <w:r w:rsidRPr="00C1603D">
        <w:t xml:space="preserve">* or </w:t>
      </w:r>
      <w:proofErr w:type="spellStart"/>
      <w:r w:rsidRPr="00C1603D">
        <w:t>observ</w:t>
      </w:r>
      <w:proofErr w:type="spellEnd"/>
      <w:r w:rsidRPr="00C1603D">
        <w:t xml:space="preserve">* or population based or </w:t>
      </w:r>
      <w:proofErr w:type="spellStart"/>
      <w:r w:rsidRPr="00C1603D">
        <w:t>prospectiv</w:t>
      </w:r>
      <w:proofErr w:type="spellEnd"/>
      <w:r w:rsidRPr="00C1603D">
        <w:t xml:space="preserve">* or </w:t>
      </w:r>
      <w:proofErr w:type="spellStart"/>
      <w:r w:rsidRPr="00C1603D">
        <w:t>retrospectiv</w:t>
      </w:r>
      <w:proofErr w:type="spellEnd"/>
      <w:r w:rsidRPr="00C1603D">
        <w:t xml:space="preserve">* or </w:t>
      </w:r>
      <w:proofErr w:type="spellStart"/>
      <w:r w:rsidRPr="00C1603D">
        <w:t>serolog</w:t>
      </w:r>
      <w:proofErr w:type="spellEnd"/>
      <w:r w:rsidRPr="00C1603D">
        <w:t>*)).</w:t>
      </w:r>
      <w:proofErr w:type="spellStart"/>
      <w:r w:rsidRPr="00C1603D">
        <w:t>ti,ab,kw</w:t>
      </w:r>
      <w:proofErr w:type="spellEnd"/>
      <w:r w:rsidRPr="00C1603D">
        <w:t>. (8</w:t>
      </w:r>
      <w:r w:rsidR="00CA6F87" w:rsidRPr="00C1603D">
        <w:t>,</w:t>
      </w:r>
      <w:r w:rsidRPr="00C1603D">
        <w:t>983</w:t>
      </w:r>
      <w:r w:rsidR="00CA6F87" w:rsidRPr="00C1603D">
        <w:t>,</w:t>
      </w:r>
      <w:r w:rsidRPr="00C1603D">
        <w:t>424)</w:t>
      </w:r>
    </w:p>
    <w:p w14:paraId="1E6CF75F" w14:textId="21AAFA5E" w:rsidR="00100453" w:rsidRPr="00C1603D" w:rsidRDefault="00100453" w:rsidP="00100453">
      <w:pPr>
        <w:pStyle w:val="621TextnumberedlistTextstylesTextstyles"/>
      </w:pPr>
      <w:r w:rsidRPr="00C1603D">
        <w:t>(case? and control*).ab. (657</w:t>
      </w:r>
      <w:r w:rsidR="00CA6F87" w:rsidRPr="00C1603D">
        <w:t>,</w:t>
      </w:r>
      <w:r w:rsidRPr="00C1603D">
        <w:t>067)</w:t>
      </w:r>
    </w:p>
    <w:p w14:paraId="555ACB0E" w14:textId="1CD49027" w:rsidR="00100453" w:rsidRPr="00C1603D" w:rsidRDefault="00100453" w:rsidP="00100453">
      <w:pPr>
        <w:pStyle w:val="621TextnumberedlistTextstylesTextstyles"/>
      </w:pPr>
      <w:r w:rsidRPr="00C1603D">
        <w:t xml:space="preserve">(controls or (control </w:t>
      </w:r>
      <w:proofErr w:type="spellStart"/>
      <w:r w:rsidRPr="00C1603D">
        <w:t>adj</w:t>
      </w:r>
      <w:proofErr w:type="spellEnd"/>
      <w:r w:rsidRPr="00C1603D">
        <w:t xml:space="preserve"> (group? or participants or patients))).ab. (1</w:t>
      </w:r>
      <w:r w:rsidR="00CA6F87" w:rsidRPr="00C1603D">
        <w:t>,</w:t>
      </w:r>
      <w:r w:rsidRPr="00C1603D">
        <w:t>656</w:t>
      </w:r>
      <w:r w:rsidR="00CA6F87" w:rsidRPr="00C1603D">
        <w:t>,</w:t>
      </w:r>
      <w:r w:rsidRPr="00C1603D">
        <w:t>326)</w:t>
      </w:r>
    </w:p>
    <w:p w14:paraId="172CC63C" w14:textId="24D94A0A" w:rsidR="00100453" w:rsidRPr="00C1603D" w:rsidRDefault="00100453" w:rsidP="00100453">
      <w:pPr>
        <w:pStyle w:val="621TextnumberedlistTextstylesTextstyles"/>
      </w:pPr>
      <w:r w:rsidRPr="00C1603D">
        <w:t>(groups or subgroup? or sub-group?).ab. (3</w:t>
      </w:r>
      <w:r w:rsidR="00CA6F87" w:rsidRPr="00C1603D">
        <w:t>,</w:t>
      </w:r>
      <w:r w:rsidRPr="00C1603D">
        <w:t>028</w:t>
      </w:r>
      <w:r w:rsidR="00CA6F87" w:rsidRPr="00C1603D">
        <w:t>,</w:t>
      </w:r>
      <w:r w:rsidRPr="00C1603D">
        <w:t>674)</w:t>
      </w:r>
    </w:p>
    <w:p w14:paraId="2BBD9FB9" w14:textId="7090D588" w:rsidR="00100453" w:rsidRPr="00C1603D" w:rsidRDefault="00100453" w:rsidP="00100453">
      <w:pPr>
        <w:pStyle w:val="621TextnumberedlistTextstylesTextstyles"/>
      </w:pPr>
      <w:r w:rsidRPr="00C1603D">
        <w:t>(group? adj5 (</w:t>
      </w:r>
      <w:proofErr w:type="spellStart"/>
      <w:r w:rsidRPr="00C1603D">
        <w:t>analys</w:t>
      </w:r>
      <w:proofErr w:type="spellEnd"/>
      <w:r w:rsidRPr="00C1603D">
        <w:t xml:space="preserve">* or </w:t>
      </w:r>
      <w:proofErr w:type="spellStart"/>
      <w:r w:rsidRPr="00C1603D">
        <w:t>compar</w:t>
      </w:r>
      <w:proofErr w:type="spellEnd"/>
      <w:r w:rsidRPr="00C1603D">
        <w:t xml:space="preserve">* or control* or </w:t>
      </w:r>
      <w:proofErr w:type="spellStart"/>
      <w:r w:rsidRPr="00C1603D">
        <w:t>correlat</w:t>
      </w:r>
      <w:proofErr w:type="spellEnd"/>
      <w:r w:rsidRPr="00C1603D">
        <w:t xml:space="preserve">* or </w:t>
      </w:r>
      <w:proofErr w:type="spellStart"/>
      <w:r w:rsidRPr="00C1603D">
        <w:t>associat</w:t>
      </w:r>
      <w:proofErr w:type="spellEnd"/>
      <w:r w:rsidRPr="00C1603D">
        <w:t>*)).ab. (1</w:t>
      </w:r>
      <w:r w:rsidR="00CA6F87" w:rsidRPr="00C1603D">
        <w:t>,</w:t>
      </w:r>
      <w:r w:rsidRPr="00C1603D">
        <w:t>489</w:t>
      </w:r>
      <w:r w:rsidR="00CA6F87" w:rsidRPr="00C1603D">
        <w:t>,</w:t>
      </w:r>
      <w:r w:rsidRPr="00C1603D">
        <w:t>755)</w:t>
      </w:r>
    </w:p>
    <w:p w14:paraId="24A55154" w14:textId="09CE4A3F" w:rsidR="00100453" w:rsidRPr="00C1603D" w:rsidRDefault="00100453" w:rsidP="00100453">
      <w:pPr>
        <w:pStyle w:val="621TextnumberedlistTextstylesTextstyles"/>
      </w:pPr>
      <w:r w:rsidRPr="00C1603D">
        <w:t>exp regression analysis/ (434</w:t>
      </w:r>
      <w:r w:rsidR="00CA6F87" w:rsidRPr="00C1603D">
        <w:t>,</w:t>
      </w:r>
      <w:r w:rsidRPr="00C1603D">
        <w:t>324)</w:t>
      </w:r>
    </w:p>
    <w:p w14:paraId="752DC42D" w14:textId="30D8D774" w:rsidR="00100453" w:rsidRPr="00C1603D" w:rsidRDefault="00100453" w:rsidP="00100453">
      <w:pPr>
        <w:pStyle w:val="621TextnumberedlistTextstylesTextstyles"/>
      </w:pPr>
      <w:r w:rsidRPr="00C1603D">
        <w:lastRenderedPageBreak/>
        <w:t>statistical model/ (158</w:t>
      </w:r>
      <w:r w:rsidR="00CA6F87" w:rsidRPr="00C1603D">
        <w:t>,</w:t>
      </w:r>
      <w:r w:rsidRPr="00C1603D">
        <w:t>724)</w:t>
      </w:r>
    </w:p>
    <w:p w14:paraId="77CBE92E" w14:textId="6328D74F" w:rsidR="00100453" w:rsidRPr="00C1603D" w:rsidRDefault="00100453" w:rsidP="00100453">
      <w:pPr>
        <w:pStyle w:val="621TextnumberedlistTextstylesTextstyles"/>
      </w:pPr>
      <w:r w:rsidRPr="00C1603D">
        <w:t>((</w:t>
      </w:r>
      <w:proofErr w:type="spellStart"/>
      <w:r w:rsidRPr="00C1603D">
        <w:t>analys</w:t>
      </w:r>
      <w:proofErr w:type="spellEnd"/>
      <w:r w:rsidRPr="00C1603D">
        <w:t>* or logistic*) adj1 (model* or regression*)).ab. (661</w:t>
      </w:r>
      <w:r w:rsidR="00CA6F87" w:rsidRPr="00C1603D">
        <w:t>,</w:t>
      </w:r>
      <w:r w:rsidRPr="00C1603D">
        <w:t>228)</w:t>
      </w:r>
    </w:p>
    <w:p w14:paraId="64BD8D35" w14:textId="2AFA6607" w:rsidR="00100453" w:rsidRPr="00C1603D" w:rsidRDefault="00100453" w:rsidP="00100453">
      <w:pPr>
        <w:pStyle w:val="621TextnumberedlistTextstylesTextstyles"/>
      </w:pPr>
      <w:proofErr w:type="spellStart"/>
      <w:r w:rsidRPr="00C1603D">
        <w:t>study.ab</w:t>
      </w:r>
      <w:proofErr w:type="spellEnd"/>
      <w:r w:rsidRPr="00C1603D">
        <w:t>. /</w:t>
      </w:r>
      <w:proofErr w:type="spellStart"/>
      <w:r w:rsidRPr="00C1603D">
        <w:t>freq</w:t>
      </w:r>
      <w:proofErr w:type="spellEnd"/>
      <w:r w:rsidRPr="00C1603D">
        <w:t>=2 (3</w:t>
      </w:r>
      <w:r w:rsidR="00CA6F87" w:rsidRPr="00C1603D">
        <w:t>,</w:t>
      </w:r>
      <w:r w:rsidRPr="00C1603D">
        <w:t>165</w:t>
      </w:r>
      <w:r w:rsidR="00CA6F87" w:rsidRPr="00C1603D">
        <w:t>,</w:t>
      </w:r>
      <w:r w:rsidRPr="00C1603D">
        <w:t>201)</w:t>
      </w:r>
    </w:p>
    <w:p w14:paraId="56DF2210" w14:textId="1EA6BBE6" w:rsidR="00100453" w:rsidRPr="00C1603D" w:rsidRDefault="00100453" w:rsidP="00100453">
      <w:pPr>
        <w:pStyle w:val="621TextnumberedlistTextstylesTextstyles"/>
      </w:pPr>
      <w:r w:rsidRPr="00C1603D">
        <w:t>or/54-67 (12</w:t>
      </w:r>
      <w:r w:rsidR="00CA6F87" w:rsidRPr="00C1603D">
        <w:t>,</w:t>
      </w:r>
      <w:r w:rsidRPr="00C1603D">
        <w:t>212</w:t>
      </w:r>
      <w:r w:rsidR="00CA6F87" w:rsidRPr="00C1603D">
        <w:t>,</w:t>
      </w:r>
      <w:r w:rsidRPr="00C1603D">
        <w:t>707)</w:t>
      </w:r>
    </w:p>
    <w:p w14:paraId="492AAAA9" w14:textId="2B61BB27" w:rsidR="00100453" w:rsidRPr="00C1603D" w:rsidRDefault="00100453" w:rsidP="00100453">
      <w:pPr>
        <w:pStyle w:val="621TextnumberedlistTextstylesTextstyles"/>
      </w:pPr>
      <w:r w:rsidRPr="00C1603D">
        <w:t>53 and 68 (7566)</w:t>
      </w:r>
    </w:p>
    <w:p w14:paraId="04E1EFFD" w14:textId="5F559E4F" w:rsidR="00100453" w:rsidRPr="00C1603D" w:rsidRDefault="00100453" w:rsidP="00100453">
      <w:pPr>
        <w:pStyle w:val="6211TextnumberedlistlastTextstylesTextstyles"/>
      </w:pPr>
      <w:r w:rsidRPr="00C1603D">
        <w:t xml:space="preserve">limit 69 to </w:t>
      </w:r>
      <w:proofErr w:type="spellStart"/>
      <w:r w:rsidRPr="00C1603D">
        <w:t>yr</w:t>
      </w:r>
      <w:proofErr w:type="spellEnd"/>
      <w:r w:rsidRPr="00C1603D">
        <w:t>="1997 -Current" (7032)</w:t>
      </w:r>
    </w:p>
    <w:p w14:paraId="038526AE" w14:textId="77777777" w:rsidR="00100453" w:rsidRPr="00C1603D" w:rsidRDefault="008B4DF8" w:rsidP="008B4DF8">
      <w:pPr>
        <w:pStyle w:val="602TextfoTextstylesTextstyles"/>
      </w:pPr>
      <w:r w:rsidRPr="00C1603D">
        <w:t xml:space="preserve">Database: Ovid MEDLINE(R) and </w:t>
      </w:r>
      <w:proofErr w:type="spellStart"/>
      <w:r w:rsidRPr="00C1603D">
        <w:t>Epub</w:t>
      </w:r>
      <w:proofErr w:type="spellEnd"/>
      <w:r w:rsidRPr="00C1603D">
        <w:t xml:space="preserve"> Ahead of Print, In-Process &amp; Other Non-Indexed Citations and Daily</w:t>
      </w:r>
    </w:p>
    <w:p w14:paraId="4649C2D0" w14:textId="0DF02FA1" w:rsidR="008B4DF8" w:rsidRPr="00C1603D" w:rsidRDefault="00100453" w:rsidP="008B4DF8">
      <w:pPr>
        <w:pStyle w:val="602TextfoTextstylesTextstyles"/>
      </w:pPr>
      <w:r w:rsidRPr="00C1603D">
        <w:t>Date range searc</w:t>
      </w:r>
      <w:r w:rsidRPr="00C1603D">
        <w:rPr>
          <w:color w:val="auto"/>
        </w:rPr>
        <w:t xml:space="preserve">hed: </w:t>
      </w:r>
      <w:r w:rsidR="008B4DF8" w:rsidRPr="00C1603D">
        <w:rPr>
          <w:color w:val="auto"/>
        </w:rPr>
        <w:t>1946 to 5 February 2020</w:t>
      </w:r>
      <w:r w:rsidR="00B60276" w:rsidRPr="00C1603D">
        <w:rPr>
          <w:color w:val="auto"/>
        </w:rPr>
        <w:t>.</w:t>
      </w:r>
    </w:p>
    <w:p w14:paraId="16C37E35" w14:textId="2236AAF3" w:rsidR="008B4DF8" w:rsidRPr="00C1603D" w:rsidRDefault="008B4DF8" w:rsidP="008B4DF8">
      <w:pPr>
        <w:pStyle w:val="602TextfoTextstylesTextstyles"/>
      </w:pPr>
      <w:r w:rsidRPr="00C1603D">
        <w:t xml:space="preserve">Search </w:t>
      </w:r>
      <w:r w:rsidR="00B60276" w:rsidRPr="00C1603D">
        <w:t>s</w:t>
      </w:r>
      <w:r w:rsidRPr="00C1603D">
        <w:t>trategy: ARC-Coeliac-MEDLINE-Final</w:t>
      </w:r>
    </w:p>
    <w:p w14:paraId="36D5017F" w14:textId="46ECE95D" w:rsidR="008B4DF8" w:rsidRPr="00C1603D" w:rsidRDefault="008B4DF8" w:rsidP="009205FB">
      <w:pPr>
        <w:pStyle w:val="621TextnumberedlistTextstylesTextstyles"/>
      </w:pPr>
      <w:r w:rsidRPr="00C1603D">
        <w:t>Celiac Disease/(19</w:t>
      </w:r>
      <w:r w:rsidR="00D45FF3" w:rsidRPr="00C1603D">
        <w:t>,</w:t>
      </w:r>
      <w:r w:rsidRPr="00C1603D">
        <w:t>693)</w:t>
      </w:r>
    </w:p>
    <w:p w14:paraId="24A72D5F" w14:textId="09C163C3" w:rsidR="008B4DF8" w:rsidRPr="00C1603D" w:rsidRDefault="008B4DF8" w:rsidP="009205FB">
      <w:pPr>
        <w:pStyle w:val="621TextnumberedlistTextstylesTextstyles"/>
      </w:pPr>
      <w:proofErr w:type="spellStart"/>
      <w:r w:rsidRPr="00C1603D">
        <w:t>c?eliac.ti,ab,kf</w:t>
      </w:r>
      <w:proofErr w:type="spellEnd"/>
      <w:r w:rsidRPr="00C1603D">
        <w:t>. (27</w:t>
      </w:r>
      <w:r w:rsidR="00D45FF3" w:rsidRPr="00C1603D">
        <w:t>,</w:t>
      </w:r>
      <w:r w:rsidRPr="00C1603D">
        <w:t>278)</w:t>
      </w:r>
    </w:p>
    <w:p w14:paraId="3C844CE2" w14:textId="5B1CF48C" w:rsidR="008B4DF8" w:rsidRPr="00C1603D" w:rsidRDefault="008B4DF8" w:rsidP="009205FB">
      <w:pPr>
        <w:pStyle w:val="621TextnumberedlistTextstylesTextstyles"/>
      </w:pPr>
      <w:r w:rsidRPr="00C1603D">
        <w:t>or/1-2 (32</w:t>
      </w:r>
      <w:r w:rsidR="00D45FF3" w:rsidRPr="00C1603D">
        <w:t>,</w:t>
      </w:r>
      <w:r w:rsidRPr="00C1603D">
        <w:t>722)</w:t>
      </w:r>
    </w:p>
    <w:p w14:paraId="3A865CDC" w14:textId="4181053C" w:rsidR="008B4DF8" w:rsidRPr="00C1603D" w:rsidRDefault="008B4DF8" w:rsidP="009205FB">
      <w:pPr>
        <w:pStyle w:val="621TextnumberedlistTextstylesTextstyles"/>
      </w:pPr>
      <w:r w:rsidRPr="00C1603D">
        <w:t xml:space="preserve">((detect* or </w:t>
      </w:r>
      <w:proofErr w:type="spellStart"/>
      <w:r w:rsidRPr="00C1603D">
        <w:t>diagnos</w:t>
      </w:r>
      <w:proofErr w:type="spellEnd"/>
      <w:r w:rsidRPr="00C1603D">
        <w:t xml:space="preserve">* or </w:t>
      </w:r>
      <w:proofErr w:type="spellStart"/>
      <w:r w:rsidRPr="00C1603D">
        <w:t>identif</w:t>
      </w:r>
      <w:proofErr w:type="spellEnd"/>
      <w:r w:rsidRPr="00C1603D">
        <w:t xml:space="preserve">* or decision* or predict* or </w:t>
      </w:r>
      <w:proofErr w:type="spellStart"/>
      <w:r w:rsidRPr="00C1603D">
        <w:t>prognos</w:t>
      </w:r>
      <w:proofErr w:type="spellEnd"/>
      <w:r w:rsidRPr="00C1603D">
        <w:t xml:space="preserve">* or risk or risks or </w:t>
      </w:r>
      <w:proofErr w:type="spellStart"/>
      <w:r w:rsidRPr="00C1603D">
        <w:t>stratif</w:t>
      </w:r>
      <w:proofErr w:type="spellEnd"/>
      <w:r w:rsidRPr="00C1603D">
        <w:t xml:space="preserve">* or </w:t>
      </w:r>
      <w:proofErr w:type="spellStart"/>
      <w:r w:rsidRPr="00C1603D">
        <w:t>validat</w:t>
      </w:r>
      <w:proofErr w:type="spellEnd"/>
      <w:r w:rsidRPr="00C1603D">
        <w:t xml:space="preserve">*) adj3 (model* or factor* or algorithm? or </w:t>
      </w:r>
      <w:proofErr w:type="spellStart"/>
      <w:r w:rsidRPr="00C1603D">
        <w:t>scor</w:t>
      </w:r>
      <w:proofErr w:type="spellEnd"/>
      <w:r w:rsidRPr="00C1603D">
        <w:t xml:space="preserve">* or system or technique? or aid? or </w:t>
      </w:r>
      <w:proofErr w:type="gramStart"/>
      <w:r w:rsidRPr="00C1603D">
        <w:t>rule or rules or index</w:t>
      </w:r>
      <w:proofErr w:type="gramEnd"/>
      <w:r w:rsidRPr="00C1603D">
        <w:t xml:space="preserve"> or variable* or tool? or panel or </w:t>
      </w:r>
      <w:proofErr w:type="spellStart"/>
      <w:r w:rsidRPr="00C1603D">
        <w:t>criteri</w:t>
      </w:r>
      <w:proofErr w:type="spellEnd"/>
      <w:r w:rsidRPr="00C1603D">
        <w:t xml:space="preserve">* or characteristic? or history or finding* or value* or assay or </w:t>
      </w:r>
      <w:proofErr w:type="spellStart"/>
      <w:r w:rsidRPr="00C1603D">
        <w:t>stratif</w:t>
      </w:r>
      <w:proofErr w:type="spellEnd"/>
      <w:r w:rsidRPr="00C1603D">
        <w:t>* or biomarker?)).</w:t>
      </w:r>
      <w:proofErr w:type="spellStart"/>
      <w:r w:rsidRPr="00C1603D">
        <w:t>ti,ab,kf</w:t>
      </w:r>
      <w:proofErr w:type="spellEnd"/>
      <w:r w:rsidRPr="00C1603D">
        <w:t>. (1</w:t>
      </w:r>
      <w:r w:rsidR="00D45FF3" w:rsidRPr="00C1603D">
        <w:t>,</w:t>
      </w:r>
      <w:r w:rsidRPr="00C1603D">
        <w:t>978</w:t>
      </w:r>
      <w:r w:rsidR="00D45FF3" w:rsidRPr="00C1603D">
        <w:t>,</w:t>
      </w:r>
      <w:r w:rsidRPr="00C1603D">
        <w:t>188)</w:t>
      </w:r>
    </w:p>
    <w:p w14:paraId="4FA526D5" w14:textId="0DB2AB90" w:rsidR="008B4DF8" w:rsidRPr="00C1603D" w:rsidRDefault="008B4DF8" w:rsidP="009205FB">
      <w:pPr>
        <w:pStyle w:val="621TextnumberedlistTextstylesTextstyles"/>
      </w:pPr>
      <w:r w:rsidRPr="00C1603D">
        <w:t xml:space="preserve">((detect* or </w:t>
      </w:r>
      <w:proofErr w:type="spellStart"/>
      <w:r w:rsidRPr="00C1603D">
        <w:t>diagnos</w:t>
      </w:r>
      <w:proofErr w:type="spellEnd"/>
      <w:r w:rsidRPr="00C1603D">
        <w:t xml:space="preserve">* or </w:t>
      </w:r>
      <w:proofErr w:type="spellStart"/>
      <w:r w:rsidRPr="00C1603D">
        <w:t>identif</w:t>
      </w:r>
      <w:proofErr w:type="spellEnd"/>
      <w:r w:rsidRPr="00C1603D">
        <w:t xml:space="preserve">* or decision* or predict* or </w:t>
      </w:r>
      <w:proofErr w:type="spellStart"/>
      <w:r w:rsidRPr="00C1603D">
        <w:t>prognos</w:t>
      </w:r>
      <w:proofErr w:type="spellEnd"/>
      <w:r w:rsidRPr="00C1603D">
        <w:t xml:space="preserve">* or </w:t>
      </w:r>
      <w:proofErr w:type="spellStart"/>
      <w:r w:rsidRPr="00C1603D">
        <w:t>stratif</w:t>
      </w:r>
      <w:proofErr w:type="spellEnd"/>
      <w:r w:rsidRPr="00C1603D">
        <w:t xml:space="preserve">* or </w:t>
      </w:r>
      <w:proofErr w:type="spellStart"/>
      <w:r w:rsidRPr="00C1603D">
        <w:t>validat</w:t>
      </w:r>
      <w:proofErr w:type="spellEnd"/>
      <w:r w:rsidRPr="00C1603D">
        <w:t xml:space="preserve">*) adj3 (risk or risks or model* or factor* or algorithm? or </w:t>
      </w:r>
      <w:proofErr w:type="spellStart"/>
      <w:r w:rsidRPr="00C1603D">
        <w:t>scor</w:t>
      </w:r>
      <w:proofErr w:type="spellEnd"/>
      <w:r w:rsidRPr="00C1603D">
        <w:t xml:space="preserve">* or system or technique? or aid? or </w:t>
      </w:r>
      <w:proofErr w:type="gramStart"/>
      <w:r w:rsidRPr="00C1603D">
        <w:t>rule or rules or index</w:t>
      </w:r>
      <w:proofErr w:type="gramEnd"/>
      <w:r w:rsidRPr="00C1603D">
        <w:t xml:space="preserve"> or variable* or tool? or panel or </w:t>
      </w:r>
      <w:proofErr w:type="spellStart"/>
      <w:r w:rsidRPr="00C1603D">
        <w:t>criteri</w:t>
      </w:r>
      <w:proofErr w:type="spellEnd"/>
      <w:r w:rsidRPr="00C1603D">
        <w:t xml:space="preserve">* or characteristic? or history or finding* or value* or assay or </w:t>
      </w:r>
      <w:proofErr w:type="spellStart"/>
      <w:r w:rsidRPr="00C1603D">
        <w:t>stratif</w:t>
      </w:r>
      <w:proofErr w:type="spellEnd"/>
      <w:r w:rsidRPr="00C1603D">
        <w:t>* or biomarker?)).</w:t>
      </w:r>
      <w:proofErr w:type="spellStart"/>
      <w:r w:rsidRPr="00C1603D">
        <w:t>ti,ab,kf</w:t>
      </w:r>
      <w:proofErr w:type="spellEnd"/>
      <w:r w:rsidRPr="00C1603D">
        <w:t>. (154</w:t>
      </w:r>
      <w:r w:rsidR="00D45FF3" w:rsidRPr="00C1603D">
        <w:t>,</w:t>
      </w:r>
      <w:r w:rsidRPr="00C1603D">
        <w:t>7617)</w:t>
      </w:r>
    </w:p>
    <w:p w14:paraId="0DCF9B17" w14:textId="1A6C61D8" w:rsidR="008B4DF8" w:rsidRPr="00C1603D" w:rsidRDefault="008B4DF8" w:rsidP="009205FB">
      <w:pPr>
        <w:pStyle w:val="621TextnumberedlistTextstylesTextstyles"/>
      </w:pPr>
      <w:r w:rsidRPr="00C1603D">
        <w:t xml:space="preserve">(clinic* adj3 (model* or algorithm? or </w:t>
      </w:r>
      <w:proofErr w:type="spellStart"/>
      <w:r w:rsidRPr="00C1603D">
        <w:t>scor</w:t>
      </w:r>
      <w:proofErr w:type="spellEnd"/>
      <w:r w:rsidRPr="00C1603D">
        <w:t xml:space="preserve">* or </w:t>
      </w:r>
      <w:proofErr w:type="gramStart"/>
      <w:r w:rsidRPr="00C1603D">
        <w:t>risk or risks or rule</w:t>
      </w:r>
      <w:proofErr w:type="gramEnd"/>
      <w:r w:rsidRPr="00C1603D">
        <w:t xml:space="preserve"> or rules or predict* or index or tool? or panel or </w:t>
      </w:r>
      <w:proofErr w:type="spellStart"/>
      <w:r w:rsidRPr="00C1603D">
        <w:t>criteri</w:t>
      </w:r>
      <w:proofErr w:type="spellEnd"/>
      <w:r w:rsidRPr="00C1603D">
        <w:t xml:space="preserve">* or decision* or </w:t>
      </w:r>
      <w:proofErr w:type="spellStart"/>
      <w:r w:rsidRPr="00C1603D">
        <w:t>stratif</w:t>
      </w:r>
      <w:proofErr w:type="spellEnd"/>
      <w:r w:rsidRPr="00C1603D">
        <w:t xml:space="preserve">* or </w:t>
      </w:r>
      <w:proofErr w:type="spellStart"/>
      <w:r w:rsidRPr="00C1603D">
        <w:t>diagnos</w:t>
      </w:r>
      <w:proofErr w:type="spellEnd"/>
      <w:r w:rsidRPr="00C1603D">
        <w:t xml:space="preserve">* or detect* or </w:t>
      </w:r>
      <w:proofErr w:type="spellStart"/>
      <w:r w:rsidRPr="00C1603D">
        <w:t>identif</w:t>
      </w:r>
      <w:proofErr w:type="spellEnd"/>
      <w:r w:rsidRPr="00C1603D">
        <w:t xml:space="preserve">* or </w:t>
      </w:r>
      <w:proofErr w:type="spellStart"/>
      <w:r w:rsidRPr="00C1603D">
        <w:t>probabilit</w:t>
      </w:r>
      <w:proofErr w:type="spellEnd"/>
      <w:r w:rsidRPr="00C1603D">
        <w:t>*)).</w:t>
      </w:r>
      <w:proofErr w:type="spellStart"/>
      <w:r w:rsidRPr="00C1603D">
        <w:t>ti,ab,kf</w:t>
      </w:r>
      <w:proofErr w:type="spellEnd"/>
      <w:r w:rsidRPr="00C1603D">
        <w:t>. (420</w:t>
      </w:r>
      <w:r w:rsidR="00D45FF3" w:rsidRPr="00C1603D">
        <w:t>,</w:t>
      </w:r>
      <w:r w:rsidRPr="00C1603D">
        <w:t>165)</w:t>
      </w:r>
    </w:p>
    <w:p w14:paraId="707D6F6F" w14:textId="4AF26D97" w:rsidR="008B4DF8" w:rsidRPr="00C1603D" w:rsidRDefault="008B4DF8" w:rsidP="009205FB">
      <w:pPr>
        <w:pStyle w:val="621TextnumberedlistTextstylesTextstyles"/>
      </w:pPr>
      <w:r w:rsidRPr="00C1603D">
        <w:t>((</w:t>
      </w:r>
      <w:proofErr w:type="spellStart"/>
      <w:r w:rsidRPr="00C1603D">
        <w:t>multivaria</w:t>
      </w:r>
      <w:proofErr w:type="spellEnd"/>
      <w:r w:rsidRPr="00C1603D">
        <w:t xml:space="preserve">* or multicomponent?) adj3 (model* or algorithm? or </w:t>
      </w:r>
      <w:proofErr w:type="spellStart"/>
      <w:r w:rsidRPr="00C1603D">
        <w:t>scor</w:t>
      </w:r>
      <w:proofErr w:type="spellEnd"/>
      <w:r w:rsidRPr="00C1603D">
        <w:t xml:space="preserve">* or </w:t>
      </w:r>
      <w:proofErr w:type="gramStart"/>
      <w:r w:rsidRPr="00C1603D">
        <w:t>rule or rules or index</w:t>
      </w:r>
      <w:proofErr w:type="gramEnd"/>
      <w:r w:rsidRPr="00C1603D">
        <w:t xml:space="preserve"> or tool? or panel or </w:t>
      </w:r>
      <w:proofErr w:type="spellStart"/>
      <w:r w:rsidRPr="00C1603D">
        <w:t>criteri</w:t>
      </w:r>
      <w:proofErr w:type="spellEnd"/>
      <w:r w:rsidRPr="00C1603D">
        <w:t>*)).</w:t>
      </w:r>
      <w:proofErr w:type="spellStart"/>
      <w:r w:rsidRPr="00C1603D">
        <w:t>ti,ab,kf</w:t>
      </w:r>
      <w:proofErr w:type="spellEnd"/>
      <w:r w:rsidRPr="00C1603D">
        <w:t>. (69</w:t>
      </w:r>
      <w:r w:rsidR="00D45FF3" w:rsidRPr="00C1603D">
        <w:t>,</w:t>
      </w:r>
      <w:r w:rsidRPr="00C1603D">
        <w:t>716)</w:t>
      </w:r>
    </w:p>
    <w:p w14:paraId="1728EA5D" w14:textId="516316B1" w:rsidR="008B4DF8" w:rsidRPr="00C1603D" w:rsidRDefault="008B4DF8" w:rsidP="009205FB">
      <w:pPr>
        <w:pStyle w:val="621TextnumberedlistTextstylesTextstyles"/>
      </w:pPr>
      <w:r w:rsidRPr="00C1603D">
        <w:t>(clinical decision making or (decision and logistic models)).sh. (7874)</w:t>
      </w:r>
    </w:p>
    <w:p w14:paraId="17B3C123" w14:textId="616A6029" w:rsidR="008B4DF8" w:rsidRPr="00C1603D" w:rsidRDefault="008B4DF8" w:rsidP="009205FB">
      <w:pPr>
        <w:pStyle w:val="621TextnumberedlistTextstylesTextstyles"/>
      </w:pPr>
      <w:r w:rsidRPr="00C1603D">
        <w:t>or/4-8 (2</w:t>
      </w:r>
      <w:r w:rsidR="00D45FF3" w:rsidRPr="00C1603D">
        <w:t>,</w:t>
      </w:r>
      <w:r w:rsidRPr="00C1603D">
        <w:t>337</w:t>
      </w:r>
      <w:r w:rsidR="00D45FF3" w:rsidRPr="00C1603D">
        <w:t>,</w:t>
      </w:r>
      <w:r w:rsidRPr="00C1603D">
        <w:t>727)</w:t>
      </w:r>
    </w:p>
    <w:p w14:paraId="66051CE7" w14:textId="186B68D4" w:rsidR="008B4DF8" w:rsidRPr="00C1603D" w:rsidRDefault="008B4DF8" w:rsidP="009205FB">
      <w:pPr>
        <w:pStyle w:val="621TextnumberedlistTextstylesTextstyles"/>
      </w:pPr>
      <w:r w:rsidRPr="00C1603D">
        <w:t>3 and 9 (3401)</w:t>
      </w:r>
    </w:p>
    <w:p w14:paraId="6D32A4CE" w14:textId="6BA139F9" w:rsidR="008B4DF8" w:rsidRPr="00C1603D" w:rsidRDefault="008B4DF8" w:rsidP="009205FB">
      <w:pPr>
        <w:pStyle w:val="621TextnumberedlistTextstylesTextstyles"/>
      </w:pPr>
      <w:r w:rsidRPr="00C1603D">
        <w:t>Risk Factors/or Disease Predisposition/or Genetic Predisposition to Disease/(907</w:t>
      </w:r>
      <w:r w:rsidR="00D45FF3" w:rsidRPr="00C1603D">
        <w:t>,</w:t>
      </w:r>
      <w:r w:rsidRPr="00C1603D">
        <w:t>433)</w:t>
      </w:r>
    </w:p>
    <w:p w14:paraId="4AE95956" w14:textId="2339F5B4" w:rsidR="008B4DF8" w:rsidRPr="00C1603D" w:rsidRDefault="008B4DF8" w:rsidP="009205FB">
      <w:pPr>
        <w:pStyle w:val="621TextnumberedlistTextstylesTextstyles"/>
      </w:pPr>
      <w:r w:rsidRPr="00C1603D">
        <w:t xml:space="preserve">exp </w:t>
      </w:r>
      <w:r w:rsidRPr="00C1603D">
        <w:rPr>
          <w:color w:val="00B0F0"/>
        </w:rPr>
        <w:t>“</w:t>
      </w:r>
      <w:r w:rsidRPr="00C1603D">
        <w:t>bacterial infections and mycoses</w:t>
      </w:r>
      <w:r w:rsidRPr="00C1603D">
        <w:rPr>
          <w:color w:val="00B0F0"/>
        </w:rPr>
        <w:t>”</w:t>
      </w:r>
      <w:r w:rsidRPr="00C1603D">
        <w:t xml:space="preserve">/or exp virus diseases/or exp parasitic diseases/or exp neoplasms/or exp musculoskeletal diseases/or exp stomatognathic diseases/or exp respiratory tract diseases/or exp otorhinolaryngologic diseases/or exp nervous system diseases/or exp eye diseases/or exp male urogenital diseases/or exp </w:t>
      </w:r>
      <w:r w:rsidRPr="00C1603D">
        <w:rPr>
          <w:color w:val="00B0F0"/>
        </w:rPr>
        <w:t>“</w:t>
      </w:r>
      <w:r w:rsidRPr="00C1603D">
        <w:t>female urogenital diseases and pregnancy complications</w:t>
      </w:r>
      <w:r w:rsidRPr="00C1603D">
        <w:rPr>
          <w:color w:val="00B0F0"/>
        </w:rPr>
        <w:t>”</w:t>
      </w:r>
      <w:r w:rsidRPr="00C1603D">
        <w:t xml:space="preserve">/or exp cardiovascular diseases/or exp </w:t>
      </w:r>
      <w:r w:rsidRPr="00C1603D">
        <w:rPr>
          <w:color w:val="00B0F0"/>
        </w:rPr>
        <w:t>“</w:t>
      </w:r>
      <w:r w:rsidRPr="00C1603D">
        <w:t>hemic and lymphatic diseases</w:t>
      </w:r>
      <w:r w:rsidRPr="00C1603D">
        <w:rPr>
          <w:color w:val="00B0F0"/>
        </w:rPr>
        <w:t>”</w:t>
      </w:r>
      <w:r w:rsidRPr="00C1603D">
        <w:t xml:space="preserve">/or exp </w:t>
      </w:r>
      <w:r w:rsidRPr="00C1603D">
        <w:rPr>
          <w:color w:val="00B0F0"/>
        </w:rPr>
        <w:t>“</w:t>
      </w:r>
      <w:r w:rsidRPr="00C1603D">
        <w:t>congenital, hereditary, and neonatal diseases and abnormalities</w:t>
      </w:r>
      <w:r w:rsidRPr="00C1603D">
        <w:rPr>
          <w:color w:val="00B0F0"/>
        </w:rPr>
        <w:t>”</w:t>
      </w:r>
      <w:r w:rsidRPr="00C1603D">
        <w:t xml:space="preserve">/or exp </w:t>
      </w:r>
      <w:r w:rsidRPr="00C1603D">
        <w:rPr>
          <w:color w:val="00B0F0"/>
        </w:rPr>
        <w:t>“</w:t>
      </w:r>
      <w:r w:rsidRPr="00C1603D">
        <w:t>skin and connective tissue diseases</w:t>
      </w:r>
      <w:r w:rsidRPr="00C1603D">
        <w:rPr>
          <w:color w:val="00B0F0"/>
        </w:rPr>
        <w:t>”</w:t>
      </w:r>
      <w:r w:rsidRPr="00C1603D">
        <w:t xml:space="preserve">/or exp endocrine system diseases/or exp immune system diseases/or exp </w:t>
      </w:r>
      <w:r w:rsidRPr="00C1603D">
        <w:rPr>
          <w:color w:val="00B0F0"/>
        </w:rPr>
        <w:t>“</w:t>
      </w:r>
      <w:r w:rsidRPr="00C1603D">
        <w:t>disorders of environmental origin</w:t>
      </w:r>
      <w:r w:rsidRPr="00C1603D">
        <w:rPr>
          <w:color w:val="00B0F0"/>
        </w:rPr>
        <w:t>”</w:t>
      </w:r>
      <w:r w:rsidRPr="00C1603D">
        <w:t xml:space="preserve">/or disease/or digestive system diseases/or exp biliary tract diseases/or exp digestive system abnormalities/or exp digestive system fistula/or exp digestive system neoplasms/or exp liver diseases/or exp pancreatic diseases/or exp peritoneal diseases/or gastrointestinal diseases/or exp </w:t>
      </w:r>
      <w:proofErr w:type="spellStart"/>
      <w:r w:rsidRPr="00C1603D">
        <w:t>esophageal</w:t>
      </w:r>
      <w:proofErr w:type="spellEnd"/>
      <w:r w:rsidRPr="00C1603D">
        <w:t xml:space="preserve"> diseases/or exp gastroenteritis/or exp gastrointestinal </w:t>
      </w:r>
      <w:proofErr w:type="spellStart"/>
      <w:r w:rsidRPr="00C1603D">
        <w:t>hemorrhage</w:t>
      </w:r>
      <w:proofErr w:type="spellEnd"/>
      <w:r w:rsidRPr="00C1603D">
        <w:t xml:space="preserve">/or exp gastrointestinal neoplasms/or intestinal diseases/or exp </w:t>
      </w:r>
      <w:proofErr w:type="spellStart"/>
      <w:r w:rsidRPr="00C1603D">
        <w:t>cecal</w:t>
      </w:r>
      <w:proofErr w:type="spellEnd"/>
      <w:r w:rsidRPr="00C1603D">
        <w:t xml:space="preserve"> diseases/or exp colonic diseases/or exp duodenal diseases/or exp dysentery/or exp enteritis/or exp enterocolitis/or exp </w:t>
      </w:r>
      <w:proofErr w:type="spellStart"/>
      <w:r w:rsidRPr="00C1603D">
        <w:t>hiv</w:t>
      </w:r>
      <w:proofErr w:type="spellEnd"/>
      <w:r w:rsidRPr="00C1603D">
        <w:t xml:space="preserve"> enteropathy/or exp ileal diseases/or exp inflammatory bowel diseases/or exp intestinal atresia/or exp intestinal diseases, parasitic/or exp intestinal fistula/or exp intestinal neoplasms/or exp intestinal obstruction/or exp intestinal perforation/or exp intestinal polyposis/or exp jejunal diseases/or malabsorption syndromes/or blind loop syndrome/or collagenous sprue/or lactose intolerance/or short bowel syndrome/or sprue, tropical/or steatorrhea/or </w:t>
      </w:r>
      <w:proofErr w:type="spellStart"/>
      <w:r w:rsidRPr="00C1603D">
        <w:t>whipple</w:t>
      </w:r>
      <w:proofErr w:type="spellEnd"/>
      <w:r w:rsidRPr="00C1603D">
        <w:t xml:space="preserve"> disease/or mesenteric ischemia/or mesenteric vascular occlusion/or </w:t>
      </w:r>
      <w:r w:rsidRPr="00C1603D">
        <w:lastRenderedPageBreak/>
        <w:t xml:space="preserve">pneumatosis </w:t>
      </w:r>
      <w:proofErr w:type="spellStart"/>
      <w:r w:rsidRPr="00C1603D">
        <w:t>cystoides</w:t>
      </w:r>
      <w:proofErr w:type="spellEnd"/>
      <w:r w:rsidRPr="00C1603D">
        <w:t xml:space="preserve"> intestinalis/or protein-losing enteropathies/or exp rectal diseases/or </w:t>
      </w:r>
      <w:proofErr w:type="spellStart"/>
      <w:r w:rsidRPr="00C1603D">
        <w:t>zollinger-ellison</w:t>
      </w:r>
      <w:proofErr w:type="spellEnd"/>
      <w:r w:rsidRPr="00C1603D">
        <w:t xml:space="preserve"> syndrome/or exp stomach diseases/or exp tuberculosis, gastrointestinal/or exp visceral prolapse/or exp liver diseases/or exp pancreatic diseases/or exp peritoneal diseases/or </w:t>
      </w:r>
      <w:r w:rsidRPr="00C1603D">
        <w:rPr>
          <w:color w:val="00B0F0"/>
        </w:rPr>
        <w:t>“</w:t>
      </w:r>
      <w:r w:rsidRPr="00C1603D">
        <w:t>nutritional and metabolic diseases</w:t>
      </w:r>
      <w:r w:rsidRPr="00C1603D">
        <w:rPr>
          <w:color w:val="00B0F0"/>
        </w:rPr>
        <w:t>”</w:t>
      </w:r>
      <w:r w:rsidRPr="00C1603D">
        <w:t xml:space="preserve">/or metabolic diseases/or exp acid-base imbalance/or exp bone diseases, metabolic/or exp brain diseases, metabolic/or exp calcium metabolism disorders/or exp </w:t>
      </w:r>
      <w:proofErr w:type="spellStart"/>
      <w:r w:rsidRPr="00C1603D">
        <w:t>dna</w:t>
      </w:r>
      <w:proofErr w:type="spellEnd"/>
      <w:r w:rsidRPr="00C1603D">
        <w:t xml:space="preserve"> repair-deficiency disorders/or exp glucose metabolism disorders/or exp hyperlactatemia/or exp iron metabolism disorders/or exp lipid metabolism disorders/or malabsorption syndromes/or exp blind loop syndrome/or exp collagenous sprue/or exp </w:t>
      </w:r>
      <w:proofErr w:type="spellStart"/>
      <w:r w:rsidRPr="00C1603D">
        <w:t>hyperhomocysteinemia</w:t>
      </w:r>
      <w:proofErr w:type="spellEnd"/>
      <w:r w:rsidRPr="00C1603D">
        <w:t xml:space="preserve">/or exp lactose intolerance/or exp sprue, tropical/or exp steatorrhea/or exp </w:t>
      </w:r>
      <w:proofErr w:type="spellStart"/>
      <w:r w:rsidRPr="00C1603D">
        <w:t>whipple</w:t>
      </w:r>
      <w:proofErr w:type="spellEnd"/>
      <w:r w:rsidRPr="00C1603D">
        <w:t xml:space="preserve"> disease/or exp metabolic syndrome/or exp metabolism, inborn errors/or exp mitochondrial diseases/or exp phosphorus metabolism disorders/or exp </w:t>
      </w:r>
      <w:proofErr w:type="spellStart"/>
      <w:r w:rsidRPr="00C1603D">
        <w:t>porphyrias</w:t>
      </w:r>
      <w:proofErr w:type="spellEnd"/>
      <w:r w:rsidRPr="00C1603D">
        <w:t xml:space="preserve">/or exp </w:t>
      </w:r>
      <w:proofErr w:type="spellStart"/>
      <w:r w:rsidRPr="00C1603D">
        <w:t>proteostasis</w:t>
      </w:r>
      <w:proofErr w:type="spellEnd"/>
      <w:r w:rsidRPr="00C1603D">
        <w:t xml:space="preserve"> deficiencies/or exp skin diseases, metabolic/or exp wasting syndrome/or exp water-electrolyte imbalance/or exp nutrition disorders/or </w:t>
      </w:r>
      <w:r w:rsidRPr="00C1603D">
        <w:rPr>
          <w:color w:val="00B0F0"/>
        </w:rPr>
        <w:t>“</w:t>
      </w:r>
      <w:r w:rsidRPr="00C1603D">
        <w:t>SIGNS and SYMPTOMS</w:t>
      </w:r>
      <w:r w:rsidRPr="00C1603D">
        <w:rPr>
          <w:color w:val="00B0F0"/>
        </w:rPr>
        <w:t>”</w:t>
      </w:r>
      <w:r w:rsidRPr="00C1603D">
        <w:t xml:space="preserve">/or exp aging, premature/or exp asthenia/or exp body temperature changes/or exp body weight/or exp cardiac output, high/or exp cardiac output, low/or exp chills/or exp cyanosis/or exp </w:t>
      </w:r>
      <w:proofErr w:type="spellStart"/>
      <w:r w:rsidRPr="00C1603D">
        <w:t>edema</w:t>
      </w:r>
      <w:proofErr w:type="spellEnd"/>
      <w:r w:rsidRPr="00C1603D">
        <w:t xml:space="preserve">/or exp eye manifestations/or exp failure to thrive/or exp fatigue/or exp feminization/or exp </w:t>
      </w:r>
      <w:proofErr w:type="spellStart"/>
      <w:r w:rsidRPr="00C1603D">
        <w:t>fetal</w:t>
      </w:r>
      <w:proofErr w:type="spellEnd"/>
      <w:r w:rsidRPr="00C1603D">
        <w:t xml:space="preserve"> distress/or exp heart murmurs/or exp hot flashes/or exp hypergammaglobulinemia/or exp hyperlactatemia/or exp </w:t>
      </w:r>
      <w:proofErr w:type="spellStart"/>
      <w:r w:rsidRPr="00C1603D">
        <w:t>hypertriglyceridemic</w:t>
      </w:r>
      <w:proofErr w:type="spellEnd"/>
      <w:r w:rsidRPr="00C1603D">
        <w:t xml:space="preserve"> waist/or exp intermittent claudication/or exp medically unexplained symptoms/or exp mobility limitation/or exp motion sickness/or exp myocardial stunning/or exp neurologic manifestations/or exp oral manifestations/or exp polydipsia/or exp prodromal symptoms/or exp pseudophakia/or exp renal colic/or exp </w:t>
      </w:r>
      <w:proofErr w:type="spellStart"/>
      <w:r w:rsidRPr="00C1603D">
        <w:t>reticulocytosis</w:t>
      </w:r>
      <w:proofErr w:type="spellEnd"/>
      <w:r w:rsidRPr="00C1603D">
        <w:t xml:space="preserve">/or exp </w:t>
      </w:r>
      <w:r w:rsidRPr="00C1603D">
        <w:rPr>
          <w:color w:val="00B0F0"/>
        </w:rPr>
        <w:t>“</w:t>
      </w:r>
      <w:r w:rsidRPr="00C1603D">
        <w:t>signs and symptoms, digestive</w:t>
      </w:r>
      <w:r w:rsidRPr="00C1603D">
        <w:rPr>
          <w:color w:val="00B0F0"/>
        </w:rPr>
        <w:t>”</w:t>
      </w:r>
      <w:r w:rsidRPr="00C1603D">
        <w:t xml:space="preserve">/or exp </w:t>
      </w:r>
      <w:r w:rsidRPr="00C1603D">
        <w:rPr>
          <w:color w:val="00B0F0"/>
        </w:rPr>
        <w:t>“</w:t>
      </w:r>
      <w:r w:rsidRPr="00C1603D">
        <w:t>signs and symptoms, respiratory</w:t>
      </w:r>
      <w:r w:rsidRPr="00C1603D">
        <w:rPr>
          <w:color w:val="00B0F0"/>
        </w:rPr>
        <w:t>”</w:t>
      </w:r>
      <w:r w:rsidRPr="00C1603D">
        <w:t>/or exp skin manifestations/or exp sleepiness/or exp travel-related illness/or exp urological manifestations/or exp virilism/(13</w:t>
      </w:r>
      <w:r w:rsidR="009205FB" w:rsidRPr="00C1603D">
        <w:t>,</w:t>
      </w:r>
      <w:r w:rsidRPr="00C1603D">
        <w:t>521</w:t>
      </w:r>
      <w:r w:rsidR="009205FB" w:rsidRPr="00C1603D">
        <w:t>,</w:t>
      </w:r>
      <w:r w:rsidRPr="00C1603D">
        <w:t>118)</w:t>
      </w:r>
    </w:p>
    <w:p w14:paraId="751524A9" w14:textId="0193B1C4" w:rsidR="008B4DF8" w:rsidRPr="00C1603D" w:rsidRDefault="008B4DF8" w:rsidP="009205FB">
      <w:pPr>
        <w:pStyle w:val="621TextnumberedlistTextstylesTextstyles"/>
      </w:pPr>
      <w:r w:rsidRPr="00C1603D">
        <w:t xml:space="preserve">exp </w:t>
      </w:r>
      <w:r w:rsidRPr="00C1603D">
        <w:rPr>
          <w:color w:val="00B0F0"/>
        </w:rPr>
        <w:t>“</w:t>
      </w:r>
      <w:r w:rsidRPr="00C1603D">
        <w:t>anatomy (non mesh)</w:t>
      </w:r>
      <w:r w:rsidRPr="00C1603D">
        <w:rPr>
          <w:color w:val="00B0F0"/>
        </w:rPr>
        <w:t>”</w:t>
      </w:r>
      <w:r w:rsidRPr="00C1603D">
        <w:t>/ab, pa [abnormalities, pathology] (1</w:t>
      </w:r>
      <w:r w:rsidR="009205FB" w:rsidRPr="00C1603D">
        <w:t>,</w:t>
      </w:r>
      <w:r w:rsidRPr="00C1603D">
        <w:t>686</w:t>
      </w:r>
      <w:r w:rsidR="009205FB" w:rsidRPr="00C1603D">
        <w:t>,</w:t>
      </w:r>
      <w:r w:rsidRPr="00C1603D">
        <w:t>610)</w:t>
      </w:r>
    </w:p>
    <w:p w14:paraId="472C613A" w14:textId="1A176899" w:rsidR="008B4DF8" w:rsidRPr="00C1603D" w:rsidRDefault="008B4DF8" w:rsidP="009205FB">
      <w:pPr>
        <w:pStyle w:val="621TextnumberedlistTextstylesTextstyles"/>
      </w:pPr>
      <w:r w:rsidRPr="00C1603D">
        <w:t>((</w:t>
      </w:r>
      <w:proofErr w:type="spellStart"/>
      <w:r w:rsidRPr="00C1603D">
        <w:t>addison</w:t>
      </w:r>
      <w:proofErr w:type="spellEnd"/>
      <w:r w:rsidRPr="00C1603D">
        <w:t xml:space="preserve">* adj3 (disease* or disorder* or </w:t>
      </w:r>
      <w:proofErr w:type="spellStart"/>
      <w:r w:rsidRPr="00C1603D">
        <w:t>syndrom</w:t>
      </w:r>
      <w:proofErr w:type="spellEnd"/>
      <w:r w:rsidRPr="00C1603D">
        <w:t xml:space="preserve">*)) or alopecia or baldness or amenorrhea* or amenorrhoea* or oligomenorrhea* or oligomenorrhoea* or anxiety disorder* or anorexia or adrenal </w:t>
      </w:r>
      <w:proofErr w:type="spellStart"/>
      <w:r w:rsidRPr="00C1603D">
        <w:t>insufficienc</w:t>
      </w:r>
      <w:proofErr w:type="spellEnd"/>
      <w:r w:rsidRPr="00C1603D">
        <w:t xml:space="preserve">* or adrenocortical </w:t>
      </w:r>
      <w:proofErr w:type="spellStart"/>
      <w:r w:rsidRPr="00C1603D">
        <w:t>insufficienc</w:t>
      </w:r>
      <w:proofErr w:type="spellEnd"/>
      <w:r w:rsidRPr="00C1603D">
        <w:t xml:space="preserve">* or </w:t>
      </w:r>
      <w:proofErr w:type="spellStart"/>
      <w:r w:rsidRPr="00C1603D">
        <w:t>allerg</w:t>
      </w:r>
      <w:proofErr w:type="spellEnd"/>
      <w:r w:rsidRPr="00C1603D">
        <w:t xml:space="preserve">* or </w:t>
      </w:r>
      <w:proofErr w:type="spellStart"/>
      <w:r w:rsidRPr="00C1603D">
        <w:t>anemi</w:t>
      </w:r>
      <w:proofErr w:type="spellEnd"/>
      <w:r w:rsidRPr="00C1603D">
        <w:t xml:space="preserve">* or </w:t>
      </w:r>
      <w:proofErr w:type="spellStart"/>
      <w:r w:rsidRPr="00C1603D">
        <w:t>anaemi</w:t>
      </w:r>
      <w:proofErr w:type="spellEnd"/>
      <w:r w:rsidRPr="00C1603D">
        <w:t xml:space="preserve">* or angina or aneurysm or ankylosing spondylitis or </w:t>
      </w:r>
      <w:proofErr w:type="spellStart"/>
      <w:r w:rsidRPr="00C1603D">
        <w:t>arthropath</w:t>
      </w:r>
      <w:proofErr w:type="spellEnd"/>
      <w:r w:rsidRPr="00C1603D">
        <w:t xml:space="preserve">* or </w:t>
      </w:r>
      <w:proofErr w:type="spellStart"/>
      <w:r w:rsidRPr="00C1603D">
        <w:t>arthriti</w:t>
      </w:r>
      <w:proofErr w:type="spellEnd"/>
      <w:r w:rsidRPr="00C1603D">
        <w:t xml:space="preserve">* or arthrosis or arthroses or asthma* or asthenia or ataxia or atrial fibrillation or atrophy or autoimmune disorder* or (autoimmune </w:t>
      </w:r>
      <w:proofErr w:type="spellStart"/>
      <w:r w:rsidRPr="00C1603D">
        <w:t>adj</w:t>
      </w:r>
      <w:proofErr w:type="spellEnd"/>
      <w:r w:rsidRPr="00C1603D">
        <w:t xml:space="preserve"> (disease* or disorder* or </w:t>
      </w:r>
      <w:proofErr w:type="spellStart"/>
      <w:r w:rsidRPr="00C1603D">
        <w:t>syndrom</w:t>
      </w:r>
      <w:proofErr w:type="spellEnd"/>
      <w:r w:rsidRPr="00C1603D">
        <w:t xml:space="preserve">*)) or ataxia or avitaminosis or </w:t>
      </w:r>
      <w:proofErr w:type="spellStart"/>
      <w:r w:rsidRPr="00C1603D">
        <w:t>bonnevie</w:t>
      </w:r>
      <w:proofErr w:type="spellEnd"/>
      <w:r w:rsidRPr="00C1603D">
        <w:t xml:space="preserve"> </w:t>
      </w:r>
      <w:proofErr w:type="spellStart"/>
      <w:r w:rsidRPr="00C1603D">
        <w:t>ullrich</w:t>
      </w:r>
      <w:proofErr w:type="spellEnd"/>
      <w:r w:rsidRPr="00C1603D">
        <w:t xml:space="preserve"> or back pain or (biliary adj3 (disease* or disorder* or </w:t>
      </w:r>
      <w:proofErr w:type="spellStart"/>
      <w:r w:rsidRPr="00C1603D">
        <w:t>syndrom</w:t>
      </w:r>
      <w:proofErr w:type="spellEnd"/>
      <w:r w:rsidRPr="00C1603D">
        <w:t xml:space="preserve">*)) or (bipolar adj3 disorder*) or blindness or blind loop </w:t>
      </w:r>
      <w:proofErr w:type="spellStart"/>
      <w:r w:rsidRPr="00C1603D">
        <w:t>syndrom</w:t>
      </w:r>
      <w:proofErr w:type="spellEnd"/>
      <w:r w:rsidRPr="00C1603D">
        <w:t xml:space="preserve">* or (blood adj3 poisoning) or brain </w:t>
      </w:r>
      <w:proofErr w:type="spellStart"/>
      <w:r w:rsidRPr="00C1603D">
        <w:t>atroph</w:t>
      </w:r>
      <w:proofErr w:type="spellEnd"/>
      <w:r w:rsidRPr="00C1603D">
        <w:t xml:space="preserve">* or ((bone or bones) adj3 (broken or disease* or disorder* or </w:t>
      </w:r>
      <w:proofErr w:type="spellStart"/>
      <w:r w:rsidRPr="00C1603D">
        <w:t>syndrom</w:t>
      </w:r>
      <w:proofErr w:type="spellEnd"/>
      <w:r w:rsidRPr="00C1603D">
        <w:t xml:space="preserve">*)) or (bone* adj3 (mineral* or </w:t>
      </w:r>
      <w:proofErr w:type="spellStart"/>
      <w:r w:rsidRPr="00C1603D">
        <w:t>densit</w:t>
      </w:r>
      <w:proofErr w:type="spellEnd"/>
      <w:r w:rsidRPr="00C1603D">
        <w:t xml:space="preserve">* or soft* or decay*)) or (brain adj3 (disease* or disorder* or </w:t>
      </w:r>
      <w:proofErr w:type="spellStart"/>
      <w:r w:rsidRPr="00C1603D">
        <w:t>syndrom</w:t>
      </w:r>
      <w:proofErr w:type="spellEnd"/>
      <w:r w:rsidRPr="00C1603D">
        <w:t xml:space="preserve">*)) or (bronchi* adj3 (disease* or disorder* or </w:t>
      </w:r>
      <w:proofErr w:type="spellStart"/>
      <w:r w:rsidRPr="00C1603D">
        <w:t>syndrom</w:t>
      </w:r>
      <w:proofErr w:type="spellEnd"/>
      <w:r w:rsidRPr="00C1603D">
        <w:t xml:space="preserve">*)) or (bowel* adj3 (disease* or disorder* or </w:t>
      </w:r>
      <w:proofErr w:type="spellStart"/>
      <w:r w:rsidRPr="00C1603D">
        <w:t>syndrom</w:t>
      </w:r>
      <w:proofErr w:type="spellEnd"/>
      <w:r w:rsidRPr="00C1603D">
        <w:t xml:space="preserve">*)) or calcinosis or cancer* or carcinoma* or adenocarcinoma* or neoplasm* or neoplastic or </w:t>
      </w:r>
      <w:proofErr w:type="spellStart"/>
      <w:r w:rsidRPr="00C1603D">
        <w:t>metasta</w:t>
      </w:r>
      <w:proofErr w:type="spellEnd"/>
      <w:r w:rsidRPr="00C1603D">
        <w:t xml:space="preserve">* or </w:t>
      </w:r>
      <w:proofErr w:type="spellStart"/>
      <w:r w:rsidRPr="00C1603D">
        <w:t>malignan</w:t>
      </w:r>
      <w:proofErr w:type="spellEnd"/>
      <w:r w:rsidRPr="00C1603D">
        <w:t xml:space="preserve">* or tumour or tumours or </w:t>
      </w:r>
      <w:proofErr w:type="spellStart"/>
      <w:r w:rsidRPr="00C1603D">
        <w:t>tumor</w:t>
      </w:r>
      <w:proofErr w:type="spellEnd"/>
      <w:r w:rsidRPr="00C1603D">
        <w:t xml:space="preserve"> or </w:t>
      </w:r>
      <w:proofErr w:type="spellStart"/>
      <w:r w:rsidRPr="00C1603D">
        <w:t>tumors</w:t>
      </w:r>
      <w:proofErr w:type="spellEnd"/>
      <w:r w:rsidRPr="00C1603D">
        <w:t xml:space="preserve"> or (cardiac adj3 (arrest or arrhythmia* or disease* or disorder* or </w:t>
      </w:r>
      <w:proofErr w:type="spellStart"/>
      <w:r w:rsidRPr="00C1603D">
        <w:t>surg</w:t>
      </w:r>
      <w:proofErr w:type="spellEnd"/>
      <w:r w:rsidRPr="00C1603D">
        <w:t xml:space="preserve">* or </w:t>
      </w:r>
      <w:proofErr w:type="spellStart"/>
      <w:r w:rsidRPr="00C1603D">
        <w:t>syndrom</w:t>
      </w:r>
      <w:proofErr w:type="spellEnd"/>
      <w:r w:rsidRPr="00C1603D">
        <w:t xml:space="preserve">*)) or </w:t>
      </w:r>
      <w:proofErr w:type="spellStart"/>
      <w:r w:rsidRPr="00C1603D">
        <w:t>cardiomyopath</w:t>
      </w:r>
      <w:proofErr w:type="spellEnd"/>
      <w:r w:rsidRPr="00C1603D">
        <w:t xml:space="preserve">* or ((cardiovascular or coronary) adj3 (disease* or disorder* or event* or </w:t>
      </w:r>
      <w:proofErr w:type="spellStart"/>
      <w:r w:rsidRPr="00C1603D">
        <w:t>syndrom</w:t>
      </w:r>
      <w:proofErr w:type="spellEnd"/>
      <w:r w:rsidRPr="00C1603D">
        <w:t>*)) or cachexia or ((</w:t>
      </w:r>
      <w:proofErr w:type="spellStart"/>
      <w:r w:rsidRPr="00C1603D">
        <w:t>cecal</w:t>
      </w:r>
      <w:proofErr w:type="spellEnd"/>
      <w:r w:rsidRPr="00C1603D">
        <w:t xml:space="preserve"> or colon* or </w:t>
      </w:r>
      <w:proofErr w:type="spellStart"/>
      <w:r w:rsidRPr="00C1603D">
        <w:t>duoden</w:t>
      </w:r>
      <w:proofErr w:type="spellEnd"/>
      <w:r w:rsidRPr="00C1603D">
        <w:t xml:space="preserve">*) adj3 (disease* or disorder* or </w:t>
      </w:r>
      <w:proofErr w:type="spellStart"/>
      <w:r w:rsidRPr="00C1603D">
        <w:t>syndrom</w:t>
      </w:r>
      <w:proofErr w:type="spellEnd"/>
      <w:r w:rsidRPr="00C1603D">
        <w:t>*)) or cerebral palsy or (</w:t>
      </w:r>
      <w:proofErr w:type="spellStart"/>
      <w:r w:rsidRPr="00C1603D">
        <w:t>cerebro</w:t>
      </w:r>
      <w:proofErr w:type="spellEnd"/>
      <w:r w:rsidRPr="00C1603D">
        <w:t>* adj3 (</w:t>
      </w:r>
      <w:proofErr w:type="spellStart"/>
      <w:r w:rsidRPr="00C1603D">
        <w:t>degenerat</w:t>
      </w:r>
      <w:proofErr w:type="spellEnd"/>
      <w:r w:rsidRPr="00C1603D">
        <w:t xml:space="preserve">* or disease* or disorder* or event* or </w:t>
      </w:r>
      <w:proofErr w:type="spellStart"/>
      <w:r w:rsidRPr="00C1603D">
        <w:t>syndrom</w:t>
      </w:r>
      <w:proofErr w:type="spellEnd"/>
      <w:r w:rsidRPr="00C1603D">
        <w:t xml:space="preserve">*)) or chronic obstructive disease* or cirrhosis or claudication or colic or </w:t>
      </w:r>
      <w:proofErr w:type="spellStart"/>
      <w:r w:rsidRPr="00C1603D">
        <w:t>copd</w:t>
      </w:r>
      <w:proofErr w:type="spellEnd"/>
      <w:r w:rsidRPr="00C1603D">
        <w:t xml:space="preserve"> or ((coordination or co-ordination) adj3 (impair* or lack)) or congenital </w:t>
      </w:r>
      <w:proofErr w:type="spellStart"/>
      <w:r w:rsidRPr="00C1603D">
        <w:t>abnormalit</w:t>
      </w:r>
      <w:proofErr w:type="spellEnd"/>
      <w:r w:rsidRPr="00C1603D">
        <w:t>* or (</w:t>
      </w:r>
      <w:proofErr w:type="spellStart"/>
      <w:r w:rsidRPr="00C1603D">
        <w:t>congential</w:t>
      </w:r>
      <w:proofErr w:type="spellEnd"/>
      <w:r w:rsidRPr="00C1603D">
        <w:t xml:space="preserve"> adj3 (disease* or disorder* or </w:t>
      </w:r>
      <w:proofErr w:type="spellStart"/>
      <w:r w:rsidRPr="00C1603D">
        <w:t>syndrom</w:t>
      </w:r>
      <w:proofErr w:type="spellEnd"/>
      <w:r w:rsidRPr="00C1603D">
        <w:t xml:space="preserve">*)) or ((connective or collagen* or skin) adj3 (disease* or disorder* or </w:t>
      </w:r>
      <w:proofErr w:type="spellStart"/>
      <w:r w:rsidRPr="00C1603D">
        <w:t>syndrom</w:t>
      </w:r>
      <w:proofErr w:type="spellEnd"/>
      <w:r w:rsidRPr="00C1603D">
        <w:t xml:space="preserve">*)) or collagenous sprue or colitis or </w:t>
      </w:r>
      <w:proofErr w:type="spellStart"/>
      <w:r w:rsidRPr="00C1603D">
        <w:t>colotides</w:t>
      </w:r>
      <w:proofErr w:type="spellEnd"/>
      <w:r w:rsidRPr="00C1603D">
        <w:t xml:space="preserve"> or coxarthrosis or </w:t>
      </w:r>
      <w:proofErr w:type="spellStart"/>
      <w:r w:rsidRPr="00C1603D">
        <w:t>crohn</w:t>
      </w:r>
      <w:proofErr w:type="spellEnd"/>
      <w:r w:rsidRPr="00C1603D">
        <w:t xml:space="preserve">* or </w:t>
      </w:r>
      <w:proofErr w:type="spellStart"/>
      <w:r w:rsidRPr="00C1603D">
        <w:t>cushing</w:t>
      </w:r>
      <w:proofErr w:type="spellEnd"/>
      <w:r w:rsidRPr="00C1603D">
        <w:t xml:space="preserve">* or cyanosis or cystic fibrosis or cystitis or deaf* or </w:t>
      </w:r>
      <w:proofErr w:type="spellStart"/>
      <w:r w:rsidRPr="00C1603D">
        <w:t>deformit</w:t>
      </w:r>
      <w:proofErr w:type="spellEnd"/>
      <w:r w:rsidRPr="00C1603D">
        <w:t xml:space="preserve">* or delayed puberty or dental or depressive disorder* or dysphoria or dysthymia or disabled or (physical adj3 (deform* or </w:t>
      </w:r>
      <w:proofErr w:type="spellStart"/>
      <w:r w:rsidRPr="00C1603D">
        <w:t>disab</w:t>
      </w:r>
      <w:proofErr w:type="spellEnd"/>
      <w:r w:rsidRPr="00C1603D">
        <w:t xml:space="preserve">* or impair*)) or dermatitis or </w:t>
      </w:r>
      <w:proofErr w:type="spellStart"/>
      <w:r w:rsidRPr="00C1603D">
        <w:t>dermato</w:t>
      </w:r>
      <w:proofErr w:type="spellEnd"/>
      <w:r w:rsidRPr="00C1603D">
        <w:t xml:space="preserve">* or </w:t>
      </w:r>
      <w:proofErr w:type="spellStart"/>
      <w:r w:rsidRPr="00C1603D">
        <w:t>dorsopath</w:t>
      </w:r>
      <w:proofErr w:type="spellEnd"/>
      <w:r w:rsidRPr="00C1603D">
        <w:t xml:space="preserve">* or </w:t>
      </w:r>
      <w:proofErr w:type="spellStart"/>
      <w:r w:rsidRPr="00C1603D">
        <w:t>diabet</w:t>
      </w:r>
      <w:proofErr w:type="spellEnd"/>
      <w:r w:rsidRPr="00C1603D">
        <w:t xml:space="preserve">* or down* </w:t>
      </w:r>
      <w:proofErr w:type="spellStart"/>
      <w:r w:rsidRPr="00C1603D">
        <w:t>syndrom</w:t>
      </w:r>
      <w:proofErr w:type="spellEnd"/>
      <w:r w:rsidRPr="00C1603D">
        <w:t xml:space="preserve">* or </w:t>
      </w:r>
      <w:proofErr w:type="spellStart"/>
      <w:r w:rsidRPr="00C1603D">
        <w:t>duhring</w:t>
      </w:r>
      <w:proofErr w:type="spellEnd"/>
      <w:r w:rsidRPr="00C1603D">
        <w:t xml:space="preserve">* or </w:t>
      </w:r>
      <w:proofErr w:type="spellStart"/>
      <w:r w:rsidRPr="00C1603D">
        <w:t>duehring</w:t>
      </w:r>
      <w:proofErr w:type="spellEnd"/>
      <w:r w:rsidRPr="00C1603D">
        <w:t xml:space="preserve">* or </w:t>
      </w:r>
      <w:proofErr w:type="spellStart"/>
      <w:r w:rsidRPr="00C1603D">
        <w:t>duhrig</w:t>
      </w:r>
      <w:proofErr w:type="spellEnd"/>
      <w:r w:rsidRPr="00C1603D">
        <w:t xml:space="preserve">* or </w:t>
      </w:r>
      <w:proofErr w:type="spellStart"/>
      <w:r w:rsidRPr="00C1603D">
        <w:t>duehrig</w:t>
      </w:r>
      <w:proofErr w:type="spellEnd"/>
      <w:r w:rsidRPr="00C1603D">
        <w:t xml:space="preserve">* or dyscoordination or </w:t>
      </w:r>
      <w:proofErr w:type="spellStart"/>
      <w:r w:rsidRPr="00C1603D">
        <w:t>dys</w:t>
      </w:r>
      <w:proofErr w:type="spellEnd"/>
      <w:r w:rsidRPr="00C1603D">
        <w:t xml:space="preserve">-coordination or </w:t>
      </w:r>
      <w:proofErr w:type="spellStart"/>
      <w:r w:rsidRPr="00C1603D">
        <w:t>dys</w:t>
      </w:r>
      <w:proofErr w:type="spellEnd"/>
      <w:r w:rsidRPr="00C1603D">
        <w:t xml:space="preserve">-coordination or </w:t>
      </w:r>
      <w:proofErr w:type="spellStart"/>
      <w:r w:rsidRPr="00C1603D">
        <w:t>dys</w:t>
      </w:r>
      <w:proofErr w:type="spellEnd"/>
      <w:r w:rsidRPr="00C1603D">
        <w:t xml:space="preserve">-co-ordination or dysentery or dyssynergia or </w:t>
      </w:r>
      <w:proofErr w:type="spellStart"/>
      <w:r w:rsidRPr="00C1603D">
        <w:t>dys</w:t>
      </w:r>
      <w:proofErr w:type="spellEnd"/>
      <w:r w:rsidRPr="00C1603D">
        <w:t xml:space="preserve">-synergia or </w:t>
      </w:r>
      <w:proofErr w:type="spellStart"/>
      <w:r w:rsidRPr="00C1603D">
        <w:t>emaciat</w:t>
      </w:r>
      <w:proofErr w:type="spellEnd"/>
      <w:r w:rsidRPr="00C1603D">
        <w:t xml:space="preserve">* or enteritis or enterocolitis* or enteropathy or dystonia or eczema or </w:t>
      </w:r>
      <w:proofErr w:type="spellStart"/>
      <w:r w:rsidRPr="00C1603D">
        <w:t>edema</w:t>
      </w:r>
      <w:proofErr w:type="spellEnd"/>
      <w:r w:rsidRPr="00C1603D">
        <w:t xml:space="preserve"> or oedema or elfin face </w:t>
      </w:r>
      <w:proofErr w:type="spellStart"/>
      <w:r w:rsidRPr="00C1603D">
        <w:t>sydrom</w:t>
      </w:r>
      <w:proofErr w:type="spellEnd"/>
      <w:r w:rsidRPr="00C1603D">
        <w:t xml:space="preserve">* or </w:t>
      </w:r>
      <w:proofErr w:type="spellStart"/>
      <w:r w:rsidRPr="00C1603D">
        <w:t>encephalopath</w:t>
      </w:r>
      <w:proofErr w:type="spellEnd"/>
      <w:r w:rsidRPr="00C1603D">
        <w:t xml:space="preserve">* or (endocrine adj3 (disease* or disorder* or </w:t>
      </w:r>
      <w:proofErr w:type="spellStart"/>
      <w:r w:rsidRPr="00C1603D">
        <w:t>syndrom</w:t>
      </w:r>
      <w:proofErr w:type="spellEnd"/>
      <w:r w:rsidRPr="00C1603D">
        <w:t xml:space="preserve">*)) or enuresis or </w:t>
      </w:r>
      <w:proofErr w:type="spellStart"/>
      <w:r w:rsidRPr="00C1603D">
        <w:t>enteropath</w:t>
      </w:r>
      <w:proofErr w:type="spellEnd"/>
      <w:r w:rsidRPr="00C1603D">
        <w:t xml:space="preserve">* or </w:t>
      </w:r>
      <w:proofErr w:type="spellStart"/>
      <w:r w:rsidRPr="00C1603D">
        <w:t>epilep</w:t>
      </w:r>
      <w:proofErr w:type="spellEnd"/>
      <w:r w:rsidRPr="00C1603D">
        <w:t xml:space="preserve">* or (eye adj3 (disease* or disorder* or manifestation* or </w:t>
      </w:r>
      <w:proofErr w:type="spellStart"/>
      <w:r w:rsidRPr="00C1603D">
        <w:t>syndrom</w:t>
      </w:r>
      <w:proofErr w:type="spellEnd"/>
      <w:r w:rsidRPr="00C1603D">
        <w:t xml:space="preserve">*)) or fatigue syndrome or chronic fatigue or </w:t>
      </w:r>
      <w:r w:rsidRPr="00C1603D">
        <w:lastRenderedPageBreak/>
        <w:t xml:space="preserve">failure to thrive or fibromyalgia or fibrosis or food hypersensitivity or fractures or gammaglobulinemia or </w:t>
      </w:r>
      <w:proofErr w:type="spellStart"/>
      <w:r w:rsidRPr="00C1603D">
        <w:t>gammaglobulinaemia</w:t>
      </w:r>
      <w:proofErr w:type="spellEnd"/>
      <w:r w:rsidRPr="00C1603D">
        <w:t xml:space="preserve"> or (</w:t>
      </w:r>
      <w:proofErr w:type="spellStart"/>
      <w:r w:rsidRPr="00C1603D">
        <w:t>gardner</w:t>
      </w:r>
      <w:proofErr w:type="spellEnd"/>
      <w:r w:rsidRPr="00C1603D">
        <w:t>* adj3 (</w:t>
      </w:r>
      <w:proofErr w:type="spellStart"/>
      <w:r w:rsidRPr="00C1603D">
        <w:t>syndrom</w:t>
      </w:r>
      <w:proofErr w:type="spellEnd"/>
      <w:r w:rsidRPr="00C1603D">
        <w:t>* or disease* or disorder*)) or gastritis or gastroenteritis or gout or (</w:t>
      </w:r>
      <w:proofErr w:type="spellStart"/>
      <w:r w:rsidRPr="00C1603D">
        <w:t>glomerul</w:t>
      </w:r>
      <w:proofErr w:type="spellEnd"/>
      <w:r w:rsidRPr="00C1603D">
        <w:t xml:space="preserve">* adj3 (disease* or disorder* or </w:t>
      </w:r>
      <w:proofErr w:type="spellStart"/>
      <w:r w:rsidRPr="00C1603D">
        <w:t>syndrom</w:t>
      </w:r>
      <w:proofErr w:type="spellEnd"/>
      <w:r w:rsidRPr="00C1603D">
        <w:t>*)) or (</w:t>
      </w:r>
      <w:proofErr w:type="spellStart"/>
      <w:r w:rsidRPr="00C1603D">
        <w:t>gonodal</w:t>
      </w:r>
      <w:proofErr w:type="spellEnd"/>
      <w:r w:rsidRPr="00C1603D">
        <w:t xml:space="preserve"> adj3 </w:t>
      </w:r>
      <w:proofErr w:type="spellStart"/>
      <w:r w:rsidRPr="00C1603D">
        <w:t>dysgen</w:t>
      </w:r>
      <w:proofErr w:type="spellEnd"/>
      <w:r w:rsidRPr="00C1603D">
        <w:t xml:space="preserve">*) or (growth adj3 (disease* or disorder* or </w:t>
      </w:r>
      <w:proofErr w:type="spellStart"/>
      <w:r w:rsidRPr="00C1603D">
        <w:t>syndrom</w:t>
      </w:r>
      <w:proofErr w:type="spellEnd"/>
      <w:r w:rsidRPr="00C1603D">
        <w:t xml:space="preserve">*)) or headache* or ((hemic or haemic or lymph*) adj3 (disease* or disorder* or </w:t>
      </w:r>
      <w:proofErr w:type="spellStart"/>
      <w:r w:rsidRPr="00C1603D">
        <w:t>syndrom</w:t>
      </w:r>
      <w:proofErr w:type="spellEnd"/>
      <w:r w:rsidRPr="00C1603D">
        <w:t xml:space="preserve">*)) or </w:t>
      </w:r>
      <w:proofErr w:type="spellStart"/>
      <w:r w:rsidRPr="00C1603D">
        <w:t>hematuria</w:t>
      </w:r>
      <w:proofErr w:type="spellEnd"/>
      <w:r w:rsidRPr="00C1603D">
        <w:t xml:space="preserve"> or haematuria or </w:t>
      </w:r>
      <w:proofErr w:type="spellStart"/>
      <w:r w:rsidRPr="00C1603D">
        <w:t>hemophili</w:t>
      </w:r>
      <w:proofErr w:type="spellEnd"/>
      <w:r w:rsidRPr="00C1603D">
        <w:t xml:space="preserve">* or haemophili* or ((hearing or visual or vision or sight) adj3 (aid* or impair* or loss)) or (heart adj3 (disease* or disorder* or </w:t>
      </w:r>
      <w:proofErr w:type="spellStart"/>
      <w:r w:rsidRPr="00C1603D">
        <w:t>syndrom</w:t>
      </w:r>
      <w:proofErr w:type="spellEnd"/>
      <w:r w:rsidRPr="00C1603D">
        <w:t xml:space="preserve">* or manifestation* or </w:t>
      </w:r>
      <w:proofErr w:type="spellStart"/>
      <w:r w:rsidRPr="00C1603D">
        <w:t>myopath</w:t>
      </w:r>
      <w:proofErr w:type="spellEnd"/>
      <w:r w:rsidRPr="00C1603D">
        <w:t xml:space="preserve">*)) or </w:t>
      </w:r>
      <w:proofErr w:type="spellStart"/>
      <w:r w:rsidRPr="00C1603D">
        <w:t>hemiplegi</w:t>
      </w:r>
      <w:proofErr w:type="spellEnd"/>
      <w:r w:rsidRPr="00C1603D">
        <w:t xml:space="preserve">* or hepatitis or </w:t>
      </w:r>
      <w:proofErr w:type="spellStart"/>
      <w:r w:rsidRPr="00C1603D">
        <w:t>hemodialysis</w:t>
      </w:r>
      <w:proofErr w:type="spellEnd"/>
      <w:r w:rsidRPr="00C1603D">
        <w:t xml:space="preserve"> or haemodialysis or (heart adj3 (disease* or disorder* or failure or </w:t>
      </w:r>
      <w:proofErr w:type="spellStart"/>
      <w:r w:rsidRPr="00C1603D">
        <w:t>syndrom</w:t>
      </w:r>
      <w:proofErr w:type="spellEnd"/>
      <w:r w:rsidRPr="00C1603D">
        <w:t xml:space="preserve">*)) or </w:t>
      </w:r>
      <w:proofErr w:type="spellStart"/>
      <w:r w:rsidRPr="00C1603D">
        <w:t>hiv</w:t>
      </w:r>
      <w:proofErr w:type="spellEnd"/>
      <w:r w:rsidRPr="00C1603D">
        <w:t xml:space="preserve"> or human immunodeficiency virus or acquired </w:t>
      </w:r>
      <w:proofErr w:type="spellStart"/>
      <w:r w:rsidRPr="00C1603D">
        <w:t>immunodeficieny</w:t>
      </w:r>
      <w:proofErr w:type="spellEnd"/>
      <w:r w:rsidRPr="00C1603D">
        <w:t xml:space="preserve"> </w:t>
      </w:r>
      <w:proofErr w:type="spellStart"/>
      <w:r w:rsidRPr="00C1603D">
        <w:t>syndrom</w:t>
      </w:r>
      <w:proofErr w:type="spellEnd"/>
      <w:r w:rsidRPr="00C1603D">
        <w:t xml:space="preserve">* or </w:t>
      </w:r>
      <w:proofErr w:type="spellStart"/>
      <w:r w:rsidRPr="00C1603D">
        <w:t>heerfordt</w:t>
      </w:r>
      <w:proofErr w:type="spellEnd"/>
      <w:r w:rsidRPr="00C1603D">
        <w:t xml:space="preserve"> </w:t>
      </w:r>
      <w:proofErr w:type="spellStart"/>
      <w:r w:rsidRPr="00C1603D">
        <w:t>waldenstrom</w:t>
      </w:r>
      <w:proofErr w:type="spellEnd"/>
      <w:r w:rsidRPr="00C1603D">
        <w:t xml:space="preserve">* or </w:t>
      </w:r>
      <w:proofErr w:type="spellStart"/>
      <w:r w:rsidRPr="00C1603D">
        <w:t>hidroa</w:t>
      </w:r>
      <w:proofErr w:type="spellEnd"/>
      <w:r w:rsidRPr="00C1603D">
        <w:t xml:space="preserve"> or </w:t>
      </w:r>
      <w:proofErr w:type="spellStart"/>
      <w:r w:rsidRPr="00C1603D">
        <w:t>hydroa</w:t>
      </w:r>
      <w:proofErr w:type="spellEnd"/>
      <w:r w:rsidRPr="00C1603D">
        <w:t xml:space="preserve"> or </w:t>
      </w:r>
      <w:proofErr w:type="spellStart"/>
      <w:r w:rsidRPr="00C1603D">
        <w:t>hippel</w:t>
      </w:r>
      <w:proofErr w:type="spellEnd"/>
      <w:r w:rsidRPr="00C1603D">
        <w:t xml:space="preserve"> </w:t>
      </w:r>
      <w:proofErr w:type="spellStart"/>
      <w:r w:rsidRPr="00C1603D">
        <w:t>lindau</w:t>
      </w:r>
      <w:proofErr w:type="spellEnd"/>
      <w:r w:rsidRPr="00C1603D">
        <w:t xml:space="preserve">* or </w:t>
      </w:r>
      <w:proofErr w:type="spellStart"/>
      <w:r w:rsidRPr="00C1603D">
        <w:t>hypertensi</w:t>
      </w:r>
      <w:proofErr w:type="spellEnd"/>
      <w:r w:rsidRPr="00C1603D">
        <w:t xml:space="preserve">* or </w:t>
      </w:r>
      <w:proofErr w:type="spellStart"/>
      <w:r w:rsidRPr="00C1603D">
        <w:t>hypotensi</w:t>
      </w:r>
      <w:proofErr w:type="spellEnd"/>
      <w:r w:rsidRPr="00C1603D">
        <w:t xml:space="preserve">* or hyperthyroidism or hypothyroidism or </w:t>
      </w:r>
      <w:proofErr w:type="spellStart"/>
      <w:r w:rsidRPr="00C1603D">
        <w:t>hypocortisolism</w:t>
      </w:r>
      <w:proofErr w:type="spellEnd"/>
      <w:r w:rsidRPr="00C1603D">
        <w:t xml:space="preserve"> or </w:t>
      </w:r>
      <w:proofErr w:type="spellStart"/>
      <w:r w:rsidRPr="00C1603D">
        <w:t>hypocorticism</w:t>
      </w:r>
      <w:proofErr w:type="spellEnd"/>
      <w:r w:rsidRPr="00C1603D">
        <w:t xml:space="preserve"> or hypoadrenalism or hyperthyroidism or hypothyroidism or incoordination or </w:t>
      </w:r>
      <w:proofErr w:type="spellStart"/>
      <w:r w:rsidRPr="00C1603D">
        <w:t>inco</w:t>
      </w:r>
      <w:proofErr w:type="spellEnd"/>
      <w:r w:rsidRPr="00C1603D">
        <w:t xml:space="preserve">-ordination or in-coordination or in-co-ordination or infertility or subfertility or sub-fertility or sterility or inflammatory disease* or inflammatory bowel disease* or </w:t>
      </w:r>
      <w:proofErr w:type="spellStart"/>
      <w:r w:rsidRPr="00C1603D">
        <w:t>incontinen</w:t>
      </w:r>
      <w:proofErr w:type="spellEnd"/>
      <w:r w:rsidRPr="00C1603D">
        <w:t xml:space="preserve">* or intestinal </w:t>
      </w:r>
      <w:proofErr w:type="spellStart"/>
      <w:r w:rsidRPr="00C1603D">
        <w:t>atresi</w:t>
      </w:r>
      <w:proofErr w:type="spellEnd"/>
      <w:r w:rsidRPr="00C1603D">
        <w:t xml:space="preserve">* or intussusception or irritable bowel or </w:t>
      </w:r>
      <w:proofErr w:type="spellStart"/>
      <w:r w:rsidRPr="00C1603D">
        <w:t>ischemi</w:t>
      </w:r>
      <w:proofErr w:type="spellEnd"/>
      <w:r w:rsidRPr="00C1603D">
        <w:t xml:space="preserve">* or </w:t>
      </w:r>
      <w:proofErr w:type="spellStart"/>
      <w:r w:rsidRPr="00C1603D">
        <w:t>ischaemi</w:t>
      </w:r>
      <w:proofErr w:type="spellEnd"/>
      <w:r w:rsidRPr="00C1603D">
        <w:t xml:space="preserve">* or fistula* or (joint adj3 (disease* or disorder* or </w:t>
      </w:r>
      <w:proofErr w:type="spellStart"/>
      <w:r w:rsidRPr="00C1603D">
        <w:t>syndrom</w:t>
      </w:r>
      <w:proofErr w:type="spellEnd"/>
      <w:r w:rsidRPr="00C1603D">
        <w:t xml:space="preserve">*)) or (jejunal adj3 (disease* or disorder* or </w:t>
      </w:r>
      <w:proofErr w:type="spellStart"/>
      <w:r w:rsidRPr="00C1603D">
        <w:t>syndrom</w:t>
      </w:r>
      <w:proofErr w:type="spellEnd"/>
      <w:r w:rsidRPr="00C1603D">
        <w:t xml:space="preserve">*)) or kyphosis or </w:t>
      </w:r>
      <w:proofErr w:type="spellStart"/>
      <w:r w:rsidRPr="00C1603D">
        <w:t>lav-htlv</w:t>
      </w:r>
      <w:proofErr w:type="spellEnd"/>
      <w:r w:rsidRPr="00C1603D">
        <w:t xml:space="preserve">* or </w:t>
      </w:r>
      <w:proofErr w:type="spellStart"/>
      <w:r w:rsidRPr="00C1603D">
        <w:t>leukemia</w:t>
      </w:r>
      <w:proofErr w:type="spellEnd"/>
      <w:r w:rsidRPr="00C1603D">
        <w:t xml:space="preserve"> or leukaemia or ((liver or hepatic) adj3 (disease* or disorder* or failure or </w:t>
      </w:r>
      <w:proofErr w:type="spellStart"/>
      <w:r w:rsidRPr="00C1603D">
        <w:t>syndrom</w:t>
      </w:r>
      <w:proofErr w:type="spellEnd"/>
      <w:r w:rsidRPr="00C1603D">
        <w:t xml:space="preserve">*)) or lordosis or (lung adj3 (disease* or disorder*)) or lupus or lymphoma or lymphogranuloma* or </w:t>
      </w:r>
      <w:proofErr w:type="spellStart"/>
      <w:r w:rsidRPr="00C1603D">
        <w:t>lymphadenopath</w:t>
      </w:r>
      <w:proofErr w:type="spellEnd"/>
      <w:r w:rsidRPr="00C1603D">
        <w:t xml:space="preserve">* or </w:t>
      </w:r>
      <w:proofErr w:type="spellStart"/>
      <w:r w:rsidRPr="00C1603D">
        <w:t>lymphotrop</w:t>
      </w:r>
      <w:proofErr w:type="spellEnd"/>
      <w:r w:rsidRPr="00C1603D">
        <w:t xml:space="preserve">* or </w:t>
      </w:r>
      <w:proofErr w:type="spellStart"/>
      <w:r w:rsidRPr="00C1603D">
        <w:t>machado</w:t>
      </w:r>
      <w:proofErr w:type="spellEnd"/>
      <w:r w:rsidRPr="00C1603D">
        <w:t xml:space="preserve"> joseph* or macular degeneration or malnutrition or (mental adj2 (disorder* or disease* or health or illness*)) or mania or manic or (</w:t>
      </w:r>
      <w:proofErr w:type="spellStart"/>
      <w:r w:rsidRPr="00C1603D">
        <w:t>menstr</w:t>
      </w:r>
      <w:proofErr w:type="spellEnd"/>
      <w:r w:rsidRPr="00C1603D">
        <w:t>* adj3 (</w:t>
      </w:r>
      <w:proofErr w:type="spellStart"/>
      <w:r w:rsidRPr="00C1603D">
        <w:t>ceas</w:t>
      </w:r>
      <w:proofErr w:type="spellEnd"/>
      <w:r w:rsidRPr="00C1603D">
        <w:t xml:space="preserve">* or disturb* or disease* or disorder* or stop* or </w:t>
      </w:r>
      <w:proofErr w:type="spellStart"/>
      <w:r w:rsidRPr="00C1603D">
        <w:t>syndrom</w:t>
      </w:r>
      <w:proofErr w:type="spellEnd"/>
      <w:r w:rsidRPr="00C1603D">
        <w:t xml:space="preserve">*)) or migraine* or (mitochondrial adj3 (disease* or disorder* or </w:t>
      </w:r>
      <w:proofErr w:type="spellStart"/>
      <w:r w:rsidRPr="00C1603D">
        <w:t>syndrom</w:t>
      </w:r>
      <w:proofErr w:type="spellEnd"/>
      <w:r w:rsidRPr="00C1603D">
        <w:t xml:space="preserve">*)) or movement disorder* or mucinosis or musculoskeletal or </w:t>
      </w:r>
      <w:proofErr w:type="spellStart"/>
      <w:r w:rsidRPr="00C1603D">
        <w:t>narp</w:t>
      </w:r>
      <w:proofErr w:type="spellEnd"/>
      <w:r w:rsidRPr="00C1603D">
        <w:t xml:space="preserve"> </w:t>
      </w:r>
      <w:proofErr w:type="spellStart"/>
      <w:r w:rsidRPr="00C1603D">
        <w:t>syndrom</w:t>
      </w:r>
      <w:proofErr w:type="spellEnd"/>
      <w:r w:rsidRPr="00C1603D">
        <w:t>* or necrotizing or nephrotic* or neuromuscular or non-</w:t>
      </w:r>
      <w:proofErr w:type="spellStart"/>
      <w:r w:rsidRPr="00C1603D">
        <w:t>hodgkin</w:t>
      </w:r>
      <w:proofErr w:type="spellEnd"/>
      <w:r w:rsidRPr="00C1603D">
        <w:t xml:space="preserve">* or </w:t>
      </w:r>
      <w:proofErr w:type="spellStart"/>
      <w:r w:rsidRPr="00C1603D">
        <w:t>nonhodgkin</w:t>
      </w:r>
      <w:proofErr w:type="spellEnd"/>
      <w:r w:rsidRPr="00C1603D">
        <w:t xml:space="preserve">* or multiple sclerosis or myeloma or myocarditis or </w:t>
      </w:r>
      <w:proofErr w:type="spellStart"/>
      <w:r w:rsidRPr="00C1603D">
        <w:t>myocardiopath</w:t>
      </w:r>
      <w:proofErr w:type="spellEnd"/>
      <w:r w:rsidRPr="00C1603D">
        <w:t xml:space="preserve">* or </w:t>
      </w:r>
      <w:proofErr w:type="spellStart"/>
      <w:r w:rsidRPr="00C1603D">
        <w:t>myopath</w:t>
      </w:r>
      <w:proofErr w:type="spellEnd"/>
      <w:r w:rsidRPr="00C1603D">
        <w:t>* or (</w:t>
      </w:r>
      <w:proofErr w:type="spellStart"/>
      <w:r w:rsidRPr="00C1603D">
        <w:t>myocardi</w:t>
      </w:r>
      <w:proofErr w:type="spellEnd"/>
      <w:r w:rsidRPr="00C1603D">
        <w:t>* adj3 (</w:t>
      </w:r>
      <w:proofErr w:type="spellStart"/>
      <w:r w:rsidRPr="00C1603D">
        <w:t>deteri</w:t>
      </w:r>
      <w:proofErr w:type="spellEnd"/>
      <w:r w:rsidRPr="00C1603D">
        <w:t xml:space="preserve">* or disease* or disorder* or </w:t>
      </w:r>
      <w:proofErr w:type="spellStart"/>
      <w:r w:rsidRPr="00C1603D">
        <w:t>syndrom</w:t>
      </w:r>
      <w:proofErr w:type="spellEnd"/>
      <w:r w:rsidRPr="00C1603D">
        <w:t>* or manifestation*)) or nephrotic syndrome* or ((</w:t>
      </w:r>
      <w:proofErr w:type="spellStart"/>
      <w:r w:rsidRPr="00C1603D">
        <w:t>neurodegenerat</w:t>
      </w:r>
      <w:proofErr w:type="spellEnd"/>
      <w:r w:rsidRPr="00C1603D">
        <w:t>* or neuro-</w:t>
      </w:r>
      <w:proofErr w:type="spellStart"/>
      <w:r w:rsidRPr="00C1603D">
        <w:t>degenerat</w:t>
      </w:r>
      <w:proofErr w:type="spellEnd"/>
      <w:r w:rsidRPr="00C1603D">
        <w:t xml:space="preserve">) adj3 (disease* or disorder* or </w:t>
      </w:r>
      <w:proofErr w:type="spellStart"/>
      <w:r w:rsidRPr="00C1603D">
        <w:t>syndrom</w:t>
      </w:r>
      <w:proofErr w:type="spellEnd"/>
      <w:r w:rsidRPr="00C1603D">
        <w:t xml:space="preserve">*)) or ((nutritional or metabolic) adj3 (disease* or disorder* or </w:t>
      </w:r>
      <w:proofErr w:type="spellStart"/>
      <w:r w:rsidRPr="00C1603D">
        <w:t>syndrom</w:t>
      </w:r>
      <w:proofErr w:type="spellEnd"/>
      <w:r w:rsidRPr="00C1603D">
        <w:t xml:space="preserve">*)) or ((organ* or kidney or stem cell) adj3 (transplant* or recipient*)) or (nervous system adj3 (disease* or disorder* or </w:t>
      </w:r>
      <w:proofErr w:type="spellStart"/>
      <w:r w:rsidRPr="00C1603D">
        <w:t>syndrom</w:t>
      </w:r>
      <w:proofErr w:type="spellEnd"/>
      <w:r w:rsidRPr="00C1603D">
        <w:t xml:space="preserve">*)) or (neurological adj3 (condition* or disease* or disorder* or </w:t>
      </w:r>
      <w:proofErr w:type="spellStart"/>
      <w:r w:rsidRPr="00C1603D">
        <w:t>syndrom</w:t>
      </w:r>
      <w:proofErr w:type="spellEnd"/>
      <w:r w:rsidRPr="00C1603D">
        <w:t xml:space="preserve">*)) or neuropath* or </w:t>
      </w:r>
      <w:proofErr w:type="spellStart"/>
      <w:r w:rsidRPr="00C1603D">
        <w:t>neurosarcoido</w:t>
      </w:r>
      <w:proofErr w:type="spellEnd"/>
      <w:r w:rsidRPr="00C1603D">
        <w:t xml:space="preserve">* or occlusion* or obesity or obese or </w:t>
      </w:r>
      <w:proofErr w:type="spellStart"/>
      <w:r w:rsidRPr="00C1603D">
        <w:t>orthopedic</w:t>
      </w:r>
      <w:proofErr w:type="spellEnd"/>
      <w:r w:rsidRPr="00C1603D">
        <w:t>* or orthopaedic* or ((</w:t>
      </w:r>
      <w:proofErr w:type="spellStart"/>
      <w:r w:rsidRPr="00C1603D">
        <w:t>esophageal</w:t>
      </w:r>
      <w:proofErr w:type="spellEnd"/>
      <w:r w:rsidRPr="00C1603D">
        <w:t xml:space="preserve"> or oesophageal) adj3 (disease* or disorder* or </w:t>
      </w:r>
      <w:proofErr w:type="spellStart"/>
      <w:r w:rsidRPr="00C1603D">
        <w:t>syndrom</w:t>
      </w:r>
      <w:proofErr w:type="spellEnd"/>
      <w:r w:rsidRPr="00C1603D">
        <w:t xml:space="preserve">*)) or ((oral or mouth) adj3 (disease* or disorder* or </w:t>
      </w:r>
      <w:proofErr w:type="spellStart"/>
      <w:r w:rsidRPr="00C1603D">
        <w:t>syndrom</w:t>
      </w:r>
      <w:proofErr w:type="spellEnd"/>
      <w:r w:rsidRPr="00C1603D">
        <w:t xml:space="preserve">* or manifestation*)) or osteo* or otitis media or </w:t>
      </w:r>
      <w:proofErr w:type="spellStart"/>
      <w:r w:rsidRPr="00C1603D">
        <w:t>otorhinolaryngolog</w:t>
      </w:r>
      <w:proofErr w:type="spellEnd"/>
      <w:r w:rsidRPr="00C1603D">
        <w:t>* or otosclerosis or (</w:t>
      </w:r>
      <w:proofErr w:type="spellStart"/>
      <w:r w:rsidRPr="00C1603D">
        <w:t>pancrea</w:t>
      </w:r>
      <w:proofErr w:type="spellEnd"/>
      <w:r w:rsidRPr="00C1603D">
        <w:t xml:space="preserve">* adj3 (disease* or disorder* or </w:t>
      </w:r>
      <w:proofErr w:type="spellStart"/>
      <w:r w:rsidRPr="00C1603D">
        <w:t>syndrom</w:t>
      </w:r>
      <w:proofErr w:type="spellEnd"/>
      <w:r w:rsidRPr="00C1603D">
        <w:t xml:space="preserve">*)) or </w:t>
      </w:r>
      <w:proofErr w:type="spellStart"/>
      <w:r w:rsidRPr="00C1603D">
        <w:t>papulosquamous</w:t>
      </w:r>
      <w:proofErr w:type="spellEnd"/>
      <w:r w:rsidRPr="00C1603D">
        <w:t xml:space="preserve"> or </w:t>
      </w:r>
      <w:proofErr w:type="spellStart"/>
      <w:r w:rsidRPr="00C1603D">
        <w:t>paraplegi</w:t>
      </w:r>
      <w:proofErr w:type="spellEnd"/>
      <w:r w:rsidRPr="00C1603D">
        <w:t xml:space="preserve">* or </w:t>
      </w:r>
      <w:proofErr w:type="spellStart"/>
      <w:r w:rsidRPr="00C1603D">
        <w:t>parkinson</w:t>
      </w:r>
      <w:proofErr w:type="spellEnd"/>
      <w:r w:rsidRPr="00C1603D">
        <w:t xml:space="preserve">* or (peripheral adj3 (arterial or vascular or disease* or disorder* or </w:t>
      </w:r>
      <w:proofErr w:type="spellStart"/>
      <w:r w:rsidRPr="00C1603D">
        <w:t>syndrom</w:t>
      </w:r>
      <w:proofErr w:type="spellEnd"/>
      <w:r w:rsidRPr="00C1603D">
        <w:t xml:space="preserve">*)) or (peritoneal adj3 (disease* or disorder* or </w:t>
      </w:r>
      <w:proofErr w:type="spellStart"/>
      <w:r w:rsidRPr="00C1603D">
        <w:t>syndrom</w:t>
      </w:r>
      <w:proofErr w:type="spellEnd"/>
      <w:r w:rsidRPr="00C1603D">
        <w:t xml:space="preserve">*)) or </w:t>
      </w:r>
      <w:proofErr w:type="spellStart"/>
      <w:r w:rsidRPr="00C1603D">
        <w:t>photodermato</w:t>
      </w:r>
      <w:proofErr w:type="spellEnd"/>
      <w:r w:rsidRPr="00C1603D">
        <w:t xml:space="preserve">* or pick disease* or </w:t>
      </w:r>
      <w:proofErr w:type="spellStart"/>
      <w:r w:rsidRPr="00C1603D">
        <w:t>pneumo</w:t>
      </w:r>
      <w:proofErr w:type="spellEnd"/>
      <w:r w:rsidRPr="00C1603D">
        <w:t xml:space="preserve">* or polio* or polyp* or polydipsia or </w:t>
      </w:r>
      <w:proofErr w:type="spellStart"/>
      <w:r w:rsidRPr="00C1603D">
        <w:t>polyarthropath</w:t>
      </w:r>
      <w:proofErr w:type="spellEnd"/>
      <w:r w:rsidRPr="00C1603D">
        <w:t xml:space="preserve">* or polyarteritis or </w:t>
      </w:r>
      <w:proofErr w:type="spellStart"/>
      <w:r w:rsidRPr="00C1603D">
        <w:t>polyarthrosis</w:t>
      </w:r>
      <w:proofErr w:type="spellEnd"/>
      <w:r w:rsidRPr="00C1603D">
        <w:t xml:space="preserve"> or </w:t>
      </w:r>
      <w:proofErr w:type="spellStart"/>
      <w:r w:rsidRPr="00C1603D">
        <w:t>polyneuropath</w:t>
      </w:r>
      <w:proofErr w:type="spellEnd"/>
      <w:r w:rsidRPr="00C1603D">
        <w:t xml:space="preserve">* or </w:t>
      </w:r>
      <w:proofErr w:type="spellStart"/>
      <w:r w:rsidRPr="00C1603D">
        <w:t>porphyrias</w:t>
      </w:r>
      <w:proofErr w:type="spellEnd"/>
      <w:r w:rsidRPr="00C1603D">
        <w:t xml:space="preserve"> or (pregnancy adj3 </w:t>
      </w:r>
      <w:proofErr w:type="spellStart"/>
      <w:r w:rsidRPr="00C1603D">
        <w:t>complicat</w:t>
      </w:r>
      <w:proofErr w:type="spellEnd"/>
      <w:r w:rsidRPr="00C1603D">
        <w:t xml:space="preserve">*) or premature aging or </w:t>
      </w:r>
      <w:proofErr w:type="spellStart"/>
      <w:r w:rsidRPr="00C1603D">
        <w:t>proteostasis</w:t>
      </w:r>
      <w:proofErr w:type="spellEnd"/>
      <w:r w:rsidRPr="00C1603D">
        <w:t xml:space="preserve"> or pseudophakia or psoriasis or parapsoriasis or prolapse or (pulmonary adj3 (disease* or disorder* or </w:t>
      </w:r>
      <w:proofErr w:type="spellStart"/>
      <w:r w:rsidRPr="00C1603D">
        <w:t>syndrom</w:t>
      </w:r>
      <w:proofErr w:type="spellEnd"/>
      <w:r w:rsidRPr="00C1603D">
        <w:t xml:space="preserve">*)) or </w:t>
      </w:r>
      <w:proofErr w:type="spellStart"/>
      <w:r w:rsidRPr="00C1603D">
        <w:t>purpur</w:t>
      </w:r>
      <w:proofErr w:type="spellEnd"/>
      <w:r w:rsidRPr="00C1603D">
        <w:t>* or (</w:t>
      </w:r>
      <w:proofErr w:type="spellStart"/>
      <w:r w:rsidRPr="00C1603D">
        <w:t>recurren</w:t>
      </w:r>
      <w:proofErr w:type="spellEnd"/>
      <w:r w:rsidRPr="00C1603D">
        <w:t xml:space="preserve">* adj3 (abortion* or </w:t>
      </w:r>
      <w:proofErr w:type="spellStart"/>
      <w:r w:rsidRPr="00C1603D">
        <w:t>miscarr</w:t>
      </w:r>
      <w:proofErr w:type="spellEnd"/>
      <w:r w:rsidRPr="00C1603D">
        <w:t>*)) or (</w:t>
      </w:r>
      <w:proofErr w:type="spellStart"/>
      <w:r w:rsidRPr="00C1603D">
        <w:t>rect</w:t>
      </w:r>
      <w:proofErr w:type="spellEnd"/>
      <w:r w:rsidRPr="00C1603D">
        <w:t xml:space="preserve">* adj3 (disease* or disorder* or </w:t>
      </w:r>
      <w:proofErr w:type="spellStart"/>
      <w:r w:rsidRPr="00C1603D">
        <w:t>syndrom</w:t>
      </w:r>
      <w:proofErr w:type="spellEnd"/>
      <w:r w:rsidRPr="00C1603D">
        <w:t xml:space="preserve">*)) or ((renal or kidney) adj3 (disease* or disorder* or failure or </w:t>
      </w:r>
      <w:proofErr w:type="spellStart"/>
      <w:r w:rsidRPr="00C1603D">
        <w:t>syndrom</w:t>
      </w:r>
      <w:proofErr w:type="spellEnd"/>
      <w:r w:rsidRPr="00C1603D">
        <w:t xml:space="preserve">*)) or (respiratory adj3 (disease* or disorder* or </w:t>
      </w:r>
      <w:proofErr w:type="spellStart"/>
      <w:r w:rsidRPr="00C1603D">
        <w:t>syndrom</w:t>
      </w:r>
      <w:proofErr w:type="spellEnd"/>
      <w:r w:rsidRPr="00C1603D">
        <w:t xml:space="preserve">*)) or </w:t>
      </w:r>
      <w:proofErr w:type="spellStart"/>
      <w:r w:rsidRPr="00C1603D">
        <w:t>reticulocytosis</w:t>
      </w:r>
      <w:proofErr w:type="spellEnd"/>
      <w:r w:rsidRPr="00C1603D">
        <w:t xml:space="preserve"> or retinopathy or </w:t>
      </w:r>
      <w:proofErr w:type="spellStart"/>
      <w:r w:rsidRPr="00C1603D">
        <w:t>rheumat</w:t>
      </w:r>
      <w:proofErr w:type="spellEnd"/>
      <w:r w:rsidRPr="00C1603D">
        <w:t xml:space="preserve">* or ricket* or </w:t>
      </w:r>
      <w:proofErr w:type="spellStart"/>
      <w:r w:rsidRPr="00C1603D">
        <w:t>sarcoido</w:t>
      </w:r>
      <w:proofErr w:type="spellEnd"/>
      <w:r w:rsidRPr="00C1603D">
        <w:t>* or sepsis or septic* or seizure* or sclerosis or scoliosis or sickle cell or ((</w:t>
      </w:r>
      <w:proofErr w:type="spellStart"/>
      <w:r w:rsidRPr="00C1603D">
        <w:t>sjogren</w:t>
      </w:r>
      <w:proofErr w:type="spellEnd"/>
      <w:r w:rsidRPr="00C1603D">
        <w:t xml:space="preserve">* or </w:t>
      </w:r>
      <w:proofErr w:type="spellStart"/>
      <w:r w:rsidRPr="00C1603D">
        <w:t>sjoegren</w:t>
      </w:r>
      <w:proofErr w:type="spellEnd"/>
      <w:r w:rsidRPr="00C1603D">
        <w:t>* or sicca*) adj3 (</w:t>
      </w:r>
      <w:proofErr w:type="spellStart"/>
      <w:r w:rsidRPr="00C1603D">
        <w:t>syndrom</w:t>
      </w:r>
      <w:proofErr w:type="spellEnd"/>
      <w:r w:rsidRPr="00C1603D">
        <w:t xml:space="preserve">* or disease* or disorder*)) or ((skin or connective tissue) adj3 (disease* or disorder* or </w:t>
      </w:r>
      <w:proofErr w:type="spellStart"/>
      <w:r w:rsidRPr="00C1603D">
        <w:t>syndrom</w:t>
      </w:r>
      <w:proofErr w:type="spellEnd"/>
      <w:r w:rsidRPr="00C1603D">
        <w:t xml:space="preserve">*)) or sleep disorder* or sleep </w:t>
      </w:r>
      <w:proofErr w:type="spellStart"/>
      <w:r w:rsidRPr="00C1603D">
        <w:t>apnea</w:t>
      </w:r>
      <w:proofErr w:type="spellEnd"/>
      <w:r w:rsidRPr="00C1603D">
        <w:t xml:space="preserve"> or sleep apnoea or insomnia* or dyssomnia* or hypersomnia* or spina bifida or muscular </w:t>
      </w:r>
      <w:proofErr w:type="spellStart"/>
      <w:r w:rsidRPr="00C1603D">
        <w:t>atropy</w:t>
      </w:r>
      <w:proofErr w:type="spellEnd"/>
      <w:r w:rsidRPr="00C1603D">
        <w:t xml:space="preserve"> or short stature* or short bowel </w:t>
      </w:r>
      <w:proofErr w:type="spellStart"/>
      <w:r w:rsidRPr="00C1603D">
        <w:t>syndrom</w:t>
      </w:r>
      <w:proofErr w:type="spellEnd"/>
      <w:r w:rsidRPr="00C1603D">
        <w:t>* or (spin* adj3 (</w:t>
      </w:r>
      <w:proofErr w:type="spellStart"/>
      <w:r w:rsidRPr="00C1603D">
        <w:t>degenerat</w:t>
      </w:r>
      <w:proofErr w:type="spellEnd"/>
      <w:r w:rsidRPr="00C1603D">
        <w:t xml:space="preserve">* or disease* or disorder* or </w:t>
      </w:r>
      <w:proofErr w:type="spellStart"/>
      <w:r w:rsidRPr="00C1603D">
        <w:t>syndrom</w:t>
      </w:r>
      <w:proofErr w:type="spellEnd"/>
      <w:r w:rsidRPr="00C1603D">
        <w:t xml:space="preserve">*)) or (spleen* adj3 (disease* or disorder* or </w:t>
      </w:r>
      <w:proofErr w:type="spellStart"/>
      <w:r w:rsidRPr="00C1603D">
        <w:t>syndrom</w:t>
      </w:r>
      <w:proofErr w:type="spellEnd"/>
      <w:r w:rsidRPr="00C1603D">
        <w:t xml:space="preserve">*)) or </w:t>
      </w:r>
      <w:proofErr w:type="spellStart"/>
      <w:r w:rsidRPr="00C1603D">
        <w:t>spondylo</w:t>
      </w:r>
      <w:proofErr w:type="spellEnd"/>
      <w:r w:rsidRPr="00C1603D">
        <w:t xml:space="preserve">* or stenosis* or stoma* or (stomach adj3 (disease* or disorder* or </w:t>
      </w:r>
      <w:proofErr w:type="spellStart"/>
      <w:r w:rsidRPr="00C1603D">
        <w:t>syndrom</w:t>
      </w:r>
      <w:proofErr w:type="spellEnd"/>
      <w:r w:rsidRPr="00C1603D">
        <w:t xml:space="preserve">*)) or stroke or strokes or cerebral infarct* or </w:t>
      </w:r>
      <w:proofErr w:type="spellStart"/>
      <w:r w:rsidRPr="00C1603D">
        <w:t>tetraplegi</w:t>
      </w:r>
      <w:proofErr w:type="spellEnd"/>
      <w:r w:rsidRPr="00C1603D">
        <w:t xml:space="preserve">* or thyroiditis* or (thyroid* adj3 (disease* or disorder* or dysfunction* or </w:t>
      </w:r>
      <w:proofErr w:type="spellStart"/>
      <w:r w:rsidRPr="00C1603D">
        <w:t>syndrom</w:t>
      </w:r>
      <w:proofErr w:type="spellEnd"/>
      <w:r w:rsidRPr="00C1603D">
        <w:t xml:space="preserve">*)) or ((tooth or teeth or enamel) adj3 (decay* or </w:t>
      </w:r>
      <w:proofErr w:type="spellStart"/>
      <w:r w:rsidRPr="00C1603D">
        <w:t>discolo</w:t>
      </w:r>
      <w:proofErr w:type="spellEnd"/>
      <w:r w:rsidRPr="00C1603D">
        <w:t xml:space="preserve">* or disease* or disorder* or dysfunction* or </w:t>
      </w:r>
      <w:proofErr w:type="spellStart"/>
      <w:r w:rsidRPr="00C1603D">
        <w:t>syndrom</w:t>
      </w:r>
      <w:proofErr w:type="spellEnd"/>
      <w:r w:rsidRPr="00C1603D">
        <w:t xml:space="preserve">*)) or tropical sprue or tuberculosis or (systemic adj3 (disorder* or disease* or </w:t>
      </w:r>
      <w:proofErr w:type="spellStart"/>
      <w:r w:rsidRPr="00C1603D">
        <w:t>syndrom</w:t>
      </w:r>
      <w:proofErr w:type="spellEnd"/>
      <w:r w:rsidRPr="00C1603D">
        <w:t xml:space="preserve">*)) or </w:t>
      </w:r>
      <w:proofErr w:type="spellStart"/>
      <w:r w:rsidRPr="00C1603D">
        <w:t>thrombocyto</w:t>
      </w:r>
      <w:proofErr w:type="spellEnd"/>
      <w:r w:rsidRPr="00C1603D">
        <w:t>* or tremor or tremors or (turner* adj3 (</w:t>
      </w:r>
      <w:proofErr w:type="spellStart"/>
      <w:r w:rsidRPr="00C1603D">
        <w:t>syndrom</w:t>
      </w:r>
      <w:proofErr w:type="spellEnd"/>
      <w:r w:rsidRPr="00C1603D">
        <w:t xml:space="preserve">* or disease* or disorder*)) or ulcer* or (urogenital adj3 (disease* or disorder* or </w:t>
      </w:r>
      <w:proofErr w:type="spellStart"/>
      <w:r w:rsidRPr="00C1603D">
        <w:t>syndrom</w:t>
      </w:r>
      <w:proofErr w:type="spellEnd"/>
      <w:r w:rsidRPr="00C1603D">
        <w:t xml:space="preserve">*)) or </w:t>
      </w:r>
      <w:proofErr w:type="spellStart"/>
      <w:r w:rsidRPr="00C1603D">
        <w:t>vasculopath</w:t>
      </w:r>
      <w:proofErr w:type="spellEnd"/>
      <w:r w:rsidRPr="00C1603D">
        <w:t xml:space="preserve">* or (vascular adj3 (disease* or disorder* or </w:t>
      </w:r>
      <w:proofErr w:type="spellStart"/>
      <w:r w:rsidRPr="00C1603D">
        <w:t>occlu</w:t>
      </w:r>
      <w:proofErr w:type="spellEnd"/>
      <w:r w:rsidRPr="00C1603D">
        <w:t xml:space="preserve">* or </w:t>
      </w:r>
      <w:proofErr w:type="spellStart"/>
      <w:r w:rsidRPr="00C1603D">
        <w:lastRenderedPageBreak/>
        <w:t>syndrom</w:t>
      </w:r>
      <w:proofErr w:type="spellEnd"/>
      <w:r w:rsidRPr="00C1603D">
        <w:t xml:space="preserve">*)) or vestibular or ((virus or viral or </w:t>
      </w:r>
      <w:proofErr w:type="spellStart"/>
      <w:r w:rsidRPr="00C1603D">
        <w:t>bacteri</w:t>
      </w:r>
      <w:proofErr w:type="spellEnd"/>
      <w:r w:rsidRPr="00C1603D">
        <w:t xml:space="preserve">* or </w:t>
      </w:r>
      <w:proofErr w:type="spellStart"/>
      <w:r w:rsidRPr="00C1603D">
        <w:t>parasit</w:t>
      </w:r>
      <w:proofErr w:type="spellEnd"/>
      <w:r w:rsidRPr="00C1603D">
        <w:t xml:space="preserve">*) adj3 (infection* or disease*)) or (wasting adj3 (disorder* or disease* or </w:t>
      </w:r>
      <w:proofErr w:type="spellStart"/>
      <w:r w:rsidRPr="00C1603D">
        <w:t>syndrom</w:t>
      </w:r>
      <w:proofErr w:type="spellEnd"/>
      <w:r w:rsidRPr="00C1603D">
        <w:t>*)) or (</w:t>
      </w:r>
      <w:proofErr w:type="spellStart"/>
      <w:r w:rsidRPr="00C1603D">
        <w:t>whipple</w:t>
      </w:r>
      <w:proofErr w:type="spellEnd"/>
      <w:r w:rsidRPr="00C1603D">
        <w:t xml:space="preserve"> adj3 (disorder* or disease* or </w:t>
      </w:r>
      <w:proofErr w:type="spellStart"/>
      <w:r w:rsidRPr="00C1603D">
        <w:t>syndrom</w:t>
      </w:r>
      <w:proofErr w:type="spellEnd"/>
      <w:r w:rsidRPr="00C1603D">
        <w:t>*)) or (</w:t>
      </w:r>
      <w:proofErr w:type="spellStart"/>
      <w:r w:rsidRPr="00C1603D">
        <w:t>william</w:t>
      </w:r>
      <w:proofErr w:type="spellEnd"/>
      <w:r w:rsidRPr="00C1603D">
        <w:t>* adj3 (</w:t>
      </w:r>
      <w:proofErr w:type="spellStart"/>
      <w:r w:rsidRPr="00C1603D">
        <w:t>syndrom</w:t>
      </w:r>
      <w:proofErr w:type="spellEnd"/>
      <w:r w:rsidRPr="00C1603D">
        <w:t>* or disease* or disorder*)) or zoster*).</w:t>
      </w:r>
      <w:proofErr w:type="spellStart"/>
      <w:r w:rsidRPr="00C1603D">
        <w:t>ti,ab,kf</w:t>
      </w:r>
      <w:proofErr w:type="spellEnd"/>
      <w:r w:rsidRPr="00C1603D">
        <w:t>. (11</w:t>
      </w:r>
      <w:r w:rsidR="009205FB" w:rsidRPr="00C1603D">
        <w:t>,</w:t>
      </w:r>
      <w:r w:rsidRPr="00C1603D">
        <w:t>316</w:t>
      </w:r>
      <w:r w:rsidR="009205FB" w:rsidRPr="00C1603D">
        <w:t>,</w:t>
      </w:r>
      <w:r w:rsidRPr="00C1603D">
        <w:t>008)</w:t>
      </w:r>
    </w:p>
    <w:p w14:paraId="0C9AD566" w14:textId="0F14787F" w:rsidR="008B4DF8" w:rsidRPr="00C1603D" w:rsidRDefault="008B4DF8" w:rsidP="009205FB">
      <w:pPr>
        <w:pStyle w:val="621TextnumberedlistTextstylesTextstyles"/>
      </w:pPr>
      <w:r w:rsidRPr="00C1603D">
        <w:t xml:space="preserve">((digestive system* or </w:t>
      </w:r>
      <w:proofErr w:type="spellStart"/>
      <w:r w:rsidRPr="00C1603D">
        <w:t>duoden</w:t>
      </w:r>
      <w:proofErr w:type="spellEnd"/>
      <w:r w:rsidRPr="00C1603D">
        <w:t xml:space="preserve">* or </w:t>
      </w:r>
      <w:proofErr w:type="spellStart"/>
      <w:r w:rsidRPr="00C1603D">
        <w:t>gastr</w:t>
      </w:r>
      <w:proofErr w:type="spellEnd"/>
      <w:r w:rsidRPr="00C1603D">
        <w:t xml:space="preserve">* or </w:t>
      </w:r>
      <w:proofErr w:type="spellStart"/>
      <w:r w:rsidRPr="00C1603D">
        <w:t>intestin</w:t>
      </w:r>
      <w:proofErr w:type="spellEnd"/>
      <w:r w:rsidRPr="00C1603D">
        <w:t xml:space="preserve">* or nutrition* or </w:t>
      </w:r>
      <w:proofErr w:type="spellStart"/>
      <w:r w:rsidRPr="00C1603D">
        <w:t>malabsor</w:t>
      </w:r>
      <w:proofErr w:type="spellEnd"/>
      <w:r w:rsidRPr="00C1603D">
        <w:t xml:space="preserve">* or metabolic*) adj3 (disease* or disorder* or </w:t>
      </w:r>
      <w:proofErr w:type="spellStart"/>
      <w:r w:rsidRPr="00C1603D">
        <w:t>syndrom</w:t>
      </w:r>
      <w:proofErr w:type="spellEnd"/>
      <w:r w:rsidRPr="00C1603D">
        <w:t>* or manifestation*)).</w:t>
      </w:r>
      <w:proofErr w:type="spellStart"/>
      <w:r w:rsidRPr="00C1603D">
        <w:t>ti,ab,kf</w:t>
      </w:r>
      <w:proofErr w:type="spellEnd"/>
      <w:r w:rsidRPr="00C1603D">
        <w:t>. (180</w:t>
      </w:r>
      <w:r w:rsidR="009205FB" w:rsidRPr="00C1603D">
        <w:t>,</w:t>
      </w:r>
      <w:r w:rsidRPr="00C1603D">
        <w:t>683)</w:t>
      </w:r>
    </w:p>
    <w:p w14:paraId="2AF9700A" w14:textId="1F5F66FC" w:rsidR="008B4DF8" w:rsidRPr="00C1603D" w:rsidRDefault="008B4DF8" w:rsidP="009205FB">
      <w:pPr>
        <w:pStyle w:val="621TextnumberedlistTextstylesTextstyles"/>
      </w:pPr>
      <w:r w:rsidRPr="00C1603D">
        <w:t xml:space="preserve">(constipation or constipated or diarrhoea or </w:t>
      </w:r>
      <w:proofErr w:type="spellStart"/>
      <w:r w:rsidRPr="00C1603D">
        <w:t>diarrhea</w:t>
      </w:r>
      <w:proofErr w:type="spellEnd"/>
      <w:r w:rsidRPr="00C1603D">
        <w:t xml:space="preserve"> or (abdominal adj3 (</w:t>
      </w:r>
      <w:proofErr w:type="spellStart"/>
      <w:r w:rsidRPr="00C1603D">
        <w:t>disten</w:t>
      </w:r>
      <w:proofErr w:type="spellEnd"/>
      <w:r w:rsidRPr="00C1603D">
        <w:t xml:space="preserve">* or pain or bloating or cramp or cramps)) or flatulence or meteorism or </w:t>
      </w:r>
      <w:proofErr w:type="spellStart"/>
      <w:r w:rsidRPr="00C1603D">
        <w:t>steatorrhoea</w:t>
      </w:r>
      <w:proofErr w:type="spellEnd"/>
      <w:r w:rsidRPr="00C1603D">
        <w:t xml:space="preserve"> or steatorrhea or ((acid base or calcium or cyanocobalamin* or electrolyte* or folate or folic acid or glucose or IgA or immunoglobulin A or iron or lactose or lipid* or </w:t>
      </w:r>
      <w:proofErr w:type="spellStart"/>
      <w:r w:rsidRPr="00C1603D">
        <w:t>phosph</w:t>
      </w:r>
      <w:proofErr w:type="spellEnd"/>
      <w:r w:rsidRPr="00C1603D">
        <w:t xml:space="preserve">* or protein* or triglyceride* or vitamin* or mineral*) adj3 (disorder* or </w:t>
      </w:r>
      <w:proofErr w:type="spellStart"/>
      <w:r w:rsidRPr="00C1603D">
        <w:t>deficien</w:t>
      </w:r>
      <w:proofErr w:type="spellEnd"/>
      <w:r w:rsidRPr="00C1603D">
        <w:t xml:space="preserve">* or imbalance* or insufficiency or </w:t>
      </w:r>
      <w:proofErr w:type="spellStart"/>
      <w:r w:rsidRPr="00C1603D">
        <w:t>intoleran</w:t>
      </w:r>
      <w:proofErr w:type="spellEnd"/>
      <w:r w:rsidRPr="00C1603D">
        <w:t xml:space="preserve">*)) or fever* or febrile or malaise or fatigue or </w:t>
      </w:r>
      <w:proofErr w:type="spellStart"/>
      <w:r w:rsidRPr="00C1603D">
        <w:t>letharg</w:t>
      </w:r>
      <w:proofErr w:type="spellEnd"/>
      <w:r w:rsidRPr="00C1603D">
        <w:t xml:space="preserve">* or exhaustion or vomiting or nausea or emesis or sickness or weight loss or wait gain or hot flashes or hot flushes or medically unexplained or unexplained symptoms or unexplained medical or (signs adj2 symptoms) or sleepiness or ((calciferol or cholecalciferol or </w:t>
      </w:r>
      <w:proofErr w:type="spellStart"/>
      <w:r w:rsidRPr="00C1603D">
        <w:t>colecalciferol</w:t>
      </w:r>
      <w:proofErr w:type="spellEnd"/>
      <w:r w:rsidRPr="00C1603D">
        <w:t xml:space="preserve"> or </w:t>
      </w:r>
      <w:proofErr w:type="spellStart"/>
      <w:r w:rsidRPr="00C1603D">
        <w:t>egocalciferol</w:t>
      </w:r>
      <w:proofErr w:type="spellEnd"/>
      <w:r w:rsidRPr="00C1603D">
        <w:t xml:space="preserve">) adj3 (disorder* or </w:t>
      </w:r>
      <w:proofErr w:type="spellStart"/>
      <w:r w:rsidRPr="00C1603D">
        <w:t>deficien</w:t>
      </w:r>
      <w:proofErr w:type="spellEnd"/>
      <w:r w:rsidRPr="00C1603D">
        <w:t xml:space="preserve">* or imbalance* or insufficiency or </w:t>
      </w:r>
      <w:proofErr w:type="spellStart"/>
      <w:r w:rsidRPr="00C1603D">
        <w:t>intoleran</w:t>
      </w:r>
      <w:proofErr w:type="spellEnd"/>
      <w:r w:rsidRPr="00C1603D">
        <w:t>*)) or conditions linked or linked conditions).</w:t>
      </w:r>
      <w:proofErr w:type="spellStart"/>
      <w:r w:rsidRPr="00C1603D">
        <w:t>ti,ab,kf</w:t>
      </w:r>
      <w:proofErr w:type="spellEnd"/>
      <w:r w:rsidRPr="00C1603D">
        <w:t>. (805</w:t>
      </w:r>
      <w:r w:rsidR="009205FB" w:rsidRPr="00C1603D">
        <w:t>,</w:t>
      </w:r>
      <w:r w:rsidRPr="00C1603D">
        <w:t>001)</w:t>
      </w:r>
    </w:p>
    <w:p w14:paraId="3E4BFC23" w14:textId="29FE8E47" w:rsidR="008B4DF8" w:rsidRPr="00C1603D" w:rsidRDefault="008B4DF8" w:rsidP="009205FB">
      <w:pPr>
        <w:pStyle w:val="621TextnumberedlistTextstylesTextstyles"/>
      </w:pPr>
      <w:r w:rsidRPr="00C1603D">
        <w:t>(medical* morbid* or (medical* adj3 comorbid*) or (medical* adj3 co-morbid*) or multimorbid* or multi* morbid* or multi* comorbid* or multi* co-morbid* or multi* physical*).</w:t>
      </w:r>
      <w:proofErr w:type="spellStart"/>
      <w:r w:rsidRPr="00C1603D">
        <w:t>ti,ab,kf</w:t>
      </w:r>
      <w:proofErr w:type="spellEnd"/>
      <w:r w:rsidRPr="00C1603D">
        <w:t>. (18</w:t>
      </w:r>
      <w:r w:rsidR="009205FB" w:rsidRPr="00C1603D">
        <w:t>,</w:t>
      </w:r>
      <w:r w:rsidRPr="00C1603D">
        <w:t>919)</w:t>
      </w:r>
    </w:p>
    <w:p w14:paraId="04148FA7" w14:textId="25A508E2" w:rsidR="008B4DF8" w:rsidRPr="00C1603D" w:rsidRDefault="008B4DF8" w:rsidP="009205FB">
      <w:pPr>
        <w:pStyle w:val="621TextnumberedlistTextstylesTextstyles"/>
      </w:pPr>
      <w:r w:rsidRPr="00C1603D">
        <w:t xml:space="preserve">(first-degree relative or family or family relation or family </w:t>
      </w:r>
      <w:proofErr w:type="gramStart"/>
      <w:r w:rsidRPr="00C1603D">
        <w:t>history or mother or father or parent or daughter</w:t>
      </w:r>
      <w:proofErr w:type="gramEnd"/>
      <w:r w:rsidRPr="00C1603D">
        <w:t xml:space="preserve"> or son).sh. or (brother or sister or sibling).</w:t>
      </w:r>
      <w:proofErr w:type="spellStart"/>
      <w:r w:rsidRPr="00C1603D">
        <w:t>hw</w:t>
      </w:r>
      <w:proofErr w:type="spellEnd"/>
      <w:r w:rsidRPr="00C1603D">
        <w:t>. (83</w:t>
      </w:r>
      <w:r w:rsidR="009205FB" w:rsidRPr="00C1603D">
        <w:t>,</w:t>
      </w:r>
      <w:r w:rsidRPr="00C1603D">
        <w:t>159)</w:t>
      </w:r>
    </w:p>
    <w:p w14:paraId="23D7B157" w14:textId="47528215" w:rsidR="008B4DF8" w:rsidRPr="00C1603D" w:rsidRDefault="008B4DF8" w:rsidP="009205FB">
      <w:pPr>
        <w:pStyle w:val="621TextnumberedlistTextstylesTextstyles"/>
      </w:pPr>
      <w:r w:rsidRPr="00C1603D">
        <w:t>(first adj5 (relative* or relation?)).</w:t>
      </w:r>
      <w:proofErr w:type="spellStart"/>
      <w:r w:rsidRPr="00C1603D">
        <w:t>ti,ab,kf</w:t>
      </w:r>
      <w:proofErr w:type="spellEnd"/>
      <w:r w:rsidRPr="00C1603D">
        <w:t>. (21</w:t>
      </w:r>
      <w:r w:rsidR="009205FB" w:rsidRPr="00C1603D">
        <w:t>,</w:t>
      </w:r>
      <w:r w:rsidRPr="00C1603D">
        <w:t>485)</w:t>
      </w:r>
    </w:p>
    <w:p w14:paraId="24BB2EDF" w14:textId="435535C2" w:rsidR="008B4DF8" w:rsidRPr="00C1603D" w:rsidRDefault="008B4DF8" w:rsidP="009205FB">
      <w:pPr>
        <w:pStyle w:val="621TextnumberedlistTextstylesTextstyles"/>
      </w:pPr>
      <w:r w:rsidRPr="00C1603D">
        <w:t xml:space="preserve">(children </w:t>
      </w:r>
      <w:proofErr w:type="spellStart"/>
      <w:r w:rsidRPr="00C1603D">
        <w:t>adj</w:t>
      </w:r>
      <w:proofErr w:type="spellEnd"/>
      <w:r w:rsidRPr="00C1603D">
        <w:t xml:space="preserve"> of*).</w:t>
      </w:r>
      <w:proofErr w:type="spellStart"/>
      <w:r w:rsidRPr="00C1603D">
        <w:t>ti,ab,kf</w:t>
      </w:r>
      <w:proofErr w:type="spellEnd"/>
      <w:r w:rsidRPr="00C1603D">
        <w:t>. (32</w:t>
      </w:r>
      <w:r w:rsidR="009205FB" w:rsidRPr="00C1603D">
        <w:t>,</w:t>
      </w:r>
      <w:r w:rsidRPr="00C1603D">
        <w:t>315)</w:t>
      </w:r>
    </w:p>
    <w:p w14:paraId="3C01F9CD" w14:textId="36FC38A1" w:rsidR="008B4DF8" w:rsidRPr="00C1603D" w:rsidRDefault="008B4DF8" w:rsidP="009205FB">
      <w:pPr>
        <w:pStyle w:val="621TextnumberedlistTextstylesTextstyles"/>
      </w:pPr>
      <w:r w:rsidRPr="00C1603D">
        <w:t>or/11-20 (16</w:t>
      </w:r>
      <w:r w:rsidR="009205FB" w:rsidRPr="00C1603D">
        <w:t>,</w:t>
      </w:r>
      <w:r w:rsidRPr="00C1603D">
        <w:t>944</w:t>
      </w:r>
      <w:r w:rsidR="009205FB" w:rsidRPr="00C1603D">
        <w:t>,</w:t>
      </w:r>
      <w:r w:rsidRPr="00C1603D">
        <w:t>516)</w:t>
      </w:r>
    </w:p>
    <w:p w14:paraId="32D910AE" w14:textId="05155A93" w:rsidR="008B4DF8" w:rsidRPr="00C1603D" w:rsidRDefault="008B4DF8" w:rsidP="009205FB">
      <w:pPr>
        <w:pStyle w:val="621TextnumberedlistTextstylesTextstyles"/>
      </w:pPr>
      <w:r w:rsidRPr="00C1603D">
        <w:t xml:space="preserve">(((case? adj2 find*) or detect* or </w:t>
      </w:r>
      <w:proofErr w:type="spellStart"/>
      <w:r w:rsidRPr="00C1603D">
        <w:t>diagnos</w:t>
      </w:r>
      <w:proofErr w:type="spellEnd"/>
      <w:r w:rsidRPr="00C1603D">
        <w:t xml:space="preserve">* or predict* or incidence or prevalence or seroprevalence* or risk or risk factor? or risk indicator? or screen* or test*) adj3 </w:t>
      </w:r>
      <w:proofErr w:type="spellStart"/>
      <w:r w:rsidRPr="00C1603D">
        <w:t>c?eliac</w:t>
      </w:r>
      <w:proofErr w:type="spellEnd"/>
      <w:r w:rsidRPr="00C1603D">
        <w:t>*).</w:t>
      </w:r>
      <w:proofErr w:type="spellStart"/>
      <w:r w:rsidRPr="00C1603D">
        <w:t>ti,ab,kf</w:t>
      </w:r>
      <w:proofErr w:type="spellEnd"/>
      <w:r w:rsidRPr="00C1603D">
        <w:t>. (4839)</w:t>
      </w:r>
    </w:p>
    <w:p w14:paraId="4C61A991" w14:textId="1F4063F7" w:rsidR="008B4DF8" w:rsidRPr="00C1603D" w:rsidRDefault="008B4DF8" w:rsidP="009205FB">
      <w:pPr>
        <w:pStyle w:val="621TextnumberedlistTextstylesTextstyles"/>
      </w:pPr>
      <w:r w:rsidRPr="00C1603D">
        <w:t>(</w:t>
      </w:r>
      <w:proofErr w:type="spellStart"/>
      <w:r w:rsidRPr="00C1603D">
        <w:t>c?eliac</w:t>
      </w:r>
      <w:proofErr w:type="spellEnd"/>
      <w:r w:rsidRPr="00C1603D">
        <w:t xml:space="preserve"> and ((detect* or </w:t>
      </w:r>
      <w:proofErr w:type="spellStart"/>
      <w:r w:rsidRPr="00C1603D">
        <w:t>diagnos</w:t>
      </w:r>
      <w:proofErr w:type="spellEnd"/>
      <w:r w:rsidRPr="00C1603D">
        <w:t>* or predict* or incidence or prevalence or seroprevalence* or risk or risk factor? or screen* or test*) adj2 CD)).ab. (1782)</w:t>
      </w:r>
    </w:p>
    <w:p w14:paraId="59B30F05" w14:textId="0447B4CE" w:rsidR="008B4DF8" w:rsidRPr="00C1603D" w:rsidRDefault="008B4DF8" w:rsidP="009205FB">
      <w:pPr>
        <w:pStyle w:val="621TextnumberedlistTextstylesTextstyles"/>
      </w:pPr>
      <w:r w:rsidRPr="00C1603D">
        <w:t xml:space="preserve">(((association? or associated or indicator? or indicated or predict*) adj3 (risk? or symptom* or disease? or disorder? or </w:t>
      </w:r>
      <w:proofErr w:type="spellStart"/>
      <w:r w:rsidRPr="00C1603D">
        <w:t>histor</w:t>
      </w:r>
      <w:proofErr w:type="spellEnd"/>
      <w:r w:rsidRPr="00C1603D">
        <w:t xml:space="preserve">*)) and </w:t>
      </w:r>
      <w:proofErr w:type="spellStart"/>
      <w:r w:rsidRPr="00C1603D">
        <w:t>c?eliac</w:t>
      </w:r>
      <w:proofErr w:type="spellEnd"/>
      <w:r w:rsidRPr="00C1603D">
        <w:t>).</w:t>
      </w:r>
      <w:proofErr w:type="spellStart"/>
      <w:r w:rsidRPr="00C1603D">
        <w:t>ti,ab,kf</w:t>
      </w:r>
      <w:proofErr w:type="spellEnd"/>
      <w:r w:rsidRPr="00C1603D">
        <w:t>. (2819)</w:t>
      </w:r>
    </w:p>
    <w:p w14:paraId="45540982" w14:textId="4DEFED8B" w:rsidR="008B4DF8" w:rsidRPr="00C1603D" w:rsidRDefault="008B4DF8" w:rsidP="009205FB">
      <w:pPr>
        <w:pStyle w:val="621TextnumberedlistTextstylesTextstyles"/>
      </w:pPr>
      <w:r w:rsidRPr="00C1603D">
        <w:t xml:space="preserve">((association between or relationship between) and </w:t>
      </w:r>
      <w:proofErr w:type="spellStart"/>
      <w:r w:rsidRPr="00C1603D">
        <w:t>c?eliac</w:t>
      </w:r>
      <w:proofErr w:type="spellEnd"/>
      <w:r w:rsidRPr="00C1603D">
        <w:t>?).</w:t>
      </w:r>
      <w:proofErr w:type="spellStart"/>
      <w:r w:rsidRPr="00C1603D">
        <w:t>ti,ab,kf</w:t>
      </w:r>
      <w:proofErr w:type="spellEnd"/>
      <w:r w:rsidRPr="00C1603D">
        <w:t>. (1328)</w:t>
      </w:r>
    </w:p>
    <w:p w14:paraId="43FDA023" w14:textId="0878DBDF" w:rsidR="008B4DF8" w:rsidRPr="00C1603D" w:rsidRDefault="008B4DF8" w:rsidP="009205FB">
      <w:pPr>
        <w:pStyle w:val="621TextnumberedlistTextstylesTextstyles"/>
      </w:pPr>
      <w:r w:rsidRPr="00C1603D">
        <w:t>celiac disease/di [Diagnosis] (5652)</w:t>
      </w:r>
    </w:p>
    <w:p w14:paraId="73F5255F" w14:textId="1F979C7B" w:rsidR="008B4DF8" w:rsidRPr="00C1603D" w:rsidRDefault="008B4DF8" w:rsidP="009205FB">
      <w:pPr>
        <w:pStyle w:val="621TextnumberedlistTextstylesTextstyles"/>
      </w:pPr>
      <w:r w:rsidRPr="00C1603D">
        <w:t xml:space="preserve">celiac disease/and (diagnosis/or diagnosis, differential/or seroprevalence/or </w:t>
      </w:r>
      <w:proofErr w:type="spellStart"/>
      <w:r w:rsidRPr="00C1603D">
        <w:t>seroepidemiologic</w:t>
      </w:r>
      <w:proofErr w:type="spellEnd"/>
      <w:r w:rsidRPr="00C1603D">
        <w:t xml:space="preserve"> studies/or screening/or prediction/or prevalence/or incidence/) (2995)</w:t>
      </w:r>
    </w:p>
    <w:p w14:paraId="1EA7925E" w14:textId="165AE371" w:rsidR="008B4DF8" w:rsidRPr="00C1603D" w:rsidRDefault="008B4DF8" w:rsidP="009205FB">
      <w:pPr>
        <w:pStyle w:val="621TextnumberedlistTextstylesTextstyles"/>
      </w:pPr>
      <w:r w:rsidRPr="00C1603D">
        <w:t>or/22-27 (11</w:t>
      </w:r>
      <w:r w:rsidR="009205FB" w:rsidRPr="00C1603D">
        <w:t>,</w:t>
      </w:r>
      <w:r w:rsidRPr="00C1603D">
        <w:t>534)</w:t>
      </w:r>
    </w:p>
    <w:p w14:paraId="1DA6E682" w14:textId="37D427D7" w:rsidR="008B4DF8" w:rsidRPr="00C1603D" w:rsidRDefault="008B4DF8" w:rsidP="009205FB">
      <w:pPr>
        <w:pStyle w:val="621TextnumberedlistTextstylesTextstyles"/>
      </w:pPr>
      <w:r w:rsidRPr="00C1603D">
        <w:t>3 and 21 and 28 (9724)</w:t>
      </w:r>
    </w:p>
    <w:p w14:paraId="26E5D235" w14:textId="61092903" w:rsidR="008B4DF8" w:rsidRPr="00C1603D" w:rsidRDefault="008B4DF8" w:rsidP="009205FB">
      <w:pPr>
        <w:pStyle w:val="621TextnumberedlistTextstylesTextstyles"/>
      </w:pPr>
      <w:r w:rsidRPr="00C1603D">
        <w:t>Celiac Disease/di and (atypical or extraintestinal or extra-</w:t>
      </w:r>
      <w:proofErr w:type="gramStart"/>
      <w:r w:rsidRPr="00C1603D">
        <w:t>intestinal or nonspecific</w:t>
      </w:r>
      <w:proofErr w:type="gramEnd"/>
      <w:r w:rsidRPr="00C1603D">
        <w:t xml:space="preserve"> or non-specific).</w:t>
      </w:r>
      <w:proofErr w:type="spellStart"/>
      <w:r w:rsidRPr="00C1603D">
        <w:t>mp</w:t>
      </w:r>
      <w:proofErr w:type="spellEnd"/>
      <w:r w:rsidRPr="00C1603D">
        <w:t>. (490)</w:t>
      </w:r>
    </w:p>
    <w:p w14:paraId="59BE11F2" w14:textId="377743FD" w:rsidR="008B4DF8" w:rsidRPr="00C1603D" w:rsidRDefault="008B4DF8" w:rsidP="009205FB">
      <w:pPr>
        <w:pStyle w:val="621TextnumberedlistTextstylesTextstyles"/>
      </w:pPr>
      <w:r w:rsidRPr="00C1603D">
        <w:t xml:space="preserve">(((double* or dual*) adj5 </w:t>
      </w:r>
      <w:proofErr w:type="spellStart"/>
      <w:r w:rsidRPr="00C1603D">
        <w:t>diagnos</w:t>
      </w:r>
      <w:proofErr w:type="spellEnd"/>
      <w:r w:rsidRPr="00C1603D">
        <w:t xml:space="preserve">* adj5 </w:t>
      </w:r>
      <w:proofErr w:type="spellStart"/>
      <w:r w:rsidRPr="00C1603D">
        <w:t>c?eliac</w:t>
      </w:r>
      <w:proofErr w:type="spellEnd"/>
      <w:r w:rsidRPr="00C1603D">
        <w:t xml:space="preserve">?) or (comorbid* adj5 </w:t>
      </w:r>
      <w:proofErr w:type="spellStart"/>
      <w:r w:rsidRPr="00C1603D">
        <w:t>c?eliac</w:t>
      </w:r>
      <w:proofErr w:type="spellEnd"/>
      <w:r w:rsidRPr="00C1603D">
        <w:t>)).</w:t>
      </w:r>
      <w:proofErr w:type="spellStart"/>
      <w:r w:rsidRPr="00C1603D">
        <w:t>ti,ab,kf</w:t>
      </w:r>
      <w:proofErr w:type="spellEnd"/>
      <w:r w:rsidRPr="00C1603D">
        <w:t>. (42)</w:t>
      </w:r>
    </w:p>
    <w:p w14:paraId="6BC350D2" w14:textId="757809F6" w:rsidR="008B4DF8" w:rsidRPr="00C1603D" w:rsidRDefault="008B4DF8" w:rsidP="009205FB">
      <w:pPr>
        <w:pStyle w:val="621TextnumberedlistTextstylesTextstyles"/>
      </w:pPr>
      <w:r w:rsidRPr="00C1603D">
        <w:t>(</w:t>
      </w:r>
      <w:proofErr w:type="gramStart"/>
      <w:r w:rsidRPr="00C1603D">
        <w:t>high risk</w:t>
      </w:r>
      <w:proofErr w:type="gramEnd"/>
      <w:r w:rsidRPr="00C1603D">
        <w:t xml:space="preserve"> adj5 </w:t>
      </w:r>
      <w:proofErr w:type="spellStart"/>
      <w:r w:rsidRPr="00C1603D">
        <w:t>c?eliac</w:t>
      </w:r>
      <w:proofErr w:type="spellEnd"/>
      <w:r w:rsidRPr="00C1603D">
        <w:t>?).</w:t>
      </w:r>
      <w:proofErr w:type="spellStart"/>
      <w:r w:rsidRPr="00C1603D">
        <w:t>ti,ab,kf</w:t>
      </w:r>
      <w:proofErr w:type="spellEnd"/>
      <w:r w:rsidRPr="00C1603D">
        <w:t>. (67)</w:t>
      </w:r>
    </w:p>
    <w:p w14:paraId="3F00754F" w14:textId="19232665" w:rsidR="008B4DF8" w:rsidRPr="00C1603D" w:rsidRDefault="008B4DF8" w:rsidP="009205FB">
      <w:pPr>
        <w:pStyle w:val="621TextnumberedlistTextstylesTextstyles"/>
      </w:pPr>
      <w:r w:rsidRPr="00C1603D">
        <w:t>(</w:t>
      </w:r>
      <w:proofErr w:type="spellStart"/>
      <w:r w:rsidRPr="00C1603D">
        <w:t>famil</w:t>
      </w:r>
      <w:proofErr w:type="spellEnd"/>
      <w:r w:rsidRPr="00C1603D">
        <w:t xml:space="preserve">* </w:t>
      </w:r>
      <w:proofErr w:type="spellStart"/>
      <w:r w:rsidRPr="00C1603D">
        <w:t>histor</w:t>
      </w:r>
      <w:proofErr w:type="spellEnd"/>
      <w:r w:rsidRPr="00C1603D">
        <w:t xml:space="preserve">* adj2 </w:t>
      </w:r>
      <w:proofErr w:type="spellStart"/>
      <w:r w:rsidRPr="00C1603D">
        <w:t>c?eliac</w:t>
      </w:r>
      <w:proofErr w:type="spellEnd"/>
      <w:r w:rsidRPr="00C1603D">
        <w:t>).</w:t>
      </w:r>
      <w:proofErr w:type="spellStart"/>
      <w:r w:rsidRPr="00C1603D">
        <w:t>ti,ab,kf</w:t>
      </w:r>
      <w:proofErr w:type="spellEnd"/>
      <w:r w:rsidRPr="00C1603D">
        <w:t>. (33)</w:t>
      </w:r>
    </w:p>
    <w:p w14:paraId="0FA13CA2" w14:textId="7484A643" w:rsidR="008B4DF8" w:rsidRPr="00C1603D" w:rsidRDefault="008B4DF8" w:rsidP="009205FB">
      <w:pPr>
        <w:pStyle w:val="621TextnumberedlistTextstylesTextstyles"/>
      </w:pPr>
      <w:r w:rsidRPr="00C1603D">
        <w:t xml:space="preserve">(children </w:t>
      </w:r>
      <w:proofErr w:type="spellStart"/>
      <w:r w:rsidRPr="00C1603D">
        <w:t>adj</w:t>
      </w:r>
      <w:proofErr w:type="spellEnd"/>
      <w:r w:rsidRPr="00C1603D">
        <w:t xml:space="preserve"> of* adj5 </w:t>
      </w:r>
      <w:proofErr w:type="spellStart"/>
      <w:r w:rsidRPr="00C1603D">
        <w:t>c?eliac</w:t>
      </w:r>
      <w:proofErr w:type="spellEnd"/>
      <w:r w:rsidRPr="00C1603D">
        <w:t>).</w:t>
      </w:r>
      <w:proofErr w:type="spellStart"/>
      <w:r w:rsidRPr="00C1603D">
        <w:t>ti,ab,kw</w:t>
      </w:r>
      <w:proofErr w:type="spellEnd"/>
      <w:r w:rsidRPr="00C1603D">
        <w:t>. (19)</w:t>
      </w:r>
    </w:p>
    <w:p w14:paraId="379FB9AA" w14:textId="1FEB53AD" w:rsidR="008B4DF8" w:rsidRPr="00C1603D" w:rsidRDefault="008B4DF8" w:rsidP="009205FB">
      <w:pPr>
        <w:pStyle w:val="621TextnumberedlistTextstylesTextstyles"/>
      </w:pPr>
      <w:r w:rsidRPr="00C1603D">
        <w:t>or/30-34 (642)</w:t>
      </w:r>
    </w:p>
    <w:p w14:paraId="05A28C0C" w14:textId="21F5C6BA" w:rsidR="008B4DF8" w:rsidRPr="00C1603D" w:rsidRDefault="008B4DF8" w:rsidP="009205FB">
      <w:pPr>
        <w:pStyle w:val="621TextnumberedlistTextstylesTextstyles"/>
      </w:pPr>
      <w:r w:rsidRPr="00C1603D">
        <w:t>10 or 29 or 35 (11</w:t>
      </w:r>
      <w:r w:rsidR="009205FB" w:rsidRPr="00C1603D">
        <w:t>,</w:t>
      </w:r>
      <w:r w:rsidRPr="00C1603D">
        <w:t>362)</w:t>
      </w:r>
    </w:p>
    <w:p w14:paraId="47E3614E" w14:textId="6CD58DDB" w:rsidR="008B4DF8" w:rsidRPr="00C1603D" w:rsidRDefault="008B4DF8" w:rsidP="009205FB">
      <w:pPr>
        <w:pStyle w:val="621TextnumberedlistTextstylesTextstyles"/>
      </w:pPr>
      <w:r w:rsidRPr="00C1603D">
        <w:t xml:space="preserve">((celiac* or coeliac*) adj2 (asymptomatic or atypical or </w:t>
      </w:r>
      <w:proofErr w:type="spellStart"/>
      <w:r w:rsidRPr="00C1603D">
        <w:t>adolesc</w:t>
      </w:r>
      <w:proofErr w:type="spellEnd"/>
      <w:r w:rsidRPr="00C1603D">
        <w:t xml:space="preserve">* or adult* or cases or cohort* or child* or disease* or family or families or familial or genetic </w:t>
      </w:r>
      <w:proofErr w:type="spellStart"/>
      <w:r w:rsidRPr="00C1603D">
        <w:t>predispos</w:t>
      </w:r>
      <w:proofErr w:type="spellEnd"/>
      <w:r w:rsidRPr="00C1603D">
        <w:t>* or genetic pre-</w:t>
      </w:r>
      <w:proofErr w:type="spellStart"/>
      <w:r w:rsidRPr="00C1603D">
        <w:t>dispos</w:t>
      </w:r>
      <w:proofErr w:type="spellEnd"/>
      <w:r w:rsidRPr="00C1603D">
        <w:t xml:space="preserve">* or </w:t>
      </w:r>
      <w:proofErr w:type="spellStart"/>
      <w:r w:rsidRPr="00C1603D">
        <w:t>heredit</w:t>
      </w:r>
      <w:proofErr w:type="spellEnd"/>
      <w:r w:rsidRPr="00C1603D">
        <w:t xml:space="preserve">* or infant* or men or patient* or people or population* or subjects or symptomatic or </w:t>
      </w:r>
      <w:proofErr w:type="spellStart"/>
      <w:r w:rsidRPr="00C1603D">
        <w:t>syndrom</w:t>
      </w:r>
      <w:proofErr w:type="spellEnd"/>
      <w:r w:rsidRPr="00C1603D">
        <w:t>* or sprue or women)).</w:t>
      </w:r>
      <w:proofErr w:type="spellStart"/>
      <w:r w:rsidRPr="00C1603D">
        <w:t>ti,ab,kf</w:t>
      </w:r>
      <w:proofErr w:type="spellEnd"/>
      <w:r w:rsidRPr="00C1603D">
        <w:t>. (18</w:t>
      </w:r>
      <w:r w:rsidR="009205FB" w:rsidRPr="00C1603D">
        <w:t>,</w:t>
      </w:r>
      <w:r w:rsidRPr="00C1603D">
        <w:t>800)</w:t>
      </w:r>
    </w:p>
    <w:p w14:paraId="7918C8F8" w14:textId="57B004EA" w:rsidR="008B4DF8" w:rsidRPr="00C1603D" w:rsidRDefault="008B4DF8" w:rsidP="009205FB">
      <w:pPr>
        <w:pStyle w:val="621TextnumberedlistTextstylesTextstyles"/>
      </w:pPr>
      <w:r w:rsidRPr="00C1603D">
        <w:t xml:space="preserve">limit </w:t>
      </w:r>
      <w:proofErr w:type="gramStart"/>
      <w:r w:rsidRPr="00C1603D">
        <w:t>37</w:t>
      </w:r>
      <w:proofErr w:type="gramEnd"/>
      <w:r w:rsidRPr="00C1603D">
        <w:t xml:space="preserve"> to (</w:t>
      </w:r>
      <w:r w:rsidRPr="00C1603D">
        <w:rPr>
          <w:color w:val="00B0F0"/>
        </w:rPr>
        <w:t>“</w:t>
      </w:r>
      <w:r w:rsidRPr="00C1603D">
        <w:t>in data review</w:t>
      </w:r>
      <w:r w:rsidRPr="00C1603D">
        <w:rPr>
          <w:color w:val="00B0F0"/>
        </w:rPr>
        <w:t>”</w:t>
      </w:r>
      <w:r w:rsidRPr="00C1603D">
        <w:t xml:space="preserve"> or in process or publisher) (605)</w:t>
      </w:r>
    </w:p>
    <w:p w14:paraId="46E2D7EA" w14:textId="16B976AD" w:rsidR="008B4DF8" w:rsidRPr="00C1603D" w:rsidRDefault="008B4DF8" w:rsidP="009205FB">
      <w:pPr>
        <w:pStyle w:val="621TextnumberedlistTextstylesTextstyles"/>
      </w:pPr>
      <w:r w:rsidRPr="00C1603D">
        <w:t>36 or 38 (11</w:t>
      </w:r>
      <w:r w:rsidR="009205FB" w:rsidRPr="00C1603D">
        <w:t>,</w:t>
      </w:r>
      <w:r w:rsidRPr="00C1603D">
        <w:t>704)</w:t>
      </w:r>
    </w:p>
    <w:p w14:paraId="078215BC" w14:textId="640A9360" w:rsidR="008B4DF8" w:rsidRPr="00C1603D" w:rsidRDefault="008B4DF8" w:rsidP="009205FB">
      <w:pPr>
        <w:pStyle w:val="621TextnumberedlistTextstylesTextstyles"/>
      </w:pPr>
      <w:r w:rsidRPr="00C1603D">
        <w:t xml:space="preserve">((celiac* or coeliac*) </w:t>
      </w:r>
      <w:proofErr w:type="spellStart"/>
      <w:r w:rsidRPr="00C1603D">
        <w:t>adj</w:t>
      </w:r>
      <w:proofErr w:type="spellEnd"/>
      <w:r w:rsidRPr="00C1603D">
        <w:t xml:space="preserve"> (</w:t>
      </w:r>
      <w:proofErr w:type="spellStart"/>
      <w:r w:rsidRPr="00C1603D">
        <w:t>angiograp</w:t>
      </w:r>
      <w:proofErr w:type="spellEnd"/>
      <w:r w:rsidRPr="00C1603D">
        <w:t xml:space="preserve">* or </w:t>
      </w:r>
      <w:proofErr w:type="spellStart"/>
      <w:r w:rsidRPr="00C1603D">
        <w:t>arter</w:t>
      </w:r>
      <w:proofErr w:type="spellEnd"/>
      <w:r w:rsidRPr="00C1603D">
        <w:t xml:space="preserve">* or </w:t>
      </w:r>
      <w:proofErr w:type="gramStart"/>
      <w:r w:rsidRPr="00C1603D">
        <w:t>axis or plexus</w:t>
      </w:r>
      <w:proofErr w:type="gramEnd"/>
      <w:r w:rsidRPr="00C1603D">
        <w:t xml:space="preserve"> or trunk)).</w:t>
      </w:r>
      <w:proofErr w:type="spellStart"/>
      <w:r w:rsidRPr="00C1603D">
        <w:t>ti,ab,kf,hw</w:t>
      </w:r>
      <w:proofErr w:type="spellEnd"/>
      <w:r w:rsidRPr="00C1603D">
        <w:t>. (8461)</w:t>
      </w:r>
    </w:p>
    <w:p w14:paraId="24888C17" w14:textId="04C4C37D" w:rsidR="008B4DF8" w:rsidRPr="00C1603D" w:rsidRDefault="008B4DF8" w:rsidP="009205FB">
      <w:pPr>
        <w:pStyle w:val="621TextnumberedlistTextstylesTextstyles"/>
      </w:pPr>
      <w:r w:rsidRPr="00C1603D">
        <w:t xml:space="preserve">case </w:t>
      </w:r>
      <w:proofErr w:type="spellStart"/>
      <w:r w:rsidRPr="00C1603D">
        <w:t>report.ti</w:t>
      </w:r>
      <w:proofErr w:type="spellEnd"/>
      <w:r w:rsidRPr="00C1603D">
        <w:t>. (230</w:t>
      </w:r>
      <w:r w:rsidR="009205FB" w:rsidRPr="00C1603D">
        <w:t>,</w:t>
      </w:r>
      <w:r w:rsidRPr="00C1603D">
        <w:t>986)</w:t>
      </w:r>
    </w:p>
    <w:p w14:paraId="25730A13" w14:textId="0B8C3E52" w:rsidR="008B4DF8" w:rsidRPr="00C1603D" w:rsidRDefault="008B4DF8" w:rsidP="009205FB">
      <w:pPr>
        <w:pStyle w:val="621TextnumberedlistTextstylesTextstyles"/>
      </w:pPr>
      <w:r w:rsidRPr="00C1603D">
        <w:t xml:space="preserve">((case </w:t>
      </w:r>
      <w:proofErr w:type="spellStart"/>
      <w:r w:rsidRPr="00C1603D">
        <w:t>adj</w:t>
      </w:r>
      <w:proofErr w:type="spellEnd"/>
      <w:r w:rsidRPr="00C1603D">
        <w:t xml:space="preserve"> of*) and (</w:t>
      </w:r>
      <w:proofErr w:type="gramStart"/>
      <w:r w:rsidRPr="00C1603D">
        <w:t>patient or man</w:t>
      </w:r>
      <w:proofErr w:type="gramEnd"/>
      <w:r w:rsidRPr="00C1603D">
        <w:t xml:space="preserve"> or woman)).</w:t>
      </w:r>
      <w:proofErr w:type="spellStart"/>
      <w:r w:rsidRPr="00C1603D">
        <w:t>ti,ab</w:t>
      </w:r>
      <w:proofErr w:type="spellEnd"/>
      <w:r w:rsidRPr="00C1603D">
        <w:t>. and case reports.pt. (252</w:t>
      </w:r>
      <w:r w:rsidR="009205FB" w:rsidRPr="00C1603D">
        <w:t>,</w:t>
      </w:r>
      <w:r w:rsidRPr="00C1603D">
        <w:t>275)</w:t>
      </w:r>
    </w:p>
    <w:p w14:paraId="49564BD3" w14:textId="1E3F9433" w:rsidR="008B4DF8" w:rsidRPr="00C1603D" w:rsidRDefault="008B4DF8" w:rsidP="009205FB">
      <w:pPr>
        <w:pStyle w:val="621TextnumberedlistTextstylesTextstyles"/>
      </w:pPr>
      <w:r w:rsidRPr="00C1603D">
        <w:t>(comment or editorial or letter or newspaper article).pt. (1</w:t>
      </w:r>
      <w:r w:rsidR="009205FB" w:rsidRPr="00C1603D">
        <w:t>,</w:t>
      </w:r>
      <w:r w:rsidRPr="00C1603D">
        <w:t>825</w:t>
      </w:r>
      <w:r w:rsidR="009205FB" w:rsidRPr="00C1603D">
        <w:t>,</w:t>
      </w:r>
      <w:r w:rsidRPr="00C1603D">
        <w:t>467)</w:t>
      </w:r>
    </w:p>
    <w:p w14:paraId="0EA7BE17" w14:textId="08253C27" w:rsidR="008B4DF8" w:rsidRPr="00C1603D" w:rsidRDefault="008B4DF8" w:rsidP="009205FB">
      <w:pPr>
        <w:pStyle w:val="621TextnumberedlistTextstylesTextstyles"/>
      </w:pPr>
      <w:r w:rsidRPr="00C1603D">
        <w:t xml:space="preserve">(exp Animals/or exp Animal Experimentation/or exp Models, Animal/or exp Animals, </w:t>
      </w:r>
      <w:r w:rsidRPr="00C1603D">
        <w:lastRenderedPageBreak/>
        <w:t xml:space="preserve">Laboratory/or exp </w:t>
      </w:r>
      <w:proofErr w:type="spellStart"/>
      <w:r w:rsidRPr="00C1603D">
        <w:t>rodentia</w:t>
      </w:r>
      <w:proofErr w:type="spellEnd"/>
      <w:r w:rsidRPr="00C1603D">
        <w:t>/) not Humans/(4</w:t>
      </w:r>
      <w:r w:rsidR="009205FB" w:rsidRPr="00C1603D">
        <w:t>,</w:t>
      </w:r>
      <w:r w:rsidRPr="00C1603D">
        <w:t>673</w:t>
      </w:r>
      <w:r w:rsidR="009205FB" w:rsidRPr="00C1603D">
        <w:t>,</w:t>
      </w:r>
      <w:r w:rsidRPr="00C1603D">
        <w:t>001)</w:t>
      </w:r>
    </w:p>
    <w:p w14:paraId="54342310" w14:textId="17814C8F" w:rsidR="008B4DF8" w:rsidRPr="00C1603D" w:rsidRDefault="008B4DF8" w:rsidP="009205FB">
      <w:pPr>
        <w:pStyle w:val="621TextnumberedlistTextstylesTextstyles"/>
      </w:pPr>
      <w:r w:rsidRPr="00C1603D">
        <w:t>((</w:t>
      </w:r>
      <w:proofErr w:type="gramStart"/>
      <w:r w:rsidRPr="00C1603D">
        <w:t>rat or rats or mouse or mice</w:t>
      </w:r>
      <w:proofErr w:type="gramEnd"/>
      <w:r w:rsidRPr="00C1603D">
        <w:t xml:space="preserve"> or rodent* or animal* or murine or porcine or feline or canine or dog or dogs or cat or cats or pig or pigs or monkey* or macaque*) not human*).</w:t>
      </w:r>
      <w:proofErr w:type="spellStart"/>
      <w:r w:rsidRPr="00C1603D">
        <w:t>ti</w:t>
      </w:r>
      <w:proofErr w:type="spellEnd"/>
      <w:r w:rsidRPr="00C1603D">
        <w:t>. (1</w:t>
      </w:r>
      <w:r w:rsidR="009205FB" w:rsidRPr="00C1603D">
        <w:t>,</w:t>
      </w:r>
      <w:r w:rsidRPr="00C1603D">
        <w:t>856</w:t>
      </w:r>
      <w:r w:rsidR="009205FB" w:rsidRPr="00C1603D">
        <w:t>,</w:t>
      </w:r>
      <w:r w:rsidRPr="00C1603D">
        <w:t>683)</w:t>
      </w:r>
    </w:p>
    <w:p w14:paraId="6F320B2E" w14:textId="5662B9C1" w:rsidR="008B4DF8" w:rsidRPr="00C1603D" w:rsidRDefault="008B4DF8" w:rsidP="009205FB">
      <w:pPr>
        <w:pStyle w:val="621TextnumberedlistTextstylesTextstyles"/>
      </w:pPr>
      <w:r w:rsidRPr="00C1603D">
        <w:t>or/40-45 (7</w:t>
      </w:r>
      <w:r w:rsidR="009205FB" w:rsidRPr="00C1603D">
        <w:t>,</w:t>
      </w:r>
      <w:r w:rsidRPr="00C1603D">
        <w:t>137</w:t>
      </w:r>
      <w:r w:rsidR="009205FB" w:rsidRPr="00C1603D">
        <w:t>,</w:t>
      </w:r>
      <w:r w:rsidRPr="00C1603D">
        <w:t>365)</w:t>
      </w:r>
    </w:p>
    <w:p w14:paraId="6DE3D2E7" w14:textId="247CF69C" w:rsidR="008B4DF8" w:rsidRPr="00C1603D" w:rsidRDefault="008B4DF8" w:rsidP="009205FB">
      <w:pPr>
        <w:pStyle w:val="621TextnumberedlistTextstylesTextstyles"/>
      </w:pPr>
      <w:proofErr w:type="gramStart"/>
      <w:r w:rsidRPr="00C1603D">
        <w:t>39</w:t>
      </w:r>
      <w:proofErr w:type="gramEnd"/>
      <w:r w:rsidRPr="00C1603D">
        <w:t xml:space="preserve"> not 46 (9645)</w:t>
      </w:r>
    </w:p>
    <w:p w14:paraId="581ED709" w14:textId="690D7BD0" w:rsidR="008B4DF8" w:rsidRPr="00C1603D" w:rsidRDefault="008B4DF8" w:rsidP="009205FB">
      <w:pPr>
        <w:pStyle w:val="621TextnumberedlistTextstylesTextstyles"/>
      </w:pPr>
      <w:r w:rsidRPr="00C1603D">
        <w:t>exp epidemiologic studies/(2</w:t>
      </w:r>
      <w:r w:rsidR="009205FB" w:rsidRPr="00C1603D">
        <w:t>,</w:t>
      </w:r>
      <w:r w:rsidRPr="00C1603D">
        <w:t>435</w:t>
      </w:r>
      <w:r w:rsidR="009205FB" w:rsidRPr="00C1603D">
        <w:t>,</w:t>
      </w:r>
      <w:r w:rsidRPr="00C1603D">
        <w:t>409)</w:t>
      </w:r>
    </w:p>
    <w:p w14:paraId="322C5C7F" w14:textId="4553BCCB" w:rsidR="008B4DF8" w:rsidRPr="00C1603D" w:rsidRDefault="008B4DF8" w:rsidP="009205FB">
      <w:pPr>
        <w:pStyle w:val="621TextnumberedlistTextstylesTextstyles"/>
      </w:pPr>
      <w:r w:rsidRPr="00C1603D">
        <w:t>(cohort or case control* or case finding or cross-sectional or longitudinal).</w:t>
      </w:r>
      <w:proofErr w:type="spellStart"/>
      <w:r w:rsidRPr="00C1603D">
        <w:t>ti,ab,kf</w:t>
      </w:r>
      <w:proofErr w:type="spellEnd"/>
      <w:r w:rsidRPr="00C1603D">
        <w:t>. (1</w:t>
      </w:r>
      <w:r w:rsidR="009205FB" w:rsidRPr="00C1603D">
        <w:t>,</w:t>
      </w:r>
      <w:r w:rsidRPr="00C1603D">
        <w:t>114</w:t>
      </w:r>
      <w:r w:rsidR="009205FB" w:rsidRPr="00C1603D">
        <w:t>,</w:t>
      </w:r>
      <w:r w:rsidRPr="00C1603D">
        <w:t>977)</w:t>
      </w:r>
    </w:p>
    <w:p w14:paraId="6AE54103" w14:textId="387E969B" w:rsidR="008B4DF8" w:rsidRPr="00C1603D" w:rsidRDefault="008B4DF8" w:rsidP="009205FB">
      <w:pPr>
        <w:pStyle w:val="621TextnumberedlistTextstylesTextstyles"/>
      </w:pPr>
      <w:proofErr w:type="spellStart"/>
      <w:r w:rsidRPr="00C1603D">
        <w:t>study.ti</w:t>
      </w:r>
      <w:proofErr w:type="spellEnd"/>
      <w:r w:rsidRPr="00C1603D">
        <w:t>. (1</w:t>
      </w:r>
      <w:r w:rsidR="009205FB" w:rsidRPr="00C1603D">
        <w:t>,</w:t>
      </w:r>
      <w:r w:rsidRPr="00C1603D">
        <w:t>330</w:t>
      </w:r>
      <w:r w:rsidR="009205FB" w:rsidRPr="00C1603D">
        <w:t>,</w:t>
      </w:r>
      <w:r w:rsidRPr="00C1603D">
        <w:t>964)</w:t>
      </w:r>
    </w:p>
    <w:p w14:paraId="77FBF7DD" w14:textId="6B64907F" w:rsidR="008B4DF8" w:rsidRPr="00C1603D" w:rsidRDefault="008B4DF8" w:rsidP="009205FB">
      <w:pPr>
        <w:pStyle w:val="621TextnumberedlistTextstylesTextstyles"/>
      </w:pPr>
      <w:r w:rsidRPr="00C1603D">
        <w:t>(study and (</w:t>
      </w:r>
      <w:proofErr w:type="spellStart"/>
      <w:r w:rsidRPr="00C1603D">
        <w:t>analys</w:t>
      </w:r>
      <w:proofErr w:type="spellEnd"/>
      <w:r w:rsidRPr="00C1603D">
        <w:t xml:space="preserve">* or cases or clinical or control* or </w:t>
      </w:r>
      <w:proofErr w:type="spellStart"/>
      <w:r w:rsidRPr="00C1603D">
        <w:t>compar</w:t>
      </w:r>
      <w:proofErr w:type="spellEnd"/>
      <w:r w:rsidRPr="00C1603D">
        <w:t xml:space="preserve">* or </w:t>
      </w:r>
      <w:proofErr w:type="spellStart"/>
      <w:r w:rsidRPr="00C1603D">
        <w:t>correlat</w:t>
      </w:r>
      <w:proofErr w:type="spellEnd"/>
      <w:r w:rsidRPr="00C1603D">
        <w:t xml:space="preserve">* or </w:t>
      </w:r>
      <w:proofErr w:type="spellStart"/>
      <w:r w:rsidRPr="00C1603D">
        <w:t>associat</w:t>
      </w:r>
      <w:proofErr w:type="spellEnd"/>
      <w:r w:rsidRPr="00C1603D">
        <w:t xml:space="preserve">* or </w:t>
      </w:r>
      <w:proofErr w:type="spellStart"/>
      <w:r w:rsidRPr="00C1603D">
        <w:t>epidemiolog</w:t>
      </w:r>
      <w:proofErr w:type="spellEnd"/>
      <w:r w:rsidRPr="00C1603D">
        <w:t xml:space="preserve">* or </w:t>
      </w:r>
      <w:proofErr w:type="spellStart"/>
      <w:r w:rsidRPr="00C1603D">
        <w:t>evaluat</w:t>
      </w:r>
      <w:proofErr w:type="spellEnd"/>
      <w:r w:rsidRPr="00C1603D">
        <w:t xml:space="preserve">* or </w:t>
      </w:r>
      <w:proofErr w:type="spellStart"/>
      <w:r w:rsidRPr="00C1603D">
        <w:t>examin</w:t>
      </w:r>
      <w:proofErr w:type="spellEnd"/>
      <w:r w:rsidRPr="00C1603D">
        <w:t xml:space="preserve">* or </w:t>
      </w:r>
      <w:proofErr w:type="spellStart"/>
      <w:r w:rsidRPr="00C1603D">
        <w:t>investigat</w:t>
      </w:r>
      <w:proofErr w:type="spellEnd"/>
      <w:r w:rsidRPr="00C1603D">
        <w:t xml:space="preserve">* or </w:t>
      </w:r>
      <w:proofErr w:type="spellStart"/>
      <w:r w:rsidRPr="00C1603D">
        <w:t>observ</w:t>
      </w:r>
      <w:proofErr w:type="spellEnd"/>
      <w:r w:rsidRPr="00C1603D">
        <w:t xml:space="preserve">* or population based or </w:t>
      </w:r>
      <w:proofErr w:type="spellStart"/>
      <w:r w:rsidRPr="00C1603D">
        <w:t>prospectiv</w:t>
      </w:r>
      <w:proofErr w:type="spellEnd"/>
      <w:r w:rsidRPr="00C1603D">
        <w:t xml:space="preserve">* or </w:t>
      </w:r>
      <w:proofErr w:type="spellStart"/>
      <w:r w:rsidRPr="00C1603D">
        <w:t>retrospectiv</w:t>
      </w:r>
      <w:proofErr w:type="spellEnd"/>
      <w:r w:rsidRPr="00C1603D">
        <w:t xml:space="preserve">* or </w:t>
      </w:r>
      <w:proofErr w:type="spellStart"/>
      <w:r w:rsidRPr="00C1603D">
        <w:t>serolog</w:t>
      </w:r>
      <w:proofErr w:type="spellEnd"/>
      <w:r w:rsidRPr="00C1603D">
        <w:t>*)).</w:t>
      </w:r>
      <w:proofErr w:type="spellStart"/>
      <w:r w:rsidRPr="00C1603D">
        <w:t>ti,ab,kf</w:t>
      </w:r>
      <w:proofErr w:type="spellEnd"/>
      <w:r w:rsidRPr="00C1603D">
        <w:t>. (6</w:t>
      </w:r>
      <w:r w:rsidR="009205FB" w:rsidRPr="00C1603D">
        <w:t>,</w:t>
      </w:r>
      <w:r w:rsidRPr="00C1603D">
        <w:t>665</w:t>
      </w:r>
      <w:r w:rsidR="009205FB" w:rsidRPr="00C1603D">
        <w:t>,</w:t>
      </w:r>
      <w:r w:rsidRPr="00C1603D">
        <w:t>955)</w:t>
      </w:r>
    </w:p>
    <w:p w14:paraId="1860C928" w14:textId="0C085053" w:rsidR="008B4DF8" w:rsidRPr="00C1603D" w:rsidRDefault="008B4DF8" w:rsidP="009205FB">
      <w:pPr>
        <w:pStyle w:val="621TextnumberedlistTextstylesTextstyles"/>
      </w:pPr>
      <w:r w:rsidRPr="00C1603D">
        <w:t>(case? and control*).ab. (448</w:t>
      </w:r>
      <w:r w:rsidR="009205FB" w:rsidRPr="00C1603D">
        <w:t>,</w:t>
      </w:r>
      <w:r w:rsidRPr="00C1603D">
        <w:t>997)</w:t>
      </w:r>
    </w:p>
    <w:p w14:paraId="5411BE59" w14:textId="35FE411E" w:rsidR="008B4DF8" w:rsidRPr="00C1603D" w:rsidRDefault="008B4DF8" w:rsidP="009205FB">
      <w:pPr>
        <w:pStyle w:val="621TextnumberedlistTextstylesTextstyles"/>
      </w:pPr>
      <w:r w:rsidRPr="00C1603D">
        <w:t xml:space="preserve">(controls or (control </w:t>
      </w:r>
      <w:proofErr w:type="spellStart"/>
      <w:r w:rsidRPr="00C1603D">
        <w:t>adj</w:t>
      </w:r>
      <w:proofErr w:type="spellEnd"/>
      <w:r w:rsidRPr="00C1603D">
        <w:t xml:space="preserve"> (group? or participants or patients))).ab. (1</w:t>
      </w:r>
      <w:r w:rsidR="009205FB" w:rsidRPr="00C1603D">
        <w:t>,</w:t>
      </w:r>
      <w:r w:rsidRPr="00C1603D">
        <w:t>189</w:t>
      </w:r>
      <w:r w:rsidR="009205FB" w:rsidRPr="00C1603D">
        <w:t>,</w:t>
      </w:r>
      <w:r w:rsidRPr="00C1603D">
        <w:t>049)</w:t>
      </w:r>
    </w:p>
    <w:p w14:paraId="47C04CB9" w14:textId="7614E1E1" w:rsidR="008B4DF8" w:rsidRPr="00C1603D" w:rsidRDefault="008B4DF8" w:rsidP="009205FB">
      <w:pPr>
        <w:pStyle w:val="621TextnumberedlistTextstylesTextstyles"/>
      </w:pPr>
      <w:r w:rsidRPr="00C1603D">
        <w:t>(groups or subgroup? or sub-group?).ab. (2</w:t>
      </w:r>
      <w:r w:rsidR="009205FB" w:rsidRPr="00C1603D">
        <w:t>,</w:t>
      </w:r>
      <w:r w:rsidRPr="00C1603D">
        <w:t>170</w:t>
      </w:r>
      <w:r w:rsidR="009205FB" w:rsidRPr="00C1603D">
        <w:t>,</w:t>
      </w:r>
      <w:r w:rsidRPr="00C1603D">
        <w:t>205)</w:t>
      </w:r>
    </w:p>
    <w:p w14:paraId="374C40BB" w14:textId="1A2A679B" w:rsidR="008B4DF8" w:rsidRPr="00C1603D" w:rsidRDefault="008B4DF8" w:rsidP="009205FB">
      <w:pPr>
        <w:pStyle w:val="621TextnumberedlistTextstylesTextstyles"/>
      </w:pPr>
      <w:r w:rsidRPr="00C1603D">
        <w:t>(group? adj5 (</w:t>
      </w:r>
      <w:proofErr w:type="spellStart"/>
      <w:r w:rsidRPr="00C1603D">
        <w:t>analys</w:t>
      </w:r>
      <w:proofErr w:type="spellEnd"/>
      <w:r w:rsidRPr="00C1603D">
        <w:t xml:space="preserve">* or </w:t>
      </w:r>
      <w:proofErr w:type="spellStart"/>
      <w:r w:rsidRPr="00C1603D">
        <w:t>compar</w:t>
      </w:r>
      <w:proofErr w:type="spellEnd"/>
      <w:r w:rsidRPr="00C1603D">
        <w:t xml:space="preserve">* or control* or </w:t>
      </w:r>
      <w:proofErr w:type="spellStart"/>
      <w:r w:rsidRPr="00C1603D">
        <w:t>correlat</w:t>
      </w:r>
      <w:proofErr w:type="spellEnd"/>
      <w:r w:rsidRPr="00C1603D">
        <w:t xml:space="preserve">* or </w:t>
      </w:r>
      <w:proofErr w:type="spellStart"/>
      <w:r w:rsidRPr="00C1603D">
        <w:t>associat</w:t>
      </w:r>
      <w:proofErr w:type="spellEnd"/>
      <w:r w:rsidRPr="00C1603D">
        <w:t>*)).ab. (1</w:t>
      </w:r>
      <w:r w:rsidR="009205FB" w:rsidRPr="00C1603D">
        <w:t>,</w:t>
      </w:r>
      <w:r w:rsidRPr="00C1603D">
        <w:t>004</w:t>
      </w:r>
      <w:r w:rsidR="009205FB" w:rsidRPr="00C1603D">
        <w:t>,</w:t>
      </w:r>
      <w:r w:rsidRPr="00C1603D">
        <w:t>351)</w:t>
      </w:r>
    </w:p>
    <w:p w14:paraId="035C1284" w14:textId="67D56A51" w:rsidR="008B4DF8" w:rsidRPr="00C1603D" w:rsidRDefault="008B4DF8" w:rsidP="009205FB">
      <w:pPr>
        <w:pStyle w:val="621TextnumberedlistTextstylesTextstyles"/>
      </w:pPr>
      <w:r w:rsidRPr="00C1603D">
        <w:t>exp Regression Analysis/(416</w:t>
      </w:r>
      <w:r w:rsidR="009205FB" w:rsidRPr="00C1603D">
        <w:t>,</w:t>
      </w:r>
      <w:r w:rsidRPr="00C1603D">
        <w:t>341)</w:t>
      </w:r>
    </w:p>
    <w:p w14:paraId="7E3EF77D" w14:textId="015C8A6F" w:rsidR="008B4DF8" w:rsidRPr="00C1603D" w:rsidRDefault="008B4DF8" w:rsidP="009205FB">
      <w:pPr>
        <w:pStyle w:val="621TextnumberedlistTextstylesTextstyles"/>
      </w:pPr>
      <w:r w:rsidRPr="00C1603D">
        <w:t>statistical model/(89</w:t>
      </w:r>
      <w:r w:rsidR="009205FB" w:rsidRPr="00C1603D">
        <w:t>,</w:t>
      </w:r>
      <w:r w:rsidRPr="00C1603D">
        <w:t>771)</w:t>
      </w:r>
    </w:p>
    <w:p w14:paraId="50A976B0" w14:textId="5637721B" w:rsidR="008B4DF8" w:rsidRPr="00C1603D" w:rsidRDefault="008B4DF8" w:rsidP="009205FB">
      <w:pPr>
        <w:pStyle w:val="621TextnumberedlistTextstylesTextstyles"/>
      </w:pPr>
      <w:r w:rsidRPr="00C1603D">
        <w:t>((</w:t>
      </w:r>
      <w:proofErr w:type="spellStart"/>
      <w:r w:rsidRPr="00C1603D">
        <w:t>analys</w:t>
      </w:r>
      <w:proofErr w:type="spellEnd"/>
      <w:r w:rsidRPr="00C1603D">
        <w:t>* or logistic*) adj1 (model* or regression*)).ab. (456</w:t>
      </w:r>
      <w:r w:rsidR="009205FB" w:rsidRPr="00C1603D">
        <w:t>,</w:t>
      </w:r>
      <w:r w:rsidRPr="00C1603D">
        <w:t>097)</w:t>
      </w:r>
    </w:p>
    <w:p w14:paraId="103B1695" w14:textId="28214EFA" w:rsidR="008B4DF8" w:rsidRPr="00C1603D" w:rsidRDefault="008B4DF8" w:rsidP="009205FB">
      <w:pPr>
        <w:pStyle w:val="621TextnumberedlistTextstylesTextstyles"/>
      </w:pPr>
      <w:proofErr w:type="spellStart"/>
      <w:r w:rsidRPr="00C1603D">
        <w:t>study.ab</w:t>
      </w:r>
      <w:proofErr w:type="spellEnd"/>
      <w:r w:rsidRPr="00C1603D">
        <w:t>./</w:t>
      </w:r>
      <w:proofErr w:type="spellStart"/>
      <w:r w:rsidRPr="00C1603D">
        <w:t>freq</w:t>
      </w:r>
      <w:proofErr w:type="spellEnd"/>
      <w:r w:rsidRPr="00C1603D">
        <w:t>=2 (2</w:t>
      </w:r>
      <w:r w:rsidR="009205FB" w:rsidRPr="00C1603D">
        <w:t>,</w:t>
      </w:r>
      <w:r w:rsidRPr="00C1603D">
        <w:t>157</w:t>
      </w:r>
      <w:r w:rsidR="009205FB" w:rsidRPr="00C1603D">
        <w:t>,</w:t>
      </w:r>
      <w:r w:rsidRPr="00C1603D">
        <w:t>950)</w:t>
      </w:r>
    </w:p>
    <w:p w14:paraId="45DE0109" w14:textId="20DF919B" w:rsidR="008B4DF8" w:rsidRPr="00C1603D" w:rsidRDefault="008B4DF8" w:rsidP="009205FB">
      <w:pPr>
        <w:pStyle w:val="621TextnumberedlistTextstylesTextstyles"/>
      </w:pPr>
      <w:r w:rsidRPr="00C1603D">
        <w:t>or/48-59 (9</w:t>
      </w:r>
      <w:r w:rsidR="009205FB" w:rsidRPr="00C1603D">
        <w:t>,</w:t>
      </w:r>
      <w:r w:rsidRPr="00C1603D">
        <w:t>618</w:t>
      </w:r>
      <w:r w:rsidR="009205FB" w:rsidRPr="00C1603D">
        <w:t>,</w:t>
      </w:r>
      <w:r w:rsidRPr="00C1603D">
        <w:t>005)</w:t>
      </w:r>
    </w:p>
    <w:p w14:paraId="70DA84DE" w14:textId="3BE1B768" w:rsidR="008B4DF8" w:rsidRPr="00C1603D" w:rsidRDefault="008B4DF8" w:rsidP="009205FB">
      <w:pPr>
        <w:pStyle w:val="621TextnumberedlistTextstylesTextstyles"/>
      </w:pPr>
      <w:r w:rsidRPr="00C1603D">
        <w:t>47 and 60 (5419)</w:t>
      </w:r>
    </w:p>
    <w:p w14:paraId="0A28273F" w14:textId="5D45F14A" w:rsidR="008B4DF8" w:rsidRPr="00C1603D" w:rsidRDefault="008B4DF8" w:rsidP="009205FB">
      <w:pPr>
        <w:pStyle w:val="6211TextnumberedlistlastTextstylesTextstyles"/>
      </w:pPr>
      <w:r w:rsidRPr="00C1603D">
        <w:t xml:space="preserve">limit 61 to </w:t>
      </w:r>
      <w:proofErr w:type="spellStart"/>
      <w:r w:rsidRPr="00C1603D">
        <w:t>yr</w:t>
      </w:r>
      <w:proofErr w:type="spellEnd"/>
      <w:r w:rsidRPr="00C1603D">
        <w:t>=</w:t>
      </w:r>
      <w:r w:rsidRPr="00C1603D">
        <w:rPr>
          <w:color w:val="00B0F0"/>
        </w:rPr>
        <w:t>“</w:t>
      </w:r>
      <w:r w:rsidRPr="00C1603D">
        <w:t>1997 -Current</w:t>
      </w:r>
      <w:r w:rsidRPr="00C1603D">
        <w:rPr>
          <w:color w:val="00B0F0"/>
        </w:rPr>
        <w:t>”</w:t>
      </w:r>
      <w:r w:rsidRPr="00C1603D">
        <w:t xml:space="preserve"> (4786)</w:t>
      </w:r>
    </w:p>
    <w:p w14:paraId="7364EDBB" w14:textId="77777777" w:rsidR="008B4DF8" w:rsidRPr="00C1603D" w:rsidRDefault="008B4DF8" w:rsidP="008B4DF8">
      <w:pPr>
        <w:pStyle w:val="52AheadHeadingsHeadingstyles"/>
      </w:pPr>
      <w:r w:rsidRPr="00C1603D">
        <w:t>Cochrane Library, Issue 2 of 12, 2020</w:t>
      </w:r>
    </w:p>
    <w:p w14:paraId="02010836" w14:textId="77777777" w:rsidR="008B4DF8" w:rsidRPr="00C1603D" w:rsidRDefault="008B4DF8" w:rsidP="008B4DF8">
      <w:pPr>
        <w:pStyle w:val="602TextfoTextstylesTextstyles"/>
      </w:pPr>
      <w:r w:rsidRPr="00C1603D">
        <w:t xml:space="preserve">#1 </w:t>
      </w:r>
      <w:proofErr w:type="spellStart"/>
      <w:r w:rsidRPr="00C1603D">
        <w:t>MeSH</w:t>
      </w:r>
      <w:proofErr w:type="spellEnd"/>
      <w:r w:rsidRPr="00C1603D">
        <w:t xml:space="preserve"> descriptor: [Celiac Disease] this term only [63]</w:t>
      </w:r>
    </w:p>
    <w:p w14:paraId="7CA4BB08" w14:textId="77777777" w:rsidR="008B4DF8" w:rsidRPr="00C1603D" w:rsidRDefault="008B4DF8" w:rsidP="008B4DF8">
      <w:pPr>
        <w:pStyle w:val="602TextfoTextstylesTextstyles"/>
      </w:pPr>
      <w:r w:rsidRPr="00C1603D">
        <w:t>#2 (</w:t>
      </w:r>
      <w:r w:rsidRPr="00C1603D">
        <w:rPr>
          <w:color w:val="00B0F0"/>
        </w:rPr>
        <w:t>“</w:t>
      </w:r>
      <w:r w:rsidRPr="00C1603D">
        <w:t>celiac disease</w:t>
      </w:r>
      <w:r w:rsidRPr="00C1603D">
        <w:rPr>
          <w:color w:val="00B0F0"/>
        </w:rPr>
        <w:t>”</w:t>
      </w:r>
      <w:r w:rsidRPr="00C1603D">
        <w:t xml:space="preserve"> or </w:t>
      </w:r>
      <w:r w:rsidRPr="00C1603D">
        <w:rPr>
          <w:color w:val="00B0F0"/>
        </w:rPr>
        <w:t>“</w:t>
      </w:r>
      <w:r w:rsidRPr="00C1603D">
        <w:t>coeliac disease</w:t>
      </w:r>
      <w:r w:rsidRPr="00C1603D">
        <w:rPr>
          <w:color w:val="00B0F0"/>
        </w:rPr>
        <w:t>”</w:t>
      </w:r>
      <w:r w:rsidRPr="00C1603D">
        <w:t>): kw [338]</w:t>
      </w:r>
    </w:p>
    <w:p w14:paraId="56A823AF" w14:textId="77777777" w:rsidR="008B4DF8" w:rsidRPr="00C1603D" w:rsidRDefault="008B4DF8" w:rsidP="008B4DF8">
      <w:pPr>
        <w:pStyle w:val="602TextfoTextstylesTextstyles"/>
      </w:pPr>
      <w:r w:rsidRPr="00C1603D">
        <w:t xml:space="preserve">#3 ((celiac* or coeliac*) near/3 (asymptomatic or atypical or </w:t>
      </w:r>
      <w:proofErr w:type="spellStart"/>
      <w:r w:rsidRPr="00C1603D">
        <w:t>adolesc</w:t>
      </w:r>
      <w:proofErr w:type="spellEnd"/>
      <w:r w:rsidRPr="00C1603D">
        <w:t xml:space="preserve">* or adult* or cases or cohort* or child* or disease* or family or families or familial or genetic </w:t>
      </w:r>
      <w:proofErr w:type="spellStart"/>
      <w:r w:rsidRPr="00C1603D">
        <w:t>predispos</w:t>
      </w:r>
      <w:proofErr w:type="spellEnd"/>
      <w:r w:rsidRPr="00C1603D">
        <w:t>* or genetic pre-</w:t>
      </w:r>
      <w:proofErr w:type="spellStart"/>
      <w:r w:rsidRPr="00C1603D">
        <w:t>dispos</w:t>
      </w:r>
      <w:proofErr w:type="spellEnd"/>
      <w:r w:rsidRPr="00C1603D">
        <w:t xml:space="preserve">* or </w:t>
      </w:r>
      <w:proofErr w:type="spellStart"/>
      <w:r w:rsidRPr="00C1603D">
        <w:t>heredit</w:t>
      </w:r>
      <w:proofErr w:type="spellEnd"/>
      <w:r w:rsidRPr="00C1603D">
        <w:t xml:space="preserve">* or infant* or men or patient* or people or population* or subjects or symptomatic or </w:t>
      </w:r>
      <w:proofErr w:type="spellStart"/>
      <w:r w:rsidRPr="00C1603D">
        <w:t>syndrom</w:t>
      </w:r>
      <w:proofErr w:type="spellEnd"/>
      <w:r w:rsidRPr="00C1603D">
        <w:t>* or sprue or women)):</w:t>
      </w:r>
      <w:proofErr w:type="spellStart"/>
      <w:r w:rsidRPr="00C1603D">
        <w:t>ti,ab</w:t>
      </w:r>
      <w:proofErr w:type="spellEnd"/>
      <w:r w:rsidRPr="00C1603D">
        <w:t xml:space="preserve"> [782]</w:t>
      </w:r>
    </w:p>
    <w:p w14:paraId="0B6DD236" w14:textId="77777777" w:rsidR="008B4DF8" w:rsidRPr="00C1603D" w:rsidRDefault="008B4DF8" w:rsidP="008B4DF8">
      <w:pPr>
        <w:pStyle w:val="602TextfoTextstylesTextstyles"/>
      </w:pPr>
      <w:r w:rsidRPr="00C1603D">
        <w:t>#4 (#1 or #2 or #3) [886]</w:t>
      </w:r>
    </w:p>
    <w:p w14:paraId="0F2608BC" w14:textId="77777777" w:rsidR="008B4DF8" w:rsidRPr="00C1603D" w:rsidRDefault="008B4DF8" w:rsidP="008B4DF8">
      <w:pPr>
        <w:pStyle w:val="602TextfoTextstylesTextstyles"/>
      </w:pPr>
      <w:r w:rsidRPr="00C1603D">
        <w:t>#5 ((celiac* or coeliac*) next (</w:t>
      </w:r>
      <w:proofErr w:type="spellStart"/>
      <w:r w:rsidRPr="00C1603D">
        <w:t>angiograp</w:t>
      </w:r>
      <w:proofErr w:type="spellEnd"/>
      <w:r w:rsidRPr="00C1603D">
        <w:t xml:space="preserve">* or </w:t>
      </w:r>
      <w:proofErr w:type="spellStart"/>
      <w:r w:rsidRPr="00C1603D">
        <w:t>arter</w:t>
      </w:r>
      <w:proofErr w:type="spellEnd"/>
      <w:r w:rsidRPr="00C1603D">
        <w:t xml:space="preserve">* or </w:t>
      </w:r>
      <w:proofErr w:type="gramStart"/>
      <w:r w:rsidRPr="00C1603D">
        <w:t>axis or plexus</w:t>
      </w:r>
      <w:proofErr w:type="gramEnd"/>
      <w:r w:rsidRPr="00C1603D">
        <w:t xml:space="preserve"> or trunk)):</w:t>
      </w:r>
      <w:proofErr w:type="spellStart"/>
      <w:r w:rsidRPr="00C1603D">
        <w:t>ti,ab,kw</w:t>
      </w:r>
      <w:proofErr w:type="spellEnd"/>
      <w:r w:rsidRPr="00C1603D">
        <w:t xml:space="preserve"> [276]</w:t>
      </w:r>
    </w:p>
    <w:p w14:paraId="4129C0BB" w14:textId="0424FFE5" w:rsidR="008B4DF8" w:rsidRPr="00C1603D" w:rsidRDefault="008B4DF8" w:rsidP="008B4DF8">
      <w:pPr>
        <w:pStyle w:val="602TextfoTextstylesTextstyles"/>
      </w:pPr>
      <w:r w:rsidRPr="00C1603D">
        <w:t>#6 #4 not #5 (</w:t>
      </w:r>
      <w:r w:rsidRPr="00C1603D">
        <w:rPr>
          <w:i/>
          <w:iCs/>
        </w:rPr>
        <w:t>n</w:t>
      </w:r>
      <w:r w:rsidR="00E912EC" w:rsidRPr="00C1603D">
        <w:t> </w:t>
      </w:r>
      <w:r w:rsidRPr="00C1603D">
        <w:t>=</w:t>
      </w:r>
      <w:r w:rsidR="00E912EC" w:rsidRPr="00C1603D">
        <w:t> </w:t>
      </w:r>
      <w:r w:rsidRPr="00C1603D">
        <w:t>870) [870]</w:t>
      </w:r>
    </w:p>
    <w:p w14:paraId="44FEB39D" w14:textId="5F8C5E80" w:rsidR="008B4DF8" w:rsidRPr="00C1603D" w:rsidRDefault="008B4DF8" w:rsidP="008B4DF8">
      <w:pPr>
        <w:pStyle w:val="52AheadHeadingsHeadingstyles"/>
      </w:pPr>
      <w:commentRangeStart w:id="567"/>
      <w:r w:rsidRPr="00C1603D">
        <w:t>Web of Science: Science Citation Index Expanded (SCI-EXPANDED), SCI-EXPANDED, Conference Proceedings Citation Index</w:t>
      </w:r>
      <w:r w:rsidR="00EC4CD5" w:rsidRPr="00C1603D">
        <w:t xml:space="preserve"> –</w:t>
      </w:r>
      <w:r w:rsidRPr="00C1603D">
        <w:t xml:space="preserve"> Science SSCI</w:t>
      </w:r>
      <w:commentRangeEnd w:id="567"/>
      <w:r w:rsidR="00EC4CD5" w:rsidRPr="00C1603D">
        <w:rPr>
          <w:rFonts w:ascii="Times New Roman" w:hAnsi="Times New Roman" w:cs="Times New Roman"/>
          <w:b w:val="0"/>
          <w:bCs w:val="0"/>
          <w:color w:val="auto"/>
          <w:lang w:val="en-US"/>
        </w:rPr>
        <w:commentReference w:id="567"/>
      </w:r>
    </w:p>
    <w:p w14:paraId="7A3D5F7B" w14:textId="29E0B654" w:rsidR="008B4DF8" w:rsidRPr="00C1603D" w:rsidRDefault="008B4DF8" w:rsidP="008B4DF8">
      <w:pPr>
        <w:pStyle w:val="602TextfoTextstylesTextstyles"/>
      </w:pPr>
      <w:r w:rsidRPr="00C1603D">
        <w:t xml:space="preserve">[Limit to celiac or coeliac in title/abstract, </w:t>
      </w:r>
      <w:r w:rsidRPr="00C1603D">
        <w:rPr>
          <w:i/>
          <w:iCs/>
        </w:rPr>
        <w:t>n</w:t>
      </w:r>
      <w:r w:rsidR="00736C30" w:rsidRPr="00C1603D">
        <w:t> </w:t>
      </w:r>
      <w:r w:rsidRPr="00C1603D">
        <w:t>=</w:t>
      </w:r>
      <w:r w:rsidR="00736C30" w:rsidRPr="00C1603D">
        <w:rPr>
          <w:lang w:val="en-IE"/>
        </w:rPr>
        <w:t> </w:t>
      </w:r>
      <w:r w:rsidRPr="00C1603D">
        <w:t>6118]</w:t>
      </w:r>
    </w:p>
    <w:p w14:paraId="1F84DC89" w14:textId="2CBF7927" w:rsidR="008B4DF8" w:rsidRPr="00C1603D" w:rsidRDefault="008B4DF8" w:rsidP="008B4DF8">
      <w:pPr>
        <w:pStyle w:val="602TextfoTextstylesTextstyles"/>
      </w:pPr>
      <w:r w:rsidRPr="00C1603D">
        <w:t>#28 (#26 not #27) [7430]</w:t>
      </w:r>
    </w:p>
    <w:p w14:paraId="470D2825" w14:textId="1023A9E6" w:rsidR="008B4DF8" w:rsidRPr="00C1603D" w:rsidRDefault="008B4DF8" w:rsidP="008B4DF8">
      <w:pPr>
        <w:pStyle w:val="602TextfoTextstylesTextstyles"/>
      </w:pPr>
      <w:r w:rsidRPr="00C1603D">
        <w:t>#27 (TI</w:t>
      </w:r>
      <w:r w:rsidR="0002034F" w:rsidRPr="00C1603D">
        <w:t>=</w:t>
      </w:r>
      <w:r w:rsidRPr="00C1603D">
        <w:t>(</w:t>
      </w:r>
      <w:r w:rsidRPr="00C1603D">
        <w:rPr>
          <w:color w:val="00B0F0"/>
        </w:rPr>
        <w:t>“</w:t>
      </w:r>
      <w:r w:rsidRPr="00C1603D">
        <w:t>case report</w:t>
      </w:r>
      <w:r w:rsidRPr="00C1603D">
        <w:rPr>
          <w:color w:val="00B0F0"/>
        </w:rPr>
        <w:t>”</w:t>
      </w:r>
      <w:r w:rsidRPr="00C1603D">
        <w:t xml:space="preserve"> or </w:t>
      </w:r>
      <w:r w:rsidRPr="00C1603D">
        <w:rPr>
          <w:color w:val="00B0F0"/>
        </w:rPr>
        <w:t>“</w:t>
      </w:r>
      <w:r w:rsidRPr="00C1603D">
        <w:t>a case of</w:t>
      </w:r>
      <w:r w:rsidRPr="00C1603D">
        <w:rPr>
          <w:color w:val="00B0F0"/>
        </w:rPr>
        <w:t>”</w:t>
      </w:r>
      <w:r w:rsidRPr="00C1603D">
        <w:t xml:space="preserve"> or </w:t>
      </w:r>
      <w:r w:rsidRPr="00C1603D">
        <w:rPr>
          <w:color w:val="00B0F0"/>
        </w:rPr>
        <w:t>“</w:t>
      </w:r>
      <w:r w:rsidRPr="00C1603D">
        <w:t>a rare case of</w:t>
      </w:r>
      <w:r w:rsidRPr="00C1603D">
        <w:rPr>
          <w:color w:val="00B0F0"/>
        </w:rPr>
        <w:t>”</w:t>
      </w:r>
      <w:r w:rsidRPr="00C1603D">
        <w:t>)) or (TS</w:t>
      </w:r>
      <w:r w:rsidR="0002034F" w:rsidRPr="00C1603D">
        <w:t>=</w:t>
      </w:r>
      <w:r w:rsidRPr="00C1603D">
        <w:t>((</w:t>
      </w:r>
      <w:r w:rsidRPr="00C1603D">
        <w:rPr>
          <w:color w:val="00B0F0"/>
        </w:rPr>
        <w:t>“</w:t>
      </w:r>
      <w:r w:rsidRPr="00C1603D">
        <w:t>a case of</w:t>
      </w:r>
      <w:r w:rsidRPr="00C1603D">
        <w:rPr>
          <w:color w:val="00B0F0"/>
        </w:rPr>
        <w:t>”</w:t>
      </w:r>
      <w:r w:rsidRPr="00C1603D">
        <w:t xml:space="preserve"> or </w:t>
      </w:r>
      <w:r w:rsidRPr="00C1603D">
        <w:rPr>
          <w:color w:val="00B0F0"/>
        </w:rPr>
        <w:t>“</w:t>
      </w:r>
      <w:r w:rsidRPr="00C1603D">
        <w:t>a rare case of</w:t>
      </w:r>
      <w:r w:rsidRPr="00C1603D">
        <w:rPr>
          <w:color w:val="00B0F0"/>
        </w:rPr>
        <w:t>”</w:t>
      </w:r>
      <w:r w:rsidRPr="00C1603D">
        <w:t>) near (</w:t>
      </w:r>
      <w:proofErr w:type="gramStart"/>
      <w:r w:rsidRPr="00C1603D">
        <w:t>patient or man or woman or child</w:t>
      </w:r>
      <w:proofErr w:type="gramEnd"/>
      <w:r w:rsidRPr="00C1603D">
        <w:t xml:space="preserve"> or adolescent or </w:t>
      </w:r>
      <w:r w:rsidRPr="00C1603D">
        <w:rPr>
          <w:color w:val="00B0F0"/>
        </w:rPr>
        <w:t>“</w:t>
      </w:r>
      <w:r w:rsidRPr="00C1603D">
        <w:t>an adult</w:t>
      </w:r>
      <w:r w:rsidRPr="00C1603D">
        <w:rPr>
          <w:color w:val="00B0F0"/>
        </w:rPr>
        <w:t>”</w:t>
      </w:r>
      <w:r w:rsidRPr="00C1603D">
        <w:t>))) [202,526]</w:t>
      </w:r>
    </w:p>
    <w:p w14:paraId="5EC9EC01" w14:textId="2B656F53" w:rsidR="008B4DF8" w:rsidRPr="00C1603D" w:rsidRDefault="008B4DF8" w:rsidP="008B4DF8">
      <w:pPr>
        <w:pStyle w:val="602TextfoTextstylesTextstyles"/>
      </w:pPr>
      <w:r w:rsidRPr="00C1603D">
        <w:t>#26 (#25 AND #24) [7493]</w:t>
      </w:r>
      <w:r w:rsidR="00A7039D" w:rsidRPr="00C1603D">
        <w:br/>
      </w:r>
      <w:r w:rsidRPr="00C1603D">
        <w:t>Indexes=SCI-EXPANDED, CPCI-S Timespan=1997-2020</w:t>
      </w:r>
    </w:p>
    <w:p w14:paraId="036FD708" w14:textId="2C18554D" w:rsidR="008B4DF8" w:rsidRPr="00C1603D" w:rsidRDefault="008B4DF8" w:rsidP="008B4DF8">
      <w:pPr>
        <w:pStyle w:val="602TextfoTextstylesTextstyles"/>
      </w:pPr>
      <w:r w:rsidRPr="00C1603D">
        <w:lastRenderedPageBreak/>
        <w:t>#25 ((TS</w:t>
      </w:r>
      <w:r w:rsidR="0002034F" w:rsidRPr="00C1603D">
        <w:t>=</w:t>
      </w:r>
      <w:r w:rsidRPr="00C1603D">
        <w:t>(</w:t>
      </w:r>
      <w:proofErr w:type="spellStart"/>
      <w:r w:rsidRPr="00C1603D">
        <w:t>seroepidemiolog</w:t>
      </w:r>
      <w:proofErr w:type="spellEnd"/>
      <w:r w:rsidRPr="00C1603D">
        <w:t xml:space="preserve">* or cohort or </w:t>
      </w:r>
      <w:r w:rsidRPr="00C1603D">
        <w:rPr>
          <w:color w:val="00B0F0"/>
        </w:rPr>
        <w:t>“</w:t>
      </w:r>
      <w:r w:rsidRPr="00C1603D">
        <w:t>case control*</w:t>
      </w:r>
      <w:r w:rsidRPr="00C1603D">
        <w:rPr>
          <w:color w:val="00B0F0"/>
        </w:rPr>
        <w:t>”</w:t>
      </w:r>
      <w:r w:rsidRPr="00C1603D">
        <w:t xml:space="preserve"> or </w:t>
      </w:r>
      <w:r w:rsidRPr="00C1603D">
        <w:rPr>
          <w:color w:val="00B0F0"/>
        </w:rPr>
        <w:t>“</w:t>
      </w:r>
      <w:r w:rsidRPr="00C1603D">
        <w:t>case find*</w:t>
      </w:r>
      <w:r w:rsidRPr="00C1603D">
        <w:rPr>
          <w:color w:val="00B0F0"/>
        </w:rPr>
        <w:t>”</w:t>
      </w:r>
      <w:r w:rsidRPr="00C1603D">
        <w:t xml:space="preserve"> or cross-sectional or longitudinal or </w:t>
      </w:r>
      <w:r w:rsidRPr="00C1603D">
        <w:rPr>
          <w:color w:val="00B0F0"/>
        </w:rPr>
        <w:t>“</w:t>
      </w:r>
      <w:r w:rsidRPr="00C1603D">
        <w:t>population based</w:t>
      </w:r>
      <w:r w:rsidRPr="00C1603D">
        <w:rPr>
          <w:color w:val="00B0F0"/>
        </w:rPr>
        <w:t>”</w:t>
      </w:r>
      <w:r w:rsidRPr="00C1603D">
        <w:t xml:space="preserve"> or prospective* or retrospective*) or TI</w:t>
      </w:r>
      <w:r w:rsidR="0002034F" w:rsidRPr="00C1603D">
        <w:t>=</w:t>
      </w:r>
      <w:r w:rsidRPr="00C1603D">
        <w:t>(study) or TS</w:t>
      </w:r>
      <w:r w:rsidR="0002034F" w:rsidRPr="00C1603D">
        <w:t>=</w:t>
      </w:r>
      <w:r w:rsidRPr="00C1603D">
        <w:t>(study and (</w:t>
      </w:r>
      <w:proofErr w:type="spellStart"/>
      <w:r w:rsidRPr="00C1603D">
        <w:t>analys</w:t>
      </w:r>
      <w:proofErr w:type="spellEnd"/>
      <w:r w:rsidRPr="00C1603D">
        <w:t xml:space="preserve">* or cases or clinical or control* or </w:t>
      </w:r>
      <w:proofErr w:type="spellStart"/>
      <w:r w:rsidRPr="00C1603D">
        <w:t>compar</w:t>
      </w:r>
      <w:proofErr w:type="spellEnd"/>
      <w:r w:rsidRPr="00C1603D">
        <w:t xml:space="preserve">* or </w:t>
      </w:r>
      <w:proofErr w:type="spellStart"/>
      <w:r w:rsidRPr="00C1603D">
        <w:t>correlat</w:t>
      </w:r>
      <w:proofErr w:type="spellEnd"/>
      <w:r w:rsidRPr="00C1603D">
        <w:t xml:space="preserve">* or </w:t>
      </w:r>
      <w:proofErr w:type="spellStart"/>
      <w:r w:rsidRPr="00C1603D">
        <w:t>associat</w:t>
      </w:r>
      <w:proofErr w:type="spellEnd"/>
      <w:r w:rsidRPr="00C1603D">
        <w:t xml:space="preserve">* or </w:t>
      </w:r>
      <w:proofErr w:type="spellStart"/>
      <w:r w:rsidRPr="00C1603D">
        <w:t>epidemiolog</w:t>
      </w:r>
      <w:proofErr w:type="spellEnd"/>
      <w:r w:rsidRPr="00C1603D">
        <w:t xml:space="preserve">* or </w:t>
      </w:r>
      <w:proofErr w:type="spellStart"/>
      <w:r w:rsidRPr="00C1603D">
        <w:t>evaluat</w:t>
      </w:r>
      <w:proofErr w:type="spellEnd"/>
      <w:r w:rsidRPr="00C1603D">
        <w:t xml:space="preserve">* or </w:t>
      </w:r>
      <w:proofErr w:type="spellStart"/>
      <w:r w:rsidRPr="00C1603D">
        <w:t>examin</w:t>
      </w:r>
      <w:proofErr w:type="spellEnd"/>
      <w:r w:rsidRPr="00C1603D">
        <w:t xml:space="preserve">* or </w:t>
      </w:r>
      <w:proofErr w:type="spellStart"/>
      <w:r w:rsidRPr="00C1603D">
        <w:t>investigat</w:t>
      </w:r>
      <w:proofErr w:type="spellEnd"/>
      <w:r w:rsidRPr="00C1603D">
        <w:t xml:space="preserve">* or </w:t>
      </w:r>
      <w:proofErr w:type="spellStart"/>
      <w:r w:rsidRPr="00C1603D">
        <w:t>observ</w:t>
      </w:r>
      <w:proofErr w:type="spellEnd"/>
      <w:r w:rsidRPr="00C1603D">
        <w:t xml:space="preserve">* or population based or </w:t>
      </w:r>
      <w:proofErr w:type="spellStart"/>
      <w:r w:rsidRPr="00C1603D">
        <w:t>prospectiv</w:t>
      </w:r>
      <w:proofErr w:type="spellEnd"/>
      <w:r w:rsidRPr="00C1603D">
        <w:t xml:space="preserve">* or </w:t>
      </w:r>
      <w:proofErr w:type="spellStart"/>
      <w:r w:rsidRPr="00C1603D">
        <w:t>retrospectiv</w:t>
      </w:r>
      <w:proofErr w:type="spellEnd"/>
      <w:r w:rsidRPr="00C1603D">
        <w:t xml:space="preserve">* or </w:t>
      </w:r>
      <w:proofErr w:type="spellStart"/>
      <w:r w:rsidRPr="00C1603D">
        <w:t>serolog</w:t>
      </w:r>
      <w:proofErr w:type="spellEnd"/>
      <w:r w:rsidRPr="00C1603D">
        <w:t>*)) or TS</w:t>
      </w:r>
      <w:r w:rsidR="0002034F" w:rsidRPr="00C1603D">
        <w:t>=</w:t>
      </w:r>
      <w:r w:rsidRPr="00C1603D">
        <w:t>((case or cases) and control*) or TS</w:t>
      </w:r>
      <w:r w:rsidR="0002034F" w:rsidRPr="00C1603D">
        <w:t>=</w:t>
      </w:r>
      <w:r w:rsidRPr="00C1603D">
        <w:t xml:space="preserve">(controls or </w:t>
      </w:r>
      <w:r w:rsidRPr="00C1603D">
        <w:rPr>
          <w:color w:val="00B0F0"/>
        </w:rPr>
        <w:t>“</w:t>
      </w:r>
      <w:r w:rsidRPr="00C1603D">
        <w:t>control* group*</w:t>
      </w:r>
      <w:r w:rsidRPr="00C1603D">
        <w:rPr>
          <w:color w:val="00B0F0"/>
        </w:rPr>
        <w:t>”</w:t>
      </w:r>
      <w:r w:rsidRPr="00C1603D">
        <w:t xml:space="preserve"> or </w:t>
      </w:r>
      <w:r w:rsidRPr="00C1603D">
        <w:rPr>
          <w:color w:val="00B0F0"/>
        </w:rPr>
        <w:t>“</w:t>
      </w:r>
      <w:r w:rsidRPr="00C1603D">
        <w:t>control* participant*</w:t>
      </w:r>
      <w:r w:rsidRPr="00C1603D">
        <w:rPr>
          <w:color w:val="00B0F0"/>
        </w:rPr>
        <w:t>”</w:t>
      </w:r>
      <w:r w:rsidRPr="00C1603D">
        <w:t xml:space="preserve"> or </w:t>
      </w:r>
      <w:r w:rsidRPr="00C1603D">
        <w:rPr>
          <w:color w:val="00B0F0"/>
        </w:rPr>
        <w:t>“</w:t>
      </w:r>
      <w:r w:rsidRPr="00C1603D">
        <w:t>control* patient*</w:t>
      </w:r>
      <w:r w:rsidRPr="00C1603D">
        <w:rPr>
          <w:color w:val="00B0F0"/>
        </w:rPr>
        <w:t>”</w:t>
      </w:r>
      <w:r w:rsidRPr="00C1603D">
        <w:t xml:space="preserve"> or groups or subgroup* or sub-group*) or TS</w:t>
      </w:r>
      <w:r w:rsidR="0002034F" w:rsidRPr="00C1603D">
        <w:t>=</w:t>
      </w:r>
      <w:r w:rsidRPr="00C1603D">
        <w:t>(group* near (</w:t>
      </w:r>
      <w:proofErr w:type="spellStart"/>
      <w:r w:rsidRPr="00C1603D">
        <w:t>analys</w:t>
      </w:r>
      <w:proofErr w:type="spellEnd"/>
      <w:r w:rsidRPr="00C1603D">
        <w:t xml:space="preserve">* or </w:t>
      </w:r>
      <w:proofErr w:type="spellStart"/>
      <w:r w:rsidRPr="00C1603D">
        <w:t>compar</w:t>
      </w:r>
      <w:proofErr w:type="spellEnd"/>
      <w:r w:rsidRPr="00C1603D">
        <w:t xml:space="preserve">* or control* or </w:t>
      </w:r>
      <w:proofErr w:type="spellStart"/>
      <w:r w:rsidRPr="00C1603D">
        <w:t>correlat</w:t>
      </w:r>
      <w:proofErr w:type="spellEnd"/>
      <w:r w:rsidRPr="00C1603D">
        <w:t xml:space="preserve">* or </w:t>
      </w:r>
      <w:proofErr w:type="spellStart"/>
      <w:r w:rsidRPr="00C1603D">
        <w:t>associat</w:t>
      </w:r>
      <w:proofErr w:type="spellEnd"/>
      <w:r w:rsidRPr="00C1603D">
        <w:t>*)) or TS</w:t>
      </w:r>
      <w:r w:rsidR="0002034F" w:rsidRPr="00C1603D">
        <w:t>=</w:t>
      </w:r>
      <w:r w:rsidRPr="00C1603D">
        <w:t>(</w:t>
      </w:r>
      <w:r w:rsidRPr="00C1603D">
        <w:rPr>
          <w:color w:val="00B0F0"/>
        </w:rPr>
        <w:t>“</w:t>
      </w:r>
      <w:r w:rsidRPr="00C1603D">
        <w:t>regression analysis</w:t>
      </w:r>
      <w:r w:rsidRPr="00C1603D">
        <w:rPr>
          <w:color w:val="00B0F0"/>
        </w:rPr>
        <w:t>”</w:t>
      </w:r>
      <w:r w:rsidRPr="00C1603D">
        <w:t xml:space="preserve"> or </w:t>
      </w:r>
      <w:r w:rsidRPr="00C1603D">
        <w:rPr>
          <w:color w:val="00B0F0"/>
        </w:rPr>
        <w:t>“</w:t>
      </w:r>
      <w:r w:rsidRPr="00C1603D">
        <w:t>regression model*</w:t>
      </w:r>
      <w:r w:rsidRPr="00C1603D">
        <w:rPr>
          <w:color w:val="00B0F0"/>
        </w:rPr>
        <w:t>”</w:t>
      </w:r>
      <w:r w:rsidRPr="00C1603D">
        <w:t xml:space="preserve"> or </w:t>
      </w:r>
      <w:r w:rsidRPr="00C1603D">
        <w:rPr>
          <w:color w:val="00B0F0"/>
        </w:rPr>
        <w:t>“</w:t>
      </w:r>
      <w:r w:rsidRPr="00C1603D">
        <w:t>statistical model*</w:t>
      </w:r>
      <w:r w:rsidRPr="00C1603D">
        <w:rPr>
          <w:color w:val="00B0F0"/>
        </w:rPr>
        <w:t>”</w:t>
      </w:r>
      <w:r w:rsidRPr="00C1603D">
        <w:t xml:space="preserve"> or </w:t>
      </w:r>
      <w:r w:rsidRPr="00C1603D">
        <w:rPr>
          <w:color w:val="00B0F0"/>
        </w:rPr>
        <w:t>“</w:t>
      </w:r>
      <w:r w:rsidRPr="00C1603D">
        <w:t>logistic* model*</w:t>
      </w:r>
      <w:r w:rsidRPr="00C1603D">
        <w:rPr>
          <w:color w:val="00B0F0"/>
        </w:rPr>
        <w:t>”</w:t>
      </w:r>
      <w:r w:rsidRPr="00C1603D">
        <w:t>)) NOT (TI</w:t>
      </w:r>
      <w:r w:rsidR="0002034F" w:rsidRPr="00C1603D">
        <w:t>=</w:t>
      </w:r>
      <w:r w:rsidRPr="00C1603D">
        <w:t xml:space="preserve">(rat or rats or mouse or mice or rodent* or animal* or murine or porcine or feline or canine or dog or dogs or cat or cats or pig or pigs or monkey* or macaque* or nonhuman or </w:t>
      </w:r>
      <w:r w:rsidRPr="00C1603D">
        <w:rPr>
          <w:color w:val="00B0F0"/>
        </w:rPr>
        <w:t>“</w:t>
      </w:r>
      <w:r w:rsidRPr="00C1603D">
        <w:t>non human</w:t>
      </w:r>
      <w:r w:rsidRPr="00C1603D">
        <w:rPr>
          <w:color w:val="00B0F0"/>
        </w:rPr>
        <w:t>”</w:t>
      </w:r>
      <w:r w:rsidRPr="00C1603D">
        <w:t>))) [19,956,721</w:t>
      </w:r>
      <w:r w:rsidR="00511201" w:rsidRPr="00C1603D">
        <w:t>]</w:t>
      </w:r>
      <w:r w:rsidR="00511201" w:rsidRPr="00C1603D">
        <w:br/>
      </w:r>
      <w:r w:rsidRPr="00C1603D">
        <w:t>Indexes</w:t>
      </w:r>
      <w:r w:rsidR="0002034F" w:rsidRPr="00C1603D">
        <w:t>=</w:t>
      </w:r>
      <w:r w:rsidRPr="00C1603D">
        <w:t>SCI-EXPANDED, SSCI, A&amp;HCI, CPCI-S, CPCI-SSH, ESCI Timespan</w:t>
      </w:r>
      <w:r w:rsidR="0002034F" w:rsidRPr="00C1603D">
        <w:t>=</w:t>
      </w:r>
      <w:r w:rsidRPr="00C1603D">
        <w:t>1900-2020</w:t>
      </w:r>
    </w:p>
    <w:p w14:paraId="7498FA43" w14:textId="77777777" w:rsidR="008B4DF8" w:rsidRPr="00C1603D" w:rsidRDefault="008B4DF8" w:rsidP="008B4DF8">
      <w:pPr>
        <w:pStyle w:val="602TextfoTextstylesTextstyles"/>
        <w:rPr>
          <w:b/>
          <w:bCs/>
        </w:rPr>
      </w:pPr>
      <w:r w:rsidRPr="00C1603D">
        <w:t>#24 (#23 OR #22 OR #21 OR #8)</w:t>
      </w:r>
      <w:r w:rsidRPr="00C1603D">
        <w:rPr>
          <w:b/>
          <w:bCs/>
        </w:rPr>
        <w:t xml:space="preserve"> </w:t>
      </w:r>
      <w:r w:rsidRPr="00C1603D">
        <w:t>[13,272]</w:t>
      </w:r>
    </w:p>
    <w:p w14:paraId="2BC5CA90" w14:textId="0616E89E" w:rsidR="008B4DF8" w:rsidRPr="00C1603D" w:rsidRDefault="008B4DF8" w:rsidP="008B4DF8">
      <w:pPr>
        <w:pStyle w:val="602TextfoTextstylesTextstyles"/>
      </w:pPr>
      <w:r w:rsidRPr="00C1603D">
        <w:t>#23 (TS</w:t>
      </w:r>
      <w:r w:rsidR="0002034F" w:rsidRPr="00C1603D">
        <w:t>=</w:t>
      </w:r>
      <w:r w:rsidRPr="00C1603D">
        <w:t>((</w:t>
      </w:r>
      <w:r w:rsidRPr="00C1603D">
        <w:rPr>
          <w:color w:val="00B0F0"/>
        </w:rPr>
        <w:t>“</w:t>
      </w:r>
      <w:proofErr w:type="gramStart"/>
      <w:r w:rsidRPr="00C1603D">
        <w:t>high risk</w:t>
      </w:r>
      <w:proofErr w:type="gramEnd"/>
      <w:r w:rsidRPr="00C1603D">
        <w:rPr>
          <w:color w:val="00B0F0"/>
        </w:rPr>
        <w:t>”</w:t>
      </w:r>
      <w:r w:rsidRPr="00C1603D">
        <w:t xml:space="preserve"> or </w:t>
      </w:r>
      <w:r w:rsidRPr="00C1603D">
        <w:rPr>
          <w:color w:val="00B0F0"/>
        </w:rPr>
        <w:t>“</w:t>
      </w:r>
      <w:proofErr w:type="spellStart"/>
      <w:r w:rsidRPr="00C1603D">
        <w:t>famil</w:t>
      </w:r>
      <w:proofErr w:type="spellEnd"/>
      <w:r w:rsidRPr="00C1603D">
        <w:t xml:space="preserve">* </w:t>
      </w:r>
      <w:proofErr w:type="spellStart"/>
      <w:r w:rsidRPr="00C1603D">
        <w:t>histor</w:t>
      </w:r>
      <w:proofErr w:type="spellEnd"/>
      <w:r w:rsidRPr="00C1603D">
        <w:t>*</w:t>
      </w:r>
      <w:r w:rsidRPr="00C1603D">
        <w:rPr>
          <w:color w:val="00B0F0"/>
        </w:rPr>
        <w:t>”</w:t>
      </w:r>
      <w:r w:rsidRPr="00C1603D">
        <w:t xml:space="preserve"> or </w:t>
      </w:r>
      <w:r w:rsidRPr="00C1603D">
        <w:rPr>
          <w:color w:val="00B0F0"/>
        </w:rPr>
        <w:t>“</w:t>
      </w:r>
      <w:r w:rsidRPr="00C1603D">
        <w:t>child* of</w:t>
      </w:r>
      <w:r w:rsidRPr="00C1603D">
        <w:rPr>
          <w:color w:val="00B0F0"/>
        </w:rPr>
        <w:t>”</w:t>
      </w:r>
      <w:r w:rsidRPr="00C1603D">
        <w:t>) near (celiac or coeliac)) or TS</w:t>
      </w:r>
      <w:r w:rsidR="0002034F" w:rsidRPr="00C1603D">
        <w:t>=</w:t>
      </w:r>
      <w:r w:rsidRPr="00C1603D">
        <w:t>(</w:t>
      </w:r>
      <w:r w:rsidRPr="00C1603D">
        <w:rPr>
          <w:color w:val="00B0F0"/>
        </w:rPr>
        <w:t>“</w:t>
      </w:r>
      <w:r w:rsidRPr="00C1603D">
        <w:t>celiac disease test kit</w:t>
      </w:r>
      <w:r w:rsidRPr="00C1603D">
        <w:rPr>
          <w:color w:val="00B0F0"/>
        </w:rPr>
        <w:t>”</w:t>
      </w:r>
      <w:r w:rsidRPr="00C1603D">
        <w:t>)) [233]</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5DF8B148" w14:textId="25821B37" w:rsidR="008B4DF8" w:rsidRPr="00C1603D" w:rsidRDefault="008B4DF8" w:rsidP="008B4DF8">
      <w:pPr>
        <w:pStyle w:val="602TextfoTextstylesTextstyles"/>
      </w:pPr>
      <w:r w:rsidRPr="00C1603D">
        <w:t>#22 (TS</w:t>
      </w:r>
      <w:r w:rsidR="0002034F" w:rsidRPr="00C1603D">
        <w:t>=</w:t>
      </w:r>
      <w:r w:rsidRPr="00C1603D">
        <w:t xml:space="preserve">((double* or dual*) near </w:t>
      </w:r>
      <w:proofErr w:type="spellStart"/>
      <w:r w:rsidRPr="00C1603D">
        <w:t>diagnos</w:t>
      </w:r>
      <w:proofErr w:type="spellEnd"/>
      <w:r w:rsidRPr="00C1603D">
        <w:t>* near (celiac or coeliac))) or (TS</w:t>
      </w:r>
      <w:r w:rsidR="0002034F" w:rsidRPr="00C1603D">
        <w:t>=</w:t>
      </w:r>
      <w:r w:rsidRPr="00C1603D">
        <w:t>(comorbid* near (celiac or coeliac))) [111]</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28B5EF20" w14:textId="77777777" w:rsidR="008B4DF8" w:rsidRPr="00C1603D" w:rsidRDefault="008B4DF8" w:rsidP="008B4DF8">
      <w:pPr>
        <w:pStyle w:val="602TextfoTextstylesTextstyles"/>
      </w:pPr>
      <w:r w:rsidRPr="00C1603D">
        <w:t>#21 (#20 AND #15 AND #1) [12,140]</w:t>
      </w:r>
    </w:p>
    <w:p w14:paraId="66A35B8A" w14:textId="77777777" w:rsidR="008B4DF8" w:rsidRPr="00C1603D" w:rsidRDefault="008B4DF8" w:rsidP="008B4DF8">
      <w:pPr>
        <w:pStyle w:val="602TextfoTextstylesTextstyles"/>
      </w:pPr>
      <w:r w:rsidRPr="00C1603D">
        <w:t>#20 (#19 OR #18 OR #17 OR #16) [18,586]</w:t>
      </w:r>
    </w:p>
    <w:p w14:paraId="23FBB0D3" w14:textId="2DCDB2D1" w:rsidR="008B4DF8" w:rsidRPr="00C1603D" w:rsidRDefault="008B4DF8" w:rsidP="008B4DF8">
      <w:pPr>
        <w:pStyle w:val="602TextfoTextstylesTextstyles"/>
      </w:pPr>
      <w:r w:rsidRPr="00C1603D">
        <w:t>#19 (TS</w:t>
      </w:r>
      <w:r w:rsidR="0002034F" w:rsidRPr="00C1603D">
        <w:t>=</w:t>
      </w:r>
      <w:r w:rsidRPr="00C1603D">
        <w:t>((</w:t>
      </w:r>
      <w:r w:rsidRPr="00C1603D">
        <w:rPr>
          <w:color w:val="00B0F0"/>
        </w:rPr>
        <w:t>“</w:t>
      </w:r>
      <w:r w:rsidRPr="00C1603D">
        <w:t>association* between</w:t>
      </w:r>
      <w:r w:rsidRPr="00C1603D">
        <w:rPr>
          <w:color w:val="00B0F0"/>
        </w:rPr>
        <w:t>”</w:t>
      </w:r>
      <w:r w:rsidRPr="00C1603D">
        <w:t xml:space="preserve"> or </w:t>
      </w:r>
      <w:r w:rsidRPr="00C1603D">
        <w:rPr>
          <w:color w:val="00B0F0"/>
        </w:rPr>
        <w:t>“</w:t>
      </w:r>
      <w:r w:rsidRPr="00C1603D">
        <w:t>relationship between</w:t>
      </w:r>
      <w:r w:rsidRPr="00C1603D">
        <w:rPr>
          <w:color w:val="00B0F0"/>
        </w:rPr>
        <w:t>”</w:t>
      </w:r>
      <w:r w:rsidRPr="00C1603D">
        <w:t>) and (celiac or coeliac))) [1458]</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09BB5384" w14:textId="4751B865" w:rsidR="008B4DF8" w:rsidRPr="00C1603D" w:rsidRDefault="008B4DF8" w:rsidP="008B4DF8">
      <w:pPr>
        <w:pStyle w:val="602TextfoTextstylesTextstyles"/>
      </w:pPr>
      <w:r w:rsidRPr="00C1603D">
        <w:t>#18 ((TS</w:t>
      </w:r>
      <w:r w:rsidR="0002034F" w:rsidRPr="00C1603D">
        <w:t>=</w:t>
      </w:r>
      <w:r w:rsidRPr="00C1603D">
        <w:t xml:space="preserve">((association* or associated or indicator* or indicated or predict*) near (risk* or symptom* or disease* or disorder* or </w:t>
      </w:r>
      <w:proofErr w:type="spellStart"/>
      <w:r w:rsidRPr="00C1603D">
        <w:t>histor</w:t>
      </w:r>
      <w:proofErr w:type="spellEnd"/>
      <w:r w:rsidRPr="00C1603D">
        <w:t>*))) and (TS</w:t>
      </w:r>
      <w:r w:rsidR="0002034F" w:rsidRPr="00C1603D">
        <w:t>=</w:t>
      </w:r>
      <w:r w:rsidRPr="00C1603D">
        <w:t>(celiac or coeliac))) [5833]</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727F9FA7" w14:textId="7D78B8F1" w:rsidR="008B4DF8" w:rsidRPr="00C1603D" w:rsidRDefault="008B4DF8" w:rsidP="008B4DF8">
      <w:pPr>
        <w:pStyle w:val="602TextfoTextstylesTextstyles"/>
      </w:pPr>
      <w:r w:rsidRPr="00C1603D">
        <w:t>#17 (TS</w:t>
      </w:r>
      <w:r w:rsidR="0002034F" w:rsidRPr="00C1603D">
        <w:t>=</w:t>
      </w:r>
      <w:r w:rsidRPr="00C1603D">
        <w:t>((celiac or coeliac) and (</w:t>
      </w:r>
      <w:r w:rsidRPr="00C1603D">
        <w:rPr>
          <w:color w:val="00B0F0"/>
        </w:rPr>
        <w:t>“</w:t>
      </w:r>
      <w:r w:rsidRPr="00C1603D">
        <w:t>detect* CD</w:t>
      </w:r>
      <w:r w:rsidRPr="00C1603D">
        <w:rPr>
          <w:color w:val="00B0F0"/>
        </w:rPr>
        <w:t>”</w:t>
      </w:r>
      <w:r w:rsidRPr="00C1603D">
        <w:t xml:space="preserve"> or </w:t>
      </w:r>
      <w:r w:rsidRPr="00C1603D">
        <w:rPr>
          <w:color w:val="00B0F0"/>
        </w:rPr>
        <w:t>“</w:t>
      </w:r>
      <w:r w:rsidRPr="00C1603D">
        <w:t>CD detect*</w:t>
      </w:r>
      <w:r w:rsidRPr="00C1603D">
        <w:rPr>
          <w:color w:val="00B0F0"/>
        </w:rPr>
        <w:t>”</w:t>
      </w:r>
      <w:r w:rsidRPr="00C1603D">
        <w:t xml:space="preserve"> or </w:t>
      </w:r>
      <w:r w:rsidRPr="00C1603D">
        <w:rPr>
          <w:color w:val="00B0F0"/>
        </w:rPr>
        <w:t>“</w:t>
      </w:r>
      <w:r w:rsidRPr="00C1603D">
        <w:t>detect* of CD</w:t>
      </w:r>
      <w:r w:rsidRPr="00C1603D">
        <w:rPr>
          <w:color w:val="00B0F0"/>
        </w:rPr>
        <w:t>”</w:t>
      </w:r>
      <w:r w:rsidRPr="00C1603D">
        <w:t xml:space="preserve"> or </w:t>
      </w:r>
      <w:r w:rsidRPr="00C1603D">
        <w:rPr>
          <w:color w:val="00B0F0"/>
        </w:rPr>
        <w:t>“</w:t>
      </w:r>
      <w:r w:rsidRPr="00C1603D">
        <w:t>detect* with CD</w:t>
      </w:r>
      <w:r w:rsidRPr="00C1603D">
        <w:rPr>
          <w:color w:val="00B0F0"/>
        </w:rPr>
        <w:t>”</w:t>
      </w:r>
      <w:r w:rsidRPr="00C1603D">
        <w:t xml:space="preserve"> or </w:t>
      </w:r>
      <w:r w:rsidRPr="00C1603D">
        <w:rPr>
          <w:color w:val="00B0F0"/>
        </w:rPr>
        <w:t>“</w:t>
      </w:r>
      <w:proofErr w:type="spellStart"/>
      <w:r w:rsidRPr="00C1603D">
        <w:t>diagnos</w:t>
      </w:r>
      <w:proofErr w:type="spellEnd"/>
      <w:r w:rsidRPr="00C1603D">
        <w:t>* CD</w:t>
      </w:r>
      <w:r w:rsidRPr="00C1603D">
        <w:rPr>
          <w:color w:val="00B0F0"/>
        </w:rPr>
        <w:t>”</w:t>
      </w:r>
      <w:r w:rsidRPr="00C1603D">
        <w:t xml:space="preserve"> or </w:t>
      </w:r>
      <w:r w:rsidRPr="00C1603D">
        <w:rPr>
          <w:color w:val="00B0F0"/>
        </w:rPr>
        <w:t>“</w:t>
      </w:r>
      <w:r w:rsidRPr="00C1603D">
        <w:t xml:space="preserve">CD </w:t>
      </w:r>
      <w:proofErr w:type="spellStart"/>
      <w:r w:rsidRPr="00C1603D">
        <w:t>diagnos</w:t>
      </w:r>
      <w:proofErr w:type="spellEnd"/>
      <w:r w:rsidRPr="00C1603D">
        <w:t>*</w:t>
      </w:r>
      <w:r w:rsidRPr="00C1603D">
        <w:rPr>
          <w:color w:val="00B0F0"/>
        </w:rPr>
        <w:t>”</w:t>
      </w:r>
      <w:r w:rsidRPr="00C1603D">
        <w:t xml:space="preserve"> or </w:t>
      </w:r>
      <w:r w:rsidRPr="00C1603D">
        <w:rPr>
          <w:color w:val="00B0F0"/>
        </w:rPr>
        <w:t>“</w:t>
      </w:r>
      <w:proofErr w:type="spellStart"/>
      <w:r w:rsidRPr="00C1603D">
        <w:t>diagnos</w:t>
      </w:r>
      <w:proofErr w:type="spellEnd"/>
      <w:r w:rsidRPr="00C1603D">
        <w:t>* of CD</w:t>
      </w:r>
      <w:r w:rsidRPr="00C1603D">
        <w:rPr>
          <w:color w:val="00B0F0"/>
        </w:rPr>
        <w:t>”</w:t>
      </w:r>
      <w:r w:rsidRPr="00C1603D">
        <w:t xml:space="preserve"> or </w:t>
      </w:r>
      <w:r w:rsidRPr="00C1603D">
        <w:rPr>
          <w:color w:val="00B0F0"/>
        </w:rPr>
        <w:t>“</w:t>
      </w:r>
      <w:proofErr w:type="spellStart"/>
      <w:r w:rsidRPr="00C1603D">
        <w:t>diagnos</w:t>
      </w:r>
      <w:proofErr w:type="spellEnd"/>
      <w:r w:rsidRPr="00C1603D">
        <w:t>* with CD</w:t>
      </w:r>
      <w:r w:rsidRPr="00C1603D">
        <w:rPr>
          <w:color w:val="00B0F0"/>
        </w:rPr>
        <w:t>”</w:t>
      </w:r>
      <w:r w:rsidRPr="00C1603D">
        <w:t xml:space="preserve"> or </w:t>
      </w:r>
      <w:r w:rsidRPr="00C1603D">
        <w:rPr>
          <w:color w:val="00B0F0"/>
        </w:rPr>
        <w:t>“</w:t>
      </w:r>
      <w:r w:rsidRPr="00C1603D">
        <w:t>predict* CD</w:t>
      </w:r>
      <w:r w:rsidRPr="00C1603D">
        <w:rPr>
          <w:color w:val="00B0F0"/>
        </w:rPr>
        <w:t>”</w:t>
      </w:r>
      <w:r w:rsidRPr="00C1603D">
        <w:t xml:space="preserve"> or </w:t>
      </w:r>
      <w:r w:rsidRPr="00C1603D">
        <w:rPr>
          <w:color w:val="00B0F0"/>
        </w:rPr>
        <w:t>“</w:t>
      </w:r>
      <w:r w:rsidRPr="00C1603D">
        <w:t>CD predict*</w:t>
      </w:r>
      <w:r w:rsidRPr="00C1603D">
        <w:rPr>
          <w:color w:val="00B0F0"/>
        </w:rPr>
        <w:t>”</w:t>
      </w:r>
      <w:r w:rsidRPr="00C1603D">
        <w:t xml:space="preserve"> or </w:t>
      </w:r>
      <w:r w:rsidRPr="00C1603D">
        <w:rPr>
          <w:color w:val="00B0F0"/>
        </w:rPr>
        <w:t>“</w:t>
      </w:r>
      <w:r w:rsidRPr="00C1603D">
        <w:t>predict* of CD</w:t>
      </w:r>
      <w:r w:rsidRPr="00C1603D">
        <w:rPr>
          <w:color w:val="00B0F0"/>
        </w:rPr>
        <w:t>”</w:t>
      </w:r>
      <w:r w:rsidRPr="00C1603D">
        <w:t xml:space="preserve"> or </w:t>
      </w:r>
      <w:r w:rsidRPr="00C1603D">
        <w:rPr>
          <w:color w:val="00B0F0"/>
        </w:rPr>
        <w:t>“</w:t>
      </w:r>
      <w:r w:rsidRPr="00C1603D">
        <w:t>predict* with CD</w:t>
      </w:r>
      <w:r w:rsidRPr="00C1603D">
        <w:rPr>
          <w:color w:val="00B0F0"/>
        </w:rPr>
        <w:t>”</w:t>
      </w:r>
      <w:r w:rsidRPr="00C1603D">
        <w:t xml:space="preserve"> or </w:t>
      </w:r>
      <w:r w:rsidRPr="00C1603D">
        <w:rPr>
          <w:color w:val="00B0F0"/>
        </w:rPr>
        <w:t>“</w:t>
      </w:r>
      <w:proofErr w:type="spellStart"/>
      <w:r w:rsidRPr="00C1603D">
        <w:t>inciden</w:t>
      </w:r>
      <w:proofErr w:type="spellEnd"/>
      <w:r w:rsidRPr="00C1603D">
        <w:t>* CD</w:t>
      </w:r>
      <w:r w:rsidRPr="00C1603D">
        <w:rPr>
          <w:color w:val="00B0F0"/>
        </w:rPr>
        <w:t>”</w:t>
      </w:r>
      <w:r w:rsidRPr="00C1603D">
        <w:t xml:space="preserve"> or </w:t>
      </w:r>
      <w:r w:rsidRPr="00C1603D">
        <w:rPr>
          <w:color w:val="00B0F0"/>
        </w:rPr>
        <w:t>“</w:t>
      </w:r>
      <w:r w:rsidRPr="00C1603D">
        <w:t xml:space="preserve">CD </w:t>
      </w:r>
      <w:proofErr w:type="spellStart"/>
      <w:r w:rsidRPr="00C1603D">
        <w:t>inciden</w:t>
      </w:r>
      <w:proofErr w:type="spellEnd"/>
      <w:r w:rsidRPr="00C1603D">
        <w:t>*</w:t>
      </w:r>
      <w:r w:rsidRPr="00C1603D">
        <w:rPr>
          <w:color w:val="00B0F0"/>
        </w:rPr>
        <w:t>”</w:t>
      </w:r>
      <w:r w:rsidRPr="00C1603D">
        <w:t xml:space="preserve"> or </w:t>
      </w:r>
      <w:r w:rsidRPr="00C1603D">
        <w:rPr>
          <w:color w:val="00B0F0"/>
        </w:rPr>
        <w:t>“</w:t>
      </w:r>
      <w:proofErr w:type="spellStart"/>
      <w:r w:rsidRPr="00C1603D">
        <w:t>inciden</w:t>
      </w:r>
      <w:proofErr w:type="spellEnd"/>
      <w:r w:rsidRPr="00C1603D">
        <w:t>* of CD</w:t>
      </w:r>
      <w:r w:rsidRPr="00C1603D">
        <w:rPr>
          <w:color w:val="00B0F0"/>
        </w:rPr>
        <w:t>”</w:t>
      </w:r>
      <w:r w:rsidRPr="00C1603D">
        <w:t xml:space="preserve"> or </w:t>
      </w:r>
      <w:r w:rsidRPr="00C1603D">
        <w:rPr>
          <w:color w:val="00B0F0"/>
        </w:rPr>
        <w:t>“</w:t>
      </w:r>
      <w:proofErr w:type="spellStart"/>
      <w:r w:rsidRPr="00C1603D">
        <w:t>inciden</w:t>
      </w:r>
      <w:proofErr w:type="spellEnd"/>
      <w:r w:rsidRPr="00C1603D">
        <w:t>* with CD</w:t>
      </w:r>
      <w:r w:rsidRPr="00C1603D">
        <w:rPr>
          <w:color w:val="00B0F0"/>
        </w:rPr>
        <w:t>”</w:t>
      </w:r>
      <w:r w:rsidRPr="00C1603D">
        <w:t xml:space="preserve"> or </w:t>
      </w:r>
      <w:r w:rsidRPr="00C1603D">
        <w:rPr>
          <w:color w:val="00B0F0"/>
        </w:rPr>
        <w:t>“</w:t>
      </w:r>
      <w:proofErr w:type="spellStart"/>
      <w:r w:rsidRPr="00C1603D">
        <w:t>prevalen</w:t>
      </w:r>
      <w:proofErr w:type="spellEnd"/>
      <w:r w:rsidRPr="00C1603D">
        <w:t>* CD</w:t>
      </w:r>
      <w:r w:rsidRPr="00C1603D">
        <w:rPr>
          <w:color w:val="00B0F0"/>
        </w:rPr>
        <w:t>”</w:t>
      </w:r>
      <w:r w:rsidRPr="00C1603D">
        <w:t xml:space="preserve"> or </w:t>
      </w:r>
      <w:r w:rsidRPr="00C1603D">
        <w:rPr>
          <w:color w:val="00B0F0"/>
        </w:rPr>
        <w:t>“</w:t>
      </w:r>
      <w:r w:rsidRPr="00C1603D">
        <w:t xml:space="preserve">CD </w:t>
      </w:r>
      <w:proofErr w:type="spellStart"/>
      <w:r w:rsidRPr="00C1603D">
        <w:t>prevalen</w:t>
      </w:r>
      <w:proofErr w:type="spellEnd"/>
      <w:r w:rsidRPr="00C1603D">
        <w:t>*</w:t>
      </w:r>
      <w:r w:rsidRPr="00C1603D">
        <w:rPr>
          <w:color w:val="00B0F0"/>
        </w:rPr>
        <w:t>”</w:t>
      </w:r>
      <w:r w:rsidRPr="00C1603D">
        <w:t xml:space="preserve"> or </w:t>
      </w:r>
      <w:r w:rsidRPr="00C1603D">
        <w:rPr>
          <w:color w:val="00B0F0"/>
        </w:rPr>
        <w:t>“</w:t>
      </w:r>
      <w:proofErr w:type="spellStart"/>
      <w:r w:rsidRPr="00C1603D">
        <w:t>prevalen</w:t>
      </w:r>
      <w:proofErr w:type="spellEnd"/>
      <w:r w:rsidRPr="00C1603D">
        <w:t>* of CD</w:t>
      </w:r>
      <w:r w:rsidRPr="00C1603D">
        <w:rPr>
          <w:color w:val="00B0F0"/>
        </w:rPr>
        <w:t>”</w:t>
      </w:r>
      <w:r w:rsidRPr="00C1603D">
        <w:t xml:space="preserve"> or </w:t>
      </w:r>
      <w:r w:rsidRPr="00C1603D">
        <w:rPr>
          <w:color w:val="00B0F0"/>
        </w:rPr>
        <w:t>“</w:t>
      </w:r>
      <w:r w:rsidRPr="00C1603D">
        <w:t xml:space="preserve"> </w:t>
      </w:r>
      <w:proofErr w:type="spellStart"/>
      <w:r w:rsidRPr="00C1603D">
        <w:t>prevalen</w:t>
      </w:r>
      <w:proofErr w:type="spellEnd"/>
      <w:r w:rsidRPr="00C1603D">
        <w:t>* with CD</w:t>
      </w:r>
      <w:r w:rsidRPr="00C1603D">
        <w:rPr>
          <w:color w:val="00B0F0"/>
        </w:rPr>
        <w:t>”</w:t>
      </w:r>
      <w:r w:rsidRPr="00C1603D">
        <w:t xml:space="preserve"> or </w:t>
      </w:r>
      <w:r w:rsidRPr="00C1603D">
        <w:rPr>
          <w:color w:val="00B0F0"/>
        </w:rPr>
        <w:t>“</w:t>
      </w:r>
      <w:proofErr w:type="spellStart"/>
      <w:r w:rsidRPr="00C1603D">
        <w:t>seroprevalen</w:t>
      </w:r>
      <w:proofErr w:type="spellEnd"/>
      <w:r w:rsidRPr="00C1603D">
        <w:t>* CD</w:t>
      </w:r>
      <w:r w:rsidRPr="00C1603D">
        <w:rPr>
          <w:color w:val="00B0F0"/>
        </w:rPr>
        <w:t>”</w:t>
      </w:r>
      <w:r w:rsidRPr="00C1603D">
        <w:t xml:space="preserve"> or </w:t>
      </w:r>
      <w:r w:rsidRPr="00C1603D">
        <w:rPr>
          <w:color w:val="00B0F0"/>
        </w:rPr>
        <w:t>“</w:t>
      </w:r>
      <w:r w:rsidRPr="00C1603D">
        <w:t xml:space="preserve">CD </w:t>
      </w:r>
      <w:proofErr w:type="spellStart"/>
      <w:r w:rsidRPr="00C1603D">
        <w:t>seroprevalen</w:t>
      </w:r>
      <w:proofErr w:type="spellEnd"/>
      <w:r w:rsidRPr="00C1603D">
        <w:t>*</w:t>
      </w:r>
      <w:r w:rsidRPr="00C1603D">
        <w:rPr>
          <w:color w:val="00B0F0"/>
        </w:rPr>
        <w:t>”</w:t>
      </w:r>
      <w:r w:rsidRPr="00C1603D">
        <w:t xml:space="preserve"> or </w:t>
      </w:r>
      <w:r w:rsidRPr="00C1603D">
        <w:rPr>
          <w:color w:val="00B0F0"/>
        </w:rPr>
        <w:t>“</w:t>
      </w:r>
      <w:proofErr w:type="spellStart"/>
      <w:r w:rsidRPr="00C1603D">
        <w:t>seroprevalen</w:t>
      </w:r>
      <w:proofErr w:type="spellEnd"/>
      <w:r w:rsidRPr="00C1603D">
        <w:t>* of CD</w:t>
      </w:r>
      <w:r w:rsidRPr="00C1603D">
        <w:rPr>
          <w:color w:val="00B0F0"/>
        </w:rPr>
        <w:t>”</w:t>
      </w:r>
      <w:r w:rsidRPr="00C1603D">
        <w:t xml:space="preserve"> or </w:t>
      </w:r>
      <w:r w:rsidRPr="00C1603D">
        <w:rPr>
          <w:color w:val="00B0F0"/>
        </w:rPr>
        <w:t>“</w:t>
      </w:r>
      <w:proofErr w:type="spellStart"/>
      <w:r w:rsidRPr="00C1603D">
        <w:t>seroprevalen</w:t>
      </w:r>
      <w:proofErr w:type="spellEnd"/>
      <w:r w:rsidRPr="00C1603D">
        <w:t>* with CD</w:t>
      </w:r>
      <w:r w:rsidRPr="00C1603D">
        <w:rPr>
          <w:color w:val="00B0F0"/>
        </w:rPr>
        <w:t>”</w:t>
      </w:r>
      <w:r w:rsidRPr="00C1603D">
        <w:t xml:space="preserve"> or </w:t>
      </w:r>
      <w:r w:rsidRPr="00C1603D">
        <w:rPr>
          <w:color w:val="00B0F0"/>
        </w:rPr>
        <w:t>“</w:t>
      </w:r>
      <w:r w:rsidRPr="00C1603D">
        <w:t>CD risk*</w:t>
      </w:r>
      <w:r w:rsidRPr="00C1603D">
        <w:rPr>
          <w:color w:val="00B0F0"/>
        </w:rPr>
        <w:t>”</w:t>
      </w:r>
      <w:r w:rsidRPr="00C1603D">
        <w:t xml:space="preserve"> or </w:t>
      </w:r>
      <w:r w:rsidRPr="00C1603D">
        <w:rPr>
          <w:color w:val="00B0F0"/>
        </w:rPr>
        <w:t>“</w:t>
      </w:r>
      <w:r w:rsidRPr="00C1603D">
        <w:t>risk* of CD</w:t>
      </w:r>
      <w:r w:rsidRPr="00C1603D">
        <w:rPr>
          <w:color w:val="00B0F0"/>
        </w:rPr>
        <w:t>”</w:t>
      </w:r>
      <w:r w:rsidRPr="00C1603D">
        <w:t xml:space="preserve"> or </w:t>
      </w:r>
      <w:r w:rsidRPr="00C1603D">
        <w:rPr>
          <w:color w:val="00B0F0"/>
        </w:rPr>
        <w:t>“</w:t>
      </w:r>
      <w:r w:rsidRPr="00C1603D">
        <w:t>risk* for CD</w:t>
      </w:r>
      <w:r w:rsidRPr="00C1603D">
        <w:rPr>
          <w:color w:val="00B0F0"/>
        </w:rPr>
        <w:t>”</w:t>
      </w:r>
      <w:r w:rsidRPr="00C1603D">
        <w:t xml:space="preserve"> or </w:t>
      </w:r>
      <w:r w:rsidRPr="00C1603D">
        <w:rPr>
          <w:color w:val="00B0F0"/>
        </w:rPr>
        <w:t>“</w:t>
      </w:r>
      <w:r w:rsidRPr="00C1603D">
        <w:t>risk* factor* of CD</w:t>
      </w:r>
      <w:r w:rsidRPr="00C1603D">
        <w:rPr>
          <w:color w:val="00B0F0"/>
        </w:rPr>
        <w:t>”</w:t>
      </w:r>
      <w:r w:rsidRPr="00C1603D">
        <w:t xml:space="preserve"> or </w:t>
      </w:r>
      <w:r w:rsidRPr="00C1603D">
        <w:rPr>
          <w:color w:val="00B0F0"/>
        </w:rPr>
        <w:t>“</w:t>
      </w:r>
      <w:r w:rsidRPr="00C1603D">
        <w:t>risk factor* for CD</w:t>
      </w:r>
      <w:r w:rsidRPr="00C1603D">
        <w:rPr>
          <w:color w:val="00B0F0"/>
        </w:rPr>
        <w:t>”</w:t>
      </w:r>
      <w:r w:rsidRPr="00C1603D">
        <w:t xml:space="preserve"> or </w:t>
      </w:r>
      <w:r w:rsidRPr="00C1603D">
        <w:rPr>
          <w:color w:val="00B0F0"/>
        </w:rPr>
        <w:t>“</w:t>
      </w:r>
      <w:r w:rsidRPr="00C1603D">
        <w:t>CD screen*</w:t>
      </w:r>
      <w:r w:rsidRPr="00C1603D">
        <w:rPr>
          <w:color w:val="00B0F0"/>
        </w:rPr>
        <w:t>”</w:t>
      </w:r>
      <w:r w:rsidRPr="00C1603D">
        <w:t xml:space="preserve"> or </w:t>
      </w:r>
      <w:r w:rsidRPr="00C1603D">
        <w:rPr>
          <w:color w:val="00B0F0"/>
        </w:rPr>
        <w:t>“</w:t>
      </w:r>
      <w:r w:rsidRPr="00C1603D">
        <w:t>screen* for CD</w:t>
      </w:r>
      <w:r w:rsidRPr="00C1603D">
        <w:rPr>
          <w:color w:val="00B0F0"/>
        </w:rPr>
        <w:t>”</w:t>
      </w:r>
      <w:r w:rsidRPr="00C1603D">
        <w:t xml:space="preserve"> or </w:t>
      </w:r>
      <w:r w:rsidRPr="00C1603D">
        <w:rPr>
          <w:color w:val="00B0F0"/>
        </w:rPr>
        <w:t>“</w:t>
      </w:r>
      <w:r w:rsidRPr="00C1603D">
        <w:t>CD test*</w:t>
      </w:r>
      <w:r w:rsidRPr="00C1603D">
        <w:rPr>
          <w:color w:val="00B0F0"/>
        </w:rPr>
        <w:t>”</w:t>
      </w:r>
      <w:r w:rsidRPr="00C1603D">
        <w:t xml:space="preserve"> or </w:t>
      </w:r>
      <w:r w:rsidRPr="00C1603D">
        <w:rPr>
          <w:color w:val="00B0F0"/>
        </w:rPr>
        <w:t>“</w:t>
      </w:r>
      <w:r w:rsidRPr="00C1603D">
        <w:t>test* for CD</w:t>
      </w:r>
      <w:r w:rsidRPr="00C1603D">
        <w:rPr>
          <w:color w:val="00B0F0"/>
        </w:rPr>
        <w:t>”</w:t>
      </w:r>
      <w:r w:rsidRPr="00C1603D">
        <w:t>))) [1489]</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251CCC6B" w14:textId="2FBC5836" w:rsidR="008B4DF8" w:rsidRPr="00C1603D" w:rsidRDefault="008B4DF8" w:rsidP="008B4DF8">
      <w:pPr>
        <w:pStyle w:val="602TextfoTextstylesTextstyles"/>
      </w:pPr>
      <w:r w:rsidRPr="00C1603D">
        <w:t>#16 (TS</w:t>
      </w:r>
      <w:r w:rsidR="0002034F" w:rsidRPr="00C1603D">
        <w:t>=</w:t>
      </w:r>
      <w:r w:rsidRPr="00C1603D">
        <w:t>((</w:t>
      </w:r>
      <w:r w:rsidRPr="00C1603D">
        <w:rPr>
          <w:color w:val="00B0F0"/>
        </w:rPr>
        <w:t>“</w:t>
      </w:r>
      <w:r w:rsidRPr="00C1603D">
        <w:t>case finding</w:t>
      </w:r>
      <w:r w:rsidRPr="00C1603D">
        <w:rPr>
          <w:color w:val="00B0F0"/>
        </w:rPr>
        <w:t>”</w:t>
      </w:r>
      <w:r w:rsidRPr="00C1603D">
        <w:t xml:space="preserve"> or detect* or </w:t>
      </w:r>
      <w:proofErr w:type="spellStart"/>
      <w:r w:rsidRPr="00C1603D">
        <w:t>diagnos</w:t>
      </w:r>
      <w:proofErr w:type="spellEnd"/>
      <w:r w:rsidRPr="00C1603D">
        <w:t xml:space="preserve">* or predict* or incidence or prevalence or seroprevalence* or risk or </w:t>
      </w:r>
      <w:r w:rsidRPr="00C1603D">
        <w:rPr>
          <w:color w:val="00B0F0"/>
        </w:rPr>
        <w:t>“</w:t>
      </w:r>
      <w:r w:rsidRPr="00C1603D">
        <w:t>risk factor*</w:t>
      </w:r>
      <w:r w:rsidRPr="00C1603D">
        <w:rPr>
          <w:color w:val="00B0F0"/>
        </w:rPr>
        <w:t>”</w:t>
      </w:r>
      <w:r w:rsidRPr="00C1603D">
        <w:t xml:space="preserve"> or </w:t>
      </w:r>
      <w:r w:rsidRPr="00C1603D">
        <w:rPr>
          <w:color w:val="00B0F0"/>
        </w:rPr>
        <w:t>“</w:t>
      </w:r>
      <w:r w:rsidRPr="00C1603D">
        <w:t>risk indicator*</w:t>
      </w:r>
      <w:r w:rsidRPr="00C1603D">
        <w:rPr>
          <w:color w:val="00B0F0"/>
        </w:rPr>
        <w:t>”</w:t>
      </w:r>
      <w:r w:rsidRPr="00C1603D">
        <w:t xml:space="preserve"> or screen* or test*) and (celiac* or coeliac*))) [17,056]</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5CDAFD5C" w14:textId="77777777" w:rsidR="008B4DF8" w:rsidRPr="00C1603D" w:rsidRDefault="008B4DF8" w:rsidP="008B4DF8">
      <w:pPr>
        <w:pStyle w:val="602TextfoTextstylesTextstyles"/>
      </w:pPr>
      <w:r w:rsidRPr="00C1603D">
        <w:t>#15 (#14 OR #13 OR #12 OR #11 OR #10 OR #9) [14,174,134]</w:t>
      </w:r>
    </w:p>
    <w:p w14:paraId="5836A01E" w14:textId="38E3D285" w:rsidR="008B4DF8" w:rsidRPr="00C1603D" w:rsidRDefault="008B4DF8" w:rsidP="008B4DF8">
      <w:pPr>
        <w:pStyle w:val="602TextfoTextstylesTextstyles"/>
        <w:rPr>
          <w:lang w:val="it-IT"/>
        </w:rPr>
      </w:pPr>
      <w:r w:rsidRPr="00C1603D">
        <w:rPr>
          <w:lang w:val="it-IT"/>
        </w:rPr>
        <w:t>#14 (TI</w:t>
      </w:r>
      <w:r w:rsidR="0002034F" w:rsidRPr="00C1603D">
        <w:rPr>
          <w:lang w:val="it-IT"/>
        </w:rPr>
        <w:t>=</w:t>
      </w:r>
      <w:r w:rsidRPr="00C1603D">
        <w:rPr>
          <w:lang w:val="it-IT"/>
        </w:rPr>
        <w:t>(manifestation*)) [51,353]</w:t>
      </w:r>
      <w:r w:rsidR="008F70A1" w:rsidRPr="00C1603D">
        <w:rPr>
          <w:lang w:val="it-IT"/>
        </w:rPr>
        <w:br/>
      </w:r>
      <w:r w:rsidRPr="00C1603D">
        <w:rPr>
          <w:lang w:val="it-IT"/>
        </w:rPr>
        <w:t>Indexes</w:t>
      </w:r>
      <w:r w:rsidR="0002034F" w:rsidRPr="00C1603D">
        <w:rPr>
          <w:lang w:val="it-IT"/>
        </w:rPr>
        <w:t>=</w:t>
      </w:r>
      <w:r w:rsidRPr="00C1603D">
        <w:rPr>
          <w:lang w:val="it-IT"/>
        </w:rPr>
        <w:t>SCI-EXPANDED, SSCI, A&amp;HCI, CPCI-S, CPCI-SSH, ESCI Timespan</w:t>
      </w:r>
      <w:r w:rsidR="0002034F" w:rsidRPr="00C1603D">
        <w:rPr>
          <w:lang w:val="it-IT"/>
        </w:rPr>
        <w:t>=</w:t>
      </w:r>
      <w:r w:rsidRPr="00C1603D">
        <w:rPr>
          <w:lang w:val="it-IT"/>
        </w:rPr>
        <w:t>1900-2020</w:t>
      </w:r>
    </w:p>
    <w:p w14:paraId="42A975BE" w14:textId="5C7BD263" w:rsidR="008B4DF8" w:rsidRPr="00C1603D" w:rsidRDefault="008B4DF8" w:rsidP="008B4DF8">
      <w:pPr>
        <w:pStyle w:val="602TextfoTextstylesTextstyles"/>
      </w:pPr>
      <w:r w:rsidRPr="00C1603D">
        <w:t>#13 (TS</w:t>
      </w:r>
      <w:r w:rsidR="0002034F" w:rsidRPr="00C1603D">
        <w:t>=</w:t>
      </w:r>
      <w:r w:rsidRPr="00C1603D">
        <w:t>(</w:t>
      </w:r>
      <w:r w:rsidRPr="00C1603D">
        <w:rPr>
          <w:color w:val="00B0F0"/>
        </w:rPr>
        <w:t>“</w:t>
      </w:r>
      <w:r w:rsidRPr="00C1603D">
        <w:t>first degree</w:t>
      </w:r>
      <w:r w:rsidRPr="00C1603D">
        <w:rPr>
          <w:color w:val="00B0F0"/>
        </w:rPr>
        <w:t>”</w:t>
      </w:r>
      <w:r w:rsidRPr="00C1603D">
        <w:t xml:space="preserve"> near (related or relative* or relation*))) [11,114]</w:t>
      </w:r>
      <w:r w:rsidR="008F70A1" w:rsidRPr="00C1603D">
        <w:br/>
      </w:r>
      <w:r w:rsidRPr="00C1603D">
        <w:lastRenderedPageBreak/>
        <w:t>Indexes</w:t>
      </w:r>
      <w:r w:rsidR="0002034F" w:rsidRPr="00C1603D">
        <w:t>=</w:t>
      </w:r>
      <w:r w:rsidRPr="00C1603D">
        <w:t>SCI-EXPANDED, SSCI, A&amp;HCI, CPCI-S, CPCI-SSH, ESCI Timespan</w:t>
      </w:r>
      <w:r w:rsidR="0002034F" w:rsidRPr="00C1603D">
        <w:t>=</w:t>
      </w:r>
      <w:r w:rsidRPr="00C1603D">
        <w:t>1900-2020</w:t>
      </w:r>
    </w:p>
    <w:p w14:paraId="7A16C180" w14:textId="45E64077" w:rsidR="008B4DF8" w:rsidRPr="00C1603D" w:rsidRDefault="008B4DF8" w:rsidP="008B4DF8">
      <w:pPr>
        <w:pStyle w:val="602TextfoTextstylesTextstyles"/>
      </w:pPr>
      <w:r w:rsidRPr="00C1603D">
        <w:t>#12 (TS</w:t>
      </w:r>
      <w:r w:rsidR="0002034F" w:rsidRPr="00C1603D">
        <w:t>=</w:t>
      </w:r>
      <w:r w:rsidRPr="00C1603D">
        <w:t>(</w:t>
      </w:r>
      <w:r w:rsidRPr="00C1603D">
        <w:rPr>
          <w:color w:val="00B0F0"/>
        </w:rPr>
        <w:t>“</w:t>
      </w:r>
      <w:r w:rsidRPr="00C1603D">
        <w:t>medical* morbid*</w:t>
      </w:r>
      <w:r w:rsidRPr="00C1603D">
        <w:rPr>
          <w:color w:val="00B0F0"/>
        </w:rPr>
        <w:t>”</w:t>
      </w:r>
      <w:r w:rsidRPr="00C1603D">
        <w:t xml:space="preserve"> or (medical* near (comorbid* or co-morbid*)) or multimorbid* or </w:t>
      </w:r>
      <w:r w:rsidRPr="00C1603D">
        <w:rPr>
          <w:color w:val="00B0F0"/>
        </w:rPr>
        <w:t>“</w:t>
      </w:r>
      <w:r w:rsidRPr="00C1603D">
        <w:t>multi* morbid*</w:t>
      </w:r>
      <w:r w:rsidRPr="00C1603D">
        <w:rPr>
          <w:color w:val="00B0F0"/>
        </w:rPr>
        <w:t>”</w:t>
      </w:r>
      <w:r w:rsidRPr="00C1603D">
        <w:t xml:space="preserve"> or </w:t>
      </w:r>
      <w:r w:rsidRPr="00C1603D">
        <w:rPr>
          <w:color w:val="00B0F0"/>
        </w:rPr>
        <w:t>“</w:t>
      </w:r>
      <w:r w:rsidRPr="00C1603D">
        <w:t>multi* comorbid*</w:t>
      </w:r>
      <w:r w:rsidRPr="00C1603D">
        <w:rPr>
          <w:color w:val="00B0F0"/>
        </w:rPr>
        <w:t>”</w:t>
      </w:r>
      <w:r w:rsidRPr="00C1603D">
        <w:t xml:space="preserve"> or </w:t>
      </w:r>
      <w:r w:rsidRPr="00C1603D">
        <w:rPr>
          <w:color w:val="00B0F0"/>
        </w:rPr>
        <w:t>“</w:t>
      </w:r>
      <w:r w:rsidRPr="00C1603D">
        <w:t>multi* co-morbid*</w:t>
      </w:r>
      <w:r w:rsidRPr="00C1603D">
        <w:rPr>
          <w:color w:val="00B0F0"/>
        </w:rPr>
        <w:t>”</w:t>
      </w:r>
      <w:r w:rsidRPr="00C1603D">
        <w:t xml:space="preserve"> or </w:t>
      </w:r>
      <w:r w:rsidRPr="00C1603D">
        <w:rPr>
          <w:color w:val="00B0F0"/>
        </w:rPr>
        <w:t>“</w:t>
      </w:r>
      <w:r w:rsidRPr="00C1603D">
        <w:t>multi* physical*</w:t>
      </w:r>
      <w:r w:rsidRPr="00C1603D">
        <w:rPr>
          <w:color w:val="00B0F0"/>
        </w:rPr>
        <w:t>”</w:t>
      </w:r>
      <w:r w:rsidRPr="00C1603D">
        <w:t>)) [25,013]</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560A56A4" w14:textId="210F4489" w:rsidR="008B4DF8" w:rsidRPr="00C1603D" w:rsidRDefault="008B4DF8" w:rsidP="008B4DF8">
      <w:pPr>
        <w:pStyle w:val="602TextfoTextstylesTextstyles"/>
      </w:pPr>
      <w:r w:rsidRPr="00C1603D">
        <w:t>#11 ((TS</w:t>
      </w:r>
      <w:r w:rsidR="0002034F" w:rsidRPr="00C1603D">
        <w:t>=</w:t>
      </w:r>
      <w:r w:rsidRPr="00C1603D">
        <w:t xml:space="preserve">(constipation or constipated or diarrhoea or </w:t>
      </w:r>
      <w:proofErr w:type="spellStart"/>
      <w:r w:rsidRPr="00C1603D">
        <w:t>diarrhea</w:t>
      </w:r>
      <w:proofErr w:type="spellEnd"/>
      <w:r w:rsidRPr="00C1603D">
        <w:t xml:space="preserve"> or (abdominal near (</w:t>
      </w:r>
      <w:proofErr w:type="spellStart"/>
      <w:r w:rsidRPr="00C1603D">
        <w:t>disten</w:t>
      </w:r>
      <w:proofErr w:type="spellEnd"/>
      <w:r w:rsidRPr="00C1603D">
        <w:t xml:space="preserve">* or pain or bloating or cramp or cramps)) or flatulence or meteorism or </w:t>
      </w:r>
      <w:proofErr w:type="spellStart"/>
      <w:r w:rsidRPr="00C1603D">
        <w:t>steatorrhoea</w:t>
      </w:r>
      <w:proofErr w:type="spellEnd"/>
      <w:r w:rsidRPr="00C1603D">
        <w:t xml:space="preserve"> or steatorrhea)) or (TS</w:t>
      </w:r>
      <w:r w:rsidR="0002034F" w:rsidRPr="00C1603D">
        <w:t>=</w:t>
      </w:r>
      <w:r w:rsidRPr="00C1603D">
        <w:t>((</w:t>
      </w:r>
      <w:r w:rsidRPr="00C1603D">
        <w:rPr>
          <w:color w:val="00B0F0"/>
        </w:rPr>
        <w:t>“</w:t>
      </w:r>
      <w:r w:rsidRPr="00C1603D">
        <w:t>acid base</w:t>
      </w:r>
      <w:r w:rsidRPr="00C1603D">
        <w:rPr>
          <w:color w:val="00B0F0"/>
        </w:rPr>
        <w:t>”</w:t>
      </w:r>
      <w:r w:rsidRPr="00C1603D">
        <w:t xml:space="preserve"> or calcium or cyanocobalamin* or electrolyte* or folate or </w:t>
      </w:r>
      <w:r w:rsidRPr="00C1603D">
        <w:rPr>
          <w:color w:val="00B0F0"/>
        </w:rPr>
        <w:t>“</w:t>
      </w:r>
      <w:r w:rsidRPr="00C1603D">
        <w:t xml:space="preserve">folic </w:t>
      </w:r>
      <w:proofErr w:type="spellStart"/>
      <w:r w:rsidRPr="00C1603D">
        <w:t>acid</w:t>
      </w:r>
      <w:r w:rsidRPr="00C1603D">
        <w:rPr>
          <w:color w:val="00B0F0"/>
        </w:rPr>
        <w:t>”</w:t>
      </w:r>
      <w:r w:rsidRPr="00C1603D">
        <w:t>or</w:t>
      </w:r>
      <w:proofErr w:type="spellEnd"/>
      <w:r w:rsidRPr="00C1603D">
        <w:t xml:space="preserve"> glucose or IgA or </w:t>
      </w:r>
      <w:r w:rsidRPr="00C1603D">
        <w:rPr>
          <w:color w:val="00B0F0"/>
        </w:rPr>
        <w:t>“</w:t>
      </w:r>
      <w:r w:rsidRPr="00C1603D">
        <w:t>immunoglobulin A</w:t>
      </w:r>
      <w:r w:rsidRPr="00C1603D">
        <w:rPr>
          <w:color w:val="00B0F0"/>
        </w:rPr>
        <w:t>”</w:t>
      </w:r>
      <w:r w:rsidRPr="00C1603D">
        <w:t xml:space="preserve"> or iron or lactose or lipid* or </w:t>
      </w:r>
      <w:proofErr w:type="spellStart"/>
      <w:r w:rsidRPr="00C1603D">
        <w:t>phosph</w:t>
      </w:r>
      <w:proofErr w:type="spellEnd"/>
      <w:r w:rsidRPr="00C1603D">
        <w:t xml:space="preserve">* or protein* or triglyceride* or vitamin* or mineral*) near (disorder* or </w:t>
      </w:r>
      <w:proofErr w:type="spellStart"/>
      <w:r w:rsidRPr="00C1603D">
        <w:t>deficien</w:t>
      </w:r>
      <w:proofErr w:type="spellEnd"/>
      <w:r w:rsidRPr="00C1603D">
        <w:t xml:space="preserve">* or imbalance* or insufficiency or </w:t>
      </w:r>
      <w:proofErr w:type="spellStart"/>
      <w:r w:rsidRPr="00C1603D">
        <w:t>intoleran</w:t>
      </w:r>
      <w:proofErr w:type="spellEnd"/>
      <w:r w:rsidRPr="00C1603D">
        <w:t>*))) or (TS</w:t>
      </w:r>
      <w:r w:rsidR="0002034F" w:rsidRPr="00C1603D">
        <w:t>=</w:t>
      </w:r>
      <w:r w:rsidRPr="00C1603D">
        <w:t xml:space="preserve">(fever* or febrile or malaise or fatigue or </w:t>
      </w:r>
      <w:proofErr w:type="spellStart"/>
      <w:r w:rsidRPr="00C1603D">
        <w:t>letharg</w:t>
      </w:r>
      <w:proofErr w:type="spellEnd"/>
      <w:r w:rsidRPr="00C1603D">
        <w:t xml:space="preserve">* or exhaustion or vomiting or nausea or emesis or sickness or </w:t>
      </w:r>
      <w:r w:rsidRPr="00C1603D">
        <w:rPr>
          <w:color w:val="00B0F0"/>
        </w:rPr>
        <w:t>“</w:t>
      </w:r>
      <w:r w:rsidRPr="00C1603D">
        <w:t>weight loss</w:t>
      </w:r>
      <w:r w:rsidRPr="00C1603D">
        <w:rPr>
          <w:color w:val="00B0F0"/>
        </w:rPr>
        <w:t>”</w:t>
      </w:r>
      <w:r w:rsidRPr="00C1603D">
        <w:t xml:space="preserve"> or </w:t>
      </w:r>
      <w:r w:rsidRPr="00C1603D">
        <w:rPr>
          <w:color w:val="00B0F0"/>
        </w:rPr>
        <w:t>“</w:t>
      </w:r>
      <w:r w:rsidRPr="00C1603D">
        <w:t>wait gain</w:t>
      </w:r>
      <w:r w:rsidRPr="00C1603D">
        <w:rPr>
          <w:color w:val="00B0F0"/>
        </w:rPr>
        <w:t>”</w:t>
      </w:r>
      <w:r w:rsidRPr="00C1603D">
        <w:t xml:space="preserve"> or </w:t>
      </w:r>
      <w:r w:rsidRPr="00C1603D">
        <w:rPr>
          <w:color w:val="00B0F0"/>
        </w:rPr>
        <w:t>“</w:t>
      </w:r>
      <w:r w:rsidRPr="00C1603D">
        <w:t>hot flashes</w:t>
      </w:r>
      <w:r w:rsidRPr="00C1603D">
        <w:rPr>
          <w:color w:val="00B0F0"/>
        </w:rPr>
        <w:t>”</w:t>
      </w:r>
      <w:r w:rsidRPr="00C1603D">
        <w:t xml:space="preserve"> or </w:t>
      </w:r>
      <w:r w:rsidRPr="00C1603D">
        <w:rPr>
          <w:color w:val="00B0F0"/>
        </w:rPr>
        <w:t>“</w:t>
      </w:r>
      <w:r w:rsidRPr="00C1603D">
        <w:t>hot flushes</w:t>
      </w:r>
      <w:r w:rsidRPr="00C1603D">
        <w:rPr>
          <w:color w:val="00B0F0"/>
        </w:rPr>
        <w:t>”</w:t>
      </w:r>
      <w:r w:rsidRPr="00C1603D">
        <w:t xml:space="preserve"> or </w:t>
      </w:r>
      <w:r w:rsidRPr="00C1603D">
        <w:rPr>
          <w:color w:val="00B0F0"/>
        </w:rPr>
        <w:t>“</w:t>
      </w:r>
      <w:r w:rsidRPr="00C1603D">
        <w:t>medically unexplained</w:t>
      </w:r>
      <w:r w:rsidRPr="00C1603D">
        <w:rPr>
          <w:color w:val="00B0F0"/>
        </w:rPr>
        <w:t>”</w:t>
      </w:r>
      <w:r w:rsidRPr="00C1603D">
        <w:t xml:space="preserve"> or </w:t>
      </w:r>
      <w:r w:rsidRPr="00C1603D">
        <w:rPr>
          <w:color w:val="00B0F0"/>
        </w:rPr>
        <w:t>“</w:t>
      </w:r>
      <w:r w:rsidRPr="00C1603D">
        <w:t>unexplained medical</w:t>
      </w:r>
      <w:r w:rsidRPr="00C1603D">
        <w:rPr>
          <w:color w:val="00B0F0"/>
        </w:rPr>
        <w:t>”</w:t>
      </w:r>
      <w:r w:rsidRPr="00C1603D">
        <w:t xml:space="preserve"> or </w:t>
      </w:r>
      <w:r w:rsidRPr="00C1603D">
        <w:rPr>
          <w:color w:val="00B0F0"/>
        </w:rPr>
        <w:t>“</w:t>
      </w:r>
      <w:r w:rsidRPr="00C1603D">
        <w:t>unexplained symptom*</w:t>
      </w:r>
      <w:r w:rsidRPr="00C1603D">
        <w:rPr>
          <w:color w:val="00B0F0"/>
        </w:rPr>
        <w:t>”</w:t>
      </w:r>
      <w:r w:rsidRPr="00C1603D">
        <w:t xml:space="preserve"> or </w:t>
      </w:r>
      <w:r w:rsidRPr="00C1603D">
        <w:rPr>
          <w:color w:val="00B0F0"/>
        </w:rPr>
        <w:t>“</w:t>
      </w:r>
      <w:r w:rsidRPr="00C1603D">
        <w:t>signs and symptoms</w:t>
      </w:r>
      <w:r w:rsidRPr="00C1603D">
        <w:rPr>
          <w:color w:val="00B0F0"/>
        </w:rPr>
        <w:t>”</w:t>
      </w:r>
      <w:r w:rsidRPr="00C1603D">
        <w:t xml:space="preserve"> or </w:t>
      </w:r>
      <w:r w:rsidRPr="00C1603D">
        <w:rPr>
          <w:color w:val="00B0F0"/>
        </w:rPr>
        <w:t>“</w:t>
      </w:r>
      <w:r w:rsidRPr="00C1603D">
        <w:t>condition* linked</w:t>
      </w:r>
      <w:r w:rsidRPr="00C1603D">
        <w:rPr>
          <w:color w:val="00B0F0"/>
        </w:rPr>
        <w:t>”</w:t>
      </w:r>
      <w:r w:rsidRPr="00C1603D">
        <w:t xml:space="preserve"> or </w:t>
      </w:r>
      <w:r w:rsidRPr="00C1603D">
        <w:rPr>
          <w:color w:val="00B0F0"/>
        </w:rPr>
        <w:t>“</w:t>
      </w:r>
      <w:r w:rsidRPr="00C1603D">
        <w:t>linked condition*</w:t>
      </w:r>
      <w:r w:rsidRPr="00C1603D">
        <w:rPr>
          <w:color w:val="00B0F0"/>
        </w:rPr>
        <w:t>”</w:t>
      </w:r>
      <w:r w:rsidRPr="00C1603D">
        <w:t xml:space="preserve"> or </w:t>
      </w:r>
      <w:r w:rsidRPr="00C1603D">
        <w:rPr>
          <w:color w:val="00B0F0"/>
        </w:rPr>
        <w:t>“</w:t>
      </w:r>
      <w:r w:rsidRPr="00C1603D">
        <w:t>condition* associated with</w:t>
      </w:r>
      <w:r w:rsidRPr="00C1603D">
        <w:rPr>
          <w:color w:val="00B0F0"/>
        </w:rPr>
        <w:t>”</w:t>
      </w:r>
      <w:r w:rsidRPr="00C1603D">
        <w:t xml:space="preserve"> or sleepiness)) or (TS</w:t>
      </w:r>
      <w:r w:rsidR="0002034F" w:rsidRPr="00C1603D">
        <w:t>=</w:t>
      </w:r>
      <w:r w:rsidRPr="00C1603D">
        <w:t xml:space="preserve">((calciferol or cholecalciferol or </w:t>
      </w:r>
      <w:proofErr w:type="spellStart"/>
      <w:r w:rsidRPr="00C1603D">
        <w:t>colecalciferol</w:t>
      </w:r>
      <w:proofErr w:type="spellEnd"/>
      <w:r w:rsidRPr="00C1603D">
        <w:t xml:space="preserve"> or </w:t>
      </w:r>
      <w:proofErr w:type="spellStart"/>
      <w:r w:rsidRPr="00C1603D">
        <w:t>egocalciferol</w:t>
      </w:r>
      <w:proofErr w:type="spellEnd"/>
      <w:r w:rsidRPr="00C1603D">
        <w:t xml:space="preserve">) near (disorder* or </w:t>
      </w:r>
      <w:proofErr w:type="spellStart"/>
      <w:r w:rsidRPr="00C1603D">
        <w:t>deficien</w:t>
      </w:r>
      <w:proofErr w:type="spellEnd"/>
      <w:r w:rsidRPr="00C1603D">
        <w:t xml:space="preserve">* or imbalance* or insufficiency or </w:t>
      </w:r>
      <w:proofErr w:type="spellStart"/>
      <w:r w:rsidRPr="00C1603D">
        <w:t>intoleran</w:t>
      </w:r>
      <w:proofErr w:type="spellEnd"/>
      <w:r w:rsidRPr="00C1603D">
        <w:t>*)))) or (TS</w:t>
      </w:r>
      <w:r w:rsidR="0002034F" w:rsidRPr="00C1603D">
        <w:t>=</w:t>
      </w:r>
      <w:r w:rsidRPr="00C1603D">
        <w:t>((anxiety or depression or mood) near (celiac or coeliac))) [1,055,350]</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65AAB741" w14:textId="5B68B211" w:rsidR="008B4DF8" w:rsidRPr="00C1603D" w:rsidRDefault="008B4DF8" w:rsidP="008B4DF8">
      <w:pPr>
        <w:pStyle w:val="602TextfoTextstylesTextstyles"/>
      </w:pPr>
      <w:r w:rsidRPr="00C1603D">
        <w:t>#10 (TS</w:t>
      </w:r>
      <w:r w:rsidR="0002034F" w:rsidRPr="00C1603D">
        <w:t>=</w:t>
      </w:r>
      <w:r w:rsidRPr="00C1603D">
        <w:t>(</w:t>
      </w:r>
      <w:r w:rsidRPr="00C1603D">
        <w:rPr>
          <w:color w:val="00B0F0"/>
        </w:rPr>
        <w:t>“</w:t>
      </w:r>
      <w:r w:rsidRPr="00C1603D">
        <w:t>digestive system* disease*</w:t>
      </w:r>
      <w:r w:rsidRPr="00C1603D">
        <w:rPr>
          <w:color w:val="00B0F0"/>
        </w:rPr>
        <w:t>”</w:t>
      </w:r>
      <w:r w:rsidRPr="00C1603D">
        <w:t xml:space="preserve"> or </w:t>
      </w:r>
      <w:r w:rsidRPr="00C1603D">
        <w:rPr>
          <w:color w:val="00B0F0"/>
        </w:rPr>
        <w:t>“</w:t>
      </w:r>
      <w:r w:rsidRPr="00C1603D">
        <w:t>digestive system* disorder*</w:t>
      </w:r>
      <w:r w:rsidRPr="00C1603D">
        <w:rPr>
          <w:color w:val="00B0F0"/>
        </w:rPr>
        <w:t>”</w:t>
      </w:r>
      <w:r w:rsidRPr="00C1603D">
        <w:t xml:space="preserve"> or </w:t>
      </w:r>
      <w:r w:rsidRPr="00C1603D">
        <w:rPr>
          <w:color w:val="00B0F0"/>
        </w:rPr>
        <w:t>“</w:t>
      </w:r>
      <w:r w:rsidRPr="00C1603D">
        <w:t xml:space="preserve">digestive system* </w:t>
      </w:r>
      <w:proofErr w:type="spellStart"/>
      <w:r w:rsidRPr="00C1603D">
        <w:t>syndrom</w:t>
      </w:r>
      <w:proofErr w:type="spellEnd"/>
      <w:r w:rsidRPr="00C1603D">
        <w:t>*</w:t>
      </w:r>
      <w:r w:rsidRPr="00C1603D">
        <w:rPr>
          <w:color w:val="00B0F0"/>
        </w:rPr>
        <w:t>”</w:t>
      </w:r>
      <w:r w:rsidRPr="00C1603D">
        <w:t xml:space="preserve"> or </w:t>
      </w:r>
      <w:r w:rsidRPr="00C1603D">
        <w:rPr>
          <w:color w:val="00B0F0"/>
        </w:rPr>
        <w:t>“</w:t>
      </w:r>
      <w:r w:rsidRPr="00C1603D">
        <w:t>digestive system manifestation*</w:t>
      </w:r>
      <w:r w:rsidRPr="00C1603D">
        <w:rPr>
          <w:color w:val="00B0F0"/>
        </w:rPr>
        <w:t>”</w:t>
      </w:r>
      <w:r w:rsidRPr="00C1603D">
        <w:t xml:space="preserve"> or </w:t>
      </w:r>
      <w:r w:rsidRPr="00C1603D">
        <w:rPr>
          <w:color w:val="00B0F0"/>
        </w:rPr>
        <w:t>“</w:t>
      </w:r>
      <w:proofErr w:type="spellStart"/>
      <w:r w:rsidRPr="00C1603D">
        <w:t>duoden</w:t>
      </w:r>
      <w:proofErr w:type="spellEnd"/>
      <w:r w:rsidRPr="00C1603D">
        <w:t>* disease*</w:t>
      </w:r>
      <w:r w:rsidRPr="00C1603D">
        <w:rPr>
          <w:color w:val="00B0F0"/>
        </w:rPr>
        <w:t>”</w:t>
      </w:r>
      <w:r w:rsidRPr="00C1603D">
        <w:t xml:space="preserve"> or </w:t>
      </w:r>
      <w:r w:rsidRPr="00C1603D">
        <w:rPr>
          <w:color w:val="00B0F0"/>
        </w:rPr>
        <w:t>“</w:t>
      </w:r>
      <w:proofErr w:type="spellStart"/>
      <w:r w:rsidRPr="00C1603D">
        <w:t>duoden</w:t>
      </w:r>
      <w:proofErr w:type="spellEnd"/>
      <w:r w:rsidRPr="00C1603D">
        <w:t>* disorder*</w:t>
      </w:r>
      <w:r w:rsidRPr="00C1603D">
        <w:rPr>
          <w:color w:val="00B0F0"/>
        </w:rPr>
        <w:t>”</w:t>
      </w:r>
      <w:r w:rsidRPr="00C1603D">
        <w:t xml:space="preserve"> or </w:t>
      </w:r>
      <w:r w:rsidRPr="00C1603D">
        <w:rPr>
          <w:color w:val="00B0F0"/>
        </w:rPr>
        <w:t>“</w:t>
      </w:r>
      <w:proofErr w:type="spellStart"/>
      <w:r w:rsidRPr="00C1603D">
        <w:t>duoden</w:t>
      </w:r>
      <w:proofErr w:type="spellEnd"/>
      <w:r w:rsidRPr="00C1603D">
        <w:t xml:space="preserve">* </w:t>
      </w:r>
      <w:proofErr w:type="spellStart"/>
      <w:r w:rsidRPr="00C1603D">
        <w:t>syndrom</w:t>
      </w:r>
      <w:proofErr w:type="spellEnd"/>
      <w:r w:rsidRPr="00C1603D">
        <w:t>*</w:t>
      </w:r>
      <w:r w:rsidRPr="00C1603D">
        <w:rPr>
          <w:color w:val="00B0F0"/>
        </w:rPr>
        <w:t>”</w:t>
      </w:r>
      <w:r w:rsidRPr="00C1603D">
        <w:t xml:space="preserve"> or </w:t>
      </w:r>
      <w:r w:rsidRPr="00C1603D">
        <w:rPr>
          <w:color w:val="00B0F0"/>
        </w:rPr>
        <w:t>“</w:t>
      </w:r>
      <w:proofErr w:type="spellStart"/>
      <w:r w:rsidRPr="00C1603D">
        <w:t>duoden</w:t>
      </w:r>
      <w:proofErr w:type="spellEnd"/>
      <w:r w:rsidRPr="00C1603D">
        <w:t>* manifestation*</w:t>
      </w:r>
      <w:r w:rsidRPr="00C1603D">
        <w:rPr>
          <w:color w:val="00B0F0"/>
        </w:rPr>
        <w:t>”</w:t>
      </w:r>
      <w:r w:rsidRPr="00C1603D">
        <w:t xml:space="preserve"> or </w:t>
      </w:r>
      <w:r w:rsidRPr="00C1603D">
        <w:rPr>
          <w:color w:val="00B0F0"/>
        </w:rPr>
        <w:t>“</w:t>
      </w:r>
      <w:proofErr w:type="spellStart"/>
      <w:r w:rsidRPr="00C1603D">
        <w:t>gastr</w:t>
      </w:r>
      <w:proofErr w:type="spellEnd"/>
      <w:r w:rsidRPr="00C1603D">
        <w:t>* disease*</w:t>
      </w:r>
      <w:r w:rsidRPr="00C1603D">
        <w:rPr>
          <w:color w:val="00B0F0"/>
        </w:rPr>
        <w:t>”</w:t>
      </w:r>
      <w:r w:rsidRPr="00C1603D">
        <w:t xml:space="preserve"> or </w:t>
      </w:r>
      <w:r w:rsidRPr="00C1603D">
        <w:rPr>
          <w:color w:val="00B0F0"/>
        </w:rPr>
        <w:t>“</w:t>
      </w:r>
      <w:proofErr w:type="spellStart"/>
      <w:r w:rsidRPr="00C1603D">
        <w:t>gastr</w:t>
      </w:r>
      <w:proofErr w:type="spellEnd"/>
      <w:r w:rsidRPr="00C1603D">
        <w:t>* disorder*</w:t>
      </w:r>
      <w:r w:rsidRPr="00C1603D">
        <w:rPr>
          <w:color w:val="00B0F0"/>
        </w:rPr>
        <w:t>”</w:t>
      </w:r>
      <w:r w:rsidRPr="00C1603D">
        <w:t xml:space="preserve"> or </w:t>
      </w:r>
      <w:r w:rsidRPr="00C1603D">
        <w:rPr>
          <w:color w:val="00B0F0"/>
        </w:rPr>
        <w:t>“</w:t>
      </w:r>
      <w:proofErr w:type="spellStart"/>
      <w:r w:rsidRPr="00C1603D">
        <w:t>gastr</w:t>
      </w:r>
      <w:proofErr w:type="spellEnd"/>
      <w:r w:rsidRPr="00C1603D">
        <w:t xml:space="preserve">* </w:t>
      </w:r>
      <w:proofErr w:type="spellStart"/>
      <w:r w:rsidRPr="00C1603D">
        <w:t>syndrom</w:t>
      </w:r>
      <w:proofErr w:type="spellEnd"/>
      <w:r w:rsidRPr="00C1603D">
        <w:t>*</w:t>
      </w:r>
      <w:r w:rsidRPr="00C1603D">
        <w:rPr>
          <w:color w:val="00B0F0"/>
        </w:rPr>
        <w:t>”</w:t>
      </w:r>
      <w:r w:rsidRPr="00C1603D">
        <w:t xml:space="preserve"> or </w:t>
      </w:r>
      <w:r w:rsidRPr="00C1603D">
        <w:rPr>
          <w:color w:val="00B0F0"/>
        </w:rPr>
        <w:t>“</w:t>
      </w:r>
      <w:proofErr w:type="spellStart"/>
      <w:r w:rsidRPr="00C1603D">
        <w:t>gastr</w:t>
      </w:r>
      <w:proofErr w:type="spellEnd"/>
      <w:r w:rsidRPr="00C1603D">
        <w:t>* manifestation*</w:t>
      </w:r>
      <w:r w:rsidRPr="00C1603D">
        <w:rPr>
          <w:color w:val="00B0F0"/>
        </w:rPr>
        <w:t>”</w:t>
      </w:r>
      <w:r w:rsidRPr="00C1603D">
        <w:t xml:space="preserve"> or </w:t>
      </w:r>
      <w:r w:rsidRPr="00C1603D">
        <w:rPr>
          <w:color w:val="00B0F0"/>
        </w:rPr>
        <w:t>“</w:t>
      </w:r>
      <w:proofErr w:type="spellStart"/>
      <w:r w:rsidRPr="00C1603D">
        <w:t>intestin</w:t>
      </w:r>
      <w:proofErr w:type="spellEnd"/>
      <w:r w:rsidRPr="00C1603D">
        <w:t>* disease*</w:t>
      </w:r>
      <w:r w:rsidRPr="00C1603D">
        <w:rPr>
          <w:color w:val="00B0F0"/>
        </w:rPr>
        <w:t>”</w:t>
      </w:r>
      <w:r w:rsidRPr="00C1603D">
        <w:t xml:space="preserve"> or </w:t>
      </w:r>
      <w:r w:rsidRPr="00C1603D">
        <w:rPr>
          <w:color w:val="00B0F0"/>
        </w:rPr>
        <w:t>“</w:t>
      </w:r>
      <w:proofErr w:type="spellStart"/>
      <w:r w:rsidRPr="00C1603D">
        <w:t>intestin</w:t>
      </w:r>
      <w:proofErr w:type="spellEnd"/>
      <w:r w:rsidRPr="00C1603D">
        <w:t>* disorder*</w:t>
      </w:r>
      <w:r w:rsidRPr="00C1603D">
        <w:rPr>
          <w:color w:val="00B0F0"/>
        </w:rPr>
        <w:t>”</w:t>
      </w:r>
      <w:r w:rsidRPr="00C1603D">
        <w:t xml:space="preserve"> or </w:t>
      </w:r>
      <w:r w:rsidRPr="00C1603D">
        <w:rPr>
          <w:color w:val="00B0F0"/>
        </w:rPr>
        <w:t>“</w:t>
      </w:r>
      <w:proofErr w:type="spellStart"/>
      <w:r w:rsidRPr="00C1603D">
        <w:t>intestin</w:t>
      </w:r>
      <w:proofErr w:type="spellEnd"/>
      <w:r w:rsidRPr="00C1603D">
        <w:t xml:space="preserve">* </w:t>
      </w:r>
      <w:proofErr w:type="spellStart"/>
      <w:r w:rsidRPr="00C1603D">
        <w:t>syndrom</w:t>
      </w:r>
      <w:proofErr w:type="spellEnd"/>
      <w:r w:rsidRPr="00C1603D">
        <w:t>*</w:t>
      </w:r>
      <w:r w:rsidRPr="00C1603D">
        <w:rPr>
          <w:color w:val="00B0F0"/>
        </w:rPr>
        <w:t>”</w:t>
      </w:r>
      <w:r w:rsidRPr="00C1603D">
        <w:t xml:space="preserve"> or </w:t>
      </w:r>
      <w:r w:rsidRPr="00C1603D">
        <w:rPr>
          <w:color w:val="00B0F0"/>
        </w:rPr>
        <w:t>“</w:t>
      </w:r>
      <w:proofErr w:type="spellStart"/>
      <w:r w:rsidRPr="00C1603D">
        <w:t>intestin</w:t>
      </w:r>
      <w:proofErr w:type="spellEnd"/>
      <w:r w:rsidRPr="00C1603D">
        <w:t>* manifestation*</w:t>
      </w:r>
      <w:r w:rsidRPr="00C1603D">
        <w:rPr>
          <w:color w:val="00B0F0"/>
        </w:rPr>
        <w:t>”</w:t>
      </w:r>
      <w:r w:rsidRPr="00C1603D">
        <w:t xml:space="preserve"> or </w:t>
      </w:r>
      <w:r w:rsidRPr="00C1603D">
        <w:rPr>
          <w:color w:val="00B0F0"/>
        </w:rPr>
        <w:t>“</w:t>
      </w:r>
      <w:proofErr w:type="spellStart"/>
      <w:r w:rsidRPr="00C1603D">
        <w:t>malabsor</w:t>
      </w:r>
      <w:proofErr w:type="spellEnd"/>
      <w:r w:rsidRPr="00C1603D">
        <w:t>* disease*</w:t>
      </w:r>
      <w:r w:rsidRPr="00C1603D">
        <w:rPr>
          <w:color w:val="00B0F0"/>
        </w:rPr>
        <w:t>”</w:t>
      </w:r>
      <w:r w:rsidRPr="00C1603D">
        <w:t xml:space="preserve"> or </w:t>
      </w:r>
      <w:r w:rsidRPr="00C1603D">
        <w:rPr>
          <w:color w:val="00B0F0"/>
        </w:rPr>
        <w:t>“</w:t>
      </w:r>
      <w:proofErr w:type="spellStart"/>
      <w:r w:rsidRPr="00C1603D">
        <w:t>malabsor</w:t>
      </w:r>
      <w:proofErr w:type="spellEnd"/>
      <w:r w:rsidRPr="00C1603D">
        <w:t>* disorder*</w:t>
      </w:r>
      <w:r w:rsidRPr="00C1603D">
        <w:rPr>
          <w:color w:val="00B0F0"/>
        </w:rPr>
        <w:t>”</w:t>
      </w:r>
      <w:r w:rsidRPr="00C1603D">
        <w:t xml:space="preserve"> or </w:t>
      </w:r>
      <w:r w:rsidRPr="00C1603D">
        <w:rPr>
          <w:color w:val="00B0F0"/>
        </w:rPr>
        <w:t>“</w:t>
      </w:r>
      <w:proofErr w:type="spellStart"/>
      <w:r w:rsidRPr="00C1603D">
        <w:t>malabsor</w:t>
      </w:r>
      <w:proofErr w:type="spellEnd"/>
      <w:r w:rsidRPr="00C1603D">
        <w:t xml:space="preserve">* </w:t>
      </w:r>
      <w:proofErr w:type="spellStart"/>
      <w:r w:rsidRPr="00C1603D">
        <w:t>syndrom</w:t>
      </w:r>
      <w:proofErr w:type="spellEnd"/>
      <w:r w:rsidRPr="00C1603D">
        <w:t>*</w:t>
      </w:r>
      <w:r w:rsidRPr="00C1603D">
        <w:rPr>
          <w:color w:val="00B0F0"/>
        </w:rPr>
        <w:t>”</w:t>
      </w:r>
      <w:r w:rsidRPr="00C1603D">
        <w:t xml:space="preserve"> or </w:t>
      </w:r>
      <w:r w:rsidRPr="00C1603D">
        <w:rPr>
          <w:color w:val="00B0F0"/>
        </w:rPr>
        <w:t>“</w:t>
      </w:r>
      <w:proofErr w:type="spellStart"/>
      <w:r w:rsidRPr="00C1603D">
        <w:t>malabsor</w:t>
      </w:r>
      <w:proofErr w:type="spellEnd"/>
      <w:r w:rsidRPr="00C1603D">
        <w:t>* manifestation*</w:t>
      </w:r>
      <w:r w:rsidRPr="00C1603D">
        <w:rPr>
          <w:color w:val="00B0F0"/>
        </w:rPr>
        <w:t>”</w:t>
      </w:r>
      <w:r w:rsidRPr="00C1603D">
        <w:t>)) [29,189]</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6145251C" w14:textId="17E8954F" w:rsidR="008B4DF8" w:rsidRPr="00C1603D" w:rsidRDefault="008B4DF8" w:rsidP="008B4DF8">
      <w:pPr>
        <w:pStyle w:val="602TextfoTextstylesTextstyles"/>
      </w:pPr>
      <w:r w:rsidRPr="00C1603D">
        <w:t>#9 (TS</w:t>
      </w:r>
      <w:r w:rsidR="0002034F" w:rsidRPr="00C1603D">
        <w:t>=</w:t>
      </w:r>
      <w:r w:rsidRPr="00C1603D">
        <w:t>((</w:t>
      </w:r>
      <w:proofErr w:type="spellStart"/>
      <w:r w:rsidRPr="00C1603D">
        <w:t>addison</w:t>
      </w:r>
      <w:proofErr w:type="spellEnd"/>
      <w:r w:rsidRPr="00C1603D">
        <w:t xml:space="preserve">* near (disease* or disorder* or </w:t>
      </w:r>
      <w:proofErr w:type="spellStart"/>
      <w:r w:rsidRPr="00C1603D">
        <w:t>syndrom</w:t>
      </w:r>
      <w:proofErr w:type="spellEnd"/>
      <w:r w:rsidRPr="00C1603D">
        <w:t xml:space="preserve">*)) or alopecia or baldness or amenorrhea* or amenorrhoea* or oligomenorrhea* or oligomenorrhoea* or </w:t>
      </w:r>
      <w:r w:rsidRPr="00C1603D">
        <w:rPr>
          <w:color w:val="00B0F0"/>
        </w:rPr>
        <w:t>“</w:t>
      </w:r>
      <w:r w:rsidRPr="00C1603D">
        <w:t>anxiety disorder*</w:t>
      </w:r>
      <w:r w:rsidRPr="00C1603D">
        <w:rPr>
          <w:color w:val="00B0F0"/>
        </w:rPr>
        <w:t>”</w:t>
      </w:r>
      <w:r w:rsidRPr="00C1603D">
        <w:t xml:space="preserve"> or anorexia or </w:t>
      </w:r>
      <w:r w:rsidRPr="00C1603D">
        <w:rPr>
          <w:color w:val="00B0F0"/>
        </w:rPr>
        <w:t>“</w:t>
      </w:r>
      <w:r w:rsidRPr="00C1603D">
        <w:t xml:space="preserve">adrenal </w:t>
      </w:r>
      <w:proofErr w:type="spellStart"/>
      <w:r w:rsidRPr="00C1603D">
        <w:t>insufficienc</w:t>
      </w:r>
      <w:proofErr w:type="spellEnd"/>
      <w:r w:rsidRPr="00C1603D">
        <w:t>*</w:t>
      </w:r>
      <w:r w:rsidRPr="00C1603D">
        <w:rPr>
          <w:color w:val="00B0F0"/>
        </w:rPr>
        <w:t>”</w:t>
      </w:r>
      <w:r w:rsidRPr="00C1603D">
        <w:t xml:space="preserve"> or </w:t>
      </w:r>
      <w:r w:rsidRPr="00C1603D">
        <w:rPr>
          <w:color w:val="00B0F0"/>
        </w:rPr>
        <w:t>“</w:t>
      </w:r>
      <w:r w:rsidRPr="00C1603D">
        <w:t xml:space="preserve">adrenocortical </w:t>
      </w:r>
      <w:proofErr w:type="spellStart"/>
      <w:r w:rsidRPr="00C1603D">
        <w:t>insufficienc</w:t>
      </w:r>
      <w:proofErr w:type="spellEnd"/>
      <w:r w:rsidRPr="00C1603D">
        <w:t>*</w:t>
      </w:r>
      <w:r w:rsidRPr="00C1603D">
        <w:rPr>
          <w:color w:val="00B0F0"/>
        </w:rPr>
        <w:t>”</w:t>
      </w:r>
      <w:r w:rsidRPr="00C1603D">
        <w:t xml:space="preserve"> or </w:t>
      </w:r>
      <w:proofErr w:type="spellStart"/>
      <w:r w:rsidRPr="00C1603D">
        <w:t>allerg</w:t>
      </w:r>
      <w:proofErr w:type="spellEnd"/>
      <w:r w:rsidRPr="00C1603D">
        <w:t xml:space="preserve">* or </w:t>
      </w:r>
      <w:proofErr w:type="spellStart"/>
      <w:r w:rsidRPr="00C1603D">
        <w:t>anemi</w:t>
      </w:r>
      <w:proofErr w:type="spellEnd"/>
      <w:r w:rsidRPr="00C1603D">
        <w:t xml:space="preserve">* or </w:t>
      </w:r>
      <w:proofErr w:type="spellStart"/>
      <w:r w:rsidRPr="00C1603D">
        <w:t>anaemi</w:t>
      </w:r>
      <w:proofErr w:type="spellEnd"/>
      <w:r w:rsidRPr="00C1603D">
        <w:t xml:space="preserve">* or angina or aneurysm or </w:t>
      </w:r>
      <w:r w:rsidRPr="00C1603D">
        <w:rPr>
          <w:color w:val="00B0F0"/>
        </w:rPr>
        <w:t>“</w:t>
      </w:r>
      <w:r w:rsidRPr="00C1603D">
        <w:t>ankylosing spondylitis</w:t>
      </w:r>
      <w:r w:rsidRPr="00C1603D">
        <w:rPr>
          <w:color w:val="00B0F0"/>
        </w:rPr>
        <w:t>”</w:t>
      </w:r>
      <w:r w:rsidRPr="00C1603D">
        <w:t xml:space="preserve"> or </w:t>
      </w:r>
      <w:proofErr w:type="spellStart"/>
      <w:r w:rsidRPr="00C1603D">
        <w:t>arthropath</w:t>
      </w:r>
      <w:proofErr w:type="spellEnd"/>
      <w:r w:rsidRPr="00C1603D">
        <w:t xml:space="preserve">* or </w:t>
      </w:r>
      <w:proofErr w:type="spellStart"/>
      <w:r w:rsidRPr="00C1603D">
        <w:t>arthriti</w:t>
      </w:r>
      <w:proofErr w:type="spellEnd"/>
      <w:r w:rsidRPr="00C1603D">
        <w:t xml:space="preserve">* or arthrosis or arthroses or asthma* or asthenia or ataxia or </w:t>
      </w:r>
      <w:r w:rsidRPr="00C1603D">
        <w:rPr>
          <w:color w:val="00B0F0"/>
        </w:rPr>
        <w:t>“</w:t>
      </w:r>
      <w:r w:rsidRPr="00C1603D">
        <w:t>atrial fibrillation</w:t>
      </w:r>
      <w:r w:rsidRPr="00C1603D">
        <w:rPr>
          <w:color w:val="00B0F0"/>
        </w:rPr>
        <w:t>”</w:t>
      </w:r>
      <w:r w:rsidRPr="00C1603D">
        <w:t xml:space="preserve"> or atrophy or </w:t>
      </w:r>
      <w:r w:rsidRPr="00C1603D">
        <w:rPr>
          <w:color w:val="00B0F0"/>
        </w:rPr>
        <w:t>“</w:t>
      </w:r>
      <w:r w:rsidRPr="00C1603D">
        <w:t>autoimmune disorders</w:t>
      </w:r>
      <w:r w:rsidRPr="00C1603D">
        <w:rPr>
          <w:color w:val="00B0F0"/>
        </w:rPr>
        <w:t>”</w:t>
      </w:r>
      <w:r w:rsidRPr="00C1603D">
        <w:t xml:space="preserve"> or </w:t>
      </w:r>
      <w:r w:rsidRPr="00C1603D">
        <w:rPr>
          <w:color w:val="00B0F0"/>
        </w:rPr>
        <w:t>“</w:t>
      </w:r>
      <w:r w:rsidRPr="00C1603D">
        <w:t>autoimmune diseases</w:t>
      </w:r>
      <w:r w:rsidRPr="00C1603D">
        <w:rPr>
          <w:color w:val="00B0F0"/>
        </w:rPr>
        <w:t>”</w:t>
      </w:r>
      <w:r w:rsidRPr="00C1603D">
        <w:t xml:space="preserve"> or </w:t>
      </w:r>
      <w:r w:rsidRPr="00C1603D">
        <w:rPr>
          <w:color w:val="00B0F0"/>
        </w:rPr>
        <w:t>“</w:t>
      </w:r>
      <w:r w:rsidRPr="00C1603D">
        <w:t xml:space="preserve">autoimmune </w:t>
      </w:r>
      <w:proofErr w:type="spellStart"/>
      <w:r w:rsidRPr="00C1603D">
        <w:t>syndrom</w:t>
      </w:r>
      <w:proofErr w:type="spellEnd"/>
      <w:r w:rsidRPr="00C1603D">
        <w:t>*</w:t>
      </w:r>
      <w:r w:rsidRPr="00C1603D">
        <w:rPr>
          <w:color w:val="00B0F0"/>
        </w:rPr>
        <w:t>”</w:t>
      </w:r>
      <w:r w:rsidRPr="00C1603D">
        <w:t xml:space="preserve"> or ataxia or avitaminosis or </w:t>
      </w:r>
      <w:r w:rsidRPr="00C1603D">
        <w:rPr>
          <w:color w:val="00B0F0"/>
        </w:rPr>
        <w:t>“</w:t>
      </w:r>
      <w:proofErr w:type="spellStart"/>
      <w:r w:rsidRPr="00C1603D">
        <w:t>bonnevie</w:t>
      </w:r>
      <w:proofErr w:type="spellEnd"/>
      <w:r w:rsidRPr="00C1603D">
        <w:t xml:space="preserve"> </w:t>
      </w:r>
      <w:proofErr w:type="spellStart"/>
      <w:r w:rsidRPr="00C1603D">
        <w:t>ullrich</w:t>
      </w:r>
      <w:proofErr w:type="spellEnd"/>
      <w:r w:rsidRPr="00C1603D">
        <w:rPr>
          <w:color w:val="00B0F0"/>
        </w:rPr>
        <w:t>”</w:t>
      </w:r>
      <w:r w:rsidRPr="00C1603D">
        <w:t xml:space="preserve"> or </w:t>
      </w:r>
      <w:r w:rsidRPr="00C1603D">
        <w:rPr>
          <w:color w:val="00B0F0"/>
        </w:rPr>
        <w:t>“</w:t>
      </w:r>
      <w:r w:rsidRPr="00C1603D">
        <w:t>back pain</w:t>
      </w:r>
      <w:r w:rsidRPr="00C1603D">
        <w:rPr>
          <w:color w:val="00B0F0"/>
        </w:rPr>
        <w:t>”</w:t>
      </w:r>
      <w:r w:rsidRPr="00C1603D">
        <w:t xml:space="preserve"> or (biliary near (disease* or disorder* or </w:t>
      </w:r>
      <w:proofErr w:type="spellStart"/>
      <w:r w:rsidRPr="00C1603D">
        <w:t>syndrom</w:t>
      </w:r>
      <w:proofErr w:type="spellEnd"/>
      <w:r w:rsidRPr="00C1603D">
        <w:t xml:space="preserve">*)) or (bipolar near disorder*) or blindness or </w:t>
      </w:r>
      <w:r w:rsidRPr="00C1603D">
        <w:rPr>
          <w:color w:val="00B0F0"/>
        </w:rPr>
        <w:t>“</w:t>
      </w:r>
      <w:r w:rsidRPr="00C1603D">
        <w:t xml:space="preserve">blind loop </w:t>
      </w:r>
      <w:proofErr w:type="spellStart"/>
      <w:r w:rsidRPr="00C1603D">
        <w:t>syndrom</w:t>
      </w:r>
      <w:proofErr w:type="spellEnd"/>
      <w:r w:rsidRPr="00C1603D">
        <w:t>*</w:t>
      </w:r>
      <w:r w:rsidRPr="00C1603D">
        <w:rPr>
          <w:color w:val="00B0F0"/>
        </w:rPr>
        <w:t>”</w:t>
      </w:r>
      <w:r w:rsidRPr="00C1603D">
        <w:t xml:space="preserve"> or (blood near poisoning) or </w:t>
      </w:r>
      <w:r w:rsidRPr="00C1603D">
        <w:rPr>
          <w:color w:val="00B0F0"/>
        </w:rPr>
        <w:t>“</w:t>
      </w:r>
      <w:r w:rsidRPr="00C1603D">
        <w:t xml:space="preserve">brain </w:t>
      </w:r>
      <w:proofErr w:type="spellStart"/>
      <w:r w:rsidRPr="00C1603D">
        <w:t>atroph</w:t>
      </w:r>
      <w:proofErr w:type="spellEnd"/>
      <w:r w:rsidRPr="00C1603D">
        <w:t>*</w:t>
      </w:r>
      <w:r w:rsidRPr="00C1603D">
        <w:rPr>
          <w:color w:val="00B0F0"/>
        </w:rPr>
        <w:t>”</w:t>
      </w:r>
      <w:r w:rsidRPr="00C1603D">
        <w:t xml:space="preserve"> or ((bone or bones) near (broken or disease* or disorder* or </w:t>
      </w:r>
      <w:proofErr w:type="spellStart"/>
      <w:r w:rsidRPr="00C1603D">
        <w:t>syndrom</w:t>
      </w:r>
      <w:proofErr w:type="spellEnd"/>
      <w:r w:rsidRPr="00C1603D">
        <w:t xml:space="preserve">*)) or (bone* near (mineral* or </w:t>
      </w:r>
      <w:proofErr w:type="spellStart"/>
      <w:r w:rsidRPr="00C1603D">
        <w:t>densit</w:t>
      </w:r>
      <w:proofErr w:type="spellEnd"/>
      <w:r w:rsidRPr="00C1603D">
        <w:t xml:space="preserve">* or soft* or decay*)) or (brain near (disease* or disorder* or </w:t>
      </w:r>
      <w:proofErr w:type="spellStart"/>
      <w:r w:rsidRPr="00C1603D">
        <w:t>syndrom</w:t>
      </w:r>
      <w:proofErr w:type="spellEnd"/>
      <w:r w:rsidRPr="00C1603D">
        <w:t xml:space="preserve">*)) or (bronchi* near (disease* or disorder* or </w:t>
      </w:r>
      <w:proofErr w:type="spellStart"/>
      <w:r w:rsidRPr="00C1603D">
        <w:t>syndrom</w:t>
      </w:r>
      <w:proofErr w:type="spellEnd"/>
      <w:r w:rsidRPr="00C1603D">
        <w:t xml:space="preserve">*)) or (bowel* near (disease* or disorder* or </w:t>
      </w:r>
      <w:proofErr w:type="spellStart"/>
      <w:r w:rsidRPr="00C1603D">
        <w:t>syndrom</w:t>
      </w:r>
      <w:proofErr w:type="spellEnd"/>
      <w:r w:rsidRPr="00C1603D">
        <w:t xml:space="preserve">*)) or calcinosis or cancer* or carcinoma* or adenocarcinoma* or neoplasm* or neoplastic or </w:t>
      </w:r>
      <w:proofErr w:type="spellStart"/>
      <w:r w:rsidRPr="00C1603D">
        <w:t>metasta</w:t>
      </w:r>
      <w:proofErr w:type="spellEnd"/>
      <w:r w:rsidRPr="00C1603D">
        <w:t xml:space="preserve">* or </w:t>
      </w:r>
      <w:proofErr w:type="spellStart"/>
      <w:r w:rsidRPr="00C1603D">
        <w:t>malignan</w:t>
      </w:r>
      <w:proofErr w:type="spellEnd"/>
      <w:r w:rsidRPr="00C1603D">
        <w:t xml:space="preserve">* or tumour or tumours or </w:t>
      </w:r>
      <w:proofErr w:type="spellStart"/>
      <w:r w:rsidRPr="00C1603D">
        <w:t>tumor</w:t>
      </w:r>
      <w:proofErr w:type="spellEnd"/>
      <w:r w:rsidRPr="00C1603D">
        <w:t xml:space="preserve"> or </w:t>
      </w:r>
      <w:proofErr w:type="spellStart"/>
      <w:r w:rsidRPr="00C1603D">
        <w:t>tumors</w:t>
      </w:r>
      <w:proofErr w:type="spellEnd"/>
      <w:r w:rsidRPr="00C1603D">
        <w:t xml:space="preserve"> or (cardiac near (arrest or arrhythmia* or disease* or disorder* or </w:t>
      </w:r>
      <w:proofErr w:type="spellStart"/>
      <w:r w:rsidRPr="00C1603D">
        <w:t>surg</w:t>
      </w:r>
      <w:proofErr w:type="spellEnd"/>
      <w:r w:rsidRPr="00C1603D">
        <w:t xml:space="preserve">* or </w:t>
      </w:r>
      <w:proofErr w:type="spellStart"/>
      <w:r w:rsidRPr="00C1603D">
        <w:t>syndrom</w:t>
      </w:r>
      <w:proofErr w:type="spellEnd"/>
      <w:r w:rsidRPr="00C1603D">
        <w:t xml:space="preserve">*)) or </w:t>
      </w:r>
      <w:proofErr w:type="spellStart"/>
      <w:r w:rsidRPr="00C1603D">
        <w:t>cardiomyopath</w:t>
      </w:r>
      <w:proofErr w:type="spellEnd"/>
      <w:r w:rsidRPr="00C1603D">
        <w:t xml:space="preserve">* or ((cardiovascular or coronary) near (disease* or disorder* or event* or </w:t>
      </w:r>
      <w:proofErr w:type="spellStart"/>
      <w:r w:rsidRPr="00C1603D">
        <w:t>syndrom</w:t>
      </w:r>
      <w:proofErr w:type="spellEnd"/>
      <w:r w:rsidRPr="00C1603D">
        <w:t>*)) or cachexia or ((</w:t>
      </w:r>
      <w:proofErr w:type="spellStart"/>
      <w:r w:rsidRPr="00C1603D">
        <w:t>cecal</w:t>
      </w:r>
      <w:proofErr w:type="spellEnd"/>
      <w:r w:rsidRPr="00C1603D">
        <w:t xml:space="preserve"> or colon* or </w:t>
      </w:r>
      <w:proofErr w:type="spellStart"/>
      <w:r w:rsidRPr="00C1603D">
        <w:t>duoden</w:t>
      </w:r>
      <w:proofErr w:type="spellEnd"/>
      <w:r w:rsidRPr="00C1603D">
        <w:t xml:space="preserve">*) near (disease* or disorder* or </w:t>
      </w:r>
      <w:proofErr w:type="spellStart"/>
      <w:r w:rsidRPr="00C1603D">
        <w:t>syndrom</w:t>
      </w:r>
      <w:proofErr w:type="spellEnd"/>
      <w:r w:rsidRPr="00C1603D">
        <w:t xml:space="preserve">*)) or </w:t>
      </w:r>
      <w:r w:rsidRPr="00C1603D">
        <w:rPr>
          <w:color w:val="00B0F0"/>
        </w:rPr>
        <w:t>“</w:t>
      </w:r>
      <w:r w:rsidRPr="00C1603D">
        <w:t>cerebral palsy</w:t>
      </w:r>
      <w:r w:rsidRPr="00C1603D">
        <w:rPr>
          <w:color w:val="00B0F0"/>
        </w:rPr>
        <w:t>”</w:t>
      </w:r>
      <w:r w:rsidRPr="00C1603D">
        <w:t xml:space="preserve"> or (</w:t>
      </w:r>
      <w:proofErr w:type="spellStart"/>
      <w:r w:rsidRPr="00C1603D">
        <w:t>cerebro</w:t>
      </w:r>
      <w:proofErr w:type="spellEnd"/>
      <w:r w:rsidRPr="00C1603D">
        <w:t>* near (</w:t>
      </w:r>
      <w:proofErr w:type="spellStart"/>
      <w:r w:rsidRPr="00C1603D">
        <w:t>degenerat</w:t>
      </w:r>
      <w:proofErr w:type="spellEnd"/>
      <w:r w:rsidRPr="00C1603D">
        <w:t xml:space="preserve">* or disease* or disorder* or event* or </w:t>
      </w:r>
      <w:proofErr w:type="spellStart"/>
      <w:r w:rsidRPr="00C1603D">
        <w:t>syndrom</w:t>
      </w:r>
      <w:proofErr w:type="spellEnd"/>
      <w:r w:rsidRPr="00C1603D">
        <w:t xml:space="preserve">*)) or </w:t>
      </w:r>
      <w:r w:rsidRPr="00C1603D">
        <w:rPr>
          <w:color w:val="00B0F0"/>
        </w:rPr>
        <w:t>“</w:t>
      </w:r>
      <w:r w:rsidRPr="00C1603D">
        <w:t>chronic obstructive disease</w:t>
      </w:r>
      <w:r w:rsidRPr="00C1603D">
        <w:rPr>
          <w:color w:val="00B0F0"/>
        </w:rPr>
        <w:t>”</w:t>
      </w:r>
      <w:r w:rsidRPr="00C1603D">
        <w:t xml:space="preserve"> or cirrhosis or claudication or colic or COPD or ((coordination or co-ordination) near (impair* or lack)) or </w:t>
      </w:r>
      <w:r w:rsidRPr="00C1603D">
        <w:rPr>
          <w:color w:val="00B0F0"/>
        </w:rPr>
        <w:t>“</w:t>
      </w:r>
      <w:r w:rsidRPr="00C1603D">
        <w:t xml:space="preserve">congenital </w:t>
      </w:r>
      <w:proofErr w:type="spellStart"/>
      <w:r w:rsidRPr="00C1603D">
        <w:t>abnormalit</w:t>
      </w:r>
      <w:proofErr w:type="spellEnd"/>
      <w:r w:rsidRPr="00C1603D">
        <w:t>*</w:t>
      </w:r>
      <w:r w:rsidRPr="00C1603D">
        <w:rPr>
          <w:color w:val="00B0F0"/>
        </w:rPr>
        <w:t>”</w:t>
      </w:r>
      <w:r w:rsidRPr="00C1603D">
        <w:t xml:space="preserve"> or (</w:t>
      </w:r>
      <w:proofErr w:type="spellStart"/>
      <w:r w:rsidRPr="00C1603D">
        <w:t>congential</w:t>
      </w:r>
      <w:proofErr w:type="spellEnd"/>
      <w:r w:rsidRPr="00C1603D">
        <w:t xml:space="preserve"> near (disease or disorder* or </w:t>
      </w:r>
      <w:proofErr w:type="spellStart"/>
      <w:r w:rsidRPr="00C1603D">
        <w:t>syndrom</w:t>
      </w:r>
      <w:proofErr w:type="spellEnd"/>
      <w:r w:rsidRPr="00C1603D">
        <w:t xml:space="preserve">*)) or ((connective or collagen* or skin) near (disease or disorder* or </w:t>
      </w:r>
      <w:proofErr w:type="spellStart"/>
      <w:r w:rsidRPr="00C1603D">
        <w:t>syndrom</w:t>
      </w:r>
      <w:proofErr w:type="spellEnd"/>
      <w:r w:rsidRPr="00C1603D">
        <w:t xml:space="preserve">*)) or </w:t>
      </w:r>
      <w:r w:rsidRPr="00C1603D">
        <w:rPr>
          <w:color w:val="00B0F0"/>
        </w:rPr>
        <w:t>“</w:t>
      </w:r>
      <w:r w:rsidRPr="00C1603D">
        <w:t>collagenous sprue</w:t>
      </w:r>
      <w:r w:rsidRPr="00C1603D">
        <w:rPr>
          <w:color w:val="00B0F0"/>
        </w:rPr>
        <w:t>”</w:t>
      </w:r>
      <w:r w:rsidRPr="00C1603D">
        <w:t xml:space="preserve"> or colitis or </w:t>
      </w:r>
      <w:proofErr w:type="spellStart"/>
      <w:r w:rsidRPr="00C1603D">
        <w:t>colotides</w:t>
      </w:r>
      <w:proofErr w:type="spellEnd"/>
      <w:r w:rsidRPr="00C1603D">
        <w:t xml:space="preserve"> or coxarthrosis or </w:t>
      </w:r>
      <w:proofErr w:type="spellStart"/>
      <w:r w:rsidRPr="00C1603D">
        <w:t>crohn</w:t>
      </w:r>
      <w:proofErr w:type="spellEnd"/>
      <w:r w:rsidRPr="00C1603D">
        <w:t xml:space="preserve">* or </w:t>
      </w:r>
      <w:proofErr w:type="spellStart"/>
      <w:r w:rsidRPr="00C1603D">
        <w:t>cushing</w:t>
      </w:r>
      <w:proofErr w:type="spellEnd"/>
      <w:r w:rsidRPr="00C1603D">
        <w:t xml:space="preserve">* or cyanosis or </w:t>
      </w:r>
      <w:r w:rsidRPr="00C1603D">
        <w:rPr>
          <w:color w:val="00B0F0"/>
        </w:rPr>
        <w:t>“</w:t>
      </w:r>
      <w:r w:rsidRPr="00C1603D">
        <w:t>cystic fibrosis</w:t>
      </w:r>
      <w:r w:rsidRPr="00C1603D">
        <w:rPr>
          <w:color w:val="00B0F0"/>
        </w:rPr>
        <w:t>”</w:t>
      </w:r>
      <w:r w:rsidRPr="00C1603D">
        <w:t xml:space="preserve"> or cystitis or deaf* or </w:t>
      </w:r>
      <w:proofErr w:type="spellStart"/>
      <w:r w:rsidRPr="00C1603D">
        <w:t>deformit</w:t>
      </w:r>
      <w:proofErr w:type="spellEnd"/>
      <w:r w:rsidRPr="00C1603D">
        <w:t xml:space="preserve">* or </w:t>
      </w:r>
      <w:r w:rsidRPr="00C1603D">
        <w:rPr>
          <w:color w:val="00B0F0"/>
        </w:rPr>
        <w:t>“</w:t>
      </w:r>
      <w:r w:rsidRPr="00C1603D">
        <w:t>delayed puberty</w:t>
      </w:r>
      <w:r w:rsidRPr="00C1603D">
        <w:rPr>
          <w:color w:val="00B0F0"/>
        </w:rPr>
        <w:t>”</w:t>
      </w:r>
      <w:r w:rsidRPr="00C1603D">
        <w:t xml:space="preserve"> or dental or </w:t>
      </w:r>
      <w:r w:rsidRPr="00C1603D">
        <w:rPr>
          <w:color w:val="00B0F0"/>
        </w:rPr>
        <w:t>“</w:t>
      </w:r>
      <w:r w:rsidRPr="00C1603D">
        <w:t>depressive disorder*</w:t>
      </w:r>
      <w:r w:rsidRPr="00C1603D">
        <w:rPr>
          <w:color w:val="00B0F0"/>
        </w:rPr>
        <w:t>”</w:t>
      </w:r>
      <w:r w:rsidRPr="00C1603D">
        <w:t xml:space="preserve"> or dysphoria or dysthymia or disabled or (physical near (deform* or </w:t>
      </w:r>
      <w:proofErr w:type="spellStart"/>
      <w:r w:rsidRPr="00C1603D">
        <w:t>disab</w:t>
      </w:r>
      <w:proofErr w:type="spellEnd"/>
      <w:r w:rsidRPr="00C1603D">
        <w:t xml:space="preserve">* or impair*)) or dermatitis or </w:t>
      </w:r>
      <w:proofErr w:type="spellStart"/>
      <w:r w:rsidRPr="00C1603D">
        <w:t>dermato</w:t>
      </w:r>
      <w:proofErr w:type="spellEnd"/>
      <w:r w:rsidRPr="00C1603D">
        <w:t xml:space="preserve">* or </w:t>
      </w:r>
      <w:proofErr w:type="spellStart"/>
      <w:r w:rsidRPr="00C1603D">
        <w:t>dorsopath</w:t>
      </w:r>
      <w:proofErr w:type="spellEnd"/>
      <w:r w:rsidRPr="00C1603D">
        <w:t xml:space="preserve">* or </w:t>
      </w:r>
      <w:proofErr w:type="spellStart"/>
      <w:r w:rsidRPr="00C1603D">
        <w:t>diabet</w:t>
      </w:r>
      <w:proofErr w:type="spellEnd"/>
      <w:r w:rsidRPr="00C1603D">
        <w:t xml:space="preserve">* or </w:t>
      </w:r>
      <w:r w:rsidRPr="00C1603D">
        <w:rPr>
          <w:color w:val="00B0F0"/>
        </w:rPr>
        <w:t>“</w:t>
      </w:r>
      <w:r w:rsidRPr="00C1603D">
        <w:t xml:space="preserve">down* </w:t>
      </w:r>
      <w:proofErr w:type="spellStart"/>
      <w:r w:rsidRPr="00C1603D">
        <w:t>syndrom</w:t>
      </w:r>
      <w:proofErr w:type="spellEnd"/>
      <w:r w:rsidRPr="00C1603D">
        <w:t>*</w:t>
      </w:r>
      <w:r w:rsidRPr="00C1603D">
        <w:rPr>
          <w:color w:val="00B0F0"/>
        </w:rPr>
        <w:t>”</w:t>
      </w:r>
      <w:r w:rsidRPr="00C1603D">
        <w:t xml:space="preserve"> or </w:t>
      </w:r>
      <w:proofErr w:type="spellStart"/>
      <w:r w:rsidRPr="00C1603D">
        <w:t>duhring</w:t>
      </w:r>
      <w:proofErr w:type="spellEnd"/>
      <w:r w:rsidRPr="00C1603D">
        <w:t xml:space="preserve">* or </w:t>
      </w:r>
      <w:proofErr w:type="spellStart"/>
      <w:r w:rsidRPr="00C1603D">
        <w:t>duehring</w:t>
      </w:r>
      <w:proofErr w:type="spellEnd"/>
      <w:r w:rsidRPr="00C1603D">
        <w:t xml:space="preserve">* or </w:t>
      </w:r>
      <w:proofErr w:type="spellStart"/>
      <w:r w:rsidRPr="00C1603D">
        <w:t>duhrig</w:t>
      </w:r>
      <w:proofErr w:type="spellEnd"/>
      <w:r w:rsidRPr="00C1603D">
        <w:t xml:space="preserve">* or </w:t>
      </w:r>
      <w:proofErr w:type="spellStart"/>
      <w:r w:rsidRPr="00C1603D">
        <w:t>duehrig</w:t>
      </w:r>
      <w:proofErr w:type="spellEnd"/>
      <w:r w:rsidRPr="00C1603D">
        <w:t xml:space="preserve">* or dyscoordination or </w:t>
      </w:r>
      <w:proofErr w:type="spellStart"/>
      <w:r w:rsidRPr="00C1603D">
        <w:t>dys</w:t>
      </w:r>
      <w:proofErr w:type="spellEnd"/>
      <w:r w:rsidRPr="00C1603D">
        <w:t xml:space="preserve">-coordination or </w:t>
      </w:r>
      <w:proofErr w:type="spellStart"/>
      <w:r w:rsidRPr="00C1603D">
        <w:t>dys</w:t>
      </w:r>
      <w:proofErr w:type="spellEnd"/>
      <w:r w:rsidRPr="00C1603D">
        <w:t xml:space="preserve">-coordination or </w:t>
      </w:r>
      <w:proofErr w:type="spellStart"/>
      <w:r w:rsidRPr="00C1603D">
        <w:t>dys</w:t>
      </w:r>
      <w:proofErr w:type="spellEnd"/>
      <w:r w:rsidRPr="00C1603D">
        <w:t xml:space="preserve">-co-ordination or dysentery or dyssynergia or </w:t>
      </w:r>
      <w:proofErr w:type="spellStart"/>
      <w:r w:rsidRPr="00C1603D">
        <w:t>dys</w:t>
      </w:r>
      <w:proofErr w:type="spellEnd"/>
      <w:r w:rsidRPr="00C1603D">
        <w:t xml:space="preserve">-synergia or </w:t>
      </w:r>
      <w:proofErr w:type="spellStart"/>
      <w:r w:rsidRPr="00C1603D">
        <w:t>emaciat</w:t>
      </w:r>
      <w:proofErr w:type="spellEnd"/>
      <w:r w:rsidRPr="00C1603D">
        <w:t xml:space="preserve">* or enteritis or enterocolitis* or dystonia or eczema or </w:t>
      </w:r>
      <w:proofErr w:type="spellStart"/>
      <w:r w:rsidRPr="00C1603D">
        <w:t>edema</w:t>
      </w:r>
      <w:proofErr w:type="spellEnd"/>
      <w:r w:rsidRPr="00C1603D">
        <w:t xml:space="preserve"> or oedema or </w:t>
      </w:r>
      <w:r w:rsidRPr="00C1603D">
        <w:rPr>
          <w:color w:val="00B0F0"/>
        </w:rPr>
        <w:t>“</w:t>
      </w:r>
      <w:r w:rsidRPr="00C1603D">
        <w:t xml:space="preserve">elfin face </w:t>
      </w:r>
      <w:proofErr w:type="spellStart"/>
      <w:r w:rsidRPr="00C1603D">
        <w:t>sydrom</w:t>
      </w:r>
      <w:proofErr w:type="spellEnd"/>
      <w:r w:rsidRPr="00C1603D">
        <w:t>*</w:t>
      </w:r>
      <w:r w:rsidRPr="00C1603D">
        <w:rPr>
          <w:color w:val="00B0F0"/>
        </w:rPr>
        <w:t>”</w:t>
      </w:r>
      <w:r w:rsidRPr="00C1603D">
        <w:t xml:space="preserve"> or </w:t>
      </w:r>
      <w:proofErr w:type="spellStart"/>
      <w:r w:rsidRPr="00C1603D">
        <w:t>encephalopath</w:t>
      </w:r>
      <w:proofErr w:type="spellEnd"/>
      <w:r w:rsidRPr="00C1603D">
        <w:t xml:space="preserve">* or (endocrine near (disease* or disorder* or </w:t>
      </w:r>
      <w:proofErr w:type="spellStart"/>
      <w:r w:rsidRPr="00C1603D">
        <w:t>syndrom</w:t>
      </w:r>
      <w:proofErr w:type="spellEnd"/>
      <w:r w:rsidRPr="00C1603D">
        <w:t xml:space="preserve">*)) or enuresis or </w:t>
      </w:r>
      <w:proofErr w:type="spellStart"/>
      <w:r w:rsidRPr="00C1603D">
        <w:t>enteropath</w:t>
      </w:r>
      <w:proofErr w:type="spellEnd"/>
      <w:r w:rsidRPr="00C1603D">
        <w:t xml:space="preserve">* or </w:t>
      </w:r>
      <w:proofErr w:type="spellStart"/>
      <w:r w:rsidRPr="00C1603D">
        <w:t>epilep</w:t>
      </w:r>
      <w:proofErr w:type="spellEnd"/>
      <w:r w:rsidRPr="00C1603D">
        <w:t xml:space="preserve">* or (eye near (disease* or </w:t>
      </w:r>
      <w:r w:rsidRPr="00C1603D">
        <w:lastRenderedPageBreak/>
        <w:t xml:space="preserve">disorder* or manifestation* or syndrome*)) or </w:t>
      </w:r>
      <w:r w:rsidRPr="00C1603D">
        <w:rPr>
          <w:color w:val="00B0F0"/>
        </w:rPr>
        <w:t>“</w:t>
      </w:r>
      <w:r w:rsidRPr="00C1603D">
        <w:t>fatigue syndrome</w:t>
      </w:r>
      <w:r w:rsidRPr="00C1603D">
        <w:rPr>
          <w:color w:val="00B0F0"/>
        </w:rPr>
        <w:t>”</w:t>
      </w:r>
      <w:r w:rsidRPr="00C1603D">
        <w:t xml:space="preserve"> or </w:t>
      </w:r>
      <w:r w:rsidRPr="00C1603D">
        <w:rPr>
          <w:color w:val="00B0F0"/>
        </w:rPr>
        <w:t>“</w:t>
      </w:r>
      <w:r w:rsidRPr="00C1603D">
        <w:t>chronic fatigue</w:t>
      </w:r>
      <w:r w:rsidRPr="00C1603D">
        <w:rPr>
          <w:color w:val="00B0F0"/>
        </w:rPr>
        <w:t>”</w:t>
      </w:r>
      <w:r w:rsidRPr="00C1603D">
        <w:t xml:space="preserve"> or </w:t>
      </w:r>
      <w:r w:rsidRPr="00C1603D">
        <w:rPr>
          <w:color w:val="00B0F0"/>
        </w:rPr>
        <w:t>“</w:t>
      </w:r>
      <w:r w:rsidRPr="00C1603D">
        <w:t>failure to thrive</w:t>
      </w:r>
      <w:r w:rsidRPr="00C1603D">
        <w:rPr>
          <w:color w:val="00B0F0"/>
        </w:rPr>
        <w:t>”</w:t>
      </w:r>
      <w:r w:rsidRPr="00C1603D">
        <w:t xml:space="preserve"> or fibromyalgia or fibrosis or </w:t>
      </w:r>
      <w:r w:rsidRPr="00C1603D">
        <w:rPr>
          <w:color w:val="00B0F0"/>
        </w:rPr>
        <w:t>“</w:t>
      </w:r>
      <w:r w:rsidRPr="00C1603D">
        <w:t>food hypersensitivity</w:t>
      </w:r>
      <w:r w:rsidRPr="00C1603D">
        <w:rPr>
          <w:color w:val="00B0F0"/>
        </w:rPr>
        <w:t>”</w:t>
      </w:r>
      <w:r w:rsidRPr="00C1603D">
        <w:t xml:space="preserve"> or fractures or gammaglobulinemia or </w:t>
      </w:r>
      <w:proofErr w:type="spellStart"/>
      <w:r w:rsidRPr="00C1603D">
        <w:t>gammaglobulinaemia</w:t>
      </w:r>
      <w:proofErr w:type="spellEnd"/>
      <w:r w:rsidRPr="00C1603D">
        <w:t xml:space="preserve"> or (</w:t>
      </w:r>
      <w:proofErr w:type="spellStart"/>
      <w:r w:rsidRPr="00C1603D">
        <w:t>gardner</w:t>
      </w:r>
      <w:proofErr w:type="spellEnd"/>
      <w:r w:rsidRPr="00C1603D">
        <w:t>* near (</w:t>
      </w:r>
      <w:proofErr w:type="spellStart"/>
      <w:r w:rsidRPr="00C1603D">
        <w:t>syndrom</w:t>
      </w:r>
      <w:proofErr w:type="spellEnd"/>
      <w:r w:rsidRPr="00C1603D">
        <w:t>* or disease* or disorder*)) or gastritis or gastroenteritis or gout or (</w:t>
      </w:r>
      <w:proofErr w:type="spellStart"/>
      <w:r w:rsidRPr="00C1603D">
        <w:t>glomerul</w:t>
      </w:r>
      <w:proofErr w:type="spellEnd"/>
      <w:r w:rsidRPr="00C1603D">
        <w:t xml:space="preserve">* near (disease* or disorder* or </w:t>
      </w:r>
      <w:proofErr w:type="spellStart"/>
      <w:r w:rsidRPr="00C1603D">
        <w:t>syndrom</w:t>
      </w:r>
      <w:proofErr w:type="spellEnd"/>
      <w:r w:rsidRPr="00C1603D">
        <w:t xml:space="preserve">*)) or </w:t>
      </w:r>
      <w:r w:rsidRPr="00C1603D">
        <w:rPr>
          <w:color w:val="00B0F0"/>
        </w:rPr>
        <w:t>“</w:t>
      </w:r>
      <w:proofErr w:type="spellStart"/>
      <w:r w:rsidRPr="00C1603D">
        <w:t>gonodal</w:t>
      </w:r>
      <w:proofErr w:type="spellEnd"/>
      <w:r w:rsidRPr="00C1603D">
        <w:t xml:space="preserve"> near </w:t>
      </w:r>
      <w:proofErr w:type="spellStart"/>
      <w:r w:rsidRPr="00C1603D">
        <w:t>dysgen</w:t>
      </w:r>
      <w:proofErr w:type="spellEnd"/>
      <w:r w:rsidRPr="00C1603D">
        <w:t>*</w:t>
      </w:r>
      <w:r w:rsidRPr="00C1603D">
        <w:rPr>
          <w:color w:val="00B0F0"/>
        </w:rPr>
        <w:t>”</w:t>
      </w:r>
      <w:r w:rsidRPr="00C1603D">
        <w:t xml:space="preserve"> or (growth near (disease* or disorder* or </w:t>
      </w:r>
      <w:proofErr w:type="spellStart"/>
      <w:r w:rsidRPr="00C1603D">
        <w:t>syndrom</w:t>
      </w:r>
      <w:proofErr w:type="spellEnd"/>
      <w:r w:rsidRPr="00C1603D">
        <w:t xml:space="preserve">*)) or headache* or ((hemic or haemic or lymph*) near (disease* or disorder* or </w:t>
      </w:r>
      <w:proofErr w:type="spellStart"/>
      <w:r w:rsidRPr="00C1603D">
        <w:t>syndrom</w:t>
      </w:r>
      <w:proofErr w:type="spellEnd"/>
      <w:r w:rsidRPr="00C1603D">
        <w:t xml:space="preserve">*)) or </w:t>
      </w:r>
      <w:proofErr w:type="spellStart"/>
      <w:r w:rsidRPr="00C1603D">
        <w:t>hematuria</w:t>
      </w:r>
      <w:proofErr w:type="spellEnd"/>
      <w:r w:rsidRPr="00C1603D">
        <w:t xml:space="preserve"> or haematuria or </w:t>
      </w:r>
      <w:proofErr w:type="spellStart"/>
      <w:r w:rsidRPr="00C1603D">
        <w:t>hemophili</w:t>
      </w:r>
      <w:proofErr w:type="spellEnd"/>
      <w:r w:rsidRPr="00C1603D">
        <w:t xml:space="preserve">* or haemophili* or ((hearing or visual or vision or sight) near (aid* or impair* or loss)) or (heart near (disease* or disorder* or failure or </w:t>
      </w:r>
      <w:proofErr w:type="spellStart"/>
      <w:r w:rsidRPr="00C1603D">
        <w:t>syndrom</w:t>
      </w:r>
      <w:proofErr w:type="spellEnd"/>
      <w:r w:rsidRPr="00C1603D">
        <w:t xml:space="preserve">* or manifestation* or myopathy*)) or </w:t>
      </w:r>
      <w:proofErr w:type="spellStart"/>
      <w:r w:rsidRPr="00C1603D">
        <w:t>hemiplegi</w:t>
      </w:r>
      <w:proofErr w:type="spellEnd"/>
      <w:r w:rsidRPr="00C1603D">
        <w:t xml:space="preserve">* or hepatitis or </w:t>
      </w:r>
      <w:proofErr w:type="spellStart"/>
      <w:r w:rsidRPr="00C1603D">
        <w:t>hemodialysis</w:t>
      </w:r>
      <w:proofErr w:type="spellEnd"/>
      <w:r w:rsidRPr="00C1603D">
        <w:t xml:space="preserve"> or haemodialysis </w:t>
      </w:r>
      <w:proofErr w:type="spellStart"/>
      <w:r w:rsidRPr="00C1603D">
        <w:t>hiv</w:t>
      </w:r>
      <w:proofErr w:type="spellEnd"/>
      <w:r w:rsidRPr="00C1603D">
        <w:t xml:space="preserve"> or </w:t>
      </w:r>
      <w:r w:rsidRPr="00C1603D">
        <w:rPr>
          <w:color w:val="00B0F0"/>
        </w:rPr>
        <w:t>“</w:t>
      </w:r>
      <w:r w:rsidRPr="00C1603D">
        <w:t>human immunodeficiency virus</w:t>
      </w:r>
      <w:r w:rsidRPr="00C1603D">
        <w:rPr>
          <w:color w:val="00B0F0"/>
        </w:rPr>
        <w:t>”</w:t>
      </w:r>
      <w:r w:rsidRPr="00C1603D">
        <w:t xml:space="preserve"> or </w:t>
      </w:r>
      <w:r w:rsidRPr="00C1603D">
        <w:rPr>
          <w:color w:val="00B0F0"/>
        </w:rPr>
        <w:t>“</w:t>
      </w:r>
      <w:r w:rsidRPr="00C1603D">
        <w:t xml:space="preserve">acquired </w:t>
      </w:r>
      <w:proofErr w:type="spellStart"/>
      <w:r w:rsidRPr="00C1603D">
        <w:t>immunodeficieny</w:t>
      </w:r>
      <w:proofErr w:type="spellEnd"/>
      <w:r w:rsidRPr="00C1603D">
        <w:t xml:space="preserve"> </w:t>
      </w:r>
      <w:proofErr w:type="spellStart"/>
      <w:r w:rsidRPr="00C1603D">
        <w:t>syndrom</w:t>
      </w:r>
      <w:proofErr w:type="spellEnd"/>
      <w:r w:rsidRPr="00C1603D">
        <w:t>*</w:t>
      </w:r>
      <w:r w:rsidRPr="00C1603D">
        <w:rPr>
          <w:color w:val="00B0F0"/>
        </w:rPr>
        <w:t>”</w:t>
      </w:r>
      <w:r w:rsidRPr="00C1603D">
        <w:t xml:space="preserve"> or </w:t>
      </w:r>
      <w:r w:rsidRPr="00C1603D">
        <w:rPr>
          <w:color w:val="00B0F0"/>
        </w:rPr>
        <w:t>“</w:t>
      </w:r>
      <w:proofErr w:type="spellStart"/>
      <w:r w:rsidRPr="00C1603D">
        <w:t>heerfordt</w:t>
      </w:r>
      <w:proofErr w:type="spellEnd"/>
      <w:r w:rsidRPr="00C1603D">
        <w:t xml:space="preserve"> </w:t>
      </w:r>
      <w:proofErr w:type="spellStart"/>
      <w:r w:rsidRPr="00C1603D">
        <w:t>waldenstrom</w:t>
      </w:r>
      <w:proofErr w:type="spellEnd"/>
      <w:r w:rsidRPr="00C1603D">
        <w:t>*</w:t>
      </w:r>
      <w:r w:rsidRPr="00C1603D">
        <w:rPr>
          <w:color w:val="00B0F0"/>
        </w:rPr>
        <w:t>”</w:t>
      </w:r>
      <w:r w:rsidRPr="00C1603D">
        <w:t xml:space="preserve"> or </w:t>
      </w:r>
      <w:proofErr w:type="spellStart"/>
      <w:r w:rsidRPr="00C1603D">
        <w:t>hidroa</w:t>
      </w:r>
      <w:proofErr w:type="spellEnd"/>
      <w:r w:rsidRPr="00C1603D">
        <w:t xml:space="preserve"> or </w:t>
      </w:r>
      <w:proofErr w:type="spellStart"/>
      <w:r w:rsidRPr="00C1603D">
        <w:t>hydroa</w:t>
      </w:r>
      <w:proofErr w:type="spellEnd"/>
      <w:r w:rsidRPr="00C1603D">
        <w:t xml:space="preserve"> or </w:t>
      </w:r>
      <w:r w:rsidRPr="00C1603D">
        <w:rPr>
          <w:color w:val="00B0F0"/>
        </w:rPr>
        <w:t>“</w:t>
      </w:r>
      <w:proofErr w:type="spellStart"/>
      <w:r w:rsidRPr="00C1603D">
        <w:t>hippel</w:t>
      </w:r>
      <w:proofErr w:type="spellEnd"/>
      <w:r w:rsidRPr="00C1603D">
        <w:t xml:space="preserve"> </w:t>
      </w:r>
      <w:proofErr w:type="spellStart"/>
      <w:r w:rsidRPr="00C1603D">
        <w:t>lindau</w:t>
      </w:r>
      <w:proofErr w:type="spellEnd"/>
      <w:r w:rsidRPr="00C1603D">
        <w:t>*</w:t>
      </w:r>
      <w:r w:rsidRPr="00C1603D">
        <w:rPr>
          <w:color w:val="00B0F0"/>
        </w:rPr>
        <w:t>”</w:t>
      </w:r>
      <w:r w:rsidRPr="00C1603D">
        <w:t xml:space="preserve"> or </w:t>
      </w:r>
      <w:proofErr w:type="spellStart"/>
      <w:r w:rsidRPr="00C1603D">
        <w:t>hypertensi</w:t>
      </w:r>
      <w:proofErr w:type="spellEnd"/>
      <w:r w:rsidRPr="00C1603D">
        <w:t xml:space="preserve">* or </w:t>
      </w:r>
      <w:proofErr w:type="spellStart"/>
      <w:r w:rsidRPr="00C1603D">
        <w:t>hypotensi</w:t>
      </w:r>
      <w:proofErr w:type="spellEnd"/>
      <w:r w:rsidRPr="00C1603D">
        <w:t xml:space="preserve">* or hyperthyroidism or hypothyroidism or </w:t>
      </w:r>
      <w:proofErr w:type="spellStart"/>
      <w:r w:rsidRPr="00C1603D">
        <w:t>hypocortisolism</w:t>
      </w:r>
      <w:proofErr w:type="spellEnd"/>
      <w:r w:rsidRPr="00C1603D">
        <w:t xml:space="preserve"> or </w:t>
      </w:r>
      <w:proofErr w:type="spellStart"/>
      <w:r w:rsidRPr="00C1603D">
        <w:t>hypocorticism</w:t>
      </w:r>
      <w:proofErr w:type="spellEnd"/>
      <w:r w:rsidRPr="00C1603D">
        <w:t xml:space="preserve"> or hypoadrenalism or incoordination or </w:t>
      </w:r>
      <w:proofErr w:type="spellStart"/>
      <w:r w:rsidRPr="00C1603D">
        <w:t>inco</w:t>
      </w:r>
      <w:proofErr w:type="spellEnd"/>
      <w:r w:rsidRPr="00C1603D">
        <w:t>-ordination or in-coordination or in-co-ordination or infertility or subfertility or sub-</w:t>
      </w:r>
      <w:proofErr w:type="spellStart"/>
      <w:r w:rsidRPr="00C1603D">
        <w:t>fertil</w:t>
      </w:r>
      <w:proofErr w:type="spellEnd"/>
      <w:r w:rsidRPr="00C1603D">
        <w:t xml:space="preserve">* or sterility or </w:t>
      </w:r>
      <w:r w:rsidRPr="00C1603D">
        <w:rPr>
          <w:color w:val="00B0F0"/>
        </w:rPr>
        <w:t>“</w:t>
      </w:r>
      <w:r w:rsidRPr="00C1603D">
        <w:t>inflammatory disease*</w:t>
      </w:r>
      <w:r w:rsidRPr="00C1603D">
        <w:rPr>
          <w:color w:val="00B0F0"/>
        </w:rPr>
        <w:t>”</w:t>
      </w:r>
      <w:r w:rsidRPr="00C1603D">
        <w:t xml:space="preserve"> or </w:t>
      </w:r>
      <w:r w:rsidRPr="00C1603D">
        <w:rPr>
          <w:color w:val="00B0F0"/>
        </w:rPr>
        <w:t>“</w:t>
      </w:r>
      <w:r w:rsidRPr="00C1603D">
        <w:t>inflammatory bowel disease*</w:t>
      </w:r>
      <w:r w:rsidRPr="00C1603D">
        <w:rPr>
          <w:color w:val="00B0F0"/>
        </w:rPr>
        <w:t>”</w:t>
      </w:r>
      <w:r w:rsidRPr="00C1603D">
        <w:t xml:space="preserve"> or </w:t>
      </w:r>
      <w:proofErr w:type="spellStart"/>
      <w:r w:rsidRPr="00C1603D">
        <w:t>incontinen</w:t>
      </w:r>
      <w:proofErr w:type="spellEnd"/>
      <w:r w:rsidRPr="00C1603D">
        <w:t xml:space="preserve">* or </w:t>
      </w:r>
      <w:r w:rsidRPr="00C1603D">
        <w:rPr>
          <w:color w:val="00B0F0"/>
        </w:rPr>
        <w:t>“</w:t>
      </w:r>
      <w:r w:rsidRPr="00C1603D">
        <w:t xml:space="preserve">intestinal </w:t>
      </w:r>
      <w:proofErr w:type="spellStart"/>
      <w:r w:rsidRPr="00C1603D">
        <w:t>atresi</w:t>
      </w:r>
      <w:proofErr w:type="spellEnd"/>
      <w:r w:rsidRPr="00C1603D">
        <w:t>*</w:t>
      </w:r>
      <w:r w:rsidRPr="00C1603D">
        <w:rPr>
          <w:color w:val="00B0F0"/>
        </w:rPr>
        <w:t>”</w:t>
      </w:r>
      <w:r w:rsidRPr="00C1603D">
        <w:t xml:space="preserve"> or intussusception or </w:t>
      </w:r>
      <w:r w:rsidRPr="00C1603D">
        <w:rPr>
          <w:color w:val="00B0F0"/>
        </w:rPr>
        <w:t>“</w:t>
      </w:r>
      <w:r w:rsidRPr="00C1603D">
        <w:t>irritable bowel</w:t>
      </w:r>
      <w:r w:rsidRPr="00C1603D">
        <w:rPr>
          <w:color w:val="00B0F0"/>
        </w:rPr>
        <w:t>”</w:t>
      </w:r>
      <w:r w:rsidRPr="00C1603D">
        <w:t xml:space="preserve"> or </w:t>
      </w:r>
      <w:proofErr w:type="spellStart"/>
      <w:r w:rsidRPr="00C1603D">
        <w:t>ischemi</w:t>
      </w:r>
      <w:proofErr w:type="spellEnd"/>
      <w:r w:rsidRPr="00C1603D">
        <w:t xml:space="preserve">* or </w:t>
      </w:r>
      <w:proofErr w:type="spellStart"/>
      <w:r w:rsidRPr="00C1603D">
        <w:t>ischaemi</w:t>
      </w:r>
      <w:proofErr w:type="spellEnd"/>
      <w:r w:rsidRPr="00C1603D">
        <w:t xml:space="preserve">* or fistula* or (joint near (disease* or disorder* or </w:t>
      </w:r>
      <w:proofErr w:type="spellStart"/>
      <w:r w:rsidRPr="00C1603D">
        <w:t>syndrom</w:t>
      </w:r>
      <w:proofErr w:type="spellEnd"/>
      <w:r w:rsidRPr="00C1603D">
        <w:t xml:space="preserve">*)) or (jejunal near (disease* or disorder* or </w:t>
      </w:r>
      <w:proofErr w:type="spellStart"/>
      <w:r w:rsidRPr="00C1603D">
        <w:t>syndrom</w:t>
      </w:r>
      <w:proofErr w:type="spellEnd"/>
      <w:r w:rsidRPr="00C1603D">
        <w:t xml:space="preserve">*)) or kyphosis or </w:t>
      </w:r>
      <w:proofErr w:type="spellStart"/>
      <w:r w:rsidRPr="00C1603D">
        <w:t>lav-htlv</w:t>
      </w:r>
      <w:proofErr w:type="spellEnd"/>
      <w:r w:rsidRPr="00C1603D">
        <w:t xml:space="preserve">* or </w:t>
      </w:r>
      <w:proofErr w:type="spellStart"/>
      <w:r w:rsidRPr="00C1603D">
        <w:t>leukemia</w:t>
      </w:r>
      <w:proofErr w:type="spellEnd"/>
      <w:r w:rsidRPr="00C1603D">
        <w:t xml:space="preserve"> or leukaemia or ((liver or hepatic) near (disease* or disorder* or failure or </w:t>
      </w:r>
      <w:proofErr w:type="spellStart"/>
      <w:r w:rsidRPr="00C1603D">
        <w:t>syndrom</w:t>
      </w:r>
      <w:proofErr w:type="spellEnd"/>
      <w:r w:rsidRPr="00C1603D">
        <w:t xml:space="preserve">*)) or lordosis or (lung near (disease* or disorder*)) or lupus or SLE or lymphoma or lymphogranuloma* or </w:t>
      </w:r>
      <w:proofErr w:type="spellStart"/>
      <w:r w:rsidRPr="00C1603D">
        <w:t>lymphadenopath</w:t>
      </w:r>
      <w:proofErr w:type="spellEnd"/>
      <w:r w:rsidRPr="00C1603D">
        <w:t xml:space="preserve">* or </w:t>
      </w:r>
      <w:proofErr w:type="spellStart"/>
      <w:r w:rsidRPr="00C1603D">
        <w:t>lymphotrop</w:t>
      </w:r>
      <w:proofErr w:type="spellEnd"/>
      <w:r w:rsidRPr="00C1603D">
        <w:t xml:space="preserve">* or </w:t>
      </w:r>
      <w:r w:rsidRPr="00C1603D">
        <w:rPr>
          <w:color w:val="00B0F0"/>
        </w:rPr>
        <w:t>“</w:t>
      </w:r>
      <w:proofErr w:type="spellStart"/>
      <w:r w:rsidRPr="00C1603D">
        <w:t>machado</w:t>
      </w:r>
      <w:proofErr w:type="spellEnd"/>
      <w:r w:rsidRPr="00C1603D">
        <w:t xml:space="preserve"> joseph*</w:t>
      </w:r>
      <w:r w:rsidRPr="00C1603D">
        <w:rPr>
          <w:color w:val="00B0F0"/>
        </w:rPr>
        <w:t>”</w:t>
      </w:r>
      <w:r w:rsidRPr="00C1603D">
        <w:t xml:space="preserve"> or </w:t>
      </w:r>
      <w:r w:rsidRPr="00C1603D">
        <w:rPr>
          <w:color w:val="00B0F0"/>
        </w:rPr>
        <w:t>“</w:t>
      </w:r>
      <w:r w:rsidRPr="00C1603D">
        <w:t>macular degeneration</w:t>
      </w:r>
      <w:r w:rsidRPr="00C1603D">
        <w:rPr>
          <w:color w:val="00B0F0"/>
        </w:rPr>
        <w:t>”</w:t>
      </w:r>
      <w:r w:rsidRPr="00C1603D">
        <w:t xml:space="preserve"> or malnutrition or (mental near (disorder* or disease* or health or illness*)) or mania or manic or (</w:t>
      </w:r>
      <w:proofErr w:type="spellStart"/>
      <w:r w:rsidRPr="00C1603D">
        <w:t>menstr</w:t>
      </w:r>
      <w:proofErr w:type="spellEnd"/>
      <w:r w:rsidRPr="00C1603D">
        <w:t>* near (</w:t>
      </w:r>
      <w:proofErr w:type="spellStart"/>
      <w:r w:rsidRPr="00C1603D">
        <w:t>ceas</w:t>
      </w:r>
      <w:proofErr w:type="spellEnd"/>
      <w:r w:rsidRPr="00C1603D">
        <w:t xml:space="preserve">* or disturb* or disease* or disorder* or stop* or </w:t>
      </w:r>
      <w:proofErr w:type="spellStart"/>
      <w:r w:rsidRPr="00C1603D">
        <w:t>syndrom</w:t>
      </w:r>
      <w:proofErr w:type="spellEnd"/>
      <w:r w:rsidRPr="00C1603D">
        <w:t xml:space="preserve">*)) or migraine* or (mitochondrial near (disease* or disorder* or </w:t>
      </w:r>
      <w:proofErr w:type="spellStart"/>
      <w:r w:rsidRPr="00C1603D">
        <w:t>syndrom</w:t>
      </w:r>
      <w:proofErr w:type="spellEnd"/>
      <w:r w:rsidRPr="00C1603D">
        <w:t xml:space="preserve">*)) or </w:t>
      </w:r>
      <w:r w:rsidRPr="00C1603D">
        <w:rPr>
          <w:color w:val="00B0F0"/>
        </w:rPr>
        <w:t>“</w:t>
      </w:r>
      <w:r w:rsidRPr="00C1603D">
        <w:t>movement disorder*</w:t>
      </w:r>
      <w:r w:rsidRPr="00C1603D">
        <w:rPr>
          <w:color w:val="00B0F0"/>
        </w:rPr>
        <w:t>”</w:t>
      </w:r>
      <w:r w:rsidRPr="00C1603D">
        <w:t xml:space="preserve"> or mucinosis or musculoskeletal or </w:t>
      </w:r>
      <w:r w:rsidRPr="00C1603D">
        <w:rPr>
          <w:color w:val="00B0F0"/>
        </w:rPr>
        <w:t>“</w:t>
      </w:r>
      <w:proofErr w:type="spellStart"/>
      <w:r w:rsidRPr="00C1603D">
        <w:t>narp</w:t>
      </w:r>
      <w:proofErr w:type="spellEnd"/>
      <w:r w:rsidRPr="00C1603D">
        <w:t xml:space="preserve"> </w:t>
      </w:r>
      <w:proofErr w:type="spellStart"/>
      <w:r w:rsidRPr="00C1603D">
        <w:t>syndrom</w:t>
      </w:r>
      <w:proofErr w:type="spellEnd"/>
      <w:r w:rsidRPr="00C1603D">
        <w:t>*</w:t>
      </w:r>
      <w:r w:rsidRPr="00C1603D">
        <w:rPr>
          <w:color w:val="00B0F0"/>
        </w:rPr>
        <w:t>”</w:t>
      </w:r>
      <w:r w:rsidRPr="00C1603D">
        <w:t xml:space="preserve"> or necrotizing or nephrotic </w:t>
      </w:r>
      <w:proofErr w:type="spellStart"/>
      <w:r w:rsidRPr="00C1603D">
        <w:t>syndrom</w:t>
      </w:r>
      <w:proofErr w:type="spellEnd"/>
      <w:r w:rsidRPr="00C1603D">
        <w:t>* or neuromuscular or non-</w:t>
      </w:r>
      <w:proofErr w:type="spellStart"/>
      <w:r w:rsidRPr="00C1603D">
        <w:t>hodgkin</w:t>
      </w:r>
      <w:proofErr w:type="spellEnd"/>
      <w:r w:rsidRPr="00C1603D">
        <w:t xml:space="preserve">* or </w:t>
      </w:r>
      <w:proofErr w:type="spellStart"/>
      <w:r w:rsidRPr="00C1603D">
        <w:t>nonhodgkin</w:t>
      </w:r>
      <w:proofErr w:type="spellEnd"/>
      <w:r w:rsidRPr="00C1603D">
        <w:t xml:space="preserve">* or </w:t>
      </w:r>
      <w:r w:rsidRPr="00C1603D">
        <w:rPr>
          <w:color w:val="00B0F0"/>
        </w:rPr>
        <w:t>“</w:t>
      </w:r>
      <w:r w:rsidRPr="00C1603D">
        <w:t>multiple sclerosis</w:t>
      </w:r>
      <w:r w:rsidRPr="00C1603D">
        <w:rPr>
          <w:color w:val="00B0F0"/>
        </w:rPr>
        <w:t>”</w:t>
      </w:r>
      <w:r w:rsidRPr="00C1603D">
        <w:t xml:space="preserve"> or myeloma or myocarditis or </w:t>
      </w:r>
      <w:proofErr w:type="spellStart"/>
      <w:r w:rsidRPr="00C1603D">
        <w:t>myocardiopath</w:t>
      </w:r>
      <w:proofErr w:type="spellEnd"/>
      <w:r w:rsidRPr="00C1603D">
        <w:t xml:space="preserve">* or </w:t>
      </w:r>
      <w:proofErr w:type="spellStart"/>
      <w:r w:rsidRPr="00C1603D">
        <w:t>myopath</w:t>
      </w:r>
      <w:proofErr w:type="spellEnd"/>
      <w:r w:rsidRPr="00C1603D">
        <w:t>* or (</w:t>
      </w:r>
      <w:proofErr w:type="spellStart"/>
      <w:r w:rsidRPr="00C1603D">
        <w:t>myocardi</w:t>
      </w:r>
      <w:proofErr w:type="spellEnd"/>
      <w:r w:rsidRPr="00C1603D">
        <w:t>* near (</w:t>
      </w:r>
      <w:proofErr w:type="spellStart"/>
      <w:r w:rsidRPr="00C1603D">
        <w:t>deteri</w:t>
      </w:r>
      <w:proofErr w:type="spellEnd"/>
      <w:r w:rsidRPr="00C1603D">
        <w:t xml:space="preserve">* or disease* or disorder* or </w:t>
      </w:r>
      <w:proofErr w:type="spellStart"/>
      <w:r w:rsidRPr="00C1603D">
        <w:t>syndrom</w:t>
      </w:r>
      <w:proofErr w:type="spellEnd"/>
      <w:r w:rsidRPr="00C1603D">
        <w:t xml:space="preserve">* or manifestation*)) or </w:t>
      </w:r>
      <w:r w:rsidRPr="00C1603D">
        <w:rPr>
          <w:color w:val="00B0F0"/>
        </w:rPr>
        <w:t>“</w:t>
      </w:r>
      <w:r w:rsidRPr="00C1603D">
        <w:t>nephrotic syndrome</w:t>
      </w:r>
      <w:r w:rsidRPr="00C1603D">
        <w:rPr>
          <w:color w:val="00B0F0"/>
        </w:rPr>
        <w:t>”</w:t>
      </w:r>
      <w:r w:rsidRPr="00C1603D">
        <w:t xml:space="preserve"> or ((</w:t>
      </w:r>
      <w:proofErr w:type="spellStart"/>
      <w:r w:rsidRPr="00C1603D">
        <w:t>neurodegenerat</w:t>
      </w:r>
      <w:proofErr w:type="spellEnd"/>
      <w:r w:rsidRPr="00C1603D">
        <w:t>* or neuro-</w:t>
      </w:r>
      <w:proofErr w:type="spellStart"/>
      <w:r w:rsidRPr="00C1603D">
        <w:t>degenerat</w:t>
      </w:r>
      <w:proofErr w:type="spellEnd"/>
      <w:r w:rsidRPr="00C1603D">
        <w:t xml:space="preserve">) near (disease* or disorder* or </w:t>
      </w:r>
      <w:proofErr w:type="spellStart"/>
      <w:r w:rsidRPr="00C1603D">
        <w:t>syndrom</w:t>
      </w:r>
      <w:proofErr w:type="spellEnd"/>
      <w:r w:rsidRPr="00C1603D">
        <w:t xml:space="preserve">)) or ((nutritional or metabolic) near (disease* or disorder* or </w:t>
      </w:r>
      <w:proofErr w:type="spellStart"/>
      <w:r w:rsidRPr="00C1603D">
        <w:t>syndrom</w:t>
      </w:r>
      <w:proofErr w:type="spellEnd"/>
      <w:r w:rsidRPr="00C1603D">
        <w:t xml:space="preserve">*)) or ((organ* or kidney or </w:t>
      </w:r>
      <w:r w:rsidRPr="00C1603D">
        <w:rPr>
          <w:color w:val="00B0F0"/>
        </w:rPr>
        <w:t>“</w:t>
      </w:r>
      <w:r w:rsidRPr="00C1603D">
        <w:t>stem cell</w:t>
      </w:r>
      <w:r w:rsidRPr="00C1603D">
        <w:rPr>
          <w:color w:val="00B0F0"/>
        </w:rPr>
        <w:t>”</w:t>
      </w:r>
      <w:r w:rsidRPr="00C1603D">
        <w:t>) near (transplant* or recipient*)) or (</w:t>
      </w:r>
      <w:r w:rsidRPr="00C1603D">
        <w:rPr>
          <w:color w:val="00B0F0"/>
        </w:rPr>
        <w:t>“</w:t>
      </w:r>
      <w:r w:rsidRPr="00C1603D">
        <w:t>nervous system</w:t>
      </w:r>
      <w:r w:rsidRPr="00C1603D">
        <w:rPr>
          <w:color w:val="00B0F0"/>
        </w:rPr>
        <w:t>”</w:t>
      </w:r>
      <w:r w:rsidRPr="00C1603D">
        <w:t xml:space="preserve"> near (disease* or disorder* or </w:t>
      </w:r>
      <w:proofErr w:type="spellStart"/>
      <w:r w:rsidRPr="00C1603D">
        <w:t>syndrom</w:t>
      </w:r>
      <w:proofErr w:type="spellEnd"/>
      <w:r w:rsidRPr="00C1603D">
        <w:t xml:space="preserve">*)) or (neurological near (condition* or disease* or disorder* or </w:t>
      </w:r>
      <w:proofErr w:type="spellStart"/>
      <w:r w:rsidRPr="00C1603D">
        <w:t>syndrom</w:t>
      </w:r>
      <w:proofErr w:type="spellEnd"/>
      <w:r w:rsidRPr="00C1603D">
        <w:t xml:space="preserve">*)) or neuropath* or </w:t>
      </w:r>
      <w:proofErr w:type="spellStart"/>
      <w:r w:rsidRPr="00C1603D">
        <w:t>neurosarcoido</w:t>
      </w:r>
      <w:proofErr w:type="spellEnd"/>
      <w:r w:rsidRPr="00C1603D">
        <w:t xml:space="preserve">* or occlusion* or obesity or obese or </w:t>
      </w:r>
      <w:proofErr w:type="spellStart"/>
      <w:r w:rsidRPr="00C1603D">
        <w:t>orthopedic</w:t>
      </w:r>
      <w:proofErr w:type="spellEnd"/>
      <w:r w:rsidRPr="00C1603D">
        <w:t>* or orthopaedic* or ((</w:t>
      </w:r>
      <w:proofErr w:type="spellStart"/>
      <w:r w:rsidRPr="00C1603D">
        <w:t>esophageal</w:t>
      </w:r>
      <w:proofErr w:type="spellEnd"/>
      <w:r w:rsidRPr="00C1603D">
        <w:t xml:space="preserve"> or oesophageal) near (disease* or disorder* or </w:t>
      </w:r>
      <w:proofErr w:type="spellStart"/>
      <w:r w:rsidRPr="00C1603D">
        <w:t>syndrom</w:t>
      </w:r>
      <w:proofErr w:type="spellEnd"/>
      <w:r w:rsidRPr="00C1603D">
        <w:t xml:space="preserve">*)) or ((oral or mouth) near (disease* or disorder* or </w:t>
      </w:r>
      <w:proofErr w:type="spellStart"/>
      <w:r w:rsidRPr="00C1603D">
        <w:t>syndrom</w:t>
      </w:r>
      <w:proofErr w:type="spellEnd"/>
      <w:r w:rsidRPr="00C1603D">
        <w:t xml:space="preserve">* or manifestation*)) or osteo* or </w:t>
      </w:r>
      <w:r w:rsidRPr="00C1603D">
        <w:rPr>
          <w:color w:val="00B0F0"/>
        </w:rPr>
        <w:t>“</w:t>
      </w:r>
      <w:r w:rsidRPr="00C1603D">
        <w:t>otitis media</w:t>
      </w:r>
      <w:r w:rsidRPr="00C1603D">
        <w:rPr>
          <w:color w:val="00B0F0"/>
        </w:rPr>
        <w:t>”</w:t>
      </w:r>
      <w:r w:rsidRPr="00C1603D">
        <w:t xml:space="preserve"> or </w:t>
      </w:r>
      <w:proofErr w:type="spellStart"/>
      <w:r w:rsidRPr="00C1603D">
        <w:t>otorhinolaryngolog</w:t>
      </w:r>
      <w:proofErr w:type="spellEnd"/>
      <w:r w:rsidRPr="00C1603D">
        <w:t>* or otosclerosis or (</w:t>
      </w:r>
      <w:proofErr w:type="spellStart"/>
      <w:r w:rsidRPr="00C1603D">
        <w:t>pancrea</w:t>
      </w:r>
      <w:proofErr w:type="spellEnd"/>
      <w:r w:rsidRPr="00C1603D">
        <w:t xml:space="preserve">* near (disease* or disorder* or </w:t>
      </w:r>
      <w:proofErr w:type="spellStart"/>
      <w:r w:rsidRPr="00C1603D">
        <w:t>syndrom</w:t>
      </w:r>
      <w:proofErr w:type="spellEnd"/>
      <w:r w:rsidRPr="00C1603D">
        <w:t xml:space="preserve">*)) or </w:t>
      </w:r>
      <w:proofErr w:type="spellStart"/>
      <w:r w:rsidRPr="00C1603D">
        <w:t>papulosquamous</w:t>
      </w:r>
      <w:proofErr w:type="spellEnd"/>
      <w:r w:rsidRPr="00C1603D">
        <w:t xml:space="preserve"> or </w:t>
      </w:r>
      <w:proofErr w:type="spellStart"/>
      <w:r w:rsidRPr="00C1603D">
        <w:t>paraplegi</w:t>
      </w:r>
      <w:proofErr w:type="spellEnd"/>
      <w:r w:rsidRPr="00C1603D">
        <w:t xml:space="preserve">* or </w:t>
      </w:r>
      <w:proofErr w:type="spellStart"/>
      <w:r w:rsidRPr="00C1603D">
        <w:t>parkinson</w:t>
      </w:r>
      <w:proofErr w:type="spellEnd"/>
      <w:r w:rsidRPr="00C1603D">
        <w:t xml:space="preserve">* or (peripheral near (arterial or vascular or disease* or disorder* or </w:t>
      </w:r>
      <w:proofErr w:type="spellStart"/>
      <w:r w:rsidRPr="00C1603D">
        <w:t>syndrom</w:t>
      </w:r>
      <w:proofErr w:type="spellEnd"/>
      <w:r w:rsidRPr="00C1603D">
        <w:t xml:space="preserve">*)) or (peritoneal near (disease* or disorder* or </w:t>
      </w:r>
      <w:proofErr w:type="spellStart"/>
      <w:r w:rsidRPr="00C1603D">
        <w:t>syndrom</w:t>
      </w:r>
      <w:proofErr w:type="spellEnd"/>
      <w:r w:rsidRPr="00C1603D">
        <w:t xml:space="preserve">*)) or </w:t>
      </w:r>
      <w:proofErr w:type="spellStart"/>
      <w:r w:rsidRPr="00C1603D">
        <w:t>photodermato</w:t>
      </w:r>
      <w:proofErr w:type="spellEnd"/>
      <w:r w:rsidRPr="00C1603D">
        <w:t xml:space="preserve">* or </w:t>
      </w:r>
      <w:r w:rsidRPr="00C1603D">
        <w:rPr>
          <w:color w:val="00B0F0"/>
        </w:rPr>
        <w:t>“</w:t>
      </w:r>
      <w:r w:rsidRPr="00C1603D">
        <w:t>pick disease*</w:t>
      </w:r>
      <w:r w:rsidRPr="00C1603D">
        <w:rPr>
          <w:color w:val="00B0F0"/>
        </w:rPr>
        <w:t>”</w:t>
      </w:r>
      <w:r w:rsidRPr="00C1603D">
        <w:t xml:space="preserve"> or </w:t>
      </w:r>
      <w:proofErr w:type="spellStart"/>
      <w:r w:rsidRPr="00C1603D">
        <w:t>pneumo</w:t>
      </w:r>
      <w:proofErr w:type="spellEnd"/>
      <w:r w:rsidRPr="00C1603D">
        <w:t xml:space="preserve">* or polio* or polyp* or polydipsia or </w:t>
      </w:r>
      <w:proofErr w:type="spellStart"/>
      <w:r w:rsidRPr="00C1603D">
        <w:t>polyarthropath</w:t>
      </w:r>
      <w:proofErr w:type="spellEnd"/>
      <w:r w:rsidRPr="00C1603D">
        <w:t xml:space="preserve">* or polyarteritis or </w:t>
      </w:r>
      <w:proofErr w:type="spellStart"/>
      <w:r w:rsidRPr="00C1603D">
        <w:t>polyarthrosis</w:t>
      </w:r>
      <w:proofErr w:type="spellEnd"/>
      <w:r w:rsidRPr="00C1603D">
        <w:t xml:space="preserve"> or </w:t>
      </w:r>
      <w:proofErr w:type="spellStart"/>
      <w:r w:rsidRPr="00C1603D">
        <w:t>polyneuropath</w:t>
      </w:r>
      <w:proofErr w:type="spellEnd"/>
      <w:r w:rsidRPr="00C1603D">
        <w:t xml:space="preserve">* or </w:t>
      </w:r>
      <w:proofErr w:type="spellStart"/>
      <w:r w:rsidRPr="00C1603D">
        <w:t>porphyrias</w:t>
      </w:r>
      <w:proofErr w:type="spellEnd"/>
      <w:r w:rsidRPr="00C1603D">
        <w:t xml:space="preserve"> or (pregnancy near </w:t>
      </w:r>
      <w:proofErr w:type="spellStart"/>
      <w:r w:rsidRPr="00C1603D">
        <w:t>complicat</w:t>
      </w:r>
      <w:proofErr w:type="spellEnd"/>
      <w:r w:rsidRPr="00C1603D">
        <w:t xml:space="preserve">*) or </w:t>
      </w:r>
      <w:r w:rsidRPr="00C1603D">
        <w:rPr>
          <w:color w:val="00B0F0"/>
        </w:rPr>
        <w:t>“</w:t>
      </w:r>
      <w:r w:rsidRPr="00C1603D">
        <w:t>premature aging</w:t>
      </w:r>
      <w:r w:rsidRPr="00C1603D">
        <w:rPr>
          <w:color w:val="00B0F0"/>
        </w:rPr>
        <w:t>”</w:t>
      </w:r>
      <w:r w:rsidRPr="00C1603D">
        <w:t xml:space="preserve"> or </w:t>
      </w:r>
      <w:proofErr w:type="spellStart"/>
      <w:r w:rsidRPr="00C1603D">
        <w:t>proteostasis</w:t>
      </w:r>
      <w:proofErr w:type="spellEnd"/>
      <w:r w:rsidRPr="00C1603D">
        <w:t xml:space="preserve"> or pseudophakia or psoriasis or parapsoriasis or prolapse or (pulmonary near (disease* or disorder* or </w:t>
      </w:r>
      <w:proofErr w:type="spellStart"/>
      <w:r w:rsidRPr="00C1603D">
        <w:t>syndrom</w:t>
      </w:r>
      <w:proofErr w:type="spellEnd"/>
      <w:r w:rsidRPr="00C1603D">
        <w:t xml:space="preserve">*)) or </w:t>
      </w:r>
      <w:proofErr w:type="spellStart"/>
      <w:r w:rsidRPr="00C1603D">
        <w:t>purpur</w:t>
      </w:r>
      <w:proofErr w:type="spellEnd"/>
      <w:r w:rsidRPr="00C1603D">
        <w:t>* or (</w:t>
      </w:r>
      <w:proofErr w:type="spellStart"/>
      <w:r w:rsidRPr="00C1603D">
        <w:t>recurren</w:t>
      </w:r>
      <w:proofErr w:type="spellEnd"/>
      <w:r w:rsidRPr="00C1603D">
        <w:t xml:space="preserve">* near (abortion* or </w:t>
      </w:r>
      <w:proofErr w:type="spellStart"/>
      <w:r w:rsidRPr="00C1603D">
        <w:t>miscarr</w:t>
      </w:r>
      <w:proofErr w:type="spellEnd"/>
      <w:r w:rsidRPr="00C1603D">
        <w:t xml:space="preserve">*)) or ((rectum or rectal) near (disease* or disorder* or </w:t>
      </w:r>
      <w:proofErr w:type="spellStart"/>
      <w:r w:rsidRPr="00C1603D">
        <w:t>syndrom</w:t>
      </w:r>
      <w:proofErr w:type="spellEnd"/>
      <w:r w:rsidRPr="00C1603D">
        <w:t xml:space="preserve">*)) or ((renal or kidney) near (disease* or disorder* or failure or </w:t>
      </w:r>
      <w:proofErr w:type="spellStart"/>
      <w:r w:rsidRPr="00C1603D">
        <w:t>syndrom</w:t>
      </w:r>
      <w:proofErr w:type="spellEnd"/>
      <w:r w:rsidRPr="00C1603D">
        <w:t xml:space="preserve">*)) or (respiratory near (disease* or disorder* or </w:t>
      </w:r>
      <w:proofErr w:type="spellStart"/>
      <w:r w:rsidRPr="00C1603D">
        <w:t>syndrom</w:t>
      </w:r>
      <w:proofErr w:type="spellEnd"/>
      <w:r w:rsidRPr="00C1603D">
        <w:t xml:space="preserve">*)) or </w:t>
      </w:r>
      <w:proofErr w:type="spellStart"/>
      <w:r w:rsidRPr="00C1603D">
        <w:t>reticulocytosis</w:t>
      </w:r>
      <w:proofErr w:type="spellEnd"/>
      <w:r w:rsidRPr="00C1603D">
        <w:t xml:space="preserve"> or retinopathy or </w:t>
      </w:r>
      <w:proofErr w:type="spellStart"/>
      <w:r w:rsidRPr="00C1603D">
        <w:t>rheumat</w:t>
      </w:r>
      <w:proofErr w:type="spellEnd"/>
      <w:r w:rsidRPr="00C1603D">
        <w:t xml:space="preserve">* or ricket* or </w:t>
      </w:r>
      <w:proofErr w:type="spellStart"/>
      <w:r w:rsidRPr="00C1603D">
        <w:t>sarcoido</w:t>
      </w:r>
      <w:proofErr w:type="spellEnd"/>
      <w:r w:rsidRPr="00C1603D">
        <w:t xml:space="preserve">* or sepsis or septic* or seizure* or sclerosis or scoliosis or </w:t>
      </w:r>
      <w:r w:rsidRPr="00C1603D">
        <w:rPr>
          <w:color w:val="00B0F0"/>
        </w:rPr>
        <w:t>“</w:t>
      </w:r>
      <w:r w:rsidRPr="00C1603D">
        <w:t>sickle cell</w:t>
      </w:r>
      <w:r w:rsidRPr="00C1603D">
        <w:rPr>
          <w:color w:val="00B0F0"/>
        </w:rPr>
        <w:t>”</w:t>
      </w:r>
      <w:r w:rsidRPr="00C1603D">
        <w:t xml:space="preserve"> or ((</w:t>
      </w:r>
      <w:proofErr w:type="spellStart"/>
      <w:r w:rsidRPr="00C1603D">
        <w:t>sjogren</w:t>
      </w:r>
      <w:proofErr w:type="spellEnd"/>
      <w:r w:rsidRPr="00C1603D">
        <w:t xml:space="preserve">* or </w:t>
      </w:r>
      <w:proofErr w:type="spellStart"/>
      <w:r w:rsidRPr="00C1603D">
        <w:t>sjoegren</w:t>
      </w:r>
      <w:proofErr w:type="spellEnd"/>
      <w:r w:rsidRPr="00C1603D">
        <w:t>* or sicca*) near (</w:t>
      </w:r>
      <w:proofErr w:type="spellStart"/>
      <w:r w:rsidRPr="00C1603D">
        <w:t>syndrom</w:t>
      </w:r>
      <w:proofErr w:type="spellEnd"/>
      <w:r w:rsidRPr="00C1603D">
        <w:t xml:space="preserve">* or disease* or disorder*)) or ((skin or </w:t>
      </w:r>
      <w:r w:rsidRPr="00C1603D">
        <w:rPr>
          <w:color w:val="00B0F0"/>
        </w:rPr>
        <w:t>“</w:t>
      </w:r>
      <w:r w:rsidRPr="00C1603D">
        <w:t>connective tissue</w:t>
      </w:r>
      <w:r w:rsidRPr="00C1603D">
        <w:rPr>
          <w:color w:val="00B0F0"/>
        </w:rPr>
        <w:t>”</w:t>
      </w:r>
      <w:r w:rsidRPr="00C1603D">
        <w:t xml:space="preserve">) near (disease* or disorder* or </w:t>
      </w:r>
      <w:proofErr w:type="spellStart"/>
      <w:r w:rsidRPr="00C1603D">
        <w:t>syndrom</w:t>
      </w:r>
      <w:proofErr w:type="spellEnd"/>
      <w:r w:rsidRPr="00C1603D">
        <w:t xml:space="preserve">*)) or </w:t>
      </w:r>
      <w:r w:rsidRPr="00C1603D">
        <w:rPr>
          <w:color w:val="00B0F0"/>
        </w:rPr>
        <w:t>“</w:t>
      </w:r>
      <w:r w:rsidRPr="00C1603D">
        <w:t>sleep disorder*</w:t>
      </w:r>
      <w:r w:rsidRPr="00C1603D">
        <w:rPr>
          <w:color w:val="00B0F0"/>
        </w:rPr>
        <w:t>”</w:t>
      </w:r>
      <w:r w:rsidRPr="00C1603D">
        <w:t xml:space="preserve"> or </w:t>
      </w:r>
      <w:r w:rsidRPr="00C1603D">
        <w:rPr>
          <w:color w:val="00B0F0"/>
        </w:rPr>
        <w:t>“</w:t>
      </w:r>
      <w:r w:rsidRPr="00C1603D">
        <w:t xml:space="preserve">sleep </w:t>
      </w:r>
      <w:proofErr w:type="spellStart"/>
      <w:r w:rsidRPr="00C1603D">
        <w:t>apnea</w:t>
      </w:r>
      <w:proofErr w:type="spellEnd"/>
      <w:r w:rsidRPr="00C1603D">
        <w:rPr>
          <w:color w:val="00B0F0"/>
        </w:rPr>
        <w:t>”</w:t>
      </w:r>
      <w:r w:rsidRPr="00C1603D">
        <w:t xml:space="preserve"> or </w:t>
      </w:r>
      <w:r w:rsidRPr="00C1603D">
        <w:rPr>
          <w:color w:val="00B0F0"/>
        </w:rPr>
        <w:t>“</w:t>
      </w:r>
      <w:r w:rsidRPr="00C1603D">
        <w:t>sleep apnoea</w:t>
      </w:r>
      <w:r w:rsidRPr="00C1603D">
        <w:rPr>
          <w:color w:val="00B0F0"/>
        </w:rPr>
        <w:t>”</w:t>
      </w:r>
      <w:r w:rsidRPr="00C1603D">
        <w:t xml:space="preserve"> or insomnia* or dyssomnia* or hypersomnia* or </w:t>
      </w:r>
      <w:r w:rsidRPr="00C1603D">
        <w:rPr>
          <w:color w:val="00B0F0"/>
        </w:rPr>
        <w:t>“</w:t>
      </w:r>
      <w:r w:rsidRPr="00C1603D">
        <w:t>spina bifida</w:t>
      </w:r>
      <w:r w:rsidRPr="00C1603D">
        <w:rPr>
          <w:color w:val="00B0F0"/>
        </w:rPr>
        <w:t>”</w:t>
      </w:r>
      <w:r w:rsidRPr="00C1603D">
        <w:t xml:space="preserve"> or </w:t>
      </w:r>
      <w:r w:rsidRPr="00C1603D">
        <w:rPr>
          <w:color w:val="00B0F0"/>
        </w:rPr>
        <w:t>“</w:t>
      </w:r>
      <w:r w:rsidRPr="00C1603D">
        <w:t xml:space="preserve">muscular </w:t>
      </w:r>
      <w:proofErr w:type="spellStart"/>
      <w:r w:rsidRPr="00C1603D">
        <w:t>atropy</w:t>
      </w:r>
      <w:proofErr w:type="spellEnd"/>
      <w:r w:rsidRPr="00C1603D">
        <w:rPr>
          <w:color w:val="00B0F0"/>
        </w:rPr>
        <w:t>”</w:t>
      </w:r>
      <w:r w:rsidRPr="00C1603D">
        <w:t xml:space="preserve"> or </w:t>
      </w:r>
      <w:r w:rsidRPr="00C1603D">
        <w:rPr>
          <w:color w:val="00B0F0"/>
        </w:rPr>
        <w:t>“</w:t>
      </w:r>
      <w:r w:rsidRPr="00C1603D">
        <w:t>short stature*</w:t>
      </w:r>
      <w:r w:rsidRPr="00C1603D">
        <w:rPr>
          <w:color w:val="00B0F0"/>
        </w:rPr>
        <w:t>”</w:t>
      </w:r>
      <w:r w:rsidRPr="00C1603D">
        <w:t xml:space="preserve"> or </w:t>
      </w:r>
      <w:r w:rsidRPr="00C1603D">
        <w:rPr>
          <w:color w:val="00B0F0"/>
        </w:rPr>
        <w:t>“</w:t>
      </w:r>
      <w:r w:rsidRPr="00C1603D">
        <w:t xml:space="preserve">short bowel </w:t>
      </w:r>
      <w:proofErr w:type="spellStart"/>
      <w:r w:rsidRPr="00C1603D">
        <w:t>syndrom</w:t>
      </w:r>
      <w:proofErr w:type="spellEnd"/>
      <w:r w:rsidRPr="00C1603D">
        <w:t>*</w:t>
      </w:r>
      <w:r w:rsidRPr="00C1603D">
        <w:rPr>
          <w:color w:val="00B0F0"/>
        </w:rPr>
        <w:t>”</w:t>
      </w:r>
      <w:r w:rsidRPr="00C1603D">
        <w:t xml:space="preserve"> or (spin* near (</w:t>
      </w:r>
      <w:proofErr w:type="spellStart"/>
      <w:r w:rsidRPr="00C1603D">
        <w:t>degenerat</w:t>
      </w:r>
      <w:proofErr w:type="spellEnd"/>
      <w:r w:rsidRPr="00C1603D">
        <w:t xml:space="preserve">* or disease* or disorder* or </w:t>
      </w:r>
      <w:proofErr w:type="spellStart"/>
      <w:r w:rsidRPr="00C1603D">
        <w:t>syndrom</w:t>
      </w:r>
      <w:proofErr w:type="spellEnd"/>
      <w:r w:rsidRPr="00C1603D">
        <w:t xml:space="preserve">*)) or (spleen* near (disease* or disorder* or </w:t>
      </w:r>
      <w:proofErr w:type="spellStart"/>
      <w:r w:rsidRPr="00C1603D">
        <w:t>syndrom</w:t>
      </w:r>
      <w:proofErr w:type="spellEnd"/>
      <w:r w:rsidRPr="00C1603D">
        <w:t xml:space="preserve">*)) or </w:t>
      </w:r>
      <w:proofErr w:type="spellStart"/>
      <w:r w:rsidRPr="00C1603D">
        <w:t>spondylo</w:t>
      </w:r>
      <w:proofErr w:type="spellEnd"/>
      <w:r w:rsidRPr="00C1603D">
        <w:t xml:space="preserve">* or stenosis* or stoma* or (stomach near (disease* or disorder* or </w:t>
      </w:r>
      <w:proofErr w:type="spellStart"/>
      <w:r w:rsidRPr="00C1603D">
        <w:t>syndrom</w:t>
      </w:r>
      <w:proofErr w:type="spellEnd"/>
      <w:r w:rsidRPr="00C1603D">
        <w:t xml:space="preserve">*)) or stroke or strokes or </w:t>
      </w:r>
      <w:r w:rsidRPr="00C1603D">
        <w:rPr>
          <w:color w:val="00B0F0"/>
        </w:rPr>
        <w:t>“</w:t>
      </w:r>
      <w:r w:rsidRPr="00C1603D">
        <w:t>cerebral infarct*</w:t>
      </w:r>
      <w:r w:rsidRPr="00C1603D">
        <w:rPr>
          <w:color w:val="00B0F0"/>
        </w:rPr>
        <w:t>”</w:t>
      </w:r>
      <w:r w:rsidRPr="00C1603D">
        <w:t xml:space="preserve"> or </w:t>
      </w:r>
      <w:proofErr w:type="spellStart"/>
      <w:r w:rsidRPr="00C1603D">
        <w:t>tetraplegi</w:t>
      </w:r>
      <w:proofErr w:type="spellEnd"/>
      <w:r w:rsidRPr="00C1603D">
        <w:t xml:space="preserve">* or thyroiditis* or (thyroid* near (disease* or disorder* or dysfunction* or </w:t>
      </w:r>
      <w:proofErr w:type="spellStart"/>
      <w:r w:rsidRPr="00C1603D">
        <w:t>syndrom</w:t>
      </w:r>
      <w:proofErr w:type="spellEnd"/>
      <w:r w:rsidRPr="00C1603D">
        <w:t xml:space="preserve">*)) or ((tooth or teeth or enamel) near (decay* or </w:t>
      </w:r>
      <w:proofErr w:type="spellStart"/>
      <w:r w:rsidRPr="00C1603D">
        <w:t>discolo</w:t>
      </w:r>
      <w:proofErr w:type="spellEnd"/>
      <w:r w:rsidRPr="00C1603D">
        <w:t xml:space="preserve">* or disease* or disorder* or dysfunction* or </w:t>
      </w:r>
      <w:proofErr w:type="spellStart"/>
      <w:r w:rsidRPr="00C1603D">
        <w:t>syndrom</w:t>
      </w:r>
      <w:proofErr w:type="spellEnd"/>
      <w:r w:rsidRPr="00C1603D">
        <w:t xml:space="preserve">*)) or </w:t>
      </w:r>
      <w:r w:rsidRPr="00C1603D">
        <w:rPr>
          <w:color w:val="00B0F0"/>
        </w:rPr>
        <w:t>“</w:t>
      </w:r>
      <w:r w:rsidRPr="00C1603D">
        <w:t>tropical sprue</w:t>
      </w:r>
      <w:r w:rsidRPr="00C1603D">
        <w:rPr>
          <w:color w:val="00B0F0"/>
        </w:rPr>
        <w:t>”</w:t>
      </w:r>
      <w:r w:rsidRPr="00C1603D">
        <w:t xml:space="preserve"> or tuberculosis or (systemic near (disorder* or disease* or </w:t>
      </w:r>
      <w:proofErr w:type="spellStart"/>
      <w:r w:rsidRPr="00C1603D">
        <w:t>syndrom</w:t>
      </w:r>
      <w:proofErr w:type="spellEnd"/>
      <w:r w:rsidRPr="00C1603D">
        <w:t xml:space="preserve">*)) or </w:t>
      </w:r>
      <w:proofErr w:type="spellStart"/>
      <w:r w:rsidRPr="00C1603D">
        <w:t>thrombocyto</w:t>
      </w:r>
      <w:proofErr w:type="spellEnd"/>
      <w:r w:rsidRPr="00C1603D">
        <w:t xml:space="preserve">* or tremor or tremors or (turner* near (syndrome* or disease* or disorder*)) or ulcer* or (urogenital near (disease* or disorder* or </w:t>
      </w:r>
      <w:proofErr w:type="spellStart"/>
      <w:r w:rsidRPr="00C1603D">
        <w:t>syndrom</w:t>
      </w:r>
      <w:proofErr w:type="spellEnd"/>
      <w:r w:rsidRPr="00C1603D">
        <w:t xml:space="preserve">*)) or </w:t>
      </w:r>
      <w:proofErr w:type="spellStart"/>
      <w:r w:rsidRPr="00C1603D">
        <w:t>vasculopath</w:t>
      </w:r>
      <w:proofErr w:type="spellEnd"/>
      <w:r w:rsidRPr="00C1603D">
        <w:t xml:space="preserve">* or (vascular near (disease* or disorder* or </w:t>
      </w:r>
      <w:proofErr w:type="spellStart"/>
      <w:r w:rsidRPr="00C1603D">
        <w:t>occlu</w:t>
      </w:r>
      <w:proofErr w:type="spellEnd"/>
      <w:r w:rsidRPr="00C1603D">
        <w:t xml:space="preserve">* or </w:t>
      </w:r>
      <w:proofErr w:type="spellStart"/>
      <w:r w:rsidRPr="00C1603D">
        <w:t>syndrom</w:t>
      </w:r>
      <w:proofErr w:type="spellEnd"/>
      <w:r w:rsidRPr="00C1603D">
        <w:t xml:space="preserve">*)) or vestibular or ((virus or viral or </w:t>
      </w:r>
      <w:proofErr w:type="spellStart"/>
      <w:r w:rsidRPr="00C1603D">
        <w:t>bacteri</w:t>
      </w:r>
      <w:proofErr w:type="spellEnd"/>
      <w:r w:rsidRPr="00C1603D">
        <w:t xml:space="preserve">* or </w:t>
      </w:r>
      <w:proofErr w:type="spellStart"/>
      <w:r w:rsidRPr="00C1603D">
        <w:t>parasit</w:t>
      </w:r>
      <w:proofErr w:type="spellEnd"/>
      <w:r w:rsidRPr="00C1603D">
        <w:t xml:space="preserve">*) near (infection* or disease*)) or </w:t>
      </w:r>
      <w:r w:rsidRPr="00C1603D">
        <w:lastRenderedPageBreak/>
        <w:t xml:space="preserve">(wasting near (disorder* or disease* or </w:t>
      </w:r>
      <w:proofErr w:type="spellStart"/>
      <w:r w:rsidRPr="00C1603D">
        <w:t>syndrom</w:t>
      </w:r>
      <w:proofErr w:type="spellEnd"/>
      <w:r w:rsidRPr="00C1603D">
        <w:t>*)) or (</w:t>
      </w:r>
      <w:proofErr w:type="spellStart"/>
      <w:r w:rsidRPr="00C1603D">
        <w:t>whipple</w:t>
      </w:r>
      <w:proofErr w:type="spellEnd"/>
      <w:r w:rsidRPr="00C1603D">
        <w:t xml:space="preserve"> near (disorder* or disease* or </w:t>
      </w:r>
      <w:proofErr w:type="spellStart"/>
      <w:r w:rsidRPr="00C1603D">
        <w:t>syndrom</w:t>
      </w:r>
      <w:proofErr w:type="spellEnd"/>
      <w:r w:rsidRPr="00C1603D">
        <w:t>*)) or (</w:t>
      </w:r>
      <w:proofErr w:type="spellStart"/>
      <w:r w:rsidRPr="00C1603D">
        <w:t>william</w:t>
      </w:r>
      <w:proofErr w:type="spellEnd"/>
      <w:r w:rsidRPr="00C1603D">
        <w:t>* near (</w:t>
      </w:r>
      <w:proofErr w:type="spellStart"/>
      <w:r w:rsidRPr="00C1603D">
        <w:t>syndrom</w:t>
      </w:r>
      <w:proofErr w:type="spellEnd"/>
      <w:r w:rsidRPr="00C1603D">
        <w:t>* or disease* or disorder*)) or zoster*)) [13,693,359]</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34AD7D9D" w14:textId="50B4B118" w:rsidR="008B4DF8" w:rsidRPr="00C1603D" w:rsidRDefault="008B4DF8" w:rsidP="008B4DF8">
      <w:pPr>
        <w:pStyle w:val="602TextfoTextstylesTextstyles"/>
      </w:pPr>
      <w:r w:rsidRPr="00C1603D">
        <w:t>#8 (#7 and #1) [5889]</w:t>
      </w:r>
    </w:p>
    <w:p w14:paraId="7EB8ACB9" w14:textId="77777777" w:rsidR="008B4DF8" w:rsidRPr="00C1603D" w:rsidRDefault="008B4DF8" w:rsidP="008B4DF8">
      <w:pPr>
        <w:pStyle w:val="602TextfoTextstylesTextstyles"/>
      </w:pPr>
      <w:r w:rsidRPr="00C1603D">
        <w:t>#7 (#6 OR #5 OR #4 OR #3 OR #2) [6,827,636]</w:t>
      </w:r>
    </w:p>
    <w:p w14:paraId="0DC73A5C" w14:textId="2EEE57E5" w:rsidR="008B4DF8" w:rsidRPr="00C1603D" w:rsidRDefault="008B4DF8" w:rsidP="008B4DF8">
      <w:pPr>
        <w:pStyle w:val="602TextfoTextstylesTextstyles"/>
      </w:pPr>
      <w:r w:rsidRPr="00C1603D">
        <w:t>#6 (TS</w:t>
      </w:r>
      <w:r w:rsidR="0002034F" w:rsidRPr="00C1603D">
        <w:t>=</w:t>
      </w:r>
      <w:r w:rsidRPr="00C1603D">
        <w:t>(</w:t>
      </w:r>
      <w:r w:rsidRPr="00C1603D">
        <w:rPr>
          <w:color w:val="00B0F0"/>
        </w:rPr>
        <w:t>“</w:t>
      </w:r>
      <w:r w:rsidRPr="00C1603D">
        <w:t>clinical decision making</w:t>
      </w:r>
      <w:r w:rsidRPr="00C1603D">
        <w:rPr>
          <w:color w:val="00B0F0"/>
        </w:rPr>
        <w:t>”</w:t>
      </w:r>
      <w:r w:rsidRPr="00C1603D">
        <w:t xml:space="preserve"> or </w:t>
      </w:r>
      <w:r w:rsidRPr="00C1603D">
        <w:rPr>
          <w:color w:val="00B0F0"/>
        </w:rPr>
        <w:t>“</w:t>
      </w:r>
      <w:r w:rsidRPr="00C1603D">
        <w:t>logistic model*</w:t>
      </w:r>
      <w:r w:rsidRPr="00C1603D">
        <w:rPr>
          <w:color w:val="00B0F0"/>
        </w:rPr>
        <w:t>”</w:t>
      </w:r>
      <w:r w:rsidRPr="00C1603D">
        <w:t xml:space="preserve"> or </w:t>
      </w:r>
      <w:r w:rsidRPr="00C1603D">
        <w:rPr>
          <w:color w:val="00B0F0"/>
        </w:rPr>
        <w:t>“</w:t>
      </w:r>
      <w:r w:rsidRPr="00C1603D">
        <w:t>statistical model*</w:t>
      </w:r>
      <w:r w:rsidRPr="00C1603D">
        <w:rPr>
          <w:color w:val="00B0F0"/>
        </w:rPr>
        <w:t>”</w:t>
      </w:r>
      <w:r w:rsidRPr="00C1603D">
        <w:t>)) [81,189]</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2F16865B" w14:textId="31C80B69" w:rsidR="008B4DF8" w:rsidRPr="00C1603D" w:rsidRDefault="008B4DF8" w:rsidP="008B4DF8">
      <w:pPr>
        <w:pStyle w:val="602TextfoTextstylesTextstyles"/>
      </w:pPr>
      <w:r w:rsidRPr="00C1603D">
        <w:t>#5 (TS</w:t>
      </w:r>
      <w:r w:rsidR="0002034F" w:rsidRPr="00C1603D">
        <w:t>=</w:t>
      </w:r>
      <w:r w:rsidRPr="00C1603D">
        <w:t>((</w:t>
      </w:r>
      <w:proofErr w:type="spellStart"/>
      <w:r w:rsidRPr="00C1603D">
        <w:t>multivaria</w:t>
      </w:r>
      <w:proofErr w:type="spellEnd"/>
      <w:r w:rsidRPr="00C1603D">
        <w:t xml:space="preserve">* or multicomponent*) NEAR (model* or algorithm* or score or scores or scoring or rule or rules or index or tool or tools or panel or </w:t>
      </w:r>
      <w:proofErr w:type="spellStart"/>
      <w:r w:rsidRPr="00C1603D">
        <w:t>criteri</w:t>
      </w:r>
      <w:proofErr w:type="spellEnd"/>
      <w:r w:rsidRPr="00C1603D">
        <w:t>*))) [156,496]</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0E2D2DF9" w14:textId="2BA932D4" w:rsidR="008B4DF8" w:rsidRPr="00C1603D" w:rsidRDefault="008B4DF8" w:rsidP="008B4DF8">
      <w:pPr>
        <w:pStyle w:val="602TextfoTextstylesTextstyles"/>
      </w:pPr>
      <w:r w:rsidRPr="00C1603D">
        <w:t>#4 (TS</w:t>
      </w:r>
      <w:r w:rsidR="0002034F" w:rsidRPr="00C1603D">
        <w:t>=</w:t>
      </w:r>
      <w:r w:rsidRPr="00C1603D">
        <w:t xml:space="preserve">(clinic* NEAR (model* or algorithm* or score or scores or scoring or </w:t>
      </w:r>
      <w:proofErr w:type="gramStart"/>
      <w:r w:rsidRPr="00C1603D">
        <w:t>risk or risks or rule</w:t>
      </w:r>
      <w:proofErr w:type="gramEnd"/>
      <w:r w:rsidRPr="00C1603D">
        <w:t xml:space="preserve"> or rules or predict* or index or tool or tools or panel or </w:t>
      </w:r>
      <w:proofErr w:type="spellStart"/>
      <w:r w:rsidRPr="00C1603D">
        <w:t>criteri</w:t>
      </w:r>
      <w:proofErr w:type="spellEnd"/>
      <w:r w:rsidRPr="00C1603D">
        <w:t xml:space="preserve">* or decision* or </w:t>
      </w:r>
      <w:proofErr w:type="spellStart"/>
      <w:r w:rsidRPr="00C1603D">
        <w:t>stratif</w:t>
      </w:r>
      <w:proofErr w:type="spellEnd"/>
      <w:r w:rsidRPr="00C1603D">
        <w:t xml:space="preserve">* or </w:t>
      </w:r>
      <w:proofErr w:type="spellStart"/>
      <w:r w:rsidRPr="00C1603D">
        <w:t>diagnos</w:t>
      </w:r>
      <w:proofErr w:type="spellEnd"/>
      <w:r w:rsidRPr="00C1603D">
        <w:t xml:space="preserve">* or detect* or </w:t>
      </w:r>
      <w:proofErr w:type="spellStart"/>
      <w:r w:rsidRPr="00C1603D">
        <w:t>identif</w:t>
      </w:r>
      <w:proofErr w:type="spellEnd"/>
      <w:r w:rsidRPr="00C1603D">
        <w:t xml:space="preserve">* or </w:t>
      </w:r>
      <w:proofErr w:type="spellStart"/>
      <w:r w:rsidRPr="00C1603D">
        <w:t>probabilit</w:t>
      </w:r>
      <w:proofErr w:type="spellEnd"/>
      <w:r w:rsidRPr="00C1603D">
        <w:t>*))) [1,061,406]</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764965EC" w14:textId="1554FC61" w:rsidR="008B4DF8" w:rsidRPr="00C1603D" w:rsidRDefault="008B4DF8" w:rsidP="008B4DF8">
      <w:pPr>
        <w:pStyle w:val="602TextfoTextstylesTextstyles"/>
      </w:pPr>
      <w:r w:rsidRPr="00C1603D">
        <w:t>#3 (TS</w:t>
      </w:r>
      <w:r w:rsidR="0002034F" w:rsidRPr="00C1603D">
        <w:t>=</w:t>
      </w:r>
      <w:r w:rsidRPr="00C1603D">
        <w:t xml:space="preserve">((detect* or </w:t>
      </w:r>
      <w:proofErr w:type="spellStart"/>
      <w:r w:rsidRPr="00C1603D">
        <w:t>diagnos</w:t>
      </w:r>
      <w:proofErr w:type="spellEnd"/>
      <w:r w:rsidRPr="00C1603D">
        <w:t xml:space="preserve">* or </w:t>
      </w:r>
      <w:proofErr w:type="spellStart"/>
      <w:r w:rsidRPr="00C1603D">
        <w:t>identif</w:t>
      </w:r>
      <w:proofErr w:type="spellEnd"/>
      <w:r w:rsidRPr="00C1603D">
        <w:t xml:space="preserve">* or decision* or predict* or </w:t>
      </w:r>
      <w:proofErr w:type="spellStart"/>
      <w:r w:rsidRPr="00C1603D">
        <w:t>prognos</w:t>
      </w:r>
      <w:proofErr w:type="spellEnd"/>
      <w:r w:rsidRPr="00C1603D">
        <w:t xml:space="preserve">* or </w:t>
      </w:r>
      <w:proofErr w:type="spellStart"/>
      <w:r w:rsidRPr="00C1603D">
        <w:t>stratif</w:t>
      </w:r>
      <w:proofErr w:type="spellEnd"/>
      <w:r w:rsidRPr="00C1603D">
        <w:t xml:space="preserve">* or </w:t>
      </w:r>
      <w:proofErr w:type="spellStart"/>
      <w:r w:rsidRPr="00C1603D">
        <w:t>validat</w:t>
      </w:r>
      <w:proofErr w:type="spellEnd"/>
      <w:r w:rsidRPr="00C1603D">
        <w:t xml:space="preserve">*) NEAR (risk or risks or model* or factor* or algorithm* or score or scores or scoring or system or technique* or aid or aids or rule or rules or index or variable* or tool or tools or panel or </w:t>
      </w:r>
      <w:proofErr w:type="spellStart"/>
      <w:r w:rsidRPr="00C1603D">
        <w:t>criteri</w:t>
      </w:r>
      <w:proofErr w:type="spellEnd"/>
      <w:r w:rsidRPr="00C1603D">
        <w:t xml:space="preserve">* or characteristic* or history or finding* or value* or assay or </w:t>
      </w:r>
      <w:proofErr w:type="spellStart"/>
      <w:r w:rsidRPr="00C1603D">
        <w:t>stratif</w:t>
      </w:r>
      <w:proofErr w:type="spellEnd"/>
      <w:r w:rsidRPr="00C1603D">
        <w:t>* or biomarker*))) [5,481,423]</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78D7FEF9" w14:textId="7FA132D3" w:rsidR="008B4DF8" w:rsidRPr="00C1603D" w:rsidRDefault="008B4DF8" w:rsidP="008B4DF8">
      <w:pPr>
        <w:pStyle w:val="602TextfoTextstylesTextstyles"/>
      </w:pPr>
      <w:r w:rsidRPr="00C1603D">
        <w:t>#2 (TS</w:t>
      </w:r>
      <w:r w:rsidR="0002034F" w:rsidRPr="00C1603D">
        <w:t>=</w:t>
      </w:r>
      <w:r w:rsidRPr="00C1603D">
        <w:t xml:space="preserve">((detect* or </w:t>
      </w:r>
      <w:proofErr w:type="spellStart"/>
      <w:r w:rsidRPr="00C1603D">
        <w:t>diagnos</w:t>
      </w:r>
      <w:proofErr w:type="spellEnd"/>
      <w:r w:rsidRPr="00C1603D">
        <w:t xml:space="preserve">* or </w:t>
      </w:r>
      <w:proofErr w:type="spellStart"/>
      <w:r w:rsidRPr="00C1603D">
        <w:t>identif</w:t>
      </w:r>
      <w:proofErr w:type="spellEnd"/>
      <w:r w:rsidRPr="00C1603D">
        <w:t xml:space="preserve">* or decision* or predict* or </w:t>
      </w:r>
      <w:proofErr w:type="spellStart"/>
      <w:r w:rsidRPr="00C1603D">
        <w:t>prognos</w:t>
      </w:r>
      <w:proofErr w:type="spellEnd"/>
      <w:r w:rsidRPr="00C1603D">
        <w:t xml:space="preserve">* or risk or risks or </w:t>
      </w:r>
      <w:proofErr w:type="spellStart"/>
      <w:r w:rsidRPr="00C1603D">
        <w:t>stratif</w:t>
      </w:r>
      <w:proofErr w:type="spellEnd"/>
      <w:r w:rsidRPr="00C1603D">
        <w:t xml:space="preserve">* or </w:t>
      </w:r>
      <w:proofErr w:type="spellStart"/>
      <w:r w:rsidRPr="00C1603D">
        <w:t>validat</w:t>
      </w:r>
      <w:proofErr w:type="spellEnd"/>
      <w:r w:rsidRPr="00C1603D">
        <w:t xml:space="preserve">*) NEAR (model* or factor* or algorithm* or score or scores or scoring or system or technique* or aid or aids or rule or rules or index or variable* or tool or tools or panel or </w:t>
      </w:r>
      <w:proofErr w:type="spellStart"/>
      <w:r w:rsidRPr="00C1603D">
        <w:t>criteri</w:t>
      </w:r>
      <w:proofErr w:type="spellEnd"/>
      <w:r w:rsidRPr="00C1603D">
        <w:t xml:space="preserve">* or characteristic* or history or finding* or value* or assay or </w:t>
      </w:r>
      <w:proofErr w:type="spellStart"/>
      <w:r w:rsidRPr="00C1603D">
        <w:t>stratif</w:t>
      </w:r>
      <w:proofErr w:type="spellEnd"/>
      <w:r w:rsidRPr="00C1603D">
        <w:t>* or biomarker*))) [6/133,858]</w:t>
      </w:r>
      <w:r w:rsidR="008F70A1" w:rsidRPr="00C1603D">
        <w:br/>
      </w:r>
      <w:r w:rsidRPr="00C1603D">
        <w:t>Indexes</w:t>
      </w:r>
      <w:r w:rsidR="0002034F" w:rsidRPr="00C1603D">
        <w:t>=</w:t>
      </w:r>
      <w:r w:rsidRPr="00C1603D">
        <w:t>SCI-EXPANDED, SSCI, A&amp;HCI, CPCI-S, CPCI-SSH, ESCI Timespan</w:t>
      </w:r>
      <w:r w:rsidR="0002034F" w:rsidRPr="00C1603D">
        <w:t>=</w:t>
      </w:r>
      <w:r w:rsidRPr="00C1603D">
        <w:t>1900-2020</w:t>
      </w:r>
    </w:p>
    <w:p w14:paraId="115D9A8F" w14:textId="658CFDA5" w:rsidR="008B4DF8" w:rsidRPr="00C1603D" w:rsidRDefault="008B4DF8" w:rsidP="008B4DF8">
      <w:pPr>
        <w:pStyle w:val="602TextfoTextstylesTextstyles"/>
      </w:pPr>
      <w:r w:rsidRPr="00C1603D">
        <w:t>#1 TS</w:t>
      </w:r>
      <w:r w:rsidR="0002034F" w:rsidRPr="00C1603D">
        <w:t>=</w:t>
      </w:r>
      <w:r w:rsidRPr="00C1603D">
        <w:t xml:space="preserve">((celiac* OR coeliac*) NEAR (asymptomatic OR atypical OR </w:t>
      </w:r>
      <w:proofErr w:type="spellStart"/>
      <w:r w:rsidRPr="00C1603D">
        <w:t>adolesc</w:t>
      </w:r>
      <w:proofErr w:type="spellEnd"/>
      <w:r w:rsidRPr="00C1603D">
        <w:t xml:space="preserve">* OR adult* OR cases OR cohort* OR child* OR disease* OR disorder* OR family OR families OR familial OR </w:t>
      </w:r>
      <w:r w:rsidRPr="00C1603D">
        <w:rPr>
          <w:color w:val="00B0F0"/>
        </w:rPr>
        <w:t>“</w:t>
      </w:r>
      <w:r w:rsidRPr="00C1603D">
        <w:t xml:space="preserve">genetic </w:t>
      </w:r>
      <w:proofErr w:type="spellStart"/>
      <w:r w:rsidRPr="00C1603D">
        <w:t>predispos</w:t>
      </w:r>
      <w:proofErr w:type="spellEnd"/>
      <w:r w:rsidRPr="00C1603D">
        <w:t>*</w:t>
      </w:r>
      <w:r w:rsidRPr="00C1603D">
        <w:rPr>
          <w:color w:val="00B0F0"/>
        </w:rPr>
        <w:t>”</w:t>
      </w:r>
      <w:r w:rsidRPr="00C1603D">
        <w:t xml:space="preserve"> OR </w:t>
      </w:r>
      <w:r w:rsidRPr="00C1603D">
        <w:rPr>
          <w:color w:val="00B0F0"/>
        </w:rPr>
        <w:t>“</w:t>
      </w:r>
      <w:r w:rsidRPr="00C1603D">
        <w:t>genetic pre-</w:t>
      </w:r>
      <w:proofErr w:type="spellStart"/>
      <w:r w:rsidRPr="00C1603D">
        <w:t>dispos</w:t>
      </w:r>
      <w:proofErr w:type="spellEnd"/>
      <w:r w:rsidRPr="00C1603D">
        <w:t>*</w:t>
      </w:r>
      <w:r w:rsidRPr="00C1603D">
        <w:rPr>
          <w:color w:val="00B0F0"/>
        </w:rPr>
        <w:t>”</w:t>
      </w:r>
      <w:r w:rsidRPr="00C1603D">
        <w:t xml:space="preserve"> OR </w:t>
      </w:r>
      <w:proofErr w:type="spellStart"/>
      <w:r w:rsidRPr="00C1603D">
        <w:t>heredit</w:t>
      </w:r>
      <w:proofErr w:type="spellEnd"/>
      <w:r w:rsidRPr="00C1603D">
        <w:t xml:space="preserve">* OR infant* OR men OR patient* OR people OR population* OR subjects OR symptomatic OR </w:t>
      </w:r>
      <w:proofErr w:type="spellStart"/>
      <w:r w:rsidRPr="00C1603D">
        <w:t>syndrom</w:t>
      </w:r>
      <w:proofErr w:type="spellEnd"/>
      <w:r w:rsidRPr="00C1603D">
        <w:t>* OR sprue OR women))) NOT (TS</w:t>
      </w:r>
      <w:r w:rsidR="0002034F" w:rsidRPr="00C1603D">
        <w:t>=</w:t>
      </w:r>
      <w:r w:rsidRPr="00C1603D">
        <w:t>((celiac* OR coeliac*) NEAR (angiography OR artery OR arteries OR axis OR plexus OR trunk))) [25,557]</w:t>
      </w:r>
      <w:r w:rsidR="00F277E9" w:rsidRPr="00C1603D">
        <w:br/>
      </w:r>
      <w:r w:rsidRPr="00C1603D">
        <w:t>Indexes</w:t>
      </w:r>
      <w:r w:rsidR="0002034F" w:rsidRPr="00C1603D">
        <w:t>=</w:t>
      </w:r>
      <w:r w:rsidRPr="00C1603D">
        <w:t>SCI-EXPANDED, SSCI, A&amp;HCI, CPCI-S, CPCI-SSH, ESCI Timespan</w:t>
      </w:r>
      <w:r w:rsidR="0002034F" w:rsidRPr="00C1603D">
        <w:t>=</w:t>
      </w:r>
      <w:r w:rsidRPr="00C1603D">
        <w:t>1900-2020</w:t>
      </w:r>
    </w:p>
    <w:p w14:paraId="4EFF1C6A" w14:textId="482DD5C6" w:rsidR="008B4DF8" w:rsidRPr="00C1603D" w:rsidRDefault="008B4DF8" w:rsidP="008B4DF8">
      <w:pPr>
        <w:pStyle w:val="43AppendixtitleHeadingsHeadingstyles"/>
      </w:pPr>
      <w:bookmarkStart w:id="568" w:name="_Ref86164798"/>
      <w:bookmarkStart w:id="569" w:name="_Ref87617947"/>
      <w:bookmarkStart w:id="570" w:name="_Toc99539922"/>
      <w:r w:rsidRPr="00C1603D">
        <w:lastRenderedPageBreak/>
        <w:t xml:space="preserve">Appendix </w:t>
      </w:r>
      <w:bookmarkEnd w:id="568"/>
      <w:r w:rsidRPr="00C1603D">
        <w:t>2</w:t>
      </w:r>
      <w:bookmarkEnd w:id="569"/>
      <w:bookmarkEnd w:id="570"/>
      <w:r w:rsidR="00F277E9" w:rsidRPr="00C1603D">
        <w:t> </w:t>
      </w:r>
      <w:r w:rsidR="00F277E9" w:rsidRPr="00C1603D">
        <w:t>Flow diagram</w:t>
      </w:r>
    </w:p>
    <w:p w14:paraId="2BF1FEC0" w14:textId="66B197A7" w:rsidR="008B4DF8" w:rsidRPr="00C1603D" w:rsidRDefault="008B4DF8" w:rsidP="008B4DF8">
      <w:pPr>
        <w:pStyle w:val="81FigurelegendTableFigureBoxstyles"/>
      </w:pPr>
      <w:bookmarkStart w:id="571" w:name="_Ref95314724"/>
      <w:bookmarkStart w:id="572" w:name="_Toc99720807"/>
      <w:r w:rsidRPr="00C1603D">
        <w:rPr>
          <w:b/>
        </w:rPr>
        <w:t>FIGURE 26</w:t>
      </w:r>
      <w:r w:rsidRPr="00C1603D">
        <w:rPr>
          <w:b/>
        </w:rPr>
        <w:t> </w:t>
      </w:r>
      <w:r w:rsidR="002D2D68" w:rsidRPr="00C1603D">
        <w:t>The Preferred Reporting Items for Systematic Reviews and Meta-Analyses</w:t>
      </w:r>
      <w:r w:rsidRPr="00C1603D">
        <w:t xml:space="preserve"> flow diagram</w:t>
      </w:r>
      <w:bookmarkEnd w:id="571"/>
      <w:bookmarkEnd w:id="572"/>
      <w:r w:rsidRPr="00C1603D">
        <w:t xml:space="preserve">. BSG </w:t>
      </w:r>
      <w:r w:rsidR="00AA7920" w:rsidRPr="00C1603D">
        <w:t>g</w:t>
      </w:r>
      <w:r w:rsidRPr="00C1603D">
        <w:t>uidelines</w:t>
      </w:r>
      <w:r w:rsidR="00AA7920" w:rsidRPr="00C1603D">
        <w:t>,</w:t>
      </w:r>
      <w:r w:rsidRPr="00C1603D">
        <w:rPr>
          <w:noProof/>
          <w:vertAlign w:val="superscript"/>
        </w:rPr>
        <w:t>42</w:t>
      </w:r>
      <w:r w:rsidRPr="00C1603D">
        <w:t xml:space="preserve"> ESsCD guideline</w:t>
      </w:r>
      <w:r w:rsidR="00AA7920" w:rsidRPr="00C1603D">
        <w:t>s,</w:t>
      </w:r>
      <w:r w:rsidRPr="00C1603D">
        <w:rPr>
          <w:noProof/>
          <w:vertAlign w:val="superscript"/>
        </w:rPr>
        <w:t>43</w:t>
      </w:r>
      <w:r w:rsidRPr="00C1603D">
        <w:t xml:space="preserve"> ESPGHAN </w:t>
      </w:r>
      <w:r w:rsidR="00AA7920" w:rsidRPr="00C1603D">
        <w:t>g</w:t>
      </w:r>
      <w:r w:rsidRPr="00C1603D">
        <w:t>uidelines.</w:t>
      </w:r>
      <w:r w:rsidRPr="00C1603D">
        <w:rPr>
          <w:noProof/>
          <w:vertAlign w:val="superscript"/>
        </w:rPr>
        <w:t>10</w:t>
      </w:r>
      <w:r w:rsidR="00BE4E96" w:rsidRPr="00C1603D">
        <w:rPr>
          <w:noProof/>
        </w:rPr>
        <w:t xml:space="preserve"> </w:t>
      </w:r>
      <w:r w:rsidR="00572ACA" w:rsidRPr="00C1603D">
        <w:rPr>
          <w:noProof/>
        </w:rPr>
        <w:t xml:space="preserve">AGA, anti-gliadin antibodies; </w:t>
      </w:r>
      <w:r w:rsidR="00BE4E96" w:rsidRPr="00C1603D">
        <w:rPr>
          <w:noProof/>
        </w:rPr>
        <w:t xml:space="preserve">BSG, </w:t>
      </w:r>
      <w:r w:rsidR="00BE4E96" w:rsidRPr="00C1603D">
        <w:t>British Society of Gastroenterology.</w:t>
      </w:r>
    </w:p>
    <w:p w14:paraId="7DC6E955" w14:textId="6BDE6C3C" w:rsidR="008B4DF8" w:rsidRPr="00C1603D" w:rsidRDefault="008B4DF8" w:rsidP="008B4DF8">
      <w:pPr>
        <w:pStyle w:val="43AppendixtitleHeadingsHeadingstyles"/>
      </w:pPr>
      <w:bookmarkStart w:id="573" w:name="_Toc99539923"/>
      <w:r w:rsidRPr="00C1603D">
        <w:lastRenderedPageBreak/>
        <w:t>Appendix 3</w:t>
      </w:r>
      <w:bookmarkEnd w:id="573"/>
      <w:r w:rsidR="00004025" w:rsidRPr="00C1603D">
        <w:t> </w:t>
      </w:r>
      <w:r w:rsidR="00004025" w:rsidRPr="00C1603D">
        <w:rPr>
          <w:noProof/>
        </w:rPr>
        <w:t>Study characteristics</w:t>
      </w:r>
    </w:p>
    <w:p w14:paraId="52F25D0F" w14:textId="04F4EBE6" w:rsidR="008B4DF8" w:rsidRPr="00C1603D" w:rsidRDefault="008B4DF8" w:rsidP="008B4DF8">
      <w:pPr>
        <w:pStyle w:val="70TablelegendTablesTableFigureBoxstyles"/>
        <w:rPr>
          <w:noProof/>
        </w:rPr>
      </w:pPr>
      <w:bookmarkStart w:id="574" w:name="_Ref83903931"/>
      <w:bookmarkStart w:id="575" w:name="_Toc99720735"/>
      <w:r w:rsidRPr="00C1603D">
        <w:rPr>
          <w:b/>
        </w:rPr>
        <w:t>TABLE 2</w:t>
      </w:r>
      <w:r w:rsidR="00032460" w:rsidRPr="00C1603D">
        <w:rPr>
          <w:b/>
        </w:rPr>
        <w:t>5</w:t>
      </w:r>
      <w:r w:rsidRPr="00C1603D">
        <w:rPr>
          <w:b/>
        </w:rPr>
        <w:t> </w:t>
      </w:r>
      <w:r w:rsidRPr="00C1603D">
        <w:rPr>
          <w:noProof/>
        </w:rPr>
        <w:t>Summary table of study characteristics</w:t>
      </w:r>
      <w:bookmarkEnd w:id="574"/>
      <w:bookmarkEnd w:id="575"/>
    </w:p>
    <w:tbl>
      <w:tblPr>
        <w:tblW w:w="0" w:type="auto"/>
        <w:shd w:val="clear" w:color="000000" w:fill="FFFFFF"/>
        <w:tblCellMar>
          <w:top w:w="40" w:type="dxa"/>
          <w:left w:w="60" w:type="dxa"/>
          <w:bottom w:w="40" w:type="dxa"/>
          <w:right w:w="60" w:type="dxa"/>
        </w:tblCellMar>
        <w:tblLook w:val="04A0" w:firstRow="1" w:lastRow="0" w:firstColumn="1" w:lastColumn="0" w:noHBand="0" w:noVBand="1"/>
      </w:tblPr>
      <w:tblGrid>
        <w:gridCol w:w="1189"/>
        <w:gridCol w:w="1188"/>
        <w:gridCol w:w="666"/>
        <w:gridCol w:w="642"/>
        <w:gridCol w:w="723"/>
        <w:gridCol w:w="839"/>
        <w:gridCol w:w="1267"/>
        <w:gridCol w:w="1080"/>
        <w:gridCol w:w="1432"/>
      </w:tblGrid>
      <w:tr w:rsidR="00CB1142" w:rsidRPr="00C1603D" w14:paraId="71704576" w14:textId="77777777" w:rsidTr="00004025">
        <w:trPr>
          <w:cantSplit/>
        </w:trPr>
        <w:tc>
          <w:tcPr>
            <w:tcW w:w="0" w:type="auto"/>
            <w:shd w:val="clear" w:color="000000" w:fill="FFFFFF"/>
          </w:tcPr>
          <w:p w14:paraId="66B4771E" w14:textId="77777777" w:rsidR="008B4DF8" w:rsidRPr="00C1603D" w:rsidRDefault="008B4DF8" w:rsidP="00004025">
            <w:pPr>
              <w:pStyle w:val="710TableheadTablesTableFigureBoxstyles"/>
              <w:rPr>
                <w:lang w:eastAsia="en-GB"/>
              </w:rPr>
            </w:pPr>
            <w:r w:rsidRPr="00C1603D">
              <w:rPr>
                <w:lang w:eastAsia="en-GB"/>
              </w:rPr>
              <w:t>Diagnostic indicator</w:t>
            </w:r>
          </w:p>
        </w:tc>
        <w:tc>
          <w:tcPr>
            <w:tcW w:w="0" w:type="auto"/>
            <w:shd w:val="clear" w:color="000000" w:fill="FFFFFF"/>
          </w:tcPr>
          <w:p w14:paraId="344AABB7" w14:textId="77777777" w:rsidR="008B4DF8" w:rsidRPr="00C1603D" w:rsidRDefault="008B4DF8" w:rsidP="00004025">
            <w:pPr>
              <w:pStyle w:val="710TableheadTablesTableFigureBoxstyles"/>
              <w:rPr>
                <w:lang w:eastAsia="en-GB"/>
              </w:rPr>
            </w:pPr>
            <w:r w:rsidRPr="00C1603D">
              <w:rPr>
                <w:lang w:eastAsia="en-GB"/>
              </w:rPr>
              <w:t>Diagnostic indicator details</w:t>
            </w:r>
          </w:p>
        </w:tc>
        <w:tc>
          <w:tcPr>
            <w:tcW w:w="0" w:type="auto"/>
            <w:shd w:val="clear" w:color="000000" w:fill="FFFFFF"/>
          </w:tcPr>
          <w:p w14:paraId="2FAA61F3" w14:textId="38725E17" w:rsidR="008B4DF8" w:rsidRPr="00C1603D" w:rsidRDefault="008B4DF8" w:rsidP="00004025">
            <w:pPr>
              <w:pStyle w:val="710TableheadTablesTableFigureBoxstyles"/>
              <w:rPr>
                <w:lang w:eastAsia="en-GB"/>
              </w:rPr>
            </w:pPr>
            <w:r w:rsidRPr="00C1603D">
              <w:rPr>
                <w:lang w:eastAsia="en-GB"/>
              </w:rPr>
              <w:t>Studies</w:t>
            </w:r>
            <w:r w:rsidR="00004025" w:rsidRPr="00C1603D">
              <w:rPr>
                <w:lang w:eastAsia="en-GB"/>
              </w:rPr>
              <w:t xml:space="preserve"> (</w:t>
            </w:r>
            <w:r w:rsidR="00004025" w:rsidRPr="00C1603D">
              <w:rPr>
                <w:i/>
                <w:iCs/>
                <w:lang w:eastAsia="en-GB"/>
              </w:rPr>
              <w:t>n</w:t>
            </w:r>
            <w:r w:rsidR="00004025" w:rsidRPr="00C1603D">
              <w:rPr>
                <w:lang w:eastAsia="en-GB"/>
              </w:rPr>
              <w:t>)</w:t>
            </w:r>
          </w:p>
        </w:tc>
        <w:tc>
          <w:tcPr>
            <w:tcW w:w="0" w:type="auto"/>
            <w:shd w:val="clear" w:color="000000" w:fill="FFFFFF"/>
          </w:tcPr>
          <w:p w14:paraId="367C7248" w14:textId="0A9CF889" w:rsidR="008B4DF8" w:rsidRPr="00C1603D" w:rsidRDefault="008B4DF8" w:rsidP="00004025">
            <w:pPr>
              <w:pStyle w:val="710TableheadTablesTableFigureBoxstyles"/>
              <w:rPr>
                <w:lang w:eastAsia="en-GB"/>
              </w:rPr>
            </w:pPr>
            <w:r w:rsidRPr="00C1603D">
              <w:rPr>
                <w:lang w:eastAsia="en-GB"/>
              </w:rPr>
              <w:t xml:space="preserve">Total sample </w:t>
            </w:r>
            <w:r w:rsidR="00004025" w:rsidRPr="00C1603D">
              <w:rPr>
                <w:lang w:eastAsia="en-GB"/>
              </w:rPr>
              <w:t>(</w:t>
            </w:r>
            <w:r w:rsidR="00004025" w:rsidRPr="00C1603D">
              <w:rPr>
                <w:i/>
                <w:iCs/>
                <w:lang w:eastAsia="en-GB"/>
              </w:rPr>
              <w:t>n</w:t>
            </w:r>
            <w:r w:rsidR="00004025" w:rsidRPr="00C1603D">
              <w:rPr>
                <w:lang w:eastAsia="en-GB"/>
              </w:rPr>
              <w:t>)</w:t>
            </w:r>
          </w:p>
        </w:tc>
        <w:tc>
          <w:tcPr>
            <w:tcW w:w="0" w:type="auto"/>
            <w:shd w:val="clear" w:color="000000" w:fill="FFFFFF"/>
          </w:tcPr>
          <w:p w14:paraId="5F39072D" w14:textId="11086D04" w:rsidR="008B4DF8" w:rsidRPr="00C1603D" w:rsidRDefault="008B4DF8" w:rsidP="00004025">
            <w:pPr>
              <w:pStyle w:val="710TableheadTablesTableFigureBoxstyles"/>
              <w:rPr>
                <w:lang w:eastAsia="en-GB"/>
              </w:rPr>
            </w:pPr>
            <w:r w:rsidRPr="00C1603D">
              <w:rPr>
                <w:lang w:eastAsia="en-GB"/>
              </w:rPr>
              <w:t>CD patients</w:t>
            </w:r>
            <w:r w:rsidR="00004025" w:rsidRPr="00C1603D">
              <w:rPr>
                <w:lang w:eastAsia="en-GB"/>
              </w:rPr>
              <w:t xml:space="preserve"> (</w:t>
            </w:r>
            <w:r w:rsidR="00004025" w:rsidRPr="00C1603D">
              <w:rPr>
                <w:i/>
                <w:iCs/>
                <w:lang w:eastAsia="en-GB"/>
              </w:rPr>
              <w:t>n</w:t>
            </w:r>
            <w:r w:rsidR="00004025" w:rsidRPr="00C1603D">
              <w:rPr>
                <w:lang w:eastAsia="en-GB"/>
              </w:rPr>
              <w:t>)</w:t>
            </w:r>
          </w:p>
        </w:tc>
        <w:tc>
          <w:tcPr>
            <w:tcW w:w="0" w:type="auto"/>
            <w:shd w:val="clear" w:color="000000" w:fill="FFFFFF"/>
          </w:tcPr>
          <w:p w14:paraId="29D52D14" w14:textId="77777777" w:rsidR="008B4DF8" w:rsidRPr="00C1603D" w:rsidRDefault="008B4DF8" w:rsidP="00004025">
            <w:pPr>
              <w:pStyle w:val="710TableheadTablesTableFigureBoxstyles"/>
              <w:rPr>
                <w:lang w:eastAsia="en-GB"/>
              </w:rPr>
            </w:pPr>
            <w:r w:rsidRPr="00C1603D">
              <w:rPr>
                <w:lang w:eastAsia="en-GB"/>
              </w:rPr>
              <w:t>Age groups</w:t>
            </w:r>
          </w:p>
        </w:tc>
        <w:tc>
          <w:tcPr>
            <w:tcW w:w="0" w:type="auto"/>
            <w:shd w:val="clear" w:color="000000" w:fill="FFFFFF"/>
          </w:tcPr>
          <w:p w14:paraId="722F2909" w14:textId="323404F5" w:rsidR="008B4DF8" w:rsidRPr="00C1603D" w:rsidRDefault="008B4DF8" w:rsidP="00004025">
            <w:pPr>
              <w:pStyle w:val="710TableheadTablesTableFigureBoxstyles"/>
              <w:rPr>
                <w:lang w:eastAsia="en-GB"/>
              </w:rPr>
            </w:pPr>
            <w:r w:rsidRPr="00C1603D">
              <w:rPr>
                <w:lang w:eastAsia="en-GB"/>
              </w:rPr>
              <w:t xml:space="preserve">Study </w:t>
            </w:r>
            <w:r w:rsidR="00004025" w:rsidRPr="00C1603D">
              <w:rPr>
                <w:lang w:eastAsia="en-GB"/>
              </w:rPr>
              <w:t>d</w:t>
            </w:r>
            <w:r w:rsidRPr="00C1603D">
              <w:rPr>
                <w:lang w:eastAsia="en-GB"/>
              </w:rPr>
              <w:t>esigns</w:t>
            </w:r>
          </w:p>
        </w:tc>
        <w:tc>
          <w:tcPr>
            <w:tcW w:w="0" w:type="auto"/>
            <w:shd w:val="clear" w:color="000000" w:fill="FFFFFF"/>
          </w:tcPr>
          <w:p w14:paraId="16463722" w14:textId="77777777" w:rsidR="008B4DF8" w:rsidRPr="00C1603D" w:rsidRDefault="008B4DF8" w:rsidP="00004025">
            <w:pPr>
              <w:pStyle w:val="710TableheadTablesTableFigureBoxstyles"/>
              <w:rPr>
                <w:lang w:eastAsia="en-GB"/>
              </w:rPr>
            </w:pPr>
            <w:r w:rsidRPr="00C1603D">
              <w:rPr>
                <w:lang w:eastAsia="en-GB"/>
              </w:rPr>
              <w:t>Control groups</w:t>
            </w:r>
          </w:p>
        </w:tc>
        <w:tc>
          <w:tcPr>
            <w:tcW w:w="0" w:type="auto"/>
            <w:shd w:val="clear" w:color="000000" w:fill="FFFFFF"/>
          </w:tcPr>
          <w:p w14:paraId="1EBDC661" w14:textId="77777777" w:rsidR="008B4DF8" w:rsidRPr="00C1603D" w:rsidRDefault="008B4DF8" w:rsidP="00004025">
            <w:pPr>
              <w:pStyle w:val="710TableheadTablesTableFigureBoxstyles"/>
              <w:rPr>
                <w:lang w:eastAsia="en-GB"/>
              </w:rPr>
            </w:pPr>
            <w:r w:rsidRPr="00C1603D">
              <w:rPr>
                <w:lang w:eastAsia="en-GB"/>
              </w:rPr>
              <w:t>Reference standards (CD diagnosis strategy)</w:t>
            </w:r>
          </w:p>
        </w:tc>
      </w:tr>
      <w:tr w:rsidR="008B4DF8" w:rsidRPr="00C1603D" w14:paraId="7029DC99" w14:textId="77777777" w:rsidTr="00004025">
        <w:trPr>
          <w:cantSplit/>
        </w:trPr>
        <w:tc>
          <w:tcPr>
            <w:tcW w:w="0" w:type="auto"/>
            <w:gridSpan w:val="9"/>
            <w:shd w:val="clear" w:color="000000" w:fill="FFFFFF"/>
          </w:tcPr>
          <w:p w14:paraId="7B25B1FB" w14:textId="77777777" w:rsidR="008B4DF8" w:rsidRPr="00C1603D" w:rsidRDefault="008B4DF8" w:rsidP="00004025">
            <w:pPr>
              <w:pStyle w:val="711TablesubheadATablesTableFigureBoxstyles"/>
              <w:rPr>
                <w:lang w:eastAsia="en-GB"/>
              </w:rPr>
            </w:pPr>
            <w:r w:rsidRPr="00C1603D">
              <w:rPr>
                <w:lang w:eastAsia="en-GB"/>
              </w:rPr>
              <w:t>Symptoms</w:t>
            </w:r>
          </w:p>
        </w:tc>
      </w:tr>
      <w:tr w:rsidR="00CB1142" w:rsidRPr="00C1603D" w14:paraId="29B56FCA" w14:textId="77777777" w:rsidTr="00004025">
        <w:trPr>
          <w:cantSplit/>
        </w:trPr>
        <w:tc>
          <w:tcPr>
            <w:tcW w:w="0" w:type="auto"/>
            <w:shd w:val="clear" w:color="000000" w:fill="FFFFFF"/>
          </w:tcPr>
          <w:p w14:paraId="1100C183" w14:textId="77777777" w:rsidR="008B4DF8" w:rsidRPr="00C1603D" w:rsidRDefault="008B4DF8" w:rsidP="00004025">
            <w:pPr>
              <w:pStyle w:val="72TabletextTablesTableFigureBoxstyles"/>
              <w:rPr>
                <w:lang w:eastAsia="en-GB"/>
              </w:rPr>
            </w:pPr>
            <w:r w:rsidRPr="00C1603D">
              <w:rPr>
                <w:lang w:eastAsia="en-GB"/>
              </w:rPr>
              <w:t>Abdominal pain</w:t>
            </w:r>
          </w:p>
        </w:tc>
        <w:tc>
          <w:tcPr>
            <w:tcW w:w="0" w:type="auto"/>
            <w:shd w:val="clear" w:color="000000" w:fill="FFFFFF"/>
          </w:tcPr>
          <w:p w14:paraId="650C6FAA" w14:textId="77777777" w:rsidR="008B4DF8" w:rsidRPr="00C1603D" w:rsidRDefault="008B4DF8" w:rsidP="00004025">
            <w:pPr>
              <w:pStyle w:val="72TabletextTablesTableFigureBoxstyles"/>
              <w:rPr>
                <w:lang w:eastAsia="en-GB"/>
              </w:rPr>
            </w:pPr>
            <w:r w:rsidRPr="00C1603D">
              <w:rPr>
                <w:lang w:eastAsia="en-GB"/>
              </w:rPr>
              <w:t>(Recurrent or acute) abdominal or stomach pain</w:t>
            </w:r>
          </w:p>
        </w:tc>
        <w:tc>
          <w:tcPr>
            <w:tcW w:w="0" w:type="auto"/>
            <w:shd w:val="clear" w:color="000000" w:fill="FFFFFF"/>
          </w:tcPr>
          <w:p w14:paraId="2924CBFD" w14:textId="77777777" w:rsidR="008B4DF8" w:rsidRPr="00C1603D" w:rsidRDefault="008B4DF8" w:rsidP="00004025">
            <w:pPr>
              <w:pStyle w:val="72TabletextTablesTableFigureBoxstyles"/>
              <w:rPr>
                <w:lang w:eastAsia="en-GB"/>
              </w:rPr>
            </w:pPr>
            <w:r w:rsidRPr="00C1603D">
              <w:rPr>
                <w:lang w:eastAsia="en-GB"/>
              </w:rPr>
              <w:t>12</w:t>
            </w:r>
          </w:p>
        </w:tc>
        <w:tc>
          <w:tcPr>
            <w:tcW w:w="0" w:type="auto"/>
            <w:shd w:val="clear" w:color="000000" w:fill="FFFFFF"/>
          </w:tcPr>
          <w:p w14:paraId="03B26CB9" w14:textId="77777777" w:rsidR="008B4DF8" w:rsidRPr="00C1603D" w:rsidRDefault="008B4DF8" w:rsidP="00004025">
            <w:pPr>
              <w:pStyle w:val="72TabletextTablesTableFigureBoxstyles"/>
              <w:rPr>
                <w:lang w:eastAsia="en-GB"/>
              </w:rPr>
            </w:pPr>
            <w:r w:rsidRPr="00C1603D">
              <w:rPr>
                <w:lang w:eastAsia="en-GB"/>
              </w:rPr>
              <w:t>48,451</w:t>
            </w:r>
          </w:p>
        </w:tc>
        <w:tc>
          <w:tcPr>
            <w:tcW w:w="0" w:type="auto"/>
            <w:shd w:val="clear" w:color="000000" w:fill="FFFFFF"/>
          </w:tcPr>
          <w:p w14:paraId="6F01B771" w14:textId="0B4ADC31" w:rsidR="008B4DF8" w:rsidRPr="00C1603D" w:rsidRDefault="008B4DF8" w:rsidP="00004025">
            <w:pPr>
              <w:pStyle w:val="72TabletextTablesTableFigureBoxstyles"/>
              <w:rPr>
                <w:lang w:eastAsia="en-GB"/>
              </w:rPr>
            </w:pPr>
            <w:r w:rsidRPr="00C1603D">
              <w:rPr>
                <w:lang w:eastAsia="en-GB"/>
              </w:rPr>
              <w:t>1014</w:t>
            </w:r>
          </w:p>
        </w:tc>
        <w:tc>
          <w:tcPr>
            <w:tcW w:w="0" w:type="auto"/>
            <w:shd w:val="clear" w:color="000000" w:fill="FFFFFF"/>
          </w:tcPr>
          <w:p w14:paraId="70E0E4BE" w14:textId="77777777" w:rsidR="00B25FE9" w:rsidRPr="00C1603D" w:rsidRDefault="008B4DF8" w:rsidP="00B25FE9">
            <w:pPr>
              <w:pStyle w:val="722TablebulletlistTablesTableFigureBoxstyles"/>
              <w:rPr>
                <w:color w:val="auto"/>
                <w:lang w:eastAsia="en-GB"/>
              </w:rPr>
            </w:pPr>
            <w:r w:rsidRPr="00C1603D">
              <w:rPr>
                <w:color w:val="auto"/>
                <w:lang w:eastAsia="en-GB"/>
              </w:rPr>
              <w:t xml:space="preserve">Adults, </w:t>
            </w:r>
            <w:r w:rsidRPr="00C1603D">
              <w:rPr>
                <w:i/>
                <w:color w:val="auto"/>
                <w:lang w:eastAsia="en-GB"/>
              </w:rPr>
              <w:t>n</w:t>
            </w:r>
            <w:r w:rsidRPr="00C1603D">
              <w:rPr>
                <w:color w:val="auto"/>
                <w:lang w:eastAsia="en-GB"/>
              </w:rPr>
              <w:t> = 6</w:t>
            </w:r>
          </w:p>
          <w:p w14:paraId="2FE759C5" w14:textId="7CB96EE9" w:rsidR="008B4DF8" w:rsidRPr="00C1603D" w:rsidRDefault="008B4DF8" w:rsidP="00B25FE9">
            <w:pPr>
              <w:pStyle w:val="722TablebulletlistTablesTableFigureBoxstyles"/>
              <w:rPr>
                <w:color w:val="auto"/>
                <w:lang w:eastAsia="en-GB"/>
              </w:rPr>
            </w:pPr>
            <w:r w:rsidRPr="00C1603D">
              <w:rPr>
                <w:color w:val="auto"/>
                <w:lang w:eastAsia="en-GB"/>
              </w:rPr>
              <w:t xml:space="preserve">Children, </w:t>
            </w:r>
            <w:r w:rsidRPr="00C1603D">
              <w:rPr>
                <w:i/>
                <w:color w:val="auto"/>
                <w:lang w:eastAsia="en-GB"/>
              </w:rPr>
              <w:t>n</w:t>
            </w:r>
            <w:r w:rsidRPr="00C1603D">
              <w:rPr>
                <w:color w:val="auto"/>
                <w:lang w:eastAsia="en-GB"/>
              </w:rPr>
              <w:t> = 6</w:t>
            </w:r>
          </w:p>
        </w:tc>
        <w:tc>
          <w:tcPr>
            <w:tcW w:w="0" w:type="auto"/>
            <w:shd w:val="clear" w:color="000000" w:fill="FFFFFF"/>
          </w:tcPr>
          <w:p w14:paraId="3E231056" w14:textId="77777777" w:rsidR="00B25FE9" w:rsidRPr="00C1603D" w:rsidRDefault="008B4DF8" w:rsidP="00B25FE9">
            <w:pPr>
              <w:pStyle w:val="722TablebulletlistTablesTableFigureBoxstyles"/>
              <w:rPr>
                <w:color w:val="auto"/>
                <w:lang w:eastAsia="en-GB"/>
              </w:rPr>
            </w:pPr>
            <w:r w:rsidRPr="00C1603D">
              <w:rPr>
                <w:color w:val="auto"/>
                <w:lang w:eastAsia="en-GB"/>
              </w:rPr>
              <w:t>Case</w:t>
            </w:r>
            <w:r w:rsidR="00B25FE9" w:rsidRPr="00C1603D">
              <w:rPr>
                <w:color w:val="auto"/>
                <w:lang w:eastAsia="en-GB"/>
              </w:rPr>
              <w:t>–</w:t>
            </w:r>
            <w:r w:rsidRPr="00C1603D">
              <w:rPr>
                <w:color w:val="auto"/>
                <w:lang w:eastAsia="en-GB"/>
              </w:rPr>
              <w:t>control (DI),</w:t>
            </w:r>
            <w:r w:rsidRPr="00C1603D">
              <w:rPr>
                <w:color w:val="auto"/>
                <w:vertAlign w:val="superscript"/>
                <w:lang w:eastAsia="en-GB"/>
              </w:rPr>
              <w:t>a</w:t>
            </w:r>
            <w:r w:rsidRPr="00C1603D">
              <w:rPr>
                <w:color w:val="auto"/>
                <w:lang w:eastAsia="en-GB"/>
              </w:rPr>
              <w:t xml:space="preserve"> </w:t>
            </w:r>
            <w:r w:rsidRPr="00C1603D">
              <w:rPr>
                <w:i/>
                <w:color w:val="auto"/>
                <w:lang w:eastAsia="en-GB"/>
              </w:rPr>
              <w:t>n</w:t>
            </w:r>
            <w:r w:rsidRPr="00C1603D">
              <w:rPr>
                <w:color w:val="auto"/>
                <w:lang w:eastAsia="en-GB"/>
              </w:rPr>
              <w:t> = 3</w:t>
            </w:r>
          </w:p>
          <w:p w14:paraId="6E5C9F00" w14:textId="77777777" w:rsidR="00B25FE9" w:rsidRPr="00C1603D" w:rsidRDefault="008B4DF8" w:rsidP="00B25FE9">
            <w:pPr>
              <w:pStyle w:val="722TablebulletlistTablesTableFigureBoxstyles"/>
              <w:rPr>
                <w:color w:val="auto"/>
                <w:lang w:eastAsia="en-GB"/>
              </w:rPr>
            </w:pPr>
            <w:r w:rsidRPr="00C1603D">
              <w:rPr>
                <w:color w:val="auto"/>
                <w:lang w:eastAsia="en-GB"/>
              </w:rPr>
              <w:t xml:space="preserve">Nested case–control (CD), </w:t>
            </w:r>
            <w:r w:rsidRPr="00C1603D">
              <w:rPr>
                <w:i/>
                <w:color w:val="auto"/>
                <w:lang w:eastAsia="en-GB"/>
              </w:rPr>
              <w:t>n</w:t>
            </w:r>
            <w:r w:rsidRPr="00C1603D">
              <w:rPr>
                <w:color w:val="auto"/>
                <w:lang w:eastAsia="en-GB"/>
              </w:rPr>
              <w:t> = 2</w:t>
            </w:r>
          </w:p>
          <w:p w14:paraId="596BADCF" w14:textId="61A4123D" w:rsidR="008B4DF8" w:rsidRPr="00C1603D" w:rsidRDefault="008B4DF8" w:rsidP="00B25FE9">
            <w:pPr>
              <w:pStyle w:val="722TablebulletlistTablesTableFigureBoxstyles"/>
              <w:rPr>
                <w:color w:val="auto"/>
                <w:lang w:eastAsia="en-GB"/>
              </w:rPr>
            </w:pPr>
            <w:r w:rsidRPr="00C1603D">
              <w:rPr>
                <w:color w:val="auto"/>
                <w:lang w:eastAsia="en-GB"/>
              </w:rPr>
              <w:t xml:space="preserve">Cohort/cross-sectional, </w:t>
            </w:r>
            <w:r w:rsidRPr="00C1603D">
              <w:rPr>
                <w:i/>
                <w:color w:val="auto"/>
                <w:lang w:eastAsia="en-GB"/>
              </w:rPr>
              <w:t>n</w:t>
            </w:r>
            <w:r w:rsidRPr="00C1603D">
              <w:rPr>
                <w:color w:val="auto"/>
                <w:lang w:eastAsia="en-GB"/>
              </w:rPr>
              <w:t> = 7</w:t>
            </w:r>
          </w:p>
        </w:tc>
        <w:tc>
          <w:tcPr>
            <w:tcW w:w="0" w:type="auto"/>
            <w:shd w:val="clear" w:color="000000" w:fill="FFFFFF"/>
          </w:tcPr>
          <w:p w14:paraId="0825C77B" w14:textId="77777777" w:rsidR="00B25FE9" w:rsidRPr="00C1603D" w:rsidRDefault="008B4DF8" w:rsidP="00B25FE9">
            <w:pPr>
              <w:pStyle w:val="722TablebulletlistTablesTableFigureBoxstyles"/>
              <w:rPr>
                <w:color w:val="auto"/>
                <w:lang w:eastAsia="en-GB"/>
              </w:rPr>
            </w:pPr>
            <w:r w:rsidRPr="00C1603D">
              <w:rPr>
                <w:color w:val="auto"/>
                <w:lang w:eastAsia="en-GB"/>
              </w:rPr>
              <w:t xml:space="preserve">Healthy controls, </w:t>
            </w:r>
            <w:r w:rsidRPr="00C1603D">
              <w:rPr>
                <w:i/>
                <w:color w:val="auto"/>
                <w:lang w:eastAsia="en-GB"/>
              </w:rPr>
              <w:t>n</w:t>
            </w:r>
            <w:r w:rsidRPr="00C1603D">
              <w:rPr>
                <w:color w:val="auto"/>
                <w:lang w:eastAsia="en-GB"/>
              </w:rPr>
              <w:t> = 3</w:t>
            </w:r>
          </w:p>
          <w:p w14:paraId="12F7D6D6" w14:textId="088241DF" w:rsidR="008B4DF8" w:rsidRPr="00C1603D" w:rsidRDefault="008B4DF8" w:rsidP="00B25FE9">
            <w:pPr>
              <w:pStyle w:val="722TablebulletlistTablesTableFigureBoxstyles"/>
              <w:rPr>
                <w:color w:val="auto"/>
                <w:lang w:eastAsia="en-GB"/>
              </w:rPr>
            </w:pPr>
            <w:r w:rsidRPr="00C1603D">
              <w:rPr>
                <w:color w:val="auto"/>
                <w:lang w:eastAsia="en-GB"/>
              </w:rPr>
              <w:t xml:space="preserve">Population sample without diagnostic indicator, </w:t>
            </w:r>
            <w:r w:rsidRPr="00C1603D">
              <w:rPr>
                <w:i/>
                <w:color w:val="auto"/>
                <w:lang w:eastAsia="en-GB"/>
              </w:rPr>
              <w:t>n</w:t>
            </w:r>
            <w:r w:rsidRPr="00C1603D">
              <w:rPr>
                <w:color w:val="auto"/>
                <w:lang w:eastAsia="en-GB"/>
              </w:rPr>
              <w:t> = 9</w:t>
            </w:r>
          </w:p>
        </w:tc>
        <w:tc>
          <w:tcPr>
            <w:tcW w:w="0" w:type="auto"/>
            <w:shd w:val="clear" w:color="000000" w:fill="FFFFFF"/>
          </w:tcPr>
          <w:p w14:paraId="6D1CAD7B" w14:textId="77777777" w:rsidR="00B25FE9" w:rsidRPr="00C1603D" w:rsidRDefault="008B4DF8" w:rsidP="00B25FE9">
            <w:pPr>
              <w:pStyle w:val="722TablebulletlistTablesTableFigureBoxstyles"/>
              <w:rPr>
                <w:color w:val="auto"/>
                <w:lang w:eastAsia="en-GB"/>
              </w:rPr>
            </w:pPr>
            <w:r w:rsidRPr="00C1603D">
              <w:rPr>
                <w:color w:val="auto"/>
                <w:lang w:eastAsia="en-GB"/>
              </w:rPr>
              <w:t xml:space="preserve">Serology only, </w:t>
            </w:r>
            <w:r w:rsidRPr="00C1603D">
              <w:rPr>
                <w:i/>
                <w:color w:val="auto"/>
                <w:lang w:eastAsia="en-GB"/>
              </w:rPr>
              <w:t>n</w:t>
            </w:r>
            <w:r w:rsidRPr="00C1603D">
              <w:rPr>
                <w:color w:val="auto"/>
                <w:lang w:eastAsia="en-GB"/>
              </w:rPr>
              <w:t> = 8</w:t>
            </w:r>
          </w:p>
          <w:p w14:paraId="48F99427" w14:textId="6DFAE0F8" w:rsidR="008B4DF8" w:rsidRPr="00C1603D" w:rsidRDefault="008B4DF8" w:rsidP="00B25FE9">
            <w:pPr>
              <w:pStyle w:val="722TablebulletlistTablesTableFigureBoxstyles"/>
              <w:rPr>
                <w:color w:val="auto"/>
                <w:lang w:eastAsia="en-GB"/>
              </w:rPr>
            </w:pPr>
            <w:r w:rsidRPr="00C1603D">
              <w:rPr>
                <w:color w:val="auto"/>
                <w:lang w:eastAsia="en-GB"/>
              </w:rPr>
              <w:t>Biopsy</w:t>
            </w:r>
            <w:r w:rsidR="00B25FE9" w:rsidRPr="00C1603D">
              <w:rPr>
                <w:color w:val="auto"/>
                <w:lang w:eastAsia="en-GB"/>
              </w:rPr>
              <w:t> ± </w:t>
            </w:r>
            <w:r w:rsidRPr="00C1603D">
              <w:rPr>
                <w:color w:val="auto"/>
                <w:lang w:eastAsia="en-GB"/>
              </w:rPr>
              <w:t xml:space="preserve">serology, </w:t>
            </w:r>
            <w:r w:rsidRPr="00C1603D">
              <w:rPr>
                <w:i/>
                <w:color w:val="auto"/>
                <w:lang w:eastAsia="en-GB"/>
              </w:rPr>
              <w:t>n</w:t>
            </w:r>
            <w:r w:rsidRPr="00C1603D">
              <w:rPr>
                <w:color w:val="auto"/>
                <w:lang w:eastAsia="en-GB"/>
              </w:rPr>
              <w:t> = 4</w:t>
            </w:r>
          </w:p>
        </w:tc>
      </w:tr>
      <w:tr w:rsidR="00CB1142" w:rsidRPr="00C1603D" w14:paraId="0A8BE3B9" w14:textId="77777777" w:rsidTr="00004025">
        <w:trPr>
          <w:cantSplit/>
        </w:trPr>
        <w:tc>
          <w:tcPr>
            <w:tcW w:w="0" w:type="auto"/>
            <w:shd w:val="clear" w:color="000000" w:fill="FFFFFF"/>
          </w:tcPr>
          <w:p w14:paraId="308E6722" w14:textId="77777777" w:rsidR="008B4DF8" w:rsidRPr="00C1603D" w:rsidRDefault="008B4DF8" w:rsidP="00004025">
            <w:pPr>
              <w:pStyle w:val="72TabletextTablesTableFigureBoxstyles"/>
              <w:rPr>
                <w:lang w:eastAsia="en-GB"/>
              </w:rPr>
            </w:pPr>
            <w:r w:rsidRPr="00C1603D">
              <w:rPr>
                <w:lang w:eastAsia="en-GB"/>
              </w:rPr>
              <w:t>Acid reflux symptoms</w:t>
            </w:r>
          </w:p>
        </w:tc>
        <w:tc>
          <w:tcPr>
            <w:tcW w:w="0" w:type="auto"/>
            <w:shd w:val="clear" w:color="000000" w:fill="FFFFFF"/>
          </w:tcPr>
          <w:p w14:paraId="62175984" w14:textId="0317A17C" w:rsidR="008B4DF8" w:rsidRPr="00C1603D" w:rsidRDefault="008B4DF8" w:rsidP="00004025">
            <w:pPr>
              <w:pStyle w:val="72TabletextTablesTableFigureBoxstyles"/>
              <w:rPr>
                <w:lang w:eastAsia="en-GB"/>
              </w:rPr>
            </w:pPr>
            <w:r w:rsidRPr="00C1603D">
              <w:rPr>
                <w:lang w:eastAsia="en-GB"/>
              </w:rPr>
              <w:t xml:space="preserve">Dyspepsia, functional dyspepsia, </w:t>
            </w:r>
            <w:r w:rsidR="00B163BE" w:rsidRPr="00C1603D">
              <w:rPr>
                <w:color w:val="auto"/>
                <w:u w:color="000000"/>
                <w:bdr w:val="nil"/>
                <w:lang w:eastAsia="en-GB"/>
              </w:rPr>
              <w:t xml:space="preserve">gastro-oesophageal </w:t>
            </w:r>
            <w:r w:rsidR="00B163BE" w:rsidRPr="00C1603D">
              <w:rPr>
                <w:u w:color="000000"/>
                <w:bdr w:val="nil"/>
                <w:lang w:eastAsia="en-GB"/>
              </w:rPr>
              <w:t>reflux symptoms</w:t>
            </w:r>
            <w:r w:rsidRPr="00C1603D">
              <w:rPr>
                <w:lang w:eastAsia="en-GB"/>
              </w:rPr>
              <w:t>, heartburn</w:t>
            </w:r>
          </w:p>
        </w:tc>
        <w:tc>
          <w:tcPr>
            <w:tcW w:w="0" w:type="auto"/>
            <w:shd w:val="clear" w:color="000000" w:fill="FFFFFF"/>
          </w:tcPr>
          <w:p w14:paraId="34D218D0" w14:textId="77777777" w:rsidR="008B4DF8" w:rsidRPr="00C1603D" w:rsidRDefault="008B4DF8" w:rsidP="00004025">
            <w:pPr>
              <w:pStyle w:val="72TabletextTablesTableFigureBoxstyles"/>
              <w:rPr>
                <w:lang w:eastAsia="en-GB"/>
              </w:rPr>
            </w:pPr>
            <w:r w:rsidRPr="00C1603D">
              <w:rPr>
                <w:lang w:eastAsia="en-GB"/>
              </w:rPr>
              <w:t>10</w:t>
            </w:r>
          </w:p>
        </w:tc>
        <w:tc>
          <w:tcPr>
            <w:tcW w:w="0" w:type="auto"/>
            <w:shd w:val="clear" w:color="000000" w:fill="FFFFFF"/>
          </w:tcPr>
          <w:p w14:paraId="7B0EA0B3" w14:textId="77777777" w:rsidR="008B4DF8" w:rsidRPr="00C1603D" w:rsidRDefault="008B4DF8" w:rsidP="00004025">
            <w:pPr>
              <w:pStyle w:val="72TabletextTablesTableFigureBoxstyles"/>
              <w:rPr>
                <w:lang w:eastAsia="en-GB"/>
              </w:rPr>
            </w:pPr>
            <w:r w:rsidRPr="00C1603D">
              <w:rPr>
                <w:lang w:eastAsia="en-GB"/>
              </w:rPr>
              <w:t>12,192</w:t>
            </w:r>
          </w:p>
        </w:tc>
        <w:tc>
          <w:tcPr>
            <w:tcW w:w="0" w:type="auto"/>
            <w:shd w:val="clear" w:color="000000" w:fill="FFFFFF"/>
          </w:tcPr>
          <w:p w14:paraId="7B37FB9E" w14:textId="77777777" w:rsidR="008B4DF8" w:rsidRPr="00C1603D" w:rsidRDefault="008B4DF8" w:rsidP="00004025">
            <w:pPr>
              <w:pStyle w:val="72TabletextTablesTableFigureBoxstyles"/>
              <w:rPr>
                <w:lang w:eastAsia="en-GB"/>
              </w:rPr>
            </w:pPr>
            <w:r w:rsidRPr="00C1603D">
              <w:rPr>
                <w:lang w:eastAsia="en-GB"/>
              </w:rPr>
              <w:t>534</w:t>
            </w:r>
          </w:p>
        </w:tc>
        <w:tc>
          <w:tcPr>
            <w:tcW w:w="0" w:type="auto"/>
            <w:shd w:val="clear" w:color="000000" w:fill="FFFFFF"/>
          </w:tcPr>
          <w:p w14:paraId="16E37C5B" w14:textId="77777777" w:rsidR="00B25FE9" w:rsidRPr="00C1603D" w:rsidRDefault="008B4DF8" w:rsidP="00B25FE9">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9</w:t>
            </w:r>
          </w:p>
          <w:p w14:paraId="2DBCE1B3" w14:textId="225AF7DC" w:rsidR="008B4DF8" w:rsidRPr="00C1603D" w:rsidRDefault="008B4DF8" w:rsidP="00B25FE9">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1</w:t>
            </w:r>
          </w:p>
        </w:tc>
        <w:tc>
          <w:tcPr>
            <w:tcW w:w="0" w:type="auto"/>
            <w:shd w:val="clear" w:color="000000" w:fill="FFFFFF"/>
          </w:tcPr>
          <w:p w14:paraId="69733D05" w14:textId="77777777" w:rsidR="00B25FE9" w:rsidRPr="00C1603D" w:rsidRDefault="008B4DF8" w:rsidP="00B25FE9">
            <w:pPr>
              <w:pStyle w:val="722TablebulletlistTablesTableFigureBoxstyles"/>
              <w:rPr>
                <w:lang w:eastAsia="en-GB"/>
              </w:rPr>
            </w:pPr>
            <w:r w:rsidRPr="00C1603D">
              <w:rPr>
                <w:lang w:eastAsia="en-GB"/>
              </w:rPr>
              <w:t>Case</w:t>
            </w:r>
            <w:r w:rsidR="00B25FE9" w:rsidRPr="00C1603D">
              <w:rPr>
                <w:lang w:eastAsia="en-GB"/>
              </w:rPr>
              <w:t>–</w:t>
            </w:r>
            <w:r w:rsidRPr="00C1603D">
              <w:rPr>
                <w:lang w:eastAsia="en-GB"/>
              </w:rPr>
              <w:t>control (DI)</w:t>
            </w:r>
            <w:r w:rsidRPr="00C1603D">
              <w:rPr>
                <w:vertAlign w:val="superscript"/>
                <w:lang w:eastAsia="en-GB"/>
              </w:rPr>
              <w:t>a</w:t>
            </w:r>
            <w:r w:rsidRPr="00C1603D">
              <w:rPr>
                <w:lang w:eastAsia="en-GB"/>
              </w:rPr>
              <w:t xml:space="preserve">, </w:t>
            </w:r>
            <w:r w:rsidRPr="00C1603D">
              <w:rPr>
                <w:i/>
                <w:lang w:eastAsia="en-GB"/>
              </w:rPr>
              <w:t>n</w:t>
            </w:r>
            <w:r w:rsidRPr="00C1603D">
              <w:rPr>
                <w:lang w:eastAsia="en-GB"/>
              </w:rPr>
              <w:t> = 3</w:t>
            </w:r>
          </w:p>
          <w:p w14:paraId="7583A739" w14:textId="3510D2D8" w:rsidR="00B25FE9" w:rsidRPr="00C1603D" w:rsidRDefault="008B4DF8" w:rsidP="00B25FE9">
            <w:pPr>
              <w:pStyle w:val="722TablebulletlistTablesTableFigureBoxstyles"/>
              <w:rPr>
                <w:lang w:eastAsia="en-GB"/>
              </w:rPr>
            </w:pPr>
            <w:r w:rsidRPr="00C1603D">
              <w:rPr>
                <w:lang w:eastAsia="en-GB"/>
              </w:rPr>
              <w:t>Nested case–control (DI)</w:t>
            </w:r>
            <w:r w:rsidR="00B25FE9" w:rsidRPr="00C1603D">
              <w:rPr>
                <w:lang w:eastAsia="en-GB"/>
              </w:rPr>
              <w:t>,</w:t>
            </w:r>
            <w:r w:rsidRPr="00C1603D">
              <w:rPr>
                <w:vertAlign w:val="superscript"/>
                <w:lang w:eastAsia="en-GB"/>
              </w:rPr>
              <w:t>a</w:t>
            </w:r>
            <w:r w:rsidRPr="00C1603D">
              <w:rPr>
                <w:lang w:eastAsia="en-GB"/>
              </w:rPr>
              <w:t xml:space="preserve"> </w:t>
            </w:r>
            <w:r w:rsidRPr="00C1603D">
              <w:rPr>
                <w:i/>
                <w:lang w:eastAsia="en-GB"/>
              </w:rPr>
              <w:t>n</w:t>
            </w:r>
            <w:r w:rsidRPr="00C1603D">
              <w:rPr>
                <w:lang w:eastAsia="en-GB"/>
              </w:rPr>
              <w:t> = 2</w:t>
            </w:r>
          </w:p>
          <w:p w14:paraId="25D835D0" w14:textId="77777777" w:rsidR="00B25FE9" w:rsidRPr="00C1603D" w:rsidRDefault="008B4DF8" w:rsidP="00B25FE9">
            <w:pPr>
              <w:pStyle w:val="722TablebulletlistTablesTableFigureBoxstyles"/>
              <w:rPr>
                <w:lang w:eastAsia="en-GB"/>
              </w:rPr>
            </w:pPr>
            <w:r w:rsidRPr="00C1603D">
              <w:rPr>
                <w:lang w:eastAsia="en-GB"/>
              </w:rPr>
              <w:t xml:space="preserve">Nested case–control (CD), </w:t>
            </w:r>
            <w:r w:rsidRPr="00C1603D">
              <w:rPr>
                <w:i/>
                <w:lang w:eastAsia="en-GB"/>
              </w:rPr>
              <w:t>n</w:t>
            </w:r>
            <w:r w:rsidRPr="00C1603D">
              <w:rPr>
                <w:lang w:eastAsia="en-GB"/>
              </w:rPr>
              <w:t> = 1</w:t>
            </w:r>
          </w:p>
          <w:p w14:paraId="422B48E6" w14:textId="6FFBB193" w:rsidR="008B4DF8" w:rsidRPr="00C1603D" w:rsidRDefault="008B4DF8" w:rsidP="00B25FE9">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4</w:t>
            </w:r>
          </w:p>
        </w:tc>
        <w:tc>
          <w:tcPr>
            <w:tcW w:w="0" w:type="auto"/>
            <w:shd w:val="clear" w:color="000000" w:fill="FFFFFF"/>
          </w:tcPr>
          <w:p w14:paraId="7C89306C" w14:textId="77777777" w:rsidR="00B25FE9" w:rsidRPr="00C1603D" w:rsidRDefault="008B4DF8" w:rsidP="00B25FE9">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3</w:t>
            </w:r>
          </w:p>
          <w:p w14:paraId="1198743A" w14:textId="77E3E305" w:rsidR="008B4DF8" w:rsidRPr="00C1603D" w:rsidRDefault="008B4DF8" w:rsidP="00B25FE9">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7</w:t>
            </w:r>
          </w:p>
        </w:tc>
        <w:tc>
          <w:tcPr>
            <w:tcW w:w="0" w:type="auto"/>
            <w:shd w:val="clear" w:color="000000" w:fill="FFFFFF"/>
          </w:tcPr>
          <w:p w14:paraId="5903EE9D" w14:textId="77777777" w:rsidR="00B25FE9" w:rsidRPr="00C1603D" w:rsidRDefault="008B4DF8" w:rsidP="00B25FE9">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6</w:t>
            </w:r>
          </w:p>
          <w:p w14:paraId="20AF924A" w14:textId="2EC3CDA5" w:rsidR="008B4DF8" w:rsidRPr="00C1603D" w:rsidRDefault="00B25FE9" w:rsidP="00B25FE9">
            <w:pPr>
              <w:pStyle w:val="722TablebulletlistTablesTableFigureBoxstyles"/>
              <w:rPr>
                <w:lang w:eastAsia="en-GB"/>
              </w:rPr>
            </w:pPr>
            <w:r w:rsidRPr="00C1603D">
              <w:rPr>
                <w:lang w:eastAsia="en-GB"/>
              </w:rPr>
              <w:t>Biopsy ± serology</w:t>
            </w:r>
            <w:r w:rsidR="008B4DF8" w:rsidRPr="00C1603D">
              <w:rPr>
                <w:lang w:eastAsia="en-GB"/>
              </w:rPr>
              <w:t xml:space="preserve">, </w:t>
            </w:r>
            <w:r w:rsidR="008B4DF8" w:rsidRPr="00C1603D">
              <w:rPr>
                <w:i/>
                <w:lang w:eastAsia="en-GB"/>
              </w:rPr>
              <w:t>n</w:t>
            </w:r>
            <w:r w:rsidR="008B4DF8" w:rsidRPr="00C1603D">
              <w:rPr>
                <w:lang w:eastAsia="en-GB"/>
              </w:rPr>
              <w:t> = 4</w:t>
            </w:r>
          </w:p>
        </w:tc>
      </w:tr>
      <w:tr w:rsidR="00CB1142" w:rsidRPr="00C1603D" w14:paraId="2FE79F3D" w14:textId="77777777" w:rsidTr="00004025">
        <w:trPr>
          <w:cantSplit/>
        </w:trPr>
        <w:tc>
          <w:tcPr>
            <w:tcW w:w="0" w:type="auto"/>
            <w:shd w:val="clear" w:color="000000" w:fill="FFFFFF"/>
          </w:tcPr>
          <w:p w14:paraId="33ABE495" w14:textId="77777777" w:rsidR="008B4DF8" w:rsidRPr="00C1603D" w:rsidRDefault="008B4DF8" w:rsidP="00004025">
            <w:pPr>
              <w:pStyle w:val="72TabletextTablesTableFigureBoxstyles"/>
              <w:rPr>
                <w:lang w:eastAsia="en-GB"/>
              </w:rPr>
            </w:pPr>
            <w:r w:rsidRPr="00C1603D">
              <w:rPr>
                <w:lang w:eastAsia="en-GB"/>
              </w:rPr>
              <w:t>Bloating or abdominal distension</w:t>
            </w:r>
          </w:p>
        </w:tc>
        <w:tc>
          <w:tcPr>
            <w:tcW w:w="0" w:type="auto"/>
            <w:shd w:val="clear" w:color="000000" w:fill="FFFFFF"/>
          </w:tcPr>
          <w:p w14:paraId="646D00B1" w14:textId="77777777" w:rsidR="008B4DF8" w:rsidRPr="00C1603D" w:rsidRDefault="008B4DF8" w:rsidP="00004025">
            <w:pPr>
              <w:pStyle w:val="72TabletextTablesTableFigureBoxstyles"/>
              <w:rPr>
                <w:lang w:eastAsia="en-GB"/>
              </w:rPr>
            </w:pPr>
            <w:r w:rsidRPr="00C1603D">
              <w:rPr>
                <w:lang w:eastAsia="en-GB"/>
              </w:rPr>
              <w:t>Bloating, abdominal distension</w:t>
            </w:r>
          </w:p>
        </w:tc>
        <w:tc>
          <w:tcPr>
            <w:tcW w:w="0" w:type="auto"/>
            <w:shd w:val="clear" w:color="000000" w:fill="FFFFFF"/>
          </w:tcPr>
          <w:p w14:paraId="44C07AF7" w14:textId="77777777" w:rsidR="008B4DF8" w:rsidRPr="00C1603D" w:rsidRDefault="008B4DF8" w:rsidP="00004025">
            <w:pPr>
              <w:pStyle w:val="72TabletextTablesTableFigureBoxstyles"/>
              <w:rPr>
                <w:lang w:eastAsia="en-GB"/>
              </w:rPr>
            </w:pPr>
            <w:r w:rsidRPr="00C1603D">
              <w:rPr>
                <w:lang w:eastAsia="en-GB"/>
              </w:rPr>
              <w:t>6</w:t>
            </w:r>
          </w:p>
        </w:tc>
        <w:tc>
          <w:tcPr>
            <w:tcW w:w="0" w:type="auto"/>
            <w:shd w:val="clear" w:color="000000" w:fill="FFFFFF"/>
          </w:tcPr>
          <w:p w14:paraId="273A2874" w14:textId="77777777" w:rsidR="008B4DF8" w:rsidRPr="00C1603D" w:rsidRDefault="008B4DF8" w:rsidP="00004025">
            <w:pPr>
              <w:pStyle w:val="72TabletextTablesTableFigureBoxstyles"/>
              <w:rPr>
                <w:lang w:eastAsia="en-GB"/>
              </w:rPr>
            </w:pPr>
            <w:r w:rsidRPr="00C1603D">
              <w:rPr>
                <w:lang w:eastAsia="en-GB"/>
              </w:rPr>
              <w:t>32,694</w:t>
            </w:r>
          </w:p>
        </w:tc>
        <w:tc>
          <w:tcPr>
            <w:tcW w:w="0" w:type="auto"/>
            <w:shd w:val="clear" w:color="000000" w:fill="FFFFFF"/>
          </w:tcPr>
          <w:p w14:paraId="7D2EB1FE" w14:textId="77777777" w:rsidR="008B4DF8" w:rsidRPr="00C1603D" w:rsidRDefault="008B4DF8" w:rsidP="00004025">
            <w:pPr>
              <w:pStyle w:val="72TabletextTablesTableFigureBoxstyles"/>
              <w:rPr>
                <w:lang w:eastAsia="en-GB"/>
              </w:rPr>
            </w:pPr>
            <w:r w:rsidRPr="00C1603D">
              <w:rPr>
                <w:lang w:eastAsia="en-GB"/>
              </w:rPr>
              <w:t>624</w:t>
            </w:r>
          </w:p>
        </w:tc>
        <w:tc>
          <w:tcPr>
            <w:tcW w:w="0" w:type="auto"/>
            <w:shd w:val="clear" w:color="000000" w:fill="FFFFFF"/>
          </w:tcPr>
          <w:p w14:paraId="1A47CCE2" w14:textId="77777777" w:rsidR="00B25FE9" w:rsidRPr="00C1603D" w:rsidRDefault="008B4DF8" w:rsidP="00B25FE9">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4</w:t>
            </w:r>
          </w:p>
          <w:p w14:paraId="036F64E6" w14:textId="45E5C1C7" w:rsidR="008B4DF8" w:rsidRPr="00C1603D" w:rsidRDefault="008B4DF8" w:rsidP="00B25FE9">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2</w:t>
            </w:r>
          </w:p>
        </w:tc>
        <w:tc>
          <w:tcPr>
            <w:tcW w:w="0" w:type="auto"/>
            <w:shd w:val="clear" w:color="000000" w:fill="FFFFFF"/>
          </w:tcPr>
          <w:p w14:paraId="72A46366" w14:textId="77777777" w:rsidR="00B25FE9" w:rsidRPr="00C1603D" w:rsidRDefault="008B4DF8" w:rsidP="00B25FE9">
            <w:pPr>
              <w:pStyle w:val="722TablebulletlistTablesTableFigureBoxstyles"/>
              <w:rPr>
                <w:lang w:eastAsia="en-GB"/>
              </w:rPr>
            </w:pPr>
            <w:r w:rsidRPr="00C1603D">
              <w:rPr>
                <w:lang w:eastAsia="en-GB"/>
              </w:rPr>
              <w:t xml:space="preserve">Nested case–control (CD), </w:t>
            </w:r>
            <w:r w:rsidRPr="00C1603D">
              <w:rPr>
                <w:i/>
                <w:lang w:eastAsia="en-GB"/>
              </w:rPr>
              <w:t>n</w:t>
            </w:r>
            <w:r w:rsidRPr="00C1603D">
              <w:rPr>
                <w:lang w:eastAsia="en-GB"/>
              </w:rPr>
              <w:t> = 1</w:t>
            </w:r>
          </w:p>
          <w:p w14:paraId="637E7656" w14:textId="3BCE411A" w:rsidR="008B4DF8" w:rsidRPr="00C1603D" w:rsidRDefault="008B4DF8" w:rsidP="00B25FE9">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5</w:t>
            </w:r>
          </w:p>
        </w:tc>
        <w:tc>
          <w:tcPr>
            <w:tcW w:w="0" w:type="auto"/>
            <w:shd w:val="clear" w:color="000000" w:fill="FFFFFF"/>
          </w:tcPr>
          <w:p w14:paraId="058EB695" w14:textId="77777777" w:rsidR="008B4DF8" w:rsidRPr="00C1603D" w:rsidRDefault="008B4DF8" w:rsidP="00004025">
            <w:pPr>
              <w:pStyle w:val="72TabletextTablesTableFigureBoxstyles"/>
              <w:rPr>
                <w:color w:val="auto"/>
                <w:lang w:eastAsia="en-GB"/>
              </w:rPr>
            </w:pPr>
            <w:r w:rsidRPr="00C1603D">
              <w:rPr>
                <w:color w:val="auto"/>
                <w:lang w:eastAsia="en-GB"/>
              </w:rPr>
              <w:t xml:space="preserve">Population sample without diagnostic indicator, </w:t>
            </w:r>
            <w:r w:rsidRPr="00C1603D">
              <w:rPr>
                <w:i/>
                <w:color w:val="auto"/>
                <w:lang w:eastAsia="en-GB"/>
              </w:rPr>
              <w:t>n</w:t>
            </w:r>
            <w:r w:rsidRPr="00C1603D">
              <w:rPr>
                <w:color w:val="auto"/>
                <w:lang w:eastAsia="en-GB"/>
              </w:rPr>
              <w:t> = 6</w:t>
            </w:r>
          </w:p>
        </w:tc>
        <w:tc>
          <w:tcPr>
            <w:tcW w:w="0" w:type="auto"/>
            <w:shd w:val="clear" w:color="000000" w:fill="FFFFFF"/>
          </w:tcPr>
          <w:p w14:paraId="30FBB429" w14:textId="77777777" w:rsidR="00B25FE9" w:rsidRPr="00C1603D" w:rsidRDefault="008B4DF8" w:rsidP="00B25FE9">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4</w:t>
            </w:r>
          </w:p>
          <w:p w14:paraId="4EFF36D6" w14:textId="572824E6" w:rsidR="008B4DF8" w:rsidRPr="00C1603D" w:rsidRDefault="00B25FE9" w:rsidP="00B25FE9">
            <w:pPr>
              <w:pStyle w:val="722TablebulletlistTablesTableFigureBoxstyles"/>
              <w:rPr>
                <w:lang w:eastAsia="en-GB"/>
              </w:rPr>
            </w:pPr>
            <w:r w:rsidRPr="00C1603D">
              <w:rPr>
                <w:lang w:eastAsia="en-GB"/>
              </w:rPr>
              <w:t>Biopsy ± serology</w:t>
            </w:r>
            <w:r w:rsidR="008B4DF8" w:rsidRPr="00C1603D">
              <w:rPr>
                <w:lang w:eastAsia="en-GB"/>
              </w:rPr>
              <w:t xml:space="preserve">, </w:t>
            </w:r>
            <w:r w:rsidR="008B4DF8" w:rsidRPr="00C1603D">
              <w:rPr>
                <w:i/>
                <w:lang w:eastAsia="en-GB"/>
              </w:rPr>
              <w:t>n</w:t>
            </w:r>
            <w:r w:rsidR="008B4DF8" w:rsidRPr="00C1603D">
              <w:rPr>
                <w:lang w:eastAsia="en-GB"/>
              </w:rPr>
              <w:t> = 2</w:t>
            </w:r>
          </w:p>
        </w:tc>
      </w:tr>
      <w:tr w:rsidR="00CB1142" w:rsidRPr="00C1603D" w14:paraId="4B592E80" w14:textId="77777777" w:rsidTr="00004025">
        <w:trPr>
          <w:cantSplit/>
        </w:trPr>
        <w:tc>
          <w:tcPr>
            <w:tcW w:w="0" w:type="auto"/>
            <w:shd w:val="clear" w:color="000000" w:fill="FFFFFF"/>
          </w:tcPr>
          <w:p w14:paraId="63D4A56C" w14:textId="77777777" w:rsidR="008B4DF8" w:rsidRPr="00C1603D" w:rsidRDefault="008B4DF8" w:rsidP="00004025">
            <w:pPr>
              <w:pStyle w:val="72TabletextTablesTableFigureBoxstyles"/>
              <w:rPr>
                <w:lang w:eastAsia="en-GB"/>
              </w:rPr>
            </w:pPr>
            <w:r w:rsidRPr="00C1603D">
              <w:rPr>
                <w:lang w:eastAsia="en-GB"/>
              </w:rPr>
              <w:t>Constipation</w:t>
            </w:r>
          </w:p>
        </w:tc>
        <w:tc>
          <w:tcPr>
            <w:tcW w:w="0" w:type="auto"/>
            <w:shd w:val="clear" w:color="000000" w:fill="FFFFFF"/>
          </w:tcPr>
          <w:p w14:paraId="6FDB1E43" w14:textId="77777777" w:rsidR="008B4DF8" w:rsidRPr="00C1603D" w:rsidRDefault="008B4DF8" w:rsidP="00004025">
            <w:pPr>
              <w:pStyle w:val="72TabletextTablesTableFigureBoxstyles"/>
              <w:rPr>
                <w:lang w:eastAsia="en-GB"/>
              </w:rPr>
            </w:pPr>
            <w:r w:rsidRPr="00C1603D">
              <w:rPr>
                <w:lang w:eastAsia="en-GB"/>
              </w:rPr>
              <w:t>(Chronic) constipation</w:t>
            </w:r>
          </w:p>
        </w:tc>
        <w:tc>
          <w:tcPr>
            <w:tcW w:w="0" w:type="auto"/>
            <w:shd w:val="clear" w:color="000000" w:fill="FFFFFF"/>
          </w:tcPr>
          <w:p w14:paraId="4424DE1C" w14:textId="77777777" w:rsidR="008B4DF8" w:rsidRPr="00C1603D" w:rsidRDefault="008B4DF8" w:rsidP="00004025">
            <w:pPr>
              <w:pStyle w:val="72TabletextTablesTableFigureBoxstyles"/>
              <w:rPr>
                <w:lang w:eastAsia="en-GB"/>
              </w:rPr>
            </w:pPr>
            <w:r w:rsidRPr="00C1603D">
              <w:rPr>
                <w:lang w:eastAsia="en-GB"/>
              </w:rPr>
              <w:t>12</w:t>
            </w:r>
          </w:p>
        </w:tc>
        <w:tc>
          <w:tcPr>
            <w:tcW w:w="0" w:type="auto"/>
            <w:shd w:val="clear" w:color="000000" w:fill="FFFFFF"/>
          </w:tcPr>
          <w:p w14:paraId="5569B60E" w14:textId="77777777" w:rsidR="008B4DF8" w:rsidRPr="00C1603D" w:rsidRDefault="008B4DF8" w:rsidP="00004025">
            <w:pPr>
              <w:pStyle w:val="72TabletextTablesTableFigureBoxstyles"/>
              <w:rPr>
                <w:lang w:eastAsia="en-GB"/>
              </w:rPr>
            </w:pPr>
            <w:r w:rsidRPr="00C1603D">
              <w:rPr>
                <w:lang w:eastAsia="en-GB"/>
              </w:rPr>
              <w:t>54,286</w:t>
            </w:r>
          </w:p>
        </w:tc>
        <w:tc>
          <w:tcPr>
            <w:tcW w:w="0" w:type="auto"/>
            <w:shd w:val="clear" w:color="000000" w:fill="FFFFFF"/>
          </w:tcPr>
          <w:p w14:paraId="537A27C7" w14:textId="77777777" w:rsidR="008B4DF8" w:rsidRPr="00C1603D" w:rsidRDefault="008B4DF8" w:rsidP="00004025">
            <w:pPr>
              <w:pStyle w:val="72TabletextTablesTableFigureBoxstyles"/>
              <w:rPr>
                <w:lang w:eastAsia="en-GB"/>
              </w:rPr>
            </w:pPr>
            <w:r w:rsidRPr="00C1603D">
              <w:rPr>
                <w:lang w:eastAsia="en-GB"/>
              </w:rPr>
              <w:t>943</w:t>
            </w:r>
          </w:p>
        </w:tc>
        <w:tc>
          <w:tcPr>
            <w:tcW w:w="0" w:type="auto"/>
            <w:shd w:val="clear" w:color="000000" w:fill="FFFFFF"/>
          </w:tcPr>
          <w:p w14:paraId="6B478D4C" w14:textId="77777777" w:rsidR="00B25FE9" w:rsidRPr="00C1603D" w:rsidRDefault="008B4DF8" w:rsidP="00B25FE9">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5</w:t>
            </w:r>
          </w:p>
          <w:p w14:paraId="1054DE54" w14:textId="6117DB5E" w:rsidR="008B4DF8" w:rsidRPr="00C1603D" w:rsidRDefault="008B4DF8" w:rsidP="00B25FE9">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7</w:t>
            </w:r>
          </w:p>
        </w:tc>
        <w:tc>
          <w:tcPr>
            <w:tcW w:w="0" w:type="auto"/>
            <w:shd w:val="clear" w:color="000000" w:fill="FFFFFF"/>
          </w:tcPr>
          <w:p w14:paraId="22E1F89C" w14:textId="4D00A802" w:rsidR="008B4DF8" w:rsidRPr="00C1603D" w:rsidRDefault="008B4DF8" w:rsidP="00B25FE9">
            <w:pPr>
              <w:pStyle w:val="722TablebulletlistTablesTableFigureBoxstyles"/>
              <w:rPr>
                <w:lang w:val="it-IT" w:eastAsia="en-GB"/>
              </w:rPr>
            </w:pPr>
            <w:r w:rsidRPr="00C1603D">
              <w:rPr>
                <w:lang w:val="it-IT" w:eastAsia="en-GB"/>
              </w:rPr>
              <w:t>Case</w:t>
            </w:r>
            <w:r w:rsidR="00B25FE9" w:rsidRPr="00C1603D">
              <w:rPr>
                <w:lang w:val="it-IT" w:eastAsia="en-GB"/>
              </w:rPr>
              <w:t>–</w:t>
            </w:r>
            <w:r w:rsidRPr="00C1603D">
              <w:rPr>
                <w:lang w:val="it-IT" w:eastAsia="en-GB"/>
              </w:rPr>
              <w:t>control (DI)</w:t>
            </w:r>
            <w:r w:rsidRPr="00C1603D">
              <w:rPr>
                <w:vertAlign w:val="superscript"/>
                <w:lang w:val="it-IT" w:eastAsia="en-GB"/>
              </w:rPr>
              <w:t>a</w:t>
            </w:r>
            <w:r w:rsidRPr="00C1603D">
              <w:rPr>
                <w:lang w:val="it-IT" w:eastAsia="en-GB"/>
              </w:rPr>
              <w:t xml:space="preserve">, </w:t>
            </w:r>
            <w:r w:rsidRPr="00C1603D">
              <w:rPr>
                <w:i/>
                <w:lang w:val="it-IT" w:eastAsia="en-GB"/>
              </w:rPr>
              <w:t>n</w:t>
            </w:r>
            <w:r w:rsidRPr="00C1603D">
              <w:rPr>
                <w:lang w:eastAsia="en-GB"/>
              </w:rPr>
              <w:t> = </w:t>
            </w:r>
            <w:r w:rsidRPr="00C1603D">
              <w:rPr>
                <w:lang w:val="it-IT" w:eastAsia="en-GB"/>
              </w:rPr>
              <w:t>1</w:t>
            </w:r>
          </w:p>
          <w:p w14:paraId="3D1B7ABE" w14:textId="77777777" w:rsidR="00B25FE9" w:rsidRPr="00C1603D" w:rsidRDefault="008B4DF8" w:rsidP="00B25FE9">
            <w:pPr>
              <w:pStyle w:val="722TablebulletlistTablesTableFigureBoxstyles"/>
              <w:rPr>
                <w:lang w:eastAsia="en-GB"/>
              </w:rPr>
            </w:pPr>
            <w:r w:rsidRPr="00C1603D">
              <w:rPr>
                <w:lang w:eastAsia="en-GB"/>
              </w:rPr>
              <w:t>Nested case–control (DI)</w:t>
            </w:r>
            <w:r w:rsidR="00B25FE9" w:rsidRPr="00C1603D">
              <w:rPr>
                <w:lang w:eastAsia="en-GB"/>
              </w:rPr>
              <w:t>,</w:t>
            </w:r>
            <w:r w:rsidRPr="00C1603D">
              <w:rPr>
                <w:vertAlign w:val="superscript"/>
                <w:lang w:eastAsia="en-GB"/>
              </w:rPr>
              <w:t>a</w:t>
            </w:r>
            <w:r w:rsidRPr="00C1603D">
              <w:rPr>
                <w:lang w:eastAsia="en-GB"/>
              </w:rPr>
              <w:t xml:space="preserve"> </w:t>
            </w:r>
            <w:r w:rsidRPr="00C1603D">
              <w:rPr>
                <w:i/>
                <w:lang w:eastAsia="en-GB"/>
              </w:rPr>
              <w:t>n</w:t>
            </w:r>
            <w:r w:rsidRPr="00C1603D">
              <w:rPr>
                <w:lang w:eastAsia="en-GB"/>
              </w:rPr>
              <w:t> = 1</w:t>
            </w:r>
          </w:p>
          <w:p w14:paraId="7ED87BA3" w14:textId="77777777" w:rsidR="00B25FE9" w:rsidRPr="00C1603D" w:rsidRDefault="008B4DF8" w:rsidP="00B25FE9">
            <w:pPr>
              <w:pStyle w:val="722TablebulletlistTablesTableFigureBoxstyles"/>
              <w:rPr>
                <w:lang w:eastAsia="en-GB"/>
              </w:rPr>
            </w:pPr>
            <w:r w:rsidRPr="00C1603D">
              <w:rPr>
                <w:lang w:eastAsia="en-GB"/>
              </w:rPr>
              <w:t>Nested case–control (CD)</w:t>
            </w:r>
            <w:r w:rsidR="00B25FE9" w:rsidRPr="00C1603D">
              <w:rPr>
                <w:lang w:eastAsia="en-GB"/>
              </w:rPr>
              <w:t>,</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1</w:t>
            </w:r>
          </w:p>
          <w:p w14:paraId="520B4612" w14:textId="36C0004E" w:rsidR="008B4DF8" w:rsidRPr="00C1603D" w:rsidRDefault="008B4DF8" w:rsidP="00B25FE9">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9</w:t>
            </w:r>
          </w:p>
        </w:tc>
        <w:tc>
          <w:tcPr>
            <w:tcW w:w="0" w:type="auto"/>
            <w:shd w:val="clear" w:color="000000" w:fill="FFFFFF"/>
          </w:tcPr>
          <w:p w14:paraId="7B9D4F24" w14:textId="77777777" w:rsidR="00B25FE9" w:rsidRPr="00C1603D" w:rsidRDefault="008B4DF8" w:rsidP="00B25FE9">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1</w:t>
            </w:r>
          </w:p>
          <w:p w14:paraId="158C12BC" w14:textId="3313046B" w:rsidR="008B4DF8" w:rsidRPr="00C1603D" w:rsidRDefault="008B4DF8" w:rsidP="00B25FE9">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11</w:t>
            </w:r>
          </w:p>
        </w:tc>
        <w:tc>
          <w:tcPr>
            <w:tcW w:w="0" w:type="auto"/>
            <w:shd w:val="clear" w:color="000000" w:fill="FFFFFF"/>
          </w:tcPr>
          <w:p w14:paraId="5EE7588B" w14:textId="77777777" w:rsidR="00B25FE9" w:rsidRPr="00C1603D" w:rsidRDefault="008B4DF8" w:rsidP="00B25FE9">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8</w:t>
            </w:r>
          </w:p>
          <w:p w14:paraId="39B762E1" w14:textId="725ACE25" w:rsidR="008B4DF8" w:rsidRPr="00C1603D" w:rsidRDefault="00B25FE9" w:rsidP="00B25FE9">
            <w:pPr>
              <w:pStyle w:val="722TablebulletlistTablesTableFigureBoxstyles"/>
              <w:rPr>
                <w:lang w:eastAsia="en-GB"/>
              </w:rPr>
            </w:pPr>
            <w:r w:rsidRPr="00C1603D">
              <w:rPr>
                <w:lang w:eastAsia="en-GB"/>
              </w:rPr>
              <w:t>Biopsy ± serology</w:t>
            </w:r>
            <w:r w:rsidR="008B4DF8" w:rsidRPr="00C1603D">
              <w:rPr>
                <w:lang w:eastAsia="en-GB"/>
              </w:rPr>
              <w:t xml:space="preserve">, </w:t>
            </w:r>
            <w:r w:rsidR="008B4DF8" w:rsidRPr="00C1603D">
              <w:rPr>
                <w:i/>
                <w:lang w:eastAsia="en-GB"/>
              </w:rPr>
              <w:t>n</w:t>
            </w:r>
            <w:r w:rsidR="008B4DF8" w:rsidRPr="00C1603D">
              <w:rPr>
                <w:lang w:eastAsia="en-GB"/>
              </w:rPr>
              <w:t> = 4</w:t>
            </w:r>
          </w:p>
        </w:tc>
      </w:tr>
      <w:tr w:rsidR="00CB1142" w:rsidRPr="00C1603D" w14:paraId="0D4BF586" w14:textId="77777777" w:rsidTr="00004025">
        <w:trPr>
          <w:cantSplit/>
        </w:trPr>
        <w:tc>
          <w:tcPr>
            <w:tcW w:w="0" w:type="auto"/>
            <w:shd w:val="clear" w:color="000000" w:fill="FFFFFF"/>
          </w:tcPr>
          <w:p w14:paraId="3759B965" w14:textId="77777777" w:rsidR="008B4DF8" w:rsidRPr="00C1603D" w:rsidRDefault="008B4DF8" w:rsidP="00004025">
            <w:pPr>
              <w:pStyle w:val="72TabletextTablesTableFigureBoxstyles"/>
              <w:rPr>
                <w:lang w:eastAsia="en-GB"/>
              </w:rPr>
            </w:pPr>
            <w:r w:rsidRPr="00C1603D">
              <w:rPr>
                <w:lang w:eastAsia="en-GB"/>
              </w:rPr>
              <w:t>Diarrhoea</w:t>
            </w:r>
          </w:p>
        </w:tc>
        <w:tc>
          <w:tcPr>
            <w:tcW w:w="0" w:type="auto"/>
            <w:shd w:val="clear" w:color="000000" w:fill="FFFFFF"/>
          </w:tcPr>
          <w:p w14:paraId="082A29D1" w14:textId="77777777" w:rsidR="008B4DF8" w:rsidRPr="00C1603D" w:rsidRDefault="008B4DF8" w:rsidP="00004025">
            <w:pPr>
              <w:pStyle w:val="72TabletextTablesTableFigureBoxstyles"/>
              <w:rPr>
                <w:lang w:eastAsia="en-GB"/>
              </w:rPr>
            </w:pPr>
            <w:r w:rsidRPr="00C1603D">
              <w:rPr>
                <w:lang w:eastAsia="en-GB"/>
              </w:rPr>
              <w:t>Diarrhoea</w:t>
            </w:r>
          </w:p>
        </w:tc>
        <w:tc>
          <w:tcPr>
            <w:tcW w:w="0" w:type="auto"/>
            <w:shd w:val="clear" w:color="000000" w:fill="FFFFFF"/>
          </w:tcPr>
          <w:p w14:paraId="5492ED66" w14:textId="77777777" w:rsidR="008B4DF8" w:rsidRPr="00C1603D" w:rsidRDefault="008B4DF8" w:rsidP="00004025">
            <w:pPr>
              <w:pStyle w:val="72TabletextTablesTableFigureBoxstyles"/>
              <w:rPr>
                <w:lang w:eastAsia="en-GB"/>
              </w:rPr>
            </w:pPr>
            <w:r w:rsidRPr="00C1603D">
              <w:rPr>
                <w:lang w:eastAsia="en-GB"/>
              </w:rPr>
              <w:t>13</w:t>
            </w:r>
          </w:p>
        </w:tc>
        <w:tc>
          <w:tcPr>
            <w:tcW w:w="0" w:type="auto"/>
            <w:shd w:val="clear" w:color="000000" w:fill="FFFFFF"/>
          </w:tcPr>
          <w:p w14:paraId="23AA3DEB" w14:textId="77777777" w:rsidR="008B4DF8" w:rsidRPr="00C1603D" w:rsidRDefault="008B4DF8" w:rsidP="00004025">
            <w:pPr>
              <w:pStyle w:val="72TabletextTablesTableFigureBoxstyles"/>
              <w:rPr>
                <w:lang w:eastAsia="en-GB"/>
              </w:rPr>
            </w:pPr>
            <w:r w:rsidRPr="00C1603D">
              <w:rPr>
                <w:lang w:eastAsia="en-GB"/>
              </w:rPr>
              <w:t>55,500</w:t>
            </w:r>
          </w:p>
        </w:tc>
        <w:tc>
          <w:tcPr>
            <w:tcW w:w="0" w:type="auto"/>
            <w:shd w:val="clear" w:color="000000" w:fill="FFFFFF"/>
          </w:tcPr>
          <w:p w14:paraId="55162E5F" w14:textId="77777777" w:rsidR="008B4DF8" w:rsidRPr="00C1603D" w:rsidRDefault="008B4DF8" w:rsidP="00004025">
            <w:pPr>
              <w:pStyle w:val="72TabletextTablesTableFigureBoxstyles"/>
              <w:rPr>
                <w:lang w:eastAsia="en-GB"/>
              </w:rPr>
            </w:pPr>
            <w:r w:rsidRPr="00C1603D">
              <w:rPr>
                <w:lang w:eastAsia="en-GB"/>
              </w:rPr>
              <w:t>1126</w:t>
            </w:r>
          </w:p>
        </w:tc>
        <w:tc>
          <w:tcPr>
            <w:tcW w:w="0" w:type="auto"/>
            <w:shd w:val="clear" w:color="000000" w:fill="FFFFFF"/>
          </w:tcPr>
          <w:p w14:paraId="46421524" w14:textId="77777777" w:rsidR="00B25FE9" w:rsidRPr="00C1603D" w:rsidRDefault="008B4DF8" w:rsidP="00B25FE9">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7</w:t>
            </w:r>
          </w:p>
          <w:p w14:paraId="4EFDCFB9" w14:textId="50040BB6" w:rsidR="008B4DF8" w:rsidRPr="00C1603D" w:rsidRDefault="008B4DF8" w:rsidP="00B25FE9">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6</w:t>
            </w:r>
          </w:p>
        </w:tc>
        <w:tc>
          <w:tcPr>
            <w:tcW w:w="0" w:type="auto"/>
            <w:shd w:val="clear" w:color="000000" w:fill="FFFFFF"/>
          </w:tcPr>
          <w:p w14:paraId="12C0CBCB" w14:textId="65B49593" w:rsidR="00B25FE9" w:rsidRPr="00C1603D" w:rsidRDefault="00B25FE9" w:rsidP="00B25FE9">
            <w:pPr>
              <w:pStyle w:val="722TablebulletlistTablesTableFigureBoxstyles"/>
              <w:rPr>
                <w:lang w:eastAsia="en-GB"/>
              </w:rPr>
            </w:pPr>
            <w:r w:rsidRPr="00C1603D">
              <w:rPr>
                <w:lang w:eastAsia="en-GB"/>
              </w:rPr>
              <w:t>Case–control</w:t>
            </w:r>
            <w:r w:rsidR="008B4DF8" w:rsidRPr="00C1603D">
              <w:rPr>
                <w:lang w:eastAsia="en-GB"/>
              </w:rPr>
              <w:t xml:space="preserve"> (DI)</w:t>
            </w:r>
            <w:r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1</w:t>
            </w:r>
          </w:p>
          <w:p w14:paraId="22861AEC" w14:textId="77777777" w:rsidR="00B25FE9" w:rsidRPr="00C1603D" w:rsidRDefault="008B4DF8" w:rsidP="00B25FE9">
            <w:pPr>
              <w:pStyle w:val="722TablebulletlistTablesTableFigureBoxstyles"/>
              <w:rPr>
                <w:lang w:eastAsia="en-GB"/>
              </w:rPr>
            </w:pPr>
            <w:r w:rsidRPr="00C1603D">
              <w:rPr>
                <w:lang w:eastAsia="en-GB"/>
              </w:rPr>
              <w:t>Nested case–control (CD)</w:t>
            </w:r>
            <w:r w:rsidR="00B25FE9" w:rsidRPr="00C1603D">
              <w:rPr>
                <w:lang w:eastAsia="en-GB"/>
              </w:rPr>
              <w:t>,</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2</w:t>
            </w:r>
          </w:p>
          <w:p w14:paraId="7A16C48B" w14:textId="51436BA9" w:rsidR="008B4DF8" w:rsidRPr="00C1603D" w:rsidRDefault="008B4DF8" w:rsidP="00B25FE9">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10</w:t>
            </w:r>
          </w:p>
        </w:tc>
        <w:tc>
          <w:tcPr>
            <w:tcW w:w="0" w:type="auto"/>
            <w:shd w:val="clear" w:color="000000" w:fill="FFFFFF"/>
          </w:tcPr>
          <w:p w14:paraId="283BC084" w14:textId="77777777" w:rsidR="00B25FE9" w:rsidRPr="00C1603D" w:rsidRDefault="008B4DF8" w:rsidP="00B25FE9">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1</w:t>
            </w:r>
          </w:p>
          <w:p w14:paraId="567F0E9E" w14:textId="22C9868E" w:rsidR="008B4DF8" w:rsidRPr="00C1603D" w:rsidRDefault="008B4DF8" w:rsidP="00B25FE9">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12</w:t>
            </w:r>
          </w:p>
        </w:tc>
        <w:tc>
          <w:tcPr>
            <w:tcW w:w="0" w:type="auto"/>
            <w:shd w:val="clear" w:color="000000" w:fill="FFFFFF"/>
          </w:tcPr>
          <w:p w14:paraId="5BEA1861" w14:textId="77777777" w:rsidR="00B25FE9" w:rsidRPr="00C1603D" w:rsidRDefault="008B4DF8" w:rsidP="00B25FE9">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10</w:t>
            </w:r>
          </w:p>
          <w:p w14:paraId="6360A2A1" w14:textId="6AA70688" w:rsidR="008B4DF8" w:rsidRPr="00C1603D" w:rsidRDefault="00B25FE9" w:rsidP="00B25FE9">
            <w:pPr>
              <w:pStyle w:val="722TablebulletlistTablesTableFigureBoxstyles"/>
              <w:rPr>
                <w:lang w:eastAsia="en-GB"/>
              </w:rPr>
            </w:pPr>
            <w:r w:rsidRPr="00C1603D">
              <w:rPr>
                <w:lang w:eastAsia="en-GB"/>
              </w:rPr>
              <w:t>Biopsy ± serology</w:t>
            </w:r>
            <w:r w:rsidR="008B4DF8" w:rsidRPr="00C1603D">
              <w:rPr>
                <w:lang w:eastAsia="en-GB"/>
              </w:rPr>
              <w:t xml:space="preserve">, </w:t>
            </w:r>
            <w:r w:rsidR="008B4DF8" w:rsidRPr="00C1603D">
              <w:rPr>
                <w:i/>
                <w:lang w:eastAsia="en-GB"/>
              </w:rPr>
              <w:t>n</w:t>
            </w:r>
            <w:r w:rsidR="008B4DF8" w:rsidRPr="00C1603D">
              <w:rPr>
                <w:lang w:eastAsia="en-GB"/>
              </w:rPr>
              <w:t> = 3</w:t>
            </w:r>
          </w:p>
        </w:tc>
      </w:tr>
      <w:tr w:rsidR="00CB1142" w:rsidRPr="00C1603D" w14:paraId="4FD0A8E6" w14:textId="77777777" w:rsidTr="00004025">
        <w:trPr>
          <w:cantSplit/>
        </w:trPr>
        <w:tc>
          <w:tcPr>
            <w:tcW w:w="0" w:type="auto"/>
            <w:shd w:val="clear" w:color="000000" w:fill="FFFFFF"/>
          </w:tcPr>
          <w:p w14:paraId="3616D2E6" w14:textId="77777777" w:rsidR="008B4DF8" w:rsidRPr="00C1603D" w:rsidRDefault="008B4DF8" w:rsidP="00004025">
            <w:pPr>
              <w:pStyle w:val="72TabletextTablesTableFigureBoxstyles"/>
              <w:rPr>
                <w:lang w:eastAsia="en-GB"/>
              </w:rPr>
            </w:pPr>
            <w:r w:rsidRPr="00C1603D">
              <w:rPr>
                <w:lang w:eastAsia="en-GB"/>
              </w:rPr>
              <w:lastRenderedPageBreak/>
              <w:t>Vomiting and nausea</w:t>
            </w:r>
          </w:p>
        </w:tc>
        <w:tc>
          <w:tcPr>
            <w:tcW w:w="0" w:type="auto"/>
            <w:shd w:val="clear" w:color="000000" w:fill="FFFFFF"/>
          </w:tcPr>
          <w:p w14:paraId="24A58465" w14:textId="77777777" w:rsidR="008B4DF8" w:rsidRPr="00C1603D" w:rsidRDefault="008B4DF8" w:rsidP="00004025">
            <w:pPr>
              <w:pStyle w:val="72TabletextTablesTableFigureBoxstyles"/>
              <w:rPr>
                <w:lang w:eastAsia="en-GB"/>
              </w:rPr>
            </w:pPr>
            <w:r w:rsidRPr="00C1603D">
              <w:rPr>
                <w:lang w:eastAsia="en-GB"/>
              </w:rPr>
              <w:t>Vomiting, nausea, nausea after eating</w:t>
            </w:r>
          </w:p>
        </w:tc>
        <w:tc>
          <w:tcPr>
            <w:tcW w:w="0" w:type="auto"/>
            <w:shd w:val="clear" w:color="000000" w:fill="FFFFFF"/>
          </w:tcPr>
          <w:p w14:paraId="7CD4CB10" w14:textId="77777777" w:rsidR="008B4DF8" w:rsidRPr="00C1603D" w:rsidRDefault="008B4DF8" w:rsidP="00004025">
            <w:pPr>
              <w:pStyle w:val="72TabletextTablesTableFigureBoxstyles"/>
              <w:rPr>
                <w:lang w:eastAsia="en-GB"/>
              </w:rPr>
            </w:pPr>
            <w:r w:rsidRPr="00C1603D">
              <w:rPr>
                <w:lang w:eastAsia="en-GB"/>
              </w:rPr>
              <w:t>7</w:t>
            </w:r>
          </w:p>
        </w:tc>
        <w:tc>
          <w:tcPr>
            <w:tcW w:w="0" w:type="auto"/>
            <w:shd w:val="clear" w:color="000000" w:fill="FFFFFF"/>
          </w:tcPr>
          <w:p w14:paraId="0A7F23BF" w14:textId="77777777" w:rsidR="008B4DF8" w:rsidRPr="00C1603D" w:rsidRDefault="008B4DF8" w:rsidP="00004025">
            <w:pPr>
              <w:pStyle w:val="72TabletextTablesTableFigureBoxstyles"/>
              <w:rPr>
                <w:lang w:eastAsia="en-GB"/>
              </w:rPr>
            </w:pPr>
            <w:r w:rsidRPr="00C1603D">
              <w:rPr>
                <w:lang w:eastAsia="en-GB"/>
              </w:rPr>
              <w:t>44,937</w:t>
            </w:r>
          </w:p>
        </w:tc>
        <w:tc>
          <w:tcPr>
            <w:tcW w:w="0" w:type="auto"/>
            <w:shd w:val="clear" w:color="000000" w:fill="FFFFFF"/>
          </w:tcPr>
          <w:p w14:paraId="4A8AFE79" w14:textId="77777777" w:rsidR="008B4DF8" w:rsidRPr="00C1603D" w:rsidRDefault="008B4DF8" w:rsidP="00004025">
            <w:pPr>
              <w:pStyle w:val="72TabletextTablesTableFigureBoxstyles"/>
              <w:rPr>
                <w:lang w:eastAsia="en-GB"/>
              </w:rPr>
            </w:pPr>
            <w:r w:rsidRPr="00C1603D">
              <w:rPr>
                <w:lang w:eastAsia="en-GB"/>
              </w:rPr>
              <w:t>435</w:t>
            </w:r>
          </w:p>
        </w:tc>
        <w:tc>
          <w:tcPr>
            <w:tcW w:w="0" w:type="auto"/>
            <w:shd w:val="clear" w:color="000000" w:fill="FFFFFF"/>
          </w:tcPr>
          <w:p w14:paraId="2D8933F9" w14:textId="77777777" w:rsidR="00B25FE9" w:rsidRPr="00C1603D" w:rsidRDefault="008B4DF8" w:rsidP="00722A74">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3</w:t>
            </w:r>
          </w:p>
          <w:p w14:paraId="5151489D" w14:textId="445C8C8F" w:rsidR="008B4DF8" w:rsidRPr="00C1603D" w:rsidRDefault="008B4DF8" w:rsidP="00722A74">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4</w:t>
            </w:r>
          </w:p>
        </w:tc>
        <w:tc>
          <w:tcPr>
            <w:tcW w:w="0" w:type="auto"/>
            <w:shd w:val="clear" w:color="000000" w:fill="FFFFFF"/>
          </w:tcPr>
          <w:p w14:paraId="365B9503" w14:textId="77777777" w:rsidR="008B4DF8" w:rsidRPr="00C1603D" w:rsidRDefault="008B4DF8" w:rsidP="00004025">
            <w:pPr>
              <w:pStyle w:val="72TabletextTablesTableFigureBoxstyles"/>
              <w:rPr>
                <w:color w:val="auto"/>
                <w:lang w:eastAsia="en-GB"/>
              </w:rPr>
            </w:pPr>
            <w:r w:rsidRPr="00C1603D">
              <w:rPr>
                <w:color w:val="auto"/>
                <w:lang w:eastAsia="en-GB"/>
              </w:rPr>
              <w:t xml:space="preserve">Cohort/cross-sectional, </w:t>
            </w:r>
            <w:r w:rsidRPr="00C1603D">
              <w:rPr>
                <w:i/>
                <w:color w:val="auto"/>
                <w:lang w:eastAsia="en-GB"/>
              </w:rPr>
              <w:t>n</w:t>
            </w:r>
            <w:r w:rsidRPr="00C1603D">
              <w:rPr>
                <w:color w:val="auto"/>
                <w:lang w:eastAsia="en-GB"/>
              </w:rPr>
              <w:t> = 7</w:t>
            </w:r>
          </w:p>
        </w:tc>
        <w:tc>
          <w:tcPr>
            <w:tcW w:w="0" w:type="auto"/>
            <w:shd w:val="clear" w:color="000000" w:fill="FFFFFF"/>
          </w:tcPr>
          <w:p w14:paraId="72707618" w14:textId="77777777" w:rsidR="008B4DF8" w:rsidRPr="00C1603D" w:rsidRDefault="008B4DF8" w:rsidP="00004025">
            <w:pPr>
              <w:pStyle w:val="72TabletextTablesTableFigureBoxstyles"/>
              <w:rPr>
                <w:color w:val="auto"/>
                <w:lang w:eastAsia="en-GB"/>
              </w:rPr>
            </w:pPr>
            <w:r w:rsidRPr="00C1603D">
              <w:rPr>
                <w:color w:val="auto"/>
                <w:lang w:eastAsia="en-GB"/>
              </w:rPr>
              <w:t xml:space="preserve">Population sample without diagnostic indicator, </w:t>
            </w:r>
            <w:r w:rsidRPr="00C1603D">
              <w:rPr>
                <w:i/>
                <w:color w:val="auto"/>
                <w:lang w:eastAsia="en-GB"/>
              </w:rPr>
              <w:t>n</w:t>
            </w:r>
            <w:r w:rsidRPr="00C1603D">
              <w:rPr>
                <w:color w:val="auto"/>
                <w:lang w:eastAsia="en-GB"/>
              </w:rPr>
              <w:t> = 7</w:t>
            </w:r>
          </w:p>
        </w:tc>
        <w:tc>
          <w:tcPr>
            <w:tcW w:w="0" w:type="auto"/>
            <w:shd w:val="clear" w:color="000000" w:fill="FFFFFF"/>
          </w:tcPr>
          <w:p w14:paraId="7FAB5143" w14:textId="77777777" w:rsidR="00722A74" w:rsidRPr="00C1603D" w:rsidRDefault="008B4DF8" w:rsidP="00722A74">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6</w:t>
            </w:r>
          </w:p>
          <w:p w14:paraId="5F6F6709" w14:textId="04D606A0" w:rsidR="008B4DF8" w:rsidRPr="00C1603D" w:rsidRDefault="00722A74" w:rsidP="00722A74">
            <w:pPr>
              <w:pStyle w:val="722TablebulletlistTablesTableFigureBoxstyles"/>
              <w:rPr>
                <w:lang w:eastAsia="en-GB"/>
              </w:rPr>
            </w:pPr>
            <w:r w:rsidRPr="00C1603D">
              <w:rPr>
                <w:lang w:eastAsia="en-GB"/>
              </w:rPr>
              <w:t>Biopsy ± serology</w:t>
            </w:r>
            <w:r w:rsidR="008B4DF8" w:rsidRPr="00C1603D">
              <w:rPr>
                <w:lang w:eastAsia="en-GB"/>
              </w:rPr>
              <w:t xml:space="preserve">, </w:t>
            </w:r>
            <w:r w:rsidR="008B4DF8" w:rsidRPr="00C1603D">
              <w:rPr>
                <w:i/>
                <w:lang w:eastAsia="en-GB"/>
              </w:rPr>
              <w:t>n</w:t>
            </w:r>
            <w:r w:rsidR="008B4DF8" w:rsidRPr="00C1603D">
              <w:rPr>
                <w:lang w:eastAsia="en-GB"/>
              </w:rPr>
              <w:t> = 1</w:t>
            </w:r>
          </w:p>
        </w:tc>
      </w:tr>
      <w:tr w:rsidR="00CB1142" w:rsidRPr="00C1603D" w14:paraId="10CAC935" w14:textId="77777777" w:rsidTr="00004025">
        <w:trPr>
          <w:cantSplit/>
        </w:trPr>
        <w:tc>
          <w:tcPr>
            <w:tcW w:w="0" w:type="auto"/>
            <w:shd w:val="clear" w:color="000000" w:fill="FFFFFF"/>
          </w:tcPr>
          <w:p w14:paraId="12EC5739" w14:textId="77777777" w:rsidR="008B4DF8" w:rsidRPr="00C1603D" w:rsidRDefault="008B4DF8" w:rsidP="00004025">
            <w:pPr>
              <w:pStyle w:val="72TabletextTablesTableFigureBoxstyles"/>
              <w:rPr>
                <w:lang w:eastAsia="en-GB"/>
              </w:rPr>
            </w:pPr>
            <w:r w:rsidRPr="00C1603D">
              <w:rPr>
                <w:lang w:eastAsia="en-GB"/>
              </w:rPr>
              <w:t>Weight loss</w:t>
            </w:r>
          </w:p>
        </w:tc>
        <w:tc>
          <w:tcPr>
            <w:tcW w:w="0" w:type="auto"/>
            <w:shd w:val="clear" w:color="000000" w:fill="FFFFFF"/>
          </w:tcPr>
          <w:p w14:paraId="0FDAED1E" w14:textId="77777777" w:rsidR="008B4DF8" w:rsidRPr="00C1603D" w:rsidRDefault="008B4DF8" w:rsidP="00004025">
            <w:pPr>
              <w:pStyle w:val="72TabletextTablesTableFigureBoxstyles"/>
              <w:rPr>
                <w:lang w:eastAsia="en-GB"/>
              </w:rPr>
            </w:pPr>
            <w:r w:rsidRPr="00C1603D">
              <w:rPr>
                <w:lang w:eastAsia="en-GB"/>
              </w:rPr>
              <w:t>Weight loss</w:t>
            </w:r>
          </w:p>
        </w:tc>
        <w:tc>
          <w:tcPr>
            <w:tcW w:w="0" w:type="auto"/>
            <w:shd w:val="clear" w:color="000000" w:fill="FFFFFF"/>
          </w:tcPr>
          <w:p w14:paraId="5CC74F58" w14:textId="77777777" w:rsidR="008B4DF8" w:rsidRPr="00C1603D" w:rsidRDefault="008B4DF8" w:rsidP="00004025">
            <w:pPr>
              <w:pStyle w:val="72TabletextTablesTableFigureBoxstyles"/>
              <w:rPr>
                <w:lang w:eastAsia="en-GB"/>
              </w:rPr>
            </w:pPr>
            <w:r w:rsidRPr="00C1603D">
              <w:rPr>
                <w:lang w:eastAsia="en-GB"/>
              </w:rPr>
              <w:t>5</w:t>
            </w:r>
          </w:p>
        </w:tc>
        <w:tc>
          <w:tcPr>
            <w:tcW w:w="0" w:type="auto"/>
            <w:shd w:val="clear" w:color="000000" w:fill="FFFFFF"/>
          </w:tcPr>
          <w:p w14:paraId="653BCCB1" w14:textId="77777777" w:rsidR="008B4DF8" w:rsidRPr="00C1603D" w:rsidRDefault="008B4DF8" w:rsidP="00004025">
            <w:pPr>
              <w:pStyle w:val="72TabletextTablesTableFigureBoxstyles"/>
              <w:rPr>
                <w:lang w:eastAsia="en-GB"/>
              </w:rPr>
            </w:pPr>
            <w:r w:rsidRPr="00C1603D">
              <w:rPr>
                <w:lang w:eastAsia="en-GB"/>
              </w:rPr>
              <w:t>31,739</w:t>
            </w:r>
          </w:p>
        </w:tc>
        <w:tc>
          <w:tcPr>
            <w:tcW w:w="0" w:type="auto"/>
            <w:shd w:val="clear" w:color="000000" w:fill="FFFFFF"/>
          </w:tcPr>
          <w:p w14:paraId="42288774" w14:textId="77777777" w:rsidR="008B4DF8" w:rsidRPr="00C1603D" w:rsidRDefault="008B4DF8" w:rsidP="00004025">
            <w:pPr>
              <w:pStyle w:val="72TabletextTablesTableFigureBoxstyles"/>
              <w:rPr>
                <w:lang w:eastAsia="en-GB"/>
              </w:rPr>
            </w:pPr>
          </w:p>
        </w:tc>
        <w:tc>
          <w:tcPr>
            <w:tcW w:w="0" w:type="auto"/>
            <w:shd w:val="clear" w:color="000000" w:fill="FFFFFF"/>
          </w:tcPr>
          <w:p w14:paraId="1DB26A58" w14:textId="77777777" w:rsidR="00B25FE9" w:rsidRPr="00C1603D" w:rsidRDefault="008B4DF8" w:rsidP="00722A74">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3</w:t>
            </w:r>
          </w:p>
          <w:p w14:paraId="27E14F39" w14:textId="070D20DD" w:rsidR="008B4DF8" w:rsidRPr="00C1603D" w:rsidRDefault="008B4DF8" w:rsidP="00722A74">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2</w:t>
            </w:r>
          </w:p>
        </w:tc>
        <w:tc>
          <w:tcPr>
            <w:tcW w:w="0" w:type="auto"/>
            <w:shd w:val="clear" w:color="000000" w:fill="FFFFFF"/>
          </w:tcPr>
          <w:p w14:paraId="3F8885C0" w14:textId="77777777" w:rsidR="00722A74" w:rsidRPr="00C1603D" w:rsidRDefault="008B4DF8" w:rsidP="00722A74">
            <w:pPr>
              <w:pStyle w:val="722TablebulletlistTablesTableFigureBoxstyles"/>
              <w:rPr>
                <w:lang w:eastAsia="en-GB"/>
              </w:rPr>
            </w:pPr>
            <w:r w:rsidRPr="00C1603D">
              <w:rPr>
                <w:lang w:eastAsia="en-GB"/>
              </w:rPr>
              <w:t xml:space="preserve">Nested case–control (CD), </w:t>
            </w:r>
            <w:r w:rsidRPr="00C1603D">
              <w:rPr>
                <w:i/>
                <w:lang w:eastAsia="en-GB"/>
              </w:rPr>
              <w:t>n</w:t>
            </w:r>
            <w:r w:rsidRPr="00C1603D">
              <w:rPr>
                <w:lang w:eastAsia="en-GB"/>
              </w:rPr>
              <w:t> = 2</w:t>
            </w:r>
          </w:p>
          <w:p w14:paraId="09A90EA2" w14:textId="6E048C55" w:rsidR="008B4DF8" w:rsidRPr="00C1603D" w:rsidRDefault="008B4DF8" w:rsidP="00722A74">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3</w:t>
            </w:r>
          </w:p>
        </w:tc>
        <w:tc>
          <w:tcPr>
            <w:tcW w:w="0" w:type="auto"/>
            <w:shd w:val="clear" w:color="000000" w:fill="FFFFFF"/>
          </w:tcPr>
          <w:p w14:paraId="35A316EC" w14:textId="77777777" w:rsidR="008B4DF8" w:rsidRPr="00C1603D" w:rsidRDefault="008B4DF8" w:rsidP="00004025">
            <w:pPr>
              <w:pStyle w:val="72TabletextTablesTableFigureBoxstyles"/>
              <w:rPr>
                <w:color w:val="auto"/>
                <w:lang w:eastAsia="en-GB"/>
              </w:rPr>
            </w:pPr>
            <w:r w:rsidRPr="00C1603D">
              <w:rPr>
                <w:color w:val="auto"/>
                <w:lang w:eastAsia="en-GB"/>
              </w:rPr>
              <w:t xml:space="preserve">Population sample without diagnostic indicator, </w:t>
            </w:r>
            <w:r w:rsidRPr="00C1603D">
              <w:rPr>
                <w:i/>
                <w:color w:val="auto"/>
                <w:lang w:eastAsia="en-GB"/>
              </w:rPr>
              <w:t>n</w:t>
            </w:r>
            <w:r w:rsidRPr="00C1603D">
              <w:rPr>
                <w:color w:val="auto"/>
                <w:lang w:eastAsia="en-GB"/>
              </w:rPr>
              <w:t> = 5</w:t>
            </w:r>
          </w:p>
        </w:tc>
        <w:tc>
          <w:tcPr>
            <w:tcW w:w="0" w:type="auto"/>
            <w:shd w:val="clear" w:color="000000" w:fill="FFFFFF"/>
          </w:tcPr>
          <w:p w14:paraId="0F1D3697" w14:textId="77777777" w:rsidR="00722A74" w:rsidRPr="00C1603D" w:rsidRDefault="008B4DF8" w:rsidP="00722A74">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4</w:t>
            </w:r>
          </w:p>
          <w:p w14:paraId="4CB32CCE" w14:textId="701482F3" w:rsidR="008B4DF8" w:rsidRPr="00C1603D" w:rsidRDefault="00722A74" w:rsidP="00722A74">
            <w:pPr>
              <w:pStyle w:val="722TablebulletlistTablesTableFigureBoxstyles"/>
              <w:rPr>
                <w:lang w:eastAsia="en-GB"/>
              </w:rPr>
            </w:pPr>
            <w:r w:rsidRPr="00C1603D">
              <w:rPr>
                <w:lang w:eastAsia="en-GB"/>
              </w:rPr>
              <w:t>Biopsy ± serology</w:t>
            </w:r>
            <w:r w:rsidR="008B4DF8" w:rsidRPr="00C1603D">
              <w:rPr>
                <w:lang w:eastAsia="en-GB"/>
              </w:rPr>
              <w:t xml:space="preserve">, </w:t>
            </w:r>
            <w:r w:rsidR="008B4DF8" w:rsidRPr="00C1603D">
              <w:rPr>
                <w:i/>
                <w:lang w:eastAsia="en-GB"/>
              </w:rPr>
              <w:t>n</w:t>
            </w:r>
            <w:r w:rsidR="008B4DF8" w:rsidRPr="00C1603D">
              <w:rPr>
                <w:lang w:eastAsia="en-GB"/>
              </w:rPr>
              <w:t> = 1</w:t>
            </w:r>
          </w:p>
        </w:tc>
      </w:tr>
      <w:tr w:rsidR="008B4DF8" w:rsidRPr="00C1603D" w14:paraId="61D077BF" w14:textId="77777777" w:rsidTr="00004025">
        <w:trPr>
          <w:cantSplit/>
        </w:trPr>
        <w:tc>
          <w:tcPr>
            <w:tcW w:w="0" w:type="auto"/>
            <w:gridSpan w:val="9"/>
            <w:shd w:val="clear" w:color="000000" w:fill="FFFFFF"/>
          </w:tcPr>
          <w:p w14:paraId="4E95BF15" w14:textId="77777777" w:rsidR="008B4DF8" w:rsidRPr="00C1603D" w:rsidRDefault="008B4DF8" w:rsidP="00004025">
            <w:pPr>
              <w:pStyle w:val="711TablesubheadATablesTableFigureBoxstyles"/>
              <w:rPr>
                <w:lang w:eastAsia="en-GB"/>
              </w:rPr>
            </w:pPr>
            <w:r w:rsidRPr="00C1603D">
              <w:t>Risk condition</w:t>
            </w:r>
            <w:r w:rsidRPr="00C1603D">
              <w:rPr>
                <w:lang w:eastAsia="en-GB"/>
              </w:rPr>
              <w:t>s</w:t>
            </w:r>
          </w:p>
        </w:tc>
      </w:tr>
      <w:tr w:rsidR="00CB1142" w:rsidRPr="00C1603D" w14:paraId="53D16E13" w14:textId="77777777" w:rsidTr="00004025">
        <w:trPr>
          <w:cantSplit/>
        </w:trPr>
        <w:tc>
          <w:tcPr>
            <w:tcW w:w="0" w:type="auto"/>
            <w:shd w:val="clear" w:color="000000" w:fill="FFFFFF"/>
          </w:tcPr>
          <w:p w14:paraId="158EC28A" w14:textId="77777777" w:rsidR="008B4DF8" w:rsidRPr="00C1603D" w:rsidRDefault="008B4DF8" w:rsidP="00004025">
            <w:pPr>
              <w:pStyle w:val="72TabletextTablesTableFigureBoxstyles"/>
              <w:rPr>
                <w:lang w:eastAsia="en-GB"/>
              </w:rPr>
            </w:pPr>
            <w:r w:rsidRPr="00C1603D">
              <w:rPr>
                <w:lang w:eastAsia="en-GB"/>
              </w:rPr>
              <w:t>Anaemia</w:t>
            </w:r>
          </w:p>
        </w:tc>
        <w:tc>
          <w:tcPr>
            <w:tcW w:w="0" w:type="auto"/>
            <w:shd w:val="clear" w:color="000000" w:fill="FFFFFF"/>
          </w:tcPr>
          <w:p w14:paraId="20C9EE0B" w14:textId="58B85510" w:rsidR="008B4DF8" w:rsidRPr="00C1603D" w:rsidRDefault="008B4DF8" w:rsidP="00004025">
            <w:pPr>
              <w:pStyle w:val="72TabletextTablesTableFigureBoxstyles"/>
              <w:rPr>
                <w:lang w:eastAsia="en-GB"/>
              </w:rPr>
            </w:pPr>
            <w:r w:rsidRPr="00C1603D">
              <w:rPr>
                <w:lang w:eastAsia="en-GB"/>
              </w:rPr>
              <w:t>IDA, low haemoglobin levels, pernicious anaemia of obscure origin or unspecified</w:t>
            </w:r>
          </w:p>
        </w:tc>
        <w:tc>
          <w:tcPr>
            <w:tcW w:w="0" w:type="auto"/>
            <w:shd w:val="clear" w:color="000000" w:fill="FFFFFF"/>
          </w:tcPr>
          <w:p w14:paraId="7DBDE187" w14:textId="77777777" w:rsidR="008B4DF8" w:rsidRPr="00C1603D" w:rsidRDefault="008B4DF8" w:rsidP="00004025">
            <w:pPr>
              <w:pStyle w:val="72TabletextTablesTableFigureBoxstyles"/>
              <w:rPr>
                <w:lang w:eastAsia="en-GB"/>
              </w:rPr>
            </w:pPr>
            <w:r w:rsidRPr="00C1603D">
              <w:rPr>
                <w:lang w:eastAsia="en-GB"/>
              </w:rPr>
              <w:t>17</w:t>
            </w:r>
          </w:p>
        </w:tc>
        <w:tc>
          <w:tcPr>
            <w:tcW w:w="0" w:type="auto"/>
            <w:shd w:val="clear" w:color="000000" w:fill="FFFFFF"/>
          </w:tcPr>
          <w:p w14:paraId="7881E775" w14:textId="77777777" w:rsidR="008B4DF8" w:rsidRPr="00C1603D" w:rsidRDefault="008B4DF8" w:rsidP="00004025">
            <w:pPr>
              <w:pStyle w:val="72TabletextTablesTableFigureBoxstyles"/>
              <w:rPr>
                <w:lang w:eastAsia="en-GB"/>
              </w:rPr>
            </w:pPr>
            <w:r w:rsidRPr="00C1603D">
              <w:rPr>
                <w:lang w:eastAsia="en-GB"/>
              </w:rPr>
              <w:t>13,477</w:t>
            </w:r>
          </w:p>
        </w:tc>
        <w:tc>
          <w:tcPr>
            <w:tcW w:w="0" w:type="auto"/>
            <w:shd w:val="clear" w:color="000000" w:fill="FFFFFF"/>
          </w:tcPr>
          <w:p w14:paraId="2A99779B" w14:textId="77777777" w:rsidR="008B4DF8" w:rsidRPr="00C1603D" w:rsidRDefault="008B4DF8" w:rsidP="00004025">
            <w:pPr>
              <w:pStyle w:val="72TabletextTablesTableFigureBoxstyles"/>
              <w:rPr>
                <w:lang w:eastAsia="en-GB"/>
              </w:rPr>
            </w:pPr>
            <w:r w:rsidRPr="00C1603D">
              <w:rPr>
                <w:lang w:eastAsia="en-GB"/>
              </w:rPr>
              <w:t>715</w:t>
            </w:r>
          </w:p>
        </w:tc>
        <w:tc>
          <w:tcPr>
            <w:tcW w:w="0" w:type="auto"/>
            <w:shd w:val="clear" w:color="000000" w:fill="FFFFFF"/>
          </w:tcPr>
          <w:p w14:paraId="455ACA46" w14:textId="77777777" w:rsidR="00ED70A2" w:rsidRPr="00C1603D" w:rsidRDefault="008B4DF8" w:rsidP="004D3660">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13</w:t>
            </w:r>
          </w:p>
          <w:p w14:paraId="5C8E31C6" w14:textId="41FDEC30" w:rsidR="008B4DF8" w:rsidRPr="00C1603D" w:rsidRDefault="008B4DF8" w:rsidP="004D3660">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4</w:t>
            </w:r>
          </w:p>
        </w:tc>
        <w:tc>
          <w:tcPr>
            <w:tcW w:w="0" w:type="auto"/>
            <w:shd w:val="clear" w:color="000000" w:fill="FFFFFF"/>
          </w:tcPr>
          <w:p w14:paraId="34142019" w14:textId="77777777" w:rsidR="00ED70A2" w:rsidRPr="00C1603D" w:rsidRDefault="00B25FE9" w:rsidP="004D3660">
            <w:pPr>
              <w:pStyle w:val="722TablebulletlistTablesTableFigureBoxstyles"/>
              <w:rPr>
                <w:lang w:eastAsia="en-GB"/>
              </w:rPr>
            </w:pPr>
            <w:r w:rsidRPr="00C1603D">
              <w:rPr>
                <w:lang w:eastAsia="en-GB"/>
              </w:rPr>
              <w:t>Case–control</w:t>
            </w:r>
            <w:r w:rsidR="008B4DF8" w:rsidRPr="00C1603D">
              <w:rPr>
                <w:lang w:eastAsia="en-GB"/>
              </w:rPr>
              <w:t xml:space="preserve"> (DI),</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9</w:t>
            </w:r>
          </w:p>
          <w:p w14:paraId="0ABB345D" w14:textId="77777777" w:rsidR="00ED70A2" w:rsidRPr="00C1603D" w:rsidRDefault="008B4DF8" w:rsidP="004D3660">
            <w:pPr>
              <w:pStyle w:val="722TablebulletlistTablesTableFigureBoxstyles"/>
              <w:rPr>
                <w:lang w:eastAsia="en-GB"/>
              </w:rPr>
            </w:pPr>
            <w:r w:rsidRPr="00C1603D">
              <w:rPr>
                <w:lang w:eastAsia="en-GB"/>
              </w:rPr>
              <w:t>Nested case–control (CD),</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2</w:t>
            </w:r>
          </w:p>
          <w:p w14:paraId="5618692C" w14:textId="05FB09FF" w:rsidR="008B4DF8" w:rsidRPr="00C1603D" w:rsidRDefault="008B4DF8" w:rsidP="004D3660">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6</w:t>
            </w:r>
          </w:p>
        </w:tc>
        <w:tc>
          <w:tcPr>
            <w:tcW w:w="0" w:type="auto"/>
            <w:shd w:val="clear" w:color="000000" w:fill="FFFFFF"/>
          </w:tcPr>
          <w:p w14:paraId="1110EC92" w14:textId="77777777" w:rsidR="00ED70A2" w:rsidRPr="00C1603D" w:rsidRDefault="008B4DF8" w:rsidP="004D3660">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8</w:t>
            </w:r>
          </w:p>
          <w:p w14:paraId="01879A93" w14:textId="56EB044D" w:rsidR="008B4DF8" w:rsidRPr="00C1603D" w:rsidRDefault="008B4DF8" w:rsidP="004D3660">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9</w:t>
            </w:r>
          </w:p>
        </w:tc>
        <w:tc>
          <w:tcPr>
            <w:tcW w:w="0" w:type="auto"/>
            <w:shd w:val="clear" w:color="000000" w:fill="FFFFFF"/>
          </w:tcPr>
          <w:p w14:paraId="061EBAD5" w14:textId="77777777" w:rsidR="00ED70A2" w:rsidRPr="00C1603D" w:rsidRDefault="008B4DF8" w:rsidP="004D3660">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9</w:t>
            </w:r>
          </w:p>
          <w:p w14:paraId="4A41A7DC" w14:textId="62E12D2B" w:rsidR="008B4DF8" w:rsidRPr="00C1603D" w:rsidRDefault="008B4DF8" w:rsidP="004D3660">
            <w:pPr>
              <w:pStyle w:val="722TablebulletlistTablesTableFigureBoxstyles"/>
              <w:rPr>
                <w:lang w:eastAsia="en-GB"/>
              </w:rPr>
            </w:pPr>
            <w:r w:rsidRPr="00C1603D">
              <w:rPr>
                <w:lang w:eastAsia="en-GB"/>
              </w:rPr>
              <w:t>Biopsy</w:t>
            </w:r>
            <w:r w:rsidR="00ED70A2" w:rsidRPr="00C1603D">
              <w:rPr>
                <w:lang w:eastAsia="en-GB"/>
              </w:rPr>
              <w:t> ± </w:t>
            </w:r>
            <w:r w:rsidRPr="00C1603D">
              <w:rPr>
                <w:lang w:eastAsia="en-GB"/>
              </w:rPr>
              <w:t xml:space="preserve">serology, </w:t>
            </w:r>
            <w:r w:rsidRPr="00C1603D">
              <w:rPr>
                <w:i/>
                <w:lang w:eastAsia="en-GB"/>
              </w:rPr>
              <w:t>n</w:t>
            </w:r>
            <w:r w:rsidRPr="00C1603D">
              <w:rPr>
                <w:lang w:eastAsia="en-GB"/>
              </w:rPr>
              <w:t> = 8</w:t>
            </w:r>
          </w:p>
        </w:tc>
      </w:tr>
      <w:tr w:rsidR="00CB1142" w:rsidRPr="00C1603D" w14:paraId="017276B9" w14:textId="77777777" w:rsidTr="00004025">
        <w:trPr>
          <w:cantSplit/>
        </w:trPr>
        <w:tc>
          <w:tcPr>
            <w:tcW w:w="0" w:type="auto"/>
            <w:shd w:val="clear" w:color="000000" w:fill="FFFFFF"/>
          </w:tcPr>
          <w:p w14:paraId="2478BB53" w14:textId="77777777" w:rsidR="008B4DF8" w:rsidRPr="00C1603D" w:rsidRDefault="008B4DF8" w:rsidP="00004025">
            <w:pPr>
              <w:pStyle w:val="72TabletextTablesTableFigureBoxstyles"/>
              <w:rPr>
                <w:lang w:eastAsia="en-GB"/>
              </w:rPr>
            </w:pPr>
            <w:r w:rsidRPr="00C1603D">
              <w:rPr>
                <w:lang w:eastAsia="en-GB"/>
              </w:rPr>
              <w:t>Arthritis</w:t>
            </w:r>
          </w:p>
        </w:tc>
        <w:tc>
          <w:tcPr>
            <w:tcW w:w="0" w:type="auto"/>
            <w:shd w:val="clear" w:color="000000" w:fill="FFFFFF"/>
          </w:tcPr>
          <w:p w14:paraId="46B7329F" w14:textId="0B9D4479" w:rsidR="008B4DF8" w:rsidRPr="00C1603D" w:rsidRDefault="008B4DF8" w:rsidP="00004025">
            <w:pPr>
              <w:pStyle w:val="72TabletextTablesTableFigureBoxstyles"/>
              <w:rPr>
                <w:lang w:eastAsia="en-GB"/>
              </w:rPr>
            </w:pPr>
            <w:r w:rsidRPr="00C1603D">
              <w:rPr>
                <w:lang w:eastAsia="en-GB"/>
              </w:rPr>
              <w:t xml:space="preserve">RA, AS, juvenile idiopathic arthritis, </w:t>
            </w:r>
            <w:r w:rsidR="003D66F0" w:rsidRPr="00C1603D">
              <w:rPr>
                <w:u w:color="000000"/>
                <w:bdr w:val="nil"/>
                <w:lang w:eastAsia="en-GB"/>
              </w:rPr>
              <w:t>psoriatic arthritis</w:t>
            </w:r>
            <w:r w:rsidRPr="00C1603D">
              <w:rPr>
                <w:lang w:eastAsia="en-GB"/>
              </w:rPr>
              <w:t>, juvenile rheumatic diseases</w:t>
            </w:r>
          </w:p>
        </w:tc>
        <w:tc>
          <w:tcPr>
            <w:tcW w:w="0" w:type="auto"/>
            <w:shd w:val="clear" w:color="000000" w:fill="FFFFFF"/>
          </w:tcPr>
          <w:p w14:paraId="7D1DE4EF" w14:textId="77777777" w:rsidR="008B4DF8" w:rsidRPr="00C1603D" w:rsidRDefault="008B4DF8" w:rsidP="00004025">
            <w:pPr>
              <w:pStyle w:val="72TabletextTablesTableFigureBoxstyles"/>
              <w:rPr>
                <w:lang w:eastAsia="en-GB"/>
              </w:rPr>
            </w:pPr>
            <w:r w:rsidRPr="00C1603D">
              <w:rPr>
                <w:lang w:eastAsia="en-GB"/>
              </w:rPr>
              <w:t>15</w:t>
            </w:r>
          </w:p>
        </w:tc>
        <w:tc>
          <w:tcPr>
            <w:tcW w:w="0" w:type="auto"/>
            <w:shd w:val="clear" w:color="000000" w:fill="FFFFFF"/>
          </w:tcPr>
          <w:p w14:paraId="7EE4A998" w14:textId="77777777" w:rsidR="008B4DF8" w:rsidRPr="00C1603D" w:rsidRDefault="008B4DF8" w:rsidP="00004025">
            <w:pPr>
              <w:pStyle w:val="72TabletextTablesTableFigureBoxstyles"/>
              <w:rPr>
                <w:lang w:eastAsia="en-GB"/>
              </w:rPr>
            </w:pPr>
            <w:r w:rsidRPr="00C1603D">
              <w:rPr>
                <w:lang w:eastAsia="en-GB"/>
              </w:rPr>
              <w:t>10,745</w:t>
            </w:r>
          </w:p>
        </w:tc>
        <w:tc>
          <w:tcPr>
            <w:tcW w:w="0" w:type="auto"/>
            <w:shd w:val="clear" w:color="000000" w:fill="FFFFFF"/>
          </w:tcPr>
          <w:p w14:paraId="254B2754" w14:textId="77777777" w:rsidR="008B4DF8" w:rsidRPr="00C1603D" w:rsidRDefault="008B4DF8" w:rsidP="00004025">
            <w:pPr>
              <w:pStyle w:val="72TabletextTablesTableFigureBoxstyles"/>
              <w:rPr>
                <w:lang w:eastAsia="en-GB"/>
              </w:rPr>
            </w:pPr>
            <w:r w:rsidRPr="00C1603D">
              <w:rPr>
                <w:lang w:eastAsia="en-GB"/>
              </w:rPr>
              <w:t>542</w:t>
            </w:r>
          </w:p>
        </w:tc>
        <w:tc>
          <w:tcPr>
            <w:tcW w:w="0" w:type="auto"/>
            <w:shd w:val="clear" w:color="000000" w:fill="FFFFFF"/>
          </w:tcPr>
          <w:p w14:paraId="5AF4EAC5" w14:textId="77777777" w:rsidR="004D3660" w:rsidRPr="00C1603D" w:rsidRDefault="008B4DF8" w:rsidP="004D3660">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8</w:t>
            </w:r>
          </w:p>
          <w:p w14:paraId="4F3085C6" w14:textId="44786CDB" w:rsidR="008B4DF8" w:rsidRPr="00C1603D" w:rsidRDefault="008B4DF8" w:rsidP="004D3660">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xml:space="preserve"> = 5 Mixed, </w:t>
            </w:r>
            <w:r w:rsidRPr="00C1603D">
              <w:rPr>
                <w:i/>
                <w:lang w:eastAsia="en-GB"/>
              </w:rPr>
              <w:t>n</w:t>
            </w:r>
            <w:r w:rsidRPr="00C1603D">
              <w:rPr>
                <w:lang w:eastAsia="en-GB"/>
              </w:rPr>
              <w:t> = 2</w:t>
            </w:r>
          </w:p>
        </w:tc>
        <w:tc>
          <w:tcPr>
            <w:tcW w:w="0" w:type="auto"/>
            <w:shd w:val="clear" w:color="000000" w:fill="FFFFFF"/>
          </w:tcPr>
          <w:p w14:paraId="25944E58" w14:textId="77777777" w:rsidR="004D3660" w:rsidRPr="00C1603D" w:rsidRDefault="00B25FE9" w:rsidP="004D3660">
            <w:pPr>
              <w:pStyle w:val="722TablebulletlistTablesTableFigureBoxstyles"/>
              <w:rPr>
                <w:lang w:eastAsia="en-GB"/>
              </w:rPr>
            </w:pPr>
            <w:r w:rsidRPr="00C1603D">
              <w:rPr>
                <w:lang w:eastAsia="en-GB"/>
              </w:rPr>
              <w:t>Case–control</w:t>
            </w:r>
            <w:r w:rsidR="008B4DF8" w:rsidRPr="00C1603D">
              <w:rPr>
                <w:lang w:eastAsia="en-GB"/>
              </w:rPr>
              <w:t xml:space="preserve"> (DI)</w:t>
            </w:r>
            <w:r w:rsidR="004D3660"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11</w:t>
            </w:r>
          </w:p>
          <w:p w14:paraId="1EDDB63B" w14:textId="77777777" w:rsidR="004D3660" w:rsidRPr="00C1603D" w:rsidRDefault="008B4DF8" w:rsidP="004D3660">
            <w:pPr>
              <w:pStyle w:val="722TablebulletlistTablesTableFigureBoxstyles"/>
              <w:rPr>
                <w:lang w:eastAsia="en-GB"/>
              </w:rPr>
            </w:pPr>
            <w:r w:rsidRPr="00C1603D">
              <w:rPr>
                <w:lang w:eastAsia="en-GB"/>
              </w:rPr>
              <w:t>Nested case–control (CD)</w:t>
            </w:r>
            <w:r w:rsidR="004D3660" w:rsidRPr="00C1603D">
              <w:rPr>
                <w:lang w:eastAsia="en-GB"/>
              </w:rPr>
              <w:t>,</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1</w:t>
            </w:r>
          </w:p>
          <w:p w14:paraId="1388E8FB" w14:textId="3C72E591" w:rsidR="008B4DF8" w:rsidRPr="00C1603D" w:rsidRDefault="008B4DF8" w:rsidP="004D3660">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3</w:t>
            </w:r>
          </w:p>
        </w:tc>
        <w:tc>
          <w:tcPr>
            <w:tcW w:w="0" w:type="auto"/>
            <w:shd w:val="clear" w:color="000000" w:fill="FFFFFF"/>
          </w:tcPr>
          <w:p w14:paraId="0DCD4DD1" w14:textId="77777777" w:rsidR="004D3660" w:rsidRPr="00C1603D" w:rsidRDefault="008B4DF8" w:rsidP="004D3660">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13</w:t>
            </w:r>
          </w:p>
          <w:p w14:paraId="065E95D1" w14:textId="5E26B3D1" w:rsidR="008B4DF8" w:rsidRPr="00C1603D" w:rsidRDefault="008B4DF8" w:rsidP="004D3660">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2</w:t>
            </w:r>
          </w:p>
        </w:tc>
        <w:tc>
          <w:tcPr>
            <w:tcW w:w="0" w:type="auto"/>
            <w:shd w:val="clear" w:color="000000" w:fill="FFFFFF"/>
          </w:tcPr>
          <w:p w14:paraId="54C5AC85" w14:textId="77777777" w:rsidR="004D3660" w:rsidRPr="00C1603D" w:rsidRDefault="008B4DF8" w:rsidP="004D3660">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7</w:t>
            </w:r>
          </w:p>
          <w:p w14:paraId="75A621FA" w14:textId="37D3D601" w:rsidR="008B4DF8" w:rsidRPr="00C1603D" w:rsidRDefault="004D3660" w:rsidP="004D3660">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8</w:t>
            </w:r>
          </w:p>
        </w:tc>
      </w:tr>
      <w:tr w:rsidR="00CB1142" w:rsidRPr="00C1603D" w14:paraId="20120CCE" w14:textId="77777777" w:rsidTr="00004025">
        <w:trPr>
          <w:cantSplit/>
        </w:trPr>
        <w:tc>
          <w:tcPr>
            <w:tcW w:w="0" w:type="auto"/>
            <w:shd w:val="clear" w:color="000000" w:fill="FFFFFF"/>
          </w:tcPr>
          <w:p w14:paraId="1F415746" w14:textId="77777777" w:rsidR="008B4DF8" w:rsidRPr="00C1603D" w:rsidRDefault="008B4DF8" w:rsidP="00004025">
            <w:pPr>
              <w:pStyle w:val="72TabletextTablesTableFigureBoxstyles"/>
              <w:rPr>
                <w:lang w:eastAsia="en-GB"/>
              </w:rPr>
            </w:pPr>
            <w:r w:rsidRPr="00C1603D">
              <w:rPr>
                <w:lang w:eastAsia="en-GB"/>
              </w:rPr>
              <w:t>Chronic liver disease</w:t>
            </w:r>
          </w:p>
        </w:tc>
        <w:tc>
          <w:tcPr>
            <w:tcW w:w="0" w:type="auto"/>
            <w:shd w:val="clear" w:color="000000" w:fill="FFFFFF"/>
          </w:tcPr>
          <w:p w14:paraId="28BDD786" w14:textId="461A02B0" w:rsidR="008B4DF8" w:rsidRPr="00C1603D" w:rsidRDefault="008B4DF8" w:rsidP="00004025">
            <w:pPr>
              <w:pStyle w:val="72TabletextTablesTableFigureBoxstyles"/>
              <w:rPr>
                <w:lang w:eastAsia="en-GB"/>
              </w:rPr>
            </w:pPr>
            <w:r w:rsidRPr="00C1603D">
              <w:rPr>
                <w:lang w:eastAsia="en-GB"/>
              </w:rPr>
              <w:t>Hepatic disease, hepatitis, PBC (unexplained) abnormal liver enzymes, ALD, chronic hepatitis C</w:t>
            </w:r>
          </w:p>
        </w:tc>
        <w:tc>
          <w:tcPr>
            <w:tcW w:w="0" w:type="auto"/>
            <w:shd w:val="clear" w:color="000000" w:fill="FFFFFF"/>
          </w:tcPr>
          <w:p w14:paraId="1601EC69" w14:textId="77777777" w:rsidR="008B4DF8" w:rsidRPr="00C1603D" w:rsidRDefault="008B4DF8" w:rsidP="00004025">
            <w:pPr>
              <w:pStyle w:val="72TabletextTablesTableFigureBoxstyles"/>
              <w:rPr>
                <w:lang w:eastAsia="en-GB"/>
              </w:rPr>
            </w:pPr>
            <w:r w:rsidRPr="00C1603D">
              <w:rPr>
                <w:lang w:eastAsia="en-GB"/>
              </w:rPr>
              <w:t>15</w:t>
            </w:r>
          </w:p>
        </w:tc>
        <w:tc>
          <w:tcPr>
            <w:tcW w:w="0" w:type="auto"/>
            <w:shd w:val="clear" w:color="000000" w:fill="FFFFFF"/>
          </w:tcPr>
          <w:p w14:paraId="62D7473B" w14:textId="32A434F5" w:rsidR="008B4DF8" w:rsidRPr="00C1603D" w:rsidRDefault="008B4DF8" w:rsidP="00004025">
            <w:pPr>
              <w:pStyle w:val="72TabletextTablesTableFigureBoxstyles"/>
              <w:rPr>
                <w:lang w:eastAsia="en-GB"/>
              </w:rPr>
            </w:pPr>
            <w:r w:rsidRPr="00C1603D">
              <w:rPr>
                <w:lang w:eastAsia="en-GB"/>
              </w:rPr>
              <w:t>8682</w:t>
            </w:r>
          </w:p>
        </w:tc>
        <w:tc>
          <w:tcPr>
            <w:tcW w:w="0" w:type="auto"/>
            <w:shd w:val="clear" w:color="000000" w:fill="FFFFFF"/>
          </w:tcPr>
          <w:p w14:paraId="77D484C6" w14:textId="77777777" w:rsidR="008B4DF8" w:rsidRPr="00C1603D" w:rsidRDefault="008B4DF8" w:rsidP="00004025">
            <w:pPr>
              <w:pStyle w:val="72TabletextTablesTableFigureBoxstyles"/>
              <w:rPr>
                <w:lang w:eastAsia="en-GB"/>
              </w:rPr>
            </w:pPr>
            <w:r w:rsidRPr="00C1603D">
              <w:rPr>
                <w:lang w:eastAsia="en-GB"/>
              </w:rPr>
              <w:t>448</w:t>
            </w:r>
          </w:p>
        </w:tc>
        <w:tc>
          <w:tcPr>
            <w:tcW w:w="0" w:type="auto"/>
            <w:shd w:val="clear" w:color="000000" w:fill="FFFFFF"/>
          </w:tcPr>
          <w:p w14:paraId="2EF69C76" w14:textId="77777777" w:rsidR="008B4DF8" w:rsidRPr="00C1603D" w:rsidRDefault="008B4DF8" w:rsidP="0062727C">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9</w:t>
            </w:r>
          </w:p>
          <w:p w14:paraId="073989B9" w14:textId="77777777" w:rsidR="004D3660" w:rsidRPr="00C1603D" w:rsidRDefault="008B4DF8" w:rsidP="0062727C">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2</w:t>
            </w:r>
          </w:p>
          <w:p w14:paraId="45DD3083" w14:textId="146F270B" w:rsidR="008B4DF8" w:rsidRPr="00C1603D" w:rsidRDefault="008B4DF8" w:rsidP="0062727C">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4</w:t>
            </w:r>
          </w:p>
        </w:tc>
        <w:tc>
          <w:tcPr>
            <w:tcW w:w="0" w:type="auto"/>
            <w:shd w:val="clear" w:color="000000" w:fill="FFFFFF"/>
          </w:tcPr>
          <w:p w14:paraId="23690623" w14:textId="77777777" w:rsidR="004D3660" w:rsidRPr="00C1603D" w:rsidRDefault="00B25FE9" w:rsidP="0062727C">
            <w:pPr>
              <w:pStyle w:val="722TablebulletlistTablesTableFigureBoxstyles"/>
              <w:rPr>
                <w:lang w:eastAsia="en-GB"/>
              </w:rPr>
            </w:pPr>
            <w:r w:rsidRPr="00C1603D">
              <w:rPr>
                <w:lang w:eastAsia="en-GB"/>
              </w:rPr>
              <w:t>Case–control</w:t>
            </w:r>
            <w:r w:rsidR="008B4DF8" w:rsidRPr="00C1603D">
              <w:rPr>
                <w:lang w:eastAsia="en-GB"/>
              </w:rPr>
              <w:t xml:space="preserve"> (DI)</w:t>
            </w:r>
            <w:r w:rsidR="004D3660"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12</w:t>
            </w:r>
          </w:p>
          <w:p w14:paraId="1F9DBDF1" w14:textId="0E58E73B" w:rsidR="004D3660" w:rsidRPr="00C1603D" w:rsidRDefault="008B4DF8" w:rsidP="0062727C">
            <w:pPr>
              <w:pStyle w:val="722TablebulletlistTablesTableFigureBoxstyles"/>
              <w:rPr>
                <w:lang w:eastAsia="en-GB"/>
              </w:rPr>
            </w:pPr>
            <w:r w:rsidRPr="00C1603D">
              <w:rPr>
                <w:lang w:eastAsia="en-GB"/>
              </w:rPr>
              <w:t>Nested case–control (CD)</w:t>
            </w:r>
            <w:r w:rsidR="0062727C" w:rsidRPr="00C1603D">
              <w:rPr>
                <w:lang w:eastAsia="en-GB"/>
              </w:rPr>
              <w:t>,</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1</w:t>
            </w:r>
          </w:p>
          <w:p w14:paraId="519ADCAB" w14:textId="6F25FE68" w:rsidR="008B4DF8" w:rsidRPr="00C1603D" w:rsidRDefault="008B4DF8" w:rsidP="0062727C">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2</w:t>
            </w:r>
          </w:p>
        </w:tc>
        <w:tc>
          <w:tcPr>
            <w:tcW w:w="0" w:type="auto"/>
            <w:shd w:val="clear" w:color="000000" w:fill="FFFFFF"/>
          </w:tcPr>
          <w:p w14:paraId="456C57D5" w14:textId="77777777" w:rsidR="0062727C" w:rsidRPr="00C1603D" w:rsidRDefault="008B4DF8" w:rsidP="0062727C">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12</w:t>
            </w:r>
          </w:p>
          <w:p w14:paraId="3D10661C" w14:textId="64A913E0" w:rsidR="008B4DF8" w:rsidRPr="00C1603D" w:rsidRDefault="008B4DF8" w:rsidP="0062727C">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3</w:t>
            </w:r>
          </w:p>
        </w:tc>
        <w:tc>
          <w:tcPr>
            <w:tcW w:w="0" w:type="auto"/>
            <w:shd w:val="clear" w:color="000000" w:fill="FFFFFF"/>
          </w:tcPr>
          <w:p w14:paraId="190172A1" w14:textId="77777777" w:rsidR="004D3660" w:rsidRPr="00C1603D" w:rsidRDefault="008B4DF8" w:rsidP="0062727C">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7</w:t>
            </w:r>
          </w:p>
          <w:p w14:paraId="392A1FC8" w14:textId="093DBADC" w:rsidR="008B4DF8" w:rsidRPr="00C1603D" w:rsidRDefault="0062727C" w:rsidP="0062727C">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8</w:t>
            </w:r>
          </w:p>
        </w:tc>
      </w:tr>
      <w:tr w:rsidR="00CB1142" w:rsidRPr="00C1603D" w14:paraId="4949D881" w14:textId="77777777" w:rsidTr="00004025">
        <w:trPr>
          <w:cantSplit/>
        </w:trPr>
        <w:tc>
          <w:tcPr>
            <w:tcW w:w="0" w:type="auto"/>
            <w:shd w:val="clear" w:color="000000" w:fill="FFFFFF"/>
          </w:tcPr>
          <w:p w14:paraId="6F8209CF" w14:textId="77777777" w:rsidR="008B4DF8" w:rsidRPr="00C1603D" w:rsidRDefault="008B4DF8" w:rsidP="00004025">
            <w:pPr>
              <w:pStyle w:val="72TabletextTablesTableFigureBoxstyles"/>
              <w:rPr>
                <w:lang w:eastAsia="en-GB"/>
              </w:rPr>
            </w:pPr>
            <w:r w:rsidRPr="00C1603D">
              <w:rPr>
                <w:lang w:eastAsia="en-GB"/>
              </w:rPr>
              <w:t>Dermatitis herpetiformis</w:t>
            </w:r>
          </w:p>
        </w:tc>
        <w:tc>
          <w:tcPr>
            <w:tcW w:w="0" w:type="auto"/>
            <w:shd w:val="clear" w:color="000000" w:fill="FFFFFF"/>
          </w:tcPr>
          <w:p w14:paraId="6ABF3545" w14:textId="77777777" w:rsidR="008B4DF8" w:rsidRPr="00C1603D" w:rsidRDefault="008B4DF8" w:rsidP="00004025">
            <w:pPr>
              <w:pStyle w:val="72TabletextTablesTableFigureBoxstyles"/>
              <w:rPr>
                <w:lang w:eastAsia="en-GB"/>
              </w:rPr>
            </w:pPr>
            <w:r w:rsidRPr="00C1603D">
              <w:rPr>
                <w:lang w:eastAsia="en-GB"/>
              </w:rPr>
              <w:t>Dermatitis herpetiformis</w:t>
            </w:r>
          </w:p>
        </w:tc>
        <w:tc>
          <w:tcPr>
            <w:tcW w:w="0" w:type="auto"/>
            <w:shd w:val="clear" w:color="000000" w:fill="FFFFFF"/>
          </w:tcPr>
          <w:p w14:paraId="446B87A2" w14:textId="77777777" w:rsidR="008B4DF8" w:rsidRPr="00C1603D" w:rsidRDefault="008B4DF8" w:rsidP="00004025">
            <w:pPr>
              <w:pStyle w:val="72TabletextTablesTableFigureBoxstyles"/>
              <w:rPr>
                <w:lang w:eastAsia="en-GB"/>
              </w:rPr>
            </w:pPr>
            <w:r w:rsidRPr="00C1603D">
              <w:rPr>
                <w:lang w:eastAsia="en-GB"/>
              </w:rPr>
              <w:t>5</w:t>
            </w:r>
          </w:p>
        </w:tc>
        <w:tc>
          <w:tcPr>
            <w:tcW w:w="0" w:type="auto"/>
            <w:shd w:val="clear" w:color="000000" w:fill="FFFFFF"/>
          </w:tcPr>
          <w:p w14:paraId="6C3F3D72" w14:textId="6090754A" w:rsidR="008B4DF8" w:rsidRPr="00C1603D" w:rsidRDefault="008B4DF8" w:rsidP="00004025">
            <w:pPr>
              <w:pStyle w:val="72TabletextTablesTableFigureBoxstyles"/>
              <w:rPr>
                <w:lang w:eastAsia="en-GB"/>
              </w:rPr>
            </w:pPr>
            <w:r w:rsidRPr="00C1603D">
              <w:rPr>
                <w:lang w:eastAsia="en-GB"/>
              </w:rPr>
              <w:t>1429</w:t>
            </w:r>
          </w:p>
        </w:tc>
        <w:tc>
          <w:tcPr>
            <w:tcW w:w="0" w:type="auto"/>
            <w:shd w:val="clear" w:color="000000" w:fill="FFFFFF"/>
          </w:tcPr>
          <w:p w14:paraId="51253852" w14:textId="77777777" w:rsidR="008B4DF8" w:rsidRPr="00C1603D" w:rsidRDefault="008B4DF8" w:rsidP="00004025">
            <w:pPr>
              <w:pStyle w:val="72TabletextTablesTableFigureBoxstyles"/>
              <w:rPr>
                <w:lang w:eastAsia="en-GB"/>
              </w:rPr>
            </w:pPr>
            <w:r w:rsidRPr="00C1603D">
              <w:rPr>
                <w:lang w:eastAsia="en-GB"/>
              </w:rPr>
              <w:t>579</w:t>
            </w:r>
          </w:p>
        </w:tc>
        <w:tc>
          <w:tcPr>
            <w:tcW w:w="0" w:type="auto"/>
            <w:shd w:val="clear" w:color="000000" w:fill="FFFFFF"/>
          </w:tcPr>
          <w:p w14:paraId="0CC68EC8" w14:textId="77777777" w:rsidR="0062727C" w:rsidRPr="00C1603D" w:rsidRDefault="008B4DF8" w:rsidP="00FA7DAA">
            <w:pPr>
              <w:pStyle w:val="722TablebulletlistTablesTableFigureBoxstyles"/>
              <w:rPr>
                <w:color w:val="auto"/>
                <w:lang w:eastAsia="en-GB"/>
              </w:rPr>
            </w:pPr>
            <w:r w:rsidRPr="00C1603D">
              <w:rPr>
                <w:color w:val="auto"/>
                <w:lang w:eastAsia="en-GB"/>
              </w:rPr>
              <w:t xml:space="preserve">Adults, </w:t>
            </w:r>
            <w:r w:rsidRPr="00C1603D">
              <w:rPr>
                <w:i/>
                <w:color w:val="auto"/>
                <w:lang w:eastAsia="en-GB"/>
              </w:rPr>
              <w:t>n</w:t>
            </w:r>
            <w:r w:rsidRPr="00C1603D">
              <w:rPr>
                <w:color w:val="auto"/>
                <w:lang w:eastAsia="en-GB"/>
              </w:rPr>
              <w:t> = 4</w:t>
            </w:r>
          </w:p>
          <w:p w14:paraId="1BEE9003" w14:textId="16D1E18D" w:rsidR="008B4DF8" w:rsidRPr="00C1603D" w:rsidRDefault="008B4DF8" w:rsidP="00FA7DAA">
            <w:pPr>
              <w:pStyle w:val="722TablebulletlistTablesTableFigureBoxstyles"/>
              <w:rPr>
                <w:color w:val="auto"/>
                <w:lang w:eastAsia="en-GB"/>
              </w:rPr>
            </w:pPr>
            <w:r w:rsidRPr="00C1603D">
              <w:rPr>
                <w:color w:val="auto"/>
                <w:lang w:eastAsia="en-GB"/>
              </w:rPr>
              <w:t xml:space="preserve">Mixed, </w:t>
            </w:r>
            <w:r w:rsidRPr="00C1603D">
              <w:rPr>
                <w:i/>
                <w:color w:val="auto"/>
                <w:lang w:eastAsia="en-GB"/>
              </w:rPr>
              <w:t>n</w:t>
            </w:r>
            <w:r w:rsidRPr="00C1603D">
              <w:rPr>
                <w:color w:val="auto"/>
                <w:lang w:eastAsia="en-GB"/>
              </w:rPr>
              <w:t> = 1</w:t>
            </w:r>
          </w:p>
        </w:tc>
        <w:tc>
          <w:tcPr>
            <w:tcW w:w="0" w:type="auto"/>
            <w:shd w:val="clear" w:color="000000" w:fill="FFFFFF"/>
          </w:tcPr>
          <w:p w14:paraId="31CAB431" w14:textId="77461A5E" w:rsidR="0062727C" w:rsidRPr="00C1603D" w:rsidRDefault="00B25FE9" w:rsidP="00FA7DAA">
            <w:pPr>
              <w:pStyle w:val="722TablebulletlistTablesTableFigureBoxstyles"/>
              <w:rPr>
                <w:color w:val="auto"/>
                <w:lang w:eastAsia="en-GB"/>
              </w:rPr>
            </w:pPr>
            <w:r w:rsidRPr="00C1603D">
              <w:rPr>
                <w:color w:val="auto"/>
                <w:lang w:eastAsia="en-GB"/>
              </w:rPr>
              <w:t>Case–control</w:t>
            </w:r>
            <w:r w:rsidR="008B4DF8" w:rsidRPr="00C1603D">
              <w:rPr>
                <w:color w:val="auto"/>
                <w:lang w:eastAsia="en-GB"/>
              </w:rPr>
              <w:t xml:space="preserve"> (DI)</w:t>
            </w:r>
            <w:r w:rsidR="0062727C" w:rsidRPr="00C1603D">
              <w:rPr>
                <w:color w:val="auto"/>
                <w:lang w:eastAsia="en-GB"/>
              </w:rPr>
              <w:t>,</w:t>
            </w:r>
            <w:r w:rsidR="008B4DF8" w:rsidRPr="00C1603D">
              <w:rPr>
                <w:color w:val="auto"/>
                <w:vertAlign w:val="superscript"/>
                <w:lang w:eastAsia="en-GB"/>
              </w:rPr>
              <w:t>a</w:t>
            </w:r>
            <w:r w:rsidR="008B4DF8" w:rsidRPr="00C1603D">
              <w:rPr>
                <w:color w:val="auto"/>
                <w:lang w:eastAsia="en-GB"/>
              </w:rPr>
              <w:t xml:space="preserve"> </w:t>
            </w:r>
            <w:r w:rsidR="008B4DF8" w:rsidRPr="00C1603D">
              <w:rPr>
                <w:i/>
                <w:color w:val="auto"/>
                <w:lang w:eastAsia="en-GB"/>
              </w:rPr>
              <w:t>n</w:t>
            </w:r>
            <w:r w:rsidR="008B4DF8" w:rsidRPr="00C1603D">
              <w:rPr>
                <w:color w:val="auto"/>
                <w:lang w:eastAsia="en-GB"/>
              </w:rPr>
              <w:t> = 3</w:t>
            </w:r>
          </w:p>
          <w:p w14:paraId="2A177DFC" w14:textId="5A8E6B0C" w:rsidR="008B4DF8" w:rsidRPr="00C1603D" w:rsidRDefault="008B4DF8" w:rsidP="00FA7DAA">
            <w:pPr>
              <w:pStyle w:val="722TablebulletlistTablesTableFigureBoxstyles"/>
              <w:rPr>
                <w:color w:val="auto"/>
                <w:lang w:eastAsia="en-GB"/>
              </w:rPr>
            </w:pPr>
            <w:r w:rsidRPr="00C1603D">
              <w:rPr>
                <w:color w:val="auto"/>
                <w:lang w:eastAsia="en-GB"/>
              </w:rPr>
              <w:t>Nested case–control (CD)</w:t>
            </w:r>
            <w:r w:rsidR="00FA7DAA" w:rsidRPr="00C1603D">
              <w:rPr>
                <w:color w:val="auto"/>
                <w:lang w:eastAsia="en-GB"/>
              </w:rPr>
              <w:t>,</w:t>
            </w:r>
            <w:r w:rsidRPr="00C1603D">
              <w:rPr>
                <w:color w:val="auto"/>
                <w:vertAlign w:val="superscript"/>
                <w:lang w:eastAsia="en-GB"/>
              </w:rPr>
              <w:t>b</w:t>
            </w:r>
            <w:r w:rsidRPr="00C1603D">
              <w:rPr>
                <w:color w:val="auto"/>
                <w:lang w:eastAsia="en-GB"/>
              </w:rPr>
              <w:t xml:space="preserve"> </w:t>
            </w:r>
            <w:r w:rsidRPr="00C1603D">
              <w:rPr>
                <w:i/>
                <w:color w:val="auto"/>
                <w:lang w:eastAsia="en-GB"/>
              </w:rPr>
              <w:t>n</w:t>
            </w:r>
            <w:r w:rsidRPr="00C1603D">
              <w:rPr>
                <w:color w:val="auto"/>
                <w:lang w:eastAsia="en-GB"/>
              </w:rPr>
              <w:t> = 2</w:t>
            </w:r>
          </w:p>
        </w:tc>
        <w:tc>
          <w:tcPr>
            <w:tcW w:w="0" w:type="auto"/>
            <w:shd w:val="clear" w:color="000000" w:fill="FFFFFF"/>
          </w:tcPr>
          <w:p w14:paraId="4EB5A602" w14:textId="77777777" w:rsidR="00FA7DAA" w:rsidRPr="00C1603D" w:rsidRDefault="008B4DF8" w:rsidP="00FA7DAA">
            <w:pPr>
              <w:pStyle w:val="722TablebulletlistTablesTableFigureBoxstyles"/>
              <w:rPr>
                <w:color w:val="auto"/>
                <w:lang w:eastAsia="en-GB"/>
              </w:rPr>
            </w:pPr>
            <w:r w:rsidRPr="00C1603D">
              <w:rPr>
                <w:color w:val="auto"/>
                <w:lang w:eastAsia="en-GB"/>
              </w:rPr>
              <w:t xml:space="preserve">Healthy controls, </w:t>
            </w:r>
            <w:r w:rsidRPr="00C1603D">
              <w:rPr>
                <w:i/>
                <w:color w:val="auto"/>
                <w:lang w:eastAsia="en-GB"/>
              </w:rPr>
              <w:t>n</w:t>
            </w:r>
            <w:r w:rsidRPr="00C1603D">
              <w:rPr>
                <w:color w:val="auto"/>
                <w:lang w:eastAsia="en-GB"/>
              </w:rPr>
              <w:t> = 3</w:t>
            </w:r>
          </w:p>
          <w:p w14:paraId="6248FD8B" w14:textId="2FBF087E" w:rsidR="008B4DF8" w:rsidRPr="00C1603D" w:rsidRDefault="008B4DF8" w:rsidP="00FA7DAA">
            <w:pPr>
              <w:pStyle w:val="722TablebulletlistTablesTableFigureBoxstyles"/>
              <w:rPr>
                <w:color w:val="auto"/>
                <w:lang w:eastAsia="en-GB"/>
              </w:rPr>
            </w:pPr>
            <w:r w:rsidRPr="00C1603D">
              <w:rPr>
                <w:color w:val="auto"/>
                <w:lang w:eastAsia="en-GB"/>
              </w:rPr>
              <w:t xml:space="preserve">Population sample without diagnostic indicator, </w:t>
            </w:r>
            <w:r w:rsidRPr="00C1603D">
              <w:rPr>
                <w:i/>
                <w:color w:val="auto"/>
                <w:lang w:eastAsia="en-GB"/>
              </w:rPr>
              <w:t>n</w:t>
            </w:r>
            <w:r w:rsidRPr="00C1603D">
              <w:rPr>
                <w:color w:val="auto"/>
                <w:lang w:eastAsia="en-GB"/>
              </w:rPr>
              <w:t> = 2</w:t>
            </w:r>
          </w:p>
        </w:tc>
        <w:tc>
          <w:tcPr>
            <w:tcW w:w="0" w:type="auto"/>
            <w:shd w:val="clear" w:color="000000" w:fill="FFFFFF"/>
          </w:tcPr>
          <w:p w14:paraId="677D1C27" w14:textId="77777777" w:rsidR="00FA7DAA" w:rsidRPr="00C1603D" w:rsidRDefault="008B4DF8" w:rsidP="00FA7DAA">
            <w:pPr>
              <w:pStyle w:val="722TablebulletlistTablesTableFigureBoxstyles"/>
              <w:rPr>
                <w:color w:val="auto"/>
                <w:lang w:eastAsia="en-GB"/>
              </w:rPr>
            </w:pPr>
            <w:r w:rsidRPr="00C1603D">
              <w:rPr>
                <w:color w:val="auto"/>
                <w:lang w:eastAsia="en-GB"/>
              </w:rPr>
              <w:t xml:space="preserve">Serology only, </w:t>
            </w:r>
            <w:r w:rsidRPr="00C1603D">
              <w:rPr>
                <w:i/>
                <w:color w:val="auto"/>
                <w:lang w:eastAsia="en-GB"/>
              </w:rPr>
              <w:t>n</w:t>
            </w:r>
            <w:r w:rsidRPr="00C1603D">
              <w:rPr>
                <w:color w:val="auto"/>
                <w:lang w:eastAsia="en-GB"/>
              </w:rPr>
              <w:t> = 4</w:t>
            </w:r>
          </w:p>
          <w:p w14:paraId="2533A4E6" w14:textId="3E2A165C" w:rsidR="008B4DF8" w:rsidRPr="00C1603D" w:rsidRDefault="00FA7DAA" w:rsidP="00FA7DAA">
            <w:pPr>
              <w:pStyle w:val="722TablebulletlistTablesTableFigureBoxstyles"/>
              <w:rPr>
                <w:color w:val="auto"/>
                <w:lang w:eastAsia="en-GB"/>
              </w:rPr>
            </w:pPr>
            <w:r w:rsidRPr="00C1603D">
              <w:rPr>
                <w:color w:val="auto"/>
                <w:lang w:eastAsia="en-GB"/>
              </w:rPr>
              <w:t>Biopsy ± </w:t>
            </w:r>
            <w:r w:rsidR="008B4DF8" w:rsidRPr="00C1603D">
              <w:rPr>
                <w:color w:val="auto"/>
                <w:lang w:eastAsia="en-GB"/>
              </w:rPr>
              <w:t xml:space="preserve">serology, </w:t>
            </w:r>
            <w:r w:rsidR="008B4DF8" w:rsidRPr="00C1603D">
              <w:rPr>
                <w:i/>
                <w:color w:val="auto"/>
                <w:lang w:eastAsia="en-GB"/>
              </w:rPr>
              <w:t>n</w:t>
            </w:r>
            <w:r w:rsidR="008B4DF8" w:rsidRPr="00C1603D">
              <w:rPr>
                <w:color w:val="auto"/>
                <w:lang w:eastAsia="en-GB"/>
              </w:rPr>
              <w:t> = 1</w:t>
            </w:r>
          </w:p>
        </w:tc>
      </w:tr>
      <w:tr w:rsidR="00CB1142" w:rsidRPr="00C1603D" w14:paraId="2129735C" w14:textId="77777777" w:rsidTr="00004025">
        <w:trPr>
          <w:cantSplit/>
        </w:trPr>
        <w:tc>
          <w:tcPr>
            <w:tcW w:w="0" w:type="auto"/>
            <w:shd w:val="clear" w:color="000000" w:fill="FFFFFF"/>
          </w:tcPr>
          <w:p w14:paraId="3103BB9C" w14:textId="77777777" w:rsidR="008B4DF8" w:rsidRPr="00C1603D" w:rsidRDefault="008B4DF8" w:rsidP="00004025">
            <w:pPr>
              <w:pStyle w:val="72TabletextTablesTableFigureBoxstyles"/>
              <w:rPr>
                <w:lang w:eastAsia="en-GB"/>
              </w:rPr>
            </w:pPr>
            <w:r w:rsidRPr="00C1603D">
              <w:rPr>
                <w:lang w:eastAsia="en-GB"/>
              </w:rPr>
              <w:lastRenderedPageBreak/>
              <w:t>Epilepsy</w:t>
            </w:r>
          </w:p>
        </w:tc>
        <w:tc>
          <w:tcPr>
            <w:tcW w:w="0" w:type="auto"/>
            <w:shd w:val="clear" w:color="000000" w:fill="FFFFFF"/>
          </w:tcPr>
          <w:p w14:paraId="774114FA" w14:textId="77777777" w:rsidR="008B4DF8" w:rsidRPr="00C1603D" w:rsidRDefault="008B4DF8" w:rsidP="00004025">
            <w:pPr>
              <w:pStyle w:val="72TabletextTablesTableFigureBoxstyles"/>
              <w:rPr>
                <w:lang w:eastAsia="en-GB"/>
              </w:rPr>
            </w:pPr>
            <w:r w:rsidRPr="00C1603D">
              <w:rPr>
                <w:lang w:eastAsia="en-GB"/>
              </w:rPr>
              <w:t>Epilepsy, ataxia</w:t>
            </w:r>
          </w:p>
        </w:tc>
        <w:tc>
          <w:tcPr>
            <w:tcW w:w="0" w:type="auto"/>
            <w:shd w:val="clear" w:color="000000" w:fill="FFFFFF"/>
          </w:tcPr>
          <w:p w14:paraId="16CEBBB3" w14:textId="77777777" w:rsidR="008B4DF8" w:rsidRPr="00C1603D" w:rsidRDefault="008B4DF8" w:rsidP="00004025">
            <w:pPr>
              <w:pStyle w:val="72TabletextTablesTableFigureBoxstyles"/>
              <w:rPr>
                <w:lang w:eastAsia="en-GB"/>
              </w:rPr>
            </w:pPr>
            <w:r w:rsidRPr="00C1603D">
              <w:rPr>
                <w:lang w:eastAsia="en-GB"/>
              </w:rPr>
              <w:t>12</w:t>
            </w:r>
          </w:p>
        </w:tc>
        <w:tc>
          <w:tcPr>
            <w:tcW w:w="0" w:type="auto"/>
            <w:shd w:val="clear" w:color="000000" w:fill="FFFFFF"/>
          </w:tcPr>
          <w:p w14:paraId="140385B1" w14:textId="77777777" w:rsidR="008B4DF8" w:rsidRPr="00C1603D" w:rsidRDefault="008B4DF8" w:rsidP="00004025">
            <w:pPr>
              <w:pStyle w:val="72TabletextTablesTableFigureBoxstyles"/>
              <w:rPr>
                <w:lang w:eastAsia="en-GB"/>
              </w:rPr>
            </w:pPr>
            <w:r w:rsidRPr="00C1603D">
              <w:rPr>
                <w:lang w:eastAsia="en-GB"/>
              </w:rPr>
              <w:t>10,717</w:t>
            </w:r>
          </w:p>
        </w:tc>
        <w:tc>
          <w:tcPr>
            <w:tcW w:w="0" w:type="auto"/>
            <w:shd w:val="clear" w:color="000000" w:fill="FFFFFF"/>
          </w:tcPr>
          <w:p w14:paraId="662C8B99" w14:textId="77777777" w:rsidR="008B4DF8" w:rsidRPr="00C1603D" w:rsidRDefault="008B4DF8" w:rsidP="00004025">
            <w:pPr>
              <w:pStyle w:val="72TabletextTablesTableFigureBoxstyles"/>
              <w:rPr>
                <w:lang w:eastAsia="en-GB"/>
              </w:rPr>
            </w:pPr>
            <w:r w:rsidRPr="00C1603D">
              <w:rPr>
                <w:lang w:eastAsia="en-GB"/>
              </w:rPr>
              <w:t>505</w:t>
            </w:r>
          </w:p>
        </w:tc>
        <w:tc>
          <w:tcPr>
            <w:tcW w:w="0" w:type="auto"/>
            <w:shd w:val="clear" w:color="000000" w:fill="FFFFFF"/>
          </w:tcPr>
          <w:p w14:paraId="2084DBB2" w14:textId="77777777" w:rsidR="00FA7DAA" w:rsidRPr="00C1603D" w:rsidRDefault="008B4DF8" w:rsidP="00FA7DAA">
            <w:pPr>
              <w:pStyle w:val="722TablebulletlistTablesTableFigureBoxstyles"/>
              <w:rPr>
                <w:color w:val="auto"/>
                <w:lang w:eastAsia="en-GB"/>
              </w:rPr>
            </w:pPr>
            <w:r w:rsidRPr="00C1603D">
              <w:rPr>
                <w:color w:val="auto"/>
                <w:lang w:eastAsia="en-GB"/>
              </w:rPr>
              <w:t xml:space="preserve">Adults, </w:t>
            </w:r>
            <w:r w:rsidRPr="00C1603D">
              <w:rPr>
                <w:i/>
                <w:color w:val="auto"/>
                <w:lang w:eastAsia="en-GB"/>
              </w:rPr>
              <w:t>n</w:t>
            </w:r>
            <w:r w:rsidRPr="00C1603D">
              <w:rPr>
                <w:color w:val="auto"/>
                <w:lang w:eastAsia="en-GB"/>
              </w:rPr>
              <w:t> = 2</w:t>
            </w:r>
          </w:p>
          <w:p w14:paraId="6D827A31" w14:textId="77777777" w:rsidR="00FA7DAA" w:rsidRPr="00C1603D" w:rsidRDefault="008B4DF8" w:rsidP="00FA7DAA">
            <w:pPr>
              <w:pStyle w:val="722TablebulletlistTablesTableFigureBoxstyles"/>
              <w:rPr>
                <w:color w:val="auto"/>
                <w:lang w:eastAsia="en-GB"/>
              </w:rPr>
            </w:pPr>
            <w:r w:rsidRPr="00C1603D">
              <w:rPr>
                <w:color w:val="auto"/>
                <w:lang w:eastAsia="en-GB"/>
              </w:rPr>
              <w:t xml:space="preserve">Children, </w:t>
            </w:r>
            <w:r w:rsidRPr="00C1603D">
              <w:rPr>
                <w:i/>
                <w:color w:val="auto"/>
                <w:lang w:eastAsia="en-GB"/>
              </w:rPr>
              <w:t>n</w:t>
            </w:r>
            <w:r w:rsidRPr="00C1603D">
              <w:rPr>
                <w:color w:val="auto"/>
                <w:lang w:eastAsia="en-GB"/>
              </w:rPr>
              <w:t> = 9</w:t>
            </w:r>
          </w:p>
          <w:p w14:paraId="55F4648B" w14:textId="56148D6D" w:rsidR="008B4DF8" w:rsidRPr="00C1603D" w:rsidRDefault="008B4DF8" w:rsidP="00FA7DAA">
            <w:pPr>
              <w:pStyle w:val="722TablebulletlistTablesTableFigureBoxstyles"/>
              <w:rPr>
                <w:color w:val="auto"/>
                <w:lang w:eastAsia="en-GB"/>
              </w:rPr>
            </w:pPr>
            <w:r w:rsidRPr="00C1603D">
              <w:rPr>
                <w:color w:val="auto"/>
                <w:lang w:eastAsia="en-GB"/>
              </w:rPr>
              <w:t xml:space="preserve">Mixed, </w:t>
            </w:r>
            <w:r w:rsidRPr="00C1603D">
              <w:rPr>
                <w:i/>
                <w:color w:val="auto"/>
                <w:lang w:eastAsia="en-GB"/>
              </w:rPr>
              <w:t>n</w:t>
            </w:r>
            <w:r w:rsidRPr="00C1603D">
              <w:rPr>
                <w:color w:val="auto"/>
                <w:lang w:eastAsia="en-GB"/>
              </w:rPr>
              <w:t> = 1</w:t>
            </w:r>
          </w:p>
        </w:tc>
        <w:tc>
          <w:tcPr>
            <w:tcW w:w="0" w:type="auto"/>
            <w:shd w:val="clear" w:color="000000" w:fill="FFFFFF"/>
          </w:tcPr>
          <w:p w14:paraId="3D49E5B7" w14:textId="79E125B8" w:rsidR="00FA7DAA" w:rsidRPr="00C1603D" w:rsidRDefault="00B25FE9" w:rsidP="00FA7DAA">
            <w:pPr>
              <w:pStyle w:val="722TablebulletlistTablesTableFigureBoxstyles"/>
              <w:rPr>
                <w:color w:val="auto"/>
                <w:lang w:eastAsia="en-GB"/>
              </w:rPr>
            </w:pPr>
            <w:r w:rsidRPr="00C1603D">
              <w:rPr>
                <w:color w:val="auto"/>
                <w:lang w:eastAsia="en-GB"/>
              </w:rPr>
              <w:t>Case–control</w:t>
            </w:r>
            <w:r w:rsidR="008B4DF8" w:rsidRPr="00C1603D">
              <w:rPr>
                <w:color w:val="auto"/>
                <w:lang w:eastAsia="en-GB"/>
              </w:rPr>
              <w:t xml:space="preserve"> (DI)</w:t>
            </w:r>
            <w:r w:rsidR="00FA7DAA" w:rsidRPr="00C1603D">
              <w:rPr>
                <w:color w:val="auto"/>
                <w:lang w:eastAsia="en-GB"/>
              </w:rPr>
              <w:t>,</w:t>
            </w:r>
            <w:r w:rsidR="008B4DF8" w:rsidRPr="00C1603D">
              <w:rPr>
                <w:color w:val="auto"/>
                <w:vertAlign w:val="superscript"/>
                <w:lang w:eastAsia="en-GB"/>
              </w:rPr>
              <w:t>a</w:t>
            </w:r>
            <w:r w:rsidR="008B4DF8" w:rsidRPr="00C1603D">
              <w:rPr>
                <w:color w:val="auto"/>
                <w:lang w:eastAsia="en-GB"/>
              </w:rPr>
              <w:t xml:space="preserve"> </w:t>
            </w:r>
            <w:r w:rsidR="008B4DF8" w:rsidRPr="00C1603D">
              <w:rPr>
                <w:i/>
                <w:color w:val="auto"/>
                <w:lang w:eastAsia="en-GB"/>
              </w:rPr>
              <w:t>n</w:t>
            </w:r>
            <w:r w:rsidR="008B4DF8" w:rsidRPr="00C1603D">
              <w:rPr>
                <w:color w:val="auto"/>
                <w:lang w:eastAsia="en-GB"/>
              </w:rPr>
              <w:t> = 11</w:t>
            </w:r>
          </w:p>
          <w:p w14:paraId="1BC1FAEB" w14:textId="3D3550F9" w:rsidR="008B4DF8" w:rsidRPr="00C1603D" w:rsidRDefault="008B4DF8" w:rsidP="00FA7DAA">
            <w:pPr>
              <w:pStyle w:val="722TablebulletlistTablesTableFigureBoxstyles"/>
              <w:rPr>
                <w:color w:val="auto"/>
                <w:lang w:eastAsia="en-GB"/>
              </w:rPr>
            </w:pPr>
            <w:r w:rsidRPr="00C1603D">
              <w:rPr>
                <w:color w:val="auto"/>
                <w:lang w:eastAsia="en-GB"/>
              </w:rPr>
              <w:t>Nested case–control (CD)</w:t>
            </w:r>
            <w:r w:rsidR="00FA7DAA" w:rsidRPr="00C1603D">
              <w:rPr>
                <w:color w:val="auto"/>
                <w:lang w:eastAsia="en-GB"/>
              </w:rPr>
              <w:t>,</w:t>
            </w:r>
            <w:r w:rsidRPr="00C1603D">
              <w:rPr>
                <w:color w:val="auto"/>
                <w:vertAlign w:val="superscript"/>
                <w:lang w:eastAsia="en-GB"/>
              </w:rPr>
              <w:t>b</w:t>
            </w:r>
            <w:r w:rsidRPr="00C1603D">
              <w:rPr>
                <w:color w:val="auto"/>
                <w:lang w:eastAsia="en-GB"/>
              </w:rPr>
              <w:t xml:space="preserve"> </w:t>
            </w:r>
            <w:r w:rsidRPr="00C1603D">
              <w:rPr>
                <w:i/>
                <w:color w:val="auto"/>
                <w:lang w:eastAsia="en-GB"/>
              </w:rPr>
              <w:t>n</w:t>
            </w:r>
            <w:r w:rsidRPr="00C1603D">
              <w:rPr>
                <w:color w:val="auto"/>
                <w:lang w:eastAsia="en-GB"/>
              </w:rPr>
              <w:t> = 1</w:t>
            </w:r>
          </w:p>
        </w:tc>
        <w:tc>
          <w:tcPr>
            <w:tcW w:w="0" w:type="auto"/>
            <w:shd w:val="clear" w:color="000000" w:fill="FFFFFF"/>
          </w:tcPr>
          <w:p w14:paraId="3F7BDFDF" w14:textId="77777777" w:rsidR="00FA7DAA" w:rsidRPr="00C1603D" w:rsidRDefault="008B4DF8" w:rsidP="00FA7DAA">
            <w:pPr>
              <w:pStyle w:val="722TablebulletlistTablesTableFigureBoxstyles"/>
              <w:rPr>
                <w:color w:val="auto"/>
                <w:lang w:eastAsia="en-GB"/>
              </w:rPr>
            </w:pPr>
            <w:r w:rsidRPr="00C1603D">
              <w:rPr>
                <w:color w:val="auto"/>
                <w:lang w:eastAsia="en-GB"/>
              </w:rPr>
              <w:t xml:space="preserve">Healthy controls, </w:t>
            </w:r>
            <w:r w:rsidRPr="00C1603D">
              <w:rPr>
                <w:i/>
                <w:color w:val="auto"/>
                <w:lang w:eastAsia="en-GB"/>
              </w:rPr>
              <w:t>n</w:t>
            </w:r>
            <w:r w:rsidRPr="00C1603D">
              <w:rPr>
                <w:color w:val="auto"/>
                <w:lang w:eastAsia="en-GB"/>
              </w:rPr>
              <w:t> = 11</w:t>
            </w:r>
          </w:p>
          <w:p w14:paraId="7BC3DBB7" w14:textId="08F5243D" w:rsidR="008B4DF8" w:rsidRPr="00C1603D" w:rsidRDefault="008B4DF8" w:rsidP="00FA7DAA">
            <w:pPr>
              <w:pStyle w:val="722TablebulletlistTablesTableFigureBoxstyles"/>
              <w:rPr>
                <w:color w:val="auto"/>
                <w:lang w:eastAsia="en-GB"/>
              </w:rPr>
            </w:pPr>
            <w:r w:rsidRPr="00C1603D">
              <w:rPr>
                <w:color w:val="auto"/>
                <w:lang w:eastAsia="en-GB"/>
              </w:rPr>
              <w:t xml:space="preserve">Population sample without diagnostic indicator, </w:t>
            </w:r>
            <w:r w:rsidRPr="00C1603D">
              <w:rPr>
                <w:i/>
                <w:color w:val="auto"/>
                <w:lang w:eastAsia="en-GB"/>
              </w:rPr>
              <w:t>n</w:t>
            </w:r>
            <w:r w:rsidRPr="00C1603D">
              <w:rPr>
                <w:color w:val="auto"/>
                <w:lang w:eastAsia="en-GB"/>
              </w:rPr>
              <w:t> = 1</w:t>
            </w:r>
          </w:p>
        </w:tc>
        <w:tc>
          <w:tcPr>
            <w:tcW w:w="0" w:type="auto"/>
            <w:shd w:val="clear" w:color="000000" w:fill="FFFFFF"/>
          </w:tcPr>
          <w:p w14:paraId="393BFDF3" w14:textId="77777777" w:rsidR="00FA7DAA" w:rsidRPr="00C1603D" w:rsidRDefault="008B4DF8" w:rsidP="00FA7DAA">
            <w:pPr>
              <w:pStyle w:val="722TablebulletlistTablesTableFigureBoxstyles"/>
              <w:rPr>
                <w:color w:val="auto"/>
                <w:lang w:eastAsia="en-GB"/>
              </w:rPr>
            </w:pPr>
            <w:r w:rsidRPr="00C1603D">
              <w:rPr>
                <w:color w:val="auto"/>
                <w:lang w:eastAsia="en-GB"/>
              </w:rPr>
              <w:t xml:space="preserve">Serology only, </w:t>
            </w:r>
            <w:r w:rsidRPr="00C1603D">
              <w:rPr>
                <w:i/>
                <w:color w:val="auto"/>
                <w:lang w:eastAsia="en-GB"/>
              </w:rPr>
              <w:t>n</w:t>
            </w:r>
            <w:r w:rsidRPr="00C1603D">
              <w:rPr>
                <w:color w:val="auto"/>
                <w:lang w:eastAsia="en-GB"/>
              </w:rPr>
              <w:t> = 5</w:t>
            </w:r>
          </w:p>
          <w:p w14:paraId="23D0ED39" w14:textId="4933C698" w:rsidR="008B4DF8" w:rsidRPr="00C1603D" w:rsidRDefault="00FA7DAA" w:rsidP="00FA7DAA">
            <w:pPr>
              <w:pStyle w:val="722TablebulletlistTablesTableFigureBoxstyles"/>
              <w:rPr>
                <w:color w:val="auto"/>
                <w:lang w:eastAsia="en-GB"/>
              </w:rPr>
            </w:pPr>
            <w:r w:rsidRPr="00C1603D">
              <w:rPr>
                <w:color w:val="auto"/>
                <w:lang w:eastAsia="en-GB"/>
              </w:rPr>
              <w:t>Biopsy ± </w:t>
            </w:r>
            <w:r w:rsidR="008B4DF8" w:rsidRPr="00C1603D">
              <w:rPr>
                <w:color w:val="auto"/>
                <w:lang w:eastAsia="en-GB"/>
              </w:rPr>
              <w:t xml:space="preserve">serology, </w:t>
            </w:r>
            <w:r w:rsidR="008B4DF8" w:rsidRPr="00C1603D">
              <w:rPr>
                <w:i/>
                <w:color w:val="auto"/>
                <w:lang w:eastAsia="en-GB"/>
              </w:rPr>
              <w:t>n</w:t>
            </w:r>
            <w:r w:rsidR="008B4DF8" w:rsidRPr="00C1603D">
              <w:rPr>
                <w:color w:val="auto"/>
                <w:lang w:eastAsia="en-GB"/>
              </w:rPr>
              <w:t> = 7</w:t>
            </w:r>
          </w:p>
        </w:tc>
      </w:tr>
      <w:tr w:rsidR="00CB1142" w:rsidRPr="00C1603D" w14:paraId="353A635D" w14:textId="77777777" w:rsidTr="00004025">
        <w:trPr>
          <w:cantSplit/>
        </w:trPr>
        <w:tc>
          <w:tcPr>
            <w:tcW w:w="0" w:type="auto"/>
            <w:shd w:val="clear" w:color="000000" w:fill="FFFFFF"/>
          </w:tcPr>
          <w:p w14:paraId="4E3B471E" w14:textId="77777777" w:rsidR="008B4DF8" w:rsidRPr="00C1603D" w:rsidRDefault="008B4DF8" w:rsidP="00004025">
            <w:pPr>
              <w:pStyle w:val="72TabletextTablesTableFigureBoxstyles"/>
              <w:rPr>
                <w:lang w:eastAsia="en-GB"/>
              </w:rPr>
            </w:pPr>
            <w:r w:rsidRPr="00C1603D">
              <w:rPr>
                <w:lang w:eastAsia="en-GB"/>
              </w:rPr>
              <w:t>Fracture</w:t>
            </w:r>
          </w:p>
        </w:tc>
        <w:tc>
          <w:tcPr>
            <w:tcW w:w="0" w:type="auto"/>
            <w:shd w:val="clear" w:color="000000" w:fill="FFFFFF"/>
          </w:tcPr>
          <w:p w14:paraId="53243AAA" w14:textId="77777777" w:rsidR="008B4DF8" w:rsidRPr="00C1603D" w:rsidRDefault="008B4DF8" w:rsidP="00004025">
            <w:pPr>
              <w:pStyle w:val="72TabletextTablesTableFigureBoxstyles"/>
              <w:rPr>
                <w:lang w:eastAsia="en-GB"/>
              </w:rPr>
            </w:pPr>
            <w:r w:rsidRPr="00C1603D">
              <w:rPr>
                <w:lang w:eastAsia="en-GB"/>
              </w:rPr>
              <w:t>Vertebra fracture, wrist fracture, fractures (unspecified)</w:t>
            </w:r>
          </w:p>
        </w:tc>
        <w:tc>
          <w:tcPr>
            <w:tcW w:w="0" w:type="auto"/>
            <w:shd w:val="clear" w:color="000000" w:fill="FFFFFF"/>
          </w:tcPr>
          <w:p w14:paraId="2FEB73C2" w14:textId="77777777" w:rsidR="008B4DF8" w:rsidRPr="00C1603D" w:rsidRDefault="008B4DF8" w:rsidP="00004025">
            <w:pPr>
              <w:pStyle w:val="72TabletextTablesTableFigureBoxstyles"/>
              <w:rPr>
                <w:lang w:eastAsia="en-GB"/>
              </w:rPr>
            </w:pPr>
            <w:r w:rsidRPr="00C1603D">
              <w:rPr>
                <w:lang w:eastAsia="en-GB"/>
              </w:rPr>
              <w:t>8</w:t>
            </w:r>
          </w:p>
        </w:tc>
        <w:tc>
          <w:tcPr>
            <w:tcW w:w="0" w:type="auto"/>
            <w:shd w:val="clear" w:color="000000" w:fill="FFFFFF"/>
          </w:tcPr>
          <w:p w14:paraId="76C4B7CF" w14:textId="20F0935E" w:rsidR="008B4DF8" w:rsidRPr="00C1603D" w:rsidRDefault="008B4DF8" w:rsidP="00004025">
            <w:pPr>
              <w:pStyle w:val="72TabletextTablesTableFigureBoxstyles"/>
              <w:rPr>
                <w:lang w:eastAsia="en-GB"/>
              </w:rPr>
            </w:pPr>
            <w:r w:rsidRPr="00C1603D">
              <w:rPr>
                <w:lang w:eastAsia="en-GB"/>
              </w:rPr>
              <w:t>24</w:t>
            </w:r>
            <w:r w:rsidR="00BF08D7" w:rsidRPr="00C1603D">
              <w:rPr>
                <w:lang w:eastAsia="en-GB"/>
              </w:rPr>
              <w:t>,</w:t>
            </w:r>
            <w:r w:rsidRPr="00C1603D">
              <w:rPr>
                <w:lang w:eastAsia="en-GB"/>
              </w:rPr>
              <w:t>741</w:t>
            </w:r>
          </w:p>
        </w:tc>
        <w:tc>
          <w:tcPr>
            <w:tcW w:w="0" w:type="auto"/>
            <w:shd w:val="clear" w:color="000000" w:fill="FFFFFF"/>
          </w:tcPr>
          <w:p w14:paraId="73CC7456" w14:textId="77777777" w:rsidR="008B4DF8" w:rsidRPr="00C1603D" w:rsidRDefault="008B4DF8" w:rsidP="00004025">
            <w:pPr>
              <w:pStyle w:val="72TabletextTablesTableFigureBoxstyles"/>
              <w:rPr>
                <w:lang w:eastAsia="en-GB"/>
              </w:rPr>
            </w:pPr>
            <w:r w:rsidRPr="00C1603D">
              <w:rPr>
                <w:lang w:eastAsia="en-GB"/>
              </w:rPr>
              <w:t>549</w:t>
            </w:r>
          </w:p>
        </w:tc>
        <w:tc>
          <w:tcPr>
            <w:tcW w:w="0" w:type="auto"/>
            <w:shd w:val="clear" w:color="000000" w:fill="FFFFFF"/>
          </w:tcPr>
          <w:p w14:paraId="0597F611" w14:textId="77777777" w:rsidR="008B4DF8" w:rsidRPr="00C1603D" w:rsidRDefault="008B4DF8" w:rsidP="00004025">
            <w:pPr>
              <w:pStyle w:val="72TabletextTablesTableFigureBoxstyles"/>
              <w:rPr>
                <w:color w:val="auto"/>
                <w:lang w:eastAsia="en-GB"/>
              </w:rPr>
            </w:pPr>
            <w:r w:rsidRPr="00C1603D">
              <w:rPr>
                <w:color w:val="auto"/>
                <w:lang w:eastAsia="en-GB"/>
              </w:rPr>
              <w:t xml:space="preserve">Adults, </w:t>
            </w:r>
            <w:r w:rsidRPr="00C1603D">
              <w:rPr>
                <w:i/>
                <w:color w:val="auto"/>
                <w:lang w:eastAsia="en-GB"/>
              </w:rPr>
              <w:t>n</w:t>
            </w:r>
            <w:r w:rsidRPr="00C1603D">
              <w:rPr>
                <w:color w:val="auto"/>
                <w:lang w:eastAsia="en-GB"/>
              </w:rPr>
              <w:t> = 8</w:t>
            </w:r>
          </w:p>
        </w:tc>
        <w:tc>
          <w:tcPr>
            <w:tcW w:w="0" w:type="auto"/>
            <w:shd w:val="clear" w:color="000000" w:fill="FFFFFF"/>
          </w:tcPr>
          <w:p w14:paraId="1ADE3005" w14:textId="5F388E31" w:rsidR="00FA7DAA" w:rsidRPr="00C1603D" w:rsidRDefault="00B25FE9" w:rsidP="00FA7DAA">
            <w:pPr>
              <w:pStyle w:val="722TablebulletlistTablesTableFigureBoxstyles"/>
              <w:rPr>
                <w:lang w:eastAsia="en-GB"/>
              </w:rPr>
            </w:pPr>
            <w:r w:rsidRPr="00C1603D">
              <w:rPr>
                <w:lang w:eastAsia="en-GB"/>
              </w:rPr>
              <w:t>Case–control</w:t>
            </w:r>
            <w:r w:rsidR="008B4DF8" w:rsidRPr="00C1603D">
              <w:rPr>
                <w:lang w:eastAsia="en-GB"/>
              </w:rPr>
              <w:t xml:space="preserve"> (DI)</w:t>
            </w:r>
            <w:r w:rsidR="00FA7DAA"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3</w:t>
            </w:r>
          </w:p>
          <w:p w14:paraId="67A4008E" w14:textId="77777777" w:rsidR="00FA7DAA" w:rsidRPr="00C1603D" w:rsidRDefault="008B4DF8" w:rsidP="00FA7DAA">
            <w:pPr>
              <w:pStyle w:val="722TablebulletlistTablesTableFigureBoxstyles"/>
              <w:rPr>
                <w:lang w:eastAsia="en-GB"/>
              </w:rPr>
            </w:pPr>
            <w:r w:rsidRPr="00C1603D">
              <w:rPr>
                <w:lang w:eastAsia="en-GB"/>
              </w:rPr>
              <w:t>Nested case–control (CD)</w:t>
            </w:r>
            <w:r w:rsidR="00FA7DAA" w:rsidRPr="00C1603D">
              <w:rPr>
                <w:lang w:eastAsia="en-GB"/>
              </w:rPr>
              <w:t>,</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1</w:t>
            </w:r>
          </w:p>
          <w:p w14:paraId="31C7902A" w14:textId="2E96BB81" w:rsidR="008B4DF8" w:rsidRPr="00C1603D" w:rsidRDefault="008B4DF8" w:rsidP="00FA7DAA">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4</w:t>
            </w:r>
          </w:p>
        </w:tc>
        <w:tc>
          <w:tcPr>
            <w:tcW w:w="0" w:type="auto"/>
            <w:shd w:val="clear" w:color="000000" w:fill="FFFFFF"/>
          </w:tcPr>
          <w:p w14:paraId="7BFC913C" w14:textId="77777777" w:rsidR="00FA7DAA" w:rsidRPr="00C1603D" w:rsidRDefault="008B4DF8" w:rsidP="00FA7DAA">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3</w:t>
            </w:r>
          </w:p>
          <w:p w14:paraId="4FF2789E" w14:textId="7BEADBBB" w:rsidR="008B4DF8" w:rsidRPr="00C1603D" w:rsidRDefault="008B4DF8" w:rsidP="00FA7DAA">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5</w:t>
            </w:r>
          </w:p>
        </w:tc>
        <w:tc>
          <w:tcPr>
            <w:tcW w:w="0" w:type="auto"/>
            <w:shd w:val="clear" w:color="000000" w:fill="FFFFFF"/>
          </w:tcPr>
          <w:p w14:paraId="69417C80" w14:textId="77777777" w:rsidR="00FA7DAA" w:rsidRPr="00C1603D" w:rsidRDefault="008B4DF8" w:rsidP="00FA7DAA">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7</w:t>
            </w:r>
          </w:p>
          <w:p w14:paraId="240A2BAD" w14:textId="39A94AD8" w:rsidR="008B4DF8" w:rsidRPr="00C1603D" w:rsidRDefault="00FA7DAA" w:rsidP="00FA7DAA">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1</w:t>
            </w:r>
          </w:p>
        </w:tc>
      </w:tr>
      <w:tr w:rsidR="00CB1142" w:rsidRPr="00C1603D" w14:paraId="7FABB2B9" w14:textId="77777777" w:rsidTr="00004025">
        <w:trPr>
          <w:cantSplit/>
        </w:trPr>
        <w:tc>
          <w:tcPr>
            <w:tcW w:w="0" w:type="auto"/>
            <w:shd w:val="clear" w:color="000000" w:fill="FFFFFF"/>
          </w:tcPr>
          <w:p w14:paraId="1C02C69F" w14:textId="77777777" w:rsidR="008B4DF8" w:rsidRPr="00C1603D" w:rsidRDefault="008B4DF8" w:rsidP="00004025">
            <w:pPr>
              <w:pStyle w:val="72TabletextTablesTableFigureBoxstyles"/>
              <w:rPr>
                <w:lang w:eastAsia="en-GB"/>
              </w:rPr>
            </w:pPr>
            <w:r w:rsidRPr="00C1603D">
              <w:rPr>
                <w:lang w:eastAsia="en-GB"/>
              </w:rPr>
              <w:t>Inflammatory bowel disease</w:t>
            </w:r>
          </w:p>
        </w:tc>
        <w:tc>
          <w:tcPr>
            <w:tcW w:w="0" w:type="auto"/>
            <w:shd w:val="clear" w:color="000000" w:fill="FFFFFF"/>
          </w:tcPr>
          <w:p w14:paraId="318A8174" w14:textId="77777777" w:rsidR="008B4DF8" w:rsidRPr="00C1603D" w:rsidRDefault="008B4DF8" w:rsidP="00004025">
            <w:pPr>
              <w:pStyle w:val="72TabletextTablesTableFigureBoxstyles"/>
              <w:rPr>
                <w:lang w:eastAsia="en-GB"/>
              </w:rPr>
            </w:pPr>
            <w:r w:rsidRPr="00C1603D">
              <w:rPr>
                <w:lang w:eastAsia="en-GB"/>
              </w:rPr>
              <w:t>Ulcerative colitis, Crohn</w:t>
            </w:r>
            <w:r w:rsidRPr="00C1603D">
              <w:rPr>
                <w:color w:val="00B0F0"/>
                <w:lang w:eastAsia="en-GB"/>
              </w:rPr>
              <w:t>’</w:t>
            </w:r>
            <w:r w:rsidRPr="00C1603D">
              <w:rPr>
                <w:lang w:eastAsia="en-GB"/>
              </w:rPr>
              <w:t>s disease</w:t>
            </w:r>
          </w:p>
        </w:tc>
        <w:tc>
          <w:tcPr>
            <w:tcW w:w="0" w:type="auto"/>
            <w:shd w:val="clear" w:color="000000" w:fill="FFFFFF"/>
          </w:tcPr>
          <w:p w14:paraId="299501C1" w14:textId="77777777" w:rsidR="008B4DF8" w:rsidRPr="00C1603D" w:rsidRDefault="008B4DF8" w:rsidP="00004025">
            <w:pPr>
              <w:pStyle w:val="72TabletextTablesTableFigureBoxstyles"/>
              <w:rPr>
                <w:lang w:eastAsia="en-GB"/>
              </w:rPr>
            </w:pPr>
            <w:r w:rsidRPr="00C1603D">
              <w:rPr>
                <w:lang w:eastAsia="en-GB"/>
              </w:rPr>
              <w:t>6</w:t>
            </w:r>
          </w:p>
        </w:tc>
        <w:tc>
          <w:tcPr>
            <w:tcW w:w="0" w:type="auto"/>
            <w:shd w:val="clear" w:color="000000" w:fill="FFFFFF"/>
          </w:tcPr>
          <w:p w14:paraId="54710EF2" w14:textId="48523DD0" w:rsidR="008B4DF8" w:rsidRPr="00C1603D" w:rsidRDefault="008B4DF8" w:rsidP="00004025">
            <w:pPr>
              <w:pStyle w:val="72TabletextTablesTableFigureBoxstyles"/>
              <w:rPr>
                <w:lang w:eastAsia="en-GB"/>
              </w:rPr>
            </w:pPr>
            <w:r w:rsidRPr="00C1603D">
              <w:rPr>
                <w:lang w:eastAsia="en-GB"/>
              </w:rPr>
              <w:t>2886</w:t>
            </w:r>
          </w:p>
        </w:tc>
        <w:tc>
          <w:tcPr>
            <w:tcW w:w="0" w:type="auto"/>
            <w:shd w:val="clear" w:color="000000" w:fill="FFFFFF"/>
          </w:tcPr>
          <w:p w14:paraId="10573ED9" w14:textId="77777777" w:rsidR="008B4DF8" w:rsidRPr="00C1603D" w:rsidRDefault="008B4DF8" w:rsidP="00004025">
            <w:pPr>
              <w:pStyle w:val="72TabletextTablesTableFigureBoxstyles"/>
              <w:rPr>
                <w:lang w:eastAsia="en-GB"/>
              </w:rPr>
            </w:pPr>
            <w:r w:rsidRPr="00C1603D">
              <w:rPr>
                <w:lang w:eastAsia="en-GB"/>
              </w:rPr>
              <w:t>32</w:t>
            </w:r>
          </w:p>
        </w:tc>
        <w:tc>
          <w:tcPr>
            <w:tcW w:w="0" w:type="auto"/>
            <w:shd w:val="clear" w:color="000000" w:fill="FFFFFF"/>
          </w:tcPr>
          <w:p w14:paraId="6F2AD706" w14:textId="77777777" w:rsidR="00FA7DAA" w:rsidRPr="00C1603D" w:rsidRDefault="008B4DF8" w:rsidP="00FA7DAA">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4</w:t>
            </w:r>
          </w:p>
          <w:p w14:paraId="731F6B64" w14:textId="77777777" w:rsidR="00FA7DAA" w:rsidRPr="00C1603D" w:rsidRDefault="008B4DF8" w:rsidP="00FA7DAA">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1</w:t>
            </w:r>
          </w:p>
          <w:p w14:paraId="7E12B1A4" w14:textId="505F4D25" w:rsidR="008B4DF8" w:rsidRPr="00C1603D" w:rsidRDefault="008B4DF8" w:rsidP="00FA7DAA">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1</w:t>
            </w:r>
          </w:p>
        </w:tc>
        <w:tc>
          <w:tcPr>
            <w:tcW w:w="0" w:type="auto"/>
            <w:shd w:val="clear" w:color="000000" w:fill="FFFFFF"/>
          </w:tcPr>
          <w:p w14:paraId="2E35E43B" w14:textId="03EB1E5A" w:rsidR="008B4DF8" w:rsidRPr="00C1603D" w:rsidRDefault="00B25FE9" w:rsidP="00004025">
            <w:pPr>
              <w:pStyle w:val="72TabletextTablesTableFigureBoxstyles"/>
              <w:rPr>
                <w:color w:val="auto"/>
                <w:lang w:val="it-IT" w:eastAsia="en-GB"/>
              </w:rPr>
            </w:pPr>
            <w:r w:rsidRPr="00C1603D">
              <w:rPr>
                <w:color w:val="auto"/>
                <w:lang w:val="it-IT" w:eastAsia="en-GB"/>
              </w:rPr>
              <w:t>Case–control</w:t>
            </w:r>
            <w:r w:rsidR="008B4DF8" w:rsidRPr="00C1603D">
              <w:rPr>
                <w:color w:val="auto"/>
                <w:lang w:val="it-IT" w:eastAsia="en-GB"/>
              </w:rPr>
              <w:t xml:space="preserve"> (DI)</w:t>
            </w:r>
            <w:r w:rsidR="00FA7DAA" w:rsidRPr="00C1603D">
              <w:rPr>
                <w:color w:val="auto"/>
                <w:lang w:val="it-IT" w:eastAsia="en-GB"/>
              </w:rPr>
              <w:t>,</w:t>
            </w:r>
            <w:r w:rsidR="008B4DF8" w:rsidRPr="00C1603D">
              <w:rPr>
                <w:color w:val="auto"/>
                <w:vertAlign w:val="superscript"/>
                <w:lang w:val="it-IT" w:eastAsia="en-GB"/>
              </w:rPr>
              <w:t>a</w:t>
            </w:r>
            <w:r w:rsidR="008B4DF8" w:rsidRPr="00C1603D">
              <w:rPr>
                <w:color w:val="auto"/>
                <w:lang w:val="it-IT" w:eastAsia="en-GB"/>
              </w:rPr>
              <w:t xml:space="preserve"> </w:t>
            </w:r>
            <w:r w:rsidR="008B4DF8" w:rsidRPr="00C1603D">
              <w:rPr>
                <w:i/>
                <w:color w:val="auto"/>
                <w:lang w:val="it-IT" w:eastAsia="en-GB"/>
              </w:rPr>
              <w:t>n</w:t>
            </w:r>
            <w:r w:rsidR="008B4DF8" w:rsidRPr="00C1603D">
              <w:rPr>
                <w:color w:val="auto"/>
                <w:lang w:eastAsia="en-GB"/>
              </w:rPr>
              <w:t> = </w:t>
            </w:r>
            <w:r w:rsidR="008B4DF8" w:rsidRPr="00C1603D">
              <w:rPr>
                <w:color w:val="auto"/>
                <w:lang w:val="it-IT" w:eastAsia="en-GB"/>
              </w:rPr>
              <w:t>6</w:t>
            </w:r>
          </w:p>
        </w:tc>
        <w:tc>
          <w:tcPr>
            <w:tcW w:w="0" w:type="auto"/>
            <w:shd w:val="clear" w:color="000000" w:fill="FFFFFF"/>
          </w:tcPr>
          <w:p w14:paraId="64816474" w14:textId="77777777" w:rsidR="008B4DF8" w:rsidRPr="00C1603D" w:rsidRDefault="008B4DF8" w:rsidP="00004025">
            <w:pPr>
              <w:pStyle w:val="72TabletextTablesTableFigureBoxstyles"/>
              <w:rPr>
                <w:color w:val="auto"/>
                <w:lang w:eastAsia="en-GB"/>
              </w:rPr>
            </w:pPr>
            <w:r w:rsidRPr="00C1603D">
              <w:rPr>
                <w:color w:val="auto"/>
                <w:lang w:eastAsia="en-GB"/>
              </w:rPr>
              <w:t xml:space="preserve">Healthy controls, </w:t>
            </w:r>
            <w:r w:rsidRPr="00C1603D">
              <w:rPr>
                <w:i/>
                <w:color w:val="auto"/>
                <w:lang w:eastAsia="en-GB"/>
              </w:rPr>
              <w:t>n</w:t>
            </w:r>
            <w:r w:rsidRPr="00C1603D">
              <w:rPr>
                <w:color w:val="auto"/>
                <w:lang w:eastAsia="en-GB"/>
              </w:rPr>
              <w:t> = 6</w:t>
            </w:r>
          </w:p>
        </w:tc>
        <w:tc>
          <w:tcPr>
            <w:tcW w:w="0" w:type="auto"/>
            <w:shd w:val="clear" w:color="000000" w:fill="FFFFFF"/>
          </w:tcPr>
          <w:p w14:paraId="58C72A91" w14:textId="77777777" w:rsidR="00FA7DAA" w:rsidRPr="00C1603D" w:rsidRDefault="008B4DF8" w:rsidP="00FA7DAA">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3</w:t>
            </w:r>
          </w:p>
          <w:p w14:paraId="52F798BF" w14:textId="2BFF03A7" w:rsidR="008B4DF8" w:rsidRPr="00C1603D" w:rsidRDefault="00FA7DAA" w:rsidP="00FA7DAA">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3</w:t>
            </w:r>
          </w:p>
        </w:tc>
      </w:tr>
      <w:tr w:rsidR="00CB1142" w:rsidRPr="00C1603D" w14:paraId="6F857644" w14:textId="77777777" w:rsidTr="00004025">
        <w:trPr>
          <w:cantSplit/>
        </w:trPr>
        <w:tc>
          <w:tcPr>
            <w:tcW w:w="0" w:type="auto"/>
            <w:shd w:val="clear" w:color="000000" w:fill="FFFFFF"/>
          </w:tcPr>
          <w:p w14:paraId="78F44D27" w14:textId="1B6F5113" w:rsidR="008B4DF8" w:rsidRPr="00C1603D" w:rsidRDefault="00C82170" w:rsidP="00004025">
            <w:pPr>
              <w:pStyle w:val="72TabletextTablesTableFigureBoxstyles"/>
              <w:rPr>
                <w:lang w:eastAsia="en-GB"/>
              </w:rPr>
            </w:pPr>
            <w:r w:rsidRPr="00C1603D">
              <w:rPr>
                <w:lang w:eastAsia="en-GB"/>
              </w:rPr>
              <w:t>IBS</w:t>
            </w:r>
          </w:p>
        </w:tc>
        <w:tc>
          <w:tcPr>
            <w:tcW w:w="0" w:type="auto"/>
            <w:shd w:val="clear" w:color="000000" w:fill="FFFFFF"/>
          </w:tcPr>
          <w:p w14:paraId="4F40CB60" w14:textId="6829DF7C" w:rsidR="008B4DF8" w:rsidRPr="00C1603D" w:rsidRDefault="00C82170" w:rsidP="00004025">
            <w:pPr>
              <w:pStyle w:val="72TabletextTablesTableFigureBoxstyles"/>
              <w:rPr>
                <w:lang w:eastAsia="en-GB"/>
              </w:rPr>
            </w:pPr>
            <w:r w:rsidRPr="00C1603D">
              <w:rPr>
                <w:lang w:eastAsia="en-GB"/>
              </w:rPr>
              <w:t>IBS</w:t>
            </w:r>
            <w:r w:rsidR="008B4DF8" w:rsidRPr="00C1603D">
              <w:rPr>
                <w:lang w:eastAsia="en-GB"/>
              </w:rPr>
              <w:t xml:space="preserve">, functional </w:t>
            </w:r>
            <w:r w:rsidR="00807C54" w:rsidRPr="00C1603D">
              <w:rPr>
                <w:lang w:eastAsia="en-GB"/>
              </w:rPr>
              <w:t>GI</w:t>
            </w:r>
            <w:r w:rsidR="008B4DF8" w:rsidRPr="00C1603D">
              <w:rPr>
                <w:lang w:eastAsia="en-GB"/>
              </w:rPr>
              <w:t xml:space="preserve"> disorder</w:t>
            </w:r>
          </w:p>
        </w:tc>
        <w:tc>
          <w:tcPr>
            <w:tcW w:w="0" w:type="auto"/>
            <w:shd w:val="clear" w:color="000000" w:fill="FFFFFF"/>
          </w:tcPr>
          <w:p w14:paraId="03C7059C" w14:textId="77777777" w:rsidR="008B4DF8" w:rsidRPr="00C1603D" w:rsidRDefault="008B4DF8" w:rsidP="00004025">
            <w:pPr>
              <w:pStyle w:val="72TabletextTablesTableFigureBoxstyles"/>
              <w:rPr>
                <w:lang w:eastAsia="en-GB"/>
              </w:rPr>
            </w:pPr>
            <w:r w:rsidRPr="00C1603D">
              <w:rPr>
                <w:lang w:eastAsia="en-GB"/>
              </w:rPr>
              <w:t>18</w:t>
            </w:r>
          </w:p>
        </w:tc>
        <w:tc>
          <w:tcPr>
            <w:tcW w:w="0" w:type="auto"/>
            <w:shd w:val="clear" w:color="000000" w:fill="FFFFFF"/>
          </w:tcPr>
          <w:p w14:paraId="052EDC16" w14:textId="77777777" w:rsidR="008B4DF8" w:rsidRPr="00C1603D" w:rsidRDefault="008B4DF8" w:rsidP="00004025">
            <w:pPr>
              <w:pStyle w:val="72TabletextTablesTableFigureBoxstyles"/>
              <w:rPr>
                <w:lang w:eastAsia="en-GB"/>
              </w:rPr>
            </w:pPr>
            <w:r w:rsidRPr="00C1603D">
              <w:rPr>
                <w:lang w:eastAsia="en-GB"/>
              </w:rPr>
              <w:t>18,446</w:t>
            </w:r>
          </w:p>
        </w:tc>
        <w:tc>
          <w:tcPr>
            <w:tcW w:w="0" w:type="auto"/>
            <w:shd w:val="clear" w:color="000000" w:fill="FFFFFF"/>
          </w:tcPr>
          <w:p w14:paraId="71BDE41F" w14:textId="77777777" w:rsidR="008B4DF8" w:rsidRPr="00C1603D" w:rsidRDefault="008B4DF8" w:rsidP="00004025">
            <w:pPr>
              <w:pStyle w:val="72TabletextTablesTableFigureBoxstyles"/>
              <w:rPr>
                <w:lang w:eastAsia="en-GB"/>
              </w:rPr>
            </w:pPr>
            <w:r w:rsidRPr="00C1603D">
              <w:rPr>
                <w:lang w:eastAsia="en-GB"/>
              </w:rPr>
              <w:t>842</w:t>
            </w:r>
          </w:p>
        </w:tc>
        <w:tc>
          <w:tcPr>
            <w:tcW w:w="0" w:type="auto"/>
            <w:shd w:val="clear" w:color="000000" w:fill="FFFFFF"/>
          </w:tcPr>
          <w:p w14:paraId="40BC6793" w14:textId="77777777" w:rsidR="00FA7DAA" w:rsidRPr="00C1603D" w:rsidRDefault="008B4DF8" w:rsidP="00CF6A43">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17</w:t>
            </w:r>
          </w:p>
          <w:p w14:paraId="1CE578F1" w14:textId="29EE944F" w:rsidR="008B4DF8" w:rsidRPr="00C1603D" w:rsidRDefault="008B4DF8" w:rsidP="00CF6A43">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1</w:t>
            </w:r>
          </w:p>
        </w:tc>
        <w:tc>
          <w:tcPr>
            <w:tcW w:w="0" w:type="auto"/>
            <w:shd w:val="clear" w:color="000000" w:fill="FFFFFF"/>
          </w:tcPr>
          <w:p w14:paraId="27FA92A7" w14:textId="77777777" w:rsidR="00086B4E" w:rsidRPr="00C1603D" w:rsidRDefault="00B25FE9" w:rsidP="00CF6A43">
            <w:pPr>
              <w:pStyle w:val="722TablebulletlistTablesTableFigureBoxstyles"/>
              <w:rPr>
                <w:lang w:eastAsia="en-GB"/>
              </w:rPr>
            </w:pPr>
            <w:r w:rsidRPr="00C1603D">
              <w:rPr>
                <w:lang w:eastAsia="en-GB"/>
              </w:rPr>
              <w:t>Case–control</w:t>
            </w:r>
            <w:r w:rsidR="008B4DF8" w:rsidRPr="00C1603D">
              <w:rPr>
                <w:lang w:eastAsia="en-GB"/>
              </w:rPr>
              <w:t xml:space="preserve"> (DI)</w:t>
            </w:r>
            <w:r w:rsidR="00086B4E"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12</w:t>
            </w:r>
          </w:p>
          <w:p w14:paraId="6A7A8EED" w14:textId="77777777" w:rsidR="00CF6A43" w:rsidRPr="00C1603D" w:rsidRDefault="008B4DF8" w:rsidP="00CF6A43">
            <w:pPr>
              <w:pStyle w:val="722TablebulletlistTablesTableFigureBoxstyles"/>
              <w:rPr>
                <w:lang w:eastAsia="en-GB"/>
              </w:rPr>
            </w:pPr>
            <w:r w:rsidRPr="00C1603D">
              <w:rPr>
                <w:lang w:eastAsia="en-GB"/>
              </w:rPr>
              <w:t>Nested case–control (DI)</w:t>
            </w:r>
            <w:r w:rsidR="00086B4E" w:rsidRPr="00C1603D">
              <w:rPr>
                <w:lang w:eastAsia="en-GB"/>
              </w:rPr>
              <w:t>,</w:t>
            </w:r>
            <w:r w:rsidRPr="00C1603D">
              <w:rPr>
                <w:vertAlign w:val="superscript"/>
                <w:lang w:eastAsia="en-GB"/>
              </w:rPr>
              <w:t>a</w:t>
            </w:r>
            <w:r w:rsidRPr="00C1603D">
              <w:rPr>
                <w:lang w:eastAsia="en-GB"/>
              </w:rPr>
              <w:t xml:space="preserve"> </w:t>
            </w:r>
            <w:r w:rsidRPr="00C1603D">
              <w:rPr>
                <w:i/>
                <w:lang w:eastAsia="en-GB"/>
              </w:rPr>
              <w:t>n</w:t>
            </w:r>
            <w:r w:rsidRPr="00C1603D">
              <w:rPr>
                <w:lang w:eastAsia="en-GB"/>
              </w:rPr>
              <w:t> = 1</w:t>
            </w:r>
          </w:p>
          <w:p w14:paraId="26356FC6" w14:textId="48C78A70" w:rsidR="00CF6A43" w:rsidRPr="00C1603D" w:rsidRDefault="008B4DF8" w:rsidP="00CF6A43">
            <w:pPr>
              <w:pStyle w:val="722TablebulletlistTablesTableFigureBoxstyles"/>
              <w:rPr>
                <w:lang w:eastAsia="en-GB"/>
              </w:rPr>
            </w:pPr>
            <w:commentRangeStart w:id="576"/>
            <w:r w:rsidRPr="00C1603D">
              <w:rPr>
                <w:lang w:eastAsia="en-GB"/>
              </w:rPr>
              <w:t>Nested case–control (CD)</w:t>
            </w:r>
            <w:r w:rsidR="00CF6A43" w:rsidRPr="00C1603D">
              <w:rPr>
                <w:lang w:eastAsia="en-GB"/>
              </w:rPr>
              <w:t>,</w:t>
            </w:r>
            <w:r w:rsidR="00322EB9" w:rsidRPr="00C1603D">
              <w:rPr>
                <w:vertAlign w:val="superscript"/>
                <w:lang w:eastAsia="en-GB"/>
              </w:rPr>
              <w:t>b</w:t>
            </w:r>
            <w:r w:rsidRPr="00C1603D">
              <w:rPr>
                <w:lang w:eastAsia="en-GB"/>
              </w:rPr>
              <w:t xml:space="preserve"> </w:t>
            </w:r>
            <w:r w:rsidRPr="00C1603D">
              <w:rPr>
                <w:i/>
                <w:lang w:eastAsia="en-GB"/>
              </w:rPr>
              <w:t>n</w:t>
            </w:r>
            <w:r w:rsidRPr="00C1603D">
              <w:rPr>
                <w:lang w:eastAsia="en-GB"/>
              </w:rPr>
              <w:t> = 2</w:t>
            </w:r>
            <w:commentRangeEnd w:id="576"/>
            <w:r w:rsidR="00CB1142" w:rsidRPr="00C1603D">
              <w:rPr>
                <w:rFonts w:ascii="Times New Roman" w:hAnsi="Times New Roman" w:cs="Times New Roman"/>
                <w:color w:val="auto"/>
                <w:lang w:val="en-US"/>
              </w:rPr>
              <w:commentReference w:id="576"/>
            </w:r>
          </w:p>
          <w:p w14:paraId="2A5D7CCF" w14:textId="214D1BEF" w:rsidR="008B4DF8" w:rsidRPr="00C1603D" w:rsidRDefault="008B4DF8" w:rsidP="00CF6A43">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3</w:t>
            </w:r>
          </w:p>
        </w:tc>
        <w:tc>
          <w:tcPr>
            <w:tcW w:w="0" w:type="auto"/>
            <w:shd w:val="clear" w:color="000000" w:fill="FFFFFF"/>
          </w:tcPr>
          <w:p w14:paraId="79C4EF3B" w14:textId="77777777" w:rsidR="00CF6A43" w:rsidRPr="00C1603D" w:rsidRDefault="008B4DF8" w:rsidP="00CF6A43">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12</w:t>
            </w:r>
          </w:p>
          <w:p w14:paraId="5F89E112" w14:textId="5F4F217F" w:rsidR="008B4DF8" w:rsidRPr="00C1603D" w:rsidRDefault="008B4DF8" w:rsidP="00CF6A43">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6</w:t>
            </w:r>
          </w:p>
        </w:tc>
        <w:tc>
          <w:tcPr>
            <w:tcW w:w="0" w:type="auto"/>
            <w:shd w:val="clear" w:color="000000" w:fill="FFFFFF"/>
          </w:tcPr>
          <w:p w14:paraId="50F9C25A" w14:textId="77777777" w:rsidR="00CF6A43" w:rsidRPr="00C1603D" w:rsidRDefault="008B4DF8" w:rsidP="00CF6A43">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11</w:t>
            </w:r>
          </w:p>
          <w:p w14:paraId="478C6181" w14:textId="1645185B" w:rsidR="008B4DF8" w:rsidRPr="00C1603D" w:rsidRDefault="00CF6A43" w:rsidP="00CF6A43">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7</w:t>
            </w:r>
          </w:p>
        </w:tc>
      </w:tr>
      <w:tr w:rsidR="00CB1142" w:rsidRPr="00C1603D" w14:paraId="2BCF2888" w14:textId="77777777" w:rsidTr="00004025">
        <w:trPr>
          <w:cantSplit/>
        </w:trPr>
        <w:tc>
          <w:tcPr>
            <w:tcW w:w="0" w:type="auto"/>
            <w:shd w:val="clear" w:color="000000" w:fill="FFFFFF"/>
          </w:tcPr>
          <w:p w14:paraId="6E16F7D3" w14:textId="77777777" w:rsidR="008B4DF8" w:rsidRPr="00C1603D" w:rsidRDefault="008B4DF8" w:rsidP="00004025">
            <w:pPr>
              <w:pStyle w:val="72TabletextTablesTableFigureBoxstyles"/>
              <w:rPr>
                <w:lang w:eastAsia="en-GB"/>
              </w:rPr>
            </w:pPr>
            <w:r w:rsidRPr="00C1603D">
              <w:rPr>
                <w:lang w:eastAsia="en-GB"/>
              </w:rPr>
              <w:t>Migraine</w:t>
            </w:r>
          </w:p>
        </w:tc>
        <w:tc>
          <w:tcPr>
            <w:tcW w:w="0" w:type="auto"/>
            <w:shd w:val="clear" w:color="000000" w:fill="FFFFFF"/>
          </w:tcPr>
          <w:p w14:paraId="022E53DD" w14:textId="77777777" w:rsidR="008B4DF8" w:rsidRPr="00C1603D" w:rsidRDefault="008B4DF8" w:rsidP="00004025">
            <w:pPr>
              <w:pStyle w:val="72TabletextTablesTableFigureBoxstyles"/>
              <w:rPr>
                <w:lang w:eastAsia="en-GB"/>
              </w:rPr>
            </w:pPr>
            <w:r w:rsidRPr="00C1603D">
              <w:rPr>
                <w:lang w:eastAsia="en-GB"/>
              </w:rPr>
              <w:t>Migraine</w:t>
            </w:r>
          </w:p>
        </w:tc>
        <w:tc>
          <w:tcPr>
            <w:tcW w:w="0" w:type="auto"/>
            <w:shd w:val="clear" w:color="000000" w:fill="FFFFFF"/>
          </w:tcPr>
          <w:p w14:paraId="465402A7" w14:textId="77777777" w:rsidR="008B4DF8" w:rsidRPr="00C1603D" w:rsidRDefault="008B4DF8" w:rsidP="00004025">
            <w:pPr>
              <w:pStyle w:val="72TabletextTablesTableFigureBoxstyles"/>
              <w:rPr>
                <w:lang w:eastAsia="en-GB"/>
              </w:rPr>
            </w:pPr>
            <w:r w:rsidRPr="00C1603D">
              <w:rPr>
                <w:lang w:eastAsia="en-GB"/>
              </w:rPr>
              <w:t>5</w:t>
            </w:r>
          </w:p>
        </w:tc>
        <w:tc>
          <w:tcPr>
            <w:tcW w:w="0" w:type="auto"/>
            <w:shd w:val="clear" w:color="000000" w:fill="FFFFFF"/>
          </w:tcPr>
          <w:p w14:paraId="1FF69172" w14:textId="161A250A" w:rsidR="008B4DF8" w:rsidRPr="00C1603D" w:rsidRDefault="008B4DF8" w:rsidP="00004025">
            <w:pPr>
              <w:pStyle w:val="72TabletextTablesTableFigureBoxstyles"/>
              <w:rPr>
                <w:lang w:eastAsia="en-GB"/>
              </w:rPr>
            </w:pPr>
            <w:r w:rsidRPr="00C1603D">
              <w:rPr>
                <w:lang w:eastAsia="en-GB"/>
              </w:rPr>
              <w:t>2478</w:t>
            </w:r>
          </w:p>
        </w:tc>
        <w:tc>
          <w:tcPr>
            <w:tcW w:w="0" w:type="auto"/>
            <w:shd w:val="clear" w:color="000000" w:fill="FFFFFF"/>
          </w:tcPr>
          <w:p w14:paraId="5136858D" w14:textId="77777777" w:rsidR="008B4DF8" w:rsidRPr="00C1603D" w:rsidRDefault="008B4DF8" w:rsidP="00004025">
            <w:pPr>
              <w:pStyle w:val="72TabletextTablesTableFigureBoxstyles"/>
              <w:rPr>
                <w:lang w:eastAsia="en-GB"/>
              </w:rPr>
            </w:pPr>
            <w:r w:rsidRPr="00C1603D">
              <w:rPr>
                <w:lang w:eastAsia="en-GB"/>
              </w:rPr>
              <w:t>42</w:t>
            </w:r>
          </w:p>
        </w:tc>
        <w:tc>
          <w:tcPr>
            <w:tcW w:w="0" w:type="auto"/>
            <w:shd w:val="clear" w:color="000000" w:fill="FFFFFF"/>
          </w:tcPr>
          <w:p w14:paraId="0118907C" w14:textId="77777777" w:rsidR="00CF6A43" w:rsidRPr="00C1603D" w:rsidRDefault="008B4DF8" w:rsidP="00CF6A43">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1</w:t>
            </w:r>
          </w:p>
          <w:p w14:paraId="33AE4279" w14:textId="6F573EFE" w:rsidR="008B4DF8" w:rsidRPr="00C1603D" w:rsidRDefault="008B4DF8" w:rsidP="00CF6A43">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4</w:t>
            </w:r>
          </w:p>
        </w:tc>
        <w:tc>
          <w:tcPr>
            <w:tcW w:w="0" w:type="auto"/>
            <w:shd w:val="clear" w:color="000000" w:fill="FFFFFF"/>
          </w:tcPr>
          <w:p w14:paraId="3F38E40A" w14:textId="0A428D49" w:rsidR="008B4DF8" w:rsidRPr="00C1603D" w:rsidRDefault="00B25FE9" w:rsidP="00004025">
            <w:pPr>
              <w:pStyle w:val="72TabletextTablesTableFigureBoxstyles"/>
              <w:rPr>
                <w:color w:val="auto"/>
                <w:lang w:val="it-IT" w:eastAsia="en-GB"/>
              </w:rPr>
            </w:pPr>
            <w:r w:rsidRPr="00C1603D">
              <w:rPr>
                <w:color w:val="auto"/>
                <w:lang w:val="it-IT" w:eastAsia="en-GB"/>
              </w:rPr>
              <w:t>Case–control</w:t>
            </w:r>
            <w:r w:rsidR="008B4DF8" w:rsidRPr="00C1603D">
              <w:rPr>
                <w:color w:val="auto"/>
                <w:lang w:val="it-IT" w:eastAsia="en-GB"/>
              </w:rPr>
              <w:t xml:space="preserve"> (DI)</w:t>
            </w:r>
            <w:r w:rsidR="00CF6A43" w:rsidRPr="00C1603D">
              <w:rPr>
                <w:color w:val="auto"/>
                <w:lang w:val="it-IT" w:eastAsia="en-GB"/>
              </w:rPr>
              <w:t>,</w:t>
            </w:r>
            <w:r w:rsidR="008B4DF8" w:rsidRPr="00C1603D">
              <w:rPr>
                <w:color w:val="auto"/>
                <w:vertAlign w:val="superscript"/>
                <w:lang w:val="it-IT" w:eastAsia="en-GB"/>
              </w:rPr>
              <w:t>a</w:t>
            </w:r>
            <w:r w:rsidR="008B4DF8" w:rsidRPr="00C1603D">
              <w:rPr>
                <w:color w:val="auto"/>
                <w:lang w:val="it-IT" w:eastAsia="en-GB"/>
              </w:rPr>
              <w:t xml:space="preserve"> </w:t>
            </w:r>
            <w:r w:rsidR="008B4DF8" w:rsidRPr="00C1603D">
              <w:rPr>
                <w:i/>
                <w:color w:val="auto"/>
                <w:lang w:val="it-IT" w:eastAsia="en-GB"/>
              </w:rPr>
              <w:t>n</w:t>
            </w:r>
            <w:r w:rsidR="008B4DF8" w:rsidRPr="00C1603D">
              <w:rPr>
                <w:color w:val="auto"/>
                <w:lang w:eastAsia="en-GB"/>
              </w:rPr>
              <w:t> = </w:t>
            </w:r>
            <w:r w:rsidR="008B4DF8" w:rsidRPr="00C1603D">
              <w:rPr>
                <w:color w:val="auto"/>
                <w:lang w:val="it-IT" w:eastAsia="en-GB"/>
              </w:rPr>
              <w:t>5</w:t>
            </w:r>
          </w:p>
        </w:tc>
        <w:tc>
          <w:tcPr>
            <w:tcW w:w="0" w:type="auto"/>
            <w:shd w:val="clear" w:color="000000" w:fill="FFFFFF"/>
          </w:tcPr>
          <w:p w14:paraId="0491236F" w14:textId="77777777" w:rsidR="008B4DF8" w:rsidRPr="00C1603D" w:rsidRDefault="008B4DF8" w:rsidP="00004025">
            <w:pPr>
              <w:pStyle w:val="72TabletextTablesTableFigureBoxstyles"/>
              <w:rPr>
                <w:color w:val="auto"/>
                <w:lang w:eastAsia="en-GB"/>
              </w:rPr>
            </w:pPr>
            <w:r w:rsidRPr="00C1603D">
              <w:rPr>
                <w:color w:val="auto"/>
                <w:lang w:eastAsia="en-GB"/>
              </w:rPr>
              <w:t xml:space="preserve">Healthy controls, </w:t>
            </w:r>
            <w:r w:rsidRPr="00C1603D">
              <w:rPr>
                <w:i/>
                <w:color w:val="auto"/>
                <w:lang w:eastAsia="en-GB"/>
              </w:rPr>
              <w:t>n</w:t>
            </w:r>
            <w:r w:rsidRPr="00C1603D">
              <w:rPr>
                <w:color w:val="auto"/>
                <w:lang w:eastAsia="en-GB"/>
              </w:rPr>
              <w:t> = 5</w:t>
            </w:r>
          </w:p>
        </w:tc>
        <w:tc>
          <w:tcPr>
            <w:tcW w:w="0" w:type="auto"/>
            <w:shd w:val="clear" w:color="000000" w:fill="FFFFFF"/>
          </w:tcPr>
          <w:p w14:paraId="367148FC" w14:textId="77777777" w:rsidR="00CF6A43" w:rsidRPr="00C1603D" w:rsidRDefault="008B4DF8" w:rsidP="00CF6A43">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2</w:t>
            </w:r>
          </w:p>
          <w:p w14:paraId="4F091DF5" w14:textId="16E0CFEB" w:rsidR="008B4DF8" w:rsidRPr="00C1603D" w:rsidRDefault="00CF6A43" w:rsidP="00CF6A43">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3</w:t>
            </w:r>
          </w:p>
        </w:tc>
      </w:tr>
      <w:tr w:rsidR="00CB1142" w:rsidRPr="00C1603D" w14:paraId="77CB20C0" w14:textId="77777777" w:rsidTr="00004025">
        <w:trPr>
          <w:cantSplit/>
        </w:trPr>
        <w:tc>
          <w:tcPr>
            <w:tcW w:w="0" w:type="auto"/>
            <w:shd w:val="clear" w:color="000000" w:fill="FFFFFF"/>
          </w:tcPr>
          <w:p w14:paraId="4552ABCB" w14:textId="77777777" w:rsidR="008B4DF8" w:rsidRPr="00C1603D" w:rsidRDefault="008B4DF8" w:rsidP="00004025">
            <w:pPr>
              <w:pStyle w:val="72TabletextTablesTableFigureBoxstyles"/>
              <w:rPr>
                <w:lang w:eastAsia="en-GB"/>
              </w:rPr>
            </w:pPr>
            <w:r w:rsidRPr="00C1603D">
              <w:rPr>
                <w:lang w:eastAsia="en-GB"/>
              </w:rPr>
              <w:t>Multiple sclerosis</w:t>
            </w:r>
          </w:p>
        </w:tc>
        <w:tc>
          <w:tcPr>
            <w:tcW w:w="0" w:type="auto"/>
            <w:shd w:val="clear" w:color="000000" w:fill="FFFFFF"/>
          </w:tcPr>
          <w:p w14:paraId="0F95620A" w14:textId="77777777" w:rsidR="008B4DF8" w:rsidRPr="00C1603D" w:rsidRDefault="008B4DF8" w:rsidP="00004025">
            <w:pPr>
              <w:pStyle w:val="72TabletextTablesTableFigureBoxstyles"/>
              <w:rPr>
                <w:lang w:eastAsia="en-GB"/>
              </w:rPr>
            </w:pPr>
            <w:r w:rsidRPr="00C1603D">
              <w:rPr>
                <w:lang w:eastAsia="en-GB"/>
              </w:rPr>
              <w:t>Multiple sclerosis</w:t>
            </w:r>
          </w:p>
        </w:tc>
        <w:tc>
          <w:tcPr>
            <w:tcW w:w="0" w:type="auto"/>
            <w:shd w:val="clear" w:color="000000" w:fill="FFFFFF"/>
          </w:tcPr>
          <w:p w14:paraId="70DEE48F" w14:textId="77777777" w:rsidR="008B4DF8" w:rsidRPr="00C1603D" w:rsidRDefault="008B4DF8" w:rsidP="00004025">
            <w:pPr>
              <w:pStyle w:val="72TabletextTablesTableFigureBoxstyles"/>
              <w:rPr>
                <w:lang w:eastAsia="en-GB"/>
              </w:rPr>
            </w:pPr>
            <w:r w:rsidRPr="00C1603D">
              <w:rPr>
                <w:lang w:eastAsia="en-GB"/>
              </w:rPr>
              <w:t>5</w:t>
            </w:r>
          </w:p>
        </w:tc>
        <w:tc>
          <w:tcPr>
            <w:tcW w:w="0" w:type="auto"/>
            <w:shd w:val="clear" w:color="000000" w:fill="FFFFFF"/>
          </w:tcPr>
          <w:p w14:paraId="31F3345E" w14:textId="040BA742" w:rsidR="008B4DF8" w:rsidRPr="00C1603D" w:rsidRDefault="008B4DF8" w:rsidP="00004025">
            <w:pPr>
              <w:pStyle w:val="72TabletextTablesTableFigureBoxstyles"/>
              <w:rPr>
                <w:lang w:eastAsia="en-GB"/>
              </w:rPr>
            </w:pPr>
            <w:r w:rsidRPr="00C1603D">
              <w:rPr>
                <w:lang w:eastAsia="en-GB"/>
              </w:rPr>
              <w:t>1086</w:t>
            </w:r>
          </w:p>
        </w:tc>
        <w:tc>
          <w:tcPr>
            <w:tcW w:w="0" w:type="auto"/>
            <w:shd w:val="clear" w:color="000000" w:fill="FFFFFF"/>
          </w:tcPr>
          <w:p w14:paraId="5A2CBBB6" w14:textId="77777777" w:rsidR="008B4DF8" w:rsidRPr="00C1603D" w:rsidRDefault="008B4DF8" w:rsidP="00004025">
            <w:pPr>
              <w:pStyle w:val="72TabletextTablesTableFigureBoxstyles"/>
              <w:rPr>
                <w:lang w:eastAsia="en-GB"/>
              </w:rPr>
            </w:pPr>
            <w:r w:rsidRPr="00C1603D">
              <w:rPr>
                <w:lang w:eastAsia="en-GB"/>
              </w:rPr>
              <w:t>12</w:t>
            </w:r>
          </w:p>
        </w:tc>
        <w:tc>
          <w:tcPr>
            <w:tcW w:w="0" w:type="auto"/>
            <w:shd w:val="clear" w:color="000000" w:fill="FFFFFF"/>
          </w:tcPr>
          <w:p w14:paraId="7395382F" w14:textId="77777777" w:rsidR="00CF6A43" w:rsidRPr="00C1603D" w:rsidRDefault="008B4DF8" w:rsidP="00CF6A43">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4</w:t>
            </w:r>
          </w:p>
          <w:p w14:paraId="012A0C7D" w14:textId="5A2FB73B" w:rsidR="008B4DF8" w:rsidRPr="00C1603D" w:rsidRDefault="008B4DF8" w:rsidP="00CF6A43">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1</w:t>
            </w:r>
          </w:p>
        </w:tc>
        <w:tc>
          <w:tcPr>
            <w:tcW w:w="0" w:type="auto"/>
            <w:shd w:val="clear" w:color="000000" w:fill="FFFFFF"/>
          </w:tcPr>
          <w:p w14:paraId="452DC2F2" w14:textId="1B99C287" w:rsidR="008B4DF8" w:rsidRPr="00C1603D" w:rsidRDefault="00B25FE9" w:rsidP="00004025">
            <w:pPr>
              <w:pStyle w:val="72TabletextTablesTableFigureBoxstyles"/>
              <w:rPr>
                <w:color w:val="auto"/>
                <w:lang w:val="it-IT" w:eastAsia="en-GB"/>
              </w:rPr>
            </w:pPr>
            <w:r w:rsidRPr="00C1603D">
              <w:rPr>
                <w:color w:val="auto"/>
                <w:lang w:val="it-IT" w:eastAsia="en-GB"/>
              </w:rPr>
              <w:t>Case–control</w:t>
            </w:r>
            <w:r w:rsidR="008B4DF8" w:rsidRPr="00C1603D">
              <w:rPr>
                <w:color w:val="auto"/>
                <w:lang w:val="it-IT" w:eastAsia="en-GB"/>
              </w:rPr>
              <w:t xml:space="preserve"> (DI)</w:t>
            </w:r>
            <w:r w:rsidR="00CF6A43" w:rsidRPr="00C1603D">
              <w:rPr>
                <w:color w:val="auto"/>
                <w:lang w:val="it-IT" w:eastAsia="en-GB"/>
              </w:rPr>
              <w:t>,</w:t>
            </w:r>
            <w:r w:rsidR="008B4DF8" w:rsidRPr="00C1603D">
              <w:rPr>
                <w:color w:val="auto"/>
                <w:vertAlign w:val="superscript"/>
                <w:lang w:val="it-IT" w:eastAsia="en-GB"/>
              </w:rPr>
              <w:t>a</w:t>
            </w:r>
            <w:r w:rsidR="008B4DF8" w:rsidRPr="00C1603D">
              <w:rPr>
                <w:color w:val="auto"/>
                <w:lang w:val="it-IT" w:eastAsia="en-GB"/>
              </w:rPr>
              <w:t xml:space="preserve"> </w:t>
            </w:r>
            <w:r w:rsidR="008B4DF8" w:rsidRPr="00C1603D">
              <w:rPr>
                <w:i/>
                <w:color w:val="auto"/>
                <w:lang w:val="it-IT" w:eastAsia="en-GB"/>
              </w:rPr>
              <w:t>n</w:t>
            </w:r>
            <w:r w:rsidR="008B4DF8" w:rsidRPr="00C1603D">
              <w:rPr>
                <w:color w:val="auto"/>
                <w:lang w:eastAsia="en-GB"/>
              </w:rPr>
              <w:t> = </w:t>
            </w:r>
            <w:r w:rsidR="008B4DF8" w:rsidRPr="00C1603D">
              <w:rPr>
                <w:color w:val="auto"/>
                <w:lang w:val="it-IT" w:eastAsia="en-GB"/>
              </w:rPr>
              <w:t>5</w:t>
            </w:r>
          </w:p>
        </w:tc>
        <w:tc>
          <w:tcPr>
            <w:tcW w:w="0" w:type="auto"/>
            <w:shd w:val="clear" w:color="000000" w:fill="FFFFFF"/>
          </w:tcPr>
          <w:p w14:paraId="079C85DA" w14:textId="77777777" w:rsidR="008B4DF8" w:rsidRPr="00C1603D" w:rsidRDefault="008B4DF8" w:rsidP="00004025">
            <w:pPr>
              <w:pStyle w:val="72TabletextTablesTableFigureBoxstyles"/>
              <w:rPr>
                <w:color w:val="auto"/>
                <w:lang w:eastAsia="en-GB"/>
              </w:rPr>
            </w:pPr>
            <w:r w:rsidRPr="00C1603D">
              <w:rPr>
                <w:color w:val="auto"/>
                <w:lang w:eastAsia="en-GB"/>
              </w:rPr>
              <w:t xml:space="preserve">Healthy controls, </w:t>
            </w:r>
            <w:r w:rsidRPr="00C1603D">
              <w:rPr>
                <w:i/>
                <w:color w:val="auto"/>
                <w:lang w:eastAsia="en-GB"/>
              </w:rPr>
              <w:t>n</w:t>
            </w:r>
            <w:r w:rsidRPr="00C1603D">
              <w:rPr>
                <w:color w:val="auto"/>
                <w:lang w:eastAsia="en-GB"/>
              </w:rPr>
              <w:t> = 5</w:t>
            </w:r>
          </w:p>
        </w:tc>
        <w:tc>
          <w:tcPr>
            <w:tcW w:w="0" w:type="auto"/>
            <w:shd w:val="clear" w:color="000000" w:fill="FFFFFF"/>
          </w:tcPr>
          <w:p w14:paraId="435D3836" w14:textId="77777777" w:rsidR="00CF6A43" w:rsidRPr="00C1603D" w:rsidRDefault="008B4DF8" w:rsidP="00CF6A43">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4</w:t>
            </w:r>
          </w:p>
          <w:p w14:paraId="1AC7A329" w14:textId="0C3F7CB9" w:rsidR="008B4DF8" w:rsidRPr="00C1603D" w:rsidRDefault="00CF6A43" w:rsidP="00CF6A43">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1</w:t>
            </w:r>
          </w:p>
        </w:tc>
      </w:tr>
      <w:tr w:rsidR="00CB1142" w:rsidRPr="00C1603D" w14:paraId="3C18ABFA" w14:textId="77777777" w:rsidTr="00004025">
        <w:trPr>
          <w:cantSplit/>
        </w:trPr>
        <w:tc>
          <w:tcPr>
            <w:tcW w:w="0" w:type="auto"/>
            <w:shd w:val="clear" w:color="000000" w:fill="FFFFFF"/>
          </w:tcPr>
          <w:p w14:paraId="46B4632E" w14:textId="77777777" w:rsidR="008B4DF8" w:rsidRPr="00C1603D" w:rsidRDefault="008B4DF8" w:rsidP="00004025">
            <w:pPr>
              <w:pStyle w:val="72TabletextTablesTableFigureBoxstyles"/>
              <w:rPr>
                <w:lang w:eastAsia="en-GB"/>
              </w:rPr>
            </w:pPr>
            <w:r w:rsidRPr="00C1603D">
              <w:rPr>
                <w:lang w:eastAsia="en-GB"/>
              </w:rPr>
              <w:t>Osteoporosis</w:t>
            </w:r>
          </w:p>
        </w:tc>
        <w:tc>
          <w:tcPr>
            <w:tcW w:w="0" w:type="auto"/>
            <w:shd w:val="clear" w:color="000000" w:fill="FFFFFF"/>
          </w:tcPr>
          <w:p w14:paraId="114DB840" w14:textId="77777777" w:rsidR="008B4DF8" w:rsidRPr="00C1603D" w:rsidRDefault="008B4DF8" w:rsidP="00004025">
            <w:pPr>
              <w:pStyle w:val="72TabletextTablesTableFigureBoxstyles"/>
              <w:rPr>
                <w:lang w:eastAsia="en-GB"/>
              </w:rPr>
            </w:pPr>
            <w:r w:rsidRPr="00C1603D">
              <w:rPr>
                <w:lang w:eastAsia="en-GB"/>
              </w:rPr>
              <w:t>Osteoporosis</w:t>
            </w:r>
          </w:p>
        </w:tc>
        <w:tc>
          <w:tcPr>
            <w:tcW w:w="0" w:type="auto"/>
            <w:shd w:val="clear" w:color="000000" w:fill="FFFFFF"/>
          </w:tcPr>
          <w:p w14:paraId="6DA22F3C" w14:textId="77777777" w:rsidR="008B4DF8" w:rsidRPr="00C1603D" w:rsidRDefault="008B4DF8" w:rsidP="00004025">
            <w:pPr>
              <w:pStyle w:val="72TabletextTablesTableFigureBoxstyles"/>
              <w:rPr>
                <w:lang w:eastAsia="en-GB"/>
              </w:rPr>
            </w:pPr>
            <w:r w:rsidRPr="00C1603D">
              <w:rPr>
                <w:lang w:eastAsia="en-GB"/>
              </w:rPr>
              <w:t>9</w:t>
            </w:r>
          </w:p>
        </w:tc>
        <w:tc>
          <w:tcPr>
            <w:tcW w:w="0" w:type="auto"/>
            <w:shd w:val="clear" w:color="000000" w:fill="FFFFFF"/>
          </w:tcPr>
          <w:p w14:paraId="01FB15A6" w14:textId="77777777" w:rsidR="008B4DF8" w:rsidRPr="00C1603D" w:rsidRDefault="008B4DF8" w:rsidP="00004025">
            <w:pPr>
              <w:pStyle w:val="72TabletextTablesTableFigureBoxstyles"/>
              <w:rPr>
                <w:lang w:eastAsia="en-GB"/>
              </w:rPr>
            </w:pPr>
            <w:r w:rsidRPr="00C1603D">
              <w:rPr>
                <w:lang w:eastAsia="en-GB"/>
              </w:rPr>
              <w:t>20,218</w:t>
            </w:r>
          </w:p>
        </w:tc>
        <w:tc>
          <w:tcPr>
            <w:tcW w:w="0" w:type="auto"/>
            <w:shd w:val="clear" w:color="000000" w:fill="FFFFFF"/>
          </w:tcPr>
          <w:p w14:paraId="187A36BB" w14:textId="77777777" w:rsidR="008B4DF8" w:rsidRPr="00C1603D" w:rsidRDefault="008B4DF8" w:rsidP="00004025">
            <w:pPr>
              <w:pStyle w:val="72TabletextTablesTableFigureBoxstyles"/>
              <w:rPr>
                <w:lang w:eastAsia="en-GB"/>
              </w:rPr>
            </w:pPr>
            <w:r w:rsidRPr="00C1603D">
              <w:rPr>
                <w:lang w:eastAsia="en-GB"/>
              </w:rPr>
              <w:t>962</w:t>
            </w:r>
          </w:p>
        </w:tc>
        <w:tc>
          <w:tcPr>
            <w:tcW w:w="0" w:type="auto"/>
            <w:shd w:val="clear" w:color="000000" w:fill="FFFFFF"/>
          </w:tcPr>
          <w:p w14:paraId="366EFAC3" w14:textId="77777777" w:rsidR="00CF6A43" w:rsidRPr="00C1603D" w:rsidRDefault="008B4DF8" w:rsidP="00CF6A43">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8</w:t>
            </w:r>
          </w:p>
          <w:p w14:paraId="23926AF8" w14:textId="5E9287C2" w:rsidR="008B4DF8" w:rsidRPr="00C1603D" w:rsidRDefault="008B4DF8" w:rsidP="00CF6A43">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1</w:t>
            </w:r>
          </w:p>
        </w:tc>
        <w:tc>
          <w:tcPr>
            <w:tcW w:w="0" w:type="auto"/>
            <w:shd w:val="clear" w:color="000000" w:fill="FFFFFF"/>
          </w:tcPr>
          <w:p w14:paraId="5308C182" w14:textId="1D3058E5" w:rsidR="00CF6A43" w:rsidRPr="00C1603D" w:rsidRDefault="00B25FE9" w:rsidP="00CF6A43">
            <w:pPr>
              <w:pStyle w:val="722TablebulletlistTablesTableFigureBoxstyles"/>
              <w:rPr>
                <w:lang w:eastAsia="en-GB"/>
              </w:rPr>
            </w:pPr>
            <w:r w:rsidRPr="00C1603D">
              <w:rPr>
                <w:lang w:eastAsia="en-GB"/>
              </w:rPr>
              <w:t>Case–control</w:t>
            </w:r>
            <w:r w:rsidR="008B4DF8" w:rsidRPr="00C1603D">
              <w:rPr>
                <w:lang w:eastAsia="en-GB"/>
              </w:rPr>
              <w:t xml:space="preserve"> (DI)</w:t>
            </w:r>
            <w:r w:rsidR="00CF6A43"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4</w:t>
            </w:r>
          </w:p>
          <w:p w14:paraId="4C6A8643" w14:textId="3B5DEB2C" w:rsidR="00CF6A43" w:rsidRPr="00C1603D" w:rsidRDefault="00B25FE9" w:rsidP="00CF6A43">
            <w:pPr>
              <w:pStyle w:val="722TablebulletlistTablesTableFigureBoxstyles"/>
              <w:rPr>
                <w:lang w:eastAsia="en-GB"/>
              </w:rPr>
            </w:pPr>
            <w:r w:rsidRPr="00C1603D">
              <w:rPr>
                <w:lang w:eastAsia="en-GB"/>
              </w:rPr>
              <w:t>Case–control</w:t>
            </w:r>
            <w:r w:rsidR="008B4DF8" w:rsidRPr="00C1603D">
              <w:rPr>
                <w:lang w:eastAsia="en-GB"/>
              </w:rPr>
              <w:t xml:space="preserve"> (CD)</w:t>
            </w:r>
            <w:r w:rsidR="00CF6A43" w:rsidRPr="00C1603D">
              <w:rPr>
                <w:lang w:eastAsia="en-GB"/>
              </w:rPr>
              <w:t>,</w:t>
            </w:r>
            <w:r w:rsidR="008B4DF8" w:rsidRPr="00C1603D">
              <w:rPr>
                <w:vertAlign w:val="superscript"/>
                <w:lang w:eastAsia="en-GB"/>
              </w:rPr>
              <w:t>b</w:t>
            </w:r>
            <w:r w:rsidR="008B4DF8" w:rsidRPr="00C1603D">
              <w:rPr>
                <w:lang w:eastAsia="en-GB"/>
              </w:rPr>
              <w:t xml:space="preserve"> </w:t>
            </w:r>
            <w:r w:rsidR="008B4DF8" w:rsidRPr="00C1603D">
              <w:rPr>
                <w:i/>
                <w:lang w:eastAsia="en-GB"/>
              </w:rPr>
              <w:t>n</w:t>
            </w:r>
            <w:r w:rsidR="008B4DF8" w:rsidRPr="00C1603D">
              <w:rPr>
                <w:lang w:eastAsia="en-GB"/>
              </w:rPr>
              <w:t> = 1</w:t>
            </w:r>
          </w:p>
          <w:p w14:paraId="2B2556FD" w14:textId="197BE024" w:rsidR="00CF6A43" w:rsidRPr="00C1603D" w:rsidRDefault="008B4DF8" w:rsidP="00CF6A43">
            <w:pPr>
              <w:pStyle w:val="722TablebulletlistTablesTableFigureBoxstyles"/>
              <w:rPr>
                <w:lang w:eastAsia="en-GB"/>
              </w:rPr>
            </w:pPr>
            <w:r w:rsidRPr="00C1603D">
              <w:rPr>
                <w:lang w:eastAsia="en-GB"/>
              </w:rPr>
              <w:t>Nested case–control (CD)</w:t>
            </w:r>
            <w:r w:rsidR="00CF6A43" w:rsidRPr="00C1603D">
              <w:rPr>
                <w:lang w:eastAsia="en-GB"/>
              </w:rPr>
              <w:t>,</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2</w:t>
            </w:r>
          </w:p>
          <w:p w14:paraId="431E7E11" w14:textId="755DD0EF" w:rsidR="008B4DF8" w:rsidRPr="00C1603D" w:rsidRDefault="008B4DF8" w:rsidP="00CF6A43">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2</w:t>
            </w:r>
          </w:p>
        </w:tc>
        <w:tc>
          <w:tcPr>
            <w:tcW w:w="0" w:type="auto"/>
            <w:shd w:val="clear" w:color="000000" w:fill="FFFFFF"/>
          </w:tcPr>
          <w:p w14:paraId="43D7BB30" w14:textId="77777777" w:rsidR="00CF6A43" w:rsidRPr="00C1603D" w:rsidRDefault="008B4DF8" w:rsidP="00CF6A43">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4</w:t>
            </w:r>
          </w:p>
          <w:p w14:paraId="03D72114" w14:textId="394915D7" w:rsidR="008B4DF8" w:rsidRPr="00C1603D" w:rsidRDefault="008B4DF8" w:rsidP="00CF6A43">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5</w:t>
            </w:r>
          </w:p>
        </w:tc>
        <w:tc>
          <w:tcPr>
            <w:tcW w:w="0" w:type="auto"/>
            <w:shd w:val="clear" w:color="000000" w:fill="FFFFFF"/>
          </w:tcPr>
          <w:p w14:paraId="6D7140A1" w14:textId="77777777" w:rsidR="00CF6A43" w:rsidRPr="00C1603D" w:rsidRDefault="008B4DF8" w:rsidP="00CF6A43">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6</w:t>
            </w:r>
          </w:p>
          <w:p w14:paraId="6F1CBA01" w14:textId="41E8D692" w:rsidR="008B4DF8" w:rsidRPr="00C1603D" w:rsidRDefault="00CF6A43" w:rsidP="00CF6A43">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3</w:t>
            </w:r>
          </w:p>
        </w:tc>
      </w:tr>
      <w:tr w:rsidR="00CB1142" w:rsidRPr="00C1603D" w14:paraId="1782E7C8" w14:textId="77777777" w:rsidTr="00004025">
        <w:trPr>
          <w:cantSplit/>
        </w:trPr>
        <w:tc>
          <w:tcPr>
            <w:tcW w:w="0" w:type="auto"/>
            <w:shd w:val="clear" w:color="000000" w:fill="FFFFFF"/>
          </w:tcPr>
          <w:p w14:paraId="198A7A27" w14:textId="77777777" w:rsidR="008B4DF8" w:rsidRPr="00C1603D" w:rsidRDefault="008B4DF8" w:rsidP="00004025">
            <w:pPr>
              <w:pStyle w:val="72TabletextTablesTableFigureBoxstyles"/>
              <w:rPr>
                <w:lang w:eastAsia="en-GB"/>
              </w:rPr>
            </w:pPr>
            <w:r w:rsidRPr="00C1603D">
              <w:rPr>
                <w:lang w:eastAsia="en-GB"/>
              </w:rPr>
              <w:lastRenderedPageBreak/>
              <w:t>Psoriasis</w:t>
            </w:r>
          </w:p>
        </w:tc>
        <w:tc>
          <w:tcPr>
            <w:tcW w:w="0" w:type="auto"/>
            <w:shd w:val="clear" w:color="000000" w:fill="FFFFFF"/>
          </w:tcPr>
          <w:p w14:paraId="707CE5F5" w14:textId="77777777" w:rsidR="008B4DF8" w:rsidRPr="00C1603D" w:rsidRDefault="008B4DF8" w:rsidP="00004025">
            <w:pPr>
              <w:pStyle w:val="72TabletextTablesTableFigureBoxstyles"/>
              <w:rPr>
                <w:lang w:eastAsia="en-GB"/>
              </w:rPr>
            </w:pPr>
            <w:r w:rsidRPr="00C1603D">
              <w:rPr>
                <w:lang w:eastAsia="en-GB"/>
              </w:rPr>
              <w:t>Psoriasis</w:t>
            </w:r>
          </w:p>
        </w:tc>
        <w:tc>
          <w:tcPr>
            <w:tcW w:w="0" w:type="auto"/>
            <w:shd w:val="clear" w:color="000000" w:fill="FFFFFF"/>
          </w:tcPr>
          <w:p w14:paraId="028EE643" w14:textId="77777777" w:rsidR="008B4DF8" w:rsidRPr="00C1603D" w:rsidRDefault="008B4DF8" w:rsidP="00004025">
            <w:pPr>
              <w:pStyle w:val="72TabletextTablesTableFigureBoxstyles"/>
              <w:rPr>
                <w:lang w:eastAsia="en-GB"/>
              </w:rPr>
            </w:pPr>
            <w:r w:rsidRPr="00C1603D">
              <w:rPr>
                <w:lang w:eastAsia="en-GB"/>
              </w:rPr>
              <w:t>6</w:t>
            </w:r>
          </w:p>
        </w:tc>
        <w:tc>
          <w:tcPr>
            <w:tcW w:w="0" w:type="auto"/>
            <w:shd w:val="clear" w:color="000000" w:fill="FFFFFF"/>
          </w:tcPr>
          <w:p w14:paraId="3F244E5D" w14:textId="4E1C5269" w:rsidR="008B4DF8" w:rsidRPr="00C1603D" w:rsidRDefault="008B4DF8" w:rsidP="00004025">
            <w:pPr>
              <w:pStyle w:val="72TabletextTablesTableFigureBoxstyles"/>
              <w:rPr>
                <w:lang w:eastAsia="en-GB"/>
              </w:rPr>
            </w:pPr>
            <w:r w:rsidRPr="00C1603D">
              <w:rPr>
                <w:lang w:eastAsia="en-GB"/>
              </w:rPr>
              <w:t>1127</w:t>
            </w:r>
          </w:p>
        </w:tc>
        <w:tc>
          <w:tcPr>
            <w:tcW w:w="0" w:type="auto"/>
            <w:shd w:val="clear" w:color="000000" w:fill="FFFFFF"/>
          </w:tcPr>
          <w:p w14:paraId="6EDF1E33" w14:textId="77777777" w:rsidR="008B4DF8" w:rsidRPr="00C1603D" w:rsidRDefault="008B4DF8" w:rsidP="00004025">
            <w:pPr>
              <w:pStyle w:val="72TabletextTablesTableFigureBoxstyles"/>
              <w:rPr>
                <w:lang w:eastAsia="en-GB"/>
              </w:rPr>
            </w:pPr>
            <w:r w:rsidRPr="00C1603D">
              <w:rPr>
                <w:lang w:eastAsia="en-GB"/>
              </w:rPr>
              <w:t>44</w:t>
            </w:r>
          </w:p>
        </w:tc>
        <w:tc>
          <w:tcPr>
            <w:tcW w:w="0" w:type="auto"/>
            <w:shd w:val="clear" w:color="000000" w:fill="FFFFFF"/>
          </w:tcPr>
          <w:p w14:paraId="3E827FEF" w14:textId="77777777" w:rsidR="00CF6A43" w:rsidRPr="00C1603D" w:rsidRDefault="008B4DF8" w:rsidP="00CF6A43">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3</w:t>
            </w:r>
          </w:p>
          <w:p w14:paraId="00968843" w14:textId="636F43A2" w:rsidR="008B4DF8" w:rsidRPr="00C1603D" w:rsidRDefault="008B4DF8" w:rsidP="00CF6A43">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3</w:t>
            </w:r>
          </w:p>
        </w:tc>
        <w:tc>
          <w:tcPr>
            <w:tcW w:w="0" w:type="auto"/>
            <w:shd w:val="clear" w:color="000000" w:fill="FFFFFF"/>
          </w:tcPr>
          <w:p w14:paraId="29F61E06" w14:textId="60F2B3D1" w:rsidR="008B4DF8" w:rsidRPr="00C1603D" w:rsidRDefault="00B25FE9" w:rsidP="00004025">
            <w:pPr>
              <w:pStyle w:val="72TabletextTablesTableFigureBoxstyles"/>
              <w:rPr>
                <w:color w:val="auto"/>
                <w:lang w:val="it-IT" w:eastAsia="en-GB"/>
              </w:rPr>
            </w:pPr>
            <w:r w:rsidRPr="00C1603D">
              <w:rPr>
                <w:color w:val="auto"/>
                <w:lang w:val="it-IT" w:eastAsia="en-GB"/>
              </w:rPr>
              <w:t>Case–control</w:t>
            </w:r>
            <w:r w:rsidR="008B4DF8" w:rsidRPr="00C1603D">
              <w:rPr>
                <w:color w:val="auto"/>
                <w:lang w:val="it-IT" w:eastAsia="en-GB"/>
              </w:rPr>
              <w:t xml:space="preserve"> (DI)</w:t>
            </w:r>
            <w:r w:rsidR="00CF6A43" w:rsidRPr="00C1603D">
              <w:rPr>
                <w:color w:val="auto"/>
                <w:lang w:val="it-IT" w:eastAsia="en-GB"/>
              </w:rPr>
              <w:t>,</w:t>
            </w:r>
            <w:r w:rsidR="008B4DF8" w:rsidRPr="00C1603D">
              <w:rPr>
                <w:color w:val="auto"/>
                <w:vertAlign w:val="superscript"/>
                <w:lang w:val="it-IT" w:eastAsia="en-GB"/>
              </w:rPr>
              <w:t>a</w:t>
            </w:r>
            <w:r w:rsidR="008B4DF8" w:rsidRPr="00C1603D">
              <w:rPr>
                <w:color w:val="auto"/>
                <w:lang w:val="it-IT" w:eastAsia="en-GB"/>
              </w:rPr>
              <w:t xml:space="preserve"> </w:t>
            </w:r>
            <w:r w:rsidR="008B4DF8" w:rsidRPr="00C1603D">
              <w:rPr>
                <w:i/>
                <w:color w:val="auto"/>
                <w:lang w:val="it-IT" w:eastAsia="en-GB"/>
              </w:rPr>
              <w:t>n</w:t>
            </w:r>
            <w:r w:rsidR="008B4DF8" w:rsidRPr="00C1603D">
              <w:rPr>
                <w:color w:val="auto"/>
                <w:lang w:eastAsia="en-GB"/>
              </w:rPr>
              <w:t> = </w:t>
            </w:r>
            <w:r w:rsidR="008B4DF8" w:rsidRPr="00C1603D">
              <w:rPr>
                <w:color w:val="auto"/>
                <w:lang w:val="it-IT" w:eastAsia="en-GB"/>
              </w:rPr>
              <w:t>6</w:t>
            </w:r>
          </w:p>
        </w:tc>
        <w:tc>
          <w:tcPr>
            <w:tcW w:w="0" w:type="auto"/>
            <w:shd w:val="clear" w:color="000000" w:fill="FFFFFF"/>
          </w:tcPr>
          <w:p w14:paraId="73497F93" w14:textId="77777777" w:rsidR="00CF6A43" w:rsidRPr="00C1603D" w:rsidRDefault="008B4DF8" w:rsidP="00CF6A43">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5</w:t>
            </w:r>
          </w:p>
          <w:p w14:paraId="61EAA20C" w14:textId="66BCC7CA" w:rsidR="008B4DF8" w:rsidRPr="00C1603D" w:rsidRDefault="008B4DF8" w:rsidP="00CF6A43">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1</w:t>
            </w:r>
          </w:p>
        </w:tc>
        <w:tc>
          <w:tcPr>
            <w:tcW w:w="0" w:type="auto"/>
            <w:shd w:val="clear" w:color="000000" w:fill="FFFFFF"/>
          </w:tcPr>
          <w:p w14:paraId="568C005F" w14:textId="77777777" w:rsidR="00CF6A43" w:rsidRPr="00C1603D" w:rsidRDefault="008B4DF8" w:rsidP="00CF6A43">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4</w:t>
            </w:r>
          </w:p>
          <w:p w14:paraId="015791D9" w14:textId="4B37F450" w:rsidR="008B4DF8" w:rsidRPr="00C1603D" w:rsidRDefault="00CF6A43" w:rsidP="00CF6A43">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2</w:t>
            </w:r>
          </w:p>
        </w:tc>
      </w:tr>
      <w:tr w:rsidR="00CB1142" w:rsidRPr="00C1603D" w14:paraId="36086261" w14:textId="77777777" w:rsidTr="00004025">
        <w:trPr>
          <w:cantSplit/>
        </w:trPr>
        <w:tc>
          <w:tcPr>
            <w:tcW w:w="0" w:type="auto"/>
            <w:shd w:val="clear" w:color="000000" w:fill="FFFFFF"/>
          </w:tcPr>
          <w:p w14:paraId="1402B51C" w14:textId="77777777" w:rsidR="008B4DF8" w:rsidRPr="00C1603D" w:rsidRDefault="008B4DF8" w:rsidP="00004025">
            <w:pPr>
              <w:pStyle w:val="72TabletextTablesTableFigureBoxstyles"/>
              <w:rPr>
                <w:lang w:eastAsia="en-GB"/>
              </w:rPr>
            </w:pPr>
            <w:r w:rsidRPr="00C1603D">
              <w:rPr>
                <w:lang w:eastAsia="en-GB"/>
              </w:rPr>
              <w:t>Subfertility or recurrent pregnancy loss</w:t>
            </w:r>
          </w:p>
        </w:tc>
        <w:tc>
          <w:tcPr>
            <w:tcW w:w="0" w:type="auto"/>
            <w:shd w:val="clear" w:color="000000" w:fill="FFFFFF"/>
          </w:tcPr>
          <w:p w14:paraId="46EA9CCB" w14:textId="77777777" w:rsidR="008B4DF8" w:rsidRPr="00C1603D" w:rsidRDefault="008B4DF8" w:rsidP="00004025">
            <w:pPr>
              <w:pStyle w:val="72TabletextTablesTableFigureBoxstyles"/>
              <w:rPr>
                <w:lang w:eastAsia="en-GB"/>
              </w:rPr>
            </w:pPr>
            <w:r w:rsidRPr="00C1603D">
              <w:rPr>
                <w:lang w:eastAsia="en-GB"/>
              </w:rPr>
              <w:t>Idiopathic or immunologic infertility; previous or recurrent miscarriages, or implantation failure</w:t>
            </w:r>
          </w:p>
        </w:tc>
        <w:tc>
          <w:tcPr>
            <w:tcW w:w="0" w:type="auto"/>
            <w:shd w:val="clear" w:color="000000" w:fill="FFFFFF"/>
          </w:tcPr>
          <w:p w14:paraId="318E00FC" w14:textId="77777777" w:rsidR="008B4DF8" w:rsidRPr="00C1603D" w:rsidRDefault="008B4DF8" w:rsidP="00004025">
            <w:pPr>
              <w:pStyle w:val="72TabletextTablesTableFigureBoxstyles"/>
              <w:rPr>
                <w:lang w:eastAsia="en-GB"/>
              </w:rPr>
            </w:pPr>
            <w:r w:rsidRPr="00C1603D">
              <w:rPr>
                <w:lang w:eastAsia="en-GB"/>
              </w:rPr>
              <w:t>16</w:t>
            </w:r>
          </w:p>
        </w:tc>
        <w:tc>
          <w:tcPr>
            <w:tcW w:w="0" w:type="auto"/>
            <w:shd w:val="clear" w:color="000000" w:fill="FFFFFF"/>
          </w:tcPr>
          <w:p w14:paraId="2FC88EA0" w14:textId="77777777" w:rsidR="008B4DF8" w:rsidRPr="00C1603D" w:rsidRDefault="008B4DF8" w:rsidP="00004025">
            <w:pPr>
              <w:pStyle w:val="72TabletextTablesTableFigureBoxstyles"/>
              <w:rPr>
                <w:lang w:eastAsia="en-GB"/>
              </w:rPr>
            </w:pPr>
            <w:r w:rsidRPr="00C1603D">
              <w:rPr>
                <w:lang w:eastAsia="en-GB"/>
              </w:rPr>
              <w:t>12,690</w:t>
            </w:r>
          </w:p>
        </w:tc>
        <w:tc>
          <w:tcPr>
            <w:tcW w:w="0" w:type="auto"/>
            <w:shd w:val="clear" w:color="000000" w:fill="FFFFFF"/>
          </w:tcPr>
          <w:p w14:paraId="3C146A1D" w14:textId="77777777" w:rsidR="008B4DF8" w:rsidRPr="00C1603D" w:rsidRDefault="008B4DF8" w:rsidP="00004025">
            <w:pPr>
              <w:pStyle w:val="72TabletextTablesTableFigureBoxstyles"/>
              <w:rPr>
                <w:lang w:eastAsia="en-GB"/>
              </w:rPr>
            </w:pPr>
            <w:r w:rsidRPr="00C1603D">
              <w:rPr>
                <w:lang w:eastAsia="en-GB"/>
              </w:rPr>
              <w:t>808</w:t>
            </w:r>
          </w:p>
        </w:tc>
        <w:tc>
          <w:tcPr>
            <w:tcW w:w="0" w:type="auto"/>
            <w:shd w:val="clear" w:color="000000" w:fill="FFFFFF"/>
          </w:tcPr>
          <w:p w14:paraId="7637BA24" w14:textId="77777777" w:rsidR="008B4DF8" w:rsidRPr="00C1603D" w:rsidRDefault="008B4DF8" w:rsidP="00004025">
            <w:pPr>
              <w:pStyle w:val="72TabletextTablesTableFigureBoxstyles"/>
              <w:rPr>
                <w:color w:val="auto"/>
                <w:lang w:eastAsia="en-GB"/>
              </w:rPr>
            </w:pPr>
            <w:r w:rsidRPr="00C1603D">
              <w:rPr>
                <w:color w:val="auto"/>
                <w:lang w:eastAsia="en-GB"/>
              </w:rPr>
              <w:t xml:space="preserve">Adults, </w:t>
            </w:r>
            <w:r w:rsidRPr="00C1603D">
              <w:rPr>
                <w:i/>
                <w:color w:val="auto"/>
                <w:lang w:eastAsia="en-GB"/>
              </w:rPr>
              <w:t>n</w:t>
            </w:r>
            <w:r w:rsidRPr="00C1603D">
              <w:rPr>
                <w:color w:val="auto"/>
                <w:lang w:eastAsia="en-GB"/>
              </w:rPr>
              <w:t> = 16</w:t>
            </w:r>
          </w:p>
        </w:tc>
        <w:tc>
          <w:tcPr>
            <w:tcW w:w="0" w:type="auto"/>
            <w:shd w:val="clear" w:color="000000" w:fill="FFFFFF"/>
          </w:tcPr>
          <w:p w14:paraId="068E5399" w14:textId="77777777" w:rsidR="00CF6A43" w:rsidRPr="00C1603D" w:rsidRDefault="00B25FE9" w:rsidP="00CF6A43">
            <w:pPr>
              <w:pStyle w:val="722TablebulletlistTablesTableFigureBoxstyles"/>
              <w:rPr>
                <w:lang w:eastAsia="en-GB"/>
              </w:rPr>
            </w:pPr>
            <w:r w:rsidRPr="00C1603D">
              <w:rPr>
                <w:lang w:eastAsia="en-GB"/>
              </w:rPr>
              <w:t>Case–control</w:t>
            </w:r>
            <w:r w:rsidR="008B4DF8" w:rsidRPr="00C1603D">
              <w:rPr>
                <w:lang w:eastAsia="en-GB"/>
              </w:rPr>
              <w:t xml:space="preserve"> (DI)</w:t>
            </w:r>
            <w:r w:rsidR="00CF6A43"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12</w:t>
            </w:r>
          </w:p>
          <w:p w14:paraId="7F1B22A9" w14:textId="77777777" w:rsidR="00CF6A43" w:rsidRPr="00C1603D" w:rsidRDefault="008B4DF8" w:rsidP="00CF6A43">
            <w:pPr>
              <w:pStyle w:val="722TablebulletlistTablesTableFigureBoxstyles"/>
              <w:rPr>
                <w:lang w:eastAsia="en-GB"/>
              </w:rPr>
            </w:pPr>
            <w:r w:rsidRPr="00C1603D">
              <w:rPr>
                <w:lang w:eastAsia="en-GB"/>
              </w:rPr>
              <w:t>Nested case–control (DI)</w:t>
            </w:r>
            <w:r w:rsidR="00CF6A43" w:rsidRPr="00C1603D">
              <w:rPr>
                <w:lang w:eastAsia="en-GB"/>
              </w:rPr>
              <w:t>,</w:t>
            </w:r>
            <w:r w:rsidRPr="00C1603D">
              <w:rPr>
                <w:vertAlign w:val="superscript"/>
                <w:lang w:eastAsia="en-GB"/>
              </w:rPr>
              <w:t>a</w:t>
            </w:r>
            <w:r w:rsidRPr="00C1603D">
              <w:rPr>
                <w:lang w:eastAsia="en-GB"/>
              </w:rPr>
              <w:t xml:space="preserve"> </w:t>
            </w:r>
            <w:r w:rsidRPr="00C1603D">
              <w:rPr>
                <w:i/>
                <w:lang w:eastAsia="en-GB"/>
              </w:rPr>
              <w:t>n</w:t>
            </w:r>
            <w:r w:rsidRPr="00C1603D">
              <w:rPr>
                <w:lang w:eastAsia="en-GB"/>
              </w:rPr>
              <w:t> = 1</w:t>
            </w:r>
          </w:p>
          <w:p w14:paraId="349BEC5E" w14:textId="77777777" w:rsidR="00CF6A43" w:rsidRPr="00C1603D" w:rsidRDefault="008B4DF8" w:rsidP="00CF6A43">
            <w:pPr>
              <w:pStyle w:val="722TablebulletlistTablesTableFigureBoxstyles"/>
              <w:rPr>
                <w:lang w:eastAsia="en-GB"/>
              </w:rPr>
            </w:pPr>
            <w:r w:rsidRPr="00C1603D">
              <w:rPr>
                <w:lang w:eastAsia="en-GB"/>
              </w:rPr>
              <w:t>Nested case–control (CD)</w:t>
            </w:r>
            <w:r w:rsidR="00CF6A43" w:rsidRPr="00C1603D">
              <w:rPr>
                <w:lang w:eastAsia="en-GB"/>
              </w:rPr>
              <w:t>,</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2</w:t>
            </w:r>
          </w:p>
          <w:p w14:paraId="52ECEE97" w14:textId="6D5A19C8" w:rsidR="008B4DF8" w:rsidRPr="00C1603D" w:rsidRDefault="008B4DF8" w:rsidP="00CF6A43">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1</w:t>
            </w:r>
          </w:p>
        </w:tc>
        <w:tc>
          <w:tcPr>
            <w:tcW w:w="0" w:type="auto"/>
            <w:shd w:val="clear" w:color="000000" w:fill="FFFFFF"/>
          </w:tcPr>
          <w:p w14:paraId="42215643" w14:textId="77777777" w:rsidR="00CF6A43" w:rsidRPr="00C1603D" w:rsidRDefault="008B4DF8" w:rsidP="00CF6A43">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12</w:t>
            </w:r>
          </w:p>
          <w:p w14:paraId="6689E5E7" w14:textId="70C7F57B" w:rsidR="008B4DF8" w:rsidRPr="00C1603D" w:rsidRDefault="008B4DF8" w:rsidP="00CF6A43">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4</w:t>
            </w:r>
          </w:p>
        </w:tc>
        <w:tc>
          <w:tcPr>
            <w:tcW w:w="0" w:type="auto"/>
            <w:shd w:val="clear" w:color="000000" w:fill="FFFFFF"/>
          </w:tcPr>
          <w:p w14:paraId="22AA0795" w14:textId="77777777" w:rsidR="00CF6A43" w:rsidRPr="00C1603D" w:rsidRDefault="008B4DF8" w:rsidP="00CF6A43">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12</w:t>
            </w:r>
          </w:p>
          <w:p w14:paraId="5345C0F5" w14:textId="21C8B387" w:rsidR="008B4DF8" w:rsidRPr="00C1603D" w:rsidRDefault="00CF6A43" w:rsidP="00CF6A43">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4</w:t>
            </w:r>
          </w:p>
        </w:tc>
      </w:tr>
      <w:tr w:rsidR="00CB1142" w:rsidRPr="00C1603D" w14:paraId="79A966A8" w14:textId="77777777" w:rsidTr="00004025">
        <w:trPr>
          <w:cantSplit/>
        </w:trPr>
        <w:tc>
          <w:tcPr>
            <w:tcW w:w="0" w:type="auto"/>
            <w:shd w:val="clear" w:color="000000" w:fill="FFFFFF"/>
          </w:tcPr>
          <w:p w14:paraId="7AB2E1E0" w14:textId="77777777" w:rsidR="008B4DF8" w:rsidRPr="00C1603D" w:rsidRDefault="008B4DF8" w:rsidP="00004025">
            <w:pPr>
              <w:pStyle w:val="72TabletextTablesTableFigureBoxstyles"/>
              <w:rPr>
                <w:lang w:eastAsia="en-GB"/>
              </w:rPr>
            </w:pPr>
            <w:r w:rsidRPr="00C1603D">
              <w:rPr>
                <w:lang w:eastAsia="en-GB"/>
              </w:rPr>
              <w:t>Systemic lupus erythematosus</w:t>
            </w:r>
          </w:p>
        </w:tc>
        <w:tc>
          <w:tcPr>
            <w:tcW w:w="0" w:type="auto"/>
            <w:shd w:val="clear" w:color="000000" w:fill="FFFFFF"/>
          </w:tcPr>
          <w:p w14:paraId="3B9048E2" w14:textId="77777777" w:rsidR="008B4DF8" w:rsidRPr="00C1603D" w:rsidRDefault="008B4DF8" w:rsidP="00004025">
            <w:pPr>
              <w:pStyle w:val="72TabletextTablesTableFigureBoxstyles"/>
              <w:rPr>
                <w:lang w:eastAsia="en-GB"/>
              </w:rPr>
            </w:pPr>
            <w:r w:rsidRPr="00C1603D">
              <w:rPr>
                <w:lang w:eastAsia="en-GB"/>
              </w:rPr>
              <w:t>Systemic lupus erythematosus</w:t>
            </w:r>
          </w:p>
        </w:tc>
        <w:tc>
          <w:tcPr>
            <w:tcW w:w="0" w:type="auto"/>
            <w:shd w:val="clear" w:color="000000" w:fill="FFFFFF"/>
          </w:tcPr>
          <w:p w14:paraId="2948DF58" w14:textId="77777777" w:rsidR="008B4DF8" w:rsidRPr="00C1603D" w:rsidRDefault="008B4DF8" w:rsidP="00004025">
            <w:pPr>
              <w:pStyle w:val="72TabletextTablesTableFigureBoxstyles"/>
              <w:rPr>
                <w:lang w:eastAsia="en-GB"/>
              </w:rPr>
            </w:pPr>
            <w:r w:rsidRPr="00C1603D">
              <w:rPr>
                <w:lang w:eastAsia="en-GB"/>
              </w:rPr>
              <w:t>6</w:t>
            </w:r>
          </w:p>
        </w:tc>
        <w:tc>
          <w:tcPr>
            <w:tcW w:w="0" w:type="auto"/>
            <w:shd w:val="clear" w:color="000000" w:fill="FFFFFF"/>
          </w:tcPr>
          <w:p w14:paraId="6BACF341" w14:textId="2F927244" w:rsidR="008B4DF8" w:rsidRPr="00C1603D" w:rsidRDefault="008B4DF8" w:rsidP="00004025">
            <w:pPr>
              <w:pStyle w:val="72TabletextTablesTableFigureBoxstyles"/>
              <w:rPr>
                <w:lang w:eastAsia="en-GB"/>
              </w:rPr>
            </w:pPr>
            <w:r w:rsidRPr="00C1603D">
              <w:rPr>
                <w:lang w:eastAsia="en-GB"/>
              </w:rPr>
              <w:t>1004</w:t>
            </w:r>
          </w:p>
        </w:tc>
        <w:tc>
          <w:tcPr>
            <w:tcW w:w="0" w:type="auto"/>
            <w:shd w:val="clear" w:color="000000" w:fill="FFFFFF"/>
          </w:tcPr>
          <w:p w14:paraId="64FCFEF8" w14:textId="77777777" w:rsidR="008B4DF8" w:rsidRPr="00C1603D" w:rsidRDefault="008B4DF8" w:rsidP="00004025">
            <w:pPr>
              <w:pStyle w:val="72TabletextTablesTableFigureBoxstyles"/>
              <w:rPr>
                <w:lang w:eastAsia="en-GB"/>
              </w:rPr>
            </w:pPr>
            <w:r w:rsidRPr="00C1603D">
              <w:rPr>
                <w:lang w:eastAsia="en-GB"/>
              </w:rPr>
              <w:t>9</w:t>
            </w:r>
          </w:p>
        </w:tc>
        <w:tc>
          <w:tcPr>
            <w:tcW w:w="0" w:type="auto"/>
            <w:shd w:val="clear" w:color="000000" w:fill="FFFFFF"/>
          </w:tcPr>
          <w:p w14:paraId="1C3CE343" w14:textId="77777777" w:rsidR="00CB1142" w:rsidRPr="00C1603D" w:rsidRDefault="008B4DF8" w:rsidP="00CB1142">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5</w:t>
            </w:r>
          </w:p>
          <w:p w14:paraId="58CE61C2" w14:textId="1E2C1561" w:rsidR="008B4DF8" w:rsidRPr="00C1603D" w:rsidRDefault="008B4DF8" w:rsidP="00CB1142">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1</w:t>
            </w:r>
          </w:p>
        </w:tc>
        <w:tc>
          <w:tcPr>
            <w:tcW w:w="0" w:type="auto"/>
            <w:shd w:val="clear" w:color="000000" w:fill="FFFFFF"/>
          </w:tcPr>
          <w:p w14:paraId="3678B72E" w14:textId="4B78F280" w:rsidR="00CB1142" w:rsidRPr="00C1603D" w:rsidRDefault="00B25FE9" w:rsidP="00CB1142">
            <w:pPr>
              <w:pStyle w:val="722TablebulletlistTablesTableFigureBoxstyles"/>
              <w:rPr>
                <w:lang w:eastAsia="en-GB"/>
              </w:rPr>
            </w:pPr>
            <w:r w:rsidRPr="00C1603D">
              <w:rPr>
                <w:lang w:eastAsia="en-GB"/>
              </w:rPr>
              <w:t>Case–control</w:t>
            </w:r>
            <w:r w:rsidR="008B4DF8" w:rsidRPr="00C1603D">
              <w:rPr>
                <w:lang w:eastAsia="en-GB"/>
              </w:rPr>
              <w:t xml:space="preserve"> (DI)</w:t>
            </w:r>
            <w:r w:rsidR="00CB1142"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5</w:t>
            </w:r>
          </w:p>
          <w:p w14:paraId="00893E60" w14:textId="50325877" w:rsidR="008B4DF8" w:rsidRPr="00C1603D" w:rsidRDefault="008B4DF8" w:rsidP="00CB1142">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1</w:t>
            </w:r>
          </w:p>
        </w:tc>
        <w:tc>
          <w:tcPr>
            <w:tcW w:w="0" w:type="auto"/>
            <w:shd w:val="clear" w:color="000000" w:fill="FFFFFF"/>
          </w:tcPr>
          <w:p w14:paraId="2C2A95C2" w14:textId="77777777" w:rsidR="008B4DF8" w:rsidRPr="00C1603D" w:rsidRDefault="008B4DF8" w:rsidP="00004025">
            <w:pPr>
              <w:pStyle w:val="72TabletextTablesTableFigureBoxstyles"/>
              <w:rPr>
                <w:color w:val="auto"/>
                <w:lang w:eastAsia="en-GB"/>
              </w:rPr>
            </w:pPr>
            <w:r w:rsidRPr="00C1603D">
              <w:rPr>
                <w:color w:val="auto"/>
                <w:lang w:eastAsia="en-GB"/>
              </w:rPr>
              <w:t xml:space="preserve">Healthy controls, </w:t>
            </w:r>
            <w:r w:rsidRPr="00C1603D">
              <w:rPr>
                <w:i/>
                <w:color w:val="auto"/>
                <w:lang w:eastAsia="en-GB"/>
              </w:rPr>
              <w:t>n</w:t>
            </w:r>
            <w:r w:rsidRPr="00C1603D">
              <w:rPr>
                <w:color w:val="auto"/>
                <w:lang w:eastAsia="en-GB"/>
              </w:rPr>
              <w:t> = 6</w:t>
            </w:r>
          </w:p>
        </w:tc>
        <w:tc>
          <w:tcPr>
            <w:tcW w:w="0" w:type="auto"/>
            <w:shd w:val="clear" w:color="000000" w:fill="FFFFFF"/>
          </w:tcPr>
          <w:p w14:paraId="53DE09B4" w14:textId="77777777" w:rsidR="00CB1142" w:rsidRPr="00C1603D" w:rsidRDefault="008B4DF8" w:rsidP="00CB1142">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2</w:t>
            </w:r>
          </w:p>
          <w:p w14:paraId="78C005BF" w14:textId="5F1B7E21" w:rsidR="008B4DF8" w:rsidRPr="00C1603D" w:rsidRDefault="00CB1142" w:rsidP="00CB1142">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4</w:t>
            </w:r>
          </w:p>
        </w:tc>
      </w:tr>
      <w:tr w:rsidR="00CB1142" w:rsidRPr="00C1603D" w14:paraId="73062253" w14:textId="77777777" w:rsidTr="00004025">
        <w:trPr>
          <w:cantSplit/>
        </w:trPr>
        <w:tc>
          <w:tcPr>
            <w:tcW w:w="0" w:type="auto"/>
            <w:shd w:val="clear" w:color="000000" w:fill="FFFFFF"/>
          </w:tcPr>
          <w:p w14:paraId="72D443C6" w14:textId="77777777" w:rsidR="008B4DF8" w:rsidRPr="00C1603D" w:rsidRDefault="008B4DF8" w:rsidP="00004025">
            <w:pPr>
              <w:pStyle w:val="72TabletextTablesTableFigureBoxstyles"/>
              <w:rPr>
                <w:lang w:eastAsia="en-GB"/>
              </w:rPr>
            </w:pPr>
            <w:r w:rsidRPr="00C1603D">
              <w:t>Thyroid disease</w:t>
            </w:r>
          </w:p>
        </w:tc>
        <w:tc>
          <w:tcPr>
            <w:tcW w:w="0" w:type="auto"/>
            <w:shd w:val="clear" w:color="000000" w:fill="FFFFFF"/>
          </w:tcPr>
          <w:p w14:paraId="5438EFCD" w14:textId="0D3B3057" w:rsidR="008B4DF8" w:rsidRPr="00C1603D" w:rsidRDefault="008B4DF8" w:rsidP="00004025">
            <w:pPr>
              <w:pStyle w:val="72TabletextTablesTableFigureBoxstyles"/>
              <w:rPr>
                <w:lang w:eastAsia="en-GB"/>
              </w:rPr>
            </w:pPr>
            <w:r w:rsidRPr="00C1603D">
              <w:t>Autoimmune thyroid disease, Graves</w:t>
            </w:r>
            <w:r w:rsidRPr="00C1603D">
              <w:rPr>
                <w:color w:val="00B0F0"/>
              </w:rPr>
              <w:t>’</w:t>
            </w:r>
            <w:r w:rsidRPr="00C1603D">
              <w:t xml:space="preserve"> disease, Hashimoto</w:t>
            </w:r>
            <w:r w:rsidRPr="00C1603D">
              <w:rPr>
                <w:color w:val="00B0F0"/>
              </w:rPr>
              <w:t>’</w:t>
            </w:r>
            <w:r w:rsidRPr="00C1603D">
              <w:t>s thyroiditis</w:t>
            </w:r>
          </w:p>
        </w:tc>
        <w:tc>
          <w:tcPr>
            <w:tcW w:w="0" w:type="auto"/>
            <w:shd w:val="clear" w:color="000000" w:fill="FFFFFF"/>
          </w:tcPr>
          <w:p w14:paraId="27546277" w14:textId="77777777" w:rsidR="008B4DF8" w:rsidRPr="00C1603D" w:rsidRDefault="008B4DF8" w:rsidP="00004025">
            <w:pPr>
              <w:pStyle w:val="72TabletextTablesTableFigureBoxstyles"/>
              <w:rPr>
                <w:lang w:eastAsia="en-GB"/>
              </w:rPr>
            </w:pPr>
            <w:r w:rsidRPr="00C1603D">
              <w:rPr>
                <w:lang w:eastAsia="en-GB"/>
              </w:rPr>
              <w:t>23</w:t>
            </w:r>
          </w:p>
        </w:tc>
        <w:tc>
          <w:tcPr>
            <w:tcW w:w="0" w:type="auto"/>
            <w:shd w:val="clear" w:color="000000" w:fill="FFFFFF"/>
          </w:tcPr>
          <w:p w14:paraId="6B5244A5" w14:textId="64BFE30E" w:rsidR="008B4DF8" w:rsidRPr="00C1603D" w:rsidRDefault="008B4DF8" w:rsidP="00004025">
            <w:pPr>
              <w:pStyle w:val="72TabletextTablesTableFigureBoxstyles"/>
              <w:rPr>
                <w:lang w:eastAsia="en-GB"/>
              </w:rPr>
            </w:pPr>
            <w:r w:rsidRPr="00C1603D">
              <w:rPr>
                <w:lang w:eastAsia="en-GB"/>
              </w:rPr>
              <w:t>27</w:t>
            </w:r>
            <w:r w:rsidR="00BF08D7" w:rsidRPr="00C1603D">
              <w:rPr>
                <w:lang w:eastAsia="en-GB"/>
              </w:rPr>
              <w:t>,</w:t>
            </w:r>
            <w:r w:rsidRPr="00C1603D">
              <w:rPr>
                <w:lang w:eastAsia="en-GB"/>
              </w:rPr>
              <w:t>031</w:t>
            </w:r>
          </w:p>
        </w:tc>
        <w:tc>
          <w:tcPr>
            <w:tcW w:w="0" w:type="auto"/>
            <w:shd w:val="clear" w:color="000000" w:fill="FFFFFF"/>
          </w:tcPr>
          <w:p w14:paraId="4E2070D7" w14:textId="77777777" w:rsidR="008B4DF8" w:rsidRPr="00C1603D" w:rsidRDefault="008B4DF8" w:rsidP="00004025">
            <w:pPr>
              <w:pStyle w:val="72TabletextTablesTableFigureBoxstyles"/>
              <w:rPr>
                <w:lang w:eastAsia="en-GB"/>
              </w:rPr>
            </w:pPr>
            <w:r w:rsidRPr="00C1603D">
              <w:rPr>
                <w:lang w:eastAsia="en-GB"/>
              </w:rPr>
              <w:t>1083</w:t>
            </w:r>
          </w:p>
        </w:tc>
        <w:tc>
          <w:tcPr>
            <w:tcW w:w="0" w:type="auto"/>
            <w:shd w:val="clear" w:color="000000" w:fill="FFFFFF"/>
          </w:tcPr>
          <w:p w14:paraId="75758698" w14:textId="77777777" w:rsidR="00CB1142" w:rsidRPr="00C1603D" w:rsidRDefault="008B4DF8" w:rsidP="00CB1142">
            <w:pPr>
              <w:pStyle w:val="722TablebulletlistTablesTableFigureBoxstyles"/>
            </w:pPr>
            <w:r w:rsidRPr="00C1603D">
              <w:t xml:space="preserve">Adults, </w:t>
            </w:r>
            <w:r w:rsidRPr="00C1603D">
              <w:rPr>
                <w:i/>
              </w:rPr>
              <w:t>n</w:t>
            </w:r>
            <w:r w:rsidRPr="00C1603D">
              <w:rPr>
                <w:lang w:eastAsia="en-GB"/>
              </w:rPr>
              <w:t> = </w:t>
            </w:r>
            <w:r w:rsidRPr="00C1603D">
              <w:t>16</w:t>
            </w:r>
          </w:p>
          <w:p w14:paraId="3D97E931" w14:textId="77777777" w:rsidR="00CB1142" w:rsidRPr="00C1603D" w:rsidRDefault="008B4DF8" w:rsidP="00CB1142">
            <w:pPr>
              <w:pStyle w:val="722TablebulletlistTablesTableFigureBoxstyles"/>
            </w:pPr>
            <w:r w:rsidRPr="00C1603D">
              <w:t xml:space="preserve">Children, </w:t>
            </w:r>
            <w:r w:rsidRPr="00C1603D">
              <w:rPr>
                <w:i/>
              </w:rPr>
              <w:t>n</w:t>
            </w:r>
            <w:r w:rsidRPr="00C1603D">
              <w:rPr>
                <w:lang w:eastAsia="en-GB"/>
              </w:rPr>
              <w:t> = </w:t>
            </w:r>
            <w:r w:rsidRPr="00C1603D">
              <w:t>5</w:t>
            </w:r>
          </w:p>
          <w:p w14:paraId="4D95CE88" w14:textId="3F085454" w:rsidR="008B4DF8" w:rsidRPr="00C1603D" w:rsidRDefault="008B4DF8" w:rsidP="00CB1142">
            <w:pPr>
              <w:pStyle w:val="722TablebulletlistTablesTableFigureBoxstyles"/>
              <w:rPr>
                <w:lang w:eastAsia="en-GB"/>
              </w:rPr>
            </w:pPr>
            <w:r w:rsidRPr="00C1603D">
              <w:t xml:space="preserve">Mixed, </w:t>
            </w:r>
            <w:r w:rsidRPr="00C1603D">
              <w:rPr>
                <w:i/>
              </w:rPr>
              <w:t>n</w:t>
            </w:r>
            <w:r w:rsidRPr="00C1603D">
              <w:rPr>
                <w:lang w:eastAsia="en-GB"/>
              </w:rPr>
              <w:t> = </w:t>
            </w:r>
            <w:r w:rsidRPr="00C1603D">
              <w:t>2</w:t>
            </w:r>
          </w:p>
        </w:tc>
        <w:tc>
          <w:tcPr>
            <w:tcW w:w="0" w:type="auto"/>
            <w:shd w:val="clear" w:color="000000" w:fill="FFFFFF"/>
          </w:tcPr>
          <w:p w14:paraId="07211CDD" w14:textId="4973F59D" w:rsidR="008B4DF8" w:rsidRPr="00C1603D" w:rsidRDefault="00B25FE9" w:rsidP="00CB1142">
            <w:pPr>
              <w:pStyle w:val="722TablebulletlistTablesTableFigureBoxstyles"/>
              <w:rPr>
                <w:lang w:val="it-IT"/>
              </w:rPr>
            </w:pPr>
            <w:r w:rsidRPr="00C1603D">
              <w:rPr>
                <w:lang w:val="it-IT"/>
              </w:rPr>
              <w:t>Case–control</w:t>
            </w:r>
            <w:r w:rsidR="008B4DF8" w:rsidRPr="00C1603D">
              <w:rPr>
                <w:lang w:val="it-IT"/>
              </w:rPr>
              <w:t xml:space="preserve"> (DI)</w:t>
            </w:r>
            <w:r w:rsidR="00CB1142" w:rsidRPr="00C1603D">
              <w:rPr>
                <w:lang w:val="it-IT"/>
              </w:rPr>
              <w:t>,</w:t>
            </w:r>
            <w:r w:rsidR="008B4DF8" w:rsidRPr="00C1603D">
              <w:rPr>
                <w:vertAlign w:val="superscript"/>
                <w:lang w:val="it-IT"/>
              </w:rPr>
              <w:t>a</w:t>
            </w:r>
            <w:r w:rsidR="008B4DF8" w:rsidRPr="00C1603D">
              <w:rPr>
                <w:lang w:val="it-IT"/>
              </w:rPr>
              <w:t xml:space="preserve"> </w:t>
            </w:r>
            <w:r w:rsidR="008B4DF8" w:rsidRPr="00C1603D">
              <w:rPr>
                <w:i/>
                <w:lang w:val="it-IT"/>
              </w:rPr>
              <w:t>n</w:t>
            </w:r>
            <w:r w:rsidR="008B4DF8" w:rsidRPr="00C1603D">
              <w:rPr>
                <w:lang w:eastAsia="en-GB"/>
              </w:rPr>
              <w:t> = </w:t>
            </w:r>
            <w:r w:rsidR="008B4DF8" w:rsidRPr="00C1603D">
              <w:rPr>
                <w:lang w:val="it-IT"/>
              </w:rPr>
              <w:t>15</w:t>
            </w:r>
          </w:p>
          <w:p w14:paraId="5DED3448" w14:textId="77777777" w:rsidR="00CB1142" w:rsidRPr="00C1603D" w:rsidRDefault="008B4DF8" w:rsidP="00CB1142">
            <w:pPr>
              <w:pStyle w:val="722TablebulletlistTablesTableFigureBoxstyles"/>
            </w:pPr>
            <w:r w:rsidRPr="00C1603D">
              <w:t>Nested case–control (DI)</w:t>
            </w:r>
            <w:r w:rsidR="00CB1142" w:rsidRPr="00C1603D">
              <w:t>,</w:t>
            </w:r>
            <w:r w:rsidRPr="00C1603D">
              <w:rPr>
                <w:vertAlign w:val="superscript"/>
              </w:rPr>
              <w:t>a</w:t>
            </w:r>
            <w:r w:rsidRPr="00C1603D">
              <w:t xml:space="preserve"> </w:t>
            </w:r>
            <w:r w:rsidRPr="00C1603D">
              <w:rPr>
                <w:i/>
              </w:rPr>
              <w:t>n</w:t>
            </w:r>
            <w:r w:rsidRPr="00C1603D">
              <w:rPr>
                <w:lang w:eastAsia="en-GB"/>
              </w:rPr>
              <w:t> = </w:t>
            </w:r>
            <w:r w:rsidRPr="00C1603D">
              <w:t>2</w:t>
            </w:r>
          </w:p>
          <w:p w14:paraId="31FB0477" w14:textId="77777777" w:rsidR="00CB1142" w:rsidRPr="00C1603D" w:rsidRDefault="008B4DF8" w:rsidP="00CB1142">
            <w:pPr>
              <w:pStyle w:val="722TablebulletlistTablesTableFigureBoxstyles"/>
            </w:pPr>
            <w:r w:rsidRPr="00C1603D">
              <w:t>Nested case–control (CD)</w:t>
            </w:r>
            <w:r w:rsidR="00CB1142" w:rsidRPr="00C1603D">
              <w:t>,</w:t>
            </w:r>
            <w:r w:rsidRPr="00C1603D">
              <w:rPr>
                <w:vertAlign w:val="superscript"/>
              </w:rPr>
              <w:t>b</w:t>
            </w:r>
            <w:r w:rsidRPr="00C1603D">
              <w:t xml:space="preserve"> </w:t>
            </w:r>
            <w:r w:rsidRPr="00C1603D">
              <w:rPr>
                <w:i/>
              </w:rPr>
              <w:t>n</w:t>
            </w:r>
            <w:r w:rsidRPr="00C1603D">
              <w:rPr>
                <w:lang w:eastAsia="en-GB"/>
              </w:rPr>
              <w:t> = </w:t>
            </w:r>
            <w:r w:rsidRPr="00C1603D">
              <w:t>2</w:t>
            </w:r>
          </w:p>
          <w:p w14:paraId="1C5CFB84" w14:textId="272783E1" w:rsidR="008B4DF8" w:rsidRPr="00C1603D" w:rsidRDefault="008B4DF8" w:rsidP="00CB1142">
            <w:pPr>
              <w:pStyle w:val="722TablebulletlistTablesTableFigureBoxstyles"/>
              <w:rPr>
                <w:lang w:eastAsia="en-GB"/>
              </w:rPr>
            </w:pPr>
            <w:r w:rsidRPr="00C1603D">
              <w:t xml:space="preserve">Cohort/cross-sectional, </w:t>
            </w:r>
            <w:r w:rsidRPr="00C1603D">
              <w:rPr>
                <w:i/>
              </w:rPr>
              <w:t>n</w:t>
            </w:r>
            <w:r w:rsidRPr="00C1603D">
              <w:rPr>
                <w:lang w:eastAsia="en-GB"/>
              </w:rPr>
              <w:t> = </w:t>
            </w:r>
            <w:r w:rsidRPr="00C1603D">
              <w:t>4</w:t>
            </w:r>
          </w:p>
        </w:tc>
        <w:tc>
          <w:tcPr>
            <w:tcW w:w="0" w:type="auto"/>
            <w:shd w:val="clear" w:color="000000" w:fill="FFFFFF"/>
          </w:tcPr>
          <w:p w14:paraId="3415A4C2" w14:textId="77777777" w:rsidR="00CB1142" w:rsidRPr="00C1603D" w:rsidRDefault="008B4DF8" w:rsidP="00CB1142">
            <w:pPr>
              <w:pStyle w:val="722TablebulletlistTablesTableFigureBoxstyles"/>
            </w:pPr>
            <w:r w:rsidRPr="00C1603D">
              <w:t xml:space="preserve">Healthy controls, </w:t>
            </w:r>
            <w:r w:rsidRPr="00C1603D">
              <w:rPr>
                <w:i/>
              </w:rPr>
              <w:t>n</w:t>
            </w:r>
            <w:r w:rsidRPr="00C1603D">
              <w:rPr>
                <w:lang w:eastAsia="en-GB"/>
              </w:rPr>
              <w:t> = </w:t>
            </w:r>
            <w:r w:rsidRPr="00C1603D">
              <w:t>15</w:t>
            </w:r>
          </w:p>
          <w:p w14:paraId="3629B764" w14:textId="0AD54DC8" w:rsidR="008B4DF8" w:rsidRPr="00C1603D" w:rsidRDefault="008B4DF8" w:rsidP="00CB1142">
            <w:pPr>
              <w:pStyle w:val="722TablebulletlistTablesTableFigureBoxstyles"/>
              <w:rPr>
                <w:lang w:eastAsia="en-GB"/>
              </w:rPr>
            </w:pPr>
            <w:r w:rsidRPr="00C1603D">
              <w:t xml:space="preserve">Population sample without diagnostic indicator, </w:t>
            </w:r>
            <w:r w:rsidRPr="00C1603D">
              <w:rPr>
                <w:i/>
              </w:rPr>
              <w:t>n</w:t>
            </w:r>
            <w:r w:rsidRPr="00C1603D">
              <w:rPr>
                <w:lang w:eastAsia="en-GB"/>
              </w:rPr>
              <w:t> = </w:t>
            </w:r>
            <w:r w:rsidRPr="00C1603D">
              <w:t>8</w:t>
            </w:r>
          </w:p>
        </w:tc>
        <w:tc>
          <w:tcPr>
            <w:tcW w:w="0" w:type="auto"/>
            <w:shd w:val="clear" w:color="000000" w:fill="FFFFFF"/>
          </w:tcPr>
          <w:p w14:paraId="66247440" w14:textId="77777777" w:rsidR="00CB1142" w:rsidRPr="00C1603D" w:rsidRDefault="008B4DF8" w:rsidP="00CB1142">
            <w:pPr>
              <w:pStyle w:val="722TablebulletlistTablesTableFigureBoxstyles"/>
            </w:pPr>
            <w:r w:rsidRPr="00C1603D">
              <w:t xml:space="preserve">Serology only, </w:t>
            </w:r>
            <w:r w:rsidRPr="00C1603D">
              <w:rPr>
                <w:i/>
              </w:rPr>
              <w:t>n</w:t>
            </w:r>
            <w:r w:rsidRPr="00C1603D">
              <w:rPr>
                <w:lang w:eastAsia="en-GB"/>
              </w:rPr>
              <w:t> = </w:t>
            </w:r>
            <w:r w:rsidRPr="00C1603D">
              <w:t>13</w:t>
            </w:r>
          </w:p>
          <w:p w14:paraId="796D5942" w14:textId="6FCA5ED1" w:rsidR="008B4DF8" w:rsidRPr="00C1603D" w:rsidRDefault="00CB1142" w:rsidP="00CB1142">
            <w:pPr>
              <w:pStyle w:val="722TablebulletlistTablesTableFigureBoxstyles"/>
              <w:rPr>
                <w:lang w:eastAsia="en-GB"/>
              </w:rPr>
            </w:pPr>
            <w:r w:rsidRPr="00C1603D">
              <w:rPr>
                <w:lang w:eastAsia="en-GB"/>
              </w:rPr>
              <w:t>Biopsy ± </w:t>
            </w:r>
            <w:r w:rsidR="008B4DF8" w:rsidRPr="00C1603D">
              <w:t xml:space="preserve">serology, </w:t>
            </w:r>
            <w:r w:rsidR="008B4DF8" w:rsidRPr="00C1603D">
              <w:rPr>
                <w:i/>
              </w:rPr>
              <w:t>n</w:t>
            </w:r>
            <w:r w:rsidR="008B4DF8" w:rsidRPr="00C1603D">
              <w:rPr>
                <w:lang w:eastAsia="en-GB"/>
              </w:rPr>
              <w:t> = </w:t>
            </w:r>
            <w:r w:rsidR="008B4DF8" w:rsidRPr="00C1603D">
              <w:t>10</w:t>
            </w:r>
          </w:p>
        </w:tc>
      </w:tr>
      <w:tr w:rsidR="00CB1142" w:rsidRPr="00C1603D" w14:paraId="69D86863" w14:textId="77777777" w:rsidTr="00004025">
        <w:trPr>
          <w:cantSplit/>
        </w:trPr>
        <w:tc>
          <w:tcPr>
            <w:tcW w:w="0" w:type="auto"/>
            <w:shd w:val="clear" w:color="000000" w:fill="FFFFFF"/>
          </w:tcPr>
          <w:p w14:paraId="4D5FB2FA" w14:textId="46D7AD2F" w:rsidR="008B4DF8" w:rsidRPr="00C1603D" w:rsidRDefault="008B4DF8" w:rsidP="00004025">
            <w:pPr>
              <w:pStyle w:val="72TabletextTablesTableFigureBoxstyles"/>
              <w:rPr>
                <w:lang w:eastAsia="en-GB"/>
              </w:rPr>
            </w:pPr>
            <w:r w:rsidRPr="00C1603D">
              <w:rPr>
                <w:lang w:eastAsia="en-GB"/>
              </w:rPr>
              <w:t xml:space="preserve">Type 1 </w:t>
            </w:r>
            <w:r w:rsidR="00AA0501" w:rsidRPr="00C1603D">
              <w:rPr>
                <w:lang w:eastAsia="en-GB"/>
              </w:rPr>
              <w:t>d</w:t>
            </w:r>
            <w:r w:rsidRPr="00C1603D">
              <w:rPr>
                <w:lang w:eastAsia="en-GB"/>
              </w:rPr>
              <w:t>iabetes</w:t>
            </w:r>
          </w:p>
        </w:tc>
        <w:tc>
          <w:tcPr>
            <w:tcW w:w="0" w:type="auto"/>
            <w:shd w:val="clear" w:color="000000" w:fill="FFFFFF"/>
          </w:tcPr>
          <w:p w14:paraId="6B61FF27" w14:textId="3887B009" w:rsidR="008B4DF8" w:rsidRPr="00C1603D" w:rsidRDefault="008B4DF8" w:rsidP="00004025">
            <w:pPr>
              <w:pStyle w:val="72TabletextTablesTableFigureBoxstyles"/>
              <w:rPr>
                <w:lang w:eastAsia="en-GB"/>
              </w:rPr>
            </w:pPr>
            <w:r w:rsidRPr="00C1603D">
              <w:rPr>
                <w:lang w:eastAsia="en-GB"/>
              </w:rPr>
              <w:t xml:space="preserve">Type 1 </w:t>
            </w:r>
            <w:r w:rsidR="00AA0501" w:rsidRPr="00C1603D">
              <w:rPr>
                <w:lang w:eastAsia="en-GB"/>
              </w:rPr>
              <w:t>d</w:t>
            </w:r>
            <w:r w:rsidRPr="00C1603D">
              <w:rPr>
                <w:lang w:eastAsia="en-GB"/>
              </w:rPr>
              <w:t>iabetes</w:t>
            </w:r>
          </w:p>
        </w:tc>
        <w:tc>
          <w:tcPr>
            <w:tcW w:w="0" w:type="auto"/>
            <w:shd w:val="clear" w:color="000000" w:fill="FFFFFF"/>
          </w:tcPr>
          <w:p w14:paraId="29866F4F" w14:textId="77777777" w:rsidR="008B4DF8" w:rsidRPr="00C1603D" w:rsidRDefault="008B4DF8" w:rsidP="00004025">
            <w:pPr>
              <w:pStyle w:val="72TabletextTablesTableFigureBoxstyles"/>
              <w:rPr>
                <w:lang w:eastAsia="en-GB"/>
              </w:rPr>
            </w:pPr>
            <w:r w:rsidRPr="00C1603D">
              <w:rPr>
                <w:lang w:eastAsia="en-GB"/>
              </w:rPr>
              <w:t>31</w:t>
            </w:r>
          </w:p>
        </w:tc>
        <w:tc>
          <w:tcPr>
            <w:tcW w:w="0" w:type="auto"/>
            <w:shd w:val="clear" w:color="000000" w:fill="FFFFFF"/>
          </w:tcPr>
          <w:p w14:paraId="2568F228" w14:textId="77777777" w:rsidR="008B4DF8" w:rsidRPr="00C1603D" w:rsidRDefault="008B4DF8" w:rsidP="00004025">
            <w:pPr>
              <w:pStyle w:val="72TabletextTablesTableFigureBoxstyles"/>
              <w:rPr>
                <w:lang w:eastAsia="en-GB"/>
              </w:rPr>
            </w:pPr>
            <w:r w:rsidRPr="00C1603D">
              <w:rPr>
                <w:lang w:eastAsia="en-GB"/>
              </w:rPr>
              <w:t>26,635</w:t>
            </w:r>
          </w:p>
        </w:tc>
        <w:tc>
          <w:tcPr>
            <w:tcW w:w="0" w:type="auto"/>
            <w:shd w:val="clear" w:color="000000" w:fill="FFFFFF"/>
          </w:tcPr>
          <w:p w14:paraId="461EB4CF" w14:textId="77777777" w:rsidR="008B4DF8" w:rsidRPr="00C1603D" w:rsidRDefault="008B4DF8" w:rsidP="00004025">
            <w:pPr>
              <w:pStyle w:val="72TabletextTablesTableFigureBoxstyles"/>
              <w:rPr>
                <w:lang w:eastAsia="en-GB"/>
              </w:rPr>
            </w:pPr>
            <w:r w:rsidRPr="00C1603D">
              <w:rPr>
                <w:lang w:eastAsia="en-GB"/>
              </w:rPr>
              <w:t>1349</w:t>
            </w:r>
          </w:p>
        </w:tc>
        <w:tc>
          <w:tcPr>
            <w:tcW w:w="0" w:type="auto"/>
            <w:shd w:val="clear" w:color="000000" w:fill="FFFFFF"/>
          </w:tcPr>
          <w:p w14:paraId="0ADECF7E" w14:textId="77777777" w:rsidR="00CB1142" w:rsidRPr="00C1603D" w:rsidRDefault="008B4DF8" w:rsidP="00CB1142">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11</w:t>
            </w:r>
          </w:p>
          <w:p w14:paraId="1A031894" w14:textId="77777777" w:rsidR="00CB1142" w:rsidRPr="00C1603D" w:rsidRDefault="008B4DF8" w:rsidP="00CB1142">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12</w:t>
            </w:r>
          </w:p>
          <w:p w14:paraId="230B3F98" w14:textId="1E7F7047" w:rsidR="008B4DF8" w:rsidRPr="00C1603D" w:rsidRDefault="008B4DF8" w:rsidP="00CB1142">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8</w:t>
            </w:r>
          </w:p>
        </w:tc>
        <w:tc>
          <w:tcPr>
            <w:tcW w:w="0" w:type="auto"/>
            <w:shd w:val="clear" w:color="000000" w:fill="FFFFFF"/>
          </w:tcPr>
          <w:p w14:paraId="69A5A6C9" w14:textId="75ACBB45" w:rsidR="00CB1142" w:rsidRPr="00C1603D" w:rsidRDefault="00B25FE9" w:rsidP="00CB1142">
            <w:pPr>
              <w:pStyle w:val="722TablebulletlistTablesTableFigureBoxstyles"/>
              <w:rPr>
                <w:lang w:eastAsia="en-GB"/>
              </w:rPr>
            </w:pPr>
            <w:r w:rsidRPr="00C1603D">
              <w:rPr>
                <w:lang w:eastAsia="en-GB"/>
              </w:rPr>
              <w:t>Case–control</w:t>
            </w:r>
            <w:r w:rsidR="008B4DF8" w:rsidRPr="00C1603D">
              <w:rPr>
                <w:lang w:eastAsia="en-GB"/>
              </w:rPr>
              <w:t xml:space="preserve"> (DI)</w:t>
            </w:r>
            <w:r w:rsidR="00CB1142"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28</w:t>
            </w:r>
          </w:p>
          <w:p w14:paraId="595B7F72" w14:textId="77777777" w:rsidR="00CB1142" w:rsidRPr="00C1603D" w:rsidRDefault="008B4DF8" w:rsidP="00CB1142">
            <w:pPr>
              <w:pStyle w:val="722TablebulletlistTablesTableFigureBoxstyles"/>
              <w:rPr>
                <w:lang w:eastAsia="en-GB"/>
              </w:rPr>
            </w:pPr>
            <w:r w:rsidRPr="00C1603D">
              <w:rPr>
                <w:lang w:eastAsia="en-GB"/>
              </w:rPr>
              <w:t>Nested case–control (CD)</w:t>
            </w:r>
            <w:r w:rsidR="00CB1142" w:rsidRPr="00C1603D">
              <w:rPr>
                <w:lang w:eastAsia="en-GB"/>
              </w:rPr>
              <w:t>,</w:t>
            </w:r>
            <w:r w:rsidRPr="00C1603D">
              <w:rPr>
                <w:vertAlign w:val="superscript"/>
                <w:lang w:eastAsia="en-GB"/>
              </w:rPr>
              <w:t>b</w:t>
            </w:r>
            <w:r w:rsidRPr="00C1603D">
              <w:rPr>
                <w:lang w:eastAsia="en-GB"/>
              </w:rPr>
              <w:t xml:space="preserve"> </w:t>
            </w:r>
            <w:r w:rsidRPr="00C1603D">
              <w:rPr>
                <w:i/>
                <w:lang w:eastAsia="en-GB"/>
              </w:rPr>
              <w:t>n</w:t>
            </w:r>
            <w:r w:rsidRPr="00C1603D">
              <w:rPr>
                <w:lang w:eastAsia="en-GB"/>
              </w:rPr>
              <w:t> = 1</w:t>
            </w:r>
          </w:p>
          <w:p w14:paraId="01936E42" w14:textId="29F93B0F" w:rsidR="008B4DF8" w:rsidRPr="00C1603D" w:rsidRDefault="008B4DF8" w:rsidP="00CB1142">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2</w:t>
            </w:r>
          </w:p>
        </w:tc>
        <w:tc>
          <w:tcPr>
            <w:tcW w:w="0" w:type="auto"/>
            <w:shd w:val="clear" w:color="000000" w:fill="FFFFFF"/>
          </w:tcPr>
          <w:p w14:paraId="5F41BD1E" w14:textId="77777777" w:rsidR="00CB1142" w:rsidRPr="00C1603D" w:rsidRDefault="008B4DF8" w:rsidP="00CB1142">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27</w:t>
            </w:r>
          </w:p>
          <w:p w14:paraId="0FF98AC2" w14:textId="5F1261E0" w:rsidR="008B4DF8" w:rsidRPr="00C1603D" w:rsidRDefault="008B4DF8" w:rsidP="00CB1142">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4</w:t>
            </w:r>
          </w:p>
        </w:tc>
        <w:tc>
          <w:tcPr>
            <w:tcW w:w="0" w:type="auto"/>
            <w:shd w:val="clear" w:color="000000" w:fill="FFFFFF"/>
          </w:tcPr>
          <w:p w14:paraId="4F60E53F" w14:textId="77777777" w:rsidR="00CB1142" w:rsidRPr="00C1603D" w:rsidRDefault="008B4DF8" w:rsidP="00CB1142">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17</w:t>
            </w:r>
          </w:p>
          <w:p w14:paraId="734CF177" w14:textId="7881FED1" w:rsidR="008B4DF8" w:rsidRPr="00C1603D" w:rsidRDefault="00CB1142" w:rsidP="00CB1142">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14</w:t>
            </w:r>
          </w:p>
        </w:tc>
      </w:tr>
      <w:tr w:rsidR="00CB1142" w:rsidRPr="00C1603D" w14:paraId="18F6DE25" w14:textId="77777777" w:rsidTr="00004025">
        <w:trPr>
          <w:cantSplit/>
        </w:trPr>
        <w:tc>
          <w:tcPr>
            <w:tcW w:w="0" w:type="auto"/>
            <w:shd w:val="clear" w:color="000000" w:fill="FFFFFF"/>
          </w:tcPr>
          <w:p w14:paraId="2E2993D4" w14:textId="52E14536" w:rsidR="008B4DF8" w:rsidRPr="00C1603D" w:rsidRDefault="008B4DF8" w:rsidP="00004025">
            <w:pPr>
              <w:pStyle w:val="72TabletextTablesTableFigureBoxstyles"/>
              <w:rPr>
                <w:lang w:eastAsia="en-GB"/>
              </w:rPr>
            </w:pPr>
            <w:r w:rsidRPr="00C1603D">
              <w:rPr>
                <w:lang w:eastAsia="en-GB"/>
              </w:rPr>
              <w:t xml:space="preserve">Type 2 </w:t>
            </w:r>
            <w:r w:rsidR="00AA0501" w:rsidRPr="00C1603D">
              <w:rPr>
                <w:lang w:eastAsia="en-GB"/>
              </w:rPr>
              <w:t>d</w:t>
            </w:r>
            <w:r w:rsidRPr="00C1603D">
              <w:rPr>
                <w:lang w:eastAsia="en-GB"/>
              </w:rPr>
              <w:t>iabetes</w:t>
            </w:r>
          </w:p>
        </w:tc>
        <w:tc>
          <w:tcPr>
            <w:tcW w:w="0" w:type="auto"/>
            <w:shd w:val="clear" w:color="000000" w:fill="FFFFFF"/>
          </w:tcPr>
          <w:p w14:paraId="0C18FB25" w14:textId="6EDC6B4E" w:rsidR="008B4DF8" w:rsidRPr="00C1603D" w:rsidRDefault="008B4DF8" w:rsidP="00004025">
            <w:pPr>
              <w:pStyle w:val="72TabletextTablesTableFigureBoxstyles"/>
              <w:rPr>
                <w:lang w:eastAsia="en-GB"/>
              </w:rPr>
            </w:pPr>
            <w:r w:rsidRPr="00C1603D">
              <w:rPr>
                <w:lang w:eastAsia="en-GB"/>
              </w:rPr>
              <w:t xml:space="preserve">Type 2 </w:t>
            </w:r>
            <w:r w:rsidR="00AA0501" w:rsidRPr="00C1603D">
              <w:rPr>
                <w:lang w:eastAsia="en-GB"/>
              </w:rPr>
              <w:t>d</w:t>
            </w:r>
            <w:r w:rsidRPr="00C1603D">
              <w:rPr>
                <w:lang w:eastAsia="en-GB"/>
              </w:rPr>
              <w:t>iabetes</w:t>
            </w:r>
          </w:p>
        </w:tc>
        <w:tc>
          <w:tcPr>
            <w:tcW w:w="0" w:type="auto"/>
            <w:shd w:val="clear" w:color="000000" w:fill="FFFFFF"/>
          </w:tcPr>
          <w:p w14:paraId="356766BA" w14:textId="77777777" w:rsidR="008B4DF8" w:rsidRPr="00C1603D" w:rsidRDefault="008B4DF8" w:rsidP="00004025">
            <w:pPr>
              <w:pStyle w:val="72TabletextTablesTableFigureBoxstyles"/>
              <w:rPr>
                <w:lang w:eastAsia="en-GB"/>
              </w:rPr>
            </w:pPr>
            <w:r w:rsidRPr="00C1603D">
              <w:rPr>
                <w:lang w:eastAsia="en-GB"/>
              </w:rPr>
              <w:t>6</w:t>
            </w:r>
          </w:p>
        </w:tc>
        <w:tc>
          <w:tcPr>
            <w:tcW w:w="0" w:type="auto"/>
            <w:shd w:val="clear" w:color="000000" w:fill="FFFFFF"/>
          </w:tcPr>
          <w:p w14:paraId="5ADCAE75" w14:textId="419899FC" w:rsidR="008B4DF8" w:rsidRPr="00C1603D" w:rsidRDefault="008B4DF8" w:rsidP="00004025">
            <w:pPr>
              <w:pStyle w:val="72TabletextTablesTableFigureBoxstyles"/>
              <w:rPr>
                <w:lang w:eastAsia="en-GB"/>
              </w:rPr>
            </w:pPr>
            <w:r w:rsidRPr="00C1603D">
              <w:rPr>
                <w:lang w:eastAsia="en-GB"/>
              </w:rPr>
              <w:t>8199</w:t>
            </w:r>
          </w:p>
        </w:tc>
        <w:tc>
          <w:tcPr>
            <w:tcW w:w="0" w:type="auto"/>
            <w:shd w:val="clear" w:color="000000" w:fill="FFFFFF"/>
          </w:tcPr>
          <w:p w14:paraId="5F1DA3E1" w14:textId="77777777" w:rsidR="008B4DF8" w:rsidRPr="00C1603D" w:rsidRDefault="008B4DF8" w:rsidP="00004025">
            <w:pPr>
              <w:pStyle w:val="72TabletextTablesTableFigureBoxstyles"/>
              <w:rPr>
                <w:lang w:eastAsia="en-GB"/>
              </w:rPr>
            </w:pPr>
            <w:r w:rsidRPr="00C1603D">
              <w:rPr>
                <w:lang w:eastAsia="en-GB"/>
              </w:rPr>
              <w:t>110</w:t>
            </w:r>
          </w:p>
        </w:tc>
        <w:tc>
          <w:tcPr>
            <w:tcW w:w="0" w:type="auto"/>
            <w:shd w:val="clear" w:color="000000" w:fill="FFFFFF"/>
          </w:tcPr>
          <w:p w14:paraId="7461705E" w14:textId="77777777" w:rsidR="00CB1142" w:rsidRPr="00C1603D" w:rsidRDefault="008B4DF8" w:rsidP="00CB1142">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4</w:t>
            </w:r>
          </w:p>
          <w:p w14:paraId="0F24E5BA" w14:textId="121CC294" w:rsidR="008B4DF8" w:rsidRPr="00C1603D" w:rsidRDefault="008B4DF8" w:rsidP="00CB1142">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2</w:t>
            </w:r>
          </w:p>
        </w:tc>
        <w:tc>
          <w:tcPr>
            <w:tcW w:w="0" w:type="auto"/>
            <w:shd w:val="clear" w:color="000000" w:fill="FFFFFF"/>
          </w:tcPr>
          <w:p w14:paraId="6986CCFD" w14:textId="1D48A906" w:rsidR="00CB1142" w:rsidRPr="00C1603D" w:rsidRDefault="00B25FE9" w:rsidP="00CB1142">
            <w:pPr>
              <w:pStyle w:val="722TablebulletlistTablesTableFigureBoxstyles"/>
              <w:rPr>
                <w:lang w:eastAsia="en-GB"/>
              </w:rPr>
            </w:pPr>
            <w:r w:rsidRPr="00C1603D">
              <w:rPr>
                <w:lang w:eastAsia="en-GB"/>
              </w:rPr>
              <w:t>Case–control</w:t>
            </w:r>
            <w:r w:rsidR="008B4DF8" w:rsidRPr="00C1603D">
              <w:rPr>
                <w:lang w:eastAsia="en-GB"/>
              </w:rPr>
              <w:t xml:space="preserve"> (DI)</w:t>
            </w:r>
            <w:r w:rsidR="00CB1142"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5</w:t>
            </w:r>
          </w:p>
          <w:p w14:paraId="158DD522" w14:textId="59749BB8" w:rsidR="008B4DF8" w:rsidRPr="00C1603D" w:rsidRDefault="008B4DF8" w:rsidP="00CB1142">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1</w:t>
            </w:r>
          </w:p>
        </w:tc>
        <w:tc>
          <w:tcPr>
            <w:tcW w:w="0" w:type="auto"/>
            <w:shd w:val="clear" w:color="000000" w:fill="FFFFFF"/>
          </w:tcPr>
          <w:p w14:paraId="55249967" w14:textId="77777777" w:rsidR="00CB1142" w:rsidRPr="00C1603D" w:rsidRDefault="008B4DF8" w:rsidP="00CB1142">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5</w:t>
            </w:r>
          </w:p>
          <w:p w14:paraId="7D36348B" w14:textId="2D5947CF" w:rsidR="008B4DF8" w:rsidRPr="00C1603D" w:rsidRDefault="008B4DF8" w:rsidP="00CB1142">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1</w:t>
            </w:r>
          </w:p>
        </w:tc>
        <w:tc>
          <w:tcPr>
            <w:tcW w:w="0" w:type="auto"/>
            <w:shd w:val="clear" w:color="000000" w:fill="FFFFFF"/>
          </w:tcPr>
          <w:p w14:paraId="66CCD0DB" w14:textId="77777777" w:rsidR="00CB1142" w:rsidRPr="00C1603D" w:rsidRDefault="008B4DF8" w:rsidP="00CB1142">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5</w:t>
            </w:r>
          </w:p>
          <w:p w14:paraId="238AA55E" w14:textId="5F911CEC" w:rsidR="008B4DF8" w:rsidRPr="00C1603D" w:rsidRDefault="00CB1142" w:rsidP="00CB1142">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1</w:t>
            </w:r>
          </w:p>
        </w:tc>
      </w:tr>
      <w:tr w:rsidR="008B4DF8" w:rsidRPr="00C1603D" w14:paraId="231544AD" w14:textId="77777777" w:rsidTr="00004025">
        <w:trPr>
          <w:cantSplit/>
        </w:trPr>
        <w:tc>
          <w:tcPr>
            <w:tcW w:w="0" w:type="auto"/>
            <w:gridSpan w:val="9"/>
            <w:shd w:val="clear" w:color="000000" w:fill="FFFFFF"/>
          </w:tcPr>
          <w:p w14:paraId="51B4E07F" w14:textId="77777777" w:rsidR="008B4DF8" w:rsidRPr="00C1603D" w:rsidRDefault="008B4DF8" w:rsidP="00004025">
            <w:pPr>
              <w:pStyle w:val="711TablesubheadATablesTableFigureBoxstyles"/>
              <w:rPr>
                <w:lang w:eastAsia="en-GB"/>
              </w:rPr>
            </w:pPr>
            <w:r w:rsidRPr="00C1603D">
              <w:rPr>
                <w:lang w:eastAsia="en-GB"/>
              </w:rPr>
              <w:t>Family history</w:t>
            </w:r>
          </w:p>
        </w:tc>
      </w:tr>
      <w:tr w:rsidR="00CB1142" w:rsidRPr="00C1603D" w14:paraId="7773C3A9" w14:textId="77777777" w:rsidTr="00004025">
        <w:trPr>
          <w:cantSplit/>
        </w:trPr>
        <w:tc>
          <w:tcPr>
            <w:tcW w:w="0" w:type="auto"/>
            <w:shd w:val="clear" w:color="000000" w:fill="FFFFFF"/>
          </w:tcPr>
          <w:p w14:paraId="01F860D7" w14:textId="77777777" w:rsidR="008B4DF8" w:rsidRPr="00C1603D" w:rsidRDefault="008B4DF8" w:rsidP="00004025">
            <w:pPr>
              <w:pStyle w:val="72TabletextTablesTableFigureBoxstyles"/>
              <w:rPr>
                <w:lang w:eastAsia="en-GB"/>
              </w:rPr>
            </w:pPr>
            <w:r w:rsidRPr="00C1603D">
              <w:rPr>
                <w:lang w:eastAsia="en-GB"/>
              </w:rPr>
              <w:lastRenderedPageBreak/>
              <w:t>Family history of CD</w:t>
            </w:r>
          </w:p>
        </w:tc>
        <w:tc>
          <w:tcPr>
            <w:tcW w:w="0" w:type="auto"/>
            <w:shd w:val="clear" w:color="000000" w:fill="FFFFFF"/>
          </w:tcPr>
          <w:p w14:paraId="30A7D03A" w14:textId="35608DE0" w:rsidR="008B4DF8" w:rsidRPr="00C1603D" w:rsidRDefault="008B4DF8" w:rsidP="00004025">
            <w:pPr>
              <w:pStyle w:val="72TabletextTablesTableFigureBoxstyles"/>
              <w:rPr>
                <w:lang w:eastAsia="en-GB"/>
              </w:rPr>
            </w:pPr>
            <w:r w:rsidRPr="00C1603D">
              <w:rPr>
                <w:lang w:eastAsia="en-GB"/>
              </w:rPr>
              <w:t>Relatives with CD (first or second</w:t>
            </w:r>
            <w:r w:rsidR="00ED70A2" w:rsidRPr="00C1603D">
              <w:rPr>
                <w:lang w:eastAsia="en-GB"/>
              </w:rPr>
              <w:t xml:space="preserve"> </w:t>
            </w:r>
            <w:r w:rsidRPr="00C1603D">
              <w:rPr>
                <w:lang w:eastAsia="en-GB"/>
              </w:rPr>
              <w:t>degree</w:t>
            </w:r>
            <w:r w:rsidR="00ED70A2" w:rsidRPr="00C1603D">
              <w:rPr>
                <w:lang w:eastAsia="en-GB"/>
              </w:rPr>
              <w:t>,</w:t>
            </w:r>
            <w:r w:rsidRPr="00C1603D">
              <w:rPr>
                <w:lang w:eastAsia="en-GB"/>
              </w:rPr>
              <w:t xml:space="preserve"> or unspecified)</w:t>
            </w:r>
          </w:p>
        </w:tc>
        <w:tc>
          <w:tcPr>
            <w:tcW w:w="0" w:type="auto"/>
            <w:shd w:val="clear" w:color="000000" w:fill="FFFFFF"/>
          </w:tcPr>
          <w:p w14:paraId="30EC1CC9" w14:textId="77777777" w:rsidR="008B4DF8" w:rsidRPr="00C1603D" w:rsidRDefault="008B4DF8" w:rsidP="00004025">
            <w:pPr>
              <w:pStyle w:val="72TabletextTablesTableFigureBoxstyles"/>
              <w:rPr>
                <w:lang w:eastAsia="en-GB"/>
              </w:rPr>
            </w:pPr>
            <w:r w:rsidRPr="00C1603D">
              <w:rPr>
                <w:lang w:eastAsia="en-GB"/>
              </w:rPr>
              <w:t>13</w:t>
            </w:r>
          </w:p>
        </w:tc>
        <w:tc>
          <w:tcPr>
            <w:tcW w:w="0" w:type="auto"/>
            <w:shd w:val="clear" w:color="000000" w:fill="FFFFFF"/>
          </w:tcPr>
          <w:p w14:paraId="6D192215" w14:textId="77777777" w:rsidR="008B4DF8" w:rsidRPr="00C1603D" w:rsidRDefault="008B4DF8" w:rsidP="00004025">
            <w:pPr>
              <w:pStyle w:val="72TabletextTablesTableFigureBoxstyles"/>
              <w:rPr>
                <w:lang w:eastAsia="en-GB"/>
              </w:rPr>
            </w:pPr>
            <w:r w:rsidRPr="00C1603D">
              <w:rPr>
                <w:lang w:eastAsia="en-GB"/>
              </w:rPr>
              <w:t>31,827</w:t>
            </w:r>
          </w:p>
        </w:tc>
        <w:tc>
          <w:tcPr>
            <w:tcW w:w="0" w:type="auto"/>
            <w:shd w:val="clear" w:color="000000" w:fill="FFFFFF"/>
          </w:tcPr>
          <w:p w14:paraId="783D8260" w14:textId="77777777" w:rsidR="008B4DF8" w:rsidRPr="00C1603D" w:rsidRDefault="008B4DF8" w:rsidP="00004025">
            <w:pPr>
              <w:pStyle w:val="72TabletextTablesTableFigureBoxstyles"/>
              <w:rPr>
                <w:lang w:eastAsia="en-GB"/>
              </w:rPr>
            </w:pPr>
            <w:r w:rsidRPr="00C1603D">
              <w:rPr>
                <w:lang w:eastAsia="en-GB"/>
              </w:rPr>
              <w:t>672</w:t>
            </w:r>
          </w:p>
        </w:tc>
        <w:tc>
          <w:tcPr>
            <w:tcW w:w="0" w:type="auto"/>
            <w:shd w:val="clear" w:color="000000" w:fill="FFFFFF"/>
          </w:tcPr>
          <w:p w14:paraId="710356FE" w14:textId="77777777" w:rsidR="00CB1142" w:rsidRPr="00C1603D" w:rsidRDefault="008B4DF8" w:rsidP="00CB1142">
            <w:pPr>
              <w:pStyle w:val="722TablebulletlistTablesTableFigureBoxstyles"/>
              <w:rPr>
                <w:lang w:eastAsia="en-GB"/>
              </w:rPr>
            </w:pPr>
            <w:r w:rsidRPr="00C1603D">
              <w:rPr>
                <w:lang w:eastAsia="en-GB"/>
              </w:rPr>
              <w:t xml:space="preserve">Adults, </w:t>
            </w:r>
            <w:r w:rsidRPr="00C1603D">
              <w:rPr>
                <w:i/>
                <w:lang w:eastAsia="en-GB"/>
              </w:rPr>
              <w:t>n</w:t>
            </w:r>
            <w:r w:rsidRPr="00C1603D">
              <w:rPr>
                <w:lang w:eastAsia="en-GB"/>
              </w:rPr>
              <w:t> = 5</w:t>
            </w:r>
          </w:p>
          <w:p w14:paraId="0CE807AE" w14:textId="77777777" w:rsidR="00CB1142" w:rsidRPr="00C1603D" w:rsidRDefault="008B4DF8" w:rsidP="00CB1142">
            <w:pPr>
              <w:pStyle w:val="722TablebulletlistTablesTableFigureBoxstyles"/>
              <w:rPr>
                <w:lang w:eastAsia="en-GB"/>
              </w:rPr>
            </w:pPr>
            <w:r w:rsidRPr="00C1603D">
              <w:rPr>
                <w:lang w:eastAsia="en-GB"/>
              </w:rPr>
              <w:t xml:space="preserve">Children, </w:t>
            </w:r>
            <w:r w:rsidRPr="00C1603D">
              <w:rPr>
                <w:i/>
                <w:lang w:eastAsia="en-GB"/>
              </w:rPr>
              <w:t>n</w:t>
            </w:r>
            <w:r w:rsidRPr="00C1603D">
              <w:rPr>
                <w:lang w:eastAsia="en-GB"/>
              </w:rPr>
              <w:t> = 4</w:t>
            </w:r>
          </w:p>
          <w:p w14:paraId="6ABF9BBA" w14:textId="69235E5D" w:rsidR="008B4DF8" w:rsidRPr="00C1603D" w:rsidRDefault="008B4DF8" w:rsidP="00CB1142">
            <w:pPr>
              <w:pStyle w:val="722TablebulletlistTablesTableFigureBoxstyles"/>
              <w:rPr>
                <w:lang w:eastAsia="en-GB"/>
              </w:rPr>
            </w:pPr>
            <w:r w:rsidRPr="00C1603D">
              <w:rPr>
                <w:lang w:eastAsia="en-GB"/>
              </w:rPr>
              <w:t xml:space="preserve">Mixed, </w:t>
            </w:r>
            <w:r w:rsidRPr="00C1603D">
              <w:rPr>
                <w:i/>
                <w:lang w:eastAsia="en-GB"/>
              </w:rPr>
              <w:t>n</w:t>
            </w:r>
            <w:r w:rsidRPr="00C1603D">
              <w:rPr>
                <w:lang w:eastAsia="en-GB"/>
              </w:rPr>
              <w:t> = 4</w:t>
            </w:r>
          </w:p>
        </w:tc>
        <w:tc>
          <w:tcPr>
            <w:tcW w:w="0" w:type="auto"/>
            <w:shd w:val="clear" w:color="000000" w:fill="FFFFFF"/>
          </w:tcPr>
          <w:p w14:paraId="6D7A7AD0" w14:textId="7DBE66DD" w:rsidR="00CB1142" w:rsidRPr="00C1603D" w:rsidRDefault="00B25FE9" w:rsidP="00CB1142">
            <w:pPr>
              <w:pStyle w:val="722TablebulletlistTablesTableFigureBoxstyles"/>
              <w:rPr>
                <w:lang w:eastAsia="en-GB"/>
              </w:rPr>
            </w:pPr>
            <w:r w:rsidRPr="00C1603D">
              <w:rPr>
                <w:lang w:eastAsia="en-GB"/>
              </w:rPr>
              <w:t>Case–control</w:t>
            </w:r>
            <w:r w:rsidR="008B4DF8" w:rsidRPr="00C1603D">
              <w:rPr>
                <w:lang w:eastAsia="en-GB"/>
              </w:rPr>
              <w:t xml:space="preserve"> (DI)</w:t>
            </w:r>
            <w:r w:rsidR="00CB1142" w:rsidRPr="00C1603D">
              <w:rPr>
                <w:lang w:eastAsia="en-GB"/>
              </w:rPr>
              <w:t>,</w:t>
            </w:r>
            <w:r w:rsidR="008B4DF8" w:rsidRPr="00C1603D">
              <w:rPr>
                <w:vertAlign w:val="superscript"/>
                <w:lang w:eastAsia="en-GB"/>
              </w:rPr>
              <w:t>a</w:t>
            </w:r>
            <w:r w:rsidR="008B4DF8" w:rsidRPr="00C1603D">
              <w:rPr>
                <w:lang w:eastAsia="en-GB"/>
              </w:rPr>
              <w:t xml:space="preserve"> </w:t>
            </w:r>
            <w:r w:rsidR="008B4DF8" w:rsidRPr="00C1603D">
              <w:rPr>
                <w:i/>
                <w:lang w:eastAsia="en-GB"/>
              </w:rPr>
              <w:t>n</w:t>
            </w:r>
            <w:r w:rsidR="008B4DF8" w:rsidRPr="00C1603D">
              <w:rPr>
                <w:lang w:eastAsia="en-GB"/>
              </w:rPr>
              <w:t> = 6</w:t>
            </w:r>
          </w:p>
          <w:p w14:paraId="34506074" w14:textId="47AAD352" w:rsidR="00CB1142" w:rsidRPr="00C1603D" w:rsidRDefault="00B25FE9" w:rsidP="00CB1142">
            <w:pPr>
              <w:pStyle w:val="722TablebulletlistTablesTableFigureBoxstyles"/>
              <w:rPr>
                <w:lang w:eastAsia="en-GB"/>
              </w:rPr>
            </w:pPr>
            <w:r w:rsidRPr="00C1603D">
              <w:rPr>
                <w:lang w:eastAsia="en-GB"/>
              </w:rPr>
              <w:t>Case–control</w:t>
            </w:r>
            <w:r w:rsidR="008B4DF8" w:rsidRPr="00C1603D">
              <w:rPr>
                <w:lang w:eastAsia="en-GB"/>
              </w:rPr>
              <w:t xml:space="preserve"> (CD)</w:t>
            </w:r>
            <w:r w:rsidR="00CB1142" w:rsidRPr="00C1603D">
              <w:rPr>
                <w:lang w:eastAsia="en-GB"/>
              </w:rPr>
              <w:t>,</w:t>
            </w:r>
            <w:r w:rsidR="008B4DF8" w:rsidRPr="00C1603D">
              <w:rPr>
                <w:vertAlign w:val="superscript"/>
                <w:lang w:eastAsia="en-GB"/>
              </w:rPr>
              <w:t>b</w:t>
            </w:r>
            <w:r w:rsidR="008B4DF8" w:rsidRPr="00C1603D">
              <w:rPr>
                <w:lang w:eastAsia="en-GB"/>
              </w:rPr>
              <w:t xml:space="preserve"> </w:t>
            </w:r>
            <w:r w:rsidR="008B4DF8" w:rsidRPr="00C1603D">
              <w:rPr>
                <w:i/>
                <w:lang w:eastAsia="en-GB"/>
              </w:rPr>
              <w:t>n</w:t>
            </w:r>
            <w:r w:rsidR="008B4DF8" w:rsidRPr="00C1603D">
              <w:rPr>
                <w:lang w:eastAsia="en-GB"/>
              </w:rPr>
              <w:t> = 1</w:t>
            </w:r>
          </w:p>
          <w:p w14:paraId="28AD8E31" w14:textId="37F5969C" w:rsidR="00CB1142" w:rsidRPr="00C1603D" w:rsidRDefault="008B4DF8" w:rsidP="00CB1142">
            <w:pPr>
              <w:pStyle w:val="722TablebulletlistTablesTableFigureBoxstyles"/>
              <w:rPr>
                <w:lang w:eastAsia="en-GB"/>
              </w:rPr>
            </w:pPr>
            <w:r w:rsidRPr="00C1603D">
              <w:rPr>
                <w:lang w:eastAsia="en-GB"/>
              </w:rPr>
              <w:t>Nested case–control (DI)</w:t>
            </w:r>
            <w:r w:rsidR="00CB1142" w:rsidRPr="00C1603D">
              <w:rPr>
                <w:lang w:eastAsia="en-GB"/>
              </w:rPr>
              <w:t>,</w:t>
            </w:r>
            <w:r w:rsidRPr="00C1603D">
              <w:rPr>
                <w:vertAlign w:val="superscript"/>
                <w:lang w:eastAsia="en-GB"/>
              </w:rPr>
              <w:t>a</w:t>
            </w:r>
            <w:r w:rsidRPr="00C1603D">
              <w:rPr>
                <w:lang w:eastAsia="en-GB"/>
              </w:rPr>
              <w:t xml:space="preserve"> </w:t>
            </w:r>
            <w:r w:rsidRPr="00C1603D">
              <w:rPr>
                <w:i/>
                <w:lang w:eastAsia="en-GB"/>
              </w:rPr>
              <w:t>n</w:t>
            </w:r>
            <w:r w:rsidRPr="00C1603D">
              <w:rPr>
                <w:lang w:eastAsia="en-GB"/>
              </w:rPr>
              <w:t> = 1</w:t>
            </w:r>
          </w:p>
          <w:p w14:paraId="53C61C57" w14:textId="79395CE4" w:rsidR="008B4DF8" w:rsidRPr="00C1603D" w:rsidRDefault="008B4DF8" w:rsidP="00CB1142">
            <w:pPr>
              <w:pStyle w:val="722TablebulletlistTablesTableFigureBoxstyles"/>
              <w:rPr>
                <w:lang w:eastAsia="en-GB"/>
              </w:rPr>
            </w:pPr>
            <w:r w:rsidRPr="00C1603D">
              <w:rPr>
                <w:lang w:eastAsia="en-GB"/>
              </w:rPr>
              <w:t xml:space="preserve">Cohort/cross-sectional, </w:t>
            </w:r>
            <w:r w:rsidRPr="00C1603D">
              <w:rPr>
                <w:i/>
                <w:lang w:eastAsia="en-GB"/>
              </w:rPr>
              <w:t>n</w:t>
            </w:r>
            <w:r w:rsidRPr="00C1603D">
              <w:rPr>
                <w:lang w:eastAsia="en-GB"/>
              </w:rPr>
              <w:t> = 5</w:t>
            </w:r>
          </w:p>
        </w:tc>
        <w:tc>
          <w:tcPr>
            <w:tcW w:w="0" w:type="auto"/>
            <w:shd w:val="clear" w:color="000000" w:fill="FFFFFF"/>
          </w:tcPr>
          <w:p w14:paraId="0440E0B9" w14:textId="77777777" w:rsidR="00CB1142" w:rsidRPr="00C1603D" w:rsidRDefault="008B4DF8" w:rsidP="00CB1142">
            <w:pPr>
              <w:pStyle w:val="722TablebulletlistTablesTableFigureBoxstyles"/>
              <w:rPr>
                <w:lang w:eastAsia="en-GB"/>
              </w:rPr>
            </w:pPr>
            <w:r w:rsidRPr="00C1603D">
              <w:rPr>
                <w:lang w:eastAsia="en-GB"/>
              </w:rPr>
              <w:t xml:space="preserve">Healthy controls, </w:t>
            </w:r>
            <w:r w:rsidRPr="00C1603D">
              <w:rPr>
                <w:i/>
                <w:lang w:eastAsia="en-GB"/>
              </w:rPr>
              <w:t>n</w:t>
            </w:r>
            <w:r w:rsidRPr="00C1603D">
              <w:rPr>
                <w:lang w:eastAsia="en-GB"/>
              </w:rPr>
              <w:t> = 6</w:t>
            </w:r>
          </w:p>
          <w:p w14:paraId="723A136A" w14:textId="71271AED" w:rsidR="008B4DF8" w:rsidRPr="00C1603D" w:rsidRDefault="008B4DF8" w:rsidP="00CB1142">
            <w:pPr>
              <w:pStyle w:val="722TablebulletlistTablesTableFigureBoxstyles"/>
              <w:rPr>
                <w:lang w:eastAsia="en-GB"/>
              </w:rPr>
            </w:pPr>
            <w:r w:rsidRPr="00C1603D">
              <w:rPr>
                <w:lang w:eastAsia="en-GB"/>
              </w:rPr>
              <w:t xml:space="preserve">Population sample without diagnostic indicator, </w:t>
            </w:r>
            <w:r w:rsidRPr="00C1603D">
              <w:rPr>
                <w:i/>
                <w:lang w:eastAsia="en-GB"/>
              </w:rPr>
              <w:t>n</w:t>
            </w:r>
            <w:r w:rsidRPr="00C1603D">
              <w:rPr>
                <w:lang w:eastAsia="en-GB"/>
              </w:rPr>
              <w:t> = 7</w:t>
            </w:r>
          </w:p>
        </w:tc>
        <w:tc>
          <w:tcPr>
            <w:tcW w:w="0" w:type="auto"/>
            <w:shd w:val="clear" w:color="000000" w:fill="FFFFFF"/>
          </w:tcPr>
          <w:p w14:paraId="01C1629A" w14:textId="77777777" w:rsidR="00CB1142" w:rsidRPr="00C1603D" w:rsidRDefault="008B4DF8" w:rsidP="00CB1142">
            <w:pPr>
              <w:pStyle w:val="722TablebulletlistTablesTableFigureBoxstyles"/>
              <w:rPr>
                <w:lang w:eastAsia="en-GB"/>
              </w:rPr>
            </w:pPr>
            <w:r w:rsidRPr="00C1603D">
              <w:rPr>
                <w:lang w:eastAsia="en-GB"/>
              </w:rPr>
              <w:t xml:space="preserve">Serology only, </w:t>
            </w:r>
            <w:r w:rsidRPr="00C1603D">
              <w:rPr>
                <w:i/>
                <w:lang w:eastAsia="en-GB"/>
              </w:rPr>
              <w:t>n</w:t>
            </w:r>
            <w:r w:rsidRPr="00C1603D">
              <w:rPr>
                <w:lang w:eastAsia="en-GB"/>
              </w:rPr>
              <w:t> = 12</w:t>
            </w:r>
          </w:p>
          <w:p w14:paraId="3907B33B" w14:textId="0B4C189C" w:rsidR="008B4DF8" w:rsidRPr="00C1603D" w:rsidRDefault="00CB1142" w:rsidP="00CB1142">
            <w:pPr>
              <w:pStyle w:val="722TablebulletlistTablesTableFigureBoxstyles"/>
              <w:rPr>
                <w:lang w:eastAsia="en-GB"/>
              </w:rPr>
            </w:pPr>
            <w:r w:rsidRPr="00C1603D">
              <w:rPr>
                <w:lang w:eastAsia="en-GB"/>
              </w:rPr>
              <w:t>Biopsy ± </w:t>
            </w:r>
            <w:r w:rsidR="008B4DF8" w:rsidRPr="00C1603D">
              <w:rPr>
                <w:lang w:eastAsia="en-GB"/>
              </w:rPr>
              <w:t xml:space="preserve">serology, </w:t>
            </w:r>
            <w:r w:rsidR="008B4DF8" w:rsidRPr="00C1603D">
              <w:rPr>
                <w:i/>
                <w:lang w:eastAsia="en-GB"/>
              </w:rPr>
              <w:t>n</w:t>
            </w:r>
            <w:r w:rsidR="008B4DF8" w:rsidRPr="00C1603D">
              <w:rPr>
                <w:lang w:eastAsia="en-GB"/>
              </w:rPr>
              <w:t> = 1</w:t>
            </w:r>
          </w:p>
        </w:tc>
      </w:tr>
      <w:tr w:rsidR="00004025" w:rsidRPr="00C1603D" w14:paraId="15EAE4AE" w14:textId="77777777" w:rsidTr="00E62104">
        <w:trPr>
          <w:cantSplit/>
        </w:trPr>
        <w:tc>
          <w:tcPr>
            <w:tcW w:w="0" w:type="auto"/>
            <w:gridSpan w:val="9"/>
            <w:shd w:val="clear" w:color="000000" w:fill="FFFFFF"/>
          </w:tcPr>
          <w:p w14:paraId="27071515" w14:textId="5649F74A" w:rsidR="00004025" w:rsidRPr="00C1603D" w:rsidRDefault="00740D2A" w:rsidP="00B25FE9">
            <w:pPr>
              <w:pStyle w:val="75TablenotesTablesTableFigureBoxstyles"/>
              <w:rPr>
                <w:rFonts w:eastAsia="Calibri"/>
                <w:u w:color="000000"/>
                <w:bdr w:val="nil"/>
                <w:lang w:eastAsia="zh-CN"/>
              </w:rPr>
            </w:pPr>
            <w:r w:rsidRPr="00C1603D">
              <w:rPr>
                <w:u w:color="000000"/>
                <w:bdr w:val="nil"/>
                <w:lang w:eastAsia="en-GB"/>
              </w:rPr>
              <w:t>ALD, alcoholic liver disease;</w:t>
            </w:r>
            <w:r w:rsidRPr="00C1603D">
              <w:rPr>
                <w:rFonts w:eastAsia="Calibri"/>
                <w:u w:color="000000"/>
                <w:bdr w:val="nil"/>
                <w:lang w:eastAsia="zh-CN"/>
              </w:rPr>
              <w:t xml:space="preserve"> </w:t>
            </w:r>
            <w:r w:rsidR="00004025" w:rsidRPr="00C1603D">
              <w:rPr>
                <w:u w:color="000000"/>
                <w:bdr w:val="nil"/>
                <w:lang w:eastAsia="en-GB"/>
              </w:rPr>
              <w:t>AS</w:t>
            </w:r>
            <w:r w:rsidRPr="00C1603D">
              <w:rPr>
                <w:u w:color="000000"/>
                <w:bdr w:val="nil"/>
                <w:lang w:eastAsia="en-GB"/>
              </w:rPr>
              <w:t>,</w:t>
            </w:r>
            <w:r w:rsidR="00004025" w:rsidRPr="00C1603D">
              <w:rPr>
                <w:u w:color="000000"/>
                <w:bdr w:val="nil"/>
                <w:lang w:eastAsia="en-GB"/>
              </w:rPr>
              <w:t xml:space="preserve"> ankylosing spondylitis; </w:t>
            </w:r>
            <w:r w:rsidRPr="00C1603D">
              <w:rPr>
                <w:rFonts w:eastAsia="Calibri"/>
                <w:u w:color="000000"/>
                <w:bdr w:val="nil"/>
                <w:lang w:eastAsia="zh-CN"/>
              </w:rPr>
              <w:t xml:space="preserve">DI, diagnostic indicator; </w:t>
            </w:r>
            <w:r w:rsidR="00004025" w:rsidRPr="00C1603D">
              <w:rPr>
                <w:u w:color="000000"/>
                <w:bdr w:val="nil"/>
                <w:lang w:eastAsia="en-GB"/>
              </w:rPr>
              <w:t>PBC</w:t>
            </w:r>
            <w:r w:rsidRPr="00C1603D">
              <w:rPr>
                <w:u w:color="000000"/>
                <w:bdr w:val="nil"/>
                <w:lang w:eastAsia="en-GB"/>
              </w:rPr>
              <w:t>,</w:t>
            </w:r>
            <w:r w:rsidR="00004025" w:rsidRPr="00C1603D">
              <w:rPr>
                <w:u w:color="000000"/>
                <w:bdr w:val="nil"/>
                <w:lang w:eastAsia="en-GB"/>
              </w:rPr>
              <w:t xml:space="preserve"> primary biliary cirrhosis;</w:t>
            </w:r>
            <w:r w:rsidRPr="00C1603D">
              <w:rPr>
                <w:u w:color="000000"/>
                <w:bdr w:val="nil"/>
                <w:lang w:eastAsia="en-GB"/>
              </w:rPr>
              <w:t xml:space="preserve"> RA, rheumatoid arthritis</w:t>
            </w:r>
            <w:r w:rsidR="00004025" w:rsidRPr="00C1603D">
              <w:rPr>
                <w:u w:color="000000"/>
                <w:bdr w:val="nil"/>
                <w:lang w:eastAsia="en-GB"/>
              </w:rPr>
              <w:t>.</w:t>
            </w:r>
          </w:p>
          <w:p w14:paraId="55C09CCC" w14:textId="0CA95387" w:rsidR="00004025" w:rsidRPr="00C1603D" w:rsidRDefault="00CB1142" w:rsidP="00CB1142">
            <w:pPr>
              <w:pStyle w:val="75TablenotesTablesTableFigureBoxstyles"/>
              <w:rPr>
                <w:rFonts w:eastAsia="Calibri"/>
                <w:u w:color="000000"/>
                <w:bdr w:val="nil"/>
                <w:lang w:eastAsia="zh-CN"/>
              </w:rPr>
            </w:pPr>
            <w:r w:rsidRPr="00C1603D">
              <w:rPr>
                <w:rFonts w:eastAsia="Calibri"/>
                <w:u w:color="000000"/>
                <w:bdr w:val="nil"/>
                <w:lang w:eastAsia="zh-CN"/>
              </w:rPr>
              <w:t>a</w:t>
            </w:r>
            <w:r w:rsidRPr="00C1603D">
              <w:rPr>
                <w:rFonts w:eastAsia="Calibri"/>
                <w:u w:color="000000"/>
                <w:bdr w:val="nil"/>
                <w:lang w:eastAsia="zh-CN"/>
              </w:rPr>
              <w:tab/>
            </w:r>
            <w:r w:rsidR="00004025" w:rsidRPr="00C1603D">
              <w:rPr>
                <w:rFonts w:eastAsia="Calibri"/>
                <w:u w:color="000000"/>
                <w:bdr w:val="nil"/>
                <w:lang w:eastAsia="zh-CN"/>
              </w:rPr>
              <w:t>(Nested</w:t>
            </w:r>
            <w:r w:rsidR="00004025" w:rsidRPr="00C1603D">
              <w:rPr>
                <w:rFonts w:eastAsia="Calibri"/>
              </w:rPr>
              <w:t>) case–control (</w:t>
            </w:r>
            <w:r w:rsidR="00004025" w:rsidRPr="00C1603D">
              <w:rPr>
                <w:rFonts w:eastAsia="Calibri"/>
                <w:u w:color="000000"/>
                <w:bdr w:val="nil"/>
                <w:lang w:eastAsia="zh-CN"/>
              </w:rPr>
              <w:t xml:space="preserve">DI): (nested) </w:t>
            </w:r>
            <w:r w:rsidR="00004025" w:rsidRPr="00C1603D">
              <w:rPr>
                <w:rFonts w:eastAsia="Calibri"/>
              </w:rPr>
              <w:t>case–control</w:t>
            </w:r>
            <w:r w:rsidR="00004025" w:rsidRPr="00C1603D">
              <w:rPr>
                <w:rFonts w:eastAsia="Calibri"/>
                <w:u w:color="000000"/>
                <w:bdr w:val="nil"/>
                <w:lang w:eastAsia="zh-CN"/>
              </w:rPr>
              <w:t xml:space="preserve"> studies </w:t>
            </w:r>
            <w:r w:rsidRPr="00C1603D">
              <w:rPr>
                <w:rFonts w:eastAsia="Calibri"/>
                <w:u w:color="000000"/>
                <w:bdr w:val="nil"/>
                <w:lang w:eastAsia="zh-CN"/>
              </w:rPr>
              <w:t>in which</w:t>
            </w:r>
            <w:r w:rsidR="00004025" w:rsidRPr="00C1603D">
              <w:rPr>
                <w:rFonts w:eastAsia="Calibri"/>
                <w:u w:color="000000"/>
                <w:bdr w:val="nil"/>
                <w:lang w:eastAsia="zh-CN"/>
              </w:rPr>
              <w:t xml:space="preserve"> cases </w:t>
            </w:r>
            <w:proofErr w:type="gramStart"/>
            <w:r w:rsidR="00004025" w:rsidRPr="00C1603D">
              <w:rPr>
                <w:rFonts w:eastAsia="Calibri"/>
                <w:u w:color="000000"/>
                <w:bdr w:val="nil"/>
                <w:lang w:eastAsia="zh-CN"/>
              </w:rPr>
              <w:t>were recruited</w:t>
            </w:r>
            <w:proofErr w:type="gramEnd"/>
            <w:r w:rsidR="00004025" w:rsidRPr="00C1603D">
              <w:rPr>
                <w:rFonts w:eastAsia="Calibri"/>
                <w:u w:color="000000"/>
                <w:bdr w:val="nil"/>
                <w:lang w:eastAsia="zh-CN"/>
              </w:rPr>
              <w:t xml:space="preserve"> based on having the </w:t>
            </w:r>
            <w:r w:rsidR="00587794" w:rsidRPr="00C1603D">
              <w:rPr>
                <w:rFonts w:eastAsia="Calibri"/>
                <w:u w:color="000000"/>
                <w:bdr w:val="nil"/>
                <w:lang w:eastAsia="zh-CN"/>
              </w:rPr>
              <w:t>DI</w:t>
            </w:r>
            <w:r w:rsidR="00004025" w:rsidRPr="00C1603D">
              <w:rPr>
                <w:rFonts w:eastAsia="Calibri"/>
              </w:rPr>
              <w:t>. ‘Nested’ case–control stu</w:t>
            </w:r>
            <w:r w:rsidR="00004025" w:rsidRPr="00C1603D">
              <w:rPr>
                <w:rFonts w:eastAsia="Calibri"/>
                <w:u w:color="000000"/>
                <w:bdr w:val="nil"/>
                <w:lang w:eastAsia="zh-CN"/>
              </w:rPr>
              <w:t xml:space="preserve">dies </w:t>
            </w:r>
            <w:proofErr w:type="gramStart"/>
            <w:r w:rsidR="00004025" w:rsidRPr="00C1603D">
              <w:rPr>
                <w:rFonts w:eastAsia="Calibri"/>
                <w:u w:color="000000"/>
                <w:bdr w:val="nil"/>
                <w:lang w:eastAsia="zh-CN"/>
              </w:rPr>
              <w:t>are nested</w:t>
            </w:r>
            <w:proofErr w:type="gramEnd"/>
            <w:r w:rsidR="00004025" w:rsidRPr="00C1603D">
              <w:rPr>
                <w:rFonts w:eastAsia="Calibri"/>
                <w:u w:color="000000"/>
                <w:bdr w:val="nil"/>
                <w:lang w:eastAsia="zh-CN"/>
              </w:rPr>
              <w:t xml:space="preserve"> within a cohort, where</w:t>
            </w:r>
            <w:r w:rsidR="00587794" w:rsidRPr="00C1603D">
              <w:rPr>
                <w:rFonts w:eastAsia="Calibri"/>
                <w:u w:color="000000"/>
                <w:bdr w:val="nil"/>
                <w:lang w:eastAsia="zh-CN"/>
              </w:rPr>
              <w:t>by</w:t>
            </w:r>
            <w:r w:rsidR="00004025" w:rsidRPr="00C1603D">
              <w:rPr>
                <w:rFonts w:eastAsia="Calibri"/>
                <w:u w:color="000000"/>
                <w:bdr w:val="nil"/>
                <w:lang w:eastAsia="zh-CN"/>
              </w:rPr>
              <w:t xml:space="preserve"> cases and controls are selected from the same cohort.</w:t>
            </w:r>
          </w:p>
          <w:p w14:paraId="10047436" w14:textId="423372DF" w:rsidR="00004025" w:rsidRPr="00C1603D" w:rsidRDefault="00587794" w:rsidP="00CB1142">
            <w:pPr>
              <w:pStyle w:val="75TablenotesTablesTableFigureBoxstyles"/>
              <w:rPr>
                <w:lang w:eastAsia="en-GB"/>
              </w:rPr>
            </w:pPr>
            <w:r w:rsidRPr="00C1603D">
              <w:rPr>
                <w:rFonts w:eastAsia="Calibri"/>
                <w:u w:color="000000"/>
                <w:bdr w:val="nil"/>
                <w:lang w:eastAsia="zh-CN"/>
              </w:rPr>
              <w:t>b</w:t>
            </w:r>
            <w:r w:rsidRPr="00C1603D">
              <w:rPr>
                <w:rFonts w:eastAsia="Calibri"/>
                <w:u w:color="000000"/>
                <w:bdr w:val="nil"/>
                <w:lang w:eastAsia="zh-CN"/>
              </w:rPr>
              <w:tab/>
            </w:r>
            <w:r w:rsidR="00004025" w:rsidRPr="00C1603D">
              <w:rPr>
                <w:rFonts w:eastAsia="Calibri"/>
                <w:u w:color="000000"/>
                <w:bdr w:val="nil"/>
                <w:lang w:eastAsia="zh-CN"/>
              </w:rPr>
              <w:t xml:space="preserve">(Nested) </w:t>
            </w:r>
            <w:r w:rsidR="00004025" w:rsidRPr="00C1603D">
              <w:rPr>
                <w:rFonts w:eastAsia="Calibri"/>
              </w:rPr>
              <w:t>case–control (CD</w:t>
            </w:r>
            <w:r w:rsidR="00004025" w:rsidRPr="00C1603D">
              <w:rPr>
                <w:rFonts w:eastAsia="Calibri"/>
                <w:u w:color="000000"/>
                <w:bdr w:val="nil"/>
                <w:lang w:eastAsia="zh-CN"/>
              </w:rPr>
              <w:t xml:space="preserve">): (nested) </w:t>
            </w:r>
            <w:r w:rsidR="00004025" w:rsidRPr="00C1603D">
              <w:rPr>
                <w:rFonts w:eastAsia="Calibri"/>
              </w:rPr>
              <w:t>case–control studies</w:t>
            </w:r>
            <w:r w:rsidR="00004025" w:rsidRPr="00C1603D">
              <w:rPr>
                <w:rFonts w:eastAsia="Calibri"/>
                <w:u w:color="000000"/>
                <w:bdr w:val="nil"/>
                <w:lang w:eastAsia="zh-CN"/>
              </w:rPr>
              <w:t xml:space="preserve"> </w:t>
            </w:r>
            <w:r w:rsidRPr="00C1603D">
              <w:rPr>
                <w:rFonts w:eastAsia="Calibri"/>
                <w:u w:color="000000"/>
                <w:bdr w:val="nil"/>
                <w:lang w:eastAsia="zh-CN"/>
              </w:rPr>
              <w:t>in which</w:t>
            </w:r>
            <w:r w:rsidR="00004025" w:rsidRPr="00C1603D">
              <w:rPr>
                <w:rFonts w:eastAsia="Calibri"/>
                <w:u w:color="000000"/>
                <w:bdr w:val="nil"/>
                <w:lang w:eastAsia="zh-CN"/>
              </w:rPr>
              <w:t xml:space="preserve"> cases </w:t>
            </w:r>
            <w:proofErr w:type="gramStart"/>
            <w:r w:rsidR="00004025" w:rsidRPr="00C1603D">
              <w:rPr>
                <w:rFonts w:eastAsia="Calibri"/>
                <w:u w:color="000000"/>
                <w:bdr w:val="nil"/>
                <w:lang w:eastAsia="zh-CN"/>
              </w:rPr>
              <w:t>were recruited</w:t>
            </w:r>
            <w:proofErr w:type="gramEnd"/>
            <w:r w:rsidR="00004025" w:rsidRPr="00C1603D">
              <w:rPr>
                <w:rFonts w:eastAsia="Calibri"/>
                <w:u w:color="000000"/>
                <w:bdr w:val="nil"/>
                <w:lang w:eastAsia="zh-CN"/>
              </w:rPr>
              <w:t xml:space="preserve"> based on having CD.</w:t>
            </w:r>
          </w:p>
        </w:tc>
      </w:tr>
    </w:tbl>
    <w:p w14:paraId="62C4C95D" w14:textId="5968659E" w:rsidR="008B4DF8" w:rsidRPr="00C1603D" w:rsidRDefault="008B4DF8" w:rsidP="00587794">
      <w:pPr>
        <w:pStyle w:val="43AppendixtitleHeadingsHeadingstyles"/>
      </w:pPr>
      <w:bookmarkStart w:id="577" w:name="_Toc99539924"/>
      <w:r w:rsidRPr="00C1603D">
        <w:lastRenderedPageBreak/>
        <w:t>Appendix 4</w:t>
      </w:r>
      <w:bookmarkEnd w:id="577"/>
      <w:r w:rsidR="00587794" w:rsidRPr="00C1603D">
        <w:t> </w:t>
      </w:r>
      <w:bookmarkStart w:id="578" w:name="_Toc99539925"/>
      <w:r w:rsidRPr="00C1603D">
        <w:t>Study characteristics per diagnostic indictor</w:t>
      </w:r>
      <w:bookmarkEnd w:id="578"/>
    </w:p>
    <w:p w14:paraId="326DE388" w14:textId="0777D9E8" w:rsidR="008B4DF8" w:rsidRPr="00C1603D" w:rsidRDefault="008B4DF8" w:rsidP="008B4DF8">
      <w:pPr>
        <w:pStyle w:val="70TablelegendTablesTableFigureBoxstyles"/>
      </w:pPr>
      <w:bookmarkStart w:id="579" w:name="_Toc99720736"/>
      <w:r w:rsidRPr="00C1603D">
        <w:rPr>
          <w:b/>
        </w:rPr>
        <w:t>TABLE 2</w:t>
      </w:r>
      <w:r w:rsidR="00032460" w:rsidRPr="00C1603D">
        <w:rPr>
          <w:b/>
        </w:rPr>
        <w:t>6</w:t>
      </w:r>
      <w:r w:rsidRPr="00C1603D">
        <w:rPr>
          <w:b/>
        </w:rPr>
        <w:t> </w:t>
      </w:r>
      <w:r w:rsidRPr="00C1603D">
        <w:t xml:space="preserve">Study characteristic: </w:t>
      </w:r>
      <w:r w:rsidR="006C409D" w:rsidRPr="00C1603D">
        <w:t>a</w:t>
      </w:r>
      <w:r w:rsidRPr="00C1603D">
        <w:t>bdominal pain</w:t>
      </w:r>
      <w:bookmarkEnd w:id="579"/>
    </w:p>
    <w:tbl>
      <w:tblPr>
        <w:tblW w:w="0" w:type="auto"/>
        <w:tblCellMar>
          <w:top w:w="40" w:type="dxa"/>
          <w:left w:w="60" w:type="dxa"/>
          <w:bottom w:w="40" w:type="dxa"/>
          <w:right w:w="60" w:type="dxa"/>
        </w:tblCellMar>
        <w:tblLook w:val="0420" w:firstRow="1" w:lastRow="0" w:firstColumn="0" w:lastColumn="0" w:noHBand="0" w:noVBand="1"/>
      </w:tblPr>
      <w:tblGrid>
        <w:gridCol w:w="916"/>
        <w:gridCol w:w="752"/>
        <w:gridCol w:w="974"/>
        <w:gridCol w:w="647"/>
        <w:gridCol w:w="655"/>
        <w:gridCol w:w="1123"/>
        <w:gridCol w:w="1169"/>
        <w:gridCol w:w="998"/>
        <w:gridCol w:w="916"/>
        <w:gridCol w:w="876"/>
      </w:tblGrid>
      <w:tr w:rsidR="00322FCF" w:rsidRPr="00C1603D" w14:paraId="5130D931" w14:textId="77777777" w:rsidTr="00322FCF">
        <w:trPr>
          <w:cantSplit/>
        </w:trPr>
        <w:tc>
          <w:tcPr>
            <w:tcW w:w="0" w:type="auto"/>
            <w:shd w:val="clear" w:color="auto" w:fill="auto"/>
            <w:tcMar>
              <w:top w:w="0" w:type="dxa"/>
              <w:left w:w="0" w:type="dxa"/>
              <w:bottom w:w="0" w:type="dxa"/>
              <w:right w:w="0" w:type="dxa"/>
            </w:tcMar>
          </w:tcPr>
          <w:p w14:paraId="3CBE9DB7" w14:textId="65AE4F2F" w:rsidR="008B4DF8" w:rsidRPr="00C1603D" w:rsidRDefault="000D4B83" w:rsidP="003E0954">
            <w:pPr>
              <w:pStyle w:val="710TableheadTablesTableFigureBoxstyles"/>
            </w:pPr>
            <w:r w:rsidRPr="00C1603D">
              <w:rPr>
                <w:rFonts w:eastAsia="Arial"/>
              </w:rPr>
              <w:t>Population</w:t>
            </w:r>
            <w:r w:rsidR="008B4DF8" w:rsidRPr="00C1603D">
              <w:rPr>
                <w:rFonts w:eastAsia="Arial"/>
              </w:rPr>
              <w:t xml:space="preserve"> group</w:t>
            </w:r>
          </w:p>
        </w:tc>
        <w:tc>
          <w:tcPr>
            <w:tcW w:w="0" w:type="auto"/>
            <w:shd w:val="clear" w:color="auto" w:fill="auto"/>
            <w:tcMar>
              <w:top w:w="0" w:type="dxa"/>
              <w:left w:w="0" w:type="dxa"/>
              <w:bottom w:w="0" w:type="dxa"/>
              <w:right w:w="0" w:type="dxa"/>
            </w:tcMar>
          </w:tcPr>
          <w:p w14:paraId="77B54FFE" w14:textId="07DFD735" w:rsidR="008B4DF8" w:rsidRPr="00C1603D" w:rsidRDefault="008B4DF8" w:rsidP="003E0954">
            <w:pPr>
              <w:pStyle w:val="710TableheadTablesTableFigureBoxstyles"/>
            </w:pPr>
            <w:r w:rsidRPr="00C1603D">
              <w:rPr>
                <w:rFonts w:eastAsia="Arial"/>
              </w:rPr>
              <w:t xml:space="preserve">Study </w:t>
            </w:r>
            <w:r w:rsidR="003E0954" w:rsidRPr="00C1603D">
              <w:rPr>
                <w:rFonts w:eastAsia="Arial"/>
              </w:rPr>
              <w:t>d</w:t>
            </w:r>
            <w:r w:rsidRPr="00C1603D">
              <w:rPr>
                <w:rFonts w:eastAsia="Arial"/>
              </w:rPr>
              <w:t>esign</w:t>
            </w:r>
          </w:p>
        </w:tc>
        <w:tc>
          <w:tcPr>
            <w:tcW w:w="0" w:type="auto"/>
            <w:shd w:val="clear" w:color="auto" w:fill="auto"/>
            <w:tcMar>
              <w:top w:w="0" w:type="dxa"/>
              <w:left w:w="0" w:type="dxa"/>
              <w:bottom w:w="0" w:type="dxa"/>
              <w:right w:w="0" w:type="dxa"/>
            </w:tcMar>
          </w:tcPr>
          <w:p w14:paraId="01CAAD4D" w14:textId="77777777" w:rsidR="008B4DF8" w:rsidRPr="00C1603D" w:rsidRDefault="008B4DF8" w:rsidP="003E0954">
            <w:pPr>
              <w:pStyle w:val="710TableheadTablesTableFigureBoxstyles"/>
            </w:pPr>
            <w:r w:rsidRPr="00C1603D">
              <w:rPr>
                <w:rFonts w:eastAsia="Arial"/>
              </w:rPr>
              <w:t>Indicator details</w:t>
            </w:r>
          </w:p>
        </w:tc>
        <w:tc>
          <w:tcPr>
            <w:tcW w:w="0" w:type="auto"/>
            <w:shd w:val="clear" w:color="auto" w:fill="auto"/>
            <w:tcMar>
              <w:top w:w="0" w:type="dxa"/>
              <w:left w:w="0" w:type="dxa"/>
              <w:bottom w:w="0" w:type="dxa"/>
              <w:right w:w="0" w:type="dxa"/>
            </w:tcMar>
          </w:tcPr>
          <w:p w14:paraId="57671759" w14:textId="6827F1E2" w:rsidR="008B4DF8" w:rsidRPr="00C1603D" w:rsidRDefault="008B4DF8" w:rsidP="003E0954">
            <w:pPr>
              <w:pStyle w:val="710TableheadTablesTableFigureBoxstyles"/>
            </w:pPr>
            <w:r w:rsidRPr="00C1603D">
              <w:rPr>
                <w:rFonts w:eastAsia="Arial"/>
              </w:rPr>
              <w:t>Sample size</w:t>
            </w:r>
            <w:r w:rsidR="003E0954" w:rsidRPr="00C1603D">
              <w:rPr>
                <w:rFonts w:eastAsia="Arial"/>
              </w:rPr>
              <w:t xml:space="preserve"> (</w:t>
            </w:r>
            <w:r w:rsidR="003E0954" w:rsidRPr="00C1603D">
              <w:rPr>
                <w:rFonts w:eastAsia="Arial"/>
                <w:i/>
                <w:iCs/>
              </w:rPr>
              <w:t>n</w:t>
            </w:r>
            <w:r w:rsidR="003E0954" w:rsidRPr="00C1603D">
              <w:rPr>
                <w:rFonts w:eastAsia="Arial"/>
              </w:rPr>
              <w:t>)</w:t>
            </w:r>
          </w:p>
        </w:tc>
        <w:tc>
          <w:tcPr>
            <w:tcW w:w="0" w:type="auto"/>
            <w:shd w:val="clear" w:color="auto" w:fill="auto"/>
            <w:tcMar>
              <w:top w:w="0" w:type="dxa"/>
              <w:left w:w="0" w:type="dxa"/>
              <w:bottom w:w="0" w:type="dxa"/>
              <w:right w:w="0" w:type="dxa"/>
            </w:tcMar>
          </w:tcPr>
          <w:p w14:paraId="28F789E7" w14:textId="77777777" w:rsidR="008B4DF8" w:rsidRPr="00C1603D" w:rsidRDefault="008B4DF8" w:rsidP="003E0954">
            <w:pPr>
              <w:pStyle w:val="710TableheadTablesTableFigureBoxstyles"/>
            </w:pPr>
            <w:r w:rsidRPr="00C1603D">
              <w:rPr>
                <w:rFonts w:eastAsia="Arial"/>
              </w:rPr>
              <w:t>Sex (% female)</w:t>
            </w:r>
          </w:p>
        </w:tc>
        <w:tc>
          <w:tcPr>
            <w:tcW w:w="0" w:type="auto"/>
            <w:shd w:val="clear" w:color="auto" w:fill="auto"/>
            <w:tcMar>
              <w:top w:w="0" w:type="dxa"/>
              <w:left w:w="0" w:type="dxa"/>
              <w:bottom w:w="0" w:type="dxa"/>
              <w:right w:w="0" w:type="dxa"/>
            </w:tcMar>
          </w:tcPr>
          <w:p w14:paraId="3B7221DC" w14:textId="77777777" w:rsidR="008B4DF8" w:rsidRPr="00C1603D" w:rsidRDefault="008B4DF8" w:rsidP="003E0954">
            <w:pPr>
              <w:pStyle w:val="710TableheadTablesTableFigureBoxstyles"/>
            </w:pPr>
            <w:r w:rsidRPr="00C1603D">
              <w:rPr>
                <w:rFonts w:eastAsia="Arial"/>
              </w:rPr>
              <w:t>Control group</w:t>
            </w:r>
          </w:p>
        </w:tc>
        <w:tc>
          <w:tcPr>
            <w:tcW w:w="0" w:type="auto"/>
            <w:shd w:val="clear" w:color="auto" w:fill="auto"/>
            <w:tcMar>
              <w:top w:w="0" w:type="dxa"/>
              <w:left w:w="0" w:type="dxa"/>
              <w:bottom w:w="0" w:type="dxa"/>
              <w:right w:w="0" w:type="dxa"/>
            </w:tcMar>
          </w:tcPr>
          <w:p w14:paraId="2489BE94" w14:textId="77777777" w:rsidR="008B4DF8" w:rsidRPr="00C1603D" w:rsidRDefault="008B4DF8" w:rsidP="003E0954">
            <w:pPr>
              <w:pStyle w:val="710TableheadTablesTableFigureBoxstyles"/>
            </w:pPr>
            <w:r w:rsidRPr="00C1603D">
              <w:rPr>
                <w:rFonts w:eastAsia="Arial"/>
              </w:rPr>
              <w:t>Reference standard</w:t>
            </w:r>
          </w:p>
        </w:tc>
        <w:tc>
          <w:tcPr>
            <w:tcW w:w="0" w:type="auto"/>
            <w:shd w:val="clear" w:color="auto" w:fill="auto"/>
            <w:tcMar>
              <w:top w:w="0" w:type="dxa"/>
              <w:left w:w="0" w:type="dxa"/>
              <w:bottom w:w="0" w:type="dxa"/>
              <w:right w:w="0" w:type="dxa"/>
            </w:tcMar>
          </w:tcPr>
          <w:p w14:paraId="5360FC72" w14:textId="77777777" w:rsidR="008B4DF8" w:rsidRPr="00C1603D" w:rsidRDefault="008B4DF8" w:rsidP="003E0954">
            <w:pPr>
              <w:pStyle w:val="710TableheadTablesTableFigureBoxstyles"/>
            </w:pPr>
            <w:r w:rsidRPr="00C1603D">
              <w:rPr>
                <w:rFonts w:eastAsia="Arial"/>
              </w:rPr>
              <w:t>Care setting</w:t>
            </w:r>
          </w:p>
        </w:tc>
        <w:tc>
          <w:tcPr>
            <w:tcW w:w="0" w:type="auto"/>
            <w:shd w:val="clear" w:color="auto" w:fill="auto"/>
            <w:tcMar>
              <w:top w:w="0" w:type="dxa"/>
              <w:left w:w="0" w:type="dxa"/>
              <w:bottom w:w="0" w:type="dxa"/>
              <w:right w:w="0" w:type="dxa"/>
            </w:tcMar>
          </w:tcPr>
          <w:p w14:paraId="4AC18299" w14:textId="77777777" w:rsidR="008B4DF8" w:rsidRPr="00C1603D" w:rsidRDefault="008B4DF8" w:rsidP="003E0954">
            <w:pPr>
              <w:pStyle w:val="710TableheadTablesTableFigureBoxstyles"/>
            </w:pPr>
            <w:r w:rsidRPr="00C1603D">
              <w:rPr>
                <w:rFonts w:eastAsia="Arial"/>
              </w:rPr>
              <w:t>Location</w:t>
            </w:r>
          </w:p>
        </w:tc>
        <w:tc>
          <w:tcPr>
            <w:tcW w:w="0" w:type="auto"/>
            <w:shd w:val="clear" w:color="auto" w:fill="auto"/>
            <w:tcMar>
              <w:top w:w="0" w:type="dxa"/>
              <w:left w:w="0" w:type="dxa"/>
              <w:bottom w:w="0" w:type="dxa"/>
              <w:right w:w="0" w:type="dxa"/>
            </w:tcMar>
          </w:tcPr>
          <w:p w14:paraId="7CBBF19C" w14:textId="77777777" w:rsidR="008B4DF8" w:rsidRPr="00C1603D" w:rsidRDefault="008B4DF8" w:rsidP="003E0954">
            <w:pPr>
              <w:pStyle w:val="710TableheadTablesTableFigureBoxstyles"/>
            </w:pPr>
            <w:r w:rsidRPr="00C1603D">
              <w:rPr>
                <w:rFonts w:eastAsia="Arial"/>
              </w:rPr>
              <w:t>Reference</w:t>
            </w:r>
          </w:p>
        </w:tc>
      </w:tr>
      <w:tr w:rsidR="00322FCF" w:rsidRPr="00C1603D" w14:paraId="663804AF" w14:textId="77777777" w:rsidTr="00322FCF">
        <w:trPr>
          <w:cantSplit/>
        </w:trPr>
        <w:tc>
          <w:tcPr>
            <w:tcW w:w="0" w:type="auto"/>
            <w:shd w:val="clear" w:color="auto" w:fill="auto"/>
            <w:tcMar>
              <w:top w:w="0" w:type="dxa"/>
              <w:left w:w="0" w:type="dxa"/>
              <w:bottom w:w="0" w:type="dxa"/>
              <w:right w:w="0" w:type="dxa"/>
            </w:tcMar>
          </w:tcPr>
          <w:p w14:paraId="5A091FD0" w14:textId="77777777" w:rsidR="008B4DF8" w:rsidRPr="00C1603D" w:rsidRDefault="008B4DF8" w:rsidP="003E0954">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2B1667CC" w14:textId="5AE7D05B" w:rsidR="008B4DF8" w:rsidRPr="00C1603D" w:rsidRDefault="00B25FE9" w:rsidP="003E0954">
            <w:pPr>
              <w:pStyle w:val="72TabletextTablesTableFigureBoxstyles"/>
              <w:rPr>
                <w:color w:val="auto"/>
              </w:rPr>
            </w:pPr>
            <w:r w:rsidRPr="00C1603D">
              <w:rPr>
                <w:rFonts w:eastAsia="Arial"/>
                <w:color w:val="auto"/>
              </w:rPr>
              <w:t>Case–control</w:t>
            </w:r>
            <w:r w:rsidR="008B4DF8" w:rsidRPr="00C1603D">
              <w:rPr>
                <w:rFonts w:eastAsia="Arial"/>
                <w:color w:val="auto"/>
              </w:rPr>
              <w:t xml:space="preserve"> (DI)</w:t>
            </w:r>
          </w:p>
        </w:tc>
        <w:tc>
          <w:tcPr>
            <w:tcW w:w="0" w:type="auto"/>
            <w:shd w:val="clear" w:color="auto" w:fill="auto"/>
            <w:tcMar>
              <w:top w:w="0" w:type="dxa"/>
              <w:left w:w="0" w:type="dxa"/>
              <w:bottom w:w="0" w:type="dxa"/>
              <w:right w:w="0" w:type="dxa"/>
            </w:tcMar>
          </w:tcPr>
          <w:p w14:paraId="1598D2E8" w14:textId="77777777" w:rsidR="008B4DF8" w:rsidRPr="00C1603D" w:rsidRDefault="008B4DF8" w:rsidP="003E0954">
            <w:pPr>
              <w:pStyle w:val="72TabletextTablesTableFigureBoxstyles"/>
              <w:rPr>
                <w:color w:val="auto"/>
              </w:rPr>
            </w:pPr>
            <w:r w:rsidRPr="00C1603D">
              <w:rPr>
                <w:rFonts w:eastAsia="Arial"/>
                <w:color w:val="auto"/>
              </w:rPr>
              <w:t>Acute abdominal pain</w:t>
            </w:r>
          </w:p>
        </w:tc>
        <w:tc>
          <w:tcPr>
            <w:tcW w:w="0" w:type="auto"/>
            <w:shd w:val="clear" w:color="auto" w:fill="auto"/>
            <w:tcMar>
              <w:top w:w="0" w:type="dxa"/>
              <w:left w:w="0" w:type="dxa"/>
              <w:bottom w:w="0" w:type="dxa"/>
              <w:right w:w="0" w:type="dxa"/>
            </w:tcMar>
          </w:tcPr>
          <w:p w14:paraId="22DFC0EF" w14:textId="77777777" w:rsidR="008B4DF8" w:rsidRPr="00C1603D" w:rsidRDefault="008B4DF8" w:rsidP="003E0954">
            <w:pPr>
              <w:pStyle w:val="72TabletextTablesTableFigureBoxstyles"/>
              <w:rPr>
                <w:color w:val="auto"/>
              </w:rPr>
            </w:pPr>
            <w:r w:rsidRPr="00C1603D">
              <w:rPr>
                <w:rFonts w:eastAsia="Arial"/>
                <w:color w:val="auto"/>
              </w:rPr>
              <w:t>600</w:t>
            </w:r>
          </w:p>
        </w:tc>
        <w:tc>
          <w:tcPr>
            <w:tcW w:w="0" w:type="auto"/>
            <w:shd w:val="clear" w:color="auto" w:fill="auto"/>
            <w:tcMar>
              <w:top w:w="0" w:type="dxa"/>
              <w:left w:w="0" w:type="dxa"/>
              <w:bottom w:w="0" w:type="dxa"/>
              <w:right w:w="0" w:type="dxa"/>
            </w:tcMar>
          </w:tcPr>
          <w:p w14:paraId="7CF96291" w14:textId="77777777" w:rsidR="008B4DF8" w:rsidRPr="00C1603D" w:rsidRDefault="008B4DF8" w:rsidP="003E0954">
            <w:pPr>
              <w:pStyle w:val="72TabletextTablesTableFigureBoxstyles"/>
              <w:rPr>
                <w:color w:val="auto"/>
              </w:rPr>
            </w:pPr>
            <w:r w:rsidRPr="00C1603D">
              <w:rPr>
                <w:rFonts w:eastAsia="Arial"/>
                <w:color w:val="auto"/>
              </w:rPr>
              <w:t>NR</w:t>
            </w:r>
          </w:p>
        </w:tc>
        <w:tc>
          <w:tcPr>
            <w:tcW w:w="0" w:type="auto"/>
            <w:shd w:val="clear" w:color="auto" w:fill="auto"/>
            <w:tcMar>
              <w:top w:w="0" w:type="dxa"/>
              <w:left w:w="0" w:type="dxa"/>
              <w:bottom w:w="0" w:type="dxa"/>
              <w:right w:w="0" w:type="dxa"/>
            </w:tcMar>
          </w:tcPr>
          <w:p w14:paraId="06475B67" w14:textId="77777777" w:rsidR="008B4DF8" w:rsidRPr="00C1603D" w:rsidRDefault="008B4DF8" w:rsidP="003E0954">
            <w:pPr>
              <w:pStyle w:val="72TabletextTablesTableFigureBoxstyles"/>
              <w:rPr>
                <w:color w:val="auto"/>
              </w:rPr>
            </w:pPr>
            <w:r w:rsidRPr="00C1603D">
              <w:rPr>
                <w:rFonts w:eastAsia="Arial"/>
                <w:color w:val="auto"/>
              </w:rPr>
              <w:t>Healthy controls</w:t>
            </w:r>
          </w:p>
        </w:tc>
        <w:tc>
          <w:tcPr>
            <w:tcW w:w="0" w:type="auto"/>
            <w:shd w:val="clear" w:color="auto" w:fill="auto"/>
            <w:tcMar>
              <w:top w:w="0" w:type="dxa"/>
              <w:left w:w="0" w:type="dxa"/>
              <w:bottom w:w="0" w:type="dxa"/>
              <w:right w:w="0" w:type="dxa"/>
            </w:tcMar>
          </w:tcPr>
          <w:p w14:paraId="7A8A224E" w14:textId="096DC575" w:rsidR="008B4DF8" w:rsidRPr="00C1603D" w:rsidRDefault="008B4DF8" w:rsidP="003E0954">
            <w:pPr>
              <w:pStyle w:val="72TabletextTablesTableFigureBoxstyles"/>
              <w:rPr>
                <w:color w:val="auto"/>
              </w:rPr>
            </w:pPr>
            <w:r w:rsidRPr="00C1603D">
              <w:rPr>
                <w:rFonts w:eastAsia="Arial"/>
                <w:color w:val="auto"/>
              </w:rPr>
              <w:t xml:space="preserve">Serology and only </w:t>
            </w:r>
            <w:r w:rsidR="000D4B83" w:rsidRPr="00C1603D">
              <w:rPr>
                <w:rFonts w:eastAsia="Arial"/>
                <w:color w:val="auto"/>
              </w:rPr>
              <w:t>positive</w:t>
            </w:r>
            <w:r w:rsidRPr="00C1603D">
              <w:rPr>
                <w:rFonts w:eastAsia="Arial"/>
                <w:color w:val="auto"/>
              </w:rPr>
              <w:t xml:space="preserve"> p</w:t>
            </w:r>
            <w:r w:rsidR="000D4B83" w:rsidRPr="00C1603D">
              <w:rPr>
                <w:rFonts w:eastAsia="Arial"/>
                <w:color w:val="auto"/>
              </w:rPr>
              <w:t>atien</w:t>
            </w:r>
            <w:r w:rsidRPr="00C1603D">
              <w:rPr>
                <w:rFonts w:eastAsia="Arial"/>
                <w:color w:val="auto"/>
              </w:rPr>
              <w:t>ts biopsied</w:t>
            </w:r>
          </w:p>
        </w:tc>
        <w:tc>
          <w:tcPr>
            <w:tcW w:w="0" w:type="auto"/>
            <w:shd w:val="clear" w:color="auto" w:fill="auto"/>
            <w:tcMar>
              <w:top w:w="0" w:type="dxa"/>
              <w:left w:w="0" w:type="dxa"/>
              <w:bottom w:w="0" w:type="dxa"/>
              <w:right w:w="0" w:type="dxa"/>
            </w:tcMar>
          </w:tcPr>
          <w:p w14:paraId="20530AC4" w14:textId="77777777" w:rsidR="008B4DF8" w:rsidRPr="00C1603D" w:rsidRDefault="008B4DF8" w:rsidP="003E0954">
            <w:pPr>
              <w:pStyle w:val="72TabletextTablesTableFigureBoxstyles"/>
              <w:rPr>
                <w:color w:val="auto"/>
              </w:rPr>
            </w:pPr>
            <w:r w:rsidRPr="00C1603D">
              <w:rPr>
                <w:rFonts w:eastAsia="Arial"/>
                <w:color w:val="auto"/>
              </w:rPr>
              <w:t>Secondary</w:t>
            </w:r>
          </w:p>
        </w:tc>
        <w:tc>
          <w:tcPr>
            <w:tcW w:w="0" w:type="auto"/>
            <w:shd w:val="clear" w:color="auto" w:fill="auto"/>
            <w:tcMar>
              <w:top w:w="0" w:type="dxa"/>
              <w:left w:w="0" w:type="dxa"/>
              <w:bottom w:w="0" w:type="dxa"/>
              <w:right w:w="0" w:type="dxa"/>
            </w:tcMar>
          </w:tcPr>
          <w:p w14:paraId="2CD0C191" w14:textId="77777777" w:rsidR="008B4DF8" w:rsidRPr="00C1603D" w:rsidRDefault="008B4DF8" w:rsidP="003E0954">
            <w:pPr>
              <w:pStyle w:val="72TabletextTablesTableFigureBoxstyles"/>
              <w:rPr>
                <w:color w:val="auto"/>
              </w:rPr>
            </w:pPr>
            <w:r w:rsidRPr="00C1603D">
              <w:rPr>
                <w:rFonts w:eastAsia="Arial"/>
                <w:color w:val="auto"/>
              </w:rPr>
              <w:t>NR</w:t>
            </w:r>
          </w:p>
        </w:tc>
        <w:tc>
          <w:tcPr>
            <w:tcW w:w="0" w:type="auto"/>
            <w:shd w:val="clear" w:color="auto" w:fill="auto"/>
            <w:tcMar>
              <w:top w:w="0" w:type="dxa"/>
              <w:left w:w="0" w:type="dxa"/>
              <w:bottom w:w="0" w:type="dxa"/>
              <w:right w:w="0" w:type="dxa"/>
            </w:tcMar>
          </w:tcPr>
          <w:p w14:paraId="5F9EB2A3" w14:textId="2F8BC8A7" w:rsidR="008B4DF8" w:rsidRPr="00C1603D" w:rsidRDefault="000D4B83" w:rsidP="003E0954">
            <w:pPr>
              <w:pStyle w:val="72TabletextTablesTableFigureBoxstyles"/>
              <w:rPr>
                <w:color w:val="auto"/>
              </w:rPr>
            </w:pPr>
            <w:r w:rsidRPr="00C1603D">
              <w:rPr>
                <w:rFonts w:eastAsia="Arial"/>
                <w:noProof/>
                <w:color w:val="auto"/>
              </w:rPr>
              <w:t xml:space="preserve">Hopper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297</w:t>
            </w:r>
          </w:p>
        </w:tc>
      </w:tr>
      <w:tr w:rsidR="00322FCF" w:rsidRPr="00C1603D" w14:paraId="2E7B2DE8" w14:textId="77777777" w:rsidTr="00322FCF">
        <w:trPr>
          <w:cantSplit/>
        </w:trPr>
        <w:tc>
          <w:tcPr>
            <w:tcW w:w="0" w:type="auto"/>
            <w:shd w:val="clear" w:color="auto" w:fill="auto"/>
            <w:tcMar>
              <w:top w:w="0" w:type="dxa"/>
              <w:left w:w="0" w:type="dxa"/>
              <w:bottom w:w="0" w:type="dxa"/>
              <w:right w:w="0" w:type="dxa"/>
            </w:tcMar>
          </w:tcPr>
          <w:p w14:paraId="0E1895E1" w14:textId="77777777" w:rsidR="008B4DF8" w:rsidRPr="00C1603D" w:rsidRDefault="008B4DF8" w:rsidP="003E0954">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603A8638" w14:textId="1A8E79C7" w:rsidR="008B4DF8" w:rsidRPr="00C1603D" w:rsidRDefault="00B25FE9" w:rsidP="003E0954">
            <w:pPr>
              <w:pStyle w:val="72TabletextTablesTableFigureBoxstyles"/>
              <w:rPr>
                <w:color w:val="auto"/>
              </w:rPr>
            </w:pPr>
            <w:r w:rsidRPr="00C1603D">
              <w:rPr>
                <w:rFonts w:eastAsia="Arial"/>
                <w:color w:val="auto"/>
              </w:rPr>
              <w:t>Case–control</w:t>
            </w:r>
            <w:r w:rsidR="008B4DF8" w:rsidRPr="00C1603D">
              <w:rPr>
                <w:rFonts w:eastAsia="Arial"/>
                <w:color w:val="auto"/>
              </w:rPr>
              <w:t xml:space="preserve"> (</w:t>
            </w:r>
            <w:bookmarkStart w:id="580" w:name="_Hlk65240503"/>
            <w:r w:rsidR="008B4DF8" w:rsidRPr="00C1603D">
              <w:rPr>
                <w:rFonts w:eastAsia="Arial"/>
                <w:color w:val="auto"/>
              </w:rPr>
              <w:t>DI</w:t>
            </w:r>
            <w:bookmarkEnd w:id="580"/>
            <w:r w:rsidR="008B4DF8" w:rsidRPr="00C1603D">
              <w:rPr>
                <w:rFonts w:eastAsia="Arial"/>
                <w:color w:val="auto"/>
              </w:rPr>
              <w:t>)</w:t>
            </w:r>
          </w:p>
        </w:tc>
        <w:tc>
          <w:tcPr>
            <w:tcW w:w="0" w:type="auto"/>
            <w:shd w:val="clear" w:color="auto" w:fill="auto"/>
            <w:tcMar>
              <w:top w:w="0" w:type="dxa"/>
              <w:left w:w="0" w:type="dxa"/>
              <w:bottom w:w="0" w:type="dxa"/>
              <w:right w:w="0" w:type="dxa"/>
            </w:tcMar>
          </w:tcPr>
          <w:p w14:paraId="403BF600" w14:textId="77777777" w:rsidR="008B4DF8" w:rsidRPr="00C1603D" w:rsidRDefault="008B4DF8" w:rsidP="003E0954">
            <w:pPr>
              <w:pStyle w:val="72TabletextTablesTableFigureBoxstyles"/>
              <w:rPr>
                <w:color w:val="auto"/>
              </w:rPr>
            </w:pPr>
            <w:r w:rsidRPr="00C1603D">
              <w:rPr>
                <w:rFonts w:eastAsia="Arial"/>
                <w:color w:val="auto"/>
              </w:rPr>
              <w:t>Acute abdominal pain</w:t>
            </w:r>
          </w:p>
        </w:tc>
        <w:tc>
          <w:tcPr>
            <w:tcW w:w="0" w:type="auto"/>
            <w:shd w:val="clear" w:color="auto" w:fill="auto"/>
            <w:tcMar>
              <w:top w:w="0" w:type="dxa"/>
              <w:left w:w="0" w:type="dxa"/>
              <w:bottom w:w="0" w:type="dxa"/>
              <w:right w:w="0" w:type="dxa"/>
            </w:tcMar>
          </w:tcPr>
          <w:p w14:paraId="575927CE" w14:textId="77777777" w:rsidR="008B4DF8" w:rsidRPr="00C1603D" w:rsidRDefault="008B4DF8" w:rsidP="003E0954">
            <w:pPr>
              <w:pStyle w:val="72TabletextTablesTableFigureBoxstyles"/>
              <w:rPr>
                <w:color w:val="auto"/>
              </w:rPr>
            </w:pPr>
            <w:r w:rsidRPr="00C1603D">
              <w:rPr>
                <w:rFonts w:eastAsia="Arial"/>
                <w:color w:val="auto"/>
              </w:rPr>
              <w:t>600</w:t>
            </w:r>
          </w:p>
        </w:tc>
        <w:tc>
          <w:tcPr>
            <w:tcW w:w="0" w:type="auto"/>
            <w:shd w:val="clear" w:color="auto" w:fill="auto"/>
            <w:tcMar>
              <w:top w:w="0" w:type="dxa"/>
              <w:left w:w="0" w:type="dxa"/>
              <w:bottom w:w="0" w:type="dxa"/>
              <w:right w:w="0" w:type="dxa"/>
            </w:tcMar>
          </w:tcPr>
          <w:p w14:paraId="1258E075" w14:textId="5E03FBAA" w:rsidR="008B4DF8" w:rsidRPr="00C1603D" w:rsidRDefault="008B4DF8" w:rsidP="003E0954">
            <w:pPr>
              <w:pStyle w:val="72TabletextTablesTableFigureBoxstyles"/>
              <w:rPr>
                <w:color w:val="auto"/>
              </w:rPr>
            </w:pPr>
            <w:r w:rsidRPr="00C1603D">
              <w:rPr>
                <w:rFonts w:eastAsia="Arial"/>
                <w:color w:val="auto"/>
              </w:rPr>
              <w:t>26–50</w:t>
            </w:r>
          </w:p>
        </w:tc>
        <w:tc>
          <w:tcPr>
            <w:tcW w:w="0" w:type="auto"/>
            <w:shd w:val="clear" w:color="auto" w:fill="auto"/>
            <w:tcMar>
              <w:top w:w="0" w:type="dxa"/>
              <w:left w:w="0" w:type="dxa"/>
              <w:bottom w:w="0" w:type="dxa"/>
              <w:right w:w="0" w:type="dxa"/>
            </w:tcMar>
          </w:tcPr>
          <w:p w14:paraId="76A79B14" w14:textId="77777777" w:rsidR="008B4DF8" w:rsidRPr="00C1603D" w:rsidRDefault="008B4DF8" w:rsidP="003E0954">
            <w:pPr>
              <w:pStyle w:val="72TabletextTablesTableFigureBoxstyles"/>
              <w:rPr>
                <w:color w:val="auto"/>
              </w:rPr>
            </w:pPr>
            <w:r w:rsidRPr="00C1603D">
              <w:rPr>
                <w:rFonts w:eastAsia="Arial"/>
                <w:color w:val="auto"/>
              </w:rPr>
              <w:t>Healthy controls</w:t>
            </w:r>
          </w:p>
        </w:tc>
        <w:tc>
          <w:tcPr>
            <w:tcW w:w="0" w:type="auto"/>
            <w:shd w:val="clear" w:color="auto" w:fill="auto"/>
            <w:tcMar>
              <w:top w:w="0" w:type="dxa"/>
              <w:left w:w="0" w:type="dxa"/>
              <w:bottom w:w="0" w:type="dxa"/>
              <w:right w:w="0" w:type="dxa"/>
            </w:tcMar>
          </w:tcPr>
          <w:p w14:paraId="16F53F69" w14:textId="40753391" w:rsidR="008B4DF8" w:rsidRPr="00C1603D" w:rsidRDefault="008B4DF8" w:rsidP="003E0954">
            <w:pPr>
              <w:pStyle w:val="72TabletextTablesTableFigureBoxstyles"/>
              <w:rPr>
                <w:color w:val="auto"/>
              </w:rPr>
            </w:pPr>
            <w:r w:rsidRPr="00C1603D">
              <w:rPr>
                <w:rFonts w:eastAsia="Arial"/>
                <w:color w:val="auto"/>
              </w:rPr>
              <w:t xml:space="preserve">Serology and only </w:t>
            </w:r>
            <w:r w:rsidR="000D4B83" w:rsidRPr="00C1603D">
              <w:rPr>
                <w:rFonts w:eastAsia="Arial"/>
                <w:color w:val="auto"/>
              </w:rPr>
              <w:t xml:space="preserve">positive patients </w:t>
            </w:r>
            <w:r w:rsidRPr="00C1603D">
              <w:rPr>
                <w:rFonts w:eastAsia="Arial"/>
                <w:color w:val="auto"/>
              </w:rPr>
              <w:t>biopsied</w:t>
            </w:r>
          </w:p>
        </w:tc>
        <w:tc>
          <w:tcPr>
            <w:tcW w:w="0" w:type="auto"/>
            <w:shd w:val="clear" w:color="auto" w:fill="auto"/>
            <w:tcMar>
              <w:top w:w="0" w:type="dxa"/>
              <w:left w:w="0" w:type="dxa"/>
              <w:bottom w:w="0" w:type="dxa"/>
              <w:right w:w="0" w:type="dxa"/>
            </w:tcMar>
          </w:tcPr>
          <w:p w14:paraId="598E5D69" w14:textId="77777777" w:rsidR="008B4DF8" w:rsidRPr="00C1603D" w:rsidRDefault="008B4DF8" w:rsidP="003E0954">
            <w:pPr>
              <w:pStyle w:val="72TabletextTablesTableFigureBoxstyles"/>
              <w:rPr>
                <w:color w:val="auto"/>
              </w:rPr>
            </w:pPr>
            <w:r w:rsidRPr="00C1603D">
              <w:rPr>
                <w:rFonts w:eastAsia="Arial"/>
                <w:color w:val="auto"/>
              </w:rPr>
              <w:t>Secondary</w:t>
            </w:r>
          </w:p>
        </w:tc>
        <w:tc>
          <w:tcPr>
            <w:tcW w:w="0" w:type="auto"/>
            <w:shd w:val="clear" w:color="auto" w:fill="auto"/>
            <w:tcMar>
              <w:top w:w="0" w:type="dxa"/>
              <w:left w:w="0" w:type="dxa"/>
              <w:bottom w:w="0" w:type="dxa"/>
              <w:right w:w="0" w:type="dxa"/>
            </w:tcMar>
          </w:tcPr>
          <w:p w14:paraId="45A25CD0" w14:textId="77777777" w:rsidR="008B4DF8" w:rsidRPr="00C1603D" w:rsidRDefault="008B4DF8" w:rsidP="003E0954">
            <w:pPr>
              <w:pStyle w:val="72TabletextTablesTableFigureBoxstyles"/>
              <w:rPr>
                <w:color w:val="auto"/>
              </w:rPr>
            </w:pPr>
            <w:r w:rsidRPr="00C1603D">
              <w:rPr>
                <w:rFonts w:eastAsia="Arial"/>
                <w:color w:val="auto"/>
              </w:rPr>
              <w:t>UK</w:t>
            </w:r>
          </w:p>
        </w:tc>
        <w:tc>
          <w:tcPr>
            <w:tcW w:w="0" w:type="auto"/>
            <w:shd w:val="clear" w:color="auto" w:fill="auto"/>
            <w:tcMar>
              <w:top w:w="0" w:type="dxa"/>
              <w:left w:w="0" w:type="dxa"/>
              <w:bottom w:w="0" w:type="dxa"/>
              <w:right w:w="0" w:type="dxa"/>
            </w:tcMar>
          </w:tcPr>
          <w:p w14:paraId="00CF5EF9" w14:textId="3BEE5795" w:rsidR="008B4DF8" w:rsidRPr="00C1603D" w:rsidRDefault="000D4B83" w:rsidP="003E0954">
            <w:pPr>
              <w:pStyle w:val="72TabletextTablesTableFigureBoxstyles"/>
              <w:rPr>
                <w:color w:val="auto"/>
              </w:rPr>
            </w:pPr>
            <w:r w:rsidRPr="00C1603D">
              <w:rPr>
                <w:rFonts w:eastAsia="Arial"/>
                <w:noProof/>
                <w:color w:val="auto"/>
              </w:rPr>
              <w:t xml:space="preserve">Sanders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298</w:t>
            </w:r>
          </w:p>
        </w:tc>
      </w:tr>
      <w:tr w:rsidR="00322FCF" w:rsidRPr="00C1603D" w14:paraId="74042E16" w14:textId="77777777" w:rsidTr="00322FCF">
        <w:trPr>
          <w:cantSplit/>
        </w:trPr>
        <w:tc>
          <w:tcPr>
            <w:tcW w:w="0" w:type="auto"/>
            <w:shd w:val="clear" w:color="auto" w:fill="auto"/>
            <w:tcMar>
              <w:top w:w="0" w:type="dxa"/>
              <w:left w:w="0" w:type="dxa"/>
              <w:bottom w:w="0" w:type="dxa"/>
              <w:right w:w="0" w:type="dxa"/>
            </w:tcMar>
          </w:tcPr>
          <w:p w14:paraId="469CE0A5" w14:textId="77777777" w:rsidR="008B4DF8" w:rsidRPr="00C1603D" w:rsidRDefault="008B4DF8" w:rsidP="003E0954">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0B62E43D" w14:textId="77777777" w:rsidR="008B4DF8" w:rsidRPr="00C1603D" w:rsidRDefault="008B4DF8" w:rsidP="003E0954">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6BDA9C20" w14:textId="77777777" w:rsidR="008B4DF8" w:rsidRPr="00C1603D" w:rsidRDefault="008B4DF8" w:rsidP="003E0954">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3CA458A8" w14:textId="167EE359" w:rsidR="008B4DF8" w:rsidRPr="00C1603D" w:rsidRDefault="008B4DF8" w:rsidP="003E0954">
            <w:pPr>
              <w:pStyle w:val="72TabletextTablesTableFigureBoxstyles"/>
              <w:rPr>
                <w:color w:val="auto"/>
              </w:rPr>
            </w:pPr>
            <w:r w:rsidRPr="00C1603D">
              <w:rPr>
                <w:rFonts w:eastAsia="Arial"/>
                <w:color w:val="auto"/>
              </w:rPr>
              <w:t>3196</w:t>
            </w:r>
          </w:p>
        </w:tc>
        <w:tc>
          <w:tcPr>
            <w:tcW w:w="0" w:type="auto"/>
            <w:shd w:val="clear" w:color="auto" w:fill="auto"/>
            <w:tcMar>
              <w:top w:w="0" w:type="dxa"/>
              <w:left w:w="0" w:type="dxa"/>
              <w:bottom w:w="0" w:type="dxa"/>
              <w:right w:w="0" w:type="dxa"/>
            </w:tcMar>
          </w:tcPr>
          <w:p w14:paraId="07EA0791" w14:textId="77777777" w:rsidR="008B4DF8" w:rsidRPr="00C1603D" w:rsidRDefault="008B4DF8" w:rsidP="003E0954">
            <w:pPr>
              <w:pStyle w:val="72TabletextTablesTableFigureBoxstyles"/>
              <w:rPr>
                <w:color w:val="auto"/>
              </w:rPr>
            </w:pPr>
            <w:r w:rsidRPr="00C1603D">
              <w:rPr>
                <w:rFonts w:eastAsia="Arial"/>
                <w:color w:val="auto"/>
              </w:rPr>
              <w:t>NR</w:t>
            </w:r>
          </w:p>
        </w:tc>
        <w:tc>
          <w:tcPr>
            <w:tcW w:w="0" w:type="auto"/>
            <w:shd w:val="clear" w:color="auto" w:fill="auto"/>
            <w:tcMar>
              <w:top w:w="0" w:type="dxa"/>
              <w:left w:w="0" w:type="dxa"/>
              <w:bottom w:w="0" w:type="dxa"/>
              <w:right w:w="0" w:type="dxa"/>
            </w:tcMar>
          </w:tcPr>
          <w:p w14:paraId="3830F3AF" w14:textId="77777777" w:rsidR="008B4DF8" w:rsidRPr="00C1603D" w:rsidRDefault="008B4DF8" w:rsidP="003E0954">
            <w:pPr>
              <w:pStyle w:val="72TabletextTablesTableFigureBoxstyles"/>
              <w:rPr>
                <w:color w:val="auto"/>
              </w:rPr>
            </w:pPr>
            <w:r w:rsidRPr="00C1603D">
              <w:rPr>
                <w:rFonts w:eastAsia="Arial"/>
                <w:color w:val="auto"/>
              </w:rPr>
              <w:t>People without abdominal pain</w:t>
            </w:r>
          </w:p>
        </w:tc>
        <w:tc>
          <w:tcPr>
            <w:tcW w:w="0" w:type="auto"/>
            <w:shd w:val="clear" w:color="auto" w:fill="auto"/>
            <w:tcMar>
              <w:top w:w="0" w:type="dxa"/>
              <w:left w:w="0" w:type="dxa"/>
              <w:bottom w:w="0" w:type="dxa"/>
              <w:right w:w="0" w:type="dxa"/>
            </w:tcMar>
          </w:tcPr>
          <w:p w14:paraId="49014848" w14:textId="2374AB19" w:rsidR="008B4DF8" w:rsidRPr="00C1603D" w:rsidRDefault="008B4DF8" w:rsidP="003E0954">
            <w:pPr>
              <w:pStyle w:val="72TabletextTablesTableFigureBoxstyles"/>
              <w:rPr>
                <w:color w:val="auto"/>
              </w:rPr>
            </w:pPr>
            <w:r w:rsidRPr="00C1603D">
              <w:rPr>
                <w:rFonts w:eastAsia="Arial"/>
                <w:color w:val="auto"/>
              </w:rPr>
              <w:t xml:space="preserve">Double </w:t>
            </w:r>
            <w:r w:rsidR="000D4B83" w:rsidRPr="00C1603D">
              <w:rPr>
                <w:rFonts w:eastAsia="Arial"/>
                <w:color w:val="auto"/>
              </w:rPr>
              <w:t xml:space="preserve">positive </w:t>
            </w:r>
            <w:r w:rsidRPr="00C1603D">
              <w:rPr>
                <w:rFonts w:eastAsia="Arial"/>
                <w:color w:val="auto"/>
              </w:rPr>
              <w:t>for two antibodies</w:t>
            </w:r>
          </w:p>
        </w:tc>
        <w:tc>
          <w:tcPr>
            <w:tcW w:w="0" w:type="auto"/>
            <w:shd w:val="clear" w:color="auto" w:fill="auto"/>
            <w:tcMar>
              <w:top w:w="0" w:type="dxa"/>
              <w:left w:w="0" w:type="dxa"/>
              <w:bottom w:w="0" w:type="dxa"/>
              <w:right w:w="0" w:type="dxa"/>
            </w:tcMar>
          </w:tcPr>
          <w:p w14:paraId="513EC57A" w14:textId="77777777" w:rsidR="008B4DF8" w:rsidRPr="00C1603D" w:rsidRDefault="008B4DF8" w:rsidP="003E0954">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702AB28F" w14:textId="3697A34B" w:rsidR="008B4DF8" w:rsidRPr="00C1603D" w:rsidRDefault="008B4DF8" w:rsidP="003E0954">
            <w:pPr>
              <w:pStyle w:val="72TabletextTablesTableFigureBoxstyles"/>
              <w:rPr>
                <w:color w:val="auto"/>
              </w:rPr>
            </w:pPr>
            <w:r w:rsidRPr="00C1603D">
              <w:rPr>
                <w:rFonts w:eastAsia="Arial"/>
                <w:color w:val="auto"/>
              </w:rPr>
              <w:t>US</w:t>
            </w:r>
            <w:r w:rsidR="000D4B83" w:rsidRPr="00C1603D">
              <w:rPr>
                <w:rFonts w:eastAsia="Arial"/>
                <w:color w:val="auto"/>
              </w:rPr>
              <w:t>A</w:t>
            </w:r>
          </w:p>
        </w:tc>
        <w:tc>
          <w:tcPr>
            <w:tcW w:w="0" w:type="auto"/>
            <w:shd w:val="clear" w:color="auto" w:fill="auto"/>
            <w:tcMar>
              <w:top w:w="0" w:type="dxa"/>
              <w:left w:w="0" w:type="dxa"/>
              <w:bottom w:w="0" w:type="dxa"/>
              <w:right w:w="0" w:type="dxa"/>
            </w:tcMar>
          </w:tcPr>
          <w:p w14:paraId="3110FE9A" w14:textId="72A2C398" w:rsidR="008B4DF8" w:rsidRPr="00C1603D" w:rsidRDefault="000D4B83" w:rsidP="003E0954">
            <w:pPr>
              <w:pStyle w:val="72TabletextTablesTableFigureBoxstyles"/>
              <w:rPr>
                <w:color w:val="auto"/>
              </w:rPr>
            </w:pPr>
            <w:r w:rsidRPr="00C1603D">
              <w:rPr>
                <w:rFonts w:eastAsia="Arial"/>
                <w:noProof/>
                <w:color w:val="auto"/>
              </w:rPr>
              <w:t xml:space="preserve">Choung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299</w:t>
            </w:r>
          </w:p>
        </w:tc>
      </w:tr>
      <w:tr w:rsidR="00322FCF" w:rsidRPr="00C1603D" w14:paraId="104049AC" w14:textId="77777777" w:rsidTr="00322FCF">
        <w:trPr>
          <w:cantSplit/>
        </w:trPr>
        <w:tc>
          <w:tcPr>
            <w:tcW w:w="0" w:type="auto"/>
            <w:shd w:val="clear" w:color="auto" w:fill="auto"/>
            <w:tcMar>
              <w:top w:w="0" w:type="dxa"/>
              <w:left w:w="0" w:type="dxa"/>
              <w:bottom w:w="0" w:type="dxa"/>
              <w:right w:w="0" w:type="dxa"/>
            </w:tcMar>
          </w:tcPr>
          <w:p w14:paraId="5F690185" w14:textId="77777777" w:rsidR="008B4DF8" w:rsidRPr="00C1603D" w:rsidRDefault="008B4DF8" w:rsidP="003E0954">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5A6C2B26" w14:textId="77777777" w:rsidR="008B4DF8" w:rsidRPr="00C1603D" w:rsidRDefault="008B4DF8" w:rsidP="003E0954">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02C036DC" w14:textId="77777777" w:rsidR="008B4DF8" w:rsidRPr="00C1603D" w:rsidRDefault="008B4DF8" w:rsidP="003E0954">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23055889" w14:textId="1CE47D97" w:rsidR="008B4DF8" w:rsidRPr="00C1603D" w:rsidRDefault="008B4DF8" w:rsidP="003E0954">
            <w:pPr>
              <w:pStyle w:val="72TabletextTablesTableFigureBoxstyles"/>
              <w:rPr>
                <w:color w:val="auto"/>
              </w:rPr>
            </w:pPr>
            <w:r w:rsidRPr="00C1603D">
              <w:rPr>
                <w:rFonts w:eastAsia="Arial"/>
                <w:color w:val="auto"/>
              </w:rPr>
              <w:t>2976</w:t>
            </w:r>
          </w:p>
        </w:tc>
        <w:tc>
          <w:tcPr>
            <w:tcW w:w="0" w:type="auto"/>
            <w:shd w:val="clear" w:color="auto" w:fill="auto"/>
            <w:tcMar>
              <w:top w:w="0" w:type="dxa"/>
              <w:left w:w="0" w:type="dxa"/>
              <w:bottom w:w="0" w:type="dxa"/>
              <w:right w:w="0" w:type="dxa"/>
            </w:tcMar>
          </w:tcPr>
          <w:p w14:paraId="1F22459B" w14:textId="59DA85E4" w:rsidR="008B4DF8" w:rsidRPr="00C1603D" w:rsidRDefault="008B4DF8" w:rsidP="003E0954">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00D520E2" w14:textId="77777777" w:rsidR="008B4DF8" w:rsidRPr="00C1603D" w:rsidRDefault="008B4DF8" w:rsidP="003E0954">
            <w:pPr>
              <w:pStyle w:val="72TabletextTablesTableFigureBoxstyles"/>
              <w:rPr>
                <w:color w:val="auto"/>
              </w:rPr>
            </w:pPr>
            <w:r w:rsidRPr="00C1603D">
              <w:rPr>
                <w:rFonts w:eastAsia="Arial"/>
                <w:color w:val="auto"/>
              </w:rPr>
              <w:t>People without abdominal pain</w:t>
            </w:r>
          </w:p>
        </w:tc>
        <w:tc>
          <w:tcPr>
            <w:tcW w:w="0" w:type="auto"/>
            <w:shd w:val="clear" w:color="auto" w:fill="auto"/>
            <w:tcMar>
              <w:top w:w="0" w:type="dxa"/>
              <w:left w:w="0" w:type="dxa"/>
              <w:bottom w:w="0" w:type="dxa"/>
              <w:right w:w="0" w:type="dxa"/>
            </w:tcMar>
          </w:tcPr>
          <w:p w14:paraId="0B5B1BDA" w14:textId="4FC305DD" w:rsidR="008B4DF8" w:rsidRPr="00C1603D" w:rsidRDefault="008B4DF8" w:rsidP="003E0954">
            <w:pPr>
              <w:pStyle w:val="72TabletextTablesTableFigureBoxstyles"/>
              <w:rPr>
                <w:color w:val="auto"/>
              </w:rPr>
            </w:pPr>
            <w:r w:rsidRPr="00C1603D">
              <w:rPr>
                <w:rFonts w:eastAsia="Arial"/>
                <w:color w:val="auto"/>
              </w:rPr>
              <w:t xml:space="preserve">Serology and only </w:t>
            </w:r>
            <w:r w:rsidR="000D4B83" w:rsidRPr="00C1603D">
              <w:rPr>
                <w:rFonts w:eastAsia="Arial"/>
                <w:color w:val="auto"/>
              </w:rPr>
              <w:t xml:space="preserve">positive patients </w:t>
            </w:r>
            <w:r w:rsidRPr="00C1603D">
              <w:rPr>
                <w:rFonts w:eastAsia="Arial"/>
                <w:color w:val="auto"/>
              </w:rPr>
              <w:t>biopsied</w:t>
            </w:r>
          </w:p>
        </w:tc>
        <w:tc>
          <w:tcPr>
            <w:tcW w:w="0" w:type="auto"/>
            <w:shd w:val="clear" w:color="auto" w:fill="auto"/>
            <w:tcMar>
              <w:top w:w="0" w:type="dxa"/>
              <w:left w:w="0" w:type="dxa"/>
              <w:bottom w:w="0" w:type="dxa"/>
              <w:right w:w="0" w:type="dxa"/>
            </w:tcMar>
          </w:tcPr>
          <w:p w14:paraId="414831F2" w14:textId="77777777" w:rsidR="008B4DF8" w:rsidRPr="00C1603D" w:rsidRDefault="008B4DF8" w:rsidP="003E0954">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09B0D54A" w14:textId="77777777" w:rsidR="008B4DF8" w:rsidRPr="00C1603D" w:rsidRDefault="008B4DF8" w:rsidP="003E0954">
            <w:pPr>
              <w:pStyle w:val="72TabletextTablesTableFigureBoxstyles"/>
              <w:rPr>
                <w:color w:val="auto"/>
              </w:rPr>
            </w:pPr>
            <w:r w:rsidRPr="00C1603D">
              <w:rPr>
                <w:rFonts w:eastAsia="Arial"/>
                <w:color w:val="auto"/>
              </w:rPr>
              <w:t>Brazil</w:t>
            </w:r>
          </w:p>
        </w:tc>
        <w:tc>
          <w:tcPr>
            <w:tcW w:w="0" w:type="auto"/>
            <w:shd w:val="clear" w:color="auto" w:fill="auto"/>
            <w:tcMar>
              <w:top w:w="0" w:type="dxa"/>
              <w:left w:w="0" w:type="dxa"/>
              <w:bottom w:w="0" w:type="dxa"/>
              <w:right w:w="0" w:type="dxa"/>
            </w:tcMar>
          </w:tcPr>
          <w:p w14:paraId="5FF334DF" w14:textId="680F901C" w:rsidR="008B4DF8" w:rsidRPr="00C1603D" w:rsidRDefault="000D4B83" w:rsidP="003E0954">
            <w:pPr>
              <w:pStyle w:val="72TabletextTablesTableFigureBoxstyles"/>
              <w:rPr>
                <w:color w:val="auto"/>
              </w:rPr>
            </w:pPr>
            <w:r w:rsidRPr="00C1603D">
              <w:rPr>
                <w:rFonts w:eastAsia="Arial"/>
                <w:noProof/>
                <w:color w:val="auto"/>
              </w:rPr>
              <w:t xml:space="preserve">Oliveira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300</w:t>
            </w:r>
          </w:p>
        </w:tc>
      </w:tr>
      <w:tr w:rsidR="00322FCF" w:rsidRPr="00C1603D" w14:paraId="3FE5E9E6" w14:textId="77777777" w:rsidTr="00322FCF">
        <w:trPr>
          <w:cantSplit/>
        </w:trPr>
        <w:tc>
          <w:tcPr>
            <w:tcW w:w="0" w:type="auto"/>
            <w:shd w:val="clear" w:color="auto" w:fill="auto"/>
            <w:tcMar>
              <w:top w:w="0" w:type="dxa"/>
              <w:left w:w="0" w:type="dxa"/>
              <w:bottom w:w="0" w:type="dxa"/>
              <w:right w:w="0" w:type="dxa"/>
            </w:tcMar>
          </w:tcPr>
          <w:p w14:paraId="0D570C3A" w14:textId="77777777" w:rsidR="008B4DF8" w:rsidRPr="00C1603D" w:rsidRDefault="008B4DF8" w:rsidP="003E0954">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5F7CBE26" w14:textId="77777777" w:rsidR="008B4DF8" w:rsidRPr="00C1603D" w:rsidRDefault="008B4DF8" w:rsidP="003E0954">
            <w:pPr>
              <w:pStyle w:val="72TabletextTablesTableFigureBoxstyles"/>
              <w:rPr>
                <w:color w:val="auto"/>
              </w:rPr>
            </w:pPr>
            <w:r w:rsidRPr="00C1603D">
              <w:rPr>
                <w:rFonts w:eastAsia="Arial"/>
                <w:color w:val="auto"/>
              </w:rPr>
              <w:t>Nested case–control (CD)</w:t>
            </w:r>
          </w:p>
        </w:tc>
        <w:tc>
          <w:tcPr>
            <w:tcW w:w="0" w:type="auto"/>
            <w:shd w:val="clear" w:color="auto" w:fill="auto"/>
            <w:tcMar>
              <w:top w:w="0" w:type="dxa"/>
              <w:left w:w="0" w:type="dxa"/>
              <w:bottom w:w="0" w:type="dxa"/>
              <w:right w:w="0" w:type="dxa"/>
            </w:tcMar>
          </w:tcPr>
          <w:p w14:paraId="4F9790AB" w14:textId="77777777" w:rsidR="008B4DF8" w:rsidRPr="00C1603D" w:rsidRDefault="008B4DF8" w:rsidP="003E0954">
            <w:pPr>
              <w:pStyle w:val="72TabletextTablesTableFigureBoxstyles"/>
              <w:rPr>
                <w:color w:val="auto"/>
              </w:rPr>
            </w:pPr>
            <w:r w:rsidRPr="00C1603D">
              <w:rPr>
                <w:rFonts w:eastAsia="Arial"/>
                <w:color w:val="auto"/>
              </w:rPr>
              <w:t>Recurrent abdominal pain</w:t>
            </w:r>
          </w:p>
        </w:tc>
        <w:tc>
          <w:tcPr>
            <w:tcW w:w="0" w:type="auto"/>
            <w:shd w:val="clear" w:color="auto" w:fill="auto"/>
            <w:tcMar>
              <w:top w:w="0" w:type="dxa"/>
              <w:left w:w="0" w:type="dxa"/>
              <w:bottom w:w="0" w:type="dxa"/>
              <w:right w:w="0" w:type="dxa"/>
            </w:tcMar>
          </w:tcPr>
          <w:p w14:paraId="0495DA4C" w14:textId="77777777" w:rsidR="008B4DF8" w:rsidRPr="00C1603D" w:rsidRDefault="008B4DF8" w:rsidP="003E0954">
            <w:pPr>
              <w:pStyle w:val="72TabletextTablesTableFigureBoxstyles"/>
              <w:rPr>
                <w:color w:val="auto"/>
              </w:rPr>
            </w:pPr>
            <w:r w:rsidRPr="00C1603D">
              <w:rPr>
                <w:rFonts w:eastAsia="Arial"/>
                <w:color w:val="auto"/>
              </w:rPr>
              <w:t>800</w:t>
            </w:r>
          </w:p>
        </w:tc>
        <w:tc>
          <w:tcPr>
            <w:tcW w:w="0" w:type="auto"/>
            <w:shd w:val="clear" w:color="auto" w:fill="auto"/>
            <w:tcMar>
              <w:top w:w="0" w:type="dxa"/>
              <w:left w:w="0" w:type="dxa"/>
              <w:bottom w:w="0" w:type="dxa"/>
              <w:right w:w="0" w:type="dxa"/>
            </w:tcMar>
          </w:tcPr>
          <w:p w14:paraId="03E457DA" w14:textId="2F4F7391" w:rsidR="008B4DF8" w:rsidRPr="00C1603D" w:rsidRDefault="008B4DF8" w:rsidP="003E0954">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6A0AE92F" w14:textId="77777777" w:rsidR="008B4DF8" w:rsidRPr="00C1603D" w:rsidRDefault="008B4DF8" w:rsidP="003E0954">
            <w:pPr>
              <w:pStyle w:val="72TabletextTablesTableFigureBoxstyles"/>
              <w:rPr>
                <w:color w:val="auto"/>
              </w:rPr>
            </w:pPr>
            <w:r w:rsidRPr="00C1603D">
              <w:rPr>
                <w:rFonts w:eastAsia="Arial"/>
                <w:color w:val="auto"/>
              </w:rPr>
              <w:t>People without recurrent abdominal pain</w:t>
            </w:r>
          </w:p>
        </w:tc>
        <w:tc>
          <w:tcPr>
            <w:tcW w:w="0" w:type="auto"/>
            <w:shd w:val="clear" w:color="auto" w:fill="auto"/>
            <w:tcMar>
              <w:top w:w="0" w:type="dxa"/>
              <w:left w:w="0" w:type="dxa"/>
              <w:bottom w:w="0" w:type="dxa"/>
              <w:right w:w="0" w:type="dxa"/>
            </w:tcMar>
          </w:tcPr>
          <w:p w14:paraId="3FA0A99C" w14:textId="7B161892" w:rsidR="008B4DF8" w:rsidRPr="00C1603D" w:rsidRDefault="008B4DF8" w:rsidP="003E0954">
            <w:pPr>
              <w:pStyle w:val="72TabletextTablesTableFigureBoxstyles"/>
              <w:rPr>
                <w:color w:val="auto"/>
              </w:rPr>
            </w:pPr>
            <w:r w:rsidRPr="00C1603D">
              <w:rPr>
                <w:rFonts w:eastAsia="Arial"/>
                <w:color w:val="auto"/>
              </w:rPr>
              <w:t xml:space="preserve">Double </w:t>
            </w:r>
            <w:r w:rsidR="000D4B83" w:rsidRPr="00C1603D">
              <w:rPr>
                <w:rFonts w:eastAsia="Arial"/>
                <w:color w:val="auto"/>
              </w:rPr>
              <w:t xml:space="preserve">positive </w:t>
            </w:r>
            <w:r w:rsidRPr="00C1603D">
              <w:rPr>
                <w:rFonts w:eastAsia="Arial"/>
                <w:color w:val="auto"/>
              </w:rPr>
              <w:t>for two antibodies</w:t>
            </w:r>
          </w:p>
        </w:tc>
        <w:tc>
          <w:tcPr>
            <w:tcW w:w="0" w:type="auto"/>
            <w:shd w:val="clear" w:color="auto" w:fill="auto"/>
            <w:tcMar>
              <w:top w:w="0" w:type="dxa"/>
              <w:left w:w="0" w:type="dxa"/>
              <w:bottom w:w="0" w:type="dxa"/>
              <w:right w:w="0" w:type="dxa"/>
            </w:tcMar>
          </w:tcPr>
          <w:p w14:paraId="119790FA" w14:textId="77777777" w:rsidR="008B4DF8" w:rsidRPr="00C1603D" w:rsidRDefault="008B4DF8" w:rsidP="003E0954">
            <w:pPr>
              <w:pStyle w:val="72TabletextTablesTableFigureBoxstyles"/>
              <w:rPr>
                <w:color w:val="auto"/>
              </w:rPr>
            </w:pPr>
            <w:r w:rsidRPr="00C1603D">
              <w:rPr>
                <w:rFonts w:eastAsia="Arial"/>
                <w:color w:val="auto"/>
              </w:rPr>
              <w:t>Primary and secondary</w:t>
            </w:r>
          </w:p>
        </w:tc>
        <w:tc>
          <w:tcPr>
            <w:tcW w:w="0" w:type="auto"/>
            <w:shd w:val="clear" w:color="auto" w:fill="auto"/>
            <w:tcMar>
              <w:top w:w="0" w:type="dxa"/>
              <w:left w:w="0" w:type="dxa"/>
              <w:bottom w:w="0" w:type="dxa"/>
              <w:right w:w="0" w:type="dxa"/>
            </w:tcMar>
          </w:tcPr>
          <w:p w14:paraId="7EA18F59" w14:textId="726055BA" w:rsidR="008B4DF8" w:rsidRPr="00C1603D" w:rsidRDefault="008B4DF8" w:rsidP="003E0954">
            <w:pPr>
              <w:pStyle w:val="72TabletextTablesTableFigureBoxstyles"/>
              <w:rPr>
                <w:color w:val="auto"/>
              </w:rPr>
            </w:pPr>
            <w:r w:rsidRPr="00C1603D">
              <w:rPr>
                <w:rFonts w:eastAsia="Arial"/>
                <w:color w:val="auto"/>
              </w:rPr>
              <w:t>US</w:t>
            </w:r>
            <w:r w:rsidR="000D4B83" w:rsidRPr="00C1603D">
              <w:rPr>
                <w:rFonts w:eastAsia="Arial"/>
                <w:color w:val="auto"/>
              </w:rPr>
              <w:t>A</w:t>
            </w:r>
          </w:p>
        </w:tc>
        <w:tc>
          <w:tcPr>
            <w:tcW w:w="0" w:type="auto"/>
            <w:shd w:val="clear" w:color="auto" w:fill="auto"/>
            <w:tcMar>
              <w:top w:w="0" w:type="dxa"/>
              <w:left w:w="0" w:type="dxa"/>
              <w:bottom w:w="0" w:type="dxa"/>
              <w:right w:w="0" w:type="dxa"/>
            </w:tcMar>
          </w:tcPr>
          <w:p w14:paraId="170542F2" w14:textId="7E55C7FA" w:rsidR="008B4DF8" w:rsidRPr="00C1603D" w:rsidRDefault="000D4B83" w:rsidP="003E0954">
            <w:pPr>
              <w:pStyle w:val="72TabletextTablesTableFigureBoxstyles"/>
              <w:rPr>
                <w:color w:val="auto"/>
              </w:rPr>
            </w:pPr>
            <w:r w:rsidRPr="00C1603D">
              <w:rPr>
                <w:rFonts w:eastAsia="Arial"/>
                <w:noProof/>
                <w:color w:val="auto"/>
              </w:rPr>
              <w:t xml:space="preserve">Hujoel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301</w:t>
            </w:r>
          </w:p>
        </w:tc>
      </w:tr>
      <w:tr w:rsidR="00322FCF" w:rsidRPr="00C1603D" w14:paraId="1A76F2F0" w14:textId="77777777" w:rsidTr="00322FCF">
        <w:trPr>
          <w:cantSplit/>
        </w:trPr>
        <w:tc>
          <w:tcPr>
            <w:tcW w:w="0" w:type="auto"/>
            <w:shd w:val="clear" w:color="auto" w:fill="auto"/>
            <w:tcMar>
              <w:top w:w="0" w:type="dxa"/>
              <w:left w:w="0" w:type="dxa"/>
              <w:bottom w:w="0" w:type="dxa"/>
              <w:right w:w="0" w:type="dxa"/>
            </w:tcMar>
          </w:tcPr>
          <w:p w14:paraId="724AE7EE" w14:textId="77777777" w:rsidR="008B4DF8" w:rsidRPr="00C1603D" w:rsidRDefault="008B4DF8" w:rsidP="003E0954">
            <w:pPr>
              <w:pStyle w:val="72TabletextTablesTableFigureBoxstyles"/>
              <w:rPr>
                <w:color w:val="auto"/>
              </w:rPr>
            </w:pPr>
            <w:r w:rsidRPr="00C1603D">
              <w:rPr>
                <w:rFonts w:eastAsia="Arial"/>
                <w:color w:val="auto"/>
              </w:rPr>
              <w:t>Adults</w:t>
            </w:r>
          </w:p>
        </w:tc>
        <w:tc>
          <w:tcPr>
            <w:tcW w:w="0" w:type="auto"/>
            <w:shd w:val="clear" w:color="auto" w:fill="auto"/>
            <w:tcMar>
              <w:top w:w="0" w:type="dxa"/>
              <w:left w:w="0" w:type="dxa"/>
              <w:bottom w:w="0" w:type="dxa"/>
              <w:right w:w="0" w:type="dxa"/>
            </w:tcMar>
          </w:tcPr>
          <w:p w14:paraId="3EB08B53" w14:textId="77777777" w:rsidR="008B4DF8" w:rsidRPr="00C1603D" w:rsidRDefault="008B4DF8" w:rsidP="003E0954">
            <w:pPr>
              <w:pStyle w:val="72TabletextTablesTableFigureBoxstyles"/>
              <w:rPr>
                <w:color w:val="auto"/>
              </w:rPr>
            </w:pPr>
            <w:r w:rsidRPr="00C1603D">
              <w:rPr>
                <w:rFonts w:eastAsia="Arial"/>
                <w:color w:val="auto"/>
              </w:rPr>
              <w:t>Nested case–control (CD)</w:t>
            </w:r>
          </w:p>
        </w:tc>
        <w:tc>
          <w:tcPr>
            <w:tcW w:w="0" w:type="auto"/>
            <w:shd w:val="clear" w:color="auto" w:fill="auto"/>
            <w:tcMar>
              <w:top w:w="0" w:type="dxa"/>
              <w:left w:w="0" w:type="dxa"/>
              <w:bottom w:w="0" w:type="dxa"/>
              <w:right w:w="0" w:type="dxa"/>
            </w:tcMar>
          </w:tcPr>
          <w:p w14:paraId="15DDBE5B" w14:textId="77777777" w:rsidR="008B4DF8" w:rsidRPr="00C1603D" w:rsidRDefault="008B4DF8" w:rsidP="003E0954">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76DC5C4E" w14:textId="77777777" w:rsidR="008B4DF8" w:rsidRPr="00C1603D" w:rsidRDefault="008B4DF8" w:rsidP="003E0954">
            <w:pPr>
              <w:pStyle w:val="72TabletextTablesTableFigureBoxstyles"/>
              <w:rPr>
                <w:color w:val="auto"/>
              </w:rPr>
            </w:pPr>
            <w:r w:rsidRPr="00C1603D">
              <w:rPr>
                <w:rFonts w:eastAsia="Arial"/>
                <w:color w:val="auto"/>
              </w:rPr>
              <w:t>381</w:t>
            </w:r>
          </w:p>
        </w:tc>
        <w:tc>
          <w:tcPr>
            <w:tcW w:w="0" w:type="auto"/>
            <w:shd w:val="clear" w:color="auto" w:fill="auto"/>
            <w:tcMar>
              <w:top w:w="0" w:type="dxa"/>
              <w:left w:w="0" w:type="dxa"/>
              <w:bottom w:w="0" w:type="dxa"/>
              <w:right w:w="0" w:type="dxa"/>
            </w:tcMar>
          </w:tcPr>
          <w:p w14:paraId="7ECE25D3" w14:textId="16113F32" w:rsidR="008B4DF8" w:rsidRPr="00C1603D" w:rsidRDefault="008B4DF8" w:rsidP="003E0954">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458E1BD8" w14:textId="77777777" w:rsidR="008B4DF8" w:rsidRPr="00C1603D" w:rsidRDefault="008B4DF8" w:rsidP="003E0954">
            <w:pPr>
              <w:pStyle w:val="72TabletextTablesTableFigureBoxstyles"/>
              <w:rPr>
                <w:color w:val="auto"/>
              </w:rPr>
            </w:pPr>
            <w:r w:rsidRPr="00C1603D">
              <w:rPr>
                <w:rFonts w:eastAsia="Arial"/>
                <w:color w:val="auto"/>
              </w:rPr>
              <w:t>People without abdominal pain</w:t>
            </w:r>
          </w:p>
        </w:tc>
        <w:tc>
          <w:tcPr>
            <w:tcW w:w="0" w:type="auto"/>
            <w:shd w:val="clear" w:color="auto" w:fill="auto"/>
            <w:tcMar>
              <w:top w:w="0" w:type="dxa"/>
              <w:left w:w="0" w:type="dxa"/>
              <w:bottom w:w="0" w:type="dxa"/>
              <w:right w:w="0" w:type="dxa"/>
            </w:tcMar>
          </w:tcPr>
          <w:p w14:paraId="77CF019C" w14:textId="7DF6EB56" w:rsidR="008B4DF8" w:rsidRPr="00C1603D" w:rsidRDefault="008B4DF8" w:rsidP="003E0954">
            <w:pPr>
              <w:pStyle w:val="72TabletextTablesTableFigureBoxstyles"/>
              <w:rPr>
                <w:color w:val="auto"/>
              </w:rPr>
            </w:pPr>
            <w:r w:rsidRPr="00C1603D">
              <w:rPr>
                <w:rFonts w:eastAsia="Arial"/>
                <w:color w:val="auto"/>
              </w:rPr>
              <w:t xml:space="preserve">Double </w:t>
            </w:r>
            <w:r w:rsidR="000D4B83" w:rsidRPr="00C1603D">
              <w:rPr>
                <w:rFonts w:eastAsia="Arial"/>
                <w:color w:val="auto"/>
              </w:rPr>
              <w:t xml:space="preserve">positive </w:t>
            </w:r>
            <w:r w:rsidRPr="00C1603D">
              <w:rPr>
                <w:rFonts w:eastAsia="Arial"/>
                <w:color w:val="auto"/>
              </w:rPr>
              <w:t>for two antibodies</w:t>
            </w:r>
          </w:p>
        </w:tc>
        <w:tc>
          <w:tcPr>
            <w:tcW w:w="0" w:type="auto"/>
            <w:shd w:val="clear" w:color="auto" w:fill="auto"/>
            <w:tcMar>
              <w:top w:w="0" w:type="dxa"/>
              <w:left w:w="0" w:type="dxa"/>
              <w:bottom w:w="0" w:type="dxa"/>
              <w:right w:w="0" w:type="dxa"/>
            </w:tcMar>
          </w:tcPr>
          <w:p w14:paraId="5B7DBD33" w14:textId="77777777" w:rsidR="008B4DF8" w:rsidRPr="00C1603D" w:rsidRDefault="008B4DF8" w:rsidP="003E0954">
            <w:pPr>
              <w:pStyle w:val="72TabletextTablesTableFigureBoxstyles"/>
              <w:rPr>
                <w:color w:val="auto"/>
              </w:rPr>
            </w:pPr>
            <w:r w:rsidRPr="00C1603D">
              <w:rPr>
                <w:rFonts w:eastAsia="Arial"/>
                <w:color w:val="auto"/>
              </w:rPr>
              <w:t>Secondary</w:t>
            </w:r>
          </w:p>
        </w:tc>
        <w:tc>
          <w:tcPr>
            <w:tcW w:w="0" w:type="auto"/>
            <w:shd w:val="clear" w:color="auto" w:fill="auto"/>
            <w:tcMar>
              <w:top w:w="0" w:type="dxa"/>
              <w:left w:w="0" w:type="dxa"/>
              <w:bottom w:w="0" w:type="dxa"/>
              <w:right w:w="0" w:type="dxa"/>
            </w:tcMar>
          </w:tcPr>
          <w:p w14:paraId="01D02D5D" w14:textId="74C5A678" w:rsidR="008B4DF8" w:rsidRPr="00C1603D" w:rsidRDefault="008B4DF8" w:rsidP="003E0954">
            <w:pPr>
              <w:pStyle w:val="72TabletextTablesTableFigureBoxstyles"/>
              <w:rPr>
                <w:color w:val="auto"/>
              </w:rPr>
            </w:pPr>
            <w:r w:rsidRPr="00C1603D">
              <w:rPr>
                <w:rFonts w:eastAsia="Arial"/>
                <w:color w:val="auto"/>
              </w:rPr>
              <w:t>US</w:t>
            </w:r>
            <w:r w:rsidR="000D4B83" w:rsidRPr="00C1603D">
              <w:rPr>
                <w:rFonts w:eastAsia="Arial"/>
                <w:color w:val="auto"/>
              </w:rPr>
              <w:t>A</w:t>
            </w:r>
          </w:p>
        </w:tc>
        <w:tc>
          <w:tcPr>
            <w:tcW w:w="0" w:type="auto"/>
            <w:shd w:val="clear" w:color="auto" w:fill="auto"/>
            <w:tcMar>
              <w:top w:w="0" w:type="dxa"/>
              <w:left w:w="0" w:type="dxa"/>
              <w:bottom w:w="0" w:type="dxa"/>
              <w:right w:w="0" w:type="dxa"/>
            </w:tcMar>
          </w:tcPr>
          <w:p w14:paraId="2A69087A" w14:textId="4A8048E6" w:rsidR="008B4DF8" w:rsidRPr="00C1603D" w:rsidRDefault="000D4B83" w:rsidP="003E0954">
            <w:pPr>
              <w:pStyle w:val="72TabletextTablesTableFigureBoxstyles"/>
              <w:rPr>
                <w:color w:val="auto"/>
              </w:rPr>
            </w:pPr>
            <w:r w:rsidRPr="00C1603D">
              <w:rPr>
                <w:rFonts w:eastAsia="Arial"/>
                <w:noProof/>
                <w:color w:val="auto"/>
              </w:rPr>
              <w:t xml:space="preserve">Godfrey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302</w:t>
            </w:r>
          </w:p>
        </w:tc>
      </w:tr>
      <w:tr w:rsidR="00322FCF" w:rsidRPr="00C1603D" w14:paraId="2C958ACF" w14:textId="77777777" w:rsidTr="00322FCF">
        <w:trPr>
          <w:cantSplit/>
        </w:trPr>
        <w:tc>
          <w:tcPr>
            <w:tcW w:w="0" w:type="auto"/>
            <w:shd w:val="clear" w:color="auto" w:fill="auto"/>
            <w:tcMar>
              <w:top w:w="0" w:type="dxa"/>
              <w:left w:w="0" w:type="dxa"/>
              <w:bottom w:w="0" w:type="dxa"/>
              <w:right w:w="0" w:type="dxa"/>
            </w:tcMar>
          </w:tcPr>
          <w:p w14:paraId="605297A9" w14:textId="77777777" w:rsidR="008B4DF8" w:rsidRPr="00C1603D" w:rsidRDefault="008B4DF8" w:rsidP="003E0954">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5B910A41" w14:textId="18F17039" w:rsidR="008B4DF8" w:rsidRPr="00C1603D" w:rsidRDefault="00B25FE9" w:rsidP="003E0954">
            <w:pPr>
              <w:pStyle w:val="72TabletextTablesTableFigureBoxstyles"/>
              <w:rPr>
                <w:color w:val="auto"/>
              </w:rPr>
            </w:pPr>
            <w:r w:rsidRPr="00C1603D">
              <w:rPr>
                <w:rFonts w:eastAsia="Arial"/>
                <w:color w:val="auto"/>
              </w:rPr>
              <w:t>Case–control</w:t>
            </w:r>
            <w:r w:rsidR="008B4DF8" w:rsidRPr="00C1603D">
              <w:rPr>
                <w:rFonts w:eastAsia="Arial"/>
                <w:color w:val="auto"/>
              </w:rPr>
              <w:t xml:space="preserve"> (DI)</w:t>
            </w:r>
          </w:p>
        </w:tc>
        <w:tc>
          <w:tcPr>
            <w:tcW w:w="0" w:type="auto"/>
            <w:shd w:val="clear" w:color="auto" w:fill="auto"/>
            <w:tcMar>
              <w:top w:w="0" w:type="dxa"/>
              <w:left w:w="0" w:type="dxa"/>
              <w:bottom w:w="0" w:type="dxa"/>
              <w:right w:w="0" w:type="dxa"/>
            </w:tcMar>
          </w:tcPr>
          <w:p w14:paraId="664353FA" w14:textId="77777777" w:rsidR="008B4DF8" w:rsidRPr="00C1603D" w:rsidRDefault="008B4DF8" w:rsidP="003E0954">
            <w:pPr>
              <w:pStyle w:val="72TabletextTablesTableFigureBoxstyles"/>
              <w:rPr>
                <w:color w:val="auto"/>
              </w:rPr>
            </w:pPr>
            <w:r w:rsidRPr="00C1603D">
              <w:rPr>
                <w:rFonts w:eastAsia="Arial"/>
                <w:color w:val="auto"/>
              </w:rPr>
              <w:t>Recurrent abdominal pain</w:t>
            </w:r>
          </w:p>
        </w:tc>
        <w:tc>
          <w:tcPr>
            <w:tcW w:w="0" w:type="auto"/>
            <w:shd w:val="clear" w:color="auto" w:fill="auto"/>
            <w:tcMar>
              <w:top w:w="0" w:type="dxa"/>
              <w:left w:w="0" w:type="dxa"/>
              <w:bottom w:w="0" w:type="dxa"/>
              <w:right w:w="0" w:type="dxa"/>
            </w:tcMar>
          </w:tcPr>
          <w:p w14:paraId="3FF97B08" w14:textId="77777777" w:rsidR="008B4DF8" w:rsidRPr="00C1603D" w:rsidRDefault="008B4DF8" w:rsidP="003E0954">
            <w:pPr>
              <w:pStyle w:val="72TabletextTablesTableFigureBoxstyles"/>
              <w:rPr>
                <w:color w:val="auto"/>
              </w:rPr>
            </w:pPr>
            <w:r w:rsidRPr="00C1603D">
              <w:rPr>
                <w:rFonts w:eastAsia="Arial"/>
                <w:color w:val="auto"/>
              </w:rPr>
              <w:t>173</w:t>
            </w:r>
          </w:p>
        </w:tc>
        <w:tc>
          <w:tcPr>
            <w:tcW w:w="0" w:type="auto"/>
            <w:shd w:val="clear" w:color="auto" w:fill="auto"/>
            <w:tcMar>
              <w:top w:w="0" w:type="dxa"/>
              <w:left w:w="0" w:type="dxa"/>
              <w:bottom w:w="0" w:type="dxa"/>
              <w:right w:w="0" w:type="dxa"/>
            </w:tcMar>
          </w:tcPr>
          <w:p w14:paraId="60F1BA3F" w14:textId="2EB21983" w:rsidR="008B4DF8" w:rsidRPr="00C1603D" w:rsidRDefault="008B4DF8" w:rsidP="003E0954">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3482E2A5" w14:textId="77777777" w:rsidR="008B4DF8" w:rsidRPr="00C1603D" w:rsidRDefault="008B4DF8" w:rsidP="003E0954">
            <w:pPr>
              <w:pStyle w:val="72TabletextTablesTableFigureBoxstyles"/>
              <w:rPr>
                <w:color w:val="auto"/>
              </w:rPr>
            </w:pPr>
            <w:r w:rsidRPr="00C1603D">
              <w:rPr>
                <w:rFonts w:eastAsia="Arial"/>
                <w:color w:val="auto"/>
              </w:rPr>
              <w:t>Healthy controls</w:t>
            </w:r>
          </w:p>
        </w:tc>
        <w:tc>
          <w:tcPr>
            <w:tcW w:w="0" w:type="auto"/>
            <w:shd w:val="clear" w:color="auto" w:fill="auto"/>
            <w:tcMar>
              <w:top w:w="0" w:type="dxa"/>
              <w:left w:w="0" w:type="dxa"/>
              <w:bottom w:w="0" w:type="dxa"/>
              <w:right w:w="0" w:type="dxa"/>
            </w:tcMar>
          </w:tcPr>
          <w:p w14:paraId="1C3DB307" w14:textId="77777777" w:rsidR="008B4DF8" w:rsidRPr="00C1603D" w:rsidRDefault="008B4DF8" w:rsidP="003E0954">
            <w:pPr>
              <w:pStyle w:val="72TabletextTablesTableFigureBoxstyles"/>
              <w:rPr>
                <w:color w:val="auto"/>
              </w:rPr>
            </w:pPr>
            <w:r w:rsidRPr="00C1603D">
              <w:rPr>
                <w:rFonts w:eastAsia="Arial"/>
                <w:color w:val="auto"/>
              </w:rPr>
              <w:t>EMA positive</w:t>
            </w:r>
          </w:p>
        </w:tc>
        <w:tc>
          <w:tcPr>
            <w:tcW w:w="0" w:type="auto"/>
            <w:shd w:val="clear" w:color="auto" w:fill="auto"/>
            <w:tcMar>
              <w:top w:w="0" w:type="dxa"/>
              <w:left w:w="0" w:type="dxa"/>
              <w:bottom w:w="0" w:type="dxa"/>
              <w:right w:w="0" w:type="dxa"/>
            </w:tcMar>
          </w:tcPr>
          <w:p w14:paraId="0609DA47" w14:textId="77777777" w:rsidR="008B4DF8" w:rsidRPr="00C1603D" w:rsidRDefault="008B4DF8" w:rsidP="003E0954">
            <w:pPr>
              <w:pStyle w:val="72TabletextTablesTableFigureBoxstyles"/>
              <w:rPr>
                <w:color w:val="auto"/>
              </w:rPr>
            </w:pPr>
            <w:r w:rsidRPr="00C1603D">
              <w:rPr>
                <w:rFonts w:eastAsia="Arial"/>
                <w:color w:val="auto"/>
              </w:rPr>
              <w:t>Primary</w:t>
            </w:r>
          </w:p>
        </w:tc>
        <w:tc>
          <w:tcPr>
            <w:tcW w:w="0" w:type="auto"/>
            <w:shd w:val="clear" w:color="auto" w:fill="auto"/>
            <w:tcMar>
              <w:top w:w="0" w:type="dxa"/>
              <w:left w:w="0" w:type="dxa"/>
              <w:bottom w:w="0" w:type="dxa"/>
              <w:right w:w="0" w:type="dxa"/>
            </w:tcMar>
          </w:tcPr>
          <w:p w14:paraId="43079B40" w14:textId="77777777" w:rsidR="008B4DF8" w:rsidRPr="00C1603D" w:rsidRDefault="008B4DF8" w:rsidP="003E0954">
            <w:pPr>
              <w:pStyle w:val="72TabletextTablesTableFigureBoxstyles"/>
              <w:rPr>
                <w:color w:val="auto"/>
              </w:rPr>
            </w:pPr>
            <w:r w:rsidRPr="00C1603D">
              <w:rPr>
                <w:rFonts w:eastAsia="Arial"/>
                <w:color w:val="auto"/>
              </w:rPr>
              <w:t>Canada</w:t>
            </w:r>
          </w:p>
        </w:tc>
        <w:tc>
          <w:tcPr>
            <w:tcW w:w="0" w:type="auto"/>
            <w:shd w:val="clear" w:color="auto" w:fill="auto"/>
            <w:tcMar>
              <w:top w:w="0" w:type="dxa"/>
              <w:left w:w="0" w:type="dxa"/>
              <w:bottom w:w="0" w:type="dxa"/>
              <w:right w:w="0" w:type="dxa"/>
            </w:tcMar>
          </w:tcPr>
          <w:p w14:paraId="15DBCEB4" w14:textId="3B0A98F6" w:rsidR="008B4DF8" w:rsidRPr="00C1603D" w:rsidRDefault="000D4B83" w:rsidP="003E0954">
            <w:pPr>
              <w:pStyle w:val="72TabletextTablesTableFigureBoxstyles"/>
              <w:rPr>
                <w:color w:val="auto"/>
              </w:rPr>
            </w:pPr>
            <w:r w:rsidRPr="00C1603D">
              <w:rPr>
                <w:rFonts w:eastAsia="Arial"/>
                <w:noProof/>
                <w:color w:val="auto"/>
              </w:rPr>
              <w:t xml:space="preserve">Fitzpatrick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303</w:t>
            </w:r>
          </w:p>
        </w:tc>
      </w:tr>
      <w:tr w:rsidR="00322FCF" w:rsidRPr="00C1603D" w14:paraId="301668DE" w14:textId="77777777" w:rsidTr="00322FCF">
        <w:trPr>
          <w:cantSplit/>
        </w:trPr>
        <w:tc>
          <w:tcPr>
            <w:tcW w:w="0" w:type="auto"/>
            <w:shd w:val="clear" w:color="auto" w:fill="auto"/>
            <w:tcMar>
              <w:top w:w="0" w:type="dxa"/>
              <w:left w:w="0" w:type="dxa"/>
              <w:bottom w:w="0" w:type="dxa"/>
              <w:right w:w="0" w:type="dxa"/>
            </w:tcMar>
          </w:tcPr>
          <w:p w14:paraId="7FFB029C" w14:textId="77777777" w:rsidR="008B4DF8" w:rsidRPr="00C1603D" w:rsidRDefault="008B4DF8" w:rsidP="003E0954">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5BA00B96" w14:textId="77777777" w:rsidR="008B4DF8" w:rsidRPr="00C1603D" w:rsidRDefault="008B4DF8" w:rsidP="003E0954">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25E96F82" w14:textId="77777777" w:rsidR="008B4DF8" w:rsidRPr="00C1603D" w:rsidRDefault="008B4DF8" w:rsidP="003E0954">
            <w:pPr>
              <w:pStyle w:val="72TabletextTablesTableFigureBoxstyles"/>
              <w:rPr>
                <w:color w:val="auto"/>
              </w:rPr>
            </w:pPr>
            <w:r w:rsidRPr="00C1603D">
              <w:rPr>
                <w:rFonts w:eastAsia="Arial"/>
                <w:color w:val="auto"/>
              </w:rPr>
              <w:t>Any stomach pains</w:t>
            </w:r>
          </w:p>
        </w:tc>
        <w:tc>
          <w:tcPr>
            <w:tcW w:w="0" w:type="auto"/>
            <w:shd w:val="clear" w:color="auto" w:fill="auto"/>
            <w:tcMar>
              <w:top w:w="0" w:type="dxa"/>
              <w:left w:w="0" w:type="dxa"/>
              <w:bottom w:w="0" w:type="dxa"/>
              <w:right w:w="0" w:type="dxa"/>
            </w:tcMar>
          </w:tcPr>
          <w:p w14:paraId="076784EE" w14:textId="04B2BC70" w:rsidR="008B4DF8" w:rsidRPr="00C1603D" w:rsidRDefault="008B4DF8" w:rsidP="003E0954">
            <w:pPr>
              <w:pStyle w:val="72TabletextTablesTableFigureBoxstyles"/>
              <w:rPr>
                <w:color w:val="auto"/>
              </w:rPr>
            </w:pPr>
            <w:r w:rsidRPr="00C1603D">
              <w:rPr>
                <w:rFonts w:eastAsia="Arial"/>
                <w:color w:val="auto"/>
              </w:rPr>
              <w:t>4327</w:t>
            </w:r>
          </w:p>
        </w:tc>
        <w:tc>
          <w:tcPr>
            <w:tcW w:w="0" w:type="auto"/>
            <w:shd w:val="clear" w:color="auto" w:fill="auto"/>
            <w:tcMar>
              <w:top w:w="0" w:type="dxa"/>
              <w:left w:w="0" w:type="dxa"/>
              <w:bottom w:w="0" w:type="dxa"/>
              <w:right w:w="0" w:type="dxa"/>
            </w:tcMar>
          </w:tcPr>
          <w:p w14:paraId="29634281" w14:textId="77777777" w:rsidR="008B4DF8" w:rsidRPr="00C1603D" w:rsidRDefault="008B4DF8" w:rsidP="003E0954">
            <w:pPr>
              <w:pStyle w:val="72TabletextTablesTableFigureBoxstyles"/>
              <w:rPr>
                <w:color w:val="auto"/>
              </w:rPr>
            </w:pPr>
            <w:r w:rsidRPr="00C1603D">
              <w:rPr>
                <w:rFonts w:eastAsia="Arial"/>
                <w:color w:val="auto"/>
              </w:rPr>
              <w:t>NR</w:t>
            </w:r>
          </w:p>
        </w:tc>
        <w:tc>
          <w:tcPr>
            <w:tcW w:w="0" w:type="auto"/>
            <w:shd w:val="clear" w:color="auto" w:fill="auto"/>
            <w:tcMar>
              <w:top w:w="0" w:type="dxa"/>
              <w:left w:w="0" w:type="dxa"/>
              <w:bottom w:w="0" w:type="dxa"/>
              <w:right w:w="0" w:type="dxa"/>
            </w:tcMar>
          </w:tcPr>
          <w:p w14:paraId="5FFB1080" w14:textId="77777777" w:rsidR="008B4DF8" w:rsidRPr="00C1603D" w:rsidRDefault="008B4DF8" w:rsidP="003E0954">
            <w:pPr>
              <w:pStyle w:val="72TabletextTablesTableFigureBoxstyles"/>
              <w:rPr>
                <w:color w:val="auto"/>
              </w:rPr>
            </w:pPr>
            <w:r w:rsidRPr="00C1603D">
              <w:rPr>
                <w:rFonts w:eastAsia="Arial"/>
                <w:color w:val="auto"/>
              </w:rPr>
              <w:t>Children without stomach pains</w:t>
            </w:r>
          </w:p>
        </w:tc>
        <w:tc>
          <w:tcPr>
            <w:tcW w:w="0" w:type="auto"/>
            <w:shd w:val="clear" w:color="auto" w:fill="auto"/>
            <w:tcMar>
              <w:top w:w="0" w:type="dxa"/>
              <w:left w:w="0" w:type="dxa"/>
              <w:bottom w:w="0" w:type="dxa"/>
              <w:right w:w="0" w:type="dxa"/>
            </w:tcMar>
          </w:tcPr>
          <w:p w14:paraId="3DB4DCD6" w14:textId="524184FC" w:rsidR="008B4DF8" w:rsidRPr="00C1603D" w:rsidRDefault="008B4DF8" w:rsidP="003E0954">
            <w:pPr>
              <w:pStyle w:val="72TabletextTablesTableFigureBoxstyles"/>
              <w:rPr>
                <w:color w:val="auto"/>
              </w:rPr>
            </w:pPr>
            <w:r w:rsidRPr="00C1603D">
              <w:rPr>
                <w:rFonts w:eastAsia="Arial"/>
                <w:color w:val="auto"/>
              </w:rPr>
              <w:t xml:space="preserve">Double </w:t>
            </w:r>
            <w:r w:rsidR="000D4B83" w:rsidRPr="00C1603D">
              <w:rPr>
                <w:rFonts w:eastAsia="Arial"/>
                <w:color w:val="auto"/>
              </w:rPr>
              <w:t xml:space="preserve">positive </w:t>
            </w:r>
            <w:r w:rsidRPr="00C1603D">
              <w:rPr>
                <w:rFonts w:eastAsia="Arial"/>
                <w:color w:val="auto"/>
              </w:rPr>
              <w:t>for two antibodies</w:t>
            </w:r>
          </w:p>
        </w:tc>
        <w:tc>
          <w:tcPr>
            <w:tcW w:w="0" w:type="auto"/>
            <w:shd w:val="clear" w:color="auto" w:fill="auto"/>
            <w:tcMar>
              <w:top w:w="0" w:type="dxa"/>
              <w:left w:w="0" w:type="dxa"/>
              <w:bottom w:w="0" w:type="dxa"/>
              <w:right w:w="0" w:type="dxa"/>
            </w:tcMar>
          </w:tcPr>
          <w:p w14:paraId="5E88CB84" w14:textId="77777777" w:rsidR="008B4DF8" w:rsidRPr="00C1603D" w:rsidRDefault="008B4DF8" w:rsidP="003E0954">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40F4759F" w14:textId="77777777" w:rsidR="008B4DF8" w:rsidRPr="00C1603D" w:rsidRDefault="008B4DF8" w:rsidP="003E0954">
            <w:pPr>
              <w:pStyle w:val="72TabletextTablesTableFigureBoxstyles"/>
              <w:rPr>
                <w:color w:val="auto"/>
              </w:rPr>
            </w:pPr>
            <w:r w:rsidRPr="00C1603D">
              <w:rPr>
                <w:rFonts w:eastAsia="Arial"/>
                <w:color w:val="auto"/>
              </w:rPr>
              <w:t>UK</w:t>
            </w:r>
          </w:p>
        </w:tc>
        <w:tc>
          <w:tcPr>
            <w:tcW w:w="0" w:type="auto"/>
            <w:shd w:val="clear" w:color="auto" w:fill="auto"/>
            <w:tcMar>
              <w:top w:w="0" w:type="dxa"/>
              <w:left w:w="0" w:type="dxa"/>
              <w:bottom w:w="0" w:type="dxa"/>
              <w:right w:w="0" w:type="dxa"/>
            </w:tcMar>
          </w:tcPr>
          <w:p w14:paraId="7D513976" w14:textId="25354328" w:rsidR="008B4DF8" w:rsidRPr="00C1603D" w:rsidRDefault="000D4B83" w:rsidP="003E0954">
            <w:pPr>
              <w:pStyle w:val="72TabletextTablesTableFigureBoxstyles"/>
              <w:rPr>
                <w:color w:val="auto"/>
              </w:rPr>
            </w:pPr>
            <w:r w:rsidRPr="00C1603D">
              <w:rPr>
                <w:rFonts w:eastAsia="Arial"/>
                <w:noProof/>
                <w:color w:val="auto"/>
              </w:rPr>
              <w:t xml:space="preserve">Bingley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63</w:t>
            </w:r>
          </w:p>
        </w:tc>
      </w:tr>
      <w:tr w:rsidR="00322FCF" w:rsidRPr="00C1603D" w14:paraId="584B7D77" w14:textId="77777777" w:rsidTr="00322FCF">
        <w:trPr>
          <w:cantSplit/>
        </w:trPr>
        <w:tc>
          <w:tcPr>
            <w:tcW w:w="0" w:type="auto"/>
            <w:shd w:val="clear" w:color="auto" w:fill="auto"/>
            <w:tcMar>
              <w:top w:w="0" w:type="dxa"/>
              <w:left w:w="0" w:type="dxa"/>
              <w:bottom w:w="0" w:type="dxa"/>
              <w:right w:w="0" w:type="dxa"/>
            </w:tcMar>
          </w:tcPr>
          <w:p w14:paraId="66C1D002" w14:textId="77777777" w:rsidR="008B4DF8" w:rsidRPr="00C1603D" w:rsidRDefault="008B4DF8" w:rsidP="003E0954">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3455C1E1" w14:textId="77777777" w:rsidR="008B4DF8" w:rsidRPr="00C1603D" w:rsidRDefault="008B4DF8" w:rsidP="003E0954">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58FBB6D1" w14:textId="77777777" w:rsidR="008B4DF8" w:rsidRPr="00C1603D" w:rsidRDefault="008B4DF8" w:rsidP="003E0954">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4BA16736" w14:textId="77777777" w:rsidR="008B4DF8" w:rsidRPr="00C1603D" w:rsidRDefault="008B4DF8" w:rsidP="003E0954">
            <w:pPr>
              <w:pStyle w:val="72TabletextTablesTableFigureBoxstyles"/>
              <w:rPr>
                <w:color w:val="auto"/>
              </w:rPr>
            </w:pPr>
            <w:r w:rsidRPr="00C1603D">
              <w:rPr>
                <w:rFonts w:eastAsia="Arial"/>
                <w:color w:val="auto"/>
              </w:rPr>
              <w:t>18,672</w:t>
            </w:r>
          </w:p>
        </w:tc>
        <w:tc>
          <w:tcPr>
            <w:tcW w:w="0" w:type="auto"/>
            <w:shd w:val="clear" w:color="auto" w:fill="auto"/>
            <w:tcMar>
              <w:top w:w="0" w:type="dxa"/>
              <w:left w:w="0" w:type="dxa"/>
              <w:bottom w:w="0" w:type="dxa"/>
              <w:right w:w="0" w:type="dxa"/>
            </w:tcMar>
          </w:tcPr>
          <w:p w14:paraId="0A01630E" w14:textId="018980D9" w:rsidR="008B4DF8" w:rsidRPr="00C1603D" w:rsidRDefault="008B4DF8" w:rsidP="003E0954">
            <w:pPr>
              <w:pStyle w:val="72TabletextTablesTableFigureBoxstyles"/>
              <w:rPr>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7241BACB" w14:textId="77777777" w:rsidR="008B4DF8" w:rsidRPr="00C1603D" w:rsidRDefault="008B4DF8" w:rsidP="003E0954">
            <w:pPr>
              <w:pStyle w:val="72TabletextTablesTableFigureBoxstyles"/>
              <w:rPr>
                <w:color w:val="auto"/>
              </w:rPr>
            </w:pPr>
            <w:r w:rsidRPr="00C1603D">
              <w:rPr>
                <w:rFonts w:eastAsia="Arial"/>
                <w:color w:val="auto"/>
              </w:rPr>
              <w:t>Children without abdominal pain</w:t>
            </w:r>
          </w:p>
        </w:tc>
        <w:tc>
          <w:tcPr>
            <w:tcW w:w="0" w:type="auto"/>
            <w:shd w:val="clear" w:color="auto" w:fill="auto"/>
            <w:tcMar>
              <w:top w:w="0" w:type="dxa"/>
              <w:left w:w="0" w:type="dxa"/>
              <w:bottom w:w="0" w:type="dxa"/>
              <w:right w:w="0" w:type="dxa"/>
            </w:tcMar>
          </w:tcPr>
          <w:p w14:paraId="5EA7EC1D" w14:textId="258F6957" w:rsidR="008B4DF8" w:rsidRPr="00C1603D" w:rsidRDefault="008B4DF8" w:rsidP="003E0954">
            <w:pPr>
              <w:pStyle w:val="72TabletextTablesTableFigureBoxstyles"/>
              <w:rPr>
                <w:color w:val="auto"/>
              </w:rPr>
            </w:pPr>
            <w:r w:rsidRPr="00C1603D">
              <w:rPr>
                <w:rFonts w:eastAsia="Arial"/>
                <w:color w:val="auto"/>
              </w:rPr>
              <w:t xml:space="preserve">Serology and only </w:t>
            </w:r>
            <w:r w:rsidR="000D4B83" w:rsidRPr="00C1603D">
              <w:rPr>
                <w:rFonts w:eastAsia="Arial"/>
                <w:color w:val="auto"/>
              </w:rPr>
              <w:t xml:space="preserve">positive patients </w:t>
            </w:r>
            <w:r w:rsidRPr="00C1603D">
              <w:rPr>
                <w:rFonts w:eastAsia="Arial"/>
                <w:color w:val="auto"/>
              </w:rPr>
              <w:t>biopsied</w:t>
            </w:r>
          </w:p>
        </w:tc>
        <w:tc>
          <w:tcPr>
            <w:tcW w:w="0" w:type="auto"/>
            <w:shd w:val="clear" w:color="auto" w:fill="auto"/>
            <w:tcMar>
              <w:top w:w="0" w:type="dxa"/>
              <w:left w:w="0" w:type="dxa"/>
              <w:bottom w:w="0" w:type="dxa"/>
              <w:right w:w="0" w:type="dxa"/>
            </w:tcMar>
          </w:tcPr>
          <w:p w14:paraId="6B1A03CD" w14:textId="77777777" w:rsidR="008B4DF8" w:rsidRPr="00C1603D" w:rsidRDefault="008B4DF8" w:rsidP="003E0954">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6010C58F" w14:textId="77777777" w:rsidR="008B4DF8" w:rsidRPr="00C1603D" w:rsidRDefault="008B4DF8" w:rsidP="003E0954">
            <w:pPr>
              <w:pStyle w:val="72TabletextTablesTableFigureBoxstyles"/>
              <w:rPr>
                <w:color w:val="auto"/>
              </w:rPr>
            </w:pPr>
            <w:r w:rsidRPr="00C1603D">
              <w:rPr>
                <w:rFonts w:eastAsia="Arial"/>
                <w:color w:val="auto"/>
              </w:rPr>
              <w:t>Turkey</w:t>
            </w:r>
          </w:p>
        </w:tc>
        <w:tc>
          <w:tcPr>
            <w:tcW w:w="0" w:type="auto"/>
            <w:shd w:val="clear" w:color="auto" w:fill="auto"/>
            <w:tcMar>
              <w:top w:w="0" w:type="dxa"/>
              <w:left w:w="0" w:type="dxa"/>
              <w:bottom w:w="0" w:type="dxa"/>
              <w:right w:w="0" w:type="dxa"/>
            </w:tcMar>
          </w:tcPr>
          <w:p w14:paraId="7E77E2FA" w14:textId="61060A82" w:rsidR="008B4DF8" w:rsidRPr="00C1603D" w:rsidRDefault="000D4B83" w:rsidP="003E0954">
            <w:pPr>
              <w:pStyle w:val="72TabletextTablesTableFigureBoxstyles"/>
              <w:rPr>
                <w:color w:val="auto"/>
              </w:rPr>
            </w:pPr>
            <w:r w:rsidRPr="00C1603D">
              <w:rPr>
                <w:rFonts w:eastAsia="Arial"/>
                <w:noProof/>
                <w:color w:val="auto"/>
              </w:rPr>
              <w:t xml:space="preserve">Dalgic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304</w:t>
            </w:r>
          </w:p>
        </w:tc>
      </w:tr>
      <w:tr w:rsidR="00322FCF" w:rsidRPr="00C1603D" w14:paraId="0D09142A" w14:textId="77777777" w:rsidTr="00322FCF">
        <w:trPr>
          <w:cantSplit/>
        </w:trPr>
        <w:tc>
          <w:tcPr>
            <w:tcW w:w="0" w:type="auto"/>
            <w:shd w:val="clear" w:color="auto" w:fill="auto"/>
            <w:tcMar>
              <w:top w:w="0" w:type="dxa"/>
              <w:left w:w="0" w:type="dxa"/>
              <w:bottom w:w="0" w:type="dxa"/>
              <w:right w:w="0" w:type="dxa"/>
            </w:tcMar>
          </w:tcPr>
          <w:p w14:paraId="631926C1" w14:textId="77777777" w:rsidR="008B4DF8" w:rsidRPr="00C1603D" w:rsidRDefault="008B4DF8" w:rsidP="003E0954">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56F0A2DD" w14:textId="77777777" w:rsidR="008B4DF8" w:rsidRPr="00C1603D" w:rsidRDefault="008B4DF8" w:rsidP="003E0954">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68A4CF93" w14:textId="77777777" w:rsidR="008B4DF8" w:rsidRPr="00C1603D" w:rsidRDefault="008B4DF8" w:rsidP="003E0954">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15BC2BB2" w14:textId="57F3B91A" w:rsidR="008B4DF8" w:rsidRPr="00C1603D" w:rsidRDefault="008B4DF8" w:rsidP="003E0954">
            <w:pPr>
              <w:pStyle w:val="72TabletextTablesTableFigureBoxstyles"/>
              <w:rPr>
                <w:color w:val="auto"/>
              </w:rPr>
            </w:pPr>
            <w:r w:rsidRPr="00C1603D">
              <w:rPr>
                <w:rFonts w:eastAsia="Arial"/>
                <w:color w:val="auto"/>
              </w:rPr>
              <w:t>3093</w:t>
            </w:r>
          </w:p>
        </w:tc>
        <w:tc>
          <w:tcPr>
            <w:tcW w:w="0" w:type="auto"/>
            <w:shd w:val="clear" w:color="auto" w:fill="auto"/>
            <w:tcMar>
              <w:top w:w="0" w:type="dxa"/>
              <w:left w:w="0" w:type="dxa"/>
              <w:bottom w:w="0" w:type="dxa"/>
              <w:right w:w="0" w:type="dxa"/>
            </w:tcMar>
          </w:tcPr>
          <w:p w14:paraId="6EE517B7" w14:textId="1320B889" w:rsidR="008B4DF8" w:rsidRPr="00C1603D" w:rsidRDefault="008B4DF8" w:rsidP="003E0954">
            <w:pPr>
              <w:pStyle w:val="72TabletextTablesTableFigureBoxstyles"/>
              <w:rPr>
                <w:color w:val="auto"/>
              </w:rPr>
            </w:pPr>
            <w:r w:rsidRPr="00C1603D">
              <w:rPr>
                <w:rFonts w:eastAsia="Arial"/>
                <w:color w:val="auto"/>
              </w:rPr>
              <w:t>26–50</w:t>
            </w:r>
          </w:p>
        </w:tc>
        <w:tc>
          <w:tcPr>
            <w:tcW w:w="0" w:type="auto"/>
            <w:shd w:val="clear" w:color="auto" w:fill="auto"/>
            <w:tcMar>
              <w:top w:w="0" w:type="dxa"/>
              <w:left w:w="0" w:type="dxa"/>
              <w:bottom w:w="0" w:type="dxa"/>
              <w:right w:w="0" w:type="dxa"/>
            </w:tcMar>
          </w:tcPr>
          <w:p w14:paraId="65CBAF54" w14:textId="77777777" w:rsidR="008B4DF8" w:rsidRPr="00C1603D" w:rsidRDefault="008B4DF8" w:rsidP="003E0954">
            <w:pPr>
              <w:pStyle w:val="72TabletextTablesTableFigureBoxstyles"/>
              <w:rPr>
                <w:color w:val="auto"/>
              </w:rPr>
            </w:pPr>
            <w:r w:rsidRPr="00C1603D">
              <w:rPr>
                <w:rFonts w:eastAsia="Arial"/>
                <w:color w:val="auto"/>
              </w:rPr>
              <w:t>Children without abdominal pain</w:t>
            </w:r>
          </w:p>
        </w:tc>
        <w:tc>
          <w:tcPr>
            <w:tcW w:w="0" w:type="auto"/>
            <w:shd w:val="clear" w:color="auto" w:fill="auto"/>
            <w:tcMar>
              <w:top w:w="0" w:type="dxa"/>
              <w:left w:w="0" w:type="dxa"/>
              <w:bottom w:w="0" w:type="dxa"/>
              <w:right w:w="0" w:type="dxa"/>
            </w:tcMar>
          </w:tcPr>
          <w:p w14:paraId="5212206D" w14:textId="77777777" w:rsidR="008B4DF8" w:rsidRPr="00C1603D" w:rsidRDefault="008B4DF8" w:rsidP="003E0954">
            <w:pPr>
              <w:pStyle w:val="72TabletextTablesTableFigureBoxstyles"/>
              <w:rPr>
                <w:color w:val="auto"/>
              </w:rPr>
            </w:pPr>
            <w:r w:rsidRPr="00C1603D">
              <w:rPr>
                <w:rFonts w:eastAsia="Arial"/>
                <w:color w:val="auto"/>
              </w:rPr>
              <w:t>tTG positive</w:t>
            </w:r>
          </w:p>
        </w:tc>
        <w:tc>
          <w:tcPr>
            <w:tcW w:w="0" w:type="auto"/>
            <w:shd w:val="clear" w:color="auto" w:fill="auto"/>
            <w:tcMar>
              <w:top w:w="0" w:type="dxa"/>
              <w:left w:w="0" w:type="dxa"/>
              <w:bottom w:w="0" w:type="dxa"/>
              <w:right w:w="0" w:type="dxa"/>
            </w:tcMar>
          </w:tcPr>
          <w:p w14:paraId="1C72D98E" w14:textId="77777777" w:rsidR="008B4DF8" w:rsidRPr="00C1603D" w:rsidRDefault="008B4DF8" w:rsidP="003E0954">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7D10DBE6" w14:textId="77777777" w:rsidR="008B4DF8" w:rsidRPr="00C1603D" w:rsidRDefault="008B4DF8" w:rsidP="003E0954">
            <w:pPr>
              <w:pStyle w:val="72TabletextTablesTableFigureBoxstyles"/>
              <w:rPr>
                <w:color w:val="auto"/>
              </w:rPr>
            </w:pPr>
            <w:r w:rsidRPr="00C1603D">
              <w:rPr>
                <w:rFonts w:eastAsia="Arial"/>
                <w:color w:val="auto"/>
              </w:rPr>
              <w:t>Netherlands</w:t>
            </w:r>
          </w:p>
        </w:tc>
        <w:tc>
          <w:tcPr>
            <w:tcW w:w="0" w:type="auto"/>
            <w:shd w:val="clear" w:color="auto" w:fill="auto"/>
            <w:tcMar>
              <w:top w:w="0" w:type="dxa"/>
              <w:left w:w="0" w:type="dxa"/>
              <w:bottom w:w="0" w:type="dxa"/>
              <w:right w:w="0" w:type="dxa"/>
            </w:tcMar>
          </w:tcPr>
          <w:p w14:paraId="0AD0F30E" w14:textId="07AEBD82" w:rsidR="008B4DF8" w:rsidRPr="00C1603D" w:rsidRDefault="00322FCF" w:rsidP="003E0954">
            <w:pPr>
              <w:pStyle w:val="72TabletextTablesTableFigureBoxstyles"/>
              <w:rPr>
                <w:color w:val="auto"/>
              </w:rPr>
            </w:pPr>
            <w:r w:rsidRPr="00C1603D">
              <w:rPr>
                <w:rFonts w:eastAsia="Arial"/>
                <w:noProof/>
                <w:color w:val="auto"/>
              </w:rPr>
              <w:t xml:space="preserve">Jansen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185</w:t>
            </w:r>
          </w:p>
        </w:tc>
      </w:tr>
      <w:tr w:rsidR="00322FCF" w:rsidRPr="00C1603D" w14:paraId="5E11E1B3" w14:textId="77777777" w:rsidTr="00322FCF">
        <w:trPr>
          <w:cantSplit/>
        </w:trPr>
        <w:tc>
          <w:tcPr>
            <w:tcW w:w="0" w:type="auto"/>
            <w:shd w:val="clear" w:color="auto" w:fill="auto"/>
            <w:tcMar>
              <w:top w:w="0" w:type="dxa"/>
              <w:left w:w="0" w:type="dxa"/>
              <w:bottom w:w="0" w:type="dxa"/>
              <w:right w:w="0" w:type="dxa"/>
            </w:tcMar>
          </w:tcPr>
          <w:p w14:paraId="30574BF3" w14:textId="77777777" w:rsidR="008B4DF8" w:rsidRPr="00C1603D" w:rsidRDefault="008B4DF8" w:rsidP="003E0954">
            <w:pPr>
              <w:pStyle w:val="72TabletextTablesTableFigureBoxstyles"/>
              <w:rPr>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20098810" w14:textId="77777777" w:rsidR="008B4DF8" w:rsidRPr="00C1603D" w:rsidRDefault="008B4DF8" w:rsidP="003E0954">
            <w:pPr>
              <w:pStyle w:val="72TabletextTablesTableFigureBoxstyles"/>
              <w:rPr>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28B59F09" w14:textId="77777777" w:rsidR="008B4DF8" w:rsidRPr="00C1603D" w:rsidRDefault="008B4DF8" w:rsidP="003E0954">
            <w:pPr>
              <w:pStyle w:val="72TabletextTablesTableFigureBoxstyles"/>
              <w:rPr>
                <w:color w:val="auto"/>
              </w:rPr>
            </w:pPr>
            <w:r w:rsidRPr="00C1603D">
              <w:rPr>
                <w:rFonts w:eastAsia="Arial"/>
                <w:color w:val="auto"/>
              </w:rPr>
              <w:t>Abdominal pain</w:t>
            </w:r>
          </w:p>
        </w:tc>
        <w:tc>
          <w:tcPr>
            <w:tcW w:w="0" w:type="auto"/>
            <w:shd w:val="clear" w:color="auto" w:fill="auto"/>
            <w:tcMar>
              <w:top w:w="0" w:type="dxa"/>
              <w:left w:w="0" w:type="dxa"/>
              <w:bottom w:w="0" w:type="dxa"/>
              <w:right w:w="0" w:type="dxa"/>
            </w:tcMar>
          </w:tcPr>
          <w:p w14:paraId="5AA2F236" w14:textId="3C10FEED" w:rsidR="008B4DF8" w:rsidRPr="00C1603D" w:rsidRDefault="008B4DF8" w:rsidP="003E0954">
            <w:pPr>
              <w:pStyle w:val="72TabletextTablesTableFigureBoxstyles"/>
              <w:rPr>
                <w:color w:val="auto"/>
              </w:rPr>
            </w:pPr>
            <w:r w:rsidRPr="00C1603D">
              <w:rPr>
                <w:rFonts w:eastAsia="Arial"/>
                <w:color w:val="auto"/>
              </w:rPr>
              <w:t>3715</w:t>
            </w:r>
          </w:p>
        </w:tc>
        <w:tc>
          <w:tcPr>
            <w:tcW w:w="0" w:type="auto"/>
            <w:shd w:val="clear" w:color="auto" w:fill="auto"/>
            <w:tcMar>
              <w:top w:w="0" w:type="dxa"/>
              <w:left w:w="0" w:type="dxa"/>
              <w:bottom w:w="0" w:type="dxa"/>
              <w:right w:w="0" w:type="dxa"/>
            </w:tcMar>
          </w:tcPr>
          <w:p w14:paraId="3832E892" w14:textId="69541FFB" w:rsidR="008B4DF8" w:rsidRPr="00C1603D" w:rsidRDefault="008B4DF8" w:rsidP="003E0954">
            <w:pPr>
              <w:pStyle w:val="72TabletextTablesTableFigureBoxstyles"/>
              <w:rPr>
                <w:color w:val="auto"/>
              </w:rPr>
            </w:pPr>
            <w:r w:rsidRPr="00C1603D">
              <w:rPr>
                <w:rFonts w:eastAsia="Arial"/>
                <w:color w:val="auto"/>
              </w:rPr>
              <w:t>26–50</w:t>
            </w:r>
          </w:p>
        </w:tc>
        <w:tc>
          <w:tcPr>
            <w:tcW w:w="0" w:type="auto"/>
            <w:shd w:val="clear" w:color="auto" w:fill="auto"/>
            <w:tcMar>
              <w:top w:w="0" w:type="dxa"/>
              <w:left w:w="0" w:type="dxa"/>
              <w:bottom w:w="0" w:type="dxa"/>
              <w:right w:w="0" w:type="dxa"/>
            </w:tcMar>
          </w:tcPr>
          <w:p w14:paraId="1410F28C" w14:textId="77777777" w:rsidR="008B4DF8" w:rsidRPr="00C1603D" w:rsidRDefault="008B4DF8" w:rsidP="003E0954">
            <w:pPr>
              <w:pStyle w:val="72TabletextTablesTableFigureBoxstyles"/>
              <w:rPr>
                <w:color w:val="auto"/>
              </w:rPr>
            </w:pPr>
            <w:r w:rsidRPr="00C1603D">
              <w:rPr>
                <w:rFonts w:eastAsia="Arial"/>
                <w:color w:val="auto"/>
              </w:rPr>
              <w:t>Children without abdominal pain</w:t>
            </w:r>
          </w:p>
        </w:tc>
        <w:tc>
          <w:tcPr>
            <w:tcW w:w="0" w:type="auto"/>
            <w:shd w:val="clear" w:color="auto" w:fill="auto"/>
            <w:tcMar>
              <w:top w:w="0" w:type="dxa"/>
              <w:left w:w="0" w:type="dxa"/>
              <w:bottom w:w="0" w:type="dxa"/>
              <w:right w:w="0" w:type="dxa"/>
            </w:tcMar>
          </w:tcPr>
          <w:p w14:paraId="69359F9A" w14:textId="77777777" w:rsidR="008B4DF8" w:rsidRPr="00C1603D" w:rsidRDefault="008B4DF8" w:rsidP="003E0954">
            <w:pPr>
              <w:pStyle w:val="72TabletextTablesTableFigureBoxstyles"/>
              <w:rPr>
                <w:color w:val="auto"/>
              </w:rPr>
            </w:pPr>
            <w:r w:rsidRPr="00C1603D">
              <w:rPr>
                <w:rFonts w:eastAsia="Arial"/>
                <w:color w:val="auto"/>
              </w:rPr>
              <w:t>tTG positive</w:t>
            </w:r>
          </w:p>
        </w:tc>
        <w:tc>
          <w:tcPr>
            <w:tcW w:w="0" w:type="auto"/>
            <w:shd w:val="clear" w:color="auto" w:fill="auto"/>
            <w:tcMar>
              <w:top w:w="0" w:type="dxa"/>
              <w:left w:w="0" w:type="dxa"/>
              <w:bottom w:w="0" w:type="dxa"/>
              <w:right w:w="0" w:type="dxa"/>
            </w:tcMar>
          </w:tcPr>
          <w:p w14:paraId="4938C05F" w14:textId="77777777" w:rsidR="008B4DF8" w:rsidRPr="00C1603D" w:rsidRDefault="008B4DF8" w:rsidP="003E0954">
            <w:pPr>
              <w:pStyle w:val="72TabletextTablesTableFigureBoxstyles"/>
              <w:rPr>
                <w:color w:val="auto"/>
              </w:rPr>
            </w:pPr>
            <w:r w:rsidRPr="00C1603D">
              <w:rPr>
                <w:rFonts w:eastAsia="Arial"/>
                <w:color w:val="auto"/>
              </w:rPr>
              <w:t>Community</w:t>
            </w:r>
          </w:p>
        </w:tc>
        <w:tc>
          <w:tcPr>
            <w:tcW w:w="0" w:type="auto"/>
            <w:shd w:val="clear" w:color="auto" w:fill="auto"/>
            <w:tcMar>
              <w:top w:w="0" w:type="dxa"/>
              <w:left w:w="0" w:type="dxa"/>
              <w:bottom w:w="0" w:type="dxa"/>
              <w:right w:w="0" w:type="dxa"/>
            </w:tcMar>
          </w:tcPr>
          <w:p w14:paraId="2138C5CB" w14:textId="77777777" w:rsidR="008B4DF8" w:rsidRPr="00C1603D" w:rsidRDefault="008B4DF8" w:rsidP="003E0954">
            <w:pPr>
              <w:pStyle w:val="72TabletextTablesTableFigureBoxstyles"/>
              <w:rPr>
                <w:color w:val="auto"/>
              </w:rPr>
            </w:pPr>
            <w:r w:rsidRPr="00C1603D">
              <w:rPr>
                <w:rFonts w:eastAsia="Arial"/>
                <w:color w:val="auto"/>
              </w:rPr>
              <w:t>Netherlands</w:t>
            </w:r>
          </w:p>
        </w:tc>
        <w:tc>
          <w:tcPr>
            <w:tcW w:w="0" w:type="auto"/>
            <w:shd w:val="clear" w:color="auto" w:fill="auto"/>
            <w:tcMar>
              <w:top w:w="0" w:type="dxa"/>
              <w:left w:w="0" w:type="dxa"/>
              <w:bottom w:w="0" w:type="dxa"/>
              <w:right w:w="0" w:type="dxa"/>
            </w:tcMar>
          </w:tcPr>
          <w:p w14:paraId="1A08C8F3" w14:textId="1A9B359C" w:rsidR="008B4DF8" w:rsidRPr="00C1603D" w:rsidRDefault="00322FCF" w:rsidP="003E0954">
            <w:pPr>
              <w:pStyle w:val="72TabletextTablesTableFigureBoxstyles"/>
              <w:rPr>
                <w:color w:val="auto"/>
              </w:rPr>
            </w:pPr>
            <w:r w:rsidRPr="00C1603D">
              <w:rPr>
                <w:rFonts w:eastAsia="Arial"/>
                <w:noProof/>
                <w:color w:val="auto"/>
              </w:rPr>
              <w:t xml:space="preserve">Wahab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183</w:t>
            </w:r>
          </w:p>
        </w:tc>
      </w:tr>
      <w:tr w:rsidR="00322FCF" w:rsidRPr="00C1603D" w14:paraId="7B847516" w14:textId="77777777" w:rsidTr="00322FCF">
        <w:trPr>
          <w:cantSplit/>
        </w:trPr>
        <w:tc>
          <w:tcPr>
            <w:tcW w:w="0" w:type="auto"/>
            <w:shd w:val="clear" w:color="auto" w:fill="auto"/>
            <w:tcMar>
              <w:top w:w="0" w:type="dxa"/>
              <w:left w:w="0" w:type="dxa"/>
              <w:bottom w:w="0" w:type="dxa"/>
              <w:right w:w="0" w:type="dxa"/>
            </w:tcMar>
          </w:tcPr>
          <w:p w14:paraId="6F0C7E8B" w14:textId="77777777" w:rsidR="008B4DF8" w:rsidRPr="00C1603D" w:rsidRDefault="008B4DF8" w:rsidP="003E0954">
            <w:pPr>
              <w:pStyle w:val="72TabletextTablesTableFigureBoxstyles"/>
              <w:rPr>
                <w:rFonts w:eastAsia="Arial"/>
                <w:color w:val="auto"/>
              </w:rPr>
            </w:pPr>
            <w:r w:rsidRPr="00C1603D">
              <w:rPr>
                <w:rFonts w:eastAsia="Arial"/>
                <w:color w:val="auto"/>
              </w:rPr>
              <w:t>Children</w:t>
            </w:r>
          </w:p>
        </w:tc>
        <w:tc>
          <w:tcPr>
            <w:tcW w:w="0" w:type="auto"/>
            <w:shd w:val="clear" w:color="auto" w:fill="auto"/>
            <w:tcMar>
              <w:top w:w="0" w:type="dxa"/>
              <w:left w:w="0" w:type="dxa"/>
              <w:bottom w:w="0" w:type="dxa"/>
              <w:right w:w="0" w:type="dxa"/>
            </w:tcMar>
          </w:tcPr>
          <w:p w14:paraId="4D5F97A0" w14:textId="77777777" w:rsidR="008B4DF8" w:rsidRPr="00C1603D" w:rsidRDefault="008B4DF8" w:rsidP="003E0954">
            <w:pPr>
              <w:pStyle w:val="72TabletextTablesTableFigureBoxstyles"/>
              <w:rPr>
                <w:rFonts w:eastAsia="Arial"/>
                <w:color w:val="auto"/>
              </w:rPr>
            </w:pPr>
            <w:r w:rsidRPr="00C1603D">
              <w:rPr>
                <w:rFonts w:eastAsia="Arial"/>
                <w:color w:val="auto"/>
              </w:rPr>
              <w:t>Cohort</w:t>
            </w:r>
          </w:p>
        </w:tc>
        <w:tc>
          <w:tcPr>
            <w:tcW w:w="0" w:type="auto"/>
            <w:shd w:val="clear" w:color="auto" w:fill="auto"/>
            <w:tcMar>
              <w:top w:w="0" w:type="dxa"/>
              <w:left w:w="0" w:type="dxa"/>
              <w:bottom w:w="0" w:type="dxa"/>
              <w:right w:w="0" w:type="dxa"/>
            </w:tcMar>
          </w:tcPr>
          <w:p w14:paraId="6748BC26" w14:textId="77777777" w:rsidR="008B4DF8" w:rsidRPr="00C1603D" w:rsidRDefault="008B4DF8" w:rsidP="003E0954">
            <w:pPr>
              <w:pStyle w:val="72TabletextTablesTableFigureBoxstyles"/>
              <w:rPr>
                <w:rFonts w:eastAsia="Arial"/>
                <w:color w:val="auto"/>
              </w:rPr>
            </w:pPr>
            <w:r w:rsidRPr="00C1603D">
              <w:rPr>
                <w:rFonts w:eastAsia="Arial"/>
                <w:color w:val="auto"/>
              </w:rPr>
              <w:t>Stomach aches</w:t>
            </w:r>
          </w:p>
        </w:tc>
        <w:tc>
          <w:tcPr>
            <w:tcW w:w="0" w:type="auto"/>
            <w:shd w:val="clear" w:color="auto" w:fill="auto"/>
            <w:tcMar>
              <w:top w:w="0" w:type="dxa"/>
              <w:left w:w="0" w:type="dxa"/>
              <w:bottom w:w="0" w:type="dxa"/>
              <w:right w:w="0" w:type="dxa"/>
            </w:tcMar>
          </w:tcPr>
          <w:p w14:paraId="6C66F4A3" w14:textId="731093D3" w:rsidR="008B4DF8" w:rsidRPr="00C1603D" w:rsidRDefault="008B4DF8" w:rsidP="003E0954">
            <w:pPr>
              <w:pStyle w:val="72TabletextTablesTableFigureBoxstyles"/>
              <w:rPr>
                <w:rFonts w:eastAsia="Arial"/>
                <w:color w:val="auto"/>
              </w:rPr>
            </w:pPr>
            <w:r w:rsidRPr="00C1603D">
              <w:rPr>
                <w:rFonts w:eastAsia="Arial"/>
                <w:color w:val="auto"/>
              </w:rPr>
              <w:t>9918</w:t>
            </w:r>
          </w:p>
        </w:tc>
        <w:tc>
          <w:tcPr>
            <w:tcW w:w="0" w:type="auto"/>
            <w:shd w:val="clear" w:color="auto" w:fill="auto"/>
            <w:tcMar>
              <w:top w:w="0" w:type="dxa"/>
              <w:left w:w="0" w:type="dxa"/>
              <w:bottom w:w="0" w:type="dxa"/>
              <w:right w:w="0" w:type="dxa"/>
            </w:tcMar>
          </w:tcPr>
          <w:p w14:paraId="44C41490" w14:textId="5B5BDF13" w:rsidR="008B4DF8" w:rsidRPr="00C1603D" w:rsidRDefault="008B4DF8" w:rsidP="003E0954">
            <w:pPr>
              <w:pStyle w:val="72TabletextTablesTableFigureBoxstyles"/>
              <w:rPr>
                <w:rFonts w:eastAsia="Arial"/>
                <w:color w:val="auto"/>
              </w:rPr>
            </w:pPr>
            <w:r w:rsidRPr="00C1603D">
              <w:rPr>
                <w:rFonts w:eastAsia="Arial"/>
                <w:color w:val="auto"/>
              </w:rPr>
              <w:t>51–75</w:t>
            </w:r>
          </w:p>
        </w:tc>
        <w:tc>
          <w:tcPr>
            <w:tcW w:w="0" w:type="auto"/>
            <w:shd w:val="clear" w:color="auto" w:fill="auto"/>
            <w:tcMar>
              <w:top w:w="0" w:type="dxa"/>
              <w:left w:w="0" w:type="dxa"/>
              <w:bottom w:w="0" w:type="dxa"/>
              <w:right w:w="0" w:type="dxa"/>
            </w:tcMar>
          </w:tcPr>
          <w:p w14:paraId="3155C230" w14:textId="77777777" w:rsidR="008B4DF8" w:rsidRPr="00C1603D" w:rsidRDefault="008B4DF8" w:rsidP="003E0954">
            <w:pPr>
              <w:pStyle w:val="72TabletextTablesTableFigureBoxstyles"/>
              <w:rPr>
                <w:rFonts w:eastAsia="Arial"/>
                <w:color w:val="auto"/>
              </w:rPr>
            </w:pPr>
            <w:r w:rsidRPr="00C1603D">
              <w:rPr>
                <w:rFonts w:eastAsia="Arial"/>
                <w:color w:val="auto"/>
              </w:rPr>
              <w:t>Children without stomach aches</w:t>
            </w:r>
          </w:p>
        </w:tc>
        <w:tc>
          <w:tcPr>
            <w:tcW w:w="0" w:type="auto"/>
            <w:shd w:val="clear" w:color="auto" w:fill="auto"/>
            <w:tcMar>
              <w:top w:w="0" w:type="dxa"/>
              <w:left w:w="0" w:type="dxa"/>
              <w:bottom w:w="0" w:type="dxa"/>
              <w:right w:w="0" w:type="dxa"/>
            </w:tcMar>
          </w:tcPr>
          <w:p w14:paraId="4207782A" w14:textId="77777777" w:rsidR="008B4DF8" w:rsidRPr="00C1603D" w:rsidRDefault="008B4DF8" w:rsidP="003E0954">
            <w:pPr>
              <w:pStyle w:val="72TabletextTablesTableFigureBoxstyles"/>
              <w:rPr>
                <w:rFonts w:eastAsia="Arial"/>
                <w:color w:val="auto"/>
              </w:rPr>
            </w:pPr>
            <w:r w:rsidRPr="00C1603D">
              <w:rPr>
                <w:rFonts w:eastAsia="Arial"/>
                <w:color w:val="auto"/>
              </w:rPr>
              <w:t>tTG positive</w:t>
            </w:r>
          </w:p>
        </w:tc>
        <w:tc>
          <w:tcPr>
            <w:tcW w:w="0" w:type="auto"/>
            <w:shd w:val="clear" w:color="auto" w:fill="auto"/>
            <w:tcMar>
              <w:top w:w="0" w:type="dxa"/>
              <w:left w:w="0" w:type="dxa"/>
              <w:bottom w:w="0" w:type="dxa"/>
              <w:right w:w="0" w:type="dxa"/>
            </w:tcMar>
          </w:tcPr>
          <w:p w14:paraId="3399BD19" w14:textId="77777777" w:rsidR="008B4DF8" w:rsidRPr="00C1603D" w:rsidRDefault="008B4DF8" w:rsidP="003E0954">
            <w:pPr>
              <w:pStyle w:val="72TabletextTablesTableFigureBoxstyles"/>
              <w:rPr>
                <w:rFonts w:eastAsia="Arial"/>
                <w:color w:val="auto"/>
              </w:rPr>
            </w:pPr>
            <w:r w:rsidRPr="00C1603D">
              <w:rPr>
                <w:rFonts w:eastAsia="Arial"/>
                <w:color w:val="auto"/>
              </w:rPr>
              <w:t>Secondary</w:t>
            </w:r>
          </w:p>
        </w:tc>
        <w:tc>
          <w:tcPr>
            <w:tcW w:w="0" w:type="auto"/>
            <w:shd w:val="clear" w:color="auto" w:fill="auto"/>
            <w:tcMar>
              <w:top w:w="0" w:type="dxa"/>
              <w:left w:w="0" w:type="dxa"/>
              <w:bottom w:w="0" w:type="dxa"/>
              <w:right w:w="0" w:type="dxa"/>
            </w:tcMar>
          </w:tcPr>
          <w:p w14:paraId="2BF839C1" w14:textId="5D904AFE" w:rsidR="008B4DF8" w:rsidRPr="00C1603D" w:rsidRDefault="008B4DF8" w:rsidP="003E0954">
            <w:pPr>
              <w:pStyle w:val="72TabletextTablesTableFigureBoxstyles"/>
              <w:rPr>
                <w:rFonts w:eastAsia="Arial"/>
                <w:color w:val="auto"/>
              </w:rPr>
            </w:pPr>
            <w:r w:rsidRPr="00C1603D">
              <w:rPr>
                <w:rFonts w:eastAsia="Arial"/>
                <w:color w:val="auto"/>
              </w:rPr>
              <w:t>US</w:t>
            </w:r>
            <w:r w:rsidR="000D4B83" w:rsidRPr="00C1603D">
              <w:rPr>
                <w:rFonts w:eastAsia="Arial"/>
                <w:color w:val="auto"/>
              </w:rPr>
              <w:t>A</w:t>
            </w:r>
          </w:p>
        </w:tc>
        <w:tc>
          <w:tcPr>
            <w:tcW w:w="0" w:type="auto"/>
            <w:shd w:val="clear" w:color="auto" w:fill="auto"/>
            <w:tcMar>
              <w:top w:w="0" w:type="dxa"/>
              <w:left w:w="0" w:type="dxa"/>
              <w:bottom w:w="0" w:type="dxa"/>
              <w:right w:w="0" w:type="dxa"/>
            </w:tcMar>
          </w:tcPr>
          <w:p w14:paraId="6CCC7A80" w14:textId="6DC8E16C" w:rsidR="008B4DF8" w:rsidRPr="00C1603D" w:rsidRDefault="00322FCF" w:rsidP="003E0954">
            <w:pPr>
              <w:pStyle w:val="72TabletextTablesTableFigureBoxstyles"/>
              <w:rPr>
                <w:rFonts w:eastAsia="Arial"/>
                <w:color w:val="auto"/>
              </w:rPr>
            </w:pPr>
            <w:r w:rsidRPr="00C1603D">
              <w:rPr>
                <w:rFonts w:eastAsia="Arial"/>
                <w:noProof/>
                <w:color w:val="auto"/>
              </w:rPr>
              <w:t xml:space="preserve">Stahl </w:t>
            </w:r>
            <w:r w:rsidRPr="00C1603D">
              <w:rPr>
                <w:rFonts w:eastAsia="Arial"/>
                <w:i/>
                <w:iCs/>
                <w:noProof/>
                <w:color w:val="auto"/>
              </w:rPr>
              <w:t>et al</w:t>
            </w:r>
            <w:r w:rsidRPr="00C1603D">
              <w:rPr>
                <w:rFonts w:eastAsia="Arial"/>
                <w:noProof/>
                <w:color w:val="auto"/>
              </w:rPr>
              <w:t>.</w:t>
            </w:r>
            <w:r w:rsidR="008B4DF8" w:rsidRPr="00C1603D">
              <w:rPr>
                <w:rFonts w:eastAsia="Arial"/>
                <w:noProof/>
                <w:color w:val="auto"/>
                <w:vertAlign w:val="superscript"/>
              </w:rPr>
              <w:t>305</w:t>
            </w:r>
          </w:p>
        </w:tc>
      </w:tr>
      <w:tr w:rsidR="00322FCF" w:rsidRPr="00C1603D" w14:paraId="3BEC8E3F" w14:textId="77777777" w:rsidTr="00322FCF">
        <w:trPr>
          <w:cantSplit/>
        </w:trPr>
        <w:tc>
          <w:tcPr>
            <w:tcW w:w="0" w:type="auto"/>
            <w:gridSpan w:val="10"/>
            <w:shd w:val="clear" w:color="auto" w:fill="auto"/>
            <w:tcMar>
              <w:top w:w="0" w:type="dxa"/>
              <w:left w:w="0" w:type="dxa"/>
              <w:bottom w:w="0" w:type="dxa"/>
              <w:right w:w="0" w:type="dxa"/>
            </w:tcMar>
          </w:tcPr>
          <w:p w14:paraId="0A9CC98B" w14:textId="54889311" w:rsidR="003E0954" w:rsidRPr="00C1603D" w:rsidRDefault="000D4B83" w:rsidP="00322FCF">
            <w:pPr>
              <w:pStyle w:val="75TablenotesTablesTableFigureBoxstyles"/>
              <w:rPr>
                <w:rFonts w:eastAsia="Arial"/>
                <w:noProof/>
              </w:rPr>
            </w:pPr>
            <w:r w:rsidRPr="00C1603D">
              <w:rPr>
                <w:rFonts w:eastAsia="Arial"/>
                <w:noProof/>
              </w:rPr>
              <w:t xml:space="preserve">DI, diagnostic indicator; </w:t>
            </w:r>
            <w:r w:rsidR="003E0954" w:rsidRPr="00C1603D">
              <w:rPr>
                <w:rFonts w:eastAsia="Arial"/>
                <w:noProof/>
              </w:rPr>
              <w:t>NR, not reported.</w:t>
            </w:r>
          </w:p>
        </w:tc>
      </w:tr>
    </w:tbl>
    <w:p w14:paraId="238CBF1C" w14:textId="4906E1A1" w:rsidR="008B4DF8" w:rsidRPr="00C1603D" w:rsidRDefault="008B4DF8" w:rsidP="008B4DF8">
      <w:pPr>
        <w:pStyle w:val="70TablelegendTablesTableFigureBoxstyles"/>
      </w:pPr>
      <w:bookmarkStart w:id="581" w:name="_Toc99720737"/>
      <w:r w:rsidRPr="00C1603D">
        <w:rPr>
          <w:b/>
        </w:rPr>
        <w:t>TABLE 2</w:t>
      </w:r>
      <w:r w:rsidR="00032460" w:rsidRPr="00C1603D">
        <w:rPr>
          <w:b/>
        </w:rPr>
        <w:t>7</w:t>
      </w:r>
      <w:r w:rsidRPr="00C1603D">
        <w:rPr>
          <w:b/>
        </w:rPr>
        <w:t> </w:t>
      </w:r>
      <w:r w:rsidRPr="00C1603D">
        <w:t xml:space="preserve">Study characteristic: </w:t>
      </w:r>
      <w:r w:rsidR="00322FCF" w:rsidRPr="00C1603D">
        <w:t>a</w:t>
      </w:r>
      <w:r w:rsidRPr="00C1603D">
        <w:t>cid reflux symptoms</w:t>
      </w:r>
      <w:bookmarkEnd w:id="581"/>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99"/>
        <w:gridCol w:w="705"/>
        <w:gridCol w:w="1155"/>
        <w:gridCol w:w="628"/>
        <w:gridCol w:w="636"/>
        <w:gridCol w:w="1291"/>
        <w:gridCol w:w="1082"/>
        <w:gridCol w:w="969"/>
        <w:gridCol w:w="732"/>
        <w:gridCol w:w="929"/>
      </w:tblGrid>
      <w:tr w:rsidR="00322FCF" w:rsidRPr="00C1603D" w14:paraId="291EEF37" w14:textId="77777777" w:rsidTr="00322FCF">
        <w:trPr>
          <w:cantSplit/>
        </w:trPr>
        <w:tc>
          <w:tcPr>
            <w:tcW w:w="0" w:type="auto"/>
            <w:shd w:val="clear" w:color="auto" w:fill="FFFFFF"/>
            <w:tcMar>
              <w:top w:w="0" w:type="dxa"/>
              <w:left w:w="0" w:type="dxa"/>
              <w:bottom w:w="0" w:type="dxa"/>
              <w:right w:w="0" w:type="dxa"/>
            </w:tcMar>
          </w:tcPr>
          <w:p w14:paraId="698C6139" w14:textId="1D28AECA" w:rsidR="008B4DF8" w:rsidRPr="00C1603D" w:rsidRDefault="00322FCF" w:rsidP="00322FCF">
            <w:pPr>
              <w:pStyle w:val="710TableheadTablesTableFigureBoxstyles"/>
            </w:pPr>
            <w:r w:rsidRPr="00C1603D">
              <w:rPr>
                <w:rFonts w:eastAsia="Arial"/>
              </w:rPr>
              <w:t>Population</w:t>
            </w:r>
            <w:r w:rsidR="008B4DF8" w:rsidRPr="00C1603D">
              <w:rPr>
                <w:rFonts w:eastAsia="Arial"/>
              </w:rPr>
              <w:t xml:space="preserve"> group</w:t>
            </w:r>
          </w:p>
        </w:tc>
        <w:tc>
          <w:tcPr>
            <w:tcW w:w="0" w:type="auto"/>
            <w:shd w:val="clear" w:color="auto" w:fill="FFFFFF"/>
            <w:tcMar>
              <w:top w:w="0" w:type="dxa"/>
              <w:left w:w="0" w:type="dxa"/>
              <w:bottom w:w="0" w:type="dxa"/>
              <w:right w:w="0" w:type="dxa"/>
            </w:tcMar>
          </w:tcPr>
          <w:p w14:paraId="497AAF8F" w14:textId="1A2B9DA8" w:rsidR="008B4DF8" w:rsidRPr="00C1603D" w:rsidRDefault="008B4DF8" w:rsidP="00322FCF">
            <w:pPr>
              <w:pStyle w:val="710TableheadTablesTableFigureBoxstyles"/>
            </w:pPr>
            <w:r w:rsidRPr="00C1603D">
              <w:rPr>
                <w:rFonts w:eastAsia="Arial"/>
              </w:rPr>
              <w:t xml:space="preserve">Study </w:t>
            </w:r>
            <w:r w:rsidR="00322FCF" w:rsidRPr="00C1603D">
              <w:rPr>
                <w:rFonts w:eastAsia="Arial"/>
              </w:rPr>
              <w:t>d</w:t>
            </w:r>
            <w:r w:rsidRPr="00C1603D">
              <w:rPr>
                <w:rFonts w:eastAsia="Arial"/>
              </w:rPr>
              <w:t>esign</w:t>
            </w:r>
          </w:p>
        </w:tc>
        <w:tc>
          <w:tcPr>
            <w:tcW w:w="0" w:type="auto"/>
            <w:shd w:val="clear" w:color="auto" w:fill="FFFFFF"/>
            <w:tcMar>
              <w:top w:w="0" w:type="dxa"/>
              <w:left w:w="0" w:type="dxa"/>
              <w:bottom w:w="0" w:type="dxa"/>
              <w:right w:w="0" w:type="dxa"/>
            </w:tcMar>
          </w:tcPr>
          <w:p w14:paraId="02ADD15A" w14:textId="77777777" w:rsidR="008B4DF8" w:rsidRPr="00C1603D" w:rsidRDefault="008B4DF8" w:rsidP="00322FCF">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1451959" w14:textId="1EC4D26D" w:rsidR="008B4DF8" w:rsidRPr="00C1603D" w:rsidRDefault="008B4DF8" w:rsidP="00322FCF">
            <w:pPr>
              <w:pStyle w:val="710TableheadTablesTableFigureBoxstyles"/>
            </w:pPr>
            <w:r w:rsidRPr="00C1603D">
              <w:rPr>
                <w:rFonts w:eastAsia="Arial"/>
              </w:rPr>
              <w:t>Sample size</w:t>
            </w:r>
            <w:r w:rsidR="00322FCF" w:rsidRPr="00C1603D">
              <w:rPr>
                <w:rFonts w:eastAsia="Arial"/>
              </w:rPr>
              <w:t xml:space="preserve"> (</w:t>
            </w:r>
            <w:r w:rsidR="00322FCF" w:rsidRPr="00C1603D">
              <w:rPr>
                <w:rFonts w:eastAsia="Arial"/>
                <w:i/>
                <w:iCs/>
              </w:rPr>
              <w:t>n</w:t>
            </w:r>
            <w:r w:rsidR="00322FCF" w:rsidRPr="00C1603D">
              <w:rPr>
                <w:rFonts w:eastAsia="Arial"/>
              </w:rPr>
              <w:t>)</w:t>
            </w:r>
          </w:p>
        </w:tc>
        <w:tc>
          <w:tcPr>
            <w:tcW w:w="0" w:type="auto"/>
            <w:shd w:val="clear" w:color="auto" w:fill="FFFFFF"/>
            <w:tcMar>
              <w:top w:w="0" w:type="dxa"/>
              <w:left w:w="0" w:type="dxa"/>
              <w:bottom w:w="0" w:type="dxa"/>
              <w:right w:w="0" w:type="dxa"/>
            </w:tcMar>
          </w:tcPr>
          <w:p w14:paraId="32EA5941" w14:textId="77777777" w:rsidR="008B4DF8" w:rsidRPr="00C1603D" w:rsidRDefault="008B4DF8" w:rsidP="00322FCF">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636EEEFF" w14:textId="77777777" w:rsidR="008B4DF8" w:rsidRPr="00C1603D" w:rsidRDefault="008B4DF8" w:rsidP="00322FCF">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1D3AB6B" w14:textId="77777777" w:rsidR="008B4DF8" w:rsidRPr="00C1603D" w:rsidRDefault="008B4DF8" w:rsidP="00322FCF">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063E83D" w14:textId="77777777" w:rsidR="008B4DF8" w:rsidRPr="00C1603D" w:rsidRDefault="008B4DF8" w:rsidP="00322FCF">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33D120C3" w14:textId="77777777" w:rsidR="008B4DF8" w:rsidRPr="00C1603D" w:rsidRDefault="008B4DF8" w:rsidP="00322FCF">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8E29FF2" w14:textId="77777777" w:rsidR="008B4DF8" w:rsidRPr="00C1603D" w:rsidRDefault="008B4DF8" w:rsidP="00322FCF">
            <w:pPr>
              <w:pStyle w:val="710TableheadTablesTableFigureBoxstyles"/>
            </w:pPr>
            <w:r w:rsidRPr="00C1603D">
              <w:rPr>
                <w:rFonts w:eastAsia="Arial"/>
              </w:rPr>
              <w:t>Reference</w:t>
            </w:r>
          </w:p>
        </w:tc>
      </w:tr>
      <w:tr w:rsidR="00322FCF" w:rsidRPr="00C1603D" w14:paraId="73AD2BEC" w14:textId="77777777" w:rsidTr="00322FCF">
        <w:trPr>
          <w:cantSplit/>
        </w:trPr>
        <w:tc>
          <w:tcPr>
            <w:tcW w:w="0" w:type="auto"/>
            <w:shd w:val="clear" w:color="auto" w:fill="FFFFFF"/>
            <w:tcMar>
              <w:top w:w="0" w:type="dxa"/>
              <w:left w:w="0" w:type="dxa"/>
              <w:bottom w:w="0" w:type="dxa"/>
              <w:right w:w="0" w:type="dxa"/>
            </w:tcMar>
          </w:tcPr>
          <w:p w14:paraId="22CBE4D4" w14:textId="77777777" w:rsidR="008B4DF8" w:rsidRPr="00C1603D" w:rsidRDefault="008B4DF8" w:rsidP="00322FCF">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03165650" w14:textId="02C99E81"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AF9DE82" w14:textId="77777777" w:rsidR="008B4DF8" w:rsidRPr="00C1603D" w:rsidRDefault="008B4DF8" w:rsidP="00322FCF">
            <w:pPr>
              <w:pStyle w:val="72TabletextTablesTableFigureBoxstyles"/>
            </w:pPr>
            <w:r w:rsidRPr="00C1603D">
              <w:rPr>
                <w:rFonts w:eastAsia="Arial"/>
              </w:rPr>
              <w:t>Dyspepsia</w:t>
            </w:r>
          </w:p>
        </w:tc>
        <w:tc>
          <w:tcPr>
            <w:tcW w:w="0" w:type="auto"/>
            <w:shd w:val="clear" w:color="auto" w:fill="FFFFFF"/>
            <w:tcMar>
              <w:top w:w="0" w:type="dxa"/>
              <w:left w:w="0" w:type="dxa"/>
              <w:bottom w:w="0" w:type="dxa"/>
              <w:right w:w="0" w:type="dxa"/>
            </w:tcMar>
          </w:tcPr>
          <w:p w14:paraId="2ED9D17C" w14:textId="77777777" w:rsidR="008B4DF8" w:rsidRPr="00C1603D" w:rsidRDefault="008B4DF8" w:rsidP="00322FCF">
            <w:pPr>
              <w:pStyle w:val="72TabletextTablesTableFigureBoxstyles"/>
            </w:pPr>
            <w:r w:rsidRPr="00C1603D">
              <w:rPr>
                <w:rFonts w:eastAsia="Arial"/>
              </w:rPr>
              <w:t>640</w:t>
            </w:r>
          </w:p>
        </w:tc>
        <w:tc>
          <w:tcPr>
            <w:tcW w:w="0" w:type="auto"/>
            <w:shd w:val="clear" w:color="auto" w:fill="FFFFFF"/>
            <w:tcMar>
              <w:top w:w="0" w:type="dxa"/>
              <w:left w:w="0" w:type="dxa"/>
              <w:bottom w:w="0" w:type="dxa"/>
              <w:right w:w="0" w:type="dxa"/>
            </w:tcMar>
          </w:tcPr>
          <w:p w14:paraId="75464B9D" w14:textId="6CD98273" w:rsidR="008B4DF8" w:rsidRPr="00C1603D" w:rsidRDefault="008B4DF8" w:rsidP="00322FCF">
            <w:pPr>
              <w:pStyle w:val="72TabletextTablesTableFigureBoxstyles"/>
              <w:rPr>
                <w:color w:val="auto"/>
              </w:rPr>
            </w:pPr>
            <w:r w:rsidRPr="00C1603D">
              <w:rPr>
                <w:rFonts w:eastAsia="Arial"/>
                <w:color w:val="auto"/>
              </w:rPr>
              <w:t>51–75</w:t>
            </w:r>
          </w:p>
        </w:tc>
        <w:tc>
          <w:tcPr>
            <w:tcW w:w="0" w:type="auto"/>
            <w:shd w:val="clear" w:color="auto" w:fill="FFFFFF"/>
            <w:tcMar>
              <w:top w:w="0" w:type="dxa"/>
              <w:left w:w="0" w:type="dxa"/>
              <w:bottom w:w="0" w:type="dxa"/>
              <w:right w:w="0" w:type="dxa"/>
            </w:tcMar>
          </w:tcPr>
          <w:p w14:paraId="24CFC53A" w14:textId="77777777" w:rsidR="008B4DF8" w:rsidRPr="00C1603D" w:rsidRDefault="008B4DF8" w:rsidP="00322FCF">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1CE159D" w14:textId="77777777" w:rsidR="008B4DF8" w:rsidRPr="00C1603D" w:rsidRDefault="008B4DF8" w:rsidP="00322FCF">
            <w:pPr>
              <w:pStyle w:val="72TabletextTablesTableFigureBoxstyles"/>
            </w:pPr>
            <w:r w:rsidRPr="00C1603D">
              <w:rPr>
                <w:rFonts w:eastAsia="Arial"/>
              </w:rPr>
              <w:t>Other</w:t>
            </w:r>
          </w:p>
        </w:tc>
        <w:tc>
          <w:tcPr>
            <w:tcW w:w="0" w:type="auto"/>
            <w:shd w:val="clear" w:color="auto" w:fill="FFFFFF"/>
            <w:tcMar>
              <w:top w:w="0" w:type="dxa"/>
              <w:left w:w="0" w:type="dxa"/>
              <w:bottom w:w="0" w:type="dxa"/>
              <w:right w:w="0" w:type="dxa"/>
            </w:tcMar>
          </w:tcPr>
          <w:p w14:paraId="6A20162D" w14:textId="77777777" w:rsidR="008B4DF8" w:rsidRPr="00C1603D" w:rsidRDefault="008B4DF8"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BFFBCFF" w14:textId="77777777" w:rsidR="008B4DF8" w:rsidRPr="00C1603D" w:rsidRDefault="008B4DF8" w:rsidP="00322FCF">
            <w:pPr>
              <w:pStyle w:val="72TabletextTablesTableFigureBoxstyles"/>
            </w:pPr>
            <w:r w:rsidRPr="00C1603D">
              <w:rPr>
                <w:rFonts w:eastAsia="Arial"/>
              </w:rPr>
              <w:t>Argentina</w:t>
            </w:r>
          </w:p>
        </w:tc>
        <w:tc>
          <w:tcPr>
            <w:tcW w:w="0" w:type="auto"/>
            <w:shd w:val="clear" w:color="auto" w:fill="FFFFFF"/>
            <w:tcMar>
              <w:top w:w="0" w:type="dxa"/>
              <w:left w:w="0" w:type="dxa"/>
              <w:bottom w:w="0" w:type="dxa"/>
              <w:right w:w="0" w:type="dxa"/>
            </w:tcMar>
          </w:tcPr>
          <w:p w14:paraId="4D027E1E" w14:textId="13192CDF" w:rsidR="008B4DF8" w:rsidRPr="00C1603D" w:rsidRDefault="00322FCF" w:rsidP="00322FCF">
            <w:pPr>
              <w:pStyle w:val="72TabletextTablesTableFigureBoxstyles"/>
            </w:pPr>
            <w:r w:rsidRPr="00C1603D">
              <w:rPr>
                <w:rFonts w:eastAsia="Arial"/>
                <w:noProof/>
              </w:rPr>
              <w:t xml:space="preserve">Lasa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306</w:t>
            </w:r>
          </w:p>
        </w:tc>
      </w:tr>
      <w:tr w:rsidR="00322FCF" w:rsidRPr="00C1603D" w14:paraId="0C51FC76" w14:textId="77777777" w:rsidTr="00322FCF">
        <w:trPr>
          <w:cantSplit/>
        </w:trPr>
        <w:tc>
          <w:tcPr>
            <w:tcW w:w="0" w:type="auto"/>
            <w:shd w:val="clear" w:color="auto" w:fill="FFFFFF"/>
            <w:tcMar>
              <w:top w:w="0" w:type="dxa"/>
              <w:left w:w="0" w:type="dxa"/>
              <w:bottom w:w="0" w:type="dxa"/>
              <w:right w:w="0" w:type="dxa"/>
            </w:tcMar>
          </w:tcPr>
          <w:p w14:paraId="557AF392"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8DF052C" w14:textId="208437F0"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ED660B8" w14:textId="77777777" w:rsidR="008B4DF8" w:rsidRPr="00C1603D" w:rsidRDefault="008B4DF8" w:rsidP="00322FCF">
            <w:pPr>
              <w:pStyle w:val="72TabletextTablesTableFigureBoxstyles"/>
            </w:pPr>
            <w:r w:rsidRPr="00C1603D">
              <w:rPr>
                <w:rFonts w:eastAsia="Arial"/>
              </w:rPr>
              <w:t>Dyspepsia</w:t>
            </w:r>
          </w:p>
        </w:tc>
        <w:tc>
          <w:tcPr>
            <w:tcW w:w="0" w:type="auto"/>
            <w:shd w:val="clear" w:color="auto" w:fill="FFFFFF"/>
            <w:tcMar>
              <w:top w:w="0" w:type="dxa"/>
              <w:left w:w="0" w:type="dxa"/>
              <w:bottom w:w="0" w:type="dxa"/>
              <w:right w:w="0" w:type="dxa"/>
            </w:tcMar>
          </w:tcPr>
          <w:p w14:paraId="114956BA" w14:textId="77777777" w:rsidR="008B4DF8" w:rsidRPr="00C1603D" w:rsidRDefault="008B4DF8" w:rsidP="00322FCF">
            <w:pPr>
              <w:pStyle w:val="72TabletextTablesTableFigureBoxstyles"/>
            </w:pPr>
            <w:r w:rsidRPr="00C1603D">
              <w:rPr>
                <w:rFonts w:eastAsia="Arial"/>
              </w:rPr>
              <w:t>105</w:t>
            </w:r>
          </w:p>
        </w:tc>
        <w:tc>
          <w:tcPr>
            <w:tcW w:w="0" w:type="auto"/>
            <w:shd w:val="clear" w:color="auto" w:fill="FFFFFF"/>
            <w:tcMar>
              <w:top w:w="0" w:type="dxa"/>
              <w:left w:w="0" w:type="dxa"/>
              <w:bottom w:w="0" w:type="dxa"/>
              <w:right w:w="0" w:type="dxa"/>
            </w:tcMar>
          </w:tcPr>
          <w:p w14:paraId="4590D5EB" w14:textId="77777777" w:rsidR="008B4DF8" w:rsidRPr="00C1603D" w:rsidRDefault="008B4DF8" w:rsidP="00322FCF">
            <w:pPr>
              <w:pStyle w:val="72TabletextTablesTableFigureBoxstyles"/>
              <w:rPr>
                <w:color w:val="auto"/>
              </w:rPr>
            </w:pPr>
            <w:r w:rsidRPr="00C1603D">
              <w:rPr>
                <w:rFonts w:eastAsia="Arial"/>
                <w:color w:val="auto"/>
              </w:rPr>
              <w:t>NR</w:t>
            </w:r>
          </w:p>
        </w:tc>
        <w:tc>
          <w:tcPr>
            <w:tcW w:w="0" w:type="auto"/>
            <w:shd w:val="clear" w:color="auto" w:fill="FFFFFF"/>
            <w:tcMar>
              <w:top w:w="0" w:type="dxa"/>
              <w:left w:w="0" w:type="dxa"/>
              <w:bottom w:w="0" w:type="dxa"/>
              <w:right w:w="0" w:type="dxa"/>
            </w:tcMar>
          </w:tcPr>
          <w:p w14:paraId="606B62A0" w14:textId="77777777" w:rsidR="008B4DF8" w:rsidRPr="00C1603D" w:rsidRDefault="008B4DF8" w:rsidP="00322FCF">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2B36E31" w14:textId="15731E08" w:rsidR="008B4DF8" w:rsidRPr="00C1603D" w:rsidRDefault="008B4DF8" w:rsidP="00322FCF">
            <w:pPr>
              <w:pStyle w:val="72TabletextTablesTableFigureBoxstyles"/>
            </w:pPr>
            <w:r w:rsidRPr="00C1603D">
              <w:rPr>
                <w:rFonts w:eastAsia="Arial"/>
              </w:rPr>
              <w:t xml:space="preserve">All </w:t>
            </w:r>
            <w:r w:rsidR="00322FCF" w:rsidRPr="00C1603D">
              <w:rPr>
                <w:rFonts w:eastAsia="Arial"/>
              </w:rPr>
              <w:t>patients</w:t>
            </w:r>
            <w:r w:rsidRPr="00C1603D">
              <w:rPr>
                <w:rFonts w:eastAsia="Arial"/>
              </w:rPr>
              <w:t xml:space="preserve"> biopsied</w:t>
            </w:r>
            <w:r w:rsidRPr="00C1603D">
              <w:rPr>
                <w:rFonts w:eastAsia="Arial"/>
                <w:color w:val="00B0F0"/>
              </w:rPr>
              <w:t xml:space="preserve"> – </w:t>
            </w:r>
            <w:r w:rsidRPr="00C1603D">
              <w:rPr>
                <w:rFonts w:eastAsia="Arial"/>
              </w:rPr>
              <w:t>no serology</w:t>
            </w:r>
          </w:p>
        </w:tc>
        <w:tc>
          <w:tcPr>
            <w:tcW w:w="0" w:type="auto"/>
            <w:shd w:val="clear" w:color="auto" w:fill="FFFFFF"/>
            <w:tcMar>
              <w:top w:w="0" w:type="dxa"/>
              <w:left w:w="0" w:type="dxa"/>
              <w:bottom w:w="0" w:type="dxa"/>
              <w:right w:w="0" w:type="dxa"/>
            </w:tcMar>
          </w:tcPr>
          <w:p w14:paraId="08970E05" w14:textId="77777777" w:rsidR="008B4DF8" w:rsidRPr="00C1603D" w:rsidRDefault="008B4DF8" w:rsidP="00322FCF">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26017C7B" w14:textId="77777777" w:rsidR="008B4DF8" w:rsidRPr="00C1603D" w:rsidRDefault="008B4DF8" w:rsidP="00322FCF">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22114A09" w14:textId="32E16B7C" w:rsidR="008B4DF8" w:rsidRPr="00C1603D" w:rsidRDefault="00322FCF" w:rsidP="00322FCF">
            <w:pPr>
              <w:pStyle w:val="72TabletextTablesTableFigureBoxstyles"/>
            </w:pPr>
            <w:r w:rsidRPr="00C1603D">
              <w:rPr>
                <w:rFonts w:eastAsia="Arial"/>
                <w:noProof/>
              </w:rPr>
              <w:t xml:space="preserve">Lecleire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307</w:t>
            </w:r>
          </w:p>
        </w:tc>
      </w:tr>
      <w:tr w:rsidR="00322FCF" w:rsidRPr="00C1603D" w14:paraId="33D290AB" w14:textId="77777777" w:rsidTr="00322FCF">
        <w:trPr>
          <w:cantSplit/>
        </w:trPr>
        <w:tc>
          <w:tcPr>
            <w:tcW w:w="0" w:type="auto"/>
            <w:shd w:val="clear" w:color="auto" w:fill="FFFFFF"/>
            <w:tcMar>
              <w:top w:w="0" w:type="dxa"/>
              <w:left w:w="0" w:type="dxa"/>
              <w:bottom w:w="0" w:type="dxa"/>
              <w:right w:w="0" w:type="dxa"/>
            </w:tcMar>
          </w:tcPr>
          <w:p w14:paraId="404EEF64"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F42B5D5"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2D467270" w14:textId="77777777" w:rsidR="008B4DF8" w:rsidRPr="00C1603D" w:rsidRDefault="008B4DF8" w:rsidP="00322FCF">
            <w:pPr>
              <w:pStyle w:val="72TabletextTablesTableFigureBoxstyles"/>
            </w:pPr>
            <w:r w:rsidRPr="00C1603D">
              <w:rPr>
                <w:rFonts w:eastAsia="Arial"/>
              </w:rPr>
              <w:t>Dyspepsia</w:t>
            </w:r>
          </w:p>
        </w:tc>
        <w:tc>
          <w:tcPr>
            <w:tcW w:w="0" w:type="auto"/>
            <w:shd w:val="clear" w:color="auto" w:fill="FFFFFF"/>
            <w:tcMar>
              <w:top w:w="0" w:type="dxa"/>
              <w:left w:w="0" w:type="dxa"/>
              <w:bottom w:w="0" w:type="dxa"/>
              <w:right w:w="0" w:type="dxa"/>
            </w:tcMar>
          </w:tcPr>
          <w:p w14:paraId="02A10629" w14:textId="77777777" w:rsidR="008B4DF8" w:rsidRPr="00C1603D" w:rsidRDefault="008B4DF8" w:rsidP="00322FCF">
            <w:pPr>
              <w:pStyle w:val="72TabletextTablesTableFigureBoxstyles"/>
            </w:pPr>
            <w:r w:rsidRPr="00C1603D">
              <w:rPr>
                <w:rFonts w:eastAsia="Arial"/>
              </w:rPr>
              <w:t>3118</w:t>
            </w:r>
          </w:p>
        </w:tc>
        <w:tc>
          <w:tcPr>
            <w:tcW w:w="0" w:type="auto"/>
            <w:shd w:val="clear" w:color="auto" w:fill="FFFFFF"/>
            <w:tcMar>
              <w:top w:w="0" w:type="dxa"/>
              <w:left w:w="0" w:type="dxa"/>
              <w:bottom w:w="0" w:type="dxa"/>
              <w:right w:w="0" w:type="dxa"/>
            </w:tcMar>
          </w:tcPr>
          <w:p w14:paraId="767613B4" w14:textId="77777777" w:rsidR="008B4DF8" w:rsidRPr="00C1603D" w:rsidRDefault="008B4DF8" w:rsidP="00322FCF">
            <w:pPr>
              <w:pStyle w:val="72TabletextTablesTableFigureBoxstyles"/>
              <w:rPr>
                <w:color w:val="auto"/>
              </w:rPr>
            </w:pPr>
            <w:r w:rsidRPr="00C1603D">
              <w:rPr>
                <w:rFonts w:eastAsia="Arial"/>
                <w:color w:val="auto"/>
              </w:rPr>
              <w:t>NR</w:t>
            </w:r>
          </w:p>
        </w:tc>
        <w:tc>
          <w:tcPr>
            <w:tcW w:w="0" w:type="auto"/>
            <w:shd w:val="clear" w:color="auto" w:fill="FFFFFF"/>
            <w:tcMar>
              <w:top w:w="0" w:type="dxa"/>
              <w:left w:w="0" w:type="dxa"/>
              <w:bottom w:w="0" w:type="dxa"/>
              <w:right w:w="0" w:type="dxa"/>
            </w:tcMar>
          </w:tcPr>
          <w:p w14:paraId="2ADEE52B" w14:textId="77777777" w:rsidR="008B4DF8" w:rsidRPr="00C1603D" w:rsidRDefault="008B4DF8" w:rsidP="00322FCF">
            <w:pPr>
              <w:pStyle w:val="72TabletextTablesTableFigureBoxstyles"/>
            </w:pPr>
            <w:r w:rsidRPr="00C1603D">
              <w:rPr>
                <w:rFonts w:eastAsia="Arial"/>
              </w:rPr>
              <w:t>People without dyspepsia</w:t>
            </w:r>
          </w:p>
        </w:tc>
        <w:tc>
          <w:tcPr>
            <w:tcW w:w="0" w:type="auto"/>
            <w:shd w:val="clear" w:color="auto" w:fill="FFFFFF"/>
            <w:tcMar>
              <w:top w:w="0" w:type="dxa"/>
              <w:left w:w="0" w:type="dxa"/>
              <w:bottom w:w="0" w:type="dxa"/>
              <w:right w:w="0" w:type="dxa"/>
            </w:tcMar>
          </w:tcPr>
          <w:p w14:paraId="440A6814" w14:textId="37A8EA5C" w:rsidR="008B4DF8" w:rsidRPr="00C1603D" w:rsidRDefault="008B4DF8" w:rsidP="00322FCF">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5E47AFB7" w14:textId="77777777" w:rsidR="008B4DF8" w:rsidRPr="00C1603D" w:rsidRDefault="008B4DF8" w:rsidP="00322FCF">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7F2CE142" w14:textId="2585DD0B" w:rsidR="008B4DF8" w:rsidRPr="00C1603D" w:rsidRDefault="008B4DF8" w:rsidP="00322FCF">
            <w:pPr>
              <w:pStyle w:val="72TabletextTablesTableFigureBoxstyles"/>
            </w:pPr>
            <w:r w:rsidRPr="00C1603D">
              <w:rPr>
                <w:rFonts w:eastAsia="Arial"/>
              </w:rPr>
              <w:t>US</w:t>
            </w:r>
            <w:r w:rsidR="00322FCF" w:rsidRPr="00C1603D">
              <w:rPr>
                <w:rFonts w:eastAsia="Arial"/>
              </w:rPr>
              <w:t>A</w:t>
            </w:r>
          </w:p>
        </w:tc>
        <w:tc>
          <w:tcPr>
            <w:tcW w:w="0" w:type="auto"/>
            <w:shd w:val="clear" w:color="auto" w:fill="FFFFFF"/>
            <w:tcMar>
              <w:top w:w="0" w:type="dxa"/>
              <w:left w:w="0" w:type="dxa"/>
              <w:bottom w:w="0" w:type="dxa"/>
              <w:right w:w="0" w:type="dxa"/>
            </w:tcMar>
          </w:tcPr>
          <w:p w14:paraId="77CAA2C0" w14:textId="0D03EF40" w:rsidR="008B4DF8" w:rsidRPr="00C1603D" w:rsidRDefault="00322FCF" w:rsidP="00322FCF">
            <w:pPr>
              <w:pStyle w:val="72TabletextTablesTableFigureBoxstyles"/>
            </w:pPr>
            <w:r w:rsidRPr="00C1603D">
              <w:rPr>
                <w:rFonts w:eastAsia="Arial"/>
                <w:noProof/>
              </w:rPr>
              <w:t xml:space="preserve">Choung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299</w:t>
            </w:r>
          </w:p>
        </w:tc>
      </w:tr>
      <w:tr w:rsidR="00322FCF" w:rsidRPr="00C1603D" w14:paraId="0B1759E7" w14:textId="77777777" w:rsidTr="00322FCF">
        <w:trPr>
          <w:cantSplit/>
        </w:trPr>
        <w:tc>
          <w:tcPr>
            <w:tcW w:w="0" w:type="auto"/>
            <w:shd w:val="clear" w:color="auto" w:fill="FFFFFF"/>
            <w:tcMar>
              <w:top w:w="0" w:type="dxa"/>
              <w:left w:w="0" w:type="dxa"/>
              <w:bottom w:w="0" w:type="dxa"/>
              <w:right w:w="0" w:type="dxa"/>
            </w:tcMar>
          </w:tcPr>
          <w:p w14:paraId="3004BFC5"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13DC5A1"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79D37BE4" w14:textId="77777777" w:rsidR="008B4DF8" w:rsidRPr="00C1603D" w:rsidRDefault="008B4DF8" w:rsidP="00322FCF">
            <w:pPr>
              <w:pStyle w:val="72TabletextTablesTableFigureBoxstyles"/>
            </w:pPr>
            <w:r w:rsidRPr="00C1603D">
              <w:rPr>
                <w:rFonts w:eastAsia="Arial"/>
              </w:rPr>
              <w:t>Heartburn</w:t>
            </w:r>
          </w:p>
        </w:tc>
        <w:tc>
          <w:tcPr>
            <w:tcW w:w="0" w:type="auto"/>
            <w:shd w:val="clear" w:color="auto" w:fill="FFFFFF"/>
            <w:tcMar>
              <w:top w:w="0" w:type="dxa"/>
              <w:left w:w="0" w:type="dxa"/>
              <w:bottom w:w="0" w:type="dxa"/>
              <w:right w:w="0" w:type="dxa"/>
            </w:tcMar>
          </w:tcPr>
          <w:p w14:paraId="4144C1D4" w14:textId="77777777" w:rsidR="008B4DF8" w:rsidRPr="00C1603D" w:rsidRDefault="008B4DF8" w:rsidP="00322FCF">
            <w:pPr>
              <w:pStyle w:val="72TabletextTablesTableFigureBoxstyles"/>
            </w:pPr>
            <w:r w:rsidRPr="00C1603D">
              <w:rPr>
                <w:rFonts w:eastAsia="Arial"/>
              </w:rPr>
              <w:t>3847</w:t>
            </w:r>
          </w:p>
        </w:tc>
        <w:tc>
          <w:tcPr>
            <w:tcW w:w="0" w:type="auto"/>
            <w:shd w:val="clear" w:color="auto" w:fill="FFFFFF"/>
            <w:tcMar>
              <w:top w:w="0" w:type="dxa"/>
              <w:left w:w="0" w:type="dxa"/>
              <w:bottom w:w="0" w:type="dxa"/>
              <w:right w:w="0" w:type="dxa"/>
            </w:tcMar>
          </w:tcPr>
          <w:p w14:paraId="05CCC05B" w14:textId="6F6E76CD" w:rsidR="008B4DF8" w:rsidRPr="00C1603D" w:rsidRDefault="008B4DF8" w:rsidP="00322FCF">
            <w:pPr>
              <w:pStyle w:val="72TabletextTablesTableFigureBoxstyles"/>
              <w:rPr>
                <w:color w:val="auto"/>
              </w:rPr>
            </w:pPr>
            <w:r w:rsidRPr="00C1603D">
              <w:rPr>
                <w:rFonts w:eastAsia="Arial"/>
                <w:color w:val="auto"/>
              </w:rPr>
              <w:t>51–75</w:t>
            </w:r>
          </w:p>
        </w:tc>
        <w:tc>
          <w:tcPr>
            <w:tcW w:w="0" w:type="auto"/>
            <w:shd w:val="clear" w:color="auto" w:fill="FFFFFF"/>
            <w:tcMar>
              <w:top w:w="0" w:type="dxa"/>
              <w:left w:w="0" w:type="dxa"/>
              <w:bottom w:w="0" w:type="dxa"/>
              <w:right w:w="0" w:type="dxa"/>
            </w:tcMar>
          </w:tcPr>
          <w:p w14:paraId="1AFC0A79" w14:textId="77777777" w:rsidR="008B4DF8" w:rsidRPr="00C1603D" w:rsidRDefault="008B4DF8" w:rsidP="00322FCF">
            <w:pPr>
              <w:pStyle w:val="72TabletextTablesTableFigureBoxstyles"/>
            </w:pPr>
            <w:r w:rsidRPr="00C1603D">
              <w:rPr>
                <w:rFonts w:eastAsia="Arial"/>
              </w:rPr>
              <w:t>People without heartburn</w:t>
            </w:r>
          </w:p>
        </w:tc>
        <w:tc>
          <w:tcPr>
            <w:tcW w:w="0" w:type="auto"/>
            <w:shd w:val="clear" w:color="auto" w:fill="FFFFFF"/>
            <w:tcMar>
              <w:top w:w="0" w:type="dxa"/>
              <w:left w:w="0" w:type="dxa"/>
              <w:bottom w:w="0" w:type="dxa"/>
              <w:right w:w="0" w:type="dxa"/>
            </w:tcMar>
          </w:tcPr>
          <w:p w14:paraId="522A8C43" w14:textId="669FA9C7" w:rsidR="008B4DF8" w:rsidRPr="00C1603D" w:rsidRDefault="008B4DF8" w:rsidP="00322FCF">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4553CB0B" w14:textId="77777777" w:rsidR="008B4DF8" w:rsidRPr="00C1603D" w:rsidRDefault="008B4DF8" w:rsidP="00322FCF">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3AA143A2" w14:textId="1B7DAFD0" w:rsidR="008B4DF8" w:rsidRPr="00C1603D" w:rsidRDefault="008B4DF8" w:rsidP="00322FCF">
            <w:pPr>
              <w:pStyle w:val="72TabletextTablesTableFigureBoxstyles"/>
            </w:pPr>
            <w:r w:rsidRPr="00C1603D">
              <w:rPr>
                <w:rFonts w:eastAsia="Arial"/>
              </w:rPr>
              <w:t>US</w:t>
            </w:r>
            <w:r w:rsidR="00322FCF" w:rsidRPr="00C1603D">
              <w:rPr>
                <w:rFonts w:eastAsia="Arial"/>
              </w:rPr>
              <w:t>A</w:t>
            </w:r>
          </w:p>
        </w:tc>
        <w:tc>
          <w:tcPr>
            <w:tcW w:w="0" w:type="auto"/>
            <w:shd w:val="clear" w:color="auto" w:fill="FFFFFF"/>
            <w:tcMar>
              <w:top w:w="0" w:type="dxa"/>
              <w:left w:w="0" w:type="dxa"/>
              <w:bottom w:w="0" w:type="dxa"/>
              <w:right w:w="0" w:type="dxa"/>
            </w:tcMar>
          </w:tcPr>
          <w:p w14:paraId="57AC6123" w14:textId="2EF40385" w:rsidR="008B4DF8" w:rsidRPr="00C1603D" w:rsidRDefault="00322FCF" w:rsidP="00322FCF">
            <w:pPr>
              <w:pStyle w:val="72TabletextTablesTableFigureBoxstyles"/>
            </w:pPr>
            <w:r w:rsidRPr="00C1603D">
              <w:rPr>
                <w:rFonts w:eastAsia="Arial"/>
                <w:noProof/>
              </w:rPr>
              <w:t xml:space="preserve">Katz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308</w:t>
            </w:r>
          </w:p>
        </w:tc>
      </w:tr>
      <w:tr w:rsidR="00322FCF" w:rsidRPr="00C1603D" w14:paraId="6910312A" w14:textId="77777777" w:rsidTr="00322FCF">
        <w:trPr>
          <w:cantSplit/>
        </w:trPr>
        <w:tc>
          <w:tcPr>
            <w:tcW w:w="0" w:type="auto"/>
            <w:shd w:val="clear" w:color="auto" w:fill="FFFFFF"/>
            <w:tcMar>
              <w:top w:w="0" w:type="dxa"/>
              <w:left w:w="0" w:type="dxa"/>
              <w:bottom w:w="0" w:type="dxa"/>
              <w:right w:w="0" w:type="dxa"/>
            </w:tcMar>
          </w:tcPr>
          <w:p w14:paraId="19E0B2C2"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C368D06"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33CD0323" w14:textId="77777777" w:rsidR="008B4DF8" w:rsidRPr="00C1603D" w:rsidRDefault="008B4DF8" w:rsidP="00322FCF">
            <w:pPr>
              <w:pStyle w:val="72TabletextTablesTableFigureBoxstyles"/>
            </w:pPr>
            <w:r w:rsidRPr="00C1603D">
              <w:rPr>
                <w:rFonts w:eastAsia="Arial"/>
              </w:rPr>
              <w:t>Dyspepsia</w:t>
            </w:r>
          </w:p>
        </w:tc>
        <w:tc>
          <w:tcPr>
            <w:tcW w:w="0" w:type="auto"/>
            <w:shd w:val="clear" w:color="auto" w:fill="FFFFFF"/>
            <w:tcMar>
              <w:top w:w="0" w:type="dxa"/>
              <w:left w:w="0" w:type="dxa"/>
              <w:bottom w:w="0" w:type="dxa"/>
              <w:right w:w="0" w:type="dxa"/>
            </w:tcMar>
          </w:tcPr>
          <w:p w14:paraId="5AFE1507" w14:textId="77777777" w:rsidR="008B4DF8" w:rsidRPr="00C1603D" w:rsidRDefault="008B4DF8" w:rsidP="00322FCF">
            <w:pPr>
              <w:pStyle w:val="72TabletextTablesTableFigureBoxstyles"/>
            </w:pPr>
            <w:r w:rsidRPr="00C1603D">
              <w:rPr>
                <w:rFonts w:eastAsia="Arial"/>
              </w:rPr>
              <w:t>427</w:t>
            </w:r>
          </w:p>
        </w:tc>
        <w:tc>
          <w:tcPr>
            <w:tcW w:w="0" w:type="auto"/>
            <w:shd w:val="clear" w:color="auto" w:fill="FFFFFF"/>
            <w:tcMar>
              <w:top w:w="0" w:type="dxa"/>
              <w:left w:w="0" w:type="dxa"/>
              <w:bottom w:w="0" w:type="dxa"/>
              <w:right w:w="0" w:type="dxa"/>
            </w:tcMar>
          </w:tcPr>
          <w:p w14:paraId="60799A0A" w14:textId="7BD08E94" w:rsidR="008B4DF8" w:rsidRPr="00C1603D" w:rsidRDefault="008B4DF8" w:rsidP="00322FCF">
            <w:pPr>
              <w:pStyle w:val="72TabletextTablesTableFigureBoxstyles"/>
              <w:rPr>
                <w:color w:val="auto"/>
              </w:rPr>
            </w:pPr>
            <w:r w:rsidRPr="00C1603D">
              <w:rPr>
                <w:rFonts w:eastAsia="Arial"/>
                <w:color w:val="auto"/>
              </w:rPr>
              <w:t>1–25</w:t>
            </w:r>
          </w:p>
        </w:tc>
        <w:tc>
          <w:tcPr>
            <w:tcW w:w="0" w:type="auto"/>
            <w:shd w:val="clear" w:color="auto" w:fill="FFFFFF"/>
            <w:tcMar>
              <w:top w:w="0" w:type="dxa"/>
              <w:left w:w="0" w:type="dxa"/>
              <w:bottom w:w="0" w:type="dxa"/>
              <w:right w:w="0" w:type="dxa"/>
            </w:tcMar>
          </w:tcPr>
          <w:p w14:paraId="34174C13" w14:textId="77777777" w:rsidR="008B4DF8" w:rsidRPr="00C1603D" w:rsidRDefault="008B4DF8" w:rsidP="00322FCF">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CCE3197" w14:textId="3641D85C" w:rsidR="008B4DF8" w:rsidRPr="00C1603D" w:rsidRDefault="008B4DF8" w:rsidP="00322FCF">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D517302" w14:textId="77777777" w:rsidR="008B4DF8" w:rsidRPr="00C1603D" w:rsidRDefault="008B4DF8" w:rsidP="00322FCF">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08B5BEAA" w14:textId="77777777" w:rsidR="008B4DF8" w:rsidRPr="00C1603D" w:rsidRDefault="008B4DF8" w:rsidP="00322FCF">
            <w:pPr>
              <w:pStyle w:val="72TabletextTablesTableFigureBoxstyles"/>
            </w:pPr>
            <w:r w:rsidRPr="00C1603D">
              <w:rPr>
                <w:rFonts w:eastAsia="Arial"/>
              </w:rPr>
              <w:t>Mexico</w:t>
            </w:r>
          </w:p>
        </w:tc>
        <w:tc>
          <w:tcPr>
            <w:tcW w:w="0" w:type="auto"/>
            <w:shd w:val="clear" w:color="auto" w:fill="FFFFFF"/>
            <w:tcMar>
              <w:top w:w="0" w:type="dxa"/>
              <w:left w:w="0" w:type="dxa"/>
              <w:bottom w:w="0" w:type="dxa"/>
              <w:right w:w="0" w:type="dxa"/>
            </w:tcMar>
          </w:tcPr>
          <w:p w14:paraId="3F60364E" w14:textId="2A6F6D99" w:rsidR="008B4DF8" w:rsidRPr="00C1603D" w:rsidRDefault="00322FCF" w:rsidP="00322FCF">
            <w:pPr>
              <w:pStyle w:val="72TabletextTablesTableFigureBoxstyles"/>
            </w:pPr>
            <w:r w:rsidRPr="00C1603D">
              <w:rPr>
                <w:rFonts w:eastAsia="Arial"/>
                <w:noProof/>
              </w:rPr>
              <w:t xml:space="preserve">Lara-Carmona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309</w:t>
            </w:r>
          </w:p>
        </w:tc>
      </w:tr>
      <w:tr w:rsidR="00322FCF" w:rsidRPr="00C1603D" w14:paraId="32B890B0" w14:textId="77777777" w:rsidTr="00322FCF">
        <w:trPr>
          <w:cantSplit/>
        </w:trPr>
        <w:tc>
          <w:tcPr>
            <w:tcW w:w="0" w:type="auto"/>
            <w:shd w:val="clear" w:color="auto" w:fill="FFFFFF"/>
            <w:tcMar>
              <w:top w:w="0" w:type="dxa"/>
              <w:left w:w="0" w:type="dxa"/>
              <w:bottom w:w="0" w:type="dxa"/>
              <w:right w:w="0" w:type="dxa"/>
            </w:tcMar>
          </w:tcPr>
          <w:p w14:paraId="2D3B0880"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CC1F416"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7BDC4D0" w14:textId="77777777" w:rsidR="008B4DF8" w:rsidRPr="00C1603D" w:rsidRDefault="008B4DF8" w:rsidP="00322FCF">
            <w:pPr>
              <w:pStyle w:val="72TabletextTablesTableFigureBoxstyles"/>
            </w:pPr>
            <w:r w:rsidRPr="00C1603D">
              <w:rPr>
                <w:rFonts w:eastAsia="Arial"/>
              </w:rPr>
              <w:t>Heartburn</w:t>
            </w:r>
          </w:p>
        </w:tc>
        <w:tc>
          <w:tcPr>
            <w:tcW w:w="0" w:type="auto"/>
            <w:shd w:val="clear" w:color="auto" w:fill="FFFFFF"/>
            <w:tcMar>
              <w:top w:w="0" w:type="dxa"/>
              <w:left w:w="0" w:type="dxa"/>
              <w:bottom w:w="0" w:type="dxa"/>
              <w:right w:w="0" w:type="dxa"/>
            </w:tcMar>
          </w:tcPr>
          <w:p w14:paraId="56342AB7" w14:textId="77777777" w:rsidR="008B4DF8" w:rsidRPr="00C1603D" w:rsidRDefault="008B4DF8" w:rsidP="00322FCF">
            <w:pPr>
              <w:pStyle w:val="72TabletextTablesTableFigureBoxstyles"/>
            </w:pPr>
            <w:r w:rsidRPr="00C1603D">
              <w:rPr>
                <w:rFonts w:eastAsia="Arial"/>
              </w:rPr>
              <w:t>1886</w:t>
            </w:r>
          </w:p>
        </w:tc>
        <w:tc>
          <w:tcPr>
            <w:tcW w:w="0" w:type="auto"/>
            <w:shd w:val="clear" w:color="auto" w:fill="FFFFFF"/>
            <w:tcMar>
              <w:top w:w="0" w:type="dxa"/>
              <w:left w:w="0" w:type="dxa"/>
              <w:bottom w:w="0" w:type="dxa"/>
              <w:right w:w="0" w:type="dxa"/>
            </w:tcMar>
          </w:tcPr>
          <w:p w14:paraId="2A578F70" w14:textId="77777777" w:rsidR="008B4DF8" w:rsidRPr="00C1603D" w:rsidRDefault="008B4DF8" w:rsidP="00322FCF">
            <w:pPr>
              <w:pStyle w:val="72TabletextTablesTableFigureBoxstyles"/>
              <w:rPr>
                <w:color w:val="auto"/>
              </w:rPr>
            </w:pPr>
            <w:r w:rsidRPr="00C1603D">
              <w:rPr>
                <w:rFonts w:eastAsia="Arial"/>
                <w:color w:val="auto"/>
              </w:rPr>
              <w:t>NR</w:t>
            </w:r>
          </w:p>
        </w:tc>
        <w:tc>
          <w:tcPr>
            <w:tcW w:w="0" w:type="auto"/>
            <w:shd w:val="clear" w:color="auto" w:fill="FFFFFF"/>
            <w:tcMar>
              <w:top w:w="0" w:type="dxa"/>
              <w:left w:w="0" w:type="dxa"/>
              <w:bottom w:w="0" w:type="dxa"/>
              <w:right w:w="0" w:type="dxa"/>
            </w:tcMar>
          </w:tcPr>
          <w:p w14:paraId="7C26972C" w14:textId="77777777" w:rsidR="008B4DF8" w:rsidRPr="00C1603D" w:rsidRDefault="008B4DF8" w:rsidP="00322FCF">
            <w:pPr>
              <w:pStyle w:val="72TabletextTablesTableFigureBoxstyles"/>
            </w:pPr>
            <w:r w:rsidRPr="00C1603D">
              <w:rPr>
                <w:rFonts w:eastAsia="Arial"/>
              </w:rPr>
              <w:t>People without heartburn</w:t>
            </w:r>
          </w:p>
        </w:tc>
        <w:tc>
          <w:tcPr>
            <w:tcW w:w="0" w:type="auto"/>
            <w:shd w:val="clear" w:color="auto" w:fill="FFFFFF"/>
            <w:tcMar>
              <w:top w:w="0" w:type="dxa"/>
              <w:left w:w="0" w:type="dxa"/>
              <w:bottom w:w="0" w:type="dxa"/>
              <w:right w:w="0" w:type="dxa"/>
            </w:tcMar>
          </w:tcPr>
          <w:p w14:paraId="6F826ADE" w14:textId="77777777" w:rsidR="008B4DF8" w:rsidRPr="00C1603D" w:rsidRDefault="008B4DF8" w:rsidP="00322FCF">
            <w:pPr>
              <w:pStyle w:val="72TabletextTablesTableFigureBoxstyles"/>
            </w:pPr>
            <w:r w:rsidRPr="00C1603D">
              <w:rPr>
                <w:rFonts w:eastAsia="Arial"/>
              </w:rPr>
              <w:t>Other</w:t>
            </w:r>
          </w:p>
        </w:tc>
        <w:tc>
          <w:tcPr>
            <w:tcW w:w="0" w:type="auto"/>
            <w:shd w:val="clear" w:color="auto" w:fill="FFFFFF"/>
            <w:tcMar>
              <w:top w:w="0" w:type="dxa"/>
              <w:left w:w="0" w:type="dxa"/>
              <w:bottom w:w="0" w:type="dxa"/>
              <w:right w:w="0" w:type="dxa"/>
            </w:tcMar>
          </w:tcPr>
          <w:p w14:paraId="794AB876" w14:textId="77777777" w:rsidR="008B4DF8" w:rsidRPr="00C1603D" w:rsidRDefault="008B4DF8" w:rsidP="00322FCF">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429383C6" w14:textId="77777777" w:rsidR="008B4DF8" w:rsidRPr="00C1603D" w:rsidRDefault="008B4DF8" w:rsidP="00322FCF">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303314FA" w14:textId="3A844CF1" w:rsidR="008B4DF8" w:rsidRPr="00C1603D" w:rsidRDefault="00322FCF" w:rsidP="00322FCF">
            <w:pPr>
              <w:pStyle w:val="72TabletextTablesTableFigureBoxstyles"/>
            </w:pPr>
            <w:r w:rsidRPr="00C1603D">
              <w:rPr>
                <w:rFonts w:eastAsia="Arial"/>
                <w:noProof/>
              </w:rPr>
              <w:t>T</w:t>
            </w:r>
            <w:r w:rsidR="00D045E2" w:rsidRPr="00C1603D">
              <w:rPr>
                <w:rFonts w:eastAsia="Arial"/>
                <w:noProof/>
              </w:rPr>
              <w:t>i</w:t>
            </w:r>
            <w:r w:rsidRPr="00C1603D">
              <w:rPr>
                <w:rFonts w:eastAsia="Arial"/>
                <w:noProof/>
              </w:rPr>
              <w:t xml:space="preserve">kkakoski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310</w:t>
            </w:r>
          </w:p>
        </w:tc>
      </w:tr>
      <w:tr w:rsidR="00322FCF" w:rsidRPr="00C1603D" w14:paraId="778934F5" w14:textId="77777777" w:rsidTr="00322FCF">
        <w:trPr>
          <w:cantSplit/>
        </w:trPr>
        <w:tc>
          <w:tcPr>
            <w:tcW w:w="0" w:type="auto"/>
            <w:shd w:val="clear" w:color="auto" w:fill="FFFFFF"/>
            <w:tcMar>
              <w:top w:w="0" w:type="dxa"/>
              <w:left w:w="0" w:type="dxa"/>
              <w:bottom w:w="0" w:type="dxa"/>
              <w:right w:w="0" w:type="dxa"/>
            </w:tcMar>
          </w:tcPr>
          <w:p w14:paraId="6D938FEB"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1051E5C" w14:textId="77777777" w:rsidR="008B4DF8" w:rsidRPr="00C1603D" w:rsidRDefault="008B4DF8" w:rsidP="00322FCF">
            <w:pPr>
              <w:pStyle w:val="72TabletextTablesTableFigureBoxstyles"/>
              <w:rPr>
                <w:color w:val="auto"/>
              </w:rPr>
            </w:pPr>
            <w:r w:rsidRPr="00C1603D">
              <w:rPr>
                <w:rFonts w:eastAsia="Arial"/>
                <w:color w:val="auto"/>
              </w:rPr>
              <w:t>Nested case–control (CD)</w:t>
            </w:r>
          </w:p>
        </w:tc>
        <w:tc>
          <w:tcPr>
            <w:tcW w:w="0" w:type="auto"/>
            <w:shd w:val="clear" w:color="auto" w:fill="FFFFFF"/>
            <w:tcMar>
              <w:top w:w="0" w:type="dxa"/>
              <w:left w:w="0" w:type="dxa"/>
              <w:bottom w:w="0" w:type="dxa"/>
              <w:right w:w="0" w:type="dxa"/>
            </w:tcMar>
          </w:tcPr>
          <w:p w14:paraId="4C6A9027" w14:textId="77777777" w:rsidR="008B4DF8" w:rsidRPr="00C1603D" w:rsidRDefault="008B4DF8" w:rsidP="00322FCF">
            <w:pPr>
              <w:pStyle w:val="72TabletextTablesTableFigureBoxstyles"/>
              <w:rPr>
                <w:color w:val="auto"/>
              </w:rPr>
            </w:pPr>
            <w:r w:rsidRPr="00C1603D">
              <w:rPr>
                <w:rFonts w:eastAsia="Arial"/>
                <w:color w:val="auto"/>
              </w:rPr>
              <w:t>Dyspepsia</w:t>
            </w:r>
          </w:p>
        </w:tc>
        <w:tc>
          <w:tcPr>
            <w:tcW w:w="0" w:type="auto"/>
            <w:shd w:val="clear" w:color="auto" w:fill="FFFFFF"/>
            <w:tcMar>
              <w:top w:w="0" w:type="dxa"/>
              <w:left w:w="0" w:type="dxa"/>
              <w:bottom w:w="0" w:type="dxa"/>
              <w:right w:w="0" w:type="dxa"/>
            </w:tcMar>
          </w:tcPr>
          <w:p w14:paraId="2F29151D" w14:textId="77777777" w:rsidR="008B4DF8" w:rsidRPr="00C1603D" w:rsidRDefault="008B4DF8" w:rsidP="00322FCF">
            <w:pPr>
              <w:pStyle w:val="72TabletextTablesTableFigureBoxstyles"/>
              <w:rPr>
                <w:color w:val="auto"/>
              </w:rPr>
            </w:pPr>
            <w:r w:rsidRPr="00C1603D">
              <w:rPr>
                <w:rFonts w:eastAsia="Arial"/>
                <w:color w:val="auto"/>
              </w:rPr>
              <w:t>800</w:t>
            </w:r>
          </w:p>
        </w:tc>
        <w:tc>
          <w:tcPr>
            <w:tcW w:w="0" w:type="auto"/>
            <w:shd w:val="clear" w:color="auto" w:fill="FFFFFF"/>
            <w:tcMar>
              <w:top w:w="0" w:type="dxa"/>
              <w:left w:w="0" w:type="dxa"/>
              <w:bottom w:w="0" w:type="dxa"/>
              <w:right w:w="0" w:type="dxa"/>
            </w:tcMar>
          </w:tcPr>
          <w:p w14:paraId="561BD76B" w14:textId="0AFACA91" w:rsidR="008B4DF8" w:rsidRPr="00C1603D" w:rsidRDefault="008B4DF8" w:rsidP="00322FCF">
            <w:pPr>
              <w:pStyle w:val="72TabletextTablesTableFigureBoxstyles"/>
              <w:rPr>
                <w:color w:val="auto"/>
              </w:rPr>
            </w:pPr>
            <w:r w:rsidRPr="00C1603D">
              <w:rPr>
                <w:rFonts w:eastAsia="Arial"/>
                <w:color w:val="auto"/>
              </w:rPr>
              <w:t>51–75</w:t>
            </w:r>
          </w:p>
        </w:tc>
        <w:tc>
          <w:tcPr>
            <w:tcW w:w="0" w:type="auto"/>
            <w:shd w:val="clear" w:color="auto" w:fill="FFFFFF"/>
            <w:tcMar>
              <w:top w:w="0" w:type="dxa"/>
              <w:left w:w="0" w:type="dxa"/>
              <w:bottom w:w="0" w:type="dxa"/>
              <w:right w:w="0" w:type="dxa"/>
            </w:tcMar>
          </w:tcPr>
          <w:p w14:paraId="05241491" w14:textId="77777777" w:rsidR="008B4DF8" w:rsidRPr="00C1603D" w:rsidRDefault="008B4DF8" w:rsidP="00322FCF">
            <w:pPr>
              <w:pStyle w:val="72TabletextTablesTableFigureBoxstyles"/>
              <w:rPr>
                <w:color w:val="auto"/>
              </w:rPr>
            </w:pPr>
            <w:r w:rsidRPr="00C1603D">
              <w:rPr>
                <w:rFonts w:eastAsia="Arial"/>
                <w:color w:val="auto"/>
              </w:rPr>
              <w:t>People without dyspepsia</w:t>
            </w:r>
          </w:p>
        </w:tc>
        <w:tc>
          <w:tcPr>
            <w:tcW w:w="0" w:type="auto"/>
            <w:shd w:val="clear" w:color="auto" w:fill="FFFFFF"/>
            <w:tcMar>
              <w:top w:w="0" w:type="dxa"/>
              <w:left w:w="0" w:type="dxa"/>
              <w:bottom w:w="0" w:type="dxa"/>
              <w:right w:w="0" w:type="dxa"/>
            </w:tcMar>
          </w:tcPr>
          <w:p w14:paraId="5435B958" w14:textId="510FB0B1" w:rsidR="008B4DF8" w:rsidRPr="00C1603D" w:rsidRDefault="008B4DF8" w:rsidP="00322FCF">
            <w:pPr>
              <w:pStyle w:val="72TabletextTablesTableFigureBoxstyles"/>
              <w:rPr>
                <w:color w:val="auto"/>
              </w:rPr>
            </w:pPr>
            <w:r w:rsidRPr="00C1603D">
              <w:rPr>
                <w:rFonts w:eastAsia="Arial"/>
                <w:color w:val="auto"/>
              </w:rPr>
              <w:t xml:space="preserve">Double </w:t>
            </w:r>
            <w:r w:rsidR="00322FCF" w:rsidRPr="00C1603D">
              <w:rPr>
                <w:rFonts w:eastAsia="Arial"/>
                <w:color w:val="auto"/>
              </w:rPr>
              <w:t>positive</w:t>
            </w:r>
            <w:r w:rsidRPr="00C1603D">
              <w:rPr>
                <w:rFonts w:eastAsia="Arial"/>
                <w:color w:val="auto"/>
              </w:rPr>
              <w:t xml:space="preserve"> for two antibodies</w:t>
            </w:r>
          </w:p>
        </w:tc>
        <w:tc>
          <w:tcPr>
            <w:tcW w:w="0" w:type="auto"/>
            <w:shd w:val="clear" w:color="auto" w:fill="FFFFFF"/>
            <w:tcMar>
              <w:top w:w="0" w:type="dxa"/>
              <w:left w:w="0" w:type="dxa"/>
              <w:bottom w:w="0" w:type="dxa"/>
              <w:right w:w="0" w:type="dxa"/>
            </w:tcMar>
          </w:tcPr>
          <w:p w14:paraId="2C14476D" w14:textId="77777777" w:rsidR="008B4DF8" w:rsidRPr="00C1603D" w:rsidRDefault="008B4DF8" w:rsidP="00322FCF">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2104EE00" w14:textId="3FCE769C" w:rsidR="008B4DF8" w:rsidRPr="00C1603D" w:rsidRDefault="008B4DF8" w:rsidP="00322FCF">
            <w:pPr>
              <w:pStyle w:val="72TabletextTablesTableFigureBoxstyles"/>
            </w:pPr>
            <w:r w:rsidRPr="00C1603D">
              <w:rPr>
                <w:rFonts w:eastAsia="Arial"/>
              </w:rPr>
              <w:t>US</w:t>
            </w:r>
            <w:r w:rsidR="00322FCF" w:rsidRPr="00C1603D">
              <w:rPr>
                <w:rFonts w:eastAsia="Arial"/>
              </w:rPr>
              <w:t>A</w:t>
            </w:r>
          </w:p>
        </w:tc>
        <w:tc>
          <w:tcPr>
            <w:tcW w:w="0" w:type="auto"/>
            <w:shd w:val="clear" w:color="auto" w:fill="FFFFFF"/>
            <w:tcMar>
              <w:top w:w="0" w:type="dxa"/>
              <w:left w:w="0" w:type="dxa"/>
              <w:bottom w:w="0" w:type="dxa"/>
              <w:right w:w="0" w:type="dxa"/>
            </w:tcMar>
          </w:tcPr>
          <w:p w14:paraId="552B41D4" w14:textId="3B669F12" w:rsidR="008B4DF8" w:rsidRPr="00C1603D" w:rsidRDefault="00322FCF" w:rsidP="00322FCF">
            <w:pPr>
              <w:pStyle w:val="72TabletextTablesTableFigureBoxstyles"/>
            </w:pPr>
            <w:r w:rsidRPr="00C1603D">
              <w:rPr>
                <w:rFonts w:eastAsia="Arial"/>
                <w:noProof/>
              </w:rPr>
              <w:t xml:space="preserve">Hujoel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301</w:t>
            </w:r>
          </w:p>
        </w:tc>
      </w:tr>
      <w:tr w:rsidR="00322FCF" w:rsidRPr="00C1603D" w14:paraId="2A616AD7" w14:textId="77777777" w:rsidTr="00322FCF">
        <w:trPr>
          <w:cantSplit/>
        </w:trPr>
        <w:tc>
          <w:tcPr>
            <w:tcW w:w="0" w:type="auto"/>
            <w:shd w:val="clear" w:color="auto" w:fill="FFFFFF"/>
            <w:tcMar>
              <w:top w:w="0" w:type="dxa"/>
              <w:left w:w="0" w:type="dxa"/>
              <w:bottom w:w="0" w:type="dxa"/>
              <w:right w:w="0" w:type="dxa"/>
            </w:tcMar>
          </w:tcPr>
          <w:p w14:paraId="65C19E20"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FDC2D08" w14:textId="77777777" w:rsidR="008B4DF8" w:rsidRPr="00C1603D" w:rsidRDefault="008B4DF8" w:rsidP="00322FCF">
            <w:pPr>
              <w:pStyle w:val="72TabletextTablesTableFigureBoxstyles"/>
              <w:rPr>
                <w:color w:val="auto"/>
              </w:rPr>
            </w:pPr>
            <w:r w:rsidRPr="00C1603D">
              <w:rPr>
                <w:rFonts w:eastAsia="Arial"/>
                <w:color w:val="auto"/>
              </w:rPr>
              <w:t>Nested case–control (DI)</w:t>
            </w:r>
          </w:p>
        </w:tc>
        <w:tc>
          <w:tcPr>
            <w:tcW w:w="0" w:type="auto"/>
            <w:shd w:val="clear" w:color="auto" w:fill="FFFFFF"/>
            <w:tcMar>
              <w:top w:w="0" w:type="dxa"/>
              <w:left w:w="0" w:type="dxa"/>
              <w:bottom w:w="0" w:type="dxa"/>
              <w:right w:w="0" w:type="dxa"/>
            </w:tcMar>
          </w:tcPr>
          <w:p w14:paraId="4CB86BF7" w14:textId="77777777" w:rsidR="008B4DF8" w:rsidRPr="00C1603D" w:rsidRDefault="008B4DF8" w:rsidP="00322FCF">
            <w:pPr>
              <w:pStyle w:val="72TabletextTablesTableFigureBoxstyles"/>
              <w:rPr>
                <w:color w:val="auto"/>
              </w:rPr>
            </w:pPr>
            <w:r w:rsidRPr="00C1603D">
              <w:rPr>
                <w:rFonts w:eastAsia="Arial"/>
                <w:color w:val="auto"/>
              </w:rPr>
              <w:t>Gastro-oesophageal reflux symptoms</w:t>
            </w:r>
          </w:p>
        </w:tc>
        <w:tc>
          <w:tcPr>
            <w:tcW w:w="0" w:type="auto"/>
            <w:shd w:val="clear" w:color="auto" w:fill="FFFFFF"/>
            <w:tcMar>
              <w:top w:w="0" w:type="dxa"/>
              <w:left w:w="0" w:type="dxa"/>
              <w:bottom w:w="0" w:type="dxa"/>
              <w:right w:w="0" w:type="dxa"/>
            </w:tcMar>
          </w:tcPr>
          <w:p w14:paraId="5A12B753" w14:textId="77777777" w:rsidR="008B4DF8" w:rsidRPr="00C1603D" w:rsidRDefault="008B4DF8" w:rsidP="00322FCF">
            <w:pPr>
              <w:pStyle w:val="72TabletextTablesTableFigureBoxstyles"/>
              <w:rPr>
                <w:color w:val="auto"/>
              </w:rPr>
            </w:pPr>
            <w:r w:rsidRPr="00C1603D">
              <w:rPr>
                <w:rFonts w:eastAsia="Arial"/>
                <w:color w:val="auto"/>
              </w:rPr>
              <w:t>1000</w:t>
            </w:r>
          </w:p>
        </w:tc>
        <w:tc>
          <w:tcPr>
            <w:tcW w:w="0" w:type="auto"/>
            <w:shd w:val="clear" w:color="auto" w:fill="FFFFFF"/>
            <w:tcMar>
              <w:top w:w="0" w:type="dxa"/>
              <w:left w:w="0" w:type="dxa"/>
              <w:bottom w:w="0" w:type="dxa"/>
              <w:right w:w="0" w:type="dxa"/>
            </w:tcMar>
          </w:tcPr>
          <w:p w14:paraId="1B0FC7C4" w14:textId="5239C776" w:rsidR="008B4DF8" w:rsidRPr="00C1603D" w:rsidRDefault="008B4DF8" w:rsidP="00322FCF">
            <w:pPr>
              <w:pStyle w:val="72TabletextTablesTableFigureBoxstyles"/>
              <w:rPr>
                <w:color w:val="auto"/>
              </w:rPr>
            </w:pPr>
            <w:r w:rsidRPr="00C1603D">
              <w:rPr>
                <w:rFonts w:eastAsia="Arial"/>
                <w:color w:val="auto"/>
              </w:rPr>
              <w:t>51–75</w:t>
            </w:r>
          </w:p>
        </w:tc>
        <w:tc>
          <w:tcPr>
            <w:tcW w:w="0" w:type="auto"/>
            <w:shd w:val="clear" w:color="auto" w:fill="FFFFFF"/>
            <w:tcMar>
              <w:top w:w="0" w:type="dxa"/>
              <w:left w:w="0" w:type="dxa"/>
              <w:bottom w:w="0" w:type="dxa"/>
              <w:right w:w="0" w:type="dxa"/>
            </w:tcMar>
          </w:tcPr>
          <w:p w14:paraId="476F7129" w14:textId="77777777" w:rsidR="008B4DF8" w:rsidRPr="00C1603D" w:rsidRDefault="008B4DF8" w:rsidP="00322FCF">
            <w:pPr>
              <w:pStyle w:val="72TabletextTablesTableFigureBoxstyles"/>
              <w:rPr>
                <w:color w:val="auto"/>
              </w:rPr>
            </w:pPr>
            <w:r w:rsidRPr="00C1603D">
              <w:rPr>
                <w:rFonts w:eastAsia="Arial"/>
                <w:color w:val="auto"/>
              </w:rPr>
              <w:t>People without gastro-oesophageal reflux symptoms</w:t>
            </w:r>
          </w:p>
        </w:tc>
        <w:tc>
          <w:tcPr>
            <w:tcW w:w="0" w:type="auto"/>
            <w:shd w:val="clear" w:color="auto" w:fill="FFFFFF"/>
            <w:tcMar>
              <w:top w:w="0" w:type="dxa"/>
              <w:left w:w="0" w:type="dxa"/>
              <w:bottom w:w="0" w:type="dxa"/>
              <w:right w:w="0" w:type="dxa"/>
            </w:tcMar>
          </w:tcPr>
          <w:p w14:paraId="19550C43" w14:textId="4596B138" w:rsidR="008B4DF8" w:rsidRPr="00C1603D" w:rsidRDefault="008B4DF8" w:rsidP="00322FCF">
            <w:pPr>
              <w:pStyle w:val="72TabletextTablesTableFigureBoxstyles"/>
              <w:rPr>
                <w:color w:val="auto"/>
              </w:rPr>
            </w:pPr>
            <w:r w:rsidRPr="00C1603D">
              <w:rPr>
                <w:rFonts w:eastAsia="Arial"/>
                <w:color w:val="auto"/>
              </w:rPr>
              <w:t xml:space="preserve">Serology and all </w:t>
            </w:r>
            <w:r w:rsidR="00322FCF" w:rsidRPr="00C1603D">
              <w:rPr>
                <w:rFonts w:eastAsia="Arial"/>
                <w:color w:val="auto"/>
              </w:rPr>
              <w:t>patients</w:t>
            </w:r>
            <w:r w:rsidRPr="00C1603D">
              <w:rPr>
                <w:rFonts w:eastAsia="Arial"/>
                <w:color w:val="auto"/>
              </w:rPr>
              <w:t xml:space="preserve"> biopsied</w:t>
            </w:r>
          </w:p>
        </w:tc>
        <w:tc>
          <w:tcPr>
            <w:tcW w:w="0" w:type="auto"/>
            <w:shd w:val="clear" w:color="auto" w:fill="FFFFFF"/>
            <w:tcMar>
              <w:top w:w="0" w:type="dxa"/>
              <w:left w:w="0" w:type="dxa"/>
              <w:bottom w:w="0" w:type="dxa"/>
              <w:right w:w="0" w:type="dxa"/>
            </w:tcMar>
          </w:tcPr>
          <w:p w14:paraId="6EC41C10" w14:textId="77777777" w:rsidR="008B4DF8" w:rsidRPr="00C1603D" w:rsidRDefault="008B4DF8" w:rsidP="00322FCF">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747574B7" w14:textId="77777777" w:rsidR="008B4DF8" w:rsidRPr="00C1603D" w:rsidRDefault="008B4DF8" w:rsidP="00322FCF">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590B87B1" w14:textId="5B851C74" w:rsidR="008B4DF8" w:rsidRPr="00C1603D" w:rsidRDefault="00322FCF" w:rsidP="00322FCF">
            <w:pPr>
              <w:pStyle w:val="72TabletextTablesTableFigureBoxstyles"/>
            </w:pPr>
            <w:r w:rsidRPr="00C1603D">
              <w:rPr>
                <w:rFonts w:eastAsia="Arial"/>
                <w:noProof/>
              </w:rPr>
              <w:t xml:space="preserve">Ludvigsson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311</w:t>
            </w:r>
          </w:p>
        </w:tc>
      </w:tr>
      <w:tr w:rsidR="00322FCF" w:rsidRPr="00C1603D" w14:paraId="0ACF0902" w14:textId="77777777" w:rsidTr="00322FCF">
        <w:trPr>
          <w:cantSplit/>
        </w:trPr>
        <w:tc>
          <w:tcPr>
            <w:tcW w:w="0" w:type="auto"/>
            <w:shd w:val="clear" w:color="auto" w:fill="FFFFFF"/>
            <w:tcMar>
              <w:top w:w="0" w:type="dxa"/>
              <w:left w:w="0" w:type="dxa"/>
              <w:bottom w:w="0" w:type="dxa"/>
              <w:right w:w="0" w:type="dxa"/>
            </w:tcMar>
          </w:tcPr>
          <w:p w14:paraId="764C9644"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32D9893" w14:textId="77777777" w:rsidR="008B4DF8" w:rsidRPr="00C1603D" w:rsidRDefault="008B4DF8" w:rsidP="00322FCF">
            <w:pPr>
              <w:pStyle w:val="72TabletextTablesTableFigureBoxstyles"/>
              <w:rPr>
                <w:color w:val="auto"/>
              </w:rPr>
            </w:pPr>
            <w:r w:rsidRPr="00C1603D">
              <w:rPr>
                <w:rFonts w:eastAsia="Arial"/>
                <w:color w:val="auto"/>
              </w:rPr>
              <w:t>Nested case–control (DI)</w:t>
            </w:r>
          </w:p>
        </w:tc>
        <w:tc>
          <w:tcPr>
            <w:tcW w:w="0" w:type="auto"/>
            <w:shd w:val="clear" w:color="auto" w:fill="FFFFFF"/>
            <w:tcMar>
              <w:top w:w="0" w:type="dxa"/>
              <w:left w:w="0" w:type="dxa"/>
              <w:bottom w:w="0" w:type="dxa"/>
              <w:right w:w="0" w:type="dxa"/>
            </w:tcMar>
          </w:tcPr>
          <w:p w14:paraId="37433291" w14:textId="77777777" w:rsidR="008B4DF8" w:rsidRPr="00C1603D" w:rsidRDefault="008B4DF8" w:rsidP="00322FCF">
            <w:pPr>
              <w:pStyle w:val="72TabletextTablesTableFigureBoxstyles"/>
              <w:rPr>
                <w:color w:val="auto"/>
              </w:rPr>
            </w:pPr>
            <w:r w:rsidRPr="00C1603D">
              <w:rPr>
                <w:rFonts w:eastAsia="Arial"/>
                <w:color w:val="auto"/>
              </w:rPr>
              <w:t>Dyspepsia</w:t>
            </w:r>
          </w:p>
        </w:tc>
        <w:tc>
          <w:tcPr>
            <w:tcW w:w="0" w:type="auto"/>
            <w:shd w:val="clear" w:color="auto" w:fill="FFFFFF"/>
            <w:tcMar>
              <w:top w:w="0" w:type="dxa"/>
              <w:left w:w="0" w:type="dxa"/>
              <w:bottom w:w="0" w:type="dxa"/>
              <w:right w:w="0" w:type="dxa"/>
            </w:tcMar>
          </w:tcPr>
          <w:p w14:paraId="27F7C58F" w14:textId="77777777" w:rsidR="008B4DF8" w:rsidRPr="00C1603D" w:rsidRDefault="008B4DF8" w:rsidP="00322FCF">
            <w:pPr>
              <w:pStyle w:val="72TabletextTablesTableFigureBoxstyles"/>
              <w:rPr>
                <w:color w:val="auto"/>
              </w:rPr>
            </w:pPr>
            <w:r w:rsidRPr="00C1603D">
              <w:rPr>
                <w:rFonts w:eastAsia="Arial"/>
                <w:color w:val="auto"/>
              </w:rPr>
              <w:t>112</w:t>
            </w:r>
          </w:p>
        </w:tc>
        <w:tc>
          <w:tcPr>
            <w:tcW w:w="0" w:type="auto"/>
            <w:shd w:val="clear" w:color="auto" w:fill="FFFFFF"/>
            <w:tcMar>
              <w:top w:w="0" w:type="dxa"/>
              <w:left w:w="0" w:type="dxa"/>
              <w:bottom w:w="0" w:type="dxa"/>
              <w:right w:w="0" w:type="dxa"/>
            </w:tcMar>
          </w:tcPr>
          <w:p w14:paraId="6762D377" w14:textId="0DA5C8D8" w:rsidR="008B4DF8" w:rsidRPr="00C1603D" w:rsidRDefault="008B4DF8" w:rsidP="00322FCF">
            <w:pPr>
              <w:pStyle w:val="72TabletextTablesTableFigureBoxstyles"/>
              <w:rPr>
                <w:color w:val="auto"/>
              </w:rPr>
            </w:pPr>
            <w:r w:rsidRPr="00C1603D">
              <w:rPr>
                <w:rFonts w:eastAsia="Arial"/>
                <w:color w:val="auto"/>
              </w:rPr>
              <w:t>26–50</w:t>
            </w:r>
          </w:p>
        </w:tc>
        <w:tc>
          <w:tcPr>
            <w:tcW w:w="0" w:type="auto"/>
            <w:shd w:val="clear" w:color="auto" w:fill="FFFFFF"/>
            <w:tcMar>
              <w:top w:w="0" w:type="dxa"/>
              <w:left w:w="0" w:type="dxa"/>
              <w:bottom w:w="0" w:type="dxa"/>
              <w:right w:w="0" w:type="dxa"/>
            </w:tcMar>
          </w:tcPr>
          <w:p w14:paraId="5557783C" w14:textId="77777777" w:rsidR="008B4DF8" w:rsidRPr="00C1603D" w:rsidRDefault="008B4DF8" w:rsidP="00322FCF">
            <w:pPr>
              <w:pStyle w:val="72TabletextTablesTableFigureBoxstyles"/>
              <w:rPr>
                <w:color w:val="auto"/>
              </w:rPr>
            </w:pPr>
            <w:r w:rsidRPr="00C1603D">
              <w:rPr>
                <w:rFonts w:eastAsia="Arial"/>
                <w:color w:val="auto"/>
              </w:rPr>
              <w:t>Healthy controls</w:t>
            </w:r>
          </w:p>
        </w:tc>
        <w:tc>
          <w:tcPr>
            <w:tcW w:w="0" w:type="auto"/>
            <w:shd w:val="clear" w:color="auto" w:fill="FFFFFF"/>
            <w:tcMar>
              <w:top w:w="0" w:type="dxa"/>
              <w:left w:w="0" w:type="dxa"/>
              <w:bottom w:w="0" w:type="dxa"/>
              <w:right w:w="0" w:type="dxa"/>
            </w:tcMar>
          </w:tcPr>
          <w:p w14:paraId="17AC873E" w14:textId="426B32BA" w:rsidR="008B4DF8" w:rsidRPr="00C1603D" w:rsidRDefault="00322FCF" w:rsidP="00322FCF">
            <w:pPr>
              <w:pStyle w:val="72TabletextTablesTableFigureBoxstyles"/>
              <w:rPr>
                <w:color w:val="auto"/>
              </w:rPr>
            </w:pPr>
            <w:r w:rsidRPr="00C1603D">
              <w:rPr>
                <w:rFonts w:eastAsia="Arial"/>
                <w:color w:val="auto"/>
              </w:rPr>
              <w:t>tTG</w:t>
            </w:r>
            <w:r w:rsidR="008B4DF8" w:rsidRPr="00C1603D">
              <w:rPr>
                <w:rFonts w:eastAsia="Arial"/>
                <w:color w:val="auto"/>
              </w:rPr>
              <w:t xml:space="preserve"> positive</w:t>
            </w:r>
          </w:p>
        </w:tc>
        <w:tc>
          <w:tcPr>
            <w:tcW w:w="0" w:type="auto"/>
            <w:shd w:val="clear" w:color="auto" w:fill="FFFFFF"/>
            <w:tcMar>
              <w:top w:w="0" w:type="dxa"/>
              <w:left w:w="0" w:type="dxa"/>
              <w:bottom w:w="0" w:type="dxa"/>
              <w:right w:w="0" w:type="dxa"/>
            </w:tcMar>
          </w:tcPr>
          <w:p w14:paraId="50CD0926" w14:textId="77777777" w:rsidR="008B4DF8" w:rsidRPr="00C1603D" w:rsidRDefault="008B4DF8" w:rsidP="00322FCF">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4E4D669" w14:textId="6EA9136A" w:rsidR="008B4DF8" w:rsidRPr="00C1603D" w:rsidRDefault="008B4DF8" w:rsidP="00322FCF">
            <w:pPr>
              <w:pStyle w:val="72TabletextTablesTableFigureBoxstyles"/>
            </w:pPr>
            <w:r w:rsidRPr="00C1603D">
              <w:rPr>
                <w:rFonts w:eastAsia="Arial"/>
              </w:rPr>
              <w:t>US</w:t>
            </w:r>
            <w:r w:rsidR="00322FCF" w:rsidRPr="00C1603D">
              <w:rPr>
                <w:rFonts w:eastAsia="Arial"/>
              </w:rPr>
              <w:t>A</w:t>
            </w:r>
          </w:p>
        </w:tc>
        <w:tc>
          <w:tcPr>
            <w:tcW w:w="0" w:type="auto"/>
            <w:shd w:val="clear" w:color="auto" w:fill="FFFFFF"/>
            <w:tcMar>
              <w:top w:w="0" w:type="dxa"/>
              <w:left w:w="0" w:type="dxa"/>
              <w:bottom w:w="0" w:type="dxa"/>
              <w:right w:w="0" w:type="dxa"/>
            </w:tcMar>
          </w:tcPr>
          <w:p w14:paraId="3A0271A8" w14:textId="648D0A37" w:rsidR="008B4DF8" w:rsidRPr="00C1603D" w:rsidRDefault="00322FCF" w:rsidP="00322FCF">
            <w:pPr>
              <w:pStyle w:val="72TabletextTablesTableFigureBoxstyles"/>
            </w:pPr>
            <w:r w:rsidRPr="00C1603D">
              <w:rPr>
                <w:rFonts w:eastAsia="Arial"/>
                <w:noProof/>
              </w:rPr>
              <w:t xml:space="preserve">Locke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312</w:t>
            </w:r>
          </w:p>
        </w:tc>
      </w:tr>
      <w:tr w:rsidR="00322FCF" w:rsidRPr="00C1603D" w14:paraId="5942AD80" w14:textId="77777777" w:rsidTr="00322FCF">
        <w:trPr>
          <w:cantSplit/>
        </w:trPr>
        <w:tc>
          <w:tcPr>
            <w:tcW w:w="0" w:type="auto"/>
            <w:shd w:val="clear" w:color="auto" w:fill="FFFFFF"/>
            <w:tcMar>
              <w:top w:w="0" w:type="dxa"/>
              <w:left w:w="0" w:type="dxa"/>
              <w:bottom w:w="0" w:type="dxa"/>
              <w:right w:w="0" w:type="dxa"/>
            </w:tcMar>
          </w:tcPr>
          <w:p w14:paraId="43995670" w14:textId="77777777" w:rsidR="008B4DF8" w:rsidRPr="00C1603D" w:rsidRDefault="008B4DF8" w:rsidP="00322FCF">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6C95CFD1" w14:textId="645EF29C" w:rsidR="008B4DF8" w:rsidRPr="00C1603D" w:rsidRDefault="00B25FE9" w:rsidP="00322FCF">
            <w:pPr>
              <w:pStyle w:val="72TabletextTablesTableFigureBoxstyles"/>
              <w:rPr>
                <w:color w:val="auto"/>
              </w:rPr>
            </w:pPr>
            <w:r w:rsidRPr="00C1603D">
              <w:rPr>
                <w:rFonts w:eastAsia="Arial"/>
                <w:color w:val="auto"/>
              </w:rPr>
              <w:t>Case–control</w:t>
            </w:r>
            <w:r w:rsidR="008B4DF8" w:rsidRPr="00C1603D">
              <w:rPr>
                <w:rFonts w:eastAsia="Arial"/>
                <w:color w:val="auto"/>
              </w:rPr>
              <w:t xml:space="preserve"> (DI)</w:t>
            </w:r>
          </w:p>
        </w:tc>
        <w:tc>
          <w:tcPr>
            <w:tcW w:w="0" w:type="auto"/>
            <w:shd w:val="clear" w:color="auto" w:fill="FFFFFF"/>
            <w:tcMar>
              <w:top w:w="0" w:type="dxa"/>
              <w:left w:w="0" w:type="dxa"/>
              <w:bottom w:w="0" w:type="dxa"/>
              <w:right w:w="0" w:type="dxa"/>
            </w:tcMar>
          </w:tcPr>
          <w:p w14:paraId="4A52698E" w14:textId="77777777" w:rsidR="008B4DF8" w:rsidRPr="00C1603D" w:rsidRDefault="008B4DF8" w:rsidP="00322FCF">
            <w:pPr>
              <w:pStyle w:val="72TabletextTablesTableFigureBoxstyles"/>
              <w:rPr>
                <w:color w:val="auto"/>
              </w:rPr>
            </w:pPr>
            <w:r w:rsidRPr="00C1603D">
              <w:rPr>
                <w:rFonts w:eastAsia="Arial"/>
                <w:color w:val="auto"/>
              </w:rPr>
              <w:t>Functional dyspepsia</w:t>
            </w:r>
          </w:p>
        </w:tc>
        <w:tc>
          <w:tcPr>
            <w:tcW w:w="0" w:type="auto"/>
            <w:shd w:val="clear" w:color="auto" w:fill="FFFFFF"/>
            <w:tcMar>
              <w:top w:w="0" w:type="dxa"/>
              <w:left w:w="0" w:type="dxa"/>
              <w:bottom w:w="0" w:type="dxa"/>
              <w:right w:w="0" w:type="dxa"/>
            </w:tcMar>
          </w:tcPr>
          <w:p w14:paraId="56A84453" w14:textId="77777777" w:rsidR="008B4DF8" w:rsidRPr="00C1603D" w:rsidRDefault="008B4DF8" w:rsidP="00322FCF">
            <w:pPr>
              <w:pStyle w:val="72TabletextTablesTableFigureBoxstyles"/>
              <w:rPr>
                <w:color w:val="auto"/>
              </w:rPr>
            </w:pPr>
            <w:r w:rsidRPr="00C1603D">
              <w:rPr>
                <w:rFonts w:eastAsia="Arial"/>
                <w:color w:val="auto"/>
              </w:rPr>
              <w:t>257</w:t>
            </w:r>
          </w:p>
        </w:tc>
        <w:tc>
          <w:tcPr>
            <w:tcW w:w="0" w:type="auto"/>
            <w:shd w:val="clear" w:color="auto" w:fill="FFFFFF"/>
            <w:tcMar>
              <w:top w:w="0" w:type="dxa"/>
              <w:left w:w="0" w:type="dxa"/>
              <w:bottom w:w="0" w:type="dxa"/>
              <w:right w:w="0" w:type="dxa"/>
            </w:tcMar>
          </w:tcPr>
          <w:p w14:paraId="105218E5" w14:textId="2C16CB2E" w:rsidR="008B4DF8" w:rsidRPr="00C1603D" w:rsidRDefault="008B4DF8" w:rsidP="00322FCF">
            <w:pPr>
              <w:pStyle w:val="72TabletextTablesTableFigureBoxstyles"/>
              <w:rPr>
                <w:color w:val="auto"/>
              </w:rPr>
            </w:pPr>
            <w:r w:rsidRPr="00C1603D">
              <w:rPr>
                <w:rFonts w:eastAsia="Arial"/>
                <w:color w:val="auto"/>
              </w:rPr>
              <w:t>26–50</w:t>
            </w:r>
          </w:p>
        </w:tc>
        <w:tc>
          <w:tcPr>
            <w:tcW w:w="0" w:type="auto"/>
            <w:shd w:val="clear" w:color="auto" w:fill="FFFFFF"/>
            <w:tcMar>
              <w:top w:w="0" w:type="dxa"/>
              <w:left w:w="0" w:type="dxa"/>
              <w:bottom w:w="0" w:type="dxa"/>
              <w:right w:w="0" w:type="dxa"/>
            </w:tcMar>
          </w:tcPr>
          <w:p w14:paraId="3891BC85" w14:textId="77777777" w:rsidR="008B4DF8" w:rsidRPr="00C1603D" w:rsidRDefault="008B4DF8" w:rsidP="00322FCF">
            <w:pPr>
              <w:pStyle w:val="72TabletextTablesTableFigureBoxstyles"/>
              <w:rPr>
                <w:color w:val="auto"/>
              </w:rPr>
            </w:pPr>
            <w:r w:rsidRPr="00C1603D">
              <w:rPr>
                <w:rFonts w:eastAsia="Arial"/>
                <w:color w:val="auto"/>
              </w:rPr>
              <w:t>Healthy controls</w:t>
            </w:r>
          </w:p>
        </w:tc>
        <w:tc>
          <w:tcPr>
            <w:tcW w:w="0" w:type="auto"/>
            <w:shd w:val="clear" w:color="auto" w:fill="FFFFFF"/>
            <w:tcMar>
              <w:top w:w="0" w:type="dxa"/>
              <w:left w:w="0" w:type="dxa"/>
              <w:bottom w:w="0" w:type="dxa"/>
              <w:right w:w="0" w:type="dxa"/>
            </w:tcMar>
          </w:tcPr>
          <w:p w14:paraId="49F9FE0D" w14:textId="0CD2122E" w:rsidR="008B4DF8" w:rsidRPr="00C1603D" w:rsidRDefault="008B4DF8" w:rsidP="00322FCF">
            <w:pPr>
              <w:pStyle w:val="72TabletextTablesTableFigureBoxstyles"/>
              <w:rPr>
                <w:color w:val="auto"/>
              </w:rPr>
            </w:pPr>
            <w:r w:rsidRPr="00C1603D">
              <w:rPr>
                <w:rFonts w:eastAsia="Arial"/>
                <w:color w:val="auto"/>
              </w:rPr>
              <w:t xml:space="preserve">Serology and only </w:t>
            </w:r>
            <w:r w:rsidR="00322FCF" w:rsidRPr="00C1603D">
              <w:rPr>
                <w:rFonts w:eastAsia="Arial"/>
                <w:color w:val="auto"/>
              </w:rPr>
              <w:t>positive</w:t>
            </w:r>
            <w:r w:rsidRPr="00C1603D">
              <w:rPr>
                <w:rFonts w:eastAsia="Arial"/>
                <w:color w:val="auto"/>
              </w:rPr>
              <w:t xml:space="preserve"> </w:t>
            </w:r>
            <w:r w:rsidR="00322FCF" w:rsidRPr="00C1603D">
              <w:rPr>
                <w:rFonts w:eastAsia="Arial"/>
                <w:color w:val="auto"/>
              </w:rPr>
              <w:t>patients</w:t>
            </w:r>
            <w:r w:rsidRPr="00C1603D">
              <w:rPr>
                <w:rFonts w:eastAsia="Arial"/>
                <w:color w:val="auto"/>
              </w:rPr>
              <w:t xml:space="preserve"> biopsied</w:t>
            </w:r>
          </w:p>
        </w:tc>
        <w:tc>
          <w:tcPr>
            <w:tcW w:w="0" w:type="auto"/>
            <w:shd w:val="clear" w:color="auto" w:fill="FFFFFF"/>
            <w:tcMar>
              <w:top w:w="0" w:type="dxa"/>
              <w:left w:w="0" w:type="dxa"/>
              <w:bottom w:w="0" w:type="dxa"/>
              <w:right w:w="0" w:type="dxa"/>
            </w:tcMar>
          </w:tcPr>
          <w:p w14:paraId="16941A5B" w14:textId="77777777" w:rsidR="008B4DF8" w:rsidRPr="00C1603D" w:rsidRDefault="008B4DF8"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AC3E289" w14:textId="77777777" w:rsidR="008B4DF8" w:rsidRPr="00C1603D" w:rsidRDefault="008B4DF8" w:rsidP="00322FCF">
            <w:pPr>
              <w:pStyle w:val="72TabletextTablesTableFigureBoxstyles"/>
            </w:pPr>
            <w:r w:rsidRPr="00C1603D">
              <w:rPr>
                <w:rFonts w:eastAsia="Arial"/>
              </w:rPr>
              <w:t>Spain</w:t>
            </w:r>
          </w:p>
        </w:tc>
        <w:tc>
          <w:tcPr>
            <w:tcW w:w="0" w:type="auto"/>
            <w:shd w:val="clear" w:color="auto" w:fill="FFFFFF"/>
            <w:tcMar>
              <w:top w:w="0" w:type="dxa"/>
              <w:left w:w="0" w:type="dxa"/>
              <w:bottom w:w="0" w:type="dxa"/>
              <w:right w:w="0" w:type="dxa"/>
            </w:tcMar>
          </w:tcPr>
          <w:p w14:paraId="57D67490" w14:textId="24CC0873" w:rsidR="008B4DF8" w:rsidRPr="00C1603D" w:rsidRDefault="00322FCF" w:rsidP="00322FCF">
            <w:pPr>
              <w:pStyle w:val="72TabletextTablesTableFigureBoxstyles"/>
            </w:pPr>
            <w:r w:rsidRPr="00C1603D">
              <w:rPr>
                <w:rFonts w:eastAsia="Arial"/>
                <w:noProof/>
              </w:rPr>
              <w:t xml:space="preserve">Vivas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313</w:t>
            </w:r>
          </w:p>
        </w:tc>
      </w:tr>
      <w:tr w:rsidR="00322FCF" w:rsidRPr="00C1603D" w14:paraId="1DB68FA7" w14:textId="77777777" w:rsidTr="008025BE">
        <w:trPr>
          <w:cantSplit/>
        </w:trPr>
        <w:tc>
          <w:tcPr>
            <w:tcW w:w="0" w:type="auto"/>
            <w:gridSpan w:val="10"/>
            <w:shd w:val="clear" w:color="auto" w:fill="FFFFFF"/>
            <w:tcMar>
              <w:top w:w="0" w:type="dxa"/>
              <w:left w:w="0" w:type="dxa"/>
              <w:bottom w:w="0" w:type="dxa"/>
              <w:right w:w="0" w:type="dxa"/>
            </w:tcMar>
          </w:tcPr>
          <w:p w14:paraId="44C391A0" w14:textId="0B12D747" w:rsidR="00322FCF" w:rsidRPr="00C1603D" w:rsidRDefault="00322FCF" w:rsidP="00322FCF">
            <w:pPr>
              <w:pStyle w:val="75TablenotesTablesTableFigureBoxstyles"/>
              <w:rPr>
                <w:rFonts w:eastAsia="Arial"/>
                <w:noProof/>
              </w:rPr>
            </w:pPr>
            <w:r w:rsidRPr="00C1603D">
              <w:rPr>
                <w:rFonts w:eastAsia="Arial"/>
                <w:noProof/>
              </w:rPr>
              <w:t>DI, diagnostic indicator; NR, not reported.</w:t>
            </w:r>
          </w:p>
        </w:tc>
      </w:tr>
    </w:tbl>
    <w:p w14:paraId="6E06E4A2" w14:textId="3C113B3E" w:rsidR="008B4DF8" w:rsidRPr="00C1603D" w:rsidRDefault="008B4DF8" w:rsidP="008B4DF8">
      <w:pPr>
        <w:pStyle w:val="70TablelegendTablesTableFigureBoxstyles"/>
      </w:pPr>
      <w:bookmarkStart w:id="582" w:name="_Toc99720738"/>
      <w:r w:rsidRPr="00C1603D">
        <w:rPr>
          <w:b/>
        </w:rPr>
        <w:t>TABLE 2</w:t>
      </w:r>
      <w:r w:rsidR="00032460" w:rsidRPr="00C1603D">
        <w:rPr>
          <w:b/>
        </w:rPr>
        <w:t>8</w:t>
      </w:r>
      <w:r w:rsidRPr="00C1603D">
        <w:rPr>
          <w:b/>
        </w:rPr>
        <w:t> </w:t>
      </w:r>
      <w:r w:rsidRPr="00C1603D">
        <w:t xml:space="preserve">Study characteristic: </w:t>
      </w:r>
      <w:r w:rsidR="00322FCF" w:rsidRPr="00C1603D">
        <w:t>a</w:t>
      </w:r>
      <w:r w:rsidRPr="00C1603D">
        <w:t>naemia</w:t>
      </w:r>
      <w:bookmarkEnd w:id="582"/>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62"/>
        <w:gridCol w:w="600"/>
        <w:gridCol w:w="1052"/>
        <w:gridCol w:w="585"/>
        <w:gridCol w:w="595"/>
        <w:gridCol w:w="1047"/>
        <w:gridCol w:w="893"/>
        <w:gridCol w:w="1697"/>
        <w:gridCol w:w="770"/>
        <w:gridCol w:w="925"/>
      </w:tblGrid>
      <w:tr w:rsidR="00341322" w:rsidRPr="00C1603D" w14:paraId="180BB414" w14:textId="77777777" w:rsidTr="00322FCF">
        <w:trPr>
          <w:cantSplit/>
        </w:trPr>
        <w:tc>
          <w:tcPr>
            <w:tcW w:w="0" w:type="auto"/>
            <w:shd w:val="clear" w:color="auto" w:fill="FFFFFF"/>
            <w:tcMar>
              <w:top w:w="0" w:type="dxa"/>
              <w:left w:w="0" w:type="dxa"/>
              <w:bottom w:w="0" w:type="dxa"/>
              <w:right w:w="0" w:type="dxa"/>
            </w:tcMar>
          </w:tcPr>
          <w:p w14:paraId="197E1297" w14:textId="5C5ED375" w:rsidR="008B4DF8" w:rsidRPr="00C1603D" w:rsidRDefault="00322FCF" w:rsidP="00322FCF">
            <w:pPr>
              <w:pStyle w:val="710TableheadTablesTableFigureBoxstyles"/>
            </w:pPr>
            <w:r w:rsidRPr="00C1603D">
              <w:rPr>
                <w:rFonts w:eastAsia="Arial"/>
              </w:rPr>
              <w:t>Population</w:t>
            </w:r>
            <w:r w:rsidR="008B4DF8" w:rsidRPr="00C1603D">
              <w:rPr>
                <w:rFonts w:eastAsia="Arial"/>
              </w:rPr>
              <w:t xml:space="preserve"> group</w:t>
            </w:r>
          </w:p>
        </w:tc>
        <w:tc>
          <w:tcPr>
            <w:tcW w:w="0" w:type="auto"/>
            <w:shd w:val="clear" w:color="auto" w:fill="FFFFFF"/>
            <w:tcMar>
              <w:top w:w="0" w:type="dxa"/>
              <w:left w:w="0" w:type="dxa"/>
              <w:bottom w:w="0" w:type="dxa"/>
              <w:right w:w="0" w:type="dxa"/>
            </w:tcMar>
          </w:tcPr>
          <w:p w14:paraId="149BE886" w14:textId="103369AA" w:rsidR="008B4DF8" w:rsidRPr="00C1603D" w:rsidRDefault="008B4DF8" w:rsidP="00322FCF">
            <w:pPr>
              <w:pStyle w:val="710TableheadTablesTableFigureBoxstyles"/>
            </w:pPr>
            <w:r w:rsidRPr="00C1603D">
              <w:rPr>
                <w:rFonts w:eastAsia="Arial"/>
              </w:rPr>
              <w:t xml:space="preserve">Study </w:t>
            </w:r>
            <w:r w:rsidR="00341322" w:rsidRPr="00C1603D">
              <w:rPr>
                <w:rFonts w:eastAsia="Arial"/>
              </w:rPr>
              <w:t>d</w:t>
            </w:r>
            <w:r w:rsidRPr="00C1603D">
              <w:rPr>
                <w:rFonts w:eastAsia="Arial"/>
              </w:rPr>
              <w:t>esign</w:t>
            </w:r>
          </w:p>
        </w:tc>
        <w:tc>
          <w:tcPr>
            <w:tcW w:w="0" w:type="auto"/>
            <w:shd w:val="clear" w:color="auto" w:fill="FFFFFF"/>
            <w:tcMar>
              <w:top w:w="0" w:type="dxa"/>
              <w:left w:w="0" w:type="dxa"/>
              <w:bottom w:w="0" w:type="dxa"/>
              <w:right w:w="0" w:type="dxa"/>
            </w:tcMar>
          </w:tcPr>
          <w:p w14:paraId="3C3422F7" w14:textId="77777777" w:rsidR="008B4DF8" w:rsidRPr="00C1603D" w:rsidRDefault="008B4DF8" w:rsidP="00322FCF">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72E1FBE" w14:textId="4FA26692" w:rsidR="008B4DF8" w:rsidRPr="00C1603D" w:rsidRDefault="008B4DF8" w:rsidP="00322FCF">
            <w:pPr>
              <w:pStyle w:val="710TableheadTablesTableFigureBoxstyles"/>
            </w:pPr>
            <w:r w:rsidRPr="00C1603D">
              <w:rPr>
                <w:rFonts w:eastAsia="Arial"/>
              </w:rPr>
              <w:t>Sample size</w:t>
            </w:r>
            <w:r w:rsidR="00341322" w:rsidRPr="00C1603D">
              <w:rPr>
                <w:rFonts w:eastAsia="Arial"/>
              </w:rPr>
              <w:t xml:space="preserve"> (</w:t>
            </w:r>
            <w:r w:rsidR="00341322" w:rsidRPr="00C1603D">
              <w:rPr>
                <w:rFonts w:eastAsia="Arial"/>
                <w:i/>
                <w:iCs/>
              </w:rPr>
              <w:t>n</w:t>
            </w:r>
            <w:r w:rsidR="00341322" w:rsidRPr="00C1603D">
              <w:rPr>
                <w:rFonts w:eastAsia="Arial"/>
              </w:rPr>
              <w:t>)</w:t>
            </w:r>
          </w:p>
        </w:tc>
        <w:tc>
          <w:tcPr>
            <w:tcW w:w="0" w:type="auto"/>
            <w:shd w:val="clear" w:color="auto" w:fill="FFFFFF"/>
            <w:tcMar>
              <w:top w:w="0" w:type="dxa"/>
              <w:left w:w="0" w:type="dxa"/>
              <w:bottom w:w="0" w:type="dxa"/>
              <w:right w:w="0" w:type="dxa"/>
            </w:tcMar>
          </w:tcPr>
          <w:p w14:paraId="7F8496D5" w14:textId="77777777" w:rsidR="008B4DF8" w:rsidRPr="00C1603D" w:rsidRDefault="008B4DF8" w:rsidP="00322FCF">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1C9B6F47" w14:textId="77777777" w:rsidR="008B4DF8" w:rsidRPr="00C1603D" w:rsidRDefault="008B4DF8" w:rsidP="00322FCF">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1208C10D" w14:textId="77777777" w:rsidR="008B4DF8" w:rsidRPr="00C1603D" w:rsidRDefault="008B4DF8" w:rsidP="00322FCF">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74E2C36C" w14:textId="77777777" w:rsidR="008B4DF8" w:rsidRPr="00C1603D" w:rsidRDefault="008B4DF8" w:rsidP="00322FCF">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3A6FECD0" w14:textId="77777777" w:rsidR="008B4DF8" w:rsidRPr="00C1603D" w:rsidRDefault="008B4DF8" w:rsidP="00322FCF">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2DCB4A9" w14:textId="77777777" w:rsidR="008B4DF8" w:rsidRPr="00C1603D" w:rsidRDefault="008B4DF8" w:rsidP="00322FCF">
            <w:pPr>
              <w:pStyle w:val="710TableheadTablesTableFigureBoxstyles"/>
            </w:pPr>
            <w:r w:rsidRPr="00C1603D">
              <w:rPr>
                <w:rFonts w:eastAsia="Arial"/>
              </w:rPr>
              <w:t>Reference</w:t>
            </w:r>
          </w:p>
        </w:tc>
      </w:tr>
      <w:tr w:rsidR="00341322" w:rsidRPr="00C1603D" w14:paraId="2E0779B4" w14:textId="77777777" w:rsidTr="00322FCF">
        <w:trPr>
          <w:cantSplit/>
        </w:trPr>
        <w:tc>
          <w:tcPr>
            <w:tcW w:w="0" w:type="auto"/>
            <w:shd w:val="clear" w:color="auto" w:fill="FFFFFF"/>
            <w:tcMar>
              <w:top w:w="0" w:type="dxa"/>
              <w:left w:w="0" w:type="dxa"/>
              <w:bottom w:w="0" w:type="dxa"/>
              <w:right w:w="0" w:type="dxa"/>
            </w:tcMar>
          </w:tcPr>
          <w:p w14:paraId="14082056"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6CD3825" w14:textId="5200CEE0"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9EFA00F" w14:textId="77777777" w:rsidR="008B4DF8" w:rsidRPr="00C1603D" w:rsidRDefault="008B4DF8" w:rsidP="00322FCF">
            <w:pPr>
              <w:pStyle w:val="72TabletextTablesTableFigureBoxstyles"/>
            </w:pPr>
            <w:r w:rsidRPr="00C1603D">
              <w:rPr>
                <w:rFonts w:eastAsia="Arial"/>
              </w:rPr>
              <w:t>Low haemoglobin levels</w:t>
            </w:r>
          </w:p>
        </w:tc>
        <w:tc>
          <w:tcPr>
            <w:tcW w:w="0" w:type="auto"/>
            <w:shd w:val="clear" w:color="auto" w:fill="FFFFFF"/>
            <w:tcMar>
              <w:top w:w="0" w:type="dxa"/>
              <w:left w:w="0" w:type="dxa"/>
              <w:bottom w:w="0" w:type="dxa"/>
              <w:right w:w="0" w:type="dxa"/>
            </w:tcMar>
          </w:tcPr>
          <w:p w14:paraId="58DC3744" w14:textId="77777777" w:rsidR="008B4DF8" w:rsidRPr="00C1603D" w:rsidRDefault="008B4DF8" w:rsidP="00322FCF">
            <w:pPr>
              <w:pStyle w:val="72TabletextTablesTableFigureBoxstyles"/>
            </w:pPr>
            <w:r w:rsidRPr="00C1603D">
              <w:rPr>
                <w:rFonts w:eastAsia="Arial"/>
              </w:rPr>
              <w:t>174</w:t>
            </w:r>
          </w:p>
        </w:tc>
        <w:tc>
          <w:tcPr>
            <w:tcW w:w="0" w:type="auto"/>
            <w:shd w:val="clear" w:color="auto" w:fill="FFFFFF"/>
            <w:tcMar>
              <w:top w:w="0" w:type="dxa"/>
              <w:left w:w="0" w:type="dxa"/>
              <w:bottom w:w="0" w:type="dxa"/>
              <w:right w:w="0" w:type="dxa"/>
            </w:tcMar>
          </w:tcPr>
          <w:p w14:paraId="1341010D" w14:textId="77777777" w:rsidR="008B4DF8" w:rsidRPr="00C1603D" w:rsidRDefault="008B4DF8" w:rsidP="00322FCF">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3FD1FEEE" w14:textId="77777777" w:rsidR="008B4DF8" w:rsidRPr="00C1603D" w:rsidRDefault="008B4DF8" w:rsidP="00322FCF">
            <w:pPr>
              <w:pStyle w:val="72TabletextTablesTableFigureBoxstyles"/>
            </w:pPr>
            <w:r w:rsidRPr="00C1603D">
              <w:rPr>
                <w:rFonts w:eastAsia="Arial"/>
              </w:rPr>
              <w:t>People with normal haemoglobin levels</w:t>
            </w:r>
          </w:p>
        </w:tc>
        <w:tc>
          <w:tcPr>
            <w:tcW w:w="0" w:type="auto"/>
            <w:shd w:val="clear" w:color="auto" w:fill="FFFFFF"/>
            <w:tcMar>
              <w:top w:w="0" w:type="dxa"/>
              <w:left w:w="0" w:type="dxa"/>
              <w:bottom w:w="0" w:type="dxa"/>
              <w:right w:w="0" w:type="dxa"/>
            </w:tcMar>
          </w:tcPr>
          <w:p w14:paraId="762DB491" w14:textId="77777777" w:rsidR="008B4DF8" w:rsidRPr="00C1603D" w:rsidRDefault="008B4DF8" w:rsidP="00322FCF">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2752326" w14:textId="77777777" w:rsidR="008B4DF8" w:rsidRPr="00C1603D" w:rsidRDefault="008B4DF8" w:rsidP="00322FCF">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72D24809" w14:textId="4FA3E627" w:rsidR="008B4DF8" w:rsidRPr="00C1603D" w:rsidRDefault="008B4DF8" w:rsidP="00322FCF">
            <w:pPr>
              <w:pStyle w:val="72TabletextTablesTableFigureBoxstyles"/>
            </w:pPr>
            <w:r w:rsidRPr="00C1603D">
              <w:t>US</w:t>
            </w:r>
            <w:r w:rsidR="00341322" w:rsidRPr="00C1603D">
              <w:t>A</w:t>
            </w:r>
          </w:p>
        </w:tc>
        <w:tc>
          <w:tcPr>
            <w:tcW w:w="0" w:type="auto"/>
            <w:shd w:val="clear" w:color="auto" w:fill="FFFFFF"/>
            <w:tcMar>
              <w:top w:w="0" w:type="dxa"/>
              <w:left w:w="0" w:type="dxa"/>
              <w:bottom w:w="0" w:type="dxa"/>
              <w:right w:w="0" w:type="dxa"/>
            </w:tcMar>
          </w:tcPr>
          <w:p w14:paraId="08227C4E" w14:textId="1D30EDB7" w:rsidR="008B4DF8" w:rsidRPr="00C1603D" w:rsidRDefault="00341322" w:rsidP="00322FCF">
            <w:pPr>
              <w:pStyle w:val="72TabletextTablesTableFigureBoxstyles"/>
            </w:pPr>
            <w:r w:rsidRPr="00C1603D">
              <w:rPr>
                <w:rFonts w:eastAsia="Arial"/>
                <w:noProof/>
              </w:rPr>
              <w:t xml:space="preserve">Alexander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314</w:t>
            </w:r>
          </w:p>
        </w:tc>
      </w:tr>
      <w:tr w:rsidR="00341322" w:rsidRPr="00C1603D" w14:paraId="19429F63" w14:textId="77777777" w:rsidTr="00322FCF">
        <w:trPr>
          <w:cantSplit/>
        </w:trPr>
        <w:tc>
          <w:tcPr>
            <w:tcW w:w="0" w:type="auto"/>
            <w:shd w:val="clear" w:color="auto" w:fill="FFFFFF"/>
            <w:tcMar>
              <w:top w:w="0" w:type="dxa"/>
              <w:left w:w="0" w:type="dxa"/>
              <w:bottom w:w="0" w:type="dxa"/>
              <w:right w:w="0" w:type="dxa"/>
            </w:tcMar>
          </w:tcPr>
          <w:p w14:paraId="6FD4BF29"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FB680C1" w14:textId="0C6BE292"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7764581" w14:textId="4DFC1989" w:rsidR="008B4DF8" w:rsidRPr="00C1603D" w:rsidRDefault="00BB69D4" w:rsidP="00322FCF">
            <w:pPr>
              <w:pStyle w:val="72TabletextTablesTableFigureBoxstyles"/>
            </w:pPr>
            <w:r w:rsidRPr="00C1603D">
              <w:rPr>
                <w:rFonts w:eastAsia="Arial"/>
              </w:rPr>
              <w:t>IDA</w:t>
            </w:r>
            <w:r w:rsidR="008B4DF8" w:rsidRPr="00C1603D">
              <w:rPr>
                <w:rFonts w:eastAsia="Arial"/>
              </w:rPr>
              <w:t xml:space="preserve"> of obscure origin</w:t>
            </w:r>
          </w:p>
        </w:tc>
        <w:tc>
          <w:tcPr>
            <w:tcW w:w="0" w:type="auto"/>
            <w:shd w:val="clear" w:color="auto" w:fill="FFFFFF"/>
            <w:tcMar>
              <w:top w:w="0" w:type="dxa"/>
              <w:left w:w="0" w:type="dxa"/>
              <w:bottom w:w="0" w:type="dxa"/>
              <w:right w:w="0" w:type="dxa"/>
            </w:tcMar>
          </w:tcPr>
          <w:p w14:paraId="7F553416" w14:textId="77777777" w:rsidR="008B4DF8" w:rsidRPr="00C1603D" w:rsidRDefault="008B4DF8" w:rsidP="00322FCF">
            <w:pPr>
              <w:pStyle w:val="72TabletextTablesTableFigureBoxstyles"/>
            </w:pPr>
            <w:r w:rsidRPr="00C1603D">
              <w:rPr>
                <w:rFonts w:eastAsia="Arial"/>
              </w:rPr>
              <w:t>321</w:t>
            </w:r>
          </w:p>
        </w:tc>
        <w:tc>
          <w:tcPr>
            <w:tcW w:w="0" w:type="auto"/>
            <w:shd w:val="clear" w:color="auto" w:fill="FFFFFF"/>
            <w:tcMar>
              <w:top w:w="0" w:type="dxa"/>
              <w:left w:w="0" w:type="dxa"/>
              <w:bottom w:w="0" w:type="dxa"/>
              <w:right w:w="0" w:type="dxa"/>
            </w:tcMar>
          </w:tcPr>
          <w:p w14:paraId="02BC221D" w14:textId="77777777" w:rsidR="008B4DF8" w:rsidRPr="00C1603D" w:rsidRDefault="008B4DF8" w:rsidP="00322FCF">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0675583A" w14:textId="77777777" w:rsidR="008B4DF8" w:rsidRPr="00C1603D" w:rsidRDefault="008B4DF8" w:rsidP="00322FCF">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EC66A8F" w14:textId="7035DA85" w:rsidR="008B4DF8" w:rsidRPr="00C1603D" w:rsidRDefault="008B4DF8" w:rsidP="00322FCF">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7CF2D756" w14:textId="77777777" w:rsidR="008B4DF8" w:rsidRPr="00C1603D" w:rsidRDefault="008B4DF8"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B3C08A3" w14:textId="77777777" w:rsidR="008B4DF8" w:rsidRPr="00C1603D" w:rsidRDefault="008B4DF8" w:rsidP="00322FCF">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19241B93" w14:textId="728C2EA8" w:rsidR="008B4DF8" w:rsidRPr="00C1603D" w:rsidRDefault="00341322" w:rsidP="00322FCF">
            <w:pPr>
              <w:pStyle w:val="72TabletextTablesTableFigureBoxstyles"/>
            </w:pPr>
            <w:r w:rsidRPr="00C1603D">
              <w:rPr>
                <w:rFonts w:eastAsia="Arial"/>
                <w:noProof/>
              </w:rPr>
              <w:t xml:space="preserve">Javid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315</w:t>
            </w:r>
          </w:p>
        </w:tc>
      </w:tr>
      <w:tr w:rsidR="00341322" w:rsidRPr="00C1603D" w14:paraId="0E912DCD" w14:textId="77777777" w:rsidTr="00322FCF">
        <w:trPr>
          <w:cantSplit/>
        </w:trPr>
        <w:tc>
          <w:tcPr>
            <w:tcW w:w="0" w:type="auto"/>
            <w:shd w:val="clear" w:color="auto" w:fill="FFFFFF"/>
            <w:tcMar>
              <w:top w:w="0" w:type="dxa"/>
              <w:left w:w="0" w:type="dxa"/>
              <w:bottom w:w="0" w:type="dxa"/>
              <w:right w:w="0" w:type="dxa"/>
            </w:tcMar>
          </w:tcPr>
          <w:p w14:paraId="2BE9494C"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FADA228" w14:textId="1AF7E97E"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3329F31" w14:textId="6E6A89AC" w:rsidR="008B4DF8" w:rsidRPr="00C1603D" w:rsidRDefault="00BB69D4" w:rsidP="00322FCF">
            <w:pPr>
              <w:pStyle w:val="72TabletextTablesTableFigureBoxstyles"/>
            </w:pPr>
            <w:r w:rsidRPr="00C1603D">
              <w:rPr>
                <w:rFonts w:eastAsia="Arial"/>
              </w:rPr>
              <w:t>IDA</w:t>
            </w:r>
            <w:r w:rsidR="008B4DF8" w:rsidRPr="00C1603D">
              <w:rPr>
                <w:rFonts w:eastAsia="Arial"/>
              </w:rPr>
              <w:t xml:space="preserve"> of obscure origin</w:t>
            </w:r>
          </w:p>
        </w:tc>
        <w:tc>
          <w:tcPr>
            <w:tcW w:w="0" w:type="auto"/>
            <w:shd w:val="clear" w:color="auto" w:fill="FFFFFF"/>
            <w:tcMar>
              <w:top w:w="0" w:type="dxa"/>
              <w:left w:w="0" w:type="dxa"/>
              <w:bottom w:w="0" w:type="dxa"/>
              <w:right w:w="0" w:type="dxa"/>
            </w:tcMar>
          </w:tcPr>
          <w:p w14:paraId="3811D94B" w14:textId="77777777" w:rsidR="008B4DF8" w:rsidRPr="00C1603D" w:rsidRDefault="008B4DF8" w:rsidP="00322FCF">
            <w:pPr>
              <w:pStyle w:val="72TabletextTablesTableFigureBoxstyles"/>
            </w:pPr>
            <w:r w:rsidRPr="00C1603D">
              <w:rPr>
                <w:rFonts w:eastAsia="Arial"/>
              </w:rPr>
              <w:t>196</w:t>
            </w:r>
          </w:p>
        </w:tc>
        <w:tc>
          <w:tcPr>
            <w:tcW w:w="0" w:type="auto"/>
            <w:shd w:val="clear" w:color="auto" w:fill="FFFFFF"/>
            <w:tcMar>
              <w:top w:w="0" w:type="dxa"/>
              <w:left w:w="0" w:type="dxa"/>
              <w:bottom w:w="0" w:type="dxa"/>
              <w:right w:w="0" w:type="dxa"/>
            </w:tcMar>
          </w:tcPr>
          <w:p w14:paraId="1FC9D875" w14:textId="663DF359"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D81BB8D" w14:textId="77777777" w:rsidR="008B4DF8" w:rsidRPr="00C1603D" w:rsidRDefault="008B4DF8" w:rsidP="00322FCF">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504C8CC" w14:textId="5ABF6A68" w:rsidR="008B4DF8" w:rsidRPr="00C1603D" w:rsidRDefault="008B4DF8" w:rsidP="00322FCF">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7397F2E7" w14:textId="77777777" w:rsidR="008B4DF8" w:rsidRPr="00C1603D" w:rsidRDefault="008B4DF8"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74E7BFC" w14:textId="77777777" w:rsidR="008B4DF8" w:rsidRPr="00C1603D" w:rsidRDefault="008B4DF8" w:rsidP="00322FCF">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08F733F7" w14:textId="352D3F90" w:rsidR="008B4DF8" w:rsidRPr="00C1603D" w:rsidRDefault="00341322" w:rsidP="00322FCF">
            <w:pPr>
              <w:pStyle w:val="72TabletextTablesTableFigureBoxstyles"/>
            </w:pPr>
            <w:r w:rsidRPr="00C1603D">
              <w:t xml:space="preserve">Uçardağ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316</w:t>
            </w:r>
          </w:p>
        </w:tc>
      </w:tr>
      <w:tr w:rsidR="00341322" w:rsidRPr="00C1603D" w14:paraId="6C3BEB1F" w14:textId="77777777" w:rsidTr="00322FCF">
        <w:trPr>
          <w:cantSplit/>
        </w:trPr>
        <w:tc>
          <w:tcPr>
            <w:tcW w:w="0" w:type="auto"/>
            <w:shd w:val="clear" w:color="auto" w:fill="FFFFFF"/>
            <w:tcMar>
              <w:top w:w="0" w:type="dxa"/>
              <w:left w:w="0" w:type="dxa"/>
              <w:bottom w:w="0" w:type="dxa"/>
              <w:right w:w="0" w:type="dxa"/>
            </w:tcMar>
          </w:tcPr>
          <w:p w14:paraId="7296C53F" w14:textId="77777777" w:rsidR="008B4DF8" w:rsidRPr="00C1603D" w:rsidRDefault="008B4DF8"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D19EF6F" w14:textId="33101BA0"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7033E62" w14:textId="48AB1946" w:rsidR="008B4DF8" w:rsidRPr="00C1603D" w:rsidRDefault="00BB69D4" w:rsidP="00322FCF">
            <w:pPr>
              <w:pStyle w:val="72TabletextTablesTableFigureBoxstyles"/>
            </w:pPr>
            <w:r w:rsidRPr="00C1603D">
              <w:rPr>
                <w:rFonts w:eastAsia="Arial"/>
              </w:rPr>
              <w:t>IDA</w:t>
            </w:r>
          </w:p>
        </w:tc>
        <w:tc>
          <w:tcPr>
            <w:tcW w:w="0" w:type="auto"/>
            <w:shd w:val="clear" w:color="auto" w:fill="FFFFFF"/>
            <w:tcMar>
              <w:top w:w="0" w:type="dxa"/>
              <w:left w:w="0" w:type="dxa"/>
              <w:bottom w:w="0" w:type="dxa"/>
              <w:right w:w="0" w:type="dxa"/>
            </w:tcMar>
          </w:tcPr>
          <w:p w14:paraId="227CECE7" w14:textId="77777777" w:rsidR="008B4DF8" w:rsidRPr="00C1603D" w:rsidRDefault="008B4DF8" w:rsidP="00322FCF">
            <w:pPr>
              <w:pStyle w:val="72TabletextTablesTableFigureBoxstyles"/>
            </w:pPr>
            <w:r w:rsidRPr="00C1603D">
              <w:rPr>
                <w:rFonts w:eastAsia="Arial"/>
              </w:rPr>
              <w:t>268</w:t>
            </w:r>
          </w:p>
        </w:tc>
        <w:tc>
          <w:tcPr>
            <w:tcW w:w="0" w:type="auto"/>
            <w:shd w:val="clear" w:color="auto" w:fill="FFFFFF"/>
            <w:tcMar>
              <w:top w:w="0" w:type="dxa"/>
              <w:left w:w="0" w:type="dxa"/>
              <w:bottom w:w="0" w:type="dxa"/>
              <w:right w:w="0" w:type="dxa"/>
            </w:tcMar>
          </w:tcPr>
          <w:p w14:paraId="2D990F58" w14:textId="71AD8D7F"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3EE6A00" w14:textId="77777777" w:rsidR="008B4DF8" w:rsidRPr="00C1603D" w:rsidRDefault="008B4DF8" w:rsidP="00322FCF">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C656355" w14:textId="58E31FDE" w:rsidR="008B4DF8" w:rsidRPr="00C1603D" w:rsidRDefault="008B4DF8" w:rsidP="00322FCF">
            <w:pPr>
              <w:pStyle w:val="72TabletextTablesTableFigureBoxstyles"/>
            </w:pPr>
            <w:r w:rsidRPr="00C1603D">
              <w:rPr>
                <w:rFonts w:eastAsia="Arial"/>
              </w:rPr>
              <w:t xml:space="preserve">Serology and all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8A08BD8" w14:textId="77777777" w:rsidR="008B4DF8" w:rsidRPr="00C1603D" w:rsidRDefault="008B4DF8" w:rsidP="00322FCF">
            <w:pPr>
              <w:pStyle w:val="72TabletextTablesTableFigureBoxstyles"/>
            </w:pPr>
            <w:r w:rsidRPr="00C1603D">
              <w:rPr>
                <w:rFonts w:eastAsia="Arial"/>
              </w:rPr>
              <w:t>Secondary/community</w:t>
            </w:r>
          </w:p>
        </w:tc>
        <w:tc>
          <w:tcPr>
            <w:tcW w:w="0" w:type="auto"/>
            <w:shd w:val="clear" w:color="auto" w:fill="FFFFFF"/>
            <w:tcMar>
              <w:top w:w="0" w:type="dxa"/>
              <w:left w:w="0" w:type="dxa"/>
              <w:bottom w:w="0" w:type="dxa"/>
              <w:right w:w="0" w:type="dxa"/>
            </w:tcMar>
          </w:tcPr>
          <w:p w14:paraId="7221C0BF" w14:textId="77777777" w:rsidR="008B4DF8" w:rsidRPr="00C1603D" w:rsidRDefault="008B4DF8" w:rsidP="00322FCF">
            <w:pPr>
              <w:pStyle w:val="72TabletextTablesTableFigureBoxstyles"/>
            </w:pPr>
            <w:r w:rsidRPr="00C1603D">
              <w:rPr>
                <w:rFonts w:eastAsia="Arial"/>
              </w:rPr>
              <w:t>Argentina</w:t>
            </w:r>
          </w:p>
        </w:tc>
        <w:tc>
          <w:tcPr>
            <w:tcW w:w="0" w:type="auto"/>
            <w:shd w:val="clear" w:color="auto" w:fill="FFFFFF"/>
            <w:tcMar>
              <w:top w:w="0" w:type="dxa"/>
              <w:left w:w="0" w:type="dxa"/>
              <w:bottom w:w="0" w:type="dxa"/>
              <w:right w:w="0" w:type="dxa"/>
            </w:tcMar>
          </w:tcPr>
          <w:p w14:paraId="13EC5314" w14:textId="56A29A14" w:rsidR="008B4DF8" w:rsidRPr="00C1603D" w:rsidRDefault="00341322" w:rsidP="00322FCF">
            <w:pPr>
              <w:pStyle w:val="72TabletextTablesTableFigureBoxstyles"/>
            </w:pPr>
            <w:r w:rsidRPr="00C1603D">
              <w:rPr>
                <w:rFonts w:eastAsia="Arial"/>
                <w:noProof/>
              </w:rPr>
              <w:t xml:space="preserve">Lasa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317</w:t>
            </w:r>
          </w:p>
        </w:tc>
      </w:tr>
      <w:tr w:rsidR="00341322" w:rsidRPr="00C1603D" w14:paraId="68E670C6" w14:textId="77777777" w:rsidTr="00322FCF">
        <w:trPr>
          <w:cantSplit/>
        </w:trPr>
        <w:tc>
          <w:tcPr>
            <w:tcW w:w="0" w:type="auto"/>
            <w:shd w:val="clear" w:color="auto" w:fill="FFFFFF"/>
            <w:tcMar>
              <w:top w:w="0" w:type="dxa"/>
              <w:left w:w="0" w:type="dxa"/>
              <w:bottom w:w="0" w:type="dxa"/>
              <w:right w:w="0" w:type="dxa"/>
            </w:tcMar>
          </w:tcPr>
          <w:p w14:paraId="51B801B1" w14:textId="07DDB641" w:rsidR="008B4DF8" w:rsidRPr="00C1603D" w:rsidRDefault="00322FCF"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B25BFD7" w14:textId="0F6D2FEC"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23D5B19" w14:textId="71587873" w:rsidR="008B4DF8" w:rsidRPr="00C1603D" w:rsidRDefault="00BB69D4" w:rsidP="00322FCF">
            <w:pPr>
              <w:pStyle w:val="72TabletextTablesTableFigureBoxstyles"/>
            </w:pPr>
            <w:r w:rsidRPr="00C1603D">
              <w:rPr>
                <w:rFonts w:eastAsia="Arial"/>
              </w:rPr>
              <w:t>IDA</w:t>
            </w:r>
          </w:p>
        </w:tc>
        <w:tc>
          <w:tcPr>
            <w:tcW w:w="0" w:type="auto"/>
            <w:shd w:val="clear" w:color="auto" w:fill="FFFFFF"/>
            <w:tcMar>
              <w:top w:w="0" w:type="dxa"/>
              <w:left w:w="0" w:type="dxa"/>
              <w:bottom w:w="0" w:type="dxa"/>
              <w:right w:w="0" w:type="dxa"/>
            </w:tcMar>
          </w:tcPr>
          <w:p w14:paraId="56DC8634" w14:textId="77777777" w:rsidR="008B4DF8" w:rsidRPr="00C1603D" w:rsidRDefault="008B4DF8" w:rsidP="00322FCF">
            <w:pPr>
              <w:pStyle w:val="72TabletextTablesTableFigureBoxstyles"/>
            </w:pPr>
            <w:r w:rsidRPr="00C1603D">
              <w:rPr>
                <w:rFonts w:eastAsia="Arial"/>
              </w:rPr>
              <w:t>97</w:t>
            </w:r>
          </w:p>
        </w:tc>
        <w:tc>
          <w:tcPr>
            <w:tcW w:w="0" w:type="auto"/>
            <w:shd w:val="clear" w:color="auto" w:fill="FFFFFF"/>
            <w:tcMar>
              <w:top w:w="0" w:type="dxa"/>
              <w:left w:w="0" w:type="dxa"/>
              <w:bottom w:w="0" w:type="dxa"/>
              <w:right w:w="0" w:type="dxa"/>
            </w:tcMar>
          </w:tcPr>
          <w:p w14:paraId="6515549A" w14:textId="71697ADB"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E5B7E5E" w14:textId="5D6FE504" w:rsidR="008B4DF8" w:rsidRPr="00C1603D" w:rsidRDefault="00341322" w:rsidP="00322FCF">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170BE7F8" w14:textId="77777777" w:rsidR="008B4DF8" w:rsidRPr="00C1603D" w:rsidRDefault="008B4DF8" w:rsidP="00322FCF">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3ECEC679" w14:textId="1F67D649" w:rsidR="008B4DF8" w:rsidRPr="00C1603D" w:rsidRDefault="00341322"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DA0DE56" w14:textId="77777777" w:rsidR="008B4DF8" w:rsidRPr="00C1603D" w:rsidRDefault="008B4DF8" w:rsidP="00322FCF">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3F7E3C92" w14:textId="1A3DE9A2" w:rsidR="008B4DF8" w:rsidRPr="00C1603D" w:rsidRDefault="00341322" w:rsidP="00322FCF">
            <w:pPr>
              <w:pStyle w:val="72TabletextTablesTableFigureBoxstyles"/>
            </w:pPr>
            <w:r w:rsidRPr="00C1603D">
              <w:rPr>
                <w:rFonts w:eastAsia="Arial"/>
                <w:noProof/>
              </w:rPr>
              <w:t xml:space="preserve">Cikrikcioglu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318</w:t>
            </w:r>
          </w:p>
        </w:tc>
      </w:tr>
      <w:tr w:rsidR="00341322" w:rsidRPr="00C1603D" w14:paraId="6CBE7A32" w14:textId="77777777" w:rsidTr="00322FCF">
        <w:trPr>
          <w:cantSplit/>
        </w:trPr>
        <w:tc>
          <w:tcPr>
            <w:tcW w:w="0" w:type="auto"/>
            <w:shd w:val="clear" w:color="auto" w:fill="FFFFFF"/>
            <w:tcMar>
              <w:top w:w="0" w:type="dxa"/>
              <w:left w:w="0" w:type="dxa"/>
              <w:bottom w:w="0" w:type="dxa"/>
              <w:right w:w="0" w:type="dxa"/>
            </w:tcMar>
          </w:tcPr>
          <w:p w14:paraId="6B813D8F" w14:textId="323BE0D2" w:rsidR="008B4DF8" w:rsidRPr="00C1603D" w:rsidRDefault="00341322" w:rsidP="00322FCF">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58238ACA" w14:textId="69E5219C"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6903A54" w14:textId="77777777" w:rsidR="008B4DF8" w:rsidRPr="00C1603D" w:rsidRDefault="008B4DF8" w:rsidP="00322FCF">
            <w:pPr>
              <w:pStyle w:val="72TabletextTablesTableFigureBoxstyles"/>
            </w:pPr>
            <w:r w:rsidRPr="00C1603D">
              <w:rPr>
                <w:rFonts w:eastAsia="Arial"/>
              </w:rPr>
              <w:t>Pernicious anaemia</w:t>
            </w:r>
          </w:p>
        </w:tc>
        <w:tc>
          <w:tcPr>
            <w:tcW w:w="0" w:type="auto"/>
            <w:shd w:val="clear" w:color="auto" w:fill="FFFFFF"/>
            <w:tcMar>
              <w:top w:w="0" w:type="dxa"/>
              <w:left w:w="0" w:type="dxa"/>
              <w:bottom w:w="0" w:type="dxa"/>
              <w:right w:w="0" w:type="dxa"/>
            </w:tcMar>
          </w:tcPr>
          <w:p w14:paraId="461A8547" w14:textId="77777777" w:rsidR="008B4DF8" w:rsidRPr="00C1603D" w:rsidRDefault="008B4DF8" w:rsidP="00322FCF">
            <w:pPr>
              <w:pStyle w:val="72TabletextTablesTableFigureBoxstyles"/>
            </w:pPr>
            <w:r w:rsidRPr="00C1603D">
              <w:rPr>
                <w:rFonts w:eastAsia="Arial"/>
              </w:rPr>
              <w:t>165</w:t>
            </w:r>
          </w:p>
        </w:tc>
        <w:tc>
          <w:tcPr>
            <w:tcW w:w="0" w:type="auto"/>
            <w:shd w:val="clear" w:color="auto" w:fill="FFFFFF"/>
            <w:tcMar>
              <w:top w:w="0" w:type="dxa"/>
              <w:left w:w="0" w:type="dxa"/>
              <w:bottom w:w="0" w:type="dxa"/>
              <w:right w:w="0" w:type="dxa"/>
            </w:tcMar>
          </w:tcPr>
          <w:p w14:paraId="0277C9B1" w14:textId="769B1991"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881370F" w14:textId="44F260A6" w:rsidR="008B4DF8" w:rsidRPr="00C1603D" w:rsidRDefault="00341322" w:rsidP="00322FCF">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202A174A" w14:textId="77777777" w:rsidR="008B4DF8" w:rsidRPr="00C1603D" w:rsidRDefault="008B4DF8" w:rsidP="00322FCF">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09CC3E63" w14:textId="7406DCB3" w:rsidR="008B4DF8" w:rsidRPr="00C1603D" w:rsidRDefault="00341322" w:rsidP="00322FCF">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7B8220E5" w14:textId="77777777" w:rsidR="008B4DF8" w:rsidRPr="00C1603D" w:rsidRDefault="008B4DF8" w:rsidP="00322FCF">
            <w:pPr>
              <w:pStyle w:val="72TabletextTablesTableFigureBoxstyles"/>
            </w:pPr>
            <w:r w:rsidRPr="00C1603D">
              <w:rPr>
                <w:rFonts w:eastAsia="Arial"/>
              </w:rPr>
              <w:t>Poland</w:t>
            </w:r>
          </w:p>
        </w:tc>
        <w:tc>
          <w:tcPr>
            <w:tcW w:w="0" w:type="auto"/>
            <w:shd w:val="clear" w:color="auto" w:fill="FFFFFF"/>
            <w:tcMar>
              <w:top w:w="0" w:type="dxa"/>
              <w:left w:w="0" w:type="dxa"/>
              <w:bottom w:w="0" w:type="dxa"/>
              <w:right w:w="0" w:type="dxa"/>
            </w:tcMar>
          </w:tcPr>
          <w:p w14:paraId="4A34F597" w14:textId="17656571" w:rsidR="008B4DF8" w:rsidRPr="00C1603D" w:rsidRDefault="00341322" w:rsidP="00322FCF">
            <w:pPr>
              <w:pStyle w:val="72TabletextTablesTableFigureBoxstyles"/>
            </w:pPr>
            <w:r w:rsidRPr="00C1603D">
              <w:t xml:space="preserve">Morawiec-Szymonik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319</w:t>
            </w:r>
          </w:p>
        </w:tc>
      </w:tr>
      <w:tr w:rsidR="00341322" w:rsidRPr="00C1603D" w14:paraId="7CC1629A" w14:textId="77777777" w:rsidTr="00322FCF">
        <w:trPr>
          <w:cantSplit/>
        </w:trPr>
        <w:tc>
          <w:tcPr>
            <w:tcW w:w="0" w:type="auto"/>
            <w:shd w:val="clear" w:color="auto" w:fill="FFFFFF"/>
            <w:tcMar>
              <w:top w:w="0" w:type="dxa"/>
              <w:left w:w="0" w:type="dxa"/>
              <w:bottom w:w="0" w:type="dxa"/>
              <w:right w:w="0" w:type="dxa"/>
            </w:tcMar>
          </w:tcPr>
          <w:p w14:paraId="6262AFEC" w14:textId="52759C46" w:rsidR="008B4DF8" w:rsidRPr="00C1603D" w:rsidRDefault="00341322"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F03CFF7"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504E31C3" w14:textId="77777777" w:rsidR="008B4DF8" w:rsidRPr="00C1603D" w:rsidRDefault="008B4DF8" w:rsidP="00322FCF">
            <w:pPr>
              <w:pStyle w:val="72TabletextTablesTableFigureBoxstyles"/>
            </w:pPr>
            <w:r w:rsidRPr="00C1603D">
              <w:rPr>
                <w:rFonts w:eastAsia="Arial"/>
              </w:rPr>
              <w:t>Anaemia</w:t>
            </w:r>
          </w:p>
        </w:tc>
        <w:tc>
          <w:tcPr>
            <w:tcW w:w="0" w:type="auto"/>
            <w:shd w:val="clear" w:color="auto" w:fill="FFFFFF"/>
            <w:tcMar>
              <w:top w:w="0" w:type="dxa"/>
              <w:left w:w="0" w:type="dxa"/>
              <w:bottom w:w="0" w:type="dxa"/>
              <w:right w:w="0" w:type="dxa"/>
            </w:tcMar>
          </w:tcPr>
          <w:p w14:paraId="62D7E991" w14:textId="77777777" w:rsidR="008B4DF8" w:rsidRPr="00C1603D" w:rsidRDefault="008B4DF8" w:rsidP="00322FCF">
            <w:pPr>
              <w:pStyle w:val="72TabletextTablesTableFigureBoxstyles"/>
            </w:pPr>
            <w:r w:rsidRPr="00C1603D">
              <w:rPr>
                <w:rFonts w:eastAsia="Arial"/>
              </w:rPr>
              <w:t>982</w:t>
            </w:r>
          </w:p>
        </w:tc>
        <w:tc>
          <w:tcPr>
            <w:tcW w:w="0" w:type="auto"/>
            <w:shd w:val="clear" w:color="auto" w:fill="FFFFFF"/>
            <w:tcMar>
              <w:top w:w="0" w:type="dxa"/>
              <w:left w:w="0" w:type="dxa"/>
              <w:bottom w:w="0" w:type="dxa"/>
              <w:right w:w="0" w:type="dxa"/>
            </w:tcMar>
          </w:tcPr>
          <w:p w14:paraId="102856D1" w14:textId="77777777" w:rsidR="008B4DF8" w:rsidRPr="00C1603D" w:rsidRDefault="008B4DF8" w:rsidP="00322FCF">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76973C0E" w14:textId="77777777" w:rsidR="008B4DF8" w:rsidRPr="00C1603D" w:rsidRDefault="008B4DF8" w:rsidP="00322FCF">
            <w:pPr>
              <w:pStyle w:val="72TabletextTablesTableFigureBoxstyles"/>
            </w:pPr>
            <w:r w:rsidRPr="00C1603D">
              <w:rPr>
                <w:rFonts w:eastAsia="Arial"/>
              </w:rPr>
              <w:t>People without anaemia</w:t>
            </w:r>
          </w:p>
        </w:tc>
        <w:tc>
          <w:tcPr>
            <w:tcW w:w="0" w:type="auto"/>
            <w:shd w:val="clear" w:color="auto" w:fill="FFFFFF"/>
            <w:tcMar>
              <w:top w:w="0" w:type="dxa"/>
              <w:left w:w="0" w:type="dxa"/>
              <w:bottom w:w="0" w:type="dxa"/>
              <w:right w:w="0" w:type="dxa"/>
            </w:tcMar>
          </w:tcPr>
          <w:p w14:paraId="22E7E4C4" w14:textId="6C798ADB" w:rsidR="008B4DF8" w:rsidRPr="00C1603D" w:rsidRDefault="008B4DF8" w:rsidP="00322FCF">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53FFA76" w14:textId="2B69BD53" w:rsidR="008B4DF8" w:rsidRPr="00C1603D" w:rsidRDefault="00341322" w:rsidP="00322FCF">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727850BD" w14:textId="77777777" w:rsidR="008B4DF8" w:rsidRPr="00C1603D" w:rsidRDefault="008B4DF8" w:rsidP="00322FCF">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0CBE54A1" w14:textId="761AA5DA" w:rsidR="008B4DF8" w:rsidRPr="00C1603D" w:rsidRDefault="00341322" w:rsidP="00322FCF">
            <w:pPr>
              <w:pStyle w:val="72TabletextTablesTableFigureBoxstyles"/>
            </w:pPr>
            <w:r w:rsidRPr="00C1603D">
              <w:rPr>
                <w:rFonts w:eastAsia="Arial"/>
                <w:noProof/>
              </w:rPr>
              <w:t xml:space="preserve">Ransford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320</w:t>
            </w:r>
          </w:p>
        </w:tc>
      </w:tr>
      <w:tr w:rsidR="00341322" w:rsidRPr="00C1603D" w14:paraId="569D385A" w14:textId="77777777" w:rsidTr="00322FCF">
        <w:trPr>
          <w:cantSplit/>
        </w:trPr>
        <w:tc>
          <w:tcPr>
            <w:tcW w:w="0" w:type="auto"/>
            <w:shd w:val="clear" w:color="auto" w:fill="FFFFFF"/>
            <w:tcMar>
              <w:top w:w="0" w:type="dxa"/>
              <w:left w:w="0" w:type="dxa"/>
              <w:bottom w:w="0" w:type="dxa"/>
              <w:right w:w="0" w:type="dxa"/>
            </w:tcMar>
          </w:tcPr>
          <w:p w14:paraId="21F09E0A" w14:textId="60BA1755" w:rsidR="008B4DF8" w:rsidRPr="00C1603D" w:rsidRDefault="00341322"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6EBB549"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3B966838" w14:textId="77777777" w:rsidR="008B4DF8" w:rsidRPr="00C1603D" w:rsidRDefault="008B4DF8" w:rsidP="00322FCF">
            <w:pPr>
              <w:pStyle w:val="72TabletextTablesTableFigureBoxstyles"/>
            </w:pPr>
            <w:r w:rsidRPr="00C1603D">
              <w:rPr>
                <w:rFonts w:eastAsia="Arial"/>
              </w:rPr>
              <w:t>Anaemia</w:t>
            </w:r>
          </w:p>
        </w:tc>
        <w:tc>
          <w:tcPr>
            <w:tcW w:w="0" w:type="auto"/>
            <w:shd w:val="clear" w:color="auto" w:fill="FFFFFF"/>
            <w:tcMar>
              <w:top w:w="0" w:type="dxa"/>
              <w:left w:w="0" w:type="dxa"/>
              <w:bottom w:w="0" w:type="dxa"/>
              <w:right w:w="0" w:type="dxa"/>
            </w:tcMar>
          </w:tcPr>
          <w:p w14:paraId="1428F6C0" w14:textId="77777777" w:rsidR="008B4DF8" w:rsidRPr="00C1603D" w:rsidRDefault="008B4DF8" w:rsidP="00322FCF">
            <w:pPr>
              <w:pStyle w:val="72TabletextTablesTableFigureBoxstyles"/>
            </w:pPr>
            <w:r w:rsidRPr="00C1603D">
              <w:rPr>
                <w:rFonts w:eastAsia="Arial"/>
              </w:rPr>
              <w:t>1197</w:t>
            </w:r>
          </w:p>
        </w:tc>
        <w:tc>
          <w:tcPr>
            <w:tcW w:w="0" w:type="auto"/>
            <w:shd w:val="clear" w:color="auto" w:fill="FFFFFF"/>
            <w:tcMar>
              <w:top w:w="0" w:type="dxa"/>
              <w:left w:w="0" w:type="dxa"/>
              <w:bottom w:w="0" w:type="dxa"/>
              <w:right w:w="0" w:type="dxa"/>
            </w:tcMar>
          </w:tcPr>
          <w:p w14:paraId="028EE564" w14:textId="3730D32D" w:rsidR="008B4DF8" w:rsidRPr="00C1603D" w:rsidRDefault="008B4DF8" w:rsidP="00322FCF">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F02E54D" w14:textId="77777777" w:rsidR="008B4DF8" w:rsidRPr="00C1603D" w:rsidRDefault="008B4DF8" w:rsidP="00322FCF">
            <w:pPr>
              <w:pStyle w:val="72TabletextTablesTableFigureBoxstyles"/>
            </w:pPr>
            <w:r w:rsidRPr="00C1603D">
              <w:rPr>
                <w:rFonts w:eastAsia="Arial"/>
              </w:rPr>
              <w:t>People without anaemia</w:t>
            </w:r>
          </w:p>
        </w:tc>
        <w:tc>
          <w:tcPr>
            <w:tcW w:w="0" w:type="auto"/>
            <w:shd w:val="clear" w:color="auto" w:fill="FFFFFF"/>
            <w:tcMar>
              <w:top w:w="0" w:type="dxa"/>
              <w:left w:w="0" w:type="dxa"/>
              <w:bottom w:w="0" w:type="dxa"/>
              <w:right w:w="0" w:type="dxa"/>
            </w:tcMar>
          </w:tcPr>
          <w:p w14:paraId="6D2388C0" w14:textId="34360C89" w:rsidR="008B4DF8" w:rsidRPr="00C1603D" w:rsidRDefault="008B4DF8" w:rsidP="00322FCF">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7420D10" w14:textId="5DB86C97" w:rsidR="008B4DF8" w:rsidRPr="00C1603D" w:rsidRDefault="00341322" w:rsidP="00322FCF">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0BFBD417" w14:textId="77777777" w:rsidR="008B4DF8" w:rsidRPr="00C1603D" w:rsidRDefault="008B4DF8" w:rsidP="00322FCF">
            <w:pPr>
              <w:pStyle w:val="72TabletextTablesTableFigureBoxstyles"/>
            </w:pPr>
            <w:r w:rsidRPr="00C1603D">
              <w:rPr>
                <w:rFonts w:eastAsia="Arial"/>
              </w:rPr>
              <w:t>United Arab Emirates</w:t>
            </w:r>
          </w:p>
        </w:tc>
        <w:tc>
          <w:tcPr>
            <w:tcW w:w="0" w:type="auto"/>
            <w:shd w:val="clear" w:color="auto" w:fill="FFFFFF"/>
            <w:tcMar>
              <w:top w:w="0" w:type="dxa"/>
              <w:left w:w="0" w:type="dxa"/>
              <w:bottom w:w="0" w:type="dxa"/>
              <w:right w:w="0" w:type="dxa"/>
            </w:tcMar>
          </w:tcPr>
          <w:p w14:paraId="57042F73" w14:textId="682E38F6" w:rsidR="008B4DF8" w:rsidRPr="00C1603D" w:rsidRDefault="001B7C7E" w:rsidP="00322FCF">
            <w:pPr>
              <w:pStyle w:val="72TabletextTablesTableFigureBoxstyles"/>
            </w:pPr>
            <w:r w:rsidRPr="00C1603D">
              <w:rPr>
                <w:rFonts w:eastAsia="Arial"/>
                <w:noProof/>
              </w:rPr>
              <w:t xml:space="preserve">Abu-Zeid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288</w:t>
            </w:r>
          </w:p>
        </w:tc>
      </w:tr>
      <w:tr w:rsidR="00341322" w:rsidRPr="00C1603D" w14:paraId="3B48C0D0" w14:textId="77777777" w:rsidTr="00322FCF">
        <w:trPr>
          <w:cantSplit/>
        </w:trPr>
        <w:tc>
          <w:tcPr>
            <w:tcW w:w="0" w:type="auto"/>
            <w:shd w:val="clear" w:color="auto" w:fill="FFFFFF"/>
            <w:tcMar>
              <w:top w:w="0" w:type="dxa"/>
              <w:left w:w="0" w:type="dxa"/>
              <w:bottom w:w="0" w:type="dxa"/>
              <w:right w:w="0" w:type="dxa"/>
            </w:tcMar>
          </w:tcPr>
          <w:p w14:paraId="6887ABE9" w14:textId="3DD79121" w:rsidR="008B4DF8" w:rsidRPr="00C1603D" w:rsidRDefault="00341322"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7DAF3F8"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5CE4144" w14:textId="47BF0436" w:rsidR="008B4DF8" w:rsidRPr="00C1603D" w:rsidRDefault="00BB69D4" w:rsidP="00322FCF">
            <w:pPr>
              <w:pStyle w:val="72TabletextTablesTableFigureBoxstyles"/>
            </w:pPr>
            <w:r w:rsidRPr="00C1603D">
              <w:rPr>
                <w:rFonts w:eastAsia="Arial"/>
              </w:rPr>
              <w:t>IDA</w:t>
            </w:r>
          </w:p>
        </w:tc>
        <w:tc>
          <w:tcPr>
            <w:tcW w:w="0" w:type="auto"/>
            <w:shd w:val="clear" w:color="auto" w:fill="FFFFFF"/>
            <w:tcMar>
              <w:top w:w="0" w:type="dxa"/>
              <w:left w:w="0" w:type="dxa"/>
              <w:bottom w:w="0" w:type="dxa"/>
              <w:right w:w="0" w:type="dxa"/>
            </w:tcMar>
          </w:tcPr>
          <w:p w14:paraId="34AAB52E" w14:textId="77777777" w:rsidR="008B4DF8" w:rsidRPr="00C1603D" w:rsidRDefault="008B4DF8" w:rsidP="00322FCF">
            <w:pPr>
              <w:pStyle w:val="72TabletextTablesTableFigureBoxstyles"/>
            </w:pPr>
            <w:r w:rsidRPr="00C1603D">
              <w:rPr>
                <w:rFonts w:eastAsia="Arial"/>
              </w:rPr>
              <w:t>1200</w:t>
            </w:r>
          </w:p>
        </w:tc>
        <w:tc>
          <w:tcPr>
            <w:tcW w:w="0" w:type="auto"/>
            <w:shd w:val="clear" w:color="auto" w:fill="FFFFFF"/>
            <w:tcMar>
              <w:top w:w="0" w:type="dxa"/>
              <w:left w:w="0" w:type="dxa"/>
              <w:bottom w:w="0" w:type="dxa"/>
              <w:right w:w="0" w:type="dxa"/>
            </w:tcMar>
          </w:tcPr>
          <w:p w14:paraId="13F579A2" w14:textId="77777777" w:rsidR="008B4DF8" w:rsidRPr="00C1603D" w:rsidRDefault="008B4DF8" w:rsidP="00322FCF">
            <w:pPr>
              <w:pStyle w:val="72TabletextTablesTableFigureBoxstyles"/>
            </w:pPr>
            <w:r w:rsidRPr="00C1603D">
              <w:rPr>
                <w:rFonts w:eastAsia="Arial"/>
              </w:rPr>
              <w:t>62.8</w:t>
            </w:r>
          </w:p>
        </w:tc>
        <w:tc>
          <w:tcPr>
            <w:tcW w:w="0" w:type="auto"/>
            <w:shd w:val="clear" w:color="auto" w:fill="FFFFFF"/>
            <w:tcMar>
              <w:top w:w="0" w:type="dxa"/>
              <w:left w:w="0" w:type="dxa"/>
              <w:bottom w:w="0" w:type="dxa"/>
              <w:right w:w="0" w:type="dxa"/>
            </w:tcMar>
          </w:tcPr>
          <w:p w14:paraId="4B48001C" w14:textId="77777777" w:rsidR="008B4DF8" w:rsidRPr="00C1603D" w:rsidRDefault="008B4DF8" w:rsidP="00322FCF">
            <w:pPr>
              <w:pStyle w:val="72TabletextTablesTableFigureBoxstyles"/>
            </w:pPr>
            <w:r w:rsidRPr="00C1603D">
              <w:rPr>
                <w:rFonts w:eastAsia="Arial"/>
              </w:rPr>
              <w:t>People without anaemia</w:t>
            </w:r>
          </w:p>
        </w:tc>
        <w:tc>
          <w:tcPr>
            <w:tcW w:w="0" w:type="auto"/>
            <w:shd w:val="clear" w:color="auto" w:fill="FFFFFF"/>
            <w:tcMar>
              <w:top w:w="0" w:type="dxa"/>
              <w:left w:w="0" w:type="dxa"/>
              <w:bottom w:w="0" w:type="dxa"/>
              <w:right w:w="0" w:type="dxa"/>
            </w:tcMar>
          </w:tcPr>
          <w:p w14:paraId="24391E38" w14:textId="2207E9E7" w:rsidR="008B4DF8" w:rsidRPr="00C1603D" w:rsidRDefault="008B4DF8" w:rsidP="00322FCF">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E492156" w14:textId="0FB4D98D" w:rsidR="008B4DF8" w:rsidRPr="00C1603D" w:rsidRDefault="00341322" w:rsidP="00322FCF">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1690B5AA" w14:textId="77777777" w:rsidR="008B4DF8" w:rsidRPr="00C1603D" w:rsidRDefault="008B4DF8" w:rsidP="00322FCF">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4895F0EE" w14:textId="27DB344D" w:rsidR="008B4DF8" w:rsidRPr="00C1603D" w:rsidRDefault="001B7C7E" w:rsidP="00322FCF">
            <w:pPr>
              <w:pStyle w:val="72TabletextTablesTableFigureBoxstyles"/>
            </w:pPr>
            <w:r w:rsidRPr="00C1603D">
              <w:rPr>
                <w:rFonts w:eastAsia="Arial"/>
                <w:noProof/>
              </w:rPr>
              <w:t xml:space="preserve">Sanders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321</w:t>
            </w:r>
          </w:p>
        </w:tc>
      </w:tr>
      <w:tr w:rsidR="00341322" w:rsidRPr="00C1603D" w14:paraId="04B39310" w14:textId="77777777" w:rsidTr="00322FCF">
        <w:trPr>
          <w:cantSplit/>
        </w:trPr>
        <w:tc>
          <w:tcPr>
            <w:tcW w:w="0" w:type="auto"/>
            <w:shd w:val="clear" w:color="auto" w:fill="FFFFFF"/>
            <w:tcMar>
              <w:top w:w="0" w:type="dxa"/>
              <w:left w:w="0" w:type="dxa"/>
              <w:bottom w:w="0" w:type="dxa"/>
              <w:right w:w="0" w:type="dxa"/>
            </w:tcMar>
          </w:tcPr>
          <w:p w14:paraId="7119CA0B" w14:textId="7627A4CD" w:rsidR="008B4DF8" w:rsidRPr="00C1603D" w:rsidRDefault="00341322"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5690A13"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29B43AF8" w14:textId="00681816" w:rsidR="008B4DF8" w:rsidRPr="00C1603D" w:rsidRDefault="008B4DF8" w:rsidP="00322FCF">
            <w:pPr>
              <w:pStyle w:val="72TabletextTablesTableFigureBoxstyles"/>
            </w:pPr>
            <w:r w:rsidRPr="00C1603D">
              <w:rPr>
                <w:rFonts w:eastAsia="Arial"/>
              </w:rPr>
              <w:t>Anaemia/</w:t>
            </w:r>
            <w:r w:rsidR="00BB69D4" w:rsidRPr="00C1603D">
              <w:rPr>
                <w:rFonts w:eastAsia="Arial"/>
              </w:rPr>
              <w:t>IDA</w:t>
            </w:r>
          </w:p>
        </w:tc>
        <w:tc>
          <w:tcPr>
            <w:tcW w:w="0" w:type="auto"/>
            <w:shd w:val="clear" w:color="auto" w:fill="FFFFFF"/>
            <w:tcMar>
              <w:top w:w="0" w:type="dxa"/>
              <w:left w:w="0" w:type="dxa"/>
              <w:bottom w:w="0" w:type="dxa"/>
              <w:right w:w="0" w:type="dxa"/>
            </w:tcMar>
          </w:tcPr>
          <w:p w14:paraId="0246FB30" w14:textId="77777777" w:rsidR="008B4DF8" w:rsidRPr="00C1603D" w:rsidRDefault="008B4DF8" w:rsidP="00322FCF">
            <w:pPr>
              <w:pStyle w:val="72TabletextTablesTableFigureBoxstyles"/>
            </w:pPr>
            <w:r w:rsidRPr="00C1603D">
              <w:rPr>
                <w:rFonts w:eastAsia="Arial"/>
              </w:rPr>
              <w:t>527</w:t>
            </w:r>
          </w:p>
        </w:tc>
        <w:tc>
          <w:tcPr>
            <w:tcW w:w="0" w:type="auto"/>
            <w:shd w:val="clear" w:color="auto" w:fill="FFFFFF"/>
            <w:tcMar>
              <w:top w:w="0" w:type="dxa"/>
              <w:left w:w="0" w:type="dxa"/>
              <w:bottom w:w="0" w:type="dxa"/>
              <w:right w:w="0" w:type="dxa"/>
            </w:tcMar>
          </w:tcPr>
          <w:p w14:paraId="781F11AA" w14:textId="672236CB"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5AF58D8F" w14:textId="77777777" w:rsidR="008B4DF8" w:rsidRPr="00C1603D" w:rsidRDefault="008B4DF8" w:rsidP="00322FCF">
            <w:pPr>
              <w:pStyle w:val="72TabletextTablesTableFigureBoxstyles"/>
            </w:pPr>
            <w:r w:rsidRPr="00C1603D">
              <w:rPr>
                <w:rFonts w:eastAsia="Arial"/>
              </w:rPr>
              <w:t>People without anaemia</w:t>
            </w:r>
          </w:p>
        </w:tc>
        <w:tc>
          <w:tcPr>
            <w:tcW w:w="0" w:type="auto"/>
            <w:shd w:val="clear" w:color="auto" w:fill="FFFFFF"/>
            <w:tcMar>
              <w:top w:w="0" w:type="dxa"/>
              <w:left w:w="0" w:type="dxa"/>
              <w:bottom w:w="0" w:type="dxa"/>
              <w:right w:w="0" w:type="dxa"/>
            </w:tcMar>
          </w:tcPr>
          <w:p w14:paraId="19449FF6" w14:textId="135D5FD6" w:rsidR="008B4DF8" w:rsidRPr="00C1603D" w:rsidRDefault="008B4DF8" w:rsidP="00322FCF">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8B96141" w14:textId="3CA4239F" w:rsidR="008B4DF8" w:rsidRPr="00C1603D" w:rsidRDefault="00341322"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AD4DFFD" w14:textId="77777777" w:rsidR="008B4DF8" w:rsidRPr="00C1603D" w:rsidRDefault="008B4DF8" w:rsidP="00322FCF">
            <w:pPr>
              <w:pStyle w:val="72TabletextTablesTableFigureBoxstyles"/>
            </w:pPr>
            <w:r w:rsidRPr="00C1603D">
              <w:rPr>
                <w:rFonts w:eastAsia="Arial"/>
              </w:rPr>
              <w:t>Malaysia</w:t>
            </w:r>
          </w:p>
        </w:tc>
        <w:tc>
          <w:tcPr>
            <w:tcW w:w="0" w:type="auto"/>
            <w:shd w:val="clear" w:color="auto" w:fill="FFFFFF"/>
            <w:tcMar>
              <w:top w:w="0" w:type="dxa"/>
              <w:left w:w="0" w:type="dxa"/>
              <w:bottom w:w="0" w:type="dxa"/>
              <w:right w:w="0" w:type="dxa"/>
            </w:tcMar>
          </w:tcPr>
          <w:p w14:paraId="53A1E3F8" w14:textId="4D17E82B" w:rsidR="008B4DF8" w:rsidRPr="00C1603D" w:rsidRDefault="001B7C7E" w:rsidP="00322FCF">
            <w:pPr>
              <w:pStyle w:val="72TabletextTablesTableFigureBoxstyles"/>
            </w:pPr>
            <w:r w:rsidRPr="00C1603D">
              <w:rPr>
                <w:rFonts w:eastAsia="Arial"/>
                <w:noProof/>
              </w:rPr>
              <w:t xml:space="preserve">Yap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287</w:t>
            </w:r>
          </w:p>
        </w:tc>
      </w:tr>
      <w:tr w:rsidR="00341322" w:rsidRPr="00C1603D" w14:paraId="631AF2B9" w14:textId="77777777" w:rsidTr="00322FCF">
        <w:trPr>
          <w:cantSplit/>
        </w:trPr>
        <w:tc>
          <w:tcPr>
            <w:tcW w:w="0" w:type="auto"/>
            <w:shd w:val="clear" w:color="auto" w:fill="FFFFFF"/>
            <w:tcMar>
              <w:top w:w="0" w:type="dxa"/>
              <w:left w:w="0" w:type="dxa"/>
              <w:bottom w:w="0" w:type="dxa"/>
              <w:right w:w="0" w:type="dxa"/>
            </w:tcMar>
          </w:tcPr>
          <w:p w14:paraId="781D8ADA" w14:textId="58DAA537" w:rsidR="008B4DF8" w:rsidRPr="00C1603D" w:rsidRDefault="00341322"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064B652"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52B33BA2" w14:textId="77777777" w:rsidR="008B4DF8" w:rsidRPr="00C1603D" w:rsidRDefault="008B4DF8" w:rsidP="00322FCF">
            <w:pPr>
              <w:pStyle w:val="72TabletextTablesTableFigureBoxstyles"/>
            </w:pPr>
            <w:r w:rsidRPr="00C1603D">
              <w:rPr>
                <w:rFonts w:eastAsia="Arial"/>
              </w:rPr>
              <w:t>Anaemia</w:t>
            </w:r>
          </w:p>
        </w:tc>
        <w:tc>
          <w:tcPr>
            <w:tcW w:w="0" w:type="auto"/>
            <w:shd w:val="clear" w:color="auto" w:fill="FFFFFF"/>
            <w:tcMar>
              <w:top w:w="0" w:type="dxa"/>
              <w:left w:w="0" w:type="dxa"/>
              <w:bottom w:w="0" w:type="dxa"/>
              <w:right w:w="0" w:type="dxa"/>
            </w:tcMar>
          </w:tcPr>
          <w:p w14:paraId="41039982" w14:textId="77777777" w:rsidR="008B4DF8" w:rsidRPr="00C1603D" w:rsidRDefault="008B4DF8" w:rsidP="00322FCF">
            <w:pPr>
              <w:pStyle w:val="72TabletextTablesTableFigureBoxstyles"/>
            </w:pPr>
            <w:r w:rsidRPr="00C1603D">
              <w:rPr>
                <w:rFonts w:eastAsia="Arial"/>
              </w:rPr>
              <w:t>5060</w:t>
            </w:r>
          </w:p>
        </w:tc>
        <w:tc>
          <w:tcPr>
            <w:tcW w:w="0" w:type="auto"/>
            <w:shd w:val="clear" w:color="auto" w:fill="FFFFFF"/>
            <w:tcMar>
              <w:top w:w="0" w:type="dxa"/>
              <w:left w:w="0" w:type="dxa"/>
              <w:bottom w:w="0" w:type="dxa"/>
              <w:right w:w="0" w:type="dxa"/>
            </w:tcMar>
          </w:tcPr>
          <w:p w14:paraId="4224DA08" w14:textId="269CF499" w:rsidR="008B4DF8" w:rsidRPr="00C1603D" w:rsidRDefault="008B4DF8" w:rsidP="00322FCF">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1ACD3B87" w14:textId="77777777" w:rsidR="008B4DF8" w:rsidRPr="00C1603D" w:rsidRDefault="008B4DF8" w:rsidP="00322FCF">
            <w:pPr>
              <w:pStyle w:val="72TabletextTablesTableFigureBoxstyles"/>
            </w:pPr>
            <w:r w:rsidRPr="00C1603D">
              <w:rPr>
                <w:rFonts w:eastAsia="Arial"/>
              </w:rPr>
              <w:t>People without anaemia</w:t>
            </w:r>
          </w:p>
        </w:tc>
        <w:tc>
          <w:tcPr>
            <w:tcW w:w="0" w:type="auto"/>
            <w:shd w:val="clear" w:color="auto" w:fill="FFFFFF"/>
            <w:tcMar>
              <w:top w:w="0" w:type="dxa"/>
              <w:left w:w="0" w:type="dxa"/>
              <w:bottom w:w="0" w:type="dxa"/>
              <w:right w:w="0" w:type="dxa"/>
            </w:tcMar>
          </w:tcPr>
          <w:p w14:paraId="4E715C9E" w14:textId="22D8ABBA" w:rsidR="008B4DF8" w:rsidRPr="00C1603D" w:rsidRDefault="008B4DF8" w:rsidP="00322FCF">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DFB0A8A" w14:textId="50821DA0" w:rsidR="008B4DF8" w:rsidRPr="00C1603D" w:rsidRDefault="00341322"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2D0349C" w14:textId="77777777" w:rsidR="008B4DF8" w:rsidRPr="00C1603D" w:rsidRDefault="008B4DF8" w:rsidP="00322FCF">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187F34D8" w14:textId="66181F4D" w:rsidR="008B4DF8" w:rsidRPr="00C1603D" w:rsidRDefault="001B7C7E" w:rsidP="00322FCF">
            <w:pPr>
              <w:pStyle w:val="72TabletextTablesTableFigureBoxstyles"/>
            </w:pPr>
            <w:r w:rsidRPr="00C1603D">
              <w:rPr>
                <w:rFonts w:eastAsia="Arial"/>
                <w:noProof/>
              </w:rPr>
              <w:t xml:space="preserve">Greco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322</w:t>
            </w:r>
          </w:p>
        </w:tc>
      </w:tr>
      <w:tr w:rsidR="00341322" w:rsidRPr="00C1603D" w14:paraId="784ECCD5" w14:textId="77777777" w:rsidTr="00322FCF">
        <w:trPr>
          <w:cantSplit/>
        </w:trPr>
        <w:tc>
          <w:tcPr>
            <w:tcW w:w="0" w:type="auto"/>
            <w:shd w:val="clear" w:color="auto" w:fill="FFFFFF"/>
            <w:tcMar>
              <w:top w:w="0" w:type="dxa"/>
              <w:left w:w="0" w:type="dxa"/>
              <w:bottom w:w="0" w:type="dxa"/>
              <w:right w:w="0" w:type="dxa"/>
            </w:tcMar>
          </w:tcPr>
          <w:p w14:paraId="1BDE7C26" w14:textId="61B8A40C" w:rsidR="008B4DF8" w:rsidRPr="00C1603D" w:rsidRDefault="00341322"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14D8895" w14:textId="77777777" w:rsidR="008B4DF8" w:rsidRPr="00C1603D" w:rsidRDefault="008B4DF8" w:rsidP="00322FCF">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567DA09B" w14:textId="77777777" w:rsidR="008B4DF8" w:rsidRPr="00C1603D" w:rsidRDefault="008B4DF8" w:rsidP="00322FCF">
            <w:pPr>
              <w:pStyle w:val="72TabletextTablesTableFigureBoxstyles"/>
            </w:pPr>
            <w:r w:rsidRPr="00C1603D">
              <w:rPr>
                <w:rFonts w:eastAsia="Arial"/>
              </w:rPr>
              <w:t>Anaemia</w:t>
            </w:r>
          </w:p>
        </w:tc>
        <w:tc>
          <w:tcPr>
            <w:tcW w:w="0" w:type="auto"/>
            <w:shd w:val="clear" w:color="auto" w:fill="FFFFFF"/>
            <w:tcMar>
              <w:top w:w="0" w:type="dxa"/>
              <w:left w:w="0" w:type="dxa"/>
              <w:bottom w:w="0" w:type="dxa"/>
              <w:right w:w="0" w:type="dxa"/>
            </w:tcMar>
          </w:tcPr>
          <w:p w14:paraId="2C874A67" w14:textId="77777777" w:rsidR="008B4DF8" w:rsidRPr="00C1603D" w:rsidRDefault="008B4DF8" w:rsidP="00322FCF">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5D3E2111" w14:textId="6E6045CE"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3387663D" w14:textId="77777777" w:rsidR="008B4DF8" w:rsidRPr="00C1603D" w:rsidRDefault="008B4DF8" w:rsidP="00322FCF">
            <w:pPr>
              <w:pStyle w:val="72TabletextTablesTableFigureBoxstyles"/>
            </w:pPr>
            <w:r w:rsidRPr="00C1603D">
              <w:rPr>
                <w:rFonts w:eastAsia="Arial"/>
              </w:rPr>
              <w:t>People without anaemia</w:t>
            </w:r>
          </w:p>
        </w:tc>
        <w:tc>
          <w:tcPr>
            <w:tcW w:w="0" w:type="auto"/>
            <w:shd w:val="clear" w:color="auto" w:fill="FFFFFF"/>
            <w:tcMar>
              <w:top w:w="0" w:type="dxa"/>
              <w:left w:w="0" w:type="dxa"/>
              <w:bottom w:w="0" w:type="dxa"/>
              <w:right w:w="0" w:type="dxa"/>
            </w:tcMar>
          </w:tcPr>
          <w:p w14:paraId="6C69FC90" w14:textId="68233D96" w:rsidR="008B4DF8" w:rsidRPr="00C1603D" w:rsidRDefault="008B4DF8" w:rsidP="00322FCF">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90B0850" w14:textId="77777777" w:rsidR="008B4DF8" w:rsidRPr="00C1603D" w:rsidRDefault="008B4DF8" w:rsidP="00322FCF">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774AC365" w14:textId="5DC14015" w:rsidR="008B4DF8" w:rsidRPr="00C1603D" w:rsidRDefault="008B4DF8" w:rsidP="00322FCF">
            <w:pPr>
              <w:pStyle w:val="72TabletextTablesTableFigureBoxstyles"/>
            </w:pPr>
            <w:r w:rsidRPr="00C1603D">
              <w:rPr>
                <w:rFonts w:eastAsia="Arial"/>
              </w:rPr>
              <w:t>US</w:t>
            </w:r>
            <w:r w:rsidR="00341322" w:rsidRPr="00C1603D">
              <w:rPr>
                <w:rFonts w:eastAsia="Arial"/>
              </w:rPr>
              <w:t>A</w:t>
            </w:r>
          </w:p>
        </w:tc>
        <w:tc>
          <w:tcPr>
            <w:tcW w:w="0" w:type="auto"/>
            <w:shd w:val="clear" w:color="auto" w:fill="FFFFFF"/>
            <w:tcMar>
              <w:top w:w="0" w:type="dxa"/>
              <w:left w:w="0" w:type="dxa"/>
              <w:bottom w:w="0" w:type="dxa"/>
              <w:right w:w="0" w:type="dxa"/>
            </w:tcMar>
          </w:tcPr>
          <w:p w14:paraId="0A36EDD5" w14:textId="03EC9FFF" w:rsidR="008B4DF8" w:rsidRPr="00C1603D" w:rsidRDefault="001B7C7E" w:rsidP="00322FCF">
            <w:pPr>
              <w:pStyle w:val="72TabletextTablesTableFigureBoxstyles"/>
            </w:pPr>
            <w:r w:rsidRPr="00C1603D">
              <w:rPr>
                <w:rFonts w:eastAsia="Arial"/>
                <w:noProof/>
              </w:rPr>
              <w:t xml:space="preserve">Hujoel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301</w:t>
            </w:r>
          </w:p>
        </w:tc>
      </w:tr>
      <w:tr w:rsidR="00341322" w:rsidRPr="00C1603D" w14:paraId="10338D1C" w14:textId="77777777" w:rsidTr="00322FCF">
        <w:trPr>
          <w:cantSplit/>
        </w:trPr>
        <w:tc>
          <w:tcPr>
            <w:tcW w:w="0" w:type="auto"/>
            <w:shd w:val="clear" w:color="auto" w:fill="FFFFFF"/>
            <w:tcMar>
              <w:top w:w="0" w:type="dxa"/>
              <w:left w:w="0" w:type="dxa"/>
              <w:bottom w:w="0" w:type="dxa"/>
              <w:right w:w="0" w:type="dxa"/>
            </w:tcMar>
          </w:tcPr>
          <w:p w14:paraId="0214FA06" w14:textId="07FFAFB0" w:rsidR="008B4DF8" w:rsidRPr="00C1603D" w:rsidRDefault="00341322" w:rsidP="00322FCF">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9C8685B" w14:textId="77777777" w:rsidR="008B4DF8" w:rsidRPr="00C1603D" w:rsidRDefault="008B4DF8" w:rsidP="00322FCF">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18586366" w14:textId="77777777" w:rsidR="008B4DF8" w:rsidRPr="00C1603D" w:rsidRDefault="008B4DF8" w:rsidP="00322FCF">
            <w:pPr>
              <w:pStyle w:val="72TabletextTablesTableFigureBoxstyles"/>
            </w:pPr>
            <w:r w:rsidRPr="00C1603D">
              <w:rPr>
                <w:rFonts w:eastAsia="Arial"/>
              </w:rPr>
              <w:t>Anaemia</w:t>
            </w:r>
          </w:p>
        </w:tc>
        <w:tc>
          <w:tcPr>
            <w:tcW w:w="0" w:type="auto"/>
            <w:shd w:val="clear" w:color="auto" w:fill="FFFFFF"/>
            <w:tcMar>
              <w:top w:w="0" w:type="dxa"/>
              <w:left w:w="0" w:type="dxa"/>
              <w:bottom w:w="0" w:type="dxa"/>
              <w:right w:w="0" w:type="dxa"/>
            </w:tcMar>
          </w:tcPr>
          <w:p w14:paraId="11E9FFAC" w14:textId="77777777" w:rsidR="008B4DF8" w:rsidRPr="00C1603D" w:rsidRDefault="008B4DF8" w:rsidP="00322FCF">
            <w:pPr>
              <w:pStyle w:val="72TabletextTablesTableFigureBoxstyles"/>
            </w:pPr>
            <w:r w:rsidRPr="00C1603D">
              <w:rPr>
                <w:rFonts w:eastAsia="Arial"/>
              </w:rPr>
              <w:t>381</w:t>
            </w:r>
          </w:p>
        </w:tc>
        <w:tc>
          <w:tcPr>
            <w:tcW w:w="0" w:type="auto"/>
            <w:shd w:val="clear" w:color="auto" w:fill="FFFFFF"/>
            <w:tcMar>
              <w:top w:w="0" w:type="dxa"/>
              <w:left w:w="0" w:type="dxa"/>
              <w:bottom w:w="0" w:type="dxa"/>
              <w:right w:w="0" w:type="dxa"/>
            </w:tcMar>
          </w:tcPr>
          <w:p w14:paraId="59022520" w14:textId="7E62E0D3"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2572CF1" w14:textId="77777777" w:rsidR="008B4DF8" w:rsidRPr="00C1603D" w:rsidRDefault="008B4DF8" w:rsidP="00322FCF">
            <w:pPr>
              <w:pStyle w:val="72TabletextTablesTableFigureBoxstyles"/>
            </w:pPr>
            <w:r w:rsidRPr="00C1603D">
              <w:rPr>
                <w:rFonts w:eastAsia="Arial"/>
              </w:rPr>
              <w:t>People without anaemia</w:t>
            </w:r>
          </w:p>
        </w:tc>
        <w:tc>
          <w:tcPr>
            <w:tcW w:w="0" w:type="auto"/>
            <w:shd w:val="clear" w:color="auto" w:fill="FFFFFF"/>
            <w:tcMar>
              <w:top w:w="0" w:type="dxa"/>
              <w:left w:w="0" w:type="dxa"/>
              <w:bottom w:w="0" w:type="dxa"/>
              <w:right w:w="0" w:type="dxa"/>
            </w:tcMar>
          </w:tcPr>
          <w:p w14:paraId="2563FE1B" w14:textId="017F6785" w:rsidR="008B4DF8" w:rsidRPr="00C1603D" w:rsidRDefault="008B4DF8" w:rsidP="00322FCF">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8182283" w14:textId="594DAC31" w:rsidR="008B4DF8" w:rsidRPr="00C1603D" w:rsidRDefault="00341322"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0F0A0C2" w14:textId="59C43E45" w:rsidR="008B4DF8" w:rsidRPr="00C1603D" w:rsidRDefault="008B4DF8" w:rsidP="00322FCF">
            <w:pPr>
              <w:pStyle w:val="72TabletextTablesTableFigureBoxstyles"/>
            </w:pPr>
            <w:r w:rsidRPr="00C1603D">
              <w:rPr>
                <w:rFonts w:eastAsia="Arial"/>
              </w:rPr>
              <w:t>US</w:t>
            </w:r>
            <w:r w:rsidR="00341322" w:rsidRPr="00C1603D">
              <w:rPr>
                <w:rFonts w:eastAsia="Arial"/>
              </w:rPr>
              <w:t>A</w:t>
            </w:r>
          </w:p>
        </w:tc>
        <w:tc>
          <w:tcPr>
            <w:tcW w:w="0" w:type="auto"/>
            <w:shd w:val="clear" w:color="auto" w:fill="FFFFFF"/>
            <w:tcMar>
              <w:top w:w="0" w:type="dxa"/>
              <w:left w:w="0" w:type="dxa"/>
              <w:bottom w:w="0" w:type="dxa"/>
              <w:right w:w="0" w:type="dxa"/>
            </w:tcMar>
          </w:tcPr>
          <w:p w14:paraId="4A53E98C" w14:textId="6B6515A8" w:rsidR="008B4DF8" w:rsidRPr="00C1603D" w:rsidRDefault="001B7C7E" w:rsidP="00322FCF">
            <w:pPr>
              <w:pStyle w:val="72TabletextTablesTableFigureBoxstyles"/>
            </w:pPr>
            <w:r w:rsidRPr="00C1603D">
              <w:rPr>
                <w:rFonts w:eastAsia="Arial"/>
                <w:noProof/>
              </w:rPr>
              <w:t xml:space="preserve">Godfrey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302</w:t>
            </w:r>
          </w:p>
        </w:tc>
      </w:tr>
      <w:tr w:rsidR="00341322" w:rsidRPr="00C1603D" w14:paraId="21083552" w14:textId="77777777" w:rsidTr="00322FCF">
        <w:trPr>
          <w:cantSplit/>
        </w:trPr>
        <w:tc>
          <w:tcPr>
            <w:tcW w:w="0" w:type="auto"/>
            <w:shd w:val="clear" w:color="auto" w:fill="FFFFFF"/>
            <w:tcMar>
              <w:top w:w="0" w:type="dxa"/>
              <w:left w:w="0" w:type="dxa"/>
              <w:bottom w:w="0" w:type="dxa"/>
              <w:right w:w="0" w:type="dxa"/>
            </w:tcMar>
          </w:tcPr>
          <w:p w14:paraId="24B91835" w14:textId="62561F34" w:rsidR="008B4DF8" w:rsidRPr="00C1603D" w:rsidRDefault="00341322" w:rsidP="00322FCF">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6BE26319" w14:textId="4AE92C0C"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700989C" w14:textId="63ECB0FE" w:rsidR="008B4DF8" w:rsidRPr="00C1603D" w:rsidRDefault="00BB69D4" w:rsidP="00322FCF">
            <w:pPr>
              <w:pStyle w:val="72TabletextTablesTableFigureBoxstyles"/>
            </w:pPr>
            <w:r w:rsidRPr="00C1603D">
              <w:rPr>
                <w:rFonts w:eastAsia="Arial"/>
              </w:rPr>
              <w:t>IDA</w:t>
            </w:r>
          </w:p>
        </w:tc>
        <w:tc>
          <w:tcPr>
            <w:tcW w:w="0" w:type="auto"/>
            <w:shd w:val="clear" w:color="auto" w:fill="FFFFFF"/>
            <w:tcMar>
              <w:top w:w="0" w:type="dxa"/>
              <w:left w:w="0" w:type="dxa"/>
              <w:bottom w:w="0" w:type="dxa"/>
              <w:right w:w="0" w:type="dxa"/>
            </w:tcMar>
          </w:tcPr>
          <w:p w14:paraId="1CEB937B" w14:textId="77777777" w:rsidR="008B4DF8" w:rsidRPr="00C1603D" w:rsidRDefault="008B4DF8" w:rsidP="00322FCF">
            <w:pPr>
              <w:pStyle w:val="72TabletextTablesTableFigureBoxstyles"/>
            </w:pPr>
            <w:r w:rsidRPr="00C1603D">
              <w:rPr>
                <w:rFonts w:eastAsia="Arial"/>
              </w:rPr>
              <w:t>358</w:t>
            </w:r>
          </w:p>
        </w:tc>
        <w:tc>
          <w:tcPr>
            <w:tcW w:w="0" w:type="auto"/>
            <w:shd w:val="clear" w:color="auto" w:fill="FFFFFF"/>
            <w:tcMar>
              <w:top w:w="0" w:type="dxa"/>
              <w:left w:w="0" w:type="dxa"/>
              <w:bottom w:w="0" w:type="dxa"/>
              <w:right w:w="0" w:type="dxa"/>
            </w:tcMar>
          </w:tcPr>
          <w:p w14:paraId="1485A45C" w14:textId="3257FB8F"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5FF2C9E" w14:textId="41D00ECC" w:rsidR="008B4DF8" w:rsidRPr="00C1603D" w:rsidRDefault="00341322" w:rsidP="00322FCF">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095FA961" w14:textId="69A6DA2D" w:rsidR="008B4DF8" w:rsidRPr="00C1603D" w:rsidRDefault="008B4DF8" w:rsidP="00322FCF">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5F1AB02" w14:textId="3CDB65AE" w:rsidR="008B4DF8" w:rsidRPr="00C1603D" w:rsidRDefault="00341322"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33A2B1E" w14:textId="77777777" w:rsidR="008B4DF8" w:rsidRPr="00C1603D" w:rsidRDefault="008B4DF8" w:rsidP="00322FCF">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3994EB00" w14:textId="292845B5" w:rsidR="008B4DF8" w:rsidRPr="00C1603D" w:rsidRDefault="001B7C7E" w:rsidP="00322FCF">
            <w:pPr>
              <w:pStyle w:val="72TabletextTablesTableFigureBoxstyles"/>
            </w:pPr>
            <w:r w:rsidRPr="00C1603D">
              <w:rPr>
                <w:rFonts w:eastAsia="Arial"/>
                <w:noProof/>
              </w:rPr>
              <w:t xml:space="preserve">Kalayci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323</w:t>
            </w:r>
          </w:p>
        </w:tc>
      </w:tr>
      <w:tr w:rsidR="00341322" w:rsidRPr="00C1603D" w14:paraId="0128C163" w14:textId="77777777" w:rsidTr="00322FCF">
        <w:trPr>
          <w:cantSplit/>
        </w:trPr>
        <w:tc>
          <w:tcPr>
            <w:tcW w:w="0" w:type="auto"/>
            <w:shd w:val="clear" w:color="auto" w:fill="FFFFFF"/>
            <w:tcMar>
              <w:top w:w="0" w:type="dxa"/>
              <w:left w:w="0" w:type="dxa"/>
              <w:bottom w:w="0" w:type="dxa"/>
              <w:right w:w="0" w:type="dxa"/>
            </w:tcMar>
          </w:tcPr>
          <w:p w14:paraId="52F247DB" w14:textId="707E6034" w:rsidR="008B4DF8" w:rsidRPr="00C1603D" w:rsidRDefault="00341322" w:rsidP="00322FCF">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33BB77D3" w14:textId="668910F9"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9F09645" w14:textId="12CC85C4" w:rsidR="008B4DF8" w:rsidRPr="00C1603D" w:rsidRDefault="00BB69D4" w:rsidP="00322FCF">
            <w:pPr>
              <w:pStyle w:val="72TabletextTablesTableFigureBoxstyles"/>
            </w:pPr>
            <w:r w:rsidRPr="00C1603D">
              <w:rPr>
                <w:rFonts w:eastAsia="Arial"/>
              </w:rPr>
              <w:t>IDA</w:t>
            </w:r>
          </w:p>
        </w:tc>
        <w:tc>
          <w:tcPr>
            <w:tcW w:w="0" w:type="auto"/>
            <w:shd w:val="clear" w:color="auto" w:fill="FFFFFF"/>
            <w:tcMar>
              <w:top w:w="0" w:type="dxa"/>
              <w:left w:w="0" w:type="dxa"/>
              <w:bottom w:w="0" w:type="dxa"/>
              <w:right w:w="0" w:type="dxa"/>
            </w:tcMar>
          </w:tcPr>
          <w:p w14:paraId="5DC1ACE2" w14:textId="77777777" w:rsidR="008B4DF8" w:rsidRPr="00C1603D" w:rsidRDefault="008B4DF8" w:rsidP="00322FCF">
            <w:pPr>
              <w:pStyle w:val="72TabletextTablesTableFigureBoxstyles"/>
            </w:pPr>
            <w:r w:rsidRPr="00C1603D">
              <w:rPr>
                <w:rFonts w:eastAsia="Arial"/>
              </w:rPr>
              <w:t>184</w:t>
            </w:r>
          </w:p>
        </w:tc>
        <w:tc>
          <w:tcPr>
            <w:tcW w:w="0" w:type="auto"/>
            <w:shd w:val="clear" w:color="auto" w:fill="FFFFFF"/>
            <w:tcMar>
              <w:top w:w="0" w:type="dxa"/>
              <w:left w:w="0" w:type="dxa"/>
              <w:bottom w:w="0" w:type="dxa"/>
              <w:right w:w="0" w:type="dxa"/>
            </w:tcMar>
          </w:tcPr>
          <w:p w14:paraId="6A122F71" w14:textId="745A6EFE" w:rsidR="008B4DF8" w:rsidRPr="00C1603D" w:rsidRDefault="008B4DF8" w:rsidP="00322FCF">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6B2FDFB" w14:textId="264D64A6" w:rsidR="008B4DF8" w:rsidRPr="00C1603D" w:rsidRDefault="00341322" w:rsidP="00322FCF">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2BC670A9" w14:textId="27E2897E" w:rsidR="008B4DF8" w:rsidRPr="00C1603D" w:rsidRDefault="008B4DF8" w:rsidP="00322FCF">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76DCBB23" w14:textId="59C74654" w:rsidR="008B4DF8" w:rsidRPr="00C1603D" w:rsidRDefault="00341322"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D043351" w14:textId="77777777" w:rsidR="008B4DF8" w:rsidRPr="00C1603D" w:rsidRDefault="008B4DF8" w:rsidP="00322FCF">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753158CE" w14:textId="25B85437" w:rsidR="008B4DF8" w:rsidRPr="00C1603D" w:rsidRDefault="001B7C7E" w:rsidP="00322FCF">
            <w:pPr>
              <w:pStyle w:val="72TabletextTablesTableFigureBoxstyles"/>
            </w:pPr>
            <w:r w:rsidRPr="00C1603D">
              <w:rPr>
                <w:rFonts w:eastAsia="Arial"/>
                <w:noProof/>
              </w:rPr>
              <w:t xml:space="preserve">Shahriari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324</w:t>
            </w:r>
          </w:p>
        </w:tc>
      </w:tr>
      <w:tr w:rsidR="00341322" w:rsidRPr="00C1603D" w14:paraId="12D7018D" w14:textId="77777777" w:rsidTr="00322FCF">
        <w:trPr>
          <w:cantSplit/>
        </w:trPr>
        <w:tc>
          <w:tcPr>
            <w:tcW w:w="0" w:type="auto"/>
            <w:shd w:val="clear" w:color="auto" w:fill="FFFFFF"/>
            <w:tcMar>
              <w:top w:w="0" w:type="dxa"/>
              <w:left w:w="0" w:type="dxa"/>
              <w:bottom w:w="0" w:type="dxa"/>
              <w:right w:w="0" w:type="dxa"/>
            </w:tcMar>
          </w:tcPr>
          <w:p w14:paraId="138FB1D5" w14:textId="447B3043" w:rsidR="008B4DF8" w:rsidRPr="00C1603D" w:rsidRDefault="00341322" w:rsidP="00322FCF">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0AA5FB12" w14:textId="149E5D62" w:rsidR="008B4DF8" w:rsidRPr="00C1603D" w:rsidRDefault="00B25FE9" w:rsidP="00322FCF">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C9D937B" w14:textId="32850B88" w:rsidR="008B4DF8" w:rsidRPr="00C1603D" w:rsidRDefault="00BB69D4" w:rsidP="00322FCF">
            <w:pPr>
              <w:pStyle w:val="72TabletextTablesTableFigureBoxstyles"/>
            </w:pPr>
            <w:r w:rsidRPr="00C1603D">
              <w:rPr>
                <w:rFonts w:eastAsia="Arial"/>
              </w:rPr>
              <w:t>IDA</w:t>
            </w:r>
          </w:p>
        </w:tc>
        <w:tc>
          <w:tcPr>
            <w:tcW w:w="0" w:type="auto"/>
            <w:shd w:val="clear" w:color="auto" w:fill="FFFFFF"/>
            <w:tcMar>
              <w:top w:w="0" w:type="dxa"/>
              <w:left w:w="0" w:type="dxa"/>
              <w:bottom w:w="0" w:type="dxa"/>
              <w:right w:w="0" w:type="dxa"/>
            </w:tcMar>
          </w:tcPr>
          <w:p w14:paraId="642F9EC6" w14:textId="77777777" w:rsidR="008B4DF8" w:rsidRPr="00C1603D" w:rsidRDefault="008B4DF8" w:rsidP="00322FCF">
            <w:pPr>
              <w:pStyle w:val="72TabletextTablesTableFigureBoxstyles"/>
            </w:pPr>
            <w:r w:rsidRPr="00C1603D">
              <w:rPr>
                <w:rFonts w:eastAsia="Arial"/>
              </w:rPr>
              <w:t>304</w:t>
            </w:r>
          </w:p>
        </w:tc>
        <w:tc>
          <w:tcPr>
            <w:tcW w:w="0" w:type="auto"/>
            <w:shd w:val="clear" w:color="auto" w:fill="FFFFFF"/>
            <w:tcMar>
              <w:top w:w="0" w:type="dxa"/>
              <w:left w:w="0" w:type="dxa"/>
              <w:bottom w:w="0" w:type="dxa"/>
              <w:right w:w="0" w:type="dxa"/>
            </w:tcMar>
          </w:tcPr>
          <w:p w14:paraId="11EB0642" w14:textId="4C610281" w:rsidR="008B4DF8" w:rsidRPr="00C1603D" w:rsidRDefault="008B4DF8" w:rsidP="00322FCF">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005BD890" w14:textId="5DEFCD2E" w:rsidR="008B4DF8" w:rsidRPr="00C1603D" w:rsidRDefault="00341322" w:rsidP="00322FCF">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5E8FC3D5" w14:textId="6F5F1C03" w:rsidR="008B4DF8" w:rsidRPr="00C1603D" w:rsidRDefault="008B4DF8" w:rsidP="00322FCF">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4C58B312" w14:textId="1135CE0F" w:rsidR="008B4DF8" w:rsidRPr="00C1603D" w:rsidRDefault="00341322" w:rsidP="00322FCF">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1DAA8F6" w14:textId="77777777" w:rsidR="008B4DF8" w:rsidRPr="00C1603D" w:rsidRDefault="008B4DF8" w:rsidP="00322FCF">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3C909CAA" w14:textId="62D40E0D" w:rsidR="008B4DF8" w:rsidRPr="00C1603D" w:rsidRDefault="001B7C7E" w:rsidP="00322FCF">
            <w:pPr>
              <w:pStyle w:val="72TabletextTablesTableFigureBoxstyles"/>
            </w:pPr>
            <w:r w:rsidRPr="00C1603D">
              <w:rPr>
                <w:rFonts w:eastAsia="Arial"/>
                <w:noProof/>
              </w:rPr>
              <w:t xml:space="preserve">Narang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325</w:t>
            </w:r>
          </w:p>
        </w:tc>
      </w:tr>
      <w:tr w:rsidR="00341322" w:rsidRPr="00C1603D" w14:paraId="5D030E99" w14:textId="77777777" w:rsidTr="00322FCF">
        <w:trPr>
          <w:cantSplit/>
        </w:trPr>
        <w:tc>
          <w:tcPr>
            <w:tcW w:w="0" w:type="auto"/>
            <w:shd w:val="clear" w:color="auto" w:fill="FFFFFF"/>
            <w:tcMar>
              <w:top w:w="0" w:type="dxa"/>
              <w:left w:w="0" w:type="dxa"/>
              <w:bottom w:w="0" w:type="dxa"/>
              <w:right w:w="0" w:type="dxa"/>
            </w:tcMar>
          </w:tcPr>
          <w:p w14:paraId="5D6335E5" w14:textId="61ACC021" w:rsidR="008B4DF8" w:rsidRPr="00C1603D" w:rsidRDefault="00341322" w:rsidP="00322FCF">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42176A75" w14:textId="77777777" w:rsidR="008B4DF8" w:rsidRPr="00C1603D" w:rsidRDefault="008B4DF8" w:rsidP="00322FCF">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175BE34C" w14:textId="7D6B3576" w:rsidR="008B4DF8" w:rsidRPr="00C1603D" w:rsidRDefault="00BB69D4" w:rsidP="00322FCF">
            <w:pPr>
              <w:pStyle w:val="72TabletextTablesTableFigureBoxstyles"/>
            </w:pPr>
            <w:r w:rsidRPr="00C1603D">
              <w:rPr>
                <w:rFonts w:eastAsia="Arial"/>
              </w:rPr>
              <w:t>IDA</w:t>
            </w:r>
          </w:p>
        </w:tc>
        <w:tc>
          <w:tcPr>
            <w:tcW w:w="0" w:type="auto"/>
            <w:shd w:val="clear" w:color="auto" w:fill="FFFFFF"/>
            <w:tcMar>
              <w:top w:w="0" w:type="dxa"/>
              <w:left w:w="0" w:type="dxa"/>
              <w:bottom w:w="0" w:type="dxa"/>
              <w:right w:w="0" w:type="dxa"/>
            </w:tcMar>
          </w:tcPr>
          <w:p w14:paraId="3B2B9774" w14:textId="77777777" w:rsidR="008B4DF8" w:rsidRPr="00C1603D" w:rsidRDefault="008B4DF8" w:rsidP="00322FCF">
            <w:pPr>
              <w:pStyle w:val="72TabletextTablesTableFigureBoxstyles"/>
            </w:pPr>
            <w:r w:rsidRPr="00C1603D">
              <w:rPr>
                <w:rFonts w:eastAsia="Arial"/>
              </w:rPr>
              <w:t>1263</w:t>
            </w:r>
          </w:p>
        </w:tc>
        <w:tc>
          <w:tcPr>
            <w:tcW w:w="0" w:type="auto"/>
            <w:shd w:val="clear" w:color="auto" w:fill="FFFFFF"/>
            <w:tcMar>
              <w:top w:w="0" w:type="dxa"/>
              <w:left w:w="0" w:type="dxa"/>
              <w:bottom w:w="0" w:type="dxa"/>
              <w:right w:w="0" w:type="dxa"/>
            </w:tcMar>
          </w:tcPr>
          <w:p w14:paraId="125E0380" w14:textId="40A9EEFF" w:rsidR="008B4DF8" w:rsidRPr="00C1603D" w:rsidRDefault="008B4DF8" w:rsidP="00322FCF">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BB90E7B" w14:textId="77777777" w:rsidR="008B4DF8" w:rsidRPr="00C1603D" w:rsidRDefault="008B4DF8" w:rsidP="00322FCF">
            <w:pPr>
              <w:pStyle w:val="72TabletextTablesTableFigureBoxstyles"/>
            </w:pPr>
            <w:r w:rsidRPr="00C1603D">
              <w:rPr>
                <w:rFonts w:eastAsia="Arial"/>
              </w:rPr>
              <w:t>Children without IDA</w:t>
            </w:r>
          </w:p>
        </w:tc>
        <w:tc>
          <w:tcPr>
            <w:tcW w:w="0" w:type="auto"/>
            <w:shd w:val="clear" w:color="auto" w:fill="FFFFFF"/>
            <w:tcMar>
              <w:top w:w="0" w:type="dxa"/>
              <w:left w:w="0" w:type="dxa"/>
              <w:bottom w:w="0" w:type="dxa"/>
              <w:right w:w="0" w:type="dxa"/>
            </w:tcMar>
          </w:tcPr>
          <w:p w14:paraId="456D5B60" w14:textId="77777777" w:rsidR="008B4DF8" w:rsidRPr="00C1603D" w:rsidRDefault="008B4DF8" w:rsidP="00322FCF">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F5751C9" w14:textId="18855F40" w:rsidR="008B4DF8" w:rsidRPr="00C1603D" w:rsidRDefault="00341322" w:rsidP="00322FCF">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23E952AE" w14:textId="77777777" w:rsidR="008B4DF8" w:rsidRPr="00C1603D" w:rsidRDefault="008B4DF8" w:rsidP="00322FCF">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49159BB3" w14:textId="42C59658" w:rsidR="008B4DF8" w:rsidRPr="00C1603D" w:rsidRDefault="001B7C7E" w:rsidP="00322FCF">
            <w:pPr>
              <w:pStyle w:val="72TabletextTablesTableFigureBoxstyles"/>
            </w:pPr>
            <w:r w:rsidRPr="00C1603D">
              <w:rPr>
                <w:rFonts w:eastAsia="Arial"/>
                <w:noProof/>
              </w:rPr>
              <w:t xml:space="preserve">Ertekin </w:t>
            </w:r>
            <w:r w:rsidRPr="00C1603D">
              <w:rPr>
                <w:rFonts w:eastAsia="Arial"/>
                <w:i/>
                <w:iCs/>
                <w:noProof/>
                <w:color w:val="auto"/>
              </w:rPr>
              <w:t>et al</w:t>
            </w:r>
            <w:r w:rsidRPr="00C1603D">
              <w:rPr>
                <w:rFonts w:eastAsia="Arial"/>
                <w:noProof/>
                <w:color w:val="auto"/>
              </w:rPr>
              <w:t>.</w:t>
            </w:r>
            <w:r w:rsidR="008B4DF8" w:rsidRPr="00C1603D">
              <w:rPr>
                <w:rFonts w:eastAsia="Arial"/>
                <w:noProof/>
                <w:vertAlign w:val="superscript"/>
              </w:rPr>
              <w:t>326</w:t>
            </w:r>
          </w:p>
        </w:tc>
      </w:tr>
      <w:tr w:rsidR="00341322" w:rsidRPr="00C1603D" w14:paraId="065DB85B" w14:textId="77777777" w:rsidTr="00063545">
        <w:trPr>
          <w:cantSplit/>
        </w:trPr>
        <w:tc>
          <w:tcPr>
            <w:tcW w:w="0" w:type="auto"/>
            <w:gridSpan w:val="10"/>
            <w:shd w:val="clear" w:color="auto" w:fill="FFFFFF"/>
            <w:tcMar>
              <w:top w:w="0" w:type="dxa"/>
              <w:left w:w="0" w:type="dxa"/>
              <w:bottom w:w="0" w:type="dxa"/>
              <w:right w:w="0" w:type="dxa"/>
            </w:tcMar>
          </w:tcPr>
          <w:p w14:paraId="69BCADA0" w14:textId="51F2AF5A" w:rsidR="00341322" w:rsidRPr="00C1603D" w:rsidRDefault="00341322" w:rsidP="00341322">
            <w:pPr>
              <w:pStyle w:val="75TablenotesTablesTableFigureBoxstyles"/>
              <w:rPr>
                <w:rFonts w:eastAsia="Arial"/>
                <w:noProof/>
              </w:rPr>
            </w:pPr>
            <w:r w:rsidRPr="00C1603D">
              <w:rPr>
                <w:rFonts w:eastAsia="Arial"/>
                <w:noProof/>
              </w:rPr>
              <w:t>DI, diagnostic indicator; NR, not reported.</w:t>
            </w:r>
          </w:p>
        </w:tc>
      </w:tr>
    </w:tbl>
    <w:p w14:paraId="5953E4FD" w14:textId="22662A87" w:rsidR="008B4DF8" w:rsidRPr="00C1603D" w:rsidRDefault="008B4DF8" w:rsidP="008B4DF8">
      <w:pPr>
        <w:pStyle w:val="70TablelegendTablesTableFigureBoxstyles"/>
      </w:pPr>
      <w:bookmarkStart w:id="583" w:name="_Toc99720739"/>
      <w:r w:rsidRPr="00C1603D">
        <w:rPr>
          <w:b/>
        </w:rPr>
        <w:t>TABLE 2</w:t>
      </w:r>
      <w:r w:rsidR="00032460" w:rsidRPr="00C1603D">
        <w:rPr>
          <w:b/>
        </w:rPr>
        <w:t>9</w:t>
      </w:r>
      <w:r w:rsidRPr="00C1603D">
        <w:rPr>
          <w:b/>
        </w:rPr>
        <w:t> </w:t>
      </w:r>
      <w:r w:rsidRPr="00C1603D">
        <w:t xml:space="preserve">Study characteristic: </w:t>
      </w:r>
      <w:r w:rsidR="00943414" w:rsidRPr="00C1603D">
        <w:t>a</w:t>
      </w:r>
      <w:r w:rsidRPr="00C1603D">
        <w:t>rthritis</w:t>
      </w:r>
      <w:bookmarkEnd w:id="583"/>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37"/>
        <w:gridCol w:w="810"/>
        <w:gridCol w:w="1007"/>
        <w:gridCol w:w="671"/>
        <w:gridCol w:w="678"/>
        <w:gridCol w:w="763"/>
        <w:gridCol w:w="1273"/>
        <w:gridCol w:w="1033"/>
        <w:gridCol w:w="666"/>
        <w:gridCol w:w="1188"/>
      </w:tblGrid>
      <w:tr w:rsidR="007A2DA2" w:rsidRPr="00C1603D" w14:paraId="529A2F9B" w14:textId="77777777" w:rsidTr="00943414">
        <w:trPr>
          <w:cantSplit/>
        </w:trPr>
        <w:tc>
          <w:tcPr>
            <w:tcW w:w="0" w:type="auto"/>
            <w:shd w:val="clear" w:color="auto" w:fill="FFFFFF"/>
            <w:tcMar>
              <w:top w:w="0" w:type="dxa"/>
              <w:left w:w="0" w:type="dxa"/>
              <w:bottom w:w="0" w:type="dxa"/>
              <w:right w:w="0" w:type="dxa"/>
            </w:tcMar>
          </w:tcPr>
          <w:p w14:paraId="02849CD9" w14:textId="38899799" w:rsidR="008B4DF8" w:rsidRPr="00C1603D" w:rsidRDefault="001902E7" w:rsidP="00943414">
            <w:pPr>
              <w:pStyle w:val="710TableheadTablesTableFigureBoxstyles"/>
            </w:pPr>
            <w:r w:rsidRPr="00C1603D">
              <w:rPr>
                <w:rFonts w:eastAsia="Arial"/>
              </w:rPr>
              <w:t>Population</w:t>
            </w:r>
            <w:r w:rsidR="008B4DF8" w:rsidRPr="00C1603D">
              <w:rPr>
                <w:rFonts w:eastAsia="Arial"/>
              </w:rPr>
              <w:t xml:space="preserve"> group</w:t>
            </w:r>
          </w:p>
        </w:tc>
        <w:tc>
          <w:tcPr>
            <w:tcW w:w="0" w:type="auto"/>
            <w:shd w:val="clear" w:color="auto" w:fill="FFFFFF"/>
            <w:tcMar>
              <w:top w:w="0" w:type="dxa"/>
              <w:left w:w="0" w:type="dxa"/>
              <w:bottom w:w="0" w:type="dxa"/>
              <w:right w:w="0" w:type="dxa"/>
            </w:tcMar>
          </w:tcPr>
          <w:p w14:paraId="3481E9A1" w14:textId="69ACE972" w:rsidR="008B4DF8" w:rsidRPr="00C1603D" w:rsidRDefault="008B4DF8" w:rsidP="00943414">
            <w:pPr>
              <w:pStyle w:val="710TableheadTablesTableFigureBoxstyles"/>
            </w:pPr>
            <w:r w:rsidRPr="00C1603D">
              <w:rPr>
                <w:rFonts w:eastAsia="Arial"/>
              </w:rPr>
              <w:t xml:space="preserve">Study </w:t>
            </w:r>
            <w:r w:rsidR="001902E7" w:rsidRPr="00C1603D">
              <w:rPr>
                <w:rFonts w:eastAsia="Arial"/>
              </w:rPr>
              <w:t>d</w:t>
            </w:r>
            <w:r w:rsidRPr="00C1603D">
              <w:rPr>
                <w:rFonts w:eastAsia="Arial"/>
              </w:rPr>
              <w:t>esign</w:t>
            </w:r>
          </w:p>
        </w:tc>
        <w:tc>
          <w:tcPr>
            <w:tcW w:w="0" w:type="auto"/>
            <w:shd w:val="clear" w:color="auto" w:fill="FFFFFF"/>
            <w:tcMar>
              <w:top w:w="0" w:type="dxa"/>
              <w:left w:w="0" w:type="dxa"/>
              <w:bottom w:w="0" w:type="dxa"/>
              <w:right w:w="0" w:type="dxa"/>
            </w:tcMar>
          </w:tcPr>
          <w:p w14:paraId="76EC9330" w14:textId="77777777" w:rsidR="008B4DF8" w:rsidRPr="00C1603D" w:rsidRDefault="008B4DF8" w:rsidP="00943414">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CD79724" w14:textId="2C63EB5C" w:rsidR="008B4DF8" w:rsidRPr="00C1603D" w:rsidRDefault="008B4DF8" w:rsidP="00943414">
            <w:pPr>
              <w:pStyle w:val="710TableheadTablesTableFigureBoxstyles"/>
            </w:pPr>
            <w:r w:rsidRPr="00C1603D">
              <w:rPr>
                <w:rFonts w:eastAsia="Arial"/>
              </w:rPr>
              <w:t>Sample size</w:t>
            </w:r>
            <w:r w:rsidR="001902E7" w:rsidRPr="00C1603D">
              <w:rPr>
                <w:rFonts w:eastAsia="Arial"/>
              </w:rPr>
              <w:t xml:space="preserve"> (</w:t>
            </w:r>
            <w:r w:rsidR="001902E7" w:rsidRPr="00C1603D">
              <w:rPr>
                <w:rFonts w:eastAsia="Arial"/>
                <w:i/>
                <w:iCs/>
              </w:rPr>
              <w:t>n</w:t>
            </w:r>
            <w:r w:rsidR="001902E7" w:rsidRPr="00C1603D">
              <w:rPr>
                <w:rFonts w:eastAsia="Arial"/>
              </w:rPr>
              <w:t>)</w:t>
            </w:r>
          </w:p>
        </w:tc>
        <w:tc>
          <w:tcPr>
            <w:tcW w:w="0" w:type="auto"/>
            <w:shd w:val="clear" w:color="auto" w:fill="FFFFFF"/>
            <w:tcMar>
              <w:top w:w="0" w:type="dxa"/>
              <w:left w:w="0" w:type="dxa"/>
              <w:bottom w:w="0" w:type="dxa"/>
              <w:right w:w="0" w:type="dxa"/>
            </w:tcMar>
          </w:tcPr>
          <w:p w14:paraId="25CE1FEA" w14:textId="77777777" w:rsidR="008B4DF8" w:rsidRPr="00C1603D" w:rsidRDefault="008B4DF8" w:rsidP="00943414">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6FAB13C5" w14:textId="77777777" w:rsidR="008B4DF8" w:rsidRPr="00C1603D" w:rsidRDefault="008B4DF8" w:rsidP="00943414">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11225C83" w14:textId="77777777" w:rsidR="008B4DF8" w:rsidRPr="00C1603D" w:rsidRDefault="008B4DF8" w:rsidP="00943414">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6E43CF73" w14:textId="77777777" w:rsidR="008B4DF8" w:rsidRPr="00C1603D" w:rsidRDefault="008B4DF8" w:rsidP="00943414">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3A7A6205" w14:textId="77777777" w:rsidR="008B4DF8" w:rsidRPr="00C1603D" w:rsidRDefault="008B4DF8" w:rsidP="00943414">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040F1B62" w14:textId="77777777" w:rsidR="008B4DF8" w:rsidRPr="00C1603D" w:rsidRDefault="008B4DF8" w:rsidP="00943414">
            <w:pPr>
              <w:pStyle w:val="710TableheadTablesTableFigureBoxstyles"/>
            </w:pPr>
            <w:r w:rsidRPr="00C1603D">
              <w:rPr>
                <w:rFonts w:eastAsia="Arial"/>
              </w:rPr>
              <w:t>Reference</w:t>
            </w:r>
          </w:p>
        </w:tc>
      </w:tr>
      <w:tr w:rsidR="007A2DA2" w:rsidRPr="00C1603D" w14:paraId="18420CA1" w14:textId="77777777" w:rsidTr="00943414">
        <w:trPr>
          <w:cantSplit/>
        </w:trPr>
        <w:tc>
          <w:tcPr>
            <w:tcW w:w="0" w:type="auto"/>
            <w:shd w:val="clear" w:color="auto" w:fill="FFFFFF"/>
            <w:tcMar>
              <w:top w:w="0" w:type="dxa"/>
              <w:left w:w="0" w:type="dxa"/>
              <w:bottom w:w="0" w:type="dxa"/>
              <w:right w:w="0" w:type="dxa"/>
            </w:tcMar>
          </w:tcPr>
          <w:p w14:paraId="00211F36"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1B6FC30" w14:textId="03C300C9"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3F57F4D" w14:textId="180BD291" w:rsidR="008B4DF8" w:rsidRPr="00C1603D" w:rsidRDefault="00810AE6" w:rsidP="00943414">
            <w:pPr>
              <w:pStyle w:val="72TabletextTablesTableFigureBoxstyles"/>
            </w:pPr>
            <w:r w:rsidRPr="00C1603D">
              <w:rPr>
                <w:rFonts w:eastAsia="Arial"/>
              </w:rPr>
              <w:t>RA</w:t>
            </w:r>
          </w:p>
        </w:tc>
        <w:tc>
          <w:tcPr>
            <w:tcW w:w="0" w:type="auto"/>
            <w:shd w:val="clear" w:color="auto" w:fill="FFFFFF"/>
            <w:tcMar>
              <w:top w:w="0" w:type="dxa"/>
              <w:left w:w="0" w:type="dxa"/>
              <w:bottom w:w="0" w:type="dxa"/>
              <w:right w:w="0" w:type="dxa"/>
            </w:tcMar>
          </w:tcPr>
          <w:p w14:paraId="6C218837" w14:textId="77777777" w:rsidR="008B4DF8" w:rsidRPr="00C1603D" w:rsidRDefault="008B4DF8" w:rsidP="00943414">
            <w:pPr>
              <w:pStyle w:val="72TabletextTablesTableFigureBoxstyles"/>
            </w:pPr>
            <w:r w:rsidRPr="00C1603D">
              <w:rPr>
                <w:rFonts w:eastAsia="Arial"/>
              </w:rPr>
              <w:t>220</w:t>
            </w:r>
          </w:p>
        </w:tc>
        <w:tc>
          <w:tcPr>
            <w:tcW w:w="0" w:type="auto"/>
            <w:shd w:val="clear" w:color="auto" w:fill="FFFFFF"/>
            <w:tcMar>
              <w:top w:w="0" w:type="dxa"/>
              <w:left w:w="0" w:type="dxa"/>
              <w:bottom w:w="0" w:type="dxa"/>
              <w:right w:w="0" w:type="dxa"/>
            </w:tcMar>
          </w:tcPr>
          <w:p w14:paraId="5D7390D4"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3587EFC1"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B0597AE" w14:textId="7774DF4F"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098BC82"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5E84C04F"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25D284EC" w14:textId="6F52B2D4" w:rsidR="008B4DF8" w:rsidRPr="00C1603D" w:rsidRDefault="007A2DA2" w:rsidP="00943414">
            <w:pPr>
              <w:pStyle w:val="72TabletextTablesTableFigureBoxstyles"/>
            </w:pPr>
            <w:r w:rsidRPr="00C1603D">
              <w:rPr>
                <w:rFonts w:eastAsia="Arial"/>
                <w:noProof/>
              </w:rPr>
              <w:t xml:space="preserve">Bizzaro </w:t>
            </w:r>
            <w:r w:rsidRPr="00C1603D">
              <w:rPr>
                <w:rFonts w:eastAsia="Arial"/>
                <w:i/>
                <w:iCs/>
                <w:noProof/>
              </w:rPr>
              <w:t>et al</w:t>
            </w:r>
            <w:r w:rsidRPr="00C1603D">
              <w:rPr>
                <w:rFonts w:eastAsia="Arial"/>
                <w:noProof/>
              </w:rPr>
              <w:t>.</w:t>
            </w:r>
            <w:r w:rsidR="008B4DF8" w:rsidRPr="00C1603D">
              <w:rPr>
                <w:rFonts w:eastAsia="Arial"/>
                <w:noProof/>
                <w:vertAlign w:val="superscript"/>
              </w:rPr>
              <w:t>327</w:t>
            </w:r>
          </w:p>
        </w:tc>
      </w:tr>
      <w:tr w:rsidR="007A2DA2" w:rsidRPr="00C1603D" w14:paraId="4A79E8E0" w14:textId="77777777" w:rsidTr="00943414">
        <w:trPr>
          <w:cantSplit/>
        </w:trPr>
        <w:tc>
          <w:tcPr>
            <w:tcW w:w="0" w:type="auto"/>
            <w:shd w:val="clear" w:color="auto" w:fill="FFFFFF"/>
            <w:tcMar>
              <w:top w:w="0" w:type="dxa"/>
              <w:left w:w="0" w:type="dxa"/>
              <w:bottom w:w="0" w:type="dxa"/>
              <w:right w:w="0" w:type="dxa"/>
            </w:tcMar>
          </w:tcPr>
          <w:p w14:paraId="38EB4D7D"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6087573" w14:textId="3F542B0D"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7D8E89BA" w14:textId="182EF320" w:rsidR="008B4DF8" w:rsidRPr="00C1603D" w:rsidRDefault="00810AE6" w:rsidP="00943414">
            <w:pPr>
              <w:pStyle w:val="72TabletextTablesTableFigureBoxstyles"/>
            </w:pPr>
            <w:r w:rsidRPr="00C1603D">
              <w:rPr>
                <w:rFonts w:eastAsia="Arial"/>
              </w:rPr>
              <w:t>RA</w:t>
            </w:r>
          </w:p>
        </w:tc>
        <w:tc>
          <w:tcPr>
            <w:tcW w:w="0" w:type="auto"/>
            <w:shd w:val="clear" w:color="auto" w:fill="FFFFFF"/>
            <w:tcMar>
              <w:top w:w="0" w:type="dxa"/>
              <w:left w:w="0" w:type="dxa"/>
              <w:bottom w:w="0" w:type="dxa"/>
              <w:right w:w="0" w:type="dxa"/>
            </w:tcMar>
          </w:tcPr>
          <w:p w14:paraId="60469350" w14:textId="77777777" w:rsidR="008B4DF8" w:rsidRPr="00C1603D" w:rsidRDefault="008B4DF8" w:rsidP="00943414">
            <w:pPr>
              <w:pStyle w:val="72TabletextTablesTableFigureBoxstyles"/>
            </w:pPr>
            <w:r w:rsidRPr="00C1603D">
              <w:rPr>
                <w:rFonts w:eastAsia="Arial"/>
              </w:rPr>
              <w:t>83</w:t>
            </w:r>
          </w:p>
        </w:tc>
        <w:tc>
          <w:tcPr>
            <w:tcW w:w="0" w:type="auto"/>
            <w:shd w:val="clear" w:color="auto" w:fill="FFFFFF"/>
            <w:tcMar>
              <w:top w:w="0" w:type="dxa"/>
              <w:left w:w="0" w:type="dxa"/>
              <w:bottom w:w="0" w:type="dxa"/>
              <w:right w:w="0" w:type="dxa"/>
            </w:tcMar>
          </w:tcPr>
          <w:p w14:paraId="0E8E4FE3"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049B798E"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B92F801" w14:textId="77777777" w:rsidR="008B4DF8" w:rsidRPr="00C1603D" w:rsidRDefault="008B4DF8" w:rsidP="00943414">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304119C7"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C86B1D9" w14:textId="77777777" w:rsidR="008B4DF8" w:rsidRPr="00C1603D" w:rsidRDefault="008B4DF8" w:rsidP="00943414">
            <w:pPr>
              <w:pStyle w:val="72TabletextTablesTableFigureBoxstyles"/>
            </w:pPr>
            <w:r w:rsidRPr="00C1603D">
              <w:rPr>
                <w:rFonts w:eastAsia="Arial"/>
              </w:rPr>
              <w:t>Ireland</w:t>
            </w:r>
          </w:p>
        </w:tc>
        <w:tc>
          <w:tcPr>
            <w:tcW w:w="0" w:type="auto"/>
            <w:shd w:val="clear" w:color="auto" w:fill="FFFFFF"/>
            <w:tcMar>
              <w:top w:w="0" w:type="dxa"/>
              <w:left w:w="0" w:type="dxa"/>
              <w:bottom w:w="0" w:type="dxa"/>
              <w:right w:w="0" w:type="dxa"/>
            </w:tcMar>
          </w:tcPr>
          <w:p w14:paraId="6661A167" w14:textId="53139312" w:rsidR="008B4DF8" w:rsidRPr="00C1603D" w:rsidRDefault="007A2DA2" w:rsidP="00943414">
            <w:pPr>
              <w:pStyle w:val="72TabletextTablesTableFigureBoxstyles"/>
            </w:pPr>
            <w:r w:rsidRPr="00C1603D">
              <w:rPr>
                <w:rFonts w:eastAsia="Arial"/>
                <w:noProof/>
              </w:rPr>
              <w:t xml:space="preserve">Feighery </w:t>
            </w:r>
            <w:r w:rsidRPr="00C1603D">
              <w:rPr>
                <w:rFonts w:eastAsia="Arial"/>
                <w:i/>
                <w:iCs/>
                <w:noProof/>
              </w:rPr>
              <w:t>et al</w:t>
            </w:r>
            <w:r w:rsidRPr="00C1603D">
              <w:rPr>
                <w:rFonts w:eastAsia="Arial"/>
                <w:noProof/>
              </w:rPr>
              <w:t>.</w:t>
            </w:r>
            <w:r w:rsidR="008B4DF8" w:rsidRPr="00C1603D">
              <w:rPr>
                <w:rFonts w:eastAsia="Arial"/>
                <w:noProof/>
                <w:vertAlign w:val="superscript"/>
              </w:rPr>
              <w:t>328</w:t>
            </w:r>
          </w:p>
        </w:tc>
      </w:tr>
      <w:tr w:rsidR="007A2DA2" w:rsidRPr="00C1603D" w14:paraId="1BAC0189" w14:textId="77777777" w:rsidTr="00943414">
        <w:trPr>
          <w:cantSplit/>
        </w:trPr>
        <w:tc>
          <w:tcPr>
            <w:tcW w:w="0" w:type="auto"/>
            <w:shd w:val="clear" w:color="auto" w:fill="FFFFFF"/>
            <w:tcMar>
              <w:top w:w="0" w:type="dxa"/>
              <w:left w:w="0" w:type="dxa"/>
              <w:bottom w:w="0" w:type="dxa"/>
              <w:right w:w="0" w:type="dxa"/>
            </w:tcMar>
          </w:tcPr>
          <w:p w14:paraId="41E7A7E6" w14:textId="77777777" w:rsidR="008B4DF8" w:rsidRPr="00C1603D" w:rsidRDefault="008B4DF8" w:rsidP="00943414">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6F210A2E" w14:textId="13AAC478"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1906891" w14:textId="01F54362" w:rsidR="008B4DF8" w:rsidRPr="00C1603D" w:rsidRDefault="00810AE6" w:rsidP="00943414">
            <w:pPr>
              <w:pStyle w:val="72TabletextTablesTableFigureBoxstyles"/>
            </w:pPr>
            <w:r w:rsidRPr="00C1603D">
              <w:rPr>
                <w:rFonts w:eastAsia="Arial"/>
              </w:rPr>
              <w:t>RA</w:t>
            </w:r>
          </w:p>
        </w:tc>
        <w:tc>
          <w:tcPr>
            <w:tcW w:w="0" w:type="auto"/>
            <w:shd w:val="clear" w:color="auto" w:fill="FFFFFF"/>
            <w:tcMar>
              <w:top w:w="0" w:type="dxa"/>
              <w:left w:w="0" w:type="dxa"/>
              <w:bottom w:w="0" w:type="dxa"/>
              <w:right w:w="0" w:type="dxa"/>
            </w:tcMar>
          </w:tcPr>
          <w:p w14:paraId="7C086534" w14:textId="77777777" w:rsidR="008B4DF8" w:rsidRPr="00C1603D" w:rsidRDefault="008B4DF8" w:rsidP="00943414">
            <w:pPr>
              <w:pStyle w:val="72TabletextTablesTableFigureBoxstyles"/>
            </w:pPr>
            <w:r w:rsidRPr="00C1603D">
              <w:rPr>
                <w:rFonts w:eastAsia="Arial"/>
              </w:rPr>
              <w:t>182</w:t>
            </w:r>
          </w:p>
        </w:tc>
        <w:tc>
          <w:tcPr>
            <w:tcW w:w="0" w:type="auto"/>
            <w:shd w:val="clear" w:color="auto" w:fill="FFFFFF"/>
            <w:tcMar>
              <w:top w:w="0" w:type="dxa"/>
              <w:left w:w="0" w:type="dxa"/>
              <w:bottom w:w="0" w:type="dxa"/>
              <w:right w:w="0" w:type="dxa"/>
            </w:tcMar>
          </w:tcPr>
          <w:p w14:paraId="691F769F" w14:textId="438C2C01"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77169FF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A044171" w14:textId="159BF90C"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504F5D33"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FB73C81" w14:textId="77777777" w:rsidR="008B4DF8" w:rsidRPr="00C1603D" w:rsidRDefault="008B4DF8" w:rsidP="00943414">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0398E594" w14:textId="4523427F" w:rsidR="008B4DF8" w:rsidRPr="00C1603D" w:rsidRDefault="007A2DA2" w:rsidP="00943414">
            <w:pPr>
              <w:pStyle w:val="72TabletextTablesTableFigureBoxstyles"/>
            </w:pPr>
            <w:r w:rsidRPr="00C1603D">
              <w:rPr>
                <w:rFonts w:eastAsia="Arial"/>
                <w:noProof/>
              </w:rPr>
              <w:t xml:space="preserve">Nisihara </w:t>
            </w:r>
            <w:r w:rsidRPr="00C1603D">
              <w:rPr>
                <w:rFonts w:eastAsia="Arial"/>
                <w:i/>
                <w:iCs/>
                <w:noProof/>
              </w:rPr>
              <w:t>et al</w:t>
            </w:r>
            <w:r w:rsidRPr="00C1603D">
              <w:rPr>
                <w:rFonts w:eastAsia="Arial"/>
                <w:noProof/>
              </w:rPr>
              <w:t>.</w:t>
            </w:r>
            <w:r w:rsidR="008B4DF8" w:rsidRPr="00C1603D">
              <w:rPr>
                <w:rFonts w:eastAsia="Arial"/>
                <w:noProof/>
                <w:vertAlign w:val="superscript"/>
              </w:rPr>
              <w:t>329</w:t>
            </w:r>
          </w:p>
        </w:tc>
      </w:tr>
      <w:tr w:rsidR="007A2DA2" w:rsidRPr="00C1603D" w14:paraId="0EEC494D" w14:textId="77777777" w:rsidTr="00943414">
        <w:trPr>
          <w:cantSplit/>
        </w:trPr>
        <w:tc>
          <w:tcPr>
            <w:tcW w:w="0" w:type="auto"/>
            <w:shd w:val="clear" w:color="auto" w:fill="FFFFFF"/>
            <w:tcMar>
              <w:top w:w="0" w:type="dxa"/>
              <w:left w:w="0" w:type="dxa"/>
              <w:bottom w:w="0" w:type="dxa"/>
              <w:right w:w="0" w:type="dxa"/>
            </w:tcMar>
          </w:tcPr>
          <w:p w14:paraId="30C3A30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C5267EF" w14:textId="462D1639"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06A2998" w14:textId="1F3E9D1C" w:rsidR="008B4DF8" w:rsidRPr="00C1603D" w:rsidRDefault="008B4DF8" w:rsidP="00943414">
            <w:pPr>
              <w:pStyle w:val="72TabletextTablesTableFigureBoxstyles"/>
            </w:pPr>
            <w:r w:rsidRPr="00C1603D">
              <w:rPr>
                <w:rFonts w:eastAsia="Arial"/>
              </w:rPr>
              <w:t>Arthritis (</w:t>
            </w:r>
            <w:bookmarkStart w:id="584" w:name="_Hlk65240556"/>
            <w:r w:rsidRPr="00C1603D">
              <w:rPr>
                <w:rFonts w:eastAsia="Arial"/>
              </w:rPr>
              <w:t>P</w:t>
            </w:r>
            <w:r w:rsidR="00810AE6" w:rsidRPr="00C1603D">
              <w:rPr>
                <w:rFonts w:eastAsia="Arial"/>
              </w:rPr>
              <w:t>s</w:t>
            </w:r>
            <w:r w:rsidRPr="00C1603D">
              <w:rPr>
                <w:rFonts w:eastAsia="Arial"/>
              </w:rPr>
              <w:t>A, RA or AS</w:t>
            </w:r>
            <w:bookmarkEnd w:id="584"/>
            <w:r w:rsidRPr="00C1603D">
              <w:rPr>
                <w:rFonts w:eastAsia="Arial"/>
              </w:rPr>
              <w:t>)</w:t>
            </w:r>
          </w:p>
        </w:tc>
        <w:tc>
          <w:tcPr>
            <w:tcW w:w="0" w:type="auto"/>
            <w:shd w:val="clear" w:color="auto" w:fill="FFFFFF"/>
            <w:tcMar>
              <w:top w:w="0" w:type="dxa"/>
              <w:left w:w="0" w:type="dxa"/>
              <w:bottom w:w="0" w:type="dxa"/>
              <w:right w:w="0" w:type="dxa"/>
            </w:tcMar>
          </w:tcPr>
          <w:p w14:paraId="63CA8A07" w14:textId="77777777" w:rsidR="008B4DF8" w:rsidRPr="00C1603D" w:rsidRDefault="008B4DF8" w:rsidP="00943414">
            <w:pPr>
              <w:pStyle w:val="72TabletextTablesTableFigureBoxstyles"/>
            </w:pPr>
            <w:r w:rsidRPr="00C1603D">
              <w:rPr>
                <w:rFonts w:eastAsia="Arial"/>
              </w:rPr>
              <w:t>237</w:t>
            </w:r>
          </w:p>
        </w:tc>
        <w:tc>
          <w:tcPr>
            <w:tcW w:w="0" w:type="auto"/>
            <w:shd w:val="clear" w:color="auto" w:fill="FFFFFF"/>
            <w:tcMar>
              <w:top w:w="0" w:type="dxa"/>
              <w:left w:w="0" w:type="dxa"/>
              <w:bottom w:w="0" w:type="dxa"/>
              <w:right w:w="0" w:type="dxa"/>
            </w:tcMar>
          </w:tcPr>
          <w:p w14:paraId="6C1E1844" w14:textId="7380F070"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995CDDB"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3072CCA" w14:textId="4C9FF2FF"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254E203E"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137C2B7"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1335B84E" w14:textId="522907B0" w:rsidR="008B4DF8" w:rsidRPr="00C1603D" w:rsidRDefault="007A2DA2" w:rsidP="00943414">
            <w:pPr>
              <w:pStyle w:val="72TabletextTablesTableFigureBoxstyles"/>
            </w:pPr>
            <w:r w:rsidRPr="00C1603D">
              <w:rPr>
                <w:rFonts w:eastAsia="Arial"/>
                <w:noProof/>
              </w:rPr>
              <w:t xml:space="preserve">Picarelli </w:t>
            </w:r>
            <w:r w:rsidRPr="00C1603D">
              <w:rPr>
                <w:rFonts w:eastAsia="Arial"/>
                <w:i/>
                <w:iCs/>
                <w:noProof/>
              </w:rPr>
              <w:t>et al</w:t>
            </w:r>
            <w:r w:rsidRPr="00C1603D">
              <w:rPr>
                <w:rFonts w:eastAsia="Arial"/>
                <w:noProof/>
              </w:rPr>
              <w:t>.</w:t>
            </w:r>
            <w:r w:rsidR="008B4DF8" w:rsidRPr="00C1603D">
              <w:rPr>
                <w:rFonts w:eastAsia="Arial"/>
                <w:noProof/>
                <w:vertAlign w:val="superscript"/>
              </w:rPr>
              <w:t>330</w:t>
            </w:r>
          </w:p>
        </w:tc>
      </w:tr>
      <w:tr w:rsidR="007A2DA2" w:rsidRPr="00C1603D" w14:paraId="1D037F6A" w14:textId="77777777" w:rsidTr="00943414">
        <w:trPr>
          <w:cantSplit/>
        </w:trPr>
        <w:tc>
          <w:tcPr>
            <w:tcW w:w="0" w:type="auto"/>
            <w:shd w:val="clear" w:color="auto" w:fill="FFFFFF"/>
            <w:tcMar>
              <w:top w:w="0" w:type="dxa"/>
              <w:left w:w="0" w:type="dxa"/>
              <w:bottom w:w="0" w:type="dxa"/>
              <w:right w:w="0" w:type="dxa"/>
            </w:tcMar>
          </w:tcPr>
          <w:p w14:paraId="19C4D4F5"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F2A8782" w14:textId="6CEA54F1"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D9D4B2A" w14:textId="3FD6185D" w:rsidR="008B4DF8" w:rsidRPr="00C1603D" w:rsidRDefault="008B4DF8" w:rsidP="00943414">
            <w:pPr>
              <w:pStyle w:val="72TabletextTablesTableFigureBoxstyles"/>
            </w:pPr>
            <w:r w:rsidRPr="00C1603D">
              <w:rPr>
                <w:rFonts w:eastAsia="Arial"/>
              </w:rPr>
              <w:t>Arthritis (P</w:t>
            </w:r>
            <w:r w:rsidR="007A2DA2" w:rsidRPr="00C1603D">
              <w:rPr>
                <w:rFonts w:eastAsia="Arial"/>
              </w:rPr>
              <w:t>s</w:t>
            </w:r>
            <w:r w:rsidRPr="00C1603D">
              <w:rPr>
                <w:rFonts w:eastAsia="Arial"/>
              </w:rPr>
              <w:t>A, RA or AS)</w:t>
            </w:r>
          </w:p>
        </w:tc>
        <w:tc>
          <w:tcPr>
            <w:tcW w:w="0" w:type="auto"/>
            <w:shd w:val="clear" w:color="auto" w:fill="FFFFFF"/>
            <w:tcMar>
              <w:top w:w="0" w:type="dxa"/>
              <w:left w:w="0" w:type="dxa"/>
              <w:bottom w:w="0" w:type="dxa"/>
              <w:right w:w="0" w:type="dxa"/>
            </w:tcMar>
          </w:tcPr>
          <w:p w14:paraId="665941ED" w14:textId="77777777" w:rsidR="008B4DF8" w:rsidRPr="00C1603D" w:rsidRDefault="008B4DF8" w:rsidP="00943414">
            <w:pPr>
              <w:pStyle w:val="72TabletextTablesTableFigureBoxstyles"/>
            </w:pPr>
            <w:r w:rsidRPr="00C1603D">
              <w:rPr>
                <w:rFonts w:eastAsia="Arial"/>
              </w:rPr>
              <w:t>275</w:t>
            </w:r>
          </w:p>
        </w:tc>
        <w:tc>
          <w:tcPr>
            <w:tcW w:w="0" w:type="auto"/>
            <w:shd w:val="clear" w:color="auto" w:fill="FFFFFF"/>
            <w:tcMar>
              <w:top w:w="0" w:type="dxa"/>
              <w:left w:w="0" w:type="dxa"/>
              <w:bottom w:w="0" w:type="dxa"/>
              <w:right w:w="0" w:type="dxa"/>
            </w:tcMar>
          </w:tcPr>
          <w:p w14:paraId="09431FBB" w14:textId="3494DCDE"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F24FB5C"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8CBDBA0"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3FB575D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F76CEE3"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7BEBB81F" w14:textId="7936EBF5" w:rsidR="008B4DF8" w:rsidRPr="00C1603D" w:rsidRDefault="007A2DA2" w:rsidP="00943414">
            <w:pPr>
              <w:pStyle w:val="72TabletextTablesTableFigureBoxstyles"/>
            </w:pPr>
            <w:r w:rsidRPr="00C1603D">
              <w:rPr>
                <w:rFonts w:eastAsia="Arial"/>
                <w:noProof/>
              </w:rPr>
              <w:t xml:space="preserve">Riente </w:t>
            </w:r>
            <w:r w:rsidRPr="00C1603D">
              <w:rPr>
                <w:rFonts w:eastAsia="Arial"/>
                <w:i/>
                <w:iCs/>
                <w:noProof/>
              </w:rPr>
              <w:t>et al</w:t>
            </w:r>
            <w:r w:rsidRPr="00C1603D">
              <w:rPr>
                <w:rFonts w:eastAsia="Arial"/>
                <w:noProof/>
              </w:rPr>
              <w:t>.</w:t>
            </w:r>
            <w:r w:rsidR="008B4DF8" w:rsidRPr="00C1603D">
              <w:rPr>
                <w:rFonts w:eastAsia="Arial"/>
                <w:noProof/>
                <w:vertAlign w:val="superscript"/>
              </w:rPr>
              <w:t>331</w:t>
            </w:r>
          </w:p>
        </w:tc>
      </w:tr>
      <w:tr w:rsidR="007A2DA2" w:rsidRPr="00C1603D" w14:paraId="404CB8B6" w14:textId="77777777" w:rsidTr="00943414">
        <w:trPr>
          <w:cantSplit/>
        </w:trPr>
        <w:tc>
          <w:tcPr>
            <w:tcW w:w="0" w:type="auto"/>
            <w:shd w:val="clear" w:color="auto" w:fill="FFFFFF"/>
            <w:tcMar>
              <w:top w:w="0" w:type="dxa"/>
              <w:left w:w="0" w:type="dxa"/>
              <w:bottom w:w="0" w:type="dxa"/>
              <w:right w:w="0" w:type="dxa"/>
            </w:tcMar>
          </w:tcPr>
          <w:p w14:paraId="2A3BCC9E" w14:textId="77777777" w:rsidR="007A2DA2" w:rsidRPr="00C1603D" w:rsidRDefault="007A2DA2" w:rsidP="007A2DA2">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3258B56" w14:textId="77777777" w:rsidR="007A2DA2" w:rsidRPr="00C1603D" w:rsidRDefault="007A2DA2" w:rsidP="007A2DA2">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25F3616" w14:textId="3FE49A3F" w:rsidR="007A2DA2" w:rsidRPr="00C1603D" w:rsidRDefault="007A2DA2" w:rsidP="007A2DA2">
            <w:pPr>
              <w:pStyle w:val="72TabletextTablesTableFigureBoxstyles"/>
            </w:pPr>
            <w:r w:rsidRPr="00C1603D">
              <w:rPr>
                <w:rFonts w:eastAsia="Arial"/>
              </w:rPr>
              <w:t>RA</w:t>
            </w:r>
          </w:p>
        </w:tc>
        <w:tc>
          <w:tcPr>
            <w:tcW w:w="0" w:type="auto"/>
            <w:shd w:val="clear" w:color="auto" w:fill="FFFFFF"/>
            <w:tcMar>
              <w:top w:w="0" w:type="dxa"/>
              <w:left w:w="0" w:type="dxa"/>
              <w:bottom w:w="0" w:type="dxa"/>
              <w:right w:w="0" w:type="dxa"/>
            </w:tcMar>
          </w:tcPr>
          <w:p w14:paraId="79AACDA5" w14:textId="77777777" w:rsidR="007A2DA2" w:rsidRPr="00C1603D" w:rsidRDefault="007A2DA2" w:rsidP="007A2DA2">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28A0231C" w14:textId="77777777" w:rsidR="007A2DA2" w:rsidRPr="00C1603D" w:rsidRDefault="007A2DA2" w:rsidP="007A2DA2">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226FBFDE" w14:textId="77777777" w:rsidR="007A2DA2" w:rsidRPr="00C1603D" w:rsidRDefault="007A2DA2" w:rsidP="007A2DA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4206132" w14:textId="7CD5990E" w:rsidR="007A2DA2" w:rsidRPr="00C1603D" w:rsidRDefault="007A2DA2" w:rsidP="007A2DA2">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593D81D2" w14:textId="77777777" w:rsidR="007A2DA2" w:rsidRPr="00C1603D" w:rsidRDefault="007A2DA2" w:rsidP="007A2DA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7AA3A25" w14:textId="49AC1A65" w:rsidR="007A2DA2" w:rsidRPr="00C1603D" w:rsidRDefault="007A2DA2" w:rsidP="007A2DA2">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488563A6" w14:textId="3E1E762D" w:rsidR="007A2DA2" w:rsidRPr="00C1603D" w:rsidRDefault="007A2DA2" w:rsidP="007A2DA2">
            <w:pPr>
              <w:pStyle w:val="72TabletextTablesTableFigureBoxstyles"/>
            </w:pPr>
            <w:r w:rsidRPr="00C1603D">
              <w:rPr>
                <w:rFonts w:eastAsia="Arial"/>
                <w:noProof/>
              </w:rPr>
              <w:t xml:space="preserve">Luft </w:t>
            </w:r>
            <w:r w:rsidRPr="00C1603D">
              <w:rPr>
                <w:rFonts w:eastAsia="Arial"/>
                <w:i/>
                <w:iCs/>
                <w:noProof/>
              </w:rPr>
              <w:t>et al</w:t>
            </w:r>
            <w:r w:rsidRPr="00C1603D">
              <w:rPr>
                <w:rFonts w:eastAsia="Arial"/>
                <w:noProof/>
              </w:rPr>
              <w:t>.</w:t>
            </w:r>
            <w:r w:rsidRPr="00C1603D">
              <w:rPr>
                <w:rFonts w:eastAsia="Arial"/>
                <w:noProof/>
                <w:vertAlign w:val="superscript"/>
              </w:rPr>
              <w:t>332</w:t>
            </w:r>
          </w:p>
        </w:tc>
      </w:tr>
      <w:tr w:rsidR="007A2DA2" w:rsidRPr="00C1603D" w14:paraId="3DC831E5" w14:textId="77777777" w:rsidTr="00943414">
        <w:trPr>
          <w:cantSplit/>
        </w:trPr>
        <w:tc>
          <w:tcPr>
            <w:tcW w:w="0" w:type="auto"/>
            <w:shd w:val="clear" w:color="auto" w:fill="FFFFFF"/>
            <w:tcMar>
              <w:top w:w="0" w:type="dxa"/>
              <w:left w:w="0" w:type="dxa"/>
              <w:bottom w:w="0" w:type="dxa"/>
              <w:right w:w="0" w:type="dxa"/>
            </w:tcMar>
          </w:tcPr>
          <w:p w14:paraId="5A56FD0D" w14:textId="77777777" w:rsidR="007A2DA2" w:rsidRPr="00C1603D" w:rsidRDefault="007A2DA2" w:rsidP="007A2DA2">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636BAE1" w14:textId="77777777" w:rsidR="007A2DA2" w:rsidRPr="00C1603D" w:rsidRDefault="007A2DA2" w:rsidP="007A2DA2">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0CAC3DCE" w14:textId="16052D69" w:rsidR="007A2DA2" w:rsidRPr="00C1603D" w:rsidRDefault="007A2DA2" w:rsidP="007A2DA2">
            <w:pPr>
              <w:pStyle w:val="72TabletextTablesTableFigureBoxstyles"/>
            </w:pPr>
            <w:r w:rsidRPr="00C1603D">
              <w:rPr>
                <w:rFonts w:eastAsia="Arial"/>
              </w:rPr>
              <w:t>RA</w:t>
            </w:r>
          </w:p>
        </w:tc>
        <w:tc>
          <w:tcPr>
            <w:tcW w:w="0" w:type="auto"/>
            <w:shd w:val="clear" w:color="auto" w:fill="FFFFFF"/>
            <w:tcMar>
              <w:top w:w="0" w:type="dxa"/>
              <w:left w:w="0" w:type="dxa"/>
              <w:bottom w:w="0" w:type="dxa"/>
              <w:right w:w="0" w:type="dxa"/>
            </w:tcMar>
          </w:tcPr>
          <w:p w14:paraId="46CBC92C" w14:textId="77777777" w:rsidR="007A2DA2" w:rsidRPr="00C1603D" w:rsidRDefault="007A2DA2" w:rsidP="007A2DA2">
            <w:pPr>
              <w:pStyle w:val="72TabletextTablesTableFigureBoxstyles"/>
            </w:pPr>
            <w:r w:rsidRPr="00C1603D">
              <w:rPr>
                <w:rFonts w:eastAsia="Arial"/>
              </w:rPr>
              <w:t>6919</w:t>
            </w:r>
          </w:p>
        </w:tc>
        <w:tc>
          <w:tcPr>
            <w:tcW w:w="0" w:type="auto"/>
            <w:shd w:val="clear" w:color="auto" w:fill="FFFFFF"/>
            <w:tcMar>
              <w:top w:w="0" w:type="dxa"/>
              <w:left w:w="0" w:type="dxa"/>
              <w:bottom w:w="0" w:type="dxa"/>
              <w:right w:w="0" w:type="dxa"/>
            </w:tcMar>
          </w:tcPr>
          <w:p w14:paraId="12F185D0" w14:textId="4DEA04F1" w:rsidR="007A2DA2" w:rsidRPr="00C1603D" w:rsidRDefault="007A2DA2" w:rsidP="007A2DA2">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56A73475" w14:textId="462E1E2C" w:rsidR="007A2DA2" w:rsidRPr="00C1603D" w:rsidRDefault="007A2DA2" w:rsidP="007A2DA2">
            <w:pPr>
              <w:pStyle w:val="72TabletextTablesTableFigureBoxstyles"/>
            </w:pPr>
            <w:r w:rsidRPr="00C1603D">
              <w:rPr>
                <w:rFonts w:eastAsia="Arial"/>
              </w:rPr>
              <w:t>People without RA</w:t>
            </w:r>
          </w:p>
        </w:tc>
        <w:tc>
          <w:tcPr>
            <w:tcW w:w="0" w:type="auto"/>
            <w:shd w:val="clear" w:color="auto" w:fill="FFFFFF"/>
            <w:tcMar>
              <w:top w:w="0" w:type="dxa"/>
              <w:left w:w="0" w:type="dxa"/>
              <w:bottom w:w="0" w:type="dxa"/>
              <w:right w:w="0" w:type="dxa"/>
            </w:tcMar>
          </w:tcPr>
          <w:p w14:paraId="679459AC" w14:textId="7B97EB30" w:rsidR="007A2DA2" w:rsidRPr="00C1603D" w:rsidRDefault="007A2DA2" w:rsidP="007A2DA2">
            <w:pPr>
              <w:pStyle w:val="72TabletextTablesTableFigureBoxstyles"/>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41410E46" w14:textId="77777777" w:rsidR="007A2DA2" w:rsidRPr="00C1603D" w:rsidRDefault="007A2DA2" w:rsidP="007A2DA2">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77CD77C1" w14:textId="77777777" w:rsidR="007A2DA2" w:rsidRPr="00C1603D" w:rsidRDefault="007A2DA2" w:rsidP="007A2DA2">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20782FA3" w14:textId="04802254" w:rsidR="007A2DA2" w:rsidRPr="00C1603D" w:rsidRDefault="007A2DA2" w:rsidP="007A2DA2">
            <w:pPr>
              <w:pStyle w:val="72TabletextTablesTableFigureBoxstyles"/>
            </w:pPr>
            <w:r w:rsidRPr="00C1603D">
              <w:t xml:space="preserve">Heikkilä </w:t>
            </w:r>
            <w:r w:rsidRPr="00C1603D">
              <w:rPr>
                <w:rFonts w:eastAsia="Arial"/>
                <w:i/>
                <w:iCs/>
                <w:noProof/>
              </w:rPr>
              <w:t>et al</w:t>
            </w:r>
            <w:r w:rsidRPr="00C1603D">
              <w:rPr>
                <w:rFonts w:eastAsia="Arial"/>
                <w:noProof/>
              </w:rPr>
              <w:t>.</w:t>
            </w:r>
            <w:r w:rsidRPr="00C1603D">
              <w:rPr>
                <w:rFonts w:eastAsia="Arial"/>
                <w:noProof/>
                <w:vertAlign w:val="superscript"/>
              </w:rPr>
              <w:t>333</w:t>
            </w:r>
          </w:p>
        </w:tc>
      </w:tr>
      <w:tr w:rsidR="007A2DA2" w:rsidRPr="00C1603D" w14:paraId="0851BF52" w14:textId="77777777" w:rsidTr="00943414">
        <w:trPr>
          <w:cantSplit/>
        </w:trPr>
        <w:tc>
          <w:tcPr>
            <w:tcW w:w="0" w:type="auto"/>
            <w:shd w:val="clear" w:color="auto" w:fill="FFFFFF"/>
            <w:tcMar>
              <w:top w:w="0" w:type="dxa"/>
              <w:left w:w="0" w:type="dxa"/>
              <w:bottom w:w="0" w:type="dxa"/>
              <w:right w:w="0" w:type="dxa"/>
            </w:tcMar>
          </w:tcPr>
          <w:p w14:paraId="442EE214" w14:textId="77777777" w:rsidR="007A2DA2" w:rsidRPr="00C1603D" w:rsidRDefault="007A2DA2" w:rsidP="007A2DA2">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5A3E278" w14:textId="77777777" w:rsidR="007A2DA2" w:rsidRPr="00C1603D" w:rsidRDefault="007A2DA2" w:rsidP="007A2DA2">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0B340132" w14:textId="5EA091E3" w:rsidR="007A2DA2" w:rsidRPr="00C1603D" w:rsidRDefault="007A2DA2" w:rsidP="007A2DA2">
            <w:pPr>
              <w:pStyle w:val="72TabletextTablesTableFigureBoxstyles"/>
            </w:pPr>
            <w:r w:rsidRPr="00C1603D">
              <w:rPr>
                <w:rFonts w:eastAsia="Arial"/>
              </w:rPr>
              <w:t>RA</w:t>
            </w:r>
          </w:p>
        </w:tc>
        <w:tc>
          <w:tcPr>
            <w:tcW w:w="0" w:type="auto"/>
            <w:shd w:val="clear" w:color="auto" w:fill="FFFFFF"/>
            <w:tcMar>
              <w:top w:w="0" w:type="dxa"/>
              <w:left w:w="0" w:type="dxa"/>
              <w:bottom w:w="0" w:type="dxa"/>
              <w:right w:w="0" w:type="dxa"/>
            </w:tcMar>
          </w:tcPr>
          <w:p w14:paraId="651E8858" w14:textId="77777777" w:rsidR="007A2DA2" w:rsidRPr="00C1603D" w:rsidRDefault="007A2DA2" w:rsidP="007A2DA2">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5F61861D" w14:textId="25CC78A7" w:rsidR="007A2DA2" w:rsidRPr="00C1603D" w:rsidRDefault="007A2DA2" w:rsidP="007A2DA2">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3B62E0D3" w14:textId="5C0AF272" w:rsidR="007A2DA2" w:rsidRPr="00C1603D" w:rsidRDefault="007A2DA2" w:rsidP="007A2DA2">
            <w:pPr>
              <w:pStyle w:val="72TabletextTablesTableFigureBoxstyles"/>
            </w:pPr>
            <w:r w:rsidRPr="00C1603D">
              <w:rPr>
                <w:rFonts w:eastAsia="Arial"/>
              </w:rPr>
              <w:t>People without RA</w:t>
            </w:r>
          </w:p>
        </w:tc>
        <w:tc>
          <w:tcPr>
            <w:tcW w:w="0" w:type="auto"/>
            <w:shd w:val="clear" w:color="auto" w:fill="FFFFFF"/>
            <w:tcMar>
              <w:top w:w="0" w:type="dxa"/>
              <w:left w:w="0" w:type="dxa"/>
              <w:bottom w:w="0" w:type="dxa"/>
              <w:right w:w="0" w:type="dxa"/>
            </w:tcMar>
          </w:tcPr>
          <w:p w14:paraId="5B57D3C5" w14:textId="778AC0B4" w:rsidR="007A2DA2" w:rsidRPr="00C1603D" w:rsidRDefault="007A2DA2" w:rsidP="007A2DA2">
            <w:pPr>
              <w:pStyle w:val="72TabletextTablesTableFigureBoxstyles"/>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53641398" w14:textId="77777777" w:rsidR="007A2DA2" w:rsidRPr="00C1603D" w:rsidRDefault="007A2DA2" w:rsidP="007A2DA2">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41507EB1" w14:textId="4EAC7908" w:rsidR="007A2DA2" w:rsidRPr="00C1603D" w:rsidRDefault="007A2DA2" w:rsidP="007A2DA2">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48192949" w14:textId="0C6F1144" w:rsidR="007A2DA2" w:rsidRPr="00C1603D" w:rsidRDefault="007A2DA2" w:rsidP="007A2DA2">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Pr="00C1603D">
              <w:rPr>
                <w:rFonts w:eastAsia="Arial"/>
                <w:noProof/>
                <w:vertAlign w:val="superscript"/>
              </w:rPr>
              <w:t>301</w:t>
            </w:r>
          </w:p>
        </w:tc>
      </w:tr>
      <w:tr w:rsidR="007A2DA2" w:rsidRPr="00C1603D" w14:paraId="02AC081A" w14:textId="77777777" w:rsidTr="00943414">
        <w:trPr>
          <w:cantSplit/>
        </w:trPr>
        <w:tc>
          <w:tcPr>
            <w:tcW w:w="0" w:type="auto"/>
            <w:shd w:val="clear" w:color="auto" w:fill="FFFFFF"/>
            <w:tcMar>
              <w:top w:w="0" w:type="dxa"/>
              <w:left w:w="0" w:type="dxa"/>
              <w:bottom w:w="0" w:type="dxa"/>
              <w:right w:w="0" w:type="dxa"/>
            </w:tcMar>
          </w:tcPr>
          <w:p w14:paraId="4325728C"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0EA842D3" w14:textId="72BD23FC"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8184396" w14:textId="77777777" w:rsidR="008B4DF8" w:rsidRPr="00C1603D" w:rsidRDefault="008B4DF8" w:rsidP="00943414">
            <w:pPr>
              <w:pStyle w:val="72TabletextTablesTableFigureBoxstyles"/>
            </w:pPr>
            <w:r w:rsidRPr="00C1603D">
              <w:rPr>
                <w:rFonts w:eastAsia="Arial"/>
              </w:rPr>
              <w:t>Juvenile rheumatic diseases</w:t>
            </w:r>
          </w:p>
        </w:tc>
        <w:tc>
          <w:tcPr>
            <w:tcW w:w="0" w:type="auto"/>
            <w:shd w:val="clear" w:color="auto" w:fill="FFFFFF"/>
            <w:tcMar>
              <w:top w:w="0" w:type="dxa"/>
              <w:left w:w="0" w:type="dxa"/>
              <w:bottom w:w="0" w:type="dxa"/>
              <w:right w:w="0" w:type="dxa"/>
            </w:tcMar>
          </w:tcPr>
          <w:p w14:paraId="05E5AE68" w14:textId="77777777" w:rsidR="008B4DF8" w:rsidRPr="00C1603D" w:rsidRDefault="008B4DF8" w:rsidP="00943414">
            <w:pPr>
              <w:pStyle w:val="72TabletextTablesTableFigureBoxstyles"/>
            </w:pPr>
            <w:r w:rsidRPr="00C1603D">
              <w:rPr>
                <w:rFonts w:eastAsia="Arial"/>
              </w:rPr>
              <w:t>90</w:t>
            </w:r>
          </w:p>
        </w:tc>
        <w:tc>
          <w:tcPr>
            <w:tcW w:w="0" w:type="auto"/>
            <w:shd w:val="clear" w:color="auto" w:fill="FFFFFF"/>
            <w:tcMar>
              <w:top w:w="0" w:type="dxa"/>
              <w:left w:w="0" w:type="dxa"/>
              <w:bottom w:w="0" w:type="dxa"/>
              <w:right w:w="0" w:type="dxa"/>
            </w:tcMar>
          </w:tcPr>
          <w:p w14:paraId="5760883F" w14:textId="303D761C"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D57C921"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BCBD494"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75A6E038"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DF4B5DD" w14:textId="77777777" w:rsidR="008B4DF8" w:rsidRPr="00C1603D" w:rsidRDefault="008B4DF8" w:rsidP="00943414">
            <w:pPr>
              <w:pStyle w:val="72TabletextTablesTableFigureBoxstyles"/>
            </w:pPr>
            <w:r w:rsidRPr="00C1603D">
              <w:rPr>
                <w:rFonts w:eastAsia="Arial"/>
              </w:rPr>
              <w:t>Egypt</w:t>
            </w:r>
          </w:p>
        </w:tc>
        <w:tc>
          <w:tcPr>
            <w:tcW w:w="0" w:type="auto"/>
            <w:shd w:val="clear" w:color="auto" w:fill="FFFFFF"/>
            <w:tcMar>
              <w:top w:w="0" w:type="dxa"/>
              <w:left w:w="0" w:type="dxa"/>
              <w:bottom w:w="0" w:type="dxa"/>
              <w:right w:w="0" w:type="dxa"/>
            </w:tcMar>
          </w:tcPr>
          <w:p w14:paraId="4FF199F4" w14:textId="6499A0D8" w:rsidR="008B4DF8" w:rsidRPr="00C1603D" w:rsidRDefault="007A2DA2" w:rsidP="00943414">
            <w:pPr>
              <w:pStyle w:val="72TabletextTablesTableFigureBoxstyles"/>
            </w:pPr>
            <w:r w:rsidRPr="00C1603D">
              <w:rPr>
                <w:rFonts w:eastAsia="Arial"/>
                <w:noProof/>
              </w:rPr>
              <w:t xml:space="preserve">Gheita </w:t>
            </w:r>
            <w:r w:rsidRPr="00C1603D">
              <w:rPr>
                <w:rFonts w:eastAsia="Arial"/>
                <w:i/>
                <w:iCs/>
                <w:noProof/>
              </w:rPr>
              <w:t>et al</w:t>
            </w:r>
            <w:r w:rsidRPr="00C1603D">
              <w:rPr>
                <w:rFonts w:eastAsia="Arial"/>
                <w:noProof/>
              </w:rPr>
              <w:t>.</w:t>
            </w:r>
            <w:r w:rsidR="008B4DF8" w:rsidRPr="00C1603D">
              <w:rPr>
                <w:rFonts w:eastAsia="Arial"/>
                <w:noProof/>
                <w:vertAlign w:val="superscript"/>
              </w:rPr>
              <w:t>334</w:t>
            </w:r>
          </w:p>
        </w:tc>
      </w:tr>
      <w:tr w:rsidR="007A2DA2" w:rsidRPr="00C1603D" w14:paraId="10EA6666" w14:textId="77777777" w:rsidTr="00943414">
        <w:trPr>
          <w:cantSplit/>
        </w:trPr>
        <w:tc>
          <w:tcPr>
            <w:tcW w:w="0" w:type="auto"/>
            <w:shd w:val="clear" w:color="auto" w:fill="FFFFFF"/>
            <w:tcMar>
              <w:top w:w="0" w:type="dxa"/>
              <w:left w:w="0" w:type="dxa"/>
              <w:bottom w:w="0" w:type="dxa"/>
              <w:right w:w="0" w:type="dxa"/>
            </w:tcMar>
          </w:tcPr>
          <w:p w14:paraId="1CBF747C"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7E484E0" w14:textId="580CD5BA"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4CA6F54" w14:textId="77777777" w:rsidR="008B4DF8" w:rsidRPr="00C1603D" w:rsidRDefault="008B4DF8" w:rsidP="00943414">
            <w:pPr>
              <w:pStyle w:val="72TabletextTablesTableFigureBoxstyles"/>
            </w:pPr>
            <w:r w:rsidRPr="00C1603D">
              <w:rPr>
                <w:rFonts w:eastAsia="Arial"/>
              </w:rPr>
              <w:t>Juvenile idiopathic arthritis</w:t>
            </w:r>
          </w:p>
        </w:tc>
        <w:tc>
          <w:tcPr>
            <w:tcW w:w="0" w:type="auto"/>
            <w:shd w:val="clear" w:color="auto" w:fill="FFFFFF"/>
            <w:tcMar>
              <w:top w:w="0" w:type="dxa"/>
              <w:left w:w="0" w:type="dxa"/>
              <w:bottom w:w="0" w:type="dxa"/>
              <w:right w:w="0" w:type="dxa"/>
            </w:tcMar>
          </w:tcPr>
          <w:p w14:paraId="351D9700" w14:textId="77777777" w:rsidR="008B4DF8" w:rsidRPr="00C1603D" w:rsidRDefault="008B4DF8" w:rsidP="00943414">
            <w:pPr>
              <w:pStyle w:val="72TabletextTablesTableFigureBoxstyles"/>
            </w:pPr>
            <w:r w:rsidRPr="00C1603D">
              <w:rPr>
                <w:rFonts w:eastAsia="Arial"/>
              </w:rPr>
              <w:t>181</w:t>
            </w:r>
          </w:p>
        </w:tc>
        <w:tc>
          <w:tcPr>
            <w:tcW w:w="0" w:type="auto"/>
            <w:shd w:val="clear" w:color="auto" w:fill="FFFFFF"/>
            <w:tcMar>
              <w:top w:w="0" w:type="dxa"/>
              <w:left w:w="0" w:type="dxa"/>
              <w:bottom w:w="0" w:type="dxa"/>
              <w:right w:w="0" w:type="dxa"/>
            </w:tcMar>
          </w:tcPr>
          <w:p w14:paraId="4B36984A" w14:textId="40E8E909"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087D3F0E"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7E8AC57" w14:textId="0A52FA4A"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44285E8C"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5BBFEBA3"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6CBFB0B1" w14:textId="308CF60F" w:rsidR="008B4DF8" w:rsidRPr="00C1603D" w:rsidRDefault="007A2DA2" w:rsidP="00943414">
            <w:pPr>
              <w:pStyle w:val="72TabletextTablesTableFigureBoxstyles"/>
            </w:pPr>
            <w:r w:rsidRPr="00C1603D">
              <w:rPr>
                <w:rFonts w:eastAsia="Arial"/>
                <w:noProof/>
              </w:rPr>
              <w:t xml:space="preserve">Sahin </w:t>
            </w:r>
            <w:r w:rsidRPr="00C1603D">
              <w:rPr>
                <w:rFonts w:eastAsia="Arial"/>
                <w:i/>
                <w:iCs/>
                <w:noProof/>
              </w:rPr>
              <w:t>et al</w:t>
            </w:r>
            <w:r w:rsidRPr="00C1603D">
              <w:rPr>
                <w:rFonts w:eastAsia="Arial"/>
                <w:noProof/>
              </w:rPr>
              <w:t>.</w:t>
            </w:r>
            <w:r w:rsidR="008B4DF8" w:rsidRPr="00C1603D">
              <w:rPr>
                <w:rFonts w:eastAsia="Arial"/>
                <w:noProof/>
                <w:vertAlign w:val="superscript"/>
              </w:rPr>
              <w:t>335</w:t>
            </w:r>
          </w:p>
        </w:tc>
      </w:tr>
      <w:tr w:rsidR="007A2DA2" w:rsidRPr="00C1603D" w14:paraId="7E5E6BC7" w14:textId="77777777" w:rsidTr="00943414">
        <w:trPr>
          <w:cantSplit/>
        </w:trPr>
        <w:tc>
          <w:tcPr>
            <w:tcW w:w="0" w:type="auto"/>
            <w:shd w:val="clear" w:color="auto" w:fill="FFFFFF"/>
            <w:tcMar>
              <w:top w:w="0" w:type="dxa"/>
              <w:left w:w="0" w:type="dxa"/>
              <w:bottom w:w="0" w:type="dxa"/>
              <w:right w:w="0" w:type="dxa"/>
            </w:tcMar>
          </w:tcPr>
          <w:p w14:paraId="0B670058"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0984E6AC" w14:textId="0A2AE5E6"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A91F886" w14:textId="77777777" w:rsidR="008B4DF8" w:rsidRPr="00C1603D" w:rsidRDefault="008B4DF8" w:rsidP="00943414">
            <w:pPr>
              <w:pStyle w:val="72TabletextTablesTableFigureBoxstyles"/>
            </w:pPr>
            <w:r w:rsidRPr="00C1603D">
              <w:rPr>
                <w:rFonts w:eastAsia="Arial"/>
              </w:rPr>
              <w:t>Juvenile idiopathic arthritis</w:t>
            </w:r>
          </w:p>
        </w:tc>
        <w:tc>
          <w:tcPr>
            <w:tcW w:w="0" w:type="auto"/>
            <w:shd w:val="clear" w:color="auto" w:fill="FFFFFF"/>
            <w:tcMar>
              <w:top w:w="0" w:type="dxa"/>
              <w:left w:w="0" w:type="dxa"/>
              <w:bottom w:w="0" w:type="dxa"/>
              <w:right w:w="0" w:type="dxa"/>
            </w:tcMar>
          </w:tcPr>
          <w:p w14:paraId="5CF814AE" w14:textId="77777777" w:rsidR="008B4DF8" w:rsidRPr="00C1603D" w:rsidRDefault="008B4DF8" w:rsidP="00943414">
            <w:pPr>
              <w:pStyle w:val="72TabletextTablesTableFigureBoxstyles"/>
            </w:pPr>
            <w:r w:rsidRPr="00C1603D">
              <w:rPr>
                <w:rFonts w:eastAsia="Arial"/>
              </w:rPr>
              <w:t>205</w:t>
            </w:r>
          </w:p>
        </w:tc>
        <w:tc>
          <w:tcPr>
            <w:tcW w:w="0" w:type="auto"/>
            <w:shd w:val="clear" w:color="auto" w:fill="FFFFFF"/>
            <w:tcMar>
              <w:top w:w="0" w:type="dxa"/>
              <w:left w:w="0" w:type="dxa"/>
              <w:bottom w:w="0" w:type="dxa"/>
              <w:right w:w="0" w:type="dxa"/>
            </w:tcMar>
          </w:tcPr>
          <w:p w14:paraId="343E358C" w14:textId="4240E871"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519909A2"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7137A85" w14:textId="60FFC9BC"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41502505"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AA90F74" w14:textId="77777777" w:rsidR="008B4DF8" w:rsidRPr="00C1603D" w:rsidRDefault="008B4DF8" w:rsidP="00943414">
            <w:pPr>
              <w:pStyle w:val="72TabletextTablesTableFigureBoxstyles"/>
            </w:pPr>
            <w:r w:rsidRPr="00C1603D">
              <w:rPr>
                <w:rFonts w:eastAsia="Arial"/>
              </w:rPr>
              <w:t>Austria</w:t>
            </w:r>
          </w:p>
        </w:tc>
        <w:tc>
          <w:tcPr>
            <w:tcW w:w="0" w:type="auto"/>
            <w:shd w:val="clear" w:color="auto" w:fill="FFFFFF"/>
            <w:tcMar>
              <w:top w:w="0" w:type="dxa"/>
              <w:left w:w="0" w:type="dxa"/>
              <w:bottom w:w="0" w:type="dxa"/>
              <w:right w:w="0" w:type="dxa"/>
            </w:tcMar>
          </w:tcPr>
          <w:p w14:paraId="02C2986E" w14:textId="0AA99C70" w:rsidR="008B4DF8" w:rsidRPr="00C1603D" w:rsidRDefault="007A2DA2" w:rsidP="00943414">
            <w:pPr>
              <w:pStyle w:val="72TabletextTablesTableFigureBoxstyles"/>
            </w:pPr>
            <w:r w:rsidRPr="00C1603D">
              <w:rPr>
                <w:rFonts w:eastAsia="Arial"/>
                <w:noProof/>
              </w:rPr>
              <w:t>Skrabl-Baumgar</w:t>
            </w:r>
            <w:r w:rsidR="002E7FE7" w:rsidRPr="00C1603D">
              <w:rPr>
                <w:rFonts w:eastAsia="Arial"/>
                <w:noProof/>
              </w:rPr>
              <w:t>t</w:t>
            </w:r>
            <w:r w:rsidRPr="00C1603D">
              <w:rPr>
                <w:rFonts w:eastAsia="Arial"/>
                <w:noProof/>
              </w:rPr>
              <w:t xml:space="preserve">ner </w:t>
            </w:r>
            <w:r w:rsidRPr="00C1603D">
              <w:rPr>
                <w:rFonts w:eastAsia="Arial"/>
                <w:i/>
                <w:iCs/>
                <w:noProof/>
              </w:rPr>
              <w:t>et al</w:t>
            </w:r>
            <w:r w:rsidRPr="00C1603D">
              <w:rPr>
                <w:rFonts w:eastAsia="Arial"/>
                <w:noProof/>
              </w:rPr>
              <w:t>.</w:t>
            </w:r>
            <w:r w:rsidR="008B4DF8" w:rsidRPr="00C1603D">
              <w:rPr>
                <w:rFonts w:eastAsia="Arial"/>
                <w:noProof/>
                <w:vertAlign w:val="superscript"/>
              </w:rPr>
              <w:t>336</w:t>
            </w:r>
          </w:p>
        </w:tc>
      </w:tr>
      <w:tr w:rsidR="007A2DA2" w:rsidRPr="00C1603D" w14:paraId="18DB055E" w14:textId="77777777" w:rsidTr="00943414">
        <w:trPr>
          <w:cantSplit/>
        </w:trPr>
        <w:tc>
          <w:tcPr>
            <w:tcW w:w="0" w:type="auto"/>
            <w:shd w:val="clear" w:color="auto" w:fill="FFFFFF"/>
            <w:tcMar>
              <w:top w:w="0" w:type="dxa"/>
              <w:left w:w="0" w:type="dxa"/>
              <w:bottom w:w="0" w:type="dxa"/>
              <w:right w:w="0" w:type="dxa"/>
            </w:tcMar>
          </w:tcPr>
          <w:p w14:paraId="0759BDDD"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18D5888D" w14:textId="7D8AEDFD"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2E444B7" w14:textId="77777777" w:rsidR="008B4DF8" w:rsidRPr="00C1603D" w:rsidRDefault="008B4DF8" w:rsidP="00943414">
            <w:pPr>
              <w:pStyle w:val="72TabletextTablesTableFigureBoxstyles"/>
            </w:pPr>
            <w:r w:rsidRPr="00C1603D">
              <w:rPr>
                <w:rFonts w:eastAsia="Arial"/>
              </w:rPr>
              <w:t>Juvenile idiopathic arthritis</w:t>
            </w:r>
          </w:p>
        </w:tc>
        <w:tc>
          <w:tcPr>
            <w:tcW w:w="0" w:type="auto"/>
            <w:shd w:val="clear" w:color="auto" w:fill="FFFFFF"/>
            <w:tcMar>
              <w:top w:w="0" w:type="dxa"/>
              <w:left w:w="0" w:type="dxa"/>
              <w:bottom w:w="0" w:type="dxa"/>
              <w:right w:w="0" w:type="dxa"/>
            </w:tcMar>
          </w:tcPr>
          <w:p w14:paraId="1A2D02DD" w14:textId="77777777" w:rsidR="008B4DF8" w:rsidRPr="00C1603D" w:rsidRDefault="008B4DF8" w:rsidP="00943414">
            <w:pPr>
              <w:pStyle w:val="72TabletextTablesTableFigureBoxstyles"/>
            </w:pPr>
            <w:r w:rsidRPr="00C1603D">
              <w:rPr>
                <w:rFonts w:eastAsia="Arial"/>
              </w:rPr>
              <w:t>309</w:t>
            </w:r>
          </w:p>
        </w:tc>
        <w:tc>
          <w:tcPr>
            <w:tcW w:w="0" w:type="auto"/>
            <w:shd w:val="clear" w:color="auto" w:fill="FFFFFF"/>
            <w:tcMar>
              <w:top w:w="0" w:type="dxa"/>
              <w:left w:w="0" w:type="dxa"/>
              <w:bottom w:w="0" w:type="dxa"/>
              <w:right w:w="0" w:type="dxa"/>
            </w:tcMar>
          </w:tcPr>
          <w:p w14:paraId="4BD39EB8" w14:textId="4F221FA6"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07CC8CC"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E2FE652" w14:textId="0A8F476E"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EA391B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419B641"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7971ABDC" w14:textId="76D0FC40" w:rsidR="008B4DF8" w:rsidRPr="00C1603D" w:rsidRDefault="002E7FE7" w:rsidP="00943414">
            <w:pPr>
              <w:pStyle w:val="72TabletextTablesTableFigureBoxstyles"/>
            </w:pPr>
            <w:r w:rsidRPr="00C1603D">
              <w:rPr>
                <w:rFonts w:eastAsia="Arial"/>
                <w:noProof/>
              </w:rPr>
              <w:t xml:space="preserve">Stagi </w:t>
            </w:r>
            <w:r w:rsidRPr="00C1603D">
              <w:rPr>
                <w:rFonts w:eastAsia="Arial"/>
                <w:i/>
                <w:iCs/>
                <w:noProof/>
              </w:rPr>
              <w:t>et al</w:t>
            </w:r>
            <w:r w:rsidRPr="00C1603D">
              <w:rPr>
                <w:rFonts w:eastAsia="Arial"/>
                <w:noProof/>
              </w:rPr>
              <w:t>.</w:t>
            </w:r>
            <w:r w:rsidR="008B4DF8" w:rsidRPr="00C1603D">
              <w:rPr>
                <w:rFonts w:eastAsia="Arial"/>
                <w:noProof/>
                <w:vertAlign w:val="superscript"/>
              </w:rPr>
              <w:t>337</w:t>
            </w:r>
          </w:p>
        </w:tc>
      </w:tr>
      <w:tr w:rsidR="007A2DA2" w:rsidRPr="00C1603D" w14:paraId="51F1B4CB" w14:textId="77777777" w:rsidTr="00943414">
        <w:trPr>
          <w:cantSplit/>
        </w:trPr>
        <w:tc>
          <w:tcPr>
            <w:tcW w:w="0" w:type="auto"/>
            <w:shd w:val="clear" w:color="auto" w:fill="FFFFFF"/>
            <w:tcMar>
              <w:top w:w="0" w:type="dxa"/>
              <w:left w:w="0" w:type="dxa"/>
              <w:bottom w:w="0" w:type="dxa"/>
              <w:right w:w="0" w:type="dxa"/>
            </w:tcMar>
          </w:tcPr>
          <w:p w14:paraId="2569B719"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63A20CA7"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5ACC42F3" w14:textId="77777777" w:rsidR="008B4DF8" w:rsidRPr="00C1603D" w:rsidRDefault="008B4DF8" w:rsidP="00943414">
            <w:pPr>
              <w:pStyle w:val="72TabletextTablesTableFigureBoxstyles"/>
            </w:pPr>
            <w:r w:rsidRPr="00C1603D">
              <w:rPr>
                <w:rFonts w:eastAsia="Arial"/>
              </w:rPr>
              <w:t>Juvenile idiopathic arthritis</w:t>
            </w:r>
          </w:p>
        </w:tc>
        <w:tc>
          <w:tcPr>
            <w:tcW w:w="0" w:type="auto"/>
            <w:shd w:val="clear" w:color="auto" w:fill="FFFFFF"/>
            <w:tcMar>
              <w:top w:w="0" w:type="dxa"/>
              <w:left w:w="0" w:type="dxa"/>
              <w:bottom w:w="0" w:type="dxa"/>
              <w:right w:w="0" w:type="dxa"/>
            </w:tcMar>
          </w:tcPr>
          <w:p w14:paraId="69314DC6" w14:textId="77777777" w:rsidR="008B4DF8" w:rsidRPr="00C1603D" w:rsidRDefault="008B4DF8" w:rsidP="00943414">
            <w:pPr>
              <w:pStyle w:val="72TabletextTablesTableFigureBoxstyles"/>
            </w:pPr>
            <w:r w:rsidRPr="00C1603D">
              <w:rPr>
                <w:rFonts w:eastAsia="Arial"/>
              </w:rPr>
              <w:t>70</w:t>
            </w:r>
          </w:p>
        </w:tc>
        <w:tc>
          <w:tcPr>
            <w:tcW w:w="0" w:type="auto"/>
            <w:shd w:val="clear" w:color="auto" w:fill="FFFFFF"/>
            <w:tcMar>
              <w:top w:w="0" w:type="dxa"/>
              <w:left w:w="0" w:type="dxa"/>
              <w:bottom w:w="0" w:type="dxa"/>
              <w:right w:w="0" w:type="dxa"/>
            </w:tcMar>
          </w:tcPr>
          <w:p w14:paraId="23819B8B" w14:textId="6B251305"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E38EB94"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8B25C91" w14:textId="536D99F0"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5D95EB4F"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B711E39" w14:textId="77777777" w:rsidR="008B4DF8" w:rsidRPr="00C1603D" w:rsidRDefault="008B4DF8" w:rsidP="00943414">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1DA15976" w14:textId="5FAAA8B2" w:rsidR="008B4DF8" w:rsidRPr="00C1603D" w:rsidRDefault="002E7FE7" w:rsidP="00943414">
            <w:pPr>
              <w:pStyle w:val="72TabletextTablesTableFigureBoxstyles"/>
            </w:pPr>
            <w:r w:rsidRPr="00C1603D">
              <w:rPr>
                <w:rFonts w:eastAsia="Arial"/>
                <w:noProof/>
              </w:rPr>
              <w:t xml:space="preserve">Robazzi </w:t>
            </w:r>
            <w:r w:rsidRPr="00C1603D">
              <w:rPr>
                <w:rFonts w:eastAsia="Arial"/>
                <w:i/>
                <w:iCs/>
                <w:noProof/>
              </w:rPr>
              <w:t>et al</w:t>
            </w:r>
            <w:r w:rsidRPr="00C1603D">
              <w:rPr>
                <w:rFonts w:eastAsia="Arial"/>
                <w:noProof/>
              </w:rPr>
              <w:t>.</w:t>
            </w:r>
            <w:r w:rsidR="008B4DF8" w:rsidRPr="00C1603D">
              <w:rPr>
                <w:rFonts w:eastAsia="Arial"/>
                <w:noProof/>
                <w:vertAlign w:val="superscript"/>
              </w:rPr>
              <w:t>338</w:t>
            </w:r>
          </w:p>
        </w:tc>
      </w:tr>
      <w:tr w:rsidR="007A2DA2" w:rsidRPr="00C1603D" w14:paraId="66B8D22B" w14:textId="77777777" w:rsidTr="00943414">
        <w:trPr>
          <w:cantSplit/>
        </w:trPr>
        <w:tc>
          <w:tcPr>
            <w:tcW w:w="0" w:type="auto"/>
            <w:shd w:val="clear" w:color="auto" w:fill="FFFFFF"/>
            <w:tcMar>
              <w:top w:w="0" w:type="dxa"/>
              <w:left w:w="0" w:type="dxa"/>
              <w:bottom w:w="0" w:type="dxa"/>
              <w:right w:w="0" w:type="dxa"/>
            </w:tcMar>
          </w:tcPr>
          <w:p w14:paraId="40B1C10A"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7E4768AE" w14:textId="006D8BE4"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487E96E" w14:textId="77777777" w:rsidR="008B4DF8" w:rsidRPr="00C1603D" w:rsidRDefault="008B4DF8" w:rsidP="00943414">
            <w:pPr>
              <w:pStyle w:val="72TabletextTablesTableFigureBoxstyles"/>
            </w:pPr>
            <w:r w:rsidRPr="00C1603D">
              <w:rPr>
                <w:rFonts w:eastAsia="Arial"/>
              </w:rPr>
              <w:t>Juvenile idiopathic arthritis</w:t>
            </w:r>
          </w:p>
        </w:tc>
        <w:tc>
          <w:tcPr>
            <w:tcW w:w="0" w:type="auto"/>
            <w:shd w:val="clear" w:color="auto" w:fill="FFFFFF"/>
            <w:tcMar>
              <w:top w:w="0" w:type="dxa"/>
              <w:left w:w="0" w:type="dxa"/>
              <w:bottom w:w="0" w:type="dxa"/>
              <w:right w:w="0" w:type="dxa"/>
            </w:tcMar>
          </w:tcPr>
          <w:p w14:paraId="3D12CB25" w14:textId="77777777" w:rsidR="008B4DF8" w:rsidRPr="00C1603D" w:rsidRDefault="008B4DF8" w:rsidP="00943414">
            <w:pPr>
              <w:pStyle w:val="72TabletextTablesTableFigureBoxstyles"/>
            </w:pPr>
            <w:r w:rsidRPr="00C1603D">
              <w:rPr>
                <w:rFonts w:eastAsia="Arial"/>
              </w:rPr>
              <w:t>1025</w:t>
            </w:r>
          </w:p>
        </w:tc>
        <w:tc>
          <w:tcPr>
            <w:tcW w:w="0" w:type="auto"/>
            <w:shd w:val="clear" w:color="auto" w:fill="FFFFFF"/>
            <w:tcMar>
              <w:top w:w="0" w:type="dxa"/>
              <w:left w:w="0" w:type="dxa"/>
              <w:bottom w:w="0" w:type="dxa"/>
              <w:right w:w="0" w:type="dxa"/>
            </w:tcMar>
          </w:tcPr>
          <w:p w14:paraId="15082E66"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75E8BE5E"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CDC08A4"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20447C62"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E64785D" w14:textId="2B03DFC6" w:rsidR="008B4DF8" w:rsidRPr="00C1603D" w:rsidRDefault="008B4DF8" w:rsidP="00943414">
            <w:pPr>
              <w:pStyle w:val="72TabletextTablesTableFigureBoxstyles"/>
            </w:pPr>
            <w:r w:rsidRPr="00C1603D">
              <w:rPr>
                <w:rFonts w:eastAsia="Arial"/>
              </w:rPr>
              <w:t>US</w:t>
            </w:r>
            <w:r w:rsidR="007A2DA2" w:rsidRPr="00C1603D">
              <w:rPr>
                <w:rFonts w:eastAsia="Arial"/>
              </w:rPr>
              <w:t>A</w:t>
            </w:r>
          </w:p>
        </w:tc>
        <w:tc>
          <w:tcPr>
            <w:tcW w:w="0" w:type="auto"/>
            <w:shd w:val="clear" w:color="auto" w:fill="FFFFFF"/>
            <w:tcMar>
              <w:top w:w="0" w:type="dxa"/>
              <w:left w:w="0" w:type="dxa"/>
              <w:bottom w:w="0" w:type="dxa"/>
              <w:right w:w="0" w:type="dxa"/>
            </w:tcMar>
          </w:tcPr>
          <w:p w14:paraId="6F6A93E6" w14:textId="497DE239" w:rsidR="008B4DF8" w:rsidRPr="00C1603D" w:rsidRDefault="002E7FE7" w:rsidP="00943414">
            <w:pPr>
              <w:pStyle w:val="72TabletextTablesTableFigureBoxstyles"/>
            </w:pPr>
            <w:r w:rsidRPr="00C1603D">
              <w:rPr>
                <w:rFonts w:eastAsia="Arial"/>
                <w:noProof/>
              </w:rPr>
              <w:t xml:space="preserve">Taneja </w:t>
            </w:r>
            <w:r w:rsidRPr="00C1603D">
              <w:rPr>
                <w:rFonts w:eastAsia="Arial"/>
                <w:i/>
                <w:iCs/>
                <w:noProof/>
              </w:rPr>
              <w:t>et al</w:t>
            </w:r>
            <w:r w:rsidRPr="00C1603D">
              <w:rPr>
                <w:rFonts w:eastAsia="Arial"/>
                <w:noProof/>
              </w:rPr>
              <w:t>.</w:t>
            </w:r>
            <w:r w:rsidR="008B4DF8" w:rsidRPr="00C1603D">
              <w:rPr>
                <w:rFonts w:eastAsia="Arial"/>
                <w:noProof/>
                <w:vertAlign w:val="superscript"/>
              </w:rPr>
              <w:t>339</w:t>
            </w:r>
          </w:p>
        </w:tc>
      </w:tr>
      <w:tr w:rsidR="007A2DA2" w:rsidRPr="00C1603D" w14:paraId="1E2BF3E5" w14:textId="77777777" w:rsidTr="00943414">
        <w:trPr>
          <w:cantSplit/>
        </w:trPr>
        <w:tc>
          <w:tcPr>
            <w:tcW w:w="0" w:type="auto"/>
            <w:shd w:val="clear" w:color="auto" w:fill="FFFFFF"/>
            <w:tcMar>
              <w:top w:w="0" w:type="dxa"/>
              <w:left w:w="0" w:type="dxa"/>
              <w:bottom w:w="0" w:type="dxa"/>
              <w:right w:w="0" w:type="dxa"/>
            </w:tcMar>
          </w:tcPr>
          <w:p w14:paraId="5B639FF3"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17FC0F70" w14:textId="5A94AC6E"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BE8ED37" w14:textId="05AB289C" w:rsidR="008B4DF8" w:rsidRPr="00C1603D" w:rsidRDefault="007A2DA2" w:rsidP="00943414">
            <w:pPr>
              <w:pStyle w:val="72TabletextTablesTableFigureBoxstyles"/>
            </w:pPr>
            <w:r w:rsidRPr="00C1603D">
              <w:rPr>
                <w:rFonts w:eastAsia="Arial"/>
              </w:rPr>
              <w:t>AS</w:t>
            </w:r>
          </w:p>
        </w:tc>
        <w:tc>
          <w:tcPr>
            <w:tcW w:w="0" w:type="auto"/>
            <w:shd w:val="clear" w:color="auto" w:fill="FFFFFF"/>
            <w:tcMar>
              <w:top w:w="0" w:type="dxa"/>
              <w:left w:w="0" w:type="dxa"/>
              <w:bottom w:w="0" w:type="dxa"/>
              <w:right w:w="0" w:type="dxa"/>
            </w:tcMar>
          </w:tcPr>
          <w:p w14:paraId="71E1334A" w14:textId="77777777" w:rsidR="008B4DF8" w:rsidRPr="00C1603D" w:rsidRDefault="008B4DF8" w:rsidP="00943414">
            <w:pPr>
              <w:pStyle w:val="72TabletextTablesTableFigureBoxstyles"/>
            </w:pPr>
            <w:r w:rsidRPr="00C1603D">
              <w:rPr>
                <w:rFonts w:eastAsia="Arial"/>
              </w:rPr>
              <w:t>49</w:t>
            </w:r>
          </w:p>
        </w:tc>
        <w:tc>
          <w:tcPr>
            <w:tcW w:w="0" w:type="auto"/>
            <w:shd w:val="clear" w:color="auto" w:fill="FFFFFF"/>
            <w:tcMar>
              <w:top w:w="0" w:type="dxa"/>
              <w:left w:w="0" w:type="dxa"/>
              <w:bottom w:w="0" w:type="dxa"/>
              <w:right w:w="0" w:type="dxa"/>
            </w:tcMar>
          </w:tcPr>
          <w:p w14:paraId="677995B1" w14:textId="0857A05B" w:rsidR="008B4DF8" w:rsidRPr="00C1603D" w:rsidRDefault="008B4DF8" w:rsidP="00943414">
            <w:pPr>
              <w:pStyle w:val="72TabletextTablesTableFigureBoxstyles"/>
            </w:pPr>
            <w:r w:rsidRPr="00C1603D">
              <w:rPr>
                <w:rFonts w:eastAsia="Arial"/>
              </w:rPr>
              <w:t>1</w:t>
            </w:r>
            <w:r w:rsidRPr="00C1603D">
              <w:rPr>
                <w:rFonts w:eastAsia="Arial"/>
                <w:color w:val="00B0F0"/>
              </w:rPr>
              <w:t>–2</w:t>
            </w:r>
            <w:r w:rsidRPr="00C1603D">
              <w:rPr>
                <w:rFonts w:eastAsia="Arial"/>
              </w:rPr>
              <w:t>5</w:t>
            </w:r>
          </w:p>
        </w:tc>
        <w:tc>
          <w:tcPr>
            <w:tcW w:w="0" w:type="auto"/>
            <w:shd w:val="clear" w:color="auto" w:fill="FFFFFF"/>
            <w:tcMar>
              <w:top w:w="0" w:type="dxa"/>
              <w:left w:w="0" w:type="dxa"/>
              <w:bottom w:w="0" w:type="dxa"/>
              <w:right w:w="0" w:type="dxa"/>
            </w:tcMar>
          </w:tcPr>
          <w:p w14:paraId="3E709239"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FA67643" w14:textId="4E5BBA7F"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013D53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3E74F9D"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5BE5E917" w14:textId="3023E73A" w:rsidR="008B4DF8" w:rsidRPr="00C1603D" w:rsidRDefault="00F007A5" w:rsidP="00943414">
            <w:pPr>
              <w:pStyle w:val="72TabletextTablesTableFigureBoxstyles"/>
            </w:pPr>
            <w:r w:rsidRPr="00C1603D">
              <w:t xml:space="preserve">Toğrol </w:t>
            </w:r>
            <w:r w:rsidRPr="00C1603D">
              <w:rPr>
                <w:rFonts w:eastAsia="Arial"/>
                <w:i/>
                <w:iCs/>
                <w:noProof/>
              </w:rPr>
              <w:t>et al</w:t>
            </w:r>
            <w:r w:rsidRPr="00C1603D">
              <w:rPr>
                <w:rFonts w:eastAsia="Arial"/>
                <w:noProof/>
              </w:rPr>
              <w:t>.</w:t>
            </w:r>
            <w:r w:rsidR="008B4DF8" w:rsidRPr="00C1603D">
              <w:rPr>
                <w:rFonts w:eastAsia="Arial"/>
                <w:noProof/>
                <w:vertAlign w:val="superscript"/>
              </w:rPr>
              <w:t>340</w:t>
            </w:r>
          </w:p>
        </w:tc>
      </w:tr>
      <w:tr w:rsidR="001902E7" w:rsidRPr="00C1603D" w14:paraId="7725CCA5" w14:textId="77777777" w:rsidTr="00DF05EA">
        <w:trPr>
          <w:cantSplit/>
        </w:trPr>
        <w:tc>
          <w:tcPr>
            <w:tcW w:w="0" w:type="auto"/>
            <w:gridSpan w:val="10"/>
            <w:shd w:val="clear" w:color="auto" w:fill="FFFFFF"/>
            <w:tcMar>
              <w:top w:w="0" w:type="dxa"/>
              <w:left w:w="0" w:type="dxa"/>
              <w:bottom w:w="0" w:type="dxa"/>
              <w:right w:w="0" w:type="dxa"/>
            </w:tcMar>
          </w:tcPr>
          <w:p w14:paraId="4B8CE479" w14:textId="5C5D0073" w:rsidR="001902E7" w:rsidRPr="00C1603D" w:rsidRDefault="00861E91" w:rsidP="001902E7">
            <w:pPr>
              <w:pStyle w:val="75TablenotesTablesTableFigureBoxstyles"/>
              <w:rPr>
                <w:rFonts w:eastAsia="Arial"/>
                <w:noProof/>
              </w:rPr>
            </w:pPr>
            <w:commentRangeStart w:id="585"/>
            <w:r w:rsidRPr="00C1603D">
              <w:rPr>
                <w:u w:color="000000"/>
                <w:bdr w:val="nil"/>
                <w:lang w:eastAsia="en-GB"/>
              </w:rPr>
              <w:t xml:space="preserve">AS, ankylosing spondylitis; </w:t>
            </w:r>
            <w:r w:rsidR="001902E7" w:rsidRPr="00C1603D">
              <w:rPr>
                <w:rFonts w:eastAsia="Arial"/>
                <w:noProof/>
              </w:rPr>
              <w:t>DI, diagnostic indicator; NR, not reported</w:t>
            </w:r>
            <w:r w:rsidRPr="00C1603D">
              <w:rPr>
                <w:rFonts w:eastAsia="Arial"/>
                <w:noProof/>
              </w:rPr>
              <w:t xml:space="preserve">; </w:t>
            </w:r>
            <w:r w:rsidR="00810AE6" w:rsidRPr="00C1603D">
              <w:rPr>
                <w:rFonts w:eastAsia="Arial"/>
                <w:noProof/>
              </w:rPr>
              <w:t xml:space="preserve">PsA, psoriatic arthritis; </w:t>
            </w:r>
            <w:r w:rsidRPr="00C1603D">
              <w:rPr>
                <w:u w:color="000000"/>
                <w:bdr w:val="nil"/>
                <w:lang w:eastAsia="en-GB"/>
              </w:rPr>
              <w:t>RA, rheumatoid arthritis</w:t>
            </w:r>
            <w:r w:rsidR="001902E7" w:rsidRPr="00C1603D">
              <w:rPr>
                <w:rFonts w:eastAsia="Arial"/>
                <w:noProof/>
              </w:rPr>
              <w:t>.</w:t>
            </w:r>
            <w:commentRangeEnd w:id="585"/>
            <w:r w:rsidR="007A2DA2" w:rsidRPr="00C1603D">
              <w:rPr>
                <w:rFonts w:ascii="Times New Roman" w:hAnsi="Times New Roman" w:cs="Times New Roman"/>
                <w:color w:val="auto"/>
              </w:rPr>
              <w:commentReference w:id="585"/>
            </w:r>
          </w:p>
        </w:tc>
      </w:tr>
    </w:tbl>
    <w:p w14:paraId="1738582F" w14:textId="67F06680" w:rsidR="008B4DF8" w:rsidRPr="00C1603D" w:rsidRDefault="008B4DF8" w:rsidP="008B4DF8">
      <w:pPr>
        <w:pStyle w:val="70TablelegendTablesTableFigureBoxstyles"/>
      </w:pPr>
      <w:bookmarkStart w:id="586" w:name="_Toc99720740"/>
      <w:r w:rsidRPr="00C1603D">
        <w:rPr>
          <w:b/>
        </w:rPr>
        <w:t xml:space="preserve">TABLE </w:t>
      </w:r>
      <w:r w:rsidR="00032460" w:rsidRPr="00C1603D">
        <w:rPr>
          <w:b/>
        </w:rPr>
        <w:t>30</w:t>
      </w:r>
      <w:r w:rsidRPr="00C1603D">
        <w:rPr>
          <w:b/>
        </w:rPr>
        <w:t> </w:t>
      </w:r>
      <w:r w:rsidRPr="00C1603D">
        <w:t xml:space="preserve">Study characteristic: </w:t>
      </w:r>
      <w:r w:rsidR="00943414" w:rsidRPr="00C1603D">
        <w:t>b</w:t>
      </w:r>
      <w:r w:rsidRPr="00C1603D">
        <w:t>loating or abdominal distension</w:t>
      </w:r>
      <w:bookmarkEnd w:id="586"/>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33"/>
        <w:gridCol w:w="798"/>
        <w:gridCol w:w="953"/>
        <w:gridCol w:w="666"/>
        <w:gridCol w:w="673"/>
        <w:gridCol w:w="1166"/>
        <w:gridCol w:w="1252"/>
        <w:gridCol w:w="1026"/>
        <w:gridCol w:w="666"/>
        <w:gridCol w:w="893"/>
      </w:tblGrid>
      <w:tr w:rsidR="00F007A5" w:rsidRPr="00C1603D" w14:paraId="56F36FEB" w14:textId="77777777" w:rsidTr="00943414">
        <w:trPr>
          <w:cantSplit/>
        </w:trPr>
        <w:tc>
          <w:tcPr>
            <w:tcW w:w="0" w:type="auto"/>
            <w:shd w:val="clear" w:color="auto" w:fill="FFFFFF"/>
            <w:tcMar>
              <w:top w:w="0" w:type="dxa"/>
              <w:left w:w="0" w:type="dxa"/>
              <w:bottom w:w="0" w:type="dxa"/>
              <w:right w:w="0" w:type="dxa"/>
            </w:tcMar>
          </w:tcPr>
          <w:p w14:paraId="679BBB32" w14:textId="1EFA39DE"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5C6948E0" w14:textId="66A70DB0"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4E1D9FCD" w14:textId="6D1E085B"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18860ED" w14:textId="362515AD"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47FB3BB0"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0C2DB5BE"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50A1F597"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70578B34"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69843290"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0F94B514" w14:textId="77777777" w:rsidR="001902E7" w:rsidRPr="00C1603D" w:rsidRDefault="001902E7" w:rsidP="001902E7">
            <w:pPr>
              <w:pStyle w:val="710TableheadTablesTableFigureBoxstyles"/>
            </w:pPr>
            <w:r w:rsidRPr="00C1603D">
              <w:rPr>
                <w:rFonts w:eastAsia="Arial"/>
              </w:rPr>
              <w:t>Reference</w:t>
            </w:r>
          </w:p>
        </w:tc>
      </w:tr>
      <w:tr w:rsidR="00F007A5" w:rsidRPr="00C1603D" w14:paraId="5256CB51" w14:textId="77777777" w:rsidTr="00943414">
        <w:trPr>
          <w:cantSplit/>
        </w:trPr>
        <w:tc>
          <w:tcPr>
            <w:tcW w:w="0" w:type="auto"/>
            <w:shd w:val="clear" w:color="auto" w:fill="FFFFFF"/>
            <w:tcMar>
              <w:top w:w="0" w:type="dxa"/>
              <w:left w:w="0" w:type="dxa"/>
              <w:bottom w:w="0" w:type="dxa"/>
              <w:right w:w="0" w:type="dxa"/>
            </w:tcMar>
          </w:tcPr>
          <w:p w14:paraId="5419784A"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0289AA1"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0C0F3F8" w14:textId="77777777" w:rsidR="008B4DF8" w:rsidRPr="00C1603D" w:rsidRDefault="008B4DF8" w:rsidP="00943414">
            <w:pPr>
              <w:pStyle w:val="72TabletextTablesTableFigureBoxstyles"/>
            </w:pPr>
            <w:r w:rsidRPr="00C1603D">
              <w:rPr>
                <w:rFonts w:eastAsia="Arial"/>
              </w:rPr>
              <w:t>Bloating</w:t>
            </w:r>
          </w:p>
        </w:tc>
        <w:tc>
          <w:tcPr>
            <w:tcW w:w="0" w:type="auto"/>
            <w:shd w:val="clear" w:color="auto" w:fill="FFFFFF"/>
            <w:tcMar>
              <w:top w:w="0" w:type="dxa"/>
              <w:left w:w="0" w:type="dxa"/>
              <w:bottom w:w="0" w:type="dxa"/>
              <w:right w:w="0" w:type="dxa"/>
            </w:tcMar>
          </w:tcPr>
          <w:p w14:paraId="655C5712" w14:textId="77777777" w:rsidR="008B4DF8" w:rsidRPr="00C1603D" w:rsidRDefault="008B4DF8" w:rsidP="00943414">
            <w:pPr>
              <w:pStyle w:val="72TabletextTablesTableFigureBoxstyles"/>
            </w:pPr>
            <w:r w:rsidRPr="00C1603D">
              <w:rPr>
                <w:rFonts w:eastAsia="Arial"/>
              </w:rPr>
              <w:t>1830</w:t>
            </w:r>
          </w:p>
        </w:tc>
        <w:tc>
          <w:tcPr>
            <w:tcW w:w="0" w:type="auto"/>
            <w:shd w:val="clear" w:color="auto" w:fill="FFFFFF"/>
            <w:tcMar>
              <w:top w:w="0" w:type="dxa"/>
              <w:left w:w="0" w:type="dxa"/>
              <w:bottom w:w="0" w:type="dxa"/>
              <w:right w:w="0" w:type="dxa"/>
            </w:tcMar>
          </w:tcPr>
          <w:p w14:paraId="22852F8C" w14:textId="77777777" w:rsidR="008B4DF8" w:rsidRPr="00C1603D" w:rsidRDefault="008B4DF8" w:rsidP="00943414">
            <w:pPr>
              <w:pStyle w:val="72TabletextTablesTableFigureBoxstyles"/>
            </w:pPr>
            <w:r w:rsidRPr="00C1603D">
              <w:t>NR</w:t>
            </w:r>
          </w:p>
        </w:tc>
        <w:tc>
          <w:tcPr>
            <w:tcW w:w="0" w:type="auto"/>
            <w:shd w:val="clear" w:color="auto" w:fill="FFFFFF"/>
            <w:tcMar>
              <w:top w:w="0" w:type="dxa"/>
              <w:left w:w="0" w:type="dxa"/>
              <w:bottom w:w="0" w:type="dxa"/>
              <w:right w:w="0" w:type="dxa"/>
            </w:tcMar>
          </w:tcPr>
          <w:p w14:paraId="6A7DD7D0" w14:textId="77777777" w:rsidR="008B4DF8" w:rsidRPr="00C1603D" w:rsidRDefault="008B4DF8" w:rsidP="00943414">
            <w:pPr>
              <w:pStyle w:val="72TabletextTablesTableFigureBoxstyles"/>
            </w:pPr>
            <w:r w:rsidRPr="00C1603D">
              <w:rPr>
                <w:rFonts w:eastAsia="Arial"/>
              </w:rPr>
              <w:t>People without bloating</w:t>
            </w:r>
          </w:p>
        </w:tc>
        <w:tc>
          <w:tcPr>
            <w:tcW w:w="0" w:type="auto"/>
            <w:shd w:val="clear" w:color="auto" w:fill="FFFFFF"/>
            <w:tcMar>
              <w:top w:w="0" w:type="dxa"/>
              <w:left w:w="0" w:type="dxa"/>
              <w:bottom w:w="0" w:type="dxa"/>
              <w:right w:w="0" w:type="dxa"/>
            </w:tcMar>
          </w:tcPr>
          <w:p w14:paraId="78CD2B1D" w14:textId="6A403179"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1FBEE98"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8FD2F2F" w14:textId="77F19A6F" w:rsidR="008B4DF8" w:rsidRPr="00C1603D" w:rsidRDefault="008B4DF8" w:rsidP="00943414">
            <w:pPr>
              <w:pStyle w:val="72TabletextTablesTableFigureBoxstyles"/>
            </w:pPr>
            <w:r w:rsidRPr="00C1603D">
              <w:rPr>
                <w:rFonts w:eastAsia="Arial"/>
              </w:rPr>
              <w:t>US</w:t>
            </w:r>
            <w:r w:rsidR="00F007A5" w:rsidRPr="00C1603D">
              <w:rPr>
                <w:rFonts w:eastAsia="Arial"/>
              </w:rPr>
              <w:t>A</w:t>
            </w:r>
          </w:p>
        </w:tc>
        <w:tc>
          <w:tcPr>
            <w:tcW w:w="0" w:type="auto"/>
            <w:shd w:val="clear" w:color="auto" w:fill="FFFFFF"/>
            <w:tcMar>
              <w:top w:w="0" w:type="dxa"/>
              <w:left w:w="0" w:type="dxa"/>
              <w:bottom w:w="0" w:type="dxa"/>
              <w:right w:w="0" w:type="dxa"/>
            </w:tcMar>
          </w:tcPr>
          <w:p w14:paraId="5408028D" w14:textId="41DD235D" w:rsidR="008B4DF8" w:rsidRPr="00C1603D" w:rsidRDefault="00F007A5" w:rsidP="00943414">
            <w:pPr>
              <w:pStyle w:val="72TabletextTablesTableFigureBoxstyles"/>
            </w:pPr>
            <w:r w:rsidRPr="00C1603D">
              <w:rPr>
                <w:rFonts w:eastAsia="Arial"/>
                <w:noProof/>
              </w:rPr>
              <w:t xml:space="preserve">Choung </w:t>
            </w:r>
            <w:r w:rsidRPr="00C1603D">
              <w:rPr>
                <w:rFonts w:eastAsia="Arial"/>
                <w:i/>
                <w:iCs/>
                <w:noProof/>
              </w:rPr>
              <w:t>et al</w:t>
            </w:r>
            <w:r w:rsidRPr="00C1603D">
              <w:rPr>
                <w:rFonts w:eastAsia="Arial"/>
                <w:noProof/>
              </w:rPr>
              <w:t>.</w:t>
            </w:r>
            <w:r w:rsidR="008B4DF8" w:rsidRPr="00C1603D">
              <w:rPr>
                <w:rFonts w:eastAsia="Arial"/>
                <w:noProof/>
                <w:vertAlign w:val="superscript"/>
              </w:rPr>
              <w:t>299</w:t>
            </w:r>
          </w:p>
        </w:tc>
      </w:tr>
      <w:tr w:rsidR="00F007A5" w:rsidRPr="00C1603D" w14:paraId="6C4FC5E4" w14:textId="77777777" w:rsidTr="00943414">
        <w:trPr>
          <w:cantSplit/>
        </w:trPr>
        <w:tc>
          <w:tcPr>
            <w:tcW w:w="0" w:type="auto"/>
            <w:shd w:val="clear" w:color="auto" w:fill="FFFFFF"/>
            <w:tcMar>
              <w:top w:w="0" w:type="dxa"/>
              <w:left w:w="0" w:type="dxa"/>
              <w:bottom w:w="0" w:type="dxa"/>
              <w:right w:w="0" w:type="dxa"/>
            </w:tcMar>
          </w:tcPr>
          <w:p w14:paraId="66C2B213"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6365FF6"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7F0C5121" w14:textId="77777777" w:rsidR="008B4DF8" w:rsidRPr="00C1603D" w:rsidRDefault="008B4DF8" w:rsidP="00943414">
            <w:pPr>
              <w:pStyle w:val="72TabletextTablesTableFigureBoxstyles"/>
            </w:pPr>
            <w:r w:rsidRPr="00C1603D">
              <w:rPr>
                <w:rFonts w:eastAsia="Arial"/>
              </w:rPr>
              <w:t>Bloating</w:t>
            </w:r>
          </w:p>
        </w:tc>
        <w:tc>
          <w:tcPr>
            <w:tcW w:w="0" w:type="auto"/>
            <w:shd w:val="clear" w:color="auto" w:fill="FFFFFF"/>
            <w:tcMar>
              <w:top w:w="0" w:type="dxa"/>
              <w:left w:w="0" w:type="dxa"/>
              <w:bottom w:w="0" w:type="dxa"/>
              <w:right w:w="0" w:type="dxa"/>
            </w:tcMar>
          </w:tcPr>
          <w:p w14:paraId="16916D5B" w14:textId="77777777" w:rsidR="008B4DF8" w:rsidRPr="00C1603D" w:rsidRDefault="008B4DF8" w:rsidP="00943414">
            <w:pPr>
              <w:pStyle w:val="72TabletextTablesTableFigureBoxstyles"/>
            </w:pPr>
            <w:r w:rsidRPr="00C1603D">
              <w:rPr>
                <w:rFonts w:eastAsia="Arial"/>
              </w:rPr>
              <w:t>3847</w:t>
            </w:r>
          </w:p>
        </w:tc>
        <w:tc>
          <w:tcPr>
            <w:tcW w:w="0" w:type="auto"/>
            <w:shd w:val="clear" w:color="auto" w:fill="FFFFFF"/>
            <w:tcMar>
              <w:top w:w="0" w:type="dxa"/>
              <w:left w:w="0" w:type="dxa"/>
              <w:bottom w:w="0" w:type="dxa"/>
              <w:right w:w="0" w:type="dxa"/>
            </w:tcMar>
          </w:tcPr>
          <w:p w14:paraId="641CF407" w14:textId="14020762"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5CAA4AF" w14:textId="77777777" w:rsidR="008B4DF8" w:rsidRPr="00C1603D" w:rsidRDefault="008B4DF8" w:rsidP="00943414">
            <w:pPr>
              <w:pStyle w:val="72TabletextTablesTableFigureBoxstyles"/>
            </w:pPr>
            <w:r w:rsidRPr="00C1603D">
              <w:rPr>
                <w:rFonts w:eastAsia="Arial"/>
              </w:rPr>
              <w:t>People without bloating</w:t>
            </w:r>
          </w:p>
        </w:tc>
        <w:tc>
          <w:tcPr>
            <w:tcW w:w="0" w:type="auto"/>
            <w:shd w:val="clear" w:color="auto" w:fill="FFFFFF"/>
            <w:tcMar>
              <w:top w:w="0" w:type="dxa"/>
              <w:left w:w="0" w:type="dxa"/>
              <w:bottom w:w="0" w:type="dxa"/>
              <w:right w:w="0" w:type="dxa"/>
            </w:tcMar>
          </w:tcPr>
          <w:p w14:paraId="0A1C95E2" w14:textId="7307B4D1"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5AEBD72"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BA676B0" w14:textId="0ABE797B" w:rsidR="008B4DF8" w:rsidRPr="00C1603D" w:rsidRDefault="008B4DF8" w:rsidP="00943414">
            <w:pPr>
              <w:pStyle w:val="72TabletextTablesTableFigureBoxstyles"/>
            </w:pPr>
            <w:r w:rsidRPr="00C1603D">
              <w:rPr>
                <w:rFonts w:eastAsia="Arial"/>
              </w:rPr>
              <w:t>US</w:t>
            </w:r>
            <w:r w:rsidR="00F007A5" w:rsidRPr="00C1603D">
              <w:rPr>
                <w:rFonts w:eastAsia="Arial"/>
              </w:rPr>
              <w:t>A</w:t>
            </w:r>
          </w:p>
        </w:tc>
        <w:tc>
          <w:tcPr>
            <w:tcW w:w="0" w:type="auto"/>
            <w:shd w:val="clear" w:color="auto" w:fill="FFFFFF"/>
            <w:tcMar>
              <w:top w:w="0" w:type="dxa"/>
              <w:left w:w="0" w:type="dxa"/>
              <w:bottom w:w="0" w:type="dxa"/>
              <w:right w:w="0" w:type="dxa"/>
            </w:tcMar>
          </w:tcPr>
          <w:p w14:paraId="5C240139" w14:textId="219AE34A" w:rsidR="008B4DF8" w:rsidRPr="00C1603D" w:rsidRDefault="00F007A5" w:rsidP="00943414">
            <w:pPr>
              <w:pStyle w:val="72TabletextTablesTableFigureBoxstyles"/>
            </w:pPr>
            <w:r w:rsidRPr="00C1603D">
              <w:rPr>
                <w:rFonts w:eastAsia="Arial"/>
                <w:noProof/>
              </w:rPr>
              <w:t xml:space="preserve">Katz </w:t>
            </w:r>
            <w:r w:rsidRPr="00C1603D">
              <w:rPr>
                <w:rFonts w:eastAsia="Arial"/>
                <w:i/>
                <w:iCs/>
                <w:noProof/>
              </w:rPr>
              <w:t>et al</w:t>
            </w:r>
            <w:r w:rsidRPr="00C1603D">
              <w:rPr>
                <w:rFonts w:eastAsia="Arial"/>
                <w:noProof/>
              </w:rPr>
              <w:t>.</w:t>
            </w:r>
            <w:r w:rsidR="008B4DF8" w:rsidRPr="00C1603D">
              <w:rPr>
                <w:rFonts w:eastAsia="Arial"/>
                <w:noProof/>
                <w:vertAlign w:val="superscript"/>
              </w:rPr>
              <w:t>308</w:t>
            </w:r>
          </w:p>
        </w:tc>
      </w:tr>
      <w:tr w:rsidR="00F007A5" w:rsidRPr="00C1603D" w14:paraId="7BD15CFC" w14:textId="77777777" w:rsidTr="00943414">
        <w:trPr>
          <w:cantSplit/>
        </w:trPr>
        <w:tc>
          <w:tcPr>
            <w:tcW w:w="0" w:type="auto"/>
            <w:shd w:val="clear" w:color="auto" w:fill="FFFFFF"/>
            <w:tcMar>
              <w:top w:w="0" w:type="dxa"/>
              <w:left w:w="0" w:type="dxa"/>
              <w:bottom w:w="0" w:type="dxa"/>
              <w:right w:w="0" w:type="dxa"/>
            </w:tcMar>
          </w:tcPr>
          <w:p w14:paraId="4B67A208"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1BFDD74"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189F8F19" w14:textId="77777777" w:rsidR="008B4DF8" w:rsidRPr="00C1603D" w:rsidRDefault="008B4DF8" w:rsidP="00943414">
            <w:pPr>
              <w:pStyle w:val="72TabletextTablesTableFigureBoxstyles"/>
            </w:pPr>
            <w:r w:rsidRPr="00C1603D">
              <w:rPr>
                <w:rFonts w:eastAsia="Arial"/>
              </w:rPr>
              <w:t>Bloating</w:t>
            </w:r>
          </w:p>
        </w:tc>
        <w:tc>
          <w:tcPr>
            <w:tcW w:w="0" w:type="auto"/>
            <w:shd w:val="clear" w:color="auto" w:fill="FFFFFF"/>
            <w:tcMar>
              <w:top w:w="0" w:type="dxa"/>
              <w:left w:w="0" w:type="dxa"/>
              <w:bottom w:w="0" w:type="dxa"/>
              <w:right w:w="0" w:type="dxa"/>
            </w:tcMar>
          </w:tcPr>
          <w:p w14:paraId="3C417166" w14:textId="77777777" w:rsidR="008B4DF8" w:rsidRPr="00C1603D" w:rsidRDefault="008B4DF8" w:rsidP="00943414">
            <w:pPr>
              <w:pStyle w:val="72TabletextTablesTableFigureBoxstyles"/>
            </w:pPr>
            <w:r w:rsidRPr="00C1603D">
              <w:rPr>
                <w:rFonts w:eastAsia="Arial"/>
              </w:rPr>
              <w:t>1886</w:t>
            </w:r>
          </w:p>
        </w:tc>
        <w:tc>
          <w:tcPr>
            <w:tcW w:w="0" w:type="auto"/>
            <w:shd w:val="clear" w:color="auto" w:fill="FFFFFF"/>
            <w:tcMar>
              <w:top w:w="0" w:type="dxa"/>
              <w:left w:w="0" w:type="dxa"/>
              <w:bottom w:w="0" w:type="dxa"/>
              <w:right w:w="0" w:type="dxa"/>
            </w:tcMar>
          </w:tcPr>
          <w:p w14:paraId="35A81C30"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0D4E37E1" w14:textId="77777777" w:rsidR="008B4DF8" w:rsidRPr="00C1603D" w:rsidRDefault="008B4DF8" w:rsidP="00943414">
            <w:pPr>
              <w:pStyle w:val="72TabletextTablesTableFigureBoxstyles"/>
            </w:pPr>
            <w:r w:rsidRPr="00C1603D">
              <w:rPr>
                <w:rFonts w:eastAsia="Arial"/>
              </w:rPr>
              <w:t>People without bloating</w:t>
            </w:r>
          </w:p>
        </w:tc>
        <w:tc>
          <w:tcPr>
            <w:tcW w:w="0" w:type="auto"/>
            <w:shd w:val="clear" w:color="auto" w:fill="FFFFFF"/>
            <w:tcMar>
              <w:top w:w="0" w:type="dxa"/>
              <w:left w:w="0" w:type="dxa"/>
              <w:bottom w:w="0" w:type="dxa"/>
              <w:right w:w="0" w:type="dxa"/>
            </w:tcMar>
          </w:tcPr>
          <w:p w14:paraId="0CC26F6F" w14:textId="77777777" w:rsidR="008B4DF8" w:rsidRPr="00C1603D" w:rsidRDefault="008B4DF8" w:rsidP="00943414">
            <w:pPr>
              <w:pStyle w:val="72TabletextTablesTableFigureBoxstyles"/>
            </w:pPr>
            <w:r w:rsidRPr="00C1603D">
              <w:rPr>
                <w:rFonts w:eastAsia="Arial"/>
              </w:rPr>
              <w:t>Other</w:t>
            </w:r>
          </w:p>
        </w:tc>
        <w:tc>
          <w:tcPr>
            <w:tcW w:w="0" w:type="auto"/>
            <w:shd w:val="clear" w:color="auto" w:fill="FFFFFF"/>
            <w:tcMar>
              <w:top w:w="0" w:type="dxa"/>
              <w:left w:w="0" w:type="dxa"/>
              <w:bottom w:w="0" w:type="dxa"/>
              <w:right w:w="0" w:type="dxa"/>
            </w:tcMar>
          </w:tcPr>
          <w:p w14:paraId="1A39ADBF" w14:textId="77777777" w:rsidR="008B4DF8" w:rsidRPr="00C1603D" w:rsidRDefault="008B4DF8" w:rsidP="00943414">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31CB499C" w14:textId="77777777" w:rsidR="008B4DF8" w:rsidRPr="00C1603D" w:rsidRDefault="008B4DF8" w:rsidP="00943414">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5ED3BB9D" w14:textId="213BFF2D" w:rsidR="008B4DF8" w:rsidRPr="00C1603D" w:rsidRDefault="00F007A5" w:rsidP="00943414">
            <w:pPr>
              <w:pStyle w:val="72TabletextTablesTableFigureBoxstyles"/>
            </w:pPr>
            <w:r w:rsidRPr="00C1603D">
              <w:rPr>
                <w:rFonts w:eastAsia="Arial"/>
                <w:noProof/>
              </w:rPr>
              <w:t xml:space="preserve">Tikkakoski </w:t>
            </w:r>
            <w:r w:rsidRPr="00C1603D">
              <w:rPr>
                <w:rFonts w:eastAsia="Arial"/>
                <w:i/>
                <w:iCs/>
                <w:noProof/>
              </w:rPr>
              <w:t>et al</w:t>
            </w:r>
            <w:r w:rsidRPr="00C1603D">
              <w:rPr>
                <w:rFonts w:eastAsia="Arial"/>
                <w:noProof/>
              </w:rPr>
              <w:t>.</w:t>
            </w:r>
            <w:r w:rsidR="008B4DF8" w:rsidRPr="00C1603D">
              <w:rPr>
                <w:rFonts w:eastAsia="Arial"/>
                <w:noProof/>
                <w:vertAlign w:val="superscript"/>
              </w:rPr>
              <w:t>310</w:t>
            </w:r>
          </w:p>
        </w:tc>
      </w:tr>
      <w:tr w:rsidR="00F007A5" w:rsidRPr="00C1603D" w14:paraId="453279F7" w14:textId="77777777" w:rsidTr="00943414">
        <w:trPr>
          <w:cantSplit/>
        </w:trPr>
        <w:tc>
          <w:tcPr>
            <w:tcW w:w="0" w:type="auto"/>
            <w:shd w:val="clear" w:color="auto" w:fill="FFFFFF"/>
            <w:tcMar>
              <w:top w:w="0" w:type="dxa"/>
              <w:left w:w="0" w:type="dxa"/>
              <w:bottom w:w="0" w:type="dxa"/>
              <w:right w:w="0" w:type="dxa"/>
            </w:tcMar>
          </w:tcPr>
          <w:p w14:paraId="29E91F6B"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F6706B0"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5E787E54" w14:textId="77777777" w:rsidR="008B4DF8" w:rsidRPr="00C1603D" w:rsidRDefault="008B4DF8" w:rsidP="00943414">
            <w:pPr>
              <w:pStyle w:val="72TabletextTablesTableFigureBoxstyles"/>
            </w:pPr>
            <w:r w:rsidRPr="00C1603D">
              <w:rPr>
                <w:rFonts w:eastAsia="Arial"/>
              </w:rPr>
              <w:t>Bloating</w:t>
            </w:r>
          </w:p>
        </w:tc>
        <w:tc>
          <w:tcPr>
            <w:tcW w:w="0" w:type="auto"/>
            <w:shd w:val="clear" w:color="auto" w:fill="FFFFFF"/>
            <w:tcMar>
              <w:top w:w="0" w:type="dxa"/>
              <w:left w:w="0" w:type="dxa"/>
              <w:bottom w:w="0" w:type="dxa"/>
              <w:right w:w="0" w:type="dxa"/>
            </w:tcMar>
          </w:tcPr>
          <w:p w14:paraId="4F934809"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603F7435" w14:textId="2CE202E9"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D5A0784" w14:textId="77777777" w:rsidR="008B4DF8" w:rsidRPr="00C1603D" w:rsidRDefault="008B4DF8" w:rsidP="00943414">
            <w:pPr>
              <w:pStyle w:val="72TabletextTablesTableFigureBoxstyles"/>
            </w:pPr>
            <w:r w:rsidRPr="00C1603D">
              <w:rPr>
                <w:rFonts w:eastAsia="Arial"/>
              </w:rPr>
              <w:t>People without bloating</w:t>
            </w:r>
          </w:p>
        </w:tc>
        <w:tc>
          <w:tcPr>
            <w:tcW w:w="0" w:type="auto"/>
            <w:shd w:val="clear" w:color="auto" w:fill="FFFFFF"/>
            <w:tcMar>
              <w:top w:w="0" w:type="dxa"/>
              <w:left w:w="0" w:type="dxa"/>
              <w:bottom w:w="0" w:type="dxa"/>
              <w:right w:w="0" w:type="dxa"/>
            </w:tcMar>
          </w:tcPr>
          <w:p w14:paraId="01DF533C" w14:textId="5773ADE9"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F88D712"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6FAFC92C" w14:textId="48471F8D" w:rsidR="008B4DF8" w:rsidRPr="00C1603D" w:rsidRDefault="008B4DF8" w:rsidP="00943414">
            <w:pPr>
              <w:pStyle w:val="72TabletextTablesTableFigureBoxstyles"/>
            </w:pPr>
            <w:r w:rsidRPr="00C1603D">
              <w:rPr>
                <w:rFonts w:eastAsia="Arial"/>
              </w:rPr>
              <w:t>US</w:t>
            </w:r>
            <w:r w:rsidR="00F007A5" w:rsidRPr="00C1603D">
              <w:rPr>
                <w:rFonts w:eastAsia="Arial"/>
              </w:rPr>
              <w:t>A</w:t>
            </w:r>
          </w:p>
        </w:tc>
        <w:tc>
          <w:tcPr>
            <w:tcW w:w="0" w:type="auto"/>
            <w:shd w:val="clear" w:color="auto" w:fill="FFFFFF"/>
            <w:tcMar>
              <w:top w:w="0" w:type="dxa"/>
              <w:left w:w="0" w:type="dxa"/>
              <w:bottom w:w="0" w:type="dxa"/>
              <w:right w:w="0" w:type="dxa"/>
            </w:tcMar>
          </w:tcPr>
          <w:p w14:paraId="45C582A9" w14:textId="4B2AA365" w:rsidR="008B4DF8" w:rsidRPr="00C1603D" w:rsidRDefault="00F007A5"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F007A5" w:rsidRPr="00C1603D" w14:paraId="77115C56" w14:textId="77777777" w:rsidTr="00943414">
        <w:trPr>
          <w:cantSplit/>
        </w:trPr>
        <w:tc>
          <w:tcPr>
            <w:tcW w:w="0" w:type="auto"/>
            <w:shd w:val="clear" w:color="auto" w:fill="FFFFFF"/>
            <w:tcMar>
              <w:top w:w="0" w:type="dxa"/>
              <w:left w:w="0" w:type="dxa"/>
              <w:bottom w:w="0" w:type="dxa"/>
              <w:right w:w="0" w:type="dxa"/>
            </w:tcMar>
          </w:tcPr>
          <w:p w14:paraId="3C7DDA23" w14:textId="77777777" w:rsidR="008B4DF8" w:rsidRPr="00C1603D" w:rsidRDefault="008B4DF8" w:rsidP="00943414">
            <w:pPr>
              <w:pStyle w:val="72TabletextTablesTableFigureBoxstyles"/>
            </w:pPr>
            <w:r w:rsidRPr="00C1603D">
              <w:rPr>
                <w:rFonts w:eastAsia="Arial"/>
              </w:rPr>
              <w:lastRenderedPageBreak/>
              <w:t>Children</w:t>
            </w:r>
          </w:p>
        </w:tc>
        <w:tc>
          <w:tcPr>
            <w:tcW w:w="0" w:type="auto"/>
            <w:shd w:val="clear" w:color="auto" w:fill="FFFFFF"/>
            <w:tcMar>
              <w:top w:w="0" w:type="dxa"/>
              <w:left w:w="0" w:type="dxa"/>
              <w:bottom w:w="0" w:type="dxa"/>
              <w:right w:w="0" w:type="dxa"/>
            </w:tcMar>
          </w:tcPr>
          <w:p w14:paraId="43264FA6"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2FCA7277" w14:textId="77777777" w:rsidR="008B4DF8" w:rsidRPr="00C1603D" w:rsidRDefault="008B4DF8" w:rsidP="00943414">
            <w:pPr>
              <w:pStyle w:val="72TabletextTablesTableFigureBoxstyles"/>
            </w:pPr>
            <w:r w:rsidRPr="00C1603D">
              <w:rPr>
                <w:rFonts w:eastAsia="Arial"/>
              </w:rPr>
              <w:t>Abdominal distension</w:t>
            </w:r>
          </w:p>
        </w:tc>
        <w:tc>
          <w:tcPr>
            <w:tcW w:w="0" w:type="auto"/>
            <w:shd w:val="clear" w:color="auto" w:fill="FFFFFF"/>
            <w:tcMar>
              <w:top w:w="0" w:type="dxa"/>
              <w:left w:w="0" w:type="dxa"/>
              <w:bottom w:w="0" w:type="dxa"/>
              <w:right w:w="0" w:type="dxa"/>
            </w:tcMar>
          </w:tcPr>
          <w:p w14:paraId="04960CEF" w14:textId="57A5F056" w:rsidR="008B4DF8" w:rsidRPr="00C1603D" w:rsidRDefault="008B4DF8" w:rsidP="00943414">
            <w:pPr>
              <w:pStyle w:val="72TabletextTablesTableFigureBoxstyles"/>
            </w:pPr>
            <w:r w:rsidRPr="00C1603D">
              <w:rPr>
                <w:rFonts w:eastAsia="Arial"/>
              </w:rPr>
              <w:t>18</w:t>
            </w:r>
            <w:r w:rsidR="00F007A5" w:rsidRPr="00C1603D">
              <w:rPr>
                <w:rFonts w:eastAsia="Arial"/>
              </w:rPr>
              <w:t>,</w:t>
            </w:r>
            <w:r w:rsidRPr="00C1603D">
              <w:rPr>
                <w:rFonts w:eastAsia="Arial"/>
              </w:rPr>
              <w:t>598</w:t>
            </w:r>
          </w:p>
        </w:tc>
        <w:tc>
          <w:tcPr>
            <w:tcW w:w="0" w:type="auto"/>
            <w:shd w:val="clear" w:color="auto" w:fill="FFFFFF"/>
            <w:tcMar>
              <w:top w:w="0" w:type="dxa"/>
              <w:left w:w="0" w:type="dxa"/>
              <w:bottom w:w="0" w:type="dxa"/>
              <w:right w:w="0" w:type="dxa"/>
            </w:tcMar>
          </w:tcPr>
          <w:p w14:paraId="0B7AEE2A" w14:textId="759662FB"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060F83B9" w14:textId="77777777" w:rsidR="008B4DF8" w:rsidRPr="00C1603D" w:rsidRDefault="008B4DF8" w:rsidP="00943414">
            <w:pPr>
              <w:pStyle w:val="72TabletextTablesTableFigureBoxstyles"/>
            </w:pPr>
            <w:r w:rsidRPr="00C1603D">
              <w:rPr>
                <w:rFonts w:eastAsia="Arial"/>
              </w:rPr>
              <w:t xml:space="preserve">Children without abdominal </w:t>
            </w:r>
            <w:r w:rsidRPr="00C1603D">
              <w:rPr>
                <w:rFonts w:eastAsia="Arial"/>
                <w:color w:val="00B0F0"/>
              </w:rPr>
              <w:t>distension</w:t>
            </w:r>
          </w:p>
        </w:tc>
        <w:tc>
          <w:tcPr>
            <w:tcW w:w="0" w:type="auto"/>
            <w:shd w:val="clear" w:color="auto" w:fill="FFFFFF"/>
            <w:tcMar>
              <w:top w:w="0" w:type="dxa"/>
              <w:left w:w="0" w:type="dxa"/>
              <w:bottom w:w="0" w:type="dxa"/>
              <w:right w:w="0" w:type="dxa"/>
            </w:tcMar>
          </w:tcPr>
          <w:p w14:paraId="1C3D081B" w14:textId="37139D84"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C6CBA9D"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22400BD4"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0E1281FC" w14:textId="0741D8AD" w:rsidR="008B4DF8" w:rsidRPr="00C1603D" w:rsidRDefault="00F007A5" w:rsidP="00943414">
            <w:pPr>
              <w:pStyle w:val="72TabletextTablesTableFigureBoxstyles"/>
            </w:pPr>
            <w:r w:rsidRPr="00C1603D">
              <w:rPr>
                <w:rFonts w:eastAsia="Arial"/>
                <w:noProof/>
              </w:rPr>
              <w:t xml:space="preserve">Dalgic </w:t>
            </w:r>
            <w:r w:rsidRPr="00C1603D">
              <w:rPr>
                <w:rFonts w:eastAsia="Arial"/>
                <w:i/>
                <w:iCs/>
                <w:noProof/>
              </w:rPr>
              <w:t>et al</w:t>
            </w:r>
            <w:r w:rsidRPr="00C1603D">
              <w:rPr>
                <w:rFonts w:eastAsia="Arial"/>
                <w:noProof/>
              </w:rPr>
              <w:t>.</w:t>
            </w:r>
            <w:r w:rsidR="008B4DF8" w:rsidRPr="00C1603D">
              <w:rPr>
                <w:rFonts w:eastAsia="Arial"/>
                <w:noProof/>
                <w:vertAlign w:val="superscript"/>
              </w:rPr>
              <w:t>304</w:t>
            </w:r>
          </w:p>
        </w:tc>
      </w:tr>
      <w:tr w:rsidR="00F007A5" w:rsidRPr="00C1603D" w14:paraId="396EBEB5" w14:textId="77777777" w:rsidTr="00943414">
        <w:trPr>
          <w:cantSplit/>
        </w:trPr>
        <w:tc>
          <w:tcPr>
            <w:tcW w:w="0" w:type="auto"/>
            <w:shd w:val="clear" w:color="auto" w:fill="FFFFFF"/>
            <w:tcMar>
              <w:top w:w="0" w:type="dxa"/>
              <w:left w:w="0" w:type="dxa"/>
              <w:bottom w:w="0" w:type="dxa"/>
              <w:right w:w="0" w:type="dxa"/>
            </w:tcMar>
          </w:tcPr>
          <w:p w14:paraId="70104D7E"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3C79DD86"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2A34362C" w14:textId="77777777" w:rsidR="008B4DF8" w:rsidRPr="00C1603D" w:rsidRDefault="008B4DF8" w:rsidP="00943414">
            <w:pPr>
              <w:pStyle w:val="72TabletextTablesTableFigureBoxstyles"/>
            </w:pPr>
            <w:r w:rsidRPr="00C1603D">
              <w:rPr>
                <w:rFonts w:eastAsia="Arial"/>
              </w:rPr>
              <w:t>Abdominal distension</w:t>
            </w:r>
          </w:p>
        </w:tc>
        <w:tc>
          <w:tcPr>
            <w:tcW w:w="0" w:type="auto"/>
            <w:shd w:val="clear" w:color="auto" w:fill="FFFFFF"/>
            <w:tcMar>
              <w:top w:w="0" w:type="dxa"/>
              <w:left w:w="0" w:type="dxa"/>
              <w:bottom w:w="0" w:type="dxa"/>
              <w:right w:w="0" w:type="dxa"/>
            </w:tcMar>
          </w:tcPr>
          <w:p w14:paraId="300EFD51" w14:textId="77777777" w:rsidR="008B4DF8" w:rsidRPr="00C1603D" w:rsidRDefault="008B4DF8" w:rsidP="00943414">
            <w:pPr>
              <w:pStyle w:val="72TabletextTablesTableFigureBoxstyles"/>
            </w:pPr>
            <w:r w:rsidRPr="00C1603D">
              <w:rPr>
                <w:rFonts w:eastAsia="Arial"/>
              </w:rPr>
              <w:t>5733</w:t>
            </w:r>
          </w:p>
        </w:tc>
        <w:tc>
          <w:tcPr>
            <w:tcW w:w="0" w:type="auto"/>
            <w:shd w:val="clear" w:color="auto" w:fill="FFFFFF"/>
            <w:tcMar>
              <w:top w:w="0" w:type="dxa"/>
              <w:left w:w="0" w:type="dxa"/>
              <w:bottom w:w="0" w:type="dxa"/>
              <w:right w:w="0" w:type="dxa"/>
            </w:tcMar>
          </w:tcPr>
          <w:p w14:paraId="4A18E344" w14:textId="25603C2F"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7D3958C" w14:textId="77777777" w:rsidR="008B4DF8" w:rsidRPr="00C1603D" w:rsidRDefault="008B4DF8" w:rsidP="00943414">
            <w:pPr>
              <w:pStyle w:val="72TabletextTablesTableFigureBoxstyles"/>
            </w:pPr>
            <w:r w:rsidRPr="00C1603D">
              <w:rPr>
                <w:rFonts w:eastAsia="Arial"/>
              </w:rPr>
              <w:t>People without abdominal extension</w:t>
            </w:r>
          </w:p>
        </w:tc>
        <w:tc>
          <w:tcPr>
            <w:tcW w:w="0" w:type="auto"/>
            <w:shd w:val="clear" w:color="auto" w:fill="FFFFFF"/>
            <w:tcMar>
              <w:top w:w="0" w:type="dxa"/>
              <w:left w:w="0" w:type="dxa"/>
              <w:bottom w:w="0" w:type="dxa"/>
              <w:right w:w="0" w:type="dxa"/>
            </w:tcMar>
          </w:tcPr>
          <w:p w14:paraId="4B1D00A3" w14:textId="2A8E5BAB"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2AE52D2"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4AC0174"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35C09DB3" w14:textId="03573889" w:rsidR="008B4DF8" w:rsidRPr="00C1603D" w:rsidRDefault="00F007A5" w:rsidP="00943414">
            <w:pPr>
              <w:pStyle w:val="72TabletextTablesTableFigureBoxstyles"/>
            </w:pPr>
            <w:r w:rsidRPr="00C1603D">
              <w:rPr>
                <w:rFonts w:eastAsia="Arial"/>
                <w:noProof/>
              </w:rPr>
              <w:t xml:space="preserve">Nenna </w:t>
            </w:r>
            <w:r w:rsidRPr="00C1603D">
              <w:rPr>
                <w:rFonts w:eastAsia="Arial"/>
                <w:i/>
                <w:iCs/>
                <w:noProof/>
              </w:rPr>
              <w:t>et al</w:t>
            </w:r>
            <w:r w:rsidRPr="00C1603D">
              <w:rPr>
                <w:rFonts w:eastAsia="Arial"/>
                <w:noProof/>
              </w:rPr>
              <w:t>.</w:t>
            </w:r>
            <w:r w:rsidR="008B4DF8" w:rsidRPr="00C1603D">
              <w:rPr>
                <w:rFonts w:eastAsia="Arial"/>
                <w:noProof/>
                <w:vertAlign w:val="superscript"/>
              </w:rPr>
              <w:t>341</w:t>
            </w:r>
          </w:p>
        </w:tc>
      </w:tr>
      <w:tr w:rsidR="001902E7" w:rsidRPr="00C1603D" w14:paraId="494DDE3A" w14:textId="77777777" w:rsidTr="00EA072D">
        <w:trPr>
          <w:cantSplit/>
        </w:trPr>
        <w:tc>
          <w:tcPr>
            <w:tcW w:w="0" w:type="auto"/>
            <w:gridSpan w:val="10"/>
            <w:shd w:val="clear" w:color="auto" w:fill="FFFFFF"/>
            <w:tcMar>
              <w:top w:w="0" w:type="dxa"/>
              <w:left w:w="0" w:type="dxa"/>
              <w:bottom w:w="0" w:type="dxa"/>
              <w:right w:w="0" w:type="dxa"/>
            </w:tcMar>
          </w:tcPr>
          <w:p w14:paraId="3FB62247" w14:textId="215BE1E0" w:rsidR="001902E7" w:rsidRPr="00C1603D" w:rsidRDefault="001902E7" w:rsidP="001902E7">
            <w:pPr>
              <w:pStyle w:val="75TablenotesTablesTableFigureBoxstyles"/>
              <w:rPr>
                <w:rFonts w:eastAsia="Arial"/>
                <w:noProof/>
              </w:rPr>
            </w:pPr>
            <w:r w:rsidRPr="00C1603D">
              <w:rPr>
                <w:rFonts w:eastAsia="Arial"/>
                <w:noProof/>
              </w:rPr>
              <w:t>NR, not reported.</w:t>
            </w:r>
          </w:p>
        </w:tc>
      </w:tr>
    </w:tbl>
    <w:p w14:paraId="6897080F" w14:textId="696DA898" w:rsidR="008B4DF8" w:rsidRPr="00C1603D" w:rsidRDefault="008B4DF8" w:rsidP="008B4DF8">
      <w:pPr>
        <w:pStyle w:val="70TablelegendTablesTableFigureBoxstyles"/>
      </w:pPr>
      <w:bookmarkStart w:id="587" w:name="_Toc99720741"/>
      <w:r w:rsidRPr="00C1603D">
        <w:rPr>
          <w:b/>
        </w:rPr>
        <w:t>TABLE 3</w:t>
      </w:r>
      <w:r w:rsidR="00032460" w:rsidRPr="00C1603D">
        <w:rPr>
          <w:b/>
        </w:rPr>
        <w:t>1</w:t>
      </w:r>
      <w:r w:rsidRPr="00C1603D">
        <w:rPr>
          <w:b/>
        </w:rPr>
        <w:t> </w:t>
      </w:r>
      <w:r w:rsidRPr="00C1603D">
        <w:t xml:space="preserve">Study characteristic: </w:t>
      </w:r>
      <w:r w:rsidR="00943414" w:rsidRPr="00C1603D">
        <w:t>c</w:t>
      </w:r>
      <w:r w:rsidRPr="00C1603D">
        <w:t>onstipation</w:t>
      </w:r>
      <w:bookmarkEnd w:id="587"/>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05"/>
        <w:gridCol w:w="722"/>
        <w:gridCol w:w="1058"/>
        <w:gridCol w:w="635"/>
        <w:gridCol w:w="643"/>
        <w:gridCol w:w="1194"/>
        <w:gridCol w:w="1113"/>
        <w:gridCol w:w="979"/>
        <w:gridCol w:w="916"/>
        <w:gridCol w:w="861"/>
      </w:tblGrid>
      <w:tr w:rsidR="00060DAE" w:rsidRPr="00C1603D" w14:paraId="27C9B12C" w14:textId="77777777" w:rsidTr="00943414">
        <w:trPr>
          <w:cantSplit/>
        </w:trPr>
        <w:tc>
          <w:tcPr>
            <w:tcW w:w="0" w:type="auto"/>
            <w:shd w:val="clear" w:color="auto" w:fill="FFFFFF"/>
            <w:tcMar>
              <w:top w:w="0" w:type="dxa"/>
              <w:left w:w="0" w:type="dxa"/>
              <w:bottom w:w="0" w:type="dxa"/>
              <w:right w:w="0" w:type="dxa"/>
            </w:tcMar>
          </w:tcPr>
          <w:p w14:paraId="051D0D48" w14:textId="7096BE1E"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469330DD" w14:textId="7CD2BD95"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17C6607C" w14:textId="517A3FA0"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070327D" w14:textId="2A0C8BC6"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B4DBD26"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505E4F8B"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4D1E612F"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183322D"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128A39E"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F19B1E0" w14:textId="77777777" w:rsidR="001902E7" w:rsidRPr="00C1603D" w:rsidRDefault="001902E7" w:rsidP="001902E7">
            <w:pPr>
              <w:pStyle w:val="710TableheadTablesTableFigureBoxstyles"/>
            </w:pPr>
            <w:r w:rsidRPr="00C1603D">
              <w:rPr>
                <w:rFonts w:eastAsia="Arial"/>
              </w:rPr>
              <w:t>Reference</w:t>
            </w:r>
          </w:p>
        </w:tc>
      </w:tr>
      <w:tr w:rsidR="00060DAE" w:rsidRPr="00C1603D" w14:paraId="1C0AA247" w14:textId="77777777" w:rsidTr="00943414">
        <w:trPr>
          <w:cantSplit/>
        </w:trPr>
        <w:tc>
          <w:tcPr>
            <w:tcW w:w="0" w:type="auto"/>
            <w:shd w:val="clear" w:color="auto" w:fill="FFFFFF"/>
            <w:tcMar>
              <w:top w:w="0" w:type="dxa"/>
              <w:left w:w="0" w:type="dxa"/>
              <w:bottom w:w="0" w:type="dxa"/>
              <w:right w:w="0" w:type="dxa"/>
            </w:tcMar>
          </w:tcPr>
          <w:p w14:paraId="7F9EB3C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664E957"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85859B0"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20759FCA" w14:textId="77777777" w:rsidR="008B4DF8" w:rsidRPr="00C1603D" w:rsidRDefault="008B4DF8" w:rsidP="00943414">
            <w:pPr>
              <w:pStyle w:val="72TabletextTablesTableFigureBoxstyles"/>
            </w:pPr>
            <w:r w:rsidRPr="00C1603D">
              <w:rPr>
                <w:rFonts w:eastAsia="Arial"/>
              </w:rPr>
              <w:t>3196</w:t>
            </w:r>
          </w:p>
        </w:tc>
        <w:tc>
          <w:tcPr>
            <w:tcW w:w="0" w:type="auto"/>
            <w:shd w:val="clear" w:color="auto" w:fill="FFFFFF"/>
            <w:tcMar>
              <w:top w:w="0" w:type="dxa"/>
              <w:left w:w="0" w:type="dxa"/>
              <w:bottom w:w="0" w:type="dxa"/>
              <w:right w:w="0" w:type="dxa"/>
            </w:tcMar>
          </w:tcPr>
          <w:p w14:paraId="5B7FBC9B"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4E73774D" w14:textId="77777777" w:rsidR="008B4DF8" w:rsidRPr="00C1603D" w:rsidRDefault="008B4DF8" w:rsidP="00943414">
            <w:pPr>
              <w:pStyle w:val="72TabletextTablesTableFigureBoxstyles"/>
            </w:pPr>
            <w:r w:rsidRPr="00C1603D">
              <w:rPr>
                <w:rFonts w:eastAsia="Arial"/>
              </w:rPr>
              <w:t>People without constipation</w:t>
            </w:r>
          </w:p>
        </w:tc>
        <w:tc>
          <w:tcPr>
            <w:tcW w:w="0" w:type="auto"/>
            <w:shd w:val="clear" w:color="auto" w:fill="FFFFFF"/>
            <w:tcMar>
              <w:top w:w="0" w:type="dxa"/>
              <w:left w:w="0" w:type="dxa"/>
              <w:bottom w:w="0" w:type="dxa"/>
              <w:right w:w="0" w:type="dxa"/>
            </w:tcMar>
          </w:tcPr>
          <w:p w14:paraId="3EB49B84" w14:textId="016B76A6"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1BEE8ED"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03FA9B00" w14:textId="4478D723" w:rsidR="008B4DF8" w:rsidRPr="00C1603D" w:rsidRDefault="008B4DF8" w:rsidP="00943414">
            <w:pPr>
              <w:pStyle w:val="72TabletextTablesTableFigureBoxstyles"/>
            </w:pPr>
            <w:r w:rsidRPr="00C1603D">
              <w:rPr>
                <w:rFonts w:eastAsia="Arial"/>
              </w:rPr>
              <w:t>US</w:t>
            </w:r>
            <w:r w:rsidR="00F007A5" w:rsidRPr="00C1603D">
              <w:rPr>
                <w:rFonts w:eastAsia="Arial"/>
              </w:rPr>
              <w:t>A</w:t>
            </w:r>
          </w:p>
        </w:tc>
        <w:tc>
          <w:tcPr>
            <w:tcW w:w="0" w:type="auto"/>
            <w:shd w:val="clear" w:color="auto" w:fill="FFFFFF"/>
            <w:tcMar>
              <w:top w:w="0" w:type="dxa"/>
              <w:left w:w="0" w:type="dxa"/>
              <w:bottom w:w="0" w:type="dxa"/>
              <w:right w:w="0" w:type="dxa"/>
            </w:tcMar>
          </w:tcPr>
          <w:p w14:paraId="40190CBE" w14:textId="36DFA2AC" w:rsidR="008B4DF8" w:rsidRPr="00C1603D" w:rsidRDefault="00F007A5" w:rsidP="00943414">
            <w:pPr>
              <w:pStyle w:val="72TabletextTablesTableFigureBoxstyles"/>
            </w:pPr>
            <w:r w:rsidRPr="00C1603D">
              <w:rPr>
                <w:rFonts w:eastAsia="Arial"/>
                <w:noProof/>
              </w:rPr>
              <w:t xml:space="preserve">Choung </w:t>
            </w:r>
            <w:r w:rsidRPr="00C1603D">
              <w:rPr>
                <w:rFonts w:eastAsia="Arial"/>
                <w:i/>
                <w:iCs/>
                <w:noProof/>
              </w:rPr>
              <w:t>et al</w:t>
            </w:r>
            <w:r w:rsidRPr="00C1603D">
              <w:rPr>
                <w:rFonts w:eastAsia="Arial"/>
                <w:noProof/>
              </w:rPr>
              <w:t>.</w:t>
            </w:r>
            <w:r w:rsidR="008B4DF8" w:rsidRPr="00C1603D">
              <w:rPr>
                <w:rFonts w:eastAsia="Arial"/>
                <w:noProof/>
                <w:vertAlign w:val="superscript"/>
              </w:rPr>
              <w:t>299</w:t>
            </w:r>
          </w:p>
        </w:tc>
      </w:tr>
      <w:tr w:rsidR="00060DAE" w:rsidRPr="00C1603D" w14:paraId="7021EFCE" w14:textId="77777777" w:rsidTr="00943414">
        <w:trPr>
          <w:cantSplit/>
        </w:trPr>
        <w:tc>
          <w:tcPr>
            <w:tcW w:w="0" w:type="auto"/>
            <w:shd w:val="clear" w:color="auto" w:fill="FFFFFF"/>
            <w:tcMar>
              <w:top w:w="0" w:type="dxa"/>
              <w:left w:w="0" w:type="dxa"/>
              <w:bottom w:w="0" w:type="dxa"/>
              <w:right w:w="0" w:type="dxa"/>
            </w:tcMar>
          </w:tcPr>
          <w:p w14:paraId="5F003BAF"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6FE83C4"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0D11ABDB"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79FAA621" w14:textId="77777777" w:rsidR="008B4DF8" w:rsidRPr="00C1603D" w:rsidRDefault="008B4DF8" w:rsidP="00943414">
            <w:pPr>
              <w:pStyle w:val="72TabletextTablesTableFigureBoxstyles"/>
            </w:pPr>
            <w:r w:rsidRPr="00C1603D">
              <w:rPr>
                <w:rFonts w:eastAsia="Arial"/>
              </w:rPr>
              <w:t>2976</w:t>
            </w:r>
          </w:p>
        </w:tc>
        <w:tc>
          <w:tcPr>
            <w:tcW w:w="0" w:type="auto"/>
            <w:shd w:val="clear" w:color="auto" w:fill="FFFFFF"/>
            <w:tcMar>
              <w:top w:w="0" w:type="dxa"/>
              <w:left w:w="0" w:type="dxa"/>
              <w:bottom w:w="0" w:type="dxa"/>
              <w:right w:w="0" w:type="dxa"/>
            </w:tcMar>
          </w:tcPr>
          <w:p w14:paraId="1FC43B53" w14:textId="5B27F344"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6249207" w14:textId="77777777" w:rsidR="008B4DF8" w:rsidRPr="00C1603D" w:rsidRDefault="008B4DF8" w:rsidP="00943414">
            <w:pPr>
              <w:pStyle w:val="72TabletextTablesTableFigureBoxstyles"/>
            </w:pPr>
            <w:r w:rsidRPr="00C1603D">
              <w:rPr>
                <w:rFonts w:eastAsia="Arial"/>
              </w:rPr>
              <w:t>People without constipation</w:t>
            </w:r>
          </w:p>
        </w:tc>
        <w:tc>
          <w:tcPr>
            <w:tcW w:w="0" w:type="auto"/>
            <w:shd w:val="clear" w:color="auto" w:fill="FFFFFF"/>
            <w:tcMar>
              <w:top w:w="0" w:type="dxa"/>
              <w:left w:w="0" w:type="dxa"/>
              <w:bottom w:w="0" w:type="dxa"/>
              <w:right w:w="0" w:type="dxa"/>
            </w:tcMar>
          </w:tcPr>
          <w:p w14:paraId="0402FD33" w14:textId="155B3F73"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1B83B2A"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3C25F20" w14:textId="77777777" w:rsidR="008B4DF8" w:rsidRPr="00C1603D" w:rsidRDefault="008B4DF8" w:rsidP="00943414">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22C81031" w14:textId="60182FD9" w:rsidR="008B4DF8" w:rsidRPr="00C1603D" w:rsidRDefault="00F007A5" w:rsidP="00943414">
            <w:pPr>
              <w:pStyle w:val="72TabletextTablesTableFigureBoxstyles"/>
            </w:pPr>
            <w:r w:rsidRPr="00C1603D">
              <w:rPr>
                <w:rFonts w:eastAsia="Arial"/>
                <w:noProof/>
              </w:rPr>
              <w:t xml:space="preserve">Oliveira </w:t>
            </w:r>
            <w:r w:rsidRPr="00C1603D">
              <w:rPr>
                <w:rFonts w:eastAsia="Arial"/>
                <w:i/>
                <w:iCs/>
                <w:noProof/>
              </w:rPr>
              <w:t>et al</w:t>
            </w:r>
            <w:r w:rsidRPr="00C1603D">
              <w:rPr>
                <w:rFonts w:eastAsia="Arial"/>
                <w:noProof/>
              </w:rPr>
              <w:t>.</w:t>
            </w:r>
            <w:r w:rsidR="008B4DF8" w:rsidRPr="00C1603D">
              <w:rPr>
                <w:rFonts w:eastAsia="Arial"/>
                <w:noProof/>
                <w:vertAlign w:val="superscript"/>
              </w:rPr>
              <w:t>300</w:t>
            </w:r>
          </w:p>
        </w:tc>
      </w:tr>
      <w:tr w:rsidR="00060DAE" w:rsidRPr="00C1603D" w14:paraId="4074E28B" w14:textId="77777777" w:rsidTr="00943414">
        <w:trPr>
          <w:cantSplit/>
        </w:trPr>
        <w:tc>
          <w:tcPr>
            <w:tcW w:w="0" w:type="auto"/>
            <w:shd w:val="clear" w:color="auto" w:fill="FFFFFF"/>
            <w:tcMar>
              <w:top w:w="0" w:type="dxa"/>
              <w:left w:w="0" w:type="dxa"/>
              <w:bottom w:w="0" w:type="dxa"/>
              <w:right w:w="0" w:type="dxa"/>
            </w:tcMar>
          </w:tcPr>
          <w:p w14:paraId="60F9A107"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3A378A9"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1158D38C"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17B867C5" w14:textId="77777777" w:rsidR="008B4DF8" w:rsidRPr="00C1603D" w:rsidRDefault="008B4DF8" w:rsidP="00943414">
            <w:pPr>
              <w:pStyle w:val="72TabletextTablesTableFigureBoxstyles"/>
            </w:pPr>
            <w:r w:rsidRPr="00C1603D">
              <w:rPr>
                <w:rFonts w:eastAsia="Arial"/>
              </w:rPr>
              <w:t>3847</w:t>
            </w:r>
          </w:p>
        </w:tc>
        <w:tc>
          <w:tcPr>
            <w:tcW w:w="0" w:type="auto"/>
            <w:shd w:val="clear" w:color="auto" w:fill="FFFFFF"/>
            <w:tcMar>
              <w:top w:w="0" w:type="dxa"/>
              <w:left w:w="0" w:type="dxa"/>
              <w:bottom w:w="0" w:type="dxa"/>
              <w:right w:w="0" w:type="dxa"/>
            </w:tcMar>
          </w:tcPr>
          <w:p w14:paraId="1871B61A" w14:textId="26AC6E9E"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5D63CC80" w14:textId="77777777" w:rsidR="008B4DF8" w:rsidRPr="00C1603D" w:rsidRDefault="008B4DF8" w:rsidP="00943414">
            <w:pPr>
              <w:pStyle w:val="72TabletextTablesTableFigureBoxstyles"/>
            </w:pPr>
            <w:r w:rsidRPr="00C1603D">
              <w:rPr>
                <w:rFonts w:eastAsia="Arial"/>
              </w:rPr>
              <w:t>People without constipation</w:t>
            </w:r>
          </w:p>
        </w:tc>
        <w:tc>
          <w:tcPr>
            <w:tcW w:w="0" w:type="auto"/>
            <w:shd w:val="clear" w:color="auto" w:fill="FFFFFF"/>
            <w:tcMar>
              <w:top w:w="0" w:type="dxa"/>
              <w:left w:w="0" w:type="dxa"/>
              <w:bottom w:w="0" w:type="dxa"/>
              <w:right w:w="0" w:type="dxa"/>
            </w:tcMar>
          </w:tcPr>
          <w:p w14:paraId="58A92829" w14:textId="5E16E617"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C7688AE"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A66689C" w14:textId="5CA86D60" w:rsidR="008B4DF8" w:rsidRPr="00C1603D" w:rsidRDefault="008B4DF8" w:rsidP="00943414">
            <w:pPr>
              <w:pStyle w:val="72TabletextTablesTableFigureBoxstyles"/>
            </w:pPr>
            <w:r w:rsidRPr="00C1603D">
              <w:rPr>
                <w:rFonts w:eastAsia="Arial"/>
              </w:rPr>
              <w:t>US</w:t>
            </w:r>
            <w:r w:rsidR="00F007A5" w:rsidRPr="00C1603D">
              <w:rPr>
                <w:rFonts w:eastAsia="Arial"/>
              </w:rPr>
              <w:t>A</w:t>
            </w:r>
          </w:p>
        </w:tc>
        <w:tc>
          <w:tcPr>
            <w:tcW w:w="0" w:type="auto"/>
            <w:shd w:val="clear" w:color="auto" w:fill="FFFFFF"/>
            <w:tcMar>
              <w:top w:w="0" w:type="dxa"/>
              <w:left w:w="0" w:type="dxa"/>
              <w:bottom w:w="0" w:type="dxa"/>
              <w:right w:w="0" w:type="dxa"/>
            </w:tcMar>
          </w:tcPr>
          <w:p w14:paraId="65C7E3A3" w14:textId="1B86FACA" w:rsidR="008B4DF8" w:rsidRPr="00C1603D" w:rsidRDefault="00060DAE" w:rsidP="00943414">
            <w:pPr>
              <w:pStyle w:val="72TabletextTablesTableFigureBoxstyles"/>
            </w:pPr>
            <w:r w:rsidRPr="00C1603D">
              <w:rPr>
                <w:rFonts w:eastAsia="Arial"/>
                <w:noProof/>
              </w:rPr>
              <w:t xml:space="preserve">Katz </w:t>
            </w:r>
            <w:r w:rsidRPr="00C1603D">
              <w:rPr>
                <w:rFonts w:eastAsia="Arial"/>
                <w:i/>
                <w:iCs/>
                <w:noProof/>
              </w:rPr>
              <w:t>et al</w:t>
            </w:r>
            <w:r w:rsidRPr="00C1603D">
              <w:rPr>
                <w:rFonts w:eastAsia="Arial"/>
                <w:noProof/>
              </w:rPr>
              <w:t>.</w:t>
            </w:r>
            <w:r w:rsidR="008B4DF8" w:rsidRPr="00C1603D">
              <w:rPr>
                <w:rFonts w:eastAsia="Arial"/>
                <w:noProof/>
                <w:vertAlign w:val="superscript"/>
              </w:rPr>
              <w:t>308</w:t>
            </w:r>
          </w:p>
        </w:tc>
      </w:tr>
      <w:tr w:rsidR="00060DAE" w:rsidRPr="00C1603D" w14:paraId="6DAC199E" w14:textId="77777777" w:rsidTr="00943414">
        <w:trPr>
          <w:cantSplit/>
        </w:trPr>
        <w:tc>
          <w:tcPr>
            <w:tcW w:w="0" w:type="auto"/>
            <w:shd w:val="clear" w:color="auto" w:fill="FFFFFF"/>
            <w:tcMar>
              <w:top w:w="0" w:type="dxa"/>
              <w:left w:w="0" w:type="dxa"/>
              <w:bottom w:w="0" w:type="dxa"/>
              <w:right w:w="0" w:type="dxa"/>
            </w:tcMar>
          </w:tcPr>
          <w:p w14:paraId="5F23D1C6"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C338C9E"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0A6749F"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6CD4CEE7" w14:textId="77777777" w:rsidR="008B4DF8" w:rsidRPr="00C1603D" w:rsidRDefault="008B4DF8" w:rsidP="00943414">
            <w:pPr>
              <w:pStyle w:val="72TabletextTablesTableFigureBoxstyles"/>
            </w:pPr>
            <w:r w:rsidRPr="00C1603D">
              <w:rPr>
                <w:rFonts w:eastAsia="Arial"/>
              </w:rPr>
              <w:t>1886</w:t>
            </w:r>
          </w:p>
        </w:tc>
        <w:tc>
          <w:tcPr>
            <w:tcW w:w="0" w:type="auto"/>
            <w:shd w:val="clear" w:color="auto" w:fill="FFFFFF"/>
            <w:tcMar>
              <w:top w:w="0" w:type="dxa"/>
              <w:left w:w="0" w:type="dxa"/>
              <w:bottom w:w="0" w:type="dxa"/>
              <w:right w:w="0" w:type="dxa"/>
            </w:tcMar>
          </w:tcPr>
          <w:p w14:paraId="3B125746"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49AAECE0" w14:textId="77777777" w:rsidR="008B4DF8" w:rsidRPr="00C1603D" w:rsidRDefault="008B4DF8" w:rsidP="00943414">
            <w:pPr>
              <w:pStyle w:val="72TabletextTablesTableFigureBoxstyles"/>
            </w:pPr>
            <w:r w:rsidRPr="00C1603D">
              <w:rPr>
                <w:rFonts w:eastAsia="Arial"/>
              </w:rPr>
              <w:t>People without constipation</w:t>
            </w:r>
          </w:p>
        </w:tc>
        <w:tc>
          <w:tcPr>
            <w:tcW w:w="0" w:type="auto"/>
            <w:shd w:val="clear" w:color="auto" w:fill="FFFFFF"/>
            <w:tcMar>
              <w:top w:w="0" w:type="dxa"/>
              <w:left w:w="0" w:type="dxa"/>
              <w:bottom w:w="0" w:type="dxa"/>
              <w:right w:w="0" w:type="dxa"/>
            </w:tcMar>
          </w:tcPr>
          <w:p w14:paraId="3D4E1C0D" w14:textId="77777777" w:rsidR="008B4DF8" w:rsidRPr="00C1603D" w:rsidRDefault="008B4DF8" w:rsidP="00943414">
            <w:pPr>
              <w:pStyle w:val="72TabletextTablesTableFigureBoxstyles"/>
            </w:pPr>
            <w:r w:rsidRPr="00C1603D">
              <w:rPr>
                <w:rFonts w:eastAsia="Arial"/>
              </w:rPr>
              <w:t>Other</w:t>
            </w:r>
          </w:p>
        </w:tc>
        <w:tc>
          <w:tcPr>
            <w:tcW w:w="0" w:type="auto"/>
            <w:shd w:val="clear" w:color="auto" w:fill="FFFFFF"/>
            <w:tcMar>
              <w:top w:w="0" w:type="dxa"/>
              <w:left w:w="0" w:type="dxa"/>
              <w:bottom w:w="0" w:type="dxa"/>
              <w:right w:w="0" w:type="dxa"/>
            </w:tcMar>
          </w:tcPr>
          <w:p w14:paraId="7896EDEB" w14:textId="77777777" w:rsidR="008B4DF8" w:rsidRPr="00C1603D" w:rsidRDefault="008B4DF8" w:rsidP="00943414">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51325059" w14:textId="77777777" w:rsidR="008B4DF8" w:rsidRPr="00C1603D" w:rsidRDefault="008B4DF8" w:rsidP="00943414">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12414977" w14:textId="331BE01C" w:rsidR="008B4DF8" w:rsidRPr="00C1603D" w:rsidRDefault="00060DAE" w:rsidP="00943414">
            <w:pPr>
              <w:pStyle w:val="72TabletextTablesTableFigureBoxstyles"/>
            </w:pPr>
            <w:r w:rsidRPr="00C1603D">
              <w:rPr>
                <w:rFonts w:eastAsia="Arial"/>
                <w:noProof/>
              </w:rPr>
              <w:t xml:space="preserve">Tikkakoski </w:t>
            </w:r>
            <w:r w:rsidRPr="00C1603D">
              <w:rPr>
                <w:rFonts w:eastAsia="Arial"/>
                <w:i/>
                <w:iCs/>
                <w:noProof/>
              </w:rPr>
              <w:t>et al</w:t>
            </w:r>
            <w:r w:rsidRPr="00C1603D">
              <w:rPr>
                <w:rFonts w:eastAsia="Arial"/>
                <w:noProof/>
              </w:rPr>
              <w:t>.</w:t>
            </w:r>
            <w:r w:rsidR="008B4DF8" w:rsidRPr="00C1603D">
              <w:rPr>
                <w:rFonts w:eastAsia="Arial"/>
                <w:noProof/>
                <w:vertAlign w:val="superscript"/>
              </w:rPr>
              <w:t>310</w:t>
            </w:r>
          </w:p>
        </w:tc>
      </w:tr>
      <w:tr w:rsidR="00060DAE" w:rsidRPr="00C1603D" w14:paraId="3C38FB81" w14:textId="77777777" w:rsidTr="00943414">
        <w:trPr>
          <w:cantSplit/>
        </w:trPr>
        <w:tc>
          <w:tcPr>
            <w:tcW w:w="0" w:type="auto"/>
            <w:shd w:val="clear" w:color="auto" w:fill="FFFFFF"/>
            <w:tcMar>
              <w:top w:w="0" w:type="dxa"/>
              <w:left w:w="0" w:type="dxa"/>
              <w:bottom w:w="0" w:type="dxa"/>
              <w:right w:w="0" w:type="dxa"/>
            </w:tcMar>
          </w:tcPr>
          <w:p w14:paraId="7E5FB5DC"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8D0B5AE"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39D69852"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789E5FE5"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6ED1D9C9" w14:textId="401C60FD"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039CEF21" w14:textId="77777777" w:rsidR="008B4DF8" w:rsidRPr="00C1603D" w:rsidRDefault="008B4DF8" w:rsidP="00943414">
            <w:pPr>
              <w:pStyle w:val="72TabletextTablesTableFigureBoxstyles"/>
            </w:pPr>
            <w:r w:rsidRPr="00C1603D">
              <w:rPr>
                <w:rFonts w:eastAsia="Arial"/>
              </w:rPr>
              <w:t>People without constipation</w:t>
            </w:r>
          </w:p>
        </w:tc>
        <w:tc>
          <w:tcPr>
            <w:tcW w:w="0" w:type="auto"/>
            <w:shd w:val="clear" w:color="auto" w:fill="FFFFFF"/>
            <w:tcMar>
              <w:top w:w="0" w:type="dxa"/>
              <w:left w:w="0" w:type="dxa"/>
              <w:bottom w:w="0" w:type="dxa"/>
              <w:right w:w="0" w:type="dxa"/>
            </w:tcMar>
          </w:tcPr>
          <w:p w14:paraId="368E8940" w14:textId="40EA757A"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153421F0"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0C06A4D2" w14:textId="43A2EE9A" w:rsidR="008B4DF8" w:rsidRPr="00C1603D" w:rsidRDefault="008B4DF8" w:rsidP="00943414">
            <w:pPr>
              <w:pStyle w:val="72TabletextTablesTableFigureBoxstyles"/>
            </w:pPr>
            <w:r w:rsidRPr="00C1603D">
              <w:rPr>
                <w:rFonts w:eastAsia="Arial"/>
              </w:rPr>
              <w:t>US</w:t>
            </w:r>
            <w:r w:rsidR="00F007A5" w:rsidRPr="00C1603D">
              <w:rPr>
                <w:rFonts w:eastAsia="Arial"/>
              </w:rPr>
              <w:t>A</w:t>
            </w:r>
          </w:p>
        </w:tc>
        <w:tc>
          <w:tcPr>
            <w:tcW w:w="0" w:type="auto"/>
            <w:shd w:val="clear" w:color="auto" w:fill="FFFFFF"/>
            <w:tcMar>
              <w:top w:w="0" w:type="dxa"/>
              <w:left w:w="0" w:type="dxa"/>
              <w:bottom w:w="0" w:type="dxa"/>
              <w:right w:w="0" w:type="dxa"/>
            </w:tcMar>
          </w:tcPr>
          <w:p w14:paraId="75EDBB57" w14:textId="25709F44" w:rsidR="008B4DF8" w:rsidRPr="00C1603D" w:rsidRDefault="00060DAE"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060DAE" w:rsidRPr="00C1603D" w14:paraId="3FA4CA4B" w14:textId="77777777" w:rsidTr="00943414">
        <w:trPr>
          <w:cantSplit/>
        </w:trPr>
        <w:tc>
          <w:tcPr>
            <w:tcW w:w="0" w:type="auto"/>
            <w:shd w:val="clear" w:color="auto" w:fill="FFFFFF"/>
            <w:tcMar>
              <w:top w:w="0" w:type="dxa"/>
              <w:left w:w="0" w:type="dxa"/>
              <w:bottom w:w="0" w:type="dxa"/>
              <w:right w:w="0" w:type="dxa"/>
            </w:tcMar>
          </w:tcPr>
          <w:p w14:paraId="71156A4A"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5D9B7E56" w14:textId="07DB9A14"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14A80FC" w14:textId="77777777" w:rsidR="008B4DF8" w:rsidRPr="00C1603D" w:rsidRDefault="008B4DF8" w:rsidP="00943414">
            <w:pPr>
              <w:pStyle w:val="72TabletextTablesTableFigureBoxstyles"/>
            </w:pPr>
            <w:r w:rsidRPr="00C1603D">
              <w:rPr>
                <w:rFonts w:eastAsia="Arial"/>
              </w:rPr>
              <w:t>Chronic constipation</w:t>
            </w:r>
          </w:p>
        </w:tc>
        <w:tc>
          <w:tcPr>
            <w:tcW w:w="0" w:type="auto"/>
            <w:shd w:val="clear" w:color="auto" w:fill="FFFFFF"/>
            <w:tcMar>
              <w:top w:w="0" w:type="dxa"/>
              <w:left w:w="0" w:type="dxa"/>
              <w:bottom w:w="0" w:type="dxa"/>
              <w:right w:w="0" w:type="dxa"/>
            </w:tcMar>
          </w:tcPr>
          <w:p w14:paraId="124311ED" w14:textId="77777777" w:rsidR="008B4DF8" w:rsidRPr="00C1603D" w:rsidRDefault="008B4DF8" w:rsidP="00943414">
            <w:pPr>
              <w:pStyle w:val="72TabletextTablesTableFigureBoxstyles"/>
            </w:pPr>
            <w:r w:rsidRPr="00C1603D">
              <w:rPr>
                <w:rFonts w:eastAsia="Arial"/>
              </w:rPr>
              <w:t>1303</w:t>
            </w:r>
          </w:p>
        </w:tc>
        <w:tc>
          <w:tcPr>
            <w:tcW w:w="0" w:type="auto"/>
            <w:shd w:val="clear" w:color="auto" w:fill="FFFFFF"/>
            <w:tcMar>
              <w:top w:w="0" w:type="dxa"/>
              <w:left w:w="0" w:type="dxa"/>
              <w:bottom w:w="0" w:type="dxa"/>
              <w:right w:w="0" w:type="dxa"/>
            </w:tcMar>
          </w:tcPr>
          <w:p w14:paraId="3213646D" w14:textId="1BC1AF97"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D006D56"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46F3784" w14:textId="096CBB3B"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9B16A11"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63EE0F8"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15497F49" w14:textId="6A5CCBA5" w:rsidR="008B4DF8" w:rsidRPr="00C1603D" w:rsidRDefault="005B05C5" w:rsidP="00943414">
            <w:pPr>
              <w:pStyle w:val="72TabletextTablesTableFigureBoxstyles"/>
            </w:pPr>
            <w:r w:rsidRPr="00C1603D">
              <w:t xml:space="preserve">Çakir </w:t>
            </w:r>
            <w:r w:rsidR="00060DAE" w:rsidRPr="00C1603D">
              <w:rPr>
                <w:rFonts w:eastAsia="Arial"/>
                <w:i/>
                <w:iCs/>
                <w:noProof/>
              </w:rPr>
              <w:t>et al</w:t>
            </w:r>
            <w:r w:rsidR="00060DAE" w:rsidRPr="00C1603D">
              <w:rPr>
                <w:rFonts w:eastAsia="Arial"/>
                <w:noProof/>
              </w:rPr>
              <w:t>.</w:t>
            </w:r>
            <w:r w:rsidR="008B4DF8" w:rsidRPr="00C1603D">
              <w:rPr>
                <w:rFonts w:eastAsia="Arial"/>
                <w:noProof/>
                <w:vertAlign w:val="superscript"/>
              </w:rPr>
              <w:t>342</w:t>
            </w:r>
          </w:p>
        </w:tc>
      </w:tr>
      <w:tr w:rsidR="00060DAE" w:rsidRPr="00C1603D" w14:paraId="4C748999" w14:textId="77777777" w:rsidTr="00943414">
        <w:trPr>
          <w:cantSplit/>
        </w:trPr>
        <w:tc>
          <w:tcPr>
            <w:tcW w:w="0" w:type="auto"/>
            <w:shd w:val="clear" w:color="auto" w:fill="FFFFFF"/>
            <w:tcMar>
              <w:top w:w="0" w:type="dxa"/>
              <w:left w:w="0" w:type="dxa"/>
              <w:bottom w:w="0" w:type="dxa"/>
              <w:right w:w="0" w:type="dxa"/>
            </w:tcMar>
          </w:tcPr>
          <w:p w14:paraId="2FF1709F"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5C7A4147"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59271F80"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4CF0621E" w14:textId="77777777" w:rsidR="008B4DF8" w:rsidRPr="00C1603D" w:rsidRDefault="008B4DF8" w:rsidP="00943414">
            <w:pPr>
              <w:pStyle w:val="72TabletextTablesTableFigureBoxstyles"/>
            </w:pPr>
            <w:r w:rsidRPr="00C1603D">
              <w:rPr>
                <w:rFonts w:eastAsia="Arial"/>
              </w:rPr>
              <w:t>4327</w:t>
            </w:r>
          </w:p>
        </w:tc>
        <w:tc>
          <w:tcPr>
            <w:tcW w:w="0" w:type="auto"/>
            <w:shd w:val="clear" w:color="auto" w:fill="FFFFFF"/>
            <w:tcMar>
              <w:top w:w="0" w:type="dxa"/>
              <w:left w:w="0" w:type="dxa"/>
              <w:bottom w:w="0" w:type="dxa"/>
              <w:right w:w="0" w:type="dxa"/>
            </w:tcMar>
          </w:tcPr>
          <w:p w14:paraId="3CF0F2F6"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02A5ADF3" w14:textId="77777777" w:rsidR="008B4DF8" w:rsidRPr="00C1603D" w:rsidRDefault="008B4DF8" w:rsidP="00943414">
            <w:pPr>
              <w:pStyle w:val="72TabletextTablesTableFigureBoxstyles"/>
            </w:pPr>
            <w:r w:rsidRPr="00C1603D">
              <w:rPr>
                <w:rFonts w:eastAsia="Arial"/>
              </w:rPr>
              <w:t>Children without constipation</w:t>
            </w:r>
          </w:p>
        </w:tc>
        <w:tc>
          <w:tcPr>
            <w:tcW w:w="0" w:type="auto"/>
            <w:shd w:val="clear" w:color="auto" w:fill="FFFFFF"/>
            <w:tcMar>
              <w:top w:w="0" w:type="dxa"/>
              <w:left w:w="0" w:type="dxa"/>
              <w:bottom w:w="0" w:type="dxa"/>
              <w:right w:w="0" w:type="dxa"/>
            </w:tcMar>
          </w:tcPr>
          <w:p w14:paraId="290EE9F1" w14:textId="29863226"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C3191E7"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54B7231C"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10CABAFF" w14:textId="26793441" w:rsidR="008B4DF8" w:rsidRPr="00C1603D" w:rsidRDefault="005B05C5" w:rsidP="00943414">
            <w:pPr>
              <w:pStyle w:val="72TabletextTablesTableFigureBoxstyles"/>
            </w:pPr>
            <w:r w:rsidRPr="00C1603D">
              <w:rPr>
                <w:rFonts w:eastAsia="Arial"/>
                <w:noProof/>
              </w:rPr>
              <w:t xml:space="preserve">Bingley </w:t>
            </w:r>
            <w:r w:rsidRPr="00C1603D">
              <w:rPr>
                <w:rFonts w:eastAsia="Arial"/>
                <w:i/>
                <w:iCs/>
                <w:noProof/>
              </w:rPr>
              <w:t>et al</w:t>
            </w:r>
            <w:r w:rsidRPr="00C1603D">
              <w:rPr>
                <w:rFonts w:eastAsia="Arial"/>
                <w:noProof/>
              </w:rPr>
              <w:t>.</w:t>
            </w:r>
            <w:r w:rsidR="008B4DF8" w:rsidRPr="00C1603D">
              <w:rPr>
                <w:rFonts w:eastAsia="Arial"/>
                <w:noProof/>
                <w:vertAlign w:val="superscript"/>
              </w:rPr>
              <w:t>63</w:t>
            </w:r>
          </w:p>
        </w:tc>
      </w:tr>
      <w:tr w:rsidR="00060DAE" w:rsidRPr="00C1603D" w14:paraId="0FB947A7" w14:textId="77777777" w:rsidTr="00943414">
        <w:trPr>
          <w:cantSplit/>
        </w:trPr>
        <w:tc>
          <w:tcPr>
            <w:tcW w:w="0" w:type="auto"/>
            <w:shd w:val="clear" w:color="auto" w:fill="FFFFFF"/>
            <w:tcMar>
              <w:top w:w="0" w:type="dxa"/>
              <w:left w:w="0" w:type="dxa"/>
              <w:bottom w:w="0" w:type="dxa"/>
              <w:right w:w="0" w:type="dxa"/>
            </w:tcMar>
          </w:tcPr>
          <w:p w14:paraId="2DCF9EEE"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1110DCF7"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EF9B4AA"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5C94BBCB" w14:textId="331C2E46" w:rsidR="008B4DF8" w:rsidRPr="00C1603D" w:rsidRDefault="008B4DF8" w:rsidP="00943414">
            <w:pPr>
              <w:pStyle w:val="72TabletextTablesTableFigureBoxstyles"/>
            </w:pPr>
            <w:r w:rsidRPr="00C1603D">
              <w:rPr>
                <w:rFonts w:eastAsia="Arial"/>
              </w:rPr>
              <w:t>18</w:t>
            </w:r>
            <w:r w:rsidR="00F007A5" w:rsidRPr="00C1603D">
              <w:rPr>
                <w:rFonts w:eastAsia="Arial"/>
              </w:rPr>
              <w:t>,</w:t>
            </w:r>
            <w:r w:rsidRPr="00C1603D">
              <w:rPr>
                <w:rFonts w:eastAsia="Arial"/>
              </w:rPr>
              <w:t>576</w:t>
            </w:r>
          </w:p>
        </w:tc>
        <w:tc>
          <w:tcPr>
            <w:tcW w:w="0" w:type="auto"/>
            <w:shd w:val="clear" w:color="auto" w:fill="FFFFFF"/>
            <w:tcMar>
              <w:top w:w="0" w:type="dxa"/>
              <w:left w:w="0" w:type="dxa"/>
              <w:bottom w:w="0" w:type="dxa"/>
              <w:right w:w="0" w:type="dxa"/>
            </w:tcMar>
          </w:tcPr>
          <w:p w14:paraId="50F53303" w14:textId="7079F9FC"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9B2D2E1" w14:textId="77777777" w:rsidR="008B4DF8" w:rsidRPr="00C1603D" w:rsidRDefault="008B4DF8" w:rsidP="00943414">
            <w:pPr>
              <w:pStyle w:val="72TabletextTablesTableFigureBoxstyles"/>
            </w:pPr>
            <w:r w:rsidRPr="00C1603D">
              <w:rPr>
                <w:rFonts w:eastAsia="Arial"/>
              </w:rPr>
              <w:t>Children without constipation</w:t>
            </w:r>
          </w:p>
        </w:tc>
        <w:tc>
          <w:tcPr>
            <w:tcW w:w="0" w:type="auto"/>
            <w:shd w:val="clear" w:color="auto" w:fill="FFFFFF"/>
            <w:tcMar>
              <w:top w:w="0" w:type="dxa"/>
              <w:left w:w="0" w:type="dxa"/>
              <w:bottom w:w="0" w:type="dxa"/>
              <w:right w:w="0" w:type="dxa"/>
            </w:tcMar>
          </w:tcPr>
          <w:p w14:paraId="0C50E4F2" w14:textId="539F6BD4"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166BDE46"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433AEC69"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468C4ED6" w14:textId="602CD7BE" w:rsidR="008B4DF8" w:rsidRPr="00C1603D" w:rsidRDefault="005B05C5" w:rsidP="00943414">
            <w:pPr>
              <w:pStyle w:val="72TabletextTablesTableFigureBoxstyles"/>
            </w:pPr>
            <w:r w:rsidRPr="00C1603D">
              <w:rPr>
                <w:rFonts w:eastAsia="Arial"/>
                <w:noProof/>
              </w:rPr>
              <w:t xml:space="preserve">Dalgic </w:t>
            </w:r>
            <w:r w:rsidRPr="00C1603D">
              <w:rPr>
                <w:rFonts w:eastAsia="Arial"/>
                <w:i/>
                <w:iCs/>
                <w:noProof/>
              </w:rPr>
              <w:t>et al</w:t>
            </w:r>
            <w:r w:rsidRPr="00C1603D">
              <w:rPr>
                <w:rFonts w:eastAsia="Arial"/>
                <w:noProof/>
              </w:rPr>
              <w:t>.</w:t>
            </w:r>
            <w:r w:rsidR="008B4DF8" w:rsidRPr="00C1603D">
              <w:rPr>
                <w:rFonts w:eastAsia="Arial"/>
                <w:noProof/>
                <w:vertAlign w:val="superscript"/>
              </w:rPr>
              <w:t>304</w:t>
            </w:r>
          </w:p>
        </w:tc>
      </w:tr>
      <w:tr w:rsidR="00060DAE" w:rsidRPr="00C1603D" w14:paraId="4E0757C9" w14:textId="77777777" w:rsidTr="00943414">
        <w:trPr>
          <w:cantSplit/>
        </w:trPr>
        <w:tc>
          <w:tcPr>
            <w:tcW w:w="0" w:type="auto"/>
            <w:shd w:val="clear" w:color="auto" w:fill="FFFFFF"/>
            <w:tcMar>
              <w:top w:w="0" w:type="dxa"/>
              <w:left w:w="0" w:type="dxa"/>
              <w:bottom w:w="0" w:type="dxa"/>
              <w:right w:w="0" w:type="dxa"/>
            </w:tcMar>
          </w:tcPr>
          <w:p w14:paraId="51FE9853"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2F268D02"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74FC4BEE"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0DF9F13C" w14:textId="77777777" w:rsidR="008B4DF8" w:rsidRPr="00C1603D" w:rsidRDefault="008B4DF8" w:rsidP="00943414">
            <w:pPr>
              <w:pStyle w:val="72TabletextTablesTableFigureBoxstyles"/>
            </w:pPr>
            <w:r w:rsidRPr="00C1603D">
              <w:rPr>
                <w:rFonts w:eastAsia="Arial"/>
              </w:rPr>
              <w:t>3120</w:t>
            </w:r>
          </w:p>
        </w:tc>
        <w:tc>
          <w:tcPr>
            <w:tcW w:w="0" w:type="auto"/>
            <w:shd w:val="clear" w:color="auto" w:fill="FFFFFF"/>
            <w:tcMar>
              <w:top w:w="0" w:type="dxa"/>
              <w:left w:w="0" w:type="dxa"/>
              <w:bottom w:w="0" w:type="dxa"/>
              <w:right w:w="0" w:type="dxa"/>
            </w:tcMar>
          </w:tcPr>
          <w:p w14:paraId="48A8435E" w14:textId="1278395A"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7A2D4C4E" w14:textId="77777777" w:rsidR="008B4DF8" w:rsidRPr="00C1603D" w:rsidRDefault="008B4DF8" w:rsidP="00943414">
            <w:pPr>
              <w:pStyle w:val="72TabletextTablesTableFigureBoxstyles"/>
            </w:pPr>
            <w:r w:rsidRPr="00C1603D">
              <w:rPr>
                <w:rFonts w:eastAsia="Arial"/>
              </w:rPr>
              <w:t>Children without constipation</w:t>
            </w:r>
          </w:p>
        </w:tc>
        <w:tc>
          <w:tcPr>
            <w:tcW w:w="0" w:type="auto"/>
            <w:shd w:val="clear" w:color="auto" w:fill="FFFFFF"/>
            <w:tcMar>
              <w:top w:w="0" w:type="dxa"/>
              <w:left w:w="0" w:type="dxa"/>
              <w:bottom w:w="0" w:type="dxa"/>
              <w:right w:w="0" w:type="dxa"/>
            </w:tcMar>
          </w:tcPr>
          <w:p w14:paraId="36D54067"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2E1470D5"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13964CF" w14:textId="77777777" w:rsidR="008B4DF8" w:rsidRPr="00C1603D" w:rsidRDefault="008B4DF8" w:rsidP="00943414">
            <w:pPr>
              <w:pStyle w:val="72TabletextTablesTableFigureBoxstyles"/>
            </w:pPr>
            <w:r w:rsidRPr="00C1603D">
              <w:rPr>
                <w:rFonts w:eastAsia="Arial"/>
              </w:rPr>
              <w:t>Netherlands</w:t>
            </w:r>
          </w:p>
        </w:tc>
        <w:tc>
          <w:tcPr>
            <w:tcW w:w="0" w:type="auto"/>
            <w:shd w:val="clear" w:color="auto" w:fill="FFFFFF"/>
            <w:tcMar>
              <w:top w:w="0" w:type="dxa"/>
              <w:left w:w="0" w:type="dxa"/>
              <w:bottom w:w="0" w:type="dxa"/>
              <w:right w:w="0" w:type="dxa"/>
            </w:tcMar>
          </w:tcPr>
          <w:p w14:paraId="71DD3356" w14:textId="1931DBE8" w:rsidR="008B4DF8" w:rsidRPr="00C1603D" w:rsidRDefault="005B05C5" w:rsidP="00943414">
            <w:pPr>
              <w:pStyle w:val="72TabletextTablesTableFigureBoxstyles"/>
            </w:pPr>
            <w:r w:rsidRPr="00C1603D">
              <w:rPr>
                <w:rFonts w:eastAsia="Arial"/>
                <w:noProof/>
              </w:rPr>
              <w:t xml:space="preserve">Jansen </w:t>
            </w:r>
            <w:r w:rsidRPr="00C1603D">
              <w:rPr>
                <w:rFonts w:eastAsia="Arial"/>
                <w:i/>
                <w:iCs/>
                <w:noProof/>
              </w:rPr>
              <w:t>et al</w:t>
            </w:r>
            <w:r w:rsidRPr="00C1603D">
              <w:rPr>
                <w:rFonts w:eastAsia="Arial"/>
                <w:noProof/>
              </w:rPr>
              <w:t>.</w:t>
            </w:r>
            <w:r w:rsidR="008B4DF8" w:rsidRPr="00C1603D">
              <w:rPr>
                <w:rFonts w:eastAsia="Arial"/>
                <w:noProof/>
                <w:vertAlign w:val="superscript"/>
              </w:rPr>
              <w:t>185</w:t>
            </w:r>
          </w:p>
        </w:tc>
      </w:tr>
      <w:tr w:rsidR="00060DAE" w:rsidRPr="00C1603D" w14:paraId="75351DDB" w14:textId="77777777" w:rsidTr="00943414">
        <w:trPr>
          <w:cantSplit/>
        </w:trPr>
        <w:tc>
          <w:tcPr>
            <w:tcW w:w="0" w:type="auto"/>
            <w:shd w:val="clear" w:color="auto" w:fill="FFFFFF"/>
            <w:tcMar>
              <w:top w:w="0" w:type="dxa"/>
              <w:left w:w="0" w:type="dxa"/>
              <w:bottom w:w="0" w:type="dxa"/>
              <w:right w:w="0" w:type="dxa"/>
            </w:tcMar>
          </w:tcPr>
          <w:p w14:paraId="0ABFA971"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5D40B58"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2C4311E" w14:textId="77777777" w:rsidR="008B4DF8" w:rsidRPr="00C1603D" w:rsidRDefault="008B4DF8" w:rsidP="00943414">
            <w:pPr>
              <w:pStyle w:val="72TabletextTablesTableFigureBoxstyles"/>
            </w:pPr>
            <w:r w:rsidRPr="00C1603D">
              <w:rPr>
                <w:rFonts w:eastAsia="Arial"/>
              </w:rPr>
              <w:t>Constipation</w:t>
            </w:r>
          </w:p>
        </w:tc>
        <w:tc>
          <w:tcPr>
            <w:tcW w:w="0" w:type="auto"/>
            <w:shd w:val="clear" w:color="auto" w:fill="FFFFFF"/>
            <w:tcMar>
              <w:top w:w="0" w:type="dxa"/>
              <w:left w:w="0" w:type="dxa"/>
              <w:bottom w:w="0" w:type="dxa"/>
              <w:right w:w="0" w:type="dxa"/>
            </w:tcMar>
          </w:tcPr>
          <w:p w14:paraId="1B9D395F" w14:textId="77777777" w:rsidR="008B4DF8" w:rsidRPr="00C1603D" w:rsidRDefault="008B4DF8" w:rsidP="00943414">
            <w:pPr>
              <w:pStyle w:val="72TabletextTablesTableFigureBoxstyles"/>
            </w:pPr>
            <w:r w:rsidRPr="00C1603D">
              <w:rPr>
                <w:rFonts w:eastAsia="Arial"/>
              </w:rPr>
              <w:t>3715</w:t>
            </w:r>
          </w:p>
        </w:tc>
        <w:tc>
          <w:tcPr>
            <w:tcW w:w="0" w:type="auto"/>
            <w:shd w:val="clear" w:color="auto" w:fill="FFFFFF"/>
            <w:tcMar>
              <w:top w:w="0" w:type="dxa"/>
              <w:left w:w="0" w:type="dxa"/>
              <w:bottom w:w="0" w:type="dxa"/>
              <w:right w:w="0" w:type="dxa"/>
            </w:tcMar>
          </w:tcPr>
          <w:p w14:paraId="79AEB372" w14:textId="293CEE77"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E27169F" w14:textId="77777777" w:rsidR="008B4DF8" w:rsidRPr="00C1603D" w:rsidRDefault="008B4DF8" w:rsidP="00943414">
            <w:pPr>
              <w:pStyle w:val="72TabletextTablesTableFigureBoxstyles"/>
            </w:pPr>
            <w:r w:rsidRPr="00C1603D">
              <w:rPr>
                <w:rFonts w:eastAsia="Arial"/>
              </w:rPr>
              <w:t>Children without constipation</w:t>
            </w:r>
          </w:p>
        </w:tc>
        <w:tc>
          <w:tcPr>
            <w:tcW w:w="0" w:type="auto"/>
            <w:shd w:val="clear" w:color="auto" w:fill="FFFFFF"/>
            <w:tcMar>
              <w:top w:w="0" w:type="dxa"/>
              <w:left w:w="0" w:type="dxa"/>
              <w:bottom w:w="0" w:type="dxa"/>
              <w:right w:w="0" w:type="dxa"/>
            </w:tcMar>
          </w:tcPr>
          <w:p w14:paraId="7C9BB57D"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7C8E738B"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7FF39480" w14:textId="77777777" w:rsidR="008B4DF8" w:rsidRPr="00C1603D" w:rsidRDefault="008B4DF8" w:rsidP="00943414">
            <w:pPr>
              <w:pStyle w:val="72TabletextTablesTableFigureBoxstyles"/>
            </w:pPr>
            <w:r w:rsidRPr="00C1603D">
              <w:rPr>
                <w:rFonts w:eastAsia="Arial"/>
              </w:rPr>
              <w:t>Netherlands</w:t>
            </w:r>
          </w:p>
        </w:tc>
        <w:tc>
          <w:tcPr>
            <w:tcW w:w="0" w:type="auto"/>
            <w:shd w:val="clear" w:color="auto" w:fill="FFFFFF"/>
            <w:tcMar>
              <w:top w:w="0" w:type="dxa"/>
              <w:left w:w="0" w:type="dxa"/>
              <w:bottom w:w="0" w:type="dxa"/>
              <w:right w:w="0" w:type="dxa"/>
            </w:tcMar>
          </w:tcPr>
          <w:p w14:paraId="3E950031" w14:textId="6DDA4B02" w:rsidR="008B4DF8" w:rsidRPr="00C1603D" w:rsidRDefault="005B05C5" w:rsidP="00943414">
            <w:pPr>
              <w:pStyle w:val="72TabletextTablesTableFigureBoxstyles"/>
            </w:pPr>
            <w:r w:rsidRPr="00C1603D">
              <w:rPr>
                <w:rFonts w:eastAsia="Arial"/>
                <w:noProof/>
              </w:rPr>
              <w:t xml:space="preserve">Wahab </w:t>
            </w:r>
            <w:r w:rsidRPr="00C1603D">
              <w:rPr>
                <w:rFonts w:eastAsia="Arial"/>
                <w:i/>
                <w:iCs/>
                <w:noProof/>
              </w:rPr>
              <w:t>et al</w:t>
            </w:r>
            <w:r w:rsidRPr="00C1603D">
              <w:rPr>
                <w:rFonts w:eastAsia="Arial"/>
                <w:noProof/>
              </w:rPr>
              <w:t>.</w:t>
            </w:r>
            <w:r w:rsidR="008B4DF8" w:rsidRPr="00C1603D">
              <w:rPr>
                <w:rFonts w:eastAsia="Arial"/>
                <w:noProof/>
                <w:vertAlign w:val="superscript"/>
              </w:rPr>
              <w:t>183</w:t>
            </w:r>
          </w:p>
        </w:tc>
      </w:tr>
      <w:tr w:rsidR="00060DAE" w:rsidRPr="00C1603D" w14:paraId="75A00977" w14:textId="77777777" w:rsidTr="00943414">
        <w:trPr>
          <w:cantSplit/>
        </w:trPr>
        <w:tc>
          <w:tcPr>
            <w:tcW w:w="0" w:type="auto"/>
            <w:shd w:val="clear" w:color="auto" w:fill="FFFFFF"/>
            <w:tcMar>
              <w:top w:w="0" w:type="dxa"/>
              <w:left w:w="0" w:type="dxa"/>
              <w:bottom w:w="0" w:type="dxa"/>
              <w:right w:w="0" w:type="dxa"/>
            </w:tcMar>
          </w:tcPr>
          <w:p w14:paraId="11C75465" w14:textId="77777777" w:rsidR="008B4DF8" w:rsidRPr="00C1603D" w:rsidRDefault="008B4DF8" w:rsidP="00943414">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26FD67A8" w14:textId="77777777" w:rsidR="008B4DF8" w:rsidRPr="00C1603D" w:rsidRDefault="008B4DF8" w:rsidP="00943414">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627E5E03" w14:textId="77777777" w:rsidR="008B4DF8" w:rsidRPr="00C1603D" w:rsidRDefault="008B4DF8" w:rsidP="00943414">
            <w:pPr>
              <w:pStyle w:val="72TabletextTablesTableFigureBoxstyles"/>
              <w:rPr>
                <w:rFonts w:eastAsia="Arial"/>
              </w:rPr>
            </w:pPr>
            <w:r w:rsidRPr="00C1603D">
              <w:rPr>
                <w:rFonts w:eastAsia="Arial"/>
              </w:rPr>
              <w:t>Constipation</w:t>
            </w:r>
          </w:p>
        </w:tc>
        <w:tc>
          <w:tcPr>
            <w:tcW w:w="0" w:type="auto"/>
            <w:shd w:val="clear" w:color="auto" w:fill="FFFFFF"/>
            <w:tcMar>
              <w:top w:w="0" w:type="dxa"/>
              <w:left w:w="0" w:type="dxa"/>
              <w:bottom w:w="0" w:type="dxa"/>
              <w:right w:w="0" w:type="dxa"/>
            </w:tcMar>
          </w:tcPr>
          <w:p w14:paraId="24E98BF5" w14:textId="4420A30E" w:rsidR="008B4DF8" w:rsidRPr="00C1603D" w:rsidRDefault="008B4DF8" w:rsidP="00943414">
            <w:pPr>
              <w:pStyle w:val="72TabletextTablesTableFigureBoxstyles"/>
              <w:rPr>
                <w:rFonts w:eastAsia="Arial"/>
              </w:rPr>
            </w:pPr>
            <w:r w:rsidRPr="00C1603D">
              <w:rPr>
                <w:rFonts w:eastAsia="Arial"/>
              </w:rPr>
              <w:t>9918</w:t>
            </w:r>
          </w:p>
        </w:tc>
        <w:tc>
          <w:tcPr>
            <w:tcW w:w="0" w:type="auto"/>
            <w:shd w:val="clear" w:color="auto" w:fill="FFFFFF"/>
            <w:tcMar>
              <w:top w:w="0" w:type="dxa"/>
              <w:left w:w="0" w:type="dxa"/>
              <w:bottom w:w="0" w:type="dxa"/>
              <w:right w:w="0" w:type="dxa"/>
            </w:tcMar>
          </w:tcPr>
          <w:p w14:paraId="2EAAFAF0" w14:textId="21950A9F" w:rsidR="008B4DF8" w:rsidRPr="00C1603D" w:rsidRDefault="008B4DF8" w:rsidP="00943414">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069A738" w14:textId="77777777" w:rsidR="008B4DF8" w:rsidRPr="00C1603D" w:rsidRDefault="008B4DF8" w:rsidP="00943414">
            <w:pPr>
              <w:pStyle w:val="72TabletextTablesTableFigureBoxstyles"/>
              <w:rPr>
                <w:rFonts w:eastAsia="Arial"/>
              </w:rPr>
            </w:pPr>
            <w:r w:rsidRPr="00C1603D">
              <w:rPr>
                <w:rFonts w:eastAsia="Arial"/>
              </w:rPr>
              <w:t>Children without constipation</w:t>
            </w:r>
          </w:p>
        </w:tc>
        <w:tc>
          <w:tcPr>
            <w:tcW w:w="0" w:type="auto"/>
            <w:shd w:val="clear" w:color="auto" w:fill="FFFFFF"/>
            <w:tcMar>
              <w:top w:w="0" w:type="dxa"/>
              <w:left w:w="0" w:type="dxa"/>
              <w:bottom w:w="0" w:type="dxa"/>
              <w:right w:w="0" w:type="dxa"/>
            </w:tcMar>
          </w:tcPr>
          <w:p w14:paraId="20410DFA" w14:textId="77777777" w:rsidR="008B4DF8" w:rsidRPr="00C1603D" w:rsidRDefault="008B4DF8" w:rsidP="00943414">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7AC1E265" w14:textId="77777777" w:rsidR="008B4DF8" w:rsidRPr="00C1603D" w:rsidRDefault="008B4DF8" w:rsidP="00943414">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7B172DD4" w14:textId="6DC542DC" w:rsidR="008B4DF8" w:rsidRPr="00C1603D" w:rsidRDefault="008B4DF8" w:rsidP="00943414">
            <w:pPr>
              <w:pStyle w:val="72TabletextTablesTableFigureBoxstyles"/>
              <w:rPr>
                <w:rFonts w:eastAsia="Arial"/>
              </w:rPr>
            </w:pPr>
            <w:r w:rsidRPr="00C1603D">
              <w:rPr>
                <w:rFonts w:eastAsia="Arial"/>
              </w:rPr>
              <w:t>US</w:t>
            </w:r>
            <w:r w:rsidR="00F007A5" w:rsidRPr="00C1603D">
              <w:rPr>
                <w:rFonts w:eastAsia="Arial"/>
              </w:rPr>
              <w:t>A</w:t>
            </w:r>
          </w:p>
        </w:tc>
        <w:tc>
          <w:tcPr>
            <w:tcW w:w="0" w:type="auto"/>
            <w:shd w:val="clear" w:color="auto" w:fill="FFFFFF"/>
            <w:tcMar>
              <w:top w:w="0" w:type="dxa"/>
              <w:left w:w="0" w:type="dxa"/>
              <w:bottom w:w="0" w:type="dxa"/>
              <w:right w:w="0" w:type="dxa"/>
            </w:tcMar>
          </w:tcPr>
          <w:p w14:paraId="43462902" w14:textId="65F9B948" w:rsidR="008B4DF8" w:rsidRPr="00C1603D" w:rsidRDefault="005B05C5" w:rsidP="00943414">
            <w:pPr>
              <w:pStyle w:val="72TabletextTablesTableFigureBoxstyles"/>
              <w:rPr>
                <w:rFonts w:eastAsia="Arial"/>
              </w:rPr>
            </w:pPr>
            <w:r w:rsidRPr="00C1603D">
              <w:rPr>
                <w:rFonts w:eastAsia="Arial"/>
                <w:noProof/>
              </w:rPr>
              <w:t xml:space="preserve">Stahl </w:t>
            </w:r>
            <w:r w:rsidRPr="00C1603D">
              <w:rPr>
                <w:rFonts w:eastAsia="Arial"/>
                <w:i/>
                <w:iCs/>
                <w:noProof/>
              </w:rPr>
              <w:t>et al</w:t>
            </w:r>
            <w:r w:rsidRPr="00C1603D">
              <w:rPr>
                <w:rFonts w:eastAsia="Arial"/>
                <w:noProof/>
              </w:rPr>
              <w:t>.</w:t>
            </w:r>
            <w:r w:rsidR="008B4DF8" w:rsidRPr="00C1603D">
              <w:rPr>
                <w:rFonts w:eastAsia="Arial"/>
                <w:noProof/>
                <w:vertAlign w:val="superscript"/>
              </w:rPr>
              <w:t>305</w:t>
            </w:r>
          </w:p>
        </w:tc>
      </w:tr>
      <w:tr w:rsidR="00060DAE" w:rsidRPr="00C1603D" w14:paraId="42EF2CA8" w14:textId="77777777" w:rsidTr="00943414">
        <w:trPr>
          <w:cantSplit/>
        </w:trPr>
        <w:tc>
          <w:tcPr>
            <w:tcW w:w="0" w:type="auto"/>
            <w:shd w:val="clear" w:color="auto" w:fill="FFFFFF"/>
            <w:tcMar>
              <w:top w:w="0" w:type="dxa"/>
              <w:left w:w="0" w:type="dxa"/>
              <w:bottom w:w="0" w:type="dxa"/>
              <w:right w:w="0" w:type="dxa"/>
            </w:tcMar>
          </w:tcPr>
          <w:p w14:paraId="17980EF9" w14:textId="77777777" w:rsidR="008B4DF8" w:rsidRPr="00C1603D" w:rsidRDefault="008B4DF8" w:rsidP="00943414">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3F8319EF" w14:textId="77777777" w:rsidR="008B4DF8" w:rsidRPr="00C1603D" w:rsidRDefault="008B4DF8" w:rsidP="00943414">
            <w:pPr>
              <w:pStyle w:val="72TabletextTablesTableFigureBoxstyles"/>
              <w:rPr>
                <w:rFonts w:eastAsia="Arial"/>
              </w:rPr>
            </w:pPr>
            <w:r w:rsidRPr="00C1603D">
              <w:rPr>
                <w:rFonts w:eastAsia="Arial"/>
              </w:rPr>
              <w:t xml:space="preserve">Nested </w:t>
            </w:r>
            <w:r w:rsidRPr="00C1603D">
              <w:rPr>
                <w:rFonts w:eastAsia="Arial"/>
                <w:color w:val="00B0F0"/>
              </w:rPr>
              <w:t>case–control</w:t>
            </w:r>
            <w:r w:rsidRPr="00C1603D">
              <w:rPr>
                <w:rFonts w:eastAsia="Arial"/>
              </w:rPr>
              <w:t xml:space="preserve"> (DI)</w:t>
            </w:r>
          </w:p>
        </w:tc>
        <w:tc>
          <w:tcPr>
            <w:tcW w:w="0" w:type="auto"/>
            <w:shd w:val="clear" w:color="auto" w:fill="FFFFFF"/>
            <w:tcMar>
              <w:top w:w="0" w:type="dxa"/>
              <w:left w:w="0" w:type="dxa"/>
              <w:bottom w:w="0" w:type="dxa"/>
              <w:right w:w="0" w:type="dxa"/>
            </w:tcMar>
          </w:tcPr>
          <w:p w14:paraId="2386B780" w14:textId="77777777" w:rsidR="008B4DF8" w:rsidRPr="00C1603D" w:rsidRDefault="008B4DF8" w:rsidP="00943414">
            <w:pPr>
              <w:pStyle w:val="72TabletextTablesTableFigureBoxstyles"/>
              <w:rPr>
                <w:rFonts w:eastAsia="Arial"/>
              </w:rPr>
            </w:pPr>
            <w:r w:rsidRPr="00C1603D">
              <w:rPr>
                <w:rFonts w:eastAsia="Arial"/>
              </w:rPr>
              <w:t>Functional constipation</w:t>
            </w:r>
          </w:p>
        </w:tc>
        <w:tc>
          <w:tcPr>
            <w:tcW w:w="0" w:type="auto"/>
            <w:shd w:val="clear" w:color="auto" w:fill="FFFFFF"/>
            <w:tcMar>
              <w:top w:w="0" w:type="dxa"/>
              <w:left w:w="0" w:type="dxa"/>
              <w:bottom w:w="0" w:type="dxa"/>
              <w:right w:w="0" w:type="dxa"/>
            </w:tcMar>
          </w:tcPr>
          <w:p w14:paraId="023A5C88" w14:textId="77777777" w:rsidR="008B4DF8" w:rsidRPr="00C1603D" w:rsidRDefault="008B4DF8" w:rsidP="00943414">
            <w:pPr>
              <w:pStyle w:val="72TabletextTablesTableFigureBoxstyles"/>
              <w:rPr>
                <w:rFonts w:eastAsia="Arial"/>
              </w:rPr>
            </w:pPr>
            <w:r w:rsidRPr="00C1603D">
              <w:rPr>
                <w:rFonts w:eastAsia="Arial"/>
              </w:rPr>
              <w:t>622</w:t>
            </w:r>
          </w:p>
        </w:tc>
        <w:tc>
          <w:tcPr>
            <w:tcW w:w="0" w:type="auto"/>
            <w:shd w:val="clear" w:color="auto" w:fill="FFFFFF"/>
            <w:tcMar>
              <w:top w:w="0" w:type="dxa"/>
              <w:left w:w="0" w:type="dxa"/>
              <w:bottom w:w="0" w:type="dxa"/>
              <w:right w:w="0" w:type="dxa"/>
            </w:tcMar>
          </w:tcPr>
          <w:p w14:paraId="13FC7545" w14:textId="77777777" w:rsidR="008B4DF8" w:rsidRPr="00C1603D" w:rsidRDefault="008B4DF8" w:rsidP="00943414">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572BA3D2" w14:textId="160A0668" w:rsidR="008B4DF8" w:rsidRPr="00C1603D" w:rsidRDefault="008B4DF8" w:rsidP="00943414">
            <w:pPr>
              <w:pStyle w:val="72TabletextTablesTableFigureBoxstyles"/>
              <w:rPr>
                <w:rFonts w:eastAsia="Arial"/>
              </w:rPr>
            </w:pPr>
            <w:r w:rsidRPr="00C1603D">
              <w:rPr>
                <w:rFonts w:eastAsia="Arial"/>
              </w:rPr>
              <w:t xml:space="preserve">Children without functional </w:t>
            </w:r>
            <w:r w:rsidR="00807C54" w:rsidRPr="00C1603D">
              <w:rPr>
                <w:rFonts w:eastAsia="Arial"/>
              </w:rPr>
              <w:t>GI</w:t>
            </w:r>
            <w:r w:rsidRPr="00C1603D">
              <w:rPr>
                <w:rFonts w:eastAsia="Arial"/>
              </w:rPr>
              <w:t xml:space="preserve"> disorders</w:t>
            </w:r>
          </w:p>
        </w:tc>
        <w:tc>
          <w:tcPr>
            <w:tcW w:w="0" w:type="auto"/>
            <w:shd w:val="clear" w:color="auto" w:fill="FFFFFF"/>
            <w:tcMar>
              <w:top w:w="0" w:type="dxa"/>
              <w:left w:w="0" w:type="dxa"/>
              <w:bottom w:w="0" w:type="dxa"/>
              <w:right w:w="0" w:type="dxa"/>
            </w:tcMar>
          </w:tcPr>
          <w:p w14:paraId="40389245" w14:textId="490F6B95" w:rsidR="008B4DF8" w:rsidRPr="00C1603D" w:rsidRDefault="008B4DF8" w:rsidP="00943414">
            <w:pPr>
              <w:pStyle w:val="72TabletextTablesTableFigureBoxstyles"/>
              <w:rPr>
                <w:rFonts w:eastAsia="Arial"/>
              </w:rPr>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555038E2" w14:textId="77777777" w:rsidR="008B4DF8" w:rsidRPr="00C1603D" w:rsidRDefault="008B4DF8" w:rsidP="00943414">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01A30B73" w14:textId="77777777" w:rsidR="008B4DF8" w:rsidRPr="00C1603D" w:rsidRDefault="008B4DF8" w:rsidP="00943414">
            <w:pPr>
              <w:pStyle w:val="72TabletextTablesTableFigureBoxstyles"/>
              <w:rPr>
                <w:rFonts w:eastAsia="Arial"/>
              </w:rPr>
            </w:pPr>
            <w:r w:rsidRPr="00C1603D">
              <w:rPr>
                <w:rFonts w:eastAsia="Arial"/>
              </w:rPr>
              <w:t>Colombia</w:t>
            </w:r>
          </w:p>
        </w:tc>
        <w:tc>
          <w:tcPr>
            <w:tcW w:w="0" w:type="auto"/>
            <w:shd w:val="clear" w:color="auto" w:fill="FFFFFF"/>
            <w:tcMar>
              <w:top w:w="0" w:type="dxa"/>
              <w:left w:w="0" w:type="dxa"/>
              <w:bottom w:w="0" w:type="dxa"/>
              <w:right w:w="0" w:type="dxa"/>
            </w:tcMar>
          </w:tcPr>
          <w:p w14:paraId="66FAE9FB" w14:textId="4B743EFC" w:rsidR="008B4DF8" w:rsidRPr="00C1603D" w:rsidRDefault="005B05C5" w:rsidP="00943414">
            <w:pPr>
              <w:pStyle w:val="72TabletextTablesTableFigureBoxstyles"/>
              <w:rPr>
                <w:rFonts w:eastAsia="Arial"/>
              </w:rPr>
            </w:pPr>
            <w:r w:rsidRPr="00C1603D">
              <w:rPr>
                <w:rFonts w:eastAsia="Arial"/>
                <w:noProof/>
              </w:rPr>
              <w:t xml:space="preserve">Fifi </w:t>
            </w:r>
            <w:r w:rsidRPr="00C1603D">
              <w:rPr>
                <w:rFonts w:eastAsia="Arial"/>
                <w:i/>
                <w:iCs/>
                <w:noProof/>
              </w:rPr>
              <w:t>et al</w:t>
            </w:r>
            <w:r w:rsidRPr="00C1603D">
              <w:rPr>
                <w:rFonts w:eastAsia="Arial"/>
                <w:noProof/>
              </w:rPr>
              <w:t>.</w:t>
            </w:r>
            <w:r w:rsidR="008B4DF8" w:rsidRPr="00C1603D">
              <w:rPr>
                <w:rFonts w:eastAsia="Arial"/>
                <w:noProof/>
                <w:vertAlign w:val="superscript"/>
              </w:rPr>
              <w:t>343</w:t>
            </w:r>
          </w:p>
        </w:tc>
      </w:tr>
      <w:tr w:rsidR="001902E7" w:rsidRPr="00C1603D" w14:paraId="231160B3" w14:textId="77777777" w:rsidTr="00B921E5">
        <w:trPr>
          <w:cantSplit/>
        </w:trPr>
        <w:tc>
          <w:tcPr>
            <w:tcW w:w="0" w:type="auto"/>
            <w:gridSpan w:val="10"/>
            <w:shd w:val="clear" w:color="auto" w:fill="FFFFFF"/>
            <w:tcMar>
              <w:top w:w="0" w:type="dxa"/>
              <w:left w:w="0" w:type="dxa"/>
              <w:bottom w:w="0" w:type="dxa"/>
              <w:right w:w="0" w:type="dxa"/>
            </w:tcMar>
          </w:tcPr>
          <w:p w14:paraId="12495A14" w14:textId="052C2601" w:rsidR="001902E7" w:rsidRPr="00C1603D" w:rsidRDefault="001902E7" w:rsidP="001902E7">
            <w:pPr>
              <w:pStyle w:val="75TablenotesTablesTableFigureBoxstyles"/>
              <w:rPr>
                <w:rFonts w:eastAsia="Arial"/>
                <w:noProof/>
                <w:vertAlign w:val="superscript"/>
              </w:rPr>
            </w:pPr>
            <w:r w:rsidRPr="00C1603D">
              <w:rPr>
                <w:rFonts w:eastAsia="Arial"/>
                <w:noProof/>
              </w:rPr>
              <w:t>DI, diagnostic indicator; NR, not reported.</w:t>
            </w:r>
          </w:p>
        </w:tc>
      </w:tr>
    </w:tbl>
    <w:p w14:paraId="6C91129A" w14:textId="55C80D75" w:rsidR="008B4DF8" w:rsidRPr="00C1603D" w:rsidRDefault="008B4DF8" w:rsidP="008B4DF8">
      <w:pPr>
        <w:pStyle w:val="70TablelegendTablesTableFigureBoxstyles"/>
      </w:pPr>
      <w:bookmarkStart w:id="588" w:name="_Toc99720742"/>
      <w:r w:rsidRPr="00C1603D">
        <w:rPr>
          <w:b/>
        </w:rPr>
        <w:t>TABLE 3</w:t>
      </w:r>
      <w:r w:rsidR="00032460" w:rsidRPr="00C1603D">
        <w:rPr>
          <w:b/>
        </w:rPr>
        <w:t>2</w:t>
      </w:r>
      <w:r w:rsidRPr="00C1603D">
        <w:rPr>
          <w:b/>
        </w:rPr>
        <w:t> </w:t>
      </w:r>
      <w:r w:rsidRPr="00C1603D">
        <w:t xml:space="preserve">Study characteristic: </w:t>
      </w:r>
      <w:r w:rsidR="00943414" w:rsidRPr="00C1603D">
        <w:t>d</w:t>
      </w:r>
      <w:r w:rsidRPr="00C1603D">
        <w:t>ermatitis herpetiformis</w:t>
      </w:r>
      <w:bookmarkEnd w:id="588"/>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18"/>
        <w:gridCol w:w="759"/>
        <w:gridCol w:w="1137"/>
        <w:gridCol w:w="650"/>
        <w:gridCol w:w="657"/>
        <w:gridCol w:w="1319"/>
        <w:gridCol w:w="1070"/>
        <w:gridCol w:w="930"/>
        <w:gridCol w:w="732"/>
        <w:gridCol w:w="854"/>
      </w:tblGrid>
      <w:tr w:rsidR="005B05C5" w:rsidRPr="00C1603D" w14:paraId="6A480F35" w14:textId="77777777" w:rsidTr="00943414">
        <w:trPr>
          <w:cantSplit/>
        </w:trPr>
        <w:tc>
          <w:tcPr>
            <w:tcW w:w="0" w:type="auto"/>
            <w:shd w:val="clear" w:color="auto" w:fill="FFFFFF"/>
            <w:tcMar>
              <w:top w:w="0" w:type="dxa"/>
              <w:left w:w="0" w:type="dxa"/>
              <w:bottom w:w="0" w:type="dxa"/>
              <w:right w:w="0" w:type="dxa"/>
            </w:tcMar>
          </w:tcPr>
          <w:p w14:paraId="14839B87" w14:textId="24AC59B3"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17F24E01" w14:textId="46A5F2B1"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45A74C89" w14:textId="586D4895"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E300B3F" w14:textId="05C7A3CF"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42C43CE"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41322076"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B14148D"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0C653C38"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22C3DF67"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F5E2897" w14:textId="77777777" w:rsidR="001902E7" w:rsidRPr="00C1603D" w:rsidRDefault="001902E7" w:rsidP="001902E7">
            <w:pPr>
              <w:pStyle w:val="710TableheadTablesTableFigureBoxstyles"/>
            </w:pPr>
            <w:r w:rsidRPr="00C1603D">
              <w:rPr>
                <w:rFonts w:eastAsia="Arial"/>
              </w:rPr>
              <w:t>Reference</w:t>
            </w:r>
          </w:p>
        </w:tc>
      </w:tr>
      <w:tr w:rsidR="005B05C5" w:rsidRPr="00C1603D" w14:paraId="14391910" w14:textId="77777777" w:rsidTr="00943414">
        <w:trPr>
          <w:cantSplit/>
        </w:trPr>
        <w:tc>
          <w:tcPr>
            <w:tcW w:w="0" w:type="auto"/>
            <w:shd w:val="clear" w:color="auto" w:fill="FFFFFF"/>
            <w:tcMar>
              <w:top w:w="0" w:type="dxa"/>
              <w:left w:w="0" w:type="dxa"/>
              <w:bottom w:w="0" w:type="dxa"/>
              <w:right w:w="0" w:type="dxa"/>
            </w:tcMar>
          </w:tcPr>
          <w:p w14:paraId="697C42BC" w14:textId="77777777" w:rsidR="008B4DF8" w:rsidRPr="00C1603D" w:rsidRDefault="008B4DF8" w:rsidP="00943414">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5F19285F" w14:textId="74C61172"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32EAAF0" w14:textId="77777777" w:rsidR="008B4DF8" w:rsidRPr="00C1603D" w:rsidRDefault="008B4DF8" w:rsidP="00943414">
            <w:pPr>
              <w:pStyle w:val="72TabletextTablesTableFigureBoxstyles"/>
            </w:pPr>
            <w:r w:rsidRPr="00C1603D">
              <w:rPr>
                <w:rFonts w:eastAsia="Arial"/>
              </w:rPr>
              <w:t>Dermatitis herpetiformis</w:t>
            </w:r>
          </w:p>
        </w:tc>
        <w:tc>
          <w:tcPr>
            <w:tcW w:w="0" w:type="auto"/>
            <w:shd w:val="clear" w:color="auto" w:fill="FFFFFF"/>
            <w:tcMar>
              <w:top w:w="0" w:type="dxa"/>
              <w:left w:w="0" w:type="dxa"/>
              <w:bottom w:w="0" w:type="dxa"/>
              <w:right w:w="0" w:type="dxa"/>
            </w:tcMar>
          </w:tcPr>
          <w:p w14:paraId="10609EA5" w14:textId="77777777" w:rsidR="008B4DF8" w:rsidRPr="00C1603D" w:rsidRDefault="008B4DF8" w:rsidP="00943414">
            <w:pPr>
              <w:pStyle w:val="72TabletextTablesTableFigureBoxstyles"/>
            </w:pPr>
            <w:r w:rsidRPr="00C1603D">
              <w:rPr>
                <w:rFonts w:eastAsia="Arial"/>
              </w:rPr>
              <w:t>150</w:t>
            </w:r>
          </w:p>
        </w:tc>
        <w:tc>
          <w:tcPr>
            <w:tcW w:w="0" w:type="auto"/>
            <w:shd w:val="clear" w:color="auto" w:fill="FFFFFF"/>
            <w:tcMar>
              <w:top w:w="0" w:type="dxa"/>
              <w:left w:w="0" w:type="dxa"/>
              <w:bottom w:w="0" w:type="dxa"/>
              <w:right w:w="0" w:type="dxa"/>
            </w:tcMar>
          </w:tcPr>
          <w:p w14:paraId="65B2D12B"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180F456D" w14:textId="1D4FB96D" w:rsidR="008B4DF8" w:rsidRPr="00C1603D" w:rsidRDefault="005B05C5"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1CE7222B" w14:textId="4528137A"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A168E9B" w14:textId="0F58F0F1" w:rsidR="008B4DF8" w:rsidRPr="00C1603D" w:rsidRDefault="005B05C5"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E69B8FB" w14:textId="77777777" w:rsidR="008B4DF8" w:rsidRPr="00C1603D" w:rsidRDefault="008B4DF8" w:rsidP="00943414">
            <w:pPr>
              <w:pStyle w:val="72TabletextTablesTableFigureBoxstyles"/>
            </w:pPr>
            <w:r w:rsidRPr="00C1603D">
              <w:rPr>
                <w:rFonts w:eastAsia="Arial"/>
              </w:rPr>
              <w:t>Poland</w:t>
            </w:r>
          </w:p>
        </w:tc>
        <w:tc>
          <w:tcPr>
            <w:tcW w:w="0" w:type="auto"/>
            <w:shd w:val="clear" w:color="auto" w:fill="FFFFFF"/>
            <w:tcMar>
              <w:top w:w="0" w:type="dxa"/>
              <w:left w:w="0" w:type="dxa"/>
              <w:bottom w:w="0" w:type="dxa"/>
              <w:right w:w="0" w:type="dxa"/>
            </w:tcMar>
          </w:tcPr>
          <w:p w14:paraId="38EA6BDF" w14:textId="46B86D3E" w:rsidR="008B4DF8" w:rsidRPr="00C1603D" w:rsidRDefault="005B05C5" w:rsidP="00943414">
            <w:pPr>
              <w:pStyle w:val="72TabletextTablesTableFigureBoxstyles"/>
            </w:pPr>
            <w:r w:rsidRPr="00C1603D">
              <w:rPr>
                <w:rFonts w:eastAsia="Arial"/>
                <w:noProof/>
              </w:rPr>
              <w:t xml:space="preserve">Kumar </w:t>
            </w:r>
            <w:r w:rsidRPr="00C1603D">
              <w:rPr>
                <w:rFonts w:eastAsia="Arial"/>
                <w:i/>
                <w:iCs/>
                <w:noProof/>
              </w:rPr>
              <w:t>et al</w:t>
            </w:r>
            <w:r w:rsidRPr="00C1603D">
              <w:rPr>
                <w:rFonts w:eastAsia="Arial"/>
                <w:noProof/>
              </w:rPr>
              <w:t>.</w:t>
            </w:r>
            <w:r w:rsidR="008B4DF8" w:rsidRPr="00C1603D">
              <w:rPr>
                <w:rFonts w:eastAsia="Arial"/>
                <w:noProof/>
                <w:vertAlign w:val="superscript"/>
              </w:rPr>
              <w:t>344</w:t>
            </w:r>
          </w:p>
        </w:tc>
      </w:tr>
      <w:tr w:rsidR="005B05C5" w:rsidRPr="00C1603D" w14:paraId="49B966B5" w14:textId="77777777" w:rsidTr="00943414">
        <w:trPr>
          <w:cantSplit/>
        </w:trPr>
        <w:tc>
          <w:tcPr>
            <w:tcW w:w="0" w:type="auto"/>
            <w:shd w:val="clear" w:color="auto" w:fill="FFFFFF"/>
            <w:tcMar>
              <w:top w:w="0" w:type="dxa"/>
              <w:left w:w="0" w:type="dxa"/>
              <w:bottom w:w="0" w:type="dxa"/>
              <w:right w:w="0" w:type="dxa"/>
            </w:tcMar>
          </w:tcPr>
          <w:p w14:paraId="6D83467D"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03414C8" w14:textId="02BF75EA"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90E21BC" w14:textId="77777777" w:rsidR="008B4DF8" w:rsidRPr="00C1603D" w:rsidRDefault="008B4DF8" w:rsidP="00943414">
            <w:pPr>
              <w:pStyle w:val="72TabletextTablesTableFigureBoxstyles"/>
            </w:pPr>
            <w:r w:rsidRPr="00C1603D">
              <w:rPr>
                <w:rFonts w:eastAsia="Arial"/>
              </w:rPr>
              <w:t>Dermatitis herpetiformis</w:t>
            </w:r>
          </w:p>
        </w:tc>
        <w:tc>
          <w:tcPr>
            <w:tcW w:w="0" w:type="auto"/>
            <w:shd w:val="clear" w:color="auto" w:fill="FFFFFF"/>
            <w:tcMar>
              <w:top w:w="0" w:type="dxa"/>
              <w:left w:w="0" w:type="dxa"/>
              <w:bottom w:w="0" w:type="dxa"/>
              <w:right w:w="0" w:type="dxa"/>
            </w:tcMar>
          </w:tcPr>
          <w:p w14:paraId="3E310469" w14:textId="77777777" w:rsidR="008B4DF8" w:rsidRPr="00C1603D" w:rsidRDefault="008B4DF8" w:rsidP="00943414">
            <w:pPr>
              <w:pStyle w:val="72TabletextTablesTableFigureBoxstyles"/>
            </w:pPr>
            <w:r w:rsidRPr="00C1603D">
              <w:rPr>
                <w:rFonts w:eastAsia="Arial"/>
              </w:rPr>
              <w:t>46</w:t>
            </w:r>
          </w:p>
        </w:tc>
        <w:tc>
          <w:tcPr>
            <w:tcW w:w="0" w:type="auto"/>
            <w:shd w:val="clear" w:color="auto" w:fill="FFFFFF"/>
            <w:tcMar>
              <w:top w:w="0" w:type="dxa"/>
              <w:left w:w="0" w:type="dxa"/>
              <w:bottom w:w="0" w:type="dxa"/>
              <w:right w:w="0" w:type="dxa"/>
            </w:tcMar>
          </w:tcPr>
          <w:p w14:paraId="7983052F"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326AE27F" w14:textId="4CE32C69" w:rsidR="008B4DF8" w:rsidRPr="00C1603D" w:rsidRDefault="005B05C5"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497FF6E1" w14:textId="77777777" w:rsidR="008B4DF8" w:rsidRPr="00C1603D" w:rsidRDefault="008B4DF8" w:rsidP="00943414">
            <w:pPr>
              <w:pStyle w:val="72TabletextTablesTableFigureBoxstyles"/>
            </w:pPr>
            <w:r w:rsidRPr="00C1603D">
              <w:rPr>
                <w:rFonts w:eastAsia="Arial"/>
              </w:rPr>
              <w:t>Other</w:t>
            </w:r>
          </w:p>
        </w:tc>
        <w:tc>
          <w:tcPr>
            <w:tcW w:w="0" w:type="auto"/>
            <w:shd w:val="clear" w:color="auto" w:fill="FFFFFF"/>
            <w:tcMar>
              <w:top w:w="0" w:type="dxa"/>
              <w:left w:w="0" w:type="dxa"/>
              <w:bottom w:w="0" w:type="dxa"/>
              <w:right w:w="0" w:type="dxa"/>
            </w:tcMar>
          </w:tcPr>
          <w:p w14:paraId="4D2F0049" w14:textId="03B9D9DA" w:rsidR="008B4DF8" w:rsidRPr="00C1603D" w:rsidRDefault="005B05C5"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F2AD59A" w14:textId="77777777" w:rsidR="008B4DF8" w:rsidRPr="00C1603D" w:rsidRDefault="008B4DF8" w:rsidP="00943414">
            <w:pPr>
              <w:pStyle w:val="72TabletextTablesTableFigureBoxstyles"/>
            </w:pPr>
            <w:r w:rsidRPr="00C1603D">
              <w:rPr>
                <w:rFonts w:eastAsia="Arial"/>
              </w:rPr>
              <w:t>Bulgaria</w:t>
            </w:r>
          </w:p>
        </w:tc>
        <w:tc>
          <w:tcPr>
            <w:tcW w:w="0" w:type="auto"/>
            <w:shd w:val="clear" w:color="auto" w:fill="FFFFFF"/>
            <w:tcMar>
              <w:top w:w="0" w:type="dxa"/>
              <w:left w:w="0" w:type="dxa"/>
              <w:bottom w:w="0" w:type="dxa"/>
              <w:right w:w="0" w:type="dxa"/>
            </w:tcMar>
          </w:tcPr>
          <w:p w14:paraId="495129B2" w14:textId="12007038" w:rsidR="008B4DF8" w:rsidRPr="00C1603D" w:rsidRDefault="005B05C5" w:rsidP="00943414">
            <w:pPr>
              <w:pStyle w:val="72TabletextTablesTableFigureBoxstyles"/>
            </w:pPr>
            <w:r w:rsidRPr="00C1603D">
              <w:rPr>
                <w:rFonts w:eastAsia="Arial"/>
                <w:noProof/>
              </w:rPr>
              <w:t xml:space="preserve">Velikova </w:t>
            </w:r>
            <w:r w:rsidRPr="00C1603D">
              <w:rPr>
                <w:rFonts w:eastAsia="Arial"/>
                <w:i/>
                <w:iCs/>
                <w:noProof/>
              </w:rPr>
              <w:t>et al</w:t>
            </w:r>
            <w:r w:rsidRPr="00C1603D">
              <w:rPr>
                <w:rFonts w:eastAsia="Arial"/>
                <w:noProof/>
              </w:rPr>
              <w:t>.</w:t>
            </w:r>
            <w:r w:rsidR="008B4DF8" w:rsidRPr="00C1603D">
              <w:rPr>
                <w:rFonts w:eastAsia="Arial"/>
                <w:noProof/>
                <w:vertAlign w:val="superscript"/>
              </w:rPr>
              <w:t>345</w:t>
            </w:r>
          </w:p>
        </w:tc>
      </w:tr>
      <w:tr w:rsidR="005B05C5" w:rsidRPr="00C1603D" w14:paraId="31707A18" w14:textId="77777777" w:rsidTr="00943414">
        <w:trPr>
          <w:cantSplit/>
        </w:trPr>
        <w:tc>
          <w:tcPr>
            <w:tcW w:w="0" w:type="auto"/>
            <w:shd w:val="clear" w:color="auto" w:fill="FFFFFF"/>
            <w:tcMar>
              <w:top w:w="0" w:type="dxa"/>
              <w:left w:w="0" w:type="dxa"/>
              <w:bottom w:w="0" w:type="dxa"/>
              <w:right w:w="0" w:type="dxa"/>
            </w:tcMar>
          </w:tcPr>
          <w:p w14:paraId="68A60DCF"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56CB928"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77081024" w14:textId="77777777" w:rsidR="008B4DF8" w:rsidRPr="00C1603D" w:rsidRDefault="008B4DF8" w:rsidP="00943414">
            <w:pPr>
              <w:pStyle w:val="72TabletextTablesTableFigureBoxstyles"/>
            </w:pPr>
            <w:r w:rsidRPr="00C1603D">
              <w:rPr>
                <w:rFonts w:eastAsia="Arial"/>
              </w:rPr>
              <w:t>Dermatitis herpetiformis</w:t>
            </w:r>
          </w:p>
        </w:tc>
        <w:tc>
          <w:tcPr>
            <w:tcW w:w="0" w:type="auto"/>
            <w:shd w:val="clear" w:color="auto" w:fill="FFFFFF"/>
            <w:tcMar>
              <w:top w:w="0" w:type="dxa"/>
              <w:left w:w="0" w:type="dxa"/>
              <w:bottom w:w="0" w:type="dxa"/>
              <w:right w:w="0" w:type="dxa"/>
            </w:tcMar>
          </w:tcPr>
          <w:p w14:paraId="0B602267" w14:textId="77777777" w:rsidR="008B4DF8" w:rsidRPr="00C1603D" w:rsidRDefault="008B4DF8" w:rsidP="00943414">
            <w:pPr>
              <w:pStyle w:val="72TabletextTablesTableFigureBoxstyles"/>
            </w:pPr>
            <w:r w:rsidRPr="00C1603D">
              <w:rPr>
                <w:rFonts w:eastAsia="Arial"/>
              </w:rPr>
              <w:t>381</w:t>
            </w:r>
          </w:p>
        </w:tc>
        <w:tc>
          <w:tcPr>
            <w:tcW w:w="0" w:type="auto"/>
            <w:shd w:val="clear" w:color="auto" w:fill="FFFFFF"/>
            <w:tcMar>
              <w:top w:w="0" w:type="dxa"/>
              <w:left w:w="0" w:type="dxa"/>
              <w:bottom w:w="0" w:type="dxa"/>
              <w:right w:w="0" w:type="dxa"/>
            </w:tcMar>
          </w:tcPr>
          <w:p w14:paraId="02147D7F" w14:textId="45A12974"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71F2DD4" w14:textId="77777777" w:rsidR="008B4DF8" w:rsidRPr="00C1603D" w:rsidRDefault="008B4DF8" w:rsidP="00943414">
            <w:pPr>
              <w:pStyle w:val="72TabletextTablesTableFigureBoxstyles"/>
            </w:pPr>
            <w:r w:rsidRPr="00C1603D">
              <w:rPr>
                <w:rFonts w:eastAsia="Arial"/>
              </w:rPr>
              <w:t>People without dermatitis herpetiformis</w:t>
            </w:r>
          </w:p>
        </w:tc>
        <w:tc>
          <w:tcPr>
            <w:tcW w:w="0" w:type="auto"/>
            <w:shd w:val="clear" w:color="auto" w:fill="FFFFFF"/>
            <w:tcMar>
              <w:top w:w="0" w:type="dxa"/>
              <w:left w:w="0" w:type="dxa"/>
              <w:bottom w:w="0" w:type="dxa"/>
              <w:right w:w="0" w:type="dxa"/>
            </w:tcMar>
          </w:tcPr>
          <w:p w14:paraId="322DFCCE" w14:textId="25D4E595"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29482CB3" w14:textId="41488D0D" w:rsidR="008B4DF8" w:rsidRPr="00C1603D" w:rsidRDefault="005B05C5"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0E79BE7" w14:textId="268F7A59" w:rsidR="008B4DF8" w:rsidRPr="00C1603D" w:rsidRDefault="008B4DF8" w:rsidP="00943414">
            <w:pPr>
              <w:pStyle w:val="72TabletextTablesTableFigureBoxstyles"/>
            </w:pPr>
            <w:r w:rsidRPr="00C1603D">
              <w:rPr>
                <w:rFonts w:eastAsia="Arial"/>
              </w:rPr>
              <w:t>US</w:t>
            </w:r>
            <w:r w:rsidR="005B05C5" w:rsidRPr="00C1603D">
              <w:rPr>
                <w:rFonts w:eastAsia="Arial"/>
              </w:rPr>
              <w:t>A</w:t>
            </w:r>
          </w:p>
        </w:tc>
        <w:tc>
          <w:tcPr>
            <w:tcW w:w="0" w:type="auto"/>
            <w:shd w:val="clear" w:color="auto" w:fill="FFFFFF"/>
            <w:tcMar>
              <w:top w:w="0" w:type="dxa"/>
              <w:left w:w="0" w:type="dxa"/>
              <w:bottom w:w="0" w:type="dxa"/>
              <w:right w:w="0" w:type="dxa"/>
            </w:tcMar>
          </w:tcPr>
          <w:p w14:paraId="6054D4B1" w14:textId="0C88336E" w:rsidR="008B4DF8" w:rsidRPr="00C1603D" w:rsidRDefault="005B05C5" w:rsidP="00943414">
            <w:pPr>
              <w:pStyle w:val="72TabletextTablesTableFigureBoxstyles"/>
            </w:pPr>
            <w:r w:rsidRPr="00C1603D">
              <w:rPr>
                <w:rFonts w:eastAsia="Arial"/>
                <w:noProof/>
              </w:rPr>
              <w:t xml:space="preserve">Godfrey </w:t>
            </w:r>
            <w:r w:rsidRPr="00C1603D">
              <w:rPr>
                <w:rFonts w:eastAsia="Arial"/>
                <w:i/>
                <w:iCs/>
                <w:noProof/>
              </w:rPr>
              <w:t>et al</w:t>
            </w:r>
            <w:r w:rsidRPr="00C1603D">
              <w:rPr>
                <w:rFonts w:eastAsia="Arial"/>
                <w:noProof/>
              </w:rPr>
              <w:t>.</w:t>
            </w:r>
            <w:r w:rsidR="008B4DF8" w:rsidRPr="00C1603D">
              <w:rPr>
                <w:rFonts w:eastAsia="Arial"/>
                <w:noProof/>
                <w:vertAlign w:val="superscript"/>
              </w:rPr>
              <w:t>302</w:t>
            </w:r>
          </w:p>
        </w:tc>
      </w:tr>
      <w:tr w:rsidR="005B05C5" w:rsidRPr="00C1603D" w14:paraId="38850A84" w14:textId="77777777" w:rsidTr="00943414">
        <w:trPr>
          <w:cantSplit/>
        </w:trPr>
        <w:tc>
          <w:tcPr>
            <w:tcW w:w="0" w:type="auto"/>
            <w:shd w:val="clear" w:color="auto" w:fill="FFFFFF"/>
            <w:tcMar>
              <w:top w:w="0" w:type="dxa"/>
              <w:left w:w="0" w:type="dxa"/>
              <w:bottom w:w="0" w:type="dxa"/>
              <w:right w:w="0" w:type="dxa"/>
            </w:tcMar>
          </w:tcPr>
          <w:p w14:paraId="4308C4DC"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274F31B"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1B9F1BB7" w14:textId="77777777" w:rsidR="008B4DF8" w:rsidRPr="00C1603D" w:rsidRDefault="008B4DF8" w:rsidP="00943414">
            <w:pPr>
              <w:pStyle w:val="72TabletextTablesTableFigureBoxstyles"/>
            </w:pPr>
            <w:r w:rsidRPr="00C1603D">
              <w:rPr>
                <w:rFonts w:eastAsia="Arial"/>
              </w:rPr>
              <w:t>Dermatitis herpetiformis</w:t>
            </w:r>
          </w:p>
        </w:tc>
        <w:tc>
          <w:tcPr>
            <w:tcW w:w="0" w:type="auto"/>
            <w:shd w:val="clear" w:color="auto" w:fill="FFFFFF"/>
            <w:tcMar>
              <w:top w:w="0" w:type="dxa"/>
              <w:left w:w="0" w:type="dxa"/>
              <w:bottom w:w="0" w:type="dxa"/>
              <w:right w:w="0" w:type="dxa"/>
            </w:tcMar>
          </w:tcPr>
          <w:p w14:paraId="41F70B34"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3D75ADEC" w14:textId="52C03429"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69DFD04" w14:textId="77777777" w:rsidR="008B4DF8" w:rsidRPr="00C1603D" w:rsidRDefault="008B4DF8" w:rsidP="00943414">
            <w:pPr>
              <w:pStyle w:val="72TabletextTablesTableFigureBoxstyles"/>
            </w:pPr>
            <w:r w:rsidRPr="00C1603D">
              <w:rPr>
                <w:rFonts w:eastAsia="Arial"/>
              </w:rPr>
              <w:t>People without dermatitis herpetiformis</w:t>
            </w:r>
          </w:p>
        </w:tc>
        <w:tc>
          <w:tcPr>
            <w:tcW w:w="0" w:type="auto"/>
            <w:shd w:val="clear" w:color="auto" w:fill="FFFFFF"/>
            <w:tcMar>
              <w:top w:w="0" w:type="dxa"/>
              <w:left w:w="0" w:type="dxa"/>
              <w:bottom w:w="0" w:type="dxa"/>
              <w:right w:w="0" w:type="dxa"/>
            </w:tcMar>
          </w:tcPr>
          <w:p w14:paraId="56006AD4" w14:textId="6A4DB3DE"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90F21D4"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0491A18E" w14:textId="1758039E" w:rsidR="008B4DF8" w:rsidRPr="00C1603D" w:rsidRDefault="008B4DF8" w:rsidP="00943414">
            <w:pPr>
              <w:pStyle w:val="72TabletextTablesTableFigureBoxstyles"/>
            </w:pPr>
            <w:r w:rsidRPr="00C1603D">
              <w:rPr>
                <w:rFonts w:eastAsia="Arial"/>
              </w:rPr>
              <w:t>US</w:t>
            </w:r>
            <w:r w:rsidR="005B05C5" w:rsidRPr="00C1603D">
              <w:rPr>
                <w:rFonts w:eastAsia="Arial"/>
              </w:rPr>
              <w:t>A</w:t>
            </w:r>
          </w:p>
        </w:tc>
        <w:tc>
          <w:tcPr>
            <w:tcW w:w="0" w:type="auto"/>
            <w:shd w:val="clear" w:color="auto" w:fill="FFFFFF"/>
            <w:tcMar>
              <w:top w:w="0" w:type="dxa"/>
              <w:left w:w="0" w:type="dxa"/>
              <w:bottom w:w="0" w:type="dxa"/>
              <w:right w:w="0" w:type="dxa"/>
            </w:tcMar>
          </w:tcPr>
          <w:p w14:paraId="61EF6866" w14:textId="4C6A985E" w:rsidR="008B4DF8" w:rsidRPr="00C1603D" w:rsidRDefault="005B05C5"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5B05C5" w:rsidRPr="00C1603D" w14:paraId="6689D8B4" w14:textId="77777777" w:rsidTr="00943414">
        <w:trPr>
          <w:cantSplit/>
        </w:trPr>
        <w:tc>
          <w:tcPr>
            <w:tcW w:w="0" w:type="auto"/>
            <w:shd w:val="clear" w:color="auto" w:fill="FFFFFF"/>
            <w:tcMar>
              <w:top w:w="0" w:type="dxa"/>
              <w:left w:w="0" w:type="dxa"/>
              <w:bottom w:w="0" w:type="dxa"/>
              <w:right w:w="0" w:type="dxa"/>
            </w:tcMar>
          </w:tcPr>
          <w:p w14:paraId="62F12E49"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59899989" w14:textId="5EF4FB57"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ED3EFA5" w14:textId="77777777" w:rsidR="008B4DF8" w:rsidRPr="00C1603D" w:rsidRDefault="008B4DF8" w:rsidP="00943414">
            <w:pPr>
              <w:pStyle w:val="72TabletextTablesTableFigureBoxstyles"/>
            </w:pPr>
            <w:r w:rsidRPr="00C1603D">
              <w:rPr>
                <w:rFonts w:eastAsia="Arial"/>
              </w:rPr>
              <w:t>Dermatitis herpetiformis</w:t>
            </w:r>
          </w:p>
        </w:tc>
        <w:tc>
          <w:tcPr>
            <w:tcW w:w="0" w:type="auto"/>
            <w:shd w:val="clear" w:color="auto" w:fill="FFFFFF"/>
            <w:tcMar>
              <w:top w:w="0" w:type="dxa"/>
              <w:left w:w="0" w:type="dxa"/>
              <w:bottom w:w="0" w:type="dxa"/>
              <w:right w:w="0" w:type="dxa"/>
            </w:tcMar>
          </w:tcPr>
          <w:p w14:paraId="739D3C5E" w14:textId="77777777" w:rsidR="008B4DF8" w:rsidRPr="00C1603D" w:rsidRDefault="008B4DF8" w:rsidP="00943414">
            <w:pPr>
              <w:pStyle w:val="72TabletextTablesTableFigureBoxstyles"/>
            </w:pPr>
            <w:r w:rsidRPr="00C1603D">
              <w:rPr>
                <w:rFonts w:eastAsia="Arial"/>
              </w:rPr>
              <w:t>52</w:t>
            </w:r>
          </w:p>
        </w:tc>
        <w:tc>
          <w:tcPr>
            <w:tcW w:w="0" w:type="auto"/>
            <w:shd w:val="clear" w:color="auto" w:fill="FFFFFF"/>
            <w:tcMar>
              <w:top w:w="0" w:type="dxa"/>
              <w:left w:w="0" w:type="dxa"/>
              <w:bottom w:w="0" w:type="dxa"/>
              <w:right w:w="0" w:type="dxa"/>
            </w:tcMar>
          </w:tcPr>
          <w:p w14:paraId="7221E186" w14:textId="329DEDC0"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8D5C9CB" w14:textId="77777777" w:rsidR="008B4DF8" w:rsidRPr="00C1603D" w:rsidRDefault="008B4DF8" w:rsidP="00943414">
            <w:pPr>
              <w:pStyle w:val="72TabletextTablesTableFigureBoxstyles"/>
            </w:pPr>
            <w:r w:rsidRPr="00C1603D">
              <w:rPr>
                <w:rFonts w:eastAsia="Arial"/>
              </w:rPr>
              <w:t>Controls</w:t>
            </w:r>
          </w:p>
        </w:tc>
        <w:tc>
          <w:tcPr>
            <w:tcW w:w="0" w:type="auto"/>
            <w:shd w:val="clear" w:color="auto" w:fill="FFFFFF"/>
            <w:tcMar>
              <w:top w:w="0" w:type="dxa"/>
              <w:left w:w="0" w:type="dxa"/>
              <w:bottom w:w="0" w:type="dxa"/>
              <w:right w:w="0" w:type="dxa"/>
            </w:tcMar>
          </w:tcPr>
          <w:p w14:paraId="5CAB2AD0" w14:textId="465959E4" w:rsidR="008B4DF8" w:rsidRPr="00C1603D" w:rsidRDefault="008B4DF8" w:rsidP="00943414">
            <w:pPr>
              <w:pStyle w:val="72TabletextTablesTableFigureBoxstyles"/>
            </w:pPr>
            <w:r w:rsidRPr="00C1603D">
              <w:rPr>
                <w:rFonts w:eastAsia="Arial"/>
              </w:rPr>
              <w:t xml:space="preserve">Serology and all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D966500" w14:textId="2E0D4350" w:rsidR="008B4DF8" w:rsidRPr="00C1603D" w:rsidRDefault="005B05C5"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DAD7901" w14:textId="77777777" w:rsidR="008B4DF8" w:rsidRPr="00C1603D" w:rsidRDefault="008B4DF8" w:rsidP="00943414">
            <w:pPr>
              <w:pStyle w:val="72TabletextTablesTableFigureBoxstyles"/>
            </w:pPr>
            <w:r w:rsidRPr="00C1603D">
              <w:rPr>
                <w:rFonts w:eastAsia="Arial"/>
              </w:rPr>
              <w:t>Argentina</w:t>
            </w:r>
          </w:p>
        </w:tc>
        <w:tc>
          <w:tcPr>
            <w:tcW w:w="0" w:type="auto"/>
            <w:shd w:val="clear" w:color="auto" w:fill="FFFFFF"/>
            <w:tcMar>
              <w:top w:w="0" w:type="dxa"/>
              <w:left w:w="0" w:type="dxa"/>
              <w:bottom w:w="0" w:type="dxa"/>
              <w:right w:w="0" w:type="dxa"/>
            </w:tcMar>
          </w:tcPr>
          <w:p w14:paraId="03080A90" w14:textId="41B7913F" w:rsidR="008B4DF8" w:rsidRPr="00C1603D" w:rsidRDefault="005B05C5" w:rsidP="00943414">
            <w:pPr>
              <w:pStyle w:val="72TabletextTablesTableFigureBoxstyles"/>
            </w:pPr>
            <w:r w:rsidRPr="00C1603D">
              <w:rPr>
                <w:rFonts w:eastAsia="Arial"/>
                <w:noProof/>
              </w:rPr>
              <w:t xml:space="preserve">Smecuol </w:t>
            </w:r>
            <w:r w:rsidRPr="00C1603D">
              <w:rPr>
                <w:rFonts w:eastAsia="Arial"/>
                <w:i/>
                <w:iCs/>
                <w:noProof/>
              </w:rPr>
              <w:t>et al</w:t>
            </w:r>
            <w:r w:rsidRPr="00C1603D">
              <w:rPr>
                <w:rFonts w:eastAsia="Arial"/>
                <w:noProof/>
              </w:rPr>
              <w:t>.</w:t>
            </w:r>
            <w:r w:rsidR="008B4DF8" w:rsidRPr="00C1603D">
              <w:rPr>
                <w:rFonts w:eastAsia="Arial"/>
                <w:noProof/>
                <w:vertAlign w:val="superscript"/>
              </w:rPr>
              <w:t>346</w:t>
            </w:r>
          </w:p>
        </w:tc>
      </w:tr>
      <w:tr w:rsidR="00D65122" w:rsidRPr="00C1603D" w14:paraId="4B255853" w14:textId="77777777" w:rsidTr="000A7CDA">
        <w:trPr>
          <w:cantSplit/>
        </w:trPr>
        <w:tc>
          <w:tcPr>
            <w:tcW w:w="0" w:type="auto"/>
            <w:gridSpan w:val="10"/>
            <w:shd w:val="clear" w:color="auto" w:fill="FFFFFF"/>
            <w:tcMar>
              <w:top w:w="0" w:type="dxa"/>
              <w:left w:w="0" w:type="dxa"/>
              <w:bottom w:w="0" w:type="dxa"/>
              <w:right w:w="0" w:type="dxa"/>
            </w:tcMar>
          </w:tcPr>
          <w:p w14:paraId="6701CD14" w14:textId="3E9FDD26" w:rsidR="00D65122" w:rsidRPr="00C1603D" w:rsidRDefault="00D65122" w:rsidP="00D65122">
            <w:pPr>
              <w:pStyle w:val="75TablenotesTablesTableFigureBoxstyles"/>
              <w:rPr>
                <w:rFonts w:eastAsia="Arial"/>
                <w:noProof/>
                <w:vertAlign w:val="superscript"/>
              </w:rPr>
            </w:pPr>
            <w:r w:rsidRPr="00C1603D">
              <w:rPr>
                <w:rFonts w:eastAsia="Arial"/>
                <w:noProof/>
              </w:rPr>
              <w:t>DI, diagnostic indicator; NR, not reported.</w:t>
            </w:r>
          </w:p>
        </w:tc>
      </w:tr>
    </w:tbl>
    <w:p w14:paraId="514B598B" w14:textId="35273E7B" w:rsidR="008B4DF8" w:rsidRPr="00C1603D" w:rsidRDefault="008B4DF8" w:rsidP="008B4DF8">
      <w:pPr>
        <w:pStyle w:val="70TablelegendTablesTableFigureBoxstyles"/>
      </w:pPr>
      <w:bookmarkStart w:id="589" w:name="_Toc99720743"/>
      <w:r w:rsidRPr="00C1603D">
        <w:rPr>
          <w:b/>
        </w:rPr>
        <w:t>TABLE 3</w:t>
      </w:r>
      <w:r w:rsidR="00032460" w:rsidRPr="00C1603D">
        <w:rPr>
          <w:b/>
        </w:rPr>
        <w:t>3</w:t>
      </w:r>
      <w:r w:rsidRPr="00C1603D">
        <w:rPr>
          <w:b/>
        </w:rPr>
        <w:t> </w:t>
      </w:r>
      <w:r w:rsidRPr="00C1603D">
        <w:t xml:space="preserve">Study characteristic: </w:t>
      </w:r>
      <w:r w:rsidR="00943414" w:rsidRPr="00C1603D">
        <w:t>d</w:t>
      </w:r>
      <w:r w:rsidRPr="00C1603D">
        <w:t>iarrhoea</w:t>
      </w:r>
      <w:bookmarkEnd w:id="589"/>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28"/>
        <w:gridCol w:w="788"/>
        <w:gridCol w:w="833"/>
        <w:gridCol w:w="662"/>
        <w:gridCol w:w="669"/>
        <w:gridCol w:w="944"/>
        <w:gridCol w:w="1232"/>
        <w:gridCol w:w="1019"/>
        <w:gridCol w:w="1039"/>
        <w:gridCol w:w="912"/>
      </w:tblGrid>
      <w:tr w:rsidR="005B05C5" w:rsidRPr="00C1603D" w14:paraId="21553784" w14:textId="77777777" w:rsidTr="00943414">
        <w:trPr>
          <w:cantSplit/>
        </w:trPr>
        <w:tc>
          <w:tcPr>
            <w:tcW w:w="0" w:type="auto"/>
            <w:shd w:val="clear" w:color="auto" w:fill="FFFFFF"/>
            <w:tcMar>
              <w:top w:w="0" w:type="dxa"/>
              <w:left w:w="0" w:type="dxa"/>
              <w:bottom w:w="0" w:type="dxa"/>
              <w:right w:w="0" w:type="dxa"/>
            </w:tcMar>
          </w:tcPr>
          <w:p w14:paraId="52B70668" w14:textId="33865674"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527DA69C" w14:textId="3D494AF8"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396D9EEA" w14:textId="58627A59"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D765498" w14:textId="7A05D685"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7F982009"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0A11EACA"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6C69020D"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13808F2E"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601A543"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82DD51B" w14:textId="77777777" w:rsidR="001902E7" w:rsidRPr="00C1603D" w:rsidRDefault="001902E7" w:rsidP="001902E7">
            <w:pPr>
              <w:pStyle w:val="710TableheadTablesTableFigureBoxstyles"/>
            </w:pPr>
            <w:r w:rsidRPr="00C1603D">
              <w:rPr>
                <w:rFonts w:eastAsia="Arial"/>
              </w:rPr>
              <w:t>Reference</w:t>
            </w:r>
          </w:p>
        </w:tc>
      </w:tr>
      <w:tr w:rsidR="005B05C5" w:rsidRPr="00C1603D" w14:paraId="4D395141" w14:textId="77777777" w:rsidTr="00943414">
        <w:trPr>
          <w:cantSplit/>
        </w:trPr>
        <w:tc>
          <w:tcPr>
            <w:tcW w:w="0" w:type="auto"/>
            <w:shd w:val="clear" w:color="auto" w:fill="FFFFFF"/>
            <w:tcMar>
              <w:top w:w="0" w:type="dxa"/>
              <w:left w:w="0" w:type="dxa"/>
              <w:bottom w:w="0" w:type="dxa"/>
              <w:right w:w="0" w:type="dxa"/>
            </w:tcMar>
          </w:tcPr>
          <w:p w14:paraId="5D3F7A1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73C054B"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04A403E3"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2335D5B0" w14:textId="77777777" w:rsidR="008B4DF8" w:rsidRPr="00C1603D" w:rsidRDefault="008B4DF8" w:rsidP="00943414">
            <w:pPr>
              <w:pStyle w:val="72TabletextTablesTableFigureBoxstyles"/>
            </w:pPr>
            <w:r w:rsidRPr="00C1603D">
              <w:rPr>
                <w:rFonts w:eastAsia="Arial"/>
              </w:rPr>
              <w:t>1197</w:t>
            </w:r>
          </w:p>
        </w:tc>
        <w:tc>
          <w:tcPr>
            <w:tcW w:w="0" w:type="auto"/>
            <w:shd w:val="clear" w:color="auto" w:fill="FFFFFF"/>
            <w:tcMar>
              <w:top w:w="0" w:type="dxa"/>
              <w:left w:w="0" w:type="dxa"/>
              <w:bottom w:w="0" w:type="dxa"/>
              <w:right w:w="0" w:type="dxa"/>
            </w:tcMar>
          </w:tcPr>
          <w:p w14:paraId="63537995" w14:textId="3F2E33C0"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46C2F42" w14:textId="77777777" w:rsidR="008B4DF8" w:rsidRPr="00C1603D" w:rsidRDefault="008B4DF8" w:rsidP="00943414">
            <w:pPr>
              <w:pStyle w:val="72TabletextTablesTableFigureBoxstyles"/>
            </w:pPr>
            <w:r w:rsidRPr="00C1603D">
              <w:rPr>
                <w:rFonts w:eastAsia="Arial"/>
              </w:rPr>
              <w:t>People without diarrhoea</w:t>
            </w:r>
          </w:p>
        </w:tc>
        <w:tc>
          <w:tcPr>
            <w:tcW w:w="0" w:type="auto"/>
            <w:shd w:val="clear" w:color="auto" w:fill="FFFFFF"/>
            <w:tcMar>
              <w:top w:w="0" w:type="dxa"/>
              <w:left w:w="0" w:type="dxa"/>
              <w:bottom w:w="0" w:type="dxa"/>
              <w:right w:w="0" w:type="dxa"/>
            </w:tcMar>
          </w:tcPr>
          <w:p w14:paraId="155DC08F" w14:textId="3A6AB9CC"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48B0EFA9" w14:textId="0A2B4E38" w:rsidR="008B4DF8" w:rsidRPr="00C1603D" w:rsidRDefault="005B05C5"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46E70BB3" w14:textId="77777777" w:rsidR="008B4DF8" w:rsidRPr="00C1603D" w:rsidRDefault="008B4DF8" w:rsidP="00943414">
            <w:pPr>
              <w:pStyle w:val="72TabletextTablesTableFigureBoxstyles"/>
            </w:pPr>
            <w:r w:rsidRPr="00C1603D">
              <w:rPr>
                <w:rFonts w:eastAsia="Arial"/>
              </w:rPr>
              <w:t>United Arab Emirates</w:t>
            </w:r>
          </w:p>
        </w:tc>
        <w:tc>
          <w:tcPr>
            <w:tcW w:w="0" w:type="auto"/>
            <w:shd w:val="clear" w:color="auto" w:fill="FFFFFF"/>
            <w:tcMar>
              <w:top w:w="0" w:type="dxa"/>
              <w:left w:w="0" w:type="dxa"/>
              <w:bottom w:w="0" w:type="dxa"/>
              <w:right w:w="0" w:type="dxa"/>
            </w:tcMar>
          </w:tcPr>
          <w:p w14:paraId="28B89BAF" w14:textId="5DA63858" w:rsidR="008B4DF8" w:rsidRPr="00C1603D" w:rsidRDefault="005B05C5" w:rsidP="00943414">
            <w:pPr>
              <w:pStyle w:val="72TabletextTablesTableFigureBoxstyles"/>
            </w:pPr>
            <w:r w:rsidRPr="00C1603D">
              <w:rPr>
                <w:rFonts w:eastAsia="Arial"/>
                <w:noProof/>
              </w:rPr>
              <w:t xml:space="preserve">Abu-Zeid </w:t>
            </w:r>
            <w:r w:rsidRPr="00C1603D">
              <w:rPr>
                <w:rFonts w:eastAsia="Arial"/>
                <w:i/>
                <w:iCs/>
                <w:noProof/>
              </w:rPr>
              <w:t>et al</w:t>
            </w:r>
            <w:r w:rsidRPr="00C1603D">
              <w:rPr>
                <w:rFonts w:eastAsia="Arial"/>
                <w:noProof/>
              </w:rPr>
              <w:t>.</w:t>
            </w:r>
            <w:r w:rsidR="008B4DF8" w:rsidRPr="00C1603D">
              <w:rPr>
                <w:rFonts w:eastAsia="Arial"/>
                <w:noProof/>
                <w:vertAlign w:val="superscript"/>
              </w:rPr>
              <w:t>288</w:t>
            </w:r>
          </w:p>
        </w:tc>
      </w:tr>
      <w:tr w:rsidR="005B05C5" w:rsidRPr="00C1603D" w14:paraId="48FB20CC" w14:textId="77777777" w:rsidTr="00943414">
        <w:trPr>
          <w:cantSplit/>
        </w:trPr>
        <w:tc>
          <w:tcPr>
            <w:tcW w:w="0" w:type="auto"/>
            <w:shd w:val="clear" w:color="auto" w:fill="FFFFFF"/>
            <w:tcMar>
              <w:top w:w="0" w:type="dxa"/>
              <w:left w:w="0" w:type="dxa"/>
              <w:bottom w:w="0" w:type="dxa"/>
              <w:right w:w="0" w:type="dxa"/>
            </w:tcMar>
          </w:tcPr>
          <w:p w14:paraId="2AEF0BCC"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FA45B24"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F49393D"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4725A5BD" w14:textId="77777777" w:rsidR="008B4DF8" w:rsidRPr="00C1603D" w:rsidRDefault="008B4DF8" w:rsidP="00943414">
            <w:pPr>
              <w:pStyle w:val="72TabletextTablesTableFigureBoxstyles"/>
            </w:pPr>
            <w:r w:rsidRPr="00C1603D">
              <w:rPr>
                <w:rFonts w:eastAsia="Arial"/>
              </w:rPr>
              <w:t>3186</w:t>
            </w:r>
          </w:p>
        </w:tc>
        <w:tc>
          <w:tcPr>
            <w:tcW w:w="0" w:type="auto"/>
            <w:shd w:val="clear" w:color="auto" w:fill="FFFFFF"/>
            <w:tcMar>
              <w:top w:w="0" w:type="dxa"/>
              <w:left w:w="0" w:type="dxa"/>
              <w:bottom w:w="0" w:type="dxa"/>
              <w:right w:w="0" w:type="dxa"/>
            </w:tcMar>
          </w:tcPr>
          <w:p w14:paraId="0A540F91"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55E5E13A" w14:textId="77777777" w:rsidR="008B4DF8" w:rsidRPr="00C1603D" w:rsidRDefault="008B4DF8" w:rsidP="00943414">
            <w:pPr>
              <w:pStyle w:val="72TabletextTablesTableFigureBoxstyles"/>
            </w:pPr>
            <w:r w:rsidRPr="00C1603D">
              <w:rPr>
                <w:rFonts w:eastAsia="Arial"/>
              </w:rPr>
              <w:t>People without diarrhoea</w:t>
            </w:r>
          </w:p>
        </w:tc>
        <w:tc>
          <w:tcPr>
            <w:tcW w:w="0" w:type="auto"/>
            <w:shd w:val="clear" w:color="auto" w:fill="FFFFFF"/>
            <w:tcMar>
              <w:top w:w="0" w:type="dxa"/>
              <w:left w:w="0" w:type="dxa"/>
              <w:bottom w:w="0" w:type="dxa"/>
              <w:right w:w="0" w:type="dxa"/>
            </w:tcMar>
          </w:tcPr>
          <w:p w14:paraId="6EFE46B5" w14:textId="1CC60A1B"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2BEB8963" w14:textId="3949094C" w:rsidR="008B4DF8" w:rsidRPr="00C1603D" w:rsidRDefault="005B05C5"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060269B8" w14:textId="09016065" w:rsidR="008B4DF8" w:rsidRPr="00C1603D" w:rsidRDefault="008B4DF8" w:rsidP="00943414">
            <w:pPr>
              <w:pStyle w:val="72TabletextTablesTableFigureBoxstyles"/>
            </w:pPr>
            <w:r w:rsidRPr="00C1603D">
              <w:rPr>
                <w:rFonts w:eastAsia="Arial"/>
              </w:rPr>
              <w:t>US</w:t>
            </w:r>
            <w:r w:rsidR="005B05C5" w:rsidRPr="00C1603D">
              <w:rPr>
                <w:rFonts w:eastAsia="Arial"/>
              </w:rPr>
              <w:t>A</w:t>
            </w:r>
          </w:p>
        </w:tc>
        <w:tc>
          <w:tcPr>
            <w:tcW w:w="0" w:type="auto"/>
            <w:shd w:val="clear" w:color="auto" w:fill="FFFFFF"/>
            <w:tcMar>
              <w:top w:w="0" w:type="dxa"/>
              <w:left w:w="0" w:type="dxa"/>
              <w:bottom w:w="0" w:type="dxa"/>
              <w:right w:w="0" w:type="dxa"/>
            </w:tcMar>
          </w:tcPr>
          <w:p w14:paraId="259E67A6" w14:textId="4F293887" w:rsidR="008B4DF8" w:rsidRPr="00C1603D" w:rsidRDefault="005B05C5" w:rsidP="00943414">
            <w:pPr>
              <w:pStyle w:val="72TabletextTablesTableFigureBoxstyles"/>
            </w:pPr>
            <w:r w:rsidRPr="00C1603D">
              <w:rPr>
                <w:rFonts w:eastAsia="Arial"/>
                <w:noProof/>
              </w:rPr>
              <w:t xml:space="preserve">Choung </w:t>
            </w:r>
            <w:r w:rsidRPr="00C1603D">
              <w:rPr>
                <w:rFonts w:eastAsia="Arial"/>
                <w:i/>
                <w:iCs/>
                <w:noProof/>
              </w:rPr>
              <w:t>et al</w:t>
            </w:r>
            <w:r w:rsidRPr="00C1603D">
              <w:rPr>
                <w:rFonts w:eastAsia="Arial"/>
                <w:noProof/>
              </w:rPr>
              <w:t>.</w:t>
            </w:r>
            <w:r w:rsidR="008B4DF8" w:rsidRPr="00C1603D">
              <w:rPr>
                <w:rFonts w:eastAsia="Arial"/>
                <w:noProof/>
                <w:vertAlign w:val="superscript"/>
              </w:rPr>
              <w:t>299</w:t>
            </w:r>
          </w:p>
        </w:tc>
      </w:tr>
      <w:tr w:rsidR="005B05C5" w:rsidRPr="00C1603D" w14:paraId="64287759" w14:textId="77777777" w:rsidTr="00943414">
        <w:trPr>
          <w:cantSplit/>
        </w:trPr>
        <w:tc>
          <w:tcPr>
            <w:tcW w:w="0" w:type="auto"/>
            <w:shd w:val="clear" w:color="auto" w:fill="FFFFFF"/>
            <w:tcMar>
              <w:top w:w="0" w:type="dxa"/>
              <w:left w:w="0" w:type="dxa"/>
              <w:bottom w:w="0" w:type="dxa"/>
              <w:right w:w="0" w:type="dxa"/>
            </w:tcMar>
          </w:tcPr>
          <w:p w14:paraId="6526159D"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1180A45"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124EB191"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6FFEB980" w14:textId="77777777" w:rsidR="008B4DF8" w:rsidRPr="00C1603D" w:rsidRDefault="008B4DF8" w:rsidP="00943414">
            <w:pPr>
              <w:pStyle w:val="72TabletextTablesTableFigureBoxstyles"/>
            </w:pPr>
            <w:r w:rsidRPr="00C1603D">
              <w:rPr>
                <w:rFonts w:eastAsia="Arial"/>
              </w:rPr>
              <w:t>2976</w:t>
            </w:r>
          </w:p>
        </w:tc>
        <w:tc>
          <w:tcPr>
            <w:tcW w:w="0" w:type="auto"/>
            <w:shd w:val="clear" w:color="auto" w:fill="FFFFFF"/>
            <w:tcMar>
              <w:top w:w="0" w:type="dxa"/>
              <w:left w:w="0" w:type="dxa"/>
              <w:bottom w:w="0" w:type="dxa"/>
              <w:right w:w="0" w:type="dxa"/>
            </w:tcMar>
          </w:tcPr>
          <w:p w14:paraId="1A1F6730" w14:textId="6A841607"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1C66C16" w14:textId="77777777" w:rsidR="008B4DF8" w:rsidRPr="00C1603D" w:rsidRDefault="008B4DF8" w:rsidP="00943414">
            <w:pPr>
              <w:pStyle w:val="72TabletextTablesTableFigureBoxstyles"/>
            </w:pPr>
            <w:r w:rsidRPr="00C1603D">
              <w:rPr>
                <w:rFonts w:eastAsia="Arial"/>
              </w:rPr>
              <w:t>People without diarrhoea</w:t>
            </w:r>
          </w:p>
        </w:tc>
        <w:tc>
          <w:tcPr>
            <w:tcW w:w="0" w:type="auto"/>
            <w:shd w:val="clear" w:color="auto" w:fill="FFFFFF"/>
            <w:tcMar>
              <w:top w:w="0" w:type="dxa"/>
              <w:left w:w="0" w:type="dxa"/>
              <w:bottom w:w="0" w:type="dxa"/>
              <w:right w:w="0" w:type="dxa"/>
            </w:tcMar>
          </w:tcPr>
          <w:p w14:paraId="742D650D" w14:textId="10B17B28"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C8A947E" w14:textId="2A6A16C5" w:rsidR="008B4DF8" w:rsidRPr="00C1603D" w:rsidRDefault="005B05C5"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3B6F677C" w14:textId="77777777" w:rsidR="008B4DF8" w:rsidRPr="00C1603D" w:rsidRDefault="008B4DF8" w:rsidP="00943414">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3BE1E55A" w14:textId="017F8CD4" w:rsidR="008B4DF8" w:rsidRPr="00C1603D" w:rsidRDefault="005B05C5" w:rsidP="00943414">
            <w:pPr>
              <w:pStyle w:val="72TabletextTablesTableFigureBoxstyles"/>
            </w:pPr>
            <w:r w:rsidRPr="00C1603D">
              <w:rPr>
                <w:rFonts w:eastAsia="Arial"/>
                <w:noProof/>
              </w:rPr>
              <w:t xml:space="preserve">Oliveira </w:t>
            </w:r>
            <w:r w:rsidRPr="00C1603D">
              <w:rPr>
                <w:rFonts w:eastAsia="Arial"/>
                <w:i/>
                <w:iCs/>
                <w:noProof/>
              </w:rPr>
              <w:t>et al</w:t>
            </w:r>
            <w:r w:rsidRPr="00C1603D">
              <w:rPr>
                <w:rFonts w:eastAsia="Arial"/>
                <w:noProof/>
              </w:rPr>
              <w:t>.</w:t>
            </w:r>
            <w:r w:rsidR="008B4DF8" w:rsidRPr="00C1603D">
              <w:rPr>
                <w:rFonts w:eastAsia="Arial"/>
                <w:noProof/>
                <w:vertAlign w:val="superscript"/>
              </w:rPr>
              <w:t>300</w:t>
            </w:r>
          </w:p>
        </w:tc>
      </w:tr>
      <w:tr w:rsidR="005B05C5" w:rsidRPr="00C1603D" w14:paraId="03994E6C" w14:textId="77777777" w:rsidTr="00943414">
        <w:trPr>
          <w:cantSplit/>
        </w:trPr>
        <w:tc>
          <w:tcPr>
            <w:tcW w:w="0" w:type="auto"/>
            <w:shd w:val="clear" w:color="auto" w:fill="FFFFFF"/>
            <w:tcMar>
              <w:top w:w="0" w:type="dxa"/>
              <w:left w:w="0" w:type="dxa"/>
              <w:bottom w:w="0" w:type="dxa"/>
              <w:right w:w="0" w:type="dxa"/>
            </w:tcMar>
          </w:tcPr>
          <w:p w14:paraId="7F77805F"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684C40F"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E623D8E"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29E03CB7" w14:textId="77777777" w:rsidR="008B4DF8" w:rsidRPr="00C1603D" w:rsidRDefault="008B4DF8" w:rsidP="00943414">
            <w:pPr>
              <w:pStyle w:val="72TabletextTablesTableFigureBoxstyles"/>
            </w:pPr>
            <w:r w:rsidRPr="00C1603D">
              <w:rPr>
                <w:rFonts w:eastAsia="Arial"/>
              </w:rPr>
              <w:t>3847</w:t>
            </w:r>
          </w:p>
        </w:tc>
        <w:tc>
          <w:tcPr>
            <w:tcW w:w="0" w:type="auto"/>
            <w:shd w:val="clear" w:color="auto" w:fill="FFFFFF"/>
            <w:tcMar>
              <w:top w:w="0" w:type="dxa"/>
              <w:left w:w="0" w:type="dxa"/>
              <w:bottom w:w="0" w:type="dxa"/>
              <w:right w:w="0" w:type="dxa"/>
            </w:tcMar>
          </w:tcPr>
          <w:p w14:paraId="1A8600F0" w14:textId="684DFD1B"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1DEC377" w14:textId="77777777" w:rsidR="008B4DF8" w:rsidRPr="00C1603D" w:rsidRDefault="008B4DF8" w:rsidP="00943414">
            <w:pPr>
              <w:pStyle w:val="72TabletextTablesTableFigureBoxstyles"/>
            </w:pPr>
            <w:r w:rsidRPr="00C1603D">
              <w:rPr>
                <w:rFonts w:eastAsia="Arial"/>
              </w:rPr>
              <w:t>People without diarrhoea</w:t>
            </w:r>
          </w:p>
        </w:tc>
        <w:tc>
          <w:tcPr>
            <w:tcW w:w="0" w:type="auto"/>
            <w:shd w:val="clear" w:color="auto" w:fill="FFFFFF"/>
            <w:tcMar>
              <w:top w:w="0" w:type="dxa"/>
              <w:left w:w="0" w:type="dxa"/>
              <w:bottom w:w="0" w:type="dxa"/>
              <w:right w:w="0" w:type="dxa"/>
            </w:tcMar>
          </w:tcPr>
          <w:p w14:paraId="79FD829F" w14:textId="08E13ACE"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D88F82A" w14:textId="48250A01" w:rsidR="008B4DF8" w:rsidRPr="00C1603D" w:rsidRDefault="005B05C5"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5AA51409" w14:textId="4ECF7D29" w:rsidR="008B4DF8" w:rsidRPr="00C1603D" w:rsidRDefault="008B4DF8" w:rsidP="00943414">
            <w:pPr>
              <w:pStyle w:val="72TabletextTablesTableFigureBoxstyles"/>
            </w:pPr>
            <w:r w:rsidRPr="00C1603D">
              <w:rPr>
                <w:rFonts w:eastAsia="Arial"/>
              </w:rPr>
              <w:t>US</w:t>
            </w:r>
            <w:r w:rsidR="005B05C5" w:rsidRPr="00C1603D">
              <w:rPr>
                <w:rFonts w:eastAsia="Arial"/>
              </w:rPr>
              <w:t>A</w:t>
            </w:r>
          </w:p>
        </w:tc>
        <w:tc>
          <w:tcPr>
            <w:tcW w:w="0" w:type="auto"/>
            <w:shd w:val="clear" w:color="auto" w:fill="FFFFFF"/>
            <w:tcMar>
              <w:top w:w="0" w:type="dxa"/>
              <w:left w:w="0" w:type="dxa"/>
              <w:bottom w:w="0" w:type="dxa"/>
              <w:right w:w="0" w:type="dxa"/>
            </w:tcMar>
          </w:tcPr>
          <w:p w14:paraId="09FE80A1" w14:textId="3E4FDF14" w:rsidR="008B4DF8" w:rsidRPr="00C1603D" w:rsidRDefault="005B05C5" w:rsidP="00943414">
            <w:pPr>
              <w:pStyle w:val="72TabletextTablesTableFigureBoxstyles"/>
            </w:pPr>
            <w:r w:rsidRPr="00C1603D">
              <w:rPr>
                <w:rFonts w:eastAsia="Arial"/>
                <w:noProof/>
              </w:rPr>
              <w:t xml:space="preserve">Katz </w:t>
            </w:r>
            <w:r w:rsidRPr="00C1603D">
              <w:rPr>
                <w:rFonts w:eastAsia="Arial"/>
                <w:i/>
                <w:iCs/>
                <w:noProof/>
              </w:rPr>
              <w:t>et al</w:t>
            </w:r>
            <w:r w:rsidRPr="00C1603D">
              <w:rPr>
                <w:rFonts w:eastAsia="Arial"/>
                <w:noProof/>
              </w:rPr>
              <w:t>.</w:t>
            </w:r>
            <w:r w:rsidR="008B4DF8" w:rsidRPr="00C1603D">
              <w:rPr>
                <w:rFonts w:eastAsia="Arial"/>
                <w:noProof/>
                <w:vertAlign w:val="superscript"/>
              </w:rPr>
              <w:t>308</w:t>
            </w:r>
          </w:p>
        </w:tc>
      </w:tr>
      <w:tr w:rsidR="005B05C5" w:rsidRPr="00C1603D" w14:paraId="6B3DB93B" w14:textId="77777777" w:rsidTr="00943414">
        <w:trPr>
          <w:cantSplit/>
        </w:trPr>
        <w:tc>
          <w:tcPr>
            <w:tcW w:w="0" w:type="auto"/>
            <w:shd w:val="clear" w:color="auto" w:fill="FFFFFF"/>
            <w:tcMar>
              <w:top w:w="0" w:type="dxa"/>
              <w:left w:w="0" w:type="dxa"/>
              <w:bottom w:w="0" w:type="dxa"/>
              <w:right w:w="0" w:type="dxa"/>
            </w:tcMar>
          </w:tcPr>
          <w:p w14:paraId="2B6245F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42338E5"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064AA86C"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792BFB31" w14:textId="77777777" w:rsidR="008B4DF8" w:rsidRPr="00C1603D" w:rsidRDefault="008B4DF8" w:rsidP="00943414">
            <w:pPr>
              <w:pStyle w:val="72TabletextTablesTableFigureBoxstyles"/>
            </w:pPr>
            <w:r w:rsidRPr="00C1603D">
              <w:rPr>
                <w:rFonts w:eastAsia="Arial"/>
              </w:rPr>
              <w:t>1886</w:t>
            </w:r>
          </w:p>
        </w:tc>
        <w:tc>
          <w:tcPr>
            <w:tcW w:w="0" w:type="auto"/>
            <w:shd w:val="clear" w:color="auto" w:fill="FFFFFF"/>
            <w:tcMar>
              <w:top w:w="0" w:type="dxa"/>
              <w:left w:w="0" w:type="dxa"/>
              <w:bottom w:w="0" w:type="dxa"/>
              <w:right w:w="0" w:type="dxa"/>
            </w:tcMar>
          </w:tcPr>
          <w:p w14:paraId="27507D57"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55E533DE" w14:textId="77777777" w:rsidR="008B4DF8" w:rsidRPr="00C1603D" w:rsidRDefault="008B4DF8" w:rsidP="00943414">
            <w:pPr>
              <w:pStyle w:val="72TabletextTablesTableFigureBoxstyles"/>
            </w:pPr>
            <w:r w:rsidRPr="00C1603D">
              <w:rPr>
                <w:rFonts w:eastAsia="Arial"/>
              </w:rPr>
              <w:t>People without diarrhoea</w:t>
            </w:r>
          </w:p>
        </w:tc>
        <w:tc>
          <w:tcPr>
            <w:tcW w:w="0" w:type="auto"/>
            <w:shd w:val="clear" w:color="auto" w:fill="FFFFFF"/>
            <w:tcMar>
              <w:top w:w="0" w:type="dxa"/>
              <w:left w:w="0" w:type="dxa"/>
              <w:bottom w:w="0" w:type="dxa"/>
              <w:right w:w="0" w:type="dxa"/>
            </w:tcMar>
          </w:tcPr>
          <w:p w14:paraId="5503AD81" w14:textId="77777777" w:rsidR="008B4DF8" w:rsidRPr="00C1603D" w:rsidRDefault="008B4DF8" w:rsidP="00943414">
            <w:pPr>
              <w:pStyle w:val="72TabletextTablesTableFigureBoxstyles"/>
            </w:pPr>
            <w:r w:rsidRPr="00C1603D">
              <w:rPr>
                <w:rFonts w:eastAsia="Arial"/>
              </w:rPr>
              <w:t>Other</w:t>
            </w:r>
          </w:p>
        </w:tc>
        <w:tc>
          <w:tcPr>
            <w:tcW w:w="0" w:type="auto"/>
            <w:shd w:val="clear" w:color="auto" w:fill="FFFFFF"/>
            <w:tcMar>
              <w:top w:w="0" w:type="dxa"/>
              <w:left w:w="0" w:type="dxa"/>
              <w:bottom w:w="0" w:type="dxa"/>
              <w:right w:w="0" w:type="dxa"/>
            </w:tcMar>
          </w:tcPr>
          <w:p w14:paraId="0924103F" w14:textId="4F10E466" w:rsidR="008B4DF8" w:rsidRPr="00C1603D" w:rsidRDefault="005B05C5" w:rsidP="00943414">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47900752" w14:textId="77777777" w:rsidR="008B4DF8" w:rsidRPr="00C1603D" w:rsidRDefault="008B4DF8" w:rsidP="00943414">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7B75A4BC" w14:textId="674B3C85" w:rsidR="008B4DF8" w:rsidRPr="00C1603D" w:rsidRDefault="005B05C5" w:rsidP="00943414">
            <w:pPr>
              <w:pStyle w:val="72TabletextTablesTableFigureBoxstyles"/>
            </w:pPr>
            <w:r w:rsidRPr="00C1603D">
              <w:rPr>
                <w:rFonts w:eastAsia="Arial"/>
                <w:noProof/>
              </w:rPr>
              <w:t xml:space="preserve">Tikkakoski </w:t>
            </w:r>
            <w:r w:rsidRPr="00C1603D">
              <w:rPr>
                <w:rFonts w:eastAsia="Arial"/>
                <w:i/>
                <w:iCs/>
                <w:noProof/>
              </w:rPr>
              <w:t>et al</w:t>
            </w:r>
            <w:r w:rsidRPr="00C1603D">
              <w:rPr>
                <w:rFonts w:eastAsia="Arial"/>
                <w:noProof/>
              </w:rPr>
              <w:t>.</w:t>
            </w:r>
            <w:r w:rsidR="008B4DF8" w:rsidRPr="00C1603D">
              <w:rPr>
                <w:rFonts w:eastAsia="Arial"/>
                <w:noProof/>
                <w:vertAlign w:val="superscript"/>
              </w:rPr>
              <w:t>310</w:t>
            </w:r>
          </w:p>
        </w:tc>
      </w:tr>
      <w:tr w:rsidR="005B05C5" w:rsidRPr="00C1603D" w14:paraId="726D5D4D" w14:textId="77777777" w:rsidTr="00943414">
        <w:trPr>
          <w:cantSplit/>
        </w:trPr>
        <w:tc>
          <w:tcPr>
            <w:tcW w:w="0" w:type="auto"/>
            <w:shd w:val="clear" w:color="auto" w:fill="FFFFFF"/>
            <w:tcMar>
              <w:top w:w="0" w:type="dxa"/>
              <w:left w:w="0" w:type="dxa"/>
              <w:bottom w:w="0" w:type="dxa"/>
              <w:right w:w="0" w:type="dxa"/>
            </w:tcMar>
          </w:tcPr>
          <w:p w14:paraId="39F7ECD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746D1CB"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72EB4E15"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481F66DA"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77B99055" w14:textId="12F3EA99"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4E31699" w14:textId="77777777" w:rsidR="008B4DF8" w:rsidRPr="00C1603D" w:rsidRDefault="008B4DF8" w:rsidP="00943414">
            <w:pPr>
              <w:pStyle w:val="72TabletextTablesTableFigureBoxstyles"/>
            </w:pPr>
            <w:r w:rsidRPr="00C1603D">
              <w:rPr>
                <w:rFonts w:eastAsia="Arial"/>
              </w:rPr>
              <w:t>People without diarrhoea</w:t>
            </w:r>
          </w:p>
        </w:tc>
        <w:tc>
          <w:tcPr>
            <w:tcW w:w="0" w:type="auto"/>
            <w:shd w:val="clear" w:color="auto" w:fill="FFFFFF"/>
            <w:tcMar>
              <w:top w:w="0" w:type="dxa"/>
              <w:left w:w="0" w:type="dxa"/>
              <w:bottom w:w="0" w:type="dxa"/>
              <w:right w:w="0" w:type="dxa"/>
            </w:tcMar>
          </w:tcPr>
          <w:p w14:paraId="36E6C007" w14:textId="76923621"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4D619B38"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348C828B" w14:textId="342371BF" w:rsidR="008B4DF8" w:rsidRPr="00C1603D" w:rsidRDefault="008B4DF8" w:rsidP="00943414">
            <w:pPr>
              <w:pStyle w:val="72TabletextTablesTableFigureBoxstyles"/>
            </w:pPr>
            <w:r w:rsidRPr="00C1603D">
              <w:rPr>
                <w:rFonts w:eastAsia="Arial"/>
              </w:rPr>
              <w:t>US</w:t>
            </w:r>
            <w:r w:rsidR="005B05C5" w:rsidRPr="00C1603D">
              <w:rPr>
                <w:rFonts w:eastAsia="Arial"/>
              </w:rPr>
              <w:t>A</w:t>
            </w:r>
          </w:p>
        </w:tc>
        <w:tc>
          <w:tcPr>
            <w:tcW w:w="0" w:type="auto"/>
            <w:shd w:val="clear" w:color="auto" w:fill="FFFFFF"/>
            <w:tcMar>
              <w:top w:w="0" w:type="dxa"/>
              <w:left w:w="0" w:type="dxa"/>
              <w:bottom w:w="0" w:type="dxa"/>
              <w:right w:w="0" w:type="dxa"/>
            </w:tcMar>
          </w:tcPr>
          <w:p w14:paraId="0D78E81D" w14:textId="0AB4C026" w:rsidR="008B4DF8" w:rsidRPr="00C1603D" w:rsidRDefault="005B05C5"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5B05C5" w:rsidRPr="00C1603D" w14:paraId="2B7B9D1A" w14:textId="77777777" w:rsidTr="00943414">
        <w:trPr>
          <w:cantSplit/>
        </w:trPr>
        <w:tc>
          <w:tcPr>
            <w:tcW w:w="0" w:type="auto"/>
            <w:shd w:val="clear" w:color="auto" w:fill="FFFFFF"/>
            <w:tcMar>
              <w:top w:w="0" w:type="dxa"/>
              <w:left w:w="0" w:type="dxa"/>
              <w:bottom w:w="0" w:type="dxa"/>
              <w:right w:w="0" w:type="dxa"/>
            </w:tcMar>
          </w:tcPr>
          <w:p w14:paraId="68A138B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C0A04D3"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7767D08A"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64B83FAF" w14:textId="77777777" w:rsidR="008B4DF8" w:rsidRPr="00C1603D" w:rsidRDefault="008B4DF8" w:rsidP="00943414">
            <w:pPr>
              <w:pStyle w:val="72TabletextTablesTableFigureBoxstyles"/>
            </w:pPr>
            <w:r w:rsidRPr="00C1603D">
              <w:rPr>
                <w:rFonts w:eastAsia="Arial"/>
              </w:rPr>
              <w:t>381</w:t>
            </w:r>
          </w:p>
        </w:tc>
        <w:tc>
          <w:tcPr>
            <w:tcW w:w="0" w:type="auto"/>
            <w:shd w:val="clear" w:color="auto" w:fill="FFFFFF"/>
            <w:tcMar>
              <w:top w:w="0" w:type="dxa"/>
              <w:left w:w="0" w:type="dxa"/>
              <w:bottom w:w="0" w:type="dxa"/>
              <w:right w:w="0" w:type="dxa"/>
            </w:tcMar>
          </w:tcPr>
          <w:p w14:paraId="0B6FF8AA" w14:textId="327BB7BD"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1A34E4C" w14:textId="77777777" w:rsidR="008B4DF8" w:rsidRPr="00C1603D" w:rsidRDefault="008B4DF8" w:rsidP="00943414">
            <w:pPr>
              <w:pStyle w:val="72TabletextTablesTableFigureBoxstyles"/>
            </w:pPr>
            <w:r w:rsidRPr="00C1603D">
              <w:rPr>
                <w:rFonts w:eastAsia="Arial"/>
              </w:rPr>
              <w:t>People without diarrhoea</w:t>
            </w:r>
          </w:p>
        </w:tc>
        <w:tc>
          <w:tcPr>
            <w:tcW w:w="0" w:type="auto"/>
            <w:shd w:val="clear" w:color="auto" w:fill="FFFFFF"/>
            <w:tcMar>
              <w:top w:w="0" w:type="dxa"/>
              <w:left w:w="0" w:type="dxa"/>
              <w:bottom w:w="0" w:type="dxa"/>
              <w:right w:w="0" w:type="dxa"/>
            </w:tcMar>
          </w:tcPr>
          <w:p w14:paraId="50FFB0D2" w14:textId="6FC4F2D2"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C2F41C0" w14:textId="52B9CEDF" w:rsidR="008B4DF8" w:rsidRPr="00C1603D" w:rsidRDefault="005B05C5"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BFA5E4F" w14:textId="18B35DD5" w:rsidR="008B4DF8" w:rsidRPr="00C1603D" w:rsidRDefault="008B4DF8" w:rsidP="00943414">
            <w:pPr>
              <w:pStyle w:val="72TabletextTablesTableFigureBoxstyles"/>
            </w:pPr>
            <w:r w:rsidRPr="00C1603D">
              <w:rPr>
                <w:rFonts w:eastAsia="Arial"/>
              </w:rPr>
              <w:t>US</w:t>
            </w:r>
            <w:r w:rsidR="005B05C5" w:rsidRPr="00C1603D">
              <w:rPr>
                <w:rFonts w:eastAsia="Arial"/>
              </w:rPr>
              <w:t>A</w:t>
            </w:r>
          </w:p>
        </w:tc>
        <w:tc>
          <w:tcPr>
            <w:tcW w:w="0" w:type="auto"/>
            <w:shd w:val="clear" w:color="auto" w:fill="FFFFFF"/>
            <w:tcMar>
              <w:top w:w="0" w:type="dxa"/>
              <w:left w:w="0" w:type="dxa"/>
              <w:bottom w:w="0" w:type="dxa"/>
              <w:right w:w="0" w:type="dxa"/>
            </w:tcMar>
          </w:tcPr>
          <w:p w14:paraId="0F00C469" w14:textId="77AF4F2F" w:rsidR="008B4DF8" w:rsidRPr="00C1603D" w:rsidRDefault="005B05C5" w:rsidP="00943414">
            <w:pPr>
              <w:pStyle w:val="72TabletextTablesTableFigureBoxstyles"/>
            </w:pPr>
            <w:r w:rsidRPr="00C1603D">
              <w:rPr>
                <w:rFonts w:eastAsia="Arial"/>
                <w:noProof/>
              </w:rPr>
              <w:t xml:space="preserve">Godfrey </w:t>
            </w:r>
            <w:r w:rsidRPr="00C1603D">
              <w:rPr>
                <w:rFonts w:eastAsia="Arial"/>
                <w:i/>
                <w:iCs/>
                <w:noProof/>
              </w:rPr>
              <w:t>et al</w:t>
            </w:r>
            <w:r w:rsidRPr="00C1603D">
              <w:rPr>
                <w:rFonts w:eastAsia="Arial"/>
                <w:noProof/>
              </w:rPr>
              <w:t>.</w:t>
            </w:r>
            <w:r w:rsidR="008B4DF8" w:rsidRPr="00C1603D">
              <w:rPr>
                <w:rFonts w:eastAsia="Arial"/>
                <w:noProof/>
                <w:vertAlign w:val="superscript"/>
              </w:rPr>
              <w:t>302</w:t>
            </w:r>
          </w:p>
        </w:tc>
      </w:tr>
      <w:tr w:rsidR="005B05C5" w:rsidRPr="00C1603D" w14:paraId="10AD40AE" w14:textId="77777777" w:rsidTr="00943414">
        <w:trPr>
          <w:cantSplit/>
        </w:trPr>
        <w:tc>
          <w:tcPr>
            <w:tcW w:w="0" w:type="auto"/>
            <w:shd w:val="clear" w:color="auto" w:fill="FFFFFF"/>
            <w:tcMar>
              <w:top w:w="0" w:type="dxa"/>
              <w:left w:w="0" w:type="dxa"/>
              <w:bottom w:w="0" w:type="dxa"/>
              <w:right w:w="0" w:type="dxa"/>
            </w:tcMar>
          </w:tcPr>
          <w:p w14:paraId="4046C7AF"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6676B39" w14:textId="7F4BCDA0"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78896410"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49D0AB7A" w14:textId="77777777" w:rsidR="008B4DF8" w:rsidRPr="00C1603D" w:rsidRDefault="008B4DF8" w:rsidP="00943414">
            <w:pPr>
              <w:pStyle w:val="72TabletextTablesTableFigureBoxstyles"/>
            </w:pPr>
            <w:r w:rsidRPr="00C1603D">
              <w:rPr>
                <w:rFonts w:eastAsia="Arial"/>
              </w:rPr>
              <w:t>1650</w:t>
            </w:r>
          </w:p>
        </w:tc>
        <w:tc>
          <w:tcPr>
            <w:tcW w:w="0" w:type="auto"/>
            <w:shd w:val="clear" w:color="auto" w:fill="FFFFFF"/>
            <w:tcMar>
              <w:top w:w="0" w:type="dxa"/>
              <w:left w:w="0" w:type="dxa"/>
              <w:bottom w:w="0" w:type="dxa"/>
              <w:right w:w="0" w:type="dxa"/>
            </w:tcMar>
          </w:tcPr>
          <w:p w14:paraId="654F564A" w14:textId="4F44A46D"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2FAE2F19" w14:textId="00CC9D6B" w:rsidR="008B4DF8" w:rsidRPr="00C1603D" w:rsidRDefault="005B05C5"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4851A03B" w14:textId="552347D8"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7E7CE294" w14:textId="2CF004A7" w:rsidR="008B4DF8" w:rsidRPr="00C1603D" w:rsidRDefault="005B05C5"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80D3E3B" w14:textId="77777777" w:rsidR="008B4DF8" w:rsidRPr="00C1603D" w:rsidRDefault="008B4DF8" w:rsidP="00943414">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4F1917A7" w14:textId="093AFCBA" w:rsidR="008B4DF8" w:rsidRPr="00C1603D" w:rsidRDefault="005B05C5" w:rsidP="00943414">
            <w:pPr>
              <w:pStyle w:val="72TabletextTablesTableFigureBoxstyles"/>
            </w:pPr>
            <w:r w:rsidRPr="00C1603D">
              <w:rPr>
                <w:rFonts w:eastAsia="Arial"/>
                <w:noProof/>
              </w:rPr>
              <w:t xml:space="preserve">Imanzadeh </w:t>
            </w:r>
            <w:r w:rsidR="00BA1472" w:rsidRPr="00C1603D">
              <w:rPr>
                <w:rFonts w:eastAsia="Arial"/>
                <w:i/>
                <w:iCs/>
                <w:noProof/>
              </w:rPr>
              <w:t>et al</w:t>
            </w:r>
            <w:r w:rsidR="00BA1472" w:rsidRPr="00C1603D">
              <w:rPr>
                <w:rFonts w:eastAsia="Arial"/>
                <w:noProof/>
              </w:rPr>
              <w:t>.</w:t>
            </w:r>
            <w:r w:rsidR="008B4DF8" w:rsidRPr="00C1603D">
              <w:rPr>
                <w:rFonts w:eastAsia="Arial"/>
                <w:noProof/>
                <w:vertAlign w:val="superscript"/>
              </w:rPr>
              <w:t>347</w:t>
            </w:r>
          </w:p>
        </w:tc>
      </w:tr>
      <w:tr w:rsidR="005B05C5" w:rsidRPr="00C1603D" w14:paraId="5290761B" w14:textId="77777777" w:rsidTr="00943414">
        <w:trPr>
          <w:cantSplit/>
        </w:trPr>
        <w:tc>
          <w:tcPr>
            <w:tcW w:w="0" w:type="auto"/>
            <w:shd w:val="clear" w:color="auto" w:fill="FFFFFF"/>
            <w:tcMar>
              <w:top w:w="0" w:type="dxa"/>
              <w:left w:w="0" w:type="dxa"/>
              <w:bottom w:w="0" w:type="dxa"/>
              <w:right w:w="0" w:type="dxa"/>
            </w:tcMar>
          </w:tcPr>
          <w:p w14:paraId="619712F9"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BBFCA66"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07C49322"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1B4D3E5E" w14:textId="77777777" w:rsidR="008B4DF8" w:rsidRPr="00C1603D" w:rsidRDefault="008B4DF8" w:rsidP="00943414">
            <w:pPr>
              <w:pStyle w:val="72TabletextTablesTableFigureBoxstyles"/>
            </w:pPr>
            <w:r w:rsidRPr="00C1603D">
              <w:rPr>
                <w:rFonts w:eastAsia="Arial"/>
              </w:rPr>
              <w:t>4327</w:t>
            </w:r>
          </w:p>
        </w:tc>
        <w:tc>
          <w:tcPr>
            <w:tcW w:w="0" w:type="auto"/>
            <w:shd w:val="clear" w:color="auto" w:fill="FFFFFF"/>
            <w:tcMar>
              <w:top w:w="0" w:type="dxa"/>
              <w:left w:w="0" w:type="dxa"/>
              <w:bottom w:w="0" w:type="dxa"/>
              <w:right w:w="0" w:type="dxa"/>
            </w:tcMar>
          </w:tcPr>
          <w:p w14:paraId="7D5E6CC5"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2A7FAC7E" w14:textId="77777777" w:rsidR="008B4DF8" w:rsidRPr="00C1603D" w:rsidRDefault="008B4DF8" w:rsidP="00943414">
            <w:pPr>
              <w:pStyle w:val="72TabletextTablesTableFigureBoxstyles"/>
            </w:pPr>
            <w:r w:rsidRPr="00C1603D">
              <w:rPr>
                <w:rFonts w:eastAsia="Arial"/>
              </w:rPr>
              <w:t>Children without diarrhoea</w:t>
            </w:r>
          </w:p>
        </w:tc>
        <w:tc>
          <w:tcPr>
            <w:tcW w:w="0" w:type="auto"/>
            <w:shd w:val="clear" w:color="auto" w:fill="FFFFFF"/>
            <w:tcMar>
              <w:top w:w="0" w:type="dxa"/>
              <w:left w:w="0" w:type="dxa"/>
              <w:bottom w:w="0" w:type="dxa"/>
              <w:right w:w="0" w:type="dxa"/>
            </w:tcMar>
          </w:tcPr>
          <w:p w14:paraId="7F09190A" w14:textId="2F409086"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1B128879" w14:textId="0BACD1E1" w:rsidR="008B4DF8" w:rsidRPr="00C1603D" w:rsidRDefault="005B05C5"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310A5CE7"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759AE6AD" w14:textId="3441E5B1" w:rsidR="008B4DF8" w:rsidRPr="00C1603D" w:rsidRDefault="00BA1472" w:rsidP="00943414">
            <w:pPr>
              <w:pStyle w:val="72TabletextTablesTableFigureBoxstyles"/>
            </w:pPr>
            <w:r w:rsidRPr="00C1603D">
              <w:rPr>
                <w:rFonts w:eastAsia="Arial"/>
                <w:noProof/>
              </w:rPr>
              <w:t xml:space="preserve">Bingley </w:t>
            </w:r>
            <w:r w:rsidRPr="00C1603D">
              <w:rPr>
                <w:rFonts w:eastAsia="Arial"/>
                <w:i/>
                <w:iCs/>
                <w:noProof/>
              </w:rPr>
              <w:t>et al</w:t>
            </w:r>
            <w:r w:rsidRPr="00C1603D">
              <w:rPr>
                <w:rFonts w:eastAsia="Arial"/>
                <w:noProof/>
              </w:rPr>
              <w:t>.</w:t>
            </w:r>
            <w:r w:rsidR="008B4DF8" w:rsidRPr="00C1603D">
              <w:rPr>
                <w:rFonts w:eastAsia="Arial"/>
                <w:noProof/>
                <w:vertAlign w:val="superscript"/>
              </w:rPr>
              <w:t>63</w:t>
            </w:r>
          </w:p>
        </w:tc>
      </w:tr>
      <w:tr w:rsidR="005B05C5" w:rsidRPr="00C1603D" w14:paraId="5910125F" w14:textId="77777777" w:rsidTr="00943414">
        <w:trPr>
          <w:cantSplit/>
        </w:trPr>
        <w:tc>
          <w:tcPr>
            <w:tcW w:w="0" w:type="auto"/>
            <w:shd w:val="clear" w:color="auto" w:fill="FFFFFF"/>
            <w:tcMar>
              <w:top w:w="0" w:type="dxa"/>
              <w:left w:w="0" w:type="dxa"/>
              <w:bottom w:w="0" w:type="dxa"/>
              <w:right w:w="0" w:type="dxa"/>
            </w:tcMar>
          </w:tcPr>
          <w:p w14:paraId="0B0FBC02"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5AC562A"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F72875C"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17BFC93D" w14:textId="3A4BE764" w:rsidR="008B4DF8" w:rsidRPr="00C1603D" w:rsidRDefault="008B4DF8" w:rsidP="00943414">
            <w:pPr>
              <w:pStyle w:val="72TabletextTablesTableFigureBoxstyles"/>
            </w:pPr>
            <w:r w:rsidRPr="00C1603D">
              <w:rPr>
                <w:rFonts w:eastAsia="Arial"/>
              </w:rPr>
              <w:t>18</w:t>
            </w:r>
            <w:r w:rsidR="005B05C5" w:rsidRPr="00C1603D">
              <w:rPr>
                <w:rFonts w:eastAsia="Arial"/>
              </w:rPr>
              <w:t>,</w:t>
            </w:r>
            <w:r w:rsidRPr="00C1603D">
              <w:rPr>
                <w:rFonts w:eastAsia="Arial"/>
              </w:rPr>
              <w:t>602</w:t>
            </w:r>
          </w:p>
        </w:tc>
        <w:tc>
          <w:tcPr>
            <w:tcW w:w="0" w:type="auto"/>
            <w:shd w:val="clear" w:color="auto" w:fill="FFFFFF"/>
            <w:tcMar>
              <w:top w:w="0" w:type="dxa"/>
              <w:left w:w="0" w:type="dxa"/>
              <w:bottom w:w="0" w:type="dxa"/>
              <w:right w:w="0" w:type="dxa"/>
            </w:tcMar>
          </w:tcPr>
          <w:p w14:paraId="3397E388" w14:textId="1764D07A"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5009EFD" w14:textId="77777777" w:rsidR="008B4DF8" w:rsidRPr="00C1603D" w:rsidRDefault="008B4DF8" w:rsidP="00943414">
            <w:pPr>
              <w:pStyle w:val="72TabletextTablesTableFigureBoxstyles"/>
            </w:pPr>
            <w:r w:rsidRPr="00C1603D">
              <w:rPr>
                <w:rFonts w:eastAsia="Arial"/>
              </w:rPr>
              <w:t>Children without diarrhoea</w:t>
            </w:r>
          </w:p>
        </w:tc>
        <w:tc>
          <w:tcPr>
            <w:tcW w:w="0" w:type="auto"/>
            <w:shd w:val="clear" w:color="auto" w:fill="FFFFFF"/>
            <w:tcMar>
              <w:top w:w="0" w:type="dxa"/>
              <w:left w:w="0" w:type="dxa"/>
              <w:bottom w:w="0" w:type="dxa"/>
              <w:right w:w="0" w:type="dxa"/>
            </w:tcMar>
          </w:tcPr>
          <w:p w14:paraId="63E02DCB" w14:textId="11213AC6"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A49B571" w14:textId="11018E70" w:rsidR="008B4DF8" w:rsidRPr="00C1603D" w:rsidRDefault="005B05C5"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8C26AB8"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0584F74E" w14:textId="074FF821" w:rsidR="008B4DF8" w:rsidRPr="00C1603D" w:rsidRDefault="00BA1472" w:rsidP="00943414">
            <w:pPr>
              <w:pStyle w:val="72TabletextTablesTableFigureBoxstyles"/>
            </w:pPr>
            <w:r w:rsidRPr="00C1603D">
              <w:rPr>
                <w:rFonts w:eastAsia="Arial"/>
                <w:noProof/>
              </w:rPr>
              <w:t xml:space="preserve">Dalgic </w:t>
            </w:r>
            <w:r w:rsidRPr="00C1603D">
              <w:rPr>
                <w:rFonts w:eastAsia="Arial"/>
                <w:i/>
                <w:iCs/>
                <w:noProof/>
              </w:rPr>
              <w:t>et al</w:t>
            </w:r>
            <w:r w:rsidRPr="00C1603D">
              <w:rPr>
                <w:rFonts w:eastAsia="Arial"/>
                <w:noProof/>
              </w:rPr>
              <w:t>.</w:t>
            </w:r>
            <w:r w:rsidR="008B4DF8" w:rsidRPr="00C1603D">
              <w:rPr>
                <w:rFonts w:eastAsia="Arial"/>
                <w:noProof/>
                <w:vertAlign w:val="superscript"/>
              </w:rPr>
              <w:t>304</w:t>
            </w:r>
          </w:p>
        </w:tc>
      </w:tr>
      <w:tr w:rsidR="005B05C5" w:rsidRPr="00C1603D" w14:paraId="2AC0541E" w14:textId="77777777" w:rsidTr="00943414">
        <w:trPr>
          <w:cantSplit/>
        </w:trPr>
        <w:tc>
          <w:tcPr>
            <w:tcW w:w="0" w:type="auto"/>
            <w:shd w:val="clear" w:color="auto" w:fill="FFFFFF"/>
            <w:tcMar>
              <w:top w:w="0" w:type="dxa"/>
              <w:left w:w="0" w:type="dxa"/>
              <w:bottom w:w="0" w:type="dxa"/>
              <w:right w:w="0" w:type="dxa"/>
            </w:tcMar>
          </w:tcPr>
          <w:p w14:paraId="589DB8B4"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35C3A456"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2D845401"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48977F42" w14:textId="77777777" w:rsidR="008B4DF8" w:rsidRPr="00C1603D" w:rsidRDefault="008B4DF8" w:rsidP="00943414">
            <w:pPr>
              <w:pStyle w:val="72TabletextTablesTableFigureBoxstyles"/>
            </w:pPr>
            <w:r w:rsidRPr="00C1603D">
              <w:rPr>
                <w:rFonts w:eastAsia="Arial"/>
              </w:rPr>
              <w:t>3015</w:t>
            </w:r>
          </w:p>
        </w:tc>
        <w:tc>
          <w:tcPr>
            <w:tcW w:w="0" w:type="auto"/>
            <w:shd w:val="clear" w:color="auto" w:fill="FFFFFF"/>
            <w:tcMar>
              <w:top w:w="0" w:type="dxa"/>
              <w:left w:w="0" w:type="dxa"/>
              <w:bottom w:w="0" w:type="dxa"/>
              <w:right w:w="0" w:type="dxa"/>
            </w:tcMar>
          </w:tcPr>
          <w:p w14:paraId="76F9D918" w14:textId="119E9ADC"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A0A70EA" w14:textId="77777777" w:rsidR="008B4DF8" w:rsidRPr="00C1603D" w:rsidRDefault="008B4DF8" w:rsidP="00943414">
            <w:pPr>
              <w:pStyle w:val="72TabletextTablesTableFigureBoxstyles"/>
            </w:pPr>
            <w:r w:rsidRPr="00C1603D">
              <w:rPr>
                <w:rFonts w:eastAsia="Arial"/>
              </w:rPr>
              <w:t>Children without diarrhoea</w:t>
            </w:r>
          </w:p>
        </w:tc>
        <w:tc>
          <w:tcPr>
            <w:tcW w:w="0" w:type="auto"/>
            <w:shd w:val="clear" w:color="auto" w:fill="FFFFFF"/>
            <w:tcMar>
              <w:top w:w="0" w:type="dxa"/>
              <w:left w:w="0" w:type="dxa"/>
              <w:bottom w:w="0" w:type="dxa"/>
              <w:right w:w="0" w:type="dxa"/>
            </w:tcMar>
          </w:tcPr>
          <w:p w14:paraId="2D9AC34F"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254382AB" w14:textId="477EE416" w:rsidR="008B4DF8" w:rsidRPr="00C1603D" w:rsidRDefault="005B05C5"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29F8B336" w14:textId="77777777" w:rsidR="008B4DF8" w:rsidRPr="00C1603D" w:rsidRDefault="008B4DF8" w:rsidP="00943414">
            <w:pPr>
              <w:pStyle w:val="72TabletextTablesTableFigureBoxstyles"/>
            </w:pPr>
            <w:r w:rsidRPr="00C1603D">
              <w:rPr>
                <w:rFonts w:eastAsia="Arial"/>
              </w:rPr>
              <w:t>Netherlands</w:t>
            </w:r>
          </w:p>
        </w:tc>
        <w:tc>
          <w:tcPr>
            <w:tcW w:w="0" w:type="auto"/>
            <w:shd w:val="clear" w:color="auto" w:fill="FFFFFF"/>
            <w:tcMar>
              <w:top w:w="0" w:type="dxa"/>
              <w:left w:w="0" w:type="dxa"/>
              <w:bottom w:w="0" w:type="dxa"/>
              <w:right w:w="0" w:type="dxa"/>
            </w:tcMar>
          </w:tcPr>
          <w:p w14:paraId="44FFF755" w14:textId="3E97B304" w:rsidR="008B4DF8" w:rsidRPr="00C1603D" w:rsidRDefault="00BA1472" w:rsidP="00943414">
            <w:pPr>
              <w:pStyle w:val="72TabletextTablesTableFigureBoxstyles"/>
            </w:pPr>
            <w:r w:rsidRPr="00C1603D">
              <w:rPr>
                <w:rFonts w:eastAsia="Arial"/>
                <w:noProof/>
              </w:rPr>
              <w:t xml:space="preserve">Jansen </w:t>
            </w:r>
            <w:r w:rsidRPr="00C1603D">
              <w:rPr>
                <w:rFonts w:eastAsia="Arial"/>
                <w:i/>
                <w:iCs/>
                <w:noProof/>
              </w:rPr>
              <w:t>et al</w:t>
            </w:r>
            <w:r w:rsidRPr="00C1603D">
              <w:rPr>
                <w:rFonts w:eastAsia="Arial"/>
                <w:noProof/>
              </w:rPr>
              <w:t>.</w:t>
            </w:r>
            <w:r w:rsidR="008B4DF8" w:rsidRPr="00C1603D">
              <w:rPr>
                <w:rFonts w:eastAsia="Arial"/>
                <w:noProof/>
                <w:vertAlign w:val="superscript"/>
              </w:rPr>
              <w:t>185</w:t>
            </w:r>
          </w:p>
        </w:tc>
      </w:tr>
      <w:tr w:rsidR="005B05C5" w:rsidRPr="00C1603D" w14:paraId="327ECC9E" w14:textId="77777777" w:rsidTr="00943414">
        <w:trPr>
          <w:cantSplit/>
        </w:trPr>
        <w:tc>
          <w:tcPr>
            <w:tcW w:w="0" w:type="auto"/>
            <w:shd w:val="clear" w:color="auto" w:fill="FFFFFF"/>
            <w:tcMar>
              <w:top w:w="0" w:type="dxa"/>
              <w:left w:w="0" w:type="dxa"/>
              <w:bottom w:w="0" w:type="dxa"/>
              <w:right w:w="0" w:type="dxa"/>
            </w:tcMar>
          </w:tcPr>
          <w:p w14:paraId="2F67CD61" w14:textId="77777777" w:rsidR="008B4DF8" w:rsidRPr="00C1603D" w:rsidRDefault="008B4DF8" w:rsidP="00943414">
            <w:pPr>
              <w:pStyle w:val="72TabletextTablesTableFigureBoxstyles"/>
            </w:pPr>
            <w:r w:rsidRPr="00C1603D">
              <w:rPr>
                <w:rFonts w:eastAsia="Arial"/>
              </w:rPr>
              <w:lastRenderedPageBreak/>
              <w:t>Children</w:t>
            </w:r>
          </w:p>
        </w:tc>
        <w:tc>
          <w:tcPr>
            <w:tcW w:w="0" w:type="auto"/>
            <w:shd w:val="clear" w:color="auto" w:fill="FFFFFF"/>
            <w:tcMar>
              <w:top w:w="0" w:type="dxa"/>
              <w:left w:w="0" w:type="dxa"/>
              <w:bottom w:w="0" w:type="dxa"/>
              <w:right w:w="0" w:type="dxa"/>
            </w:tcMar>
          </w:tcPr>
          <w:p w14:paraId="3C3ECAD8"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FF89AAF" w14:textId="77777777" w:rsidR="008B4DF8" w:rsidRPr="00C1603D" w:rsidRDefault="008B4DF8" w:rsidP="00943414">
            <w:pPr>
              <w:pStyle w:val="72TabletextTablesTableFigureBoxstyles"/>
            </w:pPr>
            <w:r w:rsidRPr="00C1603D">
              <w:rPr>
                <w:rFonts w:eastAsia="Arial"/>
              </w:rPr>
              <w:t>Diarrhoea</w:t>
            </w:r>
          </w:p>
        </w:tc>
        <w:tc>
          <w:tcPr>
            <w:tcW w:w="0" w:type="auto"/>
            <w:shd w:val="clear" w:color="auto" w:fill="FFFFFF"/>
            <w:tcMar>
              <w:top w:w="0" w:type="dxa"/>
              <w:left w:w="0" w:type="dxa"/>
              <w:bottom w:w="0" w:type="dxa"/>
              <w:right w:w="0" w:type="dxa"/>
            </w:tcMar>
          </w:tcPr>
          <w:p w14:paraId="0F52F9BA" w14:textId="77777777" w:rsidR="008B4DF8" w:rsidRPr="00C1603D" w:rsidRDefault="008B4DF8" w:rsidP="00943414">
            <w:pPr>
              <w:pStyle w:val="72TabletextTablesTableFigureBoxstyles"/>
            </w:pPr>
            <w:r w:rsidRPr="00C1603D">
              <w:rPr>
                <w:rFonts w:eastAsia="Arial"/>
              </w:rPr>
              <w:t>3715</w:t>
            </w:r>
          </w:p>
        </w:tc>
        <w:tc>
          <w:tcPr>
            <w:tcW w:w="0" w:type="auto"/>
            <w:shd w:val="clear" w:color="auto" w:fill="FFFFFF"/>
            <w:tcMar>
              <w:top w:w="0" w:type="dxa"/>
              <w:left w:w="0" w:type="dxa"/>
              <w:bottom w:w="0" w:type="dxa"/>
              <w:right w:w="0" w:type="dxa"/>
            </w:tcMar>
          </w:tcPr>
          <w:p w14:paraId="7D43195A" w14:textId="0CA7A8CA"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2308829" w14:textId="77777777" w:rsidR="008B4DF8" w:rsidRPr="00C1603D" w:rsidRDefault="008B4DF8" w:rsidP="00943414">
            <w:pPr>
              <w:pStyle w:val="72TabletextTablesTableFigureBoxstyles"/>
            </w:pPr>
            <w:r w:rsidRPr="00C1603D">
              <w:rPr>
                <w:rFonts w:eastAsia="Arial"/>
              </w:rPr>
              <w:t>Children without diarrhoea</w:t>
            </w:r>
          </w:p>
        </w:tc>
        <w:tc>
          <w:tcPr>
            <w:tcW w:w="0" w:type="auto"/>
            <w:shd w:val="clear" w:color="auto" w:fill="FFFFFF"/>
            <w:tcMar>
              <w:top w:w="0" w:type="dxa"/>
              <w:left w:w="0" w:type="dxa"/>
              <w:bottom w:w="0" w:type="dxa"/>
              <w:right w:w="0" w:type="dxa"/>
            </w:tcMar>
          </w:tcPr>
          <w:p w14:paraId="6AE4471D"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289028B" w14:textId="40554AE2" w:rsidR="008B4DF8" w:rsidRPr="00C1603D" w:rsidRDefault="005B05C5"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D33749F" w14:textId="77777777" w:rsidR="008B4DF8" w:rsidRPr="00C1603D" w:rsidRDefault="008B4DF8" w:rsidP="00943414">
            <w:pPr>
              <w:pStyle w:val="72TabletextTablesTableFigureBoxstyles"/>
            </w:pPr>
            <w:r w:rsidRPr="00C1603D">
              <w:rPr>
                <w:rFonts w:eastAsia="Arial"/>
              </w:rPr>
              <w:t>Netherlands</w:t>
            </w:r>
          </w:p>
        </w:tc>
        <w:tc>
          <w:tcPr>
            <w:tcW w:w="0" w:type="auto"/>
            <w:shd w:val="clear" w:color="auto" w:fill="FFFFFF"/>
            <w:tcMar>
              <w:top w:w="0" w:type="dxa"/>
              <w:left w:w="0" w:type="dxa"/>
              <w:bottom w:w="0" w:type="dxa"/>
              <w:right w:w="0" w:type="dxa"/>
            </w:tcMar>
          </w:tcPr>
          <w:p w14:paraId="6A0DE7B4" w14:textId="3CD6E67B" w:rsidR="008B4DF8" w:rsidRPr="00C1603D" w:rsidRDefault="00BA1472" w:rsidP="00943414">
            <w:pPr>
              <w:pStyle w:val="72TabletextTablesTableFigureBoxstyles"/>
            </w:pPr>
            <w:r w:rsidRPr="00C1603D">
              <w:rPr>
                <w:rFonts w:eastAsia="Arial"/>
                <w:noProof/>
              </w:rPr>
              <w:t xml:space="preserve">Wahab </w:t>
            </w:r>
            <w:r w:rsidRPr="00C1603D">
              <w:rPr>
                <w:rFonts w:eastAsia="Arial"/>
                <w:i/>
                <w:iCs/>
                <w:noProof/>
              </w:rPr>
              <w:t>et al</w:t>
            </w:r>
            <w:r w:rsidRPr="00C1603D">
              <w:rPr>
                <w:rFonts w:eastAsia="Arial"/>
                <w:noProof/>
              </w:rPr>
              <w:t>.</w:t>
            </w:r>
            <w:r w:rsidR="008B4DF8" w:rsidRPr="00C1603D">
              <w:rPr>
                <w:rFonts w:eastAsia="Arial"/>
                <w:noProof/>
                <w:vertAlign w:val="superscript"/>
              </w:rPr>
              <w:t>183</w:t>
            </w:r>
          </w:p>
        </w:tc>
      </w:tr>
      <w:tr w:rsidR="005B05C5" w:rsidRPr="00C1603D" w14:paraId="238069D6" w14:textId="77777777" w:rsidTr="00943414">
        <w:trPr>
          <w:cantSplit/>
        </w:trPr>
        <w:tc>
          <w:tcPr>
            <w:tcW w:w="0" w:type="auto"/>
            <w:shd w:val="clear" w:color="auto" w:fill="FFFFFF"/>
            <w:tcMar>
              <w:top w:w="0" w:type="dxa"/>
              <w:left w:w="0" w:type="dxa"/>
              <w:bottom w:w="0" w:type="dxa"/>
              <w:right w:w="0" w:type="dxa"/>
            </w:tcMar>
          </w:tcPr>
          <w:p w14:paraId="457C9646" w14:textId="77777777" w:rsidR="008B4DF8" w:rsidRPr="00C1603D" w:rsidRDefault="008B4DF8" w:rsidP="00943414">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579DE334" w14:textId="77777777" w:rsidR="008B4DF8" w:rsidRPr="00C1603D" w:rsidRDefault="008B4DF8" w:rsidP="00943414">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5F2231AF" w14:textId="77777777" w:rsidR="008B4DF8" w:rsidRPr="00C1603D" w:rsidRDefault="008B4DF8" w:rsidP="00943414">
            <w:pPr>
              <w:pStyle w:val="72TabletextTablesTableFigureBoxstyles"/>
              <w:rPr>
                <w:rFonts w:eastAsia="Arial"/>
              </w:rPr>
            </w:pPr>
            <w:r w:rsidRPr="00C1603D">
              <w:rPr>
                <w:rFonts w:eastAsia="Arial"/>
              </w:rPr>
              <w:t>Diarrhoea</w:t>
            </w:r>
          </w:p>
        </w:tc>
        <w:tc>
          <w:tcPr>
            <w:tcW w:w="0" w:type="auto"/>
            <w:shd w:val="clear" w:color="auto" w:fill="FFFFFF"/>
            <w:tcMar>
              <w:top w:w="0" w:type="dxa"/>
              <w:left w:w="0" w:type="dxa"/>
              <w:bottom w:w="0" w:type="dxa"/>
              <w:right w:w="0" w:type="dxa"/>
            </w:tcMar>
          </w:tcPr>
          <w:p w14:paraId="3DD8E0B7" w14:textId="0CF8C870" w:rsidR="008B4DF8" w:rsidRPr="00C1603D" w:rsidRDefault="008B4DF8" w:rsidP="00943414">
            <w:pPr>
              <w:pStyle w:val="72TabletextTablesTableFigureBoxstyles"/>
              <w:rPr>
                <w:rFonts w:eastAsia="Arial"/>
              </w:rPr>
            </w:pPr>
            <w:r w:rsidRPr="00C1603D">
              <w:rPr>
                <w:rFonts w:eastAsia="Arial"/>
              </w:rPr>
              <w:t>9918</w:t>
            </w:r>
          </w:p>
        </w:tc>
        <w:tc>
          <w:tcPr>
            <w:tcW w:w="0" w:type="auto"/>
            <w:shd w:val="clear" w:color="auto" w:fill="FFFFFF"/>
            <w:tcMar>
              <w:top w:w="0" w:type="dxa"/>
              <w:left w:w="0" w:type="dxa"/>
              <w:bottom w:w="0" w:type="dxa"/>
              <w:right w:w="0" w:type="dxa"/>
            </w:tcMar>
          </w:tcPr>
          <w:p w14:paraId="443193AA" w14:textId="17031012" w:rsidR="008B4DF8" w:rsidRPr="00C1603D" w:rsidRDefault="008B4DF8" w:rsidP="00943414">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3CFAA9AA" w14:textId="77777777" w:rsidR="008B4DF8" w:rsidRPr="00C1603D" w:rsidRDefault="008B4DF8" w:rsidP="00943414">
            <w:pPr>
              <w:pStyle w:val="72TabletextTablesTableFigureBoxstyles"/>
              <w:rPr>
                <w:rFonts w:eastAsia="Arial"/>
              </w:rPr>
            </w:pPr>
            <w:r w:rsidRPr="00C1603D">
              <w:rPr>
                <w:rFonts w:eastAsia="Arial"/>
              </w:rPr>
              <w:t>Children without diarrhoea</w:t>
            </w:r>
          </w:p>
        </w:tc>
        <w:tc>
          <w:tcPr>
            <w:tcW w:w="0" w:type="auto"/>
            <w:shd w:val="clear" w:color="auto" w:fill="FFFFFF"/>
            <w:tcMar>
              <w:top w:w="0" w:type="dxa"/>
              <w:left w:w="0" w:type="dxa"/>
              <w:bottom w:w="0" w:type="dxa"/>
              <w:right w:w="0" w:type="dxa"/>
            </w:tcMar>
          </w:tcPr>
          <w:p w14:paraId="774BAE7A" w14:textId="77777777" w:rsidR="008B4DF8" w:rsidRPr="00C1603D" w:rsidRDefault="008B4DF8" w:rsidP="00943414">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2D7188B7" w14:textId="77777777" w:rsidR="008B4DF8" w:rsidRPr="00C1603D" w:rsidRDefault="008B4DF8" w:rsidP="00943414">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77969AD6" w14:textId="23268B1B" w:rsidR="008B4DF8" w:rsidRPr="00C1603D" w:rsidRDefault="008B4DF8" w:rsidP="00943414">
            <w:pPr>
              <w:pStyle w:val="72TabletextTablesTableFigureBoxstyles"/>
              <w:rPr>
                <w:rFonts w:eastAsia="Arial"/>
              </w:rPr>
            </w:pPr>
            <w:r w:rsidRPr="00C1603D">
              <w:rPr>
                <w:rFonts w:eastAsia="Arial"/>
              </w:rPr>
              <w:t>US</w:t>
            </w:r>
            <w:r w:rsidR="005B05C5" w:rsidRPr="00C1603D">
              <w:rPr>
                <w:rFonts w:eastAsia="Arial"/>
              </w:rPr>
              <w:t>A</w:t>
            </w:r>
          </w:p>
        </w:tc>
        <w:tc>
          <w:tcPr>
            <w:tcW w:w="0" w:type="auto"/>
            <w:shd w:val="clear" w:color="auto" w:fill="FFFFFF"/>
            <w:tcMar>
              <w:top w:w="0" w:type="dxa"/>
              <w:left w:w="0" w:type="dxa"/>
              <w:bottom w:w="0" w:type="dxa"/>
              <w:right w:w="0" w:type="dxa"/>
            </w:tcMar>
          </w:tcPr>
          <w:p w14:paraId="67BEF315" w14:textId="19BA9E94" w:rsidR="008B4DF8" w:rsidRPr="00C1603D" w:rsidRDefault="00BA1472" w:rsidP="00943414">
            <w:pPr>
              <w:pStyle w:val="72TabletextTablesTableFigureBoxstyles"/>
              <w:rPr>
                <w:rFonts w:eastAsia="Arial"/>
              </w:rPr>
            </w:pPr>
            <w:r w:rsidRPr="00C1603D">
              <w:rPr>
                <w:rFonts w:eastAsia="Arial"/>
                <w:noProof/>
              </w:rPr>
              <w:t xml:space="preserve">Stahl </w:t>
            </w:r>
            <w:r w:rsidRPr="00C1603D">
              <w:rPr>
                <w:rFonts w:eastAsia="Arial"/>
                <w:i/>
                <w:iCs/>
                <w:noProof/>
              </w:rPr>
              <w:t>et al</w:t>
            </w:r>
            <w:r w:rsidRPr="00C1603D">
              <w:rPr>
                <w:rFonts w:eastAsia="Arial"/>
                <w:noProof/>
              </w:rPr>
              <w:t>.</w:t>
            </w:r>
            <w:r w:rsidR="008B4DF8" w:rsidRPr="00C1603D">
              <w:rPr>
                <w:rFonts w:eastAsia="Arial"/>
                <w:noProof/>
                <w:vertAlign w:val="superscript"/>
              </w:rPr>
              <w:t>305</w:t>
            </w:r>
          </w:p>
        </w:tc>
      </w:tr>
      <w:tr w:rsidR="00D65122" w:rsidRPr="00C1603D" w14:paraId="467A220E" w14:textId="77777777" w:rsidTr="007F4B23">
        <w:trPr>
          <w:cantSplit/>
        </w:trPr>
        <w:tc>
          <w:tcPr>
            <w:tcW w:w="0" w:type="auto"/>
            <w:gridSpan w:val="10"/>
            <w:shd w:val="clear" w:color="auto" w:fill="FFFFFF"/>
            <w:tcMar>
              <w:top w:w="0" w:type="dxa"/>
              <w:left w:w="0" w:type="dxa"/>
              <w:bottom w:w="0" w:type="dxa"/>
              <w:right w:w="0" w:type="dxa"/>
            </w:tcMar>
          </w:tcPr>
          <w:p w14:paraId="0B2285F8" w14:textId="27A4B51A" w:rsidR="00D65122" w:rsidRPr="00C1603D" w:rsidRDefault="00D65122" w:rsidP="00D65122">
            <w:pPr>
              <w:pStyle w:val="75TablenotesTablesTableFigureBoxstyles"/>
              <w:rPr>
                <w:rFonts w:eastAsia="Arial"/>
                <w:noProof/>
                <w:vertAlign w:val="superscript"/>
              </w:rPr>
            </w:pPr>
            <w:r w:rsidRPr="00C1603D">
              <w:rPr>
                <w:rFonts w:eastAsia="Arial"/>
                <w:noProof/>
              </w:rPr>
              <w:t>DI, diagnostic indicator; NR, not reported.</w:t>
            </w:r>
          </w:p>
        </w:tc>
      </w:tr>
    </w:tbl>
    <w:p w14:paraId="1068FE3A" w14:textId="0DCCDE7F" w:rsidR="008B4DF8" w:rsidRPr="00C1603D" w:rsidRDefault="008B4DF8" w:rsidP="008B4DF8">
      <w:pPr>
        <w:pStyle w:val="70TablelegendTablesTableFigureBoxstyles"/>
      </w:pPr>
      <w:bookmarkStart w:id="590" w:name="_Toc99720744"/>
      <w:r w:rsidRPr="00C1603D">
        <w:rPr>
          <w:b/>
        </w:rPr>
        <w:t>TABLE 3</w:t>
      </w:r>
      <w:r w:rsidR="00032460" w:rsidRPr="00C1603D">
        <w:rPr>
          <w:b/>
        </w:rPr>
        <w:t>4</w:t>
      </w:r>
      <w:r w:rsidRPr="00C1603D">
        <w:rPr>
          <w:b/>
        </w:rPr>
        <w:t> </w:t>
      </w:r>
      <w:r w:rsidRPr="00C1603D">
        <w:t xml:space="preserve">Study characteristic: </w:t>
      </w:r>
      <w:r w:rsidR="00943414" w:rsidRPr="00C1603D">
        <w:t>e</w:t>
      </w:r>
      <w:r w:rsidRPr="00C1603D">
        <w:t>pilepsy</w:t>
      </w:r>
      <w:bookmarkEnd w:id="590"/>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09"/>
        <w:gridCol w:w="734"/>
        <w:gridCol w:w="1152"/>
        <w:gridCol w:w="640"/>
        <w:gridCol w:w="648"/>
        <w:gridCol w:w="1296"/>
        <w:gridCol w:w="1136"/>
        <w:gridCol w:w="987"/>
        <w:gridCol w:w="666"/>
        <w:gridCol w:w="858"/>
      </w:tblGrid>
      <w:tr w:rsidR="00BA1472" w:rsidRPr="00C1603D" w14:paraId="7BF6B8EF" w14:textId="77777777" w:rsidTr="00943414">
        <w:trPr>
          <w:cantSplit/>
        </w:trPr>
        <w:tc>
          <w:tcPr>
            <w:tcW w:w="0" w:type="auto"/>
            <w:shd w:val="clear" w:color="auto" w:fill="FFFFFF"/>
            <w:tcMar>
              <w:top w:w="0" w:type="dxa"/>
              <w:left w:w="0" w:type="dxa"/>
              <w:bottom w:w="0" w:type="dxa"/>
              <w:right w:w="0" w:type="dxa"/>
            </w:tcMar>
          </w:tcPr>
          <w:p w14:paraId="26EDB57D" w14:textId="5A44DCFF"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08583BA7" w14:textId="6C5A7C8D"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3BF534D5" w14:textId="671858EF"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48F8ADF0" w14:textId="49D731E7"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0735B2DF"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321BD0F5"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702C0677"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6400FDA9"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1510351B"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29D21830" w14:textId="77777777" w:rsidR="001902E7" w:rsidRPr="00C1603D" w:rsidRDefault="001902E7" w:rsidP="001902E7">
            <w:pPr>
              <w:pStyle w:val="710TableheadTablesTableFigureBoxstyles"/>
            </w:pPr>
            <w:r w:rsidRPr="00C1603D">
              <w:rPr>
                <w:rFonts w:eastAsia="Arial"/>
              </w:rPr>
              <w:t>Reference</w:t>
            </w:r>
          </w:p>
        </w:tc>
      </w:tr>
      <w:tr w:rsidR="00BA1472" w:rsidRPr="00C1603D" w14:paraId="667BF12D" w14:textId="77777777" w:rsidTr="00943414">
        <w:trPr>
          <w:cantSplit/>
        </w:trPr>
        <w:tc>
          <w:tcPr>
            <w:tcW w:w="0" w:type="auto"/>
            <w:shd w:val="clear" w:color="auto" w:fill="FFFFFF"/>
            <w:tcMar>
              <w:top w:w="0" w:type="dxa"/>
              <w:left w:w="0" w:type="dxa"/>
              <w:bottom w:w="0" w:type="dxa"/>
              <w:right w:w="0" w:type="dxa"/>
            </w:tcMar>
          </w:tcPr>
          <w:p w14:paraId="43219E50" w14:textId="019B9875" w:rsidR="008B4DF8" w:rsidRPr="00C1603D" w:rsidRDefault="00BA1472"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BC335B5" w14:textId="517E23E2"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AF04802" w14:textId="77777777" w:rsidR="008B4DF8" w:rsidRPr="00C1603D" w:rsidRDefault="008B4DF8" w:rsidP="00943414">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3F0733E4" w14:textId="77777777" w:rsidR="008B4DF8" w:rsidRPr="00C1603D" w:rsidRDefault="008B4DF8" w:rsidP="00943414">
            <w:pPr>
              <w:pStyle w:val="72TabletextTablesTableFigureBoxstyles"/>
            </w:pPr>
            <w:r w:rsidRPr="00C1603D">
              <w:rPr>
                <w:rFonts w:eastAsia="Arial"/>
              </w:rPr>
              <w:t>1427</w:t>
            </w:r>
          </w:p>
        </w:tc>
        <w:tc>
          <w:tcPr>
            <w:tcW w:w="0" w:type="auto"/>
            <w:shd w:val="clear" w:color="auto" w:fill="FFFFFF"/>
            <w:tcMar>
              <w:top w:w="0" w:type="dxa"/>
              <w:left w:w="0" w:type="dxa"/>
              <w:bottom w:w="0" w:type="dxa"/>
              <w:right w:w="0" w:type="dxa"/>
            </w:tcMar>
          </w:tcPr>
          <w:p w14:paraId="125E9064" w14:textId="7044186C"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50D608A5" w14:textId="7F15C363" w:rsidR="008B4DF8" w:rsidRPr="00C1603D" w:rsidRDefault="00BA1472"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3E16843F"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0DC4AB8" w14:textId="6F8A9D30" w:rsidR="008B4DF8" w:rsidRPr="00C1603D" w:rsidRDefault="00BA1472"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E2B228D" w14:textId="77777777" w:rsidR="008B4DF8" w:rsidRPr="00C1603D" w:rsidRDefault="008B4DF8" w:rsidP="00943414">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77D94D6B" w14:textId="2B07B8DF" w:rsidR="008B4DF8" w:rsidRPr="00C1603D" w:rsidRDefault="00BA1472" w:rsidP="00943414">
            <w:pPr>
              <w:pStyle w:val="72TabletextTablesTableFigureBoxstyles"/>
            </w:pPr>
            <w:r w:rsidRPr="00C1603D">
              <w:rPr>
                <w:rFonts w:eastAsia="Arial"/>
                <w:noProof/>
              </w:rPr>
              <w:t xml:space="preserve">Ranua </w:t>
            </w:r>
            <w:r w:rsidRPr="00C1603D">
              <w:rPr>
                <w:rFonts w:eastAsia="Arial"/>
                <w:i/>
                <w:iCs/>
                <w:noProof/>
              </w:rPr>
              <w:t>et al</w:t>
            </w:r>
            <w:r w:rsidRPr="00C1603D">
              <w:rPr>
                <w:rFonts w:eastAsia="Arial"/>
                <w:noProof/>
              </w:rPr>
              <w:t>.</w:t>
            </w:r>
            <w:r w:rsidR="008B4DF8" w:rsidRPr="00C1603D">
              <w:rPr>
                <w:rFonts w:eastAsia="Arial"/>
                <w:noProof/>
                <w:vertAlign w:val="superscript"/>
              </w:rPr>
              <w:t>348</w:t>
            </w:r>
          </w:p>
        </w:tc>
      </w:tr>
      <w:tr w:rsidR="00BA1472" w:rsidRPr="00C1603D" w14:paraId="4D146480" w14:textId="77777777" w:rsidTr="00943414">
        <w:trPr>
          <w:cantSplit/>
        </w:trPr>
        <w:tc>
          <w:tcPr>
            <w:tcW w:w="0" w:type="auto"/>
            <w:shd w:val="clear" w:color="auto" w:fill="FFFFFF"/>
            <w:tcMar>
              <w:top w:w="0" w:type="dxa"/>
              <w:left w:w="0" w:type="dxa"/>
              <w:bottom w:w="0" w:type="dxa"/>
              <w:right w:w="0" w:type="dxa"/>
            </w:tcMar>
          </w:tcPr>
          <w:p w14:paraId="3BE031C6" w14:textId="7AD6C6ED" w:rsidR="008B4DF8" w:rsidRPr="00C1603D" w:rsidRDefault="00BA1472"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2E25E62"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614BAD31" w14:textId="77777777" w:rsidR="008B4DF8" w:rsidRPr="00C1603D" w:rsidRDefault="008B4DF8" w:rsidP="00943414">
            <w:pPr>
              <w:pStyle w:val="72TabletextTablesTableFigureBoxstyles"/>
            </w:pPr>
            <w:r w:rsidRPr="00C1603D">
              <w:rPr>
                <w:rFonts w:eastAsia="Arial"/>
              </w:rPr>
              <w:t>Epilepsy/ataxia</w:t>
            </w:r>
          </w:p>
        </w:tc>
        <w:tc>
          <w:tcPr>
            <w:tcW w:w="0" w:type="auto"/>
            <w:shd w:val="clear" w:color="auto" w:fill="FFFFFF"/>
            <w:tcMar>
              <w:top w:w="0" w:type="dxa"/>
              <w:left w:w="0" w:type="dxa"/>
              <w:bottom w:w="0" w:type="dxa"/>
              <w:right w:w="0" w:type="dxa"/>
            </w:tcMar>
          </w:tcPr>
          <w:p w14:paraId="2F40179B"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48D650E0" w14:textId="7F69DF31"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0E98AB9" w14:textId="77777777" w:rsidR="008B4DF8" w:rsidRPr="00C1603D" w:rsidRDefault="008B4DF8" w:rsidP="00943414">
            <w:pPr>
              <w:pStyle w:val="72TabletextTablesTableFigureBoxstyles"/>
            </w:pPr>
            <w:r w:rsidRPr="00C1603D">
              <w:rPr>
                <w:rFonts w:eastAsia="Arial"/>
              </w:rPr>
              <w:t>People without epilepsy/ataxia</w:t>
            </w:r>
          </w:p>
        </w:tc>
        <w:tc>
          <w:tcPr>
            <w:tcW w:w="0" w:type="auto"/>
            <w:shd w:val="clear" w:color="auto" w:fill="FFFFFF"/>
            <w:tcMar>
              <w:top w:w="0" w:type="dxa"/>
              <w:left w:w="0" w:type="dxa"/>
              <w:bottom w:w="0" w:type="dxa"/>
              <w:right w:w="0" w:type="dxa"/>
            </w:tcMar>
          </w:tcPr>
          <w:p w14:paraId="7A7BC3E1" w14:textId="1E560657"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916856C"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700975A5" w14:textId="30FEC5B8" w:rsidR="008B4DF8" w:rsidRPr="00C1603D" w:rsidRDefault="008B4DF8" w:rsidP="00943414">
            <w:pPr>
              <w:pStyle w:val="72TabletextTablesTableFigureBoxstyles"/>
            </w:pPr>
            <w:r w:rsidRPr="00C1603D">
              <w:rPr>
                <w:rFonts w:eastAsia="Arial"/>
              </w:rPr>
              <w:t>US</w:t>
            </w:r>
            <w:r w:rsidR="00BA1472" w:rsidRPr="00C1603D">
              <w:rPr>
                <w:rFonts w:eastAsia="Arial"/>
              </w:rPr>
              <w:t>A</w:t>
            </w:r>
          </w:p>
        </w:tc>
        <w:tc>
          <w:tcPr>
            <w:tcW w:w="0" w:type="auto"/>
            <w:shd w:val="clear" w:color="auto" w:fill="FFFFFF"/>
            <w:tcMar>
              <w:top w:w="0" w:type="dxa"/>
              <w:left w:w="0" w:type="dxa"/>
              <w:bottom w:w="0" w:type="dxa"/>
              <w:right w:w="0" w:type="dxa"/>
            </w:tcMar>
          </w:tcPr>
          <w:p w14:paraId="35F32D0F" w14:textId="40A74CF9" w:rsidR="008B4DF8" w:rsidRPr="00C1603D" w:rsidRDefault="00BA1472"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BA1472" w:rsidRPr="00C1603D" w14:paraId="14F9C3AC" w14:textId="77777777" w:rsidTr="00943414">
        <w:trPr>
          <w:cantSplit/>
        </w:trPr>
        <w:tc>
          <w:tcPr>
            <w:tcW w:w="0" w:type="auto"/>
            <w:shd w:val="clear" w:color="auto" w:fill="FFFFFF"/>
            <w:tcMar>
              <w:top w:w="0" w:type="dxa"/>
              <w:left w:w="0" w:type="dxa"/>
              <w:bottom w:w="0" w:type="dxa"/>
              <w:right w:w="0" w:type="dxa"/>
            </w:tcMar>
          </w:tcPr>
          <w:p w14:paraId="22606A5A" w14:textId="690F0919"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67DCCF17" w14:textId="219317FA"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1D01A1BD"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62A69737" w14:textId="77777777" w:rsidR="00BA1472" w:rsidRPr="00C1603D" w:rsidRDefault="00BA1472" w:rsidP="00BA1472">
            <w:pPr>
              <w:pStyle w:val="72TabletextTablesTableFigureBoxstyles"/>
            </w:pPr>
            <w:r w:rsidRPr="00C1603D">
              <w:rPr>
                <w:rFonts w:eastAsia="Arial"/>
              </w:rPr>
              <w:t>535</w:t>
            </w:r>
          </w:p>
        </w:tc>
        <w:tc>
          <w:tcPr>
            <w:tcW w:w="0" w:type="auto"/>
            <w:shd w:val="clear" w:color="auto" w:fill="FFFFFF"/>
            <w:tcMar>
              <w:top w:w="0" w:type="dxa"/>
              <w:left w:w="0" w:type="dxa"/>
              <w:bottom w:w="0" w:type="dxa"/>
              <w:right w:w="0" w:type="dxa"/>
            </w:tcMar>
          </w:tcPr>
          <w:p w14:paraId="2C0404BB" w14:textId="1BA453AA"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136350E" w14:textId="53A49F65"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79E19A1" w14:textId="07E4AD88" w:rsidR="00BA1472" w:rsidRPr="00C1603D" w:rsidRDefault="00BA1472" w:rsidP="00BA1472">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5749EA29" w14:textId="7CB3606E"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9A91B55" w14:textId="77777777" w:rsidR="00BA1472" w:rsidRPr="00C1603D" w:rsidRDefault="00BA1472" w:rsidP="00BA1472">
            <w:pPr>
              <w:pStyle w:val="72TabletextTablesTableFigureBoxstyles"/>
            </w:pPr>
            <w:r w:rsidRPr="00C1603D">
              <w:rPr>
                <w:rFonts w:eastAsia="Arial"/>
              </w:rPr>
              <w:t>Greece</w:t>
            </w:r>
          </w:p>
        </w:tc>
        <w:tc>
          <w:tcPr>
            <w:tcW w:w="0" w:type="auto"/>
            <w:shd w:val="clear" w:color="auto" w:fill="FFFFFF"/>
            <w:tcMar>
              <w:top w:w="0" w:type="dxa"/>
              <w:left w:w="0" w:type="dxa"/>
              <w:bottom w:w="0" w:type="dxa"/>
              <w:right w:w="0" w:type="dxa"/>
            </w:tcMar>
          </w:tcPr>
          <w:p w14:paraId="778A700E" w14:textId="7BC5EC4F" w:rsidR="00BA1472" w:rsidRPr="00C1603D" w:rsidRDefault="00BA1472" w:rsidP="00BA1472">
            <w:pPr>
              <w:pStyle w:val="72TabletextTablesTableFigureBoxstyles"/>
            </w:pPr>
            <w:r w:rsidRPr="00C1603D">
              <w:rPr>
                <w:rFonts w:eastAsia="Arial"/>
                <w:noProof/>
              </w:rPr>
              <w:t xml:space="preserve">Mavroudi </w:t>
            </w:r>
            <w:r w:rsidRPr="00C1603D">
              <w:rPr>
                <w:rFonts w:eastAsia="Arial"/>
                <w:i/>
                <w:iCs/>
                <w:noProof/>
              </w:rPr>
              <w:t>et al</w:t>
            </w:r>
            <w:r w:rsidRPr="00C1603D">
              <w:rPr>
                <w:rFonts w:eastAsia="Arial"/>
                <w:noProof/>
              </w:rPr>
              <w:t>.</w:t>
            </w:r>
            <w:r w:rsidRPr="00C1603D">
              <w:rPr>
                <w:rFonts w:eastAsia="Arial"/>
                <w:noProof/>
                <w:vertAlign w:val="superscript"/>
              </w:rPr>
              <w:t>349</w:t>
            </w:r>
          </w:p>
        </w:tc>
      </w:tr>
      <w:tr w:rsidR="00BA1472" w:rsidRPr="00C1603D" w14:paraId="317B3641" w14:textId="77777777" w:rsidTr="00943414">
        <w:trPr>
          <w:cantSplit/>
        </w:trPr>
        <w:tc>
          <w:tcPr>
            <w:tcW w:w="0" w:type="auto"/>
            <w:shd w:val="clear" w:color="auto" w:fill="FFFFFF"/>
            <w:tcMar>
              <w:top w:w="0" w:type="dxa"/>
              <w:left w:w="0" w:type="dxa"/>
              <w:bottom w:w="0" w:type="dxa"/>
              <w:right w:w="0" w:type="dxa"/>
            </w:tcMar>
          </w:tcPr>
          <w:p w14:paraId="4CD45741" w14:textId="381FEB88"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0924342E" w14:textId="0F4720C8"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4CF27AD6"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0D5F5171" w14:textId="77777777" w:rsidR="00BA1472" w:rsidRPr="00C1603D" w:rsidRDefault="00BA1472" w:rsidP="00BA1472">
            <w:pPr>
              <w:pStyle w:val="72TabletextTablesTableFigureBoxstyles"/>
            </w:pPr>
            <w:r w:rsidRPr="00C1603D">
              <w:rPr>
                <w:rFonts w:eastAsia="Arial"/>
              </w:rPr>
              <w:t>535</w:t>
            </w:r>
          </w:p>
        </w:tc>
        <w:tc>
          <w:tcPr>
            <w:tcW w:w="0" w:type="auto"/>
            <w:shd w:val="clear" w:color="auto" w:fill="FFFFFF"/>
            <w:tcMar>
              <w:top w:w="0" w:type="dxa"/>
              <w:left w:w="0" w:type="dxa"/>
              <w:bottom w:w="0" w:type="dxa"/>
              <w:right w:w="0" w:type="dxa"/>
            </w:tcMar>
          </w:tcPr>
          <w:p w14:paraId="1CC40C88" w14:textId="0A2A53CA"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282184E4" w14:textId="73296CA2"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8F3DD3F" w14:textId="7672FFA9" w:rsidR="00BA1472" w:rsidRPr="00C1603D" w:rsidRDefault="00BA1472" w:rsidP="00BA1472">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2E7B7921" w14:textId="49B1428E"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1E2A627" w14:textId="77777777" w:rsidR="00BA1472" w:rsidRPr="00C1603D" w:rsidRDefault="00BA1472" w:rsidP="00BA1472">
            <w:pPr>
              <w:pStyle w:val="72TabletextTablesTableFigureBoxstyles"/>
            </w:pPr>
            <w:r w:rsidRPr="00C1603D">
              <w:rPr>
                <w:rFonts w:eastAsia="Arial"/>
              </w:rPr>
              <w:t>Greece</w:t>
            </w:r>
          </w:p>
        </w:tc>
        <w:tc>
          <w:tcPr>
            <w:tcW w:w="0" w:type="auto"/>
            <w:shd w:val="clear" w:color="auto" w:fill="FFFFFF"/>
            <w:tcMar>
              <w:top w:w="0" w:type="dxa"/>
              <w:left w:w="0" w:type="dxa"/>
              <w:bottom w:w="0" w:type="dxa"/>
              <w:right w:w="0" w:type="dxa"/>
            </w:tcMar>
          </w:tcPr>
          <w:p w14:paraId="7F0D04B9" w14:textId="74402E4F" w:rsidR="00BA1472" w:rsidRPr="00C1603D" w:rsidRDefault="00BA1472" w:rsidP="00BA1472">
            <w:pPr>
              <w:pStyle w:val="72TabletextTablesTableFigureBoxstyles"/>
            </w:pPr>
            <w:r w:rsidRPr="00C1603D">
              <w:rPr>
                <w:rFonts w:eastAsia="Arial"/>
                <w:noProof/>
              </w:rPr>
              <w:t xml:space="preserve">Mavroudi </w:t>
            </w:r>
            <w:r w:rsidRPr="00C1603D">
              <w:rPr>
                <w:rFonts w:eastAsia="Arial"/>
                <w:i/>
                <w:iCs/>
                <w:noProof/>
              </w:rPr>
              <w:t>et al</w:t>
            </w:r>
            <w:r w:rsidRPr="00C1603D">
              <w:rPr>
                <w:rFonts w:eastAsia="Arial"/>
                <w:noProof/>
              </w:rPr>
              <w:t>.</w:t>
            </w:r>
            <w:r w:rsidRPr="00C1603D">
              <w:rPr>
                <w:rFonts w:eastAsia="Arial"/>
                <w:noProof/>
                <w:vertAlign w:val="superscript"/>
              </w:rPr>
              <w:t>350</w:t>
            </w:r>
          </w:p>
        </w:tc>
      </w:tr>
      <w:tr w:rsidR="00BA1472" w:rsidRPr="00C1603D" w14:paraId="7626FE82" w14:textId="77777777" w:rsidTr="00943414">
        <w:trPr>
          <w:cantSplit/>
        </w:trPr>
        <w:tc>
          <w:tcPr>
            <w:tcW w:w="0" w:type="auto"/>
            <w:shd w:val="clear" w:color="auto" w:fill="FFFFFF"/>
            <w:tcMar>
              <w:top w:w="0" w:type="dxa"/>
              <w:left w:w="0" w:type="dxa"/>
              <w:bottom w:w="0" w:type="dxa"/>
              <w:right w:w="0" w:type="dxa"/>
            </w:tcMar>
          </w:tcPr>
          <w:p w14:paraId="5EDD17A1" w14:textId="59D2B308"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62E06848" w14:textId="2FA110E3"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560D8878"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6039362A" w14:textId="77777777" w:rsidR="00BA1472" w:rsidRPr="00C1603D" w:rsidRDefault="00BA1472" w:rsidP="00BA1472">
            <w:pPr>
              <w:pStyle w:val="72TabletextTablesTableFigureBoxstyles"/>
            </w:pPr>
            <w:r w:rsidRPr="00C1603D">
              <w:rPr>
                <w:rFonts w:eastAsia="Arial"/>
              </w:rPr>
              <w:t>273</w:t>
            </w:r>
          </w:p>
        </w:tc>
        <w:tc>
          <w:tcPr>
            <w:tcW w:w="0" w:type="auto"/>
            <w:shd w:val="clear" w:color="auto" w:fill="FFFFFF"/>
            <w:tcMar>
              <w:top w:w="0" w:type="dxa"/>
              <w:left w:w="0" w:type="dxa"/>
              <w:bottom w:w="0" w:type="dxa"/>
              <w:right w:w="0" w:type="dxa"/>
            </w:tcMar>
          </w:tcPr>
          <w:p w14:paraId="0DDFC98B" w14:textId="14DD143F"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D439CA1" w14:textId="153FF802"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5DCC31B" w14:textId="4FF4DD12" w:rsidR="00BA1472" w:rsidRPr="00C1603D" w:rsidRDefault="00BA1472" w:rsidP="00BA1472">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01358488" w14:textId="0243F443"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D29FED7" w14:textId="77777777" w:rsidR="00BA1472" w:rsidRPr="00C1603D" w:rsidRDefault="00BA1472" w:rsidP="00BA1472">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4F22691B" w14:textId="025D85B2" w:rsidR="00BA1472" w:rsidRPr="00C1603D" w:rsidRDefault="00BA1472" w:rsidP="00BA1472">
            <w:pPr>
              <w:pStyle w:val="72TabletextTablesTableFigureBoxstyles"/>
            </w:pPr>
            <w:r w:rsidRPr="00C1603D">
              <w:t xml:space="preserve">Dalgiç </w:t>
            </w:r>
            <w:r w:rsidRPr="00C1603D">
              <w:rPr>
                <w:rFonts w:eastAsia="Arial"/>
                <w:i/>
                <w:iCs/>
                <w:noProof/>
              </w:rPr>
              <w:t>et al</w:t>
            </w:r>
            <w:r w:rsidRPr="00C1603D">
              <w:rPr>
                <w:rFonts w:eastAsia="Arial"/>
                <w:noProof/>
              </w:rPr>
              <w:t>.</w:t>
            </w:r>
            <w:r w:rsidRPr="00C1603D">
              <w:rPr>
                <w:rFonts w:eastAsia="Arial"/>
                <w:noProof/>
                <w:vertAlign w:val="superscript"/>
              </w:rPr>
              <w:t>351</w:t>
            </w:r>
          </w:p>
        </w:tc>
      </w:tr>
      <w:tr w:rsidR="00BA1472" w:rsidRPr="00C1603D" w14:paraId="57CF6D76" w14:textId="77777777" w:rsidTr="00943414">
        <w:trPr>
          <w:cantSplit/>
        </w:trPr>
        <w:tc>
          <w:tcPr>
            <w:tcW w:w="0" w:type="auto"/>
            <w:shd w:val="clear" w:color="auto" w:fill="FFFFFF"/>
            <w:tcMar>
              <w:top w:w="0" w:type="dxa"/>
              <w:left w:w="0" w:type="dxa"/>
              <w:bottom w:w="0" w:type="dxa"/>
              <w:right w:w="0" w:type="dxa"/>
            </w:tcMar>
          </w:tcPr>
          <w:p w14:paraId="50FEA8ED" w14:textId="29E8B24C"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54A374EC" w14:textId="2E69F73C"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1DC95FFF"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51748071" w14:textId="77777777" w:rsidR="00BA1472" w:rsidRPr="00C1603D" w:rsidRDefault="00BA1472" w:rsidP="00BA1472">
            <w:pPr>
              <w:pStyle w:val="72TabletextTablesTableFigureBoxstyles"/>
            </w:pPr>
            <w:r w:rsidRPr="00C1603D">
              <w:rPr>
                <w:rFonts w:eastAsia="Arial"/>
              </w:rPr>
              <w:t>190</w:t>
            </w:r>
          </w:p>
        </w:tc>
        <w:tc>
          <w:tcPr>
            <w:tcW w:w="0" w:type="auto"/>
            <w:shd w:val="clear" w:color="auto" w:fill="FFFFFF"/>
            <w:tcMar>
              <w:top w:w="0" w:type="dxa"/>
              <w:left w:w="0" w:type="dxa"/>
              <w:bottom w:w="0" w:type="dxa"/>
              <w:right w:w="0" w:type="dxa"/>
            </w:tcMar>
          </w:tcPr>
          <w:p w14:paraId="7D7061D6" w14:textId="005E80A5"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B66596F" w14:textId="4E27F42D"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081D98F" w14:textId="2FB19EE3" w:rsidR="00BA1472" w:rsidRPr="00C1603D" w:rsidRDefault="00BA1472" w:rsidP="00BA1472">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1083FB73" w14:textId="4F77520F"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2521C9B" w14:textId="77777777" w:rsidR="00BA1472" w:rsidRPr="00C1603D" w:rsidRDefault="00BA1472" w:rsidP="00BA1472">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132043A3" w14:textId="5A60B229" w:rsidR="00BA1472" w:rsidRPr="00C1603D" w:rsidRDefault="00BA1472" w:rsidP="00BA1472">
            <w:pPr>
              <w:pStyle w:val="72TabletextTablesTableFigureBoxstyles"/>
            </w:pPr>
            <w:r w:rsidRPr="00C1603D">
              <w:rPr>
                <w:rFonts w:eastAsia="Arial"/>
                <w:noProof/>
              </w:rPr>
              <w:t xml:space="preserve">Dai </w:t>
            </w:r>
            <w:r w:rsidRPr="00C1603D">
              <w:rPr>
                <w:rFonts w:eastAsia="Arial"/>
                <w:i/>
                <w:iCs/>
                <w:noProof/>
              </w:rPr>
              <w:t>et al</w:t>
            </w:r>
            <w:r w:rsidRPr="00C1603D">
              <w:rPr>
                <w:rFonts w:eastAsia="Arial"/>
                <w:noProof/>
              </w:rPr>
              <w:t>.</w:t>
            </w:r>
            <w:r w:rsidRPr="00C1603D">
              <w:rPr>
                <w:rFonts w:eastAsia="Arial"/>
                <w:noProof/>
                <w:vertAlign w:val="superscript"/>
              </w:rPr>
              <w:t>352</w:t>
            </w:r>
          </w:p>
        </w:tc>
      </w:tr>
      <w:tr w:rsidR="00BA1472" w:rsidRPr="00C1603D" w14:paraId="16E84B09" w14:textId="77777777" w:rsidTr="00943414">
        <w:trPr>
          <w:cantSplit/>
        </w:trPr>
        <w:tc>
          <w:tcPr>
            <w:tcW w:w="0" w:type="auto"/>
            <w:shd w:val="clear" w:color="auto" w:fill="FFFFFF"/>
            <w:tcMar>
              <w:top w:w="0" w:type="dxa"/>
              <w:left w:w="0" w:type="dxa"/>
              <w:bottom w:w="0" w:type="dxa"/>
              <w:right w:w="0" w:type="dxa"/>
            </w:tcMar>
          </w:tcPr>
          <w:p w14:paraId="4BA734A0" w14:textId="0AEA688C"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689ABDBB" w14:textId="21C67458"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136DA672"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70973263" w14:textId="77777777" w:rsidR="00BA1472" w:rsidRPr="00C1603D" w:rsidRDefault="00BA1472" w:rsidP="00BA1472">
            <w:pPr>
              <w:pStyle w:val="72TabletextTablesTableFigureBoxstyles"/>
            </w:pPr>
            <w:r w:rsidRPr="00C1603D">
              <w:rPr>
                <w:rFonts w:eastAsia="Arial"/>
              </w:rPr>
              <w:t>275</w:t>
            </w:r>
          </w:p>
        </w:tc>
        <w:tc>
          <w:tcPr>
            <w:tcW w:w="0" w:type="auto"/>
            <w:shd w:val="clear" w:color="auto" w:fill="FFFFFF"/>
            <w:tcMar>
              <w:top w:w="0" w:type="dxa"/>
              <w:left w:w="0" w:type="dxa"/>
              <w:bottom w:w="0" w:type="dxa"/>
              <w:right w:w="0" w:type="dxa"/>
            </w:tcMar>
          </w:tcPr>
          <w:p w14:paraId="7374EB09" w14:textId="4479DF8E" w:rsidR="00BA1472" w:rsidRPr="00C1603D" w:rsidRDefault="00BA1472" w:rsidP="00BA1472">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769A7D6" w14:textId="40594539"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B58A86A" w14:textId="6314D9B3" w:rsidR="00BA1472" w:rsidRPr="00C1603D" w:rsidRDefault="00BA1472" w:rsidP="00BA1472">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7341C505" w14:textId="58073D98"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D303AD7" w14:textId="77777777" w:rsidR="00BA1472" w:rsidRPr="00C1603D" w:rsidRDefault="00BA1472" w:rsidP="00BA1472">
            <w:pPr>
              <w:pStyle w:val="72TabletextTablesTableFigureBoxstyles"/>
            </w:pPr>
            <w:r w:rsidRPr="00C1603D">
              <w:rPr>
                <w:rFonts w:eastAsia="Arial"/>
              </w:rPr>
              <w:t>Serbia</w:t>
            </w:r>
          </w:p>
        </w:tc>
        <w:tc>
          <w:tcPr>
            <w:tcW w:w="0" w:type="auto"/>
            <w:shd w:val="clear" w:color="auto" w:fill="FFFFFF"/>
            <w:tcMar>
              <w:top w:w="0" w:type="dxa"/>
              <w:left w:w="0" w:type="dxa"/>
              <w:bottom w:w="0" w:type="dxa"/>
              <w:right w:w="0" w:type="dxa"/>
            </w:tcMar>
          </w:tcPr>
          <w:p w14:paraId="7E4E24D7" w14:textId="3B45CC87" w:rsidR="00BA1472" w:rsidRPr="00C1603D" w:rsidRDefault="00BA1472" w:rsidP="00BA1472">
            <w:pPr>
              <w:pStyle w:val="72TabletextTablesTableFigureBoxstyles"/>
            </w:pPr>
            <w:r w:rsidRPr="00C1603D">
              <w:t xml:space="preserve">Djurić </w:t>
            </w:r>
            <w:r w:rsidRPr="00C1603D">
              <w:rPr>
                <w:rFonts w:eastAsia="Arial"/>
                <w:i/>
                <w:iCs/>
                <w:noProof/>
              </w:rPr>
              <w:t>et al</w:t>
            </w:r>
            <w:r w:rsidRPr="00C1603D">
              <w:rPr>
                <w:rFonts w:eastAsia="Arial"/>
                <w:noProof/>
              </w:rPr>
              <w:t>.</w:t>
            </w:r>
            <w:r w:rsidRPr="00C1603D">
              <w:rPr>
                <w:rFonts w:eastAsia="Arial"/>
                <w:noProof/>
                <w:vertAlign w:val="superscript"/>
              </w:rPr>
              <w:t>353</w:t>
            </w:r>
          </w:p>
        </w:tc>
      </w:tr>
      <w:tr w:rsidR="00BA1472" w:rsidRPr="00C1603D" w14:paraId="1AA8FF92" w14:textId="77777777" w:rsidTr="00943414">
        <w:trPr>
          <w:cantSplit/>
        </w:trPr>
        <w:tc>
          <w:tcPr>
            <w:tcW w:w="0" w:type="auto"/>
            <w:shd w:val="clear" w:color="auto" w:fill="FFFFFF"/>
            <w:tcMar>
              <w:top w:w="0" w:type="dxa"/>
              <w:left w:w="0" w:type="dxa"/>
              <w:bottom w:w="0" w:type="dxa"/>
              <w:right w:w="0" w:type="dxa"/>
            </w:tcMar>
          </w:tcPr>
          <w:p w14:paraId="689366B8" w14:textId="2CA4CDF2"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9D8817F" w14:textId="60252CA7"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01ECF17B"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79F8B766" w14:textId="77777777" w:rsidR="00BA1472" w:rsidRPr="00C1603D" w:rsidRDefault="00BA1472" w:rsidP="00BA1472">
            <w:pPr>
              <w:pStyle w:val="72TabletextTablesTableFigureBoxstyles"/>
            </w:pPr>
            <w:r w:rsidRPr="00C1603D">
              <w:rPr>
                <w:rFonts w:eastAsia="Arial"/>
              </w:rPr>
              <w:t>572</w:t>
            </w:r>
          </w:p>
        </w:tc>
        <w:tc>
          <w:tcPr>
            <w:tcW w:w="0" w:type="auto"/>
            <w:shd w:val="clear" w:color="auto" w:fill="FFFFFF"/>
            <w:tcMar>
              <w:top w:w="0" w:type="dxa"/>
              <w:left w:w="0" w:type="dxa"/>
              <w:bottom w:w="0" w:type="dxa"/>
              <w:right w:w="0" w:type="dxa"/>
            </w:tcMar>
          </w:tcPr>
          <w:p w14:paraId="55A0BB58" w14:textId="12822B79"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23FF01F" w14:textId="09D835BD"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9EB7DE0" w14:textId="77777777" w:rsidR="00BA1472" w:rsidRPr="00C1603D" w:rsidRDefault="00BA1472" w:rsidP="00BA1472">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1A48BF16" w14:textId="3992F3A4"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3D7781F" w14:textId="77777777" w:rsidR="00BA1472" w:rsidRPr="00C1603D" w:rsidRDefault="00BA1472" w:rsidP="00BA1472">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2C2821E4" w14:textId="746A7062" w:rsidR="00BA1472" w:rsidRPr="00C1603D" w:rsidRDefault="00BA1472" w:rsidP="00BA1472">
            <w:pPr>
              <w:pStyle w:val="72TabletextTablesTableFigureBoxstyles"/>
            </w:pPr>
            <w:r w:rsidRPr="00C1603D">
              <w:rPr>
                <w:rFonts w:eastAsia="Arial"/>
                <w:noProof/>
              </w:rPr>
              <w:t xml:space="preserve">Giordano </w:t>
            </w:r>
            <w:r w:rsidRPr="00C1603D">
              <w:rPr>
                <w:rFonts w:eastAsia="Arial"/>
                <w:i/>
                <w:iCs/>
                <w:noProof/>
              </w:rPr>
              <w:t>et al</w:t>
            </w:r>
            <w:r w:rsidRPr="00C1603D">
              <w:rPr>
                <w:rFonts w:eastAsia="Arial"/>
                <w:noProof/>
              </w:rPr>
              <w:t>.</w:t>
            </w:r>
            <w:r w:rsidRPr="00C1603D">
              <w:rPr>
                <w:rFonts w:eastAsia="Arial"/>
                <w:noProof/>
                <w:vertAlign w:val="superscript"/>
              </w:rPr>
              <w:t>354</w:t>
            </w:r>
          </w:p>
        </w:tc>
      </w:tr>
      <w:tr w:rsidR="00BA1472" w:rsidRPr="00C1603D" w14:paraId="72AECD34" w14:textId="77777777" w:rsidTr="00943414">
        <w:trPr>
          <w:cantSplit/>
        </w:trPr>
        <w:tc>
          <w:tcPr>
            <w:tcW w:w="0" w:type="auto"/>
            <w:shd w:val="clear" w:color="auto" w:fill="FFFFFF"/>
            <w:tcMar>
              <w:top w:w="0" w:type="dxa"/>
              <w:left w:w="0" w:type="dxa"/>
              <w:bottom w:w="0" w:type="dxa"/>
              <w:right w:w="0" w:type="dxa"/>
            </w:tcMar>
          </w:tcPr>
          <w:p w14:paraId="6061526A" w14:textId="6ED440E6"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10A38633" w14:textId="5C8B9957"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6C601643"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3D42E9F9" w14:textId="77777777" w:rsidR="00BA1472" w:rsidRPr="00C1603D" w:rsidRDefault="00BA1472" w:rsidP="00BA1472">
            <w:pPr>
              <w:pStyle w:val="72TabletextTablesTableFigureBoxstyles"/>
            </w:pPr>
            <w:r w:rsidRPr="00C1603D">
              <w:rPr>
                <w:rFonts w:eastAsia="Arial"/>
              </w:rPr>
              <w:t>380</w:t>
            </w:r>
          </w:p>
        </w:tc>
        <w:tc>
          <w:tcPr>
            <w:tcW w:w="0" w:type="auto"/>
            <w:shd w:val="clear" w:color="auto" w:fill="FFFFFF"/>
            <w:tcMar>
              <w:top w:w="0" w:type="dxa"/>
              <w:left w:w="0" w:type="dxa"/>
              <w:bottom w:w="0" w:type="dxa"/>
              <w:right w:w="0" w:type="dxa"/>
            </w:tcMar>
          </w:tcPr>
          <w:p w14:paraId="4B16C302" w14:textId="26CA7D80"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4343FD7E" w14:textId="76078CA4"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260957B" w14:textId="765C0928" w:rsidR="00BA1472" w:rsidRPr="00C1603D" w:rsidRDefault="00BA1472" w:rsidP="00BA1472">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6E5346D4" w14:textId="0152A516"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BD1273C" w14:textId="77777777" w:rsidR="00BA1472" w:rsidRPr="00C1603D" w:rsidRDefault="00BA1472" w:rsidP="00BA1472">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71DAD1C8" w14:textId="1B0AB0A3" w:rsidR="00BA1472" w:rsidRPr="00C1603D" w:rsidRDefault="00BA1472" w:rsidP="00BA1472">
            <w:pPr>
              <w:pStyle w:val="72TabletextTablesTableFigureBoxstyles"/>
            </w:pPr>
            <w:r w:rsidRPr="00C1603D">
              <w:t xml:space="preserve">Işikay </w:t>
            </w:r>
            <w:r w:rsidRPr="00C1603D">
              <w:rPr>
                <w:rFonts w:eastAsia="Arial"/>
                <w:i/>
                <w:iCs/>
                <w:noProof/>
              </w:rPr>
              <w:t>et al</w:t>
            </w:r>
            <w:r w:rsidRPr="00C1603D">
              <w:rPr>
                <w:rFonts w:eastAsia="Arial"/>
                <w:noProof/>
              </w:rPr>
              <w:t>.</w:t>
            </w:r>
            <w:r w:rsidRPr="00C1603D">
              <w:rPr>
                <w:rFonts w:eastAsia="Arial"/>
                <w:noProof/>
                <w:vertAlign w:val="superscript"/>
              </w:rPr>
              <w:t>355</w:t>
            </w:r>
          </w:p>
        </w:tc>
      </w:tr>
      <w:tr w:rsidR="00BA1472" w:rsidRPr="00C1603D" w14:paraId="33EE5D41" w14:textId="77777777" w:rsidTr="00943414">
        <w:trPr>
          <w:cantSplit/>
        </w:trPr>
        <w:tc>
          <w:tcPr>
            <w:tcW w:w="0" w:type="auto"/>
            <w:shd w:val="clear" w:color="auto" w:fill="FFFFFF"/>
            <w:tcMar>
              <w:top w:w="0" w:type="dxa"/>
              <w:left w:w="0" w:type="dxa"/>
              <w:bottom w:w="0" w:type="dxa"/>
              <w:right w:w="0" w:type="dxa"/>
            </w:tcMar>
          </w:tcPr>
          <w:p w14:paraId="3703454B" w14:textId="7DED0B52"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13861C66" w14:textId="303F8B9E"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1AFC39D7"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5943BD34" w14:textId="77777777" w:rsidR="00BA1472" w:rsidRPr="00C1603D" w:rsidRDefault="00BA1472" w:rsidP="00BA1472">
            <w:pPr>
              <w:pStyle w:val="72TabletextTablesTableFigureBoxstyles"/>
            </w:pPr>
            <w:r w:rsidRPr="00C1603D">
              <w:rPr>
                <w:rFonts w:eastAsia="Arial"/>
              </w:rPr>
              <w:t>1000</w:t>
            </w:r>
          </w:p>
        </w:tc>
        <w:tc>
          <w:tcPr>
            <w:tcW w:w="0" w:type="auto"/>
            <w:shd w:val="clear" w:color="auto" w:fill="FFFFFF"/>
            <w:tcMar>
              <w:top w:w="0" w:type="dxa"/>
              <w:left w:w="0" w:type="dxa"/>
              <w:bottom w:w="0" w:type="dxa"/>
              <w:right w:w="0" w:type="dxa"/>
            </w:tcMar>
          </w:tcPr>
          <w:p w14:paraId="16BE5467" w14:textId="413D6859"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EB8A519" w14:textId="3C70AE79"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CA273F8" w14:textId="5A7D571D" w:rsidR="00BA1472" w:rsidRPr="00C1603D" w:rsidRDefault="00BA1472" w:rsidP="00BA1472">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6F47BA4C" w14:textId="787CFD43"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DC2E135" w14:textId="77777777" w:rsidR="00BA1472" w:rsidRPr="00C1603D" w:rsidRDefault="00BA1472" w:rsidP="00BA1472">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284681CD" w14:textId="13B339E9" w:rsidR="00BA1472" w:rsidRPr="00C1603D" w:rsidRDefault="00BA1472" w:rsidP="00BA1472">
            <w:pPr>
              <w:pStyle w:val="72TabletextTablesTableFigureBoxstyles"/>
            </w:pPr>
            <w:r w:rsidRPr="00C1603D">
              <w:t xml:space="preserve">Işıkay </w:t>
            </w:r>
            <w:r w:rsidRPr="00C1603D">
              <w:rPr>
                <w:rFonts w:eastAsia="Arial"/>
                <w:i/>
                <w:iCs/>
                <w:noProof/>
              </w:rPr>
              <w:t>et al</w:t>
            </w:r>
            <w:r w:rsidRPr="00C1603D">
              <w:rPr>
                <w:rFonts w:eastAsia="Arial"/>
                <w:noProof/>
              </w:rPr>
              <w:t>.</w:t>
            </w:r>
            <w:r w:rsidRPr="00C1603D">
              <w:rPr>
                <w:rFonts w:eastAsia="Arial"/>
                <w:noProof/>
                <w:vertAlign w:val="superscript"/>
              </w:rPr>
              <w:t>356</w:t>
            </w:r>
          </w:p>
        </w:tc>
      </w:tr>
      <w:tr w:rsidR="00BA1472" w:rsidRPr="00C1603D" w14:paraId="73CB31AB" w14:textId="77777777" w:rsidTr="00943414">
        <w:trPr>
          <w:cantSplit/>
        </w:trPr>
        <w:tc>
          <w:tcPr>
            <w:tcW w:w="0" w:type="auto"/>
            <w:shd w:val="clear" w:color="auto" w:fill="FFFFFF"/>
            <w:tcMar>
              <w:top w:w="0" w:type="dxa"/>
              <w:left w:w="0" w:type="dxa"/>
              <w:bottom w:w="0" w:type="dxa"/>
              <w:right w:w="0" w:type="dxa"/>
            </w:tcMar>
          </w:tcPr>
          <w:p w14:paraId="5A7C60E7" w14:textId="4B6C1376" w:rsidR="00BA1472" w:rsidRPr="00C1603D" w:rsidRDefault="00BA1472" w:rsidP="00BA1472">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09E5309" w14:textId="5F815687"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04E4674D"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495B9F28" w14:textId="77777777" w:rsidR="00BA1472" w:rsidRPr="00C1603D" w:rsidRDefault="00BA1472" w:rsidP="00BA1472">
            <w:pPr>
              <w:pStyle w:val="72TabletextTablesTableFigureBoxstyles"/>
            </w:pPr>
            <w:r w:rsidRPr="00C1603D">
              <w:rPr>
                <w:rFonts w:eastAsia="Arial"/>
              </w:rPr>
              <w:t>70</w:t>
            </w:r>
          </w:p>
        </w:tc>
        <w:tc>
          <w:tcPr>
            <w:tcW w:w="0" w:type="auto"/>
            <w:shd w:val="clear" w:color="auto" w:fill="FFFFFF"/>
            <w:tcMar>
              <w:top w:w="0" w:type="dxa"/>
              <w:left w:w="0" w:type="dxa"/>
              <w:bottom w:w="0" w:type="dxa"/>
              <w:right w:w="0" w:type="dxa"/>
            </w:tcMar>
          </w:tcPr>
          <w:p w14:paraId="5AF5A57C" w14:textId="6BD8F7CB"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CDA6BBA" w14:textId="079FB9A3"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26384B5" w14:textId="77777777" w:rsidR="00BA1472" w:rsidRPr="00C1603D" w:rsidRDefault="00BA1472" w:rsidP="00BA1472">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3EE6C7D4" w14:textId="038E7A50"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68CF313" w14:textId="77777777" w:rsidR="00BA1472" w:rsidRPr="00C1603D" w:rsidRDefault="00BA1472" w:rsidP="00BA1472">
            <w:pPr>
              <w:pStyle w:val="72TabletextTablesTableFigureBoxstyles"/>
            </w:pPr>
            <w:r w:rsidRPr="00C1603D">
              <w:rPr>
                <w:rFonts w:eastAsia="Arial"/>
              </w:rPr>
              <w:t>Israel</w:t>
            </w:r>
          </w:p>
        </w:tc>
        <w:tc>
          <w:tcPr>
            <w:tcW w:w="0" w:type="auto"/>
            <w:shd w:val="clear" w:color="auto" w:fill="FFFFFF"/>
            <w:tcMar>
              <w:top w:w="0" w:type="dxa"/>
              <w:left w:w="0" w:type="dxa"/>
              <w:bottom w:w="0" w:type="dxa"/>
              <w:right w:w="0" w:type="dxa"/>
            </w:tcMar>
          </w:tcPr>
          <w:p w14:paraId="5855EF53" w14:textId="7AFF40A5" w:rsidR="00BA1472" w:rsidRPr="00C1603D" w:rsidRDefault="00BA1472" w:rsidP="00BA1472">
            <w:pPr>
              <w:pStyle w:val="72TabletextTablesTableFigureBoxstyles"/>
            </w:pPr>
            <w:r w:rsidRPr="00C1603D">
              <w:rPr>
                <w:rFonts w:eastAsia="Arial"/>
                <w:noProof/>
              </w:rPr>
              <w:t xml:space="preserve">Lahat </w:t>
            </w:r>
            <w:r w:rsidRPr="00C1603D">
              <w:rPr>
                <w:rFonts w:eastAsia="Arial"/>
                <w:i/>
                <w:iCs/>
                <w:noProof/>
              </w:rPr>
              <w:t>et al</w:t>
            </w:r>
            <w:r w:rsidRPr="00C1603D">
              <w:rPr>
                <w:rFonts w:eastAsia="Arial"/>
                <w:noProof/>
              </w:rPr>
              <w:t>.</w:t>
            </w:r>
            <w:r w:rsidRPr="00C1603D">
              <w:rPr>
                <w:rFonts w:eastAsia="Arial"/>
                <w:noProof/>
                <w:vertAlign w:val="superscript"/>
              </w:rPr>
              <w:t>357</w:t>
            </w:r>
          </w:p>
        </w:tc>
      </w:tr>
      <w:tr w:rsidR="00BA1472" w:rsidRPr="00C1603D" w14:paraId="58FD319A" w14:textId="77777777" w:rsidTr="00943414">
        <w:trPr>
          <w:cantSplit/>
        </w:trPr>
        <w:tc>
          <w:tcPr>
            <w:tcW w:w="0" w:type="auto"/>
            <w:shd w:val="clear" w:color="auto" w:fill="FFFFFF"/>
            <w:tcMar>
              <w:top w:w="0" w:type="dxa"/>
              <w:left w:w="0" w:type="dxa"/>
              <w:bottom w:w="0" w:type="dxa"/>
              <w:right w:w="0" w:type="dxa"/>
            </w:tcMar>
          </w:tcPr>
          <w:p w14:paraId="553D6A40" w14:textId="2F7EBFD4" w:rsidR="00BA1472" w:rsidRPr="00C1603D" w:rsidRDefault="00BA1472" w:rsidP="00BA1472">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30220047" w14:textId="02C53350" w:rsidR="00BA1472" w:rsidRPr="00C1603D" w:rsidRDefault="00BA1472" w:rsidP="00BA1472">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23717445" w14:textId="77777777" w:rsidR="00BA1472" w:rsidRPr="00C1603D" w:rsidRDefault="00BA1472" w:rsidP="00BA1472">
            <w:pPr>
              <w:pStyle w:val="72TabletextTablesTableFigureBoxstyles"/>
            </w:pPr>
            <w:r w:rsidRPr="00C1603D">
              <w:rPr>
                <w:rFonts w:eastAsia="Arial"/>
              </w:rPr>
              <w:t>Epilepsy</w:t>
            </w:r>
          </w:p>
        </w:tc>
        <w:tc>
          <w:tcPr>
            <w:tcW w:w="0" w:type="auto"/>
            <w:shd w:val="clear" w:color="auto" w:fill="FFFFFF"/>
            <w:tcMar>
              <w:top w:w="0" w:type="dxa"/>
              <w:left w:w="0" w:type="dxa"/>
              <w:bottom w:w="0" w:type="dxa"/>
              <w:right w:w="0" w:type="dxa"/>
            </w:tcMar>
          </w:tcPr>
          <w:p w14:paraId="528631B0" w14:textId="77777777" w:rsidR="00BA1472" w:rsidRPr="00C1603D" w:rsidRDefault="00BA1472" w:rsidP="00BA1472">
            <w:pPr>
              <w:pStyle w:val="72TabletextTablesTableFigureBoxstyles"/>
            </w:pPr>
            <w:r w:rsidRPr="00C1603D">
              <w:rPr>
                <w:rFonts w:eastAsia="Arial"/>
              </w:rPr>
              <w:t>4660</w:t>
            </w:r>
          </w:p>
        </w:tc>
        <w:tc>
          <w:tcPr>
            <w:tcW w:w="0" w:type="auto"/>
            <w:shd w:val="clear" w:color="auto" w:fill="FFFFFF"/>
            <w:tcMar>
              <w:top w:w="0" w:type="dxa"/>
              <w:left w:w="0" w:type="dxa"/>
              <w:bottom w:w="0" w:type="dxa"/>
              <w:right w:w="0" w:type="dxa"/>
            </w:tcMar>
          </w:tcPr>
          <w:p w14:paraId="012D16BE" w14:textId="7DA7224D" w:rsidR="00BA1472" w:rsidRPr="00C1603D" w:rsidRDefault="00BA1472" w:rsidP="00BA1472">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9CE166B" w14:textId="67FFA8E1" w:rsidR="00BA1472" w:rsidRPr="00C1603D" w:rsidRDefault="00BA1472" w:rsidP="00BA1472">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23EE4D5" w14:textId="77777777" w:rsidR="00BA1472" w:rsidRPr="00C1603D" w:rsidRDefault="00BA1472" w:rsidP="00BA1472">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31DD9C24" w14:textId="1BA556C7" w:rsidR="00BA1472" w:rsidRPr="00C1603D" w:rsidRDefault="00BA1472" w:rsidP="00BA1472">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DBBE5F9" w14:textId="77777777" w:rsidR="00BA1472" w:rsidRPr="00C1603D" w:rsidRDefault="00BA1472" w:rsidP="00BA1472">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4C725394" w14:textId="3916E6BB" w:rsidR="00BA1472" w:rsidRPr="00C1603D" w:rsidRDefault="00BA1472" w:rsidP="00BA1472">
            <w:pPr>
              <w:pStyle w:val="72TabletextTablesTableFigureBoxstyles"/>
            </w:pPr>
            <w:r w:rsidRPr="00C1603D">
              <w:rPr>
                <w:rFonts w:eastAsia="Arial"/>
                <w:noProof/>
              </w:rPr>
              <w:t xml:space="preserve">Pratesi </w:t>
            </w:r>
            <w:r w:rsidRPr="00C1603D">
              <w:rPr>
                <w:rFonts w:eastAsia="Arial"/>
                <w:i/>
                <w:iCs/>
                <w:noProof/>
              </w:rPr>
              <w:t>et al</w:t>
            </w:r>
            <w:r w:rsidRPr="00C1603D">
              <w:rPr>
                <w:rFonts w:eastAsia="Arial"/>
                <w:noProof/>
              </w:rPr>
              <w:t>.</w:t>
            </w:r>
            <w:r w:rsidRPr="00C1603D">
              <w:rPr>
                <w:rFonts w:eastAsia="Arial"/>
                <w:noProof/>
                <w:vertAlign w:val="superscript"/>
              </w:rPr>
              <w:t>358</w:t>
            </w:r>
          </w:p>
        </w:tc>
      </w:tr>
      <w:tr w:rsidR="00D65122" w:rsidRPr="00C1603D" w14:paraId="344D23B1" w14:textId="77777777" w:rsidTr="008B40C9">
        <w:trPr>
          <w:cantSplit/>
        </w:trPr>
        <w:tc>
          <w:tcPr>
            <w:tcW w:w="0" w:type="auto"/>
            <w:gridSpan w:val="10"/>
            <w:shd w:val="clear" w:color="auto" w:fill="FFFFFF"/>
            <w:tcMar>
              <w:top w:w="0" w:type="dxa"/>
              <w:left w:w="0" w:type="dxa"/>
              <w:bottom w:w="0" w:type="dxa"/>
              <w:right w:w="0" w:type="dxa"/>
            </w:tcMar>
          </w:tcPr>
          <w:p w14:paraId="53530E01" w14:textId="5864030B" w:rsidR="00D65122" w:rsidRPr="00C1603D" w:rsidRDefault="00D65122" w:rsidP="00D65122">
            <w:pPr>
              <w:pStyle w:val="75TablenotesTablesTableFigureBoxstyles"/>
              <w:rPr>
                <w:rFonts w:eastAsia="Arial"/>
                <w:noProof/>
                <w:vertAlign w:val="superscript"/>
              </w:rPr>
            </w:pPr>
            <w:r w:rsidRPr="00C1603D">
              <w:rPr>
                <w:rFonts w:eastAsia="Arial"/>
                <w:noProof/>
              </w:rPr>
              <w:t>DI, diagnostic indicator.</w:t>
            </w:r>
          </w:p>
        </w:tc>
      </w:tr>
    </w:tbl>
    <w:p w14:paraId="0464BCD0" w14:textId="652D3EAF" w:rsidR="008B4DF8" w:rsidRPr="00C1603D" w:rsidRDefault="008B4DF8" w:rsidP="008B4DF8">
      <w:pPr>
        <w:pStyle w:val="70TablelegendTablesTableFigureBoxstyles"/>
      </w:pPr>
      <w:bookmarkStart w:id="591" w:name="_Toc99720745"/>
      <w:r w:rsidRPr="00C1603D">
        <w:rPr>
          <w:b/>
        </w:rPr>
        <w:t>TABLE 3</w:t>
      </w:r>
      <w:r w:rsidR="00032460" w:rsidRPr="00C1603D">
        <w:rPr>
          <w:b/>
        </w:rPr>
        <w:t>5</w:t>
      </w:r>
      <w:r w:rsidRPr="00C1603D">
        <w:rPr>
          <w:b/>
        </w:rPr>
        <w:t> </w:t>
      </w:r>
      <w:r w:rsidRPr="00C1603D">
        <w:t xml:space="preserve">Study characteristic: </w:t>
      </w:r>
      <w:r w:rsidR="00943414" w:rsidRPr="00C1603D">
        <w:t>f</w:t>
      </w:r>
      <w:r w:rsidRPr="00C1603D">
        <w:t>amily history of CD</w:t>
      </w:r>
      <w:bookmarkEnd w:id="591"/>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91"/>
        <w:gridCol w:w="676"/>
        <w:gridCol w:w="806"/>
        <w:gridCol w:w="617"/>
        <w:gridCol w:w="625"/>
        <w:gridCol w:w="849"/>
        <w:gridCol w:w="1033"/>
        <w:gridCol w:w="1711"/>
        <w:gridCol w:w="984"/>
        <w:gridCol w:w="834"/>
      </w:tblGrid>
      <w:tr w:rsidR="00B15AC7" w:rsidRPr="00C1603D" w14:paraId="115A80F9" w14:textId="77777777" w:rsidTr="00943414">
        <w:trPr>
          <w:cantSplit/>
        </w:trPr>
        <w:tc>
          <w:tcPr>
            <w:tcW w:w="0" w:type="auto"/>
            <w:shd w:val="clear" w:color="auto" w:fill="FFFFFF"/>
            <w:tcMar>
              <w:top w:w="0" w:type="dxa"/>
              <w:left w:w="0" w:type="dxa"/>
              <w:bottom w:w="0" w:type="dxa"/>
              <w:right w:w="0" w:type="dxa"/>
            </w:tcMar>
          </w:tcPr>
          <w:p w14:paraId="27AC1F34" w14:textId="51916CAB"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1135C4BE" w14:textId="29A9B470"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56C95F00" w14:textId="25025283"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064E62C3" w14:textId="3A23EEAB"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082F8B90"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2309DA0C"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4BFEC3D1"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07AB1161"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8C671A8"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00031573" w14:textId="77777777" w:rsidR="001902E7" w:rsidRPr="00C1603D" w:rsidRDefault="001902E7" w:rsidP="001902E7">
            <w:pPr>
              <w:pStyle w:val="710TableheadTablesTableFigureBoxstyles"/>
            </w:pPr>
            <w:r w:rsidRPr="00C1603D">
              <w:rPr>
                <w:rFonts w:eastAsia="Arial"/>
              </w:rPr>
              <w:t>Reference</w:t>
            </w:r>
          </w:p>
        </w:tc>
      </w:tr>
      <w:tr w:rsidR="00B15AC7" w:rsidRPr="00C1603D" w14:paraId="4F9F0DD6" w14:textId="77777777" w:rsidTr="00943414">
        <w:trPr>
          <w:cantSplit/>
        </w:trPr>
        <w:tc>
          <w:tcPr>
            <w:tcW w:w="0" w:type="auto"/>
            <w:shd w:val="clear" w:color="auto" w:fill="FFFFFF"/>
            <w:tcMar>
              <w:top w:w="0" w:type="dxa"/>
              <w:left w:w="0" w:type="dxa"/>
              <w:bottom w:w="0" w:type="dxa"/>
              <w:right w:w="0" w:type="dxa"/>
            </w:tcMar>
          </w:tcPr>
          <w:p w14:paraId="581279AB" w14:textId="77777777" w:rsidR="008B4DF8" w:rsidRPr="00C1603D" w:rsidRDefault="008B4DF8" w:rsidP="00943414">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57D27909" w14:textId="6B821427"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07A439C" w14:textId="77777777" w:rsidR="008B4DF8" w:rsidRPr="00C1603D" w:rsidRDefault="008B4DF8" w:rsidP="00943414">
            <w:pPr>
              <w:pStyle w:val="72TabletextTablesTableFigureBoxstyles"/>
            </w:pPr>
            <w:r w:rsidRPr="00C1603D">
              <w:rPr>
                <w:rFonts w:eastAsia="Arial"/>
              </w:rPr>
              <w:t>CD in family</w:t>
            </w:r>
          </w:p>
        </w:tc>
        <w:tc>
          <w:tcPr>
            <w:tcW w:w="0" w:type="auto"/>
            <w:shd w:val="clear" w:color="auto" w:fill="FFFFFF"/>
            <w:tcMar>
              <w:top w:w="0" w:type="dxa"/>
              <w:left w:w="0" w:type="dxa"/>
              <w:bottom w:w="0" w:type="dxa"/>
              <w:right w:w="0" w:type="dxa"/>
            </w:tcMar>
          </w:tcPr>
          <w:p w14:paraId="2D807C62" w14:textId="77777777" w:rsidR="008B4DF8" w:rsidRPr="00C1603D" w:rsidRDefault="008B4DF8" w:rsidP="00943414">
            <w:pPr>
              <w:pStyle w:val="72TabletextTablesTableFigureBoxstyles"/>
            </w:pPr>
            <w:r w:rsidRPr="00C1603D">
              <w:rPr>
                <w:rFonts w:eastAsia="Arial"/>
              </w:rPr>
              <w:t>334</w:t>
            </w:r>
          </w:p>
        </w:tc>
        <w:tc>
          <w:tcPr>
            <w:tcW w:w="0" w:type="auto"/>
            <w:shd w:val="clear" w:color="auto" w:fill="FFFFFF"/>
            <w:tcMar>
              <w:top w:w="0" w:type="dxa"/>
              <w:left w:w="0" w:type="dxa"/>
              <w:bottom w:w="0" w:type="dxa"/>
              <w:right w:w="0" w:type="dxa"/>
            </w:tcMar>
          </w:tcPr>
          <w:p w14:paraId="353084BC"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2160DE91"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C4711FB"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6D89919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1A32BAA" w14:textId="77777777" w:rsidR="008B4DF8" w:rsidRPr="00C1603D" w:rsidRDefault="008B4DF8" w:rsidP="00943414">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7BCF027A" w14:textId="4191275F" w:rsidR="008B4DF8" w:rsidRPr="00C1603D" w:rsidRDefault="00B15AC7" w:rsidP="00943414">
            <w:pPr>
              <w:pStyle w:val="72TabletextTablesTableFigureBoxstyles"/>
            </w:pPr>
            <w:r w:rsidRPr="00C1603D">
              <w:rPr>
                <w:rFonts w:eastAsia="Arial"/>
                <w:noProof/>
              </w:rPr>
              <w:t xml:space="preserve">Soni </w:t>
            </w:r>
            <w:r w:rsidRPr="00C1603D">
              <w:rPr>
                <w:rFonts w:eastAsia="Arial"/>
                <w:i/>
                <w:iCs/>
                <w:noProof/>
              </w:rPr>
              <w:t>et al</w:t>
            </w:r>
            <w:r w:rsidRPr="00C1603D">
              <w:rPr>
                <w:rFonts w:eastAsia="Arial"/>
                <w:noProof/>
              </w:rPr>
              <w:t>.</w:t>
            </w:r>
            <w:r w:rsidR="008B4DF8" w:rsidRPr="00C1603D">
              <w:rPr>
                <w:rFonts w:eastAsia="Arial"/>
                <w:noProof/>
                <w:vertAlign w:val="superscript"/>
              </w:rPr>
              <w:t>359</w:t>
            </w:r>
          </w:p>
        </w:tc>
      </w:tr>
      <w:tr w:rsidR="00B15AC7" w:rsidRPr="00C1603D" w14:paraId="18C12BA4" w14:textId="77777777" w:rsidTr="00943414">
        <w:trPr>
          <w:cantSplit/>
        </w:trPr>
        <w:tc>
          <w:tcPr>
            <w:tcW w:w="0" w:type="auto"/>
            <w:shd w:val="clear" w:color="auto" w:fill="FFFFFF"/>
            <w:tcMar>
              <w:top w:w="0" w:type="dxa"/>
              <w:left w:w="0" w:type="dxa"/>
              <w:bottom w:w="0" w:type="dxa"/>
              <w:right w:w="0" w:type="dxa"/>
            </w:tcMar>
          </w:tcPr>
          <w:p w14:paraId="23E2ACFA"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A12AB51"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9431A9E" w14:textId="09C8B8DD" w:rsidR="008B4DF8" w:rsidRPr="00C1603D" w:rsidRDefault="008B4DF8" w:rsidP="00943414">
            <w:pPr>
              <w:pStyle w:val="72TabletextTablesTableFigureBoxstyles"/>
            </w:pPr>
            <w:r w:rsidRPr="00C1603D">
              <w:rPr>
                <w:rFonts w:eastAsia="Arial"/>
              </w:rPr>
              <w:t>FDRs</w:t>
            </w:r>
            <w:r w:rsidR="00B15AC7" w:rsidRPr="00C1603D">
              <w:rPr>
                <w:rFonts w:eastAsia="Arial"/>
              </w:rPr>
              <w:t xml:space="preserve"> with CD</w:t>
            </w:r>
          </w:p>
        </w:tc>
        <w:tc>
          <w:tcPr>
            <w:tcW w:w="0" w:type="auto"/>
            <w:shd w:val="clear" w:color="auto" w:fill="FFFFFF"/>
            <w:tcMar>
              <w:top w:w="0" w:type="dxa"/>
              <w:left w:w="0" w:type="dxa"/>
              <w:bottom w:w="0" w:type="dxa"/>
              <w:right w:w="0" w:type="dxa"/>
            </w:tcMar>
          </w:tcPr>
          <w:p w14:paraId="2E60F139" w14:textId="2AFCC2D3" w:rsidR="008B4DF8" w:rsidRPr="00C1603D" w:rsidRDefault="008B4DF8" w:rsidP="00943414">
            <w:pPr>
              <w:pStyle w:val="72TabletextTablesTableFigureBoxstyles"/>
            </w:pPr>
            <w:r w:rsidRPr="00C1603D">
              <w:rPr>
                <w:rFonts w:eastAsia="Arial"/>
              </w:rPr>
              <w:t>1197</w:t>
            </w:r>
          </w:p>
        </w:tc>
        <w:tc>
          <w:tcPr>
            <w:tcW w:w="0" w:type="auto"/>
            <w:shd w:val="clear" w:color="auto" w:fill="FFFFFF"/>
            <w:tcMar>
              <w:top w:w="0" w:type="dxa"/>
              <w:left w:w="0" w:type="dxa"/>
              <w:bottom w:w="0" w:type="dxa"/>
              <w:right w:w="0" w:type="dxa"/>
            </w:tcMar>
          </w:tcPr>
          <w:p w14:paraId="5812D8AB" w14:textId="3DCAF21E"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60F0477" w14:textId="229239A9" w:rsidR="008B4DF8" w:rsidRPr="00C1603D" w:rsidRDefault="008B4DF8" w:rsidP="00943414">
            <w:pPr>
              <w:pStyle w:val="72TabletextTablesTableFigureBoxstyles"/>
            </w:pPr>
            <w:r w:rsidRPr="00C1603D">
              <w:rPr>
                <w:rFonts w:eastAsia="Arial"/>
              </w:rPr>
              <w:t xml:space="preserve">People without </w:t>
            </w:r>
            <w:r w:rsidR="00B15AC7" w:rsidRPr="00C1603D">
              <w:rPr>
                <w:rFonts w:eastAsia="Arial"/>
              </w:rPr>
              <w:t>FDRs</w:t>
            </w:r>
            <w:r w:rsidRPr="00C1603D">
              <w:rPr>
                <w:rFonts w:eastAsia="Arial"/>
              </w:rPr>
              <w:t xml:space="preserve"> with CD</w:t>
            </w:r>
          </w:p>
        </w:tc>
        <w:tc>
          <w:tcPr>
            <w:tcW w:w="0" w:type="auto"/>
            <w:shd w:val="clear" w:color="auto" w:fill="FFFFFF"/>
            <w:tcMar>
              <w:top w:w="0" w:type="dxa"/>
              <w:left w:w="0" w:type="dxa"/>
              <w:bottom w:w="0" w:type="dxa"/>
              <w:right w:w="0" w:type="dxa"/>
            </w:tcMar>
          </w:tcPr>
          <w:p w14:paraId="692B3C18" w14:textId="30E6E604"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AAD5004"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25E3877D" w14:textId="77777777" w:rsidR="008B4DF8" w:rsidRPr="00C1603D" w:rsidRDefault="008B4DF8" w:rsidP="00943414">
            <w:pPr>
              <w:pStyle w:val="72TabletextTablesTableFigureBoxstyles"/>
            </w:pPr>
            <w:r w:rsidRPr="00C1603D">
              <w:rPr>
                <w:rFonts w:eastAsia="Arial"/>
              </w:rPr>
              <w:t>United Arab Emirates</w:t>
            </w:r>
          </w:p>
        </w:tc>
        <w:tc>
          <w:tcPr>
            <w:tcW w:w="0" w:type="auto"/>
            <w:shd w:val="clear" w:color="auto" w:fill="FFFFFF"/>
            <w:tcMar>
              <w:top w:w="0" w:type="dxa"/>
              <w:left w:w="0" w:type="dxa"/>
              <w:bottom w:w="0" w:type="dxa"/>
              <w:right w:w="0" w:type="dxa"/>
            </w:tcMar>
          </w:tcPr>
          <w:p w14:paraId="24D19EAD" w14:textId="1708D389" w:rsidR="008B4DF8" w:rsidRPr="00C1603D" w:rsidRDefault="00B15AC7" w:rsidP="00943414">
            <w:pPr>
              <w:pStyle w:val="72TabletextTablesTableFigureBoxstyles"/>
            </w:pPr>
            <w:r w:rsidRPr="00C1603D">
              <w:rPr>
                <w:rFonts w:eastAsia="Arial"/>
                <w:noProof/>
              </w:rPr>
              <w:t xml:space="preserve">Abu-Zeid </w:t>
            </w:r>
            <w:r w:rsidRPr="00C1603D">
              <w:rPr>
                <w:rFonts w:eastAsia="Arial"/>
                <w:i/>
                <w:iCs/>
                <w:noProof/>
              </w:rPr>
              <w:t>et al</w:t>
            </w:r>
            <w:r w:rsidRPr="00C1603D">
              <w:rPr>
                <w:rFonts w:eastAsia="Arial"/>
                <w:noProof/>
              </w:rPr>
              <w:t>.</w:t>
            </w:r>
            <w:r w:rsidR="008B4DF8" w:rsidRPr="00C1603D">
              <w:rPr>
                <w:rFonts w:eastAsia="Arial"/>
                <w:noProof/>
                <w:vertAlign w:val="superscript"/>
              </w:rPr>
              <w:t>288</w:t>
            </w:r>
          </w:p>
        </w:tc>
      </w:tr>
      <w:tr w:rsidR="00B15AC7" w:rsidRPr="00C1603D" w14:paraId="6374DBBD" w14:textId="77777777" w:rsidTr="00943414">
        <w:trPr>
          <w:cantSplit/>
        </w:trPr>
        <w:tc>
          <w:tcPr>
            <w:tcW w:w="0" w:type="auto"/>
            <w:shd w:val="clear" w:color="auto" w:fill="FFFFFF"/>
            <w:tcMar>
              <w:top w:w="0" w:type="dxa"/>
              <w:left w:w="0" w:type="dxa"/>
              <w:bottom w:w="0" w:type="dxa"/>
              <w:right w:w="0" w:type="dxa"/>
            </w:tcMar>
          </w:tcPr>
          <w:p w14:paraId="45B3EF6B"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2F4C898"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23C03833" w14:textId="77777777" w:rsidR="008B4DF8" w:rsidRPr="00C1603D" w:rsidRDefault="008B4DF8" w:rsidP="00943414">
            <w:pPr>
              <w:pStyle w:val="72TabletextTablesTableFigureBoxstyles"/>
            </w:pPr>
            <w:r w:rsidRPr="00C1603D">
              <w:rPr>
                <w:rFonts w:eastAsia="Arial"/>
              </w:rPr>
              <w:t>CD in family</w:t>
            </w:r>
          </w:p>
        </w:tc>
        <w:tc>
          <w:tcPr>
            <w:tcW w:w="0" w:type="auto"/>
            <w:shd w:val="clear" w:color="auto" w:fill="FFFFFF"/>
            <w:tcMar>
              <w:top w:w="0" w:type="dxa"/>
              <w:left w:w="0" w:type="dxa"/>
              <w:bottom w:w="0" w:type="dxa"/>
              <w:right w:w="0" w:type="dxa"/>
            </w:tcMar>
          </w:tcPr>
          <w:p w14:paraId="2038D339" w14:textId="77777777" w:rsidR="008B4DF8" w:rsidRPr="00C1603D" w:rsidRDefault="008B4DF8" w:rsidP="00943414">
            <w:pPr>
              <w:pStyle w:val="72TabletextTablesTableFigureBoxstyles"/>
            </w:pPr>
            <w:r w:rsidRPr="00C1603D">
              <w:rPr>
                <w:rFonts w:eastAsia="Arial"/>
              </w:rPr>
              <w:t>527</w:t>
            </w:r>
          </w:p>
        </w:tc>
        <w:tc>
          <w:tcPr>
            <w:tcW w:w="0" w:type="auto"/>
            <w:shd w:val="clear" w:color="auto" w:fill="FFFFFF"/>
            <w:tcMar>
              <w:top w:w="0" w:type="dxa"/>
              <w:left w:w="0" w:type="dxa"/>
              <w:bottom w:w="0" w:type="dxa"/>
              <w:right w:w="0" w:type="dxa"/>
            </w:tcMar>
          </w:tcPr>
          <w:p w14:paraId="3F0BEB41" w14:textId="2DB73E18"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74CE345" w14:textId="77777777" w:rsidR="008B4DF8" w:rsidRPr="00C1603D" w:rsidRDefault="008B4DF8" w:rsidP="00943414">
            <w:pPr>
              <w:pStyle w:val="72TabletextTablesTableFigureBoxstyles"/>
            </w:pPr>
            <w:r w:rsidRPr="00C1603D">
              <w:rPr>
                <w:rFonts w:eastAsia="Arial"/>
              </w:rPr>
              <w:t>People without a family history of CD</w:t>
            </w:r>
          </w:p>
        </w:tc>
        <w:tc>
          <w:tcPr>
            <w:tcW w:w="0" w:type="auto"/>
            <w:shd w:val="clear" w:color="auto" w:fill="FFFFFF"/>
            <w:tcMar>
              <w:top w:w="0" w:type="dxa"/>
              <w:left w:w="0" w:type="dxa"/>
              <w:bottom w:w="0" w:type="dxa"/>
              <w:right w:w="0" w:type="dxa"/>
            </w:tcMar>
          </w:tcPr>
          <w:p w14:paraId="6BB7B2EB" w14:textId="6592A700"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157CDF2"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0847809" w14:textId="77777777" w:rsidR="008B4DF8" w:rsidRPr="00C1603D" w:rsidRDefault="008B4DF8" w:rsidP="00943414">
            <w:pPr>
              <w:pStyle w:val="72TabletextTablesTableFigureBoxstyles"/>
            </w:pPr>
            <w:r w:rsidRPr="00C1603D">
              <w:rPr>
                <w:rFonts w:eastAsia="Arial"/>
              </w:rPr>
              <w:t>Malaysia</w:t>
            </w:r>
          </w:p>
        </w:tc>
        <w:tc>
          <w:tcPr>
            <w:tcW w:w="0" w:type="auto"/>
            <w:shd w:val="clear" w:color="auto" w:fill="FFFFFF"/>
            <w:tcMar>
              <w:top w:w="0" w:type="dxa"/>
              <w:left w:w="0" w:type="dxa"/>
              <w:bottom w:w="0" w:type="dxa"/>
              <w:right w:w="0" w:type="dxa"/>
            </w:tcMar>
          </w:tcPr>
          <w:p w14:paraId="14FDB0D0" w14:textId="340E0D22" w:rsidR="008B4DF8" w:rsidRPr="00C1603D" w:rsidRDefault="00B15AC7" w:rsidP="00943414">
            <w:pPr>
              <w:pStyle w:val="72TabletextTablesTableFigureBoxstyles"/>
            </w:pPr>
            <w:r w:rsidRPr="00C1603D">
              <w:rPr>
                <w:rFonts w:eastAsia="Arial"/>
                <w:noProof/>
              </w:rPr>
              <w:t xml:space="preserve">Yap </w:t>
            </w:r>
            <w:r w:rsidRPr="00C1603D">
              <w:rPr>
                <w:rFonts w:eastAsia="Arial"/>
                <w:i/>
                <w:iCs/>
                <w:noProof/>
              </w:rPr>
              <w:t>et al</w:t>
            </w:r>
            <w:r w:rsidRPr="00C1603D">
              <w:rPr>
                <w:rFonts w:eastAsia="Arial"/>
                <w:noProof/>
              </w:rPr>
              <w:t>.</w:t>
            </w:r>
            <w:r w:rsidR="008B4DF8" w:rsidRPr="00C1603D">
              <w:rPr>
                <w:rFonts w:eastAsia="Arial"/>
                <w:noProof/>
                <w:vertAlign w:val="superscript"/>
              </w:rPr>
              <w:t>287</w:t>
            </w:r>
          </w:p>
        </w:tc>
      </w:tr>
      <w:tr w:rsidR="00B15AC7" w:rsidRPr="00C1603D" w14:paraId="1983AED7" w14:textId="77777777" w:rsidTr="00943414">
        <w:trPr>
          <w:cantSplit/>
        </w:trPr>
        <w:tc>
          <w:tcPr>
            <w:tcW w:w="0" w:type="auto"/>
            <w:shd w:val="clear" w:color="auto" w:fill="FFFFFF"/>
            <w:tcMar>
              <w:top w:w="0" w:type="dxa"/>
              <w:left w:w="0" w:type="dxa"/>
              <w:bottom w:w="0" w:type="dxa"/>
              <w:right w:w="0" w:type="dxa"/>
            </w:tcMar>
          </w:tcPr>
          <w:p w14:paraId="151EBE63" w14:textId="77777777" w:rsidR="00B15AC7" w:rsidRPr="00C1603D" w:rsidRDefault="00B15AC7" w:rsidP="00B15AC7">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77A9A27" w14:textId="77777777" w:rsidR="00B15AC7" w:rsidRPr="00C1603D" w:rsidRDefault="00B15AC7" w:rsidP="00B15AC7">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(DI)</w:t>
            </w:r>
          </w:p>
        </w:tc>
        <w:tc>
          <w:tcPr>
            <w:tcW w:w="0" w:type="auto"/>
            <w:shd w:val="clear" w:color="auto" w:fill="FFFFFF"/>
            <w:tcMar>
              <w:top w:w="0" w:type="dxa"/>
              <w:left w:w="0" w:type="dxa"/>
              <w:bottom w:w="0" w:type="dxa"/>
              <w:right w:w="0" w:type="dxa"/>
            </w:tcMar>
          </w:tcPr>
          <w:p w14:paraId="1578C13B" w14:textId="772ED68E" w:rsidR="00B15AC7" w:rsidRPr="00C1603D" w:rsidRDefault="00B15AC7" w:rsidP="00B15AC7">
            <w:pPr>
              <w:pStyle w:val="72TabletextTablesTableFigureBoxstyles"/>
            </w:pPr>
            <w:r w:rsidRPr="00C1603D">
              <w:rPr>
                <w:rFonts w:eastAsia="Arial"/>
              </w:rPr>
              <w:t>FDRs with CD</w:t>
            </w:r>
          </w:p>
        </w:tc>
        <w:tc>
          <w:tcPr>
            <w:tcW w:w="0" w:type="auto"/>
            <w:shd w:val="clear" w:color="auto" w:fill="FFFFFF"/>
            <w:tcMar>
              <w:top w:w="0" w:type="dxa"/>
              <w:left w:w="0" w:type="dxa"/>
              <w:bottom w:w="0" w:type="dxa"/>
              <w:right w:w="0" w:type="dxa"/>
            </w:tcMar>
          </w:tcPr>
          <w:p w14:paraId="5499BFF6" w14:textId="1F416642" w:rsidR="00B15AC7" w:rsidRPr="00C1603D" w:rsidRDefault="00B15AC7" w:rsidP="00B15AC7">
            <w:pPr>
              <w:pStyle w:val="72TabletextTablesTableFigureBoxstyles"/>
            </w:pPr>
            <w:r w:rsidRPr="00C1603D">
              <w:rPr>
                <w:rFonts w:eastAsia="Arial"/>
              </w:rPr>
              <w:t>2128</w:t>
            </w:r>
          </w:p>
        </w:tc>
        <w:tc>
          <w:tcPr>
            <w:tcW w:w="0" w:type="auto"/>
            <w:shd w:val="clear" w:color="auto" w:fill="FFFFFF"/>
            <w:tcMar>
              <w:top w:w="0" w:type="dxa"/>
              <w:left w:w="0" w:type="dxa"/>
              <w:bottom w:w="0" w:type="dxa"/>
              <w:right w:w="0" w:type="dxa"/>
            </w:tcMar>
          </w:tcPr>
          <w:p w14:paraId="29661DCE" w14:textId="77777777" w:rsidR="00B15AC7" w:rsidRPr="00C1603D" w:rsidRDefault="00B15AC7" w:rsidP="00B15AC7">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4D922EB8" w14:textId="77777777" w:rsidR="00B15AC7" w:rsidRPr="00C1603D" w:rsidRDefault="00B15AC7" w:rsidP="00B15AC7">
            <w:pPr>
              <w:pStyle w:val="72TabletextTablesTableFigureBoxstyles"/>
            </w:pPr>
            <w:r w:rsidRPr="00C1603D">
              <w:rPr>
                <w:rFonts w:eastAsia="Arial"/>
              </w:rPr>
              <w:t>People without CD in family</w:t>
            </w:r>
          </w:p>
        </w:tc>
        <w:tc>
          <w:tcPr>
            <w:tcW w:w="0" w:type="auto"/>
            <w:shd w:val="clear" w:color="auto" w:fill="FFFFFF"/>
            <w:tcMar>
              <w:top w:w="0" w:type="dxa"/>
              <w:left w:w="0" w:type="dxa"/>
              <w:bottom w:w="0" w:type="dxa"/>
              <w:right w:w="0" w:type="dxa"/>
            </w:tcMar>
          </w:tcPr>
          <w:p w14:paraId="7C171C3C" w14:textId="77777777" w:rsidR="00B15AC7" w:rsidRPr="00C1603D" w:rsidRDefault="00B15AC7" w:rsidP="00B15AC7">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1DA3305F" w14:textId="77777777" w:rsidR="00B15AC7" w:rsidRPr="00C1603D" w:rsidRDefault="00B15AC7" w:rsidP="00B15AC7">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88368AF" w14:textId="5D5A3E91" w:rsidR="00B15AC7" w:rsidRPr="00C1603D" w:rsidRDefault="00B15AC7" w:rsidP="00B15AC7">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0453AF96" w14:textId="38A8A8A8" w:rsidR="00B15AC7" w:rsidRPr="00C1603D" w:rsidRDefault="00B15AC7" w:rsidP="00B15AC7">
            <w:pPr>
              <w:pStyle w:val="72TabletextTablesTableFigureBoxstyles"/>
            </w:pPr>
            <w:r w:rsidRPr="00C1603D">
              <w:rPr>
                <w:rFonts w:eastAsia="Arial"/>
                <w:noProof/>
              </w:rPr>
              <w:t xml:space="preserve">Choung </w:t>
            </w:r>
            <w:r w:rsidRPr="00C1603D">
              <w:rPr>
                <w:rFonts w:eastAsia="Arial"/>
                <w:i/>
                <w:iCs/>
                <w:noProof/>
              </w:rPr>
              <w:t>et al</w:t>
            </w:r>
            <w:r w:rsidRPr="00C1603D">
              <w:rPr>
                <w:rFonts w:eastAsia="Arial"/>
                <w:noProof/>
              </w:rPr>
              <w:t>.</w:t>
            </w:r>
            <w:r w:rsidRPr="00C1603D">
              <w:rPr>
                <w:rFonts w:eastAsia="Arial"/>
                <w:noProof/>
                <w:vertAlign w:val="superscript"/>
              </w:rPr>
              <w:t>360</w:t>
            </w:r>
          </w:p>
        </w:tc>
      </w:tr>
      <w:tr w:rsidR="00B15AC7" w:rsidRPr="00C1603D" w14:paraId="06222638" w14:textId="77777777" w:rsidTr="00943414">
        <w:trPr>
          <w:cantSplit/>
        </w:trPr>
        <w:tc>
          <w:tcPr>
            <w:tcW w:w="0" w:type="auto"/>
            <w:shd w:val="clear" w:color="auto" w:fill="FFFFFF"/>
            <w:tcMar>
              <w:top w:w="0" w:type="dxa"/>
              <w:left w:w="0" w:type="dxa"/>
              <w:bottom w:w="0" w:type="dxa"/>
              <w:right w:w="0" w:type="dxa"/>
            </w:tcMar>
          </w:tcPr>
          <w:p w14:paraId="6BD71B0F" w14:textId="77777777" w:rsidR="00B15AC7" w:rsidRPr="00C1603D" w:rsidRDefault="00B15AC7" w:rsidP="00B15AC7">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6360E0E" w14:textId="18DB31DA" w:rsidR="00B15AC7" w:rsidRPr="00C1603D" w:rsidRDefault="00B15AC7" w:rsidP="00B15AC7">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52C5EF73" w14:textId="5E0412AE" w:rsidR="00B15AC7" w:rsidRPr="00C1603D" w:rsidRDefault="00B15AC7" w:rsidP="00B15AC7">
            <w:pPr>
              <w:pStyle w:val="72TabletextTablesTableFigureBoxstyles"/>
            </w:pPr>
            <w:r w:rsidRPr="00C1603D">
              <w:rPr>
                <w:rFonts w:eastAsia="Arial"/>
              </w:rPr>
              <w:t>FDRs with CD</w:t>
            </w:r>
          </w:p>
        </w:tc>
        <w:tc>
          <w:tcPr>
            <w:tcW w:w="0" w:type="auto"/>
            <w:shd w:val="clear" w:color="auto" w:fill="FFFFFF"/>
            <w:tcMar>
              <w:top w:w="0" w:type="dxa"/>
              <w:left w:w="0" w:type="dxa"/>
              <w:bottom w:w="0" w:type="dxa"/>
              <w:right w:w="0" w:type="dxa"/>
            </w:tcMar>
          </w:tcPr>
          <w:p w14:paraId="0E7FE9BE" w14:textId="7BC06721" w:rsidR="00B15AC7" w:rsidRPr="00C1603D" w:rsidRDefault="00B15AC7" w:rsidP="00B15AC7">
            <w:pPr>
              <w:pStyle w:val="72TabletextTablesTableFigureBoxstyles"/>
            </w:pPr>
            <w:r w:rsidRPr="00C1603D">
              <w:rPr>
                <w:rFonts w:eastAsia="Arial"/>
              </w:rPr>
              <w:t>6059</w:t>
            </w:r>
          </w:p>
        </w:tc>
        <w:tc>
          <w:tcPr>
            <w:tcW w:w="0" w:type="auto"/>
            <w:shd w:val="clear" w:color="auto" w:fill="FFFFFF"/>
            <w:tcMar>
              <w:top w:w="0" w:type="dxa"/>
              <w:left w:w="0" w:type="dxa"/>
              <w:bottom w:w="0" w:type="dxa"/>
              <w:right w:w="0" w:type="dxa"/>
            </w:tcMar>
          </w:tcPr>
          <w:p w14:paraId="5C36E521" w14:textId="69D5E659" w:rsidR="00B15AC7" w:rsidRPr="00C1603D" w:rsidRDefault="00B15AC7" w:rsidP="00B15AC7">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1010B4A" w14:textId="77777777" w:rsidR="00B15AC7" w:rsidRPr="00C1603D" w:rsidRDefault="00B15AC7" w:rsidP="00B15AC7">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01AE9BA" w14:textId="77777777" w:rsidR="00B15AC7" w:rsidRPr="00C1603D" w:rsidRDefault="00B15AC7" w:rsidP="00B15AC7">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0385683B" w14:textId="77777777" w:rsidR="00B15AC7" w:rsidRPr="00C1603D" w:rsidRDefault="00B15AC7" w:rsidP="00B15AC7">
            <w:pPr>
              <w:pStyle w:val="72TabletextTablesTableFigureBoxstyles"/>
            </w:pPr>
            <w:r w:rsidRPr="00C1603D">
              <w:rPr>
                <w:rFonts w:eastAsia="Arial"/>
              </w:rPr>
              <w:t>Community/secondary</w:t>
            </w:r>
          </w:p>
        </w:tc>
        <w:tc>
          <w:tcPr>
            <w:tcW w:w="0" w:type="auto"/>
            <w:shd w:val="clear" w:color="auto" w:fill="FFFFFF"/>
            <w:tcMar>
              <w:top w:w="0" w:type="dxa"/>
              <w:left w:w="0" w:type="dxa"/>
              <w:bottom w:w="0" w:type="dxa"/>
              <w:right w:w="0" w:type="dxa"/>
            </w:tcMar>
          </w:tcPr>
          <w:p w14:paraId="2FFC42E0" w14:textId="44B48B8B" w:rsidR="00B15AC7" w:rsidRPr="00C1603D" w:rsidRDefault="00B15AC7" w:rsidP="00B15AC7">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7B9E61FD" w14:textId="7FBD01C2" w:rsidR="00B15AC7" w:rsidRPr="00C1603D" w:rsidRDefault="00B15AC7" w:rsidP="00B15AC7">
            <w:pPr>
              <w:pStyle w:val="72TabletextTablesTableFigureBoxstyles"/>
            </w:pPr>
            <w:r w:rsidRPr="00C1603D">
              <w:rPr>
                <w:rFonts w:eastAsia="Arial"/>
                <w:noProof/>
              </w:rPr>
              <w:t xml:space="preserve">Fasano </w:t>
            </w:r>
            <w:r w:rsidRPr="00C1603D">
              <w:rPr>
                <w:rFonts w:eastAsia="Arial"/>
                <w:i/>
                <w:iCs/>
                <w:noProof/>
              </w:rPr>
              <w:t>et al</w:t>
            </w:r>
            <w:r w:rsidRPr="00C1603D">
              <w:rPr>
                <w:rFonts w:eastAsia="Arial"/>
                <w:noProof/>
              </w:rPr>
              <w:t>.</w:t>
            </w:r>
            <w:r w:rsidRPr="00C1603D">
              <w:rPr>
                <w:rFonts w:eastAsia="Arial"/>
                <w:noProof/>
                <w:vertAlign w:val="superscript"/>
              </w:rPr>
              <w:t>361</w:t>
            </w:r>
          </w:p>
        </w:tc>
      </w:tr>
      <w:tr w:rsidR="00B15AC7" w:rsidRPr="00C1603D" w14:paraId="738C43F0" w14:textId="77777777" w:rsidTr="00943414">
        <w:trPr>
          <w:cantSplit/>
        </w:trPr>
        <w:tc>
          <w:tcPr>
            <w:tcW w:w="0" w:type="auto"/>
            <w:shd w:val="clear" w:color="auto" w:fill="FFFFFF"/>
            <w:tcMar>
              <w:top w:w="0" w:type="dxa"/>
              <w:left w:w="0" w:type="dxa"/>
              <w:bottom w:w="0" w:type="dxa"/>
              <w:right w:w="0" w:type="dxa"/>
            </w:tcMar>
          </w:tcPr>
          <w:p w14:paraId="6720D6D5"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1DE94D3"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03004EA1" w14:textId="77777777" w:rsidR="008B4DF8" w:rsidRPr="00C1603D" w:rsidRDefault="008B4DF8" w:rsidP="00943414">
            <w:pPr>
              <w:pStyle w:val="72TabletextTablesTableFigureBoxstyles"/>
            </w:pPr>
            <w:r w:rsidRPr="00C1603D">
              <w:rPr>
                <w:rFonts w:eastAsia="Arial"/>
              </w:rPr>
              <w:t>CD in family</w:t>
            </w:r>
          </w:p>
        </w:tc>
        <w:tc>
          <w:tcPr>
            <w:tcW w:w="0" w:type="auto"/>
            <w:shd w:val="clear" w:color="auto" w:fill="FFFFFF"/>
            <w:tcMar>
              <w:top w:w="0" w:type="dxa"/>
              <w:left w:w="0" w:type="dxa"/>
              <w:bottom w:w="0" w:type="dxa"/>
              <w:right w:w="0" w:type="dxa"/>
            </w:tcMar>
          </w:tcPr>
          <w:p w14:paraId="3DD52039" w14:textId="24696E7D" w:rsidR="008B4DF8" w:rsidRPr="00C1603D" w:rsidRDefault="008B4DF8" w:rsidP="00943414">
            <w:pPr>
              <w:pStyle w:val="72TabletextTablesTableFigureBoxstyles"/>
            </w:pPr>
            <w:r w:rsidRPr="00C1603D">
              <w:rPr>
                <w:rFonts w:eastAsia="Arial"/>
              </w:rPr>
              <w:t>3768</w:t>
            </w:r>
          </w:p>
        </w:tc>
        <w:tc>
          <w:tcPr>
            <w:tcW w:w="0" w:type="auto"/>
            <w:shd w:val="clear" w:color="auto" w:fill="FFFFFF"/>
            <w:tcMar>
              <w:top w:w="0" w:type="dxa"/>
              <w:left w:w="0" w:type="dxa"/>
              <w:bottom w:w="0" w:type="dxa"/>
              <w:right w:w="0" w:type="dxa"/>
            </w:tcMar>
          </w:tcPr>
          <w:p w14:paraId="34420B38" w14:textId="4DF2D70C"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4B52C06" w14:textId="77777777" w:rsidR="008B4DF8" w:rsidRPr="00C1603D" w:rsidRDefault="008B4DF8" w:rsidP="00943414">
            <w:pPr>
              <w:pStyle w:val="72TabletextTablesTableFigureBoxstyles"/>
            </w:pPr>
            <w:r w:rsidRPr="00C1603D">
              <w:rPr>
                <w:rFonts w:eastAsia="Arial"/>
              </w:rPr>
              <w:t>People without family history of CD</w:t>
            </w:r>
          </w:p>
        </w:tc>
        <w:tc>
          <w:tcPr>
            <w:tcW w:w="0" w:type="auto"/>
            <w:shd w:val="clear" w:color="auto" w:fill="FFFFFF"/>
            <w:tcMar>
              <w:top w:w="0" w:type="dxa"/>
              <w:left w:w="0" w:type="dxa"/>
              <w:bottom w:w="0" w:type="dxa"/>
              <w:right w:w="0" w:type="dxa"/>
            </w:tcMar>
          </w:tcPr>
          <w:p w14:paraId="1566C35D" w14:textId="7BC6D4EA"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26190D1"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3FD6716" w14:textId="77777777" w:rsidR="008B4DF8" w:rsidRPr="00C1603D" w:rsidRDefault="008B4DF8" w:rsidP="00943414">
            <w:pPr>
              <w:pStyle w:val="72TabletextTablesTableFigureBoxstyles"/>
            </w:pPr>
            <w:r w:rsidRPr="00C1603D">
              <w:rPr>
                <w:rFonts w:eastAsia="Arial"/>
              </w:rPr>
              <w:t>Cyprus</w:t>
            </w:r>
          </w:p>
        </w:tc>
        <w:tc>
          <w:tcPr>
            <w:tcW w:w="0" w:type="auto"/>
            <w:shd w:val="clear" w:color="auto" w:fill="FFFFFF"/>
            <w:tcMar>
              <w:top w:w="0" w:type="dxa"/>
              <w:left w:w="0" w:type="dxa"/>
              <w:bottom w:w="0" w:type="dxa"/>
              <w:right w:w="0" w:type="dxa"/>
            </w:tcMar>
          </w:tcPr>
          <w:p w14:paraId="7B688391" w14:textId="145F291C" w:rsidR="008B4DF8" w:rsidRPr="00C1603D" w:rsidRDefault="00B15AC7" w:rsidP="00943414">
            <w:pPr>
              <w:pStyle w:val="72TabletextTablesTableFigureBoxstyles"/>
            </w:pPr>
            <w:r w:rsidRPr="00C1603D">
              <w:rPr>
                <w:rFonts w:eastAsia="Arial"/>
                <w:noProof/>
              </w:rPr>
              <w:t xml:space="preserve">Beser </w:t>
            </w:r>
            <w:r w:rsidRPr="00C1603D">
              <w:rPr>
                <w:rFonts w:eastAsia="Arial"/>
                <w:i/>
                <w:iCs/>
                <w:noProof/>
              </w:rPr>
              <w:t>et al</w:t>
            </w:r>
            <w:r w:rsidRPr="00C1603D">
              <w:rPr>
                <w:rFonts w:eastAsia="Arial"/>
                <w:noProof/>
              </w:rPr>
              <w:t>.</w:t>
            </w:r>
            <w:r w:rsidR="008B4DF8" w:rsidRPr="00C1603D">
              <w:rPr>
                <w:rFonts w:eastAsia="Arial"/>
                <w:noProof/>
                <w:vertAlign w:val="superscript"/>
              </w:rPr>
              <w:t>362</w:t>
            </w:r>
          </w:p>
        </w:tc>
      </w:tr>
      <w:tr w:rsidR="00B15AC7" w:rsidRPr="00C1603D" w14:paraId="3E3DDC57" w14:textId="77777777" w:rsidTr="00943414">
        <w:trPr>
          <w:cantSplit/>
        </w:trPr>
        <w:tc>
          <w:tcPr>
            <w:tcW w:w="0" w:type="auto"/>
            <w:shd w:val="clear" w:color="auto" w:fill="FFFFFF"/>
            <w:tcMar>
              <w:top w:w="0" w:type="dxa"/>
              <w:left w:w="0" w:type="dxa"/>
              <w:bottom w:w="0" w:type="dxa"/>
              <w:right w:w="0" w:type="dxa"/>
            </w:tcMar>
          </w:tcPr>
          <w:p w14:paraId="67174E8A"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042CE3D2"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92CA10B" w14:textId="77777777" w:rsidR="008B4DF8" w:rsidRPr="00C1603D" w:rsidRDefault="008B4DF8" w:rsidP="00943414">
            <w:pPr>
              <w:pStyle w:val="72TabletextTablesTableFigureBoxstyles"/>
            </w:pPr>
            <w:r w:rsidRPr="00C1603D">
              <w:rPr>
                <w:rFonts w:eastAsia="Arial"/>
              </w:rPr>
              <w:t>CD in family</w:t>
            </w:r>
          </w:p>
        </w:tc>
        <w:tc>
          <w:tcPr>
            <w:tcW w:w="0" w:type="auto"/>
            <w:shd w:val="clear" w:color="auto" w:fill="FFFFFF"/>
            <w:tcMar>
              <w:top w:w="0" w:type="dxa"/>
              <w:left w:w="0" w:type="dxa"/>
              <w:bottom w:w="0" w:type="dxa"/>
              <w:right w:w="0" w:type="dxa"/>
            </w:tcMar>
          </w:tcPr>
          <w:p w14:paraId="502AEDD9" w14:textId="1DB784AC" w:rsidR="008B4DF8" w:rsidRPr="00C1603D" w:rsidRDefault="008B4DF8" w:rsidP="00943414">
            <w:pPr>
              <w:pStyle w:val="72TabletextTablesTableFigureBoxstyles"/>
            </w:pPr>
            <w:r w:rsidRPr="00C1603D">
              <w:rPr>
                <w:rFonts w:eastAsia="Arial"/>
              </w:rPr>
              <w:t>4308</w:t>
            </w:r>
          </w:p>
        </w:tc>
        <w:tc>
          <w:tcPr>
            <w:tcW w:w="0" w:type="auto"/>
            <w:shd w:val="clear" w:color="auto" w:fill="FFFFFF"/>
            <w:tcMar>
              <w:top w:w="0" w:type="dxa"/>
              <w:left w:w="0" w:type="dxa"/>
              <w:bottom w:w="0" w:type="dxa"/>
              <w:right w:w="0" w:type="dxa"/>
            </w:tcMar>
          </w:tcPr>
          <w:p w14:paraId="19F38948" w14:textId="7830C4B8"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2EE654C4" w14:textId="77777777" w:rsidR="008B4DF8" w:rsidRPr="00C1603D" w:rsidRDefault="008B4DF8" w:rsidP="00943414">
            <w:pPr>
              <w:pStyle w:val="72TabletextTablesTableFigureBoxstyles"/>
            </w:pPr>
            <w:r w:rsidRPr="00C1603D">
              <w:rPr>
                <w:rFonts w:eastAsia="Arial"/>
              </w:rPr>
              <w:t>Children without CD in family</w:t>
            </w:r>
          </w:p>
        </w:tc>
        <w:tc>
          <w:tcPr>
            <w:tcW w:w="0" w:type="auto"/>
            <w:shd w:val="clear" w:color="auto" w:fill="FFFFFF"/>
            <w:tcMar>
              <w:top w:w="0" w:type="dxa"/>
              <w:left w:w="0" w:type="dxa"/>
              <w:bottom w:w="0" w:type="dxa"/>
              <w:right w:w="0" w:type="dxa"/>
            </w:tcMar>
          </w:tcPr>
          <w:p w14:paraId="554EB33A"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473E919C"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4664E9D5" w14:textId="77777777" w:rsidR="008B4DF8" w:rsidRPr="00C1603D" w:rsidRDefault="008B4DF8" w:rsidP="00943414">
            <w:pPr>
              <w:pStyle w:val="72TabletextTablesTableFigureBoxstyles"/>
            </w:pPr>
            <w:r w:rsidRPr="00C1603D">
              <w:rPr>
                <w:rFonts w:eastAsia="Arial"/>
              </w:rPr>
              <w:t>Netherlands</w:t>
            </w:r>
          </w:p>
        </w:tc>
        <w:tc>
          <w:tcPr>
            <w:tcW w:w="0" w:type="auto"/>
            <w:shd w:val="clear" w:color="auto" w:fill="FFFFFF"/>
            <w:tcMar>
              <w:top w:w="0" w:type="dxa"/>
              <w:left w:w="0" w:type="dxa"/>
              <w:bottom w:w="0" w:type="dxa"/>
              <w:right w:w="0" w:type="dxa"/>
            </w:tcMar>
          </w:tcPr>
          <w:p w14:paraId="286B7A41" w14:textId="3B66E8B4" w:rsidR="008B4DF8" w:rsidRPr="00C1603D" w:rsidRDefault="00B15AC7" w:rsidP="00943414">
            <w:pPr>
              <w:pStyle w:val="72TabletextTablesTableFigureBoxstyles"/>
            </w:pPr>
            <w:r w:rsidRPr="00C1603D">
              <w:rPr>
                <w:rFonts w:eastAsia="Arial"/>
                <w:noProof/>
              </w:rPr>
              <w:t xml:space="preserve">Jansen </w:t>
            </w:r>
            <w:r w:rsidRPr="00C1603D">
              <w:rPr>
                <w:rFonts w:eastAsia="Arial"/>
                <w:i/>
                <w:iCs/>
                <w:noProof/>
              </w:rPr>
              <w:t>et al</w:t>
            </w:r>
            <w:r w:rsidRPr="00C1603D">
              <w:rPr>
                <w:rFonts w:eastAsia="Arial"/>
                <w:noProof/>
              </w:rPr>
              <w:t>.</w:t>
            </w:r>
            <w:r w:rsidR="008B4DF8" w:rsidRPr="00C1603D">
              <w:rPr>
                <w:rFonts w:eastAsia="Arial"/>
                <w:noProof/>
                <w:vertAlign w:val="superscript"/>
              </w:rPr>
              <w:t>185</w:t>
            </w:r>
          </w:p>
        </w:tc>
      </w:tr>
      <w:tr w:rsidR="00B15AC7" w:rsidRPr="00C1603D" w14:paraId="126B4385" w14:textId="77777777" w:rsidTr="00943414">
        <w:trPr>
          <w:cantSplit/>
        </w:trPr>
        <w:tc>
          <w:tcPr>
            <w:tcW w:w="0" w:type="auto"/>
            <w:shd w:val="clear" w:color="auto" w:fill="FFFFFF"/>
            <w:tcMar>
              <w:top w:w="0" w:type="dxa"/>
              <w:left w:w="0" w:type="dxa"/>
              <w:bottom w:w="0" w:type="dxa"/>
              <w:right w:w="0" w:type="dxa"/>
            </w:tcMar>
          </w:tcPr>
          <w:p w14:paraId="663ACF71" w14:textId="77777777" w:rsidR="00B15AC7" w:rsidRPr="00C1603D" w:rsidRDefault="00B15AC7" w:rsidP="00B15AC7">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9351A15" w14:textId="20968C39" w:rsidR="00B15AC7" w:rsidRPr="00C1603D" w:rsidRDefault="00B15AC7" w:rsidP="00B15AC7">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05369763" w14:textId="2F40C12F" w:rsidR="00B15AC7" w:rsidRPr="00C1603D" w:rsidRDefault="00B15AC7" w:rsidP="00B15AC7">
            <w:pPr>
              <w:pStyle w:val="72TabletextTablesTableFigureBoxstyles"/>
            </w:pPr>
            <w:r w:rsidRPr="00C1603D">
              <w:rPr>
                <w:rFonts w:eastAsia="Arial"/>
              </w:rPr>
              <w:t>FDRs with CD</w:t>
            </w:r>
          </w:p>
        </w:tc>
        <w:tc>
          <w:tcPr>
            <w:tcW w:w="0" w:type="auto"/>
            <w:shd w:val="clear" w:color="auto" w:fill="FFFFFF"/>
            <w:tcMar>
              <w:top w:w="0" w:type="dxa"/>
              <w:left w:w="0" w:type="dxa"/>
              <w:bottom w:w="0" w:type="dxa"/>
              <w:right w:w="0" w:type="dxa"/>
            </w:tcMar>
          </w:tcPr>
          <w:p w14:paraId="1A5A58E7" w14:textId="3223AD2E" w:rsidR="00B15AC7" w:rsidRPr="00C1603D" w:rsidRDefault="00B15AC7" w:rsidP="00B15AC7">
            <w:pPr>
              <w:pStyle w:val="72TabletextTablesTableFigureBoxstyles"/>
            </w:pPr>
            <w:r w:rsidRPr="00C1603D">
              <w:rPr>
                <w:rFonts w:eastAsia="Arial"/>
              </w:rPr>
              <w:t>2575</w:t>
            </w:r>
          </w:p>
        </w:tc>
        <w:tc>
          <w:tcPr>
            <w:tcW w:w="0" w:type="auto"/>
            <w:shd w:val="clear" w:color="auto" w:fill="FFFFFF"/>
            <w:tcMar>
              <w:top w:w="0" w:type="dxa"/>
              <w:left w:w="0" w:type="dxa"/>
              <w:bottom w:w="0" w:type="dxa"/>
              <w:right w:w="0" w:type="dxa"/>
            </w:tcMar>
          </w:tcPr>
          <w:p w14:paraId="171168A4" w14:textId="01F7AD20" w:rsidR="00B15AC7" w:rsidRPr="00C1603D" w:rsidRDefault="00B15AC7" w:rsidP="00B15AC7">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1E82370" w14:textId="77777777" w:rsidR="00B15AC7" w:rsidRPr="00C1603D" w:rsidRDefault="00B15AC7" w:rsidP="00B15AC7">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1A43A96" w14:textId="77777777" w:rsidR="00B15AC7" w:rsidRPr="00C1603D" w:rsidRDefault="00B15AC7" w:rsidP="00B15AC7">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64683720" w14:textId="77777777" w:rsidR="00B15AC7" w:rsidRPr="00C1603D" w:rsidRDefault="00B15AC7" w:rsidP="00B15AC7">
            <w:pPr>
              <w:pStyle w:val="72TabletextTablesTableFigureBoxstyles"/>
            </w:pPr>
            <w:r w:rsidRPr="00C1603D">
              <w:rPr>
                <w:rFonts w:eastAsia="Arial"/>
              </w:rPr>
              <w:t>Community/secondary</w:t>
            </w:r>
          </w:p>
        </w:tc>
        <w:tc>
          <w:tcPr>
            <w:tcW w:w="0" w:type="auto"/>
            <w:shd w:val="clear" w:color="auto" w:fill="FFFFFF"/>
            <w:tcMar>
              <w:top w:w="0" w:type="dxa"/>
              <w:left w:w="0" w:type="dxa"/>
              <w:bottom w:w="0" w:type="dxa"/>
              <w:right w:w="0" w:type="dxa"/>
            </w:tcMar>
          </w:tcPr>
          <w:p w14:paraId="0D17AE08" w14:textId="3DA381BA" w:rsidR="00B15AC7" w:rsidRPr="00C1603D" w:rsidRDefault="00B15AC7" w:rsidP="00B15AC7">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607C0F7E" w14:textId="0F887800" w:rsidR="00B15AC7" w:rsidRPr="00C1603D" w:rsidRDefault="00B15AC7" w:rsidP="00B15AC7">
            <w:pPr>
              <w:pStyle w:val="72TabletextTablesTableFigureBoxstyles"/>
            </w:pPr>
            <w:r w:rsidRPr="00C1603D">
              <w:rPr>
                <w:rFonts w:eastAsia="Arial"/>
                <w:noProof/>
              </w:rPr>
              <w:t xml:space="preserve">Fasano </w:t>
            </w:r>
            <w:r w:rsidRPr="00C1603D">
              <w:rPr>
                <w:rFonts w:eastAsia="Arial"/>
                <w:i/>
                <w:iCs/>
                <w:noProof/>
              </w:rPr>
              <w:t>et al</w:t>
            </w:r>
            <w:r w:rsidRPr="00C1603D">
              <w:rPr>
                <w:rFonts w:eastAsia="Arial"/>
                <w:noProof/>
              </w:rPr>
              <w:t>.</w:t>
            </w:r>
            <w:r w:rsidRPr="00C1603D">
              <w:rPr>
                <w:rFonts w:eastAsia="Arial"/>
                <w:noProof/>
                <w:vertAlign w:val="superscript"/>
              </w:rPr>
              <w:t>361</w:t>
            </w:r>
          </w:p>
        </w:tc>
      </w:tr>
      <w:tr w:rsidR="00B15AC7" w:rsidRPr="00C1603D" w14:paraId="6237737B" w14:textId="77777777" w:rsidTr="00943414">
        <w:trPr>
          <w:cantSplit/>
        </w:trPr>
        <w:tc>
          <w:tcPr>
            <w:tcW w:w="0" w:type="auto"/>
            <w:shd w:val="clear" w:color="auto" w:fill="FFFFFF"/>
            <w:tcMar>
              <w:top w:w="0" w:type="dxa"/>
              <w:left w:w="0" w:type="dxa"/>
              <w:bottom w:w="0" w:type="dxa"/>
              <w:right w:w="0" w:type="dxa"/>
            </w:tcMar>
          </w:tcPr>
          <w:p w14:paraId="380A0AA0" w14:textId="77777777" w:rsidR="00B15AC7" w:rsidRPr="00C1603D" w:rsidRDefault="00B15AC7" w:rsidP="00B15AC7">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744676A3" w14:textId="77777777" w:rsidR="00B15AC7" w:rsidRPr="00C1603D" w:rsidRDefault="00B15AC7" w:rsidP="00B15AC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4E42353D" w14:textId="4A3D7AB5" w:rsidR="00B15AC7" w:rsidRPr="00C1603D" w:rsidRDefault="00B15AC7" w:rsidP="00B15AC7">
            <w:pPr>
              <w:pStyle w:val="72TabletextTablesTableFigureBoxstyles"/>
              <w:rPr>
                <w:rFonts w:eastAsia="Arial"/>
              </w:rPr>
            </w:pPr>
            <w:r w:rsidRPr="00C1603D">
              <w:rPr>
                <w:rFonts w:eastAsia="Arial"/>
              </w:rPr>
              <w:t>FDRs with CD</w:t>
            </w:r>
          </w:p>
        </w:tc>
        <w:tc>
          <w:tcPr>
            <w:tcW w:w="0" w:type="auto"/>
            <w:shd w:val="clear" w:color="auto" w:fill="FFFFFF"/>
            <w:tcMar>
              <w:top w:w="0" w:type="dxa"/>
              <w:left w:w="0" w:type="dxa"/>
              <w:bottom w:w="0" w:type="dxa"/>
              <w:right w:w="0" w:type="dxa"/>
            </w:tcMar>
          </w:tcPr>
          <w:p w14:paraId="5D013FE6" w14:textId="1D53C7C6" w:rsidR="00B15AC7" w:rsidRPr="00C1603D" w:rsidRDefault="00B15AC7" w:rsidP="00B15AC7">
            <w:pPr>
              <w:pStyle w:val="72TabletextTablesTableFigureBoxstyles"/>
              <w:rPr>
                <w:rFonts w:eastAsia="Arial"/>
              </w:rPr>
            </w:pPr>
            <w:r w:rsidRPr="00C1603D">
              <w:rPr>
                <w:rFonts w:eastAsia="Arial"/>
              </w:rPr>
              <w:t>9973</w:t>
            </w:r>
          </w:p>
        </w:tc>
        <w:tc>
          <w:tcPr>
            <w:tcW w:w="0" w:type="auto"/>
            <w:shd w:val="clear" w:color="auto" w:fill="FFFFFF"/>
            <w:tcMar>
              <w:top w:w="0" w:type="dxa"/>
              <w:left w:w="0" w:type="dxa"/>
              <w:bottom w:w="0" w:type="dxa"/>
              <w:right w:w="0" w:type="dxa"/>
            </w:tcMar>
          </w:tcPr>
          <w:p w14:paraId="13FD331F" w14:textId="15B955DB" w:rsidR="00B15AC7" w:rsidRPr="00C1603D" w:rsidRDefault="00B15AC7" w:rsidP="00B15AC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39EFA8F" w14:textId="77777777" w:rsidR="00B15AC7" w:rsidRPr="00C1603D" w:rsidRDefault="00B15AC7" w:rsidP="00B15AC7">
            <w:pPr>
              <w:pStyle w:val="72TabletextTablesTableFigureBoxstyles"/>
              <w:rPr>
                <w:rFonts w:eastAsia="Arial"/>
              </w:rPr>
            </w:pPr>
            <w:r w:rsidRPr="00C1603D">
              <w:rPr>
                <w:rFonts w:eastAsia="Arial"/>
              </w:rPr>
              <w:t>Children without a FDR with CD</w:t>
            </w:r>
          </w:p>
        </w:tc>
        <w:tc>
          <w:tcPr>
            <w:tcW w:w="0" w:type="auto"/>
            <w:shd w:val="clear" w:color="auto" w:fill="FFFFFF"/>
            <w:tcMar>
              <w:top w:w="0" w:type="dxa"/>
              <w:left w:w="0" w:type="dxa"/>
              <w:bottom w:w="0" w:type="dxa"/>
              <w:right w:w="0" w:type="dxa"/>
            </w:tcMar>
          </w:tcPr>
          <w:p w14:paraId="34FF3909" w14:textId="77777777" w:rsidR="00B15AC7" w:rsidRPr="00C1603D" w:rsidRDefault="00B15AC7" w:rsidP="00B15AC7">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3E3BD620" w14:textId="77777777" w:rsidR="00B15AC7" w:rsidRPr="00C1603D" w:rsidRDefault="00B15AC7" w:rsidP="00B15AC7">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18926AE2" w14:textId="5EBAC1A3" w:rsidR="00B15AC7" w:rsidRPr="00C1603D" w:rsidRDefault="00B15AC7" w:rsidP="00B15AC7">
            <w:pPr>
              <w:pStyle w:val="72TabletextTablesTableFigureBoxstyles"/>
              <w:rPr>
                <w:rFonts w:eastAsia="Arial"/>
              </w:rPr>
            </w:pPr>
            <w:r w:rsidRPr="00C1603D">
              <w:rPr>
                <w:rFonts w:eastAsia="Arial"/>
              </w:rPr>
              <w:t>USA</w:t>
            </w:r>
          </w:p>
        </w:tc>
        <w:tc>
          <w:tcPr>
            <w:tcW w:w="0" w:type="auto"/>
            <w:shd w:val="clear" w:color="auto" w:fill="FFFFFF"/>
            <w:tcMar>
              <w:top w:w="0" w:type="dxa"/>
              <w:left w:w="0" w:type="dxa"/>
              <w:bottom w:w="0" w:type="dxa"/>
              <w:right w:w="0" w:type="dxa"/>
            </w:tcMar>
          </w:tcPr>
          <w:p w14:paraId="441B3119" w14:textId="1713C92F" w:rsidR="00B15AC7" w:rsidRPr="00C1603D" w:rsidRDefault="00B15AC7" w:rsidP="00B15AC7">
            <w:pPr>
              <w:pStyle w:val="72TabletextTablesTableFigureBoxstyles"/>
              <w:rPr>
                <w:rFonts w:eastAsia="Arial"/>
              </w:rPr>
            </w:pPr>
            <w:r w:rsidRPr="00C1603D">
              <w:rPr>
                <w:rFonts w:eastAsia="Arial"/>
                <w:noProof/>
              </w:rPr>
              <w:t xml:space="preserve">Stahl </w:t>
            </w:r>
            <w:r w:rsidRPr="00C1603D">
              <w:rPr>
                <w:rFonts w:eastAsia="Arial"/>
                <w:i/>
                <w:iCs/>
                <w:noProof/>
              </w:rPr>
              <w:t>et al</w:t>
            </w:r>
            <w:r w:rsidRPr="00C1603D">
              <w:rPr>
                <w:rFonts w:eastAsia="Arial"/>
                <w:noProof/>
              </w:rPr>
              <w:t>.</w:t>
            </w:r>
            <w:r w:rsidRPr="00C1603D">
              <w:rPr>
                <w:rFonts w:eastAsia="Arial"/>
                <w:noProof/>
                <w:vertAlign w:val="superscript"/>
              </w:rPr>
              <w:t>305</w:t>
            </w:r>
          </w:p>
        </w:tc>
      </w:tr>
      <w:tr w:rsidR="00B15AC7" w:rsidRPr="00C1603D" w14:paraId="2C927DF7" w14:textId="77777777" w:rsidTr="00943414">
        <w:trPr>
          <w:cantSplit/>
        </w:trPr>
        <w:tc>
          <w:tcPr>
            <w:tcW w:w="0" w:type="auto"/>
            <w:shd w:val="clear" w:color="auto" w:fill="FFFFFF"/>
            <w:tcMar>
              <w:top w:w="0" w:type="dxa"/>
              <w:left w:w="0" w:type="dxa"/>
              <w:bottom w:w="0" w:type="dxa"/>
              <w:right w:w="0" w:type="dxa"/>
            </w:tcMar>
          </w:tcPr>
          <w:p w14:paraId="04562901" w14:textId="77777777" w:rsidR="00B15AC7" w:rsidRPr="00C1603D" w:rsidRDefault="00B15AC7" w:rsidP="00B15AC7">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786FAD61" w14:textId="65C15D6D" w:rsidR="00B15AC7" w:rsidRPr="00C1603D" w:rsidRDefault="00B15AC7" w:rsidP="00B15AC7">
            <w:pPr>
              <w:pStyle w:val="72TabletextTablesTableFigureBoxstyles"/>
            </w:pPr>
            <w:r w:rsidRPr="00C1603D">
              <w:rPr>
                <w:rFonts w:eastAsia="Arial"/>
              </w:rPr>
              <w:t>Case–control (DI and CD)</w:t>
            </w:r>
          </w:p>
        </w:tc>
        <w:tc>
          <w:tcPr>
            <w:tcW w:w="0" w:type="auto"/>
            <w:shd w:val="clear" w:color="auto" w:fill="FFFFFF"/>
            <w:tcMar>
              <w:top w:w="0" w:type="dxa"/>
              <w:left w:w="0" w:type="dxa"/>
              <w:bottom w:w="0" w:type="dxa"/>
              <w:right w:w="0" w:type="dxa"/>
            </w:tcMar>
          </w:tcPr>
          <w:p w14:paraId="6F5B4DE8" w14:textId="1D7C9ACB" w:rsidR="00B15AC7" w:rsidRPr="00C1603D" w:rsidRDefault="00B15AC7" w:rsidP="00B15AC7">
            <w:pPr>
              <w:pStyle w:val="72TabletextTablesTableFigureBoxstyles"/>
            </w:pPr>
            <w:r w:rsidRPr="00C1603D">
              <w:rPr>
                <w:rFonts w:eastAsia="Arial"/>
              </w:rPr>
              <w:t>FDRs with CD</w:t>
            </w:r>
          </w:p>
        </w:tc>
        <w:tc>
          <w:tcPr>
            <w:tcW w:w="0" w:type="auto"/>
            <w:shd w:val="clear" w:color="auto" w:fill="FFFFFF"/>
            <w:tcMar>
              <w:top w:w="0" w:type="dxa"/>
              <w:left w:w="0" w:type="dxa"/>
              <w:bottom w:w="0" w:type="dxa"/>
              <w:right w:w="0" w:type="dxa"/>
            </w:tcMar>
          </w:tcPr>
          <w:p w14:paraId="1CC8BE3C" w14:textId="77777777" w:rsidR="00B15AC7" w:rsidRPr="00C1603D" w:rsidRDefault="00B15AC7" w:rsidP="00B15AC7">
            <w:pPr>
              <w:pStyle w:val="72TabletextTablesTableFigureBoxstyles"/>
            </w:pPr>
            <w:r w:rsidRPr="00C1603D">
              <w:rPr>
                <w:rFonts w:eastAsia="Arial"/>
              </w:rPr>
              <w:t>114</w:t>
            </w:r>
          </w:p>
        </w:tc>
        <w:tc>
          <w:tcPr>
            <w:tcW w:w="0" w:type="auto"/>
            <w:shd w:val="clear" w:color="auto" w:fill="FFFFFF"/>
            <w:tcMar>
              <w:top w:w="0" w:type="dxa"/>
              <w:left w:w="0" w:type="dxa"/>
              <w:bottom w:w="0" w:type="dxa"/>
              <w:right w:w="0" w:type="dxa"/>
            </w:tcMar>
          </w:tcPr>
          <w:p w14:paraId="5C36CE80" w14:textId="77777777" w:rsidR="00B15AC7" w:rsidRPr="00C1603D" w:rsidRDefault="00B15AC7" w:rsidP="00B15AC7">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3D9CE203" w14:textId="77777777" w:rsidR="00B15AC7" w:rsidRPr="00C1603D" w:rsidRDefault="00B15AC7" w:rsidP="00B15AC7">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6975AF1" w14:textId="77777777" w:rsidR="00B15AC7" w:rsidRPr="00C1603D" w:rsidRDefault="00B15AC7" w:rsidP="00B15AC7">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37889ED3" w14:textId="77777777" w:rsidR="00B15AC7" w:rsidRPr="00C1603D" w:rsidRDefault="00B15AC7" w:rsidP="00B15AC7">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0F41E53D" w14:textId="77777777" w:rsidR="00B15AC7" w:rsidRPr="00C1603D" w:rsidRDefault="00B15AC7" w:rsidP="00B15AC7">
            <w:pPr>
              <w:pStyle w:val="72TabletextTablesTableFigureBoxstyles"/>
            </w:pPr>
            <w:r w:rsidRPr="00C1603D">
              <w:rPr>
                <w:rFonts w:eastAsia="Arial"/>
              </w:rPr>
              <w:t>Cuba</w:t>
            </w:r>
          </w:p>
        </w:tc>
        <w:tc>
          <w:tcPr>
            <w:tcW w:w="0" w:type="auto"/>
            <w:shd w:val="clear" w:color="auto" w:fill="FFFFFF"/>
            <w:tcMar>
              <w:top w:w="0" w:type="dxa"/>
              <w:left w:w="0" w:type="dxa"/>
              <w:bottom w:w="0" w:type="dxa"/>
              <w:right w:w="0" w:type="dxa"/>
            </w:tcMar>
          </w:tcPr>
          <w:p w14:paraId="6E040DCE" w14:textId="6A83F965" w:rsidR="00B15AC7" w:rsidRPr="00C1603D" w:rsidRDefault="00B15AC7" w:rsidP="00B15AC7">
            <w:pPr>
              <w:pStyle w:val="72TabletextTablesTableFigureBoxstyles"/>
            </w:pPr>
            <w:r w:rsidRPr="00C1603D">
              <w:rPr>
                <w:rFonts w:eastAsia="Arial"/>
                <w:noProof/>
              </w:rPr>
              <w:t xml:space="preserve">Cintando </w:t>
            </w:r>
            <w:r w:rsidRPr="00C1603D">
              <w:rPr>
                <w:rFonts w:eastAsia="Arial"/>
                <w:i/>
                <w:iCs/>
                <w:noProof/>
              </w:rPr>
              <w:t>et al</w:t>
            </w:r>
            <w:r w:rsidRPr="00C1603D">
              <w:rPr>
                <w:rFonts w:eastAsia="Arial"/>
                <w:noProof/>
              </w:rPr>
              <w:t>.</w:t>
            </w:r>
            <w:r w:rsidRPr="00C1603D">
              <w:rPr>
                <w:rFonts w:eastAsia="Arial"/>
                <w:noProof/>
                <w:vertAlign w:val="superscript"/>
              </w:rPr>
              <w:t>363</w:t>
            </w:r>
          </w:p>
        </w:tc>
      </w:tr>
      <w:tr w:rsidR="00B15AC7" w:rsidRPr="00C1603D" w14:paraId="0DCEFC4D" w14:textId="77777777" w:rsidTr="00943414">
        <w:trPr>
          <w:cantSplit/>
        </w:trPr>
        <w:tc>
          <w:tcPr>
            <w:tcW w:w="0" w:type="auto"/>
            <w:shd w:val="clear" w:color="auto" w:fill="FFFFFF"/>
            <w:tcMar>
              <w:top w:w="0" w:type="dxa"/>
              <w:left w:w="0" w:type="dxa"/>
              <w:bottom w:w="0" w:type="dxa"/>
              <w:right w:w="0" w:type="dxa"/>
            </w:tcMar>
          </w:tcPr>
          <w:p w14:paraId="0AF73663" w14:textId="77777777" w:rsidR="00B15AC7" w:rsidRPr="00C1603D" w:rsidRDefault="00B15AC7" w:rsidP="00B15AC7">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48EE3CA5" w14:textId="3BA1782E" w:rsidR="00B15AC7" w:rsidRPr="00C1603D" w:rsidRDefault="00B15AC7" w:rsidP="00B15AC7">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7699671F" w14:textId="6F94F330" w:rsidR="00B15AC7" w:rsidRPr="00C1603D" w:rsidRDefault="00B15AC7" w:rsidP="00B15AC7">
            <w:pPr>
              <w:pStyle w:val="72TabletextTablesTableFigureBoxstyles"/>
            </w:pPr>
            <w:r w:rsidRPr="00C1603D">
              <w:rPr>
                <w:rFonts w:eastAsia="Arial"/>
              </w:rPr>
              <w:t>FDRs with CD</w:t>
            </w:r>
          </w:p>
        </w:tc>
        <w:tc>
          <w:tcPr>
            <w:tcW w:w="0" w:type="auto"/>
            <w:shd w:val="clear" w:color="auto" w:fill="FFFFFF"/>
            <w:tcMar>
              <w:top w:w="0" w:type="dxa"/>
              <w:left w:w="0" w:type="dxa"/>
              <w:bottom w:w="0" w:type="dxa"/>
              <w:right w:w="0" w:type="dxa"/>
            </w:tcMar>
          </w:tcPr>
          <w:p w14:paraId="761600A7" w14:textId="77777777" w:rsidR="00B15AC7" w:rsidRPr="00C1603D" w:rsidRDefault="00B15AC7" w:rsidP="00B15AC7">
            <w:pPr>
              <w:pStyle w:val="72TabletextTablesTableFigureBoxstyles"/>
            </w:pPr>
            <w:r w:rsidRPr="00C1603D">
              <w:rPr>
                <w:rFonts w:eastAsia="Arial"/>
              </w:rPr>
              <w:t>241</w:t>
            </w:r>
          </w:p>
        </w:tc>
        <w:tc>
          <w:tcPr>
            <w:tcW w:w="0" w:type="auto"/>
            <w:shd w:val="clear" w:color="auto" w:fill="FFFFFF"/>
            <w:tcMar>
              <w:top w:w="0" w:type="dxa"/>
              <w:left w:w="0" w:type="dxa"/>
              <w:bottom w:w="0" w:type="dxa"/>
              <w:right w:w="0" w:type="dxa"/>
            </w:tcMar>
          </w:tcPr>
          <w:p w14:paraId="4523F231" w14:textId="021F7301" w:rsidR="00B15AC7" w:rsidRPr="00C1603D" w:rsidRDefault="00B15AC7" w:rsidP="00B15AC7">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0F0F0E75" w14:textId="77777777" w:rsidR="00B15AC7" w:rsidRPr="00C1603D" w:rsidRDefault="00B15AC7" w:rsidP="00B15AC7">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FAA4B03" w14:textId="77777777" w:rsidR="00B15AC7" w:rsidRPr="00C1603D" w:rsidRDefault="00B15AC7" w:rsidP="00B15AC7">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530C87E2" w14:textId="77777777" w:rsidR="00B15AC7" w:rsidRPr="00C1603D" w:rsidRDefault="00B15AC7" w:rsidP="00B15AC7">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2C5C21E" w14:textId="77777777" w:rsidR="00B15AC7" w:rsidRPr="00C1603D" w:rsidRDefault="00B15AC7" w:rsidP="00B15AC7">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17B4CAA6" w14:textId="26CF2AA9" w:rsidR="00B15AC7" w:rsidRPr="00C1603D" w:rsidRDefault="00B15AC7" w:rsidP="00B15AC7">
            <w:pPr>
              <w:pStyle w:val="72TabletextTablesTableFigureBoxstyles"/>
            </w:pPr>
            <w:r w:rsidRPr="00C1603D">
              <w:rPr>
                <w:rFonts w:eastAsia="Arial"/>
                <w:noProof/>
              </w:rPr>
              <w:t xml:space="preserve">Kotze </w:t>
            </w:r>
            <w:r w:rsidRPr="00C1603D">
              <w:rPr>
                <w:rFonts w:eastAsia="Arial"/>
                <w:i/>
                <w:iCs/>
                <w:noProof/>
              </w:rPr>
              <w:t>et al</w:t>
            </w:r>
            <w:r w:rsidRPr="00C1603D">
              <w:rPr>
                <w:rFonts w:eastAsia="Arial"/>
                <w:noProof/>
              </w:rPr>
              <w:t>.</w:t>
            </w:r>
            <w:r w:rsidRPr="00C1603D">
              <w:rPr>
                <w:rFonts w:eastAsia="Arial"/>
                <w:noProof/>
                <w:vertAlign w:val="superscript"/>
              </w:rPr>
              <w:t>364</w:t>
            </w:r>
          </w:p>
        </w:tc>
      </w:tr>
      <w:tr w:rsidR="00B15AC7" w:rsidRPr="00C1603D" w14:paraId="0FA213DD" w14:textId="77777777" w:rsidTr="00943414">
        <w:trPr>
          <w:cantSplit/>
        </w:trPr>
        <w:tc>
          <w:tcPr>
            <w:tcW w:w="0" w:type="auto"/>
            <w:shd w:val="clear" w:color="auto" w:fill="FFFFFF"/>
            <w:tcMar>
              <w:top w:w="0" w:type="dxa"/>
              <w:left w:w="0" w:type="dxa"/>
              <w:bottom w:w="0" w:type="dxa"/>
              <w:right w:w="0" w:type="dxa"/>
            </w:tcMar>
          </w:tcPr>
          <w:p w14:paraId="58B1E013"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3AEE2B65" w14:textId="6B6618FC"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E038A25" w14:textId="3693C785" w:rsidR="008B4DF8" w:rsidRPr="00C1603D" w:rsidRDefault="008B4DF8" w:rsidP="00943414">
            <w:pPr>
              <w:pStyle w:val="72TabletextTablesTableFigureBoxstyles"/>
            </w:pPr>
            <w:r w:rsidRPr="00C1603D">
              <w:rPr>
                <w:rFonts w:eastAsia="Arial"/>
              </w:rPr>
              <w:t xml:space="preserve">FDRs </w:t>
            </w:r>
            <w:r w:rsidR="00B15AC7" w:rsidRPr="00C1603D">
              <w:rPr>
                <w:rFonts w:eastAsia="Arial"/>
              </w:rPr>
              <w:t>and</w:t>
            </w:r>
            <w:r w:rsidRPr="00C1603D">
              <w:rPr>
                <w:rFonts w:eastAsia="Arial"/>
              </w:rPr>
              <w:t xml:space="preserve"> SDRs</w:t>
            </w:r>
            <w:r w:rsidR="00B15AC7" w:rsidRPr="00C1603D">
              <w:rPr>
                <w:rFonts w:eastAsia="Arial"/>
              </w:rPr>
              <w:t xml:space="preserve"> with CD</w:t>
            </w:r>
          </w:p>
        </w:tc>
        <w:tc>
          <w:tcPr>
            <w:tcW w:w="0" w:type="auto"/>
            <w:shd w:val="clear" w:color="auto" w:fill="FFFFFF"/>
            <w:tcMar>
              <w:top w:w="0" w:type="dxa"/>
              <w:left w:w="0" w:type="dxa"/>
              <w:bottom w:w="0" w:type="dxa"/>
              <w:right w:w="0" w:type="dxa"/>
            </w:tcMar>
          </w:tcPr>
          <w:p w14:paraId="48D7A015" w14:textId="77777777" w:rsidR="008B4DF8" w:rsidRPr="00C1603D" w:rsidRDefault="008B4DF8" w:rsidP="00943414">
            <w:pPr>
              <w:pStyle w:val="72TabletextTablesTableFigureBoxstyles"/>
            </w:pPr>
            <w:r w:rsidRPr="00C1603D">
              <w:rPr>
                <w:rFonts w:eastAsia="Arial"/>
              </w:rPr>
              <w:t>333</w:t>
            </w:r>
          </w:p>
        </w:tc>
        <w:tc>
          <w:tcPr>
            <w:tcW w:w="0" w:type="auto"/>
            <w:shd w:val="clear" w:color="auto" w:fill="FFFFFF"/>
            <w:tcMar>
              <w:top w:w="0" w:type="dxa"/>
              <w:left w:w="0" w:type="dxa"/>
              <w:bottom w:w="0" w:type="dxa"/>
              <w:right w:w="0" w:type="dxa"/>
            </w:tcMar>
          </w:tcPr>
          <w:p w14:paraId="13251C06" w14:textId="0B8B9993"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1B0D63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816D31F" w14:textId="500F29F5"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2EAE2F9E"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6B6594B1" w14:textId="77777777" w:rsidR="008B4DF8" w:rsidRPr="00C1603D" w:rsidRDefault="008B4DF8" w:rsidP="00943414">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33063167" w14:textId="2158A8C9" w:rsidR="008B4DF8" w:rsidRPr="00C1603D" w:rsidRDefault="00B15AC7" w:rsidP="00943414">
            <w:pPr>
              <w:pStyle w:val="72TabletextTablesTableFigureBoxstyles"/>
            </w:pPr>
            <w:r w:rsidRPr="00C1603D">
              <w:rPr>
                <w:rFonts w:eastAsia="Arial"/>
                <w:noProof/>
              </w:rPr>
              <w:t xml:space="preserve">Nass </w:t>
            </w:r>
            <w:r w:rsidRPr="00C1603D">
              <w:rPr>
                <w:rFonts w:eastAsia="Arial"/>
                <w:i/>
                <w:iCs/>
                <w:noProof/>
              </w:rPr>
              <w:t>et al</w:t>
            </w:r>
            <w:r w:rsidRPr="00C1603D">
              <w:rPr>
                <w:rFonts w:eastAsia="Arial"/>
                <w:noProof/>
              </w:rPr>
              <w:t>.</w:t>
            </w:r>
            <w:r w:rsidR="008B4DF8" w:rsidRPr="00C1603D">
              <w:rPr>
                <w:rFonts w:eastAsia="Arial"/>
                <w:noProof/>
                <w:vertAlign w:val="superscript"/>
              </w:rPr>
              <w:t>365</w:t>
            </w:r>
          </w:p>
        </w:tc>
      </w:tr>
      <w:tr w:rsidR="00B15AC7" w:rsidRPr="00C1603D" w14:paraId="40A310A1" w14:textId="77777777" w:rsidTr="00943414">
        <w:trPr>
          <w:cantSplit/>
        </w:trPr>
        <w:tc>
          <w:tcPr>
            <w:tcW w:w="0" w:type="auto"/>
            <w:shd w:val="clear" w:color="auto" w:fill="FFFFFF"/>
            <w:tcMar>
              <w:top w:w="0" w:type="dxa"/>
              <w:left w:w="0" w:type="dxa"/>
              <w:bottom w:w="0" w:type="dxa"/>
              <w:right w:w="0" w:type="dxa"/>
            </w:tcMar>
          </w:tcPr>
          <w:p w14:paraId="57E0B7C9"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62F78431" w14:textId="1C56F593"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C973466" w14:textId="3F619311" w:rsidR="008B4DF8" w:rsidRPr="00C1603D" w:rsidRDefault="008B4DF8" w:rsidP="00943414">
            <w:pPr>
              <w:pStyle w:val="72TabletextTablesTableFigureBoxstyles"/>
            </w:pPr>
            <w:r w:rsidRPr="00C1603D">
              <w:rPr>
                <w:rFonts w:eastAsia="Arial"/>
              </w:rPr>
              <w:t xml:space="preserve">FDRs </w:t>
            </w:r>
            <w:r w:rsidR="00B15AC7" w:rsidRPr="00C1603D">
              <w:rPr>
                <w:rFonts w:eastAsia="Arial"/>
              </w:rPr>
              <w:t>and</w:t>
            </w:r>
            <w:r w:rsidRPr="00C1603D">
              <w:rPr>
                <w:rFonts w:eastAsia="Arial"/>
              </w:rPr>
              <w:t xml:space="preserve"> SDRs</w:t>
            </w:r>
            <w:r w:rsidR="00B15AC7" w:rsidRPr="00C1603D">
              <w:rPr>
                <w:rFonts w:eastAsia="Arial"/>
              </w:rPr>
              <w:t xml:space="preserve"> with CD</w:t>
            </w:r>
          </w:p>
        </w:tc>
        <w:tc>
          <w:tcPr>
            <w:tcW w:w="0" w:type="auto"/>
            <w:shd w:val="clear" w:color="auto" w:fill="FFFFFF"/>
            <w:tcMar>
              <w:top w:w="0" w:type="dxa"/>
              <w:left w:w="0" w:type="dxa"/>
              <w:bottom w:w="0" w:type="dxa"/>
              <w:right w:w="0" w:type="dxa"/>
            </w:tcMar>
          </w:tcPr>
          <w:p w14:paraId="5FC21CC5" w14:textId="77777777" w:rsidR="008B4DF8" w:rsidRPr="00C1603D" w:rsidRDefault="008B4DF8" w:rsidP="00943414">
            <w:pPr>
              <w:pStyle w:val="72TabletextTablesTableFigureBoxstyles"/>
            </w:pPr>
            <w:r w:rsidRPr="00C1603D">
              <w:rPr>
                <w:rFonts w:eastAsia="Arial"/>
              </w:rPr>
              <w:t>270</w:t>
            </w:r>
          </w:p>
        </w:tc>
        <w:tc>
          <w:tcPr>
            <w:tcW w:w="0" w:type="auto"/>
            <w:shd w:val="clear" w:color="auto" w:fill="FFFFFF"/>
            <w:tcMar>
              <w:top w:w="0" w:type="dxa"/>
              <w:left w:w="0" w:type="dxa"/>
              <w:bottom w:w="0" w:type="dxa"/>
              <w:right w:w="0" w:type="dxa"/>
            </w:tcMar>
          </w:tcPr>
          <w:p w14:paraId="34D6AB1A" w14:textId="058F5654"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2A6ECFC0"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824C147" w14:textId="7CFF8286"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517BA67"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6A56D3C3" w14:textId="77777777" w:rsidR="008B4DF8" w:rsidRPr="00C1603D" w:rsidRDefault="008B4DF8" w:rsidP="00943414">
            <w:pPr>
              <w:pStyle w:val="72TabletextTablesTableFigureBoxstyles"/>
            </w:pPr>
            <w:r w:rsidRPr="00C1603D">
              <w:rPr>
                <w:rFonts w:eastAsia="Arial"/>
              </w:rPr>
              <w:t>Portugal</w:t>
            </w:r>
          </w:p>
        </w:tc>
        <w:tc>
          <w:tcPr>
            <w:tcW w:w="0" w:type="auto"/>
            <w:shd w:val="clear" w:color="auto" w:fill="FFFFFF"/>
            <w:tcMar>
              <w:top w:w="0" w:type="dxa"/>
              <w:left w:w="0" w:type="dxa"/>
              <w:bottom w:w="0" w:type="dxa"/>
              <w:right w:w="0" w:type="dxa"/>
            </w:tcMar>
          </w:tcPr>
          <w:p w14:paraId="2006D195" w14:textId="2AF111BA" w:rsidR="008B4DF8" w:rsidRPr="00C1603D" w:rsidRDefault="00B15AC7" w:rsidP="00943414">
            <w:pPr>
              <w:pStyle w:val="72TabletextTablesTableFigureBoxstyles"/>
            </w:pPr>
            <w:r w:rsidRPr="00C1603D">
              <w:rPr>
                <w:rFonts w:eastAsia="Arial"/>
                <w:noProof/>
              </w:rPr>
              <w:t xml:space="preserve">Utiyama </w:t>
            </w:r>
            <w:r w:rsidRPr="00C1603D">
              <w:rPr>
                <w:rFonts w:eastAsia="Arial"/>
                <w:i/>
                <w:iCs/>
                <w:noProof/>
              </w:rPr>
              <w:t>et al</w:t>
            </w:r>
            <w:r w:rsidRPr="00C1603D">
              <w:rPr>
                <w:rFonts w:eastAsia="Arial"/>
                <w:noProof/>
              </w:rPr>
              <w:t>.</w:t>
            </w:r>
            <w:r w:rsidR="008B4DF8" w:rsidRPr="00C1603D">
              <w:rPr>
                <w:rFonts w:eastAsia="Arial"/>
                <w:noProof/>
                <w:vertAlign w:val="superscript"/>
              </w:rPr>
              <w:t>366</w:t>
            </w:r>
          </w:p>
        </w:tc>
      </w:tr>
      <w:tr w:rsidR="00377908" w:rsidRPr="00C1603D" w14:paraId="4125B6AB" w14:textId="77777777" w:rsidTr="00943414">
        <w:trPr>
          <w:cantSplit/>
        </w:trPr>
        <w:tc>
          <w:tcPr>
            <w:tcW w:w="0" w:type="auto"/>
            <w:gridSpan w:val="10"/>
            <w:shd w:val="clear" w:color="auto" w:fill="FFFFFF"/>
            <w:tcMar>
              <w:top w:w="0" w:type="dxa"/>
              <w:left w:w="0" w:type="dxa"/>
              <w:bottom w:w="0" w:type="dxa"/>
              <w:right w:w="0" w:type="dxa"/>
            </w:tcMar>
          </w:tcPr>
          <w:p w14:paraId="2AC776CF" w14:textId="1A6A5D8D" w:rsidR="00377908" w:rsidRPr="00C1603D" w:rsidRDefault="00EF7DC1" w:rsidP="00943414">
            <w:pPr>
              <w:pStyle w:val="75TablenotesTablesTableFigureBoxstyles"/>
              <w:rPr>
                <w:rFonts w:eastAsia="Arial"/>
              </w:rPr>
            </w:pPr>
            <w:r w:rsidRPr="00C1603D">
              <w:rPr>
                <w:rFonts w:eastAsia="Arial"/>
                <w:noProof/>
              </w:rPr>
              <w:t xml:space="preserve">DI, diagnostic indicator; </w:t>
            </w:r>
            <w:r w:rsidR="007214FD" w:rsidRPr="00C1603D">
              <w:rPr>
                <w:rFonts w:eastAsia="Arial"/>
              </w:rPr>
              <w:t>FDR, first-degree relative;</w:t>
            </w:r>
            <w:r w:rsidR="007214FD" w:rsidRPr="00C1603D">
              <w:rPr>
                <w:rFonts w:eastAsia="Arial"/>
                <w:noProof/>
              </w:rPr>
              <w:t xml:space="preserve"> </w:t>
            </w:r>
            <w:r w:rsidRPr="00C1603D">
              <w:rPr>
                <w:rFonts w:eastAsia="Arial"/>
                <w:noProof/>
              </w:rPr>
              <w:t>NR, not reported</w:t>
            </w:r>
            <w:r w:rsidR="00B15AC7" w:rsidRPr="00C1603D">
              <w:rPr>
                <w:rFonts w:eastAsia="Arial"/>
                <w:noProof/>
              </w:rPr>
              <w:t>; SDR, second-degree relative</w:t>
            </w:r>
            <w:r w:rsidRPr="00C1603D">
              <w:rPr>
                <w:rFonts w:eastAsia="Arial"/>
                <w:noProof/>
              </w:rPr>
              <w:t>.</w:t>
            </w:r>
          </w:p>
        </w:tc>
      </w:tr>
    </w:tbl>
    <w:p w14:paraId="4AC1BF9D" w14:textId="63688FC2" w:rsidR="008B4DF8" w:rsidRPr="00C1603D" w:rsidRDefault="008B4DF8" w:rsidP="008B4DF8">
      <w:pPr>
        <w:pStyle w:val="70TablelegendTablesTableFigureBoxstyles"/>
      </w:pPr>
      <w:bookmarkStart w:id="592" w:name="_Toc99720746"/>
      <w:r w:rsidRPr="00C1603D">
        <w:rPr>
          <w:b/>
        </w:rPr>
        <w:t>TABLE 3</w:t>
      </w:r>
      <w:r w:rsidR="00032460" w:rsidRPr="00C1603D">
        <w:rPr>
          <w:b/>
        </w:rPr>
        <w:t>6</w:t>
      </w:r>
      <w:r w:rsidRPr="00C1603D">
        <w:rPr>
          <w:b/>
        </w:rPr>
        <w:t> </w:t>
      </w:r>
      <w:r w:rsidRPr="00C1603D">
        <w:t xml:space="preserve">Study characteristic: </w:t>
      </w:r>
      <w:r w:rsidR="00943414" w:rsidRPr="00C1603D">
        <w:t>f</w:t>
      </w:r>
      <w:r w:rsidRPr="00C1603D">
        <w:t>racture</w:t>
      </w:r>
      <w:bookmarkEnd w:id="592"/>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09"/>
        <w:gridCol w:w="735"/>
        <w:gridCol w:w="984"/>
        <w:gridCol w:w="640"/>
        <w:gridCol w:w="648"/>
        <w:gridCol w:w="1589"/>
        <w:gridCol w:w="1137"/>
        <w:gridCol w:w="877"/>
        <w:gridCol w:w="666"/>
        <w:gridCol w:w="841"/>
      </w:tblGrid>
      <w:tr w:rsidR="001902E7" w:rsidRPr="00C1603D" w14:paraId="597FE11F" w14:textId="77777777" w:rsidTr="00943414">
        <w:trPr>
          <w:cantSplit/>
        </w:trPr>
        <w:tc>
          <w:tcPr>
            <w:tcW w:w="0" w:type="auto"/>
            <w:shd w:val="clear" w:color="auto" w:fill="FFFFFF"/>
            <w:tcMar>
              <w:top w:w="0" w:type="dxa"/>
              <w:left w:w="0" w:type="dxa"/>
              <w:bottom w:w="0" w:type="dxa"/>
              <w:right w:w="0" w:type="dxa"/>
            </w:tcMar>
          </w:tcPr>
          <w:p w14:paraId="05E0BCAF" w14:textId="3DEC40A8"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19B34677" w14:textId="680DBA42"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0DA30240" w14:textId="6F929FB4"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4199FB83" w14:textId="61FE6684"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4B529526"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3A30B45D"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79841A4A"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5BF18629"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5BB4C7B5"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15E4B69" w14:textId="77777777" w:rsidR="001902E7" w:rsidRPr="00C1603D" w:rsidRDefault="001902E7" w:rsidP="001902E7">
            <w:pPr>
              <w:pStyle w:val="710TableheadTablesTableFigureBoxstyles"/>
            </w:pPr>
            <w:r w:rsidRPr="00C1603D">
              <w:rPr>
                <w:rFonts w:eastAsia="Arial"/>
              </w:rPr>
              <w:t>Reference</w:t>
            </w:r>
          </w:p>
        </w:tc>
      </w:tr>
      <w:tr w:rsidR="008B4DF8" w:rsidRPr="00C1603D" w14:paraId="2027EF10" w14:textId="77777777" w:rsidTr="00943414">
        <w:trPr>
          <w:cantSplit/>
        </w:trPr>
        <w:tc>
          <w:tcPr>
            <w:tcW w:w="0" w:type="auto"/>
            <w:shd w:val="clear" w:color="auto" w:fill="FFFFFF"/>
            <w:tcMar>
              <w:top w:w="0" w:type="dxa"/>
              <w:left w:w="0" w:type="dxa"/>
              <w:bottom w:w="0" w:type="dxa"/>
              <w:right w:w="0" w:type="dxa"/>
            </w:tcMar>
          </w:tcPr>
          <w:p w14:paraId="19EC4445" w14:textId="4E8DE5F3" w:rsidR="008B4DF8" w:rsidRPr="00C1603D" w:rsidRDefault="00B15AC7"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803D506" w14:textId="5E1F066F"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610055E" w14:textId="77777777" w:rsidR="008B4DF8" w:rsidRPr="00C1603D" w:rsidRDefault="008B4DF8" w:rsidP="00943414">
            <w:pPr>
              <w:pStyle w:val="72TabletextTablesTableFigureBoxstyles"/>
            </w:pPr>
            <w:r w:rsidRPr="00C1603D">
              <w:rPr>
                <w:rFonts w:eastAsia="Arial"/>
              </w:rPr>
              <w:t>Acute distal radius or ankle fracture</w:t>
            </w:r>
          </w:p>
        </w:tc>
        <w:tc>
          <w:tcPr>
            <w:tcW w:w="0" w:type="auto"/>
            <w:shd w:val="clear" w:color="auto" w:fill="FFFFFF"/>
            <w:tcMar>
              <w:top w:w="0" w:type="dxa"/>
              <w:left w:w="0" w:type="dxa"/>
              <w:bottom w:w="0" w:type="dxa"/>
              <w:right w:w="0" w:type="dxa"/>
            </w:tcMar>
          </w:tcPr>
          <w:p w14:paraId="0FAADE36" w14:textId="77777777" w:rsidR="008B4DF8" w:rsidRPr="00C1603D" w:rsidRDefault="008B4DF8" w:rsidP="00943414">
            <w:pPr>
              <w:pStyle w:val="72TabletextTablesTableFigureBoxstyles"/>
            </w:pPr>
            <w:r w:rsidRPr="00C1603D">
              <w:rPr>
                <w:rFonts w:eastAsia="Arial"/>
              </w:rPr>
              <w:t>597</w:t>
            </w:r>
          </w:p>
        </w:tc>
        <w:tc>
          <w:tcPr>
            <w:tcW w:w="0" w:type="auto"/>
            <w:shd w:val="clear" w:color="auto" w:fill="FFFFFF"/>
            <w:tcMar>
              <w:top w:w="0" w:type="dxa"/>
              <w:left w:w="0" w:type="dxa"/>
              <w:bottom w:w="0" w:type="dxa"/>
              <w:right w:w="0" w:type="dxa"/>
            </w:tcMar>
          </w:tcPr>
          <w:p w14:paraId="291B8926" w14:textId="701A2CD3"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20692DE1" w14:textId="49145821" w:rsidR="008B4DF8" w:rsidRPr="00C1603D" w:rsidRDefault="00B15AC7"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7E11D79E" w14:textId="445562EB"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D89C229" w14:textId="6EAB5BBF" w:rsidR="008B4DF8" w:rsidRPr="00C1603D" w:rsidRDefault="00B15AC7"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8EA58D0" w14:textId="77777777" w:rsidR="008B4DF8" w:rsidRPr="00C1603D" w:rsidRDefault="008B4DF8" w:rsidP="00943414">
            <w:pPr>
              <w:pStyle w:val="72TabletextTablesTableFigureBoxstyles"/>
            </w:pPr>
            <w:r w:rsidRPr="00C1603D">
              <w:rPr>
                <w:rFonts w:eastAsia="Arial"/>
              </w:rPr>
              <w:t>Norway</w:t>
            </w:r>
          </w:p>
        </w:tc>
        <w:tc>
          <w:tcPr>
            <w:tcW w:w="0" w:type="auto"/>
            <w:shd w:val="clear" w:color="auto" w:fill="FFFFFF"/>
            <w:tcMar>
              <w:top w:w="0" w:type="dxa"/>
              <w:left w:w="0" w:type="dxa"/>
              <w:bottom w:w="0" w:type="dxa"/>
              <w:right w:w="0" w:type="dxa"/>
            </w:tcMar>
          </w:tcPr>
          <w:p w14:paraId="515E0D10" w14:textId="44D72A72" w:rsidR="008B4DF8" w:rsidRPr="00C1603D" w:rsidRDefault="00DE7D50" w:rsidP="00943414">
            <w:pPr>
              <w:pStyle w:val="72TabletextTablesTableFigureBoxstyles"/>
            </w:pPr>
            <w:r w:rsidRPr="00C1603D">
              <w:rPr>
                <w:rFonts w:eastAsia="Arial"/>
                <w:noProof/>
              </w:rPr>
              <w:t xml:space="preserve">Hjelle </w:t>
            </w:r>
            <w:r w:rsidRPr="00C1603D">
              <w:rPr>
                <w:rFonts w:eastAsia="Arial"/>
                <w:i/>
                <w:iCs/>
                <w:noProof/>
              </w:rPr>
              <w:t>et al</w:t>
            </w:r>
            <w:r w:rsidRPr="00C1603D">
              <w:rPr>
                <w:rFonts w:eastAsia="Arial"/>
                <w:noProof/>
              </w:rPr>
              <w:t>.</w:t>
            </w:r>
            <w:r w:rsidR="008B4DF8" w:rsidRPr="00C1603D">
              <w:rPr>
                <w:rFonts w:eastAsia="Arial"/>
                <w:noProof/>
                <w:vertAlign w:val="superscript"/>
              </w:rPr>
              <w:t>367</w:t>
            </w:r>
          </w:p>
        </w:tc>
      </w:tr>
      <w:tr w:rsidR="008B4DF8" w:rsidRPr="00C1603D" w14:paraId="5AF20C4F" w14:textId="77777777" w:rsidTr="00943414">
        <w:trPr>
          <w:cantSplit/>
        </w:trPr>
        <w:tc>
          <w:tcPr>
            <w:tcW w:w="0" w:type="auto"/>
            <w:shd w:val="clear" w:color="auto" w:fill="FFFFFF"/>
            <w:tcMar>
              <w:top w:w="0" w:type="dxa"/>
              <w:left w:w="0" w:type="dxa"/>
              <w:bottom w:w="0" w:type="dxa"/>
              <w:right w:w="0" w:type="dxa"/>
            </w:tcMar>
          </w:tcPr>
          <w:p w14:paraId="370B00E5" w14:textId="18F5B5A3" w:rsidR="008B4DF8" w:rsidRPr="00C1603D" w:rsidRDefault="00B15AC7" w:rsidP="00943414">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3C2E20FE" w14:textId="1D4E3B2F"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0B474E8" w14:textId="77777777" w:rsidR="008B4DF8" w:rsidRPr="00C1603D" w:rsidRDefault="008B4DF8" w:rsidP="00943414">
            <w:pPr>
              <w:pStyle w:val="72TabletextTablesTableFigureBoxstyles"/>
            </w:pPr>
            <w:r w:rsidRPr="00C1603D">
              <w:rPr>
                <w:rFonts w:eastAsia="Arial"/>
              </w:rPr>
              <w:t>Acute distal radius or ankle fracture</w:t>
            </w:r>
          </w:p>
        </w:tc>
        <w:tc>
          <w:tcPr>
            <w:tcW w:w="0" w:type="auto"/>
            <w:shd w:val="clear" w:color="auto" w:fill="FFFFFF"/>
            <w:tcMar>
              <w:top w:w="0" w:type="dxa"/>
              <w:left w:w="0" w:type="dxa"/>
              <w:bottom w:w="0" w:type="dxa"/>
              <w:right w:w="0" w:type="dxa"/>
            </w:tcMar>
          </w:tcPr>
          <w:p w14:paraId="35F5D0CF" w14:textId="77777777" w:rsidR="008B4DF8" w:rsidRPr="00C1603D" w:rsidRDefault="008B4DF8" w:rsidP="00943414">
            <w:pPr>
              <w:pStyle w:val="72TabletextTablesTableFigureBoxstyles"/>
            </w:pPr>
            <w:r w:rsidRPr="00C1603D">
              <w:rPr>
                <w:rFonts w:eastAsia="Arial"/>
              </w:rPr>
              <w:t>228</w:t>
            </w:r>
          </w:p>
        </w:tc>
        <w:tc>
          <w:tcPr>
            <w:tcW w:w="0" w:type="auto"/>
            <w:shd w:val="clear" w:color="auto" w:fill="FFFFFF"/>
            <w:tcMar>
              <w:top w:w="0" w:type="dxa"/>
              <w:left w:w="0" w:type="dxa"/>
              <w:bottom w:w="0" w:type="dxa"/>
              <w:right w:w="0" w:type="dxa"/>
            </w:tcMar>
          </w:tcPr>
          <w:p w14:paraId="32585796" w14:textId="37369802"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0224ECCA" w14:textId="2360060F" w:rsidR="008B4DF8" w:rsidRPr="00C1603D" w:rsidRDefault="00B15AC7"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5D9CA5F2"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D972755" w14:textId="72F48442" w:rsidR="008B4DF8" w:rsidRPr="00C1603D" w:rsidRDefault="00B15AC7"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ACCC05F" w14:textId="77777777" w:rsidR="008B4DF8" w:rsidRPr="00C1603D" w:rsidRDefault="008B4DF8" w:rsidP="00943414">
            <w:pPr>
              <w:pStyle w:val="72TabletextTablesTableFigureBoxstyles"/>
            </w:pPr>
            <w:r w:rsidRPr="00C1603D">
              <w:rPr>
                <w:rFonts w:eastAsia="Arial"/>
              </w:rPr>
              <w:t>Norway</w:t>
            </w:r>
          </w:p>
        </w:tc>
        <w:tc>
          <w:tcPr>
            <w:tcW w:w="0" w:type="auto"/>
            <w:shd w:val="clear" w:color="auto" w:fill="FFFFFF"/>
            <w:tcMar>
              <w:top w:w="0" w:type="dxa"/>
              <w:left w:w="0" w:type="dxa"/>
              <w:bottom w:w="0" w:type="dxa"/>
              <w:right w:w="0" w:type="dxa"/>
            </w:tcMar>
          </w:tcPr>
          <w:p w14:paraId="6BFCC3D7" w14:textId="288FF26E" w:rsidR="008B4DF8" w:rsidRPr="00C1603D" w:rsidRDefault="00DE7D50" w:rsidP="00943414">
            <w:pPr>
              <w:pStyle w:val="72TabletextTablesTableFigureBoxstyles"/>
            </w:pPr>
            <w:r w:rsidRPr="00C1603D">
              <w:rPr>
                <w:rFonts w:eastAsia="Arial"/>
                <w:noProof/>
              </w:rPr>
              <w:t xml:space="preserve">Hjelle </w:t>
            </w:r>
            <w:r w:rsidRPr="00C1603D">
              <w:rPr>
                <w:rFonts w:eastAsia="Arial"/>
                <w:i/>
                <w:iCs/>
                <w:noProof/>
              </w:rPr>
              <w:t>et al</w:t>
            </w:r>
            <w:r w:rsidRPr="00C1603D">
              <w:rPr>
                <w:rFonts w:eastAsia="Arial"/>
                <w:noProof/>
              </w:rPr>
              <w:t>.</w:t>
            </w:r>
            <w:r w:rsidR="008B4DF8" w:rsidRPr="00C1603D">
              <w:rPr>
                <w:rFonts w:eastAsia="Arial"/>
                <w:noProof/>
                <w:vertAlign w:val="superscript"/>
              </w:rPr>
              <w:t>368</w:t>
            </w:r>
          </w:p>
        </w:tc>
      </w:tr>
      <w:tr w:rsidR="008B4DF8" w:rsidRPr="00C1603D" w14:paraId="16689FFE" w14:textId="77777777" w:rsidTr="00943414">
        <w:trPr>
          <w:cantSplit/>
        </w:trPr>
        <w:tc>
          <w:tcPr>
            <w:tcW w:w="0" w:type="auto"/>
            <w:shd w:val="clear" w:color="auto" w:fill="FFFFFF"/>
            <w:tcMar>
              <w:top w:w="0" w:type="dxa"/>
              <w:left w:w="0" w:type="dxa"/>
              <w:bottom w:w="0" w:type="dxa"/>
              <w:right w:w="0" w:type="dxa"/>
            </w:tcMar>
          </w:tcPr>
          <w:p w14:paraId="12CF209F" w14:textId="0973A0FD" w:rsidR="008B4DF8" w:rsidRPr="00C1603D" w:rsidRDefault="00B15AC7"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F233926" w14:textId="27C2744D"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755421EC" w14:textId="77777777" w:rsidR="008B4DF8" w:rsidRPr="00C1603D" w:rsidRDefault="008B4DF8" w:rsidP="00943414">
            <w:pPr>
              <w:pStyle w:val="72TabletextTablesTableFigureBoxstyles"/>
            </w:pPr>
            <w:r w:rsidRPr="00C1603D">
              <w:rPr>
                <w:rFonts w:eastAsia="Arial"/>
              </w:rPr>
              <w:t>Hip fracture</w:t>
            </w:r>
          </w:p>
        </w:tc>
        <w:tc>
          <w:tcPr>
            <w:tcW w:w="0" w:type="auto"/>
            <w:shd w:val="clear" w:color="auto" w:fill="FFFFFF"/>
            <w:tcMar>
              <w:top w:w="0" w:type="dxa"/>
              <w:left w:w="0" w:type="dxa"/>
              <w:bottom w:w="0" w:type="dxa"/>
              <w:right w:w="0" w:type="dxa"/>
            </w:tcMar>
          </w:tcPr>
          <w:p w14:paraId="37A640A3" w14:textId="77777777" w:rsidR="008B4DF8" w:rsidRPr="00C1603D" w:rsidRDefault="008B4DF8" w:rsidP="00943414">
            <w:pPr>
              <w:pStyle w:val="72TabletextTablesTableFigureBoxstyles"/>
            </w:pPr>
            <w:r w:rsidRPr="00C1603D">
              <w:rPr>
                <w:rFonts w:eastAsia="Arial"/>
              </w:rPr>
              <w:t>208</w:t>
            </w:r>
          </w:p>
        </w:tc>
        <w:tc>
          <w:tcPr>
            <w:tcW w:w="0" w:type="auto"/>
            <w:shd w:val="clear" w:color="auto" w:fill="FFFFFF"/>
            <w:tcMar>
              <w:top w:w="0" w:type="dxa"/>
              <w:left w:w="0" w:type="dxa"/>
              <w:bottom w:w="0" w:type="dxa"/>
              <w:right w:w="0" w:type="dxa"/>
            </w:tcMar>
          </w:tcPr>
          <w:p w14:paraId="000A8842" w14:textId="44725A38"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2F19F3B1" w14:textId="77777777" w:rsidR="008B4DF8" w:rsidRPr="00C1603D" w:rsidRDefault="008B4DF8" w:rsidP="00943414">
            <w:pPr>
              <w:pStyle w:val="72TabletextTablesTableFigureBoxstyles"/>
            </w:pPr>
            <w:r w:rsidRPr="00C1603D">
              <w:rPr>
                <w:rFonts w:eastAsia="Arial"/>
              </w:rPr>
              <w:t>Women without osteoporosis admitted for elective hip joint replacement</w:t>
            </w:r>
          </w:p>
        </w:tc>
        <w:tc>
          <w:tcPr>
            <w:tcW w:w="0" w:type="auto"/>
            <w:shd w:val="clear" w:color="auto" w:fill="FFFFFF"/>
            <w:tcMar>
              <w:top w:w="0" w:type="dxa"/>
              <w:left w:w="0" w:type="dxa"/>
              <w:bottom w:w="0" w:type="dxa"/>
              <w:right w:w="0" w:type="dxa"/>
            </w:tcMar>
          </w:tcPr>
          <w:p w14:paraId="11A68B1F"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3D33DFC1" w14:textId="1878F365" w:rsidR="008B4DF8" w:rsidRPr="00C1603D" w:rsidRDefault="00B15AC7"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0A1BD17F" w14:textId="1CEEDBB8" w:rsidR="008B4DF8" w:rsidRPr="00C1603D" w:rsidRDefault="008B4DF8" w:rsidP="00943414">
            <w:pPr>
              <w:pStyle w:val="72TabletextTablesTableFigureBoxstyles"/>
            </w:pPr>
            <w:r w:rsidRPr="00C1603D">
              <w:rPr>
                <w:rFonts w:eastAsia="Arial"/>
              </w:rPr>
              <w:t>US</w:t>
            </w:r>
            <w:r w:rsidR="00B15AC7" w:rsidRPr="00C1603D">
              <w:rPr>
                <w:rFonts w:eastAsia="Arial"/>
              </w:rPr>
              <w:t>A</w:t>
            </w:r>
          </w:p>
        </w:tc>
        <w:tc>
          <w:tcPr>
            <w:tcW w:w="0" w:type="auto"/>
            <w:shd w:val="clear" w:color="auto" w:fill="FFFFFF"/>
            <w:tcMar>
              <w:top w:w="0" w:type="dxa"/>
              <w:left w:w="0" w:type="dxa"/>
              <w:bottom w:w="0" w:type="dxa"/>
              <w:right w:w="0" w:type="dxa"/>
            </w:tcMar>
          </w:tcPr>
          <w:p w14:paraId="6840BB91" w14:textId="4F94F4D0" w:rsidR="008B4DF8" w:rsidRPr="00C1603D" w:rsidRDefault="00DE7D50" w:rsidP="00943414">
            <w:pPr>
              <w:pStyle w:val="72TabletextTablesTableFigureBoxstyles"/>
            </w:pPr>
            <w:r w:rsidRPr="00C1603D">
              <w:rPr>
                <w:rFonts w:eastAsia="Arial"/>
                <w:noProof/>
              </w:rPr>
              <w:t xml:space="preserve">LeBoff </w:t>
            </w:r>
            <w:r w:rsidRPr="00C1603D">
              <w:rPr>
                <w:rFonts w:eastAsia="Arial"/>
                <w:i/>
                <w:iCs/>
                <w:noProof/>
              </w:rPr>
              <w:t>et al</w:t>
            </w:r>
            <w:r w:rsidRPr="00C1603D">
              <w:rPr>
                <w:rFonts w:eastAsia="Arial"/>
                <w:noProof/>
              </w:rPr>
              <w:t>.</w:t>
            </w:r>
            <w:r w:rsidR="008B4DF8" w:rsidRPr="00C1603D">
              <w:rPr>
                <w:rFonts w:eastAsia="Arial"/>
                <w:noProof/>
                <w:vertAlign w:val="superscript"/>
              </w:rPr>
              <w:t>369</w:t>
            </w:r>
          </w:p>
        </w:tc>
      </w:tr>
      <w:tr w:rsidR="008B4DF8" w:rsidRPr="00C1603D" w14:paraId="58CC15FD" w14:textId="77777777" w:rsidTr="00943414">
        <w:trPr>
          <w:cantSplit/>
        </w:trPr>
        <w:tc>
          <w:tcPr>
            <w:tcW w:w="0" w:type="auto"/>
            <w:shd w:val="clear" w:color="auto" w:fill="FFFFFF"/>
            <w:tcMar>
              <w:top w:w="0" w:type="dxa"/>
              <w:left w:w="0" w:type="dxa"/>
              <w:bottom w:w="0" w:type="dxa"/>
              <w:right w:w="0" w:type="dxa"/>
            </w:tcMar>
          </w:tcPr>
          <w:p w14:paraId="46CE7F7B" w14:textId="2795DD92" w:rsidR="008B4DF8" w:rsidRPr="00C1603D" w:rsidRDefault="00B15AC7"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AFD71F7"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809FA3A" w14:textId="77777777" w:rsidR="008B4DF8" w:rsidRPr="00C1603D" w:rsidRDefault="008B4DF8" w:rsidP="00943414">
            <w:pPr>
              <w:pStyle w:val="72TabletextTablesTableFigureBoxstyles"/>
            </w:pPr>
            <w:r w:rsidRPr="00C1603D">
              <w:rPr>
                <w:rFonts w:eastAsia="Arial"/>
              </w:rPr>
              <w:t>Non-traumatic fractures</w:t>
            </w:r>
          </w:p>
        </w:tc>
        <w:tc>
          <w:tcPr>
            <w:tcW w:w="0" w:type="auto"/>
            <w:shd w:val="clear" w:color="auto" w:fill="FFFFFF"/>
            <w:tcMar>
              <w:top w:w="0" w:type="dxa"/>
              <w:left w:w="0" w:type="dxa"/>
              <w:bottom w:w="0" w:type="dxa"/>
              <w:right w:w="0" w:type="dxa"/>
            </w:tcMar>
          </w:tcPr>
          <w:p w14:paraId="61D179AE" w14:textId="77777777" w:rsidR="008B4DF8" w:rsidRPr="00C1603D" w:rsidRDefault="008B4DF8" w:rsidP="00943414">
            <w:pPr>
              <w:pStyle w:val="72TabletextTablesTableFigureBoxstyles"/>
            </w:pPr>
            <w:r w:rsidRPr="00C1603D">
              <w:rPr>
                <w:rFonts w:eastAsia="Arial"/>
              </w:rPr>
              <w:t>2121</w:t>
            </w:r>
          </w:p>
        </w:tc>
        <w:tc>
          <w:tcPr>
            <w:tcW w:w="0" w:type="auto"/>
            <w:shd w:val="clear" w:color="auto" w:fill="FFFFFF"/>
            <w:tcMar>
              <w:top w:w="0" w:type="dxa"/>
              <w:left w:w="0" w:type="dxa"/>
              <w:bottom w:w="0" w:type="dxa"/>
              <w:right w:w="0" w:type="dxa"/>
            </w:tcMar>
          </w:tcPr>
          <w:p w14:paraId="3C35F6A8" w14:textId="71FBF9D9"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D445AD4" w14:textId="501A2AB4" w:rsidR="008B4DF8" w:rsidRPr="00C1603D" w:rsidRDefault="00B15AC7"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425D6203"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1385F59E" w14:textId="6520EE7D" w:rsidR="008B4DF8" w:rsidRPr="00C1603D" w:rsidRDefault="00B15AC7"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52C70CA" w14:textId="77777777" w:rsidR="008B4DF8" w:rsidRPr="00C1603D" w:rsidRDefault="008B4DF8" w:rsidP="00943414">
            <w:pPr>
              <w:pStyle w:val="72TabletextTablesTableFigureBoxstyles"/>
            </w:pPr>
            <w:r w:rsidRPr="00C1603D">
              <w:rPr>
                <w:rFonts w:eastAsia="Arial"/>
              </w:rPr>
              <w:t>Australia</w:t>
            </w:r>
          </w:p>
        </w:tc>
        <w:tc>
          <w:tcPr>
            <w:tcW w:w="0" w:type="auto"/>
            <w:shd w:val="clear" w:color="auto" w:fill="FFFFFF"/>
            <w:tcMar>
              <w:top w:w="0" w:type="dxa"/>
              <w:left w:w="0" w:type="dxa"/>
              <w:bottom w:w="0" w:type="dxa"/>
              <w:right w:w="0" w:type="dxa"/>
            </w:tcMar>
          </w:tcPr>
          <w:p w14:paraId="64EFA64F" w14:textId="60F17C79" w:rsidR="008B4DF8" w:rsidRPr="00C1603D" w:rsidRDefault="00DE7D50" w:rsidP="00943414">
            <w:pPr>
              <w:pStyle w:val="72TabletextTablesTableFigureBoxstyles"/>
            </w:pPr>
            <w:r w:rsidRPr="00C1603D">
              <w:rPr>
                <w:rFonts w:eastAsia="Arial"/>
                <w:noProof/>
              </w:rPr>
              <w:t xml:space="preserve">Potter </w:t>
            </w:r>
            <w:r w:rsidRPr="00C1603D">
              <w:rPr>
                <w:rFonts w:eastAsia="Arial"/>
                <w:i/>
                <w:iCs/>
                <w:noProof/>
              </w:rPr>
              <w:t>et al</w:t>
            </w:r>
            <w:r w:rsidRPr="00C1603D">
              <w:rPr>
                <w:rFonts w:eastAsia="Arial"/>
                <w:noProof/>
              </w:rPr>
              <w:t>.</w:t>
            </w:r>
            <w:r w:rsidR="008B4DF8" w:rsidRPr="00C1603D">
              <w:rPr>
                <w:rFonts w:eastAsia="Arial"/>
                <w:noProof/>
                <w:vertAlign w:val="superscript"/>
              </w:rPr>
              <w:t>370</w:t>
            </w:r>
          </w:p>
        </w:tc>
      </w:tr>
      <w:tr w:rsidR="008B4DF8" w:rsidRPr="00C1603D" w14:paraId="490E9657" w14:textId="77777777" w:rsidTr="00943414">
        <w:trPr>
          <w:cantSplit/>
        </w:trPr>
        <w:tc>
          <w:tcPr>
            <w:tcW w:w="0" w:type="auto"/>
            <w:shd w:val="clear" w:color="auto" w:fill="FFFFFF"/>
            <w:tcMar>
              <w:top w:w="0" w:type="dxa"/>
              <w:left w:w="0" w:type="dxa"/>
              <w:bottom w:w="0" w:type="dxa"/>
              <w:right w:w="0" w:type="dxa"/>
            </w:tcMar>
          </w:tcPr>
          <w:p w14:paraId="28747D54" w14:textId="38AEF242" w:rsidR="008B4DF8" w:rsidRPr="00C1603D" w:rsidRDefault="00B15AC7"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7F8C101"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3D1113C3" w14:textId="77777777" w:rsidR="008B4DF8" w:rsidRPr="00C1603D" w:rsidRDefault="008B4DF8" w:rsidP="00943414">
            <w:pPr>
              <w:pStyle w:val="72TabletextTablesTableFigureBoxstyles"/>
            </w:pPr>
            <w:r w:rsidRPr="00C1603D">
              <w:rPr>
                <w:rFonts w:eastAsia="Arial"/>
              </w:rPr>
              <w:t>Fracture</w:t>
            </w:r>
          </w:p>
        </w:tc>
        <w:tc>
          <w:tcPr>
            <w:tcW w:w="0" w:type="auto"/>
            <w:shd w:val="clear" w:color="auto" w:fill="FFFFFF"/>
            <w:tcMar>
              <w:top w:w="0" w:type="dxa"/>
              <w:left w:w="0" w:type="dxa"/>
              <w:bottom w:w="0" w:type="dxa"/>
              <w:right w:w="0" w:type="dxa"/>
            </w:tcMar>
          </w:tcPr>
          <w:p w14:paraId="532FF5DB" w14:textId="77777777" w:rsidR="008B4DF8" w:rsidRPr="00C1603D" w:rsidRDefault="008B4DF8" w:rsidP="00943414">
            <w:pPr>
              <w:pStyle w:val="72TabletextTablesTableFigureBoxstyles"/>
            </w:pPr>
            <w:r w:rsidRPr="00C1603D">
              <w:rPr>
                <w:rFonts w:eastAsia="Arial"/>
              </w:rPr>
              <w:t>6480</w:t>
            </w:r>
          </w:p>
        </w:tc>
        <w:tc>
          <w:tcPr>
            <w:tcW w:w="0" w:type="auto"/>
            <w:shd w:val="clear" w:color="auto" w:fill="FFFFFF"/>
            <w:tcMar>
              <w:top w:w="0" w:type="dxa"/>
              <w:left w:w="0" w:type="dxa"/>
              <w:bottom w:w="0" w:type="dxa"/>
              <w:right w:w="0" w:type="dxa"/>
            </w:tcMar>
          </w:tcPr>
          <w:p w14:paraId="71F7C07A" w14:textId="6AACDC10"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489FF411" w14:textId="77777777" w:rsidR="008B4DF8" w:rsidRPr="00C1603D" w:rsidRDefault="008B4DF8" w:rsidP="00943414">
            <w:pPr>
              <w:pStyle w:val="72TabletextTablesTableFigureBoxstyles"/>
            </w:pPr>
            <w:r w:rsidRPr="00C1603D">
              <w:rPr>
                <w:rFonts w:eastAsia="Arial"/>
              </w:rPr>
              <w:t>Women without fractures</w:t>
            </w:r>
          </w:p>
        </w:tc>
        <w:tc>
          <w:tcPr>
            <w:tcW w:w="0" w:type="auto"/>
            <w:shd w:val="clear" w:color="auto" w:fill="FFFFFF"/>
            <w:tcMar>
              <w:top w:w="0" w:type="dxa"/>
              <w:left w:w="0" w:type="dxa"/>
              <w:bottom w:w="0" w:type="dxa"/>
              <w:right w:w="0" w:type="dxa"/>
            </w:tcMar>
          </w:tcPr>
          <w:p w14:paraId="3B6311CF"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62AEFFAC" w14:textId="72EFF1DC" w:rsidR="008B4DF8" w:rsidRPr="00C1603D" w:rsidRDefault="00B15AC7"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E9362A4" w14:textId="77777777" w:rsidR="008B4DF8" w:rsidRPr="00C1603D" w:rsidRDefault="008B4DF8" w:rsidP="00943414">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273C22C5" w14:textId="0323DE59" w:rsidR="008B4DF8" w:rsidRPr="00C1603D" w:rsidRDefault="00DE7D50" w:rsidP="00943414">
            <w:pPr>
              <w:pStyle w:val="72TabletextTablesTableFigureBoxstyles"/>
            </w:pPr>
            <w:r w:rsidRPr="00C1603D">
              <w:rPr>
                <w:rFonts w:eastAsia="Arial"/>
                <w:noProof/>
              </w:rPr>
              <w:t xml:space="preserve">Agardh </w:t>
            </w:r>
            <w:r w:rsidRPr="00C1603D">
              <w:rPr>
                <w:rFonts w:eastAsia="Arial"/>
                <w:i/>
                <w:iCs/>
                <w:noProof/>
              </w:rPr>
              <w:t>et al</w:t>
            </w:r>
            <w:r w:rsidRPr="00C1603D">
              <w:rPr>
                <w:rFonts w:eastAsia="Arial"/>
                <w:noProof/>
              </w:rPr>
              <w:t>.</w:t>
            </w:r>
            <w:r w:rsidR="008B4DF8" w:rsidRPr="00C1603D">
              <w:rPr>
                <w:rFonts w:eastAsia="Arial"/>
                <w:noProof/>
                <w:vertAlign w:val="superscript"/>
              </w:rPr>
              <w:t>371</w:t>
            </w:r>
          </w:p>
        </w:tc>
      </w:tr>
      <w:tr w:rsidR="008B4DF8" w:rsidRPr="00C1603D" w14:paraId="3CB1A926" w14:textId="77777777" w:rsidTr="00943414">
        <w:trPr>
          <w:cantSplit/>
        </w:trPr>
        <w:tc>
          <w:tcPr>
            <w:tcW w:w="0" w:type="auto"/>
            <w:shd w:val="clear" w:color="auto" w:fill="FFFFFF"/>
            <w:tcMar>
              <w:top w:w="0" w:type="dxa"/>
              <w:left w:w="0" w:type="dxa"/>
              <w:bottom w:w="0" w:type="dxa"/>
              <w:right w:w="0" w:type="dxa"/>
            </w:tcMar>
          </w:tcPr>
          <w:p w14:paraId="4FAA58FA" w14:textId="096EDB04" w:rsidR="008B4DF8" w:rsidRPr="00C1603D" w:rsidRDefault="00B15AC7"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52452B3"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D857BBC" w14:textId="77777777" w:rsidR="008B4DF8" w:rsidRPr="00C1603D" w:rsidRDefault="008B4DF8" w:rsidP="00943414">
            <w:pPr>
              <w:pStyle w:val="72TabletextTablesTableFigureBoxstyles"/>
            </w:pPr>
            <w:r w:rsidRPr="00C1603D">
              <w:rPr>
                <w:rFonts w:eastAsia="Arial"/>
              </w:rPr>
              <w:t>Vertebra fracture</w:t>
            </w:r>
          </w:p>
        </w:tc>
        <w:tc>
          <w:tcPr>
            <w:tcW w:w="0" w:type="auto"/>
            <w:shd w:val="clear" w:color="auto" w:fill="FFFFFF"/>
            <w:tcMar>
              <w:top w:w="0" w:type="dxa"/>
              <w:left w:w="0" w:type="dxa"/>
              <w:bottom w:w="0" w:type="dxa"/>
              <w:right w:w="0" w:type="dxa"/>
            </w:tcMar>
          </w:tcPr>
          <w:p w14:paraId="34E8CBEA" w14:textId="77777777" w:rsidR="008B4DF8" w:rsidRPr="00C1603D" w:rsidRDefault="008B4DF8" w:rsidP="00943414">
            <w:pPr>
              <w:pStyle w:val="72TabletextTablesTableFigureBoxstyles"/>
            </w:pPr>
            <w:r w:rsidRPr="00C1603D">
              <w:rPr>
                <w:rFonts w:eastAsia="Arial"/>
              </w:rPr>
              <w:t>6919</w:t>
            </w:r>
          </w:p>
        </w:tc>
        <w:tc>
          <w:tcPr>
            <w:tcW w:w="0" w:type="auto"/>
            <w:shd w:val="clear" w:color="auto" w:fill="FFFFFF"/>
            <w:tcMar>
              <w:top w:w="0" w:type="dxa"/>
              <w:left w:w="0" w:type="dxa"/>
              <w:bottom w:w="0" w:type="dxa"/>
              <w:right w:w="0" w:type="dxa"/>
            </w:tcMar>
          </w:tcPr>
          <w:p w14:paraId="61E3AA25" w14:textId="048330C0"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6033AFC" w14:textId="77777777" w:rsidR="008B4DF8" w:rsidRPr="00C1603D" w:rsidRDefault="008B4DF8" w:rsidP="00943414">
            <w:pPr>
              <w:pStyle w:val="72TabletextTablesTableFigureBoxstyles"/>
            </w:pPr>
            <w:r w:rsidRPr="00C1603D">
              <w:rPr>
                <w:rFonts w:eastAsia="Arial"/>
              </w:rPr>
              <w:t>People without vertebra fracture</w:t>
            </w:r>
          </w:p>
        </w:tc>
        <w:tc>
          <w:tcPr>
            <w:tcW w:w="0" w:type="auto"/>
            <w:shd w:val="clear" w:color="auto" w:fill="FFFFFF"/>
            <w:tcMar>
              <w:top w:w="0" w:type="dxa"/>
              <w:left w:w="0" w:type="dxa"/>
              <w:bottom w:w="0" w:type="dxa"/>
              <w:right w:w="0" w:type="dxa"/>
            </w:tcMar>
          </w:tcPr>
          <w:p w14:paraId="74FAC4D0" w14:textId="11F1D05E"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535D55B9" w14:textId="006468B0" w:rsidR="008B4DF8" w:rsidRPr="00C1603D" w:rsidRDefault="00B15AC7"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3EAE8548" w14:textId="77777777" w:rsidR="008B4DF8" w:rsidRPr="00C1603D" w:rsidRDefault="008B4DF8" w:rsidP="00943414">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483BE449" w14:textId="25AF04B1" w:rsidR="008B4DF8" w:rsidRPr="00C1603D" w:rsidRDefault="00DE7D50" w:rsidP="00943414">
            <w:pPr>
              <w:pStyle w:val="72TabletextTablesTableFigureBoxstyles"/>
            </w:pPr>
            <w:r w:rsidRPr="00C1603D">
              <w:t xml:space="preserve">Heikkilä </w:t>
            </w:r>
            <w:r w:rsidRPr="00C1603D">
              <w:rPr>
                <w:rFonts w:eastAsia="Arial"/>
                <w:i/>
                <w:iCs/>
                <w:noProof/>
              </w:rPr>
              <w:t>et al</w:t>
            </w:r>
            <w:r w:rsidRPr="00C1603D">
              <w:rPr>
                <w:rFonts w:eastAsia="Arial"/>
                <w:noProof/>
              </w:rPr>
              <w:t>.</w:t>
            </w:r>
            <w:r w:rsidR="008B4DF8" w:rsidRPr="00C1603D">
              <w:rPr>
                <w:rFonts w:eastAsia="Arial"/>
                <w:noProof/>
                <w:vertAlign w:val="superscript"/>
              </w:rPr>
              <w:t>333</w:t>
            </w:r>
          </w:p>
        </w:tc>
      </w:tr>
      <w:tr w:rsidR="008B4DF8" w:rsidRPr="00C1603D" w14:paraId="1E168B66" w14:textId="77777777" w:rsidTr="00943414">
        <w:trPr>
          <w:cantSplit/>
        </w:trPr>
        <w:tc>
          <w:tcPr>
            <w:tcW w:w="0" w:type="auto"/>
            <w:shd w:val="clear" w:color="auto" w:fill="FFFFFF"/>
            <w:tcMar>
              <w:top w:w="0" w:type="dxa"/>
              <w:left w:w="0" w:type="dxa"/>
              <w:bottom w:w="0" w:type="dxa"/>
              <w:right w:w="0" w:type="dxa"/>
            </w:tcMar>
          </w:tcPr>
          <w:p w14:paraId="06B2EE7A" w14:textId="0EC0B738" w:rsidR="008B4DF8" w:rsidRPr="00C1603D" w:rsidRDefault="00B15AC7"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9735F5E"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7A1E5098" w14:textId="77777777" w:rsidR="008B4DF8" w:rsidRPr="00C1603D" w:rsidRDefault="008B4DF8" w:rsidP="00943414">
            <w:pPr>
              <w:pStyle w:val="72TabletextTablesTableFigureBoxstyles"/>
            </w:pPr>
            <w:r w:rsidRPr="00C1603D">
              <w:rPr>
                <w:rFonts w:eastAsia="Arial"/>
              </w:rPr>
              <w:t>Fracture of the wrist</w:t>
            </w:r>
          </w:p>
        </w:tc>
        <w:tc>
          <w:tcPr>
            <w:tcW w:w="0" w:type="auto"/>
            <w:shd w:val="clear" w:color="auto" w:fill="FFFFFF"/>
            <w:tcMar>
              <w:top w:w="0" w:type="dxa"/>
              <w:left w:w="0" w:type="dxa"/>
              <w:bottom w:w="0" w:type="dxa"/>
              <w:right w:w="0" w:type="dxa"/>
            </w:tcMar>
          </w:tcPr>
          <w:p w14:paraId="7806C0F1" w14:textId="77777777" w:rsidR="008B4DF8" w:rsidRPr="00C1603D" w:rsidRDefault="008B4DF8" w:rsidP="00943414">
            <w:pPr>
              <w:pStyle w:val="72TabletextTablesTableFigureBoxstyles"/>
            </w:pPr>
            <w:r w:rsidRPr="00C1603D">
              <w:rPr>
                <w:rFonts w:eastAsia="Arial"/>
              </w:rPr>
              <w:t>7345</w:t>
            </w:r>
          </w:p>
        </w:tc>
        <w:tc>
          <w:tcPr>
            <w:tcW w:w="0" w:type="auto"/>
            <w:shd w:val="clear" w:color="auto" w:fill="FFFFFF"/>
            <w:tcMar>
              <w:top w:w="0" w:type="dxa"/>
              <w:left w:w="0" w:type="dxa"/>
              <w:bottom w:w="0" w:type="dxa"/>
              <w:right w:w="0" w:type="dxa"/>
            </w:tcMar>
          </w:tcPr>
          <w:p w14:paraId="3624C2C8" w14:textId="37F1EE8C"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3B51356B" w14:textId="77777777" w:rsidR="008B4DF8" w:rsidRPr="00C1603D" w:rsidRDefault="008B4DF8" w:rsidP="00943414">
            <w:pPr>
              <w:pStyle w:val="72TabletextTablesTableFigureBoxstyles"/>
            </w:pPr>
            <w:r w:rsidRPr="00C1603D">
              <w:rPr>
                <w:rFonts w:eastAsia="Arial"/>
              </w:rPr>
              <w:t>People without wrist fracture</w:t>
            </w:r>
          </w:p>
        </w:tc>
        <w:tc>
          <w:tcPr>
            <w:tcW w:w="0" w:type="auto"/>
            <w:shd w:val="clear" w:color="auto" w:fill="FFFFFF"/>
            <w:tcMar>
              <w:top w:w="0" w:type="dxa"/>
              <w:left w:w="0" w:type="dxa"/>
              <w:bottom w:w="0" w:type="dxa"/>
              <w:right w:w="0" w:type="dxa"/>
            </w:tcMar>
          </w:tcPr>
          <w:p w14:paraId="357B1DA4" w14:textId="77777777" w:rsidR="008B4DF8" w:rsidRPr="00C1603D" w:rsidRDefault="008B4DF8" w:rsidP="00943414">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4F2CF944" w14:textId="498DE7E9" w:rsidR="008B4DF8" w:rsidRPr="00C1603D" w:rsidRDefault="00B15AC7" w:rsidP="00943414">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0B6373A2"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0157BDBC" w14:textId="22B4EEFA" w:rsidR="008B4DF8" w:rsidRPr="00C1603D" w:rsidRDefault="00DE7D50" w:rsidP="00943414">
            <w:pPr>
              <w:pStyle w:val="72TabletextTablesTableFigureBoxstyles"/>
            </w:pPr>
            <w:r w:rsidRPr="00C1603D">
              <w:rPr>
                <w:rFonts w:eastAsia="Arial"/>
                <w:noProof/>
              </w:rPr>
              <w:t xml:space="preserve">West </w:t>
            </w:r>
            <w:r w:rsidRPr="00C1603D">
              <w:rPr>
                <w:rFonts w:eastAsia="Arial"/>
                <w:i/>
                <w:iCs/>
                <w:noProof/>
              </w:rPr>
              <w:t>et al</w:t>
            </w:r>
            <w:r w:rsidRPr="00C1603D">
              <w:rPr>
                <w:rFonts w:eastAsia="Arial"/>
                <w:noProof/>
              </w:rPr>
              <w:t>.</w:t>
            </w:r>
            <w:r w:rsidR="008B4DF8" w:rsidRPr="00C1603D">
              <w:rPr>
                <w:rFonts w:eastAsia="Arial"/>
                <w:noProof/>
                <w:vertAlign w:val="superscript"/>
              </w:rPr>
              <w:t>372</w:t>
            </w:r>
          </w:p>
        </w:tc>
      </w:tr>
      <w:tr w:rsidR="008B4DF8" w:rsidRPr="00C1603D" w14:paraId="580C0415" w14:textId="77777777" w:rsidTr="00943414">
        <w:trPr>
          <w:cantSplit/>
        </w:trPr>
        <w:tc>
          <w:tcPr>
            <w:tcW w:w="0" w:type="auto"/>
            <w:shd w:val="clear" w:color="auto" w:fill="FFFFFF"/>
            <w:tcMar>
              <w:top w:w="0" w:type="dxa"/>
              <w:left w:w="0" w:type="dxa"/>
              <w:bottom w:w="0" w:type="dxa"/>
              <w:right w:w="0" w:type="dxa"/>
            </w:tcMar>
          </w:tcPr>
          <w:p w14:paraId="61EE8113" w14:textId="7B39B679" w:rsidR="008B4DF8" w:rsidRPr="00C1603D" w:rsidRDefault="00B15AC7"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5DAA403"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7FD2CAAC" w14:textId="77777777" w:rsidR="008B4DF8" w:rsidRPr="00C1603D" w:rsidRDefault="008B4DF8" w:rsidP="00943414">
            <w:pPr>
              <w:pStyle w:val="72TabletextTablesTableFigureBoxstyles"/>
            </w:pPr>
            <w:r w:rsidRPr="00C1603D">
              <w:rPr>
                <w:rFonts w:eastAsia="Arial"/>
              </w:rPr>
              <w:t>Fracture</w:t>
            </w:r>
          </w:p>
        </w:tc>
        <w:tc>
          <w:tcPr>
            <w:tcW w:w="0" w:type="auto"/>
            <w:shd w:val="clear" w:color="auto" w:fill="FFFFFF"/>
            <w:tcMar>
              <w:top w:w="0" w:type="dxa"/>
              <w:left w:w="0" w:type="dxa"/>
              <w:bottom w:w="0" w:type="dxa"/>
              <w:right w:w="0" w:type="dxa"/>
            </w:tcMar>
          </w:tcPr>
          <w:p w14:paraId="54B6228B" w14:textId="77777777" w:rsidR="008B4DF8" w:rsidRPr="00C1603D" w:rsidRDefault="008B4DF8" w:rsidP="00943414">
            <w:pPr>
              <w:pStyle w:val="72TabletextTablesTableFigureBoxstyles"/>
            </w:pPr>
            <w:r w:rsidRPr="00C1603D">
              <w:rPr>
                <w:rFonts w:eastAsia="Arial"/>
              </w:rPr>
              <w:t>843</w:t>
            </w:r>
          </w:p>
        </w:tc>
        <w:tc>
          <w:tcPr>
            <w:tcW w:w="0" w:type="auto"/>
            <w:shd w:val="clear" w:color="auto" w:fill="FFFFFF"/>
            <w:tcMar>
              <w:top w:w="0" w:type="dxa"/>
              <w:left w:w="0" w:type="dxa"/>
              <w:bottom w:w="0" w:type="dxa"/>
              <w:right w:w="0" w:type="dxa"/>
            </w:tcMar>
          </w:tcPr>
          <w:p w14:paraId="6A580449" w14:textId="57593E8F"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DA963E6" w14:textId="77777777" w:rsidR="008B4DF8" w:rsidRPr="00C1603D" w:rsidRDefault="008B4DF8" w:rsidP="00943414">
            <w:pPr>
              <w:pStyle w:val="72TabletextTablesTableFigureBoxstyles"/>
            </w:pPr>
            <w:r w:rsidRPr="00C1603D">
              <w:rPr>
                <w:rFonts w:eastAsia="Arial"/>
              </w:rPr>
              <w:t>People without fractures</w:t>
            </w:r>
          </w:p>
        </w:tc>
        <w:tc>
          <w:tcPr>
            <w:tcW w:w="0" w:type="auto"/>
            <w:shd w:val="clear" w:color="auto" w:fill="FFFFFF"/>
            <w:tcMar>
              <w:top w:w="0" w:type="dxa"/>
              <w:left w:w="0" w:type="dxa"/>
              <w:bottom w:w="0" w:type="dxa"/>
              <w:right w:w="0" w:type="dxa"/>
            </w:tcMar>
          </w:tcPr>
          <w:p w14:paraId="766A404C" w14:textId="3E133EEA"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531AA54" w14:textId="6EC94240" w:rsidR="008B4DF8" w:rsidRPr="00C1603D" w:rsidRDefault="00B15AC7"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3D604922" w14:textId="39FF9473" w:rsidR="008B4DF8" w:rsidRPr="00C1603D" w:rsidRDefault="008B4DF8" w:rsidP="00943414">
            <w:pPr>
              <w:pStyle w:val="72TabletextTablesTableFigureBoxstyles"/>
            </w:pPr>
            <w:r w:rsidRPr="00C1603D">
              <w:rPr>
                <w:rFonts w:eastAsia="Arial"/>
              </w:rPr>
              <w:t>US</w:t>
            </w:r>
            <w:r w:rsidR="00B15AC7" w:rsidRPr="00C1603D">
              <w:rPr>
                <w:rFonts w:eastAsia="Arial"/>
              </w:rPr>
              <w:t>A</w:t>
            </w:r>
          </w:p>
        </w:tc>
        <w:tc>
          <w:tcPr>
            <w:tcW w:w="0" w:type="auto"/>
            <w:shd w:val="clear" w:color="auto" w:fill="FFFFFF"/>
            <w:tcMar>
              <w:top w:w="0" w:type="dxa"/>
              <w:left w:w="0" w:type="dxa"/>
              <w:bottom w:w="0" w:type="dxa"/>
              <w:right w:w="0" w:type="dxa"/>
            </w:tcMar>
          </w:tcPr>
          <w:p w14:paraId="31E2776B" w14:textId="09DEC12E" w:rsidR="008B4DF8" w:rsidRPr="00C1603D" w:rsidRDefault="00DE7D50" w:rsidP="00943414">
            <w:pPr>
              <w:pStyle w:val="72TabletextTablesTableFigureBoxstyles"/>
            </w:pPr>
            <w:r w:rsidRPr="00C1603D">
              <w:rPr>
                <w:rFonts w:eastAsia="Arial"/>
                <w:noProof/>
              </w:rPr>
              <w:t xml:space="preserve">Choung </w:t>
            </w:r>
            <w:r w:rsidRPr="00C1603D">
              <w:rPr>
                <w:rFonts w:eastAsia="Arial"/>
                <w:i/>
                <w:iCs/>
                <w:noProof/>
              </w:rPr>
              <w:t>et al</w:t>
            </w:r>
            <w:r w:rsidRPr="00C1603D">
              <w:rPr>
                <w:rFonts w:eastAsia="Arial"/>
                <w:noProof/>
              </w:rPr>
              <w:t>.</w:t>
            </w:r>
            <w:r w:rsidR="008B4DF8" w:rsidRPr="00C1603D">
              <w:rPr>
                <w:rFonts w:eastAsia="Arial"/>
                <w:noProof/>
                <w:vertAlign w:val="superscript"/>
              </w:rPr>
              <w:t>373</w:t>
            </w:r>
          </w:p>
        </w:tc>
      </w:tr>
      <w:tr w:rsidR="007214FD" w:rsidRPr="00C1603D" w14:paraId="7BD8F145" w14:textId="77777777" w:rsidTr="00080634">
        <w:trPr>
          <w:cantSplit/>
        </w:trPr>
        <w:tc>
          <w:tcPr>
            <w:tcW w:w="0" w:type="auto"/>
            <w:gridSpan w:val="10"/>
            <w:shd w:val="clear" w:color="auto" w:fill="FFFFFF"/>
            <w:tcMar>
              <w:top w:w="0" w:type="dxa"/>
              <w:left w:w="0" w:type="dxa"/>
              <w:bottom w:w="0" w:type="dxa"/>
              <w:right w:w="0" w:type="dxa"/>
            </w:tcMar>
          </w:tcPr>
          <w:p w14:paraId="147F89DF" w14:textId="058E4BD6" w:rsidR="007214FD" w:rsidRPr="00C1603D" w:rsidRDefault="007214FD" w:rsidP="007214FD">
            <w:pPr>
              <w:pStyle w:val="75TablenotesTablesTableFigureBoxstyles"/>
              <w:rPr>
                <w:rFonts w:eastAsia="Arial"/>
                <w:noProof/>
                <w:vertAlign w:val="superscript"/>
              </w:rPr>
            </w:pPr>
            <w:r w:rsidRPr="00C1603D">
              <w:rPr>
                <w:rFonts w:eastAsia="Arial"/>
                <w:noProof/>
              </w:rPr>
              <w:t>DI, diagnostic indicator.</w:t>
            </w:r>
          </w:p>
        </w:tc>
      </w:tr>
    </w:tbl>
    <w:p w14:paraId="60058D04" w14:textId="23B624B3" w:rsidR="008B4DF8" w:rsidRPr="00C1603D" w:rsidRDefault="008B4DF8" w:rsidP="008B4DF8">
      <w:pPr>
        <w:pStyle w:val="70TablelegendTablesTableFigureBoxstyles"/>
      </w:pPr>
      <w:bookmarkStart w:id="593" w:name="_Toc99720747"/>
      <w:r w:rsidRPr="00C1603D">
        <w:rPr>
          <w:b/>
        </w:rPr>
        <w:t>TABLE 3</w:t>
      </w:r>
      <w:r w:rsidR="00032460" w:rsidRPr="00C1603D">
        <w:rPr>
          <w:b/>
        </w:rPr>
        <w:t>7</w:t>
      </w:r>
      <w:r w:rsidRPr="00C1603D">
        <w:rPr>
          <w:b/>
        </w:rPr>
        <w:t> </w:t>
      </w:r>
      <w:r w:rsidRPr="00C1603D">
        <w:t>Study characteristic: HLA</w:t>
      </w:r>
      <w:bookmarkEnd w:id="593"/>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11"/>
        <w:gridCol w:w="735"/>
        <w:gridCol w:w="1015"/>
        <w:gridCol w:w="640"/>
        <w:gridCol w:w="648"/>
        <w:gridCol w:w="1265"/>
        <w:gridCol w:w="1137"/>
        <w:gridCol w:w="877"/>
        <w:gridCol w:w="916"/>
        <w:gridCol w:w="882"/>
      </w:tblGrid>
      <w:tr w:rsidR="00DE7D50" w:rsidRPr="00C1603D" w14:paraId="0597BFCB" w14:textId="77777777" w:rsidTr="00943414">
        <w:trPr>
          <w:cantSplit/>
        </w:trPr>
        <w:tc>
          <w:tcPr>
            <w:tcW w:w="0" w:type="auto"/>
            <w:shd w:val="clear" w:color="auto" w:fill="FFFFFF"/>
            <w:tcMar>
              <w:top w:w="0" w:type="dxa"/>
              <w:left w:w="0" w:type="dxa"/>
              <w:bottom w:w="0" w:type="dxa"/>
              <w:right w:w="0" w:type="dxa"/>
            </w:tcMar>
          </w:tcPr>
          <w:p w14:paraId="4FFFC82A" w14:textId="6E3D09E1"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22AEDAD0" w14:textId="3B274670"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290D1217" w14:textId="0629F492"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757BBC7E" w14:textId="7604A2E1"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26FB1A32"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0A28C3B6"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58E8E4E6"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79A225D7"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5C92A496"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00C0F586" w14:textId="77777777" w:rsidR="001902E7" w:rsidRPr="00C1603D" w:rsidRDefault="001902E7" w:rsidP="001902E7">
            <w:pPr>
              <w:pStyle w:val="710TableheadTablesTableFigureBoxstyles"/>
            </w:pPr>
            <w:r w:rsidRPr="00C1603D">
              <w:rPr>
                <w:rFonts w:eastAsia="Arial"/>
              </w:rPr>
              <w:t>Reference</w:t>
            </w:r>
          </w:p>
        </w:tc>
      </w:tr>
      <w:tr w:rsidR="00DE7D50" w:rsidRPr="00C1603D" w14:paraId="426A330B" w14:textId="77777777" w:rsidTr="00943414">
        <w:trPr>
          <w:cantSplit/>
        </w:trPr>
        <w:tc>
          <w:tcPr>
            <w:tcW w:w="0" w:type="auto"/>
            <w:shd w:val="clear" w:color="auto" w:fill="FFFFFF"/>
            <w:tcMar>
              <w:top w:w="0" w:type="dxa"/>
              <w:left w:w="0" w:type="dxa"/>
              <w:bottom w:w="0" w:type="dxa"/>
              <w:right w:w="0" w:type="dxa"/>
            </w:tcMar>
          </w:tcPr>
          <w:p w14:paraId="29A5855F"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DFA5C72"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18B94E2E" w14:textId="1BC0ED84" w:rsidR="008B4DF8" w:rsidRPr="00C1603D" w:rsidRDefault="008E7E35" w:rsidP="00943414">
            <w:pPr>
              <w:pStyle w:val="72TabletextTablesTableFigureBoxstyles"/>
            </w:pPr>
            <w:r w:rsidRPr="00C1603D">
              <w:rPr>
                <w:rFonts w:eastAsia="Arial"/>
              </w:rPr>
              <w:t>HLA-DQ</w:t>
            </w:r>
            <w:r w:rsidR="008B4DF8" w:rsidRPr="00C1603D">
              <w:rPr>
                <w:rFonts w:eastAsia="Arial"/>
              </w:rPr>
              <w:t>2</w:t>
            </w:r>
          </w:p>
        </w:tc>
        <w:tc>
          <w:tcPr>
            <w:tcW w:w="0" w:type="auto"/>
            <w:shd w:val="clear" w:color="auto" w:fill="FFFFFF"/>
            <w:tcMar>
              <w:top w:w="0" w:type="dxa"/>
              <w:left w:w="0" w:type="dxa"/>
              <w:bottom w:w="0" w:type="dxa"/>
              <w:right w:w="0" w:type="dxa"/>
            </w:tcMar>
          </w:tcPr>
          <w:p w14:paraId="17F904E5" w14:textId="77777777" w:rsidR="008B4DF8" w:rsidRPr="00C1603D" w:rsidRDefault="008B4DF8" w:rsidP="00943414">
            <w:pPr>
              <w:pStyle w:val="72TabletextTablesTableFigureBoxstyles"/>
            </w:pPr>
            <w:r w:rsidRPr="00C1603D">
              <w:rPr>
                <w:rFonts w:eastAsia="Arial"/>
              </w:rPr>
              <w:t>97</w:t>
            </w:r>
          </w:p>
        </w:tc>
        <w:tc>
          <w:tcPr>
            <w:tcW w:w="0" w:type="auto"/>
            <w:shd w:val="clear" w:color="auto" w:fill="FFFFFF"/>
            <w:tcMar>
              <w:top w:w="0" w:type="dxa"/>
              <w:left w:w="0" w:type="dxa"/>
              <w:bottom w:w="0" w:type="dxa"/>
              <w:right w:w="0" w:type="dxa"/>
            </w:tcMar>
          </w:tcPr>
          <w:p w14:paraId="473D71EC"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1B48556F"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1024FFA" w14:textId="6BAEB136" w:rsidR="008B4DF8" w:rsidRPr="00C1603D" w:rsidRDefault="008B4DF8" w:rsidP="00943414">
            <w:pPr>
              <w:pStyle w:val="72TabletextTablesTableFigureBoxstyles"/>
            </w:pPr>
            <w:r w:rsidRPr="00C1603D">
              <w:rPr>
                <w:rFonts w:eastAsia="Arial"/>
              </w:rPr>
              <w:t xml:space="preserve">Serology and all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10C2FCB2"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364E819" w14:textId="77777777" w:rsidR="008B4DF8" w:rsidRPr="00C1603D" w:rsidRDefault="008B4DF8" w:rsidP="00943414">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7128B9BB" w14:textId="4A8588E8" w:rsidR="008B4DF8" w:rsidRPr="00C1603D" w:rsidRDefault="00BB2527" w:rsidP="00943414">
            <w:pPr>
              <w:pStyle w:val="72TabletextTablesTableFigureBoxstyles"/>
            </w:pPr>
            <w:r w:rsidRPr="00C1603D">
              <w:rPr>
                <w:rFonts w:eastAsia="Arial"/>
                <w:noProof/>
              </w:rPr>
              <w:t xml:space="preserve">Walker </w:t>
            </w:r>
            <w:r w:rsidRPr="00C1603D">
              <w:rPr>
                <w:rFonts w:eastAsia="Arial"/>
                <w:i/>
                <w:iCs/>
                <w:noProof/>
              </w:rPr>
              <w:t>et al</w:t>
            </w:r>
            <w:r w:rsidRPr="00C1603D">
              <w:rPr>
                <w:rFonts w:eastAsia="Arial"/>
                <w:noProof/>
              </w:rPr>
              <w:t>.</w:t>
            </w:r>
            <w:r w:rsidR="008B4DF8" w:rsidRPr="00C1603D">
              <w:rPr>
                <w:rFonts w:eastAsia="Arial"/>
                <w:noProof/>
                <w:vertAlign w:val="superscript"/>
              </w:rPr>
              <w:t>374</w:t>
            </w:r>
          </w:p>
        </w:tc>
      </w:tr>
      <w:tr w:rsidR="00DE7D50" w:rsidRPr="00C1603D" w14:paraId="159CEEF4" w14:textId="77777777" w:rsidTr="00943414">
        <w:trPr>
          <w:cantSplit/>
        </w:trPr>
        <w:tc>
          <w:tcPr>
            <w:tcW w:w="0" w:type="auto"/>
            <w:shd w:val="clear" w:color="auto" w:fill="FFFFFF"/>
            <w:tcMar>
              <w:top w:w="0" w:type="dxa"/>
              <w:left w:w="0" w:type="dxa"/>
              <w:bottom w:w="0" w:type="dxa"/>
              <w:right w:w="0" w:type="dxa"/>
            </w:tcMar>
          </w:tcPr>
          <w:p w14:paraId="7F350D6D"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31510609" w14:textId="64DFEA2C"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(CD)</w:t>
            </w:r>
          </w:p>
        </w:tc>
        <w:tc>
          <w:tcPr>
            <w:tcW w:w="0" w:type="auto"/>
            <w:shd w:val="clear" w:color="auto" w:fill="FFFFFF"/>
            <w:tcMar>
              <w:top w:w="0" w:type="dxa"/>
              <w:left w:w="0" w:type="dxa"/>
              <w:bottom w:w="0" w:type="dxa"/>
              <w:right w:w="0" w:type="dxa"/>
            </w:tcMar>
          </w:tcPr>
          <w:p w14:paraId="0C614F6E" w14:textId="486E059A" w:rsidR="008B4DF8" w:rsidRPr="00C1603D" w:rsidRDefault="008E7E35" w:rsidP="00943414">
            <w:pPr>
              <w:pStyle w:val="72TabletextTablesTableFigureBoxstyles"/>
            </w:pPr>
            <w:r w:rsidRPr="00C1603D">
              <w:rPr>
                <w:rFonts w:eastAsia="Arial"/>
              </w:rPr>
              <w:t>HLA-DQ</w:t>
            </w:r>
            <w:r w:rsidR="008B4DF8" w:rsidRPr="00C1603D">
              <w:rPr>
                <w:rFonts w:eastAsia="Arial"/>
              </w:rPr>
              <w:t xml:space="preserve">2, </w:t>
            </w:r>
            <w:r w:rsidRPr="00C1603D">
              <w:rPr>
                <w:rFonts w:eastAsia="Arial"/>
              </w:rPr>
              <w:t>HLA-DQ</w:t>
            </w:r>
            <w:r w:rsidR="008B4DF8" w:rsidRPr="00C1603D">
              <w:rPr>
                <w:rFonts w:eastAsia="Arial"/>
              </w:rPr>
              <w:t>8 or both</w:t>
            </w:r>
          </w:p>
        </w:tc>
        <w:tc>
          <w:tcPr>
            <w:tcW w:w="0" w:type="auto"/>
            <w:shd w:val="clear" w:color="auto" w:fill="FFFFFF"/>
            <w:tcMar>
              <w:top w:w="0" w:type="dxa"/>
              <w:left w:w="0" w:type="dxa"/>
              <w:bottom w:w="0" w:type="dxa"/>
              <w:right w:w="0" w:type="dxa"/>
            </w:tcMar>
          </w:tcPr>
          <w:p w14:paraId="0C30DF5E" w14:textId="77777777" w:rsidR="008B4DF8" w:rsidRPr="00C1603D" w:rsidRDefault="008B4DF8" w:rsidP="00943414">
            <w:pPr>
              <w:pStyle w:val="72TabletextTablesTableFigureBoxstyles"/>
            </w:pPr>
            <w:r w:rsidRPr="00C1603D">
              <w:rPr>
                <w:rFonts w:eastAsia="Arial"/>
              </w:rPr>
              <w:t>1320</w:t>
            </w:r>
          </w:p>
        </w:tc>
        <w:tc>
          <w:tcPr>
            <w:tcW w:w="0" w:type="auto"/>
            <w:shd w:val="clear" w:color="auto" w:fill="FFFFFF"/>
            <w:tcMar>
              <w:top w:w="0" w:type="dxa"/>
              <w:left w:w="0" w:type="dxa"/>
              <w:bottom w:w="0" w:type="dxa"/>
              <w:right w:w="0" w:type="dxa"/>
            </w:tcMar>
          </w:tcPr>
          <w:p w14:paraId="49F5D9A9" w14:textId="0EDBA848"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7AC114B" w14:textId="77777777" w:rsidR="008B4DF8" w:rsidRPr="00C1603D" w:rsidRDefault="008B4DF8" w:rsidP="00943414">
            <w:pPr>
              <w:pStyle w:val="72TabletextTablesTableFigureBoxstyles"/>
            </w:pPr>
            <w:r w:rsidRPr="00C1603D">
              <w:rPr>
                <w:rFonts w:eastAsia="Arial"/>
              </w:rPr>
              <w:t>Children without risk genotype</w:t>
            </w:r>
          </w:p>
        </w:tc>
        <w:tc>
          <w:tcPr>
            <w:tcW w:w="0" w:type="auto"/>
            <w:shd w:val="clear" w:color="auto" w:fill="FFFFFF"/>
            <w:tcMar>
              <w:top w:w="0" w:type="dxa"/>
              <w:left w:w="0" w:type="dxa"/>
              <w:bottom w:w="0" w:type="dxa"/>
              <w:right w:w="0" w:type="dxa"/>
            </w:tcMar>
          </w:tcPr>
          <w:p w14:paraId="1F204F7A" w14:textId="23A325AA"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595BE15"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CA9FF66" w14:textId="77777777" w:rsidR="008B4DF8" w:rsidRPr="00C1603D" w:rsidRDefault="008B4DF8" w:rsidP="00943414">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30B7C8BE" w14:textId="6DADE1A7" w:rsidR="008B4DF8" w:rsidRPr="00C1603D" w:rsidRDefault="00BB2527" w:rsidP="00943414">
            <w:pPr>
              <w:pStyle w:val="72TabletextTablesTableFigureBoxstyles"/>
            </w:pPr>
            <w:r w:rsidRPr="00C1603D">
              <w:t xml:space="preserve">Sandström </w:t>
            </w:r>
            <w:r w:rsidRPr="00C1603D">
              <w:rPr>
                <w:rFonts w:eastAsia="Arial"/>
                <w:i/>
                <w:iCs/>
                <w:noProof/>
              </w:rPr>
              <w:t>et al</w:t>
            </w:r>
            <w:r w:rsidRPr="00C1603D">
              <w:rPr>
                <w:rFonts w:eastAsia="Arial"/>
                <w:noProof/>
              </w:rPr>
              <w:t>.</w:t>
            </w:r>
            <w:r w:rsidR="008B4DF8" w:rsidRPr="00C1603D">
              <w:rPr>
                <w:rFonts w:eastAsia="Arial"/>
                <w:noProof/>
                <w:vertAlign w:val="superscript"/>
              </w:rPr>
              <w:t>182</w:t>
            </w:r>
          </w:p>
        </w:tc>
      </w:tr>
      <w:tr w:rsidR="00DE7D50" w:rsidRPr="00C1603D" w14:paraId="44286AD9" w14:textId="77777777" w:rsidTr="00943414">
        <w:trPr>
          <w:cantSplit/>
        </w:trPr>
        <w:tc>
          <w:tcPr>
            <w:tcW w:w="0" w:type="auto"/>
            <w:shd w:val="clear" w:color="auto" w:fill="FFFFFF"/>
            <w:tcMar>
              <w:top w:w="0" w:type="dxa"/>
              <w:left w:w="0" w:type="dxa"/>
              <w:bottom w:w="0" w:type="dxa"/>
              <w:right w:w="0" w:type="dxa"/>
            </w:tcMar>
          </w:tcPr>
          <w:p w14:paraId="4087B685"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3171E8C7"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79FBF9AC" w14:textId="222821F8" w:rsidR="008B4DF8" w:rsidRPr="00C1603D" w:rsidRDefault="008E7E35" w:rsidP="00943414">
            <w:pPr>
              <w:pStyle w:val="72TabletextTablesTableFigureBoxstyles"/>
            </w:pPr>
            <w:r w:rsidRPr="00C1603D">
              <w:rPr>
                <w:rFonts w:eastAsia="Arial"/>
              </w:rPr>
              <w:t>HLA-DQ</w:t>
            </w:r>
            <w:r w:rsidR="008B4DF8" w:rsidRPr="00C1603D">
              <w:rPr>
                <w:rFonts w:eastAsia="Arial"/>
              </w:rPr>
              <w:t xml:space="preserve">2, </w:t>
            </w:r>
            <w:r w:rsidRPr="00C1603D">
              <w:rPr>
                <w:rFonts w:eastAsia="Arial"/>
              </w:rPr>
              <w:t>HLA-DQ</w:t>
            </w:r>
            <w:r w:rsidR="008B4DF8" w:rsidRPr="00C1603D">
              <w:rPr>
                <w:rFonts w:eastAsia="Arial"/>
              </w:rPr>
              <w:t>8 or both</w:t>
            </w:r>
          </w:p>
        </w:tc>
        <w:tc>
          <w:tcPr>
            <w:tcW w:w="0" w:type="auto"/>
            <w:shd w:val="clear" w:color="auto" w:fill="FFFFFF"/>
            <w:tcMar>
              <w:top w:w="0" w:type="dxa"/>
              <w:left w:w="0" w:type="dxa"/>
              <w:bottom w:w="0" w:type="dxa"/>
              <w:right w:w="0" w:type="dxa"/>
            </w:tcMar>
          </w:tcPr>
          <w:p w14:paraId="52A64474" w14:textId="77777777" w:rsidR="008B4DF8" w:rsidRPr="00C1603D" w:rsidRDefault="008B4DF8" w:rsidP="00943414">
            <w:pPr>
              <w:pStyle w:val="72TabletextTablesTableFigureBoxstyles"/>
            </w:pPr>
            <w:r w:rsidRPr="00C1603D">
              <w:rPr>
                <w:rFonts w:eastAsia="Arial"/>
              </w:rPr>
              <w:t>2781</w:t>
            </w:r>
          </w:p>
        </w:tc>
        <w:tc>
          <w:tcPr>
            <w:tcW w:w="0" w:type="auto"/>
            <w:shd w:val="clear" w:color="auto" w:fill="FFFFFF"/>
            <w:tcMar>
              <w:top w:w="0" w:type="dxa"/>
              <w:left w:w="0" w:type="dxa"/>
              <w:bottom w:w="0" w:type="dxa"/>
              <w:right w:w="0" w:type="dxa"/>
            </w:tcMar>
          </w:tcPr>
          <w:p w14:paraId="4F9CF17A" w14:textId="1BD37BD2"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2E8BF45" w14:textId="77777777" w:rsidR="008B4DF8" w:rsidRPr="00C1603D" w:rsidRDefault="008B4DF8" w:rsidP="00943414">
            <w:pPr>
              <w:pStyle w:val="72TabletextTablesTableFigureBoxstyles"/>
            </w:pPr>
            <w:r w:rsidRPr="00C1603D">
              <w:rPr>
                <w:rFonts w:eastAsia="Arial"/>
              </w:rPr>
              <w:t>People without risk genotype</w:t>
            </w:r>
          </w:p>
        </w:tc>
        <w:tc>
          <w:tcPr>
            <w:tcW w:w="0" w:type="auto"/>
            <w:shd w:val="clear" w:color="auto" w:fill="FFFFFF"/>
            <w:tcMar>
              <w:top w:w="0" w:type="dxa"/>
              <w:left w:w="0" w:type="dxa"/>
              <w:bottom w:w="0" w:type="dxa"/>
              <w:right w:w="0" w:type="dxa"/>
            </w:tcMar>
          </w:tcPr>
          <w:p w14:paraId="45FE8DC3"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191478F"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4D730AFF" w14:textId="77777777" w:rsidR="008B4DF8" w:rsidRPr="00C1603D" w:rsidRDefault="008B4DF8" w:rsidP="00943414">
            <w:pPr>
              <w:pStyle w:val="72TabletextTablesTableFigureBoxstyles"/>
            </w:pPr>
            <w:r w:rsidRPr="00C1603D">
              <w:rPr>
                <w:rFonts w:eastAsia="Arial"/>
              </w:rPr>
              <w:t>Netherlands</w:t>
            </w:r>
          </w:p>
        </w:tc>
        <w:tc>
          <w:tcPr>
            <w:tcW w:w="0" w:type="auto"/>
            <w:shd w:val="clear" w:color="auto" w:fill="FFFFFF"/>
            <w:tcMar>
              <w:top w:w="0" w:type="dxa"/>
              <w:left w:w="0" w:type="dxa"/>
              <w:bottom w:w="0" w:type="dxa"/>
              <w:right w:w="0" w:type="dxa"/>
            </w:tcMar>
          </w:tcPr>
          <w:p w14:paraId="5179AE81" w14:textId="1A61A73B" w:rsidR="008B4DF8" w:rsidRPr="00C1603D" w:rsidRDefault="00BB2527" w:rsidP="00943414">
            <w:pPr>
              <w:pStyle w:val="72TabletextTablesTableFigureBoxstyles"/>
            </w:pPr>
            <w:r w:rsidRPr="00C1603D">
              <w:rPr>
                <w:rFonts w:eastAsia="Arial"/>
                <w:noProof/>
              </w:rPr>
              <w:t xml:space="preserve">Beth </w:t>
            </w:r>
            <w:r w:rsidRPr="00C1603D">
              <w:rPr>
                <w:rFonts w:eastAsia="Arial"/>
                <w:i/>
                <w:iCs/>
                <w:noProof/>
              </w:rPr>
              <w:t>et al</w:t>
            </w:r>
            <w:r w:rsidRPr="00C1603D">
              <w:rPr>
                <w:rFonts w:eastAsia="Arial"/>
                <w:noProof/>
              </w:rPr>
              <w:t>.</w:t>
            </w:r>
            <w:r w:rsidR="008B4DF8" w:rsidRPr="00C1603D">
              <w:rPr>
                <w:rFonts w:eastAsia="Arial"/>
                <w:noProof/>
                <w:vertAlign w:val="superscript"/>
              </w:rPr>
              <w:t>184</w:t>
            </w:r>
          </w:p>
        </w:tc>
      </w:tr>
      <w:tr w:rsidR="00DE7D50" w:rsidRPr="00C1603D" w14:paraId="5543C09F" w14:textId="77777777" w:rsidTr="00943414">
        <w:trPr>
          <w:cantSplit/>
        </w:trPr>
        <w:tc>
          <w:tcPr>
            <w:tcW w:w="0" w:type="auto"/>
            <w:shd w:val="clear" w:color="auto" w:fill="FFFFFF"/>
            <w:tcMar>
              <w:top w:w="0" w:type="dxa"/>
              <w:left w:w="0" w:type="dxa"/>
              <w:bottom w:w="0" w:type="dxa"/>
              <w:right w:w="0" w:type="dxa"/>
            </w:tcMar>
          </w:tcPr>
          <w:p w14:paraId="5D97D475"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24BE6D3D"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387183BE" w14:textId="2B016A4C" w:rsidR="008B4DF8" w:rsidRPr="00C1603D" w:rsidRDefault="008E7E35" w:rsidP="00943414">
            <w:pPr>
              <w:pStyle w:val="72TabletextTablesTableFigureBoxstyles"/>
            </w:pPr>
            <w:r w:rsidRPr="00C1603D">
              <w:rPr>
                <w:rFonts w:eastAsia="Arial"/>
              </w:rPr>
              <w:t>HLA-DQ</w:t>
            </w:r>
            <w:r w:rsidR="008B4DF8" w:rsidRPr="00C1603D">
              <w:rPr>
                <w:rFonts w:eastAsia="Arial"/>
              </w:rPr>
              <w:t xml:space="preserve">2, </w:t>
            </w:r>
            <w:r w:rsidRPr="00C1603D">
              <w:rPr>
                <w:rFonts w:eastAsia="Arial"/>
              </w:rPr>
              <w:t>HLA-DQ</w:t>
            </w:r>
            <w:r w:rsidR="008B4DF8" w:rsidRPr="00C1603D">
              <w:rPr>
                <w:rFonts w:eastAsia="Arial"/>
              </w:rPr>
              <w:t>8 or both</w:t>
            </w:r>
          </w:p>
        </w:tc>
        <w:tc>
          <w:tcPr>
            <w:tcW w:w="0" w:type="auto"/>
            <w:shd w:val="clear" w:color="auto" w:fill="FFFFFF"/>
            <w:tcMar>
              <w:top w:w="0" w:type="dxa"/>
              <w:left w:w="0" w:type="dxa"/>
              <w:bottom w:w="0" w:type="dxa"/>
              <w:right w:w="0" w:type="dxa"/>
            </w:tcMar>
          </w:tcPr>
          <w:p w14:paraId="75D7EDE8" w14:textId="77777777" w:rsidR="008B4DF8" w:rsidRPr="00C1603D" w:rsidRDefault="008B4DF8" w:rsidP="00943414">
            <w:pPr>
              <w:pStyle w:val="72TabletextTablesTableFigureBoxstyles"/>
            </w:pPr>
            <w:r w:rsidRPr="00C1603D">
              <w:rPr>
                <w:rFonts w:eastAsia="Arial"/>
              </w:rPr>
              <w:t>4308</w:t>
            </w:r>
          </w:p>
        </w:tc>
        <w:tc>
          <w:tcPr>
            <w:tcW w:w="0" w:type="auto"/>
            <w:shd w:val="clear" w:color="auto" w:fill="FFFFFF"/>
            <w:tcMar>
              <w:top w:w="0" w:type="dxa"/>
              <w:left w:w="0" w:type="dxa"/>
              <w:bottom w:w="0" w:type="dxa"/>
              <w:right w:w="0" w:type="dxa"/>
            </w:tcMar>
          </w:tcPr>
          <w:p w14:paraId="77CECDF8" w14:textId="1B41DA78"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3C0AA7D" w14:textId="77777777" w:rsidR="008B4DF8" w:rsidRPr="00C1603D" w:rsidRDefault="008B4DF8" w:rsidP="00943414">
            <w:pPr>
              <w:pStyle w:val="72TabletextTablesTableFigureBoxstyles"/>
            </w:pPr>
            <w:r w:rsidRPr="00C1603D">
              <w:rPr>
                <w:rFonts w:eastAsia="Arial"/>
              </w:rPr>
              <w:t>Children without risk genotype</w:t>
            </w:r>
          </w:p>
        </w:tc>
        <w:tc>
          <w:tcPr>
            <w:tcW w:w="0" w:type="auto"/>
            <w:shd w:val="clear" w:color="auto" w:fill="FFFFFF"/>
            <w:tcMar>
              <w:top w:w="0" w:type="dxa"/>
              <w:left w:w="0" w:type="dxa"/>
              <w:bottom w:w="0" w:type="dxa"/>
              <w:right w:w="0" w:type="dxa"/>
            </w:tcMar>
          </w:tcPr>
          <w:p w14:paraId="21595FF1"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7CC274EB"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4B0C4971" w14:textId="77777777" w:rsidR="008B4DF8" w:rsidRPr="00C1603D" w:rsidRDefault="008B4DF8" w:rsidP="00943414">
            <w:pPr>
              <w:pStyle w:val="72TabletextTablesTableFigureBoxstyles"/>
            </w:pPr>
            <w:r w:rsidRPr="00C1603D">
              <w:rPr>
                <w:rFonts w:eastAsia="Arial"/>
              </w:rPr>
              <w:t>Netherlands</w:t>
            </w:r>
          </w:p>
        </w:tc>
        <w:tc>
          <w:tcPr>
            <w:tcW w:w="0" w:type="auto"/>
            <w:shd w:val="clear" w:color="auto" w:fill="FFFFFF"/>
            <w:tcMar>
              <w:top w:w="0" w:type="dxa"/>
              <w:left w:w="0" w:type="dxa"/>
              <w:bottom w:w="0" w:type="dxa"/>
              <w:right w:w="0" w:type="dxa"/>
            </w:tcMar>
          </w:tcPr>
          <w:p w14:paraId="316A4772" w14:textId="611B5122" w:rsidR="008B4DF8" w:rsidRPr="00C1603D" w:rsidRDefault="00BB2527" w:rsidP="00943414">
            <w:pPr>
              <w:pStyle w:val="72TabletextTablesTableFigureBoxstyles"/>
            </w:pPr>
            <w:r w:rsidRPr="00C1603D">
              <w:rPr>
                <w:rFonts w:eastAsia="Arial"/>
                <w:noProof/>
              </w:rPr>
              <w:t xml:space="preserve">Jansen </w:t>
            </w:r>
            <w:r w:rsidRPr="00C1603D">
              <w:rPr>
                <w:rFonts w:eastAsia="Arial"/>
                <w:i/>
                <w:iCs/>
                <w:noProof/>
              </w:rPr>
              <w:t>et al</w:t>
            </w:r>
            <w:r w:rsidRPr="00C1603D">
              <w:rPr>
                <w:rFonts w:eastAsia="Arial"/>
                <w:noProof/>
              </w:rPr>
              <w:t>.</w:t>
            </w:r>
            <w:r w:rsidR="008B4DF8" w:rsidRPr="00C1603D">
              <w:rPr>
                <w:rFonts w:eastAsia="Arial"/>
                <w:noProof/>
                <w:vertAlign w:val="superscript"/>
              </w:rPr>
              <w:t>185</w:t>
            </w:r>
          </w:p>
        </w:tc>
      </w:tr>
      <w:tr w:rsidR="00DE7D50" w:rsidRPr="00C1603D" w14:paraId="5D8311EA" w14:textId="77777777" w:rsidTr="00943414">
        <w:trPr>
          <w:cantSplit/>
        </w:trPr>
        <w:tc>
          <w:tcPr>
            <w:tcW w:w="0" w:type="auto"/>
            <w:shd w:val="clear" w:color="auto" w:fill="FFFFFF"/>
            <w:tcMar>
              <w:top w:w="0" w:type="dxa"/>
              <w:left w:w="0" w:type="dxa"/>
              <w:bottom w:w="0" w:type="dxa"/>
              <w:right w:w="0" w:type="dxa"/>
            </w:tcMar>
          </w:tcPr>
          <w:p w14:paraId="2341764B"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2163EF9E"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11EC481C" w14:textId="2B923525" w:rsidR="008B4DF8" w:rsidRPr="00C1603D" w:rsidRDefault="008E7E35" w:rsidP="00943414">
            <w:pPr>
              <w:pStyle w:val="72TabletextTablesTableFigureBoxstyles"/>
            </w:pPr>
            <w:r w:rsidRPr="00C1603D">
              <w:rPr>
                <w:rFonts w:eastAsia="Arial"/>
              </w:rPr>
              <w:t>HLA-DQ</w:t>
            </w:r>
            <w:r w:rsidR="008B4DF8" w:rsidRPr="00C1603D">
              <w:rPr>
                <w:rFonts w:eastAsia="Arial"/>
              </w:rPr>
              <w:t xml:space="preserve">2.2, </w:t>
            </w:r>
            <w:r w:rsidRPr="00C1603D">
              <w:rPr>
                <w:rFonts w:eastAsia="Arial"/>
              </w:rPr>
              <w:t>HLA-DQ</w:t>
            </w:r>
            <w:r w:rsidR="008B4DF8" w:rsidRPr="00C1603D">
              <w:rPr>
                <w:rFonts w:eastAsia="Arial"/>
              </w:rPr>
              <w:t xml:space="preserve">2.5 or </w:t>
            </w:r>
            <w:r w:rsidRPr="00C1603D">
              <w:rPr>
                <w:rFonts w:eastAsia="Arial"/>
              </w:rPr>
              <w:t>HLA-DQ</w:t>
            </w:r>
            <w:r w:rsidR="008B4DF8" w:rsidRPr="00C1603D">
              <w:rPr>
                <w:rFonts w:eastAsia="Arial"/>
              </w:rPr>
              <w:t>8</w:t>
            </w:r>
          </w:p>
        </w:tc>
        <w:tc>
          <w:tcPr>
            <w:tcW w:w="0" w:type="auto"/>
            <w:shd w:val="clear" w:color="auto" w:fill="FFFFFF"/>
            <w:tcMar>
              <w:top w:w="0" w:type="dxa"/>
              <w:left w:w="0" w:type="dxa"/>
              <w:bottom w:w="0" w:type="dxa"/>
              <w:right w:w="0" w:type="dxa"/>
            </w:tcMar>
          </w:tcPr>
          <w:p w14:paraId="30970721" w14:textId="77777777" w:rsidR="008B4DF8" w:rsidRPr="00C1603D" w:rsidRDefault="008B4DF8" w:rsidP="00943414">
            <w:pPr>
              <w:pStyle w:val="72TabletextTablesTableFigureBoxstyles"/>
            </w:pPr>
            <w:r w:rsidRPr="00C1603D">
              <w:rPr>
                <w:rFonts w:eastAsia="Arial"/>
              </w:rPr>
              <w:t>3715</w:t>
            </w:r>
          </w:p>
        </w:tc>
        <w:tc>
          <w:tcPr>
            <w:tcW w:w="0" w:type="auto"/>
            <w:shd w:val="clear" w:color="auto" w:fill="FFFFFF"/>
            <w:tcMar>
              <w:top w:w="0" w:type="dxa"/>
              <w:left w:w="0" w:type="dxa"/>
              <w:bottom w:w="0" w:type="dxa"/>
              <w:right w:w="0" w:type="dxa"/>
            </w:tcMar>
          </w:tcPr>
          <w:p w14:paraId="2CF9563B" w14:textId="4866E364"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746DD5B8" w14:textId="77777777" w:rsidR="008B4DF8" w:rsidRPr="00C1603D" w:rsidRDefault="008B4DF8" w:rsidP="00943414">
            <w:pPr>
              <w:pStyle w:val="72TabletextTablesTableFigureBoxstyles"/>
            </w:pPr>
            <w:r w:rsidRPr="00C1603D">
              <w:rPr>
                <w:rFonts w:eastAsia="Arial"/>
              </w:rPr>
              <w:t>Children without risk genotype</w:t>
            </w:r>
          </w:p>
        </w:tc>
        <w:tc>
          <w:tcPr>
            <w:tcW w:w="0" w:type="auto"/>
            <w:shd w:val="clear" w:color="auto" w:fill="FFFFFF"/>
            <w:tcMar>
              <w:top w:w="0" w:type="dxa"/>
              <w:left w:w="0" w:type="dxa"/>
              <w:bottom w:w="0" w:type="dxa"/>
              <w:right w:w="0" w:type="dxa"/>
            </w:tcMar>
          </w:tcPr>
          <w:p w14:paraId="34ACEE34"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693B0C31"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94FA2B3" w14:textId="77777777" w:rsidR="008B4DF8" w:rsidRPr="00C1603D" w:rsidRDefault="008B4DF8" w:rsidP="00943414">
            <w:pPr>
              <w:pStyle w:val="72TabletextTablesTableFigureBoxstyles"/>
            </w:pPr>
            <w:r w:rsidRPr="00C1603D">
              <w:rPr>
                <w:rFonts w:eastAsia="Arial"/>
              </w:rPr>
              <w:t>Netherlands</w:t>
            </w:r>
          </w:p>
        </w:tc>
        <w:tc>
          <w:tcPr>
            <w:tcW w:w="0" w:type="auto"/>
            <w:shd w:val="clear" w:color="auto" w:fill="FFFFFF"/>
            <w:tcMar>
              <w:top w:w="0" w:type="dxa"/>
              <w:left w:w="0" w:type="dxa"/>
              <w:bottom w:w="0" w:type="dxa"/>
              <w:right w:w="0" w:type="dxa"/>
            </w:tcMar>
          </w:tcPr>
          <w:p w14:paraId="1F2159E9" w14:textId="60E4A24E" w:rsidR="008B4DF8" w:rsidRPr="00C1603D" w:rsidRDefault="00BB2527" w:rsidP="00943414">
            <w:pPr>
              <w:pStyle w:val="72TabletextTablesTableFigureBoxstyles"/>
            </w:pPr>
            <w:r w:rsidRPr="00C1603D">
              <w:rPr>
                <w:rFonts w:eastAsia="Arial"/>
                <w:noProof/>
              </w:rPr>
              <w:t xml:space="preserve">Wahab </w:t>
            </w:r>
            <w:r w:rsidRPr="00C1603D">
              <w:rPr>
                <w:rFonts w:eastAsia="Arial"/>
                <w:i/>
                <w:iCs/>
                <w:noProof/>
              </w:rPr>
              <w:t>et al</w:t>
            </w:r>
            <w:r w:rsidRPr="00C1603D">
              <w:rPr>
                <w:rFonts w:eastAsia="Arial"/>
                <w:noProof/>
              </w:rPr>
              <w:t>.</w:t>
            </w:r>
            <w:r w:rsidR="008B4DF8" w:rsidRPr="00C1603D">
              <w:rPr>
                <w:rFonts w:eastAsia="Arial"/>
                <w:noProof/>
                <w:vertAlign w:val="superscript"/>
              </w:rPr>
              <w:t>183</w:t>
            </w:r>
          </w:p>
        </w:tc>
      </w:tr>
      <w:tr w:rsidR="00DE7D50" w:rsidRPr="00C1603D" w14:paraId="5B382585" w14:textId="77777777" w:rsidTr="00943414">
        <w:trPr>
          <w:cantSplit/>
        </w:trPr>
        <w:tc>
          <w:tcPr>
            <w:tcW w:w="0" w:type="auto"/>
            <w:shd w:val="clear" w:color="auto" w:fill="FFFFFF"/>
            <w:tcMar>
              <w:top w:w="0" w:type="dxa"/>
              <w:left w:w="0" w:type="dxa"/>
              <w:bottom w:w="0" w:type="dxa"/>
              <w:right w:w="0" w:type="dxa"/>
            </w:tcMar>
          </w:tcPr>
          <w:p w14:paraId="085328C9"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9505446"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19BDF68C" w14:textId="3CD3CCF2" w:rsidR="008B4DF8" w:rsidRPr="00C1603D" w:rsidRDefault="008B4DF8" w:rsidP="00943414">
            <w:pPr>
              <w:pStyle w:val="72TabletextTablesTableFigureBoxstyles"/>
            </w:pPr>
            <w:r w:rsidRPr="00C1603D">
              <w:rPr>
                <w:rFonts w:eastAsia="Arial"/>
              </w:rPr>
              <w:t>HLA</w:t>
            </w:r>
            <w:r w:rsidR="00DE7D50" w:rsidRPr="00C1603D">
              <w:rPr>
                <w:rFonts w:eastAsia="Arial"/>
              </w:rPr>
              <w:t>-</w:t>
            </w:r>
            <w:r w:rsidRPr="00C1603D">
              <w:rPr>
                <w:rFonts w:eastAsia="Arial"/>
              </w:rPr>
              <w:t xml:space="preserve">DR4-DQ8, </w:t>
            </w:r>
            <w:r w:rsidR="00DE7D50" w:rsidRPr="00C1603D">
              <w:rPr>
                <w:rFonts w:eastAsia="Arial"/>
              </w:rPr>
              <w:t xml:space="preserve">HLA </w:t>
            </w:r>
            <w:r w:rsidRPr="00C1603D">
              <w:rPr>
                <w:rFonts w:eastAsia="Arial"/>
              </w:rPr>
              <w:t>DR3-DQ2 or both</w:t>
            </w:r>
          </w:p>
        </w:tc>
        <w:tc>
          <w:tcPr>
            <w:tcW w:w="0" w:type="auto"/>
            <w:shd w:val="clear" w:color="auto" w:fill="FFFFFF"/>
            <w:tcMar>
              <w:top w:w="0" w:type="dxa"/>
              <w:left w:w="0" w:type="dxa"/>
              <w:bottom w:w="0" w:type="dxa"/>
              <w:right w:w="0" w:type="dxa"/>
            </w:tcMar>
          </w:tcPr>
          <w:p w14:paraId="27A808BE" w14:textId="77777777" w:rsidR="008B4DF8" w:rsidRPr="00C1603D" w:rsidRDefault="008B4DF8" w:rsidP="00943414">
            <w:pPr>
              <w:pStyle w:val="72TabletextTablesTableFigureBoxstyles"/>
            </w:pPr>
            <w:r w:rsidRPr="00C1603D">
              <w:rPr>
                <w:rFonts w:eastAsia="Arial"/>
              </w:rPr>
              <w:t>3627</w:t>
            </w:r>
          </w:p>
        </w:tc>
        <w:tc>
          <w:tcPr>
            <w:tcW w:w="0" w:type="auto"/>
            <w:shd w:val="clear" w:color="auto" w:fill="FFFFFF"/>
            <w:tcMar>
              <w:top w:w="0" w:type="dxa"/>
              <w:left w:w="0" w:type="dxa"/>
              <w:bottom w:w="0" w:type="dxa"/>
              <w:right w:w="0" w:type="dxa"/>
            </w:tcMar>
          </w:tcPr>
          <w:p w14:paraId="7464171E" w14:textId="2E2E5D34"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3ED7DFA5" w14:textId="77777777" w:rsidR="008B4DF8" w:rsidRPr="00C1603D" w:rsidRDefault="008B4DF8" w:rsidP="00943414">
            <w:pPr>
              <w:pStyle w:val="72TabletextTablesTableFigureBoxstyles"/>
            </w:pPr>
            <w:r w:rsidRPr="00C1603D">
              <w:rPr>
                <w:rFonts w:eastAsia="Arial"/>
              </w:rPr>
              <w:t>Children not carrying HLA DR3-DQ2 nor HLA DR4-DQ8</w:t>
            </w:r>
          </w:p>
        </w:tc>
        <w:tc>
          <w:tcPr>
            <w:tcW w:w="0" w:type="auto"/>
            <w:shd w:val="clear" w:color="auto" w:fill="FFFFFF"/>
            <w:tcMar>
              <w:top w:w="0" w:type="dxa"/>
              <w:left w:w="0" w:type="dxa"/>
              <w:bottom w:w="0" w:type="dxa"/>
              <w:right w:w="0" w:type="dxa"/>
            </w:tcMar>
          </w:tcPr>
          <w:p w14:paraId="7AAB9F9E" w14:textId="309A1574"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5177912"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08C6702" w14:textId="77777777" w:rsidR="008B4DF8" w:rsidRPr="00C1603D" w:rsidRDefault="008B4DF8" w:rsidP="00943414">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7558656E" w14:textId="6D6327F6" w:rsidR="008B4DF8" w:rsidRPr="00C1603D" w:rsidRDefault="00BB2527" w:rsidP="00943414">
            <w:pPr>
              <w:pStyle w:val="72TabletextTablesTableFigureBoxstyles"/>
            </w:pPr>
            <w:r w:rsidRPr="00C1603D">
              <w:t xml:space="preserve">Mäki </w:t>
            </w:r>
            <w:r w:rsidRPr="00C1603D">
              <w:rPr>
                <w:rFonts w:eastAsia="Arial"/>
                <w:i/>
                <w:iCs/>
                <w:noProof/>
              </w:rPr>
              <w:t>et al</w:t>
            </w:r>
            <w:r w:rsidRPr="00C1603D">
              <w:rPr>
                <w:rFonts w:eastAsia="Arial"/>
                <w:noProof/>
              </w:rPr>
              <w:t>.</w:t>
            </w:r>
            <w:r w:rsidR="008B4DF8" w:rsidRPr="00C1603D">
              <w:rPr>
                <w:rFonts w:eastAsia="Arial"/>
                <w:noProof/>
                <w:vertAlign w:val="superscript"/>
              </w:rPr>
              <w:t>181</w:t>
            </w:r>
          </w:p>
        </w:tc>
      </w:tr>
      <w:tr w:rsidR="00DE7D50" w:rsidRPr="00C1603D" w14:paraId="3B22BA8F" w14:textId="77777777" w:rsidTr="00943414">
        <w:trPr>
          <w:cantSplit/>
        </w:trPr>
        <w:tc>
          <w:tcPr>
            <w:tcW w:w="0" w:type="auto"/>
            <w:shd w:val="clear" w:color="auto" w:fill="FFFFFF"/>
            <w:tcMar>
              <w:top w:w="0" w:type="dxa"/>
              <w:left w:w="0" w:type="dxa"/>
              <w:bottom w:w="0" w:type="dxa"/>
              <w:right w:w="0" w:type="dxa"/>
            </w:tcMar>
          </w:tcPr>
          <w:p w14:paraId="14044333"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0292B3E1"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(DI)</w:t>
            </w:r>
          </w:p>
        </w:tc>
        <w:tc>
          <w:tcPr>
            <w:tcW w:w="0" w:type="auto"/>
            <w:shd w:val="clear" w:color="auto" w:fill="FFFFFF"/>
            <w:tcMar>
              <w:top w:w="0" w:type="dxa"/>
              <w:left w:w="0" w:type="dxa"/>
              <w:bottom w:w="0" w:type="dxa"/>
              <w:right w:w="0" w:type="dxa"/>
            </w:tcMar>
          </w:tcPr>
          <w:p w14:paraId="510B62A1" w14:textId="7EB92299" w:rsidR="008B4DF8" w:rsidRPr="00C1603D" w:rsidRDefault="008E7E35" w:rsidP="00943414">
            <w:pPr>
              <w:pStyle w:val="72TabletextTablesTableFigureBoxstyles"/>
            </w:pPr>
            <w:r w:rsidRPr="00C1603D">
              <w:rPr>
                <w:rFonts w:eastAsia="Arial"/>
              </w:rPr>
              <w:t>HLA-DQ</w:t>
            </w:r>
            <w:r w:rsidR="008B4DF8" w:rsidRPr="00C1603D">
              <w:rPr>
                <w:rFonts w:eastAsia="Arial"/>
              </w:rPr>
              <w:t xml:space="preserve">2, </w:t>
            </w:r>
            <w:r w:rsidRPr="00C1603D">
              <w:rPr>
                <w:rFonts w:eastAsia="Arial"/>
              </w:rPr>
              <w:t>HLA-DQ</w:t>
            </w:r>
            <w:r w:rsidR="008B4DF8" w:rsidRPr="00C1603D">
              <w:rPr>
                <w:rFonts w:eastAsia="Arial"/>
              </w:rPr>
              <w:t>8 or both</w:t>
            </w:r>
          </w:p>
        </w:tc>
        <w:tc>
          <w:tcPr>
            <w:tcW w:w="0" w:type="auto"/>
            <w:shd w:val="clear" w:color="auto" w:fill="FFFFFF"/>
            <w:tcMar>
              <w:top w:w="0" w:type="dxa"/>
              <w:left w:w="0" w:type="dxa"/>
              <w:bottom w:w="0" w:type="dxa"/>
              <w:right w:w="0" w:type="dxa"/>
            </w:tcMar>
          </w:tcPr>
          <w:p w14:paraId="3CD3948E" w14:textId="77777777" w:rsidR="008B4DF8" w:rsidRPr="00C1603D" w:rsidRDefault="008B4DF8" w:rsidP="00943414">
            <w:pPr>
              <w:pStyle w:val="72TabletextTablesTableFigureBoxstyles"/>
            </w:pPr>
            <w:r w:rsidRPr="00C1603D">
              <w:rPr>
                <w:rFonts w:eastAsia="Arial"/>
              </w:rPr>
              <w:t>3435</w:t>
            </w:r>
          </w:p>
        </w:tc>
        <w:tc>
          <w:tcPr>
            <w:tcW w:w="0" w:type="auto"/>
            <w:shd w:val="clear" w:color="auto" w:fill="FFFFFF"/>
            <w:tcMar>
              <w:top w:w="0" w:type="dxa"/>
              <w:left w:w="0" w:type="dxa"/>
              <w:bottom w:w="0" w:type="dxa"/>
              <w:right w:w="0" w:type="dxa"/>
            </w:tcMar>
          </w:tcPr>
          <w:p w14:paraId="1BF6E2CE" w14:textId="43BA609E"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967BCCB" w14:textId="70E0C432" w:rsidR="008B4DF8" w:rsidRPr="00C1603D" w:rsidRDefault="008B4DF8" w:rsidP="00943414">
            <w:pPr>
              <w:pStyle w:val="72TabletextTablesTableFigureBoxstyles"/>
            </w:pPr>
            <w:r w:rsidRPr="00C1603D">
              <w:rPr>
                <w:rFonts w:eastAsia="Arial"/>
              </w:rPr>
              <w:t>Newborns without risk genotype</w:t>
            </w:r>
          </w:p>
        </w:tc>
        <w:tc>
          <w:tcPr>
            <w:tcW w:w="0" w:type="auto"/>
            <w:shd w:val="clear" w:color="auto" w:fill="FFFFFF"/>
            <w:tcMar>
              <w:top w:w="0" w:type="dxa"/>
              <w:left w:w="0" w:type="dxa"/>
              <w:bottom w:w="0" w:type="dxa"/>
              <w:right w:w="0" w:type="dxa"/>
            </w:tcMar>
          </w:tcPr>
          <w:p w14:paraId="4BC2AE48" w14:textId="065A4725"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6A4E7A3"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7F5705C5" w14:textId="77777777" w:rsidR="008B4DF8" w:rsidRPr="00C1603D" w:rsidRDefault="008B4DF8" w:rsidP="00943414">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48854130" w14:textId="7491E860" w:rsidR="008B4DF8" w:rsidRPr="00C1603D" w:rsidRDefault="00BB2527" w:rsidP="00943414">
            <w:pPr>
              <w:pStyle w:val="72TabletextTablesTableFigureBoxstyles"/>
            </w:pPr>
            <w:r w:rsidRPr="00C1603D">
              <w:t xml:space="preserve">Björck </w:t>
            </w:r>
            <w:r w:rsidRPr="00C1603D">
              <w:rPr>
                <w:rFonts w:eastAsia="Arial"/>
                <w:i/>
                <w:iCs/>
                <w:noProof/>
              </w:rPr>
              <w:t>et al</w:t>
            </w:r>
            <w:r w:rsidRPr="00C1603D">
              <w:rPr>
                <w:rFonts w:eastAsia="Arial"/>
                <w:noProof/>
              </w:rPr>
              <w:t>.</w:t>
            </w:r>
            <w:r w:rsidR="008B4DF8" w:rsidRPr="00C1603D">
              <w:rPr>
                <w:rFonts w:eastAsia="Arial"/>
                <w:noProof/>
                <w:vertAlign w:val="superscript"/>
              </w:rPr>
              <w:t>180</w:t>
            </w:r>
          </w:p>
        </w:tc>
      </w:tr>
      <w:tr w:rsidR="00DE7D50" w:rsidRPr="00C1603D" w14:paraId="4B02934D" w14:textId="77777777" w:rsidTr="00943414">
        <w:trPr>
          <w:cantSplit/>
        </w:trPr>
        <w:tc>
          <w:tcPr>
            <w:tcW w:w="0" w:type="auto"/>
            <w:shd w:val="clear" w:color="auto" w:fill="FFFFFF"/>
            <w:tcMar>
              <w:top w:w="0" w:type="dxa"/>
              <w:left w:w="0" w:type="dxa"/>
              <w:bottom w:w="0" w:type="dxa"/>
              <w:right w:w="0" w:type="dxa"/>
            </w:tcMar>
          </w:tcPr>
          <w:p w14:paraId="3E5BDDE9"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655D04F1" w14:textId="42DDE6C6"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 </w:t>
            </w:r>
            <w:r w:rsidR="00DE7D50" w:rsidRPr="00C1603D">
              <w:rPr>
                <w:rFonts w:eastAsia="Arial"/>
              </w:rPr>
              <w:t>and</w:t>
            </w:r>
            <w:r w:rsidR="008B4DF8" w:rsidRPr="00C1603D">
              <w:rPr>
                <w:rFonts w:eastAsia="Arial"/>
              </w:rPr>
              <w:t xml:space="preserve"> CD)</w:t>
            </w:r>
          </w:p>
        </w:tc>
        <w:tc>
          <w:tcPr>
            <w:tcW w:w="0" w:type="auto"/>
            <w:shd w:val="clear" w:color="auto" w:fill="FFFFFF"/>
            <w:tcMar>
              <w:top w:w="0" w:type="dxa"/>
              <w:left w:w="0" w:type="dxa"/>
              <w:bottom w:w="0" w:type="dxa"/>
              <w:right w:w="0" w:type="dxa"/>
            </w:tcMar>
          </w:tcPr>
          <w:p w14:paraId="3C936E76" w14:textId="55E1D287" w:rsidR="008B4DF8" w:rsidRPr="00C1603D" w:rsidRDefault="008E7E35" w:rsidP="00943414">
            <w:pPr>
              <w:pStyle w:val="72TabletextTablesTableFigureBoxstyles"/>
            </w:pPr>
            <w:r w:rsidRPr="00C1603D">
              <w:rPr>
                <w:rFonts w:eastAsia="Arial"/>
              </w:rPr>
              <w:t>HLA-DQ</w:t>
            </w:r>
            <w:r w:rsidR="008B4DF8" w:rsidRPr="00C1603D">
              <w:rPr>
                <w:rFonts w:eastAsia="Arial"/>
              </w:rPr>
              <w:t>2</w:t>
            </w:r>
          </w:p>
        </w:tc>
        <w:tc>
          <w:tcPr>
            <w:tcW w:w="0" w:type="auto"/>
            <w:shd w:val="clear" w:color="auto" w:fill="FFFFFF"/>
            <w:tcMar>
              <w:top w:w="0" w:type="dxa"/>
              <w:left w:w="0" w:type="dxa"/>
              <w:bottom w:w="0" w:type="dxa"/>
              <w:right w:w="0" w:type="dxa"/>
            </w:tcMar>
          </w:tcPr>
          <w:p w14:paraId="7F0187B2" w14:textId="77777777" w:rsidR="008B4DF8" w:rsidRPr="00C1603D" w:rsidRDefault="008B4DF8" w:rsidP="00943414">
            <w:pPr>
              <w:pStyle w:val="72TabletextTablesTableFigureBoxstyles"/>
            </w:pPr>
            <w:r w:rsidRPr="00C1603D">
              <w:rPr>
                <w:rFonts w:eastAsia="Arial"/>
              </w:rPr>
              <w:t>82</w:t>
            </w:r>
          </w:p>
        </w:tc>
        <w:tc>
          <w:tcPr>
            <w:tcW w:w="0" w:type="auto"/>
            <w:shd w:val="clear" w:color="auto" w:fill="FFFFFF"/>
            <w:tcMar>
              <w:top w:w="0" w:type="dxa"/>
              <w:left w:w="0" w:type="dxa"/>
              <w:bottom w:w="0" w:type="dxa"/>
              <w:right w:w="0" w:type="dxa"/>
            </w:tcMar>
          </w:tcPr>
          <w:p w14:paraId="78BFA7E7"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6B994D04" w14:textId="77777777" w:rsidR="008B4DF8" w:rsidRPr="00C1603D" w:rsidRDefault="008B4DF8" w:rsidP="00943414">
            <w:pPr>
              <w:pStyle w:val="72TabletextTablesTableFigureBoxstyles"/>
            </w:pPr>
            <w:r w:rsidRPr="00C1603D">
              <w:rPr>
                <w:rFonts w:eastAsia="Arial"/>
              </w:rPr>
              <w:t>CD patients and healthy controls without risk genotype</w:t>
            </w:r>
          </w:p>
        </w:tc>
        <w:tc>
          <w:tcPr>
            <w:tcW w:w="0" w:type="auto"/>
            <w:shd w:val="clear" w:color="auto" w:fill="FFFFFF"/>
            <w:tcMar>
              <w:top w:w="0" w:type="dxa"/>
              <w:left w:w="0" w:type="dxa"/>
              <w:bottom w:w="0" w:type="dxa"/>
              <w:right w:w="0" w:type="dxa"/>
            </w:tcMar>
          </w:tcPr>
          <w:p w14:paraId="732C7548"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B9C3B7A"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03A27597" w14:textId="77777777" w:rsidR="008B4DF8" w:rsidRPr="00C1603D" w:rsidRDefault="008B4DF8" w:rsidP="00943414">
            <w:pPr>
              <w:pStyle w:val="72TabletextTablesTableFigureBoxstyles"/>
            </w:pPr>
            <w:r w:rsidRPr="00C1603D">
              <w:rPr>
                <w:rFonts w:eastAsia="Arial"/>
              </w:rPr>
              <w:t>Cuba</w:t>
            </w:r>
          </w:p>
        </w:tc>
        <w:tc>
          <w:tcPr>
            <w:tcW w:w="0" w:type="auto"/>
            <w:shd w:val="clear" w:color="auto" w:fill="FFFFFF"/>
            <w:tcMar>
              <w:top w:w="0" w:type="dxa"/>
              <w:left w:w="0" w:type="dxa"/>
              <w:bottom w:w="0" w:type="dxa"/>
              <w:right w:w="0" w:type="dxa"/>
            </w:tcMar>
          </w:tcPr>
          <w:p w14:paraId="0A85D329" w14:textId="1C0624D0" w:rsidR="008B4DF8" w:rsidRPr="00C1603D" w:rsidRDefault="00BB2527" w:rsidP="00943414">
            <w:pPr>
              <w:pStyle w:val="72TabletextTablesTableFigureBoxstyles"/>
            </w:pPr>
            <w:r w:rsidRPr="00C1603D">
              <w:rPr>
                <w:rFonts w:eastAsia="Arial"/>
                <w:noProof/>
              </w:rPr>
              <w:t xml:space="preserve">Cintado </w:t>
            </w:r>
            <w:r w:rsidRPr="00C1603D">
              <w:rPr>
                <w:rFonts w:eastAsia="Arial"/>
                <w:i/>
                <w:iCs/>
                <w:noProof/>
              </w:rPr>
              <w:t>et al</w:t>
            </w:r>
            <w:r w:rsidRPr="00C1603D">
              <w:rPr>
                <w:rFonts w:eastAsia="Arial"/>
                <w:noProof/>
              </w:rPr>
              <w:t>.</w:t>
            </w:r>
            <w:r w:rsidR="008B4DF8" w:rsidRPr="00C1603D">
              <w:rPr>
                <w:rFonts w:eastAsia="Arial"/>
                <w:noProof/>
                <w:vertAlign w:val="superscript"/>
              </w:rPr>
              <w:t>363</w:t>
            </w:r>
          </w:p>
        </w:tc>
      </w:tr>
      <w:tr w:rsidR="00DE7D50" w:rsidRPr="00C1603D" w14:paraId="469C5779" w14:textId="77777777" w:rsidTr="00943414">
        <w:trPr>
          <w:cantSplit/>
        </w:trPr>
        <w:tc>
          <w:tcPr>
            <w:tcW w:w="0" w:type="auto"/>
            <w:shd w:val="clear" w:color="auto" w:fill="FFFFFF"/>
            <w:tcMar>
              <w:top w:w="0" w:type="dxa"/>
              <w:left w:w="0" w:type="dxa"/>
              <w:bottom w:w="0" w:type="dxa"/>
              <w:right w:w="0" w:type="dxa"/>
            </w:tcMar>
          </w:tcPr>
          <w:p w14:paraId="3CD9CEC9" w14:textId="77777777" w:rsidR="008B4DF8" w:rsidRPr="00C1603D" w:rsidRDefault="008B4DF8" w:rsidP="00943414">
            <w:pPr>
              <w:pStyle w:val="72TabletextTablesTableFigureBoxstyles"/>
              <w:rPr>
                <w:rFonts w:eastAsia="Arial"/>
              </w:rPr>
            </w:pPr>
            <w:r w:rsidRPr="00C1603D">
              <w:rPr>
                <w:rFonts w:eastAsia="Arial"/>
              </w:rPr>
              <w:t>Mixed</w:t>
            </w:r>
          </w:p>
        </w:tc>
        <w:tc>
          <w:tcPr>
            <w:tcW w:w="0" w:type="auto"/>
            <w:shd w:val="clear" w:color="auto" w:fill="FFFFFF"/>
            <w:tcMar>
              <w:top w:w="0" w:type="dxa"/>
              <w:left w:w="0" w:type="dxa"/>
              <w:bottom w:w="0" w:type="dxa"/>
              <w:right w:w="0" w:type="dxa"/>
            </w:tcMar>
          </w:tcPr>
          <w:p w14:paraId="0ADEB862" w14:textId="69DF64EA" w:rsidR="008B4DF8" w:rsidRPr="00C1603D" w:rsidRDefault="00B25FE9" w:rsidP="00943414">
            <w:pPr>
              <w:pStyle w:val="72TabletextTablesTableFigureBoxstyles"/>
              <w:rPr>
                <w:rFonts w:eastAsia="Arial"/>
              </w:rPr>
            </w:pPr>
            <w:r w:rsidRPr="00C1603D">
              <w:rPr>
                <w:rFonts w:eastAsia="Arial"/>
              </w:rPr>
              <w:t>Case–control</w:t>
            </w:r>
            <w:r w:rsidR="008B4DF8" w:rsidRPr="00C1603D">
              <w:rPr>
                <w:rFonts w:eastAsia="Arial"/>
              </w:rPr>
              <w:t xml:space="preserve"> (CD)</w:t>
            </w:r>
          </w:p>
        </w:tc>
        <w:tc>
          <w:tcPr>
            <w:tcW w:w="0" w:type="auto"/>
            <w:shd w:val="clear" w:color="auto" w:fill="FFFFFF"/>
            <w:tcMar>
              <w:top w:w="0" w:type="dxa"/>
              <w:left w:w="0" w:type="dxa"/>
              <w:bottom w:w="0" w:type="dxa"/>
              <w:right w:w="0" w:type="dxa"/>
            </w:tcMar>
          </w:tcPr>
          <w:p w14:paraId="1D544665" w14:textId="33F2F0BB" w:rsidR="008B4DF8" w:rsidRPr="00C1603D" w:rsidRDefault="008E7E35" w:rsidP="00943414">
            <w:pPr>
              <w:pStyle w:val="72TabletextTablesTableFigureBoxstyles"/>
              <w:rPr>
                <w:rFonts w:eastAsia="Arial"/>
              </w:rPr>
            </w:pPr>
            <w:r w:rsidRPr="00C1603D">
              <w:rPr>
                <w:rFonts w:eastAsia="Arial"/>
              </w:rPr>
              <w:t>HLA-DQ</w:t>
            </w:r>
            <w:r w:rsidR="008B4DF8" w:rsidRPr="00C1603D">
              <w:rPr>
                <w:rFonts w:eastAsia="Arial"/>
              </w:rPr>
              <w:t>2</w:t>
            </w:r>
          </w:p>
        </w:tc>
        <w:tc>
          <w:tcPr>
            <w:tcW w:w="0" w:type="auto"/>
            <w:shd w:val="clear" w:color="auto" w:fill="FFFFFF"/>
            <w:tcMar>
              <w:top w:w="0" w:type="dxa"/>
              <w:left w:w="0" w:type="dxa"/>
              <w:bottom w:w="0" w:type="dxa"/>
              <w:right w:w="0" w:type="dxa"/>
            </w:tcMar>
          </w:tcPr>
          <w:p w14:paraId="451D4C69" w14:textId="77777777" w:rsidR="008B4DF8" w:rsidRPr="00C1603D" w:rsidRDefault="008B4DF8" w:rsidP="00943414">
            <w:pPr>
              <w:pStyle w:val="72TabletextTablesTableFigureBoxstyles"/>
              <w:rPr>
                <w:rFonts w:eastAsia="Arial"/>
              </w:rPr>
            </w:pPr>
            <w:r w:rsidRPr="00C1603D">
              <w:rPr>
                <w:rFonts w:eastAsia="Arial"/>
              </w:rPr>
              <w:t>101</w:t>
            </w:r>
          </w:p>
        </w:tc>
        <w:tc>
          <w:tcPr>
            <w:tcW w:w="0" w:type="auto"/>
            <w:shd w:val="clear" w:color="auto" w:fill="FFFFFF"/>
            <w:tcMar>
              <w:top w:w="0" w:type="dxa"/>
              <w:left w:w="0" w:type="dxa"/>
              <w:bottom w:w="0" w:type="dxa"/>
              <w:right w:w="0" w:type="dxa"/>
            </w:tcMar>
          </w:tcPr>
          <w:p w14:paraId="10092912" w14:textId="77777777" w:rsidR="008B4DF8" w:rsidRPr="00C1603D" w:rsidRDefault="008B4DF8" w:rsidP="00943414">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4A79519C" w14:textId="3DE3DDEC" w:rsidR="008B4DF8" w:rsidRPr="00C1603D" w:rsidRDefault="008B4DF8" w:rsidP="00943414">
            <w:pPr>
              <w:pStyle w:val="72TabletextTablesTableFigureBoxstyles"/>
              <w:rPr>
                <w:rFonts w:eastAsia="Arial"/>
              </w:rPr>
            </w:pPr>
            <w:r w:rsidRPr="00C1603D">
              <w:rPr>
                <w:rFonts w:eastAsia="Arial"/>
              </w:rPr>
              <w:t xml:space="preserve">People without </w:t>
            </w:r>
            <w:r w:rsidR="008E7E35" w:rsidRPr="00C1603D">
              <w:rPr>
                <w:rFonts w:eastAsia="Arial"/>
              </w:rPr>
              <w:t>HLA-DQ</w:t>
            </w:r>
            <w:r w:rsidRPr="00C1603D">
              <w:rPr>
                <w:rFonts w:eastAsia="Arial"/>
              </w:rPr>
              <w:t>2</w:t>
            </w:r>
          </w:p>
        </w:tc>
        <w:tc>
          <w:tcPr>
            <w:tcW w:w="0" w:type="auto"/>
            <w:shd w:val="clear" w:color="auto" w:fill="FFFFFF"/>
            <w:tcMar>
              <w:top w:w="0" w:type="dxa"/>
              <w:left w:w="0" w:type="dxa"/>
              <w:bottom w:w="0" w:type="dxa"/>
              <w:right w:w="0" w:type="dxa"/>
            </w:tcMar>
          </w:tcPr>
          <w:p w14:paraId="2B3C9EBF" w14:textId="77777777" w:rsidR="008B4DF8" w:rsidRPr="00C1603D" w:rsidRDefault="008B4DF8" w:rsidP="00943414">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4FA2CD64" w14:textId="77777777" w:rsidR="008B4DF8" w:rsidRPr="00C1603D" w:rsidRDefault="008B4DF8" w:rsidP="00943414">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33AE6486" w14:textId="77777777" w:rsidR="008B4DF8" w:rsidRPr="00C1603D" w:rsidRDefault="008B4DF8" w:rsidP="00943414">
            <w:pPr>
              <w:pStyle w:val="72TabletextTablesTableFigureBoxstyles"/>
              <w:rPr>
                <w:rFonts w:eastAsia="Arial"/>
              </w:rPr>
            </w:pPr>
            <w:r w:rsidRPr="00C1603D">
              <w:rPr>
                <w:rFonts w:eastAsia="Arial"/>
              </w:rPr>
              <w:t>Iraq</w:t>
            </w:r>
          </w:p>
        </w:tc>
        <w:tc>
          <w:tcPr>
            <w:tcW w:w="0" w:type="auto"/>
            <w:shd w:val="clear" w:color="auto" w:fill="FFFFFF"/>
            <w:tcMar>
              <w:top w:w="0" w:type="dxa"/>
              <w:left w:w="0" w:type="dxa"/>
              <w:bottom w:w="0" w:type="dxa"/>
              <w:right w:w="0" w:type="dxa"/>
            </w:tcMar>
          </w:tcPr>
          <w:p w14:paraId="4453316F" w14:textId="5902281B" w:rsidR="008B4DF8" w:rsidRPr="00C1603D" w:rsidRDefault="00BB2527" w:rsidP="00943414">
            <w:pPr>
              <w:pStyle w:val="72TabletextTablesTableFigureBoxstyles"/>
              <w:rPr>
                <w:rFonts w:eastAsia="Arial"/>
              </w:rPr>
            </w:pPr>
            <w:r w:rsidRPr="00C1603D">
              <w:rPr>
                <w:rFonts w:eastAsia="Arial"/>
                <w:noProof/>
              </w:rPr>
              <w:t xml:space="preserve">Khudher </w:t>
            </w:r>
            <w:r w:rsidRPr="00C1603D">
              <w:rPr>
                <w:rFonts w:eastAsia="Arial"/>
                <w:i/>
                <w:iCs/>
                <w:noProof/>
              </w:rPr>
              <w:t>et al</w:t>
            </w:r>
            <w:r w:rsidRPr="00C1603D">
              <w:rPr>
                <w:rFonts w:eastAsia="Arial"/>
                <w:noProof/>
              </w:rPr>
              <w:t>.</w:t>
            </w:r>
            <w:r w:rsidR="008B4DF8" w:rsidRPr="00C1603D">
              <w:rPr>
                <w:rFonts w:eastAsia="Arial"/>
                <w:noProof/>
                <w:vertAlign w:val="superscript"/>
              </w:rPr>
              <w:t>375</w:t>
            </w:r>
          </w:p>
        </w:tc>
      </w:tr>
      <w:tr w:rsidR="007214FD" w:rsidRPr="00C1603D" w14:paraId="651E4D76" w14:textId="77777777" w:rsidTr="000B25C0">
        <w:trPr>
          <w:cantSplit/>
        </w:trPr>
        <w:tc>
          <w:tcPr>
            <w:tcW w:w="0" w:type="auto"/>
            <w:gridSpan w:val="10"/>
            <w:shd w:val="clear" w:color="auto" w:fill="FFFFFF"/>
            <w:tcMar>
              <w:top w:w="0" w:type="dxa"/>
              <w:left w:w="0" w:type="dxa"/>
              <w:bottom w:w="0" w:type="dxa"/>
              <w:right w:w="0" w:type="dxa"/>
            </w:tcMar>
          </w:tcPr>
          <w:p w14:paraId="4A6022A7" w14:textId="51B8A82F" w:rsidR="007214FD" w:rsidRPr="00C1603D" w:rsidRDefault="007214FD" w:rsidP="007214FD">
            <w:pPr>
              <w:pStyle w:val="75TablenotesTablesTableFigureBoxstyles"/>
              <w:rPr>
                <w:rFonts w:eastAsia="Arial"/>
                <w:noProof/>
              </w:rPr>
            </w:pPr>
            <w:r w:rsidRPr="00C1603D">
              <w:rPr>
                <w:rFonts w:eastAsia="Arial"/>
                <w:noProof/>
              </w:rPr>
              <w:t>DI, diagnostic indicator; NR, not reported.</w:t>
            </w:r>
          </w:p>
        </w:tc>
      </w:tr>
    </w:tbl>
    <w:p w14:paraId="76D4A93A" w14:textId="39FDDE99" w:rsidR="008B4DF8" w:rsidRPr="00C1603D" w:rsidRDefault="008B4DF8" w:rsidP="008B4DF8">
      <w:pPr>
        <w:pStyle w:val="70TablelegendTablesTableFigureBoxstyles"/>
      </w:pPr>
      <w:bookmarkStart w:id="594" w:name="_Toc99720748"/>
      <w:r w:rsidRPr="00C1603D">
        <w:rPr>
          <w:b/>
        </w:rPr>
        <w:t>TABLE 3</w:t>
      </w:r>
      <w:r w:rsidR="00032460" w:rsidRPr="00C1603D">
        <w:rPr>
          <w:b/>
        </w:rPr>
        <w:t>8</w:t>
      </w:r>
      <w:r w:rsidRPr="00C1603D">
        <w:rPr>
          <w:b/>
        </w:rPr>
        <w:t> </w:t>
      </w:r>
      <w:r w:rsidRPr="00C1603D">
        <w:t xml:space="preserve">Study characteristic: </w:t>
      </w:r>
      <w:r w:rsidR="00943414" w:rsidRPr="00C1603D">
        <w:t>i</w:t>
      </w:r>
      <w:r w:rsidRPr="00C1603D">
        <w:t>nflammatory bowel disease</w:t>
      </w:r>
      <w:bookmarkEnd w:id="594"/>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69"/>
        <w:gridCol w:w="735"/>
        <w:gridCol w:w="1259"/>
        <w:gridCol w:w="709"/>
        <w:gridCol w:w="715"/>
        <w:gridCol w:w="773"/>
        <w:gridCol w:w="1443"/>
        <w:gridCol w:w="822"/>
        <w:gridCol w:w="666"/>
        <w:gridCol w:w="935"/>
      </w:tblGrid>
      <w:tr w:rsidR="008B5CB8" w:rsidRPr="00C1603D" w14:paraId="08BAA6E3" w14:textId="77777777" w:rsidTr="00943414">
        <w:trPr>
          <w:cantSplit/>
        </w:trPr>
        <w:tc>
          <w:tcPr>
            <w:tcW w:w="0" w:type="auto"/>
            <w:shd w:val="clear" w:color="auto" w:fill="FFFFFF"/>
            <w:tcMar>
              <w:top w:w="0" w:type="dxa"/>
              <w:left w:w="0" w:type="dxa"/>
              <w:bottom w:w="0" w:type="dxa"/>
              <w:right w:w="0" w:type="dxa"/>
            </w:tcMar>
          </w:tcPr>
          <w:p w14:paraId="576D01F7" w14:textId="5923027F" w:rsidR="001902E7" w:rsidRPr="00C1603D" w:rsidRDefault="001902E7" w:rsidP="001902E7">
            <w:pPr>
              <w:pStyle w:val="710TableheadTablesTableFigureBoxstyles"/>
            </w:pPr>
            <w:r w:rsidRPr="00C1603D">
              <w:rPr>
                <w:rFonts w:eastAsia="Arial"/>
              </w:rPr>
              <w:lastRenderedPageBreak/>
              <w:t>Population group</w:t>
            </w:r>
          </w:p>
        </w:tc>
        <w:tc>
          <w:tcPr>
            <w:tcW w:w="0" w:type="auto"/>
            <w:shd w:val="clear" w:color="auto" w:fill="FFFFFF"/>
            <w:tcMar>
              <w:top w:w="0" w:type="dxa"/>
              <w:left w:w="0" w:type="dxa"/>
              <w:bottom w:w="0" w:type="dxa"/>
              <w:right w:w="0" w:type="dxa"/>
            </w:tcMar>
          </w:tcPr>
          <w:p w14:paraId="0BF15027" w14:textId="048DF2B6"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439C9F77" w14:textId="54D02EFC"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A9E7404" w14:textId="1C929EFE"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BD5AAD9"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2F08282A"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66F9AB39"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132A8CFD"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626F933C"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6D705004" w14:textId="77777777" w:rsidR="001902E7" w:rsidRPr="00C1603D" w:rsidRDefault="001902E7" w:rsidP="001902E7">
            <w:pPr>
              <w:pStyle w:val="710TableheadTablesTableFigureBoxstyles"/>
            </w:pPr>
            <w:r w:rsidRPr="00C1603D">
              <w:rPr>
                <w:rFonts w:eastAsia="Arial"/>
              </w:rPr>
              <w:t>Reference</w:t>
            </w:r>
          </w:p>
        </w:tc>
      </w:tr>
      <w:tr w:rsidR="008B5CB8" w:rsidRPr="00C1603D" w14:paraId="4681B1D1" w14:textId="77777777" w:rsidTr="00943414">
        <w:trPr>
          <w:cantSplit/>
        </w:trPr>
        <w:tc>
          <w:tcPr>
            <w:tcW w:w="0" w:type="auto"/>
            <w:shd w:val="clear" w:color="auto" w:fill="FFFFFF"/>
            <w:tcMar>
              <w:top w:w="0" w:type="dxa"/>
              <w:left w:w="0" w:type="dxa"/>
              <w:bottom w:w="0" w:type="dxa"/>
              <w:right w:w="0" w:type="dxa"/>
            </w:tcMar>
          </w:tcPr>
          <w:p w14:paraId="7BA108A2"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BD53B91" w14:textId="449030B8"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E5B084F" w14:textId="77777777" w:rsidR="008B4DF8" w:rsidRPr="00C1603D" w:rsidRDefault="008B4DF8" w:rsidP="00943414">
            <w:pPr>
              <w:pStyle w:val="72TabletextTablesTableFigureBoxstyles"/>
            </w:pPr>
            <w:r w:rsidRPr="00C1603D">
              <w:rPr>
                <w:rFonts w:eastAsia="Arial"/>
              </w:rPr>
              <w:t>Ulcerative colitis or Crohn</w:t>
            </w:r>
            <w:r w:rsidRPr="00C1603D">
              <w:rPr>
                <w:rFonts w:eastAsia="Arial"/>
                <w:color w:val="00B0F0"/>
              </w:rPr>
              <w:t>’</w:t>
            </w:r>
            <w:r w:rsidRPr="00C1603D">
              <w:rPr>
                <w:rFonts w:eastAsia="Arial"/>
              </w:rPr>
              <w:t>s disease</w:t>
            </w:r>
          </w:p>
        </w:tc>
        <w:tc>
          <w:tcPr>
            <w:tcW w:w="0" w:type="auto"/>
            <w:shd w:val="clear" w:color="auto" w:fill="FFFFFF"/>
            <w:tcMar>
              <w:top w:w="0" w:type="dxa"/>
              <w:left w:w="0" w:type="dxa"/>
              <w:bottom w:w="0" w:type="dxa"/>
              <w:right w:w="0" w:type="dxa"/>
            </w:tcMar>
          </w:tcPr>
          <w:p w14:paraId="355AA86D" w14:textId="77777777" w:rsidR="008B4DF8" w:rsidRPr="00C1603D" w:rsidRDefault="008B4DF8" w:rsidP="00943414">
            <w:pPr>
              <w:pStyle w:val="72TabletextTablesTableFigureBoxstyles"/>
            </w:pPr>
            <w:r w:rsidRPr="00C1603D">
              <w:rPr>
                <w:rFonts w:eastAsia="Arial"/>
              </w:rPr>
              <w:t>865</w:t>
            </w:r>
          </w:p>
        </w:tc>
        <w:tc>
          <w:tcPr>
            <w:tcW w:w="0" w:type="auto"/>
            <w:shd w:val="clear" w:color="auto" w:fill="FFFFFF"/>
            <w:tcMar>
              <w:top w:w="0" w:type="dxa"/>
              <w:left w:w="0" w:type="dxa"/>
              <w:bottom w:w="0" w:type="dxa"/>
              <w:right w:w="0" w:type="dxa"/>
            </w:tcMar>
          </w:tcPr>
          <w:p w14:paraId="71FC1C76" w14:textId="37E0B0C3"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FDCC3E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354DB54" w14:textId="436DE13D"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96EC79B"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9EC77F3"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5FC292AC" w14:textId="0E5EECB1" w:rsidR="008B4DF8" w:rsidRPr="00C1603D" w:rsidRDefault="008B5CB8" w:rsidP="00943414">
            <w:pPr>
              <w:pStyle w:val="72TabletextTablesTableFigureBoxstyles"/>
            </w:pPr>
            <w:r w:rsidRPr="00C1603D">
              <w:rPr>
                <w:rFonts w:eastAsia="Arial"/>
                <w:noProof/>
              </w:rPr>
              <w:t xml:space="preserve">Horoldt </w:t>
            </w:r>
            <w:r w:rsidRPr="00C1603D">
              <w:rPr>
                <w:rFonts w:eastAsia="Arial"/>
                <w:i/>
                <w:iCs/>
                <w:noProof/>
              </w:rPr>
              <w:t>et al</w:t>
            </w:r>
            <w:r w:rsidRPr="00C1603D">
              <w:rPr>
                <w:rFonts w:eastAsia="Arial"/>
                <w:noProof/>
              </w:rPr>
              <w:t>.</w:t>
            </w:r>
            <w:r w:rsidR="008B4DF8" w:rsidRPr="00C1603D">
              <w:rPr>
                <w:rFonts w:eastAsia="Arial"/>
                <w:noProof/>
                <w:vertAlign w:val="superscript"/>
              </w:rPr>
              <w:t>376</w:t>
            </w:r>
          </w:p>
        </w:tc>
      </w:tr>
      <w:tr w:rsidR="008B5CB8" w:rsidRPr="00C1603D" w14:paraId="13D713E0" w14:textId="77777777" w:rsidTr="00943414">
        <w:trPr>
          <w:cantSplit/>
        </w:trPr>
        <w:tc>
          <w:tcPr>
            <w:tcW w:w="0" w:type="auto"/>
            <w:shd w:val="clear" w:color="auto" w:fill="FFFFFF"/>
            <w:tcMar>
              <w:top w:w="0" w:type="dxa"/>
              <w:left w:w="0" w:type="dxa"/>
              <w:bottom w:w="0" w:type="dxa"/>
              <w:right w:w="0" w:type="dxa"/>
            </w:tcMar>
          </w:tcPr>
          <w:p w14:paraId="788F76E3"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2D0EC1C" w14:textId="10AF40D2"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3FEBB93" w14:textId="77777777" w:rsidR="008B4DF8" w:rsidRPr="00C1603D" w:rsidRDefault="008B4DF8" w:rsidP="00943414">
            <w:pPr>
              <w:pStyle w:val="72TabletextTablesTableFigureBoxstyles"/>
            </w:pPr>
            <w:r w:rsidRPr="00C1603D">
              <w:rPr>
                <w:rFonts w:eastAsia="Arial"/>
              </w:rPr>
              <w:t>Ulcerative colitis or Crohn</w:t>
            </w:r>
            <w:r w:rsidRPr="00C1603D">
              <w:rPr>
                <w:rFonts w:eastAsia="Arial"/>
                <w:color w:val="00B0F0"/>
              </w:rPr>
              <w:t>’</w:t>
            </w:r>
            <w:r w:rsidRPr="00C1603D">
              <w:rPr>
                <w:rFonts w:eastAsia="Arial"/>
              </w:rPr>
              <w:t>s disease</w:t>
            </w:r>
          </w:p>
        </w:tc>
        <w:tc>
          <w:tcPr>
            <w:tcW w:w="0" w:type="auto"/>
            <w:shd w:val="clear" w:color="auto" w:fill="FFFFFF"/>
            <w:tcMar>
              <w:top w:w="0" w:type="dxa"/>
              <w:left w:w="0" w:type="dxa"/>
              <w:bottom w:w="0" w:type="dxa"/>
              <w:right w:w="0" w:type="dxa"/>
            </w:tcMar>
          </w:tcPr>
          <w:p w14:paraId="2E6EC23B" w14:textId="77777777" w:rsidR="008B4DF8" w:rsidRPr="00C1603D" w:rsidRDefault="008B4DF8" w:rsidP="00943414">
            <w:pPr>
              <w:pStyle w:val="72TabletextTablesTableFigureBoxstyles"/>
            </w:pPr>
            <w:r w:rsidRPr="00C1603D">
              <w:rPr>
                <w:rFonts w:eastAsia="Arial"/>
              </w:rPr>
              <w:t>955</w:t>
            </w:r>
          </w:p>
        </w:tc>
        <w:tc>
          <w:tcPr>
            <w:tcW w:w="0" w:type="auto"/>
            <w:shd w:val="clear" w:color="auto" w:fill="FFFFFF"/>
            <w:tcMar>
              <w:top w:w="0" w:type="dxa"/>
              <w:left w:w="0" w:type="dxa"/>
              <w:bottom w:w="0" w:type="dxa"/>
              <w:right w:w="0" w:type="dxa"/>
            </w:tcMar>
          </w:tcPr>
          <w:p w14:paraId="6A1E2461" w14:textId="41E9E83B"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1667A00"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36326E4" w14:textId="27290944"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DD7F150"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05166E7"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6DE5616A" w14:textId="4716E876" w:rsidR="008B4DF8" w:rsidRPr="00C1603D" w:rsidRDefault="008B5CB8" w:rsidP="00943414">
            <w:pPr>
              <w:pStyle w:val="72TabletextTablesTableFigureBoxstyles"/>
            </w:pPr>
            <w:r w:rsidRPr="00C1603D">
              <w:rPr>
                <w:rFonts w:eastAsia="Arial"/>
                <w:noProof/>
              </w:rPr>
              <w:t xml:space="preserve">Leeds </w:t>
            </w:r>
            <w:r w:rsidRPr="00C1603D">
              <w:rPr>
                <w:rFonts w:eastAsia="Arial"/>
                <w:i/>
                <w:iCs/>
                <w:noProof/>
              </w:rPr>
              <w:t>et al</w:t>
            </w:r>
            <w:r w:rsidRPr="00C1603D">
              <w:rPr>
                <w:rFonts w:eastAsia="Arial"/>
                <w:noProof/>
              </w:rPr>
              <w:t>.</w:t>
            </w:r>
            <w:r w:rsidR="008B4DF8" w:rsidRPr="00C1603D">
              <w:rPr>
                <w:rFonts w:eastAsia="Arial"/>
                <w:noProof/>
                <w:vertAlign w:val="superscript"/>
              </w:rPr>
              <w:t>377</w:t>
            </w:r>
          </w:p>
        </w:tc>
      </w:tr>
      <w:tr w:rsidR="008B5CB8" w:rsidRPr="00C1603D" w14:paraId="49F13388" w14:textId="77777777" w:rsidTr="00943414">
        <w:trPr>
          <w:cantSplit/>
        </w:trPr>
        <w:tc>
          <w:tcPr>
            <w:tcW w:w="0" w:type="auto"/>
            <w:shd w:val="clear" w:color="auto" w:fill="FFFFFF"/>
            <w:tcMar>
              <w:top w:w="0" w:type="dxa"/>
              <w:left w:w="0" w:type="dxa"/>
              <w:bottom w:w="0" w:type="dxa"/>
              <w:right w:w="0" w:type="dxa"/>
            </w:tcMar>
          </w:tcPr>
          <w:p w14:paraId="3D222F4C"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37D55EB" w14:textId="44151403"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A55F402" w14:textId="77777777" w:rsidR="008B4DF8" w:rsidRPr="00C1603D" w:rsidRDefault="008B4DF8" w:rsidP="00943414">
            <w:pPr>
              <w:pStyle w:val="72TabletextTablesTableFigureBoxstyles"/>
            </w:pPr>
            <w:r w:rsidRPr="00C1603D">
              <w:rPr>
                <w:rFonts w:eastAsia="Arial"/>
              </w:rPr>
              <w:t>Ulcerative colitis or Crohn</w:t>
            </w:r>
            <w:r w:rsidRPr="00C1603D">
              <w:rPr>
                <w:rFonts w:eastAsia="Arial"/>
                <w:color w:val="00B0F0"/>
              </w:rPr>
              <w:t>’</w:t>
            </w:r>
            <w:r w:rsidRPr="00C1603D">
              <w:rPr>
                <w:rFonts w:eastAsia="Arial"/>
              </w:rPr>
              <w:t>s disease</w:t>
            </w:r>
          </w:p>
        </w:tc>
        <w:tc>
          <w:tcPr>
            <w:tcW w:w="0" w:type="auto"/>
            <w:shd w:val="clear" w:color="auto" w:fill="FFFFFF"/>
            <w:tcMar>
              <w:top w:w="0" w:type="dxa"/>
              <w:left w:w="0" w:type="dxa"/>
              <w:bottom w:w="0" w:type="dxa"/>
              <w:right w:w="0" w:type="dxa"/>
            </w:tcMar>
          </w:tcPr>
          <w:p w14:paraId="2E7ED030" w14:textId="77777777" w:rsidR="008B4DF8" w:rsidRPr="00C1603D" w:rsidRDefault="008B4DF8" w:rsidP="00943414">
            <w:pPr>
              <w:pStyle w:val="72TabletextTablesTableFigureBoxstyles"/>
            </w:pPr>
            <w:r w:rsidRPr="00C1603D">
              <w:rPr>
                <w:rFonts w:eastAsia="Arial"/>
              </w:rPr>
              <w:t>362</w:t>
            </w:r>
          </w:p>
        </w:tc>
        <w:tc>
          <w:tcPr>
            <w:tcW w:w="0" w:type="auto"/>
            <w:shd w:val="clear" w:color="auto" w:fill="FFFFFF"/>
            <w:tcMar>
              <w:top w:w="0" w:type="dxa"/>
              <w:left w:w="0" w:type="dxa"/>
              <w:bottom w:w="0" w:type="dxa"/>
              <w:right w:w="0" w:type="dxa"/>
            </w:tcMar>
          </w:tcPr>
          <w:p w14:paraId="520584A6" w14:textId="457EEC89"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8BEAB86"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5C6F7A5" w14:textId="76CDAE38"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D171EC0"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B03933A" w14:textId="77777777" w:rsidR="008B4DF8" w:rsidRPr="00C1603D" w:rsidRDefault="008B4DF8" w:rsidP="00943414">
            <w:pPr>
              <w:pStyle w:val="72TabletextTablesTableFigureBoxstyles"/>
            </w:pPr>
            <w:r w:rsidRPr="00C1603D">
              <w:rPr>
                <w:rFonts w:eastAsia="Arial"/>
              </w:rPr>
              <w:t>Japan</w:t>
            </w:r>
          </w:p>
        </w:tc>
        <w:tc>
          <w:tcPr>
            <w:tcW w:w="0" w:type="auto"/>
            <w:shd w:val="clear" w:color="auto" w:fill="FFFFFF"/>
            <w:tcMar>
              <w:top w:w="0" w:type="dxa"/>
              <w:left w:w="0" w:type="dxa"/>
              <w:bottom w:w="0" w:type="dxa"/>
              <w:right w:w="0" w:type="dxa"/>
            </w:tcMar>
          </w:tcPr>
          <w:p w14:paraId="1333EBFE" w14:textId="1972E62C" w:rsidR="008B4DF8" w:rsidRPr="00C1603D" w:rsidRDefault="008B5CB8" w:rsidP="00943414">
            <w:pPr>
              <w:pStyle w:val="72TabletextTablesTableFigureBoxstyles"/>
            </w:pPr>
            <w:r w:rsidRPr="00C1603D">
              <w:rPr>
                <w:rFonts w:eastAsia="Arial"/>
                <w:noProof/>
              </w:rPr>
              <w:t xml:space="preserve">Watanabe </w:t>
            </w:r>
            <w:r w:rsidRPr="00C1603D">
              <w:rPr>
                <w:rFonts w:eastAsia="Arial"/>
                <w:i/>
                <w:iCs/>
                <w:noProof/>
              </w:rPr>
              <w:t>et al</w:t>
            </w:r>
            <w:r w:rsidRPr="00C1603D">
              <w:rPr>
                <w:rFonts w:eastAsia="Arial"/>
                <w:noProof/>
              </w:rPr>
              <w:t>.</w:t>
            </w:r>
            <w:r w:rsidR="008B4DF8" w:rsidRPr="00C1603D">
              <w:rPr>
                <w:rFonts w:eastAsia="Arial"/>
                <w:noProof/>
                <w:vertAlign w:val="superscript"/>
              </w:rPr>
              <w:t>378</w:t>
            </w:r>
          </w:p>
        </w:tc>
      </w:tr>
      <w:tr w:rsidR="008B5CB8" w:rsidRPr="00C1603D" w14:paraId="6E1C402B" w14:textId="77777777" w:rsidTr="00943414">
        <w:trPr>
          <w:cantSplit/>
        </w:trPr>
        <w:tc>
          <w:tcPr>
            <w:tcW w:w="0" w:type="auto"/>
            <w:shd w:val="clear" w:color="auto" w:fill="FFFFFF"/>
            <w:tcMar>
              <w:top w:w="0" w:type="dxa"/>
              <w:left w:w="0" w:type="dxa"/>
              <w:bottom w:w="0" w:type="dxa"/>
              <w:right w:w="0" w:type="dxa"/>
            </w:tcMar>
          </w:tcPr>
          <w:p w14:paraId="4552D474"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5AD3D23" w14:textId="5B106FF0"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20F16C5" w14:textId="77777777" w:rsidR="008B4DF8" w:rsidRPr="00C1603D" w:rsidRDefault="008B4DF8" w:rsidP="00943414">
            <w:pPr>
              <w:pStyle w:val="72TabletextTablesTableFigureBoxstyles"/>
            </w:pPr>
            <w:r w:rsidRPr="00C1603D">
              <w:rPr>
                <w:rFonts w:eastAsia="Arial"/>
              </w:rPr>
              <w:t>Ulcerative colitis or Crohn</w:t>
            </w:r>
            <w:r w:rsidRPr="00C1603D">
              <w:rPr>
                <w:rFonts w:eastAsia="Arial"/>
                <w:color w:val="00B0F0"/>
              </w:rPr>
              <w:t>’</w:t>
            </w:r>
            <w:r w:rsidRPr="00C1603D">
              <w:rPr>
                <w:rFonts w:eastAsia="Arial"/>
              </w:rPr>
              <w:t>s disease</w:t>
            </w:r>
          </w:p>
        </w:tc>
        <w:tc>
          <w:tcPr>
            <w:tcW w:w="0" w:type="auto"/>
            <w:shd w:val="clear" w:color="auto" w:fill="FFFFFF"/>
            <w:tcMar>
              <w:top w:w="0" w:type="dxa"/>
              <w:left w:w="0" w:type="dxa"/>
              <w:bottom w:w="0" w:type="dxa"/>
              <w:right w:w="0" w:type="dxa"/>
            </w:tcMar>
          </w:tcPr>
          <w:p w14:paraId="07E9601B" w14:textId="77777777" w:rsidR="008B4DF8" w:rsidRPr="00C1603D" w:rsidRDefault="008B4DF8" w:rsidP="00943414">
            <w:pPr>
              <w:pStyle w:val="72TabletextTablesTableFigureBoxstyles"/>
            </w:pPr>
            <w:r w:rsidRPr="00C1603D">
              <w:rPr>
                <w:rFonts w:eastAsia="Arial"/>
              </w:rPr>
              <w:t>290</w:t>
            </w:r>
          </w:p>
        </w:tc>
        <w:tc>
          <w:tcPr>
            <w:tcW w:w="0" w:type="auto"/>
            <w:shd w:val="clear" w:color="auto" w:fill="FFFFFF"/>
            <w:tcMar>
              <w:top w:w="0" w:type="dxa"/>
              <w:left w:w="0" w:type="dxa"/>
              <w:bottom w:w="0" w:type="dxa"/>
              <w:right w:w="0" w:type="dxa"/>
            </w:tcMar>
          </w:tcPr>
          <w:p w14:paraId="1F18ABCD"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10838F99"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22895EF" w14:textId="1D3B974E"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A0CB1E4"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241136EB"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4374ACF6" w14:textId="6E41ECF1" w:rsidR="008B4DF8" w:rsidRPr="00C1603D" w:rsidRDefault="008B5CB8" w:rsidP="00943414">
            <w:pPr>
              <w:pStyle w:val="72TabletextTablesTableFigureBoxstyles"/>
            </w:pPr>
            <w:r w:rsidRPr="00C1603D">
              <w:rPr>
                <w:rFonts w:eastAsia="Arial"/>
                <w:noProof/>
              </w:rPr>
              <w:t xml:space="preserve">Bizzero </w:t>
            </w:r>
            <w:r w:rsidRPr="00C1603D">
              <w:rPr>
                <w:rFonts w:eastAsia="Arial"/>
                <w:i/>
                <w:iCs/>
                <w:noProof/>
              </w:rPr>
              <w:t>et al</w:t>
            </w:r>
            <w:r w:rsidRPr="00C1603D">
              <w:rPr>
                <w:rFonts w:eastAsia="Arial"/>
                <w:noProof/>
              </w:rPr>
              <w:t>.</w:t>
            </w:r>
            <w:r w:rsidR="008B4DF8" w:rsidRPr="00C1603D">
              <w:rPr>
                <w:rFonts w:eastAsia="Arial"/>
                <w:noProof/>
                <w:vertAlign w:val="superscript"/>
              </w:rPr>
              <w:t>327</w:t>
            </w:r>
          </w:p>
        </w:tc>
      </w:tr>
      <w:tr w:rsidR="008B5CB8" w:rsidRPr="00C1603D" w14:paraId="57AD9987" w14:textId="77777777" w:rsidTr="00943414">
        <w:trPr>
          <w:cantSplit/>
        </w:trPr>
        <w:tc>
          <w:tcPr>
            <w:tcW w:w="0" w:type="auto"/>
            <w:shd w:val="clear" w:color="auto" w:fill="FFFFFF"/>
            <w:tcMar>
              <w:top w:w="0" w:type="dxa"/>
              <w:left w:w="0" w:type="dxa"/>
              <w:bottom w:w="0" w:type="dxa"/>
              <w:right w:w="0" w:type="dxa"/>
            </w:tcMar>
          </w:tcPr>
          <w:p w14:paraId="4CD6938D"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5EE771A5" w14:textId="30F14C74"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FFFB695" w14:textId="77777777" w:rsidR="008B4DF8" w:rsidRPr="00C1603D" w:rsidRDefault="008B4DF8" w:rsidP="00943414">
            <w:pPr>
              <w:pStyle w:val="72TabletextTablesTableFigureBoxstyles"/>
            </w:pPr>
            <w:r w:rsidRPr="00C1603D">
              <w:rPr>
                <w:rFonts w:eastAsia="Arial"/>
              </w:rPr>
              <w:t>Ulcerative colitis or Crohn</w:t>
            </w:r>
            <w:r w:rsidRPr="00C1603D">
              <w:rPr>
                <w:rFonts w:eastAsia="Arial"/>
                <w:color w:val="00B0F0"/>
              </w:rPr>
              <w:t>’</w:t>
            </w:r>
            <w:r w:rsidRPr="00C1603D">
              <w:rPr>
                <w:rFonts w:eastAsia="Arial"/>
              </w:rPr>
              <w:t>s disease</w:t>
            </w:r>
          </w:p>
        </w:tc>
        <w:tc>
          <w:tcPr>
            <w:tcW w:w="0" w:type="auto"/>
            <w:shd w:val="clear" w:color="auto" w:fill="FFFFFF"/>
            <w:tcMar>
              <w:top w:w="0" w:type="dxa"/>
              <w:left w:w="0" w:type="dxa"/>
              <w:bottom w:w="0" w:type="dxa"/>
              <w:right w:w="0" w:type="dxa"/>
            </w:tcMar>
          </w:tcPr>
          <w:p w14:paraId="400C64B2" w14:textId="77777777" w:rsidR="008B4DF8" w:rsidRPr="00C1603D" w:rsidRDefault="008B4DF8" w:rsidP="00943414">
            <w:pPr>
              <w:pStyle w:val="72TabletextTablesTableFigureBoxstyles"/>
            </w:pPr>
            <w:r w:rsidRPr="00C1603D">
              <w:rPr>
                <w:rFonts w:eastAsia="Arial"/>
              </w:rPr>
              <w:t>328</w:t>
            </w:r>
          </w:p>
        </w:tc>
        <w:tc>
          <w:tcPr>
            <w:tcW w:w="0" w:type="auto"/>
            <w:shd w:val="clear" w:color="auto" w:fill="FFFFFF"/>
            <w:tcMar>
              <w:top w:w="0" w:type="dxa"/>
              <w:left w:w="0" w:type="dxa"/>
              <w:bottom w:w="0" w:type="dxa"/>
              <w:right w:w="0" w:type="dxa"/>
            </w:tcMar>
          </w:tcPr>
          <w:p w14:paraId="367FD02A" w14:textId="31451A17"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061AA61"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DD24440"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26910C24"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58B8018"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73BDE957" w14:textId="776C09EB" w:rsidR="008B4DF8" w:rsidRPr="00C1603D" w:rsidRDefault="008B5CB8" w:rsidP="00943414">
            <w:pPr>
              <w:pStyle w:val="72TabletextTablesTableFigureBoxstyles"/>
            </w:pPr>
            <w:r w:rsidRPr="00C1603D">
              <w:rPr>
                <w:rFonts w:eastAsia="Arial"/>
                <w:noProof/>
              </w:rPr>
              <w:t xml:space="preserve">El-Matary </w:t>
            </w:r>
            <w:r w:rsidRPr="00C1603D">
              <w:rPr>
                <w:rFonts w:eastAsia="Arial"/>
                <w:i/>
                <w:iCs/>
                <w:noProof/>
              </w:rPr>
              <w:t>et al</w:t>
            </w:r>
            <w:r w:rsidRPr="00C1603D">
              <w:rPr>
                <w:rFonts w:eastAsia="Arial"/>
                <w:noProof/>
              </w:rPr>
              <w:t>.</w:t>
            </w:r>
            <w:r w:rsidR="008B4DF8" w:rsidRPr="00C1603D">
              <w:rPr>
                <w:rFonts w:eastAsia="Arial"/>
                <w:noProof/>
                <w:vertAlign w:val="superscript"/>
              </w:rPr>
              <w:t>379</w:t>
            </w:r>
          </w:p>
        </w:tc>
      </w:tr>
      <w:tr w:rsidR="008B5CB8" w:rsidRPr="00C1603D" w14:paraId="5BF5A72B" w14:textId="77777777" w:rsidTr="00943414">
        <w:trPr>
          <w:cantSplit/>
        </w:trPr>
        <w:tc>
          <w:tcPr>
            <w:tcW w:w="0" w:type="auto"/>
            <w:shd w:val="clear" w:color="auto" w:fill="FFFFFF"/>
            <w:tcMar>
              <w:top w:w="0" w:type="dxa"/>
              <w:left w:w="0" w:type="dxa"/>
              <w:bottom w:w="0" w:type="dxa"/>
              <w:right w:w="0" w:type="dxa"/>
            </w:tcMar>
          </w:tcPr>
          <w:p w14:paraId="39E7B1AD"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08980754" w14:textId="3652E2F2"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B5DCDF3" w14:textId="77777777" w:rsidR="008B4DF8" w:rsidRPr="00C1603D" w:rsidRDefault="008B4DF8" w:rsidP="00943414">
            <w:pPr>
              <w:pStyle w:val="72TabletextTablesTableFigureBoxstyles"/>
            </w:pPr>
            <w:r w:rsidRPr="00C1603D">
              <w:rPr>
                <w:rFonts w:eastAsia="Arial"/>
              </w:rPr>
              <w:t>Ulcerative colitis</w:t>
            </w:r>
          </w:p>
        </w:tc>
        <w:tc>
          <w:tcPr>
            <w:tcW w:w="0" w:type="auto"/>
            <w:shd w:val="clear" w:color="auto" w:fill="FFFFFF"/>
            <w:tcMar>
              <w:top w:w="0" w:type="dxa"/>
              <w:left w:w="0" w:type="dxa"/>
              <w:bottom w:w="0" w:type="dxa"/>
              <w:right w:w="0" w:type="dxa"/>
            </w:tcMar>
          </w:tcPr>
          <w:p w14:paraId="68B2B21A" w14:textId="77777777" w:rsidR="008B4DF8" w:rsidRPr="00C1603D" w:rsidRDefault="008B4DF8" w:rsidP="00943414">
            <w:pPr>
              <w:pStyle w:val="72TabletextTablesTableFigureBoxstyles"/>
            </w:pPr>
            <w:r w:rsidRPr="00C1603D">
              <w:rPr>
                <w:rFonts w:eastAsia="Arial"/>
              </w:rPr>
              <w:t>86</w:t>
            </w:r>
          </w:p>
        </w:tc>
        <w:tc>
          <w:tcPr>
            <w:tcW w:w="0" w:type="auto"/>
            <w:shd w:val="clear" w:color="auto" w:fill="FFFFFF"/>
            <w:tcMar>
              <w:top w:w="0" w:type="dxa"/>
              <w:left w:w="0" w:type="dxa"/>
              <w:bottom w:w="0" w:type="dxa"/>
              <w:right w:w="0" w:type="dxa"/>
            </w:tcMar>
          </w:tcPr>
          <w:p w14:paraId="2A676C95" w14:textId="4306A16C"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5CBD6180"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8524F61" w14:textId="77777777" w:rsidR="008B4DF8" w:rsidRPr="00C1603D" w:rsidRDefault="008B4DF8" w:rsidP="00943414">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38BC1AF3"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362A689" w14:textId="77777777" w:rsidR="008B4DF8" w:rsidRPr="00C1603D" w:rsidRDefault="008B4DF8" w:rsidP="00943414">
            <w:pPr>
              <w:pStyle w:val="72TabletextTablesTableFigureBoxstyles"/>
            </w:pPr>
            <w:r w:rsidRPr="00C1603D">
              <w:rPr>
                <w:rFonts w:eastAsia="Arial"/>
              </w:rPr>
              <w:t>Estonia</w:t>
            </w:r>
          </w:p>
        </w:tc>
        <w:tc>
          <w:tcPr>
            <w:tcW w:w="0" w:type="auto"/>
            <w:shd w:val="clear" w:color="auto" w:fill="FFFFFF"/>
            <w:tcMar>
              <w:top w:w="0" w:type="dxa"/>
              <w:left w:w="0" w:type="dxa"/>
              <w:bottom w:w="0" w:type="dxa"/>
              <w:right w:w="0" w:type="dxa"/>
            </w:tcMar>
          </w:tcPr>
          <w:p w14:paraId="1A9B8979" w14:textId="0F422BF4" w:rsidR="008B4DF8" w:rsidRPr="00C1603D" w:rsidRDefault="008B5CB8" w:rsidP="00943414">
            <w:pPr>
              <w:pStyle w:val="72TabletextTablesTableFigureBoxstyles"/>
            </w:pPr>
            <w:r w:rsidRPr="00C1603D">
              <w:rPr>
                <w:rFonts w:eastAsia="Arial"/>
                <w:noProof/>
              </w:rPr>
              <w:t xml:space="preserve">Kull </w:t>
            </w:r>
            <w:r w:rsidRPr="00C1603D">
              <w:rPr>
                <w:rFonts w:eastAsia="Arial"/>
                <w:i/>
                <w:iCs/>
                <w:noProof/>
              </w:rPr>
              <w:t>et al</w:t>
            </w:r>
            <w:r w:rsidRPr="00C1603D">
              <w:rPr>
                <w:rFonts w:eastAsia="Arial"/>
                <w:noProof/>
              </w:rPr>
              <w:t>.</w:t>
            </w:r>
            <w:r w:rsidR="008B4DF8" w:rsidRPr="00C1603D">
              <w:rPr>
                <w:rFonts w:eastAsia="Arial"/>
                <w:noProof/>
                <w:vertAlign w:val="superscript"/>
              </w:rPr>
              <w:t>380</w:t>
            </w:r>
          </w:p>
        </w:tc>
      </w:tr>
      <w:tr w:rsidR="007214FD" w:rsidRPr="00C1603D" w14:paraId="1FCF5CDF" w14:textId="77777777" w:rsidTr="00D75E49">
        <w:trPr>
          <w:cantSplit/>
        </w:trPr>
        <w:tc>
          <w:tcPr>
            <w:tcW w:w="0" w:type="auto"/>
            <w:gridSpan w:val="10"/>
            <w:shd w:val="clear" w:color="auto" w:fill="FFFFFF"/>
            <w:tcMar>
              <w:top w:w="0" w:type="dxa"/>
              <w:left w:w="0" w:type="dxa"/>
              <w:bottom w:w="0" w:type="dxa"/>
              <w:right w:w="0" w:type="dxa"/>
            </w:tcMar>
          </w:tcPr>
          <w:p w14:paraId="6A0A14DD" w14:textId="512C6763" w:rsidR="007214FD" w:rsidRPr="00C1603D" w:rsidRDefault="007214FD" w:rsidP="007214FD">
            <w:pPr>
              <w:pStyle w:val="75TablenotesTablesTableFigureBoxstyles"/>
              <w:rPr>
                <w:rFonts w:eastAsia="Arial"/>
                <w:noProof/>
                <w:vertAlign w:val="superscript"/>
              </w:rPr>
            </w:pPr>
            <w:r w:rsidRPr="00C1603D">
              <w:rPr>
                <w:rFonts w:eastAsia="Arial"/>
                <w:noProof/>
              </w:rPr>
              <w:t>DI, diagnostic indicator; NR, not reported.</w:t>
            </w:r>
          </w:p>
        </w:tc>
      </w:tr>
    </w:tbl>
    <w:p w14:paraId="7A1B1002" w14:textId="5D1662F5" w:rsidR="008B4DF8" w:rsidRPr="00C1603D" w:rsidRDefault="008B4DF8" w:rsidP="008B4DF8">
      <w:pPr>
        <w:pStyle w:val="70TablelegendTablesTableFigureBoxstyles"/>
      </w:pPr>
      <w:bookmarkStart w:id="595" w:name="_Toc99720749"/>
      <w:r w:rsidRPr="00C1603D">
        <w:rPr>
          <w:b/>
        </w:rPr>
        <w:t>TABLE 3</w:t>
      </w:r>
      <w:r w:rsidR="00032460" w:rsidRPr="00C1603D">
        <w:rPr>
          <w:b/>
        </w:rPr>
        <w:t>9</w:t>
      </w:r>
      <w:r w:rsidRPr="00C1603D">
        <w:rPr>
          <w:b/>
        </w:rPr>
        <w:t> </w:t>
      </w:r>
      <w:r w:rsidRPr="00C1603D">
        <w:t xml:space="preserve">Study characteristic: </w:t>
      </w:r>
      <w:r w:rsidR="00C82170" w:rsidRPr="00C1603D">
        <w:t>IBS</w:t>
      </w:r>
      <w:bookmarkEnd w:id="595"/>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91"/>
        <w:gridCol w:w="682"/>
        <w:gridCol w:w="876"/>
        <w:gridCol w:w="619"/>
        <w:gridCol w:w="628"/>
        <w:gridCol w:w="1643"/>
        <w:gridCol w:w="1043"/>
        <w:gridCol w:w="956"/>
        <w:gridCol w:w="694"/>
        <w:gridCol w:w="994"/>
      </w:tblGrid>
      <w:tr w:rsidR="008B5CB8" w:rsidRPr="00C1603D" w14:paraId="47AB17DE" w14:textId="77777777" w:rsidTr="00943414">
        <w:trPr>
          <w:cantSplit/>
        </w:trPr>
        <w:tc>
          <w:tcPr>
            <w:tcW w:w="0" w:type="auto"/>
            <w:shd w:val="clear" w:color="auto" w:fill="FFFFFF"/>
            <w:tcMar>
              <w:top w:w="0" w:type="dxa"/>
              <w:left w:w="0" w:type="dxa"/>
              <w:bottom w:w="0" w:type="dxa"/>
              <w:right w:w="0" w:type="dxa"/>
            </w:tcMar>
          </w:tcPr>
          <w:p w14:paraId="7B421270" w14:textId="18595786"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30CA3A51" w14:textId="4F9E8C1E"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592BF0FE" w14:textId="08C583AE"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05C929A0" w14:textId="2C1E3298"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114EA171"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10941604"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1C1D4024"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93270C2"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0F1C877D"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5486850D" w14:textId="77777777" w:rsidR="001902E7" w:rsidRPr="00C1603D" w:rsidRDefault="001902E7" w:rsidP="001902E7">
            <w:pPr>
              <w:pStyle w:val="710TableheadTablesTableFigureBoxstyles"/>
            </w:pPr>
            <w:r w:rsidRPr="00C1603D">
              <w:rPr>
                <w:rFonts w:eastAsia="Arial"/>
              </w:rPr>
              <w:t>Reference</w:t>
            </w:r>
          </w:p>
        </w:tc>
      </w:tr>
      <w:tr w:rsidR="008B5CB8" w:rsidRPr="00C1603D" w14:paraId="49B42ADD" w14:textId="77777777" w:rsidTr="00943414">
        <w:trPr>
          <w:cantSplit/>
        </w:trPr>
        <w:tc>
          <w:tcPr>
            <w:tcW w:w="0" w:type="auto"/>
            <w:shd w:val="clear" w:color="auto" w:fill="FFFFFF"/>
            <w:tcMar>
              <w:top w:w="0" w:type="dxa"/>
              <w:left w:w="0" w:type="dxa"/>
              <w:bottom w:w="0" w:type="dxa"/>
              <w:right w:w="0" w:type="dxa"/>
            </w:tcMar>
          </w:tcPr>
          <w:p w14:paraId="09BF78D1"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18AA340" w14:textId="3B3FC42B"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EA58001" w14:textId="003040ED"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7E2C7137" w14:textId="77777777" w:rsidR="008B4DF8" w:rsidRPr="00C1603D" w:rsidRDefault="008B4DF8" w:rsidP="00943414">
            <w:pPr>
              <w:pStyle w:val="72TabletextTablesTableFigureBoxstyles"/>
            </w:pPr>
            <w:r w:rsidRPr="00C1603D">
              <w:rPr>
                <w:rFonts w:eastAsia="Arial"/>
              </w:rPr>
              <w:t>233</w:t>
            </w:r>
          </w:p>
        </w:tc>
        <w:tc>
          <w:tcPr>
            <w:tcW w:w="0" w:type="auto"/>
            <w:shd w:val="clear" w:color="auto" w:fill="FFFFFF"/>
            <w:tcMar>
              <w:top w:w="0" w:type="dxa"/>
              <w:left w:w="0" w:type="dxa"/>
              <w:bottom w:w="0" w:type="dxa"/>
              <w:right w:w="0" w:type="dxa"/>
            </w:tcMar>
          </w:tcPr>
          <w:p w14:paraId="0A00366E" w14:textId="1FF3CD6D"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4534DFB8" w14:textId="0253F527" w:rsidR="008B4DF8" w:rsidRPr="00C1603D" w:rsidRDefault="008B5CB8"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187773CE"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39A27722"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8C13044" w14:textId="77777777" w:rsidR="008B4DF8" w:rsidRPr="00C1603D" w:rsidRDefault="008B4DF8" w:rsidP="00943414">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16655D2C" w14:textId="1C526B68" w:rsidR="008B4DF8" w:rsidRPr="00C1603D" w:rsidRDefault="008B5CB8" w:rsidP="00943414">
            <w:pPr>
              <w:pStyle w:val="72TabletextTablesTableFigureBoxstyles"/>
            </w:pPr>
            <w:r w:rsidRPr="00C1603D">
              <w:rPr>
                <w:rFonts w:eastAsia="Arial"/>
                <w:noProof/>
              </w:rPr>
              <w:t xml:space="preserve">Mehdi </w:t>
            </w:r>
            <w:r w:rsidRPr="00C1603D">
              <w:rPr>
                <w:rFonts w:eastAsia="Arial"/>
                <w:i/>
                <w:iCs/>
                <w:noProof/>
              </w:rPr>
              <w:t>et al</w:t>
            </w:r>
            <w:r w:rsidRPr="00C1603D">
              <w:rPr>
                <w:rFonts w:eastAsia="Arial"/>
                <w:noProof/>
              </w:rPr>
              <w:t>.</w:t>
            </w:r>
            <w:r w:rsidR="008B4DF8" w:rsidRPr="00C1603D">
              <w:rPr>
                <w:rFonts w:eastAsia="Arial"/>
                <w:noProof/>
                <w:vertAlign w:val="superscript"/>
              </w:rPr>
              <w:t>381</w:t>
            </w:r>
          </w:p>
        </w:tc>
      </w:tr>
      <w:tr w:rsidR="008B5CB8" w:rsidRPr="00C1603D" w14:paraId="7793E444" w14:textId="77777777" w:rsidTr="00943414">
        <w:trPr>
          <w:cantSplit/>
        </w:trPr>
        <w:tc>
          <w:tcPr>
            <w:tcW w:w="0" w:type="auto"/>
            <w:shd w:val="clear" w:color="auto" w:fill="FFFFFF"/>
            <w:tcMar>
              <w:top w:w="0" w:type="dxa"/>
              <w:left w:w="0" w:type="dxa"/>
              <w:bottom w:w="0" w:type="dxa"/>
              <w:right w:w="0" w:type="dxa"/>
            </w:tcMar>
          </w:tcPr>
          <w:p w14:paraId="1FDD3DDF" w14:textId="77777777" w:rsidR="008B5CB8" w:rsidRPr="00C1603D" w:rsidRDefault="008B5CB8" w:rsidP="008B5CB8">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59B68D6" w14:textId="1FD18887" w:rsidR="008B5CB8" w:rsidRPr="00C1603D" w:rsidRDefault="008B5CB8" w:rsidP="008B5CB8">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36117E88" w14:textId="2B295A9A" w:rsidR="008B5CB8" w:rsidRPr="00C1603D" w:rsidRDefault="008B5CB8" w:rsidP="008B5CB8">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5830085D" w14:textId="77777777" w:rsidR="008B5CB8" w:rsidRPr="00C1603D" w:rsidRDefault="008B5CB8" w:rsidP="008B5CB8">
            <w:pPr>
              <w:pStyle w:val="72TabletextTablesTableFigureBoxstyles"/>
            </w:pPr>
            <w:r w:rsidRPr="00C1603D">
              <w:rPr>
                <w:rFonts w:eastAsia="Arial"/>
              </w:rPr>
              <w:t>200</w:t>
            </w:r>
          </w:p>
        </w:tc>
        <w:tc>
          <w:tcPr>
            <w:tcW w:w="0" w:type="auto"/>
            <w:shd w:val="clear" w:color="auto" w:fill="FFFFFF"/>
            <w:tcMar>
              <w:top w:w="0" w:type="dxa"/>
              <w:left w:w="0" w:type="dxa"/>
              <w:bottom w:w="0" w:type="dxa"/>
              <w:right w:w="0" w:type="dxa"/>
            </w:tcMar>
          </w:tcPr>
          <w:p w14:paraId="45BDB346" w14:textId="671C9926" w:rsidR="008B5CB8" w:rsidRPr="00C1603D" w:rsidRDefault="008B5CB8" w:rsidP="008B5CB8">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99355F4" w14:textId="01E66B22" w:rsidR="008B5CB8" w:rsidRPr="00C1603D" w:rsidRDefault="008B5CB8" w:rsidP="008B5CB8">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4553D18" w14:textId="77777777" w:rsidR="008B5CB8" w:rsidRPr="00C1603D" w:rsidRDefault="008B5CB8" w:rsidP="008B5CB8">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15159830" w14:textId="77777777" w:rsidR="008B5CB8" w:rsidRPr="00C1603D" w:rsidRDefault="008B5CB8" w:rsidP="008B5CB8">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87C3470" w14:textId="77777777" w:rsidR="008B5CB8" w:rsidRPr="00C1603D" w:rsidRDefault="008B5CB8" w:rsidP="008B5CB8">
            <w:pPr>
              <w:pStyle w:val="72TabletextTablesTableFigureBoxstyles"/>
            </w:pPr>
            <w:r w:rsidRPr="00C1603D">
              <w:rPr>
                <w:rFonts w:eastAsia="Arial"/>
              </w:rPr>
              <w:t>Poland</w:t>
            </w:r>
          </w:p>
        </w:tc>
        <w:tc>
          <w:tcPr>
            <w:tcW w:w="0" w:type="auto"/>
            <w:shd w:val="clear" w:color="auto" w:fill="FFFFFF"/>
            <w:tcMar>
              <w:top w:w="0" w:type="dxa"/>
              <w:left w:w="0" w:type="dxa"/>
              <w:bottom w:w="0" w:type="dxa"/>
              <w:right w:w="0" w:type="dxa"/>
            </w:tcMar>
          </w:tcPr>
          <w:p w14:paraId="4FF4A612" w14:textId="16B9E665" w:rsidR="008B5CB8" w:rsidRPr="00C1603D" w:rsidRDefault="008B5CB8" w:rsidP="008B5CB8">
            <w:pPr>
              <w:pStyle w:val="72TabletextTablesTableFigureBoxstyles"/>
            </w:pPr>
            <w:r w:rsidRPr="00C1603D">
              <w:rPr>
                <w:rFonts w:eastAsia="Arial"/>
                <w:noProof/>
              </w:rPr>
              <w:t xml:space="preserve">Respondek </w:t>
            </w:r>
            <w:r w:rsidRPr="00C1603D">
              <w:rPr>
                <w:rFonts w:eastAsia="Arial"/>
                <w:i/>
                <w:iCs/>
                <w:noProof/>
              </w:rPr>
              <w:t>et al</w:t>
            </w:r>
            <w:r w:rsidRPr="00C1603D">
              <w:rPr>
                <w:rFonts w:eastAsia="Arial"/>
                <w:noProof/>
              </w:rPr>
              <w:t>.</w:t>
            </w:r>
            <w:r w:rsidRPr="00C1603D">
              <w:rPr>
                <w:rFonts w:eastAsia="Arial"/>
                <w:noProof/>
                <w:vertAlign w:val="superscript"/>
              </w:rPr>
              <w:t>382</w:t>
            </w:r>
          </w:p>
        </w:tc>
      </w:tr>
      <w:tr w:rsidR="008B5CB8" w:rsidRPr="00C1603D" w14:paraId="4699220C" w14:textId="77777777" w:rsidTr="00943414">
        <w:trPr>
          <w:cantSplit/>
        </w:trPr>
        <w:tc>
          <w:tcPr>
            <w:tcW w:w="0" w:type="auto"/>
            <w:shd w:val="clear" w:color="auto" w:fill="FFFFFF"/>
            <w:tcMar>
              <w:top w:w="0" w:type="dxa"/>
              <w:left w:w="0" w:type="dxa"/>
              <w:bottom w:w="0" w:type="dxa"/>
              <w:right w:w="0" w:type="dxa"/>
            </w:tcMar>
          </w:tcPr>
          <w:p w14:paraId="7FA8FBD6" w14:textId="77777777" w:rsidR="008B5CB8" w:rsidRPr="00C1603D" w:rsidRDefault="008B5CB8" w:rsidP="008B5CB8">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0D239C1" w14:textId="026D4EEB" w:rsidR="008B5CB8" w:rsidRPr="00C1603D" w:rsidRDefault="008B5CB8" w:rsidP="008B5CB8">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6BFE6213" w14:textId="58B80896" w:rsidR="008B5CB8" w:rsidRPr="00C1603D" w:rsidRDefault="008B5CB8" w:rsidP="008B5CB8">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19055F40" w14:textId="77415200" w:rsidR="008B5CB8" w:rsidRPr="00C1603D" w:rsidRDefault="008B5CB8" w:rsidP="008B5CB8">
            <w:pPr>
              <w:pStyle w:val="72TabletextTablesTableFigureBoxstyles"/>
            </w:pPr>
            <w:r w:rsidRPr="00C1603D">
              <w:rPr>
                <w:rFonts w:eastAsia="Arial"/>
              </w:rPr>
              <w:t>1064</w:t>
            </w:r>
          </w:p>
        </w:tc>
        <w:tc>
          <w:tcPr>
            <w:tcW w:w="0" w:type="auto"/>
            <w:shd w:val="clear" w:color="auto" w:fill="FFFFFF"/>
            <w:tcMar>
              <w:top w:w="0" w:type="dxa"/>
              <w:left w:w="0" w:type="dxa"/>
              <w:bottom w:w="0" w:type="dxa"/>
              <w:right w:w="0" w:type="dxa"/>
            </w:tcMar>
          </w:tcPr>
          <w:p w14:paraId="7E23E6E6" w14:textId="4F2C3CBE" w:rsidR="008B5CB8" w:rsidRPr="00C1603D" w:rsidRDefault="008B5CB8" w:rsidP="008B5CB8">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425DFECA" w14:textId="06DBFF9B" w:rsidR="008B5CB8" w:rsidRPr="00C1603D" w:rsidRDefault="008B5CB8" w:rsidP="008B5CB8">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B046154" w14:textId="58D6FD83" w:rsidR="008B5CB8" w:rsidRPr="00C1603D" w:rsidRDefault="008B5CB8" w:rsidP="008B5CB8">
            <w:pPr>
              <w:pStyle w:val="72TabletextTablesTableFigureBoxstyles"/>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6216941A" w14:textId="77777777" w:rsidR="008B5CB8" w:rsidRPr="00C1603D" w:rsidRDefault="008B5CB8" w:rsidP="008B5CB8">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73C9951" w14:textId="42CECD3E" w:rsidR="008B5CB8" w:rsidRPr="00C1603D" w:rsidRDefault="008B5CB8" w:rsidP="008B5CB8">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0AD2732C" w14:textId="28C14C79" w:rsidR="008B5CB8" w:rsidRPr="00C1603D" w:rsidRDefault="008B5CB8" w:rsidP="008B5CB8">
            <w:pPr>
              <w:pStyle w:val="72TabletextTablesTableFigureBoxstyles"/>
            </w:pPr>
            <w:r w:rsidRPr="00C1603D">
              <w:rPr>
                <w:rFonts w:eastAsia="Arial"/>
                <w:noProof/>
              </w:rPr>
              <w:t xml:space="preserve">Almazar </w:t>
            </w:r>
            <w:r w:rsidRPr="00C1603D">
              <w:rPr>
                <w:rFonts w:eastAsia="Arial"/>
                <w:i/>
                <w:iCs/>
                <w:noProof/>
              </w:rPr>
              <w:t>et al</w:t>
            </w:r>
            <w:r w:rsidRPr="00C1603D">
              <w:rPr>
                <w:rFonts w:eastAsia="Arial"/>
                <w:noProof/>
              </w:rPr>
              <w:t>.</w:t>
            </w:r>
            <w:r w:rsidRPr="00C1603D">
              <w:rPr>
                <w:rFonts w:eastAsia="Arial"/>
                <w:noProof/>
                <w:vertAlign w:val="superscript"/>
              </w:rPr>
              <w:t>383</w:t>
            </w:r>
          </w:p>
        </w:tc>
      </w:tr>
      <w:tr w:rsidR="008B5CB8" w:rsidRPr="00C1603D" w14:paraId="4F879366" w14:textId="77777777" w:rsidTr="00943414">
        <w:trPr>
          <w:cantSplit/>
        </w:trPr>
        <w:tc>
          <w:tcPr>
            <w:tcW w:w="0" w:type="auto"/>
            <w:shd w:val="clear" w:color="auto" w:fill="FFFFFF"/>
            <w:tcMar>
              <w:top w:w="0" w:type="dxa"/>
              <w:left w:w="0" w:type="dxa"/>
              <w:bottom w:w="0" w:type="dxa"/>
              <w:right w:w="0" w:type="dxa"/>
            </w:tcMar>
          </w:tcPr>
          <w:p w14:paraId="7BBBEFA3" w14:textId="77777777" w:rsidR="008B5CB8" w:rsidRPr="00C1603D" w:rsidRDefault="008B5CB8" w:rsidP="008B5CB8">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3E532C7" w14:textId="6412DE01" w:rsidR="008B5CB8" w:rsidRPr="00C1603D" w:rsidRDefault="008B5CB8" w:rsidP="008B5CB8">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3AD9F228" w14:textId="33601F77" w:rsidR="008B5CB8" w:rsidRPr="00C1603D" w:rsidRDefault="008B5CB8" w:rsidP="008B5CB8">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562BB7BB" w14:textId="77777777" w:rsidR="008B5CB8" w:rsidRPr="00C1603D" w:rsidRDefault="008B5CB8" w:rsidP="008B5CB8">
            <w:pPr>
              <w:pStyle w:val="72TabletextTablesTableFigureBoxstyles"/>
            </w:pPr>
            <w:r w:rsidRPr="00C1603D">
              <w:rPr>
                <w:rFonts w:eastAsia="Arial"/>
              </w:rPr>
              <w:t>950</w:t>
            </w:r>
          </w:p>
        </w:tc>
        <w:tc>
          <w:tcPr>
            <w:tcW w:w="0" w:type="auto"/>
            <w:shd w:val="clear" w:color="auto" w:fill="FFFFFF"/>
            <w:tcMar>
              <w:top w:w="0" w:type="dxa"/>
              <w:left w:w="0" w:type="dxa"/>
              <w:bottom w:w="0" w:type="dxa"/>
              <w:right w:w="0" w:type="dxa"/>
            </w:tcMar>
          </w:tcPr>
          <w:p w14:paraId="66345A8C" w14:textId="77777777" w:rsidR="008B5CB8" w:rsidRPr="00C1603D" w:rsidRDefault="008B5CB8" w:rsidP="008B5CB8">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01828FFE" w14:textId="59F4513E" w:rsidR="008B5CB8" w:rsidRPr="00C1603D" w:rsidRDefault="008B5CB8" w:rsidP="008B5CB8">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8DAC2AB" w14:textId="2D1B41F1" w:rsidR="008B5CB8" w:rsidRPr="00C1603D" w:rsidRDefault="008B5CB8" w:rsidP="008B5CB8">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4B6AC0DC" w14:textId="77777777" w:rsidR="008B5CB8" w:rsidRPr="00C1603D" w:rsidRDefault="008B5CB8" w:rsidP="008B5CB8">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97599BD" w14:textId="608754D8" w:rsidR="008B5CB8" w:rsidRPr="00C1603D" w:rsidRDefault="008B5CB8" w:rsidP="008B5CB8">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0F97D9B4" w14:textId="34E0C903" w:rsidR="008B5CB8" w:rsidRPr="00C1603D" w:rsidRDefault="008B5CB8" w:rsidP="008B5CB8">
            <w:pPr>
              <w:pStyle w:val="72TabletextTablesTableFigureBoxstyles"/>
            </w:pPr>
            <w:r w:rsidRPr="00C1603D">
              <w:rPr>
                <w:rFonts w:eastAsia="Arial"/>
                <w:noProof/>
              </w:rPr>
              <w:t xml:space="preserve">Cash </w:t>
            </w:r>
            <w:r w:rsidRPr="00C1603D">
              <w:rPr>
                <w:rFonts w:eastAsia="Arial"/>
                <w:i/>
                <w:iCs/>
                <w:noProof/>
              </w:rPr>
              <w:t>et al</w:t>
            </w:r>
            <w:r w:rsidRPr="00C1603D">
              <w:rPr>
                <w:rFonts w:eastAsia="Arial"/>
                <w:noProof/>
              </w:rPr>
              <w:t>.</w:t>
            </w:r>
            <w:r w:rsidRPr="00C1603D">
              <w:rPr>
                <w:rFonts w:eastAsia="Arial"/>
                <w:noProof/>
                <w:vertAlign w:val="superscript"/>
              </w:rPr>
              <w:t>384</w:t>
            </w:r>
          </w:p>
        </w:tc>
      </w:tr>
      <w:tr w:rsidR="008B5CB8" w:rsidRPr="00C1603D" w14:paraId="3E11A715" w14:textId="77777777" w:rsidTr="00943414">
        <w:trPr>
          <w:cantSplit/>
        </w:trPr>
        <w:tc>
          <w:tcPr>
            <w:tcW w:w="0" w:type="auto"/>
            <w:shd w:val="clear" w:color="auto" w:fill="FFFFFF"/>
            <w:tcMar>
              <w:top w:w="0" w:type="dxa"/>
              <w:left w:w="0" w:type="dxa"/>
              <w:bottom w:w="0" w:type="dxa"/>
              <w:right w:w="0" w:type="dxa"/>
            </w:tcMar>
          </w:tcPr>
          <w:p w14:paraId="1F2E950F" w14:textId="77777777" w:rsidR="008B5CB8" w:rsidRPr="00C1603D" w:rsidRDefault="008B5CB8" w:rsidP="008B5CB8">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9193498" w14:textId="04385461" w:rsidR="008B5CB8" w:rsidRPr="00C1603D" w:rsidRDefault="008B5CB8" w:rsidP="008B5CB8">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37038462" w14:textId="71F1E98D" w:rsidR="008B5CB8" w:rsidRPr="00C1603D" w:rsidRDefault="008B5CB8" w:rsidP="008B5CB8">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1CFA834A" w14:textId="77777777" w:rsidR="008B5CB8" w:rsidRPr="00C1603D" w:rsidRDefault="008B5CB8" w:rsidP="008B5CB8">
            <w:pPr>
              <w:pStyle w:val="72TabletextTablesTableFigureBoxstyles"/>
            </w:pPr>
            <w:r w:rsidRPr="00C1603D">
              <w:rPr>
                <w:rFonts w:eastAsia="Arial"/>
              </w:rPr>
              <w:t>68</w:t>
            </w:r>
          </w:p>
        </w:tc>
        <w:tc>
          <w:tcPr>
            <w:tcW w:w="0" w:type="auto"/>
            <w:shd w:val="clear" w:color="auto" w:fill="FFFFFF"/>
            <w:tcMar>
              <w:top w:w="0" w:type="dxa"/>
              <w:left w:w="0" w:type="dxa"/>
              <w:bottom w:w="0" w:type="dxa"/>
              <w:right w:w="0" w:type="dxa"/>
            </w:tcMar>
          </w:tcPr>
          <w:p w14:paraId="518B5FA2" w14:textId="6F231B1D" w:rsidR="008B5CB8" w:rsidRPr="00C1603D" w:rsidRDefault="008B5CB8" w:rsidP="008B5CB8">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AE0BB11" w14:textId="2F5CFD93" w:rsidR="008B5CB8" w:rsidRPr="00C1603D" w:rsidRDefault="008B5CB8" w:rsidP="008B5CB8">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A75669F" w14:textId="77777777" w:rsidR="008B5CB8" w:rsidRPr="00C1603D" w:rsidRDefault="008B5CB8" w:rsidP="008B5CB8">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14EECDE3" w14:textId="77777777" w:rsidR="008B5CB8" w:rsidRPr="00C1603D" w:rsidRDefault="008B5CB8" w:rsidP="008B5CB8">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285D3510" w14:textId="77777777" w:rsidR="008B5CB8" w:rsidRPr="00C1603D" w:rsidRDefault="008B5CB8" w:rsidP="008B5CB8">
            <w:pPr>
              <w:pStyle w:val="72TabletextTablesTableFigureBoxstyles"/>
            </w:pPr>
            <w:r w:rsidRPr="00C1603D">
              <w:rPr>
                <w:rFonts w:eastAsia="Arial"/>
              </w:rPr>
              <w:t>Poland</w:t>
            </w:r>
          </w:p>
        </w:tc>
        <w:tc>
          <w:tcPr>
            <w:tcW w:w="0" w:type="auto"/>
            <w:shd w:val="clear" w:color="auto" w:fill="FFFFFF"/>
            <w:tcMar>
              <w:top w:w="0" w:type="dxa"/>
              <w:left w:w="0" w:type="dxa"/>
              <w:bottom w:w="0" w:type="dxa"/>
              <w:right w:w="0" w:type="dxa"/>
            </w:tcMar>
          </w:tcPr>
          <w:p w14:paraId="1AC9781D" w14:textId="68BA1BDD" w:rsidR="008B5CB8" w:rsidRPr="00C1603D" w:rsidRDefault="008B5CB8" w:rsidP="008B5CB8">
            <w:pPr>
              <w:pStyle w:val="72TabletextTablesTableFigureBoxstyles"/>
            </w:pPr>
            <w:r w:rsidRPr="00C1603D">
              <w:t xml:space="preserve">Domżał-Magrowska </w:t>
            </w:r>
            <w:r w:rsidRPr="00C1603D">
              <w:rPr>
                <w:rFonts w:eastAsia="Arial"/>
                <w:i/>
                <w:iCs/>
                <w:noProof/>
              </w:rPr>
              <w:t>et al</w:t>
            </w:r>
            <w:r w:rsidRPr="00C1603D">
              <w:rPr>
                <w:rFonts w:eastAsia="Arial"/>
                <w:noProof/>
              </w:rPr>
              <w:t>.</w:t>
            </w:r>
            <w:r w:rsidRPr="00C1603D">
              <w:rPr>
                <w:rFonts w:eastAsia="Arial"/>
                <w:noProof/>
                <w:vertAlign w:val="superscript"/>
              </w:rPr>
              <w:t>385</w:t>
            </w:r>
          </w:p>
        </w:tc>
      </w:tr>
      <w:tr w:rsidR="008B5CB8" w:rsidRPr="00C1603D" w14:paraId="4885D6F1" w14:textId="77777777" w:rsidTr="00943414">
        <w:trPr>
          <w:cantSplit/>
        </w:trPr>
        <w:tc>
          <w:tcPr>
            <w:tcW w:w="0" w:type="auto"/>
            <w:shd w:val="clear" w:color="auto" w:fill="FFFFFF"/>
            <w:tcMar>
              <w:top w:w="0" w:type="dxa"/>
              <w:left w:w="0" w:type="dxa"/>
              <w:bottom w:w="0" w:type="dxa"/>
              <w:right w:w="0" w:type="dxa"/>
            </w:tcMar>
          </w:tcPr>
          <w:p w14:paraId="4643B376"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E487FBF" w14:textId="11135F94"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E599FF9" w14:textId="6F104D53"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3F5AE847" w14:textId="77777777" w:rsidR="008B4DF8" w:rsidRPr="00C1603D" w:rsidRDefault="008B4DF8" w:rsidP="00943414">
            <w:pPr>
              <w:pStyle w:val="72TabletextTablesTableFigureBoxstyles"/>
            </w:pPr>
            <w:r w:rsidRPr="00C1603D">
              <w:rPr>
                <w:rFonts w:eastAsia="Arial"/>
              </w:rPr>
              <w:t>492</w:t>
            </w:r>
          </w:p>
        </w:tc>
        <w:tc>
          <w:tcPr>
            <w:tcW w:w="0" w:type="auto"/>
            <w:shd w:val="clear" w:color="auto" w:fill="FFFFFF"/>
            <w:tcMar>
              <w:top w:w="0" w:type="dxa"/>
              <w:left w:w="0" w:type="dxa"/>
              <w:bottom w:w="0" w:type="dxa"/>
              <w:right w:w="0" w:type="dxa"/>
            </w:tcMar>
          </w:tcPr>
          <w:p w14:paraId="1D8DB6F3" w14:textId="30D41C6D"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0B042DF" w14:textId="5DB17F70" w:rsidR="008B4DF8" w:rsidRPr="00C1603D" w:rsidRDefault="008B4DF8" w:rsidP="00943414">
            <w:pPr>
              <w:pStyle w:val="72TabletextTablesTableFigureBoxstyles"/>
            </w:pPr>
            <w:r w:rsidRPr="00C1603D">
              <w:rPr>
                <w:rFonts w:eastAsia="Arial"/>
              </w:rPr>
              <w:t>Controls who underwent colonoscopy examination for colorectal cancer screening or polyp surveillance</w:t>
            </w:r>
          </w:p>
        </w:tc>
        <w:tc>
          <w:tcPr>
            <w:tcW w:w="0" w:type="auto"/>
            <w:shd w:val="clear" w:color="auto" w:fill="FFFFFF"/>
            <w:tcMar>
              <w:top w:w="0" w:type="dxa"/>
              <w:left w:w="0" w:type="dxa"/>
              <w:bottom w:w="0" w:type="dxa"/>
              <w:right w:w="0" w:type="dxa"/>
            </w:tcMar>
          </w:tcPr>
          <w:p w14:paraId="6502407F"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2271400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DB1F1A1" w14:textId="77777777" w:rsidR="008B4DF8" w:rsidRPr="00C1603D" w:rsidRDefault="008B4DF8" w:rsidP="00943414">
            <w:pPr>
              <w:pStyle w:val="72TabletextTablesTableFigureBoxstyles"/>
            </w:pPr>
            <w:r w:rsidRPr="00C1603D">
              <w:rPr>
                <w:rFonts w:eastAsia="Arial"/>
              </w:rPr>
              <w:t>China</w:t>
            </w:r>
          </w:p>
        </w:tc>
        <w:tc>
          <w:tcPr>
            <w:tcW w:w="0" w:type="auto"/>
            <w:shd w:val="clear" w:color="auto" w:fill="FFFFFF"/>
            <w:tcMar>
              <w:top w:w="0" w:type="dxa"/>
              <w:left w:w="0" w:type="dxa"/>
              <w:bottom w:w="0" w:type="dxa"/>
              <w:right w:w="0" w:type="dxa"/>
            </w:tcMar>
          </w:tcPr>
          <w:p w14:paraId="5E8FAA51" w14:textId="42CA52CD" w:rsidR="008B4DF8" w:rsidRPr="00C1603D" w:rsidRDefault="00820147" w:rsidP="00943414">
            <w:pPr>
              <w:pStyle w:val="72TabletextTablesTableFigureBoxstyles"/>
            </w:pPr>
            <w:r w:rsidRPr="00C1603D">
              <w:rPr>
                <w:rFonts w:eastAsia="Arial"/>
                <w:noProof/>
              </w:rPr>
              <w:t xml:space="preserve">Kou </w:t>
            </w:r>
            <w:r w:rsidRPr="00C1603D">
              <w:rPr>
                <w:rFonts w:eastAsia="Arial"/>
                <w:i/>
                <w:iCs/>
                <w:noProof/>
              </w:rPr>
              <w:t>et al</w:t>
            </w:r>
            <w:r w:rsidRPr="00C1603D">
              <w:rPr>
                <w:rFonts w:eastAsia="Arial"/>
                <w:noProof/>
              </w:rPr>
              <w:t>.</w:t>
            </w:r>
            <w:r w:rsidR="008B4DF8" w:rsidRPr="00C1603D">
              <w:rPr>
                <w:rFonts w:eastAsia="Arial"/>
                <w:noProof/>
                <w:vertAlign w:val="superscript"/>
              </w:rPr>
              <w:t>386</w:t>
            </w:r>
          </w:p>
        </w:tc>
      </w:tr>
      <w:tr w:rsidR="008B5CB8" w:rsidRPr="00C1603D" w14:paraId="42D4A470" w14:textId="77777777" w:rsidTr="00943414">
        <w:trPr>
          <w:cantSplit/>
        </w:trPr>
        <w:tc>
          <w:tcPr>
            <w:tcW w:w="0" w:type="auto"/>
            <w:shd w:val="clear" w:color="auto" w:fill="FFFFFF"/>
            <w:tcMar>
              <w:top w:w="0" w:type="dxa"/>
              <w:left w:w="0" w:type="dxa"/>
              <w:bottom w:w="0" w:type="dxa"/>
              <w:right w:w="0" w:type="dxa"/>
            </w:tcMar>
          </w:tcPr>
          <w:p w14:paraId="5193BC82"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BB3A2B7" w14:textId="3B7A929A"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5761801" w14:textId="66CC1A30"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3E83A9D1" w14:textId="25C45017" w:rsidR="008B4DF8" w:rsidRPr="00C1603D" w:rsidRDefault="008B4DF8" w:rsidP="00943414">
            <w:pPr>
              <w:pStyle w:val="72TabletextTablesTableFigureBoxstyles"/>
            </w:pPr>
            <w:r w:rsidRPr="00C1603D">
              <w:rPr>
                <w:rFonts w:eastAsia="Arial"/>
              </w:rPr>
              <w:t>1121</w:t>
            </w:r>
          </w:p>
        </w:tc>
        <w:tc>
          <w:tcPr>
            <w:tcW w:w="0" w:type="auto"/>
            <w:shd w:val="clear" w:color="auto" w:fill="FFFFFF"/>
            <w:tcMar>
              <w:top w:w="0" w:type="dxa"/>
              <w:left w:w="0" w:type="dxa"/>
              <w:bottom w:w="0" w:type="dxa"/>
              <w:right w:w="0" w:type="dxa"/>
            </w:tcMar>
          </w:tcPr>
          <w:p w14:paraId="5C168D64" w14:textId="545342DC"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683B26B1"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0484DAF" w14:textId="2DDDF6E5"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0D9164E"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3397F1D" w14:textId="2D2ADDAF" w:rsidR="008B4DF8" w:rsidRPr="00C1603D" w:rsidRDefault="008B4DF8" w:rsidP="00943414">
            <w:pPr>
              <w:pStyle w:val="72TabletextTablesTableFigureBoxstyles"/>
            </w:pPr>
            <w:r w:rsidRPr="00C1603D">
              <w:rPr>
                <w:rFonts w:eastAsia="Arial"/>
              </w:rPr>
              <w:t>US</w:t>
            </w:r>
            <w:r w:rsidR="008B5CB8" w:rsidRPr="00C1603D">
              <w:rPr>
                <w:rFonts w:eastAsia="Arial"/>
              </w:rPr>
              <w:t>A</w:t>
            </w:r>
          </w:p>
        </w:tc>
        <w:tc>
          <w:tcPr>
            <w:tcW w:w="0" w:type="auto"/>
            <w:shd w:val="clear" w:color="auto" w:fill="FFFFFF"/>
            <w:tcMar>
              <w:top w:w="0" w:type="dxa"/>
              <w:left w:w="0" w:type="dxa"/>
              <w:bottom w:w="0" w:type="dxa"/>
              <w:right w:w="0" w:type="dxa"/>
            </w:tcMar>
          </w:tcPr>
          <w:p w14:paraId="1FCE27AC" w14:textId="27445F57" w:rsidR="008B4DF8" w:rsidRPr="00C1603D" w:rsidRDefault="00820147" w:rsidP="00943414">
            <w:pPr>
              <w:pStyle w:val="72TabletextTablesTableFigureBoxstyles"/>
            </w:pPr>
            <w:r w:rsidRPr="00C1603D">
              <w:rPr>
                <w:rFonts w:eastAsia="Arial"/>
                <w:noProof/>
              </w:rPr>
              <w:t xml:space="preserve">Saito-Loftus </w:t>
            </w:r>
            <w:r w:rsidRPr="00C1603D">
              <w:rPr>
                <w:rFonts w:eastAsia="Arial"/>
                <w:i/>
                <w:iCs/>
                <w:noProof/>
              </w:rPr>
              <w:t>et al</w:t>
            </w:r>
            <w:r w:rsidRPr="00C1603D">
              <w:rPr>
                <w:rFonts w:eastAsia="Arial"/>
                <w:noProof/>
              </w:rPr>
              <w:t>.</w:t>
            </w:r>
            <w:r w:rsidR="008B4DF8" w:rsidRPr="00C1603D">
              <w:rPr>
                <w:rFonts w:eastAsia="Arial"/>
                <w:noProof/>
                <w:vertAlign w:val="superscript"/>
              </w:rPr>
              <w:t>387</w:t>
            </w:r>
          </w:p>
        </w:tc>
      </w:tr>
      <w:tr w:rsidR="008B5CB8" w:rsidRPr="00C1603D" w14:paraId="03DC5F49" w14:textId="77777777" w:rsidTr="00943414">
        <w:trPr>
          <w:cantSplit/>
        </w:trPr>
        <w:tc>
          <w:tcPr>
            <w:tcW w:w="0" w:type="auto"/>
            <w:shd w:val="clear" w:color="auto" w:fill="FFFFFF"/>
            <w:tcMar>
              <w:top w:w="0" w:type="dxa"/>
              <w:left w:w="0" w:type="dxa"/>
              <w:bottom w:w="0" w:type="dxa"/>
              <w:right w:w="0" w:type="dxa"/>
            </w:tcMar>
          </w:tcPr>
          <w:p w14:paraId="72B523F1"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A30CACA" w14:textId="68870D0E"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CE07323" w14:textId="3BEBBF7C"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39ADD1B1"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5C52542F" w14:textId="1938D3C8"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5D74639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51D93DC" w14:textId="487417B1"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ABE505C"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21DD9C7" w14:textId="77777777" w:rsidR="008B4DF8" w:rsidRPr="00C1603D" w:rsidRDefault="008B4DF8" w:rsidP="00943414">
            <w:pPr>
              <w:pStyle w:val="72TabletextTablesTableFigureBoxstyles"/>
            </w:pPr>
            <w:r w:rsidRPr="00C1603D">
              <w:rPr>
                <w:rFonts w:eastAsia="Arial"/>
              </w:rPr>
              <w:t>Mexico</w:t>
            </w:r>
          </w:p>
        </w:tc>
        <w:tc>
          <w:tcPr>
            <w:tcW w:w="0" w:type="auto"/>
            <w:shd w:val="clear" w:color="auto" w:fill="FFFFFF"/>
            <w:tcMar>
              <w:top w:w="0" w:type="dxa"/>
              <w:left w:w="0" w:type="dxa"/>
              <w:bottom w:w="0" w:type="dxa"/>
              <w:right w:w="0" w:type="dxa"/>
            </w:tcMar>
          </w:tcPr>
          <w:p w14:paraId="6E386089" w14:textId="4D9B88C2" w:rsidR="008B4DF8" w:rsidRPr="00C1603D" w:rsidRDefault="00820147" w:rsidP="00943414">
            <w:pPr>
              <w:pStyle w:val="72TabletextTablesTableFigureBoxstyles"/>
            </w:pPr>
            <w:r w:rsidRPr="00C1603D">
              <w:rPr>
                <w:rFonts w:eastAsia="Arial"/>
                <w:noProof/>
              </w:rPr>
              <w:t xml:space="preserve">Sánchez-Vargas </w:t>
            </w:r>
            <w:r w:rsidRPr="00C1603D">
              <w:rPr>
                <w:rFonts w:eastAsia="Arial"/>
                <w:i/>
                <w:iCs/>
                <w:noProof/>
              </w:rPr>
              <w:t>et al</w:t>
            </w:r>
            <w:r w:rsidRPr="00C1603D">
              <w:rPr>
                <w:rFonts w:eastAsia="Arial"/>
                <w:noProof/>
              </w:rPr>
              <w:t>.</w:t>
            </w:r>
            <w:r w:rsidR="008B4DF8" w:rsidRPr="00C1603D">
              <w:rPr>
                <w:rFonts w:eastAsia="Arial"/>
                <w:noProof/>
                <w:vertAlign w:val="superscript"/>
              </w:rPr>
              <w:t>388</w:t>
            </w:r>
          </w:p>
        </w:tc>
      </w:tr>
      <w:tr w:rsidR="008B5CB8" w:rsidRPr="00C1603D" w14:paraId="377D458B" w14:textId="77777777" w:rsidTr="00943414">
        <w:trPr>
          <w:cantSplit/>
        </w:trPr>
        <w:tc>
          <w:tcPr>
            <w:tcW w:w="0" w:type="auto"/>
            <w:shd w:val="clear" w:color="auto" w:fill="FFFFFF"/>
            <w:tcMar>
              <w:top w:w="0" w:type="dxa"/>
              <w:left w:w="0" w:type="dxa"/>
              <w:bottom w:w="0" w:type="dxa"/>
              <w:right w:w="0" w:type="dxa"/>
            </w:tcMar>
          </w:tcPr>
          <w:p w14:paraId="38401C35"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E86E8EF" w14:textId="25374637"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8A2DDD5" w14:textId="3729B8BC"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4B251962" w14:textId="77777777" w:rsidR="008B4DF8" w:rsidRPr="00C1603D" w:rsidRDefault="008B4DF8" w:rsidP="00943414">
            <w:pPr>
              <w:pStyle w:val="72TabletextTablesTableFigureBoxstyles"/>
            </w:pPr>
            <w:r w:rsidRPr="00C1603D">
              <w:rPr>
                <w:rFonts w:eastAsia="Arial"/>
              </w:rPr>
              <w:t>600</w:t>
            </w:r>
          </w:p>
        </w:tc>
        <w:tc>
          <w:tcPr>
            <w:tcW w:w="0" w:type="auto"/>
            <w:shd w:val="clear" w:color="auto" w:fill="FFFFFF"/>
            <w:tcMar>
              <w:top w:w="0" w:type="dxa"/>
              <w:left w:w="0" w:type="dxa"/>
              <w:bottom w:w="0" w:type="dxa"/>
              <w:right w:w="0" w:type="dxa"/>
            </w:tcMar>
          </w:tcPr>
          <w:p w14:paraId="694B98BE" w14:textId="34215BAD"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42FB08E"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494F0E9" w14:textId="101D78A3"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0EACC65"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AB02FE9"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442AC2BA" w14:textId="0384FB3C" w:rsidR="008B4DF8" w:rsidRPr="00C1603D" w:rsidRDefault="00820147" w:rsidP="00943414">
            <w:pPr>
              <w:pStyle w:val="72TabletextTablesTableFigureBoxstyles"/>
            </w:pPr>
            <w:r w:rsidRPr="00C1603D">
              <w:rPr>
                <w:rFonts w:eastAsia="Arial"/>
                <w:noProof/>
              </w:rPr>
              <w:t xml:space="preserve">Sanders </w:t>
            </w:r>
            <w:r w:rsidRPr="00C1603D">
              <w:rPr>
                <w:rFonts w:eastAsia="Arial"/>
                <w:i/>
                <w:iCs/>
                <w:noProof/>
              </w:rPr>
              <w:t>et al</w:t>
            </w:r>
            <w:r w:rsidRPr="00C1603D">
              <w:rPr>
                <w:rFonts w:eastAsia="Arial"/>
                <w:noProof/>
              </w:rPr>
              <w:t>.</w:t>
            </w:r>
            <w:r w:rsidR="008B4DF8" w:rsidRPr="00C1603D">
              <w:rPr>
                <w:rFonts w:eastAsia="Arial"/>
                <w:noProof/>
                <w:vertAlign w:val="superscript"/>
              </w:rPr>
              <w:t>389</w:t>
            </w:r>
          </w:p>
        </w:tc>
      </w:tr>
      <w:tr w:rsidR="008B5CB8" w:rsidRPr="00C1603D" w14:paraId="70C23526" w14:textId="77777777" w:rsidTr="00943414">
        <w:trPr>
          <w:cantSplit/>
        </w:trPr>
        <w:tc>
          <w:tcPr>
            <w:tcW w:w="0" w:type="auto"/>
            <w:shd w:val="clear" w:color="auto" w:fill="FFFFFF"/>
            <w:tcMar>
              <w:top w:w="0" w:type="dxa"/>
              <w:left w:w="0" w:type="dxa"/>
              <w:bottom w:w="0" w:type="dxa"/>
              <w:right w:w="0" w:type="dxa"/>
            </w:tcMar>
          </w:tcPr>
          <w:p w14:paraId="5BE1B585" w14:textId="77777777" w:rsidR="008B4DF8" w:rsidRPr="00C1603D" w:rsidRDefault="008B4DF8" w:rsidP="00943414">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7CFD88DA" w14:textId="50658839"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57815B9" w14:textId="740C5B2B"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0AE61DDF" w14:textId="77777777" w:rsidR="008B4DF8" w:rsidRPr="00C1603D" w:rsidRDefault="008B4DF8" w:rsidP="00943414">
            <w:pPr>
              <w:pStyle w:val="72TabletextTablesTableFigureBoxstyles"/>
            </w:pPr>
            <w:r w:rsidRPr="00C1603D">
              <w:rPr>
                <w:rFonts w:eastAsia="Arial"/>
              </w:rPr>
              <w:t>678</w:t>
            </w:r>
          </w:p>
        </w:tc>
        <w:tc>
          <w:tcPr>
            <w:tcW w:w="0" w:type="auto"/>
            <w:shd w:val="clear" w:color="auto" w:fill="FFFFFF"/>
            <w:tcMar>
              <w:top w:w="0" w:type="dxa"/>
              <w:left w:w="0" w:type="dxa"/>
              <w:bottom w:w="0" w:type="dxa"/>
              <w:right w:w="0" w:type="dxa"/>
            </w:tcMar>
          </w:tcPr>
          <w:p w14:paraId="3914A850" w14:textId="7EC6C247"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6889D6A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AFCE3D2" w14:textId="693C45B2"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2BC9B4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89D97CF" w14:textId="77777777" w:rsidR="008B4DF8" w:rsidRPr="00C1603D" w:rsidRDefault="008B4DF8" w:rsidP="00943414">
            <w:pPr>
              <w:pStyle w:val="72TabletextTablesTableFigureBoxstyles"/>
            </w:pPr>
            <w:r w:rsidRPr="00C1603D">
              <w:rPr>
                <w:rFonts w:eastAsia="Arial"/>
              </w:rPr>
              <w:t>Mexico</w:t>
            </w:r>
          </w:p>
        </w:tc>
        <w:tc>
          <w:tcPr>
            <w:tcW w:w="0" w:type="auto"/>
            <w:shd w:val="clear" w:color="auto" w:fill="FFFFFF"/>
            <w:tcMar>
              <w:top w:w="0" w:type="dxa"/>
              <w:left w:w="0" w:type="dxa"/>
              <w:bottom w:w="0" w:type="dxa"/>
              <w:right w:w="0" w:type="dxa"/>
            </w:tcMar>
          </w:tcPr>
          <w:p w14:paraId="10D5AFB4" w14:textId="2083E0DB" w:rsidR="008B4DF8" w:rsidRPr="00C1603D" w:rsidRDefault="00820147" w:rsidP="00943414">
            <w:pPr>
              <w:pStyle w:val="72TabletextTablesTableFigureBoxstyles"/>
            </w:pPr>
            <w:r w:rsidRPr="00C1603D">
              <w:rPr>
                <w:rFonts w:eastAsia="Arial"/>
                <w:noProof/>
              </w:rPr>
              <w:t xml:space="preserve">Vargas </w:t>
            </w:r>
            <w:r w:rsidRPr="00C1603D">
              <w:rPr>
                <w:rFonts w:eastAsia="Arial"/>
                <w:i/>
                <w:iCs/>
                <w:noProof/>
              </w:rPr>
              <w:t>et al</w:t>
            </w:r>
            <w:r w:rsidRPr="00C1603D">
              <w:rPr>
                <w:rFonts w:eastAsia="Arial"/>
                <w:noProof/>
              </w:rPr>
              <w:t>.</w:t>
            </w:r>
            <w:r w:rsidR="008B4DF8" w:rsidRPr="00C1603D">
              <w:rPr>
                <w:rFonts w:eastAsia="Arial"/>
                <w:noProof/>
                <w:vertAlign w:val="superscript"/>
              </w:rPr>
              <w:t>390</w:t>
            </w:r>
          </w:p>
        </w:tc>
      </w:tr>
      <w:tr w:rsidR="008B5CB8" w:rsidRPr="00C1603D" w14:paraId="7F737693" w14:textId="77777777" w:rsidTr="00943414">
        <w:trPr>
          <w:cantSplit/>
        </w:trPr>
        <w:tc>
          <w:tcPr>
            <w:tcW w:w="0" w:type="auto"/>
            <w:shd w:val="clear" w:color="auto" w:fill="FFFFFF"/>
            <w:tcMar>
              <w:top w:w="0" w:type="dxa"/>
              <w:left w:w="0" w:type="dxa"/>
              <w:bottom w:w="0" w:type="dxa"/>
              <w:right w:w="0" w:type="dxa"/>
            </w:tcMar>
          </w:tcPr>
          <w:p w14:paraId="657DEBD0"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ACC71E4" w14:textId="2F3D41BC"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039FDD1" w14:textId="75AE52C7"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4BCAE110" w14:textId="77777777" w:rsidR="008B4DF8" w:rsidRPr="00C1603D" w:rsidRDefault="008B4DF8" w:rsidP="00943414">
            <w:pPr>
              <w:pStyle w:val="72TabletextTablesTableFigureBoxstyles"/>
            </w:pPr>
            <w:r w:rsidRPr="00C1603D">
              <w:rPr>
                <w:rFonts w:eastAsia="Arial"/>
              </w:rPr>
              <w:t>758</w:t>
            </w:r>
          </w:p>
        </w:tc>
        <w:tc>
          <w:tcPr>
            <w:tcW w:w="0" w:type="auto"/>
            <w:shd w:val="clear" w:color="auto" w:fill="FFFFFF"/>
            <w:tcMar>
              <w:top w:w="0" w:type="dxa"/>
              <w:left w:w="0" w:type="dxa"/>
              <w:bottom w:w="0" w:type="dxa"/>
              <w:right w:w="0" w:type="dxa"/>
            </w:tcMar>
          </w:tcPr>
          <w:p w14:paraId="41290E1D" w14:textId="2A18141B"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5F0F3497"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5617EB0" w14:textId="76967CFD"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8460D1D"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271EFF1" w14:textId="77777777" w:rsidR="008B4DF8" w:rsidRPr="00C1603D" w:rsidRDefault="008B4DF8" w:rsidP="00943414">
            <w:pPr>
              <w:pStyle w:val="72TabletextTablesTableFigureBoxstyles"/>
            </w:pPr>
            <w:r w:rsidRPr="00C1603D">
              <w:rPr>
                <w:rFonts w:eastAsia="Arial"/>
              </w:rPr>
              <w:t>China</w:t>
            </w:r>
          </w:p>
        </w:tc>
        <w:tc>
          <w:tcPr>
            <w:tcW w:w="0" w:type="auto"/>
            <w:shd w:val="clear" w:color="auto" w:fill="FFFFFF"/>
            <w:tcMar>
              <w:top w:w="0" w:type="dxa"/>
              <w:left w:w="0" w:type="dxa"/>
              <w:bottom w:w="0" w:type="dxa"/>
              <w:right w:w="0" w:type="dxa"/>
            </w:tcMar>
          </w:tcPr>
          <w:p w14:paraId="480EEBA8" w14:textId="417AA746" w:rsidR="008B4DF8" w:rsidRPr="00C1603D" w:rsidRDefault="00820147" w:rsidP="00943414">
            <w:pPr>
              <w:pStyle w:val="72TabletextTablesTableFigureBoxstyles"/>
            </w:pPr>
            <w:r w:rsidRPr="00C1603D">
              <w:rPr>
                <w:rFonts w:eastAsia="Arial"/>
                <w:noProof/>
              </w:rPr>
              <w:t xml:space="preserve">Wang </w:t>
            </w:r>
            <w:r w:rsidRPr="00C1603D">
              <w:rPr>
                <w:rFonts w:eastAsia="Arial"/>
                <w:i/>
                <w:iCs/>
                <w:noProof/>
              </w:rPr>
              <w:t>et al</w:t>
            </w:r>
            <w:r w:rsidRPr="00C1603D">
              <w:rPr>
                <w:rFonts w:eastAsia="Arial"/>
                <w:noProof/>
              </w:rPr>
              <w:t>.</w:t>
            </w:r>
            <w:r w:rsidR="008B4DF8" w:rsidRPr="00C1603D">
              <w:rPr>
                <w:rFonts w:eastAsia="Arial"/>
                <w:noProof/>
                <w:vertAlign w:val="superscript"/>
              </w:rPr>
              <w:t>391</w:t>
            </w:r>
          </w:p>
        </w:tc>
      </w:tr>
      <w:tr w:rsidR="008B5CB8" w:rsidRPr="00C1603D" w14:paraId="7D458BCE" w14:textId="77777777" w:rsidTr="00943414">
        <w:trPr>
          <w:cantSplit/>
        </w:trPr>
        <w:tc>
          <w:tcPr>
            <w:tcW w:w="0" w:type="auto"/>
            <w:shd w:val="clear" w:color="auto" w:fill="FFFFFF"/>
            <w:tcMar>
              <w:top w:w="0" w:type="dxa"/>
              <w:left w:w="0" w:type="dxa"/>
              <w:bottom w:w="0" w:type="dxa"/>
              <w:right w:w="0" w:type="dxa"/>
            </w:tcMar>
          </w:tcPr>
          <w:p w14:paraId="0B98F0D9" w14:textId="77777777" w:rsidR="008B4DF8" w:rsidRPr="00C1603D" w:rsidRDefault="008B4DF8" w:rsidP="00943414">
            <w:pPr>
              <w:pStyle w:val="72TabletextTablesTableFigureBoxstyles"/>
              <w:rPr>
                <w:rFonts w:eastAsia="Arial"/>
              </w:rPr>
            </w:pPr>
            <w:r w:rsidRPr="00C1603D">
              <w:rPr>
                <w:rFonts w:eastAsia="Arial"/>
              </w:rPr>
              <w:t>Adults</w:t>
            </w:r>
          </w:p>
        </w:tc>
        <w:tc>
          <w:tcPr>
            <w:tcW w:w="0" w:type="auto"/>
            <w:shd w:val="clear" w:color="auto" w:fill="FFFFFF"/>
            <w:tcMar>
              <w:top w:w="0" w:type="dxa"/>
              <w:left w:w="0" w:type="dxa"/>
              <w:bottom w:w="0" w:type="dxa"/>
              <w:right w:w="0" w:type="dxa"/>
            </w:tcMar>
          </w:tcPr>
          <w:p w14:paraId="055C69A9" w14:textId="5D93972A" w:rsidR="008B4DF8" w:rsidRPr="00C1603D" w:rsidRDefault="00B25FE9" w:rsidP="00943414">
            <w:pPr>
              <w:pStyle w:val="72TabletextTablesTableFigureBoxstyles"/>
              <w:rPr>
                <w:rFonts w:eastAsia="Arial"/>
              </w:rPr>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54E2E0B" w14:textId="1B6DA405" w:rsidR="008B4DF8" w:rsidRPr="00C1603D" w:rsidRDefault="00C82170" w:rsidP="00943414">
            <w:pPr>
              <w:pStyle w:val="72TabletextTablesTableFigureBoxstyles"/>
              <w:rPr>
                <w:rFonts w:eastAsia="Arial"/>
              </w:rPr>
            </w:pPr>
            <w:r w:rsidRPr="00C1603D">
              <w:rPr>
                <w:rFonts w:eastAsia="Arial"/>
              </w:rPr>
              <w:t>IBS</w:t>
            </w:r>
          </w:p>
        </w:tc>
        <w:tc>
          <w:tcPr>
            <w:tcW w:w="0" w:type="auto"/>
            <w:shd w:val="clear" w:color="auto" w:fill="FFFFFF"/>
            <w:tcMar>
              <w:top w:w="0" w:type="dxa"/>
              <w:left w:w="0" w:type="dxa"/>
              <w:bottom w:w="0" w:type="dxa"/>
              <w:right w:w="0" w:type="dxa"/>
            </w:tcMar>
          </w:tcPr>
          <w:p w14:paraId="634937EE" w14:textId="77777777" w:rsidR="008B4DF8" w:rsidRPr="00C1603D" w:rsidRDefault="008B4DF8" w:rsidP="00943414">
            <w:pPr>
              <w:pStyle w:val="72TabletextTablesTableFigureBoxstyles"/>
              <w:rPr>
                <w:rFonts w:eastAsia="Arial"/>
              </w:rPr>
            </w:pPr>
            <w:r w:rsidRPr="00C1603D">
              <w:rPr>
                <w:rFonts w:eastAsia="Arial"/>
              </w:rPr>
              <w:t>509</w:t>
            </w:r>
          </w:p>
        </w:tc>
        <w:tc>
          <w:tcPr>
            <w:tcW w:w="0" w:type="auto"/>
            <w:shd w:val="clear" w:color="auto" w:fill="FFFFFF"/>
            <w:tcMar>
              <w:top w:w="0" w:type="dxa"/>
              <w:left w:w="0" w:type="dxa"/>
              <w:bottom w:w="0" w:type="dxa"/>
              <w:right w:w="0" w:type="dxa"/>
            </w:tcMar>
          </w:tcPr>
          <w:p w14:paraId="0AF3A0CC" w14:textId="78C82274" w:rsidR="008B4DF8" w:rsidRPr="00C1603D" w:rsidRDefault="008B4DF8" w:rsidP="00943414">
            <w:pPr>
              <w:pStyle w:val="72TabletextTablesTableFigureBoxstyles"/>
              <w:rPr>
                <w:rFonts w:eastAsia="Arial"/>
              </w:rPr>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F6C64D6" w14:textId="77777777" w:rsidR="008B4DF8" w:rsidRPr="00C1603D" w:rsidRDefault="008B4DF8" w:rsidP="00943414">
            <w:pPr>
              <w:pStyle w:val="72TabletextTablesTableFigureBoxstyles"/>
              <w:rPr>
                <w:rFonts w:eastAsia="Arial"/>
              </w:rPr>
            </w:pPr>
            <w:r w:rsidRPr="00C1603D">
              <w:rPr>
                <w:rFonts w:eastAsia="Arial"/>
              </w:rPr>
              <w:t>Healthy controls</w:t>
            </w:r>
          </w:p>
        </w:tc>
        <w:tc>
          <w:tcPr>
            <w:tcW w:w="0" w:type="auto"/>
            <w:shd w:val="clear" w:color="auto" w:fill="FFFFFF"/>
            <w:tcMar>
              <w:top w:w="0" w:type="dxa"/>
              <w:left w:w="0" w:type="dxa"/>
              <w:bottom w:w="0" w:type="dxa"/>
              <w:right w:w="0" w:type="dxa"/>
            </w:tcMar>
          </w:tcPr>
          <w:p w14:paraId="3C653E75" w14:textId="77777777" w:rsidR="008B4DF8" w:rsidRPr="00C1603D" w:rsidRDefault="008B4DF8" w:rsidP="00943414">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1319EABE" w14:textId="77777777" w:rsidR="008B4DF8" w:rsidRPr="00C1603D" w:rsidRDefault="008B4DF8" w:rsidP="00943414">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644F4580" w14:textId="77777777" w:rsidR="008B4DF8" w:rsidRPr="00C1603D" w:rsidRDefault="008B4DF8" w:rsidP="00943414">
            <w:pPr>
              <w:pStyle w:val="72TabletextTablesTableFigureBoxstyles"/>
              <w:rPr>
                <w:rFonts w:eastAsia="Arial"/>
              </w:rPr>
            </w:pPr>
            <w:r w:rsidRPr="00C1603D">
              <w:rPr>
                <w:rFonts w:eastAsia="Arial"/>
              </w:rPr>
              <w:t>Saudi Arabia</w:t>
            </w:r>
          </w:p>
        </w:tc>
        <w:tc>
          <w:tcPr>
            <w:tcW w:w="0" w:type="auto"/>
            <w:shd w:val="clear" w:color="auto" w:fill="FFFFFF"/>
            <w:tcMar>
              <w:top w:w="0" w:type="dxa"/>
              <w:left w:w="0" w:type="dxa"/>
              <w:bottom w:w="0" w:type="dxa"/>
              <w:right w:w="0" w:type="dxa"/>
            </w:tcMar>
          </w:tcPr>
          <w:p w14:paraId="502A2E78" w14:textId="2313A7C1" w:rsidR="008B4DF8" w:rsidRPr="00C1603D" w:rsidRDefault="00820147" w:rsidP="00943414">
            <w:pPr>
              <w:pStyle w:val="72TabletextTablesTableFigureBoxstyles"/>
              <w:rPr>
                <w:rFonts w:eastAsia="Arial"/>
              </w:rPr>
            </w:pPr>
            <w:r w:rsidRPr="00C1603D">
              <w:rPr>
                <w:rFonts w:eastAsia="Arial"/>
                <w:noProof/>
              </w:rPr>
              <w:t>Khayyat</w:t>
            </w:r>
            <w:r w:rsidR="008B4DF8" w:rsidRPr="00C1603D">
              <w:rPr>
                <w:rFonts w:eastAsia="Arial"/>
                <w:noProof/>
                <w:vertAlign w:val="superscript"/>
              </w:rPr>
              <w:t>392</w:t>
            </w:r>
          </w:p>
        </w:tc>
      </w:tr>
      <w:tr w:rsidR="008B5CB8" w:rsidRPr="00C1603D" w14:paraId="6D50D2E6" w14:textId="77777777" w:rsidTr="00943414">
        <w:trPr>
          <w:cantSplit/>
        </w:trPr>
        <w:tc>
          <w:tcPr>
            <w:tcW w:w="0" w:type="auto"/>
            <w:shd w:val="clear" w:color="auto" w:fill="FFFFFF"/>
            <w:tcMar>
              <w:top w:w="0" w:type="dxa"/>
              <w:left w:w="0" w:type="dxa"/>
              <w:bottom w:w="0" w:type="dxa"/>
              <w:right w:w="0" w:type="dxa"/>
            </w:tcMar>
          </w:tcPr>
          <w:p w14:paraId="7011525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3910B8D"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E751DBA" w14:textId="497808E7"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7E024BEC" w14:textId="1B7D020C" w:rsidR="008B4DF8" w:rsidRPr="00C1603D" w:rsidRDefault="008B4DF8" w:rsidP="00943414">
            <w:pPr>
              <w:pStyle w:val="72TabletextTablesTableFigureBoxstyles"/>
            </w:pPr>
            <w:r w:rsidRPr="00C1603D">
              <w:rPr>
                <w:rFonts w:eastAsia="Arial"/>
              </w:rPr>
              <w:t>1200</w:t>
            </w:r>
          </w:p>
        </w:tc>
        <w:tc>
          <w:tcPr>
            <w:tcW w:w="0" w:type="auto"/>
            <w:shd w:val="clear" w:color="auto" w:fill="FFFFFF"/>
            <w:tcMar>
              <w:top w:w="0" w:type="dxa"/>
              <w:left w:w="0" w:type="dxa"/>
              <w:bottom w:w="0" w:type="dxa"/>
              <w:right w:w="0" w:type="dxa"/>
            </w:tcMar>
          </w:tcPr>
          <w:p w14:paraId="39279765" w14:textId="77777777" w:rsidR="008B4DF8" w:rsidRPr="00C1603D" w:rsidRDefault="008B4DF8" w:rsidP="00943414">
            <w:pPr>
              <w:pStyle w:val="72TabletextTablesTableFigureBoxstyles"/>
            </w:pPr>
            <w:r w:rsidRPr="00C1603D">
              <w:rPr>
                <w:rFonts w:eastAsia="Arial"/>
              </w:rPr>
              <w:t>62.8</w:t>
            </w:r>
          </w:p>
        </w:tc>
        <w:tc>
          <w:tcPr>
            <w:tcW w:w="0" w:type="auto"/>
            <w:shd w:val="clear" w:color="auto" w:fill="FFFFFF"/>
            <w:tcMar>
              <w:top w:w="0" w:type="dxa"/>
              <w:left w:w="0" w:type="dxa"/>
              <w:bottom w:w="0" w:type="dxa"/>
              <w:right w:w="0" w:type="dxa"/>
            </w:tcMar>
          </w:tcPr>
          <w:p w14:paraId="3EE7BE81" w14:textId="4DCDB4EA" w:rsidR="008B4DF8" w:rsidRPr="00C1603D" w:rsidRDefault="008B4DF8" w:rsidP="00943414">
            <w:pPr>
              <w:pStyle w:val="72TabletextTablesTableFigureBoxstyles"/>
            </w:pPr>
            <w:r w:rsidRPr="00C1603D">
              <w:rPr>
                <w:rFonts w:eastAsia="Arial"/>
              </w:rPr>
              <w:t xml:space="preserve">People without </w:t>
            </w:r>
            <w:r w:rsidR="00C82170" w:rsidRPr="00C1603D">
              <w:rPr>
                <w:rFonts w:eastAsia="Arial"/>
              </w:rPr>
              <w:t>IBS</w:t>
            </w:r>
          </w:p>
        </w:tc>
        <w:tc>
          <w:tcPr>
            <w:tcW w:w="0" w:type="auto"/>
            <w:shd w:val="clear" w:color="auto" w:fill="FFFFFF"/>
            <w:tcMar>
              <w:top w:w="0" w:type="dxa"/>
              <w:left w:w="0" w:type="dxa"/>
              <w:bottom w:w="0" w:type="dxa"/>
              <w:right w:w="0" w:type="dxa"/>
            </w:tcMar>
          </w:tcPr>
          <w:p w14:paraId="5B843946" w14:textId="455004A9"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7A96072C" w14:textId="77777777" w:rsidR="008B4DF8" w:rsidRPr="00C1603D" w:rsidRDefault="008B4DF8" w:rsidP="00943414">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689E0D88"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1279FFA3" w14:textId="622362DA" w:rsidR="008B4DF8" w:rsidRPr="00C1603D" w:rsidRDefault="00820147" w:rsidP="00943414">
            <w:pPr>
              <w:pStyle w:val="72TabletextTablesTableFigureBoxstyles"/>
            </w:pPr>
            <w:r w:rsidRPr="00C1603D">
              <w:rPr>
                <w:rFonts w:eastAsia="Arial"/>
                <w:noProof/>
              </w:rPr>
              <w:t xml:space="preserve">Sanders </w:t>
            </w:r>
            <w:r w:rsidRPr="00C1603D">
              <w:rPr>
                <w:rFonts w:eastAsia="Arial"/>
                <w:i/>
                <w:iCs/>
                <w:noProof/>
              </w:rPr>
              <w:t>et al</w:t>
            </w:r>
            <w:r w:rsidRPr="00C1603D">
              <w:rPr>
                <w:rFonts w:eastAsia="Arial"/>
                <w:noProof/>
              </w:rPr>
              <w:t>.</w:t>
            </w:r>
            <w:r w:rsidR="008B4DF8" w:rsidRPr="00C1603D">
              <w:rPr>
                <w:rFonts w:eastAsia="Arial"/>
                <w:noProof/>
                <w:vertAlign w:val="superscript"/>
              </w:rPr>
              <w:t>321</w:t>
            </w:r>
          </w:p>
        </w:tc>
      </w:tr>
      <w:tr w:rsidR="008B5CB8" w:rsidRPr="00C1603D" w14:paraId="2DDEBCA1" w14:textId="77777777" w:rsidTr="00943414">
        <w:trPr>
          <w:cantSplit/>
        </w:trPr>
        <w:tc>
          <w:tcPr>
            <w:tcW w:w="0" w:type="auto"/>
            <w:shd w:val="clear" w:color="auto" w:fill="FFFFFF"/>
            <w:tcMar>
              <w:top w:w="0" w:type="dxa"/>
              <w:left w:w="0" w:type="dxa"/>
              <w:bottom w:w="0" w:type="dxa"/>
              <w:right w:w="0" w:type="dxa"/>
            </w:tcMar>
          </w:tcPr>
          <w:p w14:paraId="50B7B4B8"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29CD7BA"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60CCF17" w14:textId="57CED6FA"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74717AFF" w14:textId="344378C6" w:rsidR="008B4DF8" w:rsidRPr="00C1603D" w:rsidRDefault="008B4DF8" w:rsidP="00943414">
            <w:pPr>
              <w:pStyle w:val="72TabletextTablesTableFigureBoxstyles"/>
            </w:pPr>
            <w:r w:rsidRPr="00C1603D">
              <w:rPr>
                <w:rFonts w:eastAsia="Arial"/>
              </w:rPr>
              <w:t>3196</w:t>
            </w:r>
          </w:p>
        </w:tc>
        <w:tc>
          <w:tcPr>
            <w:tcW w:w="0" w:type="auto"/>
            <w:shd w:val="clear" w:color="auto" w:fill="FFFFFF"/>
            <w:tcMar>
              <w:top w:w="0" w:type="dxa"/>
              <w:left w:w="0" w:type="dxa"/>
              <w:bottom w:w="0" w:type="dxa"/>
              <w:right w:w="0" w:type="dxa"/>
            </w:tcMar>
          </w:tcPr>
          <w:p w14:paraId="40887A14"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4EC02B67" w14:textId="02177758" w:rsidR="008B4DF8" w:rsidRPr="00C1603D" w:rsidRDefault="008B4DF8" w:rsidP="00943414">
            <w:pPr>
              <w:pStyle w:val="72TabletextTablesTableFigureBoxstyles"/>
            </w:pPr>
            <w:commentRangeStart w:id="596"/>
            <w:r w:rsidRPr="00C1603D">
              <w:rPr>
                <w:rFonts w:eastAsia="Arial"/>
              </w:rPr>
              <w:t xml:space="preserve">People without </w:t>
            </w:r>
            <w:r w:rsidR="008B5CB8" w:rsidRPr="00C1603D">
              <w:rPr>
                <w:rFonts w:eastAsia="Arial"/>
              </w:rPr>
              <w:t>IBS</w:t>
            </w:r>
            <w:commentRangeEnd w:id="596"/>
            <w:r w:rsidR="008B5CB8" w:rsidRPr="00C1603D">
              <w:rPr>
                <w:rFonts w:ascii="Times New Roman" w:hAnsi="Times New Roman" w:cs="Times New Roman"/>
                <w:color w:val="auto"/>
                <w:lang w:val="en-US"/>
              </w:rPr>
              <w:commentReference w:id="596"/>
            </w:r>
            <w:r w:rsidR="008B5CB8" w:rsidRPr="00C1603D">
              <w:rPr>
                <w:rFonts w:eastAsia="Arial"/>
              </w:rPr>
              <w:t>’</w:t>
            </w:r>
          </w:p>
        </w:tc>
        <w:tc>
          <w:tcPr>
            <w:tcW w:w="0" w:type="auto"/>
            <w:shd w:val="clear" w:color="auto" w:fill="FFFFFF"/>
            <w:tcMar>
              <w:top w:w="0" w:type="dxa"/>
              <w:left w:w="0" w:type="dxa"/>
              <w:bottom w:w="0" w:type="dxa"/>
              <w:right w:w="0" w:type="dxa"/>
            </w:tcMar>
          </w:tcPr>
          <w:p w14:paraId="3D4DFBF7" w14:textId="0FC38D22"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3C7FBA2"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5A0D6BF0" w14:textId="4232AD30" w:rsidR="008B4DF8" w:rsidRPr="00C1603D" w:rsidRDefault="008B4DF8" w:rsidP="00943414">
            <w:pPr>
              <w:pStyle w:val="72TabletextTablesTableFigureBoxstyles"/>
            </w:pPr>
            <w:r w:rsidRPr="00C1603D">
              <w:rPr>
                <w:rFonts w:eastAsia="Arial"/>
              </w:rPr>
              <w:t>US</w:t>
            </w:r>
            <w:r w:rsidR="008B5CB8" w:rsidRPr="00C1603D">
              <w:rPr>
                <w:rFonts w:eastAsia="Arial"/>
              </w:rPr>
              <w:t>A</w:t>
            </w:r>
          </w:p>
        </w:tc>
        <w:tc>
          <w:tcPr>
            <w:tcW w:w="0" w:type="auto"/>
            <w:shd w:val="clear" w:color="auto" w:fill="FFFFFF"/>
            <w:tcMar>
              <w:top w:w="0" w:type="dxa"/>
              <w:left w:w="0" w:type="dxa"/>
              <w:bottom w:w="0" w:type="dxa"/>
              <w:right w:w="0" w:type="dxa"/>
            </w:tcMar>
          </w:tcPr>
          <w:p w14:paraId="4FF2BA37" w14:textId="0636934B" w:rsidR="008B4DF8" w:rsidRPr="00C1603D" w:rsidRDefault="00820147" w:rsidP="00943414">
            <w:pPr>
              <w:pStyle w:val="72TabletextTablesTableFigureBoxstyles"/>
            </w:pPr>
            <w:r w:rsidRPr="00C1603D">
              <w:rPr>
                <w:rFonts w:eastAsia="Arial"/>
                <w:noProof/>
              </w:rPr>
              <w:t xml:space="preserve">Choung </w:t>
            </w:r>
            <w:r w:rsidRPr="00C1603D">
              <w:rPr>
                <w:rFonts w:eastAsia="Arial"/>
                <w:i/>
                <w:iCs/>
                <w:noProof/>
              </w:rPr>
              <w:t>et al</w:t>
            </w:r>
            <w:r w:rsidRPr="00C1603D">
              <w:rPr>
                <w:rFonts w:eastAsia="Arial"/>
                <w:noProof/>
              </w:rPr>
              <w:t>.</w:t>
            </w:r>
            <w:r w:rsidR="008B4DF8" w:rsidRPr="00C1603D">
              <w:rPr>
                <w:rFonts w:eastAsia="Arial"/>
                <w:noProof/>
                <w:vertAlign w:val="superscript"/>
              </w:rPr>
              <w:t>299</w:t>
            </w:r>
          </w:p>
        </w:tc>
      </w:tr>
      <w:tr w:rsidR="008B5CB8" w:rsidRPr="00C1603D" w14:paraId="4097DC01" w14:textId="77777777" w:rsidTr="00943414">
        <w:trPr>
          <w:cantSplit/>
        </w:trPr>
        <w:tc>
          <w:tcPr>
            <w:tcW w:w="0" w:type="auto"/>
            <w:shd w:val="clear" w:color="auto" w:fill="FFFFFF"/>
            <w:tcMar>
              <w:top w:w="0" w:type="dxa"/>
              <w:left w:w="0" w:type="dxa"/>
              <w:bottom w:w="0" w:type="dxa"/>
              <w:right w:w="0" w:type="dxa"/>
            </w:tcMar>
          </w:tcPr>
          <w:p w14:paraId="54F72E80"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9BFBF51"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3C1B3F99" w14:textId="47A7ED6A"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7C639AC2"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1434FDF0" w14:textId="30DEA365"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FFEA499" w14:textId="77777777" w:rsidR="008B4DF8" w:rsidRPr="00C1603D" w:rsidRDefault="008B4DF8" w:rsidP="00943414">
            <w:pPr>
              <w:pStyle w:val="72TabletextTablesTableFigureBoxstyles"/>
            </w:pPr>
            <w:r w:rsidRPr="00C1603D">
              <w:rPr>
                <w:rFonts w:eastAsia="Arial"/>
              </w:rPr>
              <w:t>People without IBS</w:t>
            </w:r>
          </w:p>
        </w:tc>
        <w:tc>
          <w:tcPr>
            <w:tcW w:w="0" w:type="auto"/>
            <w:shd w:val="clear" w:color="auto" w:fill="FFFFFF"/>
            <w:tcMar>
              <w:top w:w="0" w:type="dxa"/>
              <w:left w:w="0" w:type="dxa"/>
              <w:bottom w:w="0" w:type="dxa"/>
              <w:right w:w="0" w:type="dxa"/>
            </w:tcMar>
          </w:tcPr>
          <w:p w14:paraId="76FD5533" w14:textId="05B8DE17"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FBA7AA3"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5FFFBBD2" w14:textId="77777777" w:rsidR="008B4DF8" w:rsidRPr="00C1603D" w:rsidRDefault="008B4DF8" w:rsidP="00943414">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70D543D3" w14:textId="69099CB5" w:rsidR="008B4DF8" w:rsidRPr="00C1603D" w:rsidRDefault="00820147" w:rsidP="00943414">
            <w:pPr>
              <w:pStyle w:val="72TabletextTablesTableFigureBoxstyles"/>
              <w:rPr>
                <w:lang w:val="en-IE"/>
              </w:rPr>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8B5CB8" w:rsidRPr="00C1603D" w14:paraId="06A8774D" w14:textId="77777777" w:rsidTr="00943414">
        <w:trPr>
          <w:cantSplit/>
        </w:trPr>
        <w:tc>
          <w:tcPr>
            <w:tcW w:w="0" w:type="auto"/>
            <w:shd w:val="clear" w:color="auto" w:fill="FFFFFF"/>
            <w:tcMar>
              <w:top w:w="0" w:type="dxa"/>
              <w:left w:w="0" w:type="dxa"/>
              <w:bottom w:w="0" w:type="dxa"/>
              <w:right w:w="0" w:type="dxa"/>
            </w:tcMar>
          </w:tcPr>
          <w:p w14:paraId="1CDFF100"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62D5049"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236DDEB5" w14:textId="48A9247A"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49058598" w14:textId="77777777" w:rsidR="008B4DF8" w:rsidRPr="00C1603D" w:rsidRDefault="008B4DF8" w:rsidP="00943414">
            <w:pPr>
              <w:pStyle w:val="72TabletextTablesTableFigureBoxstyles"/>
            </w:pPr>
            <w:r w:rsidRPr="00C1603D">
              <w:rPr>
                <w:rFonts w:eastAsia="Arial"/>
              </w:rPr>
              <w:t>381</w:t>
            </w:r>
          </w:p>
        </w:tc>
        <w:tc>
          <w:tcPr>
            <w:tcW w:w="0" w:type="auto"/>
            <w:shd w:val="clear" w:color="auto" w:fill="FFFFFF"/>
            <w:tcMar>
              <w:top w:w="0" w:type="dxa"/>
              <w:left w:w="0" w:type="dxa"/>
              <w:bottom w:w="0" w:type="dxa"/>
              <w:right w:w="0" w:type="dxa"/>
            </w:tcMar>
          </w:tcPr>
          <w:p w14:paraId="73E2E8C4" w14:textId="682F18DB"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3088B28" w14:textId="5E1FE56F" w:rsidR="008B4DF8" w:rsidRPr="00C1603D" w:rsidRDefault="008B4DF8" w:rsidP="00943414">
            <w:pPr>
              <w:pStyle w:val="72TabletextTablesTableFigureBoxstyles"/>
            </w:pPr>
            <w:r w:rsidRPr="00C1603D">
              <w:rPr>
                <w:rFonts w:eastAsia="Arial"/>
              </w:rPr>
              <w:t xml:space="preserve">People without </w:t>
            </w:r>
            <w:r w:rsidR="00C82170" w:rsidRPr="00C1603D">
              <w:rPr>
                <w:rFonts w:eastAsia="Arial"/>
              </w:rPr>
              <w:t>IBS</w:t>
            </w:r>
          </w:p>
        </w:tc>
        <w:tc>
          <w:tcPr>
            <w:tcW w:w="0" w:type="auto"/>
            <w:shd w:val="clear" w:color="auto" w:fill="FFFFFF"/>
            <w:tcMar>
              <w:top w:w="0" w:type="dxa"/>
              <w:left w:w="0" w:type="dxa"/>
              <w:bottom w:w="0" w:type="dxa"/>
              <w:right w:w="0" w:type="dxa"/>
            </w:tcMar>
          </w:tcPr>
          <w:p w14:paraId="59CF635C" w14:textId="7229F553"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423947F"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40477F8" w14:textId="1D50DCC8" w:rsidR="008B4DF8" w:rsidRPr="00C1603D" w:rsidRDefault="008B4DF8" w:rsidP="00943414">
            <w:pPr>
              <w:pStyle w:val="72TabletextTablesTableFigureBoxstyles"/>
            </w:pPr>
            <w:r w:rsidRPr="00C1603D">
              <w:rPr>
                <w:rFonts w:eastAsia="Arial"/>
              </w:rPr>
              <w:t>US</w:t>
            </w:r>
            <w:r w:rsidR="008B5CB8" w:rsidRPr="00C1603D">
              <w:rPr>
                <w:rFonts w:eastAsia="Arial"/>
              </w:rPr>
              <w:t>A</w:t>
            </w:r>
          </w:p>
        </w:tc>
        <w:tc>
          <w:tcPr>
            <w:tcW w:w="0" w:type="auto"/>
            <w:shd w:val="clear" w:color="auto" w:fill="FFFFFF"/>
            <w:tcMar>
              <w:top w:w="0" w:type="dxa"/>
              <w:left w:w="0" w:type="dxa"/>
              <w:bottom w:w="0" w:type="dxa"/>
              <w:right w:w="0" w:type="dxa"/>
            </w:tcMar>
          </w:tcPr>
          <w:p w14:paraId="1A7B48E7" w14:textId="11545BEE" w:rsidR="008B4DF8" w:rsidRPr="00C1603D" w:rsidRDefault="00820147" w:rsidP="00943414">
            <w:pPr>
              <w:pStyle w:val="72TabletextTablesTableFigureBoxstyles"/>
            </w:pPr>
            <w:r w:rsidRPr="00C1603D">
              <w:rPr>
                <w:rFonts w:eastAsia="Arial"/>
                <w:noProof/>
              </w:rPr>
              <w:t xml:space="preserve">Godfrey </w:t>
            </w:r>
            <w:r w:rsidRPr="00C1603D">
              <w:rPr>
                <w:rFonts w:eastAsia="Arial"/>
                <w:i/>
                <w:iCs/>
                <w:noProof/>
              </w:rPr>
              <w:t>et al</w:t>
            </w:r>
            <w:r w:rsidRPr="00C1603D">
              <w:rPr>
                <w:rFonts w:eastAsia="Arial"/>
                <w:noProof/>
              </w:rPr>
              <w:t>.</w:t>
            </w:r>
            <w:r w:rsidR="008B4DF8" w:rsidRPr="00C1603D">
              <w:rPr>
                <w:rFonts w:eastAsia="Arial"/>
                <w:noProof/>
                <w:vertAlign w:val="superscript"/>
              </w:rPr>
              <w:t>302</w:t>
            </w:r>
          </w:p>
        </w:tc>
      </w:tr>
      <w:tr w:rsidR="008B5CB8" w:rsidRPr="00C1603D" w14:paraId="04AC0640" w14:textId="77777777" w:rsidTr="00943414">
        <w:trPr>
          <w:cantSplit/>
        </w:trPr>
        <w:tc>
          <w:tcPr>
            <w:tcW w:w="0" w:type="auto"/>
            <w:shd w:val="clear" w:color="auto" w:fill="FFFFFF"/>
            <w:tcMar>
              <w:top w:w="0" w:type="dxa"/>
              <w:left w:w="0" w:type="dxa"/>
              <w:bottom w:w="0" w:type="dxa"/>
              <w:right w:w="0" w:type="dxa"/>
            </w:tcMar>
          </w:tcPr>
          <w:p w14:paraId="07F56CFD"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D62D93C"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(DI)</w:t>
            </w:r>
          </w:p>
        </w:tc>
        <w:tc>
          <w:tcPr>
            <w:tcW w:w="0" w:type="auto"/>
            <w:shd w:val="clear" w:color="auto" w:fill="FFFFFF"/>
            <w:tcMar>
              <w:top w:w="0" w:type="dxa"/>
              <w:left w:w="0" w:type="dxa"/>
              <w:bottom w:w="0" w:type="dxa"/>
              <w:right w:w="0" w:type="dxa"/>
            </w:tcMar>
          </w:tcPr>
          <w:p w14:paraId="0434BCE6" w14:textId="25B6FA20" w:rsidR="008B4DF8" w:rsidRPr="00C1603D" w:rsidRDefault="00C82170" w:rsidP="00943414">
            <w:pPr>
              <w:pStyle w:val="72TabletextTablesTableFigureBoxstyles"/>
            </w:pPr>
            <w:r w:rsidRPr="00C1603D">
              <w:rPr>
                <w:rFonts w:eastAsia="Arial"/>
              </w:rPr>
              <w:t>IBS</w:t>
            </w:r>
          </w:p>
        </w:tc>
        <w:tc>
          <w:tcPr>
            <w:tcW w:w="0" w:type="auto"/>
            <w:shd w:val="clear" w:color="auto" w:fill="FFFFFF"/>
            <w:tcMar>
              <w:top w:w="0" w:type="dxa"/>
              <w:left w:w="0" w:type="dxa"/>
              <w:bottom w:w="0" w:type="dxa"/>
              <w:right w:w="0" w:type="dxa"/>
            </w:tcMar>
          </w:tcPr>
          <w:p w14:paraId="763F7ED2" w14:textId="77777777" w:rsidR="008B4DF8" w:rsidRPr="00C1603D" w:rsidRDefault="008B4DF8" w:rsidP="00943414">
            <w:pPr>
              <w:pStyle w:val="72TabletextTablesTableFigureBoxstyles"/>
            </w:pPr>
            <w:r w:rsidRPr="00C1603D">
              <w:rPr>
                <w:rFonts w:eastAsia="Arial"/>
              </w:rPr>
              <w:t>128</w:t>
            </w:r>
          </w:p>
        </w:tc>
        <w:tc>
          <w:tcPr>
            <w:tcW w:w="0" w:type="auto"/>
            <w:shd w:val="clear" w:color="auto" w:fill="FFFFFF"/>
            <w:tcMar>
              <w:top w:w="0" w:type="dxa"/>
              <w:left w:w="0" w:type="dxa"/>
              <w:bottom w:w="0" w:type="dxa"/>
              <w:right w:w="0" w:type="dxa"/>
            </w:tcMar>
          </w:tcPr>
          <w:p w14:paraId="7CF13220" w14:textId="71D9681E"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4C1CEEEF"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D0723AA"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65EFE641"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3F613FFA" w14:textId="58750BC1" w:rsidR="008B4DF8" w:rsidRPr="00C1603D" w:rsidRDefault="008B4DF8" w:rsidP="00943414">
            <w:pPr>
              <w:pStyle w:val="72TabletextTablesTableFigureBoxstyles"/>
            </w:pPr>
            <w:r w:rsidRPr="00C1603D">
              <w:rPr>
                <w:rFonts w:eastAsia="Arial"/>
              </w:rPr>
              <w:t>US</w:t>
            </w:r>
            <w:r w:rsidR="008B5CB8" w:rsidRPr="00C1603D">
              <w:rPr>
                <w:rFonts w:eastAsia="Arial"/>
              </w:rPr>
              <w:t>A</w:t>
            </w:r>
          </w:p>
        </w:tc>
        <w:tc>
          <w:tcPr>
            <w:tcW w:w="0" w:type="auto"/>
            <w:shd w:val="clear" w:color="auto" w:fill="FFFFFF"/>
            <w:tcMar>
              <w:top w:w="0" w:type="dxa"/>
              <w:left w:w="0" w:type="dxa"/>
              <w:bottom w:w="0" w:type="dxa"/>
              <w:right w:w="0" w:type="dxa"/>
            </w:tcMar>
          </w:tcPr>
          <w:p w14:paraId="10E03709" w14:textId="4415127C" w:rsidR="008B4DF8" w:rsidRPr="00C1603D" w:rsidRDefault="00820147" w:rsidP="00943414">
            <w:pPr>
              <w:pStyle w:val="72TabletextTablesTableFigureBoxstyles"/>
            </w:pPr>
            <w:r w:rsidRPr="00C1603D">
              <w:rPr>
                <w:rFonts w:eastAsia="Arial"/>
                <w:noProof/>
              </w:rPr>
              <w:t xml:space="preserve">Locke </w:t>
            </w:r>
            <w:r w:rsidRPr="00C1603D">
              <w:rPr>
                <w:rFonts w:eastAsia="Arial"/>
                <w:i/>
                <w:iCs/>
                <w:noProof/>
              </w:rPr>
              <w:t>et al</w:t>
            </w:r>
            <w:r w:rsidRPr="00C1603D">
              <w:rPr>
                <w:rFonts w:eastAsia="Arial"/>
                <w:noProof/>
              </w:rPr>
              <w:t>.</w:t>
            </w:r>
            <w:r w:rsidR="008B4DF8" w:rsidRPr="00C1603D">
              <w:rPr>
                <w:rFonts w:eastAsia="Arial"/>
                <w:noProof/>
                <w:vertAlign w:val="superscript"/>
              </w:rPr>
              <w:t>312</w:t>
            </w:r>
          </w:p>
        </w:tc>
      </w:tr>
      <w:tr w:rsidR="008B5CB8" w:rsidRPr="00C1603D" w14:paraId="5A371E72" w14:textId="77777777" w:rsidTr="00943414">
        <w:trPr>
          <w:cantSplit/>
        </w:trPr>
        <w:tc>
          <w:tcPr>
            <w:tcW w:w="0" w:type="auto"/>
            <w:shd w:val="clear" w:color="auto" w:fill="FFFFFF"/>
            <w:tcMar>
              <w:top w:w="0" w:type="dxa"/>
              <w:left w:w="0" w:type="dxa"/>
              <w:bottom w:w="0" w:type="dxa"/>
              <w:right w:w="0" w:type="dxa"/>
            </w:tcMar>
          </w:tcPr>
          <w:p w14:paraId="56787EA5"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679F5F06"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80D5646" w14:textId="54FBB699" w:rsidR="008B4DF8" w:rsidRPr="00C1603D" w:rsidRDefault="008B4DF8" w:rsidP="00943414">
            <w:pPr>
              <w:pStyle w:val="72TabletextTablesTableFigureBoxstyles"/>
            </w:pPr>
            <w:r w:rsidRPr="00C1603D">
              <w:rPr>
                <w:rFonts w:eastAsia="Arial"/>
              </w:rPr>
              <w:t xml:space="preserve">Functional </w:t>
            </w:r>
            <w:r w:rsidR="00807C54" w:rsidRPr="00C1603D">
              <w:rPr>
                <w:rFonts w:eastAsia="Arial"/>
              </w:rPr>
              <w:t>GI</w:t>
            </w:r>
            <w:r w:rsidRPr="00C1603D">
              <w:rPr>
                <w:rFonts w:eastAsia="Arial"/>
              </w:rPr>
              <w:t xml:space="preserve"> disorder</w:t>
            </w:r>
          </w:p>
        </w:tc>
        <w:tc>
          <w:tcPr>
            <w:tcW w:w="0" w:type="auto"/>
            <w:shd w:val="clear" w:color="auto" w:fill="FFFFFF"/>
            <w:tcMar>
              <w:top w:w="0" w:type="dxa"/>
              <w:left w:w="0" w:type="dxa"/>
              <w:bottom w:w="0" w:type="dxa"/>
              <w:right w:w="0" w:type="dxa"/>
            </w:tcMar>
          </w:tcPr>
          <w:p w14:paraId="62B3A740" w14:textId="789CD926" w:rsidR="008B4DF8" w:rsidRPr="00C1603D" w:rsidRDefault="008B4DF8" w:rsidP="00943414">
            <w:pPr>
              <w:pStyle w:val="72TabletextTablesTableFigureBoxstyles"/>
            </w:pPr>
            <w:r w:rsidRPr="00C1603D">
              <w:rPr>
                <w:rFonts w:eastAsia="Arial"/>
              </w:rPr>
              <w:t>5268</w:t>
            </w:r>
          </w:p>
        </w:tc>
        <w:tc>
          <w:tcPr>
            <w:tcW w:w="0" w:type="auto"/>
            <w:shd w:val="clear" w:color="auto" w:fill="FFFFFF"/>
            <w:tcMar>
              <w:top w:w="0" w:type="dxa"/>
              <w:left w:w="0" w:type="dxa"/>
              <w:bottom w:w="0" w:type="dxa"/>
              <w:right w:w="0" w:type="dxa"/>
            </w:tcMar>
          </w:tcPr>
          <w:p w14:paraId="21242AB4"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0386F6D0"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BB73E9C" w14:textId="1E57E1BD"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FE9D796"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79008B80" w14:textId="77777777" w:rsidR="008B4DF8" w:rsidRPr="00C1603D" w:rsidRDefault="008B4DF8" w:rsidP="00943414">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24F4B100" w14:textId="3E31D3CC" w:rsidR="008B4DF8" w:rsidRPr="00C1603D" w:rsidRDefault="00820147" w:rsidP="00943414">
            <w:pPr>
              <w:pStyle w:val="72TabletextTablesTableFigureBoxstyles"/>
            </w:pPr>
            <w:r w:rsidRPr="00C1603D">
              <w:rPr>
                <w:rFonts w:eastAsia="Arial"/>
                <w:noProof/>
              </w:rPr>
              <w:t xml:space="preserve">Olen </w:t>
            </w:r>
            <w:r w:rsidRPr="00C1603D">
              <w:rPr>
                <w:rFonts w:eastAsia="Arial"/>
                <w:i/>
                <w:iCs/>
                <w:noProof/>
              </w:rPr>
              <w:t>et al</w:t>
            </w:r>
            <w:r w:rsidRPr="00C1603D">
              <w:rPr>
                <w:rFonts w:eastAsia="Arial"/>
                <w:noProof/>
              </w:rPr>
              <w:t>.</w:t>
            </w:r>
            <w:r w:rsidR="008B4DF8" w:rsidRPr="00C1603D">
              <w:rPr>
                <w:rFonts w:eastAsia="Arial"/>
                <w:noProof/>
                <w:vertAlign w:val="superscript"/>
              </w:rPr>
              <w:t>393</w:t>
            </w:r>
          </w:p>
        </w:tc>
      </w:tr>
      <w:tr w:rsidR="009418F8" w:rsidRPr="00C1603D" w14:paraId="62EDFF28" w14:textId="77777777" w:rsidTr="004D1D65">
        <w:trPr>
          <w:cantSplit/>
        </w:trPr>
        <w:tc>
          <w:tcPr>
            <w:tcW w:w="0" w:type="auto"/>
            <w:gridSpan w:val="10"/>
            <w:shd w:val="clear" w:color="auto" w:fill="FFFFFF"/>
            <w:tcMar>
              <w:top w:w="0" w:type="dxa"/>
              <w:left w:w="0" w:type="dxa"/>
              <w:bottom w:w="0" w:type="dxa"/>
              <w:right w:w="0" w:type="dxa"/>
            </w:tcMar>
          </w:tcPr>
          <w:p w14:paraId="0271CDBA" w14:textId="3AB45338" w:rsidR="009418F8" w:rsidRPr="00C1603D" w:rsidRDefault="009418F8" w:rsidP="009418F8">
            <w:pPr>
              <w:pStyle w:val="75TablenotesTablesTableFigureBoxstyles"/>
              <w:rPr>
                <w:rFonts w:eastAsia="Arial"/>
                <w:noProof/>
                <w:vertAlign w:val="superscript"/>
              </w:rPr>
            </w:pPr>
            <w:r w:rsidRPr="00C1603D">
              <w:rPr>
                <w:rFonts w:eastAsia="Arial"/>
                <w:noProof/>
              </w:rPr>
              <w:t>DI, diagnostic indicator; NR, not reported.</w:t>
            </w:r>
          </w:p>
        </w:tc>
      </w:tr>
    </w:tbl>
    <w:p w14:paraId="0F97E644" w14:textId="245A340B" w:rsidR="008B4DF8" w:rsidRPr="00C1603D" w:rsidRDefault="008B4DF8" w:rsidP="008B4DF8">
      <w:pPr>
        <w:pStyle w:val="70TablelegendTablesTableFigureBoxstyles"/>
      </w:pPr>
      <w:bookmarkStart w:id="597" w:name="_Toc99720750"/>
      <w:r w:rsidRPr="00C1603D">
        <w:rPr>
          <w:b/>
        </w:rPr>
        <w:t xml:space="preserve">TABLE </w:t>
      </w:r>
      <w:r w:rsidR="00032460" w:rsidRPr="00C1603D">
        <w:rPr>
          <w:b/>
        </w:rPr>
        <w:t>40</w:t>
      </w:r>
      <w:r w:rsidRPr="00C1603D">
        <w:rPr>
          <w:b/>
        </w:rPr>
        <w:t> </w:t>
      </w:r>
      <w:r w:rsidRPr="00C1603D">
        <w:t xml:space="preserve">Study characteristic: </w:t>
      </w:r>
      <w:r w:rsidR="00943414" w:rsidRPr="00C1603D">
        <w:t>c</w:t>
      </w:r>
      <w:r w:rsidRPr="00C1603D">
        <w:t>hronic liver disease</w:t>
      </w:r>
      <w:bookmarkEnd w:id="597"/>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88"/>
        <w:gridCol w:w="672"/>
        <w:gridCol w:w="1307"/>
        <w:gridCol w:w="615"/>
        <w:gridCol w:w="623"/>
        <w:gridCol w:w="1159"/>
        <w:gridCol w:w="1023"/>
        <w:gridCol w:w="949"/>
        <w:gridCol w:w="755"/>
        <w:gridCol w:w="1035"/>
      </w:tblGrid>
      <w:tr w:rsidR="00350456" w:rsidRPr="00C1603D" w14:paraId="6D912676" w14:textId="77777777" w:rsidTr="00943414">
        <w:trPr>
          <w:cantSplit/>
        </w:trPr>
        <w:tc>
          <w:tcPr>
            <w:tcW w:w="0" w:type="auto"/>
            <w:shd w:val="clear" w:color="auto" w:fill="FFFFFF"/>
            <w:tcMar>
              <w:top w:w="0" w:type="dxa"/>
              <w:left w:w="0" w:type="dxa"/>
              <w:bottom w:w="0" w:type="dxa"/>
              <w:right w:w="0" w:type="dxa"/>
            </w:tcMar>
          </w:tcPr>
          <w:p w14:paraId="516972ED" w14:textId="7B107EFA"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556ADF17" w14:textId="4659BFB5"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FFD4BE5" w14:textId="6594F659"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3558887" w14:textId="1F1E5F12"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73637217"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491CCE65"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7126E436"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7C0DDE8E"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3B1FE001"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50E147ED" w14:textId="77777777" w:rsidR="001902E7" w:rsidRPr="00C1603D" w:rsidRDefault="001902E7" w:rsidP="001902E7">
            <w:pPr>
              <w:pStyle w:val="710TableheadTablesTableFigureBoxstyles"/>
            </w:pPr>
            <w:r w:rsidRPr="00C1603D">
              <w:rPr>
                <w:rFonts w:eastAsia="Arial"/>
              </w:rPr>
              <w:t>Reference</w:t>
            </w:r>
          </w:p>
        </w:tc>
      </w:tr>
      <w:tr w:rsidR="00350456" w:rsidRPr="00C1603D" w14:paraId="02B37326" w14:textId="77777777" w:rsidTr="00943414">
        <w:trPr>
          <w:cantSplit/>
        </w:trPr>
        <w:tc>
          <w:tcPr>
            <w:tcW w:w="0" w:type="auto"/>
            <w:shd w:val="clear" w:color="auto" w:fill="FFFFFF"/>
            <w:tcMar>
              <w:top w:w="0" w:type="dxa"/>
              <w:left w:w="0" w:type="dxa"/>
              <w:bottom w:w="0" w:type="dxa"/>
              <w:right w:w="0" w:type="dxa"/>
            </w:tcMar>
          </w:tcPr>
          <w:p w14:paraId="747D7520"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C033AFF" w14:textId="61698A8B"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72FB118A" w14:textId="5B2CF9AC" w:rsidR="008B4DF8" w:rsidRPr="00C1603D" w:rsidRDefault="00820147" w:rsidP="00943414">
            <w:pPr>
              <w:pStyle w:val="72TabletextTablesTableFigureBoxstyles"/>
            </w:pPr>
            <w:r w:rsidRPr="00C1603D">
              <w:rPr>
                <w:rFonts w:eastAsia="Arial"/>
              </w:rPr>
              <w:t>PBC</w:t>
            </w:r>
          </w:p>
        </w:tc>
        <w:tc>
          <w:tcPr>
            <w:tcW w:w="0" w:type="auto"/>
            <w:shd w:val="clear" w:color="auto" w:fill="FFFFFF"/>
            <w:tcMar>
              <w:top w:w="0" w:type="dxa"/>
              <w:left w:w="0" w:type="dxa"/>
              <w:bottom w:w="0" w:type="dxa"/>
              <w:right w:w="0" w:type="dxa"/>
            </w:tcMar>
          </w:tcPr>
          <w:p w14:paraId="24DCD139" w14:textId="77777777" w:rsidR="008B4DF8" w:rsidRPr="00C1603D" w:rsidRDefault="008B4DF8" w:rsidP="00943414">
            <w:pPr>
              <w:pStyle w:val="72TabletextTablesTableFigureBoxstyles"/>
            </w:pPr>
            <w:r w:rsidRPr="00C1603D">
              <w:rPr>
                <w:rFonts w:eastAsia="Arial"/>
              </w:rPr>
              <w:t>168</w:t>
            </w:r>
          </w:p>
        </w:tc>
        <w:tc>
          <w:tcPr>
            <w:tcW w:w="0" w:type="auto"/>
            <w:shd w:val="clear" w:color="auto" w:fill="FFFFFF"/>
            <w:tcMar>
              <w:top w:w="0" w:type="dxa"/>
              <w:left w:w="0" w:type="dxa"/>
              <w:bottom w:w="0" w:type="dxa"/>
              <w:right w:w="0" w:type="dxa"/>
            </w:tcMar>
          </w:tcPr>
          <w:p w14:paraId="4653355F"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01336A29"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C7C68E8" w14:textId="2364429B"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BD16719"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6B6CEEC0"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4D103AFA" w14:textId="2377EFFF" w:rsidR="008B4DF8" w:rsidRPr="00C1603D" w:rsidRDefault="00350456" w:rsidP="00943414">
            <w:pPr>
              <w:pStyle w:val="72TabletextTablesTableFigureBoxstyles"/>
            </w:pPr>
            <w:r w:rsidRPr="00C1603D">
              <w:rPr>
                <w:rFonts w:eastAsia="Arial"/>
                <w:noProof/>
              </w:rPr>
              <w:t xml:space="preserve">Bizarro </w:t>
            </w:r>
            <w:r w:rsidRPr="00C1603D">
              <w:rPr>
                <w:rFonts w:eastAsia="Arial"/>
                <w:i/>
                <w:iCs/>
                <w:noProof/>
              </w:rPr>
              <w:t>et al</w:t>
            </w:r>
            <w:r w:rsidRPr="00C1603D">
              <w:rPr>
                <w:rFonts w:eastAsia="Arial"/>
                <w:noProof/>
              </w:rPr>
              <w:t>.</w:t>
            </w:r>
            <w:r w:rsidR="008B4DF8" w:rsidRPr="00C1603D">
              <w:rPr>
                <w:rFonts w:eastAsia="Arial"/>
                <w:noProof/>
                <w:vertAlign w:val="superscript"/>
              </w:rPr>
              <w:t>327</w:t>
            </w:r>
          </w:p>
        </w:tc>
      </w:tr>
      <w:tr w:rsidR="00350456" w:rsidRPr="00C1603D" w14:paraId="72E29D82" w14:textId="77777777" w:rsidTr="00943414">
        <w:trPr>
          <w:cantSplit/>
        </w:trPr>
        <w:tc>
          <w:tcPr>
            <w:tcW w:w="0" w:type="auto"/>
            <w:shd w:val="clear" w:color="auto" w:fill="FFFFFF"/>
            <w:tcMar>
              <w:top w:w="0" w:type="dxa"/>
              <w:left w:w="0" w:type="dxa"/>
              <w:bottom w:w="0" w:type="dxa"/>
              <w:right w:w="0" w:type="dxa"/>
            </w:tcMar>
          </w:tcPr>
          <w:p w14:paraId="3955229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21DC884" w14:textId="57B1E4D3"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BA23484" w14:textId="7C0919CB" w:rsidR="008B4DF8" w:rsidRPr="00C1603D" w:rsidRDefault="00820147" w:rsidP="00943414">
            <w:pPr>
              <w:pStyle w:val="72TabletextTablesTableFigureBoxstyles"/>
            </w:pPr>
            <w:r w:rsidRPr="00C1603D">
              <w:rPr>
                <w:rFonts w:eastAsia="Arial"/>
              </w:rPr>
              <w:t>PBC</w:t>
            </w:r>
          </w:p>
        </w:tc>
        <w:tc>
          <w:tcPr>
            <w:tcW w:w="0" w:type="auto"/>
            <w:shd w:val="clear" w:color="auto" w:fill="FFFFFF"/>
            <w:tcMar>
              <w:top w:w="0" w:type="dxa"/>
              <w:left w:w="0" w:type="dxa"/>
              <w:bottom w:w="0" w:type="dxa"/>
              <w:right w:w="0" w:type="dxa"/>
            </w:tcMar>
          </w:tcPr>
          <w:p w14:paraId="38C56726" w14:textId="77777777" w:rsidR="008B4DF8" w:rsidRPr="00C1603D" w:rsidRDefault="008B4DF8" w:rsidP="00943414">
            <w:pPr>
              <w:pStyle w:val="72TabletextTablesTableFigureBoxstyles"/>
            </w:pPr>
            <w:r w:rsidRPr="00C1603D">
              <w:rPr>
                <w:rFonts w:eastAsia="Arial"/>
              </w:rPr>
              <w:t>162</w:t>
            </w:r>
          </w:p>
        </w:tc>
        <w:tc>
          <w:tcPr>
            <w:tcW w:w="0" w:type="auto"/>
            <w:shd w:val="clear" w:color="auto" w:fill="FFFFFF"/>
            <w:tcMar>
              <w:top w:w="0" w:type="dxa"/>
              <w:left w:w="0" w:type="dxa"/>
              <w:bottom w:w="0" w:type="dxa"/>
              <w:right w:w="0" w:type="dxa"/>
            </w:tcMar>
          </w:tcPr>
          <w:p w14:paraId="0812E351" w14:textId="77777777"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57A74AF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7F44DA2" w14:textId="58EBFAC9"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2532083"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A130134" w14:textId="77777777" w:rsidR="008B4DF8" w:rsidRPr="00C1603D" w:rsidRDefault="008B4DF8" w:rsidP="00943414">
            <w:pPr>
              <w:pStyle w:val="72TabletextTablesTableFigureBoxstyles"/>
            </w:pPr>
            <w:r w:rsidRPr="00C1603D">
              <w:rPr>
                <w:rFonts w:eastAsia="Arial"/>
              </w:rPr>
              <w:t>Greece</w:t>
            </w:r>
          </w:p>
        </w:tc>
        <w:tc>
          <w:tcPr>
            <w:tcW w:w="0" w:type="auto"/>
            <w:shd w:val="clear" w:color="auto" w:fill="FFFFFF"/>
            <w:tcMar>
              <w:top w:w="0" w:type="dxa"/>
              <w:left w:w="0" w:type="dxa"/>
              <w:bottom w:w="0" w:type="dxa"/>
              <w:right w:w="0" w:type="dxa"/>
            </w:tcMar>
          </w:tcPr>
          <w:p w14:paraId="562209E6" w14:textId="67334CDE" w:rsidR="008B4DF8" w:rsidRPr="00C1603D" w:rsidRDefault="00350456" w:rsidP="00943414">
            <w:pPr>
              <w:pStyle w:val="72TabletextTablesTableFigureBoxstyles"/>
            </w:pPr>
            <w:r w:rsidRPr="00C1603D">
              <w:rPr>
                <w:rFonts w:eastAsia="Arial"/>
                <w:noProof/>
              </w:rPr>
              <w:t xml:space="preserve">Chatzicostas </w:t>
            </w:r>
            <w:r w:rsidRPr="00C1603D">
              <w:rPr>
                <w:rFonts w:eastAsia="Arial"/>
                <w:i/>
                <w:iCs/>
                <w:noProof/>
              </w:rPr>
              <w:t>et al</w:t>
            </w:r>
            <w:r w:rsidRPr="00C1603D">
              <w:rPr>
                <w:rFonts w:eastAsia="Arial"/>
                <w:noProof/>
              </w:rPr>
              <w:t>.</w:t>
            </w:r>
            <w:r w:rsidR="008B4DF8" w:rsidRPr="00C1603D">
              <w:rPr>
                <w:rFonts w:eastAsia="Arial"/>
                <w:noProof/>
                <w:vertAlign w:val="superscript"/>
              </w:rPr>
              <w:t>394</w:t>
            </w:r>
          </w:p>
        </w:tc>
      </w:tr>
      <w:tr w:rsidR="00350456" w:rsidRPr="00C1603D" w14:paraId="0FB90B5D" w14:textId="77777777" w:rsidTr="00943414">
        <w:trPr>
          <w:cantSplit/>
        </w:trPr>
        <w:tc>
          <w:tcPr>
            <w:tcW w:w="0" w:type="auto"/>
            <w:shd w:val="clear" w:color="auto" w:fill="FFFFFF"/>
            <w:tcMar>
              <w:top w:w="0" w:type="dxa"/>
              <w:left w:w="0" w:type="dxa"/>
              <w:bottom w:w="0" w:type="dxa"/>
              <w:right w:w="0" w:type="dxa"/>
            </w:tcMar>
          </w:tcPr>
          <w:p w14:paraId="7AC18613"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D417EDC" w14:textId="6008F017"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4ACB6C9" w14:textId="77777777" w:rsidR="008B4DF8" w:rsidRPr="00C1603D" w:rsidRDefault="008B4DF8" w:rsidP="00943414">
            <w:pPr>
              <w:pStyle w:val="72TabletextTablesTableFigureBoxstyles"/>
            </w:pPr>
            <w:r w:rsidRPr="00C1603D">
              <w:rPr>
                <w:rFonts w:eastAsia="Arial"/>
              </w:rPr>
              <w:t>Chronic hepatitis C</w:t>
            </w:r>
          </w:p>
        </w:tc>
        <w:tc>
          <w:tcPr>
            <w:tcW w:w="0" w:type="auto"/>
            <w:shd w:val="clear" w:color="auto" w:fill="FFFFFF"/>
            <w:tcMar>
              <w:top w:w="0" w:type="dxa"/>
              <w:left w:w="0" w:type="dxa"/>
              <w:bottom w:w="0" w:type="dxa"/>
              <w:right w:w="0" w:type="dxa"/>
            </w:tcMar>
          </w:tcPr>
          <w:p w14:paraId="70ECF00B" w14:textId="77777777" w:rsidR="008B4DF8" w:rsidRPr="00C1603D" w:rsidRDefault="008B4DF8" w:rsidP="00943414">
            <w:pPr>
              <w:pStyle w:val="72TabletextTablesTableFigureBoxstyles"/>
            </w:pPr>
            <w:r w:rsidRPr="00C1603D">
              <w:rPr>
                <w:rFonts w:eastAsia="Arial"/>
              </w:rPr>
              <w:t>395</w:t>
            </w:r>
          </w:p>
        </w:tc>
        <w:tc>
          <w:tcPr>
            <w:tcW w:w="0" w:type="auto"/>
            <w:shd w:val="clear" w:color="auto" w:fill="FFFFFF"/>
            <w:tcMar>
              <w:top w:w="0" w:type="dxa"/>
              <w:left w:w="0" w:type="dxa"/>
              <w:bottom w:w="0" w:type="dxa"/>
              <w:right w:w="0" w:type="dxa"/>
            </w:tcMar>
          </w:tcPr>
          <w:p w14:paraId="4CC1CA96" w14:textId="77777777"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4185A83F"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F9444DD" w14:textId="4FA59C8E"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622B32B"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C404D23"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79DC33B8" w14:textId="64AA6747" w:rsidR="008B4DF8" w:rsidRPr="00C1603D" w:rsidRDefault="00350456" w:rsidP="00943414">
            <w:pPr>
              <w:pStyle w:val="72TabletextTablesTableFigureBoxstyles"/>
            </w:pPr>
            <w:r w:rsidRPr="00C1603D">
              <w:rPr>
                <w:rFonts w:eastAsia="Arial"/>
                <w:noProof/>
              </w:rPr>
              <w:t xml:space="preserve">Durante-Mangoni </w:t>
            </w:r>
            <w:r w:rsidRPr="00C1603D">
              <w:rPr>
                <w:rFonts w:eastAsia="Arial"/>
                <w:i/>
                <w:iCs/>
                <w:noProof/>
              </w:rPr>
              <w:t>et al</w:t>
            </w:r>
            <w:r w:rsidRPr="00C1603D">
              <w:rPr>
                <w:rFonts w:eastAsia="Arial"/>
                <w:noProof/>
              </w:rPr>
              <w:t>.</w:t>
            </w:r>
            <w:r w:rsidR="008B4DF8" w:rsidRPr="00C1603D">
              <w:rPr>
                <w:rFonts w:eastAsia="Arial"/>
                <w:noProof/>
                <w:vertAlign w:val="superscript"/>
              </w:rPr>
              <w:t>395</w:t>
            </w:r>
          </w:p>
        </w:tc>
      </w:tr>
      <w:tr w:rsidR="00350456" w:rsidRPr="00C1603D" w14:paraId="6271D1E8" w14:textId="77777777" w:rsidTr="00943414">
        <w:trPr>
          <w:cantSplit/>
        </w:trPr>
        <w:tc>
          <w:tcPr>
            <w:tcW w:w="0" w:type="auto"/>
            <w:shd w:val="clear" w:color="auto" w:fill="FFFFFF"/>
            <w:tcMar>
              <w:top w:w="0" w:type="dxa"/>
              <w:left w:w="0" w:type="dxa"/>
              <w:bottom w:w="0" w:type="dxa"/>
              <w:right w:w="0" w:type="dxa"/>
            </w:tcMar>
          </w:tcPr>
          <w:p w14:paraId="48F5A974"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372A999" w14:textId="6E81990B"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0E11FFC" w14:textId="77777777" w:rsidR="008B4DF8" w:rsidRPr="00C1603D" w:rsidRDefault="008B4DF8" w:rsidP="00943414">
            <w:pPr>
              <w:pStyle w:val="72TabletextTablesTableFigureBoxstyles"/>
            </w:pPr>
            <w:r w:rsidRPr="00C1603D">
              <w:rPr>
                <w:rFonts w:eastAsia="Arial"/>
              </w:rPr>
              <w:t>Chronic hepatitis C</w:t>
            </w:r>
          </w:p>
        </w:tc>
        <w:tc>
          <w:tcPr>
            <w:tcW w:w="0" w:type="auto"/>
            <w:shd w:val="clear" w:color="auto" w:fill="FFFFFF"/>
            <w:tcMar>
              <w:top w:w="0" w:type="dxa"/>
              <w:left w:w="0" w:type="dxa"/>
              <w:bottom w:w="0" w:type="dxa"/>
              <w:right w:w="0" w:type="dxa"/>
            </w:tcMar>
          </w:tcPr>
          <w:p w14:paraId="4794D260" w14:textId="77777777" w:rsidR="008B4DF8" w:rsidRPr="00C1603D" w:rsidRDefault="008B4DF8" w:rsidP="00943414">
            <w:pPr>
              <w:pStyle w:val="72TabletextTablesTableFigureBoxstyles"/>
            </w:pPr>
            <w:r w:rsidRPr="00C1603D">
              <w:rPr>
                <w:rFonts w:eastAsia="Arial"/>
              </w:rPr>
              <w:t>275</w:t>
            </w:r>
          </w:p>
        </w:tc>
        <w:tc>
          <w:tcPr>
            <w:tcW w:w="0" w:type="auto"/>
            <w:shd w:val="clear" w:color="auto" w:fill="FFFFFF"/>
            <w:tcMar>
              <w:top w:w="0" w:type="dxa"/>
              <w:left w:w="0" w:type="dxa"/>
              <w:bottom w:w="0" w:type="dxa"/>
              <w:right w:w="0" w:type="dxa"/>
            </w:tcMar>
          </w:tcPr>
          <w:p w14:paraId="33577FD2" w14:textId="77777777"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ECF780D"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83D5F9E" w14:textId="6ACEFBF1"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58A028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A8F8527" w14:textId="77777777" w:rsidR="008B4DF8" w:rsidRPr="00C1603D" w:rsidRDefault="008B4DF8" w:rsidP="00943414">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2EF40508" w14:textId="52DC3161" w:rsidR="008B4DF8" w:rsidRPr="00C1603D" w:rsidRDefault="00350456" w:rsidP="00943414">
            <w:pPr>
              <w:pStyle w:val="72TabletextTablesTableFigureBoxstyles"/>
            </w:pPr>
            <w:r w:rsidRPr="00C1603D">
              <w:rPr>
                <w:rFonts w:eastAsia="Arial"/>
                <w:noProof/>
              </w:rPr>
              <w:t xml:space="preserve">Hernandez </w:t>
            </w:r>
            <w:r w:rsidRPr="00C1603D">
              <w:rPr>
                <w:rFonts w:eastAsia="Arial"/>
                <w:i/>
                <w:iCs/>
                <w:noProof/>
              </w:rPr>
              <w:t>et al</w:t>
            </w:r>
            <w:r w:rsidRPr="00C1603D">
              <w:rPr>
                <w:rFonts w:eastAsia="Arial"/>
                <w:noProof/>
              </w:rPr>
              <w:t>.</w:t>
            </w:r>
            <w:r w:rsidR="008B4DF8" w:rsidRPr="00C1603D">
              <w:rPr>
                <w:rFonts w:eastAsia="Arial"/>
                <w:noProof/>
                <w:vertAlign w:val="superscript"/>
              </w:rPr>
              <w:t>396</w:t>
            </w:r>
          </w:p>
        </w:tc>
      </w:tr>
      <w:tr w:rsidR="00350456" w:rsidRPr="00C1603D" w14:paraId="07976CD5" w14:textId="77777777" w:rsidTr="00943414">
        <w:trPr>
          <w:cantSplit/>
        </w:trPr>
        <w:tc>
          <w:tcPr>
            <w:tcW w:w="0" w:type="auto"/>
            <w:shd w:val="clear" w:color="auto" w:fill="FFFFFF"/>
            <w:tcMar>
              <w:top w:w="0" w:type="dxa"/>
              <w:left w:w="0" w:type="dxa"/>
              <w:bottom w:w="0" w:type="dxa"/>
              <w:right w:w="0" w:type="dxa"/>
            </w:tcMar>
          </w:tcPr>
          <w:p w14:paraId="438E8E7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EFD501D" w14:textId="3547FF46"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6F7484B" w14:textId="77777777" w:rsidR="008B4DF8" w:rsidRPr="00C1603D" w:rsidRDefault="008B4DF8" w:rsidP="00943414">
            <w:pPr>
              <w:pStyle w:val="72TabletextTablesTableFigureBoxstyles"/>
            </w:pPr>
            <w:commentRangeStart w:id="598"/>
            <w:r w:rsidRPr="00C1603D">
              <w:rPr>
                <w:rFonts w:eastAsia="Arial"/>
              </w:rPr>
              <w:t>ALD, HCV, PBC, PSC, CH</w:t>
            </w:r>
            <w:commentRangeEnd w:id="598"/>
            <w:r w:rsidR="00EA7D2E" w:rsidRPr="00C1603D">
              <w:rPr>
                <w:rFonts w:ascii="Times New Roman" w:hAnsi="Times New Roman" w:cs="Times New Roman"/>
                <w:color w:val="auto"/>
                <w:lang w:val="en-US"/>
              </w:rPr>
              <w:commentReference w:id="598"/>
            </w:r>
          </w:p>
        </w:tc>
        <w:tc>
          <w:tcPr>
            <w:tcW w:w="0" w:type="auto"/>
            <w:shd w:val="clear" w:color="auto" w:fill="FFFFFF"/>
            <w:tcMar>
              <w:top w:w="0" w:type="dxa"/>
              <w:left w:w="0" w:type="dxa"/>
              <w:bottom w:w="0" w:type="dxa"/>
              <w:right w:w="0" w:type="dxa"/>
            </w:tcMar>
          </w:tcPr>
          <w:p w14:paraId="379D4455" w14:textId="77777777" w:rsidR="008B4DF8" w:rsidRPr="00C1603D" w:rsidRDefault="008B4DF8" w:rsidP="00943414">
            <w:pPr>
              <w:pStyle w:val="72TabletextTablesTableFigureBoxstyles"/>
            </w:pPr>
            <w:r w:rsidRPr="00C1603D">
              <w:rPr>
                <w:rFonts w:eastAsia="Arial"/>
              </w:rPr>
              <w:t>2,002</w:t>
            </w:r>
          </w:p>
        </w:tc>
        <w:tc>
          <w:tcPr>
            <w:tcW w:w="0" w:type="auto"/>
            <w:shd w:val="clear" w:color="auto" w:fill="FFFFFF"/>
            <w:tcMar>
              <w:top w:w="0" w:type="dxa"/>
              <w:left w:w="0" w:type="dxa"/>
              <w:bottom w:w="0" w:type="dxa"/>
              <w:right w:w="0" w:type="dxa"/>
            </w:tcMar>
          </w:tcPr>
          <w:p w14:paraId="2753379D" w14:textId="77777777"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E89477E"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3889539" w14:textId="3715DA61"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19D18D7E"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72DCFD3" w14:textId="77777777" w:rsidR="008B4DF8" w:rsidRPr="00C1603D" w:rsidRDefault="008B4DF8" w:rsidP="00943414">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538A9C35" w14:textId="2B77E2B4" w:rsidR="008B4DF8" w:rsidRPr="00C1603D" w:rsidRDefault="00350456" w:rsidP="00943414">
            <w:pPr>
              <w:pStyle w:val="72TabletextTablesTableFigureBoxstyles"/>
            </w:pPr>
            <w:r w:rsidRPr="00C1603D">
              <w:t xml:space="preserve">Sjöberg </w:t>
            </w:r>
            <w:r w:rsidRPr="00C1603D">
              <w:rPr>
                <w:rFonts w:eastAsia="Arial"/>
                <w:i/>
                <w:iCs/>
                <w:noProof/>
              </w:rPr>
              <w:t>et al</w:t>
            </w:r>
            <w:r w:rsidRPr="00C1603D">
              <w:rPr>
                <w:rFonts w:eastAsia="Arial"/>
                <w:noProof/>
              </w:rPr>
              <w:t>.</w:t>
            </w:r>
            <w:r w:rsidR="008B4DF8" w:rsidRPr="00C1603D">
              <w:rPr>
                <w:rFonts w:eastAsia="Arial"/>
                <w:noProof/>
                <w:vertAlign w:val="superscript"/>
              </w:rPr>
              <w:t>397</w:t>
            </w:r>
          </w:p>
        </w:tc>
      </w:tr>
      <w:tr w:rsidR="00350456" w:rsidRPr="00C1603D" w14:paraId="5C9211A5" w14:textId="77777777" w:rsidTr="00943414">
        <w:trPr>
          <w:cantSplit/>
        </w:trPr>
        <w:tc>
          <w:tcPr>
            <w:tcW w:w="0" w:type="auto"/>
            <w:shd w:val="clear" w:color="auto" w:fill="FFFFFF"/>
            <w:tcMar>
              <w:top w:w="0" w:type="dxa"/>
              <w:left w:w="0" w:type="dxa"/>
              <w:bottom w:w="0" w:type="dxa"/>
              <w:right w:w="0" w:type="dxa"/>
            </w:tcMar>
          </w:tcPr>
          <w:p w14:paraId="5736D71B" w14:textId="77777777" w:rsidR="008B4DF8" w:rsidRPr="00C1603D" w:rsidRDefault="008B4DF8" w:rsidP="00943414">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6DE71BB2" w14:textId="2346A8C8"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61E634A" w14:textId="77777777" w:rsidR="008B4DF8" w:rsidRPr="00C1603D" w:rsidRDefault="008B4DF8" w:rsidP="00943414">
            <w:pPr>
              <w:pStyle w:val="72TabletextTablesTableFigureBoxstyles"/>
            </w:pPr>
            <w:r w:rsidRPr="00C1603D">
              <w:rPr>
                <w:rFonts w:eastAsia="Arial"/>
              </w:rPr>
              <w:t>Abnormal liver function tests</w:t>
            </w:r>
          </w:p>
        </w:tc>
        <w:tc>
          <w:tcPr>
            <w:tcW w:w="0" w:type="auto"/>
            <w:shd w:val="clear" w:color="auto" w:fill="FFFFFF"/>
            <w:tcMar>
              <w:top w:w="0" w:type="dxa"/>
              <w:left w:w="0" w:type="dxa"/>
              <w:bottom w:w="0" w:type="dxa"/>
              <w:right w:w="0" w:type="dxa"/>
            </w:tcMar>
          </w:tcPr>
          <w:p w14:paraId="66D3EFD0" w14:textId="77777777" w:rsidR="008B4DF8" w:rsidRPr="00C1603D" w:rsidRDefault="008B4DF8" w:rsidP="00943414">
            <w:pPr>
              <w:pStyle w:val="72TabletextTablesTableFigureBoxstyles"/>
            </w:pPr>
            <w:r w:rsidRPr="00C1603D">
              <w:rPr>
                <w:rFonts w:eastAsia="Arial"/>
              </w:rPr>
              <w:t>250</w:t>
            </w:r>
          </w:p>
        </w:tc>
        <w:tc>
          <w:tcPr>
            <w:tcW w:w="0" w:type="auto"/>
            <w:shd w:val="clear" w:color="auto" w:fill="FFFFFF"/>
            <w:tcMar>
              <w:top w:w="0" w:type="dxa"/>
              <w:left w:w="0" w:type="dxa"/>
              <w:bottom w:w="0" w:type="dxa"/>
              <w:right w:w="0" w:type="dxa"/>
            </w:tcMar>
          </w:tcPr>
          <w:p w14:paraId="6BA3E7E9" w14:textId="77777777" w:rsidR="008B4DF8" w:rsidRPr="00C1603D" w:rsidRDefault="008B4DF8" w:rsidP="00943414">
            <w:pPr>
              <w:pStyle w:val="72TabletextTablesTableFigureBoxstyles"/>
            </w:pPr>
            <w:r w:rsidRPr="00C1603D">
              <w:rPr>
                <w:rFonts w:eastAsia="Arial"/>
              </w:rPr>
              <w:t>1</w:t>
            </w:r>
            <w:r w:rsidRPr="00C1603D">
              <w:rPr>
                <w:rFonts w:eastAsia="Arial"/>
                <w:color w:val="00B0F0"/>
              </w:rPr>
              <w:t>–2</w:t>
            </w:r>
            <w:r w:rsidRPr="00C1603D">
              <w:rPr>
                <w:rFonts w:eastAsia="Arial"/>
              </w:rPr>
              <w:t>5%</w:t>
            </w:r>
          </w:p>
        </w:tc>
        <w:tc>
          <w:tcPr>
            <w:tcW w:w="0" w:type="auto"/>
            <w:shd w:val="clear" w:color="auto" w:fill="FFFFFF"/>
            <w:tcMar>
              <w:top w:w="0" w:type="dxa"/>
              <w:left w:w="0" w:type="dxa"/>
              <w:bottom w:w="0" w:type="dxa"/>
              <w:right w:w="0" w:type="dxa"/>
            </w:tcMar>
          </w:tcPr>
          <w:p w14:paraId="0A04BE53"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306202F"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4D0DA774"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FDDFB10" w14:textId="77777777" w:rsidR="008B4DF8" w:rsidRPr="00C1603D" w:rsidRDefault="008B4DF8" w:rsidP="00943414">
            <w:pPr>
              <w:pStyle w:val="72TabletextTablesTableFigureBoxstyles"/>
            </w:pPr>
            <w:r w:rsidRPr="00C1603D">
              <w:rPr>
                <w:rFonts w:eastAsia="Arial"/>
              </w:rPr>
              <w:t>China</w:t>
            </w:r>
          </w:p>
        </w:tc>
        <w:tc>
          <w:tcPr>
            <w:tcW w:w="0" w:type="auto"/>
            <w:shd w:val="clear" w:color="auto" w:fill="FFFFFF"/>
            <w:tcMar>
              <w:top w:w="0" w:type="dxa"/>
              <w:left w:w="0" w:type="dxa"/>
              <w:bottom w:w="0" w:type="dxa"/>
              <w:right w:w="0" w:type="dxa"/>
            </w:tcMar>
          </w:tcPr>
          <w:p w14:paraId="21F55A33" w14:textId="4887BC2A" w:rsidR="008B4DF8" w:rsidRPr="00C1603D" w:rsidRDefault="00350456" w:rsidP="00943414">
            <w:pPr>
              <w:pStyle w:val="72TabletextTablesTableFigureBoxstyles"/>
            </w:pPr>
            <w:r w:rsidRPr="00C1603D">
              <w:rPr>
                <w:rFonts w:eastAsia="Arial"/>
                <w:noProof/>
              </w:rPr>
              <w:t xml:space="preserve">Yuan </w:t>
            </w:r>
            <w:r w:rsidRPr="00C1603D">
              <w:rPr>
                <w:rFonts w:eastAsia="Arial"/>
                <w:i/>
                <w:iCs/>
                <w:noProof/>
              </w:rPr>
              <w:t>et al</w:t>
            </w:r>
            <w:r w:rsidRPr="00C1603D">
              <w:rPr>
                <w:rFonts w:eastAsia="Arial"/>
                <w:noProof/>
              </w:rPr>
              <w:t>.</w:t>
            </w:r>
            <w:r w:rsidR="008B4DF8" w:rsidRPr="00C1603D">
              <w:rPr>
                <w:rFonts w:eastAsia="Arial"/>
                <w:noProof/>
                <w:vertAlign w:val="superscript"/>
              </w:rPr>
              <w:t>398</w:t>
            </w:r>
          </w:p>
        </w:tc>
      </w:tr>
      <w:tr w:rsidR="00350456" w:rsidRPr="00C1603D" w14:paraId="71AE2EDB" w14:textId="77777777" w:rsidTr="00943414">
        <w:trPr>
          <w:cantSplit/>
        </w:trPr>
        <w:tc>
          <w:tcPr>
            <w:tcW w:w="0" w:type="auto"/>
            <w:shd w:val="clear" w:color="auto" w:fill="FFFFFF"/>
            <w:tcMar>
              <w:top w:w="0" w:type="dxa"/>
              <w:left w:w="0" w:type="dxa"/>
              <w:bottom w:w="0" w:type="dxa"/>
              <w:right w:w="0" w:type="dxa"/>
            </w:tcMar>
          </w:tcPr>
          <w:p w14:paraId="6ABBCCD7"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1AE5582"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58132A4D" w14:textId="77777777" w:rsidR="008B4DF8" w:rsidRPr="00C1603D" w:rsidRDefault="008B4DF8" w:rsidP="00943414">
            <w:pPr>
              <w:pStyle w:val="72TabletextTablesTableFigureBoxstyles"/>
            </w:pPr>
            <w:r w:rsidRPr="00C1603D">
              <w:rPr>
                <w:rFonts w:eastAsia="Arial"/>
              </w:rPr>
              <w:t>Hepatitis</w:t>
            </w:r>
          </w:p>
        </w:tc>
        <w:tc>
          <w:tcPr>
            <w:tcW w:w="0" w:type="auto"/>
            <w:shd w:val="clear" w:color="auto" w:fill="FFFFFF"/>
            <w:tcMar>
              <w:top w:w="0" w:type="dxa"/>
              <w:left w:w="0" w:type="dxa"/>
              <w:bottom w:w="0" w:type="dxa"/>
              <w:right w:w="0" w:type="dxa"/>
            </w:tcMar>
          </w:tcPr>
          <w:p w14:paraId="724AB026" w14:textId="77777777" w:rsidR="008B4DF8" w:rsidRPr="00C1603D" w:rsidRDefault="008B4DF8" w:rsidP="00943414">
            <w:pPr>
              <w:pStyle w:val="72TabletextTablesTableFigureBoxstyles"/>
            </w:pPr>
            <w:r w:rsidRPr="00C1603D">
              <w:rPr>
                <w:rFonts w:eastAsia="Arial"/>
              </w:rPr>
              <w:t>1,197</w:t>
            </w:r>
          </w:p>
        </w:tc>
        <w:tc>
          <w:tcPr>
            <w:tcW w:w="0" w:type="auto"/>
            <w:shd w:val="clear" w:color="auto" w:fill="FFFFFF"/>
            <w:tcMar>
              <w:top w:w="0" w:type="dxa"/>
              <w:left w:w="0" w:type="dxa"/>
              <w:bottom w:w="0" w:type="dxa"/>
              <w:right w:w="0" w:type="dxa"/>
            </w:tcMar>
          </w:tcPr>
          <w:p w14:paraId="36549C63" w14:textId="77777777"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7006219" w14:textId="77777777" w:rsidR="008B4DF8" w:rsidRPr="00C1603D" w:rsidRDefault="008B4DF8" w:rsidP="00943414">
            <w:pPr>
              <w:pStyle w:val="72TabletextTablesTableFigureBoxstyles"/>
            </w:pPr>
            <w:r w:rsidRPr="00C1603D">
              <w:rPr>
                <w:rFonts w:eastAsia="Arial"/>
              </w:rPr>
              <w:t>People without hepatitis</w:t>
            </w:r>
          </w:p>
        </w:tc>
        <w:tc>
          <w:tcPr>
            <w:tcW w:w="0" w:type="auto"/>
            <w:shd w:val="clear" w:color="auto" w:fill="FFFFFF"/>
            <w:tcMar>
              <w:top w:w="0" w:type="dxa"/>
              <w:left w:w="0" w:type="dxa"/>
              <w:bottom w:w="0" w:type="dxa"/>
              <w:right w:w="0" w:type="dxa"/>
            </w:tcMar>
          </w:tcPr>
          <w:p w14:paraId="14C034A6" w14:textId="16413CE9"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2CB0766F"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08BC47A9" w14:textId="77777777" w:rsidR="008B4DF8" w:rsidRPr="00C1603D" w:rsidRDefault="008B4DF8" w:rsidP="00943414">
            <w:pPr>
              <w:pStyle w:val="72TabletextTablesTableFigureBoxstyles"/>
            </w:pPr>
            <w:r w:rsidRPr="00C1603D">
              <w:rPr>
                <w:rFonts w:eastAsia="Arial"/>
              </w:rPr>
              <w:t>United Arab Emirates</w:t>
            </w:r>
          </w:p>
        </w:tc>
        <w:tc>
          <w:tcPr>
            <w:tcW w:w="0" w:type="auto"/>
            <w:shd w:val="clear" w:color="auto" w:fill="FFFFFF"/>
            <w:tcMar>
              <w:top w:w="0" w:type="dxa"/>
              <w:left w:w="0" w:type="dxa"/>
              <w:bottom w:w="0" w:type="dxa"/>
              <w:right w:w="0" w:type="dxa"/>
            </w:tcMar>
          </w:tcPr>
          <w:p w14:paraId="3A15CEE0" w14:textId="6E64844E" w:rsidR="008B4DF8" w:rsidRPr="00C1603D" w:rsidRDefault="00350456" w:rsidP="00943414">
            <w:pPr>
              <w:pStyle w:val="72TabletextTablesTableFigureBoxstyles"/>
            </w:pPr>
            <w:r w:rsidRPr="00C1603D">
              <w:rPr>
                <w:rFonts w:eastAsia="Arial"/>
                <w:noProof/>
              </w:rPr>
              <w:t xml:space="preserve">Abu-Zeid </w:t>
            </w:r>
            <w:r w:rsidRPr="00C1603D">
              <w:rPr>
                <w:rFonts w:eastAsia="Arial"/>
                <w:i/>
                <w:iCs/>
                <w:noProof/>
              </w:rPr>
              <w:t>et al</w:t>
            </w:r>
            <w:r w:rsidRPr="00C1603D">
              <w:rPr>
                <w:rFonts w:eastAsia="Arial"/>
                <w:noProof/>
              </w:rPr>
              <w:t>.</w:t>
            </w:r>
            <w:r w:rsidR="008B4DF8" w:rsidRPr="00C1603D">
              <w:rPr>
                <w:rFonts w:eastAsia="Arial"/>
                <w:noProof/>
                <w:vertAlign w:val="superscript"/>
              </w:rPr>
              <w:t>288</w:t>
            </w:r>
          </w:p>
        </w:tc>
      </w:tr>
      <w:tr w:rsidR="00350456" w:rsidRPr="00C1603D" w14:paraId="7E815EC8" w14:textId="77777777" w:rsidTr="00943414">
        <w:trPr>
          <w:cantSplit/>
        </w:trPr>
        <w:tc>
          <w:tcPr>
            <w:tcW w:w="0" w:type="auto"/>
            <w:shd w:val="clear" w:color="auto" w:fill="FFFFFF"/>
            <w:tcMar>
              <w:top w:w="0" w:type="dxa"/>
              <w:left w:w="0" w:type="dxa"/>
              <w:bottom w:w="0" w:type="dxa"/>
              <w:right w:w="0" w:type="dxa"/>
            </w:tcMar>
          </w:tcPr>
          <w:p w14:paraId="42486C56"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F7104EB"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5DD697DE" w14:textId="77777777" w:rsidR="008B4DF8" w:rsidRPr="00C1603D" w:rsidRDefault="008B4DF8" w:rsidP="00943414">
            <w:pPr>
              <w:pStyle w:val="72TabletextTablesTableFigureBoxstyles"/>
            </w:pPr>
            <w:r w:rsidRPr="00C1603D">
              <w:rPr>
                <w:rFonts w:eastAsia="Arial"/>
              </w:rPr>
              <w:t>Hepatic diseases</w:t>
            </w:r>
          </w:p>
        </w:tc>
        <w:tc>
          <w:tcPr>
            <w:tcW w:w="0" w:type="auto"/>
            <w:shd w:val="clear" w:color="auto" w:fill="FFFFFF"/>
            <w:tcMar>
              <w:top w:w="0" w:type="dxa"/>
              <w:left w:w="0" w:type="dxa"/>
              <w:bottom w:w="0" w:type="dxa"/>
              <w:right w:w="0" w:type="dxa"/>
            </w:tcMar>
          </w:tcPr>
          <w:p w14:paraId="0C8CFA17" w14:textId="77777777" w:rsidR="008B4DF8" w:rsidRPr="00C1603D" w:rsidRDefault="008B4DF8" w:rsidP="00943414">
            <w:pPr>
              <w:pStyle w:val="72TabletextTablesTableFigureBoxstyles"/>
            </w:pPr>
            <w:r w:rsidRPr="00C1603D">
              <w:rPr>
                <w:rFonts w:eastAsia="Arial"/>
              </w:rPr>
              <w:t>527</w:t>
            </w:r>
          </w:p>
        </w:tc>
        <w:tc>
          <w:tcPr>
            <w:tcW w:w="0" w:type="auto"/>
            <w:shd w:val="clear" w:color="auto" w:fill="FFFFFF"/>
            <w:tcMar>
              <w:top w:w="0" w:type="dxa"/>
              <w:left w:w="0" w:type="dxa"/>
              <w:bottom w:w="0" w:type="dxa"/>
              <w:right w:w="0" w:type="dxa"/>
            </w:tcMar>
          </w:tcPr>
          <w:p w14:paraId="1763010D" w14:textId="77777777"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C2C0825" w14:textId="77777777" w:rsidR="008B4DF8" w:rsidRPr="00C1603D" w:rsidRDefault="008B4DF8" w:rsidP="00943414">
            <w:pPr>
              <w:pStyle w:val="72TabletextTablesTableFigureBoxstyles"/>
            </w:pPr>
            <w:r w:rsidRPr="00C1603D">
              <w:rPr>
                <w:rFonts w:eastAsia="Arial"/>
              </w:rPr>
              <w:t>People without hepatic diseases</w:t>
            </w:r>
          </w:p>
        </w:tc>
        <w:tc>
          <w:tcPr>
            <w:tcW w:w="0" w:type="auto"/>
            <w:shd w:val="clear" w:color="auto" w:fill="FFFFFF"/>
            <w:tcMar>
              <w:top w:w="0" w:type="dxa"/>
              <w:left w:w="0" w:type="dxa"/>
              <w:bottom w:w="0" w:type="dxa"/>
              <w:right w:w="0" w:type="dxa"/>
            </w:tcMar>
          </w:tcPr>
          <w:p w14:paraId="504144AA" w14:textId="7452ED8D"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2F403B3"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63ED0FB" w14:textId="77777777" w:rsidR="008B4DF8" w:rsidRPr="00C1603D" w:rsidRDefault="008B4DF8" w:rsidP="00943414">
            <w:pPr>
              <w:pStyle w:val="72TabletextTablesTableFigureBoxstyles"/>
            </w:pPr>
            <w:r w:rsidRPr="00C1603D">
              <w:rPr>
                <w:rFonts w:eastAsia="Arial"/>
              </w:rPr>
              <w:t>Malaysia</w:t>
            </w:r>
          </w:p>
        </w:tc>
        <w:tc>
          <w:tcPr>
            <w:tcW w:w="0" w:type="auto"/>
            <w:shd w:val="clear" w:color="auto" w:fill="FFFFFF"/>
            <w:tcMar>
              <w:top w:w="0" w:type="dxa"/>
              <w:left w:w="0" w:type="dxa"/>
              <w:bottom w:w="0" w:type="dxa"/>
              <w:right w:w="0" w:type="dxa"/>
            </w:tcMar>
          </w:tcPr>
          <w:p w14:paraId="02E3F6D8" w14:textId="6985FFEB" w:rsidR="008B4DF8" w:rsidRPr="00C1603D" w:rsidRDefault="00350456" w:rsidP="00943414">
            <w:pPr>
              <w:pStyle w:val="72TabletextTablesTableFigureBoxstyles"/>
            </w:pPr>
            <w:r w:rsidRPr="00C1603D">
              <w:rPr>
                <w:rFonts w:eastAsia="Arial"/>
                <w:noProof/>
              </w:rPr>
              <w:t xml:space="preserve">Yap </w:t>
            </w:r>
            <w:r w:rsidRPr="00C1603D">
              <w:rPr>
                <w:rFonts w:eastAsia="Arial"/>
                <w:i/>
                <w:iCs/>
                <w:noProof/>
              </w:rPr>
              <w:t>et al</w:t>
            </w:r>
            <w:r w:rsidRPr="00C1603D">
              <w:rPr>
                <w:rFonts w:eastAsia="Arial"/>
                <w:noProof/>
              </w:rPr>
              <w:t>.</w:t>
            </w:r>
            <w:r w:rsidR="008B4DF8" w:rsidRPr="00C1603D">
              <w:rPr>
                <w:rFonts w:eastAsia="Arial"/>
                <w:noProof/>
                <w:vertAlign w:val="superscript"/>
              </w:rPr>
              <w:t>287</w:t>
            </w:r>
          </w:p>
        </w:tc>
      </w:tr>
      <w:tr w:rsidR="00350456" w:rsidRPr="00C1603D" w14:paraId="7D270F9F" w14:textId="77777777" w:rsidTr="00943414">
        <w:trPr>
          <w:cantSplit/>
        </w:trPr>
        <w:tc>
          <w:tcPr>
            <w:tcW w:w="0" w:type="auto"/>
            <w:shd w:val="clear" w:color="auto" w:fill="FFFFFF"/>
            <w:tcMar>
              <w:top w:w="0" w:type="dxa"/>
              <w:left w:w="0" w:type="dxa"/>
              <w:bottom w:w="0" w:type="dxa"/>
              <w:right w:w="0" w:type="dxa"/>
            </w:tcMar>
          </w:tcPr>
          <w:p w14:paraId="441E2634"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3AC79EC"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1ACE3531" w14:textId="77777777" w:rsidR="008B4DF8" w:rsidRPr="00C1603D" w:rsidRDefault="008B4DF8" w:rsidP="00943414">
            <w:pPr>
              <w:pStyle w:val="72TabletextTablesTableFigureBoxstyles"/>
            </w:pPr>
            <w:r w:rsidRPr="00C1603D">
              <w:rPr>
                <w:rFonts w:eastAsia="Arial"/>
              </w:rPr>
              <w:t>Unexplained abnormal AST/ALT</w:t>
            </w:r>
          </w:p>
        </w:tc>
        <w:tc>
          <w:tcPr>
            <w:tcW w:w="0" w:type="auto"/>
            <w:shd w:val="clear" w:color="auto" w:fill="FFFFFF"/>
            <w:tcMar>
              <w:top w:w="0" w:type="dxa"/>
              <w:left w:w="0" w:type="dxa"/>
              <w:bottom w:w="0" w:type="dxa"/>
              <w:right w:w="0" w:type="dxa"/>
            </w:tcMar>
          </w:tcPr>
          <w:p w14:paraId="73DB6633"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42ECA4B8" w14:textId="77777777"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0B77F9CB" w14:textId="77777777" w:rsidR="008B4DF8" w:rsidRPr="00C1603D" w:rsidRDefault="008B4DF8" w:rsidP="00943414">
            <w:pPr>
              <w:pStyle w:val="72TabletextTablesTableFigureBoxstyles"/>
            </w:pPr>
            <w:r w:rsidRPr="00C1603D">
              <w:rPr>
                <w:rFonts w:eastAsia="Arial"/>
              </w:rPr>
              <w:t>People without unexplained abnormal AST/ALT</w:t>
            </w:r>
          </w:p>
        </w:tc>
        <w:tc>
          <w:tcPr>
            <w:tcW w:w="0" w:type="auto"/>
            <w:shd w:val="clear" w:color="auto" w:fill="FFFFFF"/>
            <w:tcMar>
              <w:top w:w="0" w:type="dxa"/>
              <w:left w:w="0" w:type="dxa"/>
              <w:bottom w:w="0" w:type="dxa"/>
              <w:right w:w="0" w:type="dxa"/>
            </w:tcMar>
          </w:tcPr>
          <w:p w14:paraId="14B69726" w14:textId="65D2181F"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BD13B56"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64DE245D" w14:textId="77777777" w:rsidR="008B4DF8" w:rsidRPr="00C1603D" w:rsidRDefault="008B4DF8" w:rsidP="00943414">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3925E09F" w14:textId="7DCDBFD5" w:rsidR="008B4DF8" w:rsidRPr="00C1603D" w:rsidRDefault="00350456"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350456" w:rsidRPr="00C1603D" w14:paraId="4B96B8A6" w14:textId="77777777" w:rsidTr="00943414">
        <w:trPr>
          <w:cantSplit/>
        </w:trPr>
        <w:tc>
          <w:tcPr>
            <w:tcW w:w="0" w:type="auto"/>
            <w:shd w:val="clear" w:color="auto" w:fill="FFFFFF"/>
            <w:tcMar>
              <w:top w:w="0" w:type="dxa"/>
              <w:left w:w="0" w:type="dxa"/>
              <w:bottom w:w="0" w:type="dxa"/>
              <w:right w:w="0" w:type="dxa"/>
            </w:tcMar>
          </w:tcPr>
          <w:p w14:paraId="5E8F3B20" w14:textId="77777777" w:rsidR="008B4DF8" w:rsidRPr="00C1603D" w:rsidRDefault="008B4DF8" w:rsidP="00943414">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37DC17E9" w14:textId="04EF7EC4" w:rsidR="008B4DF8" w:rsidRPr="00C1603D" w:rsidRDefault="00B25FE9" w:rsidP="00943414">
            <w:pPr>
              <w:pStyle w:val="72TabletextTablesTableFigureBoxstyles"/>
              <w:rPr>
                <w:rFonts w:eastAsia="Arial"/>
              </w:rPr>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18E24F5" w14:textId="77777777" w:rsidR="008B4DF8" w:rsidRPr="00C1603D" w:rsidRDefault="008B4DF8" w:rsidP="00943414">
            <w:pPr>
              <w:pStyle w:val="72TabletextTablesTableFigureBoxstyles"/>
              <w:rPr>
                <w:rFonts w:eastAsia="Arial"/>
              </w:rPr>
            </w:pPr>
            <w:r w:rsidRPr="00C1603D">
              <w:rPr>
                <w:rFonts w:eastAsia="Arial"/>
              </w:rPr>
              <w:t>Autoimmune hepatitis</w:t>
            </w:r>
          </w:p>
        </w:tc>
        <w:tc>
          <w:tcPr>
            <w:tcW w:w="0" w:type="auto"/>
            <w:shd w:val="clear" w:color="auto" w:fill="FFFFFF"/>
            <w:tcMar>
              <w:top w:w="0" w:type="dxa"/>
              <w:left w:w="0" w:type="dxa"/>
              <w:bottom w:w="0" w:type="dxa"/>
              <w:right w:w="0" w:type="dxa"/>
            </w:tcMar>
          </w:tcPr>
          <w:p w14:paraId="152C8048" w14:textId="77777777" w:rsidR="008B4DF8" w:rsidRPr="00C1603D" w:rsidRDefault="008B4DF8" w:rsidP="00943414">
            <w:pPr>
              <w:pStyle w:val="72TabletextTablesTableFigureBoxstyles"/>
              <w:rPr>
                <w:rFonts w:eastAsia="Arial"/>
              </w:rPr>
            </w:pPr>
            <w:r w:rsidRPr="00C1603D">
              <w:rPr>
                <w:rFonts w:eastAsia="Arial"/>
              </w:rPr>
              <w:t>46</w:t>
            </w:r>
          </w:p>
        </w:tc>
        <w:tc>
          <w:tcPr>
            <w:tcW w:w="0" w:type="auto"/>
            <w:shd w:val="clear" w:color="auto" w:fill="FFFFFF"/>
            <w:tcMar>
              <w:top w:w="0" w:type="dxa"/>
              <w:left w:w="0" w:type="dxa"/>
              <w:bottom w:w="0" w:type="dxa"/>
              <w:right w:w="0" w:type="dxa"/>
            </w:tcMar>
          </w:tcPr>
          <w:p w14:paraId="67420340" w14:textId="77777777" w:rsidR="008B4DF8" w:rsidRPr="00C1603D" w:rsidRDefault="008B4DF8" w:rsidP="00943414">
            <w:pPr>
              <w:pStyle w:val="72TabletextTablesTableFigureBoxstyles"/>
              <w:rPr>
                <w:rFonts w:eastAsia="Arial"/>
              </w:rPr>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A8397D2" w14:textId="77777777" w:rsidR="008B4DF8" w:rsidRPr="00C1603D" w:rsidRDefault="008B4DF8" w:rsidP="00943414">
            <w:pPr>
              <w:pStyle w:val="72TabletextTablesTableFigureBoxstyles"/>
              <w:rPr>
                <w:rFonts w:eastAsia="Arial"/>
              </w:rPr>
            </w:pPr>
            <w:r w:rsidRPr="00C1603D">
              <w:rPr>
                <w:rFonts w:eastAsia="Arial"/>
              </w:rPr>
              <w:t>Healthy controls</w:t>
            </w:r>
          </w:p>
        </w:tc>
        <w:tc>
          <w:tcPr>
            <w:tcW w:w="0" w:type="auto"/>
            <w:shd w:val="clear" w:color="auto" w:fill="FFFFFF"/>
            <w:tcMar>
              <w:top w:w="0" w:type="dxa"/>
              <w:left w:w="0" w:type="dxa"/>
              <w:bottom w:w="0" w:type="dxa"/>
              <w:right w:w="0" w:type="dxa"/>
            </w:tcMar>
          </w:tcPr>
          <w:p w14:paraId="556450DE" w14:textId="0A81AC74" w:rsidR="008B4DF8" w:rsidRPr="00C1603D" w:rsidRDefault="008B4DF8" w:rsidP="00943414">
            <w:pPr>
              <w:pStyle w:val="72TabletextTablesTableFigureBoxstyles"/>
              <w:rPr>
                <w:rFonts w:eastAsia="Arial"/>
              </w:rPr>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47F3EFA" w14:textId="77777777" w:rsidR="008B4DF8" w:rsidRPr="00C1603D" w:rsidRDefault="008B4DF8" w:rsidP="00943414">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209FA6A2" w14:textId="77777777" w:rsidR="008B4DF8" w:rsidRPr="00C1603D" w:rsidRDefault="008B4DF8" w:rsidP="00943414">
            <w:pPr>
              <w:pStyle w:val="72TabletextTablesTableFigureBoxstyles"/>
              <w:rPr>
                <w:rFonts w:eastAsia="Arial"/>
              </w:rPr>
            </w:pPr>
            <w:r w:rsidRPr="00C1603D">
              <w:rPr>
                <w:rFonts w:eastAsia="Arial"/>
              </w:rPr>
              <w:t>Egypt</w:t>
            </w:r>
          </w:p>
        </w:tc>
        <w:tc>
          <w:tcPr>
            <w:tcW w:w="0" w:type="auto"/>
            <w:shd w:val="clear" w:color="auto" w:fill="FFFFFF"/>
            <w:tcMar>
              <w:top w:w="0" w:type="dxa"/>
              <w:left w:w="0" w:type="dxa"/>
              <w:bottom w:w="0" w:type="dxa"/>
              <w:right w:w="0" w:type="dxa"/>
            </w:tcMar>
          </w:tcPr>
          <w:p w14:paraId="27C855F7" w14:textId="2E93FE0B" w:rsidR="008B4DF8" w:rsidRPr="00C1603D" w:rsidRDefault="00350456" w:rsidP="00943414">
            <w:pPr>
              <w:pStyle w:val="72TabletextTablesTableFigureBoxstyles"/>
              <w:rPr>
                <w:rFonts w:eastAsia="Arial"/>
              </w:rPr>
            </w:pPr>
            <w:r w:rsidRPr="00C1603D">
              <w:rPr>
                <w:rFonts w:eastAsia="Arial"/>
                <w:noProof/>
              </w:rPr>
              <w:t xml:space="preserve">El-Shabrawi </w:t>
            </w:r>
            <w:r w:rsidRPr="00C1603D">
              <w:rPr>
                <w:rFonts w:eastAsia="Arial"/>
                <w:i/>
                <w:iCs/>
                <w:noProof/>
              </w:rPr>
              <w:t>et al</w:t>
            </w:r>
            <w:r w:rsidRPr="00C1603D">
              <w:rPr>
                <w:rFonts w:eastAsia="Arial"/>
                <w:noProof/>
              </w:rPr>
              <w:t>.</w:t>
            </w:r>
            <w:r w:rsidR="008B4DF8" w:rsidRPr="00C1603D">
              <w:rPr>
                <w:rFonts w:eastAsia="Arial"/>
                <w:noProof/>
                <w:vertAlign w:val="superscript"/>
              </w:rPr>
              <w:t>399</w:t>
            </w:r>
          </w:p>
        </w:tc>
      </w:tr>
      <w:tr w:rsidR="00350456" w:rsidRPr="00C1603D" w14:paraId="2C827536" w14:textId="77777777" w:rsidTr="00943414">
        <w:trPr>
          <w:cantSplit/>
        </w:trPr>
        <w:tc>
          <w:tcPr>
            <w:tcW w:w="0" w:type="auto"/>
            <w:shd w:val="clear" w:color="auto" w:fill="FFFFFF"/>
            <w:tcMar>
              <w:top w:w="0" w:type="dxa"/>
              <w:left w:w="0" w:type="dxa"/>
              <w:bottom w:w="0" w:type="dxa"/>
              <w:right w:w="0" w:type="dxa"/>
            </w:tcMar>
          </w:tcPr>
          <w:p w14:paraId="7036A2ED" w14:textId="77777777" w:rsidR="008B4DF8" w:rsidRPr="00C1603D" w:rsidRDefault="008B4DF8" w:rsidP="00943414">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7B154A24" w14:textId="6BF74830" w:rsidR="008B4DF8" w:rsidRPr="00C1603D" w:rsidRDefault="00B25FE9" w:rsidP="00943414">
            <w:pPr>
              <w:pStyle w:val="72TabletextTablesTableFigureBoxstyles"/>
              <w:rPr>
                <w:rFonts w:eastAsia="Arial"/>
              </w:rPr>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7ACA4494" w14:textId="77777777" w:rsidR="008B4DF8" w:rsidRPr="00C1603D" w:rsidRDefault="008B4DF8" w:rsidP="00943414">
            <w:pPr>
              <w:pStyle w:val="72TabletextTablesTableFigureBoxstyles"/>
              <w:rPr>
                <w:rFonts w:eastAsia="Arial"/>
              </w:rPr>
            </w:pPr>
            <w:r w:rsidRPr="00C1603D">
              <w:rPr>
                <w:rFonts w:eastAsia="Arial"/>
              </w:rPr>
              <w:t>Autoimmune hepatitis</w:t>
            </w:r>
          </w:p>
        </w:tc>
        <w:tc>
          <w:tcPr>
            <w:tcW w:w="0" w:type="auto"/>
            <w:shd w:val="clear" w:color="auto" w:fill="FFFFFF"/>
            <w:tcMar>
              <w:top w:w="0" w:type="dxa"/>
              <w:left w:w="0" w:type="dxa"/>
              <w:bottom w:w="0" w:type="dxa"/>
              <w:right w:w="0" w:type="dxa"/>
            </w:tcMar>
          </w:tcPr>
          <w:p w14:paraId="3CB5EB8F" w14:textId="77777777" w:rsidR="008B4DF8" w:rsidRPr="00C1603D" w:rsidRDefault="008B4DF8" w:rsidP="00943414">
            <w:pPr>
              <w:pStyle w:val="72TabletextTablesTableFigureBoxstyles"/>
              <w:rPr>
                <w:rFonts w:eastAsia="Arial"/>
              </w:rPr>
            </w:pPr>
            <w:r w:rsidRPr="00C1603D">
              <w:rPr>
                <w:rFonts w:eastAsia="Arial"/>
              </w:rPr>
              <w:t>122</w:t>
            </w:r>
          </w:p>
        </w:tc>
        <w:tc>
          <w:tcPr>
            <w:tcW w:w="0" w:type="auto"/>
            <w:shd w:val="clear" w:color="auto" w:fill="FFFFFF"/>
            <w:tcMar>
              <w:top w:w="0" w:type="dxa"/>
              <w:left w:w="0" w:type="dxa"/>
              <w:bottom w:w="0" w:type="dxa"/>
              <w:right w:w="0" w:type="dxa"/>
            </w:tcMar>
          </w:tcPr>
          <w:p w14:paraId="2A1AA84A" w14:textId="77777777" w:rsidR="008B4DF8" w:rsidRPr="00C1603D" w:rsidRDefault="008B4DF8" w:rsidP="00943414">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5BB6E277" w14:textId="77777777" w:rsidR="008B4DF8" w:rsidRPr="00C1603D" w:rsidRDefault="008B4DF8" w:rsidP="00943414">
            <w:pPr>
              <w:pStyle w:val="72TabletextTablesTableFigureBoxstyles"/>
              <w:rPr>
                <w:rFonts w:eastAsia="Arial"/>
              </w:rPr>
            </w:pPr>
            <w:r w:rsidRPr="00C1603D">
              <w:rPr>
                <w:rFonts w:eastAsia="Arial"/>
              </w:rPr>
              <w:t>Healthy controls</w:t>
            </w:r>
          </w:p>
        </w:tc>
        <w:tc>
          <w:tcPr>
            <w:tcW w:w="0" w:type="auto"/>
            <w:shd w:val="clear" w:color="auto" w:fill="FFFFFF"/>
            <w:tcMar>
              <w:top w:w="0" w:type="dxa"/>
              <w:left w:w="0" w:type="dxa"/>
              <w:bottom w:w="0" w:type="dxa"/>
              <w:right w:w="0" w:type="dxa"/>
            </w:tcMar>
          </w:tcPr>
          <w:p w14:paraId="121AE94B" w14:textId="3C0A8B6D" w:rsidR="008B4DF8" w:rsidRPr="00C1603D" w:rsidRDefault="008B4DF8" w:rsidP="00943414">
            <w:pPr>
              <w:pStyle w:val="72TabletextTablesTableFigureBoxstyles"/>
              <w:rPr>
                <w:rFonts w:eastAsia="Arial"/>
              </w:rPr>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D74919A" w14:textId="77777777" w:rsidR="008B4DF8" w:rsidRPr="00C1603D" w:rsidRDefault="008B4DF8" w:rsidP="00943414">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6C0292FD" w14:textId="77777777" w:rsidR="008B4DF8" w:rsidRPr="00C1603D" w:rsidRDefault="008B4DF8" w:rsidP="00943414">
            <w:pPr>
              <w:pStyle w:val="72TabletextTablesTableFigureBoxstyles"/>
              <w:rPr>
                <w:rFonts w:eastAsia="Arial"/>
              </w:rPr>
            </w:pPr>
            <w:r w:rsidRPr="00C1603D">
              <w:rPr>
                <w:rFonts w:eastAsia="Arial"/>
              </w:rPr>
              <w:t>Romania</w:t>
            </w:r>
          </w:p>
        </w:tc>
        <w:tc>
          <w:tcPr>
            <w:tcW w:w="0" w:type="auto"/>
            <w:shd w:val="clear" w:color="auto" w:fill="FFFFFF"/>
            <w:tcMar>
              <w:top w:w="0" w:type="dxa"/>
              <w:left w:w="0" w:type="dxa"/>
              <w:bottom w:w="0" w:type="dxa"/>
              <w:right w:w="0" w:type="dxa"/>
            </w:tcMar>
          </w:tcPr>
          <w:p w14:paraId="39CDF024" w14:textId="3AADE2D4" w:rsidR="008B4DF8" w:rsidRPr="00C1603D" w:rsidRDefault="00350456" w:rsidP="00943414">
            <w:pPr>
              <w:pStyle w:val="72TabletextTablesTableFigureBoxstyles"/>
              <w:rPr>
                <w:rFonts w:eastAsia="Arial"/>
              </w:rPr>
            </w:pPr>
            <w:r w:rsidRPr="00C1603D">
              <w:rPr>
                <w:rFonts w:eastAsia="Arial"/>
                <w:noProof/>
              </w:rPr>
              <w:t xml:space="preserve">Oana </w:t>
            </w:r>
            <w:r w:rsidRPr="00C1603D">
              <w:rPr>
                <w:rFonts w:eastAsia="Arial"/>
                <w:i/>
                <w:iCs/>
                <w:noProof/>
              </w:rPr>
              <w:t>et al</w:t>
            </w:r>
            <w:r w:rsidRPr="00C1603D">
              <w:rPr>
                <w:rFonts w:eastAsia="Arial"/>
                <w:noProof/>
              </w:rPr>
              <w:t>.</w:t>
            </w:r>
            <w:r w:rsidR="008B4DF8" w:rsidRPr="00C1603D">
              <w:rPr>
                <w:rFonts w:eastAsia="Arial"/>
                <w:noProof/>
                <w:vertAlign w:val="superscript"/>
              </w:rPr>
              <w:t>400</w:t>
            </w:r>
          </w:p>
        </w:tc>
      </w:tr>
      <w:tr w:rsidR="00350456" w:rsidRPr="00C1603D" w14:paraId="2ECE3AAC" w14:textId="77777777" w:rsidTr="00943414">
        <w:trPr>
          <w:cantSplit/>
        </w:trPr>
        <w:tc>
          <w:tcPr>
            <w:tcW w:w="0" w:type="auto"/>
            <w:shd w:val="clear" w:color="auto" w:fill="FFFFFF"/>
            <w:tcMar>
              <w:top w:w="0" w:type="dxa"/>
              <w:left w:w="0" w:type="dxa"/>
              <w:bottom w:w="0" w:type="dxa"/>
              <w:right w:w="0" w:type="dxa"/>
            </w:tcMar>
          </w:tcPr>
          <w:p w14:paraId="23D7742E"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1B90E134" w14:textId="7CF14741"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01C4F3A" w14:textId="77777777" w:rsidR="008B4DF8" w:rsidRPr="00C1603D" w:rsidRDefault="008B4DF8" w:rsidP="00943414">
            <w:pPr>
              <w:pStyle w:val="72TabletextTablesTableFigureBoxstyles"/>
            </w:pPr>
            <w:bookmarkStart w:id="599" w:name="_Hlk65240704"/>
            <w:r w:rsidRPr="00C1603D">
              <w:rPr>
                <w:rFonts w:eastAsia="Arial"/>
              </w:rPr>
              <w:t>HCV, HBV, AIH, PBC, PSC, NAFLD-ALD, NAFLD</w:t>
            </w:r>
            <w:bookmarkEnd w:id="599"/>
            <w:r w:rsidRPr="00C1603D">
              <w:rPr>
                <w:rFonts w:eastAsia="Arial"/>
              </w:rPr>
              <w:t>, and others</w:t>
            </w:r>
          </w:p>
        </w:tc>
        <w:tc>
          <w:tcPr>
            <w:tcW w:w="0" w:type="auto"/>
            <w:shd w:val="clear" w:color="auto" w:fill="FFFFFF"/>
            <w:tcMar>
              <w:top w:w="0" w:type="dxa"/>
              <w:left w:w="0" w:type="dxa"/>
              <w:bottom w:w="0" w:type="dxa"/>
              <w:right w:w="0" w:type="dxa"/>
            </w:tcMar>
          </w:tcPr>
          <w:p w14:paraId="7918148C" w14:textId="77777777" w:rsidR="008B4DF8" w:rsidRPr="00C1603D" w:rsidRDefault="008B4DF8" w:rsidP="00943414">
            <w:pPr>
              <w:pStyle w:val="72TabletextTablesTableFigureBoxstyles"/>
            </w:pPr>
            <w:r w:rsidRPr="00C1603D">
              <w:rPr>
                <w:rFonts w:eastAsia="Arial"/>
              </w:rPr>
              <w:t>2,084</w:t>
            </w:r>
          </w:p>
        </w:tc>
        <w:tc>
          <w:tcPr>
            <w:tcW w:w="0" w:type="auto"/>
            <w:shd w:val="clear" w:color="auto" w:fill="FFFFFF"/>
            <w:tcMar>
              <w:top w:w="0" w:type="dxa"/>
              <w:left w:w="0" w:type="dxa"/>
              <w:bottom w:w="0" w:type="dxa"/>
              <w:right w:w="0" w:type="dxa"/>
            </w:tcMar>
          </w:tcPr>
          <w:p w14:paraId="2BD92CB5" w14:textId="77777777"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594DA52"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A8848F6" w14:textId="687014B3"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59640904"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DBABDD6" w14:textId="77777777" w:rsidR="008B4DF8" w:rsidRPr="00C1603D" w:rsidRDefault="008B4DF8" w:rsidP="00943414">
            <w:pPr>
              <w:pStyle w:val="72TabletextTablesTableFigureBoxstyles"/>
            </w:pPr>
            <w:r w:rsidRPr="00C1603D">
              <w:rPr>
                <w:rFonts w:eastAsia="Arial"/>
              </w:rPr>
              <w:t>Greece</w:t>
            </w:r>
          </w:p>
        </w:tc>
        <w:tc>
          <w:tcPr>
            <w:tcW w:w="0" w:type="auto"/>
            <w:shd w:val="clear" w:color="auto" w:fill="FFFFFF"/>
            <w:tcMar>
              <w:top w:w="0" w:type="dxa"/>
              <w:left w:w="0" w:type="dxa"/>
              <w:bottom w:w="0" w:type="dxa"/>
              <w:right w:w="0" w:type="dxa"/>
            </w:tcMar>
          </w:tcPr>
          <w:p w14:paraId="30119D59" w14:textId="0D1EDA4A" w:rsidR="008B4DF8" w:rsidRPr="00C1603D" w:rsidRDefault="00350456" w:rsidP="00943414">
            <w:pPr>
              <w:pStyle w:val="72TabletextTablesTableFigureBoxstyles"/>
            </w:pPr>
            <w:r w:rsidRPr="00C1603D">
              <w:rPr>
                <w:rFonts w:eastAsia="Arial"/>
                <w:noProof/>
              </w:rPr>
              <w:t xml:space="preserve">Germenis </w:t>
            </w:r>
            <w:r w:rsidRPr="00C1603D">
              <w:rPr>
                <w:rFonts w:eastAsia="Arial"/>
                <w:i/>
                <w:iCs/>
                <w:noProof/>
              </w:rPr>
              <w:t>et al</w:t>
            </w:r>
            <w:r w:rsidRPr="00C1603D">
              <w:rPr>
                <w:rFonts w:eastAsia="Arial"/>
                <w:noProof/>
              </w:rPr>
              <w:t>.</w:t>
            </w:r>
            <w:r w:rsidR="008B4DF8" w:rsidRPr="00C1603D">
              <w:rPr>
                <w:rFonts w:eastAsia="Arial"/>
                <w:noProof/>
                <w:vertAlign w:val="superscript"/>
              </w:rPr>
              <w:t>401</w:t>
            </w:r>
          </w:p>
        </w:tc>
      </w:tr>
      <w:tr w:rsidR="00350456" w:rsidRPr="00C1603D" w14:paraId="37E1B4CC" w14:textId="77777777" w:rsidTr="00943414">
        <w:trPr>
          <w:cantSplit/>
        </w:trPr>
        <w:tc>
          <w:tcPr>
            <w:tcW w:w="0" w:type="auto"/>
            <w:shd w:val="clear" w:color="auto" w:fill="FFFFFF"/>
            <w:tcMar>
              <w:top w:w="0" w:type="dxa"/>
              <w:left w:w="0" w:type="dxa"/>
              <w:bottom w:w="0" w:type="dxa"/>
              <w:right w:w="0" w:type="dxa"/>
            </w:tcMar>
          </w:tcPr>
          <w:p w14:paraId="38AD9C12" w14:textId="77777777" w:rsidR="008B4DF8" w:rsidRPr="00C1603D" w:rsidRDefault="008B4DF8" w:rsidP="00943414">
            <w:pPr>
              <w:pStyle w:val="72TabletextTablesTableFigureBoxstyles"/>
              <w:rPr>
                <w:rFonts w:eastAsia="Arial"/>
              </w:rPr>
            </w:pPr>
            <w:r w:rsidRPr="00C1603D">
              <w:rPr>
                <w:rFonts w:eastAsia="Arial"/>
              </w:rPr>
              <w:t>Mixed</w:t>
            </w:r>
          </w:p>
        </w:tc>
        <w:tc>
          <w:tcPr>
            <w:tcW w:w="0" w:type="auto"/>
            <w:shd w:val="clear" w:color="auto" w:fill="FFFFFF"/>
            <w:tcMar>
              <w:top w:w="0" w:type="dxa"/>
              <w:left w:w="0" w:type="dxa"/>
              <w:bottom w:w="0" w:type="dxa"/>
              <w:right w:w="0" w:type="dxa"/>
            </w:tcMar>
          </w:tcPr>
          <w:p w14:paraId="7749323B" w14:textId="05D73192" w:rsidR="008B4DF8" w:rsidRPr="00C1603D" w:rsidRDefault="00B25FE9" w:rsidP="00943414">
            <w:pPr>
              <w:pStyle w:val="72TabletextTablesTableFigureBoxstyles"/>
              <w:rPr>
                <w:rFonts w:eastAsia="Arial"/>
              </w:rPr>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E18FD84" w14:textId="77777777" w:rsidR="008B4DF8" w:rsidRPr="00C1603D" w:rsidRDefault="008B4DF8" w:rsidP="00943414">
            <w:pPr>
              <w:pStyle w:val="72TabletextTablesTableFigureBoxstyles"/>
              <w:rPr>
                <w:rFonts w:eastAsia="Arial"/>
              </w:rPr>
            </w:pPr>
            <w:r w:rsidRPr="00C1603D">
              <w:rPr>
                <w:rFonts w:eastAsia="Arial"/>
              </w:rPr>
              <w:t>Autoimmune hepatitis</w:t>
            </w:r>
          </w:p>
        </w:tc>
        <w:tc>
          <w:tcPr>
            <w:tcW w:w="0" w:type="auto"/>
            <w:shd w:val="clear" w:color="auto" w:fill="FFFFFF"/>
            <w:tcMar>
              <w:top w:w="0" w:type="dxa"/>
              <w:left w:w="0" w:type="dxa"/>
              <w:bottom w:w="0" w:type="dxa"/>
              <w:right w:w="0" w:type="dxa"/>
            </w:tcMar>
          </w:tcPr>
          <w:p w14:paraId="2FC28300" w14:textId="77777777" w:rsidR="008B4DF8" w:rsidRPr="00C1603D" w:rsidRDefault="008B4DF8" w:rsidP="00943414">
            <w:pPr>
              <w:pStyle w:val="72TabletextTablesTableFigureBoxstyles"/>
              <w:rPr>
                <w:rFonts w:eastAsia="Arial"/>
              </w:rPr>
            </w:pPr>
            <w:r w:rsidRPr="00C1603D">
              <w:rPr>
                <w:rFonts w:eastAsia="Arial"/>
              </w:rPr>
              <w:t>167</w:t>
            </w:r>
          </w:p>
        </w:tc>
        <w:tc>
          <w:tcPr>
            <w:tcW w:w="0" w:type="auto"/>
            <w:shd w:val="clear" w:color="auto" w:fill="FFFFFF"/>
            <w:tcMar>
              <w:top w:w="0" w:type="dxa"/>
              <w:left w:w="0" w:type="dxa"/>
              <w:bottom w:w="0" w:type="dxa"/>
              <w:right w:w="0" w:type="dxa"/>
            </w:tcMar>
          </w:tcPr>
          <w:p w14:paraId="54286CDE" w14:textId="77777777" w:rsidR="008B4DF8" w:rsidRPr="00C1603D" w:rsidRDefault="008B4DF8" w:rsidP="00943414">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2DE560A2" w14:textId="77777777" w:rsidR="008B4DF8" w:rsidRPr="00C1603D" w:rsidRDefault="008B4DF8" w:rsidP="00943414">
            <w:pPr>
              <w:pStyle w:val="72TabletextTablesTableFigureBoxstyles"/>
              <w:rPr>
                <w:rFonts w:eastAsia="Arial"/>
              </w:rPr>
            </w:pPr>
            <w:r w:rsidRPr="00C1603D">
              <w:rPr>
                <w:rFonts w:eastAsia="Arial"/>
              </w:rPr>
              <w:t>Healthy controls</w:t>
            </w:r>
          </w:p>
        </w:tc>
        <w:tc>
          <w:tcPr>
            <w:tcW w:w="0" w:type="auto"/>
            <w:shd w:val="clear" w:color="auto" w:fill="FFFFFF"/>
            <w:tcMar>
              <w:top w:w="0" w:type="dxa"/>
              <w:left w:w="0" w:type="dxa"/>
              <w:bottom w:w="0" w:type="dxa"/>
              <w:right w:w="0" w:type="dxa"/>
            </w:tcMar>
          </w:tcPr>
          <w:p w14:paraId="53B8F47A" w14:textId="77777777" w:rsidR="008B4DF8" w:rsidRPr="00C1603D" w:rsidRDefault="008B4DF8" w:rsidP="00943414">
            <w:pPr>
              <w:pStyle w:val="72TabletextTablesTableFigureBoxstyles"/>
              <w:rPr>
                <w:rFonts w:eastAsia="Arial"/>
              </w:rPr>
            </w:pPr>
            <w:r w:rsidRPr="00C1603D">
              <w:rPr>
                <w:rFonts w:eastAsia="Arial"/>
              </w:rPr>
              <w:t>Other</w:t>
            </w:r>
          </w:p>
        </w:tc>
        <w:tc>
          <w:tcPr>
            <w:tcW w:w="0" w:type="auto"/>
            <w:shd w:val="clear" w:color="auto" w:fill="FFFFFF"/>
            <w:tcMar>
              <w:top w:w="0" w:type="dxa"/>
              <w:left w:w="0" w:type="dxa"/>
              <w:bottom w:w="0" w:type="dxa"/>
              <w:right w:w="0" w:type="dxa"/>
            </w:tcMar>
          </w:tcPr>
          <w:p w14:paraId="7987CD0D" w14:textId="77777777" w:rsidR="008B4DF8" w:rsidRPr="00C1603D" w:rsidRDefault="008B4DF8" w:rsidP="00943414">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69D258AB" w14:textId="77777777" w:rsidR="008B4DF8" w:rsidRPr="00C1603D" w:rsidRDefault="008B4DF8" w:rsidP="00943414">
            <w:pPr>
              <w:pStyle w:val="72TabletextTablesTableFigureBoxstyles"/>
              <w:rPr>
                <w:rFonts w:eastAsia="Arial"/>
              </w:rPr>
            </w:pPr>
            <w:r w:rsidRPr="00C1603D">
              <w:rPr>
                <w:rFonts w:eastAsia="Arial"/>
              </w:rPr>
              <w:t>Italy</w:t>
            </w:r>
          </w:p>
        </w:tc>
        <w:tc>
          <w:tcPr>
            <w:tcW w:w="0" w:type="auto"/>
            <w:shd w:val="clear" w:color="auto" w:fill="FFFFFF"/>
            <w:tcMar>
              <w:top w:w="0" w:type="dxa"/>
              <w:left w:w="0" w:type="dxa"/>
              <w:bottom w:w="0" w:type="dxa"/>
              <w:right w:w="0" w:type="dxa"/>
            </w:tcMar>
          </w:tcPr>
          <w:p w14:paraId="45A07628" w14:textId="3C9AD180" w:rsidR="008B4DF8" w:rsidRPr="00C1603D" w:rsidRDefault="00350456" w:rsidP="00943414">
            <w:pPr>
              <w:pStyle w:val="72TabletextTablesTableFigureBoxstyles"/>
              <w:rPr>
                <w:rFonts w:eastAsia="Arial"/>
              </w:rPr>
            </w:pPr>
            <w:r w:rsidRPr="00C1603D">
              <w:rPr>
                <w:rFonts w:eastAsia="Arial"/>
                <w:noProof/>
              </w:rPr>
              <w:t xml:space="preserve">Villalta </w:t>
            </w:r>
            <w:r w:rsidRPr="00C1603D">
              <w:rPr>
                <w:rFonts w:eastAsia="Arial"/>
                <w:i/>
                <w:iCs/>
                <w:noProof/>
              </w:rPr>
              <w:t>et al</w:t>
            </w:r>
            <w:r w:rsidRPr="00C1603D">
              <w:rPr>
                <w:rFonts w:eastAsia="Arial"/>
                <w:noProof/>
              </w:rPr>
              <w:t>.</w:t>
            </w:r>
            <w:r w:rsidR="008B4DF8" w:rsidRPr="00C1603D">
              <w:rPr>
                <w:rFonts w:eastAsia="Arial"/>
                <w:noProof/>
                <w:vertAlign w:val="superscript"/>
              </w:rPr>
              <w:t>402</w:t>
            </w:r>
          </w:p>
        </w:tc>
      </w:tr>
      <w:tr w:rsidR="00350456" w:rsidRPr="00C1603D" w14:paraId="4221404A" w14:textId="77777777" w:rsidTr="00943414">
        <w:trPr>
          <w:cantSplit/>
        </w:trPr>
        <w:tc>
          <w:tcPr>
            <w:tcW w:w="0" w:type="auto"/>
            <w:shd w:val="clear" w:color="auto" w:fill="FFFFFF"/>
            <w:tcMar>
              <w:top w:w="0" w:type="dxa"/>
              <w:left w:w="0" w:type="dxa"/>
              <w:bottom w:w="0" w:type="dxa"/>
              <w:right w:w="0" w:type="dxa"/>
            </w:tcMar>
          </w:tcPr>
          <w:p w14:paraId="68E1CEE6"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39CB30C3" w14:textId="1DDBEA57"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31A6F33" w14:textId="77777777" w:rsidR="008B4DF8" w:rsidRPr="00C1603D" w:rsidRDefault="008B4DF8" w:rsidP="00943414">
            <w:pPr>
              <w:pStyle w:val="72TabletextTablesTableFigureBoxstyles"/>
            </w:pPr>
            <w:r w:rsidRPr="00C1603D">
              <w:rPr>
                <w:rFonts w:eastAsia="Arial"/>
              </w:rPr>
              <w:t>Chronic hepatitis C</w:t>
            </w:r>
          </w:p>
        </w:tc>
        <w:tc>
          <w:tcPr>
            <w:tcW w:w="0" w:type="auto"/>
            <w:shd w:val="clear" w:color="auto" w:fill="FFFFFF"/>
            <w:tcMar>
              <w:top w:w="0" w:type="dxa"/>
              <w:left w:w="0" w:type="dxa"/>
              <w:bottom w:w="0" w:type="dxa"/>
              <w:right w:w="0" w:type="dxa"/>
            </w:tcMar>
          </w:tcPr>
          <w:p w14:paraId="6828C081" w14:textId="77777777" w:rsidR="008B4DF8" w:rsidRPr="00C1603D" w:rsidRDefault="008B4DF8" w:rsidP="00943414">
            <w:pPr>
              <w:pStyle w:val="72TabletextTablesTableFigureBoxstyles"/>
            </w:pPr>
            <w:r w:rsidRPr="00C1603D">
              <w:rPr>
                <w:rFonts w:eastAsia="Arial"/>
              </w:rPr>
              <w:t>267</w:t>
            </w:r>
          </w:p>
        </w:tc>
        <w:tc>
          <w:tcPr>
            <w:tcW w:w="0" w:type="auto"/>
            <w:shd w:val="clear" w:color="auto" w:fill="FFFFFF"/>
            <w:tcMar>
              <w:top w:w="0" w:type="dxa"/>
              <w:left w:w="0" w:type="dxa"/>
              <w:bottom w:w="0" w:type="dxa"/>
              <w:right w:w="0" w:type="dxa"/>
            </w:tcMar>
          </w:tcPr>
          <w:p w14:paraId="7E6E11EA" w14:textId="77777777"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FB24447"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4F244D0" w14:textId="07E5FAAF"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D46C46A"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EEA0314" w14:textId="77777777" w:rsidR="008B4DF8" w:rsidRPr="00C1603D" w:rsidRDefault="008B4DF8" w:rsidP="00943414">
            <w:pPr>
              <w:pStyle w:val="72TabletextTablesTableFigureBoxstyles"/>
            </w:pPr>
            <w:r w:rsidRPr="00C1603D">
              <w:rPr>
                <w:rFonts w:eastAsia="Arial"/>
              </w:rPr>
              <w:t>Spain</w:t>
            </w:r>
          </w:p>
        </w:tc>
        <w:tc>
          <w:tcPr>
            <w:tcW w:w="0" w:type="auto"/>
            <w:shd w:val="clear" w:color="auto" w:fill="FFFFFF"/>
            <w:tcMar>
              <w:top w:w="0" w:type="dxa"/>
              <w:left w:w="0" w:type="dxa"/>
              <w:bottom w:w="0" w:type="dxa"/>
              <w:right w:w="0" w:type="dxa"/>
            </w:tcMar>
          </w:tcPr>
          <w:p w14:paraId="0284F7C0" w14:textId="4AA3A163" w:rsidR="008B4DF8" w:rsidRPr="00C1603D" w:rsidRDefault="00350456" w:rsidP="00943414">
            <w:pPr>
              <w:pStyle w:val="72TabletextTablesTableFigureBoxstyles"/>
            </w:pPr>
            <w:r w:rsidRPr="00C1603D">
              <w:rPr>
                <w:rFonts w:eastAsia="Arial"/>
                <w:noProof/>
              </w:rPr>
              <w:t xml:space="preserve">Vivas </w:t>
            </w:r>
            <w:r w:rsidRPr="00C1603D">
              <w:rPr>
                <w:rFonts w:eastAsia="Arial"/>
                <w:i/>
                <w:iCs/>
                <w:noProof/>
              </w:rPr>
              <w:t>et al</w:t>
            </w:r>
            <w:r w:rsidRPr="00C1603D">
              <w:rPr>
                <w:rFonts w:eastAsia="Arial"/>
                <w:noProof/>
              </w:rPr>
              <w:t>.</w:t>
            </w:r>
            <w:r w:rsidR="008B4DF8" w:rsidRPr="00C1603D">
              <w:rPr>
                <w:rFonts w:eastAsia="Arial"/>
                <w:noProof/>
                <w:vertAlign w:val="superscript"/>
              </w:rPr>
              <w:t>313</w:t>
            </w:r>
          </w:p>
        </w:tc>
      </w:tr>
      <w:tr w:rsidR="00350456" w:rsidRPr="00C1603D" w14:paraId="09A1AAD4" w14:textId="77777777" w:rsidTr="00943414">
        <w:trPr>
          <w:cantSplit/>
        </w:trPr>
        <w:tc>
          <w:tcPr>
            <w:tcW w:w="0" w:type="auto"/>
            <w:shd w:val="clear" w:color="auto" w:fill="FFFFFF"/>
            <w:tcMar>
              <w:top w:w="0" w:type="dxa"/>
              <w:left w:w="0" w:type="dxa"/>
              <w:bottom w:w="0" w:type="dxa"/>
              <w:right w:w="0" w:type="dxa"/>
            </w:tcMar>
          </w:tcPr>
          <w:p w14:paraId="10AC31ED"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39040FD0" w14:textId="2D650671"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BDF79AC" w14:textId="77777777" w:rsidR="008B4DF8" w:rsidRPr="00C1603D" w:rsidRDefault="008B4DF8" w:rsidP="00943414">
            <w:pPr>
              <w:pStyle w:val="72TabletextTablesTableFigureBoxstyles"/>
            </w:pPr>
            <w:r w:rsidRPr="00C1603D">
              <w:rPr>
                <w:rFonts w:eastAsia="Arial"/>
              </w:rPr>
              <w:t>Chronic hepatitis C</w:t>
            </w:r>
          </w:p>
        </w:tc>
        <w:tc>
          <w:tcPr>
            <w:tcW w:w="0" w:type="auto"/>
            <w:shd w:val="clear" w:color="auto" w:fill="FFFFFF"/>
            <w:tcMar>
              <w:top w:w="0" w:type="dxa"/>
              <w:left w:w="0" w:type="dxa"/>
              <w:bottom w:w="0" w:type="dxa"/>
              <w:right w:w="0" w:type="dxa"/>
            </w:tcMar>
          </w:tcPr>
          <w:p w14:paraId="774BB6E3" w14:textId="77777777" w:rsidR="008B4DF8" w:rsidRPr="00C1603D" w:rsidRDefault="008B4DF8" w:rsidP="00943414">
            <w:pPr>
              <w:pStyle w:val="72TabletextTablesTableFigureBoxstyles"/>
            </w:pPr>
            <w:r w:rsidRPr="00C1603D">
              <w:rPr>
                <w:rFonts w:eastAsia="Arial"/>
              </w:rPr>
              <w:t>220</w:t>
            </w:r>
          </w:p>
        </w:tc>
        <w:tc>
          <w:tcPr>
            <w:tcW w:w="0" w:type="auto"/>
            <w:shd w:val="clear" w:color="auto" w:fill="FFFFFF"/>
            <w:tcMar>
              <w:top w:w="0" w:type="dxa"/>
              <w:left w:w="0" w:type="dxa"/>
              <w:bottom w:w="0" w:type="dxa"/>
              <w:right w:w="0" w:type="dxa"/>
            </w:tcMar>
          </w:tcPr>
          <w:p w14:paraId="2EB428F6"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50944101"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28EA2D2" w14:textId="77777777" w:rsidR="008B4DF8" w:rsidRPr="00C1603D" w:rsidRDefault="008B4DF8" w:rsidP="00943414">
            <w:pPr>
              <w:pStyle w:val="72TabletextTablesTableFigureBoxstyles"/>
            </w:pPr>
            <w:r w:rsidRPr="00C1603D">
              <w:rPr>
                <w:rFonts w:eastAsia="Arial"/>
              </w:rPr>
              <w:t>Other</w:t>
            </w:r>
          </w:p>
        </w:tc>
        <w:tc>
          <w:tcPr>
            <w:tcW w:w="0" w:type="auto"/>
            <w:shd w:val="clear" w:color="auto" w:fill="FFFFFF"/>
            <w:tcMar>
              <w:top w:w="0" w:type="dxa"/>
              <w:left w:w="0" w:type="dxa"/>
              <w:bottom w:w="0" w:type="dxa"/>
              <w:right w:w="0" w:type="dxa"/>
            </w:tcMar>
          </w:tcPr>
          <w:p w14:paraId="15093BDE"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E4A6481"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26FE6CD3" w14:textId="316D173C" w:rsidR="008B4DF8" w:rsidRPr="00C1603D" w:rsidRDefault="00350456" w:rsidP="00943414">
            <w:pPr>
              <w:pStyle w:val="72TabletextTablesTableFigureBoxstyles"/>
            </w:pPr>
            <w:r w:rsidRPr="00C1603D">
              <w:rPr>
                <w:rFonts w:eastAsia="Arial"/>
                <w:noProof/>
              </w:rPr>
              <w:t xml:space="preserve">Villalta </w:t>
            </w:r>
            <w:r w:rsidRPr="00C1603D">
              <w:rPr>
                <w:rFonts w:eastAsia="Arial"/>
                <w:i/>
                <w:iCs/>
                <w:noProof/>
              </w:rPr>
              <w:t>et al</w:t>
            </w:r>
            <w:r w:rsidRPr="00C1603D">
              <w:rPr>
                <w:rFonts w:eastAsia="Arial"/>
                <w:noProof/>
              </w:rPr>
              <w:t>.</w:t>
            </w:r>
            <w:r w:rsidRPr="00C1603D">
              <w:rPr>
                <w:rFonts w:eastAsia="Arial"/>
                <w:noProof/>
                <w:vertAlign w:val="superscript"/>
              </w:rPr>
              <w:t>402</w:t>
            </w:r>
          </w:p>
        </w:tc>
      </w:tr>
      <w:tr w:rsidR="000D1665" w:rsidRPr="00C1603D" w14:paraId="3B23AB75" w14:textId="77777777" w:rsidTr="00943414">
        <w:trPr>
          <w:cantSplit/>
        </w:trPr>
        <w:tc>
          <w:tcPr>
            <w:tcW w:w="0" w:type="auto"/>
            <w:gridSpan w:val="10"/>
            <w:shd w:val="clear" w:color="auto" w:fill="FFFFFF"/>
            <w:tcMar>
              <w:top w:w="0" w:type="dxa"/>
              <w:left w:w="0" w:type="dxa"/>
              <w:bottom w:w="0" w:type="dxa"/>
              <w:right w:w="0" w:type="dxa"/>
            </w:tcMar>
          </w:tcPr>
          <w:p w14:paraId="0FA80064" w14:textId="03FB7F75" w:rsidR="000D1665" w:rsidRPr="00C1603D" w:rsidRDefault="00820147" w:rsidP="00943414">
            <w:pPr>
              <w:pStyle w:val="75TablenotesTablesTableFigureBoxstyles"/>
              <w:rPr>
                <w:rFonts w:eastAsia="Arial"/>
              </w:rPr>
            </w:pPr>
            <w:commentRangeStart w:id="600"/>
            <w:r w:rsidRPr="00C1603D">
              <w:rPr>
                <w:u w:color="000000"/>
                <w:bdr w:val="nil"/>
                <w:lang w:eastAsia="en-GB"/>
              </w:rPr>
              <w:t xml:space="preserve">ALD, alcoholic liver disease; </w:t>
            </w:r>
            <w:r w:rsidR="006B4F6C" w:rsidRPr="00C1603D">
              <w:rPr>
                <w:rFonts w:eastAsia="Arial"/>
              </w:rPr>
              <w:t>ALT, alanine transaminase; AST, aspartate transaminase</w:t>
            </w:r>
            <w:r w:rsidR="009418F8" w:rsidRPr="00C1603D">
              <w:rPr>
                <w:rFonts w:eastAsia="Arial"/>
              </w:rPr>
              <w:t xml:space="preserve">; </w:t>
            </w:r>
            <w:r w:rsidR="009418F8" w:rsidRPr="00C1603D">
              <w:rPr>
                <w:rFonts w:eastAsia="Arial"/>
                <w:noProof/>
              </w:rPr>
              <w:t xml:space="preserve">DI, diagnostic indicator; </w:t>
            </w:r>
            <w:r w:rsidR="00EA7D2E" w:rsidRPr="00C1603D">
              <w:rPr>
                <w:rFonts w:eastAsia="Arial"/>
                <w:noProof/>
              </w:rPr>
              <w:t xml:space="preserve">NAFLD, non-alcoholic fatty liver disease; </w:t>
            </w:r>
            <w:r w:rsidR="009418F8" w:rsidRPr="00C1603D">
              <w:rPr>
                <w:rFonts w:eastAsia="Arial"/>
                <w:noProof/>
              </w:rPr>
              <w:t>NR, not reported</w:t>
            </w:r>
            <w:r w:rsidRPr="00C1603D">
              <w:rPr>
                <w:rFonts w:eastAsia="Arial"/>
                <w:noProof/>
              </w:rPr>
              <w:t xml:space="preserve">; </w:t>
            </w:r>
            <w:r w:rsidRPr="00C1603D">
              <w:rPr>
                <w:u w:color="000000"/>
                <w:bdr w:val="nil"/>
                <w:lang w:eastAsia="en-GB"/>
              </w:rPr>
              <w:t>PBC, primary biliary cirrhosis</w:t>
            </w:r>
            <w:r w:rsidR="009418F8" w:rsidRPr="00C1603D">
              <w:rPr>
                <w:rFonts w:eastAsia="Arial"/>
                <w:noProof/>
              </w:rPr>
              <w:t>.</w:t>
            </w:r>
            <w:commentRangeEnd w:id="600"/>
            <w:r w:rsidR="00EA7D2E" w:rsidRPr="00C1603D">
              <w:rPr>
                <w:rFonts w:ascii="Times New Roman" w:hAnsi="Times New Roman" w:cs="Times New Roman"/>
                <w:color w:val="auto"/>
              </w:rPr>
              <w:commentReference w:id="600"/>
            </w:r>
          </w:p>
        </w:tc>
      </w:tr>
    </w:tbl>
    <w:p w14:paraId="1A234822" w14:textId="011DECFC" w:rsidR="008B4DF8" w:rsidRPr="00C1603D" w:rsidRDefault="008B4DF8" w:rsidP="008B4DF8">
      <w:pPr>
        <w:pStyle w:val="70TablelegendTablesTableFigureBoxstyles"/>
      </w:pPr>
      <w:bookmarkStart w:id="601" w:name="_Toc99720751"/>
      <w:r w:rsidRPr="00C1603D">
        <w:rPr>
          <w:b/>
        </w:rPr>
        <w:t>TABLE 4</w:t>
      </w:r>
      <w:r w:rsidR="00032460" w:rsidRPr="00C1603D">
        <w:rPr>
          <w:b/>
        </w:rPr>
        <w:t>1</w:t>
      </w:r>
      <w:r w:rsidRPr="00C1603D">
        <w:rPr>
          <w:b/>
        </w:rPr>
        <w:t> </w:t>
      </w:r>
      <w:r w:rsidRPr="00C1603D">
        <w:t xml:space="preserve">Study characteristic: </w:t>
      </w:r>
      <w:r w:rsidR="00943414" w:rsidRPr="00C1603D">
        <w:t>m</w:t>
      </w:r>
      <w:r w:rsidRPr="00C1603D">
        <w:t>igraine</w:t>
      </w:r>
      <w:bookmarkEnd w:id="601"/>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93"/>
        <w:gridCol w:w="773"/>
        <w:gridCol w:w="1008"/>
        <w:gridCol w:w="736"/>
        <w:gridCol w:w="741"/>
        <w:gridCol w:w="803"/>
        <w:gridCol w:w="1563"/>
        <w:gridCol w:w="829"/>
        <w:gridCol w:w="666"/>
        <w:gridCol w:w="914"/>
      </w:tblGrid>
      <w:tr w:rsidR="001902E7" w:rsidRPr="00C1603D" w14:paraId="15631CC5" w14:textId="77777777" w:rsidTr="00943414">
        <w:trPr>
          <w:cantSplit/>
        </w:trPr>
        <w:tc>
          <w:tcPr>
            <w:tcW w:w="0" w:type="auto"/>
            <w:shd w:val="clear" w:color="auto" w:fill="FFFFFF"/>
            <w:tcMar>
              <w:top w:w="0" w:type="dxa"/>
              <w:left w:w="0" w:type="dxa"/>
              <w:bottom w:w="0" w:type="dxa"/>
              <w:right w:w="0" w:type="dxa"/>
            </w:tcMar>
          </w:tcPr>
          <w:p w14:paraId="5692EDE8" w14:textId="79631890"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5DBDC7E7" w14:textId="77F1D87D"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54AAD4F7" w14:textId="0A8619DB"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8B8DEB9" w14:textId="26C0C0B2"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274534A1"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2500BAAA"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2805CBC0"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01663CE0"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A3A12B9"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30ED29A3" w14:textId="77777777" w:rsidR="001902E7" w:rsidRPr="00C1603D" w:rsidRDefault="001902E7" w:rsidP="001902E7">
            <w:pPr>
              <w:pStyle w:val="710TableheadTablesTableFigureBoxstyles"/>
            </w:pPr>
            <w:r w:rsidRPr="00C1603D">
              <w:rPr>
                <w:rFonts w:eastAsia="Arial"/>
              </w:rPr>
              <w:t>Reference</w:t>
            </w:r>
          </w:p>
        </w:tc>
      </w:tr>
      <w:tr w:rsidR="008B4DF8" w:rsidRPr="00C1603D" w14:paraId="75808EB9" w14:textId="77777777" w:rsidTr="00943414">
        <w:trPr>
          <w:cantSplit/>
        </w:trPr>
        <w:tc>
          <w:tcPr>
            <w:tcW w:w="0" w:type="auto"/>
            <w:shd w:val="clear" w:color="auto" w:fill="FFFFFF"/>
            <w:tcMar>
              <w:top w:w="0" w:type="dxa"/>
              <w:left w:w="0" w:type="dxa"/>
              <w:bottom w:w="0" w:type="dxa"/>
              <w:right w:w="0" w:type="dxa"/>
            </w:tcMar>
          </w:tcPr>
          <w:p w14:paraId="16538125"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C8E182C" w14:textId="13EF0053"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2421E83" w14:textId="77777777" w:rsidR="008B4DF8" w:rsidRPr="00C1603D" w:rsidRDefault="008B4DF8" w:rsidP="00943414">
            <w:pPr>
              <w:pStyle w:val="72TabletextTablesTableFigureBoxstyles"/>
            </w:pPr>
            <w:r w:rsidRPr="00C1603D">
              <w:rPr>
                <w:rFonts w:eastAsia="Arial"/>
              </w:rPr>
              <w:t>Migraine</w:t>
            </w:r>
          </w:p>
        </w:tc>
        <w:tc>
          <w:tcPr>
            <w:tcW w:w="0" w:type="auto"/>
            <w:shd w:val="clear" w:color="auto" w:fill="FFFFFF"/>
            <w:tcMar>
              <w:top w:w="0" w:type="dxa"/>
              <w:left w:w="0" w:type="dxa"/>
              <w:bottom w:w="0" w:type="dxa"/>
              <w:right w:w="0" w:type="dxa"/>
            </w:tcMar>
          </w:tcPr>
          <w:p w14:paraId="0D9948DB" w14:textId="77777777" w:rsidR="008B4DF8" w:rsidRPr="00C1603D" w:rsidRDefault="008B4DF8" w:rsidP="00943414">
            <w:pPr>
              <w:pStyle w:val="72TabletextTablesTableFigureBoxstyles"/>
            </w:pPr>
            <w:r w:rsidRPr="00C1603D">
              <w:rPr>
                <w:rFonts w:eastAsia="Arial"/>
              </w:rPr>
              <w:t>326</w:t>
            </w:r>
          </w:p>
        </w:tc>
        <w:tc>
          <w:tcPr>
            <w:tcW w:w="0" w:type="auto"/>
            <w:shd w:val="clear" w:color="auto" w:fill="FFFFFF"/>
            <w:tcMar>
              <w:top w:w="0" w:type="dxa"/>
              <w:left w:w="0" w:type="dxa"/>
              <w:bottom w:w="0" w:type="dxa"/>
              <w:right w:w="0" w:type="dxa"/>
            </w:tcMar>
          </w:tcPr>
          <w:p w14:paraId="4C8CB50D" w14:textId="44A1CE60"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D0A961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A2D503E" w14:textId="445B922F"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76C2A7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BA63686"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3286B954" w14:textId="7DAB558E" w:rsidR="008B4DF8" w:rsidRPr="00C1603D" w:rsidRDefault="00350456" w:rsidP="00943414">
            <w:pPr>
              <w:pStyle w:val="72TabletextTablesTableFigureBoxstyles"/>
            </w:pPr>
            <w:r w:rsidRPr="00C1603D">
              <w:rPr>
                <w:rFonts w:eastAsia="Arial"/>
                <w:noProof/>
              </w:rPr>
              <w:t xml:space="preserve">Gabrielli </w:t>
            </w:r>
            <w:r w:rsidRPr="00C1603D">
              <w:rPr>
                <w:rFonts w:eastAsia="Arial"/>
                <w:i/>
                <w:iCs/>
                <w:noProof/>
              </w:rPr>
              <w:t>et al</w:t>
            </w:r>
            <w:r w:rsidRPr="00C1603D">
              <w:rPr>
                <w:rFonts w:eastAsia="Arial"/>
                <w:noProof/>
              </w:rPr>
              <w:t>.</w:t>
            </w:r>
            <w:r w:rsidR="008B4DF8" w:rsidRPr="00C1603D">
              <w:rPr>
                <w:rFonts w:eastAsia="Arial"/>
                <w:noProof/>
                <w:vertAlign w:val="superscript"/>
              </w:rPr>
              <w:t>403</w:t>
            </w:r>
          </w:p>
        </w:tc>
      </w:tr>
      <w:tr w:rsidR="008B4DF8" w:rsidRPr="00C1603D" w14:paraId="2AE75CB1" w14:textId="77777777" w:rsidTr="00943414">
        <w:trPr>
          <w:cantSplit/>
        </w:trPr>
        <w:tc>
          <w:tcPr>
            <w:tcW w:w="0" w:type="auto"/>
            <w:shd w:val="clear" w:color="auto" w:fill="FFFFFF"/>
            <w:tcMar>
              <w:top w:w="0" w:type="dxa"/>
              <w:left w:w="0" w:type="dxa"/>
              <w:bottom w:w="0" w:type="dxa"/>
              <w:right w:w="0" w:type="dxa"/>
            </w:tcMar>
          </w:tcPr>
          <w:p w14:paraId="5FF04CC9"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20BEA558" w14:textId="471A14EE"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CD9F124" w14:textId="77777777" w:rsidR="008B4DF8" w:rsidRPr="00C1603D" w:rsidRDefault="008B4DF8" w:rsidP="00943414">
            <w:pPr>
              <w:pStyle w:val="72TabletextTablesTableFigureBoxstyles"/>
            </w:pPr>
            <w:r w:rsidRPr="00C1603D">
              <w:rPr>
                <w:rFonts w:eastAsia="Arial"/>
              </w:rPr>
              <w:t>Migraine</w:t>
            </w:r>
          </w:p>
        </w:tc>
        <w:tc>
          <w:tcPr>
            <w:tcW w:w="0" w:type="auto"/>
            <w:shd w:val="clear" w:color="auto" w:fill="FFFFFF"/>
            <w:tcMar>
              <w:top w:w="0" w:type="dxa"/>
              <w:left w:w="0" w:type="dxa"/>
              <w:bottom w:w="0" w:type="dxa"/>
              <w:right w:w="0" w:type="dxa"/>
            </w:tcMar>
          </w:tcPr>
          <w:p w14:paraId="6004D98D" w14:textId="77777777" w:rsidR="008B4DF8" w:rsidRPr="00C1603D" w:rsidRDefault="008B4DF8" w:rsidP="00943414">
            <w:pPr>
              <w:pStyle w:val="72TabletextTablesTableFigureBoxstyles"/>
            </w:pPr>
            <w:r w:rsidRPr="00C1603D">
              <w:rPr>
                <w:rFonts w:eastAsia="Arial"/>
              </w:rPr>
              <w:t>257</w:t>
            </w:r>
          </w:p>
        </w:tc>
        <w:tc>
          <w:tcPr>
            <w:tcW w:w="0" w:type="auto"/>
            <w:shd w:val="clear" w:color="auto" w:fill="FFFFFF"/>
            <w:tcMar>
              <w:top w:w="0" w:type="dxa"/>
              <w:left w:w="0" w:type="dxa"/>
              <w:bottom w:w="0" w:type="dxa"/>
              <w:right w:w="0" w:type="dxa"/>
            </w:tcMar>
          </w:tcPr>
          <w:p w14:paraId="351AF082" w14:textId="0E772274"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5896F7C"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486D417" w14:textId="1C13801C"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38373B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4FAE28A"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27D17E4F" w14:textId="5D13DF27" w:rsidR="008B4DF8" w:rsidRPr="00C1603D" w:rsidRDefault="00350456" w:rsidP="00943414">
            <w:pPr>
              <w:pStyle w:val="72TabletextTablesTableFigureBoxstyles"/>
            </w:pPr>
            <w:r w:rsidRPr="00C1603D">
              <w:rPr>
                <w:rFonts w:eastAsia="Arial"/>
                <w:noProof/>
              </w:rPr>
              <w:t xml:space="preserve">Balci </w:t>
            </w:r>
            <w:r w:rsidRPr="00C1603D">
              <w:rPr>
                <w:rFonts w:eastAsia="Arial"/>
                <w:i/>
                <w:iCs/>
                <w:noProof/>
              </w:rPr>
              <w:t>et al</w:t>
            </w:r>
            <w:r w:rsidRPr="00C1603D">
              <w:rPr>
                <w:rFonts w:eastAsia="Arial"/>
                <w:noProof/>
              </w:rPr>
              <w:t>.</w:t>
            </w:r>
            <w:r w:rsidR="008B4DF8" w:rsidRPr="00C1603D">
              <w:rPr>
                <w:rFonts w:eastAsia="Arial"/>
                <w:noProof/>
                <w:vertAlign w:val="superscript"/>
              </w:rPr>
              <w:t>404</w:t>
            </w:r>
          </w:p>
        </w:tc>
      </w:tr>
      <w:tr w:rsidR="008B4DF8" w:rsidRPr="00C1603D" w14:paraId="75BD69C2" w14:textId="77777777" w:rsidTr="00943414">
        <w:trPr>
          <w:cantSplit/>
        </w:trPr>
        <w:tc>
          <w:tcPr>
            <w:tcW w:w="0" w:type="auto"/>
            <w:shd w:val="clear" w:color="auto" w:fill="FFFFFF"/>
            <w:tcMar>
              <w:top w:w="0" w:type="dxa"/>
              <w:left w:w="0" w:type="dxa"/>
              <w:bottom w:w="0" w:type="dxa"/>
              <w:right w:w="0" w:type="dxa"/>
            </w:tcMar>
          </w:tcPr>
          <w:p w14:paraId="08DBAA6D"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6E25CCF2" w14:textId="2E32334B"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B344657" w14:textId="77777777" w:rsidR="008B4DF8" w:rsidRPr="00C1603D" w:rsidRDefault="008B4DF8" w:rsidP="00943414">
            <w:pPr>
              <w:pStyle w:val="72TabletextTablesTableFigureBoxstyles"/>
            </w:pPr>
            <w:r w:rsidRPr="00C1603D">
              <w:rPr>
                <w:rFonts w:eastAsia="Arial"/>
              </w:rPr>
              <w:t>Migraine</w:t>
            </w:r>
          </w:p>
        </w:tc>
        <w:tc>
          <w:tcPr>
            <w:tcW w:w="0" w:type="auto"/>
            <w:shd w:val="clear" w:color="auto" w:fill="FFFFFF"/>
            <w:tcMar>
              <w:top w:w="0" w:type="dxa"/>
              <w:left w:w="0" w:type="dxa"/>
              <w:bottom w:w="0" w:type="dxa"/>
              <w:right w:w="0" w:type="dxa"/>
            </w:tcMar>
          </w:tcPr>
          <w:p w14:paraId="5F7B5D22" w14:textId="77777777" w:rsidR="008B4DF8" w:rsidRPr="00C1603D" w:rsidRDefault="008B4DF8" w:rsidP="00943414">
            <w:pPr>
              <w:pStyle w:val="72TabletextTablesTableFigureBoxstyles"/>
            </w:pPr>
            <w:r w:rsidRPr="00C1603D">
              <w:rPr>
                <w:rFonts w:eastAsia="Arial"/>
              </w:rPr>
              <w:t>220</w:t>
            </w:r>
          </w:p>
        </w:tc>
        <w:tc>
          <w:tcPr>
            <w:tcW w:w="0" w:type="auto"/>
            <w:shd w:val="clear" w:color="auto" w:fill="FFFFFF"/>
            <w:tcMar>
              <w:top w:w="0" w:type="dxa"/>
              <w:left w:w="0" w:type="dxa"/>
              <w:bottom w:w="0" w:type="dxa"/>
              <w:right w:w="0" w:type="dxa"/>
            </w:tcMar>
          </w:tcPr>
          <w:p w14:paraId="1AB0BFEA" w14:textId="0B716CFF"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09BF3054"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6ADC276"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309E855"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E22D8F3"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59E9B479" w14:textId="02059A7B" w:rsidR="008B4DF8" w:rsidRPr="00C1603D" w:rsidRDefault="00350456" w:rsidP="00943414">
            <w:pPr>
              <w:pStyle w:val="72TabletextTablesTableFigureBoxstyles"/>
            </w:pPr>
            <w:r w:rsidRPr="00C1603D">
              <w:rPr>
                <w:rFonts w:eastAsia="Arial"/>
                <w:noProof/>
              </w:rPr>
              <w:t xml:space="preserve">Alehan </w:t>
            </w:r>
            <w:r w:rsidRPr="00C1603D">
              <w:rPr>
                <w:rFonts w:eastAsia="Arial"/>
                <w:i/>
                <w:iCs/>
                <w:noProof/>
              </w:rPr>
              <w:t>et al</w:t>
            </w:r>
            <w:r w:rsidRPr="00C1603D">
              <w:rPr>
                <w:rFonts w:eastAsia="Arial"/>
                <w:noProof/>
              </w:rPr>
              <w:t>.</w:t>
            </w:r>
            <w:r w:rsidR="008B4DF8" w:rsidRPr="00C1603D">
              <w:rPr>
                <w:rFonts w:eastAsia="Arial"/>
                <w:noProof/>
                <w:vertAlign w:val="superscript"/>
              </w:rPr>
              <w:t>405</w:t>
            </w:r>
          </w:p>
        </w:tc>
      </w:tr>
      <w:tr w:rsidR="008B4DF8" w:rsidRPr="00C1603D" w14:paraId="1B26414F" w14:textId="77777777" w:rsidTr="00943414">
        <w:trPr>
          <w:cantSplit/>
        </w:trPr>
        <w:tc>
          <w:tcPr>
            <w:tcW w:w="0" w:type="auto"/>
            <w:shd w:val="clear" w:color="auto" w:fill="FFFFFF"/>
            <w:tcMar>
              <w:top w:w="0" w:type="dxa"/>
              <w:left w:w="0" w:type="dxa"/>
              <w:bottom w:w="0" w:type="dxa"/>
              <w:right w:w="0" w:type="dxa"/>
            </w:tcMar>
          </w:tcPr>
          <w:p w14:paraId="7E8F3594"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57076394" w14:textId="68376491"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184057F" w14:textId="77777777" w:rsidR="008B4DF8" w:rsidRPr="00C1603D" w:rsidRDefault="008B4DF8" w:rsidP="00943414">
            <w:pPr>
              <w:pStyle w:val="72TabletextTablesTableFigureBoxstyles"/>
            </w:pPr>
            <w:r w:rsidRPr="00C1603D">
              <w:rPr>
                <w:rFonts w:eastAsia="Arial"/>
              </w:rPr>
              <w:t>Migraine</w:t>
            </w:r>
          </w:p>
        </w:tc>
        <w:tc>
          <w:tcPr>
            <w:tcW w:w="0" w:type="auto"/>
            <w:shd w:val="clear" w:color="auto" w:fill="FFFFFF"/>
            <w:tcMar>
              <w:top w:w="0" w:type="dxa"/>
              <w:left w:w="0" w:type="dxa"/>
              <w:bottom w:w="0" w:type="dxa"/>
              <w:right w:w="0" w:type="dxa"/>
            </w:tcMar>
          </w:tcPr>
          <w:p w14:paraId="50D3C615" w14:textId="0B5485E8" w:rsidR="008B4DF8" w:rsidRPr="00C1603D" w:rsidRDefault="008B4DF8" w:rsidP="00943414">
            <w:pPr>
              <w:pStyle w:val="72TabletextTablesTableFigureBoxstyles"/>
            </w:pPr>
            <w:r w:rsidRPr="00C1603D">
              <w:rPr>
                <w:rFonts w:eastAsia="Arial"/>
              </w:rPr>
              <w:t>1600</w:t>
            </w:r>
          </w:p>
        </w:tc>
        <w:tc>
          <w:tcPr>
            <w:tcW w:w="0" w:type="auto"/>
            <w:shd w:val="clear" w:color="auto" w:fill="FFFFFF"/>
            <w:tcMar>
              <w:top w:w="0" w:type="dxa"/>
              <w:left w:w="0" w:type="dxa"/>
              <w:bottom w:w="0" w:type="dxa"/>
              <w:right w:w="0" w:type="dxa"/>
            </w:tcMar>
          </w:tcPr>
          <w:p w14:paraId="6762F183" w14:textId="196F3699"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9D81F4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334EE30" w14:textId="66693CB2"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0A289E5"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690E397" w14:textId="77777777" w:rsidR="008B4DF8" w:rsidRPr="00C1603D" w:rsidRDefault="008B4DF8" w:rsidP="00943414">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5F780A0B" w14:textId="1F657EB8" w:rsidR="008B4DF8" w:rsidRPr="00C1603D" w:rsidRDefault="00244483" w:rsidP="00943414">
            <w:pPr>
              <w:pStyle w:val="72TabletextTablesTableFigureBoxstyles"/>
            </w:pPr>
            <w:r w:rsidRPr="00C1603D">
              <w:rPr>
                <w:rFonts w:eastAsia="Arial"/>
                <w:noProof/>
              </w:rPr>
              <w:t xml:space="preserve">Inaloo </w:t>
            </w:r>
            <w:r w:rsidRPr="00C1603D">
              <w:rPr>
                <w:rFonts w:eastAsia="Arial"/>
                <w:i/>
                <w:iCs/>
                <w:noProof/>
              </w:rPr>
              <w:t>et al</w:t>
            </w:r>
            <w:r w:rsidRPr="00C1603D">
              <w:rPr>
                <w:rFonts w:eastAsia="Arial"/>
                <w:noProof/>
              </w:rPr>
              <w:t>.</w:t>
            </w:r>
            <w:r w:rsidR="008B4DF8" w:rsidRPr="00C1603D">
              <w:rPr>
                <w:rFonts w:eastAsia="Arial"/>
                <w:noProof/>
                <w:vertAlign w:val="superscript"/>
              </w:rPr>
              <w:t>406</w:t>
            </w:r>
          </w:p>
        </w:tc>
      </w:tr>
      <w:tr w:rsidR="008B4DF8" w:rsidRPr="00C1603D" w14:paraId="7FC662AF" w14:textId="77777777" w:rsidTr="00943414">
        <w:trPr>
          <w:cantSplit/>
        </w:trPr>
        <w:tc>
          <w:tcPr>
            <w:tcW w:w="0" w:type="auto"/>
            <w:shd w:val="clear" w:color="auto" w:fill="FFFFFF"/>
            <w:tcMar>
              <w:top w:w="0" w:type="dxa"/>
              <w:left w:w="0" w:type="dxa"/>
              <w:bottom w:w="0" w:type="dxa"/>
              <w:right w:w="0" w:type="dxa"/>
            </w:tcMar>
          </w:tcPr>
          <w:p w14:paraId="25A42A19"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25EFD5FA" w14:textId="713B509C"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7CF0A9F0" w14:textId="77777777" w:rsidR="008B4DF8" w:rsidRPr="00C1603D" w:rsidRDefault="008B4DF8" w:rsidP="00943414">
            <w:pPr>
              <w:pStyle w:val="72TabletextTablesTableFigureBoxstyles"/>
            </w:pPr>
            <w:r w:rsidRPr="00C1603D">
              <w:rPr>
                <w:rFonts w:eastAsia="Arial"/>
              </w:rPr>
              <w:t>Migraine headaches</w:t>
            </w:r>
          </w:p>
        </w:tc>
        <w:tc>
          <w:tcPr>
            <w:tcW w:w="0" w:type="auto"/>
            <w:shd w:val="clear" w:color="auto" w:fill="FFFFFF"/>
            <w:tcMar>
              <w:top w:w="0" w:type="dxa"/>
              <w:left w:w="0" w:type="dxa"/>
              <w:bottom w:w="0" w:type="dxa"/>
              <w:right w:w="0" w:type="dxa"/>
            </w:tcMar>
          </w:tcPr>
          <w:p w14:paraId="37B45F63" w14:textId="77777777" w:rsidR="008B4DF8" w:rsidRPr="00C1603D" w:rsidRDefault="008B4DF8" w:rsidP="00943414">
            <w:pPr>
              <w:pStyle w:val="72TabletextTablesTableFigureBoxstyles"/>
            </w:pPr>
            <w:r w:rsidRPr="00C1603D">
              <w:rPr>
                <w:rFonts w:eastAsia="Arial"/>
              </w:rPr>
              <w:t>75</w:t>
            </w:r>
          </w:p>
        </w:tc>
        <w:tc>
          <w:tcPr>
            <w:tcW w:w="0" w:type="auto"/>
            <w:shd w:val="clear" w:color="auto" w:fill="FFFFFF"/>
            <w:tcMar>
              <w:top w:w="0" w:type="dxa"/>
              <w:left w:w="0" w:type="dxa"/>
              <w:bottom w:w="0" w:type="dxa"/>
              <w:right w:w="0" w:type="dxa"/>
            </w:tcMar>
          </w:tcPr>
          <w:p w14:paraId="1DBC34E7" w14:textId="5A8E5BC1"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84656E3"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D801B8F" w14:textId="77777777" w:rsidR="008B4DF8" w:rsidRPr="00C1603D" w:rsidRDefault="008B4DF8" w:rsidP="00943414">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56ADEF4D"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9C23935" w14:textId="77777777" w:rsidR="008B4DF8" w:rsidRPr="00C1603D" w:rsidRDefault="008B4DF8" w:rsidP="00943414">
            <w:pPr>
              <w:pStyle w:val="72TabletextTablesTableFigureBoxstyles"/>
            </w:pPr>
            <w:r w:rsidRPr="00C1603D">
              <w:rPr>
                <w:rFonts w:eastAsia="Arial"/>
              </w:rPr>
              <w:t>Israel</w:t>
            </w:r>
          </w:p>
        </w:tc>
        <w:tc>
          <w:tcPr>
            <w:tcW w:w="0" w:type="auto"/>
            <w:shd w:val="clear" w:color="auto" w:fill="FFFFFF"/>
            <w:tcMar>
              <w:top w:w="0" w:type="dxa"/>
              <w:left w:w="0" w:type="dxa"/>
              <w:bottom w:w="0" w:type="dxa"/>
              <w:right w:w="0" w:type="dxa"/>
            </w:tcMar>
          </w:tcPr>
          <w:p w14:paraId="5B199718" w14:textId="523D7055" w:rsidR="008B4DF8" w:rsidRPr="00C1603D" w:rsidRDefault="00244483" w:rsidP="00943414">
            <w:pPr>
              <w:pStyle w:val="72TabletextTablesTableFigureBoxstyles"/>
            </w:pPr>
            <w:r w:rsidRPr="00C1603D">
              <w:rPr>
                <w:rFonts w:eastAsia="Arial"/>
                <w:noProof/>
              </w:rPr>
              <w:t xml:space="preserve">Lahat </w:t>
            </w:r>
            <w:r w:rsidRPr="00C1603D">
              <w:rPr>
                <w:rFonts w:eastAsia="Arial"/>
                <w:i/>
                <w:iCs/>
                <w:noProof/>
              </w:rPr>
              <w:t>et al</w:t>
            </w:r>
            <w:r w:rsidRPr="00C1603D">
              <w:rPr>
                <w:rFonts w:eastAsia="Arial"/>
                <w:noProof/>
              </w:rPr>
              <w:t>.</w:t>
            </w:r>
            <w:r w:rsidR="008B4DF8" w:rsidRPr="00C1603D">
              <w:rPr>
                <w:rFonts w:eastAsia="Arial"/>
                <w:noProof/>
                <w:vertAlign w:val="superscript"/>
              </w:rPr>
              <w:t>357</w:t>
            </w:r>
          </w:p>
        </w:tc>
      </w:tr>
      <w:tr w:rsidR="00AC5206" w:rsidRPr="00C1603D" w14:paraId="7869B008" w14:textId="77777777" w:rsidTr="004738F2">
        <w:trPr>
          <w:cantSplit/>
        </w:trPr>
        <w:tc>
          <w:tcPr>
            <w:tcW w:w="0" w:type="auto"/>
            <w:gridSpan w:val="10"/>
            <w:shd w:val="clear" w:color="auto" w:fill="FFFFFF"/>
            <w:tcMar>
              <w:top w:w="0" w:type="dxa"/>
              <w:left w:w="0" w:type="dxa"/>
              <w:bottom w:w="0" w:type="dxa"/>
              <w:right w:w="0" w:type="dxa"/>
            </w:tcMar>
          </w:tcPr>
          <w:p w14:paraId="7AC526AD" w14:textId="0DBE5899" w:rsidR="00AC5206" w:rsidRPr="00C1603D" w:rsidRDefault="00AC5206" w:rsidP="00AC5206">
            <w:pPr>
              <w:pStyle w:val="75TablenotesTablesTableFigureBoxstyles"/>
              <w:rPr>
                <w:rFonts w:eastAsia="Arial"/>
                <w:noProof/>
                <w:vertAlign w:val="superscript"/>
              </w:rPr>
            </w:pPr>
            <w:r w:rsidRPr="00C1603D">
              <w:rPr>
                <w:rFonts w:eastAsia="Arial"/>
                <w:noProof/>
              </w:rPr>
              <w:t>DI, diagnostic indicator.</w:t>
            </w:r>
          </w:p>
        </w:tc>
      </w:tr>
    </w:tbl>
    <w:p w14:paraId="78C4D426" w14:textId="05B8DF81" w:rsidR="008B4DF8" w:rsidRPr="00C1603D" w:rsidRDefault="008B4DF8" w:rsidP="008B4DF8">
      <w:pPr>
        <w:pStyle w:val="70TablelegendTablesTableFigureBoxstyles"/>
      </w:pPr>
      <w:bookmarkStart w:id="602" w:name="_Toc99720752"/>
      <w:r w:rsidRPr="00C1603D">
        <w:rPr>
          <w:b/>
        </w:rPr>
        <w:t>TABLE 4</w:t>
      </w:r>
      <w:r w:rsidR="00032460" w:rsidRPr="00C1603D">
        <w:rPr>
          <w:b/>
        </w:rPr>
        <w:t>2</w:t>
      </w:r>
      <w:r w:rsidRPr="00C1603D">
        <w:rPr>
          <w:b/>
        </w:rPr>
        <w:t> </w:t>
      </w:r>
      <w:r w:rsidRPr="00C1603D">
        <w:t xml:space="preserve">Study characteristic: </w:t>
      </w:r>
      <w:r w:rsidR="00943414" w:rsidRPr="00C1603D">
        <w:t>m</w:t>
      </w:r>
      <w:r w:rsidRPr="00C1603D">
        <w:t>ultiple sclerosis</w:t>
      </w:r>
      <w:bookmarkEnd w:id="602"/>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91"/>
        <w:gridCol w:w="768"/>
        <w:gridCol w:w="878"/>
        <w:gridCol w:w="733"/>
        <w:gridCol w:w="738"/>
        <w:gridCol w:w="799"/>
        <w:gridCol w:w="1549"/>
        <w:gridCol w:w="828"/>
        <w:gridCol w:w="666"/>
        <w:gridCol w:w="1076"/>
      </w:tblGrid>
      <w:tr w:rsidR="00244483" w:rsidRPr="00C1603D" w14:paraId="494843C4" w14:textId="77777777" w:rsidTr="00943414">
        <w:trPr>
          <w:cantSplit/>
        </w:trPr>
        <w:tc>
          <w:tcPr>
            <w:tcW w:w="0" w:type="auto"/>
            <w:shd w:val="clear" w:color="auto" w:fill="FFFFFF"/>
            <w:tcMar>
              <w:top w:w="0" w:type="dxa"/>
              <w:left w:w="0" w:type="dxa"/>
              <w:bottom w:w="0" w:type="dxa"/>
              <w:right w:w="0" w:type="dxa"/>
            </w:tcMar>
          </w:tcPr>
          <w:p w14:paraId="320BAA52" w14:textId="05D71563" w:rsidR="001902E7" w:rsidRPr="00C1603D" w:rsidRDefault="001902E7" w:rsidP="001902E7">
            <w:pPr>
              <w:pStyle w:val="710TableheadTablesTableFigureBoxstyles"/>
            </w:pPr>
            <w:r w:rsidRPr="00C1603D">
              <w:rPr>
                <w:rFonts w:eastAsia="Arial"/>
              </w:rPr>
              <w:lastRenderedPageBreak/>
              <w:t>Population group</w:t>
            </w:r>
          </w:p>
        </w:tc>
        <w:tc>
          <w:tcPr>
            <w:tcW w:w="0" w:type="auto"/>
            <w:shd w:val="clear" w:color="auto" w:fill="FFFFFF"/>
            <w:tcMar>
              <w:top w:w="0" w:type="dxa"/>
              <w:left w:w="0" w:type="dxa"/>
              <w:bottom w:w="0" w:type="dxa"/>
              <w:right w:w="0" w:type="dxa"/>
            </w:tcMar>
          </w:tcPr>
          <w:p w14:paraId="0491D0A7" w14:textId="1306630F"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68FE475F" w14:textId="2ABF051E"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7E04E3E5" w14:textId="52D0A4C0"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1CA7C6F9"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6B88FED1"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01A49942"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29819DF"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40254FE3"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2768E91" w14:textId="77777777" w:rsidR="001902E7" w:rsidRPr="00C1603D" w:rsidRDefault="001902E7" w:rsidP="001902E7">
            <w:pPr>
              <w:pStyle w:val="710TableheadTablesTableFigureBoxstyles"/>
            </w:pPr>
            <w:r w:rsidRPr="00C1603D">
              <w:rPr>
                <w:rFonts w:eastAsia="Arial"/>
              </w:rPr>
              <w:t>Reference</w:t>
            </w:r>
          </w:p>
        </w:tc>
      </w:tr>
      <w:tr w:rsidR="00244483" w:rsidRPr="00C1603D" w14:paraId="07969BF3" w14:textId="77777777" w:rsidTr="00943414">
        <w:trPr>
          <w:cantSplit/>
        </w:trPr>
        <w:tc>
          <w:tcPr>
            <w:tcW w:w="0" w:type="auto"/>
            <w:shd w:val="clear" w:color="auto" w:fill="FFFFFF"/>
            <w:tcMar>
              <w:top w:w="0" w:type="dxa"/>
              <w:left w:w="0" w:type="dxa"/>
              <w:bottom w:w="0" w:type="dxa"/>
              <w:right w:w="0" w:type="dxa"/>
            </w:tcMar>
          </w:tcPr>
          <w:p w14:paraId="745C900A"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E0EC7AC" w14:textId="3B1CA307"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80EC4A9" w14:textId="77777777" w:rsidR="008B4DF8" w:rsidRPr="00C1603D" w:rsidRDefault="008B4DF8" w:rsidP="00943414">
            <w:pPr>
              <w:pStyle w:val="72TabletextTablesTableFigureBoxstyles"/>
            </w:pPr>
            <w:r w:rsidRPr="00C1603D">
              <w:rPr>
                <w:rFonts w:eastAsia="Arial"/>
              </w:rPr>
              <w:t>Multiple sclerosis</w:t>
            </w:r>
          </w:p>
        </w:tc>
        <w:tc>
          <w:tcPr>
            <w:tcW w:w="0" w:type="auto"/>
            <w:shd w:val="clear" w:color="auto" w:fill="FFFFFF"/>
            <w:tcMar>
              <w:top w:w="0" w:type="dxa"/>
              <w:left w:w="0" w:type="dxa"/>
              <w:bottom w:w="0" w:type="dxa"/>
              <w:right w:w="0" w:type="dxa"/>
            </w:tcMar>
          </w:tcPr>
          <w:p w14:paraId="299B638F" w14:textId="77777777" w:rsidR="008B4DF8" w:rsidRPr="00C1603D" w:rsidRDefault="008B4DF8" w:rsidP="00943414">
            <w:pPr>
              <w:pStyle w:val="72TabletextTablesTableFigureBoxstyles"/>
            </w:pPr>
            <w:r w:rsidRPr="00C1603D">
              <w:rPr>
                <w:rFonts w:eastAsia="Arial"/>
              </w:rPr>
              <w:t>68</w:t>
            </w:r>
          </w:p>
        </w:tc>
        <w:tc>
          <w:tcPr>
            <w:tcW w:w="0" w:type="auto"/>
            <w:shd w:val="clear" w:color="auto" w:fill="FFFFFF"/>
            <w:tcMar>
              <w:top w:w="0" w:type="dxa"/>
              <w:left w:w="0" w:type="dxa"/>
              <w:bottom w:w="0" w:type="dxa"/>
              <w:right w:w="0" w:type="dxa"/>
            </w:tcMar>
          </w:tcPr>
          <w:p w14:paraId="49472876"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49E8039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4DEB80E" w14:textId="3565A3DD"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4F47E91F"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14C723A7" w14:textId="77777777" w:rsidR="008B4DF8" w:rsidRPr="00C1603D" w:rsidRDefault="008B4DF8" w:rsidP="00943414">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36AF8BE5" w14:textId="1E443C63" w:rsidR="008B4DF8" w:rsidRPr="00C1603D" w:rsidRDefault="00244483" w:rsidP="00943414">
            <w:pPr>
              <w:pStyle w:val="72TabletextTablesTableFigureBoxstyles"/>
            </w:pPr>
            <w:r w:rsidRPr="00C1603D">
              <w:rPr>
                <w:rFonts w:eastAsia="Arial"/>
                <w:noProof/>
              </w:rPr>
              <w:t xml:space="preserve">Abolfazli </w:t>
            </w:r>
            <w:r w:rsidRPr="00C1603D">
              <w:rPr>
                <w:rFonts w:eastAsia="Arial"/>
                <w:i/>
                <w:iCs/>
                <w:noProof/>
              </w:rPr>
              <w:t>et al</w:t>
            </w:r>
            <w:r w:rsidRPr="00C1603D">
              <w:rPr>
                <w:rFonts w:eastAsia="Arial"/>
                <w:noProof/>
              </w:rPr>
              <w:t>.</w:t>
            </w:r>
            <w:r w:rsidR="008B4DF8" w:rsidRPr="00C1603D">
              <w:rPr>
                <w:rFonts w:eastAsia="Arial"/>
                <w:noProof/>
                <w:vertAlign w:val="superscript"/>
              </w:rPr>
              <w:t>407</w:t>
            </w:r>
          </w:p>
        </w:tc>
      </w:tr>
      <w:tr w:rsidR="00244483" w:rsidRPr="00C1603D" w14:paraId="19B99E3B" w14:textId="77777777" w:rsidTr="00943414">
        <w:trPr>
          <w:cantSplit/>
        </w:trPr>
        <w:tc>
          <w:tcPr>
            <w:tcW w:w="0" w:type="auto"/>
            <w:shd w:val="clear" w:color="auto" w:fill="FFFFFF"/>
            <w:tcMar>
              <w:top w:w="0" w:type="dxa"/>
              <w:left w:w="0" w:type="dxa"/>
              <w:bottom w:w="0" w:type="dxa"/>
              <w:right w:w="0" w:type="dxa"/>
            </w:tcMar>
          </w:tcPr>
          <w:p w14:paraId="37E95EE4"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EEA31B7" w14:textId="293634C0"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981E7A3" w14:textId="77777777" w:rsidR="008B4DF8" w:rsidRPr="00C1603D" w:rsidRDefault="008B4DF8" w:rsidP="00943414">
            <w:pPr>
              <w:pStyle w:val="72TabletextTablesTableFigureBoxstyles"/>
            </w:pPr>
            <w:r w:rsidRPr="00C1603D">
              <w:rPr>
                <w:rFonts w:eastAsia="Arial"/>
              </w:rPr>
              <w:t>Multiple sclerosis</w:t>
            </w:r>
          </w:p>
        </w:tc>
        <w:tc>
          <w:tcPr>
            <w:tcW w:w="0" w:type="auto"/>
            <w:shd w:val="clear" w:color="auto" w:fill="FFFFFF"/>
            <w:tcMar>
              <w:top w:w="0" w:type="dxa"/>
              <w:left w:w="0" w:type="dxa"/>
              <w:bottom w:w="0" w:type="dxa"/>
              <w:right w:w="0" w:type="dxa"/>
            </w:tcMar>
          </w:tcPr>
          <w:p w14:paraId="17A02DDC" w14:textId="77777777" w:rsidR="008B4DF8" w:rsidRPr="00C1603D" w:rsidRDefault="008B4DF8" w:rsidP="00943414">
            <w:pPr>
              <w:pStyle w:val="72TabletextTablesTableFigureBoxstyles"/>
            </w:pPr>
            <w:r w:rsidRPr="00C1603D">
              <w:rPr>
                <w:rFonts w:eastAsia="Arial"/>
              </w:rPr>
              <w:t>417</w:t>
            </w:r>
          </w:p>
        </w:tc>
        <w:tc>
          <w:tcPr>
            <w:tcW w:w="0" w:type="auto"/>
            <w:shd w:val="clear" w:color="auto" w:fill="FFFFFF"/>
            <w:tcMar>
              <w:top w:w="0" w:type="dxa"/>
              <w:left w:w="0" w:type="dxa"/>
              <w:bottom w:w="0" w:type="dxa"/>
              <w:right w:w="0" w:type="dxa"/>
            </w:tcMar>
          </w:tcPr>
          <w:p w14:paraId="770C1BFF" w14:textId="1A0B4E37"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69B05FE"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4419A98"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3D49157"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CD85B19"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632B932A" w14:textId="7FF275AC" w:rsidR="008B4DF8" w:rsidRPr="00C1603D" w:rsidRDefault="00244483" w:rsidP="00943414">
            <w:pPr>
              <w:pStyle w:val="72TabletextTablesTableFigureBoxstyles"/>
            </w:pPr>
            <w:r w:rsidRPr="00C1603D">
              <w:rPr>
                <w:rFonts w:eastAsia="Arial"/>
                <w:noProof/>
              </w:rPr>
              <w:t xml:space="preserve">Nicoletti </w:t>
            </w:r>
            <w:r w:rsidRPr="00C1603D">
              <w:rPr>
                <w:rFonts w:eastAsia="Arial"/>
                <w:i/>
                <w:iCs/>
                <w:noProof/>
              </w:rPr>
              <w:t>et al</w:t>
            </w:r>
            <w:r w:rsidRPr="00C1603D">
              <w:rPr>
                <w:rFonts w:eastAsia="Arial"/>
                <w:noProof/>
              </w:rPr>
              <w:t>.</w:t>
            </w:r>
            <w:r w:rsidR="008B4DF8" w:rsidRPr="00C1603D">
              <w:rPr>
                <w:rFonts w:eastAsia="Arial"/>
                <w:noProof/>
                <w:vertAlign w:val="superscript"/>
              </w:rPr>
              <w:t>408</w:t>
            </w:r>
          </w:p>
        </w:tc>
      </w:tr>
      <w:tr w:rsidR="00244483" w:rsidRPr="00C1603D" w14:paraId="382B3041" w14:textId="77777777" w:rsidTr="00943414">
        <w:trPr>
          <w:cantSplit/>
        </w:trPr>
        <w:tc>
          <w:tcPr>
            <w:tcW w:w="0" w:type="auto"/>
            <w:shd w:val="clear" w:color="auto" w:fill="FFFFFF"/>
            <w:tcMar>
              <w:top w:w="0" w:type="dxa"/>
              <w:left w:w="0" w:type="dxa"/>
              <w:bottom w:w="0" w:type="dxa"/>
              <w:right w:w="0" w:type="dxa"/>
            </w:tcMar>
          </w:tcPr>
          <w:p w14:paraId="00F80D76"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7291B0B" w14:textId="5105FE17"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EFF512A" w14:textId="77777777" w:rsidR="008B4DF8" w:rsidRPr="00C1603D" w:rsidRDefault="008B4DF8" w:rsidP="00943414">
            <w:pPr>
              <w:pStyle w:val="72TabletextTablesTableFigureBoxstyles"/>
            </w:pPr>
            <w:r w:rsidRPr="00C1603D">
              <w:rPr>
                <w:rFonts w:eastAsia="Arial"/>
              </w:rPr>
              <w:t>Multiple sclerosis</w:t>
            </w:r>
          </w:p>
        </w:tc>
        <w:tc>
          <w:tcPr>
            <w:tcW w:w="0" w:type="auto"/>
            <w:shd w:val="clear" w:color="auto" w:fill="FFFFFF"/>
            <w:tcMar>
              <w:top w:w="0" w:type="dxa"/>
              <w:left w:w="0" w:type="dxa"/>
              <w:bottom w:w="0" w:type="dxa"/>
              <w:right w:w="0" w:type="dxa"/>
            </w:tcMar>
          </w:tcPr>
          <w:p w14:paraId="73D960DE" w14:textId="77777777" w:rsidR="008B4DF8" w:rsidRPr="00C1603D" w:rsidRDefault="008B4DF8" w:rsidP="00943414">
            <w:pPr>
              <w:pStyle w:val="72TabletextTablesTableFigureBoxstyles"/>
            </w:pPr>
            <w:r w:rsidRPr="00C1603D">
              <w:rPr>
                <w:rFonts w:eastAsia="Arial"/>
              </w:rPr>
              <w:t>195</w:t>
            </w:r>
          </w:p>
        </w:tc>
        <w:tc>
          <w:tcPr>
            <w:tcW w:w="0" w:type="auto"/>
            <w:shd w:val="clear" w:color="auto" w:fill="FFFFFF"/>
            <w:tcMar>
              <w:top w:w="0" w:type="dxa"/>
              <w:left w:w="0" w:type="dxa"/>
              <w:bottom w:w="0" w:type="dxa"/>
              <w:right w:w="0" w:type="dxa"/>
            </w:tcMar>
          </w:tcPr>
          <w:p w14:paraId="75660FB8" w14:textId="3EC44595"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6775F569"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354A8D1"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1DD3470"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E3196B6" w14:textId="77777777" w:rsidR="008B4DF8" w:rsidRPr="00C1603D" w:rsidRDefault="008B4DF8" w:rsidP="00943414">
            <w:pPr>
              <w:pStyle w:val="72TabletextTablesTableFigureBoxstyles"/>
            </w:pPr>
            <w:r w:rsidRPr="00C1603D">
              <w:rPr>
                <w:rFonts w:eastAsia="Arial"/>
              </w:rPr>
              <w:t>Spain</w:t>
            </w:r>
          </w:p>
        </w:tc>
        <w:tc>
          <w:tcPr>
            <w:tcW w:w="0" w:type="auto"/>
            <w:shd w:val="clear" w:color="auto" w:fill="FFFFFF"/>
            <w:tcMar>
              <w:top w:w="0" w:type="dxa"/>
              <w:left w:w="0" w:type="dxa"/>
              <w:bottom w:w="0" w:type="dxa"/>
              <w:right w:w="0" w:type="dxa"/>
            </w:tcMar>
          </w:tcPr>
          <w:p w14:paraId="3F6F9EC8" w14:textId="30BE21C8" w:rsidR="008B4DF8" w:rsidRPr="00C1603D" w:rsidRDefault="00244483" w:rsidP="00943414">
            <w:pPr>
              <w:pStyle w:val="72TabletextTablesTableFigureBoxstyles"/>
            </w:pPr>
            <w:r w:rsidRPr="00C1603D">
              <w:rPr>
                <w:rFonts w:eastAsia="Arial"/>
                <w:noProof/>
              </w:rPr>
              <w:t xml:space="preserve">Rodrigo </w:t>
            </w:r>
            <w:r w:rsidRPr="00C1603D">
              <w:rPr>
                <w:rFonts w:eastAsia="Arial"/>
                <w:i/>
                <w:iCs/>
                <w:noProof/>
              </w:rPr>
              <w:t>et al</w:t>
            </w:r>
            <w:r w:rsidRPr="00C1603D">
              <w:rPr>
                <w:rFonts w:eastAsia="Arial"/>
                <w:noProof/>
              </w:rPr>
              <w:t>.</w:t>
            </w:r>
            <w:r w:rsidR="008B4DF8" w:rsidRPr="00C1603D">
              <w:rPr>
                <w:rFonts w:eastAsia="Arial"/>
                <w:noProof/>
                <w:vertAlign w:val="superscript"/>
              </w:rPr>
              <w:t>409</w:t>
            </w:r>
          </w:p>
        </w:tc>
      </w:tr>
      <w:tr w:rsidR="00244483" w:rsidRPr="00C1603D" w14:paraId="36263FE2" w14:textId="77777777" w:rsidTr="00943414">
        <w:trPr>
          <w:cantSplit/>
        </w:trPr>
        <w:tc>
          <w:tcPr>
            <w:tcW w:w="0" w:type="auto"/>
            <w:shd w:val="clear" w:color="auto" w:fill="FFFFFF"/>
            <w:tcMar>
              <w:top w:w="0" w:type="dxa"/>
              <w:left w:w="0" w:type="dxa"/>
              <w:bottom w:w="0" w:type="dxa"/>
              <w:right w:w="0" w:type="dxa"/>
            </w:tcMar>
          </w:tcPr>
          <w:p w14:paraId="6BE70008"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7F92B9E" w14:textId="67E6F54F"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D0B17DA" w14:textId="77777777" w:rsidR="008B4DF8" w:rsidRPr="00C1603D" w:rsidRDefault="008B4DF8" w:rsidP="00943414">
            <w:pPr>
              <w:pStyle w:val="72TabletextTablesTableFigureBoxstyles"/>
            </w:pPr>
            <w:r w:rsidRPr="00C1603D">
              <w:rPr>
                <w:rFonts w:eastAsia="Arial"/>
              </w:rPr>
              <w:t>Multiple sclerosis</w:t>
            </w:r>
          </w:p>
        </w:tc>
        <w:tc>
          <w:tcPr>
            <w:tcW w:w="0" w:type="auto"/>
            <w:shd w:val="clear" w:color="auto" w:fill="FFFFFF"/>
            <w:tcMar>
              <w:top w:w="0" w:type="dxa"/>
              <w:left w:w="0" w:type="dxa"/>
              <w:bottom w:w="0" w:type="dxa"/>
              <w:right w:w="0" w:type="dxa"/>
            </w:tcMar>
          </w:tcPr>
          <w:p w14:paraId="3D9EDCAA" w14:textId="77777777" w:rsidR="008B4DF8" w:rsidRPr="00C1603D" w:rsidRDefault="008B4DF8" w:rsidP="00943414">
            <w:pPr>
              <w:pStyle w:val="72TabletextTablesTableFigureBoxstyles"/>
            </w:pPr>
            <w:r w:rsidRPr="00C1603D">
              <w:rPr>
                <w:rFonts w:eastAsia="Arial"/>
              </w:rPr>
              <w:t>185</w:t>
            </w:r>
          </w:p>
        </w:tc>
        <w:tc>
          <w:tcPr>
            <w:tcW w:w="0" w:type="auto"/>
            <w:shd w:val="clear" w:color="auto" w:fill="FFFFFF"/>
            <w:tcMar>
              <w:top w:w="0" w:type="dxa"/>
              <w:left w:w="0" w:type="dxa"/>
              <w:bottom w:w="0" w:type="dxa"/>
              <w:right w:w="0" w:type="dxa"/>
            </w:tcMar>
          </w:tcPr>
          <w:p w14:paraId="128430C4" w14:textId="0AAE486A"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44F7BDC"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84F8AA7" w14:textId="7BAD0491"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E86F985"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B1F166A" w14:textId="77777777" w:rsidR="008B4DF8" w:rsidRPr="00C1603D" w:rsidRDefault="008B4DF8" w:rsidP="00943414">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22ABDC11" w14:textId="3A12327C" w:rsidR="008B4DF8" w:rsidRPr="00C1603D" w:rsidRDefault="00244483" w:rsidP="00943414">
            <w:pPr>
              <w:pStyle w:val="72TabletextTablesTableFigureBoxstyles"/>
            </w:pPr>
            <w:r w:rsidRPr="00C1603D">
              <w:rPr>
                <w:rFonts w:eastAsia="Arial"/>
                <w:noProof/>
              </w:rPr>
              <w:t xml:space="preserve">Roth </w:t>
            </w:r>
            <w:r w:rsidRPr="00C1603D">
              <w:rPr>
                <w:rFonts w:eastAsia="Arial"/>
                <w:i/>
                <w:iCs/>
                <w:noProof/>
              </w:rPr>
              <w:t>et al</w:t>
            </w:r>
            <w:r w:rsidRPr="00C1603D">
              <w:rPr>
                <w:rFonts w:eastAsia="Arial"/>
                <w:noProof/>
              </w:rPr>
              <w:t>.</w:t>
            </w:r>
            <w:r w:rsidR="008B4DF8" w:rsidRPr="00C1603D">
              <w:rPr>
                <w:rFonts w:eastAsia="Arial"/>
                <w:noProof/>
                <w:vertAlign w:val="superscript"/>
              </w:rPr>
              <w:t>410</w:t>
            </w:r>
          </w:p>
        </w:tc>
      </w:tr>
      <w:tr w:rsidR="00244483" w:rsidRPr="00C1603D" w14:paraId="005E6EFD" w14:textId="77777777" w:rsidTr="00943414">
        <w:trPr>
          <w:cantSplit/>
        </w:trPr>
        <w:tc>
          <w:tcPr>
            <w:tcW w:w="0" w:type="auto"/>
            <w:shd w:val="clear" w:color="auto" w:fill="FFFFFF"/>
            <w:tcMar>
              <w:top w:w="0" w:type="dxa"/>
              <w:left w:w="0" w:type="dxa"/>
              <w:bottom w:w="0" w:type="dxa"/>
              <w:right w:w="0" w:type="dxa"/>
            </w:tcMar>
          </w:tcPr>
          <w:p w14:paraId="746D946B"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2AE3CC7A" w14:textId="00C3FD8C"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02824B0" w14:textId="77777777" w:rsidR="008B4DF8" w:rsidRPr="00C1603D" w:rsidRDefault="008B4DF8" w:rsidP="00943414">
            <w:pPr>
              <w:pStyle w:val="72TabletextTablesTableFigureBoxstyles"/>
            </w:pPr>
            <w:r w:rsidRPr="00C1603D">
              <w:rPr>
                <w:rFonts w:eastAsia="Arial"/>
              </w:rPr>
              <w:t>Multiple sclerosis</w:t>
            </w:r>
          </w:p>
        </w:tc>
        <w:tc>
          <w:tcPr>
            <w:tcW w:w="0" w:type="auto"/>
            <w:shd w:val="clear" w:color="auto" w:fill="FFFFFF"/>
            <w:tcMar>
              <w:top w:w="0" w:type="dxa"/>
              <w:left w:w="0" w:type="dxa"/>
              <w:bottom w:w="0" w:type="dxa"/>
              <w:right w:w="0" w:type="dxa"/>
            </w:tcMar>
          </w:tcPr>
          <w:p w14:paraId="1F14288A" w14:textId="77777777" w:rsidR="008B4DF8" w:rsidRPr="00C1603D" w:rsidRDefault="008B4DF8" w:rsidP="00943414">
            <w:pPr>
              <w:pStyle w:val="72TabletextTablesTableFigureBoxstyles"/>
            </w:pPr>
            <w:r w:rsidRPr="00C1603D">
              <w:rPr>
                <w:rFonts w:eastAsia="Arial"/>
              </w:rPr>
              <w:t>221</w:t>
            </w:r>
          </w:p>
        </w:tc>
        <w:tc>
          <w:tcPr>
            <w:tcW w:w="0" w:type="auto"/>
            <w:shd w:val="clear" w:color="auto" w:fill="FFFFFF"/>
            <w:tcMar>
              <w:top w:w="0" w:type="dxa"/>
              <w:left w:w="0" w:type="dxa"/>
              <w:bottom w:w="0" w:type="dxa"/>
              <w:right w:w="0" w:type="dxa"/>
            </w:tcMar>
          </w:tcPr>
          <w:p w14:paraId="6363FD3D" w14:textId="5B1CB178"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0DF703D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85B6AE1"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46202BC7"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B3C5CAA" w14:textId="77777777" w:rsidR="008B4DF8" w:rsidRPr="00C1603D" w:rsidRDefault="008B4DF8" w:rsidP="00943414">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35BBCAC3" w14:textId="6519F8D5" w:rsidR="008B4DF8" w:rsidRPr="00C1603D" w:rsidRDefault="00244483" w:rsidP="00943414">
            <w:pPr>
              <w:pStyle w:val="72TabletextTablesTableFigureBoxstyles"/>
            </w:pPr>
            <w:r w:rsidRPr="00C1603D">
              <w:rPr>
                <w:rFonts w:eastAsia="Arial"/>
                <w:noProof/>
              </w:rPr>
              <w:t xml:space="preserve">Khoshbaten </w:t>
            </w:r>
            <w:r w:rsidRPr="00C1603D">
              <w:rPr>
                <w:rFonts w:eastAsia="Arial"/>
                <w:i/>
                <w:iCs/>
                <w:noProof/>
              </w:rPr>
              <w:t>et al</w:t>
            </w:r>
            <w:r w:rsidRPr="00C1603D">
              <w:rPr>
                <w:rFonts w:eastAsia="Arial"/>
                <w:noProof/>
              </w:rPr>
              <w:t>.</w:t>
            </w:r>
            <w:r w:rsidR="008B4DF8" w:rsidRPr="00C1603D">
              <w:rPr>
                <w:rFonts w:eastAsia="Arial"/>
                <w:noProof/>
                <w:vertAlign w:val="superscript"/>
              </w:rPr>
              <w:t>411</w:t>
            </w:r>
          </w:p>
        </w:tc>
      </w:tr>
      <w:tr w:rsidR="00AC5206" w:rsidRPr="00C1603D" w14:paraId="525DE210" w14:textId="77777777" w:rsidTr="00CA5E4A">
        <w:trPr>
          <w:cantSplit/>
        </w:trPr>
        <w:tc>
          <w:tcPr>
            <w:tcW w:w="0" w:type="auto"/>
            <w:gridSpan w:val="10"/>
            <w:shd w:val="clear" w:color="auto" w:fill="FFFFFF"/>
            <w:tcMar>
              <w:top w:w="0" w:type="dxa"/>
              <w:left w:w="0" w:type="dxa"/>
              <w:bottom w:w="0" w:type="dxa"/>
              <w:right w:w="0" w:type="dxa"/>
            </w:tcMar>
          </w:tcPr>
          <w:p w14:paraId="0FB5F3FD" w14:textId="4C455C24" w:rsidR="00AC5206" w:rsidRPr="00C1603D" w:rsidRDefault="00AC5206" w:rsidP="00AC5206">
            <w:pPr>
              <w:pStyle w:val="75TablenotesTablesTableFigureBoxstyles"/>
              <w:rPr>
                <w:rFonts w:eastAsia="Arial"/>
                <w:noProof/>
                <w:vertAlign w:val="superscript"/>
              </w:rPr>
            </w:pPr>
            <w:r w:rsidRPr="00C1603D">
              <w:rPr>
                <w:rFonts w:eastAsia="Arial"/>
                <w:noProof/>
              </w:rPr>
              <w:t>DI, diagnostic indicator; NR, not reported.</w:t>
            </w:r>
          </w:p>
        </w:tc>
      </w:tr>
    </w:tbl>
    <w:p w14:paraId="41D492B6" w14:textId="11B9E5A9" w:rsidR="008B4DF8" w:rsidRPr="00C1603D" w:rsidRDefault="008B4DF8" w:rsidP="008B4DF8">
      <w:pPr>
        <w:pStyle w:val="70TablelegendTablesTableFigureBoxstyles"/>
      </w:pPr>
      <w:bookmarkStart w:id="603" w:name="_Toc99720753"/>
      <w:r w:rsidRPr="00C1603D">
        <w:rPr>
          <w:b/>
        </w:rPr>
        <w:t>TABLE 4</w:t>
      </w:r>
      <w:r w:rsidR="00032460" w:rsidRPr="00C1603D">
        <w:rPr>
          <w:b/>
        </w:rPr>
        <w:t>3</w:t>
      </w:r>
      <w:r w:rsidRPr="00C1603D">
        <w:rPr>
          <w:b/>
        </w:rPr>
        <w:t> </w:t>
      </w:r>
      <w:r w:rsidRPr="00C1603D">
        <w:t xml:space="preserve">Study characteristic: </w:t>
      </w:r>
      <w:r w:rsidR="00943414" w:rsidRPr="00C1603D">
        <w:t>o</w:t>
      </w:r>
      <w:r w:rsidRPr="00C1603D">
        <w:t>steoporosis</w:t>
      </w:r>
      <w:bookmarkEnd w:id="603"/>
    </w:p>
    <w:tbl>
      <w:tblPr>
        <w:tblW w:w="0" w:type="auto"/>
        <w:shd w:val="clear" w:color="auto" w:fill="FFFFFF"/>
        <w:tblLayout w:type="fixed"/>
        <w:tblCellMar>
          <w:top w:w="40" w:type="dxa"/>
          <w:left w:w="60" w:type="dxa"/>
          <w:bottom w:w="40" w:type="dxa"/>
          <w:right w:w="60" w:type="dxa"/>
        </w:tblCellMar>
        <w:tblLook w:val="0420" w:firstRow="1" w:lastRow="0" w:firstColumn="0" w:lastColumn="0" w:noHBand="0" w:noVBand="1"/>
      </w:tblPr>
      <w:tblGrid>
        <w:gridCol w:w="630"/>
        <w:gridCol w:w="827"/>
        <w:gridCol w:w="1248"/>
        <w:gridCol w:w="644"/>
        <w:gridCol w:w="654"/>
        <w:gridCol w:w="1208"/>
        <w:gridCol w:w="1010"/>
        <w:gridCol w:w="1099"/>
        <w:gridCol w:w="892"/>
        <w:gridCol w:w="814"/>
      </w:tblGrid>
      <w:tr w:rsidR="001902E7" w:rsidRPr="00C1603D" w14:paraId="59E33601" w14:textId="77777777" w:rsidTr="00943414">
        <w:trPr>
          <w:cantSplit/>
        </w:trPr>
        <w:tc>
          <w:tcPr>
            <w:tcW w:w="630" w:type="dxa"/>
            <w:shd w:val="clear" w:color="auto" w:fill="FFFFFF"/>
            <w:tcMar>
              <w:top w:w="0" w:type="dxa"/>
              <w:left w:w="0" w:type="dxa"/>
              <w:bottom w:w="0" w:type="dxa"/>
              <w:right w:w="0" w:type="dxa"/>
            </w:tcMar>
          </w:tcPr>
          <w:p w14:paraId="130D2FCE" w14:textId="0B891F2E" w:rsidR="001902E7" w:rsidRPr="00C1603D" w:rsidRDefault="001902E7" w:rsidP="001902E7">
            <w:pPr>
              <w:pStyle w:val="710TableheadTablesTableFigureBoxstyles"/>
            </w:pPr>
            <w:r w:rsidRPr="00C1603D">
              <w:rPr>
                <w:rFonts w:eastAsia="Arial"/>
              </w:rPr>
              <w:t>Population group</w:t>
            </w:r>
          </w:p>
        </w:tc>
        <w:tc>
          <w:tcPr>
            <w:tcW w:w="827" w:type="dxa"/>
            <w:shd w:val="clear" w:color="auto" w:fill="FFFFFF"/>
            <w:tcMar>
              <w:top w:w="0" w:type="dxa"/>
              <w:left w:w="0" w:type="dxa"/>
              <w:bottom w:w="0" w:type="dxa"/>
              <w:right w:w="0" w:type="dxa"/>
            </w:tcMar>
          </w:tcPr>
          <w:p w14:paraId="7BEFB1F9" w14:textId="45D2CC29" w:rsidR="001902E7" w:rsidRPr="00C1603D" w:rsidRDefault="001902E7" w:rsidP="001902E7">
            <w:pPr>
              <w:pStyle w:val="710TableheadTablesTableFigureBoxstyles"/>
            </w:pPr>
            <w:r w:rsidRPr="00C1603D">
              <w:rPr>
                <w:rFonts w:eastAsia="Arial"/>
              </w:rPr>
              <w:t>Study design</w:t>
            </w:r>
          </w:p>
        </w:tc>
        <w:tc>
          <w:tcPr>
            <w:tcW w:w="1248" w:type="dxa"/>
            <w:shd w:val="clear" w:color="auto" w:fill="FFFFFF"/>
            <w:tcMar>
              <w:top w:w="0" w:type="dxa"/>
              <w:left w:w="0" w:type="dxa"/>
              <w:bottom w:w="0" w:type="dxa"/>
              <w:right w:w="0" w:type="dxa"/>
            </w:tcMar>
          </w:tcPr>
          <w:p w14:paraId="358B89E1" w14:textId="6A266CDD" w:rsidR="001902E7" w:rsidRPr="00C1603D" w:rsidRDefault="001902E7" w:rsidP="001902E7">
            <w:pPr>
              <w:pStyle w:val="710TableheadTablesTableFigureBoxstyles"/>
            </w:pPr>
            <w:r w:rsidRPr="00C1603D">
              <w:rPr>
                <w:rFonts w:eastAsia="Arial"/>
              </w:rPr>
              <w:t>Indicator details</w:t>
            </w:r>
          </w:p>
        </w:tc>
        <w:tc>
          <w:tcPr>
            <w:tcW w:w="644" w:type="dxa"/>
            <w:shd w:val="clear" w:color="auto" w:fill="FFFFFF"/>
            <w:tcMar>
              <w:top w:w="0" w:type="dxa"/>
              <w:left w:w="0" w:type="dxa"/>
              <w:bottom w:w="0" w:type="dxa"/>
              <w:right w:w="0" w:type="dxa"/>
            </w:tcMar>
          </w:tcPr>
          <w:p w14:paraId="45355049" w14:textId="19D72624"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654" w:type="dxa"/>
            <w:shd w:val="clear" w:color="auto" w:fill="FFFFFF"/>
            <w:tcMar>
              <w:top w:w="0" w:type="dxa"/>
              <w:left w:w="0" w:type="dxa"/>
              <w:bottom w:w="0" w:type="dxa"/>
              <w:right w:w="0" w:type="dxa"/>
            </w:tcMar>
          </w:tcPr>
          <w:p w14:paraId="2955C84D" w14:textId="77777777" w:rsidR="001902E7" w:rsidRPr="00C1603D" w:rsidRDefault="001902E7" w:rsidP="001902E7">
            <w:pPr>
              <w:pStyle w:val="710TableheadTablesTableFigureBoxstyles"/>
            </w:pPr>
            <w:r w:rsidRPr="00C1603D">
              <w:rPr>
                <w:rFonts w:eastAsia="Arial"/>
              </w:rPr>
              <w:t>Sex (% female)</w:t>
            </w:r>
          </w:p>
        </w:tc>
        <w:tc>
          <w:tcPr>
            <w:tcW w:w="1208" w:type="dxa"/>
            <w:shd w:val="clear" w:color="auto" w:fill="FFFFFF"/>
            <w:tcMar>
              <w:top w:w="0" w:type="dxa"/>
              <w:left w:w="0" w:type="dxa"/>
              <w:bottom w:w="0" w:type="dxa"/>
              <w:right w:w="0" w:type="dxa"/>
            </w:tcMar>
          </w:tcPr>
          <w:p w14:paraId="5AF20C43" w14:textId="77777777" w:rsidR="001902E7" w:rsidRPr="00C1603D" w:rsidRDefault="001902E7" w:rsidP="001902E7">
            <w:pPr>
              <w:pStyle w:val="710TableheadTablesTableFigureBoxstyles"/>
            </w:pPr>
            <w:r w:rsidRPr="00C1603D">
              <w:rPr>
                <w:rFonts w:eastAsia="Arial"/>
              </w:rPr>
              <w:t>Control group</w:t>
            </w:r>
          </w:p>
        </w:tc>
        <w:tc>
          <w:tcPr>
            <w:tcW w:w="1010" w:type="dxa"/>
            <w:shd w:val="clear" w:color="auto" w:fill="FFFFFF"/>
            <w:tcMar>
              <w:top w:w="0" w:type="dxa"/>
              <w:left w:w="0" w:type="dxa"/>
              <w:bottom w:w="0" w:type="dxa"/>
              <w:right w:w="0" w:type="dxa"/>
            </w:tcMar>
          </w:tcPr>
          <w:p w14:paraId="12CD3B76" w14:textId="77777777" w:rsidR="001902E7" w:rsidRPr="00C1603D" w:rsidRDefault="001902E7" w:rsidP="001902E7">
            <w:pPr>
              <w:pStyle w:val="710TableheadTablesTableFigureBoxstyles"/>
            </w:pPr>
            <w:r w:rsidRPr="00C1603D">
              <w:rPr>
                <w:rFonts w:eastAsia="Arial"/>
              </w:rPr>
              <w:t>Reference standard</w:t>
            </w:r>
          </w:p>
        </w:tc>
        <w:tc>
          <w:tcPr>
            <w:tcW w:w="1099" w:type="dxa"/>
            <w:shd w:val="clear" w:color="auto" w:fill="FFFFFF"/>
            <w:tcMar>
              <w:top w:w="0" w:type="dxa"/>
              <w:left w:w="0" w:type="dxa"/>
              <w:bottom w:w="0" w:type="dxa"/>
              <w:right w:w="0" w:type="dxa"/>
            </w:tcMar>
          </w:tcPr>
          <w:p w14:paraId="666EDE87" w14:textId="77777777" w:rsidR="001902E7" w:rsidRPr="00C1603D" w:rsidRDefault="001902E7" w:rsidP="001902E7">
            <w:pPr>
              <w:pStyle w:val="710TableheadTablesTableFigureBoxstyles"/>
            </w:pPr>
            <w:r w:rsidRPr="00C1603D">
              <w:rPr>
                <w:rFonts w:eastAsia="Arial"/>
              </w:rPr>
              <w:t>Care setting</w:t>
            </w:r>
          </w:p>
        </w:tc>
        <w:tc>
          <w:tcPr>
            <w:tcW w:w="892" w:type="dxa"/>
            <w:shd w:val="clear" w:color="auto" w:fill="FFFFFF"/>
            <w:tcMar>
              <w:top w:w="0" w:type="dxa"/>
              <w:left w:w="0" w:type="dxa"/>
              <w:bottom w:w="0" w:type="dxa"/>
              <w:right w:w="0" w:type="dxa"/>
            </w:tcMar>
          </w:tcPr>
          <w:p w14:paraId="465BD7E1" w14:textId="77777777" w:rsidR="001902E7" w:rsidRPr="00C1603D" w:rsidRDefault="001902E7" w:rsidP="001902E7">
            <w:pPr>
              <w:pStyle w:val="710TableheadTablesTableFigureBoxstyles"/>
            </w:pPr>
            <w:r w:rsidRPr="00C1603D">
              <w:rPr>
                <w:rFonts w:eastAsia="Arial"/>
              </w:rPr>
              <w:t>Location</w:t>
            </w:r>
          </w:p>
        </w:tc>
        <w:tc>
          <w:tcPr>
            <w:tcW w:w="814" w:type="dxa"/>
            <w:shd w:val="clear" w:color="auto" w:fill="FFFFFF"/>
            <w:tcMar>
              <w:top w:w="0" w:type="dxa"/>
              <w:left w:w="0" w:type="dxa"/>
              <w:bottom w:w="0" w:type="dxa"/>
              <w:right w:w="0" w:type="dxa"/>
            </w:tcMar>
          </w:tcPr>
          <w:p w14:paraId="4C75AFB9" w14:textId="77777777" w:rsidR="001902E7" w:rsidRPr="00C1603D" w:rsidRDefault="001902E7" w:rsidP="001902E7">
            <w:pPr>
              <w:pStyle w:val="710TableheadTablesTableFigureBoxstyles"/>
            </w:pPr>
            <w:r w:rsidRPr="00C1603D">
              <w:rPr>
                <w:rFonts w:eastAsia="Arial"/>
              </w:rPr>
              <w:t>Reference</w:t>
            </w:r>
          </w:p>
        </w:tc>
      </w:tr>
      <w:tr w:rsidR="008B4DF8" w:rsidRPr="00C1603D" w14:paraId="233CD82F" w14:textId="77777777" w:rsidTr="00943414">
        <w:trPr>
          <w:cantSplit/>
        </w:trPr>
        <w:tc>
          <w:tcPr>
            <w:tcW w:w="630" w:type="dxa"/>
            <w:shd w:val="clear" w:color="auto" w:fill="FFFFFF"/>
            <w:tcMar>
              <w:top w:w="0" w:type="dxa"/>
              <w:left w:w="0" w:type="dxa"/>
              <w:bottom w:w="0" w:type="dxa"/>
              <w:right w:w="0" w:type="dxa"/>
            </w:tcMar>
          </w:tcPr>
          <w:p w14:paraId="7C9BB07B" w14:textId="77777777" w:rsidR="008B4DF8" w:rsidRPr="00C1603D" w:rsidRDefault="008B4DF8" w:rsidP="00943414">
            <w:pPr>
              <w:pStyle w:val="72TabletextTablesTableFigureBoxstyles"/>
            </w:pPr>
            <w:r w:rsidRPr="00C1603D">
              <w:rPr>
                <w:rFonts w:eastAsia="Arial"/>
              </w:rPr>
              <w:t>Adults</w:t>
            </w:r>
          </w:p>
        </w:tc>
        <w:tc>
          <w:tcPr>
            <w:tcW w:w="827" w:type="dxa"/>
            <w:shd w:val="clear" w:color="auto" w:fill="FFFFFF"/>
            <w:tcMar>
              <w:top w:w="0" w:type="dxa"/>
              <w:left w:w="0" w:type="dxa"/>
              <w:bottom w:w="0" w:type="dxa"/>
              <w:right w:w="0" w:type="dxa"/>
            </w:tcMar>
          </w:tcPr>
          <w:p w14:paraId="7BCE6301" w14:textId="06A07B3A"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1248" w:type="dxa"/>
            <w:shd w:val="clear" w:color="auto" w:fill="FFFFFF"/>
            <w:tcMar>
              <w:top w:w="0" w:type="dxa"/>
              <w:left w:w="0" w:type="dxa"/>
              <w:bottom w:w="0" w:type="dxa"/>
              <w:right w:w="0" w:type="dxa"/>
            </w:tcMar>
          </w:tcPr>
          <w:p w14:paraId="37B9152D" w14:textId="77777777" w:rsidR="008B4DF8" w:rsidRPr="00C1603D" w:rsidRDefault="008B4DF8" w:rsidP="00943414">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526E23E8" w14:textId="77777777" w:rsidR="008B4DF8" w:rsidRPr="00C1603D" w:rsidRDefault="008B4DF8" w:rsidP="00943414">
            <w:pPr>
              <w:pStyle w:val="72TabletextTablesTableFigureBoxstyles"/>
            </w:pPr>
            <w:r w:rsidRPr="00C1603D">
              <w:rPr>
                <w:rFonts w:eastAsia="Arial"/>
              </w:rPr>
              <w:t>197</w:t>
            </w:r>
          </w:p>
        </w:tc>
        <w:tc>
          <w:tcPr>
            <w:tcW w:w="654" w:type="dxa"/>
            <w:shd w:val="clear" w:color="auto" w:fill="FFFFFF"/>
            <w:tcMar>
              <w:top w:w="0" w:type="dxa"/>
              <w:left w:w="0" w:type="dxa"/>
              <w:bottom w:w="0" w:type="dxa"/>
              <w:right w:w="0" w:type="dxa"/>
            </w:tcMar>
          </w:tcPr>
          <w:p w14:paraId="66645CD6" w14:textId="0657BBB1"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1208" w:type="dxa"/>
            <w:shd w:val="clear" w:color="auto" w:fill="FFFFFF"/>
            <w:tcMar>
              <w:top w:w="0" w:type="dxa"/>
              <w:left w:w="0" w:type="dxa"/>
              <w:bottom w:w="0" w:type="dxa"/>
              <w:right w:w="0" w:type="dxa"/>
            </w:tcMar>
          </w:tcPr>
          <w:p w14:paraId="334A6A9D" w14:textId="5FD1F0FD" w:rsidR="008B4DF8" w:rsidRPr="00C1603D" w:rsidRDefault="00244483" w:rsidP="00943414">
            <w:pPr>
              <w:pStyle w:val="72TabletextTablesTableFigureBoxstyles"/>
            </w:pPr>
            <w:r w:rsidRPr="00C1603D">
              <w:rPr>
                <w:rFonts w:eastAsia="Arial"/>
              </w:rPr>
              <w:t xml:space="preserve">Healthy </w:t>
            </w:r>
            <w:r w:rsidR="008B4DF8" w:rsidRPr="00C1603D">
              <w:rPr>
                <w:rFonts w:eastAsia="Arial"/>
              </w:rPr>
              <w:t>controls</w:t>
            </w:r>
          </w:p>
        </w:tc>
        <w:tc>
          <w:tcPr>
            <w:tcW w:w="1010" w:type="dxa"/>
            <w:shd w:val="clear" w:color="auto" w:fill="FFFFFF"/>
            <w:tcMar>
              <w:top w:w="0" w:type="dxa"/>
              <w:left w:w="0" w:type="dxa"/>
              <w:bottom w:w="0" w:type="dxa"/>
              <w:right w:w="0" w:type="dxa"/>
            </w:tcMar>
          </w:tcPr>
          <w:p w14:paraId="48E8DFF4" w14:textId="5D9F53FD"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1099" w:type="dxa"/>
            <w:shd w:val="clear" w:color="auto" w:fill="FFFFFF"/>
            <w:tcMar>
              <w:top w:w="0" w:type="dxa"/>
              <w:left w:w="0" w:type="dxa"/>
              <w:bottom w:w="0" w:type="dxa"/>
              <w:right w:w="0" w:type="dxa"/>
            </w:tcMar>
          </w:tcPr>
          <w:p w14:paraId="28E46218" w14:textId="77777777" w:rsidR="008B4DF8" w:rsidRPr="00C1603D" w:rsidRDefault="008B4DF8" w:rsidP="00943414">
            <w:pPr>
              <w:pStyle w:val="72TabletextTablesTableFigureBoxstyles"/>
            </w:pPr>
            <w:r w:rsidRPr="00C1603D">
              <w:rPr>
                <w:rFonts w:eastAsia="Arial"/>
              </w:rPr>
              <w:t>Secondary</w:t>
            </w:r>
          </w:p>
        </w:tc>
        <w:tc>
          <w:tcPr>
            <w:tcW w:w="892" w:type="dxa"/>
            <w:shd w:val="clear" w:color="auto" w:fill="FFFFFF"/>
            <w:tcMar>
              <w:top w:w="0" w:type="dxa"/>
              <w:left w:w="0" w:type="dxa"/>
              <w:bottom w:w="0" w:type="dxa"/>
              <w:right w:w="0" w:type="dxa"/>
            </w:tcMar>
          </w:tcPr>
          <w:p w14:paraId="5C93ED03" w14:textId="77777777" w:rsidR="008B4DF8" w:rsidRPr="00C1603D" w:rsidRDefault="008B4DF8" w:rsidP="00943414">
            <w:pPr>
              <w:pStyle w:val="72TabletextTablesTableFigureBoxstyles"/>
            </w:pPr>
            <w:r w:rsidRPr="00C1603D">
              <w:rPr>
                <w:rFonts w:eastAsia="Arial"/>
              </w:rPr>
              <w:t>Brazil</w:t>
            </w:r>
          </w:p>
        </w:tc>
        <w:tc>
          <w:tcPr>
            <w:tcW w:w="814" w:type="dxa"/>
            <w:shd w:val="clear" w:color="auto" w:fill="FFFFFF"/>
            <w:tcMar>
              <w:top w:w="0" w:type="dxa"/>
              <w:left w:w="0" w:type="dxa"/>
              <w:bottom w:w="0" w:type="dxa"/>
              <w:right w:w="0" w:type="dxa"/>
            </w:tcMar>
          </w:tcPr>
          <w:p w14:paraId="31F87212" w14:textId="583CD7C8" w:rsidR="008B4DF8" w:rsidRPr="00C1603D" w:rsidRDefault="00244483" w:rsidP="00943414">
            <w:pPr>
              <w:pStyle w:val="72TabletextTablesTableFigureBoxstyles"/>
            </w:pPr>
            <w:r w:rsidRPr="00C1603D">
              <w:rPr>
                <w:rFonts w:eastAsia="Arial"/>
                <w:noProof/>
              </w:rPr>
              <w:t xml:space="preserve">Gusso </w:t>
            </w:r>
            <w:r w:rsidRPr="00C1603D">
              <w:rPr>
                <w:rFonts w:eastAsia="Arial"/>
                <w:i/>
                <w:iCs/>
                <w:noProof/>
              </w:rPr>
              <w:t>et al</w:t>
            </w:r>
            <w:r w:rsidRPr="00C1603D">
              <w:rPr>
                <w:rFonts w:eastAsia="Arial"/>
                <w:noProof/>
              </w:rPr>
              <w:t>.</w:t>
            </w:r>
            <w:r w:rsidR="008B4DF8" w:rsidRPr="00C1603D">
              <w:rPr>
                <w:rFonts w:eastAsia="Arial"/>
                <w:noProof/>
                <w:vertAlign w:val="superscript"/>
              </w:rPr>
              <w:t>412</w:t>
            </w:r>
          </w:p>
        </w:tc>
      </w:tr>
      <w:tr w:rsidR="00244483" w:rsidRPr="00C1603D" w14:paraId="438D9B1B" w14:textId="77777777" w:rsidTr="00943414">
        <w:trPr>
          <w:cantSplit/>
        </w:trPr>
        <w:tc>
          <w:tcPr>
            <w:tcW w:w="630" w:type="dxa"/>
            <w:shd w:val="clear" w:color="auto" w:fill="FFFFFF"/>
            <w:tcMar>
              <w:top w:w="0" w:type="dxa"/>
              <w:left w:w="0" w:type="dxa"/>
              <w:bottom w:w="0" w:type="dxa"/>
              <w:right w:w="0" w:type="dxa"/>
            </w:tcMar>
          </w:tcPr>
          <w:p w14:paraId="703E4D07" w14:textId="77777777" w:rsidR="00244483" w:rsidRPr="00C1603D" w:rsidRDefault="00244483" w:rsidP="00244483">
            <w:pPr>
              <w:pStyle w:val="72TabletextTablesTableFigureBoxstyles"/>
            </w:pPr>
            <w:r w:rsidRPr="00C1603D">
              <w:rPr>
                <w:rFonts w:eastAsia="Arial"/>
              </w:rPr>
              <w:t>Adults</w:t>
            </w:r>
          </w:p>
        </w:tc>
        <w:tc>
          <w:tcPr>
            <w:tcW w:w="827" w:type="dxa"/>
            <w:shd w:val="clear" w:color="auto" w:fill="FFFFFF"/>
            <w:tcMar>
              <w:top w:w="0" w:type="dxa"/>
              <w:left w:w="0" w:type="dxa"/>
              <w:bottom w:w="0" w:type="dxa"/>
              <w:right w:w="0" w:type="dxa"/>
            </w:tcMar>
          </w:tcPr>
          <w:p w14:paraId="211DEA19" w14:textId="13242CCF" w:rsidR="00244483" w:rsidRPr="00C1603D" w:rsidRDefault="00244483" w:rsidP="00244483">
            <w:pPr>
              <w:pStyle w:val="72TabletextTablesTableFigureBoxstyles"/>
            </w:pPr>
            <w:r w:rsidRPr="00C1603D">
              <w:rPr>
                <w:rFonts w:eastAsia="Arial"/>
              </w:rPr>
              <w:t>Case–control (DI)</w:t>
            </w:r>
          </w:p>
        </w:tc>
        <w:tc>
          <w:tcPr>
            <w:tcW w:w="1248" w:type="dxa"/>
            <w:shd w:val="clear" w:color="auto" w:fill="FFFFFF"/>
            <w:tcMar>
              <w:top w:w="0" w:type="dxa"/>
              <w:left w:w="0" w:type="dxa"/>
              <w:bottom w:w="0" w:type="dxa"/>
              <w:right w:w="0" w:type="dxa"/>
            </w:tcMar>
          </w:tcPr>
          <w:p w14:paraId="13AA91EF" w14:textId="77777777" w:rsidR="00244483" w:rsidRPr="00C1603D" w:rsidRDefault="00244483" w:rsidP="00244483">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11AD30EE" w14:textId="77777777" w:rsidR="00244483" w:rsidRPr="00C1603D" w:rsidRDefault="00244483" w:rsidP="00244483">
            <w:pPr>
              <w:pStyle w:val="72TabletextTablesTableFigureBoxstyles"/>
            </w:pPr>
            <w:r w:rsidRPr="00C1603D">
              <w:rPr>
                <w:rFonts w:eastAsia="Arial"/>
              </w:rPr>
              <w:t>560</w:t>
            </w:r>
          </w:p>
        </w:tc>
        <w:tc>
          <w:tcPr>
            <w:tcW w:w="654" w:type="dxa"/>
            <w:shd w:val="clear" w:color="auto" w:fill="FFFFFF"/>
            <w:tcMar>
              <w:top w:w="0" w:type="dxa"/>
              <w:left w:w="0" w:type="dxa"/>
              <w:bottom w:w="0" w:type="dxa"/>
              <w:right w:w="0" w:type="dxa"/>
            </w:tcMar>
          </w:tcPr>
          <w:p w14:paraId="3C3AC94B" w14:textId="6EC826E7" w:rsidR="00244483" w:rsidRPr="00C1603D" w:rsidRDefault="00244483" w:rsidP="00244483">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1208" w:type="dxa"/>
            <w:shd w:val="clear" w:color="auto" w:fill="FFFFFF"/>
            <w:tcMar>
              <w:top w:w="0" w:type="dxa"/>
              <w:left w:w="0" w:type="dxa"/>
              <w:bottom w:w="0" w:type="dxa"/>
              <w:right w:w="0" w:type="dxa"/>
            </w:tcMar>
          </w:tcPr>
          <w:p w14:paraId="364909E1" w14:textId="1972AD04" w:rsidR="00244483" w:rsidRPr="00C1603D" w:rsidRDefault="00244483" w:rsidP="00244483">
            <w:pPr>
              <w:pStyle w:val="72TabletextTablesTableFigureBoxstyles"/>
            </w:pPr>
            <w:r w:rsidRPr="00C1603D">
              <w:rPr>
                <w:rFonts w:eastAsia="Arial"/>
              </w:rPr>
              <w:t>Healthy controls</w:t>
            </w:r>
          </w:p>
        </w:tc>
        <w:tc>
          <w:tcPr>
            <w:tcW w:w="1010" w:type="dxa"/>
            <w:shd w:val="clear" w:color="auto" w:fill="FFFFFF"/>
            <w:tcMar>
              <w:top w:w="0" w:type="dxa"/>
              <w:left w:w="0" w:type="dxa"/>
              <w:bottom w:w="0" w:type="dxa"/>
              <w:right w:w="0" w:type="dxa"/>
            </w:tcMar>
          </w:tcPr>
          <w:p w14:paraId="2B0CC918" w14:textId="1894AF44" w:rsidR="00244483" w:rsidRPr="00C1603D" w:rsidRDefault="00244483" w:rsidP="00244483">
            <w:pPr>
              <w:pStyle w:val="72TabletextTablesTableFigureBoxstyles"/>
            </w:pPr>
            <w:r w:rsidRPr="00C1603D">
              <w:rPr>
                <w:rFonts w:eastAsia="Arial"/>
              </w:rPr>
              <w:t>Serology and only positive patients biopsied</w:t>
            </w:r>
          </w:p>
        </w:tc>
        <w:tc>
          <w:tcPr>
            <w:tcW w:w="1099" w:type="dxa"/>
            <w:shd w:val="clear" w:color="auto" w:fill="FFFFFF"/>
            <w:tcMar>
              <w:top w:w="0" w:type="dxa"/>
              <w:left w:w="0" w:type="dxa"/>
              <w:bottom w:w="0" w:type="dxa"/>
              <w:right w:w="0" w:type="dxa"/>
            </w:tcMar>
          </w:tcPr>
          <w:p w14:paraId="248B54B8" w14:textId="77777777" w:rsidR="00244483" w:rsidRPr="00C1603D" w:rsidRDefault="00244483" w:rsidP="00244483">
            <w:pPr>
              <w:pStyle w:val="72TabletextTablesTableFigureBoxstyles"/>
            </w:pPr>
            <w:r w:rsidRPr="00C1603D">
              <w:rPr>
                <w:rFonts w:eastAsia="Arial"/>
              </w:rPr>
              <w:t>Secondary</w:t>
            </w:r>
          </w:p>
        </w:tc>
        <w:tc>
          <w:tcPr>
            <w:tcW w:w="892" w:type="dxa"/>
            <w:shd w:val="clear" w:color="auto" w:fill="FFFFFF"/>
            <w:tcMar>
              <w:top w:w="0" w:type="dxa"/>
              <w:left w:w="0" w:type="dxa"/>
              <w:bottom w:w="0" w:type="dxa"/>
              <w:right w:w="0" w:type="dxa"/>
            </w:tcMar>
          </w:tcPr>
          <w:p w14:paraId="103DD6C3" w14:textId="77777777" w:rsidR="00244483" w:rsidRPr="00C1603D" w:rsidRDefault="00244483" w:rsidP="00244483">
            <w:pPr>
              <w:pStyle w:val="72TabletextTablesTableFigureBoxstyles"/>
            </w:pPr>
            <w:r w:rsidRPr="00C1603D">
              <w:rPr>
                <w:rFonts w:eastAsia="Arial"/>
              </w:rPr>
              <w:t>Iran</w:t>
            </w:r>
          </w:p>
        </w:tc>
        <w:tc>
          <w:tcPr>
            <w:tcW w:w="814" w:type="dxa"/>
            <w:shd w:val="clear" w:color="auto" w:fill="FFFFFF"/>
            <w:tcMar>
              <w:top w:w="0" w:type="dxa"/>
              <w:left w:w="0" w:type="dxa"/>
              <w:bottom w:w="0" w:type="dxa"/>
              <w:right w:w="0" w:type="dxa"/>
            </w:tcMar>
          </w:tcPr>
          <w:p w14:paraId="2F64A7FF" w14:textId="2E0631D3" w:rsidR="00244483" w:rsidRPr="00C1603D" w:rsidRDefault="00244483" w:rsidP="00244483">
            <w:pPr>
              <w:pStyle w:val="72TabletextTablesTableFigureBoxstyles"/>
            </w:pPr>
            <w:r w:rsidRPr="00C1603D">
              <w:rPr>
                <w:rFonts w:eastAsia="Arial"/>
                <w:noProof/>
              </w:rPr>
              <w:t xml:space="preserve">Shahbazkhani </w:t>
            </w:r>
            <w:r w:rsidRPr="00C1603D">
              <w:rPr>
                <w:rFonts w:eastAsia="Arial"/>
                <w:i/>
                <w:iCs/>
                <w:noProof/>
              </w:rPr>
              <w:t>et al</w:t>
            </w:r>
            <w:r w:rsidRPr="00C1603D">
              <w:rPr>
                <w:rFonts w:eastAsia="Arial"/>
                <w:noProof/>
              </w:rPr>
              <w:t>.</w:t>
            </w:r>
            <w:r w:rsidRPr="00C1603D">
              <w:rPr>
                <w:rFonts w:eastAsia="Arial"/>
                <w:noProof/>
                <w:vertAlign w:val="superscript"/>
              </w:rPr>
              <w:t>413</w:t>
            </w:r>
          </w:p>
        </w:tc>
      </w:tr>
      <w:tr w:rsidR="00244483" w:rsidRPr="00C1603D" w14:paraId="2D1820ED" w14:textId="77777777" w:rsidTr="00943414">
        <w:trPr>
          <w:cantSplit/>
        </w:trPr>
        <w:tc>
          <w:tcPr>
            <w:tcW w:w="630" w:type="dxa"/>
            <w:shd w:val="clear" w:color="auto" w:fill="FFFFFF"/>
            <w:tcMar>
              <w:top w:w="0" w:type="dxa"/>
              <w:left w:w="0" w:type="dxa"/>
              <w:bottom w:w="0" w:type="dxa"/>
              <w:right w:w="0" w:type="dxa"/>
            </w:tcMar>
          </w:tcPr>
          <w:p w14:paraId="2A8440DD" w14:textId="77777777" w:rsidR="00244483" w:rsidRPr="00C1603D" w:rsidRDefault="00244483" w:rsidP="00244483">
            <w:pPr>
              <w:pStyle w:val="72TabletextTablesTableFigureBoxstyles"/>
            </w:pPr>
            <w:r w:rsidRPr="00C1603D">
              <w:rPr>
                <w:rFonts w:eastAsia="Arial"/>
              </w:rPr>
              <w:t>Adults</w:t>
            </w:r>
          </w:p>
        </w:tc>
        <w:tc>
          <w:tcPr>
            <w:tcW w:w="827" w:type="dxa"/>
            <w:shd w:val="clear" w:color="auto" w:fill="FFFFFF"/>
            <w:tcMar>
              <w:top w:w="0" w:type="dxa"/>
              <w:left w:w="0" w:type="dxa"/>
              <w:bottom w:w="0" w:type="dxa"/>
              <w:right w:w="0" w:type="dxa"/>
            </w:tcMar>
          </w:tcPr>
          <w:p w14:paraId="2EB920E6" w14:textId="098B47E2" w:rsidR="00244483" w:rsidRPr="00C1603D" w:rsidRDefault="00244483" w:rsidP="00244483">
            <w:pPr>
              <w:pStyle w:val="72TabletextTablesTableFigureBoxstyles"/>
            </w:pPr>
            <w:r w:rsidRPr="00C1603D">
              <w:rPr>
                <w:rFonts w:eastAsia="Arial"/>
              </w:rPr>
              <w:t>Case–control (DI)</w:t>
            </w:r>
          </w:p>
        </w:tc>
        <w:tc>
          <w:tcPr>
            <w:tcW w:w="1248" w:type="dxa"/>
            <w:shd w:val="clear" w:color="auto" w:fill="FFFFFF"/>
            <w:tcMar>
              <w:top w:w="0" w:type="dxa"/>
              <w:left w:w="0" w:type="dxa"/>
              <w:bottom w:w="0" w:type="dxa"/>
              <w:right w:w="0" w:type="dxa"/>
            </w:tcMar>
          </w:tcPr>
          <w:p w14:paraId="0F2FDD64" w14:textId="77777777" w:rsidR="00244483" w:rsidRPr="00C1603D" w:rsidRDefault="00244483" w:rsidP="00244483">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3A4D03E5" w14:textId="77777777" w:rsidR="00244483" w:rsidRPr="00C1603D" w:rsidRDefault="00244483" w:rsidP="00244483">
            <w:pPr>
              <w:pStyle w:val="72TabletextTablesTableFigureBoxstyles"/>
            </w:pPr>
            <w:r w:rsidRPr="00C1603D">
              <w:rPr>
                <w:rFonts w:eastAsia="Arial"/>
              </w:rPr>
              <w:t>840</w:t>
            </w:r>
          </w:p>
        </w:tc>
        <w:tc>
          <w:tcPr>
            <w:tcW w:w="654" w:type="dxa"/>
            <w:shd w:val="clear" w:color="auto" w:fill="FFFFFF"/>
            <w:tcMar>
              <w:top w:w="0" w:type="dxa"/>
              <w:left w:w="0" w:type="dxa"/>
              <w:bottom w:w="0" w:type="dxa"/>
              <w:right w:w="0" w:type="dxa"/>
            </w:tcMar>
          </w:tcPr>
          <w:p w14:paraId="379B355E" w14:textId="0F894F34" w:rsidR="00244483" w:rsidRPr="00C1603D" w:rsidRDefault="00244483" w:rsidP="00244483">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1208" w:type="dxa"/>
            <w:shd w:val="clear" w:color="auto" w:fill="FFFFFF"/>
            <w:tcMar>
              <w:top w:w="0" w:type="dxa"/>
              <w:left w:w="0" w:type="dxa"/>
              <w:bottom w:w="0" w:type="dxa"/>
              <w:right w:w="0" w:type="dxa"/>
            </w:tcMar>
          </w:tcPr>
          <w:p w14:paraId="585B346F" w14:textId="236E4656" w:rsidR="00244483" w:rsidRPr="00C1603D" w:rsidRDefault="00244483" w:rsidP="00244483">
            <w:pPr>
              <w:pStyle w:val="72TabletextTablesTableFigureBoxstyles"/>
            </w:pPr>
            <w:r w:rsidRPr="00C1603D">
              <w:rPr>
                <w:rFonts w:eastAsia="Arial"/>
              </w:rPr>
              <w:t>Healthy controls</w:t>
            </w:r>
          </w:p>
        </w:tc>
        <w:tc>
          <w:tcPr>
            <w:tcW w:w="1010" w:type="dxa"/>
            <w:shd w:val="clear" w:color="auto" w:fill="FFFFFF"/>
            <w:tcMar>
              <w:top w:w="0" w:type="dxa"/>
              <w:left w:w="0" w:type="dxa"/>
              <w:bottom w:w="0" w:type="dxa"/>
              <w:right w:w="0" w:type="dxa"/>
            </w:tcMar>
          </w:tcPr>
          <w:p w14:paraId="3DF765A2" w14:textId="7AFEF373" w:rsidR="00244483" w:rsidRPr="00C1603D" w:rsidRDefault="00244483" w:rsidP="00244483">
            <w:pPr>
              <w:pStyle w:val="72TabletextTablesTableFigureBoxstyles"/>
            </w:pPr>
            <w:r w:rsidRPr="00C1603D">
              <w:rPr>
                <w:rFonts w:eastAsia="Arial"/>
              </w:rPr>
              <w:t>Serology and only positive patients biopsied</w:t>
            </w:r>
          </w:p>
        </w:tc>
        <w:tc>
          <w:tcPr>
            <w:tcW w:w="1099" w:type="dxa"/>
            <w:shd w:val="clear" w:color="auto" w:fill="FFFFFF"/>
            <w:tcMar>
              <w:top w:w="0" w:type="dxa"/>
              <w:left w:w="0" w:type="dxa"/>
              <w:bottom w:w="0" w:type="dxa"/>
              <w:right w:w="0" w:type="dxa"/>
            </w:tcMar>
          </w:tcPr>
          <w:p w14:paraId="5702D37D" w14:textId="77777777" w:rsidR="00244483" w:rsidRPr="00C1603D" w:rsidRDefault="00244483" w:rsidP="00244483">
            <w:pPr>
              <w:pStyle w:val="72TabletextTablesTableFigureBoxstyles"/>
            </w:pPr>
            <w:r w:rsidRPr="00C1603D">
              <w:rPr>
                <w:rFonts w:eastAsia="Arial"/>
              </w:rPr>
              <w:t>Secondary</w:t>
            </w:r>
          </w:p>
        </w:tc>
        <w:tc>
          <w:tcPr>
            <w:tcW w:w="892" w:type="dxa"/>
            <w:shd w:val="clear" w:color="auto" w:fill="FFFFFF"/>
            <w:tcMar>
              <w:top w:w="0" w:type="dxa"/>
              <w:left w:w="0" w:type="dxa"/>
              <w:bottom w:w="0" w:type="dxa"/>
              <w:right w:w="0" w:type="dxa"/>
            </w:tcMar>
          </w:tcPr>
          <w:p w14:paraId="227841DF" w14:textId="77777777" w:rsidR="00244483" w:rsidRPr="00C1603D" w:rsidRDefault="00244483" w:rsidP="00244483">
            <w:pPr>
              <w:pStyle w:val="72TabletextTablesTableFigureBoxstyles"/>
            </w:pPr>
            <w:r w:rsidRPr="00C1603D">
              <w:rPr>
                <w:rFonts w:eastAsia="Arial"/>
              </w:rPr>
              <w:t>USA</w:t>
            </w:r>
          </w:p>
        </w:tc>
        <w:tc>
          <w:tcPr>
            <w:tcW w:w="814" w:type="dxa"/>
            <w:shd w:val="clear" w:color="auto" w:fill="FFFFFF"/>
            <w:tcMar>
              <w:top w:w="0" w:type="dxa"/>
              <w:left w:w="0" w:type="dxa"/>
              <w:bottom w:w="0" w:type="dxa"/>
              <w:right w:w="0" w:type="dxa"/>
            </w:tcMar>
          </w:tcPr>
          <w:p w14:paraId="7A83CB38" w14:textId="24777628" w:rsidR="00244483" w:rsidRPr="00C1603D" w:rsidRDefault="00244483" w:rsidP="00244483">
            <w:pPr>
              <w:pStyle w:val="72TabletextTablesTableFigureBoxstyles"/>
            </w:pPr>
            <w:r w:rsidRPr="00C1603D">
              <w:rPr>
                <w:rFonts w:eastAsia="Arial"/>
                <w:noProof/>
              </w:rPr>
              <w:t xml:space="preserve">Stenson </w:t>
            </w:r>
            <w:r w:rsidRPr="00C1603D">
              <w:rPr>
                <w:rFonts w:eastAsia="Arial"/>
                <w:i/>
                <w:iCs/>
                <w:noProof/>
              </w:rPr>
              <w:t>et al</w:t>
            </w:r>
            <w:r w:rsidRPr="00C1603D">
              <w:rPr>
                <w:rFonts w:eastAsia="Arial"/>
                <w:noProof/>
              </w:rPr>
              <w:t>.</w:t>
            </w:r>
            <w:r w:rsidRPr="00C1603D">
              <w:rPr>
                <w:rFonts w:eastAsia="Arial"/>
                <w:noProof/>
                <w:vertAlign w:val="superscript"/>
              </w:rPr>
              <w:t>414</w:t>
            </w:r>
          </w:p>
        </w:tc>
      </w:tr>
      <w:tr w:rsidR="00244483" w:rsidRPr="00C1603D" w14:paraId="196FBCA2" w14:textId="77777777" w:rsidTr="00943414">
        <w:trPr>
          <w:cantSplit/>
        </w:trPr>
        <w:tc>
          <w:tcPr>
            <w:tcW w:w="630" w:type="dxa"/>
            <w:shd w:val="clear" w:color="auto" w:fill="FFFFFF"/>
            <w:tcMar>
              <w:top w:w="0" w:type="dxa"/>
              <w:left w:w="0" w:type="dxa"/>
              <w:bottom w:w="0" w:type="dxa"/>
              <w:right w:w="0" w:type="dxa"/>
            </w:tcMar>
          </w:tcPr>
          <w:p w14:paraId="11B3E810" w14:textId="77777777" w:rsidR="00244483" w:rsidRPr="00C1603D" w:rsidRDefault="00244483" w:rsidP="00244483">
            <w:pPr>
              <w:pStyle w:val="72TabletextTablesTableFigureBoxstyles"/>
            </w:pPr>
            <w:r w:rsidRPr="00C1603D">
              <w:rPr>
                <w:rFonts w:eastAsia="Arial"/>
              </w:rPr>
              <w:t>Adults</w:t>
            </w:r>
          </w:p>
        </w:tc>
        <w:tc>
          <w:tcPr>
            <w:tcW w:w="827" w:type="dxa"/>
            <w:shd w:val="clear" w:color="auto" w:fill="FFFFFF"/>
            <w:tcMar>
              <w:top w:w="0" w:type="dxa"/>
              <w:left w:w="0" w:type="dxa"/>
              <w:bottom w:w="0" w:type="dxa"/>
              <w:right w:w="0" w:type="dxa"/>
            </w:tcMar>
          </w:tcPr>
          <w:p w14:paraId="3DDA579F" w14:textId="2E8A74C0" w:rsidR="00244483" w:rsidRPr="00C1603D" w:rsidRDefault="00244483" w:rsidP="00244483">
            <w:pPr>
              <w:pStyle w:val="72TabletextTablesTableFigureBoxstyles"/>
            </w:pPr>
            <w:r w:rsidRPr="00C1603D">
              <w:rPr>
                <w:rFonts w:eastAsia="Arial"/>
              </w:rPr>
              <w:t>Case–control (DI)</w:t>
            </w:r>
          </w:p>
        </w:tc>
        <w:tc>
          <w:tcPr>
            <w:tcW w:w="1248" w:type="dxa"/>
            <w:shd w:val="clear" w:color="auto" w:fill="FFFFFF"/>
            <w:tcMar>
              <w:top w:w="0" w:type="dxa"/>
              <w:left w:w="0" w:type="dxa"/>
              <w:bottom w:w="0" w:type="dxa"/>
              <w:right w:w="0" w:type="dxa"/>
            </w:tcMar>
          </w:tcPr>
          <w:p w14:paraId="7C60563C" w14:textId="77777777" w:rsidR="00244483" w:rsidRPr="00C1603D" w:rsidRDefault="00244483" w:rsidP="00244483">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16D93615" w14:textId="381E8817" w:rsidR="00244483" w:rsidRPr="00C1603D" w:rsidRDefault="00244483" w:rsidP="00244483">
            <w:pPr>
              <w:pStyle w:val="72TabletextTablesTableFigureBoxstyles"/>
            </w:pPr>
            <w:r w:rsidRPr="00C1603D">
              <w:rPr>
                <w:rFonts w:eastAsia="Arial"/>
              </w:rPr>
              <w:t>1414</w:t>
            </w:r>
          </w:p>
        </w:tc>
        <w:tc>
          <w:tcPr>
            <w:tcW w:w="654" w:type="dxa"/>
            <w:shd w:val="clear" w:color="auto" w:fill="FFFFFF"/>
            <w:tcMar>
              <w:top w:w="0" w:type="dxa"/>
              <w:left w:w="0" w:type="dxa"/>
              <w:bottom w:w="0" w:type="dxa"/>
              <w:right w:w="0" w:type="dxa"/>
            </w:tcMar>
          </w:tcPr>
          <w:p w14:paraId="25FC87E4" w14:textId="21B024EE" w:rsidR="00244483" w:rsidRPr="00C1603D" w:rsidRDefault="00244483" w:rsidP="00244483">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1208" w:type="dxa"/>
            <w:shd w:val="clear" w:color="auto" w:fill="FFFFFF"/>
            <w:tcMar>
              <w:top w:w="0" w:type="dxa"/>
              <w:left w:w="0" w:type="dxa"/>
              <w:bottom w:w="0" w:type="dxa"/>
              <w:right w:w="0" w:type="dxa"/>
            </w:tcMar>
          </w:tcPr>
          <w:p w14:paraId="63F5FB82" w14:textId="395BE614" w:rsidR="00244483" w:rsidRPr="00C1603D" w:rsidRDefault="00244483" w:rsidP="00244483">
            <w:pPr>
              <w:pStyle w:val="72TabletextTablesTableFigureBoxstyles"/>
            </w:pPr>
            <w:r w:rsidRPr="00C1603D">
              <w:rPr>
                <w:rFonts w:eastAsia="Arial"/>
              </w:rPr>
              <w:t>Healthy controls</w:t>
            </w:r>
          </w:p>
        </w:tc>
        <w:tc>
          <w:tcPr>
            <w:tcW w:w="1010" w:type="dxa"/>
            <w:shd w:val="clear" w:color="auto" w:fill="FFFFFF"/>
            <w:tcMar>
              <w:top w:w="0" w:type="dxa"/>
              <w:left w:w="0" w:type="dxa"/>
              <w:bottom w:w="0" w:type="dxa"/>
              <w:right w:w="0" w:type="dxa"/>
            </w:tcMar>
          </w:tcPr>
          <w:p w14:paraId="6EBEA794" w14:textId="03A4464F" w:rsidR="00244483" w:rsidRPr="00C1603D" w:rsidRDefault="00244483" w:rsidP="00244483">
            <w:pPr>
              <w:pStyle w:val="72TabletextTablesTableFigureBoxstyles"/>
            </w:pPr>
            <w:r w:rsidRPr="00C1603D">
              <w:rPr>
                <w:rFonts w:eastAsia="Arial"/>
              </w:rPr>
              <w:t>Double positive for two antibodies</w:t>
            </w:r>
          </w:p>
        </w:tc>
        <w:tc>
          <w:tcPr>
            <w:tcW w:w="1099" w:type="dxa"/>
            <w:shd w:val="clear" w:color="auto" w:fill="FFFFFF"/>
            <w:tcMar>
              <w:top w:w="0" w:type="dxa"/>
              <w:left w:w="0" w:type="dxa"/>
              <w:bottom w:w="0" w:type="dxa"/>
              <w:right w:w="0" w:type="dxa"/>
            </w:tcMar>
          </w:tcPr>
          <w:p w14:paraId="232FD48D" w14:textId="77777777" w:rsidR="00244483" w:rsidRPr="00C1603D" w:rsidRDefault="00244483" w:rsidP="00244483">
            <w:pPr>
              <w:pStyle w:val="72TabletextTablesTableFigureBoxstyles"/>
            </w:pPr>
            <w:r w:rsidRPr="00C1603D">
              <w:rPr>
                <w:rFonts w:eastAsia="Arial"/>
              </w:rPr>
              <w:t>Secondary</w:t>
            </w:r>
          </w:p>
        </w:tc>
        <w:tc>
          <w:tcPr>
            <w:tcW w:w="892" w:type="dxa"/>
            <w:shd w:val="clear" w:color="auto" w:fill="FFFFFF"/>
            <w:tcMar>
              <w:top w:w="0" w:type="dxa"/>
              <w:left w:w="0" w:type="dxa"/>
              <w:bottom w:w="0" w:type="dxa"/>
              <w:right w:w="0" w:type="dxa"/>
            </w:tcMar>
          </w:tcPr>
          <w:p w14:paraId="7CF9DB64" w14:textId="77777777" w:rsidR="00244483" w:rsidRPr="00C1603D" w:rsidRDefault="00244483" w:rsidP="00244483">
            <w:pPr>
              <w:pStyle w:val="72TabletextTablesTableFigureBoxstyles"/>
            </w:pPr>
            <w:r w:rsidRPr="00C1603D">
              <w:rPr>
                <w:rFonts w:eastAsia="Arial"/>
              </w:rPr>
              <w:t>Czechia</w:t>
            </w:r>
          </w:p>
        </w:tc>
        <w:tc>
          <w:tcPr>
            <w:tcW w:w="814" w:type="dxa"/>
            <w:shd w:val="clear" w:color="auto" w:fill="FFFFFF"/>
            <w:tcMar>
              <w:top w:w="0" w:type="dxa"/>
              <w:left w:w="0" w:type="dxa"/>
              <w:bottom w:w="0" w:type="dxa"/>
              <w:right w:w="0" w:type="dxa"/>
            </w:tcMar>
          </w:tcPr>
          <w:p w14:paraId="1862980C" w14:textId="5765D5B4" w:rsidR="00244483" w:rsidRPr="00C1603D" w:rsidRDefault="00244483" w:rsidP="00244483">
            <w:pPr>
              <w:pStyle w:val="72TabletextTablesTableFigureBoxstyles"/>
            </w:pPr>
            <w:r w:rsidRPr="00C1603D">
              <w:rPr>
                <w:rFonts w:eastAsia="Arial"/>
                <w:noProof/>
              </w:rPr>
              <w:t xml:space="preserve">Vanciková </w:t>
            </w:r>
            <w:r w:rsidRPr="00C1603D">
              <w:rPr>
                <w:rFonts w:eastAsia="Arial"/>
                <w:i/>
                <w:iCs/>
                <w:noProof/>
              </w:rPr>
              <w:t>et al</w:t>
            </w:r>
            <w:r w:rsidRPr="00C1603D">
              <w:rPr>
                <w:rFonts w:eastAsia="Arial"/>
                <w:noProof/>
              </w:rPr>
              <w:t>.</w:t>
            </w:r>
            <w:r w:rsidRPr="00C1603D">
              <w:rPr>
                <w:rFonts w:eastAsia="Arial"/>
                <w:noProof/>
                <w:vertAlign w:val="superscript"/>
              </w:rPr>
              <w:t>415</w:t>
            </w:r>
          </w:p>
        </w:tc>
      </w:tr>
      <w:tr w:rsidR="008B4DF8" w:rsidRPr="00C1603D" w14:paraId="2ABB644B" w14:textId="77777777" w:rsidTr="00943414">
        <w:trPr>
          <w:cantSplit/>
        </w:trPr>
        <w:tc>
          <w:tcPr>
            <w:tcW w:w="630" w:type="dxa"/>
            <w:shd w:val="clear" w:color="auto" w:fill="FFFFFF"/>
            <w:tcMar>
              <w:top w:w="0" w:type="dxa"/>
              <w:left w:w="0" w:type="dxa"/>
              <w:bottom w:w="0" w:type="dxa"/>
              <w:right w:w="0" w:type="dxa"/>
            </w:tcMar>
          </w:tcPr>
          <w:p w14:paraId="6EA45622" w14:textId="77777777" w:rsidR="008B4DF8" w:rsidRPr="00C1603D" w:rsidRDefault="008B4DF8" w:rsidP="00943414">
            <w:pPr>
              <w:pStyle w:val="72TabletextTablesTableFigureBoxstyles"/>
            </w:pPr>
            <w:r w:rsidRPr="00C1603D">
              <w:rPr>
                <w:rFonts w:eastAsia="Arial"/>
              </w:rPr>
              <w:t>Adults</w:t>
            </w:r>
          </w:p>
        </w:tc>
        <w:tc>
          <w:tcPr>
            <w:tcW w:w="827" w:type="dxa"/>
            <w:shd w:val="clear" w:color="auto" w:fill="FFFFFF"/>
            <w:tcMar>
              <w:top w:w="0" w:type="dxa"/>
              <w:left w:w="0" w:type="dxa"/>
              <w:bottom w:w="0" w:type="dxa"/>
              <w:right w:w="0" w:type="dxa"/>
            </w:tcMar>
          </w:tcPr>
          <w:p w14:paraId="31895AE7" w14:textId="77777777" w:rsidR="008B4DF8" w:rsidRPr="00C1603D" w:rsidRDefault="008B4DF8" w:rsidP="00943414">
            <w:pPr>
              <w:pStyle w:val="72TabletextTablesTableFigureBoxstyles"/>
            </w:pPr>
            <w:r w:rsidRPr="00C1603D">
              <w:rPr>
                <w:rFonts w:eastAsia="Arial"/>
              </w:rPr>
              <w:t>Cohort</w:t>
            </w:r>
          </w:p>
        </w:tc>
        <w:tc>
          <w:tcPr>
            <w:tcW w:w="1248" w:type="dxa"/>
            <w:shd w:val="clear" w:color="auto" w:fill="FFFFFF"/>
            <w:tcMar>
              <w:top w:w="0" w:type="dxa"/>
              <w:left w:w="0" w:type="dxa"/>
              <w:bottom w:w="0" w:type="dxa"/>
              <w:right w:w="0" w:type="dxa"/>
            </w:tcMar>
          </w:tcPr>
          <w:p w14:paraId="7D710FD4" w14:textId="77777777" w:rsidR="008B4DF8" w:rsidRPr="00C1603D" w:rsidRDefault="008B4DF8" w:rsidP="00943414">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757935E4" w14:textId="30D6B65B" w:rsidR="008B4DF8" w:rsidRPr="00C1603D" w:rsidRDefault="008B4DF8" w:rsidP="00943414">
            <w:pPr>
              <w:pStyle w:val="72TabletextTablesTableFigureBoxstyles"/>
            </w:pPr>
            <w:r w:rsidRPr="00C1603D">
              <w:rPr>
                <w:rFonts w:eastAsia="Arial"/>
              </w:rPr>
              <w:t>2121</w:t>
            </w:r>
          </w:p>
        </w:tc>
        <w:tc>
          <w:tcPr>
            <w:tcW w:w="654" w:type="dxa"/>
            <w:shd w:val="clear" w:color="auto" w:fill="FFFFFF"/>
            <w:tcMar>
              <w:top w:w="0" w:type="dxa"/>
              <w:left w:w="0" w:type="dxa"/>
              <w:bottom w:w="0" w:type="dxa"/>
              <w:right w:w="0" w:type="dxa"/>
            </w:tcMar>
          </w:tcPr>
          <w:p w14:paraId="46157206" w14:textId="7D858A49"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1208" w:type="dxa"/>
            <w:shd w:val="clear" w:color="auto" w:fill="FFFFFF"/>
            <w:tcMar>
              <w:top w:w="0" w:type="dxa"/>
              <w:left w:w="0" w:type="dxa"/>
              <w:bottom w:w="0" w:type="dxa"/>
              <w:right w:w="0" w:type="dxa"/>
            </w:tcMar>
          </w:tcPr>
          <w:p w14:paraId="3FC4364F" w14:textId="77777777" w:rsidR="008B4DF8" w:rsidRPr="00C1603D" w:rsidRDefault="008B4DF8" w:rsidP="00943414">
            <w:pPr>
              <w:pStyle w:val="72TabletextTablesTableFigureBoxstyles"/>
            </w:pPr>
            <w:r w:rsidRPr="00C1603D">
              <w:rPr>
                <w:rFonts w:eastAsia="Arial"/>
              </w:rPr>
              <w:t>People without osteoporosis</w:t>
            </w:r>
          </w:p>
        </w:tc>
        <w:tc>
          <w:tcPr>
            <w:tcW w:w="1010" w:type="dxa"/>
            <w:shd w:val="clear" w:color="auto" w:fill="FFFFFF"/>
            <w:tcMar>
              <w:top w:w="0" w:type="dxa"/>
              <w:left w:w="0" w:type="dxa"/>
              <w:bottom w:w="0" w:type="dxa"/>
              <w:right w:w="0" w:type="dxa"/>
            </w:tcMar>
          </w:tcPr>
          <w:p w14:paraId="65643E47" w14:textId="77777777" w:rsidR="008B4DF8" w:rsidRPr="00C1603D" w:rsidRDefault="008B4DF8" w:rsidP="00943414">
            <w:pPr>
              <w:pStyle w:val="72TabletextTablesTableFigureBoxstyles"/>
            </w:pPr>
            <w:r w:rsidRPr="00C1603D">
              <w:rPr>
                <w:rFonts w:eastAsia="Arial"/>
              </w:rPr>
              <w:t>tTG positive</w:t>
            </w:r>
          </w:p>
        </w:tc>
        <w:tc>
          <w:tcPr>
            <w:tcW w:w="1099" w:type="dxa"/>
            <w:shd w:val="clear" w:color="auto" w:fill="FFFFFF"/>
            <w:tcMar>
              <w:top w:w="0" w:type="dxa"/>
              <w:left w:w="0" w:type="dxa"/>
              <w:bottom w:w="0" w:type="dxa"/>
              <w:right w:w="0" w:type="dxa"/>
            </w:tcMar>
          </w:tcPr>
          <w:p w14:paraId="51B611DE" w14:textId="77777777" w:rsidR="008B4DF8" w:rsidRPr="00C1603D" w:rsidRDefault="008B4DF8" w:rsidP="00943414">
            <w:pPr>
              <w:pStyle w:val="72TabletextTablesTableFigureBoxstyles"/>
            </w:pPr>
            <w:r w:rsidRPr="00C1603D">
              <w:rPr>
                <w:rFonts w:eastAsia="Arial"/>
              </w:rPr>
              <w:t>Community</w:t>
            </w:r>
          </w:p>
        </w:tc>
        <w:tc>
          <w:tcPr>
            <w:tcW w:w="892" w:type="dxa"/>
            <w:shd w:val="clear" w:color="auto" w:fill="FFFFFF"/>
            <w:tcMar>
              <w:top w:w="0" w:type="dxa"/>
              <w:left w:w="0" w:type="dxa"/>
              <w:bottom w:w="0" w:type="dxa"/>
              <w:right w:w="0" w:type="dxa"/>
            </w:tcMar>
          </w:tcPr>
          <w:p w14:paraId="50D856F3" w14:textId="77777777" w:rsidR="008B4DF8" w:rsidRPr="00C1603D" w:rsidRDefault="008B4DF8" w:rsidP="00943414">
            <w:pPr>
              <w:pStyle w:val="72TabletextTablesTableFigureBoxstyles"/>
            </w:pPr>
            <w:r w:rsidRPr="00C1603D">
              <w:rPr>
                <w:rFonts w:eastAsia="Arial"/>
              </w:rPr>
              <w:t>Australia</w:t>
            </w:r>
          </w:p>
        </w:tc>
        <w:tc>
          <w:tcPr>
            <w:tcW w:w="814" w:type="dxa"/>
            <w:shd w:val="clear" w:color="auto" w:fill="FFFFFF"/>
            <w:tcMar>
              <w:top w:w="0" w:type="dxa"/>
              <w:left w:w="0" w:type="dxa"/>
              <w:bottom w:w="0" w:type="dxa"/>
              <w:right w:w="0" w:type="dxa"/>
            </w:tcMar>
          </w:tcPr>
          <w:p w14:paraId="168C984C" w14:textId="252A1AE8" w:rsidR="008B4DF8" w:rsidRPr="00C1603D" w:rsidRDefault="00244483" w:rsidP="00943414">
            <w:pPr>
              <w:pStyle w:val="72TabletextTablesTableFigureBoxstyles"/>
            </w:pPr>
            <w:r w:rsidRPr="00C1603D">
              <w:rPr>
                <w:rFonts w:eastAsia="Arial"/>
                <w:noProof/>
              </w:rPr>
              <w:t xml:space="preserve">Potter </w:t>
            </w:r>
            <w:r w:rsidRPr="00C1603D">
              <w:rPr>
                <w:rFonts w:eastAsia="Arial"/>
                <w:i/>
                <w:iCs/>
                <w:noProof/>
              </w:rPr>
              <w:t>et al</w:t>
            </w:r>
            <w:r w:rsidRPr="00C1603D">
              <w:rPr>
                <w:rFonts w:eastAsia="Arial"/>
                <w:noProof/>
              </w:rPr>
              <w:t>.</w:t>
            </w:r>
            <w:r w:rsidR="008B4DF8" w:rsidRPr="00C1603D">
              <w:rPr>
                <w:rFonts w:eastAsia="Arial"/>
                <w:noProof/>
                <w:vertAlign w:val="superscript"/>
              </w:rPr>
              <w:t>370</w:t>
            </w:r>
          </w:p>
        </w:tc>
      </w:tr>
      <w:tr w:rsidR="008B4DF8" w:rsidRPr="00C1603D" w14:paraId="48B90831" w14:textId="77777777" w:rsidTr="00943414">
        <w:trPr>
          <w:cantSplit/>
        </w:trPr>
        <w:tc>
          <w:tcPr>
            <w:tcW w:w="630" w:type="dxa"/>
            <w:shd w:val="clear" w:color="auto" w:fill="FFFFFF"/>
            <w:tcMar>
              <w:top w:w="0" w:type="dxa"/>
              <w:left w:w="0" w:type="dxa"/>
              <w:bottom w:w="0" w:type="dxa"/>
              <w:right w:w="0" w:type="dxa"/>
            </w:tcMar>
          </w:tcPr>
          <w:p w14:paraId="72034C10" w14:textId="77777777" w:rsidR="008B4DF8" w:rsidRPr="00C1603D" w:rsidRDefault="008B4DF8" w:rsidP="00943414">
            <w:pPr>
              <w:pStyle w:val="72TabletextTablesTableFigureBoxstyles"/>
            </w:pPr>
            <w:r w:rsidRPr="00C1603D">
              <w:rPr>
                <w:rFonts w:eastAsia="Arial"/>
              </w:rPr>
              <w:t>Adults</w:t>
            </w:r>
          </w:p>
        </w:tc>
        <w:tc>
          <w:tcPr>
            <w:tcW w:w="827" w:type="dxa"/>
            <w:shd w:val="clear" w:color="auto" w:fill="FFFFFF"/>
            <w:tcMar>
              <w:top w:w="0" w:type="dxa"/>
              <w:left w:w="0" w:type="dxa"/>
              <w:bottom w:w="0" w:type="dxa"/>
              <w:right w:w="0" w:type="dxa"/>
            </w:tcMar>
          </w:tcPr>
          <w:p w14:paraId="0389F235" w14:textId="77777777" w:rsidR="008B4DF8" w:rsidRPr="00C1603D" w:rsidRDefault="008B4DF8" w:rsidP="00943414">
            <w:pPr>
              <w:pStyle w:val="72TabletextTablesTableFigureBoxstyles"/>
            </w:pPr>
            <w:r w:rsidRPr="00C1603D">
              <w:rPr>
                <w:rFonts w:eastAsia="Arial"/>
              </w:rPr>
              <w:t>Cohort</w:t>
            </w:r>
          </w:p>
        </w:tc>
        <w:tc>
          <w:tcPr>
            <w:tcW w:w="1248" w:type="dxa"/>
            <w:shd w:val="clear" w:color="auto" w:fill="FFFFFF"/>
            <w:tcMar>
              <w:top w:w="0" w:type="dxa"/>
              <w:left w:w="0" w:type="dxa"/>
              <w:bottom w:w="0" w:type="dxa"/>
              <w:right w:w="0" w:type="dxa"/>
            </w:tcMar>
          </w:tcPr>
          <w:p w14:paraId="5E1DA069" w14:textId="77777777" w:rsidR="008B4DF8" w:rsidRPr="00C1603D" w:rsidRDefault="008B4DF8" w:rsidP="00943414">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319FCF16" w14:textId="384E59C5" w:rsidR="008B4DF8" w:rsidRPr="00C1603D" w:rsidRDefault="008B4DF8" w:rsidP="00943414">
            <w:pPr>
              <w:pStyle w:val="72TabletextTablesTableFigureBoxstyles"/>
            </w:pPr>
            <w:r w:rsidRPr="00C1603D">
              <w:rPr>
                <w:rFonts w:eastAsia="Arial"/>
              </w:rPr>
              <w:t>6480</w:t>
            </w:r>
          </w:p>
        </w:tc>
        <w:tc>
          <w:tcPr>
            <w:tcW w:w="654" w:type="dxa"/>
            <w:shd w:val="clear" w:color="auto" w:fill="FFFFFF"/>
            <w:tcMar>
              <w:top w:w="0" w:type="dxa"/>
              <w:left w:w="0" w:type="dxa"/>
              <w:bottom w:w="0" w:type="dxa"/>
              <w:right w:w="0" w:type="dxa"/>
            </w:tcMar>
          </w:tcPr>
          <w:p w14:paraId="5AD84AE5" w14:textId="07170BD5" w:rsidR="008B4DF8" w:rsidRPr="00C1603D" w:rsidRDefault="008B4DF8" w:rsidP="00943414">
            <w:pPr>
              <w:pStyle w:val="72TabletextTablesTableFigureBoxstyles"/>
            </w:pPr>
            <w:r w:rsidRPr="00C1603D">
              <w:rPr>
                <w:rFonts w:eastAsia="Arial"/>
              </w:rPr>
              <w:t>100</w:t>
            </w:r>
          </w:p>
        </w:tc>
        <w:tc>
          <w:tcPr>
            <w:tcW w:w="1208" w:type="dxa"/>
            <w:shd w:val="clear" w:color="auto" w:fill="FFFFFF"/>
            <w:tcMar>
              <w:top w:w="0" w:type="dxa"/>
              <w:left w:w="0" w:type="dxa"/>
              <w:bottom w:w="0" w:type="dxa"/>
              <w:right w:w="0" w:type="dxa"/>
            </w:tcMar>
          </w:tcPr>
          <w:p w14:paraId="36BE0D1B" w14:textId="77777777" w:rsidR="008B4DF8" w:rsidRPr="00C1603D" w:rsidRDefault="008B4DF8" w:rsidP="00943414">
            <w:pPr>
              <w:pStyle w:val="72TabletextTablesTableFigureBoxstyles"/>
            </w:pPr>
            <w:r w:rsidRPr="00C1603D">
              <w:rPr>
                <w:rFonts w:eastAsia="Arial"/>
              </w:rPr>
              <w:t>Women without osteoporosis</w:t>
            </w:r>
          </w:p>
        </w:tc>
        <w:tc>
          <w:tcPr>
            <w:tcW w:w="1010" w:type="dxa"/>
            <w:shd w:val="clear" w:color="auto" w:fill="FFFFFF"/>
            <w:tcMar>
              <w:top w:w="0" w:type="dxa"/>
              <w:left w:w="0" w:type="dxa"/>
              <w:bottom w:w="0" w:type="dxa"/>
              <w:right w:w="0" w:type="dxa"/>
            </w:tcMar>
          </w:tcPr>
          <w:p w14:paraId="34099D73" w14:textId="77777777" w:rsidR="008B4DF8" w:rsidRPr="00C1603D" w:rsidRDefault="008B4DF8" w:rsidP="00943414">
            <w:pPr>
              <w:pStyle w:val="72TabletextTablesTableFigureBoxstyles"/>
            </w:pPr>
            <w:r w:rsidRPr="00C1603D">
              <w:rPr>
                <w:rFonts w:eastAsia="Arial"/>
              </w:rPr>
              <w:t>tTG positive</w:t>
            </w:r>
          </w:p>
        </w:tc>
        <w:tc>
          <w:tcPr>
            <w:tcW w:w="1099" w:type="dxa"/>
            <w:shd w:val="clear" w:color="auto" w:fill="FFFFFF"/>
            <w:tcMar>
              <w:top w:w="0" w:type="dxa"/>
              <w:left w:w="0" w:type="dxa"/>
              <w:bottom w:w="0" w:type="dxa"/>
              <w:right w:w="0" w:type="dxa"/>
            </w:tcMar>
          </w:tcPr>
          <w:p w14:paraId="6FEA1A0B" w14:textId="77777777" w:rsidR="008B4DF8" w:rsidRPr="00C1603D" w:rsidRDefault="008B4DF8" w:rsidP="00943414">
            <w:pPr>
              <w:pStyle w:val="72TabletextTablesTableFigureBoxstyles"/>
            </w:pPr>
            <w:r w:rsidRPr="00C1603D">
              <w:rPr>
                <w:rFonts w:eastAsia="Arial"/>
              </w:rPr>
              <w:t>Community</w:t>
            </w:r>
          </w:p>
        </w:tc>
        <w:tc>
          <w:tcPr>
            <w:tcW w:w="892" w:type="dxa"/>
            <w:shd w:val="clear" w:color="auto" w:fill="FFFFFF"/>
            <w:tcMar>
              <w:top w:w="0" w:type="dxa"/>
              <w:left w:w="0" w:type="dxa"/>
              <w:bottom w:w="0" w:type="dxa"/>
              <w:right w:w="0" w:type="dxa"/>
            </w:tcMar>
          </w:tcPr>
          <w:p w14:paraId="02F60CF7" w14:textId="77777777" w:rsidR="008B4DF8" w:rsidRPr="00C1603D" w:rsidRDefault="008B4DF8" w:rsidP="00943414">
            <w:pPr>
              <w:pStyle w:val="72TabletextTablesTableFigureBoxstyles"/>
            </w:pPr>
            <w:r w:rsidRPr="00C1603D">
              <w:rPr>
                <w:rFonts w:eastAsia="Arial"/>
              </w:rPr>
              <w:t>Sweden</w:t>
            </w:r>
          </w:p>
        </w:tc>
        <w:tc>
          <w:tcPr>
            <w:tcW w:w="814" w:type="dxa"/>
            <w:shd w:val="clear" w:color="auto" w:fill="FFFFFF"/>
            <w:tcMar>
              <w:top w:w="0" w:type="dxa"/>
              <w:left w:w="0" w:type="dxa"/>
              <w:bottom w:w="0" w:type="dxa"/>
              <w:right w:w="0" w:type="dxa"/>
            </w:tcMar>
          </w:tcPr>
          <w:p w14:paraId="345C01AD" w14:textId="2810771A" w:rsidR="008B4DF8" w:rsidRPr="00C1603D" w:rsidRDefault="00244483" w:rsidP="00943414">
            <w:pPr>
              <w:pStyle w:val="72TabletextTablesTableFigureBoxstyles"/>
            </w:pPr>
            <w:r w:rsidRPr="00C1603D">
              <w:rPr>
                <w:rFonts w:eastAsia="Arial"/>
                <w:noProof/>
              </w:rPr>
              <w:t xml:space="preserve">Agardh </w:t>
            </w:r>
            <w:r w:rsidRPr="00C1603D">
              <w:rPr>
                <w:rFonts w:eastAsia="Arial"/>
                <w:i/>
                <w:iCs/>
                <w:noProof/>
              </w:rPr>
              <w:t>et al</w:t>
            </w:r>
            <w:r w:rsidRPr="00C1603D">
              <w:rPr>
                <w:rFonts w:eastAsia="Arial"/>
                <w:noProof/>
              </w:rPr>
              <w:t>.</w:t>
            </w:r>
            <w:r w:rsidR="008B4DF8" w:rsidRPr="00C1603D">
              <w:rPr>
                <w:rFonts w:eastAsia="Arial"/>
                <w:noProof/>
                <w:vertAlign w:val="superscript"/>
              </w:rPr>
              <w:t>371</w:t>
            </w:r>
          </w:p>
        </w:tc>
      </w:tr>
      <w:tr w:rsidR="008B4DF8" w:rsidRPr="00C1603D" w14:paraId="19802214" w14:textId="77777777" w:rsidTr="00943414">
        <w:trPr>
          <w:cantSplit/>
        </w:trPr>
        <w:tc>
          <w:tcPr>
            <w:tcW w:w="630" w:type="dxa"/>
            <w:shd w:val="clear" w:color="auto" w:fill="FFFFFF"/>
            <w:tcMar>
              <w:top w:w="0" w:type="dxa"/>
              <w:left w:w="0" w:type="dxa"/>
              <w:bottom w:w="0" w:type="dxa"/>
              <w:right w:w="0" w:type="dxa"/>
            </w:tcMar>
          </w:tcPr>
          <w:p w14:paraId="7D7C0F12" w14:textId="77777777" w:rsidR="008B4DF8" w:rsidRPr="00C1603D" w:rsidRDefault="008B4DF8" w:rsidP="00943414">
            <w:pPr>
              <w:pStyle w:val="72TabletextTablesTableFigureBoxstyles"/>
            </w:pPr>
            <w:r w:rsidRPr="00C1603D">
              <w:rPr>
                <w:rFonts w:eastAsia="Arial"/>
              </w:rPr>
              <w:t>Adults</w:t>
            </w:r>
          </w:p>
        </w:tc>
        <w:tc>
          <w:tcPr>
            <w:tcW w:w="827" w:type="dxa"/>
            <w:shd w:val="clear" w:color="auto" w:fill="FFFFFF"/>
            <w:tcMar>
              <w:top w:w="0" w:type="dxa"/>
              <w:left w:w="0" w:type="dxa"/>
              <w:bottom w:w="0" w:type="dxa"/>
              <w:right w:w="0" w:type="dxa"/>
            </w:tcMar>
          </w:tcPr>
          <w:p w14:paraId="1B5B2C7D"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1248" w:type="dxa"/>
            <w:shd w:val="clear" w:color="auto" w:fill="FFFFFF"/>
            <w:tcMar>
              <w:top w:w="0" w:type="dxa"/>
              <w:left w:w="0" w:type="dxa"/>
              <w:bottom w:w="0" w:type="dxa"/>
              <w:right w:w="0" w:type="dxa"/>
            </w:tcMar>
          </w:tcPr>
          <w:p w14:paraId="13C67022" w14:textId="77777777" w:rsidR="008B4DF8" w:rsidRPr="00C1603D" w:rsidRDefault="008B4DF8" w:rsidP="00943414">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3EC88F16" w14:textId="77777777" w:rsidR="008B4DF8" w:rsidRPr="00C1603D" w:rsidRDefault="008B4DF8" w:rsidP="00943414">
            <w:pPr>
              <w:pStyle w:val="72TabletextTablesTableFigureBoxstyles"/>
            </w:pPr>
            <w:r w:rsidRPr="00C1603D">
              <w:rPr>
                <w:rFonts w:eastAsia="Arial"/>
              </w:rPr>
              <w:t>800</w:t>
            </w:r>
          </w:p>
        </w:tc>
        <w:tc>
          <w:tcPr>
            <w:tcW w:w="654" w:type="dxa"/>
            <w:shd w:val="clear" w:color="auto" w:fill="FFFFFF"/>
            <w:tcMar>
              <w:top w:w="0" w:type="dxa"/>
              <w:left w:w="0" w:type="dxa"/>
              <w:bottom w:w="0" w:type="dxa"/>
              <w:right w:w="0" w:type="dxa"/>
            </w:tcMar>
          </w:tcPr>
          <w:p w14:paraId="2F260474" w14:textId="1A2DA0DB"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1208" w:type="dxa"/>
            <w:shd w:val="clear" w:color="auto" w:fill="FFFFFF"/>
            <w:tcMar>
              <w:top w:w="0" w:type="dxa"/>
              <w:left w:w="0" w:type="dxa"/>
              <w:bottom w:w="0" w:type="dxa"/>
              <w:right w:w="0" w:type="dxa"/>
            </w:tcMar>
          </w:tcPr>
          <w:p w14:paraId="6085983A" w14:textId="77777777" w:rsidR="008B4DF8" w:rsidRPr="00C1603D" w:rsidRDefault="008B4DF8" w:rsidP="00943414">
            <w:pPr>
              <w:pStyle w:val="72TabletextTablesTableFigureBoxstyles"/>
            </w:pPr>
            <w:r w:rsidRPr="00C1603D">
              <w:rPr>
                <w:rFonts w:eastAsia="Arial"/>
              </w:rPr>
              <w:t>People without osteoporosis</w:t>
            </w:r>
          </w:p>
        </w:tc>
        <w:tc>
          <w:tcPr>
            <w:tcW w:w="1010" w:type="dxa"/>
            <w:shd w:val="clear" w:color="auto" w:fill="FFFFFF"/>
            <w:tcMar>
              <w:top w:w="0" w:type="dxa"/>
              <w:left w:w="0" w:type="dxa"/>
              <w:bottom w:w="0" w:type="dxa"/>
              <w:right w:w="0" w:type="dxa"/>
            </w:tcMar>
          </w:tcPr>
          <w:p w14:paraId="002DCADB" w14:textId="73737B6A"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1099" w:type="dxa"/>
            <w:shd w:val="clear" w:color="auto" w:fill="FFFFFF"/>
            <w:tcMar>
              <w:top w:w="0" w:type="dxa"/>
              <w:left w:w="0" w:type="dxa"/>
              <w:bottom w:w="0" w:type="dxa"/>
              <w:right w:w="0" w:type="dxa"/>
            </w:tcMar>
          </w:tcPr>
          <w:p w14:paraId="77CBE89B" w14:textId="77777777" w:rsidR="008B4DF8" w:rsidRPr="00C1603D" w:rsidRDefault="008B4DF8" w:rsidP="00943414">
            <w:pPr>
              <w:pStyle w:val="72TabletextTablesTableFigureBoxstyles"/>
            </w:pPr>
            <w:r w:rsidRPr="00C1603D">
              <w:rPr>
                <w:rFonts w:eastAsia="Arial"/>
              </w:rPr>
              <w:t>Primary and secondary</w:t>
            </w:r>
          </w:p>
        </w:tc>
        <w:tc>
          <w:tcPr>
            <w:tcW w:w="892" w:type="dxa"/>
            <w:shd w:val="clear" w:color="auto" w:fill="FFFFFF"/>
            <w:tcMar>
              <w:top w:w="0" w:type="dxa"/>
              <w:left w:w="0" w:type="dxa"/>
              <w:bottom w:w="0" w:type="dxa"/>
              <w:right w:w="0" w:type="dxa"/>
            </w:tcMar>
          </w:tcPr>
          <w:p w14:paraId="64A7733A" w14:textId="77777777" w:rsidR="008B4DF8" w:rsidRPr="00C1603D" w:rsidRDefault="008B4DF8" w:rsidP="00943414">
            <w:pPr>
              <w:pStyle w:val="72TabletextTablesTableFigureBoxstyles"/>
            </w:pPr>
            <w:r w:rsidRPr="00C1603D">
              <w:rPr>
                <w:rFonts w:eastAsia="Arial"/>
              </w:rPr>
              <w:t>USA</w:t>
            </w:r>
          </w:p>
        </w:tc>
        <w:tc>
          <w:tcPr>
            <w:tcW w:w="814" w:type="dxa"/>
            <w:shd w:val="clear" w:color="auto" w:fill="FFFFFF"/>
            <w:tcMar>
              <w:top w:w="0" w:type="dxa"/>
              <w:left w:w="0" w:type="dxa"/>
              <w:bottom w:w="0" w:type="dxa"/>
              <w:right w:w="0" w:type="dxa"/>
            </w:tcMar>
          </w:tcPr>
          <w:p w14:paraId="06FC561C" w14:textId="5AE2ED9E" w:rsidR="008B4DF8" w:rsidRPr="00C1603D" w:rsidRDefault="00244483"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8B4DF8" w:rsidRPr="00C1603D" w14:paraId="01F650E3" w14:textId="77777777" w:rsidTr="00943414">
        <w:trPr>
          <w:cantSplit/>
        </w:trPr>
        <w:tc>
          <w:tcPr>
            <w:tcW w:w="630" w:type="dxa"/>
            <w:shd w:val="clear" w:color="auto" w:fill="FFFFFF"/>
            <w:tcMar>
              <w:top w:w="0" w:type="dxa"/>
              <w:left w:w="0" w:type="dxa"/>
              <w:bottom w:w="0" w:type="dxa"/>
              <w:right w:w="0" w:type="dxa"/>
            </w:tcMar>
          </w:tcPr>
          <w:p w14:paraId="63A80BB1" w14:textId="77777777" w:rsidR="008B4DF8" w:rsidRPr="00C1603D" w:rsidRDefault="008B4DF8" w:rsidP="00943414">
            <w:pPr>
              <w:pStyle w:val="72TabletextTablesTableFigureBoxstyles"/>
            </w:pPr>
            <w:r w:rsidRPr="00C1603D">
              <w:rPr>
                <w:rFonts w:eastAsia="Arial"/>
              </w:rPr>
              <w:t>Adults</w:t>
            </w:r>
          </w:p>
        </w:tc>
        <w:tc>
          <w:tcPr>
            <w:tcW w:w="827" w:type="dxa"/>
            <w:shd w:val="clear" w:color="auto" w:fill="FFFFFF"/>
            <w:tcMar>
              <w:top w:w="0" w:type="dxa"/>
              <w:left w:w="0" w:type="dxa"/>
              <w:bottom w:w="0" w:type="dxa"/>
              <w:right w:w="0" w:type="dxa"/>
            </w:tcMar>
          </w:tcPr>
          <w:p w14:paraId="40D56882"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1248" w:type="dxa"/>
            <w:shd w:val="clear" w:color="auto" w:fill="FFFFFF"/>
            <w:tcMar>
              <w:top w:w="0" w:type="dxa"/>
              <w:left w:w="0" w:type="dxa"/>
              <w:bottom w:w="0" w:type="dxa"/>
              <w:right w:w="0" w:type="dxa"/>
            </w:tcMar>
          </w:tcPr>
          <w:p w14:paraId="56170995" w14:textId="77777777" w:rsidR="008B4DF8" w:rsidRPr="00C1603D" w:rsidRDefault="008B4DF8" w:rsidP="00943414">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4CD78879" w14:textId="77777777" w:rsidR="008B4DF8" w:rsidRPr="00C1603D" w:rsidRDefault="008B4DF8" w:rsidP="00943414">
            <w:pPr>
              <w:pStyle w:val="72TabletextTablesTableFigureBoxstyles"/>
            </w:pPr>
            <w:r w:rsidRPr="00C1603D">
              <w:rPr>
                <w:rFonts w:eastAsia="Arial"/>
              </w:rPr>
              <w:t>843</w:t>
            </w:r>
          </w:p>
        </w:tc>
        <w:tc>
          <w:tcPr>
            <w:tcW w:w="654" w:type="dxa"/>
            <w:shd w:val="clear" w:color="auto" w:fill="FFFFFF"/>
            <w:tcMar>
              <w:top w:w="0" w:type="dxa"/>
              <w:left w:w="0" w:type="dxa"/>
              <w:bottom w:w="0" w:type="dxa"/>
              <w:right w:w="0" w:type="dxa"/>
            </w:tcMar>
          </w:tcPr>
          <w:p w14:paraId="039B60A7" w14:textId="6380A70E"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1208" w:type="dxa"/>
            <w:shd w:val="clear" w:color="auto" w:fill="FFFFFF"/>
            <w:tcMar>
              <w:top w:w="0" w:type="dxa"/>
              <w:left w:w="0" w:type="dxa"/>
              <w:bottom w:w="0" w:type="dxa"/>
              <w:right w:w="0" w:type="dxa"/>
            </w:tcMar>
          </w:tcPr>
          <w:p w14:paraId="7AD7A036" w14:textId="77777777" w:rsidR="008B4DF8" w:rsidRPr="00C1603D" w:rsidRDefault="008B4DF8" w:rsidP="00943414">
            <w:pPr>
              <w:pStyle w:val="72TabletextTablesTableFigureBoxstyles"/>
            </w:pPr>
            <w:r w:rsidRPr="00C1603D">
              <w:rPr>
                <w:rFonts w:eastAsia="Arial"/>
              </w:rPr>
              <w:t>People without osteoporosis</w:t>
            </w:r>
          </w:p>
        </w:tc>
        <w:tc>
          <w:tcPr>
            <w:tcW w:w="1010" w:type="dxa"/>
            <w:shd w:val="clear" w:color="auto" w:fill="FFFFFF"/>
            <w:tcMar>
              <w:top w:w="0" w:type="dxa"/>
              <w:left w:w="0" w:type="dxa"/>
              <w:bottom w:w="0" w:type="dxa"/>
              <w:right w:w="0" w:type="dxa"/>
            </w:tcMar>
          </w:tcPr>
          <w:p w14:paraId="3D2A24A3" w14:textId="6B423E23"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1099" w:type="dxa"/>
            <w:shd w:val="clear" w:color="auto" w:fill="FFFFFF"/>
            <w:tcMar>
              <w:top w:w="0" w:type="dxa"/>
              <w:left w:w="0" w:type="dxa"/>
              <w:bottom w:w="0" w:type="dxa"/>
              <w:right w:w="0" w:type="dxa"/>
            </w:tcMar>
          </w:tcPr>
          <w:p w14:paraId="14CC6625" w14:textId="77777777" w:rsidR="008B4DF8" w:rsidRPr="00C1603D" w:rsidRDefault="008B4DF8" w:rsidP="00943414">
            <w:pPr>
              <w:pStyle w:val="72TabletextTablesTableFigureBoxstyles"/>
            </w:pPr>
            <w:r w:rsidRPr="00C1603D">
              <w:rPr>
                <w:rFonts w:eastAsia="Arial"/>
              </w:rPr>
              <w:t>Community</w:t>
            </w:r>
          </w:p>
        </w:tc>
        <w:tc>
          <w:tcPr>
            <w:tcW w:w="892" w:type="dxa"/>
            <w:shd w:val="clear" w:color="auto" w:fill="FFFFFF"/>
            <w:tcMar>
              <w:top w:w="0" w:type="dxa"/>
              <w:left w:w="0" w:type="dxa"/>
              <w:bottom w:w="0" w:type="dxa"/>
              <w:right w:w="0" w:type="dxa"/>
            </w:tcMar>
          </w:tcPr>
          <w:p w14:paraId="0077669F" w14:textId="4F52E0C7" w:rsidR="008B4DF8" w:rsidRPr="00C1603D" w:rsidRDefault="008B4DF8" w:rsidP="00943414">
            <w:pPr>
              <w:pStyle w:val="72TabletextTablesTableFigureBoxstyles"/>
            </w:pPr>
            <w:r w:rsidRPr="00C1603D">
              <w:rPr>
                <w:rFonts w:eastAsia="Arial"/>
              </w:rPr>
              <w:t>US</w:t>
            </w:r>
            <w:r w:rsidR="00244483" w:rsidRPr="00C1603D">
              <w:rPr>
                <w:rFonts w:eastAsia="Arial"/>
              </w:rPr>
              <w:t>A</w:t>
            </w:r>
          </w:p>
        </w:tc>
        <w:tc>
          <w:tcPr>
            <w:tcW w:w="814" w:type="dxa"/>
            <w:shd w:val="clear" w:color="auto" w:fill="FFFFFF"/>
            <w:tcMar>
              <w:top w:w="0" w:type="dxa"/>
              <w:left w:w="0" w:type="dxa"/>
              <w:bottom w:w="0" w:type="dxa"/>
              <w:right w:w="0" w:type="dxa"/>
            </w:tcMar>
          </w:tcPr>
          <w:p w14:paraId="7FA898AE" w14:textId="7F1CADC9" w:rsidR="008B4DF8" w:rsidRPr="00C1603D" w:rsidRDefault="00244483" w:rsidP="00943414">
            <w:pPr>
              <w:pStyle w:val="72TabletextTablesTableFigureBoxstyles"/>
            </w:pPr>
            <w:r w:rsidRPr="00C1603D">
              <w:rPr>
                <w:rFonts w:eastAsia="Arial"/>
                <w:noProof/>
              </w:rPr>
              <w:t xml:space="preserve">Choung </w:t>
            </w:r>
            <w:r w:rsidRPr="00C1603D">
              <w:rPr>
                <w:rFonts w:eastAsia="Arial"/>
                <w:i/>
                <w:iCs/>
                <w:noProof/>
              </w:rPr>
              <w:t>et al</w:t>
            </w:r>
            <w:r w:rsidRPr="00C1603D">
              <w:rPr>
                <w:rFonts w:eastAsia="Arial"/>
                <w:noProof/>
              </w:rPr>
              <w:t>.</w:t>
            </w:r>
            <w:r w:rsidR="008B4DF8" w:rsidRPr="00C1603D">
              <w:rPr>
                <w:rFonts w:eastAsia="Arial"/>
                <w:noProof/>
                <w:vertAlign w:val="superscript"/>
              </w:rPr>
              <w:t>373</w:t>
            </w:r>
          </w:p>
        </w:tc>
      </w:tr>
      <w:tr w:rsidR="008B4DF8" w:rsidRPr="00C1603D" w14:paraId="3442EC06" w14:textId="77777777" w:rsidTr="00943414">
        <w:trPr>
          <w:cantSplit/>
        </w:trPr>
        <w:tc>
          <w:tcPr>
            <w:tcW w:w="630" w:type="dxa"/>
            <w:shd w:val="clear" w:color="auto" w:fill="FFFFFF"/>
            <w:tcMar>
              <w:top w:w="0" w:type="dxa"/>
              <w:left w:w="0" w:type="dxa"/>
              <w:bottom w:w="0" w:type="dxa"/>
              <w:right w:w="0" w:type="dxa"/>
            </w:tcMar>
          </w:tcPr>
          <w:p w14:paraId="6189D547" w14:textId="77777777" w:rsidR="008B4DF8" w:rsidRPr="00C1603D" w:rsidRDefault="008B4DF8" w:rsidP="00943414">
            <w:pPr>
              <w:pStyle w:val="72TabletextTablesTableFigureBoxstyles"/>
            </w:pPr>
            <w:r w:rsidRPr="00C1603D">
              <w:rPr>
                <w:rFonts w:eastAsia="Arial"/>
              </w:rPr>
              <w:t>Mixed</w:t>
            </w:r>
          </w:p>
        </w:tc>
        <w:tc>
          <w:tcPr>
            <w:tcW w:w="827" w:type="dxa"/>
            <w:shd w:val="clear" w:color="auto" w:fill="FFFFFF"/>
            <w:tcMar>
              <w:top w:w="0" w:type="dxa"/>
              <w:left w:w="0" w:type="dxa"/>
              <w:bottom w:w="0" w:type="dxa"/>
              <w:right w:w="0" w:type="dxa"/>
            </w:tcMar>
          </w:tcPr>
          <w:p w14:paraId="7FC7E334" w14:textId="739D1BE4"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(CD)</w:t>
            </w:r>
          </w:p>
        </w:tc>
        <w:tc>
          <w:tcPr>
            <w:tcW w:w="1248" w:type="dxa"/>
            <w:shd w:val="clear" w:color="auto" w:fill="FFFFFF"/>
            <w:tcMar>
              <w:top w:w="0" w:type="dxa"/>
              <w:left w:w="0" w:type="dxa"/>
              <w:bottom w:w="0" w:type="dxa"/>
              <w:right w:w="0" w:type="dxa"/>
            </w:tcMar>
          </w:tcPr>
          <w:p w14:paraId="32642DA4" w14:textId="77777777" w:rsidR="008B4DF8" w:rsidRPr="00C1603D" w:rsidRDefault="008B4DF8" w:rsidP="00943414">
            <w:pPr>
              <w:pStyle w:val="72TabletextTablesTableFigureBoxstyles"/>
            </w:pPr>
            <w:r w:rsidRPr="00C1603D">
              <w:rPr>
                <w:rFonts w:eastAsia="Arial"/>
              </w:rPr>
              <w:t>Osteoporosis</w:t>
            </w:r>
          </w:p>
        </w:tc>
        <w:tc>
          <w:tcPr>
            <w:tcW w:w="644" w:type="dxa"/>
            <w:shd w:val="clear" w:color="auto" w:fill="FFFFFF"/>
            <w:tcMar>
              <w:top w:w="0" w:type="dxa"/>
              <w:left w:w="0" w:type="dxa"/>
              <w:bottom w:w="0" w:type="dxa"/>
              <w:right w:w="0" w:type="dxa"/>
            </w:tcMar>
          </w:tcPr>
          <w:p w14:paraId="4837A7D9" w14:textId="306BF2CC" w:rsidR="008B4DF8" w:rsidRPr="00C1603D" w:rsidRDefault="008B4DF8" w:rsidP="00943414">
            <w:pPr>
              <w:pStyle w:val="72TabletextTablesTableFigureBoxstyles"/>
            </w:pPr>
            <w:r w:rsidRPr="00C1603D">
              <w:rPr>
                <w:rFonts w:eastAsia="Arial"/>
              </w:rPr>
              <w:t>6963</w:t>
            </w:r>
          </w:p>
        </w:tc>
        <w:tc>
          <w:tcPr>
            <w:tcW w:w="654" w:type="dxa"/>
            <w:shd w:val="clear" w:color="auto" w:fill="FFFFFF"/>
            <w:tcMar>
              <w:top w:w="0" w:type="dxa"/>
              <w:left w:w="0" w:type="dxa"/>
              <w:bottom w:w="0" w:type="dxa"/>
              <w:right w:w="0" w:type="dxa"/>
            </w:tcMar>
          </w:tcPr>
          <w:p w14:paraId="1A2EFD4F" w14:textId="77777777" w:rsidR="008B4DF8" w:rsidRPr="00C1603D" w:rsidRDefault="008B4DF8" w:rsidP="00943414">
            <w:pPr>
              <w:pStyle w:val="72TabletextTablesTableFigureBoxstyles"/>
            </w:pPr>
            <w:r w:rsidRPr="00C1603D">
              <w:rPr>
                <w:rFonts w:eastAsia="Arial"/>
              </w:rPr>
              <w:t>NR</w:t>
            </w:r>
          </w:p>
        </w:tc>
        <w:tc>
          <w:tcPr>
            <w:tcW w:w="1208" w:type="dxa"/>
            <w:shd w:val="clear" w:color="auto" w:fill="FFFFFF"/>
            <w:tcMar>
              <w:top w:w="0" w:type="dxa"/>
              <w:left w:w="0" w:type="dxa"/>
              <w:bottom w:w="0" w:type="dxa"/>
              <w:right w:w="0" w:type="dxa"/>
            </w:tcMar>
          </w:tcPr>
          <w:p w14:paraId="17B8927F" w14:textId="77777777" w:rsidR="008B4DF8" w:rsidRPr="00C1603D" w:rsidRDefault="008B4DF8" w:rsidP="00943414">
            <w:pPr>
              <w:pStyle w:val="72TabletextTablesTableFigureBoxstyles"/>
            </w:pPr>
            <w:r w:rsidRPr="00C1603D">
              <w:rPr>
                <w:rFonts w:eastAsia="Arial"/>
              </w:rPr>
              <w:t>Patients without osteoporosis</w:t>
            </w:r>
          </w:p>
        </w:tc>
        <w:tc>
          <w:tcPr>
            <w:tcW w:w="1010" w:type="dxa"/>
            <w:shd w:val="clear" w:color="auto" w:fill="FFFFFF"/>
            <w:tcMar>
              <w:top w:w="0" w:type="dxa"/>
              <w:left w:w="0" w:type="dxa"/>
              <w:bottom w:w="0" w:type="dxa"/>
              <w:right w:w="0" w:type="dxa"/>
            </w:tcMar>
          </w:tcPr>
          <w:p w14:paraId="1ED8E0F7" w14:textId="77777777" w:rsidR="008B4DF8" w:rsidRPr="00C1603D" w:rsidRDefault="008B4DF8" w:rsidP="00943414">
            <w:pPr>
              <w:pStyle w:val="72TabletextTablesTableFigureBoxstyles"/>
            </w:pPr>
            <w:r w:rsidRPr="00C1603D">
              <w:rPr>
                <w:rFonts w:eastAsia="Arial"/>
              </w:rPr>
              <w:t>Other</w:t>
            </w:r>
          </w:p>
        </w:tc>
        <w:tc>
          <w:tcPr>
            <w:tcW w:w="1099" w:type="dxa"/>
            <w:shd w:val="clear" w:color="auto" w:fill="FFFFFF"/>
            <w:tcMar>
              <w:top w:w="0" w:type="dxa"/>
              <w:left w:w="0" w:type="dxa"/>
              <w:bottom w:w="0" w:type="dxa"/>
              <w:right w:w="0" w:type="dxa"/>
            </w:tcMar>
          </w:tcPr>
          <w:p w14:paraId="013B1A82" w14:textId="77777777" w:rsidR="008B4DF8" w:rsidRPr="00C1603D" w:rsidRDefault="008B4DF8" w:rsidP="00943414">
            <w:pPr>
              <w:pStyle w:val="72TabletextTablesTableFigureBoxstyles"/>
            </w:pPr>
            <w:r w:rsidRPr="00C1603D">
              <w:rPr>
                <w:rFonts w:eastAsia="Arial"/>
              </w:rPr>
              <w:t>Secondary</w:t>
            </w:r>
          </w:p>
        </w:tc>
        <w:tc>
          <w:tcPr>
            <w:tcW w:w="892" w:type="dxa"/>
            <w:shd w:val="clear" w:color="auto" w:fill="FFFFFF"/>
            <w:tcMar>
              <w:top w:w="0" w:type="dxa"/>
              <w:left w:w="0" w:type="dxa"/>
              <w:bottom w:w="0" w:type="dxa"/>
              <w:right w:w="0" w:type="dxa"/>
            </w:tcMar>
          </w:tcPr>
          <w:p w14:paraId="5374983C" w14:textId="77777777" w:rsidR="008B4DF8" w:rsidRPr="00C1603D" w:rsidRDefault="008B4DF8" w:rsidP="00943414">
            <w:pPr>
              <w:pStyle w:val="72TabletextTablesTableFigureBoxstyles"/>
            </w:pPr>
            <w:r w:rsidRPr="00C1603D">
              <w:rPr>
                <w:rFonts w:eastAsia="Arial"/>
              </w:rPr>
              <w:t>USA</w:t>
            </w:r>
          </w:p>
        </w:tc>
        <w:tc>
          <w:tcPr>
            <w:tcW w:w="814" w:type="dxa"/>
            <w:shd w:val="clear" w:color="auto" w:fill="FFFFFF"/>
            <w:tcMar>
              <w:top w:w="0" w:type="dxa"/>
              <w:left w:w="0" w:type="dxa"/>
              <w:bottom w:w="0" w:type="dxa"/>
              <w:right w:w="0" w:type="dxa"/>
            </w:tcMar>
          </w:tcPr>
          <w:p w14:paraId="3B0119AE" w14:textId="1503EB74" w:rsidR="008B4DF8" w:rsidRPr="00C1603D" w:rsidRDefault="00244483" w:rsidP="00943414">
            <w:pPr>
              <w:pStyle w:val="72TabletextTablesTableFigureBoxstyles"/>
            </w:pPr>
            <w:r w:rsidRPr="00C1603D">
              <w:rPr>
                <w:rFonts w:eastAsia="Arial"/>
                <w:noProof/>
              </w:rPr>
              <w:t xml:space="preserve">Shen </w:t>
            </w:r>
            <w:r w:rsidRPr="00C1603D">
              <w:rPr>
                <w:rFonts w:eastAsia="Arial"/>
                <w:i/>
                <w:iCs/>
                <w:noProof/>
              </w:rPr>
              <w:t>et al</w:t>
            </w:r>
            <w:r w:rsidRPr="00C1603D">
              <w:rPr>
                <w:rFonts w:eastAsia="Arial"/>
                <w:noProof/>
              </w:rPr>
              <w:t>.</w:t>
            </w:r>
            <w:r w:rsidR="008B4DF8" w:rsidRPr="00C1603D">
              <w:rPr>
                <w:rFonts w:eastAsia="Arial"/>
                <w:noProof/>
                <w:vertAlign w:val="superscript"/>
              </w:rPr>
              <w:t>416</w:t>
            </w:r>
          </w:p>
        </w:tc>
      </w:tr>
      <w:tr w:rsidR="00AC5206" w:rsidRPr="00C1603D" w14:paraId="52612C8C" w14:textId="77777777" w:rsidTr="002F053F">
        <w:trPr>
          <w:cantSplit/>
        </w:trPr>
        <w:tc>
          <w:tcPr>
            <w:tcW w:w="9026" w:type="dxa"/>
            <w:gridSpan w:val="10"/>
            <w:shd w:val="clear" w:color="auto" w:fill="FFFFFF"/>
            <w:tcMar>
              <w:top w:w="0" w:type="dxa"/>
              <w:left w:w="0" w:type="dxa"/>
              <w:bottom w:w="0" w:type="dxa"/>
              <w:right w:w="0" w:type="dxa"/>
            </w:tcMar>
          </w:tcPr>
          <w:p w14:paraId="739C687B" w14:textId="341FC259" w:rsidR="00AC5206" w:rsidRPr="00C1603D" w:rsidRDefault="00AC5206" w:rsidP="00AC5206">
            <w:pPr>
              <w:pStyle w:val="75TablenotesTablesTableFigureBoxstyles"/>
              <w:rPr>
                <w:rFonts w:eastAsia="Arial"/>
                <w:noProof/>
                <w:vertAlign w:val="superscript"/>
              </w:rPr>
            </w:pPr>
            <w:r w:rsidRPr="00C1603D">
              <w:rPr>
                <w:rFonts w:eastAsia="Arial"/>
                <w:noProof/>
              </w:rPr>
              <w:t>DI, diagnostic indicator; NR, not reported.</w:t>
            </w:r>
          </w:p>
        </w:tc>
      </w:tr>
    </w:tbl>
    <w:p w14:paraId="0665646C" w14:textId="2371DA75" w:rsidR="008B4DF8" w:rsidRPr="00C1603D" w:rsidRDefault="008B4DF8" w:rsidP="008B4DF8">
      <w:pPr>
        <w:pStyle w:val="70TablelegendTablesTableFigureBoxstyles"/>
      </w:pPr>
      <w:bookmarkStart w:id="604" w:name="_Toc99720754"/>
      <w:r w:rsidRPr="00C1603D">
        <w:rPr>
          <w:b/>
        </w:rPr>
        <w:t>TABLE 4</w:t>
      </w:r>
      <w:r w:rsidR="00032460" w:rsidRPr="00C1603D">
        <w:rPr>
          <w:b/>
        </w:rPr>
        <w:t>4</w:t>
      </w:r>
      <w:r w:rsidRPr="00C1603D">
        <w:rPr>
          <w:b/>
        </w:rPr>
        <w:t> </w:t>
      </w:r>
      <w:r w:rsidRPr="00C1603D">
        <w:t xml:space="preserve">Study characteristic: </w:t>
      </w:r>
      <w:r w:rsidR="00943414" w:rsidRPr="00C1603D">
        <w:t>p</w:t>
      </w:r>
      <w:r w:rsidRPr="00C1603D">
        <w:t>soriasis</w:t>
      </w:r>
      <w:bookmarkEnd w:id="604"/>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72"/>
        <w:gridCol w:w="738"/>
        <w:gridCol w:w="991"/>
        <w:gridCol w:w="710"/>
        <w:gridCol w:w="716"/>
        <w:gridCol w:w="967"/>
        <w:gridCol w:w="1449"/>
        <w:gridCol w:w="822"/>
        <w:gridCol w:w="666"/>
        <w:gridCol w:w="995"/>
      </w:tblGrid>
      <w:tr w:rsidR="00283A6F" w:rsidRPr="00C1603D" w14:paraId="7D4316F8" w14:textId="77777777" w:rsidTr="00943414">
        <w:trPr>
          <w:cantSplit/>
        </w:trPr>
        <w:tc>
          <w:tcPr>
            <w:tcW w:w="0" w:type="auto"/>
            <w:shd w:val="clear" w:color="auto" w:fill="FFFFFF"/>
            <w:tcMar>
              <w:top w:w="0" w:type="dxa"/>
              <w:left w:w="0" w:type="dxa"/>
              <w:bottom w:w="0" w:type="dxa"/>
              <w:right w:w="0" w:type="dxa"/>
            </w:tcMar>
          </w:tcPr>
          <w:p w14:paraId="7ACA2639" w14:textId="4FB14B76"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3829523E" w14:textId="6B6F207D"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2444DFFA" w14:textId="6F113601"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0151504B" w14:textId="15DAA141"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2781F1E3"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3F29647D"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200D847"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6575FB40"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7A34AFD2"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524A08DE" w14:textId="77777777" w:rsidR="001902E7" w:rsidRPr="00C1603D" w:rsidRDefault="001902E7" w:rsidP="001902E7">
            <w:pPr>
              <w:pStyle w:val="710TableheadTablesTableFigureBoxstyles"/>
            </w:pPr>
            <w:r w:rsidRPr="00C1603D">
              <w:rPr>
                <w:rFonts w:eastAsia="Arial"/>
              </w:rPr>
              <w:t>Reference</w:t>
            </w:r>
          </w:p>
        </w:tc>
      </w:tr>
      <w:tr w:rsidR="00283A6F" w:rsidRPr="00C1603D" w14:paraId="50E98C89" w14:textId="77777777" w:rsidTr="00943414">
        <w:trPr>
          <w:cantSplit/>
        </w:trPr>
        <w:tc>
          <w:tcPr>
            <w:tcW w:w="0" w:type="auto"/>
            <w:shd w:val="clear" w:color="auto" w:fill="FFFFFF"/>
            <w:tcMar>
              <w:top w:w="0" w:type="dxa"/>
              <w:left w:w="0" w:type="dxa"/>
              <w:bottom w:w="0" w:type="dxa"/>
              <w:right w:w="0" w:type="dxa"/>
            </w:tcMar>
          </w:tcPr>
          <w:p w14:paraId="11D51EA2" w14:textId="77777777" w:rsidR="008B4DF8" w:rsidRPr="00C1603D" w:rsidRDefault="008B4DF8" w:rsidP="00943414">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3804EE1D" w14:textId="5F8088D4"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02FB065" w14:textId="77777777" w:rsidR="008B4DF8" w:rsidRPr="00C1603D" w:rsidRDefault="008B4DF8" w:rsidP="00943414">
            <w:pPr>
              <w:pStyle w:val="72TabletextTablesTableFigureBoxstyles"/>
            </w:pPr>
            <w:r w:rsidRPr="00C1603D">
              <w:rPr>
                <w:rFonts w:eastAsia="Arial"/>
              </w:rPr>
              <w:t>Psoriasis</w:t>
            </w:r>
          </w:p>
        </w:tc>
        <w:tc>
          <w:tcPr>
            <w:tcW w:w="0" w:type="auto"/>
            <w:shd w:val="clear" w:color="auto" w:fill="FFFFFF"/>
            <w:tcMar>
              <w:top w:w="0" w:type="dxa"/>
              <w:left w:w="0" w:type="dxa"/>
              <w:bottom w:w="0" w:type="dxa"/>
              <w:right w:w="0" w:type="dxa"/>
            </w:tcMar>
          </w:tcPr>
          <w:p w14:paraId="308ECEB6" w14:textId="77777777" w:rsidR="008B4DF8" w:rsidRPr="00C1603D" w:rsidRDefault="008B4DF8" w:rsidP="00943414">
            <w:pPr>
              <w:pStyle w:val="72TabletextTablesTableFigureBoxstyles"/>
            </w:pPr>
            <w:r w:rsidRPr="00C1603D">
              <w:rPr>
                <w:rFonts w:eastAsia="Arial"/>
              </w:rPr>
              <w:t>482</w:t>
            </w:r>
          </w:p>
        </w:tc>
        <w:tc>
          <w:tcPr>
            <w:tcW w:w="0" w:type="auto"/>
            <w:shd w:val="clear" w:color="auto" w:fill="FFFFFF"/>
            <w:tcMar>
              <w:top w:w="0" w:type="dxa"/>
              <w:left w:w="0" w:type="dxa"/>
              <w:bottom w:w="0" w:type="dxa"/>
              <w:right w:w="0" w:type="dxa"/>
            </w:tcMar>
          </w:tcPr>
          <w:p w14:paraId="719CE28C" w14:textId="7F286DE4"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AAC0B2C" w14:textId="77777777" w:rsidR="008B4DF8" w:rsidRPr="00C1603D" w:rsidRDefault="008B4DF8" w:rsidP="00943414">
            <w:pPr>
              <w:pStyle w:val="72TabletextTablesTableFigureBoxstyles"/>
            </w:pPr>
            <w:r w:rsidRPr="00C1603D">
              <w:rPr>
                <w:rFonts w:eastAsia="Arial"/>
              </w:rPr>
              <w:t>General population</w:t>
            </w:r>
          </w:p>
        </w:tc>
        <w:tc>
          <w:tcPr>
            <w:tcW w:w="0" w:type="auto"/>
            <w:shd w:val="clear" w:color="auto" w:fill="FFFFFF"/>
            <w:tcMar>
              <w:top w:w="0" w:type="dxa"/>
              <w:left w:w="0" w:type="dxa"/>
              <w:bottom w:w="0" w:type="dxa"/>
              <w:right w:w="0" w:type="dxa"/>
            </w:tcMar>
          </w:tcPr>
          <w:p w14:paraId="253569A2" w14:textId="08D47C55"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D222CBE" w14:textId="77777777" w:rsidR="008B4DF8" w:rsidRPr="00C1603D" w:rsidRDefault="008B4DF8" w:rsidP="00943414">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731B3409"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75A83441" w14:textId="4A881095" w:rsidR="008B4DF8" w:rsidRPr="00C1603D" w:rsidRDefault="00283A6F" w:rsidP="00943414">
            <w:pPr>
              <w:pStyle w:val="72TabletextTablesTableFigureBoxstyles"/>
            </w:pPr>
            <w:r w:rsidRPr="00C1603D">
              <w:rPr>
                <w:rFonts w:eastAsia="Arial"/>
                <w:noProof/>
              </w:rPr>
              <w:t xml:space="preserve">De Bastiani </w:t>
            </w:r>
            <w:r w:rsidRPr="00C1603D">
              <w:rPr>
                <w:rFonts w:eastAsia="Arial"/>
                <w:i/>
                <w:iCs/>
                <w:noProof/>
              </w:rPr>
              <w:t>et al</w:t>
            </w:r>
            <w:r w:rsidRPr="00C1603D">
              <w:rPr>
                <w:rFonts w:eastAsia="Arial"/>
                <w:noProof/>
              </w:rPr>
              <w:t>.</w:t>
            </w:r>
            <w:r w:rsidR="008B4DF8" w:rsidRPr="00C1603D">
              <w:rPr>
                <w:rFonts w:eastAsia="Arial"/>
                <w:noProof/>
                <w:vertAlign w:val="superscript"/>
              </w:rPr>
              <w:t>417</w:t>
            </w:r>
          </w:p>
        </w:tc>
      </w:tr>
      <w:tr w:rsidR="00283A6F" w:rsidRPr="00C1603D" w14:paraId="58DCCC75" w14:textId="77777777" w:rsidTr="00943414">
        <w:trPr>
          <w:cantSplit/>
        </w:trPr>
        <w:tc>
          <w:tcPr>
            <w:tcW w:w="0" w:type="auto"/>
            <w:shd w:val="clear" w:color="auto" w:fill="FFFFFF"/>
            <w:tcMar>
              <w:top w:w="0" w:type="dxa"/>
              <w:left w:w="0" w:type="dxa"/>
              <w:bottom w:w="0" w:type="dxa"/>
              <w:right w:w="0" w:type="dxa"/>
            </w:tcMar>
          </w:tcPr>
          <w:p w14:paraId="2AC14567"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3904DE5" w14:textId="770F18D7"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2091CFC" w14:textId="77777777" w:rsidR="008B4DF8" w:rsidRPr="00C1603D" w:rsidRDefault="008B4DF8" w:rsidP="00943414">
            <w:pPr>
              <w:pStyle w:val="72TabletextTablesTableFigureBoxstyles"/>
            </w:pPr>
            <w:r w:rsidRPr="00C1603D">
              <w:rPr>
                <w:rFonts w:eastAsia="Arial"/>
              </w:rPr>
              <w:t>Psoriasis</w:t>
            </w:r>
          </w:p>
        </w:tc>
        <w:tc>
          <w:tcPr>
            <w:tcW w:w="0" w:type="auto"/>
            <w:shd w:val="clear" w:color="auto" w:fill="FFFFFF"/>
            <w:tcMar>
              <w:top w:w="0" w:type="dxa"/>
              <w:left w:w="0" w:type="dxa"/>
              <w:bottom w:w="0" w:type="dxa"/>
              <w:right w:w="0" w:type="dxa"/>
            </w:tcMar>
          </w:tcPr>
          <w:p w14:paraId="12A9E4BD" w14:textId="77777777" w:rsidR="008B4DF8" w:rsidRPr="00C1603D" w:rsidRDefault="008B4DF8" w:rsidP="00943414">
            <w:pPr>
              <w:pStyle w:val="72TabletextTablesTableFigureBoxstyles"/>
            </w:pPr>
            <w:r w:rsidRPr="00C1603D">
              <w:rPr>
                <w:rFonts w:eastAsia="Arial"/>
              </w:rPr>
              <w:t>87</w:t>
            </w:r>
          </w:p>
        </w:tc>
        <w:tc>
          <w:tcPr>
            <w:tcW w:w="0" w:type="auto"/>
            <w:shd w:val="clear" w:color="auto" w:fill="FFFFFF"/>
            <w:tcMar>
              <w:top w:w="0" w:type="dxa"/>
              <w:left w:w="0" w:type="dxa"/>
              <w:bottom w:w="0" w:type="dxa"/>
              <w:right w:w="0" w:type="dxa"/>
            </w:tcMar>
          </w:tcPr>
          <w:p w14:paraId="1AB8DD6F" w14:textId="4D0CCB13"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113BCB2"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D3ADC8C" w14:textId="0DFA4DFB"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462B9F35"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2877E83"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730D1B4A" w14:textId="4B978F62" w:rsidR="008B4DF8" w:rsidRPr="00C1603D" w:rsidRDefault="00283A6F" w:rsidP="00943414">
            <w:pPr>
              <w:pStyle w:val="72TabletextTablesTableFigureBoxstyles"/>
            </w:pPr>
            <w:r w:rsidRPr="00C1603D">
              <w:rPr>
                <w:rFonts w:eastAsia="Arial"/>
                <w:noProof/>
              </w:rPr>
              <w:t xml:space="preserve">Akbulut </w:t>
            </w:r>
            <w:r w:rsidRPr="00C1603D">
              <w:rPr>
                <w:rFonts w:eastAsia="Arial"/>
                <w:i/>
                <w:iCs/>
                <w:noProof/>
              </w:rPr>
              <w:t>et al</w:t>
            </w:r>
            <w:r w:rsidRPr="00C1603D">
              <w:rPr>
                <w:rFonts w:eastAsia="Arial"/>
                <w:noProof/>
              </w:rPr>
              <w:t>.</w:t>
            </w:r>
            <w:r w:rsidR="008B4DF8" w:rsidRPr="00C1603D">
              <w:rPr>
                <w:rFonts w:eastAsia="Arial"/>
                <w:noProof/>
                <w:vertAlign w:val="superscript"/>
              </w:rPr>
              <w:t>418</w:t>
            </w:r>
          </w:p>
        </w:tc>
      </w:tr>
      <w:tr w:rsidR="00283A6F" w:rsidRPr="00C1603D" w14:paraId="0FA939F5" w14:textId="77777777" w:rsidTr="00943414">
        <w:trPr>
          <w:cantSplit/>
        </w:trPr>
        <w:tc>
          <w:tcPr>
            <w:tcW w:w="0" w:type="auto"/>
            <w:shd w:val="clear" w:color="auto" w:fill="FFFFFF"/>
            <w:tcMar>
              <w:top w:w="0" w:type="dxa"/>
              <w:left w:w="0" w:type="dxa"/>
              <w:bottom w:w="0" w:type="dxa"/>
              <w:right w:w="0" w:type="dxa"/>
            </w:tcMar>
          </w:tcPr>
          <w:p w14:paraId="299C97F8" w14:textId="77777777" w:rsidR="008B4DF8" w:rsidRPr="00C1603D" w:rsidRDefault="008B4DF8" w:rsidP="00943414">
            <w:pPr>
              <w:pStyle w:val="72TabletextTablesTableFigureBoxstyles"/>
              <w:rPr>
                <w:rFonts w:eastAsia="Arial"/>
              </w:rPr>
            </w:pPr>
            <w:r w:rsidRPr="00C1603D">
              <w:rPr>
                <w:rFonts w:eastAsia="Arial"/>
              </w:rPr>
              <w:t>Adults</w:t>
            </w:r>
          </w:p>
        </w:tc>
        <w:tc>
          <w:tcPr>
            <w:tcW w:w="0" w:type="auto"/>
            <w:shd w:val="clear" w:color="auto" w:fill="FFFFFF"/>
            <w:tcMar>
              <w:top w:w="0" w:type="dxa"/>
              <w:left w:w="0" w:type="dxa"/>
              <w:bottom w:w="0" w:type="dxa"/>
              <w:right w:w="0" w:type="dxa"/>
            </w:tcMar>
          </w:tcPr>
          <w:p w14:paraId="777EDB68" w14:textId="39480E5C" w:rsidR="008B4DF8" w:rsidRPr="00C1603D" w:rsidRDefault="00B25FE9" w:rsidP="00943414">
            <w:pPr>
              <w:pStyle w:val="72TabletextTablesTableFigureBoxstyles"/>
              <w:rPr>
                <w:rFonts w:eastAsia="Arial"/>
              </w:rPr>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8B42E93" w14:textId="77777777" w:rsidR="008B4DF8" w:rsidRPr="00C1603D" w:rsidRDefault="008B4DF8" w:rsidP="00943414">
            <w:pPr>
              <w:pStyle w:val="72TabletextTablesTableFigureBoxstyles"/>
              <w:rPr>
                <w:rFonts w:eastAsia="Arial"/>
              </w:rPr>
            </w:pPr>
            <w:r w:rsidRPr="00C1603D">
              <w:rPr>
                <w:rFonts w:eastAsia="Arial"/>
              </w:rPr>
              <w:t>Chronic plaque psoriasis</w:t>
            </w:r>
          </w:p>
        </w:tc>
        <w:tc>
          <w:tcPr>
            <w:tcW w:w="0" w:type="auto"/>
            <w:shd w:val="clear" w:color="auto" w:fill="FFFFFF"/>
            <w:tcMar>
              <w:top w:w="0" w:type="dxa"/>
              <w:left w:w="0" w:type="dxa"/>
              <w:bottom w:w="0" w:type="dxa"/>
              <w:right w:w="0" w:type="dxa"/>
            </w:tcMar>
          </w:tcPr>
          <w:p w14:paraId="136B98BE" w14:textId="77777777" w:rsidR="008B4DF8" w:rsidRPr="00C1603D" w:rsidRDefault="008B4DF8" w:rsidP="00943414">
            <w:pPr>
              <w:pStyle w:val="72TabletextTablesTableFigureBoxstyles"/>
              <w:rPr>
                <w:rFonts w:eastAsia="Arial"/>
              </w:rPr>
            </w:pPr>
            <w:r w:rsidRPr="00C1603D">
              <w:rPr>
                <w:rFonts w:eastAsia="Arial"/>
              </w:rPr>
              <w:t>160</w:t>
            </w:r>
          </w:p>
        </w:tc>
        <w:tc>
          <w:tcPr>
            <w:tcW w:w="0" w:type="auto"/>
            <w:shd w:val="clear" w:color="auto" w:fill="FFFFFF"/>
            <w:tcMar>
              <w:top w:w="0" w:type="dxa"/>
              <w:left w:w="0" w:type="dxa"/>
              <w:bottom w:w="0" w:type="dxa"/>
              <w:right w:w="0" w:type="dxa"/>
            </w:tcMar>
          </w:tcPr>
          <w:p w14:paraId="21CF749C" w14:textId="7ED76C7E" w:rsidR="008B4DF8" w:rsidRPr="00C1603D" w:rsidRDefault="008B4DF8" w:rsidP="00943414">
            <w:pPr>
              <w:pStyle w:val="72TabletextTablesTableFigureBoxstyles"/>
              <w:rPr>
                <w:rFonts w:eastAsia="Arial"/>
              </w:rPr>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2EB9585E" w14:textId="77777777" w:rsidR="008B4DF8" w:rsidRPr="00C1603D" w:rsidRDefault="008B4DF8" w:rsidP="00943414">
            <w:pPr>
              <w:pStyle w:val="72TabletextTablesTableFigureBoxstyles"/>
              <w:rPr>
                <w:rFonts w:eastAsia="Arial"/>
              </w:rPr>
            </w:pPr>
            <w:r w:rsidRPr="00C1603D">
              <w:rPr>
                <w:rFonts w:eastAsia="Arial"/>
              </w:rPr>
              <w:t>Healthy controls</w:t>
            </w:r>
          </w:p>
        </w:tc>
        <w:tc>
          <w:tcPr>
            <w:tcW w:w="0" w:type="auto"/>
            <w:shd w:val="clear" w:color="auto" w:fill="FFFFFF"/>
            <w:tcMar>
              <w:top w:w="0" w:type="dxa"/>
              <w:left w:w="0" w:type="dxa"/>
              <w:bottom w:w="0" w:type="dxa"/>
              <w:right w:w="0" w:type="dxa"/>
            </w:tcMar>
          </w:tcPr>
          <w:p w14:paraId="177FE3DF" w14:textId="77777777" w:rsidR="008B4DF8" w:rsidRPr="00C1603D" w:rsidRDefault="008B4DF8" w:rsidP="00943414">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20558DB2" w14:textId="77777777" w:rsidR="008B4DF8" w:rsidRPr="00C1603D" w:rsidRDefault="008B4DF8" w:rsidP="00943414">
            <w:pPr>
              <w:pStyle w:val="72TabletextTablesTableFigureBoxstyles"/>
              <w:rPr>
                <w:rFonts w:eastAsia="Arial"/>
              </w:rPr>
            </w:pPr>
            <w:r w:rsidRPr="00C1603D">
              <w:rPr>
                <w:rFonts w:eastAsia="Arial"/>
              </w:rPr>
              <w:t>Unclear</w:t>
            </w:r>
          </w:p>
        </w:tc>
        <w:tc>
          <w:tcPr>
            <w:tcW w:w="0" w:type="auto"/>
            <w:shd w:val="clear" w:color="auto" w:fill="FFFFFF"/>
            <w:tcMar>
              <w:top w:w="0" w:type="dxa"/>
              <w:left w:w="0" w:type="dxa"/>
              <w:bottom w:w="0" w:type="dxa"/>
              <w:right w:w="0" w:type="dxa"/>
            </w:tcMar>
          </w:tcPr>
          <w:p w14:paraId="0D29BB89" w14:textId="77777777" w:rsidR="008B4DF8" w:rsidRPr="00C1603D" w:rsidRDefault="008B4DF8" w:rsidP="00943414">
            <w:pPr>
              <w:pStyle w:val="72TabletextTablesTableFigureBoxstyles"/>
              <w:rPr>
                <w:rFonts w:eastAsia="Arial"/>
              </w:rPr>
            </w:pPr>
            <w:r w:rsidRPr="00C1603D">
              <w:rPr>
                <w:rFonts w:eastAsia="Arial"/>
              </w:rPr>
              <w:t>India</w:t>
            </w:r>
          </w:p>
        </w:tc>
        <w:tc>
          <w:tcPr>
            <w:tcW w:w="0" w:type="auto"/>
            <w:shd w:val="clear" w:color="auto" w:fill="FFFFFF"/>
            <w:tcMar>
              <w:top w:w="0" w:type="dxa"/>
              <w:left w:w="0" w:type="dxa"/>
              <w:bottom w:w="0" w:type="dxa"/>
              <w:right w:w="0" w:type="dxa"/>
            </w:tcMar>
          </w:tcPr>
          <w:p w14:paraId="150C3064" w14:textId="5B2048B9" w:rsidR="008B4DF8" w:rsidRPr="00C1603D" w:rsidRDefault="00283A6F" w:rsidP="00943414">
            <w:pPr>
              <w:pStyle w:val="72TabletextTablesTableFigureBoxstyles"/>
              <w:rPr>
                <w:rFonts w:eastAsia="Arial"/>
              </w:rPr>
            </w:pPr>
            <w:r w:rsidRPr="00C1603D">
              <w:rPr>
                <w:rFonts w:eastAsia="Arial"/>
                <w:noProof/>
              </w:rPr>
              <w:t xml:space="preserve">Dhattarwal </w:t>
            </w:r>
            <w:r w:rsidRPr="00C1603D">
              <w:rPr>
                <w:rFonts w:eastAsia="Arial"/>
                <w:i/>
                <w:iCs/>
                <w:noProof/>
              </w:rPr>
              <w:t>et al</w:t>
            </w:r>
            <w:r w:rsidRPr="00C1603D">
              <w:rPr>
                <w:rFonts w:eastAsia="Arial"/>
                <w:noProof/>
              </w:rPr>
              <w:t>.</w:t>
            </w:r>
            <w:r w:rsidR="008B4DF8" w:rsidRPr="00C1603D">
              <w:rPr>
                <w:rFonts w:eastAsia="Arial"/>
                <w:noProof/>
                <w:vertAlign w:val="superscript"/>
              </w:rPr>
              <w:t>419</w:t>
            </w:r>
          </w:p>
        </w:tc>
      </w:tr>
      <w:tr w:rsidR="00283A6F" w:rsidRPr="00C1603D" w14:paraId="0996F1DB" w14:textId="77777777" w:rsidTr="00943414">
        <w:trPr>
          <w:cantSplit/>
        </w:trPr>
        <w:tc>
          <w:tcPr>
            <w:tcW w:w="0" w:type="auto"/>
            <w:shd w:val="clear" w:color="auto" w:fill="FFFFFF"/>
            <w:tcMar>
              <w:top w:w="0" w:type="dxa"/>
              <w:left w:w="0" w:type="dxa"/>
              <w:bottom w:w="0" w:type="dxa"/>
              <w:right w:w="0" w:type="dxa"/>
            </w:tcMar>
          </w:tcPr>
          <w:p w14:paraId="6A21265F"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14C9F776" w14:textId="04AB7EDA"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3272164" w14:textId="77777777" w:rsidR="008B4DF8" w:rsidRPr="00C1603D" w:rsidRDefault="008B4DF8" w:rsidP="00943414">
            <w:pPr>
              <w:pStyle w:val="72TabletextTablesTableFigureBoxstyles"/>
            </w:pPr>
            <w:r w:rsidRPr="00C1603D">
              <w:rPr>
                <w:rFonts w:eastAsia="Arial"/>
              </w:rPr>
              <w:t>Psoriasis</w:t>
            </w:r>
          </w:p>
        </w:tc>
        <w:tc>
          <w:tcPr>
            <w:tcW w:w="0" w:type="auto"/>
            <w:shd w:val="clear" w:color="auto" w:fill="FFFFFF"/>
            <w:tcMar>
              <w:top w:w="0" w:type="dxa"/>
              <w:left w:w="0" w:type="dxa"/>
              <w:bottom w:w="0" w:type="dxa"/>
              <w:right w:w="0" w:type="dxa"/>
            </w:tcMar>
          </w:tcPr>
          <w:p w14:paraId="2F38C3A9" w14:textId="77777777" w:rsidR="008B4DF8" w:rsidRPr="00C1603D" w:rsidRDefault="008B4DF8" w:rsidP="00943414">
            <w:pPr>
              <w:pStyle w:val="72TabletextTablesTableFigureBoxstyles"/>
            </w:pPr>
            <w:r w:rsidRPr="00C1603D">
              <w:rPr>
                <w:rFonts w:eastAsia="Arial"/>
              </w:rPr>
              <w:t>200</w:t>
            </w:r>
          </w:p>
        </w:tc>
        <w:tc>
          <w:tcPr>
            <w:tcW w:w="0" w:type="auto"/>
            <w:shd w:val="clear" w:color="auto" w:fill="FFFFFF"/>
            <w:tcMar>
              <w:top w:w="0" w:type="dxa"/>
              <w:left w:w="0" w:type="dxa"/>
              <w:bottom w:w="0" w:type="dxa"/>
              <w:right w:w="0" w:type="dxa"/>
            </w:tcMar>
          </w:tcPr>
          <w:p w14:paraId="2FB6E511" w14:textId="296A20C0"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67E7945"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CFF1979"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3180DC6C"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794EE2E"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67823778" w14:textId="3A2EC258" w:rsidR="008B4DF8" w:rsidRPr="00C1603D" w:rsidRDefault="00283A6F" w:rsidP="00943414">
            <w:pPr>
              <w:pStyle w:val="72TabletextTablesTableFigureBoxstyles"/>
            </w:pPr>
            <w:r w:rsidRPr="00C1603D">
              <w:rPr>
                <w:rFonts w:eastAsia="Arial"/>
                <w:noProof/>
              </w:rPr>
              <w:t xml:space="preserve">Montesu </w:t>
            </w:r>
            <w:r w:rsidRPr="00C1603D">
              <w:rPr>
                <w:rFonts w:eastAsia="Arial"/>
                <w:i/>
                <w:iCs/>
                <w:noProof/>
              </w:rPr>
              <w:t>et al</w:t>
            </w:r>
            <w:r w:rsidRPr="00C1603D">
              <w:rPr>
                <w:rFonts w:eastAsia="Arial"/>
                <w:noProof/>
              </w:rPr>
              <w:t>.</w:t>
            </w:r>
            <w:r w:rsidR="008B4DF8" w:rsidRPr="00C1603D">
              <w:rPr>
                <w:rFonts w:eastAsia="Arial"/>
                <w:noProof/>
                <w:vertAlign w:val="superscript"/>
              </w:rPr>
              <w:t>420</w:t>
            </w:r>
          </w:p>
        </w:tc>
      </w:tr>
      <w:tr w:rsidR="00283A6F" w:rsidRPr="00C1603D" w14:paraId="216AAADC" w14:textId="77777777" w:rsidTr="00943414">
        <w:trPr>
          <w:cantSplit/>
        </w:trPr>
        <w:tc>
          <w:tcPr>
            <w:tcW w:w="0" w:type="auto"/>
            <w:shd w:val="clear" w:color="auto" w:fill="FFFFFF"/>
            <w:tcMar>
              <w:top w:w="0" w:type="dxa"/>
              <w:left w:w="0" w:type="dxa"/>
              <w:bottom w:w="0" w:type="dxa"/>
              <w:right w:w="0" w:type="dxa"/>
            </w:tcMar>
          </w:tcPr>
          <w:p w14:paraId="7EC90A50"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019DA244" w14:textId="0207AC38"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766C048" w14:textId="77777777" w:rsidR="008B4DF8" w:rsidRPr="00C1603D" w:rsidRDefault="008B4DF8" w:rsidP="00943414">
            <w:pPr>
              <w:pStyle w:val="72TabletextTablesTableFigureBoxstyles"/>
            </w:pPr>
            <w:r w:rsidRPr="00C1603D">
              <w:rPr>
                <w:rFonts w:eastAsia="Arial"/>
              </w:rPr>
              <w:t>Psoriasis</w:t>
            </w:r>
          </w:p>
        </w:tc>
        <w:tc>
          <w:tcPr>
            <w:tcW w:w="0" w:type="auto"/>
            <w:shd w:val="clear" w:color="auto" w:fill="FFFFFF"/>
            <w:tcMar>
              <w:top w:w="0" w:type="dxa"/>
              <w:left w:w="0" w:type="dxa"/>
              <w:bottom w:w="0" w:type="dxa"/>
              <w:right w:w="0" w:type="dxa"/>
            </w:tcMar>
          </w:tcPr>
          <w:p w14:paraId="5BEB38C3" w14:textId="77777777" w:rsidR="008B4DF8" w:rsidRPr="00C1603D" w:rsidRDefault="008B4DF8" w:rsidP="00943414">
            <w:pPr>
              <w:pStyle w:val="72TabletextTablesTableFigureBoxstyles"/>
            </w:pPr>
            <w:r w:rsidRPr="00C1603D">
              <w:rPr>
                <w:rFonts w:eastAsia="Arial"/>
              </w:rPr>
              <w:t>82</w:t>
            </w:r>
          </w:p>
        </w:tc>
        <w:tc>
          <w:tcPr>
            <w:tcW w:w="0" w:type="auto"/>
            <w:shd w:val="clear" w:color="auto" w:fill="FFFFFF"/>
            <w:tcMar>
              <w:top w:w="0" w:type="dxa"/>
              <w:left w:w="0" w:type="dxa"/>
              <w:bottom w:w="0" w:type="dxa"/>
              <w:right w:w="0" w:type="dxa"/>
            </w:tcMar>
          </w:tcPr>
          <w:p w14:paraId="69ED756E" w14:textId="67772CB4"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5BEE45C"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74B90BD"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48FC6B0A"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6A34A4F" w14:textId="77777777" w:rsidR="008B4DF8" w:rsidRPr="00C1603D" w:rsidRDefault="008B4DF8" w:rsidP="00943414">
            <w:pPr>
              <w:pStyle w:val="72TabletextTablesTableFigureBoxstyles"/>
            </w:pPr>
            <w:r w:rsidRPr="00C1603D">
              <w:rPr>
                <w:rFonts w:eastAsia="Arial"/>
              </w:rPr>
              <w:t>Egypt</w:t>
            </w:r>
          </w:p>
        </w:tc>
        <w:tc>
          <w:tcPr>
            <w:tcW w:w="0" w:type="auto"/>
            <w:shd w:val="clear" w:color="auto" w:fill="FFFFFF"/>
            <w:tcMar>
              <w:top w:w="0" w:type="dxa"/>
              <w:left w:w="0" w:type="dxa"/>
              <w:bottom w:w="0" w:type="dxa"/>
              <w:right w:w="0" w:type="dxa"/>
            </w:tcMar>
          </w:tcPr>
          <w:p w14:paraId="11666CDA" w14:textId="5ABB42E7" w:rsidR="008B4DF8" w:rsidRPr="00C1603D" w:rsidRDefault="00283A6F" w:rsidP="00943414">
            <w:pPr>
              <w:pStyle w:val="72TabletextTablesTableFigureBoxstyles"/>
            </w:pPr>
            <w:r w:rsidRPr="00C1603D">
              <w:rPr>
                <w:rFonts w:eastAsia="Arial"/>
                <w:noProof/>
              </w:rPr>
              <w:t xml:space="preserve">Nagui </w:t>
            </w:r>
            <w:r w:rsidRPr="00C1603D">
              <w:rPr>
                <w:rFonts w:eastAsia="Arial"/>
                <w:i/>
                <w:iCs/>
                <w:noProof/>
              </w:rPr>
              <w:t>et al</w:t>
            </w:r>
            <w:r w:rsidRPr="00C1603D">
              <w:rPr>
                <w:rFonts w:eastAsia="Arial"/>
                <w:noProof/>
              </w:rPr>
              <w:t>.</w:t>
            </w:r>
            <w:r w:rsidR="008B4DF8" w:rsidRPr="00C1603D">
              <w:rPr>
                <w:rFonts w:eastAsia="Arial"/>
                <w:noProof/>
                <w:vertAlign w:val="superscript"/>
              </w:rPr>
              <w:t>421</w:t>
            </w:r>
          </w:p>
        </w:tc>
      </w:tr>
      <w:tr w:rsidR="00283A6F" w:rsidRPr="00C1603D" w14:paraId="08DEA643" w14:textId="77777777" w:rsidTr="00943414">
        <w:trPr>
          <w:cantSplit/>
        </w:trPr>
        <w:tc>
          <w:tcPr>
            <w:tcW w:w="0" w:type="auto"/>
            <w:shd w:val="clear" w:color="auto" w:fill="FFFFFF"/>
            <w:tcMar>
              <w:top w:w="0" w:type="dxa"/>
              <w:left w:w="0" w:type="dxa"/>
              <w:bottom w:w="0" w:type="dxa"/>
              <w:right w:w="0" w:type="dxa"/>
            </w:tcMar>
          </w:tcPr>
          <w:p w14:paraId="14296E3A"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1476524F" w14:textId="261FB50C"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A404CC2" w14:textId="77777777" w:rsidR="008B4DF8" w:rsidRPr="00C1603D" w:rsidRDefault="008B4DF8" w:rsidP="00943414">
            <w:pPr>
              <w:pStyle w:val="72TabletextTablesTableFigureBoxstyles"/>
            </w:pPr>
            <w:r w:rsidRPr="00C1603D">
              <w:rPr>
                <w:rFonts w:eastAsia="Arial"/>
              </w:rPr>
              <w:t>Psoriasis</w:t>
            </w:r>
          </w:p>
        </w:tc>
        <w:tc>
          <w:tcPr>
            <w:tcW w:w="0" w:type="auto"/>
            <w:shd w:val="clear" w:color="auto" w:fill="FFFFFF"/>
            <w:tcMar>
              <w:top w:w="0" w:type="dxa"/>
              <w:left w:w="0" w:type="dxa"/>
              <w:bottom w:w="0" w:type="dxa"/>
              <w:right w:w="0" w:type="dxa"/>
            </w:tcMar>
          </w:tcPr>
          <w:p w14:paraId="2FCD80D3" w14:textId="77777777" w:rsidR="008B4DF8" w:rsidRPr="00C1603D" w:rsidRDefault="008B4DF8" w:rsidP="00943414">
            <w:pPr>
              <w:pStyle w:val="72TabletextTablesTableFigureBoxstyles"/>
            </w:pPr>
            <w:r w:rsidRPr="00C1603D">
              <w:rPr>
                <w:rFonts w:eastAsia="Arial"/>
              </w:rPr>
              <w:t>116</w:t>
            </w:r>
          </w:p>
        </w:tc>
        <w:tc>
          <w:tcPr>
            <w:tcW w:w="0" w:type="auto"/>
            <w:shd w:val="clear" w:color="auto" w:fill="FFFFFF"/>
            <w:tcMar>
              <w:top w:w="0" w:type="dxa"/>
              <w:left w:w="0" w:type="dxa"/>
              <w:bottom w:w="0" w:type="dxa"/>
              <w:right w:w="0" w:type="dxa"/>
            </w:tcMar>
          </w:tcPr>
          <w:p w14:paraId="79D3EA07" w14:textId="61FAF61E"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1C6046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4A3D8FB"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CC7EECD"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D20EB3D" w14:textId="77777777" w:rsidR="008B4DF8" w:rsidRPr="00C1603D" w:rsidRDefault="008B4DF8" w:rsidP="00943414">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22ED68EA" w14:textId="69FD2F23" w:rsidR="008B4DF8" w:rsidRPr="00C1603D" w:rsidRDefault="00283A6F" w:rsidP="00943414">
            <w:pPr>
              <w:pStyle w:val="72TabletextTablesTableFigureBoxstyles"/>
            </w:pPr>
            <w:r w:rsidRPr="00C1603D">
              <w:rPr>
                <w:rFonts w:eastAsia="Arial"/>
                <w:noProof/>
              </w:rPr>
              <w:t xml:space="preserve">Singh </w:t>
            </w:r>
            <w:r w:rsidRPr="00C1603D">
              <w:rPr>
                <w:rFonts w:eastAsia="Arial"/>
                <w:i/>
                <w:iCs/>
                <w:noProof/>
              </w:rPr>
              <w:t>et al</w:t>
            </w:r>
            <w:r w:rsidRPr="00C1603D">
              <w:rPr>
                <w:rFonts w:eastAsia="Arial"/>
                <w:noProof/>
              </w:rPr>
              <w:t>.</w:t>
            </w:r>
            <w:r w:rsidR="008B4DF8" w:rsidRPr="00C1603D">
              <w:rPr>
                <w:rFonts w:eastAsia="Arial"/>
                <w:noProof/>
                <w:vertAlign w:val="superscript"/>
              </w:rPr>
              <w:t>422</w:t>
            </w:r>
          </w:p>
        </w:tc>
      </w:tr>
      <w:tr w:rsidR="00AC5206" w:rsidRPr="00C1603D" w14:paraId="1A6840DC" w14:textId="77777777" w:rsidTr="00880C15">
        <w:trPr>
          <w:cantSplit/>
        </w:trPr>
        <w:tc>
          <w:tcPr>
            <w:tcW w:w="0" w:type="auto"/>
            <w:gridSpan w:val="10"/>
            <w:shd w:val="clear" w:color="auto" w:fill="FFFFFF"/>
            <w:tcMar>
              <w:top w:w="0" w:type="dxa"/>
              <w:left w:w="0" w:type="dxa"/>
              <w:bottom w:w="0" w:type="dxa"/>
              <w:right w:w="0" w:type="dxa"/>
            </w:tcMar>
          </w:tcPr>
          <w:p w14:paraId="31BC2871" w14:textId="0264C2FF" w:rsidR="00AC5206" w:rsidRPr="00C1603D" w:rsidRDefault="00AC5206" w:rsidP="00AC5206">
            <w:pPr>
              <w:pStyle w:val="75TablenotesTablesTableFigureBoxstyles"/>
              <w:rPr>
                <w:rFonts w:eastAsia="Arial"/>
                <w:noProof/>
                <w:vertAlign w:val="superscript"/>
              </w:rPr>
            </w:pPr>
            <w:r w:rsidRPr="00C1603D">
              <w:rPr>
                <w:rFonts w:eastAsia="Arial"/>
                <w:noProof/>
              </w:rPr>
              <w:t>DI, diagnostic indicator.</w:t>
            </w:r>
          </w:p>
        </w:tc>
      </w:tr>
    </w:tbl>
    <w:p w14:paraId="609D163B" w14:textId="7E5C58C7" w:rsidR="008B4DF8" w:rsidRPr="00C1603D" w:rsidRDefault="008B4DF8" w:rsidP="008B4DF8">
      <w:pPr>
        <w:pStyle w:val="70TablelegendTablesTableFigureBoxstyles"/>
      </w:pPr>
      <w:bookmarkStart w:id="605" w:name="_Toc99720755"/>
      <w:r w:rsidRPr="00C1603D">
        <w:rPr>
          <w:b/>
        </w:rPr>
        <w:t>TABLE 4</w:t>
      </w:r>
      <w:r w:rsidR="00032460" w:rsidRPr="00C1603D">
        <w:rPr>
          <w:b/>
        </w:rPr>
        <w:t>5</w:t>
      </w:r>
      <w:r w:rsidRPr="00C1603D">
        <w:rPr>
          <w:b/>
        </w:rPr>
        <w:t> </w:t>
      </w:r>
      <w:r w:rsidRPr="00C1603D">
        <w:t xml:space="preserve">Study characteristics: </w:t>
      </w:r>
      <w:r w:rsidR="00943414" w:rsidRPr="00C1603D">
        <w:t>s</w:t>
      </w:r>
      <w:r w:rsidRPr="00C1603D">
        <w:t>ystemic lupus erythematosus</w:t>
      </w:r>
      <w:bookmarkEnd w:id="605"/>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62"/>
        <w:gridCol w:w="723"/>
        <w:gridCol w:w="1393"/>
        <w:gridCol w:w="699"/>
        <w:gridCol w:w="706"/>
        <w:gridCol w:w="762"/>
        <w:gridCol w:w="1401"/>
        <w:gridCol w:w="819"/>
        <w:gridCol w:w="666"/>
        <w:gridCol w:w="895"/>
      </w:tblGrid>
      <w:tr w:rsidR="00283A6F" w:rsidRPr="00C1603D" w14:paraId="36F0E2A9" w14:textId="77777777" w:rsidTr="00943414">
        <w:trPr>
          <w:cantSplit/>
        </w:trPr>
        <w:tc>
          <w:tcPr>
            <w:tcW w:w="0" w:type="auto"/>
            <w:shd w:val="clear" w:color="auto" w:fill="FFFFFF"/>
            <w:tcMar>
              <w:top w:w="0" w:type="dxa"/>
              <w:left w:w="0" w:type="dxa"/>
              <w:bottom w:w="0" w:type="dxa"/>
              <w:right w:w="0" w:type="dxa"/>
            </w:tcMar>
          </w:tcPr>
          <w:p w14:paraId="056AB0A0" w14:textId="27D86934"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69069FC5" w14:textId="6450C08E"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3E2C4ADE" w14:textId="2D752BE3"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4440FB9E" w14:textId="31F16323"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0C01B57E"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389C5520"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607A88DC"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57E150C3"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79E437CE"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433DDA6A" w14:textId="77777777" w:rsidR="001902E7" w:rsidRPr="00C1603D" w:rsidRDefault="001902E7" w:rsidP="001902E7">
            <w:pPr>
              <w:pStyle w:val="710TableheadTablesTableFigureBoxstyles"/>
            </w:pPr>
            <w:r w:rsidRPr="00C1603D">
              <w:rPr>
                <w:rFonts w:eastAsia="Arial"/>
              </w:rPr>
              <w:t>Reference</w:t>
            </w:r>
          </w:p>
        </w:tc>
      </w:tr>
      <w:tr w:rsidR="00283A6F" w:rsidRPr="00C1603D" w14:paraId="5BF5C3B8" w14:textId="77777777" w:rsidTr="00943414">
        <w:trPr>
          <w:cantSplit/>
        </w:trPr>
        <w:tc>
          <w:tcPr>
            <w:tcW w:w="0" w:type="auto"/>
            <w:shd w:val="clear" w:color="auto" w:fill="FFFFFF"/>
            <w:tcMar>
              <w:top w:w="0" w:type="dxa"/>
              <w:left w:w="0" w:type="dxa"/>
              <w:bottom w:w="0" w:type="dxa"/>
              <w:right w:w="0" w:type="dxa"/>
            </w:tcMar>
          </w:tcPr>
          <w:p w14:paraId="5234322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775DECF" w14:textId="7C073E6C"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FF18BB5" w14:textId="77777777" w:rsidR="008B4DF8" w:rsidRPr="00C1603D" w:rsidRDefault="008B4DF8" w:rsidP="00943414">
            <w:pPr>
              <w:pStyle w:val="72TabletextTablesTableFigureBoxstyles"/>
            </w:pPr>
            <w:r w:rsidRPr="00C1603D">
              <w:rPr>
                <w:rFonts w:eastAsia="Arial"/>
              </w:rPr>
              <w:t>Systemic lupus erythematosus</w:t>
            </w:r>
          </w:p>
        </w:tc>
        <w:tc>
          <w:tcPr>
            <w:tcW w:w="0" w:type="auto"/>
            <w:shd w:val="clear" w:color="auto" w:fill="FFFFFF"/>
            <w:tcMar>
              <w:top w:w="0" w:type="dxa"/>
              <w:left w:w="0" w:type="dxa"/>
              <w:bottom w:w="0" w:type="dxa"/>
              <w:right w:w="0" w:type="dxa"/>
            </w:tcMar>
          </w:tcPr>
          <w:p w14:paraId="308976CC" w14:textId="77777777" w:rsidR="008B4DF8" w:rsidRPr="00C1603D" w:rsidRDefault="008B4DF8" w:rsidP="00943414">
            <w:pPr>
              <w:pStyle w:val="72TabletextTablesTableFigureBoxstyles"/>
            </w:pPr>
            <w:r w:rsidRPr="00C1603D">
              <w:rPr>
                <w:rFonts w:eastAsia="Arial"/>
              </w:rPr>
              <w:t>220</w:t>
            </w:r>
          </w:p>
        </w:tc>
        <w:tc>
          <w:tcPr>
            <w:tcW w:w="0" w:type="auto"/>
            <w:shd w:val="clear" w:color="auto" w:fill="FFFFFF"/>
            <w:tcMar>
              <w:top w:w="0" w:type="dxa"/>
              <w:left w:w="0" w:type="dxa"/>
              <w:bottom w:w="0" w:type="dxa"/>
              <w:right w:w="0" w:type="dxa"/>
            </w:tcMar>
          </w:tcPr>
          <w:p w14:paraId="249F33FF" w14:textId="31065331"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0A9A86D8" w14:textId="5D0109D3" w:rsidR="008B4DF8" w:rsidRPr="00C1603D" w:rsidRDefault="00283A6F" w:rsidP="00943414">
            <w:pPr>
              <w:pStyle w:val="72TabletextTablesTableFigureBoxstyles"/>
            </w:pPr>
            <w:r w:rsidRPr="00C1603D">
              <w:rPr>
                <w:rFonts w:eastAsia="Arial"/>
              </w:rPr>
              <w:t xml:space="preserve">Healthy </w:t>
            </w:r>
            <w:r w:rsidR="008B4DF8" w:rsidRPr="00C1603D">
              <w:rPr>
                <w:rFonts w:eastAsia="Arial"/>
              </w:rPr>
              <w:t>controls</w:t>
            </w:r>
          </w:p>
        </w:tc>
        <w:tc>
          <w:tcPr>
            <w:tcW w:w="0" w:type="auto"/>
            <w:shd w:val="clear" w:color="auto" w:fill="FFFFFF"/>
            <w:tcMar>
              <w:top w:w="0" w:type="dxa"/>
              <w:left w:w="0" w:type="dxa"/>
              <w:bottom w:w="0" w:type="dxa"/>
              <w:right w:w="0" w:type="dxa"/>
            </w:tcMar>
          </w:tcPr>
          <w:p w14:paraId="6533D1B3" w14:textId="2E0B2EC8"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1000B9F0" w14:textId="1777BAD3" w:rsidR="008B4DF8" w:rsidRPr="00C1603D" w:rsidRDefault="00283A6F"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6E9F3F9"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58414B62" w14:textId="1462B0F2" w:rsidR="008B4DF8" w:rsidRPr="00C1603D" w:rsidRDefault="00283A6F" w:rsidP="00943414">
            <w:pPr>
              <w:pStyle w:val="72TabletextTablesTableFigureBoxstyles"/>
            </w:pPr>
            <w:r w:rsidRPr="00C1603D">
              <w:rPr>
                <w:rFonts w:eastAsia="Arial"/>
                <w:noProof/>
              </w:rPr>
              <w:t xml:space="preserve">Marai </w:t>
            </w:r>
            <w:r w:rsidRPr="00C1603D">
              <w:rPr>
                <w:rFonts w:eastAsia="Arial"/>
                <w:i/>
                <w:iCs/>
                <w:noProof/>
              </w:rPr>
              <w:t>et al</w:t>
            </w:r>
            <w:r w:rsidRPr="00C1603D">
              <w:rPr>
                <w:rFonts w:eastAsia="Arial"/>
                <w:noProof/>
              </w:rPr>
              <w:t>.</w:t>
            </w:r>
            <w:r w:rsidR="008B4DF8" w:rsidRPr="00C1603D">
              <w:rPr>
                <w:rFonts w:eastAsia="Arial"/>
                <w:noProof/>
                <w:vertAlign w:val="superscript"/>
              </w:rPr>
              <w:t>423</w:t>
            </w:r>
          </w:p>
        </w:tc>
      </w:tr>
      <w:tr w:rsidR="00283A6F" w:rsidRPr="00C1603D" w14:paraId="661F274A" w14:textId="77777777" w:rsidTr="00943414">
        <w:trPr>
          <w:cantSplit/>
        </w:trPr>
        <w:tc>
          <w:tcPr>
            <w:tcW w:w="0" w:type="auto"/>
            <w:shd w:val="clear" w:color="auto" w:fill="FFFFFF"/>
            <w:tcMar>
              <w:top w:w="0" w:type="dxa"/>
              <w:left w:w="0" w:type="dxa"/>
              <w:bottom w:w="0" w:type="dxa"/>
              <w:right w:w="0" w:type="dxa"/>
            </w:tcMar>
          </w:tcPr>
          <w:p w14:paraId="7E6250D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CC54B7D" w14:textId="47AE49D9"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7EDB12E" w14:textId="77777777" w:rsidR="008B4DF8" w:rsidRPr="00C1603D" w:rsidRDefault="008B4DF8" w:rsidP="00943414">
            <w:pPr>
              <w:pStyle w:val="72TabletextTablesTableFigureBoxstyles"/>
            </w:pPr>
            <w:r w:rsidRPr="00C1603D">
              <w:rPr>
                <w:rFonts w:eastAsia="Arial"/>
              </w:rPr>
              <w:t>Systemic lupus erythematosus</w:t>
            </w:r>
          </w:p>
        </w:tc>
        <w:tc>
          <w:tcPr>
            <w:tcW w:w="0" w:type="auto"/>
            <w:shd w:val="clear" w:color="auto" w:fill="FFFFFF"/>
            <w:tcMar>
              <w:top w:w="0" w:type="dxa"/>
              <w:left w:w="0" w:type="dxa"/>
              <w:bottom w:w="0" w:type="dxa"/>
              <w:right w:w="0" w:type="dxa"/>
            </w:tcMar>
          </w:tcPr>
          <w:p w14:paraId="54B32972" w14:textId="77777777" w:rsidR="008B4DF8" w:rsidRPr="00C1603D" w:rsidRDefault="008B4DF8" w:rsidP="00943414">
            <w:pPr>
              <w:pStyle w:val="72TabletextTablesTableFigureBoxstyles"/>
            </w:pPr>
            <w:r w:rsidRPr="00C1603D">
              <w:rPr>
                <w:rFonts w:eastAsia="Arial"/>
              </w:rPr>
              <w:t>220</w:t>
            </w:r>
          </w:p>
        </w:tc>
        <w:tc>
          <w:tcPr>
            <w:tcW w:w="0" w:type="auto"/>
            <w:shd w:val="clear" w:color="auto" w:fill="FFFFFF"/>
            <w:tcMar>
              <w:top w:w="0" w:type="dxa"/>
              <w:left w:w="0" w:type="dxa"/>
              <w:bottom w:w="0" w:type="dxa"/>
              <w:right w:w="0" w:type="dxa"/>
            </w:tcMar>
          </w:tcPr>
          <w:p w14:paraId="7849DE4A"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44E1C1F5"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3DA9E43" w14:textId="0AB1CEB0"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14F6240B"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41D17A36"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1C4A36A5" w14:textId="726C0638" w:rsidR="008B4DF8" w:rsidRPr="00C1603D" w:rsidRDefault="00283A6F" w:rsidP="00943414">
            <w:pPr>
              <w:pStyle w:val="72TabletextTablesTableFigureBoxstyles"/>
            </w:pPr>
            <w:r w:rsidRPr="00C1603D">
              <w:rPr>
                <w:rFonts w:eastAsia="Arial"/>
                <w:noProof/>
              </w:rPr>
              <w:t xml:space="preserve">Bizzaro </w:t>
            </w:r>
            <w:r w:rsidRPr="00C1603D">
              <w:rPr>
                <w:rFonts w:eastAsia="Arial"/>
                <w:i/>
                <w:iCs/>
                <w:noProof/>
              </w:rPr>
              <w:t>et al</w:t>
            </w:r>
            <w:r w:rsidRPr="00C1603D">
              <w:rPr>
                <w:rFonts w:eastAsia="Arial"/>
                <w:noProof/>
              </w:rPr>
              <w:t>.</w:t>
            </w:r>
            <w:r w:rsidR="008B4DF8" w:rsidRPr="00C1603D">
              <w:rPr>
                <w:rFonts w:eastAsia="Arial"/>
                <w:noProof/>
                <w:vertAlign w:val="superscript"/>
              </w:rPr>
              <w:t>327</w:t>
            </w:r>
          </w:p>
        </w:tc>
      </w:tr>
      <w:tr w:rsidR="00283A6F" w:rsidRPr="00C1603D" w14:paraId="2376E4EB" w14:textId="77777777" w:rsidTr="00943414">
        <w:trPr>
          <w:cantSplit/>
        </w:trPr>
        <w:tc>
          <w:tcPr>
            <w:tcW w:w="0" w:type="auto"/>
            <w:shd w:val="clear" w:color="auto" w:fill="FFFFFF"/>
            <w:tcMar>
              <w:top w:w="0" w:type="dxa"/>
              <w:left w:w="0" w:type="dxa"/>
              <w:bottom w:w="0" w:type="dxa"/>
              <w:right w:w="0" w:type="dxa"/>
            </w:tcMar>
          </w:tcPr>
          <w:p w14:paraId="5433296F"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9C96236" w14:textId="1ECB4C42"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DC9981E" w14:textId="77777777" w:rsidR="008B4DF8" w:rsidRPr="00C1603D" w:rsidRDefault="008B4DF8" w:rsidP="00943414">
            <w:pPr>
              <w:pStyle w:val="72TabletextTablesTableFigureBoxstyles"/>
            </w:pPr>
            <w:r w:rsidRPr="00C1603D">
              <w:rPr>
                <w:rFonts w:eastAsia="Arial"/>
              </w:rPr>
              <w:t>Systemic lupus erythematosus</w:t>
            </w:r>
          </w:p>
        </w:tc>
        <w:tc>
          <w:tcPr>
            <w:tcW w:w="0" w:type="auto"/>
            <w:shd w:val="clear" w:color="auto" w:fill="FFFFFF"/>
            <w:tcMar>
              <w:top w:w="0" w:type="dxa"/>
              <w:left w:w="0" w:type="dxa"/>
              <w:bottom w:w="0" w:type="dxa"/>
              <w:right w:w="0" w:type="dxa"/>
            </w:tcMar>
          </w:tcPr>
          <w:p w14:paraId="49DDA352" w14:textId="77777777" w:rsidR="008B4DF8" w:rsidRPr="00C1603D" w:rsidRDefault="008B4DF8" w:rsidP="00943414">
            <w:pPr>
              <w:pStyle w:val="72TabletextTablesTableFigureBoxstyles"/>
            </w:pPr>
            <w:r w:rsidRPr="00C1603D">
              <w:rPr>
                <w:rFonts w:eastAsia="Arial"/>
              </w:rPr>
              <w:t>76</w:t>
            </w:r>
          </w:p>
        </w:tc>
        <w:tc>
          <w:tcPr>
            <w:tcW w:w="0" w:type="auto"/>
            <w:shd w:val="clear" w:color="auto" w:fill="FFFFFF"/>
            <w:tcMar>
              <w:top w:w="0" w:type="dxa"/>
              <w:left w:w="0" w:type="dxa"/>
              <w:bottom w:w="0" w:type="dxa"/>
              <w:right w:w="0" w:type="dxa"/>
            </w:tcMar>
          </w:tcPr>
          <w:p w14:paraId="56CF5442"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6AE04F27"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A496994" w14:textId="77777777" w:rsidR="008B4DF8" w:rsidRPr="00C1603D" w:rsidRDefault="008B4DF8" w:rsidP="00943414">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2D642783"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64C90C6" w14:textId="77777777" w:rsidR="008B4DF8" w:rsidRPr="00C1603D" w:rsidRDefault="008B4DF8" w:rsidP="00943414">
            <w:pPr>
              <w:pStyle w:val="72TabletextTablesTableFigureBoxstyles"/>
            </w:pPr>
            <w:r w:rsidRPr="00C1603D">
              <w:rPr>
                <w:rFonts w:eastAsia="Arial"/>
              </w:rPr>
              <w:t>Ireland</w:t>
            </w:r>
          </w:p>
        </w:tc>
        <w:tc>
          <w:tcPr>
            <w:tcW w:w="0" w:type="auto"/>
            <w:shd w:val="clear" w:color="auto" w:fill="FFFFFF"/>
            <w:tcMar>
              <w:top w:w="0" w:type="dxa"/>
              <w:left w:w="0" w:type="dxa"/>
              <w:bottom w:w="0" w:type="dxa"/>
              <w:right w:w="0" w:type="dxa"/>
            </w:tcMar>
          </w:tcPr>
          <w:p w14:paraId="725AE101" w14:textId="2FCCCC51" w:rsidR="008B4DF8" w:rsidRPr="00C1603D" w:rsidRDefault="00283A6F" w:rsidP="00943414">
            <w:pPr>
              <w:pStyle w:val="72TabletextTablesTableFigureBoxstyles"/>
            </w:pPr>
            <w:r w:rsidRPr="00C1603D">
              <w:rPr>
                <w:rFonts w:eastAsia="Arial"/>
                <w:noProof/>
              </w:rPr>
              <w:t xml:space="preserve">Feighery </w:t>
            </w:r>
            <w:r w:rsidRPr="00C1603D">
              <w:rPr>
                <w:rFonts w:eastAsia="Arial"/>
                <w:i/>
                <w:iCs/>
                <w:noProof/>
              </w:rPr>
              <w:t>et al</w:t>
            </w:r>
            <w:r w:rsidRPr="00C1603D">
              <w:rPr>
                <w:rFonts w:eastAsia="Arial"/>
                <w:noProof/>
              </w:rPr>
              <w:t>.</w:t>
            </w:r>
            <w:r w:rsidR="008B4DF8" w:rsidRPr="00C1603D">
              <w:rPr>
                <w:rFonts w:eastAsia="Arial"/>
                <w:noProof/>
                <w:vertAlign w:val="superscript"/>
              </w:rPr>
              <w:t>328</w:t>
            </w:r>
          </w:p>
        </w:tc>
      </w:tr>
      <w:tr w:rsidR="00283A6F" w:rsidRPr="00C1603D" w14:paraId="2D63CB9D" w14:textId="77777777" w:rsidTr="00943414">
        <w:trPr>
          <w:cantSplit/>
        </w:trPr>
        <w:tc>
          <w:tcPr>
            <w:tcW w:w="0" w:type="auto"/>
            <w:shd w:val="clear" w:color="auto" w:fill="FFFFFF"/>
            <w:tcMar>
              <w:top w:w="0" w:type="dxa"/>
              <w:left w:w="0" w:type="dxa"/>
              <w:bottom w:w="0" w:type="dxa"/>
              <w:right w:w="0" w:type="dxa"/>
            </w:tcMar>
          </w:tcPr>
          <w:p w14:paraId="2338C11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35498A0" w14:textId="46609056"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F7002F8" w14:textId="77777777" w:rsidR="008B4DF8" w:rsidRPr="00C1603D" w:rsidRDefault="008B4DF8" w:rsidP="00943414">
            <w:pPr>
              <w:pStyle w:val="72TabletextTablesTableFigureBoxstyles"/>
            </w:pPr>
            <w:r w:rsidRPr="00C1603D">
              <w:rPr>
                <w:rFonts w:eastAsia="Arial"/>
              </w:rPr>
              <w:t>Systemic lupus erythematosus</w:t>
            </w:r>
          </w:p>
        </w:tc>
        <w:tc>
          <w:tcPr>
            <w:tcW w:w="0" w:type="auto"/>
            <w:shd w:val="clear" w:color="auto" w:fill="FFFFFF"/>
            <w:tcMar>
              <w:top w:w="0" w:type="dxa"/>
              <w:left w:w="0" w:type="dxa"/>
              <w:bottom w:w="0" w:type="dxa"/>
              <w:right w:w="0" w:type="dxa"/>
            </w:tcMar>
          </w:tcPr>
          <w:p w14:paraId="372EE3EC" w14:textId="77777777" w:rsidR="008B4DF8" w:rsidRPr="00C1603D" w:rsidRDefault="008B4DF8" w:rsidP="00943414">
            <w:pPr>
              <w:pStyle w:val="72TabletextTablesTableFigureBoxstyles"/>
            </w:pPr>
            <w:r w:rsidRPr="00C1603D">
              <w:rPr>
                <w:rFonts w:eastAsia="Arial"/>
              </w:rPr>
              <w:t>297</w:t>
            </w:r>
          </w:p>
        </w:tc>
        <w:tc>
          <w:tcPr>
            <w:tcW w:w="0" w:type="auto"/>
            <w:shd w:val="clear" w:color="auto" w:fill="FFFFFF"/>
            <w:tcMar>
              <w:top w:w="0" w:type="dxa"/>
              <w:left w:w="0" w:type="dxa"/>
              <w:bottom w:w="0" w:type="dxa"/>
              <w:right w:w="0" w:type="dxa"/>
            </w:tcMar>
          </w:tcPr>
          <w:p w14:paraId="1CEAAA15" w14:textId="5AB253D8"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718B96D5"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32653DB" w14:textId="7C9C8D9F"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406BB061"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E5A5F70" w14:textId="77777777" w:rsidR="008B4DF8" w:rsidRPr="00C1603D" w:rsidRDefault="008B4DF8" w:rsidP="00943414">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6C0C4299" w14:textId="659BB0CC" w:rsidR="008B4DF8" w:rsidRPr="00C1603D" w:rsidRDefault="00283A6F" w:rsidP="00943414">
            <w:pPr>
              <w:pStyle w:val="72TabletextTablesTableFigureBoxstyles"/>
            </w:pPr>
            <w:r w:rsidRPr="00C1603D">
              <w:rPr>
                <w:rFonts w:eastAsia="Arial"/>
                <w:noProof/>
              </w:rPr>
              <w:t xml:space="preserve">Picceli </w:t>
            </w:r>
            <w:r w:rsidRPr="00C1603D">
              <w:rPr>
                <w:rFonts w:eastAsia="Arial"/>
                <w:i/>
                <w:iCs/>
                <w:noProof/>
              </w:rPr>
              <w:t>et al</w:t>
            </w:r>
            <w:r w:rsidRPr="00C1603D">
              <w:rPr>
                <w:rFonts w:eastAsia="Arial"/>
                <w:noProof/>
              </w:rPr>
              <w:t>.</w:t>
            </w:r>
            <w:r w:rsidR="008B4DF8" w:rsidRPr="00C1603D">
              <w:rPr>
                <w:rFonts w:eastAsia="Arial"/>
                <w:noProof/>
                <w:vertAlign w:val="superscript"/>
              </w:rPr>
              <w:t>424</w:t>
            </w:r>
          </w:p>
        </w:tc>
      </w:tr>
      <w:tr w:rsidR="00283A6F" w:rsidRPr="00C1603D" w14:paraId="3C2A981E" w14:textId="77777777" w:rsidTr="00943414">
        <w:trPr>
          <w:cantSplit/>
        </w:trPr>
        <w:tc>
          <w:tcPr>
            <w:tcW w:w="0" w:type="auto"/>
            <w:shd w:val="clear" w:color="auto" w:fill="FFFFFF"/>
            <w:tcMar>
              <w:top w:w="0" w:type="dxa"/>
              <w:left w:w="0" w:type="dxa"/>
              <w:bottom w:w="0" w:type="dxa"/>
              <w:right w:w="0" w:type="dxa"/>
            </w:tcMar>
          </w:tcPr>
          <w:p w14:paraId="68870C64"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FF347AD"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5311682D" w14:textId="77777777" w:rsidR="008B4DF8" w:rsidRPr="00C1603D" w:rsidRDefault="008B4DF8" w:rsidP="00943414">
            <w:pPr>
              <w:pStyle w:val="72TabletextTablesTableFigureBoxstyles"/>
            </w:pPr>
            <w:r w:rsidRPr="00C1603D">
              <w:rPr>
                <w:rFonts w:eastAsia="Arial"/>
              </w:rPr>
              <w:t>Systemic lupus erythematosus</w:t>
            </w:r>
          </w:p>
        </w:tc>
        <w:tc>
          <w:tcPr>
            <w:tcW w:w="0" w:type="auto"/>
            <w:shd w:val="clear" w:color="auto" w:fill="FFFFFF"/>
            <w:tcMar>
              <w:top w:w="0" w:type="dxa"/>
              <w:left w:w="0" w:type="dxa"/>
              <w:bottom w:w="0" w:type="dxa"/>
              <w:right w:w="0" w:type="dxa"/>
            </w:tcMar>
          </w:tcPr>
          <w:p w14:paraId="5DD66641" w14:textId="77777777"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051DB8A3"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604103B4"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937FCF6" w14:textId="23584798"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3F04AC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4716CDE" w14:textId="6746E660" w:rsidR="008B4DF8" w:rsidRPr="00C1603D" w:rsidRDefault="008B4DF8" w:rsidP="00943414">
            <w:pPr>
              <w:pStyle w:val="72TabletextTablesTableFigureBoxstyles"/>
            </w:pPr>
            <w:r w:rsidRPr="00C1603D">
              <w:rPr>
                <w:rFonts w:eastAsia="Arial"/>
              </w:rPr>
              <w:t>US</w:t>
            </w:r>
            <w:r w:rsidR="00283A6F" w:rsidRPr="00C1603D">
              <w:rPr>
                <w:rFonts w:eastAsia="Arial"/>
              </w:rPr>
              <w:t>A</w:t>
            </w:r>
          </w:p>
        </w:tc>
        <w:tc>
          <w:tcPr>
            <w:tcW w:w="0" w:type="auto"/>
            <w:shd w:val="clear" w:color="auto" w:fill="FFFFFF"/>
            <w:tcMar>
              <w:top w:w="0" w:type="dxa"/>
              <w:left w:w="0" w:type="dxa"/>
              <w:bottom w:w="0" w:type="dxa"/>
              <w:right w:w="0" w:type="dxa"/>
            </w:tcMar>
          </w:tcPr>
          <w:p w14:paraId="2E6A3972" w14:textId="0D72966F" w:rsidR="008B4DF8" w:rsidRPr="00C1603D" w:rsidRDefault="00283A6F" w:rsidP="00943414">
            <w:pPr>
              <w:pStyle w:val="72TabletextTablesTableFigureBoxstyles"/>
            </w:pPr>
            <w:r w:rsidRPr="00C1603D">
              <w:rPr>
                <w:rFonts w:eastAsia="Arial"/>
                <w:noProof/>
              </w:rPr>
              <w:t xml:space="preserve">Luft </w:t>
            </w:r>
            <w:r w:rsidRPr="00C1603D">
              <w:rPr>
                <w:rFonts w:eastAsia="Arial"/>
                <w:i/>
                <w:iCs/>
                <w:noProof/>
              </w:rPr>
              <w:t>et al</w:t>
            </w:r>
            <w:r w:rsidRPr="00C1603D">
              <w:rPr>
                <w:rFonts w:eastAsia="Arial"/>
                <w:noProof/>
              </w:rPr>
              <w:t>.</w:t>
            </w:r>
            <w:r w:rsidR="008B4DF8" w:rsidRPr="00C1603D">
              <w:rPr>
                <w:rFonts w:eastAsia="Arial"/>
                <w:noProof/>
                <w:vertAlign w:val="superscript"/>
              </w:rPr>
              <w:t>332</w:t>
            </w:r>
          </w:p>
        </w:tc>
      </w:tr>
      <w:tr w:rsidR="00283A6F" w:rsidRPr="00C1603D" w14:paraId="7D6C68A4" w14:textId="77777777" w:rsidTr="00943414">
        <w:trPr>
          <w:cantSplit/>
        </w:trPr>
        <w:tc>
          <w:tcPr>
            <w:tcW w:w="0" w:type="auto"/>
            <w:shd w:val="clear" w:color="auto" w:fill="FFFFFF"/>
            <w:tcMar>
              <w:top w:w="0" w:type="dxa"/>
              <w:left w:w="0" w:type="dxa"/>
              <w:bottom w:w="0" w:type="dxa"/>
              <w:right w:w="0" w:type="dxa"/>
            </w:tcMar>
          </w:tcPr>
          <w:p w14:paraId="491A783C"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17837EA0" w14:textId="43421D29"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A9D7806" w14:textId="77777777" w:rsidR="008B4DF8" w:rsidRPr="00C1603D" w:rsidRDefault="008B4DF8" w:rsidP="00943414">
            <w:pPr>
              <w:pStyle w:val="72TabletextTablesTableFigureBoxstyles"/>
            </w:pPr>
            <w:r w:rsidRPr="00C1603D">
              <w:rPr>
                <w:rFonts w:eastAsia="Arial"/>
              </w:rPr>
              <w:t>Systemic lupus erythematosus</w:t>
            </w:r>
          </w:p>
        </w:tc>
        <w:tc>
          <w:tcPr>
            <w:tcW w:w="0" w:type="auto"/>
            <w:shd w:val="clear" w:color="auto" w:fill="FFFFFF"/>
            <w:tcMar>
              <w:top w:w="0" w:type="dxa"/>
              <w:left w:w="0" w:type="dxa"/>
              <w:bottom w:w="0" w:type="dxa"/>
              <w:right w:w="0" w:type="dxa"/>
            </w:tcMar>
          </w:tcPr>
          <w:p w14:paraId="761244FC" w14:textId="77777777" w:rsidR="008B4DF8" w:rsidRPr="00C1603D" w:rsidRDefault="008B4DF8" w:rsidP="00943414">
            <w:pPr>
              <w:pStyle w:val="72TabletextTablesTableFigureBoxstyles"/>
            </w:pPr>
            <w:r w:rsidRPr="00C1603D">
              <w:rPr>
                <w:rFonts w:eastAsia="Arial"/>
              </w:rPr>
              <w:t>91</w:t>
            </w:r>
          </w:p>
        </w:tc>
        <w:tc>
          <w:tcPr>
            <w:tcW w:w="0" w:type="auto"/>
            <w:shd w:val="clear" w:color="auto" w:fill="FFFFFF"/>
            <w:tcMar>
              <w:top w:w="0" w:type="dxa"/>
              <w:left w:w="0" w:type="dxa"/>
              <w:bottom w:w="0" w:type="dxa"/>
              <w:right w:w="0" w:type="dxa"/>
            </w:tcMar>
          </w:tcPr>
          <w:p w14:paraId="35ED6A57" w14:textId="06476588"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70154992"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BB44831" w14:textId="230F3640"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4E427E34"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67F07B36"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0FB3BD28" w14:textId="49CE1335" w:rsidR="008B4DF8" w:rsidRPr="00C1603D" w:rsidRDefault="00283A6F" w:rsidP="00943414">
            <w:pPr>
              <w:pStyle w:val="72TabletextTablesTableFigureBoxstyles"/>
            </w:pPr>
            <w:r w:rsidRPr="00C1603D">
              <w:rPr>
                <w:rFonts w:eastAsia="Arial"/>
                <w:noProof/>
              </w:rPr>
              <w:t xml:space="preserve">Sahin </w:t>
            </w:r>
            <w:r w:rsidRPr="00C1603D">
              <w:rPr>
                <w:rFonts w:eastAsia="Arial"/>
                <w:i/>
                <w:iCs/>
                <w:noProof/>
              </w:rPr>
              <w:t>et al</w:t>
            </w:r>
            <w:r w:rsidRPr="00C1603D">
              <w:rPr>
                <w:rFonts w:eastAsia="Arial"/>
                <w:noProof/>
              </w:rPr>
              <w:t>.</w:t>
            </w:r>
            <w:r w:rsidR="008B4DF8" w:rsidRPr="00C1603D">
              <w:rPr>
                <w:rFonts w:eastAsia="Arial"/>
                <w:noProof/>
                <w:vertAlign w:val="superscript"/>
              </w:rPr>
              <w:t>425</w:t>
            </w:r>
          </w:p>
        </w:tc>
      </w:tr>
      <w:tr w:rsidR="00AC5206" w:rsidRPr="00C1603D" w14:paraId="6884D4AB" w14:textId="77777777" w:rsidTr="00830395">
        <w:trPr>
          <w:cantSplit/>
        </w:trPr>
        <w:tc>
          <w:tcPr>
            <w:tcW w:w="0" w:type="auto"/>
            <w:gridSpan w:val="10"/>
            <w:shd w:val="clear" w:color="auto" w:fill="FFFFFF"/>
            <w:tcMar>
              <w:top w:w="0" w:type="dxa"/>
              <w:left w:w="0" w:type="dxa"/>
              <w:bottom w:w="0" w:type="dxa"/>
              <w:right w:w="0" w:type="dxa"/>
            </w:tcMar>
          </w:tcPr>
          <w:p w14:paraId="7F011B64" w14:textId="21B0CD82" w:rsidR="00AC5206" w:rsidRPr="00C1603D" w:rsidRDefault="00AC5206" w:rsidP="00AC5206">
            <w:pPr>
              <w:pStyle w:val="75TablenotesTablesTableFigureBoxstyles"/>
              <w:rPr>
                <w:rFonts w:eastAsia="Arial"/>
                <w:noProof/>
                <w:vertAlign w:val="superscript"/>
              </w:rPr>
            </w:pPr>
            <w:r w:rsidRPr="00C1603D">
              <w:rPr>
                <w:rFonts w:eastAsia="Arial"/>
                <w:noProof/>
              </w:rPr>
              <w:t>DI, diagnostic indicator; NR, not reported.</w:t>
            </w:r>
          </w:p>
        </w:tc>
      </w:tr>
    </w:tbl>
    <w:p w14:paraId="42F755DC" w14:textId="5FAC8362" w:rsidR="008B4DF8" w:rsidRPr="00C1603D" w:rsidRDefault="008B4DF8" w:rsidP="008B4DF8">
      <w:pPr>
        <w:pStyle w:val="70TablelegendTablesTableFigureBoxstyles"/>
      </w:pPr>
      <w:bookmarkStart w:id="606" w:name="_Toc99720756"/>
      <w:r w:rsidRPr="00C1603D">
        <w:rPr>
          <w:b/>
        </w:rPr>
        <w:t>TABLE 4</w:t>
      </w:r>
      <w:r w:rsidR="00032460" w:rsidRPr="00C1603D">
        <w:rPr>
          <w:b/>
        </w:rPr>
        <w:t>6</w:t>
      </w:r>
      <w:r w:rsidRPr="00C1603D">
        <w:rPr>
          <w:b/>
        </w:rPr>
        <w:t> </w:t>
      </w:r>
      <w:r w:rsidRPr="00C1603D">
        <w:t xml:space="preserve">Study characteristic: </w:t>
      </w:r>
      <w:r w:rsidR="00943414" w:rsidRPr="00C1603D">
        <w:t>s</w:t>
      </w:r>
      <w:r w:rsidRPr="00C1603D">
        <w:t>ubfertility or recurrent pregnancy loss</w:t>
      </w:r>
      <w:bookmarkEnd w:id="606"/>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84"/>
        <w:gridCol w:w="660"/>
        <w:gridCol w:w="1198"/>
        <w:gridCol w:w="609"/>
        <w:gridCol w:w="618"/>
        <w:gridCol w:w="1123"/>
        <w:gridCol w:w="1001"/>
        <w:gridCol w:w="941"/>
        <w:gridCol w:w="666"/>
        <w:gridCol w:w="1326"/>
      </w:tblGrid>
      <w:tr w:rsidR="009D5AC0" w:rsidRPr="00C1603D" w14:paraId="6BFE9757" w14:textId="77777777" w:rsidTr="00943414">
        <w:trPr>
          <w:cantSplit/>
        </w:trPr>
        <w:tc>
          <w:tcPr>
            <w:tcW w:w="0" w:type="auto"/>
            <w:shd w:val="clear" w:color="auto" w:fill="FFFFFF"/>
            <w:tcMar>
              <w:top w:w="0" w:type="dxa"/>
              <w:left w:w="0" w:type="dxa"/>
              <w:bottom w:w="0" w:type="dxa"/>
              <w:right w:w="0" w:type="dxa"/>
            </w:tcMar>
          </w:tcPr>
          <w:p w14:paraId="25A5C38C" w14:textId="0F5CCA53"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634B978A" w14:textId="76163BEA"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6601867C" w14:textId="43F1EAEA"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63913ED4" w14:textId="23A7941D"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624278D"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440E3293"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6FB70FE2"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5CE9532D"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7E28CBC5"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E1E5061" w14:textId="77777777" w:rsidR="001902E7" w:rsidRPr="00C1603D" w:rsidRDefault="001902E7" w:rsidP="001902E7">
            <w:pPr>
              <w:pStyle w:val="710TableheadTablesTableFigureBoxstyles"/>
            </w:pPr>
            <w:r w:rsidRPr="00C1603D">
              <w:rPr>
                <w:rFonts w:eastAsia="Arial"/>
              </w:rPr>
              <w:t>Reference</w:t>
            </w:r>
          </w:p>
        </w:tc>
      </w:tr>
      <w:tr w:rsidR="009D5AC0" w:rsidRPr="00C1603D" w14:paraId="77196BA6" w14:textId="77777777" w:rsidTr="00943414">
        <w:trPr>
          <w:cantSplit/>
        </w:trPr>
        <w:tc>
          <w:tcPr>
            <w:tcW w:w="0" w:type="auto"/>
            <w:shd w:val="clear" w:color="auto" w:fill="FFFFFF"/>
            <w:tcMar>
              <w:top w:w="0" w:type="dxa"/>
              <w:left w:w="0" w:type="dxa"/>
              <w:bottom w:w="0" w:type="dxa"/>
              <w:right w:w="0" w:type="dxa"/>
            </w:tcMar>
          </w:tcPr>
          <w:p w14:paraId="2100D96C"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8A1BE9B" w14:textId="04994E7D"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01A06E4" w14:textId="77777777" w:rsidR="008B4DF8" w:rsidRPr="00C1603D" w:rsidRDefault="008B4DF8" w:rsidP="00943414">
            <w:pPr>
              <w:pStyle w:val="72TabletextTablesTableFigureBoxstyles"/>
            </w:pPr>
            <w:r w:rsidRPr="00C1603D">
              <w:rPr>
                <w:rFonts w:eastAsia="Arial"/>
              </w:rPr>
              <w:t>Recurrent miscarriages or implantation failure</w:t>
            </w:r>
          </w:p>
        </w:tc>
        <w:tc>
          <w:tcPr>
            <w:tcW w:w="0" w:type="auto"/>
            <w:shd w:val="clear" w:color="auto" w:fill="FFFFFF"/>
            <w:tcMar>
              <w:top w:w="0" w:type="dxa"/>
              <w:left w:w="0" w:type="dxa"/>
              <w:bottom w:w="0" w:type="dxa"/>
              <w:right w:w="0" w:type="dxa"/>
            </w:tcMar>
          </w:tcPr>
          <w:p w14:paraId="718736B6" w14:textId="77777777" w:rsidR="008B4DF8" w:rsidRPr="00C1603D" w:rsidRDefault="008B4DF8" w:rsidP="00943414">
            <w:pPr>
              <w:pStyle w:val="72TabletextTablesTableFigureBoxstyles"/>
            </w:pPr>
            <w:r w:rsidRPr="00C1603D">
              <w:rPr>
                <w:rFonts w:eastAsia="Arial"/>
              </w:rPr>
              <w:t>528</w:t>
            </w:r>
          </w:p>
        </w:tc>
        <w:tc>
          <w:tcPr>
            <w:tcW w:w="0" w:type="auto"/>
            <w:shd w:val="clear" w:color="auto" w:fill="FFFFFF"/>
            <w:tcMar>
              <w:top w:w="0" w:type="dxa"/>
              <w:left w:w="0" w:type="dxa"/>
              <w:bottom w:w="0" w:type="dxa"/>
              <w:right w:w="0" w:type="dxa"/>
            </w:tcMar>
          </w:tcPr>
          <w:p w14:paraId="6B4AD4CF" w14:textId="01C3A762"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30D2EA3C"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670BBF7"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4DE7C71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FCDF827" w14:textId="74BD1060" w:rsidR="008B4DF8" w:rsidRPr="00C1603D" w:rsidRDefault="008B4DF8" w:rsidP="00943414">
            <w:pPr>
              <w:pStyle w:val="72TabletextTablesTableFigureBoxstyles"/>
            </w:pPr>
            <w:r w:rsidRPr="00C1603D">
              <w:rPr>
                <w:rFonts w:eastAsia="Arial"/>
              </w:rPr>
              <w:t>Czech</w:t>
            </w:r>
            <w:r w:rsidR="00283A6F" w:rsidRPr="00C1603D">
              <w:rPr>
                <w:rFonts w:eastAsia="Arial"/>
              </w:rPr>
              <w:t>ia</w:t>
            </w:r>
          </w:p>
        </w:tc>
        <w:tc>
          <w:tcPr>
            <w:tcW w:w="0" w:type="auto"/>
            <w:shd w:val="clear" w:color="auto" w:fill="FFFFFF"/>
            <w:tcMar>
              <w:top w:w="0" w:type="dxa"/>
              <w:left w:w="0" w:type="dxa"/>
              <w:bottom w:w="0" w:type="dxa"/>
              <w:right w:w="0" w:type="dxa"/>
            </w:tcMar>
          </w:tcPr>
          <w:p w14:paraId="2BB5C37D" w14:textId="503BCFD3" w:rsidR="008B4DF8" w:rsidRPr="00C1603D" w:rsidRDefault="00283A6F" w:rsidP="00943414">
            <w:pPr>
              <w:pStyle w:val="72TabletextTablesTableFigureBoxstyles"/>
            </w:pPr>
            <w:r w:rsidRPr="00C1603D">
              <w:t xml:space="preserve">Cedíková </w:t>
            </w:r>
            <w:r w:rsidRPr="00C1603D">
              <w:rPr>
                <w:rFonts w:eastAsia="Arial"/>
                <w:i/>
                <w:iCs/>
                <w:noProof/>
              </w:rPr>
              <w:t>et al</w:t>
            </w:r>
            <w:r w:rsidRPr="00C1603D">
              <w:rPr>
                <w:rFonts w:eastAsia="Arial"/>
                <w:noProof/>
              </w:rPr>
              <w:t>.</w:t>
            </w:r>
            <w:r w:rsidR="008B4DF8" w:rsidRPr="00C1603D">
              <w:rPr>
                <w:rFonts w:eastAsia="Arial"/>
                <w:noProof/>
                <w:vertAlign w:val="superscript"/>
              </w:rPr>
              <w:t>426</w:t>
            </w:r>
          </w:p>
        </w:tc>
      </w:tr>
      <w:tr w:rsidR="009D5AC0" w:rsidRPr="00C1603D" w14:paraId="27B74717" w14:textId="77777777" w:rsidTr="00943414">
        <w:trPr>
          <w:cantSplit/>
        </w:trPr>
        <w:tc>
          <w:tcPr>
            <w:tcW w:w="0" w:type="auto"/>
            <w:shd w:val="clear" w:color="auto" w:fill="FFFFFF"/>
            <w:tcMar>
              <w:top w:w="0" w:type="dxa"/>
              <w:left w:w="0" w:type="dxa"/>
              <w:bottom w:w="0" w:type="dxa"/>
              <w:right w:w="0" w:type="dxa"/>
            </w:tcMar>
          </w:tcPr>
          <w:p w14:paraId="2543A5F5"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F427C26" w14:textId="1BF374E0"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4A196F9" w14:textId="77777777" w:rsidR="008B4DF8" w:rsidRPr="00C1603D" w:rsidRDefault="008B4DF8" w:rsidP="00943414">
            <w:pPr>
              <w:pStyle w:val="72TabletextTablesTableFigureBoxstyles"/>
            </w:pPr>
            <w:r w:rsidRPr="00C1603D">
              <w:rPr>
                <w:rFonts w:eastAsia="Arial"/>
              </w:rPr>
              <w:t>Unexplained infertility or recurrent miscarriages</w:t>
            </w:r>
          </w:p>
        </w:tc>
        <w:tc>
          <w:tcPr>
            <w:tcW w:w="0" w:type="auto"/>
            <w:shd w:val="clear" w:color="auto" w:fill="FFFFFF"/>
            <w:tcMar>
              <w:top w:w="0" w:type="dxa"/>
              <w:left w:w="0" w:type="dxa"/>
              <w:bottom w:w="0" w:type="dxa"/>
              <w:right w:w="0" w:type="dxa"/>
            </w:tcMar>
          </w:tcPr>
          <w:p w14:paraId="662987C6" w14:textId="77777777" w:rsidR="008B4DF8" w:rsidRPr="00C1603D" w:rsidRDefault="008B4DF8" w:rsidP="00943414">
            <w:pPr>
              <w:pStyle w:val="72TabletextTablesTableFigureBoxstyles"/>
            </w:pPr>
            <w:r w:rsidRPr="00C1603D">
              <w:rPr>
                <w:rFonts w:eastAsia="Arial"/>
              </w:rPr>
              <w:t>342</w:t>
            </w:r>
          </w:p>
        </w:tc>
        <w:tc>
          <w:tcPr>
            <w:tcW w:w="0" w:type="auto"/>
            <w:shd w:val="clear" w:color="auto" w:fill="FFFFFF"/>
            <w:tcMar>
              <w:top w:w="0" w:type="dxa"/>
              <w:left w:w="0" w:type="dxa"/>
              <w:bottom w:w="0" w:type="dxa"/>
              <w:right w:w="0" w:type="dxa"/>
            </w:tcMar>
          </w:tcPr>
          <w:p w14:paraId="624AB568" w14:textId="49F906E2"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671E47FF"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FBCED16"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DE02A9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BCF25F7" w14:textId="77777777" w:rsidR="008B4DF8" w:rsidRPr="00C1603D" w:rsidRDefault="008B4DF8" w:rsidP="00943414">
            <w:pPr>
              <w:pStyle w:val="72TabletextTablesTableFigureBoxstyles"/>
            </w:pPr>
            <w:r w:rsidRPr="00C1603D">
              <w:rPr>
                <w:rFonts w:eastAsia="Arial"/>
              </w:rPr>
              <w:t>Mexico</w:t>
            </w:r>
          </w:p>
        </w:tc>
        <w:tc>
          <w:tcPr>
            <w:tcW w:w="0" w:type="auto"/>
            <w:shd w:val="clear" w:color="auto" w:fill="FFFFFF"/>
            <w:tcMar>
              <w:top w:w="0" w:type="dxa"/>
              <w:left w:w="0" w:type="dxa"/>
              <w:bottom w:w="0" w:type="dxa"/>
              <w:right w:w="0" w:type="dxa"/>
            </w:tcMar>
          </w:tcPr>
          <w:p w14:paraId="54F074A2" w14:textId="52EEA5F9" w:rsidR="008B4DF8" w:rsidRPr="00C1603D" w:rsidRDefault="009D5AC0" w:rsidP="00943414">
            <w:pPr>
              <w:pStyle w:val="72TabletextTablesTableFigureBoxstyles"/>
            </w:pPr>
            <w:r w:rsidRPr="00C1603D">
              <w:rPr>
                <w:rFonts w:eastAsia="Arial"/>
                <w:noProof/>
              </w:rPr>
              <w:t xml:space="preserve">Remes-Troche </w:t>
            </w:r>
            <w:r w:rsidRPr="00C1603D">
              <w:rPr>
                <w:rFonts w:eastAsia="Arial"/>
                <w:i/>
                <w:iCs/>
                <w:noProof/>
              </w:rPr>
              <w:t>et al</w:t>
            </w:r>
            <w:r w:rsidRPr="00C1603D">
              <w:rPr>
                <w:rFonts w:eastAsia="Arial"/>
                <w:noProof/>
              </w:rPr>
              <w:t>.</w:t>
            </w:r>
            <w:r w:rsidR="008B4DF8" w:rsidRPr="00C1603D">
              <w:rPr>
                <w:rFonts w:eastAsia="Arial"/>
                <w:noProof/>
                <w:vertAlign w:val="superscript"/>
              </w:rPr>
              <w:t>427</w:t>
            </w:r>
          </w:p>
        </w:tc>
      </w:tr>
      <w:tr w:rsidR="009D5AC0" w:rsidRPr="00C1603D" w14:paraId="4789FE16" w14:textId="77777777" w:rsidTr="00943414">
        <w:trPr>
          <w:cantSplit/>
        </w:trPr>
        <w:tc>
          <w:tcPr>
            <w:tcW w:w="0" w:type="auto"/>
            <w:shd w:val="clear" w:color="auto" w:fill="FFFFFF"/>
            <w:tcMar>
              <w:top w:w="0" w:type="dxa"/>
              <w:left w:w="0" w:type="dxa"/>
              <w:bottom w:w="0" w:type="dxa"/>
              <w:right w:w="0" w:type="dxa"/>
            </w:tcMar>
          </w:tcPr>
          <w:p w14:paraId="3D2F07D6"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04C6559" w14:textId="13516B35"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DD8E18C" w14:textId="77777777" w:rsidR="008B4DF8" w:rsidRPr="00C1603D" w:rsidRDefault="008B4DF8" w:rsidP="00943414">
            <w:pPr>
              <w:pStyle w:val="72TabletextTablesTableFigureBoxstyles"/>
            </w:pPr>
            <w:r w:rsidRPr="00C1603D">
              <w:rPr>
                <w:rFonts w:eastAsia="Arial"/>
              </w:rPr>
              <w:t>Recurrent miscarriages or implantation failure</w:t>
            </w:r>
          </w:p>
        </w:tc>
        <w:tc>
          <w:tcPr>
            <w:tcW w:w="0" w:type="auto"/>
            <w:shd w:val="clear" w:color="auto" w:fill="FFFFFF"/>
            <w:tcMar>
              <w:top w:w="0" w:type="dxa"/>
              <w:left w:w="0" w:type="dxa"/>
              <w:bottom w:w="0" w:type="dxa"/>
              <w:right w:w="0" w:type="dxa"/>
            </w:tcMar>
          </w:tcPr>
          <w:p w14:paraId="24518603" w14:textId="77777777" w:rsidR="008B4DF8" w:rsidRPr="00C1603D" w:rsidRDefault="008B4DF8" w:rsidP="00943414">
            <w:pPr>
              <w:pStyle w:val="72TabletextTablesTableFigureBoxstyles"/>
            </w:pPr>
            <w:r w:rsidRPr="00C1603D">
              <w:rPr>
                <w:rFonts w:eastAsia="Arial"/>
              </w:rPr>
              <w:t>279</w:t>
            </w:r>
          </w:p>
        </w:tc>
        <w:tc>
          <w:tcPr>
            <w:tcW w:w="0" w:type="auto"/>
            <w:shd w:val="clear" w:color="auto" w:fill="FFFFFF"/>
            <w:tcMar>
              <w:top w:w="0" w:type="dxa"/>
              <w:left w:w="0" w:type="dxa"/>
              <w:bottom w:w="0" w:type="dxa"/>
              <w:right w:w="0" w:type="dxa"/>
            </w:tcMar>
          </w:tcPr>
          <w:p w14:paraId="668EE5DF" w14:textId="7189F35A"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1315927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DA10C77" w14:textId="4DE76F6A"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6680945"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0388651" w14:textId="77777777" w:rsidR="008B4DF8" w:rsidRPr="00C1603D" w:rsidRDefault="008B4DF8" w:rsidP="00943414">
            <w:pPr>
              <w:pStyle w:val="72TabletextTablesTableFigureBoxstyles"/>
            </w:pPr>
            <w:r w:rsidRPr="00C1603D">
              <w:rPr>
                <w:rFonts w:eastAsia="Arial"/>
              </w:rPr>
              <w:t>Spain</w:t>
            </w:r>
          </w:p>
        </w:tc>
        <w:tc>
          <w:tcPr>
            <w:tcW w:w="0" w:type="auto"/>
            <w:shd w:val="clear" w:color="auto" w:fill="FFFFFF"/>
            <w:tcMar>
              <w:top w:w="0" w:type="dxa"/>
              <w:left w:w="0" w:type="dxa"/>
              <w:bottom w:w="0" w:type="dxa"/>
              <w:right w:w="0" w:type="dxa"/>
            </w:tcMar>
          </w:tcPr>
          <w:p w14:paraId="53859AA1" w14:textId="3E8F4F20" w:rsidR="008B4DF8" w:rsidRPr="00C1603D" w:rsidRDefault="009D5AC0" w:rsidP="00943414">
            <w:pPr>
              <w:pStyle w:val="72TabletextTablesTableFigureBoxstyles"/>
            </w:pPr>
            <w:r w:rsidRPr="00C1603D">
              <w:rPr>
                <w:rFonts w:eastAsia="Arial"/>
                <w:noProof/>
              </w:rPr>
              <w:t xml:space="preserve">Herraiz-Nicuesa </w:t>
            </w:r>
            <w:r w:rsidRPr="00C1603D">
              <w:rPr>
                <w:rFonts w:eastAsia="Arial"/>
                <w:i/>
                <w:iCs/>
                <w:noProof/>
              </w:rPr>
              <w:t>et al</w:t>
            </w:r>
            <w:r w:rsidRPr="00C1603D">
              <w:rPr>
                <w:rFonts w:eastAsia="Arial"/>
                <w:noProof/>
              </w:rPr>
              <w:t>.</w:t>
            </w:r>
            <w:r w:rsidR="008B4DF8" w:rsidRPr="00C1603D">
              <w:rPr>
                <w:rFonts w:eastAsia="Arial"/>
                <w:noProof/>
                <w:vertAlign w:val="superscript"/>
              </w:rPr>
              <w:t>428</w:t>
            </w:r>
          </w:p>
        </w:tc>
      </w:tr>
      <w:tr w:rsidR="009D5AC0" w:rsidRPr="00C1603D" w14:paraId="37B67FAF" w14:textId="77777777" w:rsidTr="00943414">
        <w:trPr>
          <w:cantSplit/>
        </w:trPr>
        <w:tc>
          <w:tcPr>
            <w:tcW w:w="0" w:type="auto"/>
            <w:shd w:val="clear" w:color="auto" w:fill="FFFFFF"/>
            <w:tcMar>
              <w:top w:w="0" w:type="dxa"/>
              <w:left w:w="0" w:type="dxa"/>
              <w:bottom w:w="0" w:type="dxa"/>
              <w:right w:w="0" w:type="dxa"/>
            </w:tcMar>
          </w:tcPr>
          <w:p w14:paraId="13E5658A"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27526EA" w14:textId="1F5F3DED"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362B94C" w14:textId="77777777" w:rsidR="008B4DF8" w:rsidRPr="00C1603D" w:rsidRDefault="008B4DF8" w:rsidP="00943414">
            <w:pPr>
              <w:pStyle w:val="72TabletextTablesTableFigureBoxstyles"/>
            </w:pPr>
            <w:r w:rsidRPr="00C1603D">
              <w:rPr>
                <w:rFonts w:eastAsia="Arial"/>
              </w:rPr>
              <w:t>Unexplained infertility</w:t>
            </w:r>
          </w:p>
        </w:tc>
        <w:tc>
          <w:tcPr>
            <w:tcW w:w="0" w:type="auto"/>
            <w:shd w:val="clear" w:color="auto" w:fill="FFFFFF"/>
            <w:tcMar>
              <w:top w:w="0" w:type="dxa"/>
              <w:left w:w="0" w:type="dxa"/>
              <w:bottom w:w="0" w:type="dxa"/>
              <w:right w:w="0" w:type="dxa"/>
            </w:tcMar>
          </w:tcPr>
          <w:p w14:paraId="3D6B6DBA" w14:textId="77777777" w:rsidR="008B4DF8" w:rsidRPr="00C1603D" w:rsidRDefault="008B4DF8" w:rsidP="00943414">
            <w:pPr>
              <w:pStyle w:val="72TabletextTablesTableFigureBoxstyles"/>
            </w:pPr>
            <w:r w:rsidRPr="00C1603D">
              <w:rPr>
                <w:rFonts w:eastAsia="Arial"/>
              </w:rPr>
              <w:t>535</w:t>
            </w:r>
          </w:p>
        </w:tc>
        <w:tc>
          <w:tcPr>
            <w:tcW w:w="0" w:type="auto"/>
            <w:shd w:val="clear" w:color="auto" w:fill="FFFFFF"/>
            <w:tcMar>
              <w:top w:w="0" w:type="dxa"/>
              <w:left w:w="0" w:type="dxa"/>
              <w:bottom w:w="0" w:type="dxa"/>
              <w:right w:w="0" w:type="dxa"/>
            </w:tcMar>
          </w:tcPr>
          <w:p w14:paraId="5D5D5F98" w14:textId="5449C013"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6229410E"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3B19312"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2E640357"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DE0E65D" w14:textId="77777777" w:rsidR="008B4DF8" w:rsidRPr="00C1603D" w:rsidRDefault="008B4DF8" w:rsidP="00943414">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47F25BBF" w14:textId="56083F98" w:rsidR="008B4DF8" w:rsidRPr="00C1603D" w:rsidRDefault="009D5AC0" w:rsidP="00943414">
            <w:pPr>
              <w:pStyle w:val="72TabletextTablesTableFigureBoxstyles"/>
            </w:pPr>
            <w:r w:rsidRPr="00C1603D">
              <w:rPr>
                <w:rFonts w:eastAsia="Arial"/>
                <w:noProof/>
              </w:rPr>
              <w:t xml:space="preserve">Kumar </w:t>
            </w:r>
            <w:r w:rsidRPr="00C1603D">
              <w:rPr>
                <w:rFonts w:eastAsia="Arial"/>
                <w:i/>
                <w:iCs/>
                <w:noProof/>
              </w:rPr>
              <w:t>et al</w:t>
            </w:r>
            <w:r w:rsidRPr="00C1603D">
              <w:rPr>
                <w:rFonts w:eastAsia="Arial"/>
                <w:noProof/>
              </w:rPr>
              <w:t>.</w:t>
            </w:r>
            <w:r w:rsidR="008B4DF8" w:rsidRPr="00C1603D">
              <w:rPr>
                <w:rFonts w:eastAsia="Arial"/>
                <w:noProof/>
                <w:vertAlign w:val="superscript"/>
              </w:rPr>
              <w:t>429</w:t>
            </w:r>
          </w:p>
        </w:tc>
      </w:tr>
      <w:tr w:rsidR="009D5AC0" w:rsidRPr="00C1603D" w14:paraId="12BD04C2" w14:textId="77777777" w:rsidTr="00943414">
        <w:trPr>
          <w:cantSplit/>
        </w:trPr>
        <w:tc>
          <w:tcPr>
            <w:tcW w:w="0" w:type="auto"/>
            <w:shd w:val="clear" w:color="auto" w:fill="FFFFFF"/>
            <w:tcMar>
              <w:top w:w="0" w:type="dxa"/>
              <w:left w:w="0" w:type="dxa"/>
              <w:bottom w:w="0" w:type="dxa"/>
              <w:right w:w="0" w:type="dxa"/>
            </w:tcMar>
          </w:tcPr>
          <w:p w14:paraId="6F4D397C" w14:textId="77777777" w:rsidR="008B4DF8" w:rsidRPr="00C1603D" w:rsidRDefault="008B4DF8" w:rsidP="00943414">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00A32CE2" w14:textId="19615069"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EFD7DB2" w14:textId="77777777" w:rsidR="008B4DF8" w:rsidRPr="00C1603D" w:rsidRDefault="008B4DF8" w:rsidP="00943414">
            <w:pPr>
              <w:pStyle w:val="72TabletextTablesTableFigureBoxstyles"/>
            </w:pPr>
            <w:r w:rsidRPr="00C1603D">
              <w:rPr>
                <w:rFonts w:eastAsia="Arial"/>
              </w:rPr>
              <w:t>Recurrent pregnancy loss</w:t>
            </w:r>
          </w:p>
        </w:tc>
        <w:tc>
          <w:tcPr>
            <w:tcW w:w="0" w:type="auto"/>
            <w:shd w:val="clear" w:color="auto" w:fill="FFFFFF"/>
            <w:tcMar>
              <w:top w:w="0" w:type="dxa"/>
              <w:left w:w="0" w:type="dxa"/>
              <w:bottom w:w="0" w:type="dxa"/>
              <w:right w:w="0" w:type="dxa"/>
            </w:tcMar>
          </w:tcPr>
          <w:p w14:paraId="2DCBD3DB" w14:textId="77777777" w:rsidR="008B4DF8" w:rsidRPr="00C1603D" w:rsidRDefault="008B4DF8" w:rsidP="00943414">
            <w:pPr>
              <w:pStyle w:val="72TabletextTablesTableFigureBoxstyles"/>
            </w:pPr>
            <w:r w:rsidRPr="00C1603D">
              <w:rPr>
                <w:rFonts w:eastAsia="Arial"/>
              </w:rPr>
              <w:t>808</w:t>
            </w:r>
          </w:p>
        </w:tc>
        <w:tc>
          <w:tcPr>
            <w:tcW w:w="0" w:type="auto"/>
            <w:shd w:val="clear" w:color="auto" w:fill="FFFFFF"/>
            <w:tcMar>
              <w:top w:w="0" w:type="dxa"/>
              <w:left w:w="0" w:type="dxa"/>
              <w:bottom w:w="0" w:type="dxa"/>
              <w:right w:w="0" w:type="dxa"/>
            </w:tcMar>
          </w:tcPr>
          <w:p w14:paraId="7F8B54C1" w14:textId="2C5A86D3"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1F3F70A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FD1948D"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63CD5EB"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6E7530A" w14:textId="57B65037" w:rsidR="008B4DF8" w:rsidRPr="00C1603D" w:rsidRDefault="008B4DF8" w:rsidP="00943414">
            <w:pPr>
              <w:pStyle w:val="72TabletextTablesTableFigureBoxstyles"/>
            </w:pPr>
            <w:r w:rsidRPr="00C1603D">
              <w:rPr>
                <w:rFonts w:eastAsia="Arial"/>
              </w:rPr>
              <w:t>US</w:t>
            </w:r>
            <w:r w:rsidR="00283A6F" w:rsidRPr="00C1603D">
              <w:rPr>
                <w:rFonts w:eastAsia="Arial"/>
              </w:rPr>
              <w:t>A</w:t>
            </w:r>
          </w:p>
        </w:tc>
        <w:tc>
          <w:tcPr>
            <w:tcW w:w="0" w:type="auto"/>
            <w:shd w:val="clear" w:color="auto" w:fill="FFFFFF"/>
            <w:tcMar>
              <w:top w:w="0" w:type="dxa"/>
              <w:left w:w="0" w:type="dxa"/>
              <w:bottom w:w="0" w:type="dxa"/>
              <w:right w:w="0" w:type="dxa"/>
            </w:tcMar>
          </w:tcPr>
          <w:p w14:paraId="53698916" w14:textId="39F35828" w:rsidR="008B4DF8" w:rsidRPr="00C1603D" w:rsidRDefault="009D5AC0" w:rsidP="00943414">
            <w:pPr>
              <w:pStyle w:val="72TabletextTablesTableFigureBoxstyles"/>
            </w:pPr>
            <w:r w:rsidRPr="00C1603D">
              <w:rPr>
                <w:rFonts w:eastAsia="Arial"/>
                <w:noProof/>
              </w:rPr>
              <w:t xml:space="preserve">Kutteh </w:t>
            </w:r>
            <w:r w:rsidRPr="00C1603D">
              <w:rPr>
                <w:rFonts w:eastAsia="Arial"/>
                <w:i/>
                <w:iCs/>
                <w:noProof/>
              </w:rPr>
              <w:t>et al</w:t>
            </w:r>
            <w:r w:rsidRPr="00C1603D">
              <w:rPr>
                <w:rFonts w:eastAsia="Arial"/>
                <w:noProof/>
              </w:rPr>
              <w:t>.</w:t>
            </w:r>
            <w:r w:rsidR="008B4DF8" w:rsidRPr="00C1603D">
              <w:rPr>
                <w:rFonts w:eastAsia="Arial"/>
                <w:noProof/>
                <w:vertAlign w:val="superscript"/>
              </w:rPr>
              <w:t>430</w:t>
            </w:r>
          </w:p>
        </w:tc>
      </w:tr>
      <w:tr w:rsidR="009D5AC0" w:rsidRPr="00C1603D" w14:paraId="7F2714FF" w14:textId="77777777" w:rsidTr="00943414">
        <w:trPr>
          <w:cantSplit/>
        </w:trPr>
        <w:tc>
          <w:tcPr>
            <w:tcW w:w="0" w:type="auto"/>
            <w:shd w:val="clear" w:color="auto" w:fill="FFFFFF"/>
            <w:tcMar>
              <w:top w:w="0" w:type="dxa"/>
              <w:left w:w="0" w:type="dxa"/>
              <w:bottom w:w="0" w:type="dxa"/>
              <w:right w:w="0" w:type="dxa"/>
            </w:tcMar>
          </w:tcPr>
          <w:p w14:paraId="786C524D"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E9E4D47" w14:textId="26F6F40F"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A079FFE" w14:textId="77777777" w:rsidR="008B4DF8" w:rsidRPr="00C1603D" w:rsidRDefault="008B4DF8" w:rsidP="00943414">
            <w:pPr>
              <w:pStyle w:val="72TabletextTablesTableFigureBoxstyles"/>
            </w:pPr>
            <w:r w:rsidRPr="00C1603D">
              <w:rPr>
                <w:rFonts w:eastAsia="Arial"/>
              </w:rPr>
              <w:t>Recurrent pregnancy loss</w:t>
            </w:r>
          </w:p>
        </w:tc>
        <w:tc>
          <w:tcPr>
            <w:tcW w:w="0" w:type="auto"/>
            <w:shd w:val="clear" w:color="auto" w:fill="FFFFFF"/>
            <w:tcMar>
              <w:top w:w="0" w:type="dxa"/>
              <w:left w:w="0" w:type="dxa"/>
              <w:bottom w:w="0" w:type="dxa"/>
              <w:right w:w="0" w:type="dxa"/>
            </w:tcMar>
          </w:tcPr>
          <w:p w14:paraId="2191AF36" w14:textId="77777777" w:rsidR="008B4DF8" w:rsidRPr="00C1603D" w:rsidRDefault="008B4DF8" w:rsidP="00943414">
            <w:pPr>
              <w:pStyle w:val="72TabletextTablesTableFigureBoxstyles"/>
            </w:pPr>
            <w:r w:rsidRPr="00C1603D">
              <w:rPr>
                <w:rFonts w:eastAsia="Arial"/>
              </w:rPr>
              <w:t>409</w:t>
            </w:r>
          </w:p>
        </w:tc>
        <w:tc>
          <w:tcPr>
            <w:tcW w:w="0" w:type="auto"/>
            <w:shd w:val="clear" w:color="auto" w:fill="FFFFFF"/>
            <w:tcMar>
              <w:top w:w="0" w:type="dxa"/>
              <w:left w:w="0" w:type="dxa"/>
              <w:bottom w:w="0" w:type="dxa"/>
              <w:right w:w="0" w:type="dxa"/>
            </w:tcMar>
          </w:tcPr>
          <w:p w14:paraId="6CFB7F95" w14:textId="27F3120A"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075A7696"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4840AEC"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48A3BC93"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C86401F" w14:textId="77777777" w:rsidR="008B4DF8" w:rsidRPr="00C1603D" w:rsidRDefault="008B4DF8" w:rsidP="00943414">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5556D49B" w14:textId="6F5F8AE0" w:rsidR="008B4DF8" w:rsidRPr="00C1603D" w:rsidRDefault="009D5AC0" w:rsidP="00943414">
            <w:pPr>
              <w:pStyle w:val="72TabletextTablesTableFigureBoxstyles"/>
            </w:pPr>
            <w:r w:rsidRPr="00C1603D">
              <w:rPr>
                <w:rFonts w:eastAsia="Arial"/>
                <w:noProof/>
              </w:rPr>
              <w:t xml:space="preserve">Kumar </w:t>
            </w:r>
            <w:r w:rsidRPr="00C1603D">
              <w:rPr>
                <w:rFonts w:eastAsia="Arial"/>
                <w:i/>
                <w:iCs/>
                <w:noProof/>
              </w:rPr>
              <w:t>et al</w:t>
            </w:r>
            <w:r w:rsidRPr="00C1603D">
              <w:rPr>
                <w:rFonts w:eastAsia="Arial"/>
                <w:noProof/>
              </w:rPr>
              <w:t>.</w:t>
            </w:r>
            <w:r w:rsidR="008B4DF8" w:rsidRPr="00C1603D">
              <w:rPr>
                <w:rFonts w:eastAsia="Arial"/>
                <w:noProof/>
                <w:vertAlign w:val="superscript"/>
              </w:rPr>
              <w:t>429</w:t>
            </w:r>
          </w:p>
        </w:tc>
      </w:tr>
      <w:tr w:rsidR="009D5AC0" w:rsidRPr="00C1603D" w14:paraId="4FE63868" w14:textId="77777777" w:rsidTr="00943414">
        <w:trPr>
          <w:cantSplit/>
        </w:trPr>
        <w:tc>
          <w:tcPr>
            <w:tcW w:w="0" w:type="auto"/>
            <w:shd w:val="clear" w:color="auto" w:fill="FFFFFF"/>
            <w:tcMar>
              <w:top w:w="0" w:type="dxa"/>
              <w:left w:w="0" w:type="dxa"/>
              <w:bottom w:w="0" w:type="dxa"/>
              <w:right w:w="0" w:type="dxa"/>
            </w:tcMar>
          </w:tcPr>
          <w:p w14:paraId="195D80E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327314E" w14:textId="2059D3D4"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019B3BD5" w14:textId="77777777" w:rsidR="008B4DF8" w:rsidRPr="00C1603D" w:rsidRDefault="008B4DF8" w:rsidP="00943414">
            <w:pPr>
              <w:pStyle w:val="72TabletextTablesTableFigureBoxstyles"/>
            </w:pPr>
            <w:r w:rsidRPr="00C1603D">
              <w:rPr>
                <w:rFonts w:eastAsia="Arial"/>
              </w:rPr>
              <w:t>Recurrent pregnancy loss</w:t>
            </w:r>
          </w:p>
        </w:tc>
        <w:tc>
          <w:tcPr>
            <w:tcW w:w="0" w:type="auto"/>
            <w:shd w:val="clear" w:color="auto" w:fill="FFFFFF"/>
            <w:tcMar>
              <w:top w:w="0" w:type="dxa"/>
              <w:left w:w="0" w:type="dxa"/>
              <w:bottom w:w="0" w:type="dxa"/>
              <w:right w:w="0" w:type="dxa"/>
            </w:tcMar>
          </w:tcPr>
          <w:p w14:paraId="3B52FA39" w14:textId="77777777" w:rsidR="008B4DF8" w:rsidRPr="00C1603D" w:rsidRDefault="008B4DF8" w:rsidP="00943414">
            <w:pPr>
              <w:pStyle w:val="72TabletextTablesTableFigureBoxstyles"/>
            </w:pPr>
            <w:r w:rsidRPr="00C1603D">
              <w:rPr>
                <w:rFonts w:eastAsia="Arial"/>
              </w:rPr>
              <w:t>86</w:t>
            </w:r>
          </w:p>
        </w:tc>
        <w:tc>
          <w:tcPr>
            <w:tcW w:w="0" w:type="auto"/>
            <w:shd w:val="clear" w:color="auto" w:fill="FFFFFF"/>
            <w:tcMar>
              <w:top w:w="0" w:type="dxa"/>
              <w:left w:w="0" w:type="dxa"/>
              <w:bottom w:w="0" w:type="dxa"/>
              <w:right w:w="0" w:type="dxa"/>
            </w:tcMar>
          </w:tcPr>
          <w:p w14:paraId="79563E1D" w14:textId="3307C4C1"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7C99C8EE"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2BE4FF8"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4A0E9A2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D3CF229"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1622CB84" w14:textId="6700EEB6" w:rsidR="008B4DF8" w:rsidRPr="00C1603D" w:rsidRDefault="009D5AC0" w:rsidP="00943414">
            <w:pPr>
              <w:pStyle w:val="72TabletextTablesTableFigureBoxstyles"/>
            </w:pPr>
            <w:r w:rsidRPr="00C1603D">
              <w:rPr>
                <w:rFonts w:eastAsia="Arial"/>
                <w:noProof/>
              </w:rPr>
              <w:t xml:space="preserve">Sarikaya </w:t>
            </w:r>
            <w:r w:rsidRPr="00C1603D">
              <w:rPr>
                <w:rFonts w:eastAsia="Arial"/>
                <w:i/>
                <w:iCs/>
                <w:noProof/>
              </w:rPr>
              <w:t>et al</w:t>
            </w:r>
            <w:r w:rsidRPr="00C1603D">
              <w:rPr>
                <w:rFonts w:eastAsia="Arial"/>
                <w:noProof/>
              </w:rPr>
              <w:t>.</w:t>
            </w:r>
            <w:r w:rsidR="008B4DF8" w:rsidRPr="00C1603D">
              <w:rPr>
                <w:rFonts w:eastAsia="Arial"/>
                <w:noProof/>
                <w:vertAlign w:val="superscript"/>
              </w:rPr>
              <w:t>431</w:t>
            </w:r>
          </w:p>
        </w:tc>
      </w:tr>
      <w:tr w:rsidR="009D5AC0" w:rsidRPr="00C1603D" w14:paraId="67911BA0" w14:textId="77777777" w:rsidTr="00943414">
        <w:trPr>
          <w:cantSplit/>
        </w:trPr>
        <w:tc>
          <w:tcPr>
            <w:tcW w:w="0" w:type="auto"/>
            <w:shd w:val="clear" w:color="auto" w:fill="FFFFFF"/>
            <w:tcMar>
              <w:top w:w="0" w:type="dxa"/>
              <w:left w:w="0" w:type="dxa"/>
              <w:bottom w:w="0" w:type="dxa"/>
              <w:right w:w="0" w:type="dxa"/>
            </w:tcMar>
          </w:tcPr>
          <w:p w14:paraId="4E0EC320"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7607832" w14:textId="3B05982F"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AEFDA46" w14:textId="77777777" w:rsidR="008B4DF8" w:rsidRPr="00C1603D" w:rsidRDefault="008B4DF8" w:rsidP="00943414">
            <w:pPr>
              <w:pStyle w:val="72TabletextTablesTableFigureBoxstyles"/>
            </w:pPr>
            <w:r w:rsidRPr="00C1603D">
              <w:rPr>
                <w:rFonts w:eastAsia="Arial"/>
              </w:rPr>
              <w:t>Unexplained infertility</w:t>
            </w:r>
          </w:p>
        </w:tc>
        <w:tc>
          <w:tcPr>
            <w:tcW w:w="0" w:type="auto"/>
            <w:shd w:val="clear" w:color="auto" w:fill="FFFFFF"/>
            <w:tcMar>
              <w:top w:w="0" w:type="dxa"/>
              <w:left w:w="0" w:type="dxa"/>
              <w:bottom w:w="0" w:type="dxa"/>
              <w:right w:w="0" w:type="dxa"/>
            </w:tcMar>
          </w:tcPr>
          <w:p w14:paraId="1E958D8B" w14:textId="77777777" w:rsidR="008B4DF8" w:rsidRPr="00C1603D" w:rsidRDefault="008B4DF8" w:rsidP="00943414">
            <w:pPr>
              <w:pStyle w:val="72TabletextTablesTableFigureBoxstyles"/>
            </w:pPr>
            <w:r w:rsidRPr="00C1603D">
              <w:rPr>
                <w:rFonts w:eastAsia="Arial"/>
              </w:rPr>
              <w:t>402</w:t>
            </w:r>
          </w:p>
        </w:tc>
        <w:tc>
          <w:tcPr>
            <w:tcW w:w="0" w:type="auto"/>
            <w:shd w:val="clear" w:color="auto" w:fill="FFFFFF"/>
            <w:tcMar>
              <w:top w:w="0" w:type="dxa"/>
              <w:left w:w="0" w:type="dxa"/>
              <w:bottom w:w="0" w:type="dxa"/>
              <w:right w:w="0" w:type="dxa"/>
            </w:tcMar>
          </w:tcPr>
          <w:p w14:paraId="6A63C65D" w14:textId="4C13DFA7"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10BDD8D2"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E33AD81" w14:textId="1018E6A5"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7F94170F"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F459B8C" w14:textId="77777777" w:rsidR="008B4DF8" w:rsidRPr="00C1603D" w:rsidRDefault="008B4DF8" w:rsidP="00943414">
            <w:pPr>
              <w:pStyle w:val="72TabletextTablesTableFigureBoxstyles"/>
            </w:pPr>
            <w:r w:rsidRPr="00C1603D">
              <w:rPr>
                <w:rFonts w:eastAsia="Arial"/>
              </w:rPr>
              <w:t>Israel</w:t>
            </w:r>
          </w:p>
        </w:tc>
        <w:tc>
          <w:tcPr>
            <w:tcW w:w="0" w:type="auto"/>
            <w:shd w:val="clear" w:color="auto" w:fill="FFFFFF"/>
            <w:tcMar>
              <w:top w:w="0" w:type="dxa"/>
              <w:left w:w="0" w:type="dxa"/>
              <w:bottom w:w="0" w:type="dxa"/>
              <w:right w:w="0" w:type="dxa"/>
            </w:tcMar>
          </w:tcPr>
          <w:p w14:paraId="5C6D48DD" w14:textId="22D0098D" w:rsidR="008B4DF8" w:rsidRPr="00C1603D" w:rsidRDefault="009D5AC0" w:rsidP="00943414">
            <w:pPr>
              <w:pStyle w:val="72TabletextTablesTableFigureBoxstyles"/>
            </w:pPr>
            <w:r w:rsidRPr="00C1603D">
              <w:rPr>
                <w:rFonts w:eastAsia="Arial"/>
                <w:noProof/>
              </w:rPr>
              <w:t xml:space="preserve">Shamaly </w:t>
            </w:r>
            <w:r w:rsidRPr="00C1603D">
              <w:rPr>
                <w:rFonts w:eastAsia="Arial"/>
                <w:i/>
                <w:iCs/>
                <w:noProof/>
              </w:rPr>
              <w:t>et al</w:t>
            </w:r>
            <w:r w:rsidRPr="00C1603D">
              <w:rPr>
                <w:rFonts w:eastAsia="Arial"/>
                <w:noProof/>
              </w:rPr>
              <w:t>.</w:t>
            </w:r>
            <w:r w:rsidR="008B4DF8" w:rsidRPr="00C1603D">
              <w:rPr>
                <w:rFonts w:eastAsia="Arial"/>
                <w:noProof/>
                <w:vertAlign w:val="superscript"/>
              </w:rPr>
              <w:t>432</w:t>
            </w:r>
          </w:p>
        </w:tc>
      </w:tr>
      <w:tr w:rsidR="009D5AC0" w:rsidRPr="00C1603D" w14:paraId="783B8917" w14:textId="77777777" w:rsidTr="00943414">
        <w:trPr>
          <w:cantSplit/>
        </w:trPr>
        <w:tc>
          <w:tcPr>
            <w:tcW w:w="0" w:type="auto"/>
            <w:shd w:val="clear" w:color="auto" w:fill="FFFFFF"/>
            <w:tcMar>
              <w:top w:w="0" w:type="dxa"/>
              <w:left w:w="0" w:type="dxa"/>
              <w:bottom w:w="0" w:type="dxa"/>
              <w:right w:w="0" w:type="dxa"/>
            </w:tcMar>
          </w:tcPr>
          <w:p w14:paraId="44DDC50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ADD9490" w14:textId="45039882"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7199100E" w14:textId="77777777" w:rsidR="008B4DF8" w:rsidRPr="00C1603D" w:rsidRDefault="008B4DF8" w:rsidP="00943414">
            <w:pPr>
              <w:pStyle w:val="72TabletextTablesTableFigureBoxstyles"/>
            </w:pPr>
            <w:r w:rsidRPr="00C1603D">
              <w:rPr>
                <w:rFonts w:eastAsia="Arial"/>
              </w:rPr>
              <w:t>Recurrent pregnancy loss</w:t>
            </w:r>
          </w:p>
        </w:tc>
        <w:tc>
          <w:tcPr>
            <w:tcW w:w="0" w:type="auto"/>
            <w:shd w:val="clear" w:color="auto" w:fill="FFFFFF"/>
            <w:tcMar>
              <w:top w:w="0" w:type="dxa"/>
              <w:left w:w="0" w:type="dxa"/>
              <w:bottom w:w="0" w:type="dxa"/>
              <w:right w:w="0" w:type="dxa"/>
            </w:tcMar>
          </w:tcPr>
          <w:p w14:paraId="1809EEB0" w14:textId="77777777" w:rsidR="008B4DF8" w:rsidRPr="00C1603D" w:rsidRDefault="008B4DF8" w:rsidP="00943414">
            <w:pPr>
              <w:pStyle w:val="72TabletextTablesTableFigureBoxstyles"/>
            </w:pPr>
            <w:r w:rsidRPr="00C1603D">
              <w:rPr>
                <w:rFonts w:eastAsia="Arial"/>
              </w:rPr>
              <w:t>232</w:t>
            </w:r>
          </w:p>
        </w:tc>
        <w:tc>
          <w:tcPr>
            <w:tcW w:w="0" w:type="auto"/>
            <w:shd w:val="clear" w:color="auto" w:fill="FFFFFF"/>
            <w:tcMar>
              <w:top w:w="0" w:type="dxa"/>
              <w:left w:w="0" w:type="dxa"/>
              <w:bottom w:w="0" w:type="dxa"/>
              <w:right w:w="0" w:type="dxa"/>
            </w:tcMar>
          </w:tcPr>
          <w:p w14:paraId="50168451" w14:textId="3177E4B5"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0ADF01F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85B9289"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C116CE2"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38AEF26" w14:textId="6A299141" w:rsidR="008B4DF8" w:rsidRPr="00C1603D" w:rsidRDefault="008B4DF8" w:rsidP="00943414">
            <w:pPr>
              <w:pStyle w:val="72TabletextTablesTableFigureBoxstyles"/>
            </w:pPr>
            <w:r w:rsidRPr="00C1603D">
              <w:rPr>
                <w:rFonts w:eastAsia="Arial"/>
              </w:rPr>
              <w:t>US</w:t>
            </w:r>
            <w:r w:rsidR="00283A6F" w:rsidRPr="00C1603D">
              <w:rPr>
                <w:rFonts w:eastAsia="Arial"/>
              </w:rPr>
              <w:t>A</w:t>
            </w:r>
          </w:p>
        </w:tc>
        <w:tc>
          <w:tcPr>
            <w:tcW w:w="0" w:type="auto"/>
            <w:shd w:val="clear" w:color="auto" w:fill="FFFFFF"/>
            <w:tcMar>
              <w:top w:w="0" w:type="dxa"/>
              <w:left w:w="0" w:type="dxa"/>
              <w:bottom w:w="0" w:type="dxa"/>
              <w:right w:w="0" w:type="dxa"/>
            </w:tcMar>
          </w:tcPr>
          <w:p w14:paraId="24053E80" w14:textId="61C64505" w:rsidR="008B4DF8" w:rsidRPr="00C1603D" w:rsidRDefault="009D5AC0" w:rsidP="00943414">
            <w:pPr>
              <w:pStyle w:val="72TabletextTablesTableFigureBoxstyles"/>
            </w:pPr>
            <w:r w:rsidRPr="00C1603D">
              <w:rPr>
                <w:rFonts w:eastAsia="Arial"/>
                <w:noProof/>
              </w:rPr>
              <w:t xml:space="preserve">Sharshiner </w:t>
            </w:r>
            <w:r w:rsidRPr="00C1603D">
              <w:rPr>
                <w:rFonts w:eastAsia="Arial"/>
                <w:i/>
                <w:iCs/>
                <w:noProof/>
              </w:rPr>
              <w:t>et al</w:t>
            </w:r>
            <w:r w:rsidRPr="00C1603D">
              <w:rPr>
                <w:rFonts w:eastAsia="Arial"/>
                <w:noProof/>
              </w:rPr>
              <w:t>.</w:t>
            </w:r>
            <w:r w:rsidR="008B4DF8" w:rsidRPr="00C1603D">
              <w:rPr>
                <w:rFonts w:eastAsia="Arial"/>
                <w:noProof/>
                <w:vertAlign w:val="superscript"/>
              </w:rPr>
              <w:t>433</w:t>
            </w:r>
          </w:p>
        </w:tc>
      </w:tr>
      <w:tr w:rsidR="009D5AC0" w:rsidRPr="00C1603D" w14:paraId="6D69DFEE" w14:textId="77777777" w:rsidTr="00943414">
        <w:trPr>
          <w:cantSplit/>
        </w:trPr>
        <w:tc>
          <w:tcPr>
            <w:tcW w:w="0" w:type="auto"/>
            <w:shd w:val="clear" w:color="auto" w:fill="FFFFFF"/>
            <w:tcMar>
              <w:top w:w="0" w:type="dxa"/>
              <w:left w:w="0" w:type="dxa"/>
              <w:bottom w:w="0" w:type="dxa"/>
              <w:right w:w="0" w:type="dxa"/>
            </w:tcMar>
          </w:tcPr>
          <w:p w14:paraId="1F073A55"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35595D5" w14:textId="0256CCC4"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5620D1B" w14:textId="77777777" w:rsidR="008B4DF8" w:rsidRPr="00C1603D" w:rsidRDefault="008B4DF8" w:rsidP="00943414">
            <w:pPr>
              <w:pStyle w:val="72TabletextTablesTableFigureBoxstyles"/>
            </w:pPr>
            <w:r w:rsidRPr="00C1603D">
              <w:rPr>
                <w:rFonts w:eastAsia="Arial"/>
              </w:rPr>
              <w:t>Infertility</w:t>
            </w:r>
          </w:p>
        </w:tc>
        <w:tc>
          <w:tcPr>
            <w:tcW w:w="0" w:type="auto"/>
            <w:shd w:val="clear" w:color="auto" w:fill="FFFFFF"/>
            <w:tcMar>
              <w:top w:w="0" w:type="dxa"/>
              <w:left w:w="0" w:type="dxa"/>
              <w:bottom w:w="0" w:type="dxa"/>
              <w:right w:w="0" w:type="dxa"/>
            </w:tcMar>
          </w:tcPr>
          <w:p w14:paraId="0D9DA10C" w14:textId="77777777" w:rsidR="008B4DF8" w:rsidRPr="00C1603D" w:rsidRDefault="008B4DF8" w:rsidP="00943414">
            <w:pPr>
              <w:pStyle w:val="72TabletextTablesTableFigureBoxstyles"/>
            </w:pPr>
            <w:r w:rsidRPr="00C1603D">
              <w:rPr>
                <w:rFonts w:eastAsia="Arial"/>
              </w:rPr>
              <w:t>400</w:t>
            </w:r>
          </w:p>
        </w:tc>
        <w:tc>
          <w:tcPr>
            <w:tcW w:w="0" w:type="auto"/>
            <w:shd w:val="clear" w:color="auto" w:fill="FFFFFF"/>
            <w:tcMar>
              <w:top w:w="0" w:type="dxa"/>
              <w:left w:w="0" w:type="dxa"/>
              <w:bottom w:w="0" w:type="dxa"/>
              <w:right w:w="0" w:type="dxa"/>
            </w:tcMar>
          </w:tcPr>
          <w:p w14:paraId="733813D6" w14:textId="5F8DC1D4"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495DE7B6"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28F0B68" w14:textId="2903DE17"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4B569E7"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EAC8395"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2B40BB9A" w14:textId="79629C94" w:rsidR="008B4DF8" w:rsidRPr="00C1603D" w:rsidRDefault="009D5AC0" w:rsidP="00943414">
            <w:pPr>
              <w:pStyle w:val="72TabletextTablesTableFigureBoxstyles"/>
            </w:pPr>
            <w:r w:rsidRPr="00C1603D">
              <w:rPr>
                <w:rFonts w:eastAsia="Arial"/>
                <w:noProof/>
              </w:rPr>
              <w:t xml:space="preserve">Tiboni </w:t>
            </w:r>
            <w:r w:rsidRPr="00C1603D">
              <w:rPr>
                <w:rFonts w:eastAsia="Arial"/>
                <w:i/>
                <w:iCs/>
                <w:noProof/>
              </w:rPr>
              <w:t>et al</w:t>
            </w:r>
            <w:r w:rsidRPr="00C1603D">
              <w:rPr>
                <w:rFonts w:eastAsia="Arial"/>
                <w:noProof/>
              </w:rPr>
              <w:t>.</w:t>
            </w:r>
            <w:r w:rsidR="008B4DF8" w:rsidRPr="00C1603D">
              <w:rPr>
                <w:rFonts w:eastAsia="Arial"/>
                <w:noProof/>
                <w:vertAlign w:val="superscript"/>
              </w:rPr>
              <w:t>434</w:t>
            </w:r>
          </w:p>
        </w:tc>
      </w:tr>
      <w:tr w:rsidR="009D5AC0" w:rsidRPr="00C1603D" w14:paraId="6A128F21" w14:textId="77777777" w:rsidTr="00943414">
        <w:trPr>
          <w:cantSplit/>
        </w:trPr>
        <w:tc>
          <w:tcPr>
            <w:tcW w:w="0" w:type="auto"/>
            <w:shd w:val="clear" w:color="auto" w:fill="FFFFFF"/>
            <w:tcMar>
              <w:top w:w="0" w:type="dxa"/>
              <w:left w:w="0" w:type="dxa"/>
              <w:bottom w:w="0" w:type="dxa"/>
              <w:right w:w="0" w:type="dxa"/>
            </w:tcMar>
          </w:tcPr>
          <w:p w14:paraId="11C09743"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477AB1A" w14:textId="549EB4C0"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DEBBC0B" w14:textId="77777777" w:rsidR="008B4DF8" w:rsidRPr="00C1603D" w:rsidRDefault="008B4DF8" w:rsidP="00943414">
            <w:pPr>
              <w:pStyle w:val="72TabletextTablesTableFigureBoxstyles"/>
            </w:pPr>
            <w:r w:rsidRPr="00C1603D">
              <w:rPr>
                <w:rFonts w:eastAsia="Arial"/>
              </w:rPr>
              <w:t>Infertility</w:t>
            </w:r>
          </w:p>
        </w:tc>
        <w:tc>
          <w:tcPr>
            <w:tcW w:w="0" w:type="auto"/>
            <w:shd w:val="clear" w:color="auto" w:fill="FFFFFF"/>
            <w:tcMar>
              <w:top w:w="0" w:type="dxa"/>
              <w:left w:w="0" w:type="dxa"/>
              <w:bottom w:w="0" w:type="dxa"/>
              <w:right w:w="0" w:type="dxa"/>
            </w:tcMar>
          </w:tcPr>
          <w:p w14:paraId="7799C34A" w14:textId="77777777" w:rsidR="008B4DF8" w:rsidRPr="00C1603D" w:rsidRDefault="008B4DF8" w:rsidP="00943414">
            <w:pPr>
              <w:pStyle w:val="72TabletextTablesTableFigureBoxstyles"/>
            </w:pPr>
            <w:r w:rsidRPr="00C1603D">
              <w:rPr>
                <w:rFonts w:eastAsia="Arial"/>
              </w:rPr>
              <w:t>297</w:t>
            </w:r>
          </w:p>
        </w:tc>
        <w:tc>
          <w:tcPr>
            <w:tcW w:w="0" w:type="auto"/>
            <w:shd w:val="clear" w:color="auto" w:fill="FFFFFF"/>
            <w:tcMar>
              <w:top w:w="0" w:type="dxa"/>
              <w:left w:w="0" w:type="dxa"/>
              <w:bottom w:w="0" w:type="dxa"/>
              <w:right w:w="0" w:type="dxa"/>
            </w:tcMar>
          </w:tcPr>
          <w:p w14:paraId="60E5F128" w14:textId="5C51C631"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70616E5C"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4D3AFAA"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2806EA7F"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2C5EC688" w14:textId="77777777" w:rsidR="008B4DF8" w:rsidRPr="00C1603D" w:rsidRDefault="008B4DF8" w:rsidP="00943414">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4AF31251" w14:textId="6FDF61C6" w:rsidR="008B4DF8" w:rsidRPr="00C1603D" w:rsidRDefault="009D5AC0" w:rsidP="00943414">
            <w:pPr>
              <w:pStyle w:val="72TabletextTablesTableFigureBoxstyles"/>
            </w:pPr>
            <w:r w:rsidRPr="00C1603D">
              <w:rPr>
                <w:rFonts w:eastAsia="Arial"/>
                <w:noProof/>
              </w:rPr>
              <w:t>Zahmatkeshan</w:t>
            </w:r>
            <w:r w:rsidR="008B4DF8" w:rsidRPr="00C1603D">
              <w:rPr>
                <w:rFonts w:eastAsia="Arial"/>
                <w:noProof/>
                <w:vertAlign w:val="superscript"/>
              </w:rPr>
              <w:t>435</w:t>
            </w:r>
          </w:p>
        </w:tc>
      </w:tr>
      <w:tr w:rsidR="009D5AC0" w:rsidRPr="00C1603D" w14:paraId="47E6C67E" w14:textId="77777777" w:rsidTr="00943414">
        <w:trPr>
          <w:cantSplit/>
        </w:trPr>
        <w:tc>
          <w:tcPr>
            <w:tcW w:w="0" w:type="auto"/>
            <w:shd w:val="clear" w:color="auto" w:fill="FFFFFF"/>
            <w:tcMar>
              <w:top w:w="0" w:type="dxa"/>
              <w:left w:w="0" w:type="dxa"/>
              <w:bottom w:w="0" w:type="dxa"/>
              <w:right w:w="0" w:type="dxa"/>
            </w:tcMar>
          </w:tcPr>
          <w:p w14:paraId="6509DFCB"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6DB63C9" w14:textId="0EC5E4BF"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98FE537" w14:textId="77777777" w:rsidR="008B4DF8" w:rsidRPr="00C1603D" w:rsidRDefault="008B4DF8" w:rsidP="00943414">
            <w:pPr>
              <w:pStyle w:val="72TabletextTablesTableFigureBoxstyles"/>
            </w:pPr>
            <w:r w:rsidRPr="00C1603D">
              <w:rPr>
                <w:rFonts w:eastAsia="Arial"/>
              </w:rPr>
              <w:t>Infertility</w:t>
            </w:r>
          </w:p>
        </w:tc>
        <w:tc>
          <w:tcPr>
            <w:tcW w:w="0" w:type="auto"/>
            <w:shd w:val="clear" w:color="auto" w:fill="FFFFFF"/>
            <w:tcMar>
              <w:top w:w="0" w:type="dxa"/>
              <w:left w:w="0" w:type="dxa"/>
              <w:bottom w:w="0" w:type="dxa"/>
              <w:right w:w="0" w:type="dxa"/>
            </w:tcMar>
          </w:tcPr>
          <w:p w14:paraId="50596EF5" w14:textId="77777777" w:rsidR="008B4DF8" w:rsidRPr="00C1603D" w:rsidRDefault="008B4DF8" w:rsidP="00943414">
            <w:pPr>
              <w:pStyle w:val="72TabletextTablesTableFigureBoxstyles"/>
            </w:pPr>
            <w:r w:rsidRPr="00C1603D">
              <w:rPr>
                <w:rFonts w:eastAsia="Arial"/>
              </w:rPr>
              <w:t>1675</w:t>
            </w:r>
          </w:p>
        </w:tc>
        <w:tc>
          <w:tcPr>
            <w:tcW w:w="0" w:type="auto"/>
            <w:shd w:val="clear" w:color="auto" w:fill="FFFFFF"/>
            <w:tcMar>
              <w:top w:w="0" w:type="dxa"/>
              <w:left w:w="0" w:type="dxa"/>
              <w:bottom w:w="0" w:type="dxa"/>
              <w:right w:w="0" w:type="dxa"/>
            </w:tcMar>
          </w:tcPr>
          <w:p w14:paraId="12029023" w14:textId="482D4062"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07604E1C"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4A12EEA" w14:textId="004C4053"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69176F7"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58D9ECD" w14:textId="275971B0" w:rsidR="008B4DF8" w:rsidRPr="00C1603D" w:rsidRDefault="008B4DF8" w:rsidP="00943414">
            <w:pPr>
              <w:pStyle w:val="72TabletextTablesTableFigureBoxstyles"/>
            </w:pPr>
            <w:r w:rsidRPr="00C1603D">
              <w:rPr>
                <w:rFonts w:eastAsia="Arial"/>
              </w:rPr>
              <w:t>Czech</w:t>
            </w:r>
            <w:r w:rsidR="00283A6F" w:rsidRPr="00C1603D">
              <w:rPr>
                <w:rFonts w:eastAsia="Arial"/>
              </w:rPr>
              <w:t>ia</w:t>
            </w:r>
          </w:p>
        </w:tc>
        <w:tc>
          <w:tcPr>
            <w:tcW w:w="0" w:type="auto"/>
            <w:shd w:val="clear" w:color="auto" w:fill="FFFFFF"/>
            <w:tcMar>
              <w:top w:w="0" w:type="dxa"/>
              <w:left w:w="0" w:type="dxa"/>
              <w:bottom w:w="0" w:type="dxa"/>
              <w:right w:w="0" w:type="dxa"/>
            </w:tcMar>
          </w:tcPr>
          <w:p w14:paraId="7511D35E" w14:textId="06D98C5A" w:rsidR="008B4DF8" w:rsidRPr="00C1603D" w:rsidRDefault="009D5AC0" w:rsidP="00943414">
            <w:pPr>
              <w:pStyle w:val="72TabletextTablesTableFigureBoxstyles"/>
            </w:pPr>
            <w:r w:rsidRPr="00C1603D">
              <w:rPr>
                <w:rFonts w:eastAsia="Arial"/>
                <w:noProof/>
              </w:rPr>
              <w:t xml:space="preserve">Vanciková </w:t>
            </w:r>
            <w:r w:rsidRPr="00C1603D">
              <w:rPr>
                <w:rFonts w:eastAsia="Arial"/>
                <w:i/>
                <w:iCs/>
                <w:noProof/>
              </w:rPr>
              <w:t>et al</w:t>
            </w:r>
            <w:r w:rsidRPr="00C1603D">
              <w:rPr>
                <w:rFonts w:eastAsia="Arial"/>
                <w:noProof/>
              </w:rPr>
              <w:t>.</w:t>
            </w:r>
            <w:r w:rsidR="008B4DF8" w:rsidRPr="00C1603D">
              <w:rPr>
                <w:rFonts w:eastAsia="Arial"/>
                <w:noProof/>
                <w:vertAlign w:val="superscript"/>
              </w:rPr>
              <w:t>415</w:t>
            </w:r>
          </w:p>
        </w:tc>
      </w:tr>
      <w:tr w:rsidR="009D5AC0" w:rsidRPr="00C1603D" w14:paraId="056DB8F2" w14:textId="77777777" w:rsidTr="00943414">
        <w:trPr>
          <w:cantSplit/>
        </w:trPr>
        <w:tc>
          <w:tcPr>
            <w:tcW w:w="0" w:type="auto"/>
            <w:shd w:val="clear" w:color="auto" w:fill="FFFFFF"/>
            <w:tcMar>
              <w:top w:w="0" w:type="dxa"/>
              <w:left w:w="0" w:type="dxa"/>
              <w:bottom w:w="0" w:type="dxa"/>
              <w:right w:w="0" w:type="dxa"/>
            </w:tcMar>
          </w:tcPr>
          <w:p w14:paraId="7B59A7A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9820112"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4B6FE0FC" w14:textId="77777777" w:rsidR="008B4DF8" w:rsidRPr="00C1603D" w:rsidRDefault="008B4DF8" w:rsidP="00943414">
            <w:pPr>
              <w:pStyle w:val="72TabletextTablesTableFigureBoxstyles"/>
            </w:pPr>
            <w:r w:rsidRPr="00C1603D">
              <w:rPr>
                <w:rFonts w:eastAsia="Arial"/>
              </w:rPr>
              <w:t>Spontaneous abortion</w:t>
            </w:r>
          </w:p>
        </w:tc>
        <w:tc>
          <w:tcPr>
            <w:tcW w:w="0" w:type="auto"/>
            <w:shd w:val="clear" w:color="auto" w:fill="FFFFFF"/>
            <w:tcMar>
              <w:top w:w="0" w:type="dxa"/>
              <w:left w:w="0" w:type="dxa"/>
              <w:bottom w:w="0" w:type="dxa"/>
              <w:right w:w="0" w:type="dxa"/>
            </w:tcMar>
          </w:tcPr>
          <w:p w14:paraId="1E170E66" w14:textId="77777777" w:rsidR="008B4DF8" w:rsidRPr="00C1603D" w:rsidRDefault="008B4DF8" w:rsidP="00943414">
            <w:pPr>
              <w:pStyle w:val="72TabletextTablesTableFigureBoxstyles"/>
            </w:pPr>
            <w:r w:rsidRPr="00C1603D">
              <w:rPr>
                <w:rFonts w:eastAsia="Arial"/>
              </w:rPr>
              <w:t>5060</w:t>
            </w:r>
          </w:p>
        </w:tc>
        <w:tc>
          <w:tcPr>
            <w:tcW w:w="0" w:type="auto"/>
            <w:shd w:val="clear" w:color="auto" w:fill="FFFFFF"/>
            <w:tcMar>
              <w:top w:w="0" w:type="dxa"/>
              <w:left w:w="0" w:type="dxa"/>
              <w:bottom w:w="0" w:type="dxa"/>
              <w:right w:w="0" w:type="dxa"/>
            </w:tcMar>
          </w:tcPr>
          <w:p w14:paraId="75901347" w14:textId="0B0BCFBD"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33407BC9" w14:textId="77777777" w:rsidR="008B4DF8" w:rsidRPr="00C1603D" w:rsidRDefault="008B4DF8" w:rsidP="00943414">
            <w:pPr>
              <w:pStyle w:val="72TabletextTablesTableFigureBoxstyles"/>
            </w:pPr>
            <w:r w:rsidRPr="00C1603D">
              <w:rPr>
                <w:rFonts w:eastAsia="Arial"/>
              </w:rPr>
              <w:t>Women without spontaneous abortion</w:t>
            </w:r>
          </w:p>
        </w:tc>
        <w:tc>
          <w:tcPr>
            <w:tcW w:w="0" w:type="auto"/>
            <w:shd w:val="clear" w:color="auto" w:fill="FFFFFF"/>
            <w:tcMar>
              <w:top w:w="0" w:type="dxa"/>
              <w:left w:w="0" w:type="dxa"/>
              <w:bottom w:w="0" w:type="dxa"/>
              <w:right w:w="0" w:type="dxa"/>
            </w:tcMar>
          </w:tcPr>
          <w:p w14:paraId="4BD9A490" w14:textId="77C76FF1"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78AFA48"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9B0916C"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75C79A0C" w14:textId="44E21DC3" w:rsidR="008B4DF8" w:rsidRPr="00C1603D" w:rsidRDefault="009D5AC0" w:rsidP="00943414">
            <w:pPr>
              <w:pStyle w:val="72TabletextTablesTableFigureBoxstyles"/>
            </w:pPr>
            <w:r w:rsidRPr="00C1603D">
              <w:rPr>
                <w:rFonts w:eastAsia="Arial"/>
                <w:noProof/>
              </w:rPr>
              <w:t xml:space="preserve">Greco </w:t>
            </w:r>
            <w:r w:rsidRPr="00C1603D">
              <w:rPr>
                <w:rFonts w:eastAsia="Arial"/>
                <w:i/>
                <w:iCs/>
                <w:noProof/>
              </w:rPr>
              <w:t>et al</w:t>
            </w:r>
            <w:r w:rsidRPr="00C1603D">
              <w:rPr>
                <w:rFonts w:eastAsia="Arial"/>
                <w:noProof/>
              </w:rPr>
              <w:t>.</w:t>
            </w:r>
            <w:r w:rsidR="008B4DF8" w:rsidRPr="00C1603D">
              <w:rPr>
                <w:rFonts w:eastAsia="Arial"/>
                <w:noProof/>
                <w:vertAlign w:val="superscript"/>
              </w:rPr>
              <w:t>322</w:t>
            </w:r>
          </w:p>
        </w:tc>
      </w:tr>
      <w:tr w:rsidR="009D5AC0" w:rsidRPr="00C1603D" w14:paraId="3CCC5B3D" w14:textId="77777777" w:rsidTr="00943414">
        <w:trPr>
          <w:cantSplit/>
        </w:trPr>
        <w:tc>
          <w:tcPr>
            <w:tcW w:w="0" w:type="auto"/>
            <w:shd w:val="clear" w:color="auto" w:fill="FFFFFF"/>
            <w:tcMar>
              <w:top w:w="0" w:type="dxa"/>
              <w:left w:w="0" w:type="dxa"/>
              <w:bottom w:w="0" w:type="dxa"/>
              <w:right w:w="0" w:type="dxa"/>
            </w:tcMar>
          </w:tcPr>
          <w:p w14:paraId="5D5CD5AF"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D7E7623"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0786F535" w14:textId="77777777" w:rsidR="008B4DF8" w:rsidRPr="00C1603D" w:rsidRDefault="008B4DF8" w:rsidP="00943414">
            <w:pPr>
              <w:pStyle w:val="72TabletextTablesTableFigureBoxstyles"/>
            </w:pPr>
            <w:r w:rsidRPr="00C1603D">
              <w:rPr>
                <w:rFonts w:eastAsia="Arial"/>
              </w:rPr>
              <w:t>Infertility</w:t>
            </w:r>
          </w:p>
        </w:tc>
        <w:tc>
          <w:tcPr>
            <w:tcW w:w="0" w:type="auto"/>
            <w:shd w:val="clear" w:color="auto" w:fill="FFFFFF"/>
            <w:tcMar>
              <w:top w:w="0" w:type="dxa"/>
              <w:left w:w="0" w:type="dxa"/>
              <w:bottom w:w="0" w:type="dxa"/>
              <w:right w:w="0" w:type="dxa"/>
            </w:tcMar>
          </w:tcPr>
          <w:p w14:paraId="5F79B996"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5BD18655" w14:textId="5F2D3ADC"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01B58BA" w14:textId="77777777" w:rsidR="008B4DF8" w:rsidRPr="00C1603D" w:rsidRDefault="008B4DF8" w:rsidP="00943414">
            <w:pPr>
              <w:pStyle w:val="72TabletextTablesTableFigureBoxstyles"/>
            </w:pPr>
            <w:r w:rsidRPr="00C1603D">
              <w:rPr>
                <w:rFonts w:eastAsia="Arial"/>
              </w:rPr>
              <w:t>People without infertility</w:t>
            </w:r>
          </w:p>
        </w:tc>
        <w:tc>
          <w:tcPr>
            <w:tcW w:w="0" w:type="auto"/>
            <w:shd w:val="clear" w:color="auto" w:fill="FFFFFF"/>
            <w:tcMar>
              <w:top w:w="0" w:type="dxa"/>
              <w:left w:w="0" w:type="dxa"/>
              <w:bottom w:w="0" w:type="dxa"/>
              <w:right w:w="0" w:type="dxa"/>
            </w:tcMar>
          </w:tcPr>
          <w:p w14:paraId="042795FD" w14:textId="5C7C9897"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DB1CA25"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28A4F956" w14:textId="1C9062C3" w:rsidR="008B4DF8" w:rsidRPr="00C1603D" w:rsidRDefault="008B4DF8" w:rsidP="00943414">
            <w:pPr>
              <w:pStyle w:val="72TabletextTablesTableFigureBoxstyles"/>
            </w:pPr>
            <w:r w:rsidRPr="00C1603D">
              <w:rPr>
                <w:rFonts w:eastAsia="Arial"/>
              </w:rPr>
              <w:t>US</w:t>
            </w:r>
            <w:r w:rsidR="00283A6F" w:rsidRPr="00C1603D">
              <w:rPr>
                <w:rFonts w:eastAsia="Arial"/>
              </w:rPr>
              <w:t>A</w:t>
            </w:r>
          </w:p>
        </w:tc>
        <w:tc>
          <w:tcPr>
            <w:tcW w:w="0" w:type="auto"/>
            <w:shd w:val="clear" w:color="auto" w:fill="FFFFFF"/>
            <w:tcMar>
              <w:top w:w="0" w:type="dxa"/>
              <w:left w:w="0" w:type="dxa"/>
              <w:bottom w:w="0" w:type="dxa"/>
              <w:right w:w="0" w:type="dxa"/>
            </w:tcMar>
          </w:tcPr>
          <w:p w14:paraId="5BFE1083" w14:textId="37F848FD" w:rsidR="008B4DF8" w:rsidRPr="00C1603D" w:rsidRDefault="009D5AC0"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9D5AC0" w:rsidRPr="00C1603D" w14:paraId="7EFECA30" w14:textId="77777777" w:rsidTr="00943414">
        <w:trPr>
          <w:cantSplit/>
        </w:trPr>
        <w:tc>
          <w:tcPr>
            <w:tcW w:w="0" w:type="auto"/>
            <w:shd w:val="clear" w:color="auto" w:fill="FFFFFF"/>
            <w:tcMar>
              <w:top w:w="0" w:type="dxa"/>
              <w:left w:w="0" w:type="dxa"/>
              <w:bottom w:w="0" w:type="dxa"/>
              <w:right w:w="0" w:type="dxa"/>
            </w:tcMar>
          </w:tcPr>
          <w:p w14:paraId="06D51159" w14:textId="77777777" w:rsidR="008B4DF8" w:rsidRPr="00C1603D" w:rsidRDefault="008B4DF8" w:rsidP="00943414">
            <w:pPr>
              <w:pStyle w:val="72TabletextTablesTableFigureBoxstyles"/>
              <w:rPr>
                <w:rFonts w:eastAsia="Arial"/>
              </w:rPr>
            </w:pPr>
            <w:r w:rsidRPr="00C1603D">
              <w:rPr>
                <w:rFonts w:eastAsia="Arial"/>
              </w:rPr>
              <w:t>Adults</w:t>
            </w:r>
          </w:p>
        </w:tc>
        <w:tc>
          <w:tcPr>
            <w:tcW w:w="0" w:type="auto"/>
            <w:shd w:val="clear" w:color="auto" w:fill="FFFFFF"/>
            <w:tcMar>
              <w:top w:w="0" w:type="dxa"/>
              <w:left w:w="0" w:type="dxa"/>
              <w:bottom w:w="0" w:type="dxa"/>
              <w:right w:w="0" w:type="dxa"/>
            </w:tcMar>
          </w:tcPr>
          <w:p w14:paraId="3707432C" w14:textId="77777777" w:rsidR="008B4DF8" w:rsidRPr="00C1603D" w:rsidRDefault="008B4DF8" w:rsidP="00943414">
            <w:pPr>
              <w:pStyle w:val="72TabletextTablesTableFigureBoxstyles"/>
              <w:rPr>
                <w:rFonts w:eastAsia="Arial"/>
              </w:rPr>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2CA8BF89" w14:textId="77777777" w:rsidR="008B4DF8" w:rsidRPr="00C1603D" w:rsidRDefault="008B4DF8" w:rsidP="00943414">
            <w:pPr>
              <w:pStyle w:val="72TabletextTablesTableFigureBoxstyles"/>
              <w:rPr>
                <w:rFonts w:eastAsia="Arial"/>
              </w:rPr>
            </w:pPr>
            <w:r w:rsidRPr="00C1603D">
              <w:rPr>
                <w:rFonts w:eastAsia="Arial"/>
              </w:rPr>
              <w:t>Previous abortion</w:t>
            </w:r>
          </w:p>
        </w:tc>
        <w:tc>
          <w:tcPr>
            <w:tcW w:w="0" w:type="auto"/>
            <w:shd w:val="clear" w:color="auto" w:fill="FFFFFF"/>
            <w:tcMar>
              <w:top w:w="0" w:type="dxa"/>
              <w:left w:w="0" w:type="dxa"/>
              <w:bottom w:w="0" w:type="dxa"/>
              <w:right w:w="0" w:type="dxa"/>
            </w:tcMar>
          </w:tcPr>
          <w:p w14:paraId="60C8A85C" w14:textId="77777777" w:rsidR="008B4DF8" w:rsidRPr="00C1603D" w:rsidRDefault="008B4DF8" w:rsidP="00943414">
            <w:pPr>
              <w:pStyle w:val="72TabletextTablesTableFigureBoxstyles"/>
              <w:rPr>
                <w:rFonts w:eastAsia="Arial"/>
              </w:rPr>
            </w:pPr>
            <w:r w:rsidRPr="00C1603D">
              <w:rPr>
                <w:rFonts w:eastAsia="Arial"/>
              </w:rPr>
              <w:t>619</w:t>
            </w:r>
          </w:p>
        </w:tc>
        <w:tc>
          <w:tcPr>
            <w:tcW w:w="0" w:type="auto"/>
            <w:shd w:val="clear" w:color="auto" w:fill="FFFFFF"/>
            <w:tcMar>
              <w:top w:w="0" w:type="dxa"/>
              <w:left w:w="0" w:type="dxa"/>
              <w:bottom w:w="0" w:type="dxa"/>
              <w:right w:w="0" w:type="dxa"/>
            </w:tcMar>
          </w:tcPr>
          <w:p w14:paraId="0CEFB71A" w14:textId="6537E269" w:rsidR="008B4DF8" w:rsidRPr="00C1603D" w:rsidRDefault="008B4DF8" w:rsidP="00943414">
            <w:pPr>
              <w:pStyle w:val="72TabletextTablesTableFigureBoxstyles"/>
              <w:rPr>
                <w:rFonts w:eastAsia="Arial"/>
              </w:rPr>
            </w:pPr>
            <w:r w:rsidRPr="00C1603D">
              <w:rPr>
                <w:rFonts w:eastAsia="Arial"/>
              </w:rPr>
              <w:t>100</w:t>
            </w:r>
          </w:p>
        </w:tc>
        <w:tc>
          <w:tcPr>
            <w:tcW w:w="0" w:type="auto"/>
            <w:shd w:val="clear" w:color="auto" w:fill="FFFFFF"/>
            <w:tcMar>
              <w:top w:w="0" w:type="dxa"/>
              <w:left w:w="0" w:type="dxa"/>
              <w:bottom w:w="0" w:type="dxa"/>
              <w:right w:w="0" w:type="dxa"/>
            </w:tcMar>
          </w:tcPr>
          <w:p w14:paraId="63502694" w14:textId="77777777" w:rsidR="008B4DF8" w:rsidRPr="00C1603D" w:rsidRDefault="008B4DF8" w:rsidP="00943414">
            <w:pPr>
              <w:pStyle w:val="72TabletextTablesTableFigureBoxstyles"/>
              <w:rPr>
                <w:rFonts w:eastAsia="Arial"/>
              </w:rPr>
            </w:pPr>
            <w:r w:rsidRPr="00C1603D">
              <w:rPr>
                <w:rFonts w:eastAsia="Arial"/>
              </w:rPr>
              <w:t>People without previous abortion</w:t>
            </w:r>
          </w:p>
        </w:tc>
        <w:tc>
          <w:tcPr>
            <w:tcW w:w="0" w:type="auto"/>
            <w:shd w:val="clear" w:color="auto" w:fill="FFFFFF"/>
            <w:tcMar>
              <w:top w:w="0" w:type="dxa"/>
              <w:left w:w="0" w:type="dxa"/>
              <w:bottom w:w="0" w:type="dxa"/>
              <w:right w:w="0" w:type="dxa"/>
            </w:tcMar>
          </w:tcPr>
          <w:p w14:paraId="14E4D635" w14:textId="3F966CCA" w:rsidR="008B4DF8" w:rsidRPr="00C1603D" w:rsidRDefault="008B4DF8" w:rsidP="00943414">
            <w:pPr>
              <w:pStyle w:val="72TabletextTablesTableFigureBoxstyles"/>
              <w:rPr>
                <w:rFonts w:eastAsia="Arial"/>
              </w:rPr>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29FA6BF3" w14:textId="77777777" w:rsidR="008B4DF8" w:rsidRPr="00C1603D" w:rsidRDefault="008B4DF8" w:rsidP="00943414">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070C01B4" w14:textId="0E66E5F3" w:rsidR="008B4DF8" w:rsidRPr="00C1603D" w:rsidRDefault="008B4DF8" w:rsidP="00943414">
            <w:pPr>
              <w:pStyle w:val="72TabletextTablesTableFigureBoxstyles"/>
              <w:rPr>
                <w:rFonts w:eastAsia="Arial"/>
              </w:rPr>
            </w:pPr>
            <w:r w:rsidRPr="00C1603D">
              <w:rPr>
                <w:rFonts w:eastAsia="Arial"/>
              </w:rPr>
              <w:t>US</w:t>
            </w:r>
            <w:r w:rsidR="00283A6F" w:rsidRPr="00C1603D">
              <w:rPr>
                <w:rFonts w:eastAsia="Arial"/>
              </w:rPr>
              <w:t>A</w:t>
            </w:r>
          </w:p>
        </w:tc>
        <w:tc>
          <w:tcPr>
            <w:tcW w:w="0" w:type="auto"/>
            <w:shd w:val="clear" w:color="auto" w:fill="FFFFFF"/>
            <w:tcMar>
              <w:top w:w="0" w:type="dxa"/>
              <w:left w:w="0" w:type="dxa"/>
              <w:bottom w:w="0" w:type="dxa"/>
              <w:right w:w="0" w:type="dxa"/>
            </w:tcMar>
          </w:tcPr>
          <w:p w14:paraId="72AA013F" w14:textId="0D28F73C" w:rsidR="008B4DF8" w:rsidRPr="00C1603D" w:rsidRDefault="009D5AC0" w:rsidP="00943414">
            <w:pPr>
              <w:pStyle w:val="72TabletextTablesTableFigureBoxstyles"/>
              <w:rPr>
                <w:rFonts w:eastAsia="Arial"/>
              </w:rPr>
            </w:pPr>
            <w:r w:rsidRPr="00C1603D">
              <w:rPr>
                <w:rFonts w:eastAsia="Arial"/>
                <w:noProof/>
              </w:rPr>
              <w:t xml:space="preserve">Celdir </w:t>
            </w:r>
            <w:r w:rsidRPr="00C1603D">
              <w:rPr>
                <w:rFonts w:eastAsia="Arial"/>
                <w:i/>
                <w:iCs/>
                <w:noProof/>
              </w:rPr>
              <w:t>et al</w:t>
            </w:r>
            <w:r w:rsidRPr="00C1603D">
              <w:rPr>
                <w:rFonts w:eastAsia="Arial"/>
                <w:noProof/>
              </w:rPr>
              <w:t>.</w:t>
            </w:r>
            <w:r w:rsidR="008B4DF8" w:rsidRPr="00C1603D">
              <w:rPr>
                <w:rFonts w:eastAsia="Arial"/>
                <w:noProof/>
                <w:vertAlign w:val="superscript"/>
              </w:rPr>
              <w:t>436</w:t>
            </w:r>
          </w:p>
        </w:tc>
      </w:tr>
      <w:tr w:rsidR="009D5AC0" w:rsidRPr="00C1603D" w14:paraId="50E3DC81" w14:textId="77777777" w:rsidTr="00943414">
        <w:trPr>
          <w:cantSplit/>
        </w:trPr>
        <w:tc>
          <w:tcPr>
            <w:tcW w:w="0" w:type="auto"/>
            <w:shd w:val="clear" w:color="auto" w:fill="FFFFFF"/>
            <w:tcMar>
              <w:top w:w="0" w:type="dxa"/>
              <w:left w:w="0" w:type="dxa"/>
              <w:bottom w:w="0" w:type="dxa"/>
              <w:right w:w="0" w:type="dxa"/>
            </w:tcMar>
          </w:tcPr>
          <w:p w14:paraId="0F9FA0D5"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9E9B58F"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(DI)</w:t>
            </w:r>
          </w:p>
        </w:tc>
        <w:tc>
          <w:tcPr>
            <w:tcW w:w="0" w:type="auto"/>
            <w:shd w:val="clear" w:color="auto" w:fill="FFFFFF"/>
            <w:tcMar>
              <w:top w:w="0" w:type="dxa"/>
              <w:left w:w="0" w:type="dxa"/>
              <w:bottom w:w="0" w:type="dxa"/>
              <w:right w:w="0" w:type="dxa"/>
            </w:tcMar>
          </w:tcPr>
          <w:p w14:paraId="15E73945" w14:textId="77777777" w:rsidR="008B4DF8" w:rsidRPr="00C1603D" w:rsidRDefault="008B4DF8" w:rsidP="00943414">
            <w:pPr>
              <w:pStyle w:val="72TabletextTablesTableFigureBoxstyles"/>
            </w:pPr>
            <w:r w:rsidRPr="00C1603D">
              <w:rPr>
                <w:rFonts w:eastAsia="Arial"/>
              </w:rPr>
              <w:t>Previous miscarriage</w:t>
            </w:r>
          </w:p>
        </w:tc>
        <w:tc>
          <w:tcPr>
            <w:tcW w:w="0" w:type="auto"/>
            <w:shd w:val="clear" w:color="auto" w:fill="FFFFFF"/>
            <w:tcMar>
              <w:top w:w="0" w:type="dxa"/>
              <w:left w:w="0" w:type="dxa"/>
              <w:bottom w:w="0" w:type="dxa"/>
              <w:right w:w="0" w:type="dxa"/>
            </w:tcMar>
          </w:tcPr>
          <w:p w14:paraId="628CCB87" w14:textId="77777777" w:rsidR="008B4DF8" w:rsidRPr="00C1603D" w:rsidRDefault="008B4DF8" w:rsidP="00943414">
            <w:pPr>
              <w:pStyle w:val="72TabletextTablesTableFigureBoxstyles"/>
            </w:pPr>
            <w:r w:rsidRPr="00C1603D">
              <w:rPr>
                <w:rFonts w:eastAsia="Arial"/>
              </w:rPr>
              <w:t>218</w:t>
            </w:r>
          </w:p>
        </w:tc>
        <w:tc>
          <w:tcPr>
            <w:tcW w:w="0" w:type="auto"/>
            <w:shd w:val="clear" w:color="auto" w:fill="FFFFFF"/>
            <w:tcMar>
              <w:top w:w="0" w:type="dxa"/>
              <w:left w:w="0" w:type="dxa"/>
              <w:bottom w:w="0" w:type="dxa"/>
              <w:right w:w="0" w:type="dxa"/>
            </w:tcMar>
          </w:tcPr>
          <w:p w14:paraId="4E68F47A" w14:textId="2BF5C3D7"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2B77BE85"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BD4B1C2" w14:textId="0B9C00D3"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19B43738"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1B72DB8"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5B61C588" w14:textId="36DDBD39" w:rsidR="008B4DF8" w:rsidRPr="00C1603D" w:rsidRDefault="009D5AC0" w:rsidP="00943414">
            <w:pPr>
              <w:pStyle w:val="72TabletextTablesTableFigureBoxstyles"/>
            </w:pPr>
            <w:r w:rsidRPr="00C1603D">
              <w:rPr>
                <w:rFonts w:eastAsia="Arial"/>
                <w:noProof/>
              </w:rPr>
              <w:t xml:space="preserve">Martinelli </w:t>
            </w:r>
            <w:r w:rsidRPr="00C1603D">
              <w:rPr>
                <w:rFonts w:eastAsia="Arial"/>
                <w:i/>
                <w:iCs/>
                <w:noProof/>
              </w:rPr>
              <w:t>et al</w:t>
            </w:r>
            <w:r w:rsidRPr="00C1603D">
              <w:rPr>
                <w:rFonts w:eastAsia="Arial"/>
                <w:noProof/>
              </w:rPr>
              <w:t>.</w:t>
            </w:r>
            <w:r w:rsidR="008B4DF8" w:rsidRPr="00C1603D">
              <w:rPr>
                <w:rFonts w:eastAsia="Arial"/>
                <w:noProof/>
                <w:vertAlign w:val="superscript"/>
              </w:rPr>
              <w:t>437</w:t>
            </w:r>
          </w:p>
        </w:tc>
      </w:tr>
      <w:tr w:rsidR="0076020F" w:rsidRPr="00C1603D" w14:paraId="232E901B" w14:textId="77777777" w:rsidTr="001D3CCF">
        <w:trPr>
          <w:cantSplit/>
        </w:trPr>
        <w:tc>
          <w:tcPr>
            <w:tcW w:w="0" w:type="auto"/>
            <w:gridSpan w:val="10"/>
            <w:shd w:val="clear" w:color="auto" w:fill="FFFFFF"/>
            <w:tcMar>
              <w:top w:w="0" w:type="dxa"/>
              <w:left w:w="0" w:type="dxa"/>
              <w:bottom w:w="0" w:type="dxa"/>
              <w:right w:w="0" w:type="dxa"/>
            </w:tcMar>
          </w:tcPr>
          <w:p w14:paraId="3E06BA87" w14:textId="4922A198" w:rsidR="0076020F" w:rsidRPr="00C1603D" w:rsidRDefault="0076020F" w:rsidP="0076020F">
            <w:pPr>
              <w:pStyle w:val="75TablenotesTablesTableFigureBoxstyles"/>
              <w:rPr>
                <w:rFonts w:eastAsia="Arial"/>
                <w:noProof/>
                <w:vertAlign w:val="superscript"/>
              </w:rPr>
            </w:pPr>
            <w:r w:rsidRPr="00C1603D">
              <w:rPr>
                <w:rFonts w:eastAsia="Arial"/>
                <w:noProof/>
              </w:rPr>
              <w:t>DI, diagnostic indicator.</w:t>
            </w:r>
          </w:p>
        </w:tc>
      </w:tr>
    </w:tbl>
    <w:p w14:paraId="508F227F" w14:textId="44EBA636" w:rsidR="008B4DF8" w:rsidRPr="00C1603D" w:rsidRDefault="008B4DF8" w:rsidP="008B4DF8">
      <w:pPr>
        <w:pStyle w:val="70TablelegendTablesTableFigureBoxstyles"/>
      </w:pPr>
      <w:bookmarkStart w:id="607" w:name="_Toc99720757"/>
      <w:r w:rsidRPr="00C1603D">
        <w:rPr>
          <w:b/>
        </w:rPr>
        <w:t>TABLE 4</w:t>
      </w:r>
      <w:r w:rsidR="00032460" w:rsidRPr="00C1603D">
        <w:rPr>
          <w:b/>
        </w:rPr>
        <w:t>7</w:t>
      </w:r>
      <w:r w:rsidRPr="00C1603D">
        <w:rPr>
          <w:b/>
        </w:rPr>
        <w:t> </w:t>
      </w:r>
      <w:r w:rsidRPr="00C1603D">
        <w:t xml:space="preserve">Study characteristic: </w:t>
      </w:r>
      <w:r w:rsidR="00943414" w:rsidRPr="00C1603D">
        <w:t>type 1 dia</w:t>
      </w:r>
      <w:r w:rsidRPr="00C1603D">
        <w:t>betes</w:t>
      </w:r>
      <w:bookmarkEnd w:id="607"/>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26"/>
        <w:gridCol w:w="781"/>
        <w:gridCol w:w="789"/>
        <w:gridCol w:w="659"/>
        <w:gridCol w:w="666"/>
        <w:gridCol w:w="949"/>
        <w:gridCol w:w="1220"/>
        <w:gridCol w:w="1015"/>
        <w:gridCol w:w="707"/>
        <w:gridCol w:w="1314"/>
      </w:tblGrid>
      <w:tr w:rsidR="00A12351" w:rsidRPr="00C1603D" w14:paraId="4FB99484" w14:textId="77777777" w:rsidTr="00943414">
        <w:trPr>
          <w:cantSplit/>
        </w:trPr>
        <w:tc>
          <w:tcPr>
            <w:tcW w:w="0" w:type="auto"/>
            <w:shd w:val="clear" w:color="auto" w:fill="FFFFFF"/>
            <w:tcMar>
              <w:top w:w="0" w:type="dxa"/>
              <w:left w:w="0" w:type="dxa"/>
              <w:bottom w:w="0" w:type="dxa"/>
              <w:right w:w="0" w:type="dxa"/>
            </w:tcMar>
          </w:tcPr>
          <w:p w14:paraId="1E2B2F9D" w14:textId="7C1AAAB6"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79CE6CD4" w14:textId="66376A13"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F31F633" w14:textId="061882AC"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3ABF0607" w14:textId="0D59B60B"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4D570BFD"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1F73D3C3"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98F9411"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54301ACE"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54812761"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79D08635" w14:textId="77777777" w:rsidR="001902E7" w:rsidRPr="00C1603D" w:rsidRDefault="001902E7" w:rsidP="001902E7">
            <w:pPr>
              <w:pStyle w:val="710TableheadTablesTableFigureBoxstyles"/>
            </w:pPr>
            <w:r w:rsidRPr="00C1603D">
              <w:rPr>
                <w:rFonts w:eastAsia="Arial"/>
              </w:rPr>
              <w:t>Reference</w:t>
            </w:r>
          </w:p>
        </w:tc>
      </w:tr>
      <w:tr w:rsidR="00A12351" w:rsidRPr="00C1603D" w14:paraId="63AA0739" w14:textId="77777777" w:rsidTr="00943414">
        <w:trPr>
          <w:cantSplit/>
        </w:trPr>
        <w:tc>
          <w:tcPr>
            <w:tcW w:w="0" w:type="auto"/>
            <w:shd w:val="clear" w:color="auto" w:fill="FFFFFF"/>
            <w:tcMar>
              <w:top w:w="0" w:type="dxa"/>
              <w:left w:w="0" w:type="dxa"/>
              <w:bottom w:w="0" w:type="dxa"/>
              <w:right w:w="0" w:type="dxa"/>
            </w:tcMar>
          </w:tcPr>
          <w:p w14:paraId="1D837022"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6719C92" w14:textId="6A24DD0D"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F906D2C" w14:textId="416FC92D" w:rsidR="008B4DF8" w:rsidRPr="00C1603D" w:rsidRDefault="008B4DF8" w:rsidP="00943414">
            <w:pPr>
              <w:pStyle w:val="72TabletextTablesTableFigureBoxstyles"/>
            </w:pPr>
            <w:r w:rsidRPr="00C1603D">
              <w:rPr>
                <w:rFonts w:eastAsia="Arial"/>
              </w:rPr>
              <w:t xml:space="preserve">Type 1 </w:t>
            </w:r>
            <w:r w:rsidR="009D5AC0" w:rsidRPr="00C1603D">
              <w:rPr>
                <w:rFonts w:eastAsia="Arial"/>
              </w:rPr>
              <w:t>diabetes</w:t>
            </w:r>
          </w:p>
        </w:tc>
        <w:tc>
          <w:tcPr>
            <w:tcW w:w="0" w:type="auto"/>
            <w:shd w:val="clear" w:color="auto" w:fill="FFFFFF"/>
            <w:tcMar>
              <w:top w:w="0" w:type="dxa"/>
              <w:left w:w="0" w:type="dxa"/>
              <w:bottom w:w="0" w:type="dxa"/>
              <w:right w:w="0" w:type="dxa"/>
            </w:tcMar>
          </w:tcPr>
          <w:p w14:paraId="42B90C8C" w14:textId="77777777" w:rsidR="008B4DF8" w:rsidRPr="00C1603D" w:rsidRDefault="008B4DF8" w:rsidP="00943414">
            <w:pPr>
              <w:pStyle w:val="72TabletextTablesTableFigureBoxstyles"/>
            </w:pPr>
            <w:r w:rsidRPr="00C1603D">
              <w:rPr>
                <w:rFonts w:eastAsia="Arial"/>
              </w:rPr>
              <w:t>600</w:t>
            </w:r>
          </w:p>
        </w:tc>
        <w:tc>
          <w:tcPr>
            <w:tcW w:w="0" w:type="auto"/>
            <w:shd w:val="clear" w:color="auto" w:fill="FFFFFF"/>
            <w:tcMar>
              <w:top w:w="0" w:type="dxa"/>
              <w:left w:w="0" w:type="dxa"/>
              <w:bottom w:w="0" w:type="dxa"/>
              <w:right w:w="0" w:type="dxa"/>
            </w:tcMar>
          </w:tcPr>
          <w:p w14:paraId="50232F59" w14:textId="4ED9DBE8"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0DC5706"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0037E62" w14:textId="569D1BA0"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114638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63AD10F" w14:textId="77777777" w:rsidR="008B4DF8" w:rsidRPr="00C1603D" w:rsidRDefault="008B4DF8" w:rsidP="00943414">
            <w:pPr>
              <w:pStyle w:val="72TabletextTablesTableFigureBoxstyles"/>
            </w:pPr>
            <w:r w:rsidRPr="00C1603D">
              <w:rPr>
                <w:rFonts w:eastAsia="Arial"/>
              </w:rPr>
              <w:t>Egypt</w:t>
            </w:r>
          </w:p>
        </w:tc>
        <w:tc>
          <w:tcPr>
            <w:tcW w:w="0" w:type="auto"/>
            <w:shd w:val="clear" w:color="auto" w:fill="FFFFFF"/>
            <w:tcMar>
              <w:top w:w="0" w:type="dxa"/>
              <w:left w:w="0" w:type="dxa"/>
              <w:bottom w:w="0" w:type="dxa"/>
              <w:right w:w="0" w:type="dxa"/>
            </w:tcMar>
          </w:tcPr>
          <w:p w14:paraId="4973344B" w14:textId="5787F757" w:rsidR="008B4DF8" w:rsidRPr="00C1603D" w:rsidRDefault="009D5AC0" w:rsidP="00943414">
            <w:pPr>
              <w:pStyle w:val="72TabletextTablesTableFigureBoxstyles"/>
            </w:pPr>
            <w:r w:rsidRPr="00C1603D">
              <w:rPr>
                <w:rFonts w:eastAsia="Arial"/>
                <w:noProof/>
              </w:rPr>
              <w:t xml:space="preserve">Mohammed </w:t>
            </w:r>
            <w:r w:rsidRPr="00C1603D">
              <w:rPr>
                <w:rFonts w:eastAsia="Arial"/>
                <w:i/>
                <w:iCs/>
                <w:noProof/>
              </w:rPr>
              <w:t>et al</w:t>
            </w:r>
            <w:r w:rsidRPr="00C1603D">
              <w:rPr>
                <w:rFonts w:eastAsia="Arial"/>
                <w:noProof/>
              </w:rPr>
              <w:t>.</w:t>
            </w:r>
            <w:r w:rsidR="008B4DF8" w:rsidRPr="00C1603D">
              <w:rPr>
                <w:rFonts w:eastAsia="Arial"/>
                <w:noProof/>
                <w:vertAlign w:val="superscript"/>
              </w:rPr>
              <w:t>438</w:t>
            </w:r>
          </w:p>
        </w:tc>
      </w:tr>
      <w:tr w:rsidR="00A12351" w:rsidRPr="00C1603D" w14:paraId="027F5502" w14:textId="77777777" w:rsidTr="00943414">
        <w:trPr>
          <w:cantSplit/>
        </w:trPr>
        <w:tc>
          <w:tcPr>
            <w:tcW w:w="0" w:type="auto"/>
            <w:shd w:val="clear" w:color="auto" w:fill="FFFFFF"/>
            <w:tcMar>
              <w:top w:w="0" w:type="dxa"/>
              <w:left w:w="0" w:type="dxa"/>
              <w:bottom w:w="0" w:type="dxa"/>
              <w:right w:w="0" w:type="dxa"/>
            </w:tcMar>
          </w:tcPr>
          <w:p w14:paraId="0CE3F7B7"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0A2F170" w14:textId="1440D757"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261513E1" w14:textId="620E2441"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11A86F70" w14:textId="77777777" w:rsidR="009D5AC0" w:rsidRPr="00C1603D" w:rsidRDefault="009D5AC0" w:rsidP="009D5AC0">
            <w:pPr>
              <w:pStyle w:val="72TabletextTablesTableFigureBoxstyles"/>
            </w:pPr>
            <w:r w:rsidRPr="00C1603D">
              <w:rPr>
                <w:rFonts w:eastAsia="Arial"/>
              </w:rPr>
              <w:t>177</w:t>
            </w:r>
          </w:p>
        </w:tc>
        <w:tc>
          <w:tcPr>
            <w:tcW w:w="0" w:type="auto"/>
            <w:shd w:val="clear" w:color="auto" w:fill="FFFFFF"/>
            <w:tcMar>
              <w:top w:w="0" w:type="dxa"/>
              <w:left w:w="0" w:type="dxa"/>
              <w:bottom w:w="0" w:type="dxa"/>
              <w:right w:w="0" w:type="dxa"/>
            </w:tcMar>
          </w:tcPr>
          <w:p w14:paraId="05C7E738" w14:textId="16D63A4F"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0FE066A"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C48FDC2" w14:textId="15978817"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673BA882"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6BC636E" w14:textId="77777777" w:rsidR="009D5AC0" w:rsidRPr="00C1603D" w:rsidRDefault="009D5AC0" w:rsidP="009D5AC0">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343F7BDB" w14:textId="4A034454" w:rsidR="009D5AC0" w:rsidRPr="00C1603D" w:rsidRDefault="009D5AC0" w:rsidP="009D5AC0">
            <w:pPr>
              <w:pStyle w:val="72TabletextTablesTableFigureBoxstyles"/>
            </w:pPr>
            <w:r w:rsidRPr="00C1603D">
              <w:rPr>
                <w:rFonts w:eastAsia="Arial"/>
                <w:noProof/>
              </w:rPr>
              <w:t xml:space="preserve">Picarelli </w:t>
            </w:r>
            <w:r w:rsidRPr="00C1603D">
              <w:rPr>
                <w:rFonts w:eastAsia="Arial"/>
                <w:i/>
                <w:iCs/>
                <w:noProof/>
              </w:rPr>
              <w:t>et al</w:t>
            </w:r>
            <w:r w:rsidRPr="00C1603D">
              <w:rPr>
                <w:rFonts w:eastAsia="Arial"/>
                <w:noProof/>
              </w:rPr>
              <w:t>.</w:t>
            </w:r>
            <w:r w:rsidRPr="00C1603D">
              <w:rPr>
                <w:rFonts w:eastAsia="Arial"/>
                <w:noProof/>
                <w:vertAlign w:val="superscript"/>
              </w:rPr>
              <w:t>439</w:t>
            </w:r>
          </w:p>
        </w:tc>
      </w:tr>
      <w:tr w:rsidR="00A12351" w:rsidRPr="00C1603D" w14:paraId="75411B75" w14:textId="77777777" w:rsidTr="00943414">
        <w:trPr>
          <w:cantSplit/>
        </w:trPr>
        <w:tc>
          <w:tcPr>
            <w:tcW w:w="0" w:type="auto"/>
            <w:shd w:val="clear" w:color="auto" w:fill="FFFFFF"/>
            <w:tcMar>
              <w:top w:w="0" w:type="dxa"/>
              <w:left w:w="0" w:type="dxa"/>
              <w:bottom w:w="0" w:type="dxa"/>
              <w:right w:w="0" w:type="dxa"/>
            </w:tcMar>
          </w:tcPr>
          <w:p w14:paraId="69ECD609"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DDC0CD6" w14:textId="740D0FF2"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3DE537FF" w14:textId="1A87637B"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1DA20BB4" w14:textId="77777777" w:rsidR="009D5AC0" w:rsidRPr="00C1603D" w:rsidRDefault="009D5AC0" w:rsidP="009D5AC0">
            <w:pPr>
              <w:pStyle w:val="72TabletextTablesTableFigureBoxstyles"/>
            </w:pPr>
            <w:r w:rsidRPr="00C1603D">
              <w:rPr>
                <w:rFonts w:eastAsia="Arial"/>
              </w:rPr>
              <w:t>130</w:t>
            </w:r>
          </w:p>
        </w:tc>
        <w:tc>
          <w:tcPr>
            <w:tcW w:w="0" w:type="auto"/>
            <w:shd w:val="clear" w:color="auto" w:fill="FFFFFF"/>
            <w:tcMar>
              <w:top w:w="0" w:type="dxa"/>
              <w:left w:w="0" w:type="dxa"/>
              <w:bottom w:w="0" w:type="dxa"/>
              <w:right w:w="0" w:type="dxa"/>
            </w:tcMar>
          </w:tcPr>
          <w:p w14:paraId="6CA7B89A" w14:textId="3387B92C"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7961DF55"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AC1B598" w14:textId="22D2A011"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3460497B"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CEFD58A" w14:textId="77777777" w:rsidR="009D5AC0" w:rsidRPr="00C1603D" w:rsidRDefault="009D5AC0" w:rsidP="009D5AC0">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47DFF183" w14:textId="7DF7D49F" w:rsidR="009D5AC0" w:rsidRPr="00C1603D" w:rsidRDefault="009D5AC0" w:rsidP="009D5AC0">
            <w:pPr>
              <w:pStyle w:val="72TabletextTablesTableFigureBoxstyles"/>
            </w:pPr>
            <w:r w:rsidRPr="00C1603D">
              <w:rPr>
                <w:rFonts w:eastAsia="Arial"/>
                <w:noProof/>
              </w:rPr>
              <w:t xml:space="preserve">Dagdelen </w:t>
            </w:r>
            <w:r w:rsidRPr="00C1603D">
              <w:rPr>
                <w:rFonts w:eastAsia="Arial"/>
                <w:i/>
                <w:iCs/>
                <w:noProof/>
              </w:rPr>
              <w:t>et al</w:t>
            </w:r>
            <w:r w:rsidRPr="00C1603D">
              <w:rPr>
                <w:rFonts w:eastAsia="Arial"/>
                <w:noProof/>
              </w:rPr>
              <w:t>.</w:t>
            </w:r>
            <w:r w:rsidRPr="00C1603D">
              <w:rPr>
                <w:rFonts w:eastAsia="Arial"/>
                <w:noProof/>
                <w:vertAlign w:val="superscript"/>
              </w:rPr>
              <w:t>440</w:t>
            </w:r>
          </w:p>
        </w:tc>
      </w:tr>
      <w:tr w:rsidR="00A12351" w:rsidRPr="00C1603D" w14:paraId="094C83D7" w14:textId="77777777" w:rsidTr="00943414">
        <w:trPr>
          <w:cantSplit/>
        </w:trPr>
        <w:tc>
          <w:tcPr>
            <w:tcW w:w="0" w:type="auto"/>
            <w:shd w:val="clear" w:color="auto" w:fill="FFFFFF"/>
            <w:tcMar>
              <w:top w:w="0" w:type="dxa"/>
              <w:left w:w="0" w:type="dxa"/>
              <w:bottom w:w="0" w:type="dxa"/>
              <w:right w:w="0" w:type="dxa"/>
            </w:tcMar>
          </w:tcPr>
          <w:p w14:paraId="5DC754C8" w14:textId="77777777" w:rsidR="009D5AC0" w:rsidRPr="00C1603D" w:rsidRDefault="009D5AC0" w:rsidP="009D5AC0">
            <w:pPr>
              <w:pStyle w:val="72TabletextTablesTableFigureBoxstyles"/>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430C7178" w14:textId="3CA84AFF"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4F69E940" w14:textId="3DAEDF14"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D26223B" w14:textId="77777777" w:rsidR="009D5AC0" w:rsidRPr="00C1603D" w:rsidRDefault="009D5AC0" w:rsidP="009D5AC0">
            <w:pPr>
              <w:pStyle w:val="72TabletextTablesTableFigureBoxstyles"/>
            </w:pPr>
            <w:r w:rsidRPr="00C1603D">
              <w:rPr>
                <w:rFonts w:eastAsia="Arial"/>
              </w:rPr>
              <w:t>180</w:t>
            </w:r>
          </w:p>
        </w:tc>
        <w:tc>
          <w:tcPr>
            <w:tcW w:w="0" w:type="auto"/>
            <w:shd w:val="clear" w:color="auto" w:fill="FFFFFF"/>
            <w:tcMar>
              <w:top w:w="0" w:type="dxa"/>
              <w:left w:w="0" w:type="dxa"/>
              <w:bottom w:w="0" w:type="dxa"/>
              <w:right w:w="0" w:type="dxa"/>
            </w:tcMar>
          </w:tcPr>
          <w:p w14:paraId="2AFBED14" w14:textId="78D7A9F8"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DC2E239"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86D62E5" w14:textId="6EB6AB3A"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7777E240"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D2FA324" w14:textId="77777777" w:rsidR="009D5AC0" w:rsidRPr="00C1603D" w:rsidRDefault="009D5AC0" w:rsidP="009D5AC0">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37927984" w14:textId="6969E8A9" w:rsidR="009D5AC0" w:rsidRPr="00C1603D" w:rsidRDefault="009D5AC0" w:rsidP="009D5AC0">
            <w:pPr>
              <w:pStyle w:val="72TabletextTablesTableFigureBoxstyles"/>
            </w:pPr>
            <w:r w:rsidRPr="00C1603D">
              <w:t xml:space="preserve">Güvenç </w:t>
            </w:r>
            <w:r w:rsidRPr="00C1603D">
              <w:rPr>
                <w:rFonts w:eastAsia="Arial"/>
                <w:i/>
                <w:iCs/>
                <w:noProof/>
              </w:rPr>
              <w:t>et al</w:t>
            </w:r>
            <w:r w:rsidRPr="00C1603D">
              <w:rPr>
                <w:rFonts w:eastAsia="Arial"/>
                <w:noProof/>
              </w:rPr>
              <w:t>.</w:t>
            </w:r>
            <w:r w:rsidRPr="00C1603D">
              <w:rPr>
                <w:rFonts w:eastAsia="Arial"/>
                <w:noProof/>
                <w:vertAlign w:val="superscript"/>
              </w:rPr>
              <w:t>441</w:t>
            </w:r>
          </w:p>
        </w:tc>
      </w:tr>
      <w:tr w:rsidR="00A12351" w:rsidRPr="00C1603D" w14:paraId="0E0B3635" w14:textId="77777777" w:rsidTr="00943414">
        <w:trPr>
          <w:cantSplit/>
        </w:trPr>
        <w:tc>
          <w:tcPr>
            <w:tcW w:w="0" w:type="auto"/>
            <w:shd w:val="clear" w:color="auto" w:fill="FFFFFF"/>
            <w:tcMar>
              <w:top w:w="0" w:type="dxa"/>
              <w:left w:w="0" w:type="dxa"/>
              <w:bottom w:w="0" w:type="dxa"/>
              <w:right w:w="0" w:type="dxa"/>
            </w:tcMar>
          </w:tcPr>
          <w:p w14:paraId="576A7C23"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B292AED" w14:textId="26571DEA"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65608243" w14:textId="66453D46"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42723F13" w14:textId="079DE153" w:rsidR="009D5AC0" w:rsidRPr="00C1603D" w:rsidRDefault="009D5AC0" w:rsidP="009D5AC0">
            <w:pPr>
              <w:pStyle w:val="72TabletextTablesTableFigureBoxstyles"/>
            </w:pPr>
            <w:r w:rsidRPr="00C1603D">
              <w:rPr>
                <w:rFonts w:eastAsia="Arial"/>
              </w:rPr>
              <w:t>1680</w:t>
            </w:r>
          </w:p>
        </w:tc>
        <w:tc>
          <w:tcPr>
            <w:tcW w:w="0" w:type="auto"/>
            <w:shd w:val="clear" w:color="auto" w:fill="FFFFFF"/>
            <w:tcMar>
              <w:top w:w="0" w:type="dxa"/>
              <w:left w:w="0" w:type="dxa"/>
              <w:bottom w:w="0" w:type="dxa"/>
              <w:right w:w="0" w:type="dxa"/>
            </w:tcMar>
          </w:tcPr>
          <w:p w14:paraId="33EA839C" w14:textId="04A078E5"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46C7CAFE"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9C34B83" w14:textId="09121D5F"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5434C73E"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07CC69AC" w14:textId="77777777" w:rsidR="009D5AC0" w:rsidRPr="00C1603D" w:rsidRDefault="009D5AC0" w:rsidP="009D5AC0">
            <w:pPr>
              <w:pStyle w:val="72TabletextTablesTableFigureBoxstyles"/>
            </w:pPr>
            <w:r w:rsidRPr="00C1603D">
              <w:rPr>
                <w:rFonts w:eastAsia="Arial"/>
              </w:rPr>
              <w:t>Israel</w:t>
            </w:r>
          </w:p>
        </w:tc>
        <w:tc>
          <w:tcPr>
            <w:tcW w:w="0" w:type="auto"/>
            <w:shd w:val="clear" w:color="auto" w:fill="FFFFFF"/>
            <w:tcMar>
              <w:top w:w="0" w:type="dxa"/>
              <w:left w:w="0" w:type="dxa"/>
              <w:bottom w:w="0" w:type="dxa"/>
              <w:right w:w="0" w:type="dxa"/>
            </w:tcMar>
          </w:tcPr>
          <w:p w14:paraId="47FE9E49" w14:textId="0638B211" w:rsidR="009D5AC0" w:rsidRPr="00C1603D" w:rsidRDefault="009D5AC0" w:rsidP="009D5AC0">
            <w:pPr>
              <w:pStyle w:val="72TabletextTablesTableFigureBoxstyles"/>
            </w:pPr>
            <w:r w:rsidRPr="00C1603D">
              <w:rPr>
                <w:rFonts w:eastAsia="Arial"/>
                <w:noProof/>
              </w:rPr>
              <w:t xml:space="preserve">Hanukoglu </w:t>
            </w:r>
            <w:r w:rsidRPr="00C1603D">
              <w:rPr>
                <w:rFonts w:eastAsia="Arial"/>
                <w:i/>
                <w:iCs/>
                <w:noProof/>
              </w:rPr>
              <w:t>et al</w:t>
            </w:r>
            <w:r w:rsidRPr="00C1603D">
              <w:rPr>
                <w:rFonts w:eastAsia="Arial"/>
                <w:noProof/>
              </w:rPr>
              <w:t>.</w:t>
            </w:r>
            <w:r w:rsidRPr="00C1603D">
              <w:rPr>
                <w:rFonts w:eastAsia="Arial"/>
                <w:noProof/>
                <w:vertAlign w:val="superscript"/>
              </w:rPr>
              <w:t>442</w:t>
            </w:r>
          </w:p>
        </w:tc>
      </w:tr>
      <w:tr w:rsidR="00A12351" w:rsidRPr="00C1603D" w14:paraId="3C242B78" w14:textId="77777777" w:rsidTr="00943414">
        <w:trPr>
          <w:cantSplit/>
        </w:trPr>
        <w:tc>
          <w:tcPr>
            <w:tcW w:w="0" w:type="auto"/>
            <w:shd w:val="clear" w:color="auto" w:fill="FFFFFF"/>
            <w:tcMar>
              <w:top w:w="0" w:type="dxa"/>
              <w:left w:w="0" w:type="dxa"/>
              <w:bottom w:w="0" w:type="dxa"/>
              <w:right w:w="0" w:type="dxa"/>
            </w:tcMar>
          </w:tcPr>
          <w:p w14:paraId="5F2B4101"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969B495" w14:textId="25C70184"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07417D37" w14:textId="57B4EF45"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766D6C96" w14:textId="5FE5A2A8" w:rsidR="009D5AC0" w:rsidRPr="00C1603D" w:rsidRDefault="009D5AC0" w:rsidP="009D5AC0">
            <w:pPr>
              <w:pStyle w:val="72TabletextTablesTableFigureBoxstyles"/>
            </w:pPr>
            <w:r w:rsidRPr="00C1603D">
              <w:rPr>
                <w:rFonts w:eastAsia="Arial"/>
              </w:rPr>
              <w:t>2200</w:t>
            </w:r>
          </w:p>
        </w:tc>
        <w:tc>
          <w:tcPr>
            <w:tcW w:w="0" w:type="auto"/>
            <w:shd w:val="clear" w:color="auto" w:fill="FFFFFF"/>
            <w:tcMar>
              <w:top w:w="0" w:type="dxa"/>
              <w:left w:w="0" w:type="dxa"/>
              <w:bottom w:w="0" w:type="dxa"/>
              <w:right w:w="0" w:type="dxa"/>
            </w:tcMar>
          </w:tcPr>
          <w:p w14:paraId="5EEBACE1" w14:textId="1B4AAEF4"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2540D48"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D8E38F5" w14:textId="132EA992"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142BD284"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037DEAD" w14:textId="77777777" w:rsidR="009D5AC0" w:rsidRPr="00C1603D" w:rsidRDefault="009D5AC0" w:rsidP="009D5AC0">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2A66930D" w14:textId="043A2D77" w:rsidR="009D5AC0" w:rsidRPr="00C1603D" w:rsidRDefault="009D5AC0" w:rsidP="009D5AC0">
            <w:pPr>
              <w:pStyle w:val="72TabletextTablesTableFigureBoxstyles"/>
            </w:pPr>
            <w:r w:rsidRPr="00C1603D">
              <w:rPr>
                <w:rFonts w:eastAsia="Arial"/>
                <w:noProof/>
              </w:rPr>
              <w:t xml:space="preserve">Kurien </w:t>
            </w:r>
            <w:r w:rsidRPr="00C1603D">
              <w:rPr>
                <w:rFonts w:eastAsia="Arial"/>
                <w:i/>
                <w:iCs/>
                <w:noProof/>
              </w:rPr>
              <w:t>et al</w:t>
            </w:r>
            <w:r w:rsidRPr="00C1603D">
              <w:rPr>
                <w:rFonts w:eastAsia="Arial"/>
                <w:noProof/>
              </w:rPr>
              <w:t>.</w:t>
            </w:r>
            <w:r w:rsidRPr="00C1603D">
              <w:rPr>
                <w:rFonts w:eastAsia="Arial"/>
                <w:noProof/>
                <w:vertAlign w:val="superscript"/>
              </w:rPr>
              <w:t>443</w:t>
            </w:r>
          </w:p>
        </w:tc>
      </w:tr>
      <w:tr w:rsidR="00A12351" w:rsidRPr="00C1603D" w14:paraId="29F7A8E6" w14:textId="77777777" w:rsidTr="00943414">
        <w:trPr>
          <w:cantSplit/>
        </w:trPr>
        <w:tc>
          <w:tcPr>
            <w:tcW w:w="0" w:type="auto"/>
            <w:shd w:val="clear" w:color="auto" w:fill="FFFFFF"/>
            <w:tcMar>
              <w:top w:w="0" w:type="dxa"/>
              <w:left w:w="0" w:type="dxa"/>
              <w:bottom w:w="0" w:type="dxa"/>
              <w:right w:w="0" w:type="dxa"/>
            </w:tcMar>
          </w:tcPr>
          <w:p w14:paraId="52A47AF3"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B0DACC0" w14:textId="1E00306D"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26A8E784" w14:textId="274CE0CC"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38C67B69" w14:textId="77777777" w:rsidR="009D5AC0" w:rsidRPr="00C1603D" w:rsidRDefault="009D5AC0" w:rsidP="009D5AC0">
            <w:pPr>
              <w:pStyle w:val="72TabletextTablesTableFigureBoxstyles"/>
            </w:pPr>
            <w:r w:rsidRPr="00C1603D">
              <w:rPr>
                <w:rFonts w:eastAsia="Arial"/>
              </w:rPr>
              <w:t>346</w:t>
            </w:r>
          </w:p>
        </w:tc>
        <w:tc>
          <w:tcPr>
            <w:tcW w:w="0" w:type="auto"/>
            <w:shd w:val="clear" w:color="auto" w:fill="FFFFFF"/>
            <w:tcMar>
              <w:top w:w="0" w:type="dxa"/>
              <w:left w:w="0" w:type="dxa"/>
              <w:bottom w:w="0" w:type="dxa"/>
              <w:right w:w="0" w:type="dxa"/>
            </w:tcMar>
          </w:tcPr>
          <w:p w14:paraId="3179376C" w14:textId="77777777" w:rsidR="009D5AC0" w:rsidRPr="00C1603D" w:rsidRDefault="009D5AC0" w:rsidP="009D5AC0">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125000A1"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234E486"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622FBFD2"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CDEBEA4" w14:textId="77777777" w:rsidR="009D5AC0" w:rsidRPr="00C1603D" w:rsidRDefault="009D5AC0" w:rsidP="009D5AC0">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6844943C" w14:textId="7C26A115" w:rsidR="009D5AC0" w:rsidRPr="00C1603D" w:rsidRDefault="009D5AC0" w:rsidP="009D5AC0">
            <w:pPr>
              <w:pStyle w:val="72TabletextTablesTableFigureBoxstyles"/>
            </w:pPr>
            <w:r w:rsidRPr="00C1603D">
              <w:rPr>
                <w:rFonts w:eastAsia="Arial"/>
                <w:noProof/>
              </w:rPr>
              <w:t xml:space="preserve">Shivaprasad </w:t>
            </w:r>
            <w:r w:rsidRPr="00C1603D">
              <w:rPr>
                <w:rFonts w:eastAsia="Arial"/>
                <w:i/>
                <w:iCs/>
                <w:noProof/>
              </w:rPr>
              <w:t>et al</w:t>
            </w:r>
            <w:r w:rsidRPr="00C1603D">
              <w:rPr>
                <w:rFonts w:eastAsia="Arial"/>
                <w:noProof/>
              </w:rPr>
              <w:t>.</w:t>
            </w:r>
            <w:r w:rsidRPr="00C1603D">
              <w:rPr>
                <w:rFonts w:eastAsia="Arial"/>
                <w:noProof/>
                <w:vertAlign w:val="superscript"/>
              </w:rPr>
              <w:t>444</w:t>
            </w:r>
          </w:p>
        </w:tc>
      </w:tr>
      <w:tr w:rsidR="00A12351" w:rsidRPr="00C1603D" w14:paraId="55A193EF" w14:textId="77777777" w:rsidTr="00943414">
        <w:trPr>
          <w:cantSplit/>
        </w:trPr>
        <w:tc>
          <w:tcPr>
            <w:tcW w:w="0" w:type="auto"/>
            <w:shd w:val="clear" w:color="auto" w:fill="FFFFFF"/>
            <w:tcMar>
              <w:top w:w="0" w:type="dxa"/>
              <w:left w:w="0" w:type="dxa"/>
              <w:bottom w:w="0" w:type="dxa"/>
              <w:right w:w="0" w:type="dxa"/>
            </w:tcMar>
          </w:tcPr>
          <w:p w14:paraId="1D175700"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3714D81" w14:textId="47A9C701"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4CB711AC" w14:textId="27F40231"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62DDC16" w14:textId="77777777" w:rsidR="009D5AC0" w:rsidRPr="00C1603D" w:rsidRDefault="009D5AC0" w:rsidP="009D5AC0">
            <w:pPr>
              <w:pStyle w:val="72TabletextTablesTableFigureBoxstyles"/>
            </w:pPr>
            <w:r w:rsidRPr="00C1603D">
              <w:rPr>
                <w:rFonts w:eastAsia="Arial"/>
              </w:rPr>
              <w:t>280</w:t>
            </w:r>
          </w:p>
        </w:tc>
        <w:tc>
          <w:tcPr>
            <w:tcW w:w="0" w:type="auto"/>
            <w:shd w:val="clear" w:color="auto" w:fill="FFFFFF"/>
            <w:tcMar>
              <w:top w:w="0" w:type="dxa"/>
              <w:left w:w="0" w:type="dxa"/>
              <w:bottom w:w="0" w:type="dxa"/>
              <w:right w:w="0" w:type="dxa"/>
            </w:tcMar>
          </w:tcPr>
          <w:p w14:paraId="48610159" w14:textId="1B267E3D"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C7D8681"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69DCE2C"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6EFB1026"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0A77B6A" w14:textId="77777777" w:rsidR="009D5AC0" w:rsidRPr="00C1603D" w:rsidRDefault="009D5AC0" w:rsidP="009D5AC0">
            <w:pPr>
              <w:pStyle w:val="72TabletextTablesTableFigureBoxstyles"/>
            </w:pPr>
            <w:r w:rsidRPr="00C1603D">
              <w:rPr>
                <w:rFonts w:eastAsia="Arial"/>
              </w:rPr>
              <w:t>China</w:t>
            </w:r>
          </w:p>
        </w:tc>
        <w:tc>
          <w:tcPr>
            <w:tcW w:w="0" w:type="auto"/>
            <w:shd w:val="clear" w:color="auto" w:fill="FFFFFF"/>
            <w:tcMar>
              <w:top w:w="0" w:type="dxa"/>
              <w:left w:w="0" w:type="dxa"/>
              <w:bottom w:w="0" w:type="dxa"/>
              <w:right w:w="0" w:type="dxa"/>
            </w:tcMar>
          </w:tcPr>
          <w:p w14:paraId="243663DB" w14:textId="6F749A8E" w:rsidR="009D5AC0" w:rsidRPr="00C1603D" w:rsidRDefault="009D5AC0" w:rsidP="009D5AC0">
            <w:pPr>
              <w:pStyle w:val="72TabletextTablesTableFigureBoxstyles"/>
            </w:pPr>
            <w:r w:rsidRPr="00C1603D">
              <w:rPr>
                <w:rFonts w:eastAsia="Arial"/>
                <w:noProof/>
              </w:rPr>
              <w:t xml:space="preserve">Zhao </w:t>
            </w:r>
            <w:r w:rsidRPr="00C1603D">
              <w:rPr>
                <w:rFonts w:eastAsia="Arial"/>
                <w:i/>
                <w:iCs/>
                <w:noProof/>
              </w:rPr>
              <w:t>et al</w:t>
            </w:r>
            <w:r w:rsidRPr="00C1603D">
              <w:rPr>
                <w:rFonts w:eastAsia="Arial"/>
                <w:noProof/>
              </w:rPr>
              <w:t>.</w:t>
            </w:r>
            <w:r w:rsidRPr="00C1603D">
              <w:rPr>
                <w:rFonts w:eastAsia="Arial"/>
                <w:noProof/>
                <w:vertAlign w:val="superscript"/>
              </w:rPr>
              <w:t>445</w:t>
            </w:r>
          </w:p>
        </w:tc>
      </w:tr>
      <w:tr w:rsidR="00A12351" w:rsidRPr="00C1603D" w14:paraId="16C45CF1" w14:textId="77777777" w:rsidTr="00943414">
        <w:trPr>
          <w:cantSplit/>
        </w:trPr>
        <w:tc>
          <w:tcPr>
            <w:tcW w:w="0" w:type="auto"/>
            <w:shd w:val="clear" w:color="auto" w:fill="FFFFFF"/>
            <w:tcMar>
              <w:top w:w="0" w:type="dxa"/>
              <w:left w:w="0" w:type="dxa"/>
              <w:bottom w:w="0" w:type="dxa"/>
              <w:right w:w="0" w:type="dxa"/>
            </w:tcMar>
          </w:tcPr>
          <w:p w14:paraId="32B52DB0"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BA6880F" w14:textId="77777777" w:rsidR="009D5AC0" w:rsidRPr="00C1603D" w:rsidRDefault="009D5AC0" w:rsidP="009D5AC0">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EBEA075" w14:textId="72D683FD"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21E8FD5" w14:textId="77777777" w:rsidR="009D5AC0" w:rsidRPr="00C1603D" w:rsidRDefault="009D5AC0" w:rsidP="009D5AC0">
            <w:pPr>
              <w:pStyle w:val="72TabletextTablesTableFigureBoxstyles"/>
            </w:pPr>
            <w:r w:rsidRPr="00C1603D">
              <w:rPr>
                <w:rFonts w:eastAsia="Arial"/>
              </w:rPr>
              <w:t>527</w:t>
            </w:r>
          </w:p>
        </w:tc>
        <w:tc>
          <w:tcPr>
            <w:tcW w:w="0" w:type="auto"/>
            <w:shd w:val="clear" w:color="auto" w:fill="FFFFFF"/>
            <w:tcMar>
              <w:top w:w="0" w:type="dxa"/>
              <w:left w:w="0" w:type="dxa"/>
              <w:bottom w:w="0" w:type="dxa"/>
              <w:right w:w="0" w:type="dxa"/>
            </w:tcMar>
          </w:tcPr>
          <w:p w14:paraId="0980A471" w14:textId="2EC5BB75"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7313029" w14:textId="77777777" w:rsidR="009D5AC0" w:rsidRPr="00C1603D" w:rsidRDefault="009D5AC0" w:rsidP="009D5AC0">
            <w:pPr>
              <w:pStyle w:val="72TabletextTablesTableFigureBoxstyles"/>
            </w:pPr>
            <w:r w:rsidRPr="00C1603D">
              <w:rPr>
                <w:rFonts w:eastAsia="Arial"/>
              </w:rPr>
              <w:t>People without type 1 diabetes</w:t>
            </w:r>
          </w:p>
        </w:tc>
        <w:tc>
          <w:tcPr>
            <w:tcW w:w="0" w:type="auto"/>
            <w:shd w:val="clear" w:color="auto" w:fill="FFFFFF"/>
            <w:tcMar>
              <w:top w:w="0" w:type="dxa"/>
              <w:left w:w="0" w:type="dxa"/>
              <w:bottom w:w="0" w:type="dxa"/>
              <w:right w:w="0" w:type="dxa"/>
            </w:tcMar>
          </w:tcPr>
          <w:p w14:paraId="251155B6" w14:textId="638F2FD6" w:rsidR="009D5AC0" w:rsidRPr="00C1603D" w:rsidRDefault="009D5AC0" w:rsidP="009D5AC0">
            <w:pPr>
              <w:pStyle w:val="72TabletextTablesTableFigureBoxstyles"/>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2511DF2A"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9AB2301" w14:textId="77777777" w:rsidR="009D5AC0" w:rsidRPr="00C1603D" w:rsidRDefault="009D5AC0" w:rsidP="009D5AC0">
            <w:pPr>
              <w:pStyle w:val="72TabletextTablesTableFigureBoxstyles"/>
            </w:pPr>
            <w:r w:rsidRPr="00C1603D">
              <w:rPr>
                <w:rFonts w:eastAsia="Arial"/>
              </w:rPr>
              <w:t>Malaysia</w:t>
            </w:r>
          </w:p>
        </w:tc>
        <w:tc>
          <w:tcPr>
            <w:tcW w:w="0" w:type="auto"/>
            <w:shd w:val="clear" w:color="auto" w:fill="FFFFFF"/>
            <w:tcMar>
              <w:top w:w="0" w:type="dxa"/>
              <w:left w:w="0" w:type="dxa"/>
              <w:bottom w:w="0" w:type="dxa"/>
              <w:right w:w="0" w:type="dxa"/>
            </w:tcMar>
          </w:tcPr>
          <w:p w14:paraId="756AA18C" w14:textId="402F0091" w:rsidR="009D5AC0" w:rsidRPr="00C1603D" w:rsidRDefault="009D5AC0" w:rsidP="009D5AC0">
            <w:pPr>
              <w:pStyle w:val="72TabletextTablesTableFigureBoxstyles"/>
            </w:pPr>
            <w:r w:rsidRPr="00C1603D">
              <w:rPr>
                <w:rFonts w:eastAsia="Arial"/>
                <w:noProof/>
              </w:rPr>
              <w:t xml:space="preserve">Yap </w:t>
            </w:r>
            <w:r w:rsidRPr="00C1603D">
              <w:rPr>
                <w:rFonts w:eastAsia="Arial"/>
                <w:i/>
                <w:iCs/>
                <w:noProof/>
              </w:rPr>
              <w:t>et al</w:t>
            </w:r>
            <w:r w:rsidRPr="00C1603D">
              <w:rPr>
                <w:rFonts w:eastAsia="Arial"/>
                <w:noProof/>
              </w:rPr>
              <w:t>.</w:t>
            </w:r>
            <w:r w:rsidRPr="00C1603D">
              <w:rPr>
                <w:rFonts w:eastAsia="Arial"/>
                <w:noProof/>
                <w:vertAlign w:val="superscript"/>
              </w:rPr>
              <w:t>287</w:t>
            </w:r>
          </w:p>
        </w:tc>
      </w:tr>
      <w:tr w:rsidR="00A12351" w:rsidRPr="00C1603D" w14:paraId="10B83C78" w14:textId="77777777" w:rsidTr="00943414">
        <w:trPr>
          <w:cantSplit/>
        </w:trPr>
        <w:tc>
          <w:tcPr>
            <w:tcW w:w="0" w:type="auto"/>
            <w:shd w:val="clear" w:color="auto" w:fill="FFFFFF"/>
            <w:tcMar>
              <w:top w:w="0" w:type="dxa"/>
              <w:left w:w="0" w:type="dxa"/>
              <w:bottom w:w="0" w:type="dxa"/>
              <w:right w:w="0" w:type="dxa"/>
            </w:tcMar>
          </w:tcPr>
          <w:p w14:paraId="062E3E61"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71BC4E3" w14:textId="77777777" w:rsidR="009D5AC0" w:rsidRPr="00C1603D" w:rsidRDefault="009D5AC0" w:rsidP="009D5AC0">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3F5D1467" w14:textId="50229648"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70E48862" w14:textId="175CD860" w:rsidR="009D5AC0" w:rsidRPr="00C1603D" w:rsidRDefault="009D5AC0" w:rsidP="009D5AC0">
            <w:pPr>
              <w:pStyle w:val="72TabletextTablesTableFigureBoxstyles"/>
            </w:pPr>
            <w:r w:rsidRPr="00C1603D">
              <w:rPr>
                <w:rFonts w:eastAsia="Arial"/>
              </w:rPr>
              <w:t>6919</w:t>
            </w:r>
          </w:p>
        </w:tc>
        <w:tc>
          <w:tcPr>
            <w:tcW w:w="0" w:type="auto"/>
            <w:shd w:val="clear" w:color="auto" w:fill="FFFFFF"/>
            <w:tcMar>
              <w:top w:w="0" w:type="dxa"/>
              <w:left w:w="0" w:type="dxa"/>
              <w:bottom w:w="0" w:type="dxa"/>
              <w:right w:w="0" w:type="dxa"/>
            </w:tcMar>
          </w:tcPr>
          <w:p w14:paraId="0A51170F" w14:textId="72B5546A"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3EE4CE0" w14:textId="77777777" w:rsidR="009D5AC0" w:rsidRPr="00C1603D" w:rsidRDefault="009D5AC0" w:rsidP="009D5AC0">
            <w:pPr>
              <w:pStyle w:val="72TabletextTablesTableFigureBoxstyles"/>
            </w:pPr>
            <w:r w:rsidRPr="00C1603D">
              <w:rPr>
                <w:rFonts w:eastAsia="Arial"/>
              </w:rPr>
              <w:t>People without type 1 diabetes</w:t>
            </w:r>
          </w:p>
        </w:tc>
        <w:tc>
          <w:tcPr>
            <w:tcW w:w="0" w:type="auto"/>
            <w:shd w:val="clear" w:color="auto" w:fill="FFFFFF"/>
            <w:tcMar>
              <w:top w:w="0" w:type="dxa"/>
              <w:left w:w="0" w:type="dxa"/>
              <w:bottom w:w="0" w:type="dxa"/>
              <w:right w:w="0" w:type="dxa"/>
            </w:tcMar>
          </w:tcPr>
          <w:p w14:paraId="48081094" w14:textId="1BD9593D" w:rsidR="009D5AC0" w:rsidRPr="00C1603D" w:rsidRDefault="009D5AC0" w:rsidP="009D5AC0">
            <w:pPr>
              <w:pStyle w:val="72TabletextTablesTableFigureBoxstyles"/>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7870EA7C" w14:textId="77777777" w:rsidR="009D5AC0" w:rsidRPr="00C1603D" w:rsidRDefault="009D5AC0" w:rsidP="009D5AC0">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1EE08665" w14:textId="77777777" w:rsidR="009D5AC0" w:rsidRPr="00C1603D" w:rsidRDefault="009D5AC0" w:rsidP="009D5AC0">
            <w:pPr>
              <w:pStyle w:val="72TabletextTablesTableFigureBoxstyles"/>
            </w:pPr>
            <w:r w:rsidRPr="00C1603D">
              <w:rPr>
                <w:rFonts w:eastAsia="Arial"/>
              </w:rPr>
              <w:t>Finland</w:t>
            </w:r>
          </w:p>
        </w:tc>
        <w:tc>
          <w:tcPr>
            <w:tcW w:w="0" w:type="auto"/>
            <w:shd w:val="clear" w:color="auto" w:fill="FFFFFF"/>
            <w:tcMar>
              <w:top w:w="0" w:type="dxa"/>
              <w:left w:w="0" w:type="dxa"/>
              <w:bottom w:w="0" w:type="dxa"/>
              <w:right w:w="0" w:type="dxa"/>
            </w:tcMar>
          </w:tcPr>
          <w:p w14:paraId="2690812C" w14:textId="23E4283A" w:rsidR="009D5AC0" w:rsidRPr="00C1603D" w:rsidRDefault="009D5AC0" w:rsidP="009D5AC0">
            <w:pPr>
              <w:pStyle w:val="72TabletextTablesTableFigureBoxstyles"/>
            </w:pPr>
            <w:r w:rsidRPr="00C1603D">
              <w:t xml:space="preserve">Heikkilä </w:t>
            </w:r>
            <w:r w:rsidRPr="00C1603D">
              <w:rPr>
                <w:rFonts w:eastAsia="Arial"/>
                <w:i/>
                <w:iCs/>
                <w:noProof/>
              </w:rPr>
              <w:t>et al</w:t>
            </w:r>
            <w:r w:rsidRPr="00C1603D">
              <w:rPr>
                <w:rFonts w:eastAsia="Arial"/>
                <w:noProof/>
              </w:rPr>
              <w:t>.</w:t>
            </w:r>
            <w:r w:rsidRPr="00C1603D">
              <w:rPr>
                <w:rFonts w:eastAsia="Arial"/>
                <w:noProof/>
                <w:vertAlign w:val="superscript"/>
              </w:rPr>
              <w:t>333</w:t>
            </w:r>
          </w:p>
        </w:tc>
      </w:tr>
      <w:tr w:rsidR="00A12351" w:rsidRPr="00C1603D" w14:paraId="4D0AB4EE" w14:textId="77777777" w:rsidTr="00943414">
        <w:trPr>
          <w:cantSplit/>
        </w:trPr>
        <w:tc>
          <w:tcPr>
            <w:tcW w:w="0" w:type="auto"/>
            <w:shd w:val="clear" w:color="auto" w:fill="FFFFFF"/>
            <w:tcMar>
              <w:top w:w="0" w:type="dxa"/>
              <w:left w:w="0" w:type="dxa"/>
              <w:bottom w:w="0" w:type="dxa"/>
              <w:right w:w="0" w:type="dxa"/>
            </w:tcMar>
          </w:tcPr>
          <w:p w14:paraId="06F48603" w14:textId="77777777" w:rsidR="009D5AC0" w:rsidRPr="00C1603D" w:rsidRDefault="009D5AC0" w:rsidP="009D5AC0">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DC5E054" w14:textId="77777777" w:rsidR="009D5AC0" w:rsidRPr="00C1603D" w:rsidRDefault="009D5AC0" w:rsidP="009D5AC0">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5B3BDC0B" w14:textId="56817B89"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27570A2" w14:textId="77777777" w:rsidR="009D5AC0" w:rsidRPr="00C1603D" w:rsidRDefault="009D5AC0" w:rsidP="009D5AC0">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0E6EBA24" w14:textId="31744957"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8E7AEE6" w14:textId="77777777" w:rsidR="009D5AC0" w:rsidRPr="00C1603D" w:rsidRDefault="009D5AC0" w:rsidP="009D5AC0">
            <w:pPr>
              <w:pStyle w:val="72TabletextTablesTableFigureBoxstyles"/>
            </w:pPr>
            <w:r w:rsidRPr="00C1603D">
              <w:rPr>
                <w:rFonts w:eastAsia="Arial"/>
              </w:rPr>
              <w:t>People without type 1 diabetes</w:t>
            </w:r>
          </w:p>
        </w:tc>
        <w:tc>
          <w:tcPr>
            <w:tcW w:w="0" w:type="auto"/>
            <w:shd w:val="clear" w:color="auto" w:fill="FFFFFF"/>
            <w:tcMar>
              <w:top w:w="0" w:type="dxa"/>
              <w:left w:w="0" w:type="dxa"/>
              <w:bottom w:w="0" w:type="dxa"/>
              <w:right w:w="0" w:type="dxa"/>
            </w:tcMar>
          </w:tcPr>
          <w:p w14:paraId="7B2D93C1" w14:textId="6B461BCA" w:rsidR="009D5AC0" w:rsidRPr="00C1603D" w:rsidRDefault="009D5AC0" w:rsidP="009D5AC0">
            <w:pPr>
              <w:pStyle w:val="72TabletextTablesTableFigureBoxstyles"/>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1E8A4A07" w14:textId="77777777" w:rsidR="009D5AC0" w:rsidRPr="00C1603D" w:rsidRDefault="009D5AC0" w:rsidP="009D5AC0">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3A46AC36" w14:textId="77777777" w:rsidR="009D5AC0" w:rsidRPr="00C1603D" w:rsidRDefault="009D5AC0" w:rsidP="009D5AC0">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444959E6" w14:textId="483D148F" w:rsidR="009D5AC0" w:rsidRPr="00C1603D" w:rsidRDefault="009D5AC0" w:rsidP="009D5AC0">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Pr="00C1603D">
              <w:rPr>
                <w:rFonts w:eastAsia="Arial"/>
                <w:noProof/>
                <w:vertAlign w:val="superscript"/>
              </w:rPr>
              <w:t>301</w:t>
            </w:r>
          </w:p>
        </w:tc>
      </w:tr>
      <w:tr w:rsidR="00A12351" w:rsidRPr="00C1603D" w14:paraId="121A2E80" w14:textId="77777777" w:rsidTr="00943414">
        <w:trPr>
          <w:cantSplit/>
        </w:trPr>
        <w:tc>
          <w:tcPr>
            <w:tcW w:w="0" w:type="auto"/>
            <w:shd w:val="clear" w:color="auto" w:fill="FFFFFF"/>
            <w:tcMar>
              <w:top w:w="0" w:type="dxa"/>
              <w:left w:w="0" w:type="dxa"/>
              <w:bottom w:w="0" w:type="dxa"/>
              <w:right w:w="0" w:type="dxa"/>
            </w:tcMar>
          </w:tcPr>
          <w:p w14:paraId="2ECBE947"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5FC101F6" w14:textId="6F98F77F"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0A752AEA" w14:textId="34CF4F13"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4BFBFFBD" w14:textId="0713A2E5" w:rsidR="009D5AC0" w:rsidRPr="00C1603D" w:rsidRDefault="009D5AC0" w:rsidP="009D5AC0">
            <w:pPr>
              <w:pStyle w:val="72TabletextTablesTableFigureBoxstyles"/>
            </w:pPr>
            <w:r w:rsidRPr="00C1603D">
              <w:rPr>
                <w:rFonts w:eastAsia="Arial"/>
              </w:rPr>
              <w:t>1750</w:t>
            </w:r>
          </w:p>
        </w:tc>
        <w:tc>
          <w:tcPr>
            <w:tcW w:w="0" w:type="auto"/>
            <w:shd w:val="clear" w:color="auto" w:fill="FFFFFF"/>
            <w:tcMar>
              <w:top w:w="0" w:type="dxa"/>
              <w:left w:w="0" w:type="dxa"/>
              <w:bottom w:w="0" w:type="dxa"/>
              <w:right w:w="0" w:type="dxa"/>
            </w:tcMar>
          </w:tcPr>
          <w:p w14:paraId="1D8EE05C" w14:textId="552E588F"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0D41F614" w14:textId="77777777" w:rsidR="009D5AC0" w:rsidRPr="00C1603D" w:rsidRDefault="009D5AC0" w:rsidP="009D5AC0">
            <w:pPr>
              <w:pStyle w:val="72TabletextTablesTableFigureBoxstyles"/>
            </w:pPr>
            <w:r w:rsidRPr="00C1603D">
              <w:rPr>
                <w:rFonts w:eastAsia="Arial"/>
              </w:rPr>
              <w:t>Children without type 1 diabetes</w:t>
            </w:r>
          </w:p>
        </w:tc>
        <w:tc>
          <w:tcPr>
            <w:tcW w:w="0" w:type="auto"/>
            <w:shd w:val="clear" w:color="auto" w:fill="FFFFFF"/>
            <w:tcMar>
              <w:top w:w="0" w:type="dxa"/>
              <w:left w:w="0" w:type="dxa"/>
              <w:bottom w:w="0" w:type="dxa"/>
              <w:right w:w="0" w:type="dxa"/>
            </w:tcMar>
          </w:tcPr>
          <w:p w14:paraId="368A09C6" w14:textId="77777777" w:rsidR="009D5AC0" w:rsidRPr="00C1603D" w:rsidRDefault="009D5AC0" w:rsidP="009D5AC0">
            <w:pPr>
              <w:pStyle w:val="72TabletextTablesTableFigureBoxstyles"/>
            </w:pPr>
            <w:r w:rsidRPr="00C1603D">
              <w:rPr>
                <w:rFonts w:eastAsia="Arial"/>
              </w:rPr>
              <w:t>Other</w:t>
            </w:r>
          </w:p>
        </w:tc>
        <w:tc>
          <w:tcPr>
            <w:tcW w:w="0" w:type="auto"/>
            <w:shd w:val="clear" w:color="auto" w:fill="FFFFFF"/>
            <w:tcMar>
              <w:top w:w="0" w:type="dxa"/>
              <w:left w:w="0" w:type="dxa"/>
              <w:bottom w:w="0" w:type="dxa"/>
              <w:right w:w="0" w:type="dxa"/>
            </w:tcMar>
          </w:tcPr>
          <w:p w14:paraId="68A5C6B8"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AC58039" w14:textId="77777777" w:rsidR="009D5AC0" w:rsidRPr="00C1603D" w:rsidRDefault="009D5AC0" w:rsidP="009D5AC0">
            <w:pPr>
              <w:pStyle w:val="72TabletextTablesTableFigureBoxstyles"/>
            </w:pPr>
            <w:r w:rsidRPr="00C1603D">
              <w:rPr>
                <w:rFonts w:eastAsia="Arial"/>
              </w:rPr>
              <w:t>Egypt</w:t>
            </w:r>
          </w:p>
        </w:tc>
        <w:tc>
          <w:tcPr>
            <w:tcW w:w="0" w:type="auto"/>
            <w:shd w:val="clear" w:color="auto" w:fill="FFFFFF"/>
            <w:tcMar>
              <w:top w:w="0" w:type="dxa"/>
              <w:left w:w="0" w:type="dxa"/>
              <w:bottom w:w="0" w:type="dxa"/>
              <w:right w:w="0" w:type="dxa"/>
            </w:tcMar>
          </w:tcPr>
          <w:p w14:paraId="45D4DC74" w14:textId="412D6C23" w:rsidR="009D5AC0" w:rsidRPr="00C1603D" w:rsidRDefault="009D5AC0" w:rsidP="009D5AC0">
            <w:pPr>
              <w:pStyle w:val="72TabletextTablesTableFigureBoxstyles"/>
            </w:pPr>
            <w:r w:rsidRPr="00C1603D">
              <w:rPr>
                <w:rFonts w:eastAsia="Arial"/>
                <w:noProof/>
              </w:rPr>
              <w:t xml:space="preserve">Abu-Zekry </w:t>
            </w:r>
            <w:r w:rsidRPr="00C1603D">
              <w:rPr>
                <w:rFonts w:eastAsia="Arial"/>
                <w:i/>
                <w:iCs/>
                <w:noProof/>
              </w:rPr>
              <w:t>et al</w:t>
            </w:r>
            <w:r w:rsidRPr="00C1603D">
              <w:rPr>
                <w:rFonts w:eastAsia="Arial"/>
                <w:noProof/>
              </w:rPr>
              <w:t>.</w:t>
            </w:r>
            <w:r w:rsidRPr="00C1603D">
              <w:rPr>
                <w:rFonts w:eastAsia="Arial"/>
                <w:noProof/>
                <w:vertAlign w:val="superscript"/>
              </w:rPr>
              <w:t>446</w:t>
            </w:r>
          </w:p>
        </w:tc>
      </w:tr>
      <w:tr w:rsidR="00A12351" w:rsidRPr="00C1603D" w14:paraId="3FB94E69" w14:textId="77777777" w:rsidTr="00943414">
        <w:trPr>
          <w:cantSplit/>
        </w:trPr>
        <w:tc>
          <w:tcPr>
            <w:tcW w:w="0" w:type="auto"/>
            <w:shd w:val="clear" w:color="auto" w:fill="FFFFFF"/>
            <w:tcMar>
              <w:top w:w="0" w:type="dxa"/>
              <w:left w:w="0" w:type="dxa"/>
              <w:bottom w:w="0" w:type="dxa"/>
              <w:right w:w="0" w:type="dxa"/>
            </w:tcMar>
          </w:tcPr>
          <w:p w14:paraId="1176AE9B"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11153C70" w14:textId="08BBA7E6"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76BC5D24" w14:textId="39471CDC"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334E20B8" w14:textId="77777777" w:rsidR="009D5AC0" w:rsidRPr="00C1603D" w:rsidRDefault="009D5AC0" w:rsidP="009D5AC0">
            <w:pPr>
              <w:pStyle w:val="72TabletextTablesTableFigureBoxstyles"/>
            </w:pPr>
            <w:r w:rsidRPr="00C1603D">
              <w:rPr>
                <w:rFonts w:eastAsia="Arial"/>
              </w:rPr>
              <w:t>971</w:t>
            </w:r>
          </w:p>
        </w:tc>
        <w:tc>
          <w:tcPr>
            <w:tcW w:w="0" w:type="auto"/>
            <w:shd w:val="clear" w:color="auto" w:fill="FFFFFF"/>
            <w:tcMar>
              <w:top w:w="0" w:type="dxa"/>
              <w:left w:w="0" w:type="dxa"/>
              <w:bottom w:w="0" w:type="dxa"/>
              <w:right w:w="0" w:type="dxa"/>
            </w:tcMar>
          </w:tcPr>
          <w:p w14:paraId="574A0963" w14:textId="6E084A80"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4E56ECF0"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7CC8215" w14:textId="05982150" w:rsidR="009D5AC0" w:rsidRPr="00C1603D" w:rsidRDefault="009D5AC0" w:rsidP="009D5AC0">
            <w:pPr>
              <w:pStyle w:val="72TabletextTablesTableFigureBoxstyles"/>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7BA76A18" w14:textId="77777777" w:rsidR="009D5AC0" w:rsidRPr="00C1603D" w:rsidRDefault="009D5AC0" w:rsidP="009D5AC0">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09E0E55" w14:textId="77777777" w:rsidR="009D5AC0" w:rsidRPr="00C1603D" w:rsidRDefault="009D5AC0" w:rsidP="009D5AC0">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2A98B736" w14:textId="17D4725D" w:rsidR="009D5AC0" w:rsidRPr="00C1603D" w:rsidRDefault="009D5AC0" w:rsidP="009D5AC0">
            <w:pPr>
              <w:pStyle w:val="72TabletextTablesTableFigureBoxstyles"/>
            </w:pPr>
            <w:r w:rsidRPr="00C1603D">
              <w:rPr>
                <w:rFonts w:eastAsia="Arial"/>
                <w:noProof/>
              </w:rPr>
              <w:t xml:space="preserve">Adlercreutz </w:t>
            </w:r>
            <w:r w:rsidRPr="00C1603D">
              <w:rPr>
                <w:rFonts w:eastAsia="Arial"/>
                <w:i/>
                <w:iCs/>
                <w:noProof/>
              </w:rPr>
              <w:t>et al</w:t>
            </w:r>
            <w:r w:rsidRPr="00C1603D">
              <w:rPr>
                <w:rFonts w:eastAsia="Arial"/>
                <w:noProof/>
              </w:rPr>
              <w:t>.</w:t>
            </w:r>
            <w:r w:rsidRPr="00C1603D">
              <w:rPr>
                <w:rFonts w:eastAsia="Arial"/>
                <w:noProof/>
                <w:vertAlign w:val="superscript"/>
              </w:rPr>
              <w:t>447</w:t>
            </w:r>
          </w:p>
        </w:tc>
      </w:tr>
      <w:tr w:rsidR="00A12351" w:rsidRPr="00C1603D" w14:paraId="71D63F09" w14:textId="77777777" w:rsidTr="00943414">
        <w:trPr>
          <w:cantSplit/>
        </w:trPr>
        <w:tc>
          <w:tcPr>
            <w:tcW w:w="0" w:type="auto"/>
            <w:shd w:val="clear" w:color="auto" w:fill="FFFFFF"/>
            <w:tcMar>
              <w:top w:w="0" w:type="dxa"/>
              <w:left w:w="0" w:type="dxa"/>
              <w:bottom w:w="0" w:type="dxa"/>
              <w:right w:w="0" w:type="dxa"/>
            </w:tcMar>
          </w:tcPr>
          <w:p w14:paraId="4301EA09"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3B7C3795" w14:textId="7825BA3E"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276D2094" w14:textId="2413D67D"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0879241" w14:textId="189429C8" w:rsidR="009D5AC0" w:rsidRPr="00C1603D" w:rsidRDefault="009D5AC0" w:rsidP="009D5AC0">
            <w:pPr>
              <w:pStyle w:val="72TabletextTablesTableFigureBoxstyles"/>
            </w:pPr>
            <w:r w:rsidRPr="00C1603D">
              <w:rPr>
                <w:rFonts w:eastAsia="Arial"/>
              </w:rPr>
              <w:t>1363</w:t>
            </w:r>
          </w:p>
        </w:tc>
        <w:tc>
          <w:tcPr>
            <w:tcW w:w="0" w:type="auto"/>
            <w:shd w:val="clear" w:color="auto" w:fill="FFFFFF"/>
            <w:tcMar>
              <w:top w:w="0" w:type="dxa"/>
              <w:left w:w="0" w:type="dxa"/>
              <w:bottom w:w="0" w:type="dxa"/>
              <w:right w:w="0" w:type="dxa"/>
            </w:tcMar>
          </w:tcPr>
          <w:p w14:paraId="0C027BD8" w14:textId="638F0AD6"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655B1BC"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0904FD7" w14:textId="730DC186" w:rsidR="009D5AC0" w:rsidRPr="00C1603D" w:rsidRDefault="009D5AC0" w:rsidP="009D5AC0">
            <w:pPr>
              <w:pStyle w:val="72TabletextTablesTableFigureBoxstyles"/>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2B53BD14" w14:textId="77777777" w:rsidR="009D5AC0" w:rsidRPr="00C1603D" w:rsidRDefault="009D5AC0" w:rsidP="009D5AC0">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4689772A" w14:textId="77777777" w:rsidR="009D5AC0" w:rsidRPr="00C1603D" w:rsidRDefault="009D5AC0" w:rsidP="009D5AC0">
            <w:pPr>
              <w:pStyle w:val="72TabletextTablesTableFigureBoxstyles"/>
            </w:pPr>
            <w:r w:rsidRPr="00C1603D">
              <w:rPr>
                <w:rFonts w:eastAsia="Arial"/>
              </w:rPr>
              <w:t>Denmark</w:t>
            </w:r>
          </w:p>
        </w:tc>
        <w:tc>
          <w:tcPr>
            <w:tcW w:w="0" w:type="auto"/>
            <w:shd w:val="clear" w:color="auto" w:fill="FFFFFF"/>
            <w:tcMar>
              <w:top w:w="0" w:type="dxa"/>
              <w:left w:w="0" w:type="dxa"/>
              <w:bottom w:w="0" w:type="dxa"/>
              <w:right w:w="0" w:type="dxa"/>
            </w:tcMar>
          </w:tcPr>
          <w:p w14:paraId="22AD6A5D" w14:textId="2BD1C5C7" w:rsidR="009D5AC0" w:rsidRPr="00C1603D" w:rsidRDefault="00A12351" w:rsidP="009D5AC0">
            <w:pPr>
              <w:pStyle w:val="72TabletextTablesTableFigureBoxstyles"/>
            </w:pPr>
            <w:r w:rsidRPr="00C1603D">
              <w:rPr>
                <w:rFonts w:eastAsia="Arial"/>
                <w:noProof/>
              </w:rPr>
              <w:t xml:space="preserve">Adlercreutz </w:t>
            </w:r>
            <w:r w:rsidRPr="00C1603D">
              <w:rPr>
                <w:rFonts w:eastAsia="Arial"/>
                <w:i/>
                <w:iCs/>
                <w:noProof/>
              </w:rPr>
              <w:t>et al</w:t>
            </w:r>
            <w:r w:rsidRPr="00C1603D">
              <w:rPr>
                <w:rFonts w:eastAsia="Arial"/>
                <w:noProof/>
              </w:rPr>
              <w:t>.</w:t>
            </w:r>
            <w:r w:rsidRPr="00C1603D">
              <w:rPr>
                <w:rFonts w:eastAsia="Arial"/>
                <w:noProof/>
                <w:vertAlign w:val="superscript"/>
              </w:rPr>
              <w:t>447</w:t>
            </w:r>
          </w:p>
        </w:tc>
      </w:tr>
      <w:tr w:rsidR="00A12351" w:rsidRPr="00C1603D" w14:paraId="28853D46" w14:textId="77777777" w:rsidTr="00943414">
        <w:trPr>
          <w:cantSplit/>
        </w:trPr>
        <w:tc>
          <w:tcPr>
            <w:tcW w:w="0" w:type="auto"/>
            <w:shd w:val="clear" w:color="auto" w:fill="FFFFFF"/>
            <w:tcMar>
              <w:top w:w="0" w:type="dxa"/>
              <w:left w:w="0" w:type="dxa"/>
              <w:bottom w:w="0" w:type="dxa"/>
              <w:right w:w="0" w:type="dxa"/>
            </w:tcMar>
          </w:tcPr>
          <w:p w14:paraId="433D2086"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1B159005" w14:textId="352654CD"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2542D367" w14:textId="4525339E"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0FB4EA1E" w14:textId="77777777" w:rsidR="009D5AC0" w:rsidRPr="00C1603D" w:rsidRDefault="009D5AC0" w:rsidP="009D5AC0">
            <w:pPr>
              <w:pStyle w:val="72TabletextTablesTableFigureBoxstyles"/>
            </w:pPr>
            <w:r w:rsidRPr="00C1603D">
              <w:rPr>
                <w:rFonts w:eastAsia="Arial"/>
              </w:rPr>
              <w:t>335</w:t>
            </w:r>
          </w:p>
        </w:tc>
        <w:tc>
          <w:tcPr>
            <w:tcW w:w="0" w:type="auto"/>
            <w:shd w:val="clear" w:color="auto" w:fill="FFFFFF"/>
            <w:tcMar>
              <w:top w:w="0" w:type="dxa"/>
              <w:left w:w="0" w:type="dxa"/>
              <w:bottom w:w="0" w:type="dxa"/>
              <w:right w:w="0" w:type="dxa"/>
            </w:tcMar>
          </w:tcPr>
          <w:p w14:paraId="2A863041" w14:textId="019F906F"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78F5FFA8"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05DCC44" w14:textId="337FFE13"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79720678"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66F2B85" w14:textId="77777777" w:rsidR="009D5AC0" w:rsidRPr="00C1603D" w:rsidRDefault="009D5AC0" w:rsidP="009D5AC0">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11E565F6" w14:textId="37A5BC68" w:rsidR="009D5AC0" w:rsidRPr="00C1603D" w:rsidRDefault="00A12351" w:rsidP="009D5AC0">
            <w:pPr>
              <w:pStyle w:val="72TabletextTablesTableFigureBoxstyles"/>
            </w:pPr>
            <w:r w:rsidRPr="00C1603D">
              <w:rPr>
                <w:rFonts w:eastAsia="Arial"/>
                <w:noProof/>
              </w:rPr>
              <w:t xml:space="preserve">Aktay </w:t>
            </w:r>
            <w:r w:rsidRPr="00C1603D">
              <w:rPr>
                <w:rFonts w:eastAsia="Arial"/>
                <w:i/>
                <w:iCs/>
                <w:noProof/>
              </w:rPr>
              <w:t>et al</w:t>
            </w:r>
            <w:r w:rsidRPr="00C1603D">
              <w:rPr>
                <w:rFonts w:eastAsia="Arial"/>
                <w:noProof/>
              </w:rPr>
              <w:t>.</w:t>
            </w:r>
            <w:r w:rsidR="009D5AC0" w:rsidRPr="00C1603D">
              <w:rPr>
                <w:rFonts w:eastAsia="Arial"/>
                <w:noProof/>
                <w:vertAlign w:val="superscript"/>
              </w:rPr>
              <w:t>448</w:t>
            </w:r>
          </w:p>
        </w:tc>
      </w:tr>
      <w:tr w:rsidR="00A12351" w:rsidRPr="00C1603D" w14:paraId="7E7412FE" w14:textId="77777777" w:rsidTr="00943414">
        <w:trPr>
          <w:cantSplit/>
        </w:trPr>
        <w:tc>
          <w:tcPr>
            <w:tcW w:w="0" w:type="auto"/>
            <w:shd w:val="clear" w:color="auto" w:fill="FFFFFF"/>
            <w:tcMar>
              <w:top w:w="0" w:type="dxa"/>
              <w:left w:w="0" w:type="dxa"/>
              <w:bottom w:w="0" w:type="dxa"/>
              <w:right w:w="0" w:type="dxa"/>
            </w:tcMar>
          </w:tcPr>
          <w:p w14:paraId="1A8C7508"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19727C24" w14:textId="2386FA51"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58112873" w14:textId="2F2A63E3"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549A689" w14:textId="77777777" w:rsidR="009D5AC0" w:rsidRPr="00C1603D" w:rsidRDefault="009D5AC0" w:rsidP="009D5AC0">
            <w:pPr>
              <w:pStyle w:val="72TabletextTablesTableFigureBoxstyles"/>
            </w:pPr>
            <w:r w:rsidRPr="00C1603D">
              <w:rPr>
                <w:rFonts w:eastAsia="Arial"/>
              </w:rPr>
              <w:t>209</w:t>
            </w:r>
          </w:p>
        </w:tc>
        <w:tc>
          <w:tcPr>
            <w:tcW w:w="0" w:type="auto"/>
            <w:shd w:val="clear" w:color="auto" w:fill="FFFFFF"/>
            <w:tcMar>
              <w:top w:w="0" w:type="dxa"/>
              <w:left w:w="0" w:type="dxa"/>
              <w:bottom w:w="0" w:type="dxa"/>
              <w:right w:w="0" w:type="dxa"/>
            </w:tcMar>
          </w:tcPr>
          <w:p w14:paraId="158698AF" w14:textId="617499E2"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79C2CEA"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D7407D0" w14:textId="2FEC6385"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175CAB9A"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930024B" w14:textId="77777777" w:rsidR="009D5AC0" w:rsidRPr="00C1603D" w:rsidRDefault="009D5AC0" w:rsidP="009D5AC0">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21D4DECD" w14:textId="368F0D64" w:rsidR="009D5AC0" w:rsidRPr="00C1603D" w:rsidRDefault="00A12351" w:rsidP="009D5AC0">
            <w:pPr>
              <w:pStyle w:val="72TabletextTablesTableFigureBoxstyles"/>
            </w:pPr>
            <w:r w:rsidRPr="00C1603D">
              <w:rPr>
                <w:rFonts w:eastAsia="Arial"/>
                <w:noProof/>
              </w:rPr>
              <w:t xml:space="preserve">Baptista </w:t>
            </w:r>
            <w:r w:rsidRPr="00C1603D">
              <w:rPr>
                <w:rFonts w:eastAsia="Arial"/>
                <w:i/>
                <w:iCs/>
                <w:noProof/>
              </w:rPr>
              <w:t>et al</w:t>
            </w:r>
            <w:r w:rsidRPr="00C1603D">
              <w:rPr>
                <w:rFonts w:eastAsia="Arial"/>
                <w:noProof/>
              </w:rPr>
              <w:t>.</w:t>
            </w:r>
            <w:r w:rsidR="009D5AC0" w:rsidRPr="00C1603D">
              <w:rPr>
                <w:rFonts w:eastAsia="Arial"/>
                <w:noProof/>
                <w:vertAlign w:val="superscript"/>
              </w:rPr>
              <w:t>449</w:t>
            </w:r>
          </w:p>
        </w:tc>
      </w:tr>
      <w:tr w:rsidR="00A12351" w:rsidRPr="00C1603D" w14:paraId="2A771693" w14:textId="77777777" w:rsidTr="00943414">
        <w:trPr>
          <w:cantSplit/>
        </w:trPr>
        <w:tc>
          <w:tcPr>
            <w:tcW w:w="0" w:type="auto"/>
            <w:shd w:val="clear" w:color="auto" w:fill="FFFFFF"/>
            <w:tcMar>
              <w:top w:w="0" w:type="dxa"/>
              <w:left w:w="0" w:type="dxa"/>
              <w:bottom w:w="0" w:type="dxa"/>
              <w:right w:w="0" w:type="dxa"/>
            </w:tcMar>
          </w:tcPr>
          <w:p w14:paraId="4609A723"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B5DD622" w14:textId="360F45E0"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59ECD02F" w14:textId="2043E514"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6CFB8266" w14:textId="77777777" w:rsidR="009D5AC0" w:rsidRPr="00C1603D" w:rsidRDefault="009D5AC0" w:rsidP="009D5AC0">
            <w:pPr>
              <w:pStyle w:val="72TabletextTablesTableFigureBoxstyles"/>
            </w:pPr>
            <w:r w:rsidRPr="00C1603D">
              <w:rPr>
                <w:rFonts w:eastAsia="Arial"/>
              </w:rPr>
              <w:t>246</w:t>
            </w:r>
          </w:p>
        </w:tc>
        <w:tc>
          <w:tcPr>
            <w:tcW w:w="0" w:type="auto"/>
            <w:shd w:val="clear" w:color="auto" w:fill="FFFFFF"/>
            <w:tcMar>
              <w:top w:w="0" w:type="dxa"/>
              <w:left w:w="0" w:type="dxa"/>
              <w:bottom w:w="0" w:type="dxa"/>
              <w:right w:w="0" w:type="dxa"/>
            </w:tcMar>
          </w:tcPr>
          <w:p w14:paraId="07C66F68" w14:textId="51406FB5"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2AC8F11"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0F9786A" w14:textId="54F7C33D"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4D8D29F0"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B8EB534" w14:textId="77777777" w:rsidR="009D5AC0" w:rsidRPr="00C1603D" w:rsidRDefault="009D5AC0" w:rsidP="009D5AC0">
            <w:pPr>
              <w:pStyle w:val="72TabletextTablesTableFigureBoxstyles"/>
            </w:pPr>
            <w:r w:rsidRPr="00C1603D">
              <w:rPr>
                <w:rFonts w:eastAsia="Arial"/>
              </w:rPr>
              <w:t>Serbia</w:t>
            </w:r>
          </w:p>
        </w:tc>
        <w:tc>
          <w:tcPr>
            <w:tcW w:w="0" w:type="auto"/>
            <w:shd w:val="clear" w:color="auto" w:fill="FFFFFF"/>
            <w:tcMar>
              <w:top w:w="0" w:type="dxa"/>
              <w:left w:w="0" w:type="dxa"/>
              <w:bottom w:w="0" w:type="dxa"/>
              <w:right w:w="0" w:type="dxa"/>
            </w:tcMar>
          </w:tcPr>
          <w:p w14:paraId="6CCA5DA3" w14:textId="618B7FD3" w:rsidR="009D5AC0" w:rsidRPr="00C1603D" w:rsidRDefault="00A12351" w:rsidP="009D5AC0">
            <w:pPr>
              <w:pStyle w:val="72TabletextTablesTableFigureBoxstyles"/>
            </w:pPr>
            <w:r w:rsidRPr="00C1603D">
              <w:t xml:space="preserve">Djurić </w:t>
            </w:r>
            <w:r w:rsidRPr="00C1603D">
              <w:rPr>
                <w:rFonts w:eastAsia="Arial"/>
                <w:i/>
                <w:iCs/>
                <w:noProof/>
              </w:rPr>
              <w:t>et al</w:t>
            </w:r>
            <w:r w:rsidRPr="00C1603D">
              <w:rPr>
                <w:rFonts w:eastAsia="Arial"/>
                <w:noProof/>
              </w:rPr>
              <w:t>.</w:t>
            </w:r>
            <w:r w:rsidR="009D5AC0" w:rsidRPr="00C1603D">
              <w:rPr>
                <w:rFonts w:eastAsia="Arial"/>
                <w:noProof/>
                <w:vertAlign w:val="superscript"/>
              </w:rPr>
              <w:t>450</w:t>
            </w:r>
          </w:p>
        </w:tc>
      </w:tr>
      <w:tr w:rsidR="00A12351" w:rsidRPr="00C1603D" w14:paraId="269BB432" w14:textId="77777777" w:rsidTr="00943414">
        <w:trPr>
          <w:cantSplit/>
        </w:trPr>
        <w:tc>
          <w:tcPr>
            <w:tcW w:w="0" w:type="auto"/>
            <w:shd w:val="clear" w:color="auto" w:fill="FFFFFF"/>
            <w:tcMar>
              <w:top w:w="0" w:type="dxa"/>
              <w:left w:w="0" w:type="dxa"/>
              <w:bottom w:w="0" w:type="dxa"/>
              <w:right w:w="0" w:type="dxa"/>
            </w:tcMar>
          </w:tcPr>
          <w:p w14:paraId="35A9CFA8"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4E903A18" w14:textId="0D91EBE5"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0E11914D" w14:textId="18B952E2"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52FFDDA3" w14:textId="77777777" w:rsidR="009D5AC0" w:rsidRPr="00C1603D" w:rsidRDefault="009D5AC0" w:rsidP="009D5AC0">
            <w:pPr>
              <w:pStyle w:val="72TabletextTablesTableFigureBoxstyles"/>
            </w:pPr>
            <w:r w:rsidRPr="00C1603D">
              <w:rPr>
                <w:rFonts w:eastAsia="Arial"/>
              </w:rPr>
              <w:t>394</w:t>
            </w:r>
          </w:p>
        </w:tc>
        <w:tc>
          <w:tcPr>
            <w:tcW w:w="0" w:type="auto"/>
            <w:shd w:val="clear" w:color="auto" w:fill="FFFFFF"/>
            <w:tcMar>
              <w:top w:w="0" w:type="dxa"/>
              <w:left w:w="0" w:type="dxa"/>
              <w:bottom w:w="0" w:type="dxa"/>
              <w:right w:w="0" w:type="dxa"/>
            </w:tcMar>
          </w:tcPr>
          <w:p w14:paraId="3CE68590" w14:textId="77777777" w:rsidR="009D5AC0" w:rsidRPr="00C1603D" w:rsidRDefault="009D5AC0" w:rsidP="009D5AC0">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729ECCDC"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126152C"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3D071F90" w14:textId="77777777" w:rsidR="009D5AC0" w:rsidRPr="00C1603D" w:rsidRDefault="009D5AC0" w:rsidP="009D5AC0">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5552A456" w14:textId="3B9535E9" w:rsidR="009D5AC0" w:rsidRPr="00C1603D" w:rsidRDefault="009D5AC0" w:rsidP="009D5AC0">
            <w:pPr>
              <w:pStyle w:val="72TabletextTablesTableFigureBoxstyles"/>
            </w:pPr>
            <w:r w:rsidRPr="00C1603D">
              <w:rPr>
                <w:rFonts w:eastAsia="Arial"/>
              </w:rPr>
              <w:t>USA</w:t>
            </w:r>
          </w:p>
        </w:tc>
        <w:tc>
          <w:tcPr>
            <w:tcW w:w="0" w:type="auto"/>
            <w:shd w:val="clear" w:color="auto" w:fill="FFFFFF"/>
            <w:tcMar>
              <w:top w:w="0" w:type="dxa"/>
              <w:left w:w="0" w:type="dxa"/>
              <w:bottom w:w="0" w:type="dxa"/>
              <w:right w:w="0" w:type="dxa"/>
            </w:tcMar>
          </w:tcPr>
          <w:p w14:paraId="5E776CF4" w14:textId="5B958F76" w:rsidR="009D5AC0" w:rsidRPr="00C1603D" w:rsidRDefault="00A12351" w:rsidP="009D5AC0">
            <w:pPr>
              <w:pStyle w:val="72TabletextTablesTableFigureBoxstyles"/>
            </w:pPr>
            <w:r w:rsidRPr="00C1603D">
              <w:rPr>
                <w:rFonts w:eastAsia="Arial"/>
                <w:noProof/>
              </w:rPr>
              <w:t xml:space="preserve">Frohnert </w:t>
            </w:r>
            <w:r w:rsidRPr="00C1603D">
              <w:rPr>
                <w:rFonts w:eastAsia="Arial"/>
                <w:i/>
                <w:iCs/>
                <w:noProof/>
              </w:rPr>
              <w:t>et al</w:t>
            </w:r>
            <w:r w:rsidRPr="00C1603D">
              <w:rPr>
                <w:rFonts w:eastAsia="Arial"/>
                <w:noProof/>
              </w:rPr>
              <w:t>.</w:t>
            </w:r>
            <w:r w:rsidR="009D5AC0" w:rsidRPr="00C1603D">
              <w:rPr>
                <w:rFonts w:eastAsia="Arial"/>
                <w:noProof/>
                <w:vertAlign w:val="superscript"/>
              </w:rPr>
              <w:t>451</w:t>
            </w:r>
          </w:p>
        </w:tc>
      </w:tr>
      <w:tr w:rsidR="00A12351" w:rsidRPr="00C1603D" w14:paraId="1B7074F2" w14:textId="77777777" w:rsidTr="00943414">
        <w:trPr>
          <w:cantSplit/>
        </w:trPr>
        <w:tc>
          <w:tcPr>
            <w:tcW w:w="0" w:type="auto"/>
            <w:shd w:val="clear" w:color="auto" w:fill="FFFFFF"/>
            <w:tcMar>
              <w:top w:w="0" w:type="dxa"/>
              <w:left w:w="0" w:type="dxa"/>
              <w:bottom w:w="0" w:type="dxa"/>
              <w:right w:w="0" w:type="dxa"/>
            </w:tcMar>
          </w:tcPr>
          <w:p w14:paraId="3E5C96B0"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010DC472" w14:textId="2D36DC0C"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0835E91D" w14:textId="4E3487B6"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173CAAA5" w14:textId="77777777" w:rsidR="009D5AC0" w:rsidRPr="00C1603D" w:rsidRDefault="009D5AC0" w:rsidP="009D5AC0">
            <w:pPr>
              <w:pStyle w:val="72TabletextTablesTableFigureBoxstyles"/>
            </w:pPr>
            <w:r w:rsidRPr="00C1603D">
              <w:rPr>
                <w:rFonts w:eastAsia="Arial"/>
              </w:rPr>
              <w:t>272</w:t>
            </w:r>
          </w:p>
        </w:tc>
        <w:tc>
          <w:tcPr>
            <w:tcW w:w="0" w:type="auto"/>
            <w:shd w:val="clear" w:color="auto" w:fill="FFFFFF"/>
            <w:tcMar>
              <w:top w:w="0" w:type="dxa"/>
              <w:left w:w="0" w:type="dxa"/>
              <w:bottom w:w="0" w:type="dxa"/>
              <w:right w:w="0" w:type="dxa"/>
            </w:tcMar>
          </w:tcPr>
          <w:p w14:paraId="0D6B4842" w14:textId="7AAC2829"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7BFD2AB"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501E5A4"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74D39BF1"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51264CF" w14:textId="77777777" w:rsidR="009D5AC0" w:rsidRPr="00C1603D" w:rsidRDefault="009D5AC0" w:rsidP="009D5AC0">
            <w:pPr>
              <w:pStyle w:val="72TabletextTablesTableFigureBoxstyles"/>
            </w:pPr>
            <w:r w:rsidRPr="00C1603D">
              <w:rPr>
                <w:rFonts w:eastAsia="Arial"/>
              </w:rPr>
              <w:t>Romania</w:t>
            </w:r>
          </w:p>
        </w:tc>
        <w:tc>
          <w:tcPr>
            <w:tcW w:w="0" w:type="auto"/>
            <w:shd w:val="clear" w:color="auto" w:fill="FFFFFF"/>
            <w:tcMar>
              <w:top w:w="0" w:type="dxa"/>
              <w:left w:w="0" w:type="dxa"/>
              <w:bottom w:w="0" w:type="dxa"/>
              <w:right w:w="0" w:type="dxa"/>
            </w:tcMar>
          </w:tcPr>
          <w:p w14:paraId="5DB24791" w14:textId="43308A70" w:rsidR="009D5AC0" w:rsidRPr="00C1603D" w:rsidRDefault="00A12351" w:rsidP="009D5AC0">
            <w:pPr>
              <w:pStyle w:val="72TabletextTablesTableFigureBoxstyles"/>
            </w:pPr>
            <w:r w:rsidRPr="00C1603D">
              <w:rPr>
                <w:rFonts w:eastAsia="Arial"/>
                <w:noProof/>
              </w:rPr>
              <w:t xml:space="preserve">Gurau </w:t>
            </w:r>
            <w:r w:rsidRPr="00C1603D">
              <w:rPr>
                <w:rFonts w:eastAsia="Arial"/>
                <w:i/>
                <w:iCs/>
                <w:noProof/>
              </w:rPr>
              <w:t>et al</w:t>
            </w:r>
            <w:r w:rsidRPr="00C1603D">
              <w:rPr>
                <w:rFonts w:eastAsia="Arial"/>
                <w:noProof/>
              </w:rPr>
              <w:t>.</w:t>
            </w:r>
            <w:r w:rsidR="009D5AC0" w:rsidRPr="00C1603D">
              <w:rPr>
                <w:rFonts w:eastAsia="Arial"/>
                <w:noProof/>
                <w:vertAlign w:val="superscript"/>
              </w:rPr>
              <w:t>452</w:t>
            </w:r>
          </w:p>
        </w:tc>
      </w:tr>
      <w:tr w:rsidR="00A12351" w:rsidRPr="00C1603D" w14:paraId="0FC026A7" w14:textId="77777777" w:rsidTr="00943414">
        <w:trPr>
          <w:cantSplit/>
        </w:trPr>
        <w:tc>
          <w:tcPr>
            <w:tcW w:w="0" w:type="auto"/>
            <w:shd w:val="clear" w:color="auto" w:fill="FFFFFF"/>
            <w:tcMar>
              <w:top w:w="0" w:type="dxa"/>
              <w:left w:w="0" w:type="dxa"/>
              <w:bottom w:w="0" w:type="dxa"/>
              <w:right w:w="0" w:type="dxa"/>
            </w:tcMar>
          </w:tcPr>
          <w:p w14:paraId="444337A3"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61BA4C3E" w14:textId="3E72D841"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430BD32B" w14:textId="5797F009"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37B100FF" w14:textId="77777777" w:rsidR="009D5AC0" w:rsidRPr="00C1603D" w:rsidRDefault="009D5AC0" w:rsidP="009D5AC0">
            <w:pPr>
              <w:pStyle w:val="72TabletextTablesTableFigureBoxstyles"/>
            </w:pPr>
            <w:r w:rsidRPr="00C1603D">
              <w:rPr>
                <w:rFonts w:eastAsia="Arial"/>
              </w:rPr>
              <w:t>265</w:t>
            </w:r>
          </w:p>
        </w:tc>
        <w:tc>
          <w:tcPr>
            <w:tcW w:w="0" w:type="auto"/>
            <w:shd w:val="clear" w:color="auto" w:fill="FFFFFF"/>
            <w:tcMar>
              <w:top w:w="0" w:type="dxa"/>
              <w:left w:w="0" w:type="dxa"/>
              <w:bottom w:w="0" w:type="dxa"/>
              <w:right w:w="0" w:type="dxa"/>
            </w:tcMar>
          </w:tcPr>
          <w:p w14:paraId="1C801174" w14:textId="398DA036"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782A484F"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924EF3F" w14:textId="56035E3D"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68FAF0C4"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DF387D6" w14:textId="77777777" w:rsidR="009D5AC0" w:rsidRPr="00C1603D" w:rsidRDefault="009D5AC0" w:rsidP="009D5AC0">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02AF0785" w14:textId="56F28719" w:rsidR="009D5AC0" w:rsidRPr="00C1603D" w:rsidRDefault="00A12351" w:rsidP="009D5AC0">
            <w:pPr>
              <w:pStyle w:val="72TabletextTablesTableFigureBoxstyles"/>
            </w:pPr>
            <w:r w:rsidRPr="00C1603D">
              <w:rPr>
                <w:rFonts w:eastAsia="Arial"/>
                <w:noProof/>
              </w:rPr>
              <w:t xml:space="preserve">Hansson </w:t>
            </w:r>
            <w:r w:rsidRPr="00C1603D">
              <w:rPr>
                <w:rFonts w:eastAsia="Arial"/>
                <w:i/>
                <w:iCs/>
                <w:noProof/>
              </w:rPr>
              <w:t>et al</w:t>
            </w:r>
            <w:r w:rsidRPr="00C1603D">
              <w:rPr>
                <w:rFonts w:eastAsia="Arial"/>
                <w:noProof/>
              </w:rPr>
              <w:t>.</w:t>
            </w:r>
            <w:r w:rsidR="009D5AC0" w:rsidRPr="00C1603D">
              <w:rPr>
                <w:rFonts w:eastAsia="Arial"/>
                <w:noProof/>
                <w:vertAlign w:val="superscript"/>
              </w:rPr>
              <w:t>453</w:t>
            </w:r>
          </w:p>
        </w:tc>
      </w:tr>
      <w:tr w:rsidR="00A12351" w:rsidRPr="00C1603D" w14:paraId="17F19A89" w14:textId="77777777" w:rsidTr="00943414">
        <w:trPr>
          <w:cantSplit/>
        </w:trPr>
        <w:tc>
          <w:tcPr>
            <w:tcW w:w="0" w:type="auto"/>
            <w:shd w:val="clear" w:color="auto" w:fill="FFFFFF"/>
            <w:tcMar>
              <w:top w:w="0" w:type="dxa"/>
              <w:left w:w="0" w:type="dxa"/>
              <w:bottom w:w="0" w:type="dxa"/>
              <w:right w:w="0" w:type="dxa"/>
            </w:tcMar>
          </w:tcPr>
          <w:p w14:paraId="59978406" w14:textId="77777777" w:rsidR="009D5AC0" w:rsidRPr="00C1603D" w:rsidRDefault="009D5AC0" w:rsidP="009D5AC0">
            <w:pPr>
              <w:pStyle w:val="72TabletextTablesTableFigureBoxstyles"/>
            </w:pPr>
            <w:r w:rsidRPr="00C1603D">
              <w:rPr>
                <w:rFonts w:eastAsia="Arial"/>
              </w:rPr>
              <w:lastRenderedPageBreak/>
              <w:t>Children</w:t>
            </w:r>
          </w:p>
        </w:tc>
        <w:tc>
          <w:tcPr>
            <w:tcW w:w="0" w:type="auto"/>
            <w:shd w:val="clear" w:color="auto" w:fill="FFFFFF"/>
            <w:tcMar>
              <w:top w:w="0" w:type="dxa"/>
              <w:left w:w="0" w:type="dxa"/>
              <w:bottom w:w="0" w:type="dxa"/>
              <w:right w:w="0" w:type="dxa"/>
            </w:tcMar>
          </w:tcPr>
          <w:p w14:paraId="24B0C33B" w14:textId="4632A8E2"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2C3E7B3D" w14:textId="0C780429"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740A8D9A" w14:textId="77777777" w:rsidR="009D5AC0" w:rsidRPr="00C1603D" w:rsidRDefault="009D5AC0" w:rsidP="009D5AC0">
            <w:pPr>
              <w:pStyle w:val="72TabletextTablesTableFigureBoxstyles"/>
            </w:pPr>
            <w:r w:rsidRPr="00C1603D">
              <w:rPr>
                <w:rFonts w:eastAsia="Arial"/>
              </w:rPr>
              <w:t>197</w:t>
            </w:r>
          </w:p>
        </w:tc>
        <w:tc>
          <w:tcPr>
            <w:tcW w:w="0" w:type="auto"/>
            <w:shd w:val="clear" w:color="auto" w:fill="FFFFFF"/>
            <w:tcMar>
              <w:top w:w="0" w:type="dxa"/>
              <w:left w:w="0" w:type="dxa"/>
              <w:bottom w:w="0" w:type="dxa"/>
              <w:right w:w="0" w:type="dxa"/>
            </w:tcMar>
          </w:tcPr>
          <w:p w14:paraId="53E740DC" w14:textId="77777777" w:rsidR="009D5AC0" w:rsidRPr="00C1603D" w:rsidRDefault="009D5AC0" w:rsidP="009D5AC0">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69B011C2"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2A63784"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DAC75FA"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C36EC69" w14:textId="77777777" w:rsidR="009D5AC0" w:rsidRPr="00C1603D" w:rsidRDefault="009D5AC0" w:rsidP="009D5AC0">
            <w:pPr>
              <w:pStyle w:val="72TabletextTablesTableFigureBoxstyles"/>
            </w:pPr>
            <w:r w:rsidRPr="00C1603D">
              <w:rPr>
                <w:rFonts w:eastAsia="Arial"/>
              </w:rPr>
              <w:t>Colombia</w:t>
            </w:r>
          </w:p>
        </w:tc>
        <w:tc>
          <w:tcPr>
            <w:tcW w:w="0" w:type="auto"/>
            <w:shd w:val="clear" w:color="auto" w:fill="FFFFFF"/>
            <w:tcMar>
              <w:top w:w="0" w:type="dxa"/>
              <w:left w:w="0" w:type="dxa"/>
              <w:bottom w:w="0" w:type="dxa"/>
              <w:right w:w="0" w:type="dxa"/>
            </w:tcMar>
          </w:tcPr>
          <w:p w14:paraId="221843E6" w14:textId="24D1F9EA" w:rsidR="009D5AC0" w:rsidRPr="00C1603D" w:rsidRDefault="00A12351" w:rsidP="009D5AC0">
            <w:pPr>
              <w:pStyle w:val="72TabletextTablesTableFigureBoxstyles"/>
            </w:pPr>
            <w:r w:rsidRPr="00C1603D">
              <w:rPr>
                <w:rFonts w:eastAsia="Arial"/>
                <w:noProof/>
              </w:rPr>
              <w:t xml:space="preserve">Krause </w:t>
            </w:r>
            <w:r w:rsidRPr="00C1603D">
              <w:rPr>
                <w:rFonts w:eastAsia="Arial"/>
                <w:i/>
                <w:iCs/>
                <w:noProof/>
              </w:rPr>
              <w:t>et al</w:t>
            </w:r>
            <w:r w:rsidRPr="00C1603D">
              <w:rPr>
                <w:rFonts w:eastAsia="Arial"/>
                <w:noProof/>
              </w:rPr>
              <w:t>.</w:t>
            </w:r>
            <w:r w:rsidR="009D5AC0" w:rsidRPr="00C1603D">
              <w:rPr>
                <w:rFonts w:eastAsia="Arial"/>
                <w:noProof/>
                <w:vertAlign w:val="superscript"/>
              </w:rPr>
              <w:t>454</w:t>
            </w:r>
          </w:p>
        </w:tc>
      </w:tr>
      <w:tr w:rsidR="00A12351" w:rsidRPr="00C1603D" w14:paraId="4D8D022D" w14:textId="77777777" w:rsidTr="00943414">
        <w:trPr>
          <w:cantSplit/>
        </w:trPr>
        <w:tc>
          <w:tcPr>
            <w:tcW w:w="0" w:type="auto"/>
            <w:shd w:val="clear" w:color="auto" w:fill="FFFFFF"/>
            <w:tcMar>
              <w:top w:w="0" w:type="dxa"/>
              <w:left w:w="0" w:type="dxa"/>
              <w:bottom w:w="0" w:type="dxa"/>
              <w:right w:w="0" w:type="dxa"/>
            </w:tcMar>
          </w:tcPr>
          <w:p w14:paraId="2AC2344A"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775CCF66" w14:textId="4472259F"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3E8D7810" w14:textId="1CA03C4B"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5443C8F7" w14:textId="77777777" w:rsidR="009D5AC0" w:rsidRPr="00C1603D" w:rsidRDefault="009D5AC0" w:rsidP="009D5AC0">
            <w:pPr>
              <w:pStyle w:val="72TabletextTablesTableFigureBoxstyles"/>
            </w:pPr>
            <w:r w:rsidRPr="00C1603D">
              <w:rPr>
                <w:rFonts w:eastAsia="Arial"/>
              </w:rPr>
              <w:t>74</w:t>
            </w:r>
          </w:p>
        </w:tc>
        <w:tc>
          <w:tcPr>
            <w:tcW w:w="0" w:type="auto"/>
            <w:shd w:val="clear" w:color="auto" w:fill="FFFFFF"/>
            <w:tcMar>
              <w:top w:w="0" w:type="dxa"/>
              <w:left w:w="0" w:type="dxa"/>
              <w:bottom w:w="0" w:type="dxa"/>
              <w:right w:w="0" w:type="dxa"/>
            </w:tcMar>
          </w:tcPr>
          <w:p w14:paraId="47818CB0" w14:textId="09480014"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4FFF176D"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8328220" w14:textId="5CDFE4A3"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14B6AAB8"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EC004F3" w14:textId="77777777" w:rsidR="009D5AC0" w:rsidRPr="00C1603D" w:rsidRDefault="009D5AC0" w:rsidP="009D5AC0">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678AA947" w14:textId="0ED8FF8B" w:rsidR="009D5AC0" w:rsidRPr="00C1603D" w:rsidRDefault="00A12351" w:rsidP="009D5AC0">
            <w:pPr>
              <w:pStyle w:val="72TabletextTablesTableFigureBoxstyles"/>
            </w:pPr>
            <w:r w:rsidRPr="00C1603D">
              <w:rPr>
                <w:rFonts w:eastAsia="Arial"/>
                <w:noProof/>
              </w:rPr>
              <w:t xml:space="preserve">Soyucen </w:t>
            </w:r>
            <w:r w:rsidRPr="00C1603D">
              <w:rPr>
                <w:rFonts w:eastAsia="Arial"/>
                <w:i/>
                <w:iCs/>
                <w:noProof/>
              </w:rPr>
              <w:t>et al</w:t>
            </w:r>
            <w:r w:rsidRPr="00C1603D">
              <w:rPr>
                <w:rFonts w:eastAsia="Arial"/>
                <w:noProof/>
              </w:rPr>
              <w:t>.</w:t>
            </w:r>
            <w:r w:rsidR="009D5AC0" w:rsidRPr="00C1603D">
              <w:rPr>
                <w:rFonts w:eastAsia="Arial"/>
                <w:noProof/>
                <w:vertAlign w:val="superscript"/>
              </w:rPr>
              <w:t>455</w:t>
            </w:r>
          </w:p>
        </w:tc>
      </w:tr>
      <w:tr w:rsidR="00A12351" w:rsidRPr="00C1603D" w14:paraId="37CFC59D" w14:textId="77777777" w:rsidTr="00943414">
        <w:trPr>
          <w:cantSplit/>
        </w:trPr>
        <w:tc>
          <w:tcPr>
            <w:tcW w:w="0" w:type="auto"/>
            <w:shd w:val="clear" w:color="auto" w:fill="FFFFFF"/>
            <w:tcMar>
              <w:top w:w="0" w:type="dxa"/>
              <w:left w:w="0" w:type="dxa"/>
              <w:bottom w:w="0" w:type="dxa"/>
              <w:right w:w="0" w:type="dxa"/>
            </w:tcMar>
          </w:tcPr>
          <w:p w14:paraId="35995C14" w14:textId="77777777" w:rsidR="009D5AC0" w:rsidRPr="00C1603D" w:rsidRDefault="009D5AC0" w:rsidP="009D5AC0">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576E3C0A" w14:textId="07AA44E5"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3B021E21" w14:textId="0AC3D4D0"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5B4AB14D" w14:textId="77777777" w:rsidR="009D5AC0" w:rsidRPr="00C1603D" w:rsidRDefault="009D5AC0" w:rsidP="009D5AC0">
            <w:pPr>
              <w:pStyle w:val="72TabletextTablesTableFigureBoxstyles"/>
            </w:pPr>
            <w:r w:rsidRPr="00C1603D">
              <w:rPr>
                <w:rFonts w:eastAsia="Arial"/>
              </w:rPr>
              <w:t>446</w:t>
            </w:r>
          </w:p>
        </w:tc>
        <w:tc>
          <w:tcPr>
            <w:tcW w:w="0" w:type="auto"/>
            <w:shd w:val="clear" w:color="auto" w:fill="FFFFFF"/>
            <w:tcMar>
              <w:top w:w="0" w:type="dxa"/>
              <w:left w:w="0" w:type="dxa"/>
              <w:bottom w:w="0" w:type="dxa"/>
              <w:right w:w="0" w:type="dxa"/>
            </w:tcMar>
          </w:tcPr>
          <w:p w14:paraId="5B80C497" w14:textId="2A37A52E"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602CB17"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4362352"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BF5E545"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36951CB" w14:textId="77777777" w:rsidR="009D5AC0" w:rsidRPr="00C1603D" w:rsidRDefault="009D5AC0" w:rsidP="009D5AC0">
            <w:pPr>
              <w:pStyle w:val="72TabletextTablesTableFigureBoxstyles"/>
            </w:pPr>
            <w:r w:rsidRPr="00C1603D">
              <w:rPr>
                <w:rFonts w:eastAsia="Arial"/>
              </w:rPr>
              <w:t>Colombia</w:t>
            </w:r>
          </w:p>
        </w:tc>
        <w:tc>
          <w:tcPr>
            <w:tcW w:w="0" w:type="auto"/>
            <w:shd w:val="clear" w:color="auto" w:fill="FFFFFF"/>
            <w:tcMar>
              <w:top w:w="0" w:type="dxa"/>
              <w:left w:w="0" w:type="dxa"/>
              <w:bottom w:w="0" w:type="dxa"/>
              <w:right w:w="0" w:type="dxa"/>
            </w:tcMar>
          </w:tcPr>
          <w:p w14:paraId="2A73CEC3" w14:textId="1845BF2C" w:rsidR="009D5AC0" w:rsidRPr="00C1603D" w:rsidRDefault="00A12351" w:rsidP="009D5AC0">
            <w:pPr>
              <w:pStyle w:val="72TabletextTablesTableFigureBoxstyles"/>
            </w:pPr>
            <w:r w:rsidRPr="00C1603D">
              <w:rPr>
                <w:rFonts w:eastAsia="Arial"/>
                <w:noProof/>
              </w:rPr>
              <w:t xml:space="preserve">Velasco </w:t>
            </w:r>
            <w:r w:rsidRPr="00C1603D">
              <w:rPr>
                <w:rFonts w:eastAsia="Arial"/>
                <w:i/>
                <w:iCs/>
                <w:noProof/>
              </w:rPr>
              <w:t>et al</w:t>
            </w:r>
            <w:r w:rsidRPr="00C1603D">
              <w:rPr>
                <w:rFonts w:eastAsia="Arial"/>
                <w:noProof/>
              </w:rPr>
              <w:t>.</w:t>
            </w:r>
            <w:r w:rsidR="009D5AC0" w:rsidRPr="00C1603D">
              <w:rPr>
                <w:rFonts w:eastAsia="Arial"/>
                <w:noProof/>
                <w:vertAlign w:val="superscript"/>
              </w:rPr>
              <w:t>456</w:t>
            </w:r>
          </w:p>
        </w:tc>
      </w:tr>
      <w:tr w:rsidR="00A12351" w:rsidRPr="00C1603D" w14:paraId="68FC5BD4" w14:textId="77777777" w:rsidTr="00943414">
        <w:trPr>
          <w:cantSplit/>
        </w:trPr>
        <w:tc>
          <w:tcPr>
            <w:tcW w:w="0" w:type="auto"/>
            <w:shd w:val="clear" w:color="auto" w:fill="FFFFFF"/>
            <w:tcMar>
              <w:top w:w="0" w:type="dxa"/>
              <w:left w:w="0" w:type="dxa"/>
              <w:bottom w:w="0" w:type="dxa"/>
              <w:right w:w="0" w:type="dxa"/>
            </w:tcMar>
          </w:tcPr>
          <w:p w14:paraId="38DCE968" w14:textId="77777777" w:rsidR="009D5AC0" w:rsidRPr="00C1603D" w:rsidRDefault="009D5AC0" w:rsidP="009D5AC0">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0DF31EAA" w14:textId="6D066F26"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42EC181B" w14:textId="31EA7675"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76658E0F" w14:textId="0B2153AF" w:rsidR="009D5AC0" w:rsidRPr="00C1603D" w:rsidRDefault="009D5AC0" w:rsidP="009D5AC0">
            <w:pPr>
              <w:pStyle w:val="72TabletextTablesTableFigureBoxstyles"/>
            </w:pPr>
            <w:r w:rsidRPr="00C1603D">
              <w:rPr>
                <w:rFonts w:eastAsia="Arial"/>
              </w:rPr>
              <w:t>4491</w:t>
            </w:r>
          </w:p>
        </w:tc>
        <w:tc>
          <w:tcPr>
            <w:tcW w:w="0" w:type="auto"/>
            <w:shd w:val="clear" w:color="auto" w:fill="FFFFFF"/>
            <w:tcMar>
              <w:top w:w="0" w:type="dxa"/>
              <w:left w:w="0" w:type="dxa"/>
              <w:bottom w:w="0" w:type="dxa"/>
              <w:right w:w="0" w:type="dxa"/>
            </w:tcMar>
          </w:tcPr>
          <w:p w14:paraId="3107D5E1" w14:textId="33C8AC1B"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4A4D91B"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3299569" w14:textId="53FF7139"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3D55A441"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98B138E" w14:textId="77777777" w:rsidR="009D5AC0" w:rsidRPr="00C1603D" w:rsidRDefault="009D5AC0" w:rsidP="009D5AC0">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0779DC12" w14:textId="32565BAD" w:rsidR="009D5AC0" w:rsidRPr="00C1603D" w:rsidRDefault="00A12351" w:rsidP="009D5AC0">
            <w:pPr>
              <w:pStyle w:val="72TabletextTablesTableFigureBoxstyles"/>
            </w:pPr>
            <w:r w:rsidRPr="00C1603D">
              <w:rPr>
                <w:rFonts w:eastAsia="Arial"/>
                <w:noProof/>
              </w:rPr>
              <w:t xml:space="preserve">Not </w:t>
            </w:r>
            <w:r w:rsidRPr="00C1603D">
              <w:rPr>
                <w:rFonts w:eastAsia="Arial"/>
                <w:i/>
                <w:iCs/>
                <w:noProof/>
              </w:rPr>
              <w:t>et al</w:t>
            </w:r>
            <w:r w:rsidRPr="00C1603D">
              <w:rPr>
                <w:rFonts w:eastAsia="Arial"/>
                <w:noProof/>
              </w:rPr>
              <w:t>.</w:t>
            </w:r>
            <w:r w:rsidR="009D5AC0" w:rsidRPr="00C1603D">
              <w:rPr>
                <w:rFonts w:eastAsia="Arial"/>
                <w:noProof/>
                <w:vertAlign w:val="superscript"/>
              </w:rPr>
              <w:t>457</w:t>
            </w:r>
          </w:p>
        </w:tc>
      </w:tr>
      <w:tr w:rsidR="00A12351" w:rsidRPr="00C1603D" w14:paraId="3B3B96CD" w14:textId="77777777" w:rsidTr="00943414">
        <w:trPr>
          <w:cantSplit/>
        </w:trPr>
        <w:tc>
          <w:tcPr>
            <w:tcW w:w="0" w:type="auto"/>
            <w:shd w:val="clear" w:color="auto" w:fill="FFFFFF"/>
            <w:tcMar>
              <w:top w:w="0" w:type="dxa"/>
              <w:left w:w="0" w:type="dxa"/>
              <w:bottom w:w="0" w:type="dxa"/>
              <w:right w:w="0" w:type="dxa"/>
            </w:tcMar>
          </w:tcPr>
          <w:p w14:paraId="345BC42F" w14:textId="77777777" w:rsidR="009D5AC0" w:rsidRPr="00C1603D" w:rsidRDefault="009D5AC0" w:rsidP="009D5AC0">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3F8215B1" w14:textId="6174F8C8"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7C87003D" w14:textId="4CD5B6C7"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6221154D" w14:textId="77777777" w:rsidR="009D5AC0" w:rsidRPr="00C1603D" w:rsidRDefault="009D5AC0" w:rsidP="009D5AC0">
            <w:pPr>
              <w:pStyle w:val="72TabletextTablesTableFigureBoxstyles"/>
            </w:pPr>
            <w:r w:rsidRPr="00C1603D">
              <w:rPr>
                <w:rFonts w:eastAsia="Arial"/>
              </w:rPr>
              <w:t>219</w:t>
            </w:r>
          </w:p>
        </w:tc>
        <w:tc>
          <w:tcPr>
            <w:tcW w:w="0" w:type="auto"/>
            <w:shd w:val="clear" w:color="auto" w:fill="FFFFFF"/>
            <w:tcMar>
              <w:top w:w="0" w:type="dxa"/>
              <w:left w:w="0" w:type="dxa"/>
              <w:bottom w:w="0" w:type="dxa"/>
              <w:right w:w="0" w:type="dxa"/>
            </w:tcMar>
          </w:tcPr>
          <w:p w14:paraId="2A3B0F9A" w14:textId="347F4BD8"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36D25E9D"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F847471"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5773F0DC"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5EC11A6" w14:textId="77777777" w:rsidR="009D5AC0" w:rsidRPr="00C1603D" w:rsidRDefault="009D5AC0" w:rsidP="009D5AC0">
            <w:pPr>
              <w:pStyle w:val="72TabletextTablesTableFigureBoxstyles"/>
            </w:pPr>
            <w:r w:rsidRPr="00C1603D">
              <w:rPr>
                <w:rFonts w:eastAsia="Arial"/>
              </w:rPr>
              <w:t>Sri Lanka</w:t>
            </w:r>
          </w:p>
        </w:tc>
        <w:tc>
          <w:tcPr>
            <w:tcW w:w="0" w:type="auto"/>
            <w:shd w:val="clear" w:color="auto" w:fill="FFFFFF"/>
            <w:tcMar>
              <w:top w:w="0" w:type="dxa"/>
              <w:left w:w="0" w:type="dxa"/>
              <w:bottom w:w="0" w:type="dxa"/>
              <w:right w:w="0" w:type="dxa"/>
            </w:tcMar>
          </w:tcPr>
          <w:p w14:paraId="1C6DCC19" w14:textId="33F17841" w:rsidR="009D5AC0" w:rsidRPr="00C1603D" w:rsidRDefault="00A12351" w:rsidP="009D5AC0">
            <w:pPr>
              <w:pStyle w:val="72TabletextTablesTableFigureBoxstyles"/>
            </w:pPr>
            <w:r w:rsidRPr="00C1603D">
              <w:rPr>
                <w:rFonts w:eastAsia="Arial"/>
                <w:noProof/>
              </w:rPr>
              <w:t xml:space="preserve">Premawardhana </w:t>
            </w:r>
            <w:r w:rsidRPr="00C1603D">
              <w:rPr>
                <w:rFonts w:eastAsia="Arial"/>
                <w:i/>
                <w:iCs/>
                <w:noProof/>
              </w:rPr>
              <w:t>et al</w:t>
            </w:r>
            <w:r w:rsidRPr="00C1603D">
              <w:rPr>
                <w:rFonts w:eastAsia="Arial"/>
                <w:noProof/>
              </w:rPr>
              <w:t>.</w:t>
            </w:r>
            <w:r w:rsidR="009D5AC0" w:rsidRPr="00C1603D">
              <w:rPr>
                <w:rFonts w:eastAsia="Arial"/>
                <w:noProof/>
                <w:vertAlign w:val="superscript"/>
              </w:rPr>
              <w:t>458</w:t>
            </w:r>
          </w:p>
        </w:tc>
      </w:tr>
      <w:tr w:rsidR="00A12351" w:rsidRPr="00C1603D" w14:paraId="5AC171B7" w14:textId="77777777" w:rsidTr="00943414">
        <w:trPr>
          <w:cantSplit/>
        </w:trPr>
        <w:tc>
          <w:tcPr>
            <w:tcW w:w="0" w:type="auto"/>
            <w:shd w:val="clear" w:color="auto" w:fill="FFFFFF"/>
            <w:tcMar>
              <w:top w:w="0" w:type="dxa"/>
              <w:left w:w="0" w:type="dxa"/>
              <w:bottom w:w="0" w:type="dxa"/>
              <w:right w:w="0" w:type="dxa"/>
            </w:tcMar>
          </w:tcPr>
          <w:p w14:paraId="78150764" w14:textId="77777777" w:rsidR="009D5AC0" w:rsidRPr="00C1603D" w:rsidRDefault="009D5AC0" w:rsidP="009D5AC0">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59C98E1F" w14:textId="41FBBFEE"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245E32C6" w14:textId="34108E5A"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4CCEA4E7" w14:textId="77777777" w:rsidR="009D5AC0" w:rsidRPr="00C1603D" w:rsidRDefault="009D5AC0" w:rsidP="009D5AC0">
            <w:pPr>
              <w:pStyle w:val="72TabletextTablesTableFigureBoxstyles"/>
            </w:pPr>
            <w:r w:rsidRPr="00C1603D">
              <w:rPr>
                <w:rFonts w:eastAsia="Arial"/>
              </w:rPr>
              <w:t>347</w:t>
            </w:r>
          </w:p>
        </w:tc>
        <w:tc>
          <w:tcPr>
            <w:tcW w:w="0" w:type="auto"/>
            <w:shd w:val="clear" w:color="auto" w:fill="FFFFFF"/>
            <w:tcMar>
              <w:top w:w="0" w:type="dxa"/>
              <w:left w:w="0" w:type="dxa"/>
              <w:bottom w:w="0" w:type="dxa"/>
              <w:right w:w="0" w:type="dxa"/>
            </w:tcMar>
          </w:tcPr>
          <w:p w14:paraId="2E991CFE" w14:textId="128D749D"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2FA0567"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CAE250D"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FD01507"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CC374F3" w14:textId="77777777" w:rsidR="009D5AC0" w:rsidRPr="00C1603D" w:rsidRDefault="009D5AC0" w:rsidP="009D5AC0">
            <w:pPr>
              <w:pStyle w:val="72TabletextTablesTableFigureBoxstyles"/>
            </w:pPr>
            <w:r w:rsidRPr="00C1603D">
              <w:rPr>
                <w:rFonts w:eastAsia="Arial"/>
              </w:rPr>
              <w:t>Germany</w:t>
            </w:r>
          </w:p>
        </w:tc>
        <w:tc>
          <w:tcPr>
            <w:tcW w:w="0" w:type="auto"/>
            <w:shd w:val="clear" w:color="auto" w:fill="FFFFFF"/>
            <w:tcMar>
              <w:top w:w="0" w:type="dxa"/>
              <w:left w:w="0" w:type="dxa"/>
              <w:bottom w:w="0" w:type="dxa"/>
              <w:right w:w="0" w:type="dxa"/>
            </w:tcMar>
          </w:tcPr>
          <w:p w14:paraId="316A6C17" w14:textId="4B19D91F" w:rsidR="009D5AC0" w:rsidRPr="00C1603D" w:rsidRDefault="00A12351" w:rsidP="009D5AC0">
            <w:pPr>
              <w:pStyle w:val="72TabletextTablesTableFigureBoxstyles"/>
            </w:pPr>
            <w:r w:rsidRPr="00C1603D">
              <w:rPr>
                <w:rFonts w:eastAsia="Arial"/>
                <w:noProof/>
              </w:rPr>
              <w:t xml:space="preserve">Jaeger </w:t>
            </w:r>
            <w:r w:rsidRPr="00C1603D">
              <w:rPr>
                <w:rFonts w:eastAsia="Arial"/>
                <w:i/>
                <w:iCs/>
                <w:noProof/>
              </w:rPr>
              <w:t>et al</w:t>
            </w:r>
            <w:r w:rsidRPr="00C1603D">
              <w:rPr>
                <w:rFonts w:eastAsia="Arial"/>
                <w:noProof/>
              </w:rPr>
              <w:t>.</w:t>
            </w:r>
            <w:r w:rsidR="009D5AC0" w:rsidRPr="00C1603D">
              <w:rPr>
                <w:rFonts w:eastAsia="Arial"/>
                <w:noProof/>
                <w:vertAlign w:val="superscript"/>
              </w:rPr>
              <w:t>459</w:t>
            </w:r>
          </w:p>
        </w:tc>
      </w:tr>
      <w:tr w:rsidR="00A12351" w:rsidRPr="00C1603D" w14:paraId="33CAA4EB" w14:textId="77777777" w:rsidTr="00943414">
        <w:trPr>
          <w:cantSplit/>
        </w:trPr>
        <w:tc>
          <w:tcPr>
            <w:tcW w:w="0" w:type="auto"/>
            <w:shd w:val="clear" w:color="auto" w:fill="FFFFFF"/>
            <w:tcMar>
              <w:top w:w="0" w:type="dxa"/>
              <w:left w:w="0" w:type="dxa"/>
              <w:bottom w:w="0" w:type="dxa"/>
              <w:right w:w="0" w:type="dxa"/>
            </w:tcMar>
          </w:tcPr>
          <w:p w14:paraId="4A345EA2" w14:textId="77777777" w:rsidR="009D5AC0" w:rsidRPr="00C1603D" w:rsidRDefault="009D5AC0" w:rsidP="009D5AC0">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561F4EEF" w14:textId="5C6F15F6"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0A23F7C0" w14:textId="67D91A9D"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0E43AD2" w14:textId="77777777" w:rsidR="009D5AC0" w:rsidRPr="00C1603D" w:rsidRDefault="009D5AC0" w:rsidP="009D5AC0">
            <w:pPr>
              <w:pStyle w:val="72TabletextTablesTableFigureBoxstyles"/>
            </w:pPr>
            <w:r w:rsidRPr="00C1603D">
              <w:rPr>
                <w:rFonts w:eastAsia="Arial"/>
              </w:rPr>
              <w:t>196</w:t>
            </w:r>
          </w:p>
        </w:tc>
        <w:tc>
          <w:tcPr>
            <w:tcW w:w="0" w:type="auto"/>
            <w:shd w:val="clear" w:color="auto" w:fill="FFFFFF"/>
            <w:tcMar>
              <w:top w:w="0" w:type="dxa"/>
              <w:left w:w="0" w:type="dxa"/>
              <w:bottom w:w="0" w:type="dxa"/>
              <w:right w:w="0" w:type="dxa"/>
            </w:tcMar>
          </w:tcPr>
          <w:p w14:paraId="6EB15B5C" w14:textId="77777777" w:rsidR="009D5AC0" w:rsidRPr="00C1603D" w:rsidRDefault="009D5AC0" w:rsidP="009D5AC0">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250AC6CB"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97922A7"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27333065"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71D4505B" w14:textId="77777777" w:rsidR="009D5AC0" w:rsidRPr="00C1603D" w:rsidRDefault="009D5AC0" w:rsidP="009D5AC0">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791B9FB4" w14:textId="3535F858" w:rsidR="009D5AC0" w:rsidRPr="00C1603D" w:rsidRDefault="00A12351" w:rsidP="009D5AC0">
            <w:pPr>
              <w:pStyle w:val="72TabletextTablesTableFigureBoxstyles"/>
            </w:pPr>
            <w:r w:rsidRPr="00C1603D">
              <w:rPr>
                <w:rFonts w:eastAsia="Arial"/>
                <w:noProof/>
              </w:rPr>
              <w:t xml:space="preserve">Kanungo </w:t>
            </w:r>
            <w:r w:rsidRPr="00C1603D">
              <w:rPr>
                <w:rFonts w:eastAsia="Arial"/>
                <w:i/>
                <w:iCs/>
                <w:noProof/>
              </w:rPr>
              <w:t>et al</w:t>
            </w:r>
            <w:r w:rsidRPr="00C1603D">
              <w:rPr>
                <w:rFonts w:eastAsia="Arial"/>
                <w:noProof/>
              </w:rPr>
              <w:t>.</w:t>
            </w:r>
            <w:r w:rsidR="009D5AC0" w:rsidRPr="00C1603D">
              <w:rPr>
                <w:rFonts w:eastAsia="Arial"/>
                <w:noProof/>
                <w:vertAlign w:val="superscript"/>
              </w:rPr>
              <w:t>460</w:t>
            </w:r>
          </w:p>
        </w:tc>
      </w:tr>
      <w:tr w:rsidR="00A12351" w:rsidRPr="00C1603D" w14:paraId="2789CA36" w14:textId="77777777" w:rsidTr="00943414">
        <w:trPr>
          <w:cantSplit/>
        </w:trPr>
        <w:tc>
          <w:tcPr>
            <w:tcW w:w="0" w:type="auto"/>
            <w:shd w:val="clear" w:color="auto" w:fill="FFFFFF"/>
            <w:tcMar>
              <w:top w:w="0" w:type="dxa"/>
              <w:left w:w="0" w:type="dxa"/>
              <w:bottom w:w="0" w:type="dxa"/>
              <w:right w:w="0" w:type="dxa"/>
            </w:tcMar>
          </w:tcPr>
          <w:p w14:paraId="00258DD6" w14:textId="77777777" w:rsidR="009D5AC0" w:rsidRPr="00C1603D" w:rsidRDefault="009D5AC0" w:rsidP="009D5AC0">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3BBF02A4" w14:textId="1ECA3222"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29D51463" w14:textId="1BF08818"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6E7BF4C7" w14:textId="77777777" w:rsidR="009D5AC0" w:rsidRPr="00C1603D" w:rsidRDefault="009D5AC0" w:rsidP="009D5AC0">
            <w:pPr>
              <w:pStyle w:val="72TabletextTablesTableFigureBoxstyles"/>
            </w:pPr>
            <w:r w:rsidRPr="00C1603D">
              <w:rPr>
                <w:rFonts w:eastAsia="Arial"/>
              </w:rPr>
              <w:t>151</w:t>
            </w:r>
          </w:p>
        </w:tc>
        <w:tc>
          <w:tcPr>
            <w:tcW w:w="0" w:type="auto"/>
            <w:shd w:val="clear" w:color="auto" w:fill="FFFFFF"/>
            <w:tcMar>
              <w:top w:w="0" w:type="dxa"/>
              <w:left w:w="0" w:type="dxa"/>
              <w:bottom w:w="0" w:type="dxa"/>
              <w:right w:w="0" w:type="dxa"/>
            </w:tcMar>
          </w:tcPr>
          <w:p w14:paraId="246A55D4" w14:textId="57BF6807"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E6B7046"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ABEE122" w14:textId="77266041"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27CF9591"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1A9A8B3" w14:textId="77777777" w:rsidR="009D5AC0" w:rsidRPr="00C1603D" w:rsidRDefault="009D5AC0" w:rsidP="009D5AC0">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44B9D0BD" w14:textId="6EAA2112" w:rsidR="009D5AC0" w:rsidRPr="00C1603D" w:rsidRDefault="00A12351" w:rsidP="009D5AC0">
            <w:pPr>
              <w:pStyle w:val="72TabletextTablesTableFigureBoxstyles"/>
            </w:pPr>
            <w:r w:rsidRPr="00C1603D">
              <w:rPr>
                <w:rFonts w:eastAsia="Arial"/>
                <w:noProof/>
              </w:rPr>
              <w:t xml:space="preserve">Sari </w:t>
            </w:r>
            <w:r w:rsidRPr="00C1603D">
              <w:rPr>
                <w:rFonts w:eastAsia="Arial"/>
                <w:i/>
                <w:iCs/>
                <w:noProof/>
              </w:rPr>
              <w:t>et al</w:t>
            </w:r>
            <w:r w:rsidRPr="00C1603D">
              <w:rPr>
                <w:rFonts w:eastAsia="Arial"/>
                <w:noProof/>
              </w:rPr>
              <w:t>.</w:t>
            </w:r>
            <w:r w:rsidR="009D5AC0" w:rsidRPr="00C1603D">
              <w:rPr>
                <w:rFonts w:eastAsia="Arial"/>
                <w:noProof/>
                <w:vertAlign w:val="superscript"/>
              </w:rPr>
              <w:t>461</w:t>
            </w:r>
          </w:p>
        </w:tc>
      </w:tr>
      <w:tr w:rsidR="00A12351" w:rsidRPr="00C1603D" w14:paraId="4A6981D4" w14:textId="77777777" w:rsidTr="00943414">
        <w:trPr>
          <w:cantSplit/>
        </w:trPr>
        <w:tc>
          <w:tcPr>
            <w:tcW w:w="0" w:type="auto"/>
            <w:shd w:val="clear" w:color="auto" w:fill="FFFFFF"/>
            <w:tcMar>
              <w:top w:w="0" w:type="dxa"/>
              <w:left w:w="0" w:type="dxa"/>
              <w:bottom w:w="0" w:type="dxa"/>
              <w:right w:w="0" w:type="dxa"/>
            </w:tcMar>
          </w:tcPr>
          <w:p w14:paraId="6C1F5481" w14:textId="77777777" w:rsidR="009D5AC0" w:rsidRPr="00C1603D" w:rsidRDefault="009D5AC0" w:rsidP="009D5AC0">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08F9BF5E" w14:textId="5A5EAA6C"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702F3F34" w14:textId="56E11B77"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5F98A7B9" w14:textId="77777777" w:rsidR="009D5AC0" w:rsidRPr="00C1603D" w:rsidRDefault="009D5AC0" w:rsidP="009D5AC0">
            <w:pPr>
              <w:pStyle w:val="72TabletextTablesTableFigureBoxstyles"/>
            </w:pPr>
            <w:r w:rsidRPr="00C1603D">
              <w:rPr>
                <w:rFonts w:eastAsia="Arial"/>
              </w:rPr>
              <w:t>500</w:t>
            </w:r>
          </w:p>
        </w:tc>
        <w:tc>
          <w:tcPr>
            <w:tcW w:w="0" w:type="auto"/>
            <w:shd w:val="clear" w:color="auto" w:fill="FFFFFF"/>
            <w:tcMar>
              <w:top w:w="0" w:type="dxa"/>
              <w:left w:w="0" w:type="dxa"/>
              <w:bottom w:w="0" w:type="dxa"/>
              <w:right w:w="0" w:type="dxa"/>
            </w:tcMar>
          </w:tcPr>
          <w:p w14:paraId="7E674B88" w14:textId="6506A8D6" w:rsidR="009D5AC0" w:rsidRPr="00C1603D" w:rsidRDefault="009D5AC0" w:rsidP="009D5AC0">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BC98CC0"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E2994C3"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7C3CF612"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9B90CB2" w14:textId="77777777" w:rsidR="009D5AC0" w:rsidRPr="00C1603D" w:rsidRDefault="009D5AC0" w:rsidP="009D5AC0">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5B28E1C1" w14:textId="2C69AAAD" w:rsidR="009D5AC0" w:rsidRPr="00C1603D" w:rsidRDefault="00A12351" w:rsidP="009D5AC0">
            <w:pPr>
              <w:pStyle w:val="72TabletextTablesTableFigureBoxstyles"/>
            </w:pPr>
            <w:r w:rsidRPr="00C1603D">
              <w:rPr>
                <w:rFonts w:eastAsia="Arial"/>
                <w:noProof/>
              </w:rPr>
              <w:t xml:space="preserve">Lampasona </w:t>
            </w:r>
            <w:r w:rsidRPr="00C1603D">
              <w:rPr>
                <w:rFonts w:eastAsia="Arial"/>
                <w:i/>
                <w:iCs/>
                <w:noProof/>
              </w:rPr>
              <w:t>et al</w:t>
            </w:r>
            <w:r w:rsidRPr="00C1603D">
              <w:rPr>
                <w:rFonts w:eastAsia="Arial"/>
                <w:noProof/>
              </w:rPr>
              <w:t>.</w:t>
            </w:r>
            <w:r w:rsidR="009D5AC0" w:rsidRPr="00C1603D">
              <w:rPr>
                <w:rFonts w:eastAsia="Arial"/>
                <w:noProof/>
                <w:vertAlign w:val="superscript"/>
              </w:rPr>
              <w:t>462</w:t>
            </w:r>
          </w:p>
        </w:tc>
      </w:tr>
      <w:tr w:rsidR="00A12351" w:rsidRPr="00C1603D" w14:paraId="627E17CC" w14:textId="77777777" w:rsidTr="00943414">
        <w:trPr>
          <w:cantSplit/>
        </w:trPr>
        <w:tc>
          <w:tcPr>
            <w:tcW w:w="0" w:type="auto"/>
            <w:shd w:val="clear" w:color="auto" w:fill="FFFFFF"/>
            <w:tcMar>
              <w:top w:w="0" w:type="dxa"/>
              <w:left w:w="0" w:type="dxa"/>
              <w:bottom w:w="0" w:type="dxa"/>
              <w:right w:w="0" w:type="dxa"/>
            </w:tcMar>
          </w:tcPr>
          <w:p w14:paraId="4CA67E40" w14:textId="77777777" w:rsidR="009D5AC0" w:rsidRPr="00C1603D" w:rsidRDefault="009D5AC0" w:rsidP="009D5AC0">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2A464E18" w14:textId="74064FB5"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662EB752" w14:textId="11BF347D"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93BC55E" w14:textId="77777777" w:rsidR="009D5AC0" w:rsidRPr="00C1603D" w:rsidRDefault="009D5AC0" w:rsidP="009D5AC0">
            <w:pPr>
              <w:pStyle w:val="72TabletextTablesTableFigureBoxstyles"/>
            </w:pPr>
            <w:r w:rsidRPr="00C1603D">
              <w:rPr>
                <w:rFonts w:eastAsia="Arial"/>
              </w:rPr>
              <w:t>250</w:t>
            </w:r>
          </w:p>
        </w:tc>
        <w:tc>
          <w:tcPr>
            <w:tcW w:w="0" w:type="auto"/>
            <w:shd w:val="clear" w:color="auto" w:fill="FFFFFF"/>
            <w:tcMar>
              <w:top w:w="0" w:type="dxa"/>
              <w:left w:w="0" w:type="dxa"/>
              <w:bottom w:w="0" w:type="dxa"/>
              <w:right w:w="0" w:type="dxa"/>
            </w:tcMar>
          </w:tcPr>
          <w:p w14:paraId="750F754C" w14:textId="4B8800D8" w:rsidR="009D5AC0" w:rsidRPr="00C1603D" w:rsidRDefault="009D5AC0" w:rsidP="009D5AC0">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D13CFC1"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C1615BA" w14:textId="77777777" w:rsidR="009D5AC0" w:rsidRPr="00C1603D" w:rsidRDefault="009D5AC0" w:rsidP="009D5AC0">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664C48B9"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78EDE57" w14:textId="77777777" w:rsidR="009D5AC0" w:rsidRPr="00C1603D" w:rsidRDefault="009D5AC0" w:rsidP="009D5AC0">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5EF4701E" w14:textId="6DB81747" w:rsidR="009D5AC0" w:rsidRPr="00C1603D" w:rsidRDefault="00A12351" w:rsidP="009D5AC0">
            <w:pPr>
              <w:pStyle w:val="72TabletextTablesTableFigureBoxstyles"/>
            </w:pPr>
            <w:r w:rsidRPr="00C1603D">
              <w:rPr>
                <w:rFonts w:eastAsia="Arial"/>
                <w:noProof/>
              </w:rPr>
              <w:t xml:space="preserve">Sharifi </w:t>
            </w:r>
            <w:r w:rsidRPr="00C1603D">
              <w:rPr>
                <w:rFonts w:eastAsia="Arial"/>
                <w:i/>
                <w:iCs/>
                <w:noProof/>
              </w:rPr>
              <w:t>et al</w:t>
            </w:r>
            <w:r w:rsidRPr="00C1603D">
              <w:rPr>
                <w:rFonts w:eastAsia="Arial"/>
                <w:noProof/>
              </w:rPr>
              <w:t>.</w:t>
            </w:r>
            <w:r w:rsidR="009D5AC0" w:rsidRPr="00C1603D">
              <w:rPr>
                <w:rFonts w:eastAsia="Arial"/>
                <w:noProof/>
                <w:vertAlign w:val="superscript"/>
              </w:rPr>
              <w:t>463</w:t>
            </w:r>
          </w:p>
        </w:tc>
      </w:tr>
      <w:tr w:rsidR="00A12351" w:rsidRPr="00C1603D" w14:paraId="1B0FD5DC" w14:textId="77777777" w:rsidTr="00943414">
        <w:trPr>
          <w:cantSplit/>
        </w:trPr>
        <w:tc>
          <w:tcPr>
            <w:tcW w:w="0" w:type="auto"/>
            <w:shd w:val="clear" w:color="auto" w:fill="FFFFFF"/>
            <w:tcMar>
              <w:top w:w="0" w:type="dxa"/>
              <w:left w:w="0" w:type="dxa"/>
              <w:bottom w:w="0" w:type="dxa"/>
              <w:right w:w="0" w:type="dxa"/>
            </w:tcMar>
          </w:tcPr>
          <w:p w14:paraId="1A63D257" w14:textId="77777777" w:rsidR="009D5AC0" w:rsidRPr="00C1603D" w:rsidRDefault="009D5AC0" w:rsidP="009D5AC0">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0289164C" w14:textId="1CD17358" w:rsidR="009D5AC0" w:rsidRPr="00C1603D" w:rsidRDefault="009D5AC0" w:rsidP="009D5AC0">
            <w:pPr>
              <w:pStyle w:val="72TabletextTablesTableFigureBoxstyles"/>
            </w:pPr>
            <w:r w:rsidRPr="00C1603D">
              <w:rPr>
                <w:rFonts w:eastAsia="Arial"/>
              </w:rPr>
              <w:t>Case–control (DI)</w:t>
            </w:r>
          </w:p>
        </w:tc>
        <w:tc>
          <w:tcPr>
            <w:tcW w:w="0" w:type="auto"/>
            <w:shd w:val="clear" w:color="auto" w:fill="FFFFFF"/>
            <w:tcMar>
              <w:top w:w="0" w:type="dxa"/>
              <w:left w:w="0" w:type="dxa"/>
              <w:bottom w:w="0" w:type="dxa"/>
              <w:right w:w="0" w:type="dxa"/>
            </w:tcMar>
          </w:tcPr>
          <w:p w14:paraId="6029080C" w14:textId="041B6405" w:rsidR="009D5AC0" w:rsidRPr="00C1603D" w:rsidRDefault="009D5AC0" w:rsidP="009D5AC0">
            <w:pPr>
              <w:pStyle w:val="72TabletextTablesTableFigureBoxstyles"/>
            </w:pPr>
            <w:r w:rsidRPr="00C1603D">
              <w:rPr>
                <w:rFonts w:eastAsia="Arial"/>
              </w:rPr>
              <w:t>Type 1 diabetes</w:t>
            </w:r>
          </w:p>
        </w:tc>
        <w:tc>
          <w:tcPr>
            <w:tcW w:w="0" w:type="auto"/>
            <w:shd w:val="clear" w:color="auto" w:fill="FFFFFF"/>
            <w:tcMar>
              <w:top w:w="0" w:type="dxa"/>
              <w:left w:w="0" w:type="dxa"/>
              <w:bottom w:w="0" w:type="dxa"/>
              <w:right w:w="0" w:type="dxa"/>
            </w:tcMar>
          </w:tcPr>
          <w:p w14:paraId="2126952C" w14:textId="77777777" w:rsidR="009D5AC0" w:rsidRPr="00C1603D" w:rsidRDefault="009D5AC0" w:rsidP="009D5AC0">
            <w:pPr>
              <w:pStyle w:val="72TabletextTablesTableFigureBoxstyles"/>
            </w:pPr>
            <w:r w:rsidRPr="00C1603D">
              <w:rPr>
                <w:rFonts w:eastAsia="Arial"/>
              </w:rPr>
              <w:t>120</w:t>
            </w:r>
          </w:p>
        </w:tc>
        <w:tc>
          <w:tcPr>
            <w:tcW w:w="0" w:type="auto"/>
            <w:shd w:val="clear" w:color="auto" w:fill="FFFFFF"/>
            <w:tcMar>
              <w:top w:w="0" w:type="dxa"/>
              <w:left w:w="0" w:type="dxa"/>
              <w:bottom w:w="0" w:type="dxa"/>
              <w:right w:w="0" w:type="dxa"/>
            </w:tcMar>
          </w:tcPr>
          <w:p w14:paraId="6035772C" w14:textId="77777777" w:rsidR="009D5AC0" w:rsidRPr="00C1603D" w:rsidRDefault="009D5AC0" w:rsidP="009D5AC0">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7E29CA0B" w14:textId="77777777" w:rsidR="009D5AC0" w:rsidRPr="00C1603D" w:rsidRDefault="009D5AC0" w:rsidP="009D5AC0">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438F9E4" w14:textId="520B88DD" w:rsidR="009D5AC0" w:rsidRPr="00C1603D" w:rsidRDefault="009D5AC0" w:rsidP="009D5AC0">
            <w:pPr>
              <w:pStyle w:val="72TabletextTablesTableFigureBoxstyles"/>
            </w:pPr>
            <w:r w:rsidRPr="00C1603D">
              <w:rPr>
                <w:rFonts w:eastAsia="Arial"/>
              </w:rPr>
              <w:t>Serology and only positive patients biopsied</w:t>
            </w:r>
          </w:p>
        </w:tc>
        <w:tc>
          <w:tcPr>
            <w:tcW w:w="0" w:type="auto"/>
            <w:shd w:val="clear" w:color="auto" w:fill="FFFFFF"/>
            <w:tcMar>
              <w:top w:w="0" w:type="dxa"/>
              <w:left w:w="0" w:type="dxa"/>
              <w:bottom w:w="0" w:type="dxa"/>
              <w:right w:w="0" w:type="dxa"/>
            </w:tcMar>
          </w:tcPr>
          <w:p w14:paraId="38D756E7" w14:textId="77777777" w:rsidR="009D5AC0" w:rsidRPr="00C1603D" w:rsidRDefault="009D5AC0" w:rsidP="009D5AC0">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82DA2CD" w14:textId="77777777" w:rsidR="009D5AC0" w:rsidRPr="00C1603D" w:rsidRDefault="009D5AC0" w:rsidP="009D5AC0">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49CB65DE" w14:textId="77F77887" w:rsidR="009D5AC0" w:rsidRPr="00C1603D" w:rsidRDefault="00A12351" w:rsidP="009D5AC0">
            <w:pPr>
              <w:pStyle w:val="72TabletextTablesTableFigureBoxstyles"/>
            </w:pPr>
            <w:r w:rsidRPr="00C1603D">
              <w:rPr>
                <w:rFonts w:eastAsia="Arial"/>
                <w:noProof/>
              </w:rPr>
              <w:t xml:space="preserve">Sheikholeslami </w:t>
            </w:r>
            <w:r w:rsidRPr="00C1603D">
              <w:rPr>
                <w:rFonts w:eastAsia="Arial"/>
                <w:i/>
                <w:iCs/>
                <w:noProof/>
              </w:rPr>
              <w:t>et al</w:t>
            </w:r>
            <w:r w:rsidRPr="00C1603D">
              <w:rPr>
                <w:rFonts w:eastAsia="Arial"/>
                <w:noProof/>
              </w:rPr>
              <w:t>.</w:t>
            </w:r>
            <w:r w:rsidR="009D5AC0" w:rsidRPr="00C1603D">
              <w:rPr>
                <w:rFonts w:eastAsia="Arial"/>
                <w:noProof/>
                <w:vertAlign w:val="superscript"/>
              </w:rPr>
              <w:t>464</w:t>
            </w:r>
          </w:p>
        </w:tc>
      </w:tr>
      <w:tr w:rsidR="0076020F" w:rsidRPr="00C1603D" w14:paraId="190EC899" w14:textId="77777777" w:rsidTr="00A94D42">
        <w:trPr>
          <w:cantSplit/>
        </w:trPr>
        <w:tc>
          <w:tcPr>
            <w:tcW w:w="0" w:type="auto"/>
            <w:gridSpan w:val="10"/>
            <w:shd w:val="clear" w:color="auto" w:fill="FFFFFF"/>
            <w:tcMar>
              <w:top w:w="0" w:type="dxa"/>
              <w:left w:w="0" w:type="dxa"/>
              <w:bottom w:w="0" w:type="dxa"/>
              <w:right w:w="0" w:type="dxa"/>
            </w:tcMar>
          </w:tcPr>
          <w:p w14:paraId="428F9332" w14:textId="23181675" w:rsidR="0076020F" w:rsidRPr="00C1603D" w:rsidRDefault="0076020F" w:rsidP="0076020F">
            <w:pPr>
              <w:pStyle w:val="75TablenotesTablesTableFigureBoxstyles"/>
              <w:rPr>
                <w:rFonts w:eastAsia="Arial"/>
                <w:noProof/>
                <w:vertAlign w:val="superscript"/>
              </w:rPr>
            </w:pPr>
            <w:r w:rsidRPr="00C1603D">
              <w:rPr>
                <w:rFonts w:eastAsia="Arial"/>
                <w:noProof/>
              </w:rPr>
              <w:t>DI, diagnostic indicator; NR, not reported.</w:t>
            </w:r>
          </w:p>
        </w:tc>
      </w:tr>
    </w:tbl>
    <w:p w14:paraId="498C1517" w14:textId="7DE53F3E" w:rsidR="008B4DF8" w:rsidRPr="00C1603D" w:rsidRDefault="008B4DF8" w:rsidP="008B4DF8">
      <w:pPr>
        <w:pStyle w:val="70TablelegendTablesTableFigureBoxstyles"/>
      </w:pPr>
      <w:bookmarkStart w:id="608" w:name="_Toc99720758"/>
      <w:r w:rsidRPr="00C1603D">
        <w:rPr>
          <w:b/>
        </w:rPr>
        <w:t>TABLE 4</w:t>
      </w:r>
      <w:r w:rsidR="00032460" w:rsidRPr="00C1603D">
        <w:rPr>
          <w:b/>
        </w:rPr>
        <w:t>8</w:t>
      </w:r>
      <w:r w:rsidRPr="00C1603D">
        <w:rPr>
          <w:b/>
        </w:rPr>
        <w:t> </w:t>
      </w:r>
      <w:r w:rsidRPr="00C1603D">
        <w:t xml:space="preserve">Study characteristic: </w:t>
      </w:r>
      <w:r w:rsidR="00943414" w:rsidRPr="00C1603D">
        <w:t>type 2 diabetes</w:t>
      </w:r>
      <w:bookmarkEnd w:id="608"/>
    </w:p>
    <w:tbl>
      <w:tblPr>
        <w:tblW w:w="0" w:type="auto"/>
        <w:shd w:val="clear" w:color="auto" w:fill="FFFFFF"/>
        <w:tblLayout w:type="fixed"/>
        <w:tblCellMar>
          <w:top w:w="40" w:type="dxa"/>
          <w:left w:w="60" w:type="dxa"/>
          <w:bottom w:w="40" w:type="dxa"/>
          <w:right w:w="60" w:type="dxa"/>
        </w:tblCellMar>
        <w:tblLook w:val="0420" w:firstRow="1" w:lastRow="0" w:firstColumn="0" w:lastColumn="0" w:noHBand="0" w:noVBand="1"/>
      </w:tblPr>
      <w:tblGrid>
        <w:gridCol w:w="630"/>
        <w:gridCol w:w="851"/>
        <w:gridCol w:w="922"/>
        <w:gridCol w:w="818"/>
        <w:gridCol w:w="812"/>
        <w:gridCol w:w="903"/>
        <w:gridCol w:w="1066"/>
        <w:gridCol w:w="1112"/>
        <w:gridCol w:w="881"/>
        <w:gridCol w:w="1031"/>
      </w:tblGrid>
      <w:tr w:rsidR="001902E7" w:rsidRPr="00C1603D" w14:paraId="22D0806B" w14:textId="77777777" w:rsidTr="00943414">
        <w:trPr>
          <w:cantSplit/>
        </w:trPr>
        <w:tc>
          <w:tcPr>
            <w:tcW w:w="630" w:type="dxa"/>
            <w:shd w:val="clear" w:color="auto" w:fill="FFFFFF"/>
            <w:tcMar>
              <w:top w:w="0" w:type="dxa"/>
              <w:left w:w="0" w:type="dxa"/>
              <w:bottom w:w="0" w:type="dxa"/>
              <w:right w:w="0" w:type="dxa"/>
            </w:tcMar>
          </w:tcPr>
          <w:p w14:paraId="1E11E7BA" w14:textId="2220E550" w:rsidR="001902E7" w:rsidRPr="00C1603D" w:rsidRDefault="001902E7" w:rsidP="001902E7">
            <w:pPr>
              <w:pStyle w:val="710TableheadTablesTableFigureBoxstyles"/>
            </w:pPr>
            <w:r w:rsidRPr="00C1603D">
              <w:rPr>
                <w:rFonts w:eastAsia="Arial"/>
              </w:rPr>
              <w:t>Population group</w:t>
            </w:r>
          </w:p>
        </w:tc>
        <w:tc>
          <w:tcPr>
            <w:tcW w:w="851" w:type="dxa"/>
            <w:shd w:val="clear" w:color="auto" w:fill="FFFFFF"/>
            <w:tcMar>
              <w:top w:w="0" w:type="dxa"/>
              <w:left w:w="0" w:type="dxa"/>
              <w:bottom w:w="0" w:type="dxa"/>
              <w:right w:w="0" w:type="dxa"/>
            </w:tcMar>
          </w:tcPr>
          <w:p w14:paraId="2FF39247" w14:textId="1142ED16" w:rsidR="001902E7" w:rsidRPr="00C1603D" w:rsidRDefault="001902E7" w:rsidP="001902E7">
            <w:pPr>
              <w:pStyle w:val="710TableheadTablesTableFigureBoxstyles"/>
            </w:pPr>
            <w:r w:rsidRPr="00C1603D">
              <w:rPr>
                <w:rFonts w:eastAsia="Arial"/>
              </w:rPr>
              <w:t>Study design</w:t>
            </w:r>
          </w:p>
        </w:tc>
        <w:tc>
          <w:tcPr>
            <w:tcW w:w="922" w:type="dxa"/>
            <w:shd w:val="clear" w:color="auto" w:fill="FFFFFF"/>
            <w:tcMar>
              <w:top w:w="0" w:type="dxa"/>
              <w:left w:w="0" w:type="dxa"/>
              <w:bottom w:w="0" w:type="dxa"/>
              <w:right w:w="0" w:type="dxa"/>
            </w:tcMar>
          </w:tcPr>
          <w:p w14:paraId="2E3F811D" w14:textId="1B500E1E" w:rsidR="001902E7" w:rsidRPr="00C1603D" w:rsidRDefault="001902E7" w:rsidP="001902E7">
            <w:pPr>
              <w:pStyle w:val="710TableheadTablesTableFigureBoxstyles"/>
            </w:pPr>
            <w:r w:rsidRPr="00C1603D">
              <w:rPr>
                <w:rFonts w:eastAsia="Arial"/>
              </w:rPr>
              <w:t>Indicator details</w:t>
            </w:r>
          </w:p>
        </w:tc>
        <w:tc>
          <w:tcPr>
            <w:tcW w:w="818" w:type="dxa"/>
            <w:shd w:val="clear" w:color="auto" w:fill="FFFFFF"/>
            <w:tcMar>
              <w:top w:w="0" w:type="dxa"/>
              <w:left w:w="0" w:type="dxa"/>
              <w:bottom w:w="0" w:type="dxa"/>
              <w:right w:w="0" w:type="dxa"/>
            </w:tcMar>
          </w:tcPr>
          <w:p w14:paraId="55490EC6" w14:textId="00558A3E"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812" w:type="dxa"/>
            <w:shd w:val="clear" w:color="auto" w:fill="FFFFFF"/>
            <w:tcMar>
              <w:top w:w="0" w:type="dxa"/>
              <w:left w:w="0" w:type="dxa"/>
              <w:bottom w:w="0" w:type="dxa"/>
              <w:right w:w="0" w:type="dxa"/>
            </w:tcMar>
          </w:tcPr>
          <w:p w14:paraId="6EC8A894" w14:textId="77777777" w:rsidR="001902E7" w:rsidRPr="00C1603D" w:rsidRDefault="001902E7" w:rsidP="001902E7">
            <w:pPr>
              <w:pStyle w:val="710TableheadTablesTableFigureBoxstyles"/>
            </w:pPr>
            <w:r w:rsidRPr="00C1603D">
              <w:rPr>
                <w:rFonts w:eastAsia="Arial"/>
              </w:rPr>
              <w:t>Sex (% female)</w:t>
            </w:r>
          </w:p>
        </w:tc>
        <w:tc>
          <w:tcPr>
            <w:tcW w:w="903" w:type="dxa"/>
            <w:shd w:val="clear" w:color="auto" w:fill="FFFFFF"/>
            <w:tcMar>
              <w:top w:w="0" w:type="dxa"/>
              <w:left w:w="0" w:type="dxa"/>
              <w:bottom w:w="0" w:type="dxa"/>
              <w:right w:w="0" w:type="dxa"/>
            </w:tcMar>
          </w:tcPr>
          <w:p w14:paraId="22F83020" w14:textId="77777777" w:rsidR="001902E7" w:rsidRPr="00C1603D" w:rsidRDefault="001902E7" w:rsidP="001902E7">
            <w:pPr>
              <w:pStyle w:val="710TableheadTablesTableFigureBoxstyles"/>
            </w:pPr>
            <w:r w:rsidRPr="00C1603D">
              <w:rPr>
                <w:rFonts w:eastAsia="Arial"/>
              </w:rPr>
              <w:t>Control group</w:t>
            </w:r>
          </w:p>
        </w:tc>
        <w:tc>
          <w:tcPr>
            <w:tcW w:w="1066" w:type="dxa"/>
            <w:shd w:val="clear" w:color="auto" w:fill="FFFFFF"/>
            <w:tcMar>
              <w:top w:w="0" w:type="dxa"/>
              <w:left w:w="0" w:type="dxa"/>
              <w:bottom w:w="0" w:type="dxa"/>
              <w:right w:w="0" w:type="dxa"/>
            </w:tcMar>
          </w:tcPr>
          <w:p w14:paraId="265B06EE" w14:textId="77777777" w:rsidR="001902E7" w:rsidRPr="00C1603D" w:rsidRDefault="001902E7" w:rsidP="001902E7">
            <w:pPr>
              <w:pStyle w:val="710TableheadTablesTableFigureBoxstyles"/>
            </w:pPr>
            <w:r w:rsidRPr="00C1603D">
              <w:rPr>
                <w:rFonts w:eastAsia="Arial"/>
              </w:rPr>
              <w:t>Reference standard</w:t>
            </w:r>
          </w:p>
        </w:tc>
        <w:tc>
          <w:tcPr>
            <w:tcW w:w="1112" w:type="dxa"/>
            <w:shd w:val="clear" w:color="auto" w:fill="FFFFFF"/>
            <w:tcMar>
              <w:top w:w="0" w:type="dxa"/>
              <w:left w:w="0" w:type="dxa"/>
              <w:bottom w:w="0" w:type="dxa"/>
              <w:right w:w="0" w:type="dxa"/>
            </w:tcMar>
          </w:tcPr>
          <w:p w14:paraId="0D25A0FF" w14:textId="77777777" w:rsidR="001902E7" w:rsidRPr="00C1603D" w:rsidRDefault="001902E7" w:rsidP="001902E7">
            <w:pPr>
              <w:pStyle w:val="710TableheadTablesTableFigureBoxstyles"/>
            </w:pPr>
            <w:r w:rsidRPr="00C1603D">
              <w:rPr>
                <w:rFonts w:eastAsia="Arial"/>
              </w:rPr>
              <w:t>Care setting</w:t>
            </w:r>
          </w:p>
        </w:tc>
        <w:tc>
          <w:tcPr>
            <w:tcW w:w="881" w:type="dxa"/>
            <w:shd w:val="clear" w:color="auto" w:fill="FFFFFF"/>
            <w:tcMar>
              <w:top w:w="0" w:type="dxa"/>
              <w:left w:w="0" w:type="dxa"/>
              <w:bottom w:w="0" w:type="dxa"/>
              <w:right w:w="0" w:type="dxa"/>
            </w:tcMar>
          </w:tcPr>
          <w:p w14:paraId="779E0384" w14:textId="77777777" w:rsidR="001902E7" w:rsidRPr="00C1603D" w:rsidRDefault="001902E7" w:rsidP="001902E7">
            <w:pPr>
              <w:pStyle w:val="710TableheadTablesTableFigureBoxstyles"/>
            </w:pPr>
            <w:r w:rsidRPr="00C1603D">
              <w:rPr>
                <w:rFonts w:eastAsia="Arial"/>
              </w:rPr>
              <w:t>Location</w:t>
            </w:r>
          </w:p>
        </w:tc>
        <w:tc>
          <w:tcPr>
            <w:tcW w:w="1031" w:type="dxa"/>
            <w:shd w:val="clear" w:color="auto" w:fill="FFFFFF"/>
            <w:tcMar>
              <w:top w:w="0" w:type="dxa"/>
              <w:left w:w="0" w:type="dxa"/>
              <w:bottom w:w="0" w:type="dxa"/>
              <w:right w:w="0" w:type="dxa"/>
            </w:tcMar>
          </w:tcPr>
          <w:p w14:paraId="03F9D797" w14:textId="77777777" w:rsidR="001902E7" w:rsidRPr="00C1603D" w:rsidRDefault="001902E7" w:rsidP="001902E7">
            <w:pPr>
              <w:pStyle w:val="710TableheadTablesTableFigureBoxstyles"/>
            </w:pPr>
            <w:r w:rsidRPr="00C1603D">
              <w:rPr>
                <w:rFonts w:eastAsia="Arial"/>
              </w:rPr>
              <w:t>Reference</w:t>
            </w:r>
          </w:p>
        </w:tc>
      </w:tr>
      <w:tr w:rsidR="008B4DF8" w:rsidRPr="00C1603D" w14:paraId="755855F8" w14:textId="77777777" w:rsidTr="00943414">
        <w:trPr>
          <w:cantSplit/>
        </w:trPr>
        <w:tc>
          <w:tcPr>
            <w:tcW w:w="630" w:type="dxa"/>
            <w:shd w:val="clear" w:color="auto" w:fill="FFFFFF"/>
            <w:tcMar>
              <w:top w:w="0" w:type="dxa"/>
              <w:left w:w="0" w:type="dxa"/>
              <w:bottom w:w="0" w:type="dxa"/>
              <w:right w:w="0" w:type="dxa"/>
            </w:tcMar>
          </w:tcPr>
          <w:p w14:paraId="33DB4411" w14:textId="77777777" w:rsidR="008B4DF8" w:rsidRPr="00C1603D" w:rsidRDefault="008B4DF8" w:rsidP="00943414">
            <w:pPr>
              <w:pStyle w:val="72TabletextTablesTableFigureBoxstyles"/>
            </w:pPr>
            <w:r w:rsidRPr="00C1603D">
              <w:rPr>
                <w:rFonts w:eastAsia="Arial"/>
              </w:rPr>
              <w:t>Adults</w:t>
            </w:r>
          </w:p>
        </w:tc>
        <w:tc>
          <w:tcPr>
            <w:tcW w:w="851" w:type="dxa"/>
            <w:shd w:val="clear" w:color="auto" w:fill="FFFFFF"/>
            <w:tcMar>
              <w:top w:w="0" w:type="dxa"/>
              <w:left w:w="0" w:type="dxa"/>
              <w:bottom w:w="0" w:type="dxa"/>
              <w:right w:w="0" w:type="dxa"/>
            </w:tcMar>
          </w:tcPr>
          <w:p w14:paraId="7DCF06AE" w14:textId="5BF3392D"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922" w:type="dxa"/>
            <w:shd w:val="clear" w:color="auto" w:fill="FFFFFF"/>
            <w:tcMar>
              <w:top w:w="0" w:type="dxa"/>
              <w:left w:w="0" w:type="dxa"/>
              <w:bottom w:w="0" w:type="dxa"/>
              <w:right w:w="0" w:type="dxa"/>
            </w:tcMar>
          </w:tcPr>
          <w:p w14:paraId="0A403E7F" w14:textId="4CEE095A" w:rsidR="008B4DF8" w:rsidRPr="00C1603D" w:rsidRDefault="008B4DF8" w:rsidP="00943414">
            <w:pPr>
              <w:pStyle w:val="72TabletextTablesTableFigureBoxstyles"/>
            </w:pPr>
            <w:r w:rsidRPr="00C1603D">
              <w:rPr>
                <w:rFonts w:eastAsia="Arial"/>
              </w:rPr>
              <w:t xml:space="preserve">Type 2 </w:t>
            </w:r>
            <w:r w:rsidR="00A12351" w:rsidRPr="00C1603D">
              <w:rPr>
                <w:rFonts w:eastAsia="Arial"/>
              </w:rPr>
              <w:t>diabetes</w:t>
            </w:r>
          </w:p>
        </w:tc>
        <w:tc>
          <w:tcPr>
            <w:tcW w:w="818" w:type="dxa"/>
            <w:shd w:val="clear" w:color="auto" w:fill="FFFFFF"/>
            <w:tcMar>
              <w:top w:w="0" w:type="dxa"/>
              <w:left w:w="0" w:type="dxa"/>
              <w:bottom w:w="0" w:type="dxa"/>
              <w:right w:w="0" w:type="dxa"/>
            </w:tcMar>
          </w:tcPr>
          <w:p w14:paraId="5DAA3639" w14:textId="77777777" w:rsidR="008B4DF8" w:rsidRPr="00C1603D" w:rsidRDefault="008B4DF8" w:rsidP="00943414">
            <w:pPr>
              <w:pStyle w:val="72TabletextTablesTableFigureBoxstyles"/>
            </w:pPr>
            <w:r w:rsidRPr="00C1603D">
              <w:rPr>
                <w:rFonts w:eastAsia="Arial"/>
              </w:rPr>
              <w:t>250</w:t>
            </w:r>
          </w:p>
        </w:tc>
        <w:tc>
          <w:tcPr>
            <w:tcW w:w="812" w:type="dxa"/>
            <w:shd w:val="clear" w:color="auto" w:fill="FFFFFF"/>
            <w:tcMar>
              <w:top w:w="0" w:type="dxa"/>
              <w:left w:w="0" w:type="dxa"/>
              <w:bottom w:w="0" w:type="dxa"/>
              <w:right w:w="0" w:type="dxa"/>
            </w:tcMar>
          </w:tcPr>
          <w:p w14:paraId="65EF095D" w14:textId="2AFCFA03"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903" w:type="dxa"/>
            <w:shd w:val="clear" w:color="auto" w:fill="FFFFFF"/>
            <w:tcMar>
              <w:top w:w="0" w:type="dxa"/>
              <w:left w:w="0" w:type="dxa"/>
              <w:bottom w:w="0" w:type="dxa"/>
              <w:right w:w="0" w:type="dxa"/>
            </w:tcMar>
          </w:tcPr>
          <w:p w14:paraId="1E471AC4" w14:textId="77777777" w:rsidR="008B4DF8" w:rsidRPr="00C1603D" w:rsidRDefault="008B4DF8" w:rsidP="00943414">
            <w:pPr>
              <w:pStyle w:val="72TabletextTablesTableFigureBoxstyles"/>
            </w:pPr>
            <w:r w:rsidRPr="00C1603D">
              <w:rPr>
                <w:rFonts w:eastAsia="Arial"/>
              </w:rPr>
              <w:t>Healthy controls</w:t>
            </w:r>
          </w:p>
        </w:tc>
        <w:tc>
          <w:tcPr>
            <w:tcW w:w="1066" w:type="dxa"/>
            <w:shd w:val="clear" w:color="auto" w:fill="FFFFFF"/>
            <w:tcMar>
              <w:top w:w="0" w:type="dxa"/>
              <w:left w:w="0" w:type="dxa"/>
              <w:bottom w:w="0" w:type="dxa"/>
              <w:right w:w="0" w:type="dxa"/>
            </w:tcMar>
          </w:tcPr>
          <w:p w14:paraId="28DA8CD9" w14:textId="376BB65F"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1112" w:type="dxa"/>
            <w:shd w:val="clear" w:color="auto" w:fill="FFFFFF"/>
            <w:tcMar>
              <w:top w:w="0" w:type="dxa"/>
              <w:left w:w="0" w:type="dxa"/>
              <w:bottom w:w="0" w:type="dxa"/>
              <w:right w:w="0" w:type="dxa"/>
            </w:tcMar>
          </w:tcPr>
          <w:p w14:paraId="635A2AC9" w14:textId="77777777" w:rsidR="008B4DF8" w:rsidRPr="00C1603D" w:rsidRDefault="008B4DF8" w:rsidP="00943414">
            <w:pPr>
              <w:pStyle w:val="72TabletextTablesTableFigureBoxstyles"/>
            </w:pPr>
            <w:r w:rsidRPr="00C1603D">
              <w:rPr>
                <w:rFonts w:eastAsia="Arial"/>
              </w:rPr>
              <w:t>Secondary</w:t>
            </w:r>
          </w:p>
        </w:tc>
        <w:tc>
          <w:tcPr>
            <w:tcW w:w="881" w:type="dxa"/>
            <w:shd w:val="clear" w:color="auto" w:fill="FFFFFF"/>
            <w:tcMar>
              <w:top w:w="0" w:type="dxa"/>
              <w:left w:w="0" w:type="dxa"/>
              <w:bottom w:w="0" w:type="dxa"/>
              <w:right w:w="0" w:type="dxa"/>
            </w:tcMar>
          </w:tcPr>
          <w:p w14:paraId="15284594" w14:textId="77777777" w:rsidR="008B4DF8" w:rsidRPr="00C1603D" w:rsidRDefault="008B4DF8" w:rsidP="00943414">
            <w:pPr>
              <w:pStyle w:val="72TabletextTablesTableFigureBoxstyles"/>
            </w:pPr>
            <w:r w:rsidRPr="00C1603D">
              <w:rPr>
                <w:rFonts w:eastAsia="Arial"/>
              </w:rPr>
              <w:t>Turkey</w:t>
            </w:r>
          </w:p>
        </w:tc>
        <w:tc>
          <w:tcPr>
            <w:tcW w:w="1031" w:type="dxa"/>
            <w:shd w:val="clear" w:color="auto" w:fill="FFFFFF"/>
            <w:tcMar>
              <w:top w:w="0" w:type="dxa"/>
              <w:left w:w="0" w:type="dxa"/>
              <w:bottom w:w="0" w:type="dxa"/>
              <w:right w:w="0" w:type="dxa"/>
            </w:tcMar>
          </w:tcPr>
          <w:p w14:paraId="4501E91A" w14:textId="75ABCF40" w:rsidR="008B4DF8" w:rsidRPr="00C1603D" w:rsidRDefault="008374B7" w:rsidP="00943414">
            <w:pPr>
              <w:pStyle w:val="72TabletextTablesTableFigureBoxstyles"/>
            </w:pPr>
            <w:r w:rsidRPr="00C1603D">
              <w:rPr>
                <w:rFonts w:eastAsia="Arial"/>
                <w:noProof/>
              </w:rPr>
              <w:t xml:space="preserve">Kizilgul </w:t>
            </w:r>
            <w:r w:rsidRPr="00C1603D">
              <w:rPr>
                <w:rFonts w:eastAsia="Arial"/>
                <w:i/>
                <w:iCs/>
                <w:noProof/>
              </w:rPr>
              <w:t>et al</w:t>
            </w:r>
            <w:r w:rsidRPr="00C1603D">
              <w:rPr>
                <w:rFonts w:eastAsia="Arial"/>
                <w:noProof/>
              </w:rPr>
              <w:t>.</w:t>
            </w:r>
            <w:r w:rsidR="008B4DF8" w:rsidRPr="00C1603D">
              <w:rPr>
                <w:rFonts w:eastAsia="Arial"/>
                <w:noProof/>
                <w:vertAlign w:val="superscript"/>
              </w:rPr>
              <w:t>465</w:t>
            </w:r>
          </w:p>
        </w:tc>
      </w:tr>
      <w:tr w:rsidR="00A12351" w:rsidRPr="00C1603D" w14:paraId="30552E2F" w14:textId="77777777" w:rsidTr="00943414">
        <w:trPr>
          <w:cantSplit/>
        </w:trPr>
        <w:tc>
          <w:tcPr>
            <w:tcW w:w="630" w:type="dxa"/>
            <w:shd w:val="clear" w:color="auto" w:fill="FFFFFF"/>
            <w:tcMar>
              <w:top w:w="0" w:type="dxa"/>
              <w:left w:w="0" w:type="dxa"/>
              <w:bottom w:w="0" w:type="dxa"/>
              <w:right w:w="0" w:type="dxa"/>
            </w:tcMar>
          </w:tcPr>
          <w:p w14:paraId="58E70EE4" w14:textId="77777777" w:rsidR="00A12351" w:rsidRPr="00C1603D" w:rsidRDefault="00A12351" w:rsidP="00A12351">
            <w:pPr>
              <w:pStyle w:val="72TabletextTablesTableFigureBoxstyles"/>
            </w:pPr>
            <w:r w:rsidRPr="00C1603D">
              <w:rPr>
                <w:rFonts w:eastAsia="Arial"/>
              </w:rPr>
              <w:t>Adults</w:t>
            </w:r>
          </w:p>
        </w:tc>
        <w:tc>
          <w:tcPr>
            <w:tcW w:w="851" w:type="dxa"/>
            <w:shd w:val="clear" w:color="auto" w:fill="FFFFFF"/>
            <w:tcMar>
              <w:top w:w="0" w:type="dxa"/>
              <w:left w:w="0" w:type="dxa"/>
              <w:bottom w:w="0" w:type="dxa"/>
              <w:right w:w="0" w:type="dxa"/>
            </w:tcMar>
          </w:tcPr>
          <w:p w14:paraId="33332E26" w14:textId="284428C5" w:rsidR="00A12351" w:rsidRPr="00C1603D" w:rsidRDefault="00A12351" w:rsidP="00A12351">
            <w:pPr>
              <w:pStyle w:val="72TabletextTablesTableFigureBoxstyles"/>
            </w:pPr>
            <w:r w:rsidRPr="00C1603D">
              <w:rPr>
                <w:rFonts w:eastAsia="Arial"/>
              </w:rPr>
              <w:t>Case–control (DI)</w:t>
            </w:r>
          </w:p>
        </w:tc>
        <w:tc>
          <w:tcPr>
            <w:tcW w:w="922" w:type="dxa"/>
            <w:shd w:val="clear" w:color="auto" w:fill="FFFFFF"/>
            <w:tcMar>
              <w:top w:w="0" w:type="dxa"/>
              <w:left w:w="0" w:type="dxa"/>
              <w:bottom w:w="0" w:type="dxa"/>
              <w:right w:w="0" w:type="dxa"/>
            </w:tcMar>
          </w:tcPr>
          <w:p w14:paraId="4D7E422B" w14:textId="72BACB45" w:rsidR="00A12351" w:rsidRPr="00C1603D" w:rsidRDefault="00A12351" w:rsidP="00A12351">
            <w:pPr>
              <w:pStyle w:val="72TabletextTablesTableFigureBoxstyles"/>
            </w:pPr>
            <w:r w:rsidRPr="00C1603D">
              <w:rPr>
                <w:rFonts w:eastAsia="Arial"/>
              </w:rPr>
              <w:t>Type 2 diabetes</w:t>
            </w:r>
          </w:p>
        </w:tc>
        <w:tc>
          <w:tcPr>
            <w:tcW w:w="818" w:type="dxa"/>
            <w:shd w:val="clear" w:color="auto" w:fill="FFFFFF"/>
            <w:tcMar>
              <w:top w:w="0" w:type="dxa"/>
              <w:left w:w="0" w:type="dxa"/>
              <w:bottom w:w="0" w:type="dxa"/>
              <w:right w:w="0" w:type="dxa"/>
            </w:tcMar>
          </w:tcPr>
          <w:p w14:paraId="7FBD47B4" w14:textId="77777777" w:rsidR="00A12351" w:rsidRPr="00C1603D" w:rsidRDefault="00A12351" w:rsidP="00A12351">
            <w:pPr>
              <w:pStyle w:val="72TabletextTablesTableFigureBoxstyles"/>
            </w:pPr>
            <w:r w:rsidRPr="00C1603D">
              <w:rPr>
                <w:rFonts w:eastAsia="Arial"/>
              </w:rPr>
              <w:t>113</w:t>
            </w:r>
          </w:p>
        </w:tc>
        <w:tc>
          <w:tcPr>
            <w:tcW w:w="812" w:type="dxa"/>
            <w:shd w:val="clear" w:color="auto" w:fill="FFFFFF"/>
            <w:tcMar>
              <w:top w:w="0" w:type="dxa"/>
              <w:left w:w="0" w:type="dxa"/>
              <w:bottom w:w="0" w:type="dxa"/>
              <w:right w:w="0" w:type="dxa"/>
            </w:tcMar>
          </w:tcPr>
          <w:p w14:paraId="1B74CDA9" w14:textId="46100DC5" w:rsidR="00A12351" w:rsidRPr="00C1603D" w:rsidRDefault="00A12351" w:rsidP="00A12351">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903" w:type="dxa"/>
            <w:shd w:val="clear" w:color="auto" w:fill="FFFFFF"/>
            <w:tcMar>
              <w:top w:w="0" w:type="dxa"/>
              <w:left w:w="0" w:type="dxa"/>
              <w:bottom w:w="0" w:type="dxa"/>
              <w:right w:w="0" w:type="dxa"/>
            </w:tcMar>
          </w:tcPr>
          <w:p w14:paraId="6B029D3D" w14:textId="77777777" w:rsidR="00A12351" w:rsidRPr="00C1603D" w:rsidRDefault="00A12351" w:rsidP="00A12351">
            <w:pPr>
              <w:pStyle w:val="72TabletextTablesTableFigureBoxstyles"/>
            </w:pPr>
            <w:r w:rsidRPr="00C1603D">
              <w:rPr>
                <w:rFonts w:eastAsia="Arial"/>
              </w:rPr>
              <w:t>Healthy controls</w:t>
            </w:r>
          </w:p>
        </w:tc>
        <w:tc>
          <w:tcPr>
            <w:tcW w:w="1066" w:type="dxa"/>
            <w:shd w:val="clear" w:color="auto" w:fill="FFFFFF"/>
            <w:tcMar>
              <w:top w:w="0" w:type="dxa"/>
              <w:left w:w="0" w:type="dxa"/>
              <w:bottom w:w="0" w:type="dxa"/>
              <w:right w:w="0" w:type="dxa"/>
            </w:tcMar>
          </w:tcPr>
          <w:p w14:paraId="5E572CFC" w14:textId="77777777" w:rsidR="00A12351" w:rsidRPr="00C1603D" w:rsidRDefault="00A12351" w:rsidP="00A12351">
            <w:pPr>
              <w:pStyle w:val="72TabletextTablesTableFigureBoxstyles"/>
            </w:pPr>
            <w:r w:rsidRPr="00C1603D">
              <w:rPr>
                <w:rFonts w:eastAsia="Arial"/>
              </w:rPr>
              <w:t>tTG positive</w:t>
            </w:r>
          </w:p>
        </w:tc>
        <w:tc>
          <w:tcPr>
            <w:tcW w:w="1112" w:type="dxa"/>
            <w:shd w:val="clear" w:color="auto" w:fill="FFFFFF"/>
            <w:tcMar>
              <w:top w:w="0" w:type="dxa"/>
              <w:left w:w="0" w:type="dxa"/>
              <w:bottom w:w="0" w:type="dxa"/>
              <w:right w:w="0" w:type="dxa"/>
            </w:tcMar>
          </w:tcPr>
          <w:p w14:paraId="5165BB41" w14:textId="77777777" w:rsidR="00A12351" w:rsidRPr="00C1603D" w:rsidRDefault="00A12351" w:rsidP="00A12351">
            <w:pPr>
              <w:pStyle w:val="72TabletextTablesTableFigureBoxstyles"/>
            </w:pPr>
            <w:r w:rsidRPr="00C1603D">
              <w:rPr>
                <w:rFonts w:eastAsia="Arial"/>
              </w:rPr>
              <w:t>Secondary</w:t>
            </w:r>
          </w:p>
        </w:tc>
        <w:tc>
          <w:tcPr>
            <w:tcW w:w="881" w:type="dxa"/>
            <w:shd w:val="clear" w:color="auto" w:fill="FFFFFF"/>
            <w:tcMar>
              <w:top w:w="0" w:type="dxa"/>
              <w:left w:w="0" w:type="dxa"/>
              <w:bottom w:w="0" w:type="dxa"/>
              <w:right w:w="0" w:type="dxa"/>
            </w:tcMar>
          </w:tcPr>
          <w:p w14:paraId="46CD822E" w14:textId="77777777" w:rsidR="00A12351" w:rsidRPr="00C1603D" w:rsidRDefault="00A12351" w:rsidP="00A12351">
            <w:pPr>
              <w:pStyle w:val="72TabletextTablesTableFigureBoxstyles"/>
            </w:pPr>
            <w:r w:rsidRPr="00C1603D">
              <w:rPr>
                <w:rFonts w:eastAsia="Arial"/>
              </w:rPr>
              <w:t>Poland</w:t>
            </w:r>
          </w:p>
        </w:tc>
        <w:tc>
          <w:tcPr>
            <w:tcW w:w="1031" w:type="dxa"/>
            <w:shd w:val="clear" w:color="auto" w:fill="FFFFFF"/>
            <w:tcMar>
              <w:top w:w="0" w:type="dxa"/>
              <w:left w:w="0" w:type="dxa"/>
              <w:bottom w:w="0" w:type="dxa"/>
              <w:right w:w="0" w:type="dxa"/>
            </w:tcMar>
          </w:tcPr>
          <w:p w14:paraId="5508092F" w14:textId="6731F05B" w:rsidR="00A12351" w:rsidRPr="00C1603D" w:rsidRDefault="008374B7" w:rsidP="00A12351">
            <w:pPr>
              <w:pStyle w:val="72TabletextTablesTableFigureBoxstyles"/>
            </w:pPr>
            <w:r w:rsidRPr="00C1603D">
              <w:rPr>
                <w:rFonts w:eastAsia="Arial"/>
                <w:noProof/>
              </w:rPr>
              <w:t xml:space="preserve">Szepietowska </w:t>
            </w:r>
            <w:r w:rsidRPr="00C1603D">
              <w:rPr>
                <w:rFonts w:eastAsia="Arial"/>
                <w:i/>
                <w:iCs/>
                <w:noProof/>
              </w:rPr>
              <w:t>et al</w:t>
            </w:r>
            <w:r w:rsidRPr="00C1603D">
              <w:rPr>
                <w:rFonts w:eastAsia="Arial"/>
                <w:noProof/>
              </w:rPr>
              <w:t>.</w:t>
            </w:r>
            <w:r w:rsidR="00A12351" w:rsidRPr="00C1603D">
              <w:rPr>
                <w:rFonts w:eastAsia="Arial"/>
                <w:noProof/>
                <w:vertAlign w:val="superscript"/>
              </w:rPr>
              <w:t>466</w:t>
            </w:r>
          </w:p>
        </w:tc>
      </w:tr>
      <w:tr w:rsidR="00A12351" w:rsidRPr="00C1603D" w14:paraId="51B73E29" w14:textId="77777777" w:rsidTr="00943414">
        <w:trPr>
          <w:cantSplit/>
        </w:trPr>
        <w:tc>
          <w:tcPr>
            <w:tcW w:w="630" w:type="dxa"/>
            <w:shd w:val="clear" w:color="auto" w:fill="FFFFFF"/>
            <w:tcMar>
              <w:top w:w="0" w:type="dxa"/>
              <w:left w:w="0" w:type="dxa"/>
              <w:bottom w:w="0" w:type="dxa"/>
              <w:right w:w="0" w:type="dxa"/>
            </w:tcMar>
          </w:tcPr>
          <w:p w14:paraId="4ED9A04F" w14:textId="77777777" w:rsidR="00A12351" w:rsidRPr="00C1603D" w:rsidRDefault="00A12351" w:rsidP="00A12351">
            <w:pPr>
              <w:pStyle w:val="72TabletextTablesTableFigureBoxstyles"/>
            </w:pPr>
            <w:r w:rsidRPr="00C1603D">
              <w:rPr>
                <w:rFonts w:eastAsia="Arial"/>
              </w:rPr>
              <w:t>Adults</w:t>
            </w:r>
          </w:p>
        </w:tc>
        <w:tc>
          <w:tcPr>
            <w:tcW w:w="851" w:type="dxa"/>
            <w:shd w:val="clear" w:color="auto" w:fill="FFFFFF"/>
            <w:tcMar>
              <w:top w:w="0" w:type="dxa"/>
              <w:left w:w="0" w:type="dxa"/>
              <w:bottom w:w="0" w:type="dxa"/>
              <w:right w:w="0" w:type="dxa"/>
            </w:tcMar>
          </w:tcPr>
          <w:p w14:paraId="0DE7CB5F" w14:textId="06DD9E0A" w:rsidR="00A12351" w:rsidRPr="00C1603D" w:rsidRDefault="00A12351" w:rsidP="00A12351">
            <w:pPr>
              <w:pStyle w:val="72TabletextTablesTableFigureBoxstyles"/>
            </w:pPr>
            <w:r w:rsidRPr="00C1603D">
              <w:rPr>
                <w:rFonts w:eastAsia="Arial"/>
              </w:rPr>
              <w:t>Case–control (DI)</w:t>
            </w:r>
          </w:p>
        </w:tc>
        <w:tc>
          <w:tcPr>
            <w:tcW w:w="922" w:type="dxa"/>
            <w:shd w:val="clear" w:color="auto" w:fill="FFFFFF"/>
            <w:tcMar>
              <w:top w:w="0" w:type="dxa"/>
              <w:left w:w="0" w:type="dxa"/>
              <w:bottom w:w="0" w:type="dxa"/>
              <w:right w:w="0" w:type="dxa"/>
            </w:tcMar>
          </w:tcPr>
          <w:p w14:paraId="1071B8BB" w14:textId="59047DD5" w:rsidR="00A12351" w:rsidRPr="00C1603D" w:rsidRDefault="00A12351" w:rsidP="00A12351">
            <w:pPr>
              <w:pStyle w:val="72TabletextTablesTableFigureBoxstyles"/>
            </w:pPr>
            <w:r w:rsidRPr="00C1603D">
              <w:rPr>
                <w:rFonts w:eastAsia="Arial"/>
              </w:rPr>
              <w:t>Type 2 diabetes</w:t>
            </w:r>
          </w:p>
        </w:tc>
        <w:tc>
          <w:tcPr>
            <w:tcW w:w="818" w:type="dxa"/>
            <w:shd w:val="clear" w:color="auto" w:fill="FFFFFF"/>
            <w:tcMar>
              <w:top w:w="0" w:type="dxa"/>
              <w:left w:w="0" w:type="dxa"/>
              <w:bottom w:w="0" w:type="dxa"/>
              <w:right w:w="0" w:type="dxa"/>
            </w:tcMar>
          </w:tcPr>
          <w:p w14:paraId="75C8A0C4" w14:textId="77777777" w:rsidR="00A12351" w:rsidRPr="00C1603D" w:rsidRDefault="00A12351" w:rsidP="00A12351">
            <w:pPr>
              <w:pStyle w:val="72TabletextTablesTableFigureBoxstyles"/>
            </w:pPr>
            <w:r w:rsidRPr="00C1603D">
              <w:rPr>
                <w:rFonts w:eastAsia="Arial"/>
              </w:rPr>
              <w:t>247</w:t>
            </w:r>
          </w:p>
        </w:tc>
        <w:tc>
          <w:tcPr>
            <w:tcW w:w="812" w:type="dxa"/>
            <w:shd w:val="clear" w:color="auto" w:fill="FFFFFF"/>
            <w:tcMar>
              <w:top w:w="0" w:type="dxa"/>
              <w:left w:w="0" w:type="dxa"/>
              <w:bottom w:w="0" w:type="dxa"/>
              <w:right w:w="0" w:type="dxa"/>
            </w:tcMar>
          </w:tcPr>
          <w:p w14:paraId="2CCC804E" w14:textId="70ED1FBF" w:rsidR="00A12351" w:rsidRPr="00C1603D" w:rsidRDefault="00A12351" w:rsidP="00A12351">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903" w:type="dxa"/>
            <w:shd w:val="clear" w:color="auto" w:fill="FFFFFF"/>
            <w:tcMar>
              <w:top w:w="0" w:type="dxa"/>
              <w:left w:w="0" w:type="dxa"/>
              <w:bottom w:w="0" w:type="dxa"/>
              <w:right w:w="0" w:type="dxa"/>
            </w:tcMar>
          </w:tcPr>
          <w:p w14:paraId="3C6308FA" w14:textId="77777777" w:rsidR="00A12351" w:rsidRPr="00C1603D" w:rsidRDefault="00A12351" w:rsidP="00A12351">
            <w:pPr>
              <w:pStyle w:val="72TabletextTablesTableFigureBoxstyles"/>
            </w:pPr>
            <w:r w:rsidRPr="00C1603D">
              <w:rPr>
                <w:rFonts w:eastAsia="Arial"/>
              </w:rPr>
              <w:t>Healthy controls</w:t>
            </w:r>
          </w:p>
        </w:tc>
        <w:tc>
          <w:tcPr>
            <w:tcW w:w="1066" w:type="dxa"/>
            <w:shd w:val="clear" w:color="auto" w:fill="FFFFFF"/>
            <w:tcMar>
              <w:top w:w="0" w:type="dxa"/>
              <w:left w:w="0" w:type="dxa"/>
              <w:bottom w:w="0" w:type="dxa"/>
              <w:right w:w="0" w:type="dxa"/>
            </w:tcMar>
          </w:tcPr>
          <w:p w14:paraId="3E5C3417" w14:textId="77777777" w:rsidR="00A12351" w:rsidRPr="00C1603D" w:rsidRDefault="00A12351" w:rsidP="00A12351">
            <w:pPr>
              <w:pStyle w:val="72TabletextTablesTableFigureBoxstyles"/>
            </w:pPr>
            <w:r w:rsidRPr="00C1603D">
              <w:rPr>
                <w:rFonts w:eastAsia="Arial"/>
              </w:rPr>
              <w:t>tTG positive</w:t>
            </w:r>
          </w:p>
        </w:tc>
        <w:tc>
          <w:tcPr>
            <w:tcW w:w="1112" w:type="dxa"/>
            <w:shd w:val="clear" w:color="auto" w:fill="FFFFFF"/>
            <w:tcMar>
              <w:top w:w="0" w:type="dxa"/>
              <w:left w:w="0" w:type="dxa"/>
              <w:bottom w:w="0" w:type="dxa"/>
              <w:right w:w="0" w:type="dxa"/>
            </w:tcMar>
          </w:tcPr>
          <w:p w14:paraId="724724F4" w14:textId="77777777" w:rsidR="00A12351" w:rsidRPr="00C1603D" w:rsidRDefault="00A12351" w:rsidP="00A12351">
            <w:pPr>
              <w:pStyle w:val="72TabletextTablesTableFigureBoxstyles"/>
            </w:pPr>
            <w:r w:rsidRPr="00C1603D">
              <w:rPr>
                <w:rFonts w:eastAsia="Arial"/>
              </w:rPr>
              <w:t>Secondary</w:t>
            </w:r>
          </w:p>
        </w:tc>
        <w:tc>
          <w:tcPr>
            <w:tcW w:w="881" w:type="dxa"/>
            <w:shd w:val="clear" w:color="auto" w:fill="FFFFFF"/>
            <w:tcMar>
              <w:top w:w="0" w:type="dxa"/>
              <w:left w:w="0" w:type="dxa"/>
              <w:bottom w:w="0" w:type="dxa"/>
              <w:right w:w="0" w:type="dxa"/>
            </w:tcMar>
          </w:tcPr>
          <w:p w14:paraId="2E61933C" w14:textId="77777777" w:rsidR="00A12351" w:rsidRPr="00C1603D" w:rsidRDefault="00A12351" w:rsidP="00A12351">
            <w:pPr>
              <w:pStyle w:val="72TabletextTablesTableFigureBoxstyles"/>
            </w:pPr>
            <w:r w:rsidRPr="00C1603D">
              <w:rPr>
                <w:rFonts w:eastAsia="Arial"/>
              </w:rPr>
              <w:t>China</w:t>
            </w:r>
          </w:p>
        </w:tc>
        <w:tc>
          <w:tcPr>
            <w:tcW w:w="1031" w:type="dxa"/>
            <w:shd w:val="clear" w:color="auto" w:fill="FFFFFF"/>
            <w:tcMar>
              <w:top w:w="0" w:type="dxa"/>
              <w:left w:w="0" w:type="dxa"/>
              <w:bottom w:w="0" w:type="dxa"/>
              <w:right w:w="0" w:type="dxa"/>
            </w:tcMar>
          </w:tcPr>
          <w:p w14:paraId="705A4288" w14:textId="6B08F8EA" w:rsidR="00A12351" w:rsidRPr="00C1603D" w:rsidRDefault="008374B7" w:rsidP="00A12351">
            <w:pPr>
              <w:pStyle w:val="72TabletextTablesTableFigureBoxstyles"/>
            </w:pPr>
            <w:r w:rsidRPr="00C1603D">
              <w:rPr>
                <w:rFonts w:eastAsia="Arial"/>
                <w:noProof/>
              </w:rPr>
              <w:t xml:space="preserve">Zhao </w:t>
            </w:r>
            <w:r w:rsidRPr="00C1603D">
              <w:rPr>
                <w:rFonts w:eastAsia="Arial"/>
                <w:i/>
                <w:iCs/>
                <w:noProof/>
              </w:rPr>
              <w:t>et al</w:t>
            </w:r>
            <w:r w:rsidRPr="00C1603D">
              <w:rPr>
                <w:rFonts w:eastAsia="Arial"/>
                <w:noProof/>
              </w:rPr>
              <w:t>.</w:t>
            </w:r>
            <w:r w:rsidR="00A12351" w:rsidRPr="00C1603D">
              <w:rPr>
                <w:rFonts w:eastAsia="Arial"/>
                <w:noProof/>
                <w:vertAlign w:val="superscript"/>
              </w:rPr>
              <w:t>445</w:t>
            </w:r>
          </w:p>
        </w:tc>
      </w:tr>
      <w:tr w:rsidR="00A12351" w:rsidRPr="00C1603D" w14:paraId="0991F9BF" w14:textId="77777777" w:rsidTr="00943414">
        <w:trPr>
          <w:cantSplit/>
        </w:trPr>
        <w:tc>
          <w:tcPr>
            <w:tcW w:w="630" w:type="dxa"/>
            <w:shd w:val="clear" w:color="auto" w:fill="FFFFFF"/>
            <w:tcMar>
              <w:top w:w="0" w:type="dxa"/>
              <w:left w:w="0" w:type="dxa"/>
              <w:bottom w:w="0" w:type="dxa"/>
              <w:right w:w="0" w:type="dxa"/>
            </w:tcMar>
          </w:tcPr>
          <w:p w14:paraId="7DD89451" w14:textId="77777777" w:rsidR="00A12351" w:rsidRPr="00C1603D" w:rsidRDefault="00A12351" w:rsidP="00A12351">
            <w:pPr>
              <w:pStyle w:val="72TabletextTablesTableFigureBoxstyles"/>
            </w:pPr>
            <w:r w:rsidRPr="00C1603D">
              <w:rPr>
                <w:rFonts w:eastAsia="Arial"/>
              </w:rPr>
              <w:t>Adults</w:t>
            </w:r>
          </w:p>
        </w:tc>
        <w:tc>
          <w:tcPr>
            <w:tcW w:w="851" w:type="dxa"/>
            <w:shd w:val="clear" w:color="auto" w:fill="FFFFFF"/>
            <w:tcMar>
              <w:top w:w="0" w:type="dxa"/>
              <w:left w:w="0" w:type="dxa"/>
              <w:bottom w:w="0" w:type="dxa"/>
              <w:right w:w="0" w:type="dxa"/>
            </w:tcMar>
          </w:tcPr>
          <w:p w14:paraId="78BED711" w14:textId="77777777" w:rsidR="00A12351" w:rsidRPr="00C1603D" w:rsidRDefault="00A12351" w:rsidP="00A12351">
            <w:pPr>
              <w:pStyle w:val="72TabletextTablesTableFigureBoxstyles"/>
            </w:pPr>
            <w:r w:rsidRPr="00C1603D">
              <w:rPr>
                <w:rFonts w:eastAsia="Arial"/>
              </w:rPr>
              <w:t>Cohort</w:t>
            </w:r>
          </w:p>
        </w:tc>
        <w:tc>
          <w:tcPr>
            <w:tcW w:w="922" w:type="dxa"/>
            <w:shd w:val="clear" w:color="auto" w:fill="FFFFFF"/>
            <w:tcMar>
              <w:top w:w="0" w:type="dxa"/>
              <w:left w:w="0" w:type="dxa"/>
              <w:bottom w:w="0" w:type="dxa"/>
              <w:right w:w="0" w:type="dxa"/>
            </w:tcMar>
          </w:tcPr>
          <w:p w14:paraId="4C4D99E4" w14:textId="19124FC0" w:rsidR="00A12351" w:rsidRPr="00C1603D" w:rsidRDefault="00A12351" w:rsidP="00A12351">
            <w:pPr>
              <w:pStyle w:val="72TabletextTablesTableFigureBoxstyles"/>
            </w:pPr>
            <w:r w:rsidRPr="00C1603D">
              <w:rPr>
                <w:rFonts w:eastAsia="Arial"/>
              </w:rPr>
              <w:t>Type 2 diabetes</w:t>
            </w:r>
          </w:p>
        </w:tc>
        <w:tc>
          <w:tcPr>
            <w:tcW w:w="818" w:type="dxa"/>
            <w:shd w:val="clear" w:color="auto" w:fill="FFFFFF"/>
            <w:tcMar>
              <w:top w:w="0" w:type="dxa"/>
              <w:left w:w="0" w:type="dxa"/>
              <w:bottom w:w="0" w:type="dxa"/>
              <w:right w:w="0" w:type="dxa"/>
            </w:tcMar>
          </w:tcPr>
          <w:p w14:paraId="58159D43" w14:textId="77777777" w:rsidR="00A12351" w:rsidRPr="00C1603D" w:rsidRDefault="00A12351" w:rsidP="00A12351">
            <w:pPr>
              <w:pStyle w:val="72TabletextTablesTableFigureBoxstyles"/>
            </w:pPr>
            <w:r w:rsidRPr="00C1603D">
              <w:rPr>
                <w:rFonts w:eastAsia="Arial"/>
              </w:rPr>
              <w:t>6919</w:t>
            </w:r>
          </w:p>
        </w:tc>
        <w:tc>
          <w:tcPr>
            <w:tcW w:w="812" w:type="dxa"/>
            <w:shd w:val="clear" w:color="auto" w:fill="FFFFFF"/>
            <w:tcMar>
              <w:top w:w="0" w:type="dxa"/>
              <w:left w:w="0" w:type="dxa"/>
              <w:bottom w:w="0" w:type="dxa"/>
              <w:right w:w="0" w:type="dxa"/>
            </w:tcMar>
          </w:tcPr>
          <w:p w14:paraId="503F0096" w14:textId="53E7D2C7" w:rsidR="00A12351" w:rsidRPr="00C1603D" w:rsidRDefault="00A12351" w:rsidP="00A12351">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903" w:type="dxa"/>
            <w:shd w:val="clear" w:color="auto" w:fill="FFFFFF"/>
            <w:tcMar>
              <w:top w:w="0" w:type="dxa"/>
              <w:left w:w="0" w:type="dxa"/>
              <w:bottom w:w="0" w:type="dxa"/>
              <w:right w:w="0" w:type="dxa"/>
            </w:tcMar>
          </w:tcPr>
          <w:p w14:paraId="1C064DE4" w14:textId="77777777" w:rsidR="00A12351" w:rsidRPr="00C1603D" w:rsidRDefault="00A12351" w:rsidP="00A12351">
            <w:pPr>
              <w:pStyle w:val="72TabletextTablesTableFigureBoxstyles"/>
            </w:pPr>
            <w:r w:rsidRPr="00C1603D">
              <w:rPr>
                <w:rFonts w:eastAsia="Arial"/>
              </w:rPr>
              <w:t>People without diabetes</w:t>
            </w:r>
          </w:p>
        </w:tc>
        <w:tc>
          <w:tcPr>
            <w:tcW w:w="1066" w:type="dxa"/>
            <w:shd w:val="clear" w:color="auto" w:fill="FFFFFF"/>
            <w:tcMar>
              <w:top w:w="0" w:type="dxa"/>
              <w:left w:w="0" w:type="dxa"/>
              <w:bottom w:w="0" w:type="dxa"/>
              <w:right w:w="0" w:type="dxa"/>
            </w:tcMar>
          </w:tcPr>
          <w:p w14:paraId="38E6DDAC" w14:textId="0CC8E217" w:rsidR="00A12351" w:rsidRPr="00C1603D" w:rsidRDefault="00A12351" w:rsidP="00A12351">
            <w:pPr>
              <w:pStyle w:val="72TabletextTablesTableFigureBoxstyles"/>
            </w:pPr>
            <w:r w:rsidRPr="00C1603D">
              <w:rPr>
                <w:rFonts w:eastAsia="Arial"/>
              </w:rPr>
              <w:t>Double positive for two antibodies</w:t>
            </w:r>
          </w:p>
        </w:tc>
        <w:tc>
          <w:tcPr>
            <w:tcW w:w="1112" w:type="dxa"/>
            <w:shd w:val="clear" w:color="auto" w:fill="FFFFFF"/>
            <w:tcMar>
              <w:top w:w="0" w:type="dxa"/>
              <w:left w:w="0" w:type="dxa"/>
              <w:bottom w:w="0" w:type="dxa"/>
              <w:right w:w="0" w:type="dxa"/>
            </w:tcMar>
          </w:tcPr>
          <w:p w14:paraId="0BD2F205" w14:textId="77777777" w:rsidR="00A12351" w:rsidRPr="00C1603D" w:rsidRDefault="00A12351" w:rsidP="00A12351">
            <w:pPr>
              <w:pStyle w:val="72TabletextTablesTableFigureBoxstyles"/>
            </w:pPr>
            <w:r w:rsidRPr="00C1603D">
              <w:rPr>
                <w:rFonts w:eastAsia="Arial"/>
              </w:rPr>
              <w:t>Community</w:t>
            </w:r>
          </w:p>
        </w:tc>
        <w:tc>
          <w:tcPr>
            <w:tcW w:w="881" w:type="dxa"/>
            <w:shd w:val="clear" w:color="auto" w:fill="FFFFFF"/>
            <w:tcMar>
              <w:top w:w="0" w:type="dxa"/>
              <w:left w:w="0" w:type="dxa"/>
              <w:bottom w:w="0" w:type="dxa"/>
              <w:right w:w="0" w:type="dxa"/>
            </w:tcMar>
          </w:tcPr>
          <w:p w14:paraId="369B57D3" w14:textId="77777777" w:rsidR="00A12351" w:rsidRPr="00C1603D" w:rsidRDefault="00A12351" w:rsidP="00A12351">
            <w:pPr>
              <w:pStyle w:val="72TabletextTablesTableFigureBoxstyles"/>
            </w:pPr>
            <w:r w:rsidRPr="00C1603D">
              <w:rPr>
                <w:rFonts w:eastAsia="Arial"/>
              </w:rPr>
              <w:t>Finland</w:t>
            </w:r>
          </w:p>
        </w:tc>
        <w:tc>
          <w:tcPr>
            <w:tcW w:w="1031" w:type="dxa"/>
            <w:shd w:val="clear" w:color="auto" w:fill="FFFFFF"/>
            <w:tcMar>
              <w:top w:w="0" w:type="dxa"/>
              <w:left w:w="0" w:type="dxa"/>
              <w:bottom w:w="0" w:type="dxa"/>
              <w:right w:w="0" w:type="dxa"/>
            </w:tcMar>
          </w:tcPr>
          <w:p w14:paraId="0085015D" w14:textId="0795289C" w:rsidR="00A12351" w:rsidRPr="00C1603D" w:rsidRDefault="008374B7" w:rsidP="00A12351">
            <w:pPr>
              <w:pStyle w:val="72TabletextTablesTableFigureBoxstyles"/>
            </w:pPr>
            <w:r w:rsidRPr="00C1603D">
              <w:t xml:space="preserve">Heikkilä </w:t>
            </w:r>
            <w:r w:rsidRPr="00C1603D">
              <w:rPr>
                <w:rFonts w:eastAsia="Arial"/>
                <w:i/>
                <w:iCs/>
                <w:noProof/>
              </w:rPr>
              <w:t>et al</w:t>
            </w:r>
            <w:r w:rsidRPr="00C1603D">
              <w:rPr>
                <w:rFonts w:eastAsia="Arial"/>
                <w:noProof/>
              </w:rPr>
              <w:t>.</w:t>
            </w:r>
            <w:r w:rsidR="00A12351" w:rsidRPr="00C1603D">
              <w:rPr>
                <w:rFonts w:eastAsia="Arial"/>
                <w:noProof/>
                <w:vertAlign w:val="superscript"/>
              </w:rPr>
              <w:t>333</w:t>
            </w:r>
          </w:p>
        </w:tc>
      </w:tr>
      <w:tr w:rsidR="00A12351" w:rsidRPr="00C1603D" w14:paraId="1C0EDB37" w14:textId="77777777" w:rsidTr="00943414">
        <w:trPr>
          <w:cantSplit/>
        </w:trPr>
        <w:tc>
          <w:tcPr>
            <w:tcW w:w="630" w:type="dxa"/>
            <w:shd w:val="clear" w:color="auto" w:fill="FFFFFF"/>
            <w:tcMar>
              <w:top w:w="0" w:type="dxa"/>
              <w:left w:w="0" w:type="dxa"/>
              <w:bottom w:w="0" w:type="dxa"/>
              <w:right w:w="0" w:type="dxa"/>
            </w:tcMar>
          </w:tcPr>
          <w:p w14:paraId="4026C744" w14:textId="77777777" w:rsidR="00A12351" w:rsidRPr="00C1603D" w:rsidRDefault="00A12351" w:rsidP="00A12351">
            <w:pPr>
              <w:pStyle w:val="72TabletextTablesTableFigureBoxstyles"/>
            </w:pPr>
            <w:r w:rsidRPr="00C1603D">
              <w:rPr>
                <w:rFonts w:eastAsia="Arial"/>
              </w:rPr>
              <w:t>Mixed</w:t>
            </w:r>
          </w:p>
        </w:tc>
        <w:tc>
          <w:tcPr>
            <w:tcW w:w="851" w:type="dxa"/>
            <w:shd w:val="clear" w:color="auto" w:fill="FFFFFF"/>
            <w:tcMar>
              <w:top w:w="0" w:type="dxa"/>
              <w:left w:w="0" w:type="dxa"/>
              <w:bottom w:w="0" w:type="dxa"/>
              <w:right w:w="0" w:type="dxa"/>
            </w:tcMar>
          </w:tcPr>
          <w:p w14:paraId="2AB7477F" w14:textId="6F896C4C" w:rsidR="00A12351" w:rsidRPr="00C1603D" w:rsidRDefault="00A12351" w:rsidP="00A12351">
            <w:pPr>
              <w:pStyle w:val="72TabletextTablesTableFigureBoxstyles"/>
            </w:pPr>
            <w:r w:rsidRPr="00C1603D">
              <w:rPr>
                <w:rFonts w:eastAsia="Arial"/>
              </w:rPr>
              <w:t>Case–control (DI)</w:t>
            </w:r>
          </w:p>
        </w:tc>
        <w:tc>
          <w:tcPr>
            <w:tcW w:w="922" w:type="dxa"/>
            <w:shd w:val="clear" w:color="auto" w:fill="FFFFFF"/>
            <w:tcMar>
              <w:top w:w="0" w:type="dxa"/>
              <w:left w:w="0" w:type="dxa"/>
              <w:bottom w:w="0" w:type="dxa"/>
              <w:right w:w="0" w:type="dxa"/>
            </w:tcMar>
          </w:tcPr>
          <w:p w14:paraId="543E8F61" w14:textId="4A198D57" w:rsidR="00A12351" w:rsidRPr="00C1603D" w:rsidRDefault="00A12351" w:rsidP="00A12351">
            <w:pPr>
              <w:pStyle w:val="72TabletextTablesTableFigureBoxstyles"/>
            </w:pPr>
            <w:r w:rsidRPr="00C1603D">
              <w:rPr>
                <w:rFonts w:eastAsia="Arial"/>
              </w:rPr>
              <w:t>Type 2 diabetes</w:t>
            </w:r>
          </w:p>
        </w:tc>
        <w:tc>
          <w:tcPr>
            <w:tcW w:w="818" w:type="dxa"/>
            <w:shd w:val="clear" w:color="auto" w:fill="FFFFFF"/>
            <w:tcMar>
              <w:top w:w="0" w:type="dxa"/>
              <w:left w:w="0" w:type="dxa"/>
              <w:bottom w:w="0" w:type="dxa"/>
              <w:right w:w="0" w:type="dxa"/>
            </w:tcMar>
          </w:tcPr>
          <w:p w14:paraId="7F0F5793" w14:textId="77777777" w:rsidR="00A12351" w:rsidRPr="00C1603D" w:rsidRDefault="00A12351" w:rsidP="00A12351">
            <w:pPr>
              <w:pStyle w:val="72TabletextTablesTableFigureBoxstyles"/>
            </w:pPr>
            <w:r w:rsidRPr="00C1603D">
              <w:rPr>
                <w:rFonts w:eastAsia="Arial"/>
              </w:rPr>
              <w:t>338</w:t>
            </w:r>
          </w:p>
        </w:tc>
        <w:tc>
          <w:tcPr>
            <w:tcW w:w="812" w:type="dxa"/>
            <w:shd w:val="clear" w:color="auto" w:fill="FFFFFF"/>
            <w:tcMar>
              <w:top w:w="0" w:type="dxa"/>
              <w:left w:w="0" w:type="dxa"/>
              <w:bottom w:w="0" w:type="dxa"/>
              <w:right w:w="0" w:type="dxa"/>
            </w:tcMar>
          </w:tcPr>
          <w:p w14:paraId="0A9F8C5B" w14:textId="77777777" w:rsidR="00A12351" w:rsidRPr="00C1603D" w:rsidRDefault="00A12351" w:rsidP="00A12351">
            <w:pPr>
              <w:pStyle w:val="72TabletextTablesTableFigureBoxstyles"/>
            </w:pPr>
            <w:r w:rsidRPr="00C1603D">
              <w:rPr>
                <w:rFonts w:eastAsia="Arial"/>
              </w:rPr>
              <w:t>NR</w:t>
            </w:r>
          </w:p>
        </w:tc>
        <w:tc>
          <w:tcPr>
            <w:tcW w:w="903" w:type="dxa"/>
            <w:shd w:val="clear" w:color="auto" w:fill="FFFFFF"/>
            <w:tcMar>
              <w:top w:w="0" w:type="dxa"/>
              <w:left w:w="0" w:type="dxa"/>
              <w:bottom w:w="0" w:type="dxa"/>
              <w:right w:w="0" w:type="dxa"/>
            </w:tcMar>
          </w:tcPr>
          <w:p w14:paraId="25D82C8B" w14:textId="77777777" w:rsidR="00A12351" w:rsidRPr="00C1603D" w:rsidRDefault="00A12351" w:rsidP="00A12351">
            <w:pPr>
              <w:pStyle w:val="72TabletextTablesTableFigureBoxstyles"/>
            </w:pPr>
            <w:r w:rsidRPr="00C1603D">
              <w:rPr>
                <w:rFonts w:eastAsia="Arial"/>
              </w:rPr>
              <w:t>Healthy controls</w:t>
            </w:r>
          </w:p>
        </w:tc>
        <w:tc>
          <w:tcPr>
            <w:tcW w:w="1066" w:type="dxa"/>
            <w:shd w:val="clear" w:color="auto" w:fill="FFFFFF"/>
            <w:tcMar>
              <w:top w:w="0" w:type="dxa"/>
              <w:left w:w="0" w:type="dxa"/>
              <w:bottom w:w="0" w:type="dxa"/>
              <w:right w:w="0" w:type="dxa"/>
            </w:tcMar>
          </w:tcPr>
          <w:p w14:paraId="71318DC9" w14:textId="77777777" w:rsidR="00A12351" w:rsidRPr="00C1603D" w:rsidRDefault="00A12351" w:rsidP="00A12351">
            <w:pPr>
              <w:pStyle w:val="72TabletextTablesTableFigureBoxstyles"/>
            </w:pPr>
            <w:r w:rsidRPr="00C1603D">
              <w:rPr>
                <w:rFonts w:eastAsia="Arial"/>
              </w:rPr>
              <w:t>tTG positive</w:t>
            </w:r>
          </w:p>
        </w:tc>
        <w:tc>
          <w:tcPr>
            <w:tcW w:w="1112" w:type="dxa"/>
            <w:shd w:val="clear" w:color="auto" w:fill="FFFFFF"/>
            <w:tcMar>
              <w:top w:w="0" w:type="dxa"/>
              <w:left w:w="0" w:type="dxa"/>
              <w:bottom w:w="0" w:type="dxa"/>
              <w:right w:w="0" w:type="dxa"/>
            </w:tcMar>
          </w:tcPr>
          <w:p w14:paraId="15194831" w14:textId="77777777" w:rsidR="00A12351" w:rsidRPr="00C1603D" w:rsidRDefault="00A12351" w:rsidP="00A12351">
            <w:pPr>
              <w:pStyle w:val="72TabletextTablesTableFigureBoxstyles"/>
            </w:pPr>
            <w:r w:rsidRPr="00C1603D">
              <w:rPr>
                <w:rFonts w:eastAsia="Arial"/>
              </w:rPr>
              <w:t>Secondary</w:t>
            </w:r>
          </w:p>
        </w:tc>
        <w:tc>
          <w:tcPr>
            <w:tcW w:w="881" w:type="dxa"/>
            <w:shd w:val="clear" w:color="auto" w:fill="FFFFFF"/>
            <w:tcMar>
              <w:top w:w="0" w:type="dxa"/>
              <w:left w:w="0" w:type="dxa"/>
              <w:bottom w:w="0" w:type="dxa"/>
              <w:right w:w="0" w:type="dxa"/>
            </w:tcMar>
          </w:tcPr>
          <w:p w14:paraId="05F33022" w14:textId="77777777" w:rsidR="00A12351" w:rsidRPr="00C1603D" w:rsidRDefault="00A12351" w:rsidP="00A12351">
            <w:pPr>
              <w:pStyle w:val="72TabletextTablesTableFigureBoxstyles"/>
            </w:pPr>
            <w:r w:rsidRPr="00C1603D">
              <w:rPr>
                <w:rFonts w:eastAsia="Arial"/>
              </w:rPr>
              <w:t>India</w:t>
            </w:r>
          </w:p>
        </w:tc>
        <w:tc>
          <w:tcPr>
            <w:tcW w:w="1031" w:type="dxa"/>
            <w:shd w:val="clear" w:color="auto" w:fill="FFFFFF"/>
            <w:tcMar>
              <w:top w:w="0" w:type="dxa"/>
              <w:left w:w="0" w:type="dxa"/>
              <w:bottom w:w="0" w:type="dxa"/>
              <w:right w:w="0" w:type="dxa"/>
            </w:tcMar>
          </w:tcPr>
          <w:p w14:paraId="5D8A41E5" w14:textId="0DA98B48" w:rsidR="00A12351" w:rsidRPr="00C1603D" w:rsidRDefault="008374B7" w:rsidP="00A12351">
            <w:pPr>
              <w:pStyle w:val="72TabletextTablesTableFigureBoxstyles"/>
            </w:pPr>
            <w:r w:rsidRPr="00C1603D">
              <w:rPr>
                <w:rFonts w:eastAsia="Arial"/>
                <w:noProof/>
              </w:rPr>
              <w:t>Kanungo</w:t>
            </w:r>
            <w:r w:rsidRPr="00C1603D">
              <w:rPr>
                <w:rFonts w:eastAsia="Arial"/>
                <w:i/>
                <w:iCs/>
                <w:noProof/>
              </w:rPr>
              <w:t xml:space="preserve"> et al</w:t>
            </w:r>
            <w:r w:rsidRPr="00C1603D">
              <w:rPr>
                <w:rFonts w:eastAsia="Arial"/>
                <w:noProof/>
              </w:rPr>
              <w:t>.</w:t>
            </w:r>
            <w:r w:rsidR="00A12351" w:rsidRPr="00C1603D">
              <w:rPr>
                <w:rFonts w:eastAsia="Arial"/>
                <w:noProof/>
                <w:vertAlign w:val="superscript"/>
              </w:rPr>
              <w:t>460</w:t>
            </w:r>
          </w:p>
        </w:tc>
      </w:tr>
      <w:tr w:rsidR="00A12351" w:rsidRPr="00C1603D" w14:paraId="5C299FC4" w14:textId="77777777" w:rsidTr="00943414">
        <w:trPr>
          <w:cantSplit/>
        </w:trPr>
        <w:tc>
          <w:tcPr>
            <w:tcW w:w="630" w:type="dxa"/>
            <w:shd w:val="clear" w:color="auto" w:fill="FFFFFF"/>
            <w:tcMar>
              <w:top w:w="0" w:type="dxa"/>
              <w:left w:w="0" w:type="dxa"/>
              <w:bottom w:w="0" w:type="dxa"/>
              <w:right w:w="0" w:type="dxa"/>
            </w:tcMar>
          </w:tcPr>
          <w:p w14:paraId="00FC8B7A" w14:textId="77777777" w:rsidR="00A12351" w:rsidRPr="00C1603D" w:rsidRDefault="00A12351" w:rsidP="00A12351">
            <w:pPr>
              <w:pStyle w:val="72TabletextTablesTableFigureBoxstyles"/>
            </w:pPr>
            <w:r w:rsidRPr="00C1603D">
              <w:rPr>
                <w:rFonts w:eastAsia="Arial"/>
              </w:rPr>
              <w:t>Mixed</w:t>
            </w:r>
          </w:p>
        </w:tc>
        <w:tc>
          <w:tcPr>
            <w:tcW w:w="851" w:type="dxa"/>
            <w:shd w:val="clear" w:color="auto" w:fill="FFFFFF"/>
            <w:tcMar>
              <w:top w:w="0" w:type="dxa"/>
              <w:left w:w="0" w:type="dxa"/>
              <w:bottom w:w="0" w:type="dxa"/>
              <w:right w:w="0" w:type="dxa"/>
            </w:tcMar>
          </w:tcPr>
          <w:p w14:paraId="737F6729" w14:textId="2AE35CC3" w:rsidR="00A12351" w:rsidRPr="00C1603D" w:rsidRDefault="00A12351" w:rsidP="00A12351">
            <w:pPr>
              <w:pStyle w:val="72TabletextTablesTableFigureBoxstyles"/>
            </w:pPr>
            <w:r w:rsidRPr="00C1603D">
              <w:rPr>
                <w:rFonts w:eastAsia="Arial"/>
              </w:rPr>
              <w:t>Case–control (DI)</w:t>
            </w:r>
          </w:p>
        </w:tc>
        <w:tc>
          <w:tcPr>
            <w:tcW w:w="922" w:type="dxa"/>
            <w:shd w:val="clear" w:color="auto" w:fill="FFFFFF"/>
            <w:tcMar>
              <w:top w:w="0" w:type="dxa"/>
              <w:left w:w="0" w:type="dxa"/>
              <w:bottom w:w="0" w:type="dxa"/>
              <w:right w:w="0" w:type="dxa"/>
            </w:tcMar>
          </w:tcPr>
          <w:p w14:paraId="79A597AA" w14:textId="091B1632" w:rsidR="00A12351" w:rsidRPr="00C1603D" w:rsidRDefault="00A12351" w:rsidP="00A12351">
            <w:pPr>
              <w:pStyle w:val="72TabletextTablesTableFigureBoxstyles"/>
            </w:pPr>
            <w:r w:rsidRPr="00C1603D">
              <w:rPr>
                <w:rFonts w:eastAsia="Arial"/>
              </w:rPr>
              <w:t>Type 2 diabetes</w:t>
            </w:r>
          </w:p>
        </w:tc>
        <w:tc>
          <w:tcPr>
            <w:tcW w:w="818" w:type="dxa"/>
            <w:shd w:val="clear" w:color="auto" w:fill="FFFFFF"/>
            <w:tcMar>
              <w:top w:w="0" w:type="dxa"/>
              <w:left w:w="0" w:type="dxa"/>
              <w:bottom w:w="0" w:type="dxa"/>
              <w:right w:w="0" w:type="dxa"/>
            </w:tcMar>
          </w:tcPr>
          <w:p w14:paraId="60B83F3B" w14:textId="77777777" w:rsidR="00A12351" w:rsidRPr="00C1603D" w:rsidRDefault="00A12351" w:rsidP="00A12351">
            <w:pPr>
              <w:pStyle w:val="72TabletextTablesTableFigureBoxstyles"/>
            </w:pPr>
            <w:r w:rsidRPr="00C1603D">
              <w:rPr>
                <w:rFonts w:eastAsia="Arial"/>
              </w:rPr>
              <w:t>332</w:t>
            </w:r>
          </w:p>
        </w:tc>
        <w:tc>
          <w:tcPr>
            <w:tcW w:w="812" w:type="dxa"/>
            <w:shd w:val="clear" w:color="auto" w:fill="FFFFFF"/>
            <w:tcMar>
              <w:top w:w="0" w:type="dxa"/>
              <w:left w:w="0" w:type="dxa"/>
              <w:bottom w:w="0" w:type="dxa"/>
              <w:right w:w="0" w:type="dxa"/>
            </w:tcMar>
          </w:tcPr>
          <w:p w14:paraId="175E989F" w14:textId="7F8E07D0" w:rsidR="00A12351" w:rsidRPr="00C1603D" w:rsidRDefault="00A12351" w:rsidP="00A12351">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903" w:type="dxa"/>
            <w:shd w:val="clear" w:color="auto" w:fill="FFFFFF"/>
            <w:tcMar>
              <w:top w:w="0" w:type="dxa"/>
              <w:left w:w="0" w:type="dxa"/>
              <w:bottom w:w="0" w:type="dxa"/>
              <w:right w:w="0" w:type="dxa"/>
            </w:tcMar>
          </w:tcPr>
          <w:p w14:paraId="2311CB9A" w14:textId="77777777" w:rsidR="00A12351" w:rsidRPr="00C1603D" w:rsidRDefault="00A12351" w:rsidP="00A12351">
            <w:pPr>
              <w:pStyle w:val="72TabletextTablesTableFigureBoxstyles"/>
            </w:pPr>
            <w:r w:rsidRPr="00C1603D">
              <w:rPr>
                <w:rFonts w:eastAsia="Arial"/>
              </w:rPr>
              <w:t>Healthy controls</w:t>
            </w:r>
          </w:p>
        </w:tc>
        <w:tc>
          <w:tcPr>
            <w:tcW w:w="1066" w:type="dxa"/>
            <w:shd w:val="clear" w:color="auto" w:fill="FFFFFF"/>
            <w:tcMar>
              <w:top w:w="0" w:type="dxa"/>
              <w:left w:w="0" w:type="dxa"/>
              <w:bottom w:w="0" w:type="dxa"/>
              <w:right w:w="0" w:type="dxa"/>
            </w:tcMar>
          </w:tcPr>
          <w:p w14:paraId="7CBCA37D" w14:textId="77777777" w:rsidR="00A12351" w:rsidRPr="00C1603D" w:rsidRDefault="00A12351" w:rsidP="00A12351">
            <w:pPr>
              <w:pStyle w:val="72TabletextTablesTableFigureBoxstyles"/>
            </w:pPr>
            <w:r w:rsidRPr="00C1603D">
              <w:rPr>
                <w:rFonts w:eastAsia="Arial"/>
              </w:rPr>
              <w:t>tTG positive</w:t>
            </w:r>
          </w:p>
        </w:tc>
        <w:tc>
          <w:tcPr>
            <w:tcW w:w="1112" w:type="dxa"/>
            <w:shd w:val="clear" w:color="auto" w:fill="FFFFFF"/>
            <w:tcMar>
              <w:top w:w="0" w:type="dxa"/>
              <w:left w:w="0" w:type="dxa"/>
              <w:bottom w:w="0" w:type="dxa"/>
              <w:right w:w="0" w:type="dxa"/>
            </w:tcMar>
          </w:tcPr>
          <w:p w14:paraId="6BD8FCBA" w14:textId="77777777" w:rsidR="00A12351" w:rsidRPr="00C1603D" w:rsidRDefault="00A12351" w:rsidP="00A12351">
            <w:pPr>
              <w:pStyle w:val="72TabletextTablesTableFigureBoxstyles"/>
            </w:pPr>
            <w:r w:rsidRPr="00C1603D">
              <w:rPr>
                <w:rFonts w:eastAsia="Arial"/>
              </w:rPr>
              <w:t>Secondary</w:t>
            </w:r>
          </w:p>
        </w:tc>
        <w:tc>
          <w:tcPr>
            <w:tcW w:w="881" w:type="dxa"/>
            <w:shd w:val="clear" w:color="auto" w:fill="FFFFFF"/>
            <w:tcMar>
              <w:top w:w="0" w:type="dxa"/>
              <w:left w:w="0" w:type="dxa"/>
              <w:bottom w:w="0" w:type="dxa"/>
              <w:right w:w="0" w:type="dxa"/>
            </w:tcMar>
          </w:tcPr>
          <w:p w14:paraId="7E645165" w14:textId="77777777" w:rsidR="00A12351" w:rsidRPr="00C1603D" w:rsidRDefault="00A12351" w:rsidP="00A12351">
            <w:pPr>
              <w:pStyle w:val="72TabletextTablesTableFigureBoxstyles"/>
            </w:pPr>
            <w:r w:rsidRPr="00C1603D">
              <w:rPr>
                <w:rFonts w:eastAsia="Arial"/>
              </w:rPr>
              <w:t>Italy</w:t>
            </w:r>
          </w:p>
        </w:tc>
        <w:tc>
          <w:tcPr>
            <w:tcW w:w="1031" w:type="dxa"/>
            <w:shd w:val="clear" w:color="auto" w:fill="FFFFFF"/>
            <w:tcMar>
              <w:top w:w="0" w:type="dxa"/>
              <w:left w:w="0" w:type="dxa"/>
              <w:bottom w:w="0" w:type="dxa"/>
              <w:right w:w="0" w:type="dxa"/>
            </w:tcMar>
          </w:tcPr>
          <w:p w14:paraId="69938A32" w14:textId="3BC00D10" w:rsidR="00A12351" w:rsidRPr="00C1603D" w:rsidRDefault="008374B7" w:rsidP="00A12351">
            <w:pPr>
              <w:pStyle w:val="72TabletextTablesTableFigureBoxstyles"/>
            </w:pPr>
            <w:r w:rsidRPr="00C1603D">
              <w:rPr>
                <w:rFonts w:eastAsia="Arial"/>
                <w:noProof/>
              </w:rPr>
              <w:t xml:space="preserve">Lampasona </w:t>
            </w:r>
            <w:r w:rsidRPr="00C1603D">
              <w:rPr>
                <w:rFonts w:eastAsia="Arial"/>
                <w:i/>
                <w:iCs/>
                <w:noProof/>
              </w:rPr>
              <w:t>et al</w:t>
            </w:r>
            <w:r w:rsidRPr="00C1603D">
              <w:rPr>
                <w:rFonts w:eastAsia="Arial"/>
                <w:noProof/>
              </w:rPr>
              <w:t>.</w:t>
            </w:r>
            <w:r w:rsidR="00A12351" w:rsidRPr="00C1603D">
              <w:rPr>
                <w:rFonts w:eastAsia="Arial"/>
                <w:noProof/>
                <w:vertAlign w:val="superscript"/>
              </w:rPr>
              <w:t>462</w:t>
            </w:r>
          </w:p>
        </w:tc>
      </w:tr>
      <w:tr w:rsidR="00973628" w:rsidRPr="00C1603D" w14:paraId="58AB39C8" w14:textId="77777777" w:rsidTr="0030110D">
        <w:trPr>
          <w:cantSplit/>
        </w:trPr>
        <w:tc>
          <w:tcPr>
            <w:tcW w:w="9026" w:type="dxa"/>
            <w:gridSpan w:val="10"/>
            <w:shd w:val="clear" w:color="auto" w:fill="FFFFFF"/>
            <w:tcMar>
              <w:top w:w="0" w:type="dxa"/>
              <w:left w:w="0" w:type="dxa"/>
              <w:bottom w:w="0" w:type="dxa"/>
              <w:right w:w="0" w:type="dxa"/>
            </w:tcMar>
          </w:tcPr>
          <w:p w14:paraId="75C31937" w14:textId="5A9CE65E" w:rsidR="00973628" w:rsidRPr="00C1603D" w:rsidRDefault="00973628" w:rsidP="00973628">
            <w:pPr>
              <w:pStyle w:val="75TablenotesTablesTableFigureBoxstyles"/>
              <w:rPr>
                <w:rFonts w:eastAsia="Arial"/>
                <w:noProof/>
                <w:vertAlign w:val="superscript"/>
              </w:rPr>
            </w:pPr>
            <w:r w:rsidRPr="00C1603D">
              <w:rPr>
                <w:rFonts w:eastAsia="Arial"/>
                <w:noProof/>
              </w:rPr>
              <w:t>DI, diagnostic indicator; NR, not reported.</w:t>
            </w:r>
          </w:p>
        </w:tc>
      </w:tr>
    </w:tbl>
    <w:p w14:paraId="43E308DB" w14:textId="7B5CDBB5" w:rsidR="008B4DF8" w:rsidRPr="00C1603D" w:rsidRDefault="008B4DF8" w:rsidP="008B4DF8">
      <w:pPr>
        <w:pStyle w:val="70TablelegendTablesTableFigureBoxstyles"/>
      </w:pPr>
      <w:bookmarkStart w:id="609" w:name="_Toc99720759"/>
      <w:r w:rsidRPr="00C1603D">
        <w:rPr>
          <w:b/>
        </w:rPr>
        <w:lastRenderedPageBreak/>
        <w:t>TABLE 4</w:t>
      </w:r>
      <w:r w:rsidR="00032460" w:rsidRPr="00C1603D">
        <w:rPr>
          <w:b/>
        </w:rPr>
        <w:t>9</w:t>
      </w:r>
      <w:r w:rsidRPr="00C1603D">
        <w:rPr>
          <w:b/>
        </w:rPr>
        <w:t> </w:t>
      </w:r>
      <w:r w:rsidRPr="00C1603D">
        <w:t xml:space="preserve">Study characteristic: </w:t>
      </w:r>
      <w:r w:rsidR="00943414" w:rsidRPr="00C1603D">
        <w:t>t</w:t>
      </w:r>
      <w:r w:rsidRPr="00C1603D">
        <w:t>hyroid disease</w:t>
      </w:r>
      <w:bookmarkEnd w:id="609"/>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898"/>
        <w:gridCol w:w="781"/>
        <w:gridCol w:w="1524"/>
        <w:gridCol w:w="627"/>
        <w:gridCol w:w="635"/>
        <w:gridCol w:w="823"/>
        <w:gridCol w:w="1079"/>
        <w:gridCol w:w="968"/>
        <w:gridCol w:w="791"/>
        <w:gridCol w:w="900"/>
      </w:tblGrid>
      <w:tr w:rsidR="003B417F" w:rsidRPr="00C1603D" w14:paraId="180CF381" w14:textId="77777777" w:rsidTr="00943414">
        <w:trPr>
          <w:cantSplit/>
        </w:trPr>
        <w:tc>
          <w:tcPr>
            <w:tcW w:w="0" w:type="auto"/>
            <w:shd w:val="clear" w:color="auto" w:fill="FFFFFF"/>
            <w:tcMar>
              <w:top w:w="0" w:type="dxa"/>
              <w:left w:w="0" w:type="dxa"/>
              <w:bottom w:w="0" w:type="dxa"/>
              <w:right w:w="0" w:type="dxa"/>
            </w:tcMar>
          </w:tcPr>
          <w:p w14:paraId="77D78D8D" w14:textId="7550590D"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235E4BD1" w14:textId="7B8BE9E5"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38F527C" w14:textId="226846EE"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5C5C5CC6" w14:textId="63822355"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5E601057"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265FAF7A"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3FDB94F1"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65EDAF2D"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6A663214"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6D9C1635" w14:textId="77777777" w:rsidR="001902E7" w:rsidRPr="00C1603D" w:rsidRDefault="001902E7" w:rsidP="001902E7">
            <w:pPr>
              <w:pStyle w:val="710TableheadTablesTableFigureBoxstyles"/>
            </w:pPr>
            <w:r w:rsidRPr="00C1603D">
              <w:rPr>
                <w:rFonts w:eastAsia="Arial"/>
              </w:rPr>
              <w:t>Reference</w:t>
            </w:r>
          </w:p>
        </w:tc>
      </w:tr>
      <w:tr w:rsidR="003B417F" w:rsidRPr="00C1603D" w14:paraId="3CA232C8" w14:textId="77777777" w:rsidTr="00943414">
        <w:trPr>
          <w:cantSplit/>
        </w:trPr>
        <w:tc>
          <w:tcPr>
            <w:tcW w:w="0" w:type="auto"/>
            <w:shd w:val="clear" w:color="auto" w:fill="FFFFFF"/>
            <w:tcMar>
              <w:top w:w="0" w:type="dxa"/>
              <w:left w:w="0" w:type="dxa"/>
              <w:bottom w:w="0" w:type="dxa"/>
              <w:right w:w="0" w:type="dxa"/>
            </w:tcMar>
          </w:tcPr>
          <w:p w14:paraId="43E66644"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8EE26B3" w14:textId="626857F1"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34FA5B9" w14:textId="77777777" w:rsidR="008B4DF8" w:rsidRPr="00C1603D" w:rsidRDefault="008B4DF8" w:rsidP="00943414">
            <w:pPr>
              <w:pStyle w:val="72TabletextTablesTableFigureBoxstyles"/>
            </w:pPr>
            <w:r w:rsidRPr="00C1603D">
              <w:rPr>
                <w:rFonts w:eastAsia="Arial"/>
              </w:rPr>
              <w:t>Thyroid autoimmunity</w:t>
            </w:r>
          </w:p>
        </w:tc>
        <w:tc>
          <w:tcPr>
            <w:tcW w:w="0" w:type="auto"/>
            <w:shd w:val="clear" w:color="auto" w:fill="FFFFFF"/>
            <w:tcMar>
              <w:top w:w="0" w:type="dxa"/>
              <w:left w:w="0" w:type="dxa"/>
              <w:bottom w:w="0" w:type="dxa"/>
              <w:right w:w="0" w:type="dxa"/>
            </w:tcMar>
          </w:tcPr>
          <w:p w14:paraId="01959E6D" w14:textId="01CD6260" w:rsidR="008B4DF8" w:rsidRPr="00C1603D" w:rsidRDefault="008B4DF8" w:rsidP="00943414">
            <w:pPr>
              <w:pStyle w:val="72TabletextTablesTableFigureBoxstyles"/>
            </w:pPr>
            <w:r w:rsidRPr="00C1603D">
              <w:rPr>
                <w:rFonts w:eastAsia="Arial"/>
              </w:rPr>
              <w:t>1337</w:t>
            </w:r>
          </w:p>
        </w:tc>
        <w:tc>
          <w:tcPr>
            <w:tcW w:w="0" w:type="auto"/>
            <w:shd w:val="clear" w:color="auto" w:fill="FFFFFF"/>
            <w:tcMar>
              <w:top w:w="0" w:type="dxa"/>
              <w:left w:w="0" w:type="dxa"/>
              <w:bottom w:w="0" w:type="dxa"/>
              <w:right w:w="0" w:type="dxa"/>
            </w:tcMar>
          </w:tcPr>
          <w:p w14:paraId="63EB6482"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587BAFCF"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C1482AD" w14:textId="4A286942"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59E5DE98"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2994C73"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2E16D2D0" w14:textId="17B41988" w:rsidR="008B4DF8" w:rsidRPr="00C1603D" w:rsidRDefault="008374B7" w:rsidP="00943414">
            <w:pPr>
              <w:pStyle w:val="72TabletextTablesTableFigureBoxstyles"/>
            </w:pPr>
            <w:r w:rsidRPr="00C1603D">
              <w:rPr>
                <w:rFonts w:eastAsia="Arial"/>
                <w:noProof/>
              </w:rPr>
              <w:t xml:space="preserve">Ravaglia </w:t>
            </w:r>
            <w:r w:rsidR="003B417F" w:rsidRPr="00C1603D">
              <w:rPr>
                <w:rFonts w:eastAsia="Arial"/>
                <w:i/>
                <w:iCs/>
                <w:noProof/>
              </w:rPr>
              <w:t>et al</w:t>
            </w:r>
            <w:r w:rsidR="003B417F" w:rsidRPr="00C1603D">
              <w:rPr>
                <w:rFonts w:eastAsia="Arial"/>
                <w:noProof/>
              </w:rPr>
              <w:t>.</w:t>
            </w:r>
            <w:r w:rsidR="008B4DF8" w:rsidRPr="00C1603D">
              <w:rPr>
                <w:rFonts w:eastAsia="Arial"/>
                <w:noProof/>
                <w:vertAlign w:val="superscript"/>
              </w:rPr>
              <w:t>467</w:t>
            </w:r>
          </w:p>
        </w:tc>
      </w:tr>
      <w:tr w:rsidR="003B417F" w:rsidRPr="00C1603D" w14:paraId="21CC6FE6" w14:textId="77777777" w:rsidTr="00943414">
        <w:trPr>
          <w:cantSplit/>
        </w:trPr>
        <w:tc>
          <w:tcPr>
            <w:tcW w:w="0" w:type="auto"/>
            <w:shd w:val="clear" w:color="auto" w:fill="FFFFFF"/>
            <w:tcMar>
              <w:top w:w="0" w:type="dxa"/>
              <w:left w:w="0" w:type="dxa"/>
              <w:bottom w:w="0" w:type="dxa"/>
              <w:right w:w="0" w:type="dxa"/>
            </w:tcMar>
          </w:tcPr>
          <w:p w14:paraId="3582E57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79AAED82" w14:textId="7A8AE063"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2D669328" w14:textId="77777777" w:rsidR="008B4DF8" w:rsidRPr="00C1603D" w:rsidRDefault="008B4DF8" w:rsidP="00943414">
            <w:pPr>
              <w:pStyle w:val="72TabletextTablesTableFigureBoxstyles"/>
            </w:pPr>
            <w:r w:rsidRPr="00C1603D">
              <w:rPr>
                <w:rFonts w:eastAsia="Arial"/>
              </w:rPr>
              <w:t>Thyroid autoimmunity</w:t>
            </w:r>
          </w:p>
        </w:tc>
        <w:tc>
          <w:tcPr>
            <w:tcW w:w="0" w:type="auto"/>
            <w:shd w:val="clear" w:color="auto" w:fill="FFFFFF"/>
            <w:tcMar>
              <w:top w:w="0" w:type="dxa"/>
              <w:left w:w="0" w:type="dxa"/>
              <w:bottom w:w="0" w:type="dxa"/>
              <w:right w:w="0" w:type="dxa"/>
            </w:tcMar>
          </w:tcPr>
          <w:p w14:paraId="532833FB" w14:textId="77777777" w:rsidR="008B4DF8" w:rsidRPr="00C1603D" w:rsidRDefault="008B4DF8" w:rsidP="00943414">
            <w:pPr>
              <w:pStyle w:val="72TabletextTablesTableFigureBoxstyles"/>
            </w:pPr>
            <w:r w:rsidRPr="00C1603D">
              <w:rPr>
                <w:rFonts w:eastAsia="Arial"/>
              </w:rPr>
              <w:t>814</w:t>
            </w:r>
          </w:p>
        </w:tc>
        <w:tc>
          <w:tcPr>
            <w:tcW w:w="0" w:type="auto"/>
            <w:shd w:val="clear" w:color="auto" w:fill="FFFFFF"/>
            <w:tcMar>
              <w:top w:w="0" w:type="dxa"/>
              <w:left w:w="0" w:type="dxa"/>
              <w:bottom w:w="0" w:type="dxa"/>
              <w:right w:w="0" w:type="dxa"/>
            </w:tcMar>
          </w:tcPr>
          <w:p w14:paraId="485F04D7"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00499216"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17611A3" w14:textId="38BF1D78"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498F642C"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D02B890"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0C6F3838" w14:textId="1E231FB5" w:rsidR="008B4DF8" w:rsidRPr="00C1603D" w:rsidRDefault="003B417F" w:rsidP="00943414">
            <w:pPr>
              <w:pStyle w:val="72TabletextTablesTableFigureBoxstyles"/>
            </w:pPr>
            <w:r w:rsidRPr="00C1603D">
              <w:rPr>
                <w:rFonts w:eastAsia="Arial"/>
                <w:noProof/>
              </w:rPr>
              <w:t xml:space="preserve">Ravaglia </w:t>
            </w:r>
            <w:r w:rsidRPr="00C1603D">
              <w:rPr>
                <w:rFonts w:eastAsia="Arial"/>
                <w:i/>
                <w:iCs/>
                <w:noProof/>
              </w:rPr>
              <w:t>et al</w:t>
            </w:r>
            <w:r w:rsidRPr="00C1603D">
              <w:rPr>
                <w:rFonts w:eastAsia="Arial"/>
                <w:noProof/>
              </w:rPr>
              <w:t>.</w:t>
            </w:r>
            <w:r w:rsidRPr="00C1603D">
              <w:rPr>
                <w:rFonts w:eastAsia="Arial"/>
                <w:noProof/>
                <w:vertAlign w:val="superscript"/>
              </w:rPr>
              <w:t>467</w:t>
            </w:r>
          </w:p>
        </w:tc>
      </w:tr>
      <w:tr w:rsidR="003B417F" w:rsidRPr="00C1603D" w14:paraId="1384543A" w14:textId="77777777" w:rsidTr="00943414">
        <w:trPr>
          <w:cantSplit/>
        </w:trPr>
        <w:tc>
          <w:tcPr>
            <w:tcW w:w="0" w:type="auto"/>
            <w:shd w:val="clear" w:color="auto" w:fill="FFFFFF"/>
            <w:tcMar>
              <w:top w:w="0" w:type="dxa"/>
              <w:left w:w="0" w:type="dxa"/>
              <w:bottom w:w="0" w:type="dxa"/>
              <w:right w:w="0" w:type="dxa"/>
            </w:tcMar>
          </w:tcPr>
          <w:p w14:paraId="3AED7CD5"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3DACCA6" w14:textId="7332EED1"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BE9CAE8" w14:textId="77777777" w:rsidR="008B4DF8" w:rsidRPr="00C1603D" w:rsidRDefault="008B4DF8" w:rsidP="00943414">
            <w:pPr>
              <w:pStyle w:val="72TabletextTablesTableFigureBoxstyles"/>
            </w:pPr>
            <w:r w:rsidRPr="00C1603D">
              <w:rPr>
                <w:rFonts w:eastAsia="Arial"/>
              </w:rPr>
              <w:t>Hashimoto</w:t>
            </w:r>
            <w:r w:rsidRPr="00C1603D">
              <w:rPr>
                <w:rFonts w:eastAsia="Arial"/>
                <w:color w:val="00B0F0"/>
              </w:rPr>
              <w:t>’</w:t>
            </w:r>
            <w:r w:rsidRPr="00C1603D">
              <w:rPr>
                <w:rFonts w:eastAsia="Arial"/>
              </w:rPr>
              <w:t>s thyroiditis</w:t>
            </w:r>
          </w:p>
        </w:tc>
        <w:tc>
          <w:tcPr>
            <w:tcW w:w="0" w:type="auto"/>
            <w:shd w:val="clear" w:color="auto" w:fill="FFFFFF"/>
            <w:tcMar>
              <w:top w:w="0" w:type="dxa"/>
              <w:left w:w="0" w:type="dxa"/>
              <w:bottom w:w="0" w:type="dxa"/>
              <w:right w:w="0" w:type="dxa"/>
            </w:tcMar>
          </w:tcPr>
          <w:p w14:paraId="1319EE84" w14:textId="77777777" w:rsidR="008B4DF8" w:rsidRPr="00C1603D" w:rsidRDefault="008B4DF8" w:rsidP="00943414">
            <w:pPr>
              <w:pStyle w:val="72TabletextTablesTableFigureBoxstyles"/>
            </w:pPr>
            <w:r w:rsidRPr="00C1603D">
              <w:rPr>
                <w:rFonts w:eastAsia="Arial"/>
              </w:rPr>
              <w:t>82</w:t>
            </w:r>
          </w:p>
        </w:tc>
        <w:tc>
          <w:tcPr>
            <w:tcW w:w="0" w:type="auto"/>
            <w:shd w:val="clear" w:color="auto" w:fill="FFFFFF"/>
            <w:tcMar>
              <w:top w:w="0" w:type="dxa"/>
              <w:left w:w="0" w:type="dxa"/>
              <w:bottom w:w="0" w:type="dxa"/>
              <w:right w:w="0" w:type="dxa"/>
            </w:tcMar>
          </w:tcPr>
          <w:p w14:paraId="64DFF553" w14:textId="3F43BE4A" w:rsidR="008B4DF8" w:rsidRPr="00C1603D" w:rsidRDefault="008B4DF8" w:rsidP="00943414">
            <w:pPr>
              <w:pStyle w:val="72TabletextTablesTableFigureBoxstyles"/>
            </w:pPr>
            <w:r w:rsidRPr="00C1603D">
              <w:rPr>
                <w:rFonts w:eastAsia="Arial"/>
              </w:rPr>
              <w:t>100</w:t>
            </w:r>
          </w:p>
        </w:tc>
        <w:tc>
          <w:tcPr>
            <w:tcW w:w="0" w:type="auto"/>
            <w:shd w:val="clear" w:color="auto" w:fill="FFFFFF"/>
            <w:tcMar>
              <w:top w:w="0" w:type="dxa"/>
              <w:left w:w="0" w:type="dxa"/>
              <w:bottom w:w="0" w:type="dxa"/>
              <w:right w:w="0" w:type="dxa"/>
            </w:tcMar>
          </w:tcPr>
          <w:p w14:paraId="7ED353E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C46D48F"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14552D5F"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2BA4A90" w14:textId="77777777" w:rsidR="008B4DF8" w:rsidRPr="00C1603D" w:rsidRDefault="008B4DF8" w:rsidP="00943414">
            <w:pPr>
              <w:pStyle w:val="72TabletextTablesTableFigureBoxstyles"/>
            </w:pPr>
            <w:r w:rsidRPr="00C1603D">
              <w:rPr>
                <w:rFonts w:eastAsia="Arial"/>
              </w:rPr>
              <w:t>Iran</w:t>
            </w:r>
          </w:p>
        </w:tc>
        <w:tc>
          <w:tcPr>
            <w:tcW w:w="0" w:type="auto"/>
            <w:shd w:val="clear" w:color="auto" w:fill="FFFFFF"/>
            <w:tcMar>
              <w:top w:w="0" w:type="dxa"/>
              <w:left w:w="0" w:type="dxa"/>
              <w:bottom w:w="0" w:type="dxa"/>
              <w:right w:w="0" w:type="dxa"/>
            </w:tcMar>
          </w:tcPr>
          <w:p w14:paraId="5FCB40DD" w14:textId="52D3BC95" w:rsidR="008B4DF8" w:rsidRPr="00C1603D" w:rsidRDefault="003B417F" w:rsidP="00943414">
            <w:pPr>
              <w:pStyle w:val="72TabletextTablesTableFigureBoxstyles"/>
            </w:pPr>
            <w:r w:rsidRPr="00C1603D">
              <w:rPr>
                <w:rFonts w:eastAsia="Arial"/>
                <w:noProof/>
              </w:rPr>
              <w:t xml:space="preserve">Riseh </w:t>
            </w:r>
            <w:r w:rsidRPr="00C1603D">
              <w:rPr>
                <w:rFonts w:eastAsia="Arial"/>
                <w:i/>
                <w:iCs/>
                <w:noProof/>
              </w:rPr>
              <w:t>et al</w:t>
            </w:r>
            <w:r w:rsidRPr="00C1603D">
              <w:rPr>
                <w:rFonts w:eastAsia="Arial"/>
                <w:noProof/>
              </w:rPr>
              <w:t>.</w:t>
            </w:r>
            <w:r w:rsidR="008B4DF8" w:rsidRPr="00C1603D">
              <w:rPr>
                <w:rFonts w:eastAsia="Arial"/>
                <w:noProof/>
                <w:vertAlign w:val="superscript"/>
              </w:rPr>
              <w:t>468</w:t>
            </w:r>
          </w:p>
        </w:tc>
      </w:tr>
      <w:tr w:rsidR="003B417F" w:rsidRPr="00C1603D" w14:paraId="305B7E28" w14:textId="77777777" w:rsidTr="00943414">
        <w:trPr>
          <w:cantSplit/>
        </w:trPr>
        <w:tc>
          <w:tcPr>
            <w:tcW w:w="0" w:type="auto"/>
            <w:shd w:val="clear" w:color="auto" w:fill="FFFFFF"/>
            <w:tcMar>
              <w:top w:w="0" w:type="dxa"/>
              <w:left w:w="0" w:type="dxa"/>
              <w:bottom w:w="0" w:type="dxa"/>
              <w:right w:w="0" w:type="dxa"/>
            </w:tcMar>
          </w:tcPr>
          <w:p w14:paraId="569FE4CC"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F195AFF" w14:textId="2941B765"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AC4D044" w14:textId="77777777" w:rsidR="008B4DF8" w:rsidRPr="00C1603D" w:rsidRDefault="008B4DF8" w:rsidP="00943414">
            <w:pPr>
              <w:pStyle w:val="72TabletextTablesTableFigureBoxstyles"/>
            </w:pPr>
            <w:r w:rsidRPr="00C1603D">
              <w:rPr>
                <w:rFonts w:eastAsia="Arial"/>
              </w:rPr>
              <w:t>Graves</w:t>
            </w:r>
            <w:r w:rsidRPr="00C1603D">
              <w:rPr>
                <w:rFonts w:eastAsia="Arial"/>
                <w:color w:val="00B0F0"/>
              </w:rPr>
              <w:t>’</w:t>
            </w:r>
            <w:r w:rsidRPr="00C1603D">
              <w:rPr>
                <w:rFonts w:eastAsia="Arial"/>
              </w:rPr>
              <w:t xml:space="preserve"> disease</w:t>
            </w:r>
          </w:p>
        </w:tc>
        <w:tc>
          <w:tcPr>
            <w:tcW w:w="0" w:type="auto"/>
            <w:shd w:val="clear" w:color="auto" w:fill="FFFFFF"/>
            <w:tcMar>
              <w:top w:w="0" w:type="dxa"/>
              <w:left w:w="0" w:type="dxa"/>
              <w:bottom w:w="0" w:type="dxa"/>
              <w:right w:w="0" w:type="dxa"/>
            </w:tcMar>
          </w:tcPr>
          <w:p w14:paraId="0B767C33" w14:textId="77777777" w:rsidR="008B4DF8" w:rsidRPr="00C1603D" w:rsidRDefault="008B4DF8" w:rsidP="00943414">
            <w:pPr>
              <w:pStyle w:val="72TabletextTablesTableFigureBoxstyles"/>
            </w:pPr>
            <w:r w:rsidRPr="00C1603D">
              <w:rPr>
                <w:rFonts w:eastAsia="Arial"/>
              </w:rPr>
              <w:t>354</w:t>
            </w:r>
          </w:p>
        </w:tc>
        <w:tc>
          <w:tcPr>
            <w:tcW w:w="0" w:type="auto"/>
            <w:shd w:val="clear" w:color="auto" w:fill="FFFFFF"/>
            <w:tcMar>
              <w:top w:w="0" w:type="dxa"/>
              <w:left w:w="0" w:type="dxa"/>
              <w:bottom w:w="0" w:type="dxa"/>
              <w:right w:w="0" w:type="dxa"/>
            </w:tcMar>
          </w:tcPr>
          <w:p w14:paraId="5B876C8B" w14:textId="24E7E651"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755BFD4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510F631" w14:textId="51B641E2"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56C1AECF"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F5C2273" w14:textId="77777777" w:rsidR="008B4DF8" w:rsidRPr="00C1603D" w:rsidRDefault="008B4DF8" w:rsidP="00943414">
            <w:pPr>
              <w:pStyle w:val="72TabletextTablesTableFigureBoxstyles"/>
            </w:pPr>
            <w:r w:rsidRPr="00C1603D">
              <w:rPr>
                <w:rFonts w:eastAsia="Arial"/>
              </w:rPr>
              <w:t>Poland</w:t>
            </w:r>
          </w:p>
        </w:tc>
        <w:tc>
          <w:tcPr>
            <w:tcW w:w="0" w:type="auto"/>
            <w:shd w:val="clear" w:color="auto" w:fill="FFFFFF"/>
            <w:tcMar>
              <w:top w:w="0" w:type="dxa"/>
              <w:left w:w="0" w:type="dxa"/>
              <w:bottom w:w="0" w:type="dxa"/>
              <w:right w:w="0" w:type="dxa"/>
            </w:tcMar>
          </w:tcPr>
          <w:p w14:paraId="6CA27B27" w14:textId="616BA9B8" w:rsidR="008B4DF8" w:rsidRPr="00C1603D" w:rsidRDefault="003B417F" w:rsidP="00943414">
            <w:pPr>
              <w:pStyle w:val="72TabletextTablesTableFigureBoxstyles"/>
            </w:pPr>
            <w:r w:rsidRPr="00C1603D">
              <w:rPr>
                <w:rFonts w:eastAsia="Arial"/>
                <w:noProof/>
              </w:rPr>
              <w:t xml:space="preserve">Miskiewicz </w:t>
            </w:r>
            <w:r w:rsidRPr="00C1603D">
              <w:rPr>
                <w:rFonts w:eastAsia="Arial"/>
                <w:i/>
                <w:iCs/>
                <w:noProof/>
              </w:rPr>
              <w:t>et al</w:t>
            </w:r>
            <w:r w:rsidRPr="00C1603D">
              <w:rPr>
                <w:rFonts w:eastAsia="Arial"/>
                <w:noProof/>
              </w:rPr>
              <w:t>.</w:t>
            </w:r>
            <w:r w:rsidR="008B4DF8" w:rsidRPr="00C1603D">
              <w:rPr>
                <w:rFonts w:eastAsia="Arial"/>
                <w:noProof/>
                <w:vertAlign w:val="superscript"/>
              </w:rPr>
              <w:t>469</w:t>
            </w:r>
          </w:p>
        </w:tc>
      </w:tr>
      <w:tr w:rsidR="003B417F" w:rsidRPr="00C1603D" w14:paraId="6AE78EED" w14:textId="77777777" w:rsidTr="00943414">
        <w:trPr>
          <w:cantSplit/>
        </w:trPr>
        <w:tc>
          <w:tcPr>
            <w:tcW w:w="0" w:type="auto"/>
            <w:shd w:val="clear" w:color="auto" w:fill="FFFFFF"/>
            <w:tcMar>
              <w:top w:w="0" w:type="dxa"/>
              <w:left w:w="0" w:type="dxa"/>
              <w:bottom w:w="0" w:type="dxa"/>
              <w:right w:w="0" w:type="dxa"/>
            </w:tcMar>
          </w:tcPr>
          <w:p w14:paraId="41038917"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3FAF18EA" w14:textId="0AD52BB3"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B5B8F84" w14:textId="77777777" w:rsidR="008B4DF8" w:rsidRPr="00C1603D" w:rsidRDefault="008B4DF8" w:rsidP="00943414">
            <w:pPr>
              <w:pStyle w:val="72TabletextTablesTableFigureBoxstyles"/>
            </w:pPr>
            <w:r w:rsidRPr="00C1603D">
              <w:rPr>
                <w:rFonts w:eastAsia="Arial"/>
              </w:rPr>
              <w:t>Hashimoto</w:t>
            </w:r>
            <w:r w:rsidRPr="00C1603D">
              <w:rPr>
                <w:rFonts w:eastAsia="Arial"/>
                <w:color w:val="00B0F0"/>
              </w:rPr>
              <w:t>’</w:t>
            </w:r>
            <w:r w:rsidRPr="00C1603D">
              <w:rPr>
                <w:rFonts w:eastAsia="Arial"/>
              </w:rPr>
              <w:t>s thyroiditis or Graves</w:t>
            </w:r>
            <w:r w:rsidRPr="00C1603D">
              <w:rPr>
                <w:rFonts w:eastAsia="Arial"/>
                <w:color w:val="00B0F0"/>
              </w:rPr>
              <w:t>’</w:t>
            </w:r>
            <w:r w:rsidRPr="00C1603D">
              <w:rPr>
                <w:rFonts w:eastAsia="Arial"/>
              </w:rPr>
              <w:t xml:space="preserve"> disease</w:t>
            </w:r>
          </w:p>
        </w:tc>
        <w:tc>
          <w:tcPr>
            <w:tcW w:w="0" w:type="auto"/>
            <w:shd w:val="clear" w:color="auto" w:fill="FFFFFF"/>
            <w:tcMar>
              <w:top w:w="0" w:type="dxa"/>
              <w:left w:w="0" w:type="dxa"/>
              <w:bottom w:w="0" w:type="dxa"/>
              <w:right w:w="0" w:type="dxa"/>
            </w:tcMar>
          </w:tcPr>
          <w:p w14:paraId="429D91DF" w14:textId="28FCB58B" w:rsidR="008B4DF8" w:rsidRPr="00C1603D" w:rsidRDefault="008B4DF8" w:rsidP="00943414">
            <w:pPr>
              <w:pStyle w:val="72TabletextTablesTableFigureBoxstyles"/>
            </w:pPr>
            <w:r w:rsidRPr="00C1603D">
              <w:rPr>
                <w:rFonts w:eastAsia="Arial"/>
              </w:rPr>
              <w:t>4172</w:t>
            </w:r>
          </w:p>
        </w:tc>
        <w:tc>
          <w:tcPr>
            <w:tcW w:w="0" w:type="auto"/>
            <w:shd w:val="clear" w:color="auto" w:fill="FFFFFF"/>
            <w:tcMar>
              <w:top w:w="0" w:type="dxa"/>
              <w:left w:w="0" w:type="dxa"/>
              <w:bottom w:w="0" w:type="dxa"/>
              <w:right w:w="0" w:type="dxa"/>
            </w:tcMar>
          </w:tcPr>
          <w:p w14:paraId="31F1E676" w14:textId="6F7B7C34"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28231D87"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63083A8" w14:textId="2285AF67"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E37A60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7E99796"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07693A20" w14:textId="42C0C0D2" w:rsidR="008B4DF8" w:rsidRPr="00C1603D" w:rsidRDefault="003B417F" w:rsidP="00943414">
            <w:pPr>
              <w:pStyle w:val="72TabletextTablesTableFigureBoxstyles"/>
            </w:pPr>
            <w:r w:rsidRPr="00C1603D">
              <w:rPr>
                <w:rFonts w:eastAsia="Arial"/>
                <w:noProof/>
              </w:rPr>
              <w:t xml:space="preserve">Berti </w:t>
            </w:r>
            <w:r w:rsidRPr="00C1603D">
              <w:rPr>
                <w:rFonts w:eastAsia="Arial"/>
                <w:i/>
                <w:iCs/>
                <w:noProof/>
              </w:rPr>
              <w:t>et al</w:t>
            </w:r>
            <w:r w:rsidRPr="00C1603D">
              <w:rPr>
                <w:rFonts w:eastAsia="Arial"/>
                <w:noProof/>
              </w:rPr>
              <w:t>.</w:t>
            </w:r>
            <w:r w:rsidR="008B4DF8" w:rsidRPr="00C1603D">
              <w:rPr>
                <w:rFonts w:eastAsia="Arial"/>
                <w:noProof/>
                <w:vertAlign w:val="superscript"/>
              </w:rPr>
              <w:t>470</w:t>
            </w:r>
          </w:p>
        </w:tc>
      </w:tr>
      <w:tr w:rsidR="003B417F" w:rsidRPr="00C1603D" w14:paraId="25AB3002" w14:textId="77777777" w:rsidTr="00943414">
        <w:trPr>
          <w:cantSplit/>
        </w:trPr>
        <w:tc>
          <w:tcPr>
            <w:tcW w:w="0" w:type="auto"/>
            <w:shd w:val="clear" w:color="auto" w:fill="FFFFFF"/>
            <w:tcMar>
              <w:top w:w="0" w:type="dxa"/>
              <w:left w:w="0" w:type="dxa"/>
              <w:bottom w:w="0" w:type="dxa"/>
              <w:right w:w="0" w:type="dxa"/>
            </w:tcMar>
          </w:tcPr>
          <w:p w14:paraId="506307DE"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0231AD8A" w14:textId="4B1F12D3"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46DB2B19" w14:textId="77777777" w:rsidR="008B4DF8" w:rsidRPr="00C1603D" w:rsidRDefault="008B4DF8" w:rsidP="00943414">
            <w:pPr>
              <w:pStyle w:val="72TabletextTablesTableFigureBoxstyles"/>
            </w:pPr>
            <w:r w:rsidRPr="00C1603D">
              <w:rPr>
                <w:rFonts w:eastAsia="Arial"/>
              </w:rPr>
              <w:t>Graves</w:t>
            </w:r>
            <w:r w:rsidRPr="00C1603D">
              <w:rPr>
                <w:rFonts w:eastAsia="Arial"/>
                <w:color w:val="00B0F0"/>
              </w:rPr>
              <w:t>’</w:t>
            </w:r>
            <w:r w:rsidRPr="00C1603D">
              <w:rPr>
                <w:rFonts w:eastAsia="Arial"/>
              </w:rPr>
              <w:t xml:space="preserve"> disease</w:t>
            </w:r>
          </w:p>
        </w:tc>
        <w:tc>
          <w:tcPr>
            <w:tcW w:w="0" w:type="auto"/>
            <w:shd w:val="clear" w:color="auto" w:fill="FFFFFF"/>
            <w:tcMar>
              <w:top w:w="0" w:type="dxa"/>
              <w:left w:w="0" w:type="dxa"/>
              <w:bottom w:w="0" w:type="dxa"/>
              <w:right w:w="0" w:type="dxa"/>
            </w:tcMar>
          </w:tcPr>
          <w:p w14:paraId="61113F1D" w14:textId="77777777" w:rsidR="008B4DF8" w:rsidRPr="00C1603D" w:rsidRDefault="008B4DF8" w:rsidP="00943414">
            <w:pPr>
              <w:pStyle w:val="72TabletextTablesTableFigureBoxstyles"/>
            </w:pPr>
            <w:r w:rsidRPr="00C1603D">
              <w:rPr>
                <w:rFonts w:eastAsia="Arial"/>
              </w:rPr>
              <w:t>124</w:t>
            </w:r>
          </w:p>
        </w:tc>
        <w:tc>
          <w:tcPr>
            <w:tcW w:w="0" w:type="auto"/>
            <w:shd w:val="clear" w:color="auto" w:fill="FFFFFF"/>
            <w:tcMar>
              <w:top w:w="0" w:type="dxa"/>
              <w:left w:w="0" w:type="dxa"/>
              <w:bottom w:w="0" w:type="dxa"/>
              <w:right w:w="0" w:type="dxa"/>
            </w:tcMar>
          </w:tcPr>
          <w:p w14:paraId="6DAF34FE"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7590DEF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51C6C31C" w14:textId="77777777" w:rsidR="008B4DF8" w:rsidRPr="00C1603D" w:rsidRDefault="008B4DF8" w:rsidP="00943414">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5137DC1E"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70447A8" w14:textId="77777777" w:rsidR="008B4DF8" w:rsidRPr="00C1603D" w:rsidRDefault="008B4DF8" w:rsidP="00943414">
            <w:pPr>
              <w:pStyle w:val="72TabletextTablesTableFigureBoxstyles"/>
            </w:pPr>
            <w:r w:rsidRPr="00C1603D">
              <w:rPr>
                <w:rFonts w:eastAsia="Arial"/>
              </w:rPr>
              <w:t>Ireland</w:t>
            </w:r>
          </w:p>
        </w:tc>
        <w:tc>
          <w:tcPr>
            <w:tcW w:w="0" w:type="auto"/>
            <w:shd w:val="clear" w:color="auto" w:fill="FFFFFF"/>
            <w:tcMar>
              <w:top w:w="0" w:type="dxa"/>
              <w:left w:w="0" w:type="dxa"/>
              <w:bottom w:w="0" w:type="dxa"/>
              <w:right w:w="0" w:type="dxa"/>
            </w:tcMar>
          </w:tcPr>
          <w:p w14:paraId="2A3DF34A" w14:textId="45D46790" w:rsidR="008B4DF8" w:rsidRPr="00C1603D" w:rsidRDefault="003B417F" w:rsidP="00943414">
            <w:pPr>
              <w:pStyle w:val="72TabletextTablesTableFigureBoxstyles"/>
            </w:pPr>
            <w:r w:rsidRPr="00C1603D">
              <w:rPr>
                <w:rFonts w:eastAsia="Arial"/>
                <w:noProof/>
              </w:rPr>
              <w:t xml:space="preserve">Feighery </w:t>
            </w:r>
            <w:r w:rsidRPr="00C1603D">
              <w:rPr>
                <w:rFonts w:eastAsia="Arial"/>
                <w:i/>
                <w:iCs/>
                <w:noProof/>
              </w:rPr>
              <w:t>et al</w:t>
            </w:r>
            <w:r w:rsidRPr="00C1603D">
              <w:rPr>
                <w:rFonts w:eastAsia="Arial"/>
                <w:noProof/>
              </w:rPr>
              <w:t>.</w:t>
            </w:r>
            <w:r w:rsidR="008B4DF8" w:rsidRPr="00C1603D">
              <w:rPr>
                <w:rFonts w:eastAsia="Arial"/>
                <w:noProof/>
                <w:vertAlign w:val="superscript"/>
              </w:rPr>
              <w:t>328</w:t>
            </w:r>
          </w:p>
        </w:tc>
      </w:tr>
      <w:tr w:rsidR="003B417F" w:rsidRPr="00C1603D" w14:paraId="0A5D946A" w14:textId="77777777" w:rsidTr="00943414">
        <w:trPr>
          <w:cantSplit/>
        </w:trPr>
        <w:tc>
          <w:tcPr>
            <w:tcW w:w="0" w:type="auto"/>
            <w:shd w:val="clear" w:color="auto" w:fill="FFFFFF"/>
            <w:tcMar>
              <w:top w:w="0" w:type="dxa"/>
              <w:left w:w="0" w:type="dxa"/>
              <w:bottom w:w="0" w:type="dxa"/>
              <w:right w:w="0" w:type="dxa"/>
            </w:tcMar>
          </w:tcPr>
          <w:p w14:paraId="335D7333"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3194764" w14:textId="6BC9A455"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BD49555" w14:textId="77777777" w:rsidR="008B4DF8" w:rsidRPr="00C1603D" w:rsidRDefault="008B4DF8" w:rsidP="00943414">
            <w:pPr>
              <w:pStyle w:val="72TabletextTablesTableFigureBoxstyles"/>
            </w:pPr>
            <w:r w:rsidRPr="00C1603D">
              <w:rPr>
                <w:rFonts w:eastAsia="Arial"/>
              </w:rPr>
              <w:t>Graves</w:t>
            </w:r>
            <w:r w:rsidRPr="00C1603D">
              <w:rPr>
                <w:rFonts w:eastAsia="Arial"/>
                <w:color w:val="00B0F0"/>
              </w:rPr>
              <w:t>’</w:t>
            </w:r>
            <w:r w:rsidRPr="00C1603D">
              <w:rPr>
                <w:rFonts w:eastAsia="Arial"/>
              </w:rPr>
              <w:t xml:space="preserve"> disease</w:t>
            </w:r>
          </w:p>
        </w:tc>
        <w:tc>
          <w:tcPr>
            <w:tcW w:w="0" w:type="auto"/>
            <w:shd w:val="clear" w:color="auto" w:fill="FFFFFF"/>
            <w:tcMar>
              <w:top w:w="0" w:type="dxa"/>
              <w:left w:w="0" w:type="dxa"/>
              <w:bottom w:w="0" w:type="dxa"/>
              <w:right w:w="0" w:type="dxa"/>
            </w:tcMar>
          </w:tcPr>
          <w:p w14:paraId="457194BA" w14:textId="77777777" w:rsidR="008B4DF8" w:rsidRPr="00C1603D" w:rsidRDefault="008B4DF8" w:rsidP="00943414">
            <w:pPr>
              <w:pStyle w:val="72TabletextTablesTableFigureBoxstyles"/>
            </w:pPr>
            <w:r w:rsidRPr="00C1603D">
              <w:rPr>
                <w:rFonts w:eastAsia="Arial"/>
              </w:rPr>
              <w:t>226</w:t>
            </w:r>
          </w:p>
        </w:tc>
        <w:tc>
          <w:tcPr>
            <w:tcW w:w="0" w:type="auto"/>
            <w:shd w:val="clear" w:color="auto" w:fill="FFFFFF"/>
            <w:tcMar>
              <w:top w:w="0" w:type="dxa"/>
              <w:left w:w="0" w:type="dxa"/>
              <w:bottom w:w="0" w:type="dxa"/>
              <w:right w:w="0" w:type="dxa"/>
            </w:tcMar>
          </w:tcPr>
          <w:p w14:paraId="31637BE9" w14:textId="6F58BB5E"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50957967"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15F4381" w14:textId="5CE6BA6A"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EAD729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2F121D0B"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64F0F115" w14:textId="2665A47D" w:rsidR="008B4DF8" w:rsidRPr="00C1603D" w:rsidRDefault="003B417F" w:rsidP="00943414">
            <w:pPr>
              <w:pStyle w:val="72TabletextTablesTableFigureBoxstyles"/>
            </w:pPr>
            <w:r w:rsidRPr="00C1603D">
              <w:rPr>
                <w:rFonts w:eastAsia="Arial"/>
                <w:noProof/>
              </w:rPr>
              <w:t xml:space="preserve">Ch’ng </w:t>
            </w:r>
            <w:r w:rsidRPr="00C1603D">
              <w:rPr>
                <w:rFonts w:eastAsia="Arial"/>
                <w:i/>
                <w:iCs/>
                <w:noProof/>
              </w:rPr>
              <w:t>et al</w:t>
            </w:r>
            <w:r w:rsidRPr="00C1603D">
              <w:rPr>
                <w:rFonts w:eastAsia="Arial"/>
                <w:noProof/>
              </w:rPr>
              <w:t>.</w:t>
            </w:r>
            <w:r w:rsidR="008B4DF8" w:rsidRPr="00C1603D">
              <w:rPr>
                <w:rFonts w:eastAsia="Arial"/>
                <w:noProof/>
                <w:vertAlign w:val="superscript"/>
              </w:rPr>
              <w:t>471</w:t>
            </w:r>
          </w:p>
        </w:tc>
      </w:tr>
      <w:tr w:rsidR="003B417F" w:rsidRPr="00C1603D" w14:paraId="06D3B454" w14:textId="77777777" w:rsidTr="00943414">
        <w:trPr>
          <w:cantSplit/>
        </w:trPr>
        <w:tc>
          <w:tcPr>
            <w:tcW w:w="0" w:type="auto"/>
            <w:shd w:val="clear" w:color="auto" w:fill="FFFFFF"/>
            <w:tcMar>
              <w:top w:w="0" w:type="dxa"/>
              <w:left w:w="0" w:type="dxa"/>
              <w:bottom w:w="0" w:type="dxa"/>
              <w:right w:w="0" w:type="dxa"/>
            </w:tcMar>
          </w:tcPr>
          <w:p w14:paraId="43135B8F"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58AC4780" w14:textId="20E05B40"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43FEF6F" w14:textId="77777777" w:rsidR="008B4DF8" w:rsidRPr="00C1603D" w:rsidRDefault="008B4DF8" w:rsidP="00943414">
            <w:pPr>
              <w:pStyle w:val="72TabletextTablesTableFigureBoxstyles"/>
            </w:pPr>
            <w:r w:rsidRPr="00C1603D">
              <w:rPr>
                <w:rFonts w:eastAsia="Arial"/>
              </w:rPr>
              <w:t>Thyroid autoimmunity</w:t>
            </w:r>
          </w:p>
        </w:tc>
        <w:tc>
          <w:tcPr>
            <w:tcW w:w="0" w:type="auto"/>
            <w:shd w:val="clear" w:color="auto" w:fill="FFFFFF"/>
            <w:tcMar>
              <w:top w:w="0" w:type="dxa"/>
              <w:left w:w="0" w:type="dxa"/>
              <w:bottom w:w="0" w:type="dxa"/>
              <w:right w:w="0" w:type="dxa"/>
            </w:tcMar>
          </w:tcPr>
          <w:p w14:paraId="03D171C9" w14:textId="77777777" w:rsidR="008B4DF8" w:rsidRPr="00C1603D" w:rsidRDefault="008B4DF8" w:rsidP="00943414">
            <w:pPr>
              <w:pStyle w:val="72TabletextTablesTableFigureBoxstyles"/>
            </w:pPr>
            <w:r w:rsidRPr="00C1603D">
              <w:rPr>
                <w:rFonts w:eastAsia="Arial"/>
              </w:rPr>
              <w:t>255</w:t>
            </w:r>
          </w:p>
        </w:tc>
        <w:tc>
          <w:tcPr>
            <w:tcW w:w="0" w:type="auto"/>
            <w:shd w:val="clear" w:color="auto" w:fill="FFFFFF"/>
            <w:tcMar>
              <w:top w:w="0" w:type="dxa"/>
              <w:left w:w="0" w:type="dxa"/>
              <w:bottom w:w="0" w:type="dxa"/>
              <w:right w:w="0" w:type="dxa"/>
            </w:tcMar>
          </w:tcPr>
          <w:p w14:paraId="1506D42F" w14:textId="3A18F551"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4206D056"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1A73551A" w14:textId="00F2F47A"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5594827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3D5DD5AA"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53DAAAB5" w14:textId="0A0C6593" w:rsidR="008B4DF8" w:rsidRPr="00C1603D" w:rsidRDefault="003B417F" w:rsidP="00943414">
            <w:pPr>
              <w:pStyle w:val="72TabletextTablesTableFigureBoxstyles"/>
            </w:pPr>
            <w:r w:rsidRPr="00C1603D">
              <w:rPr>
                <w:rFonts w:eastAsia="Arial"/>
                <w:noProof/>
              </w:rPr>
              <w:t xml:space="preserve">Guliter </w:t>
            </w:r>
            <w:r w:rsidRPr="00C1603D">
              <w:rPr>
                <w:rFonts w:eastAsia="Arial"/>
                <w:i/>
                <w:iCs/>
                <w:noProof/>
              </w:rPr>
              <w:t>et al</w:t>
            </w:r>
            <w:r w:rsidRPr="00C1603D">
              <w:rPr>
                <w:rFonts w:eastAsia="Arial"/>
                <w:noProof/>
              </w:rPr>
              <w:t>.</w:t>
            </w:r>
            <w:r w:rsidR="008B4DF8" w:rsidRPr="00C1603D">
              <w:rPr>
                <w:rFonts w:eastAsia="Arial"/>
                <w:noProof/>
                <w:vertAlign w:val="superscript"/>
              </w:rPr>
              <w:t>472</w:t>
            </w:r>
          </w:p>
        </w:tc>
      </w:tr>
      <w:tr w:rsidR="003B417F" w:rsidRPr="00C1603D" w14:paraId="4AD007F0" w14:textId="77777777" w:rsidTr="00943414">
        <w:trPr>
          <w:cantSplit/>
        </w:trPr>
        <w:tc>
          <w:tcPr>
            <w:tcW w:w="0" w:type="auto"/>
            <w:shd w:val="clear" w:color="auto" w:fill="FFFFFF"/>
            <w:tcMar>
              <w:top w:w="0" w:type="dxa"/>
              <w:left w:w="0" w:type="dxa"/>
              <w:bottom w:w="0" w:type="dxa"/>
              <w:right w:w="0" w:type="dxa"/>
            </w:tcMar>
          </w:tcPr>
          <w:p w14:paraId="02B9B470"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294BEFD3" w14:textId="1E53EF8A"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13C41E7" w14:textId="77777777" w:rsidR="008B4DF8" w:rsidRPr="00C1603D" w:rsidRDefault="008B4DF8" w:rsidP="00943414">
            <w:pPr>
              <w:pStyle w:val="72TabletextTablesTableFigureBoxstyles"/>
            </w:pPr>
            <w:r w:rsidRPr="00C1603D">
              <w:rPr>
                <w:rFonts w:eastAsia="Arial"/>
              </w:rPr>
              <w:t>Hashimoto</w:t>
            </w:r>
            <w:r w:rsidRPr="00C1603D">
              <w:rPr>
                <w:rFonts w:eastAsia="Arial"/>
                <w:color w:val="00B0F0"/>
              </w:rPr>
              <w:t>’</w:t>
            </w:r>
            <w:r w:rsidRPr="00C1603D">
              <w:rPr>
                <w:rFonts w:eastAsia="Arial"/>
              </w:rPr>
              <w:t>s thyroiditis</w:t>
            </w:r>
          </w:p>
        </w:tc>
        <w:tc>
          <w:tcPr>
            <w:tcW w:w="0" w:type="auto"/>
            <w:shd w:val="clear" w:color="auto" w:fill="FFFFFF"/>
            <w:tcMar>
              <w:top w:w="0" w:type="dxa"/>
              <w:left w:w="0" w:type="dxa"/>
              <w:bottom w:w="0" w:type="dxa"/>
              <w:right w:w="0" w:type="dxa"/>
            </w:tcMar>
          </w:tcPr>
          <w:p w14:paraId="5FB91A00" w14:textId="77777777" w:rsidR="008B4DF8" w:rsidRPr="00C1603D" w:rsidRDefault="008B4DF8" w:rsidP="00943414">
            <w:pPr>
              <w:pStyle w:val="72TabletextTablesTableFigureBoxstyles"/>
            </w:pPr>
            <w:r w:rsidRPr="00C1603D">
              <w:rPr>
                <w:rFonts w:eastAsia="Arial"/>
              </w:rPr>
              <w:t>470</w:t>
            </w:r>
          </w:p>
        </w:tc>
        <w:tc>
          <w:tcPr>
            <w:tcW w:w="0" w:type="auto"/>
            <w:shd w:val="clear" w:color="auto" w:fill="FFFFFF"/>
            <w:tcMar>
              <w:top w:w="0" w:type="dxa"/>
              <w:left w:w="0" w:type="dxa"/>
              <w:bottom w:w="0" w:type="dxa"/>
              <w:right w:w="0" w:type="dxa"/>
            </w:tcMar>
          </w:tcPr>
          <w:p w14:paraId="5B275F18"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1078078B"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7C62195" w14:textId="38C4D913"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370332E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10C4F00F" w14:textId="77777777" w:rsidR="008B4DF8" w:rsidRPr="00C1603D" w:rsidRDefault="008B4DF8" w:rsidP="00943414">
            <w:pPr>
              <w:pStyle w:val="72TabletextTablesTableFigureBoxstyles"/>
            </w:pPr>
            <w:r w:rsidRPr="00C1603D">
              <w:rPr>
                <w:rFonts w:eastAsia="Arial"/>
              </w:rPr>
              <w:t>Italy</w:t>
            </w:r>
          </w:p>
        </w:tc>
        <w:tc>
          <w:tcPr>
            <w:tcW w:w="0" w:type="auto"/>
            <w:shd w:val="clear" w:color="auto" w:fill="FFFFFF"/>
            <w:tcMar>
              <w:top w:w="0" w:type="dxa"/>
              <w:left w:w="0" w:type="dxa"/>
              <w:bottom w:w="0" w:type="dxa"/>
              <w:right w:w="0" w:type="dxa"/>
            </w:tcMar>
          </w:tcPr>
          <w:p w14:paraId="6E3A3A00" w14:textId="114E939E" w:rsidR="008B4DF8" w:rsidRPr="00C1603D" w:rsidRDefault="003B417F" w:rsidP="00943414">
            <w:pPr>
              <w:pStyle w:val="72TabletextTablesTableFigureBoxstyles"/>
            </w:pPr>
            <w:r w:rsidRPr="00C1603D">
              <w:rPr>
                <w:rFonts w:eastAsia="Arial"/>
                <w:noProof/>
              </w:rPr>
              <w:t xml:space="preserve">Volta </w:t>
            </w:r>
            <w:r w:rsidRPr="00C1603D">
              <w:rPr>
                <w:rFonts w:eastAsia="Arial"/>
                <w:i/>
                <w:iCs/>
                <w:noProof/>
              </w:rPr>
              <w:t>et al</w:t>
            </w:r>
            <w:r w:rsidRPr="00C1603D">
              <w:rPr>
                <w:rFonts w:eastAsia="Arial"/>
                <w:noProof/>
              </w:rPr>
              <w:t>.</w:t>
            </w:r>
            <w:r w:rsidR="008B4DF8" w:rsidRPr="00C1603D">
              <w:rPr>
                <w:rFonts w:eastAsia="Arial"/>
                <w:noProof/>
                <w:vertAlign w:val="superscript"/>
              </w:rPr>
              <w:t>473</w:t>
            </w:r>
          </w:p>
        </w:tc>
      </w:tr>
      <w:tr w:rsidR="003B417F" w:rsidRPr="00C1603D" w14:paraId="3BBFFE6A" w14:textId="77777777" w:rsidTr="00943414">
        <w:trPr>
          <w:cantSplit/>
        </w:trPr>
        <w:tc>
          <w:tcPr>
            <w:tcW w:w="0" w:type="auto"/>
            <w:shd w:val="clear" w:color="auto" w:fill="FFFFFF"/>
            <w:tcMar>
              <w:top w:w="0" w:type="dxa"/>
              <w:left w:w="0" w:type="dxa"/>
              <w:bottom w:w="0" w:type="dxa"/>
              <w:right w:w="0" w:type="dxa"/>
            </w:tcMar>
          </w:tcPr>
          <w:p w14:paraId="29CD586F"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5C6506C" w14:textId="062BD202"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64081E9E" w14:textId="77777777" w:rsidR="008B4DF8" w:rsidRPr="00C1603D" w:rsidRDefault="008B4DF8" w:rsidP="00943414">
            <w:pPr>
              <w:pStyle w:val="72TabletextTablesTableFigureBoxstyles"/>
            </w:pPr>
            <w:r w:rsidRPr="00C1603D">
              <w:rPr>
                <w:rFonts w:eastAsia="Arial"/>
              </w:rPr>
              <w:t>Autoimmune and non-autoimmune thyroid disease</w:t>
            </w:r>
          </w:p>
        </w:tc>
        <w:tc>
          <w:tcPr>
            <w:tcW w:w="0" w:type="auto"/>
            <w:shd w:val="clear" w:color="auto" w:fill="FFFFFF"/>
            <w:tcMar>
              <w:top w:w="0" w:type="dxa"/>
              <w:left w:w="0" w:type="dxa"/>
              <w:bottom w:w="0" w:type="dxa"/>
              <w:right w:w="0" w:type="dxa"/>
            </w:tcMar>
          </w:tcPr>
          <w:p w14:paraId="268B7602" w14:textId="77777777" w:rsidR="008B4DF8" w:rsidRPr="00C1603D" w:rsidRDefault="008B4DF8" w:rsidP="00943414">
            <w:pPr>
              <w:pStyle w:val="72TabletextTablesTableFigureBoxstyles"/>
            </w:pPr>
            <w:r w:rsidRPr="00C1603D">
              <w:rPr>
                <w:rFonts w:eastAsia="Arial"/>
              </w:rPr>
              <w:t>318</w:t>
            </w:r>
          </w:p>
        </w:tc>
        <w:tc>
          <w:tcPr>
            <w:tcW w:w="0" w:type="auto"/>
            <w:shd w:val="clear" w:color="auto" w:fill="FFFFFF"/>
            <w:tcMar>
              <w:top w:w="0" w:type="dxa"/>
              <w:left w:w="0" w:type="dxa"/>
              <w:bottom w:w="0" w:type="dxa"/>
              <w:right w:w="0" w:type="dxa"/>
            </w:tcMar>
          </w:tcPr>
          <w:p w14:paraId="4F3ADFB3" w14:textId="6A87FB1E"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0A4BFFA"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B65AD83"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36BE76AC"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43DB7688" w14:textId="77777777" w:rsidR="008B4DF8" w:rsidRPr="00C1603D" w:rsidRDefault="008B4DF8" w:rsidP="00943414">
            <w:pPr>
              <w:pStyle w:val="72TabletextTablesTableFigureBoxstyles"/>
            </w:pPr>
            <w:r w:rsidRPr="00C1603D">
              <w:rPr>
                <w:rFonts w:eastAsia="Arial"/>
              </w:rPr>
              <w:t>China</w:t>
            </w:r>
          </w:p>
        </w:tc>
        <w:tc>
          <w:tcPr>
            <w:tcW w:w="0" w:type="auto"/>
            <w:shd w:val="clear" w:color="auto" w:fill="FFFFFF"/>
            <w:tcMar>
              <w:top w:w="0" w:type="dxa"/>
              <w:left w:w="0" w:type="dxa"/>
              <w:bottom w:w="0" w:type="dxa"/>
              <w:right w:w="0" w:type="dxa"/>
            </w:tcMar>
          </w:tcPr>
          <w:p w14:paraId="555F1546" w14:textId="6DD37711" w:rsidR="008B4DF8" w:rsidRPr="00C1603D" w:rsidRDefault="003B417F" w:rsidP="00943414">
            <w:pPr>
              <w:pStyle w:val="72TabletextTablesTableFigureBoxstyles"/>
            </w:pPr>
            <w:r w:rsidRPr="00C1603D">
              <w:rPr>
                <w:rFonts w:eastAsia="Arial"/>
                <w:noProof/>
              </w:rPr>
              <w:t xml:space="preserve">Zhao </w:t>
            </w:r>
            <w:r w:rsidRPr="00C1603D">
              <w:rPr>
                <w:rFonts w:eastAsia="Arial"/>
                <w:i/>
                <w:iCs/>
                <w:noProof/>
              </w:rPr>
              <w:t>et al</w:t>
            </w:r>
            <w:r w:rsidRPr="00C1603D">
              <w:rPr>
                <w:rFonts w:eastAsia="Arial"/>
                <w:noProof/>
              </w:rPr>
              <w:t>.</w:t>
            </w:r>
            <w:r w:rsidR="008B4DF8" w:rsidRPr="00C1603D">
              <w:rPr>
                <w:rFonts w:eastAsia="Arial"/>
                <w:noProof/>
                <w:vertAlign w:val="superscript"/>
              </w:rPr>
              <w:t>445</w:t>
            </w:r>
          </w:p>
        </w:tc>
      </w:tr>
      <w:tr w:rsidR="003B417F" w:rsidRPr="00C1603D" w14:paraId="3F151057" w14:textId="77777777" w:rsidTr="00943414">
        <w:trPr>
          <w:cantSplit/>
        </w:trPr>
        <w:tc>
          <w:tcPr>
            <w:tcW w:w="0" w:type="auto"/>
            <w:shd w:val="clear" w:color="auto" w:fill="FFFFFF"/>
            <w:tcMar>
              <w:top w:w="0" w:type="dxa"/>
              <w:left w:w="0" w:type="dxa"/>
              <w:bottom w:w="0" w:type="dxa"/>
              <w:right w:w="0" w:type="dxa"/>
            </w:tcMar>
          </w:tcPr>
          <w:p w14:paraId="4F8FF622"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0E25715"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633AD93" w14:textId="77777777" w:rsidR="008B4DF8" w:rsidRPr="00C1603D" w:rsidRDefault="008B4DF8" w:rsidP="00943414">
            <w:pPr>
              <w:pStyle w:val="72TabletextTablesTableFigureBoxstyles"/>
            </w:pPr>
            <w:r w:rsidRPr="00C1603D">
              <w:rPr>
                <w:rFonts w:eastAsia="Arial"/>
              </w:rPr>
              <w:t>Thyroid disorder</w:t>
            </w:r>
          </w:p>
        </w:tc>
        <w:tc>
          <w:tcPr>
            <w:tcW w:w="0" w:type="auto"/>
            <w:shd w:val="clear" w:color="auto" w:fill="FFFFFF"/>
            <w:tcMar>
              <w:top w:w="0" w:type="dxa"/>
              <w:left w:w="0" w:type="dxa"/>
              <w:bottom w:w="0" w:type="dxa"/>
              <w:right w:w="0" w:type="dxa"/>
            </w:tcMar>
          </w:tcPr>
          <w:p w14:paraId="6796BE49" w14:textId="11EF6B86" w:rsidR="008B4DF8" w:rsidRPr="00C1603D" w:rsidRDefault="008B4DF8" w:rsidP="00943414">
            <w:pPr>
              <w:pStyle w:val="72TabletextTablesTableFigureBoxstyles"/>
            </w:pPr>
            <w:r w:rsidRPr="00C1603D">
              <w:rPr>
                <w:rFonts w:eastAsia="Arial"/>
              </w:rPr>
              <w:t>1197</w:t>
            </w:r>
          </w:p>
        </w:tc>
        <w:tc>
          <w:tcPr>
            <w:tcW w:w="0" w:type="auto"/>
            <w:shd w:val="clear" w:color="auto" w:fill="FFFFFF"/>
            <w:tcMar>
              <w:top w:w="0" w:type="dxa"/>
              <w:left w:w="0" w:type="dxa"/>
              <w:bottom w:w="0" w:type="dxa"/>
              <w:right w:w="0" w:type="dxa"/>
            </w:tcMar>
          </w:tcPr>
          <w:p w14:paraId="1D0EE737" w14:textId="7DB98DCE"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5FC8E3A6" w14:textId="77777777" w:rsidR="008B4DF8" w:rsidRPr="00C1603D" w:rsidRDefault="008B4DF8" w:rsidP="00943414">
            <w:pPr>
              <w:pStyle w:val="72TabletextTablesTableFigureBoxstyles"/>
            </w:pPr>
            <w:r w:rsidRPr="00C1603D">
              <w:rPr>
                <w:rFonts w:eastAsia="Arial"/>
              </w:rPr>
              <w:t>People without thyroid disorder</w:t>
            </w:r>
          </w:p>
        </w:tc>
        <w:tc>
          <w:tcPr>
            <w:tcW w:w="0" w:type="auto"/>
            <w:shd w:val="clear" w:color="auto" w:fill="FFFFFF"/>
            <w:tcMar>
              <w:top w:w="0" w:type="dxa"/>
              <w:left w:w="0" w:type="dxa"/>
              <w:bottom w:w="0" w:type="dxa"/>
              <w:right w:w="0" w:type="dxa"/>
            </w:tcMar>
          </w:tcPr>
          <w:p w14:paraId="38D239C3" w14:textId="1299FB03"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3FEBB3D"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0E62055B" w14:textId="77777777" w:rsidR="008B4DF8" w:rsidRPr="00C1603D" w:rsidRDefault="008B4DF8" w:rsidP="00943414">
            <w:pPr>
              <w:pStyle w:val="72TabletextTablesTableFigureBoxstyles"/>
            </w:pPr>
            <w:r w:rsidRPr="00C1603D">
              <w:rPr>
                <w:rFonts w:eastAsia="Arial"/>
              </w:rPr>
              <w:t>United Arab Emirates</w:t>
            </w:r>
          </w:p>
        </w:tc>
        <w:tc>
          <w:tcPr>
            <w:tcW w:w="0" w:type="auto"/>
            <w:shd w:val="clear" w:color="auto" w:fill="FFFFFF"/>
            <w:tcMar>
              <w:top w:w="0" w:type="dxa"/>
              <w:left w:w="0" w:type="dxa"/>
              <w:bottom w:w="0" w:type="dxa"/>
              <w:right w:w="0" w:type="dxa"/>
            </w:tcMar>
          </w:tcPr>
          <w:p w14:paraId="617420A4" w14:textId="5E98FD9C" w:rsidR="008B4DF8" w:rsidRPr="00C1603D" w:rsidRDefault="003B417F" w:rsidP="00943414">
            <w:pPr>
              <w:pStyle w:val="72TabletextTablesTableFigureBoxstyles"/>
            </w:pPr>
            <w:r w:rsidRPr="00C1603D">
              <w:rPr>
                <w:rFonts w:eastAsia="Arial"/>
                <w:noProof/>
              </w:rPr>
              <w:t xml:space="preserve">Abu-Zeid </w:t>
            </w:r>
            <w:r w:rsidRPr="00C1603D">
              <w:rPr>
                <w:rFonts w:eastAsia="Arial"/>
                <w:i/>
                <w:iCs/>
                <w:noProof/>
              </w:rPr>
              <w:t>et al</w:t>
            </w:r>
            <w:r w:rsidRPr="00C1603D">
              <w:rPr>
                <w:rFonts w:eastAsia="Arial"/>
                <w:noProof/>
              </w:rPr>
              <w:t>.</w:t>
            </w:r>
            <w:r w:rsidR="008B4DF8" w:rsidRPr="00C1603D">
              <w:rPr>
                <w:rFonts w:eastAsia="Arial"/>
                <w:noProof/>
                <w:vertAlign w:val="superscript"/>
              </w:rPr>
              <w:t>288</w:t>
            </w:r>
          </w:p>
        </w:tc>
      </w:tr>
      <w:tr w:rsidR="003B417F" w:rsidRPr="00C1603D" w14:paraId="7C217863" w14:textId="77777777" w:rsidTr="00943414">
        <w:trPr>
          <w:cantSplit/>
        </w:trPr>
        <w:tc>
          <w:tcPr>
            <w:tcW w:w="0" w:type="auto"/>
            <w:shd w:val="clear" w:color="auto" w:fill="FFFFFF"/>
            <w:tcMar>
              <w:top w:w="0" w:type="dxa"/>
              <w:left w:w="0" w:type="dxa"/>
              <w:bottom w:w="0" w:type="dxa"/>
              <w:right w:w="0" w:type="dxa"/>
            </w:tcMar>
          </w:tcPr>
          <w:p w14:paraId="2620AE80"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ED3369F"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17E34E9A" w14:textId="77777777" w:rsidR="008B4DF8" w:rsidRPr="00C1603D" w:rsidRDefault="008B4DF8" w:rsidP="00943414">
            <w:pPr>
              <w:pStyle w:val="72TabletextTablesTableFigureBoxstyles"/>
            </w:pPr>
            <w:r w:rsidRPr="00C1603D">
              <w:rPr>
                <w:rFonts w:eastAsia="Arial"/>
              </w:rPr>
              <w:t>Thyroid disorder</w:t>
            </w:r>
          </w:p>
        </w:tc>
        <w:tc>
          <w:tcPr>
            <w:tcW w:w="0" w:type="auto"/>
            <w:shd w:val="clear" w:color="auto" w:fill="FFFFFF"/>
            <w:tcMar>
              <w:top w:w="0" w:type="dxa"/>
              <w:left w:w="0" w:type="dxa"/>
              <w:bottom w:w="0" w:type="dxa"/>
              <w:right w:w="0" w:type="dxa"/>
            </w:tcMar>
          </w:tcPr>
          <w:p w14:paraId="064B1F73" w14:textId="77777777" w:rsidR="008B4DF8" w:rsidRPr="00C1603D" w:rsidRDefault="008B4DF8" w:rsidP="00943414">
            <w:pPr>
              <w:pStyle w:val="72TabletextTablesTableFigureBoxstyles"/>
            </w:pPr>
            <w:r w:rsidRPr="00C1603D">
              <w:rPr>
                <w:rFonts w:eastAsia="Arial"/>
              </w:rPr>
              <w:t>527</w:t>
            </w:r>
          </w:p>
        </w:tc>
        <w:tc>
          <w:tcPr>
            <w:tcW w:w="0" w:type="auto"/>
            <w:shd w:val="clear" w:color="auto" w:fill="FFFFFF"/>
            <w:tcMar>
              <w:top w:w="0" w:type="dxa"/>
              <w:left w:w="0" w:type="dxa"/>
              <w:bottom w:w="0" w:type="dxa"/>
              <w:right w:w="0" w:type="dxa"/>
            </w:tcMar>
          </w:tcPr>
          <w:p w14:paraId="0B02266B" w14:textId="528204DB"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C888DB7" w14:textId="77777777" w:rsidR="008B4DF8" w:rsidRPr="00C1603D" w:rsidRDefault="008B4DF8" w:rsidP="00943414">
            <w:pPr>
              <w:pStyle w:val="72TabletextTablesTableFigureBoxstyles"/>
            </w:pPr>
            <w:r w:rsidRPr="00C1603D">
              <w:rPr>
                <w:rFonts w:eastAsia="Arial"/>
              </w:rPr>
              <w:t>People without thyroid disorder</w:t>
            </w:r>
          </w:p>
        </w:tc>
        <w:tc>
          <w:tcPr>
            <w:tcW w:w="0" w:type="auto"/>
            <w:shd w:val="clear" w:color="auto" w:fill="FFFFFF"/>
            <w:tcMar>
              <w:top w:w="0" w:type="dxa"/>
              <w:left w:w="0" w:type="dxa"/>
              <w:bottom w:w="0" w:type="dxa"/>
              <w:right w:w="0" w:type="dxa"/>
            </w:tcMar>
          </w:tcPr>
          <w:p w14:paraId="4DB1A42F" w14:textId="744344FF"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32F47EE9"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68B57055" w14:textId="77777777" w:rsidR="008B4DF8" w:rsidRPr="00C1603D" w:rsidRDefault="008B4DF8" w:rsidP="00943414">
            <w:pPr>
              <w:pStyle w:val="72TabletextTablesTableFigureBoxstyles"/>
            </w:pPr>
            <w:r w:rsidRPr="00C1603D">
              <w:rPr>
                <w:rFonts w:eastAsia="Arial"/>
              </w:rPr>
              <w:t>Malaysia</w:t>
            </w:r>
          </w:p>
        </w:tc>
        <w:tc>
          <w:tcPr>
            <w:tcW w:w="0" w:type="auto"/>
            <w:shd w:val="clear" w:color="auto" w:fill="FFFFFF"/>
            <w:tcMar>
              <w:top w:w="0" w:type="dxa"/>
              <w:left w:w="0" w:type="dxa"/>
              <w:bottom w:w="0" w:type="dxa"/>
              <w:right w:w="0" w:type="dxa"/>
            </w:tcMar>
          </w:tcPr>
          <w:p w14:paraId="13A355DB" w14:textId="5D0EF729" w:rsidR="008B4DF8" w:rsidRPr="00C1603D" w:rsidRDefault="003B417F" w:rsidP="00943414">
            <w:pPr>
              <w:pStyle w:val="72TabletextTablesTableFigureBoxstyles"/>
            </w:pPr>
            <w:r w:rsidRPr="00C1603D">
              <w:rPr>
                <w:rFonts w:eastAsia="Arial"/>
                <w:noProof/>
              </w:rPr>
              <w:t xml:space="preserve">Yap </w:t>
            </w:r>
            <w:r w:rsidRPr="00C1603D">
              <w:rPr>
                <w:rFonts w:eastAsia="Arial"/>
                <w:i/>
                <w:iCs/>
                <w:noProof/>
              </w:rPr>
              <w:t>et al</w:t>
            </w:r>
            <w:r w:rsidRPr="00C1603D">
              <w:rPr>
                <w:rFonts w:eastAsia="Arial"/>
                <w:noProof/>
              </w:rPr>
              <w:t>.</w:t>
            </w:r>
            <w:r w:rsidR="008B4DF8" w:rsidRPr="00C1603D">
              <w:rPr>
                <w:rFonts w:eastAsia="Arial"/>
                <w:noProof/>
                <w:vertAlign w:val="superscript"/>
              </w:rPr>
              <w:t>287</w:t>
            </w:r>
          </w:p>
        </w:tc>
      </w:tr>
      <w:tr w:rsidR="003B417F" w:rsidRPr="00C1603D" w14:paraId="55899727" w14:textId="77777777" w:rsidTr="00943414">
        <w:trPr>
          <w:cantSplit/>
        </w:trPr>
        <w:tc>
          <w:tcPr>
            <w:tcW w:w="0" w:type="auto"/>
            <w:shd w:val="clear" w:color="auto" w:fill="FFFFFF"/>
            <w:tcMar>
              <w:top w:w="0" w:type="dxa"/>
              <w:left w:w="0" w:type="dxa"/>
              <w:bottom w:w="0" w:type="dxa"/>
              <w:right w:w="0" w:type="dxa"/>
            </w:tcMar>
          </w:tcPr>
          <w:p w14:paraId="2B147942"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B7CA63A"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0801E354" w14:textId="77777777" w:rsidR="008B4DF8" w:rsidRPr="00C1603D" w:rsidRDefault="008B4DF8" w:rsidP="00943414">
            <w:pPr>
              <w:pStyle w:val="72TabletextTablesTableFigureBoxstyles"/>
            </w:pPr>
            <w:r w:rsidRPr="00C1603D">
              <w:rPr>
                <w:rFonts w:eastAsia="Arial"/>
              </w:rPr>
              <w:t>Thyroid disorder</w:t>
            </w:r>
          </w:p>
        </w:tc>
        <w:tc>
          <w:tcPr>
            <w:tcW w:w="0" w:type="auto"/>
            <w:shd w:val="clear" w:color="auto" w:fill="FFFFFF"/>
            <w:tcMar>
              <w:top w:w="0" w:type="dxa"/>
              <w:left w:w="0" w:type="dxa"/>
              <w:bottom w:w="0" w:type="dxa"/>
              <w:right w:w="0" w:type="dxa"/>
            </w:tcMar>
          </w:tcPr>
          <w:p w14:paraId="4B7AC257" w14:textId="2AD6EA83" w:rsidR="008B4DF8" w:rsidRPr="00C1603D" w:rsidRDefault="008B4DF8" w:rsidP="00943414">
            <w:pPr>
              <w:pStyle w:val="72TabletextTablesTableFigureBoxstyles"/>
            </w:pPr>
            <w:r w:rsidRPr="00C1603D">
              <w:rPr>
                <w:rFonts w:eastAsia="Arial"/>
              </w:rPr>
              <w:t>4633</w:t>
            </w:r>
          </w:p>
        </w:tc>
        <w:tc>
          <w:tcPr>
            <w:tcW w:w="0" w:type="auto"/>
            <w:shd w:val="clear" w:color="auto" w:fill="FFFFFF"/>
            <w:tcMar>
              <w:top w:w="0" w:type="dxa"/>
              <w:left w:w="0" w:type="dxa"/>
              <w:bottom w:w="0" w:type="dxa"/>
              <w:right w:w="0" w:type="dxa"/>
            </w:tcMar>
          </w:tcPr>
          <w:p w14:paraId="3F7E5F9E" w14:textId="61012A7C"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6E270C55"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B111435"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94134DC"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25959C4A" w14:textId="77777777" w:rsidR="008B4DF8" w:rsidRPr="00C1603D" w:rsidRDefault="008B4DF8" w:rsidP="00943414">
            <w:pPr>
              <w:pStyle w:val="72TabletextTablesTableFigureBoxstyles"/>
            </w:pPr>
            <w:r w:rsidRPr="00C1603D">
              <w:rPr>
                <w:rFonts w:eastAsia="Arial"/>
              </w:rPr>
              <w:t>Germany</w:t>
            </w:r>
          </w:p>
        </w:tc>
        <w:tc>
          <w:tcPr>
            <w:tcW w:w="0" w:type="auto"/>
            <w:shd w:val="clear" w:color="auto" w:fill="FFFFFF"/>
            <w:tcMar>
              <w:top w:w="0" w:type="dxa"/>
              <w:left w:w="0" w:type="dxa"/>
              <w:bottom w:w="0" w:type="dxa"/>
              <w:right w:w="0" w:type="dxa"/>
            </w:tcMar>
          </w:tcPr>
          <w:p w14:paraId="7799777B" w14:textId="4E846810" w:rsidR="008B4DF8" w:rsidRPr="00C1603D" w:rsidRDefault="003B417F" w:rsidP="00943414">
            <w:pPr>
              <w:pStyle w:val="72TabletextTablesTableFigureBoxstyles"/>
            </w:pPr>
            <w:r w:rsidRPr="00C1603D">
              <w:rPr>
                <w:rFonts w:eastAsia="Arial"/>
                <w:noProof/>
              </w:rPr>
              <w:t xml:space="preserve">Metzger </w:t>
            </w:r>
            <w:r w:rsidRPr="00C1603D">
              <w:rPr>
                <w:rFonts w:eastAsia="Arial"/>
                <w:i/>
                <w:iCs/>
                <w:noProof/>
              </w:rPr>
              <w:t>et al</w:t>
            </w:r>
            <w:r w:rsidRPr="00C1603D">
              <w:rPr>
                <w:rFonts w:eastAsia="Arial"/>
                <w:noProof/>
              </w:rPr>
              <w:t>.</w:t>
            </w:r>
            <w:r w:rsidR="008B4DF8" w:rsidRPr="00C1603D">
              <w:rPr>
                <w:rFonts w:eastAsia="Arial"/>
                <w:noProof/>
                <w:vertAlign w:val="superscript"/>
              </w:rPr>
              <w:t>474</w:t>
            </w:r>
          </w:p>
        </w:tc>
      </w:tr>
      <w:tr w:rsidR="003B417F" w:rsidRPr="00C1603D" w14:paraId="7833DA06" w14:textId="77777777" w:rsidTr="00943414">
        <w:trPr>
          <w:cantSplit/>
        </w:trPr>
        <w:tc>
          <w:tcPr>
            <w:tcW w:w="0" w:type="auto"/>
            <w:shd w:val="clear" w:color="auto" w:fill="FFFFFF"/>
            <w:tcMar>
              <w:top w:w="0" w:type="dxa"/>
              <w:left w:w="0" w:type="dxa"/>
              <w:bottom w:w="0" w:type="dxa"/>
              <w:right w:w="0" w:type="dxa"/>
            </w:tcMar>
          </w:tcPr>
          <w:p w14:paraId="1A789B8C"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1FF3FE50" w14:textId="77777777" w:rsidR="008B4DF8" w:rsidRPr="00C1603D" w:rsidRDefault="008B4DF8" w:rsidP="00943414">
            <w:pPr>
              <w:pStyle w:val="72TabletextTablesTableFigureBoxstyles"/>
            </w:pPr>
            <w:r w:rsidRPr="00C1603D">
              <w:rPr>
                <w:rFonts w:eastAsia="Arial"/>
              </w:rPr>
              <w:t>Cohort</w:t>
            </w:r>
          </w:p>
        </w:tc>
        <w:tc>
          <w:tcPr>
            <w:tcW w:w="0" w:type="auto"/>
            <w:shd w:val="clear" w:color="auto" w:fill="FFFFFF"/>
            <w:tcMar>
              <w:top w:w="0" w:type="dxa"/>
              <w:left w:w="0" w:type="dxa"/>
              <w:bottom w:w="0" w:type="dxa"/>
              <w:right w:w="0" w:type="dxa"/>
            </w:tcMar>
          </w:tcPr>
          <w:p w14:paraId="6E6FFC3B" w14:textId="77777777" w:rsidR="008B4DF8" w:rsidRPr="00C1603D" w:rsidRDefault="008B4DF8" w:rsidP="00943414">
            <w:pPr>
              <w:pStyle w:val="72TabletextTablesTableFigureBoxstyles"/>
            </w:pPr>
            <w:r w:rsidRPr="00C1603D">
              <w:rPr>
                <w:rFonts w:eastAsia="Arial"/>
              </w:rPr>
              <w:t>Thyroid disorder</w:t>
            </w:r>
          </w:p>
        </w:tc>
        <w:tc>
          <w:tcPr>
            <w:tcW w:w="0" w:type="auto"/>
            <w:shd w:val="clear" w:color="auto" w:fill="FFFFFF"/>
            <w:tcMar>
              <w:top w:w="0" w:type="dxa"/>
              <w:left w:w="0" w:type="dxa"/>
              <w:bottom w:w="0" w:type="dxa"/>
              <w:right w:w="0" w:type="dxa"/>
            </w:tcMar>
          </w:tcPr>
          <w:p w14:paraId="592C53FA" w14:textId="1CA61741" w:rsidR="008B4DF8" w:rsidRPr="00C1603D" w:rsidRDefault="008B4DF8" w:rsidP="00943414">
            <w:pPr>
              <w:pStyle w:val="72TabletextTablesTableFigureBoxstyles"/>
            </w:pPr>
            <w:r w:rsidRPr="00C1603D">
              <w:rPr>
                <w:rFonts w:eastAsia="Arial"/>
              </w:rPr>
              <w:t>7339</w:t>
            </w:r>
          </w:p>
        </w:tc>
        <w:tc>
          <w:tcPr>
            <w:tcW w:w="0" w:type="auto"/>
            <w:shd w:val="clear" w:color="auto" w:fill="FFFFFF"/>
            <w:tcMar>
              <w:top w:w="0" w:type="dxa"/>
              <w:left w:w="0" w:type="dxa"/>
              <w:bottom w:w="0" w:type="dxa"/>
              <w:right w:w="0" w:type="dxa"/>
            </w:tcMar>
          </w:tcPr>
          <w:p w14:paraId="149E7112" w14:textId="04C7CA97"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D646B73" w14:textId="77777777" w:rsidR="008B4DF8" w:rsidRPr="00C1603D" w:rsidRDefault="008B4DF8" w:rsidP="00943414">
            <w:pPr>
              <w:pStyle w:val="72TabletextTablesTableFigureBoxstyles"/>
            </w:pPr>
            <w:r w:rsidRPr="00C1603D">
              <w:rPr>
                <w:rFonts w:eastAsia="Arial"/>
              </w:rPr>
              <w:t>People without thyroid disease</w:t>
            </w:r>
          </w:p>
        </w:tc>
        <w:tc>
          <w:tcPr>
            <w:tcW w:w="0" w:type="auto"/>
            <w:shd w:val="clear" w:color="auto" w:fill="FFFFFF"/>
            <w:tcMar>
              <w:top w:w="0" w:type="dxa"/>
              <w:left w:w="0" w:type="dxa"/>
              <w:bottom w:w="0" w:type="dxa"/>
              <w:right w:w="0" w:type="dxa"/>
            </w:tcMar>
          </w:tcPr>
          <w:p w14:paraId="307ADF30" w14:textId="77777777" w:rsidR="008B4DF8" w:rsidRPr="00C1603D" w:rsidRDefault="008B4DF8" w:rsidP="00943414">
            <w:pPr>
              <w:pStyle w:val="72TabletextTablesTableFigureBoxstyles"/>
            </w:pPr>
            <w:r w:rsidRPr="00C1603D">
              <w:rPr>
                <w:rFonts w:eastAsia="Arial"/>
              </w:rPr>
              <w:t>EMA positive</w:t>
            </w:r>
          </w:p>
        </w:tc>
        <w:tc>
          <w:tcPr>
            <w:tcW w:w="0" w:type="auto"/>
            <w:shd w:val="clear" w:color="auto" w:fill="FFFFFF"/>
            <w:tcMar>
              <w:top w:w="0" w:type="dxa"/>
              <w:left w:w="0" w:type="dxa"/>
              <w:bottom w:w="0" w:type="dxa"/>
              <w:right w:w="0" w:type="dxa"/>
            </w:tcMar>
          </w:tcPr>
          <w:p w14:paraId="74D1080E" w14:textId="77777777" w:rsidR="008B4DF8" w:rsidRPr="00C1603D" w:rsidRDefault="008B4DF8" w:rsidP="00943414">
            <w:pPr>
              <w:pStyle w:val="72TabletextTablesTableFigureBoxstyles"/>
            </w:pPr>
            <w:r w:rsidRPr="00C1603D">
              <w:rPr>
                <w:rFonts w:eastAsia="Arial"/>
              </w:rPr>
              <w:t>Primary</w:t>
            </w:r>
          </w:p>
        </w:tc>
        <w:tc>
          <w:tcPr>
            <w:tcW w:w="0" w:type="auto"/>
            <w:shd w:val="clear" w:color="auto" w:fill="FFFFFF"/>
            <w:tcMar>
              <w:top w:w="0" w:type="dxa"/>
              <w:left w:w="0" w:type="dxa"/>
              <w:bottom w:w="0" w:type="dxa"/>
              <w:right w:w="0" w:type="dxa"/>
            </w:tcMar>
          </w:tcPr>
          <w:p w14:paraId="122EF634" w14:textId="77777777" w:rsidR="008B4DF8" w:rsidRPr="00C1603D" w:rsidRDefault="008B4DF8" w:rsidP="00943414">
            <w:pPr>
              <w:pStyle w:val="72TabletextTablesTableFigureBoxstyles"/>
            </w:pPr>
            <w:r w:rsidRPr="00C1603D">
              <w:rPr>
                <w:rFonts w:eastAsia="Arial"/>
              </w:rPr>
              <w:t>UK</w:t>
            </w:r>
          </w:p>
        </w:tc>
        <w:tc>
          <w:tcPr>
            <w:tcW w:w="0" w:type="auto"/>
            <w:shd w:val="clear" w:color="auto" w:fill="FFFFFF"/>
            <w:tcMar>
              <w:top w:w="0" w:type="dxa"/>
              <w:left w:w="0" w:type="dxa"/>
              <w:bottom w:w="0" w:type="dxa"/>
              <w:right w:w="0" w:type="dxa"/>
            </w:tcMar>
          </w:tcPr>
          <w:p w14:paraId="2EA7D8C5" w14:textId="711FAB87" w:rsidR="008B4DF8" w:rsidRPr="00C1603D" w:rsidRDefault="003B417F" w:rsidP="00943414">
            <w:pPr>
              <w:pStyle w:val="72TabletextTablesTableFigureBoxstyles"/>
            </w:pPr>
            <w:r w:rsidRPr="00C1603D">
              <w:rPr>
                <w:rFonts w:eastAsia="Arial"/>
                <w:noProof/>
              </w:rPr>
              <w:t xml:space="preserve">West </w:t>
            </w:r>
            <w:r w:rsidRPr="00C1603D">
              <w:rPr>
                <w:rFonts w:eastAsia="Arial"/>
                <w:i/>
                <w:iCs/>
                <w:noProof/>
              </w:rPr>
              <w:t>et al</w:t>
            </w:r>
            <w:r w:rsidRPr="00C1603D">
              <w:rPr>
                <w:rFonts w:eastAsia="Arial"/>
                <w:noProof/>
              </w:rPr>
              <w:t>.</w:t>
            </w:r>
            <w:r w:rsidR="008B4DF8" w:rsidRPr="00C1603D">
              <w:rPr>
                <w:rFonts w:eastAsia="Arial"/>
                <w:noProof/>
                <w:vertAlign w:val="superscript"/>
              </w:rPr>
              <w:t>372</w:t>
            </w:r>
          </w:p>
        </w:tc>
      </w:tr>
      <w:tr w:rsidR="003B417F" w:rsidRPr="00C1603D" w14:paraId="1F52BDC3" w14:textId="77777777" w:rsidTr="00943414">
        <w:trPr>
          <w:cantSplit/>
        </w:trPr>
        <w:tc>
          <w:tcPr>
            <w:tcW w:w="0" w:type="auto"/>
            <w:shd w:val="clear" w:color="auto" w:fill="FFFFFF"/>
            <w:tcMar>
              <w:top w:w="0" w:type="dxa"/>
              <w:left w:w="0" w:type="dxa"/>
              <w:bottom w:w="0" w:type="dxa"/>
              <w:right w:w="0" w:type="dxa"/>
            </w:tcMar>
          </w:tcPr>
          <w:p w14:paraId="78401DEC"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4EC8EFC7"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0DA387AD" w14:textId="1912AB73" w:rsidR="008B4DF8" w:rsidRPr="00C1603D" w:rsidRDefault="008B4DF8" w:rsidP="00943414">
            <w:pPr>
              <w:pStyle w:val="72TabletextTablesTableFigureBoxstyles"/>
            </w:pPr>
            <w:r w:rsidRPr="00C1603D">
              <w:rPr>
                <w:rFonts w:eastAsia="Arial"/>
              </w:rPr>
              <w:t>Thyroiditis, hypo- or hyperthyroidism</w:t>
            </w:r>
          </w:p>
        </w:tc>
        <w:tc>
          <w:tcPr>
            <w:tcW w:w="0" w:type="auto"/>
            <w:shd w:val="clear" w:color="auto" w:fill="FFFFFF"/>
            <w:tcMar>
              <w:top w:w="0" w:type="dxa"/>
              <w:left w:w="0" w:type="dxa"/>
              <w:bottom w:w="0" w:type="dxa"/>
              <w:right w:w="0" w:type="dxa"/>
            </w:tcMar>
          </w:tcPr>
          <w:p w14:paraId="5598BE47" w14:textId="77777777" w:rsidR="008B4DF8" w:rsidRPr="00C1603D" w:rsidRDefault="008B4DF8" w:rsidP="00943414">
            <w:pPr>
              <w:pStyle w:val="72TabletextTablesTableFigureBoxstyles"/>
            </w:pPr>
            <w:r w:rsidRPr="00C1603D">
              <w:rPr>
                <w:rFonts w:eastAsia="Arial"/>
              </w:rPr>
              <w:t>800</w:t>
            </w:r>
          </w:p>
        </w:tc>
        <w:tc>
          <w:tcPr>
            <w:tcW w:w="0" w:type="auto"/>
            <w:shd w:val="clear" w:color="auto" w:fill="FFFFFF"/>
            <w:tcMar>
              <w:top w:w="0" w:type="dxa"/>
              <w:left w:w="0" w:type="dxa"/>
              <w:bottom w:w="0" w:type="dxa"/>
              <w:right w:w="0" w:type="dxa"/>
            </w:tcMar>
          </w:tcPr>
          <w:p w14:paraId="5FC8A01A" w14:textId="7FB3B9C6"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2EB2FE62" w14:textId="77777777" w:rsidR="008B4DF8" w:rsidRPr="00C1603D" w:rsidRDefault="008B4DF8" w:rsidP="00943414">
            <w:pPr>
              <w:pStyle w:val="72TabletextTablesTableFigureBoxstyles"/>
            </w:pPr>
            <w:r w:rsidRPr="00C1603D">
              <w:rPr>
                <w:rFonts w:eastAsia="Arial"/>
              </w:rPr>
              <w:t>People without thyroid disease</w:t>
            </w:r>
          </w:p>
        </w:tc>
        <w:tc>
          <w:tcPr>
            <w:tcW w:w="0" w:type="auto"/>
            <w:shd w:val="clear" w:color="auto" w:fill="FFFFFF"/>
            <w:tcMar>
              <w:top w:w="0" w:type="dxa"/>
              <w:left w:w="0" w:type="dxa"/>
              <w:bottom w:w="0" w:type="dxa"/>
              <w:right w:w="0" w:type="dxa"/>
            </w:tcMar>
          </w:tcPr>
          <w:p w14:paraId="23D5AF86" w14:textId="41C7EEC5"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57BB6AD0" w14:textId="77777777" w:rsidR="008B4DF8" w:rsidRPr="00C1603D" w:rsidRDefault="008B4DF8" w:rsidP="00943414">
            <w:pPr>
              <w:pStyle w:val="72TabletextTablesTableFigureBoxstyles"/>
            </w:pPr>
            <w:r w:rsidRPr="00C1603D">
              <w:rPr>
                <w:rFonts w:eastAsia="Arial"/>
              </w:rPr>
              <w:t>Primary and secondary</w:t>
            </w:r>
          </w:p>
        </w:tc>
        <w:tc>
          <w:tcPr>
            <w:tcW w:w="0" w:type="auto"/>
            <w:shd w:val="clear" w:color="auto" w:fill="FFFFFF"/>
            <w:tcMar>
              <w:top w:w="0" w:type="dxa"/>
              <w:left w:w="0" w:type="dxa"/>
              <w:bottom w:w="0" w:type="dxa"/>
              <w:right w:w="0" w:type="dxa"/>
            </w:tcMar>
          </w:tcPr>
          <w:p w14:paraId="4BFDA42C" w14:textId="3C686DA7" w:rsidR="008B4DF8" w:rsidRPr="00C1603D" w:rsidRDefault="008B4DF8" w:rsidP="00943414">
            <w:pPr>
              <w:pStyle w:val="72TabletextTablesTableFigureBoxstyles"/>
            </w:pPr>
            <w:r w:rsidRPr="00C1603D">
              <w:rPr>
                <w:rFonts w:eastAsia="Arial"/>
              </w:rPr>
              <w:t>US</w:t>
            </w:r>
            <w:r w:rsidR="008374B7" w:rsidRPr="00C1603D">
              <w:rPr>
                <w:rFonts w:eastAsia="Arial"/>
              </w:rPr>
              <w:t>A</w:t>
            </w:r>
          </w:p>
        </w:tc>
        <w:tc>
          <w:tcPr>
            <w:tcW w:w="0" w:type="auto"/>
            <w:shd w:val="clear" w:color="auto" w:fill="FFFFFF"/>
            <w:tcMar>
              <w:top w:w="0" w:type="dxa"/>
              <w:left w:w="0" w:type="dxa"/>
              <w:bottom w:w="0" w:type="dxa"/>
              <w:right w:w="0" w:type="dxa"/>
            </w:tcMar>
          </w:tcPr>
          <w:p w14:paraId="5C901A6D" w14:textId="5AA94A2E" w:rsidR="008B4DF8" w:rsidRPr="00C1603D" w:rsidRDefault="003B417F" w:rsidP="00943414">
            <w:pPr>
              <w:pStyle w:val="72TabletextTablesTableFigureBoxstyles"/>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3B417F" w:rsidRPr="00C1603D" w14:paraId="7D592177" w14:textId="77777777" w:rsidTr="00943414">
        <w:trPr>
          <w:cantSplit/>
        </w:trPr>
        <w:tc>
          <w:tcPr>
            <w:tcW w:w="0" w:type="auto"/>
            <w:shd w:val="clear" w:color="auto" w:fill="FFFFFF"/>
            <w:tcMar>
              <w:top w:w="0" w:type="dxa"/>
              <w:left w:w="0" w:type="dxa"/>
              <w:bottom w:w="0" w:type="dxa"/>
              <w:right w:w="0" w:type="dxa"/>
            </w:tcMar>
          </w:tcPr>
          <w:p w14:paraId="4446A679" w14:textId="77777777" w:rsidR="008B4DF8" w:rsidRPr="00C1603D" w:rsidRDefault="008B4DF8" w:rsidP="00943414">
            <w:pPr>
              <w:pStyle w:val="72TabletextTablesTableFigureBoxstyles"/>
            </w:pPr>
            <w:r w:rsidRPr="00C1603D">
              <w:rPr>
                <w:rFonts w:eastAsia="Arial"/>
              </w:rPr>
              <w:t>Adults</w:t>
            </w:r>
          </w:p>
        </w:tc>
        <w:tc>
          <w:tcPr>
            <w:tcW w:w="0" w:type="auto"/>
            <w:shd w:val="clear" w:color="auto" w:fill="FFFFFF"/>
            <w:tcMar>
              <w:top w:w="0" w:type="dxa"/>
              <w:left w:w="0" w:type="dxa"/>
              <w:bottom w:w="0" w:type="dxa"/>
              <w:right w:w="0" w:type="dxa"/>
            </w:tcMar>
          </w:tcPr>
          <w:p w14:paraId="656D587B"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(DI)</w:t>
            </w:r>
          </w:p>
        </w:tc>
        <w:tc>
          <w:tcPr>
            <w:tcW w:w="0" w:type="auto"/>
            <w:shd w:val="clear" w:color="auto" w:fill="FFFFFF"/>
            <w:tcMar>
              <w:top w:w="0" w:type="dxa"/>
              <w:left w:w="0" w:type="dxa"/>
              <w:bottom w:w="0" w:type="dxa"/>
              <w:right w:w="0" w:type="dxa"/>
            </w:tcMar>
          </w:tcPr>
          <w:p w14:paraId="2EE84F6F" w14:textId="77777777" w:rsidR="008B4DF8" w:rsidRPr="00C1603D" w:rsidRDefault="008B4DF8" w:rsidP="00943414">
            <w:pPr>
              <w:pStyle w:val="72TabletextTablesTableFigureBoxstyles"/>
            </w:pPr>
            <w:bookmarkStart w:id="610" w:name="_Hlk65240764"/>
            <w:r w:rsidRPr="00C1603D">
              <w:rPr>
                <w:rFonts w:eastAsia="Arial"/>
              </w:rPr>
              <w:t>TPOAbs</w:t>
            </w:r>
            <w:bookmarkEnd w:id="610"/>
          </w:p>
        </w:tc>
        <w:tc>
          <w:tcPr>
            <w:tcW w:w="0" w:type="auto"/>
            <w:shd w:val="clear" w:color="auto" w:fill="FFFFFF"/>
            <w:tcMar>
              <w:top w:w="0" w:type="dxa"/>
              <w:left w:w="0" w:type="dxa"/>
              <w:bottom w:w="0" w:type="dxa"/>
              <w:right w:w="0" w:type="dxa"/>
            </w:tcMar>
          </w:tcPr>
          <w:p w14:paraId="213C2C9E" w14:textId="77777777" w:rsidR="008B4DF8" w:rsidRPr="00C1603D" w:rsidRDefault="008B4DF8" w:rsidP="00943414">
            <w:pPr>
              <w:pStyle w:val="72TabletextTablesTableFigureBoxstyles"/>
            </w:pPr>
            <w:r w:rsidRPr="00C1603D">
              <w:rPr>
                <w:rFonts w:eastAsia="Arial"/>
              </w:rPr>
              <w:t>682</w:t>
            </w:r>
          </w:p>
        </w:tc>
        <w:tc>
          <w:tcPr>
            <w:tcW w:w="0" w:type="auto"/>
            <w:shd w:val="clear" w:color="auto" w:fill="FFFFFF"/>
            <w:tcMar>
              <w:top w:w="0" w:type="dxa"/>
              <w:left w:w="0" w:type="dxa"/>
              <w:bottom w:w="0" w:type="dxa"/>
              <w:right w:w="0" w:type="dxa"/>
            </w:tcMar>
          </w:tcPr>
          <w:p w14:paraId="1C887454"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39E38692"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68AE5086"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2541B72"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FAD9411" w14:textId="77777777" w:rsidR="008B4DF8" w:rsidRPr="00C1603D" w:rsidRDefault="008B4DF8" w:rsidP="00943414">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71163E18" w14:textId="4FAFE6BB" w:rsidR="008B4DF8" w:rsidRPr="00C1603D" w:rsidRDefault="003B417F" w:rsidP="00943414">
            <w:pPr>
              <w:pStyle w:val="72TabletextTablesTableFigureBoxstyles"/>
            </w:pPr>
            <w:r w:rsidRPr="00C1603D">
              <w:rPr>
                <w:rFonts w:eastAsia="Arial"/>
                <w:noProof/>
              </w:rPr>
              <w:t xml:space="preserve">Marwaha </w:t>
            </w:r>
            <w:r w:rsidRPr="00C1603D">
              <w:rPr>
                <w:rFonts w:eastAsia="Arial"/>
                <w:i/>
                <w:iCs/>
                <w:noProof/>
              </w:rPr>
              <w:t>et al</w:t>
            </w:r>
            <w:r w:rsidRPr="00C1603D">
              <w:rPr>
                <w:rFonts w:eastAsia="Arial"/>
                <w:noProof/>
              </w:rPr>
              <w:t>.</w:t>
            </w:r>
            <w:r w:rsidR="008B4DF8" w:rsidRPr="00C1603D">
              <w:rPr>
                <w:rFonts w:eastAsia="Arial"/>
                <w:noProof/>
                <w:vertAlign w:val="superscript"/>
              </w:rPr>
              <w:t>475</w:t>
            </w:r>
          </w:p>
        </w:tc>
      </w:tr>
      <w:tr w:rsidR="003B417F" w:rsidRPr="00C1603D" w14:paraId="57EE593F" w14:textId="77777777" w:rsidTr="00943414">
        <w:trPr>
          <w:cantSplit/>
        </w:trPr>
        <w:tc>
          <w:tcPr>
            <w:tcW w:w="0" w:type="auto"/>
            <w:shd w:val="clear" w:color="auto" w:fill="FFFFFF"/>
            <w:tcMar>
              <w:top w:w="0" w:type="dxa"/>
              <w:left w:w="0" w:type="dxa"/>
              <w:bottom w:w="0" w:type="dxa"/>
              <w:right w:w="0" w:type="dxa"/>
            </w:tcMar>
          </w:tcPr>
          <w:p w14:paraId="5F65D115" w14:textId="77777777" w:rsidR="008B4DF8" w:rsidRPr="00C1603D" w:rsidRDefault="008B4DF8" w:rsidP="00943414">
            <w:pPr>
              <w:pStyle w:val="72TabletextTablesTableFigureBoxstyles"/>
            </w:pPr>
            <w:r w:rsidRPr="00C1603D">
              <w:rPr>
                <w:rFonts w:eastAsia="Arial"/>
              </w:rPr>
              <w:lastRenderedPageBreak/>
              <w:t>Children</w:t>
            </w:r>
          </w:p>
        </w:tc>
        <w:tc>
          <w:tcPr>
            <w:tcW w:w="0" w:type="auto"/>
            <w:shd w:val="clear" w:color="auto" w:fill="FFFFFF"/>
            <w:tcMar>
              <w:top w:w="0" w:type="dxa"/>
              <w:left w:w="0" w:type="dxa"/>
              <w:bottom w:w="0" w:type="dxa"/>
              <w:right w:w="0" w:type="dxa"/>
            </w:tcMar>
          </w:tcPr>
          <w:p w14:paraId="60130066" w14:textId="3C1D2BA0"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40326DD" w14:textId="77777777" w:rsidR="008B4DF8" w:rsidRPr="00C1603D" w:rsidRDefault="008B4DF8" w:rsidP="00943414">
            <w:pPr>
              <w:pStyle w:val="72TabletextTablesTableFigureBoxstyles"/>
            </w:pPr>
            <w:r w:rsidRPr="00C1603D">
              <w:rPr>
                <w:rFonts w:eastAsia="Arial"/>
              </w:rPr>
              <w:t>Thyroid autoimmunity</w:t>
            </w:r>
          </w:p>
        </w:tc>
        <w:tc>
          <w:tcPr>
            <w:tcW w:w="0" w:type="auto"/>
            <w:shd w:val="clear" w:color="auto" w:fill="FFFFFF"/>
            <w:tcMar>
              <w:top w:w="0" w:type="dxa"/>
              <w:left w:w="0" w:type="dxa"/>
              <w:bottom w:w="0" w:type="dxa"/>
              <w:right w:w="0" w:type="dxa"/>
            </w:tcMar>
          </w:tcPr>
          <w:p w14:paraId="17F6D603" w14:textId="77777777" w:rsidR="008B4DF8" w:rsidRPr="00C1603D" w:rsidRDefault="008B4DF8" w:rsidP="00943414">
            <w:pPr>
              <w:pStyle w:val="72TabletextTablesTableFigureBoxstyles"/>
            </w:pPr>
            <w:r w:rsidRPr="00C1603D">
              <w:rPr>
                <w:rFonts w:eastAsia="Arial"/>
              </w:rPr>
              <w:t>132</w:t>
            </w:r>
          </w:p>
        </w:tc>
        <w:tc>
          <w:tcPr>
            <w:tcW w:w="0" w:type="auto"/>
            <w:shd w:val="clear" w:color="auto" w:fill="FFFFFF"/>
            <w:tcMar>
              <w:top w:w="0" w:type="dxa"/>
              <w:left w:w="0" w:type="dxa"/>
              <w:bottom w:w="0" w:type="dxa"/>
              <w:right w:w="0" w:type="dxa"/>
            </w:tcMar>
          </w:tcPr>
          <w:p w14:paraId="737CEFE0" w14:textId="2CEAE69A"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B0B6CD2"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05A854A" w14:textId="117AFE43"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4BB828EC" w14:textId="77777777" w:rsidR="008B4DF8" w:rsidRPr="00C1603D" w:rsidRDefault="008B4DF8" w:rsidP="00943414">
            <w:pPr>
              <w:pStyle w:val="72TabletextTablesTableFigureBoxstyles"/>
            </w:pPr>
            <w:r w:rsidRPr="00C1603D">
              <w:rPr>
                <w:rFonts w:eastAsia="Arial"/>
              </w:rPr>
              <w:t>Unclear</w:t>
            </w:r>
          </w:p>
        </w:tc>
        <w:tc>
          <w:tcPr>
            <w:tcW w:w="0" w:type="auto"/>
            <w:shd w:val="clear" w:color="auto" w:fill="FFFFFF"/>
            <w:tcMar>
              <w:top w:w="0" w:type="dxa"/>
              <w:left w:w="0" w:type="dxa"/>
              <w:bottom w:w="0" w:type="dxa"/>
              <w:right w:w="0" w:type="dxa"/>
            </w:tcMar>
          </w:tcPr>
          <w:p w14:paraId="7306B2AF"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6301D251" w14:textId="774213EA" w:rsidR="008B4DF8" w:rsidRPr="00C1603D" w:rsidRDefault="003B417F" w:rsidP="00943414">
            <w:pPr>
              <w:pStyle w:val="72TabletextTablesTableFigureBoxstyles"/>
            </w:pPr>
            <w:r w:rsidRPr="00C1603D">
              <w:rPr>
                <w:rFonts w:eastAsia="Arial"/>
                <w:noProof/>
              </w:rPr>
              <w:t xml:space="preserve">Sahin </w:t>
            </w:r>
            <w:r w:rsidRPr="00C1603D">
              <w:rPr>
                <w:rFonts w:eastAsia="Arial"/>
                <w:i/>
                <w:iCs/>
                <w:noProof/>
              </w:rPr>
              <w:t>et al</w:t>
            </w:r>
            <w:r w:rsidRPr="00C1603D">
              <w:rPr>
                <w:rFonts w:eastAsia="Arial"/>
                <w:noProof/>
              </w:rPr>
              <w:t>.</w:t>
            </w:r>
            <w:r w:rsidR="008B4DF8" w:rsidRPr="00C1603D">
              <w:rPr>
                <w:rFonts w:eastAsia="Arial"/>
                <w:noProof/>
                <w:vertAlign w:val="superscript"/>
              </w:rPr>
              <w:t>476</w:t>
            </w:r>
          </w:p>
        </w:tc>
      </w:tr>
      <w:tr w:rsidR="003B417F" w:rsidRPr="00C1603D" w14:paraId="506A5E53" w14:textId="77777777" w:rsidTr="00943414">
        <w:trPr>
          <w:cantSplit/>
        </w:trPr>
        <w:tc>
          <w:tcPr>
            <w:tcW w:w="0" w:type="auto"/>
            <w:shd w:val="clear" w:color="auto" w:fill="FFFFFF"/>
            <w:tcMar>
              <w:top w:w="0" w:type="dxa"/>
              <w:left w:w="0" w:type="dxa"/>
              <w:bottom w:w="0" w:type="dxa"/>
              <w:right w:w="0" w:type="dxa"/>
            </w:tcMar>
          </w:tcPr>
          <w:p w14:paraId="6DE2AE56"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2C46FB06" w14:textId="3E9BAA23"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3A18F0AB" w14:textId="77777777" w:rsidR="008B4DF8" w:rsidRPr="00C1603D" w:rsidRDefault="008B4DF8" w:rsidP="00943414">
            <w:pPr>
              <w:pStyle w:val="72TabletextTablesTableFigureBoxstyles"/>
            </w:pPr>
            <w:r w:rsidRPr="00C1603D">
              <w:rPr>
                <w:rFonts w:eastAsia="Arial"/>
              </w:rPr>
              <w:t>Thyroid autoimmunity</w:t>
            </w:r>
          </w:p>
        </w:tc>
        <w:tc>
          <w:tcPr>
            <w:tcW w:w="0" w:type="auto"/>
            <w:shd w:val="clear" w:color="auto" w:fill="FFFFFF"/>
            <w:tcMar>
              <w:top w:w="0" w:type="dxa"/>
              <w:left w:w="0" w:type="dxa"/>
              <w:bottom w:w="0" w:type="dxa"/>
              <w:right w:w="0" w:type="dxa"/>
            </w:tcMar>
          </w:tcPr>
          <w:p w14:paraId="69D5A1A4" w14:textId="77777777" w:rsidR="008B4DF8" w:rsidRPr="00C1603D" w:rsidRDefault="008B4DF8" w:rsidP="00943414">
            <w:pPr>
              <w:pStyle w:val="72TabletextTablesTableFigureBoxstyles"/>
            </w:pPr>
            <w:r w:rsidRPr="00C1603D">
              <w:rPr>
                <w:rFonts w:eastAsia="Arial"/>
              </w:rPr>
              <w:t>204</w:t>
            </w:r>
          </w:p>
        </w:tc>
        <w:tc>
          <w:tcPr>
            <w:tcW w:w="0" w:type="auto"/>
            <w:shd w:val="clear" w:color="auto" w:fill="FFFFFF"/>
            <w:tcMar>
              <w:top w:w="0" w:type="dxa"/>
              <w:left w:w="0" w:type="dxa"/>
              <w:bottom w:w="0" w:type="dxa"/>
              <w:right w:w="0" w:type="dxa"/>
            </w:tcMar>
          </w:tcPr>
          <w:p w14:paraId="43A70265" w14:textId="4A9D7D95"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913B328"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03CCF6E7" w14:textId="5B71BC26"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6928A8A6"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7DAD300" w14:textId="77777777" w:rsidR="008B4DF8" w:rsidRPr="00C1603D" w:rsidRDefault="008B4DF8" w:rsidP="00943414">
            <w:pPr>
              <w:pStyle w:val="72TabletextTablesTableFigureBoxstyles"/>
            </w:pPr>
            <w:r w:rsidRPr="00C1603D">
              <w:rPr>
                <w:rFonts w:eastAsia="Arial"/>
              </w:rPr>
              <w:t>Turkey</w:t>
            </w:r>
          </w:p>
        </w:tc>
        <w:tc>
          <w:tcPr>
            <w:tcW w:w="0" w:type="auto"/>
            <w:shd w:val="clear" w:color="auto" w:fill="FFFFFF"/>
            <w:tcMar>
              <w:top w:w="0" w:type="dxa"/>
              <w:left w:w="0" w:type="dxa"/>
              <w:bottom w:w="0" w:type="dxa"/>
              <w:right w:w="0" w:type="dxa"/>
            </w:tcMar>
          </w:tcPr>
          <w:p w14:paraId="00DD9A05" w14:textId="50B2CAA7" w:rsidR="008B4DF8" w:rsidRPr="00C1603D" w:rsidRDefault="003B417F" w:rsidP="00943414">
            <w:pPr>
              <w:pStyle w:val="72TabletextTablesTableFigureBoxstyles"/>
            </w:pPr>
            <w:r w:rsidRPr="00C1603D">
              <w:rPr>
                <w:rFonts w:eastAsia="Arial"/>
                <w:noProof/>
              </w:rPr>
              <w:t xml:space="preserve">Sari </w:t>
            </w:r>
            <w:r w:rsidRPr="00C1603D">
              <w:rPr>
                <w:rFonts w:eastAsia="Arial"/>
                <w:i/>
                <w:iCs/>
                <w:noProof/>
              </w:rPr>
              <w:t>et al</w:t>
            </w:r>
            <w:r w:rsidRPr="00C1603D">
              <w:rPr>
                <w:rFonts w:eastAsia="Arial"/>
                <w:noProof/>
              </w:rPr>
              <w:t>.</w:t>
            </w:r>
            <w:r w:rsidR="008B4DF8" w:rsidRPr="00C1603D">
              <w:rPr>
                <w:rFonts w:eastAsia="Arial"/>
                <w:noProof/>
                <w:vertAlign w:val="superscript"/>
              </w:rPr>
              <w:t>477</w:t>
            </w:r>
          </w:p>
        </w:tc>
      </w:tr>
      <w:tr w:rsidR="003B417F" w:rsidRPr="00C1603D" w14:paraId="2C620B5D" w14:textId="77777777" w:rsidTr="00943414">
        <w:trPr>
          <w:cantSplit/>
        </w:trPr>
        <w:tc>
          <w:tcPr>
            <w:tcW w:w="0" w:type="auto"/>
            <w:shd w:val="clear" w:color="auto" w:fill="FFFFFF"/>
            <w:tcMar>
              <w:top w:w="0" w:type="dxa"/>
              <w:left w:w="0" w:type="dxa"/>
              <w:bottom w:w="0" w:type="dxa"/>
              <w:right w:w="0" w:type="dxa"/>
            </w:tcMar>
          </w:tcPr>
          <w:p w14:paraId="1BB16BF3" w14:textId="77777777" w:rsidR="008B4DF8" w:rsidRPr="00C1603D" w:rsidRDefault="008B4DF8" w:rsidP="00943414">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00870766" w14:textId="0A727199" w:rsidR="008B4DF8" w:rsidRPr="00C1603D" w:rsidRDefault="00B25FE9" w:rsidP="00943414">
            <w:pPr>
              <w:pStyle w:val="72TabletextTablesTableFigureBoxstyles"/>
              <w:rPr>
                <w:rFonts w:eastAsia="Arial"/>
              </w:rPr>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733776B" w14:textId="77777777" w:rsidR="008B4DF8" w:rsidRPr="00C1603D" w:rsidRDefault="008B4DF8" w:rsidP="00943414">
            <w:pPr>
              <w:pStyle w:val="72TabletextTablesTableFigureBoxstyles"/>
              <w:rPr>
                <w:rFonts w:eastAsia="Arial"/>
              </w:rPr>
            </w:pPr>
            <w:r w:rsidRPr="00C1603D">
              <w:rPr>
                <w:rFonts w:eastAsia="Arial"/>
              </w:rPr>
              <w:t>Thyroid autoimmunity</w:t>
            </w:r>
          </w:p>
        </w:tc>
        <w:tc>
          <w:tcPr>
            <w:tcW w:w="0" w:type="auto"/>
            <w:shd w:val="clear" w:color="auto" w:fill="FFFFFF"/>
            <w:tcMar>
              <w:top w:w="0" w:type="dxa"/>
              <w:left w:w="0" w:type="dxa"/>
              <w:bottom w:w="0" w:type="dxa"/>
              <w:right w:w="0" w:type="dxa"/>
            </w:tcMar>
          </w:tcPr>
          <w:p w14:paraId="6C7939E2" w14:textId="77777777" w:rsidR="008B4DF8" w:rsidRPr="00C1603D" w:rsidRDefault="008B4DF8" w:rsidP="00943414">
            <w:pPr>
              <w:pStyle w:val="72TabletextTablesTableFigureBoxstyles"/>
              <w:rPr>
                <w:rFonts w:eastAsia="Arial"/>
              </w:rPr>
            </w:pPr>
            <w:r w:rsidRPr="00C1603D">
              <w:rPr>
                <w:rFonts w:eastAsia="Arial"/>
              </w:rPr>
              <w:t>134</w:t>
            </w:r>
          </w:p>
        </w:tc>
        <w:tc>
          <w:tcPr>
            <w:tcW w:w="0" w:type="auto"/>
            <w:shd w:val="clear" w:color="auto" w:fill="FFFFFF"/>
            <w:tcMar>
              <w:top w:w="0" w:type="dxa"/>
              <w:left w:w="0" w:type="dxa"/>
              <w:bottom w:w="0" w:type="dxa"/>
              <w:right w:w="0" w:type="dxa"/>
            </w:tcMar>
          </w:tcPr>
          <w:p w14:paraId="01AE7BA1" w14:textId="77777777" w:rsidR="008B4DF8" w:rsidRPr="00C1603D" w:rsidRDefault="008B4DF8" w:rsidP="00943414">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1DC991F4" w14:textId="77777777" w:rsidR="008B4DF8" w:rsidRPr="00C1603D" w:rsidRDefault="008B4DF8" w:rsidP="00943414">
            <w:pPr>
              <w:pStyle w:val="72TabletextTablesTableFigureBoxstyles"/>
              <w:rPr>
                <w:rFonts w:eastAsia="Arial"/>
              </w:rPr>
            </w:pPr>
            <w:r w:rsidRPr="00C1603D">
              <w:rPr>
                <w:rFonts w:eastAsia="Arial"/>
              </w:rPr>
              <w:t>Healthy controls</w:t>
            </w:r>
          </w:p>
        </w:tc>
        <w:tc>
          <w:tcPr>
            <w:tcW w:w="0" w:type="auto"/>
            <w:shd w:val="clear" w:color="auto" w:fill="FFFFFF"/>
            <w:tcMar>
              <w:top w:w="0" w:type="dxa"/>
              <w:left w:w="0" w:type="dxa"/>
              <w:bottom w:w="0" w:type="dxa"/>
              <w:right w:w="0" w:type="dxa"/>
            </w:tcMar>
          </w:tcPr>
          <w:p w14:paraId="58F0F58A" w14:textId="3B34D440" w:rsidR="008B4DF8" w:rsidRPr="00C1603D" w:rsidRDefault="008B4DF8" w:rsidP="00943414">
            <w:pPr>
              <w:pStyle w:val="72TabletextTablesTableFigureBoxstyles"/>
              <w:rPr>
                <w:rFonts w:eastAsia="Arial"/>
              </w:rPr>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2F088CF2" w14:textId="77777777" w:rsidR="008B4DF8" w:rsidRPr="00C1603D" w:rsidRDefault="008B4DF8" w:rsidP="00943414">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7613E346" w14:textId="77777777" w:rsidR="008B4DF8" w:rsidRPr="00C1603D" w:rsidRDefault="008B4DF8" w:rsidP="00943414">
            <w:pPr>
              <w:pStyle w:val="72TabletextTablesTableFigureBoxstyles"/>
              <w:rPr>
                <w:rFonts w:eastAsia="Arial"/>
              </w:rPr>
            </w:pPr>
            <w:r w:rsidRPr="00C1603D">
              <w:rPr>
                <w:rFonts w:eastAsia="Arial"/>
              </w:rPr>
              <w:t>Romania</w:t>
            </w:r>
          </w:p>
        </w:tc>
        <w:tc>
          <w:tcPr>
            <w:tcW w:w="0" w:type="auto"/>
            <w:shd w:val="clear" w:color="auto" w:fill="FFFFFF"/>
            <w:tcMar>
              <w:top w:w="0" w:type="dxa"/>
              <w:left w:w="0" w:type="dxa"/>
              <w:bottom w:w="0" w:type="dxa"/>
              <w:right w:w="0" w:type="dxa"/>
            </w:tcMar>
          </w:tcPr>
          <w:p w14:paraId="7402D994" w14:textId="1946DD45" w:rsidR="008B4DF8" w:rsidRPr="00C1603D" w:rsidRDefault="003B417F" w:rsidP="00943414">
            <w:pPr>
              <w:pStyle w:val="72TabletextTablesTableFigureBoxstyles"/>
              <w:rPr>
                <w:rFonts w:eastAsia="Arial"/>
              </w:rPr>
            </w:pPr>
            <w:r w:rsidRPr="00C1603D">
              <w:rPr>
                <w:rFonts w:eastAsia="Arial"/>
                <w:noProof/>
              </w:rPr>
              <w:t xml:space="preserve">Oana </w:t>
            </w:r>
            <w:r w:rsidRPr="00C1603D">
              <w:rPr>
                <w:rFonts w:eastAsia="Arial"/>
                <w:i/>
                <w:iCs/>
                <w:noProof/>
              </w:rPr>
              <w:t>et al</w:t>
            </w:r>
            <w:r w:rsidRPr="00C1603D">
              <w:rPr>
                <w:rFonts w:eastAsia="Arial"/>
                <w:noProof/>
              </w:rPr>
              <w:t>.</w:t>
            </w:r>
            <w:r w:rsidR="008B4DF8" w:rsidRPr="00C1603D">
              <w:rPr>
                <w:rFonts w:eastAsia="Arial"/>
                <w:noProof/>
                <w:vertAlign w:val="superscript"/>
              </w:rPr>
              <w:t>400</w:t>
            </w:r>
          </w:p>
        </w:tc>
      </w:tr>
      <w:tr w:rsidR="003B417F" w:rsidRPr="00C1603D" w14:paraId="3B8D65F0" w14:textId="77777777" w:rsidTr="00943414">
        <w:trPr>
          <w:cantSplit/>
        </w:trPr>
        <w:tc>
          <w:tcPr>
            <w:tcW w:w="0" w:type="auto"/>
            <w:shd w:val="clear" w:color="auto" w:fill="FFFFFF"/>
            <w:tcMar>
              <w:top w:w="0" w:type="dxa"/>
              <w:left w:w="0" w:type="dxa"/>
              <w:bottom w:w="0" w:type="dxa"/>
              <w:right w:w="0" w:type="dxa"/>
            </w:tcMar>
          </w:tcPr>
          <w:p w14:paraId="485AA75B"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58D32D37" w14:textId="18C357F9" w:rsidR="008B4DF8" w:rsidRPr="00C1603D" w:rsidRDefault="008374B7" w:rsidP="00943414">
            <w:pPr>
              <w:pStyle w:val="72TabletextTablesTableFigureBoxstyles"/>
            </w:pPr>
            <w:r w:rsidRPr="00C1603D">
              <w:rPr>
                <w:rFonts w:eastAsia="Arial"/>
              </w:rPr>
              <w:t xml:space="preserve">Nested </w:t>
            </w:r>
            <w:r w:rsidR="008B4DF8" w:rsidRPr="00C1603D">
              <w:rPr>
                <w:rFonts w:eastAsia="Arial"/>
              </w:rPr>
              <w:t>case control (based on CD)</w:t>
            </w:r>
          </w:p>
        </w:tc>
        <w:tc>
          <w:tcPr>
            <w:tcW w:w="0" w:type="auto"/>
            <w:shd w:val="clear" w:color="auto" w:fill="FFFFFF"/>
            <w:tcMar>
              <w:top w:w="0" w:type="dxa"/>
              <w:left w:w="0" w:type="dxa"/>
              <w:bottom w:w="0" w:type="dxa"/>
              <w:right w:w="0" w:type="dxa"/>
            </w:tcMar>
          </w:tcPr>
          <w:p w14:paraId="387A8B0C" w14:textId="77777777" w:rsidR="008B4DF8" w:rsidRPr="00C1603D" w:rsidRDefault="008B4DF8" w:rsidP="00943414">
            <w:pPr>
              <w:pStyle w:val="72TabletextTablesTableFigureBoxstyles"/>
            </w:pPr>
            <w:r w:rsidRPr="00C1603D">
              <w:rPr>
                <w:rFonts w:eastAsia="Arial"/>
              </w:rPr>
              <w:t>TPOAbs</w:t>
            </w:r>
          </w:p>
        </w:tc>
        <w:tc>
          <w:tcPr>
            <w:tcW w:w="0" w:type="auto"/>
            <w:shd w:val="clear" w:color="auto" w:fill="FFFFFF"/>
            <w:tcMar>
              <w:top w:w="0" w:type="dxa"/>
              <w:left w:w="0" w:type="dxa"/>
              <w:bottom w:w="0" w:type="dxa"/>
              <w:right w:w="0" w:type="dxa"/>
            </w:tcMar>
          </w:tcPr>
          <w:p w14:paraId="50350CB2" w14:textId="77777777" w:rsidR="008B4DF8" w:rsidRPr="00C1603D" w:rsidRDefault="008B4DF8" w:rsidP="00943414">
            <w:pPr>
              <w:pStyle w:val="72TabletextTablesTableFigureBoxstyles"/>
            </w:pPr>
            <w:r w:rsidRPr="00C1603D">
              <w:rPr>
                <w:rFonts w:eastAsia="Arial"/>
              </w:rPr>
              <w:t>2030</w:t>
            </w:r>
          </w:p>
        </w:tc>
        <w:tc>
          <w:tcPr>
            <w:tcW w:w="0" w:type="auto"/>
            <w:shd w:val="clear" w:color="auto" w:fill="FFFFFF"/>
            <w:tcMar>
              <w:top w:w="0" w:type="dxa"/>
              <w:left w:w="0" w:type="dxa"/>
              <w:bottom w:w="0" w:type="dxa"/>
              <w:right w:w="0" w:type="dxa"/>
            </w:tcMar>
          </w:tcPr>
          <w:p w14:paraId="1E34F17E" w14:textId="16E79C97" w:rsidR="008B4DF8" w:rsidRPr="00C1603D" w:rsidRDefault="008B4DF8" w:rsidP="00943414">
            <w:pPr>
              <w:pStyle w:val="72TabletextTablesTableFigureBoxstyles"/>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702126AB"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42D55B4B" w14:textId="6E74D69D" w:rsidR="008B4DF8" w:rsidRPr="00C1603D" w:rsidRDefault="008B4DF8" w:rsidP="00943414">
            <w:pPr>
              <w:pStyle w:val="72TabletextTablesTableFigureBoxstyles"/>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E1C18C0"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66EE42AF" w14:textId="77777777" w:rsidR="008B4DF8" w:rsidRPr="00C1603D" w:rsidRDefault="008B4DF8" w:rsidP="00943414">
            <w:pPr>
              <w:pStyle w:val="72TabletextTablesTableFigureBoxstyles"/>
            </w:pPr>
            <w:r w:rsidRPr="00C1603D">
              <w:rPr>
                <w:rFonts w:eastAsia="Arial"/>
              </w:rPr>
              <w:t>Sweden</w:t>
            </w:r>
          </w:p>
        </w:tc>
        <w:tc>
          <w:tcPr>
            <w:tcW w:w="0" w:type="auto"/>
            <w:shd w:val="clear" w:color="auto" w:fill="FFFFFF"/>
            <w:tcMar>
              <w:top w:w="0" w:type="dxa"/>
              <w:left w:w="0" w:type="dxa"/>
              <w:bottom w:w="0" w:type="dxa"/>
              <w:right w:w="0" w:type="dxa"/>
            </w:tcMar>
          </w:tcPr>
          <w:p w14:paraId="5D81119C" w14:textId="481A56CE" w:rsidR="008B4DF8" w:rsidRPr="00C1603D" w:rsidRDefault="003B417F" w:rsidP="00943414">
            <w:pPr>
              <w:pStyle w:val="72TabletextTablesTableFigureBoxstyles"/>
            </w:pPr>
            <w:r w:rsidRPr="00C1603D">
              <w:rPr>
                <w:rFonts w:eastAsia="Arial"/>
                <w:noProof/>
              </w:rPr>
              <w:t xml:space="preserve">van der Pals </w:t>
            </w:r>
            <w:r w:rsidRPr="00C1603D">
              <w:rPr>
                <w:rFonts w:eastAsia="Arial"/>
                <w:i/>
                <w:iCs/>
                <w:noProof/>
              </w:rPr>
              <w:t>et al</w:t>
            </w:r>
            <w:r w:rsidRPr="00C1603D">
              <w:rPr>
                <w:rFonts w:eastAsia="Arial"/>
                <w:noProof/>
              </w:rPr>
              <w:t>.</w:t>
            </w:r>
            <w:r w:rsidR="008B4DF8" w:rsidRPr="00C1603D">
              <w:rPr>
                <w:rFonts w:eastAsia="Arial"/>
                <w:noProof/>
                <w:vertAlign w:val="superscript"/>
              </w:rPr>
              <w:t>478</w:t>
            </w:r>
          </w:p>
        </w:tc>
      </w:tr>
      <w:tr w:rsidR="003B417F" w:rsidRPr="00C1603D" w14:paraId="419D20B7" w14:textId="77777777" w:rsidTr="00943414">
        <w:trPr>
          <w:cantSplit/>
        </w:trPr>
        <w:tc>
          <w:tcPr>
            <w:tcW w:w="0" w:type="auto"/>
            <w:shd w:val="clear" w:color="auto" w:fill="FFFFFF"/>
            <w:tcMar>
              <w:top w:w="0" w:type="dxa"/>
              <w:left w:w="0" w:type="dxa"/>
              <w:bottom w:w="0" w:type="dxa"/>
              <w:right w:w="0" w:type="dxa"/>
            </w:tcMar>
          </w:tcPr>
          <w:p w14:paraId="3A8C80FA" w14:textId="77777777" w:rsidR="008B4DF8" w:rsidRPr="00C1603D" w:rsidRDefault="008B4DF8" w:rsidP="00943414">
            <w:pPr>
              <w:pStyle w:val="72TabletextTablesTableFigureBoxstyles"/>
            </w:pPr>
            <w:r w:rsidRPr="00C1603D">
              <w:rPr>
                <w:rFonts w:eastAsia="Arial"/>
              </w:rPr>
              <w:t>Children</w:t>
            </w:r>
          </w:p>
        </w:tc>
        <w:tc>
          <w:tcPr>
            <w:tcW w:w="0" w:type="auto"/>
            <w:shd w:val="clear" w:color="auto" w:fill="FFFFFF"/>
            <w:tcMar>
              <w:top w:w="0" w:type="dxa"/>
              <w:left w:w="0" w:type="dxa"/>
              <w:bottom w:w="0" w:type="dxa"/>
              <w:right w:w="0" w:type="dxa"/>
            </w:tcMar>
          </w:tcPr>
          <w:p w14:paraId="3B3CDA07" w14:textId="77777777" w:rsidR="008B4DF8" w:rsidRPr="00C1603D" w:rsidRDefault="008B4DF8" w:rsidP="00943414">
            <w:pPr>
              <w:pStyle w:val="72TabletextTablesTableFigureBoxstyles"/>
            </w:pPr>
            <w:r w:rsidRPr="00C1603D">
              <w:rPr>
                <w:rFonts w:eastAsia="Arial"/>
              </w:rPr>
              <w:t xml:space="preserve">Nested </w:t>
            </w:r>
            <w:r w:rsidRPr="00C1603D">
              <w:rPr>
                <w:rFonts w:eastAsia="Arial"/>
                <w:color w:val="00B0F0"/>
              </w:rPr>
              <w:t>case–control</w:t>
            </w:r>
            <w:r w:rsidRPr="00C1603D">
              <w:rPr>
                <w:rFonts w:eastAsia="Arial"/>
              </w:rPr>
              <w:t xml:space="preserve"> (DI)</w:t>
            </w:r>
          </w:p>
        </w:tc>
        <w:tc>
          <w:tcPr>
            <w:tcW w:w="0" w:type="auto"/>
            <w:shd w:val="clear" w:color="auto" w:fill="FFFFFF"/>
            <w:tcMar>
              <w:top w:w="0" w:type="dxa"/>
              <w:left w:w="0" w:type="dxa"/>
              <w:bottom w:w="0" w:type="dxa"/>
              <w:right w:w="0" w:type="dxa"/>
            </w:tcMar>
          </w:tcPr>
          <w:p w14:paraId="288504E7" w14:textId="77777777" w:rsidR="008B4DF8" w:rsidRPr="00C1603D" w:rsidRDefault="008B4DF8" w:rsidP="00943414">
            <w:pPr>
              <w:pStyle w:val="72TabletextTablesTableFigureBoxstyles"/>
            </w:pPr>
            <w:r w:rsidRPr="00C1603D">
              <w:rPr>
                <w:rFonts w:eastAsia="Arial"/>
              </w:rPr>
              <w:t>TPOAbs</w:t>
            </w:r>
          </w:p>
        </w:tc>
        <w:tc>
          <w:tcPr>
            <w:tcW w:w="0" w:type="auto"/>
            <w:shd w:val="clear" w:color="auto" w:fill="FFFFFF"/>
            <w:tcMar>
              <w:top w:w="0" w:type="dxa"/>
              <w:left w:w="0" w:type="dxa"/>
              <w:bottom w:w="0" w:type="dxa"/>
              <w:right w:w="0" w:type="dxa"/>
            </w:tcMar>
          </w:tcPr>
          <w:p w14:paraId="1219DAE7" w14:textId="77777777" w:rsidR="008B4DF8" w:rsidRPr="00C1603D" w:rsidRDefault="008B4DF8" w:rsidP="00943414">
            <w:pPr>
              <w:pStyle w:val="72TabletextTablesTableFigureBoxstyles"/>
            </w:pPr>
            <w:r w:rsidRPr="00C1603D">
              <w:rPr>
                <w:rFonts w:eastAsia="Arial"/>
              </w:rPr>
              <w:t>472</w:t>
            </w:r>
          </w:p>
        </w:tc>
        <w:tc>
          <w:tcPr>
            <w:tcW w:w="0" w:type="auto"/>
            <w:shd w:val="clear" w:color="auto" w:fill="FFFFFF"/>
            <w:tcMar>
              <w:top w:w="0" w:type="dxa"/>
              <w:left w:w="0" w:type="dxa"/>
              <w:bottom w:w="0" w:type="dxa"/>
              <w:right w:w="0" w:type="dxa"/>
            </w:tcMar>
          </w:tcPr>
          <w:p w14:paraId="04EF8040" w14:textId="77777777" w:rsidR="008B4DF8" w:rsidRPr="00C1603D" w:rsidRDefault="008B4DF8" w:rsidP="00943414">
            <w:pPr>
              <w:pStyle w:val="72TabletextTablesTableFigureBoxstyles"/>
            </w:pPr>
            <w:r w:rsidRPr="00C1603D">
              <w:rPr>
                <w:rFonts w:eastAsia="Arial"/>
              </w:rPr>
              <w:t>NR</w:t>
            </w:r>
          </w:p>
        </w:tc>
        <w:tc>
          <w:tcPr>
            <w:tcW w:w="0" w:type="auto"/>
            <w:shd w:val="clear" w:color="auto" w:fill="FFFFFF"/>
            <w:tcMar>
              <w:top w:w="0" w:type="dxa"/>
              <w:left w:w="0" w:type="dxa"/>
              <w:bottom w:w="0" w:type="dxa"/>
              <w:right w:w="0" w:type="dxa"/>
            </w:tcMar>
          </w:tcPr>
          <w:p w14:paraId="7317D0CB"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73B1E8C4"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0B3B8C23"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067BC19B" w14:textId="77777777" w:rsidR="008B4DF8" w:rsidRPr="00C1603D" w:rsidRDefault="008B4DF8" w:rsidP="00943414">
            <w:pPr>
              <w:pStyle w:val="72TabletextTablesTableFigureBoxstyles"/>
            </w:pPr>
            <w:r w:rsidRPr="00C1603D">
              <w:rPr>
                <w:rFonts w:eastAsia="Arial"/>
              </w:rPr>
              <w:t>India</w:t>
            </w:r>
          </w:p>
        </w:tc>
        <w:tc>
          <w:tcPr>
            <w:tcW w:w="0" w:type="auto"/>
            <w:shd w:val="clear" w:color="auto" w:fill="FFFFFF"/>
            <w:tcMar>
              <w:top w:w="0" w:type="dxa"/>
              <w:left w:w="0" w:type="dxa"/>
              <w:bottom w:w="0" w:type="dxa"/>
              <w:right w:w="0" w:type="dxa"/>
            </w:tcMar>
          </w:tcPr>
          <w:p w14:paraId="54BF1533" w14:textId="5C97A4F2" w:rsidR="008B4DF8" w:rsidRPr="00C1603D" w:rsidRDefault="000863C7" w:rsidP="00943414">
            <w:pPr>
              <w:pStyle w:val="72TabletextTablesTableFigureBoxstyles"/>
            </w:pPr>
            <w:r w:rsidRPr="00C1603D">
              <w:rPr>
                <w:rFonts w:eastAsia="Arial"/>
                <w:noProof/>
              </w:rPr>
              <w:t xml:space="preserve">Marwaha </w:t>
            </w:r>
            <w:r w:rsidRPr="00C1603D">
              <w:rPr>
                <w:rFonts w:eastAsia="Arial"/>
                <w:i/>
                <w:iCs/>
                <w:noProof/>
              </w:rPr>
              <w:t>et al</w:t>
            </w:r>
            <w:r w:rsidRPr="00C1603D">
              <w:rPr>
                <w:rFonts w:eastAsia="Arial"/>
                <w:noProof/>
              </w:rPr>
              <w:t>.</w:t>
            </w:r>
            <w:r w:rsidR="008B4DF8" w:rsidRPr="00C1603D">
              <w:rPr>
                <w:rFonts w:eastAsia="Arial"/>
                <w:noProof/>
                <w:vertAlign w:val="superscript"/>
              </w:rPr>
              <w:t>475</w:t>
            </w:r>
          </w:p>
        </w:tc>
      </w:tr>
      <w:tr w:rsidR="003B417F" w:rsidRPr="00C1603D" w14:paraId="1D7EADA6" w14:textId="77777777" w:rsidTr="00943414">
        <w:trPr>
          <w:cantSplit/>
        </w:trPr>
        <w:tc>
          <w:tcPr>
            <w:tcW w:w="0" w:type="auto"/>
            <w:shd w:val="clear" w:color="auto" w:fill="FFFFFF"/>
            <w:tcMar>
              <w:top w:w="0" w:type="dxa"/>
              <w:left w:w="0" w:type="dxa"/>
              <w:bottom w:w="0" w:type="dxa"/>
              <w:right w:w="0" w:type="dxa"/>
            </w:tcMar>
          </w:tcPr>
          <w:p w14:paraId="43FCE87E"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587005B6" w14:textId="42A3F64F"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5C97EC16" w14:textId="77777777" w:rsidR="008B4DF8" w:rsidRPr="00C1603D" w:rsidRDefault="008B4DF8" w:rsidP="00943414">
            <w:pPr>
              <w:pStyle w:val="72TabletextTablesTableFigureBoxstyles"/>
            </w:pPr>
            <w:bookmarkStart w:id="611" w:name="_Hlk65240771"/>
            <w:r w:rsidRPr="00C1603D">
              <w:rPr>
                <w:rFonts w:eastAsia="Arial"/>
              </w:rPr>
              <w:t>Free T4 or TSH</w:t>
            </w:r>
            <w:bookmarkEnd w:id="611"/>
          </w:p>
        </w:tc>
        <w:tc>
          <w:tcPr>
            <w:tcW w:w="0" w:type="auto"/>
            <w:shd w:val="clear" w:color="auto" w:fill="FFFFFF"/>
            <w:tcMar>
              <w:top w:w="0" w:type="dxa"/>
              <w:left w:w="0" w:type="dxa"/>
              <w:bottom w:w="0" w:type="dxa"/>
              <w:right w:w="0" w:type="dxa"/>
            </w:tcMar>
          </w:tcPr>
          <w:p w14:paraId="4B48E115" w14:textId="77777777" w:rsidR="008B4DF8" w:rsidRPr="00C1603D" w:rsidRDefault="008B4DF8" w:rsidP="00943414">
            <w:pPr>
              <w:pStyle w:val="72TabletextTablesTableFigureBoxstyles"/>
            </w:pPr>
            <w:r w:rsidRPr="00C1603D">
              <w:rPr>
                <w:rFonts w:eastAsia="Arial"/>
              </w:rPr>
              <w:t>77</w:t>
            </w:r>
          </w:p>
        </w:tc>
        <w:tc>
          <w:tcPr>
            <w:tcW w:w="0" w:type="auto"/>
            <w:shd w:val="clear" w:color="auto" w:fill="FFFFFF"/>
            <w:tcMar>
              <w:top w:w="0" w:type="dxa"/>
              <w:left w:w="0" w:type="dxa"/>
              <w:bottom w:w="0" w:type="dxa"/>
              <w:right w:w="0" w:type="dxa"/>
            </w:tcMar>
          </w:tcPr>
          <w:p w14:paraId="45EFBB58" w14:textId="4E6F1011" w:rsidR="008B4DF8" w:rsidRPr="00C1603D" w:rsidRDefault="008B4DF8" w:rsidP="00943414">
            <w:pPr>
              <w:pStyle w:val="72TabletextTablesTableFigureBoxstyles"/>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8F2FB35"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3C9BEABC" w14:textId="73415EC4" w:rsidR="008B4DF8" w:rsidRPr="00C1603D" w:rsidRDefault="008B4DF8" w:rsidP="00943414">
            <w:pPr>
              <w:pStyle w:val="72TabletextTablesTableFigureBoxstyles"/>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4488F6E7" w14:textId="77777777" w:rsidR="008B4DF8" w:rsidRPr="00C1603D" w:rsidRDefault="008B4DF8" w:rsidP="00943414">
            <w:pPr>
              <w:pStyle w:val="72TabletextTablesTableFigureBoxstyles"/>
            </w:pPr>
            <w:r w:rsidRPr="00C1603D">
              <w:rPr>
                <w:rFonts w:eastAsia="Arial"/>
              </w:rPr>
              <w:t>Secondary</w:t>
            </w:r>
          </w:p>
        </w:tc>
        <w:tc>
          <w:tcPr>
            <w:tcW w:w="0" w:type="auto"/>
            <w:shd w:val="clear" w:color="auto" w:fill="FFFFFF"/>
            <w:tcMar>
              <w:top w:w="0" w:type="dxa"/>
              <w:left w:w="0" w:type="dxa"/>
              <w:bottom w:w="0" w:type="dxa"/>
              <w:right w:w="0" w:type="dxa"/>
            </w:tcMar>
          </w:tcPr>
          <w:p w14:paraId="5574D621" w14:textId="77777777" w:rsidR="008B4DF8" w:rsidRPr="00C1603D" w:rsidRDefault="008B4DF8" w:rsidP="00943414">
            <w:pPr>
              <w:pStyle w:val="72TabletextTablesTableFigureBoxstyles"/>
            </w:pPr>
            <w:r w:rsidRPr="00C1603D">
              <w:rPr>
                <w:rFonts w:eastAsia="Arial"/>
              </w:rPr>
              <w:t>Iraq</w:t>
            </w:r>
          </w:p>
        </w:tc>
        <w:tc>
          <w:tcPr>
            <w:tcW w:w="0" w:type="auto"/>
            <w:shd w:val="clear" w:color="auto" w:fill="FFFFFF"/>
            <w:tcMar>
              <w:top w:w="0" w:type="dxa"/>
              <w:left w:w="0" w:type="dxa"/>
              <w:bottom w:w="0" w:type="dxa"/>
              <w:right w:w="0" w:type="dxa"/>
            </w:tcMar>
          </w:tcPr>
          <w:p w14:paraId="7E47A480" w14:textId="0D5C0BC9" w:rsidR="008B4DF8" w:rsidRPr="00C1603D" w:rsidRDefault="000863C7" w:rsidP="00943414">
            <w:pPr>
              <w:pStyle w:val="72TabletextTablesTableFigureBoxstyles"/>
            </w:pPr>
            <w:r w:rsidRPr="00C1603D">
              <w:rPr>
                <w:rFonts w:eastAsia="Arial"/>
                <w:noProof/>
              </w:rPr>
              <w:t>Risan</w:t>
            </w:r>
            <w:r w:rsidR="008B4DF8" w:rsidRPr="00C1603D">
              <w:rPr>
                <w:rFonts w:eastAsia="Arial"/>
                <w:noProof/>
                <w:vertAlign w:val="superscript"/>
              </w:rPr>
              <w:t>479</w:t>
            </w:r>
          </w:p>
        </w:tc>
      </w:tr>
      <w:tr w:rsidR="003B417F" w:rsidRPr="00C1603D" w14:paraId="376F433A" w14:textId="77777777" w:rsidTr="00943414">
        <w:trPr>
          <w:cantSplit/>
        </w:trPr>
        <w:tc>
          <w:tcPr>
            <w:tcW w:w="0" w:type="auto"/>
            <w:shd w:val="clear" w:color="auto" w:fill="FFFFFF"/>
            <w:tcMar>
              <w:top w:w="0" w:type="dxa"/>
              <w:left w:w="0" w:type="dxa"/>
              <w:bottom w:w="0" w:type="dxa"/>
              <w:right w:w="0" w:type="dxa"/>
            </w:tcMar>
          </w:tcPr>
          <w:p w14:paraId="1FD8898E" w14:textId="77777777" w:rsidR="008B4DF8" w:rsidRPr="00C1603D" w:rsidRDefault="008B4DF8" w:rsidP="00943414">
            <w:pPr>
              <w:pStyle w:val="72TabletextTablesTableFigureBoxstyles"/>
            </w:pPr>
            <w:r w:rsidRPr="00C1603D">
              <w:rPr>
                <w:rFonts w:eastAsia="Arial"/>
              </w:rPr>
              <w:t>Mixed</w:t>
            </w:r>
          </w:p>
        </w:tc>
        <w:tc>
          <w:tcPr>
            <w:tcW w:w="0" w:type="auto"/>
            <w:shd w:val="clear" w:color="auto" w:fill="FFFFFF"/>
            <w:tcMar>
              <w:top w:w="0" w:type="dxa"/>
              <w:left w:w="0" w:type="dxa"/>
              <w:bottom w:w="0" w:type="dxa"/>
              <w:right w:w="0" w:type="dxa"/>
            </w:tcMar>
          </w:tcPr>
          <w:p w14:paraId="5121D4AB" w14:textId="06B61442" w:rsidR="008B4DF8" w:rsidRPr="00C1603D" w:rsidRDefault="00B25FE9" w:rsidP="00943414">
            <w:pPr>
              <w:pStyle w:val="72TabletextTablesTableFigureBoxstyles"/>
            </w:pPr>
            <w:r w:rsidRPr="00C1603D">
              <w:rPr>
                <w:rFonts w:eastAsia="Arial"/>
              </w:rPr>
              <w:t>Case–control</w:t>
            </w:r>
            <w:r w:rsidR="008B4DF8" w:rsidRPr="00C1603D">
              <w:rPr>
                <w:rFonts w:eastAsia="Arial"/>
              </w:rPr>
              <w:t xml:space="preserve"> (DI)</w:t>
            </w:r>
          </w:p>
        </w:tc>
        <w:tc>
          <w:tcPr>
            <w:tcW w:w="0" w:type="auto"/>
            <w:shd w:val="clear" w:color="auto" w:fill="FFFFFF"/>
            <w:tcMar>
              <w:top w:w="0" w:type="dxa"/>
              <w:left w:w="0" w:type="dxa"/>
              <w:bottom w:w="0" w:type="dxa"/>
              <w:right w:w="0" w:type="dxa"/>
            </w:tcMar>
          </w:tcPr>
          <w:p w14:paraId="19E873EC" w14:textId="77777777" w:rsidR="008B4DF8" w:rsidRPr="00C1603D" w:rsidRDefault="008B4DF8" w:rsidP="00943414">
            <w:pPr>
              <w:pStyle w:val="72TabletextTablesTableFigureBoxstyles"/>
            </w:pPr>
            <w:r w:rsidRPr="00C1603D">
              <w:rPr>
                <w:rFonts w:eastAsia="Arial"/>
              </w:rPr>
              <w:t>Thyroid autoimmunity</w:t>
            </w:r>
          </w:p>
        </w:tc>
        <w:tc>
          <w:tcPr>
            <w:tcW w:w="0" w:type="auto"/>
            <w:shd w:val="clear" w:color="auto" w:fill="FFFFFF"/>
            <w:tcMar>
              <w:top w:w="0" w:type="dxa"/>
              <w:left w:w="0" w:type="dxa"/>
              <w:bottom w:w="0" w:type="dxa"/>
              <w:right w:w="0" w:type="dxa"/>
            </w:tcMar>
          </w:tcPr>
          <w:p w14:paraId="05B3E95F" w14:textId="77777777" w:rsidR="008B4DF8" w:rsidRPr="00C1603D" w:rsidRDefault="008B4DF8" w:rsidP="00943414">
            <w:pPr>
              <w:pStyle w:val="72TabletextTablesTableFigureBoxstyles"/>
            </w:pPr>
            <w:r w:rsidRPr="00C1603D">
              <w:rPr>
                <w:rFonts w:eastAsia="Arial"/>
              </w:rPr>
              <w:t>652</w:t>
            </w:r>
          </w:p>
        </w:tc>
        <w:tc>
          <w:tcPr>
            <w:tcW w:w="0" w:type="auto"/>
            <w:shd w:val="clear" w:color="auto" w:fill="FFFFFF"/>
            <w:tcMar>
              <w:top w:w="0" w:type="dxa"/>
              <w:left w:w="0" w:type="dxa"/>
              <w:bottom w:w="0" w:type="dxa"/>
              <w:right w:w="0" w:type="dxa"/>
            </w:tcMar>
          </w:tcPr>
          <w:p w14:paraId="620CA3AC" w14:textId="15C83365" w:rsidR="008B4DF8" w:rsidRPr="00C1603D" w:rsidRDefault="008B4DF8" w:rsidP="00943414">
            <w:pPr>
              <w:pStyle w:val="72TabletextTablesTableFigureBoxstyles"/>
            </w:pPr>
            <w:r w:rsidRPr="00C1603D">
              <w:rPr>
                <w:rFonts w:eastAsia="Arial"/>
              </w:rPr>
              <w:t>76</w:t>
            </w:r>
            <w:r w:rsidRPr="00C1603D">
              <w:rPr>
                <w:rFonts w:eastAsia="Arial"/>
                <w:color w:val="00B0F0"/>
              </w:rPr>
              <w:t>–1</w:t>
            </w:r>
            <w:r w:rsidRPr="00C1603D">
              <w:rPr>
                <w:rFonts w:eastAsia="Arial"/>
              </w:rPr>
              <w:t>00</w:t>
            </w:r>
          </w:p>
        </w:tc>
        <w:tc>
          <w:tcPr>
            <w:tcW w:w="0" w:type="auto"/>
            <w:shd w:val="clear" w:color="auto" w:fill="FFFFFF"/>
            <w:tcMar>
              <w:top w:w="0" w:type="dxa"/>
              <w:left w:w="0" w:type="dxa"/>
              <w:bottom w:w="0" w:type="dxa"/>
              <w:right w:w="0" w:type="dxa"/>
            </w:tcMar>
          </w:tcPr>
          <w:p w14:paraId="19EFE63D" w14:textId="77777777" w:rsidR="008B4DF8" w:rsidRPr="00C1603D" w:rsidRDefault="008B4DF8" w:rsidP="00943414">
            <w:pPr>
              <w:pStyle w:val="72TabletextTablesTableFigureBoxstyles"/>
            </w:pPr>
            <w:r w:rsidRPr="00C1603D">
              <w:rPr>
                <w:rFonts w:eastAsia="Arial"/>
              </w:rPr>
              <w:t>Healthy controls</w:t>
            </w:r>
          </w:p>
        </w:tc>
        <w:tc>
          <w:tcPr>
            <w:tcW w:w="0" w:type="auto"/>
            <w:shd w:val="clear" w:color="auto" w:fill="FFFFFF"/>
            <w:tcMar>
              <w:top w:w="0" w:type="dxa"/>
              <w:left w:w="0" w:type="dxa"/>
              <w:bottom w:w="0" w:type="dxa"/>
              <w:right w:w="0" w:type="dxa"/>
            </w:tcMar>
          </w:tcPr>
          <w:p w14:paraId="23606317" w14:textId="77777777" w:rsidR="008B4DF8" w:rsidRPr="00C1603D" w:rsidRDefault="008B4DF8" w:rsidP="00943414">
            <w:pPr>
              <w:pStyle w:val="72TabletextTablesTableFigureBoxstyles"/>
            </w:pPr>
            <w:r w:rsidRPr="00C1603D">
              <w:rPr>
                <w:rFonts w:eastAsia="Arial"/>
              </w:rPr>
              <w:t>tTG positive</w:t>
            </w:r>
          </w:p>
        </w:tc>
        <w:tc>
          <w:tcPr>
            <w:tcW w:w="0" w:type="auto"/>
            <w:shd w:val="clear" w:color="auto" w:fill="FFFFFF"/>
            <w:tcMar>
              <w:top w:w="0" w:type="dxa"/>
              <w:left w:w="0" w:type="dxa"/>
              <w:bottom w:w="0" w:type="dxa"/>
              <w:right w:w="0" w:type="dxa"/>
            </w:tcMar>
          </w:tcPr>
          <w:p w14:paraId="43C63449" w14:textId="77777777" w:rsidR="008B4DF8" w:rsidRPr="00C1603D" w:rsidRDefault="008B4DF8" w:rsidP="00943414">
            <w:pPr>
              <w:pStyle w:val="72TabletextTablesTableFigureBoxstyles"/>
            </w:pPr>
            <w:r w:rsidRPr="00C1603D">
              <w:rPr>
                <w:rFonts w:eastAsia="Arial"/>
              </w:rPr>
              <w:t>Community</w:t>
            </w:r>
          </w:p>
        </w:tc>
        <w:tc>
          <w:tcPr>
            <w:tcW w:w="0" w:type="auto"/>
            <w:shd w:val="clear" w:color="auto" w:fill="FFFFFF"/>
            <w:tcMar>
              <w:top w:w="0" w:type="dxa"/>
              <w:left w:w="0" w:type="dxa"/>
              <w:bottom w:w="0" w:type="dxa"/>
              <w:right w:w="0" w:type="dxa"/>
            </w:tcMar>
          </w:tcPr>
          <w:p w14:paraId="25D0A093" w14:textId="77777777" w:rsidR="008B4DF8" w:rsidRPr="00C1603D" w:rsidRDefault="008B4DF8" w:rsidP="00943414">
            <w:pPr>
              <w:pStyle w:val="72TabletextTablesTableFigureBoxstyles"/>
            </w:pPr>
            <w:r w:rsidRPr="00C1603D">
              <w:rPr>
                <w:rFonts w:eastAsia="Arial"/>
              </w:rPr>
              <w:t>Brazil</w:t>
            </w:r>
          </w:p>
        </w:tc>
        <w:tc>
          <w:tcPr>
            <w:tcW w:w="0" w:type="auto"/>
            <w:shd w:val="clear" w:color="auto" w:fill="FFFFFF"/>
            <w:tcMar>
              <w:top w:w="0" w:type="dxa"/>
              <w:left w:w="0" w:type="dxa"/>
              <w:bottom w:w="0" w:type="dxa"/>
              <w:right w:w="0" w:type="dxa"/>
            </w:tcMar>
          </w:tcPr>
          <w:p w14:paraId="4FACE8E4" w14:textId="504234AF" w:rsidR="008B4DF8" w:rsidRPr="00C1603D" w:rsidRDefault="000863C7" w:rsidP="00943414">
            <w:pPr>
              <w:pStyle w:val="72TabletextTablesTableFigureBoxstyles"/>
            </w:pPr>
            <w:r w:rsidRPr="00C1603D">
              <w:rPr>
                <w:rFonts w:eastAsia="Arial"/>
                <w:noProof/>
              </w:rPr>
              <w:t xml:space="preserve">de Melo </w:t>
            </w:r>
            <w:r w:rsidRPr="00C1603D">
              <w:rPr>
                <w:rFonts w:eastAsia="Arial"/>
                <w:i/>
                <w:iCs/>
                <w:noProof/>
              </w:rPr>
              <w:t>et al</w:t>
            </w:r>
            <w:r w:rsidRPr="00C1603D">
              <w:rPr>
                <w:rFonts w:eastAsia="Arial"/>
                <w:noProof/>
              </w:rPr>
              <w:t>.</w:t>
            </w:r>
            <w:r w:rsidR="008B4DF8" w:rsidRPr="00C1603D">
              <w:rPr>
                <w:rFonts w:eastAsia="Arial"/>
                <w:noProof/>
                <w:vertAlign w:val="superscript"/>
              </w:rPr>
              <w:t>480</w:t>
            </w:r>
          </w:p>
        </w:tc>
      </w:tr>
      <w:tr w:rsidR="00973628" w:rsidRPr="00C1603D" w14:paraId="3037116F" w14:textId="77777777" w:rsidTr="002E78A4">
        <w:trPr>
          <w:cantSplit/>
        </w:trPr>
        <w:tc>
          <w:tcPr>
            <w:tcW w:w="0" w:type="auto"/>
            <w:gridSpan w:val="10"/>
            <w:shd w:val="clear" w:color="auto" w:fill="FFFFFF"/>
            <w:tcMar>
              <w:top w:w="0" w:type="dxa"/>
              <w:left w:w="0" w:type="dxa"/>
              <w:bottom w:w="0" w:type="dxa"/>
              <w:right w:w="0" w:type="dxa"/>
            </w:tcMar>
          </w:tcPr>
          <w:p w14:paraId="42ED99EE" w14:textId="702A2A4F" w:rsidR="00973628" w:rsidRPr="00C1603D" w:rsidRDefault="00973628" w:rsidP="00973628">
            <w:pPr>
              <w:pStyle w:val="75TablenotesTablesTableFigureBoxstyles"/>
              <w:rPr>
                <w:rFonts w:eastAsia="Arial"/>
                <w:noProof/>
                <w:vertAlign w:val="superscript"/>
              </w:rPr>
            </w:pPr>
            <w:commentRangeStart w:id="612"/>
            <w:r w:rsidRPr="00C1603D">
              <w:rPr>
                <w:rFonts w:eastAsia="Arial"/>
                <w:noProof/>
              </w:rPr>
              <w:t>DI, diagnostic indicator; NR, not reported</w:t>
            </w:r>
            <w:r w:rsidR="008374B7" w:rsidRPr="00C1603D">
              <w:rPr>
                <w:rFonts w:eastAsia="Arial"/>
                <w:noProof/>
              </w:rPr>
              <w:t xml:space="preserve">; T4, thyroxine; </w:t>
            </w:r>
            <w:r w:rsidR="008374B7" w:rsidRPr="00C1603D">
              <w:rPr>
                <w:rFonts w:eastAsia="Arial"/>
              </w:rPr>
              <w:t>TPOAbs, thyroid peroxidase antibodies; TSH, thyroid-stimulating hormone</w:t>
            </w:r>
            <w:r w:rsidRPr="00C1603D">
              <w:rPr>
                <w:rFonts w:eastAsia="Arial"/>
                <w:noProof/>
              </w:rPr>
              <w:t>.</w:t>
            </w:r>
            <w:commentRangeEnd w:id="612"/>
            <w:r w:rsidR="008374B7" w:rsidRPr="00C1603D">
              <w:rPr>
                <w:rFonts w:ascii="Times New Roman" w:hAnsi="Times New Roman" w:cs="Times New Roman"/>
                <w:color w:val="auto"/>
              </w:rPr>
              <w:commentReference w:id="612"/>
            </w:r>
          </w:p>
        </w:tc>
      </w:tr>
    </w:tbl>
    <w:p w14:paraId="4272DE17" w14:textId="34DC0AE4" w:rsidR="008B4DF8" w:rsidRPr="00C1603D" w:rsidRDefault="008B4DF8" w:rsidP="008B4DF8">
      <w:pPr>
        <w:pStyle w:val="70TablelegendTablesTableFigureBoxstyles"/>
      </w:pPr>
      <w:bookmarkStart w:id="613" w:name="_Toc99720760"/>
      <w:r w:rsidRPr="00C1603D">
        <w:rPr>
          <w:b/>
        </w:rPr>
        <w:t xml:space="preserve">TABLE </w:t>
      </w:r>
      <w:r w:rsidR="00032460" w:rsidRPr="00C1603D">
        <w:rPr>
          <w:b/>
        </w:rPr>
        <w:t>50</w:t>
      </w:r>
      <w:r w:rsidRPr="00C1603D">
        <w:rPr>
          <w:b/>
        </w:rPr>
        <w:t> </w:t>
      </w:r>
      <w:r w:rsidRPr="00C1603D">
        <w:t xml:space="preserve">Study characteristic: </w:t>
      </w:r>
      <w:r w:rsidR="001902E7" w:rsidRPr="00C1603D">
        <w:t>v</w:t>
      </w:r>
      <w:r w:rsidRPr="00C1603D">
        <w:t>omiting and nausea</w:t>
      </w:r>
      <w:bookmarkEnd w:id="613"/>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57"/>
        <w:gridCol w:w="634"/>
        <w:gridCol w:w="823"/>
        <w:gridCol w:w="694"/>
        <w:gridCol w:w="701"/>
        <w:gridCol w:w="1165"/>
        <w:gridCol w:w="1378"/>
        <w:gridCol w:w="883"/>
        <w:gridCol w:w="916"/>
        <w:gridCol w:w="875"/>
      </w:tblGrid>
      <w:tr w:rsidR="001902E7" w:rsidRPr="00C1603D" w14:paraId="2E418F40" w14:textId="77777777" w:rsidTr="001902E7">
        <w:trPr>
          <w:cantSplit/>
        </w:trPr>
        <w:tc>
          <w:tcPr>
            <w:tcW w:w="0" w:type="auto"/>
            <w:shd w:val="clear" w:color="auto" w:fill="FFFFFF"/>
            <w:tcMar>
              <w:top w:w="0" w:type="dxa"/>
              <w:left w:w="0" w:type="dxa"/>
              <w:bottom w:w="0" w:type="dxa"/>
              <w:right w:w="0" w:type="dxa"/>
            </w:tcMar>
          </w:tcPr>
          <w:p w14:paraId="4BBEDFE9" w14:textId="79E5CBAB"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74A0D963" w14:textId="056EE201"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59C0B2CF" w14:textId="154AD88A"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5098952D" w14:textId="0E642AA3"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089FC15C"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73C98A03"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15C079A6"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14077FCB"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7EBE41D8"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63F0F706" w14:textId="77777777" w:rsidR="001902E7" w:rsidRPr="00C1603D" w:rsidRDefault="001902E7" w:rsidP="001902E7">
            <w:pPr>
              <w:pStyle w:val="710TableheadTablesTableFigureBoxstyles"/>
            </w:pPr>
            <w:r w:rsidRPr="00C1603D">
              <w:rPr>
                <w:rFonts w:eastAsia="Arial"/>
              </w:rPr>
              <w:t>Reference</w:t>
            </w:r>
          </w:p>
        </w:tc>
      </w:tr>
      <w:tr w:rsidR="008B4DF8" w:rsidRPr="00C1603D" w14:paraId="0D0040D3" w14:textId="77777777" w:rsidTr="001902E7">
        <w:trPr>
          <w:cantSplit/>
        </w:trPr>
        <w:tc>
          <w:tcPr>
            <w:tcW w:w="0" w:type="auto"/>
            <w:shd w:val="clear" w:color="auto" w:fill="FFFFFF"/>
            <w:tcMar>
              <w:top w:w="0" w:type="dxa"/>
              <w:left w:w="0" w:type="dxa"/>
              <w:bottom w:w="0" w:type="dxa"/>
              <w:right w:w="0" w:type="dxa"/>
            </w:tcMar>
          </w:tcPr>
          <w:p w14:paraId="24215D93" w14:textId="77777777" w:rsidR="008B4DF8" w:rsidRPr="00C1603D" w:rsidRDefault="008B4DF8" w:rsidP="001902E7">
            <w:pPr>
              <w:pStyle w:val="72TabletextTablesTableFigureBoxstyles"/>
              <w:rPr>
                <w:rFonts w:eastAsia="Arial"/>
              </w:rPr>
            </w:pPr>
            <w:r w:rsidRPr="00C1603D">
              <w:rPr>
                <w:rFonts w:eastAsia="Arial"/>
              </w:rPr>
              <w:t>Adults</w:t>
            </w:r>
          </w:p>
        </w:tc>
        <w:tc>
          <w:tcPr>
            <w:tcW w:w="0" w:type="auto"/>
            <w:shd w:val="clear" w:color="auto" w:fill="FFFFFF"/>
            <w:tcMar>
              <w:top w:w="0" w:type="dxa"/>
              <w:left w:w="0" w:type="dxa"/>
              <w:bottom w:w="0" w:type="dxa"/>
              <w:right w:w="0" w:type="dxa"/>
            </w:tcMar>
          </w:tcPr>
          <w:p w14:paraId="2F0F8348" w14:textId="77777777" w:rsidR="008B4DF8" w:rsidRPr="00C1603D" w:rsidRDefault="008B4DF8" w:rsidP="001902E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012C2173" w14:textId="77777777" w:rsidR="008B4DF8" w:rsidRPr="00C1603D" w:rsidRDefault="008B4DF8" w:rsidP="001902E7">
            <w:pPr>
              <w:pStyle w:val="72TabletextTablesTableFigureBoxstyles"/>
              <w:rPr>
                <w:rFonts w:eastAsia="Arial"/>
              </w:rPr>
            </w:pPr>
            <w:r w:rsidRPr="00C1603D">
              <w:rPr>
                <w:rFonts w:eastAsia="Arial"/>
              </w:rPr>
              <w:t>Vomiting</w:t>
            </w:r>
          </w:p>
        </w:tc>
        <w:tc>
          <w:tcPr>
            <w:tcW w:w="0" w:type="auto"/>
            <w:shd w:val="clear" w:color="auto" w:fill="FFFFFF"/>
            <w:tcMar>
              <w:top w:w="0" w:type="dxa"/>
              <w:left w:w="0" w:type="dxa"/>
              <w:bottom w:w="0" w:type="dxa"/>
              <w:right w:w="0" w:type="dxa"/>
            </w:tcMar>
          </w:tcPr>
          <w:p w14:paraId="150BE669" w14:textId="77777777" w:rsidR="008B4DF8" w:rsidRPr="00C1603D" w:rsidRDefault="008B4DF8" w:rsidP="001902E7">
            <w:pPr>
              <w:pStyle w:val="72TabletextTablesTableFigureBoxstyles"/>
              <w:rPr>
                <w:rFonts w:eastAsia="Arial"/>
              </w:rPr>
            </w:pPr>
            <w:r w:rsidRPr="00C1603D">
              <w:rPr>
                <w:rFonts w:eastAsia="Arial"/>
              </w:rPr>
              <w:t>2843</w:t>
            </w:r>
          </w:p>
        </w:tc>
        <w:tc>
          <w:tcPr>
            <w:tcW w:w="0" w:type="auto"/>
            <w:shd w:val="clear" w:color="auto" w:fill="FFFFFF"/>
            <w:tcMar>
              <w:top w:w="0" w:type="dxa"/>
              <w:left w:w="0" w:type="dxa"/>
              <w:bottom w:w="0" w:type="dxa"/>
              <w:right w:w="0" w:type="dxa"/>
            </w:tcMar>
          </w:tcPr>
          <w:p w14:paraId="04931561" w14:textId="77777777" w:rsidR="008B4DF8" w:rsidRPr="00C1603D" w:rsidRDefault="008B4DF8" w:rsidP="001902E7">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19A7D0F1" w14:textId="77777777" w:rsidR="008B4DF8" w:rsidRPr="00C1603D" w:rsidRDefault="008B4DF8" w:rsidP="001902E7">
            <w:pPr>
              <w:pStyle w:val="72TabletextTablesTableFigureBoxstyles"/>
              <w:rPr>
                <w:rFonts w:eastAsia="Arial"/>
              </w:rPr>
            </w:pPr>
            <w:r w:rsidRPr="00C1603D">
              <w:rPr>
                <w:rFonts w:eastAsia="Arial"/>
              </w:rPr>
              <w:t>People without vomiting</w:t>
            </w:r>
          </w:p>
        </w:tc>
        <w:tc>
          <w:tcPr>
            <w:tcW w:w="0" w:type="auto"/>
            <w:shd w:val="clear" w:color="auto" w:fill="FFFFFF"/>
            <w:tcMar>
              <w:top w:w="0" w:type="dxa"/>
              <w:left w:w="0" w:type="dxa"/>
              <w:bottom w:w="0" w:type="dxa"/>
              <w:right w:w="0" w:type="dxa"/>
            </w:tcMar>
          </w:tcPr>
          <w:p w14:paraId="56076D34" w14:textId="24EC68C5" w:rsidR="008B4DF8" w:rsidRPr="00C1603D" w:rsidRDefault="008B4DF8" w:rsidP="001902E7">
            <w:pPr>
              <w:pStyle w:val="72TabletextTablesTableFigureBoxstyles"/>
              <w:rPr>
                <w:rFonts w:eastAsia="Arial"/>
              </w:rPr>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75F53632" w14:textId="77777777" w:rsidR="008B4DF8" w:rsidRPr="00C1603D" w:rsidRDefault="008B4DF8" w:rsidP="001902E7">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5B2D1DA4" w14:textId="45BC9757" w:rsidR="008B4DF8" w:rsidRPr="00C1603D" w:rsidRDefault="008B4DF8" w:rsidP="001902E7">
            <w:pPr>
              <w:pStyle w:val="72TabletextTablesTableFigureBoxstyles"/>
              <w:rPr>
                <w:rFonts w:eastAsia="Arial"/>
              </w:rPr>
            </w:pPr>
            <w:r w:rsidRPr="00C1603D">
              <w:rPr>
                <w:rFonts w:eastAsia="Arial"/>
              </w:rPr>
              <w:t>US</w:t>
            </w:r>
            <w:r w:rsidR="000863C7" w:rsidRPr="00C1603D">
              <w:rPr>
                <w:rFonts w:eastAsia="Arial"/>
              </w:rPr>
              <w:t>A</w:t>
            </w:r>
          </w:p>
        </w:tc>
        <w:tc>
          <w:tcPr>
            <w:tcW w:w="0" w:type="auto"/>
            <w:shd w:val="clear" w:color="auto" w:fill="FFFFFF"/>
            <w:tcMar>
              <w:top w:w="0" w:type="dxa"/>
              <w:left w:w="0" w:type="dxa"/>
              <w:bottom w:w="0" w:type="dxa"/>
              <w:right w:w="0" w:type="dxa"/>
            </w:tcMar>
          </w:tcPr>
          <w:p w14:paraId="6CD6F19F" w14:textId="7C4392B2" w:rsidR="008B4DF8" w:rsidRPr="00C1603D" w:rsidRDefault="000863C7" w:rsidP="001902E7">
            <w:pPr>
              <w:pStyle w:val="72TabletextTablesTableFigureBoxstyles"/>
              <w:rPr>
                <w:rFonts w:eastAsia="Arial"/>
              </w:rPr>
            </w:pPr>
            <w:r w:rsidRPr="00C1603D">
              <w:rPr>
                <w:rFonts w:eastAsia="Arial"/>
                <w:noProof/>
              </w:rPr>
              <w:t xml:space="preserve">Choung </w:t>
            </w:r>
            <w:r w:rsidRPr="00C1603D">
              <w:rPr>
                <w:rFonts w:eastAsia="Arial"/>
                <w:i/>
                <w:iCs/>
                <w:noProof/>
              </w:rPr>
              <w:t>et al</w:t>
            </w:r>
            <w:r w:rsidRPr="00C1603D">
              <w:rPr>
                <w:rFonts w:eastAsia="Arial"/>
                <w:noProof/>
              </w:rPr>
              <w:t>.</w:t>
            </w:r>
            <w:r w:rsidR="008B4DF8" w:rsidRPr="00C1603D">
              <w:rPr>
                <w:rFonts w:eastAsia="Arial"/>
                <w:noProof/>
                <w:vertAlign w:val="superscript"/>
              </w:rPr>
              <w:t>299</w:t>
            </w:r>
          </w:p>
        </w:tc>
      </w:tr>
      <w:tr w:rsidR="000863C7" w:rsidRPr="00C1603D" w14:paraId="6683E8F4" w14:textId="77777777" w:rsidTr="001902E7">
        <w:trPr>
          <w:cantSplit/>
        </w:trPr>
        <w:tc>
          <w:tcPr>
            <w:tcW w:w="0" w:type="auto"/>
            <w:shd w:val="clear" w:color="auto" w:fill="FFFFFF"/>
            <w:tcMar>
              <w:top w:w="0" w:type="dxa"/>
              <w:left w:w="0" w:type="dxa"/>
              <w:bottom w:w="0" w:type="dxa"/>
              <w:right w:w="0" w:type="dxa"/>
            </w:tcMar>
          </w:tcPr>
          <w:p w14:paraId="5DC38D08" w14:textId="77777777" w:rsidR="000863C7" w:rsidRPr="00C1603D" w:rsidRDefault="000863C7" w:rsidP="000863C7">
            <w:pPr>
              <w:pStyle w:val="72TabletextTablesTableFigureBoxstyles"/>
              <w:rPr>
                <w:rFonts w:eastAsia="Arial"/>
              </w:rPr>
            </w:pPr>
            <w:r w:rsidRPr="00C1603D">
              <w:rPr>
                <w:rFonts w:eastAsia="Arial"/>
              </w:rPr>
              <w:t>Adults</w:t>
            </w:r>
          </w:p>
        </w:tc>
        <w:tc>
          <w:tcPr>
            <w:tcW w:w="0" w:type="auto"/>
            <w:shd w:val="clear" w:color="auto" w:fill="FFFFFF"/>
            <w:tcMar>
              <w:top w:w="0" w:type="dxa"/>
              <w:left w:w="0" w:type="dxa"/>
              <w:bottom w:w="0" w:type="dxa"/>
              <w:right w:w="0" w:type="dxa"/>
            </w:tcMar>
          </w:tcPr>
          <w:p w14:paraId="32065675" w14:textId="77777777" w:rsidR="000863C7" w:rsidRPr="00C1603D" w:rsidRDefault="000863C7" w:rsidP="000863C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382F8538" w14:textId="77777777" w:rsidR="000863C7" w:rsidRPr="00C1603D" w:rsidRDefault="000863C7" w:rsidP="000863C7">
            <w:pPr>
              <w:pStyle w:val="72TabletextTablesTableFigureBoxstyles"/>
              <w:rPr>
                <w:rFonts w:eastAsia="Arial"/>
              </w:rPr>
            </w:pPr>
            <w:r w:rsidRPr="00C1603D">
              <w:rPr>
                <w:rFonts w:eastAsia="Arial"/>
              </w:rPr>
              <w:t>Nausea</w:t>
            </w:r>
          </w:p>
        </w:tc>
        <w:tc>
          <w:tcPr>
            <w:tcW w:w="0" w:type="auto"/>
            <w:shd w:val="clear" w:color="auto" w:fill="FFFFFF"/>
            <w:tcMar>
              <w:top w:w="0" w:type="dxa"/>
              <w:left w:w="0" w:type="dxa"/>
              <w:bottom w:w="0" w:type="dxa"/>
              <w:right w:w="0" w:type="dxa"/>
            </w:tcMar>
          </w:tcPr>
          <w:p w14:paraId="12169076" w14:textId="77777777" w:rsidR="000863C7" w:rsidRPr="00C1603D" w:rsidRDefault="000863C7" w:rsidP="000863C7">
            <w:pPr>
              <w:pStyle w:val="72TabletextTablesTableFigureBoxstyles"/>
              <w:rPr>
                <w:rFonts w:eastAsia="Arial"/>
              </w:rPr>
            </w:pPr>
            <w:r w:rsidRPr="00C1603D">
              <w:rPr>
                <w:rFonts w:eastAsia="Arial"/>
              </w:rPr>
              <w:t>3847</w:t>
            </w:r>
          </w:p>
        </w:tc>
        <w:tc>
          <w:tcPr>
            <w:tcW w:w="0" w:type="auto"/>
            <w:shd w:val="clear" w:color="auto" w:fill="FFFFFF"/>
            <w:tcMar>
              <w:top w:w="0" w:type="dxa"/>
              <w:left w:w="0" w:type="dxa"/>
              <w:bottom w:w="0" w:type="dxa"/>
              <w:right w:w="0" w:type="dxa"/>
            </w:tcMar>
          </w:tcPr>
          <w:p w14:paraId="06B0AD8D" w14:textId="1C345A82" w:rsidR="000863C7" w:rsidRPr="00C1603D" w:rsidRDefault="000863C7" w:rsidP="000863C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2FEB3EB" w14:textId="77777777" w:rsidR="000863C7" w:rsidRPr="00C1603D" w:rsidRDefault="000863C7" w:rsidP="000863C7">
            <w:pPr>
              <w:pStyle w:val="72TabletextTablesTableFigureBoxstyles"/>
              <w:rPr>
                <w:rFonts w:eastAsia="Arial"/>
              </w:rPr>
            </w:pPr>
            <w:r w:rsidRPr="00C1603D">
              <w:rPr>
                <w:rFonts w:eastAsia="Arial"/>
              </w:rPr>
              <w:t>People without nausea</w:t>
            </w:r>
          </w:p>
        </w:tc>
        <w:tc>
          <w:tcPr>
            <w:tcW w:w="0" w:type="auto"/>
            <w:shd w:val="clear" w:color="auto" w:fill="FFFFFF"/>
            <w:tcMar>
              <w:top w:w="0" w:type="dxa"/>
              <w:left w:w="0" w:type="dxa"/>
              <w:bottom w:w="0" w:type="dxa"/>
              <w:right w:w="0" w:type="dxa"/>
            </w:tcMar>
          </w:tcPr>
          <w:p w14:paraId="404912F7" w14:textId="60BBC111" w:rsidR="000863C7" w:rsidRPr="00C1603D" w:rsidRDefault="000863C7" w:rsidP="000863C7">
            <w:pPr>
              <w:pStyle w:val="72TabletextTablesTableFigureBoxstyles"/>
              <w:rPr>
                <w:rFonts w:eastAsia="Arial"/>
              </w:rPr>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4E696A57" w14:textId="77777777" w:rsidR="000863C7" w:rsidRPr="00C1603D" w:rsidRDefault="000863C7" w:rsidP="000863C7">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3D2178ED" w14:textId="39CE52CB" w:rsidR="000863C7" w:rsidRPr="00C1603D" w:rsidRDefault="000863C7" w:rsidP="000863C7">
            <w:pPr>
              <w:pStyle w:val="72TabletextTablesTableFigureBoxstyles"/>
              <w:rPr>
                <w:rFonts w:eastAsia="Arial"/>
              </w:rPr>
            </w:pPr>
            <w:r w:rsidRPr="00C1603D">
              <w:rPr>
                <w:rFonts w:eastAsia="Arial"/>
              </w:rPr>
              <w:t>USA</w:t>
            </w:r>
          </w:p>
        </w:tc>
        <w:tc>
          <w:tcPr>
            <w:tcW w:w="0" w:type="auto"/>
            <w:shd w:val="clear" w:color="auto" w:fill="FFFFFF"/>
            <w:tcMar>
              <w:top w:w="0" w:type="dxa"/>
              <w:left w:w="0" w:type="dxa"/>
              <w:bottom w:w="0" w:type="dxa"/>
              <w:right w:w="0" w:type="dxa"/>
            </w:tcMar>
          </w:tcPr>
          <w:p w14:paraId="4828F676" w14:textId="079606AD" w:rsidR="000863C7" w:rsidRPr="00C1603D" w:rsidRDefault="000863C7" w:rsidP="000863C7">
            <w:pPr>
              <w:pStyle w:val="72TabletextTablesTableFigureBoxstyles"/>
              <w:rPr>
                <w:rFonts w:eastAsia="Arial"/>
              </w:rPr>
            </w:pPr>
            <w:r w:rsidRPr="00C1603D">
              <w:rPr>
                <w:rFonts w:eastAsia="Arial"/>
                <w:noProof/>
              </w:rPr>
              <w:t xml:space="preserve">Katz </w:t>
            </w:r>
            <w:r w:rsidRPr="00C1603D">
              <w:rPr>
                <w:rFonts w:eastAsia="Arial"/>
                <w:i/>
                <w:iCs/>
                <w:noProof/>
              </w:rPr>
              <w:t>et al</w:t>
            </w:r>
            <w:r w:rsidRPr="00C1603D">
              <w:rPr>
                <w:rFonts w:eastAsia="Arial"/>
                <w:noProof/>
              </w:rPr>
              <w:t>.</w:t>
            </w:r>
            <w:r w:rsidRPr="00C1603D">
              <w:rPr>
                <w:rFonts w:eastAsia="Arial"/>
                <w:noProof/>
                <w:vertAlign w:val="superscript"/>
              </w:rPr>
              <w:t>308</w:t>
            </w:r>
          </w:p>
        </w:tc>
      </w:tr>
      <w:tr w:rsidR="000863C7" w:rsidRPr="00C1603D" w14:paraId="5E7017C5" w14:textId="77777777" w:rsidTr="001902E7">
        <w:trPr>
          <w:cantSplit/>
        </w:trPr>
        <w:tc>
          <w:tcPr>
            <w:tcW w:w="0" w:type="auto"/>
            <w:shd w:val="clear" w:color="auto" w:fill="FFFFFF"/>
            <w:tcMar>
              <w:top w:w="0" w:type="dxa"/>
              <w:left w:w="0" w:type="dxa"/>
              <w:bottom w:w="0" w:type="dxa"/>
              <w:right w:w="0" w:type="dxa"/>
            </w:tcMar>
          </w:tcPr>
          <w:p w14:paraId="6D8CBB8B" w14:textId="77777777" w:rsidR="000863C7" w:rsidRPr="00C1603D" w:rsidRDefault="000863C7" w:rsidP="000863C7">
            <w:pPr>
              <w:pStyle w:val="72TabletextTablesTableFigureBoxstyles"/>
              <w:rPr>
                <w:rFonts w:eastAsia="Arial"/>
              </w:rPr>
            </w:pPr>
            <w:r w:rsidRPr="00C1603D">
              <w:rPr>
                <w:rFonts w:eastAsia="Arial"/>
              </w:rPr>
              <w:t>Adults</w:t>
            </w:r>
          </w:p>
        </w:tc>
        <w:tc>
          <w:tcPr>
            <w:tcW w:w="0" w:type="auto"/>
            <w:shd w:val="clear" w:color="auto" w:fill="FFFFFF"/>
            <w:tcMar>
              <w:top w:w="0" w:type="dxa"/>
              <w:left w:w="0" w:type="dxa"/>
              <w:bottom w:w="0" w:type="dxa"/>
              <w:right w:w="0" w:type="dxa"/>
            </w:tcMar>
          </w:tcPr>
          <w:p w14:paraId="4B03BAB5" w14:textId="77777777" w:rsidR="000863C7" w:rsidRPr="00C1603D" w:rsidRDefault="000863C7" w:rsidP="000863C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691E8B4B" w14:textId="77777777" w:rsidR="000863C7" w:rsidRPr="00C1603D" w:rsidRDefault="000863C7" w:rsidP="000863C7">
            <w:pPr>
              <w:pStyle w:val="72TabletextTablesTableFigureBoxstyles"/>
              <w:rPr>
                <w:rFonts w:eastAsia="Arial"/>
              </w:rPr>
            </w:pPr>
            <w:r w:rsidRPr="00C1603D">
              <w:rPr>
                <w:rFonts w:eastAsia="Arial"/>
              </w:rPr>
              <w:t>Vomiting</w:t>
            </w:r>
          </w:p>
        </w:tc>
        <w:tc>
          <w:tcPr>
            <w:tcW w:w="0" w:type="auto"/>
            <w:shd w:val="clear" w:color="auto" w:fill="FFFFFF"/>
            <w:tcMar>
              <w:top w:w="0" w:type="dxa"/>
              <w:left w:w="0" w:type="dxa"/>
              <w:bottom w:w="0" w:type="dxa"/>
              <w:right w:w="0" w:type="dxa"/>
            </w:tcMar>
          </w:tcPr>
          <w:p w14:paraId="53D29868" w14:textId="77777777" w:rsidR="000863C7" w:rsidRPr="00C1603D" w:rsidRDefault="000863C7" w:rsidP="000863C7">
            <w:pPr>
              <w:pStyle w:val="72TabletextTablesTableFigureBoxstyles"/>
              <w:rPr>
                <w:rFonts w:eastAsia="Arial"/>
              </w:rPr>
            </w:pPr>
            <w:r w:rsidRPr="00C1603D">
              <w:rPr>
                <w:rFonts w:eastAsia="Arial"/>
              </w:rPr>
              <w:t>3847</w:t>
            </w:r>
          </w:p>
        </w:tc>
        <w:tc>
          <w:tcPr>
            <w:tcW w:w="0" w:type="auto"/>
            <w:shd w:val="clear" w:color="auto" w:fill="FFFFFF"/>
            <w:tcMar>
              <w:top w:w="0" w:type="dxa"/>
              <w:left w:w="0" w:type="dxa"/>
              <w:bottom w:w="0" w:type="dxa"/>
              <w:right w:w="0" w:type="dxa"/>
            </w:tcMar>
          </w:tcPr>
          <w:p w14:paraId="512DB7A7" w14:textId="1F80E174" w:rsidR="000863C7" w:rsidRPr="00C1603D" w:rsidRDefault="000863C7" w:rsidP="000863C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61EB74C2" w14:textId="77777777" w:rsidR="000863C7" w:rsidRPr="00C1603D" w:rsidRDefault="000863C7" w:rsidP="000863C7">
            <w:pPr>
              <w:pStyle w:val="72TabletextTablesTableFigureBoxstyles"/>
              <w:rPr>
                <w:rFonts w:eastAsia="Arial"/>
              </w:rPr>
            </w:pPr>
            <w:r w:rsidRPr="00C1603D">
              <w:rPr>
                <w:rFonts w:eastAsia="Arial"/>
              </w:rPr>
              <w:t>People without vomiting</w:t>
            </w:r>
          </w:p>
        </w:tc>
        <w:tc>
          <w:tcPr>
            <w:tcW w:w="0" w:type="auto"/>
            <w:shd w:val="clear" w:color="auto" w:fill="FFFFFF"/>
            <w:tcMar>
              <w:top w:w="0" w:type="dxa"/>
              <w:left w:w="0" w:type="dxa"/>
              <w:bottom w:w="0" w:type="dxa"/>
              <w:right w:w="0" w:type="dxa"/>
            </w:tcMar>
          </w:tcPr>
          <w:p w14:paraId="20EB1051" w14:textId="496BD9B8" w:rsidR="000863C7" w:rsidRPr="00C1603D" w:rsidRDefault="000863C7" w:rsidP="000863C7">
            <w:pPr>
              <w:pStyle w:val="72TabletextTablesTableFigureBoxstyles"/>
              <w:rPr>
                <w:rFonts w:eastAsia="Arial"/>
              </w:rPr>
            </w:pPr>
            <w:r w:rsidRPr="00C1603D">
              <w:rPr>
                <w:rFonts w:eastAsia="Arial"/>
              </w:rPr>
              <w:t>Double positive for two antibodies</w:t>
            </w:r>
          </w:p>
        </w:tc>
        <w:tc>
          <w:tcPr>
            <w:tcW w:w="0" w:type="auto"/>
            <w:shd w:val="clear" w:color="auto" w:fill="FFFFFF"/>
            <w:tcMar>
              <w:top w:w="0" w:type="dxa"/>
              <w:left w:w="0" w:type="dxa"/>
              <w:bottom w:w="0" w:type="dxa"/>
              <w:right w:w="0" w:type="dxa"/>
            </w:tcMar>
          </w:tcPr>
          <w:p w14:paraId="74DDC518" w14:textId="77777777" w:rsidR="000863C7" w:rsidRPr="00C1603D" w:rsidRDefault="000863C7" w:rsidP="000863C7">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7ADF2978" w14:textId="49A77EE8" w:rsidR="000863C7" w:rsidRPr="00C1603D" w:rsidRDefault="000863C7" w:rsidP="000863C7">
            <w:pPr>
              <w:pStyle w:val="72TabletextTablesTableFigureBoxstyles"/>
              <w:rPr>
                <w:rFonts w:eastAsia="Arial"/>
              </w:rPr>
            </w:pPr>
            <w:r w:rsidRPr="00C1603D">
              <w:rPr>
                <w:rFonts w:eastAsia="Arial"/>
              </w:rPr>
              <w:t>USA</w:t>
            </w:r>
          </w:p>
        </w:tc>
        <w:tc>
          <w:tcPr>
            <w:tcW w:w="0" w:type="auto"/>
            <w:shd w:val="clear" w:color="auto" w:fill="FFFFFF"/>
            <w:tcMar>
              <w:top w:w="0" w:type="dxa"/>
              <w:left w:w="0" w:type="dxa"/>
              <w:bottom w:w="0" w:type="dxa"/>
              <w:right w:w="0" w:type="dxa"/>
            </w:tcMar>
          </w:tcPr>
          <w:p w14:paraId="5E46D541" w14:textId="72EE117C" w:rsidR="000863C7" w:rsidRPr="00C1603D" w:rsidRDefault="000863C7" w:rsidP="000863C7">
            <w:pPr>
              <w:pStyle w:val="72TabletextTablesTableFigureBoxstyles"/>
              <w:rPr>
                <w:rFonts w:eastAsia="Arial"/>
              </w:rPr>
            </w:pPr>
            <w:r w:rsidRPr="00C1603D">
              <w:rPr>
                <w:rFonts w:eastAsia="Arial"/>
                <w:noProof/>
              </w:rPr>
              <w:t xml:space="preserve">Katz </w:t>
            </w:r>
            <w:r w:rsidRPr="00C1603D">
              <w:rPr>
                <w:rFonts w:eastAsia="Arial"/>
                <w:i/>
                <w:iCs/>
                <w:noProof/>
              </w:rPr>
              <w:t>et al</w:t>
            </w:r>
            <w:r w:rsidRPr="00C1603D">
              <w:rPr>
                <w:rFonts w:eastAsia="Arial"/>
                <w:noProof/>
              </w:rPr>
              <w:t>.</w:t>
            </w:r>
            <w:r w:rsidRPr="00C1603D">
              <w:rPr>
                <w:rFonts w:eastAsia="Arial"/>
                <w:noProof/>
                <w:vertAlign w:val="superscript"/>
              </w:rPr>
              <w:t>308</w:t>
            </w:r>
          </w:p>
        </w:tc>
      </w:tr>
      <w:tr w:rsidR="008B4DF8" w:rsidRPr="00C1603D" w14:paraId="10026D20" w14:textId="77777777" w:rsidTr="001902E7">
        <w:trPr>
          <w:cantSplit/>
        </w:trPr>
        <w:tc>
          <w:tcPr>
            <w:tcW w:w="0" w:type="auto"/>
            <w:shd w:val="clear" w:color="auto" w:fill="FFFFFF"/>
            <w:tcMar>
              <w:top w:w="0" w:type="dxa"/>
              <w:left w:w="0" w:type="dxa"/>
              <w:bottom w:w="0" w:type="dxa"/>
              <w:right w:w="0" w:type="dxa"/>
            </w:tcMar>
          </w:tcPr>
          <w:p w14:paraId="0D4CD5C2" w14:textId="77777777" w:rsidR="008B4DF8" w:rsidRPr="00C1603D" w:rsidRDefault="008B4DF8" w:rsidP="001902E7">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57B12A3F" w14:textId="77777777" w:rsidR="008B4DF8" w:rsidRPr="00C1603D" w:rsidRDefault="008B4DF8" w:rsidP="001902E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42AEAA9F" w14:textId="77777777" w:rsidR="008B4DF8" w:rsidRPr="00C1603D" w:rsidRDefault="008B4DF8" w:rsidP="001902E7">
            <w:pPr>
              <w:pStyle w:val="72TabletextTablesTableFigureBoxstyles"/>
              <w:rPr>
                <w:rFonts w:eastAsia="Arial"/>
              </w:rPr>
            </w:pPr>
            <w:r w:rsidRPr="00C1603D">
              <w:rPr>
                <w:rFonts w:eastAsia="Arial"/>
              </w:rPr>
              <w:t>Vomiting</w:t>
            </w:r>
          </w:p>
        </w:tc>
        <w:tc>
          <w:tcPr>
            <w:tcW w:w="0" w:type="auto"/>
            <w:shd w:val="clear" w:color="auto" w:fill="FFFFFF"/>
            <w:tcMar>
              <w:top w:w="0" w:type="dxa"/>
              <w:left w:w="0" w:type="dxa"/>
              <w:bottom w:w="0" w:type="dxa"/>
              <w:right w:w="0" w:type="dxa"/>
            </w:tcMar>
          </w:tcPr>
          <w:p w14:paraId="41D479A4" w14:textId="77777777" w:rsidR="008B4DF8" w:rsidRPr="00C1603D" w:rsidRDefault="008B4DF8" w:rsidP="001902E7">
            <w:pPr>
              <w:pStyle w:val="72TabletextTablesTableFigureBoxstyles"/>
              <w:rPr>
                <w:rFonts w:eastAsia="Arial"/>
              </w:rPr>
            </w:pPr>
            <w:r w:rsidRPr="00C1603D">
              <w:rPr>
                <w:rFonts w:eastAsia="Arial"/>
              </w:rPr>
              <w:t>4327</w:t>
            </w:r>
          </w:p>
        </w:tc>
        <w:tc>
          <w:tcPr>
            <w:tcW w:w="0" w:type="auto"/>
            <w:shd w:val="clear" w:color="auto" w:fill="FFFFFF"/>
            <w:tcMar>
              <w:top w:w="0" w:type="dxa"/>
              <w:left w:w="0" w:type="dxa"/>
              <w:bottom w:w="0" w:type="dxa"/>
              <w:right w:w="0" w:type="dxa"/>
            </w:tcMar>
          </w:tcPr>
          <w:p w14:paraId="0F4B674A" w14:textId="77777777" w:rsidR="008B4DF8" w:rsidRPr="00C1603D" w:rsidRDefault="008B4DF8" w:rsidP="001902E7">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5AC64C23" w14:textId="77777777" w:rsidR="008B4DF8" w:rsidRPr="00C1603D" w:rsidRDefault="008B4DF8" w:rsidP="001902E7">
            <w:pPr>
              <w:pStyle w:val="72TabletextTablesTableFigureBoxstyles"/>
              <w:rPr>
                <w:rFonts w:eastAsia="Arial"/>
              </w:rPr>
            </w:pPr>
            <w:r w:rsidRPr="00C1603D">
              <w:rPr>
                <w:rFonts w:eastAsia="Arial"/>
              </w:rPr>
              <w:t>Children without vomiting</w:t>
            </w:r>
          </w:p>
        </w:tc>
        <w:tc>
          <w:tcPr>
            <w:tcW w:w="0" w:type="auto"/>
            <w:shd w:val="clear" w:color="auto" w:fill="FFFFFF"/>
            <w:tcMar>
              <w:top w:w="0" w:type="dxa"/>
              <w:left w:w="0" w:type="dxa"/>
              <w:bottom w:w="0" w:type="dxa"/>
              <w:right w:w="0" w:type="dxa"/>
            </w:tcMar>
          </w:tcPr>
          <w:p w14:paraId="0463B4C8" w14:textId="24C947DC" w:rsidR="008B4DF8" w:rsidRPr="00C1603D" w:rsidRDefault="008B4DF8" w:rsidP="001902E7">
            <w:pPr>
              <w:pStyle w:val="72TabletextTablesTableFigureBoxstyles"/>
              <w:rPr>
                <w:rFonts w:eastAsia="Arial"/>
              </w:rPr>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001B1CE0" w14:textId="77777777" w:rsidR="008B4DF8" w:rsidRPr="00C1603D" w:rsidRDefault="008B4DF8" w:rsidP="001902E7">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2B2F640A" w14:textId="77777777" w:rsidR="008B4DF8" w:rsidRPr="00C1603D" w:rsidRDefault="008B4DF8" w:rsidP="001902E7">
            <w:pPr>
              <w:pStyle w:val="72TabletextTablesTableFigureBoxstyles"/>
              <w:rPr>
                <w:rFonts w:eastAsia="Arial"/>
              </w:rPr>
            </w:pPr>
            <w:r w:rsidRPr="00C1603D">
              <w:rPr>
                <w:rFonts w:eastAsia="Arial"/>
              </w:rPr>
              <w:t>UK</w:t>
            </w:r>
          </w:p>
        </w:tc>
        <w:tc>
          <w:tcPr>
            <w:tcW w:w="0" w:type="auto"/>
            <w:shd w:val="clear" w:color="auto" w:fill="FFFFFF"/>
            <w:tcMar>
              <w:top w:w="0" w:type="dxa"/>
              <w:left w:w="0" w:type="dxa"/>
              <w:bottom w:w="0" w:type="dxa"/>
              <w:right w:w="0" w:type="dxa"/>
            </w:tcMar>
          </w:tcPr>
          <w:p w14:paraId="541DA2FC" w14:textId="0471B8D2" w:rsidR="008B4DF8" w:rsidRPr="00C1603D" w:rsidRDefault="000863C7" w:rsidP="001902E7">
            <w:pPr>
              <w:pStyle w:val="72TabletextTablesTableFigureBoxstyles"/>
              <w:rPr>
                <w:rFonts w:eastAsia="Arial"/>
              </w:rPr>
            </w:pPr>
            <w:r w:rsidRPr="00C1603D">
              <w:rPr>
                <w:rFonts w:eastAsia="Arial"/>
                <w:noProof/>
              </w:rPr>
              <w:t xml:space="preserve">Bingley </w:t>
            </w:r>
            <w:r w:rsidRPr="00C1603D">
              <w:rPr>
                <w:rFonts w:eastAsia="Arial"/>
                <w:i/>
                <w:iCs/>
                <w:noProof/>
              </w:rPr>
              <w:t>et al</w:t>
            </w:r>
            <w:r w:rsidRPr="00C1603D">
              <w:rPr>
                <w:rFonts w:eastAsia="Arial"/>
                <w:noProof/>
              </w:rPr>
              <w:t>.</w:t>
            </w:r>
            <w:r w:rsidR="008B4DF8" w:rsidRPr="00C1603D">
              <w:rPr>
                <w:rFonts w:eastAsia="Arial"/>
                <w:noProof/>
                <w:vertAlign w:val="superscript"/>
              </w:rPr>
              <w:t>63</w:t>
            </w:r>
          </w:p>
        </w:tc>
      </w:tr>
      <w:tr w:rsidR="008B4DF8" w:rsidRPr="00C1603D" w14:paraId="197F7932" w14:textId="77777777" w:rsidTr="001902E7">
        <w:trPr>
          <w:cantSplit/>
        </w:trPr>
        <w:tc>
          <w:tcPr>
            <w:tcW w:w="0" w:type="auto"/>
            <w:shd w:val="clear" w:color="auto" w:fill="FFFFFF"/>
            <w:tcMar>
              <w:top w:w="0" w:type="dxa"/>
              <w:left w:w="0" w:type="dxa"/>
              <w:bottom w:w="0" w:type="dxa"/>
              <w:right w:w="0" w:type="dxa"/>
            </w:tcMar>
          </w:tcPr>
          <w:p w14:paraId="4821145B" w14:textId="77777777" w:rsidR="008B4DF8" w:rsidRPr="00C1603D" w:rsidRDefault="008B4DF8" w:rsidP="001902E7">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3816B596" w14:textId="77777777" w:rsidR="008B4DF8" w:rsidRPr="00C1603D" w:rsidRDefault="008B4DF8" w:rsidP="001902E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5A40FCC1" w14:textId="77777777" w:rsidR="008B4DF8" w:rsidRPr="00C1603D" w:rsidRDefault="008B4DF8" w:rsidP="001902E7">
            <w:pPr>
              <w:pStyle w:val="72TabletextTablesTableFigureBoxstyles"/>
              <w:rPr>
                <w:rFonts w:eastAsia="Arial"/>
              </w:rPr>
            </w:pPr>
            <w:r w:rsidRPr="00C1603D">
              <w:rPr>
                <w:rFonts w:eastAsia="Arial"/>
              </w:rPr>
              <w:t>Vomiting</w:t>
            </w:r>
          </w:p>
        </w:tc>
        <w:tc>
          <w:tcPr>
            <w:tcW w:w="0" w:type="auto"/>
            <w:shd w:val="clear" w:color="auto" w:fill="FFFFFF"/>
            <w:tcMar>
              <w:top w:w="0" w:type="dxa"/>
              <w:left w:w="0" w:type="dxa"/>
              <w:bottom w:w="0" w:type="dxa"/>
              <w:right w:w="0" w:type="dxa"/>
            </w:tcMar>
          </w:tcPr>
          <w:p w14:paraId="0A2D59F9" w14:textId="77777777" w:rsidR="008B4DF8" w:rsidRPr="00C1603D" w:rsidRDefault="008B4DF8" w:rsidP="001902E7">
            <w:pPr>
              <w:pStyle w:val="72TabletextTablesTableFigureBoxstyles"/>
              <w:rPr>
                <w:rFonts w:eastAsia="Arial"/>
              </w:rPr>
            </w:pPr>
            <w:r w:rsidRPr="00C1603D">
              <w:rPr>
                <w:rFonts w:eastAsia="Arial"/>
              </w:rPr>
              <w:t>18593</w:t>
            </w:r>
          </w:p>
        </w:tc>
        <w:tc>
          <w:tcPr>
            <w:tcW w:w="0" w:type="auto"/>
            <w:shd w:val="clear" w:color="auto" w:fill="FFFFFF"/>
            <w:tcMar>
              <w:top w:w="0" w:type="dxa"/>
              <w:left w:w="0" w:type="dxa"/>
              <w:bottom w:w="0" w:type="dxa"/>
              <w:right w:w="0" w:type="dxa"/>
            </w:tcMar>
          </w:tcPr>
          <w:p w14:paraId="08E1617A" w14:textId="2E55E9C5" w:rsidR="008B4DF8" w:rsidRPr="00C1603D" w:rsidRDefault="008B4DF8" w:rsidP="001902E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49654BC1" w14:textId="77777777" w:rsidR="008B4DF8" w:rsidRPr="00C1603D" w:rsidRDefault="008B4DF8" w:rsidP="001902E7">
            <w:pPr>
              <w:pStyle w:val="72TabletextTablesTableFigureBoxstyles"/>
              <w:rPr>
                <w:rFonts w:eastAsia="Arial"/>
              </w:rPr>
            </w:pPr>
            <w:r w:rsidRPr="00C1603D">
              <w:rPr>
                <w:rFonts w:eastAsia="Arial"/>
              </w:rPr>
              <w:t>Children without vomiting</w:t>
            </w:r>
          </w:p>
        </w:tc>
        <w:tc>
          <w:tcPr>
            <w:tcW w:w="0" w:type="auto"/>
            <w:shd w:val="clear" w:color="auto" w:fill="FFFFFF"/>
            <w:tcMar>
              <w:top w:w="0" w:type="dxa"/>
              <w:left w:w="0" w:type="dxa"/>
              <w:bottom w:w="0" w:type="dxa"/>
              <w:right w:w="0" w:type="dxa"/>
            </w:tcMar>
          </w:tcPr>
          <w:p w14:paraId="4E17FB10" w14:textId="06D4A14B" w:rsidR="008B4DF8" w:rsidRPr="00C1603D" w:rsidRDefault="008B4DF8" w:rsidP="001902E7">
            <w:pPr>
              <w:pStyle w:val="72TabletextTablesTableFigureBoxstyles"/>
              <w:rPr>
                <w:rFonts w:eastAsia="Arial"/>
              </w:rPr>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09076763" w14:textId="77777777" w:rsidR="008B4DF8" w:rsidRPr="00C1603D" w:rsidRDefault="008B4DF8" w:rsidP="001902E7">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7C15FAE2" w14:textId="77777777" w:rsidR="008B4DF8" w:rsidRPr="00C1603D" w:rsidRDefault="008B4DF8" w:rsidP="001902E7">
            <w:pPr>
              <w:pStyle w:val="72TabletextTablesTableFigureBoxstyles"/>
              <w:rPr>
                <w:rFonts w:eastAsia="Arial"/>
              </w:rPr>
            </w:pPr>
            <w:r w:rsidRPr="00C1603D">
              <w:rPr>
                <w:rFonts w:eastAsia="Arial"/>
              </w:rPr>
              <w:t>Turkey</w:t>
            </w:r>
          </w:p>
        </w:tc>
        <w:tc>
          <w:tcPr>
            <w:tcW w:w="0" w:type="auto"/>
            <w:shd w:val="clear" w:color="auto" w:fill="FFFFFF"/>
            <w:tcMar>
              <w:top w:w="0" w:type="dxa"/>
              <w:left w:w="0" w:type="dxa"/>
              <w:bottom w:w="0" w:type="dxa"/>
              <w:right w:w="0" w:type="dxa"/>
            </w:tcMar>
          </w:tcPr>
          <w:p w14:paraId="72469999" w14:textId="2163E700" w:rsidR="008B4DF8" w:rsidRPr="00C1603D" w:rsidRDefault="000863C7" w:rsidP="001902E7">
            <w:pPr>
              <w:pStyle w:val="72TabletextTablesTableFigureBoxstyles"/>
              <w:rPr>
                <w:rFonts w:eastAsia="Arial"/>
              </w:rPr>
            </w:pPr>
            <w:r w:rsidRPr="00C1603D">
              <w:rPr>
                <w:rFonts w:eastAsia="Arial"/>
                <w:noProof/>
              </w:rPr>
              <w:t xml:space="preserve">Dalgic </w:t>
            </w:r>
            <w:r w:rsidRPr="00C1603D">
              <w:rPr>
                <w:rFonts w:eastAsia="Arial"/>
                <w:i/>
                <w:iCs/>
                <w:noProof/>
              </w:rPr>
              <w:t>et al</w:t>
            </w:r>
            <w:r w:rsidRPr="00C1603D">
              <w:rPr>
                <w:rFonts w:eastAsia="Arial"/>
                <w:noProof/>
              </w:rPr>
              <w:t>.</w:t>
            </w:r>
            <w:r w:rsidR="008B4DF8" w:rsidRPr="00C1603D">
              <w:rPr>
                <w:rFonts w:eastAsia="Arial"/>
                <w:noProof/>
                <w:vertAlign w:val="superscript"/>
              </w:rPr>
              <w:t>304</w:t>
            </w:r>
          </w:p>
        </w:tc>
      </w:tr>
      <w:tr w:rsidR="008B4DF8" w:rsidRPr="00C1603D" w14:paraId="6BA0A5BE" w14:textId="77777777" w:rsidTr="001902E7">
        <w:trPr>
          <w:cantSplit/>
        </w:trPr>
        <w:tc>
          <w:tcPr>
            <w:tcW w:w="0" w:type="auto"/>
            <w:shd w:val="clear" w:color="auto" w:fill="FFFFFF"/>
            <w:tcMar>
              <w:top w:w="0" w:type="dxa"/>
              <w:left w:w="0" w:type="dxa"/>
              <w:bottom w:w="0" w:type="dxa"/>
              <w:right w:w="0" w:type="dxa"/>
            </w:tcMar>
          </w:tcPr>
          <w:p w14:paraId="4A593B52" w14:textId="77777777" w:rsidR="008B4DF8" w:rsidRPr="00C1603D" w:rsidRDefault="008B4DF8" w:rsidP="001902E7">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5C458F8E" w14:textId="77777777" w:rsidR="008B4DF8" w:rsidRPr="00C1603D" w:rsidRDefault="008B4DF8" w:rsidP="001902E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73A12176" w14:textId="77777777" w:rsidR="008B4DF8" w:rsidRPr="00C1603D" w:rsidRDefault="008B4DF8" w:rsidP="001902E7">
            <w:pPr>
              <w:pStyle w:val="72TabletextTablesTableFigureBoxstyles"/>
              <w:rPr>
                <w:rFonts w:eastAsia="Arial"/>
              </w:rPr>
            </w:pPr>
            <w:r w:rsidRPr="00C1603D">
              <w:rPr>
                <w:rFonts w:eastAsia="Arial"/>
              </w:rPr>
              <w:t>Nausea</w:t>
            </w:r>
          </w:p>
        </w:tc>
        <w:tc>
          <w:tcPr>
            <w:tcW w:w="0" w:type="auto"/>
            <w:shd w:val="clear" w:color="auto" w:fill="FFFFFF"/>
            <w:tcMar>
              <w:top w:w="0" w:type="dxa"/>
              <w:left w:w="0" w:type="dxa"/>
              <w:bottom w:w="0" w:type="dxa"/>
              <w:right w:w="0" w:type="dxa"/>
            </w:tcMar>
          </w:tcPr>
          <w:p w14:paraId="078D94C5" w14:textId="77777777" w:rsidR="008B4DF8" w:rsidRPr="00C1603D" w:rsidRDefault="008B4DF8" w:rsidP="001902E7">
            <w:pPr>
              <w:pStyle w:val="72TabletextTablesTableFigureBoxstyles"/>
              <w:rPr>
                <w:rFonts w:eastAsia="Arial"/>
              </w:rPr>
            </w:pPr>
            <w:r w:rsidRPr="00C1603D">
              <w:rPr>
                <w:rFonts w:eastAsia="Arial"/>
              </w:rPr>
              <w:t>1562</w:t>
            </w:r>
          </w:p>
        </w:tc>
        <w:tc>
          <w:tcPr>
            <w:tcW w:w="0" w:type="auto"/>
            <w:shd w:val="clear" w:color="auto" w:fill="FFFFFF"/>
            <w:tcMar>
              <w:top w:w="0" w:type="dxa"/>
              <w:left w:w="0" w:type="dxa"/>
              <w:bottom w:w="0" w:type="dxa"/>
              <w:right w:w="0" w:type="dxa"/>
            </w:tcMar>
          </w:tcPr>
          <w:p w14:paraId="5D91086E" w14:textId="30F6011C" w:rsidR="008B4DF8" w:rsidRPr="00C1603D" w:rsidRDefault="008B4DF8" w:rsidP="001902E7">
            <w:pPr>
              <w:pStyle w:val="72TabletextTablesTableFigureBoxstyles"/>
              <w:rPr>
                <w:rFonts w:eastAsia="Arial"/>
              </w:rPr>
            </w:pPr>
            <w:r w:rsidRPr="00C1603D">
              <w:rPr>
                <w:rFonts w:eastAsia="Arial"/>
              </w:rPr>
              <w:t>26</w:t>
            </w:r>
            <w:r w:rsidRPr="00C1603D">
              <w:rPr>
                <w:rFonts w:eastAsia="Arial"/>
                <w:color w:val="00B0F0"/>
              </w:rPr>
              <w:t>–5</w:t>
            </w:r>
            <w:r w:rsidRPr="00C1603D">
              <w:rPr>
                <w:rFonts w:eastAsia="Arial"/>
              </w:rPr>
              <w:t>0</w:t>
            </w:r>
          </w:p>
        </w:tc>
        <w:tc>
          <w:tcPr>
            <w:tcW w:w="0" w:type="auto"/>
            <w:shd w:val="clear" w:color="auto" w:fill="FFFFFF"/>
            <w:tcMar>
              <w:top w:w="0" w:type="dxa"/>
              <w:left w:w="0" w:type="dxa"/>
              <w:bottom w:w="0" w:type="dxa"/>
              <w:right w:w="0" w:type="dxa"/>
            </w:tcMar>
          </w:tcPr>
          <w:p w14:paraId="1FFD4D03" w14:textId="77777777" w:rsidR="008B4DF8" w:rsidRPr="00C1603D" w:rsidRDefault="008B4DF8" w:rsidP="001902E7">
            <w:pPr>
              <w:pStyle w:val="72TabletextTablesTableFigureBoxstyles"/>
              <w:rPr>
                <w:rFonts w:eastAsia="Arial"/>
              </w:rPr>
            </w:pPr>
            <w:r w:rsidRPr="00C1603D">
              <w:rPr>
                <w:rFonts w:eastAsia="Arial"/>
              </w:rPr>
              <w:t>Children without nausea (after eating)</w:t>
            </w:r>
          </w:p>
        </w:tc>
        <w:tc>
          <w:tcPr>
            <w:tcW w:w="0" w:type="auto"/>
            <w:shd w:val="clear" w:color="auto" w:fill="FFFFFF"/>
            <w:tcMar>
              <w:top w:w="0" w:type="dxa"/>
              <w:left w:w="0" w:type="dxa"/>
              <w:bottom w:w="0" w:type="dxa"/>
              <w:right w:w="0" w:type="dxa"/>
            </w:tcMar>
          </w:tcPr>
          <w:p w14:paraId="538038E4" w14:textId="77777777" w:rsidR="008B4DF8" w:rsidRPr="00C1603D" w:rsidRDefault="008B4DF8" w:rsidP="001902E7">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791363A2" w14:textId="77777777" w:rsidR="008B4DF8" w:rsidRPr="00C1603D" w:rsidRDefault="008B4DF8" w:rsidP="001902E7">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77E231C3" w14:textId="77777777" w:rsidR="008B4DF8" w:rsidRPr="00C1603D" w:rsidRDefault="008B4DF8" w:rsidP="001902E7">
            <w:pPr>
              <w:pStyle w:val="72TabletextTablesTableFigureBoxstyles"/>
              <w:rPr>
                <w:rFonts w:eastAsia="Arial"/>
              </w:rPr>
            </w:pPr>
            <w:r w:rsidRPr="00C1603D">
              <w:rPr>
                <w:rFonts w:eastAsia="Arial"/>
              </w:rPr>
              <w:t>Netherlands</w:t>
            </w:r>
          </w:p>
        </w:tc>
        <w:tc>
          <w:tcPr>
            <w:tcW w:w="0" w:type="auto"/>
            <w:shd w:val="clear" w:color="auto" w:fill="FFFFFF"/>
            <w:tcMar>
              <w:top w:w="0" w:type="dxa"/>
              <w:left w:w="0" w:type="dxa"/>
              <w:bottom w:w="0" w:type="dxa"/>
              <w:right w:w="0" w:type="dxa"/>
            </w:tcMar>
          </w:tcPr>
          <w:p w14:paraId="3B9C060B" w14:textId="18B26217" w:rsidR="008B4DF8" w:rsidRPr="00C1603D" w:rsidRDefault="000863C7" w:rsidP="001902E7">
            <w:pPr>
              <w:pStyle w:val="72TabletextTablesTableFigureBoxstyles"/>
              <w:rPr>
                <w:rFonts w:eastAsia="Arial"/>
              </w:rPr>
            </w:pPr>
            <w:r w:rsidRPr="00C1603D">
              <w:rPr>
                <w:rFonts w:eastAsia="Arial"/>
                <w:noProof/>
              </w:rPr>
              <w:t xml:space="preserve">Jansen </w:t>
            </w:r>
            <w:r w:rsidRPr="00C1603D">
              <w:rPr>
                <w:rFonts w:eastAsia="Arial"/>
                <w:i/>
                <w:iCs/>
                <w:noProof/>
              </w:rPr>
              <w:t>et al</w:t>
            </w:r>
            <w:r w:rsidRPr="00C1603D">
              <w:rPr>
                <w:rFonts w:eastAsia="Arial"/>
                <w:noProof/>
              </w:rPr>
              <w:t>.</w:t>
            </w:r>
            <w:r w:rsidR="008B4DF8" w:rsidRPr="00C1603D">
              <w:rPr>
                <w:rFonts w:eastAsia="Arial"/>
                <w:noProof/>
                <w:vertAlign w:val="superscript"/>
              </w:rPr>
              <w:t>185</w:t>
            </w:r>
          </w:p>
        </w:tc>
      </w:tr>
      <w:tr w:rsidR="008B4DF8" w:rsidRPr="00C1603D" w14:paraId="33689756" w14:textId="77777777" w:rsidTr="001902E7">
        <w:trPr>
          <w:cantSplit/>
        </w:trPr>
        <w:tc>
          <w:tcPr>
            <w:tcW w:w="0" w:type="auto"/>
            <w:shd w:val="clear" w:color="auto" w:fill="FFFFFF"/>
            <w:tcMar>
              <w:top w:w="0" w:type="dxa"/>
              <w:left w:w="0" w:type="dxa"/>
              <w:bottom w:w="0" w:type="dxa"/>
              <w:right w:w="0" w:type="dxa"/>
            </w:tcMar>
          </w:tcPr>
          <w:p w14:paraId="0D034A62" w14:textId="77777777" w:rsidR="008B4DF8" w:rsidRPr="00C1603D" w:rsidRDefault="008B4DF8" w:rsidP="001902E7">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52495BDB" w14:textId="77777777" w:rsidR="008B4DF8" w:rsidRPr="00C1603D" w:rsidRDefault="008B4DF8" w:rsidP="001902E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6355BA9F" w14:textId="77777777" w:rsidR="008B4DF8" w:rsidRPr="00C1603D" w:rsidRDefault="008B4DF8" w:rsidP="001902E7">
            <w:pPr>
              <w:pStyle w:val="72TabletextTablesTableFigureBoxstyles"/>
              <w:rPr>
                <w:rFonts w:eastAsia="Arial"/>
              </w:rPr>
            </w:pPr>
            <w:r w:rsidRPr="00C1603D">
              <w:rPr>
                <w:rFonts w:eastAsia="Arial"/>
              </w:rPr>
              <w:t>Vomiting</w:t>
            </w:r>
          </w:p>
        </w:tc>
        <w:tc>
          <w:tcPr>
            <w:tcW w:w="0" w:type="auto"/>
            <w:shd w:val="clear" w:color="auto" w:fill="FFFFFF"/>
            <w:tcMar>
              <w:top w:w="0" w:type="dxa"/>
              <w:left w:w="0" w:type="dxa"/>
              <w:bottom w:w="0" w:type="dxa"/>
              <w:right w:w="0" w:type="dxa"/>
            </w:tcMar>
          </w:tcPr>
          <w:p w14:paraId="6AE54C56" w14:textId="77777777" w:rsidR="008B4DF8" w:rsidRPr="00C1603D" w:rsidRDefault="008B4DF8" w:rsidP="001902E7">
            <w:pPr>
              <w:pStyle w:val="72TabletextTablesTableFigureBoxstyles"/>
              <w:rPr>
                <w:rFonts w:eastAsia="Arial"/>
              </w:rPr>
            </w:pPr>
            <w:r w:rsidRPr="00C1603D">
              <w:rPr>
                <w:rFonts w:eastAsia="Arial"/>
              </w:rPr>
              <w:t>9918</w:t>
            </w:r>
          </w:p>
        </w:tc>
        <w:tc>
          <w:tcPr>
            <w:tcW w:w="0" w:type="auto"/>
            <w:shd w:val="clear" w:color="auto" w:fill="FFFFFF"/>
            <w:tcMar>
              <w:top w:w="0" w:type="dxa"/>
              <w:left w:w="0" w:type="dxa"/>
              <w:bottom w:w="0" w:type="dxa"/>
              <w:right w:w="0" w:type="dxa"/>
            </w:tcMar>
          </w:tcPr>
          <w:p w14:paraId="79AE72A1" w14:textId="68956124" w:rsidR="008B4DF8" w:rsidRPr="00C1603D" w:rsidRDefault="008B4DF8" w:rsidP="001902E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34708034" w14:textId="77777777" w:rsidR="008B4DF8" w:rsidRPr="00C1603D" w:rsidRDefault="008B4DF8" w:rsidP="001902E7">
            <w:pPr>
              <w:pStyle w:val="72TabletextTablesTableFigureBoxstyles"/>
              <w:rPr>
                <w:rFonts w:eastAsia="Arial"/>
              </w:rPr>
            </w:pPr>
            <w:r w:rsidRPr="00C1603D">
              <w:rPr>
                <w:rFonts w:eastAsia="Arial"/>
              </w:rPr>
              <w:t>Children without vomiting</w:t>
            </w:r>
          </w:p>
        </w:tc>
        <w:tc>
          <w:tcPr>
            <w:tcW w:w="0" w:type="auto"/>
            <w:shd w:val="clear" w:color="auto" w:fill="FFFFFF"/>
            <w:tcMar>
              <w:top w:w="0" w:type="dxa"/>
              <w:left w:w="0" w:type="dxa"/>
              <w:bottom w:w="0" w:type="dxa"/>
              <w:right w:w="0" w:type="dxa"/>
            </w:tcMar>
          </w:tcPr>
          <w:p w14:paraId="5AF30C27" w14:textId="77777777" w:rsidR="008B4DF8" w:rsidRPr="00C1603D" w:rsidRDefault="008B4DF8" w:rsidP="001902E7">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39261606" w14:textId="77777777" w:rsidR="008B4DF8" w:rsidRPr="00C1603D" w:rsidRDefault="008B4DF8" w:rsidP="001902E7">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0527C690" w14:textId="1A19CCDB" w:rsidR="008B4DF8" w:rsidRPr="00C1603D" w:rsidRDefault="008B4DF8" w:rsidP="001902E7">
            <w:pPr>
              <w:pStyle w:val="72TabletextTablesTableFigureBoxstyles"/>
              <w:rPr>
                <w:rFonts w:eastAsia="Arial"/>
              </w:rPr>
            </w:pPr>
            <w:r w:rsidRPr="00C1603D">
              <w:rPr>
                <w:rFonts w:eastAsia="Arial"/>
              </w:rPr>
              <w:t>US</w:t>
            </w:r>
            <w:r w:rsidR="000863C7" w:rsidRPr="00C1603D">
              <w:rPr>
                <w:rFonts w:eastAsia="Arial"/>
              </w:rPr>
              <w:t>A</w:t>
            </w:r>
          </w:p>
        </w:tc>
        <w:tc>
          <w:tcPr>
            <w:tcW w:w="0" w:type="auto"/>
            <w:shd w:val="clear" w:color="auto" w:fill="FFFFFF"/>
            <w:tcMar>
              <w:top w:w="0" w:type="dxa"/>
              <w:left w:w="0" w:type="dxa"/>
              <w:bottom w:w="0" w:type="dxa"/>
              <w:right w:w="0" w:type="dxa"/>
            </w:tcMar>
          </w:tcPr>
          <w:p w14:paraId="61F948BE" w14:textId="3DAA6C0F" w:rsidR="008B4DF8" w:rsidRPr="00C1603D" w:rsidRDefault="000863C7" w:rsidP="001902E7">
            <w:pPr>
              <w:pStyle w:val="72TabletextTablesTableFigureBoxstyles"/>
              <w:rPr>
                <w:rFonts w:eastAsia="Arial"/>
              </w:rPr>
            </w:pPr>
            <w:r w:rsidRPr="00C1603D">
              <w:rPr>
                <w:rFonts w:eastAsia="Arial"/>
                <w:noProof/>
              </w:rPr>
              <w:t xml:space="preserve">Stahl </w:t>
            </w:r>
            <w:r w:rsidRPr="00C1603D">
              <w:rPr>
                <w:rFonts w:eastAsia="Arial"/>
                <w:i/>
                <w:iCs/>
                <w:noProof/>
              </w:rPr>
              <w:t>et al</w:t>
            </w:r>
            <w:r w:rsidRPr="00C1603D">
              <w:rPr>
                <w:rFonts w:eastAsia="Arial"/>
                <w:noProof/>
              </w:rPr>
              <w:t>.</w:t>
            </w:r>
            <w:r w:rsidR="008B4DF8" w:rsidRPr="00C1603D">
              <w:rPr>
                <w:rFonts w:eastAsia="Arial"/>
                <w:noProof/>
                <w:vertAlign w:val="superscript"/>
              </w:rPr>
              <w:t>305</w:t>
            </w:r>
          </w:p>
        </w:tc>
      </w:tr>
      <w:tr w:rsidR="00973628" w:rsidRPr="00C1603D" w14:paraId="1E1D5D28" w14:textId="77777777" w:rsidTr="00B21348">
        <w:trPr>
          <w:cantSplit/>
        </w:trPr>
        <w:tc>
          <w:tcPr>
            <w:tcW w:w="0" w:type="auto"/>
            <w:gridSpan w:val="10"/>
            <w:shd w:val="clear" w:color="auto" w:fill="FFFFFF"/>
            <w:tcMar>
              <w:top w:w="0" w:type="dxa"/>
              <w:left w:w="0" w:type="dxa"/>
              <w:bottom w:w="0" w:type="dxa"/>
              <w:right w:w="0" w:type="dxa"/>
            </w:tcMar>
          </w:tcPr>
          <w:p w14:paraId="09626084" w14:textId="5DE33A66" w:rsidR="00973628" w:rsidRPr="00C1603D" w:rsidRDefault="00973628" w:rsidP="00973628">
            <w:pPr>
              <w:pStyle w:val="75TablenotesTablesTableFigureBoxstyles"/>
              <w:rPr>
                <w:rFonts w:eastAsia="Arial"/>
                <w:noProof/>
                <w:vertAlign w:val="superscript"/>
              </w:rPr>
            </w:pPr>
            <w:r w:rsidRPr="00C1603D">
              <w:rPr>
                <w:rFonts w:eastAsia="Arial"/>
                <w:noProof/>
              </w:rPr>
              <w:t>NR, not reported.</w:t>
            </w:r>
          </w:p>
        </w:tc>
      </w:tr>
    </w:tbl>
    <w:p w14:paraId="4E8290D0" w14:textId="5D581E0E" w:rsidR="008B4DF8" w:rsidRPr="00C1603D" w:rsidRDefault="008B4DF8" w:rsidP="008B4DF8">
      <w:pPr>
        <w:pStyle w:val="70TablelegendTablesTableFigureBoxstyles"/>
      </w:pPr>
      <w:bookmarkStart w:id="614" w:name="_Toc99720761"/>
      <w:r w:rsidRPr="00C1603D">
        <w:rPr>
          <w:b/>
        </w:rPr>
        <w:t>TABLE 5</w:t>
      </w:r>
      <w:r w:rsidR="00032460" w:rsidRPr="00C1603D">
        <w:rPr>
          <w:b/>
        </w:rPr>
        <w:t>1</w:t>
      </w:r>
      <w:r w:rsidRPr="00C1603D">
        <w:rPr>
          <w:b/>
        </w:rPr>
        <w:t> </w:t>
      </w:r>
      <w:r w:rsidRPr="00C1603D">
        <w:t xml:space="preserve">Study characteristic: </w:t>
      </w:r>
      <w:r w:rsidR="001902E7" w:rsidRPr="00C1603D">
        <w:t>w</w:t>
      </w:r>
      <w:r w:rsidRPr="00C1603D">
        <w:t>eight loss</w:t>
      </w:r>
      <w:bookmarkEnd w:id="614"/>
    </w:p>
    <w:tbl>
      <w:tblPr>
        <w:tblW w:w="0" w:type="auto"/>
        <w:shd w:val="clear" w:color="auto" w:fill="FFFFFF"/>
        <w:tblCellMar>
          <w:top w:w="40" w:type="dxa"/>
          <w:left w:w="60" w:type="dxa"/>
          <w:bottom w:w="40" w:type="dxa"/>
          <w:right w:w="60" w:type="dxa"/>
        </w:tblCellMar>
        <w:tblLook w:val="0420" w:firstRow="1" w:lastRow="0" w:firstColumn="0" w:lastColumn="0" w:noHBand="0" w:noVBand="1"/>
      </w:tblPr>
      <w:tblGrid>
        <w:gridCol w:w="936"/>
        <w:gridCol w:w="808"/>
        <w:gridCol w:w="799"/>
        <w:gridCol w:w="670"/>
        <w:gridCol w:w="677"/>
        <w:gridCol w:w="1305"/>
        <w:gridCol w:w="1269"/>
        <w:gridCol w:w="1031"/>
        <w:gridCol w:w="666"/>
        <w:gridCol w:w="865"/>
      </w:tblGrid>
      <w:tr w:rsidR="001902E7" w:rsidRPr="00C1603D" w14:paraId="2836F0F1" w14:textId="77777777" w:rsidTr="001902E7">
        <w:trPr>
          <w:cantSplit/>
        </w:trPr>
        <w:tc>
          <w:tcPr>
            <w:tcW w:w="0" w:type="auto"/>
            <w:shd w:val="clear" w:color="auto" w:fill="FFFFFF"/>
            <w:tcMar>
              <w:top w:w="0" w:type="dxa"/>
              <w:left w:w="0" w:type="dxa"/>
              <w:bottom w:w="0" w:type="dxa"/>
              <w:right w:w="0" w:type="dxa"/>
            </w:tcMar>
          </w:tcPr>
          <w:p w14:paraId="01FA5BD9" w14:textId="0A1840ED" w:rsidR="001902E7" w:rsidRPr="00C1603D" w:rsidRDefault="001902E7" w:rsidP="001902E7">
            <w:pPr>
              <w:pStyle w:val="710TableheadTablesTableFigureBoxstyles"/>
            </w:pPr>
            <w:r w:rsidRPr="00C1603D">
              <w:rPr>
                <w:rFonts w:eastAsia="Arial"/>
              </w:rPr>
              <w:t>Population group</w:t>
            </w:r>
          </w:p>
        </w:tc>
        <w:tc>
          <w:tcPr>
            <w:tcW w:w="0" w:type="auto"/>
            <w:shd w:val="clear" w:color="auto" w:fill="FFFFFF"/>
            <w:tcMar>
              <w:top w:w="0" w:type="dxa"/>
              <w:left w:w="0" w:type="dxa"/>
              <w:bottom w:w="0" w:type="dxa"/>
              <w:right w:w="0" w:type="dxa"/>
            </w:tcMar>
          </w:tcPr>
          <w:p w14:paraId="7CA256F7" w14:textId="37C4D7F4" w:rsidR="001902E7" w:rsidRPr="00C1603D" w:rsidRDefault="001902E7" w:rsidP="001902E7">
            <w:pPr>
              <w:pStyle w:val="710TableheadTablesTableFigureBoxstyles"/>
            </w:pPr>
            <w:r w:rsidRPr="00C1603D">
              <w:rPr>
                <w:rFonts w:eastAsia="Arial"/>
              </w:rPr>
              <w:t>Study design</w:t>
            </w:r>
          </w:p>
        </w:tc>
        <w:tc>
          <w:tcPr>
            <w:tcW w:w="0" w:type="auto"/>
            <w:shd w:val="clear" w:color="auto" w:fill="FFFFFF"/>
            <w:tcMar>
              <w:top w:w="0" w:type="dxa"/>
              <w:left w:w="0" w:type="dxa"/>
              <w:bottom w:w="0" w:type="dxa"/>
              <w:right w:w="0" w:type="dxa"/>
            </w:tcMar>
          </w:tcPr>
          <w:p w14:paraId="7AEF3857" w14:textId="584D0363" w:rsidR="001902E7" w:rsidRPr="00C1603D" w:rsidRDefault="001902E7" w:rsidP="001902E7">
            <w:pPr>
              <w:pStyle w:val="710TableheadTablesTableFigureBoxstyles"/>
            </w:pPr>
            <w:r w:rsidRPr="00C1603D">
              <w:rPr>
                <w:rFonts w:eastAsia="Arial"/>
              </w:rPr>
              <w:t>Indicator details</w:t>
            </w:r>
          </w:p>
        </w:tc>
        <w:tc>
          <w:tcPr>
            <w:tcW w:w="0" w:type="auto"/>
            <w:shd w:val="clear" w:color="auto" w:fill="FFFFFF"/>
            <w:tcMar>
              <w:top w:w="0" w:type="dxa"/>
              <w:left w:w="0" w:type="dxa"/>
              <w:bottom w:w="0" w:type="dxa"/>
              <w:right w:w="0" w:type="dxa"/>
            </w:tcMar>
          </w:tcPr>
          <w:p w14:paraId="4651670D" w14:textId="7F1BC4E6" w:rsidR="001902E7" w:rsidRPr="00C1603D" w:rsidRDefault="001902E7" w:rsidP="001902E7">
            <w:pPr>
              <w:pStyle w:val="710TableheadTablesTableFigureBoxstyles"/>
            </w:pPr>
            <w:r w:rsidRPr="00C1603D">
              <w:rPr>
                <w:rFonts w:eastAsia="Arial"/>
              </w:rPr>
              <w:t>Sample size (</w:t>
            </w:r>
            <w:r w:rsidRPr="00C1603D">
              <w:rPr>
                <w:rFonts w:eastAsia="Arial"/>
                <w:i/>
                <w:iCs/>
              </w:rPr>
              <w:t>n</w:t>
            </w:r>
            <w:r w:rsidRPr="00C1603D">
              <w:rPr>
                <w:rFonts w:eastAsia="Arial"/>
              </w:rPr>
              <w:t>)</w:t>
            </w:r>
          </w:p>
        </w:tc>
        <w:tc>
          <w:tcPr>
            <w:tcW w:w="0" w:type="auto"/>
            <w:shd w:val="clear" w:color="auto" w:fill="FFFFFF"/>
            <w:tcMar>
              <w:top w:w="0" w:type="dxa"/>
              <w:left w:w="0" w:type="dxa"/>
              <w:bottom w:w="0" w:type="dxa"/>
              <w:right w:w="0" w:type="dxa"/>
            </w:tcMar>
          </w:tcPr>
          <w:p w14:paraId="3BEB4AE5" w14:textId="77777777" w:rsidR="001902E7" w:rsidRPr="00C1603D" w:rsidRDefault="001902E7" w:rsidP="001902E7">
            <w:pPr>
              <w:pStyle w:val="710TableheadTablesTableFigureBoxstyles"/>
            </w:pPr>
            <w:r w:rsidRPr="00C1603D">
              <w:rPr>
                <w:rFonts w:eastAsia="Arial"/>
              </w:rPr>
              <w:t>Sex (% female)</w:t>
            </w:r>
          </w:p>
        </w:tc>
        <w:tc>
          <w:tcPr>
            <w:tcW w:w="0" w:type="auto"/>
            <w:shd w:val="clear" w:color="auto" w:fill="FFFFFF"/>
            <w:tcMar>
              <w:top w:w="0" w:type="dxa"/>
              <w:left w:w="0" w:type="dxa"/>
              <w:bottom w:w="0" w:type="dxa"/>
              <w:right w:w="0" w:type="dxa"/>
            </w:tcMar>
          </w:tcPr>
          <w:p w14:paraId="4CA4FF9E" w14:textId="77777777" w:rsidR="001902E7" w:rsidRPr="00C1603D" w:rsidRDefault="001902E7" w:rsidP="001902E7">
            <w:pPr>
              <w:pStyle w:val="710TableheadTablesTableFigureBoxstyles"/>
            </w:pPr>
            <w:r w:rsidRPr="00C1603D">
              <w:rPr>
                <w:rFonts w:eastAsia="Arial"/>
              </w:rPr>
              <w:t>Control group</w:t>
            </w:r>
          </w:p>
        </w:tc>
        <w:tc>
          <w:tcPr>
            <w:tcW w:w="0" w:type="auto"/>
            <w:shd w:val="clear" w:color="auto" w:fill="FFFFFF"/>
            <w:tcMar>
              <w:top w:w="0" w:type="dxa"/>
              <w:left w:w="0" w:type="dxa"/>
              <w:bottom w:w="0" w:type="dxa"/>
              <w:right w:w="0" w:type="dxa"/>
            </w:tcMar>
          </w:tcPr>
          <w:p w14:paraId="70EF34BA" w14:textId="77777777" w:rsidR="001902E7" w:rsidRPr="00C1603D" w:rsidRDefault="001902E7" w:rsidP="001902E7">
            <w:pPr>
              <w:pStyle w:val="710TableheadTablesTableFigureBoxstyles"/>
            </w:pPr>
            <w:r w:rsidRPr="00C1603D">
              <w:rPr>
                <w:rFonts w:eastAsia="Arial"/>
              </w:rPr>
              <w:t>Reference standard</w:t>
            </w:r>
          </w:p>
        </w:tc>
        <w:tc>
          <w:tcPr>
            <w:tcW w:w="0" w:type="auto"/>
            <w:shd w:val="clear" w:color="auto" w:fill="FFFFFF"/>
            <w:tcMar>
              <w:top w:w="0" w:type="dxa"/>
              <w:left w:w="0" w:type="dxa"/>
              <w:bottom w:w="0" w:type="dxa"/>
              <w:right w:w="0" w:type="dxa"/>
            </w:tcMar>
          </w:tcPr>
          <w:p w14:paraId="23C6A5BA" w14:textId="77777777" w:rsidR="001902E7" w:rsidRPr="00C1603D" w:rsidRDefault="001902E7" w:rsidP="001902E7">
            <w:pPr>
              <w:pStyle w:val="710TableheadTablesTableFigureBoxstyles"/>
            </w:pPr>
            <w:r w:rsidRPr="00C1603D">
              <w:rPr>
                <w:rFonts w:eastAsia="Arial"/>
              </w:rPr>
              <w:t>Care setting</w:t>
            </w:r>
          </w:p>
        </w:tc>
        <w:tc>
          <w:tcPr>
            <w:tcW w:w="0" w:type="auto"/>
            <w:shd w:val="clear" w:color="auto" w:fill="FFFFFF"/>
            <w:tcMar>
              <w:top w:w="0" w:type="dxa"/>
              <w:left w:w="0" w:type="dxa"/>
              <w:bottom w:w="0" w:type="dxa"/>
              <w:right w:w="0" w:type="dxa"/>
            </w:tcMar>
          </w:tcPr>
          <w:p w14:paraId="16D0A89D" w14:textId="77777777" w:rsidR="001902E7" w:rsidRPr="00C1603D" w:rsidRDefault="001902E7" w:rsidP="001902E7">
            <w:pPr>
              <w:pStyle w:val="710TableheadTablesTableFigureBoxstyles"/>
            </w:pPr>
            <w:r w:rsidRPr="00C1603D">
              <w:rPr>
                <w:rFonts w:eastAsia="Arial"/>
              </w:rPr>
              <w:t>Location</w:t>
            </w:r>
          </w:p>
        </w:tc>
        <w:tc>
          <w:tcPr>
            <w:tcW w:w="0" w:type="auto"/>
            <w:shd w:val="clear" w:color="auto" w:fill="FFFFFF"/>
            <w:tcMar>
              <w:top w:w="0" w:type="dxa"/>
              <w:left w:w="0" w:type="dxa"/>
              <w:bottom w:w="0" w:type="dxa"/>
              <w:right w:w="0" w:type="dxa"/>
            </w:tcMar>
          </w:tcPr>
          <w:p w14:paraId="5DE152EB" w14:textId="77777777" w:rsidR="001902E7" w:rsidRPr="00C1603D" w:rsidRDefault="001902E7" w:rsidP="001902E7">
            <w:pPr>
              <w:pStyle w:val="710TableheadTablesTableFigureBoxstyles"/>
            </w:pPr>
            <w:r w:rsidRPr="00C1603D">
              <w:rPr>
                <w:rFonts w:eastAsia="Arial"/>
              </w:rPr>
              <w:t>Reference</w:t>
            </w:r>
          </w:p>
        </w:tc>
      </w:tr>
      <w:tr w:rsidR="008B4DF8" w:rsidRPr="00C1603D" w14:paraId="27BBBC1C" w14:textId="77777777" w:rsidTr="001902E7">
        <w:trPr>
          <w:cantSplit/>
        </w:trPr>
        <w:tc>
          <w:tcPr>
            <w:tcW w:w="0" w:type="auto"/>
            <w:shd w:val="clear" w:color="auto" w:fill="FFFFFF"/>
            <w:tcMar>
              <w:top w:w="0" w:type="dxa"/>
              <w:left w:w="0" w:type="dxa"/>
              <w:bottom w:w="0" w:type="dxa"/>
              <w:right w:w="0" w:type="dxa"/>
            </w:tcMar>
          </w:tcPr>
          <w:p w14:paraId="5EC612C8" w14:textId="77777777" w:rsidR="008B4DF8" w:rsidRPr="00C1603D" w:rsidRDefault="008B4DF8" w:rsidP="001902E7">
            <w:pPr>
              <w:pStyle w:val="72TabletextTablesTableFigureBoxstyles"/>
              <w:rPr>
                <w:rFonts w:eastAsia="Arial"/>
              </w:rPr>
            </w:pPr>
            <w:r w:rsidRPr="00C1603D">
              <w:rPr>
                <w:rFonts w:eastAsia="Arial"/>
              </w:rPr>
              <w:t>Adults</w:t>
            </w:r>
          </w:p>
        </w:tc>
        <w:tc>
          <w:tcPr>
            <w:tcW w:w="0" w:type="auto"/>
            <w:shd w:val="clear" w:color="auto" w:fill="FFFFFF"/>
            <w:tcMar>
              <w:top w:w="0" w:type="dxa"/>
              <w:left w:w="0" w:type="dxa"/>
              <w:bottom w:w="0" w:type="dxa"/>
              <w:right w:w="0" w:type="dxa"/>
            </w:tcMar>
          </w:tcPr>
          <w:p w14:paraId="6FCB7C90" w14:textId="77777777" w:rsidR="008B4DF8" w:rsidRPr="00C1603D" w:rsidRDefault="008B4DF8" w:rsidP="001902E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6C768E74" w14:textId="77777777" w:rsidR="008B4DF8" w:rsidRPr="00C1603D" w:rsidRDefault="008B4DF8" w:rsidP="001902E7">
            <w:pPr>
              <w:pStyle w:val="72TabletextTablesTableFigureBoxstyles"/>
              <w:rPr>
                <w:rFonts w:eastAsia="Arial"/>
              </w:rPr>
            </w:pPr>
            <w:r w:rsidRPr="00C1603D">
              <w:rPr>
                <w:rFonts w:eastAsia="Arial"/>
              </w:rPr>
              <w:t>Weight loss</w:t>
            </w:r>
          </w:p>
        </w:tc>
        <w:tc>
          <w:tcPr>
            <w:tcW w:w="0" w:type="auto"/>
            <w:shd w:val="clear" w:color="auto" w:fill="FFFFFF"/>
            <w:tcMar>
              <w:top w:w="0" w:type="dxa"/>
              <w:left w:w="0" w:type="dxa"/>
              <w:bottom w:w="0" w:type="dxa"/>
              <w:right w:w="0" w:type="dxa"/>
            </w:tcMar>
          </w:tcPr>
          <w:p w14:paraId="1B43F8F2" w14:textId="77777777" w:rsidR="008B4DF8" w:rsidRPr="00C1603D" w:rsidRDefault="008B4DF8" w:rsidP="001902E7">
            <w:pPr>
              <w:pStyle w:val="72TabletextTablesTableFigureBoxstyles"/>
              <w:rPr>
                <w:rFonts w:eastAsia="Arial"/>
              </w:rPr>
            </w:pPr>
            <w:r w:rsidRPr="00C1603D">
              <w:rPr>
                <w:rFonts w:eastAsia="Arial"/>
              </w:rPr>
              <w:t>1960</w:t>
            </w:r>
          </w:p>
        </w:tc>
        <w:tc>
          <w:tcPr>
            <w:tcW w:w="0" w:type="auto"/>
            <w:shd w:val="clear" w:color="auto" w:fill="FFFFFF"/>
            <w:tcMar>
              <w:top w:w="0" w:type="dxa"/>
              <w:left w:w="0" w:type="dxa"/>
              <w:bottom w:w="0" w:type="dxa"/>
              <w:right w:w="0" w:type="dxa"/>
            </w:tcMar>
          </w:tcPr>
          <w:p w14:paraId="19B218AF" w14:textId="77777777" w:rsidR="008B4DF8" w:rsidRPr="00C1603D" w:rsidRDefault="008B4DF8" w:rsidP="001902E7">
            <w:pPr>
              <w:pStyle w:val="72TabletextTablesTableFigureBoxstyles"/>
              <w:rPr>
                <w:rFonts w:eastAsia="Arial"/>
              </w:rPr>
            </w:pPr>
            <w:r w:rsidRPr="00C1603D">
              <w:rPr>
                <w:rFonts w:eastAsia="Arial"/>
              </w:rPr>
              <w:t>NR</w:t>
            </w:r>
          </w:p>
        </w:tc>
        <w:tc>
          <w:tcPr>
            <w:tcW w:w="0" w:type="auto"/>
            <w:shd w:val="clear" w:color="auto" w:fill="FFFFFF"/>
            <w:tcMar>
              <w:top w:w="0" w:type="dxa"/>
              <w:left w:w="0" w:type="dxa"/>
              <w:bottom w:w="0" w:type="dxa"/>
              <w:right w:w="0" w:type="dxa"/>
            </w:tcMar>
          </w:tcPr>
          <w:p w14:paraId="6069B0F6" w14:textId="77777777" w:rsidR="008B4DF8" w:rsidRPr="00C1603D" w:rsidRDefault="008B4DF8" w:rsidP="001902E7">
            <w:pPr>
              <w:pStyle w:val="72TabletextTablesTableFigureBoxstyles"/>
              <w:rPr>
                <w:rFonts w:eastAsia="Arial"/>
              </w:rPr>
            </w:pPr>
            <w:r w:rsidRPr="00C1603D">
              <w:rPr>
                <w:rFonts w:eastAsia="Arial"/>
              </w:rPr>
              <w:t>People without weight loss</w:t>
            </w:r>
          </w:p>
        </w:tc>
        <w:tc>
          <w:tcPr>
            <w:tcW w:w="0" w:type="auto"/>
            <w:shd w:val="clear" w:color="auto" w:fill="FFFFFF"/>
            <w:tcMar>
              <w:top w:w="0" w:type="dxa"/>
              <w:left w:w="0" w:type="dxa"/>
              <w:bottom w:w="0" w:type="dxa"/>
              <w:right w:w="0" w:type="dxa"/>
            </w:tcMar>
          </w:tcPr>
          <w:p w14:paraId="51B6C0D5" w14:textId="619610BC" w:rsidR="008B4DF8" w:rsidRPr="00C1603D" w:rsidRDefault="008B4DF8" w:rsidP="001902E7">
            <w:pPr>
              <w:pStyle w:val="72TabletextTablesTableFigureBoxstyles"/>
              <w:rPr>
                <w:rFonts w:eastAsia="Arial"/>
              </w:rPr>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B1081B2" w14:textId="77777777" w:rsidR="008B4DF8" w:rsidRPr="00C1603D" w:rsidRDefault="008B4DF8" w:rsidP="001902E7">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734C6D17" w14:textId="4772F437" w:rsidR="008B4DF8" w:rsidRPr="00C1603D" w:rsidRDefault="008B4DF8" w:rsidP="001902E7">
            <w:pPr>
              <w:pStyle w:val="72TabletextTablesTableFigureBoxstyles"/>
              <w:rPr>
                <w:rFonts w:eastAsia="Arial"/>
              </w:rPr>
            </w:pPr>
            <w:r w:rsidRPr="00C1603D">
              <w:rPr>
                <w:rFonts w:eastAsia="Arial"/>
              </w:rPr>
              <w:t>US</w:t>
            </w:r>
            <w:r w:rsidR="000863C7" w:rsidRPr="00C1603D">
              <w:rPr>
                <w:rFonts w:eastAsia="Arial"/>
              </w:rPr>
              <w:t>A</w:t>
            </w:r>
          </w:p>
        </w:tc>
        <w:tc>
          <w:tcPr>
            <w:tcW w:w="0" w:type="auto"/>
            <w:shd w:val="clear" w:color="auto" w:fill="FFFFFF"/>
            <w:tcMar>
              <w:top w:w="0" w:type="dxa"/>
              <w:left w:w="0" w:type="dxa"/>
              <w:bottom w:w="0" w:type="dxa"/>
              <w:right w:w="0" w:type="dxa"/>
            </w:tcMar>
          </w:tcPr>
          <w:p w14:paraId="56020D0E" w14:textId="1C493863" w:rsidR="008B4DF8" w:rsidRPr="00C1603D" w:rsidRDefault="000863C7" w:rsidP="001902E7">
            <w:pPr>
              <w:pStyle w:val="72TabletextTablesTableFigureBoxstyles"/>
              <w:rPr>
                <w:rFonts w:eastAsia="Arial"/>
              </w:rPr>
            </w:pPr>
            <w:r w:rsidRPr="00C1603D">
              <w:rPr>
                <w:rFonts w:eastAsia="Arial"/>
                <w:noProof/>
              </w:rPr>
              <w:t xml:space="preserve">Choung </w:t>
            </w:r>
            <w:r w:rsidRPr="00C1603D">
              <w:rPr>
                <w:rFonts w:eastAsia="Arial"/>
                <w:i/>
                <w:iCs/>
                <w:noProof/>
              </w:rPr>
              <w:t>et al</w:t>
            </w:r>
            <w:r w:rsidRPr="00C1603D">
              <w:rPr>
                <w:rFonts w:eastAsia="Arial"/>
                <w:noProof/>
              </w:rPr>
              <w:t>.</w:t>
            </w:r>
            <w:r w:rsidR="008B4DF8" w:rsidRPr="00C1603D">
              <w:rPr>
                <w:rFonts w:eastAsia="Arial"/>
                <w:noProof/>
                <w:vertAlign w:val="superscript"/>
              </w:rPr>
              <w:t>299</w:t>
            </w:r>
          </w:p>
        </w:tc>
      </w:tr>
      <w:tr w:rsidR="008B4DF8" w:rsidRPr="00C1603D" w14:paraId="445B1022" w14:textId="77777777" w:rsidTr="001902E7">
        <w:trPr>
          <w:cantSplit/>
        </w:trPr>
        <w:tc>
          <w:tcPr>
            <w:tcW w:w="0" w:type="auto"/>
            <w:shd w:val="clear" w:color="auto" w:fill="FFFFFF"/>
            <w:tcMar>
              <w:top w:w="0" w:type="dxa"/>
              <w:left w:w="0" w:type="dxa"/>
              <w:bottom w:w="0" w:type="dxa"/>
              <w:right w:w="0" w:type="dxa"/>
            </w:tcMar>
          </w:tcPr>
          <w:p w14:paraId="682C58D5" w14:textId="77777777" w:rsidR="008B4DF8" w:rsidRPr="00C1603D" w:rsidRDefault="008B4DF8" w:rsidP="001902E7">
            <w:pPr>
              <w:pStyle w:val="72TabletextTablesTableFigureBoxstyles"/>
              <w:rPr>
                <w:rFonts w:eastAsia="Arial"/>
              </w:rPr>
            </w:pPr>
            <w:r w:rsidRPr="00C1603D">
              <w:rPr>
                <w:rFonts w:eastAsia="Arial"/>
              </w:rPr>
              <w:lastRenderedPageBreak/>
              <w:t>Adults</w:t>
            </w:r>
          </w:p>
        </w:tc>
        <w:tc>
          <w:tcPr>
            <w:tcW w:w="0" w:type="auto"/>
            <w:shd w:val="clear" w:color="auto" w:fill="FFFFFF"/>
            <w:tcMar>
              <w:top w:w="0" w:type="dxa"/>
              <w:left w:w="0" w:type="dxa"/>
              <w:bottom w:w="0" w:type="dxa"/>
              <w:right w:w="0" w:type="dxa"/>
            </w:tcMar>
          </w:tcPr>
          <w:p w14:paraId="0858DB58" w14:textId="77777777" w:rsidR="008B4DF8" w:rsidRPr="00C1603D" w:rsidRDefault="008B4DF8" w:rsidP="001902E7">
            <w:pPr>
              <w:pStyle w:val="72TabletextTablesTableFigureBoxstyles"/>
              <w:rPr>
                <w:rFonts w:eastAsia="Arial"/>
              </w:rPr>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53E36B07" w14:textId="77777777" w:rsidR="008B4DF8" w:rsidRPr="00C1603D" w:rsidRDefault="008B4DF8" w:rsidP="001902E7">
            <w:pPr>
              <w:pStyle w:val="72TabletextTablesTableFigureBoxstyles"/>
              <w:rPr>
                <w:rFonts w:eastAsia="Arial"/>
              </w:rPr>
            </w:pPr>
            <w:r w:rsidRPr="00C1603D">
              <w:rPr>
                <w:rFonts w:eastAsia="Arial"/>
              </w:rPr>
              <w:t>Weight loss</w:t>
            </w:r>
          </w:p>
        </w:tc>
        <w:tc>
          <w:tcPr>
            <w:tcW w:w="0" w:type="auto"/>
            <w:shd w:val="clear" w:color="auto" w:fill="FFFFFF"/>
            <w:tcMar>
              <w:top w:w="0" w:type="dxa"/>
              <w:left w:w="0" w:type="dxa"/>
              <w:bottom w:w="0" w:type="dxa"/>
              <w:right w:w="0" w:type="dxa"/>
            </w:tcMar>
          </w:tcPr>
          <w:p w14:paraId="568DBDE3" w14:textId="77777777" w:rsidR="008B4DF8" w:rsidRPr="00C1603D" w:rsidRDefault="008B4DF8" w:rsidP="001902E7">
            <w:pPr>
              <w:pStyle w:val="72TabletextTablesTableFigureBoxstyles"/>
              <w:rPr>
                <w:rFonts w:eastAsia="Arial"/>
              </w:rPr>
            </w:pPr>
            <w:r w:rsidRPr="00C1603D">
              <w:rPr>
                <w:rFonts w:eastAsia="Arial"/>
              </w:rPr>
              <w:t>800</w:t>
            </w:r>
          </w:p>
        </w:tc>
        <w:tc>
          <w:tcPr>
            <w:tcW w:w="0" w:type="auto"/>
            <w:shd w:val="clear" w:color="auto" w:fill="FFFFFF"/>
            <w:tcMar>
              <w:top w:w="0" w:type="dxa"/>
              <w:left w:w="0" w:type="dxa"/>
              <w:bottom w:w="0" w:type="dxa"/>
              <w:right w:w="0" w:type="dxa"/>
            </w:tcMar>
          </w:tcPr>
          <w:p w14:paraId="16BA9F35" w14:textId="7CC97594" w:rsidR="008B4DF8" w:rsidRPr="00C1603D" w:rsidRDefault="008B4DF8" w:rsidP="001902E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07A83C2" w14:textId="77777777" w:rsidR="008B4DF8" w:rsidRPr="00C1603D" w:rsidRDefault="008B4DF8" w:rsidP="001902E7">
            <w:pPr>
              <w:pStyle w:val="72TabletextTablesTableFigureBoxstyles"/>
              <w:rPr>
                <w:rFonts w:eastAsia="Arial"/>
              </w:rPr>
            </w:pPr>
            <w:r w:rsidRPr="00C1603D">
              <w:rPr>
                <w:rFonts w:eastAsia="Arial"/>
              </w:rPr>
              <w:t>People without unexplained weight loss</w:t>
            </w:r>
          </w:p>
        </w:tc>
        <w:tc>
          <w:tcPr>
            <w:tcW w:w="0" w:type="auto"/>
            <w:shd w:val="clear" w:color="auto" w:fill="FFFFFF"/>
            <w:tcMar>
              <w:top w:w="0" w:type="dxa"/>
              <w:left w:w="0" w:type="dxa"/>
              <w:bottom w:w="0" w:type="dxa"/>
              <w:right w:w="0" w:type="dxa"/>
            </w:tcMar>
          </w:tcPr>
          <w:p w14:paraId="471D523D" w14:textId="6A659887" w:rsidR="008B4DF8" w:rsidRPr="00C1603D" w:rsidRDefault="008B4DF8" w:rsidP="001902E7">
            <w:pPr>
              <w:pStyle w:val="72TabletextTablesTableFigureBoxstyles"/>
              <w:rPr>
                <w:rFonts w:eastAsia="Arial"/>
              </w:rPr>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4AE8C0CE" w14:textId="7B4D2B9F" w:rsidR="008B4DF8" w:rsidRPr="00C1603D" w:rsidRDefault="008B4DF8" w:rsidP="001902E7">
            <w:pPr>
              <w:pStyle w:val="72TabletextTablesTableFigureBoxstyles"/>
              <w:rPr>
                <w:rFonts w:eastAsia="Arial"/>
              </w:rPr>
            </w:pPr>
            <w:r w:rsidRPr="00C1603D">
              <w:rPr>
                <w:rFonts w:eastAsia="Arial"/>
              </w:rPr>
              <w:t xml:space="preserve">Primary and </w:t>
            </w:r>
            <w:r w:rsidR="008769A2" w:rsidRPr="00C1603D">
              <w:rPr>
                <w:rFonts w:eastAsia="Arial"/>
              </w:rPr>
              <w:t>secondary</w:t>
            </w:r>
          </w:p>
        </w:tc>
        <w:tc>
          <w:tcPr>
            <w:tcW w:w="0" w:type="auto"/>
            <w:shd w:val="clear" w:color="auto" w:fill="FFFFFF"/>
            <w:tcMar>
              <w:top w:w="0" w:type="dxa"/>
              <w:left w:w="0" w:type="dxa"/>
              <w:bottom w:w="0" w:type="dxa"/>
              <w:right w:w="0" w:type="dxa"/>
            </w:tcMar>
          </w:tcPr>
          <w:p w14:paraId="5E398616" w14:textId="77777777" w:rsidR="008B4DF8" w:rsidRPr="00C1603D" w:rsidRDefault="008B4DF8" w:rsidP="001902E7">
            <w:pPr>
              <w:pStyle w:val="72TabletextTablesTableFigureBoxstyles"/>
              <w:rPr>
                <w:rFonts w:eastAsia="Arial"/>
              </w:rPr>
            </w:pPr>
            <w:r w:rsidRPr="00C1603D">
              <w:rPr>
                <w:rFonts w:eastAsia="Arial"/>
              </w:rPr>
              <w:t>USA</w:t>
            </w:r>
          </w:p>
        </w:tc>
        <w:tc>
          <w:tcPr>
            <w:tcW w:w="0" w:type="auto"/>
            <w:shd w:val="clear" w:color="auto" w:fill="FFFFFF"/>
            <w:tcMar>
              <w:top w:w="0" w:type="dxa"/>
              <w:left w:w="0" w:type="dxa"/>
              <w:bottom w:w="0" w:type="dxa"/>
              <w:right w:w="0" w:type="dxa"/>
            </w:tcMar>
          </w:tcPr>
          <w:p w14:paraId="5FD9DF5E" w14:textId="060D9DF6" w:rsidR="008B4DF8" w:rsidRPr="00C1603D" w:rsidRDefault="000863C7" w:rsidP="001902E7">
            <w:pPr>
              <w:pStyle w:val="72TabletextTablesTableFigureBoxstyles"/>
              <w:rPr>
                <w:rFonts w:eastAsia="Arial"/>
              </w:rPr>
            </w:pPr>
            <w:r w:rsidRPr="00C1603D">
              <w:rPr>
                <w:rFonts w:eastAsia="Arial"/>
                <w:noProof/>
              </w:rPr>
              <w:t xml:space="preserve">Hujoel </w:t>
            </w:r>
            <w:r w:rsidRPr="00C1603D">
              <w:rPr>
                <w:rFonts w:eastAsia="Arial"/>
                <w:i/>
                <w:iCs/>
                <w:noProof/>
              </w:rPr>
              <w:t>et al</w:t>
            </w:r>
            <w:r w:rsidRPr="00C1603D">
              <w:rPr>
                <w:rFonts w:eastAsia="Arial"/>
                <w:noProof/>
              </w:rPr>
              <w:t>.</w:t>
            </w:r>
            <w:r w:rsidR="008B4DF8" w:rsidRPr="00C1603D">
              <w:rPr>
                <w:rFonts w:eastAsia="Arial"/>
                <w:noProof/>
                <w:vertAlign w:val="superscript"/>
              </w:rPr>
              <w:t>301</w:t>
            </w:r>
          </w:p>
        </w:tc>
      </w:tr>
      <w:tr w:rsidR="008B4DF8" w:rsidRPr="00C1603D" w14:paraId="4BDA31DA" w14:textId="77777777" w:rsidTr="001902E7">
        <w:trPr>
          <w:cantSplit/>
        </w:trPr>
        <w:tc>
          <w:tcPr>
            <w:tcW w:w="0" w:type="auto"/>
            <w:shd w:val="clear" w:color="auto" w:fill="FFFFFF"/>
            <w:tcMar>
              <w:top w:w="0" w:type="dxa"/>
              <w:left w:w="0" w:type="dxa"/>
              <w:bottom w:w="0" w:type="dxa"/>
              <w:right w:w="0" w:type="dxa"/>
            </w:tcMar>
          </w:tcPr>
          <w:p w14:paraId="7486D345" w14:textId="77777777" w:rsidR="008B4DF8" w:rsidRPr="00C1603D" w:rsidRDefault="008B4DF8" w:rsidP="001902E7">
            <w:pPr>
              <w:pStyle w:val="72TabletextTablesTableFigureBoxstyles"/>
              <w:rPr>
                <w:rFonts w:eastAsia="Arial"/>
              </w:rPr>
            </w:pPr>
            <w:r w:rsidRPr="00C1603D">
              <w:rPr>
                <w:rFonts w:eastAsia="Arial"/>
              </w:rPr>
              <w:t>Adults</w:t>
            </w:r>
          </w:p>
        </w:tc>
        <w:tc>
          <w:tcPr>
            <w:tcW w:w="0" w:type="auto"/>
            <w:shd w:val="clear" w:color="auto" w:fill="FFFFFF"/>
            <w:tcMar>
              <w:top w:w="0" w:type="dxa"/>
              <w:left w:w="0" w:type="dxa"/>
              <w:bottom w:w="0" w:type="dxa"/>
              <w:right w:w="0" w:type="dxa"/>
            </w:tcMar>
          </w:tcPr>
          <w:p w14:paraId="736405FC" w14:textId="77777777" w:rsidR="008B4DF8" w:rsidRPr="00C1603D" w:rsidRDefault="008B4DF8" w:rsidP="001902E7">
            <w:pPr>
              <w:pStyle w:val="72TabletextTablesTableFigureBoxstyles"/>
              <w:rPr>
                <w:rFonts w:eastAsia="Arial"/>
              </w:rPr>
            </w:pPr>
            <w:r w:rsidRPr="00C1603D">
              <w:rPr>
                <w:rFonts w:eastAsia="Arial"/>
              </w:rPr>
              <w:t xml:space="preserve">Nested </w:t>
            </w:r>
            <w:r w:rsidRPr="00C1603D">
              <w:rPr>
                <w:rFonts w:eastAsia="Arial"/>
                <w:color w:val="00B0F0"/>
              </w:rPr>
              <w:t>case–control</w:t>
            </w:r>
            <w:r w:rsidRPr="00C1603D">
              <w:rPr>
                <w:rFonts w:eastAsia="Arial"/>
              </w:rPr>
              <w:t xml:space="preserve"> (CD)</w:t>
            </w:r>
          </w:p>
        </w:tc>
        <w:tc>
          <w:tcPr>
            <w:tcW w:w="0" w:type="auto"/>
            <w:shd w:val="clear" w:color="auto" w:fill="FFFFFF"/>
            <w:tcMar>
              <w:top w:w="0" w:type="dxa"/>
              <w:left w:w="0" w:type="dxa"/>
              <w:bottom w:w="0" w:type="dxa"/>
              <w:right w:w="0" w:type="dxa"/>
            </w:tcMar>
          </w:tcPr>
          <w:p w14:paraId="5F468191" w14:textId="77777777" w:rsidR="008B4DF8" w:rsidRPr="00C1603D" w:rsidRDefault="008B4DF8" w:rsidP="001902E7">
            <w:pPr>
              <w:pStyle w:val="72TabletextTablesTableFigureBoxstyles"/>
              <w:rPr>
                <w:rFonts w:eastAsia="Arial"/>
              </w:rPr>
            </w:pPr>
            <w:r w:rsidRPr="00C1603D">
              <w:rPr>
                <w:rFonts w:eastAsia="Arial"/>
              </w:rPr>
              <w:t>Weight loss</w:t>
            </w:r>
          </w:p>
        </w:tc>
        <w:tc>
          <w:tcPr>
            <w:tcW w:w="0" w:type="auto"/>
            <w:shd w:val="clear" w:color="auto" w:fill="FFFFFF"/>
            <w:tcMar>
              <w:top w:w="0" w:type="dxa"/>
              <w:left w:w="0" w:type="dxa"/>
              <w:bottom w:w="0" w:type="dxa"/>
              <w:right w:w="0" w:type="dxa"/>
            </w:tcMar>
          </w:tcPr>
          <w:p w14:paraId="2EE57C9B" w14:textId="77777777" w:rsidR="008B4DF8" w:rsidRPr="00C1603D" w:rsidRDefault="008B4DF8" w:rsidP="001902E7">
            <w:pPr>
              <w:pStyle w:val="72TabletextTablesTableFigureBoxstyles"/>
              <w:rPr>
                <w:rFonts w:eastAsia="Arial"/>
              </w:rPr>
            </w:pPr>
            <w:r w:rsidRPr="00C1603D">
              <w:rPr>
                <w:rFonts w:eastAsia="Arial"/>
              </w:rPr>
              <w:t>381</w:t>
            </w:r>
          </w:p>
        </w:tc>
        <w:tc>
          <w:tcPr>
            <w:tcW w:w="0" w:type="auto"/>
            <w:shd w:val="clear" w:color="auto" w:fill="FFFFFF"/>
            <w:tcMar>
              <w:top w:w="0" w:type="dxa"/>
              <w:left w:w="0" w:type="dxa"/>
              <w:bottom w:w="0" w:type="dxa"/>
              <w:right w:w="0" w:type="dxa"/>
            </w:tcMar>
          </w:tcPr>
          <w:p w14:paraId="34EA137C" w14:textId="57B0AE25" w:rsidR="008B4DF8" w:rsidRPr="00C1603D" w:rsidRDefault="008B4DF8" w:rsidP="001902E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12FA5956" w14:textId="77777777" w:rsidR="008B4DF8" w:rsidRPr="00C1603D" w:rsidRDefault="008B4DF8" w:rsidP="001902E7">
            <w:pPr>
              <w:pStyle w:val="72TabletextTablesTableFigureBoxstyles"/>
              <w:rPr>
                <w:rFonts w:eastAsia="Arial"/>
              </w:rPr>
            </w:pPr>
            <w:r w:rsidRPr="00C1603D">
              <w:rPr>
                <w:rFonts w:eastAsia="Arial"/>
              </w:rPr>
              <w:t>People without weight loss</w:t>
            </w:r>
          </w:p>
        </w:tc>
        <w:tc>
          <w:tcPr>
            <w:tcW w:w="0" w:type="auto"/>
            <w:shd w:val="clear" w:color="auto" w:fill="FFFFFF"/>
            <w:tcMar>
              <w:top w:w="0" w:type="dxa"/>
              <w:left w:w="0" w:type="dxa"/>
              <w:bottom w:w="0" w:type="dxa"/>
              <w:right w:w="0" w:type="dxa"/>
            </w:tcMar>
          </w:tcPr>
          <w:p w14:paraId="2941F130" w14:textId="56F2B48D" w:rsidR="008B4DF8" w:rsidRPr="00C1603D" w:rsidRDefault="008B4DF8" w:rsidP="001902E7">
            <w:pPr>
              <w:pStyle w:val="72TabletextTablesTableFigureBoxstyles"/>
              <w:rPr>
                <w:rFonts w:eastAsia="Arial"/>
              </w:rPr>
            </w:pPr>
            <w:r w:rsidRPr="00C1603D">
              <w:rPr>
                <w:rFonts w:eastAsia="Arial"/>
              </w:rPr>
              <w:t xml:space="preserve">Double </w:t>
            </w:r>
            <w:r w:rsidR="00322FCF" w:rsidRPr="00C1603D">
              <w:rPr>
                <w:rFonts w:eastAsia="Arial"/>
              </w:rPr>
              <w:t>positive</w:t>
            </w:r>
            <w:r w:rsidRPr="00C1603D">
              <w:rPr>
                <w:rFonts w:eastAsia="Arial"/>
              </w:rPr>
              <w:t xml:space="preserve"> for two antibodies</w:t>
            </w:r>
          </w:p>
        </w:tc>
        <w:tc>
          <w:tcPr>
            <w:tcW w:w="0" w:type="auto"/>
            <w:shd w:val="clear" w:color="auto" w:fill="FFFFFF"/>
            <w:tcMar>
              <w:top w:w="0" w:type="dxa"/>
              <w:left w:w="0" w:type="dxa"/>
              <w:bottom w:w="0" w:type="dxa"/>
              <w:right w:w="0" w:type="dxa"/>
            </w:tcMar>
          </w:tcPr>
          <w:p w14:paraId="61CE9A13" w14:textId="77777777" w:rsidR="008B4DF8" w:rsidRPr="00C1603D" w:rsidRDefault="008B4DF8" w:rsidP="001902E7">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4DF9AA5C" w14:textId="77777777" w:rsidR="008B4DF8" w:rsidRPr="00C1603D" w:rsidRDefault="008B4DF8" w:rsidP="001902E7">
            <w:pPr>
              <w:pStyle w:val="72TabletextTablesTableFigureBoxstyles"/>
              <w:rPr>
                <w:rFonts w:eastAsia="Arial"/>
              </w:rPr>
            </w:pPr>
            <w:r w:rsidRPr="00C1603D">
              <w:rPr>
                <w:rFonts w:eastAsia="Arial"/>
              </w:rPr>
              <w:t>USA</w:t>
            </w:r>
          </w:p>
        </w:tc>
        <w:tc>
          <w:tcPr>
            <w:tcW w:w="0" w:type="auto"/>
            <w:shd w:val="clear" w:color="auto" w:fill="FFFFFF"/>
            <w:tcMar>
              <w:top w:w="0" w:type="dxa"/>
              <w:left w:w="0" w:type="dxa"/>
              <w:bottom w:w="0" w:type="dxa"/>
              <w:right w:w="0" w:type="dxa"/>
            </w:tcMar>
          </w:tcPr>
          <w:p w14:paraId="7E0974FE" w14:textId="54609CCA" w:rsidR="008B4DF8" w:rsidRPr="00C1603D" w:rsidRDefault="000863C7" w:rsidP="001902E7">
            <w:pPr>
              <w:pStyle w:val="72TabletextTablesTableFigureBoxstyles"/>
              <w:rPr>
                <w:rFonts w:eastAsia="Arial"/>
              </w:rPr>
            </w:pPr>
            <w:r w:rsidRPr="00C1603D">
              <w:rPr>
                <w:rFonts w:eastAsia="Arial"/>
                <w:noProof/>
              </w:rPr>
              <w:t xml:space="preserve">Godfrey </w:t>
            </w:r>
            <w:r w:rsidRPr="00C1603D">
              <w:rPr>
                <w:rFonts w:eastAsia="Arial"/>
                <w:i/>
                <w:iCs/>
                <w:noProof/>
              </w:rPr>
              <w:t>et al</w:t>
            </w:r>
            <w:r w:rsidRPr="00C1603D">
              <w:rPr>
                <w:rFonts w:eastAsia="Arial"/>
                <w:noProof/>
              </w:rPr>
              <w:t>.</w:t>
            </w:r>
            <w:r w:rsidR="008B4DF8" w:rsidRPr="00C1603D">
              <w:rPr>
                <w:rFonts w:eastAsia="Arial"/>
                <w:noProof/>
                <w:vertAlign w:val="superscript"/>
              </w:rPr>
              <w:t>302</w:t>
            </w:r>
          </w:p>
        </w:tc>
      </w:tr>
      <w:tr w:rsidR="008B4DF8" w:rsidRPr="00C1603D" w14:paraId="2B1C900C" w14:textId="77777777" w:rsidTr="001902E7">
        <w:trPr>
          <w:cantSplit/>
        </w:trPr>
        <w:tc>
          <w:tcPr>
            <w:tcW w:w="0" w:type="auto"/>
            <w:shd w:val="clear" w:color="auto" w:fill="FFFFFF"/>
            <w:tcMar>
              <w:top w:w="0" w:type="dxa"/>
              <w:left w:w="0" w:type="dxa"/>
              <w:bottom w:w="0" w:type="dxa"/>
              <w:right w:w="0" w:type="dxa"/>
            </w:tcMar>
          </w:tcPr>
          <w:p w14:paraId="0CB76286" w14:textId="77777777" w:rsidR="008B4DF8" w:rsidRPr="00C1603D" w:rsidRDefault="008B4DF8" w:rsidP="001902E7">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724B587D" w14:textId="77777777" w:rsidR="008B4DF8" w:rsidRPr="00C1603D" w:rsidRDefault="008B4DF8" w:rsidP="001902E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4F8E9AE3" w14:textId="77777777" w:rsidR="008B4DF8" w:rsidRPr="00C1603D" w:rsidRDefault="008B4DF8" w:rsidP="001902E7">
            <w:pPr>
              <w:pStyle w:val="72TabletextTablesTableFigureBoxstyles"/>
              <w:rPr>
                <w:rFonts w:eastAsia="Arial"/>
              </w:rPr>
            </w:pPr>
            <w:r w:rsidRPr="00C1603D">
              <w:rPr>
                <w:rFonts w:eastAsia="Arial"/>
              </w:rPr>
              <w:t>Weight loss</w:t>
            </w:r>
          </w:p>
        </w:tc>
        <w:tc>
          <w:tcPr>
            <w:tcW w:w="0" w:type="auto"/>
            <w:shd w:val="clear" w:color="auto" w:fill="FFFFFF"/>
            <w:tcMar>
              <w:top w:w="0" w:type="dxa"/>
              <w:left w:w="0" w:type="dxa"/>
              <w:bottom w:w="0" w:type="dxa"/>
              <w:right w:w="0" w:type="dxa"/>
            </w:tcMar>
          </w:tcPr>
          <w:p w14:paraId="2CD8CA76" w14:textId="4E004E52" w:rsidR="008B4DF8" w:rsidRPr="00C1603D" w:rsidRDefault="008B4DF8" w:rsidP="001902E7">
            <w:pPr>
              <w:pStyle w:val="72TabletextTablesTableFigureBoxstyles"/>
              <w:rPr>
                <w:rFonts w:eastAsia="Arial"/>
              </w:rPr>
            </w:pPr>
            <w:r w:rsidRPr="00C1603D">
              <w:rPr>
                <w:rFonts w:eastAsia="Arial"/>
              </w:rPr>
              <w:t>18</w:t>
            </w:r>
            <w:r w:rsidR="000863C7" w:rsidRPr="00C1603D">
              <w:rPr>
                <w:rFonts w:eastAsia="Arial"/>
              </w:rPr>
              <w:t>,</w:t>
            </w:r>
            <w:r w:rsidRPr="00C1603D">
              <w:rPr>
                <w:rFonts w:eastAsia="Arial"/>
              </w:rPr>
              <w:t>680</w:t>
            </w:r>
          </w:p>
        </w:tc>
        <w:tc>
          <w:tcPr>
            <w:tcW w:w="0" w:type="auto"/>
            <w:shd w:val="clear" w:color="auto" w:fill="FFFFFF"/>
            <w:tcMar>
              <w:top w:w="0" w:type="dxa"/>
              <w:left w:w="0" w:type="dxa"/>
              <w:bottom w:w="0" w:type="dxa"/>
              <w:right w:w="0" w:type="dxa"/>
            </w:tcMar>
          </w:tcPr>
          <w:p w14:paraId="13DBDC19" w14:textId="30159331" w:rsidR="008B4DF8" w:rsidRPr="00C1603D" w:rsidRDefault="008B4DF8" w:rsidP="001902E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74976CA4" w14:textId="77777777" w:rsidR="008B4DF8" w:rsidRPr="00C1603D" w:rsidRDefault="008B4DF8" w:rsidP="001902E7">
            <w:pPr>
              <w:pStyle w:val="72TabletextTablesTableFigureBoxstyles"/>
              <w:rPr>
                <w:rFonts w:eastAsia="Arial"/>
              </w:rPr>
            </w:pPr>
            <w:r w:rsidRPr="00C1603D">
              <w:rPr>
                <w:rFonts w:eastAsia="Arial"/>
              </w:rPr>
              <w:t>Children without weight loss</w:t>
            </w:r>
          </w:p>
        </w:tc>
        <w:tc>
          <w:tcPr>
            <w:tcW w:w="0" w:type="auto"/>
            <w:shd w:val="clear" w:color="auto" w:fill="FFFFFF"/>
            <w:tcMar>
              <w:top w:w="0" w:type="dxa"/>
              <w:left w:w="0" w:type="dxa"/>
              <w:bottom w:w="0" w:type="dxa"/>
              <w:right w:w="0" w:type="dxa"/>
            </w:tcMar>
          </w:tcPr>
          <w:p w14:paraId="702FCD4E" w14:textId="77C5BE51" w:rsidR="008B4DF8" w:rsidRPr="00C1603D" w:rsidRDefault="008B4DF8" w:rsidP="001902E7">
            <w:pPr>
              <w:pStyle w:val="72TabletextTablesTableFigureBoxstyles"/>
              <w:rPr>
                <w:rFonts w:eastAsia="Arial"/>
              </w:rPr>
            </w:pPr>
            <w:r w:rsidRPr="00C1603D">
              <w:rPr>
                <w:rFonts w:eastAsia="Arial"/>
              </w:rPr>
              <w:t xml:space="preserve">Serology and only </w:t>
            </w:r>
            <w:r w:rsidR="00322FCF" w:rsidRPr="00C1603D">
              <w:rPr>
                <w:rFonts w:eastAsia="Arial"/>
              </w:rPr>
              <w:t>positive</w:t>
            </w:r>
            <w:r w:rsidRPr="00C1603D">
              <w:rPr>
                <w:rFonts w:eastAsia="Arial"/>
              </w:rPr>
              <w:t xml:space="preserve"> </w:t>
            </w:r>
            <w:r w:rsidR="00322FCF" w:rsidRPr="00C1603D">
              <w:rPr>
                <w:rFonts w:eastAsia="Arial"/>
              </w:rPr>
              <w:t>patients</w:t>
            </w:r>
            <w:r w:rsidRPr="00C1603D">
              <w:rPr>
                <w:rFonts w:eastAsia="Arial"/>
              </w:rPr>
              <w:t xml:space="preserve"> biopsied</w:t>
            </w:r>
          </w:p>
        </w:tc>
        <w:tc>
          <w:tcPr>
            <w:tcW w:w="0" w:type="auto"/>
            <w:shd w:val="clear" w:color="auto" w:fill="FFFFFF"/>
            <w:tcMar>
              <w:top w:w="0" w:type="dxa"/>
              <w:left w:w="0" w:type="dxa"/>
              <w:bottom w:w="0" w:type="dxa"/>
              <w:right w:w="0" w:type="dxa"/>
            </w:tcMar>
          </w:tcPr>
          <w:p w14:paraId="74E421BE" w14:textId="77777777" w:rsidR="008B4DF8" w:rsidRPr="00C1603D" w:rsidRDefault="008B4DF8" w:rsidP="001902E7">
            <w:pPr>
              <w:pStyle w:val="72TabletextTablesTableFigureBoxstyles"/>
              <w:rPr>
                <w:rFonts w:eastAsia="Arial"/>
              </w:rPr>
            </w:pPr>
            <w:r w:rsidRPr="00C1603D">
              <w:rPr>
                <w:rFonts w:eastAsia="Arial"/>
              </w:rPr>
              <w:t>Community</w:t>
            </w:r>
          </w:p>
        </w:tc>
        <w:tc>
          <w:tcPr>
            <w:tcW w:w="0" w:type="auto"/>
            <w:shd w:val="clear" w:color="auto" w:fill="FFFFFF"/>
            <w:tcMar>
              <w:top w:w="0" w:type="dxa"/>
              <w:left w:w="0" w:type="dxa"/>
              <w:bottom w:w="0" w:type="dxa"/>
              <w:right w:w="0" w:type="dxa"/>
            </w:tcMar>
          </w:tcPr>
          <w:p w14:paraId="6EEF7254" w14:textId="77777777" w:rsidR="008B4DF8" w:rsidRPr="00C1603D" w:rsidRDefault="008B4DF8" w:rsidP="001902E7">
            <w:pPr>
              <w:pStyle w:val="72TabletextTablesTableFigureBoxstyles"/>
              <w:rPr>
                <w:rFonts w:eastAsia="Arial"/>
              </w:rPr>
            </w:pPr>
            <w:r w:rsidRPr="00C1603D">
              <w:rPr>
                <w:rFonts w:eastAsia="Arial"/>
              </w:rPr>
              <w:t>Turkey</w:t>
            </w:r>
          </w:p>
        </w:tc>
        <w:tc>
          <w:tcPr>
            <w:tcW w:w="0" w:type="auto"/>
            <w:shd w:val="clear" w:color="auto" w:fill="FFFFFF"/>
            <w:tcMar>
              <w:top w:w="0" w:type="dxa"/>
              <w:left w:w="0" w:type="dxa"/>
              <w:bottom w:w="0" w:type="dxa"/>
              <w:right w:w="0" w:type="dxa"/>
            </w:tcMar>
          </w:tcPr>
          <w:p w14:paraId="7301E78A" w14:textId="07F8F329" w:rsidR="008B4DF8" w:rsidRPr="00C1603D" w:rsidRDefault="000863C7" w:rsidP="001902E7">
            <w:pPr>
              <w:pStyle w:val="72TabletextTablesTableFigureBoxstyles"/>
              <w:rPr>
                <w:rFonts w:eastAsia="Arial"/>
              </w:rPr>
            </w:pPr>
            <w:r w:rsidRPr="00C1603D">
              <w:rPr>
                <w:rFonts w:eastAsia="Arial"/>
                <w:noProof/>
              </w:rPr>
              <w:t xml:space="preserve">Dalgic </w:t>
            </w:r>
            <w:r w:rsidRPr="00C1603D">
              <w:rPr>
                <w:rFonts w:eastAsia="Arial"/>
                <w:i/>
                <w:iCs/>
                <w:noProof/>
              </w:rPr>
              <w:t>et al</w:t>
            </w:r>
            <w:r w:rsidRPr="00C1603D">
              <w:rPr>
                <w:rFonts w:eastAsia="Arial"/>
                <w:noProof/>
              </w:rPr>
              <w:t>.</w:t>
            </w:r>
            <w:r w:rsidR="008B4DF8" w:rsidRPr="00C1603D">
              <w:rPr>
                <w:rFonts w:eastAsia="Arial"/>
                <w:noProof/>
                <w:vertAlign w:val="superscript"/>
              </w:rPr>
              <w:t>304</w:t>
            </w:r>
          </w:p>
        </w:tc>
      </w:tr>
      <w:tr w:rsidR="008B4DF8" w:rsidRPr="00C1603D" w14:paraId="21E253EA" w14:textId="77777777" w:rsidTr="001902E7">
        <w:trPr>
          <w:cantSplit/>
        </w:trPr>
        <w:tc>
          <w:tcPr>
            <w:tcW w:w="0" w:type="auto"/>
            <w:shd w:val="clear" w:color="auto" w:fill="FFFFFF"/>
            <w:tcMar>
              <w:top w:w="0" w:type="dxa"/>
              <w:left w:w="0" w:type="dxa"/>
              <w:bottom w:w="0" w:type="dxa"/>
              <w:right w:w="0" w:type="dxa"/>
            </w:tcMar>
          </w:tcPr>
          <w:p w14:paraId="01CEDA08" w14:textId="77777777" w:rsidR="008B4DF8" w:rsidRPr="00C1603D" w:rsidRDefault="008B4DF8" w:rsidP="001902E7">
            <w:pPr>
              <w:pStyle w:val="72TabletextTablesTableFigureBoxstyles"/>
              <w:rPr>
                <w:rFonts w:eastAsia="Arial"/>
              </w:rPr>
            </w:pPr>
            <w:r w:rsidRPr="00C1603D">
              <w:rPr>
                <w:rFonts w:eastAsia="Arial"/>
              </w:rPr>
              <w:t>Children</w:t>
            </w:r>
          </w:p>
        </w:tc>
        <w:tc>
          <w:tcPr>
            <w:tcW w:w="0" w:type="auto"/>
            <w:shd w:val="clear" w:color="auto" w:fill="FFFFFF"/>
            <w:tcMar>
              <w:top w:w="0" w:type="dxa"/>
              <w:left w:w="0" w:type="dxa"/>
              <w:bottom w:w="0" w:type="dxa"/>
              <w:right w:w="0" w:type="dxa"/>
            </w:tcMar>
          </w:tcPr>
          <w:p w14:paraId="778F04D3" w14:textId="77777777" w:rsidR="008B4DF8" w:rsidRPr="00C1603D" w:rsidRDefault="008B4DF8" w:rsidP="001902E7">
            <w:pPr>
              <w:pStyle w:val="72TabletextTablesTableFigureBoxstyles"/>
              <w:rPr>
                <w:rFonts w:eastAsia="Arial"/>
              </w:rPr>
            </w:pPr>
            <w:r w:rsidRPr="00C1603D">
              <w:rPr>
                <w:rFonts w:eastAsia="Arial"/>
              </w:rPr>
              <w:t>Cohort</w:t>
            </w:r>
          </w:p>
        </w:tc>
        <w:tc>
          <w:tcPr>
            <w:tcW w:w="0" w:type="auto"/>
            <w:shd w:val="clear" w:color="auto" w:fill="FFFFFF"/>
            <w:tcMar>
              <w:top w:w="0" w:type="dxa"/>
              <w:left w:w="0" w:type="dxa"/>
              <w:bottom w:w="0" w:type="dxa"/>
              <w:right w:w="0" w:type="dxa"/>
            </w:tcMar>
          </w:tcPr>
          <w:p w14:paraId="44B8FB08" w14:textId="77777777" w:rsidR="008B4DF8" w:rsidRPr="00C1603D" w:rsidRDefault="008B4DF8" w:rsidP="001902E7">
            <w:pPr>
              <w:pStyle w:val="72TabletextTablesTableFigureBoxstyles"/>
              <w:rPr>
                <w:rFonts w:eastAsia="Arial"/>
              </w:rPr>
            </w:pPr>
            <w:r w:rsidRPr="00C1603D">
              <w:rPr>
                <w:rFonts w:eastAsia="Arial"/>
              </w:rPr>
              <w:t>Weight loss</w:t>
            </w:r>
          </w:p>
        </w:tc>
        <w:tc>
          <w:tcPr>
            <w:tcW w:w="0" w:type="auto"/>
            <w:shd w:val="clear" w:color="auto" w:fill="FFFFFF"/>
            <w:tcMar>
              <w:top w:w="0" w:type="dxa"/>
              <w:left w:w="0" w:type="dxa"/>
              <w:bottom w:w="0" w:type="dxa"/>
              <w:right w:w="0" w:type="dxa"/>
            </w:tcMar>
          </w:tcPr>
          <w:p w14:paraId="07832D5D" w14:textId="77777777" w:rsidR="008B4DF8" w:rsidRPr="00C1603D" w:rsidRDefault="008B4DF8" w:rsidP="001902E7">
            <w:pPr>
              <w:pStyle w:val="72TabletextTablesTableFigureBoxstyles"/>
              <w:rPr>
                <w:rFonts w:eastAsia="Arial"/>
              </w:rPr>
            </w:pPr>
            <w:r w:rsidRPr="00C1603D">
              <w:rPr>
                <w:rFonts w:eastAsia="Arial"/>
              </w:rPr>
              <w:t>9918</w:t>
            </w:r>
          </w:p>
        </w:tc>
        <w:tc>
          <w:tcPr>
            <w:tcW w:w="0" w:type="auto"/>
            <w:shd w:val="clear" w:color="auto" w:fill="FFFFFF"/>
            <w:tcMar>
              <w:top w:w="0" w:type="dxa"/>
              <w:left w:w="0" w:type="dxa"/>
              <w:bottom w:w="0" w:type="dxa"/>
              <w:right w:w="0" w:type="dxa"/>
            </w:tcMar>
          </w:tcPr>
          <w:p w14:paraId="4E6FF8E3" w14:textId="46BC78CC" w:rsidR="008B4DF8" w:rsidRPr="00C1603D" w:rsidRDefault="008B4DF8" w:rsidP="001902E7">
            <w:pPr>
              <w:pStyle w:val="72TabletextTablesTableFigureBoxstyles"/>
              <w:rPr>
                <w:rFonts w:eastAsia="Arial"/>
              </w:rPr>
            </w:pPr>
            <w:r w:rsidRPr="00C1603D">
              <w:rPr>
                <w:rFonts w:eastAsia="Arial"/>
              </w:rPr>
              <w:t>51</w:t>
            </w:r>
            <w:r w:rsidRPr="00C1603D">
              <w:rPr>
                <w:rFonts w:eastAsia="Arial"/>
                <w:color w:val="00B0F0"/>
              </w:rPr>
              <w:t>–7</w:t>
            </w:r>
            <w:r w:rsidRPr="00C1603D">
              <w:rPr>
                <w:rFonts w:eastAsia="Arial"/>
              </w:rPr>
              <w:t>5</w:t>
            </w:r>
          </w:p>
        </w:tc>
        <w:tc>
          <w:tcPr>
            <w:tcW w:w="0" w:type="auto"/>
            <w:shd w:val="clear" w:color="auto" w:fill="FFFFFF"/>
            <w:tcMar>
              <w:top w:w="0" w:type="dxa"/>
              <w:left w:w="0" w:type="dxa"/>
              <w:bottom w:w="0" w:type="dxa"/>
              <w:right w:w="0" w:type="dxa"/>
            </w:tcMar>
          </w:tcPr>
          <w:p w14:paraId="38AC0DD5" w14:textId="77777777" w:rsidR="008B4DF8" w:rsidRPr="00C1603D" w:rsidRDefault="008B4DF8" w:rsidP="001902E7">
            <w:pPr>
              <w:pStyle w:val="72TabletextTablesTableFigureBoxstyles"/>
              <w:rPr>
                <w:rFonts w:eastAsia="Arial"/>
              </w:rPr>
            </w:pPr>
            <w:r w:rsidRPr="00C1603D">
              <w:rPr>
                <w:rFonts w:eastAsia="Arial"/>
              </w:rPr>
              <w:t>Children without weight loss</w:t>
            </w:r>
          </w:p>
        </w:tc>
        <w:tc>
          <w:tcPr>
            <w:tcW w:w="0" w:type="auto"/>
            <w:shd w:val="clear" w:color="auto" w:fill="FFFFFF"/>
            <w:tcMar>
              <w:top w:w="0" w:type="dxa"/>
              <w:left w:w="0" w:type="dxa"/>
              <w:bottom w:w="0" w:type="dxa"/>
              <w:right w:w="0" w:type="dxa"/>
            </w:tcMar>
          </w:tcPr>
          <w:p w14:paraId="3B9B7766" w14:textId="77777777" w:rsidR="008B4DF8" w:rsidRPr="00C1603D" w:rsidRDefault="008B4DF8" w:rsidP="001902E7">
            <w:pPr>
              <w:pStyle w:val="72TabletextTablesTableFigureBoxstyles"/>
              <w:rPr>
                <w:rFonts w:eastAsia="Arial"/>
              </w:rPr>
            </w:pPr>
            <w:r w:rsidRPr="00C1603D">
              <w:rPr>
                <w:rFonts w:eastAsia="Arial"/>
              </w:rPr>
              <w:t>tTG positive</w:t>
            </w:r>
          </w:p>
        </w:tc>
        <w:tc>
          <w:tcPr>
            <w:tcW w:w="0" w:type="auto"/>
            <w:shd w:val="clear" w:color="auto" w:fill="FFFFFF"/>
            <w:tcMar>
              <w:top w:w="0" w:type="dxa"/>
              <w:left w:w="0" w:type="dxa"/>
              <w:bottom w:w="0" w:type="dxa"/>
              <w:right w:w="0" w:type="dxa"/>
            </w:tcMar>
          </w:tcPr>
          <w:p w14:paraId="564067C9" w14:textId="77777777" w:rsidR="008B4DF8" w:rsidRPr="00C1603D" w:rsidRDefault="008B4DF8" w:rsidP="001902E7">
            <w:pPr>
              <w:pStyle w:val="72TabletextTablesTableFigureBoxstyles"/>
              <w:rPr>
                <w:rFonts w:eastAsia="Arial"/>
              </w:rPr>
            </w:pPr>
            <w:r w:rsidRPr="00C1603D">
              <w:rPr>
                <w:rFonts w:eastAsia="Arial"/>
              </w:rPr>
              <w:t>Secondary</w:t>
            </w:r>
          </w:p>
        </w:tc>
        <w:tc>
          <w:tcPr>
            <w:tcW w:w="0" w:type="auto"/>
            <w:shd w:val="clear" w:color="auto" w:fill="FFFFFF"/>
            <w:tcMar>
              <w:top w:w="0" w:type="dxa"/>
              <w:left w:w="0" w:type="dxa"/>
              <w:bottom w:w="0" w:type="dxa"/>
              <w:right w:w="0" w:type="dxa"/>
            </w:tcMar>
          </w:tcPr>
          <w:p w14:paraId="7FDA5ACA" w14:textId="200FAE1C" w:rsidR="008B4DF8" w:rsidRPr="00C1603D" w:rsidRDefault="008B4DF8" w:rsidP="001902E7">
            <w:pPr>
              <w:pStyle w:val="72TabletextTablesTableFigureBoxstyles"/>
              <w:rPr>
                <w:rFonts w:eastAsia="Arial"/>
              </w:rPr>
            </w:pPr>
            <w:r w:rsidRPr="00C1603D">
              <w:rPr>
                <w:rFonts w:eastAsia="Arial"/>
              </w:rPr>
              <w:t>US</w:t>
            </w:r>
            <w:r w:rsidR="000863C7" w:rsidRPr="00C1603D">
              <w:rPr>
                <w:rFonts w:eastAsia="Arial"/>
              </w:rPr>
              <w:t>A</w:t>
            </w:r>
          </w:p>
        </w:tc>
        <w:tc>
          <w:tcPr>
            <w:tcW w:w="0" w:type="auto"/>
            <w:shd w:val="clear" w:color="auto" w:fill="FFFFFF"/>
            <w:tcMar>
              <w:top w:w="0" w:type="dxa"/>
              <w:left w:w="0" w:type="dxa"/>
              <w:bottom w:w="0" w:type="dxa"/>
              <w:right w:w="0" w:type="dxa"/>
            </w:tcMar>
          </w:tcPr>
          <w:p w14:paraId="76D9F03D" w14:textId="46BC0358" w:rsidR="008B4DF8" w:rsidRPr="00C1603D" w:rsidRDefault="000863C7" w:rsidP="001902E7">
            <w:pPr>
              <w:pStyle w:val="72TabletextTablesTableFigureBoxstyles"/>
              <w:rPr>
                <w:rFonts w:eastAsia="Arial"/>
              </w:rPr>
            </w:pPr>
            <w:r w:rsidRPr="00C1603D">
              <w:rPr>
                <w:rFonts w:eastAsia="Arial"/>
                <w:noProof/>
              </w:rPr>
              <w:t xml:space="preserve">Stahl </w:t>
            </w:r>
            <w:r w:rsidRPr="00C1603D">
              <w:rPr>
                <w:rFonts w:eastAsia="Arial"/>
                <w:i/>
                <w:iCs/>
                <w:noProof/>
              </w:rPr>
              <w:t>et al</w:t>
            </w:r>
            <w:r w:rsidRPr="00C1603D">
              <w:rPr>
                <w:rFonts w:eastAsia="Arial"/>
                <w:noProof/>
              </w:rPr>
              <w:t>.</w:t>
            </w:r>
            <w:r w:rsidR="008B4DF8" w:rsidRPr="00C1603D">
              <w:rPr>
                <w:rFonts w:eastAsia="Arial"/>
                <w:noProof/>
                <w:vertAlign w:val="superscript"/>
              </w:rPr>
              <w:t>305</w:t>
            </w:r>
          </w:p>
        </w:tc>
      </w:tr>
      <w:tr w:rsidR="00DF68C5" w:rsidRPr="00C1603D" w14:paraId="694AD479" w14:textId="77777777" w:rsidTr="006D3991">
        <w:trPr>
          <w:cantSplit/>
        </w:trPr>
        <w:tc>
          <w:tcPr>
            <w:tcW w:w="0" w:type="auto"/>
            <w:gridSpan w:val="10"/>
            <w:shd w:val="clear" w:color="auto" w:fill="FFFFFF"/>
            <w:tcMar>
              <w:top w:w="0" w:type="dxa"/>
              <w:left w:w="0" w:type="dxa"/>
              <w:bottom w:w="0" w:type="dxa"/>
              <w:right w:w="0" w:type="dxa"/>
            </w:tcMar>
          </w:tcPr>
          <w:p w14:paraId="2C8AF0F6" w14:textId="1DFC5C09" w:rsidR="00DF68C5" w:rsidRPr="00C1603D" w:rsidRDefault="00DF68C5" w:rsidP="00DF68C5">
            <w:pPr>
              <w:pStyle w:val="75TablenotesTablesTableFigureBoxstyles"/>
              <w:rPr>
                <w:rFonts w:eastAsia="Arial"/>
                <w:noProof/>
                <w:vertAlign w:val="superscript"/>
              </w:rPr>
            </w:pPr>
            <w:r w:rsidRPr="00C1603D">
              <w:rPr>
                <w:rFonts w:eastAsia="Arial"/>
                <w:noProof/>
              </w:rPr>
              <w:t>NR, not reported.</w:t>
            </w:r>
          </w:p>
        </w:tc>
      </w:tr>
    </w:tbl>
    <w:p w14:paraId="02BA0650" w14:textId="680E764E" w:rsidR="008B4DF8" w:rsidRPr="00C1603D" w:rsidRDefault="008B4DF8" w:rsidP="008B4DF8">
      <w:pPr>
        <w:pStyle w:val="43AppendixtitleHeadingsHeadingstyles"/>
      </w:pPr>
      <w:bookmarkStart w:id="615" w:name="_Toc99539926"/>
      <w:bookmarkStart w:id="616" w:name="_Ref83904592"/>
      <w:bookmarkStart w:id="617" w:name="_Ref86164871"/>
      <w:bookmarkStart w:id="618" w:name="_Ref87617948"/>
      <w:bookmarkEnd w:id="563"/>
      <w:r w:rsidRPr="00C1603D">
        <w:lastRenderedPageBreak/>
        <w:t>Appendix 5</w:t>
      </w:r>
      <w:bookmarkEnd w:id="615"/>
      <w:r w:rsidR="000863C7" w:rsidRPr="00C1603D">
        <w:t> </w:t>
      </w:r>
      <w:r w:rsidR="000863C7" w:rsidRPr="00C1603D">
        <w:t>Risk of bias</w:t>
      </w:r>
    </w:p>
    <w:p w14:paraId="3590D76C" w14:textId="488B69E5" w:rsidR="008B4DF8" w:rsidRPr="00C1603D" w:rsidRDefault="008B4DF8" w:rsidP="008B4DF8">
      <w:pPr>
        <w:pStyle w:val="81FigurelegendTableFigureBoxstyles"/>
      </w:pPr>
      <w:bookmarkStart w:id="619" w:name="_Toc99720808"/>
      <w:r w:rsidRPr="00C1603D">
        <w:rPr>
          <w:b/>
        </w:rPr>
        <w:t>FIGURE 27</w:t>
      </w:r>
      <w:r w:rsidRPr="00C1603D">
        <w:rPr>
          <w:b/>
        </w:rPr>
        <w:t> </w:t>
      </w:r>
      <w:r w:rsidRPr="00C1603D">
        <w:t>Summary graphs of risk of bias</w:t>
      </w:r>
      <w:bookmarkEnd w:id="619"/>
      <w:r w:rsidRPr="00C1603D">
        <w:t xml:space="preserve">. (a) Symptom: acid reflux symptoms; (b) symptom: diarrhoea; (c) symptom: abdominal pain; (d) symptom: constipation; (e) symptom: bloating and abdominal distension; (f) symptom: vomiting and nausea; (g) </w:t>
      </w:r>
      <w:r w:rsidR="008769A2" w:rsidRPr="00C1603D">
        <w:t>symptom</w:t>
      </w:r>
      <w:r w:rsidRPr="00C1603D">
        <w:t xml:space="preserve">: weight loss; (h) risk condition: type 1 diabetes; (i) risk condition: thyroid disease; (j) risk condition: anaemia; (k) risk condition: </w:t>
      </w:r>
      <w:r w:rsidR="00C82170" w:rsidRPr="00C1603D">
        <w:t>IBS</w:t>
      </w:r>
      <w:r w:rsidRPr="00C1603D">
        <w:t xml:space="preserve">; (l) risk condition: chronic liver disease; (m) risk condition: arthritis; (n) risk condition: subfertility and pregnancy loss; (o) risk condition: epilepsy; (p) risk condition: osteoporosis; (q) risk condition: fracture; (r) risk condition: inflammatory bowel disease; (s) risk condition: systemic lupus erythematosus; (t) risk condition: type 2 diabetes; (u) risk condition: dermatitis herpetiformis; (v) risk condition: migraine; (w) </w:t>
      </w:r>
      <w:r w:rsidR="00B91365" w:rsidRPr="00C1603D">
        <w:t xml:space="preserve">risk condition: </w:t>
      </w:r>
      <w:r w:rsidRPr="00C1603D">
        <w:t>multiple sclerosis; (x) risk condition: psoriasis; and (y) family history of CD. Note</w:t>
      </w:r>
      <w:r w:rsidR="000863C7" w:rsidRPr="00C1603D">
        <w:t xml:space="preserve"> that</w:t>
      </w:r>
      <w:r w:rsidRPr="00C1603D">
        <w:t xml:space="preserve"> each of the bars represent</w:t>
      </w:r>
      <w:r w:rsidR="000863C7" w:rsidRPr="00C1603D">
        <w:t>s</w:t>
      </w:r>
      <w:r w:rsidRPr="00C1603D">
        <w:t xml:space="preserve"> 100% of the studies per indicator.</w:t>
      </w:r>
    </w:p>
    <w:p w14:paraId="27B3F49E" w14:textId="20F6DD95" w:rsidR="008B4DF8" w:rsidRPr="00C1603D" w:rsidRDefault="008B4DF8" w:rsidP="00537140">
      <w:pPr>
        <w:pStyle w:val="43AppendixtitleHeadingsHeadingstyles"/>
      </w:pPr>
      <w:bookmarkStart w:id="620" w:name="_Toc99539927"/>
      <w:r w:rsidRPr="00C1603D">
        <w:lastRenderedPageBreak/>
        <w:t xml:space="preserve">Appendix </w:t>
      </w:r>
      <w:bookmarkEnd w:id="616"/>
      <w:bookmarkEnd w:id="617"/>
      <w:bookmarkEnd w:id="618"/>
      <w:r w:rsidRPr="00C1603D">
        <w:t>6</w:t>
      </w:r>
      <w:bookmarkEnd w:id="620"/>
      <w:r w:rsidR="00537140" w:rsidRPr="00C1603D">
        <w:t> </w:t>
      </w:r>
      <w:bookmarkStart w:id="621" w:name="_Toc99539928"/>
      <w:r w:rsidRPr="00C1603D">
        <w:t>Forest plots of sensitivity and specificity per diagnostic indicator</w:t>
      </w:r>
      <w:bookmarkEnd w:id="621"/>
    </w:p>
    <w:p w14:paraId="3DBC1954" w14:textId="4B4F89D3" w:rsidR="008B4DF8" w:rsidRPr="00C1603D" w:rsidRDefault="008B4DF8" w:rsidP="008B4DF8">
      <w:pPr>
        <w:pStyle w:val="52AheadHeadingsHeadingstyles"/>
      </w:pPr>
      <w:bookmarkStart w:id="622" w:name="_Toc65244984"/>
      <w:bookmarkStart w:id="623" w:name="_Toc65245017"/>
      <w:bookmarkStart w:id="624" w:name="_Toc99539929"/>
      <w:r w:rsidRPr="00C1603D">
        <w:t>Symptoms</w:t>
      </w:r>
      <w:bookmarkEnd w:id="622"/>
      <w:bookmarkEnd w:id="623"/>
      <w:bookmarkEnd w:id="624"/>
    </w:p>
    <w:p w14:paraId="17FA9374" w14:textId="36AAF3B4" w:rsidR="00537140" w:rsidRPr="00C1603D" w:rsidRDefault="008B4DF8" w:rsidP="008B4DF8">
      <w:pPr>
        <w:pStyle w:val="81FigurelegendTableFigureBoxstyles"/>
      </w:pPr>
      <w:bookmarkStart w:id="625" w:name="_Toc99720809"/>
      <w:r w:rsidRPr="00C1603D">
        <w:rPr>
          <w:b/>
        </w:rPr>
        <w:t>FIGURE 28</w:t>
      </w:r>
      <w:r w:rsidRPr="00C1603D">
        <w:rPr>
          <w:b/>
        </w:rPr>
        <w:t> </w:t>
      </w:r>
      <w:r w:rsidR="00537140" w:rsidRPr="00C1603D">
        <w:t xml:space="preserve">Abdominal </w:t>
      </w:r>
      <w:r w:rsidRPr="00C1603D">
        <w:t>pain</w:t>
      </w:r>
      <w:bookmarkEnd w:id="625"/>
      <w:r w:rsidR="00537140" w:rsidRPr="00C1603D">
        <w:t>.</w:t>
      </w:r>
      <w:r w:rsidR="001964C8" w:rsidRPr="00C1603D">
        <w:t xml:space="preserve"> FN, false negative; FP, false positive; TN, true negative; TP, true positive.</w:t>
      </w:r>
    </w:p>
    <w:p w14:paraId="0DC924D0" w14:textId="6816C199" w:rsidR="00537140" w:rsidRPr="00C1603D" w:rsidRDefault="008B4DF8" w:rsidP="008B4DF8">
      <w:pPr>
        <w:pStyle w:val="81FigurelegendTableFigureBoxstyles"/>
      </w:pPr>
      <w:bookmarkStart w:id="626" w:name="_Toc99720810"/>
      <w:r w:rsidRPr="00C1603D">
        <w:rPr>
          <w:b/>
        </w:rPr>
        <w:t>FIGURE 29</w:t>
      </w:r>
      <w:r w:rsidRPr="00C1603D">
        <w:rPr>
          <w:b/>
        </w:rPr>
        <w:t> </w:t>
      </w:r>
      <w:r w:rsidR="00537140" w:rsidRPr="00C1603D">
        <w:t xml:space="preserve">Acid </w:t>
      </w:r>
      <w:r w:rsidRPr="00C1603D">
        <w:t>reflux symptoms</w:t>
      </w:r>
      <w:bookmarkEnd w:id="626"/>
      <w:r w:rsidR="00537140" w:rsidRPr="00C1603D">
        <w:t>.</w:t>
      </w:r>
      <w:r w:rsidR="003255B9" w:rsidRPr="00C1603D">
        <w:t xml:space="preserve"> FN, false negative; FP, false positive; TN, true negative; TP, true positive.</w:t>
      </w:r>
    </w:p>
    <w:p w14:paraId="171B930F" w14:textId="4C87EED4" w:rsidR="00537140" w:rsidRPr="00C1603D" w:rsidRDefault="008B4DF8" w:rsidP="008B4DF8">
      <w:pPr>
        <w:pStyle w:val="81FigurelegendTableFigureBoxstyles"/>
      </w:pPr>
      <w:bookmarkStart w:id="627" w:name="_Toc99720811"/>
      <w:r w:rsidRPr="00C1603D">
        <w:rPr>
          <w:b/>
        </w:rPr>
        <w:t>FIGURE 30</w:t>
      </w:r>
      <w:r w:rsidRPr="00C1603D">
        <w:rPr>
          <w:b/>
        </w:rPr>
        <w:t> </w:t>
      </w:r>
      <w:r w:rsidR="00537140" w:rsidRPr="00C1603D">
        <w:t xml:space="preserve">Bloating </w:t>
      </w:r>
      <w:r w:rsidRPr="00C1603D">
        <w:t>or abdominal distension</w:t>
      </w:r>
      <w:bookmarkEnd w:id="627"/>
      <w:r w:rsidR="00537140" w:rsidRPr="00C1603D">
        <w:t>.</w:t>
      </w:r>
      <w:r w:rsidR="003255B9" w:rsidRPr="00C1603D">
        <w:t xml:space="preserve"> FN, false negative; FP, false positive; TN, true negative; TP, true positive.</w:t>
      </w:r>
    </w:p>
    <w:p w14:paraId="3C73B5C6" w14:textId="1CEDCB3E" w:rsidR="00537140" w:rsidRPr="00C1603D" w:rsidRDefault="008B4DF8" w:rsidP="008B4DF8">
      <w:pPr>
        <w:pStyle w:val="81FigurelegendTableFigureBoxstyles"/>
      </w:pPr>
      <w:bookmarkStart w:id="628" w:name="_Toc99720812"/>
      <w:r w:rsidRPr="00C1603D">
        <w:rPr>
          <w:b/>
        </w:rPr>
        <w:t>FIGURE 31</w:t>
      </w:r>
      <w:r w:rsidRPr="00C1603D">
        <w:rPr>
          <w:b/>
        </w:rPr>
        <w:t> </w:t>
      </w:r>
      <w:r w:rsidR="00537140" w:rsidRPr="00C1603D">
        <w:t>Constipation</w:t>
      </w:r>
      <w:bookmarkEnd w:id="628"/>
      <w:r w:rsidR="00537140" w:rsidRPr="00C1603D">
        <w:t>.</w:t>
      </w:r>
      <w:r w:rsidR="003255B9" w:rsidRPr="00C1603D">
        <w:t xml:space="preserve"> FN, false negative; FP, false positive; TN, true negative; TP, true positive.</w:t>
      </w:r>
    </w:p>
    <w:p w14:paraId="750A0B7B" w14:textId="72260597" w:rsidR="00537140" w:rsidRPr="00C1603D" w:rsidRDefault="008B4DF8" w:rsidP="008B4DF8">
      <w:pPr>
        <w:pStyle w:val="81FigurelegendTableFigureBoxstyles"/>
      </w:pPr>
      <w:bookmarkStart w:id="629" w:name="_Toc99720813"/>
      <w:r w:rsidRPr="00C1603D">
        <w:rPr>
          <w:b/>
        </w:rPr>
        <w:t>FIGURE 32</w:t>
      </w:r>
      <w:r w:rsidRPr="00C1603D">
        <w:rPr>
          <w:b/>
        </w:rPr>
        <w:t> </w:t>
      </w:r>
      <w:r w:rsidR="00537140" w:rsidRPr="00C1603D">
        <w:t>Diarrhoea</w:t>
      </w:r>
      <w:bookmarkEnd w:id="629"/>
      <w:r w:rsidR="00537140" w:rsidRPr="00C1603D">
        <w:t>.</w:t>
      </w:r>
      <w:r w:rsidR="003255B9" w:rsidRPr="00C1603D">
        <w:t xml:space="preserve"> FN, false negative; FP, false positive; TN, true negative; TP, true positive.</w:t>
      </w:r>
    </w:p>
    <w:p w14:paraId="49D46F67" w14:textId="2A71FDA7" w:rsidR="00537140" w:rsidRPr="00C1603D" w:rsidRDefault="008B4DF8" w:rsidP="008B4DF8">
      <w:pPr>
        <w:pStyle w:val="81FigurelegendTableFigureBoxstyles"/>
      </w:pPr>
      <w:bookmarkStart w:id="630" w:name="_Toc99720814"/>
      <w:r w:rsidRPr="00C1603D">
        <w:rPr>
          <w:b/>
        </w:rPr>
        <w:t>FIGURE 33</w:t>
      </w:r>
      <w:r w:rsidRPr="00C1603D">
        <w:rPr>
          <w:b/>
        </w:rPr>
        <w:t> </w:t>
      </w:r>
      <w:r w:rsidR="00537140" w:rsidRPr="00C1603D">
        <w:t xml:space="preserve">Vomiting </w:t>
      </w:r>
      <w:r w:rsidRPr="00C1603D">
        <w:t>and nausea</w:t>
      </w:r>
      <w:bookmarkEnd w:id="630"/>
      <w:r w:rsidR="00537140" w:rsidRPr="00C1603D">
        <w:t>.</w:t>
      </w:r>
      <w:r w:rsidR="003255B9" w:rsidRPr="00C1603D">
        <w:t xml:space="preserve"> FN, false negative; FP, false positive; TN, true negative; TP, true positive.</w:t>
      </w:r>
    </w:p>
    <w:p w14:paraId="35639E4F" w14:textId="24F443A9" w:rsidR="008B4DF8" w:rsidRPr="00C1603D" w:rsidRDefault="008B4DF8" w:rsidP="008B4DF8">
      <w:pPr>
        <w:pStyle w:val="52AheadHeadingsHeadingstyles"/>
      </w:pPr>
      <w:bookmarkStart w:id="631" w:name="_Toc65244985"/>
      <w:bookmarkStart w:id="632" w:name="_Toc65245018"/>
      <w:bookmarkStart w:id="633" w:name="_Toc99539930"/>
      <w:r w:rsidRPr="00C1603D">
        <w:t>Risk conditions</w:t>
      </w:r>
      <w:bookmarkEnd w:id="631"/>
      <w:bookmarkEnd w:id="632"/>
      <w:bookmarkEnd w:id="633"/>
    </w:p>
    <w:p w14:paraId="7AE166F8" w14:textId="538587C1" w:rsidR="00537140" w:rsidRPr="00C1603D" w:rsidRDefault="008B4DF8" w:rsidP="008B4DF8">
      <w:pPr>
        <w:pStyle w:val="81FigurelegendTableFigureBoxstyles"/>
      </w:pPr>
      <w:bookmarkStart w:id="634" w:name="_Toc99720815"/>
      <w:r w:rsidRPr="00C1603D">
        <w:rPr>
          <w:b/>
        </w:rPr>
        <w:t>FIGURE 34</w:t>
      </w:r>
      <w:r w:rsidRPr="00C1603D">
        <w:rPr>
          <w:b/>
        </w:rPr>
        <w:t> </w:t>
      </w:r>
      <w:r w:rsidR="00537140" w:rsidRPr="00C1603D">
        <w:t>Anaemia</w:t>
      </w:r>
      <w:bookmarkEnd w:id="634"/>
      <w:r w:rsidR="00537140" w:rsidRPr="00C1603D">
        <w:t>.</w:t>
      </w:r>
      <w:r w:rsidR="003255B9" w:rsidRPr="00C1603D">
        <w:t xml:space="preserve"> FN, false negative; FP, false positive; TN, true negative; TP, true positive.</w:t>
      </w:r>
    </w:p>
    <w:p w14:paraId="6A3A4FCA" w14:textId="32D11BA6" w:rsidR="00537140" w:rsidRPr="00C1603D" w:rsidRDefault="008B4DF8" w:rsidP="008B4DF8">
      <w:pPr>
        <w:pStyle w:val="81FigurelegendTableFigureBoxstyles"/>
      </w:pPr>
      <w:bookmarkStart w:id="635" w:name="_Toc99720816"/>
      <w:r w:rsidRPr="00C1603D">
        <w:rPr>
          <w:b/>
        </w:rPr>
        <w:t>FIGURE 35</w:t>
      </w:r>
      <w:r w:rsidRPr="00C1603D">
        <w:rPr>
          <w:b/>
        </w:rPr>
        <w:t> </w:t>
      </w:r>
      <w:r w:rsidR="00537140" w:rsidRPr="00C1603D">
        <w:t>Arthritis</w:t>
      </w:r>
      <w:bookmarkEnd w:id="635"/>
      <w:r w:rsidR="00537140" w:rsidRPr="00C1603D">
        <w:t>.</w:t>
      </w:r>
      <w:r w:rsidR="003255B9" w:rsidRPr="00C1603D">
        <w:t xml:space="preserve"> </w:t>
      </w:r>
      <w:r w:rsidR="00AA20F8" w:rsidRPr="00C1603D">
        <w:t xml:space="preserve">AS, ankylosing spondylitis; </w:t>
      </w:r>
      <w:r w:rsidR="003255B9" w:rsidRPr="00C1603D">
        <w:t xml:space="preserve">FN, false negative; FP, false positive; </w:t>
      </w:r>
      <w:r w:rsidR="00AD4CEA" w:rsidRPr="00C1603D">
        <w:t xml:space="preserve">PsA, psoriatic arthritis; </w:t>
      </w:r>
      <w:r w:rsidR="00AA20F8" w:rsidRPr="00C1603D">
        <w:t xml:space="preserve">RA, rheumatoid arthritis; </w:t>
      </w:r>
      <w:r w:rsidR="003255B9" w:rsidRPr="00C1603D">
        <w:t>TN, true negative; TP, true positive.</w:t>
      </w:r>
    </w:p>
    <w:p w14:paraId="36D69643" w14:textId="56241F5F" w:rsidR="00537140" w:rsidRPr="00C1603D" w:rsidRDefault="008B4DF8" w:rsidP="008B4DF8">
      <w:pPr>
        <w:pStyle w:val="81FigurelegendTableFigureBoxstyles"/>
      </w:pPr>
      <w:bookmarkStart w:id="636" w:name="_Toc99720817"/>
      <w:r w:rsidRPr="00C1603D">
        <w:rPr>
          <w:b/>
        </w:rPr>
        <w:t>FIGURE 36</w:t>
      </w:r>
      <w:r w:rsidRPr="00C1603D">
        <w:rPr>
          <w:b/>
        </w:rPr>
        <w:t> </w:t>
      </w:r>
      <w:r w:rsidR="00537140" w:rsidRPr="00C1603D">
        <w:t xml:space="preserve">Dermatitis </w:t>
      </w:r>
      <w:r w:rsidRPr="00C1603D">
        <w:t>herpetiformis</w:t>
      </w:r>
      <w:bookmarkEnd w:id="636"/>
      <w:r w:rsidR="00537140" w:rsidRPr="00C1603D">
        <w:t>.</w:t>
      </w:r>
      <w:r w:rsidR="003255B9" w:rsidRPr="00C1603D">
        <w:t xml:space="preserve"> FN, false negative; FP, false positive; TN, true negative; TP, true positive.</w:t>
      </w:r>
    </w:p>
    <w:p w14:paraId="05222DCB" w14:textId="6688EDF8" w:rsidR="00537140" w:rsidRPr="00C1603D" w:rsidRDefault="008B4DF8" w:rsidP="008B4DF8">
      <w:pPr>
        <w:pStyle w:val="81FigurelegendTableFigureBoxstyles"/>
      </w:pPr>
      <w:bookmarkStart w:id="637" w:name="_Toc99720818"/>
      <w:commentRangeStart w:id="638"/>
      <w:r w:rsidRPr="00C1603D">
        <w:rPr>
          <w:b/>
        </w:rPr>
        <w:t>FIGURE 37</w:t>
      </w:r>
      <w:r w:rsidRPr="00C1603D">
        <w:rPr>
          <w:b/>
        </w:rPr>
        <w:t> </w:t>
      </w:r>
      <w:r w:rsidR="00537140" w:rsidRPr="00C1603D">
        <w:t>Epilepsy</w:t>
      </w:r>
      <w:bookmarkEnd w:id="637"/>
      <w:r w:rsidR="00537140" w:rsidRPr="00C1603D">
        <w:t>.</w:t>
      </w:r>
      <w:r w:rsidR="003255B9" w:rsidRPr="00C1603D">
        <w:t xml:space="preserve"> FN, false negative; FP, false positive; TN, true negative; TP, true positive.</w:t>
      </w:r>
      <w:commentRangeEnd w:id="638"/>
      <w:r w:rsidR="00C82809" w:rsidRPr="00C1603D">
        <w:rPr>
          <w:rFonts w:ascii="Times New Roman" w:hAnsi="Times New Roman" w:cs="Times New Roman"/>
          <w:color w:val="auto"/>
        </w:rPr>
        <w:commentReference w:id="638"/>
      </w:r>
    </w:p>
    <w:p w14:paraId="0FD3A1B2" w14:textId="58DD99BB" w:rsidR="00537140" w:rsidRPr="00C1603D" w:rsidRDefault="008B4DF8" w:rsidP="008B4DF8">
      <w:pPr>
        <w:pStyle w:val="81FigurelegendTableFigureBoxstyles"/>
      </w:pPr>
      <w:bookmarkStart w:id="639" w:name="_Toc99720819"/>
      <w:r w:rsidRPr="00C1603D">
        <w:rPr>
          <w:b/>
        </w:rPr>
        <w:t>FIGURE 38</w:t>
      </w:r>
      <w:r w:rsidRPr="00C1603D">
        <w:rPr>
          <w:b/>
        </w:rPr>
        <w:t> </w:t>
      </w:r>
      <w:r w:rsidR="00537140" w:rsidRPr="00C1603D">
        <w:t>Fracture</w:t>
      </w:r>
      <w:bookmarkEnd w:id="639"/>
      <w:r w:rsidR="00537140" w:rsidRPr="00C1603D">
        <w:t>.</w:t>
      </w:r>
      <w:r w:rsidR="003255B9" w:rsidRPr="00C1603D">
        <w:t xml:space="preserve"> FN, false negative; FP, false positive; TN, true negative; TP, true positive.</w:t>
      </w:r>
    </w:p>
    <w:p w14:paraId="5592B14A" w14:textId="11FB5700" w:rsidR="00537140" w:rsidRPr="00C1603D" w:rsidRDefault="008B4DF8" w:rsidP="008B4DF8">
      <w:pPr>
        <w:pStyle w:val="81FigurelegendTableFigureBoxstyles"/>
      </w:pPr>
      <w:bookmarkStart w:id="640" w:name="_Toc99720820"/>
      <w:r w:rsidRPr="00C1603D">
        <w:rPr>
          <w:b/>
        </w:rPr>
        <w:t>FIGURE 39</w:t>
      </w:r>
      <w:r w:rsidRPr="00C1603D">
        <w:rPr>
          <w:b/>
        </w:rPr>
        <w:t> </w:t>
      </w:r>
      <w:r w:rsidR="00537140" w:rsidRPr="00C1603D">
        <w:t xml:space="preserve">Inflammatory </w:t>
      </w:r>
      <w:r w:rsidRPr="00C1603D">
        <w:t>bowel disease</w:t>
      </w:r>
      <w:bookmarkEnd w:id="640"/>
      <w:r w:rsidR="00537140" w:rsidRPr="00C1603D">
        <w:t>.</w:t>
      </w:r>
      <w:r w:rsidR="003255B9" w:rsidRPr="00C1603D">
        <w:t xml:space="preserve"> FN, false negative; FP, false positive; TN, true negative; TP, true positive.</w:t>
      </w:r>
    </w:p>
    <w:p w14:paraId="6FD78BB4" w14:textId="68E8E418" w:rsidR="00537140" w:rsidRPr="00C1603D" w:rsidRDefault="008B4DF8" w:rsidP="008B4DF8">
      <w:pPr>
        <w:pStyle w:val="81FigurelegendTableFigureBoxstyles"/>
        <w:rPr>
          <w:lang w:val="fr-FR"/>
        </w:rPr>
      </w:pPr>
      <w:bookmarkStart w:id="641" w:name="_Toc99720821"/>
      <w:r w:rsidRPr="00C1603D">
        <w:rPr>
          <w:b/>
        </w:rPr>
        <w:t>FIGURE 40</w:t>
      </w:r>
      <w:r w:rsidRPr="00C1603D">
        <w:rPr>
          <w:b/>
        </w:rPr>
        <w:t> </w:t>
      </w:r>
      <w:r w:rsidR="00C82170" w:rsidRPr="00C1603D">
        <w:rPr>
          <w:lang w:val="fr-FR"/>
        </w:rPr>
        <w:t>IBS</w:t>
      </w:r>
      <w:bookmarkEnd w:id="641"/>
      <w:r w:rsidR="00537140" w:rsidRPr="00C1603D">
        <w:rPr>
          <w:lang w:val="fr-FR"/>
        </w:rPr>
        <w:t>.</w:t>
      </w:r>
      <w:r w:rsidR="003255B9" w:rsidRPr="00C1603D">
        <w:rPr>
          <w:lang w:val="fr-FR"/>
        </w:rPr>
        <w:t xml:space="preserve"> </w:t>
      </w:r>
      <w:r w:rsidR="003255B9" w:rsidRPr="00C1603D">
        <w:t>FN, false negative; FP, false positive; TN, true negative; TP, true positive.</w:t>
      </w:r>
    </w:p>
    <w:p w14:paraId="39FBF6F9" w14:textId="5934DDBC" w:rsidR="00537140" w:rsidRPr="00C1603D" w:rsidRDefault="008B4DF8" w:rsidP="008B4DF8">
      <w:pPr>
        <w:pStyle w:val="81FigurelegendTableFigureBoxstyles"/>
      </w:pPr>
      <w:bookmarkStart w:id="642" w:name="_Toc99720822"/>
      <w:r w:rsidRPr="00C1603D">
        <w:rPr>
          <w:b/>
        </w:rPr>
        <w:t>FIGURE 41</w:t>
      </w:r>
      <w:r w:rsidRPr="00C1603D">
        <w:rPr>
          <w:b/>
        </w:rPr>
        <w:t> </w:t>
      </w:r>
      <w:r w:rsidR="00537140" w:rsidRPr="00C1603D">
        <w:t xml:space="preserve">Chronic </w:t>
      </w:r>
      <w:r w:rsidRPr="00C1603D">
        <w:t>liver disease</w:t>
      </w:r>
      <w:bookmarkEnd w:id="642"/>
      <w:r w:rsidR="00537140" w:rsidRPr="00C1603D">
        <w:t>.</w:t>
      </w:r>
      <w:r w:rsidR="003255B9" w:rsidRPr="00C1603D">
        <w:t xml:space="preserve"> </w:t>
      </w:r>
      <w:r w:rsidR="005725DE" w:rsidRPr="00C1603D">
        <w:t xml:space="preserve">ALD, alcoholic liver disease; </w:t>
      </w:r>
      <w:r w:rsidR="00AD4C6D" w:rsidRPr="00C1603D">
        <w:t xml:space="preserve">ALT, alanine transaminase; AST, aspartate transaminase; </w:t>
      </w:r>
      <w:r w:rsidR="003255B9" w:rsidRPr="00C1603D">
        <w:t xml:space="preserve">FN, false negative; FP, false positive; </w:t>
      </w:r>
      <w:r w:rsidR="005725DE" w:rsidRPr="00C1603D">
        <w:t xml:space="preserve">NAFLD, non-alcoholic fatty liver disease; </w:t>
      </w:r>
      <w:r w:rsidR="00EE7EA0" w:rsidRPr="00C1603D">
        <w:t xml:space="preserve">PBC, primary biliary cirrhosis; </w:t>
      </w:r>
      <w:r w:rsidR="003255B9" w:rsidRPr="00C1603D">
        <w:t>TN, true negative; TP, true positive.</w:t>
      </w:r>
    </w:p>
    <w:p w14:paraId="4B1CBB51" w14:textId="644CDCC6" w:rsidR="00537140" w:rsidRPr="00C1603D" w:rsidRDefault="008B4DF8" w:rsidP="008B4DF8">
      <w:pPr>
        <w:pStyle w:val="81FigurelegendTableFigureBoxstyles"/>
      </w:pPr>
      <w:bookmarkStart w:id="643" w:name="_Toc99720823"/>
      <w:r w:rsidRPr="00C1603D">
        <w:rPr>
          <w:b/>
        </w:rPr>
        <w:t>FIGURE 42</w:t>
      </w:r>
      <w:r w:rsidRPr="00C1603D">
        <w:rPr>
          <w:b/>
        </w:rPr>
        <w:t> </w:t>
      </w:r>
      <w:r w:rsidR="00537140" w:rsidRPr="00C1603D">
        <w:t>Migraine</w:t>
      </w:r>
      <w:bookmarkEnd w:id="643"/>
      <w:r w:rsidR="00537140" w:rsidRPr="00C1603D">
        <w:t>.</w:t>
      </w:r>
      <w:r w:rsidR="003255B9" w:rsidRPr="00C1603D">
        <w:t xml:space="preserve"> FN, false negative; FP, false positive; TN, true negative; TP, true positive.</w:t>
      </w:r>
    </w:p>
    <w:p w14:paraId="3476DA5F" w14:textId="6CEE5AED" w:rsidR="00537140" w:rsidRPr="00C1603D" w:rsidRDefault="008B4DF8" w:rsidP="008B4DF8">
      <w:pPr>
        <w:pStyle w:val="81FigurelegendTableFigureBoxstyles"/>
      </w:pPr>
      <w:bookmarkStart w:id="644" w:name="_Toc99720824"/>
      <w:r w:rsidRPr="00C1603D">
        <w:rPr>
          <w:b/>
        </w:rPr>
        <w:t>FIGURE 43</w:t>
      </w:r>
      <w:r w:rsidRPr="00C1603D">
        <w:rPr>
          <w:b/>
        </w:rPr>
        <w:t> </w:t>
      </w:r>
      <w:r w:rsidR="00537140" w:rsidRPr="00C1603D">
        <w:t xml:space="preserve">Multiple </w:t>
      </w:r>
      <w:r w:rsidRPr="00C1603D">
        <w:t>sclerosis</w:t>
      </w:r>
      <w:bookmarkEnd w:id="644"/>
      <w:r w:rsidR="00537140" w:rsidRPr="00C1603D">
        <w:t>.</w:t>
      </w:r>
      <w:r w:rsidR="003255B9" w:rsidRPr="00C1603D">
        <w:t xml:space="preserve"> FN, false negative; FP, false positive; TN, true negative; TP, true positive.</w:t>
      </w:r>
    </w:p>
    <w:p w14:paraId="6CE785DD" w14:textId="50A2AADD" w:rsidR="00537140" w:rsidRPr="00C1603D" w:rsidRDefault="008B4DF8" w:rsidP="008B4DF8">
      <w:pPr>
        <w:pStyle w:val="81FigurelegendTableFigureBoxstyles"/>
      </w:pPr>
      <w:bookmarkStart w:id="645" w:name="_Toc99720825"/>
      <w:r w:rsidRPr="00C1603D">
        <w:rPr>
          <w:b/>
        </w:rPr>
        <w:t>FIGURE 44</w:t>
      </w:r>
      <w:r w:rsidRPr="00C1603D">
        <w:rPr>
          <w:b/>
        </w:rPr>
        <w:t> </w:t>
      </w:r>
      <w:r w:rsidR="00537140" w:rsidRPr="00C1603D">
        <w:t>Osteoporosis</w:t>
      </w:r>
      <w:bookmarkEnd w:id="645"/>
      <w:r w:rsidR="00537140" w:rsidRPr="00C1603D">
        <w:t>.</w:t>
      </w:r>
      <w:r w:rsidR="003255B9" w:rsidRPr="00C1603D">
        <w:t xml:space="preserve"> FN, false negative; FP, false positive; TN, true negative; TP, true positive.</w:t>
      </w:r>
    </w:p>
    <w:p w14:paraId="37F1A049" w14:textId="0ABFCFF2" w:rsidR="00537140" w:rsidRPr="00C1603D" w:rsidRDefault="008B4DF8" w:rsidP="008B4DF8">
      <w:pPr>
        <w:pStyle w:val="81FigurelegendTableFigureBoxstyles"/>
      </w:pPr>
      <w:bookmarkStart w:id="646" w:name="_Toc99720826"/>
      <w:r w:rsidRPr="00C1603D">
        <w:rPr>
          <w:b/>
        </w:rPr>
        <w:t>FIGURE 45</w:t>
      </w:r>
      <w:r w:rsidRPr="00C1603D">
        <w:rPr>
          <w:b/>
        </w:rPr>
        <w:t> </w:t>
      </w:r>
      <w:r w:rsidR="00537140" w:rsidRPr="00C1603D">
        <w:t>Psoriasis</w:t>
      </w:r>
      <w:bookmarkEnd w:id="646"/>
      <w:r w:rsidR="00537140" w:rsidRPr="00C1603D">
        <w:t>.</w:t>
      </w:r>
      <w:r w:rsidR="003255B9" w:rsidRPr="00C1603D">
        <w:t xml:space="preserve"> FN, false negative; FP, false positive; TN, true negative; TP, true positive.</w:t>
      </w:r>
    </w:p>
    <w:p w14:paraId="2512487E" w14:textId="41014D36" w:rsidR="00537140" w:rsidRPr="00C1603D" w:rsidRDefault="008B4DF8" w:rsidP="008B4DF8">
      <w:pPr>
        <w:pStyle w:val="81FigurelegendTableFigureBoxstyles"/>
      </w:pPr>
      <w:bookmarkStart w:id="647" w:name="_Toc99720827"/>
      <w:r w:rsidRPr="00C1603D">
        <w:rPr>
          <w:b/>
        </w:rPr>
        <w:t>FIGURE 46</w:t>
      </w:r>
      <w:r w:rsidRPr="00C1603D">
        <w:rPr>
          <w:b/>
        </w:rPr>
        <w:t> </w:t>
      </w:r>
      <w:r w:rsidR="00537140" w:rsidRPr="00C1603D">
        <w:t xml:space="preserve">Systemic </w:t>
      </w:r>
      <w:r w:rsidRPr="00C1603D">
        <w:t>lupus erythematosus</w:t>
      </w:r>
      <w:bookmarkEnd w:id="647"/>
      <w:r w:rsidR="00537140" w:rsidRPr="00C1603D">
        <w:t>.</w:t>
      </w:r>
      <w:r w:rsidR="003255B9" w:rsidRPr="00C1603D">
        <w:t xml:space="preserve"> FN, false negative; FP, false positive; TN, true negative; TP, true positive.</w:t>
      </w:r>
    </w:p>
    <w:p w14:paraId="4D525757" w14:textId="00E855F9" w:rsidR="00537140" w:rsidRPr="00C1603D" w:rsidRDefault="008B4DF8" w:rsidP="008B4DF8">
      <w:pPr>
        <w:pStyle w:val="81FigurelegendTableFigureBoxstyles"/>
      </w:pPr>
      <w:bookmarkStart w:id="648" w:name="_Toc99720828"/>
      <w:r w:rsidRPr="00C1603D">
        <w:rPr>
          <w:b/>
        </w:rPr>
        <w:t>FIGURE 47</w:t>
      </w:r>
      <w:r w:rsidRPr="00C1603D">
        <w:rPr>
          <w:b/>
        </w:rPr>
        <w:t> </w:t>
      </w:r>
      <w:r w:rsidR="00537140" w:rsidRPr="00C1603D">
        <w:t xml:space="preserve">Subfertility </w:t>
      </w:r>
      <w:r w:rsidRPr="00C1603D">
        <w:t>or recurrent pregnancy loss</w:t>
      </w:r>
      <w:bookmarkEnd w:id="648"/>
      <w:r w:rsidR="00537140" w:rsidRPr="00C1603D">
        <w:t>.</w:t>
      </w:r>
      <w:r w:rsidR="003255B9" w:rsidRPr="00C1603D">
        <w:t xml:space="preserve"> FN, false negative; FP, false positive; TN, true negative; TP, true positive.</w:t>
      </w:r>
    </w:p>
    <w:p w14:paraId="7CDD8AFE" w14:textId="1002419F" w:rsidR="00537140" w:rsidRPr="00C1603D" w:rsidRDefault="008B4DF8" w:rsidP="008B4DF8">
      <w:pPr>
        <w:pStyle w:val="81FigurelegendTableFigureBoxstyles"/>
      </w:pPr>
      <w:bookmarkStart w:id="649" w:name="_Toc99720829"/>
      <w:r w:rsidRPr="00C1603D">
        <w:rPr>
          <w:b/>
        </w:rPr>
        <w:t>FIGURE 48</w:t>
      </w:r>
      <w:r w:rsidRPr="00C1603D">
        <w:rPr>
          <w:b/>
        </w:rPr>
        <w:t> </w:t>
      </w:r>
      <w:r w:rsidR="00537140" w:rsidRPr="00C1603D">
        <w:t xml:space="preserve">Type </w:t>
      </w:r>
      <w:r w:rsidRPr="00C1603D">
        <w:t>1 diabetes</w:t>
      </w:r>
      <w:bookmarkEnd w:id="649"/>
      <w:r w:rsidR="00537140" w:rsidRPr="00C1603D">
        <w:t>.</w:t>
      </w:r>
      <w:r w:rsidR="003255B9" w:rsidRPr="00C1603D">
        <w:t xml:space="preserve"> FN, false negative; FP, false positive; TN, true negative; TP, true positive.</w:t>
      </w:r>
    </w:p>
    <w:p w14:paraId="03F45C7E" w14:textId="212F26EB" w:rsidR="00537140" w:rsidRPr="00C1603D" w:rsidRDefault="008B4DF8" w:rsidP="008B4DF8">
      <w:pPr>
        <w:pStyle w:val="81FigurelegendTableFigureBoxstyles"/>
      </w:pPr>
      <w:bookmarkStart w:id="650" w:name="_Toc99720830"/>
      <w:r w:rsidRPr="00C1603D">
        <w:rPr>
          <w:b/>
        </w:rPr>
        <w:t>FIGURE 49</w:t>
      </w:r>
      <w:r w:rsidRPr="00C1603D">
        <w:rPr>
          <w:b/>
        </w:rPr>
        <w:t> </w:t>
      </w:r>
      <w:r w:rsidR="00537140" w:rsidRPr="00C1603D">
        <w:t xml:space="preserve">Type </w:t>
      </w:r>
      <w:r w:rsidRPr="00C1603D">
        <w:t>2 diabetes</w:t>
      </w:r>
      <w:bookmarkEnd w:id="650"/>
      <w:r w:rsidR="00537140" w:rsidRPr="00C1603D">
        <w:t>.</w:t>
      </w:r>
      <w:r w:rsidR="003255B9" w:rsidRPr="00C1603D">
        <w:t xml:space="preserve"> FN, false negative; FP, false positive; TN, true negative; TP, true positive.</w:t>
      </w:r>
    </w:p>
    <w:p w14:paraId="1DC7CEA1" w14:textId="1FC59C97" w:rsidR="00537140" w:rsidRPr="00C1603D" w:rsidRDefault="008B4DF8" w:rsidP="008B4DF8">
      <w:pPr>
        <w:pStyle w:val="81FigurelegendTableFigureBoxstyles"/>
      </w:pPr>
      <w:bookmarkStart w:id="651" w:name="_Toc99720831"/>
      <w:r w:rsidRPr="00C1603D">
        <w:rPr>
          <w:b/>
        </w:rPr>
        <w:lastRenderedPageBreak/>
        <w:t>FIGURE 50</w:t>
      </w:r>
      <w:r w:rsidRPr="00C1603D">
        <w:rPr>
          <w:b/>
        </w:rPr>
        <w:t> </w:t>
      </w:r>
      <w:r w:rsidR="00537140" w:rsidRPr="00C1603D">
        <w:t xml:space="preserve">Thyroid </w:t>
      </w:r>
      <w:r w:rsidRPr="00C1603D">
        <w:t>disease</w:t>
      </w:r>
      <w:bookmarkEnd w:id="651"/>
      <w:r w:rsidR="00537140" w:rsidRPr="00C1603D">
        <w:t>.</w:t>
      </w:r>
      <w:r w:rsidR="003255B9" w:rsidRPr="00C1603D">
        <w:t xml:space="preserve"> FN, false negative; FP, false positive; TN, true negative; </w:t>
      </w:r>
      <w:r w:rsidR="00BB5B0C" w:rsidRPr="00C1603D">
        <w:t>T4, thyroxine; TP, true positive; TPOAbs, thyroid peroxidase antibodies; TSH, thyroid-stimulating hormone</w:t>
      </w:r>
      <w:r w:rsidR="003255B9" w:rsidRPr="00C1603D">
        <w:t>.</w:t>
      </w:r>
    </w:p>
    <w:p w14:paraId="292F1B79" w14:textId="20454DD6" w:rsidR="008B4DF8" w:rsidRPr="00C1603D" w:rsidRDefault="008B4DF8" w:rsidP="008B4DF8">
      <w:pPr>
        <w:pStyle w:val="52AheadHeadingsHeadingstyles"/>
      </w:pPr>
      <w:bookmarkStart w:id="652" w:name="_Toc99539931"/>
      <w:r w:rsidRPr="00C1603D">
        <w:t>Family history</w:t>
      </w:r>
      <w:bookmarkEnd w:id="652"/>
    </w:p>
    <w:p w14:paraId="0F3DC747" w14:textId="44054A2D" w:rsidR="008B4DF8" w:rsidRPr="00C1603D" w:rsidRDefault="008B4DF8" w:rsidP="008B4DF8">
      <w:pPr>
        <w:pStyle w:val="81FigurelegendTableFigureBoxstyles"/>
      </w:pPr>
      <w:bookmarkStart w:id="653" w:name="_Toc99720832"/>
      <w:r w:rsidRPr="00C1603D">
        <w:rPr>
          <w:b/>
        </w:rPr>
        <w:t>FIGURE 51</w:t>
      </w:r>
      <w:r w:rsidRPr="00C1603D">
        <w:rPr>
          <w:b/>
        </w:rPr>
        <w:t> </w:t>
      </w:r>
      <w:r w:rsidR="00537140" w:rsidRPr="00C1603D">
        <w:t xml:space="preserve">Family </w:t>
      </w:r>
      <w:r w:rsidRPr="00C1603D">
        <w:t>history of CD</w:t>
      </w:r>
      <w:bookmarkEnd w:id="653"/>
      <w:r w:rsidR="00537140" w:rsidRPr="00C1603D">
        <w:t>.</w:t>
      </w:r>
      <w:r w:rsidR="003255B9" w:rsidRPr="00C1603D">
        <w:t xml:space="preserve"> </w:t>
      </w:r>
      <w:r w:rsidR="00BB5B0C" w:rsidRPr="00C1603D">
        <w:t xml:space="preserve">FDR, first-degree relative; </w:t>
      </w:r>
      <w:r w:rsidR="003255B9" w:rsidRPr="00C1603D">
        <w:t xml:space="preserve">FN, false negative; FP, false positive; </w:t>
      </w:r>
      <w:r w:rsidR="00BB5B0C" w:rsidRPr="00C1603D">
        <w:t xml:space="preserve">SDR, second-degree relative; </w:t>
      </w:r>
      <w:r w:rsidR="003255B9" w:rsidRPr="00C1603D">
        <w:t>TN, true negative; TP, true positive.</w:t>
      </w:r>
    </w:p>
    <w:p w14:paraId="5012ABDC" w14:textId="6951B4B8" w:rsidR="008B4DF8" w:rsidRPr="00C1603D" w:rsidRDefault="008B4DF8" w:rsidP="008B4DF8">
      <w:pPr>
        <w:pStyle w:val="43AppendixtitleHeadingsHeadingstyles"/>
      </w:pPr>
      <w:bookmarkStart w:id="654" w:name="_Toc99539932"/>
      <w:bookmarkStart w:id="655" w:name="_Ref86652330"/>
      <w:bookmarkStart w:id="656" w:name="_Ref87523002"/>
      <w:bookmarkStart w:id="657" w:name="_Ref85801584"/>
      <w:r w:rsidRPr="00C1603D">
        <w:lastRenderedPageBreak/>
        <w:t>Appendix 7</w:t>
      </w:r>
      <w:bookmarkEnd w:id="654"/>
      <w:r w:rsidR="00384AD6" w:rsidRPr="00C1603D">
        <w:t> </w:t>
      </w:r>
      <w:r w:rsidR="00384AD6" w:rsidRPr="00C1603D">
        <w:t>Subgroup analysis</w:t>
      </w:r>
    </w:p>
    <w:p w14:paraId="7757F22E" w14:textId="4A1BA73D" w:rsidR="008B4DF8" w:rsidRPr="00C1603D" w:rsidRDefault="008B4DF8" w:rsidP="008B4DF8">
      <w:pPr>
        <w:pStyle w:val="81FigurelegendTableFigureBoxstyles"/>
      </w:pPr>
      <w:bookmarkStart w:id="658" w:name="_Toc99720833"/>
      <w:r w:rsidRPr="00C1603D">
        <w:rPr>
          <w:b/>
        </w:rPr>
        <w:t>FIGURE 52</w:t>
      </w:r>
      <w:r w:rsidRPr="00C1603D">
        <w:rPr>
          <w:b/>
        </w:rPr>
        <w:t> </w:t>
      </w:r>
      <w:r w:rsidRPr="00C1603D">
        <w:t xml:space="preserve">Subgroup analysis stratified by </w:t>
      </w:r>
      <w:r w:rsidR="00043D0C" w:rsidRPr="00C1603D">
        <w:t>age</w:t>
      </w:r>
      <w:r w:rsidRPr="00C1603D">
        <w:t xml:space="preserve"> group and CD diagnosis</w:t>
      </w:r>
      <w:bookmarkEnd w:id="658"/>
      <w:r w:rsidRPr="00C1603D">
        <w:t>. Note</w:t>
      </w:r>
      <w:r w:rsidR="00384AD6" w:rsidRPr="00C1603D">
        <w:t xml:space="preserve"> that</w:t>
      </w:r>
      <w:r w:rsidRPr="00C1603D">
        <w:t xml:space="preserve"> stratified meta-analysis results </w:t>
      </w:r>
      <w:proofErr w:type="gramStart"/>
      <w:r w:rsidRPr="00C1603D">
        <w:t>are shown</w:t>
      </w:r>
      <w:proofErr w:type="gramEnd"/>
      <w:r w:rsidRPr="00C1603D">
        <w:t xml:space="preserve"> per diagnostic indicator. PPVs </w:t>
      </w:r>
      <w:proofErr w:type="gramStart"/>
      <w:r w:rsidRPr="00C1603D">
        <w:t>were calculated</w:t>
      </w:r>
      <w:proofErr w:type="gramEnd"/>
      <w:r w:rsidRPr="00C1603D">
        <w:t xml:space="preserve"> for a population with a CD prevalence of 1% (red dotted line) using the estimated sensitivities and specificities from the meta-analyses. The area of the box size is proportional to the total number of participants.</w:t>
      </w:r>
    </w:p>
    <w:p w14:paraId="03F2D80F" w14:textId="550F92B1" w:rsidR="008B4DF8" w:rsidRPr="00C1603D" w:rsidRDefault="008B4DF8" w:rsidP="008B4DF8">
      <w:pPr>
        <w:pStyle w:val="43AppendixtitleHeadingsHeadingstyles"/>
      </w:pPr>
      <w:bookmarkStart w:id="659" w:name="_Toc99539933"/>
      <w:r w:rsidRPr="00C1603D">
        <w:lastRenderedPageBreak/>
        <w:t>Appendix 8</w:t>
      </w:r>
      <w:bookmarkEnd w:id="659"/>
      <w:r w:rsidR="00811931" w:rsidRPr="00C1603D">
        <w:t> </w:t>
      </w:r>
      <w:r w:rsidR="00811931" w:rsidRPr="00C1603D">
        <w:t>Sensitivity analysis</w:t>
      </w:r>
    </w:p>
    <w:p w14:paraId="165768FB" w14:textId="0FCFC546" w:rsidR="008B4DF8" w:rsidRPr="00C1603D" w:rsidRDefault="008B4DF8" w:rsidP="008B4DF8">
      <w:pPr>
        <w:pStyle w:val="81FigurelegendTableFigureBoxstyles"/>
        <w:rPr>
          <w:sz w:val="18"/>
          <w:szCs w:val="18"/>
        </w:rPr>
      </w:pPr>
      <w:bookmarkStart w:id="660" w:name="_Toc99720834"/>
      <w:r w:rsidRPr="00C1603D">
        <w:rPr>
          <w:b/>
        </w:rPr>
        <w:t>FIGURE 53</w:t>
      </w:r>
      <w:r w:rsidRPr="00C1603D">
        <w:rPr>
          <w:b/>
        </w:rPr>
        <w:t> </w:t>
      </w:r>
      <w:r w:rsidRPr="00C1603D">
        <w:t>Sensitivity analysis restricting to cohort studies</w:t>
      </w:r>
      <w:bookmarkEnd w:id="660"/>
      <w:r w:rsidRPr="00C1603D">
        <w:t xml:space="preserve">. </w:t>
      </w:r>
      <w:commentRangeStart w:id="661"/>
      <w:r w:rsidRPr="00C1603D">
        <w:t>Note</w:t>
      </w:r>
      <w:r w:rsidR="00AA0726" w:rsidRPr="00C1603D">
        <w:t>:</w:t>
      </w:r>
      <w:r w:rsidR="00811931" w:rsidRPr="00C1603D">
        <w:t xml:space="preserve"> </w:t>
      </w:r>
      <w:r w:rsidRPr="00C1603D">
        <w:t xml:space="preserve">sensitivity meta-analysis on study design. </w:t>
      </w:r>
      <w:commentRangeEnd w:id="661"/>
      <w:r w:rsidR="00AA0726" w:rsidRPr="00C1603D">
        <w:rPr>
          <w:rFonts w:ascii="Times New Roman" w:hAnsi="Times New Roman" w:cs="Times New Roman"/>
          <w:color w:val="auto"/>
        </w:rPr>
        <w:commentReference w:id="661"/>
      </w:r>
      <w:r w:rsidRPr="00C1603D">
        <w:t xml:space="preserve">PPVs </w:t>
      </w:r>
      <w:proofErr w:type="gramStart"/>
      <w:r w:rsidRPr="00C1603D">
        <w:t>were calculated</w:t>
      </w:r>
      <w:proofErr w:type="gramEnd"/>
      <w:r w:rsidRPr="00C1603D">
        <w:t xml:space="preserve"> for a population with a CD prevalence of 1% (red dotted line) using the estimated sensitivities and specificities from the meta-analyses. The area of the box size is proportional to the total number of participants.</w:t>
      </w:r>
    </w:p>
    <w:p w14:paraId="32631B22" w14:textId="4F19053A" w:rsidR="008B4DF8" w:rsidRPr="00C1603D" w:rsidRDefault="008B4DF8" w:rsidP="008B4DF8">
      <w:pPr>
        <w:pStyle w:val="43AppendixtitleHeadingsHeadingstyles"/>
      </w:pPr>
      <w:bookmarkStart w:id="662" w:name="_Toc99539934"/>
      <w:r w:rsidRPr="00C1603D">
        <w:lastRenderedPageBreak/>
        <w:t>Appendix 9</w:t>
      </w:r>
      <w:bookmarkEnd w:id="662"/>
      <w:r w:rsidR="00A73737" w:rsidRPr="00C1603D">
        <w:t> </w:t>
      </w:r>
      <w:r w:rsidR="00A73737" w:rsidRPr="00C1603D">
        <w:t>Candidate diagnostic indicators</w:t>
      </w:r>
    </w:p>
    <w:p w14:paraId="1F14B8CD" w14:textId="6297C57E" w:rsidR="008B4DF8" w:rsidRPr="00C1603D" w:rsidRDefault="008B4DF8" w:rsidP="008B4DF8">
      <w:pPr>
        <w:pStyle w:val="70TablelegendTablesTableFigureBoxstyles"/>
      </w:pPr>
      <w:bookmarkStart w:id="663" w:name="_Toc99720762"/>
      <w:r w:rsidRPr="00C1603D">
        <w:rPr>
          <w:b/>
        </w:rPr>
        <w:t>TABLE 5</w:t>
      </w:r>
      <w:r w:rsidR="00032460" w:rsidRPr="00C1603D">
        <w:rPr>
          <w:b/>
        </w:rPr>
        <w:t>2</w:t>
      </w:r>
      <w:r w:rsidRPr="00C1603D">
        <w:rPr>
          <w:b/>
        </w:rPr>
        <w:t> </w:t>
      </w:r>
      <w:r w:rsidRPr="00C1603D">
        <w:t>Candidate diagnostic indicator definitions and sources</w:t>
      </w:r>
      <w:bookmarkEnd w:id="663"/>
    </w:p>
    <w:tbl>
      <w:tblPr>
        <w:tblW w:w="0" w:type="auto"/>
        <w:tblCellMar>
          <w:top w:w="40" w:type="dxa"/>
          <w:left w:w="60" w:type="dxa"/>
          <w:bottom w:w="40" w:type="dxa"/>
          <w:right w:w="60" w:type="dxa"/>
        </w:tblCellMar>
        <w:tblLook w:val="04A0" w:firstRow="1" w:lastRow="0" w:firstColumn="1" w:lastColumn="0" w:noHBand="0" w:noVBand="1"/>
      </w:tblPr>
      <w:tblGrid>
        <w:gridCol w:w="1281"/>
        <w:gridCol w:w="4332"/>
        <w:gridCol w:w="812"/>
        <w:gridCol w:w="831"/>
        <w:gridCol w:w="885"/>
        <w:gridCol w:w="885"/>
      </w:tblGrid>
      <w:tr w:rsidR="008B4DF8" w:rsidRPr="00C1603D" w14:paraId="35E455CB" w14:textId="77777777" w:rsidTr="00A73737">
        <w:trPr>
          <w:cantSplit/>
        </w:trPr>
        <w:tc>
          <w:tcPr>
            <w:tcW w:w="0" w:type="auto"/>
            <w:shd w:val="clear" w:color="auto" w:fill="auto"/>
          </w:tcPr>
          <w:p w14:paraId="69821597" w14:textId="77777777" w:rsidR="008B4DF8" w:rsidRPr="00C1603D" w:rsidRDefault="008B4DF8" w:rsidP="00A73737">
            <w:pPr>
              <w:pStyle w:val="710TableheadTablesTableFigureBoxstyles"/>
              <w:rPr>
                <w:color w:val="000000"/>
                <w:lang w:eastAsia="en-GB"/>
              </w:rPr>
            </w:pPr>
            <w:r w:rsidRPr="00C1603D">
              <w:rPr>
                <w:lang w:eastAsia="en-GB"/>
              </w:rPr>
              <w:t>Diagnostic indicator</w:t>
            </w:r>
          </w:p>
        </w:tc>
        <w:tc>
          <w:tcPr>
            <w:tcW w:w="0" w:type="auto"/>
            <w:shd w:val="clear" w:color="auto" w:fill="auto"/>
          </w:tcPr>
          <w:p w14:paraId="3E8332EC" w14:textId="19B31D74" w:rsidR="008B4DF8" w:rsidRPr="00C1603D" w:rsidRDefault="008B4DF8" w:rsidP="00A73737">
            <w:pPr>
              <w:pStyle w:val="710TableheadTablesTableFigureBoxstyles"/>
              <w:rPr>
                <w:color w:val="000000"/>
                <w:lang w:eastAsia="en-GB"/>
              </w:rPr>
            </w:pPr>
            <w:r w:rsidRPr="00C1603D">
              <w:rPr>
                <w:lang w:eastAsia="en-GB"/>
              </w:rPr>
              <w:t>Definition (ICPC</w:t>
            </w:r>
            <w:r w:rsidR="00A73737" w:rsidRPr="00C1603D">
              <w:rPr>
                <w:lang w:eastAsia="en-GB"/>
              </w:rPr>
              <w:t>-</w:t>
            </w:r>
            <w:r w:rsidRPr="00C1603D">
              <w:rPr>
                <w:lang w:eastAsia="en-GB"/>
              </w:rPr>
              <w:t>2</w:t>
            </w:r>
            <w:r w:rsidR="00A73737" w:rsidRPr="00C1603D">
              <w:rPr>
                <w:vertAlign w:val="superscript"/>
                <w:lang w:eastAsia="en-GB"/>
              </w:rPr>
              <w:t>53</w:t>
            </w:r>
            <w:r w:rsidRPr="00C1603D">
              <w:rPr>
                <w:lang w:eastAsia="en-GB"/>
              </w:rPr>
              <w:t xml:space="preserve"> definition</w:t>
            </w:r>
            <w:r w:rsidR="003E4B65" w:rsidRPr="00C1603D">
              <w:rPr>
                <w:lang w:eastAsia="en-GB"/>
              </w:rPr>
              <w:t>,</w:t>
            </w:r>
            <w:r w:rsidRPr="00C1603D">
              <w:rPr>
                <w:lang w:eastAsia="en-GB"/>
              </w:rPr>
              <w:t xml:space="preserve"> </w:t>
            </w:r>
            <w:r w:rsidR="00A73737" w:rsidRPr="00C1603D">
              <w:rPr>
                <w:lang w:eastAsia="en-GB"/>
              </w:rPr>
              <w:t>if</w:t>
            </w:r>
            <w:r w:rsidRPr="00C1603D">
              <w:rPr>
                <w:lang w:eastAsia="en-GB"/>
              </w:rPr>
              <w:t xml:space="preserve"> available)</w:t>
            </w:r>
          </w:p>
        </w:tc>
        <w:tc>
          <w:tcPr>
            <w:tcW w:w="0" w:type="auto"/>
            <w:shd w:val="clear" w:color="auto" w:fill="auto"/>
          </w:tcPr>
          <w:p w14:paraId="4A45653F" w14:textId="77777777" w:rsidR="008B4DF8" w:rsidRPr="00C1603D" w:rsidRDefault="008B4DF8" w:rsidP="00A73737">
            <w:pPr>
              <w:pStyle w:val="710TableheadTablesTableFigureBoxstyles"/>
              <w:rPr>
                <w:color w:val="000000"/>
                <w:lang w:eastAsia="en-GB"/>
              </w:rPr>
            </w:pPr>
            <w:r w:rsidRPr="00C1603D">
              <w:rPr>
                <w:lang w:eastAsia="en-GB"/>
              </w:rPr>
              <w:t>Diagnostic indicator review</w:t>
            </w:r>
          </w:p>
        </w:tc>
        <w:tc>
          <w:tcPr>
            <w:tcW w:w="0" w:type="auto"/>
            <w:shd w:val="clear" w:color="auto" w:fill="auto"/>
          </w:tcPr>
          <w:p w14:paraId="6349EFBC" w14:textId="245EE97F" w:rsidR="008B4DF8" w:rsidRPr="00C1603D" w:rsidRDefault="008B4DF8" w:rsidP="00A73737">
            <w:pPr>
              <w:pStyle w:val="710TableheadTablesTableFigureBoxstyles"/>
              <w:rPr>
                <w:color w:val="000000"/>
                <w:vertAlign w:val="superscript"/>
                <w:lang w:eastAsia="en-GB"/>
              </w:rPr>
            </w:pPr>
            <w:r w:rsidRPr="00C1603D">
              <w:rPr>
                <w:lang w:eastAsia="en-GB"/>
              </w:rPr>
              <w:t>NICE 2015 guidelines</w:t>
            </w:r>
            <w:r w:rsidR="00FC5803" w:rsidRPr="00C1603D">
              <w:rPr>
                <w:vertAlign w:val="superscript"/>
                <w:lang w:eastAsia="en-GB"/>
              </w:rPr>
              <w:t>9</w:t>
            </w:r>
          </w:p>
        </w:tc>
        <w:tc>
          <w:tcPr>
            <w:tcW w:w="0" w:type="auto"/>
            <w:shd w:val="clear" w:color="auto" w:fill="auto"/>
          </w:tcPr>
          <w:p w14:paraId="267EF4F0" w14:textId="1D4EFFB1" w:rsidR="008B4DF8" w:rsidRPr="00C1603D" w:rsidRDefault="008B4DF8" w:rsidP="00A73737">
            <w:pPr>
              <w:pStyle w:val="710TableheadTablesTableFigureBoxstyles"/>
              <w:rPr>
                <w:color w:val="000000"/>
                <w:vertAlign w:val="superscript"/>
                <w:lang w:eastAsia="en-GB"/>
              </w:rPr>
            </w:pPr>
            <w:r w:rsidRPr="00C1603D">
              <w:rPr>
                <w:lang w:eastAsia="en-GB"/>
              </w:rPr>
              <w:t>ESPGHAN 2020 guidelines</w:t>
            </w:r>
            <w:r w:rsidR="00BB167C" w:rsidRPr="00C1603D">
              <w:rPr>
                <w:vertAlign w:val="superscript"/>
                <w:lang w:eastAsia="en-GB"/>
              </w:rPr>
              <w:t>10</w:t>
            </w:r>
          </w:p>
        </w:tc>
        <w:tc>
          <w:tcPr>
            <w:tcW w:w="0" w:type="auto"/>
            <w:shd w:val="clear" w:color="auto" w:fill="auto"/>
          </w:tcPr>
          <w:p w14:paraId="6F875567" w14:textId="11F3BE16" w:rsidR="008B4DF8" w:rsidRPr="00C1603D" w:rsidRDefault="008B4DF8" w:rsidP="00A73737">
            <w:pPr>
              <w:pStyle w:val="710TableheadTablesTableFigureBoxstyles"/>
              <w:rPr>
                <w:vertAlign w:val="superscript"/>
                <w:lang w:eastAsia="en-GB"/>
              </w:rPr>
            </w:pPr>
            <w:r w:rsidRPr="00C1603D">
              <w:rPr>
                <w:lang w:eastAsia="en-GB"/>
              </w:rPr>
              <w:t>ESsCD 2019 guidelines</w:t>
            </w:r>
            <w:r w:rsidR="00BB167C" w:rsidRPr="00C1603D">
              <w:rPr>
                <w:vertAlign w:val="superscript"/>
                <w:lang w:eastAsia="en-GB"/>
              </w:rPr>
              <w:t>43</w:t>
            </w:r>
          </w:p>
        </w:tc>
      </w:tr>
      <w:tr w:rsidR="007F5C75" w:rsidRPr="00C1603D" w14:paraId="3C457725" w14:textId="77777777" w:rsidTr="00A73737">
        <w:trPr>
          <w:cantSplit/>
        </w:trPr>
        <w:tc>
          <w:tcPr>
            <w:tcW w:w="0" w:type="auto"/>
            <w:shd w:val="clear" w:color="auto" w:fill="auto"/>
          </w:tcPr>
          <w:p w14:paraId="13BC0C83" w14:textId="77777777" w:rsidR="007F5C75" w:rsidRPr="00C1603D" w:rsidRDefault="007F5C75" w:rsidP="007F5C75">
            <w:pPr>
              <w:pStyle w:val="72TabletextTablesTableFigureBoxstyles"/>
              <w:rPr>
                <w:lang w:eastAsia="en-GB"/>
              </w:rPr>
            </w:pPr>
            <w:r w:rsidRPr="00C1603D">
              <w:rPr>
                <w:lang w:eastAsia="en-GB"/>
              </w:rPr>
              <w:t>Amenorrhoea</w:t>
            </w:r>
          </w:p>
        </w:tc>
        <w:tc>
          <w:tcPr>
            <w:tcW w:w="0" w:type="auto"/>
            <w:shd w:val="clear" w:color="auto" w:fill="auto"/>
          </w:tcPr>
          <w:p w14:paraId="3038C72C" w14:textId="3EFD6B09" w:rsidR="007F5C75" w:rsidRPr="00C1603D" w:rsidRDefault="007F5C75" w:rsidP="007F5C75">
            <w:pPr>
              <w:pStyle w:val="72TabletextTablesTableFigureBoxstyles"/>
              <w:rPr>
                <w:lang w:eastAsia="en-GB"/>
              </w:rPr>
            </w:pPr>
            <w:r w:rsidRPr="00C1603D">
              <w:rPr>
                <w:lang w:eastAsia="en-GB"/>
              </w:rPr>
              <w:t>Primary and secondary amenorrhoea (i.e. the absence or cessation of menstruation)</w:t>
            </w:r>
          </w:p>
        </w:tc>
        <w:tc>
          <w:tcPr>
            <w:tcW w:w="0" w:type="auto"/>
            <w:shd w:val="clear" w:color="auto" w:fill="auto"/>
          </w:tcPr>
          <w:p w14:paraId="0D3DA4B3" w14:textId="244A6973" w:rsidR="007F5C75" w:rsidRPr="00C1603D" w:rsidRDefault="007F5C75" w:rsidP="007F5C75">
            <w:pPr>
              <w:pStyle w:val="72TabletextTablesTableFigureBoxstyles"/>
              <w:rPr>
                <w:lang w:eastAsia="en-GB"/>
              </w:rPr>
            </w:pPr>
          </w:p>
        </w:tc>
        <w:tc>
          <w:tcPr>
            <w:tcW w:w="0" w:type="auto"/>
            <w:shd w:val="clear" w:color="auto" w:fill="auto"/>
          </w:tcPr>
          <w:p w14:paraId="10E425F8" w14:textId="68306974" w:rsidR="007F5C75" w:rsidRPr="00C1603D" w:rsidRDefault="007F5C75" w:rsidP="007F5C75">
            <w:pPr>
              <w:pStyle w:val="72TabletextTablesTableFigureBoxstyles"/>
              <w:rPr>
                <w:lang w:eastAsia="en-GB"/>
              </w:rPr>
            </w:pPr>
          </w:p>
        </w:tc>
        <w:tc>
          <w:tcPr>
            <w:tcW w:w="0" w:type="auto"/>
            <w:shd w:val="clear" w:color="auto" w:fill="auto"/>
          </w:tcPr>
          <w:p w14:paraId="1B9164C0" w14:textId="6E9F4BD3"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33D2E26E" w14:textId="605FE73F"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30A2CEB0" w14:textId="77777777" w:rsidTr="00A73737">
        <w:trPr>
          <w:cantSplit/>
        </w:trPr>
        <w:tc>
          <w:tcPr>
            <w:tcW w:w="0" w:type="auto"/>
            <w:vMerge w:val="restart"/>
            <w:shd w:val="clear" w:color="auto" w:fill="auto"/>
          </w:tcPr>
          <w:p w14:paraId="4FF89078" w14:textId="77777777" w:rsidR="007F5C75" w:rsidRPr="00C1603D" w:rsidRDefault="007F5C75" w:rsidP="007F5C75">
            <w:pPr>
              <w:pStyle w:val="72TabletextTablesTableFigureBoxstyles"/>
              <w:rPr>
                <w:lang w:eastAsia="en-GB"/>
              </w:rPr>
            </w:pPr>
            <w:r w:rsidRPr="00C1603D">
              <w:rPr>
                <w:lang w:eastAsia="en-GB"/>
              </w:rPr>
              <w:t>Anaemia</w:t>
            </w:r>
          </w:p>
        </w:tc>
        <w:tc>
          <w:tcPr>
            <w:tcW w:w="0" w:type="auto"/>
            <w:shd w:val="clear" w:color="auto" w:fill="auto"/>
          </w:tcPr>
          <w:p w14:paraId="0DCB371F" w14:textId="1B001B41" w:rsidR="007F5C75" w:rsidRPr="00C1603D" w:rsidRDefault="007F5C75" w:rsidP="007F5C75">
            <w:pPr>
              <w:pStyle w:val="72TabletextTablesTableFigureBoxstyles"/>
              <w:rPr>
                <w:lang w:eastAsia="en-GB"/>
              </w:rPr>
            </w:pPr>
            <w:r w:rsidRPr="00C1603D">
              <w:rPr>
                <w:lang w:eastAsia="en-GB"/>
              </w:rPr>
              <w:t>Any IDA (B80), including anaemia due to blood loss</w:t>
            </w:r>
          </w:p>
        </w:tc>
        <w:tc>
          <w:tcPr>
            <w:tcW w:w="0" w:type="auto"/>
            <w:vMerge w:val="restart"/>
            <w:shd w:val="clear" w:color="auto" w:fill="auto"/>
          </w:tcPr>
          <w:p w14:paraId="480E467A" w14:textId="4433C071"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66B28238" w14:textId="55BC203E" w:rsidR="007F5C75" w:rsidRPr="00C1603D" w:rsidRDefault="007F5C75" w:rsidP="007F5C75">
            <w:pPr>
              <w:pStyle w:val="72TabletextTablesTableFigureBoxstyles"/>
              <w:rPr>
                <w:lang w:eastAsia="en-GB"/>
              </w:rPr>
            </w:pPr>
          </w:p>
        </w:tc>
        <w:tc>
          <w:tcPr>
            <w:tcW w:w="0" w:type="auto"/>
            <w:vMerge w:val="restart"/>
            <w:shd w:val="clear" w:color="auto" w:fill="auto"/>
          </w:tcPr>
          <w:p w14:paraId="693A9E9E" w14:textId="01E0C7FC"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08E41268" w14:textId="178FDEA5"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43505F2A" w14:textId="77777777" w:rsidTr="00A73737">
        <w:trPr>
          <w:cantSplit/>
        </w:trPr>
        <w:tc>
          <w:tcPr>
            <w:tcW w:w="0" w:type="auto"/>
            <w:vMerge/>
            <w:shd w:val="clear" w:color="auto" w:fill="auto"/>
          </w:tcPr>
          <w:p w14:paraId="70E00489" w14:textId="77777777" w:rsidR="007F5C75" w:rsidRPr="00C1603D" w:rsidRDefault="007F5C75" w:rsidP="007F5C75">
            <w:pPr>
              <w:pStyle w:val="72TabletextTablesTableFigureBoxstyles"/>
              <w:rPr>
                <w:lang w:eastAsia="en-GB"/>
              </w:rPr>
            </w:pPr>
          </w:p>
        </w:tc>
        <w:tc>
          <w:tcPr>
            <w:tcW w:w="0" w:type="auto"/>
            <w:shd w:val="clear" w:color="auto" w:fill="auto"/>
          </w:tcPr>
          <w:p w14:paraId="5D1AEA5D" w14:textId="4B05766D" w:rsidR="007F5C75" w:rsidRPr="00C1603D" w:rsidRDefault="007F5C75" w:rsidP="007F5C75">
            <w:pPr>
              <w:pStyle w:val="72TabletextTablesTableFigureBoxstyles"/>
              <w:rPr>
                <w:lang w:eastAsia="en-GB"/>
              </w:rPr>
            </w:pPr>
            <w:r w:rsidRPr="00C1603D">
              <w:rPr>
                <w:lang w:eastAsia="en-GB"/>
              </w:rPr>
              <w:t xml:space="preserve">Excludes: iron deficiency without anaemia </w:t>
            </w:r>
            <w:r w:rsidR="003E4B65" w:rsidRPr="00C1603D">
              <w:rPr>
                <w:lang w:eastAsia="en-GB"/>
              </w:rPr>
              <w:t>(</w:t>
            </w:r>
            <w:r w:rsidRPr="00C1603D">
              <w:rPr>
                <w:lang w:eastAsia="en-GB"/>
              </w:rPr>
              <w:t>T91</w:t>
            </w:r>
            <w:r w:rsidR="003E4B65" w:rsidRPr="00C1603D">
              <w:rPr>
                <w:lang w:eastAsia="en-GB"/>
              </w:rPr>
              <w:t>)</w:t>
            </w:r>
          </w:p>
        </w:tc>
        <w:tc>
          <w:tcPr>
            <w:tcW w:w="0" w:type="auto"/>
            <w:vMerge/>
            <w:shd w:val="clear" w:color="auto" w:fill="auto"/>
          </w:tcPr>
          <w:p w14:paraId="6C9DCF85" w14:textId="77777777" w:rsidR="007F5C75" w:rsidRPr="00C1603D" w:rsidRDefault="007F5C75" w:rsidP="007F5C75">
            <w:pPr>
              <w:pStyle w:val="72TabletextTablesTableFigureBoxstyles"/>
              <w:rPr>
                <w:lang w:eastAsia="en-GB"/>
              </w:rPr>
            </w:pPr>
          </w:p>
        </w:tc>
        <w:tc>
          <w:tcPr>
            <w:tcW w:w="0" w:type="auto"/>
            <w:vMerge/>
            <w:shd w:val="clear" w:color="auto" w:fill="auto"/>
          </w:tcPr>
          <w:p w14:paraId="7D2F0412" w14:textId="77777777" w:rsidR="007F5C75" w:rsidRPr="00C1603D" w:rsidRDefault="007F5C75" w:rsidP="007F5C75">
            <w:pPr>
              <w:pStyle w:val="72TabletextTablesTableFigureBoxstyles"/>
              <w:rPr>
                <w:lang w:eastAsia="en-GB"/>
              </w:rPr>
            </w:pPr>
          </w:p>
        </w:tc>
        <w:tc>
          <w:tcPr>
            <w:tcW w:w="0" w:type="auto"/>
            <w:vMerge/>
            <w:shd w:val="clear" w:color="auto" w:fill="auto"/>
          </w:tcPr>
          <w:p w14:paraId="0FBC0FF7" w14:textId="77777777" w:rsidR="007F5C75" w:rsidRPr="00C1603D" w:rsidRDefault="007F5C75" w:rsidP="007F5C75">
            <w:pPr>
              <w:pStyle w:val="72TabletextTablesTableFigureBoxstyles"/>
              <w:rPr>
                <w:lang w:eastAsia="en-GB"/>
              </w:rPr>
            </w:pPr>
          </w:p>
        </w:tc>
        <w:tc>
          <w:tcPr>
            <w:tcW w:w="0" w:type="auto"/>
            <w:vMerge/>
            <w:shd w:val="clear" w:color="auto" w:fill="auto"/>
          </w:tcPr>
          <w:p w14:paraId="3CBD4016" w14:textId="77777777" w:rsidR="007F5C75" w:rsidRPr="00C1603D" w:rsidRDefault="007F5C75" w:rsidP="007F5C75">
            <w:pPr>
              <w:pStyle w:val="72TabletextTablesTableFigureBoxstyles"/>
              <w:rPr>
                <w:lang w:eastAsia="en-GB"/>
              </w:rPr>
            </w:pPr>
          </w:p>
        </w:tc>
      </w:tr>
      <w:tr w:rsidR="007F5C75" w:rsidRPr="00C1603D" w14:paraId="1E0224BA" w14:textId="77777777" w:rsidTr="00A73737">
        <w:trPr>
          <w:cantSplit/>
        </w:trPr>
        <w:tc>
          <w:tcPr>
            <w:tcW w:w="0" w:type="auto"/>
            <w:vMerge w:val="restart"/>
            <w:shd w:val="clear" w:color="auto" w:fill="auto"/>
          </w:tcPr>
          <w:p w14:paraId="7D5F998F" w14:textId="77777777" w:rsidR="007F5C75" w:rsidRPr="00C1603D" w:rsidRDefault="007F5C75" w:rsidP="007F5C75">
            <w:pPr>
              <w:pStyle w:val="72TabletextTablesTableFigureBoxstyles"/>
              <w:rPr>
                <w:lang w:eastAsia="en-GB"/>
              </w:rPr>
            </w:pPr>
            <w:r w:rsidRPr="00C1603D">
              <w:rPr>
                <w:lang w:eastAsia="en-GB"/>
              </w:rPr>
              <w:t>Arthritis</w:t>
            </w:r>
          </w:p>
        </w:tc>
        <w:tc>
          <w:tcPr>
            <w:tcW w:w="0" w:type="auto"/>
            <w:shd w:val="clear" w:color="auto" w:fill="auto"/>
          </w:tcPr>
          <w:p w14:paraId="5792F1D8" w14:textId="2DFB3451" w:rsidR="007F5C75" w:rsidRPr="00C1603D" w:rsidRDefault="007F5C75" w:rsidP="007F5C75">
            <w:pPr>
              <w:pStyle w:val="72TabletextTablesTableFigureBoxstyles"/>
              <w:rPr>
                <w:lang w:eastAsia="en-GB"/>
              </w:rPr>
            </w:pPr>
            <w:r w:rsidRPr="00C1603D">
              <w:rPr>
                <w:lang w:eastAsia="en-GB"/>
              </w:rPr>
              <w:t xml:space="preserve">Includes </w:t>
            </w:r>
            <w:r w:rsidR="005A0314" w:rsidRPr="00C1603D">
              <w:rPr>
                <w:lang w:eastAsia="en-GB"/>
              </w:rPr>
              <w:t>r</w:t>
            </w:r>
            <w:r w:rsidRPr="00C1603D">
              <w:rPr>
                <w:lang w:eastAsia="en-GB"/>
              </w:rPr>
              <w:t>heumatoid/seropositive arthritis</w:t>
            </w:r>
            <w:r w:rsidR="0032430C" w:rsidRPr="00C1603D">
              <w:rPr>
                <w:lang w:eastAsia="en-GB"/>
              </w:rPr>
              <w:t>;</w:t>
            </w:r>
            <w:r w:rsidRPr="00C1603D">
              <w:rPr>
                <w:lang w:eastAsia="en-GB"/>
              </w:rPr>
              <w:t xml:space="preserve"> allied condition: ankylosing spondylitis; allied condition: juvenile arthritis (L88)</w:t>
            </w:r>
          </w:p>
        </w:tc>
        <w:tc>
          <w:tcPr>
            <w:tcW w:w="0" w:type="auto"/>
            <w:vMerge w:val="restart"/>
            <w:shd w:val="clear" w:color="auto" w:fill="auto"/>
          </w:tcPr>
          <w:p w14:paraId="3B54BEB7" w14:textId="61071087"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3D2544C1" w14:textId="2D2DBE98" w:rsidR="007F5C75" w:rsidRPr="00C1603D" w:rsidRDefault="007F5C75" w:rsidP="007F5C75">
            <w:pPr>
              <w:pStyle w:val="72TabletextTablesTableFigureBoxstyles"/>
              <w:rPr>
                <w:lang w:eastAsia="en-GB"/>
              </w:rPr>
            </w:pPr>
          </w:p>
        </w:tc>
        <w:tc>
          <w:tcPr>
            <w:tcW w:w="0" w:type="auto"/>
            <w:vMerge w:val="restart"/>
            <w:shd w:val="clear" w:color="auto" w:fill="auto"/>
          </w:tcPr>
          <w:p w14:paraId="59CB6486" w14:textId="59CEC6C3"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6ADC3C4C" w14:textId="4EF59F6A" w:rsidR="007F5C75" w:rsidRPr="00C1603D" w:rsidRDefault="007F5C75" w:rsidP="007F5C75">
            <w:pPr>
              <w:pStyle w:val="72TabletextTablesTableFigureBoxstyles"/>
              <w:rPr>
                <w:lang w:eastAsia="en-GB"/>
              </w:rPr>
            </w:pPr>
          </w:p>
        </w:tc>
      </w:tr>
      <w:tr w:rsidR="008B4DF8" w:rsidRPr="00C1603D" w14:paraId="4E306135" w14:textId="77777777" w:rsidTr="00A73737">
        <w:trPr>
          <w:cantSplit/>
        </w:trPr>
        <w:tc>
          <w:tcPr>
            <w:tcW w:w="0" w:type="auto"/>
            <w:vMerge/>
            <w:shd w:val="clear" w:color="auto" w:fill="auto"/>
          </w:tcPr>
          <w:p w14:paraId="5347A373" w14:textId="77777777" w:rsidR="008B4DF8" w:rsidRPr="00C1603D" w:rsidRDefault="008B4DF8" w:rsidP="00A73737">
            <w:pPr>
              <w:pStyle w:val="72TabletextTablesTableFigureBoxstyles"/>
              <w:rPr>
                <w:lang w:eastAsia="en-GB"/>
              </w:rPr>
            </w:pPr>
          </w:p>
        </w:tc>
        <w:tc>
          <w:tcPr>
            <w:tcW w:w="0" w:type="auto"/>
            <w:shd w:val="clear" w:color="auto" w:fill="auto"/>
          </w:tcPr>
          <w:p w14:paraId="7E564F3C" w14:textId="2FD318F0" w:rsidR="008B4DF8" w:rsidRPr="00C1603D" w:rsidRDefault="008B4DF8" w:rsidP="00A73737">
            <w:pPr>
              <w:pStyle w:val="72TabletextTablesTableFigureBoxstyles"/>
              <w:rPr>
                <w:lang w:eastAsia="en-GB"/>
              </w:rPr>
            </w:pPr>
            <w:r w:rsidRPr="00C1603D">
              <w:rPr>
                <w:lang w:eastAsia="en-GB"/>
              </w:rPr>
              <w:t xml:space="preserve">Excludes psoriatic arthropathy </w:t>
            </w:r>
            <w:r w:rsidR="003E4B65" w:rsidRPr="00C1603D">
              <w:rPr>
                <w:lang w:eastAsia="en-GB"/>
              </w:rPr>
              <w:t>(</w:t>
            </w:r>
            <w:r w:rsidRPr="00C1603D">
              <w:rPr>
                <w:lang w:eastAsia="en-GB"/>
              </w:rPr>
              <w:t>L99</w:t>
            </w:r>
            <w:r w:rsidR="003E4B65" w:rsidRPr="00C1603D">
              <w:rPr>
                <w:lang w:eastAsia="en-GB"/>
              </w:rPr>
              <w:t>)</w:t>
            </w:r>
          </w:p>
        </w:tc>
        <w:tc>
          <w:tcPr>
            <w:tcW w:w="0" w:type="auto"/>
            <w:vMerge/>
            <w:shd w:val="clear" w:color="auto" w:fill="auto"/>
          </w:tcPr>
          <w:p w14:paraId="502AB68B" w14:textId="77777777" w:rsidR="008B4DF8" w:rsidRPr="00C1603D" w:rsidRDefault="008B4DF8" w:rsidP="00A73737">
            <w:pPr>
              <w:pStyle w:val="72TabletextTablesTableFigureBoxstyles"/>
              <w:rPr>
                <w:lang w:eastAsia="en-GB"/>
              </w:rPr>
            </w:pPr>
          </w:p>
        </w:tc>
        <w:tc>
          <w:tcPr>
            <w:tcW w:w="0" w:type="auto"/>
            <w:vMerge/>
            <w:shd w:val="clear" w:color="auto" w:fill="auto"/>
          </w:tcPr>
          <w:p w14:paraId="11A9D52E" w14:textId="77777777" w:rsidR="008B4DF8" w:rsidRPr="00C1603D" w:rsidRDefault="008B4DF8" w:rsidP="00A73737">
            <w:pPr>
              <w:pStyle w:val="72TabletextTablesTableFigureBoxstyles"/>
              <w:rPr>
                <w:lang w:eastAsia="en-GB"/>
              </w:rPr>
            </w:pPr>
          </w:p>
        </w:tc>
        <w:tc>
          <w:tcPr>
            <w:tcW w:w="0" w:type="auto"/>
            <w:vMerge/>
            <w:shd w:val="clear" w:color="auto" w:fill="auto"/>
          </w:tcPr>
          <w:p w14:paraId="3B6401A7" w14:textId="77777777" w:rsidR="008B4DF8" w:rsidRPr="00C1603D" w:rsidRDefault="008B4DF8" w:rsidP="00A73737">
            <w:pPr>
              <w:pStyle w:val="72TabletextTablesTableFigureBoxstyles"/>
              <w:rPr>
                <w:lang w:eastAsia="en-GB"/>
              </w:rPr>
            </w:pPr>
          </w:p>
        </w:tc>
        <w:tc>
          <w:tcPr>
            <w:tcW w:w="0" w:type="auto"/>
            <w:vMerge/>
            <w:shd w:val="clear" w:color="auto" w:fill="auto"/>
          </w:tcPr>
          <w:p w14:paraId="06A04980" w14:textId="77777777" w:rsidR="008B4DF8" w:rsidRPr="00C1603D" w:rsidRDefault="008B4DF8" w:rsidP="00A73737">
            <w:pPr>
              <w:pStyle w:val="72TabletextTablesTableFigureBoxstyles"/>
              <w:rPr>
                <w:lang w:eastAsia="en-GB"/>
              </w:rPr>
            </w:pPr>
          </w:p>
        </w:tc>
      </w:tr>
      <w:tr w:rsidR="008B4DF8" w:rsidRPr="00C1603D" w14:paraId="0F0E0C2F" w14:textId="77777777" w:rsidTr="00A73737">
        <w:trPr>
          <w:cantSplit/>
        </w:trPr>
        <w:tc>
          <w:tcPr>
            <w:tcW w:w="0" w:type="auto"/>
            <w:shd w:val="clear" w:color="auto" w:fill="auto"/>
          </w:tcPr>
          <w:p w14:paraId="310E0074" w14:textId="153A045B" w:rsidR="008B4DF8" w:rsidRPr="00C1603D" w:rsidRDefault="00C72655" w:rsidP="00A73737">
            <w:pPr>
              <w:pStyle w:val="72TabletextTablesTableFigureBoxstyles"/>
              <w:rPr>
                <w:lang w:eastAsia="en-GB"/>
              </w:rPr>
            </w:pPr>
            <w:r w:rsidRPr="00C1603D">
              <w:rPr>
                <w:lang w:eastAsia="en-GB"/>
              </w:rPr>
              <w:t>Attention deficit</w:t>
            </w:r>
            <w:r w:rsidR="008B4DF8" w:rsidRPr="00C1603D">
              <w:rPr>
                <w:lang w:eastAsia="en-GB"/>
              </w:rPr>
              <w:t xml:space="preserve"> disorder/cognitive impairment</w:t>
            </w:r>
          </w:p>
        </w:tc>
        <w:tc>
          <w:tcPr>
            <w:tcW w:w="0" w:type="auto"/>
            <w:shd w:val="clear" w:color="auto" w:fill="auto"/>
          </w:tcPr>
          <w:p w14:paraId="01341F96" w14:textId="52D68DCE" w:rsidR="008B4DF8" w:rsidRPr="00C1603D" w:rsidRDefault="008B4DF8" w:rsidP="00A73737">
            <w:pPr>
              <w:pStyle w:val="72TabletextTablesTableFigureBoxstyles"/>
              <w:rPr>
                <w:lang w:eastAsia="en-GB"/>
              </w:rPr>
            </w:pPr>
            <w:r w:rsidRPr="00C1603D">
              <w:rPr>
                <w:lang w:eastAsia="en-GB"/>
              </w:rPr>
              <w:t>Includes hyperkinetic disorder, attention deficit disorder, hyperactivity (P81)</w:t>
            </w:r>
            <w:r w:rsidR="00BA6139" w:rsidRPr="00C1603D">
              <w:rPr>
                <w:lang w:eastAsia="en-GB"/>
              </w:rPr>
              <w:t>,</w:t>
            </w:r>
            <w:r w:rsidRPr="00C1603D">
              <w:rPr>
                <w:lang w:eastAsia="en-GB"/>
              </w:rPr>
              <w:t xml:space="preserve"> cognitive impairment</w:t>
            </w:r>
          </w:p>
        </w:tc>
        <w:tc>
          <w:tcPr>
            <w:tcW w:w="0" w:type="auto"/>
            <w:shd w:val="clear" w:color="auto" w:fill="auto"/>
          </w:tcPr>
          <w:p w14:paraId="47AC6EDF" w14:textId="77777777" w:rsidR="008B4DF8" w:rsidRPr="00C1603D" w:rsidRDefault="008B4DF8" w:rsidP="00A73737">
            <w:pPr>
              <w:pStyle w:val="72TabletextTablesTableFigureBoxstyles"/>
              <w:rPr>
                <w:lang w:eastAsia="en-GB"/>
              </w:rPr>
            </w:pPr>
          </w:p>
        </w:tc>
        <w:tc>
          <w:tcPr>
            <w:tcW w:w="0" w:type="auto"/>
            <w:shd w:val="clear" w:color="auto" w:fill="auto"/>
          </w:tcPr>
          <w:p w14:paraId="3D262F63" w14:textId="77777777" w:rsidR="008B4DF8" w:rsidRPr="00C1603D" w:rsidRDefault="008B4DF8" w:rsidP="00A73737">
            <w:pPr>
              <w:pStyle w:val="72TabletextTablesTableFigureBoxstyles"/>
              <w:rPr>
                <w:lang w:eastAsia="en-GB"/>
              </w:rPr>
            </w:pPr>
          </w:p>
        </w:tc>
        <w:tc>
          <w:tcPr>
            <w:tcW w:w="0" w:type="auto"/>
            <w:shd w:val="clear" w:color="auto" w:fill="auto"/>
          </w:tcPr>
          <w:p w14:paraId="7CF4CE1D" w14:textId="77777777" w:rsidR="008B4DF8" w:rsidRPr="00C1603D" w:rsidRDefault="008B4DF8" w:rsidP="00A73737">
            <w:pPr>
              <w:pStyle w:val="72TabletextTablesTableFigureBoxstyles"/>
              <w:rPr>
                <w:lang w:eastAsia="en-GB"/>
              </w:rPr>
            </w:pPr>
          </w:p>
        </w:tc>
        <w:tc>
          <w:tcPr>
            <w:tcW w:w="0" w:type="auto"/>
            <w:shd w:val="clear" w:color="auto" w:fill="auto"/>
          </w:tcPr>
          <w:p w14:paraId="569436FB" w14:textId="3AFAD2B3" w:rsidR="008B4DF8" w:rsidRPr="00C1603D" w:rsidRDefault="007F5C75" w:rsidP="00A73737">
            <w:pPr>
              <w:pStyle w:val="72TabletextTablesTableFigureBoxstyles"/>
              <w:rPr>
                <w:lang w:eastAsia="en-GB"/>
              </w:rPr>
            </w:pPr>
            <w:r w:rsidRPr="00C1603D">
              <w:rPr>
                <w:rFonts w:ascii="Segoe UI Symbol" w:hAnsi="Segoe UI Symbol" w:cs="Segoe UI Symbol"/>
              </w:rPr>
              <w:t>✗</w:t>
            </w:r>
          </w:p>
        </w:tc>
      </w:tr>
      <w:tr w:rsidR="008B4DF8" w:rsidRPr="00C1603D" w14:paraId="4E5B0BF9" w14:textId="77777777" w:rsidTr="00A73737">
        <w:trPr>
          <w:cantSplit/>
        </w:trPr>
        <w:tc>
          <w:tcPr>
            <w:tcW w:w="0" w:type="auto"/>
            <w:shd w:val="clear" w:color="auto" w:fill="auto"/>
          </w:tcPr>
          <w:p w14:paraId="28F6281D" w14:textId="77777777" w:rsidR="008B4DF8" w:rsidRPr="00C1603D" w:rsidRDefault="008B4DF8" w:rsidP="00A73737">
            <w:pPr>
              <w:pStyle w:val="72TabletextTablesTableFigureBoxstyles"/>
              <w:rPr>
                <w:lang w:eastAsia="en-GB"/>
              </w:rPr>
            </w:pPr>
            <w:r w:rsidRPr="00C1603D">
              <w:rPr>
                <w:lang w:eastAsia="en-GB"/>
              </w:rPr>
              <w:t>Cardiovascular disease</w:t>
            </w:r>
          </w:p>
        </w:tc>
        <w:tc>
          <w:tcPr>
            <w:tcW w:w="0" w:type="auto"/>
            <w:shd w:val="clear" w:color="auto" w:fill="auto"/>
          </w:tcPr>
          <w:p w14:paraId="066DAD7E" w14:textId="62314E87" w:rsidR="008B4DF8" w:rsidRPr="00C1603D" w:rsidRDefault="008B4DF8" w:rsidP="00A73737">
            <w:pPr>
              <w:pStyle w:val="72TabletextTablesTableFigureBoxstyles"/>
              <w:rPr>
                <w:lang w:eastAsia="en-GB"/>
              </w:rPr>
            </w:pPr>
            <w:r w:rsidRPr="00C1603D">
              <w:rPr>
                <w:lang w:eastAsia="en-GB"/>
              </w:rPr>
              <w:t xml:space="preserve">Includes </w:t>
            </w:r>
            <w:r w:rsidR="00BA6139" w:rsidRPr="00C1603D">
              <w:rPr>
                <w:lang w:eastAsia="en-GB"/>
              </w:rPr>
              <w:t>a</w:t>
            </w:r>
            <w:r w:rsidRPr="00C1603D">
              <w:rPr>
                <w:lang w:eastAsia="en-GB"/>
              </w:rPr>
              <w:t xml:space="preserve">therosclerosis/peripheral vascular disease, arterial embolism/thrombosis/stenosis; arteriosclerosis; atheroma; endarteritis; gangrene; intermittent claudication; limb ischaemia; Raynaud syndrome; vasospasm (K92); </w:t>
            </w:r>
            <w:r w:rsidR="00313668" w:rsidRPr="00C1603D">
              <w:rPr>
                <w:lang w:eastAsia="en-GB"/>
              </w:rPr>
              <w:t>a</w:t>
            </w:r>
            <w:r w:rsidRPr="00C1603D">
              <w:rPr>
                <w:lang w:eastAsia="en-GB"/>
              </w:rPr>
              <w:t xml:space="preserve">cute myocardial infarction (K75); </w:t>
            </w:r>
            <w:r w:rsidR="00313668" w:rsidRPr="00C1603D">
              <w:rPr>
                <w:lang w:eastAsia="en-GB"/>
              </w:rPr>
              <w:t>i</w:t>
            </w:r>
            <w:r w:rsidRPr="00C1603D">
              <w:rPr>
                <w:lang w:eastAsia="en-GB"/>
              </w:rPr>
              <w:t xml:space="preserve">schaemic heart disease with angina, angina of effort; angina pectoris; angina with spasm; ischaemic chest pain; unstable angina (K74); </w:t>
            </w:r>
            <w:r w:rsidR="00313668" w:rsidRPr="00C1603D">
              <w:rPr>
                <w:lang w:eastAsia="en-GB"/>
              </w:rPr>
              <w:t>i</w:t>
            </w:r>
            <w:r w:rsidRPr="00C1603D">
              <w:rPr>
                <w:lang w:eastAsia="en-GB"/>
              </w:rPr>
              <w:t xml:space="preserve">schaemic heart disease without angina, aneurysm of heart; arteriosclerotic/atherosclerotic heart disease; coronary artery disease; ischaemic cardiomyopathy; old myocardial infarction; silent myocardial ischaemia (K76); </w:t>
            </w:r>
            <w:r w:rsidR="00FB65EF" w:rsidRPr="00C1603D">
              <w:rPr>
                <w:lang w:eastAsia="en-GB"/>
              </w:rPr>
              <w:t>s</w:t>
            </w:r>
            <w:r w:rsidRPr="00C1603D">
              <w:rPr>
                <w:lang w:eastAsia="en-GB"/>
              </w:rPr>
              <w:t xml:space="preserve">troke/cerebrovascular accident, apoplexy; cerebral embolism/infarction/thrombosis/occlusion/stenosis/haemorrhage; cerebrovascular accident; subarachnoid haemorrhage (K90); </w:t>
            </w:r>
            <w:r w:rsidR="00FB65EF" w:rsidRPr="00C1603D">
              <w:rPr>
                <w:lang w:eastAsia="en-GB"/>
              </w:rPr>
              <w:t>t</w:t>
            </w:r>
            <w:r w:rsidRPr="00C1603D">
              <w:rPr>
                <w:lang w:eastAsia="en-GB"/>
              </w:rPr>
              <w:t>ransient cerebral ischaemia, basilar insufficiency; drop attacks; transient global amnesia; transient ischaemic attack (K89)</w:t>
            </w:r>
          </w:p>
        </w:tc>
        <w:tc>
          <w:tcPr>
            <w:tcW w:w="0" w:type="auto"/>
            <w:shd w:val="clear" w:color="auto" w:fill="auto"/>
          </w:tcPr>
          <w:p w14:paraId="38A55CCB" w14:textId="12D29830" w:rsidR="008B4DF8" w:rsidRPr="00C1603D" w:rsidRDefault="007F5C75" w:rsidP="00A73737">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3AE59D0E" w14:textId="60724236" w:rsidR="008B4DF8" w:rsidRPr="00C1603D" w:rsidRDefault="008B4DF8" w:rsidP="00A73737">
            <w:pPr>
              <w:pStyle w:val="72TabletextTablesTableFigureBoxstyles"/>
              <w:rPr>
                <w:lang w:eastAsia="en-GB"/>
              </w:rPr>
            </w:pPr>
          </w:p>
        </w:tc>
        <w:tc>
          <w:tcPr>
            <w:tcW w:w="0" w:type="auto"/>
            <w:shd w:val="clear" w:color="auto" w:fill="auto"/>
          </w:tcPr>
          <w:p w14:paraId="15C6FC9A" w14:textId="302D99CE" w:rsidR="008B4DF8" w:rsidRPr="00C1603D" w:rsidRDefault="008B4DF8" w:rsidP="00A73737">
            <w:pPr>
              <w:pStyle w:val="72TabletextTablesTableFigureBoxstyles"/>
              <w:rPr>
                <w:lang w:eastAsia="en-GB"/>
              </w:rPr>
            </w:pPr>
          </w:p>
        </w:tc>
        <w:tc>
          <w:tcPr>
            <w:tcW w:w="0" w:type="auto"/>
            <w:shd w:val="clear" w:color="auto" w:fill="auto"/>
          </w:tcPr>
          <w:p w14:paraId="0DD5639C" w14:textId="3FF18950" w:rsidR="008B4DF8" w:rsidRPr="00C1603D" w:rsidRDefault="008B4DF8" w:rsidP="00A73737">
            <w:pPr>
              <w:pStyle w:val="72TabletextTablesTableFigureBoxstyles"/>
              <w:rPr>
                <w:lang w:eastAsia="en-GB"/>
              </w:rPr>
            </w:pPr>
          </w:p>
        </w:tc>
      </w:tr>
      <w:tr w:rsidR="007F5C75" w:rsidRPr="00C1603D" w14:paraId="42853FAD" w14:textId="77777777" w:rsidTr="00A73737">
        <w:trPr>
          <w:cantSplit/>
        </w:trPr>
        <w:tc>
          <w:tcPr>
            <w:tcW w:w="0" w:type="auto"/>
            <w:shd w:val="clear" w:color="auto" w:fill="auto"/>
          </w:tcPr>
          <w:p w14:paraId="15E7210F" w14:textId="77777777" w:rsidR="007F5C75" w:rsidRPr="00C1603D" w:rsidRDefault="007F5C75" w:rsidP="007F5C75">
            <w:pPr>
              <w:pStyle w:val="72TabletextTablesTableFigureBoxstyles"/>
              <w:rPr>
                <w:lang w:eastAsia="en-GB"/>
              </w:rPr>
            </w:pPr>
            <w:r w:rsidRPr="00C1603D">
              <w:rPr>
                <w:lang w:eastAsia="en-GB"/>
              </w:rPr>
              <w:t>Chronic liver disease</w:t>
            </w:r>
          </w:p>
        </w:tc>
        <w:tc>
          <w:tcPr>
            <w:tcW w:w="0" w:type="auto"/>
            <w:shd w:val="clear" w:color="auto" w:fill="auto"/>
          </w:tcPr>
          <w:p w14:paraId="5EEBE881" w14:textId="728399A1" w:rsidR="007F5C75" w:rsidRPr="00C1603D" w:rsidRDefault="007F5C75" w:rsidP="007F5C75">
            <w:pPr>
              <w:pStyle w:val="72TabletextTablesTableFigureBoxstyles"/>
              <w:rPr>
                <w:lang w:eastAsia="en-GB"/>
              </w:rPr>
            </w:pPr>
            <w:r w:rsidRPr="00C1603D">
              <w:rPr>
                <w:lang w:eastAsia="en-GB"/>
              </w:rPr>
              <w:t xml:space="preserve">Includes </w:t>
            </w:r>
            <w:r w:rsidR="00B04119" w:rsidRPr="00C1603D">
              <w:rPr>
                <w:lang w:eastAsia="en-GB"/>
              </w:rPr>
              <w:t>l</w:t>
            </w:r>
            <w:r w:rsidRPr="00C1603D">
              <w:rPr>
                <w:lang w:eastAsia="en-GB"/>
              </w:rPr>
              <w:t xml:space="preserve">iver disease NOS, alcohol hepatitis; cirrhosis; fatty liver; hepatitis NOS; liver failure; portal hypertension (D97); </w:t>
            </w:r>
            <w:r w:rsidR="00647225" w:rsidRPr="00C1603D">
              <w:rPr>
                <w:lang w:eastAsia="en-GB"/>
              </w:rPr>
              <w:t>v</w:t>
            </w:r>
            <w:r w:rsidRPr="00C1603D">
              <w:rPr>
                <w:lang w:eastAsia="en-GB"/>
              </w:rPr>
              <w:t>iral hepatitis (D72)</w:t>
            </w:r>
          </w:p>
        </w:tc>
        <w:tc>
          <w:tcPr>
            <w:tcW w:w="0" w:type="auto"/>
            <w:shd w:val="clear" w:color="auto" w:fill="auto"/>
          </w:tcPr>
          <w:p w14:paraId="1B439593" w14:textId="4B18CD8F"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0ACDF3C9" w14:textId="77777777" w:rsidR="007F5C75" w:rsidRPr="00C1603D" w:rsidRDefault="007F5C75" w:rsidP="007F5C75">
            <w:pPr>
              <w:pStyle w:val="72TabletextTablesTableFigureBoxstyles"/>
              <w:rPr>
                <w:lang w:eastAsia="en-GB"/>
              </w:rPr>
            </w:pPr>
          </w:p>
        </w:tc>
        <w:tc>
          <w:tcPr>
            <w:tcW w:w="0" w:type="auto"/>
            <w:shd w:val="clear" w:color="auto" w:fill="auto"/>
          </w:tcPr>
          <w:p w14:paraId="1A0E0F28" w14:textId="7B72757C"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286840A8" w14:textId="5E6DC11A"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705CF627" w14:textId="77777777" w:rsidTr="00A73737">
        <w:trPr>
          <w:cantSplit/>
        </w:trPr>
        <w:tc>
          <w:tcPr>
            <w:tcW w:w="0" w:type="auto"/>
            <w:shd w:val="clear" w:color="auto" w:fill="auto"/>
          </w:tcPr>
          <w:p w14:paraId="0CE8B71A" w14:textId="77777777" w:rsidR="008B4DF8" w:rsidRPr="00C1603D" w:rsidRDefault="008B4DF8" w:rsidP="00A73737">
            <w:pPr>
              <w:pStyle w:val="72TabletextTablesTableFigureBoxstyles"/>
              <w:rPr>
                <w:lang w:eastAsia="en-GB"/>
              </w:rPr>
            </w:pPr>
            <w:r w:rsidRPr="00C1603D">
              <w:rPr>
                <w:lang w:eastAsia="en-GB"/>
              </w:rPr>
              <w:t>Delayed puberty</w:t>
            </w:r>
          </w:p>
        </w:tc>
        <w:tc>
          <w:tcPr>
            <w:tcW w:w="0" w:type="auto"/>
            <w:shd w:val="clear" w:color="auto" w:fill="auto"/>
          </w:tcPr>
          <w:p w14:paraId="56C51F75" w14:textId="038E0588" w:rsidR="008B4DF8" w:rsidRPr="00C1603D" w:rsidRDefault="008B4DF8" w:rsidP="00A73737">
            <w:pPr>
              <w:pStyle w:val="72TabletextTablesTableFigureBoxstyles"/>
              <w:rPr>
                <w:lang w:eastAsia="en-GB"/>
              </w:rPr>
            </w:pPr>
            <w:r w:rsidRPr="00C1603D">
              <w:rPr>
                <w:lang w:eastAsia="en-GB"/>
              </w:rPr>
              <w:t>Delayed puberty is when boys have no signs of testicular development by 14 years of age</w:t>
            </w:r>
            <w:r w:rsidR="00542494" w:rsidRPr="00C1603D">
              <w:rPr>
                <w:lang w:eastAsia="en-GB"/>
              </w:rPr>
              <w:t>, and when</w:t>
            </w:r>
            <w:r w:rsidRPr="00C1603D">
              <w:rPr>
                <w:lang w:eastAsia="en-GB"/>
              </w:rPr>
              <w:t xml:space="preserve"> girls have not started to develop breasts by 13 years of age, or they have developed breasts, but their periods have not started by 15</w:t>
            </w:r>
            <w:r w:rsidR="00542494" w:rsidRPr="00C1603D">
              <w:rPr>
                <w:lang w:eastAsia="en-GB"/>
              </w:rPr>
              <w:t xml:space="preserve"> years of age</w:t>
            </w:r>
            <w:r w:rsidRPr="00C1603D">
              <w:rPr>
                <w:lang w:eastAsia="en-GB"/>
              </w:rPr>
              <w:t xml:space="preserve"> (NHS)</w:t>
            </w:r>
          </w:p>
        </w:tc>
        <w:tc>
          <w:tcPr>
            <w:tcW w:w="0" w:type="auto"/>
            <w:shd w:val="clear" w:color="auto" w:fill="auto"/>
          </w:tcPr>
          <w:p w14:paraId="6354C27D" w14:textId="5FE9F96F" w:rsidR="008B4DF8" w:rsidRPr="00C1603D" w:rsidRDefault="008B4DF8" w:rsidP="00A73737">
            <w:pPr>
              <w:pStyle w:val="72TabletextTablesTableFigureBoxstyles"/>
              <w:rPr>
                <w:lang w:eastAsia="en-GB"/>
              </w:rPr>
            </w:pPr>
          </w:p>
        </w:tc>
        <w:tc>
          <w:tcPr>
            <w:tcW w:w="0" w:type="auto"/>
            <w:shd w:val="clear" w:color="auto" w:fill="auto"/>
          </w:tcPr>
          <w:p w14:paraId="45B62055" w14:textId="1A62EB4F" w:rsidR="008B4DF8" w:rsidRPr="00C1603D" w:rsidRDefault="008B4DF8" w:rsidP="00A73737">
            <w:pPr>
              <w:pStyle w:val="72TabletextTablesTableFigureBoxstyles"/>
              <w:rPr>
                <w:lang w:eastAsia="en-GB"/>
              </w:rPr>
            </w:pPr>
          </w:p>
        </w:tc>
        <w:tc>
          <w:tcPr>
            <w:tcW w:w="0" w:type="auto"/>
            <w:shd w:val="clear" w:color="auto" w:fill="auto"/>
          </w:tcPr>
          <w:p w14:paraId="77033E6F" w14:textId="166DD357" w:rsidR="008B4DF8" w:rsidRPr="00C1603D" w:rsidRDefault="007F5C75" w:rsidP="00A73737">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527F1532" w14:textId="2E12F8F5" w:rsidR="008B4DF8" w:rsidRPr="00C1603D" w:rsidRDefault="008B4DF8" w:rsidP="00A73737">
            <w:pPr>
              <w:pStyle w:val="72TabletextTablesTableFigureBoxstyles"/>
              <w:rPr>
                <w:lang w:eastAsia="en-GB"/>
              </w:rPr>
            </w:pPr>
          </w:p>
        </w:tc>
      </w:tr>
      <w:tr w:rsidR="007F5C75" w:rsidRPr="00C1603D" w14:paraId="35DAB3D7" w14:textId="77777777" w:rsidTr="00A73737">
        <w:trPr>
          <w:cantSplit/>
        </w:trPr>
        <w:tc>
          <w:tcPr>
            <w:tcW w:w="0" w:type="auto"/>
            <w:shd w:val="clear" w:color="auto" w:fill="auto"/>
          </w:tcPr>
          <w:p w14:paraId="395C31F3" w14:textId="77777777" w:rsidR="007F5C75" w:rsidRPr="00C1603D" w:rsidRDefault="007F5C75" w:rsidP="007F5C75">
            <w:pPr>
              <w:pStyle w:val="72TabletextTablesTableFigureBoxstyles"/>
              <w:rPr>
                <w:lang w:eastAsia="en-GB"/>
              </w:rPr>
            </w:pPr>
            <w:r w:rsidRPr="00C1603D">
              <w:rPr>
                <w:lang w:eastAsia="en-GB"/>
              </w:rPr>
              <w:t>Dental enamel defects</w:t>
            </w:r>
          </w:p>
        </w:tc>
        <w:tc>
          <w:tcPr>
            <w:tcW w:w="0" w:type="auto"/>
            <w:shd w:val="clear" w:color="auto" w:fill="auto"/>
          </w:tcPr>
          <w:p w14:paraId="20F513D1" w14:textId="77777777" w:rsidR="007F5C75" w:rsidRPr="00C1603D" w:rsidRDefault="007F5C75" w:rsidP="007F5C75">
            <w:pPr>
              <w:pStyle w:val="72TabletextTablesTableFigureBoxstyles"/>
              <w:rPr>
                <w:lang w:eastAsia="en-GB"/>
              </w:rPr>
            </w:pPr>
            <w:r w:rsidRPr="00C1603D">
              <w:rPr>
                <w:lang w:eastAsia="en-GB"/>
              </w:rPr>
              <w:t>Enamel hypoplasia, dental enamel defects</w:t>
            </w:r>
          </w:p>
        </w:tc>
        <w:tc>
          <w:tcPr>
            <w:tcW w:w="0" w:type="auto"/>
            <w:shd w:val="clear" w:color="auto" w:fill="auto"/>
          </w:tcPr>
          <w:p w14:paraId="7505F8E9" w14:textId="77777777" w:rsidR="007F5C75" w:rsidRPr="00C1603D" w:rsidRDefault="007F5C75" w:rsidP="007F5C75">
            <w:pPr>
              <w:pStyle w:val="72TabletextTablesTableFigureBoxstyles"/>
              <w:rPr>
                <w:lang w:eastAsia="en-GB"/>
              </w:rPr>
            </w:pPr>
          </w:p>
        </w:tc>
        <w:tc>
          <w:tcPr>
            <w:tcW w:w="0" w:type="auto"/>
            <w:shd w:val="clear" w:color="auto" w:fill="auto"/>
          </w:tcPr>
          <w:p w14:paraId="012B077F" w14:textId="789DB35C"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6ACB488F" w14:textId="3D6BDC09"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13AB8359" w14:textId="2A9DCA19"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4B257256" w14:textId="77777777" w:rsidTr="00A73737">
        <w:trPr>
          <w:cantSplit/>
        </w:trPr>
        <w:tc>
          <w:tcPr>
            <w:tcW w:w="0" w:type="auto"/>
            <w:shd w:val="clear" w:color="auto" w:fill="auto"/>
          </w:tcPr>
          <w:p w14:paraId="22321606" w14:textId="77777777" w:rsidR="007F5C75" w:rsidRPr="00C1603D" w:rsidRDefault="007F5C75" w:rsidP="007F5C75">
            <w:pPr>
              <w:pStyle w:val="72TabletextTablesTableFigureBoxstyles"/>
              <w:rPr>
                <w:lang w:eastAsia="en-GB"/>
              </w:rPr>
            </w:pPr>
            <w:r w:rsidRPr="00C1603D">
              <w:rPr>
                <w:lang w:eastAsia="en-GB"/>
              </w:rPr>
              <w:t>Down syndrome</w:t>
            </w:r>
          </w:p>
        </w:tc>
        <w:tc>
          <w:tcPr>
            <w:tcW w:w="0" w:type="auto"/>
            <w:shd w:val="clear" w:color="auto" w:fill="auto"/>
          </w:tcPr>
          <w:p w14:paraId="7683B2A0" w14:textId="77777777" w:rsidR="007F5C75" w:rsidRPr="00C1603D" w:rsidRDefault="007F5C75" w:rsidP="007F5C75">
            <w:pPr>
              <w:pStyle w:val="72TabletextTablesTableFigureBoxstyles"/>
              <w:rPr>
                <w:lang w:eastAsia="en-GB"/>
              </w:rPr>
            </w:pPr>
            <w:r w:rsidRPr="00C1603D">
              <w:rPr>
                <w:lang w:eastAsia="en-GB"/>
              </w:rPr>
              <w:t>Down syndrome</w:t>
            </w:r>
          </w:p>
        </w:tc>
        <w:tc>
          <w:tcPr>
            <w:tcW w:w="0" w:type="auto"/>
            <w:shd w:val="clear" w:color="auto" w:fill="auto"/>
          </w:tcPr>
          <w:p w14:paraId="3568AB26" w14:textId="28E59C7B" w:rsidR="007F5C75" w:rsidRPr="00C1603D" w:rsidRDefault="007F5C75" w:rsidP="007F5C75">
            <w:pPr>
              <w:pStyle w:val="72TabletextTablesTableFigureBoxstyles"/>
              <w:rPr>
                <w:lang w:eastAsia="en-GB"/>
              </w:rPr>
            </w:pPr>
          </w:p>
        </w:tc>
        <w:tc>
          <w:tcPr>
            <w:tcW w:w="0" w:type="auto"/>
            <w:shd w:val="clear" w:color="auto" w:fill="auto"/>
          </w:tcPr>
          <w:p w14:paraId="0B7A9092" w14:textId="1C3575DF"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7808FA9E" w14:textId="0BD89079"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0B83677A" w14:textId="0EC1D8F2"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5215BDDE" w14:textId="77777777" w:rsidTr="00A73737">
        <w:trPr>
          <w:cantSplit/>
        </w:trPr>
        <w:tc>
          <w:tcPr>
            <w:tcW w:w="0" w:type="auto"/>
            <w:shd w:val="clear" w:color="auto" w:fill="auto"/>
          </w:tcPr>
          <w:p w14:paraId="76A01DDD" w14:textId="77777777" w:rsidR="008B4DF8" w:rsidRPr="00C1603D" w:rsidRDefault="008B4DF8" w:rsidP="00A73737">
            <w:pPr>
              <w:pStyle w:val="72TabletextTablesTableFigureBoxstyles"/>
              <w:rPr>
                <w:lang w:eastAsia="en-GB"/>
              </w:rPr>
            </w:pPr>
            <w:r w:rsidRPr="00C1603D">
              <w:rPr>
                <w:lang w:eastAsia="en-GB"/>
              </w:rPr>
              <w:t>Epilepsy</w:t>
            </w:r>
          </w:p>
        </w:tc>
        <w:tc>
          <w:tcPr>
            <w:tcW w:w="0" w:type="auto"/>
            <w:shd w:val="clear" w:color="auto" w:fill="auto"/>
          </w:tcPr>
          <w:p w14:paraId="77A69234" w14:textId="30757BBE" w:rsidR="008B4DF8" w:rsidRPr="00C1603D" w:rsidRDefault="008B4DF8" w:rsidP="00A73737">
            <w:pPr>
              <w:pStyle w:val="72TabletextTablesTableFigureBoxstyles"/>
              <w:rPr>
                <w:lang w:eastAsia="en-GB"/>
              </w:rPr>
            </w:pPr>
            <w:r w:rsidRPr="00C1603D">
              <w:rPr>
                <w:lang w:eastAsia="en-GB"/>
              </w:rPr>
              <w:t xml:space="preserve">Includes </w:t>
            </w:r>
            <w:r w:rsidR="00542494" w:rsidRPr="00C1603D">
              <w:rPr>
                <w:lang w:eastAsia="en-GB"/>
              </w:rPr>
              <w:t>a</w:t>
            </w:r>
            <w:r w:rsidRPr="00C1603D">
              <w:rPr>
                <w:lang w:eastAsia="en-GB"/>
              </w:rPr>
              <w:t xml:space="preserve">ll types of epilepsy, focal seizures; generalised seizures; grand mal; petit mal; status epilepticus (N88), convulsion </w:t>
            </w:r>
            <w:r w:rsidR="00542494" w:rsidRPr="00C1603D">
              <w:rPr>
                <w:lang w:eastAsia="en-GB"/>
              </w:rPr>
              <w:t>(</w:t>
            </w:r>
            <w:r w:rsidRPr="00C1603D">
              <w:rPr>
                <w:lang w:eastAsia="en-GB"/>
              </w:rPr>
              <w:t>N0</w:t>
            </w:r>
            <w:r w:rsidR="00542494" w:rsidRPr="00C1603D">
              <w:rPr>
                <w:lang w:eastAsia="en-GB"/>
              </w:rPr>
              <w:t>)</w:t>
            </w:r>
            <w:proofErr w:type="gramStart"/>
            <w:r w:rsidRPr="00C1603D">
              <w:rPr>
                <w:lang w:eastAsia="en-GB"/>
              </w:rPr>
              <w:t>7</w:t>
            </w:r>
            <w:proofErr w:type="gramEnd"/>
          </w:p>
        </w:tc>
        <w:tc>
          <w:tcPr>
            <w:tcW w:w="0" w:type="auto"/>
            <w:shd w:val="clear" w:color="auto" w:fill="auto"/>
          </w:tcPr>
          <w:p w14:paraId="4C43DCE3" w14:textId="461D84B8" w:rsidR="008B4DF8" w:rsidRPr="00C1603D" w:rsidRDefault="007F5C75" w:rsidP="00A73737">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627DBE04" w14:textId="77777777" w:rsidR="008B4DF8" w:rsidRPr="00C1603D" w:rsidRDefault="008B4DF8" w:rsidP="00A73737">
            <w:pPr>
              <w:pStyle w:val="72TabletextTablesTableFigureBoxstyles"/>
              <w:rPr>
                <w:lang w:eastAsia="en-GB"/>
              </w:rPr>
            </w:pPr>
          </w:p>
        </w:tc>
        <w:tc>
          <w:tcPr>
            <w:tcW w:w="0" w:type="auto"/>
            <w:shd w:val="clear" w:color="auto" w:fill="auto"/>
          </w:tcPr>
          <w:p w14:paraId="0CEF7938" w14:textId="77777777" w:rsidR="008B4DF8" w:rsidRPr="00C1603D" w:rsidRDefault="008B4DF8" w:rsidP="00A73737">
            <w:pPr>
              <w:pStyle w:val="72TabletextTablesTableFigureBoxstyles"/>
              <w:rPr>
                <w:lang w:eastAsia="en-GB"/>
              </w:rPr>
            </w:pPr>
          </w:p>
        </w:tc>
        <w:tc>
          <w:tcPr>
            <w:tcW w:w="0" w:type="auto"/>
            <w:shd w:val="clear" w:color="auto" w:fill="auto"/>
          </w:tcPr>
          <w:p w14:paraId="5A0A240C" w14:textId="64BC2C62" w:rsidR="008B4DF8" w:rsidRPr="00C1603D" w:rsidRDefault="007F5C75" w:rsidP="00A73737">
            <w:pPr>
              <w:pStyle w:val="72TabletextTablesTableFigureBoxstyles"/>
              <w:rPr>
                <w:lang w:eastAsia="en-GB"/>
              </w:rPr>
            </w:pPr>
            <w:r w:rsidRPr="00C1603D">
              <w:rPr>
                <w:rFonts w:ascii="Segoe UI Symbol" w:hAnsi="Segoe UI Symbol" w:cs="Segoe UI Symbol"/>
              </w:rPr>
              <w:t>✗</w:t>
            </w:r>
          </w:p>
        </w:tc>
      </w:tr>
      <w:tr w:rsidR="007F5C75" w:rsidRPr="00C1603D" w14:paraId="6CAE49D2" w14:textId="77777777" w:rsidTr="00A73737">
        <w:trPr>
          <w:cantSplit/>
        </w:trPr>
        <w:tc>
          <w:tcPr>
            <w:tcW w:w="0" w:type="auto"/>
            <w:vMerge w:val="restart"/>
            <w:shd w:val="clear" w:color="auto" w:fill="auto"/>
          </w:tcPr>
          <w:p w14:paraId="2721E1DD" w14:textId="2618F02E" w:rsidR="007F5C75" w:rsidRPr="00C1603D" w:rsidRDefault="007F5C75" w:rsidP="007F5C75">
            <w:pPr>
              <w:pStyle w:val="72TabletextTablesTableFigureBoxstyles"/>
              <w:rPr>
                <w:lang w:eastAsia="en-GB"/>
              </w:rPr>
            </w:pPr>
            <w:r w:rsidRPr="00C1603D">
              <w:rPr>
                <w:lang w:eastAsia="en-GB"/>
              </w:rPr>
              <w:t>Failure to thrive</w:t>
            </w:r>
          </w:p>
        </w:tc>
        <w:tc>
          <w:tcPr>
            <w:tcW w:w="0" w:type="auto"/>
            <w:shd w:val="clear" w:color="auto" w:fill="auto"/>
          </w:tcPr>
          <w:p w14:paraId="59E2AA8F" w14:textId="25C2EB7B" w:rsidR="007F5C75" w:rsidRPr="00C1603D" w:rsidRDefault="007F5C75" w:rsidP="007F5C75">
            <w:pPr>
              <w:pStyle w:val="72TabletextTablesTableFigureBoxstyles"/>
              <w:rPr>
                <w:lang w:eastAsia="en-GB"/>
              </w:rPr>
            </w:pPr>
            <w:r w:rsidRPr="00C1603D">
              <w:rPr>
                <w:lang w:eastAsia="en-GB"/>
              </w:rPr>
              <w:t>Includes failure to thrive, physiological delay growth (T10)</w:t>
            </w:r>
          </w:p>
        </w:tc>
        <w:tc>
          <w:tcPr>
            <w:tcW w:w="0" w:type="auto"/>
            <w:vMerge w:val="restart"/>
            <w:shd w:val="clear" w:color="auto" w:fill="auto"/>
          </w:tcPr>
          <w:p w14:paraId="67B61088" w14:textId="0BB0ED7C" w:rsidR="007F5C75" w:rsidRPr="00C1603D" w:rsidRDefault="007F5C75" w:rsidP="007F5C75">
            <w:pPr>
              <w:pStyle w:val="72TabletextTablesTableFigureBoxstyles"/>
              <w:rPr>
                <w:lang w:eastAsia="en-GB"/>
              </w:rPr>
            </w:pPr>
          </w:p>
        </w:tc>
        <w:tc>
          <w:tcPr>
            <w:tcW w:w="0" w:type="auto"/>
            <w:vMerge w:val="restart"/>
            <w:shd w:val="clear" w:color="auto" w:fill="auto"/>
          </w:tcPr>
          <w:p w14:paraId="4EA5106A" w14:textId="4A2E497C"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2D7398A3" w14:textId="7FEB0B7D"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46B36ECB" w14:textId="56997079"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15E18979" w14:textId="77777777" w:rsidTr="00A73737">
        <w:trPr>
          <w:cantSplit/>
        </w:trPr>
        <w:tc>
          <w:tcPr>
            <w:tcW w:w="0" w:type="auto"/>
            <w:vMerge/>
            <w:shd w:val="clear" w:color="auto" w:fill="auto"/>
          </w:tcPr>
          <w:p w14:paraId="7552E297" w14:textId="77777777" w:rsidR="008B4DF8" w:rsidRPr="00C1603D" w:rsidRDefault="008B4DF8" w:rsidP="00A73737">
            <w:pPr>
              <w:pStyle w:val="72TabletextTablesTableFigureBoxstyles"/>
              <w:rPr>
                <w:lang w:eastAsia="en-GB"/>
              </w:rPr>
            </w:pPr>
          </w:p>
        </w:tc>
        <w:tc>
          <w:tcPr>
            <w:tcW w:w="0" w:type="auto"/>
            <w:shd w:val="clear" w:color="auto" w:fill="auto"/>
          </w:tcPr>
          <w:p w14:paraId="07CBAAE1" w14:textId="74F20B03" w:rsidR="008B4DF8" w:rsidRPr="00C1603D" w:rsidRDefault="008B4DF8" w:rsidP="00A73737">
            <w:pPr>
              <w:pStyle w:val="72TabletextTablesTableFigureBoxstyles"/>
              <w:rPr>
                <w:lang w:eastAsia="en-GB"/>
              </w:rPr>
            </w:pPr>
            <w:r w:rsidRPr="00C1603D">
              <w:rPr>
                <w:lang w:eastAsia="en-GB"/>
              </w:rPr>
              <w:t xml:space="preserve">Excludes delayed milestones </w:t>
            </w:r>
            <w:r w:rsidR="00542494" w:rsidRPr="00C1603D">
              <w:rPr>
                <w:lang w:eastAsia="en-GB"/>
              </w:rPr>
              <w:t>(</w:t>
            </w:r>
            <w:r w:rsidRPr="00C1603D">
              <w:rPr>
                <w:lang w:eastAsia="en-GB"/>
              </w:rPr>
              <w:t>P22</w:t>
            </w:r>
            <w:r w:rsidR="00542494" w:rsidRPr="00C1603D">
              <w:rPr>
                <w:lang w:eastAsia="en-GB"/>
              </w:rPr>
              <w:t>)</w:t>
            </w:r>
            <w:r w:rsidRPr="00C1603D">
              <w:rPr>
                <w:lang w:eastAsia="en-GB"/>
              </w:rPr>
              <w:t xml:space="preserve">; learning disorder </w:t>
            </w:r>
            <w:r w:rsidR="00542494" w:rsidRPr="00C1603D">
              <w:rPr>
                <w:lang w:eastAsia="en-GB"/>
              </w:rPr>
              <w:t>(</w:t>
            </w:r>
            <w:r w:rsidRPr="00C1603D">
              <w:rPr>
                <w:lang w:eastAsia="en-GB"/>
              </w:rPr>
              <w:t>P24</w:t>
            </w:r>
            <w:r w:rsidR="00542494" w:rsidRPr="00C1603D">
              <w:rPr>
                <w:lang w:eastAsia="en-GB"/>
              </w:rPr>
              <w:t>)</w:t>
            </w:r>
            <w:r w:rsidRPr="00C1603D">
              <w:rPr>
                <w:lang w:eastAsia="en-GB"/>
              </w:rPr>
              <w:t xml:space="preserve">; mental retardation </w:t>
            </w:r>
            <w:r w:rsidR="00542494" w:rsidRPr="00C1603D">
              <w:rPr>
                <w:lang w:eastAsia="en-GB"/>
              </w:rPr>
              <w:t>(</w:t>
            </w:r>
            <w:r w:rsidRPr="00C1603D">
              <w:rPr>
                <w:lang w:eastAsia="en-GB"/>
              </w:rPr>
              <w:t>P85</w:t>
            </w:r>
            <w:r w:rsidR="00542494" w:rsidRPr="00C1603D">
              <w:rPr>
                <w:lang w:eastAsia="en-GB"/>
              </w:rPr>
              <w:t>)</w:t>
            </w:r>
            <w:r w:rsidRPr="00C1603D">
              <w:rPr>
                <w:lang w:eastAsia="en-GB"/>
              </w:rPr>
              <w:t xml:space="preserve">; delayed puberty </w:t>
            </w:r>
            <w:r w:rsidR="00542494" w:rsidRPr="00C1603D">
              <w:rPr>
                <w:lang w:eastAsia="en-GB"/>
              </w:rPr>
              <w:t>(</w:t>
            </w:r>
            <w:r w:rsidRPr="00C1603D">
              <w:rPr>
                <w:lang w:eastAsia="en-GB"/>
              </w:rPr>
              <w:t>T99</w:t>
            </w:r>
            <w:r w:rsidR="00542494" w:rsidRPr="00C1603D">
              <w:rPr>
                <w:lang w:eastAsia="en-GB"/>
              </w:rPr>
              <w:t>)</w:t>
            </w:r>
          </w:p>
        </w:tc>
        <w:tc>
          <w:tcPr>
            <w:tcW w:w="0" w:type="auto"/>
            <w:vMerge/>
            <w:shd w:val="clear" w:color="auto" w:fill="auto"/>
          </w:tcPr>
          <w:p w14:paraId="2B671C22" w14:textId="77777777" w:rsidR="008B4DF8" w:rsidRPr="00C1603D" w:rsidRDefault="008B4DF8" w:rsidP="00A73737">
            <w:pPr>
              <w:pStyle w:val="72TabletextTablesTableFigureBoxstyles"/>
              <w:rPr>
                <w:lang w:eastAsia="en-GB"/>
              </w:rPr>
            </w:pPr>
          </w:p>
        </w:tc>
        <w:tc>
          <w:tcPr>
            <w:tcW w:w="0" w:type="auto"/>
            <w:vMerge/>
            <w:shd w:val="clear" w:color="auto" w:fill="auto"/>
          </w:tcPr>
          <w:p w14:paraId="2DAF0624" w14:textId="77777777" w:rsidR="008B4DF8" w:rsidRPr="00C1603D" w:rsidRDefault="008B4DF8" w:rsidP="00A73737">
            <w:pPr>
              <w:pStyle w:val="72TabletextTablesTableFigureBoxstyles"/>
              <w:rPr>
                <w:lang w:eastAsia="en-GB"/>
              </w:rPr>
            </w:pPr>
          </w:p>
        </w:tc>
        <w:tc>
          <w:tcPr>
            <w:tcW w:w="0" w:type="auto"/>
            <w:vMerge/>
            <w:shd w:val="clear" w:color="auto" w:fill="auto"/>
          </w:tcPr>
          <w:p w14:paraId="2E8B58FD" w14:textId="77777777" w:rsidR="008B4DF8" w:rsidRPr="00C1603D" w:rsidRDefault="008B4DF8" w:rsidP="00A73737">
            <w:pPr>
              <w:pStyle w:val="72TabletextTablesTableFigureBoxstyles"/>
              <w:rPr>
                <w:lang w:eastAsia="en-GB"/>
              </w:rPr>
            </w:pPr>
          </w:p>
        </w:tc>
        <w:tc>
          <w:tcPr>
            <w:tcW w:w="0" w:type="auto"/>
            <w:vMerge/>
            <w:shd w:val="clear" w:color="auto" w:fill="auto"/>
          </w:tcPr>
          <w:p w14:paraId="32E1A772" w14:textId="77777777" w:rsidR="008B4DF8" w:rsidRPr="00C1603D" w:rsidRDefault="008B4DF8" w:rsidP="00A73737">
            <w:pPr>
              <w:pStyle w:val="72TabletextTablesTableFigureBoxstyles"/>
              <w:rPr>
                <w:lang w:eastAsia="en-GB"/>
              </w:rPr>
            </w:pPr>
          </w:p>
        </w:tc>
      </w:tr>
      <w:tr w:rsidR="007F5C75" w:rsidRPr="00C1603D" w14:paraId="1FDA54B5" w14:textId="77777777" w:rsidTr="00A73737">
        <w:trPr>
          <w:cantSplit/>
        </w:trPr>
        <w:tc>
          <w:tcPr>
            <w:tcW w:w="0" w:type="auto"/>
            <w:vMerge w:val="restart"/>
            <w:shd w:val="clear" w:color="auto" w:fill="auto"/>
          </w:tcPr>
          <w:p w14:paraId="08639E42" w14:textId="77777777" w:rsidR="007F5C75" w:rsidRPr="00C1603D" w:rsidRDefault="007F5C75" w:rsidP="007F5C75">
            <w:pPr>
              <w:pStyle w:val="72TabletextTablesTableFigureBoxstyles"/>
              <w:rPr>
                <w:lang w:eastAsia="en-GB"/>
              </w:rPr>
            </w:pPr>
            <w:r w:rsidRPr="00C1603D">
              <w:rPr>
                <w:lang w:eastAsia="en-GB"/>
              </w:rPr>
              <w:t>Fatigue</w:t>
            </w:r>
          </w:p>
        </w:tc>
        <w:tc>
          <w:tcPr>
            <w:tcW w:w="0" w:type="auto"/>
            <w:shd w:val="clear" w:color="auto" w:fill="auto"/>
          </w:tcPr>
          <w:p w14:paraId="70BAFF66" w14:textId="52EAB439" w:rsidR="007F5C75" w:rsidRPr="00C1603D" w:rsidRDefault="007F5C75" w:rsidP="007F5C75">
            <w:pPr>
              <w:pStyle w:val="72TabletextTablesTableFigureBoxstyles"/>
              <w:rPr>
                <w:lang w:eastAsia="en-GB"/>
              </w:rPr>
            </w:pPr>
            <w:r w:rsidRPr="00C1603D">
              <w:rPr>
                <w:lang w:eastAsia="en-GB"/>
              </w:rPr>
              <w:t xml:space="preserve">Includes </w:t>
            </w:r>
            <w:r w:rsidR="00542494" w:rsidRPr="00C1603D">
              <w:rPr>
                <w:lang w:eastAsia="en-GB"/>
              </w:rPr>
              <w:t>w</w:t>
            </w:r>
            <w:r w:rsidRPr="00C1603D">
              <w:rPr>
                <w:lang w:eastAsia="en-GB"/>
              </w:rPr>
              <w:t>eakness/tiredness general, chronic fatigue syndrome; exhaustion; fatigue; lassitude; lethargy; post viral fatigue (A04)</w:t>
            </w:r>
          </w:p>
        </w:tc>
        <w:tc>
          <w:tcPr>
            <w:tcW w:w="0" w:type="auto"/>
            <w:vMerge w:val="restart"/>
            <w:shd w:val="clear" w:color="auto" w:fill="auto"/>
          </w:tcPr>
          <w:p w14:paraId="50E4D973" w14:textId="52DEC569" w:rsidR="007F5C75" w:rsidRPr="00C1603D" w:rsidRDefault="007F5C75" w:rsidP="007F5C75">
            <w:pPr>
              <w:pStyle w:val="72TabletextTablesTableFigureBoxstyles"/>
              <w:rPr>
                <w:lang w:eastAsia="en-GB"/>
              </w:rPr>
            </w:pPr>
          </w:p>
        </w:tc>
        <w:tc>
          <w:tcPr>
            <w:tcW w:w="0" w:type="auto"/>
            <w:vMerge w:val="restart"/>
            <w:shd w:val="clear" w:color="auto" w:fill="auto"/>
          </w:tcPr>
          <w:p w14:paraId="7676F21B" w14:textId="2C0D1FF2"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4C32F423" w14:textId="461024F0"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59CCC625" w14:textId="0F5850E8"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14B60FDB" w14:textId="77777777" w:rsidTr="00A73737">
        <w:trPr>
          <w:cantSplit/>
        </w:trPr>
        <w:tc>
          <w:tcPr>
            <w:tcW w:w="0" w:type="auto"/>
            <w:vMerge/>
            <w:shd w:val="clear" w:color="auto" w:fill="auto"/>
          </w:tcPr>
          <w:p w14:paraId="15F06060" w14:textId="77777777" w:rsidR="007F5C75" w:rsidRPr="00C1603D" w:rsidRDefault="007F5C75" w:rsidP="007F5C75">
            <w:pPr>
              <w:pStyle w:val="72TabletextTablesTableFigureBoxstyles"/>
              <w:rPr>
                <w:lang w:eastAsia="en-GB"/>
              </w:rPr>
            </w:pPr>
          </w:p>
        </w:tc>
        <w:tc>
          <w:tcPr>
            <w:tcW w:w="0" w:type="auto"/>
            <w:shd w:val="clear" w:color="auto" w:fill="auto"/>
          </w:tcPr>
          <w:p w14:paraId="41ADF454" w14:textId="2B13E5BB" w:rsidR="007F5C75" w:rsidRPr="00C1603D" w:rsidRDefault="007F5C75" w:rsidP="007F5C75">
            <w:pPr>
              <w:pStyle w:val="72TabletextTablesTableFigureBoxstyles"/>
              <w:rPr>
                <w:lang w:eastAsia="en-GB"/>
              </w:rPr>
            </w:pPr>
            <w:r w:rsidRPr="00C1603D">
              <w:rPr>
                <w:lang w:eastAsia="en-GB"/>
              </w:rPr>
              <w:t xml:space="preserve">Excludes malaise/feeling ill </w:t>
            </w:r>
            <w:r w:rsidR="00542494" w:rsidRPr="00C1603D">
              <w:rPr>
                <w:lang w:eastAsia="en-GB"/>
              </w:rPr>
              <w:t>(</w:t>
            </w:r>
            <w:r w:rsidRPr="00C1603D">
              <w:rPr>
                <w:lang w:eastAsia="en-GB"/>
              </w:rPr>
              <w:t>A05</w:t>
            </w:r>
            <w:r w:rsidR="00542494" w:rsidRPr="00C1603D">
              <w:rPr>
                <w:lang w:eastAsia="en-GB"/>
              </w:rPr>
              <w:t>)</w:t>
            </w:r>
            <w:r w:rsidRPr="00C1603D">
              <w:rPr>
                <w:lang w:eastAsia="en-GB"/>
              </w:rPr>
              <w:t xml:space="preserve">; drowsiness </w:t>
            </w:r>
            <w:r w:rsidR="00542494" w:rsidRPr="00C1603D">
              <w:rPr>
                <w:lang w:eastAsia="en-GB"/>
              </w:rPr>
              <w:t>(</w:t>
            </w:r>
            <w:r w:rsidRPr="00C1603D">
              <w:rPr>
                <w:lang w:eastAsia="en-GB"/>
              </w:rPr>
              <w:t>A29</w:t>
            </w:r>
            <w:r w:rsidR="00542494" w:rsidRPr="00C1603D">
              <w:rPr>
                <w:lang w:eastAsia="en-GB"/>
              </w:rPr>
              <w:t>)</w:t>
            </w:r>
            <w:r w:rsidRPr="00C1603D">
              <w:rPr>
                <w:lang w:eastAsia="en-GB"/>
              </w:rPr>
              <w:t xml:space="preserve">; heat exhaustion </w:t>
            </w:r>
            <w:r w:rsidR="00542494" w:rsidRPr="00C1603D">
              <w:rPr>
                <w:lang w:eastAsia="en-GB"/>
              </w:rPr>
              <w:t>(</w:t>
            </w:r>
            <w:r w:rsidRPr="00C1603D">
              <w:rPr>
                <w:lang w:eastAsia="en-GB"/>
              </w:rPr>
              <w:t>A88</w:t>
            </w:r>
            <w:r w:rsidR="00542494" w:rsidRPr="00C1603D">
              <w:rPr>
                <w:lang w:eastAsia="en-GB"/>
              </w:rPr>
              <w:t>)</w:t>
            </w:r>
            <w:r w:rsidRPr="00C1603D">
              <w:rPr>
                <w:lang w:eastAsia="en-GB"/>
              </w:rPr>
              <w:t xml:space="preserve">; jetlag </w:t>
            </w:r>
            <w:r w:rsidR="00542494" w:rsidRPr="00C1603D">
              <w:rPr>
                <w:lang w:eastAsia="en-GB"/>
              </w:rPr>
              <w:t>(</w:t>
            </w:r>
            <w:r w:rsidRPr="00C1603D">
              <w:rPr>
                <w:lang w:eastAsia="en-GB"/>
              </w:rPr>
              <w:t>A88</w:t>
            </w:r>
            <w:r w:rsidR="00542494" w:rsidRPr="00C1603D">
              <w:rPr>
                <w:lang w:eastAsia="en-GB"/>
              </w:rPr>
              <w:t>)</w:t>
            </w:r>
            <w:r w:rsidRPr="00C1603D">
              <w:rPr>
                <w:lang w:eastAsia="en-GB"/>
              </w:rPr>
              <w:t xml:space="preserve">; </w:t>
            </w:r>
            <w:commentRangeStart w:id="664"/>
            <w:r w:rsidR="00542494" w:rsidRPr="00C1603D">
              <w:rPr>
                <w:lang w:eastAsia="en-GB"/>
              </w:rPr>
              <w:t>s</w:t>
            </w:r>
            <w:r w:rsidRPr="00C1603D">
              <w:rPr>
                <w:lang w:eastAsia="en-GB"/>
              </w:rPr>
              <w:t xml:space="preserve">ystemic lupus erythematosus disturbance </w:t>
            </w:r>
            <w:r w:rsidR="00542494" w:rsidRPr="00C1603D">
              <w:rPr>
                <w:lang w:eastAsia="en-GB"/>
              </w:rPr>
              <w:t>(</w:t>
            </w:r>
            <w:r w:rsidRPr="00C1603D">
              <w:rPr>
                <w:lang w:eastAsia="en-GB"/>
              </w:rPr>
              <w:t>P06</w:t>
            </w:r>
            <w:r w:rsidR="00542494" w:rsidRPr="00C1603D">
              <w:rPr>
                <w:lang w:eastAsia="en-GB"/>
              </w:rPr>
              <w:t>)</w:t>
            </w:r>
            <w:commentRangeEnd w:id="664"/>
            <w:r w:rsidR="002E3DB7" w:rsidRPr="00C1603D">
              <w:rPr>
                <w:rFonts w:ascii="Times New Roman" w:hAnsi="Times New Roman" w:cs="Times New Roman"/>
                <w:color w:val="auto"/>
                <w:lang w:val="en-US"/>
              </w:rPr>
              <w:commentReference w:id="664"/>
            </w:r>
          </w:p>
        </w:tc>
        <w:tc>
          <w:tcPr>
            <w:tcW w:w="0" w:type="auto"/>
            <w:vMerge/>
            <w:shd w:val="clear" w:color="auto" w:fill="auto"/>
          </w:tcPr>
          <w:p w14:paraId="49830FDC" w14:textId="77777777" w:rsidR="007F5C75" w:rsidRPr="00C1603D" w:rsidRDefault="007F5C75" w:rsidP="007F5C75">
            <w:pPr>
              <w:pStyle w:val="72TabletextTablesTableFigureBoxstyles"/>
              <w:rPr>
                <w:lang w:eastAsia="en-GB"/>
              </w:rPr>
            </w:pPr>
          </w:p>
        </w:tc>
        <w:tc>
          <w:tcPr>
            <w:tcW w:w="0" w:type="auto"/>
            <w:vMerge/>
            <w:shd w:val="clear" w:color="auto" w:fill="auto"/>
          </w:tcPr>
          <w:p w14:paraId="4404407D" w14:textId="77777777" w:rsidR="007F5C75" w:rsidRPr="00C1603D" w:rsidRDefault="007F5C75" w:rsidP="007F5C75">
            <w:pPr>
              <w:pStyle w:val="72TabletextTablesTableFigureBoxstyles"/>
              <w:rPr>
                <w:lang w:eastAsia="en-GB"/>
              </w:rPr>
            </w:pPr>
          </w:p>
        </w:tc>
        <w:tc>
          <w:tcPr>
            <w:tcW w:w="0" w:type="auto"/>
            <w:vMerge/>
            <w:shd w:val="clear" w:color="auto" w:fill="auto"/>
          </w:tcPr>
          <w:p w14:paraId="722AE5E1" w14:textId="77777777" w:rsidR="007F5C75" w:rsidRPr="00C1603D" w:rsidRDefault="007F5C75" w:rsidP="007F5C75">
            <w:pPr>
              <w:pStyle w:val="72TabletextTablesTableFigureBoxstyles"/>
              <w:rPr>
                <w:lang w:eastAsia="en-GB"/>
              </w:rPr>
            </w:pPr>
          </w:p>
        </w:tc>
        <w:tc>
          <w:tcPr>
            <w:tcW w:w="0" w:type="auto"/>
            <w:vMerge/>
            <w:shd w:val="clear" w:color="auto" w:fill="auto"/>
          </w:tcPr>
          <w:p w14:paraId="72C1ED35" w14:textId="77777777" w:rsidR="007F5C75" w:rsidRPr="00C1603D" w:rsidRDefault="007F5C75" w:rsidP="007F5C75">
            <w:pPr>
              <w:pStyle w:val="72TabletextTablesTableFigureBoxstyles"/>
              <w:rPr>
                <w:lang w:eastAsia="en-GB"/>
              </w:rPr>
            </w:pPr>
          </w:p>
        </w:tc>
      </w:tr>
      <w:tr w:rsidR="007F5C75" w:rsidRPr="00C1603D" w14:paraId="491686C5" w14:textId="77777777" w:rsidTr="00A73737">
        <w:trPr>
          <w:cantSplit/>
        </w:trPr>
        <w:tc>
          <w:tcPr>
            <w:tcW w:w="0" w:type="auto"/>
            <w:shd w:val="clear" w:color="auto" w:fill="auto"/>
          </w:tcPr>
          <w:p w14:paraId="278AF2F1" w14:textId="0813F3E3" w:rsidR="007F5C75" w:rsidRPr="00C1603D" w:rsidRDefault="007F5C75" w:rsidP="007F5C75">
            <w:pPr>
              <w:pStyle w:val="72TabletextTablesTableFigureBoxstyles"/>
              <w:rPr>
                <w:lang w:eastAsia="en-GB"/>
              </w:rPr>
            </w:pPr>
            <w:r w:rsidRPr="00C1603D">
              <w:rPr>
                <w:lang w:eastAsia="en-GB"/>
              </w:rPr>
              <w:t xml:space="preserve">First-degree relatives </w:t>
            </w:r>
            <w:r w:rsidR="00143402" w:rsidRPr="00C1603D">
              <w:rPr>
                <w:lang w:eastAsia="en-GB"/>
              </w:rPr>
              <w:t>with</w:t>
            </w:r>
            <w:r w:rsidRPr="00C1603D">
              <w:rPr>
                <w:lang w:eastAsia="en-GB"/>
              </w:rPr>
              <w:t xml:space="preserve"> CD</w:t>
            </w:r>
          </w:p>
        </w:tc>
        <w:tc>
          <w:tcPr>
            <w:tcW w:w="0" w:type="auto"/>
            <w:shd w:val="clear" w:color="auto" w:fill="auto"/>
          </w:tcPr>
          <w:p w14:paraId="1896CBBD" w14:textId="7A5F0DAB" w:rsidR="007F5C75" w:rsidRPr="00C1603D" w:rsidRDefault="007F5C75" w:rsidP="007F5C75">
            <w:pPr>
              <w:pStyle w:val="72TabletextTablesTableFigureBoxstyles"/>
              <w:rPr>
                <w:lang w:eastAsia="en-GB"/>
              </w:rPr>
            </w:pPr>
            <w:r w:rsidRPr="00C1603D">
              <w:rPr>
                <w:lang w:eastAsia="en-GB"/>
              </w:rPr>
              <w:t>Parent, sibling or child with CD</w:t>
            </w:r>
          </w:p>
        </w:tc>
        <w:tc>
          <w:tcPr>
            <w:tcW w:w="0" w:type="auto"/>
            <w:shd w:val="clear" w:color="auto" w:fill="auto"/>
          </w:tcPr>
          <w:p w14:paraId="6C12D05F" w14:textId="12E464A0"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28D0CDFD" w14:textId="2D5D1F57"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6D7B37F4" w14:textId="028920CF"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2B1E6BB3" w14:textId="795BADE9"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540560C7" w14:textId="77777777" w:rsidTr="00A73737">
        <w:trPr>
          <w:cantSplit/>
        </w:trPr>
        <w:tc>
          <w:tcPr>
            <w:tcW w:w="0" w:type="auto"/>
            <w:vMerge w:val="restart"/>
            <w:shd w:val="clear" w:color="auto" w:fill="auto"/>
          </w:tcPr>
          <w:p w14:paraId="003D1E1E" w14:textId="0080107A" w:rsidR="007F5C75" w:rsidRPr="00C1603D" w:rsidRDefault="007F5C75" w:rsidP="007F5C75">
            <w:pPr>
              <w:pStyle w:val="72TabletextTablesTableFigureBoxstyles"/>
              <w:rPr>
                <w:lang w:eastAsia="en-GB"/>
              </w:rPr>
            </w:pPr>
            <w:r w:rsidRPr="00C1603D">
              <w:rPr>
                <w:lang w:eastAsia="en-GB"/>
              </w:rPr>
              <w:t>Fractures</w:t>
            </w:r>
          </w:p>
        </w:tc>
        <w:tc>
          <w:tcPr>
            <w:tcW w:w="0" w:type="auto"/>
            <w:shd w:val="clear" w:color="auto" w:fill="auto"/>
          </w:tcPr>
          <w:p w14:paraId="43B9239D" w14:textId="4C04D6F6" w:rsidR="007F5C75" w:rsidRPr="00C1603D" w:rsidRDefault="007F5C75" w:rsidP="007F5C75">
            <w:pPr>
              <w:pStyle w:val="72TabletextTablesTableFigureBoxstyles"/>
              <w:rPr>
                <w:lang w:eastAsia="en-GB"/>
              </w:rPr>
            </w:pPr>
            <w:r w:rsidRPr="00C1603D">
              <w:rPr>
                <w:lang w:eastAsia="en-GB"/>
              </w:rPr>
              <w:t>Includes radius/ulna fracture (L72), tibia/fibula fracture (L73), hand/foot bone fracture (L74), femur fracture (L75), other fractures (76)</w:t>
            </w:r>
          </w:p>
        </w:tc>
        <w:tc>
          <w:tcPr>
            <w:tcW w:w="0" w:type="auto"/>
            <w:vMerge w:val="restart"/>
            <w:shd w:val="clear" w:color="auto" w:fill="auto"/>
          </w:tcPr>
          <w:p w14:paraId="30981927" w14:textId="77FDA61B"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5609AA3C" w14:textId="47482BEE" w:rsidR="007F5C75" w:rsidRPr="00C1603D" w:rsidRDefault="007F5C75" w:rsidP="007F5C75">
            <w:pPr>
              <w:pStyle w:val="72TabletextTablesTableFigureBoxstyles"/>
              <w:rPr>
                <w:lang w:eastAsia="en-GB"/>
              </w:rPr>
            </w:pPr>
          </w:p>
        </w:tc>
        <w:tc>
          <w:tcPr>
            <w:tcW w:w="0" w:type="auto"/>
            <w:vMerge w:val="restart"/>
            <w:shd w:val="clear" w:color="auto" w:fill="auto"/>
          </w:tcPr>
          <w:p w14:paraId="4BD49B0F" w14:textId="1B2D2A87"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364D716E" w14:textId="36CA1AAF" w:rsidR="007F5C75" w:rsidRPr="00C1603D" w:rsidRDefault="007F5C75" w:rsidP="007F5C75">
            <w:pPr>
              <w:pStyle w:val="72TabletextTablesTableFigureBoxstyles"/>
              <w:rPr>
                <w:lang w:eastAsia="en-GB"/>
              </w:rPr>
            </w:pPr>
          </w:p>
        </w:tc>
      </w:tr>
      <w:tr w:rsidR="008B4DF8" w:rsidRPr="00C1603D" w14:paraId="45F8FD09" w14:textId="77777777" w:rsidTr="00A73737">
        <w:trPr>
          <w:cantSplit/>
        </w:trPr>
        <w:tc>
          <w:tcPr>
            <w:tcW w:w="0" w:type="auto"/>
            <w:vMerge/>
            <w:shd w:val="clear" w:color="auto" w:fill="auto"/>
          </w:tcPr>
          <w:p w14:paraId="6D5E87A2" w14:textId="77777777" w:rsidR="008B4DF8" w:rsidRPr="00C1603D" w:rsidRDefault="008B4DF8" w:rsidP="00A73737">
            <w:pPr>
              <w:pStyle w:val="72TabletextTablesTableFigureBoxstyles"/>
              <w:rPr>
                <w:lang w:eastAsia="en-GB"/>
              </w:rPr>
            </w:pPr>
          </w:p>
        </w:tc>
        <w:tc>
          <w:tcPr>
            <w:tcW w:w="0" w:type="auto"/>
            <w:shd w:val="clear" w:color="auto" w:fill="auto"/>
          </w:tcPr>
          <w:p w14:paraId="5E864DC8" w14:textId="1E85BAD7" w:rsidR="008B4DF8" w:rsidRPr="00C1603D" w:rsidRDefault="008B4DF8" w:rsidP="00A73737">
            <w:pPr>
              <w:pStyle w:val="72TabletextTablesTableFigureBoxstyles"/>
              <w:rPr>
                <w:lang w:eastAsia="en-GB"/>
              </w:rPr>
            </w:pPr>
            <w:r w:rsidRPr="00C1603D">
              <w:rPr>
                <w:lang w:eastAsia="en-GB"/>
              </w:rPr>
              <w:t xml:space="preserve">Excludes pathological fracture (osteoporosis) L95; pathological fracture NOS </w:t>
            </w:r>
            <w:r w:rsidR="00143402" w:rsidRPr="00C1603D">
              <w:rPr>
                <w:lang w:eastAsia="en-GB"/>
              </w:rPr>
              <w:t>(</w:t>
            </w:r>
            <w:r w:rsidRPr="00C1603D">
              <w:rPr>
                <w:lang w:eastAsia="en-GB"/>
              </w:rPr>
              <w:t>L99</w:t>
            </w:r>
            <w:r w:rsidR="00143402" w:rsidRPr="00C1603D">
              <w:rPr>
                <w:lang w:eastAsia="en-GB"/>
              </w:rPr>
              <w:t>)</w:t>
            </w:r>
            <w:r w:rsidRPr="00C1603D">
              <w:rPr>
                <w:lang w:eastAsia="en-GB"/>
              </w:rPr>
              <w:t xml:space="preserve">; non-union </w:t>
            </w:r>
            <w:r w:rsidR="00143402" w:rsidRPr="00C1603D">
              <w:rPr>
                <w:lang w:eastAsia="en-GB"/>
              </w:rPr>
              <w:t>(</w:t>
            </w:r>
            <w:r w:rsidRPr="00C1603D">
              <w:rPr>
                <w:lang w:eastAsia="en-GB"/>
              </w:rPr>
              <w:t>L99</w:t>
            </w:r>
            <w:r w:rsidR="00143402" w:rsidRPr="00C1603D">
              <w:rPr>
                <w:lang w:eastAsia="en-GB"/>
              </w:rPr>
              <w:t>)</w:t>
            </w:r>
          </w:p>
        </w:tc>
        <w:tc>
          <w:tcPr>
            <w:tcW w:w="0" w:type="auto"/>
            <w:vMerge/>
            <w:shd w:val="clear" w:color="auto" w:fill="auto"/>
          </w:tcPr>
          <w:p w14:paraId="6162DC47" w14:textId="77777777" w:rsidR="008B4DF8" w:rsidRPr="00C1603D" w:rsidRDefault="008B4DF8" w:rsidP="00A73737">
            <w:pPr>
              <w:pStyle w:val="72TabletextTablesTableFigureBoxstyles"/>
              <w:rPr>
                <w:lang w:eastAsia="en-GB"/>
              </w:rPr>
            </w:pPr>
          </w:p>
        </w:tc>
        <w:tc>
          <w:tcPr>
            <w:tcW w:w="0" w:type="auto"/>
            <w:vMerge/>
            <w:shd w:val="clear" w:color="auto" w:fill="auto"/>
          </w:tcPr>
          <w:p w14:paraId="28A97BD7" w14:textId="77777777" w:rsidR="008B4DF8" w:rsidRPr="00C1603D" w:rsidRDefault="008B4DF8" w:rsidP="00A73737">
            <w:pPr>
              <w:pStyle w:val="72TabletextTablesTableFigureBoxstyles"/>
              <w:rPr>
                <w:lang w:eastAsia="en-GB"/>
              </w:rPr>
            </w:pPr>
          </w:p>
        </w:tc>
        <w:tc>
          <w:tcPr>
            <w:tcW w:w="0" w:type="auto"/>
            <w:vMerge/>
            <w:shd w:val="clear" w:color="auto" w:fill="auto"/>
          </w:tcPr>
          <w:p w14:paraId="0900BE1A" w14:textId="77777777" w:rsidR="008B4DF8" w:rsidRPr="00C1603D" w:rsidRDefault="008B4DF8" w:rsidP="00A73737">
            <w:pPr>
              <w:pStyle w:val="72TabletextTablesTableFigureBoxstyles"/>
              <w:rPr>
                <w:lang w:eastAsia="en-GB"/>
              </w:rPr>
            </w:pPr>
          </w:p>
        </w:tc>
        <w:tc>
          <w:tcPr>
            <w:tcW w:w="0" w:type="auto"/>
            <w:vMerge/>
            <w:shd w:val="clear" w:color="auto" w:fill="auto"/>
          </w:tcPr>
          <w:p w14:paraId="7C899A7F" w14:textId="77777777" w:rsidR="008B4DF8" w:rsidRPr="00C1603D" w:rsidRDefault="008B4DF8" w:rsidP="00A73737">
            <w:pPr>
              <w:pStyle w:val="72TabletextTablesTableFigureBoxstyles"/>
              <w:rPr>
                <w:lang w:eastAsia="en-GB"/>
              </w:rPr>
            </w:pPr>
          </w:p>
        </w:tc>
      </w:tr>
      <w:tr w:rsidR="007F5C75" w:rsidRPr="00C1603D" w14:paraId="1DAB2F8A" w14:textId="77777777" w:rsidTr="00A73737">
        <w:trPr>
          <w:cantSplit/>
        </w:trPr>
        <w:tc>
          <w:tcPr>
            <w:tcW w:w="0" w:type="auto"/>
            <w:vMerge w:val="restart"/>
            <w:shd w:val="clear" w:color="auto" w:fill="auto"/>
          </w:tcPr>
          <w:p w14:paraId="7C1028B1" w14:textId="1F3EB690" w:rsidR="007F5C75" w:rsidRPr="00C1603D" w:rsidRDefault="007F5C75" w:rsidP="007F5C75">
            <w:pPr>
              <w:pStyle w:val="72TabletextTablesTableFigureBoxstyles"/>
              <w:rPr>
                <w:lang w:eastAsia="en-GB"/>
              </w:rPr>
            </w:pPr>
            <w:r w:rsidRPr="00C1603D">
              <w:rPr>
                <w:lang w:eastAsia="en-GB"/>
              </w:rPr>
              <w:t>GI symptoms</w:t>
            </w:r>
          </w:p>
        </w:tc>
        <w:tc>
          <w:tcPr>
            <w:tcW w:w="0" w:type="auto"/>
            <w:shd w:val="clear" w:color="auto" w:fill="auto"/>
          </w:tcPr>
          <w:p w14:paraId="12F61A1F" w14:textId="3FCD4562" w:rsidR="007F5C75" w:rsidRPr="00C1603D" w:rsidRDefault="007F5C75" w:rsidP="007F5C75">
            <w:pPr>
              <w:pStyle w:val="72TabletextTablesTableFigureBoxstyles"/>
              <w:rPr>
                <w:lang w:eastAsia="en-GB"/>
              </w:rPr>
            </w:pPr>
            <w:r w:rsidRPr="00C1603D">
              <w:rPr>
                <w:lang w:eastAsia="en-GB"/>
              </w:rPr>
              <w:t>Includes abdominal colic; abdominal cramps/discomfort/pain NOS; infant colic (D01), heartburn, acidity, water</w:t>
            </w:r>
            <w:r w:rsidR="00B71B45" w:rsidRPr="00C1603D">
              <w:rPr>
                <w:lang w:eastAsia="en-GB"/>
              </w:rPr>
              <w:t xml:space="preserve"> </w:t>
            </w:r>
            <w:r w:rsidRPr="00C1603D">
              <w:rPr>
                <w:lang w:eastAsia="en-GB"/>
              </w:rPr>
              <w:t xml:space="preserve">brash (D03), epigastric pain (D02); dyspepsia/indigestion (D07); oesophagitis/reflux (D84), flatulence/gas/belching </w:t>
            </w:r>
            <w:r w:rsidR="00B71B45" w:rsidRPr="00C1603D">
              <w:rPr>
                <w:lang w:eastAsia="en-GB"/>
              </w:rPr>
              <w:t>(</w:t>
            </w:r>
            <w:r w:rsidRPr="00C1603D">
              <w:rPr>
                <w:lang w:eastAsia="en-GB"/>
              </w:rPr>
              <w:t>D08</w:t>
            </w:r>
            <w:r w:rsidR="00B71B45" w:rsidRPr="00C1603D">
              <w:rPr>
                <w:lang w:eastAsia="en-GB"/>
              </w:rPr>
              <w:t>)</w:t>
            </w:r>
            <w:r w:rsidRPr="00C1603D">
              <w:rPr>
                <w:lang w:eastAsia="en-GB"/>
              </w:rPr>
              <w:t xml:space="preserve">, bloating; eructation; gas pains; gaseous distension; passing wind; abdominal distension (abdominal swelling without mass) </w:t>
            </w:r>
            <w:r w:rsidR="00B71B45" w:rsidRPr="00C1603D">
              <w:rPr>
                <w:lang w:eastAsia="en-GB"/>
              </w:rPr>
              <w:t>(</w:t>
            </w:r>
            <w:r w:rsidRPr="00C1603D">
              <w:rPr>
                <w:lang w:eastAsia="en-GB"/>
              </w:rPr>
              <w:t>D25</w:t>
            </w:r>
            <w:r w:rsidR="00B71B45" w:rsidRPr="00C1603D">
              <w:rPr>
                <w:lang w:eastAsia="en-GB"/>
              </w:rPr>
              <w:t>)</w:t>
            </w:r>
            <w:r w:rsidRPr="00C1603D">
              <w:rPr>
                <w:lang w:eastAsia="en-GB"/>
              </w:rPr>
              <w:t xml:space="preserve">, </w:t>
            </w:r>
            <w:r w:rsidR="00B71B45" w:rsidRPr="00C1603D">
              <w:rPr>
                <w:lang w:eastAsia="en-GB"/>
              </w:rPr>
              <w:t>c</w:t>
            </w:r>
            <w:r w:rsidRPr="00C1603D">
              <w:rPr>
                <w:lang w:eastAsia="en-GB"/>
              </w:rPr>
              <w:t xml:space="preserve">onstipation, faecal impaction (D12), </w:t>
            </w:r>
            <w:r w:rsidR="00B71B45" w:rsidRPr="00C1603D">
              <w:rPr>
                <w:lang w:eastAsia="en-GB"/>
              </w:rPr>
              <w:t>d</w:t>
            </w:r>
            <w:r w:rsidRPr="00C1603D">
              <w:rPr>
                <w:lang w:eastAsia="en-GB"/>
              </w:rPr>
              <w:t xml:space="preserve">iarrhoea, frequent/loose bowel movements; watery stools (D11), </w:t>
            </w:r>
            <w:r w:rsidR="00B71B45" w:rsidRPr="00C1603D">
              <w:rPr>
                <w:lang w:eastAsia="en-GB"/>
              </w:rPr>
              <w:t>v</w:t>
            </w:r>
            <w:r w:rsidRPr="00C1603D">
              <w:rPr>
                <w:lang w:eastAsia="en-GB"/>
              </w:rPr>
              <w:t xml:space="preserve">omiting, emesis; hyperemesis; retching (D10); </w:t>
            </w:r>
            <w:r w:rsidR="00A56E38" w:rsidRPr="00C1603D">
              <w:rPr>
                <w:lang w:eastAsia="en-GB"/>
              </w:rPr>
              <w:t>n</w:t>
            </w:r>
            <w:r w:rsidRPr="00C1603D">
              <w:rPr>
                <w:lang w:eastAsia="en-GB"/>
              </w:rPr>
              <w:t>ausea (D09)</w:t>
            </w:r>
          </w:p>
        </w:tc>
        <w:tc>
          <w:tcPr>
            <w:tcW w:w="0" w:type="auto"/>
            <w:vMerge w:val="restart"/>
            <w:shd w:val="clear" w:color="auto" w:fill="auto"/>
          </w:tcPr>
          <w:p w14:paraId="0654C8A5" w14:textId="345E3451"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7DA209F3" w14:textId="1AE38F9E"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4C64AF54" w14:textId="2C36E64C"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4DA713B0" w14:textId="6427F4DA"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1DAA3874" w14:textId="77777777" w:rsidTr="00A73737">
        <w:trPr>
          <w:cantSplit/>
        </w:trPr>
        <w:tc>
          <w:tcPr>
            <w:tcW w:w="0" w:type="auto"/>
            <w:vMerge/>
            <w:shd w:val="clear" w:color="auto" w:fill="auto"/>
          </w:tcPr>
          <w:p w14:paraId="4B4B8A7D" w14:textId="77777777" w:rsidR="008B4DF8" w:rsidRPr="00C1603D" w:rsidRDefault="008B4DF8" w:rsidP="00A73737">
            <w:pPr>
              <w:pStyle w:val="72TabletextTablesTableFigureBoxstyles"/>
              <w:rPr>
                <w:lang w:eastAsia="en-GB"/>
              </w:rPr>
            </w:pPr>
          </w:p>
        </w:tc>
        <w:tc>
          <w:tcPr>
            <w:tcW w:w="0" w:type="auto"/>
            <w:shd w:val="clear" w:color="auto" w:fill="auto"/>
          </w:tcPr>
          <w:p w14:paraId="2C0CB095" w14:textId="2BFA8EE1" w:rsidR="008B4DF8" w:rsidRPr="00C1603D" w:rsidRDefault="008B4DF8" w:rsidP="00A73737">
            <w:pPr>
              <w:pStyle w:val="72TabletextTablesTableFigureBoxstyles"/>
              <w:rPr>
                <w:lang w:eastAsia="en-GB"/>
              </w:rPr>
            </w:pPr>
            <w:r w:rsidRPr="00C1603D">
              <w:rPr>
                <w:lang w:eastAsia="en-GB"/>
              </w:rPr>
              <w:t xml:space="preserve">Excludes epigastric ache </w:t>
            </w:r>
            <w:r w:rsidR="00A56E38" w:rsidRPr="00C1603D">
              <w:rPr>
                <w:lang w:eastAsia="en-GB"/>
              </w:rPr>
              <w:t>(</w:t>
            </w:r>
            <w:r w:rsidRPr="00C1603D">
              <w:rPr>
                <w:lang w:eastAsia="en-GB"/>
              </w:rPr>
              <w:t>D02</w:t>
            </w:r>
            <w:r w:rsidR="00A56E38" w:rsidRPr="00C1603D">
              <w:rPr>
                <w:lang w:eastAsia="en-GB"/>
              </w:rPr>
              <w:t>)</w:t>
            </w:r>
            <w:r w:rsidRPr="00C1603D">
              <w:rPr>
                <w:lang w:eastAsia="en-GB"/>
              </w:rPr>
              <w:t xml:space="preserve">; other localised abdominal pain </w:t>
            </w:r>
            <w:r w:rsidR="00A56E38" w:rsidRPr="00C1603D">
              <w:rPr>
                <w:lang w:eastAsia="en-GB"/>
              </w:rPr>
              <w:t>(</w:t>
            </w:r>
            <w:r w:rsidRPr="00C1603D">
              <w:rPr>
                <w:lang w:eastAsia="en-GB"/>
              </w:rPr>
              <w:t>D06</w:t>
            </w:r>
            <w:r w:rsidR="00A56E38" w:rsidRPr="00C1603D">
              <w:rPr>
                <w:lang w:eastAsia="en-GB"/>
              </w:rPr>
              <w:t>)</w:t>
            </w:r>
            <w:r w:rsidRPr="00C1603D">
              <w:rPr>
                <w:lang w:eastAsia="en-GB"/>
              </w:rPr>
              <w:t xml:space="preserve">; biliary colic </w:t>
            </w:r>
            <w:r w:rsidR="00A56E38" w:rsidRPr="00C1603D">
              <w:rPr>
                <w:lang w:eastAsia="en-GB"/>
              </w:rPr>
              <w:t>(</w:t>
            </w:r>
            <w:r w:rsidRPr="00C1603D">
              <w:rPr>
                <w:lang w:eastAsia="en-GB"/>
              </w:rPr>
              <w:t>D98</w:t>
            </w:r>
            <w:r w:rsidR="00A56E38" w:rsidRPr="00C1603D">
              <w:rPr>
                <w:lang w:eastAsia="en-GB"/>
              </w:rPr>
              <w:t>)</w:t>
            </w:r>
            <w:r w:rsidRPr="00C1603D">
              <w:rPr>
                <w:lang w:eastAsia="en-GB"/>
              </w:rPr>
              <w:t xml:space="preserve">; renal colic </w:t>
            </w:r>
            <w:r w:rsidR="00A56E38" w:rsidRPr="00C1603D">
              <w:rPr>
                <w:lang w:eastAsia="en-GB"/>
              </w:rPr>
              <w:t>(</w:t>
            </w:r>
            <w:r w:rsidRPr="00C1603D">
              <w:rPr>
                <w:lang w:eastAsia="en-GB"/>
              </w:rPr>
              <w:t>U14</w:t>
            </w:r>
            <w:r w:rsidR="00A56E38" w:rsidRPr="00C1603D">
              <w:rPr>
                <w:lang w:eastAsia="en-GB"/>
              </w:rPr>
              <w:t>)</w:t>
            </w:r>
            <w:r w:rsidRPr="00C1603D">
              <w:rPr>
                <w:lang w:eastAsia="en-GB"/>
              </w:rPr>
              <w:t xml:space="preserve">; dysmenorrhoea </w:t>
            </w:r>
            <w:r w:rsidR="00A56E38" w:rsidRPr="00C1603D">
              <w:rPr>
                <w:lang w:eastAsia="en-GB"/>
              </w:rPr>
              <w:t>(</w:t>
            </w:r>
            <w:r w:rsidRPr="00C1603D">
              <w:rPr>
                <w:lang w:eastAsia="en-GB"/>
              </w:rPr>
              <w:t>X02</w:t>
            </w:r>
            <w:r w:rsidR="00A56E38" w:rsidRPr="00C1603D">
              <w:rPr>
                <w:lang w:eastAsia="en-GB"/>
              </w:rPr>
              <w:t>)</w:t>
            </w:r>
            <w:r w:rsidRPr="00C1603D">
              <w:rPr>
                <w:lang w:eastAsia="en-GB"/>
              </w:rPr>
              <w:t xml:space="preserve">, abdominal mass </w:t>
            </w:r>
            <w:r w:rsidR="00A56E38" w:rsidRPr="00C1603D">
              <w:rPr>
                <w:lang w:eastAsia="en-GB"/>
              </w:rPr>
              <w:t>(</w:t>
            </w:r>
            <w:r w:rsidRPr="00C1603D">
              <w:rPr>
                <w:lang w:eastAsia="en-GB"/>
              </w:rPr>
              <w:t>D24</w:t>
            </w:r>
            <w:r w:rsidR="00A56E38" w:rsidRPr="00C1603D">
              <w:rPr>
                <w:lang w:eastAsia="en-GB"/>
              </w:rPr>
              <w:t>)</w:t>
            </w:r>
            <w:r w:rsidRPr="00C1603D">
              <w:rPr>
                <w:lang w:eastAsia="en-GB"/>
              </w:rPr>
              <w:t xml:space="preserve">; ascites </w:t>
            </w:r>
            <w:r w:rsidR="00A56E38" w:rsidRPr="00C1603D">
              <w:rPr>
                <w:lang w:eastAsia="en-GB"/>
              </w:rPr>
              <w:t>(</w:t>
            </w:r>
            <w:r w:rsidRPr="00C1603D">
              <w:rPr>
                <w:lang w:eastAsia="en-GB"/>
              </w:rPr>
              <w:t>D29</w:t>
            </w:r>
            <w:r w:rsidR="00A56E38" w:rsidRPr="00C1603D">
              <w:rPr>
                <w:lang w:eastAsia="en-GB"/>
              </w:rPr>
              <w:t>)</w:t>
            </w:r>
            <w:r w:rsidRPr="00C1603D">
              <w:rPr>
                <w:lang w:eastAsia="en-GB"/>
              </w:rPr>
              <w:t xml:space="preserve">, ileus </w:t>
            </w:r>
            <w:r w:rsidR="00A56E38" w:rsidRPr="00C1603D">
              <w:rPr>
                <w:lang w:eastAsia="en-GB"/>
              </w:rPr>
              <w:t>(</w:t>
            </w:r>
            <w:r w:rsidRPr="00C1603D">
              <w:rPr>
                <w:lang w:eastAsia="en-GB"/>
              </w:rPr>
              <w:t>D99</w:t>
            </w:r>
            <w:r w:rsidR="00A56E38" w:rsidRPr="00C1603D">
              <w:rPr>
                <w:lang w:eastAsia="en-GB"/>
              </w:rPr>
              <w:t>)</w:t>
            </w:r>
            <w:r w:rsidRPr="00C1603D">
              <w:rPr>
                <w:lang w:eastAsia="en-GB"/>
              </w:rPr>
              <w:t xml:space="preserve">, melaena </w:t>
            </w:r>
            <w:r w:rsidR="00245810" w:rsidRPr="00C1603D">
              <w:rPr>
                <w:lang w:eastAsia="en-GB"/>
              </w:rPr>
              <w:t>(</w:t>
            </w:r>
            <w:r w:rsidRPr="00C1603D">
              <w:rPr>
                <w:lang w:eastAsia="en-GB"/>
              </w:rPr>
              <w:t>D15</w:t>
            </w:r>
            <w:r w:rsidR="00245810" w:rsidRPr="00C1603D">
              <w:rPr>
                <w:lang w:eastAsia="en-GB"/>
              </w:rPr>
              <w:t>)</w:t>
            </w:r>
            <w:r w:rsidRPr="00C1603D">
              <w:rPr>
                <w:lang w:eastAsia="en-GB"/>
              </w:rPr>
              <w:t xml:space="preserve">; change in faeces/bowel movements </w:t>
            </w:r>
            <w:r w:rsidR="00245810" w:rsidRPr="00C1603D">
              <w:rPr>
                <w:lang w:eastAsia="en-GB"/>
              </w:rPr>
              <w:t>(</w:t>
            </w:r>
            <w:r w:rsidRPr="00C1603D">
              <w:rPr>
                <w:lang w:eastAsia="en-GB"/>
              </w:rPr>
              <w:t>D18</w:t>
            </w:r>
            <w:r w:rsidR="00245810" w:rsidRPr="00C1603D">
              <w:rPr>
                <w:lang w:eastAsia="en-GB"/>
              </w:rPr>
              <w:t>)</w:t>
            </w:r>
            <w:r w:rsidRPr="00C1603D">
              <w:rPr>
                <w:lang w:eastAsia="en-GB"/>
              </w:rPr>
              <w:t xml:space="preserve">, haematemesis </w:t>
            </w:r>
            <w:r w:rsidR="00245810" w:rsidRPr="00C1603D">
              <w:rPr>
                <w:lang w:eastAsia="en-GB"/>
              </w:rPr>
              <w:t>(</w:t>
            </w:r>
            <w:r w:rsidRPr="00C1603D">
              <w:rPr>
                <w:lang w:eastAsia="en-GB"/>
              </w:rPr>
              <w:t>D14</w:t>
            </w:r>
            <w:r w:rsidR="00245810" w:rsidRPr="00C1603D">
              <w:rPr>
                <w:lang w:eastAsia="en-GB"/>
              </w:rPr>
              <w:t>)</w:t>
            </w:r>
            <w:r w:rsidRPr="00C1603D">
              <w:rPr>
                <w:lang w:eastAsia="en-GB"/>
              </w:rPr>
              <w:t xml:space="preserve">; vomiting in pregnancy </w:t>
            </w:r>
            <w:r w:rsidR="00245810" w:rsidRPr="00C1603D">
              <w:rPr>
                <w:lang w:eastAsia="en-GB"/>
              </w:rPr>
              <w:t>(</w:t>
            </w:r>
            <w:r w:rsidRPr="00C1603D">
              <w:rPr>
                <w:lang w:eastAsia="en-GB"/>
              </w:rPr>
              <w:t>W05</w:t>
            </w:r>
            <w:r w:rsidR="00245810" w:rsidRPr="00C1603D">
              <w:rPr>
                <w:lang w:eastAsia="en-GB"/>
              </w:rPr>
              <w:t>)</w:t>
            </w:r>
            <w:r w:rsidRPr="00C1603D">
              <w:rPr>
                <w:lang w:eastAsia="en-GB"/>
              </w:rPr>
              <w:t xml:space="preserve">, feelings of overeating </w:t>
            </w:r>
            <w:r w:rsidR="00245810" w:rsidRPr="00C1603D">
              <w:rPr>
                <w:lang w:eastAsia="en-GB"/>
              </w:rPr>
              <w:t>(</w:t>
            </w:r>
            <w:r w:rsidRPr="00C1603D">
              <w:rPr>
                <w:lang w:eastAsia="en-GB"/>
              </w:rPr>
              <w:t>D02</w:t>
            </w:r>
            <w:r w:rsidR="00245810" w:rsidRPr="00C1603D">
              <w:rPr>
                <w:lang w:eastAsia="en-GB"/>
              </w:rPr>
              <w:t>)</w:t>
            </w:r>
            <w:r w:rsidRPr="00C1603D">
              <w:rPr>
                <w:lang w:eastAsia="en-GB"/>
              </w:rPr>
              <w:t>;</w:t>
            </w:r>
            <w:r w:rsidR="00245810" w:rsidRPr="00C1603D">
              <w:rPr>
                <w:lang w:eastAsia="en-GB"/>
              </w:rPr>
              <w:t xml:space="preserve"> </w:t>
            </w:r>
            <w:r w:rsidRPr="00C1603D">
              <w:rPr>
                <w:lang w:eastAsia="en-GB"/>
              </w:rPr>
              <w:t>alcohol</w:t>
            </w:r>
            <w:r w:rsidR="00245810" w:rsidRPr="00C1603D">
              <w:rPr>
                <w:lang w:eastAsia="en-GB"/>
              </w:rPr>
              <w:t>-</w:t>
            </w:r>
            <w:r w:rsidRPr="00C1603D">
              <w:rPr>
                <w:lang w:eastAsia="en-GB"/>
              </w:rPr>
              <w:t xml:space="preserve">induced nausea </w:t>
            </w:r>
            <w:r w:rsidR="00245810" w:rsidRPr="00C1603D">
              <w:rPr>
                <w:lang w:eastAsia="en-GB"/>
              </w:rPr>
              <w:t>(</w:t>
            </w:r>
            <w:r w:rsidRPr="00C1603D">
              <w:rPr>
                <w:lang w:eastAsia="en-GB"/>
              </w:rPr>
              <w:t>P16</w:t>
            </w:r>
            <w:r w:rsidR="00245810" w:rsidRPr="00C1603D">
              <w:rPr>
                <w:lang w:eastAsia="en-GB"/>
              </w:rPr>
              <w:t>)</w:t>
            </w:r>
            <w:r w:rsidRPr="00C1603D">
              <w:rPr>
                <w:lang w:eastAsia="en-GB"/>
              </w:rPr>
              <w:t xml:space="preserve">; loss of appetite </w:t>
            </w:r>
            <w:r w:rsidR="00245810" w:rsidRPr="00C1603D">
              <w:rPr>
                <w:lang w:eastAsia="en-GB"/>
              </w:rPr>
              <w:t>(</w:t>
            </w:r>
            <w:r w:rsidRPr="00C1603D">
              <w:rPr>
                <w:lang w:eastAsia="en-GB"/>
              </w:rPr>
              <w:t>T03</w:t>
            </w:r>
            <w:r w:rsidR="00245810" w:rsidRPr="00C1603D">
              <w:rPr>
                <w:lang w:eastAsia="en-GB"/>
              </w:rPr>
              <w:t>)</w:t>
            </w:r>
            <w:r w:rsidRPr="00C1603D">
              <w:rPr>
                <w:lang w:eastAsia="en-GB"/>
              </w:rPr>
              <w:t xml:space="preserve">; nausea in pregnancy </w:t>
            </w:r>
            <w:r w:rsidR="00245810" w:rsidRPr="00C1603D">
              <w:rPr>
                <w:lang w:eastAsia="en-GB"/>
              </w:rPr>
              <w:t>(</w:t>
            </w:r>
            <w:r w:rsidRPr="00C1603D">
              <w:rPr>
                <w:lang w:eastAsia="en-GB"/>
              </w:rPr>
              <w:t>W05</w:t>
            </w:r>
            <w:r w:rsidR="00245810" w:rsidRPr="00C1603D">
              <w:rPr>
                <w:lang w:eastAsia="en-GB"/>
              </w:rPr>
              <w:t>)</w:t>
            </w:r>
          </w:p>
        </w:tc>
        <w:tc>
          <w:tcPr>
            <w:tcW w:w="0" w:type="auto"/>
            <w:vMerge/>
            <w:shd w:val="clear" w:color="auto" w:fill="auto"/>
          </w:tcPr>
          <w:p w14:paraId="7DDF0F6E" w14:textId="77777777" w:rsidR="008B4DF8" w:rsidRPr="00C1603D" w:rsidRDefault="008B4DF8" w:rsidP="00A73737">
            <w:pPr>
              <w:pStyle w:val="72TabletextTablesTableFigureBoxstyles"/>
              <w:rPr>
                <w:lang w:eastAsia="en-GB"/>
              </w:rPr>
            </w:pPr>
          </w:p>
        </w:tc>
        <w:tc>
          <w:tcPr>
            <w:tcW w:w="0" w:type="auto"/>
            <w:vMerge/>
            <w:shd w:val="clear" w:color="auto" w:fill="auto"/>
          </w:tcPr>
          <w:p w14:paraId="715FDDDA" w14:textId="77777777" w:rsidR="008B4DF8" w:rsidRPr="00C1603D" w:rsidRDefault="008B4DF8" w:rsidP="00A73737">
            <w:pPr>
              <w:pStyle w:val="72TabletextTablesTableFigureBoxstyles"/>
              <w:rPr>
                <w:lang w:eastAsia="en-GB"/>
              </w:rPr>
            </w:pPr>
          </w:p>
        </w:tc>
        <w:tc>
          <w:tcPr>
            <w:tcW w:w="0" w:type="auto"/>
            <w:vMerge/>
            <w:shd w:val="clear" w:color="auto" w:fill="auto"/>
          </w:tcPr>
          <w:p w14:paraId="05CEEDCF" w14:textId="77777777" w:rsidR="008B4DF8" w:rsidRPr="00C1603D" w:rsidRDefault="008B4DF8" w:rsidP="00A73737">
            <w:pPr>
              <w:pStyle w:val="72TabletextTablesTableFigureBoxstyles"/>
              <w:rPr>
                <w:lang w:eastAsia="en-GB"/>
              </w:rPr>
            </w:pPr>
          </w:p>
        </w:tc>
        <w:tc>
          <w:tcPr>
            <w:tcW w:w="0" w:type="auto"/>
            <w:vMerge/>
            <w:shd w:val="clear" w:color="auto" w:fill="auto"/>
          </w:tcPr>
          <w:p w14:paraId="6E85CA2E" w14:textId="77777777" w:rsidR="008B4DF8" w:rsidRPr="00C1603D" w:rsidRDefault="008B4DF8" w:rsidP="00A73737">
            <w:pPr>
              <w:pStyle w:val="72TabletextTablesTableFigureBoxstyles"/>
              <w:rPr>
                <w:lang w:eastAsia="en-GB"/>
              </w:rPr>
            </w:pPr>
          </w:p>
        </w:tc>
      </w:tr>
      <w:tr w:rsidR="007F5C75" w:rsidRPr="00C1603D" w14:paraId="232256E7" w14:textId="77777777" w:rsidTr="00A73737">
        <w:trPr>
          <w:cantSplit/>
        </w:trPr>
        <w:tc>
          <w:tcPr>
            <w:tcW w:w="0" w:type="auto"/>
            <w:shd w:val="clear" w:color="auto" w:fill="auto"/>
          </w:tcPr>
          <w:p w14:paraId="264489CB" w14:textId="77777777" w:rsidR="007F5C75" w:rsidRPr="00C1603D" w:rsidRDefault="007F5C75" w:rsidP="007F5C75">
            <w:pPr>
              <w:pStyle w:val="72TabletextTablesTableFigureBoxstyles"/>
              <w:rPr>
                <w:lang w:eastAsia="en-GB"/>
              </w:rPr>
            </w:pPr>
            <w:r w:rsidRPr="00C1603D">
              <w:rPr>
                <w:lang w:eastAsia="en-GB"/>
              </w:rPr>
              <w:t>Hyposplenism or functional asplenia</w:t>
            </w:r>
          </w:p>
        </w:tc>
        <w:tc>
          <w:tcPr>
            <w:tcW w:w="0" w:type="auto"/>
            <w:shd w:val="clear" w:color="auto" w:fill="auto"/>
          </w:tcPr>
          <w:p w14:paraId="2E66E772" w14:textId="77777777" w:rsidR="007F5C75" w:rsidRPr="00C1603D" w:rsidRDefault="007F5C75" w:rsidP="007F5C75">
            <w:pPr>
              <w:pStyle w:val="72TabletextTablesTableFigureBoxstyles"/>
              <w:rPr>
                <w:lang w:eastAsia="en-GB"/>
              </w:rPr>
            </w:pPr>
            <w:r w:rsidRPr="00C1603D">
              <w:rPr>
                <w:lang w:eastAsia="en-GB"/>
              </w:rPr>
              <w:t>Hyposplenism (reduced splenic functioning) or functional asplenia (absence of normal spleen function), including splenectomy</w:t>
            </w:r>
          </w:p>
        </w:tc>
        <w:tc>
          <w:tcPr>
            <w:tcW w:w="0" w:type="auto"/>
            <w:shd w:val="clear" w:color="auto" w:fill="auto"/>
          </w:tcPr>
          <w:p w14:paraId="3CC9CAD2" w14:textId="77777777" w:rsidR="007F5C75" w:rsidRPr="00C1603D" w:rsidRDefault="007F5C75" w:rsidP="007F5C75">
            <w:pPr>
              <w:pStyle w:val="72TabletextTablesTableFigureBoxstyles"/>
              <w:rPr>
                <w:lang w:eastAsia="en-GB"/>
              </w:rPr>
            </w:pPr>
          </w:p>
        </w:tc>
        <w:tc>
          <w:tcPr>
            <w:tcW w:w="0" w:type="auto"/>
            <w:shd w:val="clear" w:color="auto" w:fill="auto"/>
          </w:tcPr>
          <w:p w14:paraId="24769BEE" w14:textId="77777777" w:rsidR="007F5C75" w:rsidRPr="00C1603D" w:rsidRDefault="007F5C75" w:rsidP="007F5C75">
            <w:pPr>
              <w:pStyle w:val="72TabletextTablesTableFigureBoxstyles"/>
              <w:rPr>
                <w:lang w:eastAsia="en-GB"/>
              </w:rPr>
            </w:pPr>
          </w:p>
        </w:tc>
        <w:tc>
          <w:tcPr>
            <w:tcW w:w="0" w:type="auto"/>
            <w:shd w:val="clear" w:color="auto" w:fill="auto"/>
          </w:tcPr>
          <w:p w14:paraId="7548B16E" w14:textId="77777777" w:rsidR="007F5C75" w:rsidRPr="00C1603D" w:rsidRDefault="007F5C75" w:rsidP="007F5C75">
            <w:pPr>
              <w:pStyle w:val="72TabletextTablesTableFigureBoxstyles"/>
              <w:rPr>
                <w:lang w:eastAsia="en-GB"/>
              </w:rPr>
            </w:pPr>
          </w:p>
        </w:tc>
        <w:tc>
          <w:tcPr>
            <w:tcW w:w="0" w:type="auto"/>
            <w:shd w:val="clear" w:color="auto" w:fill="auto"/>
          </w:tcPr>
          <w:p w14:paraId="00CBBD1B" w14:textId="47FB4F87"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1C7EED6E" w14:textId="77777777" w:rsidTr="00A73737">
        <w:trPr>
          <w:cantSplit/>
        </w:trPr>
        <w:tc>
          <w:tcPr>
            <w:tcW w:w="0" w:type="auto"/>
            <w:shd w:val="clear" w:color="auto" w:fill="auto"/>
          </w:tcPr>
          <w:p w14:paraId="776CA831" w14:textId="77777777" w:rsidR="007F5C75" w:rsidRPr="00C1603D" w:rsidRDefault="007F5C75" w:rsidP="007F5C75">
            <w:pPr>
              <w:pStyle w:val="72TabletextTablesTableFigureBoxstyles"/>
              <w:rPr>
                <w:lang w:eastAsia="en-GB"/>
              </w:rPr>
            </w:pPr>
            <w:r w:rsidRPr="00C1603D">
              <w:rPr>
                <w:lang w:eastAsia="en-GB"/>
              </w:rPr>
              <w:t>IgA deficiency</w:t>
            </w:r>
          </w:p>
        </w:tc>
        <w:tc>
          <w:tcPr>
            <w:tcW w:w="0" w:type="auto"/>
            <w:shd w:val="clear" w:color="auto" w:fill="auto"/>
          </w:tcPr>
          <w:p w14:paraId="1E7D680F" w14:textId="77777777" w:rsidR="007F5C75" w:rsidRPr="00C1603D" w:rsidRDefault="007F5C75" w:rsidP="007F5C75">
            <w:pPr>
              <w:pStyle w:val="72TabletextTablesTableFigureBoxstyles"/>
              <w:rPr>
                <w:lang w:eastAsia="en-GB"/>
              </w:rPr>
            </w:pPr>
            <w:r w:rsidRPr="00C1603D">
              <w:rPr>
                <w:lang w:eastAsia="en-GB"/>
              </w:rPr>
              <w:t>IgA deficiency</w:t>
            </w:r>
          </w:p>
        </w:tc>
        <w:tc>
          <w:tcPr>
            <w:tcW w:w="0" w:type="auto"/>
            <w:shd w:val="clear" w:color="auto" w:fill="auto"/>
          </w:tcPr>
          <w:p w14:paraId="4C0DDA3F" w14:textId="646B8BE7" w:rsidR="007F5C75" w:rsidRPr="00C1603D" w:rsidRDefault="007F5C75" w:rsidP="007F5C75">
            <w:pPr>
              <w:pStyle w:val="72TabletextTablesTableFigureBoxstyles"/>
              <w:rPr>
                <w:lang w:eastAsia="en-GB"/>
              </w:rPr>
            </w:pPr>
          </w:p>
        </w:tc>
        <w:tc>
          <w:tcPr>
            <w:tcW w:w="0" w:type="auto"/>
            <w:shd w:val="clear" w:color="auto" w:fill="auto"/>
          </w:tcPr>
          <w:p w14:paraId="4A7A71B6" w14:textId="026E8185" w:rsidR="007F5C75" w:rsidRPr="00C1603D" w:rsidRDefault="007F5C75" w:rsidP="007F5C75">
            <w:pPr>
              <w:pStyle w:val="72TabletextTablesTableFigureBoxstyles"/>
              <w:rPr>
                <w:lang w:eastAsia="en-GB"/>
              </w:rPr>
            </w:pPr>
          </w:p>
        </w:tc>
        <w:tc>
          <w:tcPr>
            <w:tcW w:w="0" w:type="auto"/>
            <w:shd w:val="clear" w:color="auto" w:fill="auto"/>
          </w:tcPr>
          <w:p w14:paraId="56693041" w14:textId="15587759"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1C6CFEFD" w14:textId="5E506BF5"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2F38E539" w14:textId="77777777" w:rsidTr="00A73737">
        <w:trPr>
          <w:cantSplit/>
        </w:trPr>
        <w:tc>
          <w:tcPr>
            <w:tcW w:w="0" w:type="auto"/>
            <w:shd w:val="clear" w:color="auto" w:fill="auto"/>
          </w:tcPr>
          <w:p w14:paraId="4C674D4E" w14:textId="77777777" w:rsidR="007F5C75" w:rsidRPr="00C1603D" w:rsidRDefault="007F5C75" w:rsidP="007F5C75">
            <w:pPr>
              <w:pStyle w:val="72TabletextTablesTableFigureBoxstyles"/>
              <w:rPr>
                <w:lang w:eastAsia="en-GB"/>
              </w:rPr>
            </w:pPr>
            <w:r w:rsidRPr="00C1603D">
              <w:rPr>
                <w:lang w:eastAsia="en-GB"/>
              </w:rPr>
              <w:t>IgA nephropathy</w:t>
            </w:r>
          </w:p>
        </w:tc>
        <w:tc>
          <w:tcPr>
            <w:tcW w:w="0" w:type="auto"/>
            <w:shd w:val="clear" w:color="auto" w:fill="auto"/>
          </w:tcPr>
          <w:p w14:paraId="320D99F4" w14:textId="77777777" w:rsidR="007F5C75" w:rsidRPr="00C1603D" w:rsidRDefault="007F5C75" w:rsidP="007F5C75">
            <w:pPr>
              <w:pStyle w:val="72TabletextTablesTableFigureBoxstyles"/>
              <w:rPr>
                <w:lang w:eastAsia="en-GB"/>
              </w:rPr>
            </w:pPr>
            <w:r w:rsidRPr="00C1603D">
              <w:rPr>
                <w:lang w:eastAsia="en-GB"/>
              </w:rPr>
              <w:t>Also known as Berger’s disease</w:t>
            </w:r>
          </w:p>
        </w:tc>
        <w:tc>
          <w:tcPr>
            <w:tcW w:w="0" w:type="auto"/>
            <w:shd w:val="clear" w:color="auto" w:fill="auto"/>
          </w:tcPr>
          <w:p w14:paraId="4ED7FFB4" w14:textId="77777777" w:rsidR="007F5C75" w:rsidRPr="00C1603D" w:rsidRDefault="007F5C75" w:rsidP="007F5C75">
            <w:pPr>
              <w:pStyle w:val="72TabletextTablesTableFigureBoxstyles"/>
              <w:rPr>
                <w:lang w:eastAsia="en-GB"/>
              </w:rPr>
            </w:pPr>
          </w:p>
        </w:tc>
        <w:tc>
          <w:tcPr>
            <w:tcW w:w="0" w:type="auto"/>
            <w:shd w:val="clear" w:color="auto" w:fill="auto"/>
          </w:tcPr>
          <w:p w14:paraId="4F7982F8" w14:textId="77777777" w:rsidR="007F5C75" w:rsidRPr="00C1603D" w:rsidRDefault="007F5C75" w:rsidP="007F5C75">
            <w:pPr>
              <w:pStyle w:val="72TabletextTablesTableFigureBoxstyles"/>
              <w:rPr>
                <w:lang w:eastAsia="en-GB"/>
              </w:rPr>
            </w:pPr>
          </w:p>
        </w:tc>
        <w:tc>
          <w:tcPr>
            <w:tcW w:w="0" w:type="auto"/>
            <w:shd w:val="clear" w:color="auto" w:fill="auto"/>
          </w:tcPr>
          <w:p w14:paraId="03A23120" w14:textId="77777777" w:rsidR="007F5C75" w:rsidRPr="00C1603D" w:rsidRDefault="007F5C75" w:rsidP="007F5C75">
            <w:pPr>
              <w:pStyle w:val="72TabletextTablesTableFigureBoxstyles"/>
              <w:rPr>
                <w:lang w:eastAsia="en-GB"/>
              </w:rPr>
            </w:pPr>
          </w:p>
        </w:tc>
        <w:tc>
          <w:tcPr>
            <w:tcW w:w="0" w:type="auto"/>
            <w:shd w:val="clear" w:color="auto" w:fill="auto"/>
          </w:tcPr>
          <w:p w14:paraId="0043419D" w14:textId="1838C893"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7584F2FC" w14:textId="77777777" w:rsidTr="00A73737">
        <w:trPr>
          <w:cantSplit/>
        </w:trPr>
        <w:tc>
          <w:tcPr>
            <w:tcW w:w="0" w:type="auto"/>
            <w:shd w:val="clear" w:color="auto" w:fill="auto"/>
          </w:tcPr>
          <w:p w14:paraId="34BE9699" w14:textId="77777777" w:rsidR="007F5C75" w:rsidRPr="00C1603D" w:rsidRDefault="007F5C75" w:rsidP="007F5C75">
            <w:pPr>
              <w:pStyle w:val="72TabletextTablesTableFigureBoxstyles"/>
              <w:rPr>
                <w:lang w:eastAsia="en-GB"/>
              </w:rPr>
            </w:pPr>
            <w:r w:rsidRPr="00C1603D">
              <w:rPr>
                <w:lang w:eastAsia="en-GB"/>
              </w:rPr>
              <w:t>Inflammatory bowel disease</w:t>
            </w:r>
          </w:p>
        </w:tc>
        <w:tc>
          <w:tcPr>
            <w:tcW w:w="0" w:type="auto"/>
            <w:shd w:val="clear" w:color="auto" w:fill="auto"/>
          </w:tcPr>
          <w:p w14:paraId="0EA43A1C" w14:textId="58B11C54" w:rsidR="007F5C75" w:rsidRPr="00C1603D" w:rsidRDefault="007F5C75" w:rsidP="007F5C75">
            <w:pPr>
              <w:pStyle w:val="72TabletextTablesTableFigureBoxstyles"/>
              <w:rPr>
                <w:lang w:eastAsia="en-GB"/>
              </w:rPr>
            </w:pPr>
            <w:r w:rsidRPr="00C1603D">
              <w:rPr>
                <w:lang w:eastAsia="en-GB"/>
              </w:rPr>
              <w:t>Inflammatory bowel disease is a term for two conditions (Crohn’s disease and ulcerative colitis) that are characterised by chronic inflammation of the GI tract</w:t>
            </w:r>
          </w:p>
        </w:tc>
        <w:tc>
          <w:tcPr>
            <w:tcW w:w="0" w:type="auto"/>
            <w:shd w:val="clear" w:color="auto" w:fill="auto"/>
          </w:tcPr>
          <w:p w14:paraId="4D56056F" w14:textId="5405335E"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781B552D" w14:textId="7D6E7320" w:rsidR="007F5C75" w:rsidRPr="00C1603D" w:rsidRDefault="007F5C75" w:rsidP="007F5C75">
            <w:pPr>
              <w:pStyle w:val="72TabletextTablesTableFigureBoxstyles"/>
              <w:rPr>
                <w:lang w:eastAsia="en-GB"/>
              </w:rPr>
            </w:pPr>
          </w:p>
        </w:tc>
        <w:tc>
          <w:tcPr>
            <w:tcW w:w="0" w:type="auto"/>
            <w:shd w:val="clear" w:color="auto" w:fill="auto"/>
          </w:tcPr>
          <w:p w14:paraId="4B9FA817" w14:textId="0CE30CCB" w:rsidR="007F5C75" w:rsidRPr="00C1603D" w:rsidRDefault="007F5C75" w:rsidP="007F5C75">
            <w:pPr>
              <w:pStyle w:val="72TabletextTablesTableFigureBoxstyles"/>
              <w:rPr>
                <w:lang w:eastAsia="en-GB"/>
              </w:rPr>
            </w:pPr>
          </w:p>
        </w:tc>
        <w:tc>
          <w:tcPr>
            <w:tcW w:w="0" w:type="auto"/>
            <w:shd w:val="clear" w:color="auto" w:fill="auto"/>
          </w:tcPr>
          <w:p w14:paraId="4700673A" w14:textId="4985024D"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2AD6CBD5" w14:textId="77777777" w:rsidTr="00A73737">
        <w:trPr>
          <w:cantSplit/>
        </w:trPr>
        <w:tc>
          <w:tcPr>
            <w:tcW w:w="0" w:type="auto"/>
            <w:shd w:val="clear" w:color="auto" w:fill="auto"/>
          </w:tcPr>
          <w:p w14:paraId="086AA25D" w14:textId="182F548E" w:rsidR="008B4DF8" w:rsidRPr="00C1603D" w:rsidRDefault="008B4DF8" w:rsidP="00A73737">
            <w:pPr>
              <w:pStyle w:val="72TabletextTablesTableFigureBoxstyles"/>
              <w:rPr>
                <w:lang w:eastAsia="en-GB"/>
              </w:rPr>
            </w:pPr>
            <w:r w:rsidRPr="00C1603D">
              <w:rPr>
                <w:lang w:eastAsia="en-GB"/>
              </w:rPr>
              <w:t>Iron, vitamin B</w:t>
            </w:r>
            <w:r w:rsidRPr="00C1603D">
              <w:rPr>
                <w:vertAlign w:val="subscript"/>
                <w:lang w:eastAsia="en-GB"/>
              </w:rPr>
              <w:t>12</w:t>
            </w:r>
            <w:r w:rsidRPr="00C1603D">
              <w:rPr>
                <w:lang w:eastAsia="en-GB"/>
              </w:rPr>
              <w:t xml:space="preserve"> or folate deficiency</w:t>
            </w:r>
          </w:p>
        </w:tc>
        <w:tc>
          <w:tcPr>
            <w:tcW w:w="0" w:type="auto"/>
            <w:shd w:val="clear" w:color="auto" w:fill="auto"/>
          </w:tcPr>
          <w:p w14:paraId="7DE38427" w14:textId="1E730FA4" w:rsidR="008B4DF8" w:rsidRPr="00C1603D" w:rsidRDefault="008B4DF8" w:rsidP="00A73737">
            <w:pPr>
              <w:pStyle w:val="72TabletextTablesTableFigureBoxstyles"/>
              <w:rPr>
                <w:lang w:eastAsia="en-GB"/>
              </w:rPr>
            </w:pPr>
            <w:r w:rsidRPr="00C1603D">
              <w:rPr>
                <w:lang w:eastAsia="en-GB"/>
              </w:rPr>
              <w:t xml:space="preserve">Includes </w:t>
            </w:r>
            <w:r w:rsidR="009B2EC1" w:rsidRPr="00C1603D">
              <w:rPr>
                <w:lang w:eastAsia="en-GB"/>
              </w:rPr>
              <w:t>a</w:t>
            </w:r>
            <w:r w:rsidRPr="00C1603D">
              <w:rPr>
                <w:lang w:eastAsia="en-GB"/>
              </w:rPr>
              <w:t>naemia</w:t>
            </w:r>
            <w:r w:rsidR="009B2EC1" w:rsidRPr="00C1603D">
              <w:rPr>
                <w:lang w:eastAsia="en-GB"/>
              </w:rPr>
              <w:t>,</w:t>
            </w:r>
            <w:r w:rsidRPr="00C1603D">
              <w:rPr>
                <w:lang w:eastAsia="en-GB"/>
              </w:rPr>
              <w:t xml:space="preserve"> vit</w:t>
            </w:r>
            <w:r w:rsidR="009B2EC1" w:rsidRPr="00C1603D">
              <w:rPr>
                <w:lang w:eastAsia="en-GB"/>
              </w:rPr>
              <w:t>amin</w:t>
            </w:r>
            <w:r w:rsidRPr="00C1603D">
              <w:rPr>
                <w:lang w:eastAsia="en-GB"/>
              </w:rPr>
              <w:t xml:space="preserve"> B</w:t>
            </w:r>
            <w:r w:rsidRPr="00C1603D">
              <w:rPr>
                <w:vertAlign w:val="subscript"/>
                <w:lang w:eastAsia="en-GB"/>
              </w:rPr>
              <w:t>12</w:t>
            </w:r>
            <w:r w:rsidRPr="00C1603D">
              <w:rPr>
                <w:lang w:eastAsia="en-GB"/>
              </w:rPr>
              <w:t>/folate deficiency, macrocytic anaemia, pernicious anaemia (B81); vit</w:t>
            </w:r>
            <w:r w:rsidR="00AE09E0" w:rsidRPr="00C1603D">
              <w:rPr>
                <w:lang w:eastAsia="en-GB"/>
              </w:rPr>
              <w:t>amin</w:t>
            </w:r>
            <w:r w:rsidRPr="00C1603D">
              <w:rPr>
                <w:lang w:eastAsia="en-GB"/>
              </w:rPr>
              <w:t xml:space="preserve"> B</w:t>
            </w:r>
            <w:r w:rsidRPr="00C1603D">
              <w:rPr>
                <w:vertAlign w:val="subscript"/>
                <w:lang w:eastAsia="en-GB"/>
              </w:rPr>
              <w:t>12</w:t>
            </w:r>
            <w:r w:rsidRPr="00C1603D">
              <w:rPr>
                <w:lang w:eastAsia="en-GB"/>
              </w:rPr>
              <w:t xml:space="preserve"> deficiency without anaemia </w:t>
            </w:r>
            <w:r w:rsidR="00AE09E0" w:rsidRPr="00C1603D">
              <w:rPr>
                <w:lang w:eastAsia="en-GB"/>
              </w:rPr>
              <w:t>(</w:t>
            </w:r>
            <w:r w:rsidRPr="00C1603D">
              <w:rPr>
                <w:lang w:eastAsia="en-GB"/>
              </w:rPr>
              <w:t>T91</w:t>
            </w:r>
            <w:r w:rsidR="00AE09E0" w:rsidRPr="00C1603D">
              <w:rPr>
                <w:lang w:eastAsia="en-GB"/>
              </w:rPr>
              <w:t>)</w:t>
            </w:r>
            <w:r w:rsidRPr="00C1603D">
              <w:rPr>
                <w:lang w:eastAsia="en-GB"/>
              </w:rPr>
              <w:t>, iron deficiency without anaemia</w:t>
            </w:r>
          </w:p>
        </w:tc>
        <w:tc>
          <w:tcPr>
            <w:tcW w:w="0" w:type="auto"/>
            <w:shd w:val="clear" w:color="auto" w:fill="auto"/>
          </w:tcPr>
          <w:p w14:paraId="1C51B91E" w14:textId="77777777" w:rsidR="008B4DF8" w:rsidRPr="00C1603D" w:rsidRDefault="008B4DF8" w:rsidP="00A73737">
            <w:pPr>
              <w:pStyle w:val="72TabletextTablesTableFigureBoxstyles"/>
              <w:rPr>
                <w:lang w:eastAsia="en-GB"/>
              </w:rPr>
            </w:pPr>
          </w:p>
        </w:tc>
        <w:tc>
          <w:tcPr>
            <w:tcW w:w="0" w:type="auto"/>
            <w:shd w:val="clear" w:color="auto" w:fill="auto"/>
          </w:tcPr>
          <w:p w14:paraId="06376B93" w14:textId="43E8CE56" w:rsidR="008B4DF8" w:rsidRPr="00C1603D" w:rsidRDefault="007F5C75" w:rsidP="00A73737">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1726984F" w14:textId="77777777" w:rsidR="008B4DF8" w:rsidRPr="00C1603D" w:rsidRDefault="008B4DF8" w:rsidP="00A73737">
            <w:pPr>
              <w:pStyle w:val="72TabletextTablesTableFigureBoxstyles"/>
              <w:rPr>
                <w:lang w:eastAsia="en-GB"/>
              </w:rPr>
            </w:pPr>
          </w:p>
        </w:tc>
        <w:tc>
          <w:tcPr>
            <w:tcW w:w="0" w:type="auto"/>
            <w:shd w:val="clear" w:color="auto" w:fill="auto"/>
          </w:tcPr>
          <w:p w14:paraId="3EADC120" w14:textId="77777777" w:rsidR="008B4DF8" w:rsidRPr="00C1603D" w:rsidRDefault="008B4DF8" w:rsidP="00A73737">
            <w:pPr>
              <w:pStyle w:val="72TabletextTablesTableFigureBoxstyles"/>
              <w:rPr>
                <w:lang w:eastAsia="en-GB"/>
              </w:rPr>
            </w:pPr>
          </w:p>
        </w:tc>
      </w:tr>
      <w:tr w:rsidR="008B4DF8" w:rsidRPr="00C1603D" w14:paraId="14BB2981" w14:textId="77777777" w:rsidTr="00A73737">
        <w:trPr>
          <w:cantSplit/>
        </w:trPr>
        <w:tc>
          <w:tcPr>
            <w:tcW w:w="0" w:type="auto"/>
            <w:vMerge w:val="restart"/>
            <w:shd w:val="clear" w:color="auto" w:fill="auto"/>
          </w:tcPr>
          <w:p w14:paraId="0D5670BD" w14:textId="3F2BCF09" w:rsidR="008B4DF8" w:rsidRPr="00C1603D" w:rsidRDefault="008B4DF8" w:rsidP="00A73737">
            <w:pPr>
              <w:pStyle w:val="72TabletextTablesTableFigureBoxstyles"/>
              <w:rPr>
                <w:lang w:eastAsia="en-GB"/>
              </w:rPr>
            </w:pPr>
            <w:r w:rsidRPr="00C1603D">
              <w:rPr>
                <w:lang w:eastAsia="en-GB"/>
              </w:rPr>
              <w:t>Irritability</w:t>
            </w:r>
          </w:p>
        </w:tc>
        <w:tc>
          <w:tcPr>
            <w:tcW w:w="0" w:type="auto"/>
            <w:shd w:val="clear" w:color="auto" w:fill="auto"/>
          </w:tcPr>
          <w:p w14:paraId="482FCBA4" w14:textId="586486A6" w:rsidR="008B4DF8" w:rsidRPr="00C1603D" w:rsidRDefault="008B4DF8" w:rsidP="00A73737">
            <w:pPr>
              <w:pStyle w:val="72TabletextTablesTableFigureBoxstyles"/>
              <w:rPr>
                <w:lang w:eastAsia="en-GB"/>
              </w:rPr>
            </w:pPr>
            <w:r w:rsidRPr="00C1603D">
              <w:rPr>
                <w:lang w:eastAsia="en-GB"/>
              </w:rPr>
              <w:t xml:space="preserve">Includes </w:t>
            </w:r>
            <w:r w:rsidR="00AE09E0" w:rsidRPr="00C1603D">
              <w:rPr>
                <w:lang w:eastAsia="en-GB"/>
              </w:rPr>
              <w:t>f</w:t>
            </w:r>
            <w:r w:rsidRPr="00C1603D">
              <w:rPr>
                <w:lang w:eastAsia="en-GB"/>
              </w:rPr>
              <w:t>eeling/behaving irritable/angry, agitation NOS; restlessness NOS (P04)</w:t>
            </w:r>
          </w:p>
        </w:tc>
        <w:tc>
          <w:tcPr>
            <w:tcW w:w="0" w:type="auto"/>
            <w:vMerge w:val="restart"/>
            <w:shd w:val="clear" w:color="auto" w:fill="auto"/>
          </w:tcPr>
          <w:p w14:paraId="6CA42945" w14:textId="695EB595" w:rsidR="008B4DF8" w:rsidRPr="00C1603D" w:rsidRDefault="008B4DF8" w:rsidP="00A73737">
            <w:pPr>
              <w:pStyle w:val="72TabletextTablesTableFigureBoxstyles"/>
              <w:rPr>
                <w:lang w:eastAsia="en-GB"/>
              </w:rPr>
            </w:pPr>
          </w:p>
        </w:tc>
        <w:tc>
          <w:tcPr>
            <w:tcW w:w="0" w:type="auto"/>
            <w:vMerge w:val="restart"/>
            <w:shd w:val="clear" w:color="auto" w:fill="auto"/>
          </w:tcPr>
          <w:p w14:paraId="70D01BF9" w14:textId="11439959" w:rsidR="008B4DF8" w:rsidRPr="00C1603D" w:rsidRDefault="008B4DF8" w:rsidP="00A73737">
            <w:pPr>
              <w:pStyle w:val="72TabletextTablesTableFigureBoxstyles"/>
              <w:rPr>
                <w:lang w:eastAsia="en-GB"/>
              </w:rPr>
            </w:pPr>
          </w:p>
        </w:tc>
        <w:tc>
          <w:tcPr>
            <w:tcW w:w="0" w:type="auto"/>
            <w:vMerge w:val="restart"/>
            <w:shd w:val="clear" w:color="auto" w:fill="auto"/>
          </w:tcPr>
          <w:p w14:paraId="7ACE0C79" w14:textId="40D7C194" w:rsidR="008B4DF8" w:rsidRPr="00C1603D" w:rsidRDefault="007F5C75" w:rsidP="00A73737">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4DC18940" w14:textId="7169158E" w:rsidR="008B4DF8" w:rsidRPr="00C1603D" w:rsidRDefault="008B4DF8" w:rsidP="00A73737">
            <w:pPr>
              <w:pStyle w:val="72TabletextTablesTableFigureBoxstyles"/>
              <w:rPr>
                <w:lang w:eastAsia="en-GB"/>
              </w:rPr>
            </w:pPr>
          </w:p>
        </w:tc>
      </w:tr>
      <w:tr w:rsidR="008B4DF8" w:rsidRPr="00C1603D" w14:paraId="51D6F273" w14:textId="77777777" w:rsidTr="00A73737">
        <w:trPr>
          <w:cantSplit/>
        </w:trPr>
        <w:tc>
          <w:tcPr>
            <w:tcW w:w="0" w:type="auto"/>
            <w:vMerge/>
            <w:shd w:val="clear" w:color="auto" w:fill="auto"/>
          </w:tcPr>
          <w:p w14:paraId="6B33F7C0" w14:textId="77777777" w:rsidR="008B4DF8" w:rsidRPr="00C1603D" w:rsidRDefault="008B4DF8" w:rsidP="00A73737">
            <w:pPr>
              <w:pStyle w:val="72TabletextTablesTableFigureBoxstyles"/>
              <w:rPr>
                <w:lang w:eastAsia="en-GB"/>
              </w:rPr>
            </w:pPr>
          </w:p>
        </w:tc>
        <w:tc>
          <w:tcPr>
            <w:tcW w:w="0" w:type="auto"/>
            <w:shd w:val="clear" w:color="auto" w:fill="auto"/>
          </w:tcPr>
          <w:p w14:paraId="43B4824D" w14:textId="13FFEEA0" w:rsidR="008B4DF8" w:rsidRPr="00C1603D" w:rsidRDefault="008B4DF8" w:rsidP="00A73737">
            <w:pPr>
              <w:pStyle w:val="72TabletextTablesTableFigureBoxstyles"/>
              <w:rPr>
                <w:lang w:eastAsia="en-GB"/>
              </w:rPr>
            </w:pPr>
            <w:r w:rsidRPr="00C1603D">
              <w:rPr>
                <w:lang w:eastAsia="en-GB"/>
              </w:rPr>
              <w:t xml:space="preserve">Excludes overactive child </w:t>
            </w:r>
            <w:r w:rsidR="00AE09E0" w:rsidRPr="00C1603D">
              <w:rPr>
                <w:lang w:eastAsia="en-GB"/>
              </w:rPr>
              <w:t>(</w:t>
            </w:r>
            <w:r w:rsidRPr="00C1603D">
              <w:rPr>
                <w:lang w:eastAsia="en-GB"/>
              </w:rPr>
              <w:t>P22</w:t>
            </w:r>
            <w:r w:rsidR="00AE09E0" w:rsidRPr="00C1603D">
              <w:rPr>
                <w:lang w:eastAsia="en-GB"/>
              </w:rPr>
              <w:t>)</w:t>
            </w:r>
            <w:r w:rsidRPr="00C1603D">
              <w:rPr>
                <w:lang w:eastAsia="en-GB"/>
              </w:rPr>
              <w:t xml:space="preserve">; irritability in partner </w:t>
            </w:r>
            <w:r w:rsidR="00AE09E0" w:rsidRPr="00C1603D">
              <w:rPr>
                <w:lang w:eastAsia="en-GB"/>
              </w:rPr>
              <w:t>(</w:t>
            </w:r>
            <w:r w:rsidRPr="00C1603D">
              <w:rPr>
                <w:lang w:eastAsia="en-GB"/>
              </w:rPr>
              <w:t>Z13</w:t>
            </w:r>
            <w:r w:rsidR="00AE09E0" w:rsidRPr="00C1603D">
              <w:rPr>
                <w:lang w:eastAsia="en-GB"/>
              </w:rPr>
              <w:t>)</w:t>
            </w:r>
          </w:p>
        </w:tc>
        <w:tc>
          <w:tcPr>
            <w:tcW w:w="0" w:type="auto"/>
            <w:vMerge/>
            <w:shd w:val="clear" w:color="auto" w:fill="auto"/>
          </w:tcPr>
          <w:p w14:paraId="7EF7A00E" w14:textId="77777777" w:rsidR="008B4DF8" w:rsidRPr="00C1603D" w:rsidRDefault="008B4DF8" w:rsidP="00A73737">
            <w:pPr>
              <w:pStyle w:val="72TabletextTablesTableFigureBoxstyles"/>
              <w:rPr>
                <w:lang w:eastAsia="en-GB"/>
              </w:rPr>
            </w:pPr>
          </w:p>
        </w:tc>
        <w:tc>
          <w:tcPr>
            <w:tcW w:w="0" w:type="auto"/>
            <w:vMerge/>
            <w:shd w:val="clear" w:color="auto" w:fill="auto"/>
          </w:tcPr>
          <w:p w14:paraId="7CC4425A" w14:textId="77777777" w:rsidR="008B4DF8" w:rsidRPr="00C1603D" w:rsidRDefault="008B4DF8" w:rsidP="00A73737">
            <w:pPr>
              <w:pStyle w:val="72TabletextTablesTableFigureBoxstyles"/>
              <w:rPr>
                <w:lang w:eastAsia="en-GB"/>
              </w:rPr>
            </w:pPr>
          </w:p>
        </w:tc>
        <w:tc>
          <w:tcPr>
            <w:tcW w:w="0" w:type="auto"/>
            <w:vMerge/>
            <w:shd w:val="clear" w:color="auto" w:fill="auto"/>
          </w:tcPr>
          <w:p w14:paraId="10326DE9" w14:textId="77777777" w:rsidR="008B4DF8" w:rsidRPr="00C1603D" w:rsidRDefault="008B4DF8" w:rsidP="00A73737">
            <w:pPr>
              <w:pStyle w:val="72TabletextTablesTableFigureBoxstyles"/>
              <w:rPr>
                <w:lang w:eastAsia="en-GB"/>
              </w:rPr>
            </w:pPr>
          </w:p>
        </w:tc>
        <w:tc>
          <w:tcPr>
            <w:tcW w:w="0" w:type="auto"/>
            <w:vMerge/>
            <w:shd w:val="clear" w:color="auto" w:fill="auto"/>
          </w:tcPr>
          <w:p w14:paraId="79AF36D1" w14:textId="77777777" w:rsidR="008B4DF8" w:rsidRPr="00C1603D" w:rsidRDefault="008B4DF8" w:rsidP="00A73737">
            <w:pPr>
              <w:pStyle w:val="72TabletextTablesTableFigureBoxstyles"/>
              <w:rPr>
                <w:lang w:eastAsia="en-GB"/>
              </w:rPr>
            </w:pPr>
          </w:p>
        </w:tc>
      </w:tr>
      <w:tr w:rsidR="007F5C75" w:rsidRPr="00C1603D" w14:paraId="4E87D03D" w14:textId="77777777" w:rsidTr="00A73737">
        <w:trPr>
          <w:cantSplit/>
        </w:trPr>
        <w:tc>
          <w:tcPr>
            <w:tcW w:w="0" w:type="auto"/>
            <w:vMerge w:val="restart"/>
            <w:shd w:val="clear" w:color="auto" w:fill="auto"/>
          </w:tcPr>
          <w:p w14:paraId="3E200FCD" w14:textId="416FA243" w:rsidR="007F5C75" w:rsidRPr="00C1603D" w:rsidRDefault="007F5C75" w:rsidP="007F5C75">
            <w:pPr>
              <w:pStyle w:val="72TabletextTablesTableFigureBoxstyles"/>
              <w:rPr>
                <w:lang w:eastAsia="en-GB"/>
              </w:rPr>
            </w:pPr>
            <w:r w:rsidRPr="00C1603D">
              <w:rPr>
                <w:lang w:eastAsia="en-GB"/>
              </w:rPr>
              <w:t>IBS</w:t>
            </w:r>
          </w:p>
        </w:tc>
        <w:tc>
          <w:tcPr>
            <w:tcW w:w="0" w:type="auto"/>
            <w:shd w:val="clear" w:color="auto" w:fill="auto"/>
          </w:tcPr>
          <w:p w14:paraId="6F0B0622" w14:textId="5C7222A0" w:rsidR="007F5C75" w:rsidRPr="00C1603D" w:rsidRDefault="007F5C75" w:rsidP="007F5C75">
            <w:pPr>
              <w:pStyle w:val="72TabletextTablesTableFigureBoxstyles"/>
              <w:rPr>
                <w:lang w:eastAsia="en-GB"/>
              </w:rPr>
            </w:pPr>
            <w:r w:rsidRPr="00C1603D">
              <w:rPr>
                <w:lang w:eastAsia="en-GB"/>
              </w:rPr>
              <w:t>Includes IBS (D93), spastic colon</w:t>
            </w:r>
          </w:p>
        </w:tc>
        <w:tc>
          <w:tcPr>
            <w:tcW w:w="0" w:type="auto"/>
            <w:vMerge w:val="restart"/>
            <w:shd w:val="clear" w:color="auto" w:fill="auto"/>
          </w:tcPr>
          <w:p w14:paraId="14F73E51" w14:textId="7711551A"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6C1E558E" w14:textId="21E38B40"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62C52843" w14:textId="676CCF29" w:rsidR="007F5C75" w:rsidRPr="00C1603D" w:rsidRDefault="007F5C75" w:rsidP="007F5C75">
            <w:pPr>
              <w:pStyle w:val="72TabletextTablesTableFigureBoxstyles"/>
              <w:rPr>
                <w:lang w:eastAsia="en-GB"/>
              </w:rPr>
            </w:pPr>
          </w:p>
        </w:tc>
        <w:tc>
          <w:tcPr>
            <w:tcW w:w="0" w:type="auto"/>
            <w:vMerge w:val="restart"/>
            <w:shd w:val="clear" w:color="auto" w:fill="auto"/>
          </w:tcPr>
          <w:p w14:paraId="40A67FF6" w14:textId="4198A030"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4FC697FB" w14:textId="77777777" w:rsidTr="00A73737">
        <w:trPr>
          <w:cantSplit/>
        </w:trPr>
        <w:tc>
          <w:tcPr>
            <w:tcW w:w="0" w:type="auto"/>
            <w:vMerge/>
            <w:shd w:val="clear" w:color="auto" w:fill="auto"/>
          </w:tcPr>
          <w:p w14:paraId="4B4CA620" w14:textId="77777777" w:rsidR="008B4DF8" w:rsidRPr="00C1603D" w:rsidRDefault="008B4DF8" w:rsidP="00A73737">
            <w:pPr>
              <w:pStyle w:val="72TabletextTablesTableFigureBoxstyles"/>
              <w:rPr>
                <w:lang w:eastAsia="en-GB"/>
              </w:rPr>
            </w:pPr>
          </w:p>
        </w:tc>
        <w:tc>
          <w:tcPr>
            <w:tcW w:w="0" w:type="auto"/>
            <w:shd w:val="clear" w:color="auto" w:fill="auto"/>
          </w:tcPr>
          <w:p w14:paraId="568DFE07" w14:textId="3AC43949" w:rsidR="008B4DF8" w:rsidRPr="00C1603D" w:rsidRDefault="008B4DF8" w:rsidP="00A73737">
            <w:pPr>
              <w:pStyle w:val="72TabletextTablesTableFigureBoxstyles"/>
              <w:rPr>
                <w:lang w:eastAsia="en-GB"/>
              </w:rPr>
            </w:pPr>
            <w:r w:rsidRPr="00C1603D">
              <w:rPr>
                <w:lang w:eastAsia="en-GB"/>
              </w:rPr>
              <w:t xml:space="preserve">Excludes </w:t>
            </w:r>
            <w:r w:rsidR="00807C54" w:rsidRPr="00C1603D">
              <w:rPr>
                <w:lang w:eastAsia="en-GB"/>
              </w:rPr>
              <w:t>GI</w:t>
            </w:r>
            <w:r w:rsidRPr="00C1603D">
              <w:rPr>
                <w:lang w:eastAsia="en-GB"/>
              </w:rPr>
              <w:t xml:space="preserve"> infection </w:t>
            </w:r>
            <w:r w:rsidR="00AE09E0" w:rsidRPr="00C1603D">
              <w:rPr>
                <w:lang w:eastAsia="en-GB"/>
              </w:rPr>
              <w:t>(</w:t>
            </w:r>
            <w:r w:rsidRPr="00C1603D">
              <w:rPr>
                <w:lang w:eastAsia="en-GB"/>
              </w:rPr>
              <w:t>D70</w:t>
            </w:r>
            <w:r w:rsidR="00AE09E0" w:rsidRPr="00C1603D">
              <w:rPr>
                <w:lang w:eastAsia="en-GB"/>
              </w:rPr>
              <w:t>)</w:t>
            </w:r>
            <w:r w:rsidRPr="00C1603D">
              <w:rPr>
                <w:lang w:eastAsia="en-GB"/>
              </w:rPr>
              <w:t>; gastroenteritis</w:t>
            </w:r>
            <w:r w:rsidR="007412AD" w:rsidRPr="00C1603D">
              <w:rPr>
                <w:lang w:eastAsia="en-GB"/>
              </w:rPr>
              <w:t>-</w:t>
            </w:r>
            <w:r w:rsidRPr="00C1603D">
              <w:rPr>
                <w:lang w:eastAsia="en-GB"/>
              </w:rPr>
              <w:t xml:space="preserve">presumed infection </w:t>
            </w:r>
            <w:r w:rsidR="00AE09E0" w:rsidRPr="00C1603D">
              <w:rPr>
                <w:lang w:eastAsia="en-GB"/>
              </w:rPr>
              <w:t>(</w:t>
            </w:r>
            <w:r w:rsidRPr="00C1603D">
              <w:rPr>
                <w:lang w:eastAsia="en-GB"/>
              </w:rPr>
              <w:t>D73</w:t>
            </w:r>
            <w:r w:rsidR="00AE09E0" w:rsidRPr="00C1603D">
              <w:rPr>
                <w:lang w:eastAsia="en-GB"/>
              </w:rPr>
              <w:t>)</w:t>
            </w:r>
            <w:r w:rsidRPr="00C1603D">
              <w:rPr>
                <w:lang w:eastAsia="en-GB"/>
              </w:rPr>
              <w:t xml:space="preserve">; regional enteritis </w:t>
            </w:r>
            <w:r w:rsidR="007412AD" w:rsidRPr="00C1603D">
              <w:rPr>
                <w:lang w:eastAsia="en-GB"/>
              </w:rPr>
              <w:t>(</w:t>
            </w:r>
            <w:r w:rsidRPr="00C1603D">
              <w:rPr>
                <w:lang w:eastAsia="en-GB"/>
              </w:rPr>
              <w:t>D94</w:t>
            </w:r>
            <w:r w:rsidR="007412AD" w:rsidRPr="00C1603D">
              <w:rPr>
                <w:lang w:eastAsia="en-GB"/>
              </w:rPr>
              <w:t>)</w:t>
            </w:r>
            <w:r w:rsidRPr="00C1603D">
              <w:rPr>
                <w:lang w:eastAsia="en-GB"/>
              </w:rPr>
              <w:t xml:space="preserve">; allergic/dietetic/toxic gastroenteritis/colitis </w:t>
            </w:r>
            <w:r w:rsidR="007412AD" w:rsidRPr="00C1603D">
              <w:rPr>
                <w:lang w:eastAsia="en-GB"/>
              </w:rPr>
              <w:t>(</w:t>
            </w:r>
            <w:r w:rsidRPr="00C1603D">
              <w:rPr>
                <w:lang w:eastAsia="en-GB"/>
              </w:rPr>
              <w:t>D99</w:t>
            </w:r>
            <w:r w:rsidR="007412AD" w:rsidRPr="00C1603D">
              <w:rPr>
                <w:lang w:eastAsia="en-GB"/>
              </w:rPr>
              <w:t>)</w:t>
            </w:r>
            <w:r w:rsidRPr="00C1603D">
              <w:rPr>
                <w:lang w:eastAsia="en-GB"/>
              </w:rPr>
              <w:t xml:space="preserve">; vascular insufficiency of gut </w:t>
            </w:r>
            <w:r w:rsidR="007412AD" w:rsidRPr="00C1603D">
              <w:rPr>
                <w:lang w:eastAsia="en-GB"/>
              </w:rPr>
              <w:t>(</w:t>
            </w:r>
            <w:r w:rsidRPr="00C1603D">
              <w:rPr>
                <w:lang w:eastAsia="en-GB"/>
              </w:rPr>
              <w:t>D99</w:t>
            </w:r>
            <w:r w:rsidR="007412AD" w:rsidRPr="00C1603D">
              <w:rPr>
                <w:lang w:eastAsia="en-GB"/>
              </w:rPr>
              <w:t>)</w:t>
            </w:r>
            <w:r w:rsidRPr="00C1603D">
              <w:rPr>
                <w:lang w:eastAsia="en-GB"/>
              </w:rPr>
              <w:t xml:space="preserve">; psychogenic diarrhoea </w:t>
            </w:r>
            <w:r w:rsidR="007412AD" w:rsidRPr="00C1603D">
              <w:rPr>
                <w:lang w:eastAsia="en-GB"/>
              </w:rPr>
              <w:t>(</w:t>
            </w:r>
            <w:r w:rsidRPr="00C1603D">
              <w:rPr>
                <w:lang w:eastAsia="en-GB"/>
              </w:rPr>
              <w:t>P75</w:t>
            </w:r>
            <w:r w:rsidR="007412AD" w:rsidRPr="00C1603D">
              <w:rPr>
                <w:lang w:eastAsia="en-GB"/>
              </w:rPr>
              <w:t>)</w:t>
            </w:r>
          </w:p>
        </w:tc>
        <w:tc>
          <w:tcPr>
            <w:tcW w:w="0" w:type="auto"/>
            <w:vMerge/>
            <w:shd w:val="clear" w:color="auto" w:fill="auto"/>
          </w:tcPr>
          <w:p w14:paraId="20573BAB" w14:textId="77777777" w:rsidR="008B4DF8" w:rsidRPr="00C1603D" w:rsidRDefault="008B4DF8" w:rsidP="00A73737">
            <w:pPr>
              <w:pStyle w:val="72TabletextTablesTableFigureBoxstyles"/>
              <w:rPr>
                <w:lang w:eastAsia="en-GB"/>
              </w:rPr>
            </w:pPr>
          </w:p>
        </w:tc>
        <w:tc>
          <w:tcPr>
            <w:tcW w:w="0" w:type="auto"/>
            <w:vMerge/>
            <w:shd w:val="clear" w:color="auto" w:fill="auto"/>
          </w:tcPr>
          <w:p w14:paraId="4D98E2E4" w14:textId="77777777" w:rsidR="008B4DF8" w:rsidRPr="00C1603D" w:rsidRDefault="008B4DF8" w:rsidP="00A73737">
            <w:pPr>
              <w:pStyle w:val="72TabletextTablesTableFigureBoxstyles"/>
              <w:rPr>
                <w:lang w:eastAsia="en-GB"/>
              </w:rPr>
            </w:pPr>
          </w:p>
        </w:tc>
        <w:tc>
          <w:tcPr>
            <w:tcW w:w="0" w:type="auto"/>
            <w:vMerge/>
            <w:shd w:val="clear" w:color="auto" w:fill="auto"/>
          </w:tcPr>
          <w:p w14:paraId="7D452183" w14:textId="77777777" w:rsidR="008B4DF8" w:rsidRPr="00C1603D" w:rsidRDefault="008B4DF8" w:rsidP="00A73737">
            <w:pPr>
              <w:pStyle w:val="72TabletextTablesTableFigureBoxstyles"/>
              <w:rPr>
                <w:lang w:eastAsia="en-GB"/>
              </w:rPr>
            </w:pPr>
          </w:p>
        </w:tc>
        <w:tc>
          <w:tcPr>
            <w:tcW w:w="0" w:type="auto"/>
            <w:vMerge/>
            <w:shd w:val="clear" w:color="auto" w:fill="auto"/>
          </w:tcPr>
          <w:p w14:paraId="602392E0" w14:textId="77777777" w:rsidR="008B4DF8" w:rsidRPr="00C1603D" w:rsidRDefault="008B4DF8" w:rsidP="00A73737">
            <w:pPr>
              <w:pStyle w:val="72TabletextTablesTableFigureBoxstyles"/>
              <w:rPr>
                <w:lang w:eastAsia="en-GB"/>
              </w:rPr>
            </w:pPr>
          </w:p>
        </w:tc>
      </w:tr>
      <w:tr w:rsidR="007F5C75" w:rsidRPr="00C1603D" w14:paraId="1A4D303D" w14:textId="77777777" w:rsidTr="00A73737">
        <w:trPr>
          <w:cantSplit/>
        </w:trPr>
        <w:tc>
          <w:tcPr>
            <w:tcW w:w="0" w:type="auto"/>
            <w:vMerge w:val="restart"/>
            <w:shd w:val="clear" w:color="auto" w:fill="auto"/>
          </w:tcPr>
          <w:p w14:paraId="10C154A6" w14:textId="77777777" w:rsidR="007F5C75" w:rsidRPr="00C1603D" w:rsidRDefault="007F5C75" w:rsidP="007F5C75">
            <w:pPr>
              <w:pStyle w:val="72TabletextTablesTableFigureBoxstyles"/>
              <w:rPr>
                <w:lang w:eastAsia="en-GB"/>
              </w:rPr>
            </w:pPr>
            <w:r w:rsidRPr="00C1603D">
              <w:rPr>
                <w:lang w:eastAsia="en-GB"/>
              </w:rPr>
              <w:t>Migraine or headaches</w:t>
            </w:r>
          </w:p>
        </w:tc>
        <w:tc>
          <w:tcPr>
            <w:tcW w:w="0" w:type="auto"/>
            <w:shd w:val="clear" w:color="auto" w:fill="auto"/>
          </w:tcPr>
          <w:p w14:paraId="63D91D53" w14:textId="389E58C0" w:rsidR="007F5C75" w:rsidRPr="00C1603D" w:rsidRDefault="007F5C75" w:rsidP="007F5C75">
            <w:pPr>
              <w:pStyle w:val="72TabletextTablesTableFigureBoxstyles"/>
              <w:rPr>
                <w:lang w:eastAsia="en-GB"/>
              </w:rPr>
            </w:pPr>
            <w:r w:rsidRPr="00C1603D">
              <w:rPr>
                <w:lang w:eastAsia="en-GB"/>
              </w:rPr>
              <w:t xml:space="preserve">Includes </w:t>
            </w:r>
            <w:r w:rsidR="007412AD" w:rsidRPr="00C1603D">
              <w:rPr>
                <w:lang w:eastAsia="en-GB"/>
              </w:rPr>
              <w:t>h</w:t>
            </w:r>
            <w:r w:rsidRPr="00C1603D">
              <w:rPr>
                <w:lang w:eastAsia="en-GB"/>
              </w:rPr>
              <w:t xml:space="preserve">eadache, post-traumatic headache (N01); migraine </w:t>
            </w:r>
            <w:r w:rsidR="007412AD" w:rsidRPr="00C1603D">
              <w:rPr>
                <w:lang w:eastAsia="en-GB"/>
              </w:rPr>
              <w:t>(</w:t>
            </w:r>
            <w:r w:rsidRPr="00C1603D">
              <w:rPr>
                <w:lang w:eastAsia="en-GB"/>
              </w:rPr>
              <w:t>N89</w:t>
            </w:r>
            <w:r w:rsidR="007412AD" w:rsidRPr="00C1603D">
              <w:rPr>
                <w:lang w:eastAsia="en-GB"/>
              </w:rPr>
              <w:t>)</w:t>
            </w:r>
            <w:r w:rsidRPr="00C1603D">
              <w:rPr>
                <w:lang w:eastAsia="en-GB"/>
              </w:rPr>
              <w:t xml:space="preserve">; cluster headache </w:t>
            </w:r>
            <w:r w:rsidR="007412AD" w:rsidRPr="00C1603D">
              <w:rPr>
                <w:lang w:eastAsia="en-GB"/>
              </w:rPr>
              <w:t>(</w:t>
            </w:r>
            <w:r w:rsidRPr="00C1603D">
              <w:rPr>
                <w:lang w:eastAsia="en-GB"/>
              </w:rPr>
              <w:t>N90</w:t>
            </w:r>
            <w:r w:rsidR="007412AD" w:rsidRPr="00C1603D">
              <w:rPr>
                <w:lang w:eastAsia="en-GB"/>
              </w:rPr>
              <w:t>)</w:t>
            </w:r>
            <w:r w:rsidRPr="00C1603D">
              <w:rPr>
                <w:lang w:eastAsia="en-GB"/>
              </w:rPr>
              <w:t xml:space="preserve">; tension headache </w:t>
            </w:r>
            <w:r w:rsidR="007412AD" w:rsidRPr="00C1603D">
              <w:rPr>
                <w:lang w:eastAsia="en-GB"/>
              </w:rPr>
              <w:t>(</w:t>
            </w:r>
            <w:r w:rsidRPr="00C1603D">
              <w:rPr>
                <w:lang w:eastAsia="en-GB"/>
              </w:rPr>
              <w:t>N95</w:t>
            </w:r>
            <w:r w:rsidR="007412AD" w:rsidRPr="00C1603D">
              <w:rPr>
                <w:lang w:eastAsia="en-GB"/>
              </w:rPr>
              <w:t>)</w:t>
            </w:r>
          </w:p>
        </w:tc>
        <w:tc>
          <w:tcPr>
            <w:tcW w:w="0" w:type="auto"/>
            <w:vMerge w:val="restart"/>
            <w:shd w:val="clear" w:color="auto" w:fill="auto"/>
          </w:tcPr>
          <w:p w14:paraId="1B46DBC3" w14:textId="461225ED"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08697CD1" w14:textId="40DBDEBD" w:rsidR="007F5C75" w:rsidRPr="00C1603D" w:rsidRDefault="007F5C75" w:rsidP="007F5C75">
            <w:pPr>
              <w:pStyle w:val="72TabletextTablesTableFigureBoxstyles"/>
              <w:rPr>
                <w:lang w:eastAsia="en-GB"/>
              </w:rPr>
            </w:pPr>
          </w:p>
        </w:tc>
        <w:tc>
          <w:tcPr>
            <w:tcW w:w="0" w:type="auto"/>
            <w:vMerge w:val="restart"/>
            <w:shd w:val="clear" w:color="auto" w:fill="auto"/>
          </w:tcPr>
          <w:p w14:paraId="51E62183" w14:textId="54544B5C" w:rsidR="007F5C75" w:rsidRPr="00C1603D" w:rsidRDefault="007F5C75" w:rsidP="007F5C75">
            <w:pPr>
              <w:pStyle w:val="72TabletextTablesTableFigureBoxstyles"/>
              <w:rPr>
                <w:lang w:eastAsia="en-GB"/>
              </w:rPr>
            </w:pPr>
          </w:p>
        </w:tc>
        <w:tc>
          <w:tcPr>
            <w:tcW w:w="0" w:type="auto"/>
            <w:vMerge w:val="restart"/>
            <w:shd w:val="clear" w:color="auto" w:fill="auto"/>
          </w:tcPr>
          <w:p w14:paraId="04A0724A" w14:textId="58A25F0E"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1F0FB62F" w14:textId="77777777" w:rsidTr="00A73737">
        <w:trPr>
          <w:cantSplit/>
        </w:trPr>
        <w:tc>
          <w:tcPr>
            <w:tcW w:w="0" w:type="auto"/>
            <w:vMerge/>
            <w:shd w:val="clear" w:color="auto" w:fill="auto"/>
          </w:tcPr>
          <w:p w14:paraId="1E406636" w14:textId="77777777" w:rsidR="007F5C75" w:rsidRPr="00C1603D" w:rsidRDefault="007F5C75" w:rsidP="007F5C75">
            <w:pPr>
              <w:pStyle w:val="72TabletextTablesTableFigureBoxstyles"/>
              <w:rPr>
                <w:lang w:eastAsia="en-GB"/>
              </w:rPr>
            </w:pPr>
          </w:p>
        </w:tc>
        <w:tc>
          <w:tcPr>
            <w:tcW w:w="0" w:type="auto"/>
            <w:shd w:val="clear" w:color="auto" w:fill="auto"/>
          </w:tcPr>
          <w:p w14:paraId="279DD520" w14:textId="20D1815E" w:rsidR="007F5C75" w:rsidRPr="00C1603D" w:rsidRDefault="007F5C75" w:rsidP="007F5C75">
            <w:pPr>
              <w:pStyle w:val="72TabletextTablesTableFigureBoxstyles"/>
              <w:rPr>
                <w:lang w:eastAsia="en-GB"/>
              </w:rPr>
            </w:pPr>
            <w:r w:rsidRPr="00C1603D">
              <w:rPr>
                <w:lang w:eastAsia="en-GB"/>
              </w:rPr>
              <w:t xml:space="preserve">Excludes cervicogenic headache </w:t>
            </w:r>
            <w:r w:rsidR="007412AD" w:rsidRPr="00C1603D">
              <w:rPr>
                <w:lang w:eastAsia="en-GB"/>
              </w:rPr>
              <w:t>(</w:t>
            </w:r>
            <w:r w:rsidRPr="00C1603D">
              <w:rPr>
                <w:lang w:eastAsia="en-GB"/>
              </w:rPr>
              <w:t>L83</w:t>
            </w:r>
            <w:r w:rsidR="007412AD" w:rsidRPr="00C1603D">
              <w:rPr>
                <w:lang w:eastAsia="en-GB"/>
              </w:rPr>
              <w:t>)</w:t>
            </w:r>
            <w:r w:rsidRPr="00C1603D">
              <w:rPr>
                <w:lang w:eastAsia="en-GB"/>
              </w:rPr>
              <w:t xml:space="preserve">; face pain </w:t>
            </w:r>
            <w:r w:rsidR="007412AD" w:rsidRPr="00C1603D">
              <w:rPr>
                <w:lang w:eastAsia="en-GB"/>
              </w:rPr>
              <w:t>(</w:t>
            </w:r>
            <w:r w:rsidRPr="00C1603D">
              <w:rPr>
                <w:lang w:eastAsia="en-GB"/>
              </w:rPr>
              <w:t>N03</w:t>
            </w:r>
            <w:r w:rsidR="007412AD" w:rsidRPr="00C1603D">
              <w:rPr>
                <w:lang w:eastAsia="en-GB"/>
              </w:rPr>
              <w:t>)</w:t>
            </w:r>
            <w:r w:rsidRPr="00C1603D">
              <w:rPr>
                <w:lang w:eastAsia="en-GB"/>
              </w:rPr>
              <w:t xml:space="preserve">; atypical facial neuralgia </w:t>
            </w:r>
            <w:r w:rsidR="007412AD" w:rsidRPr="00C1603D">
              <w:rPr>
                <w:lang w:eastAsia="en-GB"/>
              </w:rPr>
              <w:t>(</w:t>
            </w:r>
            <w:r w:rsidRPr="00C1603D">
              <w:rPr>
                <w:lang w:eastAsia="en-GB"/>
              </w:rPr>
              <w:t>N99</w:t>
            </w:r>
            <w:r w:rsidR="007412AD" w:rsidRPr="00C1603D">
              <w:rPr>
                <w:lang w:eastAsia="en-GB"/>
              </w:rPr>
              <w:t>)</w:t>
            </w:r>
            <w:r w:rsidRPr="00C1603D">
              <w:rPr>
                <w:lang w:eastAsia="en-GB"/>
              </w:rPr>
              <w:t xml:space="preserve">; sinus pain </w:t>
            </w:r>
            <w:r w:rsidR="007412AD" w:rsidRPr="00C1603D">
              <w:rPr>
                <w:lang w:eastAsia="en-GB"/>
              </w:rPr>
              <w:t>(</w:t>
            </w:r>
            <w:r w:rsidRPr="00C1603D">
              <w:rPr>
                <w:lang w:eastAsia="en-GB"/>
              </w:rPr>
              <w:t>R09</w:t>
            </w:r>
            <w:r w:rsidR="007412AD" w:rsidRPr="00C1603D">
              <w:rPr>
                <w:lang w:eastAsia="en-GB"/>
              </w:rPr>
              <w:t>)</w:t>
            </w:r>
            <w:r w:rsidRPr="00C1603D">
              <w:rPr>
                <w:lang w:eastAsia="en-GB"/>
              </w:rPr>
              <w:t xml:space="preserve">; post-herpetic pain </w:t>
            </w:r>
            <w:r w:rsidR="007412AD" w:rsidRPr="00C1603D">
              <w:rPr>
                <w:lang w:eastAsia="en-GB"/>
              </w:rPr>
              <w:t>(</w:t>
            </w:r>
            <w:r w:rsidRPr="00C1603D">
              <w:rPr>
                <w:lang w:eastAsia="en-GB"/>
              </w:rPr>
              <w:t>S70</w:t>
            </w:r>
            <w:r w:rsidR="007412AD" w:rsidRPr="00C1603D">
              <w:rPr>
                <w:lang w:eastAsia="en-GB"/>
              </w:rPr>
              <w:t>)</w:t>
            </w:r>
          </w:p>
        </w:tc>
        <w:tc>
          <w:tcPr>
            <w:tcW w:w="0" w:type="auto"/>
            <w:vMerge/>
            <w:shd w:val="clear" w:color="auto" w:fill="auto"/>
          </w:tcPr>
          <w:p w14:paraId="6D05E63E" w14:textId="77777777" w:rsidR="007F5C75" w:rsidRPr="00C1603D" w:rsidRDefault="007F5C75" w:rsidP="007F5C75">
            <w:pPr>
              <w:pStyle w:val="72TabletextTablesTableFigureBoxstyles"/>
              <w:rPr>
                <w:lang w:eastAsia="en-GB"/>
              </w:rPr>
            </w:pPr>
          </w:p>
        </w:tc>
        <w:tc>
          <w:tcPr>
            <w:tcW w:w="0" w:type="auto"/>
            <w:vMerge/>
            <w:shd w:val="clear" w:color="auto" w:fill="auto"/>
          </w:tcPr>
          <w:p w14:paraId="165ECC84" w14:textId="77777777" w:rsidR="007F5C75" w:rsidRPr="00C1603D" w:rsidRDefault="007F5C75" w:rsidP="007F5C75">
            <w:pPr>
              <w:pStyle w:val="72TabletextTablesTableFigureBoxstyles"/>
              <w:rPr>
                <w:lang w:eastAsia="en-GB"/>
              </w:rPr>
            </w:pPr>
          </w:p>
        </w:tc>
        <w:tc>
          <w:tcPr>
            <w:tcW w:w="0" w:type="auto"/>
            <w:vMerge/>
            <w:shd w:val="clear" w:color="auto" w:fill="auto"/>
          </w:tcPr>
          <w:p w14:paraId="4DD89E52" w14:textId="77777777" w:rsidR="007F5C75" w:rsidRPr="00C1603D" w:rsidRDefault="007F5C75" w:rsidP="007F5C75">
            <w:pPr>
              <w:pStyle w:val="72TabletextTablesTableFigureBoxstyles"/>
              <w:rPr>
                <w:lang w:eastAsia="en-GB"/>
              </w:rPr>
            </w:pPr>
          </w:p>
        </w:tc>
        <w:tc>
          <w:tcPr>
            <w:tcW w:w="0" w:type="auto"/>
            <w:vMerge/>
            <w:shd w:val="clear" w:color="auto" w:fill="auto"/>
          </w:tcPr>
          <w:p w14:paraId="0A3E9CBD" w14:textId="77777777" w:rsidR="007F5C75" w:rsidRPr="00C1603D" w:rsidRDefault="007F5C75" w:rsidP="007F5C75">
            <w:pPr>
              <w:pStyle w:val="72TabletextTablesTableFigureBoxstyles"/>
              <w:rPr>
                <w:lang w:eastAsia="en-GB"/>
              </w:rPr>
            </w:pPr>
          </w:p>
        </w:tc>
      </w:tr>
      <w:tr w:rsidR="007F5C75" w:rsidRPr="00C1603D" w14:paraId="40011120" w14:textId="77777777" w:rsidTr="00A73737">
        <w:trPr>
          <w:cantSplit/>
        </w:trPr>
        <w:tc>
          <w:tcPr>
            <w:tcW w:w="0" w:type="auto"/>
            <w:shd w:val="clear" w:color="auto" w:fill="auto"/>
          </w:tcPr>
          <w:p w14:paraId="38CCF367" w14:textId="205CC4D3" w:rsidR="007F5C75" w:rsidRPr="00C1603D" w:rsidRDefault="007F5C75" w:rsidP="007F5C75">
            <w:pPr>
              <w:pStyle w:val="72TabletextTablesTableFigureBoxstyles"/>
              <w:rPr>
                <w:lang w:eastAsia="en-GB"/>
              </w:rPr>
            </w:pPr>
            <w:r w:rsidRPr="00C1603D">
              <w:rPr>
                <w:lang w:eastAsia="en-GB"/>
              </w:rPr>
              <w:t>Mood disorders</w:t>
            </w:r>
          </w:p>
        </w:tc>
        <w:tc>
          <w:tcPr>
            <w:tcW w:w="0" w:type="auto"/>
            <w:shd w:val="clear" w:color="auto" w:fill="auto"/>
          </w:tcPr>
          <w:p w14:paraId="29A29774" w14:textId="373B0A6D" w:rsidR="007F5C75" w:rsidRPr="00C1603D" w:rsidRDefault="007F5C75" w:rsidP="007F5C75">
            <w:pPr>
              <w:pStyle w:val="72TabletextTablesTableFigureBoxstyles"/>
              <w:rPr>
                <w:lang w:eastAsia="en-GB"/>
              </w:rPr>
            </w:pPr>
            <w:r w:rsidRPr="00C1603D">
              <w:rPr>
                <w:lang w:eastAsia="en-GB"/>
              </w:rPr>
              <w:t xml:space="preserve">Includes </w:t>
            </w:r>
            <w:r w:rsidR="007412AD" w:rsidRPr="00C1603D">
              <w:rPr>
                <w:lang w:eastAsia="en-GB"/>
              </w:rPr>
              <w:t>d</w:t>
            </w:r>
            <w:r w:rsidRPr="00C1603D">
              <w:rPr>
                <w:lang w:eastAsia="en-GB"/>
              </w:rPr>
              <w:t>epressive disorder, depressive neurosis/psychosis; mixed anxiety and depression; puerperal/postnatal depression; reactive depression (P76); affective psychosis, bipolar disorder; hypomania; mania; manic depression (P73)</w:t>
            </w:r>
          </w:p>
        </w:tc>
        <w:tc>
          <w:tcPr>
            <w:tcW w:w="0" w:type="auto"/>
            <w:shd w:val="clear" w:color="auto" w:fill="auto"/>
          </w:tcPr>
          <w:p w14:paraId="5D98F93B" w14:textId="77777777" w:rsidR="007F5C75" w:rsidRPr="00C1603D" w:rsidRDefault="007F5C75" w:rsidP="007F5C75">
            <w:pPr>
              <w:pStyle w:val="72TabletextTablesTableFigureBoxstyles"/>
              <w:rPr>
                <w:lang w:eastAsia="en-GB"/>
              </w:rPr>
            </w:pPr>
          </w:p>
        </w:tc>
        <w:tc>
          <w:tcPr>
            <w:tcW w:w="0" w:type="auto"/>
            <w:shd w:val="clear" w:color="auto" w:fill="auto"/>
          </w:tcPr>
          <w:p w14:paraId="509E4032" w14:textId="77777777" w:rsidR="007F5C75" w:rsidRPr="00C1603D" w:rsidRDefault="007F5C75" w:rsidP="007F5C75">
            <w:pPr>
              <w:pStyle w:val="72TabletextTablesTableFigureBoxstyles"/>
              <w:rPr>
                <w:lang w:eastAsia="en-GB"/>
              </w:rPr>
            </w:pPr>
          </w:p>
        </w:tc>
        <w:tc>
          <w:tcPr>
            <w:tcW w:w="0" w:type="auto"/>
            <w:shd w:val="clear" w:color="auto" w:fill="auto"/>
          </w:tcPr>
          <w:p w14:paraId="6211B05A" w14:textId="77777777" w:rsidR="007F5C75" w:rsidRPr="00C1603D" w:rsidRDefault="007F5C75" w:rsidP="007F5C75">
            <w:pPr>
              <w:pStyle w:val="72TabletextTablesTableFigureBoxstyles"/>
              <w:rPr>
                <w:lang w:eastAsia="en-GB"/>
              </w:rPr>
            </w:pPr>
          </w:p>
        </w:tc>
        <w:tc>
          <w:tcPr>
            <w:tcW w:w="0" w:type="auto"/>
            <w:shd w:val="clear" w:color="auto" w:fill="auto"/>
          </w:tcPr>
          <w:p w14:paraId="5BA76601" w14:textId="02C4B8C5"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4ACBBBAC" w14:textId="77777777" w:rsidTr="00A73737">
        <w:trPr>
          <w:cantSplit/>
        </w:trPr>
        <w:tc>
          <w:tcPr>
            <w:tcW w:w="0" w:type="auto"/>
            <w:shd w:val="clear" w:color="auto" w:fill="auto"/>
          </w:tcPr>
          <w:p w14:paraId="03FACD86" w14:textId="77777777" w:rsidR="008B4DF8" w:rsidRPr="00C1603D" w:rsidRDefault="008B4DF8" w:rsidP="00A73737">
            <w:pPr>
              <w:pStyle w:val="72TabletextTablesTableFigureBoxstyles"/>
              <w:rPr>
                <w:lang w:eastAsia="en-GB"/>
              </w:rPr>
            </w:pPr>
            <w:r w:rsidRPr="00C1603D">
              <w:rPr>
                <w:lang w:eastAsia="en-GB"/>
              </w:rPr>
              <w:t>Multiple sclerosis</w:t>
            </w:r>
          </w:p>
        </w:tc>
        <w:tc>
          <w:tcPr>
            <w:tcW w:w="0" w:type="auto"/>
            <w:shd w:val="clear" w:color="auto" w:fill="auto"/>
          </w:tcPr>
          <w:p w14:paraId="47AB3970" w14:textId="1CC44FA7" w:rsidR="008B4DF8" w:rsidRPr="00C1603D" w:rsidRDefault="008B4DF8" w:rsidP="00A73737">
            <w:pPr>
              <w:pStyle w:val="72TabletextTablesTableFigureBoxstyles"/>
              <w:rPr>
                <w:lang w:eastAsia="en-GB"/>
              </w:rPr>
            </w:pPr>
            <w:r w:rsidRPr="00C1603D">
              <w:rPr>
                <w:lang w:eastAsia="en-GB"/>
              </w:rPr>
              <w:t xml:space="preserve">Includes </w:t>
            </w:r>
            <w:r w:rsidR="007412AD" w:rsidRPr="00C1603D">
              <w:rPr>
                <w:lang w:eastAsia="en-GB"/>
              </w:rPr>
              <w:t>m</w:t>
            </w:r>
            <w:r w:rsidRPr="00C1603D">
              <w:rPr>
                <w:lang w:eastAsia="en-GB"/>
              </w:rPr>
              <w:t>ultiple sclerosis, disseminated sclerosis (N86)</w:t>
            </w:r>
          </w:p>
        </w:tc>
        <w:tc>
          <w:tcPr>
            <w:tcW w:w="0" w:type="auto"/>
            <w:shd w:val="clear" w:color="auto" w:fill="auto"/>
          </w:tcPr>
          <w:p w14:paraId="0EC75A87" w14:textId="5205D491" w:rsidR="008B4DF8" w:rsidRPr="00C1603D" w:rsidRDefault="007F5C75" w:rsidP="00A73737">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10E8A28C" w14:textId="69734560" w:rsidR="008B4DF8" w:rsidRPr="00C1603D" w:rsidRDefault="008B4DF8" w:rsidP="00A73737">
            <w:pPr>
              <w:pStyle w:val="72TabletextTablesTableFigureBoxstyles"/>
              <w:rPr>
                <w:lang w:eastAsia="en-GB"/>
              </w:rPr>
            </w:pPr>
          </w:p>
        </w:tc>
        <w:tc>
          <w:tcPr>
            <w:tcW w:w="0" w:type="auto"/>
            <w:shd w:val="clear" w:color="auto" w:fill="auto"/>
          </w:tcPr>
          <w:p w14:paraId="47B07C7F" w14:textId="7894399D" w:rsidR="008B4DF8" w:rsidRPr="00C1603D" w:rsidRDefault="008B4DF8" w:rsidP="00A73737">
            <w:pPr>
              <w:pStyle w:val="72TabletextTablesTableFigureBoxstyles"/>
              <w:rPr>
                <w:lang w:eastAsia="en-GB"/>
              </w:rPr>
            </w:pPr>
          </w:p>
        </w:tc>
        <w:tc>
          <w:tcPr>
            <w:tcW w:w="0" w:type="auto"/>
            <w:shd w:val="clear" w:color="auto" w:fill="auto"/>
          </w:tcPr>
          <w:p w14:paraId="58A4F159" w14:textId="4DFCDC17" w:rsidR="008B4DF8" w:rsidRPr="00C1603D" w:rsidRDefault="008B4DF8" w:rsidP="00A73737">
            <w:pPr>
              <w:pStyle w:val="72TabletextTablesTableFigureBoxstyles"/>
              <w:rPr>
                <w:lang w:eastAsia="en-GB"/>
              </w:rPr>
            </w:pPr>
          </w:p>
        </w:tc>
      </w:tr>
      <w:tr w:rsidR="007F5C75" w:rsidRPr="00C1603D" w14:paraId="20CDCF05" w14:textId="77777777" w:rsidTr="00A73737">
        <w:trPr>
          <w:cantSplit/>
        </w:trPr>
        <w:tc>
          <w:tcPr>
            <w:tcW w:w="0" w:type="auto"/>
            <w:shd w:val="clear" w:color="auto" w:fill="auto"/>
          </w:tcPr>
          <w:p w14:paraId="04EB953F" w14:textId="77777777" w:rsidR="007F5C75" w:rsidRPr="00C1603D" w:rsidRDefault="007F5C75" w:rsidP="007F5C75">
            <w:pPr>
              <w:pStyle w:val="72TabletextTablesTableFigureBoxstyles"/>
              <w:rPr>
                <w:lang w:eastAsia="en-GB"/>
              </w:rPr>
            </w:pPr>
            <w:r w:rsidRPr="00C1603D">
              <w:rPr>
                <w:lang w:eastAsia="en-GB"/>
              </w:rPr>
              <w:t>Neuropathy or ataxia</w:t>
            </w:r>
          </w:p>
        </w:tc>
        <w:tc>
          <w:tcPr>
            <w:tcW w:w="0" w:type="auto"/>
            <w:shd w:val="clear" w:color="auto" w:fill="auto"/>
          </w:tcPr>
          <w:p w14:paraId="5CC94A9B" w14:textId="380ECB71" w:rsidR="007F5C75" w:rsidRPr="00C1603D" w:rsidRDefault="007F5C75" w:rsidP="007F5C75">
            <w:pPr>
              <w:pStyle w:val="72TabletextTablesTableFigureBoxstyles"/>
              <w:rPr>
                <w:lang w:eastAsia="en-GB"/>
              </w:rPr>
            </w:pPr>
            <w:r w:rsidRPr="00C1603D">
              <w:rPr>
                <w:lang w:eastAsia="en-GB"/>
              </w:rPr>
              <w:t xml:space="preserve">Includes </w:t>
            </w:r>
            <w:r w:rsidR="007412AD" w:rsidRPr="00C1603D">
              <w:rPr>
                <w:lang w:eastAsia="en-GB"/>
              </w:rPr>
              <w:t>p</w:t>
            </w:r>
            <w:r w:rsidRPr="00C1603D">
              <w:rPr>
                <w:lang w:eastAsia="en-GB"/>
              </w:rPr>
              <w:t>eripheral neuritis/neuropathy, acute infective polyneuropathy; diabetic neuropathy (double code with T89, T90); Guillain</w:t>
            </w:r>
            <w:r w:rsidR="00825D39" w:rsidRPr="00C1603D">
              <w:rPr>
                <w:lang w:eastAsia="en-GB"/>
              </w:rPr>
              <w:t>–</w:t>
            </w:r>
            <w:r w:rsidRPr="00C1603D">
              <w:rPr>
                <w:lang w:eastAsia="en-GB"/>
              </w:rPr>
              <w:t>Barr</w:t>
            </w:r>
            <w:r w:rsidR="00825D39" w:rsidRPr="00C1603D">
              <w:rPr>
                <w:lang w:eastAsia="en-GB"/>
              </w:rPr>
              <w:t>é</w:t>
            </w:r>
            <w:r w:rsidRPr="00C1603D">
              <w:rPr>
                <w:lang w:eastAsia="en-GB"/>
              </w:rPr>
              <w:t xml:space="preserve"> syndrome; nerve lesion; neuropathy; phantom limb (N94); </w:t>
            </w:r>
            <w:r w:rsidR="007B727D" w:rsidRPr="00C1603D">
              <w:rPr>
                <w:lang w:eastAsia="en-GB"/>
              </w:rPr>
              <w:t>n</w:t>
            </w:r>
            <w:r w:rsidRPr="00C1603D">
              <w:rPr>
                <w:lang w:eastAsia="en-GB"/>
              </w:rPr>
              <w:t>eurological symptom/complaint other, ataxia; gait abnormality; limping; meningism (N29)</w:t>
            </w:r>
          </w:p>
        </w:tc>
        <w:tc>
          <w:tcPr>
            <w:tcW w:w="0" w:type="auto"/>
            <w:shd w:val="clear" w:color="auto" w:fill="auto"/>
          </w:tcPr>
          <w:p w14:paraId="31400968" w14:textId="77777777" w:rsidR="007F5C75" w:rsidRPr="00C1603D" w:rsidRDefault="007F5C75" w:rsidP="007F5C75">
            <w:pPr>
              <w:pStyle w:val="72TabletextTablesTableFigureBoxstyles"/>
              <w:rPr>
                <w:lang w:eastAsia="en-GB"/>
              </w:rPr>
            </w:pPr>
          </w:p>
        </w:tc>
        <w:tc>
          <w:tcPr>
            <w:tcW w:w="0" w:type="auto"/>
            <w:shd w:val="clear" w:color="auto" w:fill="auto"/>
          </w:tcPr>
          <w:p w14:paraId="00B5A03E" w14:textId="09AC8AEA"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52D12C9C" w14:textId="147C9D9C"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3DA93E74" w14:textId="4F831E3C"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3ED5149E" w14:textId="77777777" w:rsidTr="00A73737">
        <w:trPr>
          <w:cantSplit/>
        </w:trPr>
        <w:tc>
          <w:tcPr>
            <w:tcW w:w="0" w:type="auto"/>
            <w:shd w:val="clear" w:color="auto" w:fill="auto"/>
          </w:tcPr>
          <w:p w14:paraId="128BB55B" w14:textId="77777777" w:rsidR="007F5C75" w:rsidRPr="00C1603D" w:rsidRDefault="007F5C75" w:rsidP="007F5C75">
            <w:pPr>
              <w:pStyle w:val="72TabletextTablesTableFigureBoxstyles"/>
              <w:rPr>
                <w:lang w:eastAsia="en-GB"/>
              </w:rPr>
            </w:pPr>
            <w:r w:rsidRPr="00C1603D">
              <w:rPr>
                <w:lang w:eastAsia="en-GB"/>
              </w:rPr>
              <w:t>Osteoporosis</w:t>
            </w:r>
          </w:p>
        </w:tc>
        <w:tc>
          <w:tcPr>
            <w:tcW w:w="0" w:type="auto"/>
            <w:shd w:val="clear" w:color="auto" w:fill="auto"/>
          </w:tcPr>
          <w:p w14:paraId="14B922ED" w14:textId="57A4B6F0" w:rsidR="007F5C75" w:rsidRPr="00C1603D" w:rsidRDefault="007F5C75" w:rsidP="007F5C75">
            <w:pPr>
              <w:pStyle w:val="72TabletextTablesTableFigureBoxstyles"/>
              <w:rPr>
                <w:lang w:eastAsia="en-GB"/>
              </w:rPr>
            </w:pPr>
            <w:r w:rsidRPr="00C1603D">
              <w:rPr>
                <w:lang w:eastAsia="en-GB"/>
              </w:rPr>
              <w:t xml:space="preserve">Includes osteoporosis, pathological fracture due to osteoporosis (L95); </w:t>
            </w:r>
            <w:r w:rsidR="00250450" w:rsidRPr="00C1603D">
              <w:rPr>
                <w:lang w:eastAsia="en-GB"/>
              </w:rPr>
              <w:t>o</w:t>
            </w:r>
            <w:r w:rsidRPr="00C1603D">
              <w:rPr>
                <w:lang w:eastAsia="en-GB"/>
              </w:rPr>
              <w:t>steomalacia, osteopenia, decreased bone mineralisation</w:t>
            </w:r>
          </w:p>
        </w:tc>
        <w:tc>
          <w:tcPr>
            <w:tcW w:w="0" w:type="auto"/>
            <w:shd w:val="clear" w:color="auto" w:fill="auto"/>
          </w:tcPr>
          <w:p w14:paraId="1D7DA0C9" w14:textId="5DA95A6B"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778E0BD1" w14:textId="013CC81F"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1F685819" w14:textId="0EEF6DFD"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010884A3" w14:textId="50B8CE16"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6E5BCEAF" w14:textId="77777777" w:rsidTr="00A73737">
        <w:trPr>
          <w:cantSplit/>
        </w:trPr>
        <w:tc>
          <w:tcPr>
            <w:tcW w:w="0" w:type="auto"/>
            <w:shd w:val="clear" w:color="auto" w:fill="auto"/>
          </w:tcPr>
          <w:p w14:paraId="0F84BC1B" w14:textId="77777777" w:rsidR="007F5C75" w:rsidRPr="00C1603D" w:rsidRDefault="007F5C75" w:rsidP="007F5C75">
            <w:pPr>
              <w:pStyle w:val="72TabletextTablesTableFigureBoxstyles"/>
              <w:rPr>
                <w:lang w:eastAsia="en-GB"/>
              </w:rPr>
            </w:pPr>
            <w:r w:rsidRPr="00C1603D">
              <w:rPr>
                <w:lang w:eastAsia="en-GB"/>
              </w:rPr>
              <w:t>Pancreatitis</w:t>
            </w:r>
          </w:p>
        </w:tc>
        <w:tc>
          <w:tcPr>
            <w:tcW w:w="0" w:type="auto"/>
            <w:shd w:val="clear" w:color="auto" w:fill="auto"/>
          </w:tcPr>
          <w:p w14:paraId="72311A6B" w14:textId="77777777" w:rsidR="007F5C75" w:rsidRPr="00C1603D" w:rsidRDefault="007F5C75" w:rsidP="007F5C75">
            <w:pPr>
              <w:pStyle w:val="72TabletextTablesTableFigureBoxstyles"/>
              <w:rPr>
                <w:lang w:eastAsia="en-GB"/>
              </w:rPr>
            </w:pPr>
            <w:r w:rsidRPr="00C1603D">
              <w:rPr>
                <w:lang w:eastAsia="en-GB"/>
              </w:rPr>
              <w:t>Unexplained acute or chronic pancreatitis</w:t>
            </w:r>
          </w:p>
        </w:tc>
        <w:tc>
          <w:tcPr>
            <w:tcW w:w="0" w:type="auto"/>
            <w:shd w:val="clear" w:color="auto" w:fill="auto"/>
          </w:tcPr>
          <w:p w14:paraId="60CF6711" w14:textId="77777777" w:rsidR="007F5C75" w:rsidRPr="00C1603D" w:rsidRDefault="007F5C75" w:rsidP="007F5C75">
            <w:pPr>
              <w:pStyle w:val="72TabletextTablesTableFigureBoxstyles"/>
              <w:rPr>
                <w:lang w:eastAsia="en-GB"/>
              </w:rPr>
            </w:pPr>
          </w:p>
        </w:tc>
        <w:tc>
          <w:tcPr>
            <w:tcW w:w="0" w:type="auto"/>
            <w:shd w:val="clear" w:color="auto" w:fill="auto"/>
          </w:tcPr>
          <w:p w14:paraId="0FB1DC1C" w14:textId="77777777" w:rsidR="007F5C75" w:rsidRPr="00C1603D" w:rsidRDefault="007F5C75" w:rsidP="007F5C75">
            <w:pPr>
              <w:pStyle w:val="72TabletextTablesTableFigureBoxstyles"/>
              <w:rPr>
                <w:lang w:eastAsia="en-GB"/>
              </w:rPr>
            </w:pPr>
          </w:p>
        </w:tc>
        <w:tc>
          <w:tcPr>
            <w:tcW w:w="0" w:type="auto"/>
            <w:shd w:val="clear" w:color="auto" w:fill="auto"/>
          </w:tcPr>
          <w:p w14:paraId="3555C4FC" w14:textId="77777777" w:rsidR="007F5C75" w:rsidRPr="00C1603D" w:rsidRDefault="007F5C75" w:rsidP="007F5C75">
            <w:pPr>
              <w:pStyle w:val="72TabletextTablesTableFigureBoxstyles"/>
              <w:rPr>
                <w:lang w:eastAsia="en-GB"/>
              </w:rPr>
            </w:pPr>
          </w:p>
        </w:tc>
        <w:tc>
          <w:tcPr>
            <w:tcW w:w="0" w:type="auto"/>
            <w:shd w:val="clear" w:color="auto" w:fill="auto"/>
          </w:tcPr>
          <w:p w14:paraId="3672D4D5" w14:textId="49A3F9B8"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7E6E894A" w14:textId="77777777" w:rsidTr="00A73737">
        <w:trPr>
          <w:cantSplit/>
        </w:trPr>
        <w:tc>
          <w:tcPr>
            <w:tcW w:w="0" w:type="auto"/>
            <w:shd w:val="clear" w:color="auto" w:fill="auto"/>
          </w:tcPr>
          <w:p w14:paraId="53151193" w14:textId="77777777" w:rsidR="007F5C75" w:rsidRPr="00C1603D" w:rsidRDefault="007F5C75" w:rsidP="007F5C75">
            <w:pPr>
              <w:pStyle w:val="72TabletextTablesTableFigureBoxstyles"/>
              <w:rPr>
                <w:lang w:eastAsia="en-GB"/>
              </w:rPr>
            </w:pPr>
            <w:r w:rsidRPr="00C1603D">
              <w:rPr>
                <w:lang w:eastAsia="en-GB"/>
              </w:rPr>
              <w:t>Psoriasis</w:t>
            </w:r>
          </w:p>
        </w:tc>
        <w:tc>
          <w:tcPr>
            <w:tcW w:w="0" w:type="auto"/>
            <w:shd w:val="clear" w:color="auto" w:fill="auto"/>
          </w:tcPr>
          <w:p w14:paraId="6A5013EF" w14:textId="77777777" w:rsidR="007F5C75" w:rsidRPr="00C1603D" w:rsidRDefault="007F5C75" w:rsidP="007F5C75">
            <w:pPr>
              <w:pStyle w:val="72TabletextTablesTableFigureBoxstyles"/>
              <w:rPr>
                <w:lang w:eastAsia="en-GB"/>
              </w:rPr>
            </w:pPr>
            <w:r w:rsidRPr="00C1603D">
              <w:rPr>
                <w:lang w:eastAsia="en-GB"/>
              </w:rPr>
              <w:t>Psoriasis (S91)</w:t>
            </w:r>
          </w:p>
        </w:tc>
        <w:tc>
          <w:tcPr>
            <w:tcW w:w="0" w:type="auto"/>
            <w:shd w:val="clear" w:color="auto" w:fill="auto"/>
          </w:tcPr>
          <w:p w14:paraId="1D19A85E" w14:textId="1E101C35"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7C5CF13E" w14:textId="64DC384C" w:rsidR="007F5C75" w:rsidRPr="00C1603D" w:rsidRDefault="007F5C75" w:rsidP="007F5C75">
            <w:pPr>
              <w:pStyle w:val="72TabletextTablesTableFigureBoxstyles"/>
              <w:rPr>
                <w:lang w:eastAsia="en-GB"/>
              </w:rPr>
            </w:pPr>
          </w:p>
        </w:tc>
        <w:tc>
          <w:tcPr>
            <w:tcW w:w="0" w:type="auto"/>
            <w:shd w:val="clear" w:color="auto" w:fill="auto"/>
          </w:tcPr>
          <w:p w14:paraId="149FC239" w14:textId="06397222" w:rsidR="007F5C75" w:rsidRPr="00C1603D" w:rsidRDefault="007F5C75" w:rsidP="007F5C75">
            <w:pPr>
              <w:pStyle w:val="72TabletextTablesTableFigureBoxstyles"/>
              <w:rPr>
                <w:lang w:eastAsia="en-GB"/>
              </w:rPr>
            </w:pPr>
          </w:p>
        </w:tc>
        <w:tc>
          <w:tcPr>
            <w:tcW w:w="0" w:type="auto"/>
            <w:shd w:val="clear" w:color="auto" w:fill="auto"/>
          </w:tcPr>
          <w:p w14:paraId="4FEAD15C" w14:textId="211E407D"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3E5BF854" w14:textId="77777777" w:rsidTr="00A73737">
        <w:trPr>
          <w:cantSplit/>
        </w:trPr>
        <w:tc>
          <w:tcPr>
            <w:tcW w:w="0" w:type="auto"/>
            <w:shd w:val="clear" w:color="auto" w:fill="auto"/>
          </w:tcPr>
          <w:p w14:paraId="7195D809" w14:textId="77777777" w:rsidR="007F5C75" w:rsidRPr="00C1603D" w:rsidRDefault="007F5C75" w:rsidP="007F5C75">
            <w:pPr>
              <w:pStyle w:val="72TabletextTablesTableFigureBoxstyles"/>
              <w:rPr>
                <w:lang w:eastAsia="en-GB"/>
              </w:rPr>
            </w:pPr>
            <w:r w:rsidRPr="00C1603D">
              <w:rPr>
                <w:lang w:eastAsia="en-GB"/>
              </w:rPr>
              <w:t>Pulmonary haemosiderosis</w:t>
            </w:r>
          </w:p>
        </w:tc>
        <w:tc>
          <w:tcPr>
            <w:tcW w:w="0" w:type="auto"/>
            <w:shd w:val="clear" w:color="auto" w:fill="auto"/>
          </w:tcPr>
          <w:p w14:paraId="1C8DD0BA" w14:textId="77777777" w:rsidR="007F5C75" w:rsidRPr="00C1603D" w:rsidRDefault="007F5C75" w:rsidP="007F5C75">
            <w:pPr>
              <w:pStyle w:val="72TabletextTablesTableFigureBoxstyles"/>
              <w:rPr>
                <w:lang w:eastAsia="en-GB"/>
              </w:rPr>
            </w:pPr>
            <w:r w:rsidRPr="00C1603D">
              <w:rPr>
                <w:lang w:eastAsia="en-GB"/>
              </w:rPr>
              <w:t>Pulmonary haemosiderosis</w:t>
            </w:r>
          </w:p>
        </w:tc>
        <w:tc>
          <w:tcPr>
            <w:tcW w:w="0" w:type="auto"/>
            <w:shd w:val="clear" w:color="auto" w:fill="auto"/>
          </w:tcPr>
          <w:p w14:paraId="078D2200" w14:textId="77777777" w:rsidR="007F5C75" w:rsidRPr="00C1603D" w:rsidRDefault="007F5C75" w:rsidP="007F5C75">
            <w:pPr>
              <w:pStyle w:val="72TabletextTablesTableFigureBoxstyles"/>
              <w:rPr>
                <w:lang w:eastAsia="en-GB"/>
              </w:rPr>
            </w:pPr>
          </w:p>
        </w:tc>
        <w:tc>
          <w:tcPr>
            <w:tcW w:w="0" w:type="auto"/>
            <w:shd w:val="clear" w:color="auto" w:fill="auto"/>
          </w:tcPr>
          <w:p w14:paraId="4C5E16D7" w14:textId="77777777" w:rsidR="007F5C75" w:rsidRPr="00C1603D" w:rsidRDefault="007F5C75" w:rsidP="007F5C75">
            <w:pPr>
              <w:pStyle w:val="72TabletextTablesTableFigureBoxstyles"/>
              <w:rPr>
                <w:lang w:eastAsia="en-GB"/>
              </w:rPr>
            </w:pPr>
          </w:p>
        </w:tc>
        <w:tc>
          <w:tcPr>
            <w:tcW w:w="0" w:type="auto"/>
            <w:shd w:val="clear" w:color="auto" w:fill="auto"/>
          </w:tcPr>
          <w:p w14:paraId="509F22D3" w14:textId="77777777" w:rsidR="007F5C75" w:rsidRPr="00C1603D" w:rsidRDefault="007F5C75" w:rsidP="007F5C75">
            <w:pPr>
              <w:pStyle w:val="72TabletextTablesTableFigureBoxstyles"/>
              <w:rPr>
                <w:lang w:eastAsia="en-GB"/>
              </w:rPr>
            </w:pPr>
          </w:p>
        </w:tc>
        <w:tc>
          <w:tcPr>
            <w:tcW w:w="0" w:type="auto"/>
            <w:shd w:val="clear" w:color="auto" w:fill="auto"/>
          </w:tcPr>
          <w:p w14:paraId="0407E800" w14:textId="390D282F"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508415A5" w14:textId="77777777" w:rsidTr="00A73737">
        <w:trPr>
          <w:cantSplit/>
        </w:trPr>
        <w:tc>
          <w:tcPr>
            <w:tcW w:w="0" w:type="auto"/>
            <w:shd w:val="clear" w:color="auto" w:fill="auto"/>
          </w:tcPr>
          <w:p w14:paraId="69528E6C" w14:textId="77777777" w:rsidR="007F5C75" w:rsidRPr="00C1603D" w:rsidRDefault="007F5C75" w:rsidP="007F5C75">
            <w:pPr>
              <w:pStyle w:val="72TabletextTablesTableFigureBoxstyles"/>
              <w:rPr>
                <w:lang w:eastAsia="en-GB"/>
              </w:rPr>
            </w:pPr>
            <w:r w:rsidRPr="00C1603D">
              <w:rPr>
                <w:lang w:eastAsia="en-GB"/>
              </w:rPr>
              <w:t>Raised liver enzymes</w:t>
            </w:r>
          </w:p>
        </w:tc>
        <w:tc>
          <w:tcPr>
            <w:tcW w:w="0" w:type="auto"/>
            <w:shd w:val="clear" w:color="auto" w:fill="auto"/>
          </w:tcPr>
          <w:p w14:paraId="1F2EB242" w14:textId="23E12E7B" w:rsidR="007F5C75" w:rsidRPr="00C1603D" w:rsidRDefault="007F5C75" w:rsidP="007F5C75">
            <w:pPr>
              <w:pStyle w:val="72TabletextTablesTableFigureBoxstyles"/>
              <w:rPr>
                <w:lang w:eastAsia="en-GB"/>
              </w:rPr>
            </w:pPr>
            <w:r w:rsidRPr="00C1603D">
              <w:rPr>
                <w:lang w:eastAsia="en-GB"/>
              </w:rPr>
              <w:t>Elevated liver enzymes (including alanine transaminase, aspartate transaminase, alkaline phosphatase, gamma-glutamyl transpeptidase</w:t>
            </w:r>
          </w:p>
        </w:tc>
        <w:tc>
          <w:tcPr>
            <w:tcW w:w="0" w:type="auto"/>
            <w:shd w:val="clear" w:color="auto" w:fill="auto"/>
          </w:tcPr>
          <w:p w14:paraId="5D794C77" w14:textId="535A9F69"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11775DCE" w14:textId="2F50554B"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2B5662E2" w14:textId="66B7CE08"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2C1C30AD" w14:textId="3FD61667"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7EF466F4" w14:textId="77777777" w:rsidTr="00A73737">
        <w:trPr>
          <w:cantSplit/>
        </w:trPr>
        <w:tc>
          <w:tcPr>
            <w:tcW w:w="0" w:type="auto"/>
            <w:shd w:val="clear" w:color="auto" w:fill="auto"/>
          </w:tcPr>
          <w:p w14:paraId="763F28A4" w14:textId="77777777" w:rsidR="007F5C75" w:rsidRPr="00C1603D" w:rsidRDefault="007F5C75" w:rsidP="007F5C75">
            <w:pPr>
              <w:pStyle w:val="72TabletextTablesTableFigureBoxstyles"/>
              <w:rPr>
                <w:lang w:eastAsia="en-GB"/>
              </w:rPr>
            </w:pPr>
            <w:r w:rsidRPr="00C1603D">
              <w:rPr>
                <w:lang w:eastAsia="en-GB"/>
              </w:rPr>
              <w:t>Severe or persistent mouth ulcers</w:t>
            </w:r>
          </w:p>
        </w:tc>
        <w:tc>
          <w:tcPr>
            <w:tcW w:w="0" w:type="auto"/>
            <w:shd w:val="clear" w:color="auto" w:fill="auto"/>
          </w:tcPr>
          <w:p w14:paraId="70070347" w14:textId="77777777" w:rsidR="007F5C75" w:rsidRPr="00C1603D" w:rsidRDefault="007F5C75" w:rsidP="007F5C75">
            <w:pPr>
              <w:pStyle w:val="72TabletextTablesTableFigureBoxstyles"/>
              <w:rPr>
                <w:lang w:eastAsia="en-GB"/>
              </w:rPr>
            </w:pPr>
            <w:r w:rsidRPr="00C1603D">
              <w:rPr>
                <w:lang w:eastAsia="en-GB"/>
              </w:rPr>
              <w:t>Severe or persistent mouth ulcers including recurrent aphthous stomatitis</w:t>
            </w:r>
          </w:p>
        </w:tc>
        <w:tc>
          <w:tcPr>
            <w:tcW w:w="0" w:type="auto"/>
            <w:shd w:val="clear" w:color="auto" w:fill="auto"/>
          </w:tcPr>
          <w:p w14:paraId="5815A39E" w14:textId="77777777" w:rsidR="007F5C75" w:rsidRPr="00C1603D" w:rsidRDefault="007F5C75" w:rsidP="007F5C75">
            <w:pPr>
              <w:pStyle w:val="72TabletextTablesTableFigureBoxstyles"/>
              <w:rPr>
                <w:lang w:eastAsia="en-GB"/>
              </w:rPr>
            </w:pPr>
          </w:p>
        </w:tc>
        <w:tc>
          <w:tcPr>
            <w:tcW w:w="0" w:type="auto"/>
            <w:shd w:val="clear" w:color="auto" w:fill="auto"/>
          </w:tcPr>
          <w:p w14:paraId="5132C2BC" w14:textId="36CC369E"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23657413" w14:textId="743B0DA0"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0622C536" w14:textId="03D6A10A"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16F06F42" w14:textId="77777777" w:rsidTr="00A73737">
        <w:trPr>
          <w:cantSplit/>
        </w:trPr>
        <w:tc>
          <w:tcPr>
            <w:tcW w:w="0" w:type="auto"/>
            <w:shd w:val="clear" w:color="auto" w:fill="auto"/>
          </w:tcPr>
          <w:p w14:paraId="011EA3A4" w14:textId="77777777" w:rsidR="007F5C75" w:rsidRPr="00C1603D" w:rsidRDefault="007F5C75" w:rsidP="007F5C75">
            <w:pPr>
              <w:pStyle w:val="72TabletextTablesTableFigureBoxstyles"/>
              <w:rPr>
                <w:lang w:eastAsia="en-GB"/>
              </w:rPr>
            </w:pPr>
            <w:r w:rsidRPr="00C1603D">
              <w:rPr>
                <w:lang w:eastAsia="en-GB"/>
              </w:rPr>
              <w:t>Subfertility or recurrent miscarriage</w:t>
            </w:r>
          </w:p>
        </w:tc>
        <w:tc>
          <w:tcPr>
            <w:tcW w:w="0" w:type="auto"/>
            <w:shd w:val="clear" w:color="auto" w:fill="auto"/>
          </w:tcPr>
          <w:p w14:paraId="0F788DF1" w14:textId="05E4DA84" w:rsidR="007F5C75" w:rsidRPr="00C1603D" w:rsidRDefault="007F5C75" w:rsidP="007F5C75">
            <w:pPr>
              <w:pStyle w:val="72TabletextTablesTableFigureBoxstyles"/>
              <w:rPr>
                <w:lang w:eastAsia="en-GB"/>
              </w:rPr>
            </w:pPr>
            <w:r w:rsidRPr="00C1603D">
              <w:rPr>
                <w:lang w:eastAsia="en-GB"/>
              </w:rPr>
              <w:t xml:space="preserve">Includes </w:t>
            </w:r>
            <w:r w:rsidR="008D2D52" w:rsidRPr="00C1603D">
              <w:rPr>
                <w:lang w:eastAsia="en-GB"/>
              </w:rPr>
              <w:t>a</w:t>
            </w:r>
            <w:r w:rsidRPr="00C1603D">
              <w:rPr>
                <w:lang w:eastAsia="en-GB"/>
              </w:rPr>
              <w:t xml:space="preserve">bortion spontaneous, abortion complete/incomplete/missed/habitual, miscarriage (W82); </w:t>
            </w:r>
            <w:r w:rsidR="008D2D52" w:rsidRPr="00C1603D">
              <w:rPr>
                <w:lang w:eastAsia="en-GB"/>
              </w:rPr>
              <w:t>i</w:t>
            </w:r>
            <w:r w:rsidRPr="00C1603D">
              <w:rPr>
                <w:lang w:eastAsia="en-GB"/>
              </w:rPr>
              <w:t>nfertility/subfertility female, primary and secondary sterility (W15)</w:t>
            </w:r>
          </w:p>
        </w:tc>
        <w:tc>
          <w:tcPr>
            <w:tcW w:w="0" w:type="auto"/>
            <w:shd w:val="clear" w:color="auto" w:fill="auto"/>
          </w:tcPr>
          <w:p w14:paraId="1EEA1558" w14:textId="7BFCD866"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15419831" w14:textId="53A3F922"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10784903" w14:textId="6F68B36B" w:rsidR="007F5C75" w:rsidRPr="00C1603D" w:rsidRDefault="007F5C75" w:rsidP="007F5C75">
            <w:pPr>
              <w:pStyle w:val="72TabletextTablesTableFigureBoxstyles"/>
              <w:rPr>
                <w:lang w:eastAsia="en-GB"/>
              </w:rPr>
            </w:pPr>
          </w:p>
        </w:tc>
        <w:tc>
          <w:tcPr>
            <w:tcW w:w="0" w:type="auto"/>
            <w:shd w:val="clear" w:color="auto" w:fill="auto"/>
          </w:tcPr>
          <w:p w14:paraId="7195B292" w14:textId="0261A120"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7DCF50C9" w14:textId="77777777" w:rsidTr="00A73737">
        <w:trPr>
          <w:cantSplit/>
        </w:trPr>
        <w:tc>
          <w:tcPr>
            <w:tcW w:w="0" w:type="auto"/>
            <w:shd w:val="clear" w:color="auto" w:fill="auto"/>
          </w:tcPr>
          <w:p w14:paraId="20E8FB8A" w14:textId="77777777" w:rsidR="008B4DF8" w:rsidRPr="00C1603D" w:rsidRDefault="008B4DF8" w:rsidP="00A73737">
            <w:pPr>
              <w:pStyle w:val="72TabletextTablesTableFigureBoxstyles"/>
              <w:rPr>
                <w:lang w:eastAsia="en-GB"/>
              </w:rPr>
            </w:pPr>
            <w:r w:rsidRPr="00C1603D">
              <w:rPr>
                <w:lang w:eastAsia="en-GB"/>
              </w:rPr>
              <w:t>Systemic lupus erythematosus</w:t>
            </w:r>
          </w:p>
        </w:tc>
        <w:tc>
          <w:tcPr>
            <w:tcW w:w="0" w:type="auto"/>
            <w:shd w:val="clear" w:color="auto" w:fill="auto"/>
          </w:tcPr>
          <w:p w14:paraId="25069854" w14:textId="77777777" w:rsidR="008B4DF8" w:rsidRPr="00C1603D" w:rsidRDefault="008B4DF8" w:rsidP="00A73737">
            <w:pPr>
              <w:pStyle w:val="72TabletextTablesTableFigureBoxstyles"/>
              <w:rPr>
                <w:lang w:eastAsia="en-GB"/>
              </w:rPr>
            </w:pPr>
            <w:r w:rsidRPr="00C1603D">
              <w:rPr>
                <w:lang w:eastAsia="en-GB"/>
              </w:rPr>
              <w:t>Systemic lupus erythematosus</w:t>
            </w:r>
          </w:p>
        </w:tc>
        <w:tc>
          <w:tcPr>
            <w:tcW w:w="0" w:type="auto"/>
            <w:shd w:val="clear" w:color="auto" w:fill="auto"/>
          </w:tcPr>
          <w:p w14:paraId="090E9507" w14:textId="00F6A3EF" w:rsidR="008B4DF8" w:rsidRPr="00C1603D" w:rsidRDefault="007F5C75" w:rsidP="00A73737">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0F77DE1A" w14:textId="77777777" w:rsidR="008B4DF8" w:rsidRPr="00C1603D" w:rsidRDefault="008B4DF8" w:rsidP="00A73737">
            <w:pPr>
              <w:pStyle w:val="72TabletextTablesTableFigureBoxstyles"/>
              <w:rPr>
                <w:lang w:eastAsia="en-GB"/>
              </w:rPr>
            </w:pPr>
          </w:p>
        </w:tc>
        <w:tc>
          <w:tcPr>
            <w:tcW w:w="0" w:type="auto"/>
            <w:shd w:val="clear" w:color="auto" w:fill="auto"/>
          </w:tcPr>
          <w:p w14:paraId="04903389" w14:textId="77777777" w:rsidR="008B4DF8" w:rsidRPr="00C1603D" w:rsidRDefault="008B4DF8" w:rsidP="00A73737">
            <w:pPr>
              <w:pStyle w:val="72TabletextTablesTableFigureBoxstyles"/>
              <w:rPr>
                <w:lang w:eastAsia="en-GB"/>
              </w:rPr>
            </w:pPr>
          </w:p>
        </w:tc>
        <w:tc>
          <w:tcPr>
            <w:tcW w:w="0" w:type="auto"/>
            <w:shd w:val="clear" w:color="auto" w:fill="auto"/>
          </w:tcPr>
          <w:p w14:paraId="2B15C911" w14:textId="77777777" w:rsidR="008B4DF8" w:rsidRPr="00C1603D" w:rsidRDefault="008B4DF8" w:rsidP="00A73737">
            <w:pPr>
              <w:pStyle w:val="72TabletextTablesTableFigureBoxstyles"/>
              <w:rPr>
                <w:lang w:eastAsia="en-GB"/>
              </w:rPr>
            </w:pPr>
          </w:p>
        </w:tc>
      </w:tr>
      <w:tr w:rsidR="007F5C75" w:rsidRPr="00C1603D" w14:paraId="348BC5B9" w14:textId="77777777" w:rsidTr="00A73737">
        <w:trPr>
          <w:cantSplit/>
        </w:trPr>
        <w:tc>
          <w:tcPr>
            <w:tcW w:w="0" w:type="auto"/>
            <w:shd w:val="clear" w:color="auto" w:fill="auto"/>
          </w:tcPr>
          <w:p w14:paraId="155B3764" w14:textId="77777777" w:rsidR="007F5C75" w:rsidRPr="00C1603D" w:rsidRDefault="007F5C75" w:rsidP="007F5C75">
            <w:pPr>
              <w:pStyle w:val="72TabletextTablesTableFigureBoxstyles"/>
              <w:rPr>
                <w:lang w:eastAsia="en-GB"/>
              </w:rPr>
            </w:pPr>
            <w:r w:rsidRPr="00C1603D">
              <w:rPr>
                <w:lang w:eastAsia="en-GB"/>
              </w:rPr>
              <w:t>Thyroid disease</w:t>
            </w:r>
          </w:p>
        </w:tc>
        <w:tc>
          <w:tcPr>
            <w:tcW w:w="0" w:type="auto"/>
            <w:shd w:val="clear" w:color="auto" w:fill="auto"/>
          </w:tcPr>
          <w:p w14:paraId="6768C148" w14:textId="19B6A69B" w:rsidR="007F5C75" w:rsidRPr="00C1603D" w:rsidRDefault="007F5C75" w:rsidP="007F5C75">
            <w:pPr>
              <w:pStyle w:val="72TabletextTablesTableFigureBoxstyles"/>
              <w:rPr>
                <w:lang w:eastAsia="en-GB"/>
              </w:rPr>
            </w:pPr>
            <w:r w:rsidRPr="00C1603D">
              <w:rPr>
                <w:lang w:eastAsia="en-GB"/>
              </w:rPr>
              <w:t xml:space="preserve">Thyroiditis, autoimmune </w:t>
            </w:r>
            <w:r w:rsidR="008D2D52" w:rsidRPr="00C1603D">
              <w:rPr>
                <w:lang w:eastAsia="en-GB"/>
              </w:rPr>
              <w:t>t</w:t>
            </w:r>
            <w:r w:rsidRPr="00C1603D">
              <w:rPr>
                <w:lang w:eastAsia="en-GB"/>
              </w:rPr>
              <w:t>hyroiditis, hypothyroidism, hyperthyroidism, Graves’ disease, goitre, Hashimoto</w:t>
            </w:r>
            <w:r w:rsidR="0026090E" w:rsidRPr="00C1603D">
              <w:rPr>
                <w:lang w:eastAsia="en-GB"/>
              </w:rPr>
              <w:t>’s</w:t>
            </w:r>
            <w:r w:rsidRPr="00C1603D">
              <w:rPr>
                <w:lang w:eastAsia="en-GB"/>
              </w:rPr>
              <w:t xml:space="preserve"> thyroiditis, </w:t>
            </w:r>
            <w:r w:rsidR="0026090E" w:rsidRPr="00C1603D">
              <w:rPr>
                <w:lang w:eastAsia="en-GB"/>
              </w:rPr>
              <w:t>p</w:t>
            </w:r>
            <w:r w:rsidRPr="00C1603D">
              <w:rPr>
                <w:lang w:eastAsia="en-GB"/>
              </w:rPr>
              <w:t xml:space="preserve">ainless thyroiditis (silent thyroiditis), </w:t>
            </w:r>
            <w:r w:rsidR="0026090E" w:rsidRPr="00C1603D">
              <w:rPr>
                <w:lang w:eastAsia="en-GB"/>
              </w:rPr>
              <w:t>s</w:t>
            </w:r>
            <w:r w:rsidRPr="00C1603D">
              <w:rPr>
                <w:lang w:eastAsia="en-GB"/>
              </w:rPr>
              <w:t xml:space="preserve">ubacute thyroiditis, Graves’ disease excluding </w:t>
            </w:r>
            <w:r w:rsidR="0026090E" w:rsidRPr="00C1603D">
              <w:rPr>
                <w:lang w:eastAsia="en-GB"/>
              </w:rPr>
              <w:t>p</w:t>
            </w:r>
            <w:r w:rsidRPr="00C1603D">
              <w:rPr>
                <w:lang w:eastAsia="en-GB"/>
              </w:rPr>
              <w:t>ostpartum thyroiditis</w:t>
            </w:r>
          </w:p>
        </w:tc>
        <w:tc>
          <w:tcPr>
            <w:tcW w:w="0" w:type="auto"/>
            <w:shd w:val="clear" w:color="auto" w:fill="auto"/>
          </w:tcPr>
          <w:p w14:paraId="38CBCBB6" w14:textId="55E80BAB"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7D52D5D0" w14:textId="258B5163"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6DE17E73" w14:textId="51FCB82F"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7EBD0593" w14:textId="2063B03C"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19F54D99" w14:textId="77777777" w:rsidTr="00A73737">
        <w:trPr>
          <w:cantSplit/>
        </w:trPr>
        <w:tc>
          <w:tcPr>
            <w:tcW w:w="0" w:type="auto"/>
            <w:shd w:val="clear" w:color="auto" w:fill="auto"/>
          </w:tcPr>
          <w:p w14:paraId="712D24A5" w14:textId="77777777" w:rsidR="007F5C75" w:rsidRPr="00C1603D" w:rsidRDefault="007F5C75" w:rsidP="007F5C75">
            <w:pPr>
              <w:pStyle w:val="72TabletextTablesTableFigureBoxstyles"/>
              <w:rPr>
                <w:lang w:eastAsia="en-GB"/>
              </w:rPr>
            </w:pPr>
            <w:r w:rsidRPr="00C1603D">
              <w:rPr>
                <w:lang w:eastAsia="en-GB"/>
              </w:rPr>
              <w:t>Turner syndrome</w:t>
            </w:r>
          </w:p>
        </w:tc>
        <w:tc>
          <w:tcPr>
            <w:tcW w:w="0" w:type="auto"/>
            <w:shd w:val="clear" w:color="auto" w:fill="auto"/>
          </w:tcPr>
          <w:p w14:paraId="6BE3B0FF" w14:textId="77777777" w:rsidR="007F5C75" w:rsidRPr="00C1603D" w:rsidRDefault="007F5C75" w:rsidP="007F5C75">
            <w:pPr>
              <w:pStyle w:val="72TabletextTablesTableFigureBoxstyles"/>
              <w:rPr>
                <w:lang w:eastAsia="en-GB"/>
              </w:rPr>
            </w:pPr>
            <w:r w:rsidRPr="00C1603D">
              <w:rPr>
                <w:lang w:eastAsia="en-GB"/>
              </w:rPr>
              <w:t>Turner syndrome</w:t>
            </w:r>
          </w:p>
        </w:tc>
        <w:tc>
          <w:tcPr>
            <w:tcW w:w="0" w:type="auto"/>
            <w:shd w:val="clear" w:color="auto" w:fill="auto"/>
          </w:tcPr>
          <w:p w14:paraId="190A0593" w14:textId="77777777" w:rsidR="007F5C75" w:rsidRPr="00C1603D" w:rsidRDefault="007F5C75" w:rsidP="007F5C75">
            <w:pPr>
              <w:pStyle w:val="72TabletextTablesTableFigureBoxstyles"/>
              <w:rPr>
                <w:lang w:eastAsia="en-GB"/>
              </w:rPr>
            </w:pPr>
          </w:p>
        </w:tc>
        <w:tc>
          <w:tcPr>
            <w:tcW w:w="0" w:type="auto"/>
            <w:shd w:val="clear" w:color="auto" w:fill="auto"/>
          </w:tcPr>
          <w:p w14:paraId="30849146" w14:textId="04445065"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68C5FF19" w14:textId="0CA16893"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0ED845AA" w14:textId="4CC7EDF1"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7F5C75" w:rsidRPr="00C1603D" w14:paraId="0C11F44E" w14:textId="77777777" w:rsidTr="00A73737">
        <w:trPr>
          <w:cantSplit/>
        </w:trPr>
        <w:tc>
          <w:tcPr>
            <w:tcW w:w="0" w:type="auto"/>
            <w:shd w:val="clear" w:color="auto" w:fill="auto"/>
          </w:tcPr>
          <w:p w14:paraId="72AE9AF4" w14:textId="4F025582" w:rsidR="007F5C75" w:rsidRPr="00C1603D" w:rsidRDefault="0026090E" w:rsidP="007F5C75">
            <w:pPr>
              <w:pStyle w:val="72TabletextTablesTableFigureBoxstyles"/>
              <w:rPr>
                <w:lang w:eastAsia="en-GB"/>
              </w:rPr>
            </w:pPr>
            <w:r w:rsidRPr="00C1603D">
              <w:rPr>
                <w:lang w:eastAsia="en-GB"/>
              </w:rPr>
              <w:t xml:space="preserve">Type </w:t>
            </w:r>
            <w:r w:rsidR="007F5C75" w:rsidRPr="00C1603D">
              <w:rPr>
                <w:lang w:eastAsia="en-GB"/>
              </w:rPr>
              <w:t xml:space="preserve">1 </w:t>
            </w:r>
            <w:r w:rsidRPr="00C1603D">
              <w:rPr>
                <w:lang w:eastAsia="en-GB"/>
              </w:rPr>
              <w:t>diabetes</w:t>
            </w:r>
          </w:p>
        </w:tc>
        <w:tc>
          <w:tcPr>
            <w:tcW w:w="0" w:type="auto"/>
            <w:shd w:val="clear" w:color="auto" w:fill="auto"/>
          </w:tcPr>
          <w:p w14:paraId="2F7B8192" w14:textId="1B1AC7A8" w:rsidR="007F5C75" w:rsidRPr="00C1603D" w:rsidRDefault="007F5C75" w:rsidP="007F5C75">
            <w:pPr>
              <w:pStyle w:val="72TabletextTablesTableFigureBoxstyles"/>
              <w:rPr>
                <w:lang w:val="fr-FR" w:eastAsia="en-GB"/>
              </w:rPr>
            </w:pPr>
            <w:r w:rsidRPr="00C1603D">
              <w:rPr>
                <w:lang w:val="fr-FR" w:eastAsia="en-GB"/>
              </w:rPr>
              <w:t xml:space="preserve">Type 1 </w:t>
            </w:r>
            <w:r w:rsidR="0026090E" w:rsidRPr="00C1603D">
              <w:rPr>
                <w:lang w:val="fr-FR" w:eastAsia="en-GB"/>
              </w:rPr>
              <w:t>diabetes</w:t>
            </w:r>
            <w:r w:rsidRPr="00C1603D">
              <w:rPr>
                <w:lang w:val="fr-FR" w:eastAsia="en-GB"/>
              </w:rPr>
              <w:t>, includes juvenile diabetes or insulin-dependent diabetes (T89)</w:t>
            </w:r>
          </w:p>
        </w:tc>
        <w:tc>
          <w:tcPr>
            <w:tcW w:w="0" w:type="auto"/>
            <w:shd w:val="clear" w:color="auto" w:fill="auto"/>
          </w:tcPr>
          <w:p w14:paraId="30268C7E" w14:textId="3D1285FF"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51E87811" w14:textId="6957930E"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5E530A27" w14:textId="338B76FC"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32B95C2D" w14:textId="1EB7FAB9" w:rsidR="007F5C75" w:rsidRPr="00C1603D" w:rsidRDefault="007F5C75" w:rsidP="007F5C75">
            <w:pPr>
              <w:pStyle w:val="72TabletextTablesTableFigureBoxstyles"/>
              <w:rPr>
                <w:lang w:eastAsia="en-GB"/>
              </w:rPr>
            </w:pPr>
          </w:p>
        </w:tc>
      </w:tr>
      <w:tr w:rsidR="007F5C75" w:rsidRPr="00C1603D" w14:paraId="05BA21A6" w14:textId="77777777" w:rsidTr="00A73737">
        <w:trPr>
          <w:cantSplit/>
        </w:trPr>
        <w:tc>
          <w:tcPr>
            <w:tcW w:w="0" w:type="auto"/>
            <w:shd w:val="clear" w:color="auto" w:fill="auto"/>
          </w:tcPr>
          <w:p w14:paraId="27D61287" w14:textId="1E335EF8" w:rsidR="007F5C75" w:rsidRPr="00C1603D" w:rsidRDefault="007F5C75" w:rsidP="007F5C75">
            <w:pPr>
              <w:pStyle w:val="72TabletextTablesTableFigureBoxstyles"/>
              <w:rPr>
                <w:lang w:eastAsia="en-GB"/>
              </w:rPr>
            </w:pPr>
            <w:r w:rsidRPr="00C1603D">
              <w:rPr>
                <w:lang w:eastAsia="en-GB"/>
              </w:rPr>
              <w:t xml:space="preserve">Type 2 </w:t>
            </w:r>
            <w:r w:rsidR="0026090E" w:rsidRPr="00C1603D">
              <w:rPr>
                <w:lang w:eastAsia="en-GB"/>
              </w:rPr>
              <w:t>diabetes</w:t>
            </w:r>
          </w:p>
        </w:tc>
        <w:tc>
          <w:tcPr>
            <w:tcW w:w="0" w:type="auto"/>
            <w:shd w:val="clear" w:color="auto" w:fill="auto"/>
          </w:tcPr>
          <w:p w14:paraId="5A9195BD" w14:textId="6D1F1192" w:rsidR="007F5C75" w:rsidRPr="00C1603D" w:rsidRDefault="007F5C75" w:rsidP="007F5C75">
            <w:pPr>
              <w:pStyle w:val="72TabletextTablesTableFigureBoxstyles"/>
              <w:rPr>
                <w:lang w:val="pt-BR" w:eastAsia="en-GB"/>
              </w:rPr>
            </w:pPr>
            <w:r w:rsidRPr="00C1603D">
              <w:rPr>
                <w:lang w:val="pt-BR" w:eastAsia="en-GB"/>
              </w:rPr>
              <w:t xml:space="preserve">Type 2 </w:t>
            </w:r>
            <w:r w:rsidR="0026090E" w:rsidRPr="00C1603D">
              <w:rPr>
                <w:lang w:val="pt-BR" w:eastAsia="en-GB"/>
              </w:rPr>
              <w:t>diabetes</w:t>
            </w:r>
            <w:r w:rsidRPr="00C1603D">
              <w:rPr>
                <w:lang w:val="pt-BR" w:eastAsia="en-GB"/>
              </w:rPr>
              <w:t>, includes diabetes NOS; late</w:t>
            </w:r>
            <w:r w:rsidR="0026090E" w:rsidRPr="00C1603D">
              <w:rPr>
                <w:lang w:val="pt-BR" w:eastAsia="en-GB"/>
              </w:rPr>
              <w:t>-</w:t>
            </w:r>
            <w:r w:rsidRPr="00C1603D">
              <w:rPr>
                <w:lang w:val="pt-BR" w:eastAsia="en-GB"/>
              </w:rPr>
              <w:t>onset diabetes; type 2 diabetes (T90)</w:t>
            </w:r>
          </w:p>
        </w:tc>
        <w:tc>
          <w:tcPr>
            <w:tcW w:w="0" w:type="auto"/>
            <w:shd w:val="clear" w:color="auto" w:fill="auto"/>
          </w:tcPr>
          <w:p w14:paraId="1E2A658E" w14:textId="3A321555"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5B86AFA8" w14:textId="77777777" w:rsidR="007F5C75" w:rsidRPr="00C1603D" w:rsidRDefault="007F5C75" w:rsidP="007F5C75">
            <w:pPr>
              <w:pStyle w:val="72TabletextTablesTableFigureBoxstyles"/>
              <w:rPr>
                <w:lang w:eastAsia="en-GB"/>
              </w:rPr>
            </w:pPr>
          </w:p>
        </w:tc>
        <w:tc>
          <w:tcPr>
            <w:tcW w:w="0" w:type="auto"/>
            <w:shd w:val="clear" w:color="auto" w:fill="auto"/>
          </w:tcPr>
          <w:p w14:paraId="590DAD47" w14:textId="77777777" w:rsidR="007F5C75" w:rsidRPr="00C1603D" w:rsidRDefault="007F5C75" w:rsidP="007F5C75">
            <w:pPr>
              <w:pStyle w:val="72TabletextTablesTableFigureBoxstyles"/>
              <w:rPr>
                <w:lang w:eastAsia="en-GB"/>
              </w:rPr>
            </w:pPr>
          </w:p>
        </w:tc>
        <w:tc>
          <w:tcPr>
            <w:tcW w:w="0" w:type="auto"/>
            <w:shd w:val="clear" w:color="auto" w:fill="auto"/>
          </w:tcPr>
          <w:p w14:paraId="7CBD502F" w14:textId="77777777" w:rsidR="007F5C75" w:rsidRPr="00C1603D" w:rsidRDefault="007F5C75" w:rsidP="007F5C75">
            <w:pPr>
              <w:pStyle w:val="72TabletextTablesTableFigureBoxstyles"/>
              <w:rPr>
                <w:lang w:eastAsia="en-GB"/>
              </w:rPr>
            </w:pPr>
          </w:p>
        </w:tc>
      </w:tr>
      <w:tr w:rsidR="007F5C75" w:rsidRPr="00C1603D" w14:paraId="2F53BDD8" w14:textId="77777777" w:rsidTr="00A73737">
        <w:trPr>
          <w:cantSplit/>
        </w:trPr>
        <w:tc>
          <w:tcPr>
            <w:tcW w:w="0" w:type="auto"/>
            <w:vMerge w:val="restart"/>
            <w:shd w:val="clear" w:color="auto" w:fill="auto"/>
          </w:tcPr>
          <w:p w14:paraId="50A99979" w14:textId="77777777" w:rsidR="007F5C75" w:rsidRPr="00C1603D" w:rsidRDefault="007F5C75" w:rsidP="007F5C75">
            <w:pPr>
              <w:pStyle w:val="72TabletextTablesTableFigureBoxstyles"/>
              <w:rPr>
                <w:lang w:eastAsia="en-GB"/>
              </w:rPr>
            </w:pPr>
            <w:r w:rsidRPr="00C1603D">
              <w:rPr>
                <w:lang w:eastAsia="en-GB"/>
              </w:rPr>
              <w:t>Weight loss</w:t>
            </w:r>
          </w:p>
        </w:tc>
        <w:tc>
          <w:tcPr>
            <w:tcW w:w="0" w:type="auto"/>
            <w:shd w:val="clear" w:color="auto" w:fill="auto"/>
          </w:tcPr>
          <w:p w14:paraId="15718B54" w14:textId="529DD375" w:rsidR="007F5C75" w:rsidRPr="00C1603D" w:rsidRDefault="007F5C75" w:rsidP="007F5C75">
            <w:pPr>
              <w:pStyle w:val="72TabletextTablesTableFigureBoxstyles"/>
              <w:rPr>
                <w:lang w:eastAsia="en-GB"/>
              </w:rPr>
            </w:pPr>
            <w:r w:rsidRPr="00C1603D">
              <w:rPr>
                <w:lang w:eastAsia="en-GB"/>
              </w:rPr>
              <w:t xml:space="preserve">Includes </w:t>
            </w:r>
            <w:r w:rsidR="0026090E" w:rsidRPr="00C1603D">
              <w:rPr>
                <w:lang w:eastAsia="en-GB"/>
              </w:rPr>
              <w:t>w</w:t>
            </w:r>
            <w:r w:rsidRPr="00C1603D">
              <w:rPr>
                <w:lang w:eastAsia="en-GB"/>
              </w:rPr>
              <w:t>eight loss, cachexia (T08)</w:t>
            </w:r>
          </w:p>
        </w:tc>
        <w:tc>
          <w:tcPr>
            <w:tcW w:w="0" w:type="auto"/>
            <w:vMerge w:val="restart"/>
            <w:shd w:val="clear" w:color="auto" w:fill="auto"/>
          </w:tcPr>
          <w:p w14:paraId="3FFADD39" w14:textId="15C1FD10"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1605A708" w14:textId="055B8B05"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71E590C8" w14:textId="6D0D7E9B" w:rsidR="007F5C75" w:rsidRPr="00C1603D" w:rsidRDefault="007F5C75" w:rsidP="007F5C75">
            <w:pPr>
              <w:pStyle w:val="72TabletextTablesTableFigureBoxstyles"/>
              <w:rPr>
                <w:lang w:eastAsia="en-GB"/>
              </w:rPr>
            </w:pPr>
            <w:r w:rsidRPr="00C1603D">
              <w:rPr>
                <w:rFonts w:ascii="Segoe UI Symbol" w:hAnsi="Segoe UI Symbol" w:cs="Segoe UI Symbol"/>
              </w:rPr>
              <w:t>✗</w:t>
            </w:r>
          </w:p>
        </w:tc>
        <w:tc>
          <w:tcPr>
            <w:tcW w:w="0" w:type="auto"/>
            <w:vMerge w:val="restart"/>
            <w:shd w:val="clear" w:color="auto" w:fill="auto"/>
          </w:tcPr>
          <w:p w14:paraId="0EF02F50" w14:textId="6DDFC637" w:rsidR="007F5C75" w:rsidRPr="00C1603D" w:rsidRDefault="007F5C75" w:rsidP="007F5C75">
            <w:pPr>
              <w:pStyle w:val="72TabletextTablesTableFigureBoxstyles"/>
              <w:rPr>
                <w:lang w:eastAsia="en-GB"/>
              </w:rPr>
            </w:pPr>
            <w:r w:rsidRPr="00C1603D">
              <w:rPr>
                <w:rFonts w:ascii="Segoe UI Symbol" w:hAnsi="Segoe UI Symbol" w:cs="Segoe UI Symbol"/>
              </w:rPr>
              <w:t>✗</w:t>
            </w:r>
          </w:p>
        </w:tc>
      </w:tr>
      <w:tr w:rsidR="008B4DF8" w:rsidRPr="00C1603D" w14:paraId="2B7F7792" w14:textId="77777777" w:rsidTr="00A73737">
        <w:trPr>
          <w:cantSplit/>
        </w:trPr>
        <w:tc>
          <w:tcPr>
            <w:tcW w:w="0" w:type="auto"/>
            <w:vMerge/>
            <w:shd w:val="clear" w:color="auto" w:fill="auto"/>
          </w:tcPr>
          <w:p w14:paraId="3AA6E0A2" w14:textId="77777777" w:rsidR="008B4DF8" w:rsidRPr="00C1603D" w:rsidRDefault="008B4DF8" w:rsidP="00A73737">
            <w:pPr>
              <w:pStyle w:val="72TabletextTablesTableFigureBoxstyles"/>
              <w:rPr>
                <w:lang w:eastAsia="en-GB"/>
              </w:rPr>
            </w:pPr>
          </w:p>
        </w:tc>
        <w:tc>
          <w:tcPr>
            <w:tcW w:w="0" w:type="auto"/>
            <w:shd w:val="clear" w:color="auto" w:fill="auto"/>
          </w:tcPr>
          <w:p w14:paraId="2F048689" w14:textId="6233F90C" w:rsidR="008B4DF8" w:rsidRPr="00C1603D" w:rsidRDefault="008B4DF8" w:rsidP="00A73737">
            <w:pPr>
              <w:pStyle w:val="72TabletextTablesTableFigureBoxstyles"/>
              <w:rPr>
                <w:lang w:eastAsia="en-GB"/>
              </w:rPr>
            </w:pPr>
            <w:r w:rsidRPr="00C1603D">
              <w:rPr>
                <w:lang w:eastAsia="en-GB"/>
              </w:rPr>
              <w:t xml:space="preserve">Excludes anorexia nervosa </w:t>
            </w:r>
            <w:r w:rsidR="005F4097" w:rsidRPr="00C1603D">
              <w:rPr>
                <w:lang w:eastAsia="en-GB"/>
              </w:rPr>
              <w:t>(</w:t>
            </w:r>
            <w:r w:rsidRPr="00C1603D">
              <w:rPr>
                <w:lang w:eastAsia="en-GB"/>
              </w:rPr>
              <w:t>P86</w:t>
            </w:r>
            <w:r w:rsidR="005F4097" w:rsidRPr="00C1603D">
              <w:rPr>
                <w:lang w:eastAsia="en-GB"/>
              </w:rPr>
              <w:t>)</w:t>
            </w:r>
          </w:p>
        </w:tc>
        <w:tc>
          <w:tcPr>
            <w:tcW w:w="0" w:type="auto"/>
            <w:vMerge/>
            <w:shd w:val="clear" w:color="auto" w:fill="auto"/>
          </w:tcPr>
          <w:p w14:paraId="5BAA0DE2" w14:textId="77777777" w:rsidR="008B4DF8" w:rsidRPr="00C1603D" w:rsidRDefault="008B4DF8" w:rsidP="00A73737">
            <w:pPr>
              <w:pStyle w:val="72TabletextTablesTableFigureBoxstyles"/>
              <w:rPr>
                <w:lang w:eastAsia="en-GB"/>
              </w:rPr>
            </w:pPr>
          </w:p>
        </w:tc>
        <w:tc>
          <w:tcPr>
            <w:tcW w:w="0" w:type="auto"/>
            <w:vMerge/>
            <w:shd w:val="clear" w:color="auto" w:fill="auto"/>
          </w:tcPr>
          <w:p w14:paraId="25E38852" w14:textId="77777777" w:rsidR="008B4DF8" w:rsidRPr="00C1603D" w:rsidRDefault="008B4DF8" w:rsidP="00A73737">
            <w:pPr>
              <w:pStyle w:val="72TabletextTablesTableFigureBoxstyles"/>
              <w:rPr>
                <w:lang w:eastAsia="en-GB"/>
              </w:rPr>
            </w:pPr>
          </w:p>
        </w:tc>
        <w:tc>
          <w:tcPr>
            <w:tcW w:w="0" w:type="auto"/>
            <w:vMerge/>
            <w:shd w:val="clear" w:color="auto" w:fill="auto"/>
          </w:tcPr>
          <w:p w14:paraId="24F176E0" w14:textId="77777777" w:rsidR="008B4DF8" w:rsidRPr="00C1603D" w:rsidRDefault="008B4DF8" w:rsidP="00A73737">
            <w:pPr>
              <w:pStyle w:val="72TabletextTablesTableFigureBoxstyles"/>
              <w:rPr>
                <w:lang w:eastAsia="en-GB"/>
              </w:rPr>
            </w:pPr>
          </w:p>
        </w:tc>
        <w:tc>
          <w:tcPr>
            <w:tcW w:w="0" w:type="auto"/>
            <w:vMerge/>
            <w:shd w:val="clear" w:color="auto" w:fill="auto"/>
          </w:tcPr>
          <w:p w14:paraId="5E6A34FB" w14:textId="77777777" w:rsidR="008B4DF8" w:rsidRPr="00C1603D" w:rsidRDefault="008B4DF8" w:rsidP="00A73737">
            <w:pPr>
              <w:pStyle w:val="72TabletextTablesTableFigureBoxstyles"/>
              <w:rPr>
                <w:lang w:eastAsia="en-GB"/>
              </w:rPr>
            </w:pPr>
          </w:p>
        </w:tc>
      </w:tr>
      <w:tr w:rsidR="008B4DF8" w:rsidRPr="00C1603D" w14:paraId="67CDDA99" w14:textId="77777777" w:rsidTr="00A73737">
        <w:trPr>
          <w:cantSplit/>
        </w:trPr>
        <w:tc>
          <w:tcPr>
            <w:tcW w:w="0" w:type="auto"/>
            <w:shd w:val="clear" w:color="auto" w:fill="auto"/>
          </w:tcPr>
          <w:p w14:paraId="541AF594" w14:textId="3F9AF68D" w:rsidR="008B4DF8" w:rsidRPr="00C1603D" w:rsidRDefault="008B4DF8" w:rsidP="00A73737">
            <w:pPr>
              <w:pStyle w:val="72TabletextTablesTableFigureBoxstyles"/>
              <w:rPr>
                <w:lang w:eastAsia="en-GB"/>
              </w:rPr>
            </w:pPr>
            <w:r w:rsidRPr="00C1603D">
              <w:rPr>
                <w:lang w:eastAsia="en-GB"/>
              </w:rPr>
              <w:t>Williams</w:t>
            </w:r>
            <w:r w:rsidR="00AA0F2E" w:rsidRPr="00C1603D">
              <w:rPr>
                <w:lang w:eastAsia="en-GB"/>
              </w:rPr>
              <w:t>–</w:t>
            </w:r>
            <w:r w:rsidRPr="00C1603D">
              <w:rPr>
                <w:lang w:eastAsia="en-GB"/>
              </w:rPr>
              <w:t>Beuren syndrome</w:t>
            </w:r>
          </w:p>
        </w:tc>
        <w:tc>
          <w:tcPr>
            <w:tcW w:w="0" w:type="auto"/>
            <w:shd w:val="clear" w:color="auto" w:fill="auto"/>
          </w:tcPr>
          <w:p w14:paraId="294C0AEE" w14:textId="77777777" w:rsidR="008B4DF8" w:rsidRPr="00C1603D" w:rsidRDefault="008B4DF8" w:rsidP="00A73737">
            <w:pPr>
              <w:pStyle w:val="72TabletextTablesTableFigureBoxstyles"/>
              <w:rPr>
                <w:lang w:eastAsia="en-GB"/>
              </w:rPr>
            </w:pPr>
            <w:r w:rsidRPr="00C1603D">
              <w:rPr>
                <w:lang w:eastAsia="en-GB"/>
              </w:rPr>
              <w:t>Also known as Williams syndrome</w:t>
            </w:r>
          </w:p>
        </w:tc>
        <w:tc>
          <w:tcPr>
            <w:tcW w:w="0" w:type="auto"/>
            <w:shd w:val="clear" w:color="auto" w:fill="auto"/>
          </w:tcPr>
          <w:p w14:paraId="654C0FF8" w14:textId="71060FB1" w:rsidR="008B4DF8" w:rsidRPr="00C1603D" w:rsidRDefault="008B4DF8" w:rsidP="00A73737">
            <w:pPr>
              <w:pStyle w:val="72TabletextTablesTableFigureBoxstyles"/>
              <w:rPr>
                <w:lang w:eastAsia="en-GB"/>
              </w:rPr>
            </w:pPr>
          </w:p>
        </w:tc>
        <w:tc>
          <w:tcPr>
            <w:tcW w:w="0" w:type="auto"/>
            <w:shd w:val="clear" w:color="auto" w:fill="auto"/>
          </w:tcPr>
          <w:p w14:paraId="320D902F" w14:textId="131A3F96" w:rsidR="008B4DF8" w:rsidRPr="00C1603D" w:rsidRDefault="008B4DF8" w:rsidP="00A73737">
            <w:pPr>
              <w:pStyle w:val="72TabletextTablesTableFigureBoxstyles"/>
              <w:rPr>
                <w:lang w:eastAsia="en-GB"/>
              </w:rPr>
            </w:pPr>
          </w:p>
        </w:tc>
        <w:tc>
          <w:tcPr>
            <w:tcW w:w="0" w:type="auto"/>
            <w:shd w:val="clear" w:color="auto" w:fill="auto"/>
          </w:tcPr>
          <w:p w14:paraId="4D6134EA" w14:textId="36758E01" w:rsidR="008B4DF8" w:rsidRPr="00C1603D" w:rsidRDefault="007F5C75" w:rsidP="00A73737">
            <w:pPr>
              <w:pStyle w:val="72TabletextTablesTableFigureBoxstyles"/>
              <w:rPr>
                <w:lang w:eastAsia="en-GB"/>
              </w:rPr>
            </w:pPr>
            <w:r w:rsidRPr="00C1603D">
              <w:rPr>
                <w:rFonts w:ascii="Segoe UI Symbol" w:hAnsi="Segoe UI Symbol" w:cs="Segoe UI Symbol"/>
              </w:rPr>
              <w:t>✗</w:t>
            </w:r>
          </w:p>
        </w:tc>
        <w:tc>
          <w:tcPr>
            <w:tcW w:w="0" w:type="auto"/>
            <w:shd w:val="clear" w:color="auto" w:fill="auto"/>
          </w:tcPr>
          <w:p w14:paraId="2537C6AE" w14:textId="1094EDF8" w:rsidR="008B4DF8" w:rsidRPr="00C1603D" w:rsidRDefault="008B4DF8" w:rsidP="00A73737">
            <w:pPr>
              <w:pStyle w:val="72TabletextTablesTableFigureBoxstyles"/>
              <w:rPr>
                <w:lang w:eastAsia="en-GB"/>
              </w:rPr>
            </w:pPr>
          </w:p>
        </w:tc>
      </w:tr>
      <w:tr w:rsidR="00B04119" w:rsidRPr="00C1603D" w14:paraId="49081A68" w14:textId="77777777" w:rsidTr="00AD429A">
        <w:trPr>
          <w:cantSplit/>
        </w:trPr>
        <w:tc>
          <w:tcPr>
            <w:tcW w:w="0" w:type="auto"/>
            <w:gridSpan w:val="6"/>
            <w:shd w:val="clear" w:color="auto" w:fill="auto"/>
          </w:tcPr>
          <w:p w14:paraId="77A67CA1" w14:textId="13671409" w:rsidR="00B04119" w:rsidRPr="00C1603D" w:rsidRDefault="00B04119" w:rsidP="00B04119">
            <w:pPr>
              <w:pStyle w:val="75TablenotesTablesTableFigureBoxstyles"/>
              <w:rPr>
                <w:lang w:eastAsia="en-GB"/>
              </w:rPr>
            </w:pPr>
            <w:r w:rsidRPr="00C1603D">
              <w:rPr>
                <w:lang w:eastAsia="en-GB"/>
              </w:rPr>
              <w:t>NOS, not otherwise specified.</w:t>
            </w:r>
          </w:p>
        </w:tc>
      </w:tr>
    </w:tbl>
    <w:p w14:paraId="5F48142B" w14:textId="001B715A" w:rsidR="008B4DF8" w:rsidRPr="00C1603D" w:rsidRDefault="008B4DF8" w:rsidP="008B4DF8">
      <w:pPr>
        <w:pStyle w:val="43AppendixtitleHeadingsHeadingstyles"/>
      </w:pPr>
      <w:bookmarkStart w:id="665" w:name="_Toc99539935"/>
      <w:r w:rsidRPr="00C1603D">
        <w:lastRenderedPageBreak/>
        <w:t>Appendix 10</w:t>
      </w:r>
      <w:bookmarkEnd w:id="665"/>
      <w:r w:rsidR="0013640D" w:rsidRPr="00C1603D">
        <w:t> </w:t>
      </w:r>
      <w:r w:rsidR="0013640D" w:rsidRPr="00C1603D">
        <w:t>Patient flow diagrams</w:t>
      </w:r>
    </w:p>
    <w:p w14:paraId="6B3AA7BC" w14:textId="60BC5BE5" w:rsidR="008B4DF8" w:rsidRPr="00C1603D" w:rsidRDefault="008B4DF8" w:rsidP="008B4DF8">
      <w:pPr>
        <w:pStyle w:val="81FigurelegendTableFigureBoxstyles"/>
      </w:pPr>
      <w:bookmarkStart w:id="666" w:name="_Toc99720835"/>
      <w:r w:rsidRPr="00C1603D">
        <w:rPr>
          <w:b/>
        </w:rPr>
        <w:t>FIGURE 54</w:t>
      </w:r>
      <w:r w:rsidRPr="00C1603D">
        <w:rPr>
          <w:b/>
        </w:rPr>
        <w:t> </w:t>
      </w:r>
      <w:r w:rsidRPr="00C1603D">
        <w:t>Patient flow diagram</w:t>
      </w:r>
      <w:r w:rsidR="000D351E" w:rsidRPr="00C1603D">
        <w:t>s for the</w:t>
      </w:r>
      <w:r w:rsidRPr="00C1603D">
        <w:t xml:space="preserve"> development (</w:t>
      </w:r>
      <w:r w:rsidR="00C20CA0" w:rsidRPr="00C1603D">
        <w:t>CPRD GOLD</w:t>
      </w:r>
      <w:r w:rsidRPr="00C1603D">
        <w:t>) and external validation (CPRD Aurum)</w:t>
      </w:r>
      <w:bookmarkEnd w:id="666"/>
      <w:r w:rsidR="000D351E" w:rsidRPr="00C1603D">
        <w:t xml:space="preserve"> data sets.</w:t>
      </w:r>
      <w:r w:rsidR="00C560F3" w:rsidRPr="00C1603D">
        <w:t xml:space="preserve"> a, This sensitivity analysis </w:t>
      </w:r>
      <w:proofErr w:type="gramStart"/>
      <w:r w:rsidR="00C560F3" w:rsidRPr="00C1603D">
        <w:t>was restricted</w:t>
      </w:r>
      <w:proofErr w:type="gramEnd"/>
      <w:r w:rsidR="00C560F3" w:rsidRPr="00C1603D">
        <w:t xml:space="preserve"> to patients diagnosed after 1997 because in this year IgA tTG tests were first developed, which are now the preferred serological test for screening for CD.</w:t>
      </w:r>
      <w:r w:rsidR="008603C6" w:rsidRPr="00C1603D">
        <w:rPr>
          <w:vertAlign w:val="superscript"/>
        </w:rPr>
        <w:t>a</w:t>
      </w:r>
    </w:p>
    <w:p w14:paraId="4441C9A3" w14:textId="418F3DBF" w:rsidR="008B4DF8" w:rsidRPr="00C1603D" w:rsidRDefault="008B4DF8" w:rsidP="008B4DF8">
      <w:pPr>
        <w:pStyle w:val="43AppendixtitleHeadingsHeadingstyles"/>
      </w:pPr>
      <w:bookmarkStart w:id="667" w:name="_Ref95137073"/>
      <w:bookmarkStart w:id="668" w:name="_Toc99539936"/>
      <w:r w:rsidRPr="00C1603D">
        <w:lastRenderedPageBreak/>
        <w:t xml:space="preserve">Appendix </w:t>
      </w:r>
      <w:bookmarkEnd w:id="655"/>
      <w:r w:rsidRPr="00C1603D">
        <w:t>11</w:t>
      </w:r>
      <w:bookmarkEnd w:id="656"/>
      <w:bookmarkEnd w:id="667"/>
      <w:bookmarkEnd w:id="668"/>
      <w:r w:rsidR="0013640D" w:rsidRPr="00C1603D">
        <w:t> </w:t>
      </w:r>
      <w:r w:rsidR="0013640D" w:rsidRPr="00C1603D">
        <w:t>Model coefficients and odds ratios</w:t>
      </w:r>
    </w:p>
    <w:p w14:paraId="2AE15340" w14:textId="1CAEAD35" w:rsidR="008B4DF8" w:rsidRPr="00C1603D" w:rsidRDefault="008B4DF8" w:rsidP="008B4DF8">
      <w:pPr>
        <w:pStyle w:val="70TablelegendTablesTableFigureBoxstyles"/>
      </w:pPr>
      <w:bookmarkStart w:id="669" w:name="_Toc99720763"/>
      <w:r w:rsidRPr="00C1603D">
        <w:rPr>
          <w:b/>
        </w:rPr>
        <w:t>TABLE 5</w:t>
      </w:r>
      <w:r w:rsidR="00032460" w:rsidRPr="00C1603D">
        <w:rPr>
          <w:b/>
        </w:rPr>
        <w:t>3</w:t>
      </w:r>
      <w:r w:rsidRPr="00C1603D">
        <w:rPr>
          <w:b/>
        </w:rPr>
        <w:t> </w:t>
      </w:r>
      <w:r w:rsidRPr="00C1603D">
        <w:t xml:space="preserve">Children: </w:t>
      </w:r>
      <w:r w:rsidR="00E95267" w:rsidRPr="00C1603D">
        <w:t>m</w:t>
      </w:r>
      <w:r w:rsidRPr="00C1603D">
        <w:t xml:space="preserve">odel coefficients and </w:t>
      </w:r>
      <w:r w:rsidR="00AB3EFB" w:rsidRPr="00C1603D">
        <w:t>odds ratio</w:t>
      </w:r>
      <w:r w:rsidRPr="00C1603D">
        <w:t>s with and without shrinkage applied</w:t>
      </w:r>
      <w:bookmarkEnd w:id="657"/>
      <w:bookmarkEnd w:id="669"/>
    </w:p>
    <w:tbl>
      <w:tblPr>
        <w:tblW w:w="0" w:type="auto"/>
        <w:tblCellMar>
          <w:top w:w="40" w:type="dxa"/>
          <w:left w:w="60" w:type="dxa"/>
          <w:bottom w:w="40" w:type="dxa"/>
          <w:right w:w="60" w:type="dxa"/>
        </w:tblCellMar>
        <w:tblLook w:val="0600" w:firstRow="0" w:lastRow="0" w:firstColumn="0" w:lastColumn="0" w:noHBand="1" w:noVBand="1"/>
      </w:tblPr>
      <w:tblGrid>
        <w:gridCol w:w="1113"/>
        <w:gridCol w:w="1162"/>
        <w:gridCol w:w="1417"/>
        <w:gridCol w:w="1392"/>
        <w:gridCol w:w="833"/>
        <w:gridCol w:w="954"/>
        <w:gridCol w:w="1065"/>
        <w:gridCol w:w="1090"/>
      </w:tblGrid>
      <w:tr w:rsidR="00567927" w:rsidRPr="00C1603D" w14:paraId="63E7E61F" w14:textId="77777777" w:rsidTr="00567927">
        <w:trPr>
          <w:cantSplit/>
        </w:trPr>
        <w:tc>
          <w:tcPr>
            <w:tcW w:w="0" w:type="auto"/>
            <w:vMerge w:val="restart"/>
            <w:shd w:val="clear" w:color="auto" w:fill="auto"/>
            <w:tcMar>
              <w:top w:w="8" w:type="dxa"/>
              <w:left w:w="8" w:type="dxa"/>
              <w:bottom w:w="0" w:type="dxa"/>
              <w:right w:w="8" w:type="dxa"/>
            </w:tcMar>
          </w:tcPr>
          <w:p w14:paraId="6A38140B" w14:textId="3E2A2DE9" w:rsidR="00567927" w:rsidRPr="00C1603D" w:rsidRDefault="00567927" w:rsidP="00567927">
            <w:pPr>
              <w:pStyle w:val="710TableheadTablesTableFigureBoxstyles"/>
            </w:pPr>
            <w:r w:rsidRPr="00C1603D">
              <w:t>Selected predictors</w:t>
            </w:r>
          </w:p>
        </w:tc>
        <w:tc>
          <w:tcPr>
            <w:tcW w:w="0" w:type="auto"/>
            <w:vMerge w:val="restart"/>
            <w:shd w:val="clear" w:color="auto" w:fill="auto"/>
            <w:tcMar>
              <w:top w:w="8" w:type="dxa"/>
              <w:left w:w="8" w:type="dxa"/>
              <w:bottom w:w="0" w:type="dxa"/>
              <w:right w:w="8" w:type="dxa"/>
            </w:tcMar>
          </w:tcPr>
          <w:p w14:paraId="0465DA18" w14:textId="4B7391A5" w:rsidR="00567927" w:rsidRPr="00C1603D" w:rsidRDefault="00567927" w:rsidP="00567927">
            <w:pPr>
              <w:pStyle w:val="710TableheadTablesTableFigureBoxstyles"/>
            </w:pPr>
            <w:r w:rsidRPr="00C1603D">
              <w:t>Coefficients (apparent model)</w:t>
            </w:r>
          </w:p>
        </w:tc>
        <w:tc>
          <w:tcPr>
            <w:tcW w:w="0" w:type="auto"/>
            <w:vMerge w:val="restart"/>
            <w:shd w:val="clear" w:color="auto" w:fill="auto"/>
            <w:tcMar>
              <w:top w:w="8" w:type="dxa"/>
              <w:left w:w="8" w:type="dxa"/>
              <w:bottom w:w="0" w:type="dxa"/>
              <w:right w:w="8" w:type="dxa"/>
            </w:tcMar>
          </w:tcPr>
          <w:p w14:paraId="526C7401" w14:textId="4CA0FCD3" w:rsidR="00567927" w:rsidRPr="00C1603D" w:rsidRDefault="00567927" w:rsidP="00567927">
            <w:pPr>
              <w:pStyle w:val="710TableheadTablesTableFigureBoxstyles"/>
            </w:pPr>
            <w:r w:rsidRPr="00C1603D">
              <w:t>200 × bootstrap samples, median (IQR) (internal validation)</w:t>
            </w:r>
          </w:p>
        </w:tc>
        <w:tc>
          <w:tcPr>
            <w:tcW w:w="0" w:type="auto"/>
            <w:vMerge w:val="restart"/>
            <w:shd w:val="clear" w:color="auto" w:fill="auto"/>
            <w:tcMar>
              <w:top w:w="8" w:type="dxa"/>
              <w:left w:w="8" w:type="dxa"/>
              <w:bottom w:w="0" w:type="dxa"/>
              <w:right w:w="8" w:type="dxa"/>
            </w:tcMar>
          </w:tcPr>
          <w:p w14:paraId="25AB276D" w14:textId="661CE4CC" w:rsidR="00567927" w:rsidRPr="00C1603D" w:rsidRDefault="00567927" w:rsidP="00567927">
            <w:pPr>
              <w:pStyle w:val="710TableheadTablesTableFigureBoxstyles"/>
            </w:pPr>
            <w:r w:rsidRPr="00C1603D">
              <w:t>Coefficients without shrinkage (apparent model)</w:t>
            </w:r>
          </w:p>
        </w:tc>
        <w:tc>
          <w:tcPr>
            <w:tcW w:w="0" w:type="auto"/>
            <w:gridSpan w:val="2"/>
            <w:shd w:val="clear" w:color="auto" w:fill="auto"/>
            <w:tcMar>
              <w:top w:w="8" w:type="dxa"/>
              <w:left w:w="8" w:type="dxa"/>
              <w:bottom w:w="0" w:type="dxa"/>
              <w:right w:w="8" w:type="dxa"/>
            </w:tcMar>
          </w:tcPr>
          <w:p w14:paraId="4F8E2700" w14:textId="6D550512" w:rsidR="00567927" w:rsidRPr="00C1603D" w:rsidRDefault="00567927" w:rsidP="00567927">
            <w:pPr>
              <w:pStyle w:val="705TableheadgroupTablesTableFigureBoxstyles"/>
            </w:pPr>
            <w:r w:rsidRPr="00C1603D">
              <w:t>Odds ratios (apparent model)</w:t>
            </w:r>
          </w:p>
        </w:tc>
        <w:tc>
          <w:tcPr>
            <w:tcW w:w="0" w:type="auto"/>
            <w:vMerge w:val="restart"/>
            <w:shd w:val="clear" w:color="auto" w:fill="auto"/>
            <w:tcMar>
              <w:top w:w="8" w:type="dxa"/>
              <w:left w:w="8" w:type="dxa"/>
              <w:bottom w:w="0" w:type="dxa"/>
              <w:right w:w="8" w:type="dxa"/>
            </w:tcMar>
          </w:tcPr>
          <w:p w14:paraId="1B7B0956" w14:textId="28492B05" w:rsidR="00567927" w:rsidRPr="00C1603D" w:rsidRDefault="00567927" w:rsidP="00567927">
            <w:pPr>
              <w:pStyle w:val="710TableheadTablesTableFigureBoxstyles"/>
            </w:pPr>
            <w:r w:rsidRPr="00C1603D">
              <w:t>Unadjusted coefficients</w:t>
            </w:r>
          </w:p>
        </w:tc>
        <w:tc>
          <w:tcPr>
            <w:tcW w:w="0" w:type="auto"/>
            <w:vMerge w:val="restart"/>
            <w:shd w:val="clear" w:color="auto" w:fill="auto"/>
            <w:tcMar>
              <w:top w:w="8" w:type="dxa"/>
              <w:left w:w="8" w:type="dxa"/>
              <w:bottom w:w="0" w:type="dxa"/>
              <w:right w:w="8" w:type="dxa"/>
            </w:tcMar>
          </w:tcPr>
          <w:p w14:paraId="5A21F604" w14:textId="10B33D80" w:rsidR="00567927" w:rsidRPr="00C1603D" w:rsidRDefault="00567927" w:rsidP="00567927">
            <w:pPr>
              <w:pStyle w:val="710TableheadTablesTableFigureBoxstyles"/>
            </w:pPr>
            <w:r w:rsidRPr="00C1603D">
              <w:t>Unadjusted ORs</w:t>
            </w:r>
          </w:p>
        </w:tc>
      </w:tr>
      <w:tr w:rsidR="00567927" w:rsidRPr="00C1603D" w14:paraId="542CD52E" w14:textId="77777777" w:rsidTr="00567927">
        <w:trPr>
          <w:cantSplit/>
        </w:trPr>
        <w:tc>
          <w:tcPr>
            <w:tcW w:w="0" w:type="auto"/>
            <w:vMerge/>
            <w:shd w:val="clear" w:color="auto" w:fill="auto"/>
            <w:tcMar>
              <w:top w:w="8" w:type="dxa"/>
              <w:left w:w="8" w:type="dxa"/>
              <w:bottom w:w="0" w:type="dxa"/>
              <w:right w:w="8" w:type="dxa"/>
            </w:tcMar>
          </w:tcPr>
          <w:p w14:paraId="21437A58" w14:textId="57294E3F" w:rsidR="00567927" w:rsidRPr="00C1603D" w:rsidRDefault="00567927" w:rsidP="009B4185">
            <w:pPr>
              <w:pStyle w:val="710TableheadTablesTableFigureBoxstyles"/>
            </w:pPr>
          </w:p>
        </w:tc>
        <w:tc>
          <w:tcPr>
            <w:tcW w:w="0" w:type="auto"/>
            <w:vMerge/>
            <w:shd w:val="clear" w:color="auto" w:fill="auto"/>
            <w:tcMar>
              <w:top w:w="8" w:type="dxa"/>
              <w:left w:w="8" w:type="dxa"/>
              <w:bottom w:w="0" w:type="dxa"/>
              <w:right w:w="8" w:type="dxa"/>
            </w:tcMar>
          </w:tcPr>
          <w:p w14:paraId="4426BB57" w14:textId="1DF2390A" w:rsidR="00567927" w:rsidRPr="00C1603D" w:rsidRDefault="00567927" w:rsidP="009B4185">
            <w:pPr>
              <w:pStyle w:val="710TableheadTablesTableFigureBoxstyles"/>
            </w:pPr>
          </w:p>
        </w:tc>
        <w:tc>
          <w:tcPr>
            <w:tcW w:w="0" w:type="auto"/>
            <w:vMerge/>
            <w:shd w:val="clear" w:color="auto" w:fill="auto"/>
            <w:tcMar>
              <w:top w:w="8" w:type="dxa"/>
              <w:left w:w="8" w:type="dxa"/>
              <w:bottom w:w="0" w:type="dxa"/>
              <w:right w:w="8" w:type="dxa"/>
            </w:tcMar>
          </w:tcPr>
          <w:p w14:paraId="69A6BCFB" w14:textId="28BBC561" w:rsidR="00567927" w:rsidRPr="00C1603D" w:rsidRDefault="00567927" w:rsidP="009B4185">
            <w:pPr>
              <w:pStyle w:val="710TableheadTablesTableFigureBoxstyles"/>
            </w:pPr>
          </w:p>
        </w:tc>
        <w:tc>
          <w:tcPr>
            <w:tcW w:w="0" w:type="auto"/>
            <w:vMerge/>
            <w:shd w:val="clear" w:color="auto" w:fill="auto"/>
            <w:tcMar>
              <w:top w:w="8" w:type="dxa"/>
              <w:left w:w="8" w:type="dxa"/>
              <w:bottom w:w="0" w:type="dxa"/>
              <w:right w:w="8" w:type="dxa"/>
            </w:tcMar>
          </w:tcPr>
          <w:p w14:paraId="4FC4952C" w14:textId="146DDC40" w:rsidR="00567927" w:rsidRPr="00C1603D" w:rsidRDefault="00567927" w:rsidP="009B4185">
            <w:pPr>
              <w:pStyle w:val="710TableheadTablesTableFigureBoxstyles"/>
            </w:pPr>
          </w:p>
        </w:tc>
        <w:tc>
          <w:tcPr>
            <w:tcW w:w="0" w:type="auto"/>
            <w:shd w:val="clear" w:color="auto" w:fill="auto"/>
            <w:tcMar>
              <w:top w:w="8" w:type="dxa"/>
              <w:left w:w="8" w:type="dxa"/>
              <w:bottom w:w="0" w:type="dxa"/>
              <w:right w:w="8" w:type="dxa"/>
            </w:tcMar>
          </w:tcPr>
          <w:p w14:paraId="42CF7527" w14:textId="293A1413" w:rsidR="00567927" w:rsidRPr="00C1603D" w:rsidRDefault="00567927" w:rsidP="00567927">
            <w:pPr>
              <w:pStyle w:val="710TableheadTablesTableFigureBoxstyles"/>
            </w:pPr>
            <w:r w:rsidRPr="00C1603D">
              <w:t>After shrinkage</w:t>
            </w:r>
          </w:p>
        </w:tc>
        <w:tc>
          <w:tcPr>
            <w:tcW w:w="0" w:type="auto"/>
            <w:shd w:val="clear" w:color="auto" w:fill="auto"/>
            <w:tcMar>
              <w:top w:w="8" w:type="dxa"/>
              <w:left w:w="8" w:type="dxa"/>
              <w:bottom w:w="0" w:type="dxa"/>
              <w:right w:w="8" w:type="dxa"/>
            </w:tcMar>
          </w:tcPr>
          <w:p w14:paraId="1EC179D6" w14:textId="6B5C397B" w:rsidR="00567927" w:rsidRPr="00C1603D" w:rsidRDefault="00567927" w:rsidP="00567927">
            <w:pPr>
              <w:pStyle w:val="710TableheadTablesTableFigureBoxstyles"/>
            </w:pPr>
            <w:r w:rsidRPr="00C1603D">
              <w:t>Without shrinkage</w:t>
            </w:r>
          </w:p>
        </w:tc>
        <w:tc>
          <w:tcPr>
            <w:tcW w:w="0" w:type="auto"/>
            <w:vMerge/>
            <w:shd w:val="clear" w:color="auto" w:fill="auto"/>
            <w:tcMar>
              <w:top w:w="8" w:type="dxa"/>
              <w:left w:w="8" w:type="dxa"/>
              <w:bottom w:w="0" w:type="dxa"/>
              <w:right w:w="8" w:type="dxa"/>
            </w:tcMar>
          </w:tcPr>
          <w:p w14:paraId="7F6BB8B7" w14:textId="0C8D37AC" w:rsidR="00567927" w:rsidRPr="00C1603D" w:rsidRDefault="00567927" w:rsidP="009B4185">
            <w:pPr>
              <w:pStyle w:val="710TableheadTablesTableFigureBoxstyles"/>
            </w:pPr>
          </w:p>
        </w:tc>
        <w:tc>
          <w:tcPr>
            <w:tcW w:w="0" w:type="auto"/>
            <w:vMerge/>
            <w:shd w:val="clear" w:color="auto" w:fill="auto"/>
            <w:tcMar>
              <w:top w:w="8" w:type="dxa"/>
              <w:left w:w="8" w:type="dxa"/>
              <w:bottom w:w="0" w:type="dxa"/>
              <w:right w:w="8" w:type="dxa"/>
            </w:tcMar>
          </w:tcPr>
          <w:p w14:paraId="629A4A9A" w14:textId="66512B2F" w:rsidR="00567927" w:rsidRPr="00C1603D" w:rsidRDefault="00567927" w:rsidP="009B4185">
            <w:pPr>
              <w:pStyle w:val="710TableheadTablesTableFigureBoxstyles"/>
            </w:pPr>
          </w:p>
        </w:tc>
      </w:tr>
      <w:tr w:rsidR="00AB3EFB" w:rsidRPr="00C1603D" w14:paraId="052C4476" w14:textId="77777777" w:rsidTr="00567927">
        <w:trPr>
          <w:cantSplit/>
        </w:trPr>
        <w:tc>
          <w:tcPr>
            <w:tcW w:w="0" w:type="auto"/>
            <w:shd w:val="clear" w:color="auto" w:fill="auto"/>
            <w:tcMar>
              <w:top w:w="15" w:type="dxa"/>
              <w:left w:w="15" w:type="dxa"/>
              <w:bottom w:w="0" w:type="dxa"/>
              <w:right w:w="15" w:type="dxa"/>
            </w:tcMar>
          </w:tcPr>
          <w:p w14:paraId="56FB1A61" w14:textId="77777777" w:rsidR="008B4DF8" w:rsidRPr="00C1603D" w:rsidRDefault="008B4DF8" w:rsidP="009B4185">
            <w:pPr>
              <w:pStyle w:val="72TabletextTablesTableFigureBoxstyles"/>
            </w:pPr>
            <w:r w:rsidRPr="00C1603D">
              <w:t>(Intercept)</w:t>
            </w:r>
          </w:p>
        </w:tc>
        <w:tc>
          <w:tcPr>
            <w:tcW w:w="0" w:type="auto"/>
            <w:shd w:val="clear" w:color="auto" w:fill="auto"/>
            <w:tcMar>
              <w:top w:w="15" w:type="dxa"/>
              <w:left w:w="15" w:type="dxa"/>
              <w:bottom w:w="0" w:type="dxa"/>
              <w:right w:w="15" w:type="dxa"/>
            </w:tcMar>
          </w:tcPr>
          <w:p w14:paraId="7A2FDED1" w14:textId="77777777" w:rsidR="008B4DF8" w:rsidRPr="00C1603D" w:rsidRDefault="008B4DF8" w:rsidP="009B4185">
            <w:pPr>
              <w:pStyle w:val="72TabletextTablesTableFigureBoxstyles"/>
            </w:pPr>
            <w:r w:rsidRPr="00C1603D">
              <w:rPr>
                <w:color w:val="00B0F0"/>
              </w:rPr>
              <w:t>–5</w:t>
            </w:r>
            <w:r w:rsidRPr="00C1603D">
              <w:t>.119</w:t>
            </w:r>
          </w:p>
        </w:tc>
        <w:tc>
          <w:tcPr>
            <w:tcW w:w="0" w:type="auto"/>
            <w:shd w:val="clear" w:color="auto" w:fill="auto"/>
            <w:tcMar>
              <w:top w:w="15" w:type="dxa"/>
              <w:left w:w="15" w:type="dxa"/>
              <w:bottom w:w="0" w:type="dxa"/>
              <w:right w:w="15" w:type="dxa"/>
            </w:tcMar>
          </w:tcPr>
          <w:p w14:paraId="1983E121" w14:textId="56811AB2" w:rsidR="008B4DF8" w:rsidRPr="00C1603D" w:rsidRDefault="008B4DF8" w:rsidP="009B4185">
            <w:pPr>
              <w:pStyle w:val="72TabletextTablesTableFigureBoxstyles"/>
            </w:pPr>
            <w:r w:rsidRPr="00C1603D">
              <w:rPr>
                <w:color w:val="00B0F0"/>
              </w:rPr>
              <w:t>–5</w:t>
            </w:r>
            <w:r w:rsidRPr="00C1603D">
              <w:t>.127 (</w:t>
            </w:r>
            <w:r w:rsidRPr="00C1603D">
              <w:rPr>
                <w:color w:val="00B0F0"/>
              </w:rPr>
              <w:t>–5</w:t>
            </w:r>
            <w:r w:rsidRPr="00C1603D">
              <w:t>.146</w:t>
            </w:r>
            <w:r w:rsidR="007D1315" w:rsidRPr="00C1603D">
              <w:t xml:space="preserve"> to</w:t>
            </w:r>
            <w:r w:rsidRPr="00C1603D">
              <w:t xml:space="preserve"> </w:t>
            </w:r>
            <w:r w:rsidRPr="00C1603D">
              <w:rPr>
                <w:color w:val="00B0F0"/>
              </w:rPr>
              <w:t>–5</w:t>
            </w:r>
            <w:r w:rsidRPr="00C1603D">
              <w:t>.108)</w:t>
            </w:r>
          </w:p>
        </w:tc>
        <w:tc>
          <w:tcPr>
            <w:tcW w:w="0" w:type="auto"/>
            <w:shd w:val="clear" w:color="auto" w:fill="auto"/>
            <w:tcMar>
              <w:top w:w="15" w:type="dxa"/>
              <w:left w:w="15" w:type="dxa"/>
              <w:bottom w:w="0" w:type="dxa"/>
              <w:right w:w="15" w:type="dxa"/>
            </w:tcMar>
          </w:tcPr>
          <w:p w14:paraId="7360635C" w14:textId="77777777" w:rsidR="008B4DF8" w:rsidRPr="00C1603D" w:rsidRDefault="008B4DF8" w:rsidP="009B4185">
            <w:pPr>
              <w:pStyle w:val="72TabletextTablesTableFigureBoxstyles"/>
            </w:pPr>
            <w:r w:rsidRPr="00C1603D">
              <w:rPr>
                <w:color w:val="00B0F0"/>
              </w:rPr>
              <w:t>–5</w:t>
            </w:r>
            <w:r w:rsidRPr="00C1603D">
              <w:t>.119</w:t>
            </w:r>
          </w:p>
        </w:tc>
        <w:tc>
          <w:tcPr>
            <w:tcW w:w="0" w:type="auto"/>
            <w:shd w:val="clear" w:color="auto" w:fill="auto"/>
            <w:tcMar>
              <w:top w:w="15" w:type="dxa"/>
              <w:left w:w="15" w:type="dxa"/>
              <w:bottom w:w="0" w:type="dxa"/>
              <w:right w:w="15" w:type="dxa"/>
            </w:tcMar>
          </w:tcPr>
          <w:p w14:paraId="53D0BF59" w14:textId="77777777" w:rsidR="008B4DF8" w:rsidRPr="00C1603D" w:rsidRDefault="008B4DF8" w:rsidP="009B4185">
            <w:pPr>
              <w:pStyle w:val="72TabletextTablesTableFigureBoxstyles"/>
            </w:pPr>
          </w:p>
        </w:tc>
        <w:tc>
          <w:tcPr>
            <w:tcW w:w="0" w:type="auto"/>
            <w:shd w:val="clear" w:color="auto" w:fill="auto"/>
            <w:tcMar>
              <w:top w:w="15" w:type="dxa"/>
              <w:left w:w="15" w:type="dxa"/>
              <w:bottom w:w="0" w:type="dxa"/>
              <w:right w:w="15" w:type="dxa"/>
            </w:tcMar>
          </w:tcPr>
          <w:p w14:paraId="0A49AE26" w14:textId="77777777" w:rsidR="008B4DF8" w:rsidRPr="00C1603D" w:rsidRDefault="008B4DF8" w:rsidP="009B4185">
            <w:pPr>
              <w:pStyle w:val="72TabletextTablesTableFigureBoxstyles"/>
            </w:pPr>
          </w:p>
        </w:tc>
        <w:tc>
          <w:tcPr>
            <w:tcW w:w="0" w:type="auto"/>
            <w:shd w:val="clear" w:color="auto" w:fill="auto"/>
            <w:tcMar>
              <w:top w:w="15" w:type="dxa"/>
              <w:left w:w="15" w:type="dxa"/>
              <w:bottom w:w="0" w:type="dxa"/>
              <w:right w:w="15" w:type="dxa"/>
            </w:tcMar>
          </w:tcPr>
          <w:p w14:paraId="47AAA219" w14:textId="77777777" w:rsidR="008B4DF8" w:rsidRPr="00C1603D" w:rsidRDefault="008B4DF8" w:rsidP="009B4185">
            <w:pPr>
              <w:pStyle w:val="72TabletextTablesTableFigureBoxstyles"/>
            </w:pPr>
          </w:p>
        </w:tc>
        <w:tc>
          <w:tcPr>
            <w:tcW w:w="0" w:type="auto"/>
            <w:shd w:val="clear" w:color="auto" w:fill="auto"/>
            <w:tcMar>
              <w:top w:w="15" w:type="dxa"/>
              <w:left w:w="15" w:type="dxa"/>
              <w:bottom w:w="0" w:type="dxa"/>
              <w:right w:w="15" w:type="dxa"/>
            </w:tcMar>
          </w:tcPr>
          <w:p w14:paraId="78197F0E" w14:textId="77777777" w:rsidR="008B4DF8" w:rsidRPr="00C1603D" w:rsidRDefault="008B4DF8" w:rsidP="009B4185">
            <w:pPr>
              <w:pStyle w:val="72TabletextTablesTableFigureBoxstyles"/>
            </w:pPr>
          </w:p>
        </w:tc>
      </w:tr>
      <w:tr w:rsidR="00AB3EFB" w:rsidRPr="00C1603D" w14:paraId="4E2E0789" w14:textId="77777777" w:rsidTr="00567927">
        <w:trPr>
          <w:cantSplit/>
        </w:trPr>
        <w:tc>
          <w:tcPr>
            <w:tcW w:w="0" w:type="auto"/>
            <w:shd w:val="clear" w:color="auto" w:fill="auto"/>
            <w:tcMar>
              <w:top w:w="15" w:type="dxa"/>
              <w:left w:w="15" w:type="dxa"/>
              <w:bottom w:w="0" w:type="dxa"/>
              <w:right w:w="15" w:type="dxa"/>
            </w:tcMar>
          </w:tcPr>
          <w:p w14:paraId="0E4B0676" w14:textId="77777777" w:rsidR="008B4DF8" w:rsidRPr="00C1603D" w:rsidRDefault="008B4DF8" w:rsidP="009B4185">
            <w:pPr>
              <w:pStyle w:val="72TabletextTablesTableFigureBoxstyles"/>
            </w:pPr>
            <w:r w:rsidRPr="00C1603D">
              <w:t>Type 1 diabetes</w:t>
            </w:r>
          </w:p>
        </w:tc>
        <w:tc>
          <w:tcPr>
            <w:tcW w:w="0" w:type="auto"/>
            <w:shd w:val="clear" w:color="auto" w:fill="auto"/>
            <w:tcMar>
              <w:top w:w="15" w:type="dxa"/>
              <w:left w:w="15" w:type="dxa"/>
              <w:bottom w:w="0" w:type="dxa"/>
              <w:right w:w="15" w:type="dxa"/>
            </w:tcMar>
          </w:tcPr>
          <w:p w14:paraId="6F439B0E" w14:textId="77777777" w:rsidR="008B4DF8" w:rsidRPr="00C1603D" w:rsidRDefault="008B4DF8" w:rsidP="009B4185">
            <w:pPr>
              <w:pStyle w:val="72TabletextTablesTableFigureBoxstyles"/>
            </w:pPr>
            <w:r w:rsidRPr="00C1603D">
              <w:t>4.153</w:t>
            </w:r>
          </w:p>
        </w:tc>
        <w:tc>
          <w:tcPr>
            <w:tcW w:w="0" w:type="auto"/>
            <w:shd w:val="clear" w:color="auto" w:fill="auto"/>
            <w:tcMar>
              <w:top w:w="15" w:type="dxa"/>
              <w:left w:w="15" w:type="dxa"/>
              <w:bottom w:w="0" w:type="dxa"/>
              <w:right w:w="15" w:type="dxa"/>
            </w:tcMar>
          </w:tcPr>
          <w:p w14:paraId="0FA05F26" w14:textId="7890374A" w:rsidR="008B4DF8" w:rsidRPr="00C1603D" w:rsidRDefault="008B4DF8" w:rsidP="009B4185">
            <w:pPr>
              <w:pStyle w:val="72TabletextTablesTableFigureBoxstyles"/>
            </w:pPr>
            <w:r w:rsidRPr="00C1603D">
              <w:t xml:space="preserve">4.182 </w:t>
            </w:r>
            <w:r w:rsidRPr="00C1603D">
              <w:rPr>
                <w:color w:val="00B0F0"/>
              </w:rPr>
              <w:t>(</w:t>
            </w:r>
            <w:r w:rsidRPr="00C1603D">
              <w:t>4.062</w:t>
            </w:r>
            <w:r w:rsidR="007D1315" w:rsidRPr="00C1603D">
              <w:t>–</w:t>
            </w:r>
            <w:r w:rsidRPr="00C1603D">
              <w:t>4.278)</w:t>
            </w:r>
          </w:p>
        </w:tc>
        <w:tc>
          <w:tcPr>
            <w:tcW w:w="0" w:type="auto"/>
            <w:shd w:val="clear" w:color="auto" w:fill="auto"/>
            <w:tcMar>
              <w:top w:w="15" w:type="dxa"/>
              <w:left w:w="15" w:type="dxa"/>
              <w:bottom w:w="0" w:type="dxa"/>
              <w:right w:w="15" w:type="dxa"/>
            </w:tcMar>
          </w:tcPr>
          <w:p w14:paraId="166F0069" w14:textId="77777777" w:rsidR="008B4DF8" w:rsidRPr="00C1603D" w:rsidRDefault="008B4DF8" w:rsidP="009B4185">
            <w:pPr>
              <w:pStyle w:val="72TabletextTablesTableFigureBoxstyles"/>
            </w:pPr>
            <w:r w:rsidRPr="00C1603D">
              <w:t>4.794</w:t>
            </w:r>
          </w:p>
        </w:tc>
        <w:tc>
          <w:tcPr>
            <w:tcW w:w="0" w:type="auto"/>
            <w:shd w:val="clear" w:color="auto" w:fill="auto"/>
            <w:tcMar>
              <w:top w:w="15" w:type="dxa"/>
              <w:left w:w="15" w:type="dxa"/>
              <w:bottom w:w="0" w:type="dxa"/>
              <w:right w:w="15" w:type="dxa"/>
            </w:tcMar>
          </w:tcPr>
          <w:p w14:paraId="3B6F7A30" w14:textId="77777777" w:rsidR="008B4DF8" w:rsidRPr="00C1603D" w:rsidRDefault="008B4DF8" w:rsidP="009B4185">
            <w:pPr>
              <w:pStyle w:val="72TabletextTablesTableFigureBoxstyles"/>
            </w:pPr>
            <w:r w:rsidRPr="00C1603D">
              <w:t>63.648</w:t>
            </w:r>
          </w:p>
        </w:tc>
        <w:tc>
          <w:tcPr>
            <w:tcW w:w="0" w:type="auto"/>
            <w:shd w:val="clear" w:color="auto" w:fill="auto"/>
            <w:tcMar>
              <w:top w:w="15" w:type="dxa"/>
              <w:left w:w="15" w:type="dxa"/>
              <w:bottom w:w="0" w:type="dxa"/>
              <w:right w:w="15" w:type="dxa"/>
            </w:tcMar>
          </w:tcPr>
          <w:p w14:paraId="3EAF4633" w14:textId="77777777" w:rsidR="008B4DF8" w:rsidRPr="00C1603D" w:rsidRDefault="008B4DF8" w:rsidP="009B4185">
            <w:pPr>
              <w:pStyle w:val="72TabletextTablesTableFigureBoxstyles"/>
            </w:pPr>
            <w:r w:rsidRPr="00C1603D">
              <w:t>120.796</w:t>
            </w:r>
          </w:p>
        </w:tc>
        <w:tc>
          <w:tcPr>
            <w:tcW w:w="0" w:type="auto"/>
            <w:shd w:val="clear" w:color="auto" w:fill="auto"/>
            <w:tcMar>
              <w:top w:w="15" w:type="dxa"/>
              <w:left w:w="15" w:type="dxa"/>
              <w:bottom w:w="0" w:type="dxa"/>
              <w:right w:w="15" w:type="dxa"/>
            </w:tcMar>
          </w:tcPr>
          <w:p w14:paraId="6524E64C" w14:textId="77777777" w:rsidR="008B4DF8" w:rsidRPr="00C1603D" w:rsidRDefault="008B4DF8" w:rsidP="009B4185">
            <w:pPr>
              <w:pStyle w:val="72TabletextTablesTableFigureBoxstyles"/>
            </w:pPr>
            <w:r w:rsidRPr="00C1603D">
              <w:t>4.318</w:t>
            </w:r>
          </w:p>
        </w:tc>
        <w:tc>
          <w:tcPr>
            <w:tcW w:w="0" w:type="auto"/>
            <w:shd w:val="clear" w:color="auto" w:fill="auto"/>
            <w:tcMar>
              <w:top w:w="15" w:type="dxa"/>
              <w:left w:w="15" w:type="dxa"/>
              <w:bottom w:w="0" w:type="dxa"/>
              <w:right w:w="15" w:type="dxa"/>
            </w:tcMar>
          </w:tcPr>
          <w:p w14:paraId="53A3CE4B" w14:textId="77777777" w:rsidR="008B4DF8" w:rsidRPr="00C1603D" w:rsidRDefault="008B4DF8" w:rsidP="009B4185">
            <w:pPr>
              <w:pStyle w:val="72TabletextTablesTableFigureBoxstyles"/>
            </w:pPr>
            <w:r w:rsidRPr="00C1603D">
              <w:t>75.038</w:t>
            </w:r>
          </w:p>
        </w:tc>
      </w:tr>
      <w:tr w:rsidR="00AB3EFB" w:rsidRPr="00C1603D" w14:paraId="6DF7D3B1" w14:textId="77777777" w:rsidTr="00567927">
        <w:trPr>
          <w:cantSplit/>
        </w:trPr>
        <w:tc>
          <w:tcPr>
            <w:tcW w:w="0" w:type="auto"/>
            <w:shd w:val="clear" w:color="auto" w:fill="auto"/>
            <w:tcMar>
              <w:top w:w="15" w:type="dxa"/>
              <w:left w:w="15" w:type="dxa"/>
              <w:bottom w:w="0" w:type="dxa"/>
              <w:right w:w="15" w:type="dxa"/>
            </w:tcMar>
          </w:tcPr>
          <w:p w14:paraId="56E3E903" w14:textId="77777777" w:rsidR="008B4DF8" w:rsidRPr="00C1603D" w:rsidRDefault="008B4DF8" w:rsidP="009B4185">
            <w:pPr>
              <w:pStyle w:val="72TabletextTablesTableFigureBoxstyles"/>
            </w:pPr>
            <w:r w:rsidRPr="00C1603D">
              <w:t>Turner syndrome</w:t>
            </w:r>
          </w:p>
        </w:tc>
        <w:tc>
          <w:tcPr>
            <w:tcW w:w="0" w:type="auto"/>
            <w:shd w:val="clear" w:color="auto" w:fill="auto"/>
            <w:tcMar>
              <w:top w:w="15" w:type="dxa"/>
              <w:left w:w="15" w:type="dxa"/>
              <w:bottom w:w="0" w:type="dxa"/>
              <w:right w:w="15" w:type="dxa"/>
            </w:tcMar>
          </w:tcPr>
          <w:p w14:paraId="006EF48E" w14:textId="77777777" w:rsidR="008B4DF8" w:rsidRPr="00C1603D" w:rsidRDefault="008B4DF8" w:rsidP="009B4185">
            <w:pPr>
              <w:pStyle w:val="72TabletextTablesTableFigureBoxstyles"/>
            </w:pPr>
            <w:r w:rsidRPr="00C1603D">
              <w:t>3.949</w:t>
            </w:r>
          </w:p>
        </w:tc>
        <w:tc>
          <w:tcPr>
            <w:tcW w:w="0" w:type="auto"/>
            <w:shd w:val="clear" w:color="auto" w:fill="auto"/>
            <w:tcMar>
              <w:top w:w="15" w:type="dxa"/>
              <w:left w:w="15" w:type="dxa"/>
              <w:bottom w:w="0" w:type="dxa"/>
              <w:right w:w="15" w:type="dxa"/>
            </w:tcMar>
          </w:tcPr>
          <w:p w14:paraId="3BA8A49B" w14:textId="30E8698D" w:rsidR="008B4DF8" w:rsidRPr="00C1603D" w:rsidRDefault="008B4DF8" w:rsidP="009B4185">
            <w:pPr>
              <w:pStyle w:val="72TabletextTablesTableFigureBoxstyles"/>
            </w:pPr>
            <w:r w:rsidRPr="00C1603D">
              <w:t xml:space="preserve">3.908 </w:t>
            </w:r>
            <w:r w:rsidRPr="00C1603D">
              <w:rPr>
                <w:color w:val="00B0F0"/>
              </w:rPr>
              <w:t>(</w:t>
            </w:r>
            <w:r w:rsidRPr="00C1603D">
              <w:t>3.715</w:t>
            </w:r>
            <w:r w:rsidR="007D1315" w:rsidRPr="00C1603D">
              <w:t>–</w:t>
            </w:r>
            <w:r w:rsidRPr="00C1603D">
              <w:t>4.084)</w:t>
            </w:r>
          </w:p>
        </w:tc>
        <w:tc>
          <w:tcPr>
            <w:tcW w:w="0" w:type="auto"/>
            <w:shd w:val="clear" w:color="auto" w:fill="auto"/>
            <w:tcMar>
              <w:top w:w="15" w:type="dxa"/>
              <w:left w:w="15" w:type="dxa"/>
              <w:bottom w:w="0" w:type="dxa"/>
              <w:right w:w="15" w:type="dxa"/>
            </w:tcMar>
          </w:tcPr>
          <w:p w14:paraId="4FBFB0EA" w14:textId="77777777" w:rsidR="008B4DF8" w:rsidRPr="00C1603D" w:rsidRDefault="008B4DF8" w:rsidP="009B4185">
            <w:pPr>
              <w:pStyle w:val="72TabletextTablesTableFigureBoxstyles"/>
            </w:pPr>
            <w:r w:rsidRPr="00C1603D">
              <w:t>11.243</w:t>
            </w:r>
          </w:p>
        </w:tc>
        <w:tc>
          <w:tcPr>
            <w:tcW w:w="0" w:type="auto"/>
            <w:shd w:val="clear" w:color="auto" w:fill="auto"/>
            <w:tcMar>
              <w:top w:w="15" w:type="dxa"/>
              <w:left w:w="15" w:type="dxa"/>
              <w:bottom w:w="0" w:type="dxa"/>
              <w:right w:w="15" w:type="dxa"/>
            </w:tcMar>
          </w:tcPr>
          <w:p w14:paraId="07F2E7D0" w14:textId="77777777" w:rsidR="008B4DF8" w:rsidRPr="00C1603D" w:rsidRDefault="008B4DF8" w:rsidP="009B4185">
            <w:pPr>
              <w:pStyle w:val="72TabletextTablesTableFigureBoxstyles"/>
            </w:pPr>
            <w:r w:rsidRPr="00C1603D">
              <w:t>51.866</w:t>
            </w:r>
          </w:p>
        </w:tc>
        <w:tc>
          <w:tcPr>
            <w:tcW w:w="0" w:type="auto"/>
            <w:shd w:val="clear" w:color="auto" w:fill="auto"/>
            <w:tcMar>
              <w:top w:w="15" w:type="dxa"/>
              <w:left w:w="15" w:type="dxa"/>
              <w:bottom w:w="0" w:type="dxa"/>
              <w:right w:w="15" w:type="dxa"/>
            </w:tcMar>
          </w:tcPr>
          <w:p w14:paraId="0CB3D222" w14:textId="77777777" w:rsidR="008B4DF8" w:rsidRPr="00C1603D" w:rsidRDefault="008B4DF8" w:rsidP="009B4185">
            <w:pPr>
              <w:pStyle w:val="72TabletextTablesTableFigureBoxstyles"/>
            </w:pPr>
            <w:r w:rsidRPr="00C1603D">
              <w:t>76309.782</w:t>
            </w:r>
          </w:p>
        </w:tc>
        <w:tc>
          <w:tcPr>
            <w:tcW w:w="0" w:type="auto"/>
            <w:shd w:val="clear" w:color="auto" w:fill="auto"/>
            <w:tcMar>
              <w:top w:w="15" w:type="dxa"/>
              <w:left w:w="15" w:type="dxa"/>
              <w:bottom w:w="0" w:type="dxa"/>
              <w:right w:w="15" w:type="dxa"/>
            </w:tcMar>
          </w:tcPr>
          <w:p w14:paraId="69912556" w14:textId="77777777" w:rsidR="008B4DF8" w:rsidRPr="00C1603D" w:rsidRDefault="008B4DF8" w:rsidP="009B4185">
            <w:pPr>
              <w:pStyle w:val="72TabletextTablesTableFigureBoxstyles"/>
            </w:pPr>
            <w:r w:rsidRPr="00C1603D">
              <w:t>13.955</w:t>
            </w:r>
          </w:p>
        </w:tc>
        <w:tc>
          <w:tcPr>
            <w:tcW w:w="0" w:type="auto"/>
            <w:shd w:val="clear" w:color="auto" w:fill="auto"/>
            <w:tcMar>
              <w:top w:w="15" w:type="dxa"/>
              <w:left w:w="15" w:type="dxa"/>
              <w:bottom w:w="0" w:type="dxa"/>
              <w:right w:w="15" w:type="dxa"/>
            </w:tcMar>
          </w:tcPr>
          <w:p w14:paraId="00523CEC" w14:textId="77777777" w:rsidR="008B4DF8" w:rsidRPr="00C1603D" w:rsidRDefault="008B4DF8" w:rsidP="009B4185">
            <w:pPr>
              <w:pStyle w:val="72TabletextTablesTableFigureBoxstyles"/>
            </w:pPr>
            <w:r w:rsidRPr="00C1603D">
              <w:t>1149686.667</w:t>
            </w:r>
          </w:p>
        </w:tc>
      </w:tr>
      <w:tr w:rsidR="00AB3EFB" w:rsidRPr="00C1603D" w14:paraId="481655E6" w14:textId="77777777" w:rsidTr="00567927">
        <w:trPr>
          <w:cantSplit/>
        </w:trPr>
        <w:tc>
          <w:tcPr>
            <w:tcW w:w="0" w:type="auto"/>
            <w:shd w:val="clear" w:color="auto" w:fill="auto"/>
            <w:tcMar>
              <w:top w:w="15" w:type="dxa"/>
              <w:left w:w="15" w:type="dxa"/>
              <w:bottom w:w="0" w:type="dxa"/>
              <w:right w:w="15" w:type="dxa"/>
            </w:tcMar>
          </w:tcPr>
          <w:p w14:paraId="578122B7" w14:textId="77777777" w:rsidR="008B4DF8" w:rsidRPr="00C1603D" w:rsidRDefault="008B4DF8" w:rsidP="009B4185">
            <w:pPr>
              <w:pStyle w:val="72TabletextTablesTableFigureBoxstyles"/>
            </w:pPr>
            <w:r w:rsidRPr="00C1603D">
              <w:t>IgA deficiency</w:t>
            </w:r>
          </w:p>
        </w:tc>
        <w:tc>
          <w:tcPr>
            <w:tcW w:w="0" w:type="auto"/>
            <w:shd w:val="clear" w:color="auto" w:fill="auto"/>
            <w:tcMar>
              <w:top w:w="15" w:type="dxa"/>
              <w:left w:w="15" w:type="dxa"/>
              <w:bottom w:w="0" w:type="dxa"/>
              <w:right w:w="15" w:type="dxa"/>
            </w:tcMar>
          </w:tcPr>
          <w:p w14:paraId="101DA09F" w14:textId="77777777" w:rsidR="008B4DF8" w:rsidRPr="00C1603D" w:rsidRDefault="008B4DF8" w:rsidP="009B4185">
            <w:pPr>
              <w:pStyle w:val="72TabletextTablesTableFigureBoxstyles"/>
            </w:pPr>
            <w:r w:rsidRPr="00C1603D">
              <w:t>3.210</w:t>
            </w:r>
          </w:p>
        </w:tc>
        <w:tc>
          <w:tcPr>
            <w:tcW w:w="0" w:type="auto"/>
            <w:shd w:val="clear" w:color="auto" w:fill="auto"/>
            <w:tcMar>
              <w:top w:w="15" w:type="dxa"/>
              <w:left w:w="15" w:type="dxa"/>
              <w:bottom w:w="0" w:type="dxa"/>
              <w:right w:w="15" w:type="dxa"/>
            </w:tcMar>
          </w:tcPr>
          <w:p w14:paraId="5BA7BAF1" w14:textId="52C8CD15" w:rsidR="008B4DF8" w:rsidRPr="00C1603D" w:rsidRDefault="008B4DF8" w:rsidP="009B4185">
            <w:pPr>
              <w:pStyle w:val="72TabletextTablesTableFigureBoxstyles"/>
            </w:pPr>
            <w:r w:rsidRPr="00C1603D">
              <w:t xml:space="preserve">3.185 </w:t>
            </w:r>
            <w:r w:rsidRPr="00C1603D">
              <w:rPr>
                <w:color w:val="00B0F0"/>
              </w:rPr>
              <w:t>(</w:t>
            </w:r>
            <w:r w:rsidRPr="00C1603D">
              <w:t>2.287</w:t>
            </w:r>
            <w:r w:rsidR="007D1315" w:rsidRPr="00C1603D">
              <w:t>–</w:t>
            </w:r>
            <w:r w:rsidRPr="00C1603D">
              <w:t>3.563)</w:t>
            </w:r>
          </w:p>
        </w:tc>
        <w:tc>
          <w:tcPr>
            <w:tcW w:w="0" w:type="auto"/>
            <w:shd w:val="clear" w:color="auto" w:fill="auto"/>
            <w:tcMar>
              <w:top w:w="15" w:type="dxa"/>
              <w:left w:w="15" w:type="dxa"/>
              <w:bottom w:w="0" w:type="dxa"/>
              <w:right w:w="15" w:type="dxa"/>
            </w:tcMar>
          </w:tcPr>
          <w:p w14:paraId="4CBB9ED2" w14:textId="77777777" w:rsidR="008B4DF8" w:rsidRPr="00C1603D" w:rsidRDefault="008B4DF8" w:rsidP="009B4185">
            <w:pPr>
              <w:pStyle w:val="72TabletextTablesTableFigureBoxstyles"/>
            </w:pPr>
            <w:r w:rsidRPr="00C1603D">
              <w:t>10.770</w:t>
            </w:r>
          </w:p>
        </w:tc>
        <w:tc>
          <w:tcPr>
            <w:tcW w:w="0" w:type="auto"/>
            <w:shd w:val="clear" w:color="auto" w:fill="auto"/>
            <w:tcMar>
              <w:top w:w="15" w:type="dxa"/>
              <w:left w:w="15" w:type="dxa"/>
              <w:bottom w:w="0" w:type="dxa"/>
              <w:right w:w="15" w:type="dxa"/>
            </w:tcMar>
          </w:tcPr>
          <w:p w14:paraId="54C8AE03" w14:textId="77777777" w:rsidR="008B4DF8" w:rsidRPr="00C1603D" w:rsidRDefault="008B4DF8" w:rsidP="009B4185">
            <w:pPr>
              <w:pStyle w:val="72TabletextTablesTableFigureBoxstyles"/>
            </w:pPr>
            <w:r w:rsidRPr="00C1603D">
              <w:t>24.789</w:t>
            </w:r>
          </w:p>
        </w:tc>
        <w:tc>
          <w:tcPr>
            <w:tcW w:w="0" w:type="auto"/>
            <w:shd w:val="clear" w:color="auto" w:fill="auto"/>
            <w:tcMar>
              <w:top w:w="15" w:type="dxa"/>
              <w:left w:w="15" w:type="dxa"/>
              <w:bottom w:w="0" w:type="dxa"/>
              <w:right w:w="15" w:type="dxa"/>
            </w:tcMar>
          </w:tcPr>
          <w:p w14:paraId="31C88D1F" w14:textId="77777777" w:rsidR="008B4DF8" w:rsidRPr="00C1603D" w:rsidRDefault="008B4DF8" w:rsidP="009B4185">
            <w:pPr>
              <w:pStyle w:val="72TabletextTablesTableFigureBoxstyles"/>
            </w:pPr>
            <w:r w:rsidRPr="00C1603D">
              <w:t>47560.457</w:t>
            </w:r>
          </w:p>
        </w:tc>
        <w:tc>
          <w:tcPr>
            <w:tcW w:w="0" w:type="auto"/>
            <w:shd w:val="clear" w:color="auto" w:fill="auto"/>
            <w:tcMar>
              <w:top w:w="15" w:type="dxa"/>
              <w:left w:w="15" w:type="dxa"/>
              <w:bottom w:w="0" w:type="dxa"/>
              <w:right w:w="15" w:type="dxa"/>
            </w:tcMar>
          </w:tcPr>
          <w:p w14:paraId="75DAA48B" w14:textId="77777777" w:rsidR="008B4DF8" w:rsidRPr="00C1603D" w:rsidRDefault="008B4DF8" w:rsidP="009B4185">
            <w:pPr>
              <w:pStyle w:val="72TabletextTablesTableFigureBoxstyles"/>
            </w:pPr>
            <w:r w:rsidRPr="00C1603D">
              <w:t>12.954</w:t>
            </w:r>
          </w:p>
        </w:tc>
        <w:tc>
          <w:tcPr>
            <w:tcW w:w="0" w:type="auto"/>
            <w:shd w:val="clear" w:color="auto" w:fill="auto"/>
            <w:tcMar>
              <w:top w:w="15" w:type="dxa"/>
              <w:left w:w="15" w:type="dxa"/>
              <w:bottom w:w="0" w:type="dxa"/>
              <w:right w:w="15" w:type="dxa"/>
            </w:tcMar>
          </w:tcPr>
          <w:p w14:paraId="5FE750DF" w14:textId="77777777" w:rsidR="008B4DF8" w:rsidRPr="00C1603D" w:rsidRDefault="008B4DF8" w:rsidP="009B4185">
            <w:pPr>
              <w:pStyle w:val="72TabletextTablesTableFigureBoxstyles"/>
            </w:pPr>
            <w:r w:rsidRPr="00C1603D">
              <w:t>422523.354</w:t>
            </w:r>
          </w:p>
        </w:tc>
      </w:tr>
      <w:tr w:rsidR="00AB3EFB" w:rsidRPr="00C1603D" w14:paraId="5A90CBAB" w14:textId="77777777" w:rsidTr="00567927">
        <w:trPr>
          <w:cantSplit/>
        </w:trPr>
        <w:tc>
          <w:tcPr>
            <w:tcW w:w="0" w:type="auto"/>
            <w:shd w:val="clear" w:color="auto" w:fill="auto"/>
            <w:tcMar>
              <w:top w:w="15" w:type="dxa"/>
              <w:left w:w="15" w:type="dxa"/>
              <w:bottom w:w="0" w:type="dxa"/>
              <w:right w:w="15" w:type="dxa"/>
            </w:tcMar>
          </w:tcPr>
          <w:p w14:paraId="1BEA3F0F" w14:textId="58FD307D" w:rsidR="008B4DF8" w:rsidRPr="00C1603D" w:rsidRDefault="00BA5584" w:rsidP="009B4185">
            <w:pPr>
              <w:pStyle w:val="72TabletextTablesTableFigureBoxstyles"/>
            </w:pPr>
            <w:r w:rsidRPr="00C1603D">
              <w:t>First-degree</w:t>
            </w:r>
            <w:r w:rsidR="008B4DF8" w:rsidRPr="00C1603D">
              <w:t xml:space="preserve"> relatives</w:t>
            </w:r>
            <w:r w:rsidR="00AB3EFB" w:rsidRPr="00C1603D">
              <w:t xml:space="preserve"> with CD</w:t>
            </w:r>
          </w:p>
        </w:tc>
        <w:tc>
          <w:tcPr>
            <w:tcW w:w="0" w:type="auto"/>
            <w:shd w:val="clear" w:color="auto" w:fill="auto"/>
            <w:tcMar>
              <w:top w:w="15" w:type="dxa"/>
              <w:left w:w="15" w:type="dxa"/>
              <w:bottom w:w="0" w:type="dxa"/>
              <w:right w:w="15" w:type="dxa"/>
            </w:tcMar>
          </w:tcPr>
          <w:p w14:paraId="0481E883" w14:textId="77777777" w:rsidR="008B4DF8" w:rsidRPr="00C1603D" w:rsidRDefault="008B4DF8" w:rsidP="009B4185">
            <w:pPr>
              <w:pStyle w:val="72TabletextTablesTableFigureBoxstyles"/>
            </w:pPr>
            <w:r w:rsidRPr="00C1603D">
              <w:t>3.100</w:t>
            </w:r>
          </w:p>
        </w:tc>
        <w:tc>
          <w:tcPr>
            <w:tcW w:w="0" w:type="auto"/>
            <w:shd w:val="clear" w:color="auto" w:fill="auto"/>
            <w:tcMar>
              <w:top w:w="15" w:type="dxa"/>
              <w:left w:w="15" w:type="dxa"/>
              <w:bottom w:w="0" w:type="dxa"/>
              <w:right w:w="15" w:type="dxa"/>
            </w:tcMar>
          </w:tcPr>
          <w:p w14:paraId="06C196B3" w14:textId="01600A0E" w:rsidR="008B4DF8" w:rsidRPr="00C1603D" w:rsidRDefault="008B4DF8" w:rsidP="009B4185">
            <w:pPr>
              <w:pStyle w:val="72TabletextTablesTableFigureBoxstyles"/>
            </w:pPr>
            <w:r w:rsidRPr="00C1603D">
              <w:t xml:space="preserve">3.109 </w:t>
            </w:r>
            <w:r w:rsidRPr="00C1603D">
              <w:rPr>
                <w:color w:val="00B0F0"/>
              </w:rPr>
              <w:t>(</w:t>
            </w:r>
            <w:r w:rsidRPr="00C1603D">
              <w:t>3.037</w:t>
            </w:r>
            <w:r w:rsidR="007D1315" w:rsidRPr="00C1603D">
              <w:t>–</w:t>
            </w:r>
            <w:r w:rsidRPr="00C1603D">
              <w:t>3.172)</w:t>
            </w:r>
          </w:p>
        </w:tc>
        <w:tc>
          <w:tcPr>
            <w:tcW w:w="0" w:type="auto"/>
            <w:shd w:val="clear" w:color="auto" w:fill="auto"/>
            <w:tcMar>
              <w:top w:w="15" w:type="dxa"/>
              <w:left w:w="15" w:type="dxa"/>
              <w:bottom w:w="0" w:type="dxa"/>
              <w:right w:w="15" w:type="dxa"/>
            </w:tcMar>
          </w:tcPr>
          <w:p w14:paraId="4BBF11D7" w14:textId="77777777" w:rsidR="008B4DF8" w:rsidRPr="00C1603D" w:rsidRDefault="008B4DF8" w:rsidP="009B4185">
            <w:pPr>
              <w:pStyle w:val="72TabletextTablesTableFigureBoxstyles"/>
            </w:pPr>
            <w:r w:rsidRPr="00C1603D">
              <w:t>3.361</w:t>
            </w:r>
          </w:p>
        </w:tc>
        <w:tc>
          <w:tcPr>
            <w:tcW w:w="0" w:type="auto"/>
            <w:shd w:val="clear" w:color="auto" w:fill="auto"/>
            <w:tcMar>
              <w:top w:w="15" w:type="dxa"/>
              <w:left w:w="15" w:type="dxa"/>
              <w:bottom w:w="0" w:type="dxa"/>
              <w:right w:w="15" w:type="dxa"/>
            </w:tcMar>
          </w:tcPr>
          <w:p w14:paraId="7C1C4383" w14:textId="77777777" w:rsidR="008B4DF8" w:rsidRPr="00C1603D" w:rsidRDefault="008B4DF8" w:rsidP="009B4185">
            <w:pPr>
              <w:pStyle w:val="72TabletextTablesTableFigureBoxstyles"/>
            </w:pPr>
            <w:r w:rsidRPr="00C1603D">
              <w:t>22.196</w:t>
            </w:r>
          </w:p>
        </w:tc>
        <w:tc>
          <w:tcPr>
            <w:tcW w:w="0" w:type="auto"/>
            <w:shd w:val="clear" w:color="auto" w:fill="auto"/>
            <w:tcMar>
              <w:top w:w="15" w:type="dxa"/>
              <w:left w:w="15" w:type="dxa"/>
              <w:bottom w:w="0" w:type="dxa"/>
              <w:right w:w="15" w:type="dxa"/>
            </w:tcMar>
          </w:tcPr>
          <w:p w14:paraId="6356F3B2" w14:textId="77777777" w:rsidR="008B4DF8" w:rsidRPr="00C1603D" w:rsidRDefault="008B4DF8" w:rsidP="009B4185">
            <w:pPr>
              <w:pStyle w:val="72TabletextTablesTableFigureBoxstyles"/>
            </w:pPr>
            <w:r w:rsidRPr="00C1603D">
              <w:t>28.808</w:t>
            </w:r>
          </w:p>
        </w:tc>
        <w:tc>
          <w:tcPr>
            <w:tcW w:w="0" w:type="auto"/>
            <w:shd w:val="clear" w:color="auto" w:fill="auto"/>
            <w:tcMar>
              <w:top w:w="15" w:type="dxa"/>
              <w:left w:w="15" w:type="dxa"/>
              <w:bottom w:w="0" w:type="dxa"/>
              <w:right w:w="15" w:type="dxa"/>
            </w:tcMar>
          </w:tcPr>
          <w:p w14:paraId="19CFDE4A" w14:textId="77777777" w:rsidR="008B4DF8" w:rsidRPr="00C1603D" w:rsidRDefault="008B4DF8" w:rsidP="009B4185">
            <w:pPr>
              <w:pStyle w:val="72TabletextTablesTableFigureBoxstyles"/>
            </w:pPr>
            <w:r w:rsidRPr="00C1603D">
              <w:t>3.167</w:t>
            </w:r>
          </w:p>
        </w:tc>
        <w:tc>
          <w:tcPr>
            <w:tcW w:w="0" w:type="auto"/>
            <w:shd w:val="clear" w:color="auto" w:fill="auto"/>
            <w:tcMar>
              <w:top w:w="15" w:type="dxa"/>
              <w:left w:w="15" w:type="dxa"/>
              <w:bottom w:w="0" w:type="dxa"/>
              <w:right w:w="15" w:type="dxa"/>
            </w:tcMar>
          </w:tcPr>
          <w:p w14:paraId="568F8291" w14:textId="77777777" w:rsidR="008B4DF8" w:rsidRPr="00C1603D" w:rsidRDefault="008B4DF8" w:rsidP="009B4185">
            <w:pPr>
              <w:pStyle w:val="72TabletextTablesTableFigureBoxstyles"/>
            </w:pPr>
            <w:r w:rsidRPr="00C1603D">
              <w:t>23.736</w:t>
            </w:r>
          </w:p>
        </w:tc>
      </w:tr>
      <w:tr w:rsidR="00AB3EFB" w:rsidRPr="00C1603D" w14:paraId="3091F138" w14:textId="77777777" w:rsidTr="00567927">
        <w:trPr>
          <w:cantSplit/>
        </w:trPr>
        <w:tc>
          <w:tcPr>
            <w:tcW w:w="0" w:type="auto"/>
            <w:shd w:val="clear" w:color="auto" w:fill="auto"/>
            <w:tcMar>
              <w:top w:w="15" w:type="dxa"/>
              <w:left w:w="15" w:type="dxa"/>
              <w:bottom w:w="0" w:type="dxa"/>
              <w:right w:w="15" w:type="dxa"/>
            </w:tcMar>
          </w:tcPr>
          <w:p w14:paraId="7FE23489" w14:textId="77777777" w:rsidR="008B4DF8" w:rsidRPr="00C1603D" w:rsidRDefault="008B4DF8" w:rsidP="009B4185">
            <w:pPr>
              <w:pStyle w:val="72TabletextTablesTableFigureBoxstyles"/>
            </w:pPr>
            <w:r w:rsidRPr="00C1603D">
              <w:t>Anaemia</w:t>
            </w:r>
          </w:p>
        </w:tc>
        <w:tc>
          <w:tcPr>
            <w:tcW w:w="0" w:type="auto"/>
            <w:shd w:val="clear" w:color="auto" w:fill="auto"/>
            <w:tcMar>
              <w:top w:w="15" w:type="dxa"/>
              <w:left w:w="15" w:type="dxa"/>
              <w:bottom w:w="0" w:type="dxa"/>
              <w:right w:w="15" w:type="dxa"/>
            </w:tcMar>
          </w:tcPr>
          <w:p w14:paraId="24066EAC" w14:textId="77777777" w:rsidR="008B4DF8" w:rsidRPr="00C1603D" w:rsidRDefault="008B4DF8" w:rsidP="009B4185">
            <w:pPr>
              <w:pStyle w:val="72TabletextTablesTableFigureBoxstyles"/>
            </w:pPr>
            <w:r w:rsidRPr="00C1603D">
              <w:t>2.645</w:t>
            </w:r>
          </w:p>
        </w:tc>
        <w:tc>
          <w:tcPr>
            <w:tcW w:w="0" w:type="auto"/>
            <w:shd w:val="clear" w:color="auto" w:fill="auto"/>
            <w:tcMar>
              <w:top w:w="15" w:type="dxa"/>
              <w:left w:w="15" w:type="dxa"/>
              <w:bottom w:w="0" w:type="dxa"/>
              <w:right w:w="15" w:type="dxa"/>
            </w:tcMar>
          </w:tcPr>
          <w:p w14:paraId="25D07C8D" w14:textId="13609E51" w:rsidR="008B4DF8" w:rsidRPr="00C1603D" w:rsidRDefault="008B4DF8" w:rsidP="009B4185">
            <w:pPr>
              <w:pStyle w:val="72TabletextTablesTableFigureBoxstyles"/>
            </w:pPr>
            <w:r w:rsidRPr="00C1603D">
              <w:t xml:space="preserve">2.618 </w:t>
            </w:r>
            <w:r w:rsidRPr="00C1603D">
              <w:rPr>
                <w:color w:val="00B0F0"/>
              </w:rPr>
              <w:t>(</w:t>
            </w:r>
            <w:r w:rsidRPr="00C1603D">
              <w:t>2.522</w:t>
            </w:r>
            <w:r w:rsidR="007D1315" w:rsidRPr="00C1603D">
              <w:t>–</w:t>
            </w:r>
            <w:r w:rsidRPr="00C1603D">
              <w:t>2.751)</w:t>
            </w:r>
          </w:p>
        </w:tc>
        <w:tc>
          <w:tcPr>
            <w:tcW w:w="0" w:type="auto"/>
            <w:shd w:val="clear" w:color="auto" w:fill="auto"/>
            <w:tcMar>
              <w:top w:w="15" w:type="dxa"/>
              <w:left w:w="15" w:type="dxa"/>
              <w:bottom w:w="0" w:type="dxa"/>
              <w:right w:w="15" w:type="dxa"/>
            </w:tcMar>
          </w:tcPr>
          <w:p w14:paraId="4A46EC50" w14:textId="77777777" w:rsidR="008B4DF8" w:rsidRPr="00C1603D" w:rsidRDefault="008B4DF8" w:rsidP="009B4185">
            <w:pPr>
              <w:pStyle w:val="72TabletextTablesTableFigureBoxstyles"/>
            </w:pPr>
            <w:r w:rsidRPr="00C1603D">
              <w:t>2.881</w:t>
            </w:r>
          </w:p>
        </w:tc>
        <w:tc>
          <w:tcPr>
            <w:tcW w:w="0" w:type="auto"/>
            <w:shd w:val="clear" w:color="auto" w:fill="auto"/>
            <w:tcMar>
              <w:top w:w="15" w:type="dxa"/>
              <w:left w:w="15" w:type="dxa"/>
              <w:bottom w:w="0" w:type="dxa"/>
              <w:right w:w="15" w:type="dxa"/>
            </w:tcMar>
          </w:tcPr>
          <w:p w14:paraId="1DE490A8" w14:textId="77777777" w:rsidR="008B4DF8" w:rsidRPr="00C1603D" w:rsidRDefault="008B4DF8" w:rsidP="009B4185">
            <w:pPr>
              <w:pStyle w:val="72TabletextTablesTableFigureBoxstyles"/>
            </w:pPr>
            <w:r w:rsidRPr="00C1603D">
              <w:t>14.080</w:t>
            </w:r>
          </w:p>
        </w:tc>
        <w:tc>
          <w:tcPr>
            <w:tcW w:w="0" w:type="auto"/>
            <w:shd w:val="clear" w:color="auto" w:fill="auto"/>
            <w:tcMar>
              <w:top w:w="15" w:type="dxa"/>
              <w:left w:w="15" w:type="dxa"/>
              <w:bottom w:w="0" w:type="dxa"/>
              <w:right w:w="15" w:type="dxa"/>
            </w:tcMar>
          </w:tcPr>
          <w:p w14:paraId="648E3D78" w14:textId="77777777" w:rsidR="008B4DF8" w:rsidRPr="00C1603D" w:rsidRDefault="008B4DF8" w:rsidP="009B4185">
            <w:pPr>
              <w:pStyle w:val="72TabletextTablesTableFigureBoxstyles"/>
            </w:pPr>
            <w:r w:rsidRPr="00C1603D">
              <w:t>17.841</w:t>
            </w:r>
          </w:p>
        </w:tc>
        <w:tc>
          <w:tcPr>
            <w:tcW w:w="0" w:type="auto"/>
            <w:shd w:val="clear" w:color="auto" w:fill="auto"/>
            <w:tcMar>
              <w:top w:w="15" w:type="dxa"/>
              <w:left w:w="15" w:type="dxa"/>
              <w:bottom w:w="0" w:type="dxa"/>
              <w:right w:w="15" w:type="dxa"/>
            </w:tcMar>
          </w:tcPr>
          <w:p w14:paraId="3FD90686" w14:textId="77777777" w:rsidR="008B4DF8" w:rsidRPr="00C1603D" w:rsidRDefault="008B4DF8" w:rsidP="009B4185">
            <w:pPr>
              <w:pStyle w:val="72TabletextTablesTableFigureBoxstyles"/>
            </w:pPr>
            <w:r w:rsidRPr="00C1603D">
              <w:t>2.850</w:t>
            </w:r>
          </w:p>
        </w:tc>
        <w:tc>
          <w:tcPr>
            <w:tcW w:w="0" w:type="auto"/>
            <w:shd w:val="clear" w:color="auto" w:fill="auto"/>
            <w:tcMar>
              <w:top w:w="15" w:type="dxa"/>
              <w:left w:w="15" w:type="dxa"/>
              <w:bottom w:w="0" w:type="dxa"/>
              <w:right w:w="15" w:type="dxa"/>
            </w:tcMar>
          </w:tcPr>
          <w:p w14:paraId="03DC2C08" w14:textId="77777777" w:rsidR="008B4DF8" w:rsidRPr="00C1603D" w:rsidRDefault="008B4DF8" w:rsidP="009B4185">
            <w:pPr>
              <w:pStyle w:val="72TabletextTablesTableFigureBoxstyles"/>
            </w:pPr>
            <w:r w:rsidRPr="00C1603D">
              <w:t>17.288</w:t>
            </w:r>
          </w:p>
        </w:tc>
      </w:tr>
      <w:tr w:rsidR="00AB3EFB" w:rsidRPr="00C1603D" w14:paraId="1C1B0C08" w14:textId="77777777" w:rsidTr="00567927">
        <w:trPr>
          <w:cantSplit/>
        </w:trPr>
        <w:tc>
          <w:tcPr>
            <w:tcW w:w="0" w:type="auto"/>
            <w:shd w:val="clear" w:color="auto" w:fill="auto"/>
            <w:tcMar>
              <w:top w:w="15" w:type="dxa"/>
              <w:left w:w="15" w:type="dxa"/>
              <w:bottom w:w="0" w:type="dxa"/>
              <w:right w:w="15" w:type="dxa"/>
            </w:tcMar>
          </w:tcPr>
          <w:p w14:paraId="69DFC1AA" w14:textId="77777777" w:rsidR="008B4DF8" w:rsidRPr="00C1603D" w:rsidRDefault="008B4DF8" w:rsidP="009B4185">
            <w:pPr>
              <w:pStyle w:val="72TabletextTablesTableFigureBoxstyles"/>
            </w:pPr>
            <w:r w:rsidRPr="00C1603D">
              <w:t>Down syndrome</w:t>
            </w:r>
          </w:p>
        </w:tc>
        <w:tc>
          <w:tcPr>
            <w:tcW w:w="0" w:type="auto"/>
            <w:shd w:val="clear" w:color="auto" w:fill="auto"/>
            <w:tcMar>
              <w:top w:w="15" w:type="dxa"/>
              <w:left w:w="15" w:type="dxa"/>
              <w:bottom w:w="0" w:type="dxa"/>
              <w:right w:w="15" w:type="dxa"/>
            </w:tcMar>
          </w:tcPr>
          <w:p w14:paraId="48158C2C" w14:textId="77777777" w:rsidR="008B4DF8" w:rsidRPr="00C1603D" w:rsidRDefault="008B4DF8" w:rsidP="009B4185">
            <w:pPr>
              <w:pStyle w:val="72TabletextTablesTableFigureBoxstyles"/>
            </w:pPr>
            <w:r w:rsidRPr="00C1603D">
              <w:t>2.429</w:t>
            </w:r>
          </w:p>
        </w:tc>
        <w:tc>
          <w:tcPr>
            <w:tcW w:w="0" w:type="auto"/>
            <w:shd w:val="clear" w:color="auto" w:fill="auto"/>
            <w:tcMar>
              <w:top w:w="15" w:type="dxa"/>
              <w:left w:w="15" w:type="dxa"/>
              <w:bottom w:w="0" w:type="dxa"/>
              <w:right w:w="15" w:type="dxa"/>
            </w:tcMar>
          </w:tcPr>
          <w:p w14:paraId="7DAF3FA9" w14:textId="11C00CFB" w:rsidR="008B4DF8" w:rsidRPr="00C1603D" w:rsidRDefault="008B4DF8" w:rsidP="009B4185">
            <w:pPr>
              <w:pStyle w:val="72TabletextTablesTableFigureBoxstyles"/>
            </w:pPr>
            <w:r w:rsidRPr="00C1603D">
              <w:t xml:space="preserve">2.428 </w:t>
            </w:r>
            <w:r w:rsidRPr="00C1603D">
              <w:rPr>
                <w:color w:val="00B0F0"/>
              </w:rPr>
              <w:t>(</w:t>
            </w:r>
            <w:r w:rsidRPr="00C1603D">
              <w:t>2.096</w:t>
            </w:r>
            <w:r w:rsidR="007D1315" w:rsidRPr="00C1603D">
              <w:t>–</w:t>
            </w:r>
            <w:r w:rsidRPr="00C1603D">
              <w:t>2.763)</w:t>
            </w:r>
          </w:p>
        </w:tc>
        <w:tc>
          <w:tcPr>
            <w:tcW w:w="0" w:type="auto"/>
            <w:shd w:val="clear" w:color="auto" w:fill="auto"/>
            <w:tcMar>
              <w:top w:w="15" w:type="dxa"/>
              <w:left w:w="15" w:type="dxa"/>
              <w:bottom w:w="0" w:type="dxa"/>
              <w:right w:w="15" w:type="dxa"/>
            </w:tcMar>
          </w:tcPr>
          <w:p w14:paraId="472A21C4" w14:textId="77777777" w:rsidR="008B4DF8" w:rsidRPr="00C1603D" w:rsidRDefault="008B4DF8" w:rsidP="009B4185">
            <w:pPr>
              <w:pStyle w:val="72TabletextTablesTableFigureBoxstyles"/>
            </w:pPr>
            <w:r w:rsidRPr="00C1603D">
              <w:t>2.724</w:t>
            </w:r>
          </w:p>
        </w:tc>
        <w:tc>
          <w:tcPr>
            <w:tcW w:w="0" w:type="auto"/>
            <w:shd w:val="clear" w:color="auto" w:fill="auto"/>
            <w:tcMar>
              <w:top w:w="15" w:type="dxa"/>
              <w:left w:w="15" w:type="dxa"/>
              <w:bottom w:w="0" w:type="dxa"/>
              <w:right w:w="15" w:type="dxa"/>
            </w:tcMar>
          </w:tcPr>
          <w:p w14:paraId="365E4148" w14:textId="77777777" w:rsidR="008B4DF8" w:rsidRPr="00C1603D" w:rsidRDefault="008B4DF8" w:rsidP="009B4185">
            <w:pPr>
              <w:pStyle w:val="72TabletextTablesTableFigureBoxstyles"/>
            </w:pPr>
            <w:r w:rsidRPr="00C1603D">
              <w:t>11.344</w:t>
            </w:r>
          </w:p>
        </w:tc>
        <w:tc>
          <w:tcPr>
            <w:tcW w:w="0" w:type="auto"/>
            <w:shd w:val="clear" w:color="auto" w:fill="auto"/>
            <w:tcMar>
              <w:top w:w="15" w:type="dxa"/>
              <w:left w:w="15" w:type="dxa"/>
              <w:bottom w:w="0" w:type="dxa"/>
              <w:right w:w="15" w:type="dxa"/>
            </w:tcMar>
          </w:tcPr>
          <w:p w14:paraId="58FB4245" w14:textId="77777777" w:rsidR="008B4DF8" w:rsidRPr="00C1603D" w:rsidRDefault="008B4DF8" w:rsidP="009B4185">
            <w:pPr>
              <w:pStyle w:val="72TabletextTablesTableFigureBoxstyles"/>
            </w:pPr>
            <w:r w:rsidRPr="00C1603D">
              <w:t>15.240</w:t>
            </w:r>
          </w:p>
        </w:tc>
        <w:tc>
          <w:tcPr>
            <w:tcW w:w="0" w:type="auto"/>
            <w:shd w:val="clear" w:color="auto" w:fill="auto"/>
            <w:tcMar>
              <w:top w:w="15" w:type="dxa"/>
              <w:left w:w="15" w:type="dxa"/>
              <w:bottom w:w="0" w:type="dxa"/>
              <w:right w:w="15" w:type="dxa"/>
            </w:tcMar>
          </w:tcPr>
          <w:p w14:paraId="3A2A261C" w14:textId="77777777" w:rsidR="008B4DF8" w:rsidRPr="00C1603D" w:rsidRDefault="008B4DF8" w:rsidP="009B4185">
            <w:pPr>
              <w:pStyle w:val="72TabletextTablesTableFigureBoxstyles"/>
            </w:pPr>
            <w:r w:rsidRPr="00C1603D">
              <w:t>2.490</w:t>
            </w:r>
          </w:p>
        </w:tc>
        <w:tc>
          <w:tcPr>
            <w:tcW w:w="0" w:type="auto"/>
            <w:shd w:val="clear" w:color="auto" w:fill="auto"/>
            <w:tcMar>
              <w:top w:w="15" w:type="dxa"/>
              <w:left w:w="15" w:type="dxa"/>
              <w:bottom w:w="0" w:type="dxa"/>
              <w:right w:w="15" w:type="dxa"/>
            </w:tcMar>
          </w:tcPr>
          <w:p w14:paraId="7E04E03A" w14:textId="77777777" w:rsidR="008B4DF8" w:rsidRPr="00C1603D" w:rsidRDefault="008B4DF8" w:rsidP="009B4185">
            <w:pPr>
              <w:pStyle w:val="72TabletextTablesTableFigureBoxstyles"/>
            </w:pPr>
            <w:r w:rsidRPr="00C1603D">
              <w:t>12.061</w:t>
            </w:r>
          </w:p>
        </w:tc>
      </w:tr>
      <w:tr w:rsidR="00AB3EFB" w:rsidRPr="00C1603D" w14:paraId="567A5F7E" w14:textId="77777777" w:rsidTr="00567927">
        <w:trPr>
          <w:cantSplit/>
        </w:trPr>
        <w:tc>
          <w:tcPr>
            <w:tcW w:w="0" w:type="auto"/>
            <w:shd w:val="clear" w:color="auto" w:fill="auto"/>
            <w:tcMar>
              <w:top w:w="15" w:type="dxa"/>
              <w:left w:w="15" w:type="dxa"/>
              <w:bottom w:w="0" w:type="dxa"/>
              <w:right w:w="15" w:type="dxa"/>
            </w:tcMar>
          </w:tcPr>
          <w:p w14:paraId="54A9453A" w14:textId="77777777" w:rsidR="008B4DF8" w:rsidRPr="00C1603D" w:rsidRDefault="008B4DF8" w:rsidP="009B4185">
            <w:pPr>
              <w:pStyle w:val="72TabletextTablesTableFigureBoxstyles"/>
            </w:pPr>
            <w:r w:rsidRPr="00C1603D">
              <w:t>Weight loss</w:t>
            </w:r>
          </w:p>
        </w:tc>
        <w:tc>
          <w:tcPr>
            <w:tcW w:w="0" w:type="auto"/>
            <w:shd w:val="clear" w:color="auto" w:fill="auto"/>
            <w:tcMar>
              <w:top w:w="15" w:type="dxa"/>
              <w:left w:w="15" w:type="dxa"/>
              <w:bottom w:w="0" w:type="dxa"/>
              <w:right w:w="15" w:type="dxa"/>
            </w:tcMar>
          </w:tcPr>
          <w:p w14:paraId="7CD1B65B" w14:textId="77777777" w:rsidR="008B4DF8" w:rsidRPr="00C1603D" w:rsidRDefault="008B4DF8" w:rsidP="009B4185">
            <w:pPr>
              <w:pStyle w:val="72TabletextTablesTableFigureBoxstyles"/>
            </w:pPr>
            <w:r w:rsidRPr="00C1603D">
              <w:t>2.316</w:t>
            </w:r>
          </w:p>
        </w:tc>
        <w:tc>
          <w:tcPr>
            <w:tcW w:w="0" w:type="auto"/>
            <w:shd w:val="clear" w:color="auto" w:fill="auto"/>
            <w:tcMar>
              <w:top w:w="15" w:type="dxa"/>
              <w:left w:w="15" w:type="dxa"/>
              <w:bottom w:w="0" w:type="dxa"/>
              <w:right w:w="15" w:type="dxa"/>
            </w:tcMar>
          </w:tcPr>
          <w:p w14:paraId="144DBDAB" w14:textId="20182AE6" w:rsidR="008B4DF8" w:rsidRPr="00C1603D" w:rsidRDefault="008B4DF8" w:rsidP="009B4185">
            <w:pPr>
              <w:pStyle w:val="72TabletextTablesTableFigureBoxstyles"/>
            </w:pPr>
            <w:r w:rsidRPr="00C1603D">
              <w:t xml:space="preserve">2.302 </w:t>
            </w:r>
            <w:r w:rsidRPr="00C1603D">
              <w:rPr>
                <w:color w:val="00B0F0"/>
              </w:rPr>
              <w:t>(</w:t>
            </w:r>
            <w:r w:rsidRPr="00C1603D">
              <w:t>2.142</w:t>
            </w:r>
            <w:r w:rsidR="007D1315" w:rsidRPr="00C1603D">
              <w:t>–</w:t>
            </w:r>
            <w:r w:rsidRPr="00C1603D">
              <w:t>2.485)</w:t>
            </w:r>
          </w:p>
        </w:tc>
        <w:tc>
          <w:tcPr>
            <w:tcW w:w="0" w:type="auto"/>
            <w:shd w:val="clear" w:color="auto" w:fill="auto"/>
            <w:tcMar>
              <w:top w:w="15" w:type="dxa"/>
              <w:left w:w="15" w:type="dxa"/>
              <w:bottom w:w="0" w:type="dxa"/>
              <w:right w:w="15" w:type="dxa"/>
            </w:tcMar>
          </w:tcPr>
          <w:p w14:paraId="0571FF4C" w14:textId="77777777" w:rsidR="008B4DF8" w:rsidRPr="00C1603D" w:rsidRDefault="008B4DF8" w:rsidP="009B4185">
            <w:pPr>
              <w:pStyle w:val="72TabletextTablesTableFigureBoxstyles"/>
            </w:pPr>
            <w:r w:rsidRPr="00C1603D">
              <w:t>2.563</w:t>
            </w:r>
          </w:p>
        </w:tc>
        <w:tc>
          <w:tcPr>
            <w:tcW w:w="0" w:type="auto"/>
            <w:shd w:val="clear" w:color="auto" w:fill="auto"/>
            <w:tcMar>
              <w:top w:w="15" w:type="dxa"/>
              <w:left w:w="15" w:type="dxa"/>
              <w:bottom w:w="0" w:type="dxa"/>
              <w:right w:w="15" w:type="dxa"/>
            </w:tcMar>
          </w:tcPr>
          <w:p w14:paraId="015BC69A" w14:textId="77777777" w:rsidR="008B4DF8" w:rsidRPr="00C1603D" w:rsidRDefault="008B4DF8" w:rsidP="009B4185">
            <w:pPr>
              <w:pStyle w:val="72TabletextTablesTableFigureBoxstyles"/>
            </w:pPr>
            <w:r w:rsidRPr="00C1603D">
              <w:t>10.135</w:t>
            </w:r>
          </w:p>
        </w:tc>
        <w:tc>
          <w:tcPr>
            <w:tcW w:w="0" w:type="auto"/>
            <w:shd w:val="clear" w:color="auto" w:fill="auto"/>
            <w:tcMar>
              <w:top w:w="15" w:type="dxa"/>
              <w:left w:w="15" w:type="dxa"/>
              <w:bottom w:w="0" w:type="dxa"/>
              <w:right w:w="15" w:type="dxa"/>
            </w:tcMar>
          </w:tcPr>
          <w:p w14:paraId="38DEBA11" w14:textId="77777777" w:rsidR="008B4DF8" w:rsidRPr="00C1603D" w:rsidRDefault="008B4DF8" w:rsidP="009B4185">
            <w:pPr>
              <w:pStyle w:val="72TabletextTablesTableFigureBoxstyles"/>
            </w:pPr>
            <w:r w:rsidRPr="00C1603D">
              <w:t>12.972</w:t>
            </w:r>
          </w:p>
        </w:tc>
        <w:tc>
          <w:tcPr>
            <w:tcW w:w="0" w:type="auto"/>
            <w:shd w:val="clear" w:color="auto" w:fill="auto"/>
            <w:tcMar>
              <w:top w:w="15" w:type="dxa"/>
              <w:left w:w="15" w:type="dxa"/>
              <w:bottom w:w="0" w:type="dxa"/>
              <w:right w:w="15" w:type="dxa"/>
            </w:tcMar>
          </w:tcPr>
          <w:p w14:paraId="5394F9E3" w14:textId="77777777" w:rsidR="008B4DF8" w:rsidRPr="00C1603D" w:rsidRDefault="008B4DF8" w:rsidP="009B4185">
            <w:pPr>
              <w:pStyle w:val="72TabletextTablesTableFigureBoxstyles"/>
            </w:pPr>
            <w:r w:rsidRPr="00C1603D">
              <w:t>2.811</w:t>
            </w:r>
          </w:p>
        </w:tc>
        <w:tc>
          <w:tcPr>
            <w:tcW w:w="0" w:type="auto"/>
            <w:shd w:val="clear" w:color="auto" w:fill="auto"/>
            <w:tcMar>
              <w:top w:w="15" w:type="dxa"/>
              <w:left w:w="15" w:type="dxa"/>
              <w:bottom w:w="0" w:type="dxa"/>
              <w:right w:w="15" w:type="dxa"/>
            </w:tcMar>
          </w:tcPr>
          <w:p w14:paraId="15436B5C" w14:textId="77777777" w:rsidR="008B4DF8" w:rsidRPr="00C1603D" w:rsidRDefault="008B4DF8" w:rsidP="009B4185">
            <w:pPr>
              <w:pStyle w:val="72TabletextTablesTableFigureBoxstyles"/>
            </w:pPr>
            <w:r w:rsidRPr="00C1603D">
              <w:t>16.627</w:t>
            </w:r>
          </w:p>
        </w:tc>
      </w:tr>
      <w:tr w:rsidR="00AB3EFB" w:rsidRPr="00C1603D" w14:paraId="5D061ACC" w14:textId="77777777" w:rsidTr="00567927">
        <w:trPr>
          <w:cantSplit/>
        </w:trPr>
        <w:tc>
          <w:tcPr>
            <w:tcW w:w="0" w:type="auto"/>
            <w:shd w:val="clear" w:color="auto" w:fill="auto"/>
            <w:tcMar>
              <w:top w:w="15" w:type="dxa"/>
              <w:left w:w="15" w:type="dxa"/>
              <w:bottom w:w="0" w:type="dxa"/>
              <w:right w:w="15" w:type="dxa"/>
            </w:tcMar>
          </w:tcPr>
          <w:p w14:paraId="2FAE5205" w14:textId="77777777" w:rsidR="008B4DF8" w:rsidRPr="00C1603D" w:rsidRDefault="008B4DF8" w:rsidP="009B4185">
            <w:pPr>
              <w:pStyle w:val="72TabletextTablesTableFigureBoxstyles"/>
            </w:pPr>
            <w:r w:rsidRPr="00C1603D">
              <w:t>Thyroid disorders</w:t>
            </w:r>
          </w:p>
        </w:tc>
        <w:tc>
          <w:tcPr>
            <w:tcW w:w="0" w:type="auto"/>
            <w:shd w:val="clear" w:color="auto" w:fill="auto"/>
            <w:tcMar>
              <w:top w:w="15" w:type="dxa"/>
              <w:left w:w="15" w:type="dxa"/>
              <w:bottom w:w="0" w:type="dxa"/>
              <w:right w:w="15" w:type="dxa"/>
            </w:tcMar>
          </w:tcPr>
          <w:p w14:paraId="4D8D5D36" w14:textId="77777777" w:rsidR="008B4DF8" w:rsidRPr="00C1603D" w:rsidRDefault="008B4DF8" w:rsidP="009B4185">
            <w:pPr>
              <w:pStyle w:val="72TabletextTablesTableFigureBoxstyles"/>
            </w:pPr>
            <w:r w:rsidRPr="00C1603D">
              <w:t>2.144</w:t>
            </w:r>
          </w:p>
        </w:tc>
        <w:tc>
          <w:tcPr>
            <w:tcW w:w="0" w:type="auto"/>
            <w:shd w:val="clear" w:color="auto" w:fill="auto"/>
            <w:tcMar>
              <w:top w:w="15" w:type="dxa"/>
              <w:left w:w="15" w:type="dxa"/>
              <w:bottom w:w="0" w:type="dxa"/>
              <w:right w:w="15" w:type="dxa"/>
            </w:tcMar>
          </w:tcPr>
          <w:p w14:paraId="433DC0D3" w14:textId="5C6DD37D" w:rsidR="008B4DF8" w:rsidRPr="00C1603D" w:rsidRDefault="008B4DF8" w:rsidP="009B4185">
            <w:pPr>
              <w:pStyle w:val="72TabletextTablesTableFigureBoxstyles"/>
            </w:pPr>
            <w:r w:rsidRPr="00C1603D">
              <w:t xml:space="preserve">2.185 </w:t>
            </w:r>
            <w:r w:rsidRPr="00C1603D">
              <w:rPr>
                <w:color w:val="00B0F0"/>
              </w:rPr>
              <w:t>(</w:t>
            </w:r>
            <w:r w:rsidRPr="00C1603D">
              <w:t>2.000</w:t>
            </w:r>
            <w:r w:rsidR="007D1315" w:rsidRPr="00C1603D">
              <w:t>–</w:t>
            </w:r>
            <w:r w:rsidRPr="00C1603D">
              <w:t>2.395)</w:t>
            </w:r>
          </w:p>
        </w:tc>
        <w:tc>
          <w:tcPr>
            <w:tcW w:w="0" w:type="auto"/>
            <w:shd w:val="clear" w:color="auto" w:fill="auto"/>
            <w:tcMar>
              <w:top w:w="15" w:type="dxa"/>
              <w:left w:w="15" w:type="dxa"/>
              <w:bottom w:w="0" w:type="dxa"/>
              <w:right w:w="15" w:type="dxa"/>
            </w:tcMar>
          </w:tcPr>
          <w:p w14:paraId="331B412F" w14:textId="77777777" w:rsidR="008B4DF8" w:rsidRPr="00C1603D" w:rsidRDefault="008B4DF8" w:rsidP="009B4185">
            <w:pPr>
              <w:pStyle w:val="72TabletextTablesTableFigureBoxstyles"/>
            </w:pPr>
            <w:r w:rsidRPr="00C1603D">
              <w:t>2.361</w:t>
            </w:r>
          </w:p>
        </w:tc>
        <w:tc>
          <w:tcPr>
            <w:tcW w:w="0" w:type="auto"/>
            <w:shd w:val="clear" w:color="auto" w:fill="auto"/>
            <w:tcMar>
              <w:top w:w="15" w:type="dxa"/>
              <w:left w:w="15" w:type="dxa"/>
              <w:bottom w:w="0" w:type="dxa"/>
              <w:right w:w="15" w:type="dxa"/>
            </w:tcMar>
          </w:tcPr>
          <w:p w14:paraId="37A07C72" w14:textId="77777777" w:rsidR="008B4DF8" w:rsidRPr="00C1603D" w:rsidRDefault="008B4DF8" w:rsidP="009B4185">
            <w:pPr>
              <w:pStyle w:val="72TabletextTablesTableFigureBoxstyles"/>
            </w:pPr>
            <w:r w:rsidRPr="00C1603D">
              <w:t>8.536</w:t>
            </w:r>
          </w:p>
        </w:tc>
        <w:tc>
          <w:tcPr>
            <w:tcW w:w="0" w:type="auto"/>
            <w:shd w:val="clear" w:color="auto" w:fill="auto"/>
            <w:tcMar>
              <w:top w:w="15" w:type="dxa"/>
              <w:left w:w="15" w:type="dxa"/>
              <w:bottom w:w="0" w:type="dxa"/>
              <w:right w:w="15" w:type="dxa"/>
            </w:tcMar>
          </w:tcPr>
          <w:p w14:paraId="22D2E91F" w14:textId="77777777" w:rsidR="008B4DF8" w:rsidRPr="00C1603D" w:rsidRDefault="008B4DF8" w:rsidP="009B4185">
            <w:pPr>
              <w:pStyle w:val="72TabletextTablesTableFigureBoxstyles"/>
            </w:pPr>
            <w:r w:rsidRPr="00C1603D">
              <w:t>10.601</w:t>
            </w:r>
          </w:p>
        </w:tc>
        <w:tc>
          <w:tcPr>
            <w:tcW w:w="0" w:type="auto"/>
            <w:shd w:val="clear" w:color="auto" w:fill="auto"/>
            <w:tcMar>
              <w:top w:w="15" w:type="dxa"/>
              <w:left w:w="15" w:type="dxa"/>
              <w:bottom w:w="0" w:type="dxa"/>
              <w:right w:w="15" w:type="dxa"/>
            </w:tcMar>
          </w:tcPr>
          <w:p w14:paraId="10461D96" w14:textId="77777777" w:rsidR="008B4DF8" w:rsidRPr="00C1603D" w:rsidRDefault="008B4DF8" w:rsidP="009B4185">
            <w:pPr>
              <w:pStyle w:val="72TabletextTablesTableFigureBoxstyles"/>
            </w:pPr>
            <w:r w:rsidRPr="00C1603D">
              <w:t>2.742</w:t>
            </w:r>
          </w:p>
        </w:tc>
        <w:tc>
          <w:tcPr>
            <w:tcW w:w="0" w:type="auto"/>
            <w:shd w:val="clear" w:color="auto" w:fill="auto"/>
            <w:tcMar>
              <w:top w:w="15" w:type="dxa"/>
              <w:left w:w="15" w:type="dxa"/>
              <w:bottom w:w="0" w:type="dxa"/>
              <w:right w:w="15" w:type="dxa"/>
            </w:tcMar>
          </w:tcPr>
          <w:p w14:paraId="6CE9B65E" w14:textId="77777777" w:rsidR="008B4DF8" w:rsidRPr="00C1603D" w:rsidRDefault="008B4DF8" w:rsidP="009B4185">
            <w:pPr>
              <w:pStyle w:val="72TabletextTablesTableFigureBoxstyles"/>
            </w:pPr>
            <w:r w:rsidRPr="00C1603D">
              <w:t>15.518</w:t>
            </w:r>
          </w:p>
        </w:tc>
      </w:tr>
      <w:tr w:rsidR="00AB3EFB" w:rsidRPr="00C1603D" w14:paraId="46D81261" w14:textId="77777777" w:rsidTr="00567927">
        <w:trPr>
          <w:cantSplit/>
        </w:trPr>
        <w:tc>
          <w:tcPr>
            <w:tcW w:w="0" w:type="auto"/>
            <w:shd w:val="clear" w:color="auto" w:fill="auto"/>
            <w:tcMar>
              <w:top w:w="15" w:type="dxa"/>
              <w:left w:w="15" w:type="dxa"/>
              <w:bottom w:w="0" w:type="dxa"/>
              <w:right w:w="15" w:type="dxa"/>
            </w:tcMar>
          </w:tcPr>
          <w:p w14:paraId="4E3EFE9E" w14:textId="13721687" w:rsidR="008B4DF8" w:rsidRPr="00C1603D" w:rsidRDefault="008B4DF8" w:rsidP="009B4185">
            <w:pPr>
              <w:pStyle w:val="72TabletextTablesTableFigureBoxstyles"/>
            </w:pPr>
            <w:r w:rsidRPr="00C1603D">
              <w:t xml:space="preserve">Iron, </w:t>
            </w:r>
            <w:r w:rsidR="00AB3EFB" w:rsidRPr="00C1603D">
              <w:t>v</w:t>
            </w:r>
            <w:r w:rsidRPr="00C1603D">
              <w:t>it</w:t>
            </w:r>
            <w:r w:rsidR="00AB3EFB" w:rsidRPr="00C1603D">
              <w:t>amin</w:t>
            </w:r>
            <w:r w:rsidRPr="00C1603D">
              <w:t xml:space="preserve"> B</w:t>
            </w:r>
            <w:r w:rsidRPr="00C1603D">
              <w:rPr>
                <w:vertAlign w:val="subscript"/>
              </w:rPr>
              <w:t>12</w:t>
            </w:r>
            <w:r w:rsidRPr="00C1603D">
              <w:t xml:space="preserve"> or </w:t>
            </w:r>
            <w:r w:rsidR="00AB3EFB" w:rsidRPr="00C1603D">
              <w:t>f</w:t>
            </w:r>
            <w:r w:rsidRPr="00C1603D">
              <w:t>olate deficiency</w:t>
            </w:r>
          </w:p>
        </w:tc>
        <w:tc>
          <w:tcPr>
            <w:tcW w:w="0" w:type="auto"/>
            <w:shd w:val="clear" w:color="auto" w:fill="auto"/>
            <w:tcMar>
              <w:top w:w="15" w:type="dxa"/>
              <w:left w:w="15" w:type="dxa"/>
              <w:bottom w:w="0" w:type="dxa"/>
              <w:right w:w="15" w:type="dxa"/>
            </w:tcMar>
          </w:tcPr>
          <w:p w14:paraId="61BACC90" w14:textId="77777777" w:rsidR="008B4DF8" w:rsidRPr="00C1603D" w:rsidRDefault="008B4DF8" w:rsidP="009B4185">
            <w:pPr>
              <w:pStyle w:val="72TabletextTablesTableFigureBoxstyles"/>
            </w:pPr>
            <w:r w:rsidRPr="00C1603D">
              <w:t>2.016</w:t>
            </w:r>
          </w:p>
        </w:tc>
        <w:tc>
          <w:tcPr>
            <w:tcW w:w="0" w:type="auto"/>
            <w:shd w:val="clear" w:color="auto" w:fill="auto"/>
            <w:tcMar>
              <w:top w:w="15" w:type="dxa"/>
              <w:left w:w="15" w:type="dxa"/>
              <w:bottom w:w="0" w:type="dxa"/>
              <w:right w:w="15" w:type="dxa"/>
            </w:tcMar>
          </w:tcPr>
          <w:p w14:paraId="56468FFF" w14:textId="3D300C93" w:rsidR="008B4DF8" w:rsidRPr="00C1603D" w:rsidRDefault="008B4DF8" w:rsidP="009B4185">
            <w:pPr>
              <w:pStyle w:val="72TabletextTablesTableFigureBoxstyles"/>
            </w:pPr>
            <w:r w:rsidRPr="00C1603D">
              <w:t xml:space="preserve">2.013 </w:t>
            </w:r>
            <w:r w:rsidRPr="00C1603D">
              <w:rPr>
                <w:color w:val="00B0F0"/>
              </w:rPr>
              <w:t>(</w:t>
            </w:r>
            <w:r w:rsidRPr="00C1603D">
              <w:t>1.704</w:t>
            </w:r>
            <w:r w:rsidR="007D1315" w:rsidRPr="00C1603D">
              <w:t>–</w:t>
            </w:r>
            <w:r w:rsidRPr="00C1603D">
              <w:t>2.363)</w:t>
            </w:r>
          </w:p>
        </w:tc>
        <w:tc>
          <w:tcPr>
            <w:tcW w:w="0" w:type="auto"/>
            <w:shd w:val="clear" w:color="auto" w:fill="auto"/>
            <w:tcMar>
              <w:top w:w="15" w:type="dxa"/>
              <w:left w:w="15" w:type="dxa"/>
              <w:bottom w:w="0" w:type="dxa"/>
              <w:right w:w="15" w:type="dxa"/>
            </w:tcMar>
          </w:tcPr>
          <w:p w14:paraId="6C0F01C0" w14:textId="77777777" w:rsidR="008B4DF8" w:rsidRPr="00C1603D" w:rsidRDefault="008B4DF8" w:rsidP="009B4185">
            <w:pPr>
              <w:pStyle w:val="72TabletextTablesTableFigureBoxstyles"/>
            </w:pPr>
            <w:r w:rsidRPr="00C1603D">
              <w:t>2.288</w:t>
            </w:r>
          </w:p>
        </w:tc>
        <w:tc>
          <w:tcPr>
            <w:tcW w:w="0" w:type="auto"/>
            <w:shd w:val="clear" w:color="auto" w:fill="auto"/>
            <w:tcMar>
              <w:top w:w="15" w:type="dxa"/>
              <w:left w:w="15" w:type="dxa"/>
              <w:bottom w:w="0" w:type="dxa"/>
              <w:right w:w="15" w:type="dxa"/>
            </w:tcMar>
          </w:tcPr>
          <w:p w14:paraId="16C313F8" w14:textId="77777777" w:rsidR="008B4DF8" w:rsidRPr="00C1603D" w:rsidRDefault="008B4DF8" w:rsidP="009B4185">
            <w:pPr>
              <w:pStyle w:val="72TabletextTablesTableFigureBoxstyles"/>
            </w:pPr>
            <w:r w:rsidRPr="00C1603D">
              <w:t>7.508</w:t>
            </w:r>
          </w:p>
        </w:tc>
        <w:tc>
          <w:tcPr>
            <w:tcW w:w="0" w:type="auto"/>
            <w:shd w:val="clear" w:color="auto" w:fill="auto"/>
            <w:tcMar>
              <w:top w:w="15" w:type="dxa"/>
              <w:left w:w="15" w:type="dxa"/>
              <w:bottom w:w="0" w:type="dxa"/>
              <w:right w:w="15" w:type="dxa"/>
            </w:tcMar>
          </w:tcPr>
          <w:p w14:paraId="54E1D640" w14:textId="77777777" w:rsidR="008B4DF8" w:rsidRPr="00C1603D" w:rsidRDefault="008B4DF8" w:rsidP="009B4185">
            <w:pPr>
              <w:pStyle w:val="72TabletextTablesTableFigureBoxstyles"/>
            </w:pPr>
            <w:r w:rsidRPr="00C1603D">
              <w:t>9.860</w:t>
            </w:r>
          </w:p>
        </w:tc>
        <w:tc>
          <w:tcPr>
            <w:tcW w:w="0" w:type="auto"/>
            <w:shd w:val="clear" w:color="auto" w:fill="auto"/>
            <w:tcMar>
              <w:top w:w="15" w:type="dxa"/>
              <w:left w:w="15" w:type="dxa"/>
              <w:bottom w:w="0" w:type="dxa"/>
              <w:right w:w="15" w:type="dxa"/>
            </w:tcMar>
          </w:tcPr>
          <w:p w14:paraId="76E54830" w14:textId="77777777" w:rsidR="008B4DF8" w:rsidRPr="00C1603D" w:rsidRDefault="008B4DF8" w:rsidP="009B4185">
            <w:pPr>
              <w:pStyle w:val="72TabletextTablesTableFigureBoxstyles"/>
            </w:pPr>
            <w:r w:rsidRPr="00C1603D">
              <w:t>2.872</w:t>
            </w:r>
          </w:p>
        </w:tc>
        <w:tc>
          <w:tcPr>
            <w:tcW w:w="0" w:type="auto"/>
            <w:shd w:val="clear" w:color="auto" w:fill="auto"/>
            <w:tcMar>
              <w:top w:w="15" w:type="dxa"/>
              <w:left w:w="15" w:type="dxa"/>
              <w:bottom w:w="0" w:type="dxa"/>
              <w:right w:w="15" w:type="dxa"/>
            </w:tcMar>
          </w:tcPr>
          <w:p w14:paraId="550F4BB4" w14:textId="77777777" w:rsidR="008B4DF8" w:rsidRPr="00C1603D" w:rsidRDefault="008B4DF8" w:rsidP="009B4185">
            <w:pPr>
              <w:pStyle w:val="72TabletextTablesTableFigureBoxstyles"/>
            </w:pPr>
            <w:r w:rsidRPr="00C1603D">
              <w:t>17.672</w:t>
            </w:r>
          </w:p>
        </w:tc>
      </w:tr>
      <w:tr w:rsidR="00AB3EFB" w:rsidRPr="00C1603D" w14:paraId="6FF2DC82" w14:textId="77777777" w:rsidTr="00567927">
        <w:trPr>
          <w:cantSplit/>
        </w:trPr>
        <w:tc>
          <w:tcPr>
            <w:tcW w:w="0" w:type="auto"/>
            <w:shd w:val="clear" w:color="auto" w:fill="auto"/>
            <w:tcMar>
              <w:top w:w="15" w:type="dxa"/>
              <w:left w:w="15" w:type="dxa"/>
              <w:bottom w:w="0" w:type="dxa"/>
              <w:right w:w="15" w:type="dxa"/>
            </w:tcMar>
          </w:tcPr>
          <w:p w14:paraId="6A45F2D8" w14:textId="77777777" w:rsidR="008B4DF8" w:rsidRPr="00C1603D" w:rsidRDefault="008B4DF8" w:rsidP="009B4185">
            <w:pPr>
              <w:pStyle w:val="72TabletextTablesTableFigureBoxstyles"/>
            </w:pPr>
            <w:r w:rsidRPr="00C1603D">
              <w:t>Delayed puberty</w:t>
            </w:r>
          </w:p>
        </w:tc>
        <w:tc>
          <w:tcPr>
            <w:tcW w:w="0" w:type="auto"/>
            <w:shd w:val="clear" w:color="auto" w:fill="auto"/>
            <w:tcMar>
              <w:top w:w="15" w:type="dxa"/>
              <w:left w:w="15" w:type="dxa"/>
              <w:bottom w:w="0" w:type="dxa"/>
              <w:right w:w="15" w:type="dxa"/>
            </w:tcMar>
          </w:tcPr>
          <w:p w14:paraId="18823FFB" w14:textId="77777777" w:rsidR="008B4DF8" w:rsidRPr="00C1603D" w:rsidRDefault="008B4DF8" w:rsidP="009B4185">
            <w:pPr>
              <w:pStyle w:val="72TabletextTablesTableFigureBoxstyles"/>
            </w:pPr>
            <w:r w:rsidRPr="00C1603D">
              <w:t>1.995</w:t>
            </w:r>
          </w:p>
        </w:tc>
        <w:tc>
          <w:tcPr>
            <w:tcW w:w="0" w:type="auto"/>
            <w:shd w:val="clear" w:color="auto" w:fill="auto"/>
            <w:tcMar>
              <w:top w:w="15" w:type="dxa"/>
              <w:left w:w="15" w:type="dxa"/>
              <w:bottom w:w="0" w:type="dxa"/>
              <w:right w:w="15" w:type="dxa"/>
            </w:tcMar>
          </w:tcPr>
          <w:p w14:paraId="57DD4F28" w14:textId="18BAE7DB" w:rsidR="008B4DF8" w:rsidRPr="00C1603D" w:rsidRDefault="008B4DF8" w:rsidP="009B4185">
            <w:pPr>
              <w:pStyle w:val="72TabletextTablesTableFigureBoxstyles"/>
            </w:pPr>
            <w:r w:rsidRPr="00C1603D">
              <w:t xml:space="preserve">1.997 </w:t>
            </w:r>
            <w:r w:rsidRPr="00C1603D">
              <w:rPr>
                <w:color w:val="00B0F0"/>
              </w:rPr>
              <w:t>(</w:t>
            </w:r>
            <w:r w:rsidRPr="00C1603D">
              <w:t>1.537</w:t>
            </w:r>
            <w:r w:rsidR="007D1315" w:rsidRPr="00C1603D">
              <w:t>–</w:t>
            </w:r>
            <w:r w:rsidRPr="00C1603D">
              <w:t>2.577)</w:t>
            </w:r>
          </w:p>
        </w:tc>
        <w:tc>
          <w:tcPr>
            <w:tcW w:w="0" w:type="auto"/>
            <w:shd w:val="clear" w:color="auto" w:fill="auto"/>
            <w:tcMar>
              <w:top w:w="15" w:type="dxa"/>
              <w:left w:w="15" w:type="dxa"/>
              <w:bottom w:w="0" w:type="dxa"/>
              <w:right w:w="15" w:type="dxa"/>
            </w:tcMar>
          </w:tcPr>
          <w:p w14:paraId="60329C9A" w14:textId="77777777" w:rsidR="008B4DF8" w:rsidRPr="00C1603D" w:rsidRDefault="008B4DF8" w:rsidP="009B4185">
            <w:pPr>
              <w:pStyle w:val="72TabletextTablesTableFigureBoxstyles"/>
            </w:pPr>
            <w:r w:rsidRPr="00C1603D">
              <w:t>2.464</w:t>
            </w:r>
          </w:p>
        </w:tc>
        <w:tc>
          <w:tcPr>
            <w:tcW w:w="0" w:type="auto"/>
            <w:shd w:val="clear" w:color="auto" w:fill="auto"/>
            <w:tcMar>
              <w:top w:w="15" w:type="dxa"/>
              <w:left w:w="15" w:type="dxa"/>
              <w:bottom w:w="0" w:type="dxa"/>
              <w:right w:w="15" w:type="dxa"/>
            </w:tcMar>
          </w:tcPr>
          <w:p w14:paraId="10AEAF71" w14:textId="77777777" w:rsidR="008B4DF8" w:rsidRPr="00C1603D" w:rsidRDefault="008B4DF8" w:rsidP="009B4185">
            <w:pPr>
              <w:pStyle w:val="72TabletextTablesTableFigureBoxstyles"/>
            </w:pPr>
            <w:r w:rsidRPr="00C1603D">
              <w:t>7.353</w:t>
            </w:r>
          </w:p>
        </w:tc>
        <w:tc>
          <w:tcPr>
            <w:tcW w:w="0" w:type="auto"/>
            <w:shd w:val="clear" w:color="auto" w:fill="auto"/>
            <w:tcMar>
              <w:top w:w="15" w:type="dxa"/>
              <w:left w:w="15" w:type="dxa"/>
              <w:bottom w:w="0" w:type="dxa"/>
              <w:right w:w="15" w:type="dxa"/>
            </w:tcMar>
          </w:tcPr>
          <w:p w14:paraId="188D4052" w14:textId="77777777" w:rsidR="008B4DF8" w:rsidRPr="00C1603D" w:rsidRDefault="008B4DF8" w:rsidP="009B4185">
            <w:pPr>
              <w:pStyle w:val="72TabletextTablesTableFigureBoxstyles"/>
            </w:pPr>
            <w:r w:rsidRPr="00C1603D">
              <w:t>11.756</w:t>
            </w:r>
          </w:p>
        </w:tc>
        <w:tc>
          <w:tcPr>
            <w:tcW w:w="0" w:type="auto"/>
            <w:shd w:val="clear" w:color="auto" w:fill="auto"/>
            <w:tcMar>
              <w:top w:w="15" w:type="dxa"/>
              <w:left w:w="15" w:type="dxa"/>
              <w:bottom w:w="0" w:type="dxa"/>
              <w:right w:w="15" w:type="dxa"/>
            </w:tcMar>
          </w:tcPr>
          <w:p w14:paraId="7DE93B17" w14:textId="77777777" w:rsidR="008B4DF8" w:rsidRPr="00C1603D" w:rsidRDefault="008B4DF8" w:rsidP="009B4185">
            <w:pPr>
              <w:pStyle w:val="72TabletextTablesTableFigureBoxstyles"/>
            </w:pPr>
            <w:r w:rsidRPr="00C1603D">
              <w:t>2.997</w:t>
            </w:r>
          </w:p>
        </w:tc>
        <w:tc>
          <w:tcPr>
            <w:tcW w:w="0" w:type="auto"/>
            <w:shd w:val="clear" w:color="auto" w:fill="auto"/>
            <w:tcMar>
              <w:top w:w="15" w:type="dxa"/>
              <w:left w:w="15" w:type="dxa"/>
              <w:bottom w:w="0" w:type="dxa"/>
              <w:right w:w="15" w:type="dxa"/>
            </w:tcMar>
          </w:tcPr>
          <w:p w14:paraId="778CCF1F" w14:textId="77777777" w:rsidR="008B4DF8" w:rsidRPr="00C1603D" w:rsidRDefault="008B4DF8" w:rsidP="009B4185">
            <w:pPr>
              <w:pStyle w:val="72TabletextTablesTableFigureBoxstyles"/>
            </w:pPr>
            <w:r w:rsidRPr="00C1603D">
              <w:t>20.025</w:t>
            </w:r>
          </w:p>
        </w:tc>
      </w:tr>
      <w:tr w:rsidR="00AB3EFB" w:rsidRPr="00C1603D" w14:paraId="0FA8ACF0" w14:textId="77777777" w:rsidTr="00567927">
        <w:trPr>
          <w:cantSplit/>
        </w:trPr>
        <w:tc>
          <w:tcPr>
            <w:tcW w:w="0" w:type="auto"/>
            <w:shd w:val="clear" w:color="auto" w:fill="auto"/>
            <w:tcMar>
              <w:top w:w="15" w:type="dxa"/>
              <w:left w:w="15" w:type="dxa"/>
              <w:bottom w:w="0" w:type="dxa"/>
              <w:right w:w="15" w:type="dxa"/>
            </w:tcMar>
          </w:tcPr>
          <w:p w14:paraId="530257FE" w14:textId="77777777" w:rsidR="008B4DF8" w:rsidRPr="00C1603D" w:rsidRDefault="008B4DF8" w:rsidP="009B4185">
            <w:pPr>
              <w:pStyle w:val="72TabletextTablesTableFigureBoxstyles"/>
            </w:pPr>
            <w:r w:rsidRPr="00C1603D">
              <w:t>Failure to thrive</w:t>
            </w:r>
          </w:p>
        </w:tc>
        <w:tc>
          <w:tcPr>
            <w:tcW w:w="0" w:type="auto"/>
            <w:shd w:val="clear" w:color="auto" w:fill="auto"/>
            <w:tcMar>
              <w:top w:w="15" w:type="dxa"/>
              <w:left w:w="15" w:type="dxa"/>
              <w:bottom w:w="0" w:type="dxa"/>
              <w:right w:w="15" w:type="dxa"/>
            </w:tcMar>
          </w:tcPr>
          <w:p w14:paraId="1BF6935A" w14:textId="77777777" w:rsidR="008B4DF8" w:rsidRPr="00C1603D" w:rsidRDefault="008B4DF8" w:rsidP="009B4185">
            <w:pPr>
              <w:pStyle w:val="72TabletextTablesTableFigureBoxstyles"/>
            </w:pPr>
            <w:r w:rsidRPr="00C1603D">
              <w:t>1.382</w:t>
            </w:r>
          </w:p>
        </w:tc>
        <w:tc>
          <w:tcPr>
            <w:tcW w:w="0" w:type="auto"/>
            <w:shd w:val="clear" w:color="auto" w:fill="auto"/>
            <w:tcMar>
              <w:top w:w="15" w:type="dxa"/>
              <w:left w:w="15" w:type="dxa"/>
              <w:bottom w:w="0" w:type="dxa"/>
              <w:right w:w="15" w:type="dxa"/>
            </w:tcMar>
          </w:tcPr>
          <w:p w14:paraId="5D7FA2A2" w14:textId="011DA737" w:rsidR="008B4DF8" w:rsidRPr="00C1603D" w:rsidRDefault="008B4DF8" w:rsidP="009B4185">
            <w:pPr>
              <w:pStyle w:val="72TabletextTablesTableFigureBoxstyles"/>
            </w:pPr>
            <w:r w:rsidRPr="00C1603D">
              <w:t xml:space="preserve">1.398 </w:t>
            </w:r>
            <w:r w:rsidRPr="00C1603D">
              <w:rPr>
                <w:color w:val="00B0F0"/>
              </w:rPr>
              <w:t>(</w:t>
            </w:r>
            <w:r w:rsidRPr="00C1603D">
              <w:t>1.215</w:t>
            </w:r>
            <w:r w:rsidR="007D1315" w:rsidRPr="00C1603D">
              <w:t>–</w:t>
            </w:r>
            <w:r w:rsidRPr="00C1603D">
              <w:t>1.540)</w:t>
            </w:r>
          </w:p>
        </w:tc>
        <w:tc>
          <w:tcPr>
            <w:tcW w:w="0" w:type="auto"/>
            <w:shd w:val="clear" w:color="auto" w:fill="auto"/>
            <w:tcMar>
              <w:top w:w="15" w:type="dxa"/>
              <w:left w:w="15" w:type="dxa"/>
              <w:bottom w:w="0" w:type="dxa"/>
              <w:right w:w="15" w:type="dxa"/>
            </w:tcMar>
          </w:tcPr>
          <w:p w14:paraId="048F10E0" w14:textId="77777777" w:rsidR="008B4DF8" w:rsidRPr="00C1603D" w:rsidRDefault="008B4DF8" w:rsidP="009B4185">
            <w:pPr>
              <w:pStyle w:val="72TabletextTablesTableFigureBoxstyles"/>
            </w:pPr>
            <w:r w:rsidRPr="00C1603D">
              <w:t>1.517</w:t>
            </w:r>
          </w:p>
        </w:tc>
        <w:tc>
          <w:tcPr>
            <w:tcW w:w="0" w:type="auto"/>
            <w:shd w:val="clear" w:color="auto" w:fill="auto"/>
            <w:tcMar>
              <w:top w:w="15" w:type="dxa"/>
              <w:left w:w="15" w:type="dxa"/>
              <w:bottom w:w="0" w:type="dxa"/>
              <w:right w:w="15" w:type="dxa"/>
            </w:tcMar>
          </w:tcPr>
          <w:p w14:paraId="7F8703B0" w14:textId="77777777" w:rsidR="008B4DF8" w:rsidRPr="00C1603D" w:rsidRDefault="008B4DF8" w:rsidP="009B4185">
            <w:pPr>
              <w:pStyle w:val="72TabletextTablesTableFigureBoxstyles"/>
            </w:pPr>
            <w:r w:rsidRPr="00C1603D">
              <w:t>3.981</w:t>
            </w:r>
          </w:p>
        </w:tc>
        <w:tc>
          <w:tcPr>
            <w:tcW w:w="0" w:type="auto"/>
            <w:shd w:val="clear" w:color="auto" w:fill="auto"/>
            <w:tcMar>
              <w:top w:w="15" w:type="dxa"/>
              <w:left w:w="15" w:type="dxa"/>
              <w:bottom w:w="0" w:type="dxa"/>
              <w:right w:w="15" w:type="dxa"/>
            </w:tcMar>
          </w:tcPr>
          <w:p w14:paraId="79A57E7B" w14:textId="77777777" w:rsidR="008B4DF8" w:rsidRPr="00C1603D" w:rsidRDefault="008B4DF8" w:rsidP="009B4185">
            <w:pPr>
              <w:pStyle w:val="72TabletextTablesTableFigureBoxstyles"/>
            </w:pPr>
            <w:r w:rsidRPr="00C1603D">
              <w:t>4.558</w:t>
            </w:r>
          </w:p>
        </w:tc>
        <w:tc>
          <w:tcPr>
            <w:tcW w:w="0" w:type="auto"/>
            <w:shd w:val="clear" w:color="auto" w:fill="auto"/>
            <w:tcMar>
              <w:top w:w="15" w:type="dxa"/>
              <w:left w:w="15" w:type="dxa"/>
              <w:bottom w:w="0" w:type="dxa"/>
              <w:right w:w="15" w:type="dxa"/>
            </w:tcMar>
          </w:tcPr>
          <w:p w14:paraId="5CF22526" w14:textId="77777777" w:rsidR="008B4DF8" w:rsidRPr="00C1603D" w:rsidRDefault="008B4DF8" w:rsidP="009B4185">
            <w:pPr>
              <w:pStyle w:val="72TabletextTablesTableFigureBoxstyles"/>
            </w:pPr>
            <w:r w:rsidRPr="00C1603D">
              <w:t>1.888</w:t>
            </w:r>
          </w:p>
        </w:tc>
        <w:tc>
          <w:tcPr>
            <w:tcW w:w="0" w:type="auto"/>
            <w:shd w:val="clear" w:color="auto" w:fill="auto"/>
            <w:tcMar>
              <w:top w:w="15" w:type="dxa"/>
              <w:left w:w="15" w:type="dxa"/>
              <w:bottom w:w="0" w:type="dxa"/>
              <w:right w:w="15" w:type="dxa"/>
            </w:tcMar>
          </w:tcPr>
          <w:p w14:paraId="5088155F" w14:textId="77777777" w:rsidR="008B4DF8" w:rsidRPr="00C1603D" w:rsidRDefault="008B4DF8" w:rsidP="009B4185">
            <w:pPr>
              <w:pStyle w:val="72TabletextTablesTableFigureBoxstyles"/>
            </w:pPr>
            <w:r w:rsidRPr="00C1603D">
              <w:t>6.606</w:t>
            </w:r>
          </w:p>
        </w:tc>
      </w:tr>
      <w:tr w:rsidR="00AB3EFB" w:rsidRPr="00C1603D" w14:paraId="5D487E52" w14:textId="77777777" w:rsidTr="00567927">
        <w:trPr>
          <w:cantSplit/>
        </w:trPr>
        <w:tc>
          <w:tcPr>
            <w:tcW w:w="0" w:type="auto"/>
            <w:shd w:val="clear" w:color="auto" w:fill="auto"/>
            <w:tcMar>
              <w:top w:w="15" w:type="dxa"/>
              <w:left w:w="15" w:type="dxa"/>
              <w:bottom w:w="0" w:type="dxa"/>
              <w:right w:w="15" w:type="dxa"/>
            </w:tcMar>
          </w:tcPr>
          <w:p w14:paraId="54FF3B58" w14:textId="77777777" w:rsidR="008B4DF8" w:rsidRPr="00C1603D" w:rsidRDefault="008B4DF8" w:rsidP="009B4185">
            <w:pPr>
              <w:pStyle w:val="72TabletextTablesTableFigureBoxstyles"/>
            </w:pPr>
            <w:r w:rsidRPr="00C1603D">
              <w:t>Arthritis</w:t>
            </w:r>
          </w:p>
        </w:tc>
        <w:tc>
          <w:tcPr>
            <w:tcW w:w="0" w:type="auto"/>
            <w:shd w:val="clear" w:color="auto" w:fill="auto"/>
            <w:tcMar>
              <w:top w:w="15" w:type="dxa"/>
              <w:left w:w="15" w:type="dxa"/>
              <w:bottom w:w="0" w:type="dxa"/>
              <w:right w:w="15" w:type="dxa"/>
            </w:tcMar>
          </w:tcPr>
          <w:p w14:paraId="5E9475BC" w14:textId="77777777" w:rsidR="008B4DF8" w:rsidRPr="00C1603D" w:rsidRDefault="008B4DF8" w:rsidP="009B4185">
            <w:pPr>
              <w:pStyle w:val="72TabletextTablesTableFigureBoxstyles"/>
            </w:pPr>
            <w:r w:rsidRPr="00C1603D">
              <w:t>1.318</w:t>
            </w:r>
          </w:p>
        </w:tc>
        <w:tc>
          <w:tcPr>
            <w:tcW w:w="0" w:type="auto"/>
            <w:shd w:val="clear" w:color="auto" w:fill="auto"/>
            <w:tcMar>
              <w:top w:w="15" w:type="dxa"/>
              <w:left w:w="15" w:type="dxa"/>
              <w:bottom w:w="0" w:type="dxa"/>
              <w:right w:w="15" w:type="dxa"/>
            </w:tcMar>
          </w:tcPr>
          <w:p w14:paraId="0075942D" w14:textId="6B2FC4E2" w:rsidR="008B4DF8" w:rsidRPr="00C1603D" w:rsidRDefault="008B4DF8" w:rsidP="009B4185">
            <w:pPr>
              <w:pStyle w:val="72TabletextTablesTableFigureBoxstyles"/>
            </w:pPr>
            <w:r w:rsidRPr="00C1603D">
              <w:t xml:space="preserve">1.371 </w:t>
            </w:r>
            <w:r w:rsidRPr="00C1603D">
              <w:rPr>
                <w:color w:val="00B0F0"/>
              </w:rPr>
              <w:t>(</w:t>
            </w:r>
            <w:r w:rsidRPr="00C1603D">
              <w:t>0.949</w:t>
            </w:r>
            <w:r w:rsidR="007D1315" w:rsidRPr="00C1603D">
              <w:t>–</w:t>
            </w:r>
            <w:r w:rsidRPr="00C1603D">
              <w:t>1.738)</w:t>
            </w:r>
          </w:p>
        </w:tc>
        <w:tc>
          <w:tcPr>
            <w:tcW w:w="0" w:type="auto"/>
            <w:shd w:val="clear" w:color="auto" w:fill="auto"/>
            <w:tcMar>
              <w:top w:w="15" w:type="dxa"/>
              <w:left w:w="15" w:type="dxa"/>
              <w:bottom w:w="0" w:type="dxa"/>
              <w:right w:w="15" w:type="dxa"/>
            </w:tcMar>
          </w:tcPr>
          <w:p w14:paraId="39C244E2" w14:textId="77777777" w:rsidR="008B4DF8" w:rsidRPr="00C1603D" w:rsidRDefault="008B4DF8" w:rsidP="009B4185">
            <w:pPr>
              <w:pStyle w:val="72TabletextTablesTableFigureBoxstyles"/>
            </w:pPr>
            <w:r w:rsidRPr="00C1603D">
              <w:t>1.525</w:t>
            </w:r>
          </w:p>
        </w:tc>
        <w:tc>
          <w:tcPr>
            <w:tcW w:w="0" w:type="auto"/>
            <w:shd w:val="clear" w:color="auto" w:fill="auto"/>
            <w:tcMar>
              <w:top w:w="15" w:type="dxa"/>
              <w:left w:w="15" w:type="dxa"/>
              <w:bottom w:w="0" w:type="dxa"/>
              <w:right w:w="15" w:type="dxa"/>
            </w:tcMar>
          </w:tcPr>
          <w:p w14:paraId="6CD97754" w14:textId="77777777" w:rsidR="008B4DF8" w:rsidRPr="00C1603D" w:rsidRDefault="008B4DF8" w:rsidP="009B4185">
            <w:pPr>
              <w:pStyle w:val="72TabletextTablesTableFigureBoxstyles"/>
            </w:pPr>
            <w:r w:rsidRPr="00C1603D">
              <w:t>3.737</w:t>
            </w:r>
          </w:p>
        </w:tc>
        <w:tc>
          <w:tcPr>
            <w:tcW w:w="0" w:type="auto"/>
            <w:shd w:val="clear" w:color="auto" w:fill="auto"/>
            <w:tcMar>
              <w:top w:w="15" w:type="dxa"/>
              <w:left w:w="15" w:type="dxa"/>
              <w:bottom w:w="0" w:type="dxa"/>
              <w:right w:w="15" w:type="dxa"/>
            </w:tcMar>
          </w:tcPr>
          <w:p w14:paraId="6DC3C607" w14:textId="77777777" w:rsidR="008B4DF8" w:rsidRPr="00C1603D" w:rsidRDefault="008B4DF8" w:rsidP="009B4185">
            <w:pPr>
              <w:pStyle w:val="72TabletextTablesTableFigureBoxstyles"/>
            </w:pPr>
            <w:r w:rsidRPr="00C1603D">
              <w:t>4.596</w:t>
            </w:r>
          </w:p>
        </w:tc>
        <w:tc>
          <w:tcPr>
            <w:tcW w:w="0" w:type="auto"/>
            <w:shd w:val="clear" w:color="auto" w:fill="auto"/>
            <w:tcMar>
              <w:top w:w="15" w:type="dxa"/>
              <w:left w:w="15" w:type="dxa"/>
              <w:bottom w:w="0" w:type="dxa"/>
              <w:right w:w="15" w:type="dxa"/>
            </w:tcMar>
          </w:tcPr>
          <w:p w14:paraId="0A90E5C5" w14:textId="77777777" w:rsidR="008B4DF8" w:rsidRPr="00C1603D" w:rsidRDefault="008B4DF8" w:rsidP="009B4185">
            <w:pPr>
              <w:pStyle w:val="72TabletextTablesTableFigureBoxstyles"/>
            </w:pPr>
            <w:r w:rsidRPr="00C1603D">
              <w:t>1.725</w:t>
            </w:r>
          </w:p>
        </w:tc>
        <w:tc>
          <w:tcPr>
            <w:tcW w:w="0" w:type="auto"/>
            <w:shd w:val="clear" w:color="auto" w:fill="auto"/>
            <w:tcMar>
              <w:top w:w="15" w:type="dxa"/>
              <w:left w:w="15" w:type="dxa"/>
              <w:bottom w:w="0" w:type="dxa"/>
              <w:right w:w="15" w:type="dxa"/>
            </w:tcMar>
          </w:tcPr>
          <w:p w14:paraId="73CB6758" w14:textId="77777777" w:rsidR="008B4DF8" w:rsidRPr="00C1603D" w:rsidRDefault="008B4DF8" w:rsidP="009B4185">
            <w:pPr>
              <w:pStyle w:val="72TabletextTablesTableFigureBoxstyles"/>
            </w:pPr>
            <w:r w:rsidRPr="00C1603D">
              <w:t>5.613</w:t>
            </w:r>
          </w:p>
        </w:tc>
      </w:tr>
      <w:tr w:rsidR="00AB3EFB" w:rsidRPr="00C1603D" w14:paraId="3A29C4A1" w14:textId="77777777" w:rsidTr="00567927">
        <w:trPr>
          <w:cantSplit/>
        </w:trPr>
        <w:tc>
          <w:tcPr>
            <w:tcW w:w="0" w:type="auto"/>
            <w:shd w:val="clear" w:color="auto" w:fill="auto"/>
            <w:tcMar>
              <w:top w:w="15" w:type="dxa"/>
              <w:left w:w="15" w:type="dxa"/>
              <w:bottom w:w="0" w:type="dxa"/>
              <w:right w:w="15" w:type="dxa"/>
            </w:tcMar>
          </w:tcPr>
          <w:p w14:paraId="41230A99" w14:textId="5355965F" w:rsidR="008B4DF8" w:rsidRPr="00C1603D" w:rsidRDefault="00C82170" w:rsidP="009B4185">
            <w:pPr>
              <w:pStyle w:val="72TabletextTablesTableFigureBoxstyles"/>
            </w:pPr>
            <w:r w:rsidRPr="00C1603D">
              <w:t>IBS</w:t>
            </w:r>
          </w:p>
        </w:tc>
        <w:tc>
          <w:tcPr>
            <w:tcW w:w="0" w:type="auto"/>
            <w:shd w:val="clear" w:color="auto" w:fill="auto"/>
            <w:tcMar>
              <w:top w:w="15" w:type="dxa"/>
              <w:left w:w="15" w:type="dxa"/>
              <w:bottom w:w="0" w:type="dxa"/>
              <w:right w:w="15" w:type="dxa"/>
            </w:tcMar>
          </w:tcPr>
          <w:p w14:paraId="785A5E41" w14:textId="77777777" w:rsidR="008B4DF8" w:rsidRPr="00C1603D" w:rsidRDefault="008B4DF8" w:rsidP="009B4185">
            <w:pPr>
              <w:pStyle w:val="72TabletextTablesTableFigureBoxstyles"/>
            </w:pPr>
            <w:r w:rsidRPr="00C1603D">
              <w:t>1.127</w:t>
            </w:r>
          </w:p>
        </w:tc>
        <w:tc>
          <w:tcPr>
            <w:tcW w:w="0" w:type="auto"/>
            <w:shd w:val="clear" w:color="auto" w:fill="auto"/>
            <w:tcMar>
              <w:top w:w="15" w:type="dxa"/>
              <w:left w:w="15" w:type="dxa"/>
              <w:bottom w:w="0" w:type="dxa"/>
              <w:right w:w="15" w:type="dxa"/>
            </w:tcMar>
          </w:tcPr>
          <w:p w14:paraId="3DDED92D" w14:textId="13C1A021" w:rsidR="008B4DF8" w:rsidRPr="00C1603D" w:rsidRDefault="008B4DF8" w:rsidP="009B4185">
            <w:pPr>
              <w:pStyle w:val="72TabletextTablesTableFigureBoxstyles"/>
            </w:pPr>
            <w:r w:rsidRPr="00C1603D">
              <w:t xml:space="preserve">1.135 </w:t>
            </w:r>
            <w:r w:rsidRPr="00C1603D">
              <w:rPr>
                <w:color w:val="00B0F0"/>
              </w:rPr>
              <w:t>(</w:t>
            </w:r>
            <w:r w:rsidRPr="00C1603D">
              <w:t>0.934</w:t>
            </w:r>
            <w:r w:rsidR="007D1315" w:rsidRPr="00C1603D">
              <w:t>–</w:t>
            </w:r>
            <w:r w:rsidRPr="00C1603D">
              <w:t>1.377)</w:t>
            </w:r>
          </w:p>
        </w:tc>
        <w:tc>
          <w:tcPr>
            <w:tcW w:w="0" w:type="auto"/>
            <w:shd w:val="clear" w:color="auto" w:fill="auto"/>
            <w:tcMar>
              <w:top w:w="15" w:type="dxa"/>
              <w:left w:w="15" w:type="dxa"/>
              <w:bottom w:w="0" w:type="dxa"/>
              <w:right w:w="15" w:type="dxa"/>
            </w:tcMar>
          </w:tcPr>
          <w:p w14:paraId="293E6D0A" w14:textId="77777777" w:rsidR="008B4DF8" w:rsidRPr="00C1603D" w:rsidRDefault="008B4DF8" w:rsidP="009B4185">
            <w:pPr>
              <w:pStyle w:val="72TabletextTablesTableFigureBoxstyles"/>
            </w:pPr>
            <w:r w:rsidRPr="00C1603D">
              <w:t>1.246</w:t>
            </w:r>
          </w:p>
        </w:tc>
        <w:tc>
          <w:tcPr>
            <w:tcW w:w="0" w:type="auto"/>
            <w:shd w:val="clear" w:color="auto" w:fill="auto"/>
            <w:tcMar>
              <w:top w:w="15" w:type="dxa"/>
              <w:left w:w="15" w:type="dxa"/>
              <w:bottom w:w="0" w:type="dxa"/>
              <w:right w:w="15" w:type="dxa"/>
            </w:tcMar>
          </w:tcPr>
          <w:p w14:paraId="5AE9DC5E" w14:textId="77777777" w:rsidR="008B4DF8" w:rsidRPr="00C1603D" w:rsidRDefault="008B4DF8" w:rsidP="009B4185">
            <w:pPr>
              <w:pStyle w:val="72TabletextTablesTableFigureBoxstyles"/>
            </w:pPr>
            <w:r w:rsidRPr="00C1603D">
              <w:t>3.087</w:t>
            </w:r>
          </w:p>
        </w:tc>
        <w:tc>
          <w:tcPr>
            <w:tcW w:w="0" w:type="auto"/>
            <w:shd w:val="clear" w:color="auto" w:fill="auto"/>
            <w:tcMar>
              <w:top w:w="15" w:type="dxa"/>
              <w:left w:w="15" w:type="dxa"/>
              <w:bottom w:w="0" w:type="dxa"/>
              <w:right w:w="15" w:type="dxa"/>
            </w:tcMar>
          </w:tcPr>
          <w:p w14:paraId="58B7E3C7" w14:textId="77777777" w:rsidR="008B4DF8" w:rsidRPr="00C1603D" w:rsidRDefault="008B4DF8" w:rsidP="009B4185">
            <w:pPr>
              <w:pStyle w:val="72TabletextTablesTableFigureBoxstyles"/>
            </w:pPr>
            <w:r w:rsidRPr="00C1603D">
              <w:t>3.476</w:t>
            </w:r>
          </w:p>
        </w:tc>
        <w:tc>
          <w:tcPr>
            <w:tcW w:w="0" w:type="auto"/>
            <w:shd w:val="clear" w:color="auto" w:fill="auto"/>
            <w:tcMar>
              <w:top w:w="15" w:type="dxa"/>
              <w:left w:w="15" w:type="dxa"/>
              <w:bottom w:w="0" w:type="dxa"/>
              <w:right w:w="15" w:type="dxa"/>
            </w:tcMar>
          </w:tcPr>
          <w:p w14:paraId="21AA3D22" w14:textId="77777777" w:rsidR="008B4DF8" w:rsidRPr="00C1603D" w:rsidRDefault="008B4DF8" w:rsidP="009B4185">
            <w:pPr>
              <w:pStyle w:val="72TabletextTablesTableFigureBoxstyles"/>
            </w:pPr>
            <w:r w:rsidRPr="00C1603D">
              <w:t>1.765</w:t>
            </w:r>
          </w:p>
        </w:tc>
        <w:tc>
          <w:tcPr>
            <w:tcW w:w="0" w:type="auto"/>
            <w:shd w:val="clear" w:color="auto" w:fill="auto"/>
            <w:tcMar>
              <w:top w:w="15" w:type="dxa"/>
              <w:left w:w="15" w:type="dxa"/>
              <w:bottom w:w="0" w:type="dxa"/>
              <w:right w:w="15" w:type="dxa"/>
            </w:tcMar>
          </w:tcPr>
          <w:p w14:paraId="1AF81426" w14:textId="77777777" w:rsidR="008B4DF8" w:rsidRPr="00C1603D" w:rsidRDefault="008B4DF8" w:rsidP="009B4185">
            <w:pPr>
              <w:pStyle w:val="72TabletextTablesTableFigureBoxstyles"/>
            </w:pPr>
            <w:r w:rsidRPr="00C1603D">
              <w:t>5.842</w:t>
            </w:r>
          </w:p>
        </w:tc>
      </w:tr>
      <w:tr w:rsidR="00AB3EFB" w:rsidRPr="00C1603D" w14:paraId="2B9CC6AB" w14:textId="77777777" w:rsidTr="00567927">
        <w:trPr>
          <w:cantSplit/>
        </w:trPr>
        <w:tc>
          <w:tcPr>
            <w:tcW w:w="0" w:type="auto"/>
            <w:shd w:val="clear" w:color="auto" w:fill="auto"/>
            <w:tcMar>
              <w:top w:w="15" w:type="dxa"/>
              <w:left w:w="15" w:type="dxa"/>
              <w:bottom w:w="0" w:type="dxa"/>
              <w:right w:w="15" w:type="dxa"/>
            </w:tcMar>
          </w:tcPr>
          <w:p w14:paraId="6F69319F" w14:textId="77777777" w:rsidR="008B4DF8" w:rsidRPr="00C1603D" w:rsidRDefault="008B4DF8" w:rsidP="009B4185">
            <w:pPr>
              <w:pStyle w:val="72TabletextTablesTableFigureBoxstyles"/>
            </w:pPr>
            <w:r w:rsidRPr="00C1603D">
              <w:t>Fatigue (count 1 year)</w:t>
            </w:r>
          </w:p>
        </w:tc>
        <w:tc>
          <w:tcPr>
            <w:tcW w:w="0" w:type="auto"/>
            <w:shd w:val="clear" w:color="auto" w:fill="auto"/>
            <w:tcMar>
              <w:top w:w="15" w:type="dxa"/>
              <w:left w:w="15" w:type="dxa"/>
              <w:bottom w:w="0" w:type="dxa"/>
              <w:right w:w="15" w:type="dxa"/>
            </w:tcMar>
          </w:tcPr>
          <w:p w14:paraId="31A19880" w14:textId="77777777" w:rsidR="008B4DF8" w:rsidRPr="00C1603D" w:rsidRDefault="008B4DF8" w:rsidP="009B4185">
            <w:pPr>
              <w:pStyle w:val="72TabletextTablesTableFigureBoxstyles"/>
            </w:pPr>
            <w:r w:rsidRPr="00C1603D">
              <w:t>1.111</w:t>
            </w:r>
          </w:p>
        </w:tc>
        <w:tc>
          <w:tcPr>
            <w:tcW w:w="0" w:type="auto"/>
            <w:shd w:val="clear" w:color="auto" w:fill="auto"/>
            <w:tcMar>
              <w:top w:w="15" w:type="dxa"/>
              <w:left w:w="15" w:type="dxa"/>
              <w:bottom w:w="0" w:type="dxa"/>
              <w:right w:w="15" w:type="dxa"/>
            </w:tcMar>
          </w:tcPr>
          <w:p w14:paraId="1F64242B" w14:textId="66C74568" w:rsidR="008B4DF8" w:rsidRPr="00C1603D" w:rsidRDefault="008B4DF8" w:rsidP="009B4185">
            <w:pPr>
              <w:pStyle w:val="72TabletextTablesTableFigureBoxstyles"/>
            </w:pPr>
            <w:r w:rsidRPr="00C1603D">
              <w:t xml:space="preserve">1.090 </w:t>
            </w:r>
            <w:r w:rsidRPr="00C1603D">
              <w:rPr>
                <w:color w:val="00B0F0"/>
              </w:rPr>
              <w:t>(</w:t>
            </w:r>
            <w:r w:rsidRPr="00C1603D">
              <w:t>0.967</w:t>
            </w:r>
            <w:r w:rsidR="007D1315" w:rsidRPr="00C1603D">
              <w:t>–</w:t>
            </w:r>
            <w:r w:rsidRPr="00C1603D">
              <w:t>1.233)</w:t>
            </w:r>
          </w:p>
        </w:tc>
        <w:tc>
          <w:tcPr>
            <w:tcW w:w="0" w:type="auto"/>
            <w:shd w:val="clear" w:color="auto" w:fill="auto"/>
            <w:tcMar>
              <w:top w:w="15" w:type="dxa"/>
              <w:left w:w="15" w:type="dxa"/>
              <w:bottom w:w="0" w:type="dxa"/>
              <w:right w:w="15" w:type="dxa"/>
            </w:tcMar>
          </w:tcPr>
          <w:p w14:paraId="5FCC4BE7" w14:textId="77777777" w:rsidR="008B4DF8" w:rsidRPr="00C1603D" w:rsidRDefault="008B4DF8" w:rsidP="009B4185">
            <w:pPr>
              <w:pStyle w:val="72TabletextTablesTableFigureBoxstyles"/>
            </w:pPr>
            <w:r w:rsidRPr="00C1603D">
              <w:t>1.249</w:t>
            </w:r>
          </w:p>
        </w:tc>
        <w:tc>
          <w:tcPr>
            <w:tcW w:w="0" w:type="auto"/>
            <w:shd w:val="clear" w:color="auto" w:fill="auto"/>
            <w:tcMar>
              <w:top w:w="15" w:type="dxa"/>
              <w:left w:w="15" w:type="dxa"/>
              <w:bottom w:w="0" w:type="dxa"/>
              <w:right w:w="15" w:type="dxa"/>
            </w:tcMar>
          </w:tcPr>
          <w:p w14:paraId="3B88C54B" w14:textId="77777777" w:rsidR="008B4DF8" w:rsidRPr="00C1603D" w:rsidRDefault="008B4DF8" w:rsidP="009B4185">
            <w:pPr>
              <w:pStyle w:val="72TabletextTablesTableFigureBoxstyles"/>
            </w:pPr>
            <w:r w:rsidRPr="00C1603D">
              <w:t>3.036</w:t>
            </w:r>
          </w:p>
        </w:tc>
        <w:tc>
          <w:tcPr>
            <w:tcW w:w="0" w:type="auto"/>
            <w:shd w:val="clear" w:color="auto" w:fill="auto"/>
            <w:tcMar>
              <w:top w:w="15" w:type="dxa"/>
              <w:left w:w="15" w:type="dxa"/>
              <w:bottom w:w="0" w:type="dxa"/>
              <w:right w:w="15" w:type="dxa"/>
            </w:tcMar>
          </w:tcPr>
          <w:p w14:paraId="0905A910" w14:textId="77777777" w:rsidR="008B4DF8" w:rsidRPr="00C1603D" w:rsidRDefault="008B4DF8" w:rsidP="009B4185">
            <w:pPr>
              <w:pStyle w:val="72TabletextTablesTableFigureBoxstyles"/>
            </w:pPr>
            <w:r w:rsidRPr="00C1603D">
              <w:t>3.487</w:t>
            </w:r>
          </w:p>
        </w:tc>
        <w:tc>
          <w:tcPr>
            <w:tcW w:w="0" w:type="auto"/>
            <w:shd w:val="clear" w:color="auto" w:fill="auto"/>
            <w:tcMar>
              <w:top w:w="15" w:type="dxa"/>
              <w:left w:w="15" w:type="dxa"/>
              <w:bottom w:w="0" w:type="dxa"/>
              <w:right w:w="15" w:type="dxa"/>
            </w:tcMar>
          </w:tcPr>
          <w:p w14:paraId="393383FC" w14:textId="77777777" w:rsidR="008B4DF8" w:rsidRPr="00C1603D" w:rsidRDefault="008B4DF8" w:rsidP="009B4185">
            <w:pPr>
              <w:pStyle w:val="72TabletextTablesTableFigureBoxstyles"/>
            </w:pPr>
            <w:r w:rsidRPr="00C1603D">
              <w:t>2.139</w:t>
            </w:r>
          </w:p>
        </w:tc>
        <w:tc>
          <w:tcPr>
            <w:tcW w:w="0" w:type="auto"/>
            <w:shd w:val="clear" w:color="auto" w:fill="auto"/>
            <w:tcMar>
              <w:top w:w="15" w:type="dxa"/>
              <w:left w:w="15" w:type="dxa"/>
              <w:bottom w:w="0" w:type="dxa"/>
              <w:right w:w="15" w:type="dxa"/>
            </w:tcMar>
          </w:tcPr>
          <w:p w14:paraId="085B24BB" w14:textId="77777777" w:rsidR="008B4DF8" w:rsidRPr="00C1603D" w:rsidRDefault="008B4DF8" w:rsidP="009B4185">
            <w:pPr>
              <w:pStyle w:val="72TabletextTablesTableFigureBoxstyles"/>
            </w:pPr>
            <w:r w:rsidRPr="00C1603D">
              <w:t>8.491</w:t>
            </w:r>
          </w:p>
        </w:tc>
      </w:tr>
      <w:tr w:rsidR="00AB3EFB" w:rsidRPr="00C1603D" w14:paraId="3BA7D5FA" w14:textId="77777777" w:rsidTr="00567927">
        <w:trPr>
          <w:cantSplit/>
        </w:trPr>
        <w:tc>
          <w:tcPr>
            <w:tcW w:w="0" w:type="auto"/>
            <w:shd w:val="clear" w:color="auto" w:fill="auto"/>
            <w:tcMar>
              <w:top w:w="15" w:type="dxa"/>
              <w:left w:w="15" w:type="dxa"/>
              <w:bottom w:w="0" w:type="dxa"/>
              <w:right w:w="15" w:type="dxa"/>
            </w:tcMar>
          </w:tcPr>
          <w:p w14:paraId="387E5275" w14:textId="77777777" w:rsidR="008B4DF8" w:rsidRPr="00C1603D" w:rsidRDefault="008B4DF8" w:rsidP="009B4185">
            <w:pPr>
              <w:pStyle w:val="72TabletextTablesTableFigureBoxstyles"/>
            </w:pPr>
            <w:r w:rsidRPr="00C1603D">
              <w:t>GI symptoms (count 1 year)</w:t>
            </w:r>
          </w:p>
        </w:tc>
        <w:tc>
          <w:tcPr>
            <w:tcW w:w="0" w:type="auto"/>
            <w:shd w:val="clear" w:color="auto" w:fill="auto"/>
            <w:tcMar>
              <w:top w:w="15" w:type="dxa"/>
              <w:left w:w="15" w:type="dxa"/>
              <w:bottom w:w="0" w:type="dxa"/>
              <w:right w:w="15" w:type="dxa"/>
            </w:tcMar>
          </w:tcPr>
          <w:p w14:paraId="612E1F27" w14:textId="77777777" w:rsidR="008B4DF8" w:rsidRPr="00C1603D" w:rsidRDefault="008B4DF8" w:rsidP="009B4185">
            <w:pPr>
              <w:pStyle w:val="72TabletextTablesTableFigureBoxstyles"/>
            </w:pPr>
            <w:r w:rsidRPr="00C1603D">
              <w:t>0.794</w:t>
            </w:r>
          </w:p>
        </w:tc>
        <w:tc>
          <w:tcPr>
            <w:tcW w:w="0" w:type="auto"/>
            <w:shd w:val="clear" w:color="auto" w:fill="auto"/>
            <w:tcMar>
              <w:top w:w="15" w:type="dxa"/>
              <w:left w:w="15" w:type="dxa"/>
              <w:bottom w:w="0" w:type="dxa"/>
              <w:right w:w="15" w:type="dxa"/>
            </w:tcMar>
          </w:tcPr>
          <w:p w14:paraId="416E1467" w14:textId="7BF3DBEB" w:rsidR="008B4DF8" w:rsidRPr="00C1603D" w:rsidRDefault="008B4DF8" w:rsidP="009B4185">
            <w:pPr>
              <w:pStyle w:val="72TabletextTablesTableFigureBoxstyles"/>
            </w:pPr>
            <w:r w:rsidRPr="00C1603D">
              <w:t xml:space="preserve">0.792 </w:t>
            </w:r>
            <w:r w:rsidRPr="00C1603D">
              <w:rPr>
                <w:color w:val="00B0F0"/>
              </w:rPr>
              <w:t>(</w:t>
            </w:r>
            <w:r w:rsidRPr="00C1603D">
              <w:t>0.775</w:t>
            </w:r>
            <w:r w:rsidR="007D1315" w:rsidRPr="00C1603D">
              <w:t>–</w:t>
            </w:r>
            <w:r w:rsidRPr="00C1603D">
              <w:t>0.817)</w:t>
            </w:r>
          </w:p>
        </w:tc>
        <w:tc>
          <w:tcPr>
            <w:tcW w:w="0" w:type="auto"/>
            <w:shd w:val="clear" w:color="auto" w:fill="auto"/>
            <w:tcMar>
              <w:top w:w="15" w:type="dxa"/>
              <w:left w:w="15" w:type="dxa"/>
              <w:bottom w:w="0" w:type="dxa"/>
              <w:right w:w="15" w:type="dxa"/>
            </w:tcMar>
          </w:tcPr>
          <w:p w14:paraId="37118936" w14:textId="77777777" w:rsidR="008B4DF8" w:rsidRPr="00C1603D" w:rsidRDefault="008B4DF8" w:rsidP="009B4185">
            <w:pPr>
              <w:pStyle w:val="72TabletextTablesTableFigureBoxstyles"/>
            </w:pPr>
            <w:r w:rsidRPr="00C1603D">
              <w:t>0.854</w:t>
            </w:r>
          </w:p>
        </w:tc>
        <w:tc>
          <w:tcPr>
            <w:tcW w:w="0" w:type="auto"/>
            <w:shd w:val="clear" w:color="auto" w:fill="auto"/>
            <w:tcMar>
              <w:top w:w="15" w:type="dxa"/>
              <w:left w:w="15" w:type="dxa"/>
              <w:bottom w:w="0" w:type="dxa"/>
              <w:right w:w="15" w:type="dxa"/>
            </w:tcMar>
          </w:tcPr>
          <w:p w14:paraId="36C9B5A2" w14:textId="77777777" w:rsidR="008B4DF8" w:rsidRPr="00C1603D" w:rsidRDefault="008B4DF8" w:rsidP="009B4185">
            <w:pPr>
              <w:pStyle w:val="72TabletextTablesTableFigureBoxstyles"/>
            </w:pPr>
            <w:r w:rsidRPr="00C1603D">
              <w:t>2.213</w:t>
            </w:r>
          </w:p>
        </w:tc>
        <w:tc>
          <w:tcPr>
            <w:tcW w:w="0" w:type="auto"/>
            <w:shd w:val="clear" w:color="auto" w:fill="auto"/>
            <w:tcMar>
              <w:top w:w="15" w:type="dxa"/>
              <w:left w:w="15" w:type="dxa"/>
              <w:bottom w:w="0" w:type="dxa"/>
              <w:right w:w="15" w:type="dxa"/>
            </w:tcMar>
          </w:tcPr>
          <w:p w14:paraId="7349D998" w14:textId="77777777" w:rsidR="008B4DF8" w:rsidRPr="00C1603D" w:rsidRDefault="008B4DF8" w:rsidP="009B4185">
            <w:pPr>
              <w:pStyle w:val="72TabletextTablesTableFigureBoxstyles"/>
            </w:pPr>
            <w:r w:rsidRPr="00C1603D">
              <w:t>2.348</w:t>
            </w:r>
          </w:p>
        </w:tc>
        <w:tc>
          <w:tcPr>
            <w:tcW w:w="0" w:type="auto"/>
            <w:shd w:val="clear" w:color="auto" w:fill="auto"/>
            <w:tcMar>
              <w:top w:w="15" w:type="dxa"/>
              <w:left w:w="15" w:type="dxa"/>
              <w:bottom w:w="0" w:type="dxa"/>
              <w:right w:w="15" w:type="dxa"/>
            </w:tcMar>
          </w:tcPr>
          <w:p w14:paraId="732DA2F0" w14:textId="77777777" w:rsidR="008B4DF8" w:rsidRPr="00C1603D" w:rsidRDefault="008B4DF8" w:rsidP="009B4185">
            <w:pPr>
              <w:pStyle w:val="72TabletextTablesTableFigureBoxstyles"/>
            </w:pPr>
            <w:r w:rsidRPr="00C1603D">
              <w:t>1.023</w:t>
            </w:r>
          </w:p>
        </w:tc>
        <w:tc>
          <w:tcPr>
            <w:tcW w:w="0" w:type="auto"/>
            <w:shd w:val="clear" w:color="auto" w:fill="auto"/>
            <w:tcMar>
              <w:top w:w="15" w:type="dxa"/>
              <w:left w:w="15" w:type="dxa"/>
              <w:bottom w:w="0" w:type="dxa"/>
              <w:right w:w="15" w:type="dxa"/>
            </w:tcMar>
          </w:tcPr>
          <w:p w14:paraId="38D0C1CE" w14:textId="77777777" w:rsidR="008B4DF8" w:rsidRPr="00C1603D" w:rsidRDefault="008B4DF8" w:rsidP="009B4185">
            <w:pPr>
              <w:pStyle w:val="72TabletextTablesTableFigureBoxstyles"/>
            </w:pPr>
            <w:r w:rsidRPr="00C1603D">
              <w:t>2.782</w:t>
            </w:r>
          </w:p>
        </w:tc>
      </w:tr>
      <w:tr w:rsidR="00AB3EFB" w:rsidRPr="00C1603D" w14:paraId="7A8E940C" w14:textId="77777777" w:rsidTr="00567927">
        <w:trPr>
          <w:cantSplit/>
        </w:trPr>
        <w:tc>
          <w:tcPr>
            <w:tcW w:w="0" w:type="auto"/>
            <w:shd w:val="clear" w:color="auto" w:fill="auto"/>
            <w:tcMar>
              <w:top w:w="15" w:type="dxa"/>
              <w:left w:w="15" w:type="dxa"/>
              <w:bottom w:w="0" w:type="dxa"/>
              <w:right w:w="15" w:type="dxa"/>
            </w:tcMar>
          </w:tcPr>
          <w:p w14:paraId="30C89F01" w14:textId="77777777" w:rsidR="008B4DF8" w:rsidRPr="00C1603D" w:rsidRDefault="008B4DF8" w:rsidP="009B4185">
            <w:pPr>
              <w:pStyle w:val="72TabletextTablesTableFigureBoxstyles"/>
            </w:pPr>
            <w:r w:rsidRPr="00C1603D">
              <w:t>Fatigue</w:t>
            </w:r>
          </w:p>
        </w:tc>
        <w:tc>
          <w:tcPr>
            <w:tcW w:w="0" w:type="auto"/>
            <w:shd w:val="clear" w:color="auto" w:fill="auto"/>
            <w:tcMar>
              <w:top w:w="15" w:type="dxa"/>
              <w:left w:w="15" w:type="dxa"/>
              <w:bottom w:w="0" w:type="dxa"/>
              <w:right w:w="15" w:type="dxa"/>
            </w:tcMar>
          </w:tcPr>
          <w:p w14:paraId="1B88B245" w14:textId="77777777" w:rsidR="008B4DF8" w:rsidRPr="00C1603D" w:rsidRDefault="008B4DF8" w:rsidP="009B4185">
            <w:pPr>
              <w:pStyle w:val="72TabletextTablesTableFigureBoxstyles"/>
            </w:pPr>
            <w:r w:rsidRPr="00C1603D">
              <w:t>0.613</w:t>
            </w:r>
          </w:p>
        </w:tc>
        <w:tc>
          <w:tcPr>
            <w:tcW w:w="0" w:type="auto"/>
            <w:shd w:val="clear" w:color="auto" w:fill="auto"/>
            <w:tcMar>
              <w:top w:w="15" w:type="dxa"/>
              <w:left w:w="15" w:type="dxa"/>
              <w:bottom w:w="0" w:type="dxa"/>
              <w:right w:w="15" w:type="dxa"/>
            </w:tcMar>
          </w:tcPr>
          <w:p w14:paraId="662BD0CA" w14:textId="611F87F1" w:rsidR="008B4DF8" w:rsidRPr="00C1603D" w:rsidRDefault="008B4DF8" w:rsidP="009B4185">
            <w:pPr>
              <w:pStyle w:val="72TabletextTablesTableFigureBoxstyles"/>
            </w:pPr>
            <w:r w:rsidRPr="00C1603D">
              <w:t xml:space="preserve">0.605 </w:t>
            </w:r>
            <w:r w:rsidRPr="00C1603D">
              <w:rPr>
                <w:color w:val="00B0F0"/>
              </w:rPr>
              <w:t>(</w:t>
            </w:r>
            <w:r w:rsidRPr="00C1603D">
              <w:t>0.500</w:t>
            </w:r>
            <w:r w:rsidR="007D1315" w:rsidRPr="00C1603D">
              <w:t>–</w:t>
            </w:r>
            <w:r w:rsidRPr="00C1603D">
              <w:t>0.698)</w:t>
            </w:r>
          </w:p>
        </w:tc>
        <w:tc>
          <w:tcPr>
            <w:tcW w:w="0" w:type="auto"/>
            <w:shd w:val="clear" w:color="auto" w:fill="auto"/>
            <w:tcMar>
              <w:top w:w="15" w:type="dxa"/>
              <w:left w:w="15" w:type="dxa"/>
              <w:bottom w:w="0" w:type="dxa"/>
              <w:right w:w="15" w:type="dxa"/>
            </w:tcMar>
          </w:tcPr>
          <w:p w14:paraId="39F5B96A" w14:textId="77777777" w:rsidR="008B4DF8" w:rsidRPr="00C1603D" w:rsidRDefault="008B4DF8" w:rsidP="009B4185">
            <w:pPr>
              <w:pStyle w:val="72TabletextTablesTableFigureBoxstyles"/>
            </w:pPr>
            <w:r w:rsidRPr="00C1603D">
              <w:t>0.603</w:t>
            </w:r>
          </w:p>
        </w:tc>
        <w:tc>
          <w:tcPr>
            <w:tcW w:w="0" w:type="auto"/>
            <w:shd w:val="clear" w:color="auto" w:fill="auto"/>
            <w:tcMar>
              <w:top w:w="15" w:type="dxa"/>
              <w:left w:w="15" w:type="dxa"/>
              <w:bottom w:w="0" w:type="dxa"/>
              <w:right w:w="15" w:type="dxa"/>
            </w:tcMar>
          </w:tcPr>
          <w:p w14:paraId="22D6DDCB" w14:textId="77777777" w:rsidR="008B4DF8" w:rsidRPr="00C1603D" w:rsidRDefault="008B4DF8" w:rsidP="009B4185">
            <w:pPr>
              <w:pStyle w:val="72TabletextTablesTableFigureBoxstyles"/>
            </w:pPr>
            <w:r w:rsidRPr="00C1603D">
              <w:t>1.846</w:t>
            </w:r>
          </w:p>
        </w:tc>
        <w:tc>
          <w:tcPr>
            <w:tcW w:w="0" w:type="auto"/>
            <w:shd w:val="clear" w:color="auto" w:fill="auto"/>
            <w:tcMar>
              <w:top w:w="15" w:type="dxa"/>
              <w:left w:w="15" w:type="dxa"/>
              <w:bottom w:w="0" w:type="dxa"/>
              <w:right w:w="15" w:type="dxa"/>
            </w:tcMar>
          </w:tcPr>
          <w:p w14:paraId="280776C2" w14:textId="77777777" w:rsidR="008B4DF8" w:rsidRPr="00C1603D" w:rsidRDefault="008B4DF8" w:rsidP="009B4185">
            <w:pPr>
              <w:pStyle w:val="72TabletextTablesTableFigureBoxstyles"/>
            </w:pPr>
            <w:r w:rsidRPr="00C1603D">
              <w:t>1.827</w:t>
            </w:r>
          </w:p>
        </w:tc>
        <w:tc>
          <w:tcPr>
            <w:tcW w:w="0" w:type="auto"/>
            <w:shd w:val="clear" w:color="auto" w:fill="auto"/>
            <w:tcMar>
              <w:top w:w="15" w:type="dxa"/>
              <w:left w:w="15" w:type="dxa"/>
              <w:bottom w:w="0" w:type="dxa"/>
              <w:right w:w="15" w:type="dxa"/>
            </w:tcMar>
          </w:tcPr>
          <w:p w14:paraId="4163CB4A" w14:textId="77777777" w:rsidR="008B4DF8" w:rsidRPr="00C1603D" w:rsidRDefault="008B4DF8" w:rsidP="009B4185">
            <w:pPr>
              <w:pStyle w:val="72TabletextTablesTableFigureBoxstyles"/>
            </w:pPr>
            <w:r w:rsidRPr="00C1603D">
              <w:t>1.638</w:t>
            </w:r>
          </w:p>
        </w:tc>
        <w:tc>
          <w:tcPr>
            <w:tcW w:w="0" w:type="auto"/>
            <w:shd w:val="clear" w:color="auto" w:fill="auto"/>
            <w:tcMar>
              <w:top w:w="15" w:type="dxa"/>
              <w:left w:w="15" w:type="dxa"/>
              <w:bottom w:w="0" w:type="dxa"/>
              <w:right w:w="15" w:type="dxa"/>
            </w:tcMar>
          </w:tcPr>
          <w:p w14:paraId="2C7AB56B" w14:textId="77777777" w:rsidR="008B4DF8" w:rsidRPr="00C1603D" w:rsidRDefault="008B4DF8" w:rsidP="009B4185">
            <w:pPr>
              <w:pStyle w:val="72TabletextTablesTableFigureBoxstyles"/>
            </w:pPr>
            <w:r w:rsidRPr="00C1603D">
              <w:t>5.145</w:t>
            </w:r>
          </w:p>
        </w:tc>
      </w:tr>
      <w:tr w:rsidR="00AB3EFB" w:rsidRPr="00C1603D" w14:paraId="0B1BA392" w14:textId="77777777" w:rsidTr="00567927">
        <w:trPr>
          <w:cantSplit/>
        </w:trPr>
        <w:tc>
          <w:tcPr>
            <w:tcW w:w="0" w:type="auto"/>
            <w:shd w:val="clear" w:color="auto" w:fill="auto"/>
            <w:tcMar>
              <w:top w:w="15" w:type="dxa"/>
              <w:left w:w="15" w:type="dxa"/>
              <w:bottom w:w="0" w:type="dxa"/>
              <w:right w:w="15" w:type="dxa"/>
            </w:tcMar>
          </w:tcPr>
          <w:p w14:paraId="4AD289D1" w14:textId="77777777" w:rsidR="008B4DF8" w:rsidRPr="00C1603D" w:rsidRDefault="008B4DF8" w:rsidP="009B4185">
            <w:pPr>
              <w:pStyle w:val="72TabletextTablesTableFigureBoxstyles"/>
            </w:pPr>
            <w:r w:rsidRPr="00C1603D">
              <w:t>GI symptoms</w:t>
            </w:r>
          </w:p>
        </w:tc>
        <w:tc>
          <w:tcPr>
            <w:tcW w:w="0" w:type="auto"/>
            <w:shd w:val="clear" w:color="auto" w:fill="auto"/>
            <w:tcMar>
              <w:top w:w="15" w:type="dxa"/>
              <w:left w:w="15" w:type="dxa"/>
              <w:bottom w:w="0" w:type="dxa"/>
              <w:right w:w="15" w:type="dxa"/>
            </w:tcMar>
          </w:tcPr>
          <w:p w14:paraId="09FE01B4" w14:textId="77777777" w:rsidR="008B4DF8" w:rsidRPr="00C1603D" w:rsidRDefault="008B4DF8" w:rsidP="009B4185">
            <w:pPr>
              <w:pStyle w:val="72TabletextTablesTableFigureBoxstyles"/>
            </w:pPr>
            <w:r w:rsidRPr="00C1603D">
              <w:t>0.582</w:t>
            </w:r>
          </w:p>
        </w:tc>
        <w:tc>
          <w:tcPr>
            <w:tcW w:w="0" w:type="auto"/>
            <w:shd w:val="clear" w:color="auto" w:fill="auto"/>
            <w:tcMar>
              <w:top w:w="15" w:type="dxa"/>
              <w:left w:w="15" w:type="dxa"/>
              <w:bottom w:w="0" w:type="dxa"/>
              <w:right w:w="15" w:type="dxa"/>
            </w:tcMar>
          </w:tcPr>
          <w:p w14:paraId="709403A5" w14:textId="050684F5" w:rsidR="008B4DF8" w:rsidRPr="00C1603D" w:rsidRDefault="008B4DF8" w:rsidP="009B4185">
            <w:pPr>
              <w:pStyle w:val="72TabletextTablesTableFigureBoxstyles"/>
            </w:pPr>
            <w:r w:rsidRPr="00C1603D">
              <w:t xml:space="preserve">0.584 </w:t>
            </w:r>
            <w:r w:rsidRPr="00C1603D">
              <w:rPr>
                <w:color w:val="00B0F0"/>
              </w:rPr>
              <w:t>(</w:t>
            </w:r>
            <w:r w:rsidRPr="00C1603D">
              <w:t>0.550</w:t>
            </w:r>
            <w:r w:rsidR="007D1315" w:rsidRPr="00C1603D">
              <w:t>–</w:t>
            </w:r>
            <w:r w:rsidRPr="00C1603D">
              <w:t>0.613)</w:t>
            </w:r>
          </w:p>
        </w:tc>
        <w:tc>
          <w:tcPr>
            <w:tcW w:w="0" w:type="auto"/>
            <w:shd w:val="clear" w:color="auto" w:fill="auto"/>
            <w:tcMar>
              <w:top w:w="15" w:type="dxa"/>
              <w:left w:w="15" w:type="dxa"/>
              <w:bottom w:w="0" w:type="dxa"/>
              <w:right w:w="15" w:type="dxa"/>
            </w:tcMar>
          </w:tcPr>
          <w:p w14:paraId="795CC60D" w14:textId="77777777" w:rsidR="008B4DF8" w:rsidRPr="00C1603D" w:rsidRDefault="008B4DF8" w:rsidP="009B4185">
            <w:pPr>
              <w:pStyle w:val="72TabletextTablesTableFigureBoxstyles"/>
            </w:pPr>
            <w:r w:rsidRPr="00C1603D">
              <w:t>0.603</w:t>
            </w:r>
          </w:p>
        </w:tc>
        <w:tc>
          <w:tcPr>
            <w:tcW w:w="0" w:type="auto"/>
            <w:shd w:val="clear" w:color="auto" w:fill="auto"/>
            <w:tcMar>
              <w:top w:w="15" w:type="dxa"/>
              <w:left w:w="15" w:type="dxa"/>
              <w:bottom w:w="0" w:type="dxa"/>
              <w:right w:w="15" w:type="dxa"/>
            </w:tcMar>
          </w:tcPr>
          <w:p w14:paraId="7726DD53" w14:textId="77777777" w:rsidR="008B4DF8" w:rsidRPr="00C1603D" w:rsidRDefault="008B4DF8" w:rsidP="009B4185">
            <w:pPr>
              <w:pStyle w:val="72TabletextTablesTableFigureBoxstyles"/>
            </w:pPr>
            <w:r w:rsidRPr="00C1603D">
              <w:t>1.790</w:t>
            </w:r>
          </w:p>
        </w:tc>
        <w:tc>
          <w:tcPr>
            <w:tcW w:w="0" w:type="auto"/>
            <w:shd w:val="clear" w:color="auto" w:fill="auto"/>
            <w:tcMar>
              <w:top w:w="15" w:type="dxa"/>
              <w:left w:w="15" w:type="dxa"/>
              <w:bottom w:w="0" w:type="dxa"/>
              <w:right w:w="15" w:type="dxa"/>
            </w:tcMar>
          </w:tcPr>
          <w:p w14:paraId="2905BC0E" w14:textId="77777777" w:rsidR="008B4DF8" w:rsidRPr="00C1603D" w:rsidRDefault="008B4DF8" w:rsidP="009B4185">
            <w:pPr>
              <w:pStyle w:val="72TabletextTablesTableFigureBoxstyles"/>
            </w:pPr>
            <w:r w:rsidRPr="00C1603D">
              <w:t>1.828</w:t>
            </w:r>
          </w:p>
        </w:tc>
        <w:tc>
          <w:tcPr>
            <w:tcW w:w="0" w:type="auto"/>
            <w:shd w:val="clear" w:color="auto" w:fill="auto"/>
            <w:tcMar>
              <w:top w:w="15" w:type="dxa"/>
              <w:left w:w="15" w:type="dxa"/>
              <w:bottom w:w="0" w:type="dxa"/>
              <w:right w:w="15" w:type="dxa"/>
            </w:tcMar>
          </w:tcPr>
          <w:p w14:paraId="5C0C2526" w14:textId="77777777" w:rsidR="008B4DF8" w:rsidRPr="00C1603D" w:rsidRDefault="008B4DF8" w:rsidP="009B4185">
            <w:pPr>
              <w:pStyle w:val="72TabletextTablesTableFigureBoxstyles"/>
            </w:pPr>
            <w:r w:rsidRPr="00C1603D">
              <w:t>1.304</w:t>
            </w:r>
          </w:p>
        </w:tc>
        <w:tc>
          <w:tcPr>
            <w:tcW w:w="0" w:type="auto"/>
            <w:shd w:val="clear" w:color="auto" w:fill="auto"/>
            <w:tcMar>
              <w:top w:w="15" w:type="dxa"/>
              <w:left w:w="15" w:type="dxa"/>
              <w:bottom w:w="0" w:type="dxa"/>
              <w:right w:w="15" w:type="dxa"/>
            </w:tcMar>
          </w:tcPr>
          <w:p w14:paraId="58FA0842" w14:textId="77777777" w:rsidR="008B4DF8" w:rsidRPr="00C1603D" w:rsidRDefault="008B4DF8" w:rsidP="009B4185">
            <w:pPr>
              <w:pStyle w:val="72TabletextTablesTableFigureBoxstyles"/>
            </w:pPr>
            <w:r w:rsidRPr="00C1603D">
              <w:t>3.684</w:t>
            </w:r>
          </w:p>
        </w:tc>
      </w:tr>
      <w:tr w:rsidR="00AB3EFB" w:rsidRPr="00C1603D" w14:paraId="57112D34" w14:textId="77777777" w:rsidTr="00567927">
        <w:trPr>
          <w:cantSplit/>
        </w:trPr>
        <w:tc>
          <w:tcPr>
            <w:tcW w:w="0" w:type="auto"/>
            <w:shd w:val="clear" w:color="auto" w:fill="auto"/>
            <w:tcMar>
              <w:top w:w="15" w:type="dxa"/>
              <w:left w:w="15" w:type="dxa"/>
              <w:bottom w:w="0" w:type="dxa"/>
              <w:right w:w="15" w:type="dxa"/>
            </w:tcMar>
          </w:tcPr>
          <w:p w14:paraId="3E5ED87A" w14:textId="77777777" w:rsidR="008B4DF8" w:rsidRPr="00C1603D" w:rsidRDefault="008B4DF8" w:rsidP="009B4185">
            <w:pPr>
              <w:pStyle w:val="72TabletextTablesTableFigureBoxstyles"/>
            </w:pPr>
            <w:r w:rsidRPr="00C1603D">
              <w:t>Mood disorders</w:t>
            </w:r>
          </w:p>
        </w:tc>
        <w:tc>
          <w:tcPr>
            <w:tcW w:w="0" w:type="auto"/>
            <w:shd w:val="clear" w:color="auto" w:fill="auto"/>
            <w:tcMar>
              <w:top w:w="15" w:type="dxa"/>
              <w:left w:w="15" w:type="dxa"/>
              <w:bottom w:w="0" w:type="dxa"/>
              <w:right w:w="15" w:type="dxa"/>
            </w:tcMar>
          </w:tcPr>
          <w:p w14:paraId="57A3A240" w14:textId="77777777" w:rsidR="008B4DF8" w:rsidRPr="00C1603D" w:rsidRDefault="008B4DF8" w:rsidP="009B4185">
            <w:pPr>
              <w:pStyle w:val="72TabletextTablesTableFigureBoxstyles"/>
            </w:pPr>
            <w:r w:rsidRPr="00C1603D">
              <w:t>0.363</w:t>
            </w:r>
          </w:p>
        </w:tc>
        <w:tc>
          <w:tcPr>
            <w:tcW w:w="0" w:type="auto"/>
            <w:shd w:val="clear" w:color="auto" w:fill="auto"/>
            <w:tcMar>
              <w:top w:w="15" w:type="dxa"/>
              <w:left w:w="15" w:type="dxa"/>
              <w:bottom w:w="0" w:type="dxa"/>
              <w:right w:w="15" w:type="dxa"/>
            </w:tcMar>
          </w:tcPr>
          <w:p w14:paraId="3B945A9A" w14:textId="0EAB4E82" w:rsidR="008B4DF8" w:rsidRPr="00C1603D" w:rsidRDefault="008B4DF8" w:rsidP="009B4185">
            <w:pPr>
              <w:pStyle w:val="72TabletextTablesTableFigureBoxstyles"/>
            </w:pPr>
            <w:r w:rsidRPr="00C1603D">
              <w:t xml:space="preserve">0.343 </w:t>
            </w:r>
            <w:r w:rsidRPr="00C1603D">
              <w:rPr>
                <w:color w:val="00B0F0"/>
              </w:rPr>
              <w:t>(</w:t>
            </w:r>
            <w:r w:rsidRPr="00C1603D">
              <w:t>0.250</w:t>
            </w:r>
            <w:r w:rsidR="007D1315" w:rsidRPr="00C1603D">
              <w:t>–</w:t>
            </w:r>
            <w:r w:rsidRPr="00C1603D">
              <w:t>0.448)</w:t>
            </w:r>
          </w:p>
        </w:tc>
        <w:tc>
          <w:tcPr>
            <w:tcW w:w="0" w:type="auto"/>
            <w:shd w:val="clear" w:color="auto" w:fill="auto"/>
            <w:tcMar>
              <w:top w:w="15" w:type="dxa"/>
              <w:left w:w="15" w:type="dxa"/>
              <w:bottom w:w="0" w:type="dxa"/>
              <w:right w:w="15" w:type="dxa"/>
            </w:tcMar>
          </w:tcPr>
          <w:p w14:paraId="45648842" w14:textId="77777777" w:rsidR="008B4DF8" w:rsidRPr="00C1603D" w:rsidRDefault="008B4DF8" w:rsidP="009B4185">
            <w:pPr>
              <w:pStyle w:val="72TabletextTablesTableFigureBoxstyles"/>
            </w:pPr>
            <w:r w:rsidRPr="00C1603D">
              <w:t>0.389</w:t>
            </w:r>
          </w:p>
        </w:tc>
        <w:tc>
          <w:tcPr>
            <w:tcW w:w="0" w:type="auto"/>
            <w:shd w:val="clear" w:color="auto" w:fill="auto"/>
            <w:tcMar>
              <w:top w:w="15" w:type="dxa"/>
              <w:left w:w="15" w:type="dxa"/>
              <w:bottom w:w="0" w:type="dxa"/>
              <w:right w:w="15" w:type="dxa"/>
            </w:tcMar>
          </w:tcPr>
          <w:p w14:paraId="3CCC1C4D" w14:textId="77777777" w:rsidR="008B4DF8" w:rsidRPr="00C1603D" w:rsidRDefault="008B4DF8" w:rsidP="009B4185">
            <w:pPr>
              <w:pStyle w:val="72TabletextTablesTableFigureBoxstyles"/>
            </w:pPr>
            <w:r w:rsidRPr="00C1603D">
              <w:t>1.437</w:t>
            </w:r>
          </w:p>
        </w:tc>
        <w:tc>
          <w:tcPr>
            <w:tcW w:w="0" w:type="auto"/>
            <w:shd w:val="clear" w:color="auto" w:fill="auto"/>
            <w:tcMar>
              <w:top w:w="15" w:type="dxa"/>
              <w:left w:w="15" w:type="dxa"/>
              <w:bottom w:w="0" w:type="dxa"/>
              <w:right w:w="15" w:type="dxa"/>
            </w:tcMar>
          </w:tcPr>
          <w:p w14:paraId="7D668505" w14:textId="77777777" w:rsidR="008B4DF8" w:rsidRPr="00C1603D" w:rsidRDefault="008B4DF8" w:rsidP="009B4185">
            <w:pPr>
              <w:pStyle w:val="72TabletextTablesTableFigureBoxstyles"/>
            </w:pPr>
            <w:r w:rsidRPr="00C1603D">
              <w:t>1.476</w:t>
            </w:r>
          </w:p>
        </w:tc>
        <w:tc>
          <w:tcPr>
            <w:tcW w:w="0" w:type="auto"/>
            <w:shd w:val="clear" w:color="auto" w:fill="auto"/>
            <w:tcMar>
              <w:top w:w="15" w:type="dxa"/>
              <w:left w:w="15" w:type="dxa"/>
              <w:bottom w:w="0" w:type="dxa"/>
              <w:right w:w="15" w:type="dxa"/>
            </w:tcMar>
          </w:tcPr>
          <w:p w14:paraId="610A02DB" w14:textId="77777777" w:rsidR="008B4DF8" w:rsidRPr="00C1603D" w:rsidRDefault="008B4DF8" w:rsidP="009B4185">
            <w:pPr>
              <w:pStyle w:val="72TabletextTablesTableFigureBoxstyles"/>
            </w:pPr>
            <w:r w:rsidRPr="00C1603D">
              <w:t>0.829</w:t>
            </w:r>
          </w:p>
        </w:tc>
        <w:tc>
          <w:tcPr>
            <w:tcW w:w="0" w:type="auto"/>
            <w:shd w:val="clear" w:color="auto" w:fill="auto"/>
            <w:tcMar>
              <w:top w:w="15" w:type="dxa"/>
              <w:left w:w="15" w:type="dxa"/>
              <w:bottom w:w="0" w:type="dxa"/>
              <w:right w:w="15" w:type="dxa"/>
            </w:tcMar>
          </w:tcPr>
          <w:p w14:paraId="581C7714" w14:textId="77777777" w:rsidR="008B4DF8" w:rsidRPr="00C1603D" w:rsidRDefault="008B4DF8" w:rsidP="009B4185">
            <w:pPr>
              <w:pStyle w:val="72TabletextTablesTableFigureBoxstyles"/>
            </w:pPr>
            <w:r w:rsidRPr="00C1603D">
              <w:t>2.291</w:t>
            </w:r>
          </w:p>
        </w:tc>
      </w:tr>
      <w:tr w:rsidR="00AB3EFB" w:rsidRPr="00C1603D" w14:paraId="366EC11F" w14:textId="77777777" w:rsidTr="00567927">
        <w:trPr>
          <w:cantSplit/>
        </w:trPr>
        <w:tc>
          <w:tcPr>
            <w:tcW w:w="0" w:type="auto"/>
            <w:shd w:val="clear" w:color="auto" w:fill="auto"/>
            <w:tcMar>
              <w:top w:w="15" w:type="dxa"/>
              <w:left w:w="15" w:type="dxa"/>
              <w:bottom w:w="0" w:type="dxa"/>
              <w:right w:w="15" w:type="dxa"/>
            </w:tcMar>
          </w:tcPr>
          <w:p w14:paraId="49001628" w14:textId="77777777" w:rsidR="008B4DF8" w:rsidRPr="00C1603D" w:rsidRDefault="008B4DF8" w:rsidP="009B4185">
            <w:pPr>
              <w:pStyle w:val="72TabletextTablesTableFigureBoxstyles"/>
            </w:pPr>
            <w:r w:rsidRPr="00C1603D">
              <w:t>Age</w:t>
            </w:r>
          </w:p>
        </w:tc>
        <w:tc>
          <w:tcPr>
            <w:tcW w:w="0" w:type="auto"/>
            <w:shd w:val="clear" w:color="auto" w:fill="auto"/>
            <w:tcMar>
              <w:top w:w="15" w:type="dxa"/>
              <w:left w:w="15" w:type="dxa"/>
              <w:bottom w:w="0" w:type="dxa"/>
              <w:right w:w="15" w:type="dxa"/>
            </w:tcMar>
          </w:tcPr>
          <w:p w14:paraId="235ED673" w14:textId="77777777" w:rsidR="008B4DF8" w:rsidRPr="00C1603D" w:rsidRDefault="008B4DF8" w:rsidP="009B4185">
            <w:pPr>
              <w:pStyle w:val="72TabletextTablesTableFigureBoxstyles"/>
            </w:pPr>
            <w:r w:rsidRPr="00C1603D">
              <w:t>0.011</w:t>
            </w:r>
          </w:p>
        </w:tc>
        <w:tc>
          <w:tcPr>
            <w:tcW w:w="0" w:type="auto"/>
            <w:shd w:val="clear" w:color="auto" w:fill="auto"/>
            <w:tcMar>
              <w:top w:w="15" w:type="dxa"/>
              <w:left w:w="15" w:type="dxa"/>
              <w:bottom w:w="0" w:type="dxa"/>
              <w:right w:w="15" w:type="dxa"/>
            </w:tcMar>
          </w:tcPr>
          <w:p w14:paraId="0855AC0F" w14:textId="6A5B6F3A" w:rsidR="008B4DF8" w:rsidRPr="00C1603D" w:rsidRDefault="008B4DF8" w:rsidP="009B4185">
            <w:pPr>
              <w:pStyle w:val="72TabletextTablesTableFigureBoxstyles"/>
            </w:pPr>
            <w:r w:rsidRPr="00C1603D">
              <w:t xml:space="preserve">0.011 </w:t>
            </w:r>
            <w:r w:rsidRPr="00C1603D">
              <w:rPr>
                <w:color w:val="00B0F0"/>
              </w:rPr>
              <w:t>(</w:t>
            </w:r>
            <w:r w:rsidRPr="00C1603D">
              <w:t>0.007</w:t>
            </w:r>
            <w:r w:rsidR="007D1315" w:rsidRPr="00C1603D">
              <w:t>–</w:t>
            </w:r>
            <w:r w:rsidRPr="00C1603D">
              <w:t>0.014)</w:t>
            </w:r>
          </w:p>
        </w:tc>
        <w:tc>
          <w:tcPr>
            <w:tcW w:w="0" w:type="auto"/>
            <w:shd w:val="clear" w:color="auto" w:fill="auto"/>
            <w:tcMar>
              <w:top w:w="15" w:type="dxa"/>
              <w:left w:w="15" w:type="dxa"/>
              <w:bottom w:w="0" w:type="dxa"/>
              <w:right w:w="15" w:type="dxa"/>
            </w:tcMar>
          </w:tcPr>
          <w:p w14:paraId="59B66A5A" w14:textId="77777777" w:rsidR="008B4DF8" w:rsidRPr="00C1603D" w:rsidRDefault="008B4DF8" w:rsidP="009B4185">
            <w:pPr>
              <w:pStyle w:val="72TabletextTablesTableFigureBoxstyles"/>
            </w:pPr>
            <w:r w:rsidRPr="00C1603D">
              <w:t>0.014</w:t>
            </w:r>
          </w:p>
        </w:tc>
        <w:tc>
          <w:tcPr>
            <w:tcW w:w="0" w:type="auto"/>
            <w:shd w:val="clear" w:color="auto" w:fill="auto"/>
            <w:tcMar>
              <w:top w:w="15" w:type="dxa"/>
              <w:left w:w="15" w:type="dxa"/>
              <w:bottom w:w="0" w:type="dxa"/>
              <w:right w:w="15" w:type="dxa"/>
            </w:tcMar>
          </w:tcPr>
          <w:p w14:paraId="461AF3A9" w14:textId="77777777" w:rsidR="008B4DF8" w:rsidRPr="00C1603D" w:rsidRDefault="008B4DF8" w:rsidP="009B4185">
            <w:pPr>
              <w:pStyle w:val="72TabletextTablesTableFigureBoxstyles"/>
            </w:pPr>
            <w:r w:rsidRPr="00C1603D">
              <w:t>1.011</w:t>
            </w:r>
          </w:p>
        </w:tc>
        <w:tc>
          <w:tcPr>
            <w:tcW w:w="0" w:type="auto"/>
            <w:shd w:val="clear" w:color="auto" w:fill="auto"/>
            <w:tcMar>
              <w:top w:w="15" w:type="dxa"/>
              <w:left w:w="15" w:type="dxa"/>
              <w:bottom w:w="0" w:type="dxa"/>
              <w:right w:w="15" w:type="dxa"/>
            </w:tcMar>
          </w:tcPr>
          <w:p w14:paraId="130262A1" w14:textId="77777777" w:rsidR="008B4DF8" w:rsidRPr="00C1603D" w:rsidRDefault="008B4DF8" w:rsidP="009B4185">
            <w:pPr>
              <w:pStyle w:val="72TabletextTablesTableFigureBoxstyles"/>
            </w:pPr>
            <w:r w:rsidRPr="00C1603D">
              <w:t>1.014</w:t>
            </w:r>
          </w:p>
        </w:tc>
        <w:tc>
          <w:tcPr>
            <w:tcW w:w="0" w:type="auto"/>
            <w:shd w:val="clear" w:color="auto" w:fill="auto"/>
            <w:tcMar>
              <w:top w:w="15" w:type="dxa"/>
              <w:left w:w="15" w:type="dxa"/>
              <w:bottom w:w="0" w:type="dxa"/>
              <w:right w:w="15" w:type="dxa"/>
            </w:tcMar>
          </w:tcPr>
          <w:p w14:paraId="5D8E71DC" w14:textId="77777777" w:rsidR="008B4DF8" w:rsidRPr="00C1603D" w:rsidRDefault="008B4DF8" w:rsidP="009B4185">
            <w:pPr>
              <w:pStyle w:val="72TabletextTablesTableFigureBoxstyles"/>
            </w:pPr>
            <w:r w:rsidRPr="00C1603D">
              <w:rPr>
                <w:color w:val="00B0F0"/>
              </w:rPr>
              <w:t>–0</w:t>
            </w:r>
            <w:r w:rsidRPr="00C1603D">
              <w:t>.007</w:t>
            </w:r>
          </w:p>
        </w:tc>
        <w:tc>
          <w:tcPr>
            <w:tcW w:w="0" w:type="auto"/>
            <w:shd w:val="clear" w:color="auto" w:fill="auto"/>
            <w:tcMar>
              <w:top w:w="15" w:type="dxa"/>
              <w:left w:w="15" w:type="dxa"/>
              <w:bottom w:w="0" w:type="dxa"/>
              <w:right w:w="15" w:type="dxa"/>
            </w:tcMar>
          </w:tcPr>
          <w:p w14:paraId="3CB2E7AE" w14:textId="77777777" w:rsidR="008B4DF8" w:rsidRPr="00C1603D" w:rsidRDefault="008B4DF8" w:rsidP="009B4185">
            <w:pPr>
              <w:pStyle w:val="72TabletextTablesTableFigureBoxstyles"/>
            </w:pPr>
            <w:r w:rsidRPr="00C1603D">
              <w:t>0.993</w:t>
            </w:r>
          </w:p>
        </w:tc>
      </w:tr>
      <w:tr w:rsidR="00AB3EFB" w:rsidRPr="00C1603D" w14:paraId="6D1A218C" w14:textId="77777777" w:rsidTr="00567927">
        <w:trPr>
          <w:cantSplit/>
        </w:trPr>
        <w:tc>
          <w:tcPr>
            <w:tcW w:w="0" w:type="auto"/>
            <w:shd w:val="clear" w:color="auto" w:fill="auto"/>
            <w:tcMar>
              <w:top w:w="15" w:type="dxa"/>
              <w:left w:w="15" w:type="dxa"/>
              <w:bottom w:w="0" w:type="dxa"/>
              <w:right w:w="15" w:type="dxa"/>
            </w:tcMar>
          </w:tcPr>
          <w:p w14:paraId="51F3A3F8" w14:textId="77777777" w:rsidR="008B4DF8" w:rsidRPr="00C1603D" w:rsidRDefault="008B4DF8" w:rsidP="009B4185">
            <w:pPr>
              <w:pStyle w:val="72TabletextTablesTableFigureBoxstyles"/>
            </w:pPr>
            <w:r w:rsidRPr="00C1603D">
              <w:t>Sex (male)</w:t>
            </w:r>
          </w:p>
        </w:tc>
        <w:tc>
          <w:tcPr>
            <w:tcW w:w="0" w:type="auto"/>
            <w:shd w:val="clear" w:color="auto" w:fill="auto"/>
            <w:tcMar>
              <w:top w:w="15" w:type="dxa"/>
              <w:left w:w="15" w:type="dxa"/>
              <w:bottom w:w="0" w:type="dxa"/>
              <w:right w:w="15" w:type="dxa"/>
            </w:tcMar>
          </w:tcPr>
          <w:p w14:paraId="0AE6358B" w14:textId="77777777" w:rsidR="008B4DF8" w:rsidRPr="00C1603D" w:rsidRDefault="008B4DF8" w:rsidP="009B4185">
            <w:pPr>
              <w:pStyle w:val="72TabletextTablesTableFigureBoxstyles"/>
            </w:pPr>
            <w:r w:rsidRPr="00C1603D">
              <w:rPr>
                <w:color w:val="00B0F0"/>
              </w:rPr>
              <w:t>–0</w:t>
            </w:r>
            <w:r w:rsidRPr="00C1603D">
              <w:t>.477</w:t>
            </w:r>
          </w:p>
        </w:tc>
        <w:tc>
          <w:tcPr>
            <w:tcW w:w="0" w:type="auto"/>
            <w:shd w:val="clear" w:color="auto" w:fill="auto"/>
            <w:tcMar>
              <w:top w:w="15" w:type="dxa"/>
              <w:left w:w="15" w:type="dxa"/>
              <w:bottom w:w="0" w:type="dxa"/>
              <w:right w:w="15" w:type="dxa"/>
            </w:tcMar>
          </w:tcPr>
          <w:p w14:paraId="3CA0BDCF" w14:textId="58F7547D" w:rsidR="008B4DF8" w:rsidRPr="00C1603D" w:rsidRDefault="008B4DF8" w:rsidP="009B4185">
            <w:pPr>
              <w:pStyle w:val="72TabletextTablesTableFigureBoxstyles"/>
            </w:pPr>
            <w:r w:rsidRPr="00C1603D">
              <w:rPr>
                <w:color w:val="00B0F0"/>
              </w:rPr>
              <w:t>–0</w:t>
            </w:r>
            <w:r w:rsidRPr="00C1603D">
              <w:t>.472 (</w:t>
            </w:r>
            <w:r w:rsidRPr="00C1603D">
              <w:rPr>
                <w:color w:val="00B0F0"/>
              </w:rPr>
              <w:t>–0</w:t>
            </w:r>
            <w:r w:rsidRPr="00C1603D">
              <w:t>.502</w:t>
            </w:r>
            <w:r w:rsidR="007D1315" w:rsidRPr="00C1603D">
              <w:t xml:space="preserve"> to</w:t>
            </w:r>
            <w:r w:rsidRPr="00C1603D">
              <w:t xml:space="preserve"> </w:t>
            </w:r>
            <w:r w:rsidRPr="00C1603D">
              <w:rPr>
                <w:color w:val="00B0F0"/>
              </w:rPr>
              <w:t>–0</w:t>
            </w:r>
            <w:r w:rsidRPr="00C1603D">
              <w:t>.447)</w:t>
            </w:r>
          </w:p>
        </w:tc>
        <w:tc>
          <w:tcPr>
            <w:tcW w:w="0" w:type="auto"/>
            <w:shd w:val="clear" w:color="auto" w:fill="auto"/>
            <w:tcMar>
              <w:top w:w="15" w:type="dxa"/>
              <w:left w:w="15" w:type="dxa"/>
              <w:bottom w:w="0" w:type="dxa"/>
              <w:right w:w="15" w:type="dxa"/>
            </w:tcMar>
          </w:tcPr>
          <w:p w14:paraId="7D9E7D65" w14:textId="77777777" w:rsidR="008B4DF8" w:rsidRPr="00C1603D" w:rsidRDefault="008B4DF8" w:rsidP="009B4185">
            <w:pPr>
              <w:pStyle w:val="72TabletextTablesTableFigureBoxstyles"/>
            </w:pPr>
            <w:r w:rsidRPr="00C1603D">
              <w:rPr>
                <w:color w:val="00B0F0"/>
              </w:rPr>
              <w:t>–0</w:t>
            </w:r>
            <w:r w:rsidRPr="00C1603D">
              <w:t>.537</w:t>
            </w:r>
          </w:p>
        </w:tc>
        <w:tc>
          <w:tcPr>
            <w:tcW w:w="0" w:type="auto"/>
            <w:shd w:val="clear" w:color="auto" w:fill="auto"/>
            <w:tcMar>
              <w:top w:w="15" w:type="dxa"/>
              <w:left w:w="15" w:type="dxa"/>
              <w:bottom w:w="0" w:type="dxa"/>
              <w:right w:w="15" w:type="dxa"/>
            </w:tcMar>
          </w:tcPr>
          <w:p w14:paraId="443D8BAB" w14:textId="77777777" w:rsidR="008B4DF8" w:rsidRPr="00C1603D" w:rsidRDefault="008B4DF8" w:rsidP="009B4185">
            <w:pPr>
              <w:pStyle w:val="72TabletextTablesTableFigureBoxstyles"/>
            </w:pPr>
            <w:r w:rsidRPr="00C1603D">
              <w:t>0.621</w:t>
            </w:r>
          </w:p>
        </w:tc>
        <w:tc>
          <w:tcPr>
            <w:tcW w:w="0" w:type="auto"/>
            <w:shd w:val="clear" w:color="auto" w:fill="auto"/>
            <w:tcMar>
              <w:top w:w="15" w:type="dxa"/>
              <w:left w:w="15" w:type="dxa"/>
              <w:bottom w:w="0" w:type="dxa"/>
              <w:right w:w="15" w:type="dxa"/>
            </w:tcMar>
          </w:tcPr>
          <w:p w14:paraId="08240241" w14:textId="77777777" w:rsidR="008B4DF8" w:rsidRPr="00C1603D" w:rsidRDefault="008B4DF8" w:rsidP="009B4185">
            <w:pPr>
              <w:pStyle w:val="72TabletextTablesTableFigureBoxstyles"/>
            </w:pPr>
            <w:r w:rsidRPr="00C1603D">
              <w:t>0.584</w:t>
            </w:r>
          </w:p>
        </w:tc>
        <w:tc>
          <w:tcPr>
            <w:tcW w:w="0" w:type="auto"/>
            <w:shd w:val="clear" w:color="auto" w:fill="auto"/>
            <w:tcMar>
              <w:top w:w="15" w:type="dxa"/>
              <w:left w:w="15" w:type="dxa"/>
              <w:bottom w:w="0" w:type="dxa"/>
              <w:right w:w="15" w:type="dxa"/>
            </w:tcMar>
          </w:tcPr>
          <w:p w14:paraId="68773700" w14:textId="77777777" w:rsidR="008B4DF8" w:rsidRPr="00C1603D" w:rsidRDefault="008B4DF8" w:rsidP="009B4185">
            <w:pPr>
              <w:pStyle w:val="72TabletextTablesTableFigureBoxstyles"/>
            </w:pPr>
            <w:r w:rsidRPr="00C1603D">
              <w:rPr>
                <w:color w:val="00B0F0"/>
              </w:rPr>
              <w:t>–0</w:t>
            </w:r>
            <w:r w:rsidRPr="00C1603D">
              <w:t>.585</w:t>
            </w:r>
          </w:p>
        </w:tc>
        <w:tc>
          <w:tcPr>
            <w:tcW w:w="0" w:type="auto"/>
            <w:shd w:val="clear" w:color="auto" w:fill="auto"/>
            <w:tcMar>
              <w:top w:w="15" w:type="dxa"/>
              <w:left w:w="15" w:type="dxa"/>
              <w:bottom w:w="0" w:type="dxa"/>
              <w:right w:w="15" w:type="dxa"/>
            </w:tcMar>
          </w:tcPr>
          <w:p w14:paraId="4085EE77" w14:textId="77777777" w:rsidR="008B4DF8" w:rsidRPr="00C1603D" w:rsidRDefault="008B4DF8" w:rsidP="009B4185">
            <w:pPr>
              <w:pStyle w:val="72TabletextTablesTableFigureBoxstyles"/>
            </w:pPr>
            <w:r w:rsidRPr="00C1603D">
              <w:t>0.557</w:t>
            </w:r>
          </w:p>
        </w:tc>
      </w:tr>
    </w:tbl>
    <w:p w14:paraId="1E85DB4B" w14:textId="143A8E6E" w:rsidR="008B4DF8" w:rsidRPr="00C1603D" w:rsidRDefault="008B4DF8" w:rsidP="008B4DF8">
      <w:pPr>
        <w:pStyle w:val="70TablelegendTablesTableFigureBoxstyles"/>
      </w:pPr>
      <w:bookmarkStart w:id="670" w:name="_Toc99720764"/>
      <w:r w:rsidRPr="00C1603D">
        <w:rPr>
          <w:b/>
        </w:rPr>
        <w:t>TABLE 5</w:t>
      </w:r>
      <w:r w:rsidR="00032460" w:rsidRPr="00C1603D">
        <w:rPr>
          <w:b/>
        </w:rPr>
        <w:t>4</w:t>
      </w:r>
      <w:r w:rsidRPr="00C1603D">
        <w:rPr>
          <w:b/>
        </w:rPr>
        <w:t> </w:t>
      </w:r>
      <w:r w:rsidRPr="00C1603D">
        <w:t xml:space="preserve">Women: </w:t>
      </w:r>
      <w:r w:rsidR="00AB3EFB" w:rsidRPr="00C1603D">
        <w:t>m</w:t>
      </w:r>
      <w:r w:rsidRPr="00C1603D">
        <w:t xml:space="preserve">odel coefficients and </w:t>
      </w:r>
      <w:r w:rsidR="00A10A95" w:rsidRPr="00C1603D">
        <w:t>odds ratios</w:t>
      </w:r>
      <w:r w:rsidRPr="00C1603D">
        <w:t xml:space="preserve"> with and without shrinkage applied</w:t>
      </w:r>
      <w:bookmarkEnd w:id="670"/>
    </w:p>
    <w:tbl>
      <w:tblPr>
        <w:tblW w:w="0" w:type="auto"/>
        <w:tblCellMar>
          <w:top w:w="40" w:type="dxa"/>
          <w:left w:w="60" w:type="dxa"/>
          <w:bottom w:w="40" w:type="dxa"/>
          <w:right w:w="60" w:type="dxa"/>
        </w:tblCellMar>
        <w:tblLook w:val="0600" w:firstRow="0" w:lastRow="0" w:firstColumn="0" w:lastColumn="0" w:noHBand="1" w:noVBand="1"/>
      </w:tblPr>
      <w:tblGrid>
        <w:gridCol w:w="1425"/>
        <w:gridCol w:w="1198"/>
        <w:gridCol w:w="1179"/>
        <w:gridCol w:w="1447"/>
        <w:gridCol w:w="842"/>
        <w:gridCol w:w="886"/>
        <w:gridCol w:w="1084"/>
        <w:gridCol w:w="965"/>
      </w:tblGrid>
      <w:tr w:rsidR="00A10A95" w:rsidRPr="00C1603D" w14:paraId="673D9735" w14:textId="77777777" w:rsidTr="00B60FDA">
        <w:trPr>
          <w:cantSplit/>
        </w:trPr>
        <w:tc>
          <w:tcPr>
            <w:tcW w:w="0" w:type="auto"/>
            <w:vMerge w:val="restart"/>
            <w:shd w:val="clear" w:color="auto" w:fill="auto"/>
            <w:tcMar>
              <w:top w:w="13" w:type="dxa"/>
              <w:left w:w="13" w:type="dxa"/>
              <w:bottom w:w="0" w:type="dxa"/>
              <w:right w:w="13" w:type="dxa"/>
            </w:tcMar>
          </w:tcPr>
          <w:p w14:paraId="465379A6" w14:textId="0B02338A" w:rsidR="00A10A95" w:rsidRPr="00C1603D" w:rsidRDefault="00A10A95" w:rsidP="00A10A95">
            <w:pPr>
              <w:pStyle w:val="710TableheadTablesTableFigureBoxstyles"/>
            </w:pPr>
            <w:r w:rsidRPr="00C1603D">
              <w:lastRenderedPageBreak/>
              <w:t>Selected predictors</w:t>
            </w:r>
          </w:p>
        </w:tc>
        <w:tc>
          <w:tcPr>
            <w:tcW w:w="0" w:type="auto"/>
            <w:vMerge w:val="restart"/>
            <w:shd w:val="clear" w:color="auto" w:fill="auto"/>
            <w:tcMar>
              <w:top w:w="13" w:type="dxa"/>
              <w:left w:w="13" w:type="dxa"/>
              <w:bottom w:w="0" w:type="dxa"/>
              <w:right w:w="13" w:type="dxa"/>
            </w:tcMar>
          </w:tcPr>
          <w:p w14:paraId="0B6EB750" w14:textId="04EFDD1B" w:rsidR="00A10A95" w:rsidRPr="00C1603D" w:rsidRDefault="00A10A95" w:rsidP="00A10A95">
            <w:pPr>
              <w:pStyle w:val="710TableheadTablesTableFigureBoxstyles"/>
            </w:pPr>
            <w:r w:rsidRPr="00C1603D">
              <w:t>Coefficients (apparent model)</w:t>
            </w:r>
          </w:p>
        </w:tc>
        <w:tc>
          <w:tcPr>
            <w:tcW w:w="0" w:type="auto"/>
            <w:vMerge w:val="restart"/>
            <w:shd w:val="clear" w:color="auto" w:fill="auto"/>
            <w:tcMar>
              <w:top w:w="13" w:type="dxa"/>
              <w:left w:w="13" w:type="dxa"/>
              <w:bottom w:w="0" w:type="dxa"/>
              <w:right w:w="13" w:type="dxa"/>
            </w:tcMar>
          </w:tcPr>
          <w:p w14:paraId="317B4205" w14:textId="5B422DE9" w:rsidR="00A10A95" w:rsidRPr="00C1603D" w:rsidRDefault="00A10A95" w:rsidP="00A10A95">
            <w:pPr>
              <w:pStyle w:val="710TableheadTablesTableFigureBoxstyles"/>
            </w:pPr>
            <w:r w:rsidRPr="00C1603D">
              <w:t>200 × bootstrap samples, median (IQR)</w:t>
            </w:r>
          </w:p>
        </w:tc>
        <w:tc>
          <w:tcPr>
            <w:tcW w:w="0" w:type="auto"/>
            <w:vMerge w:val="restart"/>
            <w:shd w:val="clear" w:color="auto" w:fill="auto"/>
            <w:tcMar>
              <w:top w:w="8" w:type="dxa"/>
              <w:left w:w="8" w:type="dxa"/>
              <w:bottom w:w="0" w:type="dxa"/>
              <w:right w:w="8" w:type="dxa"/>
            </w:tcMar>
          </w:tcPr>
          <w:p w14:paraId="60A07801" w14:textId="6C278B8E" w:rsidR="00A10A95" w:rsidRPr="00C1603D" w:rsidRDefault="00A10A95" w:rsidP="00A10A95">
            <w:pPr>
              <w:pStyle w:val="710TableheadTablesTableFigureBoxstyles"/>
            </w:pPr>
            <w:r w:rsidRPr="00C1603D">
              <w:t>Coefficients without shrinkage (apparent model)</w:t>
            </w:r>
          </w:p>
        </w:tc>
        <w:tc>
          <w:tcPr>
            <w:tcW w:w="0" w:type="auto"/>
            <w:gridSpan w:val="2"/>
            <w:shd w:val="clear" w:color="auto" w:fill="auto"/>
            <w:tcMar>
              <w:top w:w="8" w:type="dxa"/>
              <w:left w:w="8" w:type="dxa"/>
              <w:bottom w:w="0" w:type="dxa"/>
              <w:right w:w="8" w:type="dxa"/>
            </w:tcMar>
          </w:tcPr>
          <w:p w14:paraId="3FC4E220" w14:textId="7E7DFCA0" w:rsidR="00A10A95" w:rsidRPr="00C1603D" w:rsidRDefault="00A10A95" w:rsidP="00A10A95">
            <w:pPr>
              <w:pStyle w:val="705TableheadgroupTablesTableFigureBoxstyles"/>
            </w:pPr>
            <w:r w:rsidRPr="00C1603D">
              <w:t>Odds ratios (apparent model)</w:t>
            </w:r>
          </w:p>
        </w:tc>
        <w:tc>
          <w:tcPr>
            <w:tcW w:w="0" w:type="auto"/>
            <w:vMerge w:val="restart"/>
            <w:shd w:val="clear" w:color="auto" w:fill="auto"/>
            <w:tcMar>
              <w:top w:w="8" w:type="dxa"/>
              <w:left w:w="8" w:type="dxa"/>
              <w:bottom w:w="0" w:type="dxa"/>
              <w:right w:w="8" w:type="dxa"/>
            </w:tcMar>
          </w:tcPr>
          <w:p w14:paraId="7F23C30F" w14:textId="081447D2" w:rsidR="00A10A95" w:rsidRPr="00C1603D" w:rsidRDefault="00A10A95" w:rsidP="00A10A95">
            <w:pPr>
              <w:pStyle w:val="710TableheadTablesTableFigureBoxstyles"/>
            </w:pPr>
            <w:r w:rsidRPr="00C1603D">
              <w:t>Unadjusted coefficients</w:t>
            </w:r>
          </w:p>
        </w:tc>
        <w:tc>
          <w:tcPr>
            <w:tcW w:w="0" w:type="auto"/>
            <w:vMerge w:val="restart"/>
            <w:shd w:val="clear" w:color="auto" w:fill="auto"/>
            <w:tcMar>
              <w:top w:w="8" w:type="dxa"/>
              <w:left w:w="8" w:type="dxa"/>
              <w:bottom w:w="0" w:type="dxa"/>
              <w:right w:w="8" w:type="dxa"/>
            </w:tcMar>
          </w:tcPr>
          <w:p w14:paraId="19FF03B3" w14:textId="05C326CF" w:rsidR="00A10A95" w:rsidRPr="00C1603D" w:rsidRDefault="00A10A95" w:rsidP="00A10A95">
            <w:pPr>
              <w:pStyle w:val="710TableheadTablesTableFigureBoxstyles"/>
            </w:pPr>
            <w:r w:rsidRPr="00C1603D">
              <w:t>Unadjusted ORs</w:t>
            </w:r>
          </w:p>
        </w:tc>
      </w:tr>
      <w:tr w:rsidR="00A10A95" w:rsidRPr="00C1603D" w14:paraId="4D5FCE6F" w14:textId="77777777" w:rsidTr="00A10A95">
        <w:trPr>
          <w:cantSplit/>
        </w:trPr>
        <w:tc>
          <w:tcPr>
            <w:tcW w:w="0" w:type="auto"/>
            <w:vMerge/>
            <w:shd w:val="clear" w:color="auto" w:fill="auto"/>
            <w:tcMar>
              <w:top w:w="13" w:type="dxa"/>
              <w:left w:w="13" w:type="dxa"/>
              <w:bottom w:w="0" w:type="dxa"/>
              <w:right w:w="13" w:type="dxa"/>
            </w:tcMar>
          </w:tcPr>
          <w:p w14:paraId="103A8139" w14:textId="243F47E7" w:rsidR="00A10A95" w:rsidRPr="00C1603D" w:rsidRDefault="00A10A95" w:rsidP="00A10A95">
            <w:pPr>
              <w:pStyle w:val="710TableheadTablesTableFigureBoxstyles"/>
            </w:pPr>
          </w:p>
        </w:tc>
        <w:tc>
          <w:tcPr>
            <w:tcW w:w="0" w:type="auto"/>
            <w:vMerge/>
            <w:shd w:val="clear" w:color="auto" w:fill="auto"/>
            <w:tcMar>
              <w:top w:w="13" w:type="dxa"/>
              <w:left w:w="13" w:type="dxa"/>
              <w:bottom w:w="0" w:type="dxa"/>
              <w:right w:w="13" w:type="dxa"/>
            </w:tcMar>
          </w:tcPr>
          <w:p w14:paraId="2F7C2B4B" w14:textId="3D60F56E" w:rsidR="00A10A95" w:rsidRPr="00C1603D" w:rsidRDefault="00A10A95" w:rsidP="00A10A95">
            <w:pPr>
              <w:pStyle w:val="710TableheadTablesTableFigureBoxstyles"/>
            </w:pPr>
          </w:p>
        </w:tc>
        <w:tc>
          <w:tcPr>
            <w:tcW w:w="0" w:type="auto"/>
            <w:vMerge/>
            <w:shd w:val="clear" w:color="auto" w:fill="auto"/>
            <w:tcMar>
              <w:top w:w="13" w:type="dxa"/>
              <w:left w:w="13" w:type="dxa"/>
              <w:bottom w:w="0" w:type="dxa"/>
              <w:right w:w="13" w:type="dxa"/>
            </w:tcMar>
          </w:tcPr>
          <w:p w14:paraId="4995AFF1" w14:textId="016CD705" w:rsidR="00A10A95" w:rsidRPr="00C1603D" w:rsidRDefault="00A10A95" w:rsidP="00A10A95">
            <w:pPr>
              <w:pStyle w:val="710TableheadTablesTableFigureBoxstyles"/>
            </w:pPr>
          </w:p>
        </w:tc>
        <w:tc>
          <w:tcPr>
            <w:tcW w:w="0" w:type="auto"/>
            <w:vMerge/>
            <w:shd w:val="clear" w:color="auto" w:fill="auto"/>
            <w:tcMar>
              <w:top w:w="8" w:type="dxa"/>
              <w:left w:w="8" w:type="dxa"/>
              <w:bottom w:w="0" w:type="dxa"/>
              <w:right w:w="8" w:type="dxa"/>
            </w:tcMar>
          </w:tcPr>
          <w:p w14:paraId="19AAD71E" w14:textId="336F0208" w:rsidR="00A10A95" w:rsidRPr="00C1603D" w:rsidRDefault="00A10A95" w:rsidP="00A10A95">
            <w:pPr>
              <w:pStyle w:val="710TableheadTablesTableFigureBoxstyles"/>
            </w:pPr>
          </w:p>
        </w:tc>
        <w:tc>
          <w:tcPr>
            <w:tcW w:w="0" w:type="auto"/>
            <w:shd w:val="clear" w:color="auto" w:fill="auto"/>
            <w:tcMar>
              <w:top w:w="8" w:type="dxa"/>
              <w:left w:w="8" w:type="dxa"/>
              <w:bottom w:w="0" w:type="dxa"/>
              <w:right w:w="8" w:type="dxa"/>
            </w:tcMar>
          </w:tcPr>
          <w:p w14:paraId="2E0BD467" w14:textId="425184E7" w:rsidR="00A10A95" w:rsidRPr="00C1603D" w:rsidRDefault="00A10A95" w:rsidP="00A10A95">
            <w:pPr>
              <w:pStyle w:val="710TableheadTablesTableFigureBoxstyles"/>
            </w:pPr>
            <w:r w:rsidRPr="00C1603D">
              <w:t>After shrinkage</w:t>
            </w:r>
          </w:p>
        </w:tc>
        <w:tc>
          <w:tcPr>
            <w:tcW w:w="0" w:type="auto"/>
            <w:shd w:val="clear" w:color="auto" w:fill="auto"/>
            <w:tcMar>
              <w:top w:w="8" w:type="dxa"/>
              <w:left w:w="8" w:type="dxa"/>
              <w:bottom w:w="0" w:type="dxa"/>
              <w:right w:w="8" w:type="dxa"/>
            </w:tcMar>
          </w:tcPr>
          <w:p w14:paraId="342C23BB" w14:textId="62FC098C" w:rsidR="00A10A95" w:rsidRPr="00C1603D" w:rsidRDefault="00A10A95" w:rsidP="00A10A95">
            <w:pPr>
              <w:pStyle w:val="710TableheadTablesTableFigureBoxstyles"/>
            </w:pPr>
            <w:r w:rsidRPr="00C1603D">
              <w:t>Without shrinkage</w:t>
            </w:r>
          </w:p>
        </w:tc>
        <w:tc>
          <w:tcPr>
            <w:tcW w:w="0" w:type="auto"/>
            <w:vMerge/>
            <w:shd w:val="clear" w:color="auto" w:fill="auto"/>
            <w:tcMar>
              <w:top w:w="8" w:type="dxa"/>
              <w:left w:w="8" w:type="dxa"/>
              <w:bottom w:w="0" w:type="dxa"/>
              <w:right w:w="8" w:type="dxa"/>
            </w:tcMar>
          </w:tcPr>
          <w:p w14:paraId="1C638385" w14:textId="75620A6D" w:rsidR="00A10A95" w:rsidRPr="00C1603D" w:rsidRDefault="00A10A95" w:rsidP="00A10A95">
            <w:pPr>
              <w:pStyle w:val="710TableheadTablesTableFigureBoxstyles"/>
            </w:pPr>
          </w:p>
        </w:tc>
        <w:tc>
          <w:tcPr>
            <w:tcW w:w="0" w:type="auto"/>
            <w:vMerge/>
            <w:shd w:val="clear" w:color="auto" w:fill="auto"/>
            <w:tcMar>
              <w:top w:w="8" w:type="dxa"/>
              <w:left w:w="8" w:type="dxa"/>
              <w:bottom w:w="0" w:type="dxa"/>
              <w:right w:w="8" w:type="dxa"/>
            </w:tcMar>
          </w:tcPr>
          <w:p w14:paraId="30B93CD7" w14:textId="4E4CD79B" w:rsidR="00A10A95" w:rsidRPr="00C1603D" w:rsidRDefault="00A10A95" w:rsidP="00A10A95">
            <w:pPr>
              <w:pStyle w:val="710TableheadTablesTableFigureBoxstyles"/>
            </w:pPr>
          </w:p>
        </w:tc>
      </w:tr>
      <w:tr w:rsidR="00A10A95" w:rsidRPr="00C1603D" w14:paraId="3A0A8DBD" w14:textId="77777777" w:rsidTr="00A10A95">
        <w:trPr>
          <w:cantSplit/>
        </w:trPr>
        <w:tc>
          <w:tcPr>
            <w:tcW w:w="0" w:type="auto"/>
            <w:shd w:val="clear" w:color="auto" w:fill="auto"/>
            <w:tcMar>
              <w:top w:w="15" w:type="dxa"/>
              <w:left w:w="15" w:type="dxa"/>
              <w:bottom w:w="0" w:type="dxa"/>
              <w:right w:w="15" w:type="dxa"/>
            </w:tcMar>
          </w:tcPr>
          <w:p w14:paraId="6F7F595B" w14:textId="77777777" w:rsidR="008B4DF8" w:rsidRPr="00C1603D" w:rsidRDefault="008B4DF8" w:rsidP="00A10A95">
            <w:pPr>
              <w:pStyle w:val="72TabletextTablesTableFigureBoxstyles"/>
            </w:pPr>
            <w:r w:rsidRPr="00C1603D">
              <w:t>(Intercept)</w:t>
            </w:r>
          </w:p>
        </w:tc>
        <w:tc>
          <w:tcPr>
            <w:tcW w:w="0" w:type="auto"/>
            <w:shd w:val="clear" w:color="auto" w:fill="auto"/>
            <w:tcMar>
              <w:top w:w="15" w:type="dxa"/>
              <w:left w:w="15" w:type="dxa"/>
              <w:bottom w:w="0" w:type="dxa"/>
              <w:right w:w="15" w:type="dxa"/>
            </w:tcMar>
          </w:tcPr>
          <w:p w14:paraId="0393DA85" w14:textId="77777777" w:rsidR="008B4DF8" w:rsidRPr="00C1603D" w:rsidRDefault="008B4DF8" w:rsidP="00A10A95">
            <w:pPr>
              <w:pStyle w:val="72TabletextTablesTableFigureBoxstyles"/>
            </w:pPr>
            <w:r w:rsidRPr="00C1603D">
              <w:rPr>
                <w:color w:val="00B0F0"/>
              </w:rPr>
              <w:t>–5</w:t>
            </w:r>
            <w:r w:rsidRPr="00C1603D">
              <w:t>.063</w:t>
            </w:r>
          </w:p>
        </w:tc>
        <w:tc>
          <w:tcPr>
            <w:tcW w:w="0" w:type="auto"/>
            <w:shd w:val="clear" w:color="auto" w:fill="auto"/>
            <w:tcMar>
              <w:top w:w="15" w:type="dxa"/>
              <w:left w:w="15" w:type="dxa"/>
              <w:bottom w:w="0" w:type="dxa"/>
              <w:right w:w="15" w:type="dxa"/>
            </w:tcMar>
          </w:tcPr>
          <w:p w14:paraId="5A32C781" w14:textId="0927B87E" w:rsidR="008B4DF8" w:rsidRPr="00C1603D" w:rsidRDefault="008B4DF8" w:rsidP="00A10A95">
            <w:pPr>
              <w:pStyle w:val="72TabletextTablesTableFigureBoxstyles"/>
            </w:pPr>
            <w:r w:rsidRPr="00C1603D">
              <w:rPr>
                <w:color w:val="00B0F0"/>
              </w:rPr>
              <w:t>–5</w:t>
            </w:r>
            <w:r w:rsidRPr="00C1603D">
              <w:t>.062 (</w:t>
            </w:r>
            <w:r w:rsidRPr="00C1603D">
              <w:rPr>
                <w:color w:val="00B0F0"/>
              </w:rPr>
              <w:t>–5</w:t>
            </w:r>
            <w:r w:rsidRPr="00C1603D">
              <w:t>.080</w:t>
            </w:r>
            <w:r w:rsidR="00590883" w:rsidRPr="00C1603D">
              <w:t xml:space="preserve"> to</w:t>
            </w:r>
            <w:r w:rsidRPr="00C1603D">
              <w:t xml:space="preserve"> </w:t>
            </w:r>
            <w:r w:rsidRPr="00C1603D">
              <w:rPr>
                <w:color w:val="00B0F0"/>
              </w:rPr>
              <w:t>–5</w:t>
            </w:r>
            <w:r w:rsidRPr="00C1603D">
              <w:t>.042)</w:t>
            </w:r>
          </w:p>
        </w:tc>
        <w:tc>
          <w:tcPr>
            <w:tcW w:w="0" w:type="auto"/>
            <w:shd w:val="clear" w:color="auto" w:fill="auto"/>
            <w:tcMar>
              <w:top w:w="15" w:type="dxa"/>
              <w:left w:w="15" w:type="dxa"/>
              <w:bottom w:w="0" w:type="dxa"/>
              <w:right w:w="15" w:type="dxa"/>
            </w:tcMar>
          </w:tcPr>
          <w:p w14:paraId="691C79A0" w14:textId="77777777" w:rsidR="008B4DF8" w:rsidRPr="00C1603D" w:rsidRDefault="008B4DF8" w:rsidP="00A10A95">
            <w:pPr>
              <w:pStyle w:val="72TabletextTablesTableFigureBoxstyles"/>
            </w:pPr>
            <w:r w:rsidRPr="00C1603D">
              <w:rPr>
                <w:color w:val="00B0F0"/>
              </w:rPr>
              <w:t>–5</w:t>
            </w:r>
            <w:r w:rsidRPr="00C1603D">
              <w:t>.057</w:t>
            </w:r>
          </w:p>
        </w:tc>
        <w:tc>
          <w:tcPr>
            <w:tcW w:w="0" w:type="auto"/>
            <w:shd w:val="clear" w:color="auto" w:fill="auto"/>
            <w:tcMar>
              <w:top w:w="15" w:type="dxa"/>
              <w:left w:w="15" w:type="dxa"/>
              <w:bottom w:w="0" w:type="dxa"/>
              <w:right w:w="15" w:type="dxa"/>
            </w:tcMar>
          </w:tcPr>
          <w:p w14:paraId="0472E032" w14:textId="77777777" w:rsidR="008B4DF8" w:rsidRPr="00C1603D" w:rsidRDefault="008B4DF8" w:rsidP="00A10A95">
            <w:pPr>
              <w:pStyle w:val="72TabletextTablesTableFigureBoxstyles"/>
            </w:pPr>
          </w:p>
        </w:tc>
        <w:tc>
          <w:tcPr>
            <w:tcW w:w="0" w:type="auto"/>
            <w:shd w:val="clear" w:color="auto" w:fill="auto"/>
            <w:tcMar>
              <w:top w:w="15" w:type="dxa"/>
              <w:left w:w="15" w:type="dxa"/>
              <w:bottom w:w="0" w:type="dxa"/>
              <w:right w:w="15" w:type="dxa"/>
            </w:tcMar>
          </w:tcPr>
          <w:p w14:paraId="460F9550" w14:textId="77777777" w:rsidR="008B4DF8" w:rsidRPr="00C1603D" w:rsidRDefault="008B4DF8" w:rsidP="00A10A95">
            <w:pPr>
              <w:pStyle w:val="72TabletextTablesTableFigureBoxstyles"/>
            </w:pPr>
          </w:p>
        </w:tc>
        <w:tc>
          <w:tcPr>
            <w:tcW w:w="0" w:type="auto"/>
            <w:shd w:val="clear" w:color="auto" w:fill="auto"/>
            <w:tcMar>
              <w:top w:w="15" w:type="dxa"/>
              <w:left w:w="15" w:type="dxa"/>
              <w:bottom w:w="0" w:type="dxa"/>
              <w:right w:w="15" w:type="dxa"/>
            </w:tcMar>
          </w:tcPr>
          <w:p w14:paraId="5EDFEBE9" w14:textId="77777777" w:rsidR="008B4DF8" w:rsidRPr="00C1603D" w:rsidRDefault="008B4DF8" w:rsidP="00A10A95">
            <w:pPr>
              <w:pStyle w:val="72TabletextTablesTableFigureBoxstyles"/>
            </w:pPr>
          </w:p>
        </w:tc>
        <w:tc>
          <w:tcPr>
            <w:tcW w:w="0" w:type="auto"/>
            <w:shd w:val="clear" w:color="auto" w:fill="auto"/>
            <w:tcMar>
              <w:top w:w="15" w:type="dxa"/>
              <w:left w:w="15" w:type="dxa"/>
              <w:bottom w:w="0" w:type="dxa"/>
              <w:right w:w="15" w:type="dxa"/>
            </w:tcMar>
          </w:tcPr>
          <w:p w14:paraId="4F6A3F48" w14:textId="77777777" w:rsidR="008B4DF8" w:rsidRPr="00C1603D" w:rsidRDefault="008B4DF8" w:rsidP="00A10A95">
            <w:pPr>
              <w:pStyle w:val="72TabletextTablesTableFigureBoxstyles"/>
            </w:pPr>
          </w:p>
        </w:tc>
      </w:tr>
      <w:tr w:rsidR="00A10A95" w:rsidRPr="00C1603D" w14:paraId="33E49858" w14:textId="77777777" w:rsidTr="00A10A95">
        <w:trPr>
          <w:cantSplit/>
        </w:trPr>
        <w:tc>
          <w:tcPr>
            <w:tcW w:w="0" w:type="auto"/>
            <w:shd w:val="clear" w:color="auto" w:fill="auto"/>
            <w:tcMar>
              <w:top w:w="15" w:type="dxa"/>
              <w:left w:w="15" w:type="dxa"/>
              <w:bottom w:w="0" w:type="dxa"/>
              <w:right w:w="15" w:type="dxa"/>
            </w:tcMar>
          </w:tcPr>
          <w:p w14:paraId="41EC6AAB" w14:textId="2194A6C5" w:rsidR="008B4DF8" w:rsidRPr="00C1603D" w:rsidRDefault="00BA5584" w:rsidP="00A10A95">
            <w:pPr>
              <w:pStyle w:val="72TabletextTablesTableFigureBoxstyles"/>
            </w:pPr>
            <w:r w:rsidRPr="00C1603D">
              <w:t>First-degree</w:t>
            </w:r>
            <w:r w:rsidR="008B4DF8" w:rsidRPr="00C1603D">
              <w:t xml:space="preserve"> relative</w:t>
            </w:r>
            <w:r w:rsidR="00A10A95" w:rsidRPr="00C1603D">
              <w:t xml:space="preserve"> with CD</w:t>
            </w:r>
          </w:p>
        </w:tc>
        <w:tc>
          <w:tcPr>
            <w:tcW w:w="0" w:type="auto"/>
            <w:shd w:val="clear" w:color="auto" w:fill="auto"/>
            <w:tcMar>
              <w:top w:w="15" w:type="dxa"/>
              <w:left w:w="15" w:type="dxa"/>
              <w:bottom w:w="0" w:type="dxa"/>
              <w:right w:w="15" w:type="dxa"/>
            </w:tcMar>
          </w:tcPr>
          <w:p w14:paraId="25C50840" w14:textId="77777777" w:rsidR="008B4DF8" w:rsidRPr="00C1603D" w:rsidRDefault="008B4DF8" w:rsidP="00A10A95">
            <w:pPr>
              <w:pStyle w:val="72TabletextTablesTableFigureBoxstyles"/>
            </w:pPr>
            <w:r w:rsidRPr="00C1603D">
              <w:t>2.459</w:t>
            </w:r>
          </w:p>
        </w:tc>
        <w:tc>
          <w:tcPr>
            <w:tcW w:w="0" w:type="auto"/>
            <w:shd w:val="clear" w:color="auto" w:fill="auto"/>
            <w:tcMar>
              <w:top w:w="15" w:type="dxa"/>
              <w:left w:w="15" w:type="dxa"/>
              <w:bottom w:w="0" w:type="dxa"/>
              <w:right w:w="15" w:type="dxa"/>
            </w:tcMar>
          </w:tcPr>
          <w:p w14:paraId="12DA48D5" w14:textId="10E9A8E0" w:rsidR="008B4DF8" w:rsidRPr="00C1603D" w:rsidRDefault="008B4DF8" w:rsidP="00A10A95">
            <w:pPr>
              <w:pStyle w:val="72TabletextTablesTableFigureBoxstyles"/>
            </w:pPr>
            <w:r w:rsidRPr="00C1603D">
              <w:t xml:space="preserve">2.449 </w:t>
            </w:r>
            <w:r w:rsidRPr="00C1603D">
              <w:rPr>
                <w:color w:val="00B0F0"/>
              </w:rPr>
              <w:t>(</w:t>
            </w:r>
            <w:r w:rsidRPr="00C1603D">
              <w:t>2.378</w:t>
            </w:r>
            <w:r w:rsidR="00590883" w:rsidRPr="00C1603D">
              <w:t>–</w:t>
            </w:r>
            <w:r w:rsidRPr="00C1603D">
              <w:t>2.517)</w:t>
            </w:r>
          </w:p>
        </w:tc>
        <w:tc>
          <w:tcPr>
            <w:tcW w:w="0" w:type="auto"/>
            <w:shd w:val="clear" w:color="auto" w:fill="auto"/>
            <w:tcMar>
              <w:top w:w="15" w:type="dxa"/>
              <w:left w:w="15" w:type="dxa"/>
              <w:bottom w:w="0" w:type="dxa"/>
              <w:right w:w="15" w:type="dxa"/>
            </w:tcMar>
          </w:tcPr>
          <w:p w14:paraId="5B28D517" w14:textId="77777777" w:rsidR="008B4DF8" w:rsidRPr="00C1603D" w:rsidRDefault="008B4DF8" w:rsidP="00A10A95">
            <w:pPr>
              <w:pStyle w:val="72TabletextTablesTableFigureBoxstyles"/>
            </w:pPr>
            <w:r w:rsidRPr="00C1603D">
              <w:t>2.519</w:t>
            </w:r>
          </w:p>
        </w:tc>
        <w:tc>
          <w:tcPr>
            <w:tcW w:w="0" w:type="auto"/>
            <w:shd w:val="clear" w:color="auto" w:fill="auto"/>
            <w:tcMar>
              <w:top w:w="15" w:type="dxa"/>
              <w:left w:w="15" w:type="dxa"/>
              <w:bottom w:w="0" w:type="dxa"/>
              <w:right w:w="15" w:type="dxa"/>
            </w:tcMar>
          </w:tcPr>
          <w:p w14:paraId="4883B8A9" w14:textId="77777777" w:rsidR="008B4DF8" w:rsidRPr="00C1603D" w:rsidRDefault="008B4DF8" w:rsidP="00A10A95">
            <w:pPr>
              <w:pStyle w:val="72TabletextTablesTableFigureBoxstyles"/>
            </w:pPr>
            <w:r w:rsidRPr="00C1603D">
              <w:t>11.689</w:t>
            </w:r>
          </w:p>
        </w:tc>
        <w:tc>
          <w:tcPr>
            <w:tcW w:w="0" w:type="auto"/>
            <w:shd w:val="clear" w:color="auto" w:fill="auto"/>
            <w:tcMar>
              <w:top w:w="15" w:type="dxa"/>
              <w:left w:w="15" w:type="dxa"/>
              <w:bottom w:w="0" w:type="dxa"/>
              <w:right w:w="15" w:type="dxa"/>
            </w:tcMar>
          </w:tcPr>
          <w:p w14:paraId="004FF50E" w14:textId="77777777" w:rsidR="008B4DF8" w:rsidRPr="00C1603D" w:rsidRDefault="008B4DF8" w:rsidP="00A10A95">
            <w:pPr>
              <w:pStyle w:val="72TabletextTablesTableFigureBoxstyles"/>
            </w:pPr>
            <w:r w:rsidRPr="00C1603D">
              <w:t>12.413</w:t>
            </w:r>
          </w:p>
        </w:tc>
        <w:tc>
          <w:tcPr>
            <w:tcW w:w="0" w:type="auto"/>
            <w:shd w:val="clear" w:color="auto" w:fill="auto"/>
            <w:tcMar>
              <w:top w:w="15" w:type="dxa"/>
              <w:left w:w="15" w:type="dxa"/>
              <w:bottom w:w="0" w:type="dxa"/>
              <w:right w:w="15" w:type="dxa"/>
            </w:tcMar>
          </w:tcPr>
          <w:p w14:paraId="1678BC68" w14:textId="77777777" w:rsidR="008B4DF8" w:rsidRPr="00C1603D" w:rsidRDefault="008B4DF8" w:rsidP="00A10A95">
            <w:pPr>
              <w:pStyle w:val="72TabletextTablesTableFigureBoxstyles"/>
            </w:pPr>
            <w:r w:rsidRPr="00C1603D">
              <w:t>2.505</w:t>
            </w:r>
          </w:p>
        </w:tc>
        <w:tc>
          <w:tcPr>
            <w:tcW w:w="0" w:type="auto"/>
            <w:shd w:val="clear" w:color="auto" w:fill="auto"/>
            <w:tcMar>
              <w:top w:w="15" w:type="dxa"/>
              <w:left w:w="15" w:type="dxa"/>
              <w:bottom w:w="0" w:type="dxa"/>
              <w:right w:w="15" w:type="dxa"/>
            </w:tcMar>
          </w:tcPr>
          <w:p w14:paraId="30E09C9A" w14:textId="77777777" w:rsidR="008B4DF8" w:rsidRPr="00C1603D" w:rsidRDefault="008B4DF8" w:rsidP="00A10A95">
            <w:pPr>
              <w:pStyle w:val="72TabletextTablesTableFigureBoxstyles"/>
            </w:pPr>
            <w:r w:rsidRPr="00C1603D">
              <w:t>12.244</w:t>
            </w:r>
          </w:p>
        </w:tc>
      </w:tr>
      <w:tr w:rsidR="00A10A95" w:rsidRPr="00C1603D" w14:paraId="273FDD1F" w14:textId="77777777" w:rsidTr="00A10A95">
        <w:trPr>
          <w:cantSplit/>
        </w:trPr>
        <w:tc>
          <w:tcPr>
            <w:tcW w:w="0" w:type="auto"/>
            <w:shd w:val="clear" w:color="auto" w:fill="auto"/>
            <w:tcMar>
              <w:top w:w="15" w:type="dxa"/>
              <w:left w:w="15" w:type="dxa"/>
              <w:bottom w:w="0" w:type="dxa"/>
              <w:right w:w="15" w:type="dxa"/>
            </w:tcMar>
          </w:tcPr>
          <w:p w14:paraId="63B53033" w14:textId="77777777" w:rsidR="008B4DF8" w:rsidRPr="00C1603D" w:rsidRDefault="008B4DF8" w:rsidP="00A10A95">
            <w:pPr>
              <w:pStyle w:val="72TabletextTablesTableFigureBoxstyles"/>
            </w:pPr>
            <w:r w:rsidRPr="00C1603D">
              <w:t>Anaemia</w:t>
            </w:r>
          </w:p>
        </w:tc>
        <w:tc>
          <w:tcPr>
            <w:tcW w:w="0" w:type="auto"/>
            <w:shd w:val="clear" w:color="auto" w:fill="auto"/>
            <w:tcMar>
              <w:top w:w="15" w:type="dxa"/>
              <w:left w:w="15" w:type="dxa"/>
              <w:bottom w:w="0" w:type="dxa"/>
              <w:right w:w="15" w:type="dxa"/>
            </w:tcMar>
          </w:tcPr>
          <w:p w14:paraId="3906F243" w14:textId="77777777" w:rsidR="008B4DF8" w:rsidRPr="00C1603D" w:rsidRDefault="008B4DF8" w:rsidP="00A10A95">
            <w:pPr>
              <w:pStyle w:val="72TabletextTablesTableFigureBoxstyles"/>
            </w:pPr>
            <w:r w:rsidRPr="00C1603D">
              <w:t>1.630</w:t>
            </w:r>
          </w:p>
        </w:tc>
        <w:tc>
          <w:tcPr>
            <w:tcW w:w="0" w:type="auto"/>
            <w:shd w:val="clear" w:color="auto" w:fill="auto"/>
            <w:tcMar>
              <w:top w:w="15" w:type="dxa"/>
              <w:left w:w="15" w:type="dxa"/>
              <w:bottom w:w="0" w:type="dxa"/>
              <w:right w:w="15" w:type="dxa"/>
            </w:tcMar>
          </w:tcPr>
          <w:p w14:paraId="5A88D718" w14:textId="7B6E4365" w:rsidR="008B4DF8" w:rsidRPr="00C1603D" w:rsidRDefault="008B4DF8" w:rsidP="00A10A95">
            <w:pPr>
              <w:pStyle w:val="72TabletextTablesTableFigureBoxstyles"/>
            </w:pPr>
            <w:r w:rsidRPr="00C1603D">
              <w:t xml:space="preserve">1.635 </w:t>
            </w:r>
            <w:r w:rsidRPr="00C1603D">
              <w:rPr>
                <w:color w:val="00B0F0"/>
              </w:rPr>
              <w:t>(</w:t>
            </w:r>
            <w:r w:rsidRPr="00C1603D">
              <w:t>1.605</w:t>
            </w:r>
            <w:r w:rsidR="00590883" w:rsidRPr="00C1603D">
              <w:t>–</w:t>
            </w:r>
            <w:r w:rsidRPr="00C1603D">
              <w:t>1.661)</w:t>
            </w:r>
          </w:p>
        </w:tc>
        <w:tc>
          <w:tcPr>
            <w:tcW w:w="0" w:type="auto"/>
            <w:shd w:val="clear" w:color="auto" w:fill="auto"/>
            <w:tcMar>
              <w:top w:w="15" w:type="dxa"/>
              <w:left w:w="15" w:type="dxa"/>
              <w:bottom w:w="0" w:type="dxa"/>
              <w:right w:w="15" w:type="dxa"/>
            </w:tcMar>
          </w:tcPr>
          <w:p w14:paraId="4EB09CFE" w14:textId="77777777" w:rsidR="008B4DF8" w:rsidRPr="00C1603D" w:rsidRDefault="008B4DF8" w:rsidP="00A10A95">
            <w:pPr>
              <w:pStyle w:val="72TabletextTablesTableFigureBoxstyles"/>
            </w:pPr>
            <w:r w:rsidRPr="00C1603D">
              <w:t>1.659</w:t>
            </w:r>
          </w:p>
        </w:tc>
        <w:tc>
          <w:tcPr>
            <w:tcW w:w="0" w:type="auto"/>
            <w:shd w:val="clear" w:color="auto" w:fill="auto"/>
            <w:tcMar>
              <w:top w:w="15" w:type="dxa"/>
              <w:left w:w="15" w:type="dxa"/>
              <w:bottom w:w="0" w:type="dxa"/>
              <w:right w:w="15" w:type="dxa"/>
            </w:tcMar>
          </w:tcPr>
          <w:p w14:paraId="68839DFA" w14:textId="77777777" w:rsidR="008B4DF8" w:rsidRPr="00C1603D" w:rsidRDefault="008B4DF8" w:rsidP="00A10A95">
            <w:pPr>
              <w:pStyle w:val="72TabletextTablesTableFigureBoxstyles"/>
            </w:pPr>
            <w:r w:rsidRPr="00C1603D">
              <w:t>5.102</w:t>
            </w:r>
          </w:p>
        </w:tc>
        <w:tc>
          <w:tcPr>
            <w:tcW w:w="0" w:type="auto"/>
            <w:shd w:val="clear" w:color="auto" w:fill="auto"/>
            <w:tcMar>
              <w:top w:w="15" w:type="dxa"/>
              <w:left w:w="15" w:type="dxa"/>
              <w:bottom w:w="0" w:type="dxa"/>
              <w:right w:w="15" w:type="dxa"/>
            </w:tcMar>
          </w:tcPr>
          <w:p w14:paraId="1C507AA1" w14:textId="77777777" w:rsidR="008B4DF8" w:rsidRPr="00C1603D" w:rsidRDefault="008B4DF8" w:rsidP="00A10A95">
            <w:pPr>
              <w:pStyle w:val="72TabletextTablesTableFigureBoxstyles"/>
            </w:pPr>
            <w:r w:rsidRPr="00C1603D">
              <w:t>5.252</w:t>
            </w:r>
          </w:p>
        </w:tc>
        <w:tc>
          <w:tcPr>
            <w:tcW w:w="0" w:type="auto"/>
            <w:shd w:val="clear" w:color="auto" w:fill="auto"/>
            <w:tcMar>
              <w:top w:w="15" w:type="dxa"/>
              <w:left w:w="15" w:type="dxa"/>
              <w:bottom w:w="0" w:type="dxa"/>
              <w:right w:w="15" w:type="dxa"/>
            </w:tcMar>
          </w:tcPr>
          <w:p w14:paraId="567D4129" w14:textId="77777777" w:rsidR="008B4DF8" w:rsidRPr="00C1603D" w:rsidRDefault="008B4DF8" w:rsidP="00A10A95">
            <w:pPr>
              <w:pStyle w:val="72TabletextTablesTableFigureBoxstyles"/>
            </w:pPr>
            <w:r w:rsidRPr="00C1603D">
              <w:t>1.914</w:t>
            </w:r>
          </w:p>
        </w:tc>
        <w:tc>
          <w:tcPr>
            <w:tcW w:w="0" w:type="auto"/>
            <w:shd w:val="clear" w:color="auto" w:fill="auto"/>
            <w:tcMar>
              <w:top w:w="15" w:type="dxa"/>
              <w:left w:w="15" w:type="dxa"/>
              <w:bottom w:w="0" w:type="dxa"/>
              <w:right w:w="15" w:type="dxa"/>
            </w:tcMar>
          </w:tcPr>
          <w:p w14:paraId="1E39B776" w14:textId="77777777" w:rsidR="008B4DF8" w:rsidRPr="00C1603D" w:rsidRDefault="008B4DF8" w:rsidP="00A10A95">
            <w:pPr>
              <w:pStyle w:val="72TabletextTablesTableFigureBoxstyles"/>
            </w:pPr>
            <w:r w:rsidRPr="00C1603D">
              <w:t>6.780</w:t>
            </w:r>
          </w:p>
        </w:tc>
      </w:tr>
      <w:tr w:rsidR="00A10A95" w:rsidRPr="00C1603D" w14:paraId="74EE4337" w14:textId="77777777" w:rsidTr="00A10A95">
        <w:trPr>
          <w:cantSplit/>
        </w:trPr>
        <w:tc>
          <w:tcPr>
            <w:tcW w:w="0" w:type="auto"/>
            <w:shd w:val="clear" w:color="auto" w:fill="auto"/>
            <w:tcMar>
              <w:top w:w="15" w:type="dxa"/>
              <w:left w:w="15" w:type="dxa"/>
              <w:bottom w:w="0" w:type="dxa"/>
              <w:right w:w="15" w:type="dxa"/>
            </w:tcMar>
          </w:tcPr>
          <w:p w14:paraId="5812AB07" w14:textId="3D21FBC2" w:rsidR="008B4DF8" w:rsidRPr="00C1603D" w:rsidRDefault="00A10A95" w:rsidP="00A10A95">
            <w:pPr>
              <w:pStyle w:val="72TabletextTablesTableFigureBoxstyles"/>
            </w:pPr>
            <w:r w:rsidRPr="00C1603D">
              <w:t>Iron, vitamin B</w:t>
            </w:r>
            <w:r w:rsidRPr="00C1603D">
              <w:rPr>
                <w:vertAlign w:val="subscript"/>
              </w:rPr>
              <w:t>12</w:t>
            </w:r>
            <w:r w:rsidRPr="00C1603D">
              <w:t xml:space="preserve"> or folate deficiency</w:t>
            </w:r>
          </w:p>
        </w:tc>
        <w:tc>
          <w:tcPr>
            <w:tcW w:w="0" w:type="auto"/>
            <w:shd w:val="clear" w:color="auto" w:fill="auto"/>
            <w:tcMar>
              <w:top w:w="15" w:type="dxa"/>
              <w:left w:w="15" w:type="dxa"/>
              <w:bottom w:w="0" w:type="dxa"/>
              <w:right w:w="15" w:type="dxa"/>
            </w:tcMar>
          </w:tcPr>
          <w:p w14:paraId="5F38114B" w14:textId="77777777" w:rsidR="008B4DF8" w:rsidRPr="00C1603D" w:rsidRDefault="008B4DF8" w:rsidP="00A10A95">
            <w:pPr>
              <w:pStyle w:val="72TabletextTablesTableFigureBoxstyles"/>
            </w:pPr>
            <w:r w:rsidRPr="00C1603D">
              <w:t>1.323</w:t>
            </w:r>
          </w:p>
        </w:tc>
        <w:tc>
          <w:tcPr>
            <w:tcW w:w="0" w:type="auto"/>
            <w:shd w:val="clear" w:color="auto" w:fill="auto"/>
            <w:tcMar>
              <w:top w:w="15" w:type="dxa"/>
              <w:left w:w="15" w:type="dxa"/>
              <w:bottom w:w="0" w:type="dxa"/>
              <w:right w:w="15" w:type="dxa"/>
            </w:tcMar>
          </w:tcPr>
          <w:p w14:paraId="04FC5DB7" w14:textId="70630D97" w:rsidR="008B4DF8" w:rsidRPr="00C1603D" w:rsidRDefault="008B4DF8" w:rsidP="00A10A95">
            <w:pPr>
              <w:pStyle w:val="72TabletextTablesTableFigureBoxstyles"/>
            </w:pPr>
            <w:r w:rsidRPr="00C1603D">
              <w:t xml:space="preserve">1.383 </w:t>
            </w:r>
            <w:r w:rsidRPr="00C1603D">
              <w:rPr>
                <w:color w:val="00B0F0"/>
              </w:rPr>
              <w:t>(</w:t>
            </w:r>
            <w:r w:rsidRPr="00C1603D">
              <w:t>0.554</w:t>
            </w:r>
            <w:r w:rsidR="00590883" w:rsidRPr="00C1603D">
              <w:t>–</w:t>
            </w:r>
            <w:r w:rsidRPr="00C1603D">
              <w:t>2.113)</w:t>
            </w:r>
          </w:p>
        </w:tc>
        <w:tc>
          <w:tcPr>
            <w:tcW w:w="0" w:type="auto"/>
            <w:shd w:val="clear" w:color="auto" w:fill="auto"/>
            <w:tcMar>
              <w:top w:w="15" w:type="dxa"/>
              <w:left w:w="15" w:type="dxa"/>
              <w:bottom w:w="0" w:type="dxa"/>
              <w:right w:w="15" w:type="dxa"/>
            </w:tcMar>
          </w:tcPr>
          <w:p w14:paraId="60A3E56F" w14:textId="77777777" w:rsidR="008B4DF8" w:rsidRPr="00C1603D" w:rsidRDefault="008B4DF8" w:rsidP="00A10A95">
            <w:pPr>
              <w:pStyle w:val="72TabletextTablesTableFigureBoxstyles"/>
            </w:pPr>
            <w:r w:rsidRPr="00C1603D">
              <w:t>1.348</w:t>
            </w:r>
          </w:p>
        </w:tc>
        <w:tc>
          <w:tcPr>
            <w:tcW w:w="0" w:type="auto"/>
            <w:shd w:val="clear" w:color="auto" w:fill="auto"/>
            <w:tcMar>
              <w:top w:w="15" w:type="dxa"/>
              <w:left w:w="15" w:type="dxa"/>
              <w:bottom w:w="0" w:type="dxa"/>
              <w:right w:w="15" w:type="dxa"/>
            </w:tcMar>
          </w:tcPr>
          <w:p w14:paraId="0AA5B6C2" w14:textId="77777777" w:rsidR="008B4DF8" w:rsidRPr="00C1603D" w:rsidRDefault="008B4DF8" w:rsidP="00A10A95">
            <w:pPr>
              <w:pStyle w:val="72TabletextTablesTableFigureBoxstyles"/>
            </w:pPr>
            <w:r w:rsidRPr="00C1603D">
              <w:t>3.753</w:t>
            </w:r>
          </w:p>
        </w:tc>
        <w:tc>
          <w:tcPr>
            <w:tcW w:w="0" w:type="auto"/>
            <w:shd w:val="clear" w:color="auto" w:fill="auto"/>
            <w:tcMar>
              <w:top w:w="15" w:type="dxa"/>
              <w:left w:w="15" w:type="dxa"/>
              <w:bottom w:w="0" w:type="dxa"/>
              <w:right w:w="15" w:type="dxa"/>
            </w:tcMar>
          </w:tcPr>
          <w:p w14:paraId="1260E561" w14:textId="77777777" w:rsidR="008B4DF8" w:rsidRPr="00C1603D" w:rsidRDefault="008B4DF8" w:rsidP="00A10A95">
            <w:pPr>
              <w:pStyle w:val="72TabletextTablesTableFigureBoxstyles"/>
            </w:pPr>
            <w:r w:rsidRPr="00C1603D">
              <w:t>3.851</w:t>
            </w:r>
          </w:p>
        </w:tc>
        <w:tc>
          <w:tcPr>
            <w:tcW w:w="0" w:type="auto"/>
            <w:shd w:val="clear" w:color="auto" w:fill="auto"/>
            <w:tcMar>
              <w:top w:w="15" w:type="dxa"/>
              <w:left w:w="15" w:type="dxa"/>
              <w:bottom w:w="0" w:type="dxa"/>
              <w:right w:w="15" w:type="dxa"/>
            </w:tcMar>
          </w:tcPr>
          <w:p w14:paraId="2A4C76DB" w14:textId="77777777" w:rsidR="008B4DF8" w:rsidRPr="00C1603D" w:rsidRDefault="008B4DF8" w:rsidP="00A10A95">
            <w:pPr>
              <w:pStyle w:val="72TabletextTablesTableFigureBoxstyles"/>
            </w:pPr>
            <w:r w:rsidRPr="00C1603D">
              <w:t>1.810</w:t>
            </w:r>
          </w:p>
        </w:tc>
        <w:tc>
          <w:tcPr>
            <w:tcW w:w="0" w:type="auto"/>
            <w:shd w:val="clear" w:color="auto" w:fill="auto"/>
            <w:tcMar>
              <w:top w:w="15" w:type="dxa"/>
              <w:left w:w="15" w:type="dxa"/>
              <w:bottom w:w="0" w:type="dxa"/>
              <w:right w:w="15" w:type="dxa"/>
            </w:tcMar>
          </w:tcPr>
          <w:p w14:paraId="52788760" w14:textId="77777777" w:rsidR="008B4DF8" w:rsidRPr="00C1603D" w:rsidRDefault="008B4DF8" w:rsidP="00A10A95">
            <w:pPr>
              <w:pStyle w:val="72TabletextTablesTableFigureBoxstyles"/>
            </w:pPr>
            <w:r w:rsidRPr="00C1603D">
              <w:t>6.110</w:t>
            </w:r>
          </w:p>
        </w:tc>
      </w:tr>
      <w:tr w:rsidR="00A10A95" w:rsidRPr="00C1603D" w14:paraId="07DC0E62" w14:textId="77777777" w:rsidTr="00A10A95">
        <w:trPr>
          <w:cantSplit/>
        </w:trPr>
        <w:tc>
          <w:tcPr>
            <w:tcW w:w="0" w:type="auto"/>
            <w:shd w:val="clear" w:color="auto" w:fill="auto"/>
            <w:tcMar>
              <w:top w:w="15" w:type="dxa"/>
              <w:left w:w="15" w:type="dxa"/>
              <w:bottom w:w="0" w:type="dxa"/>
              <w:right w:w="15" w:type="dxa"/>
            </w:tcMar>
          </w:tcPr>
          <w:p w14:paraId="739590E9" w14:textId="77777777" w:rsidR="008B4DF8" w:rsidRPr="00C1603D" w:rsidRDefault="008B4DF8" w:rsidP="00A10A95">
            <w:pPr>
              <w:pStyle w:val="72TabletextTablesTableFigureBoxstyles"/>
            </w:pPr>
            <w:r w:rsidRPr="00C1603D">
              <w:t>Type 1 diabetes</w:t>
            </w:r>
          </w:p>
        </w:tc>
        <w:tc>
          <w:tcPr>
            <w:tcW w:w="0" w:type="auto"/>
            <w:shd w:val="clear" w:color="auto" w:fill="auto"/>
            <w:tcMar>
              <w:top w:w="15" w:type="dxa"/>
              <w:left w:w="15" w:type="dxa"/>
              <w:bottom w:w="0" w:type="dxa"/>
              <w:right w:w="15" w:type="dxa"/>
            </w:tcMar>
          </w:tcPr>
          <w:p w14:paraId="4BE52544" w14:textId="77777777" w:rsidR="008B4DF8" w:rsidRPr="00C1603D" w:rsidRDefault="008B4DF8" w:rsidP="00A10A95">
            <w:pPr>
              <w:pStyle w:val="72TabletextTablesTableFigureBoxstyles"/>
            </w:pPr>
            <w:r w:rsidRPr="00C1603D">
              <w:t>1.277</w:t>
            </w:r>
          </w:p>
        </w:tc>
        <w:tc>
          <w:tcPr>
            <w:tcW w:w="0" w:type="auto"/>
            <w:shd w:val="clear" w:color="auto" w:fill="auto"/>
            <w:tcMar>
              <w:top w:w="15" w:type="dxa"/>
              <w:left w:w="15" w:type="dxa"/>
              <w:bottom w:w="0" w:type="dxa"/>
              <w:right w:w="15" w:type="dxa"/>
            </w:tcMar>
          </w:tcPr>
          <w:p w14:paraId="30D38DD3" w14:textId="4FD4FF56" w:rsidR="008B4DF8" w:rsidRPr="00C1603D" w:rsidRDefault="008B4DF8" w:rsidP="00A10A95">
            <w:pPr>
              <w:pStyle w:val="72TabletextTablesTableFigureBoxstyles"/>
            </w:pPr>
            <w:r w:rsidRPr="00C1603D">
              <w:t xml:space="preserve">1.337 </w:t>
            </w:r>
            <w:r w:rsidRPr="00C1603D">
              <w:rPr>
                <w:color w:val="00B0F0"/>
              </w:rPr>
              <w:t>(</w:t>
            </w:r>
            <w:r w:rsidRPr="00C1603D">
              <w:t>1.293</w:t>
            </w:r>
            <w:r w:rsidR="00590883" w:rsidRPr="00C1603D">
              <w:t>–</w:t>
            </w:r>
            <w:r w:rsidRPr="00C1603D">
              <w:t>1.375)</w:t>
            </w:r>
          </w:p>
        </w:tc>
        <w:tc>
          <w:tcPr>
            <w:tcW w:w="0" w:type="auto"/>
            <w:shd w:val="clear" w:color="auto" w:fill="auto"/>
            <w:tcMar>
              <w:top w:w="15" w:type="dxa"/>
              <w:left w:w="15" w:type="dxa"/>
              <w:bottom w:w="0" w:type="dxa"/>
              <w:right w:w="15" w:type="dxa"/>
            </w:tcMar>
          </w:tcPr>
          <w:p w14:paraId="3EF4B59D" w14:textId="77777777" w:rsidR="008B4DF8" w:rsidRPr="00C1603D" w:rsidRDefault="008B4DF8" w:rsidP="00A10A95">
            <w:pPr>
              <w:pStyle w:val="72TabletextTablesTableFigureBoxstyles"/>
            </w:pPr>
            <w:r w:rsidRPr="00C1603D">
              <w:t>1.312</w:t>
            </w:r>
          </w:p>
        </w:tc>
        <w:tc>
          <w:tcPr>
            <w:tcW w:w="0" w:type="auto"/>
            <w:shd w:val="clear" w:color="auto" w:fill="auto"/>
            <w:tcMar>
              <w:top w:w="15" w:type="dxa"/>
              <w:left w:w="15" w:type="dxa"/>
              <w:bottom w:w="0" w:type="dxa"/>
              <w:right w:w="15" w:type="dxa"/>
            </w:tcMar>
          </w:tcPr>
          <w:p w14:paraId="4CE81955" w14:textId="77777777" w:rsidR="008B4DF8" w:rsidRPr="00C1603D" w:rsidRDefault="008B4DF8" w:rsidP="00A10A95">
            <w:pPr>
              <w:pStyle w:val="72TabletextTablesTableFigureBoxstyles"/>
            </w:pPr>
            <w:r w:rsidRPr="00C1603D">
              <w:t>3.584</w:t>
            </w:r>
          </w:p>
        </w:tc>
        <w:tc>
          <w:tcPr>
            <w:tcW w:w="0" w:type="auto"/>
            <w:shd w:val="clear" w:color="auto" w:fill="auto"/>
            <w:tcMar>
              <w:top w:w="15" w:type="dxa"/>
              <w:left w:w="15" w:type="dxa"/>
              <w:bottom w:w="0" w:type="dxa"/>
              <w:right w:w="15" w:type="dxa"/>
            </w:tcMar>
          </w:tcPr>
          <w:p w14:paraId="7F20AEC9" w14:textId="77777777" w:rsidR="008B4DF8" w:rsidRPr="00C1603D" w:rsidRDefault="008B4DF8" w:rsidP="00A10A95">
            <w:pPr>
              <w:pStyle w:val="72TabletextTablesTableFigureBoxstyles"/>
            </w:pPr>
            <w:r w:rsidRPr="00C1603D">
              <w:t>3.714</w:t>
            </w:r>
          </w:p>
        </w:tc>
        <w:tc>
          <w:tcPr>
            <w:tcW w:w="0" w:type="auto"/>
            <w:shd w:val="clear" w:color="auto" w:fill="auto"/>
            <w:tcMar>
              <w:top w:w="15" w:type="dxa"/>
              <w:left w:w="15" w:type="dxa"/>
              <w:bottom w:w="0" w:type="dxa"/>
              <w:right w:w="15" w:type="dxa"/>
            </w:tcMar>
          </w:tcPr>
          <w:p w14:paraId="23DE5E37" w14:textId="77777777" w:rsidR="008B4DF8" w:rsidRPr="00C1603D" w:rsidRDefault="008B4DF8" w:rsidP="00A10A95">
            <w:pPr>
              <w:pStyle w:val="72TabletextTablesTableFigureBoxstyles"/>
            </w:pPr>
            <w:r w:rsidRPr="00C1603D">
              <w:t>1.487</w:t>
            </w:r>
          </w:p>
        </w:tc>
        <w:tc>
          <w:tcPr>
            <w:tcW w:w="0" w:type="auto"/>
            <w:shd w:val="clear" w:color="auto" w:fill="auto"/>
            <w:tcMar>
              <w:top w:w="15" w:type="dxa"/>
              <w:left w:w="15" w:type="dxa"/>
              <w:bottom w:w="0" w:type="dxa"/>
              <w:right w:w="15" w:type="dxa"/>
            </w:tcMar>
          </w:tcPr>
          <w:p w14:paraId="24D12DF0" w14:textId="77777777" w:rsidR="008B4DF8" w:rsidRPr="00C1603D" w:rsidRDefault="008B4DF8" w:rsidP="00A10A95">
            <w:pPr>
              <w:pStyle w:val="72TabletextTablesTableFigureBoxstyles"/>
            </w:pPr>
            <w:r w:rsidRPr="00C1603D">
              <w:t>4.424</w:t>
            </w:r>
          </w:p>
        </w:tc>
      </w:tr>
      <w:tr w:rsidR="00A10A95" w:rsidRPr="00C1603D" w14:paraId="739A96DE" w14:textId="77777777" w:rsidTr="00A10A95">
        <w:trPr>
          <w:cantSplit/>
        </w:trPr>
        <w:tc>
          <w:tcPr>
            <w:tcW w:w="0" w:type="auto"/>
            <w:shd w:val="clear" w:color="auto" w:fill="auto"/>
            <w:tcMar>
              <w:top w:w="15" w:type="dxa"/>
              <w:left w:w="15" w:type="dxa"/>
              <w:bottom w:w="0" w:type="dxa"/>
              <w:right w:w="15" w:type="dxa"/>
            </w:tcMar>
          </w:tcPr>
          <w:p w14:paraId="20206FF0" w14:textId="77777777" w:rsidR="008B4DF8" w:rsidRPr="00C1603D" w:rsidRDefault="008B4DF8" w:rsidP="00A10A95">
            <w:pPr>
              <w:pStyle w:val="72TabletextTablesTableFigureBoxstyles"/>
            </w:pPr>
            <w:r w:rsidRPr="00C1603D">
              <w:t>Down syndrome</w:t>
            </w:r>
          </w:p>
        </w:tc>
        <w:tc>
          <w:tcPr>
            <w:tcW w:w="0" w:type="auto"/>
            <w:shd w:val="clear" w:color="auto" w:fill="auto"/>
            <w:tcMar>
              <w:top w:w="15" w:type="dxa"/>
              <w:left w:w="15" w:type="dxa"/>
              <w:bottom w:w="0" w:type="dxa"/>
              <w:right w:w="15" w:type="dxa"/>
            </w:tcMar>
          </w:tcPr>
          <w:p w14:paraId="177315B8" w14:textId="77777777" w:rsidR="008B4DF8" w:rsidRPr="00C1603D" w:rsidRDefault="008B4DF8" w:rsidP="00A10A95">
            <w:pPr>
              <w:pStyle w:val="72TabletextTablesTableFigureBoxstyles"/>
            </w:pPr>
            <w:r w:rsidRPr="00C1603D">
              <w:t>1.163</w:t>
            </w:r>
          </w:p>
        </w:tc>
        <w:tc>
          <w:tcPr>
            <w:tcW w:w="0" w:type="auto"/>
            <w:shd w:val="clear" w:color="auto" w:fill="auto"/>
            <w:tcMar>
              <w:top w:w="15" w:type="dxa"/>
              <w:left w:w="15" w:type="dxa"/>
              <w:bottom w:w="0" w:type="dxa"/>
              <w:right w:w="15" w:type="dxa"/>
            </w:tcMar>
          </w:tcPr>
          <w:p w14:paraId="3514EAEB" w14:textId="73058DAC" w:rsidR="008B4DF8" w:rsidRPr="00C1603D" w:rsidRDefault="008B4DF8" w:rsidP="00A10A95">
            <w:pPr>
              <w:pStyle w:val="72TabletextTablesTableFigureBoxstyles"/>
            </w:pPr>
            <w:r w:rsidRPr="00C1603D">
              <w:t xml:space="preserve">1.269 </w:t>
            </w:r>
            <w:r w:rsidRPr="00C1603D">
              <w:rPr>
                <w:color w:val="00B0F0"/>
              </w:rPr>
              <w:t>(</w:t>
            </w:r>
            <w:r w:rsidRPr="00C1603D">
              <w:t>1.161</w:t>
            </w:r>
            <w:r w:rsidR="00590883" w:rsidRPr="00C1603D">
              <w:t>–</w:t>
            </w:r>
            <w:r w:rsidRPr="00C1603D">
              <w:t>1.358)</w:t>
            </w:r>
          </w:p>
        </w:tc>
        <w:tc>
          <w:tcPr>
            <w:tcW w:w="0" w:type="auto"/>
            <w:shd w:val="clear" w:color="auto" w:fill="auto"/>
            <w:tcMar>
              <w:top w:w="15" w:type="dxa"/>
              <w:left w:w="15" w:type="dxa"/>
              <w:bottom w:w="0" w:type="dxa"/>
              <w:right w:w="15" w:type="dxa"/>
            </w:tcMar>
          </w:tcPr>
          <w:p w14:paraId="7E850040" w14:textId="77777777" w:rsidR="008B4DF8" w:rsidRPr="00C1603D" w:rsidRDefault="008B4DF8" w:rsidP="00A10A95">
            <w:pPr>
              <w:pStyle w:val="72TabletextTablesTableFigureBoxstyles"/>
            </w:pPr>
            <w:r w:rsidRPr="00C1603D">
              <w:t>1.256</w:t>
            </w:r>
          </w:p>
        </w:tc>
        <w:tc>
          <w:tcPr>
            <w:tcW w:w="0" w:type="auto"/>
            <w:shd w:val="clear" w:color="auto" w:fill="auto"/>
            <w:tcMar>
              <w:top w:w="15" w:type="dxa"/>
              <w:left w:w="15" w:type="dxa"/>
              <w:bottom w:w="0" w:type="dxa"/>
              <w:right w:w="15" w:type="dxa"/>
            </w:tcMar>
          </w:tcPr>
          <w:p w14:paraId="4F679102" w14:textId="77777777" w:rsidR="008B4DF8" w:rsidRPr="00C1603D" w:rsidRDefault="008B4DF8" w:rsidP="00A10A95">
            <w:pPr>
              <w:pStyle w:val="72TabletextTablesTableFigureBoxstyles"/>
            </w:pPr>
            <w:r w:rsidRPr="00C1603D">
              <w:t>3.198</w:t>
            </w:r>
          </w:p>
        </w:tc>
        <w:tc>
          <w:tcPr>
            <w:tcW w:w="0" w:type="auto"/>
            <w:shd w:val="clear" w:color="auto" w:fill="auto"/>
            <w:tcMar>
              <w:top w:w="15" w:type="dxa"/>
              <w:left w:w="15" w:type="dxa"/>
              <w:bottom w:w="0" w:type="dxa"/>
              <w:right w:w="15" w:type="dxa"/>
            </w:tcMar>
          </w:tcPr>
          <w:p w14:paraId="5332DA02" w14:textId="77777777" w:rsidR="008B4DF8" w:rsidRPr="00C1603D" w:rsidRDefault="008B4DF8" w:rsidP="00A10A95">
            <w:pPr>
              <w:pStyle w:val="72TabletextTablesTableFigureBoxstyles"/>
            </w:pPr>
            <w:r w:rsidRPr="00C1603D">
              <w:t>3.512</w:t>
            </w:r>
          </w:p>
        </w:tc>
        <w:tc>
          <w:tcPr>
            <w:tcW w:w="0" w:type="auto"/>
            <w:shd w:val="clear" w:color="auto" w:fill="auto"/>
            <w:tcMar>
              <w:top w:w="15" w:type="dxa"/>
              <w:left w:w="15" w:type="dxa"/>
              <w:bottom w:w="0" w:type="dxa"/>
              <w:right w:w="15" w:type="dxa"/>
            </w:tcMar>
          </w:tcPr>
          <w:p w14:paraId="60E26839" w14:textId="77777777" w:rsidR="008B4DF8" w:rsidRPr="00C1603D" w:rsidRDefault="008B4DF8" w:rsidP="00A10A95">
            <w:pPr>
              <w:pStyle w:val="72TabletextTablesTableFigureBoxstyles"/>
            </w:pPr>
            <w:r w:rsidRPr="00C1603D">
              <w:t>1.124</w:t>
            </w:r>
          </w:p>
        </w:tc>
        <w:tc>
          <w:tcPr>
            <w:tcW w:w="0" w:type="auto"/>
            <w:shd w:val="clear" w:color="auto" w:fill="auto"/>
            <w:tcMar>
              <w:top w:w="15" w:type="dxa"/>
              <w:left w:w="15" w:type="dxa"/>
              <w:bottom w:w="0" w:type="dxa"/>
              <w:right w:w="15" w:type="dxa"/>
            </w:tcMar>
          </w:tcPr>
          <w:p w14:paraId="68C54951" w14:textId="77777777" w:rsidR="008B4DF8" w:rsidRPr="00C1603D" w:rsidRDefault="008B4DF8" w:rsidP="00A10A95">
            <w:pPr>
              <w:pStyle w:val="72TabletextTablesTableFigureBoxstyles"/>
            </w:pPr>
            <w:r w:rsidRPr="00C1603D">
              <w:t>3.077</w:t>
            </w:r>
          </w:p>
        </w:tc>
      </w:tr>
      <w:tr w:rsidR="00A10A95" w:rsidRPr="00C1603D" w14:paraId="0C470D6F" w14:textId="77777777" w:rsidTr="00A10A95">
        <w:trPr>
          <w:cantSplit/>
        </w:trPr>
        <w:tc>
          <w:tcPr>
            <w:tcW w:w="0" w:type="auto"/>
            <w:shd w:val="clear" w:color="auto" w:fill="auto"/>
            <w:tcMar>
              <w:top w:w="15" w:type="dxa"/>
              <w:left w:w="15" w:type="dxa"/>
              <w:bottom w:w="0" w:type="dxa"/>
              <w:right w:w="15" w:type="dxa"/>
            </w:tcMar>
          </w:tcPr>
          <w:p w14:paraId="0C9AB8D0" w14:textId="77777777" w:rsidR="008B4DF8" w:rsidRPr="00C1603D" w:rsidRDefault="008B4DF8" w:rsidP="00A10A95">
            <w:pPr>
              <w:pStyle w:val="72TabletextTablesTableFigureBoxstyles"/>
            </w:pPr>
            <w:r w:rsidRPr="00C1603D">
              <w:t>IgA deficiency</w:t>
            </w:r>
          </w:p>
        </w:tc>
        <w:tc>
          <w:tcPr>
            <w:tcW w:w="0" w:type="auto"/>
            <w:shd w:val="clear" w:color="auto" w:fill="auto"/>
            <w:tcMar>
              <w:top w:w="15" w:type="dxa"/>
              <w:left w:w="15" w:type="dxa"/>
              <w:bottom w:w="0" w:type="dxa"/>
              <w:right w:w="15" w:type="dxa"/>
            </w:tcMar>
          </w:tcPr>
          <w:p w14:paraId="26B0C846" w14:textId="77777777" w:rsidR="008B4DF8" w:rsidRPr="00C1603D" w:rsidRDefault="008B4DF8" w:rsidP="00A10A95">
            <w:pPr>
              <w:pStyle w:val="72TabletextTablesTableFigureBoxstyles"/>
            </w:pPr>
            <w:r w:rsidRPr="00C1603D">
              <w:t>1.127</w:t>
            </w:r>
          </w:p>
        </w:tc>
        <w:tc>
          <w:tcPr>
            <w:tcW w:w="0" w:type="auto"/>
            <w:shd w:val="clear" w:color="auto" w:fill="auto"/>
            <w:tcMar>
              <w:top w:w="15" w:type="dxa"/>
              <w:left w:w="15" w:type="dxa"/>
              <w:bottom w:w="0" w:type="dxa"/>
              <w:right w:w="15" w:type="dxa"/>
            </w:tcMar>
          </w:tcPr>
          <w:p w14:paraId="66FFEE8F" w14:textId="52A050EE" w:rsidR="008B4DF8" w:rsidRPr="00C1603D" w:rsidRDefault="008B4DF8" w:rsidP="00A10A95">
            <w:pPr>
              <w:pStyle w:val="72TabletextTablesTableFigureBoxstyles"/>
            </w:pPr>
            <w:r w:rsidRPr="00C1603D">
              <w:t xml:space="preserve">1.170 </w:t>
            </w:r>
            <w:r w:rsidRPr="00C1603D">
              <w:rPr>
                <w:color w:val="00B0F0"/>
              </w:rPr>
              <w:t>(</w:t>
            </w:r>
            <w:r w:rsidRPr="00C1603D">
              <w:t>0.765</w:t>
            </w:r>
            <w:r w:rsidR="00590883" w:rsidRPr="00C1603D">
              <w:t>–</w:t>
            </w:r>
            <w:r w:rsidRPr="00C1603D">
              <w:t>1.596)</w:t>
            </w:r>
          </w:p>
        </w:tc>
        <w:tc>
          <w:tcPr>
            <w:tcW w:w="0" w:type="auto"/>
            <w:shd w:val="clear" w:color="auto" w:fill="auto"/>
            <w:tcMar>
              <w:top w:w="15" w:type="dxa"/>
              <w:left w:w="15" w:type="dxa"/>
              <w:bottom w:w="0" w:type="dxa"/>
              <w:right w:w="15" w:type="dxa"/>
            </w:tcMar>
          </w:tcPr>
          <w:p w14:paraId="036FC895" w14:textId="77777777" w:rsidR="008B4DF8" w:rsidRPr="00C1603D" w:rsidRDefault="008B4DF8" w:rsidP="00A10A95">
            <w:pPr>
              <w:pStyle w:val="72TabletextTablesTableFigureBoxstyles"/>
            </w:pPr>
            <w:r w:rsidRPr="00C1603D">
              <w:t>1.266</w:t>
            </w:r>
          </w:p>
        </w:tc>
        <w:tc>
          <w:tcPr>
            <w:tcW w:w="0" w:type="auto"/>
            <w:shd w:val="clear" w:color="auto" w:fill="auto"/>
            <w:tcMar>
              <w:top w:w="15" w:type="dxa"/>
              <w:left w:w="15" w:type="dxa"/>
              <w:bottom w:w="0" w:type="dxa"/>
              <w:right w:w="15" w:type="dxa"/>
            </w:tcMar>
          </w:tcPr>
          <w:p w14:paraId="726EAD6E" w14:textId="77777777" w:rsidR="008B4DF8" w:rsidRPr="00C1603D" w:rsidRDefault="008B4DF8" w:rsidP="00A10A95">
            <w:pPr>
              <w:pStyle w:val="72TabletextTablesTableFigureBoxstyles"/>
            </w:pPr>
            <w:r w:rsidRPr="00C1603D">
              <w:t>3.087</w:t>
            </w:r>
          </w:p>
        </w:tc>
        <w:tc>
          <w:tcPr>
            <w:tcW w:w="0" w:type="auto"/>
            <w:shd w:val="clear" w:color="auto" w:fill="auto"/>
            <w:tcMar>
              <w:top w:w="15" w:type="dxa"/>
              <w:left w:w="15" w:type="dxa"/>
              <w:bottom w:w="0" w:type="dxa"/>
              <w:right w:w="15" w:type="dxa"/>
            </w:tcMar>
          </w:tcPr>
          <w:p w14:paraId="1B0042BC" w14:textId="77777777" w:rsidR="008B4DF8" w:rsidRPr="00C1603D" w:rsidRDefault="008B4DF8" w:rsidP="00A10A95">
            <w:pPr>
              <w:pStyle w:val="72TabletextTablesTableFigureBoxstyles"/>
            </w:pPr>
            <w:r w:rsidRPr="00C1603D">
              <w:t>3.545</w:t>
            </w:r>
          </w:p>
        </w:tc>
        <w:tc>
          <w:tcPr>
            <w:tcW w:w="0" w:type="auto"/>
            <w:shd w:val="clear" w:color="auto" w:fill="auto"/>
            <w:tcMar>
              <w:top w:w="15" w:type="dxa"/>
              <w:left w:w="15" w:type="dxa"/>
              <w:bottom w:w="0" w:type="dxa"/>
              <w:right w:w="15" w:type="dxa"/>
            </w:tcMar>
          </w:tcPr>
          <w:p w14:paraId="740CDDD1" w14:textId="77777777" w:rsidR="008B4DF8" w:rsidRPr="00C1603D" w:rsidRDefault="008B4DF8" w:rsidP="00A10A95">
            <w:pPr>
              <w:pStyle w:val="72TabletextTablesTableFigureBoxstyles"/>
            </w:pPr>
            <w:r w:rsidRPr="00C1603D">
              <w:t>2.223</w:t>
            </w:r>
          </w:p>
        </w:tc>
        <w:tc>
          <w:tcPr>
            <w:tcW w:w="0" w:type="auto"/>
            <w:shd w:val="clear" w:color="auto" w:fill="auto"/>
            <w:tcMar>
              <w:top w:w="15" w:type="dxa"/>
              <w:left w:w="15" w:type="dxa"/>
              <w:bottom w:w="0" w:type="dxa"/>
              <w:right w:w="15" w:type="dxa"/>
            </w:tcMar>
          </w:tcPr>
          <w:p w14:paraId="2CA68B9F" w14:textId="77777777" w:rsidR="008B4DF8" w:rsidRPr="00C1603D" w:rsidRDefault="008B4DF8" w:rsidP="00A10A95">
            <w:pPr>
              <w:pStyle w:val="72TabletextTablesTableFigureBoxstyles"/>
            </w:pPr>
            <w:r w:rsidRPr="00C1603D">
              <w:t>9.235</w:t>
            </w:r>
          </w:p>
        </w:tc>
      </w:tr>
      <w:tr w:rsidR="00A10A95" w:rsidRPr="00C1603D" w14:paraId="524C4619" w14:textId="77777777" w:rsidTr="00A10A95">
        <w:trPr>
          <w:cantSplit/>
        </w:trPr>
        <w:tc>
          <w:tcPr>
            <w:tcW w:w="0" w:type="auto"/>
            <w:shd w:val="clear" w:color="auto" w:fill="auto"/>
            <w:tcMar>
              <w:top w:w="15" w:type="dxa"/>
              <w:left w:w="15" w:type="dxa"/>
              <w:bottom w:w="0" w:type="dxa"/>
              <w:right w:w="15" w:type="dxa"/>
            </w:tcMar>
          </w:tcPr>
          <w:p w14:paraId="1CDB176B" w14:textId="77777777" w:rsidR="008B4DF8" w:rsidRPr="00C1603D" w:rsidRDefault="008B4DF8" w:rsidP="00A10A95">
            <w:pPr>
              <w:pStyle w:val="72TabletextTablesTableFigureBoxstyles"/>
            </w:pPr>
            <w:r w:rsidRPr="00C1603D">
              <w:t>Turner syndrome</w:t>
            </w:r>
          </w:p>
        </w:tc>
        <w:tc>
          <w:tcPr>
            <w:tcW w:w="0" w:type="auto"/>
            <w:shd w:val="clear" w:color="auto" w:fill="auto"/>
            <w:tcMar>
              <w:top w:w="15" w:type="dxa"/>
              <w:left w:w="15" w:type="dxa"/>
              <w:bottom w:w="0" w:type="dxa"/>
              <w:right w:w="15" w:type="dxa"/>
            </w:tcMar>
          </w:tcPr>
          <w:p w14:paraId="1C1E3146" w14:textId="77777777" w:rsidR="008B4DF8" w:rsidRPr="00C1603D" w:rsidRDefault="008B4DF8" w:rsidP="00A10A95">
            <w:pPr>
              <w:pStyle w:val="72TabletextTablesTableFigureBoxstyles"/>
            </w:pPr>
            <w:r w:rsidRPr="00C1603D">
              <w:t>1.080</w:t>
            </w:r>
          </w:p>
        </w:tc>
        <w:tc>
          <w:tcPr>
            <w:tcW w:w="0" w:type="auto"/>
            <w:shd w:val="clear" w:color="auto" w:fill="auto"/>
            <w:tcMar>
              <w:top w:w="15" w:type="dxa"/>
              <w:left w:w="15" w:type="dxa"/>
              <w:bottom w:w="0" w:type="dxa"/>
              <w:right w:w="15" w:type="dxa"/>
            </w:tcMar>
          </w:tcPr>
          <w:p w14:paraId="4D551642" w14:textId="1D331DA2" w:rsidR="008B4DF8" w:rsidRPr="00C1603D" w:rsidRDefault="008B4DF8" w:rsidP="00A10A95">
            <w:pPr>
              <w:pStyle w:val="72TabletextTablesTableFigureBoxstyles"/>
            </w:pPr>
            <w:r w:rsidRPr="00C1603D">
              <w:t xml:space="preserve">1.057 </w:t>
            </w:r>
            <w:r w:rsidRPr="00C1603D">
              <w:rPr>
                <w:color w:val="00B0F0"/>
              </w:rPr>
              <w:t>(</w:t>
            </w:r>
            <w:r w:rsidRPr="00C1603D">
              <w:t>0.422</w:t>
            </w:r>
            <w:r w:rsidR="00590883" w:rsidRPr="00C1603D">
              <w:t>–</w:t>
            </w:r>
            <w:r w:rsidRPr="00C1603D">
              <w:t>1.681)</w:t>
            </w:r>
          </w:p>
        </w:tc>
        <w:tc>
          <w:tcPr>
            <w:tcW w:w="0" w:type="auto"/>
            <w:shd w:val="clear" w:color="auto" w:fill="auto"/>
            <w:tcMar>
              <w:top w:w="15" w:type="dxa"/>
              <w:left w:w="15" w:type="dxa"/>
              <w:bottom w:w="0" w:type="dxa"/>
              <w:right w:w="15" w:type="dxa"/>
            </w:tcMar>
          </w:tcPr>
          <w:p w14:paraId="5443B4EC" w14:textId="77777777" w:rsidR="008B4DF8" w:rsidRPr="00C1603D" w:rsidRDefault="008B4DF8" w:rsidP="00A10A95">
            <w:pPr>
              <w:pStyle w:val="72TabletextTablesTableFigureBoxstyles"/>
            </w:pPr>
            <w:r w:rsidRPr="00C1603D">
              <w:t>1.186</w:t>
            </w:r>
          </w:p>
        </w:tc>
        <w:tc>
          <w:tcPr>
            <w:tcW w:w="0" w:type="auto"/>
            <w:shd w:val="clear" w:color="auto" w:fill="auto"/>
            <w:tcMar>
              <w:top w:w="15" w:type="dxa"/>
              <w:left w:w="15" w:type="dxa"/>
              <w:bottom w:w="0" w:type="dxa"/>
              <w:right w:w="15" w:type="dxa"/>
            </w:tcMar>
          </w:tcPr>
          <w:p w14:paraId="44809E7F" w14:textId="77777777" w:rsidR="008B4DF8" w:rsidRPr="00C1603D" w:rsidRDefault="008B4DF8" w:rsidP="00A10A95">
            <w:pPr>
              <w:pStyle w:val="72TabletextTablesTableFigureBoxstyles"/>
            </w:pPr>
            <w:r w:rsidRPr="00C1603D">
              <w:t>2.944</w:t>
            </w:r>
          </w:p>
        </w:tc>
        <w:tc>
          <w:tcPr>
            <w:tcW w:w="0" w:type="auto"/>
            <w:shd w:val="clear" w:color="auto" w:fill="auto"/>
            <w:tcMar>
              <w:top w:w="15" w:type="dxa"/>
              <w:left w:w="15" w:type="dxa"/>
              <w:bottom w:w="0" w:type="dxa"/>
              <w:right w:w="15" w:type="dxa"/>
            </w:tcMar>
          </w:tcPr>
          <w:p w14:paraId="154D4309" w14:textId="77777777" w:rsidR="008B4DF8" w:rsidRPr="00C1603D" w:rsidRDefault="008B4DF8" w:rsidP="00A10A95">
            <w:pPr>
              <w:pStyle w:val="72TabletextTablesTableFigureBoxstyles"/>
            </w:pPr>
            <w:r w:rsidRPr="00C1603D">
              <w:t>3.275</w:t>
            </w:r>
          </w:p>
        </w:tc>
        <w:tc>
          <w:tcPr>
            <w:tcW w:w="0" w:type="auto"/>
            <w:shd w:val="clear" w:color="auto" w:fill="auto"/>
            <w:tcMar>
              <w:top w:w="15" w:type="dxa"/>
              <w:left w:w="15" w:type="dxa"/>
              <w:bottom w:w="0" w:type="dxa"/>
              <w:right w:w="15" w:type="dxa"/>
            </w:tcMar>
          </w:tcPr>
          <w:p w14:paraId="50115C07" w14:textId="77777777" w:rsidR="008B4DF8" w:rsidRPr="00C1603D" w:rsidRDefault="008B4DF8" w:rsidP="00A10A95">
            <w:pPr>
              <w:pStyle w:val="72TabletextTablesTableFigureBoxstyles"/>
            </w:pPr>
            <w:r w:rsidRPr="00C1603D">
              <w:t>1.635</w:t>
            </w:r>
          </w:p>
        </w:tc>
        <w:tc>
          <w:tcPr>
            <w:tcW w:w="0" w:type="auto"/>
            <w:shd w:val="clear" w:color="auto" w:fill="auto"/>
            <w:tcMar>
              <w:top w:w="15" w:type="dxa"/>
              <w:left w:w="15" w:type="dxa"/>
              <w:bottom w:w="0" w:type="dxa"/>
              <w:right w:w="15" w:type="dxa"/>
            </w:tcMar>
          </w:tcPr>
          <w:p w14:paraId="45045561" w14:textId="77777777" w:rsidR="008B4DF8" w:rsidRPr="00C1603D" w:rsidRDefault="008B4DF8" w:rsidP="00A10A95">
            <w:pPr>
              <w:pStyle w:val="72TabletextTablesTableFigureBoxstyles"/>
            </w:pPr>
            <w:r w:rsidRPr="00C1603D">
              <w:t>5.129</w:t>
            </w:r>
          </w:p>
        </w:tc>
      </w:tr>
      <w:tr w:rsidR="00A10A95" w:rsidRPr="00C1603D" w14:paraId="6B1691E2" w14:textId="77777777" w:rsidTr="00A10A95">
        <w:trPr>
          <w:cantSplit/>
        </w:trPr>
        <w:tc>
          <w:tcPr>
            <w:tcW w:w="0" w:type="auto"/>
            <w:shd w:val="clear" w:color="auto" w:fill="auto"/>
            <w:tcMar>
              <w:top w:w="15" w:type="dxa"/>
              <w:left w:w="15" w:type="dxa"/>
              <w:bottom w:w="0" w:type="dxa"/>
              <w:right w:w="15" w:type="dxa"/>
            </w:tcMar>
          </w:tcPr>
          <w:p w14:paraId="532A2172" w14:textId="77777777" w:rsidR="008B4DF8" w:rsidRPr="00C1603D" w:rsidRDefault="008B4DF8" w:rsidP="00A10A95">
            <w:pPr>
              <w:pStyle w:val="72TabletextTablesTableFigureBoxstyles"/>
            </w:pPr>
            <w:r w:rsidRPr="00C1603D">
              <w:t>Osteoporosis</w:t>
            </w:r>
          </w:p>
        </w:tc>
        <w:tc>
          <w:tcPr>
            <w:tcW w:w="0" w:type="auto"/>
            <w:shd w:val="clear" w:color="auto" w:fill="auto"/>
            <w:tcMar>
              <w:top w:w="15" w:type="dxa"/>
              <w:left w:w="15" w:type="dxa"/>
              <w:bottom w:w="0" w:type="dxa"/>
              <w:right w:w="15" w:type="dxa"/>
            </w:tcMar>
          </w:tcPr>
          <w:p w14:paraId="1251EFA1" w14:textId="77777777" w:rsidR="008B4DF8" w:rsidRPr="00C1603D" w:rsidRDefault="008B4DF8" w:rsidP="00A10A95">
            <w:pPr>
              <w:pStyle w:val="72TabletextTablesTableFigureBoxstyles"/>
            </w:pPr>
            <w:r w:rsidRPr="00C1603D">
              <w:t>1.028</w:t>
            </w:r>
          </w:p>
        </w:tc>
        <w:tc>
          <w:tcPr>
            <w:tcW w:w="0" w:type="auto"/>
            <w:shd w:val="clear" w:color="auto" w:fill="auto"/>
            <w:tcMar>
              <w:top w:w="15" w:type="dxa"/>
              <w:left w:w="15" w:type="dxa"/>
              <w:bottom w:w="0" w:type="dxa"/>
              <w:right w:w="15" w:type="dxa"/>
            </w:tcMar>
          </w:tcPr>
          <w:p w14:paraId="6C62A577" w14:textId="456D8E4D" w:rsidR="008B4DF8" w:rsidRPr="00C1603D" w:rsidRDefault="008B4DF8" w:rsidP="00A10A95">
            <w:pPr>
              <w:pStyle w:val="72TabletextTablesTableFigureBoxstyles"/>
            </w:pPr>
            <w:r w:rsidRPr="00C1603D">
              <w:t xml:space="preserve">1.040 </w:t>
            </w:r>
            <w:r w:rsidRPr="00C1603D">
              <w:rPr>
                <w:color w:val="00B0F0"/>
              </w:rPr>
              <w:t>(</w:t>
            </w:r>
            <w:r w:rsidRPr="00C1603D">
              <w:t>1.000</w:t>
            </w:r>
            <w:r w:rsidR="00590883" w:rsidRPr="00C1603D">
              <w:t>–</w:t>
            </w:r>
            <w:r w:rsidRPr="00C1603D">
              <w:t>1.077)</w:t>
            </w:r>
          </w:p>
        </w:tc>
        <w:tc>
          <w:tcPr>
            <w:tcW w:w="0" w:type="auto"/>
            <w:shd w:val="clear" w:color="auto" w:fill="auto"/>
            <w:tcMar>
              <w:top w:w="15" w:type="dxa"/>
              <w:left w:w="15" w:type="dxa"/>
              <w:bottom w:w="0" w:type="dxa"/>
              <w:right w:w="15" w:type="dxa"/>
            </w:tcMar>
          </w:tcPr>
          <w:p w14:paraId="1F72A5FE" w14:textId="77777777" w:rsidR="008B4DF8" w:rsidRPr="00C1603D" w:rsidRDefault="008B4DF8" w:rsidP="00A10A95">
            <w:pPr>
              <w:pStyle w:val="72TabletextTablesTableFigureBoxstyles"/>
            </w:pPr>
            <w:r w:rsidRPr="00C1603D">
              <w:t>1.054</w:t>
            </w:r>
          </w:p>
        </w:tc>
        <w:tc>
          <w:tcPr>
            <w:tcW w:w="0" w:type="auto"/>
            <w:shd w:val="clear" w:color="auto" w:fill="auto"/>
            <w:tcMar>
              <w:top w:w="15" w:type="dxa"/>
              <w:left w:w="15" w:type="dxa"/>
              <w:bottom w:w="0" w:type="dxa"/>
              <w:right w:w="15" w:type="dxa"/>
            </w:tcMar>
          </w:tcPr>
          <w:p w14:paraId="0C56BA26" w14:textId="77777777" w:rsidR="008B4DF8" w:rsidRPr="00C1603D" w:rsidRDefault="008B4DF8" w:rsidP="00A10A95">
            <w:pPr>
              <w:pStyle w:val="72TabletextTablesTableFigureBoxstyles"/>
            </w:pPr>
            <w:r w:rsidRPr="00C1603D">
              <w:t>2.797</w:t>
            </w:r>
          </w:p>
        </w:tc>
        <w:tc>
          <w:tcPr>
            <w:tcW w:w="0" w:type="auto"/>
            <w:shd w:val="clear" w:color="auto" w:fill="auto"/>
            <w:tcMar>
              <w:top w:w="15" w:type="dxa"/>
              <w:left w:w="15" w:type="dxa"/>
              <w:bottom w:w="0" w:type="dxa"/>
              <w:right w:w="15" w:type="dxa"/>
            </w:tcMar>
          </w:tcPr>
          <w:p w14:paraId="762FF21B" w14:textId="77777777" w:rsidR="008B4DF8" w:rsidRPr="00C1603D" w:rsidRDefault="008B4DF8" w:rsidP="00A10A95">
            <w:pPr>
              <w:pStyle w:val="72TabletextTablesTableFigureBoxstyles"/>
            </w:pPr>
            <w:r w:rsidRPr="00C1603D">
              <w:t>2.869</w:t>
            </w:r>
          </w:p>
        </w:tc>
        <w:tc>
          <w:tcPr>
            <w:tcW w:w="0" w:type="auto"/>
            <w:shd w:val="clear" w:color="auto" w:fill="auto"/>
            <w:tcMar>
              <w:top w:w="15" w:type="dxa"/>
              <w:left w:w="15" w:type="dxa"/>
              <w:bottom w:w="0" w:type="dxa"/>
              <w:right w:w="15" w:type="dxa"/>
            </w:tcMar>
          </w:tcPr>
          <w:p w14:paraId="2867FFC1" w14:textId="77777777" w:rsidR="008B4DF8" w:rsidRPr="00C1603D" w:rsidRDefault="008B4DF8" w:rsidP="00A10A95">
            <w:pPr>
              <w:pStyle w:val="72TabletextTablesTableFigureBoxstyles"/>
            </w:pPr>
            <w:r w:rsidRPr="00C1603D">
              <w:t>1.158</w:t>
            </w:r>
          </w:p>
        </w:tc>
        <w:tc>
          <w:tcPr>
            <w:tcW w:w="0" w:type="auto"/>
            <w:shd w:val="clear" w:color="auto" w:fill="auto"/>
            <w:tcMar>
              <w:top w:w="15" w:type="dxa"/>
              <w:left w:w="15" w:type="dxa"/>
              <w:bottom w:w="0" w:type="dxa"/>
              <w:right w:w="15" w:type="dxa"/>
            </w:tcMar>
          </w:tcPr>
          <w:p w14:paraId="38CB5206" w14:textId="77777777" w:rsidR="008B4DF8" w:rsidRPr="00C1603D" w:rsidRDefault="008B4DF8" w:rsidP="00A10A95">
            <w:pPr>
              <w:pStyle w:val="72TabletextTablesTableFigureBoxstyles"/>
            </w:pPr>
            <w:r w:rsidRPr="00C1603D">
              <w:t>3.184</w:t>
            </w:r>
          </w:p>
        </w:tc>
      </w:tr>
      <w:tr w:rsidR="00A10A95" w:rsidRPr="00C1603D" w14:paraId="51558561" w14:textId="77777777" w:rsidTr="00A10A95">
        <w:trPr>
          <w:cantSplit/>
        </w:trPr>
        <w:tc>
          <w:tcPr>
            <w:tcW w:w="0" w:type="auto"/>
            <w:shd w:val="clear" w:color="auto" w:fill="auto"/>
            <w:tcMar>
              <w:top w:w="15" w:type="dxa"/>
              <w:left w:w="15" w:type="dxa"/>
              <w:bottom w:w="0" w:type="dxa"/>
              <w:right w:w="15" w:type="dxa"/>
            </w:tcMar>
          </w:tcPr>
          <w:p w14:paraId="5BE785E8" w14:textId="77777777" w:rsidR="008B4DF8" w:rsidRPr="00C1603D" w:rsidRDefault="008B4DF8" w:rsidP="00A10A95">
            <w:pPr>
              <w:pStyle w:val="72TabletextTablesTableFigureBoxstyles"/>
            </w:pPr>
            <w:r w:rsidRPr="00C1603D">
              <w:t>Weight loss</w:t>
            </w:r>
          </w:p>
        </w:tc>
        <w:tc>
          <w:tcPr>
            <w:tcW w:w="0" w:type="auto"/>
            <w:shd w:val="clear" w:color="auto" w:fill="auto"/>
            <w:tcMar>
              <w:top w:w="15" w:type="dxa"/>
              <w:left w:w="15" w:type="dxa"/>
              <w:bottom w:w="0" w:type="dxa"/>
              <w:right w:w="15" w:type="dxa"/>
            </w:tcMar>
          </w:tcPr>
          <w:p w14:paraId="5C090A65" w14:textId="77777777" w:rsidR="008B4DF8" w:rsidRPr="00C1603D" w:rsidRDefault="008B4DF8" w:rsidP="00A10A95">
            <w:pPr>
              <w:pStyle w:val="72TabletextTablesTableFigureBoxstyles"/>
            </w:pPr>
            <w:r w:rsidRPr="00C1603D">
              <w:t>0.910</w:t>
            </w:r>
          </w:p>
        </w:tc>
        <w:tc>
          <w:tcPr>
            <w:tcW w:w="0" w:type="auto"/>
            <w:shd w:val="clear" w:color="auto" w:fill="auto"/>
            <w:tcMar>
              <w:top w:w="15" w:type="dxa"/>
              <w:left w:w="15" w:type="dxa"/>
              <w:bottom w:w="0" w:type="dxa"/>
              <w:right w:w="15" w:type="dxa"/>
            </w:tcMar>
          </w:tcPr>
          <w:p w14:paraId="61E09ADB" w14:textId="6AC7D8E2" w:rsidR="008B4DF8" w:rsidRPr="00C1603D" w:rsidRDefault="008B4DF8" w:rsidP="00A10A95">
            <w:pPr>
              <w:pStyle w:val="72TabletextTablesTableFigureBoxstyles"/>
            </w:pPr>
            <w:r w:rsidRPr="00C1603D">
              <w:t xml:space="preserve">0.895 </w:t>
            </w:r>
            <w:r w:rsidRPr="00C1603D">
              <w:rPr>
                <w:color w:val="00B0F0"/>
              </w:rPr>
              <w:t>(</w:t>
            </w:r>
            <w:r w:rsidRPr="00C1603D">
              <w:t>0.848</w:t>
            </w:r>
            <w:r w:rsidR="00590883" w:rsidRPr="00C1603D">
              <w:t>–</w:t>
            </w:r>
            <w:r w:rsidRPr="00C1603D">
              <w:t>0.950)</w:t>
            </w:r>
          </w:p>
        </w:tc>
        <w:tc>
          <w:tcPr>
            <w:tcW w:w="0" w:type="auto"/>
            <w:shd w:val="clear" w:color="auto" w:fill="auto"/>
            <w:tcMar>
              <w:top w:w="15" w:type="dxa"/>
              <w:left w:w="15" w:type="dxa"/>
              <w:bottom w:w="0" w:type="dxa"/>
              <w:right w:w="15" w:type="dxa"/>
            </w:tcMar>
          </w:tcPr>
          <w:p w14:paraId="00A1BF6B" w14:textId="77777777" w:rsidR="008B4DF8" w:rsidRPr="00C1603D" w:rsidRDefault="008B4DF8" w:rsidP="00A10A95">
            <w:pPr>
              <w:pStyle w:val="72TabletextTablesTableFigureBoxstyles"/>
            </w:pPr>
            <w:r w:rsidRPr="00C1603D">
              <w:t>0.929</w:t>
            </w:r>
          </w:p>
        </w:tc>
        <w:tc>
          <w:tcPr>
            <w:tcW w:w="0" w:type="auto"/>
            <w:shd w:val="clear" w:color="auto" w:fill="auto"/>
            <w:tcMar>
              <w:top w:w="15" w:type="dxa"/>
              <w:left w:w="15" w:type="dxa"/>
              <w:bottom w:w="0" w:type="dxa"/>
              <w:right w:w="15" w:type="dxa"/>
            </w:tcMar>
          </w:tcPr>
          <w:p w14:paraId="58392903" w14:textId="77777777" w:rsidR="008B4DF8" w:rsidRPr="00C1603D" w:rsidRDefault="008B4DF8" w:rsidP="00A10A95">
            <w:pPr>
              <w:pStyle w:val="72TabletextTablesTableFigureBoxstyles"/>
            </w:pPr>
            <w:r w:rsidRPr="00C1603D">
              <w:t>2.485</w:t>
            </w:r>
          </w:p>
        </w:tc>
        <w:tc>
          <w:tcPr>
            <w:tcW w:w="0" w:type="auto"/>
            <w:shd w:val="clear" w:color="auto" w:fill="auto"/>
            <w:tcMar>
              <w:top w:w="15" w:type="dxa"/>
              <w:left w:w="15" w:type="dxa"/>
              <w:bottom w:w="0" w:type="dxa"/>
              <w:right w:w="15" w:type="dxa"/>
            </w:tcMar>
          </w:tcPr>
          <w:p w14:paraId="23E73A53" w14:textId="77777777" w:rsidR="008B4DF8" w:rsidRPr="00C1603D" w:rsidRDefault="008B4DF8" w:rsidP="00A10A95">
            <w:pPr>
              <w:pStyle w:val="72TabletextTablesTableFigureBoxstyles"/>
            </w:pPr>
            <w:r w:rsidRPr="00C1603D">
              <w:t>2.533</w:t>
            </w:r>
          </w:p>
        </w:tc>
        <w:tc>
          <w:tcPr>
            <w:tcW w:w="0" w:type="auto"/>
            <w:shd w:val="clear" w:color="auto" w:fill="auto"/>
            <w:tcMar>
              <w:top w:w="15" w:type="dxa"/>
              <w:left w:w="15" w:type="dxa"/>
              <w:bottom w:w="0" w:type="dxa"/>
              <w:right w:w="15" w:type="dxa"/>
            </w:tcMar>
          </w:tcPr>
          <w:p w14:paraId="78B5461C" w14:textId="77777777" w:rsidR="008B4DF8" w:rsidRPr="00C1603D" w:rsidRDefault="008B4DF8" w:rsidP="00A10A95">
            <w:pPr>
              <w:pStyle w:val="72TabletextTablesTableFigureBoxstyles"/>
            </w:pPr>
            <w:r w:rsidRPr="00C1603D">
              <w:t>1.463</w:t>
            </w:r>
          </w:p>
        </w:tc>
        <w:tc>
          <w:tcPr>
            <w:tcW w:w="0" w:type="auto"/>
            <w:shd w:val="clear" w:color="auto" w:fill="auto"/>
            <w:tcMar>
              <w:top w:w="15" w:type="dxa"/>
              <w:left w:w="15" w:type="dxa"/>
              <w:bottom w:w="0" w:type="dxa"/>
              <w:right w:w="15" w:type="dxa"/>
            </w:tcMar>
          </w:tcPr>
          <w:p w14:paraId="5D4F96B5" w14:textId="77777777" w:rsidR="008B4DF8" w:rsidRPr="00C1603D" w:rsidRDefault="008B4DF8" w:rsidP="00A10A95">
            <w:pPr>
              <w:pStyle w:val="72TabletextTablesTableFigureBoxstyles"/>
            </w:pPr>
            <w:r w:rsidRPr="00C1603D">
              <w:t>4.319</w:t>
            </w:r>
          </w:p>
        </w:tc>
      </w:tr>
      <w:tr w:rsidR="00A10A95" w:rsidRPr="00C1603D" w14:paraId="175EF173" w14:textId="77777777" w:rsidTr="00A10A95">
        <w:trPr>
          <w:cantSplit/>
        </w:trPr>
        <w:tc>
          <w:tcPr>
            <w:tcW w:w="0" w:type="auto"/>
            <w:shd w:val="clear" w:color="auto" w:fill="auto"/>
            <w:tcMar>
              <w:top w:w="15" w:type="dxa"/>
              <w:left w:w="15" w:type="dxa"/>
              <w:bottom w:w="0" w:type="dxa"/>
              <w:right w:w="15" w:type="dxa"/>
            </w:tcMar>
          </w:tcPr>
          <w:p w14:paraId="58EABC18" w14:textId="77777777" w:rsidR="008B4DF8" w:rsidRPr="00C1603D" w:rsidRDefault="008B4DF8" w:rsidP="00A10A95">
            <w:pPr>
              <w:pStyle w:val="72TabletextTablesTableFigureBoxstyles"/>
            </w:pPr>
            <w:r w:rsidRPr="00C1603D">
              <w:t>Mouth ulcers (count 1 year)</w:t>
            </w:r>
          </w:p>
        </w:tc>
        <w:tc>
          <w:tcPr>
            <w:tcW w:w="0" w:type="auto"/>
            <w:shd w:val="clear" w:color="auto" w:fill="auto"/>
            <w:tcMar>
              <w:top w:w="15" w:type="dxa"/>
              <w:left w:w="15" w:type="dxa"/>
              <w:bottom w:w="0" w:type="dxa"/>
              <w:right w:w="15" w:type="dxa"/>
            </w:tcMar>
          </w:tcPr>
          <w:p w14:paraId="403EC71A" w14:textId="77777777" w:rsidR="008B4DF8" w:rsidRPr="00C1603D" w:rsidRDefault="008B4DF8" w:rsidP="00A10A95">
            <w:pPr>
              <w:pStyle w:val="72TabletextTablesTableFigureBoxstyles"/>
            </w:pPr>
            <w:r w:rsidRPr="00C1603D">
              <w:t>0.857</w:t>
            </w:r>
          </w:p>
        </w:tc>
        <w:tc>
          <w:tcPr>
            <w:tcW w:w="0" w:type="auto"/>
            <w:shd w:val="clear" w:color="auto" w:fill="auto"/>
            <w:tcMar>
              <w:top w:w="15" w:type="dxa"/>
              <w:left w:w="15" w:type="dxa"/>
              <w:bottom w:w="0" w:type="dxa"/>
              <w:right w:w="15" w:type="dxa"/>
            </w:tcMar>
          </w:tcPr>
          <w:p w14:paraId="4368F6E1" w14:textId="7912047A" w:rsidR="008B4DF8" w:rsidRPr="00C1603D" w:rsidRDefault="008B4DF8" w:rsidP="00A10A95">
            <w:pPr>
              <w:pStyle w:val="72TabletextTablesTableFigureBoxstyles"/>
            </w:pPr>
            <w:r w:rsidRPr="00C1603D">
              <w:t xml:space="preserve">0.841 </w:t>
            </w:r>
            <w:r w:rsidRPr="00C1603D">
              <w:rPr>
                <w:color w:val="00B0F0"/>
              </w:rPr>
              <w:t>(</w:t>
            </w:r>
            <w:r w:rsidRPr="00C1603D">
              <w:t>0.767</w:t>
            </w:r>
            <w:r w:rsidR="00590883" w:rsidRPr="00C1603D">
              <w:t>–</w:t>
            </w:r>
            <w:r w:rsidRPr="00C1603D">
              <w:t>0.907)</w:t>
            </w:r>
          </w:p>
        </w:tc>
        <w:tc>
          <w:tcPr>
            <w:tcW w:w="0" w:type="auto"/>
            <w:shd w:val="clear" w:color="auto" w:fill="auto"/>
            <w:tcMar>
              <w:top w:w="15" w:type="dxa"/>
              <w:left w:w="15" w:type="dxa"/>
              <w:bottom w:w="0" w:type="dxa"/>
              <w:right w:w="15" w:type="dxa"/>
            </w:tcMar>
          </w:tcPr>
          <w:p w14:paraId="2CD3E5B0" w14:textId="77777777" w:rsidR="008B4DF8" w:rsidRPr="00C1603D" w:rsidRDefault="008B4DF8" w:rsidP="00A10A95">
            <w:pPr>
              <w:pStyle w:val="72TabletextTablesTableFigureBoxstyles"/>
            </w:pPr>
            <w:r w:rsidRPr="00C1603D">
              <w:t>0.886</w:t>
            </w:r>
          </w:p>
        </w:tc>
        <w:tc>
          <w:tcPr>
            <w:tcW w:w="0" w:type="auto"/>
            <w:shd w:val="clear" w:color="auto" w:fill="auto"/>
            <w:tcMar>
              <w:top w:w="15" w:type="dxa"/>
              <w:left w:w="15" w:type="dxa"/>
              <w:bottom w:w="0" w:type="dxa"/>
              <w:right w:w="15" w:type="dxa"/>
            </w:tcMar>
          </w:tcPr>
          <w:p w14:paraId="581F6382" w14:textId="77777777" w:rsidR="008B4DF8" w:rsidRPr="00C1603D" w:rsidRDefault="008B4DF8" w:rsidP="00A10A95">
            <w:pPr>
              <w:pStyle w:val="72TabletextTablesTableFigureBoxstyles"/>
            </w:pPr>
            <w:r w:rsidRPr="00C1603D">
              <w:t>2.357</w:t>
            </w:r>
          </w:p>
        </w:tc>
        <w:tc>
          <w:tcPr>
            <w:tcW w:w="0" w:type="auto"/>
            <w:shd w:val="clear" w:color="auto" w:fill="auto"/>
            <w:tcMar>
              <w:top w:w="15" w:type="dxa"/>
              <w:left w:w="15" w:type="dxa"/>
              <w:bottom w:w="0" w:type="dxa"/>
              <w:right w:w="15" w:type="dxa"/>
            </w:tcMar>
          </w:tcPr>
          <w:p w14:paraId="47395282" w14:textId="77777777" w:rsidR="008B4DF8" w:rsidRPr="00C1603D" w:rsidRDefault="008B4DF8" w:rsidP="00A10A95">
            <w:pPr>
              <w:pStyle w:val="72TabletextTablesTableFigureBoxstyles"/>
            </w:pPr>
            <w:r w:rsidRPr="00C1603D">
              <w:t>2.425</w:t>
            </w:r>
          </w:p>
        </w:tc>
        <w:tc>
          <w:tcPr>
            <w:tcW w:w="0" w:type="auto"/>
            <w:shd w:val="clear" w:color="auto" w:fill="auto"/>
            <w:tcMar>
              <w:top w:w="15" w:type="dxa"/>
              <w:left w:w="15" w:type="dxa"/>
              <w:bottom w:w="0" w:type="dxa"/>
              <w:right w:w="15" w:type="dxa"/>
            </w:tcMar>
          </w:tcPr>
          <w:p w14:paraId="7D1F2EB9" w14:textId="77777777" w:rsidR="008B4DF8" w:rsidRPr="00C1603D" w:rsidRDefault="008B4DF8" w:rsidP="00A10A95">
            <w:pPr>
              <w:pStyle w:val="72TabletextTablesTableFigureBoxstyles"/>
            </w:pPr>
            <w:r w:rsidRPr="00C1603D">
              <w:t>1.196</w:t>
            </w:r>
          </w:p>
        </w:tc>
        <w:tc>
          <w:tcPr>
            <w:tcW w:w="0" w:type="auto"/>
            <w:shd w:val="clear" w:color="auto" w:fill="auto"/>
            <w:tcMar>
              <w:top w:w="15" w:type="dxa"/>
              <w:left w:w="15" w:type="dxa"/>
              <w:bottom w:w="0" w:type="dxa"/>
              <w:right w:w="15" w:type="dxa"/>
            </w:tcMar>
          </w:tcPr>
          <w:p w14:paraId="305065D2" w14:textId="77777777" w:rsidR="008B4DF8" w:rsidRPr="00C1603D" w:rsidRDefault="008B4DF8" w:rsidP="00A10A95">
            <w:pPr>
              <w:pStyle w:val="72TabletextTablesTableFigureBoxstyles"/>
            </w:pPr>
            <w:r w:rsidRPr="00C1603D">
              <w:t>3.307</w:t>
            </w:r>
          </w:p>
        </w:tc>
      </w:tr>
      <w:tr w:rsidR="00A10A95" w:rsidRPr="00C1603D" w14:paraId="46E8F398" w14:textId="77777777" w:rsidTr="00A10A95">
        <w:trPr>
          <w:cantSplit/>
        </w:trPr>
        <w:tc>
          <w:tcPr>
            <w:tcW w:w="0" w:type="auto"/>
            <w:shd w:val="clear" w:color="auto" w:fill="auto"/>
            <w:tcMar>
              <w:top w:w="15" w:type="dxa"/>
              <w:left w:w="15" w:type="dxa"/>
              <w:bottom w:w="0" w:type="dxa"/>
              <w:right w:w="15" w:type="dxa"/>
            </w:tcMar>
          </w:tcPr>
          <w:p w14:paraId="3061792F" w14:textId="77777777" w:rsidR="008B4DF8" w:rsidRPr="00C1603D" w:rsidRDefault="008B4DF8" w:rsidP="00A10A95">
            <w:pPr>
              <w:pStyle w:val="72TabletextTablesTableFigureBoxstyles"/>
            </w:pPr>
            <w:r w:rsidRPr="00C1603D">
              <w:t>Systemic lupus erythematosus</w:t>
            </w:r>
          </w:p>
        </w:tc>
        <w:tc>
          <w:tcPr>
            <w:tcW w:w="0" w:type="auto"/>
            <w:shd w:val="clear" w:color="auto" w:fill="auto"/>
            <w:tcMar>
              <w:top w:w="15" w:type="dxa"/>
              <w:left w:w="15" w:type="dxa"/>
              <w:bottom w:w="0" w:type="dxa"/>
              <w:right w:w="15" w:type="dxa"/>
            </w:tcMar>
          </w:tcPr>
          <w:p w14:paraId="2672C097" w14:textId="77777777" w:rsidR="008B4DF8" w:rsidRPr="00C1603D" w:rsidRDefault="008B4DF8" w:rsidP="00A10A95">
            <w:pPr>
              <w:pStyle w:val="72TabletextTablesTableFigureBoxstyles"/>
            </w:pPr>
            <w:r w:rsidRPr="00C1603D">
              <w:t>0.699</w:t>
            </w:r>
          </w:p>
        </w:tc>
        <w:tc>
          <w:tcPr>
            <w:tcW w:w="0" w:type="auto"/>
            <w:shd w:val="clear" w:color="auto" w:fill="auto"/>
            <w:tcMar>
              <w:top w:w="15" w:type="dxa"/>
              <w:left w:w="15" w:type="dxa"/>
              <w:bottom w:w="0" w:type="dxa"/>
              <w:right w:w="15" w:type="dxa"/>
            </w:tcMar>
          </w:tcPr>
          <w:p w14:paraId="1B532365" w14:textId="71419E1E" w:rsidR="008B4DF8" w:rsidRPr="00C1603D" w:rsidRDefault="008B4DF8" w:rsidP="00A10A95">
            <w:pPr>
              <w:pStyle w:val="72TabletextTablesTableFigureBoxstyles"/>
            </w:pPr>
            <w:r w:rsidRPr="00C1603D">
              <w:t xml:space="preserve">0.698 </w:t>
            </w:r>
            <w:r w:rsidRPr="00C1603D">
              <w:rPr>
                <w:color w:val="00B0F0"/>
              </w:rPr>
              <w:t>(</w:t>
            </w:r>
            <w:r w:rsidRPr="00C1603D">
              <w:t>0.532</w:t>
            </w:r>
            <w:r w:rsidR="00590883" w:rsidRPr="00C1603D">
              <w:t>–</w:t>
            </w:r>
            <w:r w:rsidRPr="00C1603D">
              <w:t>0.856)</w:t>
            </w:r>
          </w:p>
        </w:tc>
        <w:tc>
          <w:tcPr>
            <w:tcW w:w="0" w:type="auto"/>
            <w:shd w:val="clear" w:color="auto" w:fill="auto"/>
            <w:tcMar>
              <w:top w:w="15" w:type="dxa"/>
              <w:left w:w="15" w:type="dxa"/>
              <w:bottom w:w="0" w:type="dxa"/>
              <w:right w:w="15" w:type="dxa"/>
            </w:tcMar>
          </w:tcPr>
          <w:p w14:paraId="5F81988E" w14:textId="77777777" w:rsidR="008B4DF8" w:rsidRPr="00C1603D" w:rsidRDefault="008B4DF8" w:rsidP="00A10A95">
            <w:pPr>
              <w:pStyle w:val="72TabletextTablesTableFigureBoxstyles"/>
            </w:pPr>
            <w:r w:rsidRPr="00C1603D">
              <w:t>0.737</w:t>
            </w:r>
          </w:p>
        </w:tc>
        <w:tc>
          <w:tcPr>
            <w:tcW w:w="0" w:type="auto"/>
            <w:shd w:val="clear" w:color="auto" w:fill="auto"/>
            <w:tcMar>
              <w:top w:w="15" w:type="dxa"/>
              <w:left w:w="15" w:type="dxa"/>
              <w:bottom w:w="0" w:type="dxa"/>
              <w:right w:w="15" w:type="dxa"/>
            </w:tcMar>
          </w:tcPr>
          <w:p w14:paraId="09C668A4" w14:textId="77777777" w:rsidR="008B4DF8" w:rsidRPr="00C1603D" w:rsidRDefault="008B4DF8" w:rsidP="00A10A95">
            <w:pPr>
              <w:pStyle w:val="72TabletextTablesTableFigureBoxstyles"/>
            </w:pPr>
            <w:r w:rsidRPr="00C1603D">
              <w:t>2.011</w:t>
            </w:r>
          </w:p>
        </w:tc>
        <w:tc>
          <w:tcPr>
            <w:tcW w:w="0" w:type="auto"/>
            <w:shd w:val="clear" w:color="auto" w:fill="auto"/>
            <w:tcMar>
              <w:top w:w="15" w:type="dxa"/>
              <w:left w:w="15" w:type="dxa"/>
              <w:bottom w:w="0" w:type="dxa"/>
              <w:right w:w="15" w:type="dxa"/>
            </w:tcMar>
          </w:tcPr>
          <w:p w14:paraId="1BA90205" w14:textId="77777777" w:rsidR="008B4DF8" w:rsidRPr="00C1603D" w:rsidRDefault="008B4DF8" w:rsidP="00A10A95">
            <w:pPr>
              <w:pStyle w:val="72TabletextTablesTableFigureBoxstyles"/>
            </w:pPr>
            <w:r w:rsidRPr="00C1603D">
              <w:t>2.090</w:t>
            </w:r>
          </w:p>
        </w:tc>
        <w:tc>
          <w:tcPr>
            <w:tcW w:w="0" w:type="auto"/>
            <w:shd w:val="clear" w:color="auto" w:fill="auto"/>
            <w:tcMar>
              <w:top w:w="15" w:type="dxa"/>
              <w:left w:w="15" w:type="dxa"/>
              <w:bottom w:w="0" w:type="dxa"/>
              <w:right w:w="15" w:type="dxa"/>
            </w:tcMar>
          </w:tcPr>
          <w:p w14:paraId="3DBF3443" w14:textId="77777777" w:rsidR="008B4DF8" w:rsidRPr="00C1603D" w:rsidRDefault="008B4DF8" w:rsidP="00A10A95">
            <w:pPr>
              <w:pStyle w:val="72TabletextTablesTableFigureBoxstyles"/>
            </w:pPr>
            <w:r w:rsidRPr="00C1603D">
              <w:t>1.077</w:t>
            </w:r>
          </w:p>
        </w:tc>
        <w:tc>
          <w:tcPr>
            <w:tcW w:w="0" w:type="auto"/>
            <w:shd w:val="clear" w:color="auto" w:fill="auto"/>
            <w:tcMar>
              <w:top w:w="15" w:type="dxa"/>
              <w:left w:w="15" w:type="dxa"/>
              <w:bottom w:w="0" w:type="dxa"/>
              <w:right w:w="15" w:type="dxa"/>
            </w:tcMar>
          </w:tcPr>
          <w:p w14:paraId="6B44BBE3" w14:textId="77777777" w:rsidR="008B4DF8" w:rsidRPr="00C1603D" w:rsidRDefault="008B4DF8" w:rsidP="00A10A95">
            <w:pPr>
              <w:pStyle w:val="72TabletextTablesTableFigureBoxstyles"/>
            </w:pPr>
            <w:r w:rsidRPr="00C1603D">
              <w:t>2.936</w:t>
            </w:r>
          </w:p>
        </w:tc>
      </w:tr>
      <w:tr w:rsidR="00A10A95" w:rsidRPr="00C1603D" w14:paraId="6D2B56C0" w14:textId="77777777" w:rsidTr="00A10A95">
        <w:trPr>
          <w:cantSplit/>
        </w:trPr>
        <w:tc>
          <w:tcPr>
            <w:tcW w:w="0" w:type="auto"/>
            <w:shd w:val="clear" w:color="auto" w:fill="auto"/>
            <w:tcMar>
              <w:top w:w="15" w:type="dxa"/>
              <w:left w:w="15" w:type="dxa"/>
              <w:bottom w:w="0" w:type="dxa"/>
              <w:right w:w="15" w:type="dxa"/>
            </w:tcMar>
          </w:tcPr>
          <w:p w14:paraId="71D5D912" w14:textId="77777777" w:rsidR="008B4DF8" w:rsidRPr="00C1603D" w:rsidRDefault="008B4DF8" w:rsidP="00A10A95">
            <w:pPr>
              <w:pStyle w:val="72TabletextTablesTableFigureBoxstyles"/>
            </w:pPr>
            <w:r w:rsidRPr="00C1603D">
              <w:t>GI symptoms (count 1 year)</w:t>
            </w:r>
          </w:p>
        </w:tc>
        <w:tc>
          <w:tcPr>
            <w:tcW w:w="0" w:type="auto"/>
            <w:shd w:val="clear" w:color="auto" w:fill="auto"/>
            <w:tcMar>
              <w:top w:w="15" w:type="dxa"/>
              <w:left w:w="15" w:type="dxa"/>
              <w:bottom w:w="0" w:type="dxa"/>
              <w:right w:w="15" w:type="dxa"/>
            </w:tcMar>
          </w:tcPr>
          <w:p w14:paraId="33F572FD" w14:textId="77777777" w:rsidR="008B4DF8" w:rsidRPr="00C1603D" w:rsidRDefault="008B4DF8" w:rsidP="00A10A95">
            <w:pPr>
              <w:pStyle w:val="72TabletextTablesTableFigureBoxstyles"/>
            </w:pPr>
            <w:r w:rsidRPr="00C1603D">
              <w:t>0.604</w:t>
            </w:r>
          </w:p>
        </w:tc>
        <w:tc>
          <w:tcPr>
            <w:tcW w:w="0" w:type="auto"/>
            <w:shd w:val="clear" w:color="auto" w:fill="auto"/>
            <w:tcMar>
              <w:top w:w="15" w:type="dxa"/>
              <w:left w:w="15" w:type="dxa"/>
              <w:bottom w:w="0" w:type="dxa"/>
              <w:right w:w="15" w:type="dxa"/>
            </w:tcMar>
          </w:tcPr>
          <w:p w14:paraId="6A4919AB" w14:textId="481517EA" w:rsidR="008B4DF8" w:rsidRPr="00C1603D" w:rsidRDefault="008B4DF8" w:rsidP="00A10A95">
            <w:pPr>
              <w:pStyle w:val="72TabletextTablesTableFigureBoxstyles"/>
            </w:pPr>
            <w:r w:rsidRPr="00C1603D">
              <w:t xml:space="preserve">0.604 </w:t>
            </w:r>
            <w:r w:rsidRPr="00C1603D">
              <w:rPr>
                <w:color w:val="00B0F0"/>
              </w:rPr>
              <w:t>(</w:t>
            </w:r>
            <w:r w:rsidRPr="00C1603D">
              <w:t>0.594</w:t>
            </w:r>
            <w:r w:rsidR="00590883" w:rsidRPr="00C1603D">
              <w:t>–</w:t>
            </w:r>
            <w:r w:rsidRPr="00C1603D">
              <w:t>0.615)</w:t>
            </w:r>
          </w:p>
        </w:tc>
        <w:tc>
          <w:tcPr>
            <w:tcW w:w="0" w:type="auto"/>
            <w:shd w:val="clear" w:color="auto" w:fill="auto"/>
            <w:tcMar>
              <w:top w:w="15" w:type="dxa"/>
              <w:left w:w="15" w:type="dxa"/>
              <w:bottom w:w="0" w:type="dxa"/>
              <w:right w:w="15" w:type="dxa"/>
            </w:tcMar>
          </w:tcPr>
          <w:p w14:paraId="116A9316" w14:textId="77777777" w:rsidR="008B4DF8" w:rsidRPr="00C1603D" w:rsidRDefault="008B4DF8" w:rsidP="00A10A95">
            <w:pPr>
              <w:pStyle w:val="72TabletextTablesTableFigureBoxstyles"/>
            </w:pPr>
            <w:r w:rsidRPr="00C1603D">
              <w:t>0.616</w:t>
            </w:r>
          </w:p>
        </w:tc>
        <w:tc>
          <w:tcPr>
            <w:tcW w:w="0" w:type="auto"/>
            <w:shd w:val="clear" w:color="auto" w:fill="auto"/>
            <w:tcMar>
              <w:top w:w="15" w:type="dxa"/>
              <w:left w:w="15" w:type="dxa"/>
              <w:bottom w:w="0" w:type="dxa"/>
              <w:right w:w="15" w:type="dxa"/>
            </w:tcMar>
          </w:tcPr>
          <w:p w14:paraId="40995DED" w14:textId="77777777" w:rsidR="008B4DF8" w:rsidRPr="00C1603D" w:rsidRDefault="008B4DF8" w:rsidP="00A10A95">
            <w:pPr>
              <w:pStyle w:val="72TabletextTablesTableFigureBoxstyles"/>
            </w:pPr>
            <w:r w:rsidRPr="00C1603D">
              <w:t>1.829</w:t>
            </w:r>
          </w:p>
        </w:tc>
        <w:tc>
          <w:tcPr>
            <w:tcW w:w="0" w:type="auto"/>
            <w:shd w:val="clear" w:color="auto" w:fill="auto"/>
            <w:tcMar>
              <w:top w:w="15" w:type="dxa"/>
              <w:left w:w="15" w:type="dxa"/>
              <w:bottom w:w="0" w:type="dxa"/>
              <w:right w:w="15" w:type="dxa"/>
            </w:tcMar>
          </w:tcPr>
          <w:p w14:paraId="56B52A02" w14:textId="77777777" w:rsidR="008B4DF8" w:rsidRPr="00C1603D" w:rsidRDefault="008B4DF8" w:rsidP="00A10A95">
            <w:pPr>
              <w:pStyle w:val="72TabletextTablesTableFigureBoxstyles"/>
            </w:pPr>
            <w:r w:rsidRPr="00C1603D">
              <w:t>1.852</w:t>
            </w:r>
          </w:p>
        </w:tc>
        <w:tc>
          <w:tcPr>
            <w:tcW w:w="0" w:type="auto"/>
            <w:shd w:val="clear" w:color="auto" w:fill="auto"/>
            <w:tcMar>
              <w:top w:w="15" w:type="dxa"/>
              <w:left w:w="15" w:type="dxa"/>
              <w:bottom w:w="0" w:type="dxa"/>
              <w:right w:w="15" w:type="dxa"/>
            </w:tcMar>
          </w:tcPr>
          <w:p w14:paraId="7F19718E" w14:textId="77777777" w:rsidR="008B4DF8" w:rsidRPr="00C1603D" w:rsidRDefault="008B4DF8" w:rsidP="00A10A95">
            <w:pPr>
              <w:pStyle w:val="72TabletextTablesTableFigureBoxstyles"/>
            </w:pPr>
            <w:r w:rsidRPr="00C1603D">
              <w:t>0.760</w:t>
            </w:r>
          </w:p>
        </w:tc>
        <w:tc>
          <w:tcPr>
            <w:tcW w:w="0" w:type="auto"/>
            <w:shd w:val="clear" w:color="auto" w:fill="auto"/>
            <w:tcMar>
              <w:top w:w="15" w:type="dxa"/>
              <w:left w:w="15" w:type="dxa"/>
              <w:bottom w:w="0" w:type="dxa"/>
              <w:right w:w="15" w:type="dxa"/>
            </w:tcMar>
          </w:tcPr>
          <w:p w14:paraId="0E2644D5" w14:textId="77777777" w:rsidR="008B4DF8" w:rsidRPr="00C1603D" w:rsidRDefault="008B4DF8" w:rsidP="00A10A95">
            <w:pPr>
              <w:pStyle w:val="72TabletextTablesTableFigureBoxstyles"/>
            </w:pPr>
            <w:r w:rsidRPr="00C1603D">
              <w:t>2.138</w:t>
            </w:r>
          </w:p>
        </w:tc>
      </w:tr>
      <w:tr w:rsidR="00A10A95" w:rsidRPr="00C1603D" w14:paraId="0AE5B441" w14:textId="77777777" w:rsidTr="00A10A95">
        <w:trPr>
          <w:cantSplit/>
        </w:trPr>
        <w:tc>
          <w:tcPr>
            <w:tcW w:w="0" w:type="auto"/>
            <w:shd w:val="clear" w:color="auto" w:fill="auto"/>
            <w:tcMar>
              <w:top w:w="15" w:type="dxa"/>
              <w:left w:w="15" w:type="dxa"/>
              <w:bottom w:w="0" w:type="dxa"/>
              <w:right w:w="15" w:type="dxa"/>
            </w:tcMar>
          </w:tcPr>
          <w:p w14:paraId="32ABE682" w14:textId="77777777" w:rsidR="008B4DF8" w:rsidRPr="00C1603D" w:rsidRDefault="008B4DF8" w:rsidP="00A10A95">
            <w:pPr>
              <w:pStyle w:val="72TabletextTablesTableFigureBoxstyles"/>
            </w:pPr>
            <w:r w:rsidRPr="00C1603D">
              <w:t>Thyroid disorders</w:t>
            </w:r>
          </w:p>
        </w:tc>
        <w:tc>
          <w:tcPr>
            <w:tcW w:w="0" w:type="auto"/>
            <w:shd w:val="clear" w:color="auto" w:fill="auto"/>
            <w:tcMar>
              <w:top w:w="15" w:type="dxa"/>
              <w:left w:w="15" w:type="dxa"/>
              <w:bottom w:w="0" w:type="dxa"/>
              <w:right w:w="15" w:type="dxa"/>
            </w:tcMar>
          </w:tcPr>
          <w:p w14:paraId="07B6CC4B" w14:textId="77777777" w:rsidR="008B4DF8" w:rsidRPr="00C1603D" w:rsidRDefault="008B4DF8" w:rsidP="00A10A95">
            <w:pPr>
              <w:pStyle w:val="72TabletextTablesTableFigureBoxstyles"/>
            </w:pPr>
            <w:r w:rsidRPr="00C1603D">
              <w:t>0.599</w:t>
            </w:r>
          </w:p>
        </w:tc>
        <w:tc>
          <w:tcPr>
            <w:tcW w:w="0" w:type="auto"/>
            <w:shd w:val="clear" w:color="auto" w:fill="auto"/>
            <w:tcMar>
              <w:top w:w="15" w:type="dxa"/>
              <w:left w:w="15" w:type="dxa"/>
              <w:bottom w:w="0" w:type="dxa"/>
              <w:right w:w="15" w:type="dxa"/>
            </w:tcMar>
          </w:tcPr>
          <w:p w14:paraId="0AC7FC2B" w14:textId="6DE0D039" w:rsidR="008B4DF8" w:rsidRPr="00C1603D" w:rsidRDefault="008B4DF8" w:rsidP="00A10A95">
            <w:pPr>
              <w:pStyle w:val="72TabletextTablesTableFigureBoxstyles"/>
            </w:pPr>
            <w:r w:rsidRPr="00C1603D">
              <w:t xml:space="preserve">0.598 </w:t>
            </w:r>
            <w:r w:rsidRPr="00C1603D">
              <w:rPr>
                <w:color w:val="00B0F0"/>
              </w:rPr>
              <w:t>(</w:t>
            </w:r>
            <w:r w:rsidRPr="00C1603D">
              <w:t>0.563</w:t>
            </w:r>
            <w:r w:rsidR="00590883" w:rsidRPr="00C1603D">
              <w:t>–</w:t>
            </w:r>
            <w:r w:rsidRPr="00C1603D">
              <w:t>0.629)</w:t>
            </w:r>
          </w:p>
        </w:tc>
        <w:tc>
          <w:tcPr>
            <w:tcW w:w="0" w:type="auto"/>
            <w:shd w:val="clear" w:color="auto" w:fill="auto"/>
            <w:tcMar>
              <w:top w:w="15" w:type="dxa"/>
              <w:left w:w="15" w:type="dxa"/>
              <w:bottom w:w="0" w:type="dxa"/>
              <w:right w:w="15" w:type="dxa"/>
            </w:tcMar>
          </w:tcPr>
          <w:p w14:paraId="3521A376" w14:textId="77777777" w:rsidR="008B4DF8" w:rsidRPr="00C1603D" w:rsidRDefault="008B4DF8" w:rsidP="00A10A95">
            <w:pPr>
              <w:pStyle w:val="72TabletextTablesTableFigureBoxstyles"/>
            </w:pPr>
            <w:r w:rsidRPr="00C1603D">
              <w:t>0.614</w:t>
            </w:r>
          </w:p>
        </w:tc>
        <w:tc>
          <w:tcPr>
            <w:tcW w:w="0" w:type="auto"/>
            <w:shd w:val="clear" w:color="auto" w:fill="auto"/>
            <w:tcMar>
              <w:top w:w="15" w:type="dxa"/>
              <w:left w:w="15" w:type="dxa"/>
              <w:bottom w:w="0" w:type="dxa"/>
              <w:right w:w="15" w:type="dxa"/>
            </w:tcMar>
          </w:tcPr>
          <w:p w14:paraId="6688B54A" w14:textId="77777777" w:rsidR="008B4DF8" w:rsidRPr="00C1603D" w:rsidRDefault="008B4DF8" w:rsidP="00A10A95">
            <w:pPr>
              <w:pStyle w:val="72TabletextTablesTableFigureBoxstyles"/>
            </w:pPr>
            <w:r w:rsidRPr="00C1603D">
              <w:t>1.821</w:t>
            </w:r>
          </w:p>
        </w:tc>
        <w:tc>
          <w:tcPr>
            <w:tcW w:w="0" w:type="auto"/>
            <w:shd w:val="clear" w:color="auto" w:fill="auto"/>
            <w:tcMar>
              <w:top w:w="15" w:type="dxa"/>
              <w:left w:w="15" w:type="dxa"/>
              <w:bottom w:w="0" w:type="dxa"/>
              <w:right w:w="15" w:type="dxa"/>
            </w:tcMar>
          </w:tcPr>
          <w:p w14:paraId="259FC667" w14:textId="77777777" w:rsidR="008B4DF8" w:rsidRPr="00C1603D" w:rsidRDefault="008B4DF8" w:rsidP="00A10A95">
            <w:pPr>
              <w:pStyle w:val="72TabletextTablesTableFigureBoxstyles"/>
            </w:pPr>
            <w:r w:rsidRPr="00C1603D">
              <w:t>1.848</w:t>
            </w:r>
          </w:p>
        </w:tc>
        <w:tc>
          <w:tcPr>
            <w:tcW w:w="0" w:type="auto"/>
            <w:shd w:val="clear" w:color="auto" w:fill="auto"/>
            <w:tcMar>
              <w:top w:w="15" w:type="dxa"/>
              <w:left w:w="15" w:type="dxa"/>
              <w:bottom w:w="0" w:type="dxa"/>
              <w:right w:w="15" w:type="dxa"/>
            </w:tcMar>
          </w:tcPr>
          <w:p w14:paraId="7D8B342E" w14:textId="77777777" w:rsidR="008B4DF8" w:rsidRPr="00C1603D" w:rsidRDefault="008B4DF8" w:rsidP="00A10A95">
            <w:pPr>
              <w:pStyle w:val="72TabletextTablesTableFigureBoxstyles"/>
            </w:pPr>
            <w:r w:rsidRPr="00C1603D">
              <w:t>0.847</w:t>
            </w:r>
          </w:p>
        </w:tc>
        <w:tc>
          <w:tcPr>
            <w:tcW w:w="0" w:type="auto"/>
            <w:shd w:val="clear" w:color="auto" w:fill="auto"/>
            <w:tcMar>
              <w:top w:w="15" w:type="dxa"/>
              <w:left w:w="15" w:type="dxa"/>
              <w:bottom w:w="0" w:type="dxa"/>
              <w:right w:w="15" w:type="dxa"/>
            </w:tcMar>
          </w:tcPr>
          <w:p w14:paraId="605DD5F3" w14:textId="77777777" w:rsidR="008B4DF8" w:rsidRPr="00C1603D" w:rsidRDefault="008B4DF8" w:rsidP="00A10A95">
            <w:pPr>
              <w:pStyle w:val="72TabletextTablesTableFigureBoxstyles"/>
            </w:pPr>
            <w:r w:rsidRPr="00C1603D">
              <w:t>2.333</w:t>
            </w:r>
          </w:p>
        </w:tc>
      </w:tr>
      <w:tr w:rsidR="00A10A95" w:rsidRPr="00C1603D" w14:paraId="42831C5B" w14:textId="77777777" w:rsidTr="00A10A95">
        <w:trPr>
          <w:cantSplit/>
        </w:trPr>
        <w:tc>
          <w:tcPr>
            <w:tcW w:w="0" w:type="auto"/>
            <w:shd w:val="clear" w:color="auto" w:fill="auto"/>
            <w:tcMar>
              <w:top w:w="15" w:type="dxa"/>
              <w:left w:w="15" w:type="dxa"/>
              <w:bottom w:w="0" w:type="dxa"/>
              <w:right w:w="15" w:type="dxa"/>
            </w:tcMar>
          </w:tcPr>
          <w:p w14:paraId="2940E773" w14:textId="77777777" w:rsidR="008B4DF8" w:rsidRPr="00C1603D" w:rsidRDefault="008B4DF8" w:rsidP="00A10A95">
            <w:pPr>
              <w:pStyle w:val="72TabletextTablesTableFigureBoxstyles"/>
            </w:pPr>
            <w:r w:rsidRPr="00C1603D">
              <w:t>Fatigue (count 1 year)</w:t>
            </w:r>
          </w:p>
        </w:tc>
        <w:tc>
          <w:tcPr>
            <w:tcW w:w="0" w:type="auto"/>
            <w:shd w:val="clear" w:color="auto" w:fill="auto"/>
            <w:tcMar>
              <w:top w:w="15" w:type="dxa"/>
              <w:left w:w="15" w:type="dxa"/>
              <w:bottom w:w="0" w:type="dxa"/>
              <w:right w:w="15" w:type="dxa"/>
            </w:tcMar>
          </w:tcPr>
          <w:p w14:paraId="39FBE558" w14:textId="77777777" w:rsidR="008B4DF8" w:rsidRPr="00C1603D" w:rsidRDefault="008B4DF8" w:rsidP="00A10A95">
            <w:pPr>
              <w:pStyle w:val="72TabletextTablesTableFigureBoxstyles"/>
            </w:pPr>
            <w:r w:rsidRPr="00C1603D">
              <w:t>0.545</w:t>
            </w:r>
          </w:p>
        </w:tc>
        <w:tc>
          <w:tcPr>
            <w:tcW w:w="0" w:type="auto"/>
            <w:shd w:val="clear" w:color="auto" w:fill="auto"/>
            <w:tcMar>
              <w:top w:w="15" w:type="dxa"/>
              <w:left w:w="15" w:type="dxa"/>
              <w:bottom w:w="0" w:type="dxa"/>
              <w:right w:w="15" w:type="dxa"/>
            </w:tcMar>
          </w:tcPr>
          <w:p w14:paraId="0F9A2E26" w14:textId="11984528" w:rsidR="008B4DF8" w:rsidRPr="00C1603D" w:rsidRDefault="008B4DF8" w:rsidP="00A10A95">
            <w:pPr>
              <w:pStyle w:val="72TabletextTablesTableFigureBoxstyles"/>
            </w:pPr>
            <w:r w:rsidRPr="00C1603D">
              <w:t xml:space="preserve">0.544 </w:t>
            </w:r>
            <w:r w:rsidRPr="00C1603D">
              <w:rPr>
                <w:color w:val="00B0F0"/>
              </w:rPr>
              <w:t>(</w:t>
            </w:r>
            <w:r w:rsidRPr="00C1603D">
              <w:t>0.518</w:t>
            </w:r>
            <w:r w:rsidR="00590883" w:rsidRPr="00C1603D">
              <w:t>–</w:t>
            </w:r>
            <w:r w:rsidRPr="00C1603D">
              <w:t>0.571)</w:t>
            </w:r>
          </w:p>
        </w:tc>
        <w:tc>
          <w:tcPr>
            <w:tcW w:w="0" w:type="auto"/>
            <w:shd w:val="clear" w:color="auto" w:fill="auto"/>
            <w:tcMar>
              <w:top w:w="15" w:type="dxa"/>
              <w:left w:w="15" w:type="dxa"/>
              <w:bottom w:w="0" w:type="dxa"/>
              <w:right w:w="15" w:type="dxa"/>
            </w:tcMar>
          </w:tcPr>
          <w:p w14:paraId="28E91EBB" w14:textId="77777777" w:rsidR="008B4DF8" w:rsidRPr="00C1603D" w:rsidRDefault="008B4DF8" w:rsidP="00A10A95">
            <w:pPr>
              <w:pStyle w:val="72TabletextTablesTableFigureBoxstyles"/>
            </w:pPr>
            <w:r w:rsidRPr="00C1603D">
              <w:t>0.559</w:t>
            </w:r>
          </w:p>
        </w:tc>
        <w:tc>
          <w:tcPr>
            <w:tcW w:w="0" w:type="auto"/>
            <w:shd w:val="clear" w:color="auto" w:fill="auto"/>
            <w:tcMar>
              <w:top w:w="15" w:type="dxa"/>
              <w:left w:w="15" w:type="dxa"/>
              <w:bottom w:w="0" w:type="dxa"/>
              <w:right w:w="15" w:type="dxa"/>
            </w:tcMar>
          </w:tcPr>
          <w:p w14:paraId="124CA4E2" w14:textId="77777777" w:rsidR="008B4DF8" w:rsidRPr="00C1603D" w:rsidRDefault="008B4DF8" w:rsidP="00A10A95">
            <w:pPr>
              <w:pStyle w:val="72TabletextTablesTableFigureBoxstyles"/>
            </w:pPr>
            <w:r w:rsidRPr="00C1603D">
              <w:t>1.725</w:t>
            </w:r>
          </w:p>
        </w:tc>
        <w:tc>
          <w:tcPr>
            <w:tcW w:w="0" w:type="auto"/>
            <w:shd w:val="clear" w:color="auto" w:fill="auto"/>
            <w:tcMar>
              <w:top w:w="15" w:type="dxa"/>
              <w:left w:w="15" w:type="dxa"/>
              <w:bottom w:w="0" w:type="dxa"/>
              <w:right w:w="15" w:type="dxa"/>
            </w:tcMar>
          </w:tcPr>
          <w:p w14:paraId="215E2761" w14:textId="77777777" w:rsidR="008B4DF8" w:rsidRPr="00C1603D" w:rsidRDefault="008B4DF8" w:rsidP="00A10A95">
            <w:pPr>
              <w:pStyle w:val="72TabletextTablesTableFigureBoxstyles"/>
            </w:pPr>
            <w:r w:rsidRPr="00C1603D">
              <w:t>1.748</w:t>
            </w:r>
          </w:p>
        </w:tc>
        <w:tc>
          <w:tcPr>
            <w:tcW w:w="0" w:type="auto"/>
            <w:shd w:val="clear" w:color="auto" w:fill="auto"/>
            <w:tcMar>
              <w:top w:w="15" w:type="dxa"/>
              <w:left w:w="15" w:type="dxa"/>
              <w:bottom w:w="0" w:type="dxa"/>
              <w:right w:w="15" w:type="dxa"/>
            </w:tcMar>
          </w:tcPr>
          <w:p w14:paraId="34196D56" w14:textId="77777777" w:rsidR="008B4DF8" w:rsidRPr="00C1603D" w:rsidRDefault="008B4DF8" w:rsidP="00A10A95">
            <w:pPr>
              <w:pStyle w:val="72TabletextTablesTableFigureBoxstyles"/>
            </w:pPr>
            <w:r w:rsidRPr="00C1603D">
              <w:t>0.923</w:t>
            </w:r>
          </w:p>
        </w:tc>
        <w:tc>
          <w:tcPr>
            <w:tcW w:w="0" w:type="auto"/>
            <w:shd w:val="clear" w:color="auto" w:fill="auto"/>
            <w:tcMar>
              <w:top w:w="15" w:type="dxa"/>
              <w:left w:w="15" w:type="dxa"/>
              <w:bottom w:w="0" w:type="dxa"/>
              <w:right w:w="15" w:type="dxa"/>
            </w:tcMar>
          </w:tcPr>
          <w:p w14:paraId="4E843F74" w14:textId="77777777" w:rsidR="008B4DF8" w:rsidRPr="00C1603D" w:rsidRDefault="008B4DF8" w:rsidP="00A10A95">
            <w:pPr>
              <w:pStyle w:val="72TabletextTablesTableFigureBoxstyles"/>
            </w:pPr>
            <w:r w:rsidRPr="00C1603D">
              <w:t>2.517</w:t>
            </w:r>
          </w:p>
        </w:tc>
      </w:tr>
      <w:tr w:rsidR="00A10A95" w:rsidRPr="00C1603D" w14:paraId="0F886878" w14:textId="77777777" w:rsidTr="00A10A95">
        <w:trPr>
          <w:cantSplit/>
        </w:trPr>
        <w:tc>
          <w:tcPr>
            <w:tcW w:w="0" w:type="auto"/>
            <w:shd w:val="clear" w:color="auto" w:fill="auto"/>
            <w:tcMar>
              <w:top w:w="15" w:type="dxa"/>
              <w:left w:w="15" w:type="dxa"/>
              <w:bottom w:w="0" w:type="dxa"/>
              <w:right w:w="15" w:type="dxa"/>
            </w:tcMar>
          </w:tcPr>
          <w:p w14:paraId="3AE3B962" w14:textId="0281E2B9" w:rsidR="008B4DF8" w:rsidRPr="00C1603D" w:rsidRDefault="00C82170" w:rsidP="00A10A95">
            <w:pPr>
              <w:pStyle w:val="72TabletextTablesTableFigureBoxstyles"/>
            </w:pPr>
            <w:r w:rsidRPr="00C1603D">
              <w:t>IBS</w:t>
            </w:r>
          </w:p>
        </w:tc>
        <w:tc>
          <w:tcPr>
            <w:tcW w:w="0" w:type="auto"/>
            <w:shd w:val="clear" w:color="auto" w:fill="auto"/>
            <w:tcMar>
              <w:top w:w="15" w:type="dxa"/>
              <w:left w:w="15" w:type="dxa"/>
              <w:bottom w:w="0" w:type="dxa"/>
              <w:right w:w="15" w:type="dxa"/>
            </w:tcMar>
          </w:tcPr>
          <w:p w14:paraId="4D4BB4C6" w14:textId="77777777" w:rsidR="008B4DF8" w:rsidRPr="00C1603D" w:rsidRDefault="008B4DF8" w:rsidP="00A10A95">
            <w:pPr>
              <w:pStyle w:val="72TabletextTablesTableFigureBoxstyles"/>
            </w:pPr>
            <w:r w:rsidRPr="00C1603D">
              <w:t>0.478</w:t>
            </w:r>
          </w:p>
        </w:tc>
        <w:tc>
          <w:tcPr>
            <w:tcW w:w="0" w:type="auto"/>
            <w:shd w:val="clear" w:color="auto" w:fill="auto"/>
            <w:tcMar>
              <w:top w:w="15" w:type="dxa"/>
              <w:left w:w="15" w:type="dxa"/>
              <w:bottom w:w="0" w:type="dxa"/>
              <w:right w:w="15" w:type="dxa"/>
            </w:tcMar>
          </w:tcPr>
          <w:p w14:paraId="6C62F767" w14:textId="6E33105A" w:rsidR="008B4DF8" w:rsidRPr="00C1603D" w:rsidRDefault="008B4DF8" w:rsidP="00A10A95">
            <w:pPr>
              <w:pStyle w:val="72TabletextTablesTableFigureBoxstyles"/>
            </w:pPr>
            <w:r w:rsidRPr="00C1603D">
              <w:t xml:space="preserve">0.474 </w:t>
            </w:r>
            <w:r w:rsidRPr="00C1603D">
              <w:rPr>
                <w:color w:val="00B0F0"/>
              </w:rPr>
              <w:t>(</w:t>
            </w:r>
            <w:r w:rsidRPr="00C1603D">
              <w:t>0.450</w:t>
            </w:r>
            <w:r w:rsidR="00590883" w:rsidRPr="00C1603D">
              <w:t>–</w:t>
            </w:r>
            <w:r w:rsidRPr="00C1603D">
              <w:t>0.505)</w:t>
            </w:r>
          </w:p>
        </w:tc>
        <w:tc>
          <w:tcPr>
            <w:tcW w:w="0" w:type="auto"/>
            <w:shd w:val="clear" w:color="auto" w:fill="auto"/>
            <w:tcMar>
              <w:top w:w="15" w:type="dxa"/>
              <w:left w:w="15" w:type="dxa"/>
              <w:bottom w:w="0" w:type="dxa"/>
              <w:right w:w="15" w:type="dxa"/>
            </w:tcMar>
          </w:tcPr>
          <w:p w14:paraId="2BBA24B4" w14:textId="77777777" w:rsidR="008B4DF8" w:rsidRPr="00C1603D" w:rsidRDefault="008B4DF8" w:rsidP="00A10A95">
            <w:pPr>
              <w:pStyle w:val="72TabletextTablesTableFigureBoxstyles"/>
            </w:pPr>
            <w:r w:rsidRPr="00C1603D">
              <w:t>0.488</w:t>
            </w:r>
          </w:p>
        </w:tc>
        <w:tc>
          <w:tcPr>
            <w:tcW w:w="0" w:type="auto"/>
            <w:shd w:val="clear" w:color="auto" w:fill="auto"/>
            <w:tcMar>
              <w:top w:w="15" w:type="dxa"/>
              <w:left w:w="15" w:type="dxa"/>
              <w:bottom w:w="0" w:type="dxa"/>
              <w:right w:w="15" w:type="dxa"/>
            </w:tcMar>
          </w:tcPr>
          <w:p w14:paraId="1F1ED1A7" w14:textId="77777777" w:rsidR="008B4DF8" w:rsidRPr="00C1603D" w:rsidRDefault="008B4DF8" w:rsidP="00A10A95">
            <w:pPr>
              <w:pStyle w:val="72TabletextTablesTableFigureBoxstyles"/>
            </w:pPr>
            <w:r w:rsidRPr="00C1603D">
              <w:t>1.613</w:t>
            </w:r>
          </w:p>
        </w:tc>
        <w:tc>
          <w:tcPr>
            <w:tcW w:w="0" w:type="auto"/>
            <w:shd w:val="clear" w:color="auto" w:fill="auto"/>
            <w:tcMar>
              <w:top w:w="15" w:type="dxa"/>
              <w:left w:w="15" w:type="dxa"/>
              <w:bottom w:w="0" w:type="dxa"/>
              <w:right w:w="15" w:type="dxa"/>
            </w:tcMar>
          </w:tcPr>
          <w:p w14:paraId="7C5DB959" w14:textId="77777777" w:rsidR="008B4DF8" w:rsidRPr="00C1603D" w:rsidRDefault="008B4DF8" w:rsidP="00A10A95">
            <w:pPr>
              <w:pStyle w:val="72TabletextTablesTableFigureBoxstyles"/>
            </w:pPr>
            <w:r w:rsidRPr="00C1603D">
              <w:t>1.629</w:t>
            </w:r>
          </w:p>
        </w:tc>
        <w:tc>
          <w:tcPr>
            <w:tcW w:w="0" w:type="auto"/>
            <w:shd w:val="clear" w:color="auto" w:fill="auto"/>
            <w:tcMar>
              <w:top w:w="15" w:type="dxa"/>
              <w:left w:w="15" w:type="dxa"/>
              <w:bottom w:w="0" w:type="dxa"/>
              <w:right w:w="15" w:type="dxa"/>
            </w:tcMar>
          </w:tcPr>
          <w:p w14:paraId="329C88B0" w14:textId="77777777" w:rsidR="008B4DF8" w:rsidRPr="00C1603D" w:rsidRDefault="008B4DF8" w:rsidP="00A10A95">
            <w:pPr>
              <w:pStyle w:val="72TabletextTablesTableFigureBoxstyles"/>
            </w:pPr>
            <w:r w:rsidRPr="00C1603D">
              <w:t>0.698</w:t>
            </w:r>
          </w:p>
        </w:tc>
        <w:tc>
          <w:tcPr>
            <w:tcW w:w="0" w:type="auto"/>
            <w:shd w:val="clear" w:color="auto" w:fill="auto"/>
            <w:tcMar>
              <w:top w:w="15" w:type="dxa"/>
              <w:left w:w="15" w:type="dxa"/>
              <w:bottom w:w="0" w:type="dxa"/>
              <w:right w:w="15" w:type="dxa"/>
            </w:tcMar>
          </w:tcPr>
          <w:p w14:paraId="3A349D6E" w14:textId="77777777" w:rsidR="008B4DF8" w:rsidRPr="00C1603D" w:rsidRDefault="008B4DF8" w:rsidP="00A10A95">
            <w:pPr>
              <w:pStyle w:val="72TabletextTablesTableFigureBoxstyles"/>
            </w:pPr>
            <w:r w:rsidRPr="00C1603D">
              <w:t>2.010</w:t>
            </w:r>
          </w:p>
        </w:tc>
      </w:tr>
      <w:tr w:rsidR="00A10A95" w:rsidRPr="00C1603D" w14:paraId="085B26B2" w14:textId="77777777" w:rsidTr="00A10A95">
        <w:trPr>
          <w:cantSplit/>
        </w:trPr>
        <w:tc>
          <w:tcPr>
            <w:tcW w:w="0" w:type="auto"/>
            <w:shd w:val="clear" w:color="auto" w:fill="auto"/>
            <w:tcMar>
              <w:top w:w="15" w:type="dxa"/>
              <w:left w:w="15" w:type="dxa"/>
              <w:bottom w:w="0" w:type="dxa"/>
              <w:right w:w="15" w:type="dxa"/>
            </w:tcMar>
          </w:tcPr>
          <w:p w14:paraId="7F1C7F75" w14:textId="77777777" w:rsidR="008B4DF8" w:rsidRPr="00C1603D" w:rsidRDefault="008B4DF8" w:rsidP="00A10A95">
            <w:pPr>
              <w:pStyle w:val="72TabletextTablesTableFigureBoxstyles"/>
            </w:pPr>
            <w:r w:rsidRPr="00C1603D">
              <w:t>Chronic liver disease</w:t>
            </w:r>
          </w:p>
        </w:tc>
        <w:tc>
          <w:tcPr>
            <w:tcW w:w="0" w:type="auto"/>
            <w:shd w:val="clear" w:color="auto" w:fill="auto"/>
            <w:tcMar>
              <w:top w:w="15" w:type="dxa"/>
              <w:left w:w="15" w:type="dxa"/>
              <w:bottom w:w="0" w:type="dxa"/>
              <w:right w:w="15" w:type="dxa"/>
            </w:tcMar>
          </w:tcPr>
          <w:p w14:paraId="0352B0BB" w14:textId="77777777" w:rsidR="008B4DF8" w:rsidRPr="00C1603D" w:rsidRDefault="008B4DF8" w:rsidP="00A10A95">
            <w:pPr>
              <w:pStyle w:val="72TabletextTablesTableFigureBoxstyles"/>
            </w:pPr>
            <w:r w:rsidRPr="00C1603D">
              <w:t>0.326</w:t>
            </w:r>
          </w:p>
        </w:tc>
        <w:tc>
          <w:tcPr>
            <w:tcW w:w="0" w:type="auto"/>
            <w:shd w:val="clear" w:color="auto" w:fill="auto"/>
            <w:tcMar>
              <w:top w:w="15" w:type="dxa"/>
              <w:left w:w="15" w:type="dxa"/>
              <w:bottom w:w="0" w:type="dxa"/>
              <w:right w:w="15" w:type="dxa"/>
            </w:tcMar>
          </w:tcPr>
          <w:p w14:paraId="1652A7EA" w14:textId="09F5D28D" w:rsidR="008B4DF8" w:rsidRPr="00C1603D" w:rsidRDefault="008B4DF8" w:rsidP="00A10A95">
            <w:pPr>
              <w:pStyle w:val="72TabletextTablesTableFigureBoxstyles"/>
            </w:pPr>
            <w:r w:rsidRPr="00C1603D">
              <w:t xml:space="preserve">0.324 </w:t>
            </w:r>
            <w:r w:rsidRPr="00C1603D">
              <w:rPr>
                <w:color w:val="00B0F0"/>
              </w:rPr>
              <w:t>(</w:t>
            </w:r>
            <w:r w:rsidRPr="00C1603D">
              <w:t>0.245</w:t>
            </w:r>
            <w:r w:rsidR="00590883" w:rsidRPr="00C1603D">
              <w:t>–</w:t>
            </w:r>
            <w:r w:rsidRPr="00C1603D">
              <w:t>0.383)</w:t>
            </w:r>
          </w:p>
        </w:tc>
        <w:tc>
          <w:tcPr>
            <w:tcW w:w="0" w:type="auto"/>
            <w:shd w:val="clear" w:color="auto" w:fill="auto"/>
            <w:tcMar>
              <w:top w:w="15" w:type="dxa"/>
              <w:left w:w="15" w:type="dxa"/>
              <w:bottom w:w="0" w:type="dxa"/>
              <w:right w:w="15" w:type="dxa"/>
            </w:tcMar>
          </w:tcPr>
          <w:p w14:paraId="7C007567" w14:textId="77777777" w:rsidR="008B4DF8" w:rsidRPr="00C1603D" w:rsidRDefault="008B4DF8" w:rsidP="00A10A95">
            <w:pPr>
              <w:pStyle w:val="72TabletextTablesTableFigureBoxstyles"/>
            </w:pPr>
            <w:r w:rsidRPr="00C1603D">
              <w:t>0.341</w:t>
            </w:r>
          </w:p>
        </w:tc>
        <w:tc>
          <w:tcPr>
            <w:tcW w:w="0" w:type="auto"/>
            <w:shd w:val="clear" w:color="auto" w:fill="auto"/>
            <w:tcMar>
              <w:top w:w="15" w:type="dxa"/>
              <w:left w:w="15" w:type="dxa"/>
              <w:bottom w:w="0" w:type="dxa"/>
              <w:right w:w="15" w:type="dxa"/>
            </w:tcMar>
          </w:tcPr>
          <w:p w14:paraId="38A4E681" w14:textId="77777777" w:rsidR="008B4DF8" w:rsidRPr="00C1603D" w:rsidRDefault="008B4DF8" w:rsidP="00A10A95">
            <w:pPr>
              <w:pStyle w:val="72TabletextTablesTableFigureBoxstyles"/>
            </w:pPr>
            <w:r w:rsidRPr="00C1603D">
              <w:t>1.386</w:t>
            </w:r>
          </w:p>
        </w:tc>
        <w:tc>
          <w:tcPr>
            <w:tcW w:w="0" w:type="auto"/>
            <w:shd w:val="clear" w:color="auto" w:fill="auto"/>
            <w:tcMar>
              <w:top w:w="15" w:type="dxa"/>
              <w:left w:w="15" w:type="dxa"/>
              <w:bottom w:w="0" w:type="dxa"/>
              <w:right w:w="15" w:type="dxa"/>
            </w:tcMar>
          </w:tcPr>
          <w:p w14:paraId="292BC6E5" w14:textId="77777777" w:rsidR="008B4DF8" w:rsidRPr="00C1603D" w:rsidRDefault="008B4DF8" w:rsidP="00A10A95">
            <w:pPr>
              <w:pStyle w:val="72TabletextTablesTableFigureBoxstyles"/>
            </w:pPr>
            <w:r w:rsidRPr="00C1603D">
              <w:t>1.406</w:t>
            </w:r>
          </w:p>
        </w:tc>
        <w:tc>
          <w:tcPr>
            <w:tcW w:w="0" w:type="auto"/>
            <w:shd w:val="clear" w:color="auto" w:fill="auto"/>
            <w:tcMar>
              <w:top w:w="15" w:type="dxa"/>
              <w:left w:w="15" w:type="dxa"/>
              <w:bottom w:w="0" w:type="dxa"/>
              <w:right w:w="15" w:type="dxa"/>
            </w:tcMar>
          </w:tcPr>
          <w:p w14:paraId="0F7A057A" w14:textId="77777777" w:rsidR="008B4DF8" w:rsidRPr="00C1603D" w:rsidRDefault="008B4DF8" w:rsidP="00A10A95">
            <w:pPr>
              <w:pStyle w:val="72TabletextTablesTableFigureBoxstyles"/>
            </w:pPr>
            <w:r w:rsidRPr="00C1603D">
              <w:t>0.739</w:t>
            </w:r>
          </w:p>
        </w:tc>
        <w:tc>
          <w:tcPr>
            <w:tcW w:w="0" w:type="auto"/>
            <w:shd w:val="clear" w:color="auto" w:fill="auto"/>
            <w:tcMar>
              <w:top w:w="15" w:type="dxa"/>
              <w:left w:w="15" w:type="dxa"/>
              <w:bottom w:w="0" w:type="dxa"/>
              <w:right w:w="15" w:type="dxa"/>
            </w:tcMar>
          </w:tcPr>
          <w:p w14:paraId="5730DB55" w14:textId="77777777" w:rsidR="008B4DF8" w:rsidRPr="00C1603D" w:rsidRDefault="008B4DF8" w:rsidP="00A10A95">
            <w:pPr>
              <w:pStyle w:val="72TabletextTablesTableFigureBoxstyles"/>
            </w:pPr>
            <w:r w:rsidRPr="00C1603D">
              <w:t>2.094</w:t>
            </w:r>
          </w:p>
        </w:tc>
      </w:tr>
      <w:tr w:rsidR="00A10A95" w:rsidRPr="00C1603D" w14:paraId="141661B4" w14:textId="77777777" w:rsidTr="00A10A95">
        <w:trPr>
          <w:cantSplit/>
        </w:trPr>
        <w:tc>
          <w:tcPr>
            <w:tcW w:w="0" w:type="auto"/>
            <w:shd w:val="clear" w:color="auto" w:fill="auto"/>
            <w:tcMar>
              <w:top w:w="15" w:type="dxa"/>
              <w:left w:w="15" w:type="dxa"/>
              <w:bottom w:w="0" w:type="dxa"/>
              <w:right w:w="15" w:type="dxa"/>
            </w:tcMar>
          </w:tcPr>
          <w:p w14:paraId="2BE833D6" w14:textId="77777777" w:rsidR="008B4DF8" w:rsidRPr="00C1603D" w:rsidRDefault="008B4DF8" w:rsidP="00A10A95">
            <w:pPr>
              <w:pStyle w:val="72TabletextTablesTableFigureBoxstyles"/>
            </w:pPr>
            <w:r w:rsidRPr="00C1603D">
              <w:t>Epilepsy</w:t>
            </w:r>
          </w:p>
        </w:tc>
        <w:tc>
          <w:tcPr>
            <w:tcW w:w="0" w:type="auto"/>
            <w:shd w:val="clear" w:color="auto" w:fill="auto"/>
            <w:tcMar>
              <w:top w:w="15" w:type="dxa"/>
              <w:left w:w="15" w:type="dxa"/>
              <w:bottom w:w="0" w:type="dxa"/>
              <w:right w:w="15" w:type="dxa"/>
            </w:tcMar>
          </w:tcPr>
          <w:p w14:paraId="061962ED" w14:textId="77777777" w:rsidR="008B4DF8" w:rsidRPr="00C1603D" w:rsidRDefault="008B4DF8" w:rsidP="00A10A95">
            <w:pPr>
              <w:pStyle w:val="72TabletextTablesTableFigureBoxstyles"/>
            </w:pPr>
            <w:r w:rsidRPr="00C1603D">
              <w:t>0.258</w:t>
            </w:r>
          </w:p>
        </w:tc>
        <w:tc>
          <w:tcPr>
            <w:tcW w:w="0" w:type="auto"/>
            <w:shd w:val="clear" w:color="auto" w:fill="auto"/>
            <w:tcMar>
              <w:top w:w="15" w:type="dxa"/>
              <w:left w:w="15" w:type="dxa"/>
              <w:bottom w:w="0" w:type="dxa"/>
              <w:right w:w="15" w:type="dxa"/>
            </w:tcMar>
          </w:tcPr>
          <w:p w14:paraId="16F4CAD5" w14:textId="78432734" w:rsidR="008B4DF8" w:rsidRPr="00C1603D" w:rsidRDefault="008B4DF8" w:rsidP="00A10A95">
            <w:pPr>
              <w:pStyle w:val="72TabletextTablesTableFigureBoxstyles"/>
            </w:pPr>
            <w:r w:rsidRPr="00C1603D">
              <w:t xml:space="preserve">0.252 </w:t>
            </w:r>
            <w:r w:rsidRPr="00C1603D">
              <w:rPr>
                <w:color w:val="00B0F0"/>
              </w:rPr>
              <w:t>(</w:t>
            </w:r>
            <w:r w:rsidRPr="00C1603D">
              <w:t>0.232</w:t>
            </w:r>
            <w:r w:rsidR="00590883" w:rsidRPr="00C1603D">
              <w:t>–</w:t>
            </w:r>
            <w:r w:rsidRPr="00C1603D">
              <w:t>0.268)</w:t>
            </w:r>
          </w:p>
        </w:tc>
        <w:tc>
          <w:tcPr>
            <w:tcW w:w="0" w:type="auto"/>
            <w:shd w:val="clear" w:color="auto" w:fill="auto"/>
            <w:tcMar>
              <w:top w:w="15" w:type="dxa"/>
              <w:left w:w="15" w:type="dxa"/>
              <w:bottom w:w="0" w:type="dxa"/>
              <w:right w:w="15" w:type="dxa"/>
            </w:tcMar>
          </w:tcPr>
          <w:p w14:paraId="481611B7" w14:textId="77777777" w:rsidR="008B4DF8" w:rsidRPr="00C1603D" w:rsidRDefault="008B4DF8" w:rsidP="00A10A95">
            <w:pPr>
              <w:pStyle w:val="72TabletextTablesTableFigureBoxstyles"/>
            </w:pPr>
            <w:r w:rsidRPr="00C1603D">
              <w:t>0.277</w:t>
            </w:r>
          </w:p>
        </w:tc>
        <w:tc>
          <w:tcPr>
            <w:tcW w:w="0" w:type="auto"/>
            <w:shd w:val="clear" w:color="auto" w:fill="auto"/>
            <w:tcMar>
              <w:top w:w="15" w:type="dxa"/>
              <w:left w:w="15" w:type="dxa"/>
              <w:bottom w:w="0" w:type="dxa"/>
              <w:right w:w="15" w:type="dxa"/>
            </w:tcMar>
          </w:tcPr>
          <w:p w14:paraId="11B26623" w14:textId="77777777" w:rsidR="008B4DF8" w:rsidRPr="00C1603D" w:rsidRDefault="008B4DF8" w:rsidP="00A10A95">
            <w:pPr>
              <w:pStyle w:val="72TabletextTablesTableFigureBoxstyles"/>
            </w:pPr>
            <w:r w:rsidRPr="00C1603D">
              <w:t>1.295</w:t>
            </w:r>
          </w:p>
        </w:tc>
        <w:tc>
          <w:tcPr>
            <w:tcW w:w="0" w:type="auto"/>
            <w:shd w:val="clear" w:color="auto" w:fill="auto"/>
            <w:tcMar>
              <w:top w:w="15" w:type="dxa"/>
              <w:left w:w="15" w:type="dxa"/>
              <w:bottom w:w="0" w:type="dxa"/>
              <w:right w:w="15" w:type="dxa"/>
            </w:tcMar>
          </w:tcPr>
          <w:p w14:paraId="0404F93A" w14:textId="77777777" w:rsidR="008B4DF8" w:rsidRPr="00C1603D" w:rsidRDefault="008B4DF8" w:rsidP="00A10A95">
            <w:pPr>
              <w:pStyle w:val="72TabletextTablesTableFigureBoxstyles"/>
            </w:pPr>
            <w:r w:rsidRPr="00C1603D">
              <w:t>1.319</w:t>
            </w:r>
          </w:p>
        </w:tc>
        <w:tc>
          <w:tcPr>
            <w:tcW w:w="0" w:type="auto"/>
            <w:shd w:val="clear" w:color="auto" w:fill="auto"/>
            <w:tcMar>
              <w:top w:w="15" w:type="dxa"/>
              <w:left w:w="15" w:type="dxa"/>
              <w:bottom w:w="0" w:type="dxa"/>
              <w:right w:w="15" w:type="dxa"/>
            </w:tcMar>
          </w:tcPr>
          <w:p w14:paraId="4DD9D580" w14:textId="77777777" w:rsidR="008B4DF8" w:rsidRPr="00C1603D" w:rsidRDefault="008B4DF8" w:rsidP="00A10A95">
            <w:pPr>
              <w:pStyle w:val="72TabletextTablesTableFigureBoxstyles"/>
            </w:pPr>
            <w:r w:rsidRPr="00C1603D">
              <w:t>0.614</w:t>
            </w:r>
          </w:p>
        </w:tc>
        <w:tc>
          <w:tcPr>
            <w:tcW w:w="0" w:type="auto"/>
            <w:shd w:val="clear" w:color="auto" w:fill="auto"/>
            <w:tcMar>
              <w:top w:w="15" w:type="dxa"/>
              <w:left w:w="15" w:type="dxa"/>
              <w:bottom w:w="0" w:type="dxa"/>
              <w:right w:w="15" w:type="dxa"/>
            </w:tcMar>
          </w:tcPr>
          <w:p w14:paraId="38E06884" w14:textId="77777777" w:rsidR="008B4DF8" w:rsidRPr="00C1603D" w:rsidRDefault="008B4DF8" w:rsidP="00A10A95">
            <w:pPr>
              <w:pStyle w:val="72TabletextTablesTableFigureBoxstyles"/>
            </w:pPr>
            <w:r w:rsidRPr="00C1603D">
              <w:t>1.848</w:t>
            </w:r>
          </w:p>
        </w:tc>
      </w:tr>
      <w:tr w:rsidR="00A10A95" w:rsidRPr="00C1603D" w14:paraId="421F4174" w14:textId="77777777" w:rsidTr="00A10A95">
        <w:trPr>
          <w:cantSplit/>
        </w:trPr>
        <w:tc>
          <w:tcPr>
            <w:tcW w:w="0" w:type="auto"/>
            <w:shd w:val="clear" w:color="auto" w:fill="auto"/>
            <w:tcMar>
              <w:top w:w="15" w:type="dxa"/>
              <w:left w:w="15" w:type="dxa"/>
              <w:bottom w:w="0" w:type="dxa"/>
              <w:right w:w="15" w:type="dxa"/>
            </w:tcMar>
          </w:tcPr>
          <w:p w14:paraId="39AEF063" w14:textId="77777777" w:rsidR="008B4DF8" w:rsidRPr="00C1603D" w:rsidRDefault="008B4DF8" w:rsidP="00A10A95">
            <w:pPr>
              <w:pStyle w:val="72TabletextTablesTableFigureBoxstyles"/>
            </w:pPr>
            <w:r w:rsidRPr="00C1603D">
              <w:t>GI symptoms</w:t>
            </w:r>
          </w:p>
        </w:tc>
        <w:tc>
          <w:tcPr>
            <w:tcW w:w="0" w:type="auto"/>
            <w:shd w:val="clear" w:color="auto" w:fill="auto"/>
            <w:tcMar>
              <w:top w:w="15" w:type="dxa"/>
              <w:left w:w="15" w:type="dxa"/>
              <w:bottom w:w="0" w:type="dxa"/>
              <w:right w:w="15" w:type="dxa"/>
            </w:tcMar>
          </w:tcPr>
          <w:p w14:paraId="0748D013" w14:textId="77777777" w:rsidR="008B4DF8" w:rsidRPr="00C1603D" w:rsidRDefault="008B4DF8" w:rsidP="00A10A95">
            <w:pPr>
              <w:pStyle w:val="72TabletextTablesTableFigureBoxstyles"/>
            </w:pPr>
            <w:r w:rsidRPr="00C1603D">
              <w:t>0.249</w:t>
            </w:r>
          </w:p>
        </w:tc>
        <w:tc>
          <w:tcPr>
            <w:tcW w:w="0" w:type="auto"/>
            <w:shd w:val="clear" w:color="auto" w:fill="auto"/>
            <w:tcMar>
              <w:top w:w="15" w:type="dxa"/>
              <w:left w:w="15" w:type="dxa"/>
              <w:bottom w:w="0" w:type="dxa"/>
              <w:right w:w="15" w:type="dxa"/>
            </w:tcMar>
          </w:tcPr>
          <w:p w14:paraId="0F630EAB" w14:textId="21C62293" w:rsidR="008B4DF8" w:rsidRPr="00C1603D" w:rsidRDefault="008B4DF8" w:rsidP="00A10A95">
            <w:pPr>
              <w:pStyle w:val="72TabletextTablesTableFigureBoxstyles"/>
            </w:pPr>
            <w:r w:rsidRPr="00C1603D">
              <w:t xml:space="preserve">0.251 </w:t>
            </w:r>
            <w:r w:rsidRPr="00C1603D">
              <w:rPr>
                <w:color w:val="00B0F0"/>
              </w:rPr>
              <w:t>(</w:t>
            </w:r>
            <w:r w:rsidRPr="00C1603D">
              <w:t>0.173</w:t>
            </w:r>
            <w:r w:rsidR="00590883" w:rsidRPr="00C1603D">
              <w:t>–</w:t>
            </w:r>
            <w:r w:rsidRPr="00C1603D">
              <w:t>0.360)</w:t>
            </w:r>
          </w:p>
        </w:tc>
        <w:tc>
          <w:tcPr>
            <w:tcW w:w="0" w:type="auto"/>
            <w:shd w:val="clear" w:color="auto" w:fill="auto"/>
            <w:tcMar>
              <w:top w:w="15" w:type="dxa"/>
              <w:left w:w="15" w:type="dxa"/>
              <w:bottom w:w="0" w:type="dxa"/>
              <w:right w:w="15" w:type="dxa"/>
            </w:tcMar>
          </w:tcPr>
          <w:p w14:paraId="66367E93" w14:textId="77777777" w:rsidR="008B4DF8" w:rsidRPr="00C1603D" w:rsidRDefault="008B4DF8" w:rsidP="00A10A95">
            <w:pPr>
              <w:pStyle w:val="72TabletextTablesTableFigureBoxstyles"/>
            </w:pPr>
            <w:r w:rsidRPr="00C1603D">
              <w:t>0.243</w:t>
            </w:r>
          </w:p>
        </w:tc>
        <w:tc>
          <w:tcPr>
            <w:tcW w:w="0" w:type="auto"/>
            <w:shd w:val="clear" w:color="auto" w:fill="auto"/>
            <w:tcMar>
              <w:top w:w="15" w:type="dxa"/>
              <w:left w:w="15" w:type="dxa"/>
              <w:bottom w:w="0" w:type="dxa"/>
              <w:right w:w="15" w:type="dxa"/>
            </w:tcMar>
          </w:tcPr>
          <w:p w14:paraId="53A2C00B" w14:textId="77777777" w:rsidR="008B4DF8" w:rsidRPr="00C1603D" w:rsidRDefault="008B4DF8" w:rsidP="00A10A95">
            <w:pPr>
              <w:pStyle w:val="72TabletextTablesTableFigureBoxstyles"/>
            </w:pPr>
            <w:r w:rsidRPr="00C1603D">
              <w:t>1.283</w:t>
            </w:r>
          </w:p>
        </w:tc>
        <w:tc>
          <w:tcPr>
            <w:tcW w:w="0" w:type="auto"/>
            <w:shd w:val="clear" w:color="auto" w:fill="auto"/>
            <w:tcMar>
              <w:top w:w="15" w:type="dxa"/>
              <w:left w:w="15" w:type="dxa"/>
              <w:bottom w:w="0" w:type="dxa"/>
              <w:right w:w="15" w:type="dxa"/>
            </w:tcMar>
          </w:tcPr>
          <w:p w14:paraId="25AE3C64" w14:textId="77777777" w:rsidR="008B4DF8" w:rsidRPr="00C1603D" w:rsidRDefault="008B4DF8" w:rsidP="00A10A95">
            <w:pPr>
              <w:pStyle w:val="72TabletextTablesTableFigureBoxstyles"/>
            </w:pPr>
            <w:r w:rsidRPr="00C1603D">
              <w:t>1.275</w:t>
            </w:r>
          </w:p>
        </w:tc>
        <w:tc>
          <w:tcPr>
            <w:tcW w:w="0" w:type="auto"/>
            <w:shd w:val="clear" w:color="auto" w:fill="auto"/>
            <w:tcMar>
              <w:top w:w="15" w:type="dxa"/>
              <w:left w:w="15" w:type="dxa"/>
              <w:bottom w:w="0" w:type="dxa"/>
              <w:right w:w="15" w:type="dxa"/>
            </w:tcMar>
          </w:tcPr>
          <w:p w14:paraId="284F8C5D" w14:textId="77777777" w:rsidR="008B4DF8" w:rsidRPr="00C1603D" w:rsidRDefault="008B4DF8" w:rsidP="00A10A95">
            <w:pPr>
              <w:pStyle w:val="72TabletextTablesTableFigureBoxstyles"/>
            </w:pPr>
            <w:r w:rsidRPr="00C1603D">
              <w:t>1.017</w:t>
            </w:r>
          </w:p>
        </w:tc>
        <w:tc>
          <w:tcPr>
            <w:tcW w:w="0" w:type="auto"/>
            <w:shd w:val="clear" w:color="auto" w:fill="auto"/>
            <w:tcMar>
              <w:top w:w="15" w:type="dxa"/>
              <w:left w:w="15" w:type="dxa"/>
              <w:bottom w:w="0" w:type="dxa"/>
              <w:right w:w="15" w:type="dxa"/>
            </w:tcMar>
          </w:tcPr>
          <w:p w14:paraId="0EC8A2EE" w14:textId="77777777" w:rsidR="008B4DF8" w:rsidRPr="00C1603D" w:rsidRDefault="008B4DF8" w:rsidP="00A10A95">
            <w:pPr>
              <w:pStyle w:val="72TabletextTablesTableFigureBoxstyles"/>
            </w:pPr>
            <w:r w:rsidRPr="00C1603D">
              <w:t>2.765</w:t>
            </w:r>
          </w:p>
        </w:tc>
      </w:tr>
      <w:tr w:rsidR="00A10A95" w:rsidRPr="00C1603D" w14:paraId="56245699" w14:textId="77777777" w:rsidTr="00A10A95">
        <w:trPr>
          <w:cantSplit/>
        </w:trPr>
        <w:tc>
          <w:tcPr>
            <w:tcW w:w="0" w:type="auto"/>
            <w:shd w:val="clear" w:color="auto" w:fill="auto"/>
            <w:tcMar>
              <w:top w:w="15" w:type="dxa"/>
              <w:left w:w="15" w:type="dxa"/>
              <w:bottom w:w="0" w:type="dxa"/>
              <w:right w:w="15" w:type="dxa"/>
            </w:tcMar>
          </w:tcPr>
          <w:p w14:paraId="441ED36F" w14:textId="77777777" w:rsidR="008B4DF8" w:rsidRPr="00C1603D" w:rsidRDefault="008B4DF8" w:rsidP="00A10A95">
            <w:pPr>
              <w:pStyle w:val="72TabletextTablesTableFigureBoxstyles"/>
            </w:pPr>
            <w:r w:rsidRPr="00C1603D">
              <w:t>Fractures (count 1 year)</w:t>
            </w:r>
          </w:p>
        </w:tc>
        <w:tc>
          <w:tcPr>
            <w:tcW w:w="0" w:type="auto"/>
            <w:shd w:val="clear" w:color="auto" w:fill="auto"/>
            <w:tcMar>
              <w:top w:w="15" w:type="dxa"/>
              <w:left w:w="15" w:type="dxa"/>
              <w:bottom w:w="0" w:type="dxa"/>
              <w:right w:w="15" w:type="dxa"/>
            </w:tcMar>
          </w:tcPr>
          <w:p w14:paraId="6DA2306C" w14:textId="77777777" w:rsidR="008B4DF8" w:rsidRPr="00C1603D" w:rsidRDefault="008B4DF8" w:rsidP="00A10A95">
            <w:pPr>
              <w:pStyle w:val="72TabletextTablesTableFigureBoxstyles"/>
            </w:pPr>
            <w:r w:rsidRPr="00C1603D">
              <w:t>0.196</w:t>
            </w:r>
          </w:p>
        </w:tc>
        <w:tc>
          <w:tcPr>
            <w:tcW w:w="0" w:type="auto"/>
            <w:shd w:val="clear" w:color="auto" w:fill="auto"/>
            <w:tcMar>
              <w:top w:w="15" w:type="dxa"/>
              <w:left w:w="15" w:type="dxa"/>
              <w:bottom w:w="0" w:type="dxa"/>
              <w:right w:w="15" w:type="dxa"/>
            </w:tcMar>
          </w:tcPr>
          <w:p w14:paraId="02289D0B" w14:textId="48F5E331" w:rsidR="008B4DF8" w:rsidRPr="00C1603D" w:rsidRDefault="008B4DF8" w:rsidP="00A10A95">
            <w:pPr>
              <w:pStyle w:val="72TabletextTablesTableFigureBoxstyles"/>
            </w:pPr>
            <w:r w:rsidRPr="00C1603D">
              <w:t xml:space="preserve">0.203 </w:t>
            </w:r>
            <w:r w:rsidRPr="00C1603D">
              <w:rPr>
                <w:color w:val="00B0F0"/>
              </w:rPr>
              <w:t>(</w:t>
            </w:r>
            <w:r w:rsidRPr="00C1603D">
              <w:t>0.167</w:t>
            </w:r>
            <w:r w:rsidR="00590883" w:rsidRPr="00C1603D">
              <w:t>–</w:t>
            </w:r>
            <w:r w:rsidRPr="00C1603D">
              <w:t>0.241)</w:t>
            </w:r>
          </w:p>
        </w:tc>
        <w:tc>
          <w:tcPr>
            <w:tcW w:w="0" w:type="auto"/>
            <w:shd w:val="clear" w:color="auto" w:fill="auto"/>
            <w:tcMar>
              <w:top w:w="15" w:type="dxa"/>
              <w:left w:w="15" w:type="dxa"/>
              <w:bottom w:w="0" w:type="dxa"/>
              <w:right w:w="15" w:type="dxa"/>
            </w:tcMar>
          </w:tcPr>
          <w:p w14:paraId="6B1D6192" w14:textId="77777777" w:rsidR="008B4DF8" w:rsidRPr="00C1603D" w:rsidRDefault="008B4DF8" w:rsidP="00A10A95">
            <w:pPr>
              <w:pStyle w:val="72TabletextTablesTableFigureBoxstyles"/>
            </w:pPr>
            <w:r w:rsidRPr="00C1603D">
              <w:t>0.205</w:t>
            </w:r>
          </w:p>
        </w:tc>
        <w:tc>
          <w:tcPr>
            <w:tcW w:w="0" w:type="auto"/>
            <w:shd w:val="clear" w:color="auto" w:fill="auto"/>
            <w:tcMar>
              <w:top w:w="15" w:type="dxa"/>
              <w:left w:w="15" w:type="dxa"/>
              <w:bottom w:w="0" w:type="dxa"/>
              <w:right w:w="15" w:type="dxa"/>
            </w:tcMar>
          </w:tcPr>
          <w:p w14:paraId="61350F2E" w14:textId="77777777" w:rsidR="008B4DF8" w:rsidRPr="00C1603D" w:rsidRDefault="008B4DF8" w:rsidP="00A10A95">
            <w:pPr>
              <w:pStyle w:val="72TabletextTablesTableFigureBoxstyles"/>
            </w:pPr>
            <w:r w:rsidRPr="00C1603D">
              <w:t>1.217</w:t>
            </w:r>
          </w:p>
        </w:tc>
        <w:tc>
          <w:tcPr>
            <w:tcW w:w="0" w:type="auto"/>
            <w:shd w:val="clear" w:color="auto" w:fill="auto"/>
            <w:tcMar>
              <w:top w:w="15" w:type="dxa"/>
              <w:left w:w="15" w:type="dxa"/>
              <w:bottom w:w="0" w:type="dxa"/>
              <w:right w:w="15" w:type="dxa"/>
            </w:tcMar>
          </w:tcPr>
          <w:p w14:paraId="4B945344" w14:textId="77777777" w:rsidR="008B4DF8" w:rsidRPr="00C1603D" w:rsidRDefault="008B4DF8" w:rsidP="00A10A95">
            <w:pPr>
              <w:pStyle w:val="72TabletextTablesTableFigureBoxstyles"/>
            </w:pPr>
            <w:r w:rsidRPr="00C1603D">
              <w:t>1.228</w:t>
            </w:r>
          </w:p>
        </w:tc>
        <w:tc>
          <w:tcPr>
            <w:tcW w:w="0" w:type="auto"/>
            <w:shd w:val="clear" w:color="auto" w:fill="auto"/>
            <w:tcMar>
              <w:top w:w="15" w:type="dxa"/>
              <w:left w:w="15" w:type="dxa"/>
              <w:bottom w:w="0" w:type="dxa"/>
              <w:right w:w="15" w:type="dxa"/>
            </w:tcMar>
          </w:tcPr>
          <w:p w14:paraId="144B45B3" w14:textId="77777777" w:rsidR="008B4DF8" w:rsidRPr="00C1603D" w:rsidRDefault="008B4DF8" w:rsidP="00A10A95">
            <w:pPr>
              <w:pStyle w:val="72TabletextTablesTableFigureBoxstyles"/>
            </w:pPr>
            <w:r w:rsidRPr="00C1603D">
              <w:t>0.561</w:t>
            </w:r>
          </w:p>
        </w:tc>
        <w:tc>
          <w:tcPr>
            <w:tcW w:w="0" w:type="auto"/>
            <w:shd w:val="clear" w:color="auto" w:fill="auto"/>
            <w:tcMar>
              <w:top w:w="15" w:type="dxa"/>
              <w:left w:w="15" w:type="dxa"/>
              <w:bottom w:w="0" w:type="dxa"/>
              <w:right w:w="15" w:type="dxa"/>
            </w:tcMar>
          </w:tcPr>
          <w:p w14:paraId="26BDB062" w14:textId="77777777" w:rsidR="008B4DF8" w:rsidRPr="00C1603D" w:rsidRDefault="008B4DF8" w:rsidP="00A10A95">
            <w:pPr>
              <w:pStyle w:val="72TabletextTablesTableFigureBoxstyles"/>
            </w:pPr>
            <w:r w:rsidRPr="00C1603D">
              <w:t>1.752</w:t>
            </w:r>
          </w:p>
        </w:tc>
      </w:tr>
      <w:tr w:rsidR="00A10A95" w:rsidRPr="00C1603D" w14:paraId="39654FC9" w14:textId="77777777" w:rsidTr="00A10A95">
        <w:trPr>
          <w:cantSplit/>
        </w:trPr>
        <w:tc>
          <w:tcPr>
            <w:tcW w:w="0" w:type="auto"/>
            <w:shd w:val="clear" w:color="auto" w:fill="auto"/>
            <w:tcMar>
              <w:top w:w="15" w:type="dxa"/>
              <w:left w:w="15" w:type="dxa"/>
              <w:bottom w:w="0" w:type="dxa"/>
              <w:right w:w="15" w:type="dxa"/>
            </w:tcMar>
          </w:tcPr>
          <w:p w14:paraId="4B1B11DC" w14:textId="77777777" w:rsidR="008B4DF8" w:rsidRPr="00C1603D" w:rsidRDefault="008B4DF8" w:rsidP="00A10A95">
            <w:pPr>
              <w:pStyle w:val="72TabletextTablesTableFigureBoxstyles"/>
            </w:pPr>
            <w:r w:rsidRPr="00C1603D">
              <w:t>Cardiovascular disease</w:t>
            </w:r>
          </w:p>
        </w:tc>
        <w:tc>
          <w:tcPr>
            <w:tcW w:w="0" w:type="auto"/>
            <w:shd w:val="clear" w:color="auto" w:fill="auto"/>
            <w:tcMar>
              <w:top w:w="15" w:type="dxa"/>
              <w:left w:w="15" w:type="dxa"/>
              <w:bottom w:w="0" w:type="dxa"/>
              <w:right w:w="15" w:type="dxa"/>
            </w:tcMar>
          </w:tcPr>
          <w:p w14:paraId="6888FC70" w14:textId="77777777" w:rsidR="008B4DF8" w:rsidRPr="00C1603D" w:rsidRDefault="008B4DF8" w:rsidP="00A10A95">
            <w:pPr>
              <w:pStyle w:val="72TabletextTablesTableFigureBoxstyles"/>
            </w:pPr>
            <w:r w:rsidRPr="00C1603D">
              <w:t>0.196</w:t>
            </w:r>
          </w:p>
        </w:tc>
        <w:tc>
          <w:tcPr>
            <w:tcW w:w="0" w:type="auto"/>
            <w:shd w:val="clear" w:color="auto" w:fill="auto"/>
            <w:tcMar>
              <w:top w:w="15" w:type="dxa"/>
              <w:left w:w="15" w:type="dxa"/>
              <w:bottom w:w="0" w:type="dxa"/>
              <w:right w:w="15" w:type="dxa"/>
            </w:tcMar>
          </w:tcPr>
          <w:p w14:paraId="6A493485" w14:textId="224A2C04" w:rsidR="008B4DF8" w:rsidRPr="00C1603D" w:rsidRDefault="008B4DF8" w:rsidP="00A10A95">
            <w:pPr>
              <w:pStyle w:val="72TabletextTablesTableFigureBoxstyles"/>
            </w:pPr>
            <w:r w:rsidRPr="00C1603D">
              <w:t xml:space="preserve">0.190 </w:t>
            </w:r>
            <w:r w:rsidRPr="00C1603D">
              <w:rPr>
                <w:color w:val="00B0F0"/>
              </w:rPr>
              <w:t>(</w:t>
            </w:r>
            <w:r w:rsidRPr="00C1603D">
              <w:t>0.139</w:t>
            </w:r>
            <w:r w:rsidR="00590883" w:rsidRPr="00C1603D">
              <w:t>–</w:t>
            </w:r>
            <w:r w:rsidRPr="00C1603D">
              <w:t>0.222)</w:t>
            </w:r>
          </w:p>
        </w:tc>
        <w:tc>
          <w:tcPr>
            <w:tcW w:w="0" w:type="auto"/>
            <w:shd w:val="clear" w:color="auto" w:fill="auto"/>
            <w:tcMar>
              <w:top w:w="15" w:type="dxa"/>
              <w:left w:w="15" w:type="dxa"/>
              <w:bottom w:w="0" w:type="dxa"/>
              <w:right w:w="15" w:type="dxa"/>
            </w:tcMar>
          </w:tcPr>
          <w:p w14:paraId="1570B85F" w14:textId="77777777" w:rsidR="008B4DF8" w:rsidRPr="00C1603D" w:rsidRDefault="008B4DF8" w:rsidP="00A10A95">
            <w:pPr>
              <w:pStyle w:val="72TabletextTablesTableFigureBoxstyles"/>
            </w:pPr>
            <w:r w:rsidRPr="00C1603D">
              <w:t>0.206</w:t>
            </w:r>
          </w:p>
        </w:tc>
        <w:tc>
          <w:tcPr>
            <w:tcW w:w="0" w:type="auto"/>
            <w:shd w:val="clear" w:color="auto" w:fill="auto"/>
            <w:tcMar>
              <w:top w:w="15" w:type="dxa"/>
              <w:left w:w="15" w:type="dxa"/>
              <w:bottom w:w="0" w:type="dxa"/>
              <w:right w:w="15" w:type="dxa"/>
            </w:tcMar>
          </w:tcPr>
          <w:p w14:paraId="205DD720" w14:textId="77777777" w:rsidR="008B4DF8" w:rsidRPr="00C1603D" w:rsidRDefault="008B4DF8" w:rsidP="00A10A95">
            <w:pPr>
              <w:pStyle w:val="72TabletextTablesTableFigureBoxstyles"/>
            </w:pPr>
            <w:r w:rsidRPr="00C1603D">
              <w:t>1.216</w:t>
            </w:r>
          </w:p>
        </w:tc>
        <w:tc>
          <w:tcPr>
            <w:tcW w:w="0" w:type="auto"/>
            <w:shd w:val="clear" w:color="auto" w:fill="auto"/>
            <w:tcMar>
              <w:top w:w="15" w:type="dxa"/>
              <w:left w:w="15" w:type="dxa"/>
              <w:bottom w:w="0" w:type="dxa"/>
              <w:right w:w="15" w:type="dxa"/>
            </w:tcMar>
          </w:tcPr>
          <w:p w14:paraId="4B12AC75" w14:textId="77777777" w:rsidR="008B4DF8" w:rsidRPr="00C1603D" w:rsidRDefault="008B4DF8" w:rsidP="00A10A95">
            <w:pPr>
              <w:pStyle w:val="72TabletextTablesTableFigureBoxstyles"/>
            </w:pPr>
            <w:r w:rsidRPr="00C1603D">
              <w:t>1.229</w:t>
            </w:r>
          </w:p>
        </w:tc>
        <w:tc>
          <w:tcPr>
            <w:tcW w:w="0" w:type="auto"/>
            <w:shd w:val="clear" w:color="auto" w:fill="auto"/>
            <w:tcMar>
              <w:top w:w="15" w:type="dxa"/>
              <w:left w:w="15" w:type="dxa"/>
              <w:bottom w:w="0" w:type="dxa"/>
              <w:right w:w="15" w:type="dxa"/>
            </w:tcMar>
          </w:tcPr>
          <w:p w14:paraId="266EE96F" w14:textId="77777777" w:rsidR="008B4DF8" w:rsidRPr="00C1603D" w:rsidRDefault="008B4DF8" w:rsidP="00A10A95">
            <w:pPr>
              <w:pStyle w:val="72TabletextTablesTableFigureBoxstyles"/>
            </w:pPr>
            <w:r w:rsidRPr="00C1603D">
              <w:t>0.370</w:t>
            </w:r>
          </w:p>
        </w:tc>
        <w:tc>
          <w:tcPr>
            <w:tcW w:w="0" w:type="auto"/>
            <w:shd w:val="clear" w:color="auto" w:fill="auto"/>
            <w:tcMar>
              <w:top w:w="15" w:type="dxa"/>
              <w:left w:w="15" w:type="dxa"/>
              <w:bottom w:w="0" w:type="dxa"/>
              <w:right w:w="15" w:type="dxa"/>
            </w:tcMar>
          </w:tcPr>
          <w:p w14:paraId="07FE1481" w14:textId="77777777" w:rsidR="008B4DF8" w:rsidRPr="00C1603D" w:rsidRDefault="008B4DF8" w:rsidP="00A10A95">
            <w:pPr>
              <w:pStyle w:val="72TabletextTablesTableFigureBoxstyles"/>
            </w:pPr>
            <w:r w:rsidRPr="00C1603D">
              <w:t>1.448</w:t>
            </w:r>
          </w:p>
        </w:tc>
      </w:tr>
      <w:tr w:rsidR="00A10A95" w:rsidRPr="00C1603D" w14:paraId="2E78C155" w14:textId="77777777" w:rsidTr="00A10A95">
        <w:trPr>
          <w:cantSplit/>
        </w:trPr>
        <w:tc>
          <w:tcPr>
            <w:tcW w:w="0" w:type="auto"/>
            <w:shd w:val="clear" w:color="auto" w:fill="auto"/>
            <w:tcMar>
              <w:top w:w="15" w:type="dxa"/>
              <w:left w:w="15" w:type="dxa"/>
              <w:bottom w:w="0" w:type="dxa"/>
              <w:right w:w="15" w:type="dxa"/>
            </w:tcMar>
          </w:tcPr>
          <w:p w14:paraId="7EB2B153" w14:textId="02DBE83C" w:rsidR="008B4DF8" w:rsidRPr="00C1603D" w:rsidRDefault="008B4DF8" w:rsidP="00A10A95">
            <w:pPr>
              <w:pStyle w:val="72TabletextTablesTableFigureBoxstyles"/>
            </w:pPr>
            <w:r w:rsidRPr="00C1603D">
              <w:t xml:space="preserve">Neuropathy </w:t>
            </w:r>
            <w:r w:rsidR="004539F5" w:rsidRPr="00C1603D">
              <w:t xml:space="preserve">or </w:t>
            </w:r>
            <w:r w:rsidRPr="00C1603D">
              <w:t>ataxia</w:t>
            </w:r>
          </w:p>
        </w:tc>
        <w:tc>
          <w:tcPr>
            <w:tcW w:w="0" w:type="auto"/>
            <w:shd w:val="clear" w:color="auto" w:fill="auto"/>
            <w:tcMar>
              <w:top w:w="15" w:type="dxa"/>
              <w:left w:w="15" w:type="dxa"/>
              <w:bottom w:w="0" w:type="dxa"/>
              <w:right w:w="15" w:type="dxa"/>
            </w:tcMar>
          </w:tcPr>
          <w:p w14:paraId="2849BF28" w14:textId="77777777" w:rsidR="008B4DF8" w:rsidRPr="00C1603D" w:rsidRDefault="008B4DF8" w:rsidP="00A10A95">
            <w:pPr>
              <w:pStyle w:val="72TabletextTablesTableFigureBoxstyles"/>
            </w:pPr>
            <w:r w:rsidRPr="00C1603D">
              <w:t>0.179</w:t>
            </w:r>
          </w:p>
        </w:tc>
        <w:tc>
          <w:tcPr>
            <w:tcW w:w="0" w:type="auto"/>
            <w:shd w:val="clear" w:color="auto" w:fill="auto"/>
            <w:tcMar>
              <w:top w:w="15" w:type="dxa"/>
              <w:left w:w="15" w:type="dxa"/>
              <w:bottom w:w="0" w:type="dxa"/>
              <w:right w:w="15" w:type="dxa"/>
            </w:tcMar>
          </w:tcPr>
          <w:p w14:paraId="30371AB4" w14:textId="6D362AE9" w:rsidR="008B4DF8" w:rsidRPr="00C1603D" w:rsidRDefault="008B4DF8" w:rsidP="00A10A95">
            <w:pPr>
              <w:pStyle w:val="72TabletextTablesTableFigureBoxstyles"/>
            </w:pPr>
            <w:r w:rsidRPr="00C1603D">
              <w:t xml:space="preserve">0.178 </w:t>
            </w:r>
            <w:r w:rsidRPr="00C1603D">
              <w:rPr>
                <w:color w:val="00B0F0"/>
              </w:rPr>
              <w:t>(</w:t>
            </w:r>
            <w:r w:rsidRPr="00C1603D">
              <w:t>0.074</w:t>
            </w:r>
            <w:r w:rsidR="00590883" w:rsidRPr="00C1603D">
              <w:t>–</w:t>
            </w:r>
            <w:r w:rsidRPr="00C1603D">
              <w:t>0.311)</w:t>
            </w:r>
          </w:p>
        </w:tc>
        <w:tc>
          <w:tcPr>
            <w:tcW w:w="0" w:type="auto"/>
            <w:shd w:val="clear" w:color="auto" w:fill="auto"/>
            <w:tcMar>
              <w:top w:w="15" w:type="dxa"/>
              <w:left w:w="15" w:type="dxa"/>
              <w:bottom w:w="0" w:type="dxa"/>
              <w:right w:w="15" w:type="dxa"/>
            </w:tcMar>
          </w:tcPr>
          <w:p w14:paraId="4D083592" w14:textId="77777777" w:rsidR="008B4DF8" w:rsidRPr="00C1603D" w:rsidRDefault="008B4DF8" w:rsidP="00A10A95">
            <w:pPr>
              <w:pStyle w:val="72TabletextTablesTableFigureBoxstyles"/>
            </w:pPr>
            <w:r w:rsidRPr="00C1603D">
              <w:t>0.203</w:t>
            </w:r>
          </w:p>
        </w:tc>
        <w:tc>
          <w:tcPr>
            <w:tcW w:w="0" w:type="auto"/>
            <w:shd w:val="clear" w:color="auto" w:fill="auto"/>
            <w:tcMar>
              <w:top w:w="15" w:type="dxa"/>
              <w:left w:w="15" w:type="dxa"/>
              <w:bottom w:w="0" w:type="dxa"/>
              <w:right w:w="15" w:type="dxa"/>
            </w:tcMar>
          </w:tcPr>
          <w:p w14:paraId="4EFBF522" w14:textId="77777777" w:rsidR="008B4DF8" w:rsidRPr="00C1603D" w:rsidRDefault="008B4DF8" w:rsidP="00A10A95">
            <w:pPr>
              <w:pStyle w:val="72TabletextTablesTableFigureBoxstyles"/>
            </w:pPr>
            <w:r w:rsidRPr="00C1603D">
              <w:t>1.196</w:t>
            </w:r>
          </w:p>
        </w:tc>
        <w:tc>
          <w:tcPr>
            <w:tcW w:w="0" w:type="auto"/>
            <w:shd w:val="clear" w:color="auto" w:fill="auto"/>
            <w:tcMar>
              <w:top w:w="15" w:type="dxa"/>
              <w:left w:w="15" w:type="dxa"/>
              <w:bottom w:w="0" w:type="dxa"/>
              <w:right w:w="15" w:type="dxa"/>
            </w:tcMar>
          </w:tcPr>
          <w:p w14:paraId="32F8040D" w14:textId="77777777" w:rsidR="008B4DF8" w:rsidRPr="00C1603D" w:rsidRDefault="008B4DF8" w:rsidP="00A10A95">
            <w:pPr>
              <w:pStyle w:val="72TabletextTablesTableFigureBoxstyles"/>
            </w:pPr>
            <w:r w:rsidRPr="00C1603D">
              <w:t>1.225</w:t>
            </w:r>
          </w:p>
        </w:tc>
        <w:tc>
          <w:tcPr>
            <w:tcW w:w="0" w:type="auto"/>
            <w:shd w:val="clear" w:color="auto" w:fill="auto"/>
            <w:tcMar>
              <w:top w:w="15" w:type="dxa"/>
              <w:left w:w="15" w:type="dxa"/>
              <w:bottom w:w="0" w:type="dxa"/>
              <w:right w:w="15" w:type="dxa"/>
            </w:tcMar>
          </w:tcPr>
          <w:p w14:paraId="6FC0335F" w14:textId="77777777" w:rsidR="008B4DF8" w:rsidRPr="00C1603D" w:rsidRDefault="008B4DF8" w:rsidP="00A10A95">
            <w:pPr>
              <w:pStyle w:val="72TabletextTablesTableFigureBoxstyles"/>
            </w:pPr>
            <w:r w:rsidRPr="00C1603D">
              <w:t>0.703</w:t>
            </w:r>
          </w:p>
        </w:tc>
        <w:tc>
          <w:tcPr>
            <w:tcW w:w="0" w:type="auto"/>
            <w:shd w:val="clear" w:color="auto" w:fill="auto"/>
            <w:tcMar>
              <w:top w:w="15" w:type="dxa"/>
              <w:left w:w="15" w:type="dxa"/>
              <w:bottom w:w="0" w:type="dxa"/>
              <w:right w:w="15" w:type="dxa"/>
            </w:tcMar>
          </w:tcPr>
          <w:p w14:paraId="3B7FBCBF" w14:textId="77777777" w:rsidR="008B4DF8" w:rsidRPr="00C1603D" w:rsidRDefault="008B4DF8" w:rsidP="00A10A95">
            <w:pPr>
              <w:pStyle w:val="72TabletextTablesTableFigureBoxstyles"/>
            </w:pPr>
            <w:r w:rsidRPr="00C1603D">
              <w:t>2.020</w:t>
            </w:r>
          </w:p>
        </w:tc>
      </w:tr>
      <w:tr w:rsidR="00A10A95" w:rsidRPr="00C1603D" w14:paraId="1A898947" w14:textId="77777777" w:rsidTr="00A10A95">
        <w:trPr>
          <w:cantSplit/>
        </w:trPr>
        <w:tc>
          <w:tcPr>
            <w:tcW w:w="0" w:type="auto"/>
            <w:shd w:val="clear" w:color="auto" w:fill="auto"/>
            <w:tcMar>
              <w:top w:w="15" w:type="dxa"/>
              <w:left w:w="15" w:type="dxa"/>
              <w:bottom w:w="0" w:type="dxa"/>
              <w:right w:w="15" w:type="dxa"/>
            </w:tcMar>
          </w:tcPr>
          <w:p w14:paraId="699D9A77" w14:textId="77777777" w:rsidR="008B4DF8" w:rsidRPr="00C1603D" w:rsidRDefault="008B4DF8" w:rsidP="00A10A95">
            <w:pPr>
              <w:pStyle w:val="72TabletextTablesTableFigureBoxstyles"/>
            </w:pPr>
            <w:r w:rsidRPr="00C1603D">
              <w:t>Fatigue</w:t>
            </w:r>
          </w:p>
        </w:tc>
        <w:tc>
          <w:tcPr>
            <w:tcW w:w="0" w:type="auto"/>
            <w:shd w:val="clear" w:color="auto" w:fill="auto"/>
            <w:tcMar>
              <w:top w:w="15" w:type="dxa"/>
              <w:left w:w="15" w:type="dxa"/>
              <w:bottom w:w="0" w:type="dxa"/>
              <w:right w:w="15" w:type="dxa"/>
            </w:tcMar>
          </w:tcPr>
          <w:p w14:paraId="5E3BB719" w14:textId="77777777" w:rsidR="008B4DF8" w:rsidRPr="00C1603D" w:rsidRDefault="008B4DF8" w:rsidP="00A10A95">
            <w:pPr>
              <w:pStyle w:val="72TabletextTablesTableFigureBoxstyles"/>
            </w:pPr>
            <w:r w:rsidRPr="00C1603D">
              <w:t>0.153</w:t>
            </w:r>
          </w:p>
        </w:tc>
        <w:tc>
          <w:tcPr>
            <w:tcW w:w="0" w:type="auto"/>
            <w:shd w:val="clear" w:color="auto" w:fill="auto"/>
            <w:tcMar>
              <w:top w:w="15" w:type="dxa"/>
              <w:left w:w="15" w:type="dxa"/>
              <w:bottom w:w="0" w:type="dxa"/>
              <w:right w:w="15" w:type="dxa"/>
            </w:tcMar>
          </w:tcPr>
          <w:p w14:paraId="33EC1B31" w14:textId="2B16AFCA" w:rsidR="008B4DF8" w:rsidRPr="00C1603D" w:rsidRDefault="008B4DF8" w:rsidP="00A10A95">
            <w:pPr>
              <w:pStyle w:val="72TabletextTablesTableFigureBoxstyles"/>
            </w:pPr>
            <w:r w:rsidRPr="00C1603D">
              <w:t xml:space="preserve">0.151 </w:t>
            </w:r>
            <w:r w:rsidRPr="00C1603D">
              <w:rPr>
                <w:color w:val="00B0F0"/>
              </w:rPr>
              <w:t>(</w:t>
            </w:r>
            <w:r w:rsidRPr="00C1603D">
              <w:t>0.127</w:t>
            </w:r>
            <w:r w:rsidR="00590883" w:rsidRPr="00C1603D">
              <w:t>–</w:t>
            </w:r>
            <w:r w:rsidRPr="00C1603D">
              <w:t>0.178)</w:t>
            </w:r>
          </w:p>
        </w:tc>
        <w:tc>
          <w:tcPr>
            <w:tcW w:w="0" w:type="auto"/>
            <w:shd w:val="clear" w:color="auto" w:fill="auto"/>
            <w:tcMar>
              <w:top w:w="15" w:type="dxa"/>
              <w:left w:w="15" w:type="dxa"/>
              <w:bottom w:w="0" w:type="dxa"/>
              <w:right w:w="15" w:type="dxa"/>
            </w:tcMar>
          </w:tcPr>
          <w:p w14:paraId="03DBE9DE" w14:textId="77777777" w:rsidR="008B4DF8" w:rsidRPr="00C1603D" w:rsidRDefault="008B4DF8" w:rsidP="00A10A95">
            <w:pPr>
              <w:pStyle w:val="72TabletextTablesTableFigureBoxstyles"/>
            </w:pPr>
            <w:r w:rsidRPr="00C1603D">
              <w:t>0.149</w:t>
            </w:r>
          </w:p>
        </w:tc>
        <w:tc>
          <w:tcPr>
            <w:tcW w:w="0" w:type="auto"/>
            <w:shd w:val="clear" w:color="auto" w:fill="auto"/>
            <w:tcMar>
              <w:top w:w="15" w:type="dxa"/>
              <w:left w:w="15" w:type="dxa"/>
              <w:bottom w:w="0" w:type="dxa"/>
              <w:right w:w="15" w:type="dxa"/>
            </w:tcMar>
          </w:tcPr>
          <w:p w14:paraId="26A78C91" w14:textId="77777777" w:rsidR="008B4DF8" w:rsidRPr="00C1603D" w:rsidRDefault="008B4DF8" w:rsidP="00A10A95">
            <w:pPr>
              <w:pStyle w:val="72TabletextTablesTableFigureBoxstyles"/>
            </w:pPr>
            <w:r w:rsidRPr="00C1603D">
              <w:t>1.165</w:t>
            </w:r>
          </w:p>
        </w:tc>
        <w:tc>
          <w:tcPr>
            <w:tcW w:w="0" w:type="auto"/>
            <w:shd w:val="clear" w:color="auto" w:fill="auto"/>
            <w:tcMar>
              <w:top w:w="15" w:type="dxa"/>
              <w:left w:w="15" w:type="dxa"/>
              <w:bottom w:w="0" w:type="dxa"/>
              <w:right w:w="15" w:type="dxa"/>
            </w:tcMar>
          </w:tcPr>
          <w:p w14:paraId="04C862E2" w14:textId="77777777" w:rsidR="008B4DF8" w:rsidRPr="00C1603D" w:rsidRDefault="008B4DF8" w:rsidP="00A10A95">
            <w:pPr>
              <w:pStyle w:val="72TabletextTablesTableFigureBoxstyles"/>
            </w:pPr>
            <w:r w:rsidRPr="00C1603D">
              <w:t>1.160</w:t>
            </w:r>
          </w:p>
        </w:tc>
        <w:tc>
          <w:tcPr>
            <w:tcW w:w="0" w:type="auto"/>
            <w:shd w:val="clear" w:color="auto" w:fill="auto"/>
            <w:tcMar>
              <w:top w:w="15" w:type="dxa"/>
              <w:left w:w="15" w:type="dxa"/>
              <w:bottom w:w="0" w:type="dxa"/>
              <w:right w:w="15" w:type="dxa"/>
            </w:tcMar>
          </w:tcPr>
          <w:p w14:paraId="1686212A" w14:textId="77777777" w:rsidR="008B4DF8" w:rsidRPr="00C1603D" w:rsidRDefault="008B4DF8" w:rsidP="00A10A95">
            <w:pPr>
              <w:pStyle w:val="72TabletextTablesTableFigureBoxstyles"/>
            </w:pPr>
            <w:r w:rsidRPr="00C1603D">
              <w:t>0.853</w:t>
            </w:r>
          </w:p>
        </w:tc>
        <w:tc>
          <w:tcPr>
            <w:tcW w:w="0" w:type="auto"/>
            <w:shd w:val="clear" w:color="auto" w:fill="auto"/>
            <w:tcMar>
              <w:top w:w="15" w:type="dxa"/>
              <w:left w:w="15" w:type="dxa"/>
              <w:bottom w:w="0" w:type="dxa"/>
              <w:right w:w="15" w:type="dxa"/>
            </w:tcMar>
          </w:tcPr>
          <w:p w14:paraId="32B3106A" w14:textId="77777777" w:rsidR="008B4DF8" w:rsidRPr="00C1603D" w:rsidRDefault="008B4DF8" w:rsidP="00A10A95">
            <w:pPr>
              <w:pStyle w:val="72TabletextTablesTableFigureBoxstyles"/>
            </w:pPr>
            <w:r w:rsidRPr="00C1603D">
              <w:t>2.347</w:t>
            </w:r>
          </w:p>
        </w:tc>
      </w:tr>
      <w:tr w:rsidR="00A10A95" w:rsidRPr="00C1603D" w14:paraId="1EDE3AED" w14:textId="77777777" w:rsidTr="00A10A95">
        <w:trPr>
          <w:cantSplit/>
        </w:trPr>
        <w:tc>
          <w:tcPr>
            <w:tcW w:w="0" w:type="auto"/>
            <w:shd w:val="clear" w:color="auto" w:fill="auto"/>
            <w:tcMar>
              <w:top w:w="15" w:type="dxa"/>
              <w:left w:w="15" w:type="dxa"/>
              <w:bottom w:w="0" w:type="dxa"/>
              <w:right w:w="15" w:type="dxa"/>
            </w:tcMar>
          </w:tcPr>
          <w:p w14:paraId="2964294F" w14:textId="77777777" w:rsidR="008B4DF8" w:rsidRPr="00C1603D" w:rsidRDefault="008B4DF8" w:rsidP="00A10A95">
            <w:pPr>
              <w:pStyle w:val="72TabletextTablesTableFigureBoxstyles"/>
            </w:pPr>
            <w:r w:rsidRPr="00C1603D">
              <w:t>Inflammatory bowel disease</w:t>
            </w:r>
          </w:p>
        </w:tc>
        <w:tc>
          <w:tcPr>
            <w:tcW w:w="0" w:type="auto"/>
            <w:shd w:val="clear" w:color="auto" w:fill="auto"/>
            <w:tcMar>
              <w:top w:w="15" w:type="dxa"/>
              <w:left w:w="15" w:type="dxa"/>
              <w:bottom w:w="0" w:type="dxa"/>
              <w:right w:w="15" w:type="dxa"/>
            </w:tcMar>
          </w:tcPr>
          <w:p w14:paraId="02917E3D" w14:textId="77777777" w:rsidR="008B4DF8" w:rsidRPr="00C1603D" w:rsidRDefault="008B4DF8" w:rsidP="00A10A95">
            <w:pPr>
              <w:pStyle w:val="72TabletextTablesTableFigureBoxstyles"/>
            </w:pPr>
            <w:r w:rsidRPr="00C1603D">
              <w:t>0.138</w:t>
            </w:r>
          </w:p>
        </w:tc>
        <w:tc>
          <w:tcPr>
            <w:tcW w:w="0" w:type="auto"/>
            <w:shd w:val="clear" w:color="auto" w:fill="auto"/>
            <w:tcMar>
              <w:top w:w="15" w:type="dxa"/>
              <w:left w:w="15" w:type="dxa"/>
              <w:bottom w:w="0" w:type="dxa"/>
              <w:right w:w="15" w:type="dxa"/>
            </w:tcMar>
          </w:tcPr>
          <w:p w14:paraId="22A4A907" w14:textId="03D2381A" w:rsidR="008B4DF8" w:rsidRPr="00C1603D" w:rsidRDefault="008B4DF8" w:rsidP="00A10A95">
            <w:pPr>
              <w:pStyle w:val="72TabletextTablesTableFigureBoxstyles"/>
            </w:pPr>
            <w:r w:rsidRPr="00C1603D">
              <w:t xml:space="preserve">0.112 </w:t>
            </w:r>
            <w:r w:rsidRPr="00C1603D">
              <w:rPr>
                <w:color w:val="00B0F0"/>
              </w:rPr>
              <w:t>(</w:t>
            </w:r>
            <w:r w:rsidRPr="00C1603D">
              <w:t>0.000</w:t>
            </w:r>
            <w:r w:rsidR="00590883" w:rsidRPr="00C1603D">
              <w:t>–</w:t>
            </w:r>
            <w:r w:rsidRPr="00C1603D">
              <w:t>0.227)</w:t>
            </w:r>
          </w:p>
        </w:tc>
        <w:tc>
          <w:tcPr>
            <w:tcW w:w="0" w:type="auto"/>
            <w:shd w:val="clear" w:color="auto" w:fill="auto"/>
            <w:tcMar>
              <w:top w:w="15" w:type="dxa"/>
              <w:left w:w="15" w:type="dxa"/>
              <w:bottom w:w="0" w:type="dxa"/>
              <w:right w:w="15" w:type="dxa"/>
            </w:tcMar>
          </w:tcPr>
          <w:p w14:paraId="21F5343C" w14:textId="77777777" w:rsidR="008B4DF8" w:rsidRPr="00C1603D" w:rsidRDefault="008B4DF8" w:rsidP="00A10A95">
            <w:pPr>
              <w:pStyle w:val="72TabletextTablesTableFigureBoxstyles"/>
            </w:pPr>
            <w:r w:rsidRPr="00C1603D">
              <w:t>0.153</w:t>
            </w:r>
          </w:p>
        </w:tc>
        <w:tc>
          <w:tcPr>
            <w:tcW w:w="0" w:type="auto"/>
            <w:shd w:val="clear" w:color="auto" w:fill="auto"/>
            <w:tcMar>
              <w:top w:w="15" w:type="dxa"/>
              <w:left w:w="15" w:type="dxa"/>
              <w:bottom w:w="0" w:type="dxa"/>
              <w:right w:w="15" w:type="dxa"/>
            </w:tcMar>
          </w:tcPr>
          <w:p w14:paraId="56E19F3D" w14:textId="77777777" w:rsidR="008B4DF8" w:rsidRPr="00C1603D" w:rsidRDefault="008B4DF8" w:rsidP="00A10A95">
            <w:pPr>
              <w:pStyle w:val="72TabletextTablesTableFigureBoxstyles"/>
            </w:pPr>
            <w:r w:rsidRPr="00C1603D">
              <w:t>1.148</w:t>
            </w:r>
          </w:p>
        </w:tc>
        <w:tc>
          <w:tcPr>
            <w:tcW w:w="0" w:type="auto"/>
            <w:shd w:val="clear" w:color="auto" w:fill="auto"/>
            <w:tcMar>
              <w:top w:w="15" w:type="dxa"/>
              <w:left w:w="15" w:type="dxa"/>
              <w:bottom w:w="0" w:type="dxa"/>
              <w:right w:w="15" w:type="dxa"/>
            </w:tcMar>
          </w:tcPr>
          <w:p w14:paraId="28A6BEE7" w14:textId="77777777" w:rsidR="008B4DF8" w:rsidRPr="00C1603D" w:rsidRDefault="008B4DF8" w:rsidP="00A10A95">
            <w:pPr>
              <w:pStyle w:val="72TabletextTablesTableFigureBoxstyles"/>
            </w:pPr>
            <w:r w:rsidRPr="00C1603D">
              <w:t>1.165</w:t>
            </w:r>
          </w:p>
        </w:tc>
        <w:tc>
          <w:tcPr>
            <w:tcW w:w="0" w:type="auto"/>
            <w:shd w:val="clear" w:color="auto" w:fill="auto"/>
            <w:tcMar>
              <w:top w:w="15" w:type="dxa"/>
              <w:left w:w="15" w:type="dxa"/>
              <w:bottom w:w="0" w:type="dxa"/>
              <w:right w:w="15" w:type="dxa"/>
            </w:tcMar>
          </w:tcPr>
          <w:p w14:paraId="1FF6724C" w14:textId="77777777" w:rsidR="008B4DF8" w:rsidRPr="00C1603D" w:rsidRDefault="008B4DF8" w:rsidP="00A10A95">
            <w:pPr>
              <w:pStyle w:val="72TabletextTablesTableFigureBoxstyles"/>
            </w:pPr>
            <w:r w:rsidRPr="00C1603D">
              <w:t>0.952</w:t>
            </w:r>
          </w:p>
        </w:tc>
        <w:tc>
          <w:tcPr>
            <w:tcW w:w="0" w:type="auto"/>
            <w:shd w:val="clear" w:color="auto" w:fill="auto"/>
            <w:tcMar>
              <w:top w:w="15" w:type="dxa"/>
              <w:left w:w="15" w:type="dxa"/>
              <w:bottom w:w="0" w:type="dxa"/>
              <w:right w:w="15" w:type="dxa"/>
            </w:tcMar>
          </w:tcPr>
          <w:p w14:paraId="4C8B80EF" w14:textId="77777777" w:rsidR="008B4DF8" w:rsidRPr="00C1603D" w:rsidRDefault="008B4DF8" w:rsidP="00A10A95">
            <w:pPr>
              <w:pStyle w:val="72TabletextTablesTableFigureBoxstyles"/>
            </w:pPr>
            <w:r w:rsidRPr="00C1603D">
              <w:t>2.591</w:t>
            </w:r>
          </w:p>
        </w:tc>
      </w:tr>
      <w:tr w:rsidR="00A10A95" w:rsidRPr="00C1603D" w14:paraId="4158BD0D" w14:textId="77777777" w:rsidTr="00A10A95">
        <w:trPr>
          <w:cantSplit/>
        </w:trPr>
        <w:tc>
          <w:tcPr>
            <w:tcW w:w="0" w:type="auto"/>
            <w:shd w:val="clear" w:color="auto" w:fill="auto"/>
            <w:tcMar>
              <w:top w:w="15" w:type="dxa"/>
              <w:left w:w="15" w:type="dxa"/>
              <w:bottom w:w="0" w:type="dxa"/>
              <w:right w:w="15" w:type="dxa"/>
            </w:tcMar>
          </w:tcPr>
          <w:p w14:paraId="4E87515E" w14:textId="77777777" w:rsidR="008B4DF8" w:rsidRPr="00C1603D" w:rsidRDefault="008B4DF8" w:rsidP="00A10A95">
            <w:pPr>
              <w:pStyle w:val="72TabletextTablesTableFigureBoxstyles"/>
            </w:pPr>
            <w:r w:rsidRPr="00C1603D">
              <w:t>Psoriasis</w:t>
            </w:r>
          </w:p>
        </w:tc>
        <w:tc>
          <w:tcPr>
            <w:tcW w:w="0" w:type="auto"/>
            <w:shd w:val="clear" w:color="auto" w:fill="auto"/>
            <w:tcMar>
              <w:top w:w="15" w:type="dxa"/>
              <w:left w:w="15" w:type="dxa"/>
              <w:bottom w:w="0" w:type="dxa"/>
              <w:right w:w="15" w:type="dxa"/>
            </w:tcMar>
          </w:tcPr>
          <w:p w14:paraId="384950A0" w14:textId="77777777" w:rsidR="008B4DF8" w:rsidRPr="00C1603D" w:rsidRDefault="008B4DF8" w:rsidP="00A10A95">
            <w:pPr>
              <w:pStyle w:val="72TabletextTablesTableFigureBoxstyles"/>
            </w:pPr>
            <w:r w:rsidRPr="00C1603D">
              <w:t>0.048</w:t>
            </w:r>
          </w:p>
        </w:tc>
        <w:tc>
          <w:tcPr>
            <w:tcW w:w="0" w:type="auto"/>
            <w:shd w:val="clear" w:color="auto" w:fill="auto"/>
            <w:tcMar>
              <w:top w:w="15" w:type="dxa"/>
              <w:left w:w="15" w:type="dxa"/>
              <w:bottom w:w="0" w:type="dxa"/>
              <w:right w:w="15" w:type="dxa"/>
            </w:tcMar>
          </w:tcPr>
          <w:p w14:paraId="6FA6DCEB" w14:textId="607B52EF" w:rsidR="008B4DF8" w:rsidRPr="00C1603D" w:rsidRDefault="008B4DF8" w:rsidP="00A10A95">
            <w:pPr>
              <w:pStyle w:val="72TabletextTablesTableFigureBoxstyles"/>
            </w:pPr>
            <w:r w:rsidRPr="00C1603D">
              <w:t xml:space="preserve">0.047 </w:t>
            </w:r>
            <w:r w:rsidRPr="00C1603D">
              <w:rPr>
                <w:color w:val="00B0F0"/>
              </w:rPr>
              <w:t>(</w:t>
            </w:r>
            <w:r w:rsidRPr="00C1603D">
              <w:t>0.000</w:t>
            </w:r>
            <w:r w:rsidR="00590883" w:rsidRPr="00C1603D">
              <w:t>–</w:t>
            </w:r>
            <w:r w:rsidRPr="00C1603D">
              <w:t>0.097)</w:t>
            </w:r>
          </w:p>
        </w:tc>
        <w:tc>
          <w:tcPr>
            <w:tcW w:w="0" w:type="auto"/>
            <w:shd w:val="clear" w:color="auto" w:fill="auto"/>
            <w:tcMar>
              <w:top w:w="15" w:type="dxa"/>
              <w:left w:w="15" w:type="dxa"/>
              <w:bottom w:w="0" w:type="dxa"/>
              <w:right w:w="15" w:type="dxa"/>
            </w:tcMar>
          </w:tcPr>
          <w:p w14:paraId="6F76188E" w14:textId="77777777" w:rsidR="008B4DF8" w:rsidRPr="00C1603D" w:rsidRDefault="008B4DF8" w:rsidP="00A10A95">
            <w:pPr>
              <w:pStyle w:val="72TabletextTablesTableFigureBoxstyles"/>
            </w:pPr>
            <w:r w:rsidRPr="00C1603D">
              <w:t>0.058</w:t>
            </w:r>
          </w:p>
        </w:tc>
        <w:tc>
          <w:tcPr>
            <w:tcW w:w="0" w:type="auto"/>
            <w:shd w:val="clear" w:color="auto" w:fill="auto"/>
            <w:tcMar>
              <w:top w:w="15" w:type="dxa"/>
              <w:left w:w="15" w:type="dxa"/>
              <w:bottom w:w="0" w:type="dxa"/>
              <w:right w:w="15" w:type="dxa"/>
            </w:tcMar>
          </w:tcPr>
          <w:p w14:paraId="20990316" w14:textId="77777777" w:rsidR="008B4DF8" w:rsidRPr="00C1603D" w:rsidRDefault="008B4DF8" w:rsidP="00A10A95">
            <w:pPr>
              <w:pStyle w:val="72TabletextTablesTableFigureBoxstyles"/>
            </w:pPr>
            <w:r w:rsidRPr="00C1603D">
              <w:t>1.050</w:t>
            </w:r>
          </w:p>
        </w:tc>
        <w:tc>
          <w:tcPr>
            <w:tcW w:w="0" w:type="auto"/>
            <w:shd w:val="clear" w:color="auto" w:fill="auto"/>
            <w:tcMar>
              <w:top w:w="15" w:type="dxa"/>
              <w:left w:w="15" w:type="dxa"/>
              <w:bottom w:w="0" w:type="dxa"/>
              <w:right w:w="15" w:type="dxa"/>
            </w:tcMar>
          </w:tcPr>
          <w:p w14:paraId="29183471" w14:textId="77777777" w:rsidR="008B4DF8" w:rsidRPr="00C1603D" w:rsidRDefault="008B4DF8" w:rsidP="00A10A95">
            <w:pPr>
              <w:pStyle w:val="72TabletextTablesTableFigureBoxstyles"/>
            </w:pPr>
            <w:r w:rsidRPr="00C1603D">
              <w:t>1.060</w:t>
            </w:r>
          </w:p>
        </w:tc>
        <w:tc>
          <w:tcPr>
            <w:tcW w:w="0" w:type="auto"/>
            <w:shd w:val="clear" w:color="auto" w:fill="auto"/>
            <w:tcMar>
              <w:top w:w="15" w:type="dxa"/>
              <w:left w:w="15" w:type="dxa"/>
              <w:bottom w:w="0" w:type="dxa"/>
              <w:right w:w="15" w:type="dxa"/>
            </w:tcMar>
          </w:tcPr>
          <w:p w14:paraId="20A0978A" w14:textId="77777777" w:rsidR="008B4DF8" w:rsidRPr="00C1603D" w:rsidRDefault="008B4DF8" w:rsidP="00A10A95">
            <w:pPr>
              <w:pStyle w:val="72TabletextTablesTableFigureBoxstyles"/>
            </w:pPr>
            <w:r w:rsidRPr="00C1603D">
              <w:t>0.299</w:t>
            </w:r>
          </w:p>
        </w:tc>
        <w:tc>
          <w:tcPr>
            <w:tcW w:w="0" w:type="auto"/>
            <w:shd w:val="clear" w:color="auto" w:fill="auto"/>
            <w:tcMar>
              <w:top w:w="15" w:type="dxa"/>
              <w:left w:w="15" w:type="dxa"/>
              <w:bottom w:w="0" w:type="dxa"/>
              <w:right w:w="15" w:type="dxa"/>
            </w:tcMar>
          </w:tcPr>
          <w:p w14:paraId="4BE23D5C" w14:textId="77777777" w:rsidR="008B4DF8" w:rsidRPr="00C1603D" w:rsidRDefault="008B4DF8" w:rsidP="00A10A95">
            <w:pPr>
              <w:pStyle w:val="72TabletextTablesTableFigureBoxstyles"/>
            </w:pPr>
            <w:r w:rsidRPr="00C1603D">
              <w:t>1.349</w:t>
            </w:r>
          </w:p>
        </w:tc>
      </w:tr>
      <w:tr w:rsidR="00A10A95" w:rsidRPr="00C1603D" w14:paraId="1070143A" w14:textId="77777777" w:rsidTr="00A10A95">
        <w:trPr>
          <w:cantSplit/>
        </w:trPr>
        <w:tc>
          <w:tcPr>
            <w:tcW w:w="0" w:type="auto"/>
            <w:shd w:val="clear" w:color="auto" w:fill="auto"/>
            <w:tcMar>
              <w:top w:w="15" w:type="dxa"/>
              <w:left w:w="15" w:type="dxa"/>
              <w:bottom w:w="0" w:type="dxa"/>
              <w:right w:w="15" w:type="dxa"/>
            </w:tcMar>
          </w:tcPr>
          <w:p w14:paraId="04597245" w14:textId="77777777" w:rsidR="008B4DF8" w:rsidRPr="00C1603D" w:rsidRDefault="008B4DF8" w:rsidP="00A10A95">
            <w:pPr>
              <w:pStyle w:val="72TabletextTablesTableFigureBoxstyles"/>
            </w:pPr>
            <w:r w:rsidRPr="00C1603D">
              <w:lastRenderedPageBreak/>
              <w:t>Age</w:t>
            </w:r>
          </w:p>
        </w:tc>
        <w:tc>
          <w:tcPr>
            <w:tcW w:w="0" w:type="auto"/>
            <w:shd w:val="clear" w:color="auto" w:fill="auto"/>
            <w:tcMar>
              <w:top w:w="15" w:type="dxa"/>
              <w:left w:w="15" w:type="dxa"/>
              <w:bottom w:w="0" w:type="dxa"/>
              <w:right w:w="15" w:type="dxa"/>
            </w:tcMar>
          </w:tcPr>
          <w:p w14:paraId="76816CAC" w14:textId="77777777" w:rsidR="008B4DF8" w:rsidRPr="00C1603D" w:rsidRDefault="008B4DF8" w:rsidP="00A10A95">
            <w:pPr>
              <w:pStyle w:val="72TabletextTablesTableFigureBoxstyles"/>
            </w:pPr>
            <w:r w:rsidRPr="00C1603D">
              <w:rPr>
                <w:color w:val="00B0F0"/>
              </w:rPr>
              <w:t>–0</w:t>
            </w:r>
            <w:r w:rsidRPr="00C1603D">
              <w:t>.006</w:t>
            </w:r>
          </w:p>
        </w:tc>
        <w:tc>
          <w:tcPr>
            <w:tcW w:w="0" w:type="auto"/>
            <w:shd w:val="clear" w:color="auto" w:fill="auto"/>
            <w:tcMar>
              <w:top w:w="15" w:type="dxa"/>
              <w:left w:w="15" w:type="dxa"/>
              <w:bottom w:w="0" w:type="dxa"/>
              <w:right w:w="15" w:type="dxa"/>
            </w:tcMar>
          </w:tcPr>
          <w:p w14:paraId="5E32F7BF" w14:textId="65AA37B4" w:rsidR="008B4DF8" w:rsidRPr="00C1603D" w:rsidRDefault="008B4DF8" w:rsidP="00A10A95">
            <w:pPr>
              <w:pStyle w:val="72TabletextTablesTableFigureBoxstyles"/>
            </w:pPr>
            <w:r w:rsidRPr="00C1603D">
              <w:rPr>
                <w:color w:val="00B0F0"/>
              </w:rPr>
              <w:t>–0</w:t>
            </w:r>
            <w:r w:rsidRPr="00C1603D">
              <w:t>.006 (</w:t>
            </w:r>
            <w:r w:rsidRPr="00C1603D">
              <w:rPr>
                <w:color w:val="00B0F0"/>
              </w:rPr>
              <w:t>–0</w:t>
            </w:r>
            <w:r w:rsidRPr="00C1603D">
              <w:t>.006</w:t>
            </w:r>
            <w:r w:rsidR="004E43E8" w:rsidRPr="00C1603D">
              <w:t xml:space="preserve"> to</w:t>
            </w:r>
            <w:r w:rsidRPr="00C1603D">
              <w:t xml:space="preserve"> </w:t>
            </w:r>
            <w:r w:rsidRPr="00C1603D">
              <w:rPr>
                <w:color w:val="00B0F0"/>
              </w:rPr>
              <w:t>–0</w:t>
            </w:r>
            <w:r w:rsidRPr="00C1603D">
              <w:t>.005)</w:t>
            </w:r>
          </w:p>
        </w:tc>
        <w:tc>
          <w:tcPr>
            <w:tcW w:w="0" w:type="auto"/>
            <w:shd w:val="clear" w:color="auto" w:fill="auto"/>
            <w:tcMar>
              <w:top w:w="15" w:type="dxa"/>
              <w:left w:w="15" w:type="dxa"/>
              <w:bottom w:w="0" w:type="dxa"/>
              <w:right w:w="15" w:type="dxa"/>
            </w:tcMar>
          </w:tcPr>
          <w:p w14:paraId="64573E90" w14:textId="77777777" w:rsidR="008B4DF8" w:rsidRPr="00C1603D" w:rsidRDefault="008B4DF8" w:rsidP="00A10A95">
            <w:pPr>
              <w:pStyle w:val="72TabletextTablesTableFigureBoxstyles"/>
            </w:pPr>
            <w:r w:rsidRPr="00C1603D">
              <w:rPr>
                <w:color w:val="00B0F0"/>
              </w:rPr>
              <w:t>–0</w:t>
            </w:r>
            <w:r w:rsidRPr="00C1603D">
              <w:t>.006</w:t>
            </w:r>
          </w:p>
        </w:tc>
        <w:tc>
          <w:tcPr>
            <w:tcW w:w="0" w:type="auto"/>
            <w:shd w:val="clear" w:color="auto" w:fill="auto"/>
            <w:tcMar>
              <w:top w:w="15" w:type="dxa"/>
              <w:left w:w="15" w:type="dxa"/>
              <w:bottom w:w="0" w:type="dxa"/>
              <w:right w:w="15" w:type="dxa"/>
            </w:tcMar>
          </w:tcPr>
          <w:p w14:paraId="020814E6" w14:textId="77777777" w:rsidR="008B4DF8" w:rsidRPr="00C1603D" w:rsidRDefault="008B4DF8" w:rsidP="00A10A95">
            <w:pPr>
              <w:pStyle w:val="72TabletextTablesTableFigureBoxstyles"/>
            </w:pPr>
            <w:r w:rsidRPr="00C1603D">
              <w:t>0.994</w:t>
            </w:r>
          </w:p>
        </w:tc>
        <w:tc>
          <w:tcPr>
            <w:tcW w:w="0" w:type="auto"/>
            <w:shd w:val="clear" w:color="auto" w:fill="auto"/>
            <w:tcMar>
              <w:top w:w="15" w:type="dxa"/>
              <w:left w:w="15" w:type="dxa"/>
              <w:bottom w:w="0" w:type="dxa"/>
              <w:right w:w="15" w:type="dxa"/>
            </w:tcMar>
          </w:tcPr>
          <w:p w14:paraId="0B167554" w14:textId="77777777" w:rsidR="008B4DF8" w:rsidRPr="00C1603D" w:rsidRDefault="008B4DF8" w:rsidP="00A10A95">
            <w:pPr>
              <w:pStyle w:val="72TabletextTablesTableFigureBoxstyles"/>
            </w:pPr>
            <w:r w:rsidRPr="00C1603D">
              <w:t>0.994</w:t>
            </w:r>
          </w:p>
        </w:tc>
        <w:tc>
          <w:tcPr>
            <w:tcW w:w="0" w:type="auto"/>
            <w:shd w:val="clear" w:color="auto" w:fill="auto"/>
            <w:tcMar>
              <w:top w:w="15" w:type="dxa"/>
              <w:left w:w="15" w:type="dxa"/>
              <w:bottom w:w="0" w:type="dxa"/>
              <w:right w:w="15" w:type="dxa"/>
            </w:tcMar>
          </w:tcPr>
          <w:p w14:paraId="779FCCB7" w14:textId="77777777" w:rsidR="008B4DF8" w:rsidRPr="00C1603D" w:rsidRDefault="008B4DF8" w:rsidP="00A10A95">
            <w:pPr>
              <w:pStyle w:val="72TabletextTablesTableFigureBoxstyles"/>
            </w:pPr>
            <w:r w:rsidRPr="00C1603D">
              <w:t>0.001</w:t>
            </w:r>
          </w:p>
        </w:tc>
        <w:tc>
          <w:tcPr>
            <w:tcW w:w="0" w:type="auto"/>
            <w:shd w:val="clear" w:color="auto" w:fill="auto"/>
            <w:tcMar>
              <w:top w:w="15" w:type="dxa"/>
              <w:left w:w="15" w:type="dxa"/>
              <w:bottom w:w="0" w:type="dxa"/>
              <w:right w:w="15" w:type="dxa"/>
            </w:tcMar>
          </w:tcPr>
          <w:p w14:paraId="487D77F7" w14:textId="77777777" w:rsidR="008B4DF8" w:rsidRPr="00C1603D" w:rsidRDefault="008B4DF8" w:rsidP="00A10A95">
            <w:pPr>
              <w:pStyle w:val="72TabletextTablesTableFigureBoxstyles"/>
            </w:pPr>
            <w:r w:rsidRPr="00C1603D">
              <w:t>1.001</w:t>
            </w:r>
          </w:p>
        </w:tc>
      </w:tr>
    </w:tbl>
    <w:p w14:paraId="36C4B236" w14:textId="5A4D16AA" w:rsidR="008B4DF8" w:rsidRPr="00C1603D" w:rsidRDefault="008B4DF8" w:rsidP="008B4DF8">
      <w:pPr>
        <w:pStyle w:val="70TablelegendTablesTableFigureBoxstyles"/>
      </w:pPr>
      <w:bookmarkStart w:id="671" w:name="_Toc99720765"/>
      <w:r w:rsidRPr="00C1603D">
        <w:rPr>
          <w:b/>
        </w:rPr>
        <w:t>TABLE 5</w:t>
      </w:r>
      <w:r w:rsidR="00032460" w:rsidRPr="00C1603D">
        <w:rPr>
          <w:b/>
        </w:rPr>
        <w:t>5</w:t>
      </w:r>
      <w:r w:rsidRPr="00C1603D">
        <w:rPr>
          <w:b/>
        </w:rPr>
        <w:t> </w:t>
      </w:r>
      <w:r w:rsidRPr="00C1603D">
        <w:t xml:space="preserve">Men: </w:t>
      </w:r>
      <w:r w:rsidR="00590883" w:rsidRPr="00C1603D">
        <w:t>m</w:t>
      </w:r>
      <w:r w:rsidRPr="00C1603D">
        <w:t xml:space="preserve">odel coefficients and </w:t>
      </w:r>
      <w:r w:rsidR="00590883" w:rsidRPr="00C1603D">
        <w:t>odds ratios</w:t>
      </w:r>
      <w:r w:rsidRPr="00C1603D">
        <w:t xml:space="preserve"> with and without shrinkage applied</w:t>
      </w:r>
      <w:bookmarkEnd w:id="671"/>
    </w:p>
    <w:tbl>
      <w:tblPr>
        <w:tblW w:w="0" w:type="auto"/>
        <w:tblCellMar>
          <w:top w:w="40" w:type="dxa"/>
          <w:left w:w="60" w:type="dxa"/>
          <w:bottom w:w="40" w:type="dxa"/>
          <w:right w:w="60" w:type="dxa"/>
        </w:tblCellMar>
        <w:tblLook w:val="0600" w:firstRow="0" w:lastRow="0" w:firstColumn="0" w:lastColumn="0" w:noHBand="1" w:noVBand="1"/>
      </w:tblPr>
      <w:tblGrid>
        <w:gridCol w:w="1406"/>
        <w:gridCol w:w="1187"/>
        <w:gridCol w:w="1161"/>
        <w:gridCol w:w="1424"/>
        <w:gridCol w:w="839"/>
        <w:gridCol w:w="881"/>
        <w:gridCol w:w="1076"/>
        <w:gridCol w:w="1052"/>
      </w:tblGrid>
      <w:tr w:rsidR="00590883" w:rsidRPr="00C1603D" w14:paraId="72ED2CFC" w14:textId="77777777" w:rsidTr="00B11A80">
        <w:trPr>
          <w:cantSplit/>
        </w:trPr>
        <w:tc>
          <w:tcPr>
            <w:tcW w:w="0" w:type="auto"/>
            <w:vMerge w:val="restart"/>
            <w:shd w:val="clear" w:color="auto" w:fill="auto"/>
            <w:tcMar>
              <w:top w:w="13" w:type="dxa"/>
              <w:left w:w="13" w:type="dxa"/>
              <w:bottom w:w="0" w:type="dxa"/>
              <w:right w:w="13" w:type="dxa"/>
            </w:tcMar>
          </w:tcPr>
          <w:p w14:paraId="06042DE8" w14:textId="1F667CD2" w:rsidR="00590883" w:rsidRPr="00C1603D" w:rsidRDefault="00590883" w:rsidP="00590883">
            <w:pPr>
              <w:pStyle w:val="710TableheadTablesTableFigureBoxstyles"/>
            </w:pPr>
            <w:r w:rsidRPr="00C1603D">
              <w:t>Selected predictors</w:t>
            </w:r>
          </w:p>
        </w:tc>
        <w:tc>
          <w:tcPr>
            <w:tcW w:w="0" w:type="auto"/>
            <w:vMerge w:val="restart"/>
            <w:shd w:val="clear" w:color="auto" w:fill="auto"/>
            <w:tcMar>
              <w:top w:w="13" w:type="dxa"/>
              <w:left w:w="13" w:type="dxa"/>
              <w:bottom w:w="0" w:type="dxa"/>
              <w:right w:w="13" w:type="dxa"/>
            </w:tcMar>
          </w:tcPr>
          <w:p w14:paraId="6961CD62" w14:textId="2FD43521" w:rsidR="00590883" w:rsidRPr="00C1603D" w:rsidRDefault="00590883" w:rsidP="00590883">
            <w:pPr>
              <w:pStyle w:val="710TableheadTablesTableFigureBoxstyles"/>
            </w:pPr>
            <w:r w:rsidRPr="00C1603D">
              <w:t>Coefficients (apparent model)</w:t>
            </w:r>
          </w:p>
        </w:tc>
        <w:tc>
          <w:tcPr>
            <w:tcW w:w="0" w:type="auto"/>
            <w:vMerge w:val="restart"/>
            <w:shd w:val="clear" w:color="auto" w:fill="auto"/>
            <w:tcMar>
              <w:top w:w="13" w:type="dxa"/>
              <w:left w:w="13" w:type="dxa"/>
              <w:bottom w:w="0" w:type="dxa"/>
              <w:right w:w="13" w:type="dxa"/>
            </w:tcMar>
          </w:tcPr>
          <w:p w14:paraId="681119F7" w14:textId="7D7979C6" w:rsidR="00590883" w:rsidRPr="00C1603D" w:rsidRDefault="00590883" w:rsidP="00590883">
            <w:pPr>
              <w:pStyle w:val="710TableheadTablesTableFigureBoxstyles"/>
            </w:pPr>
            <w:r w:rsidRPr="00C1603D">
              <w:t>200 × bootstrap samples, median (IQR)</w:t>
            </w:r>
          </w:p>
        </w:tc>
        <w:tc>
          <w:tcPr>
            <w:tcW w:w="0" w:type="auto"/>
            <w:vMerge w:val="restart"/>
            <w:shd w:val="clear" w:color="auto" w:fill="auto"/>
            <w:tcMar>
              <w:top w:w="8" w:type="dxa"/>
              <w:left w:w="8" w:type="dxa"/>
              <w:bottom w:w="0" w:type="dxa"/>
              <w:right w:w="8" w:type="dxa"/>
            </w:tcMar>
          </w:tcPr>
          <w:p w14:paraId="731E121D" w14:textId="538CE63C" w:rsidR="00590883" w:rsidRPr="00C1603D" w:rsidRDefault="00590883" w:rsidP="00590883">
            <w:pPr>
              <w:pStyle w:val="710TableheadTablesTableFigureBoxstyles"/>
            </w:pPr>
            <w:r w:rsidRPr="00C1603D">
              <w:t>Coefficients without shrinkage (apparent model)</w:t>
            </w:r>
          </w:p>
        </w:tc>
        <w:tc>
          <w:tcPr>
            <w:tcW w:w="0" w:type="auto"/>
            <w:gridSpan w:val="2"/>
            <w:shd w:val="clear" w:color="auto" w:fill="auto"/>
            <w:tcMar>
              <w:top w:w="8" w:type="dxa"/>
              <w:left w:w="8" w:type="dxa"/>
              <w:bottom w:w="0" w:type="dxa"/>
              <w:right w:w="8" w:type="dxa"/>
            </w:tcMar>
          </w:tcPr>
          <w:p w14:paraId="0327EF8E" w14:textId="56A56D36" w:rsidR="00590883" w:rsidRPr="00C1603D" w:rsidRDefault="00590883" w:rsidP="00590883">
            <w:pPr>
              <w:pStyle w:val="705TableheadgroupTablesTableFigureBoxstyles"/>
            </w:pPr>
            <w:r w:rsidRPr="00C1603D">
              <w:t>Odds ratios (apparent model)</w:t>
            </w:r>
          </w:p>
        </w:tc>
        <w:tc>
          <w:tcPr>
            <w:tcW w:w="0" w:type="auto"/>
            <w:vMerge w:val="restart"/>
            <w:shd w:val="clear" w:color="auto" w:fill="auto"/>
            <w:tcMar>
              <w:top w:w="8" w:type="dxa"/>
              <w:left w:w="8" w:type="dxa"/>
              <w:bottom w:w="0" w:type="dxa"/>
              <w:right w:w="8" w:type="dxa"/>
            </w:tcMar>
          </w:tcPr>
          <w:p w14:paraId="2E1DCDB0" w14:textId="77B31048" w:rsidR="00590883" w:rsidRPr="00C1603D" w:rsidRDefault="00590883" w:rsidP="00590883">
            <w:pPr>
              <w:pStyle w:val="710TableheadTablesTableFigureBoxstyles"/>
            </w:pPr>
            <w:r w:rsidRPr="00C1603D">
              <w:t>Unadjusted coefficients</w:t>
            </w:r>
          </w:p>
        </w:tc>
        <w:tc>
          <w:tcPr>
            <w:tcW w:w="0" w:type="auto"/>
            <w:vMerge w:val="restart"/>
            <w:shd w:val="clear" w:color="auto" w:fill="auto"/>
            <w:tcMar>
              <w:top w:w="8" w:type="dxa"/>
              <w:left w:w="8" w:type="dxa"/>
              <w:bottom w:w="0" w:type="dxa"/>
              <w:right w:w="8" w:type="dxa"/>
            </w:tcMar>
          </w:tcPr>
          <w:p w14:paraId="4868AE22" w14:textId="1955C5B8" w:rsidR="00590883" w:rsidRPr="00C1603D" w:rsidRDefault="00590883" w:rsidP="00590883">
            <w:pPr>
              <w:pStyle w:val="710TableheadTablesTableFigureBoxstyles"/>
            </w:pPr>
            <w:r w:rsidRPr="00C1603D">
              <w:t>Unadjusted odds ratios</w:t>
            </w:r>
          </w:p>
        </w:tc>
      </w:tr>
      <w:tr w:rsidR="00590883" w:rsidRPr="00C1603D" w14:paraId="1AB7152B" w14:textId="77777777" w:rsidTr="00590883">
        <w:trPr>
          <w:cantSplit/>
        </w:trPr>
        <w:tc>
          <w:tcPr>
            <w:tcW w:w="0" w:type="auto"/>
            <w:vMerge/>
            <w:shd w:val="clear" w:color="auto" w:fill="auto"/>
            <w:tcMar>
              <w:top w:w="13" w:type="dxa"/>
              <w:left w:w="13" w:type="dxa"/>
              <w:bottom w:w="0" w:type="dxa"/>
              <w:right w:w="13" w:type="dxa"/>
            </w:tcMar>
          </w:tcPr>
          <w:p w14:paraId="32F5A3D9" w14:textId="6E5FBBC6" w:rsidR="00590883" w:rsidRPr="00C1603D" w:rsidRDefault="00590883" w:rsidP="00590883">
            <w:pPr>
              <w:pStyle w:val="710TableheadTablesTableFigureBoxstyles"/>
            </w:pPr>
          </w:p>
        </w:tc>
        <w:tc>
          <w:tcPr>
            <w:tcW w:w="0" w:type="auto"/>
            <w:vMerge/>
            <w:shd w:val="clear" w:color="auto" w:fill="auto"/>
            <w:tcMar>
              <w:top w:w="13" w:type="dxa"/>
              <w:left w:w="13" w:type="dxa"/>
              <w:bottom w:w="0" w:type="dxa"/>
              <w:right w:w="13" w:type="dxa"/>
            </w:tcMar>
          </w:tcPr>
          <w:p w14:paraId="149B9AB2" w14:textId="109B0A87" w:rsidR="00590883" w:rsidRPr="00C1603D" w:rsidRDefault="00590883" w:rsidP="00590883">
            <w:pPr>
              <w:pStyle w:val="710TableheadTablesTableFigureBoxstyles"/>
            </w:pPr>
          </w:p>
        </w:tc>
        <w:tc>
          <w:tcPr>
            <w:tcW w:w="0" w:type="auto"/>
            <w:vMerge/>
            <w:shd w:val="clear" w:color="auto" w:fill="auto"/>
            <w:tcMar>
              <w:top w:w="13" w:type="dxa"/>
              <w:left w:w="13" w:type="dxa"/>
              <w:bottom w:w="0" w:type="dxa"/>
              <w:right w:w="13" w:type="dxa"/>
            </w:tcMar>
          </w:tcPr>
          <w:p w14:paraId="308A507E" w14:textId="096F8D8F" w:rsidR="00590883" w:rsidRPr="00C1603D" w:rsidRDefault="00590883" w:rsidP="00590883">
            <w:pPr>
              <w:pStyle w:val="710TableheadTablesTableFigureBoxstyles"/>
            </w:pPr>
          </w:p>
        </w:tc>
        <w:tc>
          <w:tcPr>
            <w:tcW w:w="0" w:type="auto"/>
            <w:vMerge/>
            <w:shd w:val="clear" w:color="auto" w:fill="auto"/>
            <w:tcMar>
              <w:top w:w="8" w:type="dxa"/>
              <w:left w:w="8" w:type="dxa"/>
              <w:bottom w:w="0" w:type="dxa"/>
              <w:right w:w="8" w:type="dxa"/>
            </w:tcMar>
          </w:tcPr>
          <w:p w14:paraId="13E2858C" w14:textId="5A9E9816" w:rsidR="00590883" w:rsidRPr="00C1603D" w:rsidRDefault="00590883" w:rsidP="00590883">
            <w:pPr>
              <w:pStyle w:val="710TableheadTablesTableFigureBoxstyles"/>
            </w:pPr>
          </w:p>
        </w:tc>
        <w:tc>
          <w:tcPr>
            <w:tcW w:w="0" w:type="auto"/>
            <w:shd w:val="clear" w:color="auto" w:fill="auto"/>
            <w:tcMar>
              <w:top w:w="8" w:type="dxa"/>
              <w:left w:w="8" w:type="dxa"/>
              <w:bottom w:w="0" w:type="dxa"/>
              <w:right w:w="8" w:type="dxa"/>
            </w:tcMar>
          </w:tcPr>
          <w:p w14:paraId="0CFB57F9" w14:textId="10F1C57A" w:rsidR="00590883" w:rsidRPr="00C1603D" w:rsidRDefault="00590883" w:rsidP="00590883">
            <w:pPr>
              <w:pStyle w:val="710TableheadTablesTableFigureBoxstyles"/>
            </w:pPr>
            <w:r w:rsidRPr="00C1603D">
              <w:t>After shrinkage</w:t>
            </w:r>
          </w:p>
        </w:tc>
        <w:tc>
          <w:tcPr>
            <w:tcW w:w="0" w:type="auto"/>
            <w:shd w:val="clear" w:color="auto" w:fill="auto"/>
            <w:tcMar>
              <w:top w:w="8" w:type="dxa"/>
              <w:left w:w="8" w:type="dxa"/>
              <w:bottom w:w="0" w:type="dxa"/>
              <w:right w:w="8" w:type="dxa"/>
            </w:tcMar>
          </w:tcPr>
          <w:p w14:paraId="1500AA3D" w14:textId="670FFC01" w:rsidR="00590883" w:rsidRPr="00C1603D" w:rsidRDefault="00590883" w:rsidP="00590883">
            <w:pPr>
              <w:pStyle w:val="710TableheadTablesTableFigureBoxstyles"/>
            </w:pPr>
            <w:r w:rsidRPr="00C1603D">
              <w:t>Without shrinkage</w:t>
            </w:r>
          </w:p>
        </w:tc>
        <w:tc>
          <w:tcPr>
            <w:tcW w:w="0" w:type="auto"/>
            <w:vMerge/>
            <w:shd w:val="clear" w:color="auto" w:fill="auto"/>
            <w:tcMar>
              <w:top w:w="8" w:type="dxa"/>
              <w:left w:w="8" w:type="dxa"/>
              <w:bottom w:w="0" w:type="dxa"/>
              <w:right w:w="8" w:type="dxa"/>
            </w:tcMar>
          </w:tcPr>
          <w:p w14:paraId="558F93F1" w14:textId="6BC08587" w:rsidR="00590883" w:rsidRPr="00C1603D" w:rsidRDefault="00590883" w:rsidP="00590883">
            <w:pPr>
              <w:pStyle w:val="710TableheadTablesTableFigureBoxstyles"/>
            </w:pPr>
          </w:p>
        </w:tc>
        <w:tc>
          <w:tcPr>
            <w:tcW w:w="0" w:type="auto"/>
            <w:vMerge/>
            <w:shd w:val="clear" w:color="auto" w:fill="auto"/>
            <w:tcMar>
              <w:top w:w="8" w:type="dxa"/>
              <w:left w:w="8" w:type="dxa"/>
              <w:bottom w:w="0" w:type="dxa"/>
              <w:right w:w="8" w:type="dxa"/>
            </w:tcMar>
          </w:tcPr>
          <w:p w14:paraId="002B5DB8" w14:textId="4073E65A" w:rsidR="00590883" w:rsidRPr="00C1603D" w:rsidRDefault="00590883" w:rsidP="00590883">
            <w:pPr>
              <w:pStyle w:val="710TableheadTablesTableFigureBoxstyles"/>
            </w:pPr>
          </w:p>
        </w:tc>
      </w:tr>
      <w:tr w:rsidR="00590883" w:rsidRPr="00C1603D" w14:paraId="066E3E31" w14:textId="77777777" w:rsidTr="00590883">
        <w:trPr>
          <w:cantSplit/>
        </w:trPr>
        <w:tc>
          <w:tcPr>
            <w:tcW w:w="0" w:type="auto"/>
            <w:shd w:val="clear" w:color="auto" w:fill="auto"/>
            <w:tcMar>
              <w:top w:w="15" w:type="dxa"/>
              <w:left w:w="15" w:type="dxa"/>
              <w:bottom w:w="0" w:type="dxa"/>
              <w:right w:w="15" w:type="dxa"/>
            </w:tcMar>
          </w:tcPr>
          <w:p w14:paraId="7CB3C45F" w14:textId="77777777" w:rsidR="008B4DF8" w:rsidRPr="00C1603D" w:rsidRDefault="008B4DF8" w:rsidP="00590883">
            <w:pPr>
              <w:pStyle w:val="72TabletextTablesTableFigureBoxstyles"/>
            </w:pPr>
            <w:r w:rsidRPr="00C1603D">
              <w:t>(Intercept)</w:t>
            </w:r>
          </w:p>
        </w:tc>
        <w:tc>
          <w:tcPr>
            <w:tcW w:w="0" w:type="auto"/>
            <w:shd w:val="clear" w:color="auto" w:fill="auto"/>
            <w:tcMar>
              <w:top w:w="15" w:type="dxa"/>
              <w:left w:w="15" w:type="dxa"/>
              <w:bottom w:w="0" w:type="dxa"/>
              <w:right w:w="15" w:type="dxa"/>
            </w:tcMar>
          </w:tcPr>
          <w:p w14:paraId="1781701E" w14:textId="77777777" w:rsidR="008B4DF8" w:rsidRPr="00C1603D" w:rsidRDefault="008B4DF8" w:rsidP="00590883">
            <w:pPr>
              <w:pStyle w:val="72TabletextTablesTableFigureBoxstyles"/>
            </w:pPr>
            <w:r w:rsidRPr="00C1603D">
              <w:rPr>
                <w:color w:val="00B0F0"/>
              </w:rPr>
              <w:t>–5</w:t>
            </w:r>
            <w:r w:rsidRPr="00C1603D">
              <w:t>.478</w:t>
            </w:r>
          </w:p>
        </w:tc>
        <w:tc>
          <w:tcPr>
            <w:tcW w:w="0" w:type="auto"/>
            <w:shd w:val="clear" w:color="auto" w:fill="auto"/>
            <w:tcMar>
              <w:top w:w="15" w:type="dxa"/>
              <w:left w:w="15" w:type="dxa"/>
              <w:bottom w:w="0" w:type="dxa"/>
              <w:right w:w="15" w:type="dxa"/>
            </w:tcMar>
          </w:tcPr>
          <w:p w14:paraId="5BB6EF43" w14:textId="08E97F86" w:rsidR="008B4DF8" w:rsidRPr="00C1603D" w:rsidRDefault="008B4DF8" w:rsidP="00590883">
            <w:pPr>
              <w:pStyle w:val="72TabletextTablesTableFigureBoxstyles"/>
            </w:pPr>
            <w:r w:rsidRPr="00C1603D">
              <w:rPr>
                <w:color w:val="00B0F0"/>
              </w:rPr>
              <w:t>–5</w:t>
            </w:r>
            <w:r w:rsidRPr="00C1603D">
              <w:t>.488 (</w:t>
            </w:r>
            <w:r w:rsidRPr="00C1603D">
              <w:rPr>
                <w:color w:val="00B0F0"/>
              </w:rPr>
              <w:t>–5</w:t>
            </w:r>
            <w:r w:rsidRPr="00C1603D">
              <w:t>.526</w:t>
            </w:r>
            <w:r w:rsidR="00590883" w:rsidRPr="00C1603D">
              <w:t xml:space="preserve"> to</w:t>
            </w:r>
            <w:r w:rsidRPr="00C1603D">
              <w:t xml:space="preserve"> </w:t>
            </w:r>
            <w:r w:rsidRPr="00C1603D">
              <w:rPr>
                <w:color w:val="00B0F0"/>
              </w:rPr>
              <w:t>–5</w:t>
            </w:r>
            <w:r w:rsidRPr="00C1603D">
              <w:t>.460)</w:t>
            </w:r>
          </w:p>
        </w:tc>
        <w:tc>
          <w:tcPr>
            <w:tcW w:w="0" w:type="auto"/>
            <w:shd w:val="clear" w:color="auto" w:fill="auto"/>
            <w:tcMar>
              <w:top w:w="15" w:type="dxa"/>
              <w:left w:w="15" w:type="dxa"/>
              <w:bottom w:w="0" w:type="dxa"/>
              <w:right w:w="15" w:type="dxa"/>
            </w:tcMar>
          </w:tcPr>
          <w:p w14:paraId="1405B84E" w14:textId="77777777" w:rsidR="008B4DF8" w:rsidRPr="00C1603D" w:rsidRDefault="008B4DF8" w:rsidP="00590883">
            <w:pPr>
              <w:pStyle w:val="72TabletextTablesTableFigureBoxstyles"/>
            </w:pPr>
            <w:r w:rsidRPr="00C1603D">
              <w:rPr>
                <w:color w:val="00B0F0"/>
              </w:rPr>
              <w:t>–5</w:t>
            </w:r>
            <w:r w:rsidRPr="00C1603D">
              <w:t>.481</w:t>
            </w:r>
          </w:p>
        </w:tc>
        <w:tc>
          <w:tcPr>
            <w:tcW w:w="0" w:type="auto"/>
            <w:shd w:val="clear" w:color="auto" w:fill="auto"/>
            <w:tcMar>
              <w:top w:w="15" w:type="dxa"/>
              <w:left w:w="15" w:type="dxa"/>
              <w:bottom w:w="0" w:type="dxa"/>
              <w:right w:w="15" w:type="dxa"/>
            </w:tcMar>
          </w:tcPr>
          <w:p w14:paraId="3A7C4F72" w14:textId="77777777" w:rsidR="008B4DF8" w:rsidRPr="00C1603D" w:rsidRDefault="008B4DF8" w:rsidP="00590883">
            <w:pPr>
              <w:pStyle w:val="72TabletextTablesTableFigureBoxstyles"/>
            </w:pPr>
          </w:p>
        </w:tc>
        <w:tc>
          <w:tcPr>
            <w:tcW w:w="0" w:type="auto"/>
            <w:shd w:val="clear" w:color="auto" w:fill="auto"/>
            <w:tcMar>
              <w:top w:w="15" w:type="dxa"/>
              <w:left w:w="15" w:type="dxa"/>
              <w:bottom w:w="0" w:type="dxa"/>
              <w:right w:w="15" w:type="dxa"/>
            </w:tcMar>
          </w:tcPr>
          <w:p w14:paraId="4E008A5A" w14:textId="77777777" w:rsidR="008B4DF8" w:rsidRPr="00C1603D" w:rsidRDefault="008B4DF8" w:rsidP="00590883">
            <w:pPr>
              <w:pStyle w:val="72TabletextTablesTableFigureBoxstyles"/>
            </w:pPr>
          </w:p>
        </w:tc>
        <w:tc>
          <w:tcPr>
            <w:tcW w:w="0" w:type="auto"/>
            <w:shd w:val="clear" w:color="auto" w:fill="auto"/>
            <w:tcMar>
              <w:top w:w="15" w:type="dxa"/>
              <w:left w:w="15" w:type="dxa"/>
              <w:bottom w:w="0" w:type="dxa"/>
              <w:right w:w="15" w:type="dxa"/>
            </w:tcMar>
          </w:tcPr>
          <w:p w14:paraId="05C8728B" w14:textId="77777777" w:rsidR="008B4DF8" w:rsidRPr="00C1603D" w:rsidRDefault="008B4DF8" w:rsidP="00590883">
            <w:pPr>
              <w:pStyle w:val="72TabletextTablesTableFigureBoxstyles"/>
            </w:pPr>
          </w:p>
        </w:tc>
        <w:tc>
          <w:tcPr>
            <w:tcW w:w="0" w:type="auto"/>
            <w:shd w:val="clear" w:color="auto" w:fill="auto"/>
            <w:tcMar>
              <w:top w:w="15" w:type="dxa"/>
              <w:left w:w="15" w:type="dxa"/>
              <w:bottom w:w="0" w:type="dxa"/>
              <w:right w:w="15" w:type="dxa"/>
            </w:tcMar>
          </w:tcPr>
          <w:p w14:paraId="75DEFBC9" w14:textId="77777777" w:rsidR="008B4DF8" w:rsidRPr="00C1603D" w:rsidRDefault="008B4DF8" w:rsidP="00590883">
            <w:pPr>
              <w:pStyle w:val="72TabletextTablesTableFigureBoxstyles"/>
            </w:pPr>
          </w:p>
        </w:tc>
      </w:tr>
      <w:tr w:rsidR="00590883" w:rsidRPr="00C1603D" w14:paraId="2613BF67" w14:textId="77777777" w:rsidTr="00590883">
        <w:trPr>
          <w:cantSplit/>
        </w:trPr>
        <w:tc>
          <w:tcPr>
            <w:tcW w:w="0" w:type="auto"/>
            <w:shd w:val="clear" w:color="auto" w:fill="auto"/>
            <w:tcMar>
              <w:top w:w="15" w:type="dxa"/>
              <w:left w:w="15" w:type="dxa"/>
              <w:bottom w:w="0" w:type="dxa"/>
              <w:right w:w="15" w:type="dxa"/>
            </w:tcMar>
          </w:tcPr>
          <w:p w14:paraId="4E548E21" w14:textId="77777777" w:rsidR="008B4DF8" w:rsidRPr="00C1603D" w:rsidRDefault="008B4DF8" w:rsidP="00590883">
            <w:pPr>
              <w:pStyle w:val="72TabletextTablesTableFigureBoxstyles"/>
            </w:pPr>
            <w:r w:rsidRPr="00C1603D">
              <w:t>Anaemia</w:t>
            </w:r>
          </w:p>
        </w:tc>
        <w:tc>
          <w:tcPr>
            <w:tcW w:w="0" w:type="auto"/>
            <w:shd w:val="clear" w:color="auto" w:fill="auto"/>
            <w:tcMar>
              <w:top w:w="15" w:type="dxa"/>
              <w:left w:w="15" w:type="dxa"/>
              <w:bottom w:w="0" w:type="dxa"/>
              <w:right w:w="15" w:type="dxa"/>
            </w:tcMar>
          </w:tcPr>
          <w:p w14:paraId="1CDD67E6" w14:textId="77777777" w:rsidR="008B4DF8" w:rsidRPr="00C1603D" w:rsidRDefault="008B4DF8" w:rsidP="00590883">
            <w:pPr>
              <w:pStyle w:val="72TabletextTablesTableFigureBoxstyles"/>
            </w:pPr>
            <w:r w:rsidRPr="00C1603D">
              <w:t>2.685</w:t>
            </w:r>
          </w:p>
        </w:tc>
        <w:tc>
          <w:tcPr>
            <w:tcW w:w="0" w:type="auto"/>
            <w:shd w:val="clear" w:color="auto" w:fill="auto"/>
            <w:tcMar>
              <w:top w:w="15" w:type="dxa"/>
              <w:left w:w="15" w:type="dxa"/>
              <w:bottom w:w="0" w:type="dxa"/>
              <w:right w:w="15" w:type="dxa"/>
            </w:tcMar>
          </w:tcPr>
          <w:p w14:paraId="74E7A936" w14:textId="76365589" w:rsidR="008B4DF8" w:rsidRPr="00C1603D" w:rsidRDefault="008B4DF8" w:rsidP="00590883">
            <w:pPr>
              <w:pStyle w:val="72TabletextTablesTableFigureBoxstyles"/>
            </w:pPr>
            <w:r w:rsidRPr="00C1603D">
              <w:t xml:space="preserve">2.689 </w:t>
            </w:r>
            <w:r w:rsidRPr="00C1603D">
              <w:rPr>
                <w:color w:val="00B0F0"/>
              </w:rPr>
              <w:t>(</w:t>
            </w:r>
            <w:r w:rsidRPr="00C1603D">
              <w:t>2.632</w:t>
            </w:r>
            <w:r w:rsidR="00590883" w:rsidRPr="00C1603D">
              <w:t>–</w:t>
            </w:r>
            <w:r w:rsidRPr="00C1603D">
              <w:t>2.753)</w:t>
            </w:r>
          </w:p>
        </w:tc>
        <w:tc>
          <w:tcPr>
            <w:tcW w:w="0" w:type="auto"/>
            <w:shd w:val="clear" w:color="auto" w:fill="auto"/>
            <w:tcMar>
              <w:top w:w="15" w:type="dxa"/>
              <w:left w:w="15" w:type="dxa"/>
              <w:bottom w:w="0" w:type="dxa"/>
              <w:right w:w="15" w:type="dxa"/>
            </w:tcMar>
          </w:tcPr>
          <w:p w14:paraId="76536178" w14:textId="77777777" w:rsidR="008B4DF8" w:rsidRPr="00C1603D" w:rsidRDefault="008B4DF8" w:rsidP="00590883">
            <w:pPr>
              <w:pStyle w:val="72TabletextTablesTableFigureBoxstyles"/>
            </w:pPr>
            <w:r w:rsidRPr="00C1603D">
              <w:t>2.727</w:t>
            </w:r>
          </w:p>
        </w:tc>
        <w:tc>
          <w:tcPr>
            <w:tcW w:w="0" w:type="auto"/>
            <w:shd w:val="clear" w:color="auto" w:fill="auto"/>
            <w:tcMar>
              <w:top w:w="15" w:type="dxa"/>
              <w:left w:w="15" w:type="dxa"/>
              <w:bottom w:w="0" w:type="dxa"/>
              <w:right w:w="15" w:type="dxa"/>
            </w:tcMar>
          </w:tcPr>
          <w:p w14:paraId="77CF2550" w14:textId="77777777" w:rsidR="008B4DF8" w:rsidRPr="00C1603D" w:rsidRDefault="008B4DF8" w:rsidP="00590883">
            <w:pPr>
              <w:pStyle w:val="72TabletextTablesTableFigureBoxstyles"/>
            </w:pPr>
            <w:r w:rsidRPr="00C1603D">
              <w:t>14.656</w:t>
            </w:r>
          </w:p>
        </w:tc>
        <w:tc>
          <w:tcPr>
            <w:tcW w:w="0" w:type="auto"/>
            <w:shd w:val="clear" w:color="auto" w:fill="auto"/>
            <w:tcMar>
              <w:top w:w="15" w:type="dxa"/>
              <w:left w:w="15" w:type="dxa"/>
              <w:bottom w:w="0" w:type="dxa"/>
              <w:right w:w="15" w:type="dxa"/>
            </w:tcMar>
          </w:tcPr>
          <w:p w14:paraId="60D75D7B" w14:textId="77777777" w:rsidR="008B4DF8" w:rsidRPr="00C1603D" w:rsidRDefault="008B4DF8" w:rsidP="00590883">
            <w:pPr>
              <w:pStyle w:val="72TabletextTablesTableFigureBoxstyles"/>
            </w:pPr>
            <w:r w:rsidRPr="00C1603D">
              <w:t>15.293</w:t>
            </w:r>
          </w:p>
        </w:tc>
        <w:tc>
          <w:tcPr>
            <w:tcW w:w="0" w:type="auto"/>
            <w:shd w:val="clear" w:color="auto" w:fill="auto"/>
            <w:tcMar>
              <w:top w:w="15" w:type="dxa"/>
              <w:left w:w="15" w:type="dxa"/>
              <w:bottom w:w="0" w:type="dxa"/>
              <w:right w:w="15" w:type="dxa"/>
            </w:tcMar>
          </w:tcPr>
          <w:p w14:paraId="412A156B" w14:textId="77777777" w:rsidR="008B4DF8" w:rsidRPr="00C1603D" w:rsidRDefault="008B4DF8" w:rsidP="00590883">
            <w:pPr>
              <w:pStyle w:val="72TabletextTablesTableFigureBoxstyles"/>
            </w:pPr>
            <w:r w:rsidRPr="00C1603D">
              <w:t>3.148</w:t>
            </w:r>
          </w:p>
        </w:tc>
        <w:tc>
          <w:tcPr>
            <w:tcW w:w="0" w:type="auto"/>
            <w:shd w:val="clear" w:color="auto" w:fill="auto"/>
            <w:tcMar>
              <w:top w:w="15" w:type="dxa"/>
              <w:left w:w="15" w:type="dxa"/>
              <w:bottom w:w="0" w:type="dxa"/>
              <w:right w:w="15" w:type="dxa"/>
            </w:tcMar>
          </w:tcPr>
          <w:p w14:paraId="06848CA1" w14:textId="77777777" w:rsidR="008B4DF8" w:rsidRPr="00C1603D" w:rsidRDefault="008B4DF8" w:rsidP="00590883">
            <w:pPr>
              <w:pStyle w:val="72TabletextTablesTableFigureBoxstyles"/>
            </w:pPr>
            <w:r w:rsidRPr="00C1603D">
              <w:t>23.289</w:t>
            </w:r>
          </w:p>
        </w:tc>
      </w:tr>
      <w:tr w:rsidR="00590883" w:rsidRPr="00C1603D" w14:paraId="58F1724A" w14:textId="77777777" w:rsidTr="00590883">
        <w:trPr>
          <w:cantSplit/>
        </w:trPr>
        <w:tc>
          <w:tcPr>
            <w:tcW w:w="0" w:type="auto"/>
            <w:shd w:val="clear" w:color="auto" w:fill="auto"/>
            <w:tcMar>
              <w:top w:w="15" w:type="dxa"/>
              <w:left w:w="15" w:type="dxa"/>
              <w:bottom w:w="0" w:type="dxa"/>
              <w:right w:w="15" w:type="dxa"/>
            </w:tcMar>
          </w:tcPr>
          <w:p w14:paraId="5EA28DC2" w14:textId="651B0A02" w:rsidR="008B4DF8" w:rsidRPr="00C1603D" w:rsidRDefault="00BA5584" w:rsidP="00590883">
            <w:pPr>
              <w:pStyle w:val="72TabletextTablesTableFigureBoxstyles"/>
            </w:pPr>
            <w:r w:rsidRPr="00C1603D">
              <w:t>First-degree</w:t>
            </w:r>
            <w:r w:rsidR="008B4DF8" w:rsidRPr="00C1603D">
              <w:t xml:space="preserve"> relatives</w:t>
            </w:r>
            <w:r w:rsidR="00590883" w:rsidRPr="00C1603D">
              <w:t xml:space="preserve"> with CD</w:t>
            </w:r>
          </w:p>
        </w:tc>
        <w:tc>
          <w:tcPr>
            <w:tcW w:w="0" w:type="auto"/>
            <w:shd w:val="clear" w:color="auto" w:fill="auto"/>
            <w:tcMar>
              <w:top w:w="15" w:type="dxa"/>
              <w:left w:w="15" w:type="dxa"/>
              <w:bottom w:w="0" w:type="dxa"/>
              <w:right w:w="15" w:type="dxa"/>
            </w:tcMar>
          </w:tcPr>
          <w:p w14:paraId="1D254649" w14:textId="77777777" w:rsidR="008B4DF8" w:rsidRPr="00C1603D" w:rsidRDefault="008B4DF8" w:rsidP="00590883">
            <w:pPr>
              <w:pStyle w:val="72TabletextTablesTableFigureBoxstyles"/>
            </w:pPr>
            <w:r w:rsidRPr="00C1603D">
              <w:t>2.347</w:t>
            </w:r>
          </w:p>
        </w:tc>
        <w:tc>
          <w:tcPr>
            <w:tcW w:w="0" w:type="auto"/>
            <w:shd w:val="clear" w:color="auto" w:fill="auto"/>
            <w:tcMar>
              <w:top w:w="15" w:type="dxa"/>
              <w:left w:w="15" w:type="dxa"/>
              <w:bottom w:w="0" w:type="dxa"/>
              <w:right w:w="15" w:type="dxa"/>
            </w:tcMar>
          </w:tcPr>
          <w:p w14:paraId="3A062D32" w14:textId="4A46C4FC" w:rsidR="008B4DF8" w:rsidRPr="00C1603D" w:rsidRDefault="008B4DF8" w:rsidP="00590883">
            <w:pPr>
              <w:pStyle w:val="72TabletextTablesTableFigureBoxstyles"/>
            </w:pPr>
            <w:r w:rsidRPr="00C1603D">
              <w:t xml:space="preserve">2.362 </w:t>
            </w:r>
            <w:r w:rsidRPr="00C1603D">
              <w:rPr>
                <w:color w:val="00B0F0"/>
              </w:rPr>
              <w:t>(</w:t>
            </w:r>
            <w:r w:rsidRPr="00C1603D">
              <w:t>2.282</w:t>
            </w:r>
            <w:r w:rsidR="00590883" w:rsidRPr="00C1603D">
              <w:t>–</w:t>
            </w:r>
            <w:r w:rsidRPr="00C1603D">
              <w:t>2.461)</w:t>
            </w:r>
          </w:p>
        </w:tc>
        <w:tc>
          <w:tcPr>
            <w:tcW w:w="0" w:type="auto"/>
            <w:shd w:val="clear" w:color="auto" w:fill="auto"/>
            <w:tcMar>
              <w:top w:w="15" w:type="dxa"/>
              <w:left w:w="15" w:type="dxa"/>
              <w:bottom w:w="0" w:type="dxa"/>
              <w:right w:w="15" w:type="dxa"/>
            </w:tcMar>
          </w:tcPr>
          <w:p w14:paraId="1A00A65E" w14:textId="77777777" w:rsidR="008B4DF8" w:rsidRPr="00C1603D" w:rsidRDefault="008B4DF8" w:rsidP="00590883">
            <w:pPr>
              <w:pStyle w:val="72TabletextTablesTableFigureBoxstyles"/>
            </w:pPr>
            <w:r w:rsidRPr="00C1603D">
              <w:t>2.395</w:t>
            </w:r>
          </w:p>
        </w:tc>
        <w:tc>
          <w:tcPr>
            <w:tcW w:w="0" w:type="auto"/>
            <w:shd w:val="clear" w:color="auto" w:fill="auto"/>
            <w:tcMar>
              <w:top w:w="15" w:type="dxa"/>
              <w:left w:w="15" w:type="dxa"/>
              <w:bottom w:w="0" w:type="dxa"/>
              <w:right w:w="15" w:type="dxa"/>
            </w:tcMar>
          </w:tcPr>
          <w:p w14:paraId="25FB1767" w14:textId="77777777" w:rsidR="008B4DF8" w:rsidRPr="00C1603D" w:rsidRDefault="008B4DF8" w:rsidP="00590883">
            <w:pPr>
              <w:pStyle w:val="72TabletextTablesTableFigureBoxstyles"/>
            </w:pPr>
            <w:r w:rsidRPr="00C1603D">
              <w:t>10.456</w:t>
            </w:r>
          </w:p>
        </w:tc>
        <w:tc>
          <w:tcPr>
            <w:tcW w:w="0" w:type="auto"/>
            <w:shd w:val="clear" w:color="auto" w:fill="auto"/>
            <w:tcMar>
              <w:top w:w="15" w:type="dxa"/>
              <w:left w:w="15" w:type="dxa"/>
              <w:bottom w:w="0" w:type="dxa"/>
              <w:right w:w="15" w:type="dxa"/>
            </w:tcMar>
          </w:tcPr>
          <w:p w14:paraId="2CBD8730" w14:textId="77777777" w:rsidR="008B4DF8" w:rsidRPr="00C1603D" w:rsidRDefault="008B4DF8" w:rsidP="00590883">
            <w:pPr>
              <w:pStyle w:val="72TabletextTablesTableFigureBoxstyles"/>
            </w:pPr>
            <w:r w:rsidRPr="00C1603D">
              <w:t>10.969</w:t>
            </w:r>
          </w:p>
        </w:tc>
        <w:tc>
          <w:tcPr>
            <w:tcW w:w="0" w:type="auto"/>
            <w:shd w:val="clear" w:color="auto" w:fill="auto"/>
            <w:tcMar>
              <w:top w:w="15" w:type="dxa"/>
              <w:left w:w="15" w:type="dxa"/>
              <w:bottom w:w="0" w:type="dxa"/>
              <w:right w:w="15" w:type="dxa"/>
            </w:tcMar>
          </w:tcPr>
          <w:p w14:paraId="7DF7FBD3" w14:textId="77777777" w:rsidR="008B4DF8" w:rsidRPr="00C1603D" w:rsidRDefault="008B4DF8" w:rsidP="00590883">
            <w:pPr>
              <w:pStyle w:val="72TabletextTablesTableFigureBoxstyles"/>
            </w:pPr>
            <w:r w:rsidRPr="00C1603D">
              <w:t>2.210</w:t>
            </w:r>
          </w:p>
        </w:tc>
        <w:tc>
          <w:tcPr>
            <w:tcW w:w="0" w:type="auto"/>
            <w:shd w:val="clear" w:color="auto" w:fill="auto"/>
            <w:tcMar>
              <w:top w:w="15" w:type="dxa"/>
              <w:left w:w="15" w:type="dxa"/>
              <w:bottom w:w="0" w:type="dxa"/>
              <w:right w:w="15" w:type="dxa"/>
            </w:tcMar>
          </w:tcPr>
          <w:p w14:paraId="2D84C11E" w14:textId="77777777" w:rsidR="008B4DF8" w:rsidRPr="00C1603D" w:rsidRDefault="008B4DF8" w:rsidP="00590883">
            <w:pPr>
              <w:pStyle w:val="72TabletextTablesTableFigureBoxstyles"/>
            </w:pPr>
            <w:r w:rsidRPr="00C1603D">
              <w:t>9.116</w:t>
            </w:r>
          </w:p>
        </w:tc>
      </w:tr>
      <w:tr w:rsidR="00590883" w:rsidRPr="00C1603D" w14:paraId="1985CA59" w14:textId="77777777" w:rsidTr="00590883">
        <w:trPr>
          <w:cantSplit/>
        </w:trPr>
        <w:tc>
          <w:tcPr>
            <w:tcW w:w="0" w:type="auto"/>
            <w:shd w:val="clear" w:color="auto" w:fill="auto"/>
            <w:tcMar>
              <w:top w:w="15" w:type="dxa"/>
              <w:left w:w="15" w:type="dxa"/>
              <w:bottom w:w="0" w:type="dxa"/>
              <w:right w:w="15" w:type="dxa"/>
            </w:tcMar>
          </w:tcPr>
          <w:p w14:paraId="41BA6B48" w14:textId="7649F9DA" w:rsidR="008B4DF8" w:rsidRPr="00C1603D" w:rsidRDefault="00590883" w:rsidP="00590883">
            <w:pPr>
              <w:pStyle w:val="72TabletextTablesTableFigureBoxstyles"/>
            </w:pPr>
            <w:r w:rsidRPr="00C1603D">
              <w:t>Iron, vitamin B</w:t>
            </w:r>
            <w:r w:rsidRPr="00C1603D">
              <w:rPr>
                <w:vertAlign w:val="subscript"/>
              </w:rPr>
              <w:t>12</w:t>
            </w:r>
            <w:r w:rsidRPr="00C1603D">
              <w:t xml:space="preserve"> or folate deficiency</w:t>
            </w:r>
          </w:p>
        </w:tc>
        <w:tc>
          <w:tcPr>
            <w:tcW w:w="0" w:type="auto"/>
            <w:shd w:val="clear" w:color="auto" w:fill="auto"/>
            <w:tcMar>
              <w:top w:w="15" w:type="dxa"/>
              <w:left w:w="15" w:type="dxa"/>
              <w:bottom w:w="0" w:type="dxa"/>
              <w:right w:w="15" w:type="dxa"/>
            </w:tcMar>
          </w:tcPr>
          <w:p w14:paraId="27B2804D" w14:textId="77777777" w:rsidR="008B4DF8" w:rsidRPr="00C1603D" w:rsidRDefault="008B4DF8" w:rsidP="00590883">
            <w:pPr>
              <w:pStyle w:val="72TabletextTablesTableFigureBoxstyles"/>
            </w:pPr>
            <w:r w:rsidRPr="00C1603D">
              <w:t>1.810</w:t>
            </w:r>
          </w:p>
        </w:tc>
        <w:tc>
          <w:tcPr>
            <w:tcW w:w="0" w:type="auto"/>
            <w:shd w:val="clear" w:color="auto" w:fill="auto"/>
            <w:tcMar>
              <w:top w:w="15" w:type="dxa"/>
              <w:left w:w="15" w:type="dxa"/>
              <w:bottom w:w="0" w:type="dxa"/>
              <w:right w:w="15" w:type="dxa"/>
            </w:tcMar>
          </w:tcPr>
          <w:p w14:paraId="05F0C6F8" w14:textId="4CA8EDC8" w:rsidR="008B4DF8" w:rsidRPr="00C1603D" w:rsidRDefault="008B4DF8" w:rsidP="00590883">
            <w:pPr>
              <w:pStyle w:val="72TabletextTablesTableFigureBoxstyles"/>
            </w:pPr>
            <w:r w:rsidRPr="00C1603D">
              <w:t xml:space="preserve">1.828 </w:t>
            </w:r>
            <w:r w:rsidRPr="00C1603D">
              <w:rPr>
                <w:color w:val="00B0F0"/>
              </w:rPr>
              <w:t>(</w:t>
            </w:r>
            <w:r w:rsidRPr="00C1603D">
              <w:t>1.754</w:t>
            </w:r>
            <w:r w:rsidR="00590883" w:rsidRPr="00C1603D">
              <w:t>–</w:t>
            </w:r>
            <w:r w:rsidRPr="00C1603D">
              <w:t>1.917)</w:t>
            </w:r>
          </w:p>
        </w:tc>
        <w:tc>
          <w:tcPr>
            <w:tcW w:w="0" w:type="auto"/>
            <w:shd w:val="clear" w:color="auto" w:fill="auto"/>
            <w:tcMar>
              <w:top w:w="15" w:type="dxa"/>
              <w:left w:w="15" w:type="dxa"/>
              <w:bottom w:w="0" w:type="dxa"/>
              <w:right w:w="15" w:type="dxa"/>
            </w:tcMar>
          </w:tcPr>
          <w:p w14:paraId="010DC607" w14:textId="77777777" w:rsidR="008B4DF8" w:rsidRPr="00C1603D" w:rsidRDefault="008B4DF8" w:rsidP="00590883">
            <w:pPr>
              <w:pStyle w:val="72TabletextTablesTableFigureBoxstyles"/>
            </w:pPr>
            <w:r w:rsidRPr="00C1603D">
              <w:t>1.841</w:t>
            </w:r>
          </w:p>
        </w:tc>
        <w:tc>
          <w:tcPr>
            <w:tcW w:w="0" w:type="auto"/>
            <w:shd w:val="clear" w:color="auto" w:fill="auto"/>
            <w:tcMar>
              <w:top w:w="15" w:type="dxa"/>
              <w:left w:w="15" w:type="dxa"/>
              <w:bottom w:w="0" w:type="dxa"/>
              <w:right w:w="15" w:type="dxa"/>
            </w:tcMar>
          </w:tcPr>
          <w:p w14:paraId="0872BB49" w14:textId="77777777" w:rsidR="008B4DF8" w:rsidRPr="00C1603D" w:rsidRDefault="008B4DF8" w:rsidP="00590883">
            <w:pPr>
              <w:pStyle w:val="72TabletextTablesTableFigureBoxstyles"/>
            </w:pPr>
            <w:r w:rsidRPr="00C1603D">
              <w:t>6.112</w:t>
            </w:r>
          </w:p>
        </w:tc>
        <w:tc>
          <w:tcPr>
            <w:tcW w:w="0" w:type="auto"/>
            <w:shd w:val="clear" w:color="auto" w:fill="auto"/>
            <w:tcMar>
              <w:top w:w="15" w:type="dxa"/>
              <w:left w:w="15" w:type="dxa"/>
              <w:bottom w:w="0" w:type="dxa"/>
              <w:right w:w="15" w:type="dxa"/>
            </w:tcMar>
          </w:tcPr>
          <w:p w14:paraId="3487909A" w14:textId="77777777" w:rsidR="008B4DF8" w:rsidRPr="00C1603D" w:rsidRDefault="008B4DF8" w:rsidP="00590883">
            <w:pPr>
              <w:pStyle w:val="72TabletextTablesTableFigureBoxstyles"/>
            </w:pPr>
            <w:r w:rsidRPr="00C1603D">
              <w:t>6.302</w:t>
            </w:r>
          </w:p>
        </w:tc>
        <w:tc>
          <w:tcPr>
            <w:tcW w:w="0" w:type="auto"/>
            <w:shd w:val="clear" w:color="auto" w:fill="auto"/>
            <w:tcMar>
              <w:top w:w="15" w:type="dxa"/>
              <w:left w:w="15" w:type="dxa"/>
              <w:bottom w:w="0" w:type="dxa"/>
              <w:right w:w="15" w:type="dxa"/>
            </w:tcMar>
          </w:tcPr>
          <w:p w14:paraId="4FC321F3" w14:textId="77777777" w:rsidR="008B4DF8" w:rsidRPr="00C1603D" w:rsidRDefault="008B4DF8" w:rsidP="00590883">
            <w:pPr>
              <w:pStyle w:val="72TabletextTablesTableFigureBoxstyles"/>
            </w:pPr>
            <w:r w:rsidRPr="00C1603D">
              <w:t>2.632</w:t>
            </w:r>
          </w:p>
        </w:tc>
        <w:tc>
          <w:tcPr>
            <w:tcW w:w="0" w:type="auto"/>
            <w:shd w:val="clear" w:color="auto" w:fill="auto"/>
            <w:tcMar>
              <w:top w:w="15" w:type="dxa"/>
              <w:left w:w="15" w:type="dxa"/>
              <w:bottom w:w="0" w:type="dxa"/>
              <w:right w:w="15" w:type="dxa"/>
            </w:tcMar>
          </w:tcPr>
          <w:p w14:paraId="0BFA39BD" w14:textId="77777777" w:rsidR="008B4DF8" w:rsidRPr="00C1603D" w:rsidRDefault="008B4DF8" w:rsidP="00590883">
            <w:pPr>
              <w:pStyle w:val="72TabletextTablesTableFigureBoxstyles"/>
            </w:pPr>
            <w:r w:rsidRPr="00C1603D">
              <w:t>13.902</w:t>
            </w:r>
          </w:p>
        </w:tc>
      </w:tr>
      <w:tr w:rsidR="00590883" w:rsidRPr="00C1603D" w14:paraId="2A93A147" w14:textId="77777777" w:rsidTr="00590883">
        <w:trPr>
          <w:cantSplit/>
        </w:trPr>
        <w:tc>
          <w:tcPr>
            <w:tcW w:w="0" w:type="auto"/>
            <w:shd w:val="clear" w:color="auto" w:fill="auto"/>
            <w:tcMar>
              <w:top w:w="15" w:type="dxa"/>
              <w:left w:w="15" w:type="dxa"/>
              <w:bottom w:w="0" w:type="dxa"/>
              <w:right w:w="15" w:type="dxa"/>
            </w:tcMar>
          </w:tcPr>
          <w:p w14:paraId="3CB08522" w14:textId="77777777" w:rsidR="008B4DF8" w:rsidRPr="00C1603D" w:rsidRDefault="008B4DF8" w:rsidP="00590883">
            <w:pPr>
              <w:pStyle w:val="72TabletextTablesTableFigureBoxstyles"/>
            </w:pPr>
            <w:r w:rsidRPr="00C1603D">
              <w:t>Type 1 diabetes</w:t>
            </w:r>
          </w:p>
        </w:tc>
        <w:tc>
          <w:tcPr>
            <w:tcW w:w="0" w:type="auto"/>
            <w:shd w:val="clear" w:color="auto" w:fill="auto"/>
            <w:tcMar>
              <w:top w:w="15" w:type="dxa"/>
              <w:left w:w="15" w:type="dxa"/>
              <w:bottom w:w="0" w:type="dxa"/>
              <w:right w:w="15" w:type="dxa"/>
            </w:tcMar>
          </w:tcPr>
          <w:p w14:paraId="5AF04A28" w14:textId="77777777" w:rsidR="008B4DF8" w:rsidRPr="00C1603D" w:rsidRDefault="008B4DF8" w:rsidP="00590883">
            <w:pPr>
              <w:pStyle w:val="72TabletextTablesTableFigureBoxstyles"/>
            </w:pPr>
            <w:r w:rsidRPr="00C1603D">
              <w:t>1.746</w:t>
            </w:r>
          </w:p>
        </w:tc>
        <w:tc>
          <w:tcPr>
            <w:tcW w:w="0" w:type="auto"/>
            <w:shd w:val="clear" w:color="auto" w:fill="auto"/>
            <w:tcMar>
              <w:top w:w="15" w:type="dxa"/>
              <w:left w:w="15" w:type="dxa"/>
              <w:bottom w:w="0" w:type="dxa"/>
              <w:right w:w="15" w:type="dxa"/>
            </w:tcMar>
          </w:tcPr>
          <w:p w14:paraId="4F59D472" w14:textId="11274549" w:rsidR="008B4DF8" w:rsidRPr="00C1603D" w:rsidRDefault="008B4DF8" w:rsidP="00590883">
            <w:pPr>
              <w:pStyle w:val="72TabletextTablesTableFigureBoxstyles"/>
            </w:pPr>
            <w:r w:rsidRPr="00C1603D">
              <w:t xml:space="preserve">1.749 </w:t>
            </w:r>
            <w:r w:rsidRPr="00C1603D">
              <w:rPr>
                <w:color w:val="00B0F0"/>
              </w:rPr>
              <w:t>(</w:t>
            </w:r>
            <w:r w:rsidRPr="00C1603D">
              <w:t>1.650</w:t>
            </w:r>
            <w:r w:rsidR="00590883" w:rsidRPr="00C1603D">
              <w:t>–</w:t>
            </w:r>
            <w:r w:rsidRPr="00C1603D">
              <w:t>1.868)</w:t>
            </w:r>
          </w:p>
        </w:tc>
        <w:tc>
          <w:tcPr>
            <w:tcW w:w="0" w:type="auto"/>
            <w:shd w:val="clear" w:color="auto" w:fill="auto"/>
            <w:tcMar>
              <w:top w:w="15" w:type="dxa"/>
              <w:left w:w="15" w:type="dxa"/>
              <w:bottom w:w="0" w:type="dxa"/>
              <w:right w:w="15" w:type="dxa"/>
            </w:tcMar>
          </w:tcPr>
          <w:p w14:paraId="4437F32E" w14:textId="77777777" w:rsidR="008B4DF8" w:rsidRPr="00C1603D" w:rsidRDefault="008B4DF8" w:rsidP="00590883">
            <w:pPr>
              <w:pStyle w:val="72TabletextTablesTableFigureBoxstyles"/>
            </w:pPr>
            <w:r w:rsidRPr="00C1603D">
              <w:t>1.787</w:t>
            </w:r>
          </w:p>
        </w:tc>
        <w:tc>
          <w:tcPr>
            <w:tcW w:w="0" w:type="auto"/>
            <w:shd w:val="clear" w:color="auto" w:fill="auto"/>
            <w:tcMar>
              <w:top w:w="15" w:type="dxa"/>
              <w:left w:w="15" w:type="dxa"/>
              <w:bottom w:w="0" w:type="dxa"/>
              <w:right w:w="15" w:type="dxa"/>
            </w:tcMar>
          </w:tcPr>
          <w:p w14:paraId="3178F66A" w14:textId="77777777" w:rsidR="008B4DF8" w:rsidRPr="00C1603D" w:rsidRDefault="008B4DF8" w:rsidP="00590883">
            <w:pPr>
              <w:pStyle w:val="72TabletextTablesTableFigureBoxstyles"/>
            </w:pPr>
            <w:r w:rsidRPr="00C1603D">
              <w:t>5.730</w:t>
            </w:r>
          </w:p>
        </w:tc>
        <w:tc>
          <w:tcPr>
            <w:tcW w:w="0" w:type="auto"/>
            <w:shd w:val="clear" w:color="auto" w:fill="auto"/>
            <w:tcMar>
              <w:top w:w="15" w:type="dxa"/>
              <w:left w:w="15" w:type="dxa"/>
              <w:bottom w:w="0" w:type="dxa"/>
              <w:right w:w="15" w:type="dxa"/>
            </w:tcMar>
          </w:tcPr>
          <w:p w14:paraId="08921E06" w14:textId="77777777" w:rsidR="008B4DF8" w:rsidRPr="00C1603D" w:rsidRDefault="008B4DF8" w:rsidP="00590883">
            <w:pPr>
              <w:pStyle w:val="72TabletextTablesTableFigureBoxstyles"/>
            </w:pPr>
            <w:r w:rsidRPr="00C1603D">
              <w:t>5.972</w:t>
            </w:r>
          </w:p>
        </w:tc>
        <w:tc>
          <w:tcPr>
            <w:tcW w:w="0" w:type="auto"/>
            <w:shd w:val="clear" w:color="auto" w:fill="auto"/>
            <w:tcMar>
              <w:top w:w="15" w:type="dxa"/>
              <w:left w:w="15" w:type="dxa"/>
              <w:bottom w:w="0" w:type="dxa"/>
              <w:right w:w="15" w:type="dxa"/>
            </w:tcMar>
          </w:tcPr>
          <w:p w14:paraId="689673AA" w14:textId="77777777" w:rsidR="008B4DF8" w:rsidRPr="00C1603D" w:rsidRDefault="008B4DF8" w:rsidP="00590883">
            <w:pPr>
              <w:pStyle w:val="72TabletextTablesTableFigureBoxstyles"/>
            </w:pPr>
            <w:r w:rsidRPr="00C1603D">
              <w:t>1.840</w:t>
            </w:r>
          </w:p>
        </w:tc>
        <w:tc>
          <w:tcPr>
            <w:tcW w:w="0" w:type="auto"/>
            <w:shd w:val="clear" w:color="auto" w:fill="auto"/>
            <w:tcMar>
              <w:top w:w="15" w:type="dxa"/>
              <w:left w:w="15" w:type="dxa"/>
              <w:bottom w:w="0" w:type="dxa"/>
              <w:right w:w="15" w:type="dxa"/>
            </w:tcMar>
          </w:tcPr>
          <w:p w14:paraId="6EE03665" w14:textId="77777777" w:rsidR="008B4DF8" w:rsidRPr="00C1603D" w:rsidRDefault="008B4DF8" w:rsidP="00590883">
            <w:pPr>
              <w:pStyle w:val="72TabletextTablesTableFigureBoxstyles"/>
            </w:pPr>
            <w:r w:rsidRPr="00C1603D">
              <w:t>6.297</w:t>
            </w:r>
          </w:p>
        </w:tc>
      </w:tr>
      <w:tr w:rsidR="00590883" w:rsidRPr="00C1603D" w14:paraId="706B34FA" w14:textId="77777777" w:rsidTr="00590883">
        <w:trPr>
          <w:cantSplit/>
        </w:trPr>
        <w:tc>
          <w:tcPr>
            <w:tcW w:w="0" w:type="auto"/>
            <w:shd w:val="clear" w:color="auto" w:fill="auto"/>
            <w:tcMar>
              <w:top w:w="15" w:type="dxa"/>
              <w:left w:w="15" w:type="dxa"/>
              <w:bottom w:w="0" w:type="dxa"/>
              <w:right w:w="15" w:type="dxa"/>
            </w:tcMar>
          </w:tcPr>
          <w:p w14:paraId="7C9ED983" w14:textId="77777777" w:rsidR="008B4DF8" w:rsidRPr="00C1603D" w:rsidRDefault="008B4DF8" w:rsidP="00590883">
            <w:pPr>
              <w:pStyle w:val="72TabletextTablesTableFigureBoxstyles"/>
            </w:pPr>
            <w:r w:rsidRPr="00C1603D">
              <w:t>Osteoporosis</w:t>
            </w:r>
          </w:p>
        </w:tc>
        <w:tc>
          <w:tcPr>
            <w:tcW w:w="0" w:type="auto"/>
            <w:shd w:val="clear" w:color="auto" w:fill="auto"/>
            <w:tcMar>
              <w:top w:w="15" w:type="dxa"/>
              <w:left w:w="15" w:type="dxa"/>
              <w:bottom w:w="0" w:type="dxa"/>
              <w:right w:w="15" w:type="dxa"/>
            </w:tcMar>
          </w:tcPr>
          <w:p w14:paraId="750B63AF" w14:textId="77777777" w:rsidR="008B4DF8" w:rsidRPr="00C1603D" w:rsidRDefault="008B4DF8" w:rsidP="00590883">
            <w:pPr>
              <w:pStyle w:val="72TabletextTablesTableFigureBoxstyles"/>
            </w:pPr>
            <w:r w:rsidRPr="00C1603D">
              <w:t>1.554</w:t>
            </w:r>
          </w:p>
        </w:tc>
        <w:tc>
          <w:tcPr>
            <w:tcW w:w="0" w:type="auto"/>
            <w:shd w:val="clear" w:color="auto" w:fill="auto"/>
            <w:tcMar>
              <w:top w:w="15" w:type="dxa"/>
              <w:left w:w="15" w:type="dxa"/>
              <w:bottom w:w="0" w:type="dxa"/>
              <w:right w:w="15" w:type="dxa"/>
            </w:tcMar>
          </w:tcPr>
          <w:p w14:paraId="50FC1C65" w14:textId="646B5BB2" w:rsidR="008B4DF8" w:rsidRPr="00C1603D" w:rsidRDefault="008B4DF8" w:rsidP="00590883">
            <w:pPr>
              <w:pStyle w:val="72TabletextTablesTableFigureBoxstyles"/>
            </w:pPr>
            <w:r w:rsidRPr="00C1603D">
              <w:t xml:space="preserve">1.549 </w:t>
            </w:r>
            <w:r w:rsidRPr="00C1603D">
              <w:rPr>
                <w:color w:val="00B0F0"/>
              </w:rPr>
              <w:t>(</w:t>
            </w:r>
            <w:r w:rsidRPr="00C1603D">
              <w:t>1.433</w:t>
            </w:r>
            <w:r w:rsidR="00590883" w:rsidRPr="00C1603D">
              <w:t>–</w:t>
            </w:r>
            <w:r w:rsidRPr="00C1603D">
              <w:t>1.673)</w:t>
            </w:r>
          </w:p>
        </w:tc>
        <w:tc>
          <w:tcPr>
            <w:tcW w:w="0" w:type="auto"/>
            <w:shd w:val="clear" w:color="auto" w:fill="auto"/>
            <w:tcMar>
              <w:top w:w="15" w:type="dxa"/>
              <w:left w:w="15" w:type="dxa"/>
              <w:bottom w:w="0" w:type="dxa"/>
              <w:right w:w="15" w:type="dxa"/>
            </w:tcMar>
          </w:tcPr>
          <w:p w14:paraId="72DA3737" w14:textId="77777777" w:rsidR="008B4DF8" w:rsidRPr="00C1603D" w:rsidRDefault="008B4DF8" w:rsidP="00590883">
            <w:pPr>
              <w:pStyle w:val="72TabletextTablesTableFigureBoxstyles"/>
            </w:pPr>
            <w:r w:rsidRPr="00C1603D">
              <w:t>1.588</w:t>
            </w:r>
          </w:p>
        </w:tc>
        <w:tc>
          <w:tcPr>
            <w:tcW w:w="0" w:type="auto"/>
            <w:shd w:val="clear" w:color="auto" w:fill="auto"/>
            <w:tcMar>
              <w:top w:w="15" w:type="dxa"/>
              <w:left w:w="15" w:type="dxa"/>
              <w:bottom w:w="0" w:type="dxa"/>
              <w:right w:w="15" w:type="dxa"/>
            </w:tcMar>
          </w:tcPr>
          <w:p w14:paraId="388521BB" w14:textId="77777777" w:rsidR="008B4DF8" w:rsidRPr="00C1603D" w:rsidRDefault="008B4DF8" w:rsidP="00590883">
            <w:pPr>
              <w:pStyle w:val="72TabletextTablesTableFigureBoxstyles"/>
            </w:pPr>
            <w:r w:rsidRPr="00C1603D">
              <w:t>4.730</w:t>
            </w:r>
          </w:p>
        </w:tc>
        <w:tc>
          <w:tcPr>
            <w:tcW w:w="0" w:type="auto"/>
            <w:shd w:val="clear" w:color="auto" w:fill="auto"/>
            <w:tcMar>
              <w:top w:w="15" w:type="dxa"/>
              <w:left w:w="15" w:type="dxa"/>
              <w:bottom w:w="0" w:type="dxa"/>
              <w:right w:w="15" w:type="dxa"/>
            </w:tcMar>
          </w:tcPr>
          <w:p w14:paraId="666BDA5F" w14:textId="77777777" w:rsidR="008B4DF8" w:rsidRPr="00C1603D" w:rsidRDefault="008B4DF8" w:rsidP="00590883">
            <w:pPr>
              <w:pStyle w:val="72TabletextTablesTableFigureBoxstyles"/>
            </w:pPr>
            <w:r w:rsidRPr="00C1603D">
              <w:t>4.892</w:t>
            </w:r>
          </w:p>
        </w:tc>
        <w:tc>
          <w:tcPr>
            <w:tcW w:w="0" w:type="auto"/>
            <w:shd w:val="clear" w:color="auto" w:fill="auto"/>
            <w:tcMar>
              <w:top w:w="15" w:type="dxa"/>
              <w:left w:w="15" w:type="dxa"/>
              <w:bottom w:w="0" w:type="dxa"/>
              <w:right w:w="15" w:type="dxa"/>
            </w:tcMar>
          </w:tcPr>
          <w:p w14:paraId="52A56DBD" w14:textId="77777777" w:rsidR="008B4DF8" w:rsidRPr="00C1603D" w:rsidRDefault="008B4DF8" w:rsidP="00590883">
            <w:pPr>
              <w:pStyle w:val="72TabletextTablesTableFigureBoxstyles"/>
            </w:pPr>
            <w:r w:rsidRPr="00C1603D">
              <w:t>1.992</w:t>
            </w:r>
          </w:p>
        </w:tc>
        <w:tc>
          <w:tcPr>
            <w:tcW w:w="0" w:type="auto"/>
            <w:shd w:val="clear" w:color="auto" w:fill="auto"/>
            <w:tcMar>
              <w:top w:w="15" w:type="dxa"/>
              <w:left w:w="15" w:type="dxa"/>
              <w:bottom w:w="0" w:type="dxa"/>
              <w:right w:w="15" w:type="dxa"/>
            </w:tcMar>
          </w:tcPr>
          <w:p w14:paraId="2F6FD5D6" w14:textId="77777777" w:rsidR="008B4DF8" w:rsidRPr="00C1603D" w:rsidRDefault="008B4DF8" w:rsidP="00590883">
            <w:pPr>
              <w:pStyle w:val="72TabletextTablesTableFigureBoxstyles"/>
            </w:pPr>
            <w:r w:rsidRPr="00C1603D">
              <w:t>7.330</w:t>
            </w:r>
          </w:p>
        </w:tc>
      </w:tr>
      <w:tr w:rsidR="00590883" w:rsidRPr="00C1603D" w14:paraId="5AC30457" w14:textId="77777777" w:rsidTr="00590883">
        <w:trPr>
          <w:cantSplit/>
        </w:trPr>
        <w:tc>
          <w:tcPr>
            <w:tcW w:w="0" w:type="auto"/>
            <w:shd w:val="clear" w:color="auto" w:fill="auto"/>
            <w:tcMar>
              <w:top w:w="15" w:type="dxa"/>
              <w:left w:w="15" w:type="dxa"/>
              <w:bottom w:w="0" w:type="dxa"/>
              <w:right w:w="15" w:type="dxa"/>
            </w:tcMar>
          </w:tcPr>
          <w:p w14:paraId="5BDC4A89" w14:textId="77777777" w:rsidR="008B4DF8" w:rsidRPr="00C1603D" w:rsidRDefault="008B4DF8" w:rsidP="00590883">
            <w:pPr>
              <w:pStyle w:val="72TabletextTablesTableFigureBoxstyles"/>
            </w:pPr>
            <w:r w:rsidRPr="00C1603D">
              <w:t>Weight loss</w:t>
            </w:r>
          </w:p>
        </w:tc>
        <w:tc>
          <w:tcPr>
            <w:tcW w:w="0" w:type="auto"/>
            <w:shd w:val="clear" w:color="auto" w:fill="auto"/>
            <w:tcMar>
              <w:top w:w="15" w:type="dxa"/>
              <w:left w:w="15" w:type="dxa"/>
              <w:bottom w:w="0" w:type="dxa"/>
              <w:right w:w="15" w:type="dxa"/>
            </w:tcMar>
          </w:tcPr>
          <w:p w14:paraId="2D246361" w14:textId="77777777" w:rsidR="008B4DF8" w:rsidRPr="00C1603D" w:rsidRDefault="008B4DF8" w:rsidP="00590883">
            <w:pPr>
              <w:pStyle w:val="72TabletextTablesTableFigureBoxstyles"/>
            </w:pPr>
            <w:r w:rsidRPr="00C1603D">
              <w:t>1.490</w:t>
            </w:r>
          </w:p>
        </w:tc>
        <w:tc>
          <w:tcPr>
            <w:tcW w:w="0" w:type="auto"/>
            <w:shd w:val="clear" w:color="auto" w:fill="auto"/>
            <w:tcMar>
              <w:top w:w="15" w:type="dxa"/>
              <w:left w:w="15" w:type="dxa"/>
              <w:bottom w:w="0" w:type="dxa"/>
              <w:right w:w="15" w:type="dxa"/>
            </w:tcMar>
          </w:tcPr>
          <w:p w14:paraId="68055282" w14:textId="5A48B473" w:rsidR="008B4DF8" w:rsidRPr="00C1603D" w:rsidRDefault="008B4DF8" w:rsidP="00590883">
            <w:pPr>
              <w:pStyle w:val="72TabletextTablesTableFigureBoxstyles"/>
            </w:pPr>
            <w:r w:rsidRPr="00C1603D">
              <w:t xml:space="preserve">1.489 </w:t>
            </w:r>
            <w:r w:rsidRPr="00C1603D">
              <w:rPr>
                <w:color w:val="00B0F0"/>
              </w:rPr>
              <w:t>(</w:t>
            </w:r>
            <w:r w:rsidRPr="00C1603D">
              <w:t>1.431</w:t>
            </w:r>
            <w:r w:rsidR="00590883" w:rsidRPr="00C1603D">
              <w:t>–</w:t>
            </w:r>
            <w:r w:rsidRPr="00C1603D">
              <w:t>1.552)</w:t>
            </w:r>
          </w:p>
        </w:tc>
        <w:tc>
          <w:tcPr>
            <w:tcW w:w="0" w:type="auto"/>
            <w:shd w:val="clear" w:color="auto" w:fill="auto"/>
            <w:tcMar>
              <w:top w:w="15" w:type="dxa"/>
              <w:left w:w="15" w:type="dxa"/>
              <w:bottom w:w="0" w:type="dxa"/>
              <w:right w:w="15" w:type="dxa"/>
            </w:tcMar>
          </w:tcPr>
          <w:p w14:paraId="2F3B3000" w14:textId="77777777" w:rsidR="008B4DF8" w:rsidRPr="00C1603D" w:rsidRDefault="008B4DF8" w:rsidP="00590883">
            <w:pPr>
              <w:pStyle w:val="72TabletextTablesTableFigureBoxstyles"/>
            </w:pPr>
            <w:r w:rsidRPr="00C1603D">
              <w:t>1.514</w:t>
            </w:r>
          </w:p>
        </w:tc>
        <w:tc>
          <w:tcPr>
            <w:tcW w:w="0" w:type="auto"/>
            <w:shd w:val="clear" w:color="auto" w:fill="auto"/>
            <w:tcMar>
              <w:top w:w="15" w:type="dxa"/>
              <w:left w:w="15" w:type="dxa"/>
              <w:bottom w:w="0" w:type="dxa"/>
              <w:right w:w="15" w:type="dxa"/>
            </w:tcMar>
          </w:tcPr>
          <w:p w14:paraId="0CAD43A0" w14:textId="77777777" w:rsidR="008B4DF8" w:rsidRPr="00C1603D" w:rsidRDefault="008B4DF8" w:rsidP="00590883">
            <w:pPr>
              <w:pStyle w:val="72TabletextTablesTableFigureBoxstyles"/>
            </w:pPr>
            <w:r w:rsidRPr="00C1603D">
              <w:t>4.438</w:t>
            </w:r>
          </w:p>
        </w:tc>
        <w:tc>
          <w:tcPr>
            <w:tcW w:w="0" w:type="auto"/>
            <w:shd w:val="clear" w:color="auto" w:fill="auto"/>
            <w:tcMar>
              <w:top w:w="15" w:type="dxa"/>
              <w:left w:w="15" w:type="dxa"/>
              <w:bottom w:w="0" w:type="dxa"/>
              <w:right w:w="15" w:type="dxa"/>
            </w:tcMar>
          </w:tcPr>
          <w:p w14:paraId="6E07F982" w14:textId="77777777" w:rsidR="008B4DF8" w:rsidRPr="00C1603D" w:rsidRDefault="008B4DF8" w:rsidP="00590883">
            <w:pPr>
              <w:pStyle w:val="72TabletextTablesTableFigureBoxstyles"/>
            </w:pPr>
            <w:r w:rsidRPr="00C1603D">
              <w:t>4.545</w:t>
            </w:r>
          </w:p>
        </w:tc>
        <w:tc>
          <w:tcPr>
            <w:tcW w:w="0" w:type="auto"/>
            <w:shd w:val="clear" w:color="auto" w:fill="auto"/>
            <w:tcMar>
              <w:top w:w="15" w:type="dxa"/>
              <w:left w:w="15" w:type="dxa"/>
              <w:bottom w:w="0" w:type="dxa"/>
              <w:right w:w="15" w:type="dxa"/>
            </w:tcMar>
          </w:tcPr>
          <w:p w14:paraId="42FBECC2" w14:textId="77777777" w:rsidR="008B4DF8" w:rsidRPr="00C1603D" w:rsidRDefault="008B4DF8" w:rsidP="00590883">
            <w:pPr>
              <w:pStyle w:val="72TabletextTablesTableFigureBoxstyles"/>
            </w:pPr>
            <w:r w:rsidRPr="00C1603D">
              <w:t>2.154</w:t>
            </w:r>
          </w:p>
        </w:tc>
        <w:tc>
          <w:tcPr>
            <w:tcW w:w="0" w:type="auto"/>
            <w:shd w:val="clear" w:color="auto" w:fill="auto"/>
            <w:tcMar>
              <w:top w:w="15" w:type="dxa"/>
              <w:left w:w="15" w:type="dxa"/>
              <w:bottom w:w="0" w:type="dxa"/>
              <w:right w:w="15" w:type="dxa"/>
            </w:tcMar>
          </w:tcPr>
          <w:p w14:paraId="55B6A41E" w14:textId="77777777" w:rsidR="008B4DF8" w:rsidRPr="00C1603D" w:rsidRDefault="008B4DF8" w:rsidP="00590883">
            <w:pPr>
              <w:pStyle w:val="72TabletextTablesTableFigureBoxstyles"/>
            </w:pPr>
            <w:r w:rsidRPr="00C1603D">
              <w:t>8.619</w:t>
            </w:r>
          </w:p>
        </w:tc>
      </w:tr>
      <w:tr w:rsidR="00590883" w:rsidRPr="00C1603D" w14:paraId="3AC37D66" w14:textId="77777777" w:rsidTr="00590883">
        <w:trPr>
          <w:cantSplit/>
        </w:trPr>
        <w:tc>
          <w:tcPr>
            <w:tcW w:w="0" w:type="auto"/>
            <w:shd w:val="clear" w:color="auto" w:fill="auto"/>
            <w:tcMar>
              <w:top w:w="15" w:type="dxa"/>
              <w:left w:w="15" w:type="dxa"/>
              <w:bottom w:w="0" w:type="dxa"/>
              <w:right w:w="15" w:type="dxa"/>
            </w:tcMar>
          </w:tcPr>
          <w:p w14:paraId="068A5799" w14:textId="77777777" w:rsidR="008B4DF8" w:rsidRPr="00C1603D" w:rsidRDefault="008B4DF8" w:rsidP="00590883">
            <w:pPr>
              <w:pStyle w:val="72TabletextTablesTableFigureBoxstyles"/>
            </w:pPr>
            <w:r w:rsidRPr="00C1603D">
              <w:t>Down syndrome</w:t>
            </w:r>
          </w:p>
        </w:tc>
        <w:tc>
          <w:tcPr>
            <w:tcW w:w="0" w:type="auto"/>
            <w:shd w:val="clear" w:color="auto" w:fill="auto"/>
            <w:tcMar>
              <w:top w:w="15" w:type="dxa"/>
              <w:left w:w="15" w:type="dxa"/>
              <w:bottom w:w="0" w:type="dxa"/>
              <w:right w:w="15" w:type="dxa"/>
            </w:tcMar>
          </w:tcPr>
          <w:p w14:paraId="044F41D5" w14:textId="77777777" w:rsidR="008B4DF8" w:rsidRPr="00C1603D" w:rsidRDefault="008B4DF8" w:rsidP="00590883">
            <w:pPr>
              <w:pStyle w:val="72TabletextTablesTableFigureBoxstyles"/>
            </w:pPr>
            <w:r w:rsidRPr="00C1603D">
              <w:t>1.293</w:t>
            </w:r>
          </w:p>
        </w:tc>
        <w:tc>
          <w:tcPr>
            <w:tcW w:w="0" w:type="auto"/>
            <w:shd w:val="clear" w:color="auto" w:fill="auto"/>
            <w:tcMar>
              <w:top w:w="15" w:type="dxa"/>
              <w:left w:w="15" w:type="dxa"/>
              <w:bottom w:w="0" w:type="dxa"/>
              <w:right w:w="15" w:type="dxa"/>
            </w:tcMar>
          </w:tcPr>
          <w:p w14:paraId="6F9D3329" w14:textId="4B5CAF36" w:rsidR="008B4DF8" w:rsidRPr="00C1603D" w:rsidRDefault="008B4DF8" w:rsidP="00590883">
            <w:pPr>
              <w:pStyle w:val="72TabletextTablesTableFigureBoxstyles"/>
            </w:pPr>
            <w:r w:rsidRPr="00C1603D">
              <w:t xml:space="preserve">1.344 </w:t>
            </w:r>
            <w:r w:rsidRPr="00C1603D">
              <w:rPr>
                <w:color w:val="00B0F0"/>
              </w:rPr>
              <w:t>(</w:t>
            </w:r>
            <w:r w:rsidRPr="00C1603D">
              <w:t>0.856</w:t>
            </w:r>
            <w:r w:rsidR="00590883" w:rsidRPr="00C1603D">
              <w:t>–</w:t>
            </w:r>
            <w:r w:rsidRPr="00C1603D">
              <w:t>1.813)</w:t>
            </w:r>
          </w:p>
        </w:tc>
        <w:tc>
          <w:tcPr>
            <w:tcW w:w="0" w:type="auto"/>
            <w:shd w:val="clear" w:color="auto" w:fill="auto"/>
            <w:tcMar>
              <w:top w:w="15" w:type="dxa"/>
              <w:left w:w="15" w:type="dxa"/>
              <w:bottom w:w="0" w:type="dxa"/>
              <w:right w:w="15" w:type="dxa"/>
            </w:tcMar>
          </w:tcPr>
          <w:p w14:paraId="7CC0A13B" w14:textId="77777777" w:rsidR="008B4DF8" w:rsidRPr="00C1603D" w:rsidRDefault="008B4DF8" w:rsidP="00590883">
            <w:pPr>
              <w:pStyle w:val="72TabletextTablesTableFigureBoxstyles"/>
            </w:pPr>
            <w:r w:rsidRPr="00C1603D">
              <w:t>1.405</w:t>
            </w:r>
          </w:p>
        </w:tc>
        <w:tc>
          <w:tcPr>
            <w:tcW w:w="0" w:type="auto"/>
            <w:shd w:val="clear" w:color="auto" w:fill="auto"/>
            <w:tcMar>
              <w:top w:w="15" w:type="dxa"/>
              <w:left w:w="15" w:type="dxa"/>
              <w:bottom w:w="0" w:type="dxa"/>
              <w:right w:w="15" w:type="dxa"/>
            </w:tcMar>
          </w:tcPr>
          <w:p w14:paraId="04F63FA9" w14:textId="77777777" w:rsidR="008B4DF8" w:rsidRPr="00C1603D" w:rsidRDefault="008B4DF8" w:rsidP="00590883">
            <w:pPr>
              <w:pStyle w:val="72TabletextTablesTableFigureBoxstyles"/>
            </w:pPr>
            <w:r w:rsidRPr="00C1603D">
              <w:t>3.643</w:t>
            </w:r>
          </w:p>
        </w:tc>
        <w:tc>
          <w:tcPr>
            <w:tcW w:w="0" w:type="auto"/>
            <w:shd w:val="clear" w:color="auto" w:fill="auto"/>
            <w:tcMar>
              <w:top w:w="15" w:type="dxa"/>
              <w:left w:w="15" w:type="dxa"/>
              <w:bottom w:w="0" w:type="dxa"/>
              <w:right w:w="15" w:type="dxa"/>
            </w:tcMar>
          </w:tcPr>
          <w:p w14:paraId="75F4E72B" w14:textId="77777777" w:rsidR="008B4DF8" w:rsidRPr="00C1603D" w:rsidRDefault="008B4DF8" w:rsidP="00590883">
            <w:pPr>
              <w:pStyle w:val="72TabletextTablesTableFigureBoxstyles"/>
            </w:pPr>
            <w:r w:rsidRPr="00C1603D">
              <w:t>4.075</w:t>
            </w:r>
          </w:p>
        </w:tc>
        <w:tc>
          <w:tcPr>
            <w:tcW w:w="0" w:type="auto"/>
            <w:shd w:val="clear" w:color="auto" w:fill="auto"/>
            <w:tcMar>
              <w:top w:w="15" w:type="dxa"/>
              <w:left w:w="15" w:type="dxa"/>
              <w:bottom w:w="0" w:type="dxa"/>
              <w:right w:w="15" w:type="dxa"/>
            </w:tcMar>
          </w:tcPr>
          <w:p w14:paraId="4F556657" w14:textId="77777777" w:rsidR="008B4DF8" w:rsidRPr="00C1603D" w:rsidRDefault="008B4DF8" w:rsidP="00590883">
            <w:pPr>
              <w:pStyle w:val="72TabletextTablesTableFigureBoxstyles"/>
            </w:pPr>
            <w:r w:rsidRPr="00C1603D">
              <w:t>1.766</w:t>
            </w:r>
          </w:p>
        </w:tc>
        <w:tc>
          <w:tcPr>
            <w:tcW w:w="0" w:type="auto"/>
            <w:shd w:val="clear" w:color="auto" w:fill="auto"/>
            <w:tcMar>
              <w:top w:w="15" w:type="dxa"/>
              <w:left w:w="15" w:type="dxa"/>
              <w:bottom w:w="0" w:type="dxa"/>
              <w:right w:w="15" w:type="dxa"/>
            </w:tcMar>
          </w:tcPr>
          <w:p w14:paraId="1A43EC0D" w14:textId="77777777" w:rsidR="008B4DF8" w:rsidRPr="00C1603D" w:rsidRDefault="008B4DF8" w:rsidP="00590883">
            <w:pPr>
              <w:pStyle w:val="72TabletextTablesTableFigureBoxstyles"/>
            </w:pPr>
            <w:r w:rsidRPr="00C1603D">
              <w:t>5.847</w:t>
            </w:r>
          </w:p>
        </w:tc>
      </w:tr>
      <w:tr w:rsidR="00590883" w:rsidRPr="00C1603D" w14:paraId="73EF8026" w14:textId="77777777" w:rsidTr="00590883">
        <w:trPr>
          <w:cantSplit/>
        </w:trPr>
        <w:tc>
          <w:tcPr>
            <w:tcW w:w="0" w:type="auto"/>
            <w:shd w:val="clear" w:color="auto" w:fill="auto"/>
            <w:tcMar>
              <w:top w:w="15" w:type="dxa"/>
              <w:left w:w="15" w:type="dxa"/>
              <w:bottom w:w="0" w:type="dxa"/>
              <w:right w:w="15" w:type="dxa"/>
            </w:tcMar>
          </w:tcPr>
          <w:p w14:paraId="78AE8140" w14:textId="77777777" w:rsidR="008B4DF8" w:rsidRPr="00C1603D" w:rsidRDefault="008B4DF8" w:rsidP="00590883">
            <w:pPr>
              <w:pStyle w:val="72TabletextTablesTableFigureBoxstyles"/>
            </w:pPr>
            <w:r w:rsidRPr="00C1603D">
              <w:t>Mouth ulcers (count year 1)</w:t>
            </w:r>
          </w:p>
        </w:tc>
        <w:tc>
          <w:tcPr>
            <w:tcW w:w="0" w:type="auto"/>
            <w:shd w:val="clear" w:color="auto" w:fill="auto"/>
            <w:tcMar>
              <w:top w:w="15" w:type="dxa"/>
              <w:left w:w="15" w:type="dxa"/>
              <w:bottom w:w="0" w:type="dxa"/>
              <w:right w:w="15" w:type="dxa"/>
            </w:tcMar>
          </w:tcPr>
          <w:p w14:paraId="59A1743A" w14:textId="77777777" w:rsidR="008B4DF8" w:rsidRPr="00C1603D" w:rsidRDefault="008B4DF8" w:rsidP="00590883">
            <w:pPr>
              <w:pStyle w:val="72TabletextTablesTableFigureBoxstyles"/>
            </w:pPr>
            <w:r w:rsidRPr="00C1603D">
              <w:t>0.934</w:t>
            </w:r>
          </w:p>
        </w:tc>
        <w:tc>
          <w:tcPr>
            <w:tcW w:w="0" w:type="auto"/>
            <w:shd w:val="clear" w:color="auto" w:fill="auto"/>
            <w:tcMar>
              <w:top w:w="15" w:type="dxa"/>
              <w:left w:w="15" w:type="dxa"/>
              <w:bottom w:w="0" w:type="dxa"/>
              <w:right w:w="15" w:type="dxa"/>
            </w:tcMar>
          </w:tcPr>
          <w:p w14:paraId="21F4B834" w14:textId="399D557A" w:rsidR="008B4DF8" w:rsidRPr="00C1603D" w:rsidRDefault="008B4DF8" w:rsidP="00590883">
            <w:pPr>
              <w:pStyle w:val="72TabletextTablesTableFigureBoxstyles"/>
            </w:pPr>
            <w:r w:rsidRPr="00C1603D">
              <w:t xml:space="preserve">0.919 </w:t>
            </w:r>
            <w:r w:rsidRPr="00C1603D">
              <w:rPr>
                <w:color w:val="00B0F0"/>
              </w:rPr>
              <w:t>(</w:t>
            </w:r>
            <w:r w:rsidRPr="00C1603D">
              <w:t>0.849</w:t>
            </w:r>
            <w:r w:rsidR="00590883" w:rsidRPr="00C1603D">
              <w:t>–</w:t>
            </w:r>
            <w:r w:rsidRPr="00C1603D">
              <w:t>0.994)</w:t>
            </w:r>
          </w:p>
        </w:tc>
        <w:tc>
          <w:tcPr>
            <w:tcW w:w="0" w:type="auto"/>
            <w:shd w:val="clear" w:color="auto" w:fill="auto"/>
            <w:tcMar>
              <w:top w:w="15" w:type="dxa"/>
              <w:left w:w="15" w:type="dxa"/>
              <w:bottom w:w="0" w:type="dxa"/>
              <w:right w:w="15" w:type="dxa"/>
            </w:tcMar>
          </w:tcPr>
          <w:p w14:paraId="444B6248" w14:textId="77777777" w:rsidR="008B4DF8" w:rsidRPr="00C1603D" w:rsidRDefault="008B4DF8" w:rsidP="00590883">
            <w:pPr>
              <w:pStyle w:val="72TabletextTablesTableFigureBoxstyles"/>
            </w:pPr>
            <w:r w:rsidRPr="00C1603D">
              <w:t>0.965</w:t>
            </w:r>
          </w:p>
        </w:tc>
        <w:tc>
          <w:tcPr>
            <w:tcW w:w="0" w:type="auto"/>
            <w:shd w:val="clear" w:color="auto" w:fill="auto"/>
            <w:tcMar>
              <w:top w:w="15" w:type="dxa"/>
              <w:left w:w="15" w:type="dxa"/>
              <w:bottom w:w="0" w:type="dxa"/>
              <w:right w:w="15" w:type="dxa"/>
            </w:tcMar>
          </w:tcPr>
          <w:p w14:paraId="1B063143" w14:textId="77777777" w:rsidR="008B4DF8" w:rsidRPr="00C1603D" w:rsidRDefault="008B4DF8" w:rsidP="00590883">
            <w:pPr>
              <w:pStyle w:val="72TabletextTablesTableFigureBoxstyles"/>
            </w:pPr>
            <w:r w:rsidRPr="00C1603D">
              <w:t>2.544</w:t>
            </w:r>
          </w:p>
        </w:tc>
        <w:tc>
          <w:tcPr>
            <w:tcW w:w="0" w:type="auto"/>
            <w:shd w:val="clear" w:color="auto" w:fill="auto"/>
            <w:tcMar>
              <w:top w:w="15" w:type="dxa"/>
              <w:left w:w="15" w:type="dxa"/>
              <w:bottom w:w="0" w:type="dxa"/>
              <w:right w:w="15" w:type="dxa"/>
            </w:tcMar>
          </w:tcPr>
          <w:p w14:paraId="579C874B" w14:textId="77777777" w:rsidR="008B4DF8" w:rsidRPr="00C1603D" w:rsidRDefault="008B4DF8" w:rsidP="00590883">
            <w:pPr>
              <w:pStyle w:val="72TabletextTablesTableFigureBoxstyles"/>
            </w:pPr>
            <w:r w:rsidRPr="00C1603D">
              <w:t>2.624</w:t>
            </w:r>
          </w:p>
        </w:tc>
        <w:tc>
          <w:tcPr>
            <w:tcW w:w="0" w:type="auto"/>
            <w:shd w:val="clear" w:color="auto" w:fill="auto"/>
            <w:tcMar>
              <w:top w:w="15" w:type="dxa"/>
              <w:left w:w="15" w:type="dxa"/>
              <w:bottom w:w="0" w:type="dxa"/>
              <w:right w:w="15" w:type="dxa"/>
            </w:tcMar>
          </w:tcPr>
          <w:p w14:paraId="2AFF2BAD" w14:textId="77777777" w:rsidR="008B4DF8" w:rsidRPr="00C1603D" w:rsidRDefault="008B4DF8" w:rsidP="00590883">
            <w:pPr>
              <w:pStyle w:val="72TabletextTablesTableFigureBoxstyles"/>
            </w:pPr>
            <w:r w:rsidRPr="00C1603D">
              <w:t>1.503</w:t>
            </w:r>
          </w:p>
        </w:tc>
        <w:tc>
          <w:tcPr>
            <w:tcW w:w="0" w:type="auto"/>
            <w:shd w:val="clear" w:color="auto" w:fill="auto"/>
            <w:tcMar>
              <w:top w:w="15" w:type="dxa"/>
              <w:left w:w="15" w:type="dxa"/>
              <w:bottom w:w="0" w:type="dxa"/>
              <w:right w:w="15" w:type="dxa"/>
            </w:tcMar>
          </w:tcPr>
          <w:p w14:paraId="1A3B671D" w14:textId="77777777" w:rsidR="008B4DF8" w:rsidRPr="00C1603D" w:rsidRDefault="008B4DF8" w:rsidP="00590883">
            <w:pPr>
              <w:pStyle w:val="72TabletextTablesTableFigureBoxstyles"/>
            </w:pPr>
            <w:r w:rsidRPr="00C1603D">
              <w:t>4.495</w:t>
            </w:r>
          </w:p>
        </w:tc>
      </w:tr>
      <w:tr w:rsidR="00590883" w:rsidRPr="00C1603D" w14:paraId="23C2D2CA" w14:textId="77777777" w:rsidTr="00590883">
        <w:trPr>
          <w:cantSplit/>
        </w:trPr>
        <w:tc>
          <w:tcPr>
            <w:tcW w:w="0" w:type="auto"/>
            <w:shd w:val="clear" w:color="auto" w:fill="auto"/>
            <w:tcMar>
              <w:top w:w="15" w:type="dxa"/>
              <w:left w:w="15" w:type="dxa"/>
              <w:bottom w:w="0" w:type="dxa"/>
              <w:right w:w="15" w:type="dxa"/>
            </w:tcMar>
          </w:tcPr>
          <w:p w14:paraId="46142FFC" w14:textId="77777777" w:rsidR="008B4DF8" w:rsidRPr="00C1603D" w:rsidRDefault="008B4DF8" w:rsidP="00590883">
            <w:pPr>
              <w:pStyle w:val="72TabletextTablesTableFigureBoxstyles"/>
            </w:pPr>
            <w:r w:rsidRPr="00C1603D">
              <w:t>Thyroid disorders</w:t>
            </w:r>
          </w:p>
        </w:tc>
        <w:tc>
          <w:tcPr>
            <w:tcW w:w="0" w:type="auto"/>
            <w:shd w:val="clear" w:color="auto" w:fill="auto"/>
            <w:tcMar>
              <w:top w:w="15" w:type="dxa"/>
              <w:left w:w="15" w:type="dxa"/>
              <w:bottom w:w="0" w:type="dxa"/>
              <w:right w:w="15" w:type="dxa"/>
            </w:tcMar>
          </w:tcPr>
          <w:p w14:paraId="0F81ABE5" w14:textId="77777777" w:rsidR="008B4DF8" w:rsidRPr="00C1603D" w:rsidRDefault="008B4DF8" w:rsidP="00590883">
            <w:pPr>
              <w:pStyle w:val="72TabletextTablesTableFigureBoxstyles"/>
            </w:pPr>
            <w:r w:rsidRPr="00C1603D">
              <w:t>0.910</w:t>
            </w:r>
          </w:p>
        </w:tc>
        <w:tc>
          <w:tcPr>
            <w:tcW w:w="0" w:type="auto"/>
            <w:shd w:val="clear" w:color="auto" w:fill="auto"/>
            <w:tcMar>
              <w:top w:w="15" w:type="dxa"/>
              <w:left w:w="15" w:type="dxa"/>
              <w:bottom w:w="0" w:type="dxa"/>
              <w:right w:w="15" w:type="dxa"/>
            </w:tcMar>
          </w:tcPr>
          <w:p w14:paraId="7CAC1F65" w14:textId="60AC109D" w:rsidR="008B4DF8" w:rsidRPr="00C1603D" w:rsidRDefault="008B4DF8" w:rsidP="00590883">
            <w:pPr>
              <w:pStyle w:val="72TabletextTablesTableFigureBoxstyles"/>
            </w:pPr>
            <w:r w:rsidRPr="00C1603D">
              <w:t xml:space="preserve">0.913 </w:t>
            </w:r>
            <w:r w:rsidRPr="00C1603D">
              <w:rPr>
                <w:color w:val="00B0F0"/>
              </w:rPr>
              <w:t>(</w:t>
            </w:r>
            <w:r w:rsidRPr="00C1603D">
              <w:t>0.753</w:t>
            </w:r>
            <w:r w:rsidR="00590883" w:rsidRPr="00C1603D">
              <w:t>–</w:t>
            </w:r>
            <w:r w:rsidRPr="00C1603D">
              <w:t>1.074)</w:t>
            </w:r>
          </w:p>
        </w:tc>
        <w:tc>
          <w:tcPr>
            <w:tcW w:w="0" w:type="auto"/>
            <w:shd w:val="clear" w:color="auto" w:fill="auto"/>
            <w:tcMar>
              <w:top w:w="15" w:type="dxa"/>
              <w:left w:w="15" w:type="dxa"/>
              <w:bottom w:w="0" w:type="dxa"/>
              <w:right w:w="15" w:type="dxa"/>
            </w:tcMar>
          </w:tcPr>
          <w:p w14:paraId="723D5029" w14:textId="77777777" w:rsidR="008B4DF8" w:rsidRPr="00C1603D" w:rsidRDefault="008B4DF8" w:rsidP="00590883">
            <w:pPr>
              <w:pStyle w:val="72TabletextTablesTableFigureBoxstyles"/>
            </w:pPr>
            <w:r w:rsidRPr="00C1603D">
              <w:t>0.928</w:t>
            </w:r>
          </w:p>
        </w:tc>
        <w:tc>
          <w:tcPr>
            <w:tcW w:w="0" w:type="auto"/>
            <w:shd w:val="clear" w:color="auto" w:fill="auto"/>
            <w:tcMar>
              <w:top w:w="15" w:type="dxa"/>
              <w:left w:w="15" w:type="dxa"/>
              <w:bottom w:w="0" w:type="dxa"/>
              <w:right w:w="15" w:type="dxa"/>
            </w:tcMar>
          </w:tcPr>
          <w:p w14:paraId="35393972" w14:textId="77777777" w:rsidR="008B4DF8" w:rsidRPr="00C1603D" w:rsidRDefault="008B4DF8" w:rsidP="00590883">
            <w:pPr>
              <w:pStyle w:val="72TabletextTablesTableFigureBoxstyles"/>
            </w:pPr>
            <w:r w:rsidRPr="00C1603D">
              <w:t>2.484</w:t>
            </w:r>
          </w:p>
        </w:tc>
        <w:tc>
          <w:tcPr>
            <w:tcW w:w="0" w:type="auto"/>
            <w:shd w:val="clear" w:color="auto" w:fill="auto"/>
            <w:tcMar>
              <w:top w:w="15" w:type="dxa"/>
              <w:left w:w="15" w:type="dxa"/>
              <w:bottom w:w="0" w:type="dxa"/>
              <w:right w:w="15" w:type="dxa"/>
            </w:tcMar>
          </w:tcPr>
          <w:p w14:paraId="6F5D8A53" w14:textId="77777777" w:rsidR="008B4DF8" w:rsidRPr="00C1603D" w:rsidRDefault="008B4DF8" w:rsidP="00590883">
            <w:pPr>
              <w:pStyle w:val="72TabletextTablesTableFigureBoxstyles"/>
            </w:pPr>
            <w:r w:rsidRPr="00C1603D">
              <w:t>2.530</w:t>
            </w:r>
          </w:p>
        </w:tc>
        <w:tc>
          <w:tcPr>
            <w:tcW w:w="0" w:type="auto"/>
            <w:shd w:val="clear" w:color="auto" w:fill="auto"/>
            <w:tcMar>
              <w:top w:w="15" w:type="dxa"/>
              <w:left w:w="15" w:type="dxa"/>
              <w:bottom w:w="0" w:type="dxa"/>
              <w:right w:w="15" w:type="dxa"/>
            </w:tcMar>
          </w:tcPr>
          <w:p w14:paraId="72909007" w14:textId="77777777" w:rsidR="008B4DF8" w:rsidRPr="00C1603D" w:rsidRDefault="008B4DF8" w:rsidP="00590883">
            <w:pPr>
              <w:pStyle w:val="72TabletextTablesTableFigureBoxstyles"/>
            </w:pPr>
            <w:r w:rsidRPr="00C1603D">
              <w:t>1.499</w:t>
            </w:r>
          </w:p>
        </w:tc>
        <w:tc>
          <w:tcPr>
            <w:tcW w:w="0" w:type="auto"/>
            <w:shd w:val="clear" w:color="auto" w:fill="auto"/>
            <w:tcMar>
              <w:top w:w="15" w:type="dxa"/>
              <w:left w:w="15" w:type="dxa"/>
              <w:bottom w:w="0" w:type="dxa"/>
              <w:right w:w="15" w:type="dxa"/>
            </w:tcMar>
          </w:tcPr>
          <w:p w14:paraId="2EF262BE" w14:textId="77777777" w:rsidR="008B4DF8" w:rsidRPr="00C1603D" w:rsidRDefault="008B4DF8" w:rsidP="00590883">
            <w:pPr>
              <w:pStyle w:val="72TabletextTablesTableFigureBoxstyles"/>
            </w:pPr>
            <w:r w:rsidRPr="00C1603D">
              <w:t>4.477</w:t>
            </w:r>
          </w:p>
        </w:tc>
      </w:tr>
      <w:tr w:rsidR="00590883" w:rsidRPr="00C1603D" w14:paraId="345166B7" w14:textId="77777777" w:rsidTr="00590883">
        <w:trPr>
          <w:cantSplit/>
        </w:trPr>
        <w:tc>
          <w:tcPr>
            <w:tcW w:w="0" w:type="auto"/>
            <w:shd w:val="clear" w:color="auto" w:fill="auto"/>
            <w:tcMar>
              <w:top w:w="15" w:type="dxa"/>
              <w:left w:w="15" w:type="dxa"/>
              <w:bottom w:w="0" w:type="dxa"/>
              <w:right w:w="15" w:type="dxa"/>
            </w:tcMar>
          </w:tcPr>
          <w:p w14:paraId="041D58F7" w14:textId="77777777" w:rsidR="008B4DF8" w:rsidRPr="00C1603D" w:rsidRDefault="008B4DF8" w:rsidP="00590883">
            <w:pPr>
              <w:pStyle w:val="72TabletextTablesTableFigureBoxstyles"/>
            </w:pPr>
            <w:r w:rsidRPr="00C1603D">
              <w:t>GI symptoms (count year 1)</w:t>
            </w:r>
          </w:p>
        </w:tc>
        <w:tc>
          <w:tcPr>
            <w:tcW w:w="0" w:type="auto"/>
            <w:shd w:val="clear" w:color="auto" w:fill="auto"/>
            <w:tcMar>
              <w:top w:w="15" w:type="dxa"/>
              <w:left w:w="15" w:type="dxa"/>
              <w:bottom w:w="0" w:type="dxa"/>
              <w:right w:w="15" w:type="dxa"/>
            </w:tcMar>
          </w:tcPr>
          <w:p w14:paraId="74EABD71" w14:textId="77777777" w:rsidR="008B4DF8" w:rsidRPr="00C1603D" w:rsidRDefault="008B4DF8" w:rsidP="00590883">
            <w:pPr>
              <w:pStyle w:val="72TabletextTablesTableFigureBoxstyles"/>
            </w:pPr>
            <w:r w:rsidRPr="00C1603D">
              <w:t>0.787</w:t>
            </w:r>
          </w:p>
        </w:tc>
        <w:tc>
          <w:tcPr>
            <w:tcW w:w="0" w:type="auto"/>
            <w:shd w:val="clear" w:color="auto" w:fill="auto"/>
            <w:tcMar>
              <w:top w:w="15" w:type="dxa"/>
              <w:left w:w="15" w:type="dxa"/>
              <w:bottom w:w="0" w:type="dxa"/>
              <w:right w:w="15" w:type="dxa"/>
            </w:tcMar>
          </w:tcPr>
          <w:p w14:paraId="6C727D5A" w14:textId="3D206C74" w:rsidR="008B4DF8" w:rsidRPr="00C1603D" w:rsidRDefault="008B4DF8" w:rsidP="00590883">
            <w:pPr>
              <w:pStyle w:val="72TabletextTablesTableFigureBoxstyles"/>
            </w:pPr>
            <w:r w:rsidRPr="00C1603D">
              <w:t xml:space="preserve">0.789 </w:t>
            </w:r>
            <w:r w:rsidRPr="00C1603D">
              <w:rPr>
                <w:color w:val="00B0F0"/>
              </w:rPr>
              <w:t>(</w:t>
            </w:r>
            <w:r w:rsidRPr="00C1603D">
              <w:t>0.772</w:t>
            </w:r>
            <w:r w:rsidR="00590883" w:rsidRPr="00C1603D">
              <w:t>–</w:t>
            </w:r>
            <w:r w:rsidRPr="00C1603D">
              <w:t>0.807)</w:t>
            </w:r>
          </w:p>
        </w:tc>
        <w:tc>
          <w:tcPr>
            <w:tcW w:w="0" w:type="auto"/>
            <w:shd w:val="clear" w:color="auto" w:fill="auto"/>
            <w:tcMar>
              <w:top w:w="15" w:type="dxa"/>
              <w:left w:w="15" w:type="dxa"/>
              <w:bottom w:w="0" w:type="dxa"/>
              <w:right w:w="15" w:type="dxa"/>
            </w:tcMar>
          </w:tcPr>
          <w:p w14:paraId="7F3FD5B6" w14:textId="77777777" w:rsidR="008B4DF8" w:rsidRPr="00C1603D" w:rsidRDefault="008B4DF8" w:rsidP="00590883">
            <w:pPr>
              <w:pStyle w:val="72TabletextTablesTableFigureBoxstyles"/>
            </w:pPr>
            <w:r w:rsidRPr="00C1603D">
              <w:t>0.799</w:t>
            </w:r>
          </w:p>
        </w:tc>
        <w:tc>
          <w:tcPr>
            <w:tcW w:w="0" w:type="auto"/>
            <w:shd w:val="clear" w:color="auto" w:fill="auto"/>
            <w:tcMar>
              <w:top w:w="15" w:type="dxa"/>
              <w:left w:w="15" w:type="dxa"/>
              <w:bottom w:w="0" w:type="dxa"/>
              <w:right w:w="15" w:type="dxa"/>
            </w:tcMar>
          </w:tcPr>
          <w:p w14:paraId="4EF6963C" w14:textId="77777777" w:rsidR="008B4DF8" w:rsidRPr="00C1603D" w:rsidRDefault="008B4DF8" w:rsidP="00590883">
            <w:pPr>
              <w:pStyle w:val="72TabletextTablesTableFigureBoxstyles"/>
            </w:pPr>
            <w:r w:rsidRPr="00C1603D">
              <w:t>2.197</w:t>
            </w:r>
          </w:p>
        </w:tc>
        <w:tc>
          <w:tcPr>
            <w:tcW w:w="0" w:type="auto"/>
            <w:shd w:val="clear" w:color="auto" w:fill="auto"/>
            <w:tcMar>
              <w:top w:w="15" w:type="dxa"/>
              <w:left w:w="15" w:type="dxa"/>
              <w:bottom w:w="0" w:type="dxa"/>
              <w:right w:w="15" w:type="dxa"/>
            </w:tcMar>
          </w:tcPr>
          <w:p w14:paraId="64EE6405" w14:textId="77777777" w:rsidR="008B4DF8" w:rsidRPr="00C1603D" w:rsidRDefault="008B4DF8" w:rsidP="00590883">
            <w:pPr>
              <w:pStyle w:val="72TabletextTablesTableFigureBoxstyles"/>
            </w:pPr>
            <w:r w:rsidRPr="00C1603D">
              <w:t>2.223</w:t>
            </w:r>
          </w:p>
        </w:tc>
        <w:tc>
          <w:tcPr>
            <w:tcW w:w="0" w:type="auto"/>
            <w:shd w:val="clear" w:color="auto" w:fill="auto"/>
            <w:tcMar>
              <w:top w:w="15" w:type="dxa"/>
              <w:left w:w="15" w:type="dxa"/>
              <w:bottom w:w="0" w:type="dxa"/>
              <w:right w:w="15" w:type="dxa"/>
            </w:tcMar>
          </w:tcPr>
          <w:p w14:paraId="2880070F" w14:textId="77777777" w:rsidR="008B4DF8" w:rsidRPr="00C1603D" w:rsidRDefault="008B4DF8" w:rsidP="00590883">
            <w:pPr>
              <w:pStyle w:val="72TabletextTablesTableFigureBoxstyles"/>
            </w:pPr>
            <w:r w:rsidRPr="00C1603D">
              <w:t>1.037</w:t>
            </w:r>
          </w:p>
        </w:tc>
        <w:tc>
          <w:tcPr>
            <w:tcW w:w="0" w:type="auto"/>
            <w:shd w:val="clear" w:color="auto" w:fill="auto"/>
            <w:tcMar>
              <w:top w:w="15" w:type="dxa"/>
              <w:left w:w="15" w:type="dxa"/>
              <w:bottom w:w="0" w:type="dxa"/>
              <w:right w:w="15" w:type="dxa"/>
            </w:tcMar>
          </w:tcPr>
          <w:p w14:paraId="529B8BDC" w14:textId="77777777" w:rsidR="008B4DF8" w:rsidRPr="00C1603D" w:rsidRDefault="008B4DF8" w:rsidP="00590883">
            <w:pPr>
              <w:pStyle w:val="72TabletextTablesTableFigureBoxstyles"/>
            </w:pPr>
            <w:r w:rsidRPr="00C1603D">
              <w:t>2.821</w:t>
            </w:r>
          </w:p>
        </w:tc>
      </w:tr>
      <w:tr w:rsidR="00590883" w:rsidRPr="00C1603D" w14:paraId="01F89331" w14:textId="77777777" w:rsidTr="00590883">
        <w:trPr>
          <w:cantSplit/>
        </w:trPr>
        <w:tc>
          <w:tcPr>
            <w:tcW w:w="0" w:type="auto"/>
            <w:shd w:val="clear" w:color="auto" w:fill="auto"/>
            <w:tcMar>
              <w:top w:w="15" w:type="dxa"/>
              <w:left w:w="15" w:type="dxa"/>
              <w:bottom w:w="0" w:type="dxa"/>
              <w:right w:w="15" w:type="dxa"/>
            </w:tcMar>
          </w:tcPr>
          <w:p w14:paraId="31DE549F" w14:textId="72A459E4" w:rsidR="008B4DF8" w:rsidRPr="00C1603D" w:rsidRDefault="00C82170" w:rsidP="00590883">
            <w:pPr>
              <w:pStyle w:val="72TabletextTablesTableFigureBoxstyles"/>
            </w:pPr>
            <w:r w:rsidRPr="00C1603D">
              <w:t>IBS</w:t>
            </w:r>
          </w:p>
        </w:tc>
        <w:tc>
          <w:tcPr>
            <w:tcW w:w="0" w:type="auto"/>
            <w:shd w:val="clear" w:color="auto" w:fill="auto"/>
            <w:tcMar>
              <w:top w:w="15" w:type="dxa"/>
              <w:left w:w="15" w:type="dxa"/>
              <w:bottom w:w="0" w:type="dxa"/>
              <w:right w:w="15" w:type="dxa"/>
            </w:tcMar>
          </w:tcPr>
          <w:p w14:paraId="39611EF2" w14:textId="77777777" w:rsidR="008B4DF8" w:rsidRPr="00C1603D" w:rsidRDefault="008B4DF8" w:rsidP="00590883">
            <w:pPr>
              <w:pStyle w:val="72TabletextTablesTableFigureBoxstyles"/>
            </w:pPr>
            <w:r w:rsidRPr="00C1603D">
              <w:t>0.709</w:t>
            </w:r>
          </w:p>
        </w:tc>
        <w:tc>
          <w:tcPr>
            <w:tcW w:w="0" w:type="auto"/>
            <w:shd w:val="clear" w:color="auto" w:fill="auto"/>
            <w:tcMar>
              <w:top w:w="15" w:type="dxa"/>
              <w:left w:w="15" w:type="dxa"/>
              <w:bottom w:w="0" w:type="dxa"/>
              <w:right w:w="15" w:type="dxa"/>
            </w:tcMar>
          </w:tcPr>
          <w:p w14:paraId="5DECF2D1" w14:textId="714F2A50" w:rsidR="008B4DF8" w:rsidRPr="00C1603D" w:rsidRDefault="008B4DF8" w:rsidP="00590883">
            <w:pPr>
              <w:pStyle w:val="72TabletextTablesTableFigureBoxstyles"/>
            </w:pPr>
            <w:r w:rsidRPr="00C1603D">
              <w:t xml:space="preserve">0.714 </w:t>
            </w:r>
            <w:r w:rsidRPr="00C1603D">
              <w:rPr>
                <w:color w:val="00B0F0"/>
              </w:rPr>
              <w:t>(</w:t>
            </w:r>
            <w:r w:rsidRPr="00C1603D">
              <w:t>0.651</w:t>
            </w:r>
            <w:r w:rsidR="00590883" w:rsidRPr="00C1603D">
              <w:t>–</w:t>
            </w:r>
            <w:r w:rsidRPr="00C1603D">
              <w:t>0.776)</w:t>
            </w:r>
          </w:p>
        </w:tc>
        <w:tc>
          <w:tcPr>
            <w:tcW w:w="0" w:type="auto"/>
            <w:shd w:val="clear" w:color="auto" w:fill="auto"/>
            <w:tcMar>
              <w:top w:w="15" w:type="dxa"/>
              <w:left w:w="15" w:type="dxa"/>
              <w:bottom w:w="0" w:type="dxa"/>
              <w:right w:w="15" w:type="dxa"/>
            </w:tcMar>
          </w:tcPr>
          <w:p w14:paraId="662C3203" w14:textId="77777777" w:rsidR="008B4DF8" w:rsidRPr="00C1603D" w:rsidRDefault="008B4DF8" w:rsidP="00590883">
            <w:pPr>
              <w:pStyle w:val="72TabletextTablesTableFigureBoxstyles"/>
            </w:pPr>
            <w:r w:rsidRPr="00C1603D">
              <w:t>0.728</w:t>
            </w:r>
          </w:p>
        </w:tc>
        <w:tc>
          <w:tcPr>
            <w:tcW w:w="0" w:type="auto"/>
            <w:shd w:val="clear" w:color="auto" w:fill="auto"/>
            <w:tcMar>
              <w:top w:w="15" w:type="dxa"/>
              <w:left w:w="15" w:type="dxa"/>
              <w:bottom w:w="0" w:type="dxa"/>
              <w:right w:w="15" w:type="dxa"/>
            </w:tcMar>
          </w:tcPr>
          <w:p w14:paraId="4887811E" w14:textId="77777777" w:rsidR="008B4DF8" w:rsidRPr="00C1603D" w:rsidRDefault="008B4DF8" w:rsidP="00590883">
            <w:pPr>
              <w:pStyle w:val="72TabletextTablesTableFigureBoxstyles"/>
            </w:pPr>
            <w:r w:rsidRPr="00C1603D">
              <w:t>2.032</w:t>
            </w:r>
          </w:p>
        </w:tc>
        <w:tc>
          <w:tcPr>
            <w:tcW w:w="0" w:type="auto"/>
            <w:shd w:val="clear" w:color="auto" w:fill="auto"/>
            <w:tcMar>
              <w:top w:w="15" w:type="dxa"/>
              <w:left w:w="15" w:type="dxa"/>
              <w:bottom w:w="0" w:type="dxa"/>
              <w:right w:w="15" w:type="dxa"/>
            </w:tcMar>
          </w:tcPr>
          <w:p w14:paraId="1171488C" w14:textId="77777777" w:rsidR="008B4DF8" w:rsidRPr="00C1603D" w:rsidRDefault="008B4DF8" w:rsidP="00590883">
            <w:pPr>
              <w:pStyle w:val="72TabletextTablesTableFigureBoxstyles"/>
            </w:pPr>
            <w:r w:rsidRPr="00C1603D">
              <w:t>2.072</w:t>
            </w:r>
          </w:p>
        </w:tc>
        <w:tc>
          <w:tcPr>
            <w:tcW w:w="0" w:type="auto"/>
            <w:shd w:val="clear" w:color="auto" w:fill="auto"/>
            <w:tcMar>
              <w:top w:w="15" w:type="dxa"/>
              <w:left w:w="15" w:type="dxa"/>
              <w:bottom w:w="0" w:type="dxa"/>
              <w:right w:w="15" w:type="dxa"/>
            </w:tcMar>
          </w:tcPr>
          <w:p w14:paraId="41F8E4DF" w14:textId="77777777" w:rsidR="008B4DF8" w:rsidRPr="00C1603D" w:rsidRDefault="008B4DF8" w:rsidP="00590883">
            <w:pPr>
              <w:pStyle w:val="72TabletextTablesTableFigureBoxstyles"/>
            </w:pPr>
            <w:r w:rsidRPr="00C1603D">
              <w:t>1.240</w:t>
            </w:r>
          </w:p>
        </w:tc>
        <w:tc>
          <w:tcPr>
            <w:tcW w:w="0" w:type="auto"/>
            <w:shd w:val="clear" w:color="auto" w:fill="auto"/>
            <w:tcMar>
              <w:top w:w="15" w:type="dxa"/>
              <w:left w:w="15" w:type="dxa"/>
              <w:bottom w:w="0" w:type="dxa"/>
              <w:right w:w="15" w:type="dxa"/>
            </w:tcMar>
          </w:tcPr>
          <w:p w14:paraId="047119D4" w14:textId="77777777" w:rsidR="008B4DF8" w:rsidRPr="00C1603D" w:rsidRDefault="008B4DF8" w:rsidP="00590883">
            <w:pPr>
              <w:pStyle w:val="72TabletextTablesTableFigureBoxstyles"/>
            </w:pPr>
            <w:r w:rsidRPr="00C1603D">
              <w:t>3.456</w:t>
            </w:r>
          </w:p>
        </w:tc>
      </w:tr>
      <w:tr w:rsidR="00590883" w:rsidRPr="00C1603D" w14:paraId="3BD7AEF4" w14:textId="77777777" w:rsidTr="00590883">
        <w:trPr>
          <w:cantSplit/>
        </w:trPr>
        <w:tc>
          <w:tcPr>
            <w:tcW w:w="0" w:type="auto"/>
            <w:shd w:val="clear" w:color="auto" w:fill="auto"/>
            <w:tcMar>
              <w:top w:w="15" w:type="dxa"/>
              <w:left w:w="15" w:type="dxa"/>
              <w:bottom w:w="0" w:type="dxa"/>
              <w:right w:w="15" w:type="dxa"/>
            </w:tcMar>
          </w:tcPr>
          <w:p w14:paraId="3833629E" w14:textId="77777777" w:rsidR="008B4DF8" w:rsidRPr="00C1603D" w:rsidRDefault="008B4DF8" w:rsidP="00590883">
            <w:pPr>
              <w:pStyle w:val="72TabletextTablesTableFigureBoxstyles"/>
            </w:pPr>
            <w:r w:rsidRPr="00C1603D">
              <w:t>Fatigue (count year 1)</w:t>
            </w:r>
          </w:p>
        </w:tc>
        <w:tc>
          <w:tcPr>
            <w:tcW w:w="0" w:type="auto"/>
            <w:shd w:val="clear" w:color="auto" w:fill="auto"/>
            <w:tcMar>
              <w:top w:w="15" w:type="dxa"/>
              <w:left w:w="15" w:type="dxa"/>
              <w:bottom w:w="0" w:type="dxa"/>
              <w:right w:w="15" w:type="dxa"/>
            </w:tcMar>
          </w:tcPr>
          <w:p w14:paraId="265B1A80" w14:textId="77777777" w:rsidR="008B4DF8" w:rsidRPr="00C1603D" w:rsidRDefault="008B4DF8" w:rsidP="00590883">
            <w:pPr>
              <w:pStyle w:val="72TabletextTablesTableFigureBoxstyles"/>
            </w:pPr>
            <w:r w:rsidRPr="00C1603D">
              <w:t>0.663</w:t>
            </w:r>
          </w:p>
        </w:tc>
        <w:tc>
          <w:tcPr>
            <w:tcW w:w="0" w:type="auto"/>
            <w:shd w:val="clear" w:color="auto" w:fill="auto"/>
            <w:tcMar>
              <w:top w:w="15" w:type="dxa"/>
              <w:left w:w="15" w:type="dxa"/>
              <w:bottom w:w="0" w:type="dxa"/>
              <w:right w:w="15" w:type="dxa"/>
            </w:tcMar>
          </w:tcPr>
          <w:p w14:paraId="1014557A" w14:textId="679B08C2" w:rsidR="008B4DF8" w:rsidRPr="00C1603D" w:rsidRDefault="008B4DF8" w:rsidP="00590883">
            <w:pPr>
              <w:pStyle w:val="72TabletextTablesTableFigureBoxstyles"/>
            </w:pPr>
            <w:r w:rsidRPr="00C1603D">
              <w:t xml:space="preserve">0.652 </w:t>
            </w:r>
            <w:r w:rsidRPr="00C1603D">
              <w:rPr>
                <w:color w:val="00B0F0"/>
              </w:rPr>
              <w:t>(</w:t>
            </w:r>
            <w:r w:rsidRPr="00C1603D">
              <w:t>0.592</w:t>
            </w:r>
            <w:r w:rsidR="00590883" w:rsidRPr="00C1603D">
              <w:t>–</w:t>
            </w:r>
            <w:r w:rsidRPr="00C1603D">
              <w:t>0.714)</w:t>
            </w:r>
          </w:p>
        </w:tc>
        <w:tc>
          <w:tcPr>
            <w:tcW w:w="0" w:type="auto"/>
            <w:shd w:val="clear" w:color="auto" w:fill="auto"/>
            <w:tcMar>
              <w:top w:w="15" w:type="dxa"/>
              <w:left w:w="15" w:type="dxa"/>
              <w:bottom w:w="0" w:type="dxa"/>
              <w:right w:w="15" w:type="dxa"/>
            </w:tcMar>
          </w:tcPr>
          <w:p w14:paraId="771FECE7" w14:textId="77777777" w:rsidR="008B4DF8" w:rsidRPr="00C1603D" w:rsidRDefault="008B4DF8" w:rsidP="00590883">
            <w:pPr>
              <w:pStyle w:val="72TabletextTablesTableFigureBoxstyles"/>
            </w:pPr>
            <w:r w:rsidRPr="00C1603D">
              <w:t>0.680</w:t>
            </w:r>
          </w:p>
        </w:tc>
        <w:tc>
          <w:tcPr>
            <w:tcW w:w="0" w:type="auto"/>
            <w:shd w:val="clear" w:color="auto" w:fill="auto"/>
            <w:tcMar>
              <w:top w:w="15" w:type="dxa"/>
              <w:left w:w="15" w:type="dxa"/>
              <w:bottom w:w="0" w:type="dxa"/>
              <w:right w:w="15" w:type="dxa"/>
            </w:tcMar>
          </w:tcPr>
          <w:p w14:paraId="1ED053FA" w14:textId="77777777" w:rsidR="008B4DF8" w:rsidRPr="00C1603D" w:rsidRDefault="008B4DF8" w:rsidP="00590883">
            <w:pPr>
              <w:pStyle w:val="72TabletextTablesTableFigureBoxstyles"/>
            </w:pPr>
            <w:r w:rsidRPr="00C1603D">
              <w:t>1.941</w:t>
            </w:r>
          </w:p>
        </w:tc>
        <w:tc>
          <w:tcPr>
            <w:tcW w:w="0" w:type="auto"/>
            <w:shd w:val="clear" w:color="auto" w:fill="auto"/>
            <w:tcMar>
              <w:top w:w="15" w:type="dxa"/>
              <w:left w:w="15" w:type="dxa"/>
              <w:bottom w:w="0" w:type="dxa"/>
              <w:right w:w="15" w:type="dxa"/>
            </w:tcMar>
          </w:tcPr>
          <w:p w14:paraId="3932739D" w14:textId="77777777" w:rsidR="008B4DF8" w:rsidRPr="00C1603D" w:rsidRDefault="008B4DF8" w:rsidP="00590883">
            <w:pPr>
              <w:pStyle w:val="72TabletextTablesTableFigureBoxstyles"/>
            </w:pPr>
            <w:r w:rsidRPr="00C1603D">
              <w:t>1.974</w:t>
            </w:r>
          </w:p>
        </w:tc>
        <w:tc>
          <w:tcPr>
            <w:tcW w:w="0" w:type="auto"/>
            <w:shd w:val="clear" w:color="auto" w:fill="auto"/>
            <w:tcMar>
              <w:top w:w="15" w:type="dxa"/>
              <w:left w:w="15" w:type="dxa"/>
              <w:bottom w:w="0" w:type="dxa"/>
              <w:right w:w="15" w:type="dxa"/>
            </w:tcMar>
          </w:tcPr>
          <w:p w14:paraId="5F8A270C" w14:textId="77777777" w:rsidR="008B4DF8" w:rsidRPr="00C1603D" w:rsidRDefault="008B4DF8" w:rsidP="00590883">
            <w:pPr>
              <w:pStyle w:val="72TabletextTablesTableFigureBoxstyles"/>
            </w:pPr>
            <w:r w:rsidRPr="00C1603D">
              <w:t>1.178</w:t>
            </w:r>
          </w:p>
        </w:tc>
        <w:tc>
          <w:tcPr>
            <w:tcW w:w="0" w:type="auto"/>
            <w:shd w:val="clear" w:color="auto" w:fill="auto"/>
            <w:tcMar>
              <w:top w:w="15" w:type="dxa"/>
              <w:left w:w="15" w:type="dxa"/>
              <w:bottom w:w="0" w:type="dxa"/>
              <w:right w:w="15" w:type="dxa"/>
            </w:tcMar>
          </w:tcPr>
          <w:p w14:paraId="5208EF78" w14:textId="77777777" w:rsidR="008B4DF8" w:rsidRPr="00C1603D" w:rsidRDefault="008B4DF8" w:rsidP="00590883">
            <w:pPr>
              <w:pStyle w:val="72TabletextTablesTableFigureBoxstyles"/>
            </w:pPr>
            <w:r w:rsidRPr="00C1603D">
              <w:t>3.248</w:t>
            </w:r>
          </w:p>
        </w:tc>
      </w:tr>
      <w:tr w:rsidR="00590883" w:rsidRPr="00C1603D" w14:paraId="6924F83C" w14:textId="77777777" w:rsidTr="00590883">
        <w:trPr>
          <w:cantSplit/>
        </w:trPr>
        <w:tc>
          <w:tcPr>
            <w:tcW w:w="0" w:type="auto"/>
            <w:shd w:val="clear" w:color="auto" w:fill="auto"/>
            <w:tcMar>
              <w:top w:w="15" w:type="dxa"/>
              <w:left w:w="15" w:type="dxa"/>
              <w:bottom w:w="0" w:type="dxa"/>
              <w:right w:w="15" w:type="dxa"/>
            </w:tcMar>
          </w:tcPr>
          <w:p w14:paraId="5C5F90BE" w14:textId="77777777" w:rsidR="008B4DF8" w:rsidRPr="00C1603D" w:rsidRDefault="008B4DF8" w:rsidP="00590883">
            <w:pPr>
              <w:pStyle w:val="72TabletextTablesTableFigureBoxstyles"/>
            </w:pPr>
            <w:r w:rsidRPr="00C1603D">
              <w:t>GI symptoms</w:t>
            </w:r>
          </w:p>
        </w:tc>
        <w:tc>
          <w:tcPr>
            <w:tcW w:w="0" w:type="auto"/>
            <w:shd w:val="clear" w:color="auto" w:fill="auto"/>
            <w:tcMar>
              <w:top w:w="15" w:type="dxa"/>
              <w:left w:w="15" w:type="dxa"/>
              <w:bottom w:w="0" w:type="dxa"/>
              <w:right w:w="15" w:type="dxa"/>
            </w:tcMar>
          </w:tcPr>
          <w:p w14:paraId="5940BB83" w14:textId="77777777" w:rsidR="008B4DF8" w:rsidRPr="00C1603D" w:rsidRDefault="008B4DF8" w:rsidP="00590883">
            <w:pPr>
              <w:pStyle w:val="72TabletextTablesTableFigureBoxstyles"/>
            </w:pPr>
            <w:r w:rsidRPr="00C1603D">
              <w:t>0.448</w:t>
            </w:r>
          </w:p>
        </w:tc>
        <w:tc>
          <w:tcPr>
            <w:tcW w:w="0" w:type="auto"/>
            <w:shd w:val="clear" w:color="auto" w:fill="auto"/>
            <w:tcMar>
              <w:top w:w="15" w:type="dxa"/>
              <w:left w:w="15" w:type="dxa"/>
              <w:bottom w:w="0" w:type="dxa"/>
              <w:right w:w="15" w:type="dxa"/>
            </w:tcMar>
          </w:tcPr>
          <w:p w14:paraId="23667F69" w14:textId="783396A3" w:rsidR="008B4DF8" w:rsidRPr="00C1603D" w:rsidRDefault="008B4DF8" w:rsidP="00590883">
            <w:pPr>
              <w:pStyle w:val="72TabletextTablesTableFigureBoxstyles"/>
            </w:pPr>
            <w:r w:rsidRPr="00C1603D">
              <w:t xml:space="preserve">0.442 </w:t>
            </w:r>
            <w:r w:rsidRPr="00C1603D">
              <w:rPr>
                <w:color w:val="00B0F0"/>
              </w:rPr>
              <w:t>(</w:t>
            </w:r>
            <w:r w:rsidRPr="00C1603D">
              <w:t>0.414</w:t>
            </w:r>
            <w:r w:rsidR="00590883" w:rsidRPr="00C1603D">
              <w:t>–</w:t>
            </w:r>
            <w:r w:rsidRPr="00C1603D">
              <w:t>0.472)</w:t>
            </w:r>
          </w:p>
        </w:tc>
        <w:tc>
          <w:tcPr>
            <w:tcW w:w="0" w:type="auto"/>
            <w:shd w:val="clear" w:color="auto" w:fill="auto"/>
            <w:tcMar>
              <w:top w:w="15" w:type="dxa"/>
              <w:left w:w="15" w:type="dxa"/>
              <w:bottom w:w="0" w:type="dxa"/>
              <w:right w:w="15" w:type="dxa"/>
            </w:tcMar>
          </w:tcPr>
          <w:p w14:paraId="2E32AB6C" w14:textId="77777777" w:rsidR="008B4DF8" w:rsidRPr="00C1603D" w:rsidRDefault="008B4DF8" w:rsidP="00590883">
            <w:pPr>
              <w:pStyle w:val="72TabletextTablesTableFigureBoxstyles"/>
            </w:pPr>
            <w:r w:rsidRPr="00C1603D">
              <w:t>0.447</w:t>
            </w:r>
          </w:p>
        </w:tc>
        <w:tc>
          <w:tcPr>
            <w:tcW w:w="0" w:type="auto"/>
            <w:shd w:val="clear" w:color="auto" w:fill="auto"/>
            <w:tcMar>
              <w:top w:w="15" w:type="dxa"/>
              <w:left w:w="15" w:type="dxa"/>
              <w:bottom w:w="0" w:type="dxa"/>
              <w:right w:w="15" w:type="dxa"/>
            </w:tcMar>
          </w:tcPr>
          <w:p w14:paraId="68E724A0" w14:textId="77777777" w:rsidR="008B4DF8" w:rsidRPr="00C1603D" w:rsidRDefault="008B4DF8" w:rsidP="00590883">
            <w:pPr>
              <w:pStyle w:val="72TabletextTablesTableFigureBoxstyles"/>
            </w:pPr>
            <w:r w:rsidRPr="00C1603D">
              <w:t>1.565</w:t>
            </w:r>
          </w:p>
        </w:tc>
        <w:tc>
          <w:tcPr>
            <w:tcW w:w="0" w:type="auto"/>
            <w:shd w:val="clear" w:color="auto" w:fill="auto"/>
            <w:tcMar>
              <w:top w:w="15" w:type="dxa"/>
              <w:left w:w="15" w:type="dxa"/>
              <w:bottom w:w="0" w:type="dxa"/>
              <w:right w:w="15" w:type="dxa"/>
            </w:tcMar>
          </w:tcPr>
          <w:p w14:paraId="0674F887" w14:textId="77777777" w:rsidR="008B4DF8" w:rsidRPr="00C1603D" w:rsidRDefault="008B4DF8" w:rsidP="00590883">
            <w:pPr>
              <w:pStyle w:val="72TabletextTablesTableFigureBoxstyles"/>
            </w:pPr>
            <w:r w:rsidRPr="00C1603D">
              <w:t>1.563</w:t>
            </w:r>
          </w:p>
        </w:tc>
        <w:tc>
          <w:tcPr>
            <w:tcW w:w="0" w:type="auto"/>
            <w:shd w:val="clear" w:color="auto" w:fill="auto"/>
            <w:tcMar>
              <w:top w:w="15" w:type="dxa"/>
              <w:left w:w="15" w:type="dxa"/>
              <w:bottom w:w="0" w:type="dxa"/>
              <w:right w:w="15" w:type="dxa"/>
            </w:tcMar>
          </w:tcPr>
          <w:p w14:paraId="506F03D2" w14:textId="77777777" w:rsidR="008B4DF8" w:rsidRPr="00C1603D" w:rsidRDefault="008B4DF8" w:rsidP="00590883">
            <w:pPr>
              <w:pStyle w:val="72TabletextTablesTableFigureBoxstyles"/>
            </w:pPr>
            <w:r w:rsidRPr="00C1603D">
              <w:t>1.348</w:t>
            </w:r>
          </w:p>
        </w:tc>
        <w:tc>
          <w:tcPr>
            <w:tcW w:w="0" w:type="auto"/>
            <w:shd w:val="clear" w:color="auto" w:fill="auto"/>
            <w:tcMar>
              <w:top w:w="15" w:type="dxa"/>
              <w:left w:w="15" w:type="dxa"/>
              <w:bottom w:w="0" w:type="dxa"/>
              <w:right w:w="15" w:type="dxa"/>
            </w:tcMar>
          </w:tcPr>
          <w:p w14:paraId="4DF272A5" w14:textId="77777777" w:rsidR="008B4DF8" w:rsidRPr="00C1603D" w:rsidRDefault="008B4DF8" w:rsidP="00590883">
            <w:pPr>
              <w:pStyle w:val="72TabletextTablesTableFigureBoxstyles"/>
            </w:pPr>
            <w:r w:rsidRPr="00C1603D">
              <w:t>3.850</w:t>
            </w:r>
          </w:p>
        </w:tc>
      </w:tr>
      <w:tr w:rsidR="00590883" w:rsidRPr="00C1603D" w14:paraId="63EBE426" w14:textId="77777777" w:rsidTr="00590883">
        <w:trPr>
          <w:cantSplit/>
        </w:trPr>
        <w:tc>
          <w:tcPr>
            <w:tcW w:w="0" w:type="auto"/>
            <w:shd w:val="clear" w:color="auto" w:fill="auto"/>
            <w:tcMar>
              <w:top w:w="15" w:type="dxa"/>
              <w:left w:w="15" w:type="dxa"/>
              <w:bottom w:w="0" w:type="dxa"/>
              <w:right w:w="15" w:type="dxa"/>
            </w:tcMar>
          </w:tcPr>
          <w:p w14:paraId="4A53FCE6" w14:textId="77777777" w:rsidR="008B4DF8" w:rsidRPr="00C1603D" w:rsidRDefault="008B4DF8" w:rsidP="00590883">
            <w:pPr>
              <w:pStyle w:val="72TabletextTablesTableFigureBoxstyles"/>
            </w:pPr>
            <w:r w:rsidRPr="00C1603D">
              <w:t>Mouth ulcers</w:t>
            </w:r>
          </w:p>
        </w:tc>
        <w:tc>
          <w:tcPr>
            <w:tcW w:w="0" w:type="auto"/>
            <w:shd w:val="clear" w:color="auto" w:fill="auto"/>
            <w:tcMar>
              <w:top w:w="15" w:type="dxa"/>
              <w:left w:w="15" w:type="dxa"/>
              <w:bottom w:w="0" w:type="dxa"/>
              <w:right w:w="15" w:type="dxa"/>
            </w:tcMar>
          </w:tcPr>
          <w:p w14:paraId="1319DB00" w14:textId="77777777" w:rsidR="008B4DF8" w:rsidRPr="00C1603D" w:rsidRDefault="008B4DF8" w:rsidP="00590883">
            <w:pPr>
              <w:pStyle w:val="72TabletextTablesTableFigureBoxstyles"/>
            </w:pPr>
            <w:r w:rsidRPr="00C1603D">
              <w:t>0.412</w:t>
            </w:r>
          </w:p>
        </w:tc>
        <w:tc>
          <w:tcPr>
            <w:tcW w:w="0" w:type="auto"/>
            <w:shd w:val="clear" w:color="auto" w:fill="auto"/>
            <w:tcMar>
              <w:top w:w="15" w:type="dxa"/>
              <w:left w:w="15" w:type="dxa"/>
              <w:bottom w:w="0" w:type="dxa"/>
              <w:right w:w="15" w:type="dxa"/>
            </w:tcMar>
          </w:tcPr>
          <w:p w14:paraId="61F34180" w14:textId="65D49D08" w:rsidR="008B4DF8" w:rsidRPr="00C1603D" w:rsidRDefault="008B4DF8" w:rsidP="00590883">
            <w:pPr>
              <w:pStyle w:val="72TabletextTablesTableFigureBoxstyles"/>
            </w:pPr>
            <w:r w:rsidRPr="00C1603D">
              <w:t xml:space="preserve">0.401 </w:t>
            </w:r>
            <w:r w:rsidRPr="00C1603D">
              <w:rPr>
                <w:color w:val="00B0F0"/>
              </w:rPr>
              <w:t>(</w:t>
            </w:r>
            <w:r w:rsidRPr="00C1603D">
              <w:t>0.305</w:t>
            </w:r>
            <w:r w:rsidR="00590883" w:rsidRPr="00C1603D">
              <w:t>–</w:t>
            </w:r>
            <w:r w:rsidRPr="00C1603D">
              <w:t>0.514)</w:t>
            </w:r>
          </w:p>
        </w:tc>
        <w:tc>
          <w:tcPr>
            <w:tcW w:w="0" w:type="auto"/>
            <w:shd w:val="clear" w:color="auto" w:fill="auto"/>
            <w:tcMar>
              <w:top w:w="15" w:type="dxa"/>
              <w:left w:w="15" w:type="dxa"/>
              <w:bottom w:w="0" w:type="dxa"/>
              <w:right w:w="15" w:type="dxa"/>
            </w:tcMar>
          </w:tcPr>
          <w:p w14:paraId="4C24B5AC" w14:textId="77777777" w:rsidR="008B4DF8" w:rsidRPr="00C1603D" w:rsidRDefault="008B4DF8" w:rsidP="00590883">
            <w:pPr>
              <w:pStyle w:val="72TabletextTablesTableFigureBoxstyles"/>
            </w:pPr>
            <w:r w:rsidRPr="00C1603D">
              <w:t>0.427</w:t>
            </w:r>
          </w:p>
        </w:tc>
        <w:tc>
          <w:tcPr>
            <w:tcW w:w="0" w:type="auto"/>
            <w:shd w:val="clear" w:color="auto" w:fill="auto"/>
            <w:tcMar>
              <w:top w:w="15" w:type="dxa"/>
              <w:left w:w="15" w:type="dxa"/>
              <w:bottom w:w="0" w:type="dxa"/>
              <w:right w:w="15" w:type="dxa"/>
            </w:tcMar>
          </w:tcPr>
          <w:p w14:paraId="375A7016" w14:textId="77777777" w:rsidR="008B4DF8" w:rsidRPr="00C1603D" w:rsidRDefault="008B4DF8" w:rsidP="00590883">
            <w:pPr>
              <w:pStyle w:val="72TabletextTablesTableFigureBoxstyles"/>
            </w:pPr>
            <w:r w:rsidRPr="00C1603D">
              <w:t>1.510</w:t>
            </w:r>
          </w:p>
        </w:tc>
        <w:tc>
          <w:tcPr>
            <w:tcW w:w="0" w:type="auto"/>
            <w:shd w:val="clear" w:color="auto" w:fill="auto"/>
            <w:tcMar>
              <w:top w:w="15" w:type="dxa"/>
              <w:left w:w="15" w:type="dxa"/>
              <w:bottom w:w="0" w:type="dxa"/>
              <w:right w:w="15" w:type="dxa"/>
            </w:tcMar>
          </w:tcPr>
          <w:p w14:paraId="238AC559" w14:textId="77777777" w:rsidR="008B4DF8" w:rsidRPr="00C1603D" w:rsidRDefault="008B4DF8" w:rsidP="00590883">
            <w:pPr>
              <w:pStyle w:val="72TabletextTablesTableFigureBoxstyles"/>
            </w:pPr>
            <w:r w:rsidRPr="00C1603D">
              <w:t>1.533</w:t>
            </w:r>
          </w:p>
        </w:tc>
        <w:tc>
          <w:tcPr>
            <w:tcW w:w="0" w:type="auto"/>
            <w:shd w:val="clear" w:color="auto" w:fill="auto"/>
            <w:tcMar>
              <w:top w:w="15" w:type="dxa"/>
              <w:left w:w="15" w:type="dxa"/>
              <w:bottom w:w="0" w:type="dxa"/>
              <w:right w:w="15" w:type="dxa"/>
            </w:tcMar>
          </w:tcPr>
          <w:p w14:paraId="1DC1BA81" w14:textId="77777777" w:rsidR="008B4DF8" w:rsidRPr="00C1603D" w:rsidRDefault="008B4DF8" w:rsidP="00590883">
            <w:pPr>
              <w:pStyle w:val="72TabletextTablesTableFigureBoxstyles"/>
            </w:pPr>
            <w:r w:rsidRPr="00C1603D">
              <w:t>1.118</w:t>
            </w:r>
          </w:p>
        </w:tc>
        <w:tc>
          <w:tcPr>
            <w:tcW w:w="0" w:type="auto"/>
            <w:shd w:val="clear" w:color="auto" w:fill="auto"/>
            <w:tcMar>
              <w:top w:w="15" w:type="dxa"/>
              <w:left w:w="15" w:type="dxa"/>
              <w:bottom w:w="0" w:type="dxa"/>
              <w:right w:w="15" w:type="dxa"/>
            </w:tcMar>
          </w:tcPr>
          <w:p w14:paraId="2C1CB22B" w14:textId="77777777" w:rsidR="008B4DF8" w:rsidRPr="00C1603D" w:rsidRDefault="008B4DF8" w:rsidP="00590883">
            <w:pPr>
              <w:pStyle w:val="72TabletextTablesTableFigureBoxstyles"/>
            </w:pPr>
            <w:r w:rsidRPr="00C1603D">
              <w:t>3.059</w:t>
            </w:r>
          </w:p>
        </w:tc>
      </w:tr>
      <w:tr w:rsidR="00590883" w:rsidRPr="00C1603D" w14:paraId="430D2BD7" w14:textId="77777777" w:rsidTr="00590883">
        <w:trPr>
          <w:cantSplit/>
        </w:trPr>
        <w:tc>
          <w:tcPr>
            <w:tcW w:w="0" w:type="auto"/>
            <w:shd w:val="clear" w:color="auto" w:fill="auto"/>
            <w:tcMar>
              <w:top w:w="15" w:type="dxa"/>
              <w:left w:w="15" w:type="dxa"/>
              <w:bottom w:w="0" w:type="dxa"/>
              <w:right w:w="15" w:type="dxa"/>
            </w:tcMar>
          </w:tcPr>
          <w:p w14:paraId="6B9C7F69" w14:textId="77777777" w:rsidR="008B4DF8" w:rsidRPr="00C1603D" w:rsidRDefault="008B4DF8" w:rsidP="00590883">
            <w:pPr>
              <w:pStyle w:val="72TabletextTablesTableFigureBoxstyles"/>
            </w:pPr>
            <w:r w:rsidRPr="00C1603D">
              <w:t>Psoriasis</w:t>
            </w:r>
          </w:p>
        </w:tc>
        <w:tc>
          <w:tcPr>
            <w:tcW w:w="0" w:type="auto"/>
            <w:shd w:val="clear" w:color="auto" w:fill="auto"/>
            <w:tcMar>
              <w:top w:w="15" w:type="dxa"/>
              <w:left w:w="15" w:type="dxa"/>
              <w:bottom w:w="0" w:type="dxa"/>
              <w:right w:w="15" w:type="dxa"/>
            </w:tcMar>
          </w:tcPr>
          <w:p w14:paraId="6DD0D7C7" w14:textId="77777777" w:rsidR="008B4DF8" w:rsidRPr="00C1603D" w:rsidRDefault="008B4DF8" w:rsidP="00590883">
            <w:pPr>
              <w:pStyle w:val="72TabletextTablesTableFigureBoxstyles"/>
            </w:pPr>
            <w:r w:rsidRPr="00C1603D">
              <w:t>0.335</w:t>
            </w:r>
          </w:p>
        </w:tc>
        <w:tc>
          <w:tcPr>
            <w:tcW w:w="0" w:type="auto"/>
            <w:shd w:val="clear" w:color="auto" w:fill="auto"/>
            <w:tcMar>
              <w:top w:w="15" w:type="dxa"/>
              <w:left w:w="15" w:type="dxa"/>
              <w:bottom w:w="0" w:type="dxa"/>
              <w:right w:w="15" w:type="dxa"/>
            </w:tcMar>
          </w:tcPr>
          <w:p w14:paraId="7FF2D836" w14:textId="1902D717" w:rsidR="008B4DF8" w:rsidRPr="00C1603D" w:rsidRDefault="008B4DF8" w:rsidP="00590883">
            <w:pPr>
              <w:pStyle w:val="72TabletextTablesTableFigureBoxstyles"/>
            </w:pPr>
            <w:r w:rsidRPr="00C1603D">
              <w:t xml:space="preserve">0.339 </w:t>
            </w:r>
            <w:r w:rsidRPr="00C1603D">
              <w:rPr>
                <w:color w:val="00B0F0"/>
              </w:rPr>
              <w:t>(</w:t>
            </w:r>
            <w:r w:rsidRPr="00C1603D">
              <w:t>0.265</w:t>
            </w:r>
            <w:r w:rsidR="00590883" w:rsidRPr="00C1603D">
              <w:t>–</w:t>
            </w:r>
            <w:r w:rsidRPr="00C1603D">
              <w:t>0.401)</w:t>
            </w:r>
          </w:p>
        </w:tc>
        <w:tc>
          <w:tcPr>
            <w:tcW w:w="0" w:type="auto"/>
            <w:shd w:val="clear" w:color="auto" w:fill="auto"/>
            <w:tcMar>
              <w:top w:w="15" w:type="dxa"/>
              <w:left w:w="15" w:type="dxa"/>
              <w:bottom w:w="0" w:type="dxa"/>
              <w:right w:w="15" w:type="dxa"/>
            </w:tcMar>
          </w:tcPr>
          <w:p w14:paraId="225D979D" w14:textId="77777777" w:rsidR="008B4DF8" w:rsidRPr="00C1603D" w:rsidRDefault="008B4DF8" w:rsidP="00590883">
            <w:pPr>
              <w:pStyle w:val="72TabletextTablesTableFigureBoxstyles"/>
            </w:pPr>
            <w:r w:rsidRPr="00C1603D">
              <w:t>0.354</w:t>
            </w:r>
          </w:p>
        </w:tc>
        <w:tc>
          <w:tcPr>
            <w:tcW w:w="0" w:type="auto"/>
            <w:shd w:val="clear" w:color="auto" w:fill="auto"/>
            <w:tcMar>
              <w:top w:w="15" w:type="dxa"/>
              <w:left w:w="15" w:type="dxa"/>
              <w:bottom w:w="0" w:type="dxa"/>
              <w:right w:w="15" w:type="dxa"/>
            </w:tcMar>
          </w:tcPr>
          <w:p w14:paraId="7B8E2F95" w14:textId="77777777" w:rsidR="008B4DF8" w:rsidRPr="00C1603D" w:rsidRDefault="008B4DF8" w:rsidP="00590883">
            <w:pPr>
              <w:pStyle w:val="72TabletextTablesTableFigureBoxstyles"/>
            </w:pPr>
            <w:r w:rsidRPr="00C1603D">
              <w:t>1.398</w:t>
            </w:r>
          </w:p>
        </w:tc>
        <w:tc>
          <w:tcPr>
            <w:tcW w:w="0" w:type="auto"/>
            <w:shd w:val="clear" w:color="auto" w:fill="auto"/>
            <w:tcMar>
              <w:top w:w="15" w:type="dxa"/>
              <w:left w:w="15" w:type="dxa"/>
              <w:bottom w:w="0" w:type="dxa"/>
              <w:right w:w="15" w:type="dxa"/>
            </w:tcMar>
          </w:tcPr>
          <w:p w14:paraId="18C46742" w14:textId="77777777" w:rsidR="008B4DF8" w:rsidRPr="00C1603D" w:rsidRDefault="008B4DF8" w:rsidP="00590883">
            <w:pPr>
              <w:pStyle w:val="72TabletextTablesTableFigureBoxstyles"/>
            </w:pPr>
            <w:r w:rsidRPr="00C1603D">
              <w:t>1.425</w:t>
            </w:r>
          </w:p>
        </w:tc>
        <w:tc>
          <w:tcPr>
            <w:tcW w:w="0" w:type="auto"/>
            <w:shd w:val="clear" w:color="auto" w:fill="auto"/>
            <w:tcMar>
              <w:top w:w="15" w:type="dxa"/>
              <w:left w:w="15" w:type="dxa"/>
              <w:bottom w:w="0" w:type="dxa"/>
              <w:right w:w="15" w:type="dxa"/>
            </w:tcMar>
          </w:tcPr>
          <w:p w14:paraId="41BA19D5" w14:textId="77777777" w:rsidR="008B4DF8" w:rsidRPr="00C1603D" w:rsidRDefault="008B4DF8" w:rsidP="00590883">
            <w:pPr>
              <w:pStyle w:val="72TabletextTablesTableFigureBoxstyles"/>
            </w:pPr>
            <w:r w:rsidRPr="00C1603D">
              <w:t>0.671</w:t>
            </w:r>
          </w:p>
        </w:tc>
        <w:tc>
          <w:tcPr>
            <w:tcW w:w="0" w:type="auto"/>
            <w:shd w:val="clear" w:color="auto" w:fill="auto"/>
            <w:tcMar>
              <w:top w:w="15" w:type="dxa"/>
              <w:left w:w="15" w:type="dxa"/>
              <w:bottom w:w="0" w:type="dxa"/>
              <w:right w:w="15" w:type="dxa"/>
            </w:tcMar>
          </w:tcPr>
          <w:p w14:paraId="1B7DC577" w14:textId="77777777" w:rsidR="008B4DF8" w:rsidRPr="00C1603D" w:rsidRDefault="008B4DF8" w:rsidP="00590883">
            <w:pPr>
              <w:pStyle w:val="72TabletextTablesTableFigureBoxstyles"/>
            </w:pPr>
            <w:r w:rsidRPr="00C1603D">
              <w:t>1.956</w:t>
            </w:r>
          </w:p>
        </w:tc>
      </w:tr>
      <w:tr w:rsidR="00590883" w:rsidRPr="00C1603D" w14:paraId="4676B576" w14:textId="77777777" w:rsidTr="00590883">
        <w:trPr>
          <w:cantSplit/>
        </w:trPr>
        <w:tc>
          <w:tcPr>
            <w:tcW w:w="0" w:type="auto"/>
            <w:shd w:val="clear" w:color="auto" w:fill="auto"/>
            <w:tcMar>
              <w:top w:w="15" w:type="dxa"/>
              <w:left w:w="15" w:type="dxa"/>
              <w:bottom w:w="0" w:type="dxa"/>
              <w:right w:w="15" w:type="dxa"/>
            </w:tcMar>
          </w:tcPr>
          <w:p w14:paraId="6B57A720" w14:textId="77777777" w:rsidR="008B4DF8" w:rsidRPr="00C1603D" w:rsidRDefault="008B4DF8" w:rsidP="00590883">
            <w:pPr>
              <w:pStyle w:val="72TabletextTablesTableFigureBoxstyles"/>
            </w:pPr>
            <w:r w:rsidRPr="00C1603D">
              <w:t>Chronic liver disease</w:t>
            </w:r>
          </w:p>
        </w:tc>
        <w:tc>
          <w:tcPr>
            <w:tcW w:w="0" w:type="auto"/>
            <w:shd w:val="clear" w:color="auto" w:fill="auto"/>
            <w:tcMar>
              <w:top w:w="15" w:type="dxa"/>
              <w:left w:w="15" w:type="dxa"/>
              <w:bottom w:w="0" w:type="dxa"/>
              <w:right w:w="15" w:type="dxa"/>
            </w:tcMar>
          </w:tcPr>
          <w:p w14:paraId="1CB37688" w14:textId="77777777" w:rsidR="008B4DF8" w:rsidRPr="00C1603D" w:rsidRDefault="008B4DF8" w:rsidP="00590883">
            <w:pPr>
              <w:pStyle w:val="72TabletextTablesTableFigureBoxstyles"/>
            </w:pPr>
            <w:r w:rsidRPr="00C1603D">
              <w:t>0.321</w:t>
            </w:r>
          </w:p>
        </w:tc>
        <w:tc>
          <w:tcPr>
            <w:tcW w:w="0" w:type="auto"/>
            <w:shd w:val="clear" w:color="auto" w:fill="auto"/>
            <w:tcMar>
              <w:top w:w="15" w:type="dxa"/>
              <w:left w:w="15" w:type="dxa"/>
              <w:bottom w:w="0" w:type="dxa"/>
              <w:right w:w="15" w:type="dxa"/>
            </w:tcMar>
          </w:tcPr>
          <w:p w14:paraId="2BD6F548" w14:textId="7A83BCCA" w:rsidR="008B4DF8" w:rsidRPr="00C1603D" w:rsidRDefault="008B4DF8" w:rsidP="00590883">
            <w:pPr>
              <w:pStyle w:val="72TabletextTablesTableFigureBoxstyles"/>
            </w:pPr>
            <w:r w:rsidRPr="00C1603D">
              <w:t xml:space="preserve">0.321 </w:t>
            </w:r>
            <w:r w:rsidRPr="00C1603D">
              <w:rPr>
                <w:color w:val="00B0F0"/>
              </w:rPr>
              <w:t>(</w:t>
            </w:r>
            <w:r w:rsidRPr="00C1603D">
              <w:t>0.236</w:t>
            </w:r>
            <w:r w:rsidR="00590883" w:rsidRPr="00C1603D">
              <w:t>–</w:t>
            </w:r>
            <w:r w:rsidRPr="00C1603D">
              <w:t>0.396)</w:t>
            </w:r>
          </w:p>
        </w:tc>
        <w:tc>
          <w:tcPr>
            <w:tcW w:w="0" w:type="auto"/>
            <w:shd w:val="clear" w:color="auto" w:fill="auto"/>
            <w:tcMar>
              <w:top w:w="15" w:type="dxa"/>
              <w:left w:w="15" w:type="dxa"/>
              <w:bottom w:w="0" w:type="dxa"/>
              <w:right w:w="15" w:type="dxa"/>
            </w:tcMar>
          </w:tcPr>
          <w:p w14:paraId="708C95A2" w14:textId="77777777" w:rsidR="008B4DF8" w:rsidRPr="00C1603D" w:rsidRDefault="008B4DF8" w:rsidP="00590883">
            <w:pPr>
              <w:pStyle w:val="72TabletextTablesTableFigureBoxstyles"/>
            </w:pPr>
            <w:r w:rsidRPr="00C1603D">
              <w:t>0.338</w:t>
            </w:r>
          </w:p>
        </w:tc>
        <w:tc>
          <w:tcPr>
            <w:tcW w:w="0" w:type="auto"/>
            <w:shd w:val="clear" w:color="auto" w:fill="auto"/>
            <w:tcMar>
              <w:top w:w="15" w:type="dxa"/>
              <w:left w:w="15" w:type="dxa"/>
              <w:bottom w:w="0" w:type="dxa"/>
              <w:right w:w="15" w:type="dxa"/>
            </w:tcMar>
          </w:tcPr>
          <w:p w14:paraId="5C5556D2" w14:textId="77777777" w:rsidR="008B4DF8" w:rsidRPr="00C1603D" w:rsidRDefault="008B4DF8" w:rsidP="00590883">
            <w:pPr>
              <w:pStyle w:val="72TabletextTablesTableFigureBoxstyles"/>
            </w:pPr>
            <w:r w:rsidRPr="00C1603D">
              <w:t>1.378</w:t>
            </w:r>
          </w:p>
        </w:tc>
        <w:tc>
          <w:tcPr>
            <w:tcW w:w="0" w:type="auto"/>
            <w:shd w:val="clear" w:color="auto" w:fill="auto"/>
            <w:tcMar>
              <w:top w:w="15" w:type="dxa"/>
              <w:left w:w="15" w:type="dxa"/>
              <w:bottom w:w="0" w:type="dxa"/>
              <w:right w:w="15" w:type="dxa"/>
            </w:tcMar>
          </w:tcPr>
          <w:p w14:paraId="50F09094" w14:textId="77777777" w:rsidR="008B4DF8" w:rsidRPr="00C1603D" w:rsidRDefault="008B4DF8" w:rsidP="00590883">
            <w:pPr>
              <w:pStyle w:val="72TabletextTablesTableFigureBoxstyles"/>
            </w:pPr>
            <w:r w:rsidRPr="00C1603D">
              <w:t>1.402</w:t>
            </w:r>
          </w:p>
        </w:tc>
        <w:tc>
          <w:tcPr>
            <w:tcW w:w="0" w:type="auto"/>
            <w:shd w:val="clear" w:color="auto" w:fill="auto"/>
            <w:tcMar>
              <w:top w:w="15" w:type="dxa"/>
              <w:left w:w="15" w:type="dxa"/>
              <w:bottom w:w="0" w:type="dxa"/>
              <w:right w:w="15" w:type="dxa"/>
            </w:tcMar>
          </w:tcPr>
          <w:p w14:paraId="37E752E3" w14:textId="77777777" w:rsidR="008B4DF8" w:rsidRPr="00C1603D" w:rsidRDefault="008B4DF8" w:rsidP="00590883">
            <w:pPr>
              <w:pStyle w:val="72TabletextTablesTableFigureBoxstyles"/>
            </w:pPr>
            <w:r w:rsidRPr="00C1603D">
              <w:t>0.957</w:t>
            </w:r>
          </w:p>
        </w:tc>
        <w:tc>
          <w:tcPr>
            <w:tcW w:w="0" w:type="auto"/>
            <w:shd w:val="clear" w:color="auto" w:fill="auto"/>
            <w:tcMar>
              <w:top w:w="15" w:type="dxa"/>
              <w:left w:w="15" w:type="dxa"/>
              <w:bottom w:w="0" w:type="dxa"/>
              <w:right w:w="15" w:type="dxa"/>
            </w:tcMar>
          </w:tcPr>
          <w:p w14:paraId="40638F21" w14:textId="77777777" w:rsidR="008B4DF8" w:rsidRPr="00C1603D" w:rsidRDefault="008B4DF8" w:rsidP="00590883">
            <w:pPr>
              <w:pStyle w:val="72TabletextTablesTableFigureBoxstyles"/>
            </w:pPr>
            <w:r w:rsidRPr="00C1603D">
              <w:t>2.604</w:t>
            </w:r>
          </w:p>
        </w:tc>
      </w:tr>
      <w:tr w:rsidR="00590883" w:rsidRPr="00C1603D" w14:paraId="51E0176F" w14:textId="77777777" w:rsidTr="00590883">
        <w:trPr>
          <w:cantSplit/>
        </w:trPr>
        <w:tc>
          <w:tcPr>
            <w:tcW w:w="0" w:type="auto"/>
            <w:shd w:val="clear" w:color="auto" w:fill="auto"/>
            <w:tcMar>
              <w:top w:w="15" w:type="dxa"/>
              <w:left w:w="15" w:type="dxa"/>
              <w:bottom w:w="0" w:type="dxa"/>
              <w:right w:w="15" w:type="dxa"/>
            </w:tcMar>
          </w:tcPr>
          <w:p w14:paraId="531C4CDA" w14:textId="77777777" w:rsidR="008B4DF8" w:rsidRPr="00C1603D" w:rsidRDefault="008B4DF8" w:rsidP="00590883">
            <w:pPr>
              <w:pStyle w:val="72TabletextTablesTableFigureBoxstyles"/>
            </w:pPr>
            <w:r w:rsidRPr="00C1603D">
              <w:t>Epilepsy</w:t>
            </w:r>
          </w:p>
        </w:tc>
        <w:tc>
          <w:tcPr>
            <w:tcW w:w="0" w:type="auto"/>
            <w:shd w:val="clear" w:color="auto" w:fill="auto"/>
            <w:tcMar>
              <w:top w:w="15" w:type="dxa"/>
              <w:left w:w="15" w:type="dxa"/>
              <w:bottom w:w="0" w:type="dxa"/>
              <w:right w:w="15" w:type="dxa"/>
            </w:tcMar>
          </w:tcPr>
          <w:p w14:paraId="7FBD30FE" w14:textId="77777777" w:rsidR="008B4DF8" w:rsidRPr="00C1603D" w:rsidRDefault="008B4DF8" w:rsidP="00590883">
            <w:pPr>
              <w:pStyle w:val="72TabletextTablesTableFigureBoxstyles"/>
            </w:pPr>
            <w:r w:rsidRPr="00C1603D">
              <w:t>0.259</w:t>
            </w:r>
          </w:p>
        </w:tc>
        <w:tc>
          <w:tcPr>
            <w:tcW w:w="0" w:type="auto"/>
            <w:shd w:val="clear" w:color="auto" w:fill="auto"/>
            <w:tcMar>
              <w:top w:w="15" w:type="dxa"/>
              <w:left w:w="15" w:type="dxa"/>
              <w:bottom w:w="0" w:type="dxa"/>
              <w:right w:w="15" w:type="dxa"/>
            </w:tcMar>
          </w:tcPr>
          <w:p w14:paraId="180D6C66" w14:textId="1C06883E" w:rsidR="008B4DF8" w:rsidRPr="00C1603D" w:rsidRDefault="008B4DF8" w:rsidP="00590883">
            <w:pPr>
              <w:pStyle w:val="72TabletextTablesTableFigureBoxstyles"/>
            </w:pPr>
            <w:r w:rsidRPr="00C1603D">
              <w:t xml:space="preserve">0.290 </w:t>
            </w:r>
            <w:r w:rsidRPr="00C1603D">
              <w:rPr>
                <w:color w:val="00B0F0"/>
              </w:rPr>
              <w:t>(</w:t>
            </w:r>
            <w:r w:rsidRPr="00C1603D">
              <w:t>0.147</w:t>
            </w:r>
            <w:r w:rsidR="00590883" w:rsidRPr="00C1603D">
              <w:t>–</w:t>
            </w:r>
            <w:r w:rsidRPr="00C1603D">
              <w:t>0.384)</w:t>
            </w:r>
          </w:p>
        </w:tc>
        <w:tc>
          <w:tcPr>
            <w:tcW w:w="0" w:type="auto"/>
            <w:shd w:val="clear" w:color="auto" w:fill="auto"/>
            <w:tcMar>
              <w:top w:w="15" w:type="dxa"/>
              <w:left w:w="15" w:type="dxa"/>
              <w:bottom w:w="0" w:type="dxa"/>
              <w:right w:w="15" w:type="dxa"/>
            </w:tcMar>
          </w:tcPr>
          <w:p w14:paraId="56043CBA" w14:textId="77777777" w:rsidR="008B4DF8" w:rsidRPr="00C1603D" w:rsidRDefault="008B4DF8" w:rsidP="00590883">
            <w:pPr>
              <w:pStyle w:val="72TabletextTablesTableFigureBoxstyles"/>
            </w:pPr>
            <w:r w:rsidRPr="00C1603D">
              <w:t>0.291</w:t>
            </w:r>
          </w:p>
        </w:tc>
        <w:tc>
          <w:tcPr>
            <w:tcW w:w="0" w:type="auto"/>
            <w:shd w:val="clear" w:color="auto" w:fill="auto"/>
            <w:tcMar>
              <w:top w:w="15" w:type="dxa"/>
              <w:left w:w="15" w:type="dxa"/>
              <w:bottom w:w="0" w:type="dxa"/>
              <w:right w:w="15" w:type="dxa"/>
            </w:tcMar>
          </w:tcPr>
          <w:p w14:paraId="7B9A83D5" w14:textId="77777777" w:rsidR="008B4DF8" w:rsidRPr="00C1603D" w:rsidRDefault="008B4DF8" w:rsidP="00590883">
            <w:pPr>
              <w:pStyle w:val="72TabletextTablesTableFigureBoxstyles"/>
            </w:pPr>
            <w:r w:rsidRPr="00C1603D">
              <w:t>1.296</w:t>
            </w:r>
          </w:p>
        </w:tc>
        <w:tc>
          <w:tcPr>
            <w:tcW w:w="0" w:type="auto"/>
            <w:shd w:val="clear" w:color="auto" w:fill="auto"/>
            <w:tcMar>
              <w:top w:w="15" w:type="dxa"/>
              <w:left w:w="15" w:type="dxa"/>
              <w:bottom w:w="0" w:type="dxa"/>
              <w:right w:w="15" w:type="dxa"/>
            </w:tcMar>
          </w:tcPr>
          <w:p w14:paraId="71C08188" w14:textId="77777777" w:rsidR="008B4DF8" w:rsidRPr="00C1603D" w:rsidRDefault="008B4DF8" w:rsidP="00590883">
            <w:pPr>
              <w:pStyle w:val="72TabletextTablesTableFigureBoxstyles"/>
            </w:pPr>
            <w:r w:rsidRPr="00C1603D">
              <w:t>1.338</w:t>
            </w:r>
          </w:p>
        </w:tc>
        <w:tc>
          <w:tcPr>
            <w:tcW w:w="0" w:type="auto"/>
            <w:shd w:val="clear" w:color="auto" w:fill="auto"/>
            <w:tcMar>
              <w:top w:w="15" w:type="dxa"/>
              <w:left w:w="15" w:type="dxa"/>
              <w:bottom w:w="0" w:type="dxa"/>
              <w:right w:w="15" w:type="dxa"/>
            </w:tcMar>
          </w:tcPr>
          <w:p w14:paraId="013621B1" w14:textId="77777777" w:rsidR="008B4DF8" w:rsidRPr="00C1603D" w:rsidRDefault="008B4DF8" w:rsidP="00590883">
            <w:pPr>
              <w:pStyle w:val="72TabletextTablesTableFigureBoxstyles"/>
            </w:pPr>
            <w:r w:rsidRPr="00C1603D">
              <w:t>0.672</w:t>
            </w:r>
          </w:p>
        </w:tc>
        <w:tc>
          <w:tcPr>
            <w:tcW w:w="0" w:type="auto"/>
            <w:shd w:val="clear" w:color="auto" w:fill="auto"/>
            <w:tcMar>
              <w:top w:w="15" w:type="dxa"/>
              <w:left w:w="15" w:type="dxa"/>
              <w:bottom w:w="0" w:type="dxa"/>
              <w:right w:w="15" w:type="dxa"/>
            </w:tcMar>
          </w:tcPr>
          <w:p w14:paraId="14B72A57" w14:textId="77777777" w:rsidR="008B4DF8" w:rsidRPr="00C1603D" w:rsidRDefault="008B4DF8" w:rsidP="00590883">
            <w:pPr>
              <w:pStyle w:val="72TabletextTablesTableFigureBoxstyles"/>
            </w:pPr>
            <w:r w:rsidRPr="00C1603D">
              <w:t>1.958</w:t>
            </w:r>
          </w:p>
        </w:tc>
      </w:tr>
      <w:tr w:rsidR="00590883" w:rsidRPr="00C1603D" w14:paraId="2552092A" w14:textId="77777777" w:rsidTr="00590883">
        <w:trPr>
          <w:cantSplit/>
        </w:trPr>
        <w:tc>
          <w:tcPr>
            <w:tcW w:w="0" w:type="auto"/>
            <w:shd w:val="clear" w:color="auto" w:fill="auto"/>
            <w:tcMar>
              <w:top w:w="15" w:type="dxa"/>
              <w:left w:w="15" w:type="dxa"/>
              <w:bottom w:w="0" w:type="dxa"/>
              <w:right w:w="15" w:type="dxa"/>
            </w:tcMar>
          </w:tcPr>
          <w:p w14:paraId="1CEFDBC6" w14:textId="77777777" w:rsidR="008B4DF8" w:rsidRPr="00C1603D" w:rsidRDefault="008B4DF8" w:rsidP="00590883">
            <w:pPr>
              <w:pStyle w:val="72TabletextTablesTableFigureBoxstyles"/>
            </w:pPr>
            <w:r w:rsidRPr="00C1603D">
              <w:t>Cardiovascular disease</w:t>
            </w:r>
          </w:p>
        </w:tc>
        <w:tc>
          <w:tcPr>
            <w:tcW w:w="0" w:type="auto"/>
            <w:shd w:val="clear" w:color="auto" w:fill="auto"/>
            <w:tcMar>
              <w:top w:w="15" w:type="dxa"/>
              <w:left w:w="15" w:type="dxa"/>
              <w:bottom w:w="0" w:type="dxa"/>
              <w:right w:w="15" w:type="dxa"/>
            </w:tcMar>
          </w:tcPr>
          <w:p w14:paraId="38CF0004" w14:textId="77777777" w:rsidR="008B4DF8" w:rsidRPr="00C1603D" w:rsidRDefault="008B4DF8" w:rsidP="00590883">
            <w:pPr>
              <w:pStyle w:val="72TabletextTablesTableFigureBoxstyles"/>
            </w:pPr>
            <w:r w:rsidRPr="00C1603D">
              <w:t>0.253</w:t>
            </w:r>
          </w:p>
        </w:tc>
        <w:tc>
          <w:tcPr>
            <w:tcW w:w="0" w:type="auto"/>
            <w:shd w:val="clear" w:color="auto" w:fill="auto"/>
            <w:tcMar>
              <w:top w:w="15" w:type="dxa"/>
              <w:left w:w="15" w:type="dxa"/>
              <w:bottom w:w="0" w:type="dxa"/>
              <w:right w:w="15" w:type="dxa"/>
            </w:tcMar>
          </w:tcPr>
          <w:p w14:paraId="78405F0F" w14:textId="04E755E7" w:rsidR="008B4DF8" w:rsidRPr="00C1603D" w:rsidRDefault="008B4DF8" w:rsidP="00590883">
            <w:pPr>
              <w:pStyle w:val="72TabletextTablesTableFigureBoxstyles"/>
            </w:pPr>
            <w:r w:rsidRPr="00C1603D">
              <w:t xml:space="preserve">0.243 </w:t>
            </w:r>
            <w:r w:rsidRPr="00C1603D">
              <w:rPr>
                <w:color w:val="00B0F0"/>
              </w:rPr>
              <w:t>(</w:t>
            </w:r>
            <w:r w:rsidRPr="00C1603D">
              <w:t>0.214</w:t>
            </w:r>
            <w:r w:rsidR="00590883" w:rsidRPr="00C1603D">
              <w:t>–</w:t>
            </w:r>
            <w:r w:rsidRPr="00C1603D">
              <w:t>0.282)</w:t>
            </w:r>
          </w:p>
        </w:tc>
        <w:tc>
          <w:tcPr>
            <w:tcW w:w="0" w:type="auto"/>
            <w:shd w:val="clear" w:color="auto" w:fill="auto"/>
            <w:tcMar>
              <w:top w:w="15" w:type="dxa"/>
              <w:left w:w="15" w:type="dxa"/>
              <w:bottom w:w="0" w:type="dxa"/>
              <w:right w:w="15" w:type="dxa"/>
            </w:tcMar>
          </w:tcPr>
          <w:p w14:paraId="588BB8D6" w14:textId="77777777" w:rsidR="008B4DF8" w:rsidRPr="00C1603D" w:rsidRDefault="008B4DF8" w:rsidP="00590883">
            <w:pPr>
              <w:pStyle w:val="72TabletextTablesTableFigureBoxstyles"/>
            </w:pPr>
            <w:r w:rsidRPr="00C1603D">
              <w:t>0.257</w:t>
            </w:r>
          </w:p>
        </w:tc>
        <w:tc>
          <w:tcPr>
            <w:tcW w:w="0" w:type="auto"/>
            <w:shd w:val="clear" w:color="auto" w:fill="auto"/>
            <w:tcMar>
              <w:top w:w="15" w:type="dxa"/>
              <w:left w:w="15" w:type="dxa"/>
              <w:bottom w:w="0" w:type="dxa"/>
              <w:right w:w="15" w:type="dxa"/>
            </w:tcMar>
          </w:tcPr>
          <w:p w14:paraId="033EC349" w14:textId="77777777" w:rsidR="008B4DF8" w:rsidRPr="00C1603D" w:rsidRDefault="008B4DF8" w:rsidP="00590883">
            <w:pPr>
              <w:pStyle w:val="72TabletextTablesTableFigureBoxstyles"/>
            </w:pPr>
            <w:r w:rsidRPr="00C1603D">
              <w:t>1.288</w:t>
            </w:r>
          </w:p>
        </w:tc>
        <w:tc>
          <w:tcPr>
            <w:tcW w:w="0" w:type="auto"/>
            <w:shd w:val="clear" w:color="auto" w:fill="auto"/>
            <w:tcMar>
              <w:top w:w="15" w:type="dxa"/>
              <w:left w:w="15" w:type="dxa"/>
              <w:bottom w:w="0" w:type="dxa"/>
              <w:right w:w="15" w:type="dxa"/>
            </w:tcMar>
          </w:tcPr>
          <w:p w14:paraId="19D67D52" w14:textId="77777777" w:rsidR="008B4DF8" w:rsidRPr="00C1603D" w:rsidRDefault="008B4DF8" w:rsidP="00590883">
            <w:pPr>
              <w:pStyle w:val="72TabletextTablesTableFigureBoxstyles"/>
            </w:pPr>
            <w:r w:rsidRPr="00C1603D">
              <w:t>1.293</w:t>
            </w:r>
          </w:p>
        </w:tc>
        <w:tc>
          <w:tcPr>
            <w:tcW w:w="0" w:type="auto"/>
            <w:shd w:val="clear" w:color="auto" w:fill="auto"/>
            <w:tcMar>
              <w:top w:w="15" w:type="dxa"/>
              <w:left w:w="15" w:type="dxa"/>
              <w:bottom w:w="0" w:type="dxa"/>
              <w:right w:w="15" w:type="dxa"/>
            </w:tcMar>
          </w:tcPr>
          <w:p w14:paraId="5492764D" w14:textId="77777777" w:rsidR="008B4DF8" w:rsidRPr="00C1603D" w:rsidRDefault="008B4DF8" w:rsidP="00590883">
            <w:pPr>
              <w:pStyle w:val="72TabletextTablesTableFigureBoxstyles"/>
            </w:pPr>
            <w:r w:rsidRPr="00C1603D">
              <w:t>0.975</w:t>
            </w:r>
          </w:p>
        </w:tc>
        <w:tc>
          <w:tcPr>
            <w:tcW w:w="0" w:type="auto"/>
            <w:shd w:val="clear" w:color="auto" w:fill="auto"/>
            <w:tcMar>
              <w:top w:w="15" w:type="dxa"/>
              <w:left w:w="15" w:type="dxa"/>
              <w:bottom w:w="0" w:type="dxa"/>
              <w:right w:w="15" w:type="dxa"/>
            </w:tcMar>
          </w:tcPr>
          <w:p w14:paraId="11D14BB5" w14:textId="77777777" w:rsidR="008B4DF8" w:rsidRPr="00C1603D" w:rsidRDefault="008B4DF8" w:rsidP="00590883">
            <w:pPr>
              <w:pStyle w:val="72TabletextTablesTableFigureBoxstyles"/>
            </w:pPr>
            <w:r w:rsidRPr="00C1603D">
              <w:t>2.651</w:t>
            </w:r>
          </w:p>
        </w:tc>
      </w:tr>
      <w:tr w:rsidR="00590883" w:rsidRPr="00C1603D" w14:paraId="46E99DF6" w14:textId="77777777" w:rsidTr="00590883">
        <w:trPr>
          <w:cantSplit/>
        </w:trPr>
        <w:tc>
          <w:tcPr>
            <w:tcW w:w="0" w:type="auto"/>
            <w:shd w:val="clear" w:color="auto" w:fill="auto"/>
            <w:tcMar>
              <w:top w:w="15" w:type="dxa"/>
              <w:left w:w="15" w:type="dxa"/>
              <w:bottom w:w="0" w:type="dxa"/>
              <w:right w:w="15" w:type="dxa"/>
            </w:tcMar>
          </w:tcPr>
          <w:p w14:paraId="573662C1" w14:textId="77777777" w:rsidR="008B4DF8" w:rsidRPr="00C1603D" w:rsidRDefault="008B4DF8" w:rsidP="00590883">
            <w:pPr>
              <w:pStyle w:val="72TabletextTablesTableFigureBoxstyles"/>
            </w:pPr>
            <w:r w:rsidRPr="00C1603D">
              <w:t>Fatigue</w:t>
            </w:r>
          </w:p>
        </w:tc>
        <w:tc>
          <w:tcPr>
            <w:tcW w:w="0" w:type="auto"/>
            <w:shd w:val="clear" w:color="auto" w:fill="auto"/>
            <w:tcMar>
              <w:top w:w="15" w:type="dxa"/>
              <w:left w:w="15" w:type="dxa"/>
              <w:bottom w:w="0" w:type="dxa"/>
              <w:right w:w="15" w:type="dxa"/>
            </w:tcMar>
          </w:tcPr>
          <w:p w14:paraId="5C775F6D" w14:textId="77777777" w:rsidR="008B4DF8" w:rsidRPr="00C1603D" w:rsidRDefault="008B4DF8" w:rsidP="00590883">
            <w:pPr>
              <w:pStyle w:val="72TabletextTablesTableFigureBoxstyles"/>
            </w:pPr>
            <w:r w:rsidRPr="00C1603D">
              <w:t>0.185</w:t>
            </w:r>
          </w:p>
        </w:tc>
        <w:tc>
          <w:tcPr>
            <w:tcW w:w="0" w:type="auto"/>
            <w:shd w:val="clear" w:color="auto" w:fill="auto"/>
            <w:tcMar>
              <w:top w:w="15" w:type="dxa"/>
              <w:left w:w="15" w:type="dxa"/>
              <w:bottom w:w="0" w:type="dxa"/>
              <w:right w:w="15" w:type="dxa"/>
            </w:tcMar>
          </w:tcPr>
          <w:p w14:paraId="6A94C637" w14:textId="11616B19" w:rsidR="008B4DF8" w:rsidRPr="00C1603D" w:rsidRDefault="008B4DF8" w:rsidP="00590883">
            <w:pPr>
              <w:pStyle w:val="72TabletextTablesTableFigureBoxstyles"/>
            </w:pPr>
            <w:r w:rsidRPr="00C1603D">
              <w:t xml:space="preserve">0.186 </w:t>
            </w:r>
            <w:r w:rsidRPr="00C1603D">
              <w:rPr>
                <w:color w:val="00B0F0"/>
              </w:rPr>
              <w:t>(</w:t>
            </w:r>
            <w:r w:rsidRPr="00C1603D">
              <w:t>0.136</w:t>
            </w:r>
            <w:r w:rsidR="00590883" w:rsidRPr="00C1603D">
              <w:t>–</w:t>
            </w:r>
            <w:r w:rsidRPr="00C1603D">
              <w:t>0.233)</w:t>
            </w:r>
          </w:p>
        </w:tc>
        <w:tc>
          <w:tcPr>
            <w:tcW w:w="0" w:type="auto"/>
            <w:shd w:val="clear" w:color="auto" w:fill="auto"/>
            <w:tcMar>
              <w:top w:w="15" w:type="dxa"/>
              <w:left w:w="15" w:type="dxa"/>
              <w:bottom w:w="0" w:type="dxa"/>
              <w:right w:w="15" w:type="dxa"/>
            </w:tcMar>
          </w:tcPr>
          <w:p w14:paraId="68852237" w14:textId="77777777" w:rsidR="008B4DF8" w:rsidRPr="00C1603D" w:rsidRDefault="008B4DF8" w:rsidP="00590883">
            <w:pPr>
              <w:pStyle w:val="72TabletextTablesTableFigureBoxstyles"/>
            </w:pPr>
            <w:r w:rsidRPr="00C1603D">
              <w:t>0.183</w:t>
            </w:r>
          </w:p>
        </w:tc>
        <w:tc>
          <w:tcPr>
            <w:tcW w:w="0" w:type="auto"/>
            <w:shd w:val="clear" w:color="auto" w:fill="auto"/>
            <w:tcMar>
              <w:top w:w="15" w:type="dxa"/>
              <w:left w:w="15" w:type="dxa"/>
              <w:bottom w:w="0" w:type="dxa"/>
              <w:right w:w="15" w:type="dxa"/>
            </w:tcMar>
          </w:tcPr>
          <w:p w14:paraId="567E89F2" w14:textId="77777777" w:rsidR="008B4DF8" w:rsidRPr="00C1603D" w:rsidRDefault="008B4DF8" w:rsidP="00590883">
            <w:pPr>
              <w:pStyle w:val="72TabletextTablesTableFigureBoxstyles"/>
            </w:pPr>
            <w:r w:rsidRPr="00C1603D">
              <w:t>1.203</w:t>
            </w:r>
          </w:p>
        </w:tc>
        <w:tc>
          <w:tcPr>
            <w:tcW w:w="0" w:type="auto"/>
            <w:shd w:val="clear" w:color="auto" w:fill="auto"/>
            <w:tcMar>
              <w:top w:w="15" w:type="dxa"/>
              <w:left w:w="15" w:type="dxa"/>
              <w:bottom w:w="0" w:type="dxa"/>
              <w:right w:w="15" w:type="dxa"/>
            </w:tcMar>
          </w:tcPr>
          <w:p w14:paraId="4F7EED51" w14:textId="77777777" w:rsidR="008B4DF8" w:rsidRPr="00C1603D" w:rsidRDefault="008B4DF8" w:rsidP="00590883">
            <w:pPr>
              <w:pStyle w:val="72TabletextTablesTableFigureBoxstyles"/>
            </w:pPr>
            <w:r w:rsidRPr="00C1603D">
              <w:t>1.201</w:t>
            </w:r>
          </w:p>
        </w:tc>
        <w:tc>
          <w:tcPr>
            <w:tcW w:w="0" w:type="auto"/>
            <w:shd w:val="clear" w:color="auto" w:fill="auto"/>
            <w:tcMar>
              <w:top w:w="15" w:type="dxa"/>
              <w:left w:w="15" w:type="dxa"/>
              <w:bottom w:w="0" w:type="dxa"/>
              <w:right w:w="15" w:type="dxa"/>
            </w:tcMar>
          </w:tcPr>
          <w:p w14:paraId="5363258D" w14:textId="77777777" w:rsidR="008B4DF8" w:rsidRPr="00C1603D" w:rsidRDefault="008B4DF8" w:rsidP="00590883">
            <w:pPr>
              <w:pStyle w:val="72TabletextTablesTableFigureBoxstyles"/>
            </w:pPr>
            <w:r w:rsidRPr="00C1603D">
              <w:t>1.077</w:t>
            </w:r>
          </w:p>
        </w:tc>
        <w:tc>
          <w:tcPr>
            <w:tcW w:w="0" w:type="auto"/>
            <w:shd w:val="clear" w:color="auto" w:fill="auto"/>
            <w:tcMar>
              <w:top w:w="15" w:type="dxa"/>
              <w:left w:w="15" w:type="dxa"/>
              <w:bottom w:w="0" w:type="dxa"/>
              <w:right w:w="15" w:type="dxa"/>
            </w:tcMar>
          </w:tcPr>
          <w:p w14:paraId="1DA465FF" w14:textId="77777777" w:rsidR="008B4DF8" w:rsidRPr="00C1603D" w:rsidRDefault="008B4DF8" w:rsidP="00590883">
            <w:pPr>
              <w:pStyle w:val="72TabletextTablesTableFigureBoxstyles"/>
            </w:pPr>
            <w:r w:rsidRPr="00C1603D">
              <w:t>2.936</w:t>
            </w:r>
          </w:p>
        </w:tc>
      </w:tr>
      <w:tr w:rsidR="00590883" w:rsidRPr="00C1603D" w14:paraId="50887B45" w14:textId="77777777" w:rsidTr="00590883">
        <w:trPr>
          <w:cantSplit/>
        </w:trPr>
        <w:tc>
          <w:tcPr>
            <w:tcW w:w="0" w:type="auto"/>
            <w:shd w:val="clear" w:color="auto" w:fill="auto"/>
            <w:tcMar>
              <w:top w:w="15" w:type="dxa"/>
              <w:left w:w="15" w:type="dxa"/>
              <w:bottom w:w="0" w:type="dxa"/>
              <w:right w:w="15" w:type="dxa"/>
            </w:tcMar>
          </w:tcPr>
          <w:p w14:paraId="0B5DB44C" w14:textId="77777777" w:rsidR="008B4DF8" w:rsidRPr="00C1603D" w:rsidRDefault="008B4DF8" w:rsidP="00590883">
            <w:pPr>
              <w:pStyle w:val="72TabletextTablesTableFigureBoxstyles"/>
            </w:pPr>
            <w:r w:rsidRPr="00C1603D">
              <w:t>Age</w:t>
            </w:r>
          </w:p>
        </w:tc>
        <w:tc>
          <w:tcPr>
            <w:tcW w:w="0" w:type="auto"/>
            <w:shd w:val="clear" w:color="auto" w:fill="auto"/>
            <w:tcMar>
              <w:top w:w="15" w:type="dxa"/>
              <w:left w:w="15" w:type="dxa"/>
              <w:bottom w:w="0" w:type="dxa"/>
              <w:right w:w="15" w:type="dxa"/>
            </w:tcMar>
          </w:tcPr>
          <w:p w14:paraId="24DA777E" w14:textId="77777777" w:rsidR="008B4DF8" w:rsidRPr="00C1603D" w:rsidRDefault="008B4DF8" w:rsidP="00590883">
            <w:pPr>
              <w:pStyle w:val="72TabletextTablesTableFigureBoxstyles"/>
            </w:pPr>
            <w:r w:rsidRPr="00C1603D">
              <w:t>0.010</w:t>
            </w:r>
          </w:p>
        </w:tc>
        <w:tc>
          <w:tcPr>
            <w:tcW w:w="0" w:type="auto"/>
            <w:shd w:val="clear" w:color="auto" w:fill="auto"/>
            <w:tcMar>
              <w:top w:w="15" w:type="dxa"/>
              <w:left w:w="15" w:type="dxa"/>
              <w:bottom w:w="0" w:type="dxa"/>
              <w:right w:w="15" w:type="dxa"/>
            </w:tcMar>
          </w:tcPr>
          <w:p w14:paraId="6C26D2DF" w14:textId="4769CDC9" w:rsidR="008B4DF8" w:rsidRPr="00C1603D" w:rsidRDefault="008B4DF8" w:rsidP="00590883">
            <w:pPr>
              <w:pStyle w:val="72TabletextTablesTableFigureBoxstyles"/>
            </w:pPr>
            <w:r w:rsidRPr="00C1603D">
              <w:t xml:space="preserve">0.011 </w:t>
            </w:r>
            <w:r w:rsidRPr="00C1603D">
              <w:rPr>
                <w:color w:val="00B0F0"/>
              </w:rPr>
              <w:t>(</w:t>
            </w:r>
            <w:r w:rsidRPr="00C1603D">
              <w:t>0.010</w:t>
            </w:r>
            <w:r w:rsidR="00590883" w:rsidRPr="00C1603D">
              <w:t>–</w:t>
            </w:r>
            <w:r w:rsidRPr="00C1603D">
              <w:t>0.011)</w:t>
            </w:r>
          </w:p>
        </w:tc>
        <w:tc>
          <w:tcPr>
            <w:tcW w:w="0" w:type="auto"/>
            <w:shd w:val="clear" w:color="auto" w:fill="auto"/>
            <w:tcMar>
              <w:top w:w="15" w:type="dxa"/>
              <w:left w:w="15" w:type="dxa"/>
              <w:bottom w:w="0" w:type="dxa"/>
              <w:right w:w="15" w:type="dxa"/>
            </w:tcMar>
          </w:tcPr>
          <w:p w14:paraId="28749466" w14:textId="77777777" w:rsidR="008B4DF8" w:rsidRPr="00C1603D" w:rsidRDefault="008B4DF8" w:rsidP="00590883">
            <w:pPr>
              <w:pStyle w:val="72TabletextTablesTableFigureBoxstyles"/>
            </w:pPr>
            <w:r w:rsidRPr="00C1603D">
              <w:t>0.011</w:t>
            </w:r>
          </w:p>
        </w:tc>
        <w:tc>
          <w:tcPr>
            <w:tcW w:w="0" w:type="auto"/>
            <w:shd w:val="clear" w:color="auto" w:fill="auto"/>
            <w:tcMar>
              <w:top w:w="15" w:type="dxa"/>
              <w:left w:w="15" w:type="dxa"/>
              <w:bottom w:w="0" w:type="dxa"/>
              <w:right w:w="15" w:type="dxa"/>
            </w:tcMar>
          </w:tcPr>
          <w:p w14:paraId="1B6DC960" w14:textId="77777777" w:rsidR="008B4DF8" w:rsidRPr="00C1603D" w:rsidRDefault="008B4DF8" w:rsidP="00590883">
            <w:pPr>
              <w:pStyle w:val="72TabletextTablesTableFigureBoxstyles"/>
            </w:pPr>
            <w:r w:rsidRPr="00C1603D">
              <w:t>1.010</w:t>
            </w:r>
          </w:p>
        </w:tc>
        <w:tc>
          <w:tcPr>
            <w:tcW w:w="0" w:type="auto"/>
            <w:shd w:val="clear" w:color="auto" w:fill="auto"/>
            <w:tcMar>
              <w:top w:w="15" w:type="dxa"/>
              <w:left w:w="15" w:type="dxa"/>
              <w:bottom w:w="0" w:type="dxa"/>
              <w:right w:w="15" w:type="dxa"/>
            </w:tcMar>
          </w:tcPr>
          <w:p w14:paraId="5DD323D1" w14:textId="77777777" w:rsidR="008B4DF8" w:rsidRPr="00C1603D" w:rsidRDefault="008B4DF8" w:rsidP="00590883">
            <w:pPr>
              <w:pStyle w:val="72TabletextTablesTableFigureBoxstyles"/>
            </w:pPr>
            <w:r w:rsidRPr="00C1603D">
              <w:t>1.011</w:t>
            </w:r>
          </w:p>
        </w:tc>
        <w:tc>
          <w:tcPr>
            <w:tcW w:w="0" w:type="auto"/>
            <w:shd w:val="clear" w:color="auto" w:fill="auto"/>
            <w:tcMar>
              <w:top w:w="15" w:type="dxa"/>
              <w:left w:w="15" w:type="dxa"/>
              <w:bottom w:w="0" w:type="dxa"/>
              <w:right w:w="15" w:type="dxa"/>
            </w:tcMar>
          </w:tcPr>
          <w:p w14:paraId="0811EEC2" w14:textId="77777777" w:rsidR="008B4DF8" w:rsidRPr="00C1603D" w:rsidRDefault="008B4DF8" w:rsidP="00590883">
            <w:pPr>
              <w:pStyle w:val="72TabletextTablesTableFigureBoxstyles"/>
            </w:pPr>
            <w:r w:rsidRPr="00C1603D">
              <w:t>0.023</w:t>
            </w:r>
          </w:p>
        </w:tc>
        <w:tc>
          <w:tcPr>
            <w:tcW w:w="0" w:type="auto"/>
            <w:shd w:val="clear" w:color="auto" w:fill="auto"/>
            <w:tcMar>
              <w:top w:w="15" w:type="dxa"/>
              <w:left w:w="15" w:type="dxa"/>
              <w:bottom w:w="0" w:type="dxa"/>
              <w:right w:w="15" w:type="dxa"/>
            </w:tcMar>
          </w:tcPr>
          <w:p w14:paraId="3301362F" w14:textId="77777777" w:rsidR="008B4DF8" w:rsidRPr="00C1603D" w:rsidRDefault="008B4DF8" w:rsidP="00590883">
            <w:pPr>
              <w:pStyle w:val="72TabletextTablesTableFigureBoxstyles"/>
            </w:pPr>
            <w:r w:rsidRPr="00C1603D">
              <w:t>1.023</w:t>
            </w:r>
          </w:p>
        </w:tc>
      </w:tr>
    </w:tbl>
    <w:p w14:paraId="1EEDE9E0" w14:textId="2CFCB406" w:rsidR="008B4DF8" w:rsidRPr="00C1603D" w:rsidRDefault="008B4DF8" w:rsidP="008B4DF8">
      <w:pPr>
        <w:pStyle w:val="43AppendixtitleHeadingsHeadingstyles"/>
      </w:pPr>
      <w:bookmarkStart w:id="672" w:name="_Toc99539937"/>
      <w:r w:rsidRPr="00C1603D">
        <w:lastRenderedPageBreak/>
        <w:t>Appendix 12</w:t>
      </w:r>
      <w:bookmarkEnd w:id="672"/>
      <w:r w:rsidR="00BE009B" w:rsidRPr="00C1603D">
        <w:t> </w:t>
      </w:r>
      <w:r w:rsidR="00BE009B" w:rsidRPr="00C1603D">
        <w:t>Calibration curves</w:t>
      </w:r>
    </w:p>
    <w:p w14:paraId="2831E7C1" w14:textId="77777777" w:rsidR="008B4DF8" w:rsidRPr="00C1603D" w:rsidRDefault="008B4DF8" w:rsidP="008B4DF8">
      <w:pPr>
        <w:pStyle w:val="81FigurelegendTableFigureBoxstyles"/>
      </w:pPr>
      <w:bookmarkStart w:id="673" w:name="_Toc99720836"/>
      <w:commentRangeStart w:id="674"/>
      <w:r w:rsidRPr="00C1603D">
        <w:rPr>
          <w:b/>
        </w:rPr>
        <w:t>FIGURE 55</w:t>
      </w:r>
      <w:r w:rsidRPr="00C1603D">
        <w:rPr>
          <w:b/>
        </w:rPr>
        <w:t> </w:t>
      </w:r>
      <w:r w:rsidRPr="00C1603D">
        <w:t>Calibration curves model development and external validation</w:t>
      </w:r>
      <w:bookmarkEnd w:id="673"/>
      <w:r w:rsidRPr="00C1603D">
        <w:t>.</w:t>
      </w:r>
      <w:commentRangeEnd w:id="674"/>
      <w:r w:rsidR="00A43898" w:rsidRPr="00C1603D">
        <w:rPr>
          <w:rFonts w:ascii="Times New Roman" w:hAnsi="Times New Roman" w:cs="Times New Roman"/>
          <w:color w:val="auto"/>
        </w:rPr>
        <w:commentReference w:id="674"/>
      </w:r>
      <w:r w:rsidRPr="00C1603D">
        <w:t xml:space="preserve"> (a) Children: development sample; (b) children: external validation; (c) women: developmental sample; (d) women: external validation; (e) men: developmental sample and (f) men: external validation.</w:t>
      </w:r>
    </w:p>
    <w:p w14:paraId="1D94A57E" w14:textId="14B838D4" w:rsidR="008B4DF8" w:rsidRPr="00C1603D" w:rsidRDefault="008B4DF8" w:rsidP="008B4DF8">
      <w:pPr>
        <w:pStyle w:val="43AppendixtitleHeadingsHeadingstyles"/>
      </w:pPr>
      <w:bookmarkStart w:id="675" w:name="_Toc99539938"/>
      <w:r w:rsidRPr="00C1603D">
        <w:lastRenderedPageBreak/>
        <w:t>Appendix 13</w:t>
      </w:r>
      <w:bookmarkEnd w:id="675"/>
      <w:r w:rsidR="00C46323" w:rsidRPr="00C1603D">
        <w:t> </w:t>
      </w:r>
      <w:r w:rsidR="00C46323" w:rsidRPr="00C1603D">
        <w:t>Clinical usefulness in external validation data</w:t>
      </w:r>
    </w:p>
    <w:p w14:paraId="6A9D8619" w14:textId="66C0B73A" w:rsidR="008B4DF8" w:rsidRPr="00C1603D" w:rsidRDefault="008B4DF8" w:rsidP="008B4DF8">
      <w:pPr>
        <w:pStyle w:val="70TablelegendTablesTableFigureBoxstyles"/>
        <w:rPr>
          <w:vertAlign w:val="superscript"/>
        </w:rPr>
      </w:pPr>
      <w:bookmarkStart w:id="676" w:name="_Ref83908784"/>
      <w:bookmarkStart w:id="677" w:name="_Toc99720766"/>
      <w:r w:rsidRPr="00C1603D">
        <w:rPr>
          <w:b/>
        </w:rPr>
        <w:t>TABLE 5</w:t>
      </w:r>
      <w:r w:rsidR="00032460" w:rsidRPr="00C1603D">
        <w:rPr>
          <w:b/>
        </w:rPr>
        <w:t>6</w:t>
      </w:r>
      <w:r w:rsidRPr="00C1603D">
        <w:rPr>
          <w:b/>
        </w:rPr>
        <w:t> </w:t>
      </w:r>
      <w:r w:rsidRPr="00C1603D">
        <w:t>Clinical usefulness in external validation data</w:t>
      </w:r>
      <w:bookmarkEnd w:id="676"/>
      <w:bookmarkEnd w:id="677"/>
      <w:r w:rsidR="00C46323" w:rsidRPr="00C1603D">
        <w:rPr>
          <w:vertAlign w:val="superscript"/>
        </w:rPr>
        <w:t>a</w:t>
      </w:r>
    </w:p>
    <w:tbl>
      <w:tblPr>
        <w:tblW w:w="0" w:type="auto"/>
        <w:tblCellMar>
          <w:top w:w="40" w:type="dxa"/>
          <w:left w:w="60" w:type="dxa"/>
          <w:bottom w:w="40" w:type="dxa"/>
          <w:right w:w="60" w:type="dxa"/>
        </w:tblCellMar>
        <w:tblLook w:val="04A0" w:firstRow="1" w:lastRow="0" w:firstColumn="1" w:lastColumn="0" w:noHBand="0" w:noVBand="1"/>
      </w:tblPr>
      <w:tblGrid>
        <w:gridCol w:w="1017"/>
        <w:gridCol w:w="942"/>
        <w:gridCol w:w="517"/>
        <w:gridCol w:w="565"/>
        <w:gridCol w:w="525"/>
        <w:gridCol w:w="582"/>
        <w:gridCol w:w="1130"/>
        <w:gridCol w:w="1125"/>
        <w:gridCol w:w="631"/>
        <w:gridCol w:w="656"/>
        <w:gridCol w:w="1336"/>
      </w:tblGrid>
      <w:tr w:rsidR="00C46323" w:rsidRPr="00C1603D" w14:paraId="3EC14C18" w14:textId="77777777" w:rsidTr="00C46323">
        <w:trPr>
          <w:cantSplit/>
        </w:trPr>
        <w:tc>
          <w:tcPr>
            <w:tcW w:w="0" w:type="auto"/>
            <w:shd w:val="clear" w:color="auto" w:fill="auto"/>
          </w:tcPr>
          <w:p w14:paraId="64D36157" w14:textId="77777777" w:rsidR="008B4DF8" w:rsidRPr="00C1603D" w:rsidRDefault="008B4DF8" w:rsidP="00C46323">
            <w:pPr>
              <w:pStyle w:val="710TableheadTablesTableFigureBoxstyles"/>
              <w:rPr>
                <w:lang w:eastAsia="en-GB"/>
              </w:rPr>
            </w:pPr>
            <w:r w:rsidRPr="00C1603D">
              <w:rPr>
                <w:lang w:eastAsia="en-GB"/>
              </w:rPr>
              <w:t>Population</w:t>
            </w:r>
          </w:p>
        </w:tc>
        <w:tc>
          <w:tcPr>
            <w:tcW w:w="0" w:type="auto"/>
            <w:shd w:val="clear" w:color="auto" w:fill="auto"/>
          </w:tcPr>
          <w:p w14:paraId="1C4A3A72" w14:textId="77777777" w:rsidR="008B4DF8" w:rsidRPr="00C1603D" w:rsidRDefault="008B4DF8" w:rsidP="00C46323">
            <w:pPr>
              <w:pStyle w:val="710TableheadTablesTableFigureBoxstyles"/>
              <w:rPr>
                <w:lang w:eastAsia="en-GB"/>
              </w:rPr>
            </w:pPr>
            <w:r w:rsidRPr="00C1603D">
              <w:rPr>
                <w:lang w:eastAsia="en-GB"/>
              </w:rPr>
              <w:t>Threshold</w:t>
            </w:r>
          </w:p>
        </w:tc>
        <w:tc>
          <w:tcPr>
            <w:tcW w:w="0" w:type="auto"/>
            <w:shd w:val="clear" w:color="auto" w:fill="auto"/>
          </w:tcPr>
          <w:p w14:paraId="66B0FA35" w14:textId="344C5129" w:rsidR="008B4DF8" w:rsidRPr="00C1603D" w:rsidRDefault="008B4DF8" w:rsidP="00C46323">
            <w:pPr>
              <w:pStyle w:val="710TableheadTablesTableFigureBoxstyles"/>
              <w:rPr>
                <w:color w:val="000000"/>
                <w:lang w:eastAsia="en-GB"/>
              </w:rPr>
            </w:pPr>
            <w:r w:rsidRPr="00C1603D">
              <w:rPr>
                <w:lang w:eastAsia="en-GB"/>
              </w:rPr>
              <w:t>TP</w:t>
            </w:r>
            <w:r w:rsidR="00C46323" w:rsidRPr="00C1603D">
              <w:rPr>
                <w:lang w:eastAsia="en-GB"/>
              </w:rPr>
              <w:t xml:space="preserve"> (</w:t>
            </w:r>
            <w:r w:rsidR="00C46323" w:rsidRPr="00C1603D">
              <w:rPr>
                <w:i/>
                <w:iCs/>
                <w:lang w:eastAsia="en-GB"/>
              </w:rPr>
              <w:t>n</w:t>
            </w:r>
            <w:r w:rsidR="00C46323" w:rsidRPr="00C1603D">
              <w:rPr>
                <w:lang w:eastAsia="en-GB"/>
              </w:rPr>
              <w:t>)</w:t>
            </w:r>
          </w:p>
        </w:tc>
        <w:tc>
          <w:tcPr>
            <w:tcW w:w="0" w:type="auto"/>
            <w:shd w:val="clear" w:color="auto" w:fill="auto"/>
          </w:tcPr>
          <w:p w14:paraId="2E7BB871" w14:textId="1F137113" w:rsidR="008B4DF8" w:rsidRPr="00C1603D" w:rsidRDefault="008B4DF8" w:rsidP="00C46323">
            <w:pPr>
              <w:pStyle w:val="710TableheadTablesTableFigureBoxstyles"/>
              <w:rPr>
                <w:color w:val="000000"/>
                <w:lang w:eastAsia="en-GB"/>
              </w:rPr>
            </w:pPr>
            <w:r w:rsidRPr="00C1603D">
              <w:rPr>
                <w:lang w:eastAsia="en-GB"/>
              </w:rPr>
              <w:t>FP</w:t>
            </w:r>
            <w:r w:rsidR="00C46323" w:rsidRPr="00C1603D">
              <w:rPr>
                <w:lang w:eastAsia="en-GB"/>
              </w:rPr>
              <w:t xml:space="preserve"> (</w:t>
            </w:r>
            <w:r w:rsidR="00C46323" w:rsidRPr="00C1603D">
              <w:rPr>
                <w:i/>
                <w:iCs/>
                <w:lang w:eastAsia="en-GB"/>
              </w:rPr>
              <w:t>n</w:t>
            </w:r>
            <w:r w:rsidR="00C46323" w:rsidRPr="00C1603D">
              <w:rPr>
                <w:lang w:eastAsia="en-GB"/>
              </w:rPr>
              <w:t>)</w:t>
            </w:r>
          </w:p>
        </w:tc>
        <w:tc>
          <w:tcPr>
            <w:tcW w:w="0" w:type="auto"/>
            <w:shd w:val="clear" w:color="auto" w:fill="auto"/>
          </w:tcPr>
          <w:p w14:paraId="5B5FA42F" w14:textId="51D78644" w:rsidR="008B4DF8" w:rsidRPr="00C1603D" w:rsidRDefault="008B4DF8" w:rsidP="00C46323">
            <w:pPr>
              <w:pStyle w:val="710TableheadTablesTableFigureBoxstyles"/>
              <w:rPr>
                <w:color w:val="000000"/>
                <w:lang w:eastAsia="en-GB"/>
              </w:rPr>
            </w:pPr>
            <w:r w:rsidRPr="00C1603D">
              <w:rPr>
                <w:lang w:eastAsia="en-GB"/>
              </w:rPr>
              <w:t>FN</w:t>
            </w:r>
            <w:r w:rsidR="00C46323" w:rsidRPr="00C1603D">
              <w:rPr>
                <w:lang w:eastAsia="en-GB"/>
              </w:rPr>
              <w:t xml:space="preserve"> (</w:t>
            </w:r>
            <w:r w:rsidR="00C46323" w:rsidRPr="00C1603D">
              <w:rPr>
                <w:i/>
                <w:iCs/>
                <w:lang w:eastAsia="en-GB"/>
              </w:rPr>
              <w:t>n</w:t>
            </w:r>
            <w:r w:rsidR="00C46323" w:rsidRPr="00C1603D">
              <w:rPr>
                <w:lang w:eastAsia="en-GB"/>
              </w:rPr>
              <w:t>)</w:t>
            </w:r>
          </w:p>
        </w:tc>
        <w:tc>
          <w:tcPr>
            <w:tcW w:w="0" w:type="auto"/>
            <w:shd w:val="clear" w:color="auto" w:fill="auto"/>
          </w:tcPr>
          <w:p w14:paraId="7F2A96CE" w14:textId="3A6CE3C9" w:rsidR="008B4DF8" w:rsidRPr="00C1603D" w:rsidRDefault="008B4DF8" w:rsidP="00C46323">
            <w:pPr>
              <w:pStyle w:val="710TableheadTablesTableFigureBoxstyles"/>
              <w:rPr>
                <w:color w:val="000000"/>
                <w:lang w:eastAsia="en-GB"/>
              </w:rPr>
            </w:pPr>
            <w:r w:rsidRPr="00C1603D">
              <w:rPr>
                <w:lang w:eastAsia="en-GB"/>
              </w:rPr>
              <w:t>TN</w:t>
            </w:r>
            <w:r w:rsidR="00C46323" w:rsidRPr="00C1603D">
              <w:rPr>
                <w:lang w:eastAsia="en-GB"/>
              </w:rPr>
              <w:t xml:space="preserve"> (</w:t>
            </w:r>
            <w:r w:rsidR="00C46323" w:rsidRPr="00C1603D">
              <w:rPr>
                <w:i/>
                <w:iCs/>
                <w:lang w:eastAsia="en-GB"/>
              </w:rPr>
              <w:t>n</w:t>
            </w:r>
            <w:r w:rsidR="00C46323" w:rsidRPr="00C1603D">
              <w:rPr>
                <w:lang w:eastAsia="en-GB"/>
              </w:rPr>
              <w:t>)</w:t>
            </w:r>
          </w:p>
        </w:tc>
        <w:tc>
          <w:tcPr>
            <w:tcW w:w="0" w:type="auto"/>
            <w:shd w:val="clear" w:color="auto" w:fill="auto"/>
          </w:tcPr>
          <w:p w14:paraId="1FE86715" w14:textId="7D30E339" w:rsidR="008B4DF8" w:rsidRPr="00C1603D" w:rsidRDefault="008B4DF8" w:rsidP="00C46323">
            <w:pPr>
              <w:pStyle w:val="710TableheadTablesTableFigureBoxstyles"/>
              <w:rPr>
                <w:color w:val="000000"/>
                <w:lang w:eastAsia="en-GB"/>
              </w:rPr>
            </w:pPr>
            <w:r w:rsidRPr="00C1603D">
              <w:rPr>
                <w:lang w:eastAsia="en-GB"/>
              </w:rPr>
              <w:t>Sens</w:t>
            </w:r>
            <w:r w:rsidR="00C46323" w:rsidRPr="00C1603D">
              <w:rPr>
                <w:lang w:eastAsia="en-GB"/>
              </w:rPr>
              <w:t>itivity (%)</w:t>
            </w:r>
          </w:p>
        </w:tc>
        <w:tc>
          <w:tcPr>
            <w:tcW w:w="0" w:type="auto"/>
            <w:shd w:val="clear" w:color="auto" w:fill="auto"/>
          </w:tcPr>
          <w:p w14:paraId="31C7490D" w14:textId="1E0057B3" w:rsidR="008B4DF8" w:rsidRPr="00C1603D" w:rsidRDefault="008B4DF8" w:rsidP="00C46323">
            <w:pPr>
              <w:pStyle w:val="710TableheadTablesTableFigureBoxstyles"/>
              <w:rPr>
                <w:color w:val="000000"/>
                <w:lang w:eastAsia="en-GB"/>
              </w:rPr>
            </w:pPr>
            <w:r w:rsidRPr="00C1603D">
              <w:rPr>
                <w:lang w:eastAsia="en-GB"/>
              </w:rPr>
              <w:t>Spec</w:t>
            </w:r>
            <w:r w:rsidR="00C46323" w:rsidRPr="00C1603D">
              <w:rPr>
                <w:lang w:eastAsia="en-GB"/>
              </w:rPr>
              <w:t>ificity (%)</w:t>
            </w:r>
          </w:p>
        </w:tc>
        <w:tc>
          <w:tcPr>
            <w:tcW w:w="0" w:type="auto"/>
            <w:shd w:val="clear" w:color="auto" w:fill="auto"/>
          </w:tcPr>
          <w:p w14:paraId="454A48F2" w14:textId="7C56F000" w:rsidR="008B4DF8" w:rsidRPr="00C1603D" w:rsidRDefault="008B4DF8" w:rsidP="00C46323">
            <w:pPr>
              <w:pStyle w:val="710TableheadTablesTableFigureBoxstyles"/>
              <w:rPr>
                <w:color w:val="000000"/>
                <w:lang w:eastAsia="en-GB"/>
              </w:rPr>
            </w:pPr>
            <w:r w:rsidRPr="00C1603D">
              <w:rPr>
                <w:lang w:eastAsia="en-GB"/>
              </w:rPr>
              <w:t>PPV</w:t>
            </w:r>
            <w:r w:rsidR="00C46323" w:rsidRPr="00C1603D">
              <w:rPr>
                <w:lang w:eastAsia="en-GB"/>
              </w:rPr>
              <w:t xml:space="preserve"> (%)</w:t>
            </w:r>
          </w:p>
        </w:tc>
        <w:tc>
          <w:tcPr>
            <w:tcW w:w="0" w:type="auto"/>
            <w:shd w:val="clear" w:color="auto" w:fill="auto"/>
          </w:tcPr>
          <w:p w14:paraId="4DDD41DB" w14:textId="26AA22DA" w:rsidR="008B4DF8" w:rsidRPr="00C1603D" w:rsidRDefault="008B4DF8" w:rsidP="00C46323">
            <w:pPr>
              <w:pStyle w:val="710TableheadTablesTableFigureBoxstyles"/>
              <w:rPr>
                <w:color w:val="000000"/>
                <w:lang w:eastAsia="en-GB"/>
              </w:rPr>
            </w:pPr>
            <w:r w:rsidRPr="00C1603D">
              <w:rPr>
                <w:lang w:eastAsia="en-GB"/>
              </w:rPr>
              <w:t>NPV</w:t>
            </w:r>
            <w:r w:rsidR="00C46323" w:rsidRPr="00C1603D">
              <w:rPr>
                <w:lang w:eastAsia="en-GB"/>
              </w:rPr>
              <w:t xml:space="preserve"> (%)</w:t>
            </w:r>
          </w:p>
        </w:tc>
        <w:tc>
          <w:tcPr>
            <w:tcW w:w="0" w:type="auto"/>
            <w:shd w:val="clear" w:color="auto" w:fill="auto"/>
          </w:tcPr>
          <w:p w14:paraId="3C345583" w14:textId="77777777" w:rsidR="008B4DF8" w:rsidRPr="00C1603D" w:rsidRDefault="008B4DF8" w:rsidP="00C46323">
            <w:pPr>
              <w:pStyle w:val="710TableheadTablesTableFigureBoxstyles"/>
              <w:rPr>
                <w:lang w:eastAsia="en-GB"/>
              </w:rPr>
            </w:pPr>
            <w:r w:rsidRPr="00C1603D">
              <w:rPr>
                <w:lang w:eastAsia="en-GB"/>
              </w:rPr>
              <w:t>% CD patients missed</w:t>
            </w:r>
          </w:p>
        </w:tc>
      </w:tr>
      <w:tr w:rsidR="00C46323" w:rsidRPr="00C1603D" w14:paraId="08FFAACC" w14:textId="77777777" w:rsidTr="00C46323">
        <w:trPr>
          <w:cantSplit/>
        </w:trPr>
        <w:tc>
          <w:tcPr>
            <w:tcW w:w="0" w:type="auto"/>
            <w:vMerge w:val="restart"/>
            <w:shd w:val="clear" w:color="auto" w:fill="auto"/>
          </w:tcPr>
          <w:p w14:paraId="189115D4" w14:textId="77777777" w:rsidR="008B4DF8" w:rsidRPr="00C1603D" w:rsidRDefault="008B4DF8" w:rsidP="00C46323">
            <w:pPr>
              <w:pStyle w:val="72TabletextTablesTableFigureBoxstyles"/>
              <w:rPr>
                <w:lang w:eastAsia="en-GB"/>
              </w:rPr>
            </w:pPr>
            <w:r w:rsidRPr="00C1603D">
              <w:rPr>
                <w:lang w:eastAsia="en-GB"/>
              </w:rPr>
              <w:t>Children</w:t>
            </w:r>
          </w:p>
        </w:tc>
        <w:tc>
          <w:tcPr>
            <w:tcW w:w="0" w:type="auto"/>
            <w:shd w:val="clear" w:color="auto" w:fill="auto"/>
          </w:tcPr>
          <w:p w14:paraId="10FF2914" w14:textId="77777777" w:rsidR="008B4DF8" w:rsidRPr="00C1603D" w:rsidRDefault="008B4DF8" w:rsidP="00C46323">
            <w:pPr>
              <w:pStyle w:val="72TabletextTablesTableFigureBoxstyles"/>
              <w:rPr>
                <w:lang w:eastAsia="en-GB"/>
              </w:rPr>
            </w:pPr>
            <w:r w:rsidRPr="00C1603D">
              <w:rPr>
                <w:rFonts w:ascii="Calibri" w:hAnsi="Calibri"/>
                <w:lang w:eastAsia="en-GB"/>
              </w:rPr>
              <w:t>0</w:t>
            </w:r>
          </w:p>
        </w:tc>
        <w:tc>
          <w:tcPr>
            <w:tcW w:w="0" w:type="auto"/>
            <w:shd w:val="clear" w:color="auto" w:fill="auto"/>
          </w:tcPr>
          <w:p w14:paraId="27D7AD8C" w14:textId="77777777" w:rsidR="008B4DF8" w:rsidRPr="00C1603D" w:rsidRDefault="008B4DF8" w:rsidP="00C46323">
            <w:pPr>
              <w:pStyle w:val="72TabletextTablesTableFigureBoxstyles"/>
              <w:rPr>
                <w:lang w:eastAsia="en-GB"/>
              </w:rPr>
            </w:pPr>
            <w:r w:rsidRPr="00C1603D">
              <w:rPr>
                <w:lang w:eastAsia="en-GB"/>
              </w:rPr>
              <w:t>100</w:t>
            </w:r>
          </w:p>
        </w:tc>
        <w:tc>
          <w:tcPr>
            <w:tcW w:w="0" w:type="auto"/>
            <w:shd w:val="clear" w:color="auto" w:fill="auto"/>
          </w:tcPr>
          <w:p w14:paraId="1829A010" w14:textId="77777777" w:rsidR="008B4DF8" w:rsidRPr="00C1603D" w:rsidRDefault="008B4DF8" w:rsidP="00C46323">
            <w:pPr>
              <w:pStyle w:val="72TabletextTablesTableFigureBoxstyles"/>
              <w:rPr>
                <w:lang w:eastAsia="en-GB"/>
              </w:rPr>
            </w:pPr>
            <w:r w:rsidRPr="00C1603D">
              <w:rPr>
                <w:lang w:eastAsia="en-GB"/>
              </w:rPr>
              <w:t>9900</w:t>
            </w:r>
          </w:p>
        </w:tc>
        <w:tc>
          <w:tcPr>
            <w:tcW w:w="0" w:type="auto"/>
            <w:shd w:val="clear" w:color="auto" w:fill="auto"/>
          </w:tcPr>
          <w:p w14:paraId="0FEE553D"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4548CD51"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14F97332" w14:textId="6807C422" w:rsidR="008B4DF8" w:rsidRPr="00C1603D" w:rsidRDefault="008B4DF8" w:rsidP="00C46323">
            <w:pPr>
              <w:pStyle w:val="72TabletextTablesTableFigureBoxstyles"/>
              <w:rPr>
                <w:lang w:eastAsia="en-GB"/>
              </w:rPr>
            </w:pPr>
            <w:r w:rsidRPr="00C1603D">
              <w:rPr>
                <w:lang w:eastAsia="en-GB"/>
              </w:rPr>
              <w:t>100.0</w:t>
            </w:r>
          </w:p>
        </w:tc>
        <w:tc>
          <w:tcPr>
            <w:tcW w:w="0" w:type="auto"/>
            <w:shd w:val="clear" w:color="auto" w:fill="auto"/>
          </w:tcPr>
          <w:p w14:paraId="40C505AD" w14:textId="0CFC3C5F"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6177A6BF" w14:textId="43A4D131" w:rsidR="008B4DF8" w:rsidRPr="00C1603D" w:rsidRDefault="008B4DF8" w:rsidP="00C46323">
            <w:pPr>
              <w:pStyle w:val="72TabletextTablesTableFigureBoxstyles"/>
              <w:rPr>
                <w:lang w:eastAsia="en-GB"/>
              </w:rPr>
            </w:pPr>
            <w:r w:rsidRPr="00C1603D">
              <w:rPr>
                <w:lang w:eastAsia="en-GB"/>
              </w:rPr>
              <w:t>1.0</w:t>
            </w:r>
          </w:p>
        </w:tc>
        <w:tc>
          <w:tcPr>
            <w:tcW w:w="0" w:type="auto"/>
            <w:shd w:val="clear" w:color="auto" w:fill="auto"/>
          </w:tcPr>
          <w:p w14:paraId="4644D29D" w14:textId="77777777" w:rsidR="008B4DF8" w:rsidRPr="00C1603D" w:rsidRDefault="008B4DF8" w:rsidP="00C46323">
            <w:pPr>
              <w:pStyle w:val="72TabletextTablesTableFigureBoxstyles"/>
              <w:rPr>
                <w:lang w:eastAsia="en-GB"/>
              </w:rPr>
            </w:pPr>
            <w:r w:rsidRPr="00C1603D">
              <w:rPr>
                <w:lang w:eastAsia="en-GB"/>
              </w:rPr>
              <w:t>NA</w:t>
            </w:r>
          </w:p>
        </w:tc>
        <w:tc>
          <w:tcPr>
            <w:tcW w:w="0" w:type="auto"/>
            <w:shd w:val="clear" w:color="auto" w:fill="auto"/>
          </w:tcPr>
          <w:p w14:paraId="5950BA15" w14:textId="77777777" w:rsidR="008B4DF8" w:rsidRPr="00C1603D" w:rsidRDefault="008B4DF8" w:rsidP="00C46323">
            <w:pPr>
              <w:pStyle w:val="72TabletextTablesTableFigureBoxstyles"/>
              <w:rPr>
                <w:lang w:eastAsia="en-GB"/>
              </w:rPr>
            </w:pPr>
            <w:r w:rsidRPr="00C1603D">
              <w:rPr>
                <w:lang w:eastAsia="en-GB"/>
              </w:rPr>
              <w:t>0</w:t>
            </w:r>
          </w:p>
        </w:tc>
      </w:tr>
      <w:tr w:rsidR="00C46323" w:rsidRPr="00C1603D" w14:paraId="27C4788A" w14:textId="77777777" w:rsidTr="00C46323">
        <w:trPr>
          <w:cantSplit/>
        </w:trPr>
        <w:tc>
          <w:tcPr>
            <w:tcW w:w="0" w:type="auto"/>
            <w:vMerge/>
            <w:shd w:val="clear" w:color="auto" w:fill="auto"/>
          </w:tcPr>
          <w:p w14:paraId="53480E8D" w14:textId="77777777" w:rsidR="008B4DF8" w:rsidRPr="00C1603D" w:rsidRDefault="008B4DF8" w:rsidP="00C46323">
            <w:pPr>
              <w:pStyle w:val="72TabletextTablesTableFigureBoxstyles"/>
              <w:rPr>
                <w:lang w:eastAsia="en-GB"/>
              </w:rPr>
            </w:pPr>
          </w:p>
        </w:tc>
        <w:tc>
          <w:tcPr>
            <w:tcW w:w="0" w:type="auto"/>
            <w:shd w:val="clear" w:color="auto" w:fill="auto"/>
          </w:tcPr>
          <w:p w14:paraId="0E632B24" w14:textId="77777777" w:rsidR="008B4DF8" w:rsidRPr="00C1603D" w:rsidRDefault="008B4DF8" w:rsidP="00C46323">
            <w:pPr>
              <w:pStyle w:val="72TabletextTablesTableFigureBoxstyles"/>
              <w:rPr>
                <w:lang w:eastAsia="en-GB"/>
              </w:rPr>
            </w:pPr>
            <w:r w:rsidRPr="00C1603D">
              <w:t>0.0038</w:t>
            </w:r>
          </w:p>
        </w:tc>
        <w:tc>
          <w:tcPr>
            <w:tcW w:w="0" w:type="auto"/>
            <w:shd w:val="clear" w:color="auto" w:fill="auto"/>
          </w:tcPr>
          <w:p w14:paraId="0D7AB77B" w14:textId="77777777" w:rsidR="008B4DF8" w:rsidRPr="00C1603D" w:rsidRDefault="008B4DF8" w:rsidP="00C46323">
            <w:pPr>
              <w:pStyle w:val="72TabletextTablesTableFigureBoxstyles"/>
              <w:rPr>
                <w:lang w:eastAsia="en-GB"/>
              </w:rPr>
            </w:pPr>
            <w:r w:rsidRPr="00C1603D">
              <w:rPr>
                <w:lang w:eastAsia="en-GB"/>
              </w:rPr>
              <w:t>94</w:t>
            </w:r>
          </w:p>
        </w:tc>
        <w:tc>
          <w:tcPr>
            <w:tcW w:w="0" w:type="auto"/>
            <w:shd w:val="clear" w:color="auto" w:fill="auto"/>
          </w:tcPr>
          <w:p w14:paraId="37DDB463" w14:textId="77777777" w:rsidR="008B4DF8" w:rsidRPr="00C1603D" w:rsidRDefault="008B4DF8" w:rsidP="00C46323">
            <w:pPr>
              <w:pStyle w:val="72TabletextTablesTableFigureBoxstyles"/>
              <w:rPr>
                <w:lang w:eastAsia="en-GB"/>
              </w:rPr>
            </w:pPr>
            <w:r w:rsidRPr="00C1603D">
              <w:rPr>
                <w:lang w:eastAsia="en-GB"/>
              </w:rPr>
              <w:t>9179</w:t>
            </w:r>
          </w:p>
        </w:tc>
        <w:tc>
          <w:tcPr>
            <w:tcW w:w="0" w:type="auto"/>
            <w:shd w:val="clear" w:color="auto" w:fill="auto"/>
          </w:tcPr>
          <w:p w14:paraId="4F5E177A" w14:textId="77777777" w:rsidR="008B4DF8" w:rsidRPr="00C1603D" w:rsidRDefault="008B4DF8" w:rsidP="00C46323">
            <w:pPr>
              <w:pStyle w:val="72TabletextTablesTableFigureBoxstyles"/>
              <w:rPr>
                <w:lang w:eastAsia="en-GB"/>
              </w:rPr>
            </w:pPr>
            <w:r w:rsidRPr="00C1603D">
              <w:rPr>
                <w:lang w:eastAsia="en-GB"/>
              </w:rPr>
              <w:t>6</w:t>
            </w:r>
          </w:p>
        </w:tc>
        <w:tc>
          <w:tcPr>
            <w:tcW w:w="0" w:type="auto"/>
            <w:shd w:val="clear" w:color="auto" w:fill="auto"/>
          </w:tcPr>
          <w:p w14:paraId="67B7712B" w14:textId="77777777" w:rsidR="008B4DF8" w:rsidRPr="00C1603D" w:rsidRDefault="008B4DF8" w:rsidP="00C46323">
            <w:pPr>
              <w:pStyle w:val="72TabletextTablesTableFigureBoxstyles"/>
              <w:rPr>
                <w:lang w:eastAsia="en-GB"/>
              </w:rPr>
            </w:pPr>
            <w:r w:rsidRPr="00C1603D">
              <w:rPr>
                <w:lang w:eastAsia="en-GB"/>
              </w:rPr>
              <w:t>721</w:t>
            </w:r>
          </w:p>
        </w:tc>
        <w:tc>
          <w:tcPr>
            <w:tcW w:w="0" w:type="auto"/>
            <w:shd w:val="clear" w:color="auto" w:fill="auto"/>
          </w:tcPr>
          <w:p w14:paraId="037D7443" w14:textId="24FA25FC" w:rsidR="008B4DF8" w:rsidRPr="00C1603D" w:rsidRDefault="008B4DF8" w:rsidP="00C46323">
            <w:pPr>
              <w:pStyle w:val="72TabletextTablesTableFigureBoxstyles"/>
              <w:rPr>
                <w:lang w:eastAsia="en-GB"/>
              </w:rPr>
            </w:pPr>
            <w:r w:rsidRPr="00C1603D">
              <w:rPr>
                <w:lang w:eastAsia="en-GB"/>
              </w:rPr>
              <w:t>93.5</w:t>
            </w:r>
          </w:p>
        </w:tc>
        <w:tc>
          <w:tcPr>
            <w:tcW w:w="0" w:type="auto"/>
            <w:shd w:val="clear" w:color="auto" w:fill="auto"/>
          </w:tcPr>
          <w:p w14:paraId="7EE1E88E" w14:textId="2B8FFE94" w:rsidR="008B4DF8" w:rsidRPr="00C1603D" w:rsidRDefault="008B4DF8" w:rsidP="00C46323">
            <w:pPr>
              <w:pStyle w:val="72TabletextTablesTableFigureBoxstyles"/>
              <w:rPr>
                <w:lang w:eastAsia="en-GB"/>
              </w:rPr>
            </w:pPr>
            <w:r w:rsidRPr="00C1603D">
              <w:rPr>
                <w:lang w:eastAsia="en-GB"/>
              </w:rPr>
              <w:t>7.3</w:t>
            </w:r>
          </w:p>
        </w:tc>
        <w:tc>
          <w:tcPr>
            <w:tcW w:w="0" w:type="auto"/>
            <w:shd w:val="clear" w:color="auto" w:fill="auto"/>
          </w:tcPr>
          <w:p w14:paraId="3BA394F5" w14:textId="4E2638ED" w:rsidR="008B4DF8" w:rsidRPr="00C1603D" w:rsidRDefault="008B4DF8" w:rsidP="00C46323">
            <w:pPr>
              <w:pStyle w:val="72TabletextTablesTableFigureBoxstyles"/>
              <w:rPr>
                <w:lang w:eastAsia="en-GB"/>
              </w:rPr>
            </w:pPr>
            <w:r w:rsidRPr="00C1603D">
              <w:rPr>
                <w:lang w:eastAsia="en-GB"/>
              </w:rPr>
              <w:t>1.0</w:t>
            </w:r>
          </w:p>
        </w:tc>
        <w:tc>
          <w:tcPr>
            <w:tcW w:w="0" w:type="auto"/>
            <w:shd w:val="clear" w:color="auto" w:fill="auto"/>
          </w:tcPr>
          <w:p w14:paraId="0D966122" w14:textId="2B62A8AD" w:rsidR="008B4DF8" w:rsidRPr="00C1603D" w:rsidRDefault="008B4DF8" w:rsidP="00C46323">
            <w:pPr>
              <w:pStyle w:val="72TabletextTablesTableFigureBoxstyles"/>
              <w:rPr>
                <w:lang w:eastAsia="en-GB"/>
              </w:rPr>
            </w:pPr>
            <w:r w:rsidRPr="00C1603D">
              <w:rPr>
                <w:lang w:eastAsia="en-GB"/>
              </w:rPr>
              <w:t>99.1</w:t>
            </w:r>
          </w:p>
        </w:tc>
        <w:tc>
          <w:tcPr>
            <w:tcW w:w="0" w:type="auto"/>
            <w:shd w:val="clear" w:color="auto" w:fill="auto"/>
          </w:tcPr>
          <w:p w14:paraId="5D191EEE" w14:textId="77777777" w:rsidR="008B4DF8" w:rsidRPr="00C1603D" w:rsidRDefault="008B4DF8" w:rsidP="00C46323">
            <w:pPr>
              <w:pStyle w:val="72TabletextTablesTableFigureBoxstyles"/>
              <w:rPr>
                <w:lang w:eastAsia="en-GB"/>
              </w:rPr>
            </w:pPr>
            <w:r w:rsidRPr="00C1603D">
              <w:rPr>
                <w:lang w:eastAsia="en-GB"/>
              </w:rPr>
              <w:t>6.5</w:t>
            </w:r>
          </w:p>
        </w:tc>
      </w:tr>
      <w:tr w:rsidR="00C46323" w:rsidRPr="00C1603D" w14:paraId="76FE77C0" w14:textId="77777777" w:rsidTr="00C46323">
        <w:trPr>
          <w:cantSplit/>
        </w:trPr>
        <w:tc>
          <w:tcPr>
            <w:tcW w:w="0" w:type="auto"/>
            <w:vMerge/>
            <w:shd w:val="clear" w:color="auto" w:fill="auto"/>
          </w:tcPr>
          <w:p w14:paraId="37510513" w14:textId="77777777" w:rsidR="008B4DF8" w:rsidRPr="00C1603D" w:rsidRDefault="008B4DF8" w:rsidP="00C46323">
            <w:pPr>
              <w:pStyle w:val="72TabletextTablesTableFigureBoxstyles"/>
              <w:rPr>
                <w:lang w:eastAsia="en-GB"/>
              </w:rPr>
            </w:pPr>
          </w:p>
        </w:tc>
        <w:tc>
          <w:tcPr>
            <w:tcW w:w="0" w:type="auto"/>
            <w:shd w:val="clear" w:color="auto" w:fill="auto"/>
          </w:tcPr>
          <w:p w14:paraId="3A3C738F" w14:textId="77777777" w:rsidR="008B4DF8" w:rsidRPr="00C1603D" w:rsidRDefault="008B4DF8" w:rsidP="00C46323">
            <w:pPr>
              <w:pStyle w:val="72TabletextTablesTableFigureBoxstyles"/>
              <w:rPr>
                <w:lang w:eastAsia="en-GB"/>
              </w:rPr>
            </w:pPr>
            <w:r w:rsidRPr="00C1603D">
              <w:t>0.0042</w:t>
            </w:r>
          </w:p>
        </w:tc>
        <w:tc>
          <w:tcPr>
            <w:tcW w:w="0" w:type="auto"/>
            <w:shd w:val="clear" w:color="auto" w:fill="auto"/>
          </w:tcPr>
          <w:p w14:paraId="3C29FDA1" w14:textId="77777777" w:rsidR="008B4DF8" w:rsidRPr="00C1603D" w:rsidRDefault="008B4DF8" w:rsidP="00C46323">
            <w:pPr>
              <w:pStyle w:val="72TabletextTablesTableFigureBoxstyles"/>
              <w:rPr>
                <w:lang w:eastAsia="en-GB"/>
              </w:rPr>
            </w:pPr>
            <w:r w:rsidRPr="00C1603D">
              <w:rPr>
                <w:lang w:eastAsia="en-GB"/>
              </w:rPr>
              <w:t>75</w:t>
            </w:r>
          </w:p>
        </w:tc>
        <w:tc>
          <w:tcPr>
            <w:tcW w:w="0" w:type="auto"/>
            <w:shd w:val="clear" w:color="auto" w:fill="auto"/>
          </w:tcPr>
          <w:p w14:paraId="31F3EAAC" w14:textId="77777777" w:rsidR="008B4DF8" w:rsidRPr="00C1603D" w:rsidRDefault="008B4DF8" w:rsidP="00C46323">
            <w:pPr>
              <w:pStyle w:val="72TabletextTablesTableFigureBoxstyles"/>
              <w:rPr>
                <w:lang w:eastAsia="en-GB"/>
              </w:rPr>
            </w:pPr>
            <w:r w:rsidRPr="00C1603D">
              <w:rPr>
                <w:lang w:eastAsia="en-GB"/>
              </w:rPr>
              <w:t>6297</w:t>
            </w:r>
          </w:p>
        </w:tc>
        <w:tc>
          <w:tcPr>
            <w:tcW w:w="0" w:type="auto"/>
            <w:shd w:val="clear" w:color="auto" w:fill="auto"/>
          </w:tcPr>
          <w:p w14:paraId="757E9283" w14:textId="77777777" w:rsidR="008B4DF8" w:rsidRPr="00C1603D" w:rsidRDefault="008B4DF8" w:rsidP="00C46323">
            <w:pPr>
              <w:pStyle w:val="72TabletextTablesTableFigureBoxstyles"/>
              <w:rPr>
                <w:lang w:eastAsia="en-GB"/>
              </w:rPr>
            </w:pPr>
            <w:r w:rsidRPr="00C1603D">
              <w:rPr>
                <w:lang w:eastAsia="en-GB"/>
              </w:rPr>
              <w:t>25</w:t>
            </w:r>
          </w:p>
        </w:tc>
        <w:tc>
          <w:tcPr>
            <w:tcW w:w="0" w:type="auto"/>
            <w:shd w:val="clear" w:color="auto" w:fill="auto"/>
          </w:tcPr>
          <w:p w14:paraId="13C7971D" w14:textId="77777777" w:rsidR="008B4DF8" w:rsidRPr="00C1603D" w:rsidRDefault="008B4DF8" w:rsidP="00C46323">
            <w:pPr>
              <w:pStyle w:val="72TabletextTablesTableFigureBoxstyles"/>
              <w:rPr>
                <w:lang w:eastAsia="en-GB"/>
              </w:rPr>
            </w:pPr>
            <w:r w:rsidRPr="00C1603D">
              <w:rPr>
                <w:lang w:eastAsia="en-GB"/>
              </w:rPr>
              <w:t>3603</w:t>
            </w:r>
          </w:p>
        </w:tc>
        <w:tc>
          <w:tcPr>
            <w:tcW w:w="0" w:type="auto"/>
            <w:shd w:val="clear" w:color="auto" w:fill="auto"/>
          </w:tcPr>
          <w:p w14:paraId="6AFD002F" w14:textId="02EDC0C1" w:rsidR="008B4DF8" w:rsidRPr="00C1603D" w:rsidRDefault="008B4DF8" w:rsidP="00C46323">
            <w:pPr>
              <w:pStyle w:val="72TabletextTablesTableFigureBoxstyles"/>
              <w:rPr>
                <w:lang w:eastAsia="en-GB"/>
              </w:rPr>
            </w:pPr>
            <w:r w:rsidRPr="00C1603D">
              <w:rPr>
                <w:lang w:eastAsia="en-GB"/>
              </w:rPr>
              <w:t>74.6</w:t>
            </w:r>
          </w:p>
        </w:tc>
        <w:tc>
          <w:tcPr>
            <w:tcW w:w="0" w:type="auto"/>
            <w:shd w:val="clear" w:color="auto" w:fill="auto"/>
          </w:tcPr>
          <w:p w14:paraId="06FD0450" w14:textId="76085FA9" w:rsidR="008B4DF8" w:rsidRPr="00C1603D" w:rsidRDefault="008B4DF8" w:rsidP="00C46323">
            <w:pPr>
              <w:pStyle w:val="72TabletextTablesTableFigureBoxstyles"/>
              <w:rPr>
                <w:lang w:eastAsia="en-GB"/>
              </w:rPr>
            </w:pPr>
            <w:r w:rsidRPr="00C1603D">
              <w:rPr>
                <w:lang w:eastAsia="en-GB"/>
              </w:rPr>
              <w:t>36.4</w:t>
            </w:r>
          </w:p>
        </w:tc>
        <w:tc>
          <w:tcPr>
            <w:tcW w:w="0" w:type="auto"/>
            <w:shd w:val="clear" w:color="auto" w:fill="auto"/>
          </w:tcPr>
          <w:p w14:paraId="339B20A5" w14:textId="3A4AD567" w:rsidR="008B4DF8" w:rsidRPr="00C1603D" w:rsidRDefault="008B4DF8" w:rsidP="00C46323">
            <w:pPr>
              <w:pStyle w:val="72TabletextTablesTableFigureBoxstyles"/>
              <w:rPr>
                <w:lang w:eastAsia="en-GB"/>
              </w:rPr>
            </w:pPr>
            <w:r w:rsidRPr="00C1603D">
              <w:rPr>
                <w:lang w:eastAsia="en-GB"/>
              </w:rPr>
              <w:t>1.2</w:t>
            </w:r>
          </w:p>
        </w:tc>
        <w:tc>
          <w:tcPr>
            <w:tcW w:w="0" w:type="auto"/>
            <w:shd w:val="clear" w:color="auto" w:fill="auto"/>
          </w:tcPr>
          <w:p w14:paraId="61401A87" w14:textId="6BB9146D" w:rsidR="008B4DF8" w:rsidRPr="00C1603D" w:rsidRDefault="008B4DF8" w:rsidP="00C46323">
            <w:pPr>
              <w:pStyle w:val="72TabletextTablesTableFigureBoxstyles"/>
              <w:rPr>
                <w:lang w:eastAsia="en-GB"/>
              </w:rPr>
            </w:pPr>
            <w:r w:rsidRPr="00C1603D">
              <w:rPr>
                <w:lang w:eastAsia="en-GB"/>
              </w:rPr>
              <w:t>99.3</w:t>
            </w:r>
          </w:p>
        </w:tc>
        <w:tc>
          <w:tcPr>
            <w:tcW w:w="0" w:type="auto"/>
            <w:shd w:val="clear" w:color="auto" w:fill="auto"/>
          </w:tcPr>
          <w:p w14:paraId="73469CE8" w14:textId="77777777" w:rsidR="008B4DF8" w:rsidRPr="00C1603D" w:rsidRDefault="008B4DF8" w:rsidP="00C46323">
            <w:pPr>
              <w:pStyle w:val="72TabletextTablesTableFigureBoxstyles"/>
              <w:rPr>
                <w:lang w:eastAsia="en-GB"/>
              </w:rPr>
            </w:pPr>
            <w:r w:rsidRPr="00C1603D">
              <w:rPr>
                <w:lang w:eastAsia="en-GB"/>
              </w:rPr>
              <w:t>25.4</w:t>
            </w:r>
          </w:p>
        </w:tc>
      </w:tr>
      <w:tr w:rsidR="00C46323" w:rsidRPr="00C1603D" w14:paraId="11C39A31" w14:textId="77777777" w:rsidTr="00C46323">
        <w:trPr>
          <w:cantSplit/>
        </w:trPr>
        <w:tc>
          <w:tcPr>
            <w:tcW w:w="0" w:type="auto"/>
            <w:vMerge/>
            <w:shd w:val="clear" w:color="auto" w:fill="auto"/>
          </w:tcPr>
          <w:p w14:paraId="1B44EA2D" w14:textId="77777777" w:rsidR="008B4DF8" w:rsidRPr="00C1603D" w:rsidRDefault="008B4DF8" w:rsidP="00C46323">
            <w:pPr>
              <w:pStyle w:val="72TabletextTablesTableFigureBoxstyles"/>
              <w:rPr>
                <w:lang w:eastAsia="en-GB"/>
              </w:rPr>
            </w:pPr>
          </w:p>
        </w:tc>
        <w:tc>
          <w:tcPr>
            <w:tcW w:w="0" w:type="auto"/>
            <w:shd w:val="clear" w:color="auto" w:fill="auto"/>
          </w:tcPr>
          <w:p w14:paraId="3DD889B4" w14:textId="77777777" w:rsidR="008B4DF8" w:rsidRPr="00C1603D" w:rsidRDefault="008B4DF8" w:rsidP="00C46323">
            <w:pPr>
              <w:pStyle w:val="72TabletextTablesTableFigureBoxstyles"/>
              <w:rPr>
                <w:lang w:eastAsia="en-GB"/>
              </w:rPr>
            </w:pPr>
            <w:r w:rsidRPr="00C1603D">
              <w:t>0.0077</w:t>
            </w:r>
          </w:p>
        </w:tc>
        <w:tc>
          <w:tcPr>
            <w:tcW w:w="0" w:type="auto"/>
            <w:shd w:val="clear" w:color="auto" w:fill="auto"/>
          </w:tcPr>
          <w:p w14:paraId="37279190" w14:textId="77777777" w:rsidR="008B4DF8" w:rsidRPr="00C1603D" w:rsidRDefault="008B4DF8" w:rsidP="00C46323">
            <w:pPr>
              <w:pStyle w:val="72TabletextTablesTableFigureBoxstyles"/>
              <w:rPr>
                <w:lang w:eastAsia="en-GB"/>
              </w:rPr>
            </w:pPr>
            <w:r w:rsidRPr="00C1603D">
              <w:rPr>
                <w:lang w:eastAsia="en-GB"/>
              </w:rPr>
              <w:t>13</w:t>
            </w:r>
          </w:p>
        </w:tc>
        <w:tc>
          <w:tcPr>
            <w:tcW w:w="0" w:type="auto"/>
            <w:shd w:val="clear" w:color="auto" w:fill="auto"/>
          </w:tcPr>
          <w:p w14:paraId="04080C9F" w14:textId="77777777" w:rsidR="008B4DF8" w:rsidRPr="00C1603D" w:rsidRDefault="008B4DF8" w:rsidP="00C46323">
            <w:pPr>
              <w:pStyle w:val="72TabletextTablesTableFigureBoxstyles"/>
              <w:rPr>
                <w:lang w:eastAsia="en-GB"/>
              </w:rPr>
            </w:pPr>
            <w:r w:rsidRPr="00C1603D">
              <w:rPr>
                <w:lang w:eastAsia="en-GB"/>
              </w:rPr>
              <w:t>402</w:t>
            </w:r>
          </w:p>
        </w:tc>
        <w:tc>
          <w:tcPr>
            <w:tcW w:w="0" w:type="auto"/>
            <w:shd w:val="clear" w:color="auto" w:fill="auto"/>
          </w:tcPr>
          <w:p w14:paraId="43D8D1EE" w14:textId="77777777" w:rsidR="008B4DF8" w:rsidRPr="00C1603D" w:rsidRDefault="008B4DF8" w:rsidP="00C46323">
            <w:pPr>
              <w:pStyle w:val="72TabletextTablesTableFigureBoxstyles"/>
              <w:rPr>
                <w:lang w:eastAsia="en-GB"/>
              </w:rPr>
            </w:pPr>
            <w:r w:rsidRPr="00C1603D">
              <w:rPr>
                <w:lang w:eastAsia="en-GB"/>
              </w:rPr>
              <w:t>87</w:t>
            </w:r>
          </w:p>
        </w:tc>
        <w:tc>
          <w:tcPr>
            <w:tcW w:w="0" w:type="auto"/>
            <w:shd w:val="clear" w:color="auto" w:fill="auto"/>
          </w:tcPr>
          <w:p w14:paraId="6FFA6AB4" w14:textId="77777777" w:rsidR="008B4DF8" w:rsidRPr="00C1603D" w:rsidRDefault="008B4DF8" w:rsidP="00C46323">
            <w:pPr>
              <w:pStyle w:val="72TabletextTablesTableFigureBoxstyles"/>
              <w:rPr>
                <w:lang w:eastAsia="en-GB"/>
              </w:rPr>
            </w:pPr>
            <w:r w:rsidRPr="00C1603D">
              <w:rPr>
                <w:lang w:eastAsia="en-GB"/>
              </w:rPr>
              <w:t>9498</w:t>
            </w:r>
          </w:p>
        </w:tc>
        <w:tc>
          <w:tcPr>
            <w:tcW w:w="0" w:type="auto"/>
            <w:shd w:val="clear" w:color="auto" w:fill="auto"/>
          </w:tcPr>
          <w:p w14:paraId="74DC7406" w14:textId="2646F030" w:rsidR="008B4DF8" w:rsidRPr="00C1603D" w:rsidRDefault="008B4DF8" w:rsidP="00C46323">
            <w:pPr>
              <w:pStyle w:val="72TabletextTablesTableFigureBoxstyles"/>
              <w:rPr>
                <w:lang w:eastAsia="en-GB"/>
              </w:rPr>
            </w:pPr>
            <w:r w:rsidRPr="00C1603D">
              <w:rPr>
                <w:lang w:eastAsia="en-GB"/>
              </w:rPr>
              <w:t>12.6</w:t>
            </w:r>
          </w:p>
        </w:tc>
        <w:tc>
          <w:tcPr>
            <w:tcW w:w="0" w:type="auto"/>
            <w:shd w:val="clear" w:color="auto" w:fill="auto"/>
          </w:tcPr>
          <w:p w14:paraId="485BF51A" w14:textId="0A791E0F" w:rsidR="008B4DF8" w:rsidRPr="00C1603D" w:rsidRDefault="008B4DF8" w:rsidP="00C46323">
            <w:pPr>
              <w:pStyle w:val="72TabletextTablesTableFigureBoxstyles"/>
              <w:rPr>
                <w:lang w:eastAsia="en-GB"/>
              </w:rPr>
            </w:pPr>
            <w:r w:rsidRPr="00C1603D">
              <w:rPr>
                <w:lang w:eastAsia="en-GB"/>
              </w:rPr>
              <w:t>95.9</w:t>
            </w:r>
          </w:p>
        </w:tc>
        <w:tc>
          <w:tcPr>
            <w:tcW w:w="0" w:type="auto"/>
            <w:shd w:val="clear" w:color="auto" w:fill="auto"/>
          </w:tcPr>
          <w:p w14:paraId="0AD6C815" w14:textId="6382D6E6" w:rsidR="008B4DF8" w:rsidRPr="00C1603D" w:rsidRDefault="008B4DF8" w:rsidP="00C46323">
            <w:pPr>
              <w:pStyle w:val="72TabletextTablesTableFigureBoxstyles"/>
              <w:rPr>
                <w:lang w:eastAsia="en-GB"/>
              </w:rPr>
            </w:pPr>
            <w:r w:rsidRPr="00C1603D">
              <w:rPr>
                <w:lang w:eastAsia="en-GB"/>
              </w:rPr>
              <w:t>3.0</w:t>
            </w:r>
          </w:p>
        </w:tc>
        <w:tc>
          <w:tcPr>
            <w:tcW w:w="0" w:type="auto"/>
            <w:shd w:val="clear" w:color="auto" w:fill="auto"/>
          </w:tcPr>
          <w:p w14:paraId="6CC674BD" w14:textId="2D7B3143" w:rsidR="008B4DF8" w:rsidRPr="00C1603D" w:rsidRDefault="008B4DF8" w:rsidP="00C46323">
            <w:pPr>
              <w:pStyle w:val="72TabletextTablesTableFigureBoxstyles"/>
              <w:rPr>
                <w:lang w:eastAsia="en-GB"/>
              </w:rPr>
            </w:pPr>
            <w:r w:rsidRPr="00C1603D">
              <w:rPr>
                <w:lang w:eastAsia="en-GB"/>
              </w:rPr>
              <w:t>99.1</w:t>
            </w:r>
          </w:p>
        </w:tc>
        <w:tc>
          <w:tcPr>
            <w:tcW w:w="0" w:type="auto"/>
            <w:shd w:val="clear" w:color="auto" w:fill="auto"/>
          </w:tcPr>
          <w:p w14:paraId="14796FD2" w14:textId="77777777" w:rsidR="008B4DF8" w:rsidRPr="00C1603D" w:rsidRDefault="008B4DF8" w:rsidP="00C46323">
            <w:pPr>
              <w:pStyle w:val="72TabletextTablesTableFigureBoxstyles"/>
              <w:rPr>
                <w:lang w:eastAsia="en-GB"/>
              </w:rPr>
            </w:pPr>
            <w:r w:rsidRPr="00C1603D">
              <w:rPr>
                <w:lang w:eastAsia="en-GB"/>
              </w:rPr>
              <w:t>87.4</w:t>
            </w:r>
          </w:p>
        </w:tc>
      </w:tr>
      <w:tr w:rsidR="00C46323" w:rsidRPr="00C1603D" w14:paraId="0C3E0815" w14:textId="77777777" w:rsidTr="00C46323">
        <w:trPr>
          <w:cantSplit/>
        </w:trPr>
        <w:tc>
          <w:tcPr>
            <w:tcW w:w="0" w:type="auto"/>
            <w:vMerge/>
            <w:shd w:val="clear" w:color="auto" w:fill="auto"/>
          </w:tcPr>
          <w:p w14:paraId="17FF078B" w14:textId="77777777" w:rsidR="008B4DF8" w:rsidRPr="00C1603D" w:rsidRDefault="008B4DF8" w:rsidP="00C46323">
            <w:pPr>
              <w:pStyle w:val="72TabletextTablesTableFigureBoxstyles"/>
              <w:rPr>
                <w:lang w:eastAsia="en-GB"/>
              </w:rPr>
            </w:pPr>
          </w:p>
        </w:tc>
        <w:tc>
          <w:tcPr>
            <w:tcW w:w="0" w:type="auto"/>
            <w:shd w:val="clear" w:color="auto" w:fill="auto"/>
          </w:tcPr>
          <w:p w14:paraId="2DD12CC0" w14:textId="77777777" w:rsidR="008B4DF8" w:rsidRPr="00C1603D" w:rsidRDefault="008B4DF8" w:rsidP="00C46323">
            <w:pPr>
              <w:pStyle w:val="72TabletextTablesTableFigureBoxstyles"/>
              <w:rPr>
                <w:lang w:eastAsia="en-GB"/>
              </w:rPr>
            </w:pPr>
            <w:r w:rsidRPr="00C1603D">
              <w:t>0.0170</w:t>
            </w:r>
          </w:p>
        </w:tc>
        <w:tc>
          <w:tcPr>
            <w:tcW w:w="0" w:type="auto"/>
            <w:shd w:val="clear" w:color="auto" w:fill="auto"/>
          </w:tcPr>
          <w:p w14:paraId="4CAE7FA4" w14:textId="77777777" w:rsidR="008B4DF8" w:rsidRPr="00C1603D" w:rsidRDefault="008B4DF8" w:rsidP="00C46323">
            <w:pPr>
              <w:pStyle w:val="72TabletextTablesTableFigureBoxstyles"/>
              <w:rPr>
                <w:lang w:eastAsia="en-GB"/>
              </w:rPr>
            </w:pPr>
            <w:r w:rsidRPr="00C1603D">
              <w:rPr>
                <w:lang w:eastAsia="en-GB"/>
              </w:rPr>
              <w:t>10</w:t>
            </w:r>
          </w:p>
        </w:tc>
        <w:tc>
          <w:tcPr>
            <w:tcW w:w="0" w:type="auto"/>
            <w:shd w:val="clear" w:color="auto" w:fill="auto"/>
          </w:tcPr>
          <w:p w14:paraId="5D6391C4" w14:textId="77777777" w:rsidR="008B4DF8" w:rsidRPr="00C1603D" w:rsidRDefault="008B4DF8" w:rsidP="00C46323">
            <w:pPr>
              <w:pStyle w:val="72TabletextTablesTableFigureBoxstyles"/>
              <w:rPr>
                <w:lang w:eastAsia="en-GB"/>
              </w:rPr>
            </w:pPr>
            <w:r w:rsidRPr="00C1603D">
              <w:rPr>
                <w:lang w:eastAsia="en-GB"/>
              </w:rPr>
              <w:t>159</w:t>
            </w:r>
          </w:p>
        </w:tc>
        <w:tc>
          <w:tcPr>
            <w:tcW w:w="0" w:type="auto"/>
            <w:shd w:val="clear" w:color="auto" w:fill="auto"/>
          </w:tcPr>
          <w:p w14:paraId="4FDBE837" w14:textId="77777777" w:rsidR="008B4DF8" w:rsidRPr="00C1603D" w:rsidRDefault="008B4DF8" w:rsidP="00C46323">
            <w:pPr>
              <w:pStyle w:val="72TabletextTablesTableFigureBoxstyles"/>
              <w:rPr>
                <w:lang w:eastAsia="en-GB"/>
              </w:rPr>
            </w:pPr>
            <w:r w:rsidRPr="00C1603D">
              <w:rPr>
                <w:lang w:eastAsia="en-GB"/>
              </w:rPr>
              <w:t>90</w:t>
            </w:r>
          </w:p>
        </w:tc>
        <w:tc>
          <w:tcPr>
            <w:tcW w:w="0" w:type="auto"/>
            <w:shd w:val="clear" w:color="auto" w:fill="auto"/>
          </w:tcPr>
          <w:p w14:paraId="426861EB" w14:textId="77777777" w:rsidR="008B4DF8" w:rsidRPr="00C1603D" w:rsidRDefault="008B4DF8" w:rsidP="00C46323">
            <w:pPr>
              <w:pStyle w:val="72TabletextTablesTableFigureBoxstyles"/>
              <w:rPr>
                <w:lang w:eastAsia="en-GB"/>
              </w:rPr>
            </w:pPr>
            <w:r w:rsidRPr="00C1603D">
              <w:rPr>
                <w:lang w:eastAsia="en-GB"/>
              </w:rPr>
              <w:t>9741</w:t>
            </w:r>
          </w:p>
        </w:tc>
        <w:tc>
          <w:tcPr>
            <w:tcW w:w="0" w:type="auto"/>
            <w:shd w:val="clear" w:color="auto" w:fill="auto"/>
          </w:tcPr>
          <w:p w14:paraId="39814957" w14:textId="6A1DACE8" w:rsidR="008B4DF8" w:rsidRPr="00C1603D" w:rsidRDefault="008B4DF8" w:rsidP="00C46323">
            <w:pPr>
              <w:pStyle w:val="72TabletextTablesTableFigureBoxstyles"/>
              <w:rPr>
                <w:lang w:eastAsia="en-GB"/>
              </w:rPr>
            </w:pPr>
            <w:r w:rsidRPr="00C1603D">
              <w:rPr>
                <w:lang w:eastAsia="en-GB"/>
              </w:rPr>
              <w:t>10.0</w:t>
            </w:r>
          </w:p>
        </w:tc>
        <w:tc>
          <w:tcPr>
            <w:tcW w:w="0" w:type="auto"/>
            <w:shd w:val="clear" w:color="auto" w:fill="auto"/>
          </w:tcPr>
          <w:p w14:paraId="2FE767B2" w14:textId="0F7F2AC2" w:rsidR="008B4DF8" w:rsidRPr="00C1603D" w:rsidRDefault="008B4DF8" w:rsidP="00C46323">
            <w:pPr>
              <w:pStyle w:val="72TabletextTablesTableFigureBoxstyles"/>
              <w:rPr>
                <w:lang w:eastAsia="en-GB"/>
              </w:rPr>
            </w:pPr>
            <w:r w:rsidRPr="00C1603D">
              <w:rPr>
                <w:lang w:eastAsia="en-GB"/>
              </w:rPr>
              <w:t>98.4</w:t>
            </w:r>
          </w:p>
        </w:tc>
        <w:tc>
          <w:tcPr>
            <w:tcW w:w="0" w:type="auto"/>
            <w:shd w:val="clear" w:color="auto" w:fill="auto"/>
          </w:tcPr>
          <w:p w14:paraId="5B81F061" w14:textId="1C980C3A" w:rsidR="008B4DF8" w:rsidRPr="00C1603D" w:rsidRDefault="008B4DF8" w:rsidP="00C46323">
            <w:pPr>
              <w:pStyle w:val="72TabletextTablesTableFigureBoxstyles"/>
              <w:rPr>
                <w:lang w:eastAsia="en-GB"/>
              </w:rPr>
            </w:pPr>
            <w:r w:rsidRPr="00C1603D">
              <w:rPr>
                <w:lang w:eastAsia="en-GB"/>
              </w:rPr>
              <w:t>5.9</w:t>
            </w:r>
          </w:p>
        </w:tc>
        <w:tc>
          <w:tcPr>
            <w:tcW w:w="0" w:type="auto"/>
            <w:shd w:val="clear" w:color="auto" w:fill="auto"/>
          </w:tcPr>
          <w:p w14:paraId="22EF957A" w14:textId="1019C5F2" w:rsidR="008B4DF8" w:rsidRPr="00C1603D" w:rsidRDefault="008B4DF8" w:rsidP="00C46323">
            <w:pPr>
              <w:pStyle w:val="72TabletextTablesTableFigureBoxstyles"/>
              <w:rPr>
                <w:lang w:eastAsia="en-GB"/>
              </w:rPr>
            </w:pPr>
            <w:r w:rsidRPr="00C1603D">
              <w:rPr>
                <w:lang w:eastAsia="en-GB"/>
              </w:rPr>
              <w:t>99.1</w:t>
            </w:r>
          </w:p>
        </w:tc>
        <w:tc>
          <w:tcPr>
            <w:tcW w:w="0" w:type="auto"/>
            <w:shd w:val="clear" w:color="auto" w:fill="auto"/>
          </w:tcPr>
          <w:p w14:paraId="5C4633CC" w14:textId="77777777" w:rsidR="008B4DF8" w:rsidRPr="00C1603D" w:rsidRDefault="008B4DF8" w:rsidP="00C46323">
            <w:pPr>
              <w:pStyle w:val="72TabletextTablesTableFigureBoxstyles"/>
              <w:rPr>
                <w:lang w:eastAsia="en-GB"/>
              </w:rPr>
            </w:pPr>
            <w:r w:rsidRPr="00C1603D">
              <w:rPr>
                <w:lang w:eastAsia="en-GB"/>
              </w:rPr>
              <w:t>90</w:t>
            </w:r>
          </w:p>
        </w:tc>
      </w:tr>
      <w:tr w:rsidR="00C46323" w:rsidRPr="00C1603D" w14:paraId="57DBE3D7" w14:textId="77777777" w:rsidTr="00C46323">
        <w:trPr>
          <w:cantSplit/>
        </w:trPr>
        <w:tc>
          <w:tcPr>
            <w:tcW w:w="0" w:type="auto"/>
            <w:vMerge/>
            <w:shd w:val="clear" w:color="auto" w:fill="auto"/>
          </w:tcPr>
          <w:p w14:paraId="42C8C17B" w14:textId="77777777" w:rsidR="008B4DF8" w:rsidRPr="00C1603D" w:rsidRDefault="008B4DF8" w:rsidP="00C46323">
            <w:pPr>
              <w:pStyle w:val="72TabletextTablesTableFigureBoxstyles"/>
              <w:rPr>
                <w:lang w:eastAsia="en-GB"/>
              </w:rPr>
            </w:pPr>
          </w:p>
        </w:tc>
        <w:tc>
          <w:tcPr>
            <w:tcW w:w="0" w:type="auto"/>
            <w:shd w:val="clear" w:color="auto" w:fill="auto"/>
          </w:tcPr>
          <w:p w14:paraId="2AB359D6" w14:textId="77777777" w:rsidR="008B4DF8" w:rsidRPr="00C1603D" w:rsidRDefault="008B4DF8" w:rsidP="00C46323">
            <w:pPr>
              <w:pStyle w:val="72TabletextTablesTableFigureBoxstyles"/>
              <w:rPr>
                <w:lang w:eastAsia="en-GB"/>
              </w:rPr>
            </w:pPr>
            <w:r w:rsidRPr="00C1603D">
              <w:t>0.0800</w:t>
            </w:r>
          </w:p>
        </w:tc>
        <w:tc>
          <w:tcPr>
            <w:tcW w:w="0" w:type="auto"/>
            <w:shd w:val="clear" w:color="auto" w:fill="auto"/>
          </w:tcPr>
          <w:p w14:paraId="3D8A2B87" w14:textId="77777777" w:rsidR="008B4DF8" w:rsidRPr="00C1603D" w:rsidRDefault="008B4DF8" w:rsidP="00C46323">
            <w:pPr>
              <w:pStyle w:val="72TabletextTablesTableFigureBoxstyles"/>
              <w:rPr>
                <w:lang w:eastAsia="en-GB"/>
              </w:rPr>
            </w:pPr>
            <w:r w:rsidRPr="00C1603D">
              <w:rPr>
                <w:lang w:eastAsia="en-GB"/>
              </w:rPr>
              <w:t>5</w:t>
            </w:r>
          </w:p>
        </w:tc>
        <w:tc>
          <w:tcPr>
            <w:tcW w:w="0" w:type="auto"/>
            <w:shd w:val="clear" w:color="auto" w:fill="auto"/>
          </w:tcPr>
          <w:p w14:paraId="78B4AA23" w14:textId="77777777" w:rsidR="008B4DF8" w:rsidRPr="00C1603D" w:rsidRDefault="008B4DF8" w:rsidP="00C46323">
            <w:pPr>
              <w:pStyle w:val="72TabletextTablesTableFigureBoxstyles"/>
              <w:rPr>
                <w:lang w:eastAsia="en-GB"/>
              </w:rPr>
            </w:pPr>
            <w:r w:rsidRPr="00C1603D">
              <w:rPr>
                <w:lang w:eastAsia="en-GB"/>
              </w:rPr>
              <w:t>38</w:t>
            </w:r>
          </w:p>
        </w:tc>
        <w:tc>
          <w:tcPr>
            <w:tcW w:w="0" w:type="auto"/>
            <w:shd w:val="clear" w:color="auto" w:fill="auto"/>
          </w:tcPr>
          <w:p w14:paraId="45F00796" w14:textId="77777777" w:rsidR="008B4DF8" w:rsidRPr="00C1603D" w:rsidRDefault="008B4DF8" w:rsidP="00C46323">
            <w:pPr>
              <w:pStyle w:val="72TabletextTablesTableFigureBoxstyles"/>
              <w:rPr>
                <w:lang w:eastAsia="en-GB"/>
              </w:rPr>
            </w:pPr>
            <w:r w:rsidRPr="00C1603D">
              <w:rPr>
                <w:lang w:eastAsia="en-GB"/>
              </w:rPr>
              <w:t>95</w:t>
            </w:r>
          </w:p>
        </w:tc>
        <w:tc>
          <w:tcPr>
            <w:tcW w:w="0" w:type="auto"/>
            <w:shd w:val="clear" w:color="auto" w:fill="auto"/>
          </w:tcPr>
          <w:p w14:paraId="245FDD89" w14:textId="77777777" w:rsidR="008B4DF8" w:rsidRPr="00C1603D" w:rsidRDefault="008B4DF8" w:rsidP="00C46323">
            <w:pPr>
              <w:pStyle w:val="72TabletextTablesTableFigureBoxstyles"/>
              <w:rPr>
                <w:lang w:eastAsia="en-GB"/>
              </w:rPr>
            </w:pPr>
            <w:r w:rsidRPr="00C1603D">
              <w:rPr>
                <w:lang w:eastAsia="en-GB"/>
              </w:rPr>
              <w:t>9862</w:t>
            </w:r>
          </w:p>
        </w:tc>
        <w:tc>
          <w:tcPr>
            <w:tcW w:w="0" w:type="auto"/>
            <w:shd w:val="clear" w:color="auto" w:fill="auto"/>
          </w:tcPr>
          <w:p w14:paraId="0CC294A8" w14:textId="47CB8338" w:rsidR="008B4DF8" w:rsidRPr="00C1603D" w:rsidRDefault="008B4DF8" w:rsidP="00C46323">
            <w:pPr>
              <w:pStyle w:val="72TabletextTablesTableFigureBoxstyles"/>
              <w:rPr>
                <w:lang w:eastAsia="en-GB"/>
              </w:rPr>
            </w:pPr>
            <w:r w:rsidRPr="00C1603D">
              <w:rPr>
                <w:lang w:eastAsia="en-GB"/>
              </w:rPr>
              <w:t>5.2</w:t>
            </w:r>
          </w:p>
        </w:tc>
        <w:tc>
          <w:tcPr>
            <w:tcW w:w="0" w:type="auto"/>
            <w:shd w:val="clear" w:color="auto" w:fill="auto"/>
          </w:tcPr>
          <w:p w14:paraId="1FCDBA3D" w14:textId="6575DEEC" w:rsidR="008B4DF8" w:rsidRPr="00C1603D" w:rsidRDefault="008B4DF8" w:rsidP="00C46323">
            <w:pPr>
              <w:pStyle w:val="72TabletextTablesTableFigureBoxstyles"/>
              <w:rPr>
                <w:lang w:eastAsia="en-GB"/>
              </w:rPr>
            </w:pPr>
            <w:r w:rsidRPr="00C1603D">
              <w:rPr>
                <w:lang w:eastAsia="en-GB"/>
              </w:rPr>
              <w:t>99.6</w:t>
            </w:r>
          </w:p>
        </w:tc>
        <w:tc>
          <w:tcPr>
            <w:tcW w:w="0" w:type="auto"/>
            <w:shd w:val="clear" w:color="auto" w:fill="auto"/>
          </w:tcPr>
          <w:p w14:paraId="326E7B65" w14:textId="75F5ECEE" w:rsidR="008B4DF8" w:rsidRPr="00C1603D" w:rsidRDefault="008B4DF8" w:rsidP="00C46323">
            <w:pPr>
              <w:pStyle w:val="72TabletextTablesTableFigureBoxstyles"/>
              <w:rPr>
                <w:lang w:eastAsia="en-GB"/>
              </w:rPr>
            </w:pPr>
            <w:r w:rsidRPr="00C1603D">
              <w:rPr>
                <w:lang w:eastAsia="en-GB"/>
              </w:rPr>
              <w:t>12.1</w:t>
            </w:r>
          </w:p>
        </w:tc>
        <w:tc>
          <w:tcPr>
            <w:tcW w:w="0" w:type="auto"/>
            <w:shd w:val="clear" w:color="auto" w:fill="auto"/>
          </w:tcPr>
          <w:p w14:paraId="5380A53C" w14:textId="768F678F" w:rsidR="008B4DF8" w:rsidRPr="00C1603D" w:rsidRDefault="008B4DF8" w:rsidP="00C46323">
            <w:pPr>
              <w:pStyle w:val="72TabletextTablesTableFigureBoxstyles"/>
              <w:rPr>
                <w:lang w:eastAsia="en-GB"/>
              </w:rPr>
            </w:pPr>
            <w:r w:rsidRPr="00C1603D">
              <w:rPr>
                <w:lang w:eastAsia="en-GB"/>
              </w:rPr>
              <w:t>99.0</w:t>
            </w:r>
          </w:p>
        </w:tc>
        <w:tc>
          <w:tcPr>
            <w:tcW w:w="0" w:type="auto"/>
            <w:shd w:val="clear" w:color="auto" w:fill="auto"/>
          </w:tcPr>
          <w:p w14:paraId="094FDCF2" w14:textId="77777777" w:rsidR="008B4DF8" w:rsidRPr="00C1603D" w:rsidRDefault="008B4DF8" w:rsidP="00C46323">
            <w:pPr>
              <w:pStyle w:val="72TabletextTablesTableFigureBoxstyles"/>
              <w:rPr>
                <w:lang w:eastAsia="en-GB"/>
              </w:rPr>
            </w:pPr>
            <w:r w:rsidRPr="00C1603D">
              <w:rPr>
                <w:lang w:eastAsia="en-GB"/>
              </w:rPr>
              <w:t>94.8</w:t>
            </w:r>
          </w:p>
        </w:tc>
      </w:tr>
      <w:tr w:rsidR="00C46323" w:rsidRPr="00C1603D" w14:paraId="13A6B158" w14:textId="77777777" w:rsidTr="00C46323">
        <w:trPr>
          <w:cantSplit/>
        </w:trPr>
        <w:tc>
          <w:tcPr>
            <w:tcW w:w="0" w:type="auto"/>
            <w:vMerge w:val="restart"/>
            <w:shd w:val="clear" w:color="auto" w:fill="auto"/>
          </w:tcPr>
          <w:p w14:paraId="29C0843A" w14:textId="77777777" w:rsidR="008B4DF8" w:rsidRPr="00C1603D" w:rsidRDefault="008B4DF8" w:rsidP="00C46323">
            <w:pPr>
              <w:pStyle w:val="72TabletextTablesTableFigureBoxstyles"/>
              <w:rPr>
                <w:lang w:eastAsia="en-GB"/>
              </w:rPr>
            </w:pPr>
            <w:r w:rsidRPr="00C1603D">
              <w:rPr>
                <w:lang w:eastAsia="en-GB"/>
              </w:rPr>
              <w:t>Women</w:t>
            </w:r>
          </w:p>
        </w:tc>
        <w:tc>
          <w:tcPr>
            <w:tcW w:w="0" w:type="auto"/>
            <w:shd w:val="clear" w:color="auto" w:fill="auto"/>
          </w:tcPr>
          <w:p w14:paraId="599D65BB"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0654ADC6" w14:textId="77777777" w:rsidR="008B4DF8" w:rsidRPr="00C1603D" w:rsidRDefault="008B4DF8" w:rsidP="00C46323">
            <w:pPr>
              <w:pStyle w:val="72TabletextTablesTableFigureBoxstyles"/>
              <w:rPr>
                <w:lang w:eastAsia="en-GB"/>
              </w:rPr>
            </w:pPr>
            <w:r w:rsidRPr="00C1603D">
              <w:rPr>
                <w:lang w:eastAsia="en-GB"/>
              </w:rPr>
              <w:t>100</w:t>
            </w:r>
          </w:p>
        </w:tc>
        <w:tc>
          <w:tcPr>
            <w:tcW w:w="0" w:type="auto"/>
            <w:shd w:val="clear" w:color="auto" w:fill="auto"/>
          </w:tcPr>
          <w:p w14:paraId="799B3B8D" w14:textId="77777777" w:rsidR="008B4DF8" w:rsidRPr="00C1603D" w:rsidRDefault="008B4DF8" w:rsidP="00C46323">
            <w:pPr>
              <w:pStyle w:val="72TabletextTablesTableFigureBoxstyles"/>
              <w:rPr>
                <w:lang w:eastAsia="en-GB"/>
              </w:rPr>
            </w:pPr>
            <w:r w:rsidRPr="00C1603D">
              <w:rPr>
                <w:lang w:eastAsia="en-GB"/>
              </w:rPr>
              <w:t>9900</w:t>
            </w:r>
          </w:p>
        </w:tc>
        <w:tc>
          <w:tcPr>
            <w:tcW w:w="0" w:type="auto"/>
            <w:shd w:val="clear" w:color="auto" w:fill="auto"/>
          </w:tcPr>
          <w:p w14:paraId="53487A05"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1E7DFDF1"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6283BE25" w14:textId="7684D7F3" w:rsidR="008B4DF8" w:rsidRPr="00C1603D" w:rsidRDefault="008B4DF8" w:rsidP="00C46323">
            <w:pPr>
              <w:pStyle w:val="72TabletextTablesTableFigureBoxstyles"/>
              <w:rPr>
                <w:lang w:eastAsia="en-GB"/>
              </w:rPr>
            </w:pPr>
            <w:r w:rsidRPr="00C1603D">
              <w:rPr>
                <w:lang w:eastAsia="en-GB"/>
              </w:rPr>
              <w:t>100.0</w:t>
            </w:r>
          </w:p>
        </w:tc>
        <w:tc>
          <w:tcPr>
            <w:tcW w:w="0" w:type="auto"/>
            <w:shd w:val="clear" w:color="auto" w:fill="auto"/>
          </w:tcPr>
          <w:p w14:paraId="73228919" w14:textId="615D80FB"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0EF2875C" w14:textId="5B2A1930" w:rsidR="008B4DF8" w:rsidRPr="00C1603D" w:rsidRDefault="008B4DF8" w:rsidP="00C46323">
            <w:pPr>
              <w:pStyle w:val="72TabletextTablesTableFigureBoxstyles"/>
              <w:rPr>
                <w:lang w:eastAsia="en-GB"/>
              </w:rPr>
            </w:pPr>
            <w:r w:rsidRPr="00C1603D">
              <w:rPr>
                <w:lang w:eastAsia="en-GB"/>
              </w:rPr>
              <w:t>1.0</w:t>
            </w:r>
          </w:p>
        </w:tc>
        <w:tc>
          <w:tcPr>
            <w:tcW w:w="0" w:type="auto"/>
            <w:shd w:val="clear" w:color="auto" w:fill="auto"/>
          </w:tcPr>
          <w:p w14:paraId="093F90E5" w14:textId="77777777" w:rsidR="008B4DF8" w:rsidRPr="00C1603D" w:rsidRDefault="008B4DF8" w:rsidP="00C46323">
            <w:pPr>
              <w:pStyle w:val="72TabletextTablesTableFigureBoxstyles"/>
              <w:rPr>
                <w:lang w:eastAsia="en-GB"/>
              </w:rPr>
            </w:pPr>
            <w:r w:rsidRPr="00C1603D">
              <w:rPr>
                <w:lang w:eastAsia="en-GB"/>
              </w:rPr>
              <w:t>NA</w:t>
            </w:r>
          </w:p>
        </w:tc>
        <w:tc>
          <w:tcPr>
            <w:tcW w:w="0" w:type="auto"/>
            <w:shd w:val="clear" w:color="auto" w:fill="auto"/>
          </w:tcPr>
          <w:p w14:paraId="66A644B5" w14:textId="77777777" w:rsidR="008B4DF8" w:rsidRPr="00C1603D" w:rsidRDefault="008B4DF8" w:rsidP="00C46323">
            <w:pPr>
              <w:pStyle w:val="72TabletextTablesTableFigureBoxstyles"/>
              <w:rPr>
                <w:lang w:eastAsia="en-GB"/>
              </w:rPr>
            </w:pPr>
            <w:r w:rsidRPr="00C1603D">
              <w:rPr>
                <w:lang w:eastAsia="en-GB"/>
              </w:rPr>
              <w:t>0</w:t>
            </w:r>
          </w:p>
        </w:tc>
      </w:tr>
      <w:tr w:rsidR="00C46323" w:rsidRPr="00C1603D" w14:paraId="499BEE0C" w14:textId="77777777" w:rsidTr="00C46323">
        <w:trPr>
          <w:cantSplit/>
        </w:trPr>
        <w:tc>
          <w:tcPr>
            <w:tcW w:w="0" w:type="auto"/>
            <w:vMerge/>
            <w:shd w:val="clear" w:color="auto" w:fill="auto"/>
          </w:tcPr>
          <w:p w14:paraId="7CEE2B6C" w14:textId="77777777" w:rsidR="008B4DF8" w:rsidRPr="00C1603D" w:rsidRDefault="008B4DF8" w:rsidP="00C46323">
            <w:pPr>
              <w:pStyle w:val="72TabletextTablesTableFigureBoxstyles"/>
              <w:rPr>
                <w:lang w:eastAsia="en-GB"/>
              </w:rPr>
            </w:pPr>
          </w:p>
        </w:tc>
        <w:tc>
          <w:tcPr>
            <w:tcW w:w="0" w:type="auto"/>
            <w:shd w:val="clear" w:color="auto" w:fill="auto"/>
          </w:tcPr>
          <w:p w14:paraId="5804BFC0" w14:textId="77777777" w:rsidR="008B4DF8" w:rsidRPr="00C1603D" w:rsidRDefault="008B4DF8" w:rsidP="00C46323">
            <w:pPr>
              <w:pStyle w:val="72TabletextTablesTableFigureBoxstyles"/>
              <w:rPr>
                <w:lang w:eastAsia="en-GB"/>
              </w:rPr>
            </w:pPr>
            <w:r w:rsidRPr="00C1603D">
              <w:t>0.0053</w:t>
            </w:r>
          </w:p>
        </w:tc>
        <w:tc>
          <w:tcPr>
            <w:tcW w:w="0" w:type="auto"/>
            <w:shd w:val="clear" w:color="auto" w:fill="auto"/>
          </w:tcPr>
          <w:p w14:paraId="493D09C8" w14:textId="77777777" w:rsidR="008B4DF8" w:rsidRPr="00C1603D" w:rsidRDefault="008B4DF8" w:rsidP="00C46323">
            <w:pPr>
              <w:pStyle w:val="72TabletextTablesTableFigureBoxstyles"/>
              <w:rPr>
                <w:lang w:eastAsia="en-GB"/>
              </w:rPr>
            </w:pPr>
            <w:r w:rsidRPr="00C1603D">
              <w:rPr>
                <w:lang w:eastAsia="en-GB"/>
              </w:rPr>
              <w:t>32</w:t>
            </w:r>
          </w:p>
        </w:tc>
        <w:tc>
          <w:tcPr>
            <w:tcW w:w="0" w:type="auto"/>
            <w:shd w:val="clear" w:color="auto" w:fill="auto"/>
          </w:tcPr>
          <w:p w14:paraId="45AD201D" w14:textId="77777777" w:rsidR="008B4DF8" w:rsidRPr="00C1603D" w:rsidRDefault="008B4DF8" w:rsidP="00C46323">
            <w:pPr>
              <w:pStyle w:val="72TabletextTablesTableFigureBoxstyles"/>
              <w:rPr>
                <w:lang w:eastAsia="en-GB"/>
              </w:rPr>
            </w:pPr>
            <w:r w:rsidRPr="00C1603D">
              <w:rPr>
                <w:lang w:eastAsia="en-GB"/>
              </w:rPr>
              <w:t>2327</w:t>
            </w:r>
          </w:p>
        </w:tc>
        <w:tc>
          <w:tcPr>
            <w:tcW w:w="0" w:type="auto"/>
            <w:shd w:val="clear" w:color="auto" w:fill="auto"/>
          </w:tcPr>
          <w:p w14:paraId="1DB5C5F0" w14:textId="77777777" w:rsidR="008B4DF8" w:rsidRPr="00C1603D" w:rsidRDefault="008B4DF8" w:rsidP="00C46323">
            <w:pPr>
              <w:pStyle w:val="72TabletextTablesTableFigureBoxstyles"/>
              <w:rPr>
                <w:lang w:eastAsia="en-GB"/>
              </w:rPr>
            </w:pPr>
            <w:r w:rsidRPr="00C1603D">
              <w:rPr>
                <w:lang w:eastAsia="en-GB"/>
              </w:rPr>
              <w:t>68</w:t>
            </w:r>
          </w:p>
        </w:tc>
        <w:tc>
          <w:tcPr>
            <w:tcW w:w="0" w:type="auto"/>
            <w:shd w:val="clear" w:color="auto" w:fill="auto"/>
          </w:tcPr>
          <w:p w14:paraId="61775403" w14:textId="77777777" w:rsidR="008B4DF8" w:rsidRPr="00C1603D" w:rsidRDefault="008B4DF8" w:rsidP="00C46323">
            <w:pPr>
              <w:pStyle w:val="72TabletextTablesTableFigureBoxstyles"/>
              <w:rPr>
                <w:lang w:eastAsia="en-GB"/>
              </w:rPr>
            </w:pPr>
            <w:r w:rsidRPr="00C1603D">
              <w:rPr>
                <w:lang w:eastAsia="en-GB"/>
              </w:rPr>
              <w:t>7574</w:t>
            </w:r>
          </w:p>
        </w:tc>
        <w:tc>
          <w:tcPr>
            <w:tcW w:w="0" w:type="auto"/>
            <w:shd w:val="clear" w:color="auto" w:fill="auto"/>
          </w:tcPr>
          <w:p w14:paraId="39DEF066" w14:textId="791537E0" w:rsidR="008B4DF8" w:rsidRPr="00C1603D" w:rsidRDefault="008B4DF8" w:rsidP="00C46323">
            <w:pPr>
              <w:pStyle w:val="72TabletextTablesTableFigureBoxstyles"/>
              <w:rPr>
                <w:lang w:eastAsia="en-GB"/>
              </w:rPr>
            </w:pPr>
            <w:r w:rsidRPr="00C1603D">
              <w:rPr>
                <w:lang w:eastAsia="en-GB"/>
              </w:rPr>
              <w:t>32.2</w:t>
            </w:r>
          </w:p>
        </w:tc>
        <w:tc>
          <w:tcPr>
            <w:tcW w:w="0" w:type="auto"/>
            <w:shd w:val="clear" w:color="auto" w:fill="auto"/>
          </w:tcPr>
          <w:p w14:paraId="38B955D1" w14:textId="3E0D8CBA" w:rsidR="008B4DF8" w:rsidRPr="00C1603D" w:rsidRDefault="008B4DF8" w:rsidP="00C46323">
            <w:pPr>
              <w:pStyle w:val="72TabletextTablesTableFigureBoxstyles"/>
              <w:rPr>
                <w:lang w:eastAsia="en-GB"/>
              </w:rPr>
            </w:pPr>
            <w:r w:rsidRPr="00C1603D">
              <w:rPr>
                <w:lang w:eastAsia="en-GB"/>
              </w:rPr>
              <w:t>76.5</w:t>
            </w:r>
          </w:p>
        </w:tc>
        <w:tc>
          <w:tcPr>
            <w:tcW w:w="0" w:type="auto"/>
            <w:shd w:val="clear" w:color="auto" w:fill="auto"/>
          </w:tcPr>
          <w:p w14:paraId="391E07D2" w14:textId="28DC9B41" w:rsidR="008B4DF8" w:rsidRPr="00C1603D" w:rsidRDefault="008B4DF8" w:rsidP="00C46323">
            <w:pPr>
              <w:pStyle w:val="72TabletextTablesTableFigureBoxstyles"/>
              <w:rPr>
                <w:lang w:eastAsia="en-GB"/>
              </w:rPr>
            </w:pPr>
            <w:r w:rsidRPr="00C1603D">
              <w:rPr>
                <w:lang w:eastAsia="en-GB"/>
              </w:rPr>
              <w:t>1.4</w:t>
            </w:r>
          </w:p>
        </w:tc>
        <w:tc>
          <w:tcPr>
            <w:tcW w:w="0" w:type="auto"/>
            <w:shd w:val="clear" w:color="auto" w:fill="auto"/>
          </w:tcPr>
          <w:p w14:paraId="501ED569" w14:textId="323CE4BB" w:rsidR="008B4DF8" w:rsidRPr="00C1603D" w:rsidRDefault="008B4DF8" w:rsidP="00C46323">
            <w:pPr>
              <w:pStyle w:val="72TabletextTablesTableFigureBoxstyles"/>
              <w:rPr>
                <w:lang w:eastAsia="en-GB"/>
              </w:rPr>
            </w:pPr>
            <w:r w:rsidRPr="00C1603D">
              <w:rPr>
                <w:lang w:eastAsia="en-GB"/>
              </w:rPr>
              <w:t>99.1</w:t>
            </w:r>
          </w:p>
        </w:tc>
        <w:tc>
          <w:tcPr>
            <w:tcW w:w="0" w:type="auto"/>
            <w:shd w:val="clear" w:color="auto" w:fill="auto"/>
          </w:tcPr>
          <w:p w14:paraId="49EDF9FB" w14:textId="77777777" w:rsidR="008B4DF8" w:rsidRPr="00C1603D" w:rsidRDefault="008B4DF8" w:rsidP="00C46323">
            <w:pPr>
              <w:pStyle w:val="72TabletextTablesTableFigureBoxstyles"/>
              <w:rPr>
                <w:lang w:eastAsia="en-GB"/>
              </w:rPr>
            </w:pPr>
            <w:r w:rsidRPr="00C1603D">
              <w:rPr>
                <w:lang w:eastAsia="en-GB"/>
              </w:rPr>
              <w:t>67.8</w:t>
            </w:r>
          </w:p>
        </w:tc>
      </w:tr>
      <w:tr w:rsidR="00C46323" w:rsidRPr="00C1603D" w14:paraId="725586D5" w14:textId="77777777" w:rsidTr="00C46323">
        <w:trPr>
          <w:cantSplit/>
        </w:trPr>
        <w:tc>
          <w:tcPr>
            <w:tcW w:w="0" w:type="auto"/>
            <w:vMerge/>
            <w:shd w:val="clear" w:color="auto" w:fill="auto"/>
          </w:tcPr>
          <w:p w14:paraId="7E08105B" w14:textId="77777777" w:rsidR="008B4DF8" w:rsidRPr="00C1603D" w:rsidRDefault="008B4DF8" w:rsidP="00C46323">
            <w:pPr>
              <w:pStyle w:val="72TabletextTablesTableFigureBoxstyles"/>
              <w:rPr>
                <w:lang w:eastAsia="en-GB"/>
              </w:rPr>
            </w:pPr>
          </w:p>
        </w:tc>
        <w:tc>
          <w:tcPr>
            <w:tcW w:w="0" w:type="auto"/>
            <w:shd w:val="clear" w:color="auto" w:fill="auto"/>
          </w:tcPr>
          <w:p w14:paraId="166876A3" w14:textId="77777777" w:rsidR="008B4DF8" w:rsidRPr="00C1603D" w:rsidRDefault="008B4DF8" w:rsidP="00C46323">
            <w:pPr>
              <w:pStyle w:val="72TabletextTablesTableFigureBoxstyles"/>
              <w:rPr>
                <w:lang w:eastAsia="en-GB"/>
              </w:rPr>
            </w:pPr>
            <w:r w:rsidRPr="00C1603D">
              <w:t>0.0062</w:t>
            </w:r>
          </w:p>
        </w:tc>
        <w:tc>
          <w:tcPr>
            <w:tcW w:w="0" w:type="auto"/>
            <w:shd w:val="clear" w:color="auto" w:fill="auto"/>
          </w:tcPr>
          <w:p w14:paraId="409BFD31" w14:textId="77777777" w:rsidR="008B4DF8" w:rsidRPr="00C1603D" w:rsidRDefault="008B4DF8" w:rsidP="00C46323">
            <w:pPr>
              <w:pStyle w:val="72TabletextTablesTableFigureBoxstyles"/>
              <w:rPr>
                <w:lang w:eastAsia="en-GB"/>
              </w:rPr>
            </w:pPr>
            <w:r w:rsidRPr="00C1603D">
              <w:rPr>
                <w:lang w:eastAsia="en-GB"/>
              </w:rPr>
              <w:t>14</w:t>
            </w:r>
          </w:p>
        </w:tc>
        <w:tc>
          <w:tcPr>
            <w:tcW w:w="0" w:type="auto"/>
            <w:shd w:val="clear" w:color="auto" w:fill="auto"/>
          </w:tcPr>
          <w:p w14:paraId="3B4D208F" w14:textId="77777777" w:rsidR="008B4DF8" w:rsidRPr="00C1603D" w:rsidRDefault="008B4DF8" w:rsidP="00C46323">
            <w:pPr>
              <w:pStyle w:val="72TabletextTablesTableFigureBoxstyles"/>
              <w:rPr>
                <w:lang w:eastAsia="en-GB"/>
              </w:rPr>
            </w:pPr>
            <w:r w:rsidRPr="00C1603D">
              <w:rPr>
                <w:lang w:eastAsia="en-GB"/>
              </w:rPr>
              <w:t>683</w:t>
            </w:r>
          </w:p>
        </w:tc>
        <w:tc>
          <w:tcPr>
            <w:tcW w:w="0" w:type="auto"/>
            <w:shd w:val="clear" w:color="auto" w:fill="auto"/>
          </w:tcPr>
          <w:p w14:paraId="18E6ED09" w14:textId="77777777" w:rsidR="008B4DF8" w:rsidRPr="00C1603D" w:rsidRDefault="008B4DF8" w:rsidP="00C46323">
            <w:pPr>
              <w:pStyle w:val="72TabletextTablesTableFigureBoxstyles"/>
              <w:rPr>
                <w:lang w:eastAsia="en-GB"/>
              </w:rPr>
            </w:pPr>
            <w:r w:rsidRPr="00C1603D">
              <w:rPr>
                <w:lang w:eastAsia="en-GB"/>
              </w:rPr>
              <w:t>86</w:t>
            </w:r>
          </w:p>
        </w:tc>
        <w:tc>
          <w:tcPr>
            <w:tcW w:w="0" w:type="auto"/>
            <w:shd w:val="clear" w:color="auto" w:fill="auto"/>
          </w:tcPr>
          <w:p w14:paraId="6E203900" w14:textId="77777777" w:rsidR="008B4DF8" w:rsidRPr="00C1603D" w:rsidRDefault="008B4DF8" w:rsidP="00C46323">
            <w:pPr>
              <w:pStyle w:val="72TabletextTablesTableFigureBoxstyles"/>
              <w:rPr>
                <w:lang w:eastAsia="en-GB"/>
              </w:rPr>
            </w:pPr>
            <w:r w:rsidRPr="00C1603D">
              <w:rPr>
                <w:lang w:eastAsia="en-GB"/>
              </w:rPr>
              <w:t>9217</w:t>
            </w:r>
          </w:p>
        </w:tc>
        <w:tc>
          <w:tcPr>
            <w:tcW w:w="0" w:type="auto"/>
            <w:shd w:val="clear" w:color="auto" w:fill="auto"/>
          </w:tcPr>
          <w:p w14:paraId="6537A0D2" w14:textId="651FA4C9" w:rsidR="008B4DF8" w:rsidRPr="00C1603D" w:rsidRDefault="008B4DF8" w:rsidP="00C46323">
            <w:pPr>
              <w:pStyle w:val="72TabletextTablesTableFigureBoxstyles"/>
              <w:rPr>
                <w:lang w:eastAsia="en-GB"/>
              </w:rPr>
            </w:pPr>
            <w:r w:rsidRPr="00C1603D">
              <w:rPr>
                <w:lang w:eastAsia="en-GB"/>
              </w:rPr>
              <w:t>14.3</w:t>
            </w:r>
          </w:p>
        </w:tc>
        <w:tc>
          <w:tcPr>
            <w:tcW w:w="0" w:type="auto"/>
            <w:shd w:val="clear" w:color="auto" w:fill="auto"/>
          </w:tcPr>
          <w:p w14:paraId="222180D1" w14:textId="0A019E78" w:rsidR="008B4DF8" w:rsidRPr="00C1603D" w:rsidRDefault="008B4DF8" w:rsidP="00C46323">
            <w:pPr>
              <w:pStyle w:val="72TabletextTablesTableFigureBoxstyles"/>
              <w:rPr>
                <w:lang w:eastAsia="en-GB"/>
              </w:rPr>
            </w:pPr>
            <w:r w:rsidRPr="00C1603D">
              <w:rPr>
                <w:lang w:eastAsia="en-GB"/>
              </w:rPr>
              <w:t>93.1</w:t>
            </w:r>
          </w:p>
        </w:tc>
        <w:tc>
          <w:tcPr>
            <w:tcW w:w="0" w:type="auto"/>
            <w:shd w:val="clear" w:color="auto" w:fill="auto"/>
          </w:tcPr>
          <w:p w14:paraId="7A57944F" w14:textId="7B292733" w:rsidR="008B4DF8" w:rsidRPr="00C1603D" w:rsidRDefault="008B4DF8" w:rsidP="00C46323">
            <w:pPr>
              <w:pStyle w:val="72TabletextTablesTableFigureBoxstyles"/>
              <w:rPr>
                <w:lang w:eastAsia="en-GB"/>
              </w:rPr>
            </w:pPr>
            <w:r w:rsidRPr="00C1603D">
              <w:rPr>
                <w:lang w:eastAsia="en-GB"/>
              </w:rPr>
              <w:t>2.0</w:t>
            </w:r>
          </w:p>
        </w:tc>
        <w:tc>
          <w:tcPr>
            <w:tcW w:w="0" w:type="auto"/>
            <w:shd w:val="clear" w:color="auto" w:fill="auto"/>
          </w:tcPr>
          <w:p w14:paraId="0CE1985B" w14:textId="74D1C5E9" w:rsidR="008B4DF8" w:rsidRPr="00C1603D" w:rsidRDefault="008B4DF8" w:rsidP="00C46323">
            <w:pPr>
              <w:pStyle w:val="72TabletextTablesTableFigureBoxstyles"/>
              <w:rPr>
                <w:lang w:eastAsia="en-GB"/>
              </w:rPr>
            </w:pPr>
            <w:r w:rsidRPr="00C1603D">
              <w:rPr>
                <w:lang w:eastAsia="en-GB"/>
              </w:rPr>
              <w:t>99.1</w:t>
            </w:r>
          </w:p>
        </w:tc>
        <w:tc>
          <w:tcPr>
            <w:tcW w:w="0" w:type="auto"/>
            <w:shd w:val="clear" w:color="auto" w:fill="auto"/>
          </w:tcPr>
          <w:p w14:paraId="459EA610" w14:textId="77777777" w:rsidR="008B4DF8" w:rsidRPr="00C1603D" w:rsidRDefault="008B4DF8" w:rsidP="00C46323">
            <w:pPr>
              <w:pStyle w:val="72TabletextTablesTableFigureBoxstyles"/>
              <w:rPr>
                <w:lang w:eastAsia="en-GB"/>
              </w:rPr>
            </w:pPr>
            <w:r w:rsidRPr="00C1603D">
              <w:rPr>
                <w:lang w:eastAsia="en-GB"/>
              </w:rPr>
              <w:t>85.7</w:t>
            </w:r>
          </w:p>
        </w:tc>
      </w:tr>
      <w:tr w:rsidR="00C46323" w:rsidRPr="00C1603D" w14:paraId="068A867E" w14:textId="77777777" w:rsidTr="00C46323">
        <w:trPr>
          <w:cantSplit/>
        </w:trPr>
        <w:tc>
          <w:tcPr>
            <w:tcW w:w="0" w:type="auto"/>
            <w:vMerge/>
            <w:shd w:val="clear" w:color="auto" w:fill="auto"/>
          </w:tcPr>
          <w:p w14:paraId="56227D1C" w14:textId="77777777" w:rsidR="008B4DF8" w:rsidRPr="00C1603D" w:rsidRDefault="008B4DF8" w:rsidP="00C46323">
            <w:pPr>
              <w:pStyle w:val="72TabletextTablesTableFigureBoxstyles"/>
              <w:rPr>
                <w:lang w:eastAsia="en-GB"/>
              </w:rPr>
            </w:pPr>
          </w:p>
        </w:tc>
        <w:tc>
          <w:tcPr>
            <w:tcW w:w="0" w:type="auto"/>
            <w:shd w:val="clear" w:color="auto" w:fill="auto"/>
          </w:tcPr>
          <w:p w14:paraId="04266C06" w14:textId="77777777" w:rsidR="008B4DF8" w:rsidRPr="00C1603D" w:rsidRDefault="008B4DF8" w:rsidP="00C46323">
            <w:pPr>
              <w:pStyle w:val="72TabletextTablesTableFigureBoxstyles"/>
              <w:rPr>
                <w:lang w:eastAsia="en-GB"/>
              </w:rPr>
            </w:pPr>
            <w:r w:rsidRPr="00C1603D">
              <w:t>0.0233</w:t>
            </w:r>
          </w:p>
        </w:tc>
        <w:tc>
          <w:tcPr>
            <w:tcW w:w="0" w:type="auto"/>
            <w:shd w:val="clear" w:color="auto" w:fill="auto"/>
          </w:tcPr>
          <w:p w14:paraId="510AD548" w14:textId="77777777" w:rsidR="008B4DF8" w:rsidRPr="00C1603D" w:rsidRDefault="008B4DF8" w:rsidP="00C46323">
            <w:pPr>
              <w:pStyle w:val="72TabletextTablesTableFigureBoxstyles"/>
              <w:rPr>
                <w:lang w:eastAsia="en-GB"/>
              </w:rPr>
            </w:pPr>
            <w:r w:rsidRPr="00C1603D">
              <w:rPr>
                <w:lang w:eastAsia="en-GB"/>
              </w:rPr>
              <w:t>7</w:t>
            </w:r>
          </w:p>
        </w:tc>
        <w:tc>
          <w:tcPr>
            <w:tcW w:w="0" w:type="auto"/>
            <w:shd w:val="clear" w:color="auto" w:fill="auto"/>
          </w:tcPr>
          <w:p w14:paraId="27A5005A" w14:textId="77777777" w:rsidR="008B4DF8" w:rsidRPr="00C1603D" w:rsidRDefault="008B4DF8" w:rsidP="00C46323">
            <w:pPr>
              <w:pStyle w:val="72TabletextTablesTableFigureBoxstyles"/>
              <w:rPr>
                <w:lang w:eastAsia="en-GB"/>
              </w:rPr>
            </w:pPr>
            <w:r w:rsidRPr="00C1603D">
              <w:rPr>
                <w:lang w:eastAsia="en-GB"/>
              </w:rPr>
              <w:t>158</w:t>
            </w:r>
          </w:p>
        </w:tc>
        <w:tc>
          <w:tcPr>
            <w:tcW w:w="0" w:type="auto"/>
            <w:shd w:val="clear" w:color="auto" w:fill="auto"/>
          </w:tcPr>
          <w:p w14:paraId="000B4455" w14:textId="77777777" w:rsidR="008B4DF8" w:rsidRPr="00C1603D" w:rsidRDefault="008B4DF8" w:rsidP="00C46323">
            <w:pPr>
              <w:pStyle w:val="72TabletextTablesTableFigureBoxstyles"/>
              <w:rPr>
                <w:lang w:eastAsia="en-GB"/>
              </w:rPr>
            </w:pPr>
            <w:r w:rsidRPr="00C1603D">
              <w:rPr>
                <w:lang w:eastAsia="en-GB"/>
              </w:rPr>
              <w:t>93</w:t>
            </w:r>
          </w:p>
        </w:tc>
        <w:tc>
          <w:tcPr>
            <w:tcW w:w="0" w:type="auto"/>
            <w:shd w:val="clear" w:color="auto" w:fill="auto"/>
          </w:tcPr>
          <w:p w14:paraId="4B4916DE" w14:textId="77777777" w:rsidR="008B4DF8" w:rsidRPr="00C1603D" w:rsidRDefault="008B4DF8" w:rsidP="00C46323">
            <w:pPr>
              <w:pStyle w:val="72TabletextTablesTableFigureBoxstyles"/>
              <w:rPr>
                <w:lang w:eastAsia="en-GB"/>
              </w:rPr>
            </w:pPr>
            <w:r w:rsidRPr="00C1603D">
              <w:rPr>
                <w:lang w:eastAsia="en-GB"/>
              </w:rPr>
              <w:t>9742</w:t>
            </w:r>
          </w:p>
        </w:tc>
        <w:tc>
          <w:tcPr>
            <w:tcW w:w="0" w:type="auto"/>
            <w:shd w:val="clear" w:color="auto" w:fill="auto"/>
          </w:tcPr>
          <w:p w14:paraId="4DFF2003" w14:textId="2EA27B8C" w:rsidR="008B4DF8" w:rsidRPr="00C1603D" w:rsidRDefault="008B4DF8" w:rsidP="00C46323">
            <w:pPr>
              <w:pStyle w:val="72TabletextTablesTableFigureBoxstyles"/>
              <w:rPr>
                <w:lang w:eastAsia="en-GB"/>
              </w:rPr>
            </w:pPr>
            <w:r w:rsidRPr="00C1603D">
              <w:rPr>
                <w:lang w:eastAsia="en-GB"/>
              </w:rPr>
              <w:t>7.2</w:t>
            </w:r>
          </w:p>
        </w:tc>
        <w:tc>
          <w:tcPr>
            <w:tcW w:w="0" w:type="auto"/>
            <w:shd w:val="clear" w:color="auto" w:fill="auto"/>
          </w:tcPr>
          <w:p w14:paraId="4F7BE0A4" w14:textId="2A6A8619" w:rsidR="008B4DF8" w:rsidRPr="00C1603D" w:rsidRDefault="008B4DF8" w:rsidP="00C46323">
            <w:pPr>
              <w:pStyle w:val="72TabletextTablesTableFigureBoxstyles"/>
              <w:rPr>
                <w:lang w:eastAsia="en-GB"/>
              </w:rPr>
            </w:pPr>
            <w:r w:rsidRPr="00C1603D">
              <w:rPr>
                <w:lang w:eastAsia="en-GB"/>
              </w:rPr>
              <w:t>98.4</w:t>
            </w:r>
          </w:p>
        </w:tc>
        <w:tc>
          <w:tcPr>
            <w:tcW w:w="0" w:type="auto"/>
            <w:shd w:val="clear" w:color="auto" w:fill="auto"/>
          </w:tcPr>
          <w:p w14:paraId="5E65CD57" w14:textId="53A7378F" w:rsidR="008B4DF8" w:rsidRPr="00C1603D" w:rsidRDefault="008B4DF8" w:rsidP="00C46323">
            <w:pPr>
              <w:pStyle w:val="72TabletextTablesTableFigureBoxstyles"/>
              <w:rPr>
                <w:lang w:eastAsia="en-GB"/>
              </w:rPr>
            </w:pPr>
            <w:r w:rsidRPr="00C1603D">
              <w:rPr>
                <w:lang w:eastAsia="en-GB"/>
              </w:rPr>
              <w:t>4.5</w:t>
            </w:r>
          </w:p>
        </w:tc>
        <w:tc>
          <w:tcPr>
            <w:tcW w:w="0" w:type="auto"/>
            <w:shd w:val="clear" w:color="auto" w:fill="auto"/>
          </w:tcPr>
          <w:p w14:paraId="028373AD" w14:textId="510B57EB" w:rsidR="008B4DF8" w:rsidRPr="00C1603D" w:rsidRDefault="008B4DF8" w:rsidP="00C46323">
            <w:pPr>
              <w:pStyle w:val="72TabletextTablesTableFigureBoxstyles"/>
              <w:rPr>
                <w:lang w:eastAsia="en-GB"/>
              </w:rPr>
            </w:pPr>
            <w:r w:rsidRPr="00C1603D">
              <w:rPr>
                <w:lang w:eastAsia="en-GB"/>
              </w:rPr>
              <w:t>99.1</w:t>
            </w:r>
          </w:p>
        </w:tc>
        <w:tc>
          <w:tcPr>
            <w:tcW w:w="0" w:type="auto"/>
            <w:shd w:val="clear" w:color="auto" w:fill="auto"/>
          </w:tcPr>
          <w:p w14:paraId="07F96B00" w14:textId="77777777" w:rsidR="008B4DF8" w:rsidRPr="00C1603D" w:rsidRDefault="008B4DF8" w:rsidP="00C46323">
            <w:pPr>
              <w:pStyle w:val="72TabletextTablesTableFigureBoxstyles"/>
              <w:rPr>
                <w:lang w:eastAsia="en-GB"/>
              </w:rPr>
            </w:pPr>
            <w:r w:rsidRPr="00C1603D">
              <w:rPr>
                <w:lang w:eastAsia="en-GB"/>
              </w:rPr>
              <w:t>92.8</w:t>
            </w:r>
          </w:p>
        </w:tc>
      </w:tr>
      <w:tr w:rsidR="00C46323" w:rsidRPr="00C1603D" w14:paraId="044FB818" w14:textId="77777777" w:rsidTr="00C46323">
        <w:trPr>
          <w:cantSplit/>
        </w:trPr>
        <w:tc>
          <w:tcPr>
            <w:tcW w:w="0" w:type="auto"/>
            <w:vMerge/>
            <w:shd w:val="clear" w:color="auto" w:fill="auto"/>
          </w:tcPr>
          <w:p w14:paraId="0B564FAE" w14:textId="77777777" w:rsidR="008B4DF8" w:rsidRPr="00C1603D" w:rsidRDefault="008B4DF8" w:rsidP="00C46323">
            <w:pPr>
              <w:pStyle w:val="72TabletextTablesTableFigureBoxstyles"/>
              <w:rPr>
                <w:lang w:eastAsia="en-GB"/>
              </w:rPr>
            </w:pPr>
          </w:p>
        </w:tc>
        <w:tc>
          <w:tcPr>
            <w:tcW w:w="0" w:type="auto"/>
            <w:shd w:val="clear" w:color="auto" w:fill="auto"/>
          </w:tcPr>
          <w:p w14:paraId="093B8E79" w14:textId="77777777" w:rsidR="008B4DF8" w:rsidRPr="00C1603D" w:rsidRDefault="008B4DF8" w:rsidP="00C46323">
            <w:pPr>
              <w:pStyle w:val="72TabletextTablesTableFigureBoxstyles"/>
              <w:rPr>
                <w:lang w:eastAsia="en-GB"/>
              </w:rPr>
            </w:pPr>
            <w:r w:rsidRPr="00C1603D">
              <w:t>0.1070</w:t>
            </w:r>
          </w:p>
        </w:tc>
        <w:tc>
          <w:tcPr>
            <w:tcW w:w="0" w:type="auto"/>
            <w:shd w:val="clear" w:color="auto" w:fill="auto"/>
          </w:tcPr>
          <w:p w14:paraId="4CD576BD" w14:textId="77777777" w:rsidR="008B4DF8" w:rsidRPr="00C1603D" w:rsidRDefault="008B4DF8" w:rsidP="00C46323">
            <w:pPr>
              <w:pStyle w:val="72TabletextTablesTableFigureBoxstyles"/>
              <w:rPr>
                <w:lang w:eastAsia="en-GB"/>
              </w:rPr>
            </w:pPr>
            <w:r w:rsidRPr="00C1603D">
              <w:rPr>
                <w:lang w:eastAsia="en-GB"/>
              </w:rPr>
              <w:t>2</w:t>
            </w:r>
          </w:p>
        </w:tc>
        <w:tc>
          <w:tcPr>
            <w:tcW w:w="0" w:type="auto"/>
            <w:shd w:val="clear" w:color="auto" w:fill="auto"/>
          </w:tcPr>
          <w:p w14:paraId="3439037C" w14:textId="77777777" w:rsidR="008B4DF8" w:rsidRPr="00C1603D" w:rsidRDefault="008B4DF8" w:rsidP="00C46323">
            <w:pPr>
              <w:pStyle w:val="72TabletextTablesTableFigureBoxstyles"/>
              <w:rPr>
                <w:lang w:eastAsia="en-GB"/>
              </w:rPr>
            </w:pPr>
            <w:r w:rsidRPr="00C1603D">
              <w:rPr>
                <w:lang w:eastAsia="en-GB"/>
              </w:rPr>
              <w:t>20</w:t>
            </w:r>
          </w:p>
        </w:tc>
        <w:tc>
          <w:tcPr>
            <w:tcW w:w="0" w:type="auto"/>
            <w:shd w:val="clear" w:color="auto" w:fill="auto"/>
          </w:tcPr>
          <w:p w14:paraId="0A47824B" w14:textId="77777777" w:rsidR="008B4DF8" w:rsidRPr="00C1603D" w:rsidRDefault="008B4DF8" w:rsidP="00C46323">
            <w:pPr>
              <w:pStyle w:val="72TabletextTablesTableFigureBoxstyles"/>
              <w:rPr>
                <w:lang w:eastAsia="en-GB"/>
              </w:rPr>
            </w:pPr>
            <w:r w:rsidRPr="00C1603D">
              <w:rPr>
                <w:lang w:eastAsia="en-GB"/>
              </w:rPr>
              <w:t>98</w:t>
            </w:r>
          </w:p>
        </w:tc>
        <w:tc>
          <w:tcPr>
            <w:tcW w:w="0" w:type="auto"/>
            <w:shd w:val="clear" w:color="auto" w:fill="auto"/>
          </w:tcPr>
          <w:p w14:paraId="745E2D57" w14:textId="77777777" w:rsidR="008B4DF8" w:rsidRPr="00C1603D" w:rsidRDefault="008B4DF8" w:rsidP="00C46323">
            <w:pPr>
              <w:pStyle w:val="72TabletextTablesTableFigureBoxstyles"/>
              <w:rPr>
                <w:lang w:eastAsia="en-GB"/>
              </w:rPr>
            </w:pPr>
            <w:r w:rsidRPr="00C1603D">
              <w:rPr>
                <w:lang w:eastAsia="en-GB"/>
              </w:rPr>
              <w:t>9880</w:t>
            </w:r>
          </w:p>
        </w:tc>
        <w:tc>
          <w:tcPr>
            <w:tcW w:w="0" w:type="auto"/>
            <w:shd w:val="clear" w:color="auto" w:fill="auto"/>
          </w:tcPr>
          <w:p w14:paraId="5BFE685A" w14:textId="3B38AC96" w:rsidR="008B4DF8" w:rsidRPr="00C1603D" w:rsidRDefault="008B4DF8" w:rsidP="00C46323">
            <w:pPr>
              <w:pStyle w:val="72TabletextTablesTableFigureBoxstyles"/>
              <w:rPr>
                <w:lang w:eastAsia="en-GB"/>
              </w:rPr>
            </w:pPr>
            <w:r w:rsidRPr="00C1603D">
              <w:rPr>
                <w:lang w:eastAsia="en-GB"/>
              </w:rPr>
              <w:t>1.7</w:t>
            </w:r>
          </w:p>
        </w:tc>
        <w:tc>
          <w:tcPr>
            <w:tcW w:w="0" w:type="auto"/>
            <w:shd w:val="clear" w:color="auto" w:fill="auto"/>
          </w:tcPr>
          <w:p w14:paraId="49F62760" w14:textId="0841C4A5" w:rsidR="008B4DF8" w:rsidRPr="00C1603D" w:rsidRDefault="008B4DF8" w:rsidP="00C46323">
            <w:pPr>
              <w:pStyle w:val="72TabletextTablesTableFigureBoxstyles"/>
              <w:rPr>
                <w:lang w:eastAsia="en-GB"/>
              </w:rPr>
            </w:pPr>
            <w:r w:rsidRPr="00C1603D">
              <w:rPr>
                <w:lang w:eastAsia="en-GB"/>
              </w:rPr>
              <w:t>99.8</w:t>
            </w:r>
          </w:p>
        </w:tc>
        <w:tc>
          <w:tcPr>
            <w:tcW w:w="0" w:type="auto"/>
            <w:shd w:val="clear" w:color="auto" w:fill="auto"/>
          </w:tcPr>
          <w:p w14:paraId="0351702F" w14:textId="5E21B2B9" w:rsidR="008B4DF8" w:rsidRPr="00C1603D" w:rsidRDefault="008B4DF8" w:rsidP="00C46323">
            <w:pPr>
              <w:pStyle w:val="72TabletextTablesTableFigureBoxstyles"/>
              <w:rPr>
                <w:lang w:eastAsia="en-GB"/>
              </w:rPr>
            </w:pPr>
            <w:r w:rsidRPr="00C1603D">
              <w:rPr>
                <w:lang w:eastAsia="en-GB"/>
              </w:rPr>
              <w:t>7.1</w:t>
            </w:r>
          </w:p>
        </w:tc>
        <w:tc>
          <w:tcPr>
            <w:tcW w:w="0" w:type="auto"/>
            <w:shd w:val="clear" w:color="auto" w:fill="auto"/>
          </w:tcPr>
          <w:p w14:paraId="66497A89" w14:textId="4DD259AB" w:rsidR="008B4DF8" w:rsidRPr="00C1603D" w:rsidRDefault="008B4DF8" w:rsidP="00C46323">
            <w:pPr>
              <w:pStyle w:val="72TabletextTablesTableFigureBoxstyles"/>
              <w:rPr>
                <w:lang w:eastAsia="en-GB"/>
              </w:rPr>
            </w:pPr>
            <w:r w:rsidRPr="00C1603D">
              <w:rPr>
                <w:lang w:eastAsia="en-GB"/>
              </w:rPr>
              <w:t>99.0</w:t>
            </w:r>
          </w:p>
        </w:tc>
        <w:tc>
          <w:tcPr>
            <w:tcW w:w="0" w:type="auto"/>
            <w:shd w:val="clear" w:color="auto" w:fill="auto"/>
          </w:tcPr>
          <w:p w14:paraId="2BEED435" w14:textId="77777777" w:rsidR="008B4DF8" w:rsidRPr="00C1603D" w:rsidRDefault="008B4DF8" w:rsidP="00C46323">
            <w:pPr>
              <w:pStyle w:val="72TabletextTablesTableFigureBoxstyles"/>
              <w:rPr>
                <w:lang w:eastAsia="en-GB"/>
              </w:rPr>
            </w:pPr>
            <w:r w:rsidRPr="00C1603D">
              <w:rPr>
                <w:lang w:eastAsia="en-GB"/>
              </w:rPr>
              <w:t>98.3</w:t>
            </w:r>
          </w:p>
        </w:tc>
      </w:tr>
      <w:tr w:rsidR="00C46323" w:rsidRPr="00C1603D" w14:paraId="30C87148" w14:textId="77777777" w:rsidTr="00C46323">
        <w:trPr>
          <w:cantSplit/>
        </w:trPr>
        <w:tc>
          <w:tcPr>
            <w:tcW w:w="0" w:type="auto"/>
            <w:vMerge/>
            <w:shd w:val="clear" w:color="auto" w:fill="auto"/>
          </w:tcPr>
          <w:p w14:paraId="01562519" w14:textId="77777777" w:rsidR="008B4DF8" w:rsidRPr="00C1603D" w:rsidRDefault="008B4DF8" w:rsidP="00C46323">
            <w:pPr>
              <w:pStyle w:val="72TabletextTablesTableFigureBoxstyles"/>
              <w:rPr>
                <w:lang w:eastAsia="en-GB"/>
              </w:rPr>
            </w:pPr>
          </w:p>
        </w:tc>
        <w:tc>
          <w:tcPr>
            <w:tcW w:w="0" w:type="auto"/>
            <w:shd w:val="clear" w:color="auto" w:fill="auto"/>
          </w:tcPr>
          <w:p w14:paraId="60D9E248" w14:textId="77777777" w:rsidR="008B4DF8" w:rsidRPr="00C1603D" w:rsidRDefault="008B4DF8" w:rsidP="00C46323">
            <w:pPr>
              <w:pStyle w:val="72TabletextTablesTableFigureBoxstyles"/>
              <w:rPr>
                <w:lang w:eastAsia="en-GB"/>
              </w:rPr>
            </w:pPr>
            <w:r w:rsidRPr="00C1603D">
              <w:t>0.7550</w:t>
            </w:r>
          </w:p>
        </w:tc>
        <w:tc>
          <w:tcPr>
            <w:tcW w:w="0" w:type="auto"/>
            <w:shd w:val="clear" w:color="auto" w:fill="auto"/>
          </w:tcPr>
          <w:p w14:paraId="21CAD8D3"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7DECCE78"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00B9DE2A" w14:textId="77777777" w:rsidR="008B4DF8" w:rsidRPr="00C1603D" w:rsidRDefault="008B4DF8" w:rsidP="00C46323">
            <w:pPr>
              <w:pStyle w:val="72TabletextTablesTableFigureBoxstyles"/>
              <w:rPr>
                <w:lang w:eastAsia="en-GB"/>
              </w:rPr>
            </w:pPr>
            <w:r w:rsidRPr="00C1603D">
              <w:rPr>
                <w:lang w:eastAsia="en-GB"/>
              </w:rPr>
              <w:t>100</w:t>
            </w:r>
          </w:p>
        </w:tc>
        <w:tc>
          <w:tcPr>
            <w:tcW w:w="0" w:type="auto"/>
            <w:shd w:val="clear" w:color="auto" w:fill="auto"/>
          </w:tcPr>
          <w:p w14:paraId="758C9B71" w14:textId="77777777" w:rsidR="008B4DF8" w:rsidRPr="00C1603D" w:rsidRDefault="008B4DF8" w:rsidP="00C46323">
            <w:pPr>
              <w:pStyle w:val="72TabletextTablesTableFigureBoxstyles"/>
              <w:rPr>
                <w:lang w:eastAsia="en-GB"/>
              </w:rPr>
            </w:pPr>
            <w:r w:rsidRPr="00C1603D">
              <w:rPr>
                <w:lang w:eastAsia="en-GB"/>
              </w:rPr>
              <w:t>9900</w:t>
            </w:r>
          </w:p>
        </w:tc>
        <w:tc>
          <w:tcPr>
            <w:tcW w:w="0" w:type="auto"/>
            <w:shd w:val="clear" w:color="auto" w:fill="auto"/>
          </w:tcPr>
          <w:p w14:paraId="2E342202" w14:textId="19C6D5A2" w:rsidR="008B4DF8" w:rsidRPr="00C1603D" w:rsidRDefault="008B4DF8" w:rsidP="00C46323">
            <w:pPr>
              <w:pStyle w:val="72TabletextTablesTableFigureBoxstyles"/>
              <w:rPr>
                <w:lang w:eastAsia="en-GB"/>
              </w:rPr>
            </w:pPr>
            <w:r w:rsidRPr="00C1603D">
              <w:rPr>
                <w:lang w:eastAsia="en-GB"/>
              </w:rPr>
              <w:t>0.0</w:t>
            </w:r>
          </w:p>
        </w:tc>
        <w:tc>
          <w:tcPr>
            <w:tcW w:w="0" w:type="auto"/>
            <w:shd w:val="clear" w:color="auto" w:fill="auto"/>
          </w:tcPr>
          <w:p w14:paraId="21097195" w14:textId="7BFE5987" w:rsidR="008B4DF8" w:rsidRPr="00C1603D" w:rsidRDefault="008B4DF8" w:rsidP="00C46323">
            <w:pPr>
              <w:pStyle w:val="72TabletextTablesTableFigureBoxstyles"/>
              <w:rPr>
                <w:lang w:eastAsia="en-GB"/>
              </w:rPr>
            </w:pPr>
            <w:r w:rsidRPr="00C1603D">
              <w:rPr>
                <w:lang w:eastAsia="en-GB"/>
              </w:rPr>
              <w:t>100.0</w:t>
            </w:r>
          </w:p>
        </w:tc>
        <w:tc>
          <w:tcPr>
            <w:tcW w:w="0" w:type="auto"/>
            <w:shd w:val="clear" w:color="auto" w:fill="auto"/>
          </w:tcPr>
          <w:p w14:paraId="02572638" w14:textId="67BD7A4A" w:rsidR="008B4DF8" w:rsidRPr="00C1603D" w:rsidRDefault="008B4DF8" w:rsidP="00C46323">
            <w:pPr>
              <w:pStyle w:val="72TabletextTablesTableFigureBoxstyles"/>
              <w:rPr>
                <w:lang w:eastAsia="en-GB"/>
              </w:rPr>
            </w:pPr>
            <w:r w:rsidRPr="00C1603D">
              <w:rPr>
                <w:lang w:eastAsia="en-GB"/>
              </w:rPr>
              <w:t>6.2</w:t>
            </w:r>
          </w:p>
        </w:tc>
        <w:tc>
          <w:tcPr>
            <w:tcW w:w="0" w:type="auto"/>
            <w:shd w:val="clear" w:color="auto" w:fill="auto"/>
          </w:tcPr>
          <w:p w14:paraId="6461D196" w14:textId="6B095899" w:rsidR="008B4DF8" w:rsidRPr="00C1603D" w:rsidRDefault="008B4DF8" w:rsidP="00C46323">
            <w:pPr>
              <w:pStyle w:val="72TabletextTablesTableFigureBoxstyles"/>
              <w:rPr>
                <w:lang w:eastAsia="en-GB"/>
              </w:rPr>
            </w:pPr>
            <w:r w:rsidRPr="00C1603D">
              <w:rPr>
                <w:lang w:eastAsia="en-GB"/>
              </w:rPr>
              <w:t>99.0</w:t>
            </w:r>
          </w:p>
        </w:tc>
        <w:tc>
          <w:tcPr>
            <w:tcW w:w="0" w:type="auto"/>
            <w:shd w:val="clear" w:color="auto" w:fill="auto"/>
          </w:tcPr>
          <w:p w14:paraId="17B25DE2" w14:textId="77777777" w:rsidR="008B4DF8" w:rsidRPr="00C1603D" w:rsidRDefault="008B4DF8" w:rsidP="00C46323">
            <w:pPr>
              <w:pStyle w:val="72TabletextTablesTableFigureBoxstyles"/>
              <w:rPr>
                <w:lang w:eastAsia="en-GB"/>
              </w:rPr>
            </w:pPr>
            <w:r w:rsidRPr="00C1603D">
              <w:rPr>
                <w:lang w:eastAsia="en-GB"/>
              </w:rPr>
              <w:t>100</w:t>
            </w:r>
          </w:p>
        </w:tc>
      </w:tr>
      <w:tr w:rsidR="00C46323" w:rsidRPr="00C1603D" w14:paraId="0E364EA8" w14:textId="77777777" w:rsidTr="00C46323">
        <w:trPr>
          <w:cantSplit/>
        </w:trPr>
        <w:tc>
          <w:tcPr>
            <w:tcW w:w="0" w:type="auto"/>
            <w:vMerge w:val="restart"/>
            <w:shd w:val="clear" w:color="auto" w:fill="auto"/>
          </w:tcPr>
          <w:p w14:paraId="14AEAA41" w14:textId="77777777" w:rsidR="008B4DF8" w:rsidRPr="00C1603D" w:rsidRDefault="008B4DF8" w:rsidP="00C46323">
            <w:pPr>
              <w:pStyle w:val="72TabletextTablesTableFigureBoxstyles"/>
              <w:rPr>
                <w:lang w:eastAsia="en-GB"/>
              </w:rPr>
            </w:pPr>
            <w:r w:rsidRPr="00C1603D">
              <w:rPr>
                <w:lang w:eastAsia="en-GB"/>
              </w:rPr>
              <w:t>Men</w:t>
            </w:r>
          </w:p>
        </w:tc>
        <w:tc>
          <w:tcPr>
            <w:tcW w:w="0" w:type="auto"/>
            <w:shd w:val="clear" w:color="auto" w:fill="auto"/>
          </w:tcPr>
          <w:p w14:paraId="0BC643F4"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50298DEE" w14:textId="77777777" w:rsidR="008B4DF8" w:rsidRPr="00C1603D" w:rsidRDefault="008B4DF8" w:rsidP="00C46323">
            <w:pPr>
              <w:pStyle w:val="72TabletextTablesTableFigureBoxstyles"/>
              <w:rPr>
                <w:lang w:eastAsia="en-GB"/>
              </w:rPr>
            </w:pPr>
            <w:r w:rsidRPr="00C1603D">
              <w:rPr>
                <w:lang w:eastAsia="en-GB"/>
              </w:rPr>
              <w:t>100</w:t>
            </w:r>
          </w:p>
        </w:tc>
        <w:tc>
          <w:tcPr>
            <w:tcW w:w="0" w:type="auto"/>
            <w:shd w:val="clear" w:color="auto" w:fill="auto"/>
          </w:tcPr>
          <w:p w14:paraId="6536B654" w14:textId="77777777" w:rsidR="008B4DF8" w:rsidRPr="00C1603D" w:rsidRDefault="008B4DF8" w:rsidP="00C46323">
            <w:pPr>
              <w:pStyle w:val="72TabletextTablesTableFigureBoxstyles"/>
              <w:rPr>
                <w:lang w:eastAsia="en-GB"/>
              </w:rPr>
            </w:pPr>
            <w:r w:rsidRPr="00C1603D">
              <w:rPr>
                <w:lang w:eastAsia="en-GB"/>
              </w:rPr>
              <w:t>9900</w:t>
            </w:r>
          </w:p>
        </w:tc>
        <w:tc>
          <w:tcPr>
            <w:tcW w:w="0" w:type="auto"/>
            <w:shd w:val="clear" w:color="auto" w:fill="auto"/>
          </w:tcPr>
          <w:p w14:paraId="7EFDB0AB"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656F8F7F" w14:textId="77777777"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03E0F340" w14:textId="6098DF1D" w:rsidR="008B4DF8" w:rsidRPr="00C1603D" w:rsidRDefault="008B4DF8" w:rsidP="00C46323">
            <w:pPr>
              <w:pStyle w:val="72TabletextTablesTableFigureBoxstyles"/>
              <w:rPr>
                <w:lang w:eastAsia="en-GB"/>
              </w:rPr>
            </w:pPr>
            <w:r w:rsidRPr="00C1603D">
              <w:rPr>
                <w:lang w:eastAsia="en-GB"/>
              </w:rPr>
              <w:t>100.0</w:t>
            </w:r>
          </w:p>
        </w:tc>
        <w:tc>
          <w:tcPr>
            <w:tcW w:w="0" w:type="auto"/>
            <w:shd w:val="clear" w:color="auto" w:fill="auto"/>
          </w:tcPr>
          <w:p w14:paraId="67E0983E" w14:textId="63B44D59" w:rsidR="008B4DF8" w:rsidRPr="00C1603D" w:rsidRDefault="008B4DF8" w:rsidP="00C46323">
            <w:pPr>
              <w:pStyle w:val="72TabletextTablesTableFigureBoxstyles"/>
              <w:rPr>
                <w:lang w:eastAsia="en-GB"/>
              </w:rPr>
            </w:pPr>
            <w:r w:rsidRPr="00C1603D">
              <w:rPr>
                <w:lang w:eastAsia="en-GB"/>
              </w:rPr>
              <w:t>0</w:t>
            </w:r>
          </w:p>
        </w:tc>
        <w:tc>
          <w:tcPr>
            <w:tcW w:w="0" w:type="auto"/>
            <w:shd w:val="clear" w:color="auto" w:fill="auto"/>
          </w:tcPr>
          <w:p w14:paraId="2E3D72FE" w14:textId="17084C2A" w:rsidR="008B4DF8" w:rsidRPr="00C1603D" w:rsidRDefault="008B4DF8" w:rsidP="00C46323">
            <w:pPr>
              <w:pStyle w:val="72TabletextTablesTableFigureBoxstyles"/>
              <w:rPr>
                <w:lang w:eastAsia="en-GB"/>
              </w:rPr>
            </w:pPr>
            <w:r w:rsidRPr="00C1603D">
              <w:rPr>
                <w:lang w:eastAsia="en-GB"/>
              </w:rPr>
              <w:t>1.0</w:t>
            </w:r>
          </w:p>
        </w:tc>
        <w:tc>
          <w:tcPr>
            <w:tcW w:w="0" w:type="auto"/>
            <w:shd w:val="clear" w:color="auto" w:fill="auto"/>
          </w:tcPr>
          <w:p w14:paraId="06714668" w14:textId="77777777" w:rsidR="008B4DF8" w:rsidRPr="00C1603D" w:rsidRDefault="008B4DF8" w:rsidP="00C46323">
            <w:pPr>
              <w:pStyle w:val="72TabletextTablesTableFigureBoxstyles"/>
              <w:rPr>
                <w:lang w:eastAsia="en-GB"/>
              </w:rPr>
            </w:pPr>
            <w:r w:rsidRPr="00C1603D">
              <w:rPr>
                <w:lang w:eastAsia="en-GB"/>
              </w:rPr>
              <w:t>NA</w:t>
            </w:r>
          </w:p>
        </w:tc>
        <w:tc>
          <w:tcPr>
            <w:tcW w:w="0" w:type="auto"/>
            <w:shd w:val="clear" w:color="auto" w:fill="auto"/>
          </w:tcPr>
          <w:p w14:paraId="42A6A5E0" w14:textId="77777777" w:rsidR="008B4DF8" w:rsidRPr="00C1603D" w:rsidRDefault="008B4DF8" w:rsidP="00C46323">
            <w:pPr>
              <w:pStyle w:val="72TabletextTablesTableFigureBoxstyles"/>
              <w:rPr>
                <w:lang w:eastAsia="en-GB"/>
              </w:rPr>
            </w:pPr>
            <w:r w:rsidRPr="00C1603D">
              <w:rPr>
                <w:lang w:eastAsia="en-GB"/>
              </w:rPr>
              <w:t>0</w:t>
            </w:r>
          </w:p>
        </w:tc>
      </w:tr>
      <w:tr w:rsidR="00C46323" w:rsidRPr="00C1603D" w14:paraId="1A1EF4EB" w14:textId="77777777" w:rsidTr="00C46323">
        <w:trPr>
          <w:cantSplit/>
        </w:trPr>
        <w:tc>
          <w:tcPr>
            <w:tcW w:w="0" w:type="auto"/>
            <w:vMerge/>
            <w:shd w:val="clear" w:color="auto" w:fill="auto"/>
          </w:tcPr>
          <w:p w14:paraId="5474330F" w14:textId="77777777" w:rsidR="008B4DF8" w:rsidRPr="00C1603D" w:rsidRDefault="008B4DF8" w:rsidP="00C46323">
            <w:pPr>
              <w:pStyle w:val="72TabletextTablesTableFigureBoxstyles"/>
              <w:rPr>
                <w:lang w:eastAsia="en-GB"/>
              </w:rPr>
            </w:pPr>
          </w:p>
        </w:tc>
        <w:tc>
          <w:tcPr>
            <w:tcW w:w="0" w:type="auto"/>
            <w:shd w:val="clear" w:color="auto" w:fill="auto"/>
          </w:tcPr>
          <w:p w14:paraId="08D7B0DA" w14:textId="77777777" w:rsidR="008B4DF8" w:rsidRPr="00C1603D" w:rsidRDefault="008B4DF8" w:rsidP="00C46323">
            <w:pPr>
              <w:pStyle w:val="72TabletextTablesTableFigureBoxstyles"/>
              <w:rPr>
                <w:lang w:eastAsia="en-GB"/>
              </w:rPr>
            </w:pPr>
            <w:r w:rsidRPr="00C1603D">
              <w:t>0.007</w:t>
            </w:r>
          </w:p>
        </w:tc>
        <w:tc>
          <w:tcPr>
            <w:tcW w:w="0" w:type="auto"/>
            <w:shd w:val="clear" w:color="auto" w:fill="auto"/>
          </w:tcPr>
          <w:p w14:paraId="55A84BF9" w14:textId="77777777" w:rsidR="008B4DF8" w:rsidRPr="00C1603D" w:rsidRDefault="008B4DF8" w:rsidP="00C46323">
            <w:pPr>
              <w:pStyle w:val="72TabletextTablesTableFigureBoxstyles"/>
              <w:rPr>
                <w:lang w:eastAsia="en-GB"/>
              </w:rPr>
            </w:pPr>
            <w:r w:rsidRPr="00C1603D">
              <w:rPr>
                <w:lang w:eastAsia="en-GB"/>
              </w:rPr>
              <w:t>64</w:t>
            </w:r>
          </w:p>
        </w:tc>
        <w:tc>
          <w:tcPr>
            <w:tcW w:w="0" w:type="auto"/>
            <w:shd w:val="clear" w:color="auto" w:fill="auto"/>
          </w:tcPr>
          <w:p w14:paraId="347772D0" w14:textId="77777777" w:rsidR="008B4DF8" w:rsidRPr="00C1603D" w:rsidRDefault="008B4DF8" w:rsidP="00C46323">
            <w:pPr>
              <w:pStyle w:val="72TabletextTablesTableFigureBoxstyles"/>
              <w:rPr>
                <w:lang w:eastAsia="en-GB"/>
              </w:rPr>
            </w:pPr>
            <w:r w:rsidRPr="00C1603D">
              <w:rPr>
                <w:lang w:eastAsia="en-GB"/>
              </w:rPr>
              <w:t>4623</w:t>
            </w:r>
          </w:p>
        </w:tc>
        <w:tc>
          <w:tcPr>
            <w:tcW w:w="0" w:type="auto"/>
            <w:shd w:val="clear" w:color="auto" w:fill="auto"/>
          </w:tcPr>
          <w:p w14:paraId="657C69DB" w14:textId="77777777" w:rsidR="008B4DF8" w:rsidRPr="00C1603D" w:rsidRDefault="008B4DF8" w:rsidP="00C46323">
            <w:pPr>
              <w:pStyle w:val="72TabletextTablesTableFigureBoxstyles"/>
              <w:rPr>
                <w:lang w:eastAsia="en-GB"/>
              </w:rPr>
            </w:pPr>
            <w:r w:rsidRPr="00C1603D">
              <w:rPr>
                <w:lang w:eastAsia="en-GB"/>
              </w:rPr>
              <w:t>36</w:t>
            </w:r>
          </w:p>
        </w:tc>
        <w:tc>
          <w:tcPr>
            <w:tcW w:w="0" w:type="auto"/>
            <w:shd w:val="clear" w:color="auto" w:fill="auto"/>
          </w:tcPr>
          <w:p w14:paraId="70F5DDA8" w14:textId="77777777" w:rsidR="008B4DF8" w:rsidRPr="00C1603D" w:rsidRDefault="008B4DF8" w:rsidP="00C46323">
            <w:pPr>
              <w:pStyle w:val="72TabletextTablesTableFigureBoxstyles"/>
              <w:rPr>
                <w:lang w:eastAsia="en-GB"/>
              </w:rPr>
            </w:pPr>
            <w:r w:rsidRPr="00C1603D">
              <w:rPr>
                <w:lang w:eastAsia="en-GB"/>
              </w:rPr>
              <w:t>5277</w:t>
            </w:r>
          </w:p>
        </w:tc>
        <w:tc>
          <w:tcPr>
            <w:tcW w:w="0" w:type="auto"/>
            <w:shd w:val="clear" w:color="auto" w:fill="auto"/>
          </w:tcPr>
          <w:p w14:paraId="234573D7" w14:textId="345EB243" w:rsidR="008B4DF8" w:rsidRPr="00C1603D" w:rsidRDefault="008B4DF8" w:rsidP="00C46323">
            <w:pPr>
              <w:pStyle w:val="72TabletextTablesTableFigureBoxstyles"/>
              <w:rPr>
                <w:lang w:eastAsia="en-GB"/>
              </w:rPr>
            </w:pPr>
            <w:r w:rsidRPr="00C1603D">
              <w:rPr>
                <w:lang w:eastAsia="en-GB"/>
              </w:rPr>
              <w:t>64.3</w:t>
            </w:r>
          </w:p>
        </w:tc>
        <w:tc>
          <w:tcPr>
            <w:tcW w:w="0" w:type="auto"/>
            <w:shd w:val="clear" w:color="auto" w:fill="auto"/>
          </w:tcPr>
          <w:p w14:paraId="3A79B1AF" w14:textId="2FE9875D" w:rsidR="008B4DF8" w:rsidRPr="00C1603D" w:rsidRDefault="008B4DF8" w:rsidP="00C46323">
            <w:pPr>
              <w:pStyle w:val="72TabletextTablesTableFigureBoxstyles"/>
              <w:rPr>
                <w:lang w:eastAsia="en-GB"/>
              </w:rPr>
            </w:pPr>
            <w:r w:rsidRPr="00C1603D">
              <w:rPr>
                <w:lang w:eastAsia="en-GB"/>
              </w:rPr>
              <w:t>53.3</w:t>
            </w:r>
          </w:p>
        </w:tc>
        <w:tc>
          <w:tcPr>
            <w:tcW w:w="0" w:type="auto"/>
            <w:shd w:val="clear" w:color="auto" w:fill="auto"/>
          </w:tcPr>
          <w:p w14:paraId="69A2515A" w14:textId="2CFAB827" w:rsidR="008B4DF8" w:rsidRPr="00C1603D" w:rsidRDefault="008B4DF8" w:rsidP="00C46323">
            <w:pPr>
              <w:pStyle w:val="72TabletextTablesTableFigureBoxstyles"/>
              <w:rPr>
                <w:lang w:eastAsia="en-GB"/>
              </w:rPr>
            </w:pPr>
            <w:r w:rsidRPr="00C1603D">
              <w:rPr>
                <w:lang w:eastAsia="en-GB"/>
              </w:rPr>
              <w:t>1.4</w:t>
            </w:r>
          </w:p>
        </w:tc>
        <w:tc>
          <w:tcPr>
            <w:tcW w:w="0" w:type="auto"/>
            <w:shd w:val="clear" w:color="auto" w:fill="auto"/>
          </w:tcPr>
          <w:p w14:paraId="1317CE2D" w14:textId="297780F1" w:rsidR="008B4DF8" w:rsidRPr="00C1603D" w:rsidRDefault="008B4DF8" w:rsidP="00C46323">
            <w:pPr>
              <w:pStyle w:val="72TabletextTablesTableFigureBoxstyles"/>
              <w:rPr>
                <w:lang w:eastAsia="en-GB"/>
              </w:rPr>
            </w:pPr>
            <w:r w:rsidRPr="00C1603D">
              <w:rPr>
                <w:lang w:eastAsia="en-GB"/>
              </w:rPr>
              <w:t>99.3</w:t>
            </w:r>
          </w:p>
        </w:tc>
        <w:tc>
          <w:tcPr>
            <w:tcW w:w="0" w:type="auto"/>
            <w:shd w:val="clear" w:color="auto" w:fill="auto"/>
          </w:tcPr>
          <w:p w14:paraId="134D5E15" w14:textId="77777777" w:rsidR="008B4DF8" w:rsidRPr="00C1603D" w:rsidRDefault="008B4DF8" w:rsidP="00C46323">
            <w:pPr>
              <w:pStyle w:val="72TabletextTablesTableFigureBoxstyles"/>
              <w:rPr>
                <w:lang w:eastAsia="en-GB"/>
              </w:rPr>
            </w:pPr>
            <w:r w:rsidRPr="00C1603D">
              <w:rPr>
                <w:lang w:eastAsia="en-GB"/>
              </w:rPr>
              <w:t>35.7</w:t>
            </w:r>
          </w:p>
        </w:tc>
      </w:tr>
      <w:tr w:rsidR="00C46323" w:rsidRPr="00C1603D" w14:paraId="27F82F7C" w14:textId="77777777" w:rsidTr="00C46323">
        <w:trPr>
          <w:cantSplit/>
        </w:trPr>
        <w:tc>
          <w:tcPr>
            <w:tcW w:w="0" w:type="auto"/>
            <w:vMerge/>
            <w:shd w:val="clear" w:color="auto" w:fill="auto"/>
          </w:tcPr>
          <w:p w14:paraId="30A69212" w14:textId="77777777" w:rsidR="008B4DF8" w:rsidRPr="00C1603D" w:rsidRDefault="008B4DF8" w:rsidP="00C46323">
            <w:pPr>
              <w:pStyle w:val="72TabletextTablesTableFigureBoxstyles"/>
              <w:rPr>
                <w:lang w:eastAsia="en-GB"/>
              </w:rPr>
            </w:pPr>
          </w:p>
        </w:tc>
        <w:tc>
          <w:tcPr>
            <w:tcW w:w="0" w:type="auto"/>
            <w:shd w:val="clear" w:color="auto" w:fill="auto"/>
          </w:tcPr>
          <w:p w14:paraId="013E86F2" w14:textId="77777777" w:rsidR="008B4DF8" w:rsidRPr="00C1603D" w:rsidRDefault="008B4DF8" w:rsidP="00C46323">
            <w:pPr>
              <w:pStyle w:val="72TabletextTablesTableFigureBoxstyles"/>
              <w:rPr>
                <w:lang w:eastAsia="en-GB"/>
              </w:rPr>
            </w:pPr>
            <w:r w:rsidRPr="00C1603D">
              <w:t>0.008</w:t>
            </w:r>
          </w:p>
        </w:tc>
        <w:tc>
          <w:tcPr>
            <w:tcW w:w="0" w:type="auto"/>
            <w:shd w:val="clear" w:color="auto" w:fill="auto"/>
          </w:tcPr>
          <w:p w14:paraId="56CBB38D" w14:textId="77777777" w:rsidR="008B4DF8" w:rsidRPr="00C1603D" w:rsidRDefault="008B4DF8" w:rsidP="00C46323">
            <w:pPr>
              <w:pStyle w:val="72TabletextTablesTableFigureBoxstyles"/>
              <w:rPr>
                <w:lang w:eastAsia="en-GB"/>
              </w:rPr>
            </w:pPr>
            <w:r w:rsidRPr="00C1603D">
              <w:rPr>
                <w:lang w:eastAsia="en-GB"/>
              </w:rPr>
              <w:t>42</w:t>
            </w:r>
          </w:p>
        </w:tc>
        <w:tc>
          <w:tcPr>
            <w:tcW w:w="0" w:type="auto"/>
            <w:shd w:val="clear" w:color="auto" w:fill="auto"/>
          </w:tcPr>
          <w:p w14:paraId="5FB4068F" w14:textId="77777777" w:rsidR="008B4DF8" w:rsidRPr="00C1603D" w:rsidRDefault="008B4DF8" w:rsidP="00C46323">
            <w:pPr>
              <w:pStyle w:val="72TabletextTablesTableFigureBoxstyles"/>
              <w:rPr>
                <w:lang w:eastAsia="en-GB"/>
              </w:rPr>
            </w:pPr>
            <w:r w:rsidRPr="00C1603D">
              <w:rPr>
                <w:lang w:eastAsia="en-GB"/>
              </w:rPr>
              <w:t>2376</w:t>
            </w:r>
          </w:p>
        </w:tc>
        <w:tc>
          <w:tcPr>
            <w:tcW w:w="0" w:type="auto"/>
            <w:shd w:val="clear" w:color="auto" w:fill="auto"/>
          </w:tcPr>
          <w:p w14:paraId="186C7531" w14:textId="77777777" w:rsidR="008B4DF8" w:rsidRPr="00C1603D" w:rsidRDefault="008B4DF8" w:rsidP="00C46323">
            <w:pPr>
              <w:pStyle w:val="72TabletextTablesTableFigureBoxstyles"/>
              <w:rPr>
                <w:lang w:eastAsia="en-GB"/>
              </w:rPr>
            </w:pPr>
            <w:r w:rsidRPr="00C1603D">
              <w:rPr>
                <w:lang w:eastAsia="en-GB"/>
              </w:rPr>
              <w:t>58</w:t>
            </w:r>
          </w:p>
        </w:tc>
        <w:tc>
          <w:tcPr>
            <w:tcW w:w="0" w:type="auto"/>
            <w:shd w:val="clear" w:color="auto" w:fill="auto"/>
          </w:tcPr>
          <w:p w14:paraId="13D89918" w14:textId="77777777" w:rsidR="008B4DF8" w:rsidRPr="00C1603D" w:rsidRDefault="008B4DF8" w:rsidP="00C46323">
            <w:pPr>
              <w:pStyle w:val="72TabletextTablesTableFigureBoxstyles"/>
              <w:rPr>
                <w:lang w:eastAsia="en-GB"/>
              </w:rPr>
            </w:pPr>
            <w:r w:rsidRPr="00C1603D">
              <w:rPr>
                <w:lang w:eastAsia="en-GB"/>
              </w:rPr>
              <w:t>7524</w:t>
            </w:r>
          </w:p>
        </w:tc>
        <w:tc>
          <w:tcPr>
            <w:tcW w:w="0" w:type="auto"/>
            <w:shd w:val="clear" w:color="auto" w:fill="auto"/>
          </w:tcPr>
          <w:p w14:paraId="7775DB59" w14:textId="689A700B" w:rsidR="008B4DF8" w:rsidRPr="00C1603D" w:rsidRDefault="008B4DF8" w:rsidP="00C46323">
            <w:pPr>
              <w:pStyle w:val="72TabletextTablesTableFigureBoxstyles"/>
              <w:rPr>
                <w:lang w:eastAsia="en-GB"/>
              </w:rPr>
            </w:pPr>
            <w:r w:rsidRPr="00C1603D">
              <w:rPr>
                <w:lang w:eastAsia="en-GB"/>
              </w:rPr>
              <w:t>41.6</w:t>
            </w:r>
          </w:p>
        </w:tc>
        <w:tc>
          <w:tcPr>
            <w:tcW w:w="0" w:type="auto"/>
            <w:shd w:val="clear" w:color="auto" w:fill="auto"/>
          </w:tcPr>
          <w:p w14:paraId="7F6CD6EB" w14:textId="07C955AD" w:rsidR="008B4DF8" w:rsidRPr="00C1603D" w:rsidRDefault="008B4DF8" w:rsidP="00C46323">
            <w:pPr>
              <w:pStyle w:val="72TabletextTablesTableFigureBoxstyles"/>
              <w:rPr>
                <w:lang w:eastAsia="en-GB"/>
              </w:rPr>
            </w:pPr>
            <w:r w:rsidRPr="00C1603D">
              <w:rPr>
                <w:lang w:eastAsia="en-GB"/>
              </w:rPr>
              <w:t>76.0</w:t>
            </w:r>
          </w:p>
        </w:tc>
        <w:tc>
          <w:tcPr>
            <w:tcW w:w="0" w:type="auto"/>
            <w:shd w:val="clear" w:color="auto" w:fill="auto"/>
          </w:tcPr>
          <w:p w14:paraId="0D7E03AA" w14:textId="51E8951B" w:rsidR="008B4DF8" w:rsidRPr="00C1603D" w:rsidRDefault="008B4DF8" w:rsidP="00C46323">
            <w:pPr>
              <w:pStyle w:val="72TabletextTablesTableFigureBoxstyles"/>
              <w:rPr>
                <w:lang w:eastAsia="en-GB"/>
              </w:rPr>
            </w:pPr>
            <w:r w:rsidRPr="00C1603D">
              <w:rPr>
                <w:lang w:eastAsia="en-GB"/>
              </w:rPr>
              <w:t>1.7</w:t>
            </w:r>
          </w:p>
        </w:tc>
        <w:tc>
          <w:tcPr>
            <w:tcW w:w="0" w:type="auto"/>
            <w:shd w:val="clear" w:color="auto" w:fill="auto"/>
          </w:tcPr>
          <w:p w14:paraId="365F41D6" w14:textId="62ACFCAE" w:rsidR="008B4DF8" w:rsidRPr="00C1603D" w:rsidRDefault="008B4DF8" w:rsidP="00C46323">
            <w:pPr>
              <w:pStyle w:val="72TabletextTablesTableFigureBoxstyles"/>
              <w:rPr>
                <w:lang w:eastAsia="en-GB"/>
              </w:rPr>
            </w:pPr>
            <w:r w:rsidRPr="00C1603D">
              <w:rPr>
                <w:lang w:eastAsia="en-GB"/>
              </w:rPr>
              <w:t>99.2</w:t>
            </w:r>
          </w:p>
        </w:tc>
        <w:tc>
          <w:tcPr>
            <w:tcW w:w="0" w:type="auto"/>
            <w:shd w:val="clear" w:color="auto" w:fill="auto"/>
          </w:tcPr>
          <w:p w14:paraId="7F6D879B" w14:textId="77777777" w:rsidR="008B4DF8" w:rsidRPr="00C1603D" w:rsidRDefault="008B4DF8" w:rsidP="00C46323">
            <w:pPr>
              <w:pStyle w:val="72TabletextTablesTableFigureBoxstyles"/>
              <w:rPr>
                <w:lang w:eastAsia="en-GB"/>
              </w:rPr>
            </w:pPr>
            <w:r w:rsidRPr="00C1603D">
              <w:rPr>
                <w:lang w:eastAsia="en-GB"/>
              </w:rPr>
              <w:t>58.4</w:t>
            </w:r>
          </w:p>
        </w:tc>
      </w:tr>
      <w:tr w:rsidR="00C46323" w:rsidRPr="00C1603D" w14:paraId="5DAF049C" w14:textId="77777777" w:rsidTr="00C46323">
        <w:trPr>
          <w:cantSplit/>
        </w:trPr>
        <w:tc>
          <w:tcPr>
            <w:tcW w:w="0" w:type="auto"/>
            <w:vMerge/>
            <w:shd w:val="clear" w:color="auto" w:fill="auto"/>
          </w:tcPr>
          <w:p w14:paraId="77426A5B" w14:textId="77777777" w:rsidR="008B4DF8" w:rsidRPr="00C1603D" w:rsidRDefault="008B4DF8" w:rsidP="00C46323">
            <w:pPr>
              <w:pStyle w:val="72TabletextTablesTableFigureBoxstyles"/>
              <w:rPr>
                <w:lang w:eastAsia="en-GB"/>
              </w:rPr>
            </w:pPr>
          </w:p>
        </w:tc>
        <w:tc>
          <w:tcPr>
            <w:tcW w:w="0" w:type="auto"/>
            <w:shd w:val="clear" w:color="auto" w:fill="auto"/>
          </w:tcPr>
          <w:p w14:paraId="49F71BBF" w14:textId="77777777" w:rsidR="008B4DF8" w:rsidRPr="00C1603D" w:rsidRDefault="008B4DF8" w:rsidP="00C46323">
            <w:pPr>
              <w:pStyle w:val="72TabletextTablesTableFigureBoxstyles"/>
              <w:rPr>
                <w:lang w:eastAsia="en-GB"/>
              </w:rPr>
            </w:pPr>
            <w:r w:rsidRPr="00C1603D">
              <w:t>0.0185</w:t>
            </w:r>
          </w:p>
        </w:tc>
        <w:tc>
          <w:tcPr>
            <w:tcW w:w="0" w:type="auto"/>
            <w:shd w:val="clear" w:color="auto" w:fill="auto"/>
          </w:tcPr>
          <w:p w14:paraId="27F03D70" w14:textId="77777777" w:rsidR="008B4DF8" w:rsidRPr="00C1603D" w:rsidRDefault="008B4DF8" w:rsidP="00C46323">
            <w:pPr>
              <w:pStyle w:val="72TabletextTablesTableFigureBoxstyles"/>
              <w:rPr>
                <w:lang w:eastAsia="en-GB"/>
              </w:rPr>
            </w:pPr>
            <w:r w:rsidRPr="00C1603D">
              <w:rPr>
                <w:lang w:eastAsia="en-GB"/>
              </w:rPr>
              <w:t>11</w:t>
            </w:r>
          </w:p>
        </w:tc>
        <w:tc>
          <w:tcPr>
            <w:tcW w:w="0" w:type="auto"/>
            <w:shd w:val="clear" w:color="auto" w:fill="auto"/>
          </w:tcPr>
          <w:p w14:paraId="4671BD5D" w14:textId="77777777" w:rsidR="008B4DF8" w:rsidRPr="00C1603D" w:rsidRDefault="008B4DF8" w:rsidP="00C46323">
            <w:pPr>
              <w:pStyle w:val="72TabletextTablesTableFigureBoxstyles"/>
              <w:rPr>
                <w:lang w:eastAsia="en-GB"/>
              </w:rPr>
            </w:pPr>
            <w:r w:rsidRPr="00C1603D">
              <w:rPr>
                <w:lang w:eastAsia="en-GB"/>
              </w:rPr>
              <w:t>228</w:t>
            </w:r>
          </w:p>
        </w:tc>
        <w:tc>
          <w:tcPr>
            <w:tcW w:w="0" w:type="auto"/>
            <w:shd w:val="clear" w:color="auto" w:fill="auto"/>
          </w:tcPr>
          <w:p w14:paraId="147A8429" w14:textId="77777777" w:rsidR="008B4DF8" w:rsidRPr="00C1603D" w:rsidRDefault="008B4DF8" w:rsidP="00C46323">
            <w:pPr>
              <w:pStyle w:val="72TabletextTablesTableFigureBoxstyles"/>
              <w:rPr>
                <w:lang w:eastAsia="en-GB"/>
              </w:rPr>
            </w:pPr>
            <w:r w:rsidRPr="00C1603D">
              <w:rPr>
                <w:lang w:eastAsia="en-GB"/>
              </w:rPr>
              <w:t>89</w:t>
            </w:r>
          </w:p>
        </w:tc>
        <w:tc>
          <w:tcPr>
            <w:tcW w:w="0" w:type="auto"/>
            <w:shd w:val="clear" w:color="auto" w:fill="auto"/>
          </w:tcPr>
          <w:p w14:paraId="3B2CD789" w14:textId="77777777" w:rsidR="008B4DF8" w:rsidRPr="00C1603D" w:rsidRDefault="008B4DF8" w:rsidP="00C46323">
            <w:pPr>
              <w:pStyle w:val="72TabletextTablesTableFigureBoxstyles"/>
              <w:rPr>
                <w:lang w:eastAsia="en-GB"/>
              </w:rPr>
            </w:pPr>
            <w:r w:rsidRPr="00C1603D">
              <w:rPr>
                <w:lang w:eastAsia="en-GB"/>
              </w:rPr>
              <w:t>9672</w:t>
            </w:r>
          </w:p>
        </w:tc>
        <w:tc>
          <w:tcPr>
            <w:tcW w:w="0" w:type="auto"/>
            <w:shd w:val="clear" w:color="auto" w:fill="auto"/>
          </w:tcPr>
          <w:p w14:paraId="425576EA" w14:textId="2166912E" w:rsidR="008B4DF8" w:rsidRPr="00C1603D" w:rsidRDefault="008B4DF8" w:rsidP="00C46323">
            <w:pPr>
              <w:pStyle w:val="72TabletextTablesTableFigureBoxstyles"/>
              <w:rPr>
                <w:lang w:eastAsia="en-GB"/>
              </w:rPr>
            </w:pPr>
            <w:r w:rsidRPr="00C1603D">
              <w:rPr>
                <w:lang w:eastAsia="en-GB"/>
              </w:rPr>
              <w:t>10.8</w:t>
            </w:r>
          </w:p>
        </w:tc>
        <w:tc>
          <w:tcPr>
            <w:tcW w:w="0" w:type="auto"/>
            <w:shd w:val="clear" w:color="auto" w:fill="auto"/>
          </w:tcPr>
          <w:p w14:paraId="63BFC82C" w14:textId="76DC4FC0" w:rsidR="008B4DF8" w:rsidRPr="00C1603D" w:rsidRDefault="008B4DF8" w:rsidP="00C46323">
            <w:pPr>
              <w:pStyle w:val="72TabletextTablesTableFigureBoxstyles"/>
              <w:rPr>
                <w:lang w:eastAsia="en-GB"/>
              </w:rPr>
            </w:pPr>
            <w:r w:rsidRPr="00C1603D">
              <w:rPr>
                <w:lang w:eastAsia="en-GB"/>
              </w:rPr>
              <w:t>97.7</w:t>
            </w:r>
          </w:p>
        </w:tc>
        <w:tc>
          <w:tcPr>
            <w:tcW w:w="0" w:type="auto"/>
            <w:shd w:val="clear" w:color="auto" w:fill="auto"/>
          </w:tcPr>
          <w:p w14:paraId="4F6F1FAB" w14:textId="7CEC61DF" w:rsidR="008B4DF8" w:rsidRPr="00C1603D" w:rsidRDefault="008B4DF8" w:rsidP="00C46323">
            <w:pPr>
              <w:pStyle w:val="72TabletextTablesTableFigureBoxstyles"/>
              <w:rPr>
                <w:lang w:eastAsia="en-GB"/>
              </w:rPr>
            </w:pPr>
            <w:r w:rsidRPr="00C1603D">
              <w:rPr>
                <w:lang w:eastAsia="en-GB"/>
              </w:rPr>
              <w:t>4.5</w:t>
            </w:r>
          </w:p>
        </w:tc>
        <w:tc>
          <w:tcPr>
            <w:tcW w:w="0" w:type="auto"/>
            <w:shd w:val="clear" w:color="auto" w:fill="auto"/>
          </w:tcPr>
          <w:p w14:paraId="751EBB3C" w14:textId="1373A239" w:rsidR="008B4DF8" w:rsidRPr="00C1603D" w:rsidRDefault="008B4DF8" w:rsidP="00C46323">
            <w:pPr>
              <w:pStyle w:val="72TabletextTablesTableFigureBoxstyles"/>
              <w:rPr>
                <w:lang w:eastAsia="en-GB"/>
              </w:rPr>
            </w:pPr>
            <w:r w:rsidRPr="00C1603D">
              <w:rPr>
                <w:lang w:eastAsia="en-GB"/>
              </w:rPr>
              <w:t>99.1</w:t>
            </w:r>
          </w:p>
        </w:tc>
        <w:tc>
          <w:tcPr>
            <w:tcW w:w="0" w:type="auto"/>
            <w:shd w:val="clear" w:color="auto" w:fill="auto"/>
          </w:tcPr>
          <w:p w14:paraId="3701DE04" w14:textId="77777777" w:rsidR="008B4DF8" w:rsidRPr="00C1603D" w:rsidRDefault="008B4DF8" w:rsidP="00C46323">
            <w:pPr>
              <w:pStyle w:val="72TabletextTablesTableFigureBoxstyles"/>
              <w:rPr>
                <w:lang w:eastAsia="en-GB"/>
              </w:rPr>
            </w:pPr>
            <w:r w:rsidRPr="00C1603D">
              <w:rPr>
                <w:lang w:eastAsia="en-GB"/>
              </w:rPr>
              <w:t>89.2</w:t>
            </w:r>
          </w:p>
        </w:tc>
      </w:tr>
      <w:tr w:rsidR="00C46323" w:rsidRPr="00C1603D" w14:paraId="62399E70" w14:textId="77777777" w:rsidTr="00C46323">
        <w:trPr>
          <w:cantSplit/>
        </w:trPr>
        <w:tc>
          <w:tcPr>
            <w:tcW w:w="0" w:type="auto"/>
            <w:vMerge/>
            <w:shd w:val="clear" w:color="auto" w:fill="auto"/>
          </w:tcPr>
          <w:p w14:paraId="1E50C79D" w14:textId="77777777" w:rsidR="008B4DF8" w:rsidRPr="00C1603D" w:rsidRDefault="008B4DF8" w:rsidP="00C46323">
            <w:pPr>
              <w:pStyle w:val="72TabletextTablesTableFigureBoxstyles"/>
              <w:rPr>
                <w:lang w:eastAsia="en-GB"/>
              </w:rPr>
            </w:pPr>
          </w:p>
        </w:tc>
        <w:tc>
          <w:tcPr>
            <w:tcW w:w="0" w:type="auto"/>
            <w:shd w:val="clear" w:color="auto" w:fill="auto"/>
          </w:tcPr>
          <w:p w14:paraId="1C069DF1" w14:textId="77777777" w:rsidR="008B4DF8" w:rsidRPr="00C1603D" w:rsidRDefault="008B4DF8" w:rsidP="00C46323">
            <w:pPr>
              <w:pStyle w:val="72TabletextTablesTableFigureBoxstyles"/>
              <w:rPr>
                <w:lang w:eastAsia="en-GB"/>
              </w:rPr>
            </w:pPr>
            <w:r w:rsidRPr="00C1603D">
              <w:t>0.0610</w:t>
            </w:r>
          </w:p>
        </w:tc>
        <w:tc>
          <w:tcPr>
            <w:tcW w:w="0" w:type="auto"/>
            <w:shd w:val="clear" w:color="auto" w:fill="auto"/>
          </w:tcPr>
          <w:p w14:paraId="44E5DA1A" w14:textId="77777777" w:rsidR="008B4DF8" w:rsidRPr="00C1603D" w:rsidRDefault="008B4DF8" w:rsidP="00C46323">
            <w:pPr>
              <w:pStyle w:val="72TabletextTablesTableFigureBoxstyles"/>
              <w:rPr>
                <w:lang w:eastAsia="en-GB"/>
              </w:rPr>
            </w:pPr>
            <w:r w:rsidRPr="00C1603D">
              <w:rPr>
                <w:lang w:eastAsia="en-GB"/>
              </w:rPr>
              <w:t>6</w:t>
            </w:r>
          </w:p>
        </w:tc>
        <w:tc>
          <w:tcPr>
            <w:tcW w:w="0" w:type="auto"/>
            <w:shd w:val="clear" w:color="auto" w:fill="auto"/>
          </w:tcPr>
          <w:p w14:paraId="40ECF016" w14:textId="77777777" w:rsidR="008B4DF8" w:rsidRPr="00C1603D" w:rsidRDefault="008B4DF8" w:rsidP="00C46323">
            <w:pPr>
              <w:pStyle w:val="72TabletextTablesTableFigureBoxstyles"/>
              <w:rPr>
                <w:lang w:eastAsia="en-GB"/>
              </w:rPr>
            </w:pPr>
            <w:r w:rsidRPr="00C1603D">
              <w:rPr>
                <w:lang w:eastAsia="en-GB"/>
              </w:rPr>
              <w:t>69</w:t>
            </w:r>
          </w:p>
        </w:tc>
        <w:tc>
          <w:tcPr>
            <w:tcW w:w="0" w:type="auto"/>
            <w:shd w:val="clear" w:color="auto" w:fill="auto"/>
          </w:tcPr>
          <w:p w14:paraId="5CC35142" w14:textId="77777777" w:rsidR="008B4DF8" w:rsidRPr="00C1603D" w:rsidRDefault="008B4DF8" w:rsidP="00C46323">
            <w:pPr>
              <w:pStyle w:val="72TabletextTablesTableFigureBoxstyles"/>
              <w:rPr>
                <w:lang w:eastAsia="en-GB"/>
              </w:rPr>
            </w:pPr>
            <w:r w:rsidRPr="00C1603D">
              <w:rPr>
                <w:lang w:eastAsia="en-GB"/>
              </w:rPr>
              <w:t>94</w:t>
            </w:r>
          </w:p>
        </w:tc>
        <w:tc>
          <w:tcPr>
            <w:tcW w:w="0" w:type="auto"/>
            <w:shd w:val="clear" w:color="auto" w:fill="auto"/>
          </w:tcPr>
          <w:p w14:paraId="4C1145F0" w14:textId="77777777" w:rsidR="008B4DF8" w:rsidRPr="00C1603D" w:rsidRDefault="008B4DF8" w:rsidP="00C46323">
            <w:pPr>
              <w:pStyle w:val="72TabletextTablesTableFigureBoxstyles"/>
              <w:rPr>
                <w:lang w:eastAsia="en-GB"/>
              </w:rPr>
            </w:pPr>
            <w:r w:rsidRPr="00C1603D">
              <w:rPr>
                <w:lang w:eastAsia="en-GB"/>
              </w:rPr>
              <w:t>9831</w:t>
            </w:r>
          </w:p>
        </w:tc>
        <w:tc>
          <w:tcPr>
            <w:tcW w:w="0" w:type="auto"/>
            <w:shd w:val="clear" w:color="auto" w:fill="auto"/>
          </w:tcPr>
          <w:p w14:paraId="4DB4F6C8" w14:textId="56232213" w:rsidR="008B4DF8" w:rsidRPr="00C1603D" w:rsidRDefault="008B4DF8" w:rsidP="00C46323">
            <w:pPr>
              <w:pStyle w:val="72TabletextTablesTableFigureBoxstyles"/>
              <w:rPr>
                <w:lang w:eastAsia="en-GB"/>
              </w:rPr>
            </w:pPr>
            <w:r w:rsidRPr="00C1603D">
              <w:rPr>
                <w:lang w:eastAsia="en-GB"/>
              </w:rPr>
              <w:t>6.3</w:t>
            </w:r>
          </w:p>
        </w:tc>
        <w:tc>
          <w:tcPr>
            <w:tcW w:w="0" w:type="auto"/>
            <w:shd w:val="clear" w:color="auto" w:fill="auto"/>
          </w:tcPr>
          <w:p w14:paraId="326C3465" w14:textId="1CDF03AD" w:rsidR="008B4DF8" w:rsidRPr="00C1603D" w:rsidRDefault="008B4DF8" w:rsidP="00C46323">
            <w:pPr>
              <w:pStyle w:val="72TabletextTablesTableFigureBoxstyles"/>
              <w:rPr>
                <w:lang w:eastAsia="en-GB"/>
              </w:rPr>
            </w:pPr>
            <w:r w:rsidRPr="00C1603D">
              <w:rPr>
                <w:lang w:eastAsia="en-GB"/>
              </w:rPr>
              <w:t>99.3</w:t>
            </w:r>
          </w:p>
        </w:tc>
        <w:tc>
          <w:tcPr>
            <w:tcW w:w="0" w:type="auto"/>
            <w:shd w:val="clear" w:color="auto" w:fill="auto"/>
          </w:tcPr>
          <w:p w14:paraId="7C22C315" w14:textId="329CD658" w:rsidR="008B4DF8" w:rsidRPr="00C1603D" w:rsidRDefault="008B4DF8" w:rsidP="00C46323">
            <w:pPr>
              <w:pStyle w:val="72TabletextTablesTableFigureBoxstyles"/>
              <w:rPr>
                <w:lang w:eastAsia="en-GB"/>
              </w:rPr>
            </w:pPr>
            <w:r w:rsidRPr="00C1603D">
              <w:rPr>
                <w:lang w:eastAsia="en-GB"/>
              </w:rPr>
              <w:t>8.2</w:t>
            </w:r>
          </w:p>
        </w:tc>
        <w:tc>
          <w:tcPr>
            <w:tcW w:w="0" w:type="auto"/>
            <w:shd w:val="clear" w:color="auto" w:fill="auto"/>
          </w:tcPr>
          <w:p w14:paraId="5CA2E5E7" w14:textId="45D7C749" w:rsidR="008B4DF8" w:rsidRPr="00C1603D" w:rsidRDefault="008B4DF8" w:rsidP="00C46323">
            <w:pPr>
              <w:pStyle w:val="72TabletextTablesTableFigureBoxstyles"/>
              <w:rPr>
                <w:lang w:eastAsia="en-GB"/>
              </w:rPr>
            </w:pPr>
            <w:r w:rsidRPr="00C1603D">
              <w:rPr>
                <w:lang w:eastAsia="en-GB"/>
              </w:rPr>
              <w:t>99.1</w:t>
            </w:r>
          </w:p>
        </w:tc>
        <w:tc>
          <w:tcPr>
            <w:tcW w:w="0" w:type="auto"/>
            <w:shd w:val="clear" w:color="auto" w:fill="auto"/>
          </w:tcPr>
          <w:p w14:paraId="705AB0B2" w14:textId="77777777" w:rsidR="008B4DF8" w:rsidRPr="00C1603D" w:rsidRDefault="008B4DF8" w:rsidP="00C46323">
            <w:pPr>
              <w:pStyle w:val="72TabletextTablesTableFigureBoxstyles"/>
              <w:rPr>
                <w:lang w:eastAsia="en-GB"/>
              </w:rPr>
            </w:pPr>
            <w:r w:rsidRPr="00C1603D">
              <w:rPr>
                <w:lang w:eastAsia="en-GB"/>
              </w:rPr>
              <w:t>93.7</w:t>
            </w:r>
          </w:p>
        </w:tc>
      </w:tr>
      <w:tr w:rsidR="00C46323" w:rsidRPr="00C1603D" w14:paraId="17867995" w14:textId="77777777" w:rsidTr="00C46323">
        <w:trPr>
          <w:cantSplit/>
        </w:trPr>
        <w:tc>
          <w:tcPr>
            <w:tcW w:w="0" w:type="auto"/>
            <w:vMerge/>
            <w:shd w:val="clear" w:color="auto" w:fill="auto"/>
          </w:tcPr>
          <w:p w14:paraId="57801F9A" w14:textId="77777777" w:rsidR="008B4DF8" w:rsidRPr="00C1603D" w:rsidRDefault="008B4DF8" w:rsidP="00C46323">
            <w:pPr>
              <w:pStyle w:val="72TabletextTablesTableFigureBoxstyles"/>
              <w:rPr>
                <w:lang w:eastAsia="en-GB"/>
              </w:rPr>
            </w:pPr>
          </w:p>
        </w:tc>
        <w:tc>
          <w:tcPr>
            <w:tcW w:w="0" w:type="auto"/>
            <w:shd w:val="clear" w:color="auto" w:fill="auto"/>
          </w:tcPr>
          <w:p w14:paraId="69494CE1" w14:textId="77777777" w:rsidR="008B4DF8" w:rsidRPr="00C1603D" w:rsidRDefault="008B4DF8" w:rsidP="00C46323">
            <w:pPr>
              <w:pStyle w:val="72TabletextTablesTableFigureBoxstyles"/>
              <w:rPr>
                <w:lang w:eastAsia="en-GB"/>
              </w:rPr>
            </w:pPr>
            <w:r w:rsidRPr="00C1603D">
              <w:t>0.2820</w:t>
            </w:r>
          </w:p>
        </w:tc>
        <w:tc>
          <w:tcPr>
            <w:tcW w:w="0" w:type="auto"/>
            <w:shd w:val="clear" w:color="auto" w:fill="auto"/>
          </w:tcPr>
          <w:p w14:paraId="3C175032" w14:textId="77777777" w:rsidR="008B4DF8" w:rsidRPr="00C1603D" w:rsidRDefault="008B4DF8" w:rsidP="00C46323">
            <w:pPr>
              <w:pStyle w:val="72TabletextTablesTableFigureBoxstyles"/>
              <w:rPr>
                <w:lang w:eastAsia="en-GB"/>
              </w:rPr>
            </w:pPr>
            <w:r w:rsidRPr="00C1603D">
              <w:rPr>
                <w:lang w:eastAsia="en-GB"/>
              </w:rPr>
              <w:t>2</w:t>
            </w:r>
          </w:p>
        </w:tc>
        <w:tc>
          <w:tcPr>
            <w:tcW w:w="0" w:type="auto"/>
            <w:shd w:val="clear" w:color="auto" w:fill="auto"/>
          </w:tcPr>
          <w:p w14:paraId="656C5CB0" w14:textId="77777777" w:rsidR="008B4DF8" w:rsidRPr="00C1603D" w:rsidRDefault="008B4DF8" w:rsidP="00C46323">
            <w:pPr>
              <w:pStyle w:val="72TabletextTablesTableFigureBoxstyles"/>
              <w:rPr>
                <w:lang w:eastAsia="en-GB"/>
              </w:rPr>
            </w:pPr>
            <w:r w:rsidRPr="00C1603D">
              <w:rPr>
                <w:lang w:eastAsia="en-GB"/>
              </w:rPr>
              <w:t>10</w:t>
            </w:r>
          </w:p>
        </w:tc>
        <w:tc>
          <w:tcPr>
            <w:tcW w:w="0" w:type="auto"/>
            <w:shd w:val="clear" w:color="auto" w:fill="auto"/>
          </w:tcPr>
          <w:p w14:paraId="092CB391" w14:textId="77777777" w:rsidR="008B4DF8" w:rsidRPr="00C1603D" w:rsidRDefault="008B4DF8" w:rsidP="00C46323">
            <w:pPr>
              <w:pStyle w:val="72TabletextTablesTableFigureBoxstyles"/>
              <w:rPr>
                <w:lang w:eastAsia="en-GB"/>
              </w:rPr>
            </w:pPr>
            <w:r w:rsidRPr="00C1603D">
              <w:rPr>
                <w:lang w:eastAsia="en-GB"/>
              </w:rPr>
              <w:t>98</w:t>
            </w:r>
          </w:p>
        </w:tc>
        <w:tc>
          <w:tcPr>
            <w:tcW w:w="0" w:type="auto"/>
            <w:shd w:val="clear" w:color="auto" w:fill="auto"/>
          </w:tcPr>
          <w:p w14:paraId="12F17D2C" w14:textId="77777777" w:rsidR="008B4DF8" w:rsidRPr="00C1603D" w:rsidRDefault="008B4DF8" w:rsidP="00C46323">
            <w:pPr>
              <w:pStyle w:val="72TabletextTablesTableFigureBoxstyles"/>
              <w:rPr>
                <w:lang w:eastAsia="en-GB"/>
              </w:rPr>
            </w:pPr>
            <w:r w:rsidRPr="00C1603D">
              <w:rPr>
                <w:lang w:eastAsia="en-GB"/>
              </w:rPr>
              <w:t>9890</w:t>
            </w:r>
          </w:p>
        </w:tc>
        <w:tc>
          <w:tcPr>
            <w:tcW w:w="0" w:type="auto"/>
            <w:shd w:val="clear" w:color="auto" w:fill="auto"/>
          </w:tcPr>
          <w:p w14:paraId="555BBD00" w14:textId="020502C8" w:rsidR="008B4DF8" w:rsidRPr="00C1603D" w:rsidRDefault="008B4DF8" w:rsidP="00C46323">
            <w:pPr>
              <w:pStyle w:val="72TabletextTablesTableFigureBoxstyles"/>
              <w:rPr>
                <w:lang w:eastAsia="en-GB"/>
              </w:rPr>
            </w:pPr>
            <w:r w:rsidRPr="00C1603D">
              <w:rPr>
                <w:lang w:eastAsia="en-GB"/>
              </w:rPr>
              <w:t>2.0</w:t>
            </w:r>
          </w:p>
        </w:tc>
        <w:tc>
          <w:tcPr>
            <w:tcW w:w="0" w:type="auto"/>
            <w:shd w:val="clear" w:color="auto" w:fill="auto"/>
          </w:tcPr>
          <w:p w14:paraId="3B6E95CC" w14:textId="15485C2B" w:rsidR="008B4DF8" w:rsidRPr="00C1603D" w:rsidRDefault="008B4DF8" w:rsidP="00C46323">
            <w:pPr>
              <w:pStyle w:val="72TabletextTablesTableFigureBoxstyles"/>
              <w:rPr>
                <w:lang w:eastAsia="en-GB"/>
              </w:rPr>
            </w:pPr>
            <w:r w:rsidRPr="00C1603D">
              <w:rPr>
                <w:lang w:eastAsia="en-GB"/>
              </w:rPr>
              <w:t>99.9</w:t>
            </w:r>
          </w:p>
        </w:tc>
        <w:tc>
          <w:tcPr>
            <w:tcW w:w="0" w:type="auto"/>
            <w:shd w:val="clear" w:color="auto" w:fill="auto"/>
          </w:tcPr>
          <w:p w14:paraId="1C75830F" w14:textId="1404A93B" w:rsidR="008B4DF8" w:rsidRPr="00C1603D" w:rsidRDefault="008B4DF8" w:rsidP="00C46323">
            <w:pPr>
              <w:pStyle w:val="72TabletextTablesTableFigureBoxstyles"/>
              <w:rPr>
                <w:lang w:eastAsia="en-GB"/>
              </w:rPr>
            </w:pPr>
            <w:r w:rsidRPr="00C1603D">
              <w:rPr>
                <w:lang w:eastAsia="en-GB"/>
              </w:rPr>
              <w:t>14.2</w:t>
            </w:r>
          </w:p>
        </w:tc>
        <w:tc>
          <w:tcPr>
            <w:tcW w:w="0" w:type="auto"/>
            <w:shd w:val="clear" w:color="auto" w:fill="auto"/>
          </w:tcPr>
          <w:p w14:paraId="6331A905" w14:textId="11DCEB1E" w:rsidR="008B4DF8" w:rsidRPr="00C1603D" w:rsidRDefault="008B4DF8" w:rsidP="00C46323">
            <w:pPr>
              <w:pStyle w:val="72TabletextTablesTableFigureBoxstyles"/>
              <w:rPr>
                <w:lang w:eastAsia="en-GB"/>
              </w:rPr>
            </w:pPr>
            <w:r w:rsidRPr="00C1603D">
              <w:rPr>
                <w:lang w:eastAsia="en-GB"/>
              </w:rPr>
              <w:t>99.0</w:t>
            </w:r>
          </w:p>
        </w:tc>
        <w:tc>
          <w:tcPr>
            <w:tcW w:w="0" w:type="auto"/>
            <w:shd w:val="clear" w:color="auto" w:fill="auto"/>
          </w:tcPr>
          <w:p w14:paraId="032E051A" w14:textId="77777777" w:rsidR="008B4DF8" w:rsidRPr="00C1603D" w:rsidRDefault="008B4DF8" w:rsidP="00C46323">
            <w:pPr>
              <w:pStyle w:val="72TabletextTablesTableFigureBoxstyles"/>
              <w:rPr>
                <w:lang w:eastAsia="en-GB"/>
              </w:rPr>
            </w:pPr>
            <w:r w:rsidRPr="00C1603D">
              <w:rPr>
                <w:lang w:eastAsia="en-GB"/>
              </w:rPr>
              <w:t>98</w:t>
            </w:r>
          </w:p>
        </w:tc>
      </w:tr>
      <w:tr w:rsidR="00377908" w:rsidRPr="00C1603D" w14:paraId="63249C90" w14:textId="77777777" w:rsidTr="00C46323">
        <w:trPr>
          <w:cantSplit/>
        </w:trPr>
        <w:tc>
          <w:tcPr>
            <w:tcW w:w="0" w:type="auto"/>
            <w:gridSpan w:val="11"/>
            <w:shd w:val="clear" w:color="auto" w:fill="auto"/>
          </w:tcPr>
          <w:p w14:paraId="1FCB25E8" w14:textId="77777777" w:rsidR="00377908" w:rsidRPr="00C1603D" w:rsidRDefault="00377908" w:rsidP="00C46323">
            <w:pPr>
              <w:pStyle w:val="75TablenotesTablesTableFigureBoxstyles"/>
              <w:rPr>
                <w:lang w:eastAsia="en-GB"/>
              </w:rPr>
            </w:pPr>
            <w:r w:rsidRPr="00C1603D">
              <w:rPr>
                <w:lang w:eastAsia="en-GB"/>
              </w:rPr>
              <w:t>FN, false negative; FP, false positive</w:t>
            </w:r>
            <w:r w:rsidR="00C26563" w:rsidRPr="00C1603D">
              <w:rPr>
                <w:lang w:eastAsia="en-GB"/>
              </w:rPr>
              <w:t>;</w:t>
            </w:r>
            <w:r w:rsidR="00C46323" w:rsidRPr="00C1603D">
              <w:rPr>
                <w:lang w:eastAsia="en-GB"/>
              </w:rPr>
              <w:t xml:space="preserve"> NA, not applicable;</w:t>
            </w:r>
            <w:r w:rsidR="00C26563" w:rsidRPr="00C1603D">
              <w:rPr>
                <w:lang w:eastAsia="en-GB"/>
              </w:rPr>
              <w:t xml:space="preserve"> </w:t>
            </w:r>
            <w:r w:rsidR="00C46323" w:rsidRPr="00C1603D">
              <w:rPr>
                <w:lang w:eastAsia="en-GB"/>
              </w:rPr>
              <w:t xml:space="preserve">NPV, negative predictive value; </w:t>
            </w:r>
            <w:r w:rsidR="00C26563" w:rsidRPr="00C1603D">
              <w:rPr>
                <w:lang w:eastAsia="en-GB"/>
              </w:rPr>
              <w:t>TN, true negative; TP, true positive</w:t>
            </w:r>
            <w:r w:rsidRPr="00C1603D">
              <w:rPr>
                <w:lang w:eastAsia="en-GB"/>
              </w:rPr>
              <w:t>.</w:t>
            </w:r>
          </w:p>
          <w:p w14:paraId="37AC2C19" w14:textId="4673DD38" w:rsidR="00C46323" w:rsidRPr="00C1603D" w:rsidRDefault="00C46323" w:rsidP="00C46323">
            <w:pPr>
              <w:pStyle w:val="75TablenotesTablesTableFigureBoxstyles"/>
              <w:rPr>
                <w:lang w:eastAsia="en-GB"/>
              </w:rPr>
            </w:pPr>
            <w:r w:rsidRPr="00C1603D">
              <w:rPr>
                <w:lang w:eastAsia="en-GB"/>
              </w:rPr>
              <w:t>a</w:t>
            </w:r>
            <w:r w:rsidRPr="00C1603D">
              <w:rPr>
                <w:lang w:eastAsia="en-GB"/>
              </w:rPr>
              <w:tab/>
            </w:r>
            <w:r w:rsidRPr="00C1603D">
              <w:t>In a population of 10,000 people.</w:t>
            </w:r>
          </w:p>
        </w:tc>
      </w:tr>
    </w:tbl>
    <w:p w14:paraId="1CF31962" w14:textId="0A3217EE" w:rsidR="008B4DF8" w:rsidRPr="00C1603D" w:rsidRDefault="008B4DF8" w:rsidP="008B4DF8">
      <w:pPr>
        <w:pStyle w:val="43AppendixtitleHeadingsHeadingstyles"/>
      </w:pPr>
      <w:bookmarkStart w:id="678" w:name="_Toc99539939"/>
      <w:bookmarkStart w:id="679" w:name="_Ref86164321"/>
      <w:bookmarkStart w:id="680" w:name="_Ref87617976"/>
      <w:bookmarkStart w:id="681" w:name="_Ref83999043"/>
      <w:bookmarkStart w:id="682" w:name="_Ref86165359"/>
      <w:bookmarkStart w:id="683" w:name="_Ref83911007"/>
      <w:r w:rsidRPr="00C1603D">
        <w:lastRenderedPageBreak/>
        <w:t>Appendix 14</w:t>
      </w:r>
      <w:bookmarkEnd w:id="678"/>
      <w:r w:rsidR="00C46323" w:rsidRPr="00C1603D">
        <w:t> </w:t>
      </w:r>
      <w:r w:rsidR="00C46323" w:rsidRPr="00C1603D">
        <w:t>Model performance after including ethnicity and deprivation as predictions</w:t>
      </w:r>
    </w:p>
    <w:p w14:paraId="35217D53" w14:textId="2758CEB9" w:rsidR="008B4DF8" w:rsidRPr="00C1603D" w:rsidRDefault="008B4DF8" w:rsidP="008B4DF8">
      <w:pPr>
        <w:pStyle w:val="70TablelegendTablesTableFigureBoxstyles"/>
      </w:pPr>
      <w:bookmarkStart w:id="684" w:name="_Toc99720767"/>
      <w:r w:rsidRPr="00C1603D">
        <w:rPr>
          <w:b/>
        </w:rPr>
        <w:t>TABLE 5</w:t>
      </w:r>
      <w:r w:rsidR="00032460" w:rsidRPr="00C1603D">
        <w:rPr>
          <w:b/>
        </w:rPr>
        <w:t>7</w:t>
      </w:r>
      <w:r w:rsidRPr="00C1603D">
        <w:rPr>
          <w:b/>
        </w:rPr>
        <w:t> </w:t>
      </w:r>
      <w:r w:rsidRPr="00C1603D">
        <w:t>Model performance after including ethnicity and deprivation as predictions</w:t>
      </w:r>
      <w:bookmarkEnd w:id="684"/>
    </w:p>
    <w:tbl>
      <w:tblPr>
        <w:tblW w:w="0" w:type="auto"/>
        <w:tblInd w:w="-5" w:type="dxa"/>
        <w:tblCellMar>
          <w:top w:w="40" w:type="dxa"/>
          <w:left w:w="60" w:type="dxa"/>
          <w:bottom w:w="40" w:type="dxa"/>
          <w:right w:w="60" w:type="dxa"/>
        </w:tblCellMar>
        <w:tblLook w:val="04A0" w:firstRow="1" w:lastRow="0" w:firstColumn="1" w:lastColumn="0" w:noHBand="0" w:noVBand="1"/>
      </w:tblPr>
      <w:tblGrid>
        <w:gridCol w:w="1735"/>
        <w:gridCol w:w="2524"/>
        <w:gridCol w:w="2380"/>
        <w:gridCol w:w="2392"/>
      </w:tblGrid>
      <w:tr w:rsidR="00C46323" w:rsidRPr="00C1603D" w14:paraId="07B88D04" w14:textId="77777777" w:rsidTr="00D4256B">
        <w:trPr>
          <w:cantSplit/>
        </w:trPr>
        <w:tc>
          <w:tcPr>
            <w:tcW w:w="0" w:type="auto"/>
            <w:vMerge w:val="restart"/>
            <w:shd w:val="clear" w:color="auto" w:fill="auto"/>
          </w:tcPr>
          <w:p w14:paraId="64EF8CEC" w14:textId="5BBEA89B" w:rsidR="00C46323" w:rsidRPr="00C1603D" w:rsidRDefault="00C46323" w:rsidP="00C46323">
            <w:pPr>
              <w:pStyle w:val="710TableheadTablesTableFigureBoxstyles"/>
            </w:pPr>
            <w:r w:rsidRPr="00C1603D">
              <w:t>Data</w:t>
            </w:r>
          </w:p>
        </w:tc>
        <w:tc>
          <w:tcPr>
            <w:tcW w:w="0" w:type="auto"/>
            <w:gridSpan w:val="2"/>
            <w:shd w:val="clear" w:color="auto" w:fill="auto"/>
          </w:tcPr>
          <w:p w14:paraId="347246DB" w14:textId="07D02A74" w:rsidR="00C46323" w:rsidRPr="00C1603D" w:rsidRDefault="00C46323" w:rsidP="00C46323">
            <w:pPr>
              <w:pStyle w:val="705TableheadgroupTablesTableFigureBoxstyles"/>
            </w:pPr>
            <w:r w:rsidRPr="00C1603D">
              <w:t>Apparent model performance</w:t>
            </w:r>
          </w:p>
        </w:tc>
        <w:tc>
          <w:tcPr>
            <w:tcW w:w="0" w:type="auto"/>
            <w:shd w:val="clear" w:color="auto" w:fill="auto"/>
          </w:tcPr>
          <w:p w14:paraId="1F151AF9" w14:textId="77777777" w:rsidR="00C46323" w:rsidRPr="00C1603D" w:rsidRDefault="00C46323" w:rsidP="00B1598B">
            <w:pPr>
              <w:pStyle w:val="705TableheadgroupTablesTableFigureBoxstyles"/>
            </w:pPr>
            <w:r w:rsidRPr="00C1603D">
              <w:t>Updated model performance</w:t>
            </w:r>
          </w:p>
        </w:tc>
      </w:tr>
      <w:tr w:rsidR="00C46323" w:rsidRPr="00C1603D" w14:paraId="6C372686" w14:textId="77777777" w:rsidTr="00C46323">
        <w:trPr>
          <w:cantSplit/>
        </w:trPr>
        <w:tc>
          <w:tcPr>
            <w:tcW w:w="0" w:type="auto"/>
            <w:vMerge/>
            <w:shd w:val="clear" w:color="auto" w:fill="auto"/>
          </w:tcPr>
          <w:p w14:paraId="4E067BAA" w14:textId="5C795340" w:rsidR="00C46323" w:rsidRPr="00C1603D" w:rsidRDefault="00C46323" w:rsidP="00C46323">
            <w:pPr>
              <w:pStyle w:val="710TableheadTablesTableFigureBoxstyles"/>
            </w:pPr>
          </w:p>
        </w:tc>
        <w:tc>
          <w:tcPr>
            <w:tcW w:w="0" w:type="auto"/>
            <w:shd w:val="clear" w:color="auto" w:fill="auto"/>
          </w:tcPr>
          <w:p w14:paraId="69C2FED9" w14:textId="43FB6D30" w:rsidR="00C46323" w:rsidRPr="00C1603D" w:rsidRDefault="00C46323" w:rsidP="00C46323">
            <w:pPr>
              <w:pStyle w:val="710TableheadTablesTableFigureBoxstyles"/>
            </w:pPr>
            <w:r w:rsidRPr="00C1603D">
              <w:t>Original data set (CPRD GOLD)</w:t>
            </w:r>
          </w:p>
        </w:tc>
        <w:tc>
          <w:tcPr>
            <w:tcW w:w="0" w:type="auto"/>
            <w:shd w:val="clear" w:color="auto" w:fill="auto"/>
          </w:tcPr>
          <w:p w14:paraId="78B7BFB8" w14:textId="408C4AD1" w:rsidR="00C46323" w:rsidRPr="00C1603D" w:rsidRDefault="00C46323" w:rsidP="00C46323">
            <w:pPr>
              <w:pStyle w:val="710TableheadTablesTableFigureBoxstyles"/>
            </w:pPr>
            <w:r w:rsidRPr="00C1603D">
              <w:t>CPRD GOLD linked with HES</w:t>
            </w:r>
          </w:p>
        </w:tc>
        <w:tc>
          <w:tcPr>
            <w:tcW w:w="0" w:type="auto"/>
            <w:shd w:val="clear" w:color="auto" w:fill="auto"/>
          </w:tcPr>
          <w:p w14:paraId="3C42DD78" w14:textId="7CAB290A" w:rsidR="00C46323" w:rsidRPr="00C1603D" w:rsidRDefault="00C46323" w:rsidP="00C46323">
            <w:pPr>
              <w:pStyle w:val="710TableheadTablesTableFigureBoxstyles"/>
            </w:pPr>
            <w:r w:rsidRPr="00C1603D">
              <w:t>CPRD GOLD linked with HES</w:t>
            </w:r>
          </w:p>
        </w:tc>
      </w:tr>
      <w:tr w:rsidR="008B4DF8" w:rsidRPr="00C1603D" w14:paraId="6419115E" w14:textId="77777777" w:rsidTr="00C46323">
        <w:trPr>
          <w:cantSplit/>
        </w:trPr>
        <w:tc>
          <w:tcPr>
            <w:tcW w:w="0" w:type="auto"/>
            <w:gridSpan w:val="4"/>
            <w:shd w:val="clear" w:color="auto" w:fill="auto"/>
          </w:tcPr>
          <w:p w14:paraId="1ACDCC08" w14:textId="77777777" w:rsidR="008B4DF8" w:rsidRPr="00C1603D" w:rsidRDefault="008B4DF8" w:rsidP="00C46323">
            <w:pPr>
              <w:pStyle w:val="711TablesubheadATablesTableFigureBoxstyles"/>
            </w:pPr>
            <w:r w:rsidRPr="00C1603D">
              <w:t>Children</w:t>
            </w:r>
          </w:p>
        </w:tc>
      </w:tr>
      <w:tr w:rsidR="008B4DF8" w:rsidRPr="00C1603D" w14:paraId="76C36717" w14:textId="77777777" w:rsidTr="00C46323">
        <w:trPr>
          <w:cantSplit/>
        </w:trPr>
        <w:tc>
          <w:tcPr>
            <w:tcW w:w="0" w:type="auto"/>
            <w:shd w:val="clear" w:color="auto" w:fill="auto"/>
          </w:tcPr>
          <w:p w14:paraId="30BC2169" w14:textId="4E95F6B8" w:rsidR="008B4DF8" w:rsidRPr="00C1603D" w:rsidRDefault="008B4DF8" w:rsidP="00C46323">
            <w:pPr>
              <w:pStyle w:val="72TabletextTablesTableFigureBoxstyles"/>
            </w:pPr>
            <w:r w:rsidRPr="00C1603D">
              <w:rPr>
                <w:i/>
                <w:iCs/>
              </w:rPr>
              <w:t>R</w:t>
            </w:r>
            <w:r w:rsidR="00B1598B" w:rsidRPr="00C1603D">
              <w:rPr>
                <w:vertAlign w:val="superscript"/>
              </w:rPr>
              <w:t>2</w:t>
            </w:r>
          </w:p>
        </w:tc>
        <w:tc>
          <w:tcPr>
            <w:tcW w:w="0" w:type="auto"/>
            <w:shd w:val="clear" w:color="auto" w:fill="auto"/>
          </w:tcPr>
          <w:p w14:paraId="3C5A7FF4" w14:textId="77777777" w:rsidR="008B4DF8" w:rsidRPr="00C1603D" w:rsidRDefault="008B4DF8" w:rsidP="00F77847">
            <w:pPr>
              <w:pStyle w:val="72TabletextTablesTableFigureBoxstyles"/>
            </w:pPr>
            <w:r w:rsidRPr="00C1603D">
              <w:t>0.407</w:t>
            </w:r>
          </w:p>
        </w:tc>
        <w:tc>
          <w:tcPr>
            <w:tcW w:w="0" w:type="auto"/>
            <w:shd w:val="clear" w:color="auto" w:fill="auto"/>
          </w:tcPr>
          <w:p w14:paraId="76EB8011" w14:textId="77777777" w:rsidR="008B4DF8" w:rsidRPr="00C1603D" w:rsidRDefault="008B4DF8" w:rsidP="00F77847">
            <w:pPr>
              <w:pStyle w:val="72TabletextTablesTableFigureBoxstyles"/>
            </w:pPr>
            <w:r w:rsidRPr="00C1603D">
              <w:t>0.422</w:t>
            </w:r>
          </w:p>
        </w:tc>
        <w:tc>
          <w:tcPr>
            <w:tcW w:w="0" w:type="auto"/>
            <w:shd w:val="clear" w:color="auto" w:fill="auto"/>
          </w:tcPr>
          <w:p w14:paraId="439CF081" w14:textId="77777777" w:rsidR="008B4DF8" w:rsidRPr="00C1603D" w:rsidRDefault="008B4DF8" w:rsidP="00F77847">
            <w:pPr>
              <w:pStyle w:val="72TabletextTablesTableFigureBoxstyles"/>
            </w:pPr>
            <w:r w:rsidRPr="00C1603D">
              <w:t>0.426</w:t>
            </w:r>
          </w:p>
        </w:tc>
      </w:tr>
      <w:tr w:rsidR="008B4DF8" w:rsidRPr="00C1603D" w14:paraId="0F74B793" w14:textId="77777777" w:rsidTr="00C46323">
        <w:trPr>
          <w:cantSplit/>
        </w:trPr>
        <w:tc>
          <w:tcPr>
            <w:tcW w:w="0" w:type="auto"/>
            <w:shd w:val="clear" w:color="auto" w:fill="auto"/>
          </w:tcPr>
          <w:p w14:paraId="4156E294" w14:textId="77777777" w:rsidR="008B4DF8" w:rsidRPr="00C1603D" w:rsidRDefault="008B4DF8" w:rsidP="00C46323">
            <w:pPr>
              <w:pStyle w:val="72TabletextTablesTableFigureBoxstyles"/>
            </w:pPr>
            <w:r w:rsidRPr="00C1603D">
              <w:t>Brier score</w:t>
            </w:r>
          </w:p>
        </w:tc>
        <w:tc>
          <w:tcPr>
            <w:tcW w:w="0" w:type="auto"/>
            <w:shd w:val="clear" w:color="auto" w:fill="auto"/>
          </w:tcPr>
          <w:p w14:paraId="3D3F201B" w14:textId="77777777" w:rsidR="008B4DF8" w:rsidRPr="00C1603D" w:rsidRDefault="008B4DF8" w:rsidP="00F77847">
            <w:pPr>
              <w:pStyle w:val="72TabletextTablesTableFigureBoxstyles"/>
            </w:pPr>
            <w:r w:rsidRPr="00C1603D">
              <w:t>0.167</w:t>
            </w:r>
          </w:p>
        </w:tc>
        <w:tc>
          <w:tcPr>
            <w:tcW w:w="0" w:type="auto"/>
            <w:shd w:val="clear" w:color="auto" w:fill="auto"/>
          </w:tcPr>
          <w:p w14:paraId="39BF8B91" w14:textId="77777777" w:rsidR="008B4DF8" w:rsidRPr="00C1603D" w:rsidRDefault="008B4DF8" w:rsidP="00F77847">
            <w:pPr>
              <w:pStyle w:val="72TabletextTablesTableFigureBoxstyles"/>
            </w:pPr>
            <w:r w:rsidRPr="00C1603D">
              <w:t>0.181</w:t>
            </w:r>
          </w:p>
        </w:tc>
        <w:tc>
          <w:tcPr>
            <w:tcW w:w="0" w:type="auto"/>
            <w:shd w:val="clear" w:color="auto" w:fill="auto"/>
          </w:tcPr>
          <w:p w14:paraId="045A18C4" w14:textId="77777777" w:rsidR="008B4DF8" w:rsidRPr="00C1603D" w:rsidRDefault="008B4DF8" w:rsidP="00F77847">
            <w:pPr>
              <w:pStyle w:val="72TabletextTablesTableFigureBoxstyles"/>
            </w:pPr>
            <w:r w:rsidRPr="00C1603D">
              <w:t>0.113</w:t>
            </w:r>
          </w:p>
        </w:tc>
      </w:tr>
      <w:tr w:rsidR="008B4DF8" w:rsidRPr="00C1603D" w14:paraId="43BD9AD2" w14:textId="77777777" w:rsidTr="00C46323">
        <w:trPr>
          <w:cantSplit/>
        </w:trPr>
        <w:tc>
          <w:tcPr>
            <w:tcW w:w="0" w:type="auto"/>
            <w:shd w:val="clear" w:color="auto" w:fill="auto"/>
          </w:tcPr>
          <w:p w14:paraId="0BB347DD" w14:textId="79CD3F61" w:rsidR="008B4DF8" w:rsidRPr="00C1603D" w:rsidRDefault="00B1598B" w:rsidP="00C46323">
            <w:pPr>
              <w:pStyle w:val="72TabletextTablesTableFigureBoxstyles"/>
            </w:pPr>
            <w:r w:rsidRPr="00C1603D">
              <w:rPr>
                <w:i/>
                <w:iCs/>
              </w:rPr>
              <w:t>c</w:t>
            </w:r>
            <w:r w:rsidR="008B5148" w:rsidRPr="00C1603D">
              <w:t>-stat</w:t>
            </w:r>
            <w:r w:rsidR="008B4DF8" w:rsidRPr="00C1603D">
              <w:t>istic</w:t>
            </w:r>
          </w:p>
        </w:tc>
        <w:tc>
          <w:tcPr>
            <w:tcW w:w="0" w:type="auto"/>
            <w:shd w:val="clear" w:color="auto" w:fill="auto"/>
          </w:tcPr>
          <w:p w14:paraId="77D8AB5E" w14:textId="77777777" w:rsidR="008B4DF8" w:rsidRPr="00C1603D" w:rsidRDefault="008B4DF8" w:rsidP="00F77847">
            <w:pPr>
              <w:pStyle w:val="72TabletextTablesTableFigureBoxstyles"/>
            </w:pPr>
            <w:r w:rsidRPr="00C1603D">
              <w:t>0.821</w:t>
            </w:r>
          </w:p>
        </w:tc>
        <w:tc>
          <w:tcPr>
            <w:tcW w:w="0" w:type="auto"/>
            <w:shd w:val="clear" w:color="auto" w:fill="auto"/>
          </w:tcPr>
          <w:p w14:paraId="4E333D4B" w14:textId="77777777" w:rsidR="008B4DF8" w:rsidRPr="00C1603D" w:rsidRDefault="008B4DF8" w:rsidP="00F77847">
            <w:pPr>
              <w:pStyle w:val="72TabletextTablesTableFigureBoxstyles"/>
            </w:pPr>
            <w:r w:rsidRPr="00C1603D">
              <w:t>0.824</w:t>
            </w:r>
          </w:p>
        </w:tc>
        <w:tc>
          <w:tcPr>
            <w:tcW w:w="0" w:type="auto"/>
            <w:shd w:val="clear" w:color="auto" w:fill="auto"/>
          </w:tcPr>
          <w:p w14:paraId="1EC341BC" w14:textId="77777777" w:rsidR="008B4DF8" w:rsidRPr="00C1603D" w:rsidRDefault="008B4DF8" w:rsidP="00F77847">
            <w:pPr>
              <w:pStyle w:val="72TabletextTablesTableFigureBoxstyles"/>
            </w:pPr>
            <w:r w:rsidRPr="00C1603D">
              <w:t>0.824</w:t>
            </w:r>
          </w:p>
        </w:tc>
      </w:tr>
      <w:tr w:rsidR="008B4DF8" w:rsidRPr="00C1603D" w14:paraId="382CADCB" w14:textId="77777777" w:rsidTr="00C46323">
        <w:trPr>
          <w:cantSplit/>
        </w:trPr>
        <w:tc>
          <w:tcPr>
            <w:tcW w:w="0" w:type="auto"/>
            <w:shd w:val="clear" w:color="auto" w:fill="auto"/>
          </w:tcPr>
          <w:p w14:paraId="5BE935BE" w14:textId="77777777" w:rsidR="008B4DF8" w:rsidRPr="00C1603D" w:rsidRDefault="008B4DF8" w:rsidP="00C46323">
            <w:pPr>
              <w:pStyle w:val="72TabletextTablesTableFigureBoxstyles"/>
            </w:pPr>
            <w:r w:rsidRPr="00C1603D">
              <w:t>Calibration intercept</w:t>
            </w:r>
            <w:r w:rsidRPr="00C1603D">
              <w:rPr>
                <w:vertAlign w:val="superscript"/>
              </w:rPr>
              <w:t>a</w:t>
            </w:r>
          </w:p>
        </w:tc>
        <w:tc>
          <w:tcPr>
            <w:tcW w:w="0" w:type="auto"/>
            <w:shd w:val="clear" w:color="auto" w:fill="auto"/>
          </w:tcPr>
          <w:p w14:paraId="1CBF907E" w14:textId="77777777" w:rsidR="008B4DF8" w:rsidRPr="00C1603D" w:rsidRDefault="008B4DF8" w:rsidP="00F77847">
            <w:pPr>
              <w:pStyle w:val="72TabletextTablesTableFigureBoxstyles"/>
            </w:pPr>
            <w:r w:rsidRPr="00C1603D">
              <w:t>0.147</w:t>
            </w:r>
          </w:p>
        </w:tc>
        <w:tc>
          <w:tcPr>
            <w:tcW w:w="0" w:type="auto"/>
            <w:shd w:val="clear" w:color="auto" w:fill="auto"/>
          </w:tcPr>
          <w:p w14:paraId="7C16FCC6" w14:textId="77777777" w:rsidR="008B4DF8" w:rsidRPr="00C1603D" w:rsidRDefault="008B4DF8" w:rsidP="00F77847">
            <w:pPr>
              <w:pStyle w:val="72TabletextTablesTableFigureBoxstyles"/>
            </w:pPr>
            <w:r w:rsidRPr="00C1603D">
              <w:rPr>
                <w:color w:val="00B0F0"/>
              </w:rPr>
              <w:t>–0</w:t>
            </w:r>
            <w:r w:rsidRPr="00C1603D">
              <w:t>.467</w:t>
            </w:r>
          </w:p>
        </w:tc>
        <w:tc>
          <w:tcPr>
            <w:tcW w:w="0" w:type="auto"/>
            <w:shd w:val="clear" w:color="auto" w:fill="auto"/>
          </w:tcPr>
          <w:p w14:paraId="18EC3151" w14:textId="77777777" w:rsidR="008B4DF8" w:rsidRPr="00C1603D" w:rsidRDefault="008B4DF8" w:rsidP="00F77847">
            <w:pPr>
              <w:pStyle w:val="72TabletextTablesTableFigureBoxstyles"/>
            </w:pPr>
            <w:r w:rsidRPr="00C1603D">
              <w:rPr>
                <w:color w:val="00B0F0"/>
              </w:rPr>
              <w:t>–3</w:t>
            </w:r>
            <w:r w:rsidRPr="00C1603D">
              <w:t>.483</w:t>
            </w:r>
          </w:p>
        </w:tc>
      </w:tr>
      <w:tr w:rsidR="008B4DF8" w:rsidRPr="00C1603D" w14:paraId="09C9D597" w14:textId="77777777" w:rsidTr="00C46323">
        <w:trPr>
          <w:cantSplit/>
        </w:trPr>
        <w:tc>
          <w:tcPr>
            <w:tcW w:w="0" w:type="auto"/>
            <w:shd w:val="clear" w:color="auto" w:fill="auto"/>
          </w:tcPr>
          <w:p w14:paraId="25141585" w14:textId="77777777" w:rsidR="008B4DF8" w:rsidRPr="00C1603D" w:rsidRDefault="008B4DF8" w:rsidP="00C46323">
            <w:pPr>
              <w:pStyle w:val="72TabletextTablesTableFigureBoxstyles"/>
            </w:pPr>
            <w:r w:rsidRPr="00C1603D">
              <w:t>Calibration slope</w:t>
            </w:r>
            <w:r w:rsidRPr="00C1603D">
              <w:rPr>
                <w:vertAlign w:val="superscript"/>
              </w:rPr>
              <w:t>a</w:t>
            </w:r>
          </w:p>
        </w:tc>
        <w:tc>
          <w:tcPr>
            <w:tcW w:w="0" w:type="auto"/>
            <w:shd w:val="clear" w:color="auto" w:fill="auto"/>
          </w:tcPr>
          <w:p w14:paraId="0E8A61D1" w14:textId="77777777" w:rsidR="008B4DF8" w:rsidRPr="00C1603D" w:rsidRDefault="008B4DF8" w:rsidP="00F77847">
            <w:pPr>
              <w:pStyle w:val="72TabletextTablesTableFigureBoxstyles"/>
            </w:pPr>
            <w:r w:rsidRPr="00C1603D">
              <w:t>0.964</w:t>
            </w:r>
          </w:p>
        </w:tc>
        <w:tc>
          <w:tcPr>
            <w:tcW w:w="0" w:type="auto"/>
            <w:shd w:val="clear" w:color="auto" w:fill="auto"/>
          </w:tcPr>
          <w:p w14:paraId="6DD741E0" w14:textId="77777777" w:rsidR="008B4DF8" w:rsidRPr="00C1603D" w:rsidRDefault="008B4DF8" w:rsidP="00F77847">
            <w:pPr>
              <w:pStyle w:val="72TabletextTablesTableFigureBoxstyles"/>
            </w:pPr>
            <w:r w:rsidRPr="00C1603D">
              <w:t>0.978</w:t>
            </w:r>
          </w:p>
        </w:tc>
        <w:tc>
          <w:tcPr>
            <w:tcW w:w="0" w:type="auto"/>
            <w:shd w:val="clear" w:color="auto" w:fill="auto"/>
          </w:tcPr>
          <w:p w14:paraId="76071BFE" w14:textId="77777777" w:rsidR="008B4DF8" w:rsidRPr="00C1603D" w:rsidRDefault="008B4DF8" w:rsidP="00F77847">
            <w:pPr>
              <w:pStyle w:val="72TabletextTablesTableFigureBoxstyles"/>
            </w:pPr>
            <w:r w:rsidRPr="00C1603D">
              <w:t>0.941</w:t>
            </w:r>
          </w:p>
        </w:tc>
      </w:tr>
      <w:tr w:rsidR="008B4DF8" w:rsidRPr="00C1603D" w14:paraId="510C5BF7" w14:textId="77777777" w:rsidTr="00C46323">
        <w:trPr>
          <w:cantSplit/>
        </w:trPr>
        <w:tc>
          <w:tcPr>
            <w:tcW w:w="0" w:type="auto"/>
            <w:gridSpan w:val="4"/>
            <w:shd w:val="clear" w:color="auto" w:fill="auto"/>
          </w:tcPr>
          <w:p w14:paraId="1F13AE24" w14:textId="77777777" w:rsidR="008B4DF8" w:rsidRPr="00C1603D" w:rsidRDefault="008B4DF8" w:rsidP="00C46323">
            <w:pPr>
              <w:pStyle w:val="711TablesubheadATablesTableFigureBoxstyles"/>
            </w:pPr>
            <w:r w:rsidRPr="00C1603D">
              <w:t>Women</w:t>
            </w:r>
          </w:p>
        </w:tc>
      </w:tr>
      <w:tr w:rsidR="008B4DF8" w:rsidRPr="00C1603D" w14:paraId="0175BEB9" w14:textId="77777777" w:rsidTr="00C46323">
        <w:trPr>
          <w:cantSplit/>
        </w:trPr>
        <w:tc>
          <w:tcPr>
            <w:tcW w:w="0" w:type="auto"/>
            <w:shd w:val="clear" w:color="auto" w:fill="auto"/>
          </w:tcPr>
          <w:p w14:paraId="6230F81B" w14:textId="0DC3C97C" w:rsidR="008B4DF8" w:rsidRPr="00C1603D" w:rsidRDefault="00B1598B" w:rsidP="00C46323">
            <w:pPr>
              <w:pStyle w:val="72TabletextTablesTableFigureBoxstyles"/>
            </w:pPr>
            <w:r w:rsidRPr="00C1603D">
              <w:rPr>
                <w:i/>
                <w:iCs/>
              </w:rPr>
              <w:t>R</w:t>
            </w:r>
            <w:r w:rsidRPr="00C1603D">
              <w:rPr>
                <w:vertAlign w:val="superscript"/>
              </w:rPr>
              <w:t>2</w:t>
            </w:r>
          </w:p>
        </w:tc>
        <w:tc>
          <w:tcPr>
            <w:tcW w:w="0" w:type="auto"/>
            <w:shd w:val="clear" w:color="auto" w:fill="auto"/>
          </w:tcPr>
          <w:p w14:paraId="0BAB1ACC" w14:textId="77777777" w:rsidR="008B4DF8" w:rsidRPr="00C1603D" w:rsidRDefault="008B4DF8" w:rsidP="00C46323">
            <w:pPr>
              <w:pStyle w:val="72TabletextTablesTableFigureBoxstyles"/>
            </w:pPr>
            <w:r w:rsidRPr="00C1603D">
              <w:t>0.237</w:t>
            </w:r>
          </w:p>
        </w:tc>
        <w:tc>
          <w:tcPr>
            <w:tcW w:w="0" w:type="auto"/>
            <w:shd w:val="clear" w:color="auto" w:fill="auto"/>
          </w:tcPr>
          <w:p w14:paraId="3E2FC8AB" w14:textId="77777777" w:rsidR="008B4DF8" w:rsidRPr="00C1603D" w:rsidRDefault="008B4DF8" w:rsidP="00C46323">
            <w:pPr>
              <w:pStyle w:val="72TabletextTablesTableFigureBoxstyles"/>
            </w:pPr>
            <w:r w:rsidRPr="00C1603D">
              <w:t>0.272</w:t>
            </w:r>
          </w:p>
        </w:tc>
        <w:tc>
          <w:tcPr>
            <w:tcW w:w="0" w:type="auto"/>
            <w:shd w:val="clear" w:color="auto" w:fill="auto"/>
          </w:tcPr>
          <w:p w14:paraId="4A3229AD" w14:textId="77777777" w:rsidR="008B4DF8" w:rsidRPr="00C1603D" w:rsidRDefault="008B4DF8" w:rsidP="00C46323">
            <w:pPr>
              <w:pStyle w:val="72TabletextTablesTableFigureBoxstyles"/>
            </w:pPr>
            <w:r w:rsidRPr="00C1603D">
              <w:t>0.276</w:t>
            </w:r>
          </w:p>
        </w:tc>
      </w:tr>
      <w:tr w:rsidR="008B4DF8" w:rsidRPr="00C1603D" w14:paraId="77AE9775" w14:textId="77777777" w:rsidTr="00C46323">
        <w:trPr>
          <w:cantSplit/>
        </w:trPr>
        <w:tc>
          <w:tcPr>
            <w:tcW w:w="0" w:type="auto"/>
            <w:shd w:val="clear" w:color="auto" w:fill="auto"/>
          </w:tcPr>
          <w:p w14:paraId="1D226FC3" w14:textId="77777777" w:rsidR="008B4DF8" w:rsidRPr="00C1603D" w:rsidRDefault="008B4DF8" w:rsidP="00C46323">
            <w:pPr>
              <w:pStyle w:val="72TabletextTablesTableFigureBoxstyles"/>
            </w:pPr>
            <w:r w:rsidRPr="00C1603D">
              <w:t>Brier score</w:t>
            </w:r>
          </w:p>
        </w:tc>
        <w:tc>
          <w:tcPr>
            <w:tcW w:w="0" w:type="auto"/>
            <w:shd w:val="clear" w:color="auto" w:fill="auto"/>
          </w:tcPr>
          <w:p w14:paraId="4D265A4A" w14:textId="77777777" w:rsidR="008B4DF8" w:rsidRPr="00C1603D" w:rsidRDefault="008B4DF8" w:rsidP="00C46323">
            <w:pPr>
              <w:pStyle w:val="72TabletextTablesTableFigureBoxstyles"/>
            </w:pPr>
            <w:r w:rsidRPr="00C1603D">
              <w:t>0.227</w:t>
            </w:r>
          </w:p>
        </w:tc>
        <w:tc>
          <w:tcPr>
            <w:tcW w:w="0" w:type="auto"/>
            <w:shd w:val="clear" w:color="auto" w:fill="auto"/>
          </w:tcPr>
          <w:p w14:paraId="5362B50A" w14:textId="77777777" w:rsidR="008B4DF8" w:rsidRPr="00C1603D" w:rsidRDefault="008B4DF8" w:rsidP="00C46323">
            <w:pPr>
              <w:pStyle w:val="72TabletextTablesTableFigureBoxstyles"/>
            </w:pPr>
            <w:r w:rsidRPr="00C1603D">
              <w:t>0.244</w:t>
            </w:r>
          </w:p>
        </w:tc>
        <w:tc>
          <w:tcPr>
            <w:tcW w:w="0" w:type="auto"/>
            <w:shd w:val="clear" w:color="auto" w:fill="auto"/>
          </w:tcPr>
          <w:p w14:paraId="0CC8353A" w14:textId="77777777" w:rsidR="008B4DF8" w:rsidRPr="00C1603D" w:rsidRDefault="008B4DF8" w:rsidP="00C46323">
            <w:pPr>
              <w:pStyle w:val="72TabletextTablesTableFigureBoxstyles"/>
            </w:pPr>
            <w:r w:rsidRPr="00C1603D">
              <w:t>0.153</w:t>
            </w:r>
          </w:p>
        </w:tc>
      </w:tr>
      <w:tr w:rsidR="008B4DF8" w:rsidRPr="00C1603D" w14:paraId="468C0681" w14:textId="77777777" w:rsidTr="00C46323">
        <w:trPr>
          <w:cantSplit/>
        </w:trPr>
        <w:tc>
          <w:tcPr>
            <w:tcW w:w="0" w:type="auto"/>
            <w:shd w:val="clear" w:color="auto" w:fill="auto"/>
          </w:tcPr>
          <w:p w14:paraId="7FF555D7" w14:textId="028BAA42" w:rsidR="008B4DF8" w:rsidRPr="00C1603D" w:rsidRDefault="00B1598B" w:rsidP="00C46323">
            <w:pPr>
              <w:pStyle w:val="72TabletextTablesTableFigureBoxstyles"/>
            </w:pPr>
            <w:r w:rsidRPr="00C1603D">
              <w:rPr>
                <w:i/>
                <w:iCs/>
              </w:rPr>
              <w:t>c</w:t>
            </w:r>
            <w:r w:rsidRPr="00C1603D">
              <w:t>-statistic</w:t>
            </w:r>
          </w:p>
        </w:tc>
        <w:tc>
          <w:tcPr>
            <w:tcW w:w="0" w:type="auto"/>
            <w:shd w:val="clear" w:color="auto" w:fill="auto"/>
          </w:tcPr>
          <w:p w14:paraId="01EB2081" w14:textId="77777777" w:rsidR="008B4DF8" w:rsidRPr="00C1603D" w:rsidRDefault="008B4DF8" w:rsidP="00C46323">
            <w:pPr>
              <w:pStyle w:val="72TabletextTablesTableFigureBoxstyles"/>
            </w:pPr>
            <w:r w:rsidRPr="00C1603D">
              <w:t>0.756</w:t>
            </w:r>
          </w:p>
        </w:tc>
        <w:tc>
          <w:tcPr>
            <w:tcW w:w="0" w:type="auto"/>
            <w:shd w:val="clear" w:color="auto" w:fill="auto"/>
          </w:tcPr>
          <w:p w14:paraId="344AB108" w14:textId="77777777" w:rsidR="008B4DF8" w:rsidRPr="00C1603D" w:rsidRDefault="008B4DF8" w:rsidP="00C46323">
            <w:pPr>
              <w:pStyle w:val="72TabletextTablesTableFigureBoxstyles"/>
            </w:pPr>
            <w:r w:rsidRPr="00C1603D">
              <w:t>0.778</w:t>
            </w:r>
          </w:p>
        </w:tc>
        <w:tc>
          <w:tcPr>
            <w:tcW w:w="0" w:type="auto"/>
            <w:shd w:val="clear" w:color="auto" w:fill="auto"/>
          </w:tcPr>
          <w:p w14:paraId="30765447" w14:textId="77777777" w:rsidR="008B4DF8" w:rsidRPr="00C1603D" w:rsidRDefault="008B4DF8" w:rsidP="00C46323">
            <w:pPr>
              <w:pStyle w:val="72TabletextTablesTableFigureBoxstyles"/>
            </w:pPr>
            <w:r w:rsidRPr="00C1603D">
              <w:t>0.779</w:t>
            </w:r>
          </w:p>
        </w:tc>
      </w:tr>
      <w:tr w:rsidR="008B4DF8" w:rsidRPr="00C1603D" w14:paraId="1E424CC6" w14:textId="77777777" w:rsidTr="00C46323">
        <w:trPr>
          <w:cantSplit/>
        </w:trPr>
        <w:tc>
          <w:tcPr>
            <w:tcW w:w="0" w:type="auto"/>
            <w:shd w:val="clear" w:color="auto" w:fill="auto"/>
          </w:tcPr>
          <w:p w14:paraId="04E24D1F" w14:textId="77777777" w:rsidR="008B4DF8" w:rsidRPr="00C1603D" w:rsidRDefault="008B4DF8" w:rsidP="00C46323">
            <w:pPr>
              <w:pStyle w:val="72TabletextTablesTableFigureBoxstyles"/>
            </w:pPr>
            <w:r w:rsidRPr="00C1603D">
              <w:t>Calibration intercept</w:t>
            </w:r>
            <w:r w:rsidRPr="00C1603D">
              <w:rPr>
                <w:vertAlign w:val="superscript"/>
              </w:rPr>
              <w:t>a</w:t>
            </w:r>
          </w:p>
        </w:tc>
        <w:tc>
          <w:tcPr>
            <w:tcW w:w="0" w:type="auto"/>
            <w:shd w:val="clear" w:color="auto" w:fill="auto"/>
          </w:tcPr>
          <w:p w14:paraId="78B551F6" w14:textId="77777777" w:rsidR="008B4DF8" w:rsidRPr="00C1603D" w:rsidRDefault="008B4DF8" w:rsidP="00C46323">
            <w:pPr>
              <w:pStyle w:val="72TabletextTablesTableFigureBoxstyles"/>
            </w:pPr>
            <w:r w:rsidRPr="00C1603D">
              <w:rPr>
                <w:color w:val="00B0F0"/>
              </w:rPr>
              <w:t>–0</w:t>
            </w:r>
            <w:r w:rsidRPr="00C1603D">
              <w:t>.161</w:t>
            </w:r>
          </w:p>
        </w:tc>
        <w:tc>
          <w:tcPr>
            <w:tcW w:w="0" w:type="auto"/>
            <w:shd w:val="clear" w:color="auto" w:fill="auto"/>
          </w:tcPr>
          <w:p w14:paraId="5F1630F1" w14:textId="77777777" w:rsidR="008B4DF8" w:rsidRPr="00C1603D" w:rsidRDefault="008B4DF8" w:rsidP="00C46323">
            <w:pPr>
              <w:pStyle w:val="72TabletextTablesTableFigureBoxstyles"/>
            </w:pPr>
            <w:r w:rsidRPr="00C1603D">
              <w:rPr>
                <w:color w:val="00B0F0"/>
              </w:rPr>
              <w:t>–0</w:t>
            </w:r>
            <w:r w:rsidRPr="00C1603D">
              <w:t>.307</w:t>
            </w:r>
          </w:p>
        </w:tc>
        <w:tc>
          <w:tcPr>
            <w:tcW w:w="0" w:type="auto"/>
            <w:shd w:val="clear" w:color="auto" w:fill="auto"/>
          </w:tcPr>
          <w:p w14:paraId="71608103" w14:textId="77777777" w:rsidR="008B4DF8" w:rsidRPr="00C1603D" w:rsidRDefault="008B4DF8" w:rsidP="00C46323">
            <w:pPr>
              <w:pStyle w:val="72TabletextTablesTableFigureBoxstyles"/>
            </w:pPr>
            <w:r w:rsidRPr="00C1603D">
              <w:rPr>
                <w:color w:val="00B0F0"/>
              </w:rPr>
              <w:t>–3</w:t>
            </w:r>
            <w:r w:rsidRPr="00C1603D">
              <w:t>.729</w:t>
            </w:r>
          </w:p>
        </w:tc>
      </w:tr>
      <w:tr w:rsidR="008B4DF8" w:rsidRPr="00C1603D" w14:paraId="4377E99E" w14:textId="77777777" w:rsidTr="00C46323">
        <w:trPr>
          <w:cantSplit/>
        </w:trPr>
        <w:tc>
          <w:tcPr>
            <w:tcW w:w="0" w:type="auto"/>
            <w:shd w:val="clear" w:color="auto" w:fill="auto"/>
          </w:tcPr>
          <w:p w14:paraId="708804FE" w14:textId="77777777" w:rsidR="008B4DF8" w:rsidRPr="00C1603D" w:rsidRDefault="008B4DF8" w:rsidP="00C46323">
            <w:pPr>
              <w:pStyle w:val="72TabletextTablesTableFigureBoxstyles"/>
            </w:pPr>
            <w:r w:rsidRPr="00C1603D">
              <w:t>Calibration slope</w:t>
            </w:r>
            <w:r w:rsidRPr="00C1603D">
              <w:rPr>
                <w:vertAlign w:val="superscript"/>
              </w:rPr>
              <w:t>a</w:t>
            </w:r>
          </w:p>
        </w:tc>
        <w:tc>
          <w:tcPr>
            <w:tcW w:w="0" w:type="auto"/>
            <w:shd w:val="clear" w:color="auto" w:fill="auto"/>
          </w:tcPr>
          <w:p w14:paraId="2D3485E7" w14:textId="77777777" w:rsidR="008B4DF8" w:rsidRPr="00C1603D" w:rsidRDefault="008B4DF8" w:rsidP="00C46323">
            <w:pPr>
              <w:pStyle w:val="72TabletextTablesTableFigureBoxstyles"/>
            </w:pPr>
            <w:r w:rsidRPr="00C1603D">
              <w:t>0.822</w:t>
            </w:r>
          </w:p>
        </w:tc>
        <w:tc>
          <w:tcPr>
            <w:tcW w:w="0" w:type="auto"/>
            <w:shd w:val="clear" w:color="auto" w:fill="auto"/>
          </w:tcPr>
          <w:p w14:paraId="5301ABAF" w14:textId="77777777" w:rsidR="008B4DF8" w:rsidRPr="00C1603D" w:rsidRDefault="008B4DF8" w:rsidP="00C46323">
            <w:pPr>
              <w:pStyle w:val="72TabletextTablesTableFigureBoxstyles"/>
            </w:pPr>
            <w:r w:rsidRPr="00C1603D">
              <w:t>0.816</w:t>
            </w:r>
          </w:p>
        </w:tc>
        <w:tc>
          <w:tcPr>
            <w:tcW w:w="0" w:type="auto"/>
            <w:shd w:val="clear" w:color="auto" w:fill="auto"/>
          </w:tcPr>
          <w:p w14:paraId="02243E55" w14:textId="77777777" w:rsidR="008B4DF8" w:rsidRPr="00C1603D" w:rsidRDefault="008B4DF8" w:rsidP="00C46323">
            <w:pPr>
              <w:pStyle w:val="72TabletextTablesTableFigureBoxstyles"/>
            </w:pPr>
            <w:r w:rsidRPr="00C1603D">
              <w:t>0.818</w:t>
            </w:r>
          </w:p>
        </w:tc>
      </w:tr>
      <w:tr w:rsidR="008B4DF8" w:rsidRPr="00C1603D" w14:paraId="3A08EEEA" w14:textId="77777777" w:rsidTr="00C46323">
        <w:trPr>
          <w:cantSplit/>
        </w:trPr>
        <w:tc>
          <w:tcPr>
            <w:tcW w:w="0" w:type="auto"/>
            <w:gridSpan w:val="4"/>
            <w:shd w:val="clear" w:color="auto" w:fill="auto"/>
          </w:tcPr>
          <w:p w14:paraId="6A4A28B7" w14:textId="77777777" w:rsidR="008B4DF8" w:rsidRPr="00C1603D" w:rsidRDefault="008B4DF8" w:rsidP="00C46323">
            <w:pPr>
              <w:pStyle w:val="711TablesubheadATablesTableFigureBoxstyles"/>
            </w:pPr>
            <w:r w:rsidRPr="00C1603D">
              <w:t>Men</w:t>
            </w:r>
          </w:p>
        </w:tc>
      </w:tr>
      <w:tr w:rsidR="008B4DF8" w:rsidRPr="00C1603D" w14:paraId="2286DF39" w14:textId="77777777" w:rsidTr="00C46323">
        <w:trPr>
          <w:cantSplit/>
        </w:trPr>
        <w:tc>
          <w:tcPr>
            <w:tcW w:w="0" w:type="auto"/>
            <w:shd w:val="clear" w:color="auto" w:fill="auto"/>
          </w:tcPr>
          <w:p w14:paraId="03C25935" w14:textId="698893A7" w:rsidR="008B4DF8" w:rsidRPr="00C1603D" w:rsidRDefault="00B1598B" w:rsidP="00C46323">
            <w:pPr>
              <w:pStyle w:val="72TabletextTablesTableFigureBoxstyles"/>
            </w:pPr>
            <w:r w:rsidRPr="00C1603D">
              <w:rPr>
                <w:i/>
                <w:iCs/>
              </w:rPr>
              <w:t>R</w:t>
            </w:r>
            <w:r w:rsidRPr="00C1603D">
              <w:rPr>
                <w:vertAlign w:val="superscript"/>
              </w:rPr>
              <w:t>2</w:t>
            </w:r>
          </w:p>
        </w:tc>
        <w:tc>
          <w:tcPr>
            <w:tcW w:w="0" w:type="auto"/>
            <w:shd w:val="clear" w:color="auto" w:fill="auto"/>
          </w:tcPr>
          <w:p w14:paraId="51E503B2" w14:textId="77777777" w:rsidR="008B4DF8" w:rsidRPr="00C1603D" w:rsidRDefault="008B4DF8" w:rsidP="00C46323">
            <w:pPr>
              <w:pStyle w:val="72TabletextTablesTableFigureBoxstyles"/>
            </w:pPr>
            <w:r w:rsidRPr="00C1603D">
              <w:t>0.286</w:t>
            </w:r>
          </w:p>
        </w:tc>
        <w:tc>
          <w:tcPr>
            <w:tcW w:w="0" w:type="auto"/>
            <w:shd w:val="clear" w:color="auto" w:fill="auto"/>
          </w:tcPr>
          <w:p w14:paraId="59CB9B67" w14:textId="77777777" w:rsidR="008B4DF8" w:rsidRPr="00C1603D" w:rsidRDefault="008B4DF8" w:rsidP="00C46323">
            <w:pPr>
              <w:pStyle w:val="72TabletextTablesTableFigureBoxstyles"/>
            </w:pPr>
            <w:r w:rsidRPr="00C1603D">
              <w:t>0.300</w:t>
            </w:r>
          </w:p>
        </w:tc>
        <w:tc>
          <w:tcPr>
            <w:tcW w:w="0" w:type="auto"/>
            <w:shd w:val="clear" w:color="auto" w:fill="auto"/>
          </w:tcPr>
          <w:p w14:paraId="7315B327" w14:textId="77777777" w:rsidR="008B4DF8" w:rsidRPr="00C1603D" w:rsidRDefault="008B4DF8" w:rsidP="00C46323">
            <w:pPr>
              <w:pStyle w:val="72TabletextTablesTableFigureBoxstyles"/>
            </w:pPr>
            <w:r w:rsidRPr="00C1603D">
              <w:t>0.301</w:t>
            </w:r>
          </w:p>
        </w:tc>
      </w:tr>
      <w:tr w:rsidR="008B4DF8" w:rsidRPr="00C1603D" w14:paraId="47A8D583" w14:textId="77777777" w:rsidTr="00C46323">
        <w:trPr>
          <w:cantSplit/>
        </w:trPr>
        <w:tc>
          <w:tcPr>
            <w:tcW w:w="0" w:type="auto"/>
            <w:shd w:val="clear" w:color="auto" w:fill="auto"/>
          </w:tcPr>
          <w:p w14:paraId="2B2E5185" w14:textId="77777777" w:rsidR="008B4DF8" w:rsidRPr="00C1603D" w:rsidRDefault="008B4DF8" w:rsidP="00C46323">
            <w:pPr>
              <w:pStyle w:val="72TabletextTablesTableFigureBoxstyles"/>
            </w:pPr>
            <w:r w:rsidRPr="00C1603D">
              <w:t>Brier score</w:t>
            </w:r>
          </w:p>
        </w:tc>
        <w:tc>
          <w:tcPr>
            <w:tcW w:w="0" w:type="auto"/>
            <w:shd w:val="clear" w:color="auto" w:fill="auto"/>
          </w:tcPr>
          <w:p w14:paraId="2AFA1D8E" w14:textId="77777777" w:rsidR="008B4DF8" w:rsidRPr="00C1603D" w:rsidRDefault="008B4DF8" w:rsidP="00C46323">
            <w:pPr>
              <w:pStyle w:val="72TabletextTablesTableFigureBoxstyles"/>
            </w:pPr>
            <w:r w:rsidRPr="00C1603D">
              <w:t>0.122</w:t>
            </w:r>
          </w:p>
        </w:tc>
        <w:tc>
          <w:tcPr>
            <w:tcW w:w="0" w:type="auto"/>
            <w:shd w:val="clear" w:color="auto" w:fill="auto"/>
          </w:tcPr>
          <w:p w14:paraId="584C99F1" w14:textId="77777777" w:rsidR="008B4DF8" w:rsidRPr="00C1603D" w:rsidRDefault="008B4DF8" w:rsidP="00C46323">
            <w:pPr>
              <w:pStyle w:val="72TabletextTablesTableFigureBoxstyles"/>
            </w:pPr>
            <w:r w:rsidRPr="00C1603D">
              <w:t>0.153</w:t>
            </w:r>
          </w:p>
        </w:tc>
        <w:tc>
          <w:tcPr>
            <w:tcW w:w="0" w:type="auto"/>
            <w:shd w:val="clear" w:color="auto" w:fill="auto"/>
          </w:tcPr>
          <w:p w14:paraId="0DBA85B9" w14:textId="77777777" w:rsidR="008B4DF8" w:rsidRPr="00C1603D" w:rsidRDefault="008B4DF8" w:rsidP="00C46323">
            <w:pPr>
              <w:pStyle w:val="72TabletextTablesTableFigureBoxstyles"/>
            </w:pPr>
            <w:r w:rsidRPr="00C1603D">
              <w:t>0.113</w:t>
            </w:r>
          </w:p>
        </w:tc>
      </w:tr>
      <w:tr w:rsidR="008B4DF8" w:rsidRPr="00C1603D" w14:paraId="6AD93043" w14:textId="77777777" w:rsidTr="00C46323">
        <w:trPr>
          <w:cantSplit/>
        </w:trPr>
        <w:tc>
          <w:tcPr>
            <w:tcW w:w="0" w:type="auto"/>
            <w:shd w:val="clear" w:color="auto" w:fill="auto"/>
          </w:tcPr>
          <w:p w14:paraId="3313CB1F" w14:textId="3C440735" w:rsidR="008B4DF8" w:rsidRPr="00C1603D" w:rsidRDefault="00B1598B" w:rsidP="00C46323">
            <w:pPr>
              <w:pStyle w:val="72TabletextTablesTableFigureBoxstyles"/>
            </w:pPr>
            <w:r w:rsidRPr="00C1603D">
              <w:rPr>
                <w:i/>
                <w:iCs/>
              </w:rPr>
              <w:t>c</w:t>
            </w:r>
            <w:r w:rsidRPr="00C1603D">
              <w:t>-statistic</w:t>
            </w:r>
          </w:p>
        </w:tc>
        <w:tc>
          <w:tcPr>
            <w:tcW w:w="0" w:type="auto"/>
            <w:shd w:val="clear" w:color="auto" w:fill="auto"/>
          </w:tcPr>
          <w:p w14:paraId="19643782" w14:textId="77777777" w:rsidR="008B4DF8" w:rsidRPr="00C1603D" w:rsidRDefault="008B4DF8" w:rsidP="00C46323">
            <w:pPr>
              <w:pStyle w:val="72TabletextTablesTableFigureBoxstyles"/>
            </w:pPr>
            <w:r w:rsidRPr="00C1603D">
              <w:t>0.798</w:t>
            </w:r>
          </w:p>
        </w:tc>
        <w:tc>
          <w:tcPr>
            <w:tcW w:w="0" w:type="auto"/>
            <w:shd w:val="clear" w:color="auto" w:fill="auto"/>
          </w:tcPr>
          <w:p w14:paraId="34B24880" w14:textId="77777777" w:rsidR="008B4DF8" w:rsidRPr="00C1603D" w:rsidRDefault="008B4DF8" w:rsidP="00C46323">
            <w:pPr>
              <w:pStyle w:val="72TabletextTablesTableFigureBoxstyles"/>
            </w:pPr>
            <w:r w:rsidRPr="00C1603D">
              <w:t>0.792</w:t>
            </w:r>
          </w:p>
        </w:tc>
        <w:tc>
          <w:tcPr>
            <w:tcW w:w="0" w:type="auto"/>
            <w:shd w:val="clear" w:color="auto" w:fill="auto"/>
          </w:tcPr>
          <w:p w14:paraId="36941AE9" w14:textId="77777777" w:rsidR="008B4DF8" w:rsidRPr="00C1603D" w:rsidRDefault="008B4DF8" w:rsidP="00C46323">
            <w:pPr>
              <w:pStyle w:val="72TabletextTablesTableFigureBoxstyles"/>
            </w:pPr>
            <w:r w:rsidRPr="00C1603D">
              <w:t>0.793</w:t>
            </w:r>
          </w:p>
        </w:tc>
      </w:tr>
      <w:tr w:rsidR="008B4DF8" w:rsidRPr="00C1603D" w14:paraId="5AE314C5" w14:textId="77777777" w:rsidTr="00C46323">
        <w:trPr>
          <w:cantSplit/>
        </w:trPr>
        <w:tc>
          <w:tcPr>
            <w:tcW w:w="0" w:type="auto"/>
            <w:shd w:val="clear" w:color="auto" w:fill="auto"/>
          </w:tcPr>
          <w:p w14:paraId="291D6F74" w14:textId="77777777" w:rsidR="008B4DF8" w:rsidRPr="00C1603D" w:rsidRDefault="008B4DF8" w:rsidP="00C46323">
            <w:pPr>
              <w:pStyle w:val="72TabletextTablesTableFigureBoxstyles"/>
            </w:pPr>
            <w:r w:rsidRPr="00C1603D">
              <w:t>Calibration intercept</w:t>
            </w:r>
            <w:r w:rsidRPr="00C1603D">
              <w:rPr>
                <w:vertAlign w:val="superscript"/>
              </w:rPr>
              <w:t>a</w:t>
            </w:r>
          </w:p>
        </w:tc>
        <w:tc>
          <w:tcPr>
            <w:tcW w:w="0" w:type="auto"/>
            <w:shd w:val="clear" w:color="auto" w:fill="auto"/>
          </w:tcPr>
          <w:p w14:paraId="69498B62" w14:textId="77777777" w:rsidR="008B4DF8" w:rsidRPr="00C1603D" w:rsidRDefault="008B4DF8" w:rsidP="00C46323">
            <w:pPr>
              <w:pStyle w:val="72TabletextTablesTableFigureBoxstyles"/>
            </w:pPr>
            <w:r w:rsidRPr="00C1603D">
              <w:rPr>
                <w:color w:val="00B0F0"/>
              </w:rPr>
              <w:t>–0</w:t>
            </w:r>
            <w:r w:rsidRPr="00C1603D">
              <w:t>.505</w:t>
            </w:r>
          </w:p>
        </w:tc>
        <w:tc>
          <w:tcPr>
            <w:tcW w:w="0" w:type="auto"/>
            <w:shd w:val="clear" w:color="auto" w:fill="auto"/>
          </w:tcPr>
          <w:p w14:paraId="45750B10" w14:textId="77777777" w:rsidR="008B4DF8" w:rsidRPr="00C1603D" w:rsidRDefault="008B4DF8" w:rsidP="00C46323">
            <w:pPr>
              <w:pStyle w:val="72TabletextTablesTableFigureBoxstyles"/>
            </w:pPr>
            <w:r w:rsidRPr="00C1603D">
              <w:rPr>
                <w:color w:val="00B0F0"/>
              </w:rPr>
              <w:t>–0</w:t>
            </w:r>
            <w:r w:rsidRPr="00C1603D">
              <w:t>.768</w:t>
            </w:r>
          </w:p>
        </w:tc>
        <w:tc>
          <w:tcPr>
            <w:tcW w:w="0" w:type="auto"/>
            <w:shd w:val="clear" w:color="auto" w:fill="auto"/>
          </w:tcPr>
          <w:p w14:paraId="36364432" w14:textId="77777777" w:rsidR="008B4DF8" w:rsidRPr="00C1603D" w:rsidRDefault="008B4DF8" w:rsidP="00C46323">
            <w:pPr>
              <w:pStyle w:val="72TabletextTablesTableFigureBoxstyles"/>
            </w:pPr>
            <w:r w:rsidRPr="00C1603D">
              <w:rPr>
                <w:color w:val="00B0F0"/>
              </w:rPr>
              <w:t>–3</w:t>
            </w:r>
            <w:r w:rsidRPr="00C1603D">
              <w:t>.228</w:t>
            </w:r>
          </w:p>
        </w:tc>
      </w:tr>
      <w:tr w:rsidR="008B4DF8" w:rsidRPr="00C1603D" w14:paraId="3EC961FC" w14:textId="77777777" w:rsidTr="00C46323">
        <w:trPr>
          <w:cantSplit/>
        </w:trPr>
        <w:tc>
          <w:tcPr>
            <w:tcW w:w="0" w:type="auto"/>
            <w:shd w:val="clear" w:color="auto" w:fill="auto"/>
          </w:tcPr>
          <w:p w14:paraId="54A0A4E7" w14:textId="77777777" w:rsidR="008B4DF8" w:rsidRPr="00C1603D" w:rsidRDefault="008B4DF8" w:rsidP="00C46323">
            <w:pPr>
              <w:pStyle w:val="72TabletextTablesTableFigureBoxstyles"/>
            </w:pPr>
            <w:r w:rsidRPr="00C1603D">
              <w:t>Calibration slope</w:t>
            </w:r>
            <w:r w:rsidRPr="00C1603D">
              <w:rPr>
                <w:vertAlign w:val="superscript"/>
              </w:rPr>
              <w:t>a</w:t>
            </w:r>
          </w:p>
        </w:tc>
        <w:tc>
          <w:tcPr>
            <w:tcW w:w="0" w:type="auto"/>
            <w:shd w:val="clear" w:color="auto" w:fill="auto"/>
          </w:tcPr>
          <w:p w14:paraId="31E31BDE" w14:textId="77777777" w:rsidR="008B4DF8" w:rsidRPr="00C1603D" w:rsidRDefault="008B4DF8" w:rsidP="00C46323">
            <w:pPr>
              <w:pStyle w:val="72TabletextTablesTableFigureBoxstyles"/>
            </w:pPr>
            <w:r w:rsidRPr="00C1603D">
              <w:t>0.934</w:t>
            </w:r>
          </w:p>
        </w:tc>
        <w:tc>
          <w:tcPr>
            <w:tcW w:w="0" w:type="auto"/>
            <w:shd w:val="clear" w:color="auto" w:fill="auto"/>
          </w:tcPr>
          <w:p w14:paraId="70B0E757" w14:textId="77777777" w:rsidR="008B4DF8" w:rsidRPr="00C1603D" w:rsidRDefault="008B4DF8" w:rsidP="00C46323">
            <w:pPr>
              <w:pStyle w:val="72TabletextTablesTableFigureBoxstyles"/>
            </w:pPr>
            <w:r w:rsidRPr="00C1603D">
              <w:t>0.802</w:t>
            </w:r>
          </w:p>
        </w:tc>
        <w:tc>
          <w:tcPr>
            <w:tcW w:w="0" w:type="auto"/>
            <w:shd w:val="clear" w:color="auto" w:fill="auto"/>
          </w:tcPr>
          <w:p w14:paraId="4DA7F0B0" w14:textId="77777777" w:rsidR="008B4DF8" w:rsidRPr="00C1603D" w:rsidRDefault="008B4DF8" w:rsidP="00C46323">
            <w:pPr>
              <w:pStyle w:val="72TabletextTablesTableFigureBoxstyles"/>
            </w:pPr>
            <w:r w:rsidRPr="00C1603D">
              <w:t>0.843</w:t>
            </w:r>
          </w:p>
        </w:tc>
      </w:tr>
      <w:tr w:rsidR="00C46323" w:rsidRPr="00C1603D" w14:paraId="72211AE3" w14:textId="77777777" w:rsidTr="00C46323">
        <w:trPr>
          <w:cantSplit/>
        </w:trPr>
        <w:tc>
          <w:tcPr>
            <w:tcW w:w="0" w:type="auto"/>
            <w:gridSpan w:val="4"/>
            <w:shd w:val="clear" w:color="auto" w:fill="auto"/>
          </w:tcPr>
          <w:p w14:paraId="225A0290" w14:textId="6F16B800" w:rsidR="00C46323" w:rsidRPr="00C1603D" w:rsidRDefault="00C46323" w:rsidP="00C46323">
            <w:pPr>
              <w:pStyle w:val="75TablenotesTablesTableFigureBoxstyles"/>
            </w:pPr>
            <w:r w:rsidRPr="00C1603D">
              <w:t>a</w:t>
            </w:r>
            <w:r w:rsidRPr="00C1603D">
              <w:tab/>
              <w:t xml:space="preserve">Calibration statistics </w:t>
            </w:r>
            <w:proofErr w:type="gramStart"/>
            <w:r w:rsidRPr="00C1603D">
              <w:t>were estimated</w:t>
            </w:r>
            <w:proofErr w:type="gramEnd"/>
            <w:r w:rsidRPr="00C1603D">
              <w:t xml:space="preserve"> using an inflated control group to adjust for sampling frequency.</w:t>
            </w:r>
          </w:p>
        </w:tc>
      </w:tr>
    </w:tbl>
    <w:p w14:paraId="4EC0D66A" w14:textId="502C95C7" w:rsidR="008B4DF8" w:rsidRPr="00C1603D" w:rsidRDefault="008B4DF8" w:rsidP="008B4DF8">
      <w:pPr>
        <w:pStyle w:val="43AppendixtitleHeadingsHeadingstyles"/>
      </w:pPr>
      <w:bookmarkStart w:id="685" w:name="_Toc99539940"/>
      <w:r w:rsidRPr="00C1603D">
        <w:lastRenderedPageBreak/>
        <w:t>Appendix 15</w:t>
      </w:r>
      <w:bookmarkEnd w:id="685"/>
      <w:r w:rsidR="00B1598B" w:rsidRPr="00C1603D">
        <w:t> </w:t>
      </w:r>
      <w:r w:rsidR="00B1598B" w:rsidRPr="00C1603D">
        <w:t>Association of candidate predictors with coeliac disease</w:t>
      </w:r>
    </w:p>
    <w:p w14:paraId="56EE807D" w14:textId="2568034B" w:rsidR="008B4DF8" w:rsidRPr="00C1603D" w:rsidRDefault="008B4DF8" w:rsidP="008B4DF8">
      <w:pPr>
        <w:pStyle w:val="70TablelegendTablesTableFigureBoxstyles"/>
      </w:pPr>
      <w:bookmarkStart w:id="686" w:name="_Toc99720768"/>
      <w:r w:rsidRPr="00C1603D">
        <w:rPr>
          <w:b/>
        </w:rPr>
        <w:t>TABLE 5</w:t>
      </w:r>
      <w:r w:rsidR="00032460" w:rsidRPr="00C1603D">
        <w:rPr>
          <w:b/>
        </w:rPr>
        <w:t>8</w:t>
      </w:r>
      <w:r w:rsidRPr="00C1603D">
        <w:rPr>
          <w:b/>
        </w:rPr>
        <w:t> </w:t>
      </w:r>
      <w:r w:rsidRPr="00C1603D">
        <w:t>Association of candidate predictors with CD, complete-case univariable analysis</w:t>
      </w:r>
      <w:bookmarkEnd w:id="686"/>
    </w:p>
    <w:tbl>
      <w:tblPr>
        <w:tblW w:w="0" w:type="auto"/>
        <w:tblCellMar>
          <w:top w:w="40" w:type="dxa"/>
          <w:left w:w="60" w:type="dxa"/>
          <w:bottom w:w="40" w:type="dxa"/>
          <w:right w:w="60" w:type="dxa"/>
        </w:tblCellMar>
        <w:tblLook w:val="04A0" w:firstRow="1" w:lastRow="0" w:firstColumn="1" w:lastColumn="0" w:noHBand="0" w:noVBand="1"/>
      </w:tblPr>
      <w:tblGrid>
        <w:gridCol w:w="1651"/>
        <w:gridCol w:w="1803"/>
        <w:gridCol w:w="690"/>
        <w:gridCol w:w="515"/>
      </w:tblGrid>
      <w:tr w:rsidR="008B4DF8" w:rsidRPr="00C1603D" w14:paraId="6C41C377" w14:textId="77777777" w:rsidTr="00B1598B">
        <w:trPr>
          <w:cantSplit/>
        </w:trPr>
        <w:tc>
          <w:tcPr>
            <w:tcW w:w="0" w:type="auto"/>
            <w:shd w:val="clear" w:color="auto" w:fill="auto"/>
            <w:noWrap/>
          </w:tcPr>
          <w:p w14:paraId="16C42F67" w14:textId="36203DFD" w:rsidR="008B4DF8" w:rsidRPr="00C1603D" w:rsidRDefault="00B1598B" w:rsidP="00B1598B">
            <w:pPr>
              <w:pStyle w:val="710TableheadTablesTableFigureBoxstyles"/>
            </w:pPr>
            <w:r w:rsidRPr="00C1603D">
              <w:t>Candidate predictor</w:t>
            </w:r>
          </w:p>
        </w:tc>
        <w:tc>
          <w:tcPr>
            <w:tcW w:w="0" w:type="auto"/>
            <w:shd w:val="clear" w:color="auto" w:fill="auto"/>
            <w:noWrap/>
          </w:tcPr>
          <w:p w14:paraId="7F5B3CC9" w14:textId="3FDEDF14" w:rsidR="008B4DF8" w:rsidRPr="00C1603D" w:rsidRDefault="008B4DF8" w:rsidP="00B1598B">
            <w:pPr>
              <w:pStyle w:val="710TableheadTablesTableFigureBoxstyles"/>
            </w:pPr>
            <w:r w:rsidRPr="00C1603D">
              <w:t>Coef</w:t>
            </w:r>
            <w:r w:rsidR="00B1598B" w:rsidRPr="00C1603D">
              <w:t>ficient</w:t>
            </w:r>
            <w:r w:rsidRPr="00C1603D">
              <w:t xml:space="preserve"> (95% CI)</w:t>
            </w:r>
          </w:p>
        </w:tc>
        <w:tc>
          <w:tcPr>
            <w:tcW w:w="0" w:type="auto"/>
            <w:shd w:val="clear" w:color="auto" w:fill="auto"/>
            <w:noWrap/>
          </w:tcPr>
          <w:p w14:paraId="6A37D7F7" w14:textId="77777777" w:rsidR="008B4DF8" w:rsidRPr="00C1603D" w:rsidRDefault="008B4DF8" w:rsidP="00B1598B">
            <w:pPr>
              <w:pStyle w:val="710TableheadTablesTableFigureBoxstyles"/>
            </w:pPr>
            <w:r w:rsidRPr="00C1603D">
              <w:rPr>
                <w:i/>
                <w:color w:val="00B0F0"/>
              </w:rPr>
              <w:t>p</w:t>
            </w:r>
            <w:r w:rsidRPr="00C1603D">
              <w:t>-value</w:t>
            </w:r>
          </w:p>
        </w:tc>
        <w:tc>
          <w:tcPr>
            <w:tcW w:w="0" w:type="auto"/>
            <w:shd w:val="clear" w:color="auto" w:fill="auto"/>
            <w:noWrap/>
          </w:tcPr>
          <w:p w14:paraId="7B64FCC3" w14:textId="77777777" w:rsidR="008B4DF8" w:rsidRPr="00C1603D" w:rsidRDefault="008B4DF8" w:rsidP="00B1598B">
            <w:pPr>
              <w:pStyle w:val="710TableheadTablesTableFigureBoxstyles"/>
            </w:pPr>
            <w:r w:rsidRPr="00C1603D">
              <w:rPr>
                <w:i/>
                <w:color w:val="00B0F0"/>
              </w:rPr>
              <w:t>n</w:t>
            </w:r>
          </w:p>
        </w:tc>
      </w:tr>
      <w:tr w:rsidR="008B4DF8" w:rsidRPr="00C1603D" w14:paraId="3B97F618" w14:textId="77777777" w:rsidTr="00B1598B">
        <w:trPr>
          <w:cantSplit/>
        </w:trPr>
        <w:tc>
          <w:tcPr>
            <w:tcW w:w="0" w:type="auto"/>
            <w:shd w:val="clear" w:color="auto" w:fill="auto"/>
            <w:noWrap/>
          </w:tcPr>
          <w:p w14:paraId="31F4AB89" w14:textId="77777777" w:rsidR="008B4DF8" w:rsidRPr="00C1603D" w:rsidRDefault="008B4DF8" w:rsidP="00B1598B">
            <w:pPr>
              <w:pStyle w:val="72TabletextTablesTableFigureBoxstyles"/>
            </w:pPr>
            <w:r w:rsidRPr="00C1603D">
              <w:t>Type 1 diabetes</w:t>
            </w:r>
          </w:p>
        </w:tc>
        <w:tc>
          <w:tcPr>
            <w:tcW w:w="0" w:type="auto"/>
            <w:shd w:val="clear" w:color="auto" w:fill="auto"/>
            <w:noWrap/>
          </w:tcPr>
          <w:p w14:paraId="126571A0" w14:textId="77777777" w:rsidR="008B4DF8" w:rsidRPr="00C1603D" w:rsidRDefault="008B4DF8" w:rsidP="00B1598B">
            <w:pPr>
              <w:pStyle w:val="72TabletextTablesTableFigureBoxstyles"/>
            </w:pPr>
            <w:r w:rsidRPr="00C1603D">
              <w:t>2.86 (</w:t>
            </w:r>
            <w:r w:rsidRPr="00C1603D">
              <w:rPr>
                <w:color w:val="00B0F0"/>
              </w:rPr>
              <w:t>–0</w:t>
            </w:r>
            <w:r w:rsidRPr="00C1603D">
              <w:t>.20 to 5.92)</w:t>
            </w:r>
          </w:p>
        </w:tc>
        <w:tc>
          <w:tcPr>
            <w:tcW w:w="0" w:type="auto"/>
            <w:shd w:val="clear" w:color="auto" w:fill="auto"/>
            <w:noWrap/>
          </w:tcPr>
          <w:p w14:paraId="58C4CC35" w14:textId="77777777" w:rsidR="008B4DF8" w:rsidRPr="00C1603D" w:rsidRDefault="008B4DF8" w:rsidP="00B1598B">
            <w:pPr>
              <w:pStyle w:val="72TabletextTablesTableFigureBoxstyles"/>
            </w:pPr>
            <w:r w:rsidRPr="00C1603D">
              <w:t>0.067</w:t>
            </w:r>
          </w:p>
        </w:tc>
        <w:tc>
          <w:tcPr>
            <w:tcW w:w="0" w:type="auto"/>
            <w:shd w:val="clear" w:color="auto" w:fill="auto"/>
            <w:noWrap/>
          </w:tcPr>
          <w:p w14:paraId="10DAF93B" w14:textId="6420D5CF" w:rsidR="008B4DF8" w:rsidRPr="00C1603D" w:rsidRDefault="008B4DF8" w:rsidP="00B1598B">
            <w:pPr>
              <w:pStyle w:val="72TabletextTablesTableFigureBoxstyles"/>
            </w:pPr>
            <w:r w:rsidRPr="00C1603D">
              <w:t>2697</w:t>
            </w:r>
          </w:p>
        </w:tc>
      </w:tr>
      <w:tr w:rsidR="008B4DF8" w:rsidRPr="00C1603D" w14:paraId="360CBEF8" w14:textId="77777777" w:rsidTr="00B1598B">
        <w:trPr>
          <w:cantSplit/>
        </w:trPr>
        <w:tc>
          <w:tcPr>
            <w:tcW w:w="0" w:type="auto"/>
            <w:shd w:val="clear" w:color="auto" w:fill="auto"/>
            <w:noWrap/>
          </w:tcPr>
          <w:p w14:paraId="4FC8D042" w14:textId="77777777" w:rsidR="008B4DF8" w:rsidRPr="00C1603D" w:rsidRDefault="008B4DF8" w:rsidP="00B1598B">
            <w:pPr>
              <w:pStyle w:val="72TabletextTablesTableFigureBoxstyles"/>
            </w:pPr>
            <w:r w:rsidRPr="00C1603D">
              <w:t>Anaemia</w:t>
            </w:r>
          </w:p>
        </w:tc>
        <w:tc>
          <w:tcPr>
            <w:tcW w:w="0" w:type="auto"/>
            <w:shd w:val="clear" w:color="auto" w:fill="auto"/>
            <w:noWrap/>
          </w:tcPr>
          <w:p w14:paraId="65EA5023" w14:textId="77777777" w:rsidR="008B4DF8" w:rsidRPr="00C1603D" w:rsidRDefault="008B4DF8" w:rsidP="00B1598B">
            <w:pPr>
              <w:pStyle w:val="72TabletextTablesTableFigureBoxstyles"/>
            </w:pPr>
            <w:r w:rsidRPr="00C1603D">
              <w:t>0.96 (</w:t>
            </w:r>
            <w:r w:rsidRPr="00C1603D">
              <w:rPr>
                <w:color w:val="00B0F0"/>
              </w:rPr>
              <w:t>–0</w:t>
            </w:r>
            <w:r w:rsidRPr="00C1603D">
              <w:t>.14 to 2.06)</w:t>
            </w:r>
          </w:p>
        </w:tc>
        <w:tc>
          <w:tcPr>
            <w:tcW w:w="0" w:type="auto"/>
            <w:shd w:val="clear" w:color="auto" w:fill="auto"/>
            <w:noWrap/>
          </w:tcPr>
          <w:p w14:paraId="69113896" w14:textId="77777777" w:rsidR="008B4DF8" w:rsidRPr="00C1603D" w:rsidRDefault="008B4DF8" w:rsidP="00B1598B">
            <w:pPr>
              <w:pStyle w:val="72TabletextTablesTableFigureBoxstyles"/>
            </w:pPr>
            <w:r w:rsidRPr="00C1603D">
              <w:t>0.088</w:t>
            </w:r>
          </w:p>
        </w:tc>
        <w:tc>
          <w:tcPr>
            <w:tcW w:w="0" w:type="auto"/>
            <w:shd w:val="clear" w:color="auto" w:fill="auto"/>
            <w:noWrap/>
          </w:tcPr>
          <w:p w14:paraId="54B4C595" w14:textId="5AB75458" w:rsidR="008B4DF8" w:rsidRPr="00C1603D" w:rsidRDefault="008B4DF8" w:rsidP="00B1598B">
            <w:pPr>
              <w:pStyle w:val="72TabletextTablesTableFigureBoxstyles"/>
            </w:pPr>
            <w:r w:rsidRPr="00C1603D">
              <w:t>5077</w:t>
            </w:r>
          </w:p>
        </w:tc>
      </w:tr>
      <w:tr w:rsidR="008B4DF8" w:rsidRPr="00C1603D" w14:paraId="07F6F79B" w14:textId="77777777" w:rsidTr="00B1598B">
        <w:trPr>
          <w:cantSplit/>
        </w:trPr>
        <w:tc>
          <w:tcPr>
            <w:tcW w:w="0" w:type="auto"/>
            <w:shd w:val="clear" w:color="auto" w:fill="auto"/>
            <w:noWrap/>
          </w:tcPr>
          <w:p w14:paraId="220701C5" w14:textId="77777777" w:rsidR="008B4DF8" w:rsidRPr="00C1603D" w:rsidRDefault="008B4DF8" w:rsidP="00B1598B">
            <w:pPr>
              <w:pStyle w:val="72TabletextTablesTableFigureBoxstyles"/>
            </w:pPr>
            <w:r w:rsidRPr="00C1603D">
              <w:t>Thyroid disorders</w:t>
            </w:r>
          </w:p>
        </w:tc>
        <w:tc>
          <w:tcPr>
            <w:tcW w:w="0" w:type="auto"/>
            <w:shd w:val="clear" w:color="auto" w:fill="auto"/>
            <w:noWrap/>
          </w:tcPr>
          <w:p w14:paraId="01DB9599" w14:textId="77777777" w:rsidR="008B4DF8" w:rsidRPr="00C1603D" w:rsidRDefault="008B4DF8" w:rsidP="00B1598B">
            <w:pPr>
              <w:pStyle w:val="72TabletextTablesTableFigureBoxstyles"/>
            </w:pPr>
            <w:r w:rsidRPr="00C1603D">
              <w:t>0.37 (</w:t>
            </w:r>
            <w:r w:rsidRPr="00C1603D">
              <w:rPr>
                <w:color w:val="00B0F0"/>
              </w:rPr>
              <w:t>–2</w:t>
            </w:r>
            <w:r w:rsidRPr="00C1603D">
              <w:t>.45 to 3.18)</w:t>
            </w:r>
          </w:p>
        </w:tc>
        <w:tc>
          <w:tcPr>
            <w:tcW w:w="0" w:type="auto"/>
            <w:shd w:val="clear" w:color="auto" w:fill="auto"/>
            <w:noWrap/>
          </w:tcPr>
          <w:p w14:paraId="6006B671" w14:textId="77777777" w:rsidR="008B4DF8" w:rsidRPr="00C1603D" w:rsidRDefault="008B4DF8" w:rsidP="00B1598B">
            <w:pPr>
              <w:pStyle w:val="72TabletextTablesTableFigureBoxstyles"/>
            </w:pPr>
            <w:r w:rsidRPr="00C1603D">
              <w:t>0.799</w:t>
            </w:r>
          </w:p>
        </w:tc>
        <w:tc>
          <w:tcPr>
            <w:tcW w:w="0" w:type="auto"/>
            <w:shd w:val="clear" w:color="auto" w:fill="auto"/>
            <w:noWrap/>
          </w:tcPr>
          <w:p w14:paraId="7C91FF2A" w14:textId="462B8E42" w:rsidR="008B4DF8" w:rsidRPr="00C1603D" w:rsidRDefault="008B4DF8" w:rsidP="00B1598B">
            <w:pPr>
              <w:pStyle w:val="72TabletextTablesTableFigureBoxstyles"/>
            </w:pPr>
            <w:r w:rsidRPr="00C1603D">
              <w:t>3364</w:t>
            </w:r>
          </w:p>
        </w:tc>
      </w:tr>
      <w:tr w:rsidR="00B1598B" w:rsidRPr="00C1603D" w14:paraId="25A61A5A" w14:textId="77777777" w:rsidTr="006542D8">
        <w:trPr>
          <w:cantSplit/>
        </w:trPr>
        <w:tc>
          <w:tcPr>
            <w:tcW w:w="0" w:type="auto"/>
            <w:gridSpan w:val="4"/>
            <w:shd w:val="clear" w:color="auto" w:fill="auto"/>
            <w:noWrap/>
          </w:tcPr>
          <w:p w14:paraId="40916A41" w14:textId="4E68C297" w:rsidR="00B1598B" w:rsidRPr="00C1603D" w:rsidRDefault="00B1598B" w:rsidP="00B1598B">
            <w:pPr>
              <w:pStyle w:val="72TabletextTablesTableFigureBoxstyles"/>
            </w:pPr>
            <w:r w:rsidRPr="00C1603D">
              <w:t>GI symptom count</w:t>
            </w:r>
          </w:p>
        </w:tc>
      </w:tr>
      <w:tr w:rsidR="008B4DF8" w:rsidRPr="00C1603D" w14:paraId="46BF2209" w14:textId="77777777" w:rsidTr="00B1598B">
        <w:trPr>
          <w:cantSplit/>
        </w:trPr>
        <w:tc>
          <w:tcPr>
            <w:tcW w:w="0" w:type="auto"/>
            <w:shd w:val="clear" w:color="auto" w:fill="auto"/>
            <w:noWrap/>
          </w:tcPr>
          <w:p w14:paraId="704DC742" w14:textId="23FE03AF" w:rsidR="008B4DF8" w:rsidRPr="00C1603D" w:rsidRDefault="00B1598B" w:rsidP="00B1598B">
            <w:pPr>
              <w:pStyle w:val="72TabletextTablesTableFigureBoxstyles"/>
            </w:pPr>
            <w:r w:rsidRPr="00C1603D">
              <w:tab/>
            </w:r>
            <w:r w:rsidR="008B4DF8" w:rsidRPr="00C1603D">
              <w:t>1</w:t>
            </w:r>
          </w:p>
        </w:tc>
        <w:tc>
          <w:tcPr>
            <w:tcW w:w="0" w:type="auto"/>
            <w:shd w:val="clear" w:color="auto" w:fill="auto"/>
            <w:noWrap/>
          </w:tcPr>
          <w:p w14:paraId="72E223A3" w14:textId="77777777" w:rsidR="008B4DF8" w:rsidRPr="00C1603D" w:rsidRDefault="008B4DF8" w:rsidP="00B1598B">
            <w:pPr>
              <w:pStyle w:val="72TabletextTablesTableFigureBoxstyles"/>
            </w:pPr>
            <w:r w:rsidRPr="00C1603D">
              <w:rPr>
                <w:color w:val="00B0F0"/>
              </w:rPr>
              <w:t>–0</w:t>
            </w:r>
            <w:r w:rsidRPr="00C1603D">
              <w:t>.38 (</w:t>
            </w:r>
            <w:r w:rsidRPr="00C1603D">
              <w:rPr>
                <w:color w:val="00B0F0"/>
              </w:rPr>
              <w:t>–2</w:t>
            </w:r>
            <w:r w:rsidRPr="00C1603D">
              <w:t>.01 to 1.26)</w:t>
            </w:r>
          </w:p>
        </w:tc>
        <w:tc>
          <w:tcPr>
            <w:tcW w:w="0" w:type="auto"/>
            <w:shd w:val="clear" w:color="auto" w:fill="auto"/>
            <w:noWrap/>
          </w:tcPr>
          <w:p w14:paraId="687E1D5F" w14:textId="77777777" w:rsidR="008B4DF8" w:rsidRPr="00C1603D" w:rsidRDefault="008B4DF8" w:rsidP="00B1598B">
            <w:pPr>
              <w:pStyle w:val="72TabletextTablesTableFigureBoxstyles"/>
            </w:pPr>
            <w:r w:rsidRPr="00C1603D">
              <w:t>0.651</w:t>
            </w:r>
          </w:p>
        </w:tc>
        <w:tc>
          <w:tcPr>
            <w:tcW w:w="0" w:type="auto"/>
            <w:shd w:val="clear" w:color="auto" w:fill="auto"/>
            <w:noWrap/>
          </w:tcPr>
          <w:p w14:paraId="4939BAC6" w14:textId="0FFD4F19" w:rsidR="008B4DF8" w:rsidRPr="00C1603D" w:rsidRDefault="008B4DF8" w:rsidP="00B1598B">
            <w:pPr>
              <w:pStyle w:val="72TabletextTablesTableFigureBoxstyles"/>
            </w:pPr>
            <w:r w:rsidRPr="00C1603D">
              <w:t>4168</w:t>
            </w:r>
          </w:p>
        </w:tc>
      </w:tr>
      <w:tr w:rsidR="008B4DF8" w:rsidRPr="00C1603D" w14:paraId="1D597092" w14:textId="77777777" w:rsidTr="00B1598B">
        <w:trPr>
          <w:cantSplit/>
        </w:trPr>
        <w:tc>
          <w:tcPr>
            <w:tcW w:w="0" w:type="auto"/>
            <w:shd w:val="clear" w:color="auto" w:fill="auto"/>
            <w:noWrap/>
          </w:tcPr>
          <w:p w14:paraId="2D898086" w14:textId="62E00878" w:rsidR="008B4DF8" w:rsidRPr="00C1603D" w:rsidRDefault="00B1598B" w:rsidP="00B1598B">
            <w:pPr>
              <w:pStyle w:val="72TabletextTablesTableFigureBoxstyles"/>
            </w:pPr>
            <w:r w:rsidRPr="00C1603D">
              <w:tab/>
            </w:r>
            <w:r w:rsidR="008B4DF8" w:rsidRPr="00C1603D">
              <w:t>2</w:t>
            </w:r>
            <w:r w:rsidR="008B4DF8" w:rsidRPr="00C1603D">
              <w:rPr>
                <w:color w:val="00B0F0"/>
              </w:rPr>
              <w:t>–4</w:t>
            </w:r>
          </w:p>
        </w:tc>
        <w:tc>
          <w:tcPr>
            <w:tcW w:w="0" w:type="auto"/>
            <w:shd w:val="clear" w:color="auto" w:fill="auto"/>
            <w:noWrap/>
          </w:tcPr>
          <w:p w14:paraId="0F145293" w14:textId="77777777" w:rsidR="008B4DF8" w:rsidRPr="00C1603D" w:rsidRDefault="008B4DF8" w:rsidP="00B1598B">
            <w:pPr>
              <w:pStyle w:val="72TabletextTablesTableFigureBoxstyles"/>
            </w:pPr>
            <w:r w:rsidRPr="00C1603D">
              <w:t>0.58 (</w:t>
            </w:r>
            <w:r w:rsidRPr="00C1603D">
              <w:rPr>
                <w:color w:val="00B0F0"/>
              </w:rPr>
              <w:t>–1</w:t>
            </w:r>
            <w:r w:rsidRPr="00C1603D">
              <w:t>.06 to 2.23)</w:t>
            </w:r>
          </w:p>
        </w:tc>
        <w:tc>
          <w:tcPr>
            <w:tcW w:w="0" w:type="auto"/>
            <w:shd w:val="clear" w:color="auto" w:fill="auto"/>
            <w:noWrap/>
          </w:tcPr>
          <w:p w14:paraId="19B0863B" w14:textId="77777777" w:rsidR="008B4DF8" w:rsidRPr="00C1603D" w:rsidRDefault="008B4DF8" w:rsidP="00B1598B">
            <w:pPr>
              <w:pStyle w:val="72TabletextTablesTableFigureBoxstyles"/>
            </w:pPr>
            <w:r w:rsidRPr="00C1603D">
              <w:t>0.488</w:t>
            </w:r>
          </w:p>
        </w:tc>
        <w:tc>
          <w:tcPr>
            <w:tcW w:w="0" w:type="auto"/>
            <w:shd w:val="clear" w:color="auto" w:fill="auto"/>
            <w:noWrap/>
          </w:tcPr>
          <w:p w14:paraId="241A3B16" w14:textId="03D032C0" w:rsidR="008B4DF8" w:rsidRPr="00C1603D" w:rsidRDefault="008B4DF8" w:rsidP="00B1598B">
            <w:pPr>
              <w:pStyle w:val="72TabletextTablesTableFigureBoxstyles"/>
            </w:pPr>
            <w:r w:rsidRPr="00C1603D">
              <w:t>4168</w:t>
            </w:r>
          </w:p>
        </w:tc>
      </w:tr>
      <w:tr w:rsidR="008B4DF8" w:rsidRPr="00C1603D" w14:paraId="2F06AB7B" w14:textId="77777777" w:rsidTr="00B1598B">
        <w:trPr>
          <w:cantSplit/>
        </w:trPr>
        <w:tc>
          <w:tcPr>
            <w:tcW w:w="0" w:type="auto"/>
            <w:shd w:val="clear" w:color="auto" w:fill="auto"/>
            <w:noWrap/>
          </w:tcPr>
          <w:p w14:paraId="0B403FA6" w14:textId="77777777" w:rsidR="008B4DF8" w:rsidRPr="00C1603D" w:rsidRDefault="008B4DF8" w:rsidP="00B1598B">
            <w:pPr>
              <w:pStyle w:val="72TabletextTablesTableFigureBoxstyles"/>
            </w:pPr>
            <w:r w:rsidRPr="00C1603D">
              <w:t>Male</w:t>
            </w:r>
          </w:p>
        </w:tc>
        <w:tc>
          <w:tcPr>
            <w:tcW w:w="0" w:type="auto"/>
            <w:shd w:val="clear" w:color="auto" w:fill="auto"/>
            <w:noWrap/>
          </w:tcPr>
          <w:p w14:paraId="3AD67608" w14:textId="77777777" w:rsidR="008B4DF8" w:rsidRPr="00C1603D" w:rsidRDefault="008B4DF8" w:rsidP="00B1598B">
            <w:pPr>
              <w:pStyle w:val="72TabletextTablesTableFigureBoxstyles"/>
            </w:pPr>
            <w:r w:rsidRPr="00C1603D">
              <w:rPr>
                <w:color w:val="00B0F0"/>
              </w:rPr>
              <w:t>–0</w:t>
            </w:r>
            <w:r w:rsidRPr="00C1603D">
              <w:t>.78 (</w:t>
            </w:r>
            <w:r w:rsidRPr="00C1603D">
              <w:rPr>
                <w:color w:val="00B0F0"/>
              </w:rPr>
              <w:t>–1</w:t>
            </w:r>
            <w:r w:rsidRPr="00C1603D">
              <w:t xml:space="preserve">.39 to </w:t>
            </w:r>
            <w:r w:rsidRPr="00C1603D">
              <w:rPr>
                <w:color w:val="00B0F0"/>
              </w:rPr>
              <w:t>–0</w:t>
            </w:r>
            <w:r w:rsidRPr="00C1603D">
              <w:t>.17)</w:t>
            </w:r>
          </w:p>
        </w:tc>
        <w:tc>
          <w:tcPr>
            <w:tcW w:w="0" w:type="auto"/>
            <w:shd w:val="clear" w:color="auto" w:fill="auto"/>
            <w:noWrap/>
          </w:tcPr>
          <w:p w14:paraId="507AE99F" w14:textId="77777777" w:rsidR="008B4DF8" w:rsidRPr="00C1603D" w:rsidRDefault="008B4DF8" w:rsidP="00B1598B">
            <w:pPr>
              <w:pStyle w:val="72TabletextTablesTableFigureBoxstyles"/>
            </w:pPr>
            <w:r w:rsidRPr="00C1603D">
              <w:t>0.013</w:t>
            </w:r>
          </w:p>
        </w:tc>
        <w:tc>
          <w:tcPr>
            <w:tcW w:w="0" w:type="auto"/>
            <w:shd w:val="clear" w:color="auto" w:fill="auto"/>
            <w:noWrap/>
          </w:tcPr>
          <w:p w14:paraId="16615500" w14:textId="653799DC" w:rsidR="008B4DF8" w:rsidRPr="00C1603D" w:rsidRDefault="008B4DF8" w:rsidP="00B1598B">
            <w:pPr>
              <w:pStyle w:val="72TabletextTablesTableFigureBoxstyles"/>
            </w:pPr>
            <w:r w:rsidRPr="00C1603D">
              <w:t>5108</w:t>
            </w:r>
          </w:p>
        </w:tc>
      </w:tr>
      <w:tr w:rsidR="008B4DF8" w:rsidRPr="00C1603D" w14:paraId="730B3E60" w14:textId="77777777" w:rsidTr="00B1598B">
        <w:trPr>
          <w:cantSplit/>
        </w:trPr>
        <w:tc>
          <w:tcPr>
            <w:tcW w:w="0" w:type="auto"/>
            <w:shd w:val="clear" w:color="auto" w:fill="auto"/>
            <w:noWrap/>
          </w:tcPr>
          <w:p w14:paraId="2DED564A" w14:textId="77777777" w:rsidR="008B4DF8" w:rsidRPr="00C1603D" w:rsidRDefault="008B4DF8" w:rsidP="00B1598B">
            <w:pPr>
              <w:pStyle w:val="72TabletextTablesTableFigureBoxstyles"/>
            </w:pPr>
            <w:r w:rsidRPr="00C1603D">
              <w:t>Fatigue</w:t>
            </w:r>
          </w:p>
        </w:tc>
        <w:tc>
          <w:tcPr>
            <w:tcW w:w="0" w:type="auto"/>
            <w:shd w:val="clear" w:color="auto" w:fill="auto"/>
            <w:noWrap/>
          </w:tcPr>
          <w:p w14:paraId="05142F1A" w14:textId="77777777" w:rsidR="008B4DF8" w:rsidRPr="00C1603D" w:rsidRDefault="008B4DF8" w:rsidP="00B1598B">
            <w:pPr>
              <w:pStyle w:val="72TabletextTablesTableFigureBoxstyles"/>
            </w:pPr>
            <w:r w:rsidRPr="00C1603D">
              <w:rPr>
                <w:color w:val="00B0F0"/>
              </w:rPr>
              <w:t>–0</w:t>
            </w:r>
            <w:r w:rsidRPr="00C1603D">
              <w:t>.02 (</w:t>
            </w:r>
            <w:r w:rsidRPr="00C1603D">
              <w:rPr>
                <w:color w:val="00B0F0"/>
              </w:rPr>
              <w:t>–0</w:t>
            </w:r>
            <w:r w:rsidRPr="00C1603D">
              <w:t>.74 to 0.70)</w:t>
            </w:r>
          </w:p>
        </w:tc>
        <w:tc>
          <w:tcPr>
            <w:tcW w:w="0" w:type="auto"/>
            <w:shd w:val="clear" w:color="auto" w:fill="auto"/>
            <w:noWrap/>
          </w:tcPr>
          <w:p w14:paraId="725FA03B" w14:textId="77777777" w:rsidR="008B4DF8" w:rsidRPr="00C1603D" w:rsidRDefault="008B4DF8" w:rsidP="00B1598B">
            <w:pPr>
              <w:pStyle w:val="72TabletextTablesTableFigureBoxstyles"/>
            </w:pPr>
            <w:r w:rsidRPr="00C1603D">
              <w:t>0.951</w:t>
            </w:r>
          </w:p>
        </w:tc>
        <w:tc>
          <w:tcPr>
            <w:tcW w:w="0" w:type="auto"/>
            <w:shd w:val="clear" w:color="auto" w:fill="auto"/>
            <w:noWrap/>
          </w:tcPr>
          <w:p w14:paraId="5992E294" w14:textId="211669E9" w:rsidR="008B4DF8" w:rsidRPr="00C1603D" w:rsidRDefault="008B4DF8" w:rsidP="00B1598B">
            <w:pPr>
              <w:pStyle w:val="72TabletextTablesTableFigureBoxstyles"/>
            </w:pPr>
            <w:r w:rsidRPr="00C1603D">
              <w:t>3967</w:t>
            </w:r>
          </w:p>
        </w:tc>
      </w:tr>
      <w:tr w:rsidR="008B4DF8" w:rsidRPr="00C1603D" w14:paraId="5DAEE1FA" w14:textId="77777777" w:rsidTr="00B1598B">
        <w:trPr>
          <w:cantSplit/>
        </w:trPr>
        <w:tc>
          <w:tcPr>
            <w:tcW w:w="0" w:type="auto"/>
            <w:shd w:val="clear" w:color="auto" w:fill="auto"/>
            <w:noWrap/>
          </w:tcPr>
          <w:p w14:paraId="1164D753" w14:textId="77777777" w:rsidR="008B4DF8" w:rsidRPr="00C1603D" w:rsidRDefault="008B4DF8" w:rsidP="00B1598B">
            <w:pPr>
              <w:pStyle w:val="72TabletextTablesTableFigureBoxstyles"/>
            </w:pPr>
            <w:r w:rsidRPr="00C1603D">
              <w:t>Mouth ulcers</w:t>
            </w:r>
          </w:p>
        </w:tc>
        <w:tc>
          <w:tcPr>
            <w:tcW w:w="0" w:type="auto"/>
            <w:shd w:val="clear" w:color="auto" w:fill="auto"/>
            <w:noWrap/>
          </w:tcPr>
          <w:p w14:paraId="64A534BC" w14:textId="77777777" w:rsidR="008B4DF8" w:rsidRPr="00C1603D" w:rsidRDefault="008B4DF8" w:rsidP="00B1598B">
            <w:pPr>
              <w:pStyle w:val="72TabletextTablesTableFigureBoxstyles"/>
            </w:pPr>
            <w:r w:rsidRPr="00C1603D">
              <w:rPr>
                <w:color w:val="00B0F0"/>
              </w:rPr>
              <w:t>–0</w:t>
            </w:r>
            <w:r w:rsidRPr="00C1603D">
              <w:t>.16 (</w:t>
            </w:r>
            <w:r w:rsidRPr="00C1603D">
              <w:rPr>
                <w:color w:val="00B0F0"/>
              </w:rPr>
              <w:t>–1</w:t>
            </w:r>
            <w:r w:rsidRPr="00C1603D">
              <w:t>.21 to 0.89)</w:t>
            </w:r>
          </w:p>
        </w:tc>
        <w:tc>
          <w:tcPr>
            <w:tcW w:w="0" w:type="auto"/>
            <w:shd w:val="clear" w:color="auto" w:fill="auto"/>
            <w:noWrap/>
          </w:tcPr>
          <w:p w14:paraId="30E5093B" w14:textId="77777777" w:rsidR="008B4DF8" w:rsidRPr="00C1603D" w:rsidRDefault="008B4DF8" w:rsidP="00B1598B">
            <w:pPr>
              <w:pStyle w:val="72TabletextTablesTableFigureBoxstyles"/>
            </w:pPr>
            <w:r w:rsidRPr="00C1603D">
              <w:t>0.765</w:t>
            </w:r>
          </w:p>
        </w:tc>
        <w:tc>
          <w:tcPr>
            <w:tcW w:w="0" w:type="auto"/>
            <w:shd w:val="clear" w:color="auto" w:fill="auto"/>
            <w:noWrap/>
          </w:tcPr>
          <w:p w14:paraId="5D9FFCB7" w14:textId="73E9D314" w:rsidR="008B4DF8" w:rsidRPr="00C1603D" w:rsidRDefault="008B4DF8" w:rsidP="00B1598B">
            <w:pPr>
              <w:pStyle w:val="72TabletextTablesTableFigureBoxstyles"/>
            </w:pPr>
            <w:r w:rsidRPr="00C1603D">
              <w:t>2071</w:t>
            </w:r>
          </w:p>
        </w:tc>
      </w:tr>
      <w:tr w:rsidR="008B4DF8" w:rsidRPr="00C1603D" w14:paraId="5BE1995E" w14:textId="77777777" w:rsidTr="00B1598B">
        <w:trPr>
          <w:cantSplit/>
        </w:trPr>
        <w:tc>
          <w:tcPr>
            <w:tcW w:w="0" w:type="auto"/>
            <w:shd w:val="clear" w:color="auto" w:fill="auto"/>
            <w:noWrap/>
          </w:tcPr>
          <w:p w14:paraId="19202A6F" w14:textId="77777777" w:rsidR="008B4DF8" w:rsidRPr="00C1603D" w:rsidRDefault="008B4DF8" w:rsidP="00B1598B">
            <w:pPr>
              <w:pStyle w:val="72TabletextTablesTableFigureBoxstyles"/>
            </w:pPr>
            <w:r w:rsidRPr="00C1603D">
              <w:t>GI symptoms</w:t>
            </w:r>
          </w:p>
        </w:tc>
        <w:tc>
          <w:tcPr>
            <w:tcW w:w="0" w:type="auto"/>
            <w:shd w:val="clear" w:color="auto" w:fill="auto"/>
            <w:noWrap/>
          </w:tcPr>
          <w:p w14:paraId="0208AC69" w14:textId="77777777" w:rsidR="008B4DF8" w:rsidRPr="00C1603D" w:rsidRDefault="008B4DF8" w:rsidP="00B1598B">
            <w:pPr>
              <w:pStyle w:val="72TabletextTablesTableFigureBoxstyles"/>
            </w:pPr>
            <w:r w:rsidRPr="00C1603D">
              <w:rPr>
                <w:color w:val="00B0F0"/>
              </w:rPr>
              <w:t>–0</w:t>
            </w:r>
            <w:r w:rsidRPr="00C1603D">
              <w:t>.26 (</w:t>
            </w:r>
            <w:r w:rsidRPr="00C1603D">
              <w:rPr>
                <w:color w:val="00B0F0"/>
              </w:rPr>
              <w:t>–1</w:t>
            </w:r>
            <w:r w:rsidRPr="00C1603D">
              <w:t>.54 to 1.03)</w:t>
            </w:r>
          </w:p>
        </w:tc>
        <w:tc>
          <w:tcPr>
            <w:tcW w:w="0" w:type="auto"/>
            <w:shd w:val="clear" w:color="auto" w:fill="auto"/>
            <w:noWrap/>
          </w:tcPr>
          <w:p w14:paraId="21CAE195" w14:textId="77777777" w:rsidR="008B4DF8" w:rsidRPr="00C1603D" w:rsidRDefault="008B4DF8" w:rsidP="00B1598B">
            <w:pPr>
              <w:pStyle w:val="72TabletextTablesTableFigureBoxstyles"/>
            </w:pPr>
            <w:r w:rsidRPr="00C1603D">
              <w:t>0.695</w:t>
            </w:r>
          </w:p>
        </w:tc>
        <w:tc>
          <w:tcPr>
            <w:tcW w:w="0" w:type="auto"/>
            <w:shd w:val="clear" w:color="auto" w:fill="auto"/>
            <w:noWrap/>
          </w:tcPr>
          <w:p w14:paraId="7F3CD5C3" w14:textId="6C539263" w:rsidR="008B4DF8" w:rsidRPr="00C1603D" w:rsidRDefault="008B4DF8" w:rsidP="00B1598B">
            <w:pPr>
              <w:pStyle w:val="72TabletextTablesTableFigureBoxstyles"/>
            </w:pPr>
            <w:r w:rsidRPr="00C1603D">
              <w:t>4188</w:t>
            </w:r>
          </w:p>
        </w:tc>
      </w:tr>
      <w:tr w:rsidR="008B4DF8" w:rsidRPr="00C1603D" w14:paraId="7707CD8C" w14:textId="77777777" w:rsidTr="00B1598B">
        <w:trPr>
          <w:cantSplit/>
        </w:trPr>
        <w:tc>
          <w:tcPr>
            <w:tcW w:w="0" w:type="auto"/>
            <w:shd w:val="clear" w:color="auto" w:fill="auto"/>
            <w:noWrap/>
          </w:tcPr>
          <w:p w14:paraId="78C58AFB" w14:textId="77777777" w:rsidR="008B4DF8" w:rsidRPr="00C1603D" w:rsidRDefault="008B4DF8" w:rsidP="00B1598B">
            <w:pPr>
              <w:pStyle w:val="72TabletextTablesTableFigureBoxstyles"/>
            </w:pPr>
            <w:r w:rsidRPr="00C1603D">
              <w:t>Mood disorders</w:t>
            </w:r>
          </w:p>
        </w:tc>
        <w:tc>
          <w:tcPr>
            <w:tcW w:w="0" w:type="auto"/>
            <w:shd w:val="clear" w:color="auto" w:fill="auto"/>
            <w:noWrap/>
          </w:tcPr>
          <w:p w14:paraId="4D71A53C" w14:textId="77777777" w:rsidR="008B4DF8" w:rsidRPr="00C1603D" w:rsidRDefault="008B4DF8" w:rsidP="00B1598B">
            <w:pPr>
              <w:pStyle w:val="72TabletextTablesTableFigureBoxstyles"/>
            </w:pPr>
            <w:r w:rsidRPr="00C1603D">
              <w:rPr>
                <w:color w:val="00B0F0"/>
              </w:rPr>
              <w:t>–0</w:t>
            </w:r>
            <w:r w:rsidRPr="00C1603D">
              <w:t>.63 (</w:t>
            </w:r>
            <w:r w:rsidRPr="00C1603D">
              <w:rPr>
                <w:color w:val="00B0F0"/>
              </w:rPr>
              <w:t>–1</w:t>
            </w:r>
            <w:r w:rsidRPr="00C1603D">
              <w:t>.73 to 0.47)</w:t>
            </w:r>
          </w:p>
        </w:tc>
        <w:tc>
          <w:tcPr>
            <w:tcW w:w="0" w:type="auto"/>
            <w:shd w:val="clear" w:color="auto" w:fill="auto"/>
            <w:noWrap/>
          </w:tcPr>
          <w:p w14:paraId="1BDCD7EC" w14:textId="77777777" w:rsidR="008B4DF8" w:rsidRPr="00C1603D" w:rsidRDefault="008B4DF8" w:rsidP="00B1598B">
            <w:pPr>
              <w:pStyle w:val="72TabletextTablesTableFigureBoxstyles"/>
            </w:pPr>
            <w:r w:rsidRPr="00C1603D">
              <w:t>0.262</w:t>
            </w:r>
          </w:p>
        </w:tc>
        <w:tc>
          <w:tcPr>
            <w:tcW w:w="0" w:type="auto"/>
            <w:shd w:val="clear" w:color="auto" w:fill="auto"/>
            <w:noWrap/>
          </w:tcPr>
          <w:p w14:paraId="02544C82" w14:textId="5D23BE00" w:rsidR="008B4DF8" w:rsidRPr="00C1603D" w:rsidRDefault="008B4DF8" w:rsidP="00B1598B">
            <w:pPr>
              <w:pStyle w:val="72TabletextTablesTableFigureBoxstyles"/>
            </w:pPr>
            <w:r w:rsidRPr="00C1603D">
              <w:t>4222</w:t>
            </w:r>
          </w:p>
        </w:tc>
      </w:tr>
      <w:tr w:rsidR="008B4DF8" w:rsidRPr="00C1603D" w14:paraId="7B7E76BA" w14:textId="77777777" w:rsidTr="00B1598B">
        <w:trPr>
          <w:cantSplit/>
        </w:trPr>
        <w:tc>
          <w:tcPr>
            <w:tcW w:w="0" w:type="auto"/>
            <w:shd w:val="clear" w:color="auto" w:fill="auto"/>
            <w:noWrap/>
          </w:tcPr>
          <w:p w14:paraId="01656828" w14:textId="77777777" w:rsidR="008B4DF8" w:rsidRPr="00C1603D" w:rsidRDefault="008B4DF8" w:rsidP="00B1598B">
            <w:pPr>
              <w:pStyle w:val="72TabletextTablesTableFigureBoxstyles"/>
            </w:pPr>
            <w:r w:rsidRPr="00C1603D">
              <w:t>Age</w:t>
            </w:r>
          </w:p>
        </w:tc>
        <w:tc>
          <w:tcPr>
            <w:tcW w:w="0" w:type="auto"/>
            <w:shd w:val="clear" w:color="auto" w:fill="auto"/>
            <w:noWrap/>
          </w:tcPr>
          <w:p w14:paraId="2A596720" w14:textId="77777777" w:rsidR="008B4DF8" w:rsidRPr="00C1603D" w:rsidRDefault="008B4DF8" w:rsidP="00B1598B">
            <w:pPr>
              <w:pStyle w:val="72TabletextTablesTableFigureBoxstyles"/>
            </w:pPr>
            <w:r w:rsidRPr="00C1603D">
              <w:rPr>
                <w:color w:val="00B0F0"/>
              </w:rPr>
              <w:t>–1</w:t>
            </w:r>
            <w:r w:rsidRPr="00C1603D">
              <w:t>.41 (</w:t>
            </w:r>
            <w:r w:rsidRPr="00C1603D">
              <w:rPr>
                <w:color w:val="00B0F0"/>
              </w:rPr>
              <w:t>–3</w:t>
            </w:r>
            <w:r w:rsidRPr="00C1603D">
              <w:t>.45 to 0.63)</w:t>
            </w:r>
          </w:p>
        </w:tc>
        <w:tc>
          <w:tcPr>
            <w:tcW w:w="0" w:type="auto"/>
            <w:shd w:val="clear" w:color="auto" w:fill="auto"/>
            <w:noWrap/>
          </w:tcPr>
          <w:p w14:paraId="42D610FD" w14:textId="77777777" w:rsidR="008B4DF8" w:rsidRPr="00C1603D" w:rsidRDefault="008B4DF8" w:rsidP="00B1598B">
            <w:pPr>
              <w:pStyle w:val="72TabletextTablesTableFigureBoxstyles"/>
            </w:pPr>
            <w:r w:rsidRPr="00C1603D">
              <w:t>0.176</w:t>
            </w:r>
          </w:p>
        </w:tc>
        <w:tc>
          <w:tcPr>
            <w:tcW w:w="0" w:type="auto"/>
            <w:shd w:val="clear" w:color="auto" w:fill="auto"/>
            <w:noWrap/>
          </w:tcPr>
          <w:p w14:paraId="2956A180" w14:textId="3F3CDE57" w:rsidR="008B4DF8" w:rsidRPr="00C1603D" w:rsidRDefault="008B4DF8" w:rsidP="00B1598B">
            <w:pPr>
              <w:pStyle w:val="72TabletextTablesTableFigureBoxstyles"/>
            </w:pPr>
            <w:r w:rsidRPr="00C1603D">
              <w:t>5117</w:t>
            </w:r>
          </w:p>
        </w:tc>
      </w:tr>
    </w:tbl>
    <w:p w14:paraId="3D9DA57F" w14:textId="1A59D56A" w:rsidR="008B4DF8" w:rsidRPr="00C1603D" w:rsidRDefault="008B4DF8" w:rsidP="008B4DF8">
      <w:pPr>
        <w:pStyle w:val="43AppendixtitleHeadingsHeadingstyles"/>
      </w:pPr>
      <w:bookmarkStart w:id="687" w:name="_Ref95137279"/>
      <w:bookmarkStart w:id="688" w:name="_Toc99539941"/>
      <w:r w:rsidRPr="00C1603D">
        <w:lastRenderedPageBreak/>
        <w:t xml:space="preserve">Appendix </w:t>
      </w:r>
      <w:bookmarkEnd w:id="679"/>
      <w:r w:rsidRPr="00C1603D">
        <w:t>16</w:t>
      </w:r>
      <w:bookmarkEnd w:id="680"/>
      <w:bookmarkEnd w:id="687"/>
      <w:bookmarkEnd w:id="688"/>
      <w:r w:rsidR="00121C3B" w:rsidRPr="00C1603D">
        <w:t> </w:t>
      </w:r>
      <w:r w:rsidR="00121C3B" w:rsidRPr="00C1603D">
        <w:t>Search strategy for diagnostic accuracy review</w:t>
      </w:r>
    </w:p>
    <w:p w14:paraId="63E2D093" w14:textId="0711338E" w:rsidR="008B4DF8" w:rsidRPr="00C1603D" w:rsidRDefault="00121C3B" w:rsidP="008B4DF8">
      <w:pPr>
        <w:pStyle w:val="52AheadHeadingsHeadingstyles"/>
      </w:pPr>
      <w:bookmarkStart w:id="689" w:name="_Toc99539942"/>
      <w:r w:rsidRPr="00C1603D">
        <w:t>D</w:t>
      </w:r>
      <w:r w:rsidR="008B4DF8" w:rsidRPr="00C1603D">
        <w:t>iagnostic accuracy review on serological tests</w:t>
      </w:r>
      <w:bookmarkEnd w:id="681"/>
      <w:r w:rsidR="008B4DF8" w:rsidRPr="00C1603D">
        <w:t xml:space="preserve"> (</w:t>
      </w:r>
      <w:r w:rsidRPr="00C1603D">
        <w:t xml:space="preserve">see </w:t>
      </w:r>
      <w:r w:rsidR="008B4DF8" w:rsidRPr="00C1603D">
        <w:rPr>
          <w:i/>
          <w:iCs/>
        </w:rPr>
        <w:t>Chapter 5</w:t>
      </w:r>
      <w:r w:rsidR="008B4DF8" w:rsidRPr="00C1603D">
        <w:t>)</w:t>
      </w:r>
      <w:bookmarkEnd w:id="689"/>
    </w:p>
    <w:p w14:paraId="0F6896A2" w14:textId="54F292F2" w:rsidR="008B4DF8" w:rsidRPr="00C1603D" w:rsidRDefault="008B4DF8" w:rsidP="008B4DF8">
      <w:pPr>
        <w:pStyle w:val="602TextfoTextstylesTextstyles"/>
      </w:pPr>
      <w:commentRangeStart w:id="690"/>
      <w:r w:rsidRPr="00C1603D">
        <w:t>MEDLINE search strategy.</w:t>
      </w:r>
      <w:commentRangeEnd w:id="690"/>
      <w:r w:rsidR="00D35C0B" w:rsidRPr="00C1603D">
        <w:rPr>
          <w:rFonts w:ascii="Times New Roman" w:hAnsi="Times New Roman" w:cs="Times New Roman"/>
          <w:color w:val="auto"/>
          <w:lang w:val="en-US"/>
        </w:rPr>
        <w:commentReference w:id="690"/>
      </w:r>
      <w:r w:rsidRPr="00C1603D">
        <w:t xml:space="preserve"> This strategy was adapted to run on </w:t>
      </w:r>
      <w:r w:rsidRPr="00C1603D">
        <w:rPr>
          <w:color w:val="00B0F0"/>
        </w:rPr>
        <w:t>EMBASE</w:t>
      </w:r>
      <w:r w:rsidRPr="00C1603D">
        <w:t xml:space="preserve">. </w:t>
      </w:r>
      <w:r w:rsidR="00D35C0B" w:rsidRPr="00C1603D">
        <w:t xml:space="preserve">The </w:t>
      </w:r>
      <w:r w:rsidRPr="00C1603D">
        <w:t>Cochrane</w:t>
      </w:r>
      <w:r w:rsidR="00D35C0B" w:rsidRPr="00C1603D">
        <w:t xml:space="preserve"> Library</w:t>
      </w:r>
      <w:r w:rsidRPr="00C1603D">
        <w:t xml:space="preserve">, </w:t>
      </w:r>
      <w:r w:rsidR="00B769DC" w:rsidRPr="00C1603D">
        <w:t xml:space="preserve">Kleijnen Systematic Reviews </w:t>
      </w:r>
      <w:r w:rsidRPr="00C1603D">
        <w:t>Evidence and Web of Science were also searched.</w:t>
      </w:r>
    </w:p>
    <w:p w14:paraId="3A6788AA" w14:textId="4EEF63F4" w:rsidR="008B4DF8" w:rsidRPr="00C1603D" w:rsidRDefault="008B4DF8" w:rsidP="00D35C0B">
      <w:pPr>
        <w:pStyle w:val="621TextnumberedlistTextstylesTextstyles"/>
      </w:pPr>
      <w:r w:rsidRPr="00C1603D">
        <w:t>Celiac Disease/</w:t>
      </w:r>
    </w:p>
    <w:p w14:paraId="30F2A3FF" w14:textId="50DA5D22" w:rsidR="008B4DF8" w:rsidRPr="00C1603D" w:rsidRDefault="008B4DF8" w:rsidP="00D35C0B">
      <w:pPr>
        <w:pStyle w:val="621TextnumberedlistTextstylesTextstyles"/>
      </w:pPr>
      <w:r w:rsidRPr="00C1603D">
        <w:t>((coeliac or celiac) adj4 (</w:t>
      </w:r>
      <w:proofErr w:type="gramStart"/>
      <w:r w:rsidRPr="00C1603D">
        <w:t>disease or sprue</w:t>
      </w:r>
      <w:proofErr w:type="gramEnd"/>
      <w:r w:rsidRPr="00C1603D">
        <w:t xml:space="preserve"> or syndrome)).</w:t>
      </w:r>
      <w:proofErr w:type="spellStart"/>
      <w:r w:rsidRPr="00C1603D">
        <w:t>tw</w:t>
      </w:r>
      <w:proofErr w:type="spellEnd"/>
      <w:r w:rsidRPr="00C1603D">
        <w:t>.</w:t>
      </w:r>
    </w:p>
    <w:p w14:paraId="678A36FD" w14:textId="6433C4DB" w:rsidR="008B4DF8" w:rsidRPr="00C1603D" w:rsidRDefault="008B4DF8" w:rsidP="00D35C0B">
      <w:pPr>
        <w:pStyle w:val="621TextnumberedlistTextstylesTextstyles"/>
      </w:pPr>
      <w:r w:rsidRPr="00C1603D">
        <w:t>((</w:t>
      </w:r>
      <w:proofErr w:type="spellStart"/>
      <w:r w:rsidRPr="00C1603D">
        <w:t>nontropical</w:t>
      </w:r>
      <w:proofErr w:type="spellEnd"/>
      <w:r w:rsidRPr="00C1603D">
        <w:t xml:space="preserve"> or non tropical) adj4 sprue).</w:t>
      </w:r>
      <w:proofErr w:type="spellStart"/>
      <w:r w:rsidRPr="00C1603D">
        <w:t>tw</w:t>
      </w:r>
      <w:proofErr w:type="spellEnd"/>
      <w:r w:rsidRPr="00C1603D">
        <w:t>.</w:t>
      </w:r>
    </w:p>
    <w:p w14:paraId="3C6C8172" w14:textId="3113E7CA" w:rsidR="008B4DF8" w:rsidRPr="00C1603D" w:rsidRDefault="008B4DF8" w:rsidP="00D35C0B">
      <w:pPr>
        <w:pStyle w:val="621TextnumberedlistTextstylesTextstyles"/>
      </w:pPr>
      <w:r w:rsidRPr="00C1603D">
        <w:t>((gluten or glutenin or gliadin) adj4 (</w:t>
      </w:r>
      <w:proofErr w:type="spellStart"/>
      <w:r w:rsidRPr="00C1603D">
        <w:t>sensitiv</w:t>
      </w:r>
      <w:proofErr w:type="spellEnd"/>
      <w:r w:rsidRPr="00C1603D">
        <w:t xml:space="preserve">* or </w:t>
      </w:r>
      <w:proofErr w:type="spellStart"/>
      <w:r w:rsidRPr="00C1603D">
        <w:t>hypersensitiv</w:t>
      </w:r>
      <w:proofErr w:type="spellEnd"/>
      <w:r w:rsidRPr="00C1603D">
        <w:t xml:space="preserve">* or </w:t>
      </w:r>
      <w:proofErr w:type="spellStart"/>
      <w:r w:rsidRPr="00C1603D">
        <w:t>intoleran</w:t>
      </w:r>
      <w:proofErr w:type="spellEnd"/>
      <w:r w:rsidRPr="00C1603D">
        <w:t>*)).</w:t>
      </w:r>
      <w:proofErr w:type="spellStart"/>
      <w:r w:rsidRPr="00C1603D">
        <w:t>tw</w:t>
      </w:r>
      <w:proofErr w:type="spellEnd"/>
      <w:r w:rsidRPr="00C1603D">
        <w:t>.</w:t>
      </w:r>
    </w:p>
    <w:p w14:paraId="29AEBDB8" w14:textId="63B00F3D" w:rsidR="008B4DF8" w:rsidRPr="00C1603D" w:rsidRDefault="008B4DF8" w:rsidP="00D35C0B">
      <w:pPr>
        <w:pStyle w:val="621TextnumberedlistTextstylesTextstyles"/>
      </w:pPr>
      <w:r w:rsidRPr="00C1603D">
        <w:t xml:space="preserve">(gluten adj4 </w:t>
      </w:r>
      <w:proofErr w:type="spellStart"/>
      <w:r w:rsidRPr="00C1603D">
        <w:t>enteropath</w:t>
      </w:r>
      <w:proofErr w:type="spellEnd"/>
      <w:r w:rsidRPr="00C1603D">
        <w:t>*).</w:t>
      </w:r>
      <w:proofErr w:type="spellStart"/>
      <w:r w:rsidRPr="00C1603D">
        <w:t>tw</w:t>
      </w:r>
      <w:proofErr w:type="spellEnd"/>
      <w:r w:rsidRPr="00C1603D">
        <w:t>.</w:t>
      </w:r>
    </w:p>
    <w:p w14:paraId="2FB10460" w14:textId="744595B6" w:rsidR="008B4DF8" w:rsidRPr="00C1603D" w:rsidRDefault="008B4DF8" w:rsidP="00D35C0B">
      <w:pPr>
        <w:pStyle w:val="621TextnumberedlistTextstylesTextstyles"/>
      </w:pPr>
      <w:r w:rsidRPr="00C1603D">
        <w:t>or/1-5</w:t>
      </w:r>
    </w:p>
    <w:p w14:paraId="3501AA1F" w14:textId="2C8D5F4E" w:rsidR="008B4DF8" w:rsidRPr="00C1603D" w:rsidRDefault="008B4DF8" w:rsidP="00D35C0B">
      <w:pPr>
        <w:pStyle w:val="621TextnumberedlistTextstylesTextstyles"/>
      </w:pPr>
      <w:r w:rsidRPr="00C1603D">
        <w:t>Serologic Tests/</w:t>
      </w:r>
    </w:p>
    <w:p w14:paraId="1BE83989" w14:textId="468DF44C" w:rsidR="008B4DF8" w:rsidRPr="00C1603D" w:rsidRDefault="008B4DF8" w:rsidP="00D35C0B">
      <w:pPr>
        <w:pStyle w:val="621TextnumberedlistTextstylesTextstyles"/>
      </w:pPr>
      <w:r w:rsidRPr="00C1603D">
        <w:t>((serologic or serological) adj4 test*).</w:t>
      </w:r>
      <w:proofErr w:type="spellStart"/>
      <w:r w:rsidRPr="00C1603D">
        <w:t>tw</w:t>
      </w:r>
      <w:proofErr w:type="spellEnd"/>
      <w:r w:rsidRPr="00C1603D">
        <w:t>.</w:t>
      </w:r>
    </w:p>
    <w:p w14:paraId="36F4012E" w14:textId="4EE1F3F5" w:rsidR="008B4DF8" w:rsidRPr="00C1603D" w:rsidRDefault="008B4DF8" w:rsidP="00D35C0B">
      <w:pPr>
        <w:pStyle w:val="621TextnumberedlistTextstylesTextstyles"/>
      </w:pPr>
      <w:r w:rsidRPr="00C1603D">
        <w:t>7 or 8</w:t>
      </w:r>
    </w:p>
    <w:p w14:paraId="49DE1555" w14:textId="4D58CA81" w:rsidR="008B4DF8" w:rsidRPr="00C1603D" w:rsidRDefault="008B4DF8" w:rsidP="00D35C0B">
      <w:pPr>
        <w:pStyle w:val="621TextnumberedlistTextstylesTextstyles"/>
      </w:pPr>
      <w:r w:rsidRPr="00C1603D">
        <w:t>(</w:t>
      </w:r>
      <w:proofErr w:type="spellStart"/>
      <w:r w:rsidRPr="00C1603D">
        <w:t>endomysi</w:t>
      </w:r>
      <w:proofErr w:type="spellEnd"/>
      <w:r w:rsidRPr="00C1603D">
        <w:t xml:space="preserve">* adj4 </w:t>
      </w:r>
      <w:proofErr w:type="spellStart"/>
      <w:r w:rsidRPr="00C1603D">
        <w:t>antibod</w:t>
      </w:r>
      <w:proofErr w:type="spellEnd"/>
      <w:r w:rsidRPr="00C1603D">
        <w:t>*).</w:t>
      </w:r>
      <w:proofErr w:type="spellStart"/>
      <w:r w:rsidRPr="00C1603D">
        <w:t>tw</w:t>
      </w:r>
      <w:proofErr w:type="spellEnd"/>
      <w:r w:rsidRPr="00C1603D">
        <w:t>.</w:t>
      </w:r>
    </w:p>
    <w:p w14:paraId="67E52CA0" w14:textId="625DA229" w:rsidR="008B4DF8" w:rsidRPr="00C1603D" w:rsidRDefault="008B4DF8" w:rsidP="00D35C0B">
      <w:pPr>
        <w:pStyle w:val="621TextnumberedlistTextstylesTextstyles"/>
      </w:pPr>
      <w:r w:rsidRPr="00C1603D">
        <w:t>(immunoglobulin adj4 (</w:t>
      </w:r>
      <w:proofErr w:type="spellStart"/>
      <w:r w:rsidRPr="00C1603D">
        <w:t>endomysi</w:t>
      </w:r>
      <w:proofErr w:type="spellEnd"/>
      <w:r w:rsidRPr="00C1603D">
        <w:t>* or anti-</w:t>
      </w:r>
      <w:proofErr w:type="spellStart"/>
      <w:r w:rsidRPr="00C1603D">
        <w:t>endomysi</w:t>
      </w:r>
      <w:proofErr w:type="spellEnd"/>
      <w:r w:rsidRPr="00C1603D">
        <w:t xml:space="preserve">* or </w:t>
      </w:r>
      <w:proofErr w:type="spellStart"/>
      <w:r w:rsidRPr="00C1603D">
        <w:t>antiendomysi</w:t>
      </w:r>
      <w:proofErr w:type="spellEnd"/>
      <w:r w:rsidRPr="00C1603D">
        <w:t xml:space="preserve">* or anti </w:t>
      </w:r>
      <w:proofErr w:type="spellStart"/>
      <w:r w:rsidRPr="00C1603D">
        <w:t>endomysi</w:t>
      </w:r>
      <w:proofErr w:type="spellEnd"/>
      <w:r w:rsidRPr="00C1603D">
        <w:t>*)).</w:t>
      </w:r>
      <w:proofErr w:type="spellStart"/>
      <w:r w:rsidRPr="00C1603D">
        <w:t>tw</w:t>
      </w:r>
      <w:proofErr w:type="spellEnd"/>
      <w:r w:rsidRPr="00C1603D">
        <w:t>.</w:t>
      </w:r>
    </w:p>
    <w:p w14:paraId="5DEDF2A8" w14:textId="3D22DCEE" w:rsidR="008B4DF8" w:rsidRPr="00C1603D" w:rsidRDefault="008B4DF8" w:rsidP="00D35C0B">
      <w:pPr>
        <w:pStyle w:val="621TextnumberedlistTextstylesTextstyles"/>
      </w:pPr>
      <w:r w:rsidRPr="00C1603D">
        <w:t>((anti-</w:t>
      </w:r>
      <w:proofErr w:type="spellStart"/>
      <w:r w:rsidRPr="00C1603D">
        <w:t>endomysi</w:t>
      </w:r>
      <w:proofErr w:type="spellEnd"/>
      <w:r w:rsidRPr="00C1603D">
        <w:t xml:space="preserve">* or </w:t>
      </w:r>
      <w:proofErr w:type="spellStart"/>
      <w:r w:rsidRPr="00C1603D">
        <w:t>antiendomysi</w:t>
      </w:r>
      <w:proofErr w:type="spellEnd"/>
      <w:r w:rsidRPr="00C1603D">
        <w:t xml:space="preserve">* or anti </w:t>
      </w:r>
      <w:proofErr w:type="spellStart"/>
      <w:r w:rsidRPr="00C1603D">
        <w:t>endomysi</w:t>
      </w:r>
      <w:proofErr w:type="spellEnd"/>
      <w:r w:rsidRPr="00C1603D">
        <w:t xml:space="preserve">*) </w:t>
      </w:r>
      <w:proofErr w:type="spellStart"/>
      <w:r w:rsidRPr="00C1603D">
        <w:t>adj</w:t>
      </w:r>
      <w:proofErr w:type="spellEnd"/>
      <w:r w:rsidRPr="00C1603D">
        <w:t xml:space="preserve"> </w:t>
      </w:r>
      <w:proofErr w:type="spellStart"/>
      <w:r w:rsidRPr="00C1603D">
        <w:t>antibod</w:t>
      </w:r>
      <w:proofErr w:type="spellEnd"/>
      <w:r w:rsidRPr="00C1603D">
        <w:t>*).</w:t>
      </w:r>
      <w:proofErr w:type="spellStart"/>
      <w:r w:rsidRPr="00C1603D">
        <w:t>tw</w:t>
      </w:r>
      <w:proofErr w:type="spellEnd"/>
      <w:r w:rsidRPr="00C1603D">
        <w:t>.</w:t>
      </w:r>
    </w:p>
    <w:p w14:paraId="0C82EC87" w14:textId="7D826EB9" w:rsidR="008B4DF8" w:rsidRPr="00C1603D" w:rsidRDefault="008B4DF8" w:rsidP="00D35C0B">
      <w:pPr>
        <w:pStyle w:val="621TextnumberedlistTextstylesTextstyles"/>
      </w:pPr>
      <w:r w:rsidRPr="00C1603D">
        <w:t>((</w:t>
      </w:r>
      <w:proofErr w:type="spellStart"/>
      <w:r w:rsidRPr="00C1603D">
        <w:t>iga</w:t>
      </w:r>
      <w:proofErr w:type="spellEnd"/>
      <w:r w:rsidRPr="00C1603D">
        <w:t xml:space="preserve"> or igg) adj4 (</w:t>
      </w:r>
      <w:proofErr w:type="spellStart"/>
      <w:r w:rsidRPr="00C1603D">
        <w:t>endomysi</w:t>
      </w:r>
      <w:proofErr w:type="spellEnd"/>
      <w:r w:rsidRPr="00C1603D">
        <w:t>* or anti-</w:t>
      </w:r>
      <w:proofErr w:type="spellStart"/>
      <w:r w:rsidRPr="00C1603D">
        <w:t>endomysi</w:t>
      </w:r>
      <w:proofErr w:type="spellEnd"/>
      <w:r w:rsidRPr="00C1603D">
        <w:t xml:space="preserve">* or </w:t>
      </w:r>
      <w:proofErr w:type="spellStart"/>
      <w:r w:rsidRPr="00C1603D">
        <w:t>antiendomysi</w:t>
      </w:r>
      <w:proofErr w:type="spellEnd"/>
      <w:r w:rsidRPr="00C1603D">
        <w:t xml:space="preserve">* or anti </w:t>
      </w:r>
      <w:proofErr w:type="spellStart"/>
      <w:r w:rsidRPr="00C1603D">
        <w:t>endomysi</w:t>
      </w:r>
      <w:proofErr w:type="spellEnd"/>
      <w:r w:rsidRPr="00C1603D">
        <w:t>*)).</w:t>
      </w:r>
      <w:proofErr w:type="spellStart"/>
      <w:r w:rsidRPr="00C1603D">
        <w:t>tw</w:t>
      </w:r>
      <w:proofErr w:type="spellEnd"/>
      <w:r w:rsidRPr="00C1603D">
        <w:t>.</w:t>
      </w:r>
    </w:p>
    <w:p w14:paraId="15B8B430" w14:textId="0FDEAE5D" w:rsidR="008B4DF8" w:rsidRPr="00C1603D" w:rsidRDefault="008B4DF8" w:rsidP="00D35C0B">
      <w:pPr>
        <w:pStyle w:val="621TextnumberedlistTextstylesTextstyles"/>
        <w:rPr>
          <w:lang w:val="pt-BR"/>
        </w:rPr>
      </w:pPr>
      <w:r w:rsidRPr="00C1603D">
        <w:rPr>
          <w:lang w:val="pt-BR"/>
        </w:rPr>
        <w:t>(iga-ema or igg-ema).tw.</w:t>
      </w:r>
    </w:p>
    <w:p w14:paraId="69E5514E" w14:textId="6CD3E2B3" w:rsidR="008B4DF8" w:rsidRPr="00C1603D" w:rsidRDefault="008B4DF8" w:rsidP="00D35C0B">
      <w:pPr>
        <w:pStyle w:val="621TextnumberedlistTextstylesTextstyles"/>
      </w:pPr>
      <w:r w:rsidRPr="00C1603D">
        <w:t xml:space="preserve">((EMA or AGA) and </w:t>
      </w:r>
      <w:proofErr w:type="spellStart"/>
      <w:r w:rsidRPr="00C1603D">
        <w:t>antibod</w:t>
      </w:r>
      <w:proofErr w:type="spellEnd"/>
      <w:r w:rsidRPr="00C1603D">
        <w:t>*).</w:t>
      </w:r>
      <w:proofErr w:type="spellStart"/>
      <w:r w:rsidRPr="00C1603D">
        <w:t>tw</w:t>
      </w:r>
      <w:proofErr w:type="spellEnd"/>
      <w:r w:rsidRPr="00C1603D">
        <w:t>.</w:t>
      </w:r>
    </w:p>
    <w:p w14:paraId="1D6CFC33" w14:textId="17ACE0B8" w:rsidR="008B4DF8" w:rsidRPr="00C1603D" w:rsidRDefault="008B4DF8" w:rsidP="00D35C0B">
      <w:pPr>
        <w:pStyle w:val="621TextnumberedlistTextstylesTextstyles"/>
      </w:pPr>
      <w:r w:rsidRPr="00C1603D">
        <w:t>or/10-15</w:t>
      </w:r>
    </w:p>
    <w:p w14:paraId="7913E25A" w14:textId="5E35B7B4" w:rsidR="008B4DF8" w:rsidRPr="00C1603D" w:rsidRDefault="008B4DF8" w:rsidP="00D35C0B">
      <w:pPr>
        <w:pStyle w:val="621TextnumberedlistTextstylesTextstyles"/>
      </w:pPr>
      <w:r w:rsidRPr="00C1603D">
        <w:t>transglutaminases/</w:t>
      </w:r>
    </w:p>
    <w:p w14:paraId="0ADF8EE2" w14:textId="4DD54B75" w:rsidR="008B4DF8" w:rsidRPr="00C1603D" w:rsidRDefault="008B4DF8" w:rsidP="00D35C0B">
      <w:pPr>
        <w:pStyle w:val="621TextnumberedlistTextstylesTextstyles"/>
      </w:pPr>
      <w:r w:rsidRPr="00C1603D">
        <w:t xml:space="preserve">(((anti-tissue or antitissue or anti tissue) adj4 transglutaminase) and </w:t>
      </w:r>
      <w:proofErr w:type="spellStart"/>
      <w:r w:rsidRPr="00C1603D">
        <w:t>antibod</w:t>
      </w:r>
      <w:proofErr w:type="spellEnd"/>
      <w:r w:rsidRPr="00C1603D">
        <w:t>*).</w:t>
      </w:r>
      <w:proofErr w:type="spellStart"/>
      <w:r w:rsidRPr="00C1603D">
        <w:t>tw</w:t>
      </w:r>
      <w:proofErr w:type="spellEnd"/>
      <w:r w:rsidRPr="00C1603D">
        <w:t>.</w:t>
      </w:r>
    </w:p>
    <w:p w14:paraId="3D793511" w14:textId="0ABCA3E5" w:rsidR="008B4DF8" w:rsidRPr="00C1603D" w:rsidRDefault="008B4DF8" w:rsidP="00D35C0B">
      <w:pPr>
        <w:pStyle w:val="621TextnumberedlistTextstylesTextstyles"/>
      </w:pPr>
      <w:r w:rsidRPr="00C1603D">
        <w:t>((</w:t>
      </w:r>
      <w:proofErr w:type="spellStart"/>
      <w:r w:rsidRPr="00C1603D">
        <w:t>iga</w:t>
      </w:r>
      <w:proofErr w:type="spellEnd"/>
      <w:r w:rsidRPr="00C1603D">
        <w:t xml:space="preserve"> or igg or immunoglobulin) adj4 transglutaminase).</w:t>
      </w:r>
      <w:proofErr w:type="spellStart"/>
      <w:r w:rsidRPr="00C1603D">
        <w:t>tw</w:t>
      </w:r>
      <w:proofErr w:type="spellEnd"/>
      <w:r w:rsidRPr="00C1603D">
        <w:t>.</w:t>
      </w:r>
    </w:p>
    <w:p w14:paraId="6DF59328" w14:textId="01E83A3F" w:rsidR="008B4DF8" w:rsidRPr="00C1603D" w:rsidRDefault="008B4DF8" w:rsidP="00D35C0B">
      <w:pPr>
        <w:pStyle w:val="621TextnumberedlistTextstylesTextstyles"/>
      </w:pPr>
      <w:r w:rsidRPr="00C1603D">
        <w:t xml:space="preserve">((anti-human or antihuman or anti human or tissue) adj4 transglutaminase adj4 </w:t>
      </w:r>
      <w:proofErr w:type="spellStart"/>
      <w:r w:rsidRPr="00C1603D">
        <w:t>antibod</w:t>
      </w:r>
      <w:proofErr w:type="spellEnd"/>
      <w:r w:rsidRPr="00C1603D">
        <w:t>*).</w:t>
      </w:r>
      <w:proofErr w:type="spellStart"/>
      <w:r w:rsidRPr="00C1603D">
        <w:t>tw</w:t>
      </w:r>
      <w:proofErr w:type="spellEnd"/>
      <w:r w:rsidRPr="00C1603D">
        <w:t>.</w:t>
      </w:r>
    </w:p>
    <w:p w14:paraId="011B5867" w14:textId="450F4340" w:rsidR="008B4DF8" w:rsidRPr="00C1603D" w:rsidRDefault="008B4DF8" w:rsidP="00D35C0B">
      <w:pPr>
        <w:pStyle w:val="621TextnumberedlistTextstylesTextstyles"/>
      </w:pPr>
      <w:r w:rsidRPr="00C1603D">
        <w:t>(anti-</w:t>
      </w:r>
      <w:proofErr w:type="spellStart"/>
      <w:r w:rsidRPr="00C1603D">
        <w:t>httg</w:t>
      </w:r>
      <w:proofErr w:type="spellEnd"/>
      <w:r w:rsidRPr="00C1603D">
        <w:t xml:space="preserve"> or anti-</w:t>
      </w:r>
      <w:proofErr w:type="spellStart"/>
      <w:r w:rsidRPr="00C1603D">
        <w:t>htg</w:t>
      </w:r>
      <w:proofErr w:type="spellEnd"/>
      <w:r w:rsidRPr="00C1603D">
        <w:t xml:space="preserve"> or </w:t>
      </w:r>
      <w:proofErr w:type="spellStart"/>
      <w:r w:rsidRPr="00C1603D">
        <w:t>tTg</w:t>
      </w:r>
      <w:proofErr w:type="spellEnd"/>
      <w:r w:rsidRPr="00C1603D">
        <w:t>).</w:t>
      </w:r>
      <w:proofErr w:type="spellStart"/>
      <w:r w:rsidRPr="00C1603D">
        <w:t>tw</w:t>
      </w:r>
      <w:proofErr w:type="spellEnd"/>
      <w:r w:rsidRPr="00C1603D">
        <w:t>.</w:t>
      </w:r>
    </w:p>
    <w:p w14:paraId="111B0611" w14:textId="7593C936" w:rsidR="008B4DF8" w:rsidRPr="00C1603D" w:rsidRDefault="008B4DF8" w:rsidP="00D35C0B">
      <w:pPr>
        <w:pStyle w:val="621TextnumberedlistTextstylesTextstyles"/>
      </w:pPr>
      <w:r w:rsidRPr="00C1603D">
        <w:t>or/17-21</w:t>
      </w:r>
    </w:p>
    <w:p w14:paraId="54C478D1" w14:textId="419B2117" w:rsidR="008B4DF8" w:rsidRPr="00C1603D" w:rsidRDefault="008B4DF8" w:rsidP="00D35C0B">
      <w:pPr>
        <w:pStyle w:val="621TextnumberedlistTextstylesTextstyles"/>
      </w:pPr>
      <w:r w:rsidRPr="00C1603D">
        <w:t xml:space="preserve">((gliadin or antigliadin or anti-gliadin or anti gliadin) adj4 </w:t>
      </w:r>
      <w:proofErr w:type="spellStart"/>
      <w:r w:rsidRPr="00C1603D">
        <w:t>antibod</w:t>
      </w:r>
      <w:proofErr w:type="spellEnd"/>
      <w:r w:rsidRPr="00C1603D">
        <w:t>*).</w:t>
      </w:r>
      <w:proofErr w:type="spellStart"/>
      <w:r w:rsidRPr="00C1603D">
        <w:t>tw</w:t>
      </w:r>
      <w:proofErr w:type="spellEnd"/>
      <w:r w:rsidRPr="00C1603D">
        <w:t>.</w:t>
      </w:r>
    </w:p>
    <w:p w14:paraId="105BC993" w14:textId="77514E96" w:rsidR="008B4DF8" w:rsidRPr="00C1603D" w:rsidRDefault="008B4DF8" w:rsidP="00D35C0B">
      <w:pPr>
        <w:pStyle w:val="621TextnumberedlistTextstylesTextstyles"/>
      </w:pPr>
      <w:r w:rsidRPr="00C1603D">
        <w:t xml:space="preserve">((igg or </w:t>
      </w:r>
      <w:proofErr w:type="spellStart"/>
      <w:r w:rsidRPr="00C1603D">
        <w:t>iga</w:t>
      </w:r>
      <w:proofErr w:type="spellEnd"/>
      <w:r w:rsidRPr="00C1603D">
        <w:t xml:space="preserve"> or immunoglobulin) adj4 gliadin).</w:t>
      </w:r>
      <w:proofErr w:type="spellStart"/>
      <w:r w:rsidRPr="00C1603D">
        <w:t>tw</w:t>
      </w:r>
      <w:proofErr w:type="spellEnd"/>
      <w:r w:rsidRPr="00C1603D">
        <w:t>.</w:t>
      </w:r>
    </w:p>
    <w:p w14:paraId="2C50CDE4" w14:textId="0540CB87" w:rsidR="008B4DF8" w:rsidRPr="00C1603D" w:rsidRDefault="008B4DF8" w:rsidP="00D35C0B">
      <w:pPr>
        <w:pStyle w:val="621TextnumberedlistTextstylesTextstyles"/>
      </w:pPr>
      <w:r w:rsidRPr="00C1603D">
        <w:t xml:space="preserve">((igg or </w:t>
      </w:r>
      <w:proofErr w:type="spellStart"/>
      <w:r w:rsidRPr="00C1603D">
        <w:t>iga</w:t>
      </w:r>
      <w:proofErr w:type="spellEnd"/>
      <w:r w:rsidRPr="00C1603D">
        <w:t xml:space="preserve"> or immunoglobulin) adj4 (antigliadin or anti-gliadin or anti gliadin)).</w:t>
      </w:r>
      <w:proofErr w:type="spellStart"/>
      <w:r w:rsidRPr="00C1603D">
        <w:t>tw</w:t>
      </w:r>
      <w:proofErr w:type="spellEnd"/>
      <w:r w:rsidRPr="00C1603D">
        <w:t>.</w:t>
      </w:r>
    </w:p>
    <w:p w14:paraId="32F7743A" w14:textId="21CCB769" w:rsidR="008B4DF8" w:rsidRPr="00C1603D" w:rsidRDefault="008B4DF8" w:rsidP="00D35C0B">
      <w:pPr>
        <w:pStyle w:val="621TextnumberedlistTextstylesTextstyles"/>
      </w:pPr>
      <w:r w:rsidRPr="00C1603D">
        <w:t>(</w:t>
      </w:r>
      <w:proofErr w:type="spellStart"/>
      <w:r w:rsidRPr="00C1603D">
        <w:t>elisa</w:t>
      </w:r>
      <w:proofErr w:type="spellEnd"/>
      <w:r w:rsidRPr="00C1603D">
        <w:t xml:space="preserve"> adj4 test*).</w:t>
      </w:r>
      <w:proofErr w:type="spellStart"/>
      <w:r w:rsidRPr="00C1603D">
        <w:t>tw</w:t>
      </w:r>
      <w:proofErr w:type="spellEnd"/>
      <w:r w:rsidRPr="00C1603D">
        <w:t>.</w:t>
      </w:r>
    </w:p>
    <w:p w14:paraId="5A32AB16" w14:textId="45A507EB" w:rsidR="008B4DF8" w:rsidRPr="00C1603D" w:rsidRDefault="008B4DF8" w:rsidP="00D35C0B">
      <w:pPr>
        <w:pStyle w:val="621TextnumberedlistTextstylesTextstyles"/>
      </w:pPr>
      <w:r w:rsidRPr="00C1603D">
        <w:t>Gliadin/and Immunoglobulins/</w:t>
      </w:r>
    </w:p>
    <w:p w14:paraId="64DA58E9" w14:textId="672D94DD" w:rsidR="008B4DF8" w:rsidRPr="00C1603D" w:rsidRDefault="008B4DF8" w:rsidP="00D35C0B">
      <w:pPr>
        <w:pStyle w:val="621TextnumberedlistTextstylesTextstyles"/>
      </w:pPr>
      <w:r w:rsidRPr="00C1603D">
        <w:t>or/23-27</w:t>
      </w:r>
    </w:p>
    <w:p w14:paraId="2791CE65" w14:textId="5AB4E1F6" w:rsidR="008B4DF8" w:rsidRPr="00C1603D" w:rsidRDefault="008B4DF8" w:rsidP="00D35C0B">
      <w:pPr>
        <w:pStyle w:val="621TextnumberedlistTextstylesTextstyles"/>
        <w:rPr>
          <w:lang w:val="fr-FR"/>
        </w:rPr>
      </w:pPr>
      <w:r w:rsidRPr="00C1603D">
        <w:rPr>
          <w:lang w:val="fr-FR"/>
        </w:rPr>
        <w:t xml:space="preserve">HLA-DQ </w:t>
      </w:r>
      <w:proofErr w:type="spellStart"/>
      <w:r w:rsidRPr="00C1603D">
        <w:rPr>
          <w:lang w:val="fr-FR"/>
        </w:rPr>
        <w:t>Antigens</w:t>
      </w:r>
      <w:proofErr w:type="spellEnd"/>
      <w:r w:rsidRPr="00C1603D">
        <w:rPr>
          <w:lang w:val="fr-FR"/>
        </w:rPr>
        <w:t xml:space="preserve">/or HLA-DR3 </w:t>
      </w:r>
      <w:proofErr w:type="spellStart"/>
      <w:r w:rsidRPr="00C1603D">
        <w:rPr>
          <w:lang w:val="fr-FR"/>
        </w:rPr>
        <w:t>Antigen</w:t>
      </w:r>
      <w:proofErr w:type="spellEnd"/>
      <w:r w:rsidRPr="00C1603D">
        <w:rPr>
          <w:lang w:val="fr-FR"/>
        </w:rPr>
        <w:t>/</w:t>
      </w:r>
    </w:p>
    <w:p w14:paraId="1FA7B3D0" w14:textId="684D87FC" w:rsidR="008B4DF8" w:rsidRPr="00C1603D" w:rsidRDefault="008B4DF8" w:rsidP="00D35C0B">
      <w:pPr>
        <w:pStyle w:val="621TextnumberedlistTextstylesTextstyles"/>
      </w:pPr>
      <w:r w:rsidRPr="00C1603D">
        <w:t>(human adj3 (leukocyte* or leucocyte*) adj3 antigen*).</w:t>
      </w:r>
      <w:proofErr w:type="spellStart"/>
      <w:r w:rsidRPr="00C1603D">
        <w:t>tw</w:t>
      </w:r>
      <w:proofErr w:type="spellEnd"/>
      <w:r w:rsidRPr="00C1603D">
        <w:t>.</w:t>
      </w:r>
    </w:p>
    <w:p w14:paraId="7FA9F219" w14:textId="0166C4CA" w:rsidR="008B4DF8" w:rsidRPr="00C1603D" w:rsidRDefault="008B4DF8" w:rsidP="00D35C0B">
      <w:pPr>
        <w:pStyle w:val="621TextnumberedlistTextstylesTextstyles"/>
      </w:pPr>
      <w:r w:rsidRPr="00C1603D">
        <w:t>(</w:t>
      </w:r>
      <w:proofErr w:type="spellStart"/>
      <w:r w:rsidRPr="00C1603D">
        <w:t>hla</w:t>
      </w:r>
      <w:proofErr w:type="spellEnd"/>
      <w:r w:rsidRPr="00C1603D">
        <w:t xml:space="preserve"> adj3 typing).</w:t>
      </w:r>
      <w:proofErr w:type="spellStart"/>
      <w:r w:rsidRPr="00C1603D">
        <w:t>tw</w:t>
      </w:r>
      <w:proofErr w:type="spellEnd"/>
      <w:r w:rsidRPr="00C1603D">
        <w:t>.</w:t>
      </w:r>
    </w:p>
    <w:p w14:paraId="35B9AA7C" w14:textId="5E981E9F" w:rsidR="008B4DF8" w:rsidRPr="00C1603D" w:rsidRDefault="008B4DF8" w:rsidP="00D35C0B">
      <w:pPr>
        <w:pStyle w:val="621TextnumberedlistTextstylesTextstyles"/>
      </w:pPr>
      <w:r w:rsidRPr="00C1603D">
        <w:t xml:space="preserve">((dr3 or </w:t>
      </w:r>
      <w:proofErr w:type="spellStart"/>
      <w:r w:rsidRPr="00C1603D">
        <w:t>hla</w:t>
      </w:r>
      <w:proofErr w:type="spellEnd"/>
      <w:r w:rsidRPr="00C1603D">
        <w:t>) adj4 dq2).</w:t>
      </w:r>
      <w:proofErr w:type="spellStart"/>
      <w:r w:rsidRPr="00C1603D">
        <w:t>tw</w:t>
      </w:r>
      <w:proofErr w:type="spellEnd"/>
      <w:r w:rsidRPr="00C1603D">
        <w:t>.</w:t>
      </w:r>
    </w:p>
    <w:p w14:paraId="2ECE2533" w14:textId="0CDB9E2C" w:rsidR="008B4DF8" w:rsidRPr="00C1603D" w:rsidRDefault="008B4DF8" w:rsidP="00D35C0B">
      <w:pPr>
        <w:pStyle w:val="621TextnumberedlistTextstylesTextstyles"/>
      </w:pPr>
      <w:r w:rsidRPr="00C1603D">
        <w:t xml:space="preserve">((dr4 or </w:t>
      </w:r>
      <w:proofErr w:type="spellStart"/>
      <w:r w:rsidRPr="00C1603D">
        <w:t>hla</w:t>
      </w:r>
      <w:proofErr w:type="spellEnd"/>
      <w:r w:rsidRPr="00C1603D">
        <w:t>) adj4 dq8).</w:t>
      </w:r>
      <w:proofErr w:type="spellStart"/>
      <w:r w:rsidRPr="00C1603D">
        <w:t>tw</w:t>
      </w:r>
      <w:proofErr w:type="spellEnd"/>
      <w:r w:rsidRPr="00C1603D">
        <w:t>.</w:t>
      </w:r>
    </w:p>
    <w:p w14:paraId="3575DA50" w14:textId="604FA5D8" w:rsidR="008B4DF8" w:rsidRPr="00C1603D" w:rsidRDefault="008B4DF8" w:rsidP="00D35C0B">
      <w:pPr>
        <w:pStyle w:val="621TextnumberedlistTextstylesTextstyles"/>
      </w:pPr>
      <w:r w:rsidRPr="00C1603D">
        <w:t>or/29-33</w:t>
      </w:r>
    </w:p>
    <w:p w14:paraId="0544FF2A" w14:textId="6A9A4195" w:rsidR="008B4DF8" w:rsidRPr="00C1603D" w:rsidRDefault="008B4DF8" w:rsidP="00D35C0B">
      <w:pPr>
        <w:pStyle w:val="621TextnumberedlistTextstylesTextstyles"/>
      </w:pPr>
      <w:r w:rsidRPr="00C1603D">
        <w:t>9 or 16 or 22 or 28 or 34</w:t>
      </w:r>
    </w:p>
    <w:p w14:paraId="42FDA867" w14:textId="3AD2E378" w:rsidR="008B4DF8" w:rsidRPr="00C1603D" w:rsidRDefault="008B4DF8" w:rsidP="00D35C0B">
      <w:pPr>
        <w:pStyle w:val="621TextnumberedlistTextstylesTextstyles"/>
      </w:pPr>
      <w:r w:rsidRPr="00C1603D">
        <w:t>6 and 35</w:t>
      </w:r>
    </w:p>
    <w:p w14:paraId="18324F76" w14:textId="476D537A" w:rsidR="008B4DF8" w:rsidRPr="00C1603D" w:rsidRDefault="008B4DF8" w:rsidP="00D35C0B">
      <w:pPr>
        <w:pStyle w:val="621TextnumberedlistTextstylesTextstyles"/>
      </w:pPr>
      <w:r w:rsidRPr="00C1603D">
        <w:t>letter/</w:t>
      </w:r>
    </w:p>
    <w:p w14:paraId="5D1F25C0" w14:textId="482843D7" w:rsidR="008B4DF8" w:rsidRPr="00C1603D" w:rsidRDefault="008B4DF8" w:rsidP="00D35C0B">
      <w:pPr>
        <w:pStyle w:val="621TextnumberedlistTextstylesTextstyles"/>
      </w:pPr>
      <w:r w:rsidRPr="00C1603D">
        <w:t>editorial/</w:t>
      </w:r>
    </w:p>
    <w:p w14:paraId="0EF82652" w14:textId="4BBF64C0" w:rsidR="008B4DF8" w:rsidRPr="00C1603D" w:rsidRDefault="008B4DF8" w:rsidP="00D35C0B">
      <w:pPr>
        <w:pStyle w:val="621TextnumberedlistTextstylesTextstyles"/>
      </w:pPr>
      <w:r w:rsidRPr="00C1603D">
        <w:t>news/</w:t>
      </w:r>
    </w:p>
    <w:p w14:paraId="60E2DD05" w14:textId="0888E4D5" w:rsidR="008B4DF8" w:rsidRPr="00C1603D" w:rsidRDefault="008B4DF8" w:rsidP="00D35C0B">
      <w:pPr>
        <w:pStyle w:val="621TextnumberedlistTextstylesTextstyles"/>
      </w:pPr>
      <w:r w:rsidRPr="00C1603D">
        <w:t>exp historical article/</w:t>
      </w:r>
    </w:p>
    <w:p w14:paraId="7A4602B9" w14:textId="06BF7302" w:rsidR="008B4DF8" w:rsidRPr="00C1603D" w:rsidRDefault="008B4DF8" w:rsidP="00D35C0B">
      <w:pPr>
        <w:pStyle w:val="621TextnumberedlistTextstylesTextstyles"/>
      </w:pPr>
      <w:r w:rsidRPr="00C1603D">
        <w:t>Anecdotes as topic/</w:t>
      </w:r>
    </w:p>
    <w:p w14:paraId="6AE36159" w14:textId="79ABCCF8" w:rsidR="008B4DF8" w:rsidRPr="00C1603D" w:rsidRDefault="008B4DF8" w:rsidP="00D35C0B">
      <w:pPr>
        <w:pStyle w:val="621TextnumberedlistTextstylesTextstyles"/>
      </w:pPr>
      <w:r w:rsidRPr="00C1603D">
        <w:t>comment/</w:t>
      </w:r>
    </w:p>
    <w:p w14:paraId="301A9423" w14:textId="4EE33D9B" w:rsidR="008B4DF8" w:rsidRPr="00C1603D" w:rsidRDefault="008B4DF8" w:rsidP="00D35C0B">
      <w:pPr>
        <w:pStyle w:val="621TextnumberedlistTextstylesTextstyles"/>
      </w:pPr>
      <w:r w:rsidRPr="00C1603D">
        <w:lastRenderedPageBreak/>
        <w:t>case report/</w:t>
      </w:r>
    </w:p>
    <w:p w14:paraId="06B1BF7C" w14:textId="7EBF325B" w:rsidR="008B4DF8" w:rsidRPr="00C1603D" w:rsidRDefault="008B4DF8" w:rsidP="00D35C0B">
      <w:pPr>
        <w:pStyle w:val="621TextnumberedlistTextstylesTextstyles"/>
      </w:pPr>
      <w:r w:rsidRPr="00C1603D">
        <w:t>(letter or comment* or editorial or case report).</w:t>
      </w:r>
      <w:proofErr w:type="spellStart"/>
      <w:r w:rsidRPr="00C1603D">
        <w:t>ti</w:t>
      </w:r>
      <w:proofErr w:type="spellEnd"/>
      <w:r w:rsidRPr="00C1603D">
        <w:t>.</w:t>
      </w:r>
    </w:p>
    <w:p w14:paraId="6C0BB76F" w14:textId="07FBBF1A" w:rsidR="008B4DF8" w:rsidRPr="00C1603D" w:rsidRDefault="008B4DF8" w:rsidP="00D35C0B">
      <w:pPr>
        <w:pStyle w:val="621TextnumberedlistTextstylesTextstyles"/>
      </w:pPr>
      <w:r w:rsidRPr="00C1603D">
        <w:t>or/37-44</w:t>
      </w:r>
    </w:p>
    <w:p w14:paraId="188910CB" w14:textId="5FDF0D9A" w:rsidR="008B4DF8" w:rsidRPr="00C1603D" w:rsidRDefault="008B4DF8" w:rsidP="00D35C0B">
      <w:pPr>
        <w:pStyle w:val="621TextnumberedlistTextstylesTextstyles"/>
      </w:pPr>
      <w:r w:rsidRPr="00C1603D">
        <w:t>exp animals/not humans/</w:t>
      </w:r>
    </w:p>
    <w:p w14:paraId="5D55EBC6" w14:textId="0B19BFE4" w:rsidR="008B4DF8" w:rsidRPr="00C1603D" w:rsidRDefault="008B4DF8" w:rsidP="00D35C0B">
      <w:pPr>
        <w:pStyle w:val="621TextnumberedlistTextstylesTextstyles"/>
      </w:pPr>
      <w:r w:rsidRPr="00C1603D">
        <w:t>exp Animals, Laboratory/</w:t>
      </w:r>
    </w:p>
    <w:p w14:paraId="4442F554" w14:textId="75E3335D" w:rsidR="008B4DF8" w:rsidRPr="00C1603D" w:rsidRDefault="008B4DF8" w:rsidP="00D35C0B">
      <w:pPr>
        <w:pStyle w:val="621TextnumberedlistTextstylesTextstyles"/>
      </w:pPr>
      <w:r w:rsidRPr="00C1603D">
        <w:t>exp Animal Experimentation/</w:t>
      </w:r>
    </w:p>
    <w:p w14:paraId="57CA6EA8" w14:textId="28367710" w:rsidR="008B4DF8" w:rsidRPr="00C1603D" w:rsidRDefault="008B4DF8" w:rsidP="00D35C0B">
      <w:pPr>
        <w:pStyle w:val="621TextnumberedlistTextstylesTextstyles"/>
      </w:pPr>
      <w:r w:rsidRPr="00C1603D">
        <w:t>exp Models, Animal/</w:t>
      </w:r>
    </w:p>
    <w:p w14:paraId="0C040664" w14:textId="4C827974" w:rsidR="008B4DF8" w:rsidRPr="00C1603D" w:rsidRDefault="008B4DF8" w:rsidP="00D35C0B">
      <w:pPr>
        <w:pStyle w:val="621TextnumberedlistTextstylesTextstyles"/>
      </w:pPr>
      <w:r w:rsidRPr="00C1603D">
        <w:t xml:space="preserve">exp </w:t>
      </w:r>
      <w:proofErr w:type="spellStart"/>
      <w:r w:rsidRPr="00C1603D">
        <w:t>rodentia</w:t>
      </w:r>
      <w:proofErr w:type="spellEnd"/>
      <w:r w:rsidRPr="00C1603D">
        <w:t>/</w:t>
      </w:r>
    </w:p>
    <w:p w14:paraId="1175D843" w14:textId="447A2C69" w:rsidR="008B4DF8" w:rsidRPr="00C1603D" w:rsidRDefault="008B4DF8" w:rsidP="00D35C0B">
      <w:pPr>
        <w:pStyle w:val="621TextnumberedlistTextstylesTextstyles"/>
      </w:pPr>
      <w:r w:rsidRPr="00C1603D">
        <w:t>((</w:t>
      </w:r>
      <w:proofErr w:type="gramStart"/>
      <w:r w:rsidRPr="00C1603D">
        <w:t>rat or rats or mouse or mice</w:t>
      </w:r>
      <w:proofErr w:type="gramEnd"/>
      <w:r w:rsidRPr="00C1603D">
        <w:t xml:space="preserve"> or rodent* or animal* or murine or porcine or feline or canine or dog or dogs or cat or cats or pig or pigs or monkey* or macaque*) not human*).</w:t>
      </w:r>
      <w:proofErr w:type="spellStart"/>
      <w:r w:rsidRPr="00C1603D">
        <w:t>ti</w:t>
      </w:r>
      <w:proofErr w:type="spellEnd"/>
      <w:r w:rsidRPr="00C1603D">
        <w:t>.</w:t>
      </w:r>
    </w:p>
    <w:p w14:paraId="70F64313" w14:textId="1E0686BF" w:rsidR="008B4DF8" w:rsidRPr="00C1603D" w:rsidRDefault="008B4DF8" w:rsidP="00D35C0B">
      <w:pPr>
        <w:pStyle w:val="621TextnumberedlistTextstylesTextstyles"/>
      </w:pPr>
      <w:r w:rsidRPr="00C1603D">
        <w:t>or/46-51</w:t>
      </w:r>
    </w:p>
    <w:p w14:paraId="32782DB5" w14:textId="7B6C159D" w:rsidR="008B4DF8" w:rsidRPr="00C1603D" w:rsidRDefault="008B4DF8" w:rsidP="00D35C0B">
      <w:pPr>
        <w:pStyle w:val="621TextnumberedlistTextstylesTextstyles"/>
      </w:pPr>
      <w:r w:rsidRPr="00C1603D">
        <w:t>45 or 52</w:t>
      </w:r>
    </w:p>
    <w:p w14:paraId="477E51B2" w14:textId="7C862C21" w:rsidR="008B4DF8" w:rsidRPr="00C1603D" w:rsidRDefault="008B4DF8" w:rsidP="00D35C0B">
      <w:pPr>
        <w:pStyle w:val="6211TextnumberedlistlastTextstylesTextstyles"/>
      </w:pPr>
      <w:proofErr w:type="gramStart"/>
      <w:r w:rsidRPr="00C1603D">
        <w:t>36</w:t>
      </w:r>
      <w:proofErr w:type="gramEnd"/>
      <w:r w:rsidRPr="00C1603D">
        <w:t xml:space="preserve"> not 53</w:t>
      </w:r>
    </w:p>
    <w:p w14:paraId="5410E471" w14:textId="5B6EF304" w:rsidR="008B4DF8" w:rsidRPr="00C1603D" w:rsidRDefault="008B4DF8" w:rsidP="008B4DF8">
      <w:pPr>
        <w:pStyle w:val="43AppendixtitleHeadingsHeadingstyles"/>
      </w:pPr>
      <w:bookmarkStart w:id="691" w:name="_Toc99539943"/>
      <w:bookmarkStart w:id="692" w:name="_Ref84002997"/>
      <w:bookmarkStart w:id="693" w:name="_Ref87551228"/>
      <w:r w:rsidRPr="00C1603D">
        <w:lastRenderedPageBreak/>
        <w:t>Appendix 17</w:t>
      </w:r>
      <w:bookmarkEnd w:id="691"/>
      <w:r w:rsidR="00D35C0B" w:rsidRPr="00C1603D">
        <w:t> </w:t>
      </w:r>
      <w:r w:rsidR="00D35C0B" w:rsidRPr="00C1603D">
        <w:t>Preferred Reporting Items for Systematic Reviews and Meta-Analyses flow diagram</w:t>
      </w:r>
    </w:p>
    <w:p w14:paraId="2718A788" w14:textId="3BF96B9E" w:rsidR="008B4DF8" w:rsidRPr="00C1603D" w:rsidRDefault="008B4DF8" w:rsidP="008B4DF8">
      <w:pPr>
        <w:pStyle w:val="81FigurelegendTableFigureBoxstyles"/>
        <w:rPr>
          <w:sz w:val="22"/>
          <w:szCs w:val="22"/>
        </w:rPr>
      </w:pPr>
      <w:bookmarkStart w:id="694" w:name="_Toc99720837"/>
      <w:r w:rsidRPr="00C1603D">
        <w:rPr>
          <w:b/>
        </w:rPr>
        <w:t>FIGURE 56</w:t>
      </w:r>
      <w:r w:rsidRPr="00C1603D">
        <w:rPr>
          <w:b/>
        </w:rPr>
        <w:t> </w:t>
      </w:r>
      <w:r w:rsidR="00D35C0B" w:rsidRPr="00C1603D">
        <w:t xml:space="preserve">Preferred Reporting Items for Systematic Reviews and Meta-Analyses </w:t>
      </w:r>
      <w:r w:rsidRPr="00C1603D">
        <w:t>flow diagram</w:t>
      </w:r>
      <w:bookmarkEnd w:id="694"/>
      <w:r w:rsidRPr="00C1603D">
        <w:t>. AAA, anti-actin antibodies.</w:t>
      </w:r>
    </w:p>
    <w:p w14:paraId="77DFD622" w14:textId="016AF039" w:rsidR="008B4DF8" w:rsidRPr="00C1603D" w:rsidRDefault="008B4DF8" w:rsidP="008B4DF8">
      <w:pPr>
        <w:pStyle w:val="43AppendixtitleHeadingsHeadingstyles"/>
      </w:pPr>
      <w:bookmarkStart w:id="695" w:name="_Toc99539944"/>
      <w:r w:rsidRPr="00C1603D">
        <w:lastRenderedPageBreak/>
        <w:t>Appendix 18</w:t>
      </w:r>
      <w:bookmarkEnd w:id="695"/>
      <w:r w:rsidR="00D35C0B" w:rsidRPr="00C1603D">
        <w:t> </w:t>
      </w:r>
      <w:r w:rsidR="00D35C0B" w:rsidRPr="00C1603D">
        <w:t>Risk-of-bias plots</w:t>
      </w:r>
    </w:p>
    <w:p w14:paraId="6126CC5D" w14:textId="37D40E90" w:rsidR="008B4DF8" w:rsidRPr="00C1603D" w:rsidRDefault="008B4DF8" w:rsidP="008B4DF8">
      <w:pPr>
        <w:pStyle w:val="81FigurelegendTableFigureBoxstyles"/>
      </w:pPr>
      <w:bookmarkStart w:id="696" w:name="_Toc99720838"/>
      <w:r w:rsidRPr="00C1603D">
        <w:rPr>
          <w:b/>
        </w:rPr>
        <w:t>FIGURE 57</w:t>
      </w:r>
      <w:r w:rsidRPr="00C1603D">
        <w:rPr>
          <w:b/>
        </w:rPr>
        <w:t> </w:t>
      </w:r>
      <w:r w:rsidRPr="00C1603D">
        <w:t>Summary risk</w:t>
      </w:r>
      <w:r w:rsidR="000C416F" w:rsidRPr="00C1603D">
        <w:t>-</w:t>
      </w:r>
      <w:r w:rsidRPr="00C1603D">
        <w:t>of</w:t>
      </w:r>
      <w:r w:rsidR="000C416F" w:rsidRPr="00C1603D">
        <w:t>-</w:t>
      </w:r>
      <w:r w:rsidRPr="00C1603D">
        <w:t>bias plots for all studies combined</w:t>
      </w:r>
      <w:r w:rsidR="000C416F" w:rsidRPr="00C1603D">
        <w:t>,</w:t>
      </w:r>
      <w:r w:rsidRPr="00C1603D">
        <w:t xml:space="preserve"> stratified according to age and according to test type</w:t>
      </w:r>
      <w:bookmarkEnd w:id="696"/>
      <w:r w:rsidRPr="00C1603D">
        <w:t>. (a) All studies; (b) children; (c) adults; (d) IgA</w:t>
      </w:r>
      <w:r w:rsidR="000C416F" w:rsidRPr="00C1603D">
        <w:t xml:space="preserve"> </w:t>
      </w:r>
      <w:r w:rsidRPr="00C1603D">
        <w:t>tTG; and (e) IgA</w:t>
      </w:r>
      <w:r w:rsidR="000C416F" w:rsidRPr="00C1603D">
        <w:t xml:space="preserve"> </w:t>
      </w:r>
      <w:r w:rsidRPr="00C1603D">
        <w:t>EMA.</w:t>
      </w:r>
    </w:p>
    <w:p w14:paraId="287AE8EC" w14:textId="30F76427" w:rsidR="008B4DF8" w:rsidRPr="00C1603D" w:rsidRDefault="008B4DF8" w:rsidP="008B4DF8">
      <w:pPr>
        <w:pStyle w:val="43AppendixtitleHeadingsHeadingstyles"/>
      </w:pPr>
      <w:bookmarkStart w:id="697" w:name="_Ref95137736"/>
      <w:bookmarkStart w:id="698" w:name="_Toc99539945"/>
      <w:r w:rsidRPr="00C1603D">
        <w:lastRenderedPageBreak/>
        <w:t>Appendix 19</w:t>
      </w:r>
      <w:bookmarkEnd w:id="692"/>
      <w:bookmarkEnd w:id="693"/>
      <w:bookmarkEnd w:id="697"/>
      <w:bookmarkEnd w:id="698"/>
      <w:r w:rsidR="00D35C0B" w:rsidRPr="00C1603D">
        <w:t> </w:t>
      </w:r>
      <w:r w:rsidR="00D35C0B" w:rsidRPr="00C1603D">
        <w:t>Sensitivity and specificity estimates</w:t>
      </w:r>
    </w:p>
    <w:p w14:paraId="0E46771C" w14:textId="16B39CCB" w:rsidR="008B4DF8" w:rsidRPr="00C1603D" w:rsidRDefault="008B4DF8" w:rsidP="008B4DF8">
      <w:pPr>
        <w:pStyle w:val="81FigurelegendTableFigureBoxstyles"/>
      </w:pPr>
      <w:bookmarkStart w:id="699" w:name="_Toc99720839"/>
      <w:r w:rsidRPr="00C1603D">
        <w:rPr>
          <w:b/>
        </w:rPr>
        <w:t>FIGURE 58</w:t>
      </w:r>
      <w:r w:rsidRPr="00C1603D">
        <w:rPr>
          <w:b/>
        </w:rPr>
        <w:t> </w:t>
      </w:r>
      <w:r w:rsidRPr="00C1603D">
        <w:t xml:space="preserve">Study estimates of IgA tTG sensitivity and specificity </w:t>
      </w:r>
      <w:r w:rsidR="00D35C0B" w:rsidRPr="00C1603D">
        <w:t>for</w:t>
      </w:r>
      <w:r w:rsidRPr="00C1603D">
        <w:t xml:space="preserve"> adults plotted in ROC space, stratified by reason for biopsy. </w:t>
      </w:r>
      <w:r w:rsidR="004C4B51" w:rsidRPr="00C1603D">
        <w:t>SROC</w:t>
      </w:r>
      <w:r w:rsidRPr="00C1603D">
        <w:t xml:space="preserve"> curves </w:t>
      </w:r>
      <w:proofErr w:type="gramStart"/>
      <w:r w:rsidRPr="00C1603D">
        <w:t>are estimated</w:t>
      </w:r>
      <w:proofErr w:type="gramEnd"/>
      <w:r w:rsidRPr="00C1603D">
        <w:t xml:space="preserve"> from a meta-analysis of all data, across thresholds.</w:t>
      </w:r>
      <w:bookmarkEnd w:id="699"/>
    </w:p>
    <w:p w14:paraId="40542AB0" w14:textId="35D62CA9" w:rsidR="008B4DF8" w:rsidRPr="00C1603D" w:rsidRDefault="008B4DF8" w:rsidP="008B4DF8">
      <w:pPr>
        <w:pStyle w:val="81FigurelegendTableFigureBoxstyles"/>
      </w:pPr>
      <w:bookmarkStart w:id="700" w:name="_Toc99720840"/>
      <w:r w:rsidRPr="00C1603D">
        <w:rPr>
          <w:b/>
        </w:rPr>
        <w:t>FIGURE 59</w:t>
      </w:r>
      <w:r w:rsidRPr="00C1603D">
        <w:rPr>
          <w:b/>
        </w:rPr>
        <w:t> </w:t>
      </w:r>
      <w:r w:rsidRPr="00C1603D">
        <w:t xml:space="preserve">Study estimates of IgA EMA sensitivity and specificity </w:t>
      </w:r>
      <w:r w:rsidR="00E60E12" w:rsidRPr="00C1603D">
        <w:t>for</w:t>
      </w:r>
      <w:r w:rsidRPr="00C1603D">
        <w:t xml:space="preserve"> adults plotted in ROC space, stratified by reason for biopsy. </w:t>
      </w:r>
      <w:r w:rsidR="004C4B51" w:rsidRPr="00C1603D">
        <w:t>SROC</w:t>
      </w:r>
      <w:r w:rsidRPr="00C1603D">
        <w:t xml:space="preserve"> curves </w:t>
      </w:r>
      <w:proofErr w:type="gramStart"/>
      <w:r w:rsidRPr="00C1603D">
        <w:t>are estimated</w:t>
      </w:r>
      <w:proofErr w:type="gramEnd"/>
      <w:r w:rsidRPr="00C1603D">
        <w:t xml:space="preserve"> from a meta-analysis of all data, across thresholds.</w:t>
      </w:r>
      <w:bookmarkEnd w:id="700"/>
    </w:p>
    <w:p w14:paraId="77F680A5" w14:textId="28694493" w:rsidR="008B4DF8" w:rsidRPr="00C1603D" w:rsidRDefault="008B4DF8" w:rsidP="008B4DF8">
      <w:pPr>
        <w:pStyle w:val="81FigurelegendTableFigureBoxstyles"/>
      </w:pPr>
      <w:bookmarkStart w:id="701" w:name="_Toc99720841"/>
      <w:r w:rsidRPr="00C1603D">
        <w:rPr>
          <w:b/>
        </w:rPr>
        <w:t>FIGURE 60</w:t>
      </w:r>
      <w:r w:rsidRPr="00C1603D">
        <w:rPr>
          <w:b/>
        </w:rPr>
        <w:t> </w:t>
      </w:r>
      <w:r w:rsidRPr="00C1603D">
        <w:t xml:space="preserve">Study estimates of IgA tTG sensitivity and specificity </w:t>
      </w:r>
      <w:r w:rsidR="00E60E12" w:rsidRPr="00C1603D">
        <w:t>for</w:t>
      </w:r>
      <w:r w:rsidRPr="00C1603D">
        <w:t xml:space="preserve"> children plotted in ROC space, stratified by reason for biopsy. </w:t>
      </w:r>
      <w:r w:rsidR="004C4B51" w:rsidRPr="00C1603D">
        <w:t>SROC</w:t>
      </w:r>
      <w:r w:rsidRPr="00C1603D">
        <w:t xml:space="preserve"> curves </w:t>
      </w:r>
      <w:proofErr w:type="gramStart"/>
      <w:r w:rsidRPr="00C1603D">
        <w:t>are estimated</w:t>
      </w:r>
      <w:proofErr w:type="gramEnd"/>
      <w:r w:rsidRPr="00C1603D">
        <w:t xml:space="preserve"> from a meta-analysis of all data, across thresholds.</w:t>
      </w:r>
      <w:bookmarkEnd w:id="701"/>
    </w:p>
    <w:p w14:paraId="46B22A8F" w14:textId="3F4D2C04" w:rsidR="008B4DF8" w:rsidRPr="00C1603D" w:rsidRDefault="008B4DF8" w:rsidP="008B4DF8">
      <w:pPr>
        <w:pStyle w:val="81FigurelegendTableFigureBoxstyles"/>
      </w:pPr>
      <w:bookmarkStart w:id="702" w:name="_Toc99720842"/>
      <w:r w:rsidRPr="00C1603D">
        <w:rPr>
          <w:b/>
        </w:rPr>
        <w:t>FIGURE 61</w:t>
      </w:r>
      <w:r w:rsidRPr="00C1603D">
        <w:rPr>
          <w:b/>
        </w:rPr>
        <w:t> </w:t>
      </w:r>
      <w:r w:rsidRPr="00C1603D">
        <w:t xml:space="preserve">Study estimates of IgA EMA sensitivity and specificity </w:t>
      </w:r>
      <w:r w:rsidR="00E60E12" w:rsidRPr="00C1603D">
        <w:t>for</w:t>
      </w:r>
      <w:r w:rsidRPr="00C1603D">
        <w:t xml:space="preserve"> children plotted in ROC space, stratified by reason for biopsy. </w:t>
      </w:r>
      <w:r w:rsidR="004C4B51" w:rsidRPr="00C1603D">
        <w:t>SROC</w:t>
      </w:r>
      <w:r w:rsidRPr="00C1603D">
        <w:t xml:space="preserve"> curves </w:t>
      </w:r>
      <w:proofErr w:type="gramStart"/>
      <w:r w:rsidRPr="00C1603D">
        <w:t>are estimated</w:t>
      </w:r>
      <w:proofErr w:type="gramEnd"/>
      <w:r w:rsidRPr="00C1603D">
        <w:t xml:space="preserve"> from a meta-analysis of all data, across thresholds.</w:t>
      </w:r>
      <w:bookmarkEnd w:id="702"/>
    </w:p>
    <w:p w14:paraId="3C178A17" w14:textId="33AC35B4" w:rsidR="008B4DF8" w:rsidRPr="00C1603D" w:rsidRDefault="008B4DF8" w:rsidP="008B4DF8">
      <w:pPr>
        <w:pStyle w:val="43AppendixtitleHeadingsHeadingstyles"/>
      </w:pPr>
      <w:bookmarkStart w:id="703" w:name="_Ref87449436"/>
      <w:bookmarkStart w:id="704" w:name="_Toc99539946"/>
      <w:r w:rsidRPr="00C1603D">
        <w:lastRenderedPageBreak/>
        <w:t xml:space="preserve">Appendix </w:t>
      </w:r>
      <w:bookmarkEnd w:id="682"/>
      <w:r w:rsidRPr="00C1603D">
        <w:t>20</w:t>
      </w:r>
      <w:bookmarkEnd w:id="703"/>
      <w:bookmarkEnd w:id="704"/>
      <w:r w:rsidR="00373014" w:rsidRPr="00C1603D">
        <w:t> </w:t>
      </w:r>
      <w:r w:rsidR="00373014" w:rsidRPr="00C1603D">
        <w:t>Summary graph of risk of bias</w:t>
      </w:r>
    </w:p>
    <w:p w14:paraId="6E195B89" w14:textId="1581CBE2" w:rsidR="008B4DF8" w:rsidRPr="00C1603D" w:rsidRDefault="008B4DF8" w:rsidP="008B4DF8">
      <w:pPr>
        <w:pStyle w:val="81FigurelegendTableFigureBoxstyles"/>
      </w:pPr>
      <w:bookmarkStart w:id="705" w:name="_Toc99720843"/>
      <w:r w:rsidRPr="00C1603D">
        <w:rPr>
          <w:b/>
        </w:rPr>
        <w:t>FIGURE 62</w:t>
      </w:r>
      <w:r w:rsidRPr="00C1603D">
        <w:rPr>
          <w:b/>
        </w:rPr>
        <w:t> </w:t>
      </w:r>
      <w:r w:rsidRPr="00C1603D">
        <w:t xml:space="preserve">Summary </w:t>
      </w:r>
      <w:r w:rsidR="00092881" w:rsidRPr="00C1603D">
        <w:t xml:space="preserve">risk-of-bias </w:t>
      </w:r>
      <w:r w:rsidRPr="00C1603D">
        <w:t xml:space="preserve">graph </w:t>
      </w:r>
      <w:bookmarkEnd w:id="683"/>
      <w:bookmarkEnd w:id="705"/>
      <w:r w:rsidR="00092881" w:rsidRPr="00C1603D">
        <w:t>for</w:t>
      </w:r>
      <w:r w:rsidR="000F7481" w:rsidRPr="00C1603D">
        <w:t xml:space="preserve"> studies evaluating</w:t>
      </w:r>
      <w:r w:rsidRPr="00C1603D">
        <w:t xml:space="preserve"> </w:t>
      </w:r>
      <w:r w:rsidR="008E7E35" w:rsidRPr="00C1603D">
        <w:t>HLA-DQ</w:t>
      </w:r>
      <w:r w:rsidRPr="00C1603D">
        <w:t xml:space="preserve">2 and/or </w:t>
      </w:r>
      <w:r w:rsidR="00EB5F26" w:rsidRPr="00C1603D">
        <w:t>-</w:t>
      </w:r>
      <w:r w:rsidRPr="00C1603D">
        <w:t>DQ8.</w:t>
      </w:r>
    </w:p>
    <w:p w14:paraId="5DD98609" w14:textId="116C309B" w:rsidR="008B4DF8" w:rsidRPr="00C1603D" w:rsidRDefault="008B4DF8" w:rsidP="008B4DF8">
      <w:pPr>
        <w:pStyle w:val="43AppendixtitleHeadingsHeadingstyles"/>
      </w:pPr>
      <w:bookmarkStart w:id="706" w:name="_Toc99539947"/>
      <w:r w:rsidRPr="00C1603D">
        <w:lastRenderedPageBreak/>
        <w:t>Appendix 21</w:t>
      </w:r>
      <w:bookmarkEnd w:id="706"/>
      <w:r w:rsidR="00BE1A13" w:rsidRPr="00C1603D">
        <w:t> </w:t>
      </w:r>
      <w:r w:rsidR="00BE1A13" w:rsidRPr="00C1603D">
        <w:t>Hypothetical scenarios and associated risks of having coeliac disease</w:t>
      </w:r>
    </w:p>
    <w:p w14:paraId="7CF7FD6E" w14:textId="54A20B0B" w:rsidR="008B4DF8" w:rsidRPr="00C1603D" w:rsidRDefault="003700E5" w:rsidP="003700E5">
      <w:pPr>
        <w:pStyle w:val="90BoxlegendBoxesTableFigureBoxstyles"/>
      </w:pPr>
      <w:bookmarkStart w:id="707" w:name="_Ref95380767"/>
      <w:bookmarkStart w:id="708" w:name="_Toc99720769"/>
      <w:commentRangeStart w:id="709"/>
      <w:r w:rsidRPr="00C1603D">
        <w:rPr>
          <w:b/>
        </w:rPr>
        <w:t xml:space="preserve">BOX </w:t>
      </w:r>
      <w:r w:rsidR="00032460" w:rsidRPr="00C1603D">
        <w:rPr>
          <w:b/>
        </w:rPr>
        <w:t>1</w:t>
      </w:r>
      <w:r w:rsidR="008B4DF8" w:rsidRPr="00C1603D">
        <w:rPr>
          <w:b/>
        </w:rPr>
        <w:t> </w:t>
      </w:r>
      <w:r w:rsidR="008B4DF8" w:rsidRPr="00C1603D">
        <w:t xml:space="preserve">Hypothetical scenarios and associated risks </w:t>
      </w:r>
      <w:r w:rsidR="00FD5402" w:rsidRPr="00C1603D">
        <w:t>of</w:t>
      </w:r>
      <w:r w:rsidR="008B4DF8" w:rsidRPr="00C1603D">
        <w:t xml:space="preserve"> having CD</w:t>
      </w:r>
      <w:bookmarkEnd w:id="707"/>
      <w:bookmarkEnd w:id="708"/>
      <w:commentRangeEnd w:id="709"/>
      <w:r w:rsidRPr="00C1603D">
        <w:rPr>
          <w:rFonts w:ascii="Times New Roman" w:hAnsi="Times New Roman" w:cs="Times New Roman"/>
          <w:color w:val="auto"/>
        </w:rPr>
        <w:commentReference w:id="709"/>
      </w:r>
    </w:p>
    <w:p w14:paraId="33339CBB" w14:textId="77777777" w:rsidR="00BE1A13" w:rsidRPr="00C1603D" w:rsidRDefault="00BE1A13" w:rsidP="00BE1A13">
      <w:pPr>
        <w:pStyle w:val="91BoxheadBoxesTableFigureBoxstyles"/>
      </w:pPr>
      <w:r w:rsidRPr="00C1603D">
        <w:t>Scenarios for adults</w:t>
      </w:r>
    </w:p>
    <w:p w14:paraId="5E107EE2" w14:textId="77777777" w:rsidR="00BE1A13" w:rsidRPr="00C1603D" w:rsidRDefault="00BE1A13" w:rsidP="00BE1A13">
      <w:pPr>
        <w:pStyle w:val="911BoxsubheadABoxesTableFigureBoxstyles"/>
      </w:pPr>
      <w:r w:rsidRPr="00C1603D">
        <w:t xml:space="preserve">Scenario </w:t>
      </w:r>
      <w:proofErr w:type="gramStart"/>
      <w:r w:rsidRPr="00C1603D">
        <w:t>1</w:t>
      </w:r>
      <w:proofErr w:type="gramEnd"/>
    </w:p>
    <w:p w14:paraId="39E092D9" w14:textId="77777777" w:rsidR="00BE1A13" w:rsidRPr="00C1603D" w:rsidRDefault="00BE1A13" w:rsidP="00BE1A13">
      <w:pPr>
        <w:pStyle w:val="92BoxtextBoxesTableFigureBoxstyles"/>
      </w:pPr>
      <w:r w:rsidRPr="00C1603D">
        <w:t>You are suffering from episodes of stomach cramps, bloating, diarrhoea and fatigue several times a week over the last 5 years and you have been losing weight unintentionally over the past months. Your symptoms are interfering with your daily life.</w:t>
      </w:r>
    </w:p>
    <w:p w14:paraId="776E5423" w14:textId="20398727" w:rsidR="00BE1A13" w:rsidRPr="00C1603D" w:rsidRDefault="00BE1A13" w:rsidP="00EB3010">
      <w:pPr>
        <w:pStyle w:val="922BoxbulletlistBoxesTableFigureBoxstyles"/>
      </w:pPr>
      <w:r w:rsidRPr="00C1603D">
        <w:t>Pre-test probability: 5%</w:t>
      </w:r>
      <w:r w:rsidR="003700E5" w:rsidRPr="00C1603D">
        <w:t>.</w:t>
      </w:r>
    </w:p>
    <w:p w14:paraId="5E9EC397" w14:textId="77777777" w:rsidR="00BE1A13" w:rsidRPr="00C1603D" w:rsidRDefault="00BE1A13" w:rsidP="00EB3010">
      <w:pPr>
        <w:pStyle w:val="922BoxbulletlistBoxesTableFigureBoxstyles"/>
      </w:pPr>
      <w:r w:rsidRPr="00C1603D">
        <w:t>Risk of CD if blood test is</w:t>
      </w:r>
    </w:p>
    <w:p w14:paraId="0BC261E2" w14:textId="18387E46" w:rsidR="00BE1A13" w:rsidRPr="00C1603D" w:rsidRDefault="003700E5" w:rsidP="00EB3010">
      <w:pPr>
        <w:pStyle w:val="931BoxsubbulletlistBoxesTableFigureBoxstyles"/>
      </w:pPr>
      <w:r w:rsidRPr="00C1603D">
        <w:t>positive</w:t>
      </w:r>
      <w:r w:rsidR="00BE1A13" w:rsidRPr="00C1603D">
        <w:t>: 33%</w:t>
      </w:r>
    </w:p>
    <w:p w14:paraId="3B31CF67" w14:textId="3DCE900D" w:rsidR="00BE1A13" w:rsidRPr="00C1603D" w:rsidRDefault="003700E5" w:rsidP="00EB3010">
      <w:pPr>
        <w:pStyle w:val="931BoxsubbulletlistBoxesTableFigureBoxstyles"/>
      </w:pPr>
      <w:r w:rsidRPr="00C1603D">
        <w:t xml:space="preserve">strong </w:t>
      </w:r>
      <w:r w:rsidR="00BE1A13" w:rsidRPr="00C1603D">
        <w:t>positive (</w:t>
      </w:r>
      <w:proofErr w:type="gramStart"/>
      <w:r w:rsidR="00BE1A13" w:rsidRPr="00C1603D">
        <w:t>high levels</w:t>
      </w:r>
      <w:proofErr w:type="gramEnd"/>
      <w:r w:rsidR="00BE1A13" w:rsidRPr="00C1603D">
        <w:t xml:space="preserve"> of anti-gluten antibodies): 75%</w:t>
      </w:r>
    </w:p>
    <w:p w14:paraId="00EE7405" w14:textId="4A50FE53" w:rsidR="00BE1A13" w:rsidRPr="00C1603D" w:rsidRDefault="003700E5" w:rsidP="00EB3010">
      <w:pPr>
        <w:pStyle w:val="932BoxsubbulletlistlastBoxesTableFigureBoxstyles"/>
      </w:pPr>
      <w:r w:rsidRPr="00C1603D">
        <w:t>negative</w:t>
      </w:r>
      <w:r w:rsidR="00BE1A13" w:rsidRPr="00C1603D">
        <w:t>: 1%</w:t>
      </w:r>
      <w:r w:rsidRPr="00C1603D">
        <w:t>.</w:t>
      </w:r>
    </w:p>
    <w:p w14:paraId="56E58FE0" w14:textId="77777777" w:rsidR="00BE1A13" w:rsidRPr="00C1603D" w:rsidRDefault="00BE1A13" w:rsidP="00BE1A13">
      <w:pPr>
        <w:pStyle w:val="911BoxsubheadABoxesTableFigureBoxstyles"/>
      </w:pPr>
      <w:r w:rsidRPr="00C1603D">
        <w:t xml:space="preserve">Scenario </w:t>
      </w:r>
      <w:proofErr w:type="gramStart"/>
      <w:r w:rsidRPr="00C1603D">
        <w:t>2</w:t>
      </w:r>
      <w:proofErr w:type="gramEnd"/>
    </w:p>
    <w:p w14:paraId="3FCD56B9" w14:textId="77777777" w:rsidR="00BE1A13" w:rsidRPr="00C1603D" w:rsidRDefault="00BE1A13" w:rsidP="00BE1A13">
      <w:pPr>
        <w:pStyle w:val="92BoxtextBoxesTableFigureBoxstyles"/>
      </w:pPr>
      <w:r w:rsidRPr="00C1603D">
        <w:t>Your 5-year-old son has been diagnosed with CD. You have no symptoms.</w:t>
      </w:r>
    </w:p>
    <w:p w14:paraId="4384CE0D" w14:textId="5A02A434" w:rsidR="00BE1A13" w:rsidRPr="00C1603D" w:rsidRDefault="00BE1A13" w:rsidP="00EB3010">
      <w:pPr>
        <w:pStyle w:val="922BoxbulletlistBoxesTableFigureBoxstyles"/>
      </w:pPr>
      <w:r w:rsidRPr="00C1603D">
        <w:t>Pre-test probability: 10%</w:t>
      </w:r>
      <w:r w:rsidR="003700E5" w:rsidRPr="00C1603D">
        <w:t>.</w:t>
      </w:r>
    </w:p>
    <w:p w14:paraId="58E19034" w14:textId="77777777" w:rsidR="00BE1A13" w:rsidRPr="00C1603D" w:rsidRDefault="00BE1A13" w:rsidP="00EB3010">
      <w:pPr>
        <w:pStyle w:val="922BoxbulletlistBoxesTableFigureBoxstyles"/>
      </w:pPr>
      <w:r w:rsidRPr="00C1603D">
        <w:t>Risk of CD if blood test is</w:t>
      </w:r>
    </w:p>
    <w:p w14:paraId="6065FFAB" w14:textId="456E22A0" w:rsidR="00BE1A13" w:rsidRPr="00C1603D" w:rsidRDefault="003700E5" w:rsidP="003700E5">
      <w:pPr>
        <w:pStyle w:val="931BoxsubbulletlistBoxesTableFigureBoxstyles"/>
      </w:pPr>
      <w:r w:rsidRPr="00C1603D">
        <w:t>positive</w:t>
      </w:r>
      <w:r w:rsidR="00BE1A13" w:rsidRPr="00C1603D">
        <w:t>: 50%</w:t>
      </w:r>
    </w:p>
    <w:p w14:paraId="440E28B9" w14:textId="2D3324C0" w:rsidR="00BE1A13" w:rsidRPr="00C1603D" w:rsidRDefault="003700E5" w:rsidP="003700E5">
      <w:pPr>
        <w:pStyle w:val="932BoxsubbulletlistlastBoxesTableFigureBoxstyles"/>
      </w:pPr>
      <w:r w:rsidRPr="00C1603D">
        <w:t xml:space="preserve">strong </w:t>
      </w:r>
      <w:r w:rsidR="00BE1A13" w:rsidRPr="00C1603D">
        <w:t>positive: 90%</w:t>
      </w:r>
      <w:r w:rsidRPr="00C1603D">
        <w:t>.</w:t>
      </w:r>
    </w:p>
    <w:p w14:paraId="3238C5B8" w14:textId="77777777" w:rsidR="003700E5" w:rsidRPr="00C1603D" w:rsidRDefault="00BE1A13" w:rsidP="003700E5">
      <w:pPr>
        <w:pStyle w:val="911BoxsubheadABoxesTableFigureBoxstyles"/>
      </w:pPr>
      <w:r w:rsidRPr="00C1603D">
        <w:t xml:space="preserve">Scenario </w:t>
      </w:r>
      <w:proofErr w:type="gramStart"/>
      <w:r w:rsidRPr="00C1603D">
        <w:t>3</w:t>
      </w:r>
      <w:proofErr w:type="gramEnd"/>
    </w:p>
    <w:p w14:paraId="6E3D26BB" w14:textId="4643CDBE" w:rsidR="00BE1A13" w:rsidRPr="00C1603D" w:rsidRDefault="00BE1A13" w:rsidP="003700E5">
      <w:pPr>
        <w:pStyle w:val="92BoxtextBoxesTableFigureBoxstyles"/>
      </w:pPr>
      <w:r w:rsidRPr="00C1603D">
        <w:t>After a recent bone fracture and follow-up testing, you are diagnosed with osteoporosis. Osteoporosis is a health condition that weakens the bones, making them fragile and more likely to break and is a risk condition for CD.</w:t>
      </w:r>
    </w:p>
    <w:p w14:paraId="3B03D8DB" w14:textId="5455D235" w:rsidR="00BE1A13" w:rsidRPr="00C1603D" w:rsidRDefault="00BE1A13" w:rsidP="003700E5">
      <w:pPr>
        <w:pStyle w:val="922BoxbulletlistBoxesTableFigureBoxstyles"/>
      </w:pPr>
      <w:r w:rsidRPr="00C1603D">
        <w:t>Pre-test probability: 2%</w:t>
      </w:r>
      <w:r w:rsidR="003700E5" w:rsidRPr="00C1603D">
        <w:t>.</w:t>
      </w:r>
    </w:p>
    <w:p w14:paraId="1DA32C64" w14:textId="77777777" w:rsidR="00BE1A13" w:rsidRPr="00C1603D" w:rsidRDefault="00BE1A13" w:rsidP="003700E5">
      <w:pPr>
        <w:pStyle w:val="922BoxbulletlistBoxesTableFigureBoxstyles"/>
      </w:pPr>
      <w:r w:rsidRPr="00C1603D">
        <w:t>Risk of CD if blood test is</w:t>
      </w:r>
    </w:p>
    <w:p w14:paraId="17EAC236" w14:textId="633BE9F2" w:rsidR="00BE1A13" w:rsidRPr="00C1603D" w:rsidRDefault="003700E5" w:rsidP="003700E5">
      <w:pPr>
        <w:pStyle w:val="931BoxsubbulletlistBoxesTableFigureBoxstyles"/>
      </w:pPr>
      <w:r w:rsidRPr="00C1603D">
        <w:t>positive</w:t>
      </w:r>
      <w:r w:rsidR="00BE1A13" w:rsidRPr="00C1603D">
        <w:t>: 15%</w:t>
      </w:r>
    </w:p>
    <w:p w14:paraId="242948D7" w14:textId="0C8AE659" w:rsidR="00BE1A13" w:rsidRPr="00C1603D" w:rsidRDefault="003700E5" w:rsidP="003700E5">
      <w:pPr>
        <w:pStyle w:val="932BoxsubbulletlistlastBoxesTableFigureBoxstyles"/>
      </w:pPr>
      <w:r w:rsidRPr="00C1603D">
        <w:t xml:space="preserve">strong </w:t>
      </w:r>
      <w:r w:rsidR="00BE1A13" w:rsidRPr="00C1603D">
        <w:t>positive: 55%</w:t>
      </w:r>
      <w:r w:rsidRPr="00C1603D">
        <w:t>.</w:t>
      </w:r>
    </w:p>
    <w:p w14:paraId="5EDC34EC" w14:textId="77777777" w:rsidR="00BE1A13" w:rsidRPr="00C1603D" w:rsidRDefault="00BE1A13" w:rsidP="00BE1A13">
      <w:pPr>
        <w:pStyle w:val="91BoxheadBoxesTableFigureBoxstyles"/>
      </w:pPr>
      <w:r w:rsidRPr="00C1603D">
        <w:t>Scenarios for children</w:t>
      </w:r>
    </w:p>
    <w:p w14:paraId="768BB3FA" w14:textId="77777777" w:rsidR="003700E5" w:rsidRPr="00C1603D" w:rsidRDefault="00BE1A13" w:rsidP="003700E5">
      <w:pPr>
        <w:pStyle w:val="911BoxsubheadABoxesTableFigureBoxstyles"/>
      </w:pPr>
      <w:r w:rsidRPr="00C1603D">
        <w:t xml:space="preserve">Scenario </w:t>
      </w:r>
      <w:proofErr w:type="gramStart"/>
      <w:r w:rsidRPr="00C1603D">
        <w:t>1</w:t>
      </w:r>
      <w:proofErr w:type="gramEnd"/>
    </w:p>
    <w:p w14:paraId="40E73340" w14:textId="50356D79" w:rsidR="00BE1A13" w:rsidRPr="00C1603D" w:rsidRDefault="00BE1A13" w:rsidP="003700E5">
      <w:pPr>
        <w:pStyle w:val="92BoxtextBoxesTableFigureBoxstyles"/>
      </w:pPr>
      <w:r w:rsidRPr="00C1603D">
        <w:t>You are suffering from episodes of stomach cramps, bloating, diarrhoea and fatigue several times a week over the last 5 months. These symptoms make it difficult to pay attention in school and to enjoy after</w:t>
      </w:r>
      <w:r w:rsidR="003700E5" w:rsidRPr="00C1603D">
        <w:t>-</w:t>
      </w:r>
      <w:r w:rsidRPr="00C1603D">
        <w:t>school activities.</w:t>
      </w:r>
    </w:p>
    <w:p w14:paraId="00A5FF36" w14:textId="2CB5A1AF" w:rsidR="00BE1A13" w:rsidRPr="00C1603D" w:rsidRDefault="00BE1A13" w:rsidP="003700E5">
      <w:pPr>
        <w:pStyle w:val="922BoxbulletlistBoxesTableFigureBoxstyles"/>
      </w:pPr>
      <w:r w:rsidRPr="00C1603D">
        <w:t>Pre-test probability: 5%</w:t>
      </w:r>
      <w:r w:rsidR="003700E5" w:rsidRPr="00C1603D">
        <w:t>.</w:t>
      </w:r>
    </w:p>
    <w:p w14:paraId="7B3C6FBD" w14:textId="77777777" w:rsidR="00BE1A13" w:rsidRPr="00C1603D" w:rsidRDefault="00BE1A13" w:rsidP="003700E5">
      <w:pPr>
        <w:pStyle w:val="922BoxbulletlistBoxesTableFigureBoxstyles"/>
      </w:pPr>
      <w:r w:rsidRPr="00C1603D">
        <w:t>Risk of CD if blood test is</w:t>
      </w:r>
    </w:p>
    <w:p w14:paraId="58979D8C" w14:textId="6728215A" w:rsidR="00BE1A13" w:rsidRPr="00C1603D" w:rsidRDefault="003700E5" w:rsidP="003700E5">
      <w:pPr>
        <w:pStyle w:val="931BoxsubbulletlistBoxesTableFigureBoxstyles"/>
      </w:pPr>
      <w:r w:rsidRPr="00C1603D">
        <w:t>positive</w:t>
      </w:r>
      <w:r w:rsidR="00BE1A13" w:rsidRPr="00C1603D">
        <w:t>: 33%</w:t>
      </w:r>
    </w:p>
    <w:p w14:paraId="4B83DADA" w14:textId="5B610678" w:rsidR="00BE1A13" w:rsidRPr="00C1603D" w:rsidRDefault="003700E5" w:rsidP="003700E5">
      <w:pPr>
        <w:pStyle w:val="931BoxsubbulletlistBoxesTableFigureBoxstyles"/>
      </w:pPr>
      <w:r w:rsidRPr="00C1603D">
        <w:t xml:space="preserve">strong </w:t>
      </w:r>
      <w:r w:rsidR="00BE1A13" w:rsidRPr="00C1603D">
        <w:t>positive: 75%</w:t>
      </w:r>
    </w:p>
    <w:p w14:paraId="1C6FB29E" w14:textId="099462D3" w:rsidR="00BE1A13" w:rsidRPr="00C1603D" w:rsidRDefault="003700E5" w:rsidP="003700E5">
      <w:pPr>
        <w:pStyle w:val="932BoxsubbulletlistlastBoxesTableFigureBoxstyles"/>
      </w:pPr>
      <w:r w:rsidRPr="00C1603D">
        <w:t>negative</w:t>
      </w:r>
      <w:r w:rsidR="00BE1A13" w:rsidRPr="00C1603D">
        <w:t>: 1%</w:t>
      </w:r>
      <w:r w:rsidRPr="00C1603D">
        <w:t>.</w:t>
      </w:r>
    </w:p>
    <w:p w14:paraId="0AAEA412" w14:textId="77777777" w:rsidR="003700E5" w:rsidRPr="00C1603D" w:rsidRDefault="00BE1A13" w:rsidP="003700E5">
      <w:pPr>
        <w:pStyle w:val="911BoxsubheadABoxesTableFigureBoxstyles"/>
      </w:pPr>
      <w:r w:rsidRPr="00C1603D">
        <w:t xml:space="preserve">Scenario </w:t>
      </w:r>
      <w:proofErr w:type="gramStart"/>
      <w:r w:rsidRPr="00C1603D">
        <w:t>2</w:t>
      </w:r>
      <w:proofErr w:type="gramEnd"/>
    </w:p>
    <w:p w14:paraId="04240D93" w14:textId="59AE3185" w:rsidR="00BE1A13" w:rsidRPr="00C1603D" w:rsidRDefault="00BE1A13" w:rsidP="003700E5">
      <w:pPr>
        <w:pStyle w:val="92BoxtextBoxesTableFigureBoxstyles"/>
      </w:pPr>
      <w:r w:rsidRPr="00C1603D">
        <w:t xml:space="preserve">You have just found out that one of your parents has CD and needs to follow a lifelong gluten-free diet. You </w:t>
      </w:r>
      <w:r w:rsidRPr="00C1603D">
        <w:rPr>
          <w:color w:val="00B0F0"/>
        </w:rPr>
        <w:t>do not</w:t>
      </w:r>
      <w:r w:rsidRPr="00C1603D">
        <w:t xml:space="preserve"> have any symptoms yourself.</w:t>
      </w:r>
    </w:p>
    <w:p w14:paraId="76298063" w14:textId="1C9FE610" w:rsidR="00BE1A13" w:rsidRPr="00C1603D" w:rsidRDefault="00BE1A13" w:rsidP="003700E5">
      <w:pPr>
        <w:pStyle w:val="922BoxbulletlistBoxesTableFigureBoxstyles"/>
      </w:pPr>
      <w:r w:rsidRPr="00C1603D">
        <w:t>Pre-test probability: 10%</w:t>
      </w:r>
      <w:r w:rsidR="003700E5" w:rsidRPr="00C1603D">
        <w:t>.</w:t>
      </w:r>
    </w:p>
    <w:p w14:paraId="312F5AD0" w14:textId="77777777" w:rsidR="00BE1A13" w:rsidRPr="00C1603D" w:rsidRDefault="00BE1A13" w:rsidP="003700E5">
      <w:pPr>
        <w:pStyle w:val="922BoxbulletlistBoxesTableFigureBoxstyles"/>
      </w:pPr>
      <w:r w:rsidRPr="00C1603D">
        <w:t>Risk of CD if blood test is</w:t>
      </w:r>
    </w:p>
    <w:p w14:paraId="00BBB95B" w14:textId="45870809" w:rsidR="00BE1A13" w:rsidRPr="00C1603D" w:rsidRDefault="003700E5" w:rsidP="003700E5">
      <w:pPr>
        <w:pStyle w:val="931BoxsubbulletlistBoxesTableFigureBoxstyles"/>
      </w:pPr>
      <w:r w:rsidRPr="00C1603D">
        <w:t>positive</w:t>
      </w:r>
      <w:r w:rsidR="00BE1A13" w:rsidRPr="00C1603D">
        <w:t>: 50%</w:t>
      </w:r>
    </w:p>
    <w:p w14:paraId="3CC278BA" w14:textId="684C14E4" w:rsidR="00BE1A13" w:rsidRPr="00C1603D" w:rsidRDefault="003700E5" w:rsidP="003700E5">
      <w:pPr>
        <w:pStyle w:val="932BoxsubbulletlistlastBoxesTableFigureBoxstyles"/>
      </w:pPr>
      <w:r w:rsidRPr="00C1603D">
        <w:lastRenderedPageBreak/>
        <w:t xml:space="preserve">strong </w:t>
      </w:r>
      <w:r w:rsidR="00BE1A13" w:rsidRPr="00C1603D">
        <w:t>positive: 90%</w:t>
      </w:r>
      <w:r w:rsidRPr="00C1603D">
        <w:t>.</w:t>
      </w:r>
    </w:p>
    <w:p w14:paraId="77133C25" w14:textId="77777777" w:rsidR="003700E5" w:rsidRPr="00C1603D" w:rsidRDefault="00BE1A13" w:rsidP="003700E5">
      <w:pPr>
        <w:pStyle w:val="911BoxsubheadABoxesTableFigureBoxstyles"/>
      </w:pPr>
      <w:r w:rsidRPr="00C1603D">
        <w:t xml:space="preserve">Scenario </w:t>
      </w:r>
      <w:proofErr w:type="gramStart"/>
      <w:r w:rsidRPr="00C1603D">
        <w:t>3</w:t>
      </w:r>
      <w:proofErr w:type="gramEnd"/>
    </w:p>
    <w:p w14:paraId="0B9E58E8" w14:textId="7A50567F" w:rsidR="00BE1A13" w:rsidRPr="00C1603D" w:rsidRDefault="00BE1A13" w:rsidP="003700E5">
      <w:pPr>
        <w:pStyle w:val="92BoxtextBoxesTableFigureBoxstyles"/>
      </w:pPr>
      <w:r w:rsidRPr="00C1603D">
        <w:t>After a recent bone fracture and follow-up testing, you are diagnosed with osteoporosis. Osteoporosis is a health condition that weakens the bones, making them fragile and more likely to break.</w:t>
      </w:r>
    </w:p>
    <w:p w14:paraId="54C57959" w14:textId="49CA5495" w:rsidR="00BE1A13" w:rsidRPr="00C1603D" w:rsidRDefault="00BE1A13" w:rsidP="003700E5">
      <w:pPr>
        <w:pStyle w:val="922BoxbulletlistBoxesTableFigureBoxstyles"/>
      </w:pPr>
      <w:r w:rsidRPr="00C1603D">
        <w:t>Pre-test probability: 2%</w:t>
      </w:r>
      <w:r w:rsidR="003700E5" w:rsidRPr="00C1603D">
        <w:t>.</w:t>
      </w:r>
    </w:p>
    <w:p w14:paraId="36CD2698" w14:textId="77777777" w:rsidR="00BE1A13" w:rsidRPr="00C1603D" w:rsidRDefault="00BE1A13" w:rsidP="003700E5">
      <w:pPr>
        <w:pStyle w:val="922BoxbulletlistBoxesTableFigureBoxstyles"/>
      </w:pPr>
      <w:r w:rsidRPr="00C1603D">
        <w:t>Risk of CD if blood test is</w:t>
      </w:r>
    </w:p>
    <w:p w14:paraId="774E7832" w14:textId="1D72AE63" w:rsidR="00BE1A13" w:rsidRPr="00C1603D" w:rsidRDefault="003700E5" w:rsidP="003700E5">
      <w:pPr>
        <w:pStyle w:val="931BoxsubbulletlistBoxesTableFigureBoxstyles"/>
      </w:pPr>
      <w:r w:rsidRPr="00C1603D">
        <w:t>positive</w:t>
      </w:r>
      <w:r w:rsidR="00BE1A13" w:rsidRPr="00C1603D">
        <w:t>: 15%</w:t>
      </w:r>
    </w:p>
    <w:p w14:paraId="46CDF8B1" w14:textId="5398C4C2" w:rsidR="00BE1A13" w:rsidRPr="00C1603D" w:rsidRDefault="003700E5" w:rsidP="003700E5">
      <w:pPr>
        <w:pStyle w:val="932BoxsubbulletlistlastBoxesTableFigureBoxstyles"/>
      </w:pPr>
      <w:r w:rsidRPr="00C1603D">
        <w:t xml:space="preserve">strong </w:t>
      </w:r>
      <w:r w:rsidR="00BE1A13" w:rsidRPr="00C1603D">
        <w:t>positive: 55%</w:t>
      </w:r>
      <w:r w:rsidRPr="00C1603D">
        <w:t>.</w:t>
      </w:r>
    </w:p>
    <w:p w14:paraId="51248236" w14:textId="7B64B636" w:rsidR="008B4DF8" w:rsidRPr="00C1603D" w:rsidRDefault="008B4DF8" w:rsidP="003700E5">
      <w:pPr>
        <w:pStyle w:val="43AppendixtitleHeadingsHeadingstyles"/>
      </w:pPr>
      <w:bookmarkStart w:id="710" w:name="_Toc99539948"/>
      <w:bookmarkStart w:id="711" w:name="_Ref87536626"/>
      <w:bookmarkStart w:id="712" w:name="_Ref87536739"/>
      <w:r w:rsidRPr="00C1603D">
        <w:lastRenderedPageBreak/>
        <w:t>Appendix 22</w:t>
      </w:r>
      <w:bookmarkEnd w:id="710"/>
      <w:r w:rsidR="003700E5" w:rsidRPr="00C1603D">
        <w:t> </w:t>
      </w:r>
      <w:bookmarkStart w:id="713" w:name="_Toc99539949"/>
      <w:r w:rsidRPr="00C1603D">
        <w:t xml:space="preserve">Characteristics </w:t>
      </w:r>
      <w:r w:rsidR="003700E5" w:rsidRPr="00C1603D">
        <w:t xml:space="preserve">of </w:t>
      </w:r>
      <w:r w:rsidRPr="00C1603D">
        <w:t>survey respondents</w:t>
      </w:r>
      <w:bookmarkEnd w:id="713"/>
    </w:p>
    <w:p w14:paraId="00A43C8B" w14:textId="5F8AC910" w:rsidR="008B4DF8" w:rsidRPr="00C1603D" w:rsidRDefault="008B4DF8" w:rsidP="008B4DF8">
      <w:pPr>
        <w:pStyle w:val="70TablelegendTablesTableFigureBoxstyles"/>
      </w:pPr>
      <w:bookmarkStart w:id="714" w:name="_Toc99720770"/>
      <w:r w:rsidRPr="00C1603D">
        <w:rPr>
          <w:b/>
        </w:rPr>
        <w:t>TABLE 59</w:t>
      </w:r>
      <w:r w:rsidRPr="00C1603D">
        <w:rPr>
          <w:b/>
        </w:rPr>
        <w:t> </w:t>
      </w:r>
      <w:r w:rsidR="005A0906" w:rsidRPr="00C1603D">
        <w:rPr>
          <w:bCs/>
        </w:rPr>
        <w:t>C</w:t>
      </w:r>
      <w:r w:rsidRPr="00C1603D">
        <w:t>haracteristics</w:t>
      </w:r>
      <w:bookmarkEnd w:id="714"/>
      <w:r w:rsidR="005A0906" w:rsidRPr="00C1603D">
        <w:t xml:space="preserve"> of respondents</w:t>
      </w:r>
    </w:p>
    <w:tbl>
      <w:tblPr>
        <w:tblW w:w="0" w:type="auto"/>
        <w:tblCellMar>
          <w:top w:w="40" w:type="dxa"/>
          <w:left w:w="60" w:type="dxa"/>
          <w:bottom w:w="40" w:type="dxa"/>
          <w:right w:w="60" w:type="dxa"/>
        </w:tblCellMar>
        <w:tblLook w:val="04A0" w:firstRow="1" w:lastRow="0" w:firstColumn="1" w:lastColumn="0" w:noHBand="0" w:noVBand="1"/>
      </w:tblPr>
      <w:tblGrid>
        <w:gridCol w:w="2965"/>
        <w:gridCol w:w="1345"/>
        <w:gridCol w:w="1362"/>
        <w:gridCol w:w="1345"/>
      </w:tblGrid>
      <w:tr w:rsidR="008B4DF8" w:rsidRPr="00C1603D" w14:paraId="26F3DC22" w14:textId="77777777" w:rsidTr="003700E5">
        <w:trPr>
          <w:cantSplit/>
        </w:trPr>
        <w:tc>
          <w:tcPr>
            <w:tcW w:w="0" w:type="auto"/>
            <w:shd w:val="clear" w:color="auto" w:fill="auto"/>
          </w:tcPr>
          <w:p w14:paraId="37B35BB1" w14:textId="1E021BF2" w:rsidR="008B4DF8" w:rsidRPr="00C1603D" w:rsidRDefault="003700E5" w:rsidP="003700E5">
            <w:pPr>
              <w:pStyle w:val="710TableheadTablesTableFigureBoxstyles"/>
              <w:rPr>
                <w:lang w:eastAsia="en-GB"/>
              </w:rPr>
            </w:pPr>
            <w:r w:rsidRPr="00C1603D">
              <w:rPr>
                <w:lang w:eastAsia="en-GB"/>
              </w:rPr>
              <w:t>Characteristic</w:t>
            </w:r>
          </w:p>
        </w:tc>
        <w:tc>
          <w:tcPr>
            <w:tcW w:w="0" w:type="auto"/>
            <w:shd w:val="clear" w:color="auto" w:fill="auto"/>
          </w:tcPr>
          <w:p w14:paraId="76D15BCE" w14:textId="14CAE13B" w:rsidR="008B4DF8" w:rsidRPr="00C1603D" w:rsidRDefault="00DD3AD1" w:rsidP="003700E5">
            <w:pPr>
              <w:pStyle w:val="710TableheadTablesTableFigureBoxstyles"/>
              <w:rPr>
                <w:lang w:eastAsia="en-GB"/>
              </w:rPr>
            </w:pPr>
            <w:r w:rsidRPr="00C1603D">
              <w:rPr>
                <w:lang w:eastAsia="en-GB"/>
              </w:rPr>
              <w:t>CD</w:t>
            </w:r>
            <w:r w:rsidR="008B4DF8" w:rsidRPr="00C1603D">
              <w:rPr>
                <w:vertAlign w:val="superscript"/>
                <w:lang w:eastAsia="en-GB"/>
              </w:rPr>
              <w:t>a</w:t>
            </w:r>
            <w:r w:rsidR="008B4DF8" w:rsidRPr="00C1603D">
              <w:rPr>
                <w:lang w:eastAsia="en-GB"/>
              </w:rPr>
              <w:t xml:space="preserve"> (</w:t>
            </w:r>
            <w:r w:rsidR="008B4DF8" w:rsidRPr="00C1603D">
              <w:rPr>
                <w:i/>
                <w:iCs/>
                <w:lang w:eastAsia="en-GB"/>
              </w:rPr>
              <w:t>N</w:t>
            </w:r>
            <w:r w:rsidR="008B4DF8" w:rsidRPr="00C1603D">
              <w:rPr>
                <w:color w:val="00B0F0"/>
                <w:lang w:eastAsia="en-GB"/>
              </w:rPr>
              <w:t> = </w:t>
            </w:r>
            <w:r w:rsidR="008B4DF8" w:rsidRPr="00C1603D">
              <w:rPr>
                <w:lang w:eastAsia="en-GB"/>
              </w:rPr>
              <w:t>244)</w:t>
            </w:r>
          </w:p>
        </w:tc>
        <w:tc>
          <w:tcPr>
            <w:tcW w:w="0" w:type="auto"/>
            <w:shd w:val="clear" w:color="auto" w:fill="auto"/>
          </w:tcPr>
          <w:p w14:paraId="58BBF694" w14:textId="205F1660" w:rsidR="008B4DF8" w:rsidRPr="00C1603D" w:rsidRDefault="008B4DF8" w:rsidP="003700E5">
            <w:pPr>
              <w:pStyle w:val="710TableheadTablesTableFigureBoxstyles"/>
              <w:rPr>
                <w:lang w:eastAsia="en-GB"/>
              </w:rPr>
            </w:pPr>
            <w:r w:rsidRPr="00C1603D">
              <w:rPr>
                <w:lang w:eastAsia="en-GB"/>
              </w:rPr>
              <w:t xml:space="preserve">No </w:t>
            </w:r>
            <w:r w:rsidR="00DD3AD1" w:rsidRPr="00C1603D">
              <w:rPr>
                <w:lang w:eastAsia="en-GB"/>
              </w:rPr>
              <w:t>CD</w:t>
            </w:r>
            <w:r w:rsidRPr="00C1603D">
              <w:rPr>
                <w:lang w:eastAsia="en-GB"/>
              </w:rPr>
              <w:t xml:space="preserve"> (</w:t>
            </w:r>
            <w:r w:rsidRPr="00C1603D">
              <w:rPr>
                <w:i/>
                <w:iCs/>
                <w:lang w:eastAsia="en-GB"/>
              </w:rPr>
              <w:t>N</w:t>
            </w:r>
            <w:r w:rsidRPr="00C1603D">
              <w:rPr>
                <w:color w:val="00B0F0"/>
                <w:lang w:eastAsia="en-GB"/>
              </w:rPr>
              <w:t> = </w:t>
            </w:r>
            <w:r w:rsidRPr="00C1603D">
              <w:rPr>
                <w:lang w:eastAsia="en-GB"/>
              </w:rPr>
              <w:t>223)</w:t>
            </w:r>
          </w:p>
        </w:tc>
        <w:tc>
          <w:tcPr>
            <w:tcW w:w="0" w:type="auto"/>
            <w:shd w:val="clear" w:color="auto" w:fill="auto"/>
          </w:tcPr>
          <w:p w14:paraId="3DEF78A3" w14:textId="77777777" w:rsidR="008B4DF8" w:rsidRPr="00C1603D" w:rsidRDefault="008B4DF8" w:rsidP="003700E5">
            <w:pPr>
              <w:pStyle w:val="710TableheadTablesTableFigureBoxstyles"/>
              <w:rPr>
                <w:lang w:eastAsia="en-GB"/>
              </w:rPr>
            </w:pPr>
            <w:r w:rsidRPr="00C1603D">
              <w:rPr>
                <w:lang w:eastAsia="en-GB"/>
              </w:rPr>
              <w:t>Total (</w:t>
            </w:r>
            <w:r w:rsidRPr="00C1603D">
              <w:rPr>
                <w:i/>
                <w:iCs/>
                <w:lang w:eastAsia="en-GB"/>
              </w:rPr>
              <w:t>N</w:t>
            </w:r>
            <w:r w:rsidRPr="00C1603D">
              <w:rPr>
                <w:color w:val="00B0F0"/>
                <w:lang w:eastAsia="en-GB"/>
              </w:rPr>
              <w:t> = </w:t>
            </w:r>
            <w:r w:rsidRPr="00C1603D">
              <w:rPr>
                <w:lang w:eastAsia="en-GB"/>
              </w:rPr>
              <w:t>468)</w:t>
            </w:r>
          </w:p>
        </w:tc>
      </w:tr>
      <w:tr w:rsidR="008B4DF8" w:rsidRPr="00C1603D" w14:paraId="5BB3E321" w14:textId="77777777" w:rsidTr="003700E5">
        <w:trPr>
          <w:cantSplit/>
        </w:trPr>
        <w:tc>
          <w:tcPr>
            <w:tcW w:w="0" w:type="auto"/>
            <w:gridSpan w:val="4"/>
            <w:shd w:val="clear" w:color="auto" w:fill="auto"/>
            <w:noWrap/>
          </w:tcPr>
          <w:p w14:paraId="7450D2CC" w14:textId="7139EDD2" w:rsidR="008B4DF8" w:rsidRPr="00C1603D" w:rsidRDefault="008B4DF8" w:rsidP="003700E5">
            <w:pPr>
              <w:pStyle w:val="711TablesubheadATablesTableFigureBoxstyles"/>
              <w:rPr>
                <w:lang w:eastAsia="en-GB"/>
              </w:rPr>
            </w:pPr>
            <w:r w:rsidRPr="00C1603D">
              <w:rPr>
                <w:lang w:eastAsia="en-GB"/>
              </w:rPr>
              <w:t>Age</w:t>
            </w:r>
            <w:r w:rsidR="003700E5" w:rsidRPr="00C1603D">
              <w:rPr>
                <w:lang w:eastAsia="en-GB"/>
              </w:rPr>
              <w:t xml:space="preserve"> range</w:t>
            </w:r>
            <w:r w:rsidRPr="00C1603D">
              <w:rPr>
                <w:lang w:eastAsia="en-GB"/>
              </w:rPr>
              <w:t xml:space="preserve"> (years)</w:t>
            </w:r>
            <w:r w:rsidR="003700E5" w:rsidRPr="00C1603D">
              <w:rPr>
                <w:lang w:eastAsia="en-GB"/>
              </w:rPr>
              <w:t xml:space="preserve">, </w:t>
            </w:r>
            <w:r w:rsidR="003700E5" w:rsidRPr="00C1603D">
              <w:rPr>
                <w:i w:val="0"/>
                <w:iCs w:val="0"/>
                <w:lang w:eastAsia="en-GB"/>
              </w:rPr>
              <w:t>n</w:t>
            </w:r>
            <w:r w:rsidR="003700E5" w:rsidRPr="00C1603D">
              <w:rPr>
                <w:lang w:eastAsia="en-GB"/>
              </w:rPr>
              <w:t xml:space="preserve"> (%)</w:t>
            </w:r>
          </w:p>
        </w:tc>
      </w:tr>
      <w:tr w:rsidR="008B4DF8" w:rsidRPr="00C1603D" w14:paraId="30A5224B" w14:textId="77777777" w:rsidTr="003700E5">
        <w:trPr>
          <w:cantSplit/>
        </w:trPr>
        <w:tc>
          <w:tcPr>
            <w:tcW w:w="0" w:type="auto"/>
            <w:shd w:val="clear" w:color="auto" w:fill="auto"/>
            <w:noWrap/>
          </w:tcPr>
          <w:p w14:paraId="1F1D4F1E" w14:textId="77777777" w:rsidR="008B4DF8" w:rsidRPr="00C1603D" w:rsidRDefault="008B4DF8" w:rsidP="003700E5">
            <w:pPr>
              <w:pStyle w:val="722TablebulletlistTablesTableFigureBoxstyles"/>
              <w:rPr>
                <w:lang w:eastAsia="en-GB"/>
              </w:rPr>
            </w:pPr>
            <w:r w:rsidRPr="00C1603D">
              <w:rPr>
                <w:lang w:eastAsia="en-GB"/>
              </w:rPr>
              <w:t>0</w:t>
            </w:r>
            <w:r w:rsidRPr="00C1603D">
              <w:rPr>
                <w:color w:val="00B0F0"/>
                <w:lang w:eastAsia="en-GB"/>
              </w:rPr>
              <w:t>–5</w:t>
            </w:r>
          </w:p>
        </w:tc>
        <w:tc>
          <w:tcPr>
            <w:tcW w:w="0" w:type="auto"/>
            <w:shd w:val="clear" w:color="auto" w:fill="auto"/>
            <w:noWrap/>
          </w:tcPr>
          <w:p w14:paraId="4270FB7A" w14:textId="0A47E060" w:rsidR="008B4DF8" w:rsidRPr="00C1603D" w:rsidRDefault="008B4DF8" w:rsidP="003700E5">
            <w:pPr>
              <w:pStyle w:val="72TabletextTablesTableFigureBoxstyles"/>
              <w:rPr>
                <w:lang w:eastAsia="en-GB"/>
              </w:rPr>
            </w:pPr>
            <w:r w:rsidRPr="00C1603D">
              <w:rPr>
                <w:lang w:eastAsia="en-GB"/>
              </w:rPr>
              <w:t>4 (1.6)</w:t>
            </w:r>
          </w:p>
        </w:tc>
        <w:tc>
          <w:tcPr>
            <w:tcW w:w="0" w:type="auto"/>
            <w:shd w:val="clear" w:color="auto" w:fill="auto"/>
            <w:noWrap/>
          </w:tcPr>
          <w:p w14:paraId="036C5F66" w14:textId="02778903" w:rsidR="008B4DF8" w:rsidRPr="00C1603D" w:rsidRDefault="008B4DF8" w:rsidP="003700E5">
            <w:pPr>
              <w:pStyle w:val="72TabletextTablesTableFigureBoxstyles"/>
              <w:rPr>
                <w:lang w:eastAsia="en-GB"/>
              </w:rPr>
            </w:pPr>
            <w:r w:rsidRPr="00C1603D">
              <w:rPr>
                <w:lang w:eastAsia="en-GB"/>
              </w:rPr>
              <w:t>9 (4.0)</w:t>
            </w:r>
          </w:p>
        </w:tc>
        <w:tc>
          <w:tcPr>
            <w:tcW w:w="0" w:type="auto"/>
            <w:shd w:val="clear" w:color="auto" w:fill="auto"/>
            <w:noWrap/>
          </w:tcPr>
          <w:p w14:paraId="6F948AFE" w14:textId="3ECFEC2A" w:rsidR="008B4DF8" w:rsidRPr="00C1603D" w:rsidRDefault="008B4DF8" w:rsidP="003700E5">
            <w:pPr>
              <w:pStyle w:val="72TabletextTablesTableFigureBoxstyles"/>
              <w:rPr>
                <w:lang w:eastAsia="en-GB"/>
              </w:rPr>
            </w:pPr>
            <w:r w:rsidRPr="00C1603D">
              <w:rPr>
                <w:lang w:eastAsia="en-GB"/>
              </w:rPr>
              <w:t>13 (2.8)</w:t>
            </w:r>
          </w:p>
        </w:tc>
      </w:tr>
      <w:tr w:rsidR="008B4DF8" w:rsidRPr="00C1603D" w14:paraId="70A48B65" w14:textId="77777777" w:rsidTr="003700E5">
        <w:trPr>
          <w:cantSplit/>
        </w:trPr>
        <w:tc>
          <w:tcPr>
            <w:tcW w:w="0" w:type="auto"/>
            <w:shd w:val="clear" w:color="auto" w:fill="auto"/>
            <w:noWrap/>
          </w:tcPr>
          <w:p w14:paraId="4A216000" w14:textId="77777777" w:rsidR="008B4DF8" w:rsidRPr="00C1603D" w:rsidRDefault="008B4DF8" w:rsidP="003700E5">
            <w:pPr>
              <w:pStyle w:val="722TablebulletlistTablesTableFigureBoxstyles"/>
              <w:rPr>
                <w:lang w:eastAsia="en-GB"/>
              </w:rPr>
            </w:pPr>
            <w:r w:rsidRPr="00C1603D">
              <w:rPr>
                <w:lang w:eastAsia="en-GB"/>
              </w:rPr>
              <w:t>6</w:t>
            </w:r>
            <w:r w:rsidRPr="00C1603D">
              <w:rPr>
                <w:color w:val="00B0F0"/>
                <w:lang w:eastAsia="en-GB"/>
              </w:rPr>
              <w:t>–1</w:t>
            </w:r>
            <w:r w:rsidRPr="00C1603D">
              <w:rPr>
                <w:lang w:eastAsia="en-GB"/>
              </w:rPr>
              <w:t>1</w:t>
            </w:r>
          </w:p>
        </w:tc>
        <w:tc>
          <w:tcPr>
            <w:tcW w:w="0" w:type="auto"/>
            <w:shd w:val="clear" w:color="auto" w:fill="auto"/>
            <w:noWrap/>
          </w:tcPr>
          <w:p w14:paraId="7D6CC826" w14:textId="49A3EA51" w:rsidR="008B4DF8" w:rsidRPr="00C1603D" w:rsidRDefault="008B4DF8" w:rsidP="003700E5">
            <w:pPr>
              <w:pStyle w:val="72TabletextTablesTableFigureBoxstyles"/>
              <w:rPr>
                <w:lang w:eastAsia="en-GB"/>
              </w:rPr>
            </w:pPr>
            <w:r w:rsidRPr="00C1603D">
              <w:rPr>
                <w:lang w:eastAsia="en-GB"/>
              </w:rPr>
              <w:t>10 (4.1)</w:t>
            </w:r>
          </w:p>
        </w:tc>
        <w:tc>
          <w:tcPr>
            <w:tcW w:w="0" w:type="auto"/>
            <w:shd w:val="clear" w:color="auto" w:fill="auto"/>
            <w:noWrap/>
          </w:tcPr>
          <w:p w14:paraId="51474613" w14:textId="3060F4DA" w:rsidR="008B4DF8" w:rsidRPr="00C1603D" w:rsidRDefault="008B4DF8" w:rsidP="003700E5">
            <w:pPr>
              <w:pStyle w:val="72TabletextTablesTableFigureBoxstyles"/>
              <w:rPr>
                <w:lang w:eastAsia="en-GB"/>
              </w:rPr>
            </w:pPr>
            <w:r w:rsidRPr="00C1603D">
              <w:rPr>
                <w:lang w:eastAsia="en-GB"/>
              </w:rPr>
              <w:t>5 (2.2)</w:t>
            </w:r>
          </w:p>
        </w:tc>
        <w:tc>
          <w:tcPr>
            <w:tcW w:w="0" w:type="auto"/>
            <w:shd w:val="clear" w:color="auto" w:fill="auto"/>
            <w:noWrap/>
          </w:tcPr>
          <w:p w14:paraId="365832E0" w14:textId="129E175B" w:rsidR="008B4DF8" w:rsidRPr="00C1603D" w:rsidRDefault="008B4DF8" w:rsidP="003700E5">
            <w:pPr>
              <w:pStyle w:val="72TabletextTablesTableFigureBoxstyles"/>
              <w:rPr>
                <w:lang w:eastAsia="en-GB"/>
              </w:rPr>
            </w:pPr>
            <w:r w:rsidRPr="00C1603D">
              <w:rPr>
                <w:lang w:eastAsia="en-GB"/>
              </w:rPr>
              <w:t>15 (3.2)</w:t>
            </w:r>
          </w:p>
        </w:tc>
      </w:tr>
      <w:tr w:rsidR="008B4DF8" w:rsidRPr="00C1603D" w14:paraId="4AEEFA6C" w14:textId="77777777" w:rsidTr="003700E5">
        <w:trPr>
          <w:cantSplit/>
        </w:trPr>
        <w:tc>
          <w:tcPr>
            <w:tcW w:w="0" w:type="auto"/>
            <w:shd w:val="clear" w:color="auto" w:fill="auto"/>
            <w:noWrap/>
          </w:tcPr>
          <w:p w14:paraId="7384A197" w14:textId="77777777" w:rsidR="008B4DF8" w:rsidRPr="00C1603D" w:rsidRDefault="008B4DF8" w:rsidP="003700E5">
            <w:pPr>
              <w:pStyle w:val="722TablebulletlistTablesTableFigureBoxstyles"/>
              <w:rPr>
                <w:lang w:eastAsia="en-GB"/>
              </w:rPr>
            </w:pPr>
            <w:r w:rsidRPr="00C1603D">
              <w:rPr>
                <w:lang w:eastAsia="en-GB"/>
              </w:rPr>
              <w:t>12</w:t>
            </w:r>
            <w:r w:rsidRPr="00C1603D">
              <w:rPr>
                <w:color w:val="00B0F0"/>
                <w:lang w:eastAsia="en-GB"/>
              </w:rPr>
              <w:t>–1</w:t>
            </w:r>
            <w:r w:rsidRPr="00C1603D">
              <w:rPr>
                <w:lang w:eastAsia="en-GB"/>
              </w:rPr>
              <w:t>7</w:t>
            </w:r>
          </w:p>
        </w:tc>
        <w:tc>
          <w:tcPr>
            <w:tcW w:w="0" w:type="auto"/>
            <w:shd w:val="clear" w:color="auto" w:fill="auto"/>
            <w:noWrap/>
          </w:tcPr>
          <w:p w14:paraId="42382075" w14:textId="55F2AE76" w:rsidR="008B4DF8" w:rsidRPr="00C1603D" w:rsidRDefault="008B4DF8" w:rsidP="003700E5">
            <w:pPr>
              <w:pStyle w:val="72TabletextTablesTableFigureBoxstyles"/>
              <w:rPr>
                <w:lang w:eastAsia="en-GB"/>
              </w:rPr>
            </w:pPr>
            <w:r w:rsidRPr="00C1603D">
              <w:rPr>
                <w:lang w:eastAsia="en-GB"/>
              </w:rPr>
              <w:t>15 (6.1)</w:t>
            </w:r>
          </w:p>
        </w:tc>
        <w:tc>
          <w:tcPr>
            <w:tcW w:w="0" w:type="auto"/>
            <w:shd w:val="clear" w:color="auto" w:fill="auto"/>
            <w:noWrap/>
          </w:tcPr>
          <w:p w14:paraId="7E41F30E" w14:textId="5A1BCBBE" w:rsidR="008B4DF8" w:rsidRPr="00C1603D" w:rsidRDefault="008B4DF8" w:rsidP="003700E5">
            <w:pPr>
              <w:pStyle w:val="72TabletextTablesTableFigureBoxstyles"/>
              <w:rPr>
                <w:lang w:eastAsia="en-GB"/>
              </w:rPr>
            </w:pPr>
            <w:r w:rsidRPr="00C1603D">
              <w:rPr>
                <w:lang w:eastAsia="en-GB"/>
              </w:rPr>
              <w:t>4 (1.8)</w:t>
            </w:r>
          </w:p>
        </w:tc>
        <w:tc>
          <w:tcPr>
            <w:tcW w:w="0" w:type="auto"/>
            <w:shd w:val="clear" w:color="auto" w:fill="auto"/>
            <w:noWrap/>
          </w:tcPr>
          <w:p w14:paraId="43165606" w14:textId="776420EC" w:rsidR="008B4DF8" w:rsidRPr="00C1603D" w:rsidRDefault="008B4DF8" w:rsidP="003700E5">
            <w:pPr>
              <w:pStyle w:val="72TabletextTablesTableFigureBoxstyles"/>
              <w:rPr>
                <w:lang w:eastAsia="en-GB"/>
              </w:rPr>
            </w:pPr>
            <w:r w:rsidRPr="00C1603D">
              <w:rPr>
                <w:lang w:eastAsia="en-GB"/>
              </w:rPr>
              <w:t>19 (4.1)</w:t>
            </w:r>
          </w:p>
        </w:tc>
      </w:tr>
      <w:tr w:rsidR="008B4DF8" w:rsidRPr="00C1603D" w14:paraId="18624034" w14:textId="77777777" w:rsidTr="003700E5">
        <w:trPr>
          <w:cantSplit/>
        </w:trPr>
        <w:tc>
          <w:tcPr>
            <w:tcW w:w="0" w:type="auto"/>
            <w:shd w:val="clear" w:color="auto" w:fill="auto"/>
            <w:noWrap/>
          </w:tcPr>
          <w:p w14:paraId="4D09DDB2" w14:textId="77777777" w:rsidR="008B4DF8" w:rsidRPr="00C1603D" w:rsidRDefault="008B4DF8" w:rsidP="003700E5">
            <w:pPr>
              <w:pStyle w:val="722TablebulletlistTablesTableFigureBoxstyles"/>
              <w:rPr>
                <w:lang w:eastAsia="en-GB"/>
              </w:rPr>
            </w:pPr>
            <w:r w:rsidRPr="00C1603D">
              <w:rPr>
                <w:lang w:eastAsia="en-GB"/>
              </w:rPr>
              <w:t>18</w:t>
            </w:r>
            <w:r w:rsidRPr="00C1603D">
              <w:rPr>
                <w:color w:val="00B0F0"/>
                <w:lang w:eastAsia="en-GB"/>
              </w:rPr>
              <w:t>–2</w:t>
            </w:r>
            <w:r w:rsidRPr="00C1603D">
              <w:rPr>
                <w:lang w:eastAsia="en-GB"/>
              </w:rPr>
              <w:t>5</w:t>
            </w:r>
          </w:p>
        </w:tc>
        <w:tc>
          <w:tcPr>
            <w:tcW w:w="0" w:type="auto"/>
            <w:shd w:val="clear" w:color="auto" w:fill="auto"/>
            <w:noWrap/>
          </w:tcPr>
          <w:p w14:paraId="0E8AD50D" w14:textId="574FE2F6" w:rsidR="008B4DF8" w:rsidRPr="00C1603D" w:rsidRDefault="008B4DF8" w:rsidP="003700E5">
            <w:pPr>
              <w:pStyle w:val="72TabletextTablesTableFigureBoxstyles"/>
              <w:rPr>
                <w:lang w:eastAsia="en-GB"/>
              </w:rPr>
            </w:pPr>
            <w:r w:rsidRPr="00C1603D">
              <w:rPr>
                <w:lang w:eastAsia="en-GB"/>
              </w:rPr>
              <w:t>30 (12.3)</w:t>
            </w:r>
          </w:p>
        </w:tc>
        <w:tc>
          <w:tcPr>
            <w:tcW w:w="0" w:type="auto"/>
            <w:shd w:val="clear" w:color="auto" w:fill="auto"/>
            <w:noWrap/>
          </w:tcPr>
          <w:p w14:paraId="7F1C0FF6" w14:textId="2EC2E07E" w:rsidR="008B4DF8" w:rsidRPr="00C1603D" w:rsidRDefault="008B4DF8" w:rsidP="003700E5">
            <w:pPr>
              <w:pStyle w:val="72TabletextTablesTableFigureBoxstyles"/>
              <w:rPr>
                <w:lang w:eastAsia="en-GB"/>
              </w:rPr>
            </w:pPr>
            <w:r w:rsidRPr="00C1603D">
              <w:rPr>
                <w:lang w:eastAsia="en-GB"/>
              </w:rPr>
              <w:t>22 (9.9)</w:t>
            </w:r>
          </w:p>
        </w:tc>
        <w:tc>
          <w:tcPr>
            <w:tcW w:w="0" w:type="auto"/>
            <w:shd w:val="clear" w:color="auto" w:fill="auto"/>
            <w:noWrap/>
          </w:tcPr>
          <w:p w14:paraId="729D5211" w14:textId="052B158C" w:rsidR="008B4DF8" w:rsidRPr="00C1603D" w:rsidRDefault="008B4DF8" w:rsidP="003700E5">
            <w:pPr>
              <w:pStyle w:val="72TabletextTablesTableFigureBoxstyles"/>
              <w:rPr>
                <w:lang w:eastAsia="en-GB"/>
              </w:rPr>
            </w:pPr>
            <w:r w:rsidRPr="00C1603D">
              <w:rPr>
                <w:lang w:eastAsia="en-GB"/>
              </w:rPr>
              <w:t>52 (11.1)</w:t>
            </w:r>
          </w:p>
        </w:tc>
      </w:tr>
      <w:tr w:rsidR="008B4DF8" w:rsidRPr="00C1603D" w14:paraId="4F2983D0" w14:textId="77777777" w:rsidTr="003700E5">
        <w:trPr>
          <w:cantSplit/>
        </w:trPr>
        <w:tc>
          <w:tcPr>
            <w:tcW w:w="0" w:type="auto"/>
            <w:shd w:val="clear" w:color="auto" w:fill="auto"/>
            <w:noWrap/>
          </w:tcPr>
          <w:p w14:paraId="0C45BF45" w14:textId="77777777" w:rsidR="008B4DF8" w:rsidRPr="00C1603D" w:rsidRDefault="008B4DF8" w:rsidP="003700E5">
            <w:pPr>
              <w:pStyle w:val="722TablebulletlistTablesTableFigureBoxstyles"/>
              <w:rPr>
                <w:lang w:eastAsia="en-GB"/>
              </w:rPr>
            </w:pPr>
            <w:r w:rsidRPr="00C1603D">
              <w:rPr>
                <w:lang w:eastAsia="en-GB"/>
              </w:rPr>
              <w:t>26</w:t>
            </w:r>
            <w:r w:rsidRPr="00C1603D">
              <w:rPr>
                <w:color w:val="00B0F0"/>
                <w:lang w:eastAsia="en-GB"/>
              </w:rPr>
              <w:t>–4</w:t>
            </w:r>
            <w:r w:rsidRPr="00C1603D">
              <w:rPr>
                <w:lang w:eastAsia="en-GB"/>
              </w:rPr>
              <w:t>0</w:t>
            </w:r>
          </w:p>
        </w:tc>
        <w:tc>
          <w:tcPr>
            <w:tcW w:w="0" w:type="auto"/>
            <w:shd w:val="clear" w:color="auto" w:fill="auto"/>
            <w:noWrap/>
          </w:tcPr>
          <w:p w14:paraId="6AC76C44" w14:textId="60E6522E" w:rsidR="008B4DF8" w:rsidRPr="00C1603D" w:rsidRDefault="008B4DF8" w:rsidP="003700E5">
            <w:pPr>
              <w:pStyle w:val="72TabletextTablesTableFigureBoxstyles"/>
              <w:rPr>
                <w:lang w:eastAsia="en-GB"/>
              </w:rPr>
            </w:pPr>
            <w:r w:rsidRPr="00C1603D">
              <w:rPr>
                <w:lang w:eastAsia="en-GB"/>
              </w:rPr>
              <w:t>66 (27.0)</w:t>
            </w:r>
          </w:p>
        </w:tc>
        <w:tc>
          <w:tcPr>
            <w:tcW w:w="0" w:type="auto"/>
            <w:shd w:val="clear" w:color="auto" w:fill="auto"/>
            <w:noWrap/>
          </w:tcPr>
          <w:p w14:paraId="7F91615D" w14:textId="7EEBA2FF" w:rsidR="008B4DF8" w:rsidRPr="00C1603D" w:rsidRDefault="008B4DF8" w:rsidP="003700E5">
            <w:pPr>
              <w:pStyle w:val="72TabletextTablesTableFigureBoxstyles"/>
              <w:rPr>
                <w:lang w:eastAsia="en-GB"/>
              </w:rPr>
            </w:pPr>
            <w:r w:rsidRPr="00C1603D">
              <w:rPr>
                <w:lang w:eastAsia="en-GB"/>
              </w:rPr>
              <w:t>61 (27.4)</w:t>
            </w:r>
          </w:p>
        </w:tc>
        <w:tc>
          <w:tcPr>
            <w:tcW w:w="0" w:type="auto"/>
            <w:shd w:val="clear" w:color="auto" w:fill="auto"/>
            <w:noWrap/>
          </w:tcPr>
          <w:p w14:paraId="075125F3" w14:textId="30D90D3E" w:rsidR="008B4DF8" w:rsidRPr="00C1603D" w:rsidRDefault="008B4DF8" w:rsidP="003700E5">
            <w:pPr>
              <w:pStyle w:val="72TabletextTablesTableFigureBoxstyles"/>
              <w:rPr>
                <w:lang w:eastAsia="en-GB"/>
              </w:rPr>
            </w:pPr>
            <w:r w:rsidRPr="00C1603D">
              <w:rPr>
                <w:lang w:eastAsia="en-GB"/>
              </w:rPr>
              <w:t>127 (27.1)</w:t>
            </w:r>
          </w:p>
        </w:tc>
      </w:tr>
      <w:tr w:rsidR="008B4DF8" w:rsidRPr="00C1603D" w14:paraId="6986B156" w14:textId="77777777" w:rsidTr="003700E5">
        <w:trPr>
          <w:cantSplit/>
        </w:trPr>
        <w:tc>
          <w:tcPr>
            <w:tcW w:w="0" w:type="auto"/>
            <w:shd w:val="clear" w:color="auto" w:fill="auto"/>
            <w:noWrap/>
          </w:tcPr>
          <w:p w14:paraId="06B2A6AC" w14:textId="77777777" w:rsidR="008B4DF8" w:rsidRPr="00C1603D" w:rsidRDefault="008B4DF8" w:rsidP="003700E5">
            <w:pPr>
              <w:pStyle w:val="722TablebulletlistTablesTableFigureBoxstyles"/>
              <w:rPr>
                <w:lang w:eastAsia="en-GB"/>
              </w:rPr>
            </w:pPr>
            <w:r w:rsidRPr="00C1603D">
              <w:rPr>
                <w:lang w:eastAsia="en-GB"/>
              </w:rPr>
              <w:t>41</w:t>
            </w:r>
            <w:r w:rsidRPr="00C1603D">
              <w:rPr>
                <w:color w:val="00B0F0"/>
                <w:lang w:eastAsia="en-GB"/>
              </w:rPr>
              <w:t>–6</w:t>
            </w:r>
            <w:r w:rsidRPr="00C1603D">
              <w:rPr>
                <w:lang w:eastAsia="en-GB"/>
              </w:rPr>
              <w:t>4</w:t>
            </w:r>
          </w:p>
        </w:tc>
        <w:tc>
          <w:tcPr>
            <w:tcW w:w="0" w:type="auto"/>
            <w:shd w:val="clear" w:color="auto" w:fill="auto"/>
            <w:noWrap/>
          </w:tcPr>
          <w:p w14:paraId="0EB0BB60" w14:textId="7B44BBE7" w:rsidR="008B4DF8" w:rsidRPr="00C1603D" w:rsidRDefault="008B4DF8" w:rsidP="003700E5">
            <w:pPr>
              <w:pStyle w:val="72TabletextTablesTableFigureBoxstyles"/>
              <w:rPr>
                <w:lang w:eastAsia="en-GB"/>
              </w:rPr>
            </w:pPr>
            <w:r w:rsidRPr="00C1603D">
              <w:rPr>
                <w:lang w:eastAsia="en-GB"/>
              </w:rPr>
              <w:t>93 (38.1)</w:t>
            </w:r>
          </w:p>
        </w:tc>
        <w:tc>
          <w:tcPr>
            <w:tcW w:w="0" w:type="auto"/>
            <w:shd w:val="clear" w:color="auto" w:fill="auto"/>
            <w:noWrap/>
          </w:tcPr>
          <w:p w14:paraId="2D110FC4" w14:textId="16E998BD" w:rsidR="008B4DF8" w:rsidRPr="00C1603D" w:rsidRDefault="008B4DF8" w:rsidP="003700E5">
            <w:pPr>
              <w:pStyle w:val="72TabletextTablesTableFigureBoxstyles"/>
              <w:rPr>
                <w:lang w:eastAsia="en-GB"/>
              </w:rPr>
            </w:pPr>
            <w:r w:rsidRPr="00C1603D">
              <w:rPr>
                <w:lang w:eastAsia="en-GB"/>
              </w:rPr>
              <w:t>90 (40.4)</w:t>
            </w:r>
          </w:p>
        </w:tc>
        <w:tc>
          <w:tcPr>
            <w:tcW w:w="0" w:type="auto"/>
            <w:shd w:val="clear" w:color="auto" w:fill="auto"/>
            <w:noWrap/>
          </w:tcPr>
          <w:p w14:paraId="0296AD65" w14:textId="1A953C0A" w:rsidR="008B4DF8" w:rsidRPr="00C1603D" w:rsidRDefault="008B4DF8" w:rsidP="003700E5">
            <w:pPr>
              <w:pStyle w:val="72TabletextTablesTableFigureBoxstyles"/>
              <w:rPr>
                <w:lang w:eastAsia="en-GB"/>
              </w:rPr>
            </w:pPr>
            <w:r w:rsidRPr="00C1603D">
              <w:rPr>
                <w:lang w:eastAsia="en-GB"/>
              </w:rPr>
              <w:t>183 (39.1)</w:t>
            </w:r>
          </w:p>
        </w:tc>
      </w:tr>
      <w:tr w:rsidR="008B4DF8" w:rsidRPr="00C1603D" w14:paraId="0849E03E" w14:textId="77777777" w:rsidTr="003700E5">
        <w:trPr>
          <w:cantSplit/>
        </w:trPr>
        <w:tc>
          <w:tcPr>
            <w:tcW w:w="0" w:type="auto"/>
            <w:shd w:val="clear" w:color="auto" w:fill="auto"/>
            <w:noWrap/>
          </w:tcPr>
          <w:p w14:paraId="6F4E328B" w14:textId="49ED609B" w:rsidR="008B4DF8" w:rsidRPr="00C1603D" w:rsidRDefault="003700E5" w:rsidP="003700E5">
            <w:pPr>
              <w:pStyle w:val="722TablebulletlistTablesTableFigureBoxstyles"/>
              <w:rPr>
                <w:lang w:eastAsia="en-GB"/>
              </w:rPr>
            </w:pPr>
            <w:r w:rsidRPr="00C1603D">
              <w:rPr>
                <w:lang w:eastAsia="en-GB"/>
              </w:rPr>
              <w:t>≥ </w:t>
            </w:r>
            <w:r w:rsidR="008B4DF8" w:rsidRPr="00C1603D">
              <w:rPr>
                <w:lang w:eastAsia="en-GB"/>
              </w:rPr>
              <w:t>6</w:t>
            </w:r>
            <w:r w:rsidR="008B4DF8" w:rsidRPr="00C1603D">
              <w:rPr>
                <w:color w:val="00B0F0"/>
                <w:lang w:eastAsia="en-GB"/>
              </w:rPr>
              <w:t>5</w:t>
            </w:r>
          </w:p>
        </w:tc>
        <w:tc>
          <w:tcPr>
            <w:tcW w:w="0" w:type="auto"/>
            <w:shd w:val="clear" w:color="auto" w:fill="auto"/>
            <w:noWrap/>
          </w:tcPr>
          <w:p w14:paraId="25F5EA78" w14:textId="6A2D1A01" w:rsidR="008B4DF8" w:rsidRPr="00C1603D" w:rsidRDefault="008B4DF8" w:rsidP="003700E5">
            <w:pPr>
              <w:pStyle w:val="72TabletextTablesTableFigureBoxstyles"/>
              <w:rPr>
                <w:lang w:eastAsia="en-GB"/>
              </w:rPr>
            </w:pPr>
            <w:r w:rsidRPr="00C1603D">
              <w:rPr>
                <w:lang w:eastAsia="en-GB"/>
              </w:rPr>
              <w:t>26 (10.7)</w:t>
            </w:r>
          </w:p>
        </w:tc>
        <w:tc>
          <w:tcPr>
            <w:tcW w:w="0" w:type="auto"/>
            <w:shd w:val="clear" w:color="auto" w:fill="auto"/>
            <w:noWrap/>
          </w:tcPr>
          <w:p w14:paraId="6630CDB1" w14:textId="5F4B986A" w:rsidR="008B4DF8" w:rsidRPr="00C1603D" w:rsidRDefault="008B4DF8" w:rsidP="003700E5">
            <w:pPr>
              <w:pStyle w:val="72TabletextTablesTableFigureBoxstyles"/>
              <w:rPr>
                <w:lang w:eastAsia="en-GB"/>
              </w:rPr>
            </w:pPr>
            <w:r w:rsidRPr="00C1603D">
              <w:rPr>
                <w:lang w:eastAsia="en-GB"/>
              </w:rPr>
              <w:t>32 (14.3)</w:t>
            </w:r>
          </w:p>
        </w:tc>
        <w:tc>
          <w:tcPr>
            <w:tcW w:w="0" w:type="auto"/>
            <w:shd w:val="clear" w:color="auto" w:fill="auto"/>
            <w:noWrap/>
          </w:tcPr>
          <w:p w14:paraId="794FDFCE" w14:textId="7223049B" w:rsidR="008B4DF8" w:rsidRPr="00C1603D" w:rsidRDefault="008B4DF8" w:rsidP="003700E5">
            <w:pPr>
              <w:pStyle w:val="72TabletextTablesTableFigureBoxstyles"/>
              <w:rPr>
                <w:lang w:eastAsia="en-GB"/>
              </w:rPr>
            </w:pPr>
            <w:r w:rsidRPr="00C1603D">
              <w:rPr>
                <w:lang w:eastAsia="en-GB"/>
              </w:rPr>
              <w:t>59 (12.6)</w:t>
            </w:r>
          </w:p>
        </w:tc>
      </w:tr>
      <w:tr w:rsidR="008B4DF8" w:rsidRPr="00C1603D" w14:paraId="64975B38" w14:textId="77777777" w:rsidTr="003700E5">
        <w:trPr>
          <w:cantSplit/>
        </w:trPr>
        <w:tc>
          <w:tcPr>
            <w:tcW w:w="0" w:type="auto"/>
            <w:gridSpan w:val="4"/>
            <w:shd w:val="clear" w:color="auto" w:fill="auto"/>
            <w:noWrap/>
          </w:tcPr>
          <w:p w14:paraId="152C6E7D" w14:textId="46AE6BBE" w:rsidR="008B4DF8" w:rsidRPr="00C1603D" w:rsidRDefault="008B4DF8" w:rsidP="003700E5">
            <w:pPr>
              <w:pStyle w:val="711TablesubheadATablesTableFigureBoxstyles"/>
              <w:rPr>
                <w:lang w:eastAsia="en-GB"/>
              </w:rPr>
            </w:pPr>
            <w:r w:rsidRPr="00C1603D">
              <w:rPr>
                <w:lang w:eastAsia="en-GB"/>
              </w:rPr>
              <w:t>Sex</w:t>
            </w:r>
            <w:r w:rsidR="000955A5" w:rsidRPr="00C1603D">
              <w:rPr>
                <w:lang w:eastAsia="en-GB"/>
              </w:rPr>
              <w:t xml:space="preserve">, </w:t>
            </w:r>
            <w:r w:rsidR="000955A5" w:rsidRPr="00C1603D">
              <w:rPr>
                <w:i w:val="0"/>
                <w:iCs w:val="0"/>
                <w:lang w:eastAsia="en-GB"/>
              </w:rPr>
              <w:t>n</w:t>
            </w:r>
            <w:r w:rsidR="000955A5" w:rsidRPr="00C1603D">
              <w:rPr>
                <w:lang w:eastAsia="en-GB"/>
              </w:rPr>
              <w:t xml:space="preserve"> (%)</w:t>
            </w:r>
          </w:p>
        </w:tc>
      </w:tr>
      <w:tr w:rsidR="008B4DF8" w:rsidRPr="00C1603D" w14:paraId="655D5839" w14:textId="77777777" w:rsidTr="003700E5">
        <w:trPr>
          <w:cantSplit/>
        </w:trPr>
        <w:tc>
          <w:tcPr>
            <w:tcW w:w="0" w:type="auto"/>
            <w:shd w:val="clear" w:color="auto" w:fill="auto"/>
            <w:noWrap/>
          </w:tcPr>
          <w:p w14:paraId="1D935AD2" w14:textId="61F86214" w:rsidR="008B4DF8" w:rsidRPr="00C1603D" w:rsidRDefault="00461EA7" w:rsidP="003700E5">
            <w:pPr>
              <w:pStyle w:val="722TablebulletlistTablesTableFigureBoxstyles"/>
              <w:rPr>
                <w:lang w:eastAsia="en-GB"/>
              </w:rPr>
            </w:pPr>
            <w:r w:rsidRPr="00C1603D">
              <w:rPr>
                <w:lang w:eastAsia="en-GB"/>
              </w:rPr>
              <w:t>Male</w:t>
            </w:r>
          </w:p>
        </w:tc>
        <w:tc>
          <w:tcPr>
            <w:tcW w:w="0" w:type="auto"/>
            <w:shd w:val="clear" w:color="auto" w:fill="auto"/>
            <w:noWrap/>
          </w:tcPr>
          <w:p w14:paraId="390FFE36" w14:textId="753726C5" w:rsidR="008B4DF8" w:rsidRPr="00C1603D" w:rsidRDefault="008B4DF8" w:rsidP="003700E5">
            <w:pPr>
              <w:pStyle w:val="72TabletextTablesTableFigureBoxstyles"/>
              <w:rPr>
                <w:lang w:eastAsia="en-GB"/>
              </w:rPr>
            </w:pPr>
            <w:r w:rsidRPr="00C1603D">
              <w:rPr>
                <w:lang w:eastAsia="en-GB"/>
              </w:rPr>
              <w:t>29 (11.9)</w:t>
            </w:r>
          </w:p>
        </w:tc>
        <w:tc>
          <w:tcPr>
            <w:tcW w:w="0" w:type="auto"/>
            <w:shd w:val="clear" w:color="auto" w:fill="auto"/>
            <w:noWrap/>
          </w:tcPr>
          <w:p w14:paraId="359821E1" w14:textId="5FD73AD1" w:rsidR="008B4DF8" w:rsidRPr="00C1603D" w:rsidRDefault="008B4DF8" w:rsidP="003700E5">
            <w:pPr>
              <w:pStyle w:val="72TabletextTablesTableFigureBoxstyles"/>
              <w:rPr>
                <w:lang w:eastAsia="en-GB"/>
              </w:rPr>
            </w:pPr>
            <w:r w:rsidRPr="00C1603D">
              <w:rPr>
                <w:lang w:eastAsia="en-GB"/>
              </w:rPr>
              <w:t>7 (3.1)</w:t>
            </w:r>
          </w:p>
        </w:tc>
        <w:tc>
          <w:tcPr>
            <w:tcW w:w="0" w:type="auto"/>
            <w:shd w:val="clear" w:color="auto" w:fill="auto"/>
            <w:noWrap/>
          </w:tcPr>
          <w:p w14:paraId="28587A6C" w14:textId="5EF84974" w:rsidR="008B4DF8" w:rsidRPr="00C1603D" w:rsidRDefault="008B4DF8" w:rsidP="003700E5">
            <w:pPr>
              <w:pStyle w:val="72TabletextTablesTableFigureBoxstyles"/>
              <w:rPr>
                <w:lang w:eastAsia="en-GB"/>
              </w:rPr>
            </w:pPr>
            <w:r w:rsidRPr="00C1603D">
              <w:rPr>
                <w:lang w:eastAsia="en-GB"/>
              </w:rPr>
              <w:t>37 (7.9)</w:t>
            </w:r>
          </w:p>
        </w:tc>
      </w:tr>
      <w:tr w:rsidR="00461EA7" w:rsidRPr="00C1603D" w14:paraId="49C86053" w14:textId="77777777" w:rsidTr="003700E5">
        <w:trPr>
          <w:cantSplit/>
        </w:trPr>
        <w:tc>
          <w:tcPr>
            <w:tcW w:w="0" w:type="auto"/>
            <w:shd w:val="clear" w:color="auto" w:fill="auto"/>
            <w:noWrap/>
          </w:tcPr>
          <w:p w14:paraId="339DF81F" w14:textId="254222A0" w:rsidR="00461EA7" w:rsidRPr="00C1603D" w:rsidRDefault="00461EA7" w:rsidP="00461EA7">
            <w:pPr>
              <w:pStyle w:val="722TablebulletlistTablesTableFigureBoxstyles"/>
              <w:rPr>
                <w:lang w:eastAsia="en-GB"/>
              </w:rPr>
            </w:pPr>
            <w:r w:rsidRPr="00C1603D">
              <w:rPr>
                <w:lang w:eastAsia="en-GB"/>
              </w:rPr>
              <w:t>Female</w:t>
            </w:r>
          </w:p>
        </w:tc>
        <w:tc>
          <w:tcPr>
            <w:tcW w:w="0" w:type="auto"/>
            <w:shd w:val="clear" w:color="auto" w:fill="auto"/>
            <w:noWrap/>
          </w:tcPr>
          <w:p w14:paraId="4E44978D" w14:textId="7626C5B2" w:rsidR="00461EA7" w:rsidRPr="00C1603D" w:rsidRDefault="00461EA7" w:rsidP="00461EA7">
            <w:pPr>
              <w:pStyle w:val="72TabletextTablesTableFigureBoxstyles"/>
              <w:rPr>
                <w:lang w:eastAsia="en-GB"/>
              </w:rPr>
            </w:pPr>
            <w:r w:rsidRPr="00C1603D">
              <w:rPr>
                <w:lang w:eastAsia="en-GB"/>
              </w:rPr>
              <w:t>211 (86.5)</w:t>
            </w:r>
          </w:p>
        </w:tc>
        <w:tc>
          <w:tcPr>
            <w:tcW w:w="0" w:type="auto"/>
            <w:shd w:val="clear" w:color="auto" w:fill="auto"/>
            <w:noWrap/>
          </w:tcPr>
          <w:p w14:paraId="3876D158" w14:textId="487B46B5" w:rsidR="00461EA7" w:rsidRPr="00C1603D" w:rsidRDefault="00461EA7" w:rsidP="00461EA7">
            <w:pPr>
              <w:pStyle w:val="72TabletextTablesTableFigureBoxstyles"/>
              <w:rPr>
                <w:lang w:eastAsia="en-GB"/>
              </w:rPr>
            </w:pPr>
            <w:r w:rsidRPr="00C1603D">
              <w:rPr>
                <w:lang w:eastAsia="en-GB"/>
              </w:rPr>
              <w:t>28 (12.6)</w:t>
            </w:r>
          </w:p>
        </w:tc>
        <w:tc>
          <w:tcPr>
            <w:tcW w:w="0" w:type="auto"/>
            <w:shd w:val="clear" w:color="auto" w:fill="auto"/>
            <w:noWrap/>
          </w:tcPr>
          <w:p w14:paraId="4149DDA2" w14:textId="3C547023" w:rsidR="00461EA7" w:rsidRPr="00C1603D" w:rsidRDefault="00461EA7" w:rsidP="00461EA7">
            <w:pPr>
              <w:pStyle w:val="72TabletextTablesTableFigureBoxstyles"/>
              <w:rPr>
                <w:lang w:eastAsia="en-GB"/>
              </w:rPr>
            </w:pPr>
            <w:r w:rsidRPr="00C1603D">
              <w:rPr>
                <w:lang w:eastAsia="en-GB"/>
              </w:rPr>
              <w:t>239 (51.1)</w:t>
            </w:r>
          </w:p>
        </w:tc>
      </w:tr>
      <w:tr w:rsidR="008B4DF8" w:rsidRPr="00C1603D" w14:paraId="3E674B26" w14:textId="77777777" w:rsidTr="003700E5">
        <w:trPr>
          <w:cantSplit/>
        </w:trPr>
        <w:tc>
          <w:tcPr>
            <w:tcW w:w="0" w:type="auto"/>
            <w:shd w:val="clear" w:color="auto" w:fill="auto"/>
            <w:noWrap/>
          </w:tcPr>
          <w:p w14:paraId="490E7E7D" w14:textId="77777777" w:rsidR="008B4DF8" w:rsidRPr="00C1603D" w:rsidRDefault="008B4DF8" w:rsidP="003700E5">
            <w:pPr>
              <w:pStyle w:val="722TablebulletlistTablesTableFigureBoxstyles"/>
              <w:rPr>
                <w:lang w:eastAsia="en-GB"/>
              </w:rPr>
            </w:pPr>
            <w:r w:rsidRPr="00C1603D">
              <w:rPr>
                <w:lang w:eastAsia="en-GB"/>
              </w:rPr>
              <w:t>Other</w:t>
            </w:r>
          </w:p>
        </w:tc>
        <w:tc>
          <w:tcPr>
            <w:tcW w:w="0" w:type="auto"/>
            <w:shd w:val="clear" w:color="auto" w:fill="auto"/>
            <w:noWrap/>
          </w:tcPr>
          <w:p w14:paraId="4C175DF2" w14:textId="0E5EB527"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377BF344" w14:textId="625842C0" w:rsidR="008B4DF8" w:rsidRPr="00C1603D" w:rsidRDefault="008B4DF8" w:rsidP="003700E5">
            <w:pPr>
              <w:pStyle w:val="72TabletextTablesTableFigureBoxstyles"/>
              <w:rPr>
                <w:lang w:eastAsia="en-GB"/>
              </w:rPr>
            </w:pPr>
            <w:r w:rsidRPr="00C1603D">
              <w:rPr>
                <w:lang w:eastAsia="en-GB"/>
              </w:rPr>
              <w:t>0 (0)</w:t>
            </w:r>
          </w:p>
        </w:tc>
        <w:tc>
          <w:tcPr>
            <w:tcW w:w="0" w:type="auto"/>
            <w:shd w:val="clear" w:color="auto" w:fill="auto"/>
            <w:noWrap/>
          </w:tcPr>
          <w:p w14:paraId="29305630" w14:textId="6F05B8AF" w:rsidR="008B4DF8" w:rsidRPr="00C1603D" w:rsidRDefault="008B4DF8" w:rsidP="003700E5">
            <w:pPr>
              <w:pStyle w:val="72TabletextTablesTableFigureBoxstyles"/>
              <w:rPr>
                <w:lang w:eastAsia="en-GB"/>
              </w:rPr>
            </w:pPr>
            <w:r w:rsidRPr="00C1603D">
              <w:rPr>
                <w:lang w:eastAsia="en-GB"/>
              </w:rPr>
              <w:t>1 (0.2)</w:t>
            </w:r>
          </w:p>
        </w:tc>
      </w:tr>
      <w:tr w:rsidR="008B4DF8" w:rsidRPr="00C1603D" w14:paraId="64097865" w14:textId="77777777" w:rsidTr="003700E5">
        <w:trPr>
          <w:cantSplit/>
        </w:trPr>
        <w:tc>
          <w:tcPr>
            <w:tcW w:w="0" w:type="auto"/>
            <w:shd w:val="clear" w:color="auto" w:fill="auto"/>
            <w:noWrap/>
          </w:tcPr>
          <w:p w14:paraId="1BBAD73C" w14:textId="77777777" w:rsidR="008B4DF8" w:rsidRPr="00C1603D" w:rsidRDefault="008B4DF8" w:rsidP="003700E5">
            <w:pPr>
              <w:pStyle w:val="722TablebulletlistTablesTableFigureBoxstyles"/>
              <w:rPr>
                <w:lang w:eastAsia="en-GB"/>
              </w:rPr>
            </w:pPr>
            <w:r w:rsidRPr="00C1603D">
              <w:rPr>
                <w:lang w:eastAsia="en-GB"/>
              </w:rPr>
              <w:t>Prefer not to say</w:t>
            </w:r>
          </w:p>
        </w:tc>
        <w:tc>
          <w:tcPr>
            <w:tcW w:w="0" w:type="auto"/>
            <w:shd w:val="clear" w:color="auto" w:fill="auto"/>
            <w:noWrap/>
          </w:tcPr>
          <w:p w14:paraId="69DFD7E2" w14:textId="498AF1DB" w:rsidR="008B4DF8" w:rsidRPr="00C1603D" w:rsidRDefault="008B4DF8" w:rsidP="003700E5">
            <w:pPr>
              <w:pStyle w:val="72TabletextTablesTableFigureBoxstyles"/>
              <w:rPr>
                <w:lang w:eastAsia="en-GB"/>
              </w:rPr>
            </w:pPr>
            <w:r w:rsidRPr="00C1603D">
              <w:rPr>
                <w:lang w:eastAsia="en-GB"/>
              </w:rPr>
              <w:t>2 (0.8)</w:t>
            </w:r>
          </w:p>
        </w:tc>
        <w:tc>
          <w:tcPr>
            <w:tcW w:w="0" w:type="auto"/>
            <w:shd w:val="clear" w:color="auto" w:fill="auto"/>
            <w:noWrap/>
          </w:tcPr>
          <w:p w14:paraId="4B69F70E" w14:textId="726D4821" w:rsidR="008B4DF8" w:rsidRPr="00C1603D" w:rsidRDefault="008B4DF8" w:rsidP="003700E5">
            <w:pPr>
              <w:pStyle w:val="72TabletextTablesTableFigureBoxstyles"/>
              <w:rPr>
                <w:lang w:eastAsia="en-GB"/>
              </w:rPr>
            </w:pPr>
            <w:r w:rsidRPr="00C1603D">
              <w:rPr>
                <w:lang w:eastAsia="en-GB"/>
              </w:rPr>
              <w:t>0 (0)</w:t>
            </w:r>
          </w:p>
        </w:tc>
        <w:tc>
          <w:tcPr>
            <w:tcW w:w="0" w:type="auto"/>
            <w:shd w:val="clear" w:color="auto" w:fill="auto"/>
            <w:noWrap/>
          </w:tcPr>
          <w:p w14:paraId="3B37BAE3" w14:textId="65751791" w:rsidR="008B4DF8" w:rsidRPr="00C1603D" w:rsidRDefault="008B4DF8" w:rsidP="003700E5">
            <w:pPr>
              <w:pStyle w:val="72TabletextTablesTableFigureBoxstyles"/>
              <w:rPr>
                <w:lang w:eastAsia="en-GB"/>
              </w:rPr>
            </w:pPr>
            <w:r w:rsidRPr="00C1603D">
              <w:rPr>
                <w:lang w:eastAsia="en-GB"/>
              </w:rPr>
              <w:t>2 (0.4)</w:t>
            </w:r>
          </w:p>
        </w:tc>
      </w:tr>
      <w:tr w:rsidR="008B4DF8" w:rsidRPr="00C1603D" w14:paraId="5415F17E" w14:textId="77777777" w:rsidTr="003700E5">
        <w:trPr>
          <w:cantSplit/>
        </w:trPr>
        <w:tc>
          <w:tcPr>
            <w:tcW w:w="0" w:type="auto"/>
            <w:shd w:val="clear" w:color="auto" w:fill="auto"/>
            <w:noWrap/>
          </w:tcPr>
          <w:p w14:paraId="0945708C" w14:textId="77777777" w:rsidR="008B4DF8" w:rsidRPr="00C1603D" w:rsidRDefault="008B4DF8" w:rsidP="000955A5">
            <w:pPr>
              <w:pStyle w:val="72TabletextTablesTableFigureBoxstyles"/>
              <w:rPr>
                <w:lang w:eastAsia="en-GB"/>
              </w:rPr>
            </w:pPr>
            <w:r w:rsidRPr="00C1603D">
              <w:rPr>
                <w:lang w:eastAsia="en-GB"/>
              </w:rPr>
              <w:t>Missing</w:t>
            </w:r>
          </w:p>
        </w:tc>
        <w:tc>
          <w:tcPr>
            <w:tcW w:w="0" w:type="auto"/>
            <w:shd w:val="clear" w:color="auto" w:fill="auto"/>
            <w:noWrap/>
          </w:tcPr>
          <w:p w14:paraId="47FB6980" w14:textId="5815FFFF" w:rsidR="008B4DF8" w:rsidRPr="00C1603D" w:rsidRDefault="008B4DF8" w:rsidP="000955A5">
            <w:pPr>
              <w:pStyle w:val="72TabletextTablesTableFigureBoxstyles"/>
              <w:rPr>
                <w:lang w:eastAsia="en-GB"/>
              </w:rPr>
            </w:pPr>
            <w:r w:rsidRPr="00C1603D">
              <w:rPr>
                <w:lang w:eastAsia="en-GB"/>
              </w:rPr>
              <w:t>1 (0.4)</w:t>
            </w:r>
          </w:p>
        </w:tc>
        <w:tc>
          <w:tcPr>
            <w:tcW w:w="0" w:type="auto"/>
            <w:shd w:val="clear" w:color="auto" w:fill="auto"/>
            <w:noWrap/>
          </w:tcPr>
          <w:p w14:paraId="130B27A6" w14:textId="5F0AD02C" w:rsidR="008B4DF8" w:rsidRPr="00C1603D" w:rsidRDefault="008B4DF8" w:rsidP="000955A5">
            <w:pPr>
              <w:pStyle w:val="72TabletextTablesTableFigureBoxstyles"/>
              <w:rPr>
                <w:lang w:eastAsia="en-GB"/>
              </w:rPr>
            </w:pPr>
            <w:r w:rsidRPr="00C1603D">
              <w:rPr>
                <w:lang w:eastAsia="en-GB"/>
              </w:rPr>
              <w:t>188 (84.3)</w:t>
            </w:r>
          </w:p>
        </w:tc>
        <w:tc>
          <w:tcPr>
            <w:tcW w:w="0" w:type="auto"/>
            <w:shd w:val="clear" w:color="auto" w:fill="auto"/>
            <w:noWrap/>
          </w:tcPr>
          <w:p w14:paraId="2DFCBE1C" w14:textId="3CE10F76" w:rsidR="008B4DF8" w:rsidRPr="00C1603D" w:rsidRDefault="008B4DF8" w:rsidP="000955A5">
            <w:pPr>
              <w:pStyle w:val="72TabletextTablesTableFigureBoxstyles"/>
              <w:rPr>
                <w:lang w:eastAsia="en-GB"/>
              </w:rPr>
            </w:pPr>
            <w:r w:rsidRPr="00C1603D">
              <w:rPr>
                <w:lang w:eastAsia="en-GB"/>
              </w:rPr>
              <w:t>189 (40.4)</w:t>
            </w:r>
          </w:p>
        </w:tc>
      </w:tr>
      <w:tr w:rsidR="008B4DF8" w:rsidRPr="00C1603D" w14:paraId="325263AF" w14:textId="77777777" w:rsidTr="003700E5">
        <w:trPr>
          <w:cantSplit/>
        </w:trPr>
        <w:tc>
          <w:tcPr>
            <w:tcW w:w="0" w:type="auto"/>
            <w:gridSpan w:val="4"/>
            <w:shd w:val="clear" w:color="auto" w:fill="auto"/>
            <w:noWrap/>
          </w:tcPr>
          <w:p w14:paraId="68DE46E3" w14:textId="0710F926" w:rsidR="008B4DF8" w:rsidRPr="00C1603D" w:rsidRDefault="008B4DF8" w:rsidP="003700E5">
            <w:pPr>
              <w:pStyle w:val="711TablesubheadATablesTableFigureBoxstyles"/>
              <w:rPr>
                <w:lang w:eastAsia="en-GB"/>
              </w:rPr>
            </w:pPr>
            <w:r w:rsidRPr="00C1603D">
              <w:rPr>
                <w:lang w:eastAsia="en-GB"/>
              </w:rPr>
              <w:t>Ethnicity</w:t>
            </w:r>
            <w:r w:rsidR="00461EA7" w:rsidRPr="00C1603D">
              <w:rPr>
                <w:lang w:eastAsia="en-GB"/>
              </w:rPr>
              <w:t xml:space="preserve">, </w:t>
            </w:r>
            <w:r w:rsidR="00461EA7" w:rsidRPr="00C1603D">
              <w:rPr>
                <w:i w:val="0"/>
                <w:iCs w:val="0"/>
                <w:lang w:eastAsia="en-GB"/>
              </w:rPr>
              <w:t>n</w:t>
            </w:r>
            <w:r w:rsidR="00461EA7" w:rsidRPr="00C1603D">
              <w:rPr>
                <w:lang w:eastAsia="en-GB"/>
              </w:rPr>
              <w:t xml:space="preserve"> (%)</w:t>
            </w:r>
          </w:p>
        </w:tc>
      </w:tr>
      <w:tr w:rsidR="008B4DF8" w:rsidRPr="00C1603D" w14:paraId="4B3B6C06" w14:textId="77777777" w:rsidTr="003700E5">
        <w:trPr>
          <w:cantSplit/>
        </w:trPr>
        <w:tc>
          <w:tcPr>
            <w:tcW w:w="0" w:type="auto"/>
            <w:shd w:val="clear" w:color="auto" w:fill="auto"/>
            <w:noWrap/>
          </w:tcPr>
          <w:p w14:paraId="1DC6F5A9" w14:textId="77777777" w:rsidR="008B4DF8" w:rsidRPr="00C1603D" w:rsidRDefault="008B4DF8" w:rsidP="003700E5">
            <w:pPr>
              <w:pStyle w:val="722TablebulletlistTablesTableFigureBoxstyles"/>
              <w:rPr>
                <w:lang w:eastAsia="en-GB"/>
              </w:rPr>
            </w:pPr>
            <w:r w:rsidRPr="00C1603D">
              <w:rPr>
                <w:lang w:eastAsia="en-GB"/>
              </w:rPr>
              <w:t>Asian</w:t>
            </w:r>
            <w:r w:rsidRPr="00C1603D">
              <w:rPr>
                <w:color w:val="00B0F0"/>
                <w:lang w:eastAsia="en-GB"/>
              </w:rPr>
              <w:t>/</w:t>
            </w:r>
            <w:r w:rsidRPr="00C1603D">
              <w:rPr>
                <w:lang w:eastAsia="en-GB"/>
              </w:rPr>
              <w:t>Asian British</w:t>
            </w:r>
          </w:p>
        </w:tc>
        <w:tc>
          <w:tcPr>
            <w:tcW w:w="0" w:type="auto"/>
            <w:shd w:val="clear" w:color="auto" w:fill="auto"/>
            <w:noWrap/>
          </w:tcPr>
          <w:p w14:paraId="74CB1A00" w14:textId="2C917EFA"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2EB16863" w14:textId="64C10460" w:rsidR="008B4DF8" w:rsidRPr="00C1603D" w:rsidRDefault="008B4DF8" w:rsidP="003700E5">
            <w:pPr>
              <w:pStyle w:val="72TabletextTablesTableFigureBoxstyles"/>
              <w:rPr>
                <w:lang w:eastAsia="en-GB"/>
              </w:rPr>
            </w:pPr>
            <w:r w:rsidRPr="00C1603D">
              <w:rPr>
                <w:lang w:eastAsia="en-GB"/>
              </w:rPr>
              <w:t>0 (0)</w:t>
            </w:r>
          </w:p>
        </w:tc>
        <w:tc>
          <w:tcPr>
            <w:tcW w:w="0" w:type="auto"/>
            <w:shd w:val="clear" w:color="auto" w:fill="auto"/>
            <w:noWrap/>
          </w:tcPr>
          <w:p w14:paraId="66FE7781" w14:textId="5BD1C29F" w:rsidR="008B4DF8" w:rsidRPr="00C1603D" w:rsidRDefault="008B4DF8" w:rsidP="003700E5">
            <w:pPr>
              <w:pStyle w:val="72TabletextTablesTableFigureBoxstyles"/>
              <w:rPr>
                <w:lang w:eastAsia="en-GB"/>
              </w:rPr>
            </w:pPr>
            <w:r w:rsidRPr="00C1603D">
              <w:rPr>
                <w:lang w:eastAsia="en-GB"/>
              </w:rPr>
              <w:t>1 (0.2)</w:t>
            </w:r>
          </w:p>
        </w:tc>
      </w:tr>
      <w:tr w:rsidR="008B4DF8" w:rsidRPr="00C1603D" w14:paraId="75B72921" w14:textId="77777777" w:rsidTr="003700E5">
        <w:trPr>
          <w:cantSplit/>
        </w:trPr>
        <w:tc>
          <w:tcPr>
            <w:tcW w:w="0" w:type="auto"/>
            <w:shd w:val="clear" w:color="auto" w:fill="auto"/>
            <w:noWrap/>
          </w:tcPr>
          <w:p w14:paraId="41AC0C0E" w14:textId="054C0096" w:rsidR="008B4DF8" w:rsidRPr="00C1603D" w:rsidRDefault="008B4DF8" w:rsidP="003700E5">
            <w:pPr>
              <w:pStyle w:val="722TablebulletlistTablesTableFigureBoxstyles"/>
              <w:rPr>
                <w:lang w:eastAsia="en-GB"/>
              </w:rPr>
            </w:pPr>
            <w:r w:rsidRPr="00C1603D">
              <w:rPr>
                <w:lang w:eastAsia="en-GB"/>
              </w:rPr>
              <w:t>Black</w:t>
            </w:r>
            <w:r w:rsidRPr="00C1603D">
              <w:rPr>
                <w:color w:val="00B0F0"/>
                <w:lang w:eastAsia="en-GB"/>
              </w:rPr>
              <w:t>/</w:t>
            </w:r>
            <w:r w:rsidRPr="00C1603D">
              <w:rPr>
                <w:lang w:eastAsia="en-GB"/>
              </w:rPr>
              <w:t>African</w:t>
            </w:r>
            <w:r w:rsidRPr="00C1603D">
              <w:rPr>
                <w:color w:val="00B0F0"/>
                <w:lang w:eastAsia="en-GB"/>
              </w:rPr>
              <w:t>/</w:t>
            </w:r>
            <w:r w:rsidRPr="00C1603D">
              <w:rPr>
                <w:lang w:eastAsia="en-GB"/>
              </w:rPr>
              <w:t>Caribbean</w:t>
            </w:r>
            <w:r w:rsidRPr="00C1603D">
              <w:rPr>
                <w:color w:val="00B0F0"/>
                <w:lang w:eastAsia="en-GB"/>
              </w:rPr>
              <w:t>/</w:t>
            </w:r>
            <w:proofErr w:type="gramStart"/>
            <w:r w:rsidR="00461EA7" w:rsidRPr="00C1603D">
              <w:rPr>
                <w:color w:val="00B0F0"/>
                <w:lang w:eastAsia="en-GB"/>
              </w:rPr>
              <w:t>b</w:t>
            </w:r>
            <w:r w:rsidRPr="00C1603D">
              <w:rPr>
                <w:lang w:eastAsia="en-GB"/>
              </w:rPr>
              <w:t>lack</w:t>
            </w:r>
            <w:proofErr w:type="gramEnd"/>
            <w:r w:rsidRPr="00C1603D">
              <w:rPr>
                <w:lang w:eastAsia="en-GB"/>
              </w:rPr>
              <w:t xml:space="preserve"> British</w:t>
            </w:r>
          </w:p>
        </w:tc>
        <w:tc>
          <w:tcPr>
            <w:tcW w:w="0" w:type="auto"/>
            <w:shd w:val="clear" w:color="auto" w:fill="auto"/>
            <w:noWrap/>
          </w:tcPr>
          <w:p w14:paraId="005741D1" w14:textId="19242F3F"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2E84A267" w14:textId="1C35436E" w:rsidR="008B4DF8" w:rsidRPr="00C1603D" w:rsidRDefault="008B4DF8" w:rsidP="003700E5">
            <w:pPr>
              <w:pStyle w:val="72TabletextTablesTableFigureBoxstyles"/>
              <w:rPr>
                <w:lang w:eastAsia="en-GB"/>
              </w:rPr>
            </w:pPr>
            <w:r w:rsidRPr="00C1603D">
              <w:rPr>
                <w:lang w:eastAsia="en-GB"/>
              </w:rPr>
              <w:t>0 (0)</w:t>
            </w:r>
          </w:p>
        </w:tc>
        <w:tc>
          <w:tcPr>
            <w:tcW w:w="0" w:type="auto"/>
            <w:shd w:val="clear" w:color="auto" w:fill="auto"/>
            <w:noWrap/>
          </w:tcPr>
          <w:p w14:paraId="31571B18" w14:textId="426887A3" w:rsidR="008B4DF8" w:rsidRPr="00C1603D" w:rsidRDefault="008B4DF8" w:rsidP="003700E5">
            <w:pPr>
              <w:pStyle w:val="72TabletextTablesTableFigureBoxstyles"/>
              <w:rPr>
                <w:lang w:eastAsia="en-GB"/>
              </w:rPr>
            </w:pPr>
            <w:r w:rsidRPr="00C1603D">
              <w:rPr>
                <w:lang w:eastAsia="en-GB"/>
              </w:rPr>
              <w:t>2 (0.4)</w:t>
            </w:r>
          </w:p>
        </w:tc>
      </w:tr>
      <w:tr w:rsidR="008B4DF8" w:rsidRPr="00C1603D" w14:paraId="182176E5" w14:textId="77777777" w:rsidTr="003700E5">
        <w:trPr>
          <w:cantSplit/>
        </w:trPr>
        <w:tc>
          <w:tcPr>
            <w:tcW w:w="0" w:type="auto"/>
            <w:shd w:val="clear" w:color="auto" w:fill="auto"/>
            <w:noWrap/>
          </w:tcPr>
          <w:p w14:paraId="0EB1C6C9" w14:textId="71D2519A" w:rsidR="008B4DF8" w:rsidRPr="00C1603D" w:rsidRDefault="008B4DF8" w:rsidP="003700E5">
            <w:pPr>
              <w:pStyle w:val="722TablebulletlistTablesTableFigureBoxstyles"/>
              <w:rPr>
                <w:lang w:eastAsia="en-GB"/>
              </w:rPr>
            </w:pPr>
            <w:r w:rsidRPr="00C1603D">
              <w:rPr>
                <w:lang w:eastAsia="en-GB"/>
              </w:rPr>
              <w:t>Mixed</w:t>
            </w:r>
            <w:r w:rsidRPr="00C1603D">
              <w:rPr>
                <w:color w:val="00B0F0"/>
                <w:lang w:eastAsia="en-GB"/>
              </w:rPr>
              <w:t>/</w:t>
            </w:r>
            <w:r w:rsidR="00461EA7" w:rsidRPr="00C1603D">
              <w:rPr>
                <w:lang w:eastAsia="en-GB"/>
              </w:rPr>
              <w:t>m</w:t>
            </w:r>
            <w:r w:rsidRPr="00C1603D">
              <w:rPr>
                <w:lang w:eastAsia="en-GB"/>
              </w:rPr>
              <w:t>ultiple ethnic groups</w:t>
            </w:r>
          </w:p>
        </w:tc>
        <w:tc>
          <w:tcPr>
            <w:tcW w:w="0" w:type="auto"/>
            <w:shd w:val="clear" w:color="auto" w:fill="auto"/>
            <w:noWrap/>
          </w:tcPr>
          <w:p w14:paraId="5523C0CB" w14:textId="3F28464A" w:rsidR="008B4DF8" w:rsidRPr="00C1603D" w:rsidRDefault="008B4DF8" w:rsidP="003700E5">
            <w:pPr>
              <w:pStyle w:val="72TabletextTablesTableFigureBoxstyles"/>
              <w:rPr>
                <w:lang w:eastAsia="en-GB"/>
              </w:rPr>
            </w:pPr>
            <w:r w:rsidRPr="00C1603D">
              <w:rPr>
                <w:lang w:eastAsia="en-GB"/>
              </w:rPr>
              <w:t>6 (2.5)</w:t>
            </w:r>
          </w:p>
        </w:tc>
        <w:tc>
          <w:tcPr>
            <w:tcW w:w="0" w:type="auto"/>
            <w:shd w:val="clear" w:color="auto" w:fill="auto"/>
            <w:noWrap/>
          </w:tcPr>
          <w:p w14:paraId="57A8194A" w14:textId="071D6911" w:rsidR="008B4DF8" w:rsidRPr="00C1603D" w:rsidRDefault="008B4DF8" w:rsidP="003700E5">
            <w:pPr>
              <w:pStyle w:val="72TabletextTablesTableFigureBoxstyles"/>
              <w:rPr>
                <w:lang w:eastAsia="en-GB"/>
              </w:rPr>
            </w:pPr>
            <w:r w:rsidRPr="00C1603D">
              <w:rPr>
                <w:lang w:eastAsia="en-GB"/>
              </w:rPr>
              <w:t>2 (0.9)</w:t>
            </w:r>
          </w:p>
        </w:tc>
        <w:tc>
          <w:tcPr>
            <w:tcW w:w="0" w:type="auto"/>
            <w:shd w:val="clear" w:color="auto" w:fill="auto"/>
            <w:noWrap/>
          </w:tcPr>
          <w:p w14:paraId="66DF1B26" w14:textId="0E545F09" w:rsidR="008B4DF8" w:rsidRPr="00C1603D" w:rsidRDefault="008B4DF8" w:rsidP="003700E5">
            <w:pPr>
              <w:pStyle w:val="72TabletextTablesTableFigureBoxstyles"/>
              <w:rPr>
                <w:lang w:eastAsia="en-GB"/>
              </w:rPr>
            </w:pPr>
            <w:r w:rsidRPr="00C1603D">
              <w:rPr>
                <w:lang w:eastAsia="en-GB"/>
              </w:rPr>
              <w:t>8 (1.7)</w:t>
            </w:r>
          </w:p>
        </w:tc>
      </w:tr>
      <w:tr w:rsidR="008B4DF8" w:rsidRPr="00C1603D" w14:paraId="528C937C" w14:textId="77777777" w:rsidTr="003700E5">
        <w:trPr>
          <w:cantSplit/>
        </w:trPr>
        <w:tc>
          <w:tcPr>
            <w:tcW w:w="0" w:type="auto"/>
            <w:shd w:val="clear" w:color="auto" w:fill="auto"/>
            <w:noWrap/>
          </w:tcPr>
          <w:p w14:paraId="56DAECDB" w14:textId="77777777" w:rsidR="008B4DF8" w:rsidRPr="00C1603D" w:rsidRDefault="008B4DF8" w:rsidP="003700E5">
            <w:pPr>
              <w:pStyle w:val="722TablebulletlistTablesTableFigureBoxstyles"/>
              <w:rPr>
                <w:lang w:eastAsia="en-GB"/>
              </w:rPr>
            </w:pPr>
            <w:r w:rsidRPr="00C1603D">
              <w:rPr>
                <w:lang w:eastAsia="en-GB"/>
              </w:rPr>
              <w:t>Other</w:t>
            </w:r>
          </w:p>
        </w:tc>
        <w:tc>
          <w:tcPr>
            <w:tcW w:w="0" w:type="auto"/>
            <w:shd w:val="clear" w:color="auto" w:fill="auto"/>
            <w:noWrap/>
          </w:tcPr>
          <w:p w14:paraId="27BD7A35" w14:textId="55CE960A" w:rsidR="008B4DF8" w:rsidRPr="00C1603D" w:rsidRDefault="008B4DF8" w:rsidP="003700E5">
            <w:pPr>
              <w:pStyle w:val="72TabletextTablesTableFigureBoxstyles"/>
              <w:rPr>
                <w:lang w:eastAsia="en-GB"/>
              </w:rPr>
            </w:pPr>
            <w:r w:rsidRPr="00C1603D">
              <w:rPr>
                <w:lang w:eastAsia="en-GB"/>
              </w:rPr>
              <w:t>3 (1.2)</w:t>
            </w:r>
          </w:p>
        </w:tc>
        <w:tc>
          <w:tcPr>
            <w:tcW w:w="0" w:type="auto"/>
            <w:shd w:val="clear" w:color="auto" w:fill="auto"/>
            <w:noWrap/>
          </w:tcPr>
          <w:p w14:paraId="2B060544" w14:textId="715ED931"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2104DC85" w14:textId="5EBF2BA7" w:rsidR="008B4DF8" w:rsidRPr="00C1603D" w:rsidRDefault="008B4DF8" w:rsidP="003700E5">
            <w:pPr>
              <w:pStyle w:val="72TabletextTablesTableFigureBoxstyles"/>
              <w:rPr>
                <w:lang w:eastAsia="en-GB"/>
              </w:rPr>
            </w:pPr>
            <w:r w:rsidRPr="00C1603D">
              <w:rPr>
                <w:lang w:eastAsia="en-GB"/>
              </w:rPr>
              <w:t>4 (0.9)</w:t>
            </w:r>
          </w:p>
        </w:tc>
      </w:tr>
      <w:tr w:rsidR="008B4DF8" w:rsidRPr="00C1603D" w14:paraId="593894B8" w14:textId="77777777" w:rsidTr="003700E5">
        <w:trPr>
          <w:cantSplit/>
        </w:trPr>
        <w:tc>
          <w:tcPr>
            <w:tcW w:w="0" w:type="auto"/>
            <w:shd w:val="clear" w:color="auto" w:fill="auto"/>
            <w:noWrap/>
          </w:tcPr>
          <w:p w14:paraId="7602EC96" w14:textId="77777777" w:rsidR="008B4DF8" w:rsidRPr="00C1603D" w:rsidRDefault="008B4DF8" w:rsidP="003700E5">
            <w:pPr>
              <w:pStyle w:val="722TablebulletlistTablesTableFigureBoxstyles"/>
              <w:rPr>
                <w:lang w:eastAsia="en-GB"/>
              </w:rPr>
            </w:pPr>
            <w:r w:rsidRPr="00C1603D">
              <w:rPr>
                <w:lang w:eastAsia="en-GB"/>
              </w:rPr>
              <w:t>White</w:t>
            </w:r>
          </w:p>
        </w:tc>
        <w:tc>
          <w:tcPr>
            <w:tcW w:w="0" w:type="auto"/>
            <w:shd w:val="clear" w:color="auto" w:fill="auto"/>
            <w:noWrap/>
          </w:tcPr>
          <w:p w14:paraId="693B2FF3" w14:textId="66FA9370" w:rsidR="008B4DF8" w:rsidRPr="00C1603D" w:rsidRDefault="008B4DF8" w:rsidP="003700E5">
            <w:pPr>
              <w:pStyle w:val="72TabletextTablesTableFigureBoxstyles"/>
              <w:rPr>
                <w:lang w:eastAsia="en-GB"/>
              </w:rPr>
            </w:pPr>
            <w:r w:rsidRPr="00C1603D">
              <w:rPr>
                <w:lang w:eastAsia="en-GB"/>
              </w:rPr>
              <w:t>232 (95.1)</w:t>
            </w:r>
          </w:p>
        </w:tc>
        <w:tc>
          <w:tcPr>
            <w:tcW w:w="0" w:type="auto"/>
            <w:shd w:val="clear" w:color="auto" w:fill="auto"/>
            <w:noWrap/>
          </w:tcPr>
          <w:p w14:paraId="1EAB680D" w14:textId="35F70D80" w:rsidR="008B4DF8" w:rsidRPr="00C1603D" w:rsidRDefault="008B4DF8" w:rsidP="003700E5">
            <w:pPr>
              <w:pStyle w:val="72TabletextTablesTableFigureBoxstyles"/>
              <w:rPr>
                <w:lang w:eastAsia="en-GB"/>
              </w:rPr>
            </w:pPr>
            <w:r w:rsidRPr="00C1603D">
              <w:rPr>
                <w:lang w:eastAsia="en-GB"/>
              </w:rPr>
              <w:t>32 (14.3)</w:t>
            </w:r>
          </w:p>
        </w:tc>
        <w:tc>
          <w:tcPr>
            <w:tcW w:w="0" w:type="auto"/>
            <w:shd w:val="clear" w:color="auto" w:fill="auto"/>
            <w:noWrap/>
          </w:tcPr>
          <w:p w14:paraId="30C38E58" w14:textId="61CDAADC" w:rsidR="008B4DF8" w:rsidRPr="00C1603D" w:rsidRDefault="008B4DF8" w:rsidP="003700E5">
            <w:pPr>
              <w:pStyle w:val="72TabletextTablesTableFigureBoxstyles"/>
              <w:rPr>
                <w:lang w:eastAsia="en-GB"/>
              </w:rPr>
            </w:pPr>
            <w:r w:rsidRPr="00C1603D">
              <w:rPr>
                <w:lang w:eastAsia="en-GB"/>
              </w:rPr>
              <w:t>264 (56.4)</w:t>
            </w:r>
          </w:p>
        </w:tc>
      </w:tr>
      <w:tr w:rsidR="008B4DF8" w:rsidRPr="00C1603D" w14:paraId="5EB73D7D" w14:textId="77777777" w:rsidTr="003700E5">
        <w:trPr>
          <w:cantSplit/>
        </w:trPr>
        <w:tc>
          <w:tcPr>
            <w:tcW w:w="0" w:type="auto"/>
            <w:shd w:val="clear" w:color="auto" w:fill="auto"/>
            <w:noWrap/>
          </w:tcPr>
          <w:p w14:paraId="6AAE2D02" w14:textId="77777777" w:rsidR="008B4DF8" w:rsidRPr="00C1603D" w:rsidRDefault="008B4DF8" w:rsidP="00461EA7">
            <w:pPr>
              <w:pStyle w:val="72TabletextTablesTableFigureBoxstyles"/>
              <w:rPr>
                <w:lang w:eastAsia="en-GB"/>
              </w:rPr>
            </w:pPr>
            <w:r w:rsidRPr="00C1603D">
              <w:rPr>
                <w:lang w:eastAsia="en-GB"/>
              </w:rPr>
              <w:t>Missing</w:t>
            </w:r>
          </w:p>
        </w:tc>
        <w:tc>
          <w:tcPr>
            <w:tcW w:w="0" w:type="auto"/>
            <w:shd w:val="clear" w:color="auto" w:fill="auto"/>
            <w:noWrap/>
          </w:tcPr>
          <w:p w14:paraId="3701A195" w14:textId="2A209F14" w:rsidR="008B4DF8" w:rsidRPr="00C1603D" w:rsidRDefault="008B4DF8" w:rsidP="00461EA7">
            <w:pPr>
              <w:pStyle w:val="72TabletextTablesTableFigureBoxstyles"/>
              <w:rPr>
                <w:lang w:eastAsia="en-GB"/>
              </w:rPr>
            </w:pPr>
            <w:r w:rsidRPr="00C1603D">
              <w:rPr>
                <w:lang w:eastAsia="en-GB"/>
              </w:rPr>
              <w:t>1 (0.4)</w:t>
            </w:r>
          </w:p>
        </w:tc>
        <w:tc>
          <w:tcPr>
            <w:tcW w:w="0" w:type="auto"/>
            <w:shd w:val="clear" w:color="auto" w:fill="auto"/>
            <w:noWrap/>
          </w:tcPr>
          <w:p w14:paraId="54A0B4A2" w14:textId="40837DFC" w:rsidR="008B4DF8" w:rsidRPr="00C1603D" w:rsidRDefault="008B4DF8" w:rsidP="00461EA7">
            <w:pPr>
              <w:pStyle w:val="72TabletextTablesTableFigureBoxstyles"/>
              <w:rPr>
                <w:lang w:eastAsia="en-GB"/>
              </w:rPr>
            </w:pPr>
            <w:r w:rsidRPr="00C1603D">
              <w:rPr>
                <w:lang w:eastAsia="en-GB"/>
              </w:rPr>
              <w:t>188 (84.3)</w:t>
            </w:r>
          </w:p>
        </w:tc>
        <w:tc>
          <w:tcPr>
            <w:tcW w:w="0" w:type="auto"/>
            <w:shd w:val="clear" w:color="auto" w:fill="auto"/>
            <w:noWrap/>
          </w:tcPr>
          <w:p w14:paraId="343E8D15" w14:textId="0F84FD79" w:rsidR="008B4DF8" w:rsidRPr="00C1603D" w:rsidRDefault="008B4DF8" w:rsidP="00461EA7">
            <w:pPr>
              <w:pStyle w:val="72TabletextTablesTableFigureBoxstyles"/>
              <w:rPr>
                <w:lang w:eastAsia="en-GB"/>
              </w:rPr>
            </w:pPr>
            <w:r w:rsidRPr="00C1603D">
              <w:rPr>
                <w:lang w:eastAsia="en-GB"/>
              </w:rPr>
              <w:t>189 (40.4)</w:t>
            </w:r>
          </w:p>
        </w:tc>
      </w:tr>
      <w:tr w:rsidR="008B4DF8" w:rsidRPr="00C1603D" w14:paraId="4E5631C4" w14:textId="77777777" w:rsidTr="003700E5">
        <w:trPr>
          <w:cantSplit/>
        </w:trPr>
        <w:tc>
          <w:tcPr>
            <w:tcW w:w="0" w:type="auto"/>
            <w:gridSpan w:val="4"/>
            <w:shd w:val="clear" w:color="auto" w:fill="auto"/>
            <w:noWrap/>
          </w:tcPr>
          <w:p w14:paraId="36BEBC9A" w14:textId="6FE36B8D" w:rsidR="008B4DF8" w:rsidRPr="00C1603D" w:rsidRDefault="008B4DF8" w:rsidP="003700E5">
            <w:pPr>
              <w:pStyle w:val="711TablesubheadATablesTableFigureBoxstyles"/>
              <w:rPr>
                <w:lang w:eastAsia="en-GB"/>
              </w:rPr>
            </w:pPr>
            <w:r w:rsidRPr="00C1603D">
              <w:rPr>
                <w:lang w:eastAsia="en-GB"/>
              </w:rPr>
              <w:t>Highest education</w:t>
            </w:r>
            <w:r w:rsidR="00461EA7" w:rsidRPr="00C1603D">
              <w:rPr>
                <w:lang w:eastAsia="en-GB"/>
              </w:rPr>
              <w:t xml:space="preserve">, </w:t>
            </w:r>
            <w:r w:rsidR="00461EA7" w:rsidRPr="00C1603D">
              <w:rPr>
                <w:i w:val="0"/>
                <w:iCs w:val="0"/>
                <w:lang w:eastAsia="en-GB"/>
              </w:rPr>
              <w:t>n</w:t>
            </w:r>
            <w:r w:rsidR="00461EA7" w:rsidRPr="00C1603D">
              <w:rPr>
                <w:lang w:eastAsia="en-GB"/>
              </w:rPr>
              <w:t xml:space="preserve"> (%)</w:t>
            </w:r>
          </w:p>
        </w:tc>
      </w:tr>
      <w:tr w:rsidR="008B4DF8" w:rsidRPr="00C1603D" w14:paraId="4281F8F8" w14:textId="77777777" w:rsidTr="003700E5">
        <w:trPr>
          <w:cantSplit/>
        </w:trPr>
        <w:tc>
          <w:tcPr>
            <w:tcW w:w="0" w:type="auto"/>
            <w:shd w:val="clear" w:color="auto" w:fill="auto"/>
            <w:noWrap/>
          </w:tcPr>
          <w:p w14:paraId="5BC01387" w14:textId="77777777" w:rsidR="008B4DF8" w:rsidRPr="00C1603D" w:rsidRDefault="008B4DF8" w:rsidP="003700E5">
            <w:pPr>
              <w:pStyle w:val="722TablebulletlistTablesTableFigureBoxstyles"/>
              <w:rPr>
                <w:lang w:eastAsia="en-GB"/>
              </w:rPr>
            </w:pPr>
            <w:r w:rsidRPr="00C1603D">
              <w:rPr>
                <w:lang w:eastAsia="en-GB"/>
              </w:rPr>
              <w:t>College or university degree</w:t>
            </w:r>
          </w:p>
        </w:tc>
        <w:tc>
          <w:tcPr>
            <w:tcW w:w="0" w:type="auto"/>
            <w:shd w:val="clear" w:color="auto" w:fill="auto"/>
            <w:noWrap/>
          </w:tcPr>
          <w:p w14:paraId="72BA0E63" w14:textId="3A6CE547" w:rsidR="008B4DF8" w:rsidRPr="00C1603D" w:rsidRDefault="008B4DF8" w:rsidP="003700E5">
            <w:pPr>
              <w:pStyle w:val="72TabletextTablesTableFigureBoxstyles"/>
              <w:rPr>
                <w:lang w:eastAsia="en-GB"/>
              </w:rPr>
            </w:pPr>
            <w:r w:rsidRPr="00C1603D">
              <w:rPr>
                <w:lang w:eastAsia="en-GB"/>
              </w:rPr>
              <w:t>133 (54.5)</w:t>
            </w:r>
          </w:p>
        </w:tc>
        <w:tc>
          <w:tcPr>
            <w:tcW w:w="0" w:type="auto"/>
            <w:shd w:val="clear" w:color="auto" w:fill="auto"/>
            <w:noWrap/>
          </w:tcPr>
          <w:p w14:paraId="66C6DED4" w14:textId="7EA4B6F2" w:rsidR="008B4DF8" w:rsidRPr="00C1603D" w:rsidRDefault="008B4DF8" w:rsidP="003700E5">
            <w:pPr>
              <w:pStyle w:val="72TabletextTablesTableFigureBoxstyles"/>
              <w:rPr>
                <w:lang w:eastAsia="en-GB"/>
              </w:rPr>
            </w:pPr>
            <w:r w:rsidRPr="00C1603D">
              <w:rPr>
                <w:lang w:eastAsia="en-GB"/>
              </w:rPr>
              <w:t>26 (11.7)</w:t>
            </w:r>
          </w:p>
        </w:tc>
        <w:tc>
          <w:tcPr>
            <w:tcW w:w="0" w:type="auto"/>
            <w:shd w:val="clear" w:color="auto" w:fill="auto"/>
            <w:noWrap/>
          </w:tcPr>
          <w:p w14:paraId="765F5663" w14:textId="100B602C" w:rsidR="008B4DF8" w:rsidRPr="00C1603D" w:rsidRDefault="008B4DF8" w:rsidP="003700E5">
            <w:pPr>
              <w:pStyle w:val="72TabletextTablesTableFigureBoxstyles"/>
              <w:rPr>
                <w:lang w:eastAsia="en-GB"/>
              </w:rPr>
            </w:pPr>
            <w:r w:rsidRPr="00C1603D">
              <w:rPr>
                <w:lang w:eastAsia="en-GB"/>
              </w:rPr>
              <w:t>159 (34.0)</w:t>
            </w:r>
          </w:p>
        </w:tc>
      </w:tr>
      <w:tr w:rsidR="008B4DF8" w:rsidRPr="00C1603D" w14:paraId="6DD155C6" w14:textId="77777777" w:rsidTr="003700E5">
        <w:trPr>
          <w:cantSplit/>
        </w:trPr>
        <w:tc>
          <w:tcPr>
            <w:tcW w:w="0" w:type="auto"/>
            <w:shd w:val="clear" w:color="auto" w:fill="auto"/>
            <w:noWrap/>
          </w:tcPr>
          <w:p w14:paraId="0F39163E" w14:textId="46CFFCEB" w:rsidR="008B4DF8" w:rsidRPr="00C1603D" w:rsidRDefault="008B4DF8" w:rsidP="003700E5">
            <w:pPr>
              <w:pStyle w:val="722TablebulletlistTablesTableFigureBoxstyles"/>
              <w:rPr>
                <w:lang w:eastAsia="en-GB"/>
              </w:rPr>
            </w:pPr>
            <w:r w:rsidRPr="00C1603D">
              <w:rPr>
                <w:lang w:eastAsia="en-GB"/>
              </w:rPr>
              <w:t xml:space="preserve">A </w:t>
            </w:r>
            <w:r w:rsidR="00F30D95" w:rsidRPr="00C1603D">
              <w:rPr>
                <w:lang w:eastAsia="en-GB"/>
              </w:rPr>
              <w:t>L</w:t>
            </w:r>
            <w:r w:rsidRPr="00C1603D">
              <w:rPr>
                <w:lang w:eastAsia="en-GB"/>
              </w:rPr>
              <w:t>evels or equivalent</w:t>
            </w:r>
          </w:p>
        </w:tc>
        <w:tc>
          <w:tcPr>
            <w:tcW w:w="0" w:type="auto"/>
            <w:shd w:val="clear" w:color="auto" w:fill="auto"/>
            <w:noWrap/>
          </w:tcPr>
          <w:p w14:paraId="1C16FB54" w14:textId="1F752E03" w:rsidR="008B4DF8" w:rsidRPr="00C1603D" w:rsidRDefault="008B4DF8" w:rsidP="003700E5">
            <w:pPr>
              <w:pStyle w:val="72TabletextTablesTableFigureBoxstyles"/>
              <w:rPr>
                <w:lang w:eastAsia="en-GB"/>
              </w:rPr>
            </w:pPr>
            <w:r w:rsidRPr="00C1603D">
              <w:rPr>
                <w:lang w:eastAsia="en-GB"/>
              </w:rPr>
              <w:t>38 (15.6)</w:t>
            </w:r>
          </w:p>
        </w:tc>
        <w:tc>
          <w:tcPr>
            <w:tcW w:w="0" w:type="auto"/>
            <w:shd w:val="clear" w:color="auto" w:fill="auto"/>
            <w:noWrap/>
          </w:tcPr>
          <w:p w14:paraId="38B47ED6" w14:textId="6D72DB24" w:rsidR="008B4DF8" w:rsidRPr="00C1603D" w:rsidRDefault="008B4DF8" w:rsidP="003700E5">
            <w:pPr>
              <w:pStyle w:val="72TabletextTablesTableFigureBoxstyles"/>
              <w:rPr>
                <w:lang w:eastAsia="en-GB"/>
              </w:rPr>
            </w:pPr>
            <w:r w:rsidRPr="00C1603D">
              <w:rPr>
                <w:lang w:eastAsia="en-GB"/>
              </w:rPr>
              <w:t>4 (1.8)</w:t>
            </w:r>
          </w:p>
        </w:tc>
        <w:tc>
          <w:tcPr>
            <w:tcW w:w="0" w:type="auto"/>
            <w:shd w:val="clear" w:color="auto" w:fill="auto"/>
            <w:noWrap/>
          </w:tcPr>
          <w:p w14:paraId="7F72AFDB" w14:textId="6A4DDACD" w:rsidR="008B4DF8" w:rsidRPr="00C1603D" w:rsidRDefault="008B4DF8" w:rsidP="003700E5">
            <w:pPr>
              <w:pStyle w:val="72TabletextTablesTableFigureBoxstyles"/>
              <w:rPr>
                <w:lang w:eastAsia="en-GB"/>
              </w:rPr>
            </w:pPr>
            <w:r w:rsidRPr="00C1603D">
              <w:rPr>
                <w:lang w:eastAsia="en-GB"/>
              </w:rPr>
              <w:t>42 (9.0)</w:t>
            </w:r>
          </w:p>
        </w:tc>
      </w:tr>
      <w:tr w:rsidR="008B4DF8" w:rsidRPr="00C1603D" w14:paraId="47CE138F" w14:textId="77777777" w:rsidTr="003700E5">
        <w:trPr>
          <w:cantSplit/>
        </w:trPr>
        <w:tc>
          <w:tcPr>
            <w:tcW w:w="0" w:type="auto"/>
            <w:shd w:val="clear" w:color="auto" w:fill="auto"/>
            <w:noWrap/>
          </w:tcPr>
          <w:p w14:paraId="12D47874" w14:textId="46226C8B" w:rsidR="008B4DF8" w:rsidRPr="00C1603D" w:rsidRDefault="008B4DF8" w:rsidP="003700E5">
            <w:pPr>
              <w:pStyle w:val="722TablebulletlistTablesTableFigureBoxstyles"/>
              <w:rPr>
                <w:lang w:eastAsia="en-GB"/>
              </w:rPr>
            </w:pPr>
            <w:r w:rsidRPr="00C1603D">
              <w:rPr>
                <w:lang w:eastAsia="en-GB"/>
              </w:rPr>
              <w:t xml:space="preserve">O </w:t>
            </w:r>
            <w:r w:rsidR="00F30D95" w:rsidRPr="00C1603D">
              <w:rPr>
                <w:lang w:eastAsia="en-GB"/>
              </w:rPr>
              <w:t>L</w:t>
            </w:r>
            <w:r w:rsidRPr="00C1603D">
              <w:rPr>
                <w:lang w:eastAsia="en-GB"/>
              </w:rPr>
              <w:t>evels or GCSEs or equivalent</w:t>
            </w:r>
          </w:p>
        </w:tc>
        <w:tc>
          <w:tcPr>
            <w:tcW w:w="0" w:type="auto"/>
            <w:shd w:val="clear" w:color="auto" w:fill="auto"/>
            <w:noWrap/>
          </w:tcPr>
          <w:p w14:paraId="7C1DC6CA" w14:textId="47CFEBE0" w:rsidR="008B4DF8" w:rsidRPr="00C1603D" w:rsidRDefault="008B4DF8" w:rsidP="003700E5">
            <w:pPr>
              <w:pStyle w:val="72TabletextTablesTableFigureBoxstyles"/>
              <w:rPr>
                <w:lang w:eastAsia="en-GB"/>
              </w:rPr>
            </w:pPr>
            <w:r w:rsidRPr="00C1603D">
              <w:rPr>
                <w:lang w:eastAsia="en-GB"/>
              </w:rPr>
              <w:t>33 (13.5)</w:t>
            </w:r>
          </w:p>
        </w:tc>
        <w:tc>
          <w:tcPr>
            <w:tcW w:w="0" w:type="auto"/>
            <w:shd w:val="clear" w:color="auto" w:fill="auto"/>
            <w:noWrap/>
          </w:tcPr>
          <w:p w14:paraId="1D602C9F" w14:textId="0E98BE74" w:rsidR="008B4DF8" w:rsidRPr="00C1603D" w:rsidRDefault="008B4DF8" w:rsidP="003700E5">
            <w:pPr>
              <w:pStyle w:val="72TabletextTablesTableFigureBoxstyles"/>
              <w:rPr>
                <w:lang w:eastAsia="en-GB"/>
              </w:rPr>
            </w:pPr>
            <w:r w:rsidRPr="00C1603D">
              <w:rPr>
                <w:lang w:eastAsia="en-GB"/>
              </w:rPr>
              <w:t>3 (1.3)</w:t>
            </w:r>
          </w:p>
        </w:tc>
        <w:tc>
          <w:tcPr>
            <w:tcW w:w="0" w:type="auto"/>
            <w:shd w:val="clear" w:color="auto" w:fill="auto"/>
            <w:noWrap/>
          </w:tcPr>
          <w:p w14:paraId="0D9C7F58" w14:textId="14CF25F6" w:rsidR="008B4DF8" w:rsidRPr="00C1603D" w:rsidRDefault="008B4DF8" w:rsidP="003700E5">
            <w:pPr>
              <w:pStyle w:val="72TabletextTablesTableFigureBoxstyles"/>
              <w:rPr>
                <w:lang w:eastAsia="en-GB"/>
              </w:rPr>
            </w:pPr>
            <w:r w:rsidRPr="00C1603D">
              <w:rPr>
                <w:lang w:eastAsia="en-GB"/>
              </w:rPr>
              <w:t>37 (7.9)</w:t>
            </w:r>
          </w:p>
        </w:tc>
      </w:tr>
      <w:tr w:rsidR="008B4DF8" w:rsidRPr="00C1603D" w14:paraId="7537612B" w14:textId="77777777" w:rsidTr="003700E5">
        <w:trPr>
          <w:cantSplit/>
        </w:trPr>
        <w:tc>
          <w:tcPr>
            <w:tcW w:w="0" w:type="auto"/>
            <w:shd w:val="clear" w:color="auto" w:fill="auto"/>
            <w:noWrap/>
          </w:tcPr>
          <w:p w14:paraId="47D11E74" w14:textId="77777777" w:rsidR="008B4DF8" w:rsidRPr="00C1603D" w:rsidRDefault="008B4DF8" w:rsidP="003700E5">
            <w:pPr>
              <w:pStyle w:val="722TablebulletlistTablesTableFigureBoxstyles"/>
              <w:rPr>
                <w:lang w:eastAsia="en-GB"/>
              </w:rPr>
            </w:pPr>
            <w:r w:rsidRPr="00C1603D">
              <w:rPr>
                <w:lang w:eastAsia="en-GB"/>
              </w:rPr>
              <w:t>Prefer not to say</w:t>
            </w:r>
          </w:p>
        </w:tc>
        <w:tc>
          <w:tcPr>
            <w:tcW w:w="0" w:type="auto"/>
            <w:shd w:val="clear" w:color="auto" w:fill="auto"/>
            <w:noWrap/>
          </w:tcPr>
          <w:p w14:paraId="3C8A2940" w14:textId="69EFFC39" w:rsidR="008B4DF8" w:rsidRPr="00C1603D" w:rsidRDefault="008B4DF8" w:rsidP="003700E5">
            <w:pPr>
              <w:pStyle w:val="72TabletextTablesTableFigureBoxstyles"/>
              <w:rPr>
                <w:lang w:eastAsia="en-GB"/>
              </w:rPr>
            </w:pPr>
            <w:r w:rsidRPr="00C1603D">
              <w:rPr>
                <w:lang w:eastAsia="en-GB"/>
              </w:rPr>
              <w:t>14 (5.7)</w:t>
            </w:r>
          </w:p>
        </w:tc>
        <w:tc>
          <w:tcPr>
            <w:tcW w:w="0" w:type="auto"/>
            <w:shd w:val="clear" w:color="auto" w:fill="auto"/>
            <w:noWrap/>
          </w:tcPr>
          <w:p w14:paraId="1B5D3F50" w14:textId="36ABF6D7" w:rsidR="008B4DF8" w:rsidRPr="00C1603D" w:rsidRDefault="008B4DF8" w:rsidP="003700E5">
            <w:pPr>
              <w:pStyle w:val="72TabletextTablesTableFigureBoxstyles"/>
              <w:rPr>
                <w:lang w:eastAsia="en-GB"/>
              </w:rPr>
            </w:pPr>
            <w:r w:rsidRPr="00C1603D">
              <w:rPr>
                <w:lang w:eastAsia="en-GB"/>
              </w:rPr>
              <w:t>0 (0)</w:t>
            </w:r>
          </w:p>
        </w:tc>
        <w:tc>
          <w:tcPr>
            <w:tcW w:w="0" w:type="auto"/>
            <w:shd w:val="clear" w:color="auto" w:fill="auto"/>
            <w:noWrap/>
          </w:tcPr>
          <w:p w14:paraId="6352A957" w14:textId="7E2971AA" w:rsidR="008B4DF8" w:rsidRPr="00C1603D" w:rsidRDefault="008B4DF8" w:rsidP="003700E5">
            <w:pPr>
              <w:pStyle w:val="72TabletextTablesTableFigureBoxstyles"/>
              <w:rPr>
                <w:lang w:eastAsia="en-GB"/>
              </w:rPr>
            </w:pPr>
            <w:r w:rsidRPr="00C1603D">
              <w:rPr>
                <w:lang w:eastAsia="en-GB"/>
              </w:rPr>
              <w:t>14 (3.0)</w:t>
            </w:r>
          </w:p>
        </w:tc>
      </w:tr>
      <w:tr w:rsidR="008B4DF8" w:rsidRPr="00C1603D" w14:paraId="7E0BFDAA" w14:textId="77777777" w:rsidTr="003700E5">
        <w:trPr>
          <w:cantSplit/>
        </w:trPr>
        <w:tc>
          <w:tcPr>
            <w:tcW w:w="0" w:type="auto"/>
            <w:shd w:val="clear" w:color="auto" w:fill="auto"/>
            <w:noWrap/>
          </w:tcPr>
          <w:p w14:paraId="6897A468" w14:textId="77777777" w:rsidR="008B4DF8" w:rsidRPr="00C1603D" w:rsidRDefault="008B4DF8" w:rsidP="003700E5">
            <w:pPr>
              <w:pStyle w:val="722TablebulletlistTablesTableFigureBoxstyles"/>
              <w:rPr>
                <w:lang w:eastAsia="en-GB"/>
              </w:rPr>
            </w:pPr>
            <w:r w:rsidRPr="00C1603D">
              <w:rPr>
                <w:lang w:eastAsia="en-GB"/>
              </w:rPr>
              <w:t>Other</w:t>
            </w:r>
          </w:p>
        </w:tc>
        <w:tc>
          <w:tcPr>
            <w:tcW w:w="0" w:type="auto"/>
            <w:shd w:val="clear" w:color="auto" w:fill="auto"/>
            <w:noWrap/>
          </w:tcPr>
          <w:p w14:paraId="1C8B184E" w14:textId="16FA859D" w:rsidR="008B4DF8" w:rsidRPr="00C1603D" w:rsidRDefault="008B4DF8" w:rsidP="003700E5">
            <w:pPr>
              <w:pStyle w:val="72TabletextTablesTableFigureBoxstyles"/>
              <w:rPr>
                <w:lang w:eastAsia="en-GB"/>
              </w:rPr>
            </w:pPr>
            <w:r w:rsidRPr="00C1603D">
              <w:rPr>
                <w:lang w:eastAsia="en-GB"/>
              </w:rPr>
              <w:t>18 (7.4)</w:t>
            </w:r>
          </w:p>
        </w:tc>
        <w:tc>
          <w:tcPr>
            <w:tcW w:w="0" w:type="auto"/>
            <w:shd w:val="clear" w:color="auto" w:fill="auto"/>
            <w:noWrap/>
          </w:tcPr>
          <w:p w14:paraId="1F3018BE" w14:textId="23E49F72" w:rsidR="008B4DF8" w:rsidRPr="00C1603D" w:rsidRDefault="008B4DF8" w:rsidP="003700E5">
            <w:pPr>
              <w:pStyle w:val="72TabletextTablesTableFigureBoxstyles"/>
              <w:rPr>
                <w:lang w:eastAsia="en-GB"/>
              </w:rPr>
            </w:pPr>
            <w:r w:rsidRPr="00C1603D">
              <w:rPr>
                <w:lang w:eastAsia="en-GB"/>
              </w:rPr>
              <w:t>2 (0.9)</w:t>
            </w:r>
          </w:p>
        </w:tc>
        <w:tc>
          <w:tcPr>
            <w:tcW w:w="0" w:type="auto"/>
            <w:shd w:val="clear" w:color="auto" w:fill="auto"/>
            <w:noWrap/>
          </w:tcPr>
          <w:p w14:paraId="1331F18A" w14:textId="14C58FDD" w:rsidR="008B4DF8" w:rsidRPr="00C1603D" w:rsidRDefault="008B4DF8" w:rsidP="003700E5">
            <w:pPr>
              <w:pStyle w:val="72TabletextTablesTableFigureBoxstyles"/>
              <w:rPr>
                <w:lang w:eastAsia="en-GB"/>
              </w:rPr>
            </w:pPr>
            <w:r w:rsidRPr="00C1603D">
              <w:rPr>
                <w:lang w:eastAsia="en-GB"/>
              </w:rPr>
              <w:t>20 (4.3)</w:t>
            </w:r>
          </w:p>
        </w:tc>
      </w:tr>
      <w:tr w:rsidR="008B4DF8" w:rsidRPr="00C1603D" w14:paraId="774143D2" w14:textId="77777777" w:rsidTr="003700E5">
        <w:trPr>
          <w:cantSplit/>
        </w:trPr>
        <w:tc>
          <w:tcPr>
            <w:tcW w:w="0" w:type="auto"/>
            <w:shd w:val="clear" w:color="auto" w:fill="auto"/>
            <w:noWrap/>
          </w:tcPr>
          <w:p w14:paraId="2D0F6E5A" w14:textId="77777777" w:rsidR="008B4DF8" w:rsidRPr="00C1603D" w:rsidRDefault="008B4DF8" w:rsidP="00AF55A2">
            <w:pPr>
              <w:pStyle w:val="72TabletextTablesTableFigureBoxstyles"/>
              <w:rPr>
                <w:lang w:eastAsia="en-GB"/>
              </w:rPr>
            </w:pPr>
            <w:r w:rsidRPr="00C1603D">
              <w:rPr>
                <w:lang w:eastAsia="en-GB"/>
              </w:rPr>
              <w:t>Missing</w:t>
            </w:r>
          </w:p>
        </w:tc>
        <w:tc>
          <w:tcPr>
            <w:tcW w:w="0" w:type="auto"/>
            <w:shd w:val="clear" w:color="auto" w:fill="auto"/>
            <w:noWrap/>
          </w:tcPr>
          <w:p w14:paraId="44093575" w14:textId="7A2CD4A4" w:rsidR="008B4DF8" w:rsidRPr="00C1603D" w:rsidRDefault="008B4DF8" w:rsidP="00AF55A2">
            <w:pPr>
              <w:pStyle w:val="72TabletextTablesTableFigureBoxstyles"/>
              <w:rPr>
                <w:lang w:eastAsia="en-GB"/>
              </w:rPr>
            </w:pPr>
            <w:r w:rsidRPr="00C1603D">
              <w:rPr>
                <w:lang w:eastAsia="en-GB"/>
              </w:rPr>
              <w:t>8 (3.3)</w:t>
            </w:r>
          </w:p>
        </w:tc>
        <w:tc>
          <w:tcPr>
            <w:tcW w:w="0" w:type="auto"/>
            <w:shd w:val="clear" w:color="auto" w:fill="auto"/>
            <w:noWrap/>
          </w:tcPr>
          <w:p w14:paraId="30549D46" w14:textId="24E6A319" w:rsidR="008B4DF8" w:rsidRPr="00C1603D" w:rsidRDefault="008B4DF8" w:rsidP="00AF55A2">
            <w:pPr>
              <w:pStyle w:val="72TabletextTablesTableFigureBoxstyles"/>
              <w:rPr>
                <w:lang w:eastAsia="en-GB"/>
              </w:rPr>
            </w:pPr>
            <w:r w:rsidRPr="00C1603D">
              <w:rPr>
                <w:lang w:eastAsia="en-GB"/>
              </w:rPr>
              <w:t>188 (84.3)</w:t>
            </w:r>
          </w:p>
        </w:tc>
        <w:tc>
          <w:tcPr>
            <w:tcW w:w="0" w:type="auto"/>
            <w:shd w:val="clear" w:color="auto" w:fill="auto"/>
            <w:noWrap/>
          </w:tcPr>
          <w:p w14:paraId="3922631E" w14:textId="3F0BB1F3" w:rsidR="008B4DF8" w:rsidRPr="00C1603D" w:rsidRDefault="008B4DF8" w:rsidP="00AF55A2">
            <w:pPr>
              <w:pStyle w:val="72TabletextTablesTableFigureBoxstyles"/>
              <w:rPr>
                <w:lang w:eastAsia="en-GB"/>
              </w:rPr>
            </w:pPr>
            <w:r w:rsidRPr="00C1603D">
              <w:rPr>
                <w:lang w:eastAsia="en-GB"/>
              </w:rPr>
              <w:t>196 (41.9)</w:t>
            </w:r>
          </w:p>
        </w:tc>
      </w:tr>
      <w:tr w:rsidR="008B4DF8" w:rsidRPr="00C1603D" w14:paraId="6141ECBA" w14:textId="77777777" w:rsidTr="003700E5">
        <w:trPr>
          <w:cantSplit/>
        </w:trPr>
        <w:tc>
          <w:tcPr>
            <w:tcW w:w="0" w:type="auto"/>
            <w:gridSpan w:val="4"/>
            <w:shd w:val="clear" w:color="auto" w:fill="auto"/>
            <w:noWrap/>
          </w:tcPr>
          <w:p w14:paraId="1DD3CBE6" w14:textId="77777777" w:rsidR="008B4DF8" w:rsidRPr="00C1603D" w:rsidRDefault="008B4DF8" w:rsidP="003700E5">
            <w:pPr>
              <w:pStyle w:val="711TablesubheadATablesTableFigureBoxstyles"/>
              <w:rPr>
                <w:lang w:eastAsia="en-GB"/>
              </w:rPr>
            </w:pPr>
            <w:r w:rsidRPr="00C1603D">
              <w:rPr>
                <w:lang w:eastAsia="en-GB"/>
              </w:rPr>
              <w:t>Deprivation score</w:t>
            </w:r>
          </w:p>
        </w:tc>
      </w:tr>
      <w:tr w:rsidR="008B4DF8" w:rsidRPr="00C1603D" w14:paraId="1710E71F" w14:textId="77777777" w:rsidTr="003700E5">
        <w:trPr>
          <w:cantSplit/>
        </w:trPr>
        <w:tc>
          <w:tcPr>
            <w:tcW w:w="0" w:type="auto"/>
            <w:shd w:val="clear" w:color="auto" w:fill="auto"/>
            <w:noWrap/>
          </w:tcPr>
          <w:p w14:paraId="392381EC" w14:textId="77777777" w:rsidR="008B4DF8" w:rsidRPr="00C1603D" w:rsidRDefault="008B4DF8" w:rsidP="003700E5">
            <w:pPr>
              <w:pStyle w:val="722TablebulletlistTablesTableFigureBoxstyles"/>
              <w:rPr>
                <w:lang w:eastAsia="en-GB"/>
              </w:rPr>
            </w:pPr>
            <w:r w:rsidRPr="00C1603D">
              <w:rPr>
                <w:lang w:eastAsia="en-GB"/>
              </w:rPr>
              <w:t>Mean (SD)</w:t>
            </w:r>
          </w:p>
        </w:tc>
        <w:tc>
          <w:tcPr>
            <w:tcW w:w="0" w:type="auto"/>
            <w:shd w:val="clear" w:color="auto" w:fill="auto"/>
            <w:noWrap/>
          </w:tcPr>
          <w:p w14:paraId="223C1939" w14:textId="77777777" w:rsidR="008B4DF8" w:rsidRPr="00C1603D" w:rsidRDefault="008B4DF8" w:rsidP="003700E5">
            <w:pPr>
              <w:pStyle w:val="72TabletextTablesTableFigureBoxstyles"/>
              <w:rPr>
                <w:lang w:eastAsia="en-GB"/>
              </w:rPr>
            </w:pPr>
            <w:r w:rsidRPr="00C1603D">
              <w:rPr>
                <w:lang w:eastAsia="en-GB"/>
              </w:rPr>
              <w:t>6.51 (2.50)</w:t>
            </w:r>
          </w:p>
        </w:tc>
        <w:tc>
          <w:tcPr>
            <w:tcW w:w="0" w:type="auto"/>
            <w:shd w:val="clear" w:color="auto" w:fill="auto"/>
            <w:noWrap/>
          </w:tcPr>
          <w:p w14:paraId="76A0550E" w14:textId="77777777" w:rsidR="008B4DF8" w:rsidRPr="00C1603D" w:rsidRDefault="008B4DF8" w:rsidP="003700E5">
            <w:pPr>
              <w:pStyle w:val="72TabletextTablesTableFigureBoxstyles"/>
              <w:rPr>
                <w:lang w:eastAsia="en-GB"/>
              </w:rPr>
            </w:pPr>
            <w:r w:rsidRPr="00C1603D">
              <w:rPr>
                <w:lang w:eastAsia="en-GB"/>
              </w:rPr>
              <w:t>6.77 (2.53)</w:t>
            </w:r>
          </w:p>
        </w:tc>
        <w:tc>
          <w:tcPr>
            <w:tcW w:w="0" w:type="auto"/>
            <w:shd w:val="clear" w:color="auto" w:fill="auto"/>
            <w:noWrap/>
          </w:tcPr>
          <w:p w14:paraId="7FEBE082" w14:textId="77777777" w:rsidR="008B4DF8" w:rsidRPr="00C1603D" w:rsidRDefault="008B4DF8" w:rsidP="003700E5">
            <w:pPr>
              <w:pStyle w:val="72TabletextTablesTableFigureBoxstyles"/>
              <w:rPr>
                <w:lang w:eastAsia="en-GB"/>
              </w:rPr>
            </w:pPr>
            <w:r w:rsidRPr="00C1603D">
              <w:rPr>
                <w:lang w:eastAsia="en-GB"/>
              </w:rPr>
              <w:t>6.52 (2.52)</w:t>
            </w:r>
          </w:p>
        </w:tc>
      </w:tr>
      <w:tr w:rsidR="008B4DF8" w:rsidRPr="00C1603D" w14:paraId="2D613245" w14:textId="77777777" w:rsidTr="003700E5">
        <w:trPr>
          <w:cantSplit/>
        </w:trPr>
        <w:tc>
          <w:tcPr>
            <w:tcW w:w="0" w:type="auto"/>
            <w:shd w:val="clear" w:color="auto" w:fill="auto"/>
            <w:noWrap/>
          </w:tcPr>
          <w:p w14:paraId="7E7F4888" w14:textId="77E747DE" w:rsidR="008B4DF8" w:rsidRPr="00C1603D" w:rsidRDefault="008B4DF8" w:rsidP="003700E5">
            <w:pPr>
              <w:pStyle w:val="722TablebulletlistTablesTableFigureBoxstyles"/>
              <w:rPr>
                <w:lang w:eastAsia="en-GB"/>
              </w:rPr>
            </w:pPr>
            <w:r w:rsidRPr="00C1603D">
              <w:rPr>
                <w:lang w:eastAsia="en-GB"/>
              </w:rPr>
              <w:t xml:space="preserve">Median </w:t>
            </w:r>
            <w:r w:rsidR="00AF55A2" w:rsidRPr="00C1603D">
              <w:rPr>
                <w:lang w:eastAsia="en-GB"/>
              </w:rPr>
              <w:t>(minimum, m</w:t>
            </w:r>
            <w:r w:rsidRPr="00C1603D">
              <w:rPr>
                <w:lang w:eastAsia="en-GB"/>
              </w:rPr>
              <w:t>ax</w:t>
            </w:r>
            <w:r w:rsidR="00AF55A2" w:rsidRPr="00C1603D">
              <w:rPr>
                <w:lang w:eastAsia="en-GB"/>
              </w:rPr>
              <w:t>imum)</w:t>
            </w:r>
          </w:p>
        </w:tc>
        <w:tc>
          <w:tcPr>
            <w:tcW w:w="0" w:type="auto"/>
            <w:shd w:val="clear" w:color="auto" w:fill="auto"/>
            <w:noWrap/>
          </w:tcPr>
          <w:p w14:paraId="740E730D" w14:textId="3438C569" w:rsidR="008B4DF8" w:rsidRPr="00C1603D" w:rsidRDefault="008B4DF8" w:rsidP="003700E5">
            <w:pPr>
              <w:pStyle w:val="72TabletextTablesTableFigureBoxstyles"/>
              <w:rPr>
                <w:lang w:eastAsia="en-GB"/>
              </w:rPr>
            </w:pPr>
            <w:r w:rsidRPr="00C1603D">
              <w:rPr>
                <w:lang w:eastAsia="en-GB"/>
              </w:rPr>
              <w:t xml:space="preserve">7.00 </w:t>
            </w:r>
            <w:r w:rsidR="00AF55A2" w:rsidRPr="00C1603D">
              <w:rPr>
                <w:lang w:eastAsia="en-GB"/>
              </w:rPr>
              <w:t>(</w:t>
            </w:r>
            <w:r w:rsidRPr="00C1603D">
              <w:rPr>
                <w:lang w:eastAsia="en-GB"/>
              </w:rPr>
              <w:t>1.00, 10.0</w:t>
            </w:r>
            <w:r w:rsidR="00AF55A2" w:rsidRPr="00C1603D">
              <w:rPr>
                <w:lang w:eastAsia="en-GB"/>
              </w:rPr>
              <w:t>)</w:t>
            </w:r>
          </w:p>
        </w:tc>
        <w:tc>
          <w:tcPr>
            <w:tcW w:w="0" w:type="auto"/>
            <w:shd w:val="clear" w:color="auto" w:fill="auto"/>
            <w:noWrap/>
          </w:tcPr>
          <w:p w14:paraId="6960BE6B" w14:textId="17BC22F6" w:rsidR="008B4DF8" w:rsidRPr="00C1603D" w:rsidRDefault="008B4DF8" w:rsidP="003700E5">
            <w:pPr>
              <w:pStyle w:val="72TabletextTablesTableFigureBoxstyles"/>
              <w:rPr>
                <w:lang w:eastAsia="en-GB"/>
              </w:rPr>
            </w:pPr>
            <w:r w:rsidRPr="00C1603D">
              <w:rPr>
                <w:lang w:eastAsia="en-GB"/>
              </w:rPr>
              <w:t xml:space="preserve">7.00 </w:t>
            </w:r>
            <w:r w:rsidR="00AF55A2" w:rsidRPr="00C1603D">
              <w:rPr>
                <w:lang w:eastAsia="en-GB"/>
              </w:rPr>
              <w:t>(</w:t>
            </w:r>
            <w:r w:rsidRPr="00C1603D">
              <w:rPr>
                <w:lang w:eastAsia="en-GB"/>
              </w:rPr>
              <w:t>1.00, 10.0</w:t>
            </w:r>
            <w:r w:rsidR="00AF55A2" w:rsidRPr="00C1603D">
              <w:rPr>
                <w:lang w:eastAsia="en-GB"/>
              </w:rPr>
              <w:t>)</w:t>
            </w:r>
          </w:p>
        </w:tc>
        <w:tc>
          <w:tcPr>
            <w:tcW w:w="0" w:type="auto"/>
            <w:shd w:val="clear" w:color="auto" w:fill="auto"/>
            <w:noWrap/>
          </w:tcPr>
          <w:p w14:paraId="3F760316" w14:textId="41D18A6E" w:rsidR="008B4DF8" w:rsidRPr="00C1603D" w:rsidRDefault="008B4DF8" w:rsidP="003700E5">
            <w:pPr>
              <w:pStyle w:val="72TabletextTablesTableFigureBoxstyles"/>
              <w:rPr>
                <w:lang w:eastAsia="en-GB"/>
              </w:rPr>
            </w:pPr>
            <w:r w:rsidRPr="00C1603D">
              <w:rPr>
                <w:lang w:eastAsia="en-GB"/>
              </w:rPr>
              <w:t xml:space="preserve">7.00 </w:t>
            </w:r>
            <w:r w:rsidR="00AF55A2" w:rsidRPr="00C1603D">
              <w:rPr>
                <w:lang w:eastAsia="en-GB"/>
              </w:rPr>
              <w:t>(</w:t>
            </w:r>
            <w:r w:rsidRPr="00C1603D">
              <w:rPr>
                <w:lang w:eastAsia="en-GB"/>
              </w:rPr>
              <w:t>1.00, 10.0</w:t>
            </w:r>
            <w:r w:rsidR="00AF55A2" w:rsidRPr="00C1603D">
              <w:rPr>
                <w:lang w:eastAsia="en-GB"/>
              </w:rPr>
              <w:t>)</w:t>
            </w:r>
          </w:p>
        </w:tc>
      </w:tr>
      <w:tr w:rsidR="008B4DF8" w:rsidRPr="00C1603D" w14:paraId="5680D889" w14:textId="77777777" w:rsidTr="003700E5">
        <w:trPr>
          <w:cantSplit/>
        </w:trPr>
        <w:tc>
          <w:tcPr>
            <w:tcW w:w="0" w:type="auto"/>
            <w:shd w:val="clear" w:color="auto" w:fill="auto"/>
            <w:noWrap/>
          </w:tcPr>
          <w:p w14:paraId="04D23B4A" w14:textId="345E7F5C" w:rsidR="008B4DF8" w:rsidRPr="00C1603D" w:rsidRDefault="008B4DF8" w:rsidP="00AF55A2">
            <w:pPr>
              <w:pStyle w:val="72TabletextTablesTableFigureBoxstyles"/>
              <w:rPr>
                <w:lang w:eastAsia="en-GB"/>
              </w:rPr>
            </w:pPr>
            <w:r w:rsidRPr="00C1603D">
              <w:rPr>
                <w:lang w:eastAsia="en-GB"/>
              </w:rPr>
              <w:t>Missing</w:t>
            </w:r>
            <w:r w:rsidR="00AF55A2" w:rsidRPr="00C1603D">
              <w:rPr>
                <w:lang w:eastAsia="en-GB"/>
              </w:rPr>
              <w:t xml:space="preserve">, </w:t>
            </w:r>
            <w:r w:rsidR="00AF55A2" w:rsidRPr="00C1603D">
              <w:rPr>
                <w:i/>
                <w:iCs/>
                <w:lang w:eastAsia="en-GB"/>
              </w:rPr>
              <w:t>n</w:t>
            </w:r>
            <w:r w:rsidR="00AF55A2" w:rsidRPr="00C1603D">
              <w:rPr>
                <w:lang w:eastAsia="en-GB"/>
              </w:rPr>
              <w:t xml:space="preserve"> (%)</w:t>
            </w:r>
          </w:p>
        </w:tc>
        <w:tc>
          <w:tcPr>
            <w:tcW w:w="0" w:type="auto"/>
            <w:shd w:val="clear" w:color="auto" w:fill="auto"/>
            <w:noWrap/>
          </w:tcPr>
          <w:p w14:paraId="10393E88" w14:textId="2848B674" w:rsidR="008B4DF8" w:rsidRPr="00C1603D" w:rsidRDefault="008B4DF8" w:rsidP="00AF55A2">
            <w:pPr>
              <w:pStyle w:val="72TabletextTablesTableFigureBoxstyles"/>
              <w:rPr>
                <w:lang w:eastAsia="en-GB"/>
              </w:rPr>
            </w:pPr>
            <w:r w:rsidRPr="00C1603D">
              <w:rPr>
                <w:lang w:eastAsia="en-GB"/>
              </w:rPr>
              <w:t>42 (17.2)</w:t>
            </w:r>
          </w:p>
        </w:tc>
        <w:tc>
          <w:tcPr>
            <w:tcW w:w="0" w:type="auto"/>
            <w:shd w:val="clear" w:color="auto" w:fill="auto"/>
            <w:noWrap/>
          </w:tcPr>
          <w:p w14:paraId="7F20A72B" w14:textId="088C454E" w:rsidR="008B4DF8" w:rsidRPr="00C1603D" w:rsidRDefault="008B4DF8" w:rsidP="00AF55A2">
            <w:pPr>
              <w:pStyle w:val="72TabletextTablesTableFigureBoxstyles"/>
              <w:rPr>
                <w:lang w:eastAsia="en-GB"/>
              </w:rPr>
            </w:pPr>
            <w:r w:rsidRPr="00C1603D">
              <w:rPr>
                <w:lang w:eastAsia="en-GB"/>
              </w:rPr>
              <w:t>197 (88.3)</w:t>
            </w:r>
          </w:p>
        </w:tc>
        <w:tc>
          <w:tcPr>
            <w:tcW w:w="0" w:type="auto"/>
            <w:shd w:val="clear" w:color="auto" w:fill="auto"/>
            <w:noWrap/>
          </w:tcPr>
          <w:p w14:paraId="22BA0C91" w14:textId="084B678E" w:rsidR="008B4DF8" w:rsidRPr="00C1603D" w:rsidRDefault="008B4DF8" w:rsidP="00AF55A2">
            <w:pPr>
              <w:pStyle w:val="72TabletextTablesTableFigureBoxstyles"/>
              <w:rPr>
                <w:lang w:eastAsia="en-GB"/>
              </w:rPr>
            </w:pPr>
            <w:r w:rsidRPr="00C1603D">
              <w:rPr>
                <w:lang w:eastAsia="en-GB"/>
              </w:rPr>
              <w:t>239 (51.1)</w:t>
            </w:r>
          </w:p>
        </w:tc>
      </w:tr>
      <w:tr w:rsidR="008B4DF8" w:rsidRPr="00C1603D" w14:paraId="211A7B81" w14:textId="77777777" w:rsidTr="003700E5">
        <w:trPr>
          <w:cantSplit/>
        </w:trPr>
        <w:tc>
          <w:tcPr>
            <w:tcW w:w="0" w:type="auto"/>
            <w:gridSpan w:val="4"/>
            <w:shd w:val="clear" w:color="auto" w:fill="auto"/>
            <w:noWrap/>
          </w:tcPr>
          <w:p w14:paraId="27FFF303" w14:textId="2EB97433" w:rsidR="008B4DF8" w:rsidRPr="00C1603D" w:rsidRDefault="008B4DF8" w:rsidP="003700E5">
            <w:pPr>
              <w:pStyle w:val="711TablesubheadATablesTableFigureBoxstyles"/>
              <w:rPr>
                <w:lang w:eastAsia="en-GB"/>
              </w:rPr>
            </w:pPr>
            <w:r w:rsidRPr="00C1603D">
              <w:rPr>
                <w:lang w:eastAsia="en-GB"/>
              </w:rPr>
              <w:t>Region</w:t>
            </w:r>
            <w:r w:rsidR="00AF55A2" w:rsidRPr="00C1603D">
              <w:rPr>
                <w:lang w:eastAsia="en-GB"/>
              </w:rPr>
              <w:t xml:space="preserve">, </w:t>
            </w:r>
            <w:r w:rsidR="00AF55A2" w:rsidRPr="00C1603D">
              <w:rPr>
                <w:i w:val="0"/>
                <w:iCs w:val="0"/>
                <w:lang w:eastAsia="en-GB"/>
              </w:rPr>
              <w:t>n</w:t>
            </w:r>
            <w:r w:rsidR="00AF55A2" w:rsidRPr="00C1603D">
              <w:rPr>
                <w:lang w:eastAsia="en-GB"/>
              </w:rPr>
              <w:t xml:space="preserve"> (%)</w:t>
            </w:r>
          </w:p>
        </w:tc>
      </w:tr>
      <w:tr w:rsidR="008B4DF8" w:rsidRPr="00C1603D" w14:paraId="4F247CD7" w14:textId="77777777" w:rsidTr="003700E5">
        <w:trPr>
          <w:cantSplit/>
        </w:trPr>
        <w:tc>
          <w:tcPr>
            <w:tcW w:w="0" w:type="auto"/>
            <w:shd w:val="clear" w:color="auto" w:fill="auto"/>
            <w:noWrap/>
          </w:tcPr>
          <w:p w14:paraId="1000CD4C" w14:textId="62F56860" w:rsidR="008B4DF8" w:rsidRPr="00C1603D" w:rsidRDefault="008B4DF8" w:rsidP="003700E5">
            <w:pPr>
              <w:pStyle w:val="722TablebulletlistTablesTableFigureBoxstyles"/>
              <w:rPr>
                <w:lang w:eastAsia="en-GB"/>
              </w:rPr>
            </w:pPr>
            <w:commentRangeStart w:id="715"/>
            <w:r w:rsidRPr="00C1603D">
              <w:rPr>
                <w:lang w:eastAsia="en-GB"/>
              </w:rPr>
              <w:lastRenderedPageBreak/>
              <w:t>East England</w:t>
            </w:r>
            <w:commentRangeEnd w:id="715"/>
            <w:r w:rsidR="0048510B" w:rsidRPr="00C1603D">
              <w:rPr>
                <w:rFonts w:ascii="Times New Roman" w:hAnsi="Times New Roman" w:cs="Times New Roman"/>
                <w:color w:val="auto"/>
                <w:lang w:val="en-US"/>
              </w:rPr>
              <w:commentReference w:id="715"/>
            </w:r>
          </w:p>
        </w:tc>
        <w:tc>
          <w:tcPr>
            <w:tcW w:w="0" w:type="auto"/>
            <w:shd w:val="clear" w:color="auto" w:fill="auto"/>
            <w:noWrap/>
          </w:tcPr>
          <w:p w14:paraId="09D09063" w14:textId="1BAB9721" w:rsidR="008B4DF8" w:rsidRPr="00C1603D" w:rsidRDefault="008B4DF8" w:rsidP="003700E5">
            <w:pPr>
              <w:pStyle w:val="72TabletextTablesTableFigureBoxstyles"/>
              <w:rPr>
                <w:lang w:eastAsia="en-GB"/>
              </w:rPr>
            </w:pPr>
            <w:r w:rsidRPr="00C1603D">
              <w:rPr>
                <w:lang w:eastAsia="en-GB"/>
              </w:rPr>
              <w:t>2 (0.8)</w:t>
            </w:r>
          </w:p>
        </w:tc>
        <w:tc>
          <w:tcPr>
            <w:tcW w:w="0" w:type="auto"/>
            <w:shd w:val="clear" w:color="auto" w:fill="auto"/>
            <w:noWrap/>
          </w:tcPr>
          <w:p w14:paraId="213FED26" w14:textId="20D19539" w:rsidR="008B4DF8" w:rsidRPr="00C1603D" w:rsidRDefault="008B4DF8" w:rsidP="003700E5">
            <w:pPr>
              <w:pStyle w:val="72TabletextTablesTableFigureBoxstyles"/>
              <w:rPr>
                <w:lang w:eastAsia="en-GB"/>
              </w:rPr>
            </w:pPr>
            <w:r w:rsidRPr="00C1603D">
              <w:rPr>
                <w:lang w:eastAsia="en-GB"/>
              </w:rPr>
              <w:t>0 (0)</w:t>
            </w:r>
          </w:p>
        </w:tc>
        <w:tc>
          <w:tcPr>
            <w:tcW w:w="0" w:type="auto"/>
            <w:shd w:val="clear" w:color="auto" w:fill="auto"/>
            <w:noWrap/>
          </w:tcPr>
          <w:p w14:paraId="2C7993B6" w14:textId="23566315" w:rsidR="008B4DF8" w:rsidRPr="00C1603D" w:rsidRDefault="008B4DF8" w:rsidP="003700E5">
            <w:pPr>
              <w:pStyle w:val="72TabletextTablesTableFigureBoxstyles"/>
              <w:rPr>
                <w:lang w:eastAsia="en-GB"/>
              </w:rPr>
            </w:pPr>
            <w:r w:rsidRPr="00C1603D">
              <w:rPr>
                <w:lang w:eastAsia="en-GB"/>
              </w:rPr>
              <w:t>2 (0.4)</w:t>
            </w:r>
          </w:p>
        </w:tc>
      </w:tr>
      <w:tr w:rsidR="008B4DF8" w:rsidRPr="00C1603D" w14:paraId="36E18974" w14:textId="77777777" w:rsidTr="003700E5">
        <w:trPr>
          <w:cantSplit/>
        </w:trPr>
        <w:tc>
          <w:tcPr>
            <w:tcW w:w="0" w:type="auto"/>
            <w:shd w:val="clear" w:color="auto" w:fill="auto"/>
            <w:noWrap/>
          </w:tcPr>
          <w:p w14:paraId="45D62822" w14:textId="77777777" w:rsidR="008B4DF8" w:rsidRPr="00C1603D" w:rsidRDefault="008B4DF8" w:rsidP="003700E5">
            <w:pPr>
              <w:pStyle w:val="722TablebulletlistTablesTableFigureBoxstyles"/>
              <w:rPr>
                <w:lang w:eastAsia="en-GB"/>
              </w:rPr>
            </w:pPr>
            <w:r w:rsidRPr="00C1603D">
              <w:rPr>
                <w:lang w:eastAsia="en-GB"/>
              </w:rPr>
              <w:t>East Midlands</w:t>
            </w:r>
          </w:p>
        </w:tc>
        <w:tc>
          <w:tcPr>
            <w:tcW w:w="0" w:type="auto"/>
            <w:shd w:val="clear" w:color="auto" w:fill="auto"/>
            <w:noWrap/>
          </w:tcPr>
          <w:p w14:paraId="43CE8CFF" w14:textId="4423D905" w:rsidR="008B4DF8" w:rsidRPr="00C1603D" w:rsidRDefault="008B4DF8" w:rsidP="003700E5">
            <w:pPr>
              <w:pStyle w:val="72TabletextTablesTableFigureBoxstyles"/>
              <w:rPr>
                <w:lang w:eastAsia="en-GB"/>
              </w:rPr>
            </w:pPr>
            <w:r w:rsidRPr="00C1603D">
              <w:rPr>
                <w:lang w:eastAsia="en-GB"/>
              </w:rPr>
              <w:t>14 (5.7)</w:t>
            </w:r>
          </w:p>
        </w:tc>
        <w:tc>
          <w:tcPr>
            <w:tcW w:w="0" w:type="auto"/>
            <w:shd w:val="clear" w:color="auto" w:fill="auto"/>
            <w:noWrap/>
          </w:tcPr>
          <w:p w14:paraId="6603FB03" w14:textId="2E497E18" w:rsidR="008B4DF8" w:rsidRPr="00C1603D" w:rsidRDefault="008B4DF8" w:rsidP="003700E5">
            <w:pPr>
              <w:pStyle w:val="72TabletextTablesTableFigureBoxstyles"/>
              <w:rPr>
                <w:lang w:eastAsia="en-GB"/>
              </w:rPr>
            </w:pPr>
            <w:r w:rsidRPr="00C1603D">
              <w:rPr>
                <w:lang w:eastAsia="en-GB"/>
              </w:rPr>
              <w:t>2 (0.9)</w:t>
            </w:r>
          </w:p>
        </w:tc>
        <w:tc>
          <w:tcPr>
            <w:tcW w:w="0" w:type="auto"/>
            <w:shd w:val="clear" w:color="auto" w:fill="auto"/>
            <w:noWrap/>
          </w:tcPr>
          <w:p w14:paraId="41C17CE7" w14:textId="54771A10" w:rsidR="008B4DF8" w:rsidRPr="00C1603D" w:rsidRDefault="008B4DF8" w:rsidP="003700E5">
            <w:pPr>
              <w:pStyle w:val="72TabletextTablesTableFigureBoxstyles"/>
              <w:rPr>
                <w:lang w:eastAsia="en-GB"/>
              </w:rPr>
            </w:pPr>
            <w:r w:rsidRPr="00C1603D">
              <w:rPr>
                <w:lang w:eastAsia="en-GB"/>
              </w:rPr>
              <w:t>16 (3.4)</w:t>
            </w:r>
          </w:p>
        </w:tc>
      </w:tr>
      <w:tr w:rsidR="008B4DF8" w:rsidRPr="00C1603D" w14:paraId="171D4480" w14:textId="77777777" w:rsidTr="003700E5">
        <w:trPr>
          <w:cantSplit/>
        </w:trPr>
        <w:tc>
          <w:tcPr>
            <w:tcW w:w="0" w:type="auto"/>
            <w:shd w:val="clear" w:color="auto" w:fill="auto"/>
            <w:noWrap/>
          </w:tcPr>
          <w:p w14:paraId="0562F153" w14:textId="77777777" w:rsidR="008B4DF8" w:rsidRPr="00C1603D" w:rsidRDefault="008B4DF8" w:rsidP="003700E5">
            <w:pPr>
              <w:pStyle w:val="722TablebulletlistTablesTableFigureBoxstyles"/>
              <w:rPr>
                <w:lang w:eastAsia="en-GB"/>
              </w:rPr>
            </w:pPr>
            <w:r w:rsidRPr="00C1603D">
              <w:rPr>
                <w:lang w:eastAsia="en-GB"/>
              </w:rPr>
              <w:t>East of England</w:t>
            </w:r>
          </w:p>
        </w:tc>
        <w:tc>
          <w:tcPr>
            <w:tcW w:w="0" w:type="auto"/>
            <w:shd w:val="clear" w:color="auto" w:fill="auto"/>
            <w:noWrap/>
          </w:tcPr>
          <w:p w14:paraId="3FD0A9E3" w14:textId="782FAC41" w:rsidR="008B4DF8" w:rsidRPr="00C1603D" w:rsidRDefault="008B4DF8" w:rsidP="003700E5">
            <w:pPr>
              <w:pStyle w:val="72TabletextTablesTableFigureBoxstyles"/>
              <w:rPr>
                <w:lang w:eastAsia="en-GB"/>
              </w:rPr>
            </w:pPr>
            <w:r w:rsidRPr="00C1603D">
              <w:rPr>
                <w:lang w:eastAsia="en-GB"/>
              </w:rPr>
              <w:t>19 (7.8)</w:t>
            </w:r>
          </w:p>
        </w:tc>
        <w:tc>
          <w:tcPr>
            <w:tcW w:w="0" w:type="auto"/>
            <w:shd w:val="clear" w:color="auto" w:fill="auto"/>
            <w:noWrap/>
          </w:tcPr>
          <w:p w14:paraId="43122DCD" w14:textId="57F02EA6" w:rsidR="008B4DF8" w:rsidRPr="00C1603D" w:rsidRDefault="008B4DF8" w:rsidP="003700E5">
            <w:pPr>
              <w:pStyle w:val="72TabletextTablesTableFigureBoxstyles"/>
              <w:rPr>
                <w:lang w:eastAsia="en-GB"/>
              </w:rPr>
            </w:pPr>
            <w:r w:rsidRPr="00C1603D">
              <w:rPr>
                <w:lang w:eastAsia="en-GB"/>
              </w:rPr>
              <w:t>4 (1.8)</w:t>
            </w:r>
          </w:p>
        </w:tc>
        <w:tc>
          <w:tcPr>
            <w:tcW w:w="0" w:type="auto"/>
            <w:shd w:val="clear" w:color="auto" w:fill="auto"/>
            <w:noWrap/>
          </w:tcPr>
          <w:p w14:paraId="2B73DE20" w14:textId="343A8C05" w:rsidR="008B4DF8" w:rsidRPr="00C1603D" w:rsidRDefault="008B4DF8" w:rsidP="003700E5">
            <w:pPr>
              <w:pStyle w:val="72TabletextTablesTableFigureBoxstyles"/>
              <w:rPr>
                <w:lang w:eastAsia="en-GB"/>
              </w:rPr>
            </w:pPr>
            <w:r w:rsidRPr="00C1603D">
              <w:rPr>
                <w:lang w:eastAsia="en-GB"/>
              </w:rPr>
              <w:t>23 (4.9)</w:t>
            </w:r>
          </w:p>
        </w:tc>
      </w:tr>
      <w:tr w:rsidR="008B4DF8" w:rsidRPr="00C1603D" w14:paraId="7BA1E7DF" w14:textId="77777777" w:rsidTr="003700E5">
        <w:trPr>
          <w:cantSplit/>
        </w:trPr>
        <w:tc>
          <w:tcPr>
            <w:tcW w:w="0" w:type="auto"/>
            <w:shd w:val="clear" w:color="auto" w:fill="auto"/>
            <w:noWrap/>
          </w:tcPr>
          <w:p w14:paraId="58D991EE" w14:textId="77777777" w:rsidR="008B4DF8" w:rsidRPr="00C1603D" w:rsidRDefault="008B4DF8" w:rsidP="003700E5">
            <w:pPr>
              <w:pStyle w:val="722TablebulletlistTablesTableFigureBoxstyles"/>
              <w:rPr>
                <w:lang w:eastAsia="en-GB"/>
              </w:rPr>
            </w:pPr>
            <w:r w:rsidRPr="00C1603D">
              <w:rPr>
                <w:lang w:eastAsia="en-GB"/>
              </w:rPr>
              <w:t>Greater London</w:t>
            </w:r>
          </w:p>
        </w:tc>
        <w:tc>
          <w:tcPr>
            <w:tcW w:w="0" w:type="auto"/>
            <w:shd w:val="clear" w:color="auto" w:fill="auto"/>
            <w:noWrap/>
          </w:tcPr>
          <w:p w14:paraId="2DC0307A" w14:textId="451A5D01" w:rsidR="008B4DF8" w:rsidRPr="00C1603D" w:rsidRDefault="008B4DF8" w:rsidP="003700E5">
            <w:pPr>
              <w:pStyle w:val="72TabletextTablesTableFigureBoxstyles"/>
              <w:rPr>
                <w:lang w:eastAsia="en-GB"/>
              </w:rPr>
            </w:pPr>
            <w:r w:rsidRPr="00C1603D">
              <w:rPr>
                <w:lang w:eastAsia="en-GB"/>
              </w:rPr>
              <w:t>11 (4.5)</w:t>
            </w:r>
          </w:p>
        </w:tc>
        <w:tc>
          <w:tcPr>
            <w:tcW w:w="0" w:type="auto"/>
            <w:shd w:val="clear" w:color="auto" w:fill="auto"/>
            <w:noWrap/>
          </w:tcPr>
          <w:p w14:paraId="41108A11" w14:textId="1F6ECA41"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328D8E89" w14:textId="7851DFC0" w:rsidR="008B4DF8" w:rsidRPr="00C1603D" w:rsidRDefault="008B4DF8" w:rsidP="003700E5">
            <w:pPr>
              <w:pStyle w:val="72TabletextTablesTableFigureBoxstyles"/>
              <w:rPr>
                <w:lang w:eastAsia="en-GB"/>
              </w:rPr>
            </w:pPr>
            <w:r w:rsidRPr="00C1603D">
              <w:rPr>
                <w:lang w:eastAsia="en-GB"/>
              </w:rPr>
              <w:t>12 (2.6)</w:t>
            </w:r>
          </w:p>
        </w:tc>
      </w:tr>
      <w:tr w:rsidR="008B4DF8" w:rsidRPr="00C1603D" w14:paraId="4849DE26" w14:textId="77777777" w:rsidTr="003700E5">
        <w:trPr>
          <w:cantSplit/>
        </w:trPr>
        <w:tc>
          <w:tcPr>
            <w:tcW w:w="0" w:type="auto"/>
            <w:shd w:val="clear" w:color="auto" w:fill="auto"/>
            <w:noWrap/>
          </w:tcPr>
          <w:p w14:paraId="0D494881" w14:textId="77777777" w:rsidR="008B4DF8" w:rsidRPr="00C1603D" w:rsidRDefault="008B4DF8" w:rsidP="003700E5">
            <w:pPr>
              <w:pStyle w:val="722TablebulletlistTablesTableFigureBoxstyles"/>
              <w:rPr>
                <w:lang w:eastAsia="en-GB"/>
              </w:rPr>
            </w:pPr>
            <w:r w:rsidRPr="00C1603D">
              <w:rPr>
                <w:lang w:eastAsia="en-GB"/>
              </w:rPr>
              <w:t>North East</w:t>
            </w:r>
          </w:p>
        </w:tc>
        <w:tc>
          <w:tcPr>
            <w:tcW w:w="0" w:type="auto"/>
            <w:shd w:val="clear" w:color="auto" w:fill="auto"/>
            <w:noWrap/>
          </w:tcPr>
          <w:p w14:paraId="4F6F4551" w14:textId="7801B52B" w:rsidR="008B4DF8" w:rsidRPr="00C1603D" w:rsidRDefault="008B4DF8" w:rsidP="003700E5">
            <w:pPr>
              <w:pStyle w:val="72TabletextTablesTableFigureBoxstyles"/>
              <w:rPr>
                <w:lang w:eastAsia="en-GB"/>
              </w:rPr>
            </w:pPr>
            <w:r w:rsidRPr="00C1603D">
              <w:rPr>
                <w:lang w:eastAsia="en-GB"/>
              </w:rPr>
              <w:t>16 (6.6)</w:t>
            </w:r>
          </w:p>
        </w:tc>
        <w:tc>
          <w:tcPr>
            <w:tcW w:w="0" w:type="auto"/>
            <w:shd w:val="clear" w:color="auto" w:fill="auto"/>
            <w:noWrap/>
          </w:tcPr>
          <w:p w14:paraId="7AC32710" w14:textId="1F2CC10F"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2BBE8D92" w14:textId="12F729C7" w:rsidR="008B4DF8" w:rsidRPr="00C1603D" w:rsidRDefault="008B4DF8" w:rsidP="003700E5">
            <w:pPr>
              <w:pStyle w:val="72TabletextTablesTableFigureBoxstyles"/>
              <w:rPr>
                <w:lang w:eastAsia="en-GB"/>
              </w:rPr>
            </w:pPr>
            <w:r w:rsidRPr="00C1603D">
              <w:rPr>
                <w:lang w:eastAsia="en-GB"/>
              </w:rPr>
              <w:t>17 (3.6)</w:t>
            </w:r>
          </w:p>
        </w:tc>
      </w:tr>
      <w:tr w:rsidR="008B4DF8" w:rsidRPr="00C1603D" w14:paraId="79022D6F" w14:textId="77777777" w:rsidTr="003700E5">
        <w:trPr>
          <w:cantSplit/>
        </w:trPr>
        <w:tc>
          <w:tcPr>
            <w:tcW w:w="0" w:type="auto"/>
            <w:shd w:val="clear" w:color="auto" w:fill="auto"/>
            <w:noWrap/>
          </w:tcPr>
          <w:p w14:paraId="54DC35EA" w14:textId="77777777" w:rsidR="008B4DF8" w:rsidRPr="00C1603D" w:rsidRDefault="008B4DF8" w:rsidP="003700E5">
            <w:pPr>
              <w:pStyle w:val="722TablebulletlistTablesTableFigureBoxstyles"/>
              <w:rPr>
                <w:lang w:eastAsia="en-GB"/>
              </w:rPr>
            </w:pPr>
            <w:r w:rsidRPr="00C1603D">
              <w:rPr>
                <w:lang w:eastAsia="en-GB"/>
              </w:rPr>
              <w:t>North West</w:t>
            </w:r>
          </w:p>
        </w:tc>
        <w:tc>
          <w:tcPr>
            <w:tcW w:w="0" w:type="auto"/>
            <w:shd w:val="clear" w:color="auto" w:fill="auto"/>
            <w:noWrap/>
          </w:tcPr>
          <w:p w14:paraId="1F0D313E" w14:textId="2F0A7C27" w:rsidR="008B4DF8" w:rsidRPr="00C1603D" w:rsidRDefault="008B4DF8" w:rsidP="003700E5">
            <w:pPr>
              <w:pStyle w:val="72TabletextTablesTableFigureBoxstyles"/>
              <w:rPr>
                <w:lang w:eastAsia="en-GB"/>
              </w:rPr>
            </w:pPr>
            <w:r w:rsidRPr="00C1603D">
              <w:rPr>
                <w:lang w:eastAsia="en-GB"/>
              </w:rPr>
              <w:t>20 (8.2)</w:t>
            </w:r>
          </w:p>
        </w:tc>
        <w:tc>
          <w:tcPr>
            <w:tcW w:w="0" w:type="auto"/>
            <w:shd w:val="clear" w:color="auto" w:fill="auto"/>
            <w:noWrap/>
          </w:tcPr>
          <w:p w14:paraId="5826EC31" w14:textId="4049BB3C" w:rsidR="008B4DF8" w:rsidRPr="00C1603D" w:rsidRDefault="008B4DF8" w:rsidP="003700E5">
            <w:pPr>
              <w:pStyle w:val="72TabletextTablesTableFigureBoxstyles"/>
              <w:rPr>
                <w:lang w:eastAsia="en-GB"/>
              </w:rPr>
            </w:pPr>
            <w:r w:rsidRPr="00C1603D">
              <w:rPr>
                <w:lang w:eastAsia="en-GB"/>
              </w:rPr>
              <w:t>0 (0)</w:t>
            </w:r>
          </w:p>
        </w:tc>
        <w:tc>
          <w:tcPr>
            <w:tcW w:w="0" w:type="auto"/>
            <w:shd w:val="clear" w:color="auto" w:fill="auto"/>
            <w:noWrap/>
          </w:tcPr>
          <w:p w14:paraId="683FF761" w14:textId="67A0C92E" w:rsidR="008B4DF8" w:rsidRPr="00C1603D" w:rsidRDefault="008B4DF8" w:rsidP="003700E5">
            <w:pPr>
              <w:pStyle w:val="72TabletextTablesTableFigureBoxstyles"/>
              <w:rPr>
                <w:lang w:eastAsia="en-GB"/>
              </w:rPr>
            </w:pPr>
            <w:r w:rsidRPr="00C1603D">
              <w:rPr>
                <w:lang w:eastAsia="en-GB"/>
              </w:rPr>
              <w:t>20 (4.3)</w:t>
            </w:r>
          </w:p>
        </w:tc>
      </w:tr>
      <w:tr w:rsidR="008B4DF8" w:rsidRPr="00C1603D" w14:paraId="7530618A" w14:textId="77777777" w:rsidTr="003700E5">
        <w:trPr>
          <w:cantSplit/>
        </w:trPr>
        <w:tc>
          <w:tcPr>
            <w:tcW w:w="0" w:type="auto"/>
            <w:shd w:val="clear" w:color="auto" w:fill="auto"/>
            <w:noWrap/>
          </w:tcPr>
          <w:p w14:paraId="6395FC6C" w14:textId="77777777" w:rsidR="008B4DF8" w:rsidRPr="00C1603D" w:rsidRDefault="008B4DF8" w:rsidP="003700E5">
            <w:pPr>
              <w:pStyle w:val="722TablebulletlistTablesTableFigureBoxstyles"/>
              <w:rPr>
                <w:lang w:eastAsia="en-GB"/>
              </w:rPr>
            </w:pPr>
            <w:r w:rsidRPr="00C1603D">
              <w:rPr>
                <w:lang w:eastAsia="en-GB"/>
              </w:rPr>
              <w:t>Northern Ireland</w:t>
            </w:r>
          </w:p>
        </w:tc>
        <w:tc>
          <w:tcPr>
            <w:tcW w:w="0" w:type="auto"/>
            <w:shd w:val="clear" w:color="auto" w:fill="auto"/>
            <w:noWrap/>
          </w:tcPr>
          <w:p w14:paraId="0C01BA3E" w14:textId="1E52E87E" w:rsidR="008B4DF8" w:rsidRPr="00C1603D" w:rsidRDefault="008B4DF8" w:rsidP="003700E5">
            <w:pPr>
              <w:pStyle w:val="72TabletextTablesTableFigureBoxstyles"/>
              <w:rPr>
                <w:lang w:eastAsia="en-GB"/>
              </w:rPr>
            </w:pPr>
            <w:r w:rsidRPr="00C1603D">
              <w:rPr>
                <w:lang w:eastAsia="en-GB"/>
              </w:rPr>
              <w:t>4 (1.6)</w:t>
            </w:r>
          </w:p>
        </w:tc>
        <w:tc>
          <w:tcPr>
            <w:tcW w:w="0" w:type="auto"/>
            <w:shd w:val="clear" w:color="auto" w:fill="auto"/>
            <w:noWrap/>
          </w:tcPr>
          <w:p w14:paraId="39528B6E" w14:textId="6DADEA22"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2EBBC990" w14:textId="43FC1BAE" w:rsidR="008B4DF8" w:rsidRPr="00C1603D" w:rsidRDefault="008B4DF8" w:rsidP="003700E5">
            <w:pPr>
              <w:pStyle w:val="72TabletextTablesTableFigureBoxstyles"/>
              <w:rPr>
                <w:lang w:eastAsia="en-GB"/>
              </w:rPr>
            </w:pPr>
            <w:r w:rsidRPr="00C1603D">
              <w:rPr>
                <w:lang w:eastAsia="en-GB"/>
              </w:rPr>
              <w:t>5 (1.1)</w:t>
            </w:r>
          </w:p>
        </w:tc>
      </w:tr>
      <w:tr w:rsidR="008B4DF8" w:rsidRPr="00C1603D" w14:paraId="28B6194D" w14:textId="77777777" w:rsidTr="003700E5">
        <w:trPr>
          <w:cantSplit/>
        </w:trPr>
        <w:tc>
          <w:tcPr>
            <w:tcW w:w="0" w:type="auto"/>
            <w:shd w:val="clear" w:color="auto" w:fill="auto"/>
            <w:noWrap/>
          </w:tcPr>
          <w:p w14:paraId="5C1AEF3B" w14:textId="77777777" w:rsidR="008B4DF8" w:rsidRPr="00C1603D" w:rsidRDefault="008B4DF8" w:rsidP="003700E5">
            <w:pPr>
              <w:pStyle w:val="722TablebulletlistTablesTableFigureBoxstyles"/>
              <w:rPr>
                <w:lang w:eastAsia="en-GB"/>
              </w:rPr>
            </w:pPr>
            <w:r w:rsidRPr="00C1603D">
              <w:rPr>
                <w:lang w:eastAsia="en-GB"/>
              </w:rPr>
              <w:t>Scotland</w:t>
            </w:r>
          </w:p>
        </w:tc>
        <w:tc>
          <w:tcPr>
            <w:tcW w:w="0" w:type="auto"/>
            <w:shd w:val="clear" w:color="auto" w:fill="auto"/>
            <w:noWrap/>
          </w:tcPr>
          <w:p w14:paraId="10588D44" w14:textId="39BEA978" w:rsidR="008B4DF8" w:rsidRPr="00C1603D" w:rsidRDefault="008B4DF8" w:rsidP="003700E5">
            <w:pPr>
              <w:pStyle w:val="72TabletextTablesTableFigureBoxstyles"/>
              <w:rPr>
                <w:lang w:eastAsia="en-GB"/>
              </w:rPr>
            </w:pPr>
            <w:r w:rsidRPr="00C1603D">
              <w:rPr>
                <w:lang w:eastAsia="en-GB"/>
              </w:rPr>
              <w:t>14 (5.7)</w:t>
            </w:r>
          </w:p>
        </w:tc>
        <w:tc>
          <w:tcPr>
            <w:tcW w:w="0" w:type="auto"/>
            <w:shd w:val="clear" w:color="auto" w:fill="auto"/>
            <w:noWrap/>
          </w:tcPr>
          <w:p w14:paraId="30303395" w14:textId="62783077"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4437B8B7" w14:textId="37E83732" w:rsidR="008B4DF8" w:rsidRPr="00C1603D" w:rsidRDefault="008B4DF8" w:rsidP="003700E5">
            <w:pPr>
              <w:pStyle w:val="72TabletextTablesTableFigureBoxstyles"/>
              <w:rPr>
                <w:lang w:eastAsia="en-GB"/>
              </w:rPr>
            </w:pPr>
            <w:r w:rsidRPr="00C1603D">
              <w:rPr>
                <w:lang w:eastAsia="en-GB"/>
              </w:rPr>
              <w:t>15 (3.2)</w:t>
            </w:r>
          </w:p>
        </w:tc>
      </w:tr>
      <w:tr w:rsidR="008B4DF8" w:rsidRPr="00C1603D" w14:paraId="23BF8FF8" w14:textId="77777777" w:rsidTr="003700E5">
        <w:trPr>
          <w:cantSplit/>
        </w:trPr>
        <w:tc>
          <w:tcPr>
            <w:tcW w:w="0" w:type="auto"/>
            <w:shd w:val="clear" w:color="auto" w:fill="auto"/>
            <w:noWrap/>
          </w:tcPr>
          <w:p w14:paraId="6CF56A20" w14:textId="77777777" w:rsidR="008B4DF8" w:rsidRPr="00C1603D" w:rsidRDefault="008B4DF8" w:rsidP="003700E5">
            <w:pPr>
              <w:pStyle w:val="722TablebulletlistTablesTableFigureBoxstyles"/>
              <w:rPr>
                <w:lang w:eastAsia="en-GB"/>
              </w:rPr>
            </w:pPr>
            <w:r w:rsidRPr="00C1603D">
              <w:rPr>
                <w:lang w:eastAsia="en-GB"/>
              </w:rPr>
              <w:t>South East</w:t>
            </w:r>
          </w:p>
        </w:tc>
        <w:tc>
          <w:tcPr>
            <w:tcW w:w="0" w:type="auto"/>
            <w:shd w:val="clear" w:color="auto" w:fill="auto"/>
            <w:noWrap/>
          </w:tcPr>
          <w:p w14:paraId="1DF52E96" w14:textId="629A5D91" w:rsidR="008B4DF8" w:rsidRPr="00C1603D" w:rsidRDefault="008B4DF8" w:rsidP="003700E5">
            <w:pPr>
              <w:pStyle w:val="72TabletextTablesTableFigureBoxstyles"/>
              <w:rPr>
                <w:lang w:eastAsia="en-GB"/>
              </w:rPr>
            </w:pPr>
            <w:r w:rsidRPr="00C1603D">
              <w:rPr>
                <w:lang w:eastAsia="en-GB"/>
              </w:rPr>
              <w:t>28 (11.5)</w:t>
            </w:r>
          </w:p>
        </w:tc>
        <w:tc>
          <w:tcPr>
            <w:tcW w:w="0" w:type="auto"/>
            <w:shd w:val="clear" w:color="auto" w:fill="auto"/>
            <w:noWrap/>
          </w:tcPr>
          <w:p w14:paraId="6208E5C4" w14:textId="57046CCD" w:rsidR="008B4DF8" w:rsidRPr="00C1603D" w:rsidRDefault="008B4DF8" w:rsidP="003700E5">
            <w:pPr>
              <w:pStyle w:val="72TabletextTablesTableFigureBoxstyles"/>
              <w:rPr>
                <w:lang w:eastAsia="en-GB"/>
              </w:rPr>
            </w:pPr>
            <w:r w:rsidRPr="00C1603D">
              <w:rPr>
                <w:lang w:eastAsia="en-GB"/>
              </w:rPr>
              <w:t>5 (2.2)</w:t>
            </w:r>
          </w:p>
        </w:tc>
        <w:tc>
          <w:tcPr>
            <w:tcW w:w="0" w:type="auto"/>
            <w:shd w:val="clear" w:color="auto" w:fill="auto"/>
            <w:noWrap/>
          </w:tcPr>
          <w:p w14:paraId="0A636FAA" w14:textId="5FCEC83E" w:rsidR="008B4DF8" w:rsidRPr="00C1603D" w:rsidRDefault="008B4DF8" w:rsidP="003700E5">
            <w:pPr>
              <w:pStyle w:val="72TabletextTablesTableFigureBoxstyles"/>
              <w:rPr>
                <w:lang w:eastAsia="en-GB"/>
              </w:rPr>
            </w:pPr>
            <w:r w:rsidRPr="00C1603D">
              <w:rPr>
                <w:lang w:eastAsia="en-GB"/>
              </w:rPr>
              <w:t>33 (7.1)</w:t>
            </w:r>
          </w:p>
        </w:tc>
      </w:tr>
      <w:tr w:rsidR="008B4DF8" w:rsidRPr="00C1603D" w14:paraId="607C9EE7" w14:textId="77777777" w:rsidTr="003700E5">
        <w:trPr>
          <w:cantSplit/>
        </w:trPr>
        <w:tc>
          <w:tcPr>
            <w:tcW w:w="0" w:type="auto"/>
            <w:shd w:val="clear" w:color="auto" w:fill="auto"/>
            <w:noWrap/>
          </w:tcPr>
          <w:p w14:paraId="0702F450" w14:textId="77777777" w:rsidR="008B4DF8" w:rsidRPr="00C1603D" w:rsidRDefault="008B4DF8" w:rsidP="003700E5">
            <w:pPr>
              <w:pStyle w:val="722TablebulletlistTablesTableFigureBoxstyles"/>
              <w:rPr>
                <w:lang w:eastAsia="en-GB"/>
              </w:rPr>
            </w:pPr>
            <w:r w:rsidRPr="00C1603D">
              <w:rPr>
                <w:lang w:eastAsia="en-GB"/>
              </w:rPr>
              <w:t>South West</w:t>
            </w:r>
          </w:p>
        </w:tc>
        <w:tc>
          <w:tcPr>
            <w:tcW w:w="0" w:type="auto"/>
            <w:shd w:val="clear" w:color="auto" w:fill="auto"/>
            <w:noWrap/>
          </w:tcPr>
          <w:p w14:paraId="17636506" w14:textId="1AE4CF36" w:rsidR="008B4DF8" w:rsidRPr="00C1603D" w:rsidRDefault="008B4DF8" w:rsidP="003700E5">
            <w:pPr>
              <w:pStyle w:val="72TabletextTablesTableFigureBoxstyles"/>
              <w:rPr>
                <w:lang w:eastAsia="en-GB"/>
              </w:rPr>
            </w:pPr>
            <w:r w:rsidRPr="00C1603D">
              <w:rPr>
                <w:lang w:eastAsia="en-GB"/>
              </w:rPr>
              <w:t>80 (32.8)</w:t>
            </w:r>
          </w:p>
        </w:tc>
        <w:tc>
          <w:tcPr>
            <w:tcW w:w="0" w:type="auto"/>
            <w:shd w:val="clear" w:color="auto" w:fill="auto"/>
            <w:noWrap/>
          </w:tcPr>
          <w:p w14:paraId="5B27675A" w14:textId="56EE188B" w:rsidR="008B4DF8" w:rsidRPr="00C1603D" w:rsidRDefault="008B4DF8" w:rsidP="003700E5">
            <w:pPr>
              <w:pStyle w:val="72TabletextTablesTableFigureBoxstyles"/>
              <w:rPr>
                <w:lang w:eastAsia="en-GB"/>
              </w:rPr>
            </w:pPr>
            <w:r w:rsidRPr="00C1603D">
              <w:rPr>
                <w:lang w:eastAsia="en-GB"/>
              </w:rPr>
              <w:t>17 (7.6)</w:t>
            </w:r>
          </w:p>
        </w:tc>
        <w:tc>
          <w:tcPr>
            <w:tcW w:w="0" w:type="auto"/>
            <w:shd w:val="clear" w:color="auto" w:fill="auto"/>
            <w:noWrap/>
          </w:tcPr>
          <w:p w14:paraId="11B4CF2D" w14:textId="073062BE" w:rsidR="008B4DF8" w:rsidRPr="00C1603D" w:rsidRDefault="008B4DF8" w:rsidP="003700E5">
            <w:pPr>
              <w:pStyle w:val="72TabletextTablesTableFigureBoxstyles"/>
              <w:rPr>
                <w:lang w:eastAsia="en-GB"/>
              </w:rPr>
            </w:pPr>
            <w:r w:rsidRPr="00C1603D">
              <w:rPr>
                <w:lang w:eastAsia="en-GB"/>
              </w:rPr>
              <w:t>98 (20.9)</w:t>
            </w:r>
          </w:p>
        </w:tc>
      </w:tr>
      <w:tr w:rsidR="008B4DF8" w:rsidRPr="00C1603D" w14:paraId="7CA6DABB" w14:textId="77777777" w:rsidTr="003700E5">
        <w:trPr>
          <w:cantSplit/>
        </w:trPr>
        <w:tc>
          <w:tcPr>
            <w:tcW w:w="0" w:type="auto"/>
            <w:shd w:val="clear" w:color="auto" w:fill="auto"/>
            <w:noWrap/>
          </w:tcPr>
          <w:p w14:paraId="27E8EE8B" w14:textId="77777777" w:rsidR="008B4DF8" w:rsidRPr="00C1603D" w:rsidRDefault="008B4DF8" w:rsidP="003700E5">
            <w:pPr>
              <w:pStyle w:val="722TablebulletlistTablesTableFigureBoxstyles"/>
              <w:rPr>
                <w:lang w:eastAsia="en-GB"/>
              </w:rPr>
            </w:pPr>
            <w:r w:rsidRPr="00C1603D">
              <w:rPr>
                <w:lang w:eastAsia="en-GB"/>
              </w:rPr>
              <w:t>Wales</w:t>
            </w:r>
          </w:p>
        </w:tc>
        <w:tc>
          <w:tcPr>
            <w:tcW w:w="0" w:type="auto"/>
            <w:shd w:val="clear" w:color="auto" w:fill="auto"/>
            <w:noWrap/>
          </w:tcPr>
          <w:p w14:paraId="2E14102E" w14:textId="6648C91F" w:rsidR="008B4DF8" w:rsidRPr="00C1603D" w:rsidRDefault="008B4DF8" w:rsidP="003700E5">
            <w:pPr>
              <w:pStyle w:val="72TabletextTablesTableFigureBoxstyles"/>
              <w:rPr>
                <w:lang w:eastAsia="en-GB"/>
              </w:rPr>
            </w:pPr>
            <w:r w:rsidRPr="00C1603D">
              <w:rPr>
                <w:lang w:eastAsia="en-GB"/>
              </w:rPr>
              <w:t>11 (4.5)</w:t>
            </w:r>
          </w:p>
        </w:tc>
        <w:tc>
          <w:tcPr>
            <w:tcW w:w="0" w:type="auto"/>
            <w:shd w:val="clear" w:color="auto" w:fill="auto"/>
            <w:noWrap/>
          </w:tcPr>
          <w:p w14:paraId="52BD8BB4" w14:textId="115889A6" w:rsidR="008B4DF8" w:rsidRPr="00C1603D" w:rsidRDefault="008B4DF8" w:rsidP="003700E5">
            <w:pPr>
              <w:pStyle w:val="72TabletextTablesTableFigureBoxstyles"/>
              <w:rPr>
                <w:lang w:eastAsia="en-GB"/>
              </w:rPr>
            </w:pPr>
            <w:r w:rsidRPr="00C1603D">
              <w:rPr>
                <w:lang w:eastAsia="en-GB"/>
              </w:rPr>
              <w:t>1 (0.4)</w:t>
            </w:r>
          </w:p>
        </w:tc>
        <w:tc>
          <w:tcPr>
            <w:tcW w:w="0" w:type="auto"/>
            <w:shd w:val="clear" w:color="auto" w:fill="auto"/>
            <w:noWrap/>
          </w:tcPr>
          <w:p w14:paraId="4CA54DCF" w14:textId="0CA5618D" w:rsidR="008B4DF8" w:rsidRPr="00C1603D" w:rsidRDefault="008B4DF8" w:rsidP="003700E5">
            <w:pPr>
              <w:pStyle w:val="72TabletextTablesTableFigureBoxstyles"/>
              <w:rPr>
                <w:lang w:eastAsia="en-GB"/>
              </w:rPr>
            </w:pPr>
            <w:r w:rsidRPr="00C1603D">
              <w:rPr>
                <w:lang w:eastAsia="en-GB"/>
              </w:rPr>
              <w:t>12 (2.6)</w:t>
            </w:r>
          </w:p>
        </w:tc>
      </w:tr>
      <w:tr w:rsidR="008B4DF8" w:rsidRPr="00C1603D" w14:paraId="603F574C" w14:textId="77777777" w:rsidTr="003700E5">
        <w:trPr>
          <w:cantSplit/>
        </w:trPr>
        <w:tc>
          <w:tcPr>
            <w:tcW w:w="0" w:type="auto"/>
            <w:shd w:val="clear" w:color="auto" w:fill="auto"/>
            <w:noWrap/>
          </w:tcPr>
          <w:p w14:paraId="282244A7" w14:textId="77777777" w:rsidR="008B4DF8" w:rsidRPr="00C1603D" w:rsidRDefault="008B4DF8" w:rsidP="003700E5">
            <w:pPr>
              <w:pStyle w:val="722TablebulletlistTablesTableFigureBoxstyles"/>
              <w:rPr>
                <w:lang w:eastAsia="en-GB"/>
              </w:rPr>
            </w:pPr>
            <w:r w:rsidRPr="00C1603D">
              <w:rPr>
                <w:lang w:eastAsia="en-GB"/>
              </w:rPr>
              <w:t>West Midlands</w:t>
            </w:r>
          </w:p>
        </w:tc>
        <w:tc>
          <w:tcPr>
            <w:tcW w:w="0" w:type="auto"/>
            <w:shd w:val="clear" w:color="auto" w:fill="auto"/>
            <w:noWrap/>
          </w:tcPr>
          <w:p w14:paraId="45B072F0" w14:textId="3F9C1333" w:rsidR="008B4DF8" w:rsidRPr="00C1603D" w:rsidRDefault="008B4DF8" w:rsidP="003700E5">
            <w:pPr>
              <w:pStyle w:val="72TabletextTablesTableFigureBoxstyles"/>
              <w:rPr>
                <w:lang w:eastAsia="en-GB"/>
              </w:rPr>
            </w:pPr>
            <w:r w:rsidRPr="00C1603D">
              <w:rPr>
                <w:lang w:eastAsia="en-GB"/>
              </w:rPr>
              <w:t>17 (7.0)</w:t>
            </w:r>
          </w:p>
        </w:tc>
        <w:tc>
          <w:tcPr>
            <w:tcW w:w="0" w:type="auto"/>
            <w:shd w:val="clear" w:color="auto" w:fill="auto"/>
            <w:noWrap/>
          </w:tcPr>
          <w:p w14:paraId="1D364AD7" w14:textId="61994F1C" w:rsidR="008B4DF8" w:rsidRPr="00C1603D" w:rsidRDefault="008B4DF8" w:rsidP="003700E5">
            <w:pPr>
              <w:pStyle w:val="72TabletextTablesTableFigureBoxstyles"/>
              <w:rPr>
                <w:lang w:eastAsia="en-GB"/>
              </w:rPr>
            </w:pPr>
            <w:r w:rsidRPr="00C1603D">
              <w:rPr>
                <w:lang w:eastAsia="en-GB"/>
              </w:rPr>
              <w:t>0 (0)</w:t>
            </w:r>
          </w:p>
        </w:tc>
        <w:tc>
          <w:tcPr>
            <w:tcW w:w="0" w:type="auto"/>
            <w:shd w:val="clear" w:color="auto" w:fill="auto"/>
            <w:noWrap/>
          </w:tcPr>
          <w:p w14:paraId="46E1D1ED" w14:textId="517CDF3B" w:rsidR="008B4DF8" w:rsidRPr="00C1603D" w:rsidRDefault="008B4DF8" w:rsidP="003700E5">
            <w:pPr>
              <w:pStyle w:val="72TabletextTablesTableFigureBoxstyles"/>
              <w:rPr>
                <w:lang w:eastAsia="en-GB"/>
              </w:rPr>
            </w:pPr>
            <w:r w:rsidRPr="00C1603D">
              <w:rPr>
                <w:lang w:eastAsia="en-GB"/>
              </w:rPr>
              <w:t>17 (3.6)</w:t>
            </w:r>
          </w:p>
        </w:tc>
      </w:tr>
      <w:tr w:rsidR="008B4DF8" w:rsidRPr="00C1603D" w14:paraId="58928889" w14:textId="77777777" w:rsidTr="003700E5">
        <w:trPr>
          <w:cantSplit/>
        </w:trPr>
        <w:tc>
          <w:tcPr>
            <w:tcW w:w="0" w:type="auto"/>
            <w:shd w:val="clear" w:color="auto" w:fill="auto"/>
            <w:noWrap/>
          </w:tcPr>
          <w:p w14:paraId="7904F584" w14:textId="77777777" w:rsidR="008B4DF8" w:rsidRPr="00C1603D" w:rsidRDefault="008B4DF8" w:rsidP="00AF55A2">
            <w:pPr>
              <w:pStyle w:val="72TabletextTablesTableFigureBoxstyles"/>
              <w:rPr>
                <w:lang w:eastAsia="en-GB"/>
              </w:rPr>
            </w:pPr>
            <w:r w:rsidRPr="00C1603D">
              <w:rPr>
                <w:lang w:eastAsia="en-GB"/>
              </w:rPr>
              <w:t>Missing</w:t>
            </w:r>
          </w:p>
        </w:tc>
        <w:tc>
          <w:tcPr>
            <w:tcW w:w="0" w:type="auto"/>
            <w:shd w:val="clear" w:color="auto" w:fill="auto"/>
            <w:noWrap/>
          </w:tcPr>
          <w:p w14:paraId="4E4BD345" w14:textId="3E8CB027" w:rsidR="008B4DF8" w:rsidRPr="00C1603D" w:rsidRDefault="008B4DF8" w:rsidP="00AF55A2">
            <w:pPr>
              <w:pStyle w:val="72TabletextTablesTableFigureBoxstyles"/>
              <w:rPr>
                <w:lang w:eastAsia="en-GB"/>
              </w:rPr>
            </w:pPr>
            <w:r w:rsidRPr="00C1603D">
              <w:rPr>
                <w:lang w:eastAsia="en-GB"/>
              </w:rPr>
              <w:t>8 (3.3)</w:t>
            </w:r>
          </w:p>
        </w:tc>
        <w:tc>
          <w:tcPr>
            <w:tcW w:w="0" w:type="auto"/>
            <w:shd w:val="clear" w:color="auto" w:fill="auto"/>
            <w:noWrap/>
          </w:tcPr>
          <w:p w14:paraId="4DF4E3E5" w14:textId="364E9A37" w:rsidR="008B4DF8" w:rsidRPr="00C1603D" w:rsidRDefault="008B4DF8" w:rsidP="00AF55A2">
            <w:pPr>
              <w:pStyle w:val="72TabletextTablesTableFigureBoxstyles"/>
              <w:rPr>
                <w:lang w:eastAsia="en-GB"/>
              </w:rPr>
            </w:pPr>
            <w:r w:rsidRPr="00C1603D">
              <w:rPr>
                <w:lang w:eastAsia="en-GB"/>
              </w:rPr>
              <w:t>190 (85.2)</w:t>
            </w:r>
          </w:p>
        </w:tc>
        <w:tc>
          <w:tcPr>
            <w:tcW w:w="0" w:type="auto"/>
            <w:shd w:val="clear" w:color="auto" w:fill="auto"/>
            <w:noWrap/>
          </w:tcPr>
          <w:p w14:paraId="46D79C43" w14:textId="007F05DA" w:rsidR="008B4DF8" w:rsidRPr="00C1603D" w:rsidRDefault="008B4DF8" w:rsidP="00AF55A2">
            <w:pPr>
              <w:pStyle w:val="72TabletextTablesTableFigureBoxstyles"/>
              <w:rPr>
                <w:lang w:eastAsia="en-GB"/>
              </w:rPr>
            </w:pPr>
            <w:r w:rsidRPr="00C1603D">
              <w:rPr>
                <w:lang w:eastAsia="en-GB"/>
              </w:rPr>
              <w:t>198 (42.3)</w:t>
            </w:r>
          </w:p>
        </w:tc>
      </w:tr>
      <w:tr w:rsidR="008B4DF8" w:rsidRPr="00C1603D" w14:paraId="1D9D8625" w14:textId="77777777" w:rsidTr="003700E5">
        <w:trPr>
          <w:cantSplit/>
        </w:trPr>
        <w:tc>
          <w:tcPr>
            <w:tcW w:w="0" w:type="auto"/>
            <w:gridSpan w:val="4"/>
            <w:shd w:val="clear" w:color="auto" w:fill="auto"/>
            <w:noWrap/>
          </w:tcPr>
          <w:p w14:paraId="0DCF3344" w14:textId="0645AF90" w:rsidR="00AF55A2" w:rsidRPr="00C1603D" w:rsidRDefault="00AF55A2" w:rsidP="003700E5">
            <w:pPr>
              <w:pStyle w:val="75TablenotesTablesTableFigureBoxstyles"/>
            </w:pPr>
            <w:r w:rsidRPr="00C1603D">
              <w:t>GCSE, General Certificate of Secondary Education.</w:t>
            </w:r>
          </w:p>
          <w:p w14:paraId="088CD394" w14:textId="62C72B26" w:rsidR="008B4DF8" w:rsidRPr="00C1603D" w:rsidRDefault="003700E5" w:rsidP="003700E5">
            <w:pPr>
              <w:pStyle w:val="75TablenotesTablesTableFigureBoxstyles"/>
            </w:pPr>
            <w:r w:rsidRPr="00C1603D">
              <w:t>a</w:t>
            </w:r>
            <w:r w:rsidRPr="00C1603D">
              <w:tab/>
            </w:r>
            <w:r w:rsidR="008B4DF8" w:rsidRPr="00C1603D">
              <w:t>Confirmed diagnosis with serology test, endoscopy or biopsy.</w:t>
            </w:r>
          </w:p>
        </w:tc>
      </w:tr>
    </w:tbl>
    <w:p w14:paraId="3F3007D1" w14:textId="40673E13" w:rsidR="008B4DF8" w:rsidRPr="00C1603D" w:rsidRDefault="008B4DF8" w:rsidP="008B4DF8">
      <w:pPr>
        <w:pStyle w:val="70TablelegendTablesTableFigureBoxstyles"/>
      </w:pPr>
      <w:bookmarkStart w:id="716" w:name="_Toc99720771"/>
      <w:r w:rsidRPr="00C1603D">
        <w:rPr>
          <w:b/>
        </w:rPr>
        <w:t>TABLE 60</w:t>
      </w:r>
      <w:r w:rsidRPr="00C1603D">
        <w:rPr>
          <w:b/>
        </w:rPr>
        <w:t> </w:t>
      </w:r>
      <w:r w:rsidR="00A24BB8" w:rsidRPr="00C1603D">
        <w:t>Age</w:t>
      </w:r>
      <w:r w:rsidRPr="00C1603D">
        <w:t xml:space="preserve"> </w:t>
      </w:r>
      <w:r w:rsidR="00F8654D" w:rsidRPr="00C1603D">
        <w:t xml:space="preserve">of respondents </w:t>
      </w:r>
      <w:r w:rsidRPr="00C1603D">
        <w:t xml:space="preserve">who used </w:t>
      </w:r>
      <w:r w:rsidR="00F4585F" w:rsidRPr="00C1603D">
        <w:t>free-text</w:t>
      </w:r>
      <w:r w:rsidRPr="00C1603D">
        <w:t xml:space="preserve"> boxes</w:t>
      </w:r>
      <w:bookmarkEnd w:id="716"/>
    </w:p>
    <w:tbl>
      <w:tblPr>
        <w:tblW w:w="0" w:type="auto"/>
        <w:tblCellMar>
          <w:top w:w="40" w:type="dxa"/>
          <w:left w:w="60" w:type="dxa"/>
          <w:bottom w:w="40" w:type="dxa"/>
          <w:right w:w="60" w:type="dxa"/>
        </w:tblCellMar>
        <w:tblLook w:val="04A0" w:firstRow="1" w:lastRow="0" w:firstColumn="1" w:lastColumn="0" w:noHBand="0" w:noVBand="1"/>
      </w:tblPr>
      <w:tblGrid>
        <w:gridCol w:w="1442"/>
        <w:gridCol w:w="1339"/>
        <w:gridCol w:w="1484"/>
        <w:gridCol w:w="1459"/>
      </w:tblGrid>
      <w:tr w:rsidR="005A0906" w:rsidRPr="00C1603D" w14:paraId="53B0129E" w14:textId="77777777" w:rsidTr="00CE1953">
        <w:trPr>
          <w:cantSplit/>
        </w:trPr>
        <w:tc>
          <w:tcPr>
            <w:tcW w:w="0" w:type="auto"/>
            <w:vMerge w:val="restart"/>
            <w:shd w:val="clear" w:color="auto" w:fill="auto"/>
          </w:tcPr>
          <w:p w14:paraId="1B480B01" w14:textId="144A2C58" w:rsidR="005A0906" w:rsidRPr="00C1603D" w:rsidRDefault="005A0906" w:rsidP="00A24BB8">
            <w:pPr>
              <w:pStyle w:val="710TableheadTablesTableFigureBoxstyles"/>
              <w:rPr>
                <w:lang w:eastAsia="en-GB"/>
              </w:rPr>
            </w:pPr>
            <w:r w:rsidRPr="00C1603D">
              <w:rPr>
                <w:lang w:eastAsia="en-GB"/>
              </w:rPr>
              <w:t>Age range (years)</w:t>
            </w:r>
          </w:p>
        </w:tc>
        <w:tc>
          <w:tcPr>
            <w:tcW w:w="0" w:type="auto"/>
            <w:gridSpan w:val="3"/>
            <w:shd w:val="clear" w:color="auto" w:fill="auto"/>
          </w:tcPr>
          <w:p w14:paraId="2C47A5CA" w14:textId="24914F8B" w:rsidR="005A0906" w:rsidRPr="00C1603D" w:rsidRDefault="005A0906" w:rsidP="005A0906">
            <w:pPr>
              <w:pStyle w:val="705TableheadgroupTablesTableFigureBoxstyles"/>
              <w:rPr>
                <w:lang w:eastAsia="en-GB"/>
              </w:rPr>
            </w:pPr>
            <w:r w:rsidRPr="00C1603D">
              <w:rPr>
                <w:i/>
                <w:iCs/>
                <w:lang w:eastAsia="en-GB"/>
              </w:rPr>
              <w:t>n</w:t>
            </w:r>
            <w:r w:rsidRPr="00C1603D">
              <w:rPr>
                <w:lang w:eastAsia="en-GB"/>
              </w:rPr>
              <w:t xml:space="preserve"> (%)</w:t>
            </w:r>
          </w:p>
        </w:tc>
      </w:tr>
      <w:tr w:rsidR="005A0906" w:rsidRPr="00C1603D" w14:paraId="48D8B220" w14:textId="77777777" w:rsidTr="00A24BB8">
        <w:trPr>
          <w:cantSplit/>
        </w:trPr>
        <w:tc>
          <w:tcPr>
            <w:tcW w:w="0" w:type="auto"/>
            <w:vMerge/>
            <w:shd w:val="clear" w:color="auto" w:fill="auto"/>
          </w:tcPr>
          <w:p w14:paraId="30A8B69E" w14:textId="51DFFE61" w:rsidR="005A0906" w:rsidRPr="00C1603D" w:rsidRDefault="005A0906" w:rsidP="00A24BB8">
            <w:pPr>
              <w:pStyle w:val="710TableheadTablesTableFigureBoxstyles"/>
              <w:rPr>
                <w:lang w:eastAsia="en-GB"/>
              </w:rPr>
            </w:pPr>
          </w:p>
        </w:tc>
        <w:tc>
          <w:tcPr>
            <w:tcW w:w="0" w:type="auto"/>
            <w:shd w:val="clear" w:color="auto" w:fill="auto"/>
          </w:tcPr>
          <w:p w14:paraId="53728F22" w14:textId="065FB5B8" w:rsidR="005A0906" w:rsidRPr="00C1603D" w:rsidRDefault="005A0906" w:rsidP="00A24BB8">
            <w:pPr>
              <w:pStyle w:val="710TableheadTablesTableFigureBoxstyles"/>
              <w:rPr>
                <w:lang w:eastAsia="en-GB"/>
              </w:rPr>
            </w:pPr>
            <w:r w:rsidRPr="00C1603D">
              <w:rPr>
                <w:lang w:eastAsia="en-GB"/>
              </w:rPr>
              <w:t>CD</w:t>
            </w:r>
            <w:r w:rsidRPr="00C1603D">
              <w:rPr>
                <w:vertAlign w:val="superscript"/>
                <w:lang w:eastAsia="en-GB"/>
              </w:rPr>
              <w:t>a</w:t>
            </w:r>
            <w:r w:rsidRPr="00C1603D">
              <w:rPr>
                <w:lang w:eastAsia="en-GB"/>
              </w:rPr>
              <w:t xml:space="preserve"> (</w:t>
            </w:r>
            <w:r w:rsidRPr="00C1603D">
              <w:rPr>
                <w:i/>
                <w:iCs/>
                <w:lang w:eastAsia="en-GB"/>
              </w:rPr>
              <w:t>N</w:t>
            </w:r>
            <w:r w:rsidRPr="00C1603D">
              <w:rPr>
                <w:color w:val="00B0F0"/>
                <w:lang w:eastAsia="en-GB"/>
              </w:rPr>
              <w:t> = </w:t>
            </w:r>
            <w:r w:rsidRPr="00C1603D">
              <w:rPr>
                <w:lang w:eastAsia="en-GB"/>
              </w:rPr>
              <w:t>185)</w:t>
            </w:r>
          </w:p>
        </w:tc>
        <w:tc>
          <w:tcPr>
            <w:tcW w:w="0" w:type="auto"/>
            <w:shd w:val="clear" w:color="auto" w:fill="auto"/>
          </w:tcPr>
          <w:p w14:paraId="6CE9ECFB" w14:textId="25A5C054" w:rsidR="005A0906" w:rsidRPr="00C1603D" w:rsidRDefault="005A0906" w:rsidP="00A24BB8">
            <w:pPr>
              <w:pStyle w:val="710TableheadTablesTableFigureBoxstyles"/>
              <w:rPr>
                <w:lang w:eastAsia="en-GB"/>
              </w:rPr>
            </w:pPr>
            <w:r w:rsidRPr="00C1603D">
              <w:rPr>
                <w:lang w:eastAsia="en-GB"/>
              </w:rPr>
              <w:t>No CD (</w:t>
            </w:r>
            <w:r w:rsidRPr="00C1603D">
              <w:rPr>
                <w:i/>
                <w:iCs/>
                <w:lang w:eastAsia="en-GB"/>
              </w:rPr>
              <w:t>N</w:t>
            </w:r>
            <w:r w:rsidRPr="00C1603D">
              <w:rPr>
                <w:color w:val="00B0F0"/>
                <w:lang w:eastAsia="en-GB"/>
              </w:rPr>
              <w:t> = </w:t>
            </w:r>
            <w:r w:rsidRPr="00C1603D">
              <w:rPr>
                <w:lang w:eastAsia="en-GB"/>
              </w:rPr>
              <w:t>167)</w:t>
            </w:r>
          </w:p>
        </w:tc>
        <w:tc>
          <w:tcPr>
            <w:tcW w:w="0" w:type="auto"/>
            <w:shd w:val="clear" w:color="auto" w:fill="auto"/>
          </w:tcPr>
          <w:p w14:paraId="65354D05" w14:textId="77777777" w:rsidR="005A0906" w:rsidRPr="00C1603D" w:rsidRDefault="005A0906" w:rsidP="00A24BB8">
            <w:pPr>
              <w:pStyle w:val="710TableheadTablesTableFigureBoxstyles"/>
              <w:rPr>
                <w:lang w:eastAsia="en-GB"/>
              </w:rPr>
            </w:pPr>
            <w:r w:rsidRPr="00C1603D">
              <w:rPr>
                <w:lang w:eastAsia="en-GB"/>
              </w:rPr>
              <w:t>Total (</w:t>
            </w:r>
            <w:r w:rsidRPr="00C1603D">
              <w:rPr>
                <w:i/>
                <w:iCs/>
                <w:lang w:eastAsia="en-GB"/>
              </w:rPr>
              <w:t>N</w:t>
            </w:r>
            <w:r w:rsidRPr="00C1603D">
              <w:rPr>
                <w:color w:val="00B0F0"/>
                <w:lang w:eastAsia="en-GB"/>
              </w:rPr>
              <w:t> = </w:t>
            </w:r>
            <w:r w:rsidRPr="00C1603D">
              <w:rPr>
                <w:lang w:eastAsia="en-GB"/>
              </w:rPr>
              <w:t>353)</w:t>
            </w:r>
          </w:p>
        </w:tc>
      </w:tr>
      <w:tr w:rsidR="008B4DF8" w:rsidRPr="00C1603D" w14:paraId="0AADC0F8" w14:textId="77777777" w:rsidTr="00A24BB8">
        <w:trPr>
          <w:cantSplit/>
        </w:trPr>
        <w:tc>
          <w:tcPr>
            <w:tcW w:w="0" w:type="auto"/>
            <w:shd w:val="clear" w:color="auto" w:fill="auto"/>
            <w:noWrap/>
          </w:tcPr>
          <w:p w14:paraId="1EA6EE0C" w14:textId="77777777" w:rsidR="008B4DF8" w:rsidRPr="00C1603D" w:rsidRDefault="008B4DF8" w:rsidP="00A24BB8">
            <w:pPr>
              <w:pStyle w:val="72TabletextTablesTableFigureBoxstyles"/>
              <w:rPr>
                <w:lang w:eastAsia="en-GB"/>
              </w:rPr>
            </w:pPr>
            <w:r w:rsidRPr="00C1603D">
              <w:rPr>
                <w:lang w:eastAsia="en-GB"/>
              </w:rPr>
              <w:t>0</w:t>
            </w:r>
            <w:r w:rsidRPr="00C1603D">
              <w:rPr>
                <w:color w:val="00B0F0"/>
                <w:lang w:eastAsia="en-GB"/>
              </w:rPr>
              <w:t>–5</w:t>
            </w:r>
          </w:p>
        </w:tc>
        <w:tc>
          <w:tcPr>
            <w:tcW w:w="0" w:type="auto"/>
            <w:shd w:val="clear" w:color="auto" w:fill="auto"/>
            <w:noWrap/>
          </w:tcPr>
          <w:p w14:paraId="0506F8D6" w14:textId="0DB00968" w:rsidR="008B4DF8" w:rsidRPr="00C1603D" w:rsidRDefault="008B4DF8" w:rsidP="00A24BB8">
            <w:pPr>
              <w:pStyle w:val="72TabletextTablesTableFigureBoxstyles"/>
              <w:rPr>
                <w:rFonts w:cs="Calibri"/>
                <w:lang w:eastAsia="en-GB"/>
              </w:rPr>
            </w:pPr>
            <w:r w:rsidRPr="00C1603D">
              <w:rPr>
                <w:rFonts w:cs="Calibri"/>
                <w:lang w:eastAsia="en-GB"/>
              </w:rPr>
              <w:t>4 (2.2)</w:t>
            </w:r>
          </w:p>
        </w:tc>
        <w:tc>
          <w:tcPr>
            <w:tcW w:w="0" w:type="auto"/>
            <w:shd w:val="clear" w:color="auto" w:fill="auto"/>
            <w:noWrap/>
          </w:tcPr>
          <w:p w14:paraId="7784DF3D" w14:textId="3565923B" w:rsidR="008B4DF8" w:rsidRPr="00C1603D" w:rsidRDefault="008B4DF8" w:rsidP="00A24BB8">
            <w:pPr>
              <w:pStyle w:val="72TabletextTablesTableFigureBoxstyles"/>
              <w:rPr>
                <w:rFonts w:cs="Calibri"/>
                <w:lang w:eastAsia="en-GB"/>
              </w:rPr>
            </w:pPr>
            <w:r w:rsidRPr="00C1603D">
              <w:rPr>
                <w:rFonts w:cs="Calibri"/>
                <w:lang w:eastAsia="en-GB"/>
              </w:rPr>
              <w:t>6 (3.6)</w:t>
            </w:r>
          </w:p>
        </w:tc>
        <w:tc>
          <w:tcPr>
            <w:tcW w:w="0" w:type="auto"/>
            <w:shd w:val="clear" w:color="auto" w:fill="auto"/>
            <w:noWrap/>
          </w:tcPr>
          <w:p w14:paraId="3F751B86" w14:textId="14A7A4CC" w:rsidR="008B4DF8" w:rsidRPr="00C1603D" w:rsidRDefault="008B4DF8" w:rsidP="00A24BB8">
            <w:pPr>
              <w:pStyle w:val="72TabletextTablesTableFigureBoxstyles"/>
              <w:rPr>
                <w:rFonts w:cs="Calibri"/>
                <w:lang w:eastAsia="en-GB"/>
              </w:rPr>
            </w:pPr>
            <w:r w:rsidRPr="00C1603D">
              <w:rPr>
                <w:rFonts w:cs="Calibri"/>
                <w:lang w:eastAsia="en-GB"/>
              </w:rPr>
              <w:t>10 (2.8)</w:t>
            </w:r>
          </w:p>
        </w:tc>
      </w:tr>
      <w:tr w:rsidR="008B4DF8" w:rsidRPr="00C1603D" w14:paraId="6F281AD4" w14:textId="77777777" w:rsidTr="00A24BB8">
        <w:trPr>
          <w:cantSplit/>
        </w:trPr>
        <w:tc>
          <w:tcPr>
            <w:tcW w:w="0" w:type="auto"/>
            <w:shd w:val="clear" w:color="auto" w:fill="auto"/>
            <w:noWrap/>
          </w:tcPr>
          <w:p w14:paraId="46D0A30A" w14:textId="77777777" w:rsidR="008B4DF8" w:rsidRPr="00C1603D" w:rsidRDefault="008B4DF8" w:rsidP="00A24BB8">
            <w:pPr>
              <w:pStyle w:val="72TabletextTablesTableFigureBoxstyles"/>
              <w:rPr>
                <w:lang w:eastAsia="en-GB"/>
              </w:rPr>
            </w:pPr>
            <w:r w:rsidRPr="00C1603D">
              <w:rPr>
                <w:lang w:eastAsia="en-GB"/>
              </w:rPr>
              <w:t>6</w:t>
            </w:r>
            <w:r w:rsidRPr="00C1603D">
              <w:rPr>
                <w:color w:val="00B0F0"/>
                <w:lang w:eastAsia="en-GB"/>
              </w:rPr>
              <w:t>–1</w:t>
            </w:r>
            <w:r w:rsidRPr="00C1603D">
              <w:rPr>
                <w:lang w:eastAsia="en-GB"/>
              </w:rPr>
              <w:t>1</w:t>
            </w:r>
          </w:p>
        </w:tc>
        <w:tc>
          <w:tcPr>
            <w:tcW w:w="0" w:type="auto"/>
            <w:shd w:val="clear" w:color="auto" w:fill="auto"/>
            <w:noWrap/>
          </w:tcPr>
          <w:p w14:paraId="4D0B9245" w14:textId="7E69E4E5" w:rsidR="008B4DF8" w:rsidRPr="00C1603D" w:rsidRDefault="008B4DF8" w:rsidP="00A24BB8">
            <w:pPr>
              <w:pStyle w:val="72TabletextTablesTableFigureBoxstyles"/>
              <w:rPr>
                <w:rFonts w:cs="Calibri"/>
                <w:lang w:eastAsia="en-GB"/>
              </w:rPr>
            </w:pPr>
            <w:r w:rsidRPr="00C1603D">
              <w:rPr>
                <w:rFonts w:cs="Calibri"/>
                <w:lang w:eastAsia="en-GB"/>
              </w:rPr>
              <w:t>5 (2.7)</w:t>
            </w:r>
          </w:p>
        </w:tc>
        <w:tc>
          <w:tcPr>
            <w:tcW w:w="0" w:type="auto"/>
            <w:shd w:val="clear" w:color="auto" w:fill="auto"/>
            <w:noWrap/>
          </w:tcPr>
          <w:p w14:paraId="4FF74086" w14:textId="3F7F2DA3" w:rsidR="008B4DF8" w:rsidRPr="00C1603D" w:rsidRDefault="008B4DF8" w:rsidP="00A24BB8">
            <w:pPr>
              <w:pStyle w:val="72TabletextTablesTableFigureBoxstyles"/>
              <w:rPr>
                <w:rFonts w:cs="Calibri"/>
                <w:lang w:eastAsia="en-GB"/>
              </w:rPr>
            </w:pPr>
            <w:r w:rsidRPr="00C1603D">
              <w:rPr>
                <w:rFonts w:cs="Calibri"/>
                <w:lang w:eastAsia="en-GB"/>
              </w:rPr>
              <w:t>2 (1.2)</w:t>
            </w:r>
          </w:p>
        </w:tc>
        <w:tc>
          <w:tcPr>
            <w:tcW w:w="0" w:type="auto"/>
            <w:shd w:val="clear" w:color="auto" w:fill="auto"/>
            <w:noWrap/>
          </w:tcPr>
          <w:p w14:paraId="5B733E41" w14:textId="0D069737" w:rsidR="008B4DF8" w:rsidRPr="00C1603D" w:rsidRDefault="008B4DF8" w:rsidP="00A24BB8">
            <w:pPr>
              <w:pStyle w:val="72TabletextTablesTableFigureBoxstyles"/>
              <w:rPr>
                <w:rFonts w:cs="Calibri"/>
                <w:lang w:eastAsia="en-GB"/>
              </w:rPr>
            </w:pPr>
            <w:r w:rsidRPr="00C1603D">
              <w:rPr>
                <w:rFonts w:cs="Calibri"/>
                <w:lang w:eastAsia="en-GB"/>
              </w:rPr>
              <w:t>7 (2.0)</w:t>
            </w:r>
          </w:p>
        </w:tc>
      </w:tr>
      <w:tr w:rsidR="008B4DF8" w:rsidRPr="00C1603D" w14:paraId="3F8FFDC3" w14:textId="77777777" w:rsidTr="00A24BB8">
        <w:trPr>
          <w:cantSplit/>
        </w:trPr>
        <w:tc>
          <w:tcPr>
            <w:tcW w:w="0" w:type="auto"/>
            <w:shd w:val="clear" w:color="auto" w:fill="auto"/>
            <w:noWrap/>
          </w:tcPr>
          <w:p w14:paraId="709A2156" w14:textId="77777777" w:rsidR="008B4DF8" w:rsidRPr="00C1603D" w:rsidRDefault="008B4DF8" w:rsidP="00A24BB8">
            <w:pPr>
              <w:pStyle w:val="72TabletextTablesTableFigureBoxstyles"/>
              <w:rPr>
                <w:lang w:eastAsia="en-GB"/>
              </w:rPr>
            </w:pPr>
            <w:r w:rsidRPr="00C1603D">
              <w:rPr>
                <w:lang w:eastAsia="en-GB"/>
              </w:rPr>
              <w:t>12</w:t>
            </w:r>
            <w:r w:rsidRPr="00C1603D">
              <w:rPr>
                <w:color w:val="00B0F0"/>
                <w:lang w:eastAsia="en-GB"/>
              </w:rPr>
              <w:t>–1</w:t>
            </w:r>
            <w:r w:rsidRPr="00C1603D">
              <w:rPr>
                <w:lang w:eastAsia="en-GB"/>
              </w:rPr>
              <w:t>7</w:t>
            </w:r>
          </w:p>
        </w:tc>
        <w:tc>
          <w:tcPr>
            <w:tcW w:w="0" w:type="auto"/>
            <w:shd w:val="clear" w:color="auto" w:fill="auto"/>
            <w:noWrap/>
          </w:tcPr>
          <w:p w14:paraId="63FDD6DA" w14:textId="50E3DA04" w:rsidR="008B4DF8" w:rsidRPr="00C1603D" w:rsidRDefault="008B4DF8" w:rsidP="00A24BB8">
            <w:pPr>
              <w:pStyle w:val="72TabletextTablesTableFigureBoxstyles"/>
              <w:rPr>
                <w:rFonts w:cs="Calibri"/>
                <w:lang w:eastAsia="en-GB"/>
              </w:rPr>
            </w:pPr>
            <w:r w:rsidRPr="00C1603D">
              <w:rPr>
                <w:rFonts w:cs="Calibri"/>
                <w:lang w:eastAsia="en-GB"/>
              </w:rPr>
              <w:t>8 (4.3)</w:t>
            </w:r>
          </w:p>
        </w:tc>
        <w:tc>
          <w:tcPr>
            <w:tcW w:w="0" w:type="auto"/>
            <w:shd w:val="clear" w:color="auto" w:fill="auto"/>
            <w:noWrap/>
          </w:tcPr>
          <w:p w14:paraId="1C2857B8" w14:textId="502FBEC4" w:rsidR="008B4DF8" w:rsidRPr="00C1603D" w:rsidRDefault="008B4DF8" w:rsidP="00A24BB8">
            <w:pPr>
              <w:pStyle w:val="72TabletextTablesTableFigureBoxstyles"/>
              <w:rPr>
                <w:rFonts w:cs="Calibri"/>
                <w:lang w:eastAsia="en-GB"/>
              </w:rPr>
            </w:pPr>
            <w:r w:rsidRPr="00C1603D">
              <w:rPr>
                <w:rFonts w:cs="Calibri"/>
                <w:lang w:eastAsia="en-GB"/>
              </w:rPr>
              <w:t>1 (0.6)</w:t>
            </w:r>
          </w:p>
        </w:tc>
        <w:tc>
          <w:tcPr>
            <w:tcW w:w="0" w:type="auto"/>
            <w:shd w:val="clear" w:color="auto" w:fill="auto"/>
            <w:noWrap/>
          </w:tcPr>
          <w:p w14:paraId="52B9DE3F" w14:textId="52B653F2" w:rsidR="008B4DF8" w:rsidRPr="00C1603D" w:rsidRDefault="008B4DF8" w:rsidP="00A24BB8">
            <w:pPr>
              <w:pStyle w:val="72TabletextTablesTableFigureBoxstyles"/>
              <w:rPr>
                <w:rFonts w:cs="Calibri"/>
                <w:lang w:eastAsia="en-GB"/>
              </w:rPr>
            </w:pPr>
            <w:r w:rsidRPr="00C1603D">
              <w:rPr>
                <w:rFonts w:cs="Calibri"/>
                <w:lang w:eastAsia="en-GB"/>
              </w:rPr>
              <w:t>9 (2.6)</w:t>
            </w:r>
          </w:p>
        </w:tc>
      </w:tr>
      <w:tr w:rsidR="008B4DF8" w:rsidRPr="00C1603D" w14:paraId="7853E2EB" w14:textId="77777777" w:rsidTr="00A24BB8">
        <w:trPr>
          <w:cantSplit/>
        </w:trPr>
        <w:tc>
          <w:tcPr>
            <w:tcW w:w="0" w:type="auto"/>
            <w:shd w:val="clear" w:color="auto" w:fill="auto"/>
            <w:noWrap/>
          </w:tcPr>
          <w:p w14:paraId="12070ABE" w14:textId="77777777" w:rsidR="008B4DF8" w:rsidRPr="00C1603D" w:rsidRDefault="008B4DF8" w:rsidP="00A24BB8">
            <w:pPr>
              <w:pStyle w:val="72TabletextTablesTableFigureBoxstyles"/>
              <w:rPr>
                <w:lang w:eastAsia="en-GB"/>
              </w:rPr>
            </w:pPr>
            <w:r w:rsidRPr="00C1603D">
              <w:rPr>
                <w:lang w:eastAsia="en-GB"/>
              </w:rPr>
              <w:t>18</w:t>
            </w:r>
            <w:r w:rsidRPr="00C1603D">
              <w:rPr>
                <w:color w:val="00B0F0"/>
                <w:lang w:eastAsia="en-GB"/>
              </w:rPr>
              <w:t>–2</w:t>
            </w:r>
            <w:r w:rsidRPr="00C1603D">
              <w:rPr>
                <w:lang w:eastAsia="en-GB"/>
              </w:rPr>
              <w:t>5</w:t>
            </w:r>
          </w:p>
        </w:tc>
        <w:tc>
          <w:tcPr>
            <w:tcW w:w="0" w:type="auto"/>
            <w:shd w:val="clear" w:color="auto" w:fill="auto"/>
            <w:noWrap/>
          </w:tcPr>
          <w:p w14:paraId="3333D9E4" w14:textId="37BF5696" w:rsidR="008B4DF8" w:rsidRPr="00C1603D" w:rsidRDefault="008B4DF8" w:rsidP="00A24BB8">
            <w:pPr>
              <w:pStyle w:val="72TabletextTablesTableFigureBoxstyles"/>
              <w:rPr>
                <w:rFonts w:cs="Calibri"/>
                <w:lang w:eastAsia="en-GB"/>
              </w:rPr>
            </w:pPr>
            <w:r w:rsidRPr="00C1603D">
              <w:rPr>
                <w:rFonts w:cs="Calibri"/>
                <w:lang w:eastAsia="en-GB"/>
              </w:rPr>
              <w:t>19 (10.3)</w:t>
            </w:r>
          </w:p>
        </w:tc>
        <w:tc>
          <w:tcPr>
            <w:tcW w:w="0" w:type="auto"/>
            <w:shd w:val="clear" w:color="auto" w:fill="auto"/>
            <w:noWrap/>
          </w:tcPr>
          <w:p w14:paraId="673AC283" w14:textId="42699301" w:rsidR="008B4DF8" w:rsidRPr="00C1603D" w:rsidRDefault="008B4DF8" w:rsidP="00A24BB8">
            <w:pPr>
              <w:pStyle w:val="72TabletextTablesTableFigureBoxstyles"/>
              <w:rPr>
                <w:rFonts w:cs="Calibri"/>
                <w:lang w:eastAsia="en-GB"/>
              </w:rPr>
            </w:pPr>
            <w:r w:rsidRPr="00C1603D">
              <w:rPr>
                <w:rFonts w:cs="Calibri"/>
                <w:lang w:eastAsia="en-GB"/>
              </w:rPr>
              <w:t>15 (9.0)</w:t>
            </w:r>
          </w:p>
        </w:tc>
        <w:tc>
          <w:tcPr>
            <w:tcW w:w="0" w:type="auto"/>
            <w:shd w:val="clear" w:color="auto" w:fill="auto"/>
            <w:noWrap/>
          </w:tcPr>
          <w:p w14:paraId="54450EC1" w14:textId="67397762" w:rsidR="008B4DF8" w:rsidRPr="00C1603D" w:rsidRDefault="008B4DF8" w:rsidP="00A24BB8">
            <w:pPr>
              <w:pStyle w:val="72TabletextTablesTableFigureBoxstyles"/>
              <w:rPr>
                <w:rFonts w:cs="Calibri"/>
                <w:lang w:eastAsia="en-GB"/>
              </w:rPr>
            </w:pPr>
            <w:r w:rsidRPr="00C1603D">
              <w:rPr>
                <w:rFonts w:cs="Calibri"/>
                <w:lang w:eastAsia="en-GB"/>
              </w:rPr>
              <w:t>34 (9.6)</w:t>
            </w:r>
          </w:p>
        </w:tc>
      </w:tr>
      <w:tr w:rsidR="008B4DF8" w:rsidRPr="00C1603D" w14:paraId="1CD06466" w14:textId="77777777" w:rsidTr="00A24BB8">
        <w:trPr>
          <w:cantSplit/>
        </w:trPr>
        <w:tc>
          <w:tcPr>
            <w:tcW w:w="0" w:type="auto"/>
            <w:shd w:val="clear" w:color="auto" w:fill="auto"/>
            <w:noWrap/>
          </w:tcPr>
          <w:p w14:paraId="45354549" w14:textId="77777777" w:rsidR="008B4DF8" w:rsidRPr="00C1603D" w:rsidRDefault="008B4DF8" w:rsidP="00A24BB8">
            <w:pPr>
              <w:pStyle w:val="72TabletextTablesTableFigureBoxstyles"/>
              <w:rPr>
                <w:lang w:eastAsia="en-GB"/>
              </w:rPr>
            </w:pPr>
            <w:r w:rsidRPr="00C1603D">
              <w:rPr>
                <w:lang w:eastAsia="en-GB"/>
              </w:rPr>
              <w:t>26</w:t>
            </w:r>
            <w:r w:rsidRPr="00C1603D">
              <w:rPr>
                <w:color w:val="00B0F0"/>
                <w:lang w:eastAsia="en-GB"/>
              </w:rPr>
              <w:t>–4</w:t>
            </w:r>
            <w:r w:rsidRPr="00C1603D">
              <w:rPr>
                <w:lang w:eastAsia="en-GB"/>
              </w:rPr>
              <w:t>0</w:t>
            </w:r>
          </w:p>
        </w:tc>
        <w:tc>
          <w:tcPr>
            <w:tcW w:w="0" w:type="auto"/>
            <w:shd w:val="clear" w:color="auto" w:fill="auto"/>
            <w:noWrap/>
          </w:tcPr>
          <w:p w14:paraId="27AFDB5C" w14:textId="22A5EBA1" w:rsidR="008B4DF8" w:rsidRPr="00C1603D" w:rsidRDefault="008B4DF8" w:rsidP="00A24BB8">
            <w:pPr>
              <w:pStyle w:val="72TabletextTablesTableFigureBoxstyles"/>
              <w:rPr>
                <w:rFonts w:cs="Calibri"/>
                <w:lang w:eastAsia="en-GB"/>
              </w:rPr>
            </w:pPr>
            <w:r w:rsidRPr="00C1603D">
              <w:rPr>
                <w:rFonts w:cs="Calibri"/>
                <w:lang w:eastAsia="en-GB"/>
              </w:rPr>
              <w:t>52 (28.1)</w:t>
            </w:r>
          </w:p>
        </w:tc>
        <w:tc>
          <w:tcPr>
            <w:tcW w:w="0" w:type="auto"/>
            <w:shd w:val="clear" w:color="auto" w:fill="auto"/>
            <w:noWrap/>
          </w:tcPr>
          <w:p w14:paraId="207F2A19" w14:textId="524D5116" w:rsidR="008B4DF8" w:rsidRPr="00C1603D" w:rsidRDefault="008B4DF8" w:rsidP="00A24BB8">
            <w:pPr>
              <w:pStyle w:val="72TabletextTablesTableFigureBoxstyles"/>
              <w:rPr>
                <w:rFonts w:cs="Calibri"/>
                <w:lang w:eastAsia="en-GB"/>
              </w:rPr>
            </w:pPr>
            <w:r w:rsidRPr="00C1603D">
              <w:rPr>
                <w:rFonts w:cs="Calibri"/>
                <w:lang w:eastAsia="en-GB"/>
              </w:rPr>
              <w:t>47 (28.1)</w:t>
            </w:r>
          </w:p>
        </w:tc>
        <w:tc>
          <w:tcPr>
            <w:tcW w:w="0" w:type="auto"/>
            <w:shd w:val="clear" w:color="auto" w:fill="auto"/>
            <w:noWrap/>
          </w:tcPr>
          <w:p w14:paraId="497EB41C" w14:textId="7B2C8B69" w:rsidR="008B4DF8" w:rsidRPr="00C1603D" w:rsidRDefault="008B4DF8" w:rsidP="00A24BB8">
            <w:pPr>
              <w:pStyle w:val="72TabletextTablesTableFigureBoxstyles"/>
              <w:rPr>
                <w:rFonts w:cs="Calibri"/>
                <w:lang w:eastAsia="en-GB"/>
              </w:rPr>
            </w:pPr>
            <w:r w:rsidRPr="00C1603D">
              <w:rPr>
                <w:rFonts w:cs="Calibri"/>
                <w:lang w:eastAsia="en-GB"/>
              </w:rPr>
              <w:t>99 (28.0)</w:t>
            </w:r>
          </w:p>
        </w:tc>
      </w:tr>
      <w:tr w:rsidR="008B4DF8" w:rsidRPr="00C1603D" w14:paraId="2D6E956F" w14:textId="77777777" w:rsidTr="00A24BB8">
        <w:trPr>
          <w:cantSplit/>
        </w:trPr>
        <w:tc>
          <w:tcPr>
            <w:tcW w:w="0" w:type="auto"/>
            <w:shd w:val="clear" w:color="auto" w:fill="auto"/>
            <w:noWrap/>
          </w:tcPr>
          <w:p w14:paraId="01A868D0" w14:textId="77777777" w:rsidR="008B4DF8" w:rsidRPr="00C1603D" w:rsidRDefault="008B4DF8" w:rsidP="00A24BB8">
            <w:pPr>
              <w:pStyle w:val="72TabletextTablesTableFigureBoxstyles"/>
              <w:rPr>
                <w:lang w:eastAsia="en-GB"/>
              </w:rPr>
            </w:pPr>
            <w:r w:rsidRPr="00C1603D">
              <w:rPr>
                <w:lang w:eastAsia="en-GB"/>
              </w:rPr>
              <w:t>41</w:t>
            </w:r>
            <w:r w:rsidRPr="00C1603D">
              <w:rPr>
                <w:color w:val="00B0F0"/>
                <w:lang w:eastAsia="en-GB"/>
              </w:rPr>
              <w:t>–6</w:t>
            </w:r>
            <w:r w:rsidRPr="00C1603D">
              <w:rPr>
                <w:lang w:eastAsia="en-GB"/>
              </w:rPr>
              <w:t>4</w:t>
            </w:r>
          </w:p>
        </w:tc>
        <w:tc>
          <w:tcPr>
            <w:tcW w:w="0" w:type="auto"/>
            <w:shd w:val="clear" w:color="auto" w:fill="auto"/>
            <w:noWrap/>
          </w:tcPr>
          <w:p w14:paraId="34C9992D" w14:textId="76ED33DA" w:rsidR="008B4DF8" w:rsidRPr="00C1603D" w:rsidRDefault="008B4DF8" w:rsidP="00A24BB8">
            <w:pPr>
              <w:pStyle w:val="72TabletextTablesTableFigureBoxstyles"/>
              <w:rPr>
                <w:rFonts w:cs="Calibri"/>
                <w:lang w:eastAsia="en-GB"/>
              </w:rPr>
            </w:pPr>
            <w:r w:rsidRPr="00C1603D">
              <w:rPr>
                <w:rFonts w:cs="Calibri"/>
                <w:lang w:eastAsia="en-GB"/>
              </w:rPr>
              <w:t>77 (41.6)</w:t>
            </w:r>
          </w:p>
        </w:tc>
        <w:tc>
          <w:tcPr>
            <w:tcW w:w="0" w:type="auto"/>
            <w:shd w:val="clear" w:color="auto" w:fill="auto"/>
            <w:noWrap/>
          </w:tcPr>
          <w:p w14:paraId="3506343B" w14:textId="04EB2404" w:rsidR="008B4DF8" w:rsidRPr="00C1603D" w:rsidRDefault="008B4DF8" w:rsidP="00A24BB8">
            <w:pPr>
              <w:pStyle w:val="72TabletextTablesTableFigureBoxstyles"/>
              <w:rPr>
                <w:rFonts w:cs="Calibri"/>
                <w:lang w:eastAsia="en-GB"/>
              </w:rPr>
            </w:pPr>
            <w:r w:rsidRPr="00C1603D">
              <w:rPr>
                <w:rFonts w:cs="Calibri"/>
                <w:lang w:eastAsia="en-GB"/>
              </w:rPr>
              <w:t>72 (43.1)</w:t>
            </w:r>
          </w:p>
        </w:tc>
        <w:tc>
          <w:tcPr>
            <w:tcW w:w="0" w:type="auto"/>
            <w:shd w:val="clear" w:color="auto" w:fill="auto"/>
            <w:noWrap/>
          </w:tcPr>
          <w:p w14:paraId="4A0E9B74" w14:textId="4BD15DA2" w:rsidR="008B4DF8" w:rsidRPr="00C1603D" w:rsidRDefault="008B4DF8" w:rsidP="00A24BB8">
            <w:pPr>
              <w:pStyle w:val="72TabletextTablesTableFigureBoxstyles"/>
              <w:rPr>
                <w:rFonts w:cs="Calibri"/>
                <w:lang w:eastAsia="en-GB"/>
              </w:rPr>
            </w:pPr>
            <w:r w:rsidRPr="00C1603D">
              <w:rPr>
                <w:rFonts w:cs="Calibri"/>
                <w:lang w:eastAsia="en-GB"/>
              </w:rPr>
              <w:t>149 (42.2)</w:t>
            </w:r>
          </w:p>
        </w:tc>
      </w:tr>
      <w:tr w:rsidR="008B4DF8" w:rsidRPr="00C1603D" w14:paraId="4366D482" w14:textId="77777777" w:rsidTr="00A24BB8">
        <w:trPr>
          <w:cantSplit/>
        </w:trPr>
        <w:tc>
          <w:tcPr>
            <w:tcW w:w="0" w:type="auto"/>
            <w:shd w:val="clear" w:color="auto" w:fill="auto"/>
            <w:noWrap/>
          </w:tcPr>
          <w:p w14:paraId="06678EDB" w14:textId="3F1362AF" w:rsidR="008B4DF8" w:rsidRPr="00C1603D" w:rsidRDefault="00A24BB8" w:rsidP="00A24BB8">
            <w:pPr>
              <w:pStyle w:val="72TabletextTablesTableFigureBoxstyles"/>
              <w:rPr>
                <w:lang w:eastAsia="en-GB"/>
              </w:rPr>
            </w:pPr>
            <w:r w:rsidRPr="00C1603D">
              <w:rPr>
                <w:lang w:eastAsia="en-GB"/>
              </w:rPr>
              <w:t>≥ </w:t>
            </w:r>
            <w:r w:rsidR="008B4DF8" w:rsidRPr="00C1603D">
              <w:rPr>
                <w:lang w:eastAsia="en-GB"/>
              </w:rPr>
              <w:t>6</w:t>
            </w:r>
            <w:r w:rsidR="008B4DF8" w:rsidRPr="00C1603D">
              <w:rPr>
                <w:color w:val="00B0F0"/>
                <w:lang w:eastAsia="en-GB"/>
              </w:rPr>
              <w:t>5</w:t>
            </w:r>
          </w:p>
        </w:tc>
        <w:tc>
          <w:tcPr>
            <w:tcW w:w="0" w:type="auto"/>
            <w:shd w:val="clear" w:color="auto" w:fill="auto"/>
            <w:noWrap/>
          </w:tcPr>
          <w:p w14:paraId="4DE01EA1" w14:textId="3A01E1D3" w:rsidR="008B4DF8" w:rsidRPr="00C1603D" w:rsidRDefault="008B4DF8" w:rsidP="00A24BB8">
            <w:pPr>
              <w:pStyle w:val="72TabletextTablesTableFigureBoxstyles"/>
              <w:rPr>
                <w:rFonts w:cs="Calibri"/>
                <w:lang w:eastAsia="en-GB"/>
              </w:rPr>
            </w:pPr>
            <w:r w:rsidRPr="00C1603D">
              <w:rPr>
                <w:rFonts w:cs="Calibri"/>
                <w:lang w:eastAsia="en-GB"/>
              </w:rPr>
              <w:t>20 (10.8)</w:t>
            </w:r>
          </w:p>
        </w:tc>
        <w:tc>
          <w:tcPr>
            <w:tcW w:w="0" w:type="auto"/>
            <w:shd w:val="clear" w:color="auto" w:fill="auto"/>
            <w:noWrap/>
          </w:tcPr>
          <w:p w14:paraId="2A03F3BC" w14:textId="75412A8D" w:rsidR="008B4DF8" w:rsidRPr="00C1603D" w:rsidRDefault="008B4DF8" w:rsidP="00A24BB8">
            <w:pPr>
              <w:pStyle w:val="72TabletextTablesTableFigureBoxstyles"/>
              <w:rPr>
                <w:rFonts w:cs="Calibri"/>
                <w:lang w:eastAsia="en-GB"/>
              </w:rPr>
            </w:pPr>
            <w:r w:rsidRPr="00C1603D">
              <w:rPr>
                <w:rFonts w:cs="Calibri"/>
                <w:lang w:eastAsia="en-GB"/>
              </w:rPr>
              <w:t>24 (14.4)</w:t>
            </w:r>
          </w:p>
        </w:tc>
        <w:tc>
          <w:tcPr>
            <w:tcW w:w="0" w:type="auto"/>
            <w:shd w:val="clear" w:color="auto" w:fill="auto"/>
            <w:noWrap/>
          </w:tcPr>
          <w:p w14:paraId="74AA46B0" w14:textId="600A4753" w:rsidR="008B4DF8" w:rsidRPr="00C1603D" w:rsidRDefault="008B4DF8" w:rsidP="00A24BB8">
            <w:pPr>
              <w:pStyle w:val="72TabletextTablesTableFigureBoxstyles"/>
              <w:rPr>
                <w:rFonts w:cs="Calibri"/>
                <w:lang w:eastAsia="en-GB"/>
              </w:rPr>
            </w:pPr>
            <w:r w:rsidRPr="00C1603D">
              <w:rPr>
                <w:rFonts w:cs="Calibri"/>
                <w:lang w:eastAsia="en-GB"/>
              </w:rPr>
              <w:t>45 (12.8)</w:t>
            </w:r>
          </w:p>
        </w:tc>
      </w:tr>
      <w:tr w:rsidR="008B4DF8" w:rsidRPr="00C1603D" w14:paraId="45FA23D9" w14:textId="77777777" w:rsidTr="00A24BB8">
        <w:trPr>
          <w:cantSplit/>
        </w:trPr>
        <w:tc>
          <w:tcPr>
            <w:tcW w:w="0" w:type="auto"/>
            <w:gridSpan w:val="4"/>
            <w:shd w:val="clear" w:color="auto" w:fill="auto"/>
            <w:noWrap/>
          </w:tcPr>
          <w:p w14:paraId="5AF361C2" w14:textId="54564C0A" w:rsidR="008B4DF8" w:rsidRPr="00C1603D" w:rsidRDefault="005A0906" w:rsidP="00A24BB8">
            <w:pPr>
              <w:pStyle w:val="75TablenotesTablesTableFigureBoxstyles"/>
              <w:rPr>
                <w:rFonts w:cs="Times New Roman"/>
              </w:rPr>
            </w:pPr>
            <w:r w:rsidRPr="00C1603D">
              <w:t>a</w:t>
            </w:r>
            <w:r w:rsidRPr="00C1603D">
              <w:tab/>
            </w:r>
            <w:r w:rsidR="008B4DF8" w:rsidRPr="00C1603D">
              <w:t>Confirmed diagnosis with serology test, endoscopy or biopsy.</w:t>
            </w:r>
          </w:p>
        </w:tc>
      </w:tr>
    </w:tbl>
    <w:p w14:paraId="283E038A" w14:textId="5F13EA10" w:rsidR="008B4DF8" w:rsidRPr="00C1603D" w:rsidRDefault="008B4DF8" w:rsidP="008B4DF8">
      <w:pPr>
        <w:pStyle w:val="43AppendixtitleHeadingsHeadingstyles"/>
      </w:pPr>
      <w:bookmarkStart w:id="717" w:name="_Toc99539950"/>
      <w:r w:rsidRPr="00C1603D">
        <w:lastRenderedPageBreak/>
        <w:t>Appendix 23</w:t>
      </w:r>
      <w:bookmarkEnd w:id="717"/>
      <w:r w:rsidR="005A0906" w:rsidRPr="00C1603D">
        <w:t> </w:t>
      </w:r>
      <w:r w:rsidR="005A0906" w:rsidRPr="00C1603D">
        <w:t>Themes and subthemes in the open-text answers</w:t>
      </w:r>
    </w:p>
    <w:p w14:paraId="6E1A9873" w14:textId="2C7B713C" w:rsidR="008B4DF8" w:rsidRPr="00C1603D" w:rsidRDefault="008B4DF8" w:rsidP="008B4DF8">
      <w:pPr>
        <w:pStyle w:val="70TablelegendTablesTableFigureBoxstyles"/>
      </w:pPr>
      <w:bookmarkStart w:id="718" w:name="_Toc99720772"/>
      <w:r w:rsidRPr="00C1603D">
        <w:rPr>
          <w:b/>
        </w:rPr>
        <w:t>TABLE 61</w:t>
      </w:r>
      <w:r w:rsidRPr="00C1603D">
        <w:rPr>
          <w:b/>
        </w:rPr>
        <w:t> </w:t>
      </w:r>
      <w:r w:rsidRPr="00C1603D">
        <w:t xml:space="preserve">Themes and </w:t>
      </w:r>
      <w:r w:rsidR="00F8654D" w:rsidRPr="00C1603D">
        <w:t>sub</w:t>
      </w:r>
      <w:r w:rsidRPr="00C1603D">
        <w:t xml:space="preserve">themes </w:t>
      </w:r>
      <w:r w:rsidR="005A0906" w:rsidRPr="00C1603D">
        <w:t>in</w:t>
      </w:r>
      <w:r w:rsidRPr="00C1603D">
        <w:t xml:space="preserve"> the open</w:t>
      </w:r>
      <w:r w:rsidR="00436A1C" w:rsidRPr="00C1603D">
        <w:t>-</w:t>
      </w:r>
      <w:r w:rsidRPr="00C1603D">
        <w:t>text answers</w:t>
      </w:r>
      <w:bookmarkEnd w:id="718"/>
    </w:p>
    <w:tbl>
      <w:tblPr>
        <w:tblW w:w="0" w:type="auto"/>
        <w:tblCellMar>
          <w:top w:w="40" w:type="dxa"/>
          <w:left w:w="60" w:type="dxa"/>
          <w:bottom w:w="40" w:type="dxa"/>
          <w:right w:w="60" w:type="dxa"/>
        </w:tblCellMar>
        <w:tblLook w:val="04A0" w:firstRow="1" w:lastRow="0" w:firstColumn="1" w:lastColumn="0" w:noHBand="0" w:noVBand="1"/>
      </w:tblPr>
      <w:tblGrid>
        <w:gridCol w:w="4112"/>
        <w:gridCol w:w="886"/>
        <w:gridCol w:w="964"/>
        <w:gridCol w:w="1499"/>
        <w:gridCol w:w="1565"/>
      </w:tblGrid>
      <w:tr w:rsidR="00E51FE7" w:rsidRPr="00C1603D" w14:paraId="10D3A34F" w14:textId="77777777" w:rsidTr="00030214">
        <w:trPr>
          <w:cantSplit/>
          <w:trHeight w:val="708"/>
        </w:trPr>
        <w:tc>
          <w:tcPr>
            <w:tcW w:w="0" w:type="auto"/>
            <w:vMerge w:val="restart"/>
            <w:shd w:val="clear" w:color="auto" w:fill="auto"/>
          </w:tcPr>
          <w:p w14:paraId="574E3C88" w14:textId="6D82A89E" w:rsidR="00E51FE7" w:rsidRPr="00C1603D" w:rsidRDefault="00E51FE7" w:rsidP="00E51FE7">
            <w:pPr>
              <w:pStyle w:val="710TableheadTablesTableFigureBoxstyles"/>
              <w:rPr>
                <w:rFonts w:eastAsia="Yu Gothic Light"/>
                <w:lang w:eastAsia="en-GB"/>
              </w:rPr>
            </w:pPr>
            <w:r w:rsidRPr="00C1603D">
              <w:rPr>
                <w:rFonts w:eastAsia="Yu Gothic Light"/>
                <w:lang w:eastAsia="en-GB"/>
              </w:rPr>
              <w:t>Themes and subthemes</w:t>
            </w:r>
          </w:p>
        </w:tc>
        <w:tc>
          <w:tcPr>
            <w:tcW w:w="0" w:type="auto"/>
            <w:gridSpan w:val="4"/>
            <w:shd w:val="clear" w:color="auto" w:fill="auto"/>
          </w:tcPr>
          <w:p w14:paraId="5C039763" w14:textId="1911CAEC" w:rsidR="00E51FE7" w:rsidRPr="00C1603D" w:rsidRDefault="00E51FE7" w:rsidP="00E51FE7">
            <w:pPr>
              <w:pStyle w:val="705TableheadgroupTablesTableFigureBoxstyles"/>
              <w:rPr>
                <w:rFonts w:eastAsia="Yu Gothic Light"/>
                <w:lang w:eastAsia="en-GB"/>
              </w:rPr>
            </w:pPr>
            <w:r w:rsidRPr="00C1603D">
              <w:rPr>
                <w:rFonts w:eastAsia="Yu Gothic Light"/>
                <w:i/>
                <w:iCs/>
                <w:lang w:eastAsia="en-GB"/>
              </w:rPr>
              <w:t>n</w:t>
            </w:r>
            <w:r w:rsidRPr="00C1603D">
              <w:rPr>
                <w:rFonts w:eastAsia="Yu Gothic Light"/>
                <w:lang w:eastAsia="en-GB"/>
              </w:rPr>
              <w:t xml:space="preserve"> (%)</w:t>
            </w:r>
          </w:p>
        </w:tc>
      </w:tr>
      <w:tr w:rsidR="00E51FE7" w:rsidRPr="00C1603D" w14:paraId="4F402D81" w14:textId="77777777" w:rsidTr="0062009A">
        <w:trPr>
          <w:cantSplit/>
          <w:trHeight w:val="708"/>
        </w:trPr>
        <w:tc>
          <w:tcPr>
            <w:tcW w:w="0" w:type="auto"/>
            <w:vMerge/>
            <w:shd w:val="clear" w:color="auto" w:fill="auto"/>
          </w:tcPr>
          <w:p w14:paraId="6EF236F6" w14:textId="1D3C5288" w:rsidR="00E51FE7" w:rsidRPr="00C1603D" w:rsidRDefault="00E51FE7" w:rsidP="00E51FE7">
            <w:pPr>
              <w:pStyle w:val="710TableheadTablesTableFigureBoxstyles"/>
              <w:rPr>
                <w:lang w:eastAsia="en-GB"/>
              </w:rPr>
            </w:pPr>
          </w:p>
        </w:tc>
        <w:tc>
          <w:tcPr>
            <w:tcW w:w="0" w:type="auto"/>
            <w:shd w:val="clear" w:color="auto" w:fill="auto"/>
          </w:tcPr>
          <w:p w14:paraId="5D337CB1" w14:textId="1000DE95" w:rsidR="00E51FE7" w:rsidRPr="00C1603D" w:rsidRDefault="00E51FE7" w:rsidP="00E51FE7">
            <w:pPr>
              <w:pStyle w:val="710TableheadTablesTableFigureBoxstyles"/>
              <w:rPr>
                <w:lang w:eastAsia="en-GB"/>
              </w:rPr>
            </w:pPr>
            <w:r w:rsidRPr="00C1603D">
              <w:rPr>
                <w:rFonts w:eastAsia="Yu Gothic Light"/>
                <w:lang w:eastAsia="en-GB"/>
              </w:rPr>
              <w:t>CD (</w:t>
            </w:r>
            <w:r w:rsidRPr="00C1603D">
              <w:rPr>
                <w:rFonts w:eastAsia="Yu Gothic Light"/>
                <w:i/>
                <w:lang w:eastAsia="en-GB"/>
              </w:rPr>
              <w:t>N</w:t>
            </w:r>
            <w:r w:rsidRPr="00C1603D">
              <w:rPr>
                <w:rFonts w:ascii="Calibri" w:eastAsia="Yu Gothic Light" w:hAnsi="Calibri" w:cs="Calibri"/>
                <w:sz w:val="18"/>
                <w:szCs w:val="18"/>
              </w:rPr>
              <w:t> = </w:t>
            </w:r>
            <w:r w:rsidRPr="00C1603D">
              <w:rPr>
                <w:rFonts w:eastAsia="Yu Gothic Light"/>
                <w:lang w:eastAsia="en-GB"/>
              </w:rPr>
              <w:t>244)</w:t>
            </w:r>
          </w:p>
        </w:tc>
        <w:tc>
          <w:tcPr>
            <w:tcW w:w="0" w:type="auto"/>
            <w:shd w:val="clear" w:color="auto" w:fill="auto"/>
          </w:tcPr>
          <w:p w14:paraId="1B437FEC" w14:textId="7FA44EAD" w:rsidR="00E51FE7" w:rsidRPr="00C1603D" w:rsidRDefault="00E51FE7" w:rsidP="00E51FE7">
            <w:pPr>
              <w:pStyle w:val="710TableheadTablesTableFigureBoxstyles"/>
              <w:rPr>
                <w:lang w:eastAsia="en-GB"/>
              </w:rPr>
            </w:pPr>
            <w:r w:rsidRPr="00C1603D">
              <w:rPr>
                <w:rFonts w:eastAsia="Yu Gothic Light"/>
                <w:lang w:eastAsia="en-GB"/>
              </w:rPr>
              <w:t>No CD</w:t>
            </w:r>
            <w:r w:rsidRPr="00C1603D">
              <w:rPr>
                <w:lang w:eastAsia="en-GB"/>
              </w:rPr>
              <w:t xml:space="preserve"> </w:t>
            </w:r>
            <w:r w:rsidRPr="00C1603D">
              <w:rPr>
                <w:rFonts w:eastAsia="Yu Gothic Light"/>
                <w:lang w:eastAsia="en-GB"/>
              </w:rPr>
              <w:t>(</w:t>
            </w:r>
            <w:r w:rsidRPr="00C1603D">
              <w:rPr>
                <w:rFonts w:eastAsia="Yu Gothic Light"/>
                <w:i/>
                <w:lang w:eastAsia="en-GB"/>
              </w:rPr>
              <w:t>N</w:t>
            </w:r>
            <w:r w:rsidRPr="00C1603D">
              <w:rPr>
                <w:rFonts w:ascii="Calibri" w:eastAsia="Yu Gothic Light" w:hAnsi="Calibri" w:cs="Calibri"/>
                <w:sz w:val="18"/>
                <w:szCs w:val="18"/>
              </w:rPr>
              <w:t> = </w:t>
            </w:r>
            <w:r w:rsidRPr="00C1603D">
              <w:rPr>
                <w:rFonts w:eastAsia="Yu Gothic Light"/>
                <w:lang w:eastAsia="en-GB"/>
              </w:rPr>
              <w:t>223)</w:t>
            </w:r>
          </w:p>
        </w:tc>
        <w:tc>
          <w:tcPr>
            <w:tcW w:w="0" w:type="auto"/>
            <w:shd w:val="clear" w:color="auto" w:fill="auto"/>
          </w:tcPr>
          <w:p w14:paraId="20143C47" w14:textId="5D6B44C6" w:rsidR="00E51FE7" w:rsidRPr="00C1603D" w:rsidRDefault="00E51FE7" w:rsidP="00E51FE7">
            <w:pPr>
              <w:pStyle w:val="710TableheadTablesTableFigureBoxstyles"/>
              <w:rPr>
                <w:lang w:eastAsia="en-GB"/>
              </w:rPr>
            </w:pPr>
            <w:r w:rsidRPr="00C1603D">
              <w:rPr>
                <w:rFonts w:eastAsia="Yu Gothic Light"/>
                <w:lang w:eastAsia="en-GB"/>
              </w:rPr>
              <w:t>Free-text respondents (</w:t>
            </w:r>
            <w:r w:rsidRPr="00C1603D">
              <w:rPr>
                <w:rFonts w:eastAsia="Yu Gothic Light"/>
                <w:i/>
                <w:lang w:eastAsia="en-GB"/>
              </w:rPr>
              <w:t>N</w:t>
            </w:r>
            <w:r w:rsidRPr="00C1603D">
              <w:rPr>
                <w:rFonts w:ascii="Calibri" w:eastAsia="Yu Gothic Light" w:hAnsi="Calibri" w:cs="Calibri"/>
                <w:sz w:val="18"/>
                <w:szCs w:val="18"/>
              </w:rPr>
              <w:t> = </w:t>
            </w:r>
            <w:r w:rsidRPr="00C1603D">
              <w:rPr>
                <w:rFonts w:eastAsia="Yu Gothic Light"/>
                <w:lang w:eastAsia="en-GB"/>
              </w:rPr>
              <w:t>353)</w:t>
            </w:r>
          </w:p>
        </w:tc>
        <w:tc>
          <w:tcPr>
            <w:tcW w:w="0" w:type="auto"/>
            <w:shd w:val="clear" w:color="auto" w:fill="auto"/>
          </w:tcPr>
          <w:p w14:paraId="43592DD5" w14:textId="773A3891" w:rsidR="00E51FE7" w:rsidRPr="00C1603D" w:rsidRDefault="00E51FE7" w:rsidP="00E51FE7">
            <w:pPr>
              <w:pStyle w:val="710TableheadTablesTableFigureBoxstyles"/>
              <w:rPr>
                <w:lang w:eastAsia="en-GB"/>
              </w:rPr>
            </w:pPr>
            <w:r w:rsidRPr="00C1603D">
              <w:rPr>
                <w:rFonts w:eastAsia="Yu Gothic Light"/>
                <w:lang w:eastAsia="en-GB"/>
              </w:rPr>
              <w:t>Total survey respondents (</w:t>
            </w:r>
            <w:r w:rsidRPr="00C1603D">
              <w:rPr>
                <w:rFonts w:eastAsia="Yu Gothic Light"/>
                <w:i/>
                <w:lang w:eastAsia="en-GB"/>
              </w:rPr>
              <w:t>N</w:t>
            </w:r>
            <w:r w:rsidRPr="00C1603D">
              <w:rPr>
                <w:rFonts w:ascii="Calibri" w:eastAsia="Yu Gothic Light" w:hAnsi="Calibri" w:cs="Calibri"/>
                <w:sz w:val="18"/>
                <w:szCs w:val="18"/>
              </w:rPr>
              <w:t> = </w:t>
            </w:r>
            <w:r w:rsidRPr="00C1603D">
              <w:rPr>
                <w:rFonts w:eastAsia="Yu Gothic Light"/>
                <w:lang w:eastAsia="en-GB"/>
              </w:rPr>
              <w:t>468)</w:t>
            </w:r>
          </w:p>
        </w:tc>
      </w:tr>
      <w:tr w:rsidR="008B4DF8" w:rsidRPr="00C1603D" w14:paraId="5AC26761" w14:textId="77777777" w:rsidTr="00E51FE7">
        <w:trPr>
          <w:cantSplit/>
        </w:trPr>
        <w:tc>
          <w:tcPr>
            <w:tcW w:w="0" w:type="auto"/>
            <w:gridSpan w:val="5"/>
            <w:shd w:val="clear" w:color="auto" w:fill="auto"/>
          </w:tcPr>
          <w:p w14:paraId="0EA493AF" w14:textId="744EE7E9" w:rsidR="008B4DF8" w:rsidRPr="00C1603D" w:rsidRDefault="008B4DF8" w:rsidP="00AA3BC0">
            <w:pPr>
              <w:pStyle w:val="711TablesubheadATablesTableFigureBoxstyles"/>
              <w:rPr>
                <w:lang w:eastAsia="en-GB"/>
              </w:rPr>
            </w:pPr>
            <w:r w:rsidRPr="00C1603D">
              <w:rPr>
                <w:rFonts w:eastAsia="Yu Gothic Light"/>
                <w:lang w:eastAsia="en-GB"/>
              </w:rPr>
              <w:t>Factors prompting CD diagnosis</w:t>
            </w:r>
          </w:p>
        </w:tc>
      </w:tr>
      <w:tr w:rsidR="00E51FE7" w:rsidRPr="00C1603D" w14:paraId="020EC592" w14:textId="77777777" w:rsidTr="00E51FE7">
        <w:trPr>
          <w:cantSplit/>
        </w:trPr>
        <w:tc>
          <w:tcPr>
            <w:tcW w:w="0" w:type="auto"/>
            <w:shd w:val="clear" w:color="auto" w:fill="auto"/>
          </w:tcPr>
          <w:p w14:paraId="6F04E707" w14:textId="77777777" w:rsidR="008B4DF8" w:rsidRPr="00C1603D" w:rsidRDefault="008B4DF8" w:rsidP="00AA3BC0">
            <w:pPr>
              <w:pStyle w:val="72TabletextTablesTableFigureBoxstyles"/>
              <w:rPr>
                <w:lang w:eastAsia="en-GB"/>
              </w:rPr>
            </w:pPr>
            <w:r w:rsidRPr="00C1603D">
              <w:rPr>
                <w:rFonts w:eastAsia="Yu Gothic Light"/>
                <w:lang w:eastAsia="en-GB"/>
              </w:rPr>
              <w:t>Osteoporosis would prompt a desire for testing</w:t>
            </w:r>
          </w:p>
        </w:tc>
        <w:tc>
          <w:tcPr>
            <w:tcW w:w="0" w:type="auto"/>
            <w:shd w:val="clear" w:color="auto" w:fill="auto"/>
          </w:tcPr>
          <w:p w14:paraId="2A1FDBE0" w14:textId="04D82BAF" w:rsidR="008B4DF8" w:rsidRPr="00C1603D" w:rsidRDefault="008B4DF8" w:rsidP="00AA3BC0">
            <w:pPr>
              <w:pStyle w:val="72TabletextTablesTableFigureBoxstyles"/>
              <w:rPr>
                <w:lang w:eastAsia="en-GB"/>
              </w:rPr>
            </w:pPr>
            <w:r w:rsidRPr="00C1603D">
              <w:rPr>
                <w:rFonts w:eastAsia="Yu Gothic Light"/>
                <w:lang w:eastAsia="en-GB"/>
              </w:rPr>
              <w:t>21 (8.6</w:t>
            </w:r>
            <w:r w:rsidR="00E51FE7" w:rsidRPr="00C1603D">
              <w:rPr>
                <w:rFonts w:eastAsia="Yu Gothic Light"/>
                <w:lang w:eastAsia="en-GB"/>
              </w:rPr>
              <w:t>)</w:t>
            </w:r>
          </w:p>
        </w:tc>
        <w:tc>
          <w:tcPr>
            <w:tcW w:w="0" w:type="auto"/>
            <w:shd w:val="clear" w:color="auto" w:fill="auto"/>
          </w:tcPr>
          <w:p w14:paraId="2342DC3F" w14:textId="3B802D62" w:rsidR="008B4DF8" w:rsidRPr="00C1603D" w:rsidRDefault="008B4DF8" w:rsidP="00AA3BC0">
            <w:pPr>
              <w:pStyle w:val="72TabletextTablesTableFigureBoxstyles"/>
              <w:rPr>
                <w:lang w:eastAsia="en-GB"/>
              </w:rPr>
            </w:pPr>
            <w:r w:rsidRPr="00C1603D">
              <w:rPr>
                <w:rFonts w:eastAsia="Yu Gothic Light"/>
                <w:lang w:eastAsia="en-GB"/>
              </w:rPr>
              <w:t>23 (10.3</w:t>
            </w:r>
            <w:r w:rsidR="00E51FE7" w:rsidRPr="00C1603D">
              <w:rPr>
                <w:rFonts w:eastAsia="Yu Gothic Light"/>
                <w:lang w:eastAsia="en-GB"/>
              </w:rPr>
              <w:t>)</w:t>
            </w:r>
          </w:p>
        </w:tc>
        <w:tc>
          <w:tcPr>
            <w:tcW w:w="0" w:type="auto"/>
            <w:shd w:val="clear" w:color="auto" w:fill="auto"/>
          </w:tcPr>
          <w:p w14:paraId="57081562" w14:textId="77760D87" w:rsidR="008B4DF8" w:rsidRPr="00C1603D" w:rsidRDefault="008B4DF8" w:rsidP="00AA3BC0">
            <w:pPr>
              <w:pStyle w:val="72TabletextTablesTableFigureBoxstyles"/>
              <w:rPr>
                <w:lang w:eastAsia="en-GB"/>
              </w:rPr>
            </w:pPr>
            <w:r w:rsidRPr="00C1603D">
              <w:rPr>
                <w:rFonts w:eastAsia="Yu Gothic Light"/>
                <w:lang w:eastAsia="en-GB"/>
              </w:rPr>
              <w:t>44 (12.5</w:t>
            </w:r>
            <w:r w:rsidR="00E51FE7" w:rsidRPr="00C1603D">
              <w:rPr>
                <w:rFonts w:eastAsia="Yu Gothic Light"/>
                <w:lang w:eastAsia="en-GB"/>
              </w:rPr>
              <w:t>)</w:t>
            </w:r>
          </w:p>
        </w:tc>
        <w:tc>
          <w:tcPr>
            <w:tcW w:w="0" w:type="auto"/>
            <w:shd w:val="clear" w:color="auto" w:fill="auto"/>
          </w:tcPr>
          <w:p w14:paraId="6C2928CA" w14:textId="0B61E491" w:rsidR="008B4DF8" w:rsidRPr="00C1603D" w:rsidRDefault="008B4DF8" w:rsidP="00AA3BC0">
            <w:pPr>
              <w:pStyle w:val="72TabletextTablesTableFigureBoxstyles"/>
              <w:rPr>
                <w:lang w:eastAsia="en-GB"/>
              </w:rPr>
            </w:pPr>
            <w:r w:rsidRPr="00C1603D">
              <w:rPr>
                <w:rFonts w:eastAsia="Yu Gothic Light"/>
                <w:lang w:eastAsia="en-GB"/>
              </w:rPr>
              <w:t>44 (9.4</w:t>
            </w:r>
            <w:r w:rsidR="00E51FE7" w:rsidRPr="00C1603D">
              <w:rPr>
                <w:rFonts w:eastAsia="Yu Gothic Light"/>
                <w:lang w:eastAsia="en-GB"/>
              </w:rPr>
              <w:t>)</w:t>
            </w:r>
          </w:p>
        </w:tc>
      </w:tr>
      <w:tr w:rsidR="00E51FE7" w:rsidRPr="00C1603D" w14:paraId="7D741CD3" w14:textId="77777777" w:rsidTr="00E51FE7">
        <w:trPr>
          <w:cantSplit/>
        </w:trPr>
        <w:tc>
          <w:tcPr>
            <w:tcW w:w="0" w:type="auto"/>
            <w:shd w:val="clear" w:color="auto" w:fill="auto"/>
          </w:tcPr>
          <w:p w14:paraId="0BBE3301" w14:textId="410D481C" w:rsidR="008B4DF8" w:rsidRPr="00C1603D" w:rsidRDefault="008B4DF8" w:rsidP="00AA3BC0">
            <w:pPr>
              <w:pStyle w:val="72TabletextTablesTableFigureBoxstyles"/>
              <w:rPr>
                <w:lang w:eastAsia="en-GB"/>
              </w:rPr>
            </w:pPr>
            <w:r w:rsidRPr="00C1603D">
              <w:rPr>
                <w:rFonts w:eastAsia="Yu Gothic Light"/>
                <w:lang w:eastAsia="en-GB"/>
              </w:rPr>
              <w:t xml:space="preserve">Would look into CD diagnosis immediately and rule it out early if it </w:t>
            </w:r>
            <w:proofErr w:type="gramStart"/>
            <w:r w:rsidRPr="00C1603D">
              <w:rPr>
                <w:rFonts w:eastAsia="Yu Gothic Light"/>
                <w:lang w:eastAsia="en-GB"/>
              </w:rPr>
              <w:t>was</w:t>
            </w:r>
            <w:proofErr w:type="gramEnd"/>
            <w:r w:rsidRPr="00C1603D">
              <w:rPr>
                <w:rFonts w:eastAsia="Yu Gothic Light"/>
                <w:lang w:eastAsia="en-GB"/>
              </w:rPr>
              <w:t xml:space="preserve"> suggested</w:t>
            </w:r>
          </w:p>
        </w:tc>
        <w:tc>
          <w:tcPr>
            <w:tcW w:w="0" w:type="auto"/>
            <w:shd w:val="clear" w:color="auto" w:fill="auto"/>
          </w:tcPr>
          <w:p w14:paraId="1AB7735A" w14:textId="66B0A5F7" w:rsidR="008B4DF8" w:rsidRPr="00C1603D" w:rsidRDefault="008B4DF8" w:rsidP="00AA3BC0">
            <w:pPr>
              <w:pStyle w:val="72TabletextTablesTableFigureBoxstyles"/>
              <w:rPr>
                <w:lang w:eastAsia="en-GB"/>
              </w:rPr>
            </w:pPr>
            <w:r w:rsidRPr="00C1603D">
              <w:rPr>
                <w:rFonts w:eastAsia="Yu Gothic Light"/>
                <w:lang w:eastAsia="en-GB"/>
              </w:rPr>
              <w:t>28 (11.5</w:t>
            </w:r>
            <w:r w:rsidR="00E51FE7" w:rsidRPr="00C1603D">
              <w:rPr>
                <w:rFonts w:eastAsia="Yu Gothic Light"/>
                <w:lang w:eastAsia="en-GB"/>
              </w:rPr>
              <w:t>)</w:t>
            </w:r>
          </w:p>
        </w:tc>
        <w:tc>
          <w:tcPr>
            <w:tcW w:w="0" w:type="auto"/>
            <w:shd w:val="clear" w:color="auto" w:fill="auto"/>
          </w:tcPr>
          <w:p w14:paraId="0AD100D5" w14:textId="09905D34" w:rsidR="008B4DF8" w:rsidRPr="00C1603D" w:rsidRDefault="008B4DF8" w:rsidP="00AA3BC0">
            <w:pPr>
              <w:pStyle w:val="72TabletextTablesTableFigureBoxstyles"/>
              <w:rPr>
                <w:lang w:eastAsia="en-GB"/>
              </w:rPr>
            </w:pPr>
            <w:r w:rsidRPr="00C1603D">
              <w:rPr>
                <w:rFonts w:eastAsia="Yu Gothic Light"/>
                <w:lang w:eastAsia="en-GB"/>
              </w:rPr>
              <w:t>31 (13.9</w:t>
            </w:r>
            <w:r w:rsidR="00E51FE7" w:rsidRPr="00C1603D">
              <w:rPr>
                <w:rFonts w:eastAsia="Yu Gothic Light"/>
                <w:lang w:eastAsia="en-GB"/>
              </w:rPr>
              <w:t>)</w:t>
            </w:r>
          </w:p>
        </w:tc>
        <w:tc>
          <w:tcPr>
            <w:tcW w:w="0" w:type="auto"/>
            <w:shd w:val="clear" w:color="auto" w:fill="auto"/>
          </w:tcPr>
          <w:p w14:paraId="0F199801" w14:textId="78B8367F" w:rsidR="008B4DF8" w:rsidRPr="00C1603D" w:rsidRDefault="008B4DF8" w:rsidP="00AA3BC0">
            <w:pPr>
              <w:pStyle w:val="72TabletextTablesTableFigureBoxstyles"/>
              <w:rPr>
                <w:lang w:eastAsia="en-GB"/>
              </w:rPr>
            </w:pPr>
            <w:r w:rsidRPr="00C1603D">
              <w:rPr>
                <w:rFonts w:eastAsia="Yu Gothic Light"/>
                <w:lang w:eastAsia="en-GB"/>
              </w:rPr>
              <w:t>59 (16.7</w:t>
            </w:r>
            <w:r w:rsidR="00E51FE7" w:rsidRPr="00C1603D">
              <w:rPr>
                <w:rFonts w:eastAsia="Yu Gothic Light"/>
                <w:lang w:eastAsia="en-GB"/>
              </w:rPr>
              <w:t>)</w:t>
            </w:r>
          </w:p>
        </w:tc>
        <w:tc>
          <w:tcPr>
            <w:tcW w:w="0" w:type="auto"/>
            <w:shd w:val="clear" w:color="auto" w:fill="auto"/>
          </w:tcPr>
          <w:p w14:paraId="63E90510" w14:textId="4656C3EB" w:rsidR="008B4DF8" w:rsidRPr="00C1603D" w:rsidRDefault="008B4DF8" w:rsidP="00AA3BC0">
            <w:pPr>
              <w:pStyle w:val="72TabletextTablesTableFigureBoxstyles"/>
              <w:rPr>
                <w:lang w:eastAsia="en-GB"/>
              </w:rPr>
            </w:pPr>
            <w:r w:rsidRPr="00C1603D">
              <w:rPr>
                <w:rFonts w:eastAsia="Yu Gothic Light"/>
                <w:lang w:eastAsia="en-GB"/>
              </w:rPr>
              <w:t>59 (12.6</w:t>
            </w:r>
            <w:r w:rsidR="00E51FE7" w:rsidRPr="00C1603D">
              <w:rPr>
                <w:rFonts w:eastAsia="Yu Gothic Light"/>
                <w:lang w:eastAsia="en-GB"/>
              </w:rPr>
              <w:t>)</w:t>
            </w:r>
          </w:p>
        </w:tc>
      </w:tr>
      <w:tr w:rsidR="00E51FE7" w:rsidRPr="00C1603D" w14:paraId="7E2DDEEF" w14:textId="77777777" w:rsidTr="00E51FE7">
        <w:trPr>
          <w:cantSplit/>
        </w:trPr>
        <w:tc>
          <w:tcPr>
            <w:tcW w:w="0" w:type="auto"/>
            <w:shd w:val="clear" w:color="auto" w:fill="auto"/>
          </w:tcPr>
          <w:p w14:paraId="6A82C349" w14:textId="35944339" w:rsidR="008B4DF8" w:rsidRPr="00C1603D" w:rsidRDefault="008B4DF8" w:rsidP="00AA3BC0">
            <w:pPr>
              <w:pStyle w:val="72TabletextTablesTableFigureBoxstyles"/>
              <w:rPr>
                <w:lang w:eastAsia="en-GB"/>
              </w:rPr>
            </w:pPr>
            <w:r w:rsidRPr="00C1603D">
              <w:rPr>
                <w:rFonts w:eastAsia="Yu Gothic Light"/>
                <w:lang w:eastAsia="en-GB"/>
              </w:rPr>
              <w:t>Having an official diagnosis is important</w:t>
            </w:r>
          </w:p>
        </w:tc>
        <w:tc>
          <w:tcPr>
            <w:tcW w:w="0" w:type="auto"/>
            <w:shd w:val="clear" w:color="auto" w:fill="auto"/>
          </w:tcPr>
          <w:p w14:paraId="358AB271" w14:textId="65E1B1DC" w:rsidR="008B4DF8" w:rsidRPr="00C1603D" w:rsidRDefault="008B4DF8" w:rsidP="00AA3BC0">
            <w:pPr>
              <w:pStyle w:val="72TabletextTablesTableFigureBoxstyles"/>
              <w:rPr>
                <w:lang w:eastAsia="en-GB"/>
              </w:rPr>
            </w:pPr>
            <w:r w:rsidRPr="00C1603D">
              <w:rPr>
                <w:rFonts w:eastAsia="Yu Gothic Light"/>
                <w:lang w:eastAsia="en-GB"/>
              </w:rPr>
              <w:t>38 (15.6</w:t>
            </w:r>
            <w:r w:rsidR="00E51FE7" w:rsidRPr="00C1603D">
              <w:rPr>
                <w:rFonts w:eastAsia="Yu Gothic Light"/>
                <w:lang w:eastAsia="en-GB"/>
              </w:rPr>
              <w:t>)</w:t>
            </w:r>
          </w:p>
        </w:tc>
        <w:tc>
          <w:tcPr>
            <w:tcW w:w="0" w:type="auto"/>
            <w:shd w:val="clear" w:color="auto" w:fill="auto"/>
          </w:tcPr>
          <w:p w14:paraId="24EC7A9C" w14:textId="79CC15ED" w:rsidR="008B4DF8" w:rsidRPr="00C1603D" w:rsidRDefault="008B4DF8" w:rsidP="00AA3BC0">
            <w:pPr>
              <w:pStyle w:val="72TabletextTablesTableFigureBoxstyles"/>
              <w:rPr>
                <w:lang w:eastAsia="en-GB"/>
              </w:rPr>
            </w:pPr>
            <w:r w:rsidRPr="00C1603D">
              <w:rPr>
                <w:rFonts w:eastAsia="Yu Gothic Light"/>
                <w:lang w:eastAsia="en-GB"/>
              </w:rPr>
              <w:t>11 (4.9</w:t>
            </w:r>
            <w:r w:rsidR="00E51FE7" w:rsidRPr="00C1603D">
              <w:rPr>
                <w:rFonts w:eastAsia="Yu Gothic Light"/>
                <w:lang w:eastAsia="en-GB"/>
              </w:rPr>
              <w:t>)</w:t>
            </w:r>
          </w:p>
        </w:tc>
        <w:tc>
          <w:tcPr>
            <w:tcW w:w="0" w:type="auto"/>
            <w:shd w:val="clear" w:color="auto" w:fill="auto"/>
          </w:tcPr>
          <w:p w14:paraId="1F28792F" w14:textId="232E196A" w:rsidR="008B4DF8" w:rsidRPr="00C1603D" w:rsidRDefault="008B4DF8" w:rsidP="00AA3BC0">
            <w:pPr>
              <w:pStyle w:val="72TabletextTablesTableFigureBoxstyles"/>
              <w:rPr>
                <w:lang w:eastAsia="en-GB"/>
              </w:rPr>
            </w:pPr>
            <w:r w:rsidRPr="00C1603D">
              <w:rPr>
                <w:rFonts w:eastAsia="Yu Gothic Light"/>
                <w:lang w:eastAsia="en-GB"/>
              </w:rPr>
              <w:t>49 (13.9</w:t>
            </w:r>
            <w:r w:rsidR="00E51FE7" w:rsidRPr="00C1603D">
              <w:rPr>
                <w:rFonts w:eastAsia="Yu Gothic Light"/>
                <w:lang w:eastAsia="en-GB"/>
              </w:rPr>
              <w:t>)</w:t>
            </w:r>
          </w:p>
        </w:tc>
        <w:tc>
          <w:tcPr>
            <w:tcW w:w="0" w:type="auto"/>
            <w:shd w:val="clear" w:color="auto" w:fill="auto"/>
          </w:tcPr>
          <w:p w14:paraId="6EBDB0A0" w14:textId="03B7DBEF" w:rsidR="008B4DF8" w:rsidRPr="00C1603D" w:rsidRDefault="008B4DF8" w:rsidP="00AA3BC0">
            <w:pPr>
              <w:pStyle w:val="72TabletextTablesTableFigureBoxstyles"/>
              <w:rPr>
                <w:lang w:eastAsia="en-GB"/>
              </w:rPr>
            </w:pPr>
            <w:r w:rsidRPr="00C1603D">
              <w:rPr>
                <w:rFonts w:eastAsia="Yu Gothic Light"/>
                <w:lang w:eastAsia="en-GB"/>
              </w:rPr>
              <w:t>49 (10.5</w:t>
            </w:r>
            <w:r w:rsidR="00E51FE7" w:rsidRPr="00C1603D">
              <w:rPr>
                <w:rFonts w:eastAsia="Yu Gothic Light"/>
                <w:lang w:eastAsia="en-GB"/>
              </w:rPr>
              <w:t>)</w:t>
            </w:r>
          </w:p>
        </w:tc>
      </w:tr>
      <w:tr w:rsidR="00E51FE7" w:rsidRPr="00C1603D" w14:paraId="350C2D3F" w14:textId="77777777" w:rsidTr="00E51FE7">
        <w:trPr>
          <w:cantSplit/>
        </w:trPr>
        <w:tc>
          <w:tcPr>
            <w:tcW w:w="0" w:type="auto"/>
            <w:shd w:val="clear" w:color="auto" w:fill="auto"/>
          </w:tcPr>
          <w:p w14:paraId="40CE7DEC" w14:textId="13E3AE83" w:rsidR="008B4DF8" w:rsidRPr="00C1603D" w:rsidRDefault="008B4DF8" w:rsidP="00AA3BC0">
            <w:pPr>
              <w:pStyle w:val="72TabletextTablesTableFigureBoxstyles"/>
              <w:rPr>
                <w:lang w:eastAsia="en-GB"/>
              </w:rPr>
            </w:pPr>
            <w:r w:rsidRPr="00C1603D">
              <w:rPr>
                <w:rFonts w:eastAsia="Yu Gothic Light"/>
                <w:lang w:eastAsia="en-GB"/>
              </w:rPr>
              <w:t>Future risks prompt seeking or continuing testing for diagnosis</w:t>
            </w:r>
          </w:p>
        </w:tc>
        <w:tc>
          <w:tcPr>
            <w:tcW w:w="0" w:type="auto"/>
            <w:shd w:val="clear" w:color="auto" w:fill="auto"/>
          </w:tcPr>
          <w:p w14:paraId="4CC18D64" w14:textId="3E348D4E" w:rsidR="008B4DF8" w:rsidRPr="00C1603D" w:rsidRDefault="008B4DF8" w:rsidP="00AA3BC0">
            <w:pPr>
              <w:pStyle w:val="72TabletextTablesTableFigureBoxstyles"/>
              <w:rPr>
                <w:lang w:eastAsia="en-GB"/>
              </w:rPr>
            </w:pPr>
            <w:r w:rsidRPr="00C1603D">
              <w:rPr>
                <w:rFonts w:eastAsia="Yu Gothic Light"/>
                <w:lang w:eastAsia="en-GB"/>
              </w:rPr>
              <w:t>20 (8.2</w:t>
            </w:r>
            <w:r w:rsidR="00E51FE7" w:rsidRPr="00C1603D">
              <w:rPr>
                <w:rFonts w:eastAsia="Yu Gothic Light"/>
                <w:lang w:eastAsia="en-GB"/>
              </w:rPr>
              <w:t>)</w:t>
            </w:r>
          </w:p>
        </w:tc>
        <w:tc>
          <w:tcPr>
            <w:tcW w:w="0" w:type="auto"/>
            <w:shd w:val="clear" w:color="auto" w:fill="auto"/>
          </w:tcPr>
          <w:p w14:paraId="385A1A2F" w14:textId="6F59758F" w:rsidR="008B4DF8" w:rsidRPr="00C1603D" w:rsidRDefault="008B4DF8" w:rsidP="00AA3BC0">
            <w:pPr>
              <w:pStyle w:val="72TabletextTablesTableFigureBoxstyles"/>
              <w:rPr>
                <w:lang w:eastAsia="en-GB"/>
              </w:rPr>
            </w:pPr>
            <w:r w:rsidRPr="00C1603D">
              <w:rPr>
                <w:rFonts w:eastAsia="Yu Gothic Light"/>
                <w:lang w:eastAsia="en-GB"/>
              </w:rPr>
              <w:t>17 (7.6</w:t>
            </w:r>
            <w:r w:rsidR="00E51FE7" w:rsidRPr="00C1603D">
              <w:rPr>
                <w:rFonts w:eastAsia="Yu Gothic Light"/>
                <w:lang w:eastAsia="en-GB"/>
              </w:rPr>
              <w:t>)</w:t>
            </w:r>
          </w:p>
        </w:tc>
        <w:tc>
          <w:tcPr>
            <w:tcW w:w="0" w:type="auto"/>
            <w:shd w:val="clear" w:color="auto" w:fill="auto"/>
          </w:tcPr>
          <w:p w14:paraId="73AB4347" w14:textId="53928A64" w:rsidR="008B4DF8" w:rsidRPr="00C1603D" w:rsidRDefault="008B4DF8" w:rsidP="00AA3BC0">
            <w:pPr>
              <w:pStyle w:val="72TabletextTablesTableFigureBoxstyles"/>
              <w:rPr>
                <w:lang w:eastAsia="en-GB"/>
              </w:rPr>
            </w:pPr>
            <w:r w:rsidRPr="00C1603D">
              <w:rPr>
                <w:rFonts w:eastAsia="Yu Gothic Light"/>
                <w:lang w:eastAsia="en-GB"/>
              </w:rPr>
              <w:t>37 (10.5</w:t>
            </w:r>
            <w:r w:rsidR="00E51FE7" w:rsidRPr="00C1603D">
              <w:rPr>
                <w:rFonts w:eastAsia="Yu Gothic Light"/>
                <w:lang w:eastAsia="en-GB"/>
              </w:rPr>
              <w:t>)</w:t>
            </w:r>
          </w:p>
        </w:tc>
        <w:tc>
          <w:tcPr>
            <w:tcW w:w="0" w:type="auto"/>
            <w:shd w:val="clear" w:color="auto" w:fill="auto"/>
          </w:tcPr>
          <w:p w14:paraId="0C410291" w14:textId="5B1DAD32" w:rsidR="008B4DF8" w:rsidRPr="00C1603D" w:rsidRDefault="008B4DF8" w:rsidP="00AA3BC0">
            <w:pPr>
              <w:pStyle w:val="72TabletextTablesTableFigureBoxstyles"/>
              <w:rPr>
                <w:lang w:eastAsia="en-GB"/>
              </w:rPr>
            </w:pPr>
            <w:r w:rsidRPr="00C1603D">
              <w:rPr>
                <w:rFonts w:eastAsia="Yu Gothic Light"/>
                <w:lang w:eastAsia="en-GB"/>
              </w:rPr>
              <w:t>37 (7.9</w:t>
            </w:r>
            <w:r w:rsidR="00E51FE7" w:rsidRPr="00C1603D">
              <w:rPr>
                <w:rFonts w:eastAsia="Yu Gothic Light"/>
                <w:lang w:eastAsia="en-GB"/>
              </w:rPr>
              <w:t>)</w:t>
            </w:r>
          </w:p>
        </w:tc>
      </w:tr>
      <w:tr w:rsidR="00E51FE7" w:rsidRPr="00C1603D" w14:paraId="5C68AE8E" w14:textId="77777777" w:rsidTr="00E51FE7">
        <w:trPr>
          <w:cantSplit/>
        </w:trPr>
        <w:tc>
          <w:tcPr>
            <w:tcW w:w="0" w:type="auto"/>
            <w:shd w:val="clear" w:color="auto" w:fill="auto"/>
          </w:tcPr>
          <w:p w14:paraId="2F30A90C" w14:textId="20AA9209" w:rsidR="008B4DF8" w:rsidRPr="00C1603D" w:rsidRDefault="008B4DF8" w:rsidP="00AA3BC0">
            <w:pPr>
              <w:pStyle w:val="72TabletextTablesTableFigureBoxstyles"/>
              <w:rPr>
                <w:lang w:eastAsia="en-GB"/>
              </w:rPr>
            </w:pPr>
            <w:r w:rsidRPr="00C1603D">
              <w:rPr>
                <w:rFonts w:eastAsia="Yu Gothic Light"/>
                <w:lang w:eastAsia="en-GB"/>
              </w:rPr>
              <w:t>Symptoms decide or prompted getting or continuing seeking diagnosis</w:t>
            </w:r>
          </w:p>
        </w:tc>
        <w:tc>
          <w:tcPr>
            <w:tcW w:w="0" w:type="auto"/>
            <w:shd w:val="clear" w:color="auto" w:fill="auto"/>
          </w:tcPr>
          <w:p w14:paraId="78D1FF0F" w14:textId="7E21D28A" w:rsidR="008B4DF8" w:rsidRPr="00C1603D" w:rsidRDefault="008B4DF8" w:rsidP="00AA3BC0">
            <w:pPr>
              <w:pStyle w:val="72TabletextTablesTableFigureBoxstyles"/>
              <w:rPr>
                <w:lang w:eastAsia="en-GB"/>
              </w:rPr>
            </w:pPr>
            <w:r w:rsidRPr="00C1603D">
              <w:rPr>
                <w:rFonts w:eastAsia="Yu Gothic Light"/>
                <w:lang w:eastAsia="en-GB"/>
              </w:rPr>
              <w:t>16 (6.6</w:t>
            </w:r>
            <w:r w:rsidR="00E51FE7" w:rsidRPr="00C1603D">
              <w:rPr>
                <w:rFonts w:eastAsia="Yu Gothic Light"/>
                <w:lang w:eastAsia="en-GB"/>
              </w:rPr>
              <w:t>)</w:t>
            </w:r>
          </w:p>
        </w:tc>
        <w:tc>
          <w:tcPr>
            <w:tcW w:w="0" w:type="auto"/>
            <w:shd w:val="clear" w:color="auto" w:fill="auto"/>
          </w:tcPr>
          <w:p w14:paraId="2B32CA27" w14:textId="229CC59E" w:rsidR="008B4DF8" w:rsidRPr="00C1603D" w:rsidRDefault="008B4DF8" w:rsidP="00AA3BC0">
            <w:pPr>
              <w:pStyle w:val="72TabletextTablesTableFigureBoxstyles"/>
              <w:rPr>
                <w:lang w:eastAsia="en-GB"/>
              </w:rPr>
            </w:pPr>
            <w:r w:rsidRPr="00C1603D">
              <w:rPr>
                <w:rFonts w:eastAsia="Yu Gothic Light"/>
                <w:lang w:eastAsia="en-GB"/>
              </w:rPr>
              <w:t>13 (5.8</w:t>
            </w:r>
            <w:r w:rsidR="00E51FE7" w:rsidRPr="00C1603D">
              <w:rPr>
                <w:rFonts w:eastAsia="Yu Gothic Light"/>
                <w:lang w:eastAsia="en-GB"/>
              </w:rPr>
              <w:t>)</w:t>
            </w:r>
          </w:p>
        </w:tc>
        <w:tc>
          <w:tcPr>
            <w:tcW w:w="0" w:type="auto"/>
            <w:shd w:val="clear" w:color="auto" w:fill="auto"/>
          </w:tcPr>
          <w:p w14:paraId="5681FCA1" w14:textId="46184E6C" w:rsidR="008B4DF8" w:rsidRPr="00C1603D" w:rsidRDefault="008B4DF8" w:rsidP="00AA3BC0">
            <w:pPr>
              <w:pStyle w:val="72TabletextTablesTableFigureBoxstyles"/>
              <w:rPr>
                <w:lang w:eastAsia="en-GB"/>
              </w:rPr>
            </w:pPr>
            <w:r w:rsidRPr="00C1603D">
              <w:rPr>
                <w:rFonts w:eastAsia="Yu Gothic Light"/>
                <w:lang w:eastAsia="en-GB"/>
              </w:rPr>
              <w:t>29 (8.2</w:t>
            </w:r>
            <w:r w:rsidR="00E51FE7" w:rsidRPr="00C1603D">
              <w:rPr>
                <w:rFonts w:eastAsia="Yu Gothic Light"/>
                <w:lang w:eastAsia="en-GB"/>
              </w:rPr>
              <w:t>)</w:t>
            </w:r>
          </w:p>
        </w:tc>
        <w:tc>
          <w:tcPr>
            <w:tcW w:w="0" w:type="auto"/>
            <w:shd w:val="clear" w:color="auto" w:fill="auto"/>
          </w:tcPr>
          <w:p w14:paraId="53C58ABF" w14:textId="70F9296F" w:rsidR="008B4DF8" w:rsidRPr="00C1603D" w:rsidRDefault="008B4DF8" w:rsidP="00AA3BC0">
            <w:pPr>
              <w:pStyle w:val="72TabletextTablesTableFigureBoxstyles"/>
              <w:rPr>
                <w:lang w:eastAsia="en-GB"/>
              </w:rPr>
            </w:pPr>
            <w:r w:rsidRPr="00C1603D">
              <w:rPr>
                <w:rFonts w:eastAsia="Yu Gothic Light"/>
                <w:lang w:eastAsia="en-GB"/>
              </w:rPr>
              <w:t>29 (6.2</w:t>
            </w:r>
            <w:r w:rsidR="00E51FE7" w:rsidRPr="00C1603D">
              <w:rPr>
                <w:rFonts w:eastAsia="Yu Gothic Light"/>
                <w:lang w:eastAsia="en-GB"/>
              </w:rPr>
              <w:t>)</w:t>
            </w:r>
          </w:p>
        </w:tc>
      </w:tr>
      <w:tr w:rsidR="00E51FE7" w:rsidRPr="00C1603D" w14:paraId="1834F8C3" w14:textId="77777777" w:rsidTr="00E51FE7">
        <w:trPr>
          <w:cantSplit/>
        </w:trPr>
        <w:tc>
          <w:tcPr>
            <w:tcW w:w="0" w:type="auto"/>
            <w:shd w:val="clear" w:color="auto" w:fill="auto"/>
          </w:tcPr>
          <w:p w14:paraId="36FD7061" w14:textId="4AB130D2" w:rsidR="008B4DF8" w:rsidRPr="00C1603D" w:rsidRDefault="008B4DF8" w:rsidP="00AA3BC0">
            <w:pPr>
              <w:pStyle w:val="72TabletextTablesTableFigureBoxstyles"/>
              <w:rPr>
                <w:lang w:eastAsia="en-GB"/>
              </w:rPr>
            </w:pPr>
            <w:r w:rsidRPr="00C1603D">
              <w:rPr>
                <w:rFonts w:eastAsia="Yu Gothic Light"/>
                <w:lang w:eastAsia="en-GB"/>
              </w:rPr>
              <w:t>Family impacts looking into CD diagnosis</w:t>
            </w:r>
          </w:p>
        </w:tc>
        <w:tc>
          <w:tcPr>
            <w:tcW w:w="0" w:type="auto"/>
            <w:shd w:val="clear" w:color="auto" w:fill="auto"/>
          </w:tcPr>
          <w:p w14:paraId="33CCF734" w14:textId="1641F58A" w:rsidR="008B4DF8" w:rsidRPr="00C1603D" w:rsidRDefault="008B4DF8" w:rsidP="00AA3BC0">
            <w:pPr>
              <w:pStyle w:val="72TabletextTablesTableFigureBoxstyles"/>
              <w:rPr>
                <w:lang w:eastAsia="en-GB"/>
              </w:rPr>
            </w:pPr>
            <w:r w:rsidRPr="00C1603D">
              <w:rPr>
                <w:rFonts w:eastAsia="Yu Gothic Light"/>
                <w:lang w:eastAsia="en-GB"/>
              </w:rPr>
              <w:t>13 (5.3</w:t>
            </w:r>
            <w:r w:rsidR="00E51FE7" w:rsidRPr="00C1603D">
              <w:rPr>
                <w:rFonts w:eastAsia="Yu Gothic Light"/>
                <w:lang w:eastAsia="en-GB"/>
              </w:rPr>
              <w:t>)</w:t>
            </w:r>
          </w:p>
        </w:tc>
        <w:tc>
          <w:tcPr>
            <w:tcW w:w="0" w:type="auto"/>
            <w:shd w:val="clear" w:color="auto" w:fill="auto"/>
          </w:tcPr>
          <w:p w14:paraId="5934680C" w14:textId="609FB47D" w:rsidR="008B4DF8" w:rsidRPr="00C1603D" w:rsidRDefault="008B4DF8" w:rsidP="00AA3BC0">
            <w:pPr>
              <w:pStyle w:val="72TabletextTablesTableFigureBoxstyles"/>
              <w:rPr>
                <w:lang w:eastAsia="en-GB"/>
              </w:rPr>
            </w:pPr>
            <w:r w:rsidRPr="00C1603D">
              <w:rPr>
                <w:rFonts w:eastAsia="Yu Gothic Light"/>
                <w:lang w:eastAsia="en-GB"/>
              </w:rPr>
              <w:t>11 (4.9</w:t>
            </w:r>
            <w:r w:rsidR="00E51FE7" w:rsidRPr="00C1603D">
              <w:rPr>
                <w:rFonts w:eastAsia="Yu Gothic Light"/>
                <w:lang w:eastAsia="en-GB"/>
              </w:rPr>
              <w:t>)</w:t>
            </w:r>
          </w:p>
        </w:tc>
        <w:tc>
          <w:tcPr>
            <w:tcW w:w="0" w:type="auto"/>
            <w:shd w:val="clear" w:color="auto" w:fill="auto"/>
          </w:tcPr>
          <w:p w14:paraId="4A886C40" w14:textId="3B512BBE" w:rsidR="008B4DF8" w:rsidRPr="00C1603D" w:rsidRDefault="008B4DF8" w:rsidP="00AA3BC0">
            <w:pPr>
              <w:pStyle w:val="72TabletextTablesTableFigureBoxstyles"/>
              <w:rPr>
                <w:lang w:eastAsia="en-GB"/>
              </w:rPr>
            </w:pPr>
            <w:r w:rsidRPr="00C1603D">
              <w:rPr>
                <w:rFonts w:eastAsia="Yu Gothic Light"/>
                <w:lang w:eastAsia="en-GB"/>
              </w:rPr>
              <w:t>24 (6.8</w:t>
            </w:r>
            <w:r w:rsidR="00E51FE7" w:rsidRPr="00C1603D">
              <w:rPr>
                <w:rFonts w:eastAsia="Yu Gothic Light"/>
                <w:lang w:eastAsia="en-GB"/>
              </w:rPr>
              <w:t>)</w:t>
            </w:r>
          </w:p>
        </w:tc>
        <w:tc>
          <w:tcPr>
            <w:tcW w:w="0" w:type="auto"/>
            <w:shd w:val="clear" w:color="auto" w:fill="auto"/>
          </w:tcPr>
          <w:p w14:paraId="6EADAF8F" w14:textId="319CA886" w:rsidR="008B4DF8" w:rsidRPr="00C1603D" w:rsidRDefault="008B4DF8" w:rsidP="00AA3BC0">
            <w:pPr>
              <w:pStyle w:val="72TabletextTablesTableFigureBoxstyles"/>
              <w:rPr>
                <w:lang w:eastAsia="en-GB"/>
              </w:rPr>
            </w:pPr>
            <w:r w:rsidRPr="00C1603D">
              <w:rPr>
                <w:rFonts w:eastAsia="Yu Gothic Light"/>
                <w:lang w:eastAsia="en-GB"/>
              </w:rPr>
              <w:t>24 (5.1</w:t>
            </w:r>
            <w:r w:rsidR="00E51FE7" w:rsidRPr="00C1603D">
              <w:rPr>
                <w:rFonts w:eastAsia="Yu Gothic Light"/>
                <w:lang w:eastAsia="en-GB"/>
              </w:rPr>
              <w:t>)</w:t>
            </w:r>
          </w:p>
        </w:tc>
      </w:tr>
      <w:tr w:rsidR="00E51FE7" w:rsidRPr="00C1603D" w14:paraId="368506AA" w14:textId="77777777" w:rsidTr="00E51FE7">
        <w:trPr>
          <w:cantSplit/>
        </w:trPr>
        <w:tc>
          <w:tcPr>
            <w:tcW w:w="0" w:type="auto"/>
            <w:shd w:val="clear" w:color="auto" w:fill="auto"/>
          </w:tcPr>
          <w:p w14:paraId="43381566" w14:textId="0AAAC20F" w:rsidR="008B4DF8" w:rsidRPr="00C1603D" w:rsidRDefault="008B4DF8" w:rsidP="00AA3BC0">
            <w:pPr>
              <w:pStyle w:val="72TabletextTablesTableFigureBoxstyles"/>
              <w:rPr>
                <w:lang w:eastAsia="en-GB"/>
              </w:rPr>
            </w:pPr>
            <w:r w:rsidRPr="00C1603D">
              <w:rPr>
                <w:rFonts w:eastAsia="Yu Gothic Light"/>
                <w:color w:val="00B0F0"/>
                <w:lang w:eastAsia="en-GB"/>
              </w:rPr>
              <w:t>Does not</w:t>
            </w:r>
            <w:r w:rsidRPr="00C1603D">
              <w:rPr>
                <w:rFonts w:eastAsia="Yu Gothic Light"/>
                <w:lang w:eastAsia="en-GB"/>
              </w:rPr>
              <w:t xml:space="preserve"> feel an official diagnosis as important</w:t>
            </w:r>
          </w:p>
        </w:tc>
        <w:tc>
          <w:tcPr>
            <w:tcW w:w="0" w:type="auto"/>
            <w:shd w:val="clear" w:color="auto" w:fill="auto"/>
          </w:tcPr>
          <w:p w14:paraId="5999CB9C" w14:textId="4D8A1CF4" w:rsidR="008B4DF8" w:rsidRPr="00C1603D" w:rsidRDefault="008B4DF8" w:rsidP="00AA3BC0">
            <w:pPr>
              <w:pStyle w:val="72TabletextTablesTableFigureBoxstyles"/>
              <w:rPr>
                <w:lang w:eastAsia="en-GB"/>
              </w:rPr>
            </w:pPr>
            <w:r w:rsidRPr="00C1603D">
              <w:rPr>
                <w:rFonts w:eastAsia="Yu Gothic Light"/>
                <w:lang w:eastAsia="en-GB"/>
              </w:rPr>
              <w:t>1 (0.4</w:t>
            </w:r>
            <w:r w:rsidR="00E51FE7" w:rsidRPr="00C1603D">
              <w:rPr>
                <w:rFonts w:eastAsia="Yu Gothic Light"/>
                <w:lang w:eastAsia="en-GB"/>
              </w:rPr>
              <w:t>)</w:t>
            </w:r>
          </w:p>
        </w:tc>
        <w:tc>
          <w:tcPr>
            <w:tcW w:w="0" w:type="auto"/>
            <w:shd w:val="clear" w:color="auto" w:fill="auto"/>
          </w:tcPr>
          <w:p w14:paraId="7C250C8A" w14:textId="0EA875D3" w:rsidR="008B4DF8" w:rsidRPr="00C1603D" w:rsidRDefault="008B4DF8" w:rsidP="00AA3BC0">
            <w:pPr>
              <w:pStyle w:val="72TabletextTablesTableFigureBoxstyles"/>
              <w:rPr>
                <w:lang w:eastAsia="en-GB"/>
              </w:rPr>
            </w:pPr>
            <w:r w:rsidRPr="00C1603D">
              <w:rPr>
                <w:rFonts w:eastAsia="Yu Gothic Light"/>
                <w:lang w:eastAsia="en-GB"/>
              </w:rPr>
              <w:t>3 (1.3</w:t>
            </w:r>
            <w:r w:rsidR="00E51FE7" w:rsidRPr="00C1603D">
              <w:rPr>
                <w:rFonts w:eastAsia="Yu Gothic Light"/>
                <w:lang w:eastAsia="en-GB"/>
              </w:rPr>
              <w:t>)</w:t>
            </w:r>
          </w:p>
        </w:tc>
        <w:tc>
          <w:tcPr>
            <w:tcW w:w="0" w:type="auto"/>
            <w:shd w:val="clear" w:color="auto" w:fill="auto"/>
          </w:tcPr>
          <w:p w14:paraId="345F076A" w14:textId="3966F163" w:rsidR="008B4DF8" w:rsidRPr="00C1603D" w:rsidRDefault="008B4DF8" w:rsidP="00AA3BC0">
            <w:pPr>
              <w:pStyle w:val="72TabletextTablesTableFigureBoxstyles"/>
              <w:rPr>
                <w:lang w:eastAsia="en-GB"/>
              </w:rPr>
            </w:pPr>
            <w:r w:rsidRPr="00C1603D">
              <w:rPr>
                <w:rFonts w:eastAsia="Yu Gothic Light"/>
                <w:lang w:eastAsia="en-GB"/>
              </w:rPr>
              <w:t>4 (1.1</w:t>
            </w:r>
            <w:r w:rsidR="00E51FE7" w:rsidRPr="00C1603D">
              <w:rPr>
                <w:rFonts w:eastAsia="Yu Gothic Light"/>
                <w:lang w:eastAsia="en-GB"/>
              </w:rPr>
              <w:t>)</w:t>
            </w:r>
          </w:p>
        </w:tc>
        <w:tc>
          <w:tcPr>
            <w:tcW w:w="0" w:type="auto"/>
            <w:shd w:val="clear" w:color="auto" w:fill="auto"/>
          </w:tcPr>
          <w:p w14:paraId="3CAC3BF5" w14:textId="6E879871" w:rsidR="008B4DF8" w:rsidRPr="00C1603D" w:rsidRDefault="008B4DF8" w:rsidP="00AA3BC0">
            <w:pPr>
              <w:pStyle w:val="72TabletextTablesTableFigureBoxstyles"/>
              <w:rPr>
                <w:lang w:eastAsia="en-GB"/>
              </w:rPr>
            </w:pPr>
            <w:r w:rsidRPr="00C1603D">
              <w:rPr>
                <w:rFonts w:eastAsia="Yu Gothic Light"/>
                <w:lang w:eastAsia="en-GB"/>
              </w:rPr>
              <w:t>4 (0.9</w:t>
            </w:r>
            <w:r w:rsidR="00E51FE7" w:rsidRPr="00C1603D">
              <w:rPr>
                <w:rFonts w:eastAsia="Yu Gothic Light"/>
                <w:lang w:eastAsia="en-GB"/>
              </w:rPr>
              <w:t>)</w:t>
            </w:r>
          </w:p>
        </w:tc>
      </w:tr>
      <w:tr w:rsidR="008B4DF8" w:rsidRPr="00C1603D" w14:paraId="22538985" w14:textId="77777777" w:rsidTr="00E51FE7">
        <w:trPr>
          <w:cantSplit/>
        </w:trPr>
        <w:tc>
          <w:tcPr>
            <w:tcW w:w="0" w:type="auto"/>
            <w:gridSpan w:val="5"/>
            <w:shd w:val="clear" w:color="auto" w:fill="auto"/>
          </w:tcPr>
          <w:p w14:paraId="285D6760" w14:textId="6FD73B45" w:rsidR="008B4DF8" w:rsidRPr="00C1603D" w:rsidRDefault="008B4DF8" w:rsidP="00AA3BC0">
            <w:pPr>
              <w:pStyle w:val="711TablesubheadATablesTableFigureBoxstyles"/>
              <w:rPr>
                <w:lang w:eastAsia="en-GB"/>
              </w:rPr>
            </w:pPr>
            <w:r w:rsidRPr="00C1603D">
              <w:rPr>
                <w:rFonts w:eastAsia="Yu Gothic Light"/>
                <w:lang w:eastAsia="en-GB"/>
              </w:rPr>
              <w:t xml:space="preserve">The </w:t>
            </w:r>
            <w:r w:rsidR="00E51FE7" w:rsidRPr="00C1603D">
              <w:rPr>
                <w:rFonts w:eastAsia="Yu Gothic Light"/>
                <w:lang w:eastAsia="en-GB"/>
              </w:rPr>
              <w:t>diagnostic process</w:t>
            </w:r>
          </w:p>
        </w:tc>
      </w:tr>
      <w:tr w:rsidR="00E51FE7" w:rsidRPr="00C1603D" w14:paraId="3949FB05" w14:textId="77777777" w:rsidTr="00E51FE7">
        <w:trPr>
          <w:cantSplit/>
        </w:trPr>
        <w:tc>
          <w:tcPr>
            <w:tcW w:w="0" w:type="auto"/>
            <w:shd w:val="clear" w:color="auto" w:fill="auto"/>
          </w:tcPr>
          <w:p w14:paraId="79CF7D44" w14:textId="2F09A6CD" w:rsidR="008B4DF8" w:rsidRPr="00C1603D" w:rsidRDefault="008B4DF8" w:rsidP="00AA3BC0">
            <w:pPr>
              <w:pStyle w:val="72TabletextTablesTableFigureBoxstyles"/>
              <w:rPr>
                <w:rFonts w:eastAsia="Yu Gothic Light"/>
              </w:rPr>
            </w:pPr>
            <w:r w:rsidRPr="00C1603D">
              <w:rPr>
                <w:rFonts w:eastAsia="Yu Gothic Light"/>
                <w:lang w:eastAsia="en-GB"/>
              </w:rPr>
              <w:t>See blood tests as non-invasive or easy to have</w:t>
            </w:r>
          </w:p>
        </w:tc>
        <w:tc>
          <w:tcPr>
            <w:tcW w:w="0" w:type="auto"/>
            <w:shd w:val="clear" w:color="auto" w:fill="auto"/>
          </w:tcPr>
          <w:p w14:paraId="2805A49F" w14:textId="2D78AFE7" w:rsidR="008B4DF8" w:rsidRPr="00C1603D" w:rsidRDefault="008B4DF8" w:rsidP="00AA3BC0">
            <w:pPr>
              <w:pStyle w:val="72TabletextTablesTableFigureBoxstyles"/>
              <w:rPr>
                <w:lang w:eastAsia="en-GB"/>
              </w:rPr>
            </w:pPr>
            <w:r w:rsidRPr="00C1603D">
              <w:rPr>
                <w:rFonts w:eastAsia="Yu Gothic Light"/>
                <w:lang w:eastAsia="en-GB"/>
              </w:rPr>
              <w:t>94 (38.5</w:t>
            </w:r>
            <w:r w:rsidR="00E51FE7" w:rsidRPr="00C1603D">
              <w:rPr>
                <w:rFonts w:eastAsia="Yu Gothic Light"/>
                <w:lang w:eastAsia="en-GB"/>
              </w:rPr>
              <w:t>)</w:t>
            </w:r>
          </w:p>
        </w:tc>
        <w:tc>
          <w:tcPr>
            <w:tcW w:w="0" w:type="auto"/>
            <w:shd w:val="clear" w:color="auto" w:fill="auto"/>
          </w:tcPr>
          <w:p w14:paraId="7B89389B" w14:textId="62F87DD0" w:rsidR="008B4DF8" w:rsidRPr="00C1603D" w:rsidRDefault="008B4DF8" w:rsidP="00AA3BC0">
            <w:pPr>
              <w:pStyle w:val="72TabletextTablesTableFigureBoxstyles"/>
              <w:rPr>
                <w:lang w:eastAsia="en-GB"/>
              </w:rPr>
            </w:pPr>
            <w:r w:rsidRPr="00C1603D">
              <w:rPr>
                <w:rFonts w:eastAsia="Yu Gothic Light"/>
                <w:lang w:eastAsia="en-GB"/>
              </w:rPr>
              <w:t>90 (40.4</w:t>
            </w:r>
            <w:r w:rsidR="00E51FE7" w:rsidRPr="00C1603D">
              <w:rPr>
                <w:rFonts w:eastAsia="Yu Gothic Light"/>
                <w:lang w:eastAsia="en-GB"/>
              </w:rPr>
              <w:t>)</w:t>
            </w:r>
          </w:p>
        </w:tc>
        <w:tc>
          <w:tcPr>
            <w:tcW w:w="0" w:type="auto"/>
            <w:shd w:val="clear" w:color="auto" w:fill="auto"/>
          </w:tcPr>
          <w:p w14:paraId="5A4D9223" w14:textId="72F2AC48" w:rsidR="008B4DF8" w:rsidRPr="00C1603D" w:rsidRDefault="008B4DF8" w:rsidP="00AA3BC0">
            <w:pPr>
              <w:pStyle w:val="72TabletextTablesTableFigureBoxstyles"/>
              <w:rPr>
                <w:lang w:eastAsia="en-GB"/>
              </w:rPr>
            </w:pPr>
            <w:r w:rsidRPr="00C1603D">
              <w:rPr>
                <w:rFonts w:eastAsia="Yu Gothic Light"/>
                <w:lang w:eastAsia="en-GB"/>
              </w:rPr>
              <w:t>184 (52.1</w:t>
            </w:r>
            <w:r w:rsidR="00E51FE7" w:rsidRPr="00C1603D">
              <w:rPr>
                <w:rFonts w:eastAsia="Yu Gothic Light"/>
                <w:lang w:eastAsia="en-GB"/>
              </w:rPr>
              <w:t>)</w:t>
            </w:r>
          </w:p>
        </w:tc>
        <w:tc>
          <w:tcPr>
            <w:tcW w:w="0" w:type="auto"/>
            <w:shd w:val="clear" w:color="auto" w:fill="auto"/>
          </w:tcPr>
          <w:p w14:paraId="6CEC1E0E" w14:textId="34FE6EAD" w:rsidR="008B4DF8" w:rsidRPr="00C1603D" w:rsidRDefault="008B4DF8" w:rsidP="00AA3BC0">
            <w:pPr>
              <w:pStyle w:val="72TabletextTablesTableFigureBoxstyles"/>
              <w:rPr>
                <w:lang w:eastAsia="en-GB"/>
              </w:rPr>
            </w:pPr>
            <w:r w:rsidRPr="00C1603D">
              <w:rPr>
                <w:rFonts w:eastAsia="Yu Gothic Light"/>
                <w:lang w:eastAsia="en-GB"/>
              </w:rPr>
              <w:t>184 (39.3</w:t>
            </w:r>
            <w:r w:rsidR="00E51FE7" w:rsidRPr="00C1603D">
              <w:rPr>
                <w:rFonts w:eastAsia="Yu Gothic Light"/>
                <w:lang w:eastAsia="en-GB"/>
              </w:rPr>
              <w:t>)</w:t>
            </w:r>
          </w:p>
        </w:tc>
      </w:tr>
      <w:tr w:rsidR="00E51FE7" w:rsidRPr="00C1603D" w14:paraId="2618D37C" w14:textId="77777777" w:rsidTr="00E51FE7">
        <w:trPr>
          <w:cantSplit/>
        </w:trPr>
        <w:tc>
          <w:tcPr>
            <w:tcW w:w="0" w:type="auto"/>
            <w:shd w:val="clear" w:color="auto" w:fill="auto"/>
          </w:tcPr>
          <w:p w14:paraId="662FB313" w14:textId="0D137719" w:rsidR="008B4DF8" w:rsidRPr="00C1603D" w:rsidRDefault="008B4DF8" w:rsidP="00AA3BC0">
            <w:pPr>
              <w:pStyle w:val="72TabletextTablesTableFigureBoxstyles"/>
              <w:rPr>
                <w:rFonts w:eastAsia="Yu Gothic Light"/>
              </w:rPr>
            </w:pPr>
            <w:r w:rsidRPr="00C1603D">
              <w:rPr>
                <w:rFonts w:eastAsia="Yu Gothic Light"/>
                <w:lang w:eastAsia="en-GB"/>
              </w:rPr>
              <w:t xml:space="preserve">Feels </w:t>
            </w:r>
            <w:r w:rsidR="00E51FE7" w:rsidRPr="00C1603D">
              <w:rPr>
                <w:rFonts w:eastAsia="Yu Gothic Light"/>
                <w:lang w:eastAsia="en-GB"/>
              </w:rPr>
              <w:t>that</w:t>
            </w:r>
            <w:r w:rsidRPr="00C1603D">
              <w:rPr>
                <w:rFonts w:eastAsia="Yu Gothic Light"/>
                <w:lang w:eastAsia="en-GB"/>
              </w:rPr>
              <w:t xml:space="preserve"> a biopsy is necessary for certainty in their diagnosis</w:t>
            </w:r>
          </w:p>
        </w:tc>
        <w:tc>
          <w:tcPr>
            <w:tcW w:w="0" w:type="auto"/>
            <w:shd w:val="clear" w:color="auto" w:fill="auto"/>
          </w:tcPr>
          <w:p w14:paraId="4EF5CBF3" w14:textId="3AB60A7C" w:rsidR="008B4DF8" w:rsidRPr="00C1603D" w:rsidRDefault="008B4DF8" w:rsidP="00AA3BC0">
            <w:pPr>
              <w:pStyle w:val="72TabletextTablesTableFigureBoxstyles"/>
              <w:rPr>
                <w:lang w:eastAsia="en-GB"/>
              </w:rPr>
            </w:pPr>
            <w:r w:rsidRPr="00C1603D">
              <w:rPr>
                <w:rFonts w:eastAsia="Yu Gothic Light"/>
                <w:lang w:eastAsia="en-GB"/>
              </w:rPr>
              <w:t>77 (31.6</w:t>
            </w:r>
            <w:r w:rsidR="00E51FE7" w:rsidRPr="00C1603D">
              <w:rPr>
                <w:rFonts w:eastAsia="Yu Gothic Light"/>
                <w:lang w:eastAsia="en-GB"/>
              </w:rPr>
              <w:t>)</w:t>
            </w:r>
          </w:p>
        </w:tc>
        <w:tc>
          <w:tcPr>
            <w:tcW w:w="0" w:type="auto"/>
            <w:shd w:val="clear" w:color="auto" w:fill="auto"/>
          </w:tcPr>
          <w:p w14:paraId="469E0045" w14:textId="15C1B4AE" w:rsidR="008B4DF8" w:rsidRPr="00C1603D" w:rsidRDefault="008B4DF8" w:rsidP="00AA3BC0">
            <w:pPr>
              <w:pStyle w:val="72TabletextTablesTableFigureBoxstyles"/>
              <w:rPr>
                <w:lang w:eastAsia="en-GB"/>
              </w:rPr>
            </w:pPr>
            <w:r w:rsidRPr="00C1603D">
              <w:rPr>
                <w:rFonts w:eastAsia="Yu Gothic Light"/>
                <w:lang w:eastAsia="en-GB"/>
              </w:rPr>
              <w:t>39 (17.5</w:t>
            </w:r>
            <w:r w:rsidR="00E51FE7" w:rsidRPr="00C1603D">
              <w:rPr>
                <w:rFonts w:eastAsia="Yu Gothic Light"/>
                <w:lang w:eastAsia="en-GB"/>
              </w:rPr>
              <w:t>)</w:t>
            </w:r>
          </w:p>
        </w:tc>
        <w:tc>
          <w:tcPr>
            <w:tcW w:w="0" w:type="auto"/>
            <w:shd w:val="clear" w:color="auto" w:fill="auto"/>
          </w:tcPr>
          <w:p w14:paraId="367D2C7C" w14:textId="1F6A1348" w:rsidR="008B4DF8" w:rsidRPr="00C1603D" w:rsidRDefault="008B4DF8" w:rsidP="00AA3BC0">
            <w:pPr>
              <w:pStyle w:val="72TabletextTablesTableFigureBoxstyles"/>
              <w:rPr>
                <w:lang w:eastAsia="en-GB"/>
              </w:rPr>
            </w:pPr>
            <w:r w:rsidRPr="00C1603D">
              <w:rPr>
                <w:rFonts w:eastAsia="Yu Gothic Light"/>
                <w:lang w:eastAsia="en-GB"/>
              </w:rPr>
              <w:t>116 (32.9</w:t>
            </w:r>
            <w:r w:rsidR="00E51FE7" w:rsidRPr="00C1603D">
              <w:rPr>
                <w:rFonts w:eastAsia="Yu Gothic Light"/>
                <w:lang w:eastAsia="en-GB"/>
              </w:rPr>
              <w:t>)</w:t>
            </w:r>
          </w:p>
        </w:tc>
        <w:tc>
          <w:tcPr>
            <w:tcW w:w="0" w:type="auto"/>
            <w:shd w:val="clear" w:color="auto" w:fill="auto"/>
          </w:tcPr>
          <w:p w14:paraId="7B206D94" w14:textId="174EE3BB" w:rsidR="008B4DF8" w:rsidRPr="00C1603D" w:rsidRDefault="008B4DF8" w:rsidP="00AA3BC0">
            <w:pPr>
              <w:pStyle w:val="72TabletextTablesTableFigureBoxstyles"/>
              <w:rPr>
                <w:lang w:eastAsia="en-GB"/>
              </w:rPr>
            </w:pPr>
            <w:r w:rsidRPr="00C1603D">
              <w:rPr>
                <w:rFonts w:eastAsia="Yu Gothic Light"/>
                <w:lang w:eastAsia="en-GB"/>
              </w:rPr>
              <w:t>116 (24.8</w:t>
            </w:r>
            <w:r w:rsidR="00E51FE7" w:rsidRPr="00C1603D">
              <w:rPr>
                <w:rFonts w:eastAsia="Yu Gothic Light"/>
                <w:lang w:eastAsia="en-GB"/>
              </w:rPr>
              <w:t>)</w:t>
            </w:r>
          </w:p>
        </w:tc>
      </w:tr>
      <w:tr w:rsidR="00E51FE7" w:rsidRPr="00C1603D" w14:paraId="6015D612" w14:textId="77777777" w:rsidTr="00E51FE7">
        <w:trPr>
          <w:cantSplit/>
        </w:trPr>
        <w:tc>
          <w:tcPr>
            <w:tcW w:w="0" w:type="auto"/>
            <w:shd w:val="clear" w:color="auto" w:fill="auto"/>
          </w:tcPr>
          <w:p w14:paraId="2175F452" w14:textId="3C7DC3FC" w:rsidR="008B4DF8" w:rsidRPr="00C1603D" w:rsidRDefault="008B4DF8" w:rsidP="00AA3BC0">
            <w:pPr>
              <w:pStyle w:val="72TabletextTablesTableFigureBoxstyles"/>
              <w:rPr>
                <w:rFonts w:eastAsia="Yu Gothic Light"/>
              </w:rPr>
            </w:pPr>
            <w:commentRangeStart w:id="719"/>
            <w:r w:rsidRPr="00C1603D">
              <w:rPr>
                <w:rFonts w:eastAsia="Yu Gothic Light"/>
                <w:lang w:eastAsia="en-GB"/>
              </w:rPr>
              <w:t xml:space="preserve">No symptoms means a biopsy is more necessary for certainty in diagnosis, or easier to have </w:t>
            </w:r>
            <w:r w:rsidR="00E51FE7" w:rsidRPr="00C1603D">
              <w:rPr>
                <w:rFonts w:eastAsia="Yu Gothic Light"/>
                <w:lang w:eastAsia="en-GB"/>
              </w:rPr>
              <w:t>than</w:t>
            </w:r>
            <w:r w:rsidRPr="00C1603D">
              <w:rPr>
                <w:rFonts w:eastAsia="Yu Gothic Light"/>
                <w:lang w:eastAsia="en-GB"/>
              </w:rPr>
              <w:t xml:space="preserve"> to continu</w:t>
            </w:r>
            <w:r w:rsidR="00E51FE7" w:rsidRPr="00C1603D">
              <w:rPr>
                <w:rFonts w:eastAsia="Yu Gothic Light"/>
                <w:lang w:eastAsia="en-GB"/>
              </w:rPr>
              <w:t>e</w:t>
            </w:r>
            <w:r w:rsidRPr="00C1603D">
              <w:rPr>
                <w:rFonts w:eastAsia="Yu Gothic Light"/>
                <w:lang w:eastAsia="en-GB"/>
              </w:rPr>
              <w:t xml:space="preserve"> </w:t>
            </w:r>
            <w:r w:rsidR="00E51FE7" w:rsidRPr="00C1603D">
              <w:rPr>
                <w:rFonts w:eastAsia="Yu Gothic Light"/>
                <w:lang w:eastAsia="en-GB"/>
              </w:rPr>
              <w:t>a GFD</w:t>
            </w:r>
            <w:r w:rsidRPr="00C1603D">
              <w:rPr>
                <w:rFonts w:eastAsia="Yu Gothic Light"/>
                <w:lang w:eastAsia="en-GB"/>
              </w:rPr>
              <w:t xml:space="preserve"> with no symptoms</w:t>
            </w:r>
            <w:commentRangeEnd w:id="719"/>
            <w:r w:rsidR="00E51FE7" w:rsidRPr="00C1603D">
              <w:rPr>
                <w:rFonts w:ascii="Times New Roman" w:hAnsi="Times New Roman" w:cs="Times New Roman"/>
                <w:color w:val="auto"/>
                <w:lang w:val="en-US"/>
              </w:rPr>
              <w:commentReference w:id="719"/>
            </w:r>
          </w:p>
        </w:tc>
        <w:tc>
          <w:tcPr>
            <w:tcW w:w="0" w:type="auto"/>
            <w:shd w:val="clear" w:color="auto" w:fill="auto"/>
          </w:tcPr>
          <w:p w14:paraId="452AB113" w14:textId="6FD3108D" w:rsidR="008B4DF8" w:rsidRPr="00C1603D" w:rsidRDefault="008B4DF8" w:rsidP="00AA3BC0">
            <w:pPr>
              <w:pStyle w:val="72TabletextTablesTableFigureBoxstyles"/>
              <w:rPr>
                <w:lang w:eastAsia="en-GB"/>
              </w:rPr>
            </w:pPr>
            <w:r w:rsidRPr="00C1603D">
              <w:rPr>
                <w:rFonts w:eastAsia="Yu Gothic Light"/>
                <w:lang w:eastAsia="en-GB"/>
              </w:rPr>
              <w:t>38 (15.6</w:t>
            </w:r>
            <w:r w:rsidR="00E51FE7" w:rsidRPr="00C1603D">
              <w:rPr>
                <w:rFonts w:eastAsia="Yu Gothic Light"/>
                <w:lang w:eastAsia="en-GB"/>
              </w:rPr>
              <w:t>)</w:t>
            </w:r>
          </w:p>
        </w:tc>
        <w:tc>
          <w:tcPr>
            <w:tcW w:w="0" w:type="auto"/>
            <w:shd w:val="clear" w:color="auto" w:fill="auto"/>
          </w:tcPr>
          <w:p w14:paraId="11D80417" w14:textId="136FDCB2" w:rsidR="008B4DF8" w:rsidRPr="00C1603D" w:rsidRDefault="008B4DF8" w:rsidP="00AA3BC0">
            <w:pPr>
              <w:pStyle w:val="72TabletextTablesTableFigureBoxstyles"/>
              <w:rPr>
                <w:lang w:eastAsia="en-GB"/>
              </w:rPr>
            </w:pPr>
            <w:r w:rsidRPr="00C1603D">
              <w:rPr>
                <w:rFonts w:eastAsia="Yu Gothic Light"/>
                <w:lang w:eastAsia="en-GB"/>
              </w:rPr>
              <w:t>38 (17.0</w:t>
            </w:r>
            <w:r w:rsidR="00E51FE7" w:rsidRPr="00C1603D">
              <w:rPr>
                <w:rFonts w:eastAsia="Yu Gothic Light"/>
                <w:lang w:eastAsia="en-GB"/>
              </w:rPr>
              <w:t>)</w:t>
            </w:r>
          </w:p>
        </w:tc>
        <w:tc>
          <w:tcPr>
            <w:tcW w:w="0" w:type="auto"/>
            <w:shd w:val="clear" w:color="auto" w:fill="auto"/>
          </w:tcPr>
          <w:p w14:paraId="2721A632" w14:textId="50D0C55B" w:rsidR="008B4DF8" w:rsidRPr="00C1603D" w:rsidRDefault="008B4DF8" w:rsidP="00AA3BC0">
            <w:pPr>
              <w:pStyle w:val="72TabletextTablesTableFigureBoxstyles"/>
              <w:rPr>
                <w:lang w:eastAsia="en-GB"/>
              </w:rPr>
            </w:pPr>
            <w:r w:rsidRPr="00C1603D">
              <w:rPr>
                <w:rFonts w:eastAsia="Yu Gothic Light"/>
                <w:lang w:eastAsia="en-GB"/>
              </w:rPr>
              <w:t>76 (21.5</w:t>
            </w:r>
            <w:r w:rsidR="00E51FE7" w:rsidRPr="00C1603D">
              <w:rPr>
                <w:rFonts w:eastAsia="Yu Gothic Light"/>
                <w:lang w:eastAsia="en-GB"/>
              </w:rPr>
              <w:t>)</w:t>
            </w:r>
          </w:p>
        </w:tc>
        <w:tc>
          <w:tcPr>
            <w:tcW w:w="0" w:type="auto"/>
            <w:shd w:val="clear" w:color="auto" w:fill="auto"/>
          </w:tcPr>
          <w:p w14:paraId="50F19CB6" w14:textId="7432CF79" w:rsidR="008B4DF8" w:rsidRPr="00C1603D" w:rsidRDefault="008B4DF8" w:rsidP="00AA3BC0">
            <w:pPr>
              <w:pStyle w:val="72TabletextTablesTableFigureBoxstyles"/>
              <w:rPr>
                <w:lang w:eastAsia="en-GB"/>
              </w:rPr>
            </w:pPr>
            <w:r w:rsidRPr="00C1603D">
              <w:rPr>
                <w:rFonts w:eastAsia="Yu Gothic Light"/>
                <w:lang w:eastAsia="en-GB"/>
              </w:rPr>
              <w:t>76 (16.2</w:t>
            </w:r>
            <w:r w:rsidR="00E51FE7" w:rsidRPr="00C1603D">
              <w:rPr>
                <w:rFonts w:eastAsia="Yu Gothic Light"/>
                <w:lang w:eastAsia="en-GB"/>
              </w:rPr>
              <w:t>)</w:t>
            </w:r>
          </w:p>
        </w:tc>
      </w:tr>
      <w:tr w:rsidR="00E51FE7" w:rsidRPr="00C1603D" w14:paraId="4C2BC1EA" w14:textId="77777777" w:rsidTr="00E51FE7">
        <w:trPr>
          <w:cantSplit/>
        </w:trPr>
        <w:tc>
          <w:tcPr>
            <w:tcW w:w="0" w:type="auto"/>
            <w:shd w:val="clear" w:color="auto" w:fill="auto"/>
          </w:tcPr>
          <w:p w14:paraId="40C25638" w14:textId="52376605" w:rsidR="008B4DF8" w:rsidRPr="00C1603D" w:rsidRDefault="008B4DF8" w:rsidP="00AA3BC0">
            <w:pPr>
              <w:pStyle w:val="72TabletextTablesTableFigureBoxstyles"/>
              <w:rPr>
                <w:rFonts w:eastAsia="Yu Gothic Light"/>
              </w:rPr>
            </w:pPr>
            <w:r w:rsidRPr="00C1603D">
              <w:rPr>
                <w:rFonts w:eastAsia="Yu Gothic Light"/>
                <w:lang w:eastAsia="en-GB"/>
              </w:rPr>
              <w:t xml:space="preserve">If the blood test shows </w:t>
            </w:r>
            <w:r w:rsidR="00E51FE7" w:rsidRPr="00C1603D">
              <w:rPr>
                <w:rFonts w:eastAsia="Yu Gothic Light"/>
                <w:lang w:eastAsia="en-GB"/>
              </w:rPr>
              <w:t>a &gt; </w:t>
            </w:r>
            <w:r w:rsidRPr="00C1603D">
              <w:rPr>
                <w:rFonts w:eastAsia="Yu Gothic Light"/>
                <w:lang w:eastAsia="en-GB"/>
              </w:rPr>
              <w:t xml:space="preserve">50% chance of having CD, would start </w:t>
            </w:r>
            <w:r w:rsidR="00E51FE7" w:rsidRPr="00C1603D">
              <w:rPr>
                <w:rFonts w:eastAsia="Yu Gothic Light"/>
                <w:lang w:eastAsia="en-GB"/>
              </w:rPr>
              <w:t xml:space="preserve">a </w:t>
            </w:r>
            <w:r w:rsidRPr="00C1603D">
              <w:rPr>
                <w:rFonts w:eastAsia="Yu Gothic Light"/>
                <w:lang w:eastAsia="en-GB"/>
              </w:rPr>
              <w:t>GFD without biopsy</w:t>
            </w:r>
          </w:p>
        </w:tc>
        <w:tc>
          <w:tcPr>
            <w:tcW w:w="0" w:type="auto"/>
            <w:shd w:val="clear" w:color="auto" w:fill="auto"/>
          </w:tcPr>
          <w:p w14:paraId="7A726879" w14:textId="40C77E70" w:rsidR="008B4DF8" w:rsidRPr="00C1603D" w:rsidRDefault="008B4DF8" w:rsidP="00AA3BC0">
            <w:pPr>
              <w:pStyle w:val="72TabletextTablesTableFigureBoxstyles"/>
              <w:rPr>
                <w:lang w:eastAsia="en-GB"/>
              </w:rPr>
            </w:pPr>
            <w:r w:rsidRPr="00C1603D">
              <w:rPr>
                <w:rFonts w:eastAsia="Yu Gothic Light"/>
                <w:lang w:eastAsia="en-GB"/>
              </w:rPr>
              <w:t>31 (12.7</w:t>
            </w:r>
            <w:r w:rsidR="00E51FE7" w:rsidRPr="00C1603D">
              <w:rPr>
                <w:rFonts w:eastAsia="Yu Gothic Light"/>
                <w:lang w:eastAsia="en-GB"/>
              </w:rPr>
              <w:t>)</w:t>
            </w:r>
          </w:p>
        </w:tc>
        <w:tc>
          <w:tcPr>
            <w:tcW w:w="0" w:type="auto"/>
            <w:shd w:val="clear" w:color="auto" w:fill="auto"/>
          </w:tcPr>
          <w:p w14:paraId="121EEAC3" w14:textId="03E05A77" w:rsidR="008B4DF8" w:rsidRPr="00C1603D" w:rsidRDefault="008B4DF8" w:rsidP="00AA3BC0">
            <w:pPr>
              <w:pStyle w:val="72TabletextTablesTableFigureBoxstyles"/>
              <w:rPr>
                <w:lang w:eastAsia="en-GB"/>
              </w:rPr>
            </w:pPr>
            <w:r w:rsidRPr="00C1603D">
              <w:rPr>
                <w:rFonts w:eastAsia="Yu Gothic Light"/>
                <w:lang w:eastAsia="en-GB"/>
              </w:rPr>
              <w:t>45 (20.2</w:t>
            </w:r>
            <w:r w:rsidR="00E51FE7" w:rsidRPr="00C1603D">
              <w:rPr>
                <w:rFonts w:eastAsia="Yu Gothic Light"/>
                <w:lang w:eastAsia="en-GB"/>
              </w:rPr>
              <w:t>)</w:t>
            </w:r>
          </w:p>
        </w:tc>
        <w:tc>
          <w:tcPr>
            <w:tcW w:w="0" w:type="auto"/>
            <w:shd w:val="clear" w:color="auto" w:fill="auto"/>
          </w:tcPr>
          <w:p w14:paraId="4720F79B" w14:textId="52135766" w:rsidR="008B4DF8" w:rsidRPr="00C1603D" w:rsidRDefault="008B4DF8" w:rsidP="00AA3BC0">
            <w:pPr>
              <w:pStyle w:val="72TabletextTablesTableFigureBoxstyles"/>
              <w:rPr>
                <w:lang w:eastAsia="en-GB"/>
              </w:rPr>
            </w:pPr>
            <w:r w:rsidRPr="00C1603D">
              <w:rPr>
                <w:rFonts w:eastAsia="Yu Gothic Light"/>
                <w:lang w:eastAsia="en-GB"/>
              </w:rPr>
              <w:t>76 (21.5</w:t>
            </w:r>
            <w:r w:rsidR="00E51FE7" w:rsidRPr="00C1603D">
              <w:rPr>
                <w:rFonts w:eastAsia="Yu Gothic Light"/>
                <w:lang w:eastAsia="en-GB"/>
              </w:rPr>
              <w:t>)</w:t>
            </w:r>
          </w:p>
        </w:tc>
        <w:tc>
          <w:tcPr>
            <w:tcW w:w="0" w:type="auto"/>
            <w:shd w:val="clear" w:color="auto" w:fill="auto"/>
          </w:tcPr>
          <w:p w14:paraId="56C7DB0F" w14:textId="42DAEBFE" w:rsidR="008B4DF8" w:rsidRPr="00C1603D" w:rsidRDefault="008B4DF8" w:rsidP="00AA3BC0">
            <w:pPr>
              <w:pStyle w:val="72TabletextTablesTableFigureBoxstyles"/>
              <w:rPr>
                <w:lang w:eastAsia="en-GB"/>
              </w:rPr>
            </w:pPr>
            <w:r w:rsidRPr="00C1603D">
              <w:rPr>
                <w:rFonts w:eastAsia="Yu Gothic Light"/>
                <w:lang w:eastAsia="en-GB"/>
              </w:rPr>
              <w:t>76 (16.2</w:t>
            </w:r>
            <w:r w:rsidR="00E51FE7" w:rsidRPr="00C1603D">
              <w:rPr>
                <w:rFonts w:eastAsia="Yu Gothic Light"/>
                <w:lang w:eastAsia="en-GB"/>
              </w:rPr>
              <w:t>)</w:t>
            </w:r>
          </w:p>
        </w:tc>
      </w:tr>
      <w:tr w:rsidR="00E51FE7" w:rsidRPr="00C1603D" w14:paraId="68FD4C4B" w14:textId="77777777" w:rsidTr="00E51FE7">
        <w:trPr>
          <w:cantSplit/>
        </w:trPr>
        <w:tc>
          <w:tcPr>
            <w:tcW w:w="0" w:type="auto"/>
            <w:shd w:val="clear" w:color="auto" w:fill="auto"/>
          </w:tcPr>
          <w:p w14:paraId="45BB0453" w14:textId="3251A3E9" w:rsidR="008B4DF8" w:rsidRPr="00C1603D" w:rsidRDefault="008B4DF8" w:rsidP="00AA3BC0">
            <w:pPr>
              <w:pStyle w:val="72TabletextTablesTableFigureBoxstyles"/>
              <w:rPr>
                <w:rFonts w:eastAsia="Yu Gothic Light"/>
              </w:rPr>
            </w:pPr>
            <w:r w:rsidRPr="00C1603D">
              <w:rPr>
                <w:rFonts w:eastAsia="Yu Gothic Light"/>
                <w:lang w:eastAsia="en-GB"/>
              </w:rPr>
              <w:t>Would continue a gluten diet for biopsy</w:t>
            </w:r>
          </w:p>
        </w:tc>
        <w:tc>
          <w:tcPr>
            <w:tcW w:w="0" w:type="auto"/>
            <w:shd w:val="clear" w:color="auto" w:fill="auto"/>
          </w:tcPr>
          <w:p w14:paraId="32A1C795" w14:textId="7E3A88DE" w:rsidR="008B4DF8" w:rsidRPr="00C1603D" w:rsidRDefault="008B4DF8" w:rsidP="00AA3BC0">
            <w:pPr>
              <w:pStyle w:val="72TabletextTablesTableFigureBoxstyles"/>
              <w:rPr>
                <w:lang w:eastAsia="en-GB"/>
              </w:rPr>
            </w:pPr>
            <w:r w:rsidRPr="00C1603D">
              <w:rPr>
                <w:rFonts w:eastAsia="Yu Gothic Light"/>
                <w:lang w:eastAsia="en-GB"/>
              </w:rPr>
              <w:t>27 (11.1</w:t>
            </w:r>
            <w:r w:rsidR="00E51FE7" w:rsidRPr="00C1603D">
              <w:rPr>
                <w:rFonts w:eastAsia="Yu Gothic Light"/>
                <w:lang w:eastAsia="en-GB"/>
              </w:rPr>
              <w:t>)</w:t>
            </w:r>
          </w:p>
        </w:tc>
        <w:tc>
          <w:tcPr>
            <w:tcW w:w="0" w:type="auto"/>
            <w:shd w:val="clear" w:color="auto" w:fill="auto"/>
          </w:tcPr>
          <w:p w14:paraId="03727A65" w14:textId="21DBAB41" w:rsidR="008B4DF8" w:rsidRPr="00C1603D" w:rsidRDefault="008B4DF8" w:rsidP="00AA3BC0">
            <w:pPr>
              <w:pStyle w:val="72TabletextTablesTableFigureBoxstyles"/>
              <w:rPr>
                <w:lang w:eastAsia="en-GB"/>
              </w:rPr>
            </w:pPr>
            <w:r w:rsidRPr="00C1603D">
              <w:rPr>
                <w:rFonts w:eastAsia="Yu Gothic Light"/>
                <w:lang w:eastAsia="en-GB"/>
              </w:rPr>
              <w:t>14 (6.3</w:t>
            </w:r>
            <w:r w:rsidR="00E51FE7" w:rsidRPr="00C1603D">
              <w:rPr>
                <w:rFonts w:eastAsia="Yu Gothic Light"/>
                <w:lang w:eastAsia="en-GB"/>
              </w:rPr>
              <w:t>)</w:t>
            </w:r>
          </w:p>
        </w:tc>
        <w:tc>
          <w:tcPr>
            <w:tcW w:w="0" w:type="auto"/>
            <w:shd w:val="clear" w:color="auto" w:fill="auto"/>
          </w:tcPr>
          <w:p w14:paraId="59CE314F" w14:textId="2192930D" w:rsidR="008B4DF8" w:rsidRPr="00C1603D" w:rsidRDefault="008B4DF8" w:rsidP="00AA3BC0">
            <w:pPr>
              <w:pStyle w:val="72TabletextTablesTableFigureBoxstyles"/>
              <w:rPr>
                <w:lang w:eastAsia="en-GB"/>
              </w:rPr>
            </w:pPr>
            <w:r w:rsidRPr="00C1603D">
              <w:rPr>
                <w:rFonts w:eastAsia="Yu Gothic Light"/>
                <w:lang w:eastAsia="en-GB"/>
              </w:rPr>
              <w:t>41 (11.6</w:t>
            </w:r>
            <w:r w:rsidR="00E51FE7" w:rsidRPr="00C1603D">
              <w:rPr>
                <w:rFonts w:eastAsia="Yu Gothic Light"/>
                <w:lang w:eastAsia="en-GB"/>
              </w:rPr>
              <w:t>)</w:t>
            </w:r>
          </w:p>
        </w:tc>
        <w:tc>
          <w:tcPr>
            <w:tcW w:w="0" w:type="auto"/>
            <w:shd w:val="clear" w:color="auto" w:fill="auto"/>
          </w:tcPr>
          <w:p w14:paraId="56467B84" w14:textId="5F13FEC2" w:rsidR="008B4DF8" w:rsidRPr="00C1603D" w:rsidRDefault="008B4DF8" w:rsidP="00AA3BC0">
            <w:pPr>
              <w:pStyle w:val="72TabletextTablesTableFigureBoxstyles"/>
              <w:rPr>
                <w:lang w:eastAsia="en-GB"/>
              </w:rPr>
            </w:pPr>
            <w:r w:rsidRPr="00C1603D">
              <w:rPr>
                <w:rFonts w:eastAsia="Yu Gothic Light"/>
                <w:lang w:eastAsia="en-GB"/>
              </w:rPr>
              <w:t>41 (8.8</w:t>
            </w:r>
            <w:r w:rsidR="00E51FE7" w:rsidRPr="00C1603D">
              <w:rPr>
                <w:rFonts w:eastAsia="Yu Gothic Light"/>
                <w:lang w:eastAsia="en-GB"/>
              </w:rPr>
              <w:t>)</w:t>
            </w:r>
          </w:p>
        </w:tc>
      </w:tr>
      <w:tr w:rsidR="00E51FE7" w:rsidRPr="00C1603D" w14:paraId="22CED2CE" w14:textId="77777777" w:rsidTr="00E51FE7">
        <w:trPr>
          <w:cantSplit/>
        </w:trPr>
        <w:tc>
          <w:tcPr>
            <w:tcW w:w="0" w:type="auto"/>
            <w:shd w:val="clear" w:color="auto" w:fill="auto"/>
          </w:tcPr>
          <w:p w14:paraId="5864D52D" w14:textId="0109F02C" w:rsidR="008B4DF8" w:rsidRPr="00C1603D" w:rsidRDefault="008B4DF8" w:rsidP="00AA3BC0">
            <w:pPr>
              <w:pStyle w:val="72TabletextTablesTableFigureBoxstyles"/>
              <w:rPr>
                <w:rFonts w:eastAsia="Yu Gothic Light"/>
              </w:rPr>
            </w:pPr>
            <w:r w:rsidRPr="00C1603D">
              <w:rPr>
                <w:rFonts w:eastAsia="Yu Gothic Light"/>
                <w:lang w:eastAsia="en-GB"/>
              </w:rPr>
              <w:t>6</w:t>
            </w:r>
            <w:r w:rsidRPr="00C1603D">
              <w:rPr>
                <w:rFonts w:eastAsia="Yu Gothic Light"/>
                <w:color w:val="00B0F0"/>
                <w:lang w:eastAsia="en-GB"/>
              </w:rPr>
              <w:t>–8</w:t>
            </w:r>
            <w:r w:rsidRPr="00C1603D">
              <w:rPr>
                <w:rFonts w:eastAsia="Yu Gothic Light"/>
                <w:lang w:eastAsia="en-GB"/>
              </w:rPr>
              <w:t xml:space="preserve"> weeks is an acceptable wait </w:t>
            </w:r>
            <w:r w:rsidRPr="00C1603D">
              <w:rPr>
                <w:rFonts w:eastAsia="Yu Gothic Light"/>
              </w:rPr>
              <w:t>time</w:t>
            </w:r>
            <w:r w:rsidRPr="00C1603D">
              <w:rPr>
                <w:rFonts w:eastAsia="Yu Gothic Light"/>
                <w:lang w:eastAsia="en-GB"/>
              </w:rPr>
              <w:t xml:space="preserve"> for a biopsy</w:t>
            </w:r>
          </w:p>
        </w:tc>
        <w:tc>
          <w:tcPr>
            <w:tcW w:w="0" w:type="auto"/>
            <w:shd w:val="clear" w:color="auto" w:fill="auto"/>
          </w:tcPr>
          <w:p w14:paraId="2F5309D2" w14:textId="1D82DFE0" w:rsidR="008B4DF8" w:rsidRPr="00C1603D" w:rsidRDefault="008B4DF8" w:rsidP="00AA3BC0">
            <w:pPr>
              <w:pStyle w:val="72TabletextTablesTableFigureBoxstyles"/>
              <w:rPr>
                <w:lang w:eastAsia="en-GB"/>
              </w:rPr>
            </w:pPr>
            <w:r w:rsidRPr="00C1603D">
              <w:rPr>
                <w:rFonts w:eastAsia="Yu Gothic Light"/>
                <w:lang w:eastAsia="en-GB"/>
              </w:rPr>
              <w:t>9 (3.7</w:t>
            </w:r>
            <w:r w:rsidR="00E51FE7" w:rsidRPr="00C1603D">
              <w:rPr>
                <w:rFonts w:eastAsia="Yu Gothic Light"/>
                <w:lang w:eastAsia="en-GB"/>
              </w:rPr>
              <w:t>)</w:t>
            </w:r>
          </w:p>
        </w:tc>
        <w:tc>
          <w:tcPr>
            <w:tcW w:w="0" w:type="auto"/>
            <w:shd w:val="clear" w:color="auto" w:fill="auto"/>
          </w:tcPr>
          <w:p w14:paraId="1FAC9B67" w14:textId="081B9DF8" w:rsidR="008B4DF8" w:rsidRPr="00C1603D" w:rsidRDefault="008B4DF8" w:rsidP="00AA3BC0">
            <w:pPr>
              <w:pStyle w:val="72TabletextTablesTableFigureBoxstyles"/>
              <w:rPr>
                <w:lang w:eastAsia="en-GB"/>
              </w:rPr>
            </w:pPr>
            <w:r w:rsidRPr="00C1603D">
              <w:rPr>
                <w:rFonts w:eastAsia="Yu Gothic Light"/>
                <w:lang w:eastAsia="en-GB"/>
              </w:rPr>
              <w:t>19 (8.5</w:t>
            </w:r>
            <w:r w:rsidR="00E51FE7" w:rsidRPr="00C1603D">
              <w:rPr>
                <w:rFonts w:eastAsia="Yu Gothic Light"/>
                <w:lang w:eastAsia="en-GB"/>
              </w:rPr>
              <w:t>)</w:t>
            </w:r>
          </w:p>
        </w:tc>
        <w:tc>
          <w:tcPr>
            <w:tcW w:w="0" w:type="auto"/>
            <w:shd w:val="clear" w:color="auto" w:fill="auto"/>
          </w:tcPr>
          <w:p w14:paraId="3BD2774A" w14:textId="47B3748E" w:rsidR="008B4DF8" w:rsidRPr="00C1603D" w:rsidRDefault="008B4DF8" w:rsidP="00AA3BC0">
            <w:pPr>
              <w:pStyle w:val="72TabletextTablesTableFigureBoxstyles"/>
              <w:rPr>
                <w:lang w:eastAsia="en-GB"/>
              </w:rPr>
            </w:pPr>
            <w:r w:rsidRPr="00C1603D">
              <w:rPr>
                <w:rFonts w:eastAsia="Yu Gothic Light"/>
                <w:lang w:eastAsia="en-GB"/>
              </w:rPr>
              <w:t>28 (7.9</w:t>
            </w:r>
            <w:r w:rsidR="00E51FE7" w:rsidRPr="00C1603D">
              <w:rPr>
                <w:rFonts w:eastAsia="Yu Gothic Light"/>
                <w:lang w:eastAsia="en-GB"/>
              </w:rPr>
              <w:t>)</w:t>
            </w:r>
          </w:p>
        </w:tc>
        <w:tc>
          <w:tcPr>
            <w:tcW w:w="0" w:type="auto"/>
            <w:shd w:val="clear" w:color="auto" w:fill="auto"/>
          </w:tcPr>
          <w:p w14:paraId="1437268E" w14:textId="5B523F83" w:rsidR="008B4DF8" w:rsidRPr="00C1603D" w:rsidRDefault="008B4DF8" w:rsidP="00AA3BC0">
            <w:pPr>
              <w:pStyle w:val="72TabletextTablesTableFigureBoxstyles"/>
              <w:rPr>
                <w:lang w:eastAsia="en-GB"/>
              </w:rPr>
            </w:pPr>
            <w:r w:rsidRPr="00C1603D">
              <w:rPr>
                <w:rFonts w:eastAsia="Yu Gothic Light"/>
                <w:lang w:eastAsia="en-GB"/>
              </w:rPr>
              <w:t>28 (6.0</w:t>
            </w:r>
            <w:r w:rsidR="00E51FE7" w:rsidRPr="00C1603D">
              <w:rPr>
                <w:rFonts w:eastAsia="Yu Gothic Light"/>
                <w:lang w:eastAsia="en-GB"/>
              </w:rPr>
              <w:t>)</w:t>
            </w:r>
          </w:p>
        </w:tc>
      </w:tr>
      <w:tr w:rsidR="00E51FE7" w:rsidRPr="00C1603D" w14:paraId="4E878F17" w14:textId="77777777" w:rsidTr="00E51FE7">
        <w:trPr>
          <w:cantSplit/>
        </w:trPr>
        <w:tc>
          <w:tcPr>
            <w:tcW w:w="0" w:type="auto"/>
            <w:shd w:val="clear" w:color="auto" w:fill="auto"/>
          </w:tcPr>
          <w:p w14:paraId="7379EBAB" w14:textId="3C383F42" w:rsidR="008B4DF8" w:rsidRPr="00C1603D" w:rsidRDefault="008B4DF8" w:rsidP="00AA3BC0">
            <w:pPr>
              <w:pStyle w:val="72TabletextTablesTableFigureBoxstyles"/>
              <w:rPr>
                <w:rFonts w:eastAsia="Yu Gothic Light"/>
              </w:rPr>
            </w:pPr>
            <w:r w:rsidRPr="00C1603D">
              <w:rPr>
                <w:rFonts w:eastAsia="Yu Gothic Light"/>
                <w:lang w:eastAsia="en-GB"/>
              </w:rPr>
              <w:t xml:space="preserve">Feels </w:t>
            </w:r>
            <w:r w:rsidR="00E51FE7" w:rsidRPr="00C1603D">
              <w:rPr>
                <w:rFonts w:eastAsia="Yu Gothic Light"/>
                <w:lang w:eastAsia="en-GB"/>
              </w:rPr>
              <w:t>that</w:t>
            </w:r>
            <w:r w:rsidRPr="00C1603D">
              <w:rPr>
                <w:rFonts w:eastAsia="Yu Gothic Light"/>
                <w:lang w:eastAsia="en-GB"/>
              </w:rPr>
              <w:t xml:space="preserve"> a biopsy is invasive or unpleasant and would want to avoid it</w:t>
            </w:r>
          </w:p>
        </w:tc>
        <w:tc>
          <w:tcPr>
            <w:tcW w:w="0" w:type="auto"/>
            <w:shd w:val="clear" w:color="auto" w:fill="auto"/>
          </w:tcPr>
          <w:p w14:paraId="27530039" w14:textId="35483360" w:rsidR="008B4DF8" w:rsidRPr="00C1603D" w:rsidRDefault="008B4DF8" w:rsidP="00AA3BC0">
            <w:pPr>
              <w:pStyle w:val="72TabletextTablesTableFigureBoxstyles"/>
              <w:rPr>
                <w:lang w:eastAsia="en-GB"/>
              </w:rPr>
            </w:pPr>
            <w:r w:rsidRPr="00C1603D">
              <w:rPr>
                <w:rFonts w:eastAsia="Yu Gothic Light"/>
                <w:lang w:eastAsia="en-GB"/>
              </w:rPr>
              <w:t>11 (4.5</w:t>
            </w:r>
            <w:r w:rsidR="00E51FE7" w:rsidRPr="00C1603D">
              <w:rPr>
                <w:rFonts w:eastAsia="Yu Gothic Light"/>
                <w:lang w:eastAsia="en-GB"/>
              </w:rPr>
              <w:t>)</w:t>
            </w:r>
          </w:p>
        </w:tc>
        <w:tc>
          <w:tcPr>
            <w:tcW w:w="0" w:type="auto"/>
            <w:shd w:val="clear" w:color="auto" w:fill="auto"/>
          </w:tcPr>
          <w:p w14:paraId="363C6359" w14:textId="2DFEA428" w:rsidR="008B4DF8" w:rsidRPr="00C1603D" w:rsidRDefault="008B4DF8" w:rsidP="00AA3BC0">
            <w:pPr>
              <w:pStyle w:val="72TabletextTablesTableFigureBoxstyles"/>
              <w:rPr>
                <w:lang w:eastAsia="en-GB"/>
              </w:rPr>
            </w:pPr>
            <w:r w:rsidRPr="00C1603D">
              <w:rPr>
                <w:rFonts w:eastAsia="Yu Gothic Light"/>
                <w:lang w:eastAsia="en-GB"/>
              </w:rPr>
              <w:t>16 (7.2</w:t>
            </w:r>
            <w:r w:rsidR="00E51FE7" w:rsidRPr="00C1603D">
              <w:rPr>
                <w:rFonts w:eastAsia="Yu Gothic Light"/>
                <w:lang w:eastAsia="en-GB"/>
              </w:rPr>
              <w:t>)</w:t>
            </w:r>
          </w:p>
        </w:tc>
        <w:tc>
          <w:tcPr>
            <w:tcW w:w="0" w:type="auto"/>
            <w:shd w:val="clear" w:color="auto" w:fill="auto"/>
          </w:tcPr>
          <w:p w14:paraId="45BC229A" w14:textId="31DBAEA8" w:rsidR="008B4DF8" w:rsidRPr="00C1603D" w:rsidRDefault="008B4DF8" w:rsidP="00AA3BC0">
            <w:pPr>
              <w:pStyle w:val="72TabletextTablesTableFigureBoxstyles"/>
              <w:rPr>
                <w:lang w:eastAsia="en-GB"/>
              </w:rPr>
            </w:pPr>
            <w:r w:rsidRPr="00C1603D">
              <w:rPr>
                <w:rFonts w:eastAsia="Yu Gothic Light"/>
                <w:lang w:eastAsia="en-GB"/>
              </w:rPr>
              <w:t>27 (7.6</w:t>
            </w:r>
            <w:r w:rsidR="00E51FE7" w:rsidRPr="00C1603D">
              <w:rPr>
                <w:rFonts w:eastAsia="Yu Gothic Light"/>
                <w:lang w:eastAsia="en-GB"/>
              </w:rPr>
              <w:t>)</w:t>
            </w:r>
          </w:p>
        </w:tc>
        <w:tc>
          <w:tcPr>
            <w:tcW w:w="0" w:type="auto"/>
            <w:shd w:val="clear" w:color="auto" w:fill="auto"/>
          </w:tcPr>
          <w:p w14:paraId="5D883C8B" w14:textId="3FB23847" w:rsidR="008B4DF8" w:rsidRPr="00C1603D" w:rsidRDefault="008B4DF8" w:rsidP="00AA3BC0">
            <w:pPr>
              <w:pStyle w:val="72TabletextTablesTableFigureBoxstyles"/>
              <w:rPr>
                <w:lang w:eastAsia="en-GB"/>
              </w:rPr>
            </w:pPr>
            <w:r w:rsidRPr="00C1603D">
              <w:rPr>
                <w:rFonts w:eastAsia="Yu Gothic Light"/>
                <w:lang w:eastAsia="en-GB"/>
              </w:rPr>
              <w:t>27 (5.8</w:t>
            </w:r>
            <w:r w:rsidR="00E51FE7" w:rsidRPr="00C1603D">
              <w:rPr>
                <w:rFonts w:eastAsia="Yu Gothic Light"/>
                <w:lang w:eastAsia="en-GB"/>
              </w:rPr>
              <w:t>)</w:t>
            </w:r>
          </w:p>
        </w:tc>
      </w:tr>
      <w:tr w:rsidR="00E51FE7" w:rsidRPr="00C1603D" w14:paraId="2E95C581" w14:textId="77777777" w:rsidTr="00E51FE7">
        <w:trPr>
          <w:cantSplit/>
        </w:trPr>
        <w:tc>
          <w:tcPr>
            <w:tcW w:w="0" w:type="auto"/>
            <w:shd w:val="clear" w:color="auto" w:fill="auto"/>
          </w:tcPr>
          <w:p w14:paraId="41894317" w14:textId="54DFA203" w:rsidR="008B4DF8" w:rsidRPr="00C1603D" w:rsidRDefault="008B4DF8" w:rsidP="00AA3BC0">
            <w:pPr>
              <w:pStyle w:val="72TabletextTablesTableFigureBoxstyles"/>
              <w:rPr>
                <w:rFonts w:eastAsia="Yu Gothic Light"/>
              </w:rPr>
            </w:pPr>
            <w:r w:rsidRPr="00C1603D">
              <w:rPr>
                <w:rFonts w:eastAsia="Yu Gothic Light"/>
                <w:lang w:eastAsia="en-GB"/>
              </w:rPr>
              <w:t>6</w:t>
            </w:r>
            <w:r w:rsidRPr="00C1603D">
              <w:rPr>
                <w:rFonts w:eastAsia="Yu Gothic Light"/>
                <w:color w:val="00B0F0"/>
                <w:lang w:eastAsia="en-GB"/>
              </w:rPr>
              <w:t>–8</w:t>
            </w:r>
            <w:r w:rsidRPr="00C1603D">
              <w:rPr>
                <w:rFonts w:eastAsia="Yu Gothic Light"/>
                <w:lang w:eastAsia="en-GB"/>
              </w:rPr>
              <w:t xml:space="preserve"> weeks is unacceptable time to wait for a biopsy</w:t>
            </w:r>
          </w:p>
        </w:tc>
        <w:tc>
          <w:tcPr>
            <w:tcW w:w="0" w:type="auto"/>
            <w:shd w:val="clear" w:color="auto" w:fill="auto"/>
          </w:tcPr>
          <w:p w14:paraId="49DFAC1C" w14:textId="4ABE5956" w:rsidR="008B4DF8" w:rsidRPr="00C1603D" w:rsidRDefault="008B4DF8" w:rsidP="00AA3BC0">
            <w:pPr>
              <w:pStyle w:val="72TabletextTablesTableFigureBoxstyles"/>
              <w:rPr>
                <w:lang w:eastAsia="en-GB"/>
              </w:rPr>
            </w:pPr>
            <w:r w:rsidRPr="00C1603D">
              <w:rPr>
                <w:rFonts w:eastAsia="Yu Gothic Light"/>
                <w:lang w:eastAsia="en-GB"/>
              </w:rPr>
              <w:t>4 (1.6</w:t>
            </w:r>
            <w:r w:rsidR="00E51FE7" w:rsidRPr="00C1603D">
              <w:rPr>
                <w:rFonts w:eastAsia="Yu Gothic Light"/>
                <w:lang w:eastAsia="en-GB"/>
              </w:rPr>
              <w:t>)</w:t>
            </w:r>
          </w:p>
        </w:tc>
        <w:tc>
          <w:tcPr>
            <w:tcW w:w="0" w:type="auto"/>
            <w:shd w:val="clear" w:color="auto" w:fill="auto"/>
          </w:tcPr>
          <w:p w14:paraId="24DA9773" w14:textId="77777777" w:rsidR="008B4DF8" w:rsidRPr="00C1603D" w:rsidRDefault="008B4DF8" w:rsidP="00AA3BC0">
            <w:pPr>
              <w:pStyle w:val="72TabletextTablesTableFigureBoxstyles"/>
              <w:rPr>
                <w:lang w:eastAsia="en-GB"/>
              </w:rPr>
            </w:pPr>
            <w:r w:rsidRPr="00C1603D">
              <w:rPr>
                <w:rFonts w:eastAsia="Yu Gothic Light"/>
                <w:lang w:eastAsia="en-GB"/>
              </w:rPr>
              <w:t>9 (4.0</w:t>
            </w:r>
            <w:r w:rsidRPr="00C1603D">
              <w:rPr>
                <w:lang w:eastAsia="en-GB"/>
              </w:rPr>
              <w:t xml:space="preserve"> </w:t>
            </w:r>
          </w:p>
        </w:tc>
        <w:tc>
          <w:tcPr>
            <w:tcW w:w="0" w:type="auto"/>
            <w:shd w:val="clear" w:color="auto" w:fill="auto"/>
          </w:tcPr>
          <w:p w14:paraId="70F0D21E" w14:textId="6601E5E2" w:rsidR="008B4DF8" w:rsidRPr="00C1603D" w:rsidRDefault="008B4DF8" w:rsidP="00AA3BC0">
            <w:pPr>
              <w:pStyle w:val="72TabletextTablesTableFigureBoxstyles"/>
              <w:rPr>
                <w:lang w:eastAsia="en-GB"/>
              </w:rPr>
            </w:pPr>
            <w:r w:rsidRPr="00C1603D">
              <w:rPr>
                <w:rFonts w:eastAsia="Yu Gothic Light"/>
                <w:lang w:eastAsia="en-GB"/>
              </w:rPr>
              <w:t>13 (3.7</w:t>
            </w:r>
            <w:r w:rsidR="00E51FE7" w:rsidRPr="00C1603D">
              <w:rPr>
                <w:rFonts w:eastAsia="Yu Gothic Light"/>
                <w:lang w:eastAsia="en-GB"/>
              </w:rPr>
              <w:t>)</w:t>
            </w:r>
          </w:p>
        </w:tc>
        <w:tc>
          <w:tcPr>
            <w:tcW w:w="0" w:type="auto"/>
            <w:shd w:val="clear" w:color="auto" w:fill="auto"/>
          </w:tcPr>
          <w:p w14:paraId="61B9C3B4" w14:textId="441D68FF" w:rsidR="008B4DF8" w:rsidRPr="00C1603D" w:rsidRDefault="008B4DF8" w:rsidP="00AA3BC0">
            <w:pPr>
              <w:pStyle w:val="72TabletextTablesTableFigureBoxstyles"/>
              <w:rPr>
                <w:lang w:eastAsia="en-GB"/>
              </w:rPr>
            </w:pPr>
            <w:r w:rsidRPr="00C1603D">
              <w:rPr>
                <w:rFonts w:eastAsia="Yu Gothic Light"/>
                <w:lang w:eastAsia="en-GB"/>
              </w:rPr>
              <w:t>13 (2.8</w:t>
            </w:r>
            <w:r w:rsidR="00E51FE7" w:rsidRPr="00C1603D">
              <w:rPr>
                <w:rFonts w:eastAsia="Yu Gothic Light"/>
                <w:lang w:eastAsia="en-GB"/>
              </w:rPr>
              <w:t>)</w:t>
            </w:r>
          </w:p>
        </w:tc>
      </w:tr>
      <w:tr w:rsidR="008B4DF8" w:rsidRPr="00C1603D" w14:paraId="5D285466" w14:textId="77777777" w:rsidTr="00E51FE7">
        <w:trPr>
          <w:cantSplit/>
        </w:trPr>
        <w:tc>
          <w:tcPr>
            <w:tcW w:w="0" w:type="auto"/>
            <w:gridSpan w:val="5"/>
            <w:shd w:val="clear" w:color="auto" w:fill="auto"/>
          </w:tcPr>
          <w:p w14:paraId="42C6BC08" w14:textId="77777777" w:rsidR="008B4DF8" w:rsidRPr="00C1603D" w:rsidRDefault="008B4DF8" w:rsidP="00AA3BC0">
            <w:pPr>
              <w:pStyle w:val="711TablesubheadATablesTableFigureBoxstyles"/>
              <w:rPr>
                <w:lang w:eastAsia="en-GB"/>
              </w:rPr>
            </w:pPr>
            <w:r w:rsidRPr="00C1603D">
              <w:rPr>
                <w:rFonts w:eastAsia="Yu Gothic Light"/>
                <w:lang w:eastAsia="en-GB"/>
              </w:rPr>
              <w:t>How to respond to a negative test result</w:t>
            </w:r>
          </w:p>
        </w:tc>
      </w:tr>
      <w:tr w:rsidR="00E51FE7" w:rsidRPr="00C1603D" w14:paraId="7CB2AA24" w14:textId="77777777" w:rsidTr="00E51FE7">
        <w:trPr>
          <w:cantSplit/>
        </w:trPr>
        <w:tc>
          <w:tcPr>
            <w:tcW w:w="0" w:type="auto"/>
            <w:shd w:val="clear" w:color="auto" w:fill="auto"/>
          </w:tcPr>
          <w:p w14:paraId="6F3AB08F" w14:textId="6563AC51" w:rsidR="008B4DF8" w:rsidRPr="00C1603D" w:rsidRDefault="008B4DF8" w:rsidP="00AA3BC0">
            <w:pPr>
              <w:pStyle w:val="72TabletextTablesTableFigureBoxstyles"/>
              <w:rPr>
                <w:rFonts w:eastAsia="Yu Gothic Light"/>
              </w:rPr>
            </w:pPr>
            <w:r w:rsidRPr="00C1603D">
              <w:rPr>
                <w:rFonts w:eastAsia="Yu Gothic Light"/>
                <w:lang w:eastAsia="en-GB"/>
              </w:rPr>
              <w:t xml:space="preserve">Would try </w:t>
            </w:r>
            <w:r w:rsidR="00E51FE7" w:rsidRPr="00C1603D">
              <w:rPr>
                <w:rFonts w:eastAsia="Yu Gothic Light"/>
                <w:lang w:eastAsia="en-GB"/>
              </w:rPr>
              <w:t>a GFD</w:t>
            </w:r>
            <w:r w:rsidRPr="00C1603D">
              <w:rPr>
                <w:rFonts w:eastAsia="Yu Gothic Light"/>
                <w:lang w:eastAsia="en-GB"/>
              </w:rPr>
              <w:t xml:space="preserve"> regardless of diagnosis</w:t>
            </w:r>
          </w:p>
        </w:tc>
        <w:tc>
          <w:tcPr>
            <w:tcW w:w="0" w:type="auto"/>
            <w:shd w:val="clear" w:color="auto" w:fill="auto"/>
          </w:tcPr>
          <w:p w14:paraId="3994402E" w14:textId="5AE7869C" w:rsidR="008B4DF8" w:rsidRPr="00C1603D" w:rsidRDefault="008B4DF8" w:rsidP="00AA3BC0">
            <w:pPr>
              <w:pStyle w:val="72TabletextTablesTableFigureBoxstyles"/>
              <w:rPr>
                <w:lang w:eastAsia="en-GB"/>
              </w:rPr>
            </w:pPr>
            <w:r w:rsidRPr="00C1603D">
              <w:rPr>
                <w:rFonts w:eastAsia="Yu Gothic Light"/>
                <w:lang w:eastAsia="en-GB"/>
              </w:rPr>
              <w:t>12 (4.9</w:t>
            </w:r>
            <w:r w:rsidR="00E51FE7" w:rsidRPr="00C1603D">
              <w:rPr>
                <w:rFonts w:eastAsia="Yu Gothic Light"/>
                <w:lang w:eastAsia="en-GB"/>
              </w:rPr>
              <w:t>)</w:t>
            </w:r>
          </w:p>
        </w:tc>
        <w:tc>
          <w:tcPr>
            <w:tcW w:w="0" w:type="auto"/>
            <w:shd w:val="clear" w:color="auto" w:fill="auto"/>
          </w:tcPr>
          <w:p w14:paraId="076F03A6" w14:textId="22AF57D4" w:rsidR="008B4DF8" w:rsidRPr="00C1603D" w:rsidRDefault="008B4DF8" w:rsidP="00AA3BC0">
            <w:pPr>
              <w:pStyle w:val="72TabletextTablesTableFigureBoxstyles"/>
              <w:rPr>
                <w:lang w:eastAsia="en-GB"/>
              </w:rPr>
            </w:pPr>
            <w:r w:rsidRPr="00C1603D">
              <w:rPr>
                <w:rFonts w:eastAsia="Yu Gothic Light"/>
                <w:lang w:eastAsia="en-GB"/>
              </w:rPr>
              <w:t>25 (11.2</w:t>
            </w:r>
            <w:r w:rsidR="00E51FE7" w:rsidRPr="00C1603D">
              <w:rPr>
                <w:rFonts w:eastAsia="Yu Gothic Light"/>
                <w:lang w:eastAsia="en-GB"/>
              </w:rPr>
              <w:t>)</w:t>
            </w:r>
          </w:p>
        </w:tc>
        <w:tc>
          <w:tcPr>
            <w:tcW w:w="0" w:type="auto"/>
            <w:shd w:val="clear" w:color="auto" w:fill="auto"/>
          </w:tcPr>
          <w:p w14:paraId="48EBB01A" w14:textId="2F2DF5B8" w:rsidR="008B4DF8" w:rsidRPr="00C1603D" w:rsidRDefault="008B4DF8" w:rsidP="00AA3BC0">
            <w:pPr>
              <w:pStyle w:val="72TabletextTablesTableFigureBoxstyles"/>
              <w:rPr>
                <w:lang w:eastAsia="en-GB"/>
              </w:rPr>
            </w:pPr>
            <w:r w:rsidRPr="00C1603D">
              <w:rPr>
                <w:rFonts w:eastAsia="Yu Gothic Light"/>
                <w:lang w:eastAsia="en-GB"/>
              </w:rPr>
              <w:t>37 (10.5</w:t>
            </w:r>
            <w:r w:rsidR="00E51FE7" w:rsidRPr="00C1603D">
              <w:rPr>
                <w:rFonts w:eastAsia="Yu Gothic Light"/>
                <w:lang w:eastAsia="en-GB"/>
              </w:rPr>
              <w:t>)</w:t>
            </w:r>
          </w:p>
        </w:tc>
        <w:tc>
          <w:tcPr>
            <w:tcW w:w="0" w:type="auto"/>
            <w:shd w:val="clear" w:color="auto" w:fill="auto"/>
          </w:tcPr>
          <w:p w14:paraId="14CFA326" w14:textId="39D806A6" w:rsidR="008B4DF8" w:rsidRPr="00C1603D" w:rsidRDefault="008B4DF8" w:rsidP="00AA3BC0">
            <w:pPr>
              <w:pStyle w:val="72TabletextTablesTableFigureBoxstyles"/>
              <w:rPr>
                <w:lang w:eastAsia="en-GB"/>
              </w:rPr>
            </w:pPr>
            <w:r w:rsidRPr="00C1603D">
              <w:rPr>
                <w:rFonts w:eastAsia="Yu Gothic Light"/>
                <w:lang w:eastAsia="en-GB"/>
              </w:rPr>
              <w:t>37 (7.9</w:t>
            </w:r>
            <w:r w:rsidR="00E51FE7" w:rsidRPr="00C1603D">
              <w:rPr>
                <w:rFonts w:eastAsia="Yu Gothic Light"/>
                <w:lang w:eastAsia="en-GB"/>
              </w:rPr>
              <w:t>)</w:t>
            </w:r>
          </w:p>
        </w:tc>
      </w:tr>
      <w:tr w:rsidR="00E51FE7" w:rsidRPr="00C1603D" w14:paraId="0592CF81" w14:textId="77777777" w:rsidTr="00E51FE7">
        <w:trPr>
          <w:cantSplit/>
        </w:trPr>
        <w:tc>
          <w:tcPr>
            <w:tcW w:w="0" w:type="auto"/>
            <w:shd w:val="clear" w:color="auto" w:fill="auto"/>
          </w:tcPr>
          <w:p w14:paraId="6D360FE6" w14:textId="3BD69CA2" w:rsidR="008B4DF8" w:rsidRPr="00C1603D" w:rsidRDefault="008B4DF8" w:rsidP="00E51FE7">
            <w:pPr>
              <w:pStyle w:val="72TabletextTablesTableFigureBoxstyles"/>
              <w:rPr>
                <w:rFonts w:eastAsia="Yu Gothic Light"/>
                <w:sz w:val="24"/>
                <w:szCs w:val="24"/>
                <w:lang w:eastAsia="en-GB"/>
              </w:rPr>
            </w:pPr>
            <w:r w:rsidRPr="00C1603D">
              <w:rPr>
                <w:rFonts w:eastAsia="Yu Gothic Light"/>
                <w:lang w:eastAsia="en-GB"/>
              </w:rPr>
              <w:t>Would ask for further testing or retesting if negative result</w:t>
            </w:r>
          </w:p>
        </w:tc>
        <w:tc>
          <w:tcPr>
            <w:tcW w:w="0" w:type="auto"/>
            <w:shd w:val="clear" w:color="auto" w:fill="auto"/>
          </w:tcPr>
          <w:p w14:paraId="4E0CEF41" w14:textId="6FE9C214" w:rsidR="008B4DF8" w:rsidRPr="00C1603D" w:rsidRDefault="008B4DF8" w:rsidP="00AA3BC0">
            <w:pPr>
              <w:pStyle w:val="72TabletextTablesTableFigureBoxstyles"/>
              <w:rPr>
                <w:lang w:eastAsia="en-GB"/>
              </w:rPr>
            </w:pPr>
            <w:r w:rsidRPr="00C1603D">
              <w:rPr>
                <w:rFonts w:eastAsia="Yu Gothic Light"/>
                <w:lang w:eastAsia="en-GB"/>
              </w:rPr>
              <w:t>16 (6.6</w:t>
            </w:r>
            <w:r w:rsidR="00E51FE7" w:rsidRPr="00C1603D">
              <w:rPr>
                <w:rFonts w:eastAsia="Yu Gothic Light"/>
                <w:lang w:eastAsia="en-GB"/>
              </w:rPr>
              <w:t>)</w:t>
            </w:r>
          </w:p>
        </w:tc>
        <w:tc>
          <w:tcPr>
            <w:tcW w:w="0" w:type="auto"/>
            <w:shd w:val="clear" w:color="auto" w:fill="auto"/>
          </w:tcPr>
          <w:p w14:paraId="61435E76" w14:textId="00D67EFB" w:rsidR="008B4DF8" w:rsidRPr="00C1603D" w:rsidRDefault="008B4DF8" w:rsidP="00AA3BC0">
            <w:pPr>
              <w:pStyle w:val="72TabletextTablesTableFigureBoxstyles"/>
              <w:rPr>
                <w:lang w:eastAsia="en-GB"/>
              </w:rPr>
            </w:pPr>
            <w:r w:rsidRPr="00C1603D">
              <w:rPr>
                <w:rFonts w:eastAsia="Yu Gothic Light"/>
                <w:lang w:eastAsia="en-GB"/>
              </w:rPr>
              <w:t>16 (7.2</w:t>
            </w:r>
            <w:r w:rsidR="00E51FE7" w:rsidRPr="00C1603D">
              <w:rPr>
                <w:rFonts w:eastAsia="Yu Gothic Light"/>
                <w:lang w:eastAsia="en-GB"/>
              </w:rPr>
              <w:t>)</w:t>
            </w:r>
          </w:p>
        </w:tc>
        <w:tc>
          <w:tcPr>
            <w:tcW w:w="0" w:type="auto"/>
            <w:shd w:val="clear" w:color="auto" w:fill="auto"/>
          </w:tcPr>
          <w:p w14:paraId="708BCA81" w14:textId="7BE9C9FA" w:rsidR="008B4DF8" w:rsidRPr="00C1603D" w:rsidRDefault="008B4DF8" w:rsidP="00AA3BC0">
            <w:pPr>
              <w:pStyle w:val="72TabletextTablesTableFigureBoxstyles"/>
              <w:rPr>
                <w:lang w:eastAsia="en-GB"/>
              </w:rPr>
            </w:pPr>
            <w:r w:rsidRPr="00C1603D">
              <w:rPr>
                <w:rFonts w:eastAsia="Yu Gothic Light"/>
                <w:lang w:eastAsia="en-GB"/>
              </w:rPr>
              <w:t>32 (9.1</w:t>
            </w:r>
            <w:r w:rsidR="00E51FE7" w:rsidRPr="00C1603D">
              <w:rPr>
                <w:rFonts w:eastAsia="Yu Gothic Light"/>
                <w:lang w:eastAsia="en-GB"/>
              </w:rPr>
              <w:t>)</w:t>
            </w:r>
          </w:p>
        </w:tc>
        <w:tc>
          <w:tcPr>
            <w:tcW w:w="0" w:type="auto"/>
            <w:shd w:val="clear" w:color="auto" w:fill="auto"/>
          </w:tcPr>
          <w:p w14:paraId="3DE49772" w14:textId="51D34873" w:rsidR="008B4DF8" w:rsidRPr="00C1603D" w:rsidRDefault="008B4DF8" w:rsidP="00AA3BC0">
            <w:pPr>
              <w:pStyle w:val="72TabletextTablesTableFigureBoxstyles"/>
              <w:rPr>
                <w:lang w:eastAsia="en-GB"/>
              </w:rPr>
            </w:pPr>
            <w:r w:rsidRPr="00C1603D">
              <w:rPr>
                <w:rFonts w:eastAsia="Yu Gothic Light"/>
                <w:lang w:eastAsia="en-GB"/>
              </w:rPr>
              <w:t>32 (6.8</w:t>
            </w:r>
            <w:r w:rsidR="00E51FE7" w:rsidRPr="00C1603D">
              <w:rPr>
                <w:rFonts w:eastAsia="Yu Gothic Light"/>
                <w:lang w:eastAsia="en-GB"/>
              </w:rPr>
              <w:t>)</w:t>
            </w:r>
          </w:p>
        </w:tc>
      </w:tr>
      <w:tr w:rsidR="00E51FE7" w:rsidRPr="00C1603D" w14:paraId="063B739D" w14:textId="77777777" w:rsidTr="00E51FE7">
        <w:trPr>
          <w:cantSplit/>
        </w:trPr>
        <w:tc>
          <w:tcPr>
            <w:tcW w:w="0" w:type="auto"/>
            <w:shd w:val="clear" w:color="auto" w:fill="auto"/>
          </w:tcPr>
          <w:p w14:paraId="6C2F283B" w14:textId="5152EB4C" w:rsidR="008B4DF8" w:rsidRPr="00C1603D" w:rsidRDefault="008B4DF8" w:rsidP="00E51FE7">
            <w:pPr>
              <w:pStyle w:val="72TabletextTablesTableFigureBoxstyles"/>
              <w:rPr>
                <w:rFonts w:eastAsia="Yu Gothic Light"/>
              </w:rPr>
            </w:pPr>
            <w:r w:rsidRPr="00C1603D">
              <w:rPr>
                <w:rFonts w:eastAsia="Yu Gothic Light"/>
                <w:lang w:eastAsia="en-GB"/>
              </w:rPr>
              <w:t>D</w:t>
            </w:r>
            <w:r w:rsidR="00E51FE7" w:rsidRPr="00C1603D">
              <w:rPr>
                <w:rFonts w:eastAsia="Yu Gothic Light"/>
                <w:lang w:eastAsia="en-GB"/>
              </w:rPr>
              <w:t>octor’</w:t>
            </w:r>
            <w:r w:rsidRPr="00C1603D">
              <w:rPr>
                <w:rFonts w:eastAsia="Yu Gothic Light"/>
                <w:lang w:eastAsia="en-GB"/>
              </w:rPr>
              <w:t>s guidance and opinion is important</w:t>
            </w:r>
          </w:p>
        </w:tc>
        <w:tc>
          <w:tcPr>
            <w:tcW w:w="0" w:type="auto"/>
            <w:shd w:val="clear" w:color="auto" w:fill="auto"/>
          </w:tcPr>
          <w:p w14:paraId="68274B41" w14:textId="6177AE55" w:rsidR="008B4DF8" w:rsidRPr="00C1603D" w:rsidRDefault="008B4DF8" w:rsidP="00AA3BC0">
            <w:pPr>
              <w:pStyle w:val="72TabletextTablesTableFigureBoxstyles"/>
              <w:rPr>
                <w:lang w:eastAsia="en-GB"/>
              </w:rPr>
            </w:pPr>
            <w:r w:rsidRPr="00C1603D">
              <w:rPr>
                <w:rFonts w:eastAsia="Yu Gothic Light"/>
                <w:lang w:eastAsia="en-GB"/>
              </w:rPr>
              <w:t>12 (4.9</w:t>
            </w:r>
            <w:r w:rsidR="00E51FE7" w:rsidRPr="00C1603D">
              <w:rPr>
                <w:rFonts w:eastAsia="Yu Gothic Light"/>
                <w:lang w:eastAsia="en-GB"/>
              </w:rPr>
              <w:t>)</w:t>
            </w:r>
          </w:p>
        </w:tc>
        <w:tc>
          <w:tcPr>
            <w:tcW w:w="0" w:type="auto"/>
            <w:shd w:val="clear" w:color="auto" w:fill="auto"/>
          </w:tcPr>
          <w:p w14:paraId="467EE523" w14:textId="77A93809" w:rsidR="008B4DF8" w:rsidRPr="00C1603D" w:rsidRDefault="008B4DF8" w:rsidP="00AA3BC0">
            <w:pPr>
              <w:pStyle w:val="72TabletextTablesTableFigureBoxstyles"/>
              <w:rPr>
                <w:lang w:eastAsia="en-GB"/>
              </w:rPr>
            </w:pPr>
            <w:r w:rsidRPr="00C1603D">
              <w:rPr>
                <w:rFonts w:eastAsia="Yu Gothic Light"/>
                <w:lang w:eastAsia="en-GB"/>
              </w:rPr>
              <w:t>14 (6.3</w:t>
            </w:r>
            <w:r w:rsidR="00E51FE7" w:rsidRPr="00C1603D">
              <w:rPr>
                <w:rFonts w:eastAsia="Yu Gothic Light"/>
                <w:lang w:eastAsia="en-GB"/>
              </w:rPr>
              <w:t>)</w:t>
            </w:r>
          </w:p>
        </w:tc>
        <w:tc>
          <w:tcPr>
            <w:tcW w:w="0" w:type="auto"/>
            <w:shd w:val="clear" w:color="auto" w:fill="auto"/>
          </w:tcPr>
          <w:p w14:paraId="0D295878" w14:textId="371A0ACF" w:rsidR="008B4DF8" w:rsidRPr="00C1603D" w:rsidRDefault="008B4DF8" w:rsidP="00AA3BC0">
            <w:pPr>
              <w:pStyle w:val="72TabletextTablesTableFigureBoxstyles"/>
              <w:rPr>
                <w:lang w:eastAsia="en-GB"/>
              </w:rPr>
            </w:pPr>
            <w:r w:rsidRPr="00C1603D">
              <w:rPr>
                <w:rFonts w:eastAsia="Yu Gothic Light"/>
                <w:lang w:eastAsia="en-GB"/>
              </w:rPr>
              <w:t>26 (7.4</w:t>
            </w:r>
            <w:r w:rsidR="00E51FE7" w:rsidRPr="00C1603D">
              <w:rPr>
                <w:rFonts w:eastAsia="Yu Gothic Light"/>
                <w:lang w:eastAsia="en-GB"/>
              </w:rPr>
              <w:t>)</w:t>
            </w:r>
          </w:p>
        </w:tc>
        <w:tc>
          <w:tcPr>
            <w:tcW w:w="0" w:type="auto"/>
            <w:shd w:val="clear" w:color="auto" w:fill="auto"/>
          </w:tcPr>
          <w:p w14:paraId="0633A487" w14:textId="71703CD8" w:rsidR="008B4DF8" w:rsidRPr="00C1603D" w:rsidRDefault="008B4DF8" w:rsidP="00AA3BC0">
            <w:pPr>
              <w:pStyle w:val="72TabletextTablesTableFigureBoxstyles"/>
              <w:rPr>
                <w:lang w:eastAsia="en-GB"/>
              </w:rPr>
            </w:pPr>
            <w:r w:rsidRPr="00C1603D">
              <w:rPr>
                <w:rFonts w:eastAsia="Yu Gothic Light"/>
                <w:lang w:eastAsia="en-GB"/>
              </w:rPr>
              <w:t>26 (5.6</w:t>
            </w:r>
            <w:r w:rsidR="00E51FE7" w:rsidRPr="00C1603D">
              <w:rPr>
                <w:rFonts w:eastAsia="Yu Gothic Light"/>
                <w:lang w:eastAsia="en-GB"/>
              </w:rPr>
              <w:t>)</w:t>
            </w:r>
          </w:p>
        </w:tc>
      </w:tr>
      <w:tr w:rsidR="00E51FE7" w:rsidRPr="00C1603D" w14:paraId="2DECE264" w14:textId="77777777" w:rsidTr="00E51FE7">
        <w:trPr>
          <w:cantSplit/>
        </w:trPr>
        <w:tc>
          <w:tcPr>
            <w:tcW w:w="0" w:type="auto"/>
            <w:shd w:val="clear" w:color="auto" w:fill="auto"/>
          </w:tcPr>
          <w:p w14:paraId="31CEF3BA" w14:textId="7519AC1B" w:rsidR="008B4DF8" w:rsidRPr="00C1603D" w:rsidRDefault="008B4DF8" w:rsidP="00AA3BC0">
            <w:pPr>
              <w:pStyle w:val="72TabletextTablesTableFigureBoxstyles"/>
              <w:rPr>
                <w:rFonts w:eastAsia="Yu Gothic Light"/>
              </w:rPr>
            </w:pPr>
            <w:r w:rsidRPr="00C1603D">
              <w:rPr>
                <w:rFonts w:eastAsia="Yu Gothic Light"/>
                <w:lang w:eastAsia="en-GB"/>
              </w:rPr>
              <w:t>Would accept not having CD</w:t>
            </w:r>
          </w:p>
        </w:tc>
        <w:tc>
          <w:tcPr>
            <w:tcW w:w="0" w:type="auto"/>
            <w:shd w:val="clear" w:color="auto" w:fill="auto"/>
          </w:tcPr>
          <w:p w14:paraId="6B68E80E" w14:textId="650FBC1D" w:rsidR="008B4DF8" w:rsidRPr="00C1603D" w:rsidRDefault="008B4DF8" w:rsidP="00AA3BC0">
            <w:pPr>
              <w:pStyle w:val="72TabletextTablesTableFigureBoxstyles"/>
              <w:rPr>
                <w:lang w:eastAsia="en-GB"/>
              </w:rPr>
            </w:pPr>
            <w:r w:rsidRPr="00C1603D">
              <w:rPr>
                <w:rFonts w:eastAsia="Yu Gothic Light"/>
                <w:lang w:eastAsia="en-GB"/>
              </w:rPr>
              <w:t>10 (4.1</w:t>
            </w:r>
            <w:r w:rsidR="00E51FE7" w:rsidRPr="00C1603D">
              <w:rPr>
                <w:rFonts w:eastAsia="Yu Gothic Light"/>
                <w:lang w:eastAsia="en-GB"/>
              </w:rPr>
              <w:t>)</w:t>
            </w:r>
          </w:p>
        </w:tc>
        <w:tc>
          <w:tcPr>
            <w:tcW w:w="0" w:type="auto"/>
            <w:shd w:val="clear" w:color="auto" w:fill="auto"/>
          </w:tcPr>
          <w:p w14:paraId="329B57D9" w14:textId="3ABEA599" w:rsidR="008B4DF8" w:rsidRPr="00C1603D" w:rsidRDefault="008B4DF8" w:rsidP="00AA3BC0">
            <w:pPr>
              <w:pStyle w:val="72TabletextTablesTableFigureBoxstyles"/>
              <w:rPr>
                <w:lang w:eastAsia="en-GB"/>
              </w:rPr>
            </w:pPr>
            <w:r w:rsidRPr="00C1603D">
              <w:rPr>
                <w:rFonts w:eastAsia="Yu Gothic Light"/>
                <w:lang w:eastAsia="en-GB"/>
              </w:rPr>
              <w:t>16 (7.2</w:t>
            </w:r>
            <w:r w:rsidR="00E51FE7" w:rsidRPr="00C1603D">
              <w:rPr>
                <w:rFonts w:eastAsia="Yu Gothic Light"/>
                <w:lang w:eastAsia="en-GB"/>
              </w:rPr>
              <w:t>)</w:t>
            </w:r>
          </w:p>
        </w:tc>
        <w:tc>
          <w:tcPr>
            <w:tcW w:w="0" w:type="auto"/>
            <w:shd w:val="clear" w:color="auto" w:fill="auto"/>
          </w:tcPr>
          <w:p w14:paraId="0C85F5EE" w14:textId="3EC57453" w:rsidR="008B4DF8" w:rsidRPr="00C1603D" w:rsidRDefault="008B4DF8" w:rsidP="00AA3BC0">
            <w:pPr>
              <w:pStyle w:val="72TabletextTablesTableFigureBoxstyles"/>
              <w:rPr>
                <w:lang w:eastAsia="en-GB"/>
              </w:rPr>
            </w:pPr>
            <w:r w:rsidRPr="00C1603D">
              <w:rPr>
                <w:rFonts w:eastAsia="Yu Gothic Light"/>
                <w:lang w:eastAsia="en-GB"/>
              </w:rPr>
              <w:t>26 (7.4</w:t>
            </w:r>
            <w:r w:rsidR="00E51FE7" w:rsidRPr="00C1603D">
              <w:rPr>
                <w:rFonts w:eastAsia="Yu Gothic Light"/>
                <w:lang w:eastAsia="en-GB"/>
              </w:rPr>
              <w:t>)</w:t>
            </w:r>
          </w:p>
        </w:tc>
        <w:tc>
          <w:tcPr>
            <w:tcW w:w="0" w:type="auto"/>
            <w:shd w:val="clear" w:color="auto" w:fill="auto"/>
          </w:tcPr>
          <w:p w14:paraId="0A3853A0" w14:textId="4E85CAB9" w:rsidR="008B4DF8" w:rsidRPr="00C1603D" w:rsidRDefault="008B4DF8" w:rsidP="00AA3BC0">
            <w:pPr>
              <w:pStyle w:val="72TabletextTablesTableFigureBoxstyles"/>
              <w:rPr>
                <w:lang w:eastAsia="en-GB"/>
              </w:rPr>
            </w:pPr>
            <w:r w:rsidRPr="00C1603D">
              <w:rPr>
                <w:rFonts w:eastAsia="Yu Gothic Light"/>
                <w:lang w:eastAsia="en-GB"/>
              </w:rPr>
              <w:t>26 (5.6</w:t>
            </w:r>
            <w:r w:rsidR="00E51FE7" w:rsidRPr="00C1603D">
              <w:rPr>
                <w:rFonts w:eastAsia="Yu Gothic Light"/>
                <w:lang w:eastAsia="en-GB"/>
              </w:rPr>
              <w:t>)</w:t>
            </w:r>
          </w:p>
        </w:tc>
      </w:tr>
      <w:tr w:rsidR="008B4DF8" w:rsidRPr="00C1603D" w14:paraId="213F47AC" w14:textId="77777777" w:rsidTr="00E51FE7">
        <w:trPr>
          <w:cantSplit/>
        </w:trPr>
        <w:tc>
          <w:tcPr>
            <w:tcW w:w="0" w:type="auto"/>
            <w:gridSpan w:val="5"/>
            <w:shd w:val="clear" w:color="auto" w:fill="auto"/>
          </w:tcPr>
          <w:p w14:paraId="73B5D1D2" w14:textId="6FA86B77" w:rsidR="008B4DF8" w:rsidRPr="00C1603D" w:rsidRDefault="008B4DF8" w:rsidP="00AA3BC0">
            <w:pPr>
              <w:pStyle w:val="711TablesubheadATablesTableFigureBoxstyles"/>
              <w:rPr>
                <w:lang w:eastAsia="en-GB"/>
              </w:rPr>
            </w:pPr>
            <w:r w:rsidRPr="00C1603D">
              <w:rPr>
                <w:rFonts w:eastAsia="Yu Gothic Light"/>
                <w:lang w:eastAsia="en-GB"/>
              </w:rPr>
              <w:t xml:space="preserve">Opinions on </w:t>
            </w:r>
            <w:r w:rsidR="00E51FE7" w:rsidRPr="00C1603D">
              <w:rPr>
                <w:rFonts w:eastAsia="Yu Gothic Light"/>
                <w:lang w:eastAsia="en-GB"/>
              </w:rPr>
              <w:t>GFD</w:t>
            </w:r>
          </w:p>
        </w:tc>
      </w:tr>
      <w:tr w:rsidR="00E51FE7" w:rsidRPr="00C1603D" w14:paraId="6C5A40DF" w14:textId="77777777" w:rsidTr="00E51FE7">
        <w:trPr>
          <w:cantSplit/>
        </w:trPr>
        <w:tc>
          <w:tcPr>
            <w:tcW w:w="0" w:type="auto"/>
            <w:shd w:val="clear" w:color="auto" w:fill="auto"/>
          </w:tcPr>
          <w:p w14:paraId="13AD57FF" w14:textId="2B2F9903" w:rsidR="008B4DF8" w:rsidRPr="00C1603D" w:rsidRDefault="008B4DF8" w:rsidP="00AA3BC0">
            <w:pPr>
              <w:pStyle w:val="72TabletextTablesTableFigureBoxstyles"/>
              <w:rPr>
                <w:rFonts w:eastAsia="Yu Gothic Light"/>
              </w:rPr>
            </w:pPr>
            <w:r w:rsidRPr="00C1603D">
              <w:rPr>
                <w:rFonts w:eastAsia="Yu Gothic Light"/>
                <w:lang w:eastAsia="en-GB"/>
              </w:rPr>
              <w:lastRenderedPageBreak/>
              <w:t>Want definitive diagnosis (biopsy) before starting GFD</w:t>
            </w:r>
          </w:p>
        </w:tc>
        <w:tc>
          <w:tcPr>
            <w:tcW w:w="0" w:type="auto"/>
            <w:shd w:val="clear" w:color="auto" w:fill="auto"/>
          </w:tcPr>
          <w:p w14:paraId="7C158230" w14:textId="225598D3" w:rsidR="008B4DF8" w:rsidRPr="00C1603D" w:rsidRDefault="008B4DF8" w:rsidP="00AA3BC0">
            <w:pPr>
              <w:pStyle w:val="72TabletextTablesTableFigureBoxstyles"/>
              <w:rPr>
                <w:lang w:eastAsia="en-GB"/>
              </w:rPr>
            </w:pPr>
            <w:r w:rsidRPr="00C1603D">
              <w:rPr>
                <w:rFonts w:eastAsia="Yu Gothic Light"/>
                <w:lang w:eastAsia="en-GB"/>
              </w:rPr>
              <w:t>63 (25.8</w:t>
            </w:r>
            <w:r w:rsidR="00E51FE7" w:rsidRPr="00C1603D">
              <w:rPr>
                <w:rFonts w:eastAsia="Yu Gothic Light"/>
                <w:lang w:eastAsia="en-GB"/>
              </w:rPr>
              <w:t>)</w:t>
            </w:r>
          </w:p>
        </w:tc>
        <w:tc>
          <w:tcPr>
            <w:tcW w:w="0" w:type="auto"/>
            <w:shd w:val="clear" w:color="auto" w:fill="auto"/>
          </w:tcPr>
          <w:p w14:paraId="60306040" w14:textId="21922E50" w:rsidR="008B4DF8" w:rsidRPr="00C1603D" w:rsidRDefault="008B4DF8" w:rsidP="00AA3BC0">
            <w:pPr>
              <w:pStyle w:val="72TabletextTablesTableFigureBoxstyles"/>
              <w:rPr>
                <w:lang w:eastAsia="en-GB"/>
              </w:rPr>
            </w:pPr>
            <w:r w:rsidRPr="00C1603D">
              <w:rPr>
                <w:rFonts w:eastAsia="Yu Gothic Light"/>
                <w:lang w:eastAsia="en-GB"/>
              </w:rPr>
              <w:t>65 (29.1</w:t>
            </w:r>
            <w:r w:rsidR="00E51FE7" w:rsidRPr="00C1603D">
              <w:rPr>
                <w:rFonts w:eastAsia="Yu Gothic Light"/>
                <w:lang w:eastAsia="en-GB"/>
              </w:rPr>
              <w:t>)</w:t>
            </w:r>
          </w:p>
        </w:tc>
        <w:tc>
          <w:tcPr>
            <w:tcW w:w="0" w:type="auto"/>
            <w:shd w:val="clear" w:color="auto" w:fill="auto"/>
          </w:tcPr>
          <w:p w14:paraId="3AE957FC" w14:textId="3706CD08" w:rsidR="008B4DF8" w:rsidRPr="00C1603D" w:rsidRDefault="008B4DF8" w:rsidP="00AA3BC0">
            <w:pPr>
              <w:pStyle w:val="72TabletextTablesTableFigureBoxstyles"/>
              <w:rPr>
                <w:lang w:eastAsia="en-GB"/>
              </w:rPr>
            </w:pPr>
            <w:r w:rsidRPr="00C1603D">
              <w:rPr>
                <w:rFonts w:eastAsia="Yu Gothic Light"/>
                <w:lang w:eastAsia="en-GB"/>
              </w:rPr>
              <w:t>128 (36.3</w:t>
            </w:r>
            <w:r w:rsidR="00E51FE7" w:rsidRPr="00C1603D">
              <w:rPr>
                <w:rFonts w:eastAsia="Yu Gothic Light"/>
                <w:lang w:eastAsia="en-GB"/>
              </w:rPr>
              <w:t>)</w:t>
            </w:r>
          </w:p>
        </w:tc>
        <w:tc>
          <w:tcPr>
            <w:tcW w:w="0" w:type="auto"/>
            <w:shd w:val="clear" w:color="auto" w:fill="auto"/>
          </w:tcPr>
          <w:p w14:paraId="24E12522" w14:textId="2DF5FB27" w:rsidR="008B4DF8" w:rsidRPr="00C1603D" w:rsidRDefault="008B4DF8" w:rsidP="00AA3BC0">
            <w:pPr>
              <w:pStyle w:val="72TabletextTablesTableFigureBoxstyles"/>
              <w:rPr>
                <w:lang w:eastAsia="en-GB"/>
              </w:rPr>
            </w:pPr>
            <w:r w:rsidRPr="00C1603D">
              <w:rPr>
                <w:rFonts w:eastAsia="Yu Gothic Light"/>
                <w:lang w:eastAsia="en-GB"/>
              </w:rPr>
              <w:t>128 (27.4</w:t>
            </w:r>
            <w:r w:rsidR="00E51FE7" w:rsidRPr="00C1603D">
              <w:rPr>
                <w:rFonts w:eastAsia="Yu Gothic Light"/>
                <w:lang w:eastAsia="en-GB"/>
              </w:rPr>
              <w:t>)</w:t>
            </w:r>
          </w:p>
        </w:tc>
      </w:tr>
      <w:tr w:rsidR="00E51FE7" w:rsidRPr="00C1603D" w14:paraId="1293C14B" w14:textId="77777777" w:rsidTr="00E51FE7">
        <w:trPr>
          <w:cantSplit/>
        </w:trPr>
        <w:tc>
          <w:tcPr>
            <w:tcW w:w="0" w:type="auto"/>
            <w:shd w:val="clear" w:color="auto" w:fill="auto"/>
          </w:tcPr>
          <w:p w14:paraId="5D779BB4" w14:textId="5C0DC767" w:rsidR="008B4DF8" w:rsidRPr="00C1603D" w:rsidRDefault="008B4DF8" w:rsidP="00AA3BC0">
            <w:pPr>
              <w:pStyle w:val="72TabletextTablesTableFigureBoxstyles"/>
              <w:rPr>
                <w:rFonts w:eastAsia="Yu Gothic Light"/>
              </w:rPr>
            </w:pPr>
            <w:r w:rsidRPr="00C1603D">
              <w:rPr>
                <w:rFonts w:eastAsia="Yu Gothic Light"/>
                <w:lang w:eastAsia="en-GB"/>
              </w:rPr>
              <w:t>See if CD symptoms improve with GFD (even if they do not have CD)</w:t>
            </w:r>
          </w:p>
        </w:tc>
        <w:tc>
          <w:tcPr>
            <w:tcW w:w="0" w:type="auto"/>
            <w:shd w:val="clear" w:color="auto" w:fill="auto"/>
          </w:tcPr>
          <w:p w14:paraId="509D296C" w14:textId="27C4144E" w:rsidR="008B4DF8" w:rsidRPr="00C1603D" w:rsidRDefault="008B4DF8" w:rsidP="00AA3BC0">
            <w:pPr>
              <w:pStyle w:val="72TabletextTablesTableFigureBoxstyles"/>
              <w:rPr>
                <w:lang w:eastAsia="en-GB"/>
              </w:rPr>
            </w:pPr>
            <w:r w:rsidRPr="00C1603D">
              <w:rPr>
                <w:rFonts w:eastAsia="Yu Gothic Light"/>
                <w:lang w:eastAsia="en-GB"/>
              </w:rPr>
              <w:t>23 (9.4</w:t>
            </w:r>
            <w:r w:rsidR="00E51FE7" w:rsidRPr="00C1603D">
              <w:rPr>
                <w:rFonts w:eastAsia="Yu Gothic Light"/>
                <w:lang w:eastAsia="en-GB"/>
              </w:rPr>
              <w:t>)</w:t>
            </w:r>
          </w:p>
        </w:tc>
        <w:tc>
          <w:tcPr>
            <w:tcW w:w="0" w:type="auto"/>
            <w:shd w:val="clear" w:color="auto" w:fill="auto"/>
          </w:tcPr>
          <w:p w14:paraId="384AF6B1" w14:textId="7AE7576B" w:rsidR="008B4DF8" w:rsidRPr="00C1603D" w:rsidRDefault="008B4DF8" w:rsidP="00AA3BC0">
            <w:pPr>
              <w:pStyle w:val="72TabletextTablesTableFigureBoxstyles"/>
              <w:rPr>
                <w:lang w:eastAsia="en-GB"/>
              </w:rPr>
            </w:pPr>
            <w:r w:rsidRPr="00C1603D">
              <w:rPr>
                <w:rFonts w:eastAsia="Yu Gothic Light"/>
                <w:lang w:eastAsia="en-GB"/>
              </w:rPr>
              <w:t>54 (24.2</w:t>
            </w:r>
            <w:r w:rsidR="00E51FE7" w:rsidRPr="00C1603D">
              <w:rPr>
                <w:rFonts w:eastAsia="Yu Gothic Light"/>
                <w:lang w:eastAsia="en-GB"/>
              </w:rPr>
              <w:t>)</w:t>
            </w:r>
          </w:p>
        </w:tc>
        <w:tc>
          <w:tcPr>
            <w:tcW w:w="0" w:type="auto"/>
            <w:shd w:val="clear" w:color="auto" w:fill="auto"/>
          </w:tcPr>
          <w:p w14:paraId="2EE6B1B4" w14:textId="77F2BD18" w:rsidR="008B4DF8" w:rsidRPr="00C1603D" w:rsidRDefault="008B4DF8" w:rsidP="00AA3BC0">
            <w:pPr>
              <w:pStyle w:val="72TabletextTablesTableFigureBoxstyles"/>
              <w:rPr>
                <w:lang w:eastAsia="en-GB"/>
              </w:rPr>
            </w:pPr>
            <w:r w:rsidRPr="00C1603D">
              <w:rPr>
                <w:rFonts w:eastAsia="Yu Gothic Light"/>
                <w:lang w:eastAsia="en-GB"/>
              </w:rPr>
              <w:t>77 (21.8</w:t>
            </w:r>
            <w:r w:rsidR="00E51FE7" w:rsidRPr="00C1603D">
              <w:rPr>
                <w:rFonts w:eastAsia="Yu Gothic Light"/>
                <w:lang w:eastAsia="en-GB"/>
              </w:rPr>
              <w:t>)</w:t>
            </w:r>
          </w:p>
        </w:tc>
        <w:tc>
          <w:tcPr>
            <w:tcW w:w="0" w:type="auto"/>
            <w:shd w:val="clear" w:color="auto" w:fill="auto"/>
          </w:tcPr>
          <w:p w14:paraId="633C1237" w14:textId="4C377472" w:rsidR="008B4DF8" w:rsidRPr="00C1603D" w:rsidRDefault="008B4DF8" w:rsidP="00AA3BC0">
            <w:pPr>
              <w:pStyle w:val="72TabletextTablesTableFigureBoxstyles"/>
              <w:rPr>
                <w:lang w:eastAsia="en-GB"/>
              </w:rPr>
            </w:pPr>
            <w:r w:rsidRPr="00C1603D">
              <w:rPr>
                <w:rFonts w:eastAsia="Yu Gothic Light"/>
                <w:lang w:eastAsia="en-GB"/>
              </w:rPr>
              <w:t>77 (16.5</w:t>
            </w:r>
            <w:r w:rsidR="00E51FE7" w:rsidRPr="00C1603D">
              <w:rPr>
                <w:rFonts w:eastAsia="Yu Gothic Light"/>
                <w:lang w:eastAsia="en-GB"/>
              </w:rPr>
              <w:t>)</w:t>
            </w:r>
          </w:p>
        </w:tc>
      </w:tr>
      <w:tr w:rsidR="00E51FE7" w:rsidRPr="00C1603D" w14:paraId="47DDB6A0" w14:textId="77777777" w:rsidTr="00E51FE7">
        <w:trPr>
          <w:cantSplit/>
        </w:trPr>
        <w:tc>
          <w:tcPr>
            <w:tcW w:w="0" w:type="auto"/>
            <w:shd w:val="clear" w:color="auto" w:fill="auto"/>
          </w:tcPr>
          <w:p w14:paraId="496B10A5" w14:textId="4A97AD78" w:rsidR="008B4DF8" w:rsidRPr="00C1603D" w:rsidRDefault="008B4DF8" w:rsidP="00AA3BC0">
            <w:pPr>
              <w:pStyle w:val="72TabletextTablesTableFigureBoxstyles"/>
              <w:rPr>
                <w:rFonts w:eastAsia="Yu Gothic Light"/>
              </w:rPr>
            </w:pPr>
            <w:r w:rsidRPr="00C1603D">
              <w:rPr>
                <w:rFonts w:eastAsia="Yu Gothic Light"/>
                <w:lang w:eastAsia="en-GB"/>
              </w:rPr>
              <w:t xml:space="preserve">Have a negative opinion on GFD or see GFD </w:t>
            </w:r>
            <w:r w:rsidR="00E51FE7" w:rsidRPr="00C1603D">
              <w:rPr>
                <w:rFonts w:eastAsia="Yu Gothic Light"/>
                <w:lang w:eastAsia="en-GB"/>
              </w:rPr>
              <w:t>a</w:t>
            </w:r>
            <w:r w:rsidRPr="00C1603D">
              <w:rPr>
                <w:rFonts w:eastAsia="Yu Gothic Light"/>
                <w:lang w:eastAsia="en-GB"/>
              </w:rPr>
              <w:t>s a big commitment</w:t>
            </w:r>
          </w:p>
        </w:tc>
        <w:tc>
          <w:tcPr>
            <w:tcW w:w="0" w:type="auto"/>
            <w:shd w:val="clear" w:color="auto" w:fill="auto"/>
          </w:tcPr>
          <w:p w14:paraId="2B6A5ED6" w14:textId="3A119C9F" w:rsidR="008B4DF8" w:rsidRPr="00C1603D" w:rsidRDefault="008B4DF8" w:rsidP="00AA3BC0">
            <w:pPr>
              <w:pStyle w:val="72TabletextTablesTableFigureBoxstyles"/>
              <w:rPr>
                <w:lang w:eastAsia="en-GB"/>
              </w:rPr>
            </w:pPr>
            <w:r w:rsidRPr="00C1603D">
              <w:rPr>
                <w:rFonts w:eastAsia="Yu Gothic Light"/>
                <w:lang w:eastAsia="en-GB"/>
              </w:rPr>
              <w:t>33 (13.5</w:t>
            </w:r>
            <w:r w:rsidR="00E51FE7" w:rsidRPr="00C1603D">
              <w:rPr>
                <w:rFonts w:eastAsia="Yu Gothic Light"/>
                <w:lang w:eastAsia="en-GB"/>
              </w:rPr>
              <w:t>)</w:t>
            </w:r>
          </w:p>
        </w:tc>
        <w:tc>
          <w:tcPr>
            <w:tcW w:w="0" w:type="auto"/>
            <w:shd w:val="clear" w:color="auto" w:fill="auto"/>
          </w:tcPr>
          <w:p w14:paraId="2AC509DD" w14:textId="669709EF" w:rsidR="008B4DF8" w:rsidRPr="00C1603D" w:rsidRDefault="008B4DF8" w:rsidP="00AA3BC0">
            <w:pPr>
              <w:pStyle w:val="72TabletextTablesTableFigureBoxstyles"/>
              <w:rPr>
                <w:lang w:eastAsia="en-GB"/>
              </w:rPr>
            </w:pPr>
            <w:r w:rsidRPr="00C1603D">
              <w:rPr>
                <w:rFonts w:eastAsia="Yu Gothic Light"/>
                <w:lang w:eastAsia="en-GB"/>
              </w:rPr>
              <w:t>15 (6.7</w:t>
            </w:r>
            <w:r w:rsidR="00E51FE7" w:rsidRPr="00C1603D">
              <w:rPr>
                <w:rFonts w:eastAsia="Yu Gothic Light"/>
                <w:lang w:eastAsia="en-GB"/>
              </w:rPr>
              <w:t>)</w:t>
            </w:r>
          </w:p>
        </w:tc>
        <w:tc>
          <w:tcPr>
            <w:tcW w:w="0" w:type="auto"/>
            <w:shd w:val="clear" w:color="auto" w:fill="auto"/>
          </w:tcPr>
          <w:p w14:paraId="6418401F" w14:textId="7B0BB5C3" w:rsidR="008B4DF8" w:rsidRPr="00C1603D" w:rsidRDefault="008B4DF8" w:rsidP="00AA3BC0">
            <w:pPr>
              <w:pStyle w:val="72TabletextTablesTableFigureBoxstyles"/>
              <w:rPr>
                <w:lang w:eastAsia="en-GB"/>
              </w:rPr>
            </w:pPr>
            <w:r w:rsidRPr="00C1603D">
              <w:rPr>
                <w:rFonts w:eastAsia="Yu Gothic Light"/>
                <w:lang w:eastAsia="en-GB"/>
              </w:rPr>
              <w:t>48 (13.6</w:t>
            </w:r>
            <w:r w:rsidR="00E51FE7" w:rsidRPr="00C1603D">
              <w:rPr>
                <w:rFonts w:eastAsia="Yu Gothic Light"/>
                <w:lang w:eastAsia="en-GB"/>
              </w:rPr>
              <w:t>)</w:t>
            </w:r>
          </w:p>
        </w:tc>
        <w:tc>
          <w:tcPr>
            <w:tcW w:w="0" w:type="auto"/>
            <w:shd w:val="clear" w:color="auto" w:fill="auto"/>
          </w:tcPr>
          <w:p w14:paraId="1160C121" w14:textId="0879B782" w:rsidR="008B4DF8" w:rsidRPr="00C1603D" w:rsidRDefault="008B4DF8" w:rsidP="00AA3BC0">
            <w:pPr>
              <w:pStyle w:val="72TabletextTablesTableFigureBoxstyles"/>
              <w:rPr>
                <w:lang w:eastAsia="en-GB"/>
              </w:rPr>
            </w:pPr>
            <w:r w:rsidRPr="00C1603D">
              <w:rPr>
                <w:rFonts w:eastAsia="Yu Gothic Light"/>
                <w:lang w:eastAsia="en-GB"/>
              </w:rPr>
              <w:t>48 (10.3</w:t>
            </w:r>
            <w:r w:rsidR="00E51FE7" w:rsidRPr="00C1603D">
              <w:rPr>
                <w:rFonts w:eastAsia="Yu Gothic Light"/>
                <w:lang w:eastAsia="en-GB"/>
              </w:rPr>
              <w:t>)</w:t>
            </w:r>
          </w:p>
        </w:tc>
      </w:tr>
      <w:tr w:rsidR="00E51FE7" w:rsidRPr="00C1603D" w14:paraId="43801D76" w14:textId="77777777" w:rsidTr="00E51FE7">
        <w:trPr>
          <w:cantSplit/>
        </w:trPr>
        <w:tc>
          <w:tcPr>
            <w:tcW w:w="0" w:type="auto"/>
            <w:shd w:val="clear" w:color="auto" w:fill="auto"/>
          </w:tcPr>
          <w:p w14:paraId="1FB3F557" w14:textId="37E6B361" w:rsidR="008B4DF8" w:rsidRPr="00C1603D" w:rsidRDefault="008B4DF8" w:rsidP="00AA3BC0">
            <w:pPr>
              <w:pStyle w:val="72TabletextTablesTableFigureBoxstyles"/>
              <w:rPr>
                <w:rFonts w:eastAsia="Yu Gothic Light"/>
              </w:rPr>
            </w:pPr>
            <w:r w:rsidRPr="00C1603D">
              <w:rPr>
                <w:rFonts w:eastAsia="Yu Gothic Light"/>
                <w:lang w:eastAsia="en-GB"/>
              </w:rPr>
              <w:t>Would start a GFD without a definitive diagnosis</w:t>
            </w:r>
          </w:p>
        </w:tc>
        <w:tc>
          <w:tcPr>
            <w:tcW w:w="0" w:type="auto"/>
            <w:shd w:val="clear" w:color="auto" w:fill="auto"/>
          </w:tcPr>
          <w:p w14:paraId="55D7BC95" w14:textId="4C1E301E" w:rsidR="008B4DF8" w:rsidRPr="00C1603D" w:rsidRDefault="008B4DF8" w:rsidP="00AA3BC0">
            <w:pPr>
              <w:pStyle w:val="72TabletextTablesTableFigureBoxstyles"/>
              <w:rPr>
                <w:lang w:eastAsia="en-GB"/>
              </w:rPr>
            </w:pPr>
            <w:r w:rsidRPr="00C1603D">
              <w:rPr>
                <w:rFonts w:eastAsia="Yu Gothic Light"/>
                <w:lang w:eastAsia="en-GB"/>
              </w:rPr>
              <w:t>19 (7.8</w:t>
            </w:r>
            <w:r w:rsidR="00E51FE7" w:rsidRPr="00C1603D">
              <w:rPr>
                <w:rFonts w:eastAsia="Yu Gothic Light"/>
                <w:lang w:eastAsia="en-GB"/>
              </w:rPr>
              <w:t>)</w:t>
            </w:r>
          </w:p>
        </w:tc>
        <w:tc>
          <w:tcPr>
            <w:tcW w:w="0" w:type="auto"/>
            <w:shd w:val="clear" w:color="auto" w:fill="auto"/>
          </w:tcPr>
          <w:p w14:paraId="506A7FE3" w14:textId="63478E32" w:rsidR="008B4DF8" w:rsidRPr="00C1603D" w:rsidRDefault="008B4DF8" w:rsidP="00AA3BC0">
            <w:pPr>
              <w:pStyle w:val="72TabletextTablesTableFigureBoxstyles"/>
              <w:rPr>
                <w:lang w:eastAsia="en-GB"/>
              </w:rPr>
            </w:pPr>
            <w:r w:rsidRPr="00C1603D">
              <w:rPr>
                <w:rFonts w:eastAsia="Yu Gothic Light"/>
                <w:lang w:eastAsia="en-GB"/>
              </w:rPr>
              <w:t>17 (7.6</w:t>
            </w:r>
            <w:r w:rsidR="00E51FE7" w:rsidRPr="00C1603D">
              <w:rPr>
                <w:rFonts w:eastAsia="Yu Gothic Light"/>
                <w:lang w:eastAsia="en-GB"/>
              </w:rPr>
              <w:t>)</w:t>
            </w:r>
          </w:p>
        </w:tc>
        <w:tc>
          <w:tcPr>
            <w:tcW w:w="0" w:type="auto"/>
            <w:shd w:val="clear" w:color="auto" w:fill="auto"/>
          </w:tcPr>
          <w:p w14:paraId="20B9068D" w14:textId="3508CE8A" w:rsidR="008B4DF8" w:rsidRPr="00C1603D" w:rsidRDefault="008B4DF8" w:rsidP="00AA3BC0">
            <w:pPr>
              <w:pStyle w:val="72TabletextTablesTableFigureBoxstyles"/>
              <w:rPr>
                <w:lang w:eastAsia="en-GB"/>
              </w:rPr>
            </w:pPr>
            <w:r w:rsidRPr="00C1603D">
              <w:rPr>
                <w:rFonts w:eastAsia="Yu Gothic Light"/>
                <w:lang w:eastAsia="en-GB"/>
              </w:rPr>
              <w:t>36 (10.2</w:t>
            </w:r>
            <w:r w:rsidR="00E51FE7" w:rsidRPr="00C1603D">
              <w:rPr>
                <w:rFonts w:eastAsia="Yu Gothic Light"/>
                <w:lang w:eastAsia="en-GB"/>
              </w:rPr>
              <w:t>)</w:t>
            </w:r>
          </w:p>
        </w:tc>
        <w:tc>
          <w:tcPr>
            <w:tcW w:w="0" w:type="auto"/>
            <w:shd w:val="clear" w:color="auto" w:fill="auto"/>
          </w:tcPr>
          <w:p w14:paraId="753D15F4" w14:textId="42117D2E" w:rsidR="008B4DF8" w:rsidRPr="00C1603D" w:rsidRDefault="008B4DF8" w:rsidP="00AA3BC0">
            <w:pPr>
              <w:pStyle w:val="72TabletextTablesTableFigureBoxstyles"/>
              <w:rPr>
                <w:lang w:eastAsia="en-GB"/>
              </w:rPr>
            </w:pPr>
            <w:r w:rsidRPr="00C1603D">
              <w:rPr>
                <w:rFonts w:eastAsia="Yu Gothic Light"/>
                <w:lang w:eastAsia="en-GB"/>
              </w:rPr>
              <w:t>36 (7.7</w:t>
            </w:r>
            <w:r w:rsidR="00E51FE7" w:rsidRPr="00C1603D">
              <w:rPr>
                <w:rFonts w:eastAsia="Yu Gothic Light"/>
                <w:lang w:eastAsia="en-GB"/>
              </w:rPr>
              <w:t>)</w:t>
            </w:r>
          </w:p>
        </w:tc>
      </w:tr>
      <w:tr w:rsidR="00E51FE7" w:rsidRPr="00C1603D" w14:paraId="73697F3B" w14:textId="77777777" w:rsidTr="00E51FE7">
        <w:trPr>
          <w:cantSplit/>
        </w:trPr>
        <w:tc>
          <w:tcPr>
            <w:tcW w:w="0" w:type="auto"/>
            <w:shd w:val="clear" w:color="auto" w:fill="auto"/>
          </w:tcPr>
          <w:p w14:paraId="24F72065" w14:textId="287C6176" w:rsidR="008B4DF8" w:rsidRPr="00C1603D" w:rsidRDefault="008B4DF8" w:rsidP="00AA3BC0">
            <w:pPr>
              <w:pStyle w:val="72TabletextTablesTableFigureBoxstyles"/>
              <w:rPr>
                <w:rFonts w:eastAsia="Yu Gothic Light"/>
              </w:rPr>
            </w:pPr>
            <w:r w:rsidRPr="00C1603D">
              <w:rPr>
                <w:rFonts w:eastAsia="Yu Gothic Light"/>
                <w:lang w:eastAsia="en-GB"/>
              </w:rPr>
              <w:t>Whether or not they live with another who had CD would affect GFD adherence</w:t>
            </w:r>
          </w:p>
        </w:tc>
        <w:tc>
          <w:tcPr>
            <w:tcW w:w="0" w:type="auto"/>
            <w:shd w:val="clear" w:color="auto" w:fill="auto"/>
          </w:tcPr>
          <w:p w14:paraId="37A28514" w14:textId="68FF5AFE" w:rsidR="008B4DF8" w:rsidRPr="00C1603D" w:rsidRDefault="008B4DF8" w:rsidP="00AA3BC0">
            <w:pPr>
              <w:pStyle w:val="72TabletextTablesTableFigureBoxstyles"/>
              <w:rPr>
                <w:lang w:eastAsia="en-GB"/>
              </w:rPr>
            </w:pPr>
            <w:r w:rsidRPr="00C1603D">
              <w:rPr>
                <w:rFonts w:eastAsia="Yu Gothic Light"/>
                <w:lang w:eastAsia="en-GB"/>
              </w:rPr>
              <w:t>7 (2.9</w:t>
            </w:r>
            <w:r w:rsidR="00E51FE7" w:rsidRPr="00C1603D">
              <w:rPr>
                <w:rFonts w:eastAsia="Yu Gothic Light"/>
                <w:lang w:eastAsia="en-GB"/>
              </w:rPr>
              <w:t>)</w:t>
            </w:r>
          </w:p>
        </w:tc>
        <w:tc>
          <w:tcPr>
            <w:tcW w:w="0" w:type="auto"/>
            <w:shd w:val="clear" w:color="auto" w:fill="auto"/>
          </w:tcPr>
          <w:p w14:paraId="70D8278E" w14:textId="2824ABBC" w:rsidR="008B4DF8" w:rsidRPr="00C1603D" w:rsidRDefault="008B4DF8" w:rsidP="00AA3BC0">
            <w:pPr>
              <w:pStyle w:val="72TabletextTablesTableFigureBoxstyles"/>
              <w:rPr>
                <w:lang w:eastAsia="en-GB"/>
              </w:rPr>
            </w:pPr>
            <w:r w:rsidRPr="00C1603D">
              <w:rPr>
                <w:rFonts w:eastAsia="Yu Gothic Light"/>
                <w:lang w:eastAsia="en-GB"/>
              </w:rPr>
              <w:t>28 (12.6</w:t>
            </w:r>
            <w:r w:rsidR="00E51FE7" w:rsidRPr="00C1603D">
              <w:rPr>
                <w:rFonts w:eastAsia="Yu Gothic Light"/>
                <w:lang w:eastAsia="en-GB"/>
              </w:rPr>
              <w:t>)</w:t>
            </w:r>
          </w:p>
        </w:tc>
        <w:tc>
          <w:tcPr>
            <w:tcW w:w="0" w:type="auto"/>
            <w:shd w:val="clear" w:color="auto" w:fill="auto"/>
          </w:tcPr>
          <w:p w14:paraId="2F7263E1" w14:textId="37CD5097" w:rsidR="008B4DF8" w:rsidRPr="00C1603D" w:rsidRDefault="008B4DF8" w:rsidP="00AA3BC0">
            <w:pPr>
              <w:pStyle w:val="72TabletextTablesTableFigureBoxstyles"/>
              <w:rPr>
                <w:lang w:eastAsia="en-GB"/>
              </w:rPr>
            </w:pPr>
            <w:r w:rsidRPr="00C1603D">
              <w:rPr>
                <w:rFonts w:eastAsia="Yu Gothic Light"/>
                <w:lang w:eastAsia="en-GB"/>
              </w:rPr>
              <w:t>35 (9.9</w:t>
            </w:r>
            <w:r w:rsidR="00E51FE7" w:rsidRPr="00C1603D">
              <w:rPr>
                <w:rFonts w:eastAsia="Yu Gothic Light"/>
                <w:lang w:eastAsia="en-GB"/>
              </w:rPr>
              <w:t>)</w:t>
            </w:r>
          </w:p>
        </w:tc>
        <w:tc>
          <w:tcPr>
            <w:tcW w:w="0" w:type="auto"/>
            <w:shd w:val="clear" w:color="auto" w:fill="auto"/>
          </w:tcPr>
          <w:p w14:paraId="526E7ACA" w14:textId="508CF346" w:rsidR="008B4DF8" w:rsidRPr="00C1603D" w:rsidRDefault="008B4DF8" w:rsidP="00AA3BC0">
            <w:pPr>
              <w:pStyle w:val="72TabletextTablesTableFigureBoxstyles"/>
              <w:rPr>
                <w:lang w:eastAsia="en-GB"/>
              </w:rPr>
            </w:pPr>
            <w:r w:rsidRPr="00C1603D">
              <w:rPr>
                <w:rFonts w:eastAsia="Yu Gothic Light"/>
                <w:lang w:eastAsia="en-GB"/>
              </w:rPr>
              <w:t>35 (7.5</w:t>
            </w:r>
            <w:r w:rsidR="00E51FE7" w:rsidRPr="00C1603D">
              <w:rPr>
                <w:rFonts w:eastAsia="Yu Gothic Light"/>
                <w:lang w:eastAsia="en-GB"/>
              </w:rPr>
              <w:t>)</w:t>
            </w:r>
          </w:p>
        </w:tc>
      </w:tr>
      <w:tr w:rsidR="00E51FE7" w:rsidRPr="00C1603D" w14:paraId="4A839B10" w14:textId="77777777" w:rsidTr="00E51FE7">
        <w:trPr>
          <w:cantSplit/>
        </w:trPr>
        <w:tc>
          <w:tcPr>
            <w:tcW w:w="0" w:type="auto"/>
            <w:shd w:val="clear" w:color="auto" w:fill="auto"/>
          </w:tcPr>
          <w:p w14:paraId="3142F132" w14:textId="6ED435AA" w:rsidR="008B4DF8" w:rsidRPr="00C1603D" w:rsidRDefault="008B4DF8" w:rsidP="00AA3BC0">
            <w:pPr>
              <w:pStyle w:val="72TabletextTablesTableFigureBoxstyles"/>
              <w:rPr>
                <w:rFonts w:eastAsia="Yu Gothic Light"/>
              </w:rPr>
            </w:pPr>
            <w:r w:rsidRPr="00C1603D">
              <w:rPr>
                <w:rFonts w:eastAsia="Yu Gothic Light"/>
                <w:lang w:eastAsia="en-GB"/>
              </w:rPr>
              <w:t>Lowest likelihood (</w:t>
            </w:r>
            <w:r w:rsidR="00E51FE7" w:rsidRPr="00C1603D">
              <w:rPr>
                <w:rFonts w:eastAsia="Yu Gothic Light"/>
                <w:lang w:eastAsia="en-GB"/>
              </w:rPr>
              <w:t>≤ </w:t>
            </w:r>
            <w:r w:rsidRPr="00C1603D">
              <w:rPr>
                <w:rFonts w:eastAsia="Yu Gothic Light"/>
                <w:lang w:eastAsia="en-GB"/>
              </w:rPr>
              <w:t>10% chance) not enough to start a GFD</w:t>
            </w:r>
          </w:p>
        </w:tc>
        <w:tc>
          <w:tcPr>
            <w:tcW w:w="0" w:type="auto"/>
            <w:shd w:val="clear" w:color="auto" w:fill="auto"/>
          </w:tcPr>
          <w:p w14:paraId="702BE141" w14:textId="0559A58F" w:rsidR="008B4DF8" w:rsidRPr="00C1603D" w:rsidRDefault="008B4DF8" w:rsidP="00AA3BC0">
            <w:pPr>
              <w:pStyle w:val="72TabletextTablesTableFigureBoxstyles"/>
              <w:rPr>
                <w:lang w:eastAsia="en-GB"/>
              </w:rPr>
            </w:pPr>
            <w:r w:rsidRPr="00C1603D">
              <w:rPr>
                <w:rFonts w:eastAsia="Yu Gothic Light"/>
                <w:lang w:eastAsia="en-GB"/>
              </w:rPr>
              <w:t>10 (4.1</w:t>
            </w:r>
            <w:r w:rsidR="00E51FE7" w:rsidRPr="00C1603D">
              <w:rPr>
                <w:rFonts w:eastAsia="Yu Gothic Light"/>
                <w:lang w:eastAsia="en-GB"/>
              </w:rPr>
              <w:t>)</w:t>
            </w:r>
          </w:p>
        </w:tc>
        <w:tc>
          <w:tcPr>
            <w:tcW w:w="0" w:type="auto"/>
            <w:shd w:val="clear" w:color="auto" w:fill="auto"/>
          </w:tcPr>
          <w:p w14:paraId="5E6D6F80" w14:textId="06B07959" w:rsidR="008B4DF8" w:rsidRPr="00C1603D" w:rsidRDefault="008B4DF8" w:rsidP="00AA3BC0">
            <w:pPr>
              <w:pStyle w:val="72TabletextTablesTableFigureBoxstyles"/>
              <w:rPr>
                <w:lang w:eastAsia="en-GB"/>
              </w:rPr>
            </w:pPr>
            <w:r w:rsidRPr="00C1603D">
              <w:rPr>
                <w:rFonts w:eastAsia="Yu Gothic Light"/>
                <w:lang w:eastAsia="en-GB"/>
              </w:rPr>
              <w:t>17 (7.6</w:t>
            </w:r>
            <w:r w:rsidR="00E51FE7" w:rsidRPr="00C1603D">
              <w:rPr>
                <w:rFonts w:eastAsia="Yu Gothic Light"/>
                <w:lang w:eastAsia="en-GB"/>
              </w:rPr>
              <w:t>)</w:t>
            </w:r>
          </w:p>
        </w:tc>
        <w:tc>
          <w:tcPr>
            <w:tcW w:w="0" w:type="auto"/>
            <w:shd w:val="clear" w:color="auto" w:fill="auto"/>
          </w:tcPr>
          <w:p w14:paraId="275B6921" w14:textId="2284B53E" w:rsidR="008B4DF8" w:rsidRPr="00C1603D" w:rsidRDefault="008B4DF8" w:rsidP="00AA3BC0">
            <w:pPr>
              <w:pStyle w:val="72TabletextTablesTableFigureBoxstyles"/>
              <w:rPr>
                <w:lang w:eastAsia="en-GB"/>
              </w:rPr>
            </w:pPr>
            <w:r w:rsidRPr="00C1603D">
              <w:rPr>
                <w:rFonts w:eastAsia="Yu Gothic Light"/>
                <w:lang w:eastAsia="en-GB"/>
              </w:rPr>
              <w:t>27 (7.6</w:t>
            </w:r>
            <w:r w:rsidR="00E51FE7" w:rsidRPr="00C1603D">
              <w:rPr>
                <w:rFonts w:eastAsia="Yu Gothic Light"/>
                <w:lang w:eastAsia="en-GB"/>
              </w:rPr>
              <w:t>)</w:t>
            </w:r>
          </w:p>
        </w:tc>
        <w:tc>
          <w:tcPr>
            <w:tcW w:w="0" w:type="auto"/>
            <w:shd w:val="clear" w:color="auto" w:fill="auto"/>
          </w:tcPr>
          <w:p w14:paraId="78DCD27A" w14:textId="584E699B" w:rsidR="008B4DF8" w:rsidRPr="00C1603D" w:rsidRDefault="008B4DF8" w:rsidP="00AA3BC0">
            <w:pPr>
              <w:pStyle w:val="72TabletextTablesTableFigureBoxstyles"/>
              <w:rPr>
                <w:lang w:eastAsia="en-GB"/>
              </w:rPr>
            </w:pPr>
            <w:r w:rsidRPr="00C1603D">
              <w:rPr>
                <w:rFonts w:eastAsia="Yu Gothic Light"/>
                <w:lang w:eastAsia="en-GB"/>
              </w:rPr>
              <w:t>27 (5.8</w:t>
            </w:r>
            <w:r w:rsidR="00E51FE7" w:rsidRPr="00C1603D">
              <w:rPr>
                <w:rFonts w:eastAsia="Yu Gothic Light"/>
                <w:lang w:eastAsia="en-GB"/>
              </w:rPr>
              <w:t>)</w:t>
            </w:r>
          </w:p>
        </w:tc>
      </w:tr>
      <w:tr w:rsidR="00E51FE7" w:rsidRPr="00C1603D" w14:paraId="58FB0BD9" w14:textId="77777777" w:rsidTr="00E51FE7">
        <w:trPr>
          <w:cantSplit/>
        </w:trPr>
        <w:tc>
          <w:tcPr>
            <w:tcW w:w="0" w:type="auto"/>
            <w:shd w:val="clear" w:color="auto" w:fill="auto"/>
          </w:tcPr>
          <w:p w14:paraId="35E0A1AF" w14:textId="5E1BAB26" w:rsidR="008B4DF8" w:rsidRPr="00C1603D" w:rsidRDefault="008B4DF8" w:rsidP="00AA3BC0">
            <w:pPr>
              <w:pStyle w:val="72TabletextTablesTableFigureBoxstyles"/>
              <w:rPr>
                <w:rFonts w:eastAsia="Yu Gothic Light"/>
              </w:rPr>
            </w:pPr>
            <w:r w:rsidRPr="00C1603D">
              <w:rPr>
                <w:rFonts w:eastAsia="Yu Gothic Light"/>
                <w:lang w:eastAsia="en-GB"/>
              </w:rPr>
              <w:t>A 50/50 likelihood not enough to start a GFD</w:t>
            </w:r>
          </w:p>
        </w:tc>
        <w:tc>
          <w:tcPr>
            <w:tcW w:w="0" w:type="auto"/>
            <w:shd w:val="clear" w:color="auto" w:fill="auto"/>
          </w:tcPr>
          <w:p w14:paraId="05A78D7F" w14:textId="637A4A1F" w:rsidR="008B4DF8" w:rsidRPr="00C1603D" w:rsidRDefault="008B4DF8" w:rsidP="00AA3BC0">
            <w:pPr>
              <w:pStyle w:val="72TabletextTablesTableFigureBoxstyles"/>
              <w:rPr>
                <w:lang w:eastAsia="en-GB"/>
              </w:rPr>
            </w:pPr>
            <w:r w:rsidRPr="00C1603D">
              <w:rPr>
                <w:rFonts w:eastAsia="Yu Gothic Light"/>
                <w:lang w:eastAsia="en-GB"/>
              </w:rPr>
              <w:t>7 (2.9</w:t>
            </w:r>
            <w:r w:rsidR="00E51FE7" w:rsidRPr="00C1603D">
              <w:rPr>
                <w:rFonts w:eastAsia="Yu Gothic Light"/>
                <w:lang w:eastAsia="en-GB"/>
              </w:rPr>
              <w:t>)</w:t>
            </w:r>
          </w:p>
        </w:tc>
        <w:tc>
          <w:tcPr>
            <w:tcW w:w="0" w:type="auto"/>
            <w:shd w:val="clear" w:color="auto" w:fill="auto"/>
          </w:tcPr>
          <w:p w14:paraId="07EBE93A" w14:textId="234ACFDA" w:rsidR="008B4DF8" w:rsidRPr="00C1603D" w:rsidRDefault="008B4DF8" w:rsidP="00AA3BC0">
            <w:pPr>
              <w:pStyle w:val="72TabletextTablesTableFigureBoxstyles"/>
              <w:rPr>
                <w:lang w:eastAsia="en-GB"/>
              </w:rPr>
            </w:pPr>
            <w:r w:rsidRPr="00C1603D">
              <w:rPr>
                <w:rFonts w:eastAsia="Yu Gothic Light"/>
                <w:lang w:eastAsia="en-GB"/>
              </w:rPr>
              <w:t>18 (8.1</w:t>
            </w:r>
            <w:r w:rsidR="00E51FE7" w:rsidRPr="00C1603D">
              <w:rPr>
                <w:rFonts w:eastAsia="Yu Gothic Light"/>
                <w:lang w:eastAsia="en-GB"/>
              </w:rPr>
              <w:t>)</w:t>
            </w:r>
          </w:p>
        </w:tc>
        <w:tc>
          <w:tcPr>
            <w:tcW w:w="0" w:type="auto"/>
            <w:shd w:val="clear" w:color="auto" w:fill="auto"/>
          </w:tcPr>
          <w:p w14:paraId="005F105E" w14:textId="1AB1C7CD" w:rsidR="008B4DF8" w:rsidRPr="00C1603D" w:rsidRDefault="008B4DF8" w:rsidP="00AA3BC0">
            <w:pPr>
              <w:pStyle w:val="72TabletextTablesTableFigureBoxstyles"/>
              <w:rPr>
                <w:lang w:eastAsia="en-GB"/>
              </w:rPr>
            </w:pPr>
            <w:r w:rsidRPr="00C1603D">
              <w:rPr>
                <w:rFonts w:eastAsia="Yu Gothic Light"/>
                <w:lang w:eastAsia="en-GB"/>
              </w:rPr>
              <w:t>25 (7.1</w:t>
            </w:r>
            <w:r w:rsidR="00E51FE7" w:rsidRPr="00C1603D">
              <w:rPr>
                <w:rFonts w:eastAsia="Yu Gothic Light"/>
                <w:lang w:eastAsia="en-GB"/>
              </w:rPr>
              <w:t>)</w:t>
            </w:r>
          </w:p>
        </w:tc>
        <w:tc>
          <w:tcPr>
            <w:tcW w:w="0" w:type="auto"/>
            <w:shd w:val="clear" w:color="auto" w:fill="auto"/>
          </w:tcPr>
          <w:p w14:paraId="5A03A5C3" w14:textId="1DD191FD" w:rsidR="008B4DF8" w:rsidRPr="00C1603D" w:rsidRDefault="008B4DF8" w:rsidP="00AA3BC0">
            <w:pPr>
              <w:pStyle w:val="72TabletextTablesTableFigureBoxstyles"/>
              <w:rPr>
                <w:lang w:eastAsia="en-GB"/>
              </w:rPr>
            </w:pPr>
            <w:r w:rsidRPr="00C1603D">
              <w:rPr>
                <w:rFonts w:eastAsia="Yu Gothic Light"/>
                <w:lang w:eastAsia="en-GB"/>
              </w:rPr>
              <w:t>25 (5.3</w:t>
            </w:r>
            <w:r w:rsidR="00E51FE7" w:rsidRPr="00C1603D">
              <w:rPr>
                <w:rFonts w:eastAsia="Yu Gothic Light"/>
                <w:lang w:eastAsia="en-GB"/>
              </w:rPr>
              <w:t>)</w:t>
            </w:r>
          </w:p>
        </w:tc>
      </w:tr>
      <w:tr w:rsidR="00E51FE7" w:rsidRPr="00C1603D" w14:paraId="1541C31D" w14:textId="77777777" w:rsidTr="00E51FE7">
        <w:trPr>
          <w:cantSplit/>
        </w:trPr>
        <w:tc>
          <w:tcPr>
            <w:tcW w:w="0" w:type="auto"/>
            <w:shd w:val="clear" w:color="auto" w:fill="auto"/>
          </w:tcPr>
          <w:p w14:paraId="32025C2C" w14:textId="6681BC53" w:rsidR="008B4DF8" w:rsidRPr="00C1603D" w:rsidRDefault="008B4DF8" w:rsidP="00AA3BC0">
            <w:pPr>
              <w:pStyle w:val="72TabletextTablesTableFigureBoxstyles"/>
              <w:rPr>
                <w:rFonts w:eastAsia="Yu Gothic Light"/>
              </w:rPr>
            </w:pPr>
            <w:r w:rsidRPr="00C1603D">
              <w:rPr>
                <w:rFonts w:eastAsia="Yu Gothic Light"/>
                <w:lang w:eastAsia="en-GB"/>
              </w:rPr>
              <w:t>May consider restarting gluten diet and biopsy if GFD does not work</w:t>
            </w:r>
          </w:p>
        </w:tc>
        <w:tc>
          <w:tcPr>
            <w:tcW w:w="0" w:type="auto"/>
            <w:shd w:val="clear" w:color="auto" w:fill="auto"/>
          </w:tcPr>
          <w:p w14:paraId="1F96E3BF" w14:textId="54F67500" w:rsidR="008B4DF8" w:rsidRPr="00C1603D" w:rsidRDefault="008B4DF8" w:rsidP="00AA3BC0">
            <w:pPr>
              <w:pStyle w:val="72TabletextTablesTableFigureBoxstyles"/>
              <w:rPr>
                <w:lang w:eastAsia="en-GB"/>
              </w:rPr>
            </w:pPr>
            <w:r w:rsidRPr="00C1603D">
              <w:rPr>
                <w:rFonts w:eastAsia="Yu Gothic Light"/>
                <w:lang w:eastAsia="en-GB"/>
              </w:rPr>
              <w:t>8 (3.3</w:t>
            </w:r>
            <w:r w:rsidR="00E51FE7" w:rsidRPr="00C1603D">
              <w:rPr>
                <w:rFonts w:eastAsia="Yu Gothic Light"/>
                <w:lang w:eastAsia="en-GB"/>
              </w:rPr>
              <w:t>)</w:t>
            </w:r>
          </w:p>
        </w:tc>
        <w:tc>
          <w:tcPr>
            <w:tcW w:w="0" w:type="auto"/>
            <w:shd w:val="clear" w:color="auto" w:fill="auto"/>
          </w:tcPr>
          <w:p w14:paraId="7AABCF1B" w14:textId="4D7A8A0F" w:rsidR="008B4DF8" w:rsidRPr="00C1603D" w:rsidRDefault="008B4DF8" w:rsidP="00AA3BC0">
            <w:pPr>
              <w:pStyle w:val="72TabletextTablesTableFigureBoxstyles"/>
              <w:rPr>
                <w:lang w:eastAsia="en-GB"/>
              </w:rPr>
            </w:pPr>
            <w:r w:rsidRPr="00C1603D">
              <w:rPr>
                <w:rFonts w:eastAsia="Yu Gothic Light"/>
                <w:lang w:eastAsia="en-GB"/>
              </w:rPr>
              <w:t>14 (6.3</w:t>
            </w:r>
            <w:r w:rsidR="00E51FE7" w:rsidRPr="00C1603D">
              <w:rPr>
                <w:rFonts w:eastAsia="Yu Gothic Light"/>
                <w:lang w:eastAsia="en-GB"/>
              </w:rPr>
              <w:t>)</w:t>
            </w:r>
          </w:p>
        </w:tc>
        <w:tc>
          <w:tcPr>
            <w:tcW w:w="0" w:type="auto"/>
            <w:shd w:val="clear" w:color="auto" w:fill="auto"/>
          </w:tcPr>
          <w:p w14:paraId="2C352BE8" w14:textId="71F1E593" w:rsidR="008B4DF8" w:rsidRPr="00C1603D" w:rsidRDefault="008B4DF8" w:rsidP="00AA3BC0">
            <w:pPr>
              <w:pStyle w:val="72TabletextTablesTableFigureBoxstyles"/>
              <w:rPr>
                <w:lang w:eastAsia="en-GB"/>
              </w:rPr>
            </w:pPr>
            <w:r w:rsidRPr="00C1603D">
              <w:rPr>
                <w:rFonts w:eastAsia="Yu Gothic Light"/>
                <w:lang w:eastAsia="en-GB"/>
              </w:rPr>
              <w:t>22 (6.2</w:t>
            </w:r>
            <w:r w:rsidR="00E51FE7" w:rsidRPr="00C1603D">
              <w:rPr>
                <w:rFonts w:eastAsia="Yu Gothic Light"/>
                <w:lang w:eastAsia="en-GB"/>
              </w:rPr>
              <w:t>)</w:t>
            </w:r>
          </w:p>
        </w:tc>
        <w:tc>
          <w:tcPr>
            <w:tcW w:w="0" w:type="auto"/>
            <w:shd w:val="clear" w:color="auto" w:fill="auto"/>
          </w:tcPr>
          <w:p w14:paraId="0EE228BE" w14:textId="123BA02E" w:rsidR="008B4DF8" w:rsidRPr="00C1603D" w:rsidRDefault="008B4DF8" w:rsidP="00AA3BC0">
            <w:pPr>
              <w:pStyle w:val="72TabletextTablesTableFigureBoxstyles"/>
              <w:rPr>
                <w:lang w:eastAsia="en-GB"/>
              </w:rPr>
            </w:pPr>
            <w:r w:rsidRPr="00C1603D">
              <w:rPr>
                <w:rFonts w:eastAsia="Yu Gothic Light"/>
                <w:lang w:eastAsia="en-GB"/>
              </w:rPr>
              <w:t>22 (4.7</w:t>
            </w:r>
            <w:r w:rsidR="00E51FE7" w:rsidRPr="00C1603D">
              <w:rPr>
                <w:rFonts w:eastAsia="Yu Gothic Light"/>
                <w:lang w:eastAsia="en-GB"/>
              </w:rPr>
              <w:t>)</w:t>
            </w:r>
          </w:p>
        </w:tc>
      </w:tr>
      <w:tr w:rsidR="00E51FE7" w:rsidRPr="00C1603D" w14:paraId="293406DE" w14:textId="77777777" w:rsidTr="00E51FE7">
        <w:trPr>
          <w:cantSplit/>
        </w:trPr>
        <w:tc>
          <w:tcPr>
            <w:tcW w:w="0" w:type="auto"/>
            <w:shd w:val="clear" w:color="auto" w:fill="auto"/>
          </w:tcPr>
          <w:p w14:paraId="16E6EAF5" w14:textId="105F68AE" w:rsidR="008B4DF8" w:rsidRPr="00C1603D" w:rsidRDefault="008B4DF8" w:rsidP="00AA3BC0">
            <w:pPr>
              <w:pStyle w:val="72TabletextTablesTableFigureBoxstyles"/>
              <w:rPr>
                <w:rFonts w:eastAsia="Yu Gothic Light"/>
              </w:rPr>
            </w:pPr>
            <w:r w:rsidRPr="00C1603D">
              <w:rPr>
                <w:rFonts w:eastAsia="Yu Gothic Light"/>
                <w:lang w:eastAsia="en-GB"/>
              </w:rPr>
              <w:t>Would start GFD at the lowest likelihood (</w:t>
            </w:r>
            <w:r w:rsidR="00E51FE7" w:rsidRPr="00C1603D">
              <w:rPr>
                <w:rFonts w:eastAsia="Yu Gothic Light"/>
                <w:lang w:eastAsia="en-GB"/>
              </w:rPr>
              <w:t>≤ </w:t>
            </w:r>
            <w:r w:rsidRPr="00C1603D">
              <w:rPr>
                <w:rFonts w:eastAsia="Yu Gothic Light"/>
                <w:lang w:eastAsia="en-GB"/>
              </w:rPr>
              <w:t>10% chance)</w:t>
            </w:r>
          </w:p>
        </w:tc>
        <w:tc>
          <w:tcPr>
            <w:tcW w:w="0" w:type="auto"/>
            <w:shd w:val="clear" w:color="auto" w:fill="auto"/>
          </w:tcPr>
          <w:p w14:paraId="33D06E0E" w14:textId="0F653E9B" w:rsidR="008B4DF8" w:rsidRPr="00C1603D" w:rsidRDefault="008B4DF8" w:rsidP="00AA3BC0">
            <w:pPr>
              <w:pStyle w:val="72TabletextTablesTableFigureBoxstyles"/>
              <w:rPr>
                <w:lang w:eastAsia="en-GB"/>
              </w:rPr>
            </w:pPr>
            <w:r w:rsidRPr="00C1603D">
              <w:rPr>
                <w:rFonts w:eastAsia="Yu Gothic Light"/>
                <w:lang w:eastAsia="en-GB"/>
              </w:rPr>
              <w:t>1 (0.4</w:t>
            </w:r>
            <w:r w:rsidR="00E51FE7" w:rsidRPr="00C1603D">
              <w:rPr>
                <w:rFonts w:eastAsia="Yu Gothic Light"/>
                <w:lang w:eastAsia="en-GB"/>
              </w:rPr>
              <w:t>)</w:t>
            </w:r>
          </w:p>
        </w:tc>
        <w:tc>
          <w:tcPr>
            <w:tcW w:w="0" w:type="auto"/>
            <w:shd w:val="clear" w:color="auto" w:fill="auto"/>
          </w:tcPr>
          <w:p w14:paraId="5E1AD9A3" w14:textId="6305DF10" w:rsidR="008B4DF8" w:rsidRPr="00C1603D" w:rsidRDefault="008B4DF8" w:rsidP="00AA3BC0">
            <w:pPr>
              <w:pStyle w:val="72TabletextTablesTableFigureBoxstyles"/>
              <w:rPr>
                <w:lang w:eastAsia="en-GB"/>
              </w:rPr>
            </w:pPr>
            <w:r w:rsidRPr="00C1603D">
              <w:rPr>
                <w:rFonts w:eastAsia="Yu Gothic Light"/>
                <w:lang w:eastAsia="en-GB"/>
              </w:rPr>
              <w:t>19 (8.5</w:t>
            </w:r>
            <w:r w:rsidR="00E51FE7" w:rsidRPr="00C1603D">
              <w:rPr>
                <w:rFonts w:eastAsia="Yu Gothic Light"/>
                <w:lang w:eastAsia="en-GB"/>
              </w:rPr>
              <w:t>)</w:t>
            </w:r>
          </w:p>
        </w:tc>
        <w:tc>
          <w:tcPr>
            <w:tcW w:w="0" w:type="auto"/>
            <w:shd w:val="clear" w:color="auto" w:fill="auto"/>
          </w:tcPr>
          <w:p w14:paraId="471C3827" w14:textId="29ECAAF8" w:rsidR="008B4DF8" w:rsidRPr="00C1603D" w:rsidRDefault="008B4DF8" w:rsidP="00AA3BC0">
            <w:pPr>
              <w:pStyle w:val="72TabletextTablesTableFigureBoxstyles"/>
              <w:rPr>
                <w:lang w:eastAsia="en-GB"/>
              </w:rPr>
            </w:pPr>
            <w:r w:rsidRPr="00C1603D">
              <w:rPr>
                <w:rFonts w:eastAsia="Yu Gothic Light"/>
                <w:lang w:eastAsia="en-GB"/>
              </w:rPr>
              <w:t>20 (5.7</w:t>
            </w:r>
            <w:r w:rsidR="00E51FE7" w:rsidRPr="00C1603D">
              <w:rPr>
                <w:rFonts w:eastAsia="Yu Gothic Light"/>
                <w:lang w:eastAsia="en-GB"/>
              </w:rPr>
              <w:t>)</w:t>
            </w:r>
          </w:p>
        </w:tc>
        <w:tc>
          <w:tcPr>
            <w:tcW w:w="0" w:type="auto"/>
            <w:shd w:val="clear" w:color="auto" w:fill="auto"/>
          </w:tcPr>
          <w:p w14:paraId="20A30643" w14:textId="625DBC4A" w:rsidR="008B4DF8" w:rsidRPr="00C1603D" w:rsidRDefault="008B4DF8" w:rsidP="00AA3BC0">
            <w:pPr>
              <w:pStyle w:val="72TabletextTablesTableFigureBoxstyles"/>
              <w:rPr>
                <w:lang w:eastAsia="en-GB"/>
              </w:rPr>
            </w:pPr>
            <w:r w:rsidRPr="00C1603D">
              <w:rPr>
                <w:rFonts w:eastAsia="Yu Gothic Light"/>
                <w:lang w:eastAsia="en-GB"/>
              </w:rPr>
              <w:t>20 (4.3</w:t>
            </w:r>
            <w:r w:rsidR="00E51FE7" w:rsidRPr="00C1603D">
              <w:rPr>
                <w:rFonts w:eastAsia="Yu Gothic Light"/>
                <w:lang w:eastAsia="en-GB"/>
              </w:rPr>
              <w:t>)</w:t>
            </w:r>
          </w:p>
        </w:tc>
      </w:tr>
      <w:tr w:rsidR="005A0906" w:rsidRPr="00C1603D" w14:paraId="20487A19" w14:textId="77777777" w:rsidTr="00E51FE7">
        <w:trPr>
          <w:cantSplit/>
        </w:trPr>
        <w:tc>
          <w:tcPr>
            <w:tcW w:w="0" w:type="auto"/>
            <w:gridSpan w:val="5"/>
            <w:shd w:val="clear" w:color="auto" w:fill="auto"/>
          </w:tcPr>
          <w:p w14:paraId="57CE4C0D" w14:textId="06F4BFFA" w:rsidR="005A0906" w:rsidRPr="00C1603D" w:rsidRDefault="005A0906" w:rsidP="005A0906">
            <w:pPr>
              <w:pStyle w:val="75TablenotesTablesTableFigureBoxstyles"/>
              <w:rPr>
                <w:rFonts w:eastAsia="Yu Gothic Light"/>
                <w:lang w:eastAsia="en-GB"/>
              </w:rPr>
            </w:pPr>
            <w:r w:rsidRPr="00C1603D">
              <w:t>GFD, gluten-free diet.</w:t>
            </w:r>
          </w:p>
        </w:tc>
      </w:tr>
    </w:tbl>
    <w:p w14:paraId="0BEC5381" w14:textId="382F81CB" w:rsidR="008B4DF8" w:rsidRPr="00C1603D" w:rsidRDefault="008B4DF8" w:rsidP="00E51FE7">
      <w:pPr>
        <w:pStyle w:val="43AppendixtitleHeadingsHeadingstyles"/>
      </w:pPr>
      <w:bookmarkStart w:id="720" w:name="_Ref95137361"/>
      <w:bookmarkStart w:id="721" w:name="_Toc99539951"/>
      <w:r w:rsidRPr="00C1603D">
        <w:lastRenderedPageBreak/>
        <w:t>Appendix 24</w:t>
      </w:r>
      <w:bookmarkEnd w:id="711"/>
      <w:bookmarkEnd w:id="712"/>
      <w:bookmarkEnd w:id="720"/>
      <w:bookmarkEnd w:id="721"/>
      <w:r w:rsidR="00E51FE7" w:rsidRPr="00C1603D">
        <w:t> </w:t>
      </w:r>
      <w:bookmarkStart w:id="722" w:name="_Toc99539952"/>
      <w:r w:rsidRPr="00C1603D">
        <w:t>Search strategy for targeted literature review of previous cost-effectiveness models in coeliac disease</w:t>
      </w:r>
      <w:bookmarkEnd w:id="722"/>
    </w:p>
    <w:p w14:paraId="306AC4C8" w14:textId="58458CE0" w:rsidR="00E51FE7" w:rsidRPr="00C1603D" w:rsidRDefault="00E51FE7" w:rsidP="00E51FE7">
      <w:pPr>
        <w:pStyle w:val="601TextdropcapTextstylesTextstyles"/>
        <w:rPr>
          <w:color w:val="auto"/>
          <w:lang w:eastAsia="en-GB"/>
        </w:rPr>
      </w:pPr>
      <w:r w:rsidRPr="00C1603D">
        <w:rPr>
          <w:lang w:eastAsia="en-GB"/>
        </w:rPr>
        <w:t xml:space="preserve">Database: </w:t>
      </w:r>
      <w:r w:rsidR="008B4DF8" w:rsidRPr="00C1603D">
        <w:rPr>
          <w:color w:val="auto"/>
          <w:lang w:eastAsia="en-GB"/>
        </w:rPr>
        <w:t>Ovid EMBASE</w:t>
      </w:r>
      <w:r w:rsidRPr="00C1603D">
        <w:rPr>
          <w:color w:val="auto"/>
          <w:lang w:eastAsia="en-GB"/>
        </w:rPr>
        <w:t>.</w:t>
      </w:r>
    </w:p>
    <w:p w14:paraId="044C37E3" w14:textId="0FFF82B1" w:rsidR="008B4DF8" w:rsidRPr="00C1603D" w:rsidRDefault="00E51FE7" w:rsidP="00E51FE7">
      <w:pPr>
        <w:pStyle w:val="601TextdropcapTextstylesTextstyles"/>
        <w:rPr>
          <w:lang w:eastAsia="en-GB"/>
        </w:rPr>
      </w:pPr>
      <w:r w:rsidRPr="00C1603D">
        <w:rPr>
          <w:color w:val="auto"/>
          <w:lang w:eastAsia="en-GB"/>
        </w:rPr>
        <w:t xml:space="preserve">Date range searched: </w:t>
      </w:r>
      <w:r w:rsidR="008B4DF8" w:rsidRPr="00C1603D">
        <w:rPr>
          <w:color w:val="auto"/>
          <w:lang w:eastAsia="en-GB"/>
        </w:rPr>
        <w:t xml:space="preserve">1974 </w:t>
      </w:r>
      <w:r w:rsidR="008B4DF8" w:rsidRPr="00C1603D">
        <w:rPr>
          <w:lang w:eastAsia="en-GB"/>
        </w:rPr>
        <w:t>to 2020 Week 19</w:t>
      </w:r>
      <w:r w:rsidRPr="00C1603D">
        <w:rPr>
          <w:lang w:eastAsia="en-GB"/>
        </w:rPr>
        <w:t>.</w:t>
      </w:r>
    </w:p>
    <w:p w14:paraId="0156D77E" w14:textId="56A57F40" w:rsidR="008B4DF8" w:rsidRPr="00C1603D" w:rsidRDefault="008B4DF8" w:rsidP="00E51FE7">
      <w:pPr>
        <w:pStyle w:val="621TextnumberedlistTextstylesTextstyles"/>
        <w:rPr>
          <w:lang w:eastAsia="en-GB"/>
        </w:rPr>
      </w:pPr>
      <w:r w:rsidRPr="00C1603D">
        <w:rPr>
          <w:lang w:eastAsia="en-GB"/>
        </w:rPr>
        <w:t>Celiac Disease/(30110)</w:t>
      </w:r>
    </w:p>
    <w:p w14:paraId="7B95BDA8" w14:textId="260F9CEF" w:rsidR="008B4DF8" w:rsidRPr="00C1603D" w:rsidRDefault="008B4DF8" w:rsidP="00E51FE7">
      <w:pPr>
        <w:pStyle w:val="621TextnumberedlistTextstylesTextstyles"/>
        <w:rPr>
          <w:lang w:eastAsia="en-GB"/>
        </w:rPr>
      </w:pPr>
      <w:proofErr w:type="spellStart"/>
      <w:r w:rsidRPr="00C1603D">
        <w:rPr>
          <w:lang w:eastAsia="en-GB"/>
        </w:rPr>
        <w:t>c?eliac</w:t>
      </w:r>
      <w:proofErr w:type="spellEnd"/>
      <w:r w:rsidRPr="00C1603D">
        <w:rPr>
          <w:lang w:eastAsia="en-GB"/>
        </w:rPr>
        <w:t>?.</w:t>
      </w:r>
      <w:proofErr w:type="spellStart"/>
      <w:r w:rsidRPr="00C1603D">
        <w:rPr>
          <w:lang w:eastAsia="en-GB"/>
        </w:rPr>
        <w:t>ti,ab,kw</w:t>
      </w:r>
      <w:proofErr w:type="spellEnd"/>
      <w:r w:rsidRPr="00C1603D">
        <w:rPr>
          <w:lang w:eastAsia="en-GB"/>
        </w:rPr>
        <w:t>. (39478)</w:t>
      </w:r>
    </w:p>
    <w:p w14:paraId="3A99E1C6" w14:textId="400438C4" w:rsidR="008B4DF8" w:rsidRPr="00C1603D" w:rsidRDefault="008B4DF8" w:rsidP="00E51FE7">
      <w:pPr>
        <w:pStyle w:val="621TextnumberedlistTextstylesTextstyles"/>
        <w:rPr>
          <w:lang w:eastAsia="en-GB"/>
        </w:rPr>
      </w:pPr>
      <w:r w:rsidRPr="00C1603D">
        <w:rPr>
          <w:lang w:eastAsia="en-GB"/>
        </w:rPr>
        <w:t>or/1-2 (45026)</w:t>
      </w:r>
    </w:p>
    <w:p w14:paraId="3C77452B" w14:textId="7D029D07" w:rsidR="008B4DF8" w:rsidRPr="00C1603D" w:rsidRDefault="008B4DF8" w:rsidP="00E51FE7">
      <w:pPr>
        <w:pStyle w:val="621TextnumberedlistTextstylesTextstyles"/>
        <w:rPr>
          <w:lang w:eastAsia="en-GB"/>
        </w:rPr>
      </w:pPr>
      <w:r w:rsidRPr="00C1603D">
        <w:rPr>
          <w:lang w:eastAsia="en-GB"/>
        </w:rPr>
        <w:t>(</w:t>
      </w:r>
      <w:proofErr w:type="spellStart"/>
      <w:r w:rsidRPr="00C1603D">
        <w:rPr>
          <w:lang w:eastAsia="en-GB"/>
        </w:rPr>
        <w:t>c?eliac</w:t>
      </w:r>
      <w:proofErr w:type="spellEnd"/>
      <w:r w:rsidRPr="00C1603D">
        <w:rPr>
          <w:lang w:eastAsia="en-GB"/>
        </w:rPr>
        <w:t xml:space="preserve"> </w:t>
      </w:r>
      <w:proofErr w:type="spellStart"/>
      <w:r w:rsidRPr="00C1603D">
        <w:rPr>
          <w:lang w:eastAsia="en-GB"/>
        </w:rPr>
        <w:t>adj</w:t>
      </w:r>
      <w:proofErr w:type="spellEnd"/>
      <w:r w:rsidRPr="00C1603D">
        <w:rPr>
          <w:lang w:eastAsia="en-GB"/>
        </w:rPr>
        <w:t xml:space="preserve"> (</w:t>
      </w:r>
      <w:proofErr w:type="spellStart"/>
      <w:r w:rsidRPr="00C1603D">
        <w:rPr>
          <w:lang w:eastAsia="en-GB"/>
        </w:rPr>
        <w:t>angiograp</w:t>
      </w:r>
      <w:proofErr w:type="spellEnd"/>
      <w:r w:rsidRPr="00C1603D">
        <w:rPr>
          <w:lang w:eastAsia="en-GB"/>
        </w:rPr>
        <w:t xml:space="preserve">* or </w:t>
      </w:r>
      <w:proofErr w:type="spellStart"/>
      <w:r w:rsidRPr="00C1603D">
        <w:rPr>
          <w:lang w:eastAsia="en-GB"/>
        </w:rPr>
        <w:t>arter</w:t>
      </w:r>
      <w:proofErr w:type="spellEnd"/>
      <w:r w:rsidRPr="00C1603D">
        <w:rPr>
          <w:lang w:eastAsia="en-GB"/>
        </w:rPr>
        <w:t xml:space="preserve">* or </w:t>
      </w:r>
      <w:proofErr w:type="gramStart"/>
      <w:r w:rsidRPr="00C1603D">
        <w:rPr>
          <w:lang w:eastAsia="en-GB"/>
        </w:rPr>
        <w:t>axis or plexus</w:t>
      </w:r>
      <w:proofErr w:type="gramEnd"/>
      <w:r w:rsidRPr="00C1603D">
        <w:rPr>
          <w:lang w:eastAsia="en-GB"/>
        </w:rPr>
        <w:t xml:space="preserve"> or trunk)).</w:t>
      </w:r>
      <w:proofErr w:type="spellStart"/>
      <w:r w:rsidRPr="00C1603D">
        <w:rPr>
          <w:lang w:eastAsia="en-GB"/>
        </w:rPr>
        <w:t>ti,ab,kw,hw</w:t>
      </w:r>
      <w:proofErr w:type="spellEnd"/>
      <w:r w:rsidRPr="00C1603D">
        <w:rPr>
          <w:lang w:eastAsia="en-GB"/>
        </w:rPr>
        <w:t>. (12349)</w:t>
      </w:r>
    </w:p>
    <w:p w14:paraId="46A54D1A" w14:textId="684F0FF9" w:rsidR="008B4DF8" w:rsidRPr="00C1603D" w:rsidRDefault="008B4DF8" w:rsidP="00E51FE7">
      <w:pPr>
        <w:pStyle w:val="621TextnumberedlistTextstylesTextstyles"/>
        <w:rPr>
          <w:lang w:eastAsia="en-GB"/>
        </w:rPr>
      </w:pPr>
      <w:proofErr w:type="gramStart"/>
      <w:r w:rsidRPr="00C1603D">
        <w:rPr>
          <w:lang w:eastAsia="en-GB"/>
        </w:rPr>
        <w:t>3</w:t>
      </w:r>
      <w:proofErr w:type="gramEnd"/>
      <w:r w:rsidRPr="00C1603D">
        <w:rPr>
          <w:lang w:eastAsia="en-GB"/>
        </w:rPr>
        <w:t xml:space="preserve"> not 4 (36020)</w:t>
      </w:r>
    </w:p>
    <w:p w14:paraId="4E8BA70D" w14:textId="3C24BC2B" w:rsidR="008B4DF8" w:rsidRPr="00C1603D" w:rsidRDefault="008B4DF8" w:rsidP="00E51FE7">
      <w:pPr>
        <w:pStyle w:val="621TextnumberedlistTextstylesTextstyles"/>
        <w:rPr>
          <w:lang w:eastAsia="en-GB"/>
        </w:rPr>
      </w:pPr>
      <w:r w:rsidRPr="00C1603D">
        <w:rPr>
          <w:lang w:eastAsia="en-GB"/>
        </w:rPr>
        <w:t xml:space="preserve">economic evaluation/or </w:t>
      </w:r>
      <w:r w:rsidRPr="00C1603D">
        <w:rPr>
          <w:color w:val="00B0F0"/>
          <w:lang w:eastAsia="en-GB"/>
        </w:rPr>
        <w:t>“</w:t>
      </w:r>
      <w:r w:rsidRPr="00C1603D">
        <w:rPr>
          <w:lang w:eastAsia="en-GB"/>
        </w:rPr>
        <w:t>cost benefit analysis</w:t>
      </w:r>
      <w:r w:rsidRPr="00C1603D">
        <w:rPr>
          <w:color w:val="00B0F0"/>
          <w:lang w:eastAsia="en-GB"/>
        </w:rPr>
        <w:t>”</w:t>
      </w:r>
      <w:r w:rsidRPr="00C1603D">
        <w:rPr>
          <w:lang w:eastAsia="en-GB"/>
        </w:rPr>
        <w:t xml:space="preserve">/or </w:t>
      </w:r>
      <w:r w:rsidRPr="00C1603D">
        <w:rPr>
          <w:color w:val="00B0F0"/>
          <w:lang w:eastAsia="en-GB"/>
        </w:rPr>
        <w:t>“</w:t>
      </w:r>
      <w:r w:rsidRPr="00C1603D">
        <w:rPr>
          <w:lang w:eastAsia="en-GB"/>
        </w:rPr>
        <w:t>cost control</w:t>
      </w:r>
      <w:r w:rsidRPr="00C1603D">
        <w:rPr>
          <w:color w:val="00B0F0"/>
          <w:lang w:eastAsia="en-GB"/>
        </w:rPr>
        <w:t>”</w:t>
      </w:r>
      <w:r w:rsidRPr="00C1603D">
        <w:rPr>
          <w:lang w:eastAsia="en-GB"/>
        </w:rPr>
        <w:t xml:space="preserve">/or </w:t>
      </w:r>
      <w:r w:rsidRPr="00C1603D">
        <w:rPr>
          <w:color w:val="00B0F0"/>
          <w:lang w:eastAsia="en-GB"/>
        </w:rPr>
        <w:t>“</w:t>
      </w:r>
      <w:r w:rsidRPr="00C1603D">
        <w:rPr>
          <w:lang w:eastAsia="en-GB"/>
        </w:rPr>
        <w:t>cost effectiveness analysis</w:t>
      </w:r>
      <w:r w:rsidRPr="00C1603D">
        <w:rPr>
          <w:color w:val="00B0F0"/>
          <w:lang w:eastAsia="en-GB"/>
        </w:rPr>
        <w:t>”</w:t>
      </w:r>
      <w:r w:rsidRPr="00C1603D">
        <w:rPr>
          <w:lang w:eastAsia="en-GB"/>
        </w:rPr>
        <w:t xml:space="preserve">/or </w:t>
      </w:r>
      <w:r w:rsidRPr="00C1603D">
        <w:rPr>
          <w:color w:val="00B0F0"/>
          <w:lang w:eastAsia="en-GB"/>
        </w:rPr>
        <w:t>“</w:t>
      </w:r>
      <w:r w:rsidRPr="00C1603D">
        <w:rPr>
          <w:lang w:eastAsia="en-GB"/>
        </w:rPr>
        <w:t>cost minimization analysis</w:t>
      </w:r>
      <w:r w:rsidRPr="00C1603D">
        <w:rPr>
          <w:color w:val="00B0F0"/>
          <w:lang w:eastAsia="en-GB"/>
        </w:rPr>
        <w:t>”</w:t>
      </w:r>
      <w:r w:rsidRPr="00C1603D">
        <w:rPr>
          <w:lang w:eastAsia="en-GB"/>
        </w:rPr>
        <w:t xml:space="preserve">/or </w:t>
      </w:r>
      <w:r w:rsidRPr="00C1603D">
        <w:rPr>
          <w:color w:val="00B0F0"/>
          <w:lang w:eastAsia="en-GB"/>
        </w:rPr>
        <w:t>“</w:t>
      </w:r>
      <w:r w:rsidRPr="00C1603D">
        <w:rPr>
          <w:lang w:eastAsia="en-GB"/>
        </w:rPr>
        <w:t>cost of illness</w:t>
      </w:r>
      <w:r w:rsidRPr="00C1603D">
        <w:rPr>
          <w:color w:val="00B0F0"/>
          <w:lang w:eastAsia="en-GB"/>
        </w:rPr>
        <w:t>”</w:t>
      </w:r>
      <w:r w:rsidRPr="00C1603D">
        <w:rPr>
          <w:lang w:eastAsia="en-GB"/>
        </w:rPr>
        <w:t xml:space="preserve">/or </w:t>
      </w:r>
      <w:r w:rsidRPr="00C1603D">
        <w:rPr>
          <w:color w:val="00B0F0"/>
          <w:lang w:eastAsia="en-GB"/>
        </w:rPr>
        <w:t>“</w:t>
      </w:r>
      <w:r w:rsidRPr="00C1603D">
        <w:rPr>
          <w:lang w:eastAsia="en-GB"/>
        </w:rPr>
        <w:t>cost utility analysis</w:t>
      </w:r>
      <w:r w:rsidRPr="00C1603D">
        <w:rPr>
          <w:color w:val="00B0F0"/>
          <w:lang w:eastAsia="en-GB"/>
        </w:rPr>
        <w:t>”</w:t>
      </w:r>
      <w:r w:rsidRPr="00C1603D">
        <w:rPr>
          <w:lang w:eastAsia="en-GB"/>
        </w:rPr>
        <w:t>/(303574)</w:t>
      </w:r>
    </w:p>
    <w:p w14:paraId="5E9477EF" w14:textId="685388FF" w:rsidR="008B4DF8" w:rsidRPr="00C1603D" w:rsidRDefault="008B4DF8" w:rsidP="00E51FE7">
      <w:pPr>
        <w:pStyle w:val="621TextnumberedlistTextstylesTextstyles"/>
        <w:rPr>
          <w:lang w:eastAsia="en-GB"/>
        </w:rPr>
      </w:pPr>
      <w:r w:rsidRPr="00C1603D">
        <w:rPr>
          <w:lang w:eastAsia="en-GB"/>
        </w:rPr>
        <w:t>(economic* adj2 (</w:t>
      </w:r>
      <w:proofErr w:type="spellStart"/>
      <w:r w:rsidRPr="00C1603D">
        <w:rPr>
          <w:lang w:eastAsia="en-GB"/>
        </w:rPr>
        <w:t>analys</w:t>
      </w:r>
      <w:proofErr w:type="spellEnd"/>
      <w:r w:rsidRPr="00C1603D">
        <w:rPr>
          <w:lang w:eastAsia="en-GB"/>
        </w:rPr>
        <w:t xml:space="preserve">* or benefit* or consequence* or effect* or </w:t>
      </w:r>
      <w:proofErr w:type="spellStart"/>
      <w:r w:rsidRPr="00C1603D">
        <w:rPr>
          <w:lang w:eastAsia="en-GB"/>
        </w:rPr>
        <w:t>evaluat</w:t>
      </w:r>
      <w:proofErr w:type="spellEnd"/>
      <w:r w:rsidRPr="00C1603D">
        <w:rPr>
          <w:lang w:eastAsia="en-GB"/>
        </w:rPr>
        <w:t xml:space="preserve">* or </w:t>
      </w:r>
      <w:proofErr w:type="spellStart"/>
      <w:r w:rsidRPr="00C1603D">
        <w:rPr>
          <w:lang w:eastAsia="en-GB"/>
        </w:rPr>
        <w:t>minimi#ation</w:t>
      </w:r>
      <w:proofErr w:type="spellEnd"/>
      <w:r w:rsidRPr="00C1603D">
        <w:rPr>
          <w:lang w:eastAsia="en-GB"/>
        </w:rPr>
        <w:t xml:space="preserve"> or saving*)).</w:t>
      </w:r>
      <w:proofErr w:type="spellStart"/>
      <w:r w:rsidRPr="00C1603D">
        <w:rPr>
          <w:lang w:eastAsia="en-GB"/>
        </w:rPr>
        <w:t>ti,ab,kw</w:t>
      </w:r>
      <w:proofErr w:type="spellEnd"/>
      <w:r w:rsidRPr="00C1603D">
        <w:rPr>
          <w:lang w:eastAsia="en-GB"/>
        </w:rPr>
        <w:t>. (47258)</w:t>
      </w:r>
    </w:p>
    <w:p w14:paraId="00CA0058" w14:textId="67BB947F" w:rsidR="008B4DF8" w:rsidRPr="00C1603D" w:rsidRDefault="008B4DF8" w:rsidP="00E51FE7">
      <w:pPr>
        <w:pStyle w:val="621TextnumberedlistTextstylesTextstyles"/>
        <w:rPr>
          <w:lang w:eastAsia="en-GB"/>
        </w:rPr>
      </w:pPr>
      <w:r w:rsidRPr="00C1603D">
        <w:rPr>
          <w:lang w:eastAsia="en-GB"/>
        </w:rPr>
        <w:t>((</w:t>
      </w:r>
      <w:proofErr w:type="gramStart"/>
      <w:r w:rsidRPr="00C1603D">
        <w:rPr>
          <w:lang w:eastAsia="en-GB"/>
        </w:rPr>
        <w:t>cost or costs</w:t>
      </w:r>
      <w:proofErr w:type="gramEnd"/>
      <w:r w:rsidRPr="00C1603D">
        <w:rPr>
          <w:lang w:eastAsia="en-GB"/>
        </w:rPr>
        <w:t xml:space="preserve"> or costing*) adj2 (</w:t>
      </w:r>
      <w:proofErr w:type="spellStart"/>
      <w:r w:rsidRPr="00C1603D">
        <w:rPr>
          <w:lang w:eastAsia="en-GB"/>
        </w:rPr>
        <w:t>analys</w:t>
      </w:r>
      <w:proofErr w:type="spellEnd"/>
      <w:r w:rsidRPr="00C1603D">
        <w:rPr>
          <w:lang w:eastAsia="en-GB"/>
        </w:rPr>
        <w:t xml:space="preserve">* or benefit* or consequence* or effective* or estimate* or </w:t>
      </w:r>
      <w:proofErr w:type="spellStart"/>
      <w:r w:rsidRPr="00C1603D">
        <w:rPr>
          <w:lang w:eastAsia="en-GB"/>
        </w:rPr>
        <w:t>minimi#ation</w:t>
      </w:r>
      <w:proofErr w:type="spellEnd"/>
      <w:r w:rsidRPr="00C1603D">
        <w:rPr>
          <w:lang w:eastAsia="en-GB"/>
        </w:rPr>
        <w:t xml:space="preserve"> or saving* or utility or </w:t>
      </w:r>
      <w:proofErr w:type="spellStart"/>
      <w:r w:rsidRPr="00C1603D">
        <w:rPr>
          <w:lang w:eastAsia="en-GB"/>
        </w:rPr>
        <w:t>variab</w:t>
      </w:r>
      <w:proofErr w:type="spellEnd"/>
      <w:r w:rsidRPr="00C1603D">
        <w:rPr>
          <w:lang w:eastAsia="en-GB"/>
        </w:rPr>
        <w:t>*)).</w:t>
      </w:r>
      <w:proofErr w:type="spellStart"/>
      <w:r w:rsidRPr="00C1603D">
        <w:rPr>
          <w:lang w:eastAsia="en-GB"/>
        </w:rPr>
        <w:t>ti,ab,kw</w:t>
      </w:r>
      <w:proofErr w:type="spellEnd"/>
      <w:r w:rsidRPr="00C1603D">
        <w:rPr>
          <w:lang w:eastAsia="en-GB"/>
        </w:rPr>
        <w:t>. (262232)</w:t>
      </w:r>
    </w:p>
    <w:p w14:paraId="607BCE63" w14:textId="223CC1A0" w:rsidR="008B4DF8" w:rsidRPr="00C1603D" w:rsidRDefault="008B4DF8" w:rsidP="00E51FE7">
      <w:pPr>
        <w:pStyle w:val="621TextnumberedlistTextstylesTextstyles"/>
        <w:rPr>
          <w:lang w:eastAsia="en-GB"/>
        </w:rPr>
      </w:pPr>
      <w:r w:rsidRPr="00C1603D">
        <w:rPr>
          <w:lang w:eastAsia="en-GB"/>
        </w:rPr>
        <w:t xml:space="preserve">(cba or </w:t>
      </w:r>
      <w:proofErr w:type="spellStart"/>
      <w:r w:rsidRPr="00C1603D">
        <w:rPr>
          <w:lang w:eastAsia="en-GB"/>
        </w:rPr>
        <w:t>cea</w:t>
      </w:r>
      <w:proofErr w:type="spellEnd"/>
      <w:r w:rsidRPr="00C1603D">
        <w:rPr>
          <w:lang w:eastAsia="en-GB"/>
        </w:rPr>
        <w:t xml:space="preserve"> or </w:t>
      </w:r>
      <w:proofErr w:type="spellStart"/>
      <w:r w:rsidRPr="00C1603D">
        <w:rPr>
          <w:lang w:eastAsia="en-GB"/>
        </w:rPr>
        <w:t>cua</w:t>
      </w:r>
      <w:proofErr w:type="spellEnd"/>
      <w:r w:rsidRPr="00C1603D">
        <w:rPr>
          <w:lang w:eastAsia="en-GB"/>
        </w:rPr>
        <w:t>).</w:t>
      </w:r>
      <w:proofErr w:type="spellStart"/>
      <w:r w:rsidRPr="00C1603D">
        <w:rPr>
          <w:lang w:eastAsia="en-GB"/>
        </w:rPr>
        <w:t>ti,ab,kw</w:t>
      </w:r>
      <w:proofErr w:type="spellEnd"/>
      <w:r w:rsidRPr="00C1603D">
        <w:rPr>
          <w:lang w:eastAsia="en-GB"/>
        </w:rPr>
        <w:t>. (48623)</w:t>
      </w:r>
    </w:p>
    <w:p w14:paraId="08A9A26E" w14:textId="0FDCE9C6" w:rsidR="008B4DF8" w:rsidRPr="00C1603D" w:rsidRDefault="008B4DF8" w:rsidP="00E51FE7">
      <w:pPr>
        <w:pStyle w:val="621TextnumberedlistTextstylesTextstyles"/>
        <w:rPr>
          <w:lang w:eastAsia="en-GB"/>
        </w:rPr>
      </w:pPr>
      <w:r w:rsidRPr="00C1603D">
        <w:rPr>
          <w:lang w:eastAsia="en-GB"/>
        </w:rPr>
        <w:t>(budget* or unit cost).</w:t>
      </w:r>
      <w:proofErr w:type="spellStart"/>
      <w:r w:rsidRPr="00C1603D">
        <w:rPr>
          <w:lang w:eastAsia="en-GB"/>
        </w:rPr>
        <w:t>ti,ab,kw</w:t>
      </w:r>
      <w:proofErr w:type="spellEnd"/>
      <w:r w:rsidRPr="00C1603D">
        <w:rPr>
          <w:lang w:eastAsia="en-GB"/>
        </w:rPr>
        <w:t>. (40257)</w:t>
      </w:r>
    </w:p>
    <w:p w14:paraId="6EC91B91" w14:textId="290111D2" w:rsidR="008B4DF8" w:rsidRPr="00C1603D" w:rsidRDefault="008B4DF8" w:rsidP="00E51FE7">
      <w:pPr>
        <w:pStyle w:val="621TextnumberedlistTextstylesTextstyles"/>
        <w:rPr>
          <w:lang w:eastAsia="en-GB"/>
        </w:rPr>
      </w:pPr>
      <w:r w:rsidRPr="00C1603D">
        <w:rPr>
          <w:lang w:eastAsia="en-GB"/>
        </w:rPr>
        <w:t>(expenditure* not energy).</w:t>
      </w:r>
      <w:proofErr w:type="spellStart"/>
      <w:r w:rsidRPr="00C1603D">
        <w:rPr>
          <w:lang w:eastAsia="en-GB"/>
        </w:rPr>
        <w:t>ti,ab,kw</w:t>
      </w:r>
      <w:proofErr w:type="spellEnd"/>
      <w:r w:rsidRPr="00C1603D">
        <w:rPr>
          <w:lang w:eastAsia="en-GB"/>
        </w:rPr>
        <w:t>. (40404)</w:t>
      </w:r>
    </w:p>
    <w:p w14:paraId="34338010" w14:textId="2915644E" w:rsidR="008B4DF8" w:rsidRPr="00C1603D" w:rsidRDefault="008B4DF8" w:rsidP="00E51FE7">
      <w:pPr>
        <w:pStyle w:val="621TextnumberedlistTextstylesTextstyles"/>
        <w:rPr>
          <w:lang w:eastAsia="en-GB"/>
        </w:rPr>
      </w:pPr>
      <w:r w:rsidRPr="00C1603D">
        <w:rPr>
          <w:lang w:eastAsia="en-GB"/>
        </w:rPr>
        <w:t>(value adj2 (money or monetary)).</w:t>
      </w:r>
      <w:proofErr w:type="spellStart"/>
      <w:r w:rsidRPr="00C1603D">
        <w:rPr>
          <w:lang w:eastAsia="en-GB"/>
        </w:rPr>
        <w:t>ti,ab,kw</w:t>
      </w:r>
      <w:proofErr w:type="spellEnd"/>
      <w:r w:rsidRPr="00C1603D">
        <w:rPr>
          <w:lang w:eastAsia="en-GB"/>
        </w:rPr>
        <w:t>. (3249)</w:t>
      </w:r>
    </w:p>
    <w:p w14:paraId="36C4BF5A" w14:textId="34B5D4F6" w:rsidR="008B4DF8" w:rsidRPr="00C1603D" w:rsidRDefault="008B4DF8" w:rsidP="00E51FE7">
      <w:pPr>
        <w:pStyle w:val="621TextnumberedlistTextstylesTextstyles"/>
        <w:rPr>
          <w:lang w:eastAsia="en-GB"/>
        </w:rPr>
      </w:pPr>
      <w:r w:rsidRPr="00C1603D">
        <w:rPr>
          <w:lang w:eastAsia="en-GB"/>
        </w:rPr>
        <w:t>economic model/(1993)</w:t>
      </w:r>
    </w:p>
    <w:p w14:paraId="34EDBBDC" w14:textId="3EB7A5ED" w:rsidR="008B4DF8" w:rsidRPr="00C1603D" w:rsidRDefault="008B4DF8" w:rsidP="00E51FE7">
      <w:pPr>
        <w:pStyle w:val="621TextnumberedlistTextstylesTextstyles"/>
        <w:rPr>
          <w:lang w:eastAsia="en-GB"/>
        </w:rPr>
      </w:pPr>
      <w:r w:rsidRPr="00C1603D">
        <w:rPr>
          <w:lang w:eastAsia="en-GB"/>
        </w:rPr>
        <w:t>((economic? or econometric) adj2 model*).</w:t>
      </w:r>
      <w:proofErr w:type="spellStart"/>
      <w:r w:rsidRPr="00C1603D">
        <w:rPr>
          <w:lang w:eastAsia="en-GB"/>
        </w:rPr>
        <w:t>ti,ab,kw</w:t>
      </w:r>
      <w:proofErr w:type="spellEnd"/>
      <w:r w:rsidRPr="00C1603D">
        <w:rPr>
          <w:lang w:eastAsia="en-GB"/>
        </w:rPr>
        <w:t>. (7359)</w:t>
      </w:r>
    </w:p>
    <w:p w14:paraId="1F4CAA6F" w14:textId="266556A8" w:rsidR="008B4DF8" w:rsidRPr="00C1603D" w:rsidRDefault="008B4DF8" w:rsidP="00E51FE7">
      <w:pPr>
        <w:pStyle w:val="621TextnumberedlistTextstylesTextstyles"/>
        <w:rPr>
          <w:lang w:eastAsia="en-GB"/>
        </w:rPr>
      </w:pPr>
      <w:r w:rsidRPr="00C1603D">
        <w:rPr>
          <w:lang w:eastAsia="en-GB"/>
        </w:rPr>
        <w:t>statistical model/and exp economic aspect/(21850)</w:t>
      </w:r>
    </w:p>
    <w:p w14:paraId="5B33310D" w14:textId="18BA318B" w:rsidR="008B4DF8" w:rsidRPr="00C1603D" w:rsidRDefault="008B4DF8" w:rsidP="00E51FE7">
      <w:pPr>
        <w:pStyle w:val="621TextnumberedlistTextstylesTextstyles"/>
        <w:rPr>
          <w:lang w:eastAsia="en-GB"/>
        </w:rPr>
      </w:pPr>
      <w:r w:rsidRPr="00C1603D">
        <w:rPr>
          <w:lang w:eastAsia="en-GB"/>
        </w:rPr>
        <w:t>stochastic model/(14561)</w:t>
      </w:r>
    </w:p>
    <w:p w14:paraId="55ED9990" w14:textId="3A0B520D" w:rsidR="008B4DF8" w:rsidRPr="00C1603D" w:rsidRDefault="008B4DF8" w:rsidP="00E51FE7">
      <w:pPr>
        <w:pStyle w:val="621TextnumberedlistTextstylesTextstyles"/>
        <w:rPr>
          <w:lang w:eastAsia="en-GB"/>
        </w:rPr>
      </w:pPr>
      <w:r w:rsidRPr="00C1603D">
        <w:rPr>
          <w:lang w:eastAsia="en-GB"/>
        </w:rPr>
        <w:t>decision tree/(12592)</w:t>
      </w:r>
    </w:p>
    <w:p w14:paraId="1728FAFD" w14:textId="5F578B2C" w:rsidR="008B4DF8" w:rsidRPr="00C1603D" w:rsidRDefault="008B4DF8" w:rsidP="00E51FE7">
      <w:pPr>
        <w:pStyle w:val="621TextnumberedlistTextstylesTextstyles"/>
        <w:rPr>
          <w:lang w:eastAsia="en-GB"/>
        </w:rPr>
      </w:pPr>
      <w:r w:rsidRPr="00C1603D">
        <w:rPr>
          <w:lang w:eastAsia="en-GB"/>
        </w:rPr>
        <w:t>(</w:t>
      </w:r>
      <w:proofErr w:type="spellStart"/>
      <w:r w:rsidRPr="00C1603D">
        <w:rPr>
          <w:lang w:eastAsia="en-GB"/>
        </w:rPr>
        <w:t>markov</w:t>
      </w:r>
      <w:proofErr w:type="spellEnd"/>
      <w:r w:rsidRPr="00C1603D">
        <w:rPr>
          <w:lang w:eastAsia="en-GB"/>
        </w:rPr>
        <w:t xml:space="preserve">* or monte </w:t>
      </w:r>
      <w:proofErr w:type="spellStart"/>
      <w:r w:rsidRPr="00C1603D">
        <w:rPr>
          <w:lang w:eastAsia="en-GB"/>
        </w:rPr>
        <w:t>carlo</w:t>
      </w:r>
      <w:proofErr w:type="spellEnd"/>
      <w:r w:rsidRPr="00C1603D">
        <w:rPr>
          <w:lang w:eastAsia="en-GB"/>
        </w:rPr>
        <w:t>).</w:t>
      </w:r>
      <w:proofErr w:type="spellStart"/>
      <w:r w:rsidRPr="00C1603D">
        <w:rPr>
          <w:lang w:eastAsia="en-GB"/>
        </w:rPr>
        <w:t>ti,ab,kw,hw</w:t>
      </w:r>
      <w:proofErr w:type="spellEnd"/>
      <w:r w:rsidRPr="00C1603D">
        <w:rPr>
          <w:lang w:eastAsia="en-GB"/>
        </w:rPr>
        <w:t>. (86470)</w:t>
      </w:r>
    </w:p>
    <w:p w14:paraId="1A316EF0" w14:textId="3C82F7A4" w:rsidR="008B4DF8" w:rsidRPr="00C1603D" w:rsidRDefault="008B4DF8" w:rsidP="00E51FE7">
      <w:pPr>
        <w:pStyle w:val="621TextnumberedlistTextstylesTextstyles"/>
        <w:rPr>
          <w:lang w:eastAsia="en-GB"/>
        </w:rPr>
      </w:pPr>
      <w:r w:rsidRPr="00C1603D">
        <w:rPr>
          <w:lang w:eastAsia="en-GB"/>
        </w:rPr>
        <w:t xml:space="preserve">(decision* adj2 (tree* or </w:t>
      </w:r>
      <w:proofErr w:type="spellStart"/>
      <w:r w:rsidRPr="00C1603D">
        <w:rPr>
          <w:lang w:eastAsia="en-GB"/>
        </w:rPr>
        <w:t>analy</w:t>
      </w:r>
      <w:proofErr w:type="spellEnd"/>
      <w:r w:rsidRPr="00C1603D">
        <w:rPr>
          <w:lang w:eastAsia="en-GB"/>
        </w:rPr>
        <w:t>* or model*)).</w:t>
      </w:r>
      <w:proofErr w:type="spellStart"/>
      <w:r w:rsidRPr="00C1603D">
        <w:rPr>
          <w:lang w:eastAsia="en-GB"/>
        </w:rPr>
        <w:t>ti,ab,kw</w:t>
      </w:r>
      <w:proofErr w:type="spellEnd"/>
      <w:r w:rsidRPr="00C1603D">
        <w:rPr>
          <w:lang w:eastAsia="en-GB"/>
        </w:rPr>
        <w:t>. (33681)</w:t>
      </w:r>
    </w:p>
    <w:p w14:paraId="7579BB69" w14:textId="0763348F" w:rsidR="008B4DF8" w:rsidRPr="00C1603D" w:rsidRDefault="008B4DF8" w:rsidP="00E51FE7">
      <w:pPr>
        <w:pStyle w:val="621TextnumberedlistTextstylesTextstyles"/>
        <w:rPr>
          <w:lang w:eastAsia="en-GB"/>
        </w:rPr>
      </w:pPr>
      <w:r w:rsidRPr="00C1603D">
        <w:rPr>
          <w:lang w:eastAsia="en-GB"/>
        </w:rPr>
        <w:t xml:space="preserve">((value adj2 information analysis) or (expected value adj3 perfect information) or (expected value adj3 </w:t>
      </w:r>
      <w:proofErr w:type="spellStart"/>
      <w:r w:rsidRPr="00C1603D">
        <w:rPr>
          <w:lang w:eastAsia="en-GB"/>
        </w:rPr>
        <w:t>sampl</w:t>
      </w:r>
      <w:proofErr w:type="spellEnd"/>
      <w:r w:rsidRPr="00C1603D">
        <w:rPr>
          <w:lang w:eastAsia="en-GB"/>
        </w:rPr>
        <w:t>* information)).</w:t>
      </w:r>
      <w:proofErr w:type="spellStart"/>
      <w:r w:rsidRPr="00C1603D">
        <w:rPr>
          <w:lang w:eastAsia="en-GB"/>
        </w:rPr>
        <w:t>ti,ab,kw</w:t>
      </w:r>
      <w:proofErr w:type="spellEnd"/>
      <w:r w:rsidRPr="00C1603D">
        <w:rPr>
          <w:lang w:eastAsia="en-GB"/>
        </w:rPr>
        <w:t>. (529)</w:t>
      </w:r>
    </w:p>
    <w:p w14:paraId="5A179D42" w14:textId="03E40D99" w:rsidR="008B4DF8" w:rsidRPr="00C1603D" w:rsidRDefault="008B4DF8" w:rsidP="00E51FE7">
      <w:pPr>
        <w:pStyle w:val="621TextnumberedlistTextstylesTextstyles"/>
        <w:rPr>
          <w:lang w:eastAsia="en-GB"/>
        </w:rPr>
      </w:pPr>
      <w:r w:rsidRPr="00C1603D">
        <w:rPr>
          <w:lang w:eastAsia="en-GB"/>
        </w:rPr>
        <w:t>(microsimulation? or micro-simulation?).</w:t>
      </w:r>
      <w:proofErr w:type="spellStart"/>
      <w:r w:rsidRPr="00C1603D">
        <w:rPr>
          <w:lang w:eastAsia="en-GB"/>
        </w:rPr>
        <w:t>mp</w:t>
      </w:r>
      <w:proofErr w:type="spellEnd"/>
      <w:r w:rsidRPr="00C1603D">
        <w:rPr>
          <w:lang w:eastAsia="en-GB"/>
        </w:rPr>
        <w:t>. (2052)</w:t>
      </w:r>
    </w:p>
    <w:p w14:paraId="56F8DF64" w14:textId="5EEA4A2C" w:rsidR="008B4DF8" w:rsidRPr="00C1603D" w:rsidRDefault="008B4DF8" w:rsidP="00E51FE7">
      <w:pPr>
        <w:pStyle w:val="621TextnumberedlistTextstylesTextstyles"/>
        <w:rPr>
          <w:lang w:eastAsia="en-GB"/>
        </w:rPr>
      </w:pPr>
      <w:r w:rsidRPr="00C1603D">
        <w:rPr>
          <w:lang w:eastAsia="en-GB"/>
        </w:rPr>
        <w:t>discrete event? simulation?.mp. (1154)</w:t>
      </w:r>
    </w:p>
    <w:p w14:paraId="249EE72E" w14:textId="5D2C5E89" w:rsidR="008B4DF8" w:rsidRPr="00C1603D" w:rsidRDefault="008B4DF8" w:rsidP="00E51FE7">
      <w:pPr>
        <w:pStyle w:val="621TextnumberedlistTextstylesTextstyles"/>
        <w:rPr>
          <w:lang w:eastAsia="en-GB"/>
        </w:rPr>
      </w:pPr>
      <w:r w:rsidRPr="00C1603D">
        <w:rPr>
          <w:lang w:eastAsia="en-GB"/>
        </w:rPr>
        <w:t>or/6-22 (674534)</w:t>
      </w:r>
    </w:p>
    <w:p w14:paraId="7F17A01B" w14:textId="0A33A4D6" w:rsidR="008B4DF8" w:rsidRPr="00C1603D" w:rsidRDefault="008B4DF8" w:rsidP="00E51FE7">
      <w:pPr>
        <w:pStyle w:val="621TextnumberedlistTextstylesTextstyles"/>
        <w:rPr>
          <w:lang w:eastAsia="en-GB"/>
        </w:rPr>
      </w:pPr>
      <w:r w:rsidRPr="00C1603D">
        <w:rPr>
          <w:lang w:eastAsia="en-GB"/>
        </w:rPr>
        <w:t>5 and 23 (594)</w:t>
      </w:r>
    </w:p>
    <w:p w14:paraId="48662830" w14:textId="7A474AE7" w:rsidR="008B4DF8" w:rsidRPr="00C1603D" w:rsidRDefault="008B4DF8" w:rsidP="00E51FE7">
      <w:pPr>
        <w:pStyle w:val="621TextnumberedlistTextstylesTextstyles"/>
        <w:rPr>
          <w:lang w:eastAsia="en-GB"/>
        </w:rPr>
      </w:pPr>
      <w:r w:rsidRPr="00C1603D">
        <w:rPr>
          <w:lang w:eastAsia="en-GB"/>
        </w:rPr>
        <w:t xml:space="preserve">limit </w:t>
      </w:r>
      <w:proofErr w:type="gramStart"/>
      <w:r w:rsidRPr="00C1603D">
        <w:rPr>
          <w:lang w:eastAsia="en-GB"/>
        </w:rPr>
        <w:t>24</w:t>
      </w:r>
      <w:proofErr w:type="gramEnd"/>
      <w:r w:rsidRPr="00C1603D">
        <w:rPr>
          <w:lang w:eastAsia="en-GB"/>
        </w:rPr>
        <w:t xml:space="preserve"> to conference abstract status (204)</w:t>
      </w:r>
    </w:p>
    <w:p w14:paraId="1220A75C" w14:textId="1C1183B8" w:rsidR="008B4DF8" w:rsidRPr="00C1603D" w:rsidRDefault="008B4DF8" w:rsidP="00E51FE7">
      <w:pPr>
        <w:pStyle w:val="621TextnumberedlistTextstylesTextstyles"/>
        <w:rPr>
          <w:lang w:eastAsia="en-GB"/>
        </w:rPr>
      </w:pPr>
      <w:proofErr w:type="gramStart"/>
      <w:r w:rsidRPr="00C1603D">
        <w:rPr>
          <w:lang w:eastAsia="en-GB"/>
        </w:rPr>
        <w:t>24</w:t>
      </w:r>
      <w:proofErr w:type="gramEnd"/>
      <w:r w:rsidRPr="00C1603D">
        <w:rPr>
          <w:lang w:eastAsia="en-GB"/>
        </w:rPr>
        <w:t xml:space="preserve"> not 25 (390)</w:t>
      </w:r>
    </w:p>
    <w:p w14:paraId="09C139CF" w14:textId="66F6F0CC" w:rsidR="008B4DF8" w:rsidRPr="00C1603D" w:rsidRDefault="008B4DF8" w:rsidP="00E51FE7">
      <w:pPr>
        <w:pStyle w:val="6211TextnumberedlistlastTextstylesTextstyles"/>
      </w:pPr>
      <w:r w:rsidRPr="00C1603D">
        <w:rPr>
          <w:lang w:eastAsia="en-GB"/>
        </w:rPr>
        <w:t xml:space="preserve">from </w:t>
      </w:r>
      <w:proofErr w:type="gramStart"/>
      <w:r w:rsidRPr="00C1603D">
        <w:rPr>
          <w:lang w:eastAsia="en-GB"/>
        </w:rPr>
        <w:t>26</w:t>
      </w:r>
      <w:proofErr w:type="gramEnd"/>
      <w:r w:rsidRPr="00C1603D">
        <w:rPr>
          <w:lang w:eastAsia="en-GB"/>
        </w:rPr>
        <w:t xml:space="preserve"> keep 1-390 (390)</w:t>
      </w:r>
    </w:p>
    <w:p w14:paraId="54D37551" w14:textId="0F4D8DA3" w:rsidR="008B4DF8" w:rsidRPr="00C1603D" w:rsidRDefault="008B4DF8" w:rsidP="008B4DF8">
      <w:pPr>
        <w:pStyle w:val="43AppendixtitleHeadingsHeadingstyles"/>
      </w:pPr>
      <w:bookmarkStart w:id="723" w:name="_Toc99539953"/>
      <w:r w:rsidRPr="00C1603D">
        <w:lastRenderedPageBreak/>
        <w:t>Appendix 25</w:t>
      </w:r>
      <w:bookmarkEnd w:id="723"/>
      <w:r w:rsidR="00E51FE7" w:rsidRPr="00C1603D">
        <w:t> </w:t>
      </w:r>
      <w:r w:rsidR="00E51FE7" w:rsidRPr="00C1603D">
        <w:t>Economic models</w:t>
      </w:r>
    </w:p>
    <w:p w14:paraId="4F488A54" w14:textId="77777777" w:rsidR="008B4DF8" w:rsidRPr="00C1603D" w:rsidRDefault="008B4DF8" w:rsidP="008B4DF8">
      <w:pPr>
        <w:pStyle w:val="70TablelegendTablesTableFigureBoxstyles"/>
      </w:pPr>
      <w:bookmarkStart w:id="724" w:name="_Toc99720773"/>
      <w:r w:rsidRPr="00C1603D">
        <w:rPr>
          <w:b/>
        </w:rPr>
        <w:t>TABLE 62</w:t>
      </w:r>
      <w:r w:rsidRPr="00C1603D">
        <w:rPr>
          <w:b/>
        </w:rPr>
        <w:t> </w:t>
      </w:r>
      <w:r w:rsidRPr="00C1603D">
        <w:t>Summary of economic models</w:t>
      </w:r>
      <w:bookmarkEnd w:id="724"/>
    </w:p>
    <w:tbl>
      <w:tblPr>
        <w:tblW w:w="0" w:type="auto"/>
        <w:tblCellMar>
          <w:top w:w="40" w:type="dxa"/>
          <w:left w:w="60" w:type="dxa"/>
          <w:bottom w:w="40" w:type="dxa"/>
          <w:right w:w="60" w:type="dxa"/>
        </w:tblCellMar>
        <w:tblLook w:val="04A0" w:firstRow="1" w:lastRow="0" w:firstColumn="1" w:lastColumn="0" w:noHBand="0" w:noVBand="1"/>
      </w:tblPr>
      <w:tblGrid>
        <w:gridCol w:w="868"/>
        <w:gridCol w:w="769"/>
        <w:gridCol w:w="862"/>
        <w:gridCol w:w="954"/>
        <w:gridCol w:w="812"/>
        <w:gridCol w:w="883"/>
        <w:gridCol w:w="582"/>
        <w:gridCol w:w="871"/>
        <w:gridCol w:w="582"/>
        <w:gridCol w:w="1020"/>
        <w:gridCol w:w="823"/>
      </w:tblGrid>
      <w:tr w:rsidR="00FC0FE4" w:rsidRPr="00C1603D" w14:paraId="37226F36" w14:textId="77777777" w:rsidTr="00E51FE7">
        <w:trPr>
          <w:cantSplit/>
        </w:trPr>
        <w:tc>
          <w:tcPr>
            <w:tcW w:w="0" w:type="auto"/>
            <w:shd w:val="clear" w:color="auto" w:fill="auto"/>
          </w:tcPr>
          <w:p w14:paraId="2CEF938E" w14:textId="62E10A6A" w:rsidR="008B4DF8" w:rsidRPr="00C1603D" w:rsidRDefault="00A554FC" w:rsidP="00E51FE7">
            <w:pPr>
              <w:pStyle w:val="710TableheadTablesTableFigureBoxstyles"/>
            </w:pPr>
            <w:r w:rsidRPr="00C1603D">
              <w:t>St</w:t>
            </w:r>
            <w:r w:rsidR="006C00BC" w:rsidRPr="00C1603D">
              <w:t>udy</w:t>
            </w:r>
          </w:p>
        </w:tc>
        <w:tc>
          <w:tcPr>
            <w:tcW w:w="0" w:type="auto"/>
            <w:shd w:val="clear" w:color="auto" w:fill="auto"/>
          </w:tcPr>
          <w:p w14:paraId="7DFC7CA8" w14:textId="77777777" w:rsidR="008B4DF8" w:rsidRPr="00C1603D" w:rsidRDefault="008B4DF8" w:rsidP="00E51FE7">
            <w:pPr>
              <w:pStyle w:val="710TableheadTablesTableFigureBoxstyles"/>
            </w:pPr>
            <w:r w:rsidRPr="00C1603D">
              <w:t>Country</w:t>
            </w:r>
          </w:p>
        </w:tc>
        <w:tc>
          <w:tcPr>
            <w:tcW w:w="0" w:type="auto"/>
            <w:shd w:val="clear" w:color="auto" w:fill="auto"/>
          </w:tcPr>
          <w:p w14:paraId="5A474393" w14:textId="7A3F778E" w:rsidR="008B4DF8" w:rsidRPr="00C1603D" w:rsidRDefault="008B4DF8" w:rsidP="00E51FE7">
            <w:pPr>
              <w:pStyle w:val="710TableheadTablesTableFigureBoxstyles"/>
            </w:pPr>
            <w:r w:rsidRPr="00C1603D">
              <w:t xml:space="preserve">Research </w:t>
            </w:r>
            <w:r w:rsidR="006C00BC" w:rsidRPr="00C1603D">
              <w:t>q</w:t>
            </w:r>
            <w:r w:rsidRPr="00C1603D">
              <w:t>uestion</w:t>
            </w:r>
          </w:p>
        </w:tc>
        <w:tc>
          <w:tcPr>
            <w:tcW w:w="0" w:type="auto"/>
            <w:shd w:val="clear" w:color="auto" w:fill="auto"/>
          </w:tcPr>
          <w:p w14:paraId="7AF832B2" w14:textId="77777777" w:rsidR="008B4DF8" w:rsidRPr="00C1603D" w:rsidRDefault="008B4DF8" w:rsidP="00E51FE7">
            <w:pPr>
              <w:pStyle w:val="710TableheadTablesTableFigureBoxstyles"/>
            </w:pPr>
            <w:r w:rsidRPr="00C1603D">
              <w:t>Tests compared</w:t>
            </w:r>
          </w:p>
        </w:tc>
        <w:tc>
          <w:tcPr>
            <w:tcW w:w="0" w:type="auto"/>
            <w:shd w:val="clear" w:color="auto" w:fill="auto"/>
          </w:tcPr>
          <w:p w14:paraId="1EBDBDC5" w14:textId="77777777" w:rsidR="008B4DF8" w:rsidRPr="00C1603D" w:rsidRDefault="008B4DF8" w:rsidP="00E51FE7">
            <w:pPr>
              <w:pStyle w:val="710TableheadTablesTableFigureBoxstyles"/>
            </w:pPr>
            <w:r w:rsidRPr="00C1603D">
              <w:t>Comparator</w:t>
            </w:r>
          </w:p>
        </w:tc>
        <w:tc>
          <w:tcPr>
            <w:tcW w:w="0" w:type="auto"/>
            <w:shd w:val="clear" w:color="auto" w:fill="auto"/>
          </w:tcPr>
          <w:p w14:paraId="7025DFA4" w14:textId="77777777" w:rsidR="008B4DF8" w:rsidRPr="00C1603D" w:rsidRDefault="008B4DF8" w:rsidP="00E51FE7">
            <w:pPr>
              <w:pStyle w:val="710TableheadTablesTableFigureBoxstyles"/>
            </w:pPr>
            <w:r w:rsidRPr="00C1603D">
              <w:t>Population</w:t>
            </w:r>
          </w:p>
        </w:tc>
        <w:tc>
          <w:tcPr>
            <w:tcW w:w="0" w:type="auto"/>
            <w:shd w:val="clear" w:color="auto" w:fill="auto"/>
          </w:tcPr>
          <w:p w14:paraId="780195CE" w14:textId="77777777" w:rsidR="008B4DF8" w:rsidRPr="00C1603D" w:rsidRDefault="008B4DF8" w:rsidP="00E51FE7">
            <w:pPr>
              <w:pStyle w:val="710TableheadTablesTableFigureBoxstyles"/>
            </w:pPr>
            <w:r w:rsidRPr="00C1603D">
              <w:t>Model type</w:t>
            </w:r>
          </w:p>
        </w:tc>
        <w:tc>
          <w:tcPr>
            <w:tcW w:w="0" w:type="auto"/>
            <w:shd w:val="clear" w:color="auto" w:fill="auto"/>
          </w:tcPr>
          <w:p w14:paraId="6FDCEA28" w14:textId="77777777" w:rsidR="008B4DF8" w:rsidRPr="00C1603D" w:rsidRDefault="008B4DF8" w:rsidP="00E51FE7">
            <w:pPr>
              <w:pStyle w:val="710TableheadTablesTableFigureBoxstyles"/>
            </w:pPr>
            <w:r w:rsidRPr="00C1603D">
              <w:rPr>
                <w:lang w:eastAsia="en-GB"/>
              </w:rPr>
              <w:t>Model structure</w:t>
            </w:r>
          </w:p>
        </w:tc>
        <w:tc>
          <w:tcPr>
            <w:tcW w:w="0" w:type="auto"/>
            <w:shd w:val="clear" w:color="auto" w:fill="auto"/>
          </w:tcPr>
          <w:p w14:paraId="090FF725" w14:textId="77777777" w:rsidR="008B4DF8" w:rsidRPr="00C1603D" w:rsidRDefault="008B4DF8" w:rsidP="00E51FE7">
            <w:pPr>
              <w:pStyle w:val="710TableheadTablesTableFigureBoxstyles"/>
            </w:pPr>
            <w:r w:rsidRPr="00C1603D">
              <w:rPr>
                <w:lang w:eastAsia="en-GB"/>
              </w:rPr>
              <w:t>Time horizon</w:t>
            </w:r>
          </w:p>
        </w:tc>
        <w:tc>
          <w:tcPr>
            <w:tcW w:w="0" w:type="auto"/>
            <w:shd w:val="clear" w:color="auto" w:fill="auto"/>
          </w:tcPr>
          <w:p w14:paraId="44890E99" w14:textId="77777777" w:rsidR="008B4DF8" w:rsidRPr="00C1603D" w:rsidRDefault="008B4DF8" w:rsidP="00E51FE7">
            <w:pPr>
              <w:pStyle w:val="710TableheadTablesTableFigureBoxstyles"/>
            </w:pPr>
            <w:r w:rsidRPr="00C1603D">
              <w:rPr>
                <w:lang w:eastAsia="en-GB"/>
              </w:rPr>
              <w:t>Relevant costs or QALYs</w:t>
            </w:r>
          </w:p>
        </w:tc>
        <w:tc>
          <w:tcPr>
            <w:tcW w:w="0" w:type="auto"/>
            <w:shd w:val="clear" w:color="auto" w:fill="auto"/>
          </w:tcPr>
          <w:p w14:paraId="5901DA59" w14:textId="77777777" w:rsidR="008B4DF8" w:rsidRPr="00C1603D" w:rsidRDefault="008B4DF8" w:rsidP="00E51FE7">
            <w:pPr>
              <w:pStyle w:val="710TableheadTablesTableFigureBoxstyles"/>
            </w:pPr>
            <w:r w:rsidRPr="00C1603D">
              <w:rPr>
                <w:lang w:eastAsia="en-GB"/>
              </w:rPr>
              <w:t>Conclusion</w:t>
            </w:r>
          </w:p>
        </w:tc>
      </w:tr>
      <w:tr w:rsidR="00FC0FE4" w:rsidRPr="00C1603D" w14:paraId="7D19FAAA" w14:textId="77777777" w:rsidTr="00E51FE7">
        <w:trPr>
          <w:cantSplit/>
        </w:trPr>
        <w:tc>
          <w:tcPr>
            <w:tcW w:w="0" w:type="auto"/>
            <w:shd w:val="clear" w:color="auto" w:fill="auto"/>
          </w:tcPr>
          <w:p w14:paraId="3F112D27" w14:textId="4E0ADAFB" w:rsidR="008B4DF8" w:rsidRPr="00C1603D" w:rsidRDefault="008B4DF8" w:rsidP="00E51FE7">
            <w:pPr>
              <w:pStyle w:val="72TabletextTablesTableFigureBoxstyles"/>
            </w:pPr>
            <w:r w:rsidRPr="00C1603D">
              <w:t xml:space="preserve">Harewood </w:t>
            </w:r>
            <w:r w:rsidR="006C00BC" w:rsidRPr="00C1603D">
              <w:t>and</w:t>
            </w:r>
            <w:r w:rsidRPr="00C1603D">
              <w:t xml:space="preserve"> Murray</w:t>
            </w:r>
            <w:r w:rsidR="006C00BC" w:rsidRPr="00C1603D">
              <w:rPr>
                <w:vertAlign w:val="superscript"/>
              </w:rPr>
              <w:t>199</w:t>
            </w:r>
            <w:r w:rsidRPr="00C1603D">
              <w:t xml:space="preserve"> 2001</w:t>
            </w:r>
          </w:p>
        </w:tc>
        <w:tc>
          <w:tcPr>
            <w:tcW w:w="0" w:type="auto"/>
            <w:shd w:val="clear" w:color="auto" w:fill="auto"/>
          </w:tcPr>
          <w:p w14:paraId="10FE1666" w14:textId="77777777" w:rsidR="008B4DF8" w:rsidRPr="00C1603D" w:rsidRDefault="008B4DF8" w:rsidP="00E51FE7">
            <w:pPr>
              <w:pStyle w:val="72TabletextTablesTableFigureBoxstyles"/>
            </w:pPr>
            <w:r w:rsidRPr="00C1603D">
              <w:t>USA</w:t>
            </w:r>
          </w:p>
        </w:tc>
        <w:tc>
          <w:tcPr>
            <w:tcW w:w="0" w:type="auto"/>
            <w:shd w:val="clear" w:color="auto" w:fill="auto"/>
          </w:tcPr>
          <w:p w14:paraId="7EAE09BD" w14:textId="77777777" w:rsidR="008B4DF8" w:rsidRPr="00C1603D" w:rsidRDefault="008B4DF8" w:rsidP="00E51FE7">
            <w:pPr>
              <w:pStyle w:val="72TabletextTablesTableFigureBoxstyles"/>
            </w:pPr>
            <w:r w:rsidRPr="00C1603D">
              <w:t>To compare the costs of different screening strategies for the detection of CD</w:t>
            </w:r>
          </w:p>
        </w:tc>
        <w:tc>
          <w:tcPr>
            <w:tcW w:w="0" w:type="auto"/>
            <w:shd w:val="clear" w:color="auto" w:fill="auto"/>
          </w:tcPr>
          <w:p w14:paraId="75B88AD2" w14:textId="534769CF" w:rsidR="008B4DF8" w:rsidRPr="00C1603D" w:rsidRDefault="00872332" w:rsidP="00E51FE7">
            <w:pPr>
              <w:pStyle w:val="72TabletextTablesTableFigureBoxstyles"/>
            </w:pPr>
            <w:r w:rsidRPr="00C1603D">
              <w:t>GA</w:t>
            </w:r>
            <w:r w:rsidR="008B4DF8" w:rsidRPr="00C1603D">
              <w:t>, EMA</w:t>
            </w:r>
          </w:p>
        </w:tc>
        <w:tc>
          <w:tcPr>
            <w:tcW w:w="0" w:type="auto"/>
            <w:shd w:val="clear" w:color="auto" w:fill="auto"/>
          </w:tcPr>
          <w:p w14:paraId="43B2A189" w14:textId="6868B85B" w:rsidR="008B4DF8" w:rsidRPr="00C1603D" w:rsidRDefault="00267212" w:rsidP="00E51FE7">
            <w:pPr>
              <w:pStyle w:val="72TabletextTablesTableFigureBoxstyles"/>
            </w:pPr>
            <w:r w:rsidRPr="00C1603D">
              <w:t>O</w:t>
            </w:r>
            <w:r w:rsidR="008B4DF8" w:rsidRPr="00C1603D">
              <w:t>GD</w:t>
            </w:r>
            <w:r w:rsidR="00211913" w:rsidRPr="00C1603D">
              <w:t> </w:t>
            </w:r>
            <w:r w:rsidR="008B4DF8" w:rsidRPr="00C1603D">
              <w:t>+</w:t>
            </w:r>
            <w:r w:rsidR="00211913" w:rsidRPr="00C1603D">
              <w:t> </w:t>
            </w:r>
            <w:r w:rsidR="008B4DF8" w:rsidRPr="00C1603D">
              <w:t>SBB</w:t>
            </w:r>
          </w:p>
        </w:tc>
        <w:tc>
          <w:tcPr>
            <w:tcW w:w="0" w:type="auto"/>
            <w:shd w:val="clear" w:color="auto" w:fill="auto"/>
          </w:tcPr>
          <w:p w14:paraId="36EBD95D" w14:textId="2A26A370" w:rsidR="008B4DF8" w:rsidRPr="00C1603D" w:rsidRDefault="008B4DF8" w:rsidP="00E51FE7">
            <w:pPr>
              <w:pStyle w:val="72TabletextTablesTableFigureBoxstyles"/>
            </w:pPr>
            <w:r w:rsidRPr="00C1603D">
              <w:t xml:space="preserve">Patients with suspected CD (age not reported); modelled three risk groups: </w:t>
            </w:r>
            <w:proofErr w:type="gramStart"/>
            <w:r w:rsidRPr="00C1603D">
              <w:t>low</w:t>
            </w:r>
            <w:r w:rsidR="00941480" w:rsidRPr="00C1603D">
              <w:t xml:space="preserve"> </w:t>
            </w:r>
            <w:r w:rsidRPr="00C1603D">
              <w:t>risk</w:t>
            </w:r>
            <w:proofErr w:type="gramEnd"/>
            <w:r w:rsidRPr="00C1603D">
              <w:t xml:space="preserve"> with 0.5</w:t>
            </w:r>
            <w:r w:rsidRPr="00C1603D">
              <w:rPr>
                <w:color w:val="00B0F0"/>
              </w:rPr>
              <w:t>%</w:t>
            </w:r>
            <w:r w:rsidRPr="00C1603D">
              <w:t xml:space="preserve"> prevalence, medium</w:t>
            </w:r>
            <w:r w:rsidR="00941480" w:rsidRPr="00C1603D">
              <w:t xml:space="preserve"> </w:t>
            </w:r>
            <w:r w:rsidRPr="00C1603D">
              <w:t>risk with 5% prevalence and high</w:t>
            </w:r>
            <w:r w:rsidR="00941480" w:rsidRPr="00C1603D">
              <w:t xml:space="preserve"> </w:t>
            </w:r>
            <w:r w:rsidRPr="00C1603D">
              <w:t>risk with 40% prevalence</w:t>
            </w:r>
          </w:p>
        </w:tc>
        <w:tc>
          <w:tcPr>
            <w:tcW w:w="0" w:type="auto"/>
            <w:shd w:val="clear" w:color="auto" w:fill="auto"/>
          </w:tcPr>
          <w:p w14:paraId="10FEA166" w14:textId="1209167C" w:rsidR="008B4DF8" w:rsidRPr="00C1603D" w:rsidRDefault="00941480" w:rsidP="00E51FE7">
            <w:pPr>
              <w:pStyle w:val="72TabletextTablesTableFigureBoxstyles"/>
            </w:pPr>
            <w:r w:rsidRPr="00C1603D">
              <w:t xml:space="preserve">Decision </w:t>
            </w:r>
            <w:r w:rsidR="008B4DF8" w:rsidRPr="00C1603D">
              <w:t>tree</w:t>
            </w:r>
          </w:p>
        </w:tc>
        <w:tc>
          <w:tcPr>
            <w:tcW w:w="0" w:type="auto"/>
            <w:shd w:val="clear" w:color="auto" w:fill="auto"/>
          </w:tcPr>
          <w:p w14:paraId="13828D04" w14:textId="57644EEF" w:rsidR="008B4DF8" w:rsidRPr="00C1603D" w:rsidRDefault="008B4DF8" w:rsidP="00E51FE7">
            <w:pPr>
              <w:pStyle w:val="72TabletextTablesTableFigureBoxstyles"/>
            </w:pPr>
            <w:r w:rsidRPr="00C1603D">
              <w:t xml:space="preserve">Three main branches of tree: </w:t>
            </w:r>
            <w:r w:rsidR="00872332" w:rsidRPr="00C1603D">
              <w:t>GA</w:t>
            </w:r>
            <w:r w:rsidRPr="00C1603D">
              <w:t xml:space="preserve"> </w:t>
            </w:r>
            <w:r w:rsidR="00744FAF" w:rsidRPr="00C1603D">
              <w:rPr>
                <w:color w:val="00B0F0"/>
              </w:rPr>
              <w:t>first</w:t>
            </w:r>
            <w:r w:rsidRPr="00C1603D">
              <w:t xml:space="preserve"> vs</w:t>
            </w:r>
            <w:r w:rsidR="00744FAF" w:rsidRPr="00C1603D">
              <w:t>.</w:t>
            </w:r>
            <w:r w:rsidRPr="00C1603D">
              <w:t xml:space="preserve"> EMA </w:t>
            </w:r>
            <w:r w:rsidR="00744FAF" w:rsidRPr="00C1603D">
              <w:rPr>
                <w:color w:val="00B0F0"/>
              </w:rPr>
              <w:t>first</w:t>
            </w:r>
            <w:r w:rsidRPr="00C1603D">
              <w:t xml:space="preserve"> vs</w:t>
            </w:r>
            <w:r w:rsidR="00744FAF" w:rsidRPr="00C1603D">
              <w:t>.</w:t>
            </w:r>
            <w:r w:rsidRPr="00C1603D">
              <w:t xml:space="preserve"> SBB. The </w:t>
            </w:r>
            <w:r w:rsidR="00872332" w:rsidRPr="00C1603D">
              <w:t>GA</w:t>
            </w:r>
            <w:r w:rsidR="00744FAF" w:rsidRPr="00C1603D">
              <w:t>-first</w:t>
            </w:r>
            <w:r w:rsidRPr="00C1603D">
              <w:t xml:space="preserve"> arm modelled the decision to employ EMA following a positive </w:t>
            </w:r>
            <w:r w:rsidR="00872332" w:rsidRPr="00C1603D">
              <w:t>GA</w:t>
            </w:r>
            <w:r w:rsidR="00744FAF" w:rsidRPr="00C1603D">
              <w:t xml:space="preserve"> test</w:t>
            </w:r>
            <w:r w:rsidRPr="00C1603D">
              <w:t xml:space="preserve">. </w:t>
            </w:r>
            <w:r w:rsidR="00744FAF" w:rsidRPr="00C1603D">
              <w:t>A p</w:t>
            </w:r>
            <w:r w:rsidRPr="00C1603D">
              <w:t xml:space="preserve">ositive EMA </w:t>
            </w:r>
            <w:r w:rsidR="00744FAF" w:rsidRPr="00C1603D">
              <w:t xml:space="preserve">test </w:t>
            </w:r>
            <w:r w:rsidRPr="00C1603D">
              <w:t xml:space="preserve">resulted in either </w:t>
            </w:r>
            <w:r w:rsidR="00267212" w:rsidRPr="00C1603D">
              <w:t>OGD</w:t>
            </w:r>
            <w:r w:rsidRPr="00C1603D">
              <w:t xml:space="preserve"> with SBB or a </w:t>
            </w:r>
            <w:r w:rsidR="00744FAF" w:rsidRPr="00C1603D">
              <w:t>2</w:t>
            </w:r>
            <w:r w:rsidRPr="00C1603D">
              <w:t>-month clinical trial of</w:t>
            </w:r>
            <w:r w:rsidR="00744FAF" w:rsidRPr="00C1603D">
              <w:t xml:space="preserve"> a</w:t>
            </w:r>
            <w:r w:rsidRPr="00C1603D">
              <w:t xml:space="preserve"> GFD</w:t>
            </w:r>
          </w:p>
        </w:tc>
        <w:tc>
          <w:tcPr>
            <w:tcW w:w="0" w:type="auto"/>
            <w:shd w:val="clear" w:color="auto" w:fill="auto"/>
          </w:tcPr>
          <w:p w14:paraId="12688675" w14:textId="77777777" w:rsidR="008B4DF8" w:rsidRPr="00C1603D" w:rsidRDefault="008B4DF8" w:rsidP="00E51FE7">
            <w:pPr>
              <w:pStyle w:val="72TabletextTablesTableFigureBoxstyles"/>
            </w:pPr>
            <w:r w:rsidRPr="00C1603D">
              <w:t>Not reported</w:t>
            </w:r>
          </w:p>
        </w:tc>
        <w:tc>
          <w:tcPr>
            <w:tcW w:w="0" w:type="auto"/>
            <w:shd w:val="clear" w:color="auto" w:fill="auto"/>
          </w:tcPr>
          <w:p w14:paraId="4EFAEC3A" w14:textId="77777777" w:rsidR="008B4DF8" w:rsidRPr="00C1603D" w:rsidRDefault="008B4DF8" w:rsidP="00E51FE7">
            <w:pPr>
              <w:pStyle w:val="72TabletextTablesTableFigureBoxstyles"/>
            </w:pPr>
            <w:r w:rsidRPr="00C1603D">
              <w:t>None</w:t>
            </w:r>
          </w:p>
        </w:tc>
        <w:tc>
          <w:tcPr>
            <w:tcW w:w="0" w:type="auto"/>
            <w:shd w:val="clear" w:color="auto" w:fill="auto"/>
          </w:tcPr>
          <w:p w14:paraId="0B454FFB" w14:textId="77F6098F" w:rsidR="008B4DF8" w:rsidRPr="00C1603D" w:rsidRDefault="008B4DF8" w:rsidP="00E51FE7">
            <w:pPr>
              <w:pStyle w:val="72TabletextTablesTableFigureBoxstyles"/>
            </w:pPr>
            <w:r w:rsidRPr="00C1603D">
              <w:t>EMA is the most economical strategy</w:t>
            </w:r>
            <w:r w:rsidR="00744FAF" w:rsidRPr="00C1603D">
              <w:t>,</w:t>
            </w:r>
            <w:r w:rsidRPr="00C1603D">
              <w:t xml:space="preserve"> compared with the other options</w:t>
            </w:r>
            <w:r w:rsidR="00744FAF" w:rsidRPr="00C1603D">
              <w:t>,</w:t>
            </w:r>
            <w:r w:rsidRPr="00C1603D">
              <w:t xml:space="preserve"> in a low</w:t>
            </w:r>
            <w:r w:rsidR="00744FAF" w:rsidRPr="00C1603D">
              <w:t>-</w:t>
            </w:r>
            <w:r w:rsidRPr="00C1603D">
              <w:t xml:space="preserve"> to medium</w:t>
            </w:r>
            <w:r w:rsidR="00744FAF" w:rsidRPr="00C1603D">
              <w:t>-</w:t>
            </w:r>
            <w:r w:rsidRPr="00C1603D">
              <w:t xml:space="preserve">risk population. It remains so in DSA provided the prevalence of CD in the tested population is </w:t>
            </w:r>
            <w:r w:rsidR="00A16E19" w:rsidRPr="00C1603D">
              <w:t>&lt; </w:t>
            </w:r>
            <w:r w:rsidRPr="00C1603D">
              <w:t>42%</w:t>
            </w:r>
          </w:p>
        </w:tc>
      </w:tr>
      <w:tr w:rsidR="00FC0FE4" w:rsidRPr="00C1603D" w14:paraId="5CF30F9F" w14:textId="77777777" w:rsidTr="00E51FE7">
        <w:trPr>
          <w:cantSplit/>
        </w:trPr>
        <w:tc>
          <w:tcPr>
            <w:tcW w:w="0" w:type="auto"/>
            <w:shd w:val="clear" w:color="auto" w:fill="auto"/>
          </w:tcPr>
          <w:p w14:paraId="68B24B95" w14:textId="753CAB15" w:rsidR="008B4DF8" w:rsidRPr="00C1603D" w:rsidRDefault="008B4DF8" w:rsidP="00E51FE7">
            <w:pPr>
              <w:pStyle w:val="72TabletextTablesTableFigureBoxstyles"/>
            </w:pPr>
            <w:r w:rsidRPr="00C1603D">
              <w:t xml:space="preserve">Mein </w:t>
            </w:r>
            <w:r w:rsidR="006C00BC" w:rsidRPr="00C1603D">
              <w:t>and</w:t>
            </w:r>
            <w:r w:rsidRPr="00C1603D">
              <w:t xml:space="preserve"> Ladabaum</w:t>
            </w:r>
            <w:r w:rsidR="006C00BC" w:rsidRPr="00C1603D">
              <w:rPr>
                <w:vertAlign w:val="superscript"/>
              </w:rPr>
              <w:t>200</w:t>
            </w:r>
            <w:r w:rsidRPr="00C1603D">
              <w:t xml:space="preserve"> 2004</w:t>
            </w:r>
          </w:p>
        </w:tc>
        <w:tc>
          <w:tcPr>
            <w:tcW w:w="0" w:type="auto"/>
            <w:shd w:val="clear" w:color="auto" w:fill="auto"/>
          </w:tcPr>
          <w:p w14:paraId="1B0A8ED7" w14:textId="77777777" w:rsidR="008B4DF8" w:rsidRPr="00C1603D" w:rsidRDefault="008B4DF8" w:rsidP="00E51FE7">
            <w:pPr>
              <w:pStyle w:val="72TabletextTablesTableFigureBoxstyles"/>
            </w:pPr>
            <w:r w:rsidRPr="00C1603D">
              <w:t>USA</w:t>
            </w:r>
          </w:p>
        </w:tc>
        <w:tc>
          <w:tcPr>
            <w:tcW w:w="0" w:type="auto"/>
            <w:shd w:val="clear" w:color="auto" w:fill="auto"/>
          </w:tcPr>
          <w:p w14:paraId="7F167D4F" w14:textId="5893D081" w:rsidR="008B4DF8" w:rsidRPr="00C1603D" w:rsidRDefault="008B4DF8" w:rsidP="00E51FE7">
            <w:pPr>
              <w:pStyle w:val="72TabletextTablesTableFigureBoxstyles"/>
            </w:pPr>
            <w:r w:rsidRPr="00C1603D">
              <w:t xml:space="preserve">To explore the cost-effectiveness of different screening strategies for </w:t>
            </w:r>
            <w:r w:rsidR="00DD3AD1" w:rsidRPr="00C1603D">
              <w:t>CD</w:t>
            </w:r>
            <w:r w:rsidRPr="00C1603D">
              <w:t xml:space="preserve"> </w:t>
            </w:r>
            <w:r w:rsidR="000E562A" w:rsidRPr="00C1603D">
              <w:t>among</w:t>
            </w:r>
            <w:r w:rsidRPr="00C1603D">
              <w:t xml:space="preserve"> patients with IBS symptoms</w:t>
            </w:r>
          </w:p>
        </w:tc>
        <w:tc>
          <w:tcPr>
            <w:tcW w:w="0" w:type="auto"/>
            <w:shd w:val="clear" w:color="auto" w:fill="auto"/>
          </w:tcPr>
          <w:p w14:paraId="1CD22A2D" w14:textId="2EAC261D" w:rsidR="008B4DF8" w:rsidRPr="00C1603D" w:rsidRDefault="00553BA7" w:rsidP="00E51FE7">
            <w:pPr>
              <w:pStyle w:val="72TabletextTablesTableFigureBoxstyles"/>
            </w:pPr>
            <w:r w:rsidRPr="00C1603D">
              <w:t>tTG</w:t>
            </w:r>
            <w:r w:rsidR="008B4DF8" w:rsidRPr="00C1603D">
              <w:t xml:space="preserve"> only, </w:t>
            </w:r>
            <w:r w:rsidR="000E562A" w:rsidRPr="00C1603D">
              <w:t>a</w:t>
            </w:r>
            <w:r w:rsidR="008B4DF8" w:rsidRPr="00C1603D">
              <w:t>ntibody panel (</w:t>
            </w:r>
            <w:r w:rsidRPr="00C1603D">
              <w:t>tTG</w:t>
            </w:r>
            <w:r w:rsidR="008B4DF8" w:rsidRPr="00C1603D">
              <w:t xml:space="preserve">, IgA </w:t>
            </w:r>
            <w:r w:rsidR="00872332" w:rsidRPr="00C1603D">
              <w:t>GA</w:t>
            </w:r>
            <w:r w:rsidR="008B4DF8" w:rsidRPr="00C1603D">
              <w:t xml:space="preserve">, IgG </w:t>
            </w:r>
            <w:r w:rsidR="00872332" w:rsidRPr="00C1603D">
              <w:t>GA</w:t>
            </w:r>
            <w:r w:rsidR="008B4DF8" w:rsidRPr="00C1603D">
              <w:t xml:space="preserve"> </w:t>
            </w:r>
            <w:r w:rsidR="000E562A" w:rsidRPr="00C1603D">
              <w:t>and</w:t>
            </w:r>
            <w:r w:rsidR="008B4DF8" w:rsidRPr="00C1603D">
              <w:t xml:space="preserve"> IgA deficiency test); upfront endoscopy with biopsy</w:t>
            </w:r>
          </w:p>
        </w:tc>
        <w:tc>
          <w:tcPr>
            <w:tcW w:w="0" w:type="auto"/>
            <w:shd w:val="clear" w:color="auto" w:fill="auto"/>
          </w:tcPr>
          <w:p w14:paraId="45A8B82B" w14:textId="77777777" w:rsidR="008B4DF8" w:rsidRPr="00C1603D" w:rsidRDefault="008B4DF8" w:rsidP="00E51FE7">
            <w:pPr>
              <w:pStyle w:val="72TabletextTablesTableFigureBoxstyles"/>
            </w:pPr>
            <w:r w:rsidRPr="00C1603D">
              <w:t>No screening for CD/antibody panel</w:t>
            </w:r>
          </w:p>
        </w:tc>
        <w:tc>
          <w:tcPr>
            <w:tcW w:w="0" w:type="auto"/>
            <w:shd w:val="clear" w:color="auto" w:fill="auto"/>
          </w:tcPr>
          <w:p w14:paraId="74AE2FD2" w14:textId="77777777" w:rsidR="008B4DF8" w:rsidRPr="00C1603D" w:rsidRDefault="008B4DF8" w:rsidP="00E51FE7">
            <w:pPr>
              <w:pStyle w:val="72TabletextTablesTableFigureBoxstyles"/>
            </w:pPr>
            <w:r w:rsidRPr="00C1603D">
              <w:t>Patients with symptoms of IBS</w:t>
            </w:r>
          </w:p>
        </w:tc>
        <w:tc>
          <w:tcPr>
            <w:tcW w:w="0" w:type="auto"/>
            <w:shd w:val="clear" w:color="auto" w:fill="auto"/>
          </w:tcPr>
          <w:p w14:paraId="596D8233" w14:textId="11693DCE" w:rsidR="008B4DF8" w:rsidRPr="00C1603D" w:rsidRDefault="000E562A" w:rsidP="00E51FE7">
            <w:pPr>
              <w:pStyle w:val="72TabletextTablesTableFigureBoxstyles"/>
            </w:pPr>
            <w:r w:rsidRPr="00C1603D">
              <w:t xml:space="preserve">Decision </w:t>
            </w:r>
            <w:r w:rsidR="008B4DF8" w:rsidRPr="00C1603D">
              <w:t>tree</w:t>
            </w:r>
          </w:p>
        </w:tc>
        <w:tc>
          <w:tcPr>
            <w:tcW w:w="0" w:type="auto"/>
            <w:shd w:val="clear" w:color="auto" w:fill="auto"/>
          </w:tcPr>
          <w:p w14:paraId="5928C28E" w14:textId="6098A74A" w:rsidR="008B4DF8" w:rsidRPr="00C1603D" w:rsidRDefault="000E562A" w:rsidP="00E51FE7">
            <w:pPr>
              <w:pStyle w:val="72TabletextTablesTableFigureBoxstyles"/>
            </w:pPr>
            <w:r w:rsidRPr="00C1603D">
              <w:t>Four</w:t>
            </w:r>
            <w:r w:rsidR="008B4DF8" w:rsidRPr="00C1603D">
              <w:t xml:space="preserve"> strategies at decision node: </w:t>
            </w:r>
            <w:r w:rsidRPr="00C1603D">
              <w:t>n</w:t>
            </w:r>
            <w:r w:rsidR="008B4DF8" w:rsidRPr="00C1603D">
              <w:t xml:space="preserve">o testing, </w:t>
            </w:r>
            <w:r w:rsidR="00553BA7" w:rsidRPr="00C1603D">
              <w:t>tTG</w:t>
            </w:r>
            <w:r w:rsidR="008B4DF8" w:rsidRPr="00C1603D">
              <w:t>, antibody panel, endoscopy with biopsy</w:t>
            </w:r>
          </w:p>
        </w:tc>
        <w:tc>
          <w:tcPr>
            <w:tcW w:w="0" w:type="auto"/>
            <w:shd w:val="clear" w:color="auto" w:fill="auto"/>
          </w:tcPr>
          <w:p w14:paraId="0BBCAE3C" w14:textId="77777777" w:rsidR="008B4DF8" w:rsidRPr="00C1603D" w:rsidRDefault="008B4DF8" w:rsidP="00E51FE7">
            <w:pPr>
              <w:pStyle w:val="72TabletextTablesTableFigureBoxstyles"/>
            </w:pPr>
            <w:r w:rsidRPr="00C1603D">
              <w:t>Not reported</w:t>
            </w:r>
          </w:p>
        </w:tc>
        <w:tc>
          <w:tcPr>
            <w:tcW w:w="0" w:type="auto"/>
            <w:shd w:val="clear" w:color="auto" w:fill="auto"/>
          </w:tcPr>
          <w:p w14:paraId="6074F5CF" w14:textId="413EED04" w:rsidR="008B4DF8" w:rsidRPr="00C1603D" w:rsidRDefault="000E562A" w:rsidP="00E51FE7">
            <w:pPr>
              <w:pStyle w:val="72TabletextTablesTableFigureBoxstyles"/>
            </w:pPr>
            <w:r w:rsidRPr="00C1603D">
              <w:t xml:space="preserve">Utilities </w:t>
            </w:r>
            <w:r w:rsidR="008B4DF8" w:rsidRPr="00C1603D">
              <w:t xml:space="preserve">for IBS state, treated </w:t>
            </w:r>
            <w:r w:rsidR="00DD3AD1" w:rsidRPr="00C1603D">
              <w:t>CD</w:t>
            </w:r>
            <w:r w:rsidR="008B4DF8" w:rsidRPr="00C1603D">
              <w:t xml:space="preserve"> state following GFD, derived from published S</w:t>
            </w:r>
            <w:r w:rsidR="008B4DF8" w:rsidRPr="00C1603D">
              <w:rPr>
                <w:color w:val="00B0F0"/>
              </w:rPr>
              <w:t>F-3</w:t>
            </w:r>
            <w:r w:rsidR="008B4DF8" w:rsidRPr="00C1603D">
              <w:t>6 data in the USA</w:t>
            </w:r>
          </w:p>
        </w:tc>
        <w:tc>
          <w:tcPr>
            <w:tcW w:w="0" w:type="auto"/>
            <w:shd w:val="clear" w:color="auto" w:fill="auto"/>
          </w:tcPr>
          <w:p w14:paraId="0206E104" w14:textId="17B85E38" w:rsidR="008B4DF8" w:rsidRPr="00C1603D" w:rsidRDefault="008B4DF8" w:rsidP="00E51FE7">
            <w:pPr>
              <w:pStyle w:val="72TabletextTablesTableFigureBoxstyles"/>
            </w:pPr>
            <w:r w:rsidRPr="00C1603D">
              <w:t xml:space="preserve">Serological testing to diagnose CD </w:t>
            </w:r>
            <w:r w:rsidR="00CC66C4" w:rsidRPr="00C1603D">
              <w:t>among</w:t>
            </w:r>
            <w:r w:rsidRPr="00C1603D">
              <w:t xml:space="preserve"> patients with a diagnosis of IBS is </w:t>
            </w:r>
            <w:r w:rsidRPr="00C1603D">
              <w:rPr>
                <w:color w:val="00B0F0"/>
              </w:rPr>
              <w:t>cost-effective</w:t>
            </w:r>
            <w:r w:rsidRPr="00C1603D">
              <w:t xml:space="preserve"> at thresholds of </w:t>
            </w:r>
            <w:r w:rsidR="00CC66C4" w:rsidRPr="00C1603D">
              <w:t>US</w:t>
            </w:r>
            <w:r w:rsidRPr="00C1603D">
              <w:t>$50</w:t>
            </w:r>
            <w:r w:rsidR="00CC66C4" w:rsidRPr="00C1603D">
              <w:t>,</w:t>
            </w:r>
            <w:r w:rsidRPr="00C1603D">
              <w:t xml:space="preserve">000 (prevalence of CD 2%) and </w:t>
            </w:r>
            <w:r w:rsidR="00CC66C4" w:rsidRPr="00C1603D">
              <w:t>US</w:t>
            </w:r>
            <w:r w:rsidRPr="00C1603D">
              <w:t>$100</w:t>
            </w:r>
            <w:r w:rsidR="00CC66C4" w:rsidRPr="00C1603D">
              <w:t>,</w:t>
            </w:r>
            <w:r w:rsidRPr="00C1603D">
              <w:t>000 per QALY gained (prevalence 1.1%)</w:t>
            </w:r>
          </w:p>
        </w:tc>
      </w:tr>
      <w:tr w:rsidR="00FC0FE4" w:rsidRPr="00C1603D" w14:paraId="2C7F13A1" w14:textId="77777777" w:rsidTr="00E51FE7">
        <w:trPr>
          <w:cantSplit/>
        </w:trPr>
        <w:tc>
          <w:tcPr>
            <w:tcW w:w="0" w:type="auto"/>
            <w:shd w:val="clear" w:color="auto" w:fill="auto"/>
          </w:tcPr>
          <w:p w14:paraId="73AB374E" w14:textId="3F329267" w:rsidR="008B4DF8" w:rsidRPr="00C1603D" w:rsidRDefault="008B4DF8" w:rsidP="00E51FE7">
            <w:pPr>
              <w:pStyle w:val="72TabletextTablesTableFigureBoxstyles"/>
            </w:pPr>
            <w:r w:rsidRPr="00C1603D">
              <w:lastRenderedPageBreak/>
              <w:t>Spiegel</w:t>
            </w:r>
            <w:r w:rsidRPr="00C1603D">
              <w:rPr>
                <w:i/>
                <w:color w:val="00B0F0"/>
              </w:rPr>
              <w:t xml:space="preserve"> et al</w:t>
            </w:r>
            <w:r w:rsidRPr="00C1603D">
              <w:t>.</w:t>
            </w:r>
            <w:r w:rsidR="006C00BC" w:rsidRPr="00C1603D">
              <w:rPr>
                <w:vertAlign w:val="superscript"/>
              </w:rPr>
              <w:t>201</w:t>
            </w:r>
            <w:r w:rsidRPr="00C1603D">
              <w:t xml:space="preserve"> 2004</w:t>
            </w:r>
          </w:p>
        </w:tc>
        <w:tc>
          <w:tcPr>
            <w:tcW w:w="0" w:type="auto"/>
            <w:shd w:val="clear" w:color="auto" w:fill="auto"/>
          </w:tcPr>
          <w:p w14:paraId="0A759570" w14:textId="77777777" w:rsidR="008B4DF8" w:rsidRPr="00C1603D" w:rsidRDefault="008B4DF8" w:rsidP="00E51FE7">
            <w:pPr>
              <w:pStyle w:val="72TabletextTablesTableFigureBoxstyles"/>
            </w:pPr>
            <w:r w:rsidRPr="00C1603D">
              <w:t>USA</w:t>
            </w:r>
          </w:p>
        </w:tc>
        <w:tc>
          <w:tcPr>
            <w:tcW w:w="0" w:type="auto"/>
            <w:shd w:val="clear" w:color="auto" w:fill="auto"/>
          </w:tcPr>
          <w:p w14:paraId="5BF2A4F4" w14:textId="41093096" w:rsidR="008B4DF8" w:rsidRPr="00C1603D" w:rsidRDefault="008B4DF8" w:rsidP="00E51FE7">
            <w:pPr>
              <w:pStyle w:val="72TabletextTablesTableFigureBoxstyles"/>
            </w:pPr>
            <w:r w:rsidRPr="00C1603D">
              <w:t xml:space="preserve">To evaluate different screening strategies for CD </w:t>
            </w:r>
            <w:r w:rsidR="00CC66C4" w:rsidRPr="00C1603D">
              <w:t>among</w:t>
            </w:r>
            <w:r w:rsidRPr="00C1603D">
              <w:t xml:space="preserve"> IBS patients with predominant </w:t>
            </w:r>
            <w:r w:rsidRPr="00C1603D">
              <w:rPr>
                <w:color w:val="00B0F0"/>
              </w:rPr>
              <w:t>diarrhoea</w:t>
            </w:r>
          </w:p>
        </w:tc>
        <w:tc>
          <w:tcPr>
            <w:tcW w:w="0" w:type="auto"/>
            <w:shd w:val="clear" w:color="auto" w:fill="auto"/>
          </w:tcPr>
          <w:p w14:paraId="06AF187C" w14:textId="77777777" w:rsidR="008B4DF8" w:rsidRPr="00C1603D" w:rsidRDefault="008B4DF8" w:rsidP="00E51FE7">
            <w:pPr>
              <w:pStyle w:val="72TabletextTablesTableFigureBoxstyles"/>
            </w:pPr>
            <w:r w:rsidRPr="00C1603D">
              <w:t>Testing patients for CD</w:t>
            </w:r>
          </w:p>
        </w:tc>
        <w:tc>
          <w:tcPr>
            <w:tcW w:w="0" w:type="auto"/>
            <w:shd w:val="clear" w:color="auto" w:fill="auto"/>
          </w:tcPr>
          <w:p w14:paraId="064AF97C" w14:textId="77777777" w:rsidR="008B4DF8" w:rsidRPr="00C1603D" w:rsidRDefault="008B4DF8" w:rsidP="00E51FE7">
            <w:pPr>
              <w:pStyle w:val="72TabletextTablesTableFigureBoxstyles"/>
            </w:pPr>
            <w:r w:rsidRPr="00C1603D">
              <w:t>IBS treatment but no CD screening</w:t>
            </w:r>
          </w:p>
        </w:tc>
        <w:tc>
          <w:tcPr>
            <w:tcW w:w="0" w:type="auto"/>
            <w:shd w:val="clear" w:color="auto" w:fill="auto"/>
          </w:tcPr>
          <w:p w14:paraId="0551B283" w14:textId="77777777" w:rsidR="008B4DF8" w:rsidRPr="00C1603D" w:rsidRDefault="008B4DF8" w:rsidP="00E51FE7">
            <w:pPr>
              <w:pStyle w:val="72TabletextTablesTableFigureBoxstyles"/>
            </w:pPr>
            <w:r w:rsidRPr="00C1603D">
              <w:t xml:space="preserve">Patients with IBS and </w:t>
            </w:r>
            <w:r w:rsidRPr="00C1603D">
              <w:rPr>
                <w:color w:val="00B0F0"/>
              </w:rPr>
              <w:t>diarrhoea</w:t>
            </w:r>
            <w:r w:rsidRPr="00C1603D">
              <w:t>; sensitivity analyses conducted in different populations with different prevalences</w:t>
            </w:r>
          </w:p>
        </w:tc>
        <w:tc>
          <w:tcPr>
            <w:tcW w:w="0" w:type="auto"/>
            <w:shd w:val="clear" w:color="auto" w:fill="auto"/>
          </w:tcPr>
          <w:p w14:paraId="2A3A025D" w14:textId="0F685E04" w:rsidR="008B4DF8" w:rsidRPr="00C1603D" w:rsidRDefault="009C2B1B" w:rsidP="00E51FE7">
            <w:pPr>
              <w:pStyle w:val="72TabletextTablesTableFigureBoxstyles"/>
            </w:pPr>
            <w:r w:rsidRPr="00C1603D">
              <w:t xml:space="preserve">Decision </w:t>
            </w:r>
            <w:r w:rsidR="008B4DF8" w:rsidRPr="00C1603D">
              <w:t>tree followed by Markov model</w:t>
            </w:r>
          </w:p>
        </w:tc>
        <w:tc>
          <w:tcPr>
            <w:tcW w:w="0" w:type="auto"/>
            <w:shd w:val="clear" w:color="auto" w:fill="auto"/>
          </w:tcPr>
          <w:p w14:paraId="0E797B29" w14:textId="2AD730C2" w:rsidR="008B4DF8" w:rsidRPr="00C1603D" w:rsidRDefault="009C2B1B" w:rsidP="00E51FE7">
            <w:pPr>
              <w:pStyle w:val="72TabletextTablesTableFigureBoxstyles"/>
            </w:pPr>
            <w:r w:rsidRPr="00C1603D">
              <w:t>Two</w:t>
            </w:r>
            <w:r w:rsidR="008B4DF8" w:rsidRPr="00C1603D">
              <w:t xml:space="preserve"> strategies at decision node comparing treatment for IBS with screening for CD to estimate the number of patients receiving appropriate therapy for either IBS or CD; then Markov model with two health states (</w:t>
            </w:r>
            <w:r w:rsidR="007017F7" w:rsidRPr="00C1603D">
              <w:rPr>
                <w:color w:val="00B0F0"/>
              </w:rPr>
              <w:t>‘</w:t>
            </w:r>
            <w:r w:rsidR="008B4DF8" w:rsidRPr="00C1603D">
              <w:t>symptoms improve</w:t>
            </w:r>
            <w:r w:rsidR="007017F7" w:rsidRPr="00C1603D">
              <w:rPr>
                <w:color w:val="00B0F0"/>
              </w:rPr>
              <w:t>’</w:t>
            </w:r>
            <w:r w:rsidR="008B4DF8" w:rsidRPr="00C1603D">
              <w:t xml:space="preserve"> </w:t>
            </w:r>
            <w:r w:rsidR="00003FA1" w:rsidRPr="00C1603D">
              <w:t xml:space="preserve">and </w:t>
            </w:r>
            <w:r w:rsidR="007017F7" w:rsidRPr="00C1603D">
              <w:rPr>
                <w:color w:val="00B0F0"/>
              </w:rPr>
              <w:t>‘</w:t>
            </w:r>
            <w:r w:rsidR="00003FA1" w:rsidRPr="00C1603D">
              <w:t>s</w:t>
            </w:r>
            <w:r w:rsidR="008B4DF8" w:rsidRPr="00C1603D">
              <w:t>ymptoms recur</w:t>
            </w:r>
            <w:r w:rsidR="007017F7" w:rsidRPr="00C1603D">
              <w:rPr>
                <w:color w:val="00B0F0"/>
              </w:rPr>
              <w:t>’</w:t>
            </w:r>
            <w:r w:rsidR="008B4DF8" w:rsidRPr="00C1603D">
              <w:t>) to estimate transitions between improvement and remission of symptoms once patients started treatment for either IBS or CD; 1</w:t>
            </w:r>
            <w:r w:rsidR="00003FA1" w:rsidRPr="00C1603D">
              <w:t>-</w:t>
            </w:r>
            <w:r w:rsidR="008B4DF8" w:rsidRPr="00C1603D">
              <w:t>month cycle length for Markov</w:t>
            </w:r>
            <w:r w:rsidR="00003FA1" w:rsidRPr="00C1603D">
              <w:t xml:space="preserve"> model</w:t>
            </w:r>
          </w:p>
        </w:tc>
        <w:tc>
          <w:tcPr>
            <w:tcW w:w="0" w:type="auto"/>
            <w:shd w:val="clear" w:color="auto" w:fill="auto"/>
          </w:tcPr>
          <w:p w14:paraId="65769169" w14:textId="77777777" w:rsidR="008B4DF8" w:rsidRPr="00C1603D" w:rsidRDefault="008B4DF8" w:rsidP="00E51FE7">
            <w:pPr>
              <w:pStyle w:val="72TabletextTablesTableFigureBoxstyles"/>
            </w:pPr>
            <w:r w:rsidRPr="00C1603D">
              <w:t>10 years</w:t>
            </w:r>
          </w:p>
        </w:tc>
        <w:tc>
          <w:tcPr>
            <w:tcW w:w="0" w:type="auto"/>
            <w:shd w:val="clear" w:color="auto" w:fill="auto"/>
          </w:tcPr>
          <w:p w14:paraId="10B547DB" w14:textId="77777777" w:rsidR="008B4DF8" w:rsidRPr="00C1603D" w:rsidRDefault="008B4DF8" w:rsidP="00E51FE7">
            <w:pPr>
              <w:pStyle w:val="72TabletextTablesTableFigureBoxstyles"/>
            </w:pPr>
            <w:r w:rsidRPr="00C1603D">
              <w:t>None</w:t>
            </w:r>
          </w:p>
        </w:tc>
        <w:tc>
          <w:tcPr>
            <w:tcW w:w="0" w:type="auto"/>
            <w:shd w:val="clear" w:color="auto" w:fill="auto"/>
          </w:tcPr>
          <w:p w14:paraId="159266D1" w14:textId="3D09F186" w:rsidR="008B4DF8" w:rsidRPr="00C1603D" w:rsidRDefault="008B4DF8" w:rsidP="00E51FE7">
            <w:pPr>
              <w:pStyle w:val="72TabletextTablesTableFigureBoxstyles"/>
            </w:pPr>
            <w:r w:rsidRPr="00C1603D">
              <w:t xml:space="preserve">Testing for CD is cost-effective vs. IBS therapy </w:t>
            </w:r>
            <w:r w:rsidR="00003FA1" w:rsidRPr="00C1603D">
              <w:t>among</w:t>
            </w:r>
            <w:r w:rsidRPr="00C1603D">
              <w:t xml:space="preserve"> most patients with </w:t>
            </w:r>
            <w:r w:rsidRPr="00C1603D">
              <w:rPr>
                <w:color w:val="00B0F0"/>
              </w:rPr>
              <w:t>diarrhoea</w:t>
            </w:r>
            <w:r w:rsidRPr="00C1603D">
              <w:t>-predominant IBS (with a CD prevalence of 3.4%)</w:t>
            </w:r>
            <w:r w:rsidR="00003FA1" w:rsidRPr="00C1603D">
              <w:t>.</w:t>
            </w:r>
            <w:r w:rsidRPr="00C1603D">
              <w:t xml:space="preserve"> The </w:t>
            </w:r>
            <w:r w:rsidR="00003FA1" w:rsidRPr="00C1603D">
              <w:t>sensitivity analysis</w:t>
            </w:r>
            <w:r w:rsidRPr="00C1603D">
              <w:t xml:space="preserve"> shows that the results are sensitive to the following variables: prevalence of underlying CD, specificity of diagnostic test for CD, probability that GFD improves the symptoms of CD</w:t>
            </w:r>
            <w:r w:rsidR="00003FA1" w:rsidRPr="00C1603D">
              <w:t xml:space="preserve"> and</w:t>
            </w:r>
            <w:r w:rsidRPr="00C1603D">
              <w:t xml:space="preserve"> cost of IBS therapy</w:t>
            </w:r>
          </w:p>
        </w:tc>
      </w:tr>
      <w:tr w:rsidR="00FC0FE4" w:rsidRPr="00C1603D" w14:paraId="605BFE23" w14:textId="77777777" w:rsidTr="00E51FE7">
        <w:trPr>
          <w:cantSplit/>
        </w:trPr>
        <w:tc>
          <w:tcPr>
            <w:tcW w:w="0" w:type="auto"/>
            <w:shd w:val="clear" w:color="auto" w:fill="auto"/>
          </w:tcPr>
          <w:p w14:paraId="2220C7B4" w14:textId="0EA9FBC3" w:rsidR="008B4DF8" w:rsidRPr="00C1603D" w:rsidRDefault="008B4DF8" w:rsidP="00E51FE7">
            <w:pPr>
              <w:pStyle w:val="72TabletextTablesTableFigureBoxstyles"/>
            </w:pPr>
            <w:r w:rsidRPr="00C1603D">
              <w:lastRenderedPageBreak/>
              <w:t>Shamir</w:t>
            </w:r>
            <w:r w:rsidRPr="00C1603D">
              <w:rPr>
                <w:i/>
                <w:color w:val="00B0F0"/>
              </w:rPr>
              <w:t xml:space="preserve"> et al</w:t>
            </w:r>
            <w:r w:rsidRPr="00C1603D">
              <w:t>.</w:t>
            </w:r>
            <w:r w:rsidR="006C00BC" w:rsidRPr="00C1603D">
              <w:rPr>
                <w:vertAlign w:val="superscript"/>
              </w:rPr>
              <w:t>202</w:t>
            </w:r>
            <w:r w:rsidRPr="00C1603D">
              <w:t xml:space="preserve"> 2006</w:t>
            </w:r>
          </w:p>
        </w:tc>
        <w:tc>
          <w:tcPr>
            <w:tcW w:w="0" w:type="auto"/>
            <w:shd w:val="clear" w:color="auto" w:fill="auto"/>
          </w:tcPr>
          <w:p w14:paraId="5E9A116A" w14:textId="77777777" w:rsidR="008B4DF8" w:rsidRPr="00C1603D" w:rsidRDefault="008B4DF8" w:rsidP="00E51FE7">
            <w:pPr>
              <w:pStyle w:val="72TabletextTablesTableFigureBoxstyles"/>
            </w:pPr>
            <w:r w:rsidRPr="00C1603D">
              <w:t>USA</w:t>
            </w:r>
          </w:p>
        </w:tc>
        <w:tc>
          <w:tcPr>
            <w:tcW w:w="0" w:type="auto"/>
            <w:shd w:val="clear" w:color="auto" w:fill="auto"/>
          </w:tcPr>
          <w:p w14:paraId="579B0538" w14:textId="14E9FC74" w:rsidR="008B4DF8" w:rsidRPr="00C1603D" w:rsidRDefault="008B4DF8" w:rsidP="00E51FE7">
            <w:pPr>
              <w:pStyle w:val="72TabletextTablesTableFigureBoxstyles"/>
            </w:pPr>
            <w:r w:rsidRPr="00C1603D">
              <w:t xml:space="preserve">Cost-effectiveness analysis to compare screening strategies for CD </w:t>
            </w:r>
            <w:r w:rsidR="00003FA1" w:rsidRPr="00C1603D">
              <w:t>among</w:t>
            </w:r>
            <w:r w:rsidRPr="00C1603D">
              <w:t xml:space="preserve"> adult population</w:t>
            </w:r>
          </w:p>
        </w:tc>
        <w:tc>
          <w:tcPr>
            <w:tcW w:w="0" w:type="auto"/>
            <w:shd w:val="clear" w:color="auto" w:fill="auto"/>
          </w:tcPr>
          <w:p w14:paraId="71241CE4" w14:textId="346E378E" w:rsidR="008B4DF8" w:rsidRPr="00C1603D" w:rsidRDefault="00003FA1" w:rsidP="00E51FE7">
            <w:pPr>
              <w:pStyle w:val="72TabletextTablesTableFigureBoxstyles"/>
            </w:pPr>
            <w:r w:rsidRPr="00C1603D">
              <w:t xml:space="preserve">Screening </w:t>
            </w:r>
            <w:r w:rsidR="008B4DF8" w:rsidRPr="00C1603D">
              <w:t xml:space="preserve">for CD </w:t>
            </w:r>
            <w:r w:rsidRPr="00C1603D">
              <w:t>[</w:t>
            </w:r>
            <w:r w:rsidR="008B4DF8" w:rsidRPr="00C1603D">
              <w:t>(1</w:t>
            </w:r>
            <w:r w:rsidRPr="00C1603D">
              <w:t>)</w:t>
            </w:r>
            <w:r w:rsidR="008B4DF8" w:rsidRPr="00C1603D">
              <w:t xml:space="preserve"> </w:t>
            </w:r>
            <w:r w:rsidR="00553BA7" w:rsidRPr="00C1603D">
              <w:t>tTG</w:t>
            </w:r>
            <w:r w:rsidR="008B4DF8" w:rsidRPr="00C1603D">
              <w:t xml:space="preserve"> followed by EMA</w:t>
            </w:r>
            <w:r w:rsidRPr="00C1603D">
              <w:t>. (</w:t>
            </w:r>
            <w:r w:rsidR="008B4DF8" w:rsidRPr="00C1603D">
              <w:t>2</w:t>
            </w:r>
            <w:r w:rsidRPr="00C1603D">
              <w:t>)</w:t>
            </w:r>
            <w:r w:rsidR="008B4DF8" w:rsidRPr="00C1603D">
              <w:t xml:space="preserve"> </w:t>
            </w:r>
            <w:r w:rsidR="00553BA7" w:rsidRPr="00C1603D">
              <w:t>tTG</w:t>
            </w:r>
            <w:r w:rsidRPr="00C1603D">
              <w:t>.</w:t>
            </w:r>
            <w:r w:rsidR="008B4DF8" w:rsidRPr="00C1603D">
              <w:t xml:space="preserve"> </w:t>
            </w:r>
            <w:r w:rsidRPr="00C1603D">
              <w:t>(</w:t>
            </w:r>
            <w:r w:rsidR="008B4DF8" w:rsidRPr="00C1603D">
              <w:t>3</w:t>
            </w:r>
            <w:r w:rsidRPr="00C1603D">
              <w:t>)</w:t>
            </w:r>
            <w:r w:rsidR="008B4DF8" w:rsidRPr="00C1603D">
              <w:t xml:space="preserve"> EMA</w:t>
            </w:r>
            <w:r w:rsidRPr="00C1603D">
              <w:t>.</w:t>
            </w:r>
            <w:r w:rsidR="008B4DF8" w:rsidRPr="00C1603D">
              <w:t xml:space="preserve"> </w:t>
            </w:r>
            <w:r w:rsidRPr="00C1603D">
              <w:t>(</w:t>
            </w:r>
            <w:r w:rsidR="008B4DF8" w:rsidRPr="00C1603D">
              <w:t>4</w:t>
            </w:r>
            <w:r w:rsidRPr="00C1603D">
              <w:t>)</w:t>
            </w:r>
            <w:r w:rsidR="008B4DF8" w:rsidRPr="00C1603D">
              <w:t xml:space="preserve"> </w:t>
            </w:r>
            <w:r w:rsidRPr="00C1603D">
              <w:t>I</w:t>
            </w:r>
            <w:r w:rsidR="008B4DF8" w:rsidRPr="00C1603D">
              <w:t xml:space="preserve">f no IgA deficiency, </w:t>
            </w:r>
            <w:r w:rsidR="00553BA7" w:rsidRPr="00C1603D">
              <w:t>tTG</w:t>
            </w:r>
            <w:r w:rsidR="008B4DF8" w:rsidRPr="00C1603D">
              <w:t xml:space="preserve"> followed by EMA; otherwise antigliadin IgG 5. </w:t>
            </w:r>
            <w:r w:rsidRPr="00C1603D">
              <w:t>I</w:t>
            </w:r>
            <w:r w:rsidR="008B4DF8" w:rsidRPr="00C1603D">
              <w:t>f no IgA deficiency</w:t>
            </w:r>
            <w:r w:rsidRPr="00C1603D">
              <w:t>,</w:t>
            </w:r>
            <w:r w:rsidR="008B4DF8" w:rsidRPr="00C1603D">
              <w:t xml:space="preserve"> </w:t>
            </w:r>
            <w:r w:rsidR="00553BA7" w:rsidRPr="00C1603D">
              <w:t>tTG</w:t>
            </w:r>
            <w:r w:rsidR="008B4DF8" w:rsidRPr="00C1603D">
              <w:t xml:space="preserve">; otherwise antigliadin IgG 6. </w:t>
            </w:r>
            <w:r w:rsidRPr="00C1603D">
              <w:t>I</w:t>
            </w:r>
            <w:r w:rsidR="008B4DF8" w:rsidRPr="00C1603D">
              <w:t>f no IgA deficiency</w:t>
            </w:r>
            <w:r w:rsidRPr="00C1603D">
              <w:t>,</w:t>
            </w:r>
            <w:r w:rsidR="008B4DF8" w:rsidRPr="00C1603D">
              <w:t xml:space="preserve"> EMA; otherwise antigliadin IgG</w:t>
            </w:r>
            <w:r w:rsidRPr="00C1603D">
              <w:t>]</w:t>
            </w:r>
          </w:p>
        </w:tc>
        <w:tc>
          <w:tcPr>
            <w:tcW w:w="0" w:type="auto"/>
            <w:shd w:val="clear" w:color="auto" w:fill="auto"/>
          </w:tcPr>
          <w:p w14:paraId="11755815" w14:textId="157CC217" w:rsidR="008B4DF8" w:rsidRPr="00C1603D" w:rsidRDefault="00003FA1" w:rsidP="00E51FE7">
            <w:pPr>
              <w:pStyle w:val="72TabletextTablesTableFigureBoxstyles"/>
            </w:pPr>
            <w:r w:rsidRPr="00C1603D">
              <w:t xml:space="preserve">No </w:t>
            </w:r>
            <w:r w:rsidR="008B4DF8" w:rsidRPr="00C1603D">
              <w:t>screening</w:t>
            </w:r>
          </w:p>
        </w:tc>
        <w:tc>
          <w:tcPr>
            <w:tcW w:w="0" w:type="auto"/>
            <w:shd w:val="clear" w:color="auto" w:fill="auto"/>
          </w:tcPr>
          <w:p w14:paraId="5DC0DDD7" w14:textId="40B43F97" w:rsidR="008B4DF8" w:rsidRPr="00C1603D" w:rsidRDefault="008B4DF8" w:rsidP="00E51FE7">
            <w:pPr>
              <w:pStyle w:val="72TabletextTablesTableFigureBoxstyles"/>
            </w:pPr>
            <w:r w:rsidRPr="00C1603D">
              <w:t>Adult population (</w:t>
            </w:r>
            <w:r w:rsidR="00003FA1" w:rsidRPr="00C1603D">
              <w:t xml:space="preserve">aged </w:t>
            </w:r>
            <w:r w:rsidRPr="00C1603D">
              <w:rPr>
                <w:color w:val="00B0F0"/>
              </w:rPr>
              <w:t>&gt; 1</w:t>
            </w:r>
            <w:r w:rsidRPr="00C1603D">
              <w:t>8 years) symptomatic and high-risk groups</w:t>
            </w:r>
          </w:p>
        </w:tc>
        <w:tc>
          <w:tcPr>
            <w:tcW w:w="0" w:type="auto"/>
            <w:shd w:val="clear" w:color="auto" w:fill="auto"/>
          </w:tcPr>
          <w:p w14:paraId="4B0B747F" w14:textId="77777777" w:rsidR="008B4DF8" w:rsidRPr="00C1603D" w:rsidRDefault="008B4DF8" w:rsidP="00E51FE7">
            <w:pPr>
              <w:pStyle w:val="72TabletextTablesTableFigureBoxstyles"/>
            </w:pPr>
            <w:r w:rsidRPr="00C1603D">
              <w:t>Markov model</w:t>
            </w:r>
          </w:p>
        </w:tc>
        <w:tc>
          <w:tcPr>
            <w:tcW w:w="0" w:type="auto"/>
            <w:shd w:val="clear" w:color="auto" w:fill="auto"/>
          </w:tcPr>
          <w:p w14:paraId="1180FB7D" w14:textId="2340BE83" w:rsidR="008B4DF8" w:rsidRPr="00C1603D" w:rsidRDefault="00003FA1" w:rsidP="00E51FE7">
            <w:pPr>
              <w:pStyle w:val="72TabletextTablesTableFigureBoxstyles"/>
            </w:pPr>
            <w:r w:rsidRPr="00C1603D">
              <w:t>Five</w:t>
            </w:r>
            <w:r w:rsidR="008B4DF8" w:rsidRPr="00C1603D">
              <w:t xml:space="preserve"> states in the model: no CD, CD but considered healthy, CD diagnosed but treatment failure (no GFD), CD diagnosed and on strict GFD, </w:t>
            </w:r>
            <w:r w:rsidRPr="00C1603D">
              <w:t>d</w:t>
            </w:r>
            <w:r w:rsidR="008B4DF8" w:rsidRPr="00C1603D">
              <w:t xml:space="preserve">eath. Cycle length 1 year. </w:t>
            </w:r>
            <w:r w:rsidR="008B4DF8" w:rsidRPr="00C1603D">
              <w:rPr>
                <w:color w:val="00B0F0"/>
              </w:rPr>
              <w:t>Life-year</w:t>
            </w:r>
            <w:r w:rsidR="008B4DF8" w:rsidRPr="00C1603D">
              <w:t>s discounted at 3%</w:t>
            </w:r>
          </w:p>
        </w:tc>
        <w:tc>
          <w:tcPr>
            <w:tcW w:w="0" w:type="auto"/>
            <w:shd w:val="clear" w:color="auto" w:fill="auto"/>
          </w:tcPr>
          <w:p w14:paraId="1C3CAB9A" w14:textId="77777777" w:rsidR="008B4DF8" w:rsidRPr="00C1603D" w:rsidRDefault="008B4DF8" w:rsidP="00E51FE7">
            <w:pPr>
              <w:pStyle w:val="72TabletextTablesTableFigureBoxstyles"/>
            </w:pPr>
            <w:r w:rsidRPr="00C1603D">
              <w:t>Lifetime</w:t>
            </w:r>
          </w:p>
        </w:tc>
        <w:tc>
          <w:tcPr>
            <w:tcW w:w="0" w:type="auto"/>
            <w:shd w:val="clear" w:color="auto" w:fill="auto"/>
          </w:tcPr>
          <w:p w14:paraId="5E8FE778" w14:textId="77777777" w:rsidR="008B4DF8" w:rsidRPr="00C1603D" w:rsidRDefault="008B4DF8" w:rsidP="00E51FE7">
            <w:pPr>
              <w:pStyle w:val="72TabletextTablesTableFigureBoxstyles"/>
            </w:pPr>
            <w:r w:rsidRPr="00C1603D">
              <w:t>None</w:t>
            </w:r>
          </w:p>
        </w:tc>
        <w:tc>
          <w:tcPr>
            <w:tcW w:w="0" w:type="auto"/>
            <w:shd w:val="clear" w:color="auto" w:fill="auto"/>
          </w:tcPr>
          <w:p w14:paraId="51AFCD18" w14:textId="4D0AB118" w:rsidR="008B4DF8" w:rsidRPr="00C1603D" w:rsidRDefault="008B4DF8" w:rsidP="00E51FE7">
            <w:pPr>
              <w:pStyle w:val="72TabletextTablesTableFigureBoxstyles"/>
            </w:pPr>
            <w:r w:rsidRPr="00C1603D">
              <w:t xml:space="preserve">ICER of US$44,941 per </w:t>
            </w:r>
            <w:r w:rsidRPr="00C1603D">
              <w:rPr>
                <w:color w:val="00B0F0"/>
              </w:rPr>
              <w:t>life-year</w:t>
            </w:r>
            <w:r w:rsidRPr="00C1603D">
              <w:t xml:space="preserve"> gained for screening</w:t>
            </w:r>
            <w:r w:rsidR="00165EFB" w:rsidRPr="00C1603D">
              <w:t>,</w:t>
            </w:r>
            <w:r w:rsidRPr="00C1603D">
              <w:t xml:space="preserve"> </w:t>
            </w:r>
            <w:r w:rsidR="00553BA7" w:rsidRPr="00C1603D">
              <w:t>compared with</w:t>
            </w:r>
            <w:r w:rsidRPr="00C1603D">
              <w:t xml:space="preserve"> no screening</w:t>
            </w:r>
            <w:r w:rsidR="00165EFB" w:rsidRPr="00C1603D">
              <w:t>,</w:t>
            </w:r>
            <w:r w:rsidRPr="00C1603D">
              <w:t xml:space="preserve"> using the EMA strategy. The results are </w:t>
            </w:r>
            <w:proofErr w:type="gramStart"/>
            <w:r w:rsidRPr="00C1603D">
              <w:t>highly sensitive</w:t>
            </w:r>
            <w:proofErr w:type="gramEnd"/>
            <w:r w:rsidRPr="00C1603D">
              <w:t xml:space="preserve"> to prevalence of CD: when prevalence is low, mass screening not justified because not cost-effective</w:t>
            </w:r>
          </w:p>
        </w:tc>
      </w:tr>
      <w:tr w:rsidR="00FC0FE4" w:rsidRPr="00C1603D" w14:paraId="27068A59" w14:textId="77777777" w:rsidTr="00E51FE7">
        <w:trPr>
          <w:cantSplit/>
        </w:trPr>
        <w:tc>
          <w:tcPr>
            <w:tcW w:w="0" w:type="auto"/>
            <w:shd w:val="clear" w:color="auto" w:fill="auto"/>
          </w:tcPr>
          <w:p w14:paraId="44317E8C" w14:textId="411514B7" w:rsidR="008B4DF8" w:rsidRPr="00C1603D" w:rsidRDefault="008B4DF8" w:rsidP="00E51FE7">
            <w:pPr>
              <w:pStyle w:val="72TabletextTablesTableFigureBoxstyles"/>
            </w:pPr>
            <w:r w:rsidRPr="00C1603D">
              <w:lastRenderedPageBreak/>
              <w:t>Swigonski</w:t>
            </w:r>
            <w:r w:rsidRPr="00C1603D">
              <w:rPr>
                <w:i/>
                <w:color w:val="00B0F0"/>
              </w:rPr>
              <w:t xml:space="preserve"> et al</w:t>
            </w:r>
            <w:r w:rsidRPr="00C1603D">
              <w:t>.</w:t>
            </w:r>
            <w:r w:rsidR="002C039B" w:rsidRPr="00C1603D">
              <w:rPr>
                <w:vertAlign w:val="superscript"/>
              </w:rPr>
              <w:t>203</w:t>
            </w:r>
            <w:r w:rsidRPr="00C1603D">
              <w:t xml:space="preserve"> 2006</w:t>
            </w:r>
          </w:p>
        </w:tc>
        <w:tc>
          <w:tcPr>
            <w:tcW w:w="0" w:type="auto"/>
            <w:shd w:val="clear" w:color="auto" w:fill="auto"/>
          </w:tcPr>
          <w:p w14:paraId="39D0A809" w14:textId="77777777" w:rsidR="008B4DF8" w:rsidRPr="00C1603D" w:rsidRDefault="008B4DF8" w:rsidP="00E51FE7">
            <w:pPr>
              <w:pStyle w:val="72TabletextTablesTableFigureBoxstyles"/>
            </w:pPr>
            <w:r w:rsidRPr="00C1603D">
              <w:t>USA</w:t>
            </w:r>
          </w:p>
        </w:tc>
        <w:tc>
          <w:tcPr>
            <w:tcW w:w="0" w:type="auto"/>
            <w:shd w:val="clear" w:color="auto" w:fill="auto"/>
          </w:tcPr>
          <w:p w14:paraId="14CB3FAF" w14:textId="487790F2" w:rsidR="008B4DF8" w:rsidRPr="00C1603D" w:rsidRDefault="008B4DF8" w:rsidP="00E51FE7">
            <w:pPr>
              <w:pStyle w:val="72TabletextTablesTableFigureBoxstyles"/>
            </w:pPr>
            <w:r w:rsidRPr="00C1603D">
              <w:t xml:space="preserve">To evaluate the cost-effectiveness of screening for CD </w:t>
            </w:r>
            <w:r w:rsidR="00165EFB" w:rsidRPr="00C1603D">
              <w:t>among</w:t>
            </w:r>
            <w:r w:rsidRPr="00C1603D">
              <w:t xml:space="preserve"> asymptomatic children with Down syndrome to prevent lymphoma</w:t>
            </w:r>
          </w:p>
        </w:tc>
        <w:tc>
          <w:tcPr>
            <w:tcW w:w="0" w:type="auto"/>
            <w:shd w:val="clear" w:color="auto" w:fill="auto"/>
          </w:tcPr>
          <w:p w14:paraId="5456CAF4" w14:textId="60AAA05B" w:rsidR="008B4DF8" w:rsidRPr="00C1603D" w:rsidRDefault="00165EFB" w:rsidP="00E51FE7">
            <w:pPr>
              <w:pStyle w:val="72TabletextTablesTableFigureBoxstyles"/>
            </w:pPr>
            <w:r w:rsidRPr="00C1603D">
              <w:t xml:space="preserve">Screening </w:t>
            </w:r>
            <w:r w:rsidR="008B4DF8" w:rsidRPr="00C1603D">
              <w:t>for CD</w:t>
            </w:r>
          </w:p>
        </w:tc>
        <w:tc>
          <w:tcPr>
            <w:tcW w:w="0" w:type="auto"/>
            <w:shd w:val="clear" w:color="auto" w:fill="auto"/>
          </w:tcPr>
          <w:p w14:paraId="20B4DD31" w14:textId="1FF1F95E" w:rsidR="008B4DF8" w:rsidRPr="00C1603D" w:rsidRDefault="00165EFB" w:rsidP="00E51FE7">
            <w:pPr>
              <w:pStyle w:val="72TabletextTablesTableFigureBoxstyles"/>
            </w:pPr>
            <w:r w:rsidRPr="00C1603D">
              <w:t xml:space="preserve">No </w:t>
            </w:r>
            <w:r w:rsidR="008B4DF8" w:rsidRPr="00C1603D">
              <w:t>screening</w:t>
            </w:r>
          </w:p>
        </w:tc>
        <w:tc>
          <w:tcPr>
            <w:tcW w:w="0" w:type="auto"/>
            <w:shd w:val="clear" w:color="auto" w:fill="auto"/>
          </w:tcPr>
          <w:p w14:paraId="55965F84" w14:textId="747E0FC9" w:rsidR="008B4DF8" w:rsidRPr="00C1603D" w:rsidRDefault="008B4DF8" w:rsidP="00E51FE7">
            <w:pPr>
              <w:pStyle w:val="72TabletextTablesTableFigureBoxstyles"/>
            </w:pPr>
            <w:r w:rsidRPr="00C1603D">
              <w:t>Asymptomatic children with D</w:t>
            </w:r>
            <w:r w:rsidR="00165EFB" w:rsidRPr="00C1603D">
              <w:t>own syndrome</w:t>
            </w:r>
          </w:p>
        </w:tc>
        <w:tc>
          <w:tcPr>
            <w:tcW w:w="0" w:type="auto"/>
            <w:shd w:val="clear" w:color="auto" w:fill="auto"/>
          </w:tcPr>
          <w:p w14:paraId="04DB2612" w14:textId="157293FB" w:rsidR="008B4DF8" w:rsidRPr="00C1603D" w:rsidRDefault="00165EFB" w:rsidP="00E51FE7">
            <w:pPr>
              <w:pStyle w:val="72TabletextTablesTableFigureBoxstyles"/>
            </w:pPr>
            <w:r w:rsidRPr="00C1603D">
              <w:t xml:space="preserve">Decision </w:t>
            </w:r>
            <w:r w:rsidR="008B4DF8" w:rsidRPr="00C1603D">
              <w:t>tree</w:t>
            </w:r>
          </w:p>
        </w:tc>
        <w:tc>
          <w:tcPr>
            <w:tcW w:w="0" w:type="auto"/>
            <w:shd w:val="clear" w:color="auto" w:fill="auto"/>
          </w:tcPr>
          <w:p w14:paraId="66502F38" w14:textId="72780813" w:rsidR="008B4DF8" w:rsidRPr="00C1603D" w:rsidRDefault="00165EFB" w:rsidP="00E51FE7">
            <w:pPr>
              <w:pStyle w:val="72TabletextTablesTableFigureBoxstyles"/>
            </w:pPr>
            <w:r w:rsidRPr="00C1603D">
              <w:t>Two</w:t>
            </w:r>
            <w:r w:rsidR="008B4DF8" w:rsidRPr="00C1603D">
              <w:t xml:space="preserve"> strategies at decision node: screening or no screening for CD</w:t>
            </w:r>
          </w:p>
        </w:tc>
        <w:tc>
          <w:tcPr>
            <w:tcW w:w="0" w:type="auto"/>
            <w:shd w:val="clear" w:color="auto" w:fill="auto"/>
          </w:tcPr>
          <w:p w14:paraId="2D305767" w14:textId="77777777" w:rsidR="008B4DF8" w:rsidRPr="00C1603D" w:rsidRDefault="008B4DF8" w:rsidP="00E51FE7">
            <w:pPr>
              <w:pStyle w:val="72TabletextTablesTableFigureBoxstyles"/>
            </w:pPr>
            <w:r w:rsidRPr="00C1603D">
              <w:t>Not reported</w:t>
            </w:r>
          </w:p>
        </w:tc>
        <w:tc>
          <w:tcPr>
            <w:tcW w:w="0" w:type="auto"/>
            <w:shd w:val="clear" w:color="auto" w:fill="auto"/>
          </w:tcPr>
          <w:p w14:paraId="3295DF03" w14:textId="7E8B3BBE" w:rsidR="008B4DF8" w:rsidRPr="00C1603D" w:rsidRDefault="008B4DF8" w:rsidP="00E51FE7">
            <w:pPr>
              <w:pStyle w:val="72TabletextTablesTableFigureBoxstyles"/>
            </w:pPr>
            <w:r w:rsidRPr="00C1603D">
              <w:t>Utility of GFD and lymphoma (from Mein and Ladabaum</w:t>
            </w:r>
            <w:r w:rsidR="00165EFB" w:rsidRPr="00C1603D">
              <w:rPr>
                <w:vertAlign w:val="superscript"/>
              </w:rPr>
              <w:t>200</w:t>
            </w:r>
            <w:r w:rsidRPr="00C1603D">
              <w:t>)</w:t>
            </w:r>
          </w:p>
        </w:tc>
        <w:tc>
          <w:tcPr>
            <w:tcW w:w="0" w:type="auto"/>
            <w:shd w:val="clear" w:color="auto" w:fill="auto"/>
          </w:tcPr>
          <w:p w14:paraId="3A9952B4" w14:textId="4FEB6906" w:rsidR="008B4DF8" w:rsidRPr="00C1603D" w:rsidRDefault="008B4DF8" w:rsidP="00E51FE7">
            <w:pPr>
              <w:pStyle w:val="72TabletextTablesTableFigureBoxstyles"/>
            </w:pPr>
            <w:r w:rsidRPr="00C1603D">
              <w:t xml:space="preserve">Screening for CD </w:t>
            </w:r>
            <w:r w:rsidR="00165EFB" w:rsidRPr="00C1603D">
              <w:t>among</w:t>
            </w:r>
            <w:r w:rsidRPr="00C1603D">
              <w:t xml:space="preserve"> children with D</w:t>
            </w:r>
            <w:r w:rsidR="00165EFB" w:rsidRPr="00C1603D">
              <w:t>own syndrome</w:t>
            </w:r>
            <w:r w:rsidRPr="00C1603D">
              <w:t xml:space="preserve"> is not cost-effective. Screening is more costly and less effective than not screening</w:t>
            </w:r>
            <w:r w:rsidR="00165EFB" w:rsidRPr="00C1603D">
              <w:t>, and it</w:t>
            </w:r>
            <w:r w:rsidRPr="00C1603D">
              <w:t xml:space="preserve"> </w:t>
            </w:r>
            <w:r w:rsidR="00165EFB" w:rsidRPr="00C1603D">
              <w:t>a</w:t>
            </w:r>
            <w:r w:rsidRPr="00C1603D">
              <w:t xml:space="preserve">ctually decreases quality of life. The results have not changed in </w:t>
            </w:r>
            <w:r w:rsidR="00165EFB" w:rsidRPr="00C1603D">
              <w:t>sensitivity analyses</w:t>
            </w:r>
            <w:r w:rsidRPr="00C1603D">
              <w:t xml:space="preserve">. The intervention is never </w:t>
            </w:r>
            <w:r w:rsidRPr="00C1603D">
              <w:rPr>
                <w:color w:val="00B0F0"/>
              </w:rPr>
              <w:t>cost-effective</w:t>
            </w:r>
            <w:r w:rsidRPr="00C1603D">
              <w:t xml:space="preserve"> at a </w:t>
            </w:r>
            <w:r w:rsidR="00165EFB" w:rsidRPr="00C1603D">
              <w:t>US</w:t>
            </w:r>
            <w:r w:rsidRPr="00C1603D">
              <w:t>$50,000 threshold</w:t>
            </w:r>
          </w:p>
        </w:tc>
      </w:tr>
      <w:tr w:rsidR="00FC0FE4" w:rsidRPr="00C1603D" w14:paraId="3941F426" w14:textId="77777777" w:rsidTr="00E51FE7">
        <w:trPr>
          <w:cantSplit/>
        </w:trPr>
        <w:tc>
          <w:tcPr>
            <w:tcW w:w="0" w:type="auto"/>
            <w:shd w:val="clear" w:color="auto" w:fill="auto"/>
          </w:tcPr>
          <w:p w14:paraId="40F652B2" w14:textId="37358CC4" w:rsidR="008B4DF8" w:rsidRPr="00C1603D" w:rsidRDefault="008B4DF8" w:rsidP="00E51FE7">
            <w:pPr>
              <w:pStyle w:val="72TabletextTablesTableFigureBoxstyles"/>
            </w:pPr>
            <w:r w:rsidRPr="00C1603D">
              <w:lastRenderedPageBreak/>
              <w:t>Dorn and Matchar</w:t>
            </w:r>
            <w:r w:rsidR="002C039B" w:rsidRPr="00C1603D">
              <w:rPr>
                <w:vertAlign w:val="superscript"/>
              </w:rPr>
              <w:t>204</w:t>
            </w:r>
            <w:r w:rsidRPr="00C1603D">
              <w:t xml:space="preserve"> 2008</w:t>
            </w:r>
          </w:p>
        </w:tc>
        <w:tc>
          <w:tcPr>
            <w:tcW w:w="0" w:type="auto"/>
            <w:shd w:val="clear" w:color="auto" w:fill="auto"/>
          </w:tcPr>
          <w:p w14:paraId="44CF52C0" w14:textId="77777777" w:rsidR="008B4DF8" w:rsidRPr="00C1603D" w:rsidRDefault="008B4DF8" w:rsidP="00E51FE7">
            <w:pPr>
              <w:pStyle w:val="72TabletextTablesTableFigureBoxstyles"/>
            </w:pPr>
            <w:r w:rsidRPr="00C1603D">
              <w:t>USA</w:t>
            </w:r>
          </w:p>
        </w:tc>
        <w:tc>
          <w:tcPr>
            <w:tcW w:w="0" w:type="auto"/>
            <w:shd w:val="clear" w:color="auto" w:fill="auto"/>
          </w:tcPr>
          <w:p w14:paraId="60A672A7" w14:textId="77777777" w:rsidR="008B4DF8" w:rsidRPr="00C1603D" w:rsidRDefault="008B4DF8" w:rsidP="00E51FE7">
            <w:pPr>
              <w:pStyle w:val="72TabletextTablesTableFigureBoxstyles"/>
            </w:pPr>
            <w:r w:rsidRPr="00C1603D">
              <w:t>To evaluate the cost-effectiveness of strategies for diagnosing CD</w:t>
            </w:r>
          </w:p>
        </w:tc>
        <w:tc>
          <w:tcPr>
            <w:tcW w:w="0" w:type="auto"/>
            <w:shd w:val="clear" w:color="auto" w:fill="auto"/>
          </w:tcPr>
          <w:p w14:paraId="6C8967E0" w14:textId="607D524F" w:rsidR="008B4DF8" w:rsidRPr="00C1603D" w:rsidRDefault="00165EFB" w:rsidP="00E51FE7">
            <w:pPr>
              <w:pStyle w:val="72TabletextTablesTableFigureBoxstyles"/>
            </w:pPr>
            <w:r w:rsidRPr="00C1603D">
              <w:t xml:space="preserve">Screening </w:t>
            </w:r>
            <w:r w:rsidR="008B4DF8" w:rsidRPr="00C1603D">
              <w:t>for CD (</w:t>
            </w:r>
            <w:r w:rsidRPr="00C1603D">
              <w:t>five</w:t>
            </w:r>
            <w:r w:rsidR="008B4DF8" w:rsidRPr="00C1603D">
              <w:t xml:space="preserve"> diagnostic strategies)</w:t>
            </w:r>
          </w:p>
        </w:tc>
        <w:tc>
          <w:tcPr>
            <w:tcW w:w="0" w:type="auto"/>
            <w:shd w:val="clear" w:color="auto" w:fill="auto"/>
          </w:tcPr>
          <w:p w14:paraId="6E62FC33" w14:textId="3DE04B06" w:rsidR="008B4DF8" w:rsidRPr="00C1603D" w:rsidRDefault="00165EFB" w:rsidP="00E51FE7">
            <w:pPr>
              <w:pStyle w:val="72TabletextTablesTableFigureBoxstyles"/>
            </w:pPr>
            <w:r w:rsidRPr="00C1603D">
              <w:t xml:space="preserve">All </w:t>
            </w:r>
            <w:r w:rsidR="008B4DF8" w:rsidRPr="00C1603D">
              <w:t>screening strategies compared in incremental analysis with next</w:t>
            </w:r>
            <w:r w:rsidRPr="00C1603D">
              <w:t>-</w:t>
            </w:r>
            <w:r w:rsidR="008B4DF8" w:rsidRPr="00C1603D">
              <w:t>best alternative</w:t>
            </w:r>
          </w:p>
        </w:tc>
        <w:tc>
          <w:tcPr>
            <w:tcW w:w="0" w:type="auto"/>
            <w:shd w:val="clear" w:color="auto" w:fill="auto"/>
          </w:tcPr>
          <w:p w14:paraId="66722C3B" w14:textId="03339D36" w:rsidR="008B4DF8" w:rsidRPr="00C1603D" w:rsidRDefault="00165EFB" w:rsidP="00E51FE7">
            <w:pPr>
              <w:pStyle w:val="72TabletextTablesTableFigureBoxstyles"/>
            </w:pPr>
            <w:r w:rsidRPr="00C1603D">
              <w:t xml:space="preserve">Adult </w:t>
            </w:r>
            <w:r w:rsidR="008B4DF8" w:rsidRPr="00C1603D">
              <w:t>population with Western</w:t>
            </w:r>
            <w:r w:rsidRPr="00C1603D">
              <w:t xml:space="preserve"> </w:t>
            </w:r>
            <w:r w:rsidR="008B4DF8" w:rsidRPr="00C1603D">
              <w:t xml:space="preserve">European origins for which there was moderate suspicion for </w:t>
            </w:r>
            <w:r w:rsidR="00DD3AD1" w:rsidRPr="00C1603D">
              <w:rPr>
                <w:color w:val="00B0F0"/>
              </w:rPr>
              <w:t>CD</w:t>
            </w:r>
          </w:p>
        </w:tc>
        <w:tc>
          <w:tcPr>
            <w:tcW w:w="0" w:type="auto"/>
            <w:shd w:val="clear" w:color="auto" w:fill="auto"/>
          </w:tcPr>
          <w:p w14:paraId="4517CF71" w14:textId="4A4C0197" w:rsidR="008B4DF8" w:rsidRPr="00C1603D" w:rsidRDefault="00165EFB" w:rsidP="00E51FE7">
            <w:pPr>
              <w:pStyle w:val="72TabletextTablesTableFigureBoxstyles"/>
            </w:pPr>
            <w:r w:rsidRPr="00C1603D">
              <w:t xml:space="preserve">Decision </w:t>
            </w:r>
            <w:r w:rsidR="008B4DF8" w:rsidRPr="00C1603D">
              <w:t>tree</w:t>
            </w:r>
          </w:p>
        </w:tc>
        <w:tc>
          <w:tcPr>
            <w:tcW w:w="0" w:type="auto"/>
            <w:shd w:val="clear" w:color="auto" w:fill="auto"/>
          </w:tcPr>
          <w:p w14:paraId="3D7DED21" w14:textId="6283B470" w:rsidR="008B4DF8" w:rsidRPr="00C1603D" w:rsidRDefault="00165EFB" w:rsidP="00E51FE7">
            <w:pPr>
              <w:pStyle w:val="72TabletextTablesTableFigureBoxstyles"/>
            </w:pPr>
            <w:r w:rsidRPr="00C1603D">
              <w:t>Five</w:t>
            </w:r>
            <w:r w:rsidR="008B4DF8" w:rsidRPr="00C1603D">
              <w:t xml:space="preserve"> strategies at decision node: </w:t>
            </w:r>
            <w:r w:rsidR="00553BA7" w:rsidRPr="00C1603D">
              <w:t>tTG</w:t>
            </w:r>
            <w:r w:rsidRPr="00C1603D">
              <w:t>,</w:t>
            </w:r>
            <w:r w:rsidR="008B4DF8" w:rsidRPr="00C1603D">
              <w:t xml:space="preserve"> </w:t>
            </w:r>
            <w:r w:rsidR="00553BA7" w:rsidRPr="00C1603D">
              <w:t>tTG</w:t>
            </w:r>
            <w:r w:rsidR="008B4DF8" w:rsidRPr="00C1603D">
              <w:t xml:space="preserve"> then </w:t>
            </w:r>
            <w:r w:rsidR="00267212" w:rsidRPr="00C1603D">
              <w:t>OGD</w:t>
            </w:r>
            <w:r w:rsidRPr="00C1603D">
              <w:t>,</w:t>
            </w:r>
            <w:r w:rsidR="008B4DF8" w:rsidRPr="00C1603D">
              <w:t xml:space="preserve"> </w:t>
            </w:r>
            <w:r w:rsidR="00553BA7" w:rsidRPr="00C1603D">
              <w:t>tTG</w:t>
            </w:r>
            <w:r w:rsidR="008B4DF8" w:rsidRPr="00C1603D">
              <w:t xml:space="preserve"> then IgA then </w:t>
            </w:r>
            <w:r w:rsidR="00267212" w:rsidRPr="00C1603D">
              <w:t>OGD</w:t>
            </w:r>
            <w:r w:rsidRPr="00C1603D">
              <w:t>,</w:t>
            </w:r>
            <w:r w:rsidR="008B4DF8" w:rsidRPr="00C1603D">
              <w:t xml:space="preserve"> </w:t>
            </w:r>
            <w:r w:rsidR="00553BA7" w:rsidRPr="00C1603D">
              <w:t>tTG</w:t>
            </w:r>
            <w:r w:rsidR="008B4DF8" w:rsidRPr="00C1603D">
              <w:t xml:space="preserve"> then HLA then </w:t>
            </w:r>
            <w:r w:rsidR="00267212" w:rsidRPr="00C1603D">
              <w:t>OGD</w:t>
            </w:r>
            <w:r w:rsidRPr="00C1603D">
              <w:t>,</w:t>
            </w:r>
            <w:r w:rsidR="008B4DF8" w:rsidRPr="00C1603D">
              <w:t xml:space="preserve"> </w:t>
            </w:r>
            <w:r w:rsidR="00267212" w:rsidRPr="00C1603D">
              <w:t>OGD</w:t>
            </w:r>
            <w:r w:rsidR="008B4DF8" w:rsidRPr="00C1603D">
              <w:t xml:space="preserve"> alone</w:t>
            </w:r>
            <w:r w:rsidRPr="00C1603D">
              <w:t>.</w:t>
            </w:r>
            <w:r w:rsidR="008B4DF8" w:rsidRPr="00C1603D">
              <w:t xml:space="preserve"> </w:t>
            </w:r>
            <w:r w:rsidRPr="00C1603D">
              <w:t>C</w:t>
            </w:r>
            <w:r w:rsidR="008B4DF8" w:rsidRPr="00C1603D">
              <w:t>omplications from biopsy</w:t>
            </w:r>
            <w:r w:rsidRPr="00C1603D">
              <w:t xml:space="preserve"> were also modelled</w:t>
            </w:r>
          </w:p>
        </w:tc>
        <w:tc>
          <w:tcPr>
            <w:tcW w:w="0" w:type="auto"/>
            <w:shd w:val="clear" w:color="auto" w:fill="auto"/>
          </w:tcPr>
          <w:p w14:paraId="22FEE4FB" w14:textId="77777777" w:rsidR="008B4DF8" w:rsidRPr="00C1603D" w:rsidRDefault="008B4DF8" w:rsidP="00E51FE7">
            <w:pPr>
              <w:pStyle w:val="72TabletextTablesTableFigureBoxstyles"/>
            </w:pPr>
            <w:r w:rsidRPr="00C1603D">
              <w:t>Not reported</w:t>
            </w:r>
          </w:p>
        </w:tc>
        <w:tc>
          <w:tcPr>
            <w:tcW w:w="0" w:type="auto"/>
            <w:shd w:val="clear" w:color="auto" w:fill="auto"/>
          </w:tcPr>
          <w:p w14:paraId="27A32A6E" w14:textId="77777777" w:rsidR="008B4DF8" w:rsidRPr="00C1603D" w:rsidRDefault="008B4DF8" w:rsidP="00E51FE7">
            <w:pPr>
              <w:pStyle w:val="72TabletextTablesTableFigureBoxstyles"/>
            </w:pPr>
            <w:r w:rsidRPr="00C1603D">
              <w:t>None</w:t>
            </w:r>
          </w:p>
        </w:tc>
        <w:tc>
          <w:tcPr>
            <w:tcW w:w="0" w:type="auto"/>
            <w:shd w:val="clear" w:color="auto" w:fill="auto"/>
          </w:tcPr>
          <w:p w14:paraId="399F8F1C" w14:textId="366DD9E7" w:rsidR="008B4DF8" w:rsidRPr="00C1603D" w:rsidRDefault="008B4DF8" w:rsidP="00E51FE7">
            <w:pPr>
              <w:pStyle w:val="72TabletextTablesTableFigureBoxstyles"/>
            </w:pPr>
            <w:r w:rsidRPr="00C1603D">
              <w:t xml:space="preserve">The use of </w:t>
            </w:r>
            <w:r w:rsidR="00267212" w:rsidRPr="00C1603D">
              <w:t>OGD</w:t>
            </w:r>
            <w:r w:rsidRPr="00C1603D">
              <w:t xml:space="preserve"> alone in all cases of suspected CD is too costly. </w:t>
            </w:r>
            <w:r w:rsidR="00553BA7" w:rsidRPr="00C1603D">
              <w:t>tTG</w:t>
            </w:r>
            <w:r w:rsidRPr="00C1603D">
              <w:t xml:space="preserve"> alone strategy is very cost</w:t>
            </w:r>
            <w:r w:rsidR="00165EFB" w:rsidRPr="00C1603D">
              <w:t>-effective</w:t>
            </w:r>
            <w:r w:rsidRPr="00C1603D">
              <w:t xml:space="preserve">, </w:t>
            </w:r>
            <w:proofErr w:type="gramStart"/>
            <w:r w:rsidRPr="00C1603D">
              <w:t>highly sensitive</w:t>
            </w:r>
            <w:proofErr w:type="gramEnd"/>
            <w:r w:rsidRPr="00C1603D">
              <w:t xml:space="preserve"> and highly specific</w:t>
            </w:r>
            <w:r w:rsidR="00165EFB" w:rsidRPr="00C1603D">
              <w:t>,</w:t>
            </w:r>
            <w:r w:rsidRPr="00C1603D">
              <w:t xml:space="preserve"> but with low PPV and high numbers of false positives. When the prevalence of CD is low, patients with positive </w:t>
            </w:r>
            <w:r w:rsidR="00553BA7" w:rsidRPr="00C1603D">
              <w:t>tTG</w:t>
            </w:r>
            <w:r w:rsidRPr="00C1603D">
              <w:t xml:space="preserve"> should undergo </w:t>
            </w:r>
            <w:r w:rsidR="00267212" w:rsidRPr="00C1603D">
              <w:t>OGD</w:t>
            </w:r>
            <w:r w:rsidRPr="00C1603D">
              <w:t xml:space="preserve"> with biopsy to confirm CD. As the prevalence of CD increases, the cost of avoiding false-positive diagnoses via </w:t>
            </w:r>
            <w:r w:rsidR="00267212" w:rsidRPr="00C1603D">
              <w:t>OGD</w:t>
            </w:r>
            <w:r w:rsidRPr="00C1603D">
              <w:t xml:space="preserve"> with biopsy increases dramatically</w:t>
            </w:r>
          </w:p>
        </w:tc>
      </w:tr>
      <w:tr w:rsidR="00FC0FE4" w:rsidRPr="00C1603D" w14:paraId="3CE47177" w14:textId="77777777" w:rsidTr="00E51FE7">
        <w:trPr>
          <w:cantSplit/>
        </w:trPr>
        <w:tc>
          <w:tcPr>
            <w:tcW w:w="0" w:type="auto"/>
            <w:shd w:val="clear" w:color="auto" w:fill="auto"/>
          </w:tcPr>
          <w:p w14:paraId="32401A84" w14:textId="7F0783FC" w:rsidR="008B4DF8" w:rsidRPr="00C1603D" w:rsidRDefault="008B4DF8" w:rsidP="00E51FE7">
            <w:pPr>
              <w:pStyle w:val="72TabletextTablesTableFigureBoxstyles"/>
            </w:pPr>
            <w:r w:rsidRPr="00C1603D">
              <w:lastRenderedPageBreak/>
              <w:t>Chang and Green</w:t>
            </w:r>
            <w:r w:rsidR="002C039B" w:rsidRPr="00C1603D">
              <w:rPr>
                <w:vertAlign w:val="superscript"/>
              </w:rPr>
              <w:t>205</w:t>
            </w:r>
            <w:r w:rsidRPr="00C1603D">
              <w:t xml:space="preserve"> 2009</w:t>
            </w:r>
          </w:p>
        </w:tc>
        <w:tc>
          <w:tcPr>
            <w:tcW w:w="0" w:type="auto"/>
            <w:shd w:val="clear" w:color="auto" w:fill="auto"/>
          </w:tcPr>
          <w:p w14:paraId="60460315" w14:textId="77777777" w:rsidR="008B4DF8" w:rsidRPr="00C1603D" w:rsidRDefault="008B4DF8" w:rsidP="00E51FE7">
            <w:pPr>
              <w:pStyle w:val="72TabletextTablesTableFigureBoxstyles"/>
            </w:pPr>
            <w:r w:rsidRPr="00C1603D">
              <w:t>USA</w:t>
            </w:r>
          </w:p>
        </w:tc>
        <w:tc>
          <w:tcPr>
            <w:tcW w:w="0" w:type="auto"/>
            <w:shd w:val="clear" w:color="auto" w:fill="auto"/>
          </w:tcPr>
          <w:p w14:paraId="78F12141" w14:textId="650AE08C" w:rsidR="008B4DF8" w:rsidRPr="00C1603D" w:rsidRDefault="008B4DF8" w:rsidP="00E51FE7">
            <w:pPr>
              <w:pStyle w:val="72TabletextTablesTableFigureBoxstyles"/>
            </w:pPr>
            <w:r w:rsidRPr="00C1603D">
              <w:t xml:space="preserve">To evaluate the cost of genetic testing before </w:t>
            </w:r>
            <w:r w:rsidRPr="00C1603D">
              <w:rPr>
                <w:color w:val="00B0F0"/>
              </w:rPr>
              <w:t>serological</w:t>
            </w:r>
            <w:r w:rsidRPr="00C1603D">
              <w:t xml:space="preserve"> screening </w:t>
            </w:r>
            <w:r w:rsidR="00165EFB" w:rsidRPr="00C1603D">
              <w:t>among</w:t>
            </w:r>
            <w:r w:rsidRPr="00C1603D">
              <w:t xml:space="preserve"> relatives of patients with CD</w:t>
            </w:r>
          </w:p>
        </w:tc>
        <w:tc>
          <w:tcPr>
            <w:tcW w:w="0" w:type="auto"/>
            <w:shd w:val="clear" w:color="auto" w:fill="auto"/>
          </w:tcPr>
          <w:p w14:paraId="5595B8A4" w14:textId="7C43211F" w:rsidR="008B4DF8" w:rsidRPr="00C1603D" w:rsidRDefault="00165EFB" w:rsidP="00E51FE7">
            <w:pPr>
              <w:pStyle w:val="72TabletextTablesTableFigureBoxstyles"/>
            </w:pPr>
            <w:r w:rsidRPr="00C1603D">
              <w:t xml:space="preserve">Genetic </w:t>
            </w:r>
            <w:r w:rsidR="008B4DF8" w:rsidRPr="00C1603D">
              <w:t>screening (HLA) for CD</w:t>
            </w:r>
          </w:p>
        </w:tc>
        <w:tc>
          <w:tcPr>
            <w:tcW w:w="0" w:type="auto"/>
            <w:shd w:val="clear" w:color="auto" w:fill="auto"/>
          </w:tcPr>
          <w:p w14:paraId="6BD9597F" w14:textId="4EC3F938" w:rsidR="008B4DF8" w:rsidRPr="00C1603D" w:rsidRDefault="00165EFB" w:rsidP="00E51FE7">
            <w:pPr>
              <w:pStyle w:val="72TabletextTablesTableFigureBoxstyles"/>
            </w:pPr>
            <w:r w:rsidRPr="00C1603D">
              <w:t xml:space="preserve">Serological </w:t>
            </w:r>
            <w:r w:rsidR="008B4DF8" w:rsidRPr="00C1603D">
              <w:t xml:space="preserve">screening with </w:t>
            </w:r>
            <w:r w:rsidR="00553BA7" w:rsidRPr="00C1603D">
              <w:t>tTG</w:t>
            </w:r>
          </w:p>
        </w:tc>
        <w:tc>
          <w:tcPr>
            <w:tcW w:w="0" w:type="auto"/>
            <w:shd w:val="clear" w:color="auto" w:fill="auto"/>
          </w:tcPr>
          <w:p w14:paraId="0C4B48E3" w14:textId="7BC3E20A" w:rsidR="008B4DF8" w:rsidRPr="00C1603D" w:rsidRDefault="00165EFB" w:rsidP="00E51FE7">
            <w:pPr>
              <w:pStyle w:val="72TabletextTablesTableFigureBoxstyles"/>
            </w:pPr>
            <w:r w:rsidRPr="00C1603D">
              <w:t xml:space="preserve">First- </w:t>
            </w:r>
            <w:r w:rsidR="008B4DF8" w:rsidRPr="00C1603D">
              <w:t>and second</w:t>
            </w:r>
            <w:r w:rsidRPr="00C1603D">
              <w:t>-</w:t>
            </w:r>
            <w:r w:rsidR="008B4DF8" w:rsidRPr="00C1603D">
              <w:t>degree relatives of patients with CD</w:t>
            </w:r>
          </w:p>
        </w:tc>
        <w:tc>
          <w:tcPr>
            <w:tcW w:w="0" w:type="auto"/>
            <w:shd w:val="clear" w:color="auto" w:fill="auto"/>
          </w:tcPr>
          <w:p w14:paraId="3F37E7BC" w14:textId="7B53E221" w:rsidR="008B4DF8" w:rsidRPr="00C1603D" w:rsidRDefault="00165EFB" w:rsidP="00E51FE7">
            <w:pPr>
              <w:pStyle w:val="72TabletextTablesTableFigureBoxstyles"/>
            </w:pPr>
            <w:r w:rsidRPr="00C1603D">
              <w:t xml:space="preserve">Decision </w:t>
            </w:r>
            <w:r w:rsidR="008B4DF8" w:rsidRPr="00C1603D">
              <w:t>tree</w:t>
            </w:r>
          </w:p>
        </w:tc>
        <w:tc>
          <w:tcPr>
            <w:tcW w:w="0" w:type="auto"/>
            <w:shd w:val="clear" w:color="auto" w:fill="auto"/>
          </w:tcPr>
          <w:p w14:paraId="5EC1E4C5" w14:textId="72D0E59E" w:rsidR="008B4DF8" w:rsidRPr="00C1603D" w:rsidRDefault="00165EFB" w:rsidP="00E51FE7">
            <w:pPr>
              <w:pStyle w:val="72TabletextTablesTableFigureBoxstyles"/>
            </w:pPr>
            <w:r w:rsidRPr="00C1603D">
              <w:t>Three</w:t>
            </w:r>
            <w:r w:rsidR="008B4DF8" w:rsidRPr="00C1603D">
              <w:t xml:space="preserve"> diagnostic branches at decision node: </w:t>
            </w:r>
            <w:r w:rsidR="00553BA7" w:rsidRPr="00C1603D">
              <w:t>tTG</w:t>
            </w:r>
            <w:r w:rsidR="008B4DF8" w:rsidRPr="00C1603D">
              <w:t xml:space="preserve"> at time t0, </w:t>
            </w:r>
            <w:r w:rsidR="00553BA7" w:rsidRPr="00C1603D">
              <w:t>tTG</w:t>
            </w:r>
            <w:r w:rsidR="008B4DF8" w:rsidRPr="00C1603D">
              <w:t xml:space="preserve"> at time t0 and t1, HLA then </w:t>
            </w:r>
            <w:r w:rsidR="00553BA7" w:rsidRPr="00C1603D">
              <w:t>tTG</w:t>
            </w:r>
            <w:r w:rsidR="008B4DF8" w:rsidRPr="00C1603D">
              <w:t xml:space="preserve"> at time t0 and t1. All positive results will undertake biopsy to confirm diagnosis</w:t>
            </w:r>
          </w:p>
        </w:tc>
        <w:tc>
          <w:tcPr>
            <w:tcW w:w="0" w:type="auto"/>
            <w:shd w:val="clear" w:color="auto" w:fill="auto"/>
          </w:tcPr>
          <w:p w14:paraId="4F7252BA" w14:textId="77777777" w:rsidR="008B4DF8" w:rsidRPr="00C1603D" w:rsidRDefault="008B4DF8" w:rsidP="00E51FE7">
            <w:pPr>
              <w:pStyle w:val="72TabletextTablesTableFigureBoxstyles"/>
            </w:pPr>
            <w:r w:rsidRPr="00C1603D">
              <w:t>None reported</w:t>
            </w:r>
          </w:p>
        </w:tc>
        <w:tc>
          <w:tcPr>
            <w:tcW w:w="0" w:type="auto"/>
            <w:shd w:val="clear" w:color="auto" w:fill="auto"/>
          </w:tcPr>
          <w:p w14:paraId="6FDC7864" w14:textId="77777777" w:rsidR="008B4DF8" w:rsidRPr="00C1603D" w:rsidRDefault="008B4DF8" w:rsidP="00E51FE7">
            <w:pPr>
              <w:pStyle w:val="72TabletextTablesTableFigureBoxstyles"/>
            </w:pPr>
            <w:r w:rsidRPr="00C1603D">
              <w:t>None</w:t>
            </w:r>
          </w:p>
        </w:tc>
        <w:tc>
          <w:tcPr>
            <w:tcW w:w="0" w:type="auto"/>
            <w:shd w:val="clear" w:color="auto" w:fill="auto"/>
          </w:tcPr>
          <w:p w14:paraId="780397D3" w14:textId="118E5EAD" w:rsidR="008B4DF8" w:rsidRPr="00C1603D" w:rsidRDefault="008B4DF8" w:rsidP="00E51FE7">
            <w:pPr>
              <w:pStyle w:val="72TabletextTablesTableFigureBoxstyles"/>
            </w:pPr>
            <w:r w:rsidRPr="00C1603D">
              <w:t xml:space="preserve">Initial screening with </w:t>
            </w:r>
            <w:r w:rsidR="00553BA7" w:rsidRPr="00C1603D">
              <w:t>tTG</w:t>
            </w:r>
            <w:r w:rsidRPr="00C1603D">
              <w:t xml:space="preserve"> alone is the least costly, followed by repeat screening with </w:t>
            </w:r>
            <w:r w:rsidR="00553BA7" w:rsidRPr="00C1603D">
              <w:t>tTG</w:t>
            </w:r>
            <w:r w:rsidRPr="00C1603D">
              <w:t xml:space="preserve"> after some time; the most costly is HLA testing. The results are sensitive to costs of genetic test</w:t>
            </w:r>
            <w:r w:rsidR="00165EFB" w:rsidRPr="00C1603D">
              <w:t xml:space="preserve"> and</w:t>
            </w:r>
            <w:r w:rsidRPr="00C1603D">
              <w:t xml:space="preserve"> prevalence of disease</w:t>
            </w:r>
          </w:p>
        </w:tc>
      </w:tr>
      <w:tr w:rsidR="00FC0FE4" w:rsidRPr="00C1603D" w14:paraId="6D04DCEA" w14:textId="77777777" w:rsidTr="00E51FE7">
        <w:trPr>
          <w:cantSplit/>
        </w:trPr>
        <w:tc>
          <w:tcPr>
            <w:tcW w:w="0" w:type="auto"/>
            <w:shd w:val="clear" w:color="auto" w:fill="auto"/>
          </w:tcPr>
          <w:p w14:paraId="22E1A6CB" w14:textId="02A338FE" w:rsidR="008B4DF8" w:rsidRPr="00C1603D" w:rsidRDefault="008B4DF8" w:rsidP="00E51FE7">
            <w:pPr>
              <w:pStyle w:val="72TabletextTablesTableFigureBoxstyles"/>
            </w:pPr>
            <w:r w:rsidRPr="00C1603D">
              <w:lastRenderedPageBreak/>
              <w:t>Hershcovici</w:t>
            </w:r>
            <w:r w:rsidRPr="00C1603D">
              <w:rPr>
                <w:i/>
                <w:color w:val="00B0F0"/>
              </w:rPr>
              <w:t xml:space="preserve"> et al</w:t>
            </w:r>
            <w:r w:rsidRPr="00C1603D">
              <w:t>.</w:t>
            </w:r>
            <w:r w:rsidR="002C039B" w:rsidRPr="00C1603D">
              <w:rPr>
                <w:vertAlign w:val="superscript"/>
              </w:rPr>
              <w:t>206</w:t>
            </w:r>
            <w:r w:rsidRPr="00C1603D">
              <w:t xml:space="preserve"> 2010</w:t>
            </w:r>
          </w:p>
        </w:tc>
        <w:tc>
          <w:tcPr>
            <w:tcW w:w="0" w:type="auto"/>
            <w:shd w:val="clear" w:color="auto" w:fill="auto"/>
          </w:tcPr>
          <w:p w14:paraId="45C874F0" w14:textId="77777777" w:rsidR="008B4DF8" w:rsidRPr="00C1603D" w:rsidRDefault="008B4DF8" w:rsidP="00E51FE7">
            <w:pPr>
              <w:pStyle w:val="72TabletextTablesTableFigureBoxstyles"/>
            </w:pPr>
            <w:r w:rsidRPr="00C1603D">
              <w:t>USA</w:t>
            </w:r>
          </w:p>
        </w:tc>
        <w:tc>
          <w:tcPr>
            <w:tcW w:w="0" w:type="auto"/>
            <w:shd w:val="clear" w:color="auto" w:fill="auto"/>
          </w:tcPr>
          <w:p w14:paraId="363B080F" w14:textId="77777777" w:rsidR="008B4DF8" w:rsidRPr="00C1603D" w:rsidRDefault="008B4DF8" w:rsidP="00E51FE7">
            <w:pPr>
              <w:pStyle w:val="72TabletextTablesTableFigureBoxstyles"/>
            </w:pPr>
            <w:r w:rsidRPr="00C1603D">
              <w:t xml:space="preserve">To evaluate the </w:t>
            </w:r>
            <w:r w:rsidRPr="00C1603D">
              <w:rPr>
                <w:color w:val="00B0F0"/>
              </w:rPr>
              <w:t>cost-effective</w:t>
            </w:r>
            <w:r w:rsidRPr="00C1603D">
              <w:t>ness of mass screening for CD</w:t>
            </w:r>
          </w:p>
        </w:tc>
        <w:tc>
          <w:tcPr>
            <w:tcW w:w="0" w:type="auto"/>
            <w:shd w:val="clear" w:color="auto" w:fill="auto"/>
          </w:tcPr>
          <w:p w14:paraId="11B0FE5F" w14:textId="3B11E42F" w:rsidR="008B4DF8" w:rsidRPr="00C1603D" w:rsidRDefault="00165EFB" w:rsidP="00E51FE7">
            <w:pPr>
              <w:pStyle w:val="72TabletextTablesTableFigureBoxstyles"/>
            </w:pPr>
            <w:r w:rsidRPr="00C1603D">
              <w:t xml:space="preserve">Mass </w:t>
            </w:r>
            <w:r w:rsidR="008B4DF8" w:rsidRPr="00C1603D">
              <w:t>screening (serological tests followed by biopsy)</w:t>
            </w:r>
          </w:p>
        </w:tc>
        <w:tc>
          <w:tcPr>
            <w:tcW w:w="0" w:type="auto"/>
            <w:shd w:val="clear" w:color="auto" w:fill="auto"/>
          </w:tcPr>
          <w:p w14:paraId="4E1B2A99" w14:textId="1680096D" w:rsidR="008B4DF8" w:rsidRPr="00C1603D" w:rsidRDefault="00165EFB" w:rsidP="00E51FE7">
            <w:pPr>
              <w:pStyle w:val="72TabletextTablesTableFigureBoxstyles"/>
            </w:pPr>
            <w:r w:rsidRPr="00C1603D">
              <w:t xml:space="preserve">No </w:t>
            </w:r>
            <w:r w:rsidR="008B4DF8" w:rsidRPr="00C1603D">
              <w:t>screening (diagnosis based on symptoms alone)</w:t>
            </w:r>
          </w:p>
        </w:tc>
        <w:tc>
          <w:tcPr>
            <w:tcW w:w="0" w:type="auto"/>
            <w:shd w:val="clear" w:color="auto" w:fill="auto"/>
          </w:tcPr>
          <w:p w14:paraId="033E103E" w14:textId="2F70DA4C" w:rsidR="008B4DF8" w:rsidRPr="00C1603D" w:rsidRDefault="00165EFB" w:rsidP="00E51FE7">
            <w:pPr>
              <w:pStyle w:val="72TabletextTablesTableFigureBoxstyles"/>
            </w:pPr>
            <w:r w:rsidRPr="00C1603D">
              <w:t xml:space="preserve">Young </w:t>
            </w:r>
            <w:r w:rsidR="008B4DF8" w:rsidRPr="00C1603D">
              <w:t>adult general population at 18 years</w:t>
            </w:r>
          </w:p>
        </w:tc>
        <w:tc>
          <w:tcPr>
            <w:tcW w:w="0" w:type="auto"/>
            <w:shd w:val="clear" w:color="auto" w:fill="auto"/>
          </w:tcPr>
          <w:p w14:paraId="7F01DA22" w14:textId="77777777" w:rsidR="008B4DF8" w:rsidRPr="00C1603D" w:rsidRDefault="008B4DF8" w:rsidP="00E51FE7">
            <w:pPr>
              <w:pStyle w:val="72TabletextTablesTableFigureBoxstyles"/>
            </w:pPr>
            <w:r w:rsidRPr="00C1603D">
              <w:t>Markov</w:t>
            </w:r>
          </w:p>
        </w:tc>
        <w:tc>
          <w:tcPr>
            <w:tcW w:w="0" w:type="auto"/>
            <w:shd w:val="clear" w:color="auto" w:fill="auto"/>
          </w:tcPr>
          <w:p w14:paraId="051A52BA" w14:textId="701ED9F9" w:rsidR="008B4DF8" w:rsidRPr="00C1603D" w:rsidRDefault="00165EFB" w:rsidP="00E51FE7">
            <w:pPr>
              <w:pStyle w:val="72TabletextTablesTableFigureBoxstyles"/>
            </w:pPr>
            <w:r w:rsidRPr="00C1603D">
              <w:t xml:space="preserve">Health </w:t>
            </w:r>
            <w:r w:rsidR="008B4DF8" w:rsidRPr="00C1603D">
              <w:t>states: no CD</w:t>
            </w:r>
            <w:r w:rsidRPr="00C1603D">
              <w:t xml:space="preserve">; </w:t>
            </w:r>
            <w:r w:rsidR="008B4DF8" w:rsidRPr="00C1603D">
              <w:t>CD undiagnosed</w:t>
            </w:r>
            <w:r w:rsidRPr="00C1603D">
              <w:t>,</w:t>
            </w:r>
            <w:r w:rsidR="008B4DF8" w:rsidRPr="00C1603D">
              <w:t xml:space="preserve"> but with symptoms</w:t>
            </w:r>
            <w:r w:rsidRPr="00C1603D">
              <w:t xml:space="preserve"> –</w:t>
            </w:r>
            <w:r w:rsidR="008B4DF8" w:rsidRPr="00C1603D">
              <w:t xml:space="preserve"> IBS-like symptoms, IDA or other symptoms; CD undiagnosed without symptoms; CD diagnosed and adherence to a GFD;</w:t>
            </w:r>
            <w:r w:rsidRPr="00C1603D">
              <w:t xml:space="preserve"> </w:t>
            </w:r>
            <w:r w:rsidR="008B4DF8" w:rsidRPr="00C1603D">
              <w:t xml:space="preserve">CD diagnosed without adherence to a GFD; death. </w:t>
            </w:r>
            <w:r w:rsidRPr="00C1603D">
              <w:t xml:space="preserve">Cycle </w:t>
            </w:r>
            <w:r w:rsidR="008B4DF8" w:rsidRPr="00C1603D">
              <w:t>length 1 year</w:t>
            </w:r>
            <w:r w:rsidRPr="00C1603D">
              <w:t>.</w:t>
            </w:r>
            <w:r w:rsidR="008B4DF8" w:rsidRPr="00C1603D">
              <w:t xml:space="preserve"> Discount rate on costs and utilities: </w:t>
            </w:r>
            <w:proofErr w:type="gramStart"/>
            <w:r w:rsidR="008B4DF8" w:rsidRPr="00C1603D">
              <w:t>3</w:t>
            </w:r>
            <w:proofErr w:type="gramEnd"/>
            <w:r w:rsidR="008B4DF8" w:rsidRPr="00C1603D">
              <w:t>%</w:t>
            </w:r>
          </w:p>
        </w:tc>
        <w:tc>
          <w:tcPr>
            <w:tcW w:w="0" w:type="auto"/>
            <w:shd w:val="clear" w:color="auto" w:fill="auto"/>
          </w:tcPr>
          <w:p w14:paraId="5DE4643D" w14:textId="28EBAAFE" w:rsidR="008B4DF8" w:rsidRPr="00C1603D" w:rsidRDefault="00165EFB" w:rsidP="00E51FE7">
            <w:pPr>
              <w:pStyle w:val="72TabletextTablesTableFigureBoxstyles"/>
            </w:pPr>
            <w:r w:rsidRPr="00C1603D">
              <w:t>Lifetime</w:t>
            </w:r>
          </w:p>
        </w:tc>
        <w:tc>
          <w:tcPr>
            <w:tcW w:w="0" w:type="auto"/>
            <w:shd w:val="clear" w:color="auto" w:fill="auto"/>
          </w:tcPr>
          <w:p w14:paraId="1DE65A9E" w14:textId="77777777" w:rsidR="008B4DF8" w:rsidRPr="00C1603D" w:rsidRDefault="008B4DF8" w:rsidP="00E51FE7">
            <w:pPr>
              <w:pStyle w:val="72TabletextTablesTableFigureBoxstyles"/>
            </w:pPr>
          </w:p>
        </w:tc>
        <w:tc>
          <w:tcPr>
            <w:tcW w:w="0" w:type="auto"/>
            <w:shd w:val="clear" w:color="auto" w:fill="auto"/>
          </w:tcPr>
          <w:p w14:paraId="11D6804E" w14:textId="0758C5B6" w:rsidR="008B4DF8" w:rsidRPr="00C1603D" w:rsidRDefault="008B4DF8" w:rsidP="00941640">
            <w:pPr>
              <w:pStyle w:val="72TabletextTablesTableFigureBoxstyles"/>
            </w:pPr>
            <w:r w:rsidRPr="00C1603D">
              <w:t>The screening strategy resulted in a gain of 0.0027 QALYs. The ICER of</w:t>
            </w:r>
            <w:r w:rsidR="00941640" w:rsidRPr="00C1603D">
              <w:t xml:space="preserve"> </w:t>
            </w:r>
            <w:r w:rsidRPr="00C1603D">
              <w:t xml:space="preserve">screening vs. </w:t>
            </w:r>
            <w:r w:rsidR="00941640" w:rsidRPr="00C1603D">
              <w:t xml:space="preserve">the </w:t>
            </w:r>
            <w:r w:rsidRPr="00C1603D">
              <w:t xml:space="preserve">no-screening strategy was US$48,960 </w:t>
            </w:r>
            <w:r w:rsidR="00941640" w:rsidRPr="00C1603D">
              <w:t>per</w:t>
            </w:r>
            <w:r w:rsidRPr="00C1603D">
              <w:t xml:space="preserve"> QALY</w:t>
            </w:r>
            <w:r w:rsidR="00941640" w:rsidRPr="00C1603D">
              <w:t xml:space="preserve"> gained</w:t>
            </w:r>
          </w:p>
        </w:tc>
      </w:tr>
      <w:tr w:rsidR="00FC0FE4" w:rsidRPr="00C1603D" w14:paraId="527A5907" w14:textId="77777777" w:rsidTr="00E51FE7">
        <w:trPr>
          <w:cantSplit/>
        </w:trPr>
        <w:tc>
          <w:tcPr>
            <w:tcW w:w="0" w:type="auto"/>
            <w:shd w:val="clear" w:color="auto" w:fill="auto"/>
          </w:tcPr>
          <w:p w14:paraId="6E9C0021" w14:textId="61EF76EA" w:rsidR="008B4DF8" w:rsidRPr="00C1603D" w:rsidRDefault="008B4DF8" w:rsidP="00E51FE7">
            <w:pPr>
              <w:pStyle w:val="72TabletextTablesTableFigureBoxstyles"/>
            </w:pPr>
            <w:r w:rsidRPr="00C1603D">
              <w:lastRenderedPageBreak/>
              <w:t>Mohseninejad</w:t>
            </w:r>
            <w:r w:rsidRPr="00C1603D">
              <w:rPr>
                <w:i/>
                <w:color w:val="00B0F0"/>
              </w:rPr>
              <w:t xml:space="preserve"> et al</w:t>
            </w:r>
            <w:r w:rsidRPr="00C1603D">
              <w:t>.</w:t>
            </w:r>
            <w:r w:rsidR="002C039B" w:rsidRPr="00C1603D">
              <w:rPr>
                <w:vertAlign w:val="superscript"/>
              </w:rPr>
              <w:t>207</w:t>
            </w:r>
            <w:r w:rsidRPr="00C1603D">
              <w:t xml:space="preserve"> 2013</w:t>
            </w:r>
          </w:p>
        </w:tc>
        <w:tc>
          <w:tcPr>
            <w:tcW w:w="0" w:type="auto"/>
            <w:shd w:val="clear" w:color="auto" w:fill="auto"/>
          </w:tcPr>
          <w:p w14:paraId="71BDED64" w14:textId="77777777" w:rsidR="008B4DF8" w:rsidRPr="00C1603D" w:rsidRDefault="008B4DF8" w:rsidP="00E51FE7">
            <w:pPr>
              <w:pStyle w:val="72TabletextTablesTableFigureBoxstyles"/>
            </w:pPr>
            <w:r w:rsidRPr="00C1603D">
              <w:t>The Netherlands</w:t>
            </w:r>
          </w:p>
        </w:tc>
        <w:tc>
          <w:tcPr>
            <w:tcW w:w="0" w:type="auto"/>
            <w:shd w:val="clear" w:color="auto" w:fill="auto"/>
          </w:tcPr>
          <w:p w14:paraId="1E491BD4" w14:textId="6E2B350C" w:rsidR="008B4DF8" w:rsidRPr="00C1603D" w:rsidRDefault="008B4DF8" w:rsidP="00E51FE7">
            <w:pPr>
              <w:pStyle w:val="72TabletextTablesTableFigureBoxstyles"/>
            </w:pPr>
            <w:r w:rsidRPr="00C1603D">
              <w:t xml:space="preserve">Cost-effectiveness analysis of targeted screening for </w:t>
            </w:r>
            <w:r w:rsidR="00DD3AD1" w:rsidRPr="00C1603D">
              <w:t>CD</w:t>
            </w:r>
            <w:r w:rsidRPr="00C1603D">
              <w:t xml:space="preserve"> among </w:t>
            </w:r>
            <w:r w:rsidR="00C82170" w:rsidRPr="00C1603D">
              <w:t>IBS</w:t>
            </w:r>
            <w:r w:rsidRPr="00C1603D">
              <w:t xml:space="preserve"> patients</w:t>
            </w:r>
          </w:p>
        </w:tc>
        <w:tc>
          <w:tcPr>
            <w:tcW w:w="0" w:type="auto"/>
            <w:shd w:val="clear" w:color="auto" w:fill="auto"/>
          </w:tcPr>
          <w:p w14:paraId="75BD4949" w14:textId="3326FF58" w:rsidR="008B4DF8" w:rsidRPr="00C1603D" w:rsidRDefault="00941640" w:rsidP="00E51FE7">
            <w:pPr>
              <w:pStyle w:val="72TabletextTablesTableFigureBoxstyles"/>
            </w:pPr>
            <w:r w:rsidRPr="00C1603D">
              <w:t xml:space="preserve">Serological </w:t>
            </w:r>
            <w:r w:rsidR="008B4DF8" w:rsidRPr="00C1603D">
              <w:t>screening (tTG and IgA) and biopsy after positive serology</w:t>
            </w:r>
          </w:p>
        </w:tc>
        <w:tc>
          <w:tcPr>
            <w:tcW w:w="0" w:type="auto"/>
            <w:shd w:val="clear" w:color="auto" w:fill="auto"/>
          </w:tcPr>
          <w:p w14:paraId="79B17B57" w14:textId="06794BA2" w:rsidR="008B4DF8" w:rsidRPr="00C1603D" w:rsidRDefault="00941640" w:rsidP="00E51FE7">
            <w:pPr>
              <w:pStyle w:val="72TabletextTablesTableFigureBoxstyles"/>
            </w:pPr>
            <w:r w:rsidRPr="00C1603D">
              <w:t xml:space="preserve">No </w:t>
            </w:r>
            <w:r w:rsidR="008B4DF8" w:rsidRPr="00C1603D">
              <w:t>screening</w:t>
            </w:r>
          </w:p>
        </w:tc>
        <w:tc>
          <w:tcPr>
            <w:tcW w:w="0" w:type="auto"/>
            <w:shd w:val="clear" w:color="auto" w:fill="auto"/>
          </w:tcPr>
          <w:p w14:paraId="28D5A255" w14:textId="671B354C" w:rsidR="008B4DF8" w:rsidRPr="00C1603D" w:rsidRDefault="008B4DF8" w:rsidP="00E51FE7">
            <w:pPr>
              <w:pStyle w:val="72TabletextTablesTableFigureBoxstyles"/>
            </w:pPr>
            <w:r w:rsidRPr="00C1603D">
              <w:t>IBS patients in the Netherlands (</w:t>
            </w:r>
            <w:r w:rsidR="00941640" w:rsidRPr="00C1603D">
              <w:t xml:space="preserve">aged </w:t>
            </w:r>
            <w:r w:rsidRPr="00C1603D">
              <w:t>34 years)</w:t>
            </w:r>
          </w:p>
        </w:tc>
        <w:tc>
          <w:tcPr>
            <w:tcW w:w="0" w:type="auto"/>
            <w:shd w:val="clear" w:color="auto" w:fill="auto"/>
          </w:tcPr>
          <w:p w14:paraId="26C155BF" w14:textId="23D93809" w:rsidR="008B4DF8" w:rsidRPr="00C1603D" w:rsidRDefault="00941640" w:rsidP="00E51FE7">
            <w:pPr>
              <w:pStyle w:val="72TabletextTablesTableFigureBoxstyles"/>
            </w:pPr>
            <w:r w:rsidRPr="00C1603D">
              <w:t xml:space="preserve">Decision </w:t>
            </w:r>
            <w:r w:rsidR="008B4DF8" w:rsidRPr="00C1603D">
              <w:t>tree</w:t>
            </w:r>
          </w:p>
        </w:tc>
        <w:tc>
          <w:tcPr>
            <w:tcW w:w="0" w:type="auto"/>
            <w:shd w:val="clear" w:color="auto" w:fill="auto"/>
          </w:tcPr>
          <w:p w14:paraId="62034312" w14:textId="35E1865D" w:rsidR="008B4DF8" w:rsidRPr="00C1603D" w:rsidRDefault="00941640" w:rsidP="00E51FE7">
            <w:pPr>
              <w:pStyle w:val="72TabletextTablesTableFigureBoxstyles"/>
            </w:pPr>
            <w:r w:rsidRPr="00C1603D">
              <w:t xml:space="preserve">Two </w:t>
            </w:r>
            <w:r w:rsidR="008B4DF8" w:rsidRPr="00C1603D">
              <w:t xml:space="preserve">decision options: no screening </w:t>
            </w:r>
            <w:r w:rsidRPr="00C1603D">
              <w:t>and</w:t>
            </w:r>
            <w:r w:rsidR="008B4DF8" w:rsidRPr="00C1603D">
              <w:t xml:space="preserve"> screening</w:t>
            </w:r>
            <w:r w:rsidRPr="00C1603D">
              <w:t>.</w:t>
            </w:r>
            <w:r w:rsidR="008B4DF8" w:rsidRPr="00C1603D">
              <w:t xml:space="preserve"> </w:t>
            </w:r>
            <w:r w:rsidRPr="00C1603D">
              <w:t>O</w:t>
            </w:r>
            <w:r w:rsidR="008B4DF8" w:rsidRPr="00C1603D">
              <w:t>n the no-screening intervention</w:t>
            </w:r>
            <w:r w:rsidRPr="00C1603D">
              <w:t>,</w:t>
            </w:r>
            <w:r w:rsidR="008B4DF8" w:rsidRPr="00C1603D">
              <w:t xml:space="preserve"> patients may have IBS or CD. The intervention arm classifies patients by test results first and not by prevalence. Test results, if positive, are confirmed by biopsy. Discount rates: 1.5% for utilities and 4% for costs, net present value calculated for all future costs</w:t>
            </w:r>
          </w:p>
        </w:tc>
        <w:tc>
          <w:tcPr>
            <w:tcW w:w="0" w:type="auto"/>
            <w:shd w:val="clear" w:color="auto" w:fill="auto"/>
          </w:tcPr>
          <w:p w14:paraId="3230FCB4" w14:textId="36D579DD" w:rsidR="008B4DF8" w:rsidRPr="00C1603D" w:rsidRDefault="00941640" w:rsidP="00E51FE7">
            <w:pPr>
              <w:pStyle w:val="72TabletextTablesTableFigureBoxstyles"/>
            </w:pPr>
            <w:r w:rsidRPr="00C1603D">
              <w:t>Lifetime</w:t>
            </w:r>
          </w:p>
        </w:tc>
        <w:tc>
          <w:tcPr>
            <w:tcW w:w="0" w:type="auto"/>
            <w:shd w:val="clear" w:color="auto" w:fill="auto"/>
          </w:tcPr>
          <w:p w14:paraId="1C5B6633" w14:textId="11579D58" w:rsidR="008B4DF8" w:rsidRPr="00C1603D" w:rsidRDefault="00941640" w:rsidP="00E51FE7">
            <w:pPr>
              <w:pStyle w:val="72TabletextTablesTableFigureBoxstyles"/>
            </w:pPr>
            <w:r w:rsidRPr="00C1603D">
              <w:t xml:space="preserve">Utility </w:t>
            </w:r>
            <w:r w:rsidR="008B4DF8" w:rsidRPr="00C1603D">
              <w:t>on a GFD</w:t>
            </w:r>
            <w:r w:rsidRPr="00C1603D">
              <w:t>:</w:t>
            </w:r>
            <w:r w:rsidR="008B4DF8" w:rsidRPr="00C1603D">
              <w:t xml:space="preserve"> 0.98 </w:t>
            </w:r>
            <w:r w:rsidRPr="00C1603D">
              <w:t>(</w:t>
            </w:r>
            <w:r w:rsidR="008B4DF8" w:rsidRPr="00C1603D">
              <w:t>based on S</w:t>
            </w:r>
            <w:r w:rsidR="008B4DF8" w:rsidRPr="00C1603D">
              <w:rPr>
                <w:color w:val="00B0F0"/>
              </w:rPr>
              <w:t>F-3</w:t>
            </w:r>
            <w:r w:rsidR="008B4DF8" w:rsidRPr="00C1603D">
              <w:t>6 scores); utility of IBS</w:t>
            </w:r>
            <w:r w:rsidRPr="00C1603D">
              <w:t>:</w:t>
            </w:r>
            <w:r w:rsidR="008B4DF8" w:rsidRPr="00C1603D">
              <w:t xml:space="preserve"> 0.76</w:t>
            </w:r>
          </w:p>
        </w:tc>
        <w:tc>
          <w:tcPr>
            <w:tcW w:w="0" w:type="auto"/>
            <w:shd w:val="clear" w:color="auto" w:fill="auto"/>
          </w:tcPr>
          <w:p w14:paraId="796C8013" w14:textId="0F0C67F2" w:rsidR="008B4DF8" w:rsidRPr="00C1603D" w:rsidRDefault="008B4DF8" w:rsidP="00E51FE7">
            <w:pPr>
              <w:pStyle w:val="72TabletextTablesTableFigureBoxstyles"/>
            </w:pPr>
            <w:r w:rsidRPr="00C1603D">
              <w:t xml:space="preserve">Mass screening of young adults is cost-effective provided we assume that the utility of treated CD on a GFD is </w:t>
            </w:r>
            <w:r w:rsidR="00941640" w:rsidRPr="00C1603D">
              <w:t>&gt; </w:t>
            </w:r>
            <w:r w:rsidRPr="00C1603D">
              <w:t xml:space="preserve">0.978. What drives the ICER: the time delay from symptom onset to diagnosis, the utility of adherence to a GFD, utility of treated CD and the prevalence of CD. Screening would be cost-effective if the time delay to diagnosis is </w:t>
            </w:r>
            <w:r w:rsidR="00E34CE7" w:rsidRPr="00C1603D">
              <w:t>&gt; </w:t>
            </w:r>
            <w:r w:rsidRPr="00C1603D">
              <w:t xml:space="preserve">6 years and utility of GFD adherence is </w:t>
            </w:r>
            <w:r w:rsidR="00E34CE7" w:rsidRPr="00C1603D">
              <w:t>&gt; </w:t>
            </w:r>
            <w:r w:rsidRPr="00C1603D">
              <w:t>0.978</w:t>
            </w:r>
          </w:p>
        </w:tc>
      </w:tr>
      <w:tr w:rsidR="00FC0FE4" w:rsidRPr="00C1603D" w14:paraId="29ACBABD" w14:textId="77777777" w:rsidTr="00E51FE7">
        <w:trPr>
          <w:cantSplit/>
        </w:trPr>
        <w:tc>
          <w:tcPr>
            <w:tcW w:w="0" w:type="auto"/>
            <w:shd w:val="clear" w:color="auto" w:fill="auto"/>
          </w:tcPr>
          <w:p w14:paraId="3AB652C3" w14:textId="4C4F9621" w:rsidR="008B4DF8" w:rsidRPr="00C1603D" w:rsidRDefault="008B4DF8" w:rsidP="00E51FE7">
            <w:pPr>
              <w:pStyle w:val="72TabletextTablesTableFigureBoxstyles"/>
            </w:pPr>
            <w:r w:rsidRPr="00C1603D">
              <w:lastRenderedPageBreak/>
              <w:t>Park</w:t>
            </w:r>
            <w:r w:rsidRPr="00C1603D">
              <w:rPr>
                <w:i/>
                <w:color w:val="00B0F0"/>
              </w:rPr>
              <w:t xml:space="preserve"> et al</w:t>
            </w:r>
            <w:r w:rsidRPr="00C1603D">
              <w:t>.</w:t>
            </w:r>
            <w:r w:rsidR="002C039B" w:rsidRPr="00C1603D">
              <w:rPr>
                <w:vertAlign w:val="superscript"/>
              </w:rPr>
              <w:t>208</w:t>
            </w:r>
            <w:r w:rsidRPr="00C1603D">
              <w:t xml:space="preserve"> 2013</w:t>
            </w:r>
          </w:p>
        </w:tc>
        <w:tc>
          <w:tcPr>
            <w:tcW w:w="0" w:type="auto"/>
            <w:shd w:val="clear" w:color="auto" w:fill="auto"/>
          </w:tcPr>
          <w:p w14:paraId="7F91C7EC" w14:textId="77777777" w:rsidR="008B4DF8" w:rsidRPr="00C1603D" w:rsidRDefault="008B4DF8" w:rsidP="00E51FE7">
            <w:pPr>
              <w:pStyle w:val="72TabletextTablesTableFigureBoxstyles"/>
            </w:pPr>
            <w:r w:rsidRPr="00C1603D">
              <w:t>USA</w:t>
            </w:r>
          </w:p>
        </w:tc>
        <w:tc>
          <w:tcPr>
            <w:tcW w:w="0" w:type="auto"/>
            <w:shd w:val="clear" w:color="auto" w:fill="auto"/>
          </w:tcPr>
          <w:p w14:paraId="16AF94B5" w14:textId="177AC9DC" w:rsidR="008B4DF8" w:rsidRPr="00C1603D" w:rsidRDefault="008B4DF8" w:rsidP="00E51FE7">
            <w:pPr>
              <w:pStyle w:val="72TabletextTablesTableFigureBoxstyles"/>
            </w:pPr>
            <w:r w:rsidRPr="00C1603D">
              <w:t xml:space="preserve">To determine the cost-effectiveness of universal </w:t>
            </w:r>
            <w:r w:rsidRPr="00C1603D">
              <w:rPr>
                <w:color w:val="00B0F0"/>
              </w:rPr>
              <w:t>serological</w:t>
            </w:r>
            <w:r w:rsidRPr="00C1603D">
              <w:t xml:space="preserve"> screening to prevent non</w:t>
            </w:r>
            <w:r w:rsidR="00E34CE7" w:rsidRPr="00C1603D">
              <w:t>-</w:t>
            </w:r>
            <w:r w:rsidRPr="00C1603D">
              <w:t xml:space="preserve">traumatic hip and vertebral fractures </w:t>
            </w:r>
            <w:r w:rsidR="00E34CE7" w:rsidRPr="00C1603D">
              <w:t>among</w:t>
            </w:r>
            <w:r w:rsidRPr="00C1603D">
              <w:t xml:space="preserve"> patients with CD</w:t>
            </w:r>
          </w:p>
        </w:tc>
        <w:tc>
          <w:tcPr>
            <w:tcW w:w="0" w:type="auto"/>
            <w:shd w:val="clear" w:color="auto" w:fill="auto"/>
          </w:tcPr>
          <w:p w14:paraId="68E8B3DA" w14:textId="4EF06A14" w:rsidR="008B4DF8" w:rsidRPr="00C1603D" w:rsidRDefault="00E34CE7" w:rsidP="00E51FE7">
            <w:pPr>
              <w:pStyle w:val="72TabletextTablesTableFigureBoxstyles"/>
            </w:pPr>
            <w:r w:rsidRPr="00C1603D">
              <w:t xml:space="preserve">Universal </w:t>
            </w:r>
            <w:r w:rsidR="008B4DF8" w:rsidRPr="00C1603D">
              <w:t>serological screening (followed by biopsy)</w:t>
            </w:r>
          </w:p>
        </w:tc>
        <w:tc>
          <w:tcPr>
            <w:tcW w:w="0" w:type="auto"/>
            <w:shd w:val="clear" w:color="auto" w:fill="auto"/>
          </w:tcPr>
          <w:p w14:paraId="424892B4" w14:textId="5BA5EE9B" w:rsidR="008B4DF8" w:rsidRPr="00C1603D" w:rsidRDefault="00E34CE7" w:rsidP="00E51FE7">
            <w:pPr>
              <w:pStyle w:val="72TabletextTablesTableFigureBoxstyles"/>
            </w:pPr>
            <w:r w:rsidRPr="00C1603D">
              <w:t xml:space="preserve">Standard </w:t>
            </w:r>
            <w:r w:rsidR="008B4DF8" w:rsidRPr="00C1603D">
              <w:t>care (screening only symptomatic or at-risk patients)</w:t>
            </w:r>
          </w:p>
        </w:tc>
        <w:tc>
          <w:tcPr>
            <w:tcW w:w="0" w:type="auto"/>
            <w:shd w:val="clear" w:color="auto" w:fill="auto"/>
          </w:tcPr>
          <w:p w14:paraId="7530DB6E" w14:textId="0391883D" w:rsidR="008B4DF8" w:rsidRPr="00C1603D" w:rsidRDefault="00E34CE7" w:rsidP="00E51FE7">
            <w:pPr>
              <w:pStyle w:val="72TabletextTablesTableFigureBoxstyles"/>
            </w:pPr>
            <w:r w:rsidRPr="00C1603D">
              <w:t xml:space="preserve">Patients aged </w:t>
            </w:r>
            <w:r w:rsidR="008B4DF8" w:rsidRPr="00C1603D">
              <w:t>12 years</w:t>
            </w:r>
          </w:p>
        </w:tc>
        <w:tc>
          <w:tcPr>
            <w:tcW w:w="0" w:type="auto"/>
            <w:shd w:val="clear" w:color="auto" w:fill="auto"/>
          </w:tcPr>
          <w:p w14:paraId="6E5EF535" w14:textId="77777777" w:rsidR="008B4DF8" w:rsidRPr="00C1603D" w:rsidRDefault="008B4DF8" w:rsidP="00E51FE7">
            <w:pPr>
              <w:pStyle w:val="72TabletextTablesTableFigureBoxstyles"/>
            </w:pPr>
            <w:r w:rsidRPr="00C1603D">
              <w:t>Markov</w:t>
            </w:r>
          </w:p>
        </w:tc>
        <w:tc>
          <w:tcPr>
            <w:tcW w:w="0" w:type="auto"/>
            <w:shd w:val="clear" w:color="auto" w:fill="auto"/>
          </w:tcPr>
          <w:p w14:paraId="4BF1E1F9" w14:textId="5865EAB2" w:rsidR="008B4DF8" w:rsidRPr="00C1603D" w:rsidRDefault="00E34CE7" w:rsidP="00E51FE7">
            <w:pPr>
              <w:pStyle w:val="72TabletextTablesTableFigureBoxstyles"/>
            </w:pPr>
            <w:r w:rsidRPr="00C1603D">
              <w:t xml:space="preserve">Health </w:t>
            </w:r>
            <w:r w:rsidR="008B4DF8" w:rsidRPr="00C1603D">
              <w:t>states: CD, non-CD, fracture, disability, CD on GFD</w:t>
            </w:r>
            <w:r w:rsidRPr="00C1603D">
              <w:t>.</w:t>
            </w:r>
            <w:r w:rsidR="008B4DF8" w:rsidRPr="00C1603D">
              <w:t xml:space="preserve"> </w:t>
            </w:r>
            <w:r w:rsidRPr="00C1603D">
              <w:t>M</w:t>
            </w:r>
            <w:r w:rsidR="008B4DF8" w:rsidRPr="00C1603D">
              <w:t>odelled males and females separately; different health states for the two interventions; 3% discount for costs and benefits, 1-year cycle</w:t>
            </w:r>
          </w:p>
        </w:tc>
        <w:tc>
          <w:tcPr>
            <w:tcW w:w="0" w:type="auto"/>
            <w:shd w:val="clear" w:color="auto" w:fill="auto"/>
          </w:tcPr>
          <w:p w14:paraId="1976E0B4" w14:textId="15CFA461" w:rsidR="008B4DF8" w:rsidRPr="00C1603D" w:rsidRDefault="00E34CE7" w:rsidP="00E51FE7">
            <w:pPr>
              <w:pStyle w:val="72TabletextTablesTableFigureBoxstyles"/>
            </w:pPr>
            <w:r w:rsidRPr="00C1603D">
              <w:t>Lifetime</w:t>
            </w:r>
          </w:p>
        </w:tc>
        <w:tc>
          <w:tcPr>
            <w:tcW w:w="0" w:type="auto"/>
            <w:shd w:val="clear" w:color="auto" w:fill="auto"/>
          </w:tcPr>
          <w:p w14:paraId="00972BAB" w14:textId="59E1CF84" w:rsidR="008B4DF8" w:rsidRPr="00C1603D" w:rsidRDefault="008B4DF8" w:rsidP="009149F6">
            <w:pPr>
              <w:pStyle w:val="722TablebulletlistTablesTableFigureBoxstyles"/>
            </w:pPr>
            <w:commentRangeStart w:id="725"/>
            <w:r w:rsidRPr="00C1603D">
              <w:t>Utility of hip fracture (0.9) based on Jönsson 1995</w:t>
            </w:r>
          </w:p>
          <w:p w14:paraId="4272DD2B" w14:textId="1BE2F6ED" w:rsidR="008B4DF8" w:rsidRPr="00C1603D" w:rsidRDefault="008B4DF8" w:rsidP="009149F6">
            <w:pPr>
              <w:pStyle w:val="722TablebulletlistTablesTableFigureBoxstyles"/>
            </w:pPr>
            <w:r w:rsidRPr="00C1603D">
              <w:t>Utility of vertebral fracture (0.9) based on Oleksik 2000</w:t>
            </w:r>
            <w:commentRangeEnd w:id="725"/>
            <w:r w:rsidR="009149F6" w:rsidRPr="00C1603D">
              <w:rPr>
                <w:rFonts w:ascii="Times New Roman" w:hAnsi="Times New Roman" w:cs="Times New Roman"/>
                <w:color w:val="auto"/>
                <w:lang w:val="en-US"/>
              </w:rPr>
              <w:commentReference w:id="725"/>
            </w:r>
          </w:p>
        </w:tc>
        <w:tc>
          <w:tcPr>
            <w:tcW w:w="0" w:type="auto"/>
            <w:shd w:val="clear" w:color="auto" w:fill="auto"/>
          </w:tcPr>
          <w:p w14:paraId="4B9B8E3E" w14:textId="39991463" w:rsidR="008B4DF8" w:rsidRPr="00C1603D" w:rsidRDefault="008B4DF8" w:rsidP="00E51FE7">
            <w:pPr>
              <w:pStyle w:val="72TabletextTablesTableFigureBoxstyles"/>
            </w:pPr>
            <w:r w:rsidRPr="00C1603D">
              <w:t>Standard care dominates the intervention. The intervention costs 59.66 more for males and 54.99 more for females</w:t>
            </w:r>
            <w:r w:rsidR="004F134F" w:rsidRPr="00C1603D">
              <w:t xml:space="preserve"> than standard care</w:t>
            </w:r>
            <w:r w:rsidRPr="00C1603D">
              <w:t xml:space="preserve">, and it is associated with a QALY loss of </w:t>
            </w:r>
            <w:r w:rsidRPr="00C1603D">
              <w:rPr>
                <w:color w:val="00B0F0"/>
              </w:rPr>
              <w:t>–0</w:t>
            </w:r>
            <w:r w:rsidRPr="00C1603D">
              <w:t>.005 for males</w:t>
            </w:r>
            <w:r w:rsidRPr="00C1603D">
              <w:rPr>
                <w:color w:val="00B0F0"/>
              </w:rPr>
              <w:t xml:space="preserve"> and </w:t>
            </w:r>
            <w:r w:rsidR="004F134F" w:rsidRPr="00C1603D">
              <w:rPr>
                <w:color w:val="00B0F0"/>
              </w:rPr>
              <w:t>–</w:t>
            </w:r>
            <w:r w:rsidRPr="00C1603D">
              <w:rPr>
                <w:color w:val="00B0F0"/>
              </w:rPr>
              <w:t>0</w:t>
            </w:r>
            <w:r w:rsidRPr="00C1603D">
              <w:t>.01 for females. Results are robust and the DSA did not affect the ICER</w:t>
            </w:r>
          </w:p>
        </w:tc>
      </w:tr>
      <w:tr w:rsidR="00FC0FE4" w:rsidRPr="00C1603D" w14:paraId="72FD28C9" w14:textId="77777777" w:rsidTr="00E51FE7">
        <w:trPr>
          <w:cantSplit/>
        </w:trPr>
        <w:tc>
          <w:tcPr>
            <w:tcW w:w="0" w:type="auto"/>
            <w:shd w:val="clear" w:color="auto" w:fill="auto"/>
          </w:tcPr>
          <w:p w14:paraId="6284B2CF" w14:textId="2D8D58E5" w:rsidR="008B4DF8" w:rsidRPr="00C1603D" w:rsidRDefault="008B4DF8" w:rsidP="00E51FE7">
            <w:pPr>
              <w:pStyle w:val="72TabletextTablesTableFigureBoxstyles"/>
            </w:pPr>
            <w:r w:rsidRPr="00C1603D">
              <w:lastRenderedPageBreak/>
              <w:t>Yang</w:t>
            </w:r>
            <w:r w:rsidRPr="00C1603D">
              <w:rPr>
                <w:i/>
                <w:color w:val="00B0F0"/>
              </w:rPr>
              <w:t xml:space="preserve"> et al</w:t>
            </w:r>
            <w:r w:rsidRPr="00C1603D">
              <w:t>.</w:t>
            </w:r>
            <w:r w:rsidR="002C039B" w:rsidRPr="00C1603D">
              <w:rPr>
                <w:vertAlign w:val="superscript"/>
              </w:rPr>
              <w:t>209</w:t>
            </w:r>
            <w:r w:rsidRPr="00C1603D">
              <w:t xml:space="preserve"> 2015</w:t>
            </w:r>
          </w:p>
        </w:tc>
        <w:tc>
          <w:tcPr>
            <w:tcW w:w="0" w:type="auto"/>
            <w:shd w:val="clear" w:color="auto" w:fill="auto"/>
          </w:tcPr>
          <w:p w14:paraId="17CC9A59" w14:textId="77777777" w:rsidR="008B4DF8" w:rsidRPr="00C1603D" w:rsidRDefault="008B4DF8" w:rsidP="00E51FE7">
            <w:pPr>
              <w:pStyle w:val="72TabletextTablesTableFigureBoxstyles"/>
            </w:pPr>
            <w:r w:rsidRPr="00C1603D">
              <w:t>USA</w:t>
            </w:r>
          </w:p>
        </w:tc>
        <w:tc>
          <w:tcPr>
            <w:tcW w:w="0" w:type="auto"/>
            <w:shd w:val="clear" w:color="auto" w:fill="auto"/>
          </w:tcPr>
          <w:p w14:paraId="1F4A186F" w14:textId="77777777" w:rsidR="008B4DF8" w:rsidRPr="00C1603D" w:rsidRDefault="008B4DF8" w:rsidP="00E51FE7">
            <w:pPr>
              <w:pStyle w:val="72TabletextTablesTableFigureBoxstyles"/>
            </w:pPr>
            <w:r w:rsidRPr="00C1603D">
              <w:t xml:space="preserve">Cost-effectiveness of routine duodenal biopsy for CD during endoscopy for </w:t>
            </w:r>
            <w:r w:rsidRPr="00C1603D">
              <w:rPr>
                <w:color w:val="00B0F0"/>
              </w:rPr>
              <w:t>gastro-oesophageal</w:t>
            </w:r>
            <w:r w:rsidRPr="00C1603D">
              <w:t xml:space="preserve"> reflux</w:t>
            </w:r>
          </w:p>
        </w:tc>
        <w:tc>
          <w:tcPr>
            <w:tcW w:w="0" w:type="auto"/>
            <w:shd w:val="clear" w:color="auto" w:fill="auto"/>
          </w:tcPr>
          <w:p w14:paraId="78981477" w14:textId="78E695AD" w:rsidR="008B4DF8" w:rsidRPr="00C1603D" w:rsidRDefault="008B4DF8" w:rsidP="00E51FE7">
            <w:pPr>
              <w:pStyle w:val="72TabletextTablesTableFigureBoxstyles"/>
            </w:pPr>
            <w:r w:rsidRPr="00C1603D">
              <w:t xml:space="preserve">Performing a duodenal biopsy to detect CD during an </w:t>
            </w:r>
            <w:r w:rsidR="00267212" w:rsidRPr="00C1603D">
              <w:t>OGD</w:t>
            </w:r>
            <w:r w:rsidRPr="00C1603D">
              <w:t xml:space="preserve"> for </w:t>
            </w:r>
            <w:r w:rsidR="00267212" w:rsidRPr="00C1603D">
              <w:t>GORD</w:t>
            </w:r>
          </w:p>
        </w:tc>
        <w:tc>
          <w:tcPr>
            <w:tcW w:w="0" w:type="auto"/>
            <w:shd w:val="clear" w:color="auto" w:fill="auto"/>
          </w:tcPr>
          <w:p w14:paraId="7D5617A2" w14:textId="5F95B09A" w:rsidR="008B4DF8" w:rsidRPr="00C1603D" w:rsidRDefault="008B4DF8" w:rsidP="00E51FE7">
            <w:pPr>
              <w:pStyle w:val="72TabletextTablesTableFigureBoxstyles"/>
            </w:pPr>
            <w:r w:rsidRPr="00C1603D">
              <w:t xml:space="preserve">No biopsy for patients undergoing </w:t>
            </w:r>
            <w:r w:rsidR="00267212" w:rsidRPr="00C1603D">
              <w:t>OGD</w:t>
            </w:r>
            <w:r w:rsidRPr="00C1603D">
              <w:t xml:space="preserve"> to detect CD</w:t>
            </w:r>
          </w:p>
        </w:tc>
        <w:tc>
          <w:tcPr>
            <w:tcW w:w="0" w:type="auto"/>
            <w:shd w:val="clear" w:color="auto" w:fill="auto"/>
          </w:tcPr>
          <w:p w14:paraId="6AD58C2C" w14:textId="51BDF32A" w:rsidR="008B4DF8" w:rsidRPr="00C1603D" w:rsidRDefault="008108A9" w:rsidP="00E51FE7">
            <w:pPr>
              <w:pStyle w:val="72TabletextTablesTableFigureBoxstyles"/>
            </w:pPr>
            <w:r w:rsidRPr="00C1603D">
              <w:t xml:space="preserve">Patients </w:t>
            </w:r>
            <w:r w:rsidR="008B4DF8" w:rsidRPr="00C1603D">
              <w:t xml:space="preserve">with </w:t>
            </w:r>
            <w:r w:rsidR="00267212" w:rsidRPr="00C1603D">
              <w:t>GORD</w:t>
            </w:r>
            <w:r w:rsidR="008B4DF8" w:rsidRPr="00C1603D">
              <w:t xml:space="preserve"> (</w:t>
            </w:r>
            <w:r w:rsidRPr="00C1603D">
              <w:t xml:space="preserve">aged </w:t>
            </w:r>
            <w:r w:rsidR="008B4DF8" w:rsidRPr="00C1603D">
              <w:t>40 years)</w:t>
            </w:r>
          </w:p>
        </w:tc>
        <w:tc>
          <w:tcPr>
            <w:tcW w:w="0" w:type="auto"/>
            <w:shd w:val="clear" w:color="auto" w:fill="auto"/>
          </w:tcPr>
          <w:p w14:paraId="1D6F6A99" w14:textId="036F05D5" w:rsidR="008B4DF8" w:rsidRPr="00C1603D" w:rsidRDefault="008108A9" w:rsidP="00E51FE7">
            <w:pPr>
              <w:pStyle w:val="72TabletextTablesTableFigureBoxstyles"/>
            </w:pPr>
            <w:r w:rsidRPr="00C1603D">
              <w:t xml:space="preserve">Decision </w:t>
            </w:r>
            <w:r w:rsidR="008B4DF8" w:rsidRPr="00C1603D">
              <w:t>tree</w:t>
            </w:r>
          </w:p>
        </w:tc>
        <w:tc>
          <w:tcPr>
            <w:tcW w:w="0" w:type="auto"/>
            <w:shd w:val="clear" w:color="auto" w:fill="auto"/>
          </w:tcPr>
          <w:p w14:paraId="565937BD" w14:textId="16EA6111" w:rsidR="008B4DF8" w:rsidRPr="00C1603D" w:rsidRDefault="008108A9" w:rsidP="00E51FE7">
            <w:pPr>
              <w:pStyle w:val="72TabletextTablesTableFigureBoxstyles"/>
            </w:pPr>
            <w:r w:rsidRPr="00C1603D">
              <w:t xml:space="preserve">Two </w:t>
            </w:r>
            <w:r w:rsidR="008B4DF8" w:rsidRPr="00C1603D">
              <w:t xml:space="preserve">strategies considered (biopsy vs. non-biopsy): patients who already </w:t>
            </w:r>
            <w:r w:rsidR="004C2385" w:rsidRPr="00C1603D">
              <w:t>undertake</w:t>
            </w:r>
            <w:r w:rsidR="008B4DF8" w:rsidRPr="00C1603D">
              <w:t xml:space="preserve"> an </w:t>
            </w:r>
            <w:r w:rsidR="00267212" w:rsidRPr="00C1603D">
              <w:t>OGD</w:t>
            </w:r>
            <w:r w:rsidR="008B4DF8" w:rsidRPr="00C1603D">
              <w:t xml:space="preserve"> for </w:t>
            </w:r>
            <w:r w:rsidR="00267212" w:rsidRPr="00C1603D">
              <w:t>GORD</w:t>
            </w:r>
            <w:r w:rsidR="008B4DF8" w:rsidRPr="00C1603D">
              <w:t xml:space="preserve"> could either be tested for CD (biopsy) or not tested. Adherence to GFD and whether</w:t>
            </w:r>
            <w:r w:rsidRPr="00C1603D">
              <w:t xml:space="preserve"> or not</w:t>
            </w:r>
            <w:r w:rsidR="008B4DF8" w:rsidRPr="00C1603D">
              <w:t xml:space="preserve"> symptoms of </w:t>
            </w:r>
            <w:r w:rsidR="00267212" w:rsidRPr="00C1603D">
              <w:t>GORD</w:t>
            </w:r>
            <w:r w:rsidR="008B4DF8" w:rsidRPr="00C1603D">
              <w:t xml:space="preserve"> improve are also modelled. Costs and effects discounted at 3%</w:t>
            </w:r>
          </w:p>
        </w:tc>
        <w:tc>
          <w:tcPr>
            <w:tcW w:w="0" w:type="auto"/>
            <w:shd w:val="clear" w:color="auto" w:fill="auto"/>
          </w:tcPr>
          <w:p w14:paraId="37BC246E" w14:textId="5C53122C" w:rsidR="008B4DF8" w:rsidRPr="00C1603D" w:rsidRDefault="008108A9" w:rsidP="00E51FE7">
            <w:pPr>
              <w:pStyle w:val="72TabletextTablesTableFigureBoxstyles"/>
            </w:pPr>
            <w:r w:rsidRPr="00C1603D">
              <w:t>Lifetime</w:t>
            </w:r>
          </w:p>
        </w:tc>
        <w:tc>
          <w:tcPr>
            <w:tcW w:w="0" w:type="auto"/>
            <w:shd w:val="clear" w:color="auto" w:fill="auto"/>
          </w:tcPr>
          <w:p w14:paraId="47CE5079" w14:textId="5934F5C3" w:rsidR="008B4DF8" w:rsidRPr="00C1603D" w:rsidRDefault="008B4DF8" w:rsidP="00E51FE7">
            <w:pPr>
              <w:pStyle w:val="72TabletextTablesTableFigureBoxstyles"/>
            </w:pPr>
            <w:r w:rsidRPr="00C1603D">
              <w:t xml:space="preserve">Utilities included </w:t>
            </w:r>
            <w:r w:rsidR="00267212" w:rsidRPr="00C1603D">
              <w:t>GORD</w:t>
            </w:r>
            <w:r w:rsidRPr="00C1603D">
              <w:t xml:space="preserve"> (0.94)</w:t>
            </w:r>
            <w:r w:rsidR="008108A9" w:rsidRPr="00C1603D">
              <w:t xml:space="preserve"> and</w:t>
            </w:r>
            <w:r w:rsidRPr="00C1603D">
              <w:t xml:space="preserve"> CD on GFD (0.98)</w:t>
            </w:r>
          </w:p>
        </w:tc>
        <w:tc>
          <w:tcPr>
            <w:tcW w:w="0" w:type="auto"/>
            <w:shd w:val="clear" w:color="auto" w:fill="auto"/>
          </w:tcPr>
          <w:p w14:paraId="50F21ADB" w14:textId="566E128A" w:rsidR="008B4DF8" w:rsidRPr="00C1603D" w:rsidRDefault="008B4DF8" w:rsidP="00E51FE7">
            <w:pPr>
              <w:pStyle w:val="72TabletextTablesTableFigureBoxstyles"/>
            </w:pPr>
            <w:r w:rsidRPr="00C1603D">
              <w:t xml:space="preserve">Performing biopsy to detect CD </w:t>
            </w:r>
            <w:r w:rsidR="008108A9" w:rsidRPr="00C1603D">
              <w:t>among</w:t>
            </w:r>
            <w:r w:rsidRPr="00C1603D">
              <w:t xml:space="preserve"> patients with </w:t>
            </w:r>
            <w:r w:rsidR="00267212" w:rsidRPr="00C1603D">
              <w:t>GORD</w:t>
            </w:r>
            <w:r w:rsidRPr="00C1603D">
              <w:t xml:space="preserve"> is not cost-effective. The model results were sensitive to the following variables: utility of </w:t>
            </w:r>
            <w:r w:rsidR="00267212" w:rsidRPr="00C1603D">
              <w:t>GORD</w:t>
            </w:r>
            <w:r w:rsidRPr="00C1603D">
              <w:t xml:space="preserve">, prevalence of CD </w:t>
            </w:r>
            <w:r w:rsidR="008108A9" w:rsidRPr="00C1603D">
              <w:t>among</w:t>
            </w:r>
            <w:r w:rsidRPr="00C1603D">
              <w:t xml:space="preserve"> refractory </w:t>
            </w:r>
            <w:r w:rsidR="00267212" w:rsidRPr="00C1603D">
              <w:t>GORD</w:t>
            </w:r>
            <w:r w:rsidRPr="00C1603D">
              <w:t xml:space="preserve"> patients, specificity of biopsy, cost of GFD and cost of PPI therapy</w:t>
            </w:r>
          </w:p>
        </w:tc>
      </w:tr>
      <w:tr w:rsidR="00FC0FE4" w:rsidRPr="00C1603D" w14:paraId="277886CF" w14:textId="77777777" w:rsidTr="00E51FE7">
        <w:trPr>
          <w:cantSplit/>
        </w:trPr>
        <w:tc>
          <w:tcPr>
            <w:tcW w:w="0" w:type="auto"/>
            <w:shd w:val="clear" w:color="auto" w:fill="auto"/>
          </w:tcPr>
          <w:p w14:paraId="75129011" w14:textId="335C2F02" w:rsidR="008B4DF8" w:rsidRPr="00C1603D" w:rsidRDefault="008B4DF8" w:rsidP="00E51FE7">
            <w:pPr>
              <w:pStyle w:val="72TabletextTablesTableFigureBoxstyles"/>
            </w:pPr>
            <w:r w:rsidRPr="00C1603D">
              <w:lastRenderedPageBreak/>
              <w:t>Broide</w:t>
            </w:r>
            <w:r w:rsidRPr="00C1603D">
              <w:rPr>
                <w:i/>
                <w:color w:val="00B0F0"/>
              </w:rPr>
              <w:t xml:space="preserve"> et al</w:t>
            </w:r>
            <w:r w:rsidRPr="00C1603D">
              <w:t>.</w:t>
            </w:r>
            <w:r w:rsidR="002C039B" w:rsidRPr="00C1603D">
              <w:rPr>
                <w:vertAlign w:val="superscript"/>
              </w:rPr>
              <w:t>210</w:t>
            </w:r>
            <w:r w:rsidRPr="00C1603D">
              <w:t xml:space="preserve"> 2016</w:t>
            </w:r>
          </w:p>
        </w:tc>
        <w:tc>
          <w:tcPr>
            <w:tcW w:w="0" w:type="auto"/>
            <w:shd w:val="clear" w:color="auto" w:fill="auto"/>
          </w:tcPr>
          <w:p w14:paraId="642DCF7D" w14:textId="77777777" w:rsidR="008B4DF8" w:rsidRPr="00C1603D" w:rsidRDefault="008B4DF8" w:rsidP="00E51FE7">
            <w:pPr>
              <w:pStyle w:val="72TabletextTablesTableFigureBoxstyles"/>
            </w:pPr>
            <w:r w:rsidRPr="00C1603D">
              <w:t>USA</w:t>
            </w:r>
          </w:p>
        </w:tc>
        <w:tc>
          <w:tcPr>
            <w:tcW w:w="0" w:type="auto"/>
            <w:shd w:val="clear" w:color="auto" w:fill="auto"/>
          </w:tcPr>
          <w:p w14:paraId="4C7DDD3B" w14:textId="12D62ABA" w:rsidR="008B4DF8" w:rsidRPr="00C1603D" w:rsidRDefault="008B4DF8" w:rsidP="00E51FE7">
            <w:pPr>
              <w:pStyle w:val="72TabletextTablesTableFigureBoxstyles"/>
            </w:pPr>
            <w:r w:rsidRPr="00C1603D">
              <w:t xml:space="preserve">To determine the cost-effectiveness of routine duodenal biopsy to detect CD </w:t>
            </w:r>
            <w:r w:rsidR="00490E51" w:rsidRPr="00C1603D">
              <w:t>among</w:t>
            </w:r>
            <w:r w:rsidRPr="00C1603D">
              <w:t xml:space="preserve"> patients with IDA</w:t>
            </w:r>
          </w:p>
        </w:tc>
        <w:tc>
          <w:tcPr>
            <w:tcW w:w="0" w:type="auto"/>
            <w:shd w:val="clear" w:color="auto" w:fill="auto"/>
          </w:tcPr>
          <w:p w14:paraId="139CECB7" w14:textId="661570EE" w:rsidR="008B4DF8" w:rsidRPr="00C1603D" w:rsidRDefault="008B4DF8" w:rsidP="00E51FE7">
            <w:pPr>
              <w:pStyle w:val="72TabletextTablesTableFigureBoxstyles"/>
            </w:pPr>
            <w:r w:rsidRPr="00C1603D">
              <w:t xml:space="preserve">Performing a duodenal biopsy during an </w:t>
            </w:r>
            <w:r w:rsidR="00267212" w:rsidRPr="00C1603D">
              <w:t>OGD</w:t>
            </w:r>
            <w:r w:rsidRPr="00C1603D">
              <w:t xml:space="preserve"> </w:t>
            </w:r>
            <w:r w:rsidR="0042185C" w:rsidRPr="00C1603D">
              <w:t>among</w:t>
            </w:r>
            <w:r w:rsidRPr="00C1603D">
              <w:t xml:space="preserve"> all patients with IDA, irrespective of serology CD result (even if CD results are negative)</w:t>
            </w:r>
          </w:p>
        </w:tc>
        <w:tc>
          <w:tcPr>
            <w:tcW w:w="0" w:type="auto"/>
            <w:shd w:val="clear" w:color="auto" w:fill="auto"/>
          </w:tcPr>
          <w:p w14:paraId="0631D883" w14:textId="77777777" w:rsidR="008B4DF8" w:rsidRPr="00C1603D" w:rsidRDefault="008B4DF8" w:rsidP="00E51FE7">
            <w:pPr>
              <w:pStyle w:val="72TabletextTablesTableFigureBoxstyles"/>
            </w:pPr>
            <w:r w:rsidRPr="00C1603D">
              <w:t>Biopsy only in IDA patients with positive serology for CD</w:t>
            </w:r>
          </w:p>
        </w:tc>
        <w:tc>
          <w:tcPr>
            <w:tcW w:w="0" w:type="auto"/>
            <w:shd w:val="clear" w:color="auto" w:fill="auto"/>
          </w:tcPr>
          <w:p w14:paraId="414BDDA0" w14:textId="38571084" w:rsidR="008B4DF8" w:rsidRPr="00C1603D" w:rsidRDefault="0042185C" w:rsidP="00E51FE7">
            <w:pPr>
              <w:pStyle w:val="72TabletextTablesTableFigureBoxstyles"/>
            </w:pPr>
            <w:r w:rsidRPr="00C1603D">
              <w:t xml:space="preserve">Adults </w:t>
            </w:r>
            <w:r w:rsidR="008B4DF8" w:rsidRPr="00C1603D">
              <w:t>with IDA, age</w:t>
            </w:r>
            <w:r w:rsidRPr="00C1603D">
              <w:t>d</w:t>
            </w:r>
            <w:r w:rsidR="008B4DF8" w:rsidRPr="00C1603D">
              <w:t xml:space="preserve"> </w:t>
            </w:r>
            <w:r w:rsidRPr="00C1603D">
              <w:t>≥ </w:t>
            </w:r>
            <w:r w:rsidR="008B4DF8" w:rsidRPr="00C1603D">
              <w:t xml:space="preserve">45 </w:t>
            </w:r>
            <w:r w:rsidRPr="00C1603D">
              <w:t>years</w:t>
            </w:r>
          </w:p>
        </w:tc>
        <w:tc>
          <w:tcPr>
            <w:tcW w:w="0" w:type="auto"/>
            <w:shd w:val="clear" w:color="auto" w:fill="auto"/>
          </w:tcPr>
          <w:p w14:paraId="16821A45" w14:textId="77777777" w:rsidR="008B4DF8" w:rsidRPr="00C1603D" w:rsidRDefault="008B4DF8" w:rsidP="00E51FE7">
            <w:pPr>
              <w:pStyle w:val="72TabletextTablesTableFigureBoxstyles"/>
            </w:pPr>
            <w:r w:rsidRPr="00C1603D">
              <w:t>Markov</w:t>
            </w:r>
          </w:p>
        </w:tc>
        <w:tc>
          <w:tcPr>
            <w:tcW w:w="0" w:type="auto"/>
            <w:shd w:val="clear" w:color="auto" w:fill="auto"/>
          </w:tcPr>
          <w:p w14:paraId="18368610" w14:textId="04D8DA7C" w:rsidR="008B4DF8" w:rsidRPr="00C1603D" w:rsidRDefault="0042185C" w:rsidP="00E51FE7">
            <w:pPr>
              <w:pStyle w:val="72TabletextTablesTableFigureBoxstyles"/>
            </w:pPr>
            <w:r w:rsidRPr="00C1603D">
              <w:t>Six</w:t>
            </w:r>
            <w:r w:rsidR="008B4DF8" w:rsidRPr="00C1603D">
              <w:t xml:space="preserve"> health states in the model: </w:t>
            </w:r>
            <w:r w:rsidRPr="00C1603D">
              <w:t>(</w:t>
            </w:r>
            <w:r w:rsidR="008B4DF8" w:rsidRPr="00C1603D">
              <w:t xml:space="preserve">1) </w:t>
            </w:r>
            <w:r w:rsidRPr="00C1603D">
              <w:t>n</w:t>
            </w:r>
            <w:r w:rsidR="008B4DF8" w:rsidRPr="00C1603D">
              <w:t>o CD; (2) CD but undiagnosed (</w:t>
            </w:r>
            <w:r w:rsidR="0051430A" w:rsidRPr="00C1603D">
              <w:t>i.e.</w:t>
            </w:r>
            <w:r w:rsidR="008B4DF8" w:rsidRPr="00C1603D">
              <w:t xml:space="preserve"> considered healthy); (3) potential CD, defined as positive serology for CD</w:t>
            </w:r>
            <w:r w:rsidR="008B4DF8" w:rsidRPr="00C1603D">
              <w:rPr>
                <w:color w:val="00B0F0"/>
              </w:rPr>
              <w:t>;</w:t>
            </w:r>
            <w:r w:rsidR="008B4DF8" w:rsidRPr="00C1603D">
              <w:t xml:space="preserve"> (4) CD under normal diet; (5) CD under strict GFD; </w:t>
            </w:r>
            <w:r w:rsidRPr="00C1603D">
              <w:t xml:space="preserve">and </w:t>
            </w:r>
            <w:r w:rsidR="008B4DF8" w:rsidRPr="00C1603D">
              <w:t xml:space="preserve">(6) </w:t>
            </w:r>
            <w:r w:rsidRPr="00C1603D">
              <w:t>d</w:t>
            </w:r>
            <w:r w:rsidR="008B4DF8" w:rsidRPr="00C1603D">
              <w:t>eath. Annual cycle length</w:t>
            </w:r>
          </w:p>
        </w:tc>
        <w:tc>
          <w:tcPr>
            <w:tcW w:w="0" w:type="auto"/>
            <w:shd w:val="clear" w:color="auto" w:fill="auto"/>
          </w:tcPr>
          <w:p w14:paraId="7EC1C1BD" w14:textId="2809F0DA" w:rsidR="008B4DF8" w:rsidRPr="00C1603D" w:rsidRDefault="0042185C" w:rsidP="00E51FE7">
            <w:pPr>
              <w:pStyle w:val="72TabletextTablesTableFigureBoxstyles"/>
            </w:pPr>
            <w:r w:rsidRPr="00C1603D">
              <w:t>Lifetime</w:t>
            </w:r>
          </w:p>
        </w:tc>
        <w:tc>
          <w:tcPr>
            <w:tcW w:w="0" w:type="auto"/>
            <w:shd w:val="clear" w:color="auto" w:fill="auto"/>
          </w:tcPr>
          <w:p w14:paraId="6A327D1F" w14:textId="1720F3A3" w:rsidR="008B4DF8" w:rsidRPr="00C1603D" w:rsidRDefault="008B4DF8" w:rsidP="0042185C">
            <w:pPr>
              <w:pStyle w:val="722TablebulletlistTablesTableFigureBoxstyles"/>
            </w:pPr>
            <w:r w:rsidRPr="00C1603D">
              <w:t>Utility of CD</w:t>
            </w:r>
            <w:r w:rsidR="0042185C" w:rsidRPr="00C1603D">
              <w:t> </w:t>
            </w:r>
            <w:r w:rsidRPr="00C1603D">
              <w:rPr>
                <w:color w:val="00B0F0"/>
              </w:rPr>
              <w:t>=</w:t>
            </w:r>
            <w:r w:rsidR="0042185C" w:rsidRPr="00C1603D">
              <w:rPr>
                <w:color w:val="00B0F0"/>
              </w:rPr>
              <w:t> </w:t>
            </w:r>
            <w:r w:rsidRPr="00C1603D">
              <w:t>0.92 (based on published literature)</w:t>
            </w:r>
          </w:p>
          <w:p w14:paraId="2DF70C11" w14:textId="3B620BAE" w:rsidR="008B4DF8" w:rsidRPr="00C1603D" w:rsidRDefault="008B4DF8" w:rsidP="0042185C">
            <w:pPr>
              <w:pStyle w:val="722TablebulletlistTablesTableFigureBoxstyles"/>
            </w:pPr>
            <w:r w:rsidRPr="00C1603D">
              <w:t>Utility of GFD</w:t>
            </w:r>
            <w:r w:rsidR="0042185C" w:rsidRPr="00C1603D">
              <w:t> </w:t>
            </w:r>
            <w:r w:rsidRPr="00C1603D">
              <w:rPr>
                <w:color w:val="00B0F0"/>
              </w:rPr>
              <w:t>=</w:t>
            </w:r>
            <w:r w:rsidR="0042185C" w:rsidRPr="00C1603D">
              <w:rPr>
                <w:color w:val="00B0F0"/>
              </w:rPr>
              <w:t> </w:t>
            </w:r>
            <w:r w:rsidRPr="00C1603D">
              <w:t>0.99 (assumption)</w:t>
            </w:r>
          </w:p>
        </w:tc>
        <w:tc>
          <w:tcPr>
            <w:tcW w:w="0" w:type="auto"/>
            <w:shd w:val="clear" w:color="auto" w:fill="auto"/>
          </w:tcPr>
          <w:p w14:paraId="7996C10A" w14:textId="2C657C4F" w:rsidR="008B4DF8" w:rsidRPr="00C1603D" w:rsidRDefault="008B4DF8" w:rsidP="00E51FE7">
            <w:pPr>
              <w:pStyle w:val="72TabletextTablesTableFigureBoxstyles"/>
            </w:pPr>
            <w:r w:rsidRPr="00C1603D">
              <w:t xml:space="preserve">The intervention is cost-effective and dominates the comparator </w:t>
            </w:r>
            <w:r w:rsidR="00AD4E92" w:rsidRPr="00C1603D">
              <w:t>as</w:t>
            </w:r>
            <w:r w:rsidRPr="00C1603D">
              <w:t xml:space="preserve"> it costs less and results in more QALYs. The parameters </w:t>
            </w:r>
            <w:r w:rsidR="00AD4E92" w:rsidRPr="00C1603D">
              <w:t>that</w:t>
            </w:r>
            <w:r w:rsidRPr="00C1603D">
              <w:t xml:space="preserve"> most </w:t>
            </w:r>
            <w:r w:rsidR="00AD4E92" w:rsidRPr="00C1603D">
              <w:t>affected</w:t>
            </w:r>
            <w:r w:rsidRPr="00C1603D">
              <w:t xml:space="preserve"> the QALY gain results were the prevalence of CD </w:t>
            </w:r>
            <w:r w:rsidR="00AD4E92" w:rsidRPr="00C1603D">
              <w:t>among</w:t>
            </w:r>
            <w:r w:rsidRPr="00C1603D">
              <w:t xml:space="preserve"> IDA patients, the utility of CD and the probability of identifying CD </w:t>
            </w:r>
            <w:r w:rsidR="00AD4E92" w:rsidRPr="00C1603D">
              <w:t>because of</w:t>
            </w:r>
            <w:r w:rsidRPr="00C1603D">
              <w:t xml:space="preserve"> symptoms</w:t>
            </w:r>
          </w:p>
        </w:tc>
      </w:tr>
      <w:tr w:rsidR="00B475CA" w:rsidRPr="00C1603D" w14:paraId="2E42CB7A" w14:textId="77777777" w:rsidTr="00B475CA">
        <w:trPr>
          <w:cantSplit/>
          <w:trHeight w:val="9696"/>
        </w:trPr>
        <w:tc>
          <w:tcPr>
            <w:tcW w:w="0" w:type="auto"/>
            <w:vMerge w:val="restart"/>
            <w:shd w:val="clear" w:color="auto" w:fill="auto"/>
          </w:tcPr>
          <w:p w14:paraId="55D87582" w14:textId="47B8CF78" w:rsidR="00B475CA" w:rsidRPr="00C1603D" w:rsidRDefault="00B475CA" w:rsidP="00E51FE7">
            <w:pPr>
              <w:pStyle w:val="72TabletextTablesTableFigureBoxstyles"/>
              <w:rPr>
                <w:vertAlign w:val="superscript"/>
              </w:rPr>
            </w:pPr>
            <w:r w:rsidRPr="00C1603D">
              <w:lastRenderedPageBreak/>
              <w:t>NICE</w:t>
            </w:r>
            <w:r w:rsidRPr="00C1603D">
              <w:rPr>
                <w:vertAlign w:val="superscript"/>
              </w:rPr>
              <w:t>198</w:t>
            </w:r>
            <w:r w:rsidRPr="00C1603D">
              <w:t xml:space="preserve"> 2015</w:t>
            </w:r>
          </w:p>
        </w:tc>
        <w:tc>
          <w:tcPr>
            <w:tcW w:w="0" w:type="auto"/>
            <w:vMerge w:val="restart"/>
            <w:shd w:val="clear" w:color="auto" w:fill="auto"/>
          </w:tcPr>
          <w:p w14:paraId="6C20F2E9" w14:textId="77777777" w:rsidR="00B475CA" w:rsidRPr="00C1603D" w:rsidRDefault="00B475CA" w:rsidP="00E51FE7">
            <w:pPr>
              <w:pStyle w:val="72TabletextTablesTableFigureBoxstyles"/>
            </w:pPr>
            <w:r w:rsidRPr="00C1603D">
              <w:t>UK</w:t>
            </w:r>
          </w:p>
        </w:tc>
        <w:tc>
          <w:tcPr>
            <w:tcW w:w="0" w:type="auto"/>
            <w:vMerge w:val="restart"/>
            <w:shd w:val="clear" w:color="auto" w:fill="auto"/>
          </w:tcPr>
          <w:p w14:paraId="4713CA0F" w14:textId="77777777" w:rsidR="00B475CA" w:rsidRPr="00C1603D" w:rsidRDefault="00B475CA" w:rsidP="00E51FE7">
            <w:pPr>
              <w:pStyle w:val="72TabletextTablesTableFigureBoxstyles"/>
            </w:pPr>
            <w:r w:rsidRPr="00C1603D">
              <w:t>Which serological test is the most appropriate to diagnose CD and what patient group should be referred for screening?</w:t>
            </w:r>
          </w:p>
        </w:tc>
        <w:tc>
          <w:tcPr>
            <w:tcW w:w="0" w:type="auto"/>
            <w:vMerge w:val="restart"/>
            <w:shd w:val="clear" w:color="auto" w:fill="auto"/>
          </w:tcPr>
          <w:p w14:paraId="5D3B6D33" w14:textId="4C5E9DAB" w:rsidR="00B475CA" w:rsidRPr="00C1603D" w:rsidRDefault="00B475CA" w:rsidP="00566C5A">
            <w:pPr>
              <w:pStyle w:val="722TablebulletlistTablesTableFigureBoxstyles"/>
            </w:pPr>
            <w:r w:rsidRPr="00C1603D">
              <w:t>Individual or sequences of serological tests</w:t>
            </w:r>
          </w:p>
          <w:p w14:paraId="4BD92FDE" w14:textId="210C0C46" w:rsidR="00B475CA" w:rsidRPr="00C1603D" w:rsidRDefault="00B475CA" w:rsidP="00566C5A">
            <w:pPr>
              <w:pStyle w:val="722TablebulletlistTablesTableFigureBoxstyles"/>
            </w:pPr>
            <w:r w:rsidRPr="00C1603D">
              <w:t>Screening relatives of CD patients, patients with type 1 diabetes, and patients with autoimmune thyroid conditions</w:t>
            </w:r>
          </w:p>
        </w:tc>
        <w:tc>
          <w:tcPr>
            <w:tcW w:w="0" w:type="auto"/>
            <w:vMerge w:val="restart"/>
            <w:shd w:val="clear" w:color="auto" w:fill="auto"/>
          </w:tcPr>
          <w:p w14:paraId="660E3887" w14:textId="7B53E02E" w:rsidR="00B475CA" w:rsidRPr="00C1603D" w:rsidRDefault="00B475CA" w:rsidP="00566C5A">
            <w:pPr>
              <w:pStyle w:val="722TablebulletlistTablesTableFigureBoxstyles"/>
            </w:pPr>
            <w:r w:rsidRPr="00C1603D">
              <w:t>Alternative testing and active case-finding strategies</w:t>
            </w:r>
          </w:p>
          <w:p w14:paraId="4A9B8DED" w14:textId="4854018C" w:rsidR="00B475CA" w:rsidRPr="00C1603D" w:rsidRDefault="00B475CA" w:rsidP="00566C5A">
            <w:pPr>
              <w:pStyle w:val="722TablebulletlistTablesTableFigureBoxstyles"/>
            </w:pPr>
            <w:r w:rsidRPr="00C1603D">
              <w:t>No screening</w:t>
            </w:r>
          </w:p>
        </w:tc>
        <w:tc>
          <w:tcPr>
            <w:tcW w:w="0" w:type="auto"/>
            <w:vMerge w:val="restart"/>
            <w:shd w:val="clear" w:color="auto" w:fill="auto"/>
          </w:tcPr>
          <w:p w14:paraId="4CA092BE" w14:textId="7BCF2EA2" w:rsidR="00B475CA" w:rsidRPr="00C1603D" w:rsidRDefault="00B475CA" w:rsidP="00E51FE7">
            <w:pPr>
              <w:pStyle w:val="72TabletextTablesTableFigureBoxstyles"/>
            </w:pPr>
            <w:r w:rsidRPr="00C1603D">
              <w:t>Adults and children with symptoms suggestive of CD (the age of the cohort at baseline is an assumption with 30 years being used for the adult population and 5 years used when the cohort begins in childhood)</w:t>
            </w:r>
          </w:p>
        </w:tc>
        <w:tc>
          <w:tcPr>
            <w:tcW w:w="0" w:type="auto"/>
            <w:vMerge w:val="restart"/>
            <w:shd w:val="clear" w:color="auto" w:fill="auto"/>
          </w:tcPr>
          <w:p w14:paraId="472A4E1A" w14:textId="35B4FE42" w:rsidR="00B475CA" w:rsidRPr="00C1603D" w:rsidRDefault="00B475CA" w:rsidP="00E51FE7">
            <w:pPr>
              <w:pStyle w:val="72TabletextTablesTableFigureBoxstyles"/>
            </w:pPr>
            <w:r w:rsidRPr="00C1603D">
              <w:t>Decision tree followed by Markov model</w:t>
            </w:r>
          </w:p>
        </w:tc>
        <w:tc>
          <w:tcPr>
            <w:tcW w:w="0" w:type="auto"/>
            <w:vMerge w:val="restart"/>
            <w:shd w:val="clear" w:color="auto" w:fill="auto"/>
          </w:tcPr>
          <w:p w14:paraId="3D03156F" w14:textId="3B4AD34F" w:rsidR="00B475CA" w:rsidRPr="00C1603D" w:rsidRDefault="00B475CA" w:rsidP="00E51FE7">
            <w:pPr>
              <w:pStyle w:val="72TabletextTablesTableFigureBoxstyles"/>
            </w:pPr>
            <w:r w:rsidRPr="00C1603D">
              <w:t>Health states of the Markov model: CD on GFD, CD no GFD, no CD, subfertility, osteoporosis, NHL, other cancers, death. Annual cycles. Health outcomes and costs are discounted at a rate of 3.5% in line with the NICE reference case</w:t>
            </w:r>
          </w:p>
        </w:tc>
        <w:tc>
          <w:tcPr>
            <w:tcW w:w="0" w:type="auto"/>
            <w:vMerge w:val="restart"/>
            <w:shd w:val="clear" w:color="auto" w:fill="auto"/>
          </w:tcPr>
          <w:p w14:paraId="3A5A22EF" w14:textId="52C93CF2" w:rsidR="00B475CA" w:rsidRPr="00C1603D" w:rsidRDefault="00B475CA" w:rsidP="00E51FE7">
            <w:pPr>
              <w:pStyle w:val="72TabletextTablesTableFigureBoxstyles"/>
            </w:pPr>
            <w:r w:rsidRPr="00C1603D">
              <w:t>Lifetime</w:t>
            </w:r>
          </w:p>
        </w:tc>
        <w:tc>
          <w:tcPr>
            <w:tcW w:w="0" w:type="auto"/>
            <w:vMerge w:val="restart"/>
            <w:shd w:val="clear" w:color="auto" w:fill="auto"/>
          </w:tcPr>
          <w:p w14:paraId="2EFAFBF9" w14:textId="2A106904" w:rsidR="00B475CA" w:rsidRPr="00C1603D" w:rsidRDefault="00B475CA" w:rsidP="00E51FE7">
            <w:pPr>
              <w:pStyle w:val="72TabletextTablesTableFigureBoxstyles"/>
              <w:rPr>
                <w:vertAlign w:val="superscript"/>
              </w:rPr>
            </w:pPr>
            <w:r w:rsidRPr="00C1603D">
              <w:t>The health-care resource use data associated with symptoms of CD are based on a study by Violato</w:t>
            </w:r>
            <w:r w:rsidRPr="00C1603D">
              <w:rPr>
                <w:i/>
                <w:color w:val="00B0F0"/>
              </w:rPr>
              <w:t xml:space="preserve"> et al</w:t>
            </w:r>
            <w:r w:rsidRPr="00C1603D">
              <w:t>.</w:t>
            </w:r>
            <w:r w:rsidRPr="00C1603D">
              <w:rPr>
                <w:vertAlign w:val="superscript"/>
              </w:rPr>
              <w:t>51</w:t>
            </w:r>
            <w:r w:rsidRPr="00C1603D">
              <w:t xml:space="preserve"> </w:t>
            </w:r>
            <w:commentRangeStart w:id="726"/>
            <w:r w:rsidRPr="00C1603D">
              <w:t>Prescription costs based on BNF chapters.</w:t>
            </w:r>
            <w:r w:rsidRPr="00C1603D">
              <w:rPr>
                <w:vertAlign w:val="superscript"/>
              </w:rPr>
              <w:t>251</w:t>
            </w:r>
            <w:r w:rsidRPr="00C1603D">
              <w:t xml:space="preserve"> </w:t>
            </w:r>
            <w:commentRangeEnd w:id="726"/>
            <w:r w:rsidRPr="00C1603D">
              <w:rPr>
                <w:rFonts w:ascii="Times New Roman" w:hAnsi="Times New Roman" w:cs="Times New Roman"/>
                <w:color w:val="auto"/>
                <w:lang w:val="en-US"/>
              </w:rPr>
              <w:commentReference w:id="726"/>
            </w:r>
            <w:commentRangeStart w:id="727"/>
            <w:r w:rsidRPr="00C1603D">
              <w:t xml:space="preserve">Resource use associated with long-term complications is based on published evidence specific to each of the complications considered (see </w:t>
            </w:r>
            <w:r w:rsidRPr="00C1603D">
              <w:rPr>
                <w:i/>
                <w:color w:val="auto"/>
              </w:rPr>
              <w:t>Table 7</w:t>
            </w:r>
            <w:r w:rsidRPr="00C1603D">
              <w:rPr>
                <w:color w:val="auto"/>
              </w:rPr>
              <w:t xml:space="preserve">). </w:t>
            </w:r>
            <w:commentRangeEnd w:id="727"/>
            <w:r w:rsidRPr="00C1603D">
              <w:rPr>
                <w:rFonts w:ascii="Times New Roman" w:hAnsi="Times New Roman" w:cs="Times New Roman"/>
                <w:color w:val="auto"/>
                <w:lang w:val="en-US"/>
              </w:rPr>
              <w:commentReference w:id="727"/>
            </w:r>
            <w:r w:rsidRPr="00C1603D">
              <w:t>Resource use associated with subfertility is estimated from the NICE guideline on fertility (CG156).</w:t>
            </w:r>
            <w:r w:rsidRPr="00C1603D">
              <w:rPr>
                <w:vertAlign w:val="superscript"/>
              </w:rPr>
              <w:t>603</w:t>
            </w:r>
            <w:r w:rsidRPr="00C1603D">
              <w:t xml:space="preserve"> Resource use associated with osteoporosis taken from Violato</w:t>
            </w:r>
            <w:r w:rsidRPr="00C1603D">
              <w:rPr>
                <w:i/>
                <w:color w:val="00B0F0"/>
              </w:rPr>
              <w:t xml:space="preserve"> et al</w:t>
            </w:r>
            <w:r w:rsidRPr="00C1603D">
              <w:t>.</w:t>
            </w:r>
            <w:r w:rsidRPr="00C1603D">
              <w:rPr>
                <w:vertAlign w:val="superscript"/>
              </w:rPr>
              <w:t>51</w:t>
            </w:r>
            <w:r w:rsidRPr="00C1603D">
              <w:t xml:space="preserve"> Endoscopy and biopsy based on NHS reference costs</w:t>
            </w:r>
          </w:p>
        </w:tc>
        <w:tc>
          <w:tcPr>
            <w:tcW w:w="0" w:type="auto"/>
            <w:shd w:val="clear" w:color="auto" w:fill="auto"/>
          </w:tcPr>
          <w:p w14:paraId="604ABD08" w14:textId="01D788C2" w:rsidR="00B475CA" w:rsidRPr="00C1603D" w:rsidRDefault="00B475CA" w:rsidP="00B475CA">
            <w:pPr>
              <w:pStyle w:val="72TabletextTablesTableFigureBoxstyles"/>
              <w:rPr>
                <w:lang w:eastAsia="en-GB"/>
              </w:rPr>
            </w:pPr>
            <w:r w:rsidRPr="00C1603D">
              <w:t>The diagnostic strategies that are cost-effective differ between adult and child populations. For adults, how effective strategies are is correlated with how sensitive they are. This is because false-negative results are associated with fewer QALY gains; therefore, the fewer false-negative results a strategy has, the more QALYs it accrues. Strategies with many false-positive results incur additional costs as a result of unnecessary biopsies. However, it is much more important in terms of cost-effective</w:t>
            </w:r>
            <w:r w:rsidRPr="00C1603D">
              <w:lastRenderedPageBreak/>
              <w:t>ness not to miss people with CD than exposing some people to an unnecessary biopsy. For children, the specificity is more important because of the increased cost of biopsy in children. DSA results show that prevalence does affect results (if prevalence is &gt; 17.5%, IgA tTG assay alone becomes optimal)</w:t>
            </w:r>
          </w:p>
        </w:tc>
      </w:tr>
      <w:tr w:rsidR="00B475CA" w:rsidRPr="00C1603D" w14:paraId="6644C0A3" w14:textId="77777777" w:rsidTr="00E51FE7">
        <w:trPr>
          <w:cantSplit/>
          <w:trHeight w:val="9695"/>
        </w:trPr>
        <w:tc>
          <w:tcPr>
            <w:tcW w:w="0" w:type="auto"/>
            <w:vMerge/>
            <w:shd w:val="clear" w:color="auto" w:fill="auto"/>
          </w:tcPr>
          <w:p w14:paraId="79FA4972" w14:textId="77777777" w:rsidR="00B475CA" w:rsidRPr="00C1603D" w:rsidRDefault="00B475CA" w:rsidP="00E51FE7">
            <w:pPr>
              <w:pStyle w:val="72TabletextTablesTableFigureBoxstyles"/>
            </w:pPr>
          </w:p>
        </w:tc>
        <w:tc>
          <w:tcPr>
            <w:tcW w:w="0" w:type="auto"/>
            <w:vMerge/>
            <w:shd w:val="clear" w:color="auto" w:fill="auto"/>
          </w:tcPr>
          <w:p w14:paraId="11E0A436" w14:textId="77777777" w:rsidR="00B475CA" w:rsidRPr="00C1603D" w:rsidRDefault="00B475CA" w:rsidP="00E51FE7">
            <w:pPr>
              <w:pStyle w:val="72TabletextTablesTableFigureBoxstyles"/>
            </w:pPr>
          </w:p>
        </w:tc>
        <w:tc>
          <w:tcPr>
            <w:tcW w:w="0" w:type="auto"/>
            <w:vMerge/>
            <w:shd w:val="clear" w:color="auto" w:fill="auto"/>
          </w:tcPr>
          <w:p w14:paraId="72086097" w14:textId="77777777" w:rsidR="00B475CA" w:rsidRPr="00C1603D" w:rsidRDefault="00B475CA" w:rsidP="00E51FE7">
            <w:pPr>
              <w:pStyle w:val="72TabletextTablesTableFigureBoxstyles"/>
            </w:pPr>
          </w:p>
        </w:tc>
        <w:tc>
          <w:tcPr>
            <w:tcW w:w="0" w:type="auto"/>
            <w:vMerge/>
            <w:shd w:val="clear" w:color="auto" w:fill="auto"/>
          </w:tcPr>
          <w:p w14:paraId="466E6ACE" w14:textId="77777777" w:rsidR="00B475CA" w:rsidRPr="00C1603D" w:rsidRDefault="00B475CA" w:rsidP="00566C5A">
            <w:pPr>
              <w:pStyle w:val="722TablebulletlistTablesTableFigureBoxstyles"/>
            </w:pPr>
          </w:p>
        </w:tc>
        <w:tc>
          <w:tcPr>
            <w:tcW w:w="0" w:type="auto"/>
            <w:vMerge/>
            <w:shd w:val="clear" w:color="auto" w:fill="auto"/>
          </w:tcPr>
          <w:p w14:paraId="150434AF" w14:textId="77777777" w:rsidR="00B475CA" w:rsidRPr="00C1603D" w:rsidRDefault="00B475CA" w:rsidP="00566C5A">
            <w:pPr>
              <w:pStyle w:val="722TablebulletlistTablesTableFigureBoxstyles"/>
            </w:pPr>
          </w:p>
        </w:tc>
        <w:tc>
          <w:tcPr>
            <w:tcW w:w="0" w:type="auto"/>
            <w:vMerge/>
            <w:shd w:val="clear" w:color="auto" w:fill="auto"/>
          </w:tcPr>
          <w:p w14:paraId="5D65DADD" w14:textId="77777777" w:rsidR="00B475CA" w:rsidRPr="00C1603D" w:rsidRDefault="00B475CA" w:rsidP="00E51FE7">
            <w:pPr>
              <w:pStyle w:val="72TabletextTablesTableFigureBoxstyles"/>
            </w:pPr>
          </w:p>
        </w:tc>
        <w:tc>
          <w:tcPr>
            <w:tcW w:w="0" w:type="auto"/>
            <w:vMerge/>
            <w:shd w:val="clear" w:color="auto" w:fill="auto"/>
          </w:tcPr>
          <w:p w14:paraId="278A4074" w14:textId="77777777" w:rsidR="00B475CA" w:rsidRPr="00C1603D" w:rsidRDefault="00B475CA" w:rsidP="00E51FE7">
            <w:pPr>
              <w:pStyle w:val="72TabletextTablesTableFigureBoxstyles"/>
            </w:pPr>
          </w:p>
        </w:tc>
        <w:tc>
          <w:tcPr>
            <w:tcW w:w="0" w:type="auto"/>
            <w:vMerge/>
            <w:shd w:val="clear" w:color="auto" w:fill="auto"/>
          </w:tcPr>
          <w:p w14:paraId="7DD778C1" w14:textId="77777777" w:rsidR="00B475CA" w:rsidRPr="00C1603D" w:rsidRDefault="00B475CA" w:rsidP="00E51FE7">
            <w:pPr>
              <w:pStyle w:val="72TabletextTablesTableFigureBoxstyles"/>
            </w:pPr>
          </w:p>
        </w:tc>
        <w:tc>
          <w:tcPr>
            <w:tcW w:w="0" w:type="auto"/>
            <w:vMerge/>
            <w:shd w:val="clear" w:color="auto" w:fill="auto"/>
          </w:tcPr>
          <w:p w14:paraId="4E40836A" w14:textId="77777777" w:rsidR="00B475CA" w:rsidRPr="00C1603D" w:rsidRDefault="00B475CA" w:rsidP="00E51FE7">
            <w:pPr>
              <w:pStyle w:val="72TabletextTablesTableFigureBoxstyles"/>
            </w:pPr>
          </w:p>
        </w:tc>
        <w:tc>
          <w:tcPr>
            <w:tcW w:w="0" w:type="auto"/>
            <w:vMerge/>
            <w:shd w:val="clear" w:color="auto" w:fill="auto"/>
          </w:tcPr>
          <w:p w14:paraId="1BFE6ABA" w14:textId="77777777" w:rsidR="00B475CA" w:rsidRPr="00C1603D" w:rsidRDefault="00B475CA" w:rsidP="00E51FE7">
            <w:pPr>
              <w:pStyle w:val="72TabletextTablesTableFigureBoxstyles"/>
            </w:pPr>
          </w:p>
        </w:tc>
        <w:tc>
          <w:tcPr>
            <w:tcW w:w="0" w:type="auto"/>
            <w:shd w:val="clear" w:color="auto" w:fill="auto"/>
          </w:tcPr>
          <w:p w14:paraId="0A5126A8" w14:textId="44A61BBF" w:rsidR="00B475CA" w:rsidRPr="00C1603D" w:rsidRDefault="00B475CA" w:rsidP="00E51FE7">
            <w:pPr>
              <w:pStyle w:val="72TabletextTablesTableFigureBoxstyles"/>
            </w:pPr>
            <w:r w:rsidRPr="00C1603D">
              <w:rPr>
                <w:lang w:eastAsia="en-GB"/>
              </w:rPr>
              <w:t>Evaluation of active case-finding strategies found screening first-degree relatives of people with CD was cost-effective among adults and children, that screening people with type 1 diabetes was cost-effective among adults and potentially cost-effective among children, and that screening those with autoimmune thyroid disease was not cost-effective among adults or children</w:t>
            </w:r>
          </w:p>
        </w:tc>
      </w:tr>
      <w:tr w:rsidR="00267212" w:rsidRPr="00C1603D" w14:paraId="48D9BF43" w14:textId="77777777" w:rsidTr="00E51FE7">
        <w:trPr>
          <w:cantSplit/>
        </w:trPr>
        <w:tc>
          <w:tcPr>
            <w:tcW w:w="0" w:type="auto"/>
            <w:gridSpan w:val="11"/>
            <w:shd w:val="clear" w:color="auto" w:fill="auto"/>
          </w:tcPr>
          <w:p w14:paraId="0396BCE8" w14:textId="2A18C515" w:rsidR="00267212" w:rsidRPr="00C1603D" w:rsidRDefault="00566C5A" w:rsidP="00E51FE7">
            <w:pPr>
              <w:pStyle w:val="75TablenotesTablesTableFigureBoxstyles"/>
            </w:pPr>
            <w:r w:rsidRPr="00C1603D">
              <w:lastRenderedPageBreak/>
              <w:t xml:space="preserve">BNF, </w:t>
            </w:r>
            <w:r w:rsidRPr="00C1603D">
              <w:rPr>
                <w:i/>
                <w:iCs/>
              </w:rPr>
              <w:t>British National Formulary</w:t>
            </w:r>
            <w:r w:rsidRPr="00C1603D">
              <w:t>;</w:t>
            </w:r>
            <w:r w:rsidR="00FC0FE4" w:rsidRPr="00C1603D">
              <w:t xml:space="preserve"> CG, clinical guideline;</w:t>
            </w:r>
            <w:r w:rsidRPr="00C1603D">
              <w:t xml:space="preserve"> </w:t>
            </w:r>
            <w:commentRangeStart w:id="728"/>
            <w:r w:rsidR="00CC68F3" w:rsidRPr="00C1603D">
              <w:t xml:space="preserve">DSA, deterministic sensitivity analysis; </w:t>
            </w:r>
            <w:r w:rsidR="00761F87" w:rsidRPr="00C1603D">
              <w:t xml:space="preserve">GFD, gluten-free diet; </w:t>
            </w:r>
            <w:r w:rsidR="00267212" w:rsidRPr="00C1603D">
              <w:t>GORD, gastro-oesophageal reflux disease</w:t>
            </w:r>
            <w:r w:rsidR="00211913" w:rsidRPr="00C1603D">
              <w:t>;</w:t>
            </w:r>
            <w:r w:rsidR="00200BB2" w:rsidRPr="00C1603D">
              <w:t xml:space="preserve"> PPI, proton</w:t>
            </w:r>
            <w:r w:rsidR="00224A2B" w:rsidRPr="00C1603D">
              <w:t>-</w:t>
            </w:r>
            <w:r w:rsidR="00200BB2" w:rsidRPr="00C1603D">
              <w:t>pump inhibitor;</w:t>
            </w:r>
            <w:r w:rsidR="00211913" w:rsidRPr="00C1603D">
              <w:t xml:space="preserve"> SBB, small bowel biopsy</w:t>
            </w:r>
            <w:r w:rsidR="00761F87" w:rsidRPr="00C1603D">
              <w:t xml:space="preserve">; SF-36, </w:t>
            </w:r>
            <w:r w:rsidR="00D90931" w:rsidRPr="00C1603D">
              <w:t>Short Form questionnaire-36 items</w:t>
            </w:r>
            <w:r w:rsidR="00267212" w:rsidRPr="00C1603D">
              <w:t>.</w:t>
            </w:r>
            <w:commentRangeEnd w:id="728"/>
            <w:r w:rsidR="00CC68F3" w:rsidRPr="00C1603D">
              <w:rPr>
                <w:rFonts w:ascii="Times New Roman" w:hAnsi="Times New Roman" w:cs="Times New Roman"/>
                <w:color w:val="auto"/>
              </w:rPr>
              <w:commentReference w:id="728"/>
            </w:r>
          </w:p>
        </w:tc>
      </w:tr>
    </w:tbl>
    <w:p w14:paraId="5384CC8E" w14:textId="3F17E897" w:rsidR="008B4DF8" w:rsidRPr="00C1603D" w:rsidRDefault="008B4DF8" w:rsidP="008B4DF8">
      <w:pPr>
        <w:pStyle w:val="43AppendixtitleHeadingsHeadingstyles"/>
      </w:pPr>
      <w:bookmarkStart w:id="729" w:name="_Ref95137426"/>
      <w:bookmarkStart w:id="730" w:name="_Toc99539954"/>
      <w:bookmarkStart w:id="731" w:name="_Ref87537650"/>
      <w:bookmarkStart w:id="732" w:name="_Ref87537811"/>
      <w:r w:rsidRPr="00C1603D">
        <w:lastRenderedPageBreak/>
        <w:t>Appendix 26</w:t>
      </w:r>
      <w:bookmarkEnd w:id="729"/>
      <w:bookmarkEnd w:id="730"/>
      <w:r w:rsidR="00FC0FE4" w:rsidRPr="00C1603D">
        <w:t> </w:t>
      </w:r>
      <w:r w:rsidR="00FC0FE4" w:rsidRPr="00C1603D">
        <w:t>Age-stratified prevalence of coeliac disease-related complications</w:t>
      </w:r>
    </w:p>
    <w:p w14:paraId="28A83722" w14:textId="6DB5DA31" w:rsidR="008B4DF8" w:rsidRPr="00C1603D" w:rsidRDefault="008B4DF8" w:rsidP="008B4DF8">
      <w:pPr>
        <w:pStyle w:val="70TablelegendTablesTableFigureBoxstyles"/>
        <w:rPr>
          <w:vertAlign w:val="superscript"/>
        </w:rPr>
      </w:pPr>
      <w:bookmarkStart w:id="733" w:name="_Toc99720774"/>
      <w:r w:rsidRPr="00C1603D">
        <w:rPr>
          <w:b/>
        </w:rPr>
        <w:t>TABLE 63</w:t>
      </w:r>
      <w:r w:rsidRPr="00C1603D">
        <w:rPr>
          <w:b/>
        </w:rPr>
        <w:t> </w:t>
      </w:r>
      <w:r w:rsidRPr="00C1603D">
        <w:t xml:space="preserve">Age-stratified prevalence of CD-related complications </w:t>
      </w:r>
      <w:r w:rsidR="00FC0FE4" w:rsidRPr="00C1603D">
        <w:t>among</w:t>
      </w:r>
      <w:r w:rsidRPr="00C1603D">
        <w:t xml:space="preserve"> CPRD Aurum patients with CD</w:t>
      </w:r>
      <w:r w:rsidR="00E26F30" w:rsidRPr="00C1603D">
        <w:t>:</w:t>
      </w:r>
      <w:r w:rsidRPr="00C1603D">
        <w:t xml:space="preserve"> mixed</w:t>
      </w:r>
      <w:r w:rsidR="00FC0FE4" w:rsidRPr="00C1603D">
        <w:t>-</w:t>
      </w:r>
      <w:r w:rsidRPr="00C1603D">
        <w:t>gender cohort</w:t>
      </w:r>
      <w:bookmarkEnd w:id="733"/>
      <w:r w:rsidR="00FC0FE4" w:rsidRPr="00C1603D">
        <w:rPr>
          <w:vertAlign w:val="superscript"/>
        </w:rPr>
        <w:t>a</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2569"/>
        <w:gridCol w:w="1009"/>
        <w:gridCol w:w="1537"/>
        <w:gridCol w:w="2231"/>
        <w:gridCol w:w="1685"/>
      </w:tblGrid>
      <w:tr w:rsidR="00FC0FE4" w:rsidRPr="00C1603D" w14:paraId="11CAC6A1" w14:textId="77777777" w:rsidTr="00AE21CA">
        <w:trPr>
          <w:cantSplit/>
        </w:trPr>
        <w:tc>
          <w:tcPr>
            <w:tcW w:w="0" w:type="auto"/>
            <w:vMerge w:val="restart"/>
            <w:shd w:val="clear" w:color="auto" w:fill="auto"/>
            <w:noWrap/>
          </w:tcPr>
          <w:p w14:paraId="3DF9E805" w14:textId="4E2D1EFA" w:rsidR="00FC0FE4" w:rsidRPr="00C1603D" w:rsidRDefault="00FC0FE4" w:rsidP="00FC0FE4">
            <w:pPr>
              <w:pStyle w:val="710TableheadTablesTableFigureBoxstyles"/>
              <w:rPr>
                <w:lang w:eastAsia="zh-CN"/>
              </w:rPr>
            </w:pPr>
            <w:r w:rsidRPr="00C1603D">
              <w:rPr>
                <w:lang w:eastAsia="zh-CN"/>
              </w:rPr>
              <w:t>Age categories</w:t>
            </w:r>
            <w:r w:rsidRPr="00C1603D">
              <w:rPr>
                <w:vertAlign w:val="superscript"/>
                <w:lang w:eastAsia="zh-CN"/>
              </w:rPr>
              <w:t>b</w:t>
            </w:r>
          </w:p>
        </w:tc>
        <w:tc>
          <w:tcPr>
            <w:tcW w:w="0" w:type="auto"/>
            <w:vMerge w:val="restart"/>
            <w:shd w:val="clear" w:color="auto" w:fill="auto"/>
          </w:tcPr>
          <w:p w14:paraId="3746D1C6" w14:textId="1283E176" w:rsidR="00FC0FE4" w:rsidRPr="00C1603D" w:rsidRDefault="00FC0FE4" w:rsidP="00FC0FE4">
            <w:pPr>
              <w:pStyle w:val="710TableheadTablesTableFigureBoxstyles"/>
              <w:rPr>
                <w:i/>
                <w:iCs/>
                <w:color w:val="000000"/>
                <w:lang w:val="en-IE" w:eastAsia="zh-CN"/>
              </w:rPr>
            </w:pPr>
            <w:r w:rsidRPr="00C1603D">
              <w:rPr>
                <w:i/>
                <w:iCs/>
                <w:color w:val="000000"/>
                <w:lang w:eastAsia="zh-CN"/>
              </w:rPr>
              <w:t>N</w:t>
            </w:r>
          </w:p>
        </w:tc>
        <w:tc>
          <w:tcPr>
            <w:tcW w:w="0" w:type="auto"/>
            <w:gridSpan w:val="3"/>
            <w:shd w:val="clear" w:color="auto" w:fill="auto"/>
          </w:tcPr>
          <w:p w14:paraId="6D2078E4" w14:textId="23FC8BF6" w:rsidR="00FC0FE4" w:rsidRPr="00C1603D" w:rsidRDefault="00FC0FE4" w:rsidP="00FC0FE4">
            <w:pPr>
              <w:pStyle w:val="705TableheadgroupTablesTableFigureBoxstyles"/>
              <w:rPr>
                <w:lang w:eastAsia="zh-CN"/>
              </w:rPr>
            </w:pPr>
            <w:r w:rsidRPr="00C1603D">
              <w:rPr>
                <w:lang w:eastAsia="zh-CN"/>
              </w:rPr>
              <w:t xml:space="preserve">Complication, </w:t>
            </w:r>
            <w:r w:rsidRPr="00C1603D">
              <w:rPr>
                <w:i/>
                <w:iCs/>
                <w:lang w:eastAsia="zh-CN"/>
              </w:rPr>
              <w:t>n</w:t>
            </w:r>
            <w:r w:rsidRPr="00C1603D">
              <w:rPr>
                <w:lang w:eastAsia="zh-CN"/>
              </w:rPr>
              <w:t xml:space="preserve"> (%)</w:t>
            </w:r>
          </w:p>
        </w:tc>
      </w:tr>
      <w:tr w:rsidR="00FC0FE4" w:rsidRPr="00C1603D" w14:paraId="38FB8B11" w14:textId="77777777" w:rsidTr="00FC0FE4">
        <w:trPr>
          <w:cantSplit/>
        </w:trPr>
        <w:tc>
          <w:tcPr>
            <w:tcW w:w="0" w:type="auto"/>
            <w:vMerge/>
            <w:shd w:val="clear" w:color="auto" w:fill="auto"/>
            <w:noWrap/>
          </w:tcPr>
          <w:p w14:paraId="5857DB22" w14:textId="7E5612F6" w:rsidR="00FC0FE4" w:rsidRPr="00C1603D" w:rsidRDefault="00FC0FE4" w:rsidP="00FC0FE4">
            <w:pPr>
              <w:pStyle w:val="710TableheadTablesTableFigureBoxstyles"/>
              <w:rPr>
                <w:color w:val="000000"/>
                <w:lang w:eastAsia="zh-CN"/>
              </w:rPr>
            </w:pPr>
          </w:p>
        </w:tc>
        <w:tc>
          <w:tcPr>
            <w:tcW w:w="0" w:type="auto"/>
            <w:vMerge/>
            <w:shd w:val="clear" w:color="auto" w:fill="auto"/>
          </w:tcPr>
          <w:p w14:paraId="3D7E81A4" w14:textId="00783E24" w:rsidR="00FC0FE4" w:rsidRPr="00C1603D" w:rsidRDefault="00FC0FE4" w:rsidP="00FC0FE4">
            <w:pPr>
              <w:pStyle w:val="710TableheadTablesTableFigureBoxstyles"/>
              <w:rPr>
                <w:i/>
                <w:iCs/>
                <w:color w:val="000000"/>
                <w:lang w:eastAsia="zh-CN"/>
              </w:rPr>
            </w:pPr>
          </w:p>
        </w:tc>
        <w:tc>
          <w:tcPr>
            <w:tcW w:w="0" w:type="auto"/>
            <w:shd w:val="clear" w:color="auto" w:fill="auto"/>
          </w:tcPr>
          <w:p w14:paraId="394045B3" w14:textId="5A9D5148" w:rsidR="00FC0FE4" w:rsidRPr="00C1603D" w:rsidRDefault="00FC0FE4" w:rsidP="00FC0FE4">
            <w:pPr>
              <w:pStyle w:val="710TableheadTablesTableFigureBoxstyles"/>
              <w:rPr>
                <w:color w:val="000000"/>
                <w:lang w:eastAsia="zh-CN"/>
              </w:rPr>
            </w:pPr>
            <w:r w:rsidRPr="00C1603D">
              <w:rPr>
                <w:lang w:eastAsia="zh-CN"/>
              </w:rPr>
              <w:t>NHL</w:t>
            </w:r>
          </w:p>
        </w:tc>
        <w:tc>
          <w:tcPr>
            <w:tcW w:w="0" w:type="auto"/>
            <w:shd w:val="clear" w:color="auto" w:fill="auto"/>
          </w:tcPr>
          <w:p w14:paraId="71BEA4B0" w14:textId="76613607" w:rsidR="00FC0FE4" w:rsidRPr="00C1603D" w:rsidRDefault="00FC0FE4" w:rsidP="00FC0FE4">
            <w:pPr>
              <w:pStyle w:val="710TableheadTablesTableFigureBoxstyles"/>
              <w:rPr>
                <w:color w:val="000000"/>
                <w:lang w:eastAsia="zh-CN"/>
              </w:rPr>
            </w:pPr>
            <w:r w:rsidRPr="00C1603D">
              <w:rPr>
                <w:lang w:eastAsia="zh-CN"/>
              </w:rPr>
              <w:t>Osteoporosis</w:t>
            </w:r>
          </w:p>
        </w:tc>
        <w:tc>
          <w:tcPr>
            <w:tcW w:w="0" w:type="auto"/>
            <w:shd w:val="clear" w:color="auto" w:fill="auto"/>
          </w:tcPr>
          <w:p w14:paraId="39C0EAC6" w14:textId="49ED0079" w:rsidR="00FC0FE4" w:rsidRPr="00C1603D" w:rsidRDefault="00FC0FE4" w:rsidP="00FC0FE4">
            <w:pPr>
              <w:pStyle w:val="710TableheadTablesTableFigureBoxstyles"/>
              <w:rPr>
                <w:lang w:eastAsia="zh-CN"/>
              </w:rPr>
            </w:pPr>
            <w:r w:rsidRPr="00C1603D">
              <w:rPr>
                <w:lang w:eastAsia="zh-CN"/>
              </w:rPr>
              <w:t>IDA</w:t>
            </w:r>
          </w:p>
        </w:tc>
      </w:tr>
      <w:tr w:rsidR="008B4DF8" w:rsidRPr="00C1603D" w14:paraId="479D6148" w14:textId="77777777" w:rsidTr="00FC0FE4">
        <w:trPr>
          <w:cantSplit/>
        </w:trPr>
        <w:tc>
          <w:tcPr>
            <w:tcW w:w="0" w:type="auto"/>
            <w:shd w:val="clear" w:color="auto" w:fill="auto"/>
            <w:noWrap/>
          </w:tcPr>
          <w:p w14:paraId="2512DC8D" w14:textId="77777777" w:rsidR="008B4DF8" w:rsidRPr="00C1603D" w:rsidRDefault="008B4DF8" w:rsidP="00FC0FE4">
            <w:pPr>
              <w:pStyle w:val="72TabletextTablesTableFigureBoxstyles"/>
              <w:rPr>
                <w:lang w:eastAsia="zh-CN"/>
              </w:rPr>
            </w:pPr>
            <w:r w:rsidRPr="00C1603D">
              <w:rPr>
                <w:lang w:eastAsia="zh-CN"/>
              </w:rPr>
              <w:t>0</w:t>
            </w:r>
            <w:r w:rsidRPr="00C1603D">
              <w:rPr>
                <w:color w:val="00B0F0"/>
                <w:lang w:eastAsia="zh-CN"/>
              </w:rPr>
              <w:t>–9</w:t>
            </w:r>
          </w:p>
        </w:tc>
        <w:tc>
          <w:tcPr>
            <w:tcW w:w="0" w:type="auto"/>
            <w:shd w:val="clear" w:color="auto" w:fill="auto"/>
          </w:tcPr>
          <w:p w14:paraId="5FA3CABD" w14:textId="6F625AC8" w:rsidR="008B4DF8" w:rsidRPr="00C1603D" w:rsidRDefault="008B4DF8" w:rsidP="00FC0FE4">
            <w:pPr>
              <w:pStyle w:val="72TabletextTablesTableFigureBoxstyles"/>
              <w:rPr>
                <w:lang w:eastAsia="zh-CN"/>
              </w:rPr>
            </w:pPr>
            <w:r w:rsidRPr="00C1603D">
              <w:rPr>
                <w:lang w:eastAsia="en-GB"/>
              </w:rPr>
              <w:t>3419</w:t>
            </w:r>
          </w:p>
        </w:tc>
        <w:tc>
          <w:tcPr>
            <w:tcW w:w="0" w:type="auto"/>
            <w:shd w:val="clear" w:color="auto" w:fill="auto"/>
            <w:noWrap/>
          </w:tcPr>
          <w:p w14:paraId="29A5935F" w14:textId="686D1A05" w:rsidR="008B4DF8" w:rsidRPr="00C1603D" w:rsidRDefault="008B4DF8" w:rsidP="00FC0FE4">
            <w:pPr>
              <w:pStyle w:val="72TabletextTablesTableFigureBoxstyles"/>
              <w:rPr>
                <w:lang w:eastAsia="zh-CN"/>
              </w:rPr>
            </w:pPr>
            <w:r w:rsidRPr="00C1603D">
              <w:t>2 (0.06)</w:t>
            </w:r>
          </w:p>
        </w:tc>
        <w:tc>
          <w:tcPr>
            <w:tcW w:w="0" w:type="auto"/>
            <w:shd w:val="clear" w:color="auto" w:fill="auto"/>
          </w:tcPr>
          <w:p w14:paraId="50136DC4" w14:textId="3C8C2DD3" w:rsidR="008B4DF8" w:rsidRPr="00C1603D" w:rsidRDefault="008B4DF8" w:rsidP="00FC0FE4">
            <w:pPr>
              <w:pStyle w:val="72TabletextTablesTableFigureBoxstyles"/>
              <w:rPr>
                <w:lang w:eastAsia="zh-CN"/>
              </w:rPr>
            </w:pPr>
            <w:r w:rsidRPr="00C1603D">
              <w:rPr>
                <w:lang w:eastAsia="en-GB"/>
              </w:rPr>
              <w:t>1 (0.03)</w:t>
            </w:r>
          </w:p>
        </w:tc>
        <w:tc>
          <w:tcPr>
            <w:tcW w:w="0" w:type="auto"/>
            <w:shd w:val="clear" w:color="auto" w:fill="auto"/>
          </w:tcPr>
          <w:p w14:paraId="1466D245" w14:textId="68C6C2BA" w:rsidR="008B4DF8" w:rsidRPr="00C1603D" w:rsidRDefault="008B4DF8" w:rsidP="00FC0FE4">
            <w:pPr>
              <w:pStyle w:val="72TabletextTablesTableFigureBoxstyles"/>
              <w:rPr>
                <w:lang w:eastAsia="zh-CN"/>
              </w:rPr>
            </w:pPr>
            <w:r w:rsidRPr="00C1603D">
              <w:rPr>
                <w:lang w:eastAsia="en-GB"/>
              </w:rPr>
              <w:t>371 (10.85)</w:t>
            </w:r>
          </w:p>
        </w:tc>
      </w:tr>
      <w:tr w:rsidR="008B4DF8" w:rsidRPr="00C1603D" w14:paraId="6E2C2447" w14:textId="77777777" w:rsidTr="00FC0FE4">
        <w:trPr>
          <w:cantSplit/>
        </w:trPr>
        <w:tc>
          <w:tcPr>
            <w:tcW w:w="0" w:type="auto"/>
            <w:shd w:val="clear" w:color="auto" w:fill="auto"/>
            <w:noWrap/>
          </w:tcPr>
          <w:p w14:paraId="7BA9D42E" w14:textId="77777777" w:rsidR="008B4DF8" w:rsidRPr="00C1603D" w:rsidRDefault="008B4DF8" w:rsidP="00FC0FE4">
            <w:pPr>
              <w:pStyle w:val="72TabletextTablesTableFigureBoxstyles"/>
              <w:rPr>
                <w:lang w:eastAsia="zh-CN"/>
              </w:rPr>
            </w:pPr>
            <w:r w:rsidRPr="00C1603D">
              <w:rPr>
                <w:lang w:eastAsia="zh-CN"/>
              </w:rPr>
              <w:t>10</w:t>
            </w:r>
            <w:r w:rsidRPr="00C1603D">
              <w:rPr>
                <w:color w:val="00B0F0"/>
                <w:lang w:eastAsia="zh-CN"/>
              </w:rPr>
              <w:t>–1</w:t>
            </w:r>
            <w:r w:rsidRPr="00C1603D">
              <w:rPr>
                <w:lang w:eastAsia="zh-CN"/>
              </w:rPr>
              <w:t>9</w:t>
            </w:r>
          </w:p>
        </w:tc>
        <w:tc>
          <w:tcPr>
            <w:tcW w:w="0" w:type="auto"/>
            <w:shd w:val="clear" w:color="auto" w:fill="auto"/>
          </w:tcPr>
          <w:p w14:paraId="3D3DDE6C" w14:textId="2B419954" w:rsidR="008B4DF8" w:rsidRPr="00C1603D" w:rsidRDefault="008B4DF8" w:rsidP="00FC0FE4">
            <w:pPr>
              <w:pStyle w:val="72TabletextTablesTableFigureBoxstyles"/>
              <w:rPr>
                <w:lang w:eastAsia="zh-CN"/>
              </w:rPr>
            </w:pPr>
            <w:r w:rsidRPr="00C1603D">
              <w:rPr>
                <w:lang w:eastAsia="en-GB"/>
              </w:rPr>
              <w:t>3803</w:t>
            </w:r>
          </w:p>
        </w:tc>
        <w:tc>
          <w:tcPr>
            <w:tcW w:w="0" w:type="auto"/>
            <w:shd w:val="clear" w:color="auto" w:fill="auto"/>
            <w:noWrap/>
          </w:tcPr>
          <w:p w14:paraId="098ABCDD" w14:textId="2C2959ED" w:rsidR="008B4DF8" w:rsidRPr="00C1603D" w:rsidRDefault="008B4DF8" w:rsidP="00FC0FE4">
            <w:pPr>
              <w:pStyle w:val="72TabletextTablesTableFigureBoxstyles"/>
              <w:rPr>
                <w:lang w:eastAsia="zh-CN"/>
              </w:rPr>
            </w:pPr>
            <w:r w:rsidRPr="00C1603D">
              <w:t>0 (0)</w:t>
            </w:r>
          </w:p>
        </w:tc>
        <w:tc>
          <w:tcPr>
            <w:tcW w:w="0" w:type="auto"/>
            <w:shd w:val="clear" w:color="auto" w:fill="auto"/>
          </w:tcPr>
          <w:p w14:paraId="2A7C25C8" w14:textId="496B9258" w:rsidR="008B4DF8" w:rsidRPr="00C1603D" w:rsidRDefault="008B4DF8" w:rsidP="00FC0FE4">
            <w:pPr>
              <w:pStyle w:val="72TabletextTablesTableFigureBoxstyles"/>
              <w:rPr>
                <w:lang w:eastAsia="zh-CN"/>
              </w:rPr>
            </w:pPr>
            <w:r w:rsidRPr="00C1603D">
              <w:rPr>
                <w:lang w:eastAsia="en-GB"/>
              </w:rPr>
              <w:t>19 (0.5)</w:t>
            </w:r>
          </w:p>
        </w:tc>
        <w:tc>
          <w:tcPr>
            <w:tcW w:w="0" w:type="auto"/>
            <w:shd w:val="clear" w:color="auto" w:fill="auto"/>
          </w:tcPr>
          <w:p w14:paraId="77C225AC" w14:textId="3EDA0B1E" w:rsidR="008B4DF8" w:rsidRPr="00C1603D" w:rsidRDefault="008B4DF8" w:rsidP="00FC0FE4">
            <w:pPr>
              <w:pStyle w:val="72TabletextTablesTableFigureBoxstyles"/>
              <w:rPr>
                <w:lang w:eastAsia="zh-CN"/>
              </w:rPr>
            </w:pPr>
            <w:r w:rsidRPr="00C1603D">
              <w:rPr>
                <w:lang w:eastAsia="en-GB"/>
              </w:rPr>
              <w:t>544 (14.3)</w:t>
            </w:r>
          </w:p>
        </w:tc>
      </w:tr>
      <w:tr w:rsidR="008B4DF8" w:rsidRPr="00C1603D" w14:paraId="0A75E7CD" w14:textId="77777777" w:rsidTr="00FC0FE4">
        <w:trPr>
          <w:cantSplit/>
        </w:trPr>
        <w:tc>
          <w:tcPr>
            <w:tcW w:w="0" w:type="auto"/>
            <w:shd w:val="clear" w:color="auto" w:fill="auto"/>
            <w:noWrap/>
          </w:tcPr>
          <w:p w14:paraId="2E78AE1B" w14:textId="77777777" w:rsidR="008B4DF8" w:rsidRPr="00C1603D" w:rsidRDefault="008B4DF8" w:rsidP="00FC0FE4">
            <w:pPr>
              <w:pStyle w:val="72TabletextTablesTableFigureBoxstyles"/>
              <w:rPr>
                <w:lang w:eastAsia="zh-CN"/>
              </w:rPr>
            </w:pPr>
            <w:r w:rsidRPr="00C1603D">
              <w:rPr>
                <w:lang w:eastAsia="zh-CN"/>
              </w:rPr>
              <w:t>20</w:t>
            </w:r>
            <w:r w:rsidRPr="00C1603D">
              <w:rPr>
                <w:color w:val="00B0F0"/>
                <w:lang w:eastAsia="zh-CN"/>
              </w:rPr>
              <w:t>–2</w:t>
            </w:r>
            <w:r w:rsidRPr="00C1603D">
              <w:rPr>
                <w:lang w:eastAsia="zh-CN"/>
              </w:rPr>
              <w:t>9</w:t>
            </w:r>
          </w:p>
        </w:tc>
        <w:tc>
          <w:tcPr>
            <w:tcW w:w="0" w:type="auto"/>
            <w:shd w:val="clear" w:color="auto" w:fill="auto"/>
          </w:tcPr>
          <w:p w14:paraId="66BC1474" w14:textId="0EA3E9EF" w:rsidR="008B4DF8" w:rsidRPr="00C1603D" w:rsidRDefault="008B4DF8" w:rsidP="00FC0FE4">
            <w:pPr>
              <w:pStyle w:val="72TabletextTablesTableFigureBoxstyles"/>
              <w:rPr>
                <w:lang w:eastAsia="zh-CN"/>
              </w:rPr>
            </w:pPr>
            <w:r w:rsidRPr="00C1603D">
              <w:rPr>
                <w:lang w:eastAsia="en-GB"/>
              </w:rPr>
              <w:t>5106</w:t>
            </w:r>
          </w:p>
        </w:tc>
        <w:tc>
          <w:tcPr>
            <w:tcW w:w="0" w:type="auto"/>
            <w:shd w:val="clear" w:color="auto" w:fill="auto"/>
            <w:noWrap/>
          </w:tcPr>
          <w:p w14:paraId="58698D64" w14:textId="4DE94CDF" w:rsidR="008B4DF8" w:rsidRPr="00C1603D" w:rsidRDefault="008B4DF8" w:rsidP="00FC0FE4">
            <w:pPr>
              <w:pStyle w:val="72TabletextTablesTableFigureBoxstyles"/>
              <w:rPr>
                <w:lang w:eastAsia="zh-CN"/>
              </w:rPr>
            </w:pPr>
            <w:r w:rsidRPr="00C1603D">
              <w:t>4 (0.09)</w:t>
            </w:r>
          </w:p>
        </w:tc>
        <w:tc>
          <w:tcPr>
            <w:tcW w:w="0" w:type="auto"/>
            <w:shd w:val="clear" w:color="auto" w:fill="auto"/>
          </w:tcPr>
          <w:p w14:paraId="64621AB4" w14:textId="0A36F216" w:rsidR="008B4DF8" w:rsidRPr="00C1603D" w:rsidRDefault="008B4DF8" w:rsidP="00FC0FE4">
            <w:pPr>
              <w:pStyle w:val="72TabletextTablesTableFigureBoxstyles"/>
              <w:rPr>
                <w:lang w:eastAsia="zh-CN"/>
              </w:rPr>
            </w:pPr>
            <w:r w:rsidRPr="00C1603D">
              <w:rPr>
                <w:lang w:eastAsia="en-GB"/>
              </w:rPr>
              <w:t>87 (1.7)</w:t>
            </w:r>
          </w:p>
        </w:tc>
        <w:tc>
          <w:tcPr>
            <w:tcW w:w="0" w:type="auto"/>
            <w:shd w:val="clear" w:color="auto" w:fill="auto"/>
          </w:tcPr>
          <w:p w14:paraId="22A76261" w14:textId="78F1FF1E" w:rsidR="008B4DF8" w:rsidRPr="00C1603D" w:rsidRDefault="008B4DF8" w:rsidP="00FC0FE4">
            <w:pPr>
              <w:pStyle w:val="72TabletextTablesTableFigureBoxstyles"/>
              <w:rPr>
                <w:lang w:eastAsia="zh-CN"/>
              </w:rPr>
            </w:pPr>
            <w:r w:rsidRPr="00C1603D">
              <w:rPr>
                <w:lang w:eastAsia="en-GB"/>
              </w:rPr>
              <w:t>795 (15.57)</w:t>
            </w:r>
          </w:p>
        </w:tc>
      </w:tr>
      <w:tr w:rsidR="008B4DF8" w:rsidRPr="00C1603D" w14:paraId="6F57D355" w14:textId="77777777" w:rsidTr="00FC0FE4">
        <w:trPr>
          <w:cantSplit/>
        </w:trPr>
        <w:tc>
          <w:tcPr>
            <w:tcW w:w="0" w:type="auto"/>
            <w:shd w:val="clear" w:color="auto" w:fill="auto"/>
            <w:noWrap/>
          </w:tcPr>
          <w:p w14:paraId="684A5EAA" w14:textId="77777777" w:rsidR="008B4DF8" w:rsidRPr="00C1603D" w:rsidRDefault="008B4DF8" w:rsidP="00FC0FE4">
            <w:pPr>
              <w:pStyle w:val="72TabletextTablesTableFigureBoxstyles"/>
              <w:rPr>
                <w:lang w:eastAsia="zh-CN"/>
              </w:rPr>
            </w:pPr>
            <w:r w:rsidRPr="00C1603D">
              <w:rPr>
                <w:lang w:eastAsia="zh-CN"/>
              </w:rPr>
              <w:t>30</w:t>
            </w:r>
            <w:r w:rsidRPr="00C1603D">
              <w:rPr>
                <w:color w:val="00B0F0"/>
                <w:lang w:eastAsia="zh-CN"/>
              </w:rPr>
              <w:t>–3</w:t>
            </w:r>
            <w:r w:rsidRPr="00C1603D">
              <w:rPr>
                <w:lang w:eastAsia="zh-CN"/>
              </w:rPr>
              <w:t>9</w:t>
            </w:r>
          </w:p>
        </w:tc>
        <w:tc>
          <w:tcPr>
            <w:tcW w:w="0" w:type="auto"/>
            <w:shd w:val="clear" w:color="auto" w:fill="auto"/>
          </w:tcPr>
          <w:p w14:paraId="081E8CA2" w14:textId="41523510" w:rsidR="008B4DF8" w:rsidRPr="00C1603D" w:rsidRDefault="008B4DF8" w:rsidP="00FC0FE4">
            <w:pPr>
              <w:pStyle w:val="72TabletextTablesTableFigureBoxstyles"/>
              <w:rPr>
                <w:lang w:eastAsia="zh-CN"/>
              </w:rPr>
            </w:pPr>
            <w:r w:rsidRPr="00C1603D">
              <w:rPr>
                <w:lang w:eastAsia="en-GB"/>
              </w:rPr>
              <w:t>6005</w:t>
            </w:r>
          </w:p>
        </w:tc>
        <w:tc>
          <w:tcPr>
            <w:tcW w:w="0" w:type="auto"/>
            <w:shd w:val="clear" w:color="auto" w:fill="auto"/>
            <w:noWrap/>
          </w:tcPr>
          <w:p w14:paraId="1705D368" w14:textId="76D52CE3" w:rsidR="008B4DF8" w:rsidRPr="00C1603D" w:rsidRDefault="008B4DF8" w:rsidP="00FC0FE4">
            <w:pPr>
              <w:pStyle w:val="72TabletextTablesTableFigureBoxstyles"/>
              <w:rPr>
                <w:lang w:eastAsia="zh-CN"/>
              </w:rPr>
            </w:pPr>
            <w:r w:rsidRPr="00C1603D">
              <w:t>8 (0.15)</w:t>
            </w:r>
          </w:p>
        </w:tc>
        <w:tc>
          <w:tcPr>
            <w:tcW w:w="0" w:type="auto"/>
            <w:shd w:val="clear" w:color="auto" w:fill="auto"/>
          </w:tcPr>
          <w:p w14:paraId="558C0B3B" w14:textId="6B27FE91" w:rsidR="008B4DF8" w:rsidRPr="00C1603D" w:rsidRDefault="008B4DF8" w:rsidP="00FC0FE4">
            <w:pPr>
              <w:pStyle w:val="72TabletextTablesTableFigureBoxstyles"/>
              <w:rPr>
                <w:lang w:eastAsia="zh-CN"/>
              </w:rPr>
            </w:pPr>
            <w:r w:rsidRPr="00C1603D">
              <w:rPr>
                <w:lang w:eastAsia="en-GB"/>
              </w:rPr>
              <w:t>207 (3.45)</w:t>
            </w:r>
          </w:p>
        </w:tc>
        <w:tc>
          <w:tcPr>
            <w:tcW w:w="0" w:type="auto"/>
            <w:shd w:val="clear" w:color="auto" w:fill="auto"/>
          </w:tcPr>
          <w:p w14:paraId="7897B717" w14:textId="785DF57C" w:rsidR="008B4DF8" w:rsidRPr="00C1603D" w:rsidRDefault="008B4DF8" w:rsidP="00FC0FE4">
            <w:pPr>
              <w:pStyle w:val="72TabletextTablesTableFigureBoxstyles"/>
              <w:rPr>
                <w:lang w:eastAsia="zh-CN"/>
              </w:rPr>
            </w:pPr>
            <w:r w:rsidRPr="00C1603D">
              <w:rPr>
                <w:lang w:eastAsia="en-GB"/>
              </w:rPr>
              <w:t>1277 (21.27)</w:t>
            </w:r>
          </w:p>
        </w:tc>
      </w:tr>
      <w:tr w:rsidR="008B4DF8" w:rsidRPr="00C1603D" w14:paraId="6460CF6D" w14:textId="77777777" w:rsidTr="00FC0FE4">
        <w:trPr>
          <w:cantSplit/>
        </w:trPr>
        <w:tc>
          <w:tcPr>
            <w:tcW w:w="0" w:type="auto"/>
            <w:shd w:val="clear" w:color="auto" w:fill="auto"/>
            <w:noWrap/>
          </w:tcPr>
          <w:p w14:paraId="175345F6" w14:textId="77777777" w:rsidR="008B4DF8" w:rsidRPr="00C1603D" w:rsidRDefault="008B4DF8" w:rsidP="00FC0FE4">
            <w:pPr>
              <w:pStyle w:val="72TabletextTablesTableFigureBoxstyles"/>
              <w:rPr>
                <w:lang w:eastAsia="zh-CN"/>
              </w:rPr>
            </w:pPr>
            <w:r w:rsidRPr="00C1603D">
              <w:rPr>
                <w:lang w:eastAsia="zh-CN"/>
              </w:rPr>
              <w:t>40</w:t>
            </w:r>
            <w:r w:rsidRPr="00C1603D">
              <w:rPr>
                <w:color w:val="00B0F0"/>
                <w:lang w:eastAsia="zh-CN"/>
              </w:rPr>
              <w:t>–4</w:t>
            </w:r>
            <w:r w:rsidRPr="00C1603D">
              <w:rPr>
                <w:lang w:eastAsia="zh-CN"/>
              </w:rPr>
              <w:t>9</w:t>
            </w:r>
          </w:p>
        </w:tc>
        <w:tc>
          <w:tcPr>
            <w:tcW w:w="0" w:type="auto"/>
            <w:shd w:val="clear" w:color="auto" w:fill="auto"/>
          </w:tcPr>
          <w:p w14:paraId="70AFBF5D" w14:textId="09CA8C58" w:rsidR="008B4DF8" w:rsidRPr="00C1603D" w:rsidRDefault="008B4DF8" w:rsidP="00FC0FE4">
            <w:pPr>
              <w:pStyle w:val="72TabletextTablesTableFigureBoxstyles"/>
              <w:rPr>
                <w:lang w:eastAsia="zh-CN"/>
              </w:rPr>
            </w:pPr>
            <w:r w:rsidRPr="00C1603D">
              <w:rPr>
                <w:lang w:eastAsia="en-GB"/>
              </w:rPr>
              <w:t>7417</w:t>
            </w:r>
          </w:p>
        </w:tc>
        <w:tc>
          <w:tcPr>
            <w:tcW w:w="0" w:type="auto"/>
            <w:shd w:val="clear" w:color="auto" w:fill="auto"/>
            <w:noWrap/>
          </w:tcPr>
          <w:p w14:paraId="214D3A30" w14:textId="479F9D24" w:rsidR="008B4DF8" w:rsidRPr="00C1603D" w:rsidRDefault="008B4DF8" w:rsidP="00FC0FE4">
            <w:pPr>
              <w:pStyle w:val="72TabletextTablesTableFigureBoxstyles"/>
              <w:rPr>
                <w:lang w:eastAsia="zh-CN"/>
              </w:rPr>
            </w:pPr>
            <w:r w:rsidRPr="00C1603D">
              <w:t>28 (0.46)</w:t>
            </w:r>
          </w:p>
        </w:tc>
        <w:tc>
          <w:tcPr>
            <w:tcW w:w="0" w:type="auto"/>
            <w:shd w:val="clear" w:color="auto" w:fill="auto"/>
          </w:tcPr>
          <w:p w14:paraId="2ABE1064" w14:textId="515C5B19" w:rsidR="008B4DF8" w:rsidRPr="00C1603D" w:rsidRDefault="008B4DF8" w:rsidP="00FC0FE4">
            <w:pPr>
              <w:pStyle w:val="72TabletextTablesTableFigureBoxstyles"/>
              <w:rPr>
                <w:lang w:eastAsia="zh-CN"/>
              </w:rPr>
            </w:pPr>
            <w:r w:rsidRPr="00C1603D">
              <w:rPr>
                <w:lang w:eastAsia="en-GB"/>
              </w:rPr>
              <w:t>594 (8.01)</w:t>
            </w:r>
          </w:p>
        </w:tc>
        <w:tc>
          <w:tcPr>
            <w:tcW w:w="0" w:type="auto"/>
            <w:shd w:val="clear" w:color="auto" w:fill="auto"/>
          </w:tcPr>
          <w:p w14:paraId="588794B5" w14:textId="5F1FB2EF" w:rsidR="008B4DF8" w:rsidRPr="00C1603D" w:rsidRDefault="008B4DF8" w:rsidP="00FC0FE4">
            <w:pPr>
              <w:pStyle w:val="72TabletextTablesTableFigureBoxstyles"/>
              <w:rPr>
                <w:lang w:eastAsia="zh-CN"/>
              </w:rPr>
            </w:pPr>
            <w:r w:rsidRPr="00C1603D">
              <w:rPr>
                <w:lang w:eastAsia="en-GB"/>
              </w:rPr>
              <w:t>2027 (27.33)</w:t>
            </w:r>
          </w:p>
        </w:tc>
      </w:tr>
      <w:tr w:rsidR="008B4DF8" w:rsidRPr="00C1603D" w14:paraId="23E0010E" w14:textId="77777777" w:rsidTr="00FC0FE4">
        <w:trPr>
          <w:cantSplit/>
        </w:trPr>
        <w:tc>
          <w:tcPr>
            <w:tcW w:w="0" w:type="auto"/>
            <w:shd w:val="clear" w:color="auto" w:fill="auto"/>
            <w:noWrap/>
          </w:tcPr>
          <w:p w14:paraId="7102631C" w14:textId="77777777" w:rsidR="008B4DF8" w:rsidRPr="00C1603D" w:rsidRDefault="008B4DF8" w:rsidP="00FC0FE4">
            <w:pPr>
              <w:pStyle w:val="72TabletextTablesTableFigureBoxstyles"/>
              <w:rPr>
                <w:lang w:eastAsia="zh-CN"/>
              </w:rPr>
            </w:pPr>
            <w:r w:rsidRPr="00C1603D">
              <w:rPr>
                <w:lang w:eastAsia="zh-CN"/>
              </w:rPr>
              <w:t>50</w:t>
            </w:r>
            <w:r w:rsidRPr="00C1603D">
              <w:rPr>
                <w:color w:val="00B0F0"/>
                <w:lang w:eastAsia="zh-CN"/>
              </w:rPr>
              <w:t>–5</w:t>
            </w:r>
            <w:r w:rsidRPr="00C1603D">
              <w:rPr>
                <w:lang w:eastAsia="zh-CN"/>
              </w:rPr>
              <w:t>9</w:t>
            </w:r>
          </w:p>
        </w:tc>
        <w:tc>
          <w:tcPr>
            <w:tcW w:w="0" w:type="auto"/>
            <w:shd w:val="clear" w:color="auto" w:fill="auto"/>
          </w:tcPr>
          <w:p w14:paraId="03A11333" w14:textId="3A76C42A" w:rsidR="008B4DF8" w:rsidRPr="00C1603D" w:rsidRDefault="008B4DF8" w:rsidP="00FC0FE4">
            <w:pPr>
              <w:pStyle w:val="72TabletextTablesTableFigureBoxstyles"/>
              <w:rPr>
                <w:lang w:eastAsia="zh-CN"/>
              </w:rPr>
            </w:pPr>
            <w:r w:rsidRPr="00C1603D">
              <w:rPr>
                <w:lang w:eastAsia="en-GB"/>
              </w:rPr>
              <w:t>7778</w:t>
            </w:r>
          </w:p>
        </w:tc>
        <w:tc>
          <w:tcPr>
            <w:tcW w:w="0" w:type="auto"/>
            <w:shd w:val="clear" w:color="auto" w:fill="auto"/>
            <w:noWrap/>
          </w:tcPr>
          <w:p w14:paraId="556A3FE7" w14:textId="5E206765" w:rsidR="008B4DF8" w:rsidRPr="00C1603D" w:rsidRDefault="008B4DF8" w:rsidP="00FC0FE4">
            <w:pPr>
              <w:pStyle w:val="72TabletextTablesTableFigureBoxstyles"/>
              <w:rPr>
                <w:lang w:eastAsia="zh-CN"/>
              </w:rPr>
            </w:pPr>
            <w:r w:rsidRPr="00C1603D">
              <w:t>49 (0.84)</w:t>
            </w:r>
          </w:p>
        </w:tc>
        <w:tc>
          <w:tcPr>
            <w:tcW w:w="0" w:type="auto"/>
            <w:shd w:val="clear" w:color="auto" w:fill="auto"/>
          </w:tcPr>
          <w:p w14:paraId="6822597B" w14:textId="1C2B6F1A" w:rsidR="008B4DF8" w:rsidRPr="00C1603D" w:rsidRDefault="008B4DF8" w:rsidP="00FC0FE4">
            <w:pPr>
              <w:pStyle w:val="72TabletextTablesTableFigureBoxstyles"/>
              <w:rPr>
                <w:lang w:eastAsia="zh-CN"/>
              </w:rPr>
            </w:pPr>
            <w:r w:rsidRPr="00C1603D">
              <w:rPr>
                <w:lang w:eastAsia="en-GB"/>
              </w:rPr>
              <w:t>1401 (18.01)</w:t>
            </w:r>
          </w:p>
        </w:tc>
        <w:tc>
          <w:tcPr>
            <w:tcW w:w="0" w:type="auto"/>
            <w:shd w:val="clear" w:color="auto" w:fill="auto"/>
          </w:tcPr>
          <w:p w14:paraId="08CFB85A" w14:textId="4951F104" w:rsidR="008B4DF8" w:rsidRPr="00C1603D" w:rsidRDefault="008B4DF8" w:rsidP="00FC0FE4">
            <w:pPr>
              <w:pStyle w:val="72TabletextTablesTableFigureBoxstyles"/>
              <w:rPr>
                <w:lang w:eastAsia="zh-CN"/>
              </w:rPr>
            </w:pPr>
            <w:r w:rsidRPr="00C1603D">
              <w:rPr>
                <w:lang w:eastAsia="en-GB"/>
              </w:rPr>
              <w:t>2116 (27.2)</w:t>
            </w:r>
          </w:p>
        </w:tc>
      </w:tr>
      <w:tr w:rsidR="008B4DF8" w:rsidRPr="00C1603D" w14:paraId="43C6AFC3" w14:textId="77777777" w:rsidTr="00FC0FE4">
        <w:trPr>
          <w:cantSplit/>
        </w:trPr>
        <w:tc>
          <w:tcPr>
            <w:tcW w:w="0" w:type="auto"/>
            <w:shd w:val="clear" w:color="auto" w:fill="auto"/>
            <w:noWrap/>
          </w:tcPr>
          <w:p w14:paraId="63953DF1" w14:textId="77777777" w:rsidR="008B4DF8" w:rsidRPr="00C1603D" w:rsidRDefault="008B4DF8" w:rsidP="00FC0FE4">
            <w:pPr>
              <w:pStyle w:val="72TabletextTablesTableFigureBoxstyles"/>
              <w:rPr>
                <w:lang w:eastAsia="zh-CN"/>
              </w:rPr>
            </w:pPr>
            <w:r w:rsidRPr="00C1603D">
              <w:rPr>
                <w:lang w:eastAsia="zh-CN"/>
              </w:rPr>
              <w:t>60</w:t>
            </w:r>
            <w:r w:rsidRPr="00C1603D">
              <w:rPr>
                <w:color w:val="00B0F0"/>
                <w:lang w:eastAsia="zh-CN"/>
              </w:rPr>
              <w:t>–6</w:t>
            </w:r>
            <w:r w:rsidRPr="00C1603D">
              <w:rPr>
                <w:lang w:eastAsia="zh-CN"/>
              </w:rPr>
              <w:t>9</w:t>
            </w:r>
          </w:p>
        </w:tc>
        <w:tc>
          <w:tcPr>
            <w:tcW w:w="0" w:type="auto"/>
            <w:shd w:val="clear" w:color="auto" w:fill="auto"/>
          </w:tcPr>
          <w:p w14:paraId="6F7627CE" w14:textId="795061EF" w:rsidR="008B4DF8" w:rsidRPr="00C1603D" w:rsidRDefault="008B4DF8" w:rsidP="00FC0FE4">
            <w:pPr>
              <w:pStyle w:val="72TabletextTablesTableFigureBoxstyles"/>
              <w:rPr>
                <w:lang w:eastAsia="zh-CN"/>
              </w:rPr>
            </w:pPr>
            <w:r w:rsidRPr="00C1603D">
              <w:rPr>
                <w:lang w:eastAsia="en-GB"/>
              </w:rPr>
              <w:t>7046</w:t>
            </w:r>
          </w:p>
        </w:tc>
        <w:tc>
          <w:tcPr>
            <w:tcW w:w="0" w:type="auto"/>
            <w:shd w:val="clear" w:color="auto" w:fill="auto"/>
            <w:noWrap/>
          </w:tcPr>
          <w:p w14:paraId="22E20133" w14:textId="6798059C" w:rsidR="008B4DF8" w:rsidRPr="00C1603D" w:rsidRDefault="008B4DF8" w:rsidP="00FC0FE4">
            <w:pPr>
              <w:pStyle w:val="72TabletextTablesTableFigureBoxstyles"/>
              <w:rPr>
                <w:lang w:eastAsia="zh-CN"/>
              </w:rPr>
            </w:pPr>
            <w:r w:rsidRPr="00C1603D">
              <w:t>70 (1.37)</w:t>
            </w:r>
          </w:p>
        </w:tc>
        <w:tc>
          <w:tcPr>
            <w:tcW w:w="0" w:type="auto"/>
            <w:shd w:val="clear" w:color="auto" w:fill="auto"/>
          </w:tcPr>
          <w:p w14:paraId="5354C2A4" w14:textId="4E1C25BC" w:rsidR="008B4DF8" w:rsidRPr="00C1603D" w:rsidRDefault="008B4DF8" w:rsidP="00FC0FE4">
            <w:pPr>
              <w:pStyle w:val="72TabletextTablesTableFigureBoxstyles"/>
              <w:rPr>
                <w:lang w:eastAsia="zh-CN"/>
              </w:rPr>
            </w:pPr>
            <w:r w:rsidRPr="00C1603D">
              <w:rPr>
                <w:lang w:eastAsia="en-GB"/>
              </w:rPr>
              <w:t>2199 (31.21)</w:t>
            </w:r>
          </w:p>
        </w:tc>
        <w:tc>
          <w:tcPr>
            <w:tcW w:w="0" w:type="auto"/>
            <w:shd w:val="clear" w:color="auto" w:fill="auto"/>
          </w:tcPr>
          <w:p w14:paraId="75BBE17F" w14:textId="28E08500" w:rsidR="008B4DF8" w:rsidRPr="00C1603D" w:rsidRDefault="008B4DF8" w:rsidP="00FC0FE4">
            <w:pPr>
              <w:pStyle w:val="72TabletextTablesTableFigureBoxstyles"/>
              <w:rPr>
                <w:lang w:eastAsia="zh-CN"/>
              </w:rPr>
            </w:pPr>
            <w:r w:rsidRPr="00C1603D">
              <w:rPr>
                <w:lang w:eastAsia="en-GB"/>
              </w:rPr>
              <w:t>2081 (29.53)</w:t>
            </w:r>
          </w:p>
        </w:tc>
      </w:tr>
      <w:tr w:rsidR="008B4DF8" w:rsidRPr="00C1603D" w14:paraId="75D4143D" w14:textId="77777777" w:rsidTr="00FC0FE4">
        <w:trPr>
          <w:cantSplit/>
        </w:trPr>
        <w:tc>
          <w:tcPr>
            <w:tcW w:w="0" w:type="auto"/>
            <w:shd w:val="clear" w:color="auto" w:fill="auto"/>
            <w:noWrap/>
          </w:tcPr>
          <w:p w14:paraId="38519199" w14:textId="77777777" w:rsidR="008B4DF8" w:rsidRPr="00C1603D" w:rsidRDefault="008B4DF8" w:rsidP="00FC0FE4">
            <w:pPr>
              <w:pStyle w:val="72TabletextTablesTableFigureBoxstyles"/>
              <w:rPr>
                <w:lang w:eastAsia="zh-CN"/>
              </w:rPr>
            </w:pPr>
            <w:r w:rsidRPr="00C1603D">
              <w:rPr>
                <w:lang w:eastAsia="zh-CN"/>
              </w:rPr>
              <w:t>70</w:t>
            </w:r>
            <w:r w:rsidRPr="00C1603D">
              <w:rPr>
                <w:color w:val="00B0F0"/>
                <w:lang w:eastAsia="zh-CN"/>
              </w:rPr>
              <w:t>–7</w:t>
            </w:r>
            <w:r w:rsidRPr="00C1603D">
              <w:rPr>
                <w:lang w:eastAsia="zh-CN"/>
              </w:rPr>
              <w:t>9</w:t>
            </w:r>
          </w:p>
        </w:tc>
        <w:tc>
          <w:tcPr>
            <w:tcW w:w="0" w:type="auto"/>
            <w:shd w:val="clear" w:color="auto" w:fill="auto"/>
          </w:tcPr>
          <w:p w14:paraId="2C4B788B" w14:textId="1BCA167F" w:rsidR="008B4DF8" w:rsidRPr="00C1603D" w:rsidRDefault="008B4DF8" w:rsidP="00FC0FE4">
            <w:pPr>
              <w:pStyle w:val="72TabletextTablesTableFigureBoxstyles"/>
              <w:rPr>
                <w:lang w:eastAsia="zh-CN"/>
              </w:rPr>
            </w:pPr>
            <w:r w:rsidRPr="00C1603D">
              <w:rPr>
                <w:lang w:eastAsia="en-GB"/>
              </w:rPr>
              <w:t>5153</w:t>
            </w:r>
          </w:p>
        </w:tc>
        <w:tc>
          <w:tcPr>
            <w:tcW w:w="0" w:type="auto"/>
            <w:shd w:val="clear" w:color="auto" w:fill="auto"/>
            <w:noWrap/>
          </w:tcPr>
          <w:p w14:paraId="665C3DCB" w14:textId="485B1376" w:rsidR="008B4DF8" w:rsidRPr="00C1603D" w:rsidRDefault="008B4DF8" w:rsidP="00FC0FE4">
            <w:pPr>
              <w:pStyle w:val="72TabletextTablesTableFigureBoxstyles"/>
              <w:rPr>
                <w:lang w:eastAsia="zh-CN"/>
              </w:rPr>
            </w:pPr>
            <w:r w:rsidRPr="00C1603D">
              <w:t>60 (1.72)</w:t>
            </w:r>
          </w:p>
        </w:tc>
        <w:tc>
          <w:tcPr>
            <w:tcW w:w="0" w:type="auto"/>
            <w:shd w:val="clear" w:color="auto" w:fill="auto"/>
          </w:tcPr>
          <w:p w14:paraId="7BBB71A7" w14:textId="69067420" w:rsidR="008B4DF8" w:rsidRPr="00C1603D" w:rsidRDefault="008B4DF8" w:rsidP="00FC0FE4">
            <w:pPr>
              <w:pStyle w:val="72TabletextTablesTableFigureBoxstyles"/>
              <w:rPr>
                <w:lang w:eastAsia="zh-CN"/>
              </w:rPr>
            </w:pPr>
            <w:r w:rsidRPr="00C1603D">
              <w:rPr>
                <w:lang w:eastAsia="en-GB"/>
              </w:rPr>
              <w:t>2124 (41.22)</w:t>
            </w:r>
          </w:p>
        </w:tc>
        <w:tc>
          <w:tcPr>
            <w:tcW w:w="0" w:type="auto"/>
            <w:shd w:val="clear" w:color="auto" w:fill="auto"/>
          </w:tcPr>
          <w:p w14:paraId="61041CDC" w14:textId="37A1DCCC" w:rsidR="008B4DF8" w:rsidRPr="00C1603D" w:rsidRDefault="008B4DF8" w:rsidP="00FC0FE4">
            <w:pPr>
              <w:pStyle w:val="72TabletextTablesTableFigureBoxstyles"/>
              <w:rPr>
                <w:lang w:eastAsia="zh-CN"/>
              </w:rPr>
            </w:pPr>
            <w:r w:rsidRPr="00C1603D">
              <w:rPr>
                <w:lang w:eastAsia="en-GB"/>
              </w:rPr>
              <w:t>1957 (37.98)</w:t>
            </w:r>
          </w:p>
        </w:tc>
      </w:tr>
      <w:tr w:rsidR="008B4DF8" w:rsidRPr="00C1603D" w14:paraId="6F971D5C" w14:textId="77777777" w:rsidTr="00FC0FE4">
        <w:trPr>
          <w:cantSplit/>
        </w:trPr>
        <w:tc>
          <w:tcPr>
            <w:tcW w:w="0" w:type="auto"/>
            <w:shd w:val="clear" w:color="auto" w:fill="auto"/>
            <w:noWrap/>
          </w:tcPr>
          <w:p w14:paraId="64194CB6" w14:textId="77777777" w:rsidR="008B4DF8" w:rsidRPr="00C1603D" w:rsidRDefault="008B4DF8" w:rsidP="00FC0FE4">
            <w:pPr>
              <w:pStyle w:val="72TabletextTablesTableFigureBoxstyles"/>
              <w:rPr>
                <w:lang w:eastAsia="zh-CN"/>
              </w:rPr>
            </w:pPr>
            <w:r w:rsidRPr="00C1603D">
              <w:rPr>
                <w:lang w:eastAsia="zh-CN"/>
              </w:rPr>
              <w:t>80</w:t>
            </w:r>
            <w:r w:rsidRPr="00C1603D">
              <w:rPr>
                <w:color w:val="00B0F0"/>
                <w:lang w:eastAsia="zh-CN"/>
              </w:rPr>
              <w:t>–8</w:t>
            </w:r>
            <w:r w:rsidRPr="00C1603D">
              <w:rPr>
                <w:lang w:eastAsia="zh-CN"/>
              </w:rPr>
              <w:t>9</w:t>
            </w:r>
          </w:p>
        </w:tc>
        <w:tc>
          <w:tcPr>
            <w:tcW w:w="0" w:type="auto"/>
            <w:shd w:val="clear" w:color="auto" w:fill="auto"/>
          </w:tcPr>
          <w:p w14:paraId="39A0D954" w14:textId="32CDC59A" w:rsidR="008B4DF8" w:rsidRPr="00C1603D" w:rsidRDefault="008B4DF8" w:rsidP="00FC0FE4">
            <w:pPr>
              <w:pStyle w:val="72TabletextTablesTableFigureBoxstyles"/>
              <w:rPr>
                <w:lang w:eastAsia="zh-CN"/>
              </w:rPr>
            </w:pPr>
            <w:r w:rsidRPr="00C1603D">
              <w:rPr>
                <w:lang w:eastAsia="en-GB"/>
              </w:rPr>
              <w:t>2063</w:t>
            </w:r>
          </w:p>
        </w:tc>
        <w:tc>
          <w:tcPr>
            <w:tcW w:w="0" w:type="auto"/>
            <w:shd w:val="clear" w:color="auto" w:fill="auto"/>
            <w:noWrap/>
          </w:tcPr>
          <w:p w14:paraId="6ABE44FA" w14:textId="57A04A89" w:rsidR="008B4DF8" w:rsidRPr="00C1603D" w:rsidRDefault="008B4DF8" w:rsidP="00FC0FE4">
            <w:pPr>
              <w:pStyle w:val="72TabletextTablesTableFigureBoxstyles"/>
              <w:rPr>
                <w:lang w:eastAsia="zh-CN"/>
              </w:rPr>
            </w:pPr>
            <w:r w:rsidRPr="00C1603D">
              <w:t>19 (1.46)</w:t>
            </w:r>
          </w:p>
        </w:tc>
        <w:tc>
          <w:tcPr>
            <w:tcW w:w="0" w:type="auto"/>
            <w:shd w:val="clear" w:color="auto" w:fill="auto"/>
          </w:tcPr>
          <w:p w14:paraId="20692661" w14:textId="3B584E19" w:rsidR="008B4DF8" w:rsidRPr="00C1603D" w:rsidRDefault="008B4DF8" w:rsidP="00FC0FE4">
            <w:pPr>
              <w:pStyle w:val="72TabletextTablesTableFigureBoxstyles"/>
              <w:rPr>
                <w:lang w:eastAsia="zh-CN"/>
              </w:rPr>
            </w:pPr>
            <w:r w:rsidRPr="00C1603D">
              <w:rPr>
                <w:lang w:eastAsia="en-GB"/>
              </w:rPr>
              <w:t>903 (43.77)</w:t>
            </w:r>
          </w:p>
        </w:tc>
        <w:tc>
          <w:tcPr>
            <w:tcW w:w="0" w:type="auto"/>
            <w:shd w:val="clear" w:color="auto" w:fill="auto"/>
          </w:tcPr>
          <w:p w14:paraId="7CF21EDE" w14:textId="45B8F73D" w:rsidR="008B4DF8" w:rsidRPr="00C1603D" w:rsidRDefault="008B4DF8" w:rsidP="00FC0FE4">
            <w:pPr>
              <w:pStyle w:val="72TabletextTablesTableFigureBoxstyles"/>
              <w:rPr>
                <w:lang w:eastAsia="zh-CN"/>
              </w:rPr>
            </w:pPr>
            <w:r w:rsidRPr="00C1603D">
              <w:rPr>
                <w:lang w:eastAsia="en-GB"/>
              </w:rPr>
              <w:t>888 (43.04)</w:t>
            </w:r>
          </w:p>
        </w:tc>
      </w:tr>
      <w:tr w:rsidR="008B4DF8" w:rsidRPr="00C1603D" w14:paraId="24195603" w14:textId="77777777" w:rsidTr="00FC0FE4">
        <w:trPr>
          <w:cantSplit/>
        </w:trPr>
        <w:tc>
          <w:tcPr>
            <w:tcW w:w="0" w:type="auto"/>
            <w:shd w:val="clear" w:color="auto" w:fill="auto"/>
            <w:noWrap/>
          </w:tcPr>
          <w:p w14:paraId="134E5639" w14:textId="77777777" w:rsidR="008B4DF8" w:rsidRPr="00C1603D" w:rsidRDefault="008B4DF8" w:rsidP="00FC0FE4">
            <w:pPr>
              <w:pStyle w:val="72TabletextTablesTableFigureBoxstyles"/>
              <w:rPr>
                <w:lang w:eastAsia="zh-CN"/>
              </w:rPr>
            </w:pPr>
            <w:r w:rsidRPr="00C1603D">
              <w:rPr>
                <w:lang w:eastAsia="zh-CN"/>
              </w:rPr>
              <w:t>90</w:t>
            </w:r>
            <w:r w:rsidRPr="00C1603D">
              <w:rPr>
                <w:color w:val="00B0F0"/>
                <w:lang w:eastAsia="zh-CN"/>
              </w:rPr>
              <w:t>–9</w:t>
            </w:r>
            <w:r w:rsidRPr="00C1603D">
              <w:rPr>
                <w:lang w:eastAsia="zh-CN"/>
              </w:rPr>
              <w:t>9</w:t>
            </w:r>
          </w:p>
        </w:tc>
        <w:tc>
          <w:tcPr>
            <w:tcW w:w="0" w:type="auto"/>
            <w:shd w:val="clear" w:color="auto" w:fill="auto"/>
          </w:tcPr>
          <w:p w14:paraId="3F4E8FAA" w14:textId="77777777" w:rsidR="008B4DF8" w:rsidRPr="00C1603D" w:rsidRDefault="008B4DF8" w:rsidP="00FC0FE4">
            <w:pPr>
              <w:pStyle w:val="72TabletextTablesTableFigureBoxstyles"/>
              <w:rPr>
                <w:lang w:eastAsia="zh-CN"/>
              </w:rPr>
            </w:pPr>
            <w:r w:rsidRPr="00C1603D">
              <w:rPr>
                <w:lang w:eastAsia="en-GB"/>
              </w:rPr>
              <w:t>255</w:t>
            </w:r>
          </w:p>
        </w:tc>
        <w:tc>
          <w:tcPr>
            <w:tcW w:w="0" w:type="auto"/>
            <w:shd w:val="clear" w:color="auto" w:fill="auto"/>
            <w:noWrap/>
          </w:tcPr>
          <w:p w14:paraId="43EA471F" w14:textId="63F1B70D" w:rsidR="008B4DF8" w:rsidRPr="00C1603D" w:rsidRDefault="008B4DF8" w:rsidP="00FC0FE4">
            <w:pPr>
              <w:pStyle w:val="72TabletextTablesTableFigureBoxstyles"/>
              <w:rPr>
                <w:lang w:eastAsia="zh-CN"/>
              </w:rPr>
            </w:pPr>
            <w:r w:rsidRPr="00C1603D">
              <w:t>2 (1.41)</w:t>
            </w:r>
          </w:p>
        </w:tc>
        <w:tc>
          <w:tcPr>
            <w:tcW w:w="0" w:type="auto"/>
            <w:shd w:val="clear" w:color="auto" w:fill="auto"/>
          </w:tcPr>
          <w:p w14:paraId="0DB74C5A" w14:textId="4B084A09" w:rsidR="008B4DF8" w:rsidRPr="00C1603D" w:rsidRDefault="008B4DF8" w:rsidP="00FC0FE4">
            <w:pPr>
              <w:pStyle w:val="72TabletextTablesTableFigureBoxstyles"/>
              <w:rPr>
                <w:lang w:eastAsia="zh-CN"/>
              </w:rPr>
            </w:pPr>
            <w:r w:rsidRPr="00C1603D">
              <w:rPr>
                <w:lang w:eastAsia="en-GB"/>
              </w:rPr>
              <w:t>100 (39.22)</w:t>
            </w:r>
          </w:p>
        </w:tc>
        <w:tc>
          <w:tcPr>
            <w:tcW w:w="0" w:type="auto"/>
            <w:shd w:val="clear" w:color="auto" w:fill="auto"/>
          </w:tcPr>
          <w:p w14:paraId="4BF8D53D" w14:textId="180D0CB8" w:rsidR="008B4DF8" w:rsidRPr="00C1603D" w:rsidRDefault="008B4DF8" w:rsidP="00FC0FE4">
            <w:pPr>
              <w:pStyle w:val="72TabletextTablesTableFigureBoxstyles"/>
              <w:rPr>
                <w:lang w:eastAsia="zh-CN"/>
              </w:rPr>
            </w:pPr>
            <w:r w:rsidRPr="00C1603D">
              <w:rPr>
                <w:lang w:eastAsia="en-GB"/>
              </w:rPr>
              <w:t>117 (45.88)</w:t>
            </w:r>
          </w:p>
        </w:tc>
      </w:tr>
      <w:tr w:rsidR="008B4DF8" w:rsidRPr="00C1603D" w14:paraId="18E180FF" w14:textId="77777777" w:rsidTr="00FC0FE4">
        <w:trPr>
          <w:cantSplit/>
        </w:trPr>
        <w:tc>
          <w:tcPr>
            <w:tcW w:w="0" w:type="auto"/>
            <w:gridSpan w:val="5"/>
            <w:shd w:val="clear" w:color="auto" w:fill="auto"/>
            <w:noWrap/>
          </w:tcPr>
          <w:p w14:paraId="1C030FCC" w14:textId="255CACEA" w:rsidR="00FC0FE4" w:rsidRPr="00C1603D" w:rsidRDefault="00FC0FE4" w:rsidP="00FC0FE4">
            <w:pPr>
              <w:pStyle w:val="75TablenotesTablesTableFigureBoxstyles"/>
            </w:pPr>
            <w:r w:rsidRPr="00C1603D">
              <w:t>a</w:t>
            </w:r>
            <w:r w:rsidRPr="00C1603D">
              <w:tab/>
              <w:t xml:space="preserve">Same prevalence at time of screening </w:t>
            </w:r>
            <w:proofErr w:type="gramStart"/>
            <w:r w:rsidRPr="00C1603D">
              <w:t>is assumed</w:t>
            </w:r>
            <w:proofErr w:type="gramEnd"/>
            <w:r w:rsidRPr="00C1603D">
              <w:t xml:space="preserve"> for newly diagnosed and undiagnosed CD.</w:t>
            </w:r>
          </w:p>
          <w:p w14:paraId="7B056430" w14:textId="4FCA77A4" w:rsidR="008B4DF8" w:rsidRPr="00C1603D" w:rsidRDefault="00FC0FE4" w:rsidP="00FC0FE4">
            <w:pPr>
              <w:pStyle w:val="75TablenotesTablesTableFigureBoxstyles"/>
              <w:rPr>
                <w:rFonts w:ascii="Times New Roman" w:hAnsi="Times New Roman"/>
              </w:rPr>
            </w:pPr>
            <w:r w:rsidRPr="00C1603D">
              <w:t>b</w:t>
            </w:r>
            <w:r w:rsidRPr="00C1603D">
              <w:tab/>
            </w:r>
            <w:r w:rsidR="008B4DF8" w:rsidRPr="00C1603D">
              <w:t xml:space="preserve">Patients may contribute to more than one age category as 20 years of data </w:t>
            </w:r>
            <w:proofErr w:type="gramStart"/>
            <w:r w:rsidR="008B4DF8" w:rsidRPr="00C1603D">
              <w:t>were used</w:t>
            </w:r>
            <w:proofErr w:type="gramEnd"/>
            <w:r w:rsidR="008B4DF8" w:rsidRPr="00C1603D">
              <w:t xml:space="preserve"> to estimate prevalence.</w:t>
            </w:r>
          </w:p>
        </w:tc>
      </w:tr>
    </w:tbl>
    <w:p w14:paraId="1E1E7E58" w14:textId="7ECDD79C" w:rsidR="008B4DF8" w:rsidRPr="00C1603D" w:rsidRDefault="008B4DF8" w:rsidP="008B4DF8">
      <w:pPr>
        <w:pStyle w:val="70TablelegendTablesTableFigureBoxstyles"/>
        <w:rPr>
          <w:vertAlign w:val="superscript"/>
        </w:rPr>
      </w:pPr>
      <w:bookmarkStart w:id="734" w:name="_Toc99720775"/>
      <w:r w:rsidRPr="00C1603D">
        <w:rPr>
          <w:b/>
        </w:rPr>
        <w:t>TABLE 64</w:t>
      </w:r>
      <w:r w:rsidRPr="00C1603D">
        <w:rPr>
          <w:b/>
        </w:rPr>
        <w:t> </w:t>
      </w:r>
      <w:r w:rsidRPr="00C1603D">
        <w:t xml:space="preserve">Age-stratified prevalence </w:t>
      </w:r>
      <w:r w:rsidR="00FC0FE4" w:rsidRPr="00C1603D">
        <w:t xml:space="preserve">of </w:t>
      </w:r>
      <w:r w:rsidRPr="00C1603D">
        <w:t xml:space="preserve">CD-related complications </w:t>
      </w:r>
      <w:r w:rsidR="00FC0FE4" w:rsidRPr="00C1603D">
        <w:t>among</w:t>
      </w:r>
      <w:r w:rsidRPr="00C1603D">
        <w:t xml:space="preserve"> CPRD Aurum patients with CD</w:t>
      </w:r>
      <w:r w:rsidR="00E26F30" w:rsidRPr="00C1603D">
        <w:t>:</w:t>
      </w:r>
      <w:r w:rsidRPr="00C1603D">
        <w:t xml:space="preserve"> men</w:t>
      </w:r>
      <w:bookmarkEnd w:id="734"/>
      <w:r w:rsidR="00FC0FE4" w:rsidRPr="00C1603D">
        <w:rPr>
          <w:vertAlign w:val="superscript"/>
        </w:rPr>
        <w:t>a</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2596"/>
        <w:gridCol w:w="1019"/>
        <w:gridCol w:w="1553"/>
        <w:gridCol w:w="2256"/>
        <w:gridCol w:w="1607"/>
      </w:tblGrid>
      <w:tr w:rsidR="00FC0FE4" w:rsidRPr="00C1603D" w14:paraId="62146750" w14:textId="77777777" w:rsidTr="004E5964">
        <w:trPr>
          <w:cantSplit/>
        </w:trPr>
        <w:tc>
          <w:tcPr>
            <w:tcW w:w="0" w:type="auto"/>
            <w:vMerge w:val="restart"/>
            <w:shd w:val="clear" w:color="auto" w:fill="auto"/>
            <w:noWrap/>
          </w:tcPr>
          <w:p w14:paraId="32E94D7C" w14:textId="6F05778E" w:rsidR="00FC0FE4" w:rsidRPr="00C1603D" w:rsidRDefault="00FC0FE4" w:rsidP="00FC0FE4">
            <w:pPr>
              <w:pStyle w:val="710TableheadTablesTableFigureBoxstyles"/>
              <w:rPr>
                <w:lang w:eastAsia="zh-CN"/>
              </w:rPr>
            </w:pPr>
            <w:r w:rsidRPr="00C1603D">
              <w:rPr>
                <w:lang w:eastAsia="zh-CN"/>
              </w:rPr>
              <w:t>Age categories</w:t>
            </w:r>
            <w:r w:rsidRPr="00C1603D">
              <w:rPr>
                <w:vertAlign w:val="superscript"/>
                <w:lang w:eastAsia="zh-CN"/>
              </w:rPr>
              <w:t>b</w:t>
            </w:r>
          </w:p>
        </w:tc>
        <w:tc>
          <w:tcPr>
            <w:tcW w:w="0" w:type="auto"/>
            <w:vMerge w:val="restart"/>
            <w:shd w:val="clear" w:color="auto" w:fill="auto"/>
          </w:tcPr>
          <w:p w14:paraId="3B4E5DFF" w14:textId="0FBF013C" w:rsidR="00FC0FE4" w:rsidRPr="00C1603D" w:rsidRDefault="00FC0FE4" w:rsidP="00FC0FE4">
            <w:pPr>
              <w:pStyle w:val="710TableheadTablesTableFigureBoxstyles"/>
              <w:rPr>
                <w:i/>
                <w:iCs/>
                <w:lang w:eastAsia="zh-CN"/>
              </w:rPr>
            </w:pPr>
            <w:r w:rsidRPr="00C1603D">
              <w:rPr>
                <w:i/>
                <w:iCs/>
                <w:lang w:eastAsia="zh-CN"/>
              </w:rPr>
              <w:t>N</w:t>
            </w:r>
          </w:p>
        </w:tc>
        <w:tc>
          <w:tcPr>
            <w:tcW w:w="0" w:type="auto"/>
            <w:gridSpan w:val="3"/>
            <w:shd w:val="clear" w:color="auto" w:fill="auto"/>
          </w:tcPr>
          <w:p w14:paraId="509E4045" w14:textId="77AC3AE8" w:rsidR="00FC0FE4" w:rsidRPr="00C1603D" w:rsidRDefault="00E21DD8" w:rsidP="00FC0FE4">
            <w:pPr>
              <w:pStyle w:val="705TableheadgroupTablesTableFigureBoxstyles"/>
              <w:rPr>
                <w:lang w:eastAsia="zh-CN"/>
              </w:rPr>
            </w:pPr>
            <w:r w:rsidRPr="00C1603D">
              <w:rPr>
                <w:lang w:eastAsia="zh-CN"/>
              </w:rPr>
              <w:t xml:space="preserve">Complication, </w:t>
            </w:r>
            <w:r w:rsidRPr="00C1603D">
              <w:rPr>
                <w:i/>
                <w:iCs/>
                <w:lang w:eastAsia="zh-CN"/>
              </w:rPr>
              <w:t>n</w:t>
            </w:r>
            <w:r w:rsidRPr="00C1603D">
              <w:rPr>
                <w:lang w:eastAsia="zh-CN"/>
              </w:rPr>
              <w:t xml:space="preserve"> (%)</w:t>
            </w:r>
          </w:p>
        </w:tc>
      </w:tr>
      <w:tr w:rsidR="00FC0FE4" w:rsidRPr="00C1603D" w14:paraId="3C865282" w14:textId="77777777" w:rsidTr="00FC0FE4">
        <w:trPr>
          <w:cantSplit/>
        </w:trPr>
        <w:tc>
          <w:tcPr>
            <w:tcW w:w="0" w:type="auto"/>
            <w:vMerge/>
            <w:shd w:val="clear" w:color="auto" w:fill="auto"/>
            <w:noWrap/>
          </w:tcPr>
          <w:p w14:paraId="12E1C94B" w14:textId="59B69235" w:rsidR="00FC0FE4" w:rsidRPr="00C1603D" w:rsidRDefault="00FC0FE4" w:rsidP="00FC0FE4">
            <w:pPr>
              <w:pStyle w:val="710TableheadTablesTableFigureBoxstyles"/>
              <w:rPr>
                <w:color w:val="000000"/>
                <w:vertAlign w:val="superscript"/>
                <w:lang w:val="en-IE" w:eastAsia="zh-CN"/>
              </w:rPr>
            </w:pPr>
          </w:p>
        </w:tc>
        <w:tc>
          <w:tcPr>
            <w:tcW w:w="0" w:type="auto"/>
            <w:vMerge/>
            <w:shd w:val="clear" w:color="auto" w:fill="auto"/>
          </w:tcPr>
          <w:p w14:paraId="7AF3F51E" w14:textId="417ADA62" w:rsidR="00FC0FE4" w:rsidRPr="00C1603D" w:rsidRDefault="00FC0FE4" w:rsidP="00FC0FE4">
            <w:pPr>
              <w:pStyle w:val="710TableheadTablesTableFigureBoxstyles"/>
              <w:rPr>
                <w:i/>
                <w:iCs/>
                <w:color w:val="000000"/>
                <w:lang w:eastAsia="zh-CN"/>
              </w:rPr>
            </w:pPr>
          </w:p>
        </w:tc>
        <w:tc>
          <w:tcPr>
            <w:tcW w:w="0" w:type="auto"/>
            <w:shd w:val="clear" w:color="auto" w:fill="auto"/>
          </w:tcPr>
          <w:p w14:paraId="7C0F8CE9" w14:textId="5D48644D" w:rsidR="00FC0FE4" w:rsidRPr="00C1603D" w:rsidRDefault="00FC0FE4" w:rsidP="00FC0FE4">
            <w:pPr>
              <w:pStyle w:val="710TableheadTablesTableFigureBoxstyles"/>
              <w:rPr>
                <w:color w:val="000000"/>
                <w:lang w:eastAsia="zh-CN"/>
              </w:rPr>
            </w:pPr>
            <w:r w:rsidRPr="00C1603D">
              <w:rPr>
                <w:lang w:eastAsia="zh-CN"/>
              </w:rPr>
              <w:t>NHL</w:t>
            </w:r>
          </w:p>
        </w:tc>
        <w:tc>
          <w:tcPr>
            <w:tcW w:w="0" w:type="auto"/>
            <w:shd w:val="clear" w:color="auto" w:fill="auto"/>
          </w:tcPr>
          <w:p w14:paraId="7B9DC126" w14:textId="5F4D223F" w:rsidR="00FC0FE4" w:rsidRPr="00C1603D" w:rsidRDefault="00FC0FE4" w:rsidP="00FC0FE4">
            <w:pPr>
              <w:pStyle w:val="710TableheadTablesTableFigureBoxstyles"/>
              <w:rPr>
                <w:color w:val="000000"/>
                <w:lang w:eastAsia="zh-CN"/>
              </w:rPr>
            </w:pPr>
            <w:r w:rsidRPr="00C1603D">
              <w:rPr>
                <w:lang w:eastAsia="zh-CN"/>
              </w:rPr>
              <w:t>Osteoporosis</w:t>
            </w:r>
          </w:p>
        </w:tc>
        <w:tc>
          <w:tcPr>
            <w:tcW w:w="0" w:type="auto"/>
            <w:shd w:val="clear" w:color="auto" w:fill="auto"/>
          </w:tcPr>
          <w:p w14:paraId="6E07CE68" w14:textId="69149521" w:rsidR="00FC0FE4" w:rsidRPr="00C1603D" w:rsidRDefault="00FC0FE4" w:rsidP="00FC0FE4">
            <w:pPr>
              <w:pStyle w:val="710TableheadTablesTableFigureBoxstyles"/>
              <w:rPr>
                <w:lang w:eastAsia="zh-CN"/>
              </w:rPr>
            </w:pPr>
            <w:r w:rsidRPr="00C1603D">
              <w:rPr>
                <w:lang w:eastAsia="zh-CN"/>
              </w:rPr>
              <w:t>IDA</w:t>
            </w:r>
          </w:p>
        </w:tc>
      </w:tr>
      <w:tr w:rsidR="008B4DF8" w:rsidRPr="00C1603D" w14:paraId="07736253" w14:textId="77777777" w:rsidTr="00FC0FE4">
        <w:trPr>
          <w:cantSplit/>
        </w:trPr>
        <w:tc>
          <w:tcPr>
            <w:tcW w:w="0" w:type="auto"/>
            <w:shd w:val="clear" w:color="auto" w:fill="auto"/>
            <w:noWrap/>
          </w:tcPr>
          <w:p w14:paraId="08182045" w14:textId="77777777" w:rsidR="008B4DF8" w:rsidRPr="00C1603D" w:rsidRDefault="008B4DF8" w:rsidP="00FC0FE4">
            <w:pPr>
              <w:pStyle w:val="72TabletextTablesTableFigureBoxstyles"/>
              <w:rPr>
                <w:lang w:eastAsia="zh-CN"/>
              </w:rPr>
            </w:pPr>
            <w:r w:rsidRPr="00C1603D">
              <w:rPr>
                <w:lang w:eastAsia="zh-CN"/>
              </w:rPr>
              <w:t>0</w:t>
            </w:r>
            <w:r w:rsidRPr="00C1603D">
              <w:rPr>
                <w:color w:val="00B0F0"/>
                <w:lang w:eastAsia="zh-CN"/>
              </w:rPr>
              <w:t>–9</w:t>
            </w:r>
          </w:p>
        </w:tc>
        <w:tc>
          <w:tcPr>
            <w:tcW w:w="0" w:type="auto"/>
            <w:shd w:val="clear" w:color="auto" w:fill="auto"/>
          </w:tcPr>
          <w:p w14:paraId="209A9EC8" w14:textId="10C8930B" w:rsidR="008B4DF8" w:rsidRPr="00C1603D" w:rsidRDefault="008B4DF8" w:rsidP="00FC0FE4">
            <w:pPr>
              <w:pStyle w:val="72TabletextTablesTableFigureBoxstyles"/>
              <w:rPr>
                <w:lang w:eastAsia="zh-CN"/>
              </w:rPr>
            </w:pPr>
            <w:r w:rsidRPr="00C1603D">
              <w:rPr>
                <w:lang w:eastAsia="en-GB"/>
              </w:rPr>
              <w:t>1299</w:t>
            </w:r>
          </w:p>
        </w:tc>
        <w:tc>
          <w:tcPr>
            <w:tcW w:w="0" w:type="auto"/>
            <w:shd w:val="clear" w:color="auto" w:fill="auto"/>
            <w:noWrap/>
          </w:tcPr>
          <w:p w14:paraId="66CA1C78" w14:textId="300361DD" w:rsidR="008B4DF8" w:rsidRPr="00C1603D" w:rsidRDefault="008B4DF8" w:rsidP="00FC0FE4">
            <w:pPr>
              <w:pStyle w:val="72TabletextTablesTableFigureBoxstyles"/>
              <w:rPr>
                <w:lang w:eastAsia="zh-CN"/>
              </w:rPr>
            </w:pPr>
            <w:r w:rsidRPr="00C1603D">
              <w:t>1 (0.08)</w:t>
            </w:r>
          </w:p>
        </w:tc>
        <w:tc>
          <w:tcPr>
            <w:tcW w:w="0" w:type="auto"/>
            <w:shd w:val="clear" w:color="auto" w:fill="auto"/>
          </w:tcPr>
          <w:p w14:paraId="72B3222C" w14:textId="0CCE33EE" w:rsidR="008B4DF8" w:rsidRPr="00C1603D" w:rsidRDefault="008B4DF8" w:rsidP="00FC0FE4">
            <w:pPr>
              <w:pStyle w:val="72TabletextTablesTableFigureBoxstyles"/>
              <w:rPr>
                <w:lang w:eastAsia="zh-CN"/>
              </w:rPr>
            </w:pPr>
            <w:r w:rsidRPr="00C1603D">
              <w:rPr>
                <w:lang w:eastAsia="en-GB"/>
              </w:rPr>
              <w:t>0 (0)</w:t>
            </w:r>
          </w:p>
        </w:tc>
        <w:tc>
          <w:tcPr>
            <w:tcW w:w="0" w:type="auto"/>
            <w:shd w:val="clear" w:color="auto" w:fill="auto"/>
          </w:tcPr>
          <w:p w14:paraId="5D32F87B" w14:textId="5DAAE05D" w:rsidR="008B4DF8" w:rsidRPr="00C1603D" w:rsidRDefault="008B4DF8" w:rsidP="00FC0FE4">
            <w:pPr>
              <w:pStyle w:val="72TabletextTablesTableFigureBoxstyles"/>
              <w:rPr>
                <w:lang w:eastAsia="zh-CN"/>
              </w:rPr>
            </w:pPr>
            <w:r w:rsidRPr="00C1603D">
              <w:rPr>
                <w:lang w:eastAsia="en-GB"/>
              </w:rPr>
              <w:t>149 (11.47)</w:t>
            </w:r>
          </w:p>
        </w:tc>
      </w:tr>
      <w:tr w:rsidR="008B4DF8" w:rsidRPr="00C1603D" w14:paraId="1F60A93E" w14:textId="77777777" w:rsidTr="00FC0FE4">
        <w:trPr>
          <w:cantSplit/>
        </w:trPr>
        <w:tc>
          <w:tcPr>
            <w:tcW w:w="0" w:type="auto"/>
            <w:shd w:val="clear" w:color="auto" w:fill="auto"/>
            <w:noWrap/>
          </w:tcPr>
          <w:p w14:paraId="708FC33F" w14:textId="77777777" w:rsidR="008B4DF8" w:rsidRPr="00C1603D" w:rsidRDefault="008B4DF8" w:rsidP="00FC0FE4">
            <w:pPr>
              <w:pStyle w:val="72TabletextTablesTableFigureBoxstyles"/>
              <w:rPr>
                <w:lang w:eastAsia="zh-CN"/>
              </w:rPr>
            </w:pPr>
            <w:r w:rsidRPr="00C1603D">
              <w:rPr>
                <w:lang w:eastAsia="zh-CN"/>
              </w:rPr>
              <w:t>10</w:t>
            </w:r>
            <w:r w:rsidRPr="00C1603D">
              <w:rPr>
                <w:color w:val="00B0F0"/>
                <w:lang w:eastAsia="zh-CN"/>
              </w:rPr>
              <w:t>–1</w:t>
            </w:r>
            <w:r w:rsidRPr="00C1603D">
              <w:rPr>
                <w:lang w:eastAsia="zh-CN"/>
              </w:rPr>
              <w:t>9</w:t>
            </w:r>
          </w:p>
        </w:tc>
        <w:tc>
          <w:tcPr>
            <w:tcW w:w="0" w:type="auto"/>
            <w:shd w:val="clear" w:color="auto" w:fill="auto"/>
          </w:tcPr>
          <w:p w14:paraId="56423176" w14:textId="79BDCF3B" w:rsidR="008B4DF8" w:rsidRPr="00C1603D" w:rsidRDefault="008B4DF8" w:rsidP="00FC0FE4">
            <w:pPr>
              <w:pStyle w:val="72TabletextTablesTableFigureBoxstyles"/>
              <w:rPr>
                <w:lang w:eastAsia="zh-CN"/>
              </w:rPr>
            </w:pPr>
            <w:r w:rsidRPr="00C1603D">
              <w:rPr>
                <w:lang w:eastAsia="en-GB"/>
              </w:rPr>
              <w:t>1417</w:t>
            </w:r>
          </w:p>
        </w:tc>
        <w:tc>
          <w:tcPr>
            <w:tcW w:w="0" w:type="auto"/>
            <w:shd w:val="clear" w:color="auto" w:fill="auto"/>
            <w:noWrap/>
          </w:tcPr>
          <w:p w14:paraId="44705329" w14:textId="7F6E44BF" w:rsidR="008B4DF8" w:rsidRPr="00C1603D" w:rsidRDefault="008B4DF8" w:rsidP="00FC0FE4">
            <w:pPr>
              <w:pStyle w:val="72TabletextTablesTableFigureBoxstyles"/>
              <w:rPr>
                <w:lang w:eastAsia="zh-CN"/>
              </w:rPr>
            </w:pPr>
            <w:r w:rsidRPr="00C1603D">
              <w:t>1 (0.07)</w:t>
            </w:r>
          </w:p>
        </w:tc>
        <w:tc>
          <w:tcPr>
            <w:tcW w:w="0" w:type="auto"/>
            <w:shd w:val="clear" w:color="auto" w:fill="auto"/>
          </w:tcPr>
          <w:p w14:paraId="243316D3" w14:textId="445041FB" w:rsidR="008B4DF8" w:rsidRPr="00C1603D" w:rsidRDefault="008B4DF8" w:rsidP="00FC0FE4">
            <w:pPr>
              <w:pStyle w:val="72TabletextTablesTableFigureBoxstyles"/>
              <w:rPr>
                <w:lang w:eastAsia="zh-CN"/>
              </w:rPr>
            </w:pPr>
            <w:r w:rsidRPr="00C1603D">
              <w:rPr>
                <w:lang w:eastAsia="en-GB"/>
              </w:rPr>
              <w:t>5 (0.35)</w:t>
            </w:r>
          </w:p>
        </w:tc>
        <w:tc>
          <w:tcPr>
            <w:tcW w:w="0" w:type="auto"/>
            <w:shd w:val="clear" w:color="auto" w:fill="auto"/>
          </w:tcPr>
          <w:p w14:paraId="56FF68B4" w14:textId="560017EB" w:rsidR="008B4DF8" w:rsidRPr="00C1603D" w:rsidRDefault="008B4DF8" w:rsidP="00FC0FE4">
            <w:pPr>
              <w:pStyle w:val="72TabletextTablesTableFigureBoxstyles"/>
              <w:rPr>
                <w:lang w:eastAsia="zh-CN"/>
              </w:rPr>
            </w:pPr>
            <w:r w:rsidRPr="00C1603D">
              <w:rPr>
                <w:lang w:eastAsia="en-GB"/>
              </w:rPr>
              <w:t>132 (9.32)</w:t>
            </w:r>
          </w:p>
        </w:tc>
      </w:tr>
      <w:tr w:rsidR="008B4DF8" w:rsidRPr="00C1603D" w14:paraId="4C317DE4" w14:textId="77777777" w:rsidTr="00FC0FE4">
        <w:trPr>
          <w:cantSplit/>
        </w:trPr>
        <w:tc>
          <w:tcPr>
            <w:tcW w:w="0" w:type="auto"/>
            <w:shd w:val="clear" w:color="auto" w:fill="auto"/>
            <w:noWrap/>
          </w:tcPr>
          <w:p w14:paraId="5A497FEC" w14:textId="77777777" w:rsidR="008B4DF8" w:rsidRPr="00C1603D" w:rsidRDefault="008B4DF8" w:rsidP="00FC0FE4">
            <w:pPr>
              <w:pStyle w:val="72TabletextTablesTableFigureBoxstyles"/>
              <w:rPr>
                <w:lang w:eastAsia="zh-CN"/>
              </w:rPr>
            </w:pPr>
            <w:r w:rsidRPr="00C1603D">
              <w:rPr>
                <w:lang w:eastAsia="zh-CN"/>
              </w:rPr>
              <w:t>20</w:t>
            </w:r>
            <w:r w:rsidRPr="00C1603D">
              <w:rPr>
                <w:color w:val="00B0F0"/>
                <w:lang w:eastAsia="zh-CN"/>
              </w:rPr>
              <w:t>–2</w:t>
            </w:r>
            <w:r w:rsidRPr="00C1603D">
              <w:rPr>
                <w:lang w:eastAsia="zh-CN"/>
              </w:rPr>
              <w:t>9</w:t>
            </w:r>
          </w:p>
        </w:tc>
        <w:tc>
          <w:tcPr>
            <w:tcW w:w="0" w:type="auto"/>
            <w:shd w:val="clear" w:color="auto" w:fill="auto"/>
          </w:tcPr>
          <w:p w14:paraId="50BD56C0" w14:textId="01C3FA28" w:rsidR="008B4DF8" w:rsidRPr="00C1603D" w:rsidRDefault="008B4DF8" w:rsidP="00FC0FE4">
            <w:pPr>
              <w:pStyle w:val="72TabletextTablesTableFigureBoxstyles"/>
              <w:rPr>
                <w:lang w:eastAsia="zh-CN"/>
              </w:rPr>
            </w:pPr>
            <w:r w:rsidRPr="00C1603D">
              <w:rPr>
                <w:lang w:eastAsia="en-GB"/>
              </w:rPr>
              <w:t>1190</w:t>
            </w:r>
          </w:p>
        </w:tc>
        <w:tc>
          <w:tcPr>
            <w:tcW w:w="0" w:type="auto"/>
            <w:shd w:val="clear" w:color="auto" w:fill="auto"/>
            <w:noWrap/>
          </w:tcPr>
          <w:p w14:paraId="0AB5F1AC" w14:textId="5CA27520" w:rsidR="008B4DF8" w:rsidRPr="00C1603D" w:rsidRDefault="008B4DF8" w:rsidP="00FC0FE4">
            <w:pPr>
              <w:pStyle w:val="72TabletextTablesTableFigureBoxstyles"/>
              <w:rPr>
                <w:lang w:eastAsia="zh-CN"/>
              </w:rPr>
            </w:pPr>
            <w:r w:rsidRPr="00C1603D">
              <w:t>2 (0.17)</w:t>
            </w:r>
          </w:p>
        </w:tc>
        <w:tc>
          <w:tcPr>
            <w:tcW w:w="0" w:type="auto"/>
            <w:shd w:val="clear" w:color="auto" w:fill="auto"/>
          </w:tcPr>
          <w:p w14:paraId="010518DF" w14:textId="5F7435E6" w:rsidR="008B4DF8" w:rsidRPr="00C1603D" w:rsidRDefault="008B4DF8" w:rsidP="00FC0FE4">
            <w:pPr>
              <w:pStyle w:val="72TabletextTablesTableFigureBoxstyles"/>
              <w:rPr>
                <w:lang w:eastAsia="zh-CN"/>
              </w:rPr>
            </w:pPr>
            <w:r w:rsidRPr="00C1603D">
              <w:rPr>
                <w:lang w:eastAsia="en-GB"/>
              </w:rPr>
              <w:t>23 (1.93)</w:t>
            </w:r>
          </w:p>
        </w:tc>
        <w:tc>
          <w:tcPr>
            <w:tcW w:w="0" w:type="auto"/>
            <w:shd w:val="clear" w:color="auto" w:fill="auto"/>
          </w:tcPr>
          <w:p w14:paraId="3B97DE21" w14:textId="08449A44" w:rsidR="008B4DF8" w:rsidRPr="00C1603D" w:rsidRDefault="008B4DF8" w:rsidP="00FC0FE4">
            <w:pPr>
              <w:pStyle w:val="72TabletextTablesTableFigureBoxstyles"/>
              <w:rPr>
                <w:lang w:eastAsia="zh-CN"/>
              </w:rPr>
            </w:pPr>
            <w:r w:rsidRPr="00C1603D">
              <w:rPr>
                <w:lang w:eastAsia="en-GB"/>
              </w:rPr>
              <w:t>83 (6.97)</w:t>
            </w:r>
          </w:p>
        </w:tc>
      </w:tr>
      <w:tr w:rsidR="008B4DF8" w:rsidRPr="00C1603D" w14:paraId="09723B81" w14:textId="77777777" w:rsidTr="00FC0FE4">
        <w:trPr>
          <w:cantSplit/>
        </w:trPr>
        <w:tc>
          <w:tcPr>
            <w:tcW w:w="0" w:type="auto"/>
            <w:shd w:val="clear" w:color="auto" w:fill="auto"/>
            <w:noWrap/>
          </w:tcPr>
          <w:p w14:paraId="21B77A55" w14:textId="77777777" w:rsidR="008B4DF8" w:rsidRPr="00C1603D" w:rsidRDefault="008B4DF8" w:rsidP="00FC0FE4">
            <w:pPr>
              <w:pStyle w:val="72TabletextTablesTableFigureBoxstyles"/>
              <w:rPr>
                <w:lang w:eastAsia="zh-CN"/>
              </w:rPr>
            </w:pPr>
            <w:r w:rsidRPr="00C1603D">
              <w:rPr>
                <w:lang w:eastAsia="zh-CN"/>
              </w:rPr>
              <w:t>30</w:t>
            </w:r>
            <w:r w:rsidRPr="00C1603D">
              <w:rPr>
                <w:color w:val="00B0F0"/>
                <w:lang w:eastAsia="zh-CN"/>
              </w:rPr>
              <w:t>–3</w:t>
            </w:r>
            <w:r w:rsidRPr="00C1603D">
              <w:rPr>
                <w:lang w:eastAsia="zh-CN"/>
              </w:rPr>
              <w:t>9</w:t>
            </w:r>
          </w:p>
        </w:tc>
        <w:tc>
          <w:tcPr>
            <w:tcW w:w="0" w:type="auto"/>
            <w:shd w:val="clear" w:color="auto" w:fill="auto"/>
          </w:tcPr>
          <w:p w14:paraId="16DCD4F1" w14:textId="56607D6A" w:rsidR="008B4DF8" w:rsidRPr="00C1603D" w:rsidRDefault="008B4DF8" w:rsidP="00FC0FE4">
            <w:pPr>
              <w:pStyle w:val="72TabletextTablesTableFigureBoxstyles"/>
              <w:rPr>
                <w:lang w:eastAsia="zh-CN"/>
              </w:rPr>
            </w:pPr>
            <w:r w:rsidRPr="00C1603D">
              <w:rPr>
                <w:lang w:eastAsia="en-GB"/>
              </w:rPr>
              <w:t>1603</w:t>
            </w:r>
          </w:p>
        </w:tc>
        <w:tc>
          <w:tcPr>
            <w:tcW w:w="0" w:type="auto"/>
            <w:shd w:val="clear" w:color="auto" w:fill="auto"/>
            <w:noWrap/>
          </w:tcPr>
          <w:p w14:paraId="30E1CEA9" w14:textId="4ADED0C9" w:rsidR="008B4DF8" w:rsidRPr="00C1603D" w:rsidRDefault="008B4DF8" w:rsidP="00FC0FE4">
            <w:pPr>
              <w:pStyle w:val="72TabletextTablesTableFigureBoxstyles"/>
              <w:rPr>
                <w:lang w:eastAsia="zh-CN"/>
              </w:rPr>
            </w:pPr>
            <w:r w:rsidRPr="00C1603D">
              <w:t>2 (0.12)</w:t>
            </w:r>
          </w:p>
        </w:tc>
        <w:tc>
          <w:tcPr>
            <w:tcW w:w="0" w:type="auto"/>
            <w:shd w:val="clear" w:color="auto" w:fill="auto"/>
          </w:tcPr>
          <w:p w14:paraId="61C1EA35" w14:textId="60FC7DB1" w:rsidR="008B4DF8" w:rsidRPr="00C1603D" w:rsidRDefault="008B4DF8" w:rsidP="00FC0FE4">
            <w:pPr>
              <w:pStyle w:val="72TabletextTablesTableFigureBoxstyles"/>
              <w:rPr>
                <w:lang w:eastAsia="zh-CN"/>
              </w:rPr>
            </w:pPr>
            <w:r w:rsidRPr="00C1603D">
              <w:rPr>
                <w:lang w:eastAsia="en-GB"/>
              </w:rPr>
              <w:t>59 (3.68)</w:t>
            </w:r>
          </w:p>
        </w:tc>
        <w:tc>
          <w:tcPr>
            <w:tcW w:w="0" w:type="auto"/>
            <w:shd w:val="clear" w:color="auto" w:fill="auto"/>
          </w:tcPr>
          <w:p w14:paraId="6742D1A9" w14:textId="516EE4DD" w:rsidR="008B4DF8" w:rsidRPr="00C1603D" w:rsidRDefault="008B4DF8" w:rsidP="00FC0FE4">
            <w:pPr>
              <w:pStyle w:val="72TabletextTablesTableFigureBoxstyles"/>
              <w:rPr>
                <w:lang w:eastAsia="zh-CN"/>
              </w:rPr>
            </w:pPr>
            <w:r w:rsidRPr="00C1603D">
              <w:rPr>
                <w:lang w:eastAsia="en-GB"/>
              </w:rPr>
              <w:t>137 (8.55)</w:t>
            </w:r>
          </w:p>
        </w:tc>
      </w:tr>
      <w:tr w:rsidR="008B4DF8" w:rsidRPr="00C1603D" w14:paraId="280456C7" w14:textId="77777777" w:rsidTr="00FC0FE4">
        <w:trPr>
          <w:cantSplit/>
        </w:trPr>
        <w:tc>
          <w:tcPr>
            <w:tcW w:w="0" w:type="auto"/>
            <w:shd w:val="clear" w:color="auto" w:fill="auto"/>
            <w:noWrap/>
          </w:tcPr>
          <w:p w14:paraId="7E61880B" w14:textId="77777777" w:rsidR="008B4DF8" w:rsidRPr="00C1603D" w:rsidRDefault="008B4DF8" w:rsidP="00FC0FE4">
            <w:pPr>
              <w:pStyle w:val="72TabletextTablesTableFigureBoxstyles"/>
              <w:rPr>
                <w:lang w:eastAsia="zh-CN"/>
              </w:rPr>
            </w:pPr>
            <w:r w:rsidRPr="00C1603D">
              <w:rPr>
                <w:lang w:eastAsia="zh-CN"/>
              </w:rPr>
              <w:t>40</w:t>
            </w:r>
            <w:r w:rsidRPr="00C1603D">
              <w:rPr>
                <w:color w:val="00B0F0"/>
                <w:lang w:eastAsia="zh-CN"/>
              </w:rPr>
              <w:t>–4</w:t>
            </w:r>
            <w:r w:rsidRPr="00C1603D">
              <w:rPr>
                <w:lang w:eastAsia="zh-CN"/>
              </w:rPr>
              <w:t>9</w:t>
            </w:r>
          </w:p>
        </w:tc>
        <w:tc>
          <w:tcPr>
            <w:tcW w:w="0" w:type="auto"/>
            <w:shd w:val="clear" w:color="auto" w:fill="auto"/>
          </w:tcPr>
          <w:p w14:paraId="7EAD196F" w14:textId="4EB81DC8" w:rsidR="008B4DF8" w:rsidRPr="00C1603D" w:rsidRDefault="008B4DF8" w:rsidP="00FC0FE4">
            <w:pPr>
              <w:pStyle w:val="72TabletextTablesTableFigureBoxstyles"/>
              <w:rPr>
                <w:lang w:eastAsia="zh-CN"/>
              </w:rPr>
            </w:pPr>
            <w:r w:rsidRPr="00C1603D">
              <w:rPr>
                <w:lang w:eastAsia="en-GB"/>
              </w:rPr>
              <w:t>2149</w:t>
            </w:r>
          </w:p>
        </w:tc>
        <w:tc>
          <w:tcPr>
            <w:tcW w:w="0" w:type="auto"/>
            <w:shd w:val="clear" w:color="auto" w:fill="auto"/>
            <w:noWrap/>
          </w:tcPr>
          <w:p w14:paraId="51B5B8E0" w14:textId="264ECBE7" w:rsidR="008B4DF8" w:rsidRPr="00C1603D" w:rsidRDefault="008B4DF8" w:rsidP="00FC0FE4">
            <w:pPr>
              <w:pStyle w:val="72TabletextTablesTableFigureBoxstyles"/>
              <w:rPr>
                <w:lang w:eastAsia="zh-CN"/>
              </w:rPr>
            </w:pPr>
            <w:r w:rsidRPr="00C1603D">
              <w:t>15 (0.7)</w:t>
            </w:r>
          </w:p>
        </w:tc>
        <w:tc>
          <w:tcPr>
            <w:tcW w:w="0" w:type="auto"/>
            <w:shd w:val="clear" w:color="auto" w:fill="auto"/>
          </w:tcPr>
          <w:p w14:paraId="43824576" w14:textId="37F119B0" w:rsidR="008B4DF8" w:rsidRPr="00C1603D" w:rsidRDefault="008B4DF8" w:rsidP="00FC0FE4">
            <w:pPr>
              <w:pStyle w:val="72TabletextTablesTableFigureBoxstyles"/>
              <w:rPr>
                <w:lang w:eastAsia="zh-CN"/>
              </w:rPr>
            </w:pPr>
            <w:r w:rsidRPr="00C1603D">
              <w:rPr>
                <w:lang w:eastAsia="en-GB"/>
              </w:rPr>
              <w:t>164 (7.63)</w:t>
            </w:r>
          </w:p>
        </w:tc>
        <w:tc>
          <w:tcPr>
            <w:tcW w:w="0" w:type="auto"/>
            <w:shd w:val="clear" w:color="auto" w:fill="auto"/>
          </w:tcPr>
          <w:p w14:paraId="77AFA2C5" w14:textId="37733454" w:rsidR="008B4DF8" w:rsidRPr="00C1603D" w:rsidRDefault="008B4DF8" w:rsidP="00FC0FE4">
            <w:pPr>
              <w:pStyle w:val="72TabletextTablesTableFigureBoxstyles"/>
              <w:rPr>
                <w:lang w:eastAsia="zh-CN"/>
              </w:rPr>
            </w:pPr>
            <w:r w:rsidRPr="00C1603D">
              <w:rPr>
                <w:lang w:eastAsia="en-GB"/>
              </w:rPr>
              <w:t>298 (13.87)</w:t>
            </w:r>
          </w:p>
        </w:tc>
      </w:tr>
      <w:tr w:rsidR="008B4DF8" w:rsidRPr="00C1603D" w14:paraId="7615A2DA" w14:textId="77777777" w:rsidTr="00FC0FE4">
        <w:trPr>
          <w:cantSplit/>
        </w:trPr>
        <w:tc>
          <w:tcPr>
            <w:tcW w:w="0" w:type="auto"/>
            <w:shd w:val="clear" w:color="auto" w:fill="auto"/>
            <w:noWrap/>
          </w:tcPr>
          <w:p w14:paraId="4981E9D5" w14:textId="77777777" w:rsidR="008B4DF8" w:rsidRPr="00C1603D" w:rsidRDefault="008B4DF8" w:rsidP="00FC0FE4">
            <w:pPr>
              <w:pStyle w:val="72TabletextTablesTableFigureBoxstyles"/>
              <w:rPr>
                <w:lang w:eastAsia="zh-CN"/>
              </w:rPr>
            </w:pPr>
            <w:r w:rsidRPr="00C1603D">
              <w:rPr>
                <w:lang w:eastAsia="zh-CN"/>
              </w:rPr>
              <w:t>50</w:t>
            </w:r>
            <w:r w:rsidRPr="00C1603D">
              <w:rPr>
                <w:color w:val="00B0F0"/>
                <w:lang w:eastAsia="zh-CN"/>
              </w:rPr>
              <w:t>–5</w:t>
            </w:r>
            <w:r w:rsidRPr="00C1603D">
              <w:rPr>
                <w:lang w:eastAsia="zh-CN"/>
              </w:rPr>
              <w:t>9</w:t>
            </w:r>
          </w:p>
        </w:tc>
        <w:tc>
          <w:tcPr>
            <w:tcW w:w="0" w:type="auto"/>
            <w:shd w:val="clear" w:color="auto" w:fill="auto"/>
          </w:tcPr>
          <w:p w14:paraId="17F46C8B" w14:textId="085B5D13" w:rsidR="008B4DF8" w:rsidRPr="00C1603D" w:rsidRDefault="008B4DF8" w:rsidP="00FC0FE4">
            <w:pPr>
              <w:pStyle w:val="72TabletextTablesTableFigureBoxstyles"/>
              <w:rPr>
                <w:lang w:eastAsia="zh-CN"/>
              </w:rPr>
            </w:pPr>
            <w:r w:rsidRPr="00C1603D">
              <w:rPr>
                <w:lang w:eastAsia="en-GB"/>
              </w:rPr>
              <w:t>2652</w:t>
            </w:r>
          </w:p>
        </w:tc>
        <w:tc>
          <w:tcPr>
            <w:tcW w:w="0" w:type="auto"/>
            <w:shd w:val="clear" w:color="auto" w:fill="auto"/>
            <w:noWrap/>
          </w:tcPr>
          <w:p w14:paraId="16F4D402" w14:textId="59AB479E" w:rsidR="008B4DF8" w:rsidRPr="00C1603D" w:rsidRDefault="008B4DF8" w:rsidP="00FC0FE4">
            <w:pPr>
              <w:pStyle w:val="72TabletextTablesTableFigureBoxstyles"/>
              <w:rPr>
                <w:lang w:eastAsia="zh-CN"/>
              </w:rPr>
            </w:pPr>
            <w:r w:rsidRPr="00C1603D">
              <w:t>27 (1.02)</w:t>
            </w:r>
          </w:p>
        </w:tc>
        <w:tc>
          <w:tcPr>
            <w:tcW w:w="0" w:type="auto"/>
            <w:shd w:val="clear" w:color="auto" w:fill="auto"/>
          </w:tcPr>
          <w:p w14:paraId="49761D74" w14:textId="1AE74EB8" w:rsidR="008B4DF8" w:rsidRPr="00C1603D" w:rsidRDefault="008B4DF8" w:rsidP="00FC0FE4">
            <w:pPr>
              <w:pStyle w:val="72TabletextTablesTableFigureBoxstyles"/>
              <w:rPr>
                <w:lang w:eastAsia="zh-CN"/>
              </w:rPr>
            </w:pPr>
            <w:r w:rsidRPr="00C1603D">
              <w:rPr>
                <w:lang w:eastAsia="en-GB"/>
              </w:rPr>
              <w:t>314 (11.84)</w:t>
            </w:r>
          </w:p>
        </w:tc>
        <w:tc>
          <w:tcPr>
            <w:tcW w:w="0" w:type="auto"/>
            <w:shd w:val="clear" w:color="auto" w:fill="auto"/>
          </w:tcPr>
          <w:p w14:paraId="5354C4FB" w14:textId="36C3A5E9" w:rsidR="008B4DF8" w:rsidRPr="00C1603D" w:rsidRDefault="008B4DF8" w:rsidP="00FC0FE4">
            <w:pPr>
              <w:pStyle w:val="72TabletextTablesTableFigureBoxstyles"/>
              <w:rPr>
                <w:lang w:eastAsia="zh-CN"/>
              </w:rPr>
            </w:pPr>
            <w:r w:rsidRPr="00C1603D">
              <w:rPr>
                <w:lang w:eastAsia="en-GB"/>
              </w:rPr>
              <w:t>568 (21.42)</w:t>
            </w:r>
          </w:p>
        </w:tc>
      </w:tr>
      <w:tr w:rsidR="008B4DF8" w:rsidRPr="00C1603D" w14:paraId="0FCEA25E" w14:textId="77777777" w:rsidTr="00FC0FE4">
        <w:trPr>
          <w:cantSplit/>
        </w:trPr>
        <w:tc>
          <w:tcPr>
            <w:tcW w:w="0" w:type="auto"/>
            <w:shd w:val="clear" w:color="auto" w:fill="auto"/>
            <w:noWrap/>
          </w:tcPr>
          <w:p w14:paraId="371584F3" w14:textId="77777777" w:rsidR="008B4DF8" w:rsidRPr="00C1603D" w:rsidRDefault="008B4DF8" w:rsidP="00FC0FE4">
            <w:pPr>
              <w:pStyle w:val="72TabletextTablesTableFigureBoxstyles"/>
              <w:rPr>
                <w:lang w:eastAsia="zh-CN"/>
              </w:rPr>
            </w:pPr>
            <w:r w:rsidRPr="00C1603D">
              <w:rPr>
                <w:lang w:eastAsia="zh-CN"/>
              </w:rPr>
              <w:t>60</w:t>
            </w:r>
            <w:r w:rsidRPr="00C1603D">
              <w:rPr>
                <w:color w:val="00B0F0"/>
                <w:lang w:eastAsia="zh-CN"/>
              </w:rPr>
              <w:t>–6</w:t>
            </w:r>
            <w:r w:rsidRPr="00C1603D">
              <w:rPr>
                <w:lang w:eastAsia="zh-CN"/>
              </w:rPr>
              <w:t>9</w:t>
            </w:r>
          </w:p>
        </w:tc>
        <w:tc>
          <w:tcPr>
            <w:tcW w:w="0" w:type="auto"/>
            <w:shd w:val="clear" w:color="auto" w:fill="auto"/>
          </w:tcPr>
          <w:p w14:paraId="4F9A2C94" w14:textId="340E4618" w:rsidR="008B4DF8" w:rsidRPr="00C1603D" w:rsidRDefault="008B4DF8" w:rsidP="00FC0FE4">
            <w:pPr>
              <w:pStyle w:val="72TabletextTablesTableFigureBoxstyles"/>
              <w:rPr>
                <w:lang w:eastAsia="zh-CN"/>
              </w:rPr>
            </w:pPr>
            <w:r w:rsidRPr="00C1603D">
              <w:rPr>
                <w:lang w:eastAsia="en-GB"/>
              </w:rPr>
              <w:t>2696</w:t>
            </w:r>
          </w:p>
        </w:tc>
        <w:tc>
          <w:tcPr>
            <w:tcW w:w="0" w:type="auto"/>
            <w:shd w:val="clear" w:color="auto" w:fill="auto"/>
            <w:noWrap/>
          </w:tcPr>
          <w:p w14:paraId="68ACFC7C" w14:textId="0AC0B6E9" w:rsidR="008B4DF8" w:rsidRPr="00C1603D" w:rsidRDefault="008B4DF8" w:rsidP="00FC0FE4">
            <w:pPr>
              <w:pStyle w:val="72TabletextTablesTableFigureBoxstyles"/>
              <w:rPr>
                <w:lang w:eastAsia="zh-CN"/>
              </w:rPr>
            </w:pPr>
            <w:r w:rsidRPr="00C1603D">
              <w:t>42 (1.56)</w:t>
            </w:r>
          </w:p>
        </w:tc>
        <w:tc>
          <w:tcPr>
            <w:tcW w:w="0" w:type="auto"/>
            <w:shd w:val="clear" w:color="auto" w:fill="auto"/>
          </w:tcPr>
          <w:p w14:paraId="4F5F0F44" w14:textId="1E35C544" w:rsidR="008B4DF8" w:rsidRPr="00C1603D" w:rsidRDefault="008B4DF8" w:rsidP="00FC0FE4">
            <w:pPr>
              <w:pStyle w:val="72TabletextTablesTableFigureBoxstyles"/>
              <w:rPr>
                <w:lang w:eastAsia="zh-CN"/>
              </w:rPr>
            </w:pPr>
            <w:r w:rsidRPr="00C1603D">
              <w:rPr>
                <w:lang w:eastAsia="en-GB"/>
              </w:rPr>
              <w:t>470 (17.43)</w:t>
            </w:r>
          </w:p>
        </w:tc>
        <w:tc>
          <w:tcPr>
            <w:tcW w:w="0" w:type="auto"/>
            <w:shd w:val="clear" w:color="auto" w:fill="auto"/>
          </w:tcPr>
          <w:p w14:paraId="0CD984F7" w14:textId="0FDD7329" w:rsidR="008B4DF8" w:rsidRPr="00C1603D" w:rsidRDefault="008B4DF8" w:rsidP="00FC0FE4">
            <w:pPr>
              <w:pStyle w:val="72TabletextTablesTableFigureBoxstyles"/>
              <w:rPr>
                <w:lang w:eastAsia="zh-CN"/>
              </w:rPr>
            </w:pPr>
            <w:r w:rsidRPr="00C1603D">
              <w:rPr>
                <w:lang w:eastAsia="en-GB"/>
              </w:rPr>
              <w:t>816 (30.27)</w:t>
            </w:r>
          </w:p>
        </w:tc>
      </w:tr>
      <w:tr w:rsidR="008B4DF8" w:rsidRPr="00C1603D" w14:paraId="15153E33" w14:textId="77777777" w:rsidTr="00FC0FE4">
        <w:trPr>
          <w:cantSplit/>
        </w:trPr>
        <w:tc>
          <w:tcPr>
            <w:tcW w:w="0" w:type="auto"/>
            <w:shd w:val="clear" w:color="auto" w:fill="auto"/>
            <w:noWrap/>
          </w:tcPr>
          <w:p w14:paraId="0537B131" w14:textId="77777777" w:rsidR="008B4DF8" w:rsidRPr="00C1603D" w:rsidRDefault="008B4DF8" w:rsidP="00FC0FE4">
            <w:pPr>
              <w:pStyle w:val="72TabletextTablesTableFigureBoxstyles"/>
              <w:rPr>
                <w:lang w:eastAsia="zh-CN"/>
              </w:rPr>
            </w:pPr>
            <w:r w:rsidRPr="00C1603D">
              <w:rPr>
                <w:lang w:eastAsia="zh-CN"/>
              </w:rPr>
              <w:t>70</w:t>
            </w:r>
            <w:r w:rsidRPr="00C1603D">
              <w:rPr>
                <w:color w:val="00B0F0"/>
                <w:lang w:eastAsia="zh-CN"/>
              </w:rPr>
              <w:t>–7</w:t>
            </w:r>
            <w:r w:rsidRPr="00C1603D">
              <w:rPr>
                <w:lang w:eastAsia="zh-CN"/>
              </w:rPr>
              <w:t>9</w:t>
            </w:r>
          </w:p>
        </w:tc>
        <w:tc>
          <w:tcPr>
            <w:tcW w:w="0" w:type="auto"/>
            <w:shd w:val="clear" w:color="auto" w:fill="auto"/>
          </w:tcPr>
          <w:p w14:paraId="44954B64" w14:textId="22A3D64B" w:rsidR="008B4DF8" w:rsidRPr="00C1603D" w:rsidRDefault="008B4DF8" w:rsidP="00FC0FE4">
            <w:pPr>
              <w:pStyle w:val="72TabletextTablesTableFigureBoxstyles"/>
              <w:rPr>
                <w:lang w:eastAsia="zh-CN"/>
              </w:rPr>
            </w:pPr>
            <w:r w:rsidRPr="00C1603D">
              <w:rPr>
                <w:lang w:eastAsia="en-GB"/>
              </w:rPr>
              <w:t>1993</w:t>
            </w:r>
          </w:p>
        </w:tc>
        <w:tc>
          <w:tcPr>
            <w:tcW w:w="0" w:type="auto"/>
            <w:shd w:val="clear" w:color="auto" w:fill="auto"/>
            <w:noWrap/>
          </w:tcPr>
          <w:p w14:paraId="2E7A03B6" w14:textId="3D979AE0" w:rsidR="008B4DF8" w:rsidRPr="00C1603D" w:rsidRDefault="008B4DF8" w:rsidP="00FC0FE4">
            <w:pPr>
              <w:pStyle w:val="72TabletextTablesTableFigureBoxstyles"/>
              <w:rPr>
                <w:lang w:eastAsia="zh-CN"/>
              </w:rPr>
            </w:pPr>
            <w:r w:rsidRPr="00C1603D">
              <w:t>36 (1.81)</w:t>
            </w:r>
          </w:p>
        </w:tc>
        <w:tc>
          <w:tcPr>
            <w:tcW w:w="0" w:type="auto"/>
            <w:shd w:val="clear" w:color="auto" w:fill="auto"/>
          </w:tcPr>
          <w:p w14:paraId="19ED226E" w14:textId="7C1D58F1" w:rsidR="008B4DF8" w:rsidRPr="00C1603D" w:rsidRDefault="008B4DF8" w:rsidP="00FC0FE4">
            <w:pPr>
              <w:pStyle w:val="72TabletextTablesTableFigureBoxstyles"/>
              <w:rPr>
                <w:lang w:eastAsia="zh-CN"/>
              </w:rPr>
            </w:pPr>
            <w:r w:rsidRPr="00C1603D">
              <w:rPr>
                <w:lang w:eastAsia="en-GB"/>
              </w:rPr>
              <w:t>458 (22.98)</w:t>
            </w:r>
          </w:p>
        </w:tc>
        <w:tc>
          <w:tcPr>
            <w:tcW w:w="0" w:type="auto"/>
            <w:shd w:val="clear" w:color="auto" w:fill="auto"/>
          </w:tcPr>
          <w:p w14:paraId="394E8A1D" w14:textId="0CEA0007" w:rsidR="008B4DF8" w:rsidRPr="00C1603D" w:rsidRDefault="008B4DF8" w:rsidP="00FC0FE4">
            <w:pPr>
              <w:pStyle w:val="72TabletextTablesTableFigureBoxstyles"/>
              <w:rPr>
                <w:lang w:eastAsia="zh-CN"/>
              </w:rPr>
            </w:pPr>
            <w:r w:rsidRPr="00C1603D">
              <w:rPr>
                <w:lang w:eastAsia="en-GB"/>
              </w:rPr>
              <w:t>772 (38.74)</w:t>
            </w:r>
          </w:p>
        </w:tc>
      </w:tr>
      <w:tr w:rsidR="008B4DF8" w:rsidRPr="00C1603D" w14:paraId="06EAD200" w14:textId="77777777" w:rsidTr="00FC0FE4">
        <w:trPr>
          <w:cantSplit/>
        </w:trPr>
        <w:tc>
          <w:tcPr>
            <w:tcW w:w="0" w:type="auto"/>
            <w:shd w:val="clear" w:color="auto" w:fill="auto"/>
            <w:noWrap/>
          </w:tcPr>
          <w:p w14:paraId="6AFFDED3" w14:textId="77777777" w:rsidR="008B4DF8" w:rsidRPr="00C1603D" w:rsidRDefault="008B4DF8" w:rsidP="00FC0FE4">
            <w:pPr>
              <w:pStyle w:val="72TabletextTablesTableFigureBoxstyles"/>
              <w:rPr>
                <w:lang w:eastAsia="zh-CN"/>
              </w:rPr>
            </w:pPr>
            <w:r w:rsidRPr="00C1603D">
              <w:rPr>
                <w:lang w:eastAsia="zh-CN"/>
              </w:rPr>
              <w:t>80</w:t>
            </w:r>
            <w:r w:rsidRPr="00C1603D">
              <w:rPr>
                <w:color w:val="00B0F0"/>
                <w:lang w:eastAsia="zh-CN"/>
              </w:rPr>
              <w:t>–8</w:t>
            </w:r>
            <w:r w:rsidRPr="00C1603D">
              <w:rPr>
                <w:lang w:eastAsia="zh-CN"/>
              </w:rPr>
              <w:t>9</w:t>
            </w:r>
          </w:p>
        </w:tc>
        <w:tc>
          <w:tcPr>
            <w:tcW w:w="0" w:type="auto"/>
            <w:shd w:val="clear" w:color="auto" w:fill="auto"/>
          </w:tcPr>
          <w:p w14:paraId="75143C9C" w14:textId="77777777" w:rsidR="008B4DF8" w:rsidRPr="00C1603D" w:rsidRDefault="008B4DF8" w:rsidP="00FC0FE4">
            <w:pPr>
              <w:pStyle w:val="72TabletextTablesTableFigureBoxstyles"/>
              <w:rPr>
                <w:lang w:eastAsia="zh-CN"/>
              </w:rPr>
            </w:pPr>
            <w:r w:rsidRPr="00C1603D">
              <w:rPr>
                <w:lang w:eastAsia="en-GB"/>
              </w:rPr>
              <w:t>778</w:t>
            </w:r>
          </w:p>
        </w:tc>
        <w:tc>
          <w:tcPr>
            <w:tcW w:w="0" w:type="auto"/>
            <w:shd w:val="clear" w:color="auto" w:fill="auto"/>
            <w:noWrap/>
          </w:tcPr>
          <w:p w14:paraId="24662589" w14:textId="080FC45E" w:rsidR="008B4DF8" w:rsidRPr="00C1603D" w:rsidRDefault="008B4DF8" w:rsidP="00FC0FE4">
            <w:pPr>
              <w:pStyle w:val="72TabletextTablesTableFigureBoxstyles"/>
              <w:rPr>
                <w:lang w:eastAsia="zh-CN"/>
              </w:rPr>
            </w:pPr>
            <w:r w:rsidRPr="00C1603D">
              <w:t>15 (1.93)</w:t>
            </w:r>
          </w:p>
        </w:tc>
        <w:tc>
          <w:tcPr>
            <w:tcW w:w="0" w:type="auto"/>
            <w:shd w:val="clear" w:color="auto" w:fill="auto"/>
          </w:tcPr>
          <w:p w14:paraId="7DBAABCB" w14:textId="5FED09FC" w:rsidR="008B4DF8" w:rsidRPr="00C1603D" w:rsidRDefault="008B4DF8" w:rsidP="00FC0FE4">
            <w:pPr>
              <w:pStyle w:val="72TabletextTablesTableFigureBoxstyles"/>
              <w:rPr>
                <w:lang w:eastAsia="zh-CN"/>
              </w:rPr>
            </w:pPr>
            <w:r w:rsidRPr="00C1603D">
              <w:rPr>
                <w:lang w:eastAsia="en-GB"/>
              </w:rPr>
              <w:t>208 (26.74)</w:t>
            </w:r>
          </w:p>
        </w:tc>
        <w:tc>
          <w:tcPr>
            <w:tcW w:w="0" w:type="auto"/>
            <w:shd w:val="clear" w:color="auto" w:fill="auto"/>
          </w:tcPr>
          <w:p w14:paraId="7D5D7F55" w14:textId="23A4FF76" w:rsidR="008B4DF8" w:rsidRPr="00C1603D" w:rsidRDefault="008B4DF8" w:rsidP="00FC0FE4">
            <w:pPr>
              <w:pStyle w:val="72TabletextTablesTableFigureBoxstyles"/>
              <w:rPr>
                <w:lang w:eastAsia="zh-CN"/>
              </w:rPr>
            </w:pPr>
            <w:r w:rsidRPr="00C1603D">
              <w:rPr>
                <w:lang w:eastAsia="en-GB"/>
              </w:rPr>
              <w:t>340 (43.7)</w:t>
            </w:r>
          </w:p>
        </w:tc>
      </w:tr>
      <w:tr w:rsidR="008B4DF8" w:rsidRPr="00C1603D" w14:paraId="417EC0A5" w14:textId="77777777" w:rsidTr="00FC0FE4">
        <w:trPr>
          <w:cantSplit/>
        </w:trPr>
        <w:tc>
          <w:tcPr>
            <w:tcW w:w="0" w:type="auto"/>
            <w:shd w:val="clear" w:color="auto" w:fill="auto"/>
            <w:noWrap/>
          </w:tcPr>
          <w:p w14:paraId="7986EFB0" w14:textId="77777777" w:rsidR="008B4DF8" w:rsidRPr="00C1603D" w:rsidRDefault="008B4DF8" w:rsidP="00FC0FE4">
            <w:pPr>
              <w:pStyle w:val="72TabletextTablesTableFigureBoxstyles"/>
              <w:rPr>
                <w:lang w:eastAsia="zh-CN"/>
              </w:rPr>
            </w:pPr>
            <w:r w:rsidRPr="00C1603D">
              <w:rPr>
                <w:lang w:eastAsia="zh-CN"/>
              </w:rPr>
              <w:t>90</w:t>
            </w:r>
            <w:r w:rsidRPr="00C1603D">
              <w:rPr>
                <w:color w:val="00B0F0"/>
                <w:lang w:eastAsia="zh-CN"/>
              </w:rPr>
              <w:t>–9</w:t>
            </w:r>
            <w:r w:rsidRPr="00C1603D">
              <w:rPr>
                <w:lang w:eastAsia="zh-CN"/>
              </w:rPr>
              <w:t>9</w:t>
            </w:r>
          </w:p>
        </w:tc>
        <w:tc>
          <w:tcPr>
            <w:tcW w:w="0" w:type="auto"/>
            <w:shd w:val="clear" w:color="auto" w:fill="auto"/>
          </w:tcPr>
          <w:p w14:paraId="48A61ACA" w14:textId="77777777" w:rsidR="008B4DF8" w:rsidRPr="00C1603D" w:rsidRDefault="008B4DF8" w:rsidP="00FC0FE4">
            <w:pPr>
              <w:pStyle w:val="72TabletextTablesTableFigureBoxstyles"/>
              <w:rPr>
                <w:lang w:eastAsia="zh-CN"/>
              </w:rPr>
            </w:pPr>
            <w:r w:rsidRPr="00C1603D">
              <w:rPr>
                <w:lang w:eastAsia="en-GB"/>
              </w:rPr>
              <w:t>79</w:t>
            </w:r>
          </w:p>
        </w:tc>
        <w:tc>
          <w:tcPr>
            <w:tcW w:w="0" w:type="auto"/>
            <w:shd w:val="clear" w:color="auto" w:fill="auto"/>
            <w:noWrap/>
          </w:tcPr>
          <w:p w14:paraId="275E87EF" w14:textId="0BE90F76" w:rsidR="008B4DF8" w:rsidRPr="00C1603D" w:rsidRDefault="008B4DF8" w:rsidP="00FC0FE4">
            <w:pPr>
              <w:pStyle w:val="72TabletextTablesTableFigureBoxstyles"/>
              <w:rPr>
                <w:lang w:eastAsia="zh-CN"/>
              </w:rPr>
            </w:pPr>
            <w:r w:rsidRPr="00C1603D">
              <w:t>1 (1.27)</w:t>
            </w:r>
          </w:p>
        </w:tc>
        <w:tc>
          <w:tcPr>
            <w:tcW w:w="0" w:type="auto"/>
            <w:shd w:val="clear" w:color="auto" w:fill="auto"/>
          </w:tcPr>
          <w:p w14:paraId="7091996A" w14:textId="0702E12F" w:rsidR="008B4DF8" w:rsidRPr="00C1603D" w:rsidRDefault="008B4DF8" w:rsidP="00FC0FE4">
            <w:pPr>
              <w:pStyle w:val="72TabletextTablesTableFigureBoxstyles"/>
              <w:rPr>
                <w:lang w:eastAsia="zh-CN"/>
              </w:rPr>
            </w:pPr>
            <w:r w:rsidRPr="00C1603D">
              <w:rPr>
                <w:lang w:eastAsia="en-GB"/>
              </w:rPr>
              <w:t>23 (29.11)</w:t>
            </w:r>
          </w:p>
        </w:tc>
        <w:tc>
          <w:tcPr>
            <w:tcW w:w="0" w:type="auto"/>
            <w:shd w:val="clear" w:color="auto" w:fill="auto"/>
          </w:tcPr>
          <w:p w14:paraId="1CB75D30" w14:textId="14858E36" w:rsidR="008B4DF8" w:rsidRPr="00C1603D" w:rsidRDefault="008B4DF8" w:rsidP="00FC0FE4">
            <w:pPr>
              <w:pStyle w:val="72TabletextTablesTableFigureBoxstyles"/>
              <w:rPr>
                <w:lang w:eastAsia="zh-CN"/>
              </w:rPr>
            </w:pPr>
            <w:r w:rsidRPr="00C1603D">
              <w:rPr>
                <w:lang w:eastAsia="en-GB"/>
              </w:rPr>
              <w:t>36 (45.57)</w:t>
            </w:r>
          </w:p>
        </w:tc>
      </w:tr>
      <w:tr w:rsidR="008B4DF8" w:rsidRPr="00C1603D" w14:paraId="4D0A4444" w14:textId="77777777" w:rsidTr="00FC0FE4">
        <w:trPr>
          <w:cantSplit/>
        </w:trPr>
        <w:tc>
          <w:tcPr>
            <w:tcW w:w="0" w:type="auto"/>
            <w:gridSpan w:val="5"/>
            <w:shd w:val="clear" w:color="auto" w:fill="auto"/>
            <w:noWrap/>
          </w:tcPr>
          <w:p w14:paraId="203CF613" w14:textId="127E4277" w:rsidR="00FC0FE4" w:rsidRPr="00C1603D" w:rsidRDefault="00FC0FE4" w:rsidP="00FC0FE4">
            <w:pPr>
              <w:pStyle w:val="75TablenotesTablesTableFigureBoxstyles"/>
            </w:pPr>
            <w:r w:rsidRPr="00C1603D">
              <w:t>a</w:t>
            </w:r>
            <w:r w:rsidRPr="00C1603D">
              <w:tab/>
              <w:t xml:space="preserve">Same prevalence at time of screening </w:t>
            </w:r>
            <w:proofErr w:type="gramStart"/>
            <w:r w:rsidRPr="00C1603D">
              <w:t>is assumed</w:t>
            </w:r>
            <w:proofErr w:type="gramEnd"/>
            <w:r w:rsidRPr="00C1603D">
              <w:t xml:space="preserve"> for newly diagnosed and undiagnosed CD.</w:t>
            </w:r>
          </w:p>
          <w:p w14:paraId="36B15B59" w14:textId="2DEAB560" w:rsidR="008B4DF8" w:rsidRPr="00C1603D" w:rsidRDefault="00FC0FE4" w:rsidP="00FC0FE4">
            <w:pPr>
              <w:pStyle w:val="75TablenotesTablesTableFigureBoxstyles"/>
              <w:rPr>
                <w:rFonts w:ascii="Times New Roman" w:hAnsi="Times New Roman"/>
              </w:rPr>
            </w:pPr>
            <w:r w:rsidRPr="00C1603D">
              <w:t>b</w:t>
            </w:r>
            <w:r w:rsidRPr="00C1603D">
              <w:tab/>
            </w:r>
            <w:r w:rsidR="008B4DF8" w:rsidRPr="00C1603D">
              <w:t xml:space="preserve">Patients may contribute to more than one age category as 20 years of data </w:t>
            </w:r>
            <w:proofErr w:type="gramStart"/>
            <w:r w:rsidR="008B4DF8" w:rsidRPr="00C1603D">
              <w:t>were used</w:t>
            </w:r>
            <w:proofErr w:type="gramEnd"/>
            <w:r w:rsidR="008B4DF8" w:rsidRPr="00C1603D">
              <w:t xml:space="preserve"> to estimate prevalence.</w:t>
            </w:r>
          </w:p>
        </w:tc>
      </w:tr>
    </w:tbl>
    <w:p w14:paraId="1DE9C3DD" w14:textId="4B51F0E7" w:rsidR="008B4DF8" w:rsidRPr="00C1603D" w:rsidRDefault="008B4DF8" w:rsidP="008B4DF8">
      <w:pPr>
        <w:pStyle w:val="70TablelegendTablesTableFigureBoxstyles"/>
        <w:rPr>
          <w:vertAlign w:val="superscript"/>
        </w:rPr>
      </w:pPr>
      <w:bookmarkStart w:id="735" w:name="_Toc99720776"/>
      <w:r w:rsidRPr="00C1603D">
        <w:rPr>
          <w:b/>
        </w:rPr>
        <w:t>TABLE 65</w:t>
      </w:r>
      <w:r w:rsidRPr="00C1603D">
        <w:rPr>
          <w:b/>
        </w:rPr>
        <w:t> </w:t>
      </w:r>
      <w:r w:rsidRPr="00C1603D">
        <w:t xml:space="preserve">Age-stratified prevalence </w:t>
      </w:r>
      <w:r w:rsidR="00FC0FE4" w:rsidRPr="00C1603D">
        <w:t xml:space="preserve">of </w:t>
      </w:r>
      <w:r w:rsidRPr="00C1603D">
        <w:t xml:space="preserve">CD-related complications </w:t>
      </w:r>
      <w:r w:rsidR="00FC0FE4" w:rsidRPr="00C1603D">
        <w:t>among</w:t>
      </w:r>
      <w:r w:rsidRPr="00C1603D">
        <w:t xml:space="preserve"> CPRD Aurum patients with CD</w:t>
      </w:r>
      <w:r w:rsidR="00E26F30" w:rsidRPr="00C1603D">
        <w:t>:</w:t>
      </w:r>
      <w:r w:rsidRPr="00C1603D">
        <w:t xml:space="preserve"> women</w:t>
      </w:r>
      <w:bookmarkEnd w:id="735"/>
      <w:r w:rsidR="00962379" w:rsidRPr="00C1603D">
        <w:rPr>
          <w:vertAlign w:val="superscript"/>
        </w:rPr>
        <w:t>a</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2569"/>
        <w:gridCol w:w="1009"/>
        <w:gridCol w:w="1537"/>
        <w:gridCol w:w="2231"/>
        <w:gridCol w:w="1685"/>
      </w:tblGrid>
      <w:tr w:rsidR="00E21DD8" w:rsidRPr="00C1603D" w14:paraId="52CDC28C" w14:textId="77777777" w:rsidTr="00D11924">
        <w:trPr>
          <w:cantSplit/>
        </w:trPr>
        <w:tc>
          <w:tcPr>
            <w:tcW w:w="0" w:type="auto"/>
            <w:vMerge w:val="restart"/>
            <w:shd w:val="clear" w:color="auto" w:fill="auto"/>
            <w:noWrap/>
          </w:tcPr>
          <w:p w14:paraId="335A7194" w14:textId="220B8974" w:rsidR="00E21DD8" w:rsidRPr="00C1603D" w:rsidRDefault="00E21DD8" w:rsidP="00962379">
            <w:pPr>
              <w:pStyle w:val="710TableheadTablesTableFigureBoxstyles"/>
              <w:rPr>
                <w:lang w:eastAsia="zh-CN"/>
              </w:rPr>
            </w:pPr>
            <w:r w:rsidRPr="00C1603D">
              <w:rPr>
                <w:lang w:eastAsia="zh-CN"/>
              </w:rPr>
              <w:t>Age categories</w:t>
            </w:r>
            <w:r w:rsidRPr="00C1603D">
              <w:rPr>
                <w:vertAlign w:val="superscript"/>
                <w:lang w:eastAsia="zh-CN"/>
              </w:rPr>
              <w:t>b</w:t>
            </w:r>
          </w:p>
        </w:tc>
        <w:tc>
          <w:tcPr>
            <w:tcW w:w="0" w:type="auto"/>
            <w:vMerge w:val="restart"/>
            <w:shd w:val="clear" w:color="auto" w:fill="auto"/>
          </w:tcPr>
          <w:p w14:paraId="2FC405D8" w14:textId="245C575A" w:rsidR="00E21DD8" w:rsidRPr="00C1603D" w:rsidRDefault="00E21DD8" w:rsidP="00962379">
            <w:pPr>
              <w:pStyle w:val="710TableheadTablesTableFigureBoxstyles"/>
              <w:rPr>
                <w:i/>
                <w:iCs/>
                <w:color w:val="000000"/>
                <w:lang w:eastAsia="zh-CN"/>
              </w:rPr>
            </w:pPr>
            <w:r w:rsidRPr="00C1603D">
              <w:rPr>
                <w:i/>
                <w:iCs/>
                <w:color w:val="000000"/>
                <w:lang w:eastAsia="zh-CN"/>
              </w:rPr>
              <w:t>N</w:t>
            </w:r>
          </w:p>
        </w:tc>
        <w:tc>
          <w:tcPr>
            <w:tcW w:w="0" w:type="auto"/>
            <w:gridSpan w:val="3"/>
            <w:shd w:val="clear" w:color="auto" w:fill="auto"/>
          </w:tcPr>
          <w:p w14:paraId="2B2202AF" w14:textId="2DF93211" w:rsidR="00E21DD8" w:rsidRPr="00C1603D" w:rsidRDefault="00E21DD8" w:rsidP="00E21DD8">
            <w:pPr>
              <w:pStyle w:val="705TableheadgroupTablesTableFigureBoxstyles"/>
              <w:rPr>
                <w:lang w:eastAsia="zh-CN"/>
              </w:rPr>
            </w:pPr>
            <w:r w:rsidRPr="00C1603D">
              <w:rPr>
                <w:lang w:eastAsia="zh-CN"/>
              </w:rPr>
              <w:t xml:space="preserve">Complication, </w:t>
            </w:r>
            <w:r w:rsidRPr="00C1603D">
              <w:rPr>
                <w:i/>
                <w:iCs/>
                <w:lang w:eastAsia="zh-CN"/>
              </w:rPr>
              <w:t>n</w:t>
            </w:r>
            <w:r w:rsidRPr="00C1603D">
              <w:rPr>
                <w:lang w:eastAsia="zh-CN"/>
              </w:rPr>
              <w:t xml:space="preserve"> (%)</w:t>
            </w:r>
          </w:p>
        </w:tc>
      </w:tr>
      <w:tr w:rsidR="00E21DD8" w:rsidRPr="00C1603D" w14:paraId="676FDEC9" w14:textId="77777777" w:rsidTr="00962379">
        <w:trPr>
          <w:cantSplit/>
        </w:trPr>
        <w:tc>
          <w:tcPr>
            <w:tcW w:w="0" w:type="auto"/>
            <w:vMerge/>
            <w:shd w:val="clear" w:color="auto" w:fill="auto"/>
            <w:noWrap/>
          </w:tcPr>
          <w:p w14:paraId="2C0BC2FD" w14:textId="0C2D6F01" w:rsidR="00E21DD8" w:rsidRPr="00C1603D" w:rsidRDefault="00E21DD8" w:rsidP="00E21DD8">
            <w:pPr>
              <w:pStyle w:val="710TableheadTablesTableFigureBoxstyles"/>
              <w:rPr>
                <w:color w:val="000000"/>
                <w:lang w:eastAsia="zh-CN"/>
              </w:rPr>
            </w:pPr>
          </w:p>
        </w:tc>
        <w:tc>
          <w:tcPr>
            <w:tcW w:w="0" w:type="auto"/>
            <w:vMerge/>
            <w:shd w:val="clear" w:color="auto" w:fill="auto"/>
          </w:tcPr>
          <w:p w14:paraId="5A44253F" w14:textId="4885773C" w:rsidR="00E21DD8" w:rsidRPr="00C1603D" w:rsidRDefault="00E21DD8" w:rsidP="00E21DD8">
            <w:pPr>
              <w:pStyle w:val="710TableheadTablesTableFigureBoxstyles"/>
              <w:rPr>
                <w:i/>
                <w:iCs/>
                <w:color w:val="000000"/>
                <w:lang w:eastAsia="zh-CN"/>
              </w:rPr>
            </w:pPr>
          </w:p>
        </w:tc>
        <w:tc>
          <w:tcPr>
            <w:tcW w:w="0" w:type="auto"/>
            <w:shd w:val="clear" w:color="auto" w:fill="auto"/>
          </w:tcPr>
          <w:p w14:paraId="0355CAB7" w14:textId="14DE901D" w:rsidR="00E21DD8" w:rsidRPr="00C1603D" w:rsidRDefault="00E21DD8" w:rsidP="00E21DD8">
            <w:pPr>
              <w:pStyle w:val="710TableheadTablesTableFigureBoxstyles"/>
              <w:rPr>
                <w:color w:val="000000"/>
                <w:lang w:eastAsia="zh-CN"/>
              </w:rPr>
            </w:pPr>
            <w:r w:rsidRPr="00C1603D">
              <w:rPr>
                <w:lang w:eastAsia="zh-CN"/>
              </w:rPr>
              <w:t>NHL</w:t>
            </w:r>
          </w:p>
        </w:tc>
        <w:tc>
          <w:tcPr>
            <w:tcW w:w="0" w:type="auto"/>
            <w:shd w:val="clear" w:color="auto" w:fill="auto"/>
          </w:tcPr>
          <w:p w14:paraId="0D4E8661" w14:textId="1BCDA87D" w:rsidR="00E21DD8" w:rsidRPr="00C1603D" w:rsidRDefault="00E21DD8" w:rsidP="00E21DD8">
            <w:pPr>
              <w:pStyle w:val="710TableheadTablesTableFigureBoxstyles"/>
              <w:rPr>
                <w:color w:val="000000"/>
                <w:lang w:eastAsia="zh-CN"/>
              </w:rPr>
            </w:pPr>
            <w:r w:rsidRPr="00C1603D">
              <w:rPr>
                <w:lang w:eastAsia="zh-CN"/>
              </w:rPr>
              <w:t>Osteoporosis</w:t>
            </w:r>
          </w:p>
        </w:tc>
        <w:tc>
          <w:tcPr>
            <w:tcW w:w="0" w:type="auto"/>
            <w:shd w:val="clear" w:color="auto" w:fill="auto"/>
          </w:tcPr>
          <w:p w14:paraId="1885FE0C" w14:textId="22156CA3" w:rsidR="00E21DD8" w:rsidRPr="00C1603D" w:rsidRDefault="00E21DD8" w:rsidP="00E21DD8">
            <w:pPr>
              <w:pStyle w:val="710TableheadTablesTableFigureBoxstyles"/>
              <w:rPr>
                <w:lang w:eastAsia="zh-CN"/>
              </w:rPr>
            </w:pPr>
            <w:r w:rsidRPr="00C1603D">
              <w:rPr>
                <w:lang w:eastAsia="zh-CN"/>
              </w:rPr>
              <w:t>IDA</w:t>
            </w:r>
          </w:p>
        </w:tc>
      </w:tr>
      <w:tr w:rsidR="008B4DF8" w:rsidRPr="00C1603D" w14:paraId="00A72D95" w14:textId="77777777" w:rsidTr="00962379">
        <w:trPr>
          <w:cantSplit/>
        </w:trPr>
        <w:tc>
          <w:tcPr>
            <w:tcW w:w="0" w:type="auto"/>
            <w:shd w:val="clear" w:color="auto" w:fill="auto"/>
            <w:noWrap/>
          </w:tcPr>
          <w:p w14:paraId="49C2A959" w14:textId="77777777" w:rsidR="008B4DF8" w:rsidRPr="00C1603D" w:rsidRDefault="008B4DF8" w:rsidP="00962379">
            <w:pPr>
              <w:pStyle w:val="72TabletextTablesTableFigureBoxstyles"/>
              <w:rPr>
                <w:lang w:eastAsia="zh-CN"/>
              </w:rPr>
            </w:pPr>
            <w:r w:rsidRPr="00C1603D">
              <w:rPr>
                <w:lang w:eastAsia="zh-CN"/>
              </w:rPr>
              <w:lastRenderedPageBreak/>
              <w:t>0</w:t>
            </w:r>
            <w:r w:rsidRPr="00C1603D">
              <w:rPr>
                <w:color w:val="00B0F0"/>
                <w:lang w:eastAsia="zh-CN"/>
              </w:rPr>
              <w:t>–9</w:t>
            </w:r>
          </w:p>
        </w:tc>
        <w:tc>
          <w:tcPr>
            <w:tcW w:w="0" w:type="auto"/>
            <w:shd w:val="clear" w:color="auto" w:fill="auto"/>
          </w:tcPr>
          <w:p w14:paraId="4BE79D7D" w14:textId="2D182A27" w:rsidR="008B4DF8" w:rsidRPr="00C1603D" w:rsidRDefault="008B4DF8" w:rsidP="00962379">
            <w:pPr>
              <w:pStyle w:val="72TabletextTablesTableFigureBoxstyles"/>
              <w:rPr>
                <w:lang w:eastAsia="zh-CN"/>
              </w:rPr>
            </w:pPr>
            <w:r w:rsidRPr="00C1603D">
              <w:rPr>
                <w:lang w:eastAsia="en-GB"/>
              </w:rPr>
              <w:t>2120</w:t>
            </w:r>
          </w:p>
        </w:tc>
        <w:tc>
          <w:tcPr>
            <w:tcW w:w="0" w:type="auto"/>
            <w:shd w:val="clear" w:color="auto" w:fill="auto"/>
            <w:noWrap/>
          </w:tcPr>
          <w:p w14:paraId="0F919C4E" w14:textId="4C028AC5" w:rsidR="008B4DF8" w:rsidRPr="00C1603D" w:rsidRDefault="008B4DF8" w:rsidP="00962379">
            <w:pPr>
              <w:pStyle w:val="72TabletextTablesTableFigureBoxstyles"/>
              <w:rPr>
                <w:lang w:eastAsia="zh-CN"/>
              </w:rPr>
            </w:pPr>
            <w:r w:rsidRPr="00C1603D">
              <w:t>1 (0.05)</w:t>
            </w:r>
          </w:p>
        </w:tc>
        <w:tc>
          <w:tcPr>
            <w:tcW w:w="0" w:type="auto"/>
            <w:shd w:val="clear" w:color="auto" w:fill="auto"/>
          </w:tcPr>
          <w:p w14:paraId="60261248" w14:textId="1892842E" w:rsidR="008B4DF8" w:rsidRPr="00C1603D" w:rsidRDefault="008B4DF8" w:rsidP="00962379">
            <w:pPr>
              <w:pStyle w:val="72TabletextTablesTableFigureBoxstyles"/>
              <w:rPr>
                <w:lang w:eastAsia="zh-CN"/>
              </w:rPr>
            </w:pPr>
            <w:r w:rsidRPr="00C1603D">
              <w:rPr>
                <w:lang w:eastAsia="en-GB"/>
              </w:rPr>
              <w:t>1 (0.05)</w:t>
            </w:r>
          </w:p>
        </w:tc>
        <w:tc>
          <w:tcPr>
            <w:tcW w:w="0" w:type="auto"/>
            <w:shd w:val="clear" w:color="auto" w:fill="auto"/>
          </w:tcPr>
          <w:p w14:paraId="2F984BF8" w14:textId="47E59FAB" w:rsidR="008B4DF8" w:rsidRPr="00C1603D" w:rsidRDefault="008B4DF8" w:rsidP="00962379">
            <w:pPr>
              <w:pStyle w:val="72TabletextTablesTableFigureBoxstyles"/>
              <w:rPr>
                <w:lang w:eastAsia="zh-CN"/>
              </w:rPr>
            </w:pPr>
            <w:r w:rsidRPr="00C1603D">
              <w:rPr>
                <w:lang w:eastAsia="en-GB"/>
              </w:rPr>
              <w:t>222 (10.47)</w:t>
            </w:r>
          </w:p>
        </w:tc>
      </w:tr>
      <w:tr w:rsidR="008B4DF8" w:rsidRPr="00C1603D" w14:paraId="10DC7CC2" w14:textId="77777777" w:rsidTr="00962379">
        <w:trPr>
          <w:cantSplit/>
        </w:trPr>
        <w:tc>
          <w:tcPr>
            <w:tcW w:w="0" w:type="auto"/>
            <w:shd w:val="clear" w:color="auto" w:fill="auto"/>
            <w:noWrap/>
          </w:tcPr>
          <w:p w14:paraId="288C615B" w14:textId="77777777" w:rsidR="008B4DF8" w:rsidRPr="00C1603D" w:rsidRDefault="008B4DF8" w:rsidP="00962379">
            <w:pPr>
              <w:pStyle w:val="72TabletextTablesTableFigureBoxstyles"/>
              <w:rPr>
                <w:lang w:eastAsia="zh-CN"/>
              </w:rPr>
            </w:pPr>
            <w:r w:rsidRPr="00C1603D">
              <w:rPr>
                <w:lang w:eastAsia="zh-CN"/>
              </w:rPr>
              <w:t>10</w:t>
            </w:r>
            <w:r w:rsidRPr="00C1603D">
              <w:rPr>
                <w:color w:val="00B0F0"/>
                <w:lang w:eastAsia="zh-CN"/>
              </w:rPr>
              <w:t>–1</w:t>
            </w:r>
            <w:r w:rsidRPr="00C1603D">
              <w:rPr>
                <w:lang w:eastAsia="zh-CN"/>
              </w:rPr>
              <w:t>9</w:t>
            </w:r>
          </w:p>
        </w:tc>
        <w:tc>
          <w:tcPr>
            <w:tcW w:w="0" w:type="auto"/>
            <w:shd w:val="clear" w:color="auto" w:fill="auto"/>
          </w:tcPr>
          <w:p w14:paraId="2C7FAAB1" w14:textId="1315D4B1" w:rsidR="008B4DF8" w:rsidRPr="00C1603D" w:rsidRDefault="008B4DF8" w:rsidP="00962379">
            <w:pPr>
              <w:pStyle w:val="72TabletextTablesTableFigureBoxstyles"/>
              <w:rPr>
                <w:lang w:eastAsia="zh-CN"/>
              </w:rPr>
            </w:pPr>
            <w:r w:rsidRPr="00C1603D">
              <w:rPr>
                <w:lang w:eastAsia="en-GB"/>
              </w:rPr>
              <w:t>2386</w:t>
            </w:r>
          </w:p>
        </w:tc>
        <w:tc>
          <w:tcPr>
            <w:tcW w:w="0" w:type="auto"/>
            <w:shd w:val="clear" w:color="auto" w:fill="auto"/>
            <w:noWrap/>
          </w:tcPr>
          <w:p w14:paraId="38C403FB" w14:textId="4F2B3D7C" w:rsidR="008B4DF8" w:rsidRPr="00C1603D" w:rsidRDefault="008B4DF8" w:rsidP="00962379">
            <w:pPr>
              <w:pStyle w:val="72TabletextTablesTableFigureBoxstyles"/>
              <w:rPr>
                <w:lang w:eastAsia="zh-CN"/>
              </w:rPr>
            </w:pPr>
            <w:r w:rsidRPr="00C1603D">
              <w:t>1 (0.04)</w:t>
            </w:r>
          </w:p>
        </w:tc>
        <w:tc>
          <w:tcPr>
            <w:tcW w:w="0" w:type="auto"/>
            <w:shd w:val="clear" w:color="auto" w:fill="auto"/>
          </w:tcPr>
          <w:p w14:paraId="52D994CE" w14:textId="48E29A22" w:rsidR="008B4DF8" w:rsidRPr="00C1603D" w:rsidRDefault="008B4DF8" w:rsidP="00962379">
            <w:pPr>
              <w:pStyle w:val="72TabletextTablesTableFigureBoxstyles"/>
              <w:rPr>
                <w:lang w:eastAsia="zh-CN"/>
              </w:rPr>
            </w:pPr>
            <w:r w:rsidRPr="00C1603D">
              <w:rPr>
                <w:lang w:eastAsia="en-GB"/>
              </w:rPr>
              <w:t>14 (0.59)</w:t>
            </w:r>
          </w:p>
        </w:tc>
        <w:tc>
          <w:tcPr>
            <w:tcW w:w="0" w:type="auto"/>
            <w:shd w:val="clear" w:color="auto" w:fill="auto"/>
          </w:tcPr>
          <w:p w14:paraId="002E721D" w14:textId="383FED42" w:rsidR="008B4DF8" w:rsidRPr="00C1603D" w:rsidRDefault="008B4DF8" w:rsidP="00962379">
            <w:pPr>
              <w:pStyle w:val="72TabletextTablesTableFigureBoxstyles"/>
              <w:rPr>
                <w:lang w:eastAsia="zh-CN"/>
              </w:rPr>
            </w:pPr>
            <w:r w:rsidRPr="00C1603D">
              <w:rPr>
                <w:lang w:eastAsia="en-GB"/>
              </w:rPr>
              <w:t>412 (17.27)</w:t>
            </w:r>
          </w:p>
        </w:tc>
      </w:tr>
      <w:tr w:rsidR="008B4DF8" w:rsidRPr="00C1603D" w14:paraId="41E9B13D" w14:textId="77777777" w:rsidTr="00962379">
        <w:trPr>
          <w:cantSplit/>
        </w:trPr>
        <w:tc>
          <w:tcPr>
            <w:tcW w:w="0" w:type="auto"/>
            <w:shd w:val="clear" w:color="auto" w:fill="auto"/>
            <w:noWrap/>
          </w:tcPr>
          <w:p w14:paraId="75AAD71F" w14:textId="77777777" w:rsidR="008B4DF8" w:rsidRPr="00C1603D" w:rsidRDefault="008B4DF8" w:rsidP="00962379">
            <w:pPr>
              <w:pStyle w:val="72TabletextTablesTableFigureBoxstyles"/>
              <w:rPr>
                <w:lang w:eastAsia="zh-CN"/>
              </w:rPr>
            </w:pPr>
            <w:r w:rsidRPr="00C1603D">
              <w:rPr>
                <w:lang w:eastAsia="zh-CN"/>
              </w:rPr>
              <w:t>20</w:t>
            </w:r>
            <w:r w:rsidRPr="00C1603D">
              <w:rPr>
                <w:color w:val="00B0F0"/>
                <w:lang w:eastAsia="zh-CN"/>
              </w:rPr>
              <w:t>–2</w:t>
            </w:r>
            <w:r w:rsidRPr="00C1603D">
              <w:rPr>
                <w:lang w:eastAsia="zh-CN"/>
              </w:rPr>
              <w:t>9</w:t>
            </w:r>
          </w:p>
        </w:tc>
        <w:tc>
          <w:tcPr>
            <w:tcW w:w="0" w:type="auto"/>
            <w:shd w:val="clear" w:color="auto" w:fill="auto"/>
          </w:tcPr>
          <w:p w14:paraId="360BB4C2" w14:textId="478D3875" w:rsidR="008B4DF8" w:rsidRPr="00C1603D" w:rsidRDefault="008B4DF8" w:rsidP="00962379">
            <w:pPr>
              <w:pStyle w:val="72TabletextTablesTableFigureBoxstyles"/>
              <w:rPr>
                <w:lang w:eastAsia="zh-CN"/>
              </w:rPr>
            </w:pPr>
            <w:r w:rsidRPr="00C1603D">
              <w:rPr>
                <w:lang w:eastAsia="en-GB"/>
              </w:rPr>
              <w:t>3916</w:t>
            </w:r>
          </w:p>
        </w:tc>
        <w:tc>
          <w:tcPr>
            <w:tcW w:w="0" w:type="auto"/>
            <w:shd w:val="clear" w:color="auto" w:fill="auto"/>
            <w:noWrap/>
          </w:tcPr>
          <w:p w14:paraId="7A224320" w14:textId="077DCDD4" w:rsidR="008B4DF8" w:rsidRPr="00C1603D" w:rsidRDefault="008B4DF8" w:rsidP="00962379">
            <w:pPr>
              <w:pStyle w:val="72TabletextTablesTableFigureBoxstyles"/>
              <w:rPr>
                <w:lang w:eastAsia="zh-CN"/>
              </w:rPr>
            </w:pPr>
            <w:r w:rsidRPr="00C1603D">
              <w:t>2 (0.05)</w:t>
            </w:r>
          </w:p>
        </w:tc>
        <w:tc>
          <w:tcPr>
            <w:tcW w:w="0" w:type="auto"/>
            <w:shd w:val="clear" w:color="auto" w:fill="auto"/>
          </w:tcPr>
          <w:p w14:paraId="0F761BDD" w14:textId="004DF11F" w:rsidR="008B4DF8" w:rsidRPr="00C1603D" w:rsidRDefault="008B4DF8" w:rsidP="00962379">
            <w:pPr>
              <w:pStyle w:val="72TabletextTablesTableFigureBoxstyles"/>
              <w:rPr>
                <w:lang w:eastAsia="zh-CN"/>
              </w:rPr>
            </w:pPr>
            <w:r w:rsidRPr="00C1603D">
              <w:rPr>
                <w:lang w:eastAsia="en-GB"/>
              </w:rPr>
              <w:t>64 (1.63)</w:t>
            </w:r>
          </w:p>
        </w:tc>
        <w:tc>
          <w:tcPr>
            <w:tcW w:w="0" w:type="auto"/>
            <w:shd w:val="clear" w:color="auto" w:fill="auto"/>
          </w:tcPr>
          <w:p w14:paraId="41179CDD" w14:textId="4927E117" w:rsidR="008B4DF8" w:rsidRPr="00C1603D" w:rsidRDefault="008B4DF8" w:rsidP="00962379">
            <w:pPr>
              <w:pStyle w:val="72TabletextTablesTableFigureBoxstyles"/>
              <w:rPr>
                <w:lang w:eastAsia="zh-CN"/>
              </w:rPr>
            </w:pPr>
            <w:r w:rsidRPr="00C1603D">
              <w:rPr>
                <w:lang w:eastAsia="en-GB"/>
              </w:rPr>
              <w:t>712 (18.18)</w:t>
            </w:r>
          </w:p>
        </w:tc>
      </w:tr>
      <w:tr w:rsidR="008B4DF8" w:rsidRPr="00C1603D" w14:paraId="58CD6A66" w14:textId="77777777" w:rsidTr="00962379">
        <w:trPr>
          <w:cantSplit/>
        </w:trPr>
        <w:tc>
          <w:tcPr>
            <w:tcW w:w="0" w:type="auto"/>
            <w:shd w:val="clear" w:color="auto" w:fill="auto"/>
            <w:noWrap/>
          </w:tcPr>
          <w:p w14:paraId="3D413AAA" w14:textId="77777777" w:rsidR="008B4DF8" w:rsidRPr="00C1603D" w:rsidRDefault="008B4DF8" w:rsidP="00962379">
            <w:pPr>
              <w:pStyle w:val="72TabletextTablesTableFigureBoxstyles"/>
              <w:rPr>
                <w:lang w:eastAsia="zh-CN"/>
              </w:rPr>
            </w:pPr>
            <w:r w:rsidRPr="00C1603D">
              <w:rPr>
                <w:lang w:eastAsia="zh-CN"/>
              </w:rPr>
              <w:t>30</w:t>
            </w:r>
            <w:r w:rsidRPr="00C1603D">
              <w:rPr>
                <w:color w:val="00B0F0"/>
                <w:lang w:eastAsia="zh-CN"/>
              </w:rPr>
              <w:t>–3</w:t>
            </w:r>
            <w:r w:rsidRPr="00C1603D">
              <w:rPr>
                <w:lang w:eastAsia="zh-CN"/>
              </w:rPr>
              <w:t>9</w:t>
            </w:r>
          </w:p>
        </w:tc>
        <w:tc>
          <w:tcPr>
            <w:tcW w:w="0" w:type="auto"/>
            <w:shd w:val="clear" w:color="auto" w:fill="auto"/>
          </w:tcPr>
          <w:p w14:paraId="0A746CDE" w14:textId="0FBBB626" w:rsidR="008B4DF8" w:rsidRPr="00C1603D" w:rsidRDefault="008B4DF8" w:rsidP="00962379">
            <w:pPr>
              <w:pStyle w:val="72TabletextTablesTableFigureBoxstyles"/>
              <w:rPr>
                <w:lang w:eastAsia="zh-CN"/>
              </w:rPr>
            </w:pPr>
            <w:r w:rsidRPr="00C1603D">
              <w:rPr>
                <w:lang w:eastAsia="en-GB"/>
              </w:rPr>
              <w:t>4402</w:t>
            </w:r>
          </w:p>
        </w:tc>
        <w:tc>
          <w:tcPr>
            <w:tcW w:w="0" w:type="auto"/>
            <w:shd w:val="clear" w:color="auto" w:fill="auto"/>
            <w:noWrap/>
          </w:tcPr>
          <w:p w14:paraId="2F8143B6" w14:textId="19F31D5B" w:rsidR="008B4DF8" w:rsidRPr="00C1603D" w:rsidRDefault="008B4DF8" w:rsidP="00962379">
            <w:pPr>
              <w:pStyle w:val="72TabletextTablesTableFigureBoxstyles"/>
              <w:rPr>
                <w:lang w:eastAsia="zh-CN"/>
              </w:rPr>
            </w:pPr>
            <w:r w:rsidRPr="00C1603D">
              <w:t>5 (0.11)</w:t>
            </w:r>
          </w:p>
        </w:tc>
        <w:tc>
          <w:tcPr>
            <w:tcW w:w="0" w:type="auto"/>
            <w:shd w:val="clear" w:color="auto" w:fill="auto"/>
          </w:tcPr>
          <w:p w14:paraId="0D0F6667" w14:textId="1EB9E070" w:rsidR="008B4DF8" w:rsidRPr="00C1603D" w:rsidRDefault="008B4DF8" w:rsidP="00962379">
            <w:pPr>
              <w:pStyle w:val="72TabletextTablesTableFigureBoxstyles"/>
              <w:rPr>
                <w:lang w:eastAsia="zh-CN"/>
              </w:rPr>
            </w:pPr>
            <w:r w:rsidRPr="00C1603D">
              <w:rPr>
                <w:lang w:eastAsia="en-GB"/>
              </w:rPr>
              <w:t>148 (3.36)</w:t>
            </w:r>
          </w:p>
        </w:tc>
        <w:tc>
          <w:tcPr>
            <w:tcW w:w="0" w:type="auto"/>
            <w:shd w:val="clear" w:color="auto" w:fill="auto"/>
          </w:tcPr>
          <w:p w14:paraId="22D82342" w14:textId="5BE3DAE3" w:rsidR="008B4DF8" w:rsidRPr="00C1603D" w:rsidRDefault="008B4DF8" w:rsidP="00962379">
            <w:pPr>
              <w:pStyle w:val="72TabletextTablesTableFigureBoxstyles"/>
              <w:rPr>
                <w:lang w:eastAsia="zh-CN"/>
              </w:rPr>
            </w:pPr>
            <w:r w:rsidRPr="00C1603D">
              <w:rPr>
                <w:lang w:eastAsia="en-GB"/>
              </w:rPr>
              <w:t>1140 (25.9)</w:t>
            </w:r>
          </w:p>
        </w:tc>
      </w:tr>
      <w:tr w:rsidR="008B4DF8" w:rsidRPr="00C1603D" w14:paraId="2F1DEB30" w14:textId="77777777" w:rsidTr="00962379">
        <w:trPr>
          <w:cantSplit/>
        </w:trPr>
        <w:tc>
          <w:tcPr>
            <w:tcW w:w="0" w:type="auto"/>
            <w:shd w:val="clear" w:color="auto" w:fill="auto"/>
            <w:noWrap/>
          </w:tcPr>
          <w:p w14:paraId="5B77B993" w14:textId="77777777" w:rsidR="008B4DF8" w:rsidRPr="00C1603D" w:rsidRDefault="008B4DF8" w:rsidP="00962379">
            <w:pPr>
              <w:pStyle w:val="72TabletextTablesTableFigureBoxstyles"/>
              <w:rPr>
                <w:lang w:eastAsia="zh-CN"/>
              </w:rPr>
            </w:pPr>
            <w:r w:rsidRPr="00C1603D">
              <w:rPr>
                <w:lang w:eastAsia="zh-CN"/>
              </w:rPr>
              <w:t>40</w:t>
            </w:r>
            <w:r w:rsidRPr="00C1603D">
              <w:rPr>
                <w:color w:val="00B0F0"/>
                <w:lang w:eastAsia="zh-CN"/>
              </w:rPr>
              <w:t>–4</w:t>
            </w:r>
            <w:r w:rsidRPr="00C1603D">
              <w:rPr>
                <w:lang w:eastAsia="zh-CN"/>
              </w:rPr>
              <w:t>9</w:t>
            </w:r>
          </w:p>
        </w:tc>
        <w:tc>
          <w:tcPr>
            <w:tcW w:w="0" w:type="auto"/>
            <w:shd w:val="clear" w:color="auto" w:fill="auto"/>
          </w:tcPr>
          <w:p w14:paraId="1B17132C" w14:textId="2F479AE2" w:rsidR="008B4DF8" w:rsidRPr="00C1603D" w:rsidRDefault="008B4DF8" w:rsidP="00962379">
            <w:pPr>
              <w:pStyle w:val="72TabletextTablesTableFigureBoxstyles"/>
              <w:rPr>
                <w:lang w:eastAsia="zh-CN"/>
              </w:rPr>
            </w:pPr>
            <w:r w:rsidRPr="00C1603D">
              <w:rPr>
                <w:lang w:eastAsia="en-GB"/>
              </w:rPr>
              <w:t>5268</w:t>
            </w:r>
          </w:p>
        </w:tc>
        <w:tc>
          <w:tcPr>
            <w:tcW w:w="0" w:type="auto"/>
            <w:shd w:val="clear" w:color="auto" w:fill="auto"/>
            <w:noWrap/>
          </w:tcPr>
          <w:p w14:paraId="5F473F7F" w14:textId="4F512B21" w:rsidR="008B4DF8" w:rsidRPr="00C1603D" w:rsidRDefault="008B4DF8" w:rsidP="00962379">
            <w:pPr>
              <w:pStyle w:val="72TabletextTablesTableFigureBoxstyles"/>
              <w:rPr>
                <w:lang w:eastAsia="zh-CN"/>
              </w:rPr>
            </w:pPr>
            <w:r w:rsidRPr="00C1603D">
              <w:t>12 (0.23)</w:t>
            </w:r>
          </w:p>
        </w:tc>
        <w:tc>
          <w:tcPr>
            <w:tcW w:w="0" w:type="auto"/>
            <w:shd w:val="clear" w:color="auto" w:fill="auto"/>
          </w:tcPr>
          <w:p w14:paraId="4B5BD409" w14:textId="77F063B5" w:rsidR="008B4DF8" w:rsidRPr="00C1603D" w:rsidRDefault="008B4DF8" w:rsidP="00962379">
            <w:pPr>
              <w:pStyle w:val="72TabletextTablesTableFigureBoxstyles"/>
              <w:rPr>
                <w:lang w:eastAsia="zh-CN"/>
              </w:rPr>
            </w:pPr>
            <w:r w:rsidRPr="00C1603D">
              <w:rPr>
                <w:lang w:eastAsia="en-GB"/>
              </w:rPr>
              <w:t>430 (8.16)</w:t>
            </w:r>
          </w:p>
        </w:tc>
        <w:tc>
          <w:tcPr>
            <w:tcW w:w="0" w:type="auto"/>
            <w:shd w:val="clear" w:color="auto" w:fill="auto"/>
          </w:tcPr>
          <w:p w14:paraId="1CE24280" w14:textId="5C2E04F9" w:rsidR="008B4DF8" w:rsidRPr="00C1603D" w:rsidRDefault="008B4DF8" w:rsidP="00962379">
            <w:pPr>
              <w:pStyle w:val="72TabletextTablesTableFigureBoxstyles"/>
              <w:rPr>
                <w:lang w:eastAsia="zh-CN"/>
              </w:rPr>
            </w:pPr>
            <w:r w:rsidRPr="00C1603D">
              <w:rPr>
                <w:lang w:eastAsia="en-GB"/>
              </w:rPr>
              <w:t>1729 (32.82)</w:t>
            </w:r>
          </w:p>
        </w:tc>
      </w:tr>
      <w:tr w:rsidR="008B4DF8" w:rsidRPr="00C1603D" w14:paraId="22CF0304" w14:textId="77777777" w:rsidTr="00962379">
        <w:trPr>
          <w:cantSplit/>
        </w:trPr>
        <w:tc>
          <w:tcPr>
            <w:tcW w:w="0" w:type="auto"/>
            <w:shd w:val="clear" w:color="auto" w:fill="auto"/>
            <w:noWrap/>
          </w:tcPr>
          <w:p w14:paraId="29D45D3E" w14:textId="77777777" w:rsidR="008B4DF8" w:rsidRPr="00C1603D" w:rsidRDefault="008B4DF8" w:rsidP="00962379">
            <w:pPr>
              <w:pStyle w:val="72TabletextTablesTableFigureBoxstyles"/>
              <w:rPr>
                <w:lang w:eastAsia="zh-CN"/>
              </w:rPr>
            </w:pPr>
            <w:r w:rsidRPr="00C1603D">
              <w:rPr>
                <w:lang w:eastAsia="zh-CN"/>
              </w:rPr>
              <w:t>50</w:t>
            </w:r>
            <w:r w:rsidRPr="00C1603D">
              <w:rPr>
                <w:color w:val="00B0F0"/>
                <w:lang w:eastAsia="zh-CN"/>
              </w:rPr>
              <w:t>–5</w:t>
            </w:r>
            <w:r w:rsidRPr="00C1603D">
              <w:rPr>
                <w:lang w:eastAsia="zh-CN"/>
              </w:rPr>
              <w:t>9</w:t>
            </w:r>
          </w:p>
        </w:tc>
        <w:tc>
          <w:tcPr>
            <w:tcW w:w="0" w:type="auto"/>
            <w:shd w:val="clear" w:color="auto" w:fill="auto"/>
          </w:tcPr>
          <w:p w14:paraId="5309CDF7" w14:textId="690DAA17" w:rsidR="008B4DF8" w:rsidRPr="00C1603D" w:rsidRDefault="008B4DF8" w:rsidP="00962379">
            <w:pPr>
              <w:pStyle w:val="72TabletextTablesTableFigureBoxstyles"/>
              <w:rPr>
                <w:lang w:eastAsia="zh-CN"/>
              </w:rPr>
            </w:pPr>
            <w:r w:rsidRPr="00C1603D">
              <w:rPr>
                <w:lang w:eastAsia="en-GB"/>
              </w:rPr>
              <w:t>5126</w:t>
            </w:r>
          </w:p>
        </w:tc>
        <w:tc>
          <w:tcPr>
            <w:tcW w:w="0" w:type="auto"/>
            <w:shd w:val="clear" w:color="auto" w:fill="auto"/>
            <w:noWrap/>
          </w:tcPr>
          <w:p w14:paraId="3A2F70A5" w14:textId="6C81A5C9" w:rsidR="008B4DF8" w:rsidRPr="00C1603D" w:rsidRDefault="008B4DF8" w:rsidP="00962379">
            <w:pPr>
              <w:pStyle w:val="72TabletextTablesTableFigureBoxstyles"/>
              <w:rPr>
                <w:lang w:eastAsia="zh-CN"/>
              </w:rPr>
            </w:pPr>
            <w:r w:rsidRPr="00C1603D">
              <w:t>22 (0.43)</w:t>
            </w:r>
          </w:p>
        </w:tc>
        <w:tc>
          <w:tcPr>
            <w:tcW w:w="0" w:type="auto"/>
            <w:shd w:val="clear" w:color="auto" w:fill="auto"/>
          </w:tcPr>
          <w:p w14:paraId="490143B5" w14:textId="44C20E59" w:rsidR="008B4DF8" w:rsidRPr="00C1603D" w:rsidRDefault="008B4DF8" w:rsidP="00962379">
            <w:pPr>
              <w:pStyle w:val="72TabletextTablesTableFigureBoxstyles"/>
              <w:rPr>
                <w:lang w:eastAsia="zh-CN"/>
              </w:rPr>
            </w:pPr>
            <w:r w:rsidRPr="00C1603D">
              <w:rPr>
                <w:lang w:eastAsia="en-GB"/>
              </w:rPr>
              <w:t>1087 (21.21)</w:t>
            </w:r>
          </w:p>
        </w:tc>
        <w:tc>
          <w:tcPr>
            <w:tcW w:w="0" w:type="auto"/>
            <w:shd w:val="clear" w:color="auto" w:fill="auto"/>
          </w:tcPr>
          <w:p w14:paraId="508F4175" w14:textId="63AD4FC3" w:rsidR="008B4DF8" w:rsidRPr="00C1603D" w:rsidRDefault="008B4DF8" w:rsidP="00962379">
            <w:pPr>
              <w:pStyle w:val="72TabletextTablesTableFigureBoxstyles"/>
              <w:rPr>
                <w:lang w:eastAsia="zh-CN"/>
              </w:rPr>
            </w:pPr>
            <w:r w:rsidRPr="00C1603D">
              <w:rPr>
                <w:lang w:eastAsia="en-GB"/>
              </w:rPr>
              <w:t>1548 (30.2)</w:t>
            </w:r>
          </w:p>
        </w:tc>
      </w:tr>
      <w:tr w:rsidR="008B4DF8" w:rsidRPr="00C1603D" w14:paraId="1FD09FA2" w14:textId="77777777" w:rsidTr="00962379">
        <w:trPr>
          <w:cantSplit/>
        </w:trPr>
        <w:tc>
          <w:tcPr>
            <w:tcW w:w="0" w:type="auto"/>
            <w:shd w:val="clear" w:color="auto" w:fill="auto"/>
            <w:noWrap/>
          </w:tcPr>
          <w:p w14:paraId="7AB37E4D" w14:textId="77777777" w:rsidR="008B4DF8" w:rsidRPr="00C1603D" w:rsidRDefault="008B4DF8" w:rsidP="00962379">
            <w:pPr>
              <w:pStyle w:val="72TabletextTablesTableFigureBoxstyles"/>
              <w:rPr>
                <w:lang w:eastAsia="zh-CN"/>
              </w:rPr>
            </w:pPr>
            <w:r w:rsidRPr="00C1603D">
              <w:rPr>
                <w:lang w:eastAsia="zh-CN"/>
              </w:rPr>
              <w:t>60</w:t>
            </w:r>
            <w:r w:rsidRPr="00C1603D">
              <w:rPr>
                <w:color w:val="00B0F0"/>
                <w:lang w:eastAsia="zh-CN"/>
              </w:rPr>
              <w:t>–6</w:t>
            </w:r>
            <w:r w:rsidRPr="00C1603D">
              <w:rPr>
                <w:lang w:eastAsia="zh-CN"/>
              </w:rPr>
              <w:t>9</w:t>
            </w:r>
          </w:p>
        </w:tc>
        <w:tc>
          <w:tcPr>
            <w:tcW w:w="0" w:type="auto"/>
            <w:shd w:val="clear" w:color="auto" w:fill="auto"/>
          </w:tcPr>
          <w:p w14:paraId="5301459C" w14:textId="4C4313F7" w:rsidR="008B4DF8" w:rsidRPr="00C1603D" w:rsidRDefault="008B4DF8" w:rsidP="00962379">
            <w:pPr>
              <w:pStyle w:val="72TabletextTablesTableFigureBoxstyles"/>
              <w:rPr>
                <w:lang w:eastAsia="zh-CN"/>
              </w:rPr>
            </w:pPr>
            <w:r w:rsidRPr="00C1603D">
              <w:rPr>
                <w:lang w:eastAsia="en-GB"/>
              </w:rPr>
              <w:t>4350</w:t>
            </w:r>
          </w:p>
        </w:tc>
        <w:tc>
          <w:tcPr>
            <w:tcW w:w="0" w:type="auto"/>
            <w:shd w:val="clear" w:color="auto" w:fill="auto"/>
            <w:noWrap/>
          </w:tcPr>
          <w:p w14:paraId="72D85267" w14:textId="0AD9C71B" w:rsidR="008B4DF8" w:rsidRPr="00C1603D" w:rsidRDefault="008B4DF8" w:rsidP="00962379">
            <w:pPr>
              <w:pStyle w:val="72TabletextTablesTableFigureBoxstyles"/>
              <w:rPr>
                <w:lang w:eastAsia="zh-CN"/>
              </w:rPr>
            </w:pPr>
            <w:r w:rsidRPr="00C1603D">
              <w:t>41 (0.94)</w:t>
            </w:r>
          </w:p>
        </w:tc>
        <w:tc>
          <w:tcPr>
            <w:tcW w:w="0" w:type="auto"/>
            <w:shd w:val="clear" w:color="auto" w:fill="auto"/>
          </w:tcPr>
          <w:p w14:paraId="6FDE265C" w14:textId="5FB8136D" w:rsidR="008B4DF8" w:rsidRPr="00C1603D" w:rsidRDefault="008B4DF8" w:rsidP="00962379">
            <w:pPr>
              <w:pStyle w:val="72TabletextTablesTableFigureBoxstyles"/>
              <w:rPr>
                <w:lang w:eastAsia="zh-CN"/>
              </w:rPr>
            </w:pPr>
            <w:r w:rsidRPr="00C1603D">
              <w:rPr>
                <w:lang w:eastAsia="en-GB"/>
              </w:rPr>
              <w:t>1729 (39.75)</w:t>
            </w:r>
          </w:p>
        </w:tc>
        <w:tc>
          <w:tcPr>
            <w:tcW w:w="0" w:type="auto"/>
            <w:shd w:val="clear" w:color="auto" w:fill="auto"/>
          </w:tcPr>
          <w:p w14:paraId="38729BD2" w14:textId="33CE146A" w:rsidR="008B4DF8" w:rsidRPr="00C1603D" w:rsidRDefault="008B4DF8" w:rsidP="00962379">
            <w:pPr>
              <w:pStyle w:val="72TabletextTablesTableFigureBoxstyles"/>
              <w:rPr>
                <w:lang w:eastAsia="zh-CN"/>
              </w:rPr>
            </w:pPr>
            <w:r w:rsidRPr="00C1603D">
              <w:rPr>
                <w:lang w:eastAsia="en-GB"/>
              </w:rPr>
              <w:t>1265 (29.08)</w:t>
            </w:r>
          </w:p>
        </w:tc>
      </w:tr>
      <w:tr w:rsidR="008B4DF8" w:rsidRPr="00C1603D" w14:paraId="2EA39161" w14:textId="77777777" w:rsidTr="00962379">
        <w:trPr>
          <w:cantSplit/>
        </w:trPr>
        <w:tc>
          <w:tcPr>
            <w:tcW w:w="0" w:type="auto"/>
            <w:shd w:val="clear" w:color="auto" w:fill="auto"/>
            <w:noWrap/>
          </w:tcPr>
          <w:p w14:paraId="2188C340" w14:textId="77777777" w:rsidR="008B4DF8" w:rsidRPr="00C1603D" w:rsidRDefault="008B4DF8" w:rsidP="00962379">
            <w:pPr>
              <w:pStyle w:val="72TabletextTablesTableFigureBoxstyles"/>
              <w:rPr>
                <w:lang w:eastAsia="zh-CN"/>
              </w:rPr>
            </w:pPr>
            <w:r w:rsidRPr="00C1603D">
              <w:rPr>
                <w:lang w:eastAsia="zh-CN"/>
              </w:rPr>
              <w:t>70</w:t>
            </w:r>
            <w:r w:rsidRPr="00C1603D">
              <w:rPr>
                <w:color w:val="00B0F0"/>
                <w:lang w:eastAsia="zh-CN"/>
              </w:rPr>
              <w:t>–7</w:t>
            </w:r>
            <w:r w:rsidRPr="00C1603D">
              <w:rPr>
                <w:lang w:eastAsia="zh-CN"/>
              </w:rPr>
              <w:t>9</w:t>
            </w:r>
          </w:p>
        </w:tc>
        <w:tc>
          <w:tcPr>
            <w:tcW w:w="0" w:type="auto"/>
            <w:shd w:val="clear" w:color="auto" w:fill="auto"/>
          </w:tcPr>
          <w:p w14:paraId="16B726F9" w14:textId="4461BBE1" w:rsidR="008B4DF8" w:rsidRPr="00C1603D" w:rsidRDefault="008B4DF8" w:rsidP="00962379">
            <w:pPr>
              <w:pStyle w:val="72TabletextTablesTableFigureBoxstyles"/>
              <w:rPr>
                <w:lang w:eastAsia="zh-CN"/>
              </w:rPr>
            </w:pPr>
            <w:r w:rsidRPr="00C1603D">
              <w:rPr>
                <w:lang w:eastAsia="en-GB"/>
              </w:rPr>
              <w:t>3160</w:t>
            </w:r>
          </w:p>
        </w:tc>
        <w:tc>
          <w:tcPr>
            <w:tcW w:w="0" w:type="auto"/>
            <w:shd w:val="clear" w:color="auto" w:fill="auto"/>
            <w:noWrap/>
          </w:tcPr>
          <w:p w14:paraId="0B5EE531" w14:textId="03F1FBDB" w:rsidR="008B4DF8" w:rsidRPr="00C1603D" w:rsidRDefault="008B4DF8" w:rsidP="00962379">
            <w:pPr>
              <w:pStyle w:val="72TabletextTablesTableFigureBoxstyles"/>
              <w:rPr>
                <w:lang w:eastAsia="zh-CN"/>
              </w:rPr>
            </w:pPr>
            <w:r w:rsidRPr="00C1603D">
              <w:t>42 (1.33)</w:t>
            </w:r>
          </w:p>
        </w:tc>
        <w:tc>
          <w:tcPr>
            <w:tcW w:w="0" w:type="auto"/>
            <w:shd w:val="clear" w:color="auto" w:fill="auto"/>
          </w:tcPr>
          <w:p w14:paraId="528B4E42" w14:textId="7557AFC3" w:rsidR="008B4DF8" w:rsidRPr="00C1603D" w:rsidRDefault="008B4DF8" w:rsidP="00962379">
            <w:pPr>
              <w:pStyle w:val="72TabletextTablesTableFigureBoxstyles"/>
              <w:rPr>
                <w:lang w:eastAsia="zh-CN"/>
              </w:rPr>
            </w:pPr>
            <w:r w:rsidRPr="00C1603D">
              <w:rPr>
                <w:lang w:eastAsia="en-GB"/>
              </w:rPr>
              <w:t>1666 (52.72)</w:t>
            </w:r>
          </w:p>
        </w:tc>
        <w:tc>
          <w:tcPr>
            <w:tcW w:w="0" w:type="auto"/>
            <w:shd w:val="clear" w:color="auto" w:fill="auto"/>
          </w:tcPr>
          <w:p w14:paraId="4546226D" w14:textId="3FFEB650" w:rsidR="008B4DF8" w:rsidRPr="00C1603D" w:rsidRDefault="008B4DF8" w:rsidP="00962379">
            <w:pPr>
              <w:pStyle w:val="72TabletextTablesTableFigureBoxstyles"/>
              <w:rPr>
                <w:lang w:eastAsia="zh-CN"/>
              </w:rPr>
            </w:pPr>
            <w:r w:rsidRPr="00C1603D">
              <w:rPr>
                <w:lang w:eastAsia="en-GB"/>
              </w:rPr>
              <w:t>1185 (37.5)</w:t>
            </w:r>
          </w:p>
        </w:tc>
      </w:tr>
      <w:tr w:rsidR="008B4DF8" w:rsidRPr="00C1603D" w14:paraId="373E048E" w14:textId="77777777" w:rsidTr="00962379">
        <w:trPr>
          <w:cantSplit/>
        </w:trPr>
        <w:tc>
          <w:tcPr>
            <w:tcW w:w="0" w:type="auto"/>
            <w:shd w:val="clear" w:color="auto" w:fill="auto"/>
            <w:noWrap/>
          </w:tcPr>
          <w:p w14:paraId="540D11A6" w14:textId="77777777" w:rsidR="008B4DF8" w:rsidRPr="00C1603D" w:rsidRDefault="008B4DF8" w:rsidP="00962379">
            <w:pPr>
              <w:pStyle w:val="72TabletextTablesTableFigureBoxstyles"/>
              <w:rPr>
                <w:lang w:eastAsia="zh-CN"/>
              </w:rPr>
            </w:pPr>
            <w:r w:rsidRPr="00C1603D">
              <w:rPr>
                <w:lang w:eastAsia="zh-CN"/>
              </w:rPr>
              <w:t>80</w:t>
            </w:r>
            <w:r w:rsidRPr="00C1603D">
              <w:rPr>
                <w:color w:val="00B0F0"/>
                <w:lang w:eastAsia="zh-CN"/>
              </w:rPr>
              <w:t>–8</w:t>
            </w:r>
            <w:r w:rsidRPr="00C1603D">
              <w:rPr>
                <w:lang w:eastAsia="zh-CN"/>
              </w:rPr>
              <w:t>9</w:t>
            </w:r>
          </w:p>
        </w:tc>
        <w:tc>
          <w:tcPr>
            <w:tcW w:w="0" w:type="auto"/>
            <w:shd w:val="clear" w:color="auto" w:fill="auto"/>
          </w:tcPr>
          <w:p w14:paraId="146AFE39" w14:textId="747175B6" w:rsidR="008B4DF8" w:rsidRPr="00C1603D" w:rsidRDefault="008B4DF8" w:rsidP="00962379">
            <w:pPr>
              <w:pStyle w:val="72TabletextTablesTableFigureBoxstyles"/>
              <w:rPr>
                <w:lang w:eastAsia="zh-CN"/>
              </w:rPr>
            </w:pPr>
            <w:r w:rsidRPr="00C1603D">
              <w:rPr>
                <w:lang w:eastAsia="en-GB"/>
              </w:rPr>
              <w:t>1285</w:t>
            </w:r>
          </w:p>
        </w:tc>
        <w:tc>
          <w:tcPr>
            <w:tcW w:w="0" w:type="auto"/>
            <w:shd w:val="clear" w:color="auto" w:fill="auto"/>
            <w:noWrap/>
          </w:tcPr>
          <w:p w14:paraId="67A7A047" w14:textId="29A4F940" w:rsidR="008B4DF8" w:rsidRPr="00C1603D" w:rsidRDefault="008B4DF8" w:rsidP="00962379">
            <w:pPr>
              <w:pStyle w:val="72TabletextTablesTableFigureBoxstyles"/>
              <w:rPr>
                <w:lang w:eastAsia="zh-CN"/>
              </w:rPr>
            </w:pPr>
            <w:r w:rsidRPr="00C1603D">
              <w:t>19 (1.48)</w:t>
            </w:r>
          </w:p>
        </w:tc>
        <w:tc>
          <w:tcPr>
            <w:tcW w:w="0" w:type="auto"/>
            <w:shd w:val="clear" w:color="auto" w:fill="auto"/>
          </w:tcPr>
          <w:p w14:paraId="24BCC040" w14:textId="38FACC17" w:rsidR="008B4DF8" w:rsidRPr="00C1603D" w:rsidRDefault="008B4DF8" w:rsidP="00962379">
            <w:pPr>
              <w:pStyle w:val="72TabletextTablesTableFigureBoxstyles"/>
              <w:rPr>
                <w:lang w:eastAsia="zh-CN"/>
              </w:rPr>
            </w:pPr>
            <w:r w:rsidRPr="00C1603D">
              <w:rPr>
                <w:lang w:eastAsia="en-GB"/>
              </w:rPr>
              <w:t>695 (54.09)</w:t>
            </w:r>
          </w:p>
        </w:tc>
        <w:tc>
          <w:tcPr>
            <w:tcW w:w="0" w:type="auto"/>
            <w:shd w:val="clear" w:color="auto" w:fill="auto"/>
          </w:tcPr>
          <w:p w14:paraId="782825C6" w14:textId="08745EE8" w:rsidR="008B4DF8" w:rsidRPr="00C1603D" w:rsidRDefault="008B4DF8" w:rsidP="00962379">
            <w:pPr>
              <w:pStyle w:val="72TabletextTablesTableFigureBoxstyles"/>
              <w:rPr>
                <w:lang w:eastAsia="zh-CN"/>
              </w:rPr>
            </w:pPr>
            <w:r w:rsidRPr="00C1603D">
              <w:rPr>
                <w:lang w:eastAsia="en-GB"/>
              </w:rPr>
              <w:t>548 (42.65)</w:t>
            </w:r>
          </w:p>
        </w:tc>
      </w:tr>
      <w:tr w:rsidR="008B4DF8" w:rsidRPr="00C1603D" w14:paraId="590990CF" w14:textId="77777777" w:rsidTr="00962379">
        <w:trPr>
          <w:cantSplit/>
        </w:trPr>
        <w:tc>
          <w:tcPr>
            <w:tcW w:w="0" w:type="auto"/>
            <w:shd w:val="clear" w:color="auto" w:fill="auto"/>
            <w:noWrap/>
          </w:tcPr>
          <w:p w14:paraId="61419D84" w14:textId="77777777" w:rsidR="008B4DF8" w:rsidRPr="00C1603D" w:rsidRDefault="008B4DF8" w:rsidP="00962379">
            <w:pPr>
              <w:pStyle w:val="72TabletextTablesTableFigureBoxstyles"/>
              <w:rPr>
                <w:lang w:eastAsia="zh-CN"/>
              </w:rPr>
            </w:pPr>
            <w:r w:rsidRPr="00C1603D">
              <w:rPr>
                <w:lang w:eastAsia="zh-CN"/>
              </w:rPr>
              <w:t>90</w:t>
            </w:r>
            <w:r w:rsidRPr="00C1603D">
              <w:rPr>
                <w:color w:val="00B0F0"/>
                <w:lang w:eastAsia="zh-CN"/>
              </w:rPr>
              <w:t>–9</w:t>
            </w:r>
            <w:r w:rsidRPr="00C1603D">
              <w:rPr>
                <w:lang w:eastAsia="zh-CN"/>
              </w:rPr>
              <w:t>9</w:t>
            </w:r>
          </w:p>
        </w:tc>
        <w:tc>
          <w:tcPr>
            <w:tcW w:w="0" w:type="auto"/>
            <w:shd w:val="clear" w:color="auto" w:fill="auto"/>
          </w:tcPr>
          <w:p w14:paraId="2D44BA4E" w14:textId="77777777" w:rsidR="008B4DF8" w:rsidRPr="00C1603D" w:rsidRDefault="008B4DF8" w:rsidP="00962379">
            <w:pPr>
              <w:pStyle w:val="72TabletextTablesTableFigureBoxstyles"/>
              <w:rPr>
                <w:lang w:eastAsia="zh-CN"/>
              </w:rPr>
            </w:pPr>
            <w:r w:rsidRPr="00C1603D">
              <w:rPr>
                <w:lang w:eastAsia="en-GB"/>
              </w:rPr>
              <w:t>176</w:t>
            </w:r>
          </w:p>
        </w:tc>
        <w:tc>
          <w:tcPr>
            <w:tcW w:w="0" w:type="auto"/>
            <w:shd w:val="clear" w:color="auto" w:fill="auto"/>
            <w:noWrap/>
          </w:tcPr>
          <w:p w14:paraId="40AC04A6" w14:textId="7369A7DF" w:rsidR="008B4DF8" w:rsidRPr="00C1603D" w:rsidRDefault="008B4DF8" w:rsidP="00962379">
            <w:pPr>
              <w:pStyle w:val="72TabletextTablesTableFigureBoxstyles"/>
              <w:rPr>
                <w:lang w:eastAsia="zh-CN"/>
              </w:rPr>
            </w:pPr>
            <w:r w:rsidRPr="00C1603D">
              <w:t>3 (1.7)</w:t>
            </w:r>
          </w:p>
        </w:tc>
        <w:tc>
          <w:tcPr>
            <w:tcW w:w="0" w:type="auto"/>
            <w:shd w:val="clear" w:color="auto" w:fill="auto"/>
          </w:tcPr>
          <w:p w14:paraId="223B24A1" w14:textId="3759FBB1" w:rsidR="008B4DF8" w:rsidRPr="00C1603D" w:rsidRDefault="008B4DF8" w:rsidP="00962379">
            <w:pPr>
              <w:pStyle w:val="72TabletextTablesTableFigureBoxstyles"/>
              <w:rPr>
                <w:lang w:eastAsia="zh-CN"/>
              </w:rPr>
            </w:pPr>
            <w:r w:rsidRPr="00C1603D">
              <w:rPr>
                <w:lang w:eastAsia="en-GB"/>
              </w:rPr>
              <w:t>77 (43.75)</w:t>
            </w:r>
          </w:p>
        </w:tc>
        <w:tc>
          <w:tcPr>
            <w:tcW w:w="0" w:type="auto"/>
            <w:shd w:val="clear" w:color="auto" w:fill="auto"/>
          </w:tcPr>
          <w:p w14:paraId="51F90389" w14:textId="12197B83" w:rsidR="008B4DF8" w:rsidRPr="00C1603D" w:rsidRDefault="008B4DF8" w:rsidP="00962379">
            <w:pPr>
              <w:pStyle w:val="72TabletextTablesTableFigureBoxstyles"/>
              <w:rPr>
                <w:lang w:eastAsia="zh-CN"/>
              </w:rPr>
            </w:pPr>
            <w:r w:rsidRPr="00C1603D">
              <w:rPr>
                <w:lang w:eastAsia="en-GB"/>
              </w:rPr>
              <w:t>81 (46.02)</w:t>
            </w:r>
          </w:p>
        </w:tc>
      </w:tr>
      <w:tr w:rsidR="008B4DF8" w:rsidRPr="00C1603D" w14:paraId="678B060A" w14:textId="77777777" w:rsidTr="00962379">
        <w:trPr>
          <w:cantSplit/>
        </w:trPr>
        <w:tc>
          <w:tcPr>
            <w:tcW w:w="0" w:type="auto"/>
            <w:gridSpan w:val="5"/>
            <w:shd w:val="clear" w:color="auto" w:fill="auto"/>
            <w:noWrap/>
          </w:tcPr>
          <w:p w14:paraId="6CDBDE19" w14:textId="4652DBC0" w:rsidR="00962379" w:rsidRPr="00C1603D" w:rsidRDefault="00962379" w:rsidP="00962379">
            <w:pPr>
              <w:pStyle w:val="75TablenotesTablesTableFigureBoxstyles"/>
            </w:pPr>
            <w:r w:rsidRPr="00C1603D">
              <w:t>a</w:t>
            </w:r>
            <w:r w:rsidRPr="00C1603D">
              <w:tab/>
              <w:t xml:space="preserve">Same prevalence at time of screening </w:t>
            </w:r>
            <w:proofErr w:type="gramStart"/>
            <w:r w:rsidRPr="00C1603D">
              <w:t>is assumed</w:t>
            </w:r>
            <w:proofErr w:type="gramEnd"/>
            <w:r w:rsidRPr="00C1603D">
              <w:t xml:space="preserve"> for newly diagnosed and undiagnosed CD.</w:t>
            </w:r>
          </w:p>
          <w:p w14:paraId="5F054092" w14:textId="6E6326FE" w:rsidR="008B4DF8" w:rsidRPr="00C1603D" w:rsidRDefault="00962379" w:rsidP="00962379">
            <w:pPr>
              <w:pStyle w:val="75TablenotesTablesTableFigureBoxstyles"/>
              <w:rPr>
                <w:rFonts w:ascii="Times New Roman" w:hAnsi="Times New Roman"/>
              </w:rPr>
            </w:pPr>
            <w:r w:rsidRPr="00C1603D">
              <w:t>b</w:t>
            </w:r>
            <w:r w:rsidRPr="00C1603D">
              <w:tab/>
            </w:r>
            <w:r w:rsidR="008B4DF8" w:rsidRPr="00C1603D">
              <w:t xml:space="preserve">Patients may contribute to more than one age category as 20 years of data </w:t>
            </w:r>
            <w:proofErr w:type="gramStart"/>
            <w:r w:rsidR="008B4DF8" w:rsidRPr="00C1603D">
              <w:t>were used</w:t>
            </w:r>
            <w:proofErr w:type="gramEnd"/>
            <w:r w:rsidR="008B4DF8" w:rsidRPr="00C1603D">
              <w:t xml:space="preserve"> to estimate prevalence.</w:t>
            </w:r>
          </w:p>
        </w:tc>
      </w:tr>
    </w:tbl>
    <w:p w14:paraId="7F06463D" w14:textId="2A4FF49F" w:rsidR="008B4DF8" w:rsidRPr="00C1603D" w:rsidRDefault="008B4DF8" w:rsidP="00E26F30">
      <w:pPr>
        <w:pStyle w:val="43AppendixtitleHeadingsHeadingstyles"/>
      </w:pPr>
      <w:bookmarkStart w:id="736" w:name="_Toc99539955"/>
      <w:r w:rsidRPr="00C1603D">
        <w:lastRenderedPageBreak/>
        <w:t>Appendix 27</w:t>
      </w:r>
      <w:bookmarkEnd w:id="736"/>
      <w:r w:rsidR="00E26F30" w:rsidRPr="00C1603D">
        <w:t> </w:t>
      </w:r>
      <w:r w:rsidR="00DF45C6" w:rsidRPr="00C1603D">
        <w:t>Fracture rates and costs of osteoporosis</w:t>
      </w:r>
    </w:p>
    <w:p w14:paraId="2EC19835" w14:textId="4C800917" w:rsidR="008B4DF8" w:rsidRPr="00C1603D" w:rsidRDefault="008B4DF8" w:rsidP="008B4DF8">
      <w:pPr>
        <w:pStyle w:val="70TablelegendTablesTableFigureBoxstyles"/>
        <w:rPr>
          <w:vertAlign w:val="superscript"/>
        </w:rPr>
      </w:pPr>
      <w:bookmarkStart w:id="737" w:name="_Toc99720777"/>
      <w:commentRangeStart w:id="738"/>
      <w:r w:rsidRPr="00C1603D">
        <w:rPr>
          <w:b/>
        </w:rPr>
        <w:t>TABLE 66</w:t>
      </w:r>
      <w:r w:rsidRPr="00C1603D">
        <w:rPr>
          <w:b/>
        </w:rPr>
        <w:t> </w:t>
      </w:r>
      <w:r w:rsidRPr="00C1603D">
        <w:t xml:space="preserve">Fracture rate by age at the sites shown from Curtis </w:t>
      </w:r>
      <w:r w:rsidRPr="00C1603D">
        <w:rPr>
          <w:i/>
          <w:iCs/>
        </w:rPr>
        <w:t>et al</w:t>
      </w:r>
      <w:bookmarkEnd w:id="737"/>
      <w:r w:rsidR="008018D6" w:rsidRPr="00C1603D">
        <w:t>.</w:t>
      </w:r>
      <w:r w:rsidR="008018D6" w:rsidRPr="00C1603D">
        <w:rPr>
          <w:vertAlign w:val="superscript"/>
        </w:rPr>
        <w:t>232</w:t>
      </w:r>
      <w:commentRangeEnd w:id="738"/>
      <w:r w:rsidR="003B7E88" w:rsidRPr="00C1603D">
        <w:rPr>
          <w:rFonts w:ascii="Times New Roman" w:hAnsi="Times New Roman" w:cs="Times New Roman"/>
          <w:color w:val="auto"/>
        </w:rPr>
        <w:commentReference w:id="738"/>
      </w:r>
    </w:p>
    <w:tbl>
      <w:tblPr>
        <w:tblW w:w="0" w:type="auto"/>
        <w:tblCellMar>
          <w:top w:w="40" w:type="dxa"/>
          <w:left w:w="60" w:type="dxa"/>
          <w:bottom w:w="40" w:type="dxa"/>
          <w:right w:w="60" w:type="dxa"/>
        </w:tblCellMar>
        <w:tblLook w:val="04A0" w:firstRow="1" w:lastRow="0" w:firstColumn="1" w:lastColumn="0" w:noHBand="0" w:noVBand="1"/>
      </w:tblPr>
      <w:tblGrid>
        <w:gridCol w:w="895"/>
        <w:gridCol w:w="1583"/>
        <w:gridCol w:w="964"/>
        <w:gridCol w:w="1809"/>
        <w:gridCol w:w="964"/>
        <w:gridCol w:w="1847"/>
        <w:gridCol w:w="964"/>
      </w:tblGrid>
      <w:tr w:rsidR="00DF45C6" w:rsidRPr="00C1603D" w14:paraId="05F8FA25" w14:textId="77777777" w:rsidTr="00AA3BC0">
        <w:trPr>
          <w:cantSplit/>
        </w:trPr>
        <w:tc>
          <w:tcPr>
            <w:tcW w:w="0" w:type="auto"/>
            <w:shd w:val="clear" w:color="auto" w:fill="auto"/>
          </w:tcPr>
          <w:p w14:paraId="53F90172" w14:textId="77777777" w:rsidR="008B4DF8" w:rsidRPr="00C1603D" w:rsidRDefault="008B4DF8" w:rsidP="00AA3BC0">
            <w:pPr>
              <w:pStyle w:val="710TableheadTablesTableFigureBoxstyles"/>
            </w:pPr>
            <w:r w:rsidRPr="00C1603D">
              <w:t>Age range (years)</w:t>
            </w:r>
          </w:p>
        </w:tc>
        <w:tc>
          <w:tcPr>
            <w:tcW w:w="0" w:type="auto"/>
            <w:shd w:val="clear" w:color="auto" w:fill="auto"/>
          </w:tcPr>
          <w:p w14:paraId="12B9443D" w14:textId="66F3513D" w:rsidR="008B4DF8" w:rsidRPr="00C1603D" w:rsidRDefault="008B4DF8" w:rsidP="00AA3BC0">
            <w:pPr>
              <w:pStyle w:val="710TableheadTablesTableFigureBoxstyles"/>
            </w:pPr>
            <w:r w:rsidRPr="00C1603D">
              <w:t>Hip</w:t>
            </w:r>
            <w:r w:rsidR="00DF45C6" w:rsidRPr="00C1603D">
              <w:t xml:space="preserve"> fracture</w:t>
            </w:r>
            <w:r w:rsidRPr="00C1603D">
              <w:t xml:space="preserve"> rate per 10,000 p</w:t>
            </w:r>
            <w:r w:rsidR="007A52CA" w:rsidRPr="00C1603D">
              <w:t>erson-years</w:t>
            </w:r>
          </w:p>
        </w:tc>
        <w:tc>
          <w:tcPr>
            <w:tcW w:w="0" w:type="auto"/>
            <w:shd w:val="clear" w:color="auto" w:fill="auto"/>
          </w:tcPr>
          <w:p w14:paraId="687B991F" w14:textId="77777777" w:rsidR="008B4DF8" w:rsidRPr="00C1603D" w:rsidRDefault="008B4DF8" w:rsidP="00AA3BC0">
            <w:pPr>
              <w:pStyle w:val="710TableheadTablesTableFigureBoxstyles"/>
            </w:pPr>
            <w:r w:rsidRPr="00C1603D">
              <w:t>Number of cases</w:t>
            </w:r>
          </w:p>
        </w:tc>
        <w:tc>
          <w:tcPr>
            <w:tcW w:w="0" w:type="auto"/>
            <w:shd w:val="clear" w:color="auto" w:fill="auto"/>
          </w:tcPr>
          <w:p w14:paraId="68AE269B" w14:textId="65EC8014" w:rsidR="008B4DF8" w:rsidRPr="00C1603D" w:rsidRDefault="008B4DF8" w:rsidP="00AA3BC0">
            <w:pPr>
              <w:pStyle w:val="710TableheadTablesTableFigureBoxstyles"/>
            </w:pPr>
            <w:r w:rsidRPr="00C1603D">
              <w:t>Vertebral</w:t>
            </w:r>
            <w:r w:rsidR="00DF45C6" w:rsidRPr="00C1603D">
              <w:t xml:space="preserve"> fracture</w:t>
            </w:r>
            <w:r w:rsidRPr="00C1603D">
              <w:t xml:space="preserve"> rate per 10,000 </w:t>
            </w:r>
            <w:r w:rsidR="007A52CA" w:rsidRPr="00C1603D">
              <w:t>person-years</w:t>
            </w:r>
          </w:p>
        </w:tc>
        <w:tc>
          <w:tcPr>
            <w:tcW w:w="0" w:type="auto"/>
            <w:shd w:val="clear" w:color="auto" w:fill="auto"/>
          </w:tcPr>
          <w:p w14:paraId="7C0BFB2C" w14:textId="77777777" w:rsidR="008B4DF8" w:rsidRPr="00C1603D" w:rsidRDefault="008B4DF8" w:rsidP="00AA3BC0">
            <w:pPr>
              <w:pStyle w:val="710TableheadTablesTableFigureBoxstyles"/>
            </w:pPr>
            <w:r w:rsidRPr="00C1603D">
              <w:t>Number of cases</w:t>
            </w:r>
          </w:p>
        </w:tc>
        <w:tc>
          <w:tcPr>
            <w:tcW w:w="0" w:type="auto"/>
            <w:shd w:val="clear" w:color="auto" w:fill="auto"/>
          </w:tcPr>
          <w:p w14:paraId="72AFB247" w14:textId="046E6317" w:rsidR="008B4DF8" w:rsidRPr="00C1603D" w:rsidRDefault="008B4DF8" w:rsidP="00AA3BC0">
            <w:pPr>
              <w:pStyle w:val="710TableheadTablesTableFigureBoxstyles"/>
            </w:pPr>
            <w:r w:rsidRPr="00C1603D">
              <w:t xml:space="preserve">Wrist (carpus) </w:t>
            </w:r>
            <w:r w:rsidR="00DF45C6" w:rsidRPr="00C1603D">
              <w:t xml:space="preserve">fracture </w:t>
            </w:r>
            <w:r w:rsidR="007A52CA" w:rsidRPr="00C1603D">
              <w:t>r</w:t>
            </w:r>
            <w:r w:rsidRPr="00C1603D">
              <w:t xml:space="preserve">ate per 10,000 </w:t>
            </w:r>
            <w:r w:rsidR="007A52CA" w:rsidRPr="00C1603D">
              <w:t>person-years</w:t>
            </w:r>
          </w:p>
        </w:tc>
        <w:tc>
          <w:tcPr>
            <w:tcW w:w="0" w:type="auto"/>
            <w:shd w:val="clear" w:color="auto" w:fill="auto"/>
          </w:tcPr>
          <w:p w14:paraId="59575231" w14:textId="77777777" w:rsidR="008B4DF8" w:rsidRPr="00C1603D" w:rsidRDefault="008B4DF8" w:rsidP="00AA3BC0">
            <w:pPr>
              <w:pStyle w:val="710TableheadTablesTableFigureBoxstyles"/>
            </w:pPr>
            <w:r w:rsidRPr="00C1603D">
              <w:t>Number of cases</w:t>
            </w:r>
          </w:p>
        </w:tc>
      </w:tr>
      <w:tr w:rsidR="00DF45C6" w:rsidRPr="00C1603D" w14:paraId="34B5729C" w14:textId="77777777" w:rsidTr="00AA3BC0">
        <w:trPr>
          <w:cantSplit/>
        </w:trPr>
        <w:tc>
          <w:tcPr>
            <w:tcW w:w="0" w:type="auto"/>
            <w:shd w:val="clear" w:color="auto" w:fill="auto"/>
          </w:tcPr>
          <w:p w14:paraId="3BA116D6" w14:textId="77777777" w:rsidR="008B4DF8" w:rsidRPr="00C1603D" w:rsidRDefault="008B4DF8" w:rsidP="00AA3BC0">
            <w:pPr>
              <w:pStyle w:val="72TabletextTablesTableFigureBoxstyles"/>
            </w:pPr>
            <w:r w:rsidRPr="00C1603D">
              <w:t>18</w:t>
            </w:r>
            <w:r w:rsidRPr="00C1603D">
              <w:rPr>
                <w:color w:val="00B0F0"/>
              </w:rPr>
              <w:t>–4</w:t>
            </w:r>
            <w:r w:rsidRPr="00C1603D">
              <w:t>9</w:t>
            </w:r>
          </w:p>
        </w:tc>
        <w:tc>
          <w:tcPr>
            <w:tcW w:w="0" w:type="auto"/>
            <w:shd w:val="clear" w:color="auto" w:fill="auto"/>
          </w:tcPr>
          <w:p w14:paraId="2DF5EED4" w14:textId="77777777" w:rsidR="008B4DF8" w:rsidRPr="00C1603D" w:rsidRDefault="008B4DF8" w:rsidP="00AA3BC0">
            <w:pPr>
              <w:pStyle w:val="72TabletextTablesTableFigureBoxstyles"/>
            </w:pPr>
            <w:r w:rsidRPr="00C1603D">
              <w:t>0.5</w:t>
            </w:r>
          </w:p>
        </w:tc>
        <w:tc>
          <w:tcPr>
            <w:tcW w:w="0" w:type="auto"/>
            <w:shd w:val="clear" w:color="auto" w:fill="auto"/>
          </w:tcPr>
          <w:p w14:paraId="4ED801BF" w14:textId="77777777" w:rsidR="008B4DF8" w:rsidRPr="00C1603D" w:rsidRDefault="008B4DF8" w:rsidP="00AA3BC0">
            <w:pPr>
              <w:pStyle w:val="72TabletextTablesTableFigureBoxstyles"/>
            </w:pPr>
            <w:r w:rsidRPr="00C1603D">
              <w:t>1520</w:t>
            </w:r>
          </w:p>
        </w:tc>
        <w:tc>
          <w:tcPr>
            <w:tcW w:w="0" w:type="auto"/>
            <w:shd w:val="clear" w:color="auto" w:fill="auto"/>
          </w:tcPr>
          <w:p w14:paraId="4FC7E835" w14:textId="77777777" w:rsidR="008B4DF8" w:rsidRPr="00C1603D" w:rsidRDefault="008B4DF8" w:rsidP="00AA3BC0">
            <w:pPr>
              <w:pStyle w:val="72TabletextTablesTableFigureBoxstyles"/>
            </w:pPr>
            <w:r w:rsidRPr="00C1603D">
              <w:t>1.5</w:t>
            </w:r>
          </w:p>
        </w:tc>
        <w:tc>
          <w:tcPr>
            <w:tcW w:w="0" w:type="auto"/>
            <w:shd w:val="clear" w:color="auto" w:fill="auto"/>
          </w:tcPr>
          <w:p w14:paraId="432421B4" w14:textId="77777777" w:rsidR="008B4DF8" w:rsidRPr="00C1603D" w:rsidRDefault="008B4DF8" w:rsidP="00AA3BC0">
            <w:pPr>
              <w:pStyle w:val="72TabletextTablesTableFigureBoxstyles"/>
            </w:pPr>
            <w:r w:rsidRPr="00C1603D">
              <w:t>5027</w:t>
            </w:r>
          </w:p>
        </w:tc>
        <w:tc>
          <w:tcPr>
            <w:tcW w:w="0" w:type="auto"/>
            <w:shd w:val="clear" w:color="auto" w:fill="auto"/>
          </w:tcPr>
          <w:p w14:paraId="5C2DD82C" w14:textId="77777777" w:rsidR="008B4DF8" w:rsidRPr="00C1603D" w:rsidRDefault="008B4DF8" w:rsidP="00AA3BC0">
            <w:pPr>
              <w:pStyle w:val="72TabletextTablesTableFigureBoxstyles"/>
            </w:pPr>
            <w:r w:rsidRPr="00C1603D">
              <w:t>20.7</w:t>
            </w:r>
          </w:p>
        </w:tc>
        <w:tc>
          <w:tcPr>
            <w:tcW w:w="0" w:type="auto"/>
            <w:shd w:val="clear" w:color="auto" w:fill="auto"/>
          </w:tcPr>
          <w:p w14:paraId="65CAEB65" w14:textId="7C102905" w:rsidR="008B4DF8" w:rsidRPr="00C1603D" w:rsidRDefault="008B4DF8" w:rsidP="00AA3BC0">
            <w:pPr>
              <w:pStyle w:val="72TabletextTablesTableFigureBoxstyles"/>
            </w:pPr>
            <w:r w:rsidRPr="00C1603D">
              <w:t>65</w:t>
            </w:r>
            <w:r w:rsidR="007A52CA" w:rsidRPr="00C1603D">
              <w:t>,</w:t>
            </w:r>
            <w:r w:rsidRPr="00C1603D">
              <w:t>244</w:t>
            </w:r>
          </w:p>
        </w:tc>
      </w:tr>
      <w:tr w:rsidR="00DF45C6" w:rsidRPr="00C1603D" w14:paraId="33608EB0" w14:textId="77777777" w:rsidTr="00AA3BC0">
        <w:trPr>
          <w:cantSplit/>
        </w:trPr>
        <w:tc>
          <w:tcPr>
            <w:tcW w:w="0" w:type="auto"/>
            <w:shd w:val="clear" w:color="auto" w:fill="auto"/>
          </w:tcPr>
          <w:p w14:paraId="2FFA9A3F" w14:textId="5B8F1980" w:rsidR="008B4DF8" w:rsidRPr="00C1603D" w:rsidRDefault="008018D6" w:rsidP="00AA3BC0">
            <w:pPr>
              <w:pStyle w:val="72TabletextTablesTableFigureBoxstyles"/>
            </w:pPr>
            <w:r w:rsidRPr="00C1603D">
              <w:t>≥ </w:t>
            </w:r>
            <w:r w:rsidR="008B4DF8" w:rsidRPr="00C1603D">
              <w:t>5</w:t>
            </w:r>
            <w:r w:rsidR="008B4DF8" w:rsidRPr="00C1603D">
              <w:rPr>
                <w:color w:val="00B0F0"/>
              </w:rPr>
              <w:t>0</w:t>
            </w:r>
          </w:p>
        </w:tc>
        <w:tc>
          <w:tcPr>
            <w:tcW w:w="0" w:type="auto"/>
            <w:shd w:val="clear" w:color="auto" w:fill="auto"/>
          </w:tcPr>
          <w:p w14:paraId="3BFC38FB" w14:textId="77777777" w:rsidR="008B4DF8" w:rsidRPr="00C1603D" w:rsidRDefault="008B4DF8" w:rsidP="00AA3BC0">
            <w:pPr>
              <w:pStyle w:val="72TabletextTablesTableFigureBoxstyles"/>
            </w:pPr>
            <w:r w:rsidRPr="00C1603D">
              <w:t>19.6</w:t>
            </w:r>
          </w:p>
        </w:tc>
        <w:tc>
          <w:tcPr>
            <w:tcW w:w="0" w:type="auto"/>
            <w:shd w:val="clear" w:color="auto" w:fill="auto"/>
          </w:tcPr>
          <w:p w14:paraId="5622C3B5" w14:textId="2AF08BD6" w:rsidR="008B4DF8" w:rsidRPr="00C1603D" w:rsidRDefault="008B4DF8" w:rsidP="00AA3BC0">
            <w:pPr>
              <w:pStyle w:val="72TabletextTablesTableFigureBoxstyles"/>
            </w:pPr>
            <w:r w:rsidRPr="00C1603D">
              <w:t>52</w:t>
            </w:r>
            <w:r w:rsidR="007A52CA" w:rsidRPr="00C1603D">
              <w:t>,</w:t>
            </w:r>
            <w:r w:rsidRPr="00C1603D">
              <w:t>609</w:t>
            </w:r>
          </w:p>
        </w:tc>
        <w:tc>
          <w:tcPr>
            <w:tcW w:w="0" w:type="auto"/>
            <w:shd w:val="clear" w:color="auto" w:fill="auto"/>
          </w:tcPr>
          <w:p w14:paraId="0EBADE62" w14:textId="77777777" w:rsidR="008B4DF8" w:rsidRPr="00C1603D" w:rsidRDefault="008B4DF8" w:rsidP="00AA3BC0">
            <w:pPr>
              <w:pStyle w:val="72TabletextTablesTableFigureBoxstyles"/>
            </w:pPr>
            <w:r w:rsidRPr="00C1603D">
              <w:t>7.1</w:t>
            </w:r>
          </w:p>
        </w:tc>
        <w:tc>
          <w:tcPr>
            <w:tcW w:w="0" w:type="auto"/>
            <w:shd w:val="clear" w:color="auto" w:fill="auto"/>
          </w:tcPr>
          <w:p w14:paraId="31F21119" w14:textId="1362A3D6" w:rsidR="008B4DF8" w:rsidRPr="00C1603D" w:rsidRDefault="008B4DF8" w:rsidP="00AA3BC0">
            <w:pPr>
              <w:pStyle w:val="72TabletextTablesTableFigureBoxstyles"/>
            </w:pPr>
            <w:r w:rsidRPr="00C1603D">
              <w:t>19</w:t>
            </w:r>
            <w:r w:rsidR="007A52CA" w:rsidRPr="00C1603D">
              <w:t>,</w:t>
            </w:r>
            <w:r w:rsidRPr="00C1603D">
              <w:t>232</w:t>
            </w:r>
          </w:p>
        </w:tc>
        <w:tc>
          <w:tcPr>
            <w:tcW w:w="0" w:type="auto"/>
            <w:shd w:val="clear" w:color="auto" w:fill="auto"/>
          </w:tcPr>
          <w:p w14:paraId="2E86A81A" w14:textId="77777777" w:rsidR="008B4DF8" w:rsidRPr="00C1603D" w:rsidRDefault="008B4DF8" w:rsidP="00AA3BC0">
            <w:pPr>
              <w:pStyle w:val="72TabletextTablesTableFigureBoxstyles"/>
            </w:pPr>
            <w:r w:rsidRPr="00C1603D">
              <w:t>12.5</w:t>
            </w:r>
          </w:p>
        </w:tc>
        <w:tc>
          <w:tcPr>
            <w:tcW w:w="0" w:type="auto"/>
            <w:shd w:val="clear" w:color="auto" w:fill="auto"/>
          </w:tcPr>
          <w:p w14:paraId="7EEBB3E0" w14:textId="130291C4" w:rsidR="008B4DF8" w:rsidRPr="00C1603D" w:rsidRDefault="008B4DF8" w:rsidP="00AA3BC0">
            <w:pPr>
              <w:pStyle w:val="72TabletextTablesTableFigureBoxstyles"/>
            </w:pPr>
            <w:r w:rsidRPr="00C1603D">
              <w:t>32</w:t>
            </w:r>
            <w:r w:rsidR="007A52CA" w:rsidRPr="00C1603D">
              <w:t>,</w:t>
            </w:r>
            <w:r w:rsidRPr="00C1603D">
              <w:t>983</w:t>
            </w:r>
          </w:p>
        </w:tc>
      </w:tr>
    </w:tbl>
    <w:p w14:paraId="1A4EC896" w14:textId="19DC1CD5" w:rsidR="008B4DF8" w:rsidRPr="00C1603D" w:rsidRDefault="008B4DF8" w:rsidP="008B4DF8">
      <w:pPr>
        <w:pStyle w:val="70TablelegendTablesTableFigureBoxstyles"/>
      </w:pPr>
      <w:bookmarkStart w:id="739" w:name="_Toc99720778"/>
      <w:commentRangeStart w:id="740"/>
      <w:r w:rsidRPr="00C1603D">
        <w:rPr>
          <w:b/>
        </w:rPr>
        <w:t>TABLE 67</w:t>
      </w:r>
      <w:r w:rsidRPr="00C1603D">
        <w:rPr>
          <w:b/>
        </w:rPr>
        <w:t> </w:t>
      </w:r>
      <w:r w:rsidRPr="00C1603D">
        <w:t>Cost calculations</w:t>
      </w:r>
      <w:r w:rsidR="00DF45C6" w:rsidRPr="00C1603D">
        <w:t>:</w:t>
      </w:r>
      <w:r w:rsidRPr="00C1603D">
        <w:t xml:space="preserve"> osteoporosis</w:t>
      </w:r>
      <w:bookmarkEnd w:id="739"/>
      <w:commentRangeEnd w:id="740"/>
      <w:r w:rsidR="00F30FD6" w:rsidRPr="00C1603D">
        <w:rPr>
          <w:rFonts w:ascii="Times New Roman" w:hAnsi="Times New Roman" w:cs="Times New Roman"/>
          <w:color w:val="auto"/>
        </w:rPr>
        <w:commentReference w:id="740"/>
      </w:r>
    </w:p>
    <w:tbl>
      <w:tblPr>
        <w:tblW w:w="0" w:type="auto"/>
        <w:tblCellMar>
          <w:top w:w="40" w:type="dxa"/>
          <w:left w:w="60" w:type="dxa"/>
          <w:bottom w:w="40" w:type="dxa"/>
          <w:right w:w="60" w:type="dxa"/>
        </w:tblCellMar>
        <w:tblLook w:val="04A0" w:firstRow="1" w:lastRow="0" w:firstColumn="1" w:lastColumn="0" w:noHBand="0" w:noVBand="1"/>
      </w:tblPr>
      <w:tblGrid>
        <w:gridCol w:w="3023"/>
        <w:gridCol w:w="2181"/>
        <w:gridCol w:w="1911"/>
        <w:gridCol w:w="1911"/>
      </w:tblGrid>
      <w:tr w:rsidR="00DF45C6" w:rsidRPr="00C1603D" w14:paraId="0FD4C84F" w14:textId="77777777" w:rsidTr="005774D1">
        <w:trPr>
          <w:cantSplit/>
        </w:trPr>
        <w:tc>
          <w:tcPr>
            <w:tcW w:w="0" w:type="auto"/>
            <w:vMerge w:val="restart"/>
            <w:shd w:val="clear" w:color="auto" w:fill="auto"/>
          </w:tcPr>
          <w:p w14:paraId="72FAD2BC" w14:textId="77777777" w:rsidR="00DF45C6" w:rsidRPr="00C1603D" w:rsidRDefault="00DF45C6" w:rsidP="00DF45C6">
            <w:pPr>
              <w:pStyle w:val="710TableheadTablesTableFigureBoxstyles"/>
            </w:pPr>
          </w:p>
        </w:tc>
        <w:tc>
          <w:tcPr>
            <w:tcW w:w="0" w:type="auto"/>
            <w:gridSpan w:val="3"/>
            <w:shd w:val="clear" w:color="auto" w:fill="auto"/>
          </w:tcPr>
          <w:p w14:paraId="7C66D3B5" w14:textId="096A0541" w:rsidR="00DF45C6" w:rsidRPr="00C1603D" w:rsidRDefault="00DF45C6" w:rsidP="00DF45C6">
            <w:pPr>
              <w:pStyle w:val="705TableheadgroupTablesTableFigureBoxstyles"/>
            </w:pPr>
            <w:r w:rsidRPr="00C1603D">
              <w:t>Fracture</w:t>
            </w:r>
          </w:p>
        </w:tc>
      </w:tr>
      <w:tr w:rsidR="00DF45C6" w:rsidRPr="00C1603D" w14:paraId="32D15D38" w14:textId="77777777" w:rsidTr="00DF45C6">
        <w:trPr>
          <w:cantSplit/>
        </w:trPr>
        <w:tc>
          <w:tcPr>
            <w:tcW w:w="0" w:type="auto"/>
            <w:vMerge/>
            <w:shd w:val="clear" w:color="auto" w:fill="auto"/>
          </w:tcPr>
          <w:p w14:paraId="5B71E361" w14:textId="77777777" w:rsidR="00DF45C6" w:rsidRPr="00C1603D" w:rsidRDefault="00DF45C6" w:rsidP="00DF45C6">
            <w:pPr>
              <w:pStyle w:val="710TableheadTablesTableFigureBoxstyles"/>
            </w:pPr>
          </w:p>
        </w:tc>
        <w:tc>
          <w:tcPr>
            <w:tcW w:w="0" w:type="auto"/>
            <w:shd w:val="clear" w:color="auto" w:fill="auto"/>
          </w:tcPr>
          <w:p w14:paraId="3B2CE59E" w14:textId="77777777" w:rsidR="00DF45C6" w:rsidRPr="00C1603D" w:rsidRDefault="00DF45C6" w:rsidP="00DF45C6">
            <w:pPr>
              <w:pStyle w:val="710TableheadTablesTableFigureBoxstyles"/>
            </w:pPr>
            <w:r w:rsidRPr="00C1603D">
              <w:t>Hip</w:t>
            </w:r>
          </w:p>
        </w:tc>
        <w:tc>
          <w:tcPr>
            <w:tcW w:w="0" w:type="auto"/>
            <w:shd w:val="clear" w:color="auto" w:fill="auto"/>
          </w:tcPr>
          <w:p w14:paraId="4471AF05" w14:textId="77777777" w:rsidR="00DF45C6" w:rsidRPr="00C1603D" w:rsidRDefault="00DF45C6" w:rsidP="00DF45C6">
            <w:pPr>
              <w:pStyle w:val="710TableheadTablesTableFigureBoxstyles"/>
            </w:pPr>
            <w:r w:rsidRPr="00C1603D">
              <w:t>Vertebral</w:t>
            </w:r>
          </w:p>
        </w:tc>
        <w:tc>
          <w:tcPr>
            <w:tcW w:w="0" w:type="auto"/>
            <w:shd w:val="clear" w:color="auto" w:fill="auto"/>
          </w:tcPr>
          <w:p w14:paraId="58543DBD" w14:textId="77777777" w:rsidR="00DF45C6" w:rsidRPr="00C1603D" w:rsidRDefault="00DF45C6" w:rsidP="00DF45C6">
            <w:pPr>
              <w:pStyle w:val="710TableheadTablesTableFigureBoxstyles"/>
            </w:pPr>
            <w:r w:rsidRPr="00C1603D">
              <w:t>Wrist</w:t>
            </w:r>
          </w:p>
        </w:tc>
      </w:tr>
      <w:tr w:rsidR="0044516D" w:rsidRPr="00C1603D" w14:paraId="6219E7BD" w14:textId="77777777" w:rsidTr="00DF45C6">
        <w:trPr>
          <w:cantSplit/>
        </w:trPr>
        <w:tc>
          <w:tcPr>
            <w:tcW w:w="0" w:type="auto"/>
            <w:shd w:val="clear" w:color="auto" w:fill="auto"/>
          </w:tcPr>
          <w:p w14:paraId="24F1F3DA" w14:textId="74F96BC1" w:rsidR="008B4DF8" w:rsidRPr="00C1603D" w:rsidRDefault="008B4DF8" w:rsidP="00DF45C6">
            <w:pPr>
              <w:pStyle w:val="72TabletextTablesTableFigureBoxstyles"/>
            </w:pPr>
            <w:r w:rsidRPr="00C1603D">
              <w:t xml:space="preserve">Probability of fracture </w:t>
            </w:r>
            <w:r w:rsidR="00DF45C6" w:rsidRPr="00C1603D">
              <w:t>among those aged ≥ </w:t>
            </w:r>
            <w:r w:rsidRPr="00C1603D">
              <w:t>5</w:t>
            </w:r>
            <w:r w:rsidRPr="00C1603D">
              <w:rPr>
                <w:color w:val="00B0F0"/>
              </w:rPr>
              <w:t>0</w:t>
            </w:r>
            <w:r w:rsidR="00DF45C6" w:rsidRPr="00C1603D">
              <w:rPr>
                <w:color w:val="00B0F0"/>
              </w:rPr>
              <w:t xml:space="preserve"> years</w:t>
            </w:r>
          </w:p>
        </w:tc>
        <w:tc>
          <w:tcPr>
            <w:tcW w:w="0" w:type="auto"/>
            <w:shd w:val="clear" w:color="auto" w:fill="auto"/>
          </w:tcPr>
          <w:p w14:paraId="7124C91C" w14:textId="77777777" w:rsidR="008B4DF8" w:rsidRPr="00C1603D" w:rsidRDefault="008B4DF8" w:rsidP="00DF45C6">
            <w:pPr>
              <w:pStyle w:val="72TabletextTablesTableFigureBoxstyles"/>
            </w:pPr>
            <w:r w:rsidRPr="00C1603D">
              <w:t>0.00196</w:t>
            </w:r>
          </w:p>
        </w:tc>
        <w:tc>
          <w:tcPr>
            <w:tcW w:w="0" w:type="auto"/>
            <w:shd w:val="clear" w:color="auto" w:fill="auto"/>
          </w:tcPr>
          <w:p w14:paraId="2B442BFD" w14:textId="77777777" w:rsidR="008B4DF8" w:rsidRPr="00C1603D" w:rsidRDefault="008B4DF8" w:rsidP="00DF45C6">
            <w:pPr>
              <w:pStyle w:val="72TabletextTablesTableFigureBoxstyles"/>
            </w:pPr>
            <w:r w:rsidRPr="00C1603D">
              <w:t>0.00071</w:t>
            </w:r>
          </w:p>
        </w:tc>
        <w:tc>
          <w:tcPr>
            <w:tcW w:w="0" w:type="auto"/>
            <w:shd w:val="clear" w:color="auto" w:fill="auto"/>
          </w:tcPr>
          <w:p w14:paraId="71584347" w14:textId="77777777" w:rsidR="008B4DF8" w:rsidRPr="00C1603D" w:rsidRDefault="008B4DF8" w:rsidP="00DF45C6">
            <w:pPr>
              <w:pStyle w:val="72TabletextTablesTableFigureBoxstyles"/>
            </w:pPr>
            <w:r w:rsidRPr="00C1603D">
              <w:t>0.00125</w:t>
            </w:r>
          </w:p>
        </w:tc>
      </w:tr>
      <w:tr w:rsidR="0044516D" w:rsidRPr="00C1603D" w14:paraId="7AA71ADC" w14:textId="77777777" w:rsidTr="00DF45C6">
        <w:trPr>
          <w:cantSplit/>
        </w:trPr>
        <w:tc>
          <w:tcPr>
            <w:tcW w:w="0" w:type="auto"/>
            <w:shd w:val="clear" w:color="auto" w:fill="auto"/>
          </w:tcPr>
          <w:p w14:paraId="16DC1BB3" w14:textId="1F013BB3" w:rsidR="008B4DF8" w:rsidRPr="00C1603D" w:rsidRDefault="008B4DF8" w:rsidP="00DF45C6">
            <w:pPr>
              <w:pStyle w:val="72TabletextTablesTableFigureBoxstyles"/>
            </w:pPr>
            <w:r w:rsidRPr="00C1603D">
              <w:t>Cost</w:t>
            </w:r>
            <w:r w:rsidR="00DF45C6" w:rsidRPr="00C1603D">
              <w:t xml:space="preserve"> (£)</w:t>
            </w:r>
          </w:p>
        </w:tc>
        <w:tc>
          <w:tcPr>
            <w:tcW w:w="0" w:type="auto"/>
            <w:shd w:val="clear" w:color="auto" w:fill="auto"/>
          </w:tcPr>
          <w:p w14:paraId="151F53EF" w14:textId="60FE94DF" w:rsidR="008B4DF8" w:rsidRPr="00C1603D" w:rsidRDefault="008B4DF8" w:rsidP="00DF45C6">
            <w:pPr>
              <w:pStyle w:val="72TabletextTablesTableFigureBoxstyles"/>
            </w:pPr>
            <w:r w:rsidRPr="00C1603D">
              <w:t>16,302</w:t>
            </w:r>
            <w:r w:rsidR="0044516D" w:rsidRPr="00C1603D">
              <w:t> × </w:t>
            </w:r>
            <w:r w:rsidRPr="00C1603D">
              <w:t>1.17</w:t>
            </w:r>
            <w:r w:rsidRPr="00C1603D">
              <w:rPr>
                <w:color w:val="00B0F0"/>
              </w:rPr>
              <w:t> = </w:t>
            </w:r>
            <w:r w:rsidRPr="00C1603D">
              <w:t>19,073</w:t>
            </w:r>
          </w:p>
        </w:tc>
        <w:tc>
          <w:tcPr>
            <w:tcW w:w="0" w:type="auto"/>
            <w:shd w:val="clear" w:color="auto" w:fill="auto"/>
          </w:tcPr>
          <w:p w14:paraId="6DE3AA40" w14:textId="2204372C" w:rsidR="008B4DF8" w:rsidRPr="00C1603D" w:rsidRDefault="008B4DF8" w:rsidP="00DF45C6">
            <w:pPr>
              <w:pStyle w:val="72TabletextTablesTableFigureBoxstyles"/>
            </w:pPr>
            <w:r w:rsidRPr="00C1603D">
              <w:t>479</w:t>
            </w:r>
            <w:r w:rsidR="0044516D" w:rsidRPr="00C1603D">
              <w:t> × </w:t>
            </w:r>
            <w:r w:rsidRPr="00C1603D">
              <w:t>1.80</w:t>
            </w:r>
            <w:r w:rsidRPr="00C1603D">
              <w:rPr>
                <w:color w:val="00B0F0"/>
              </w:rPr>
              <w:t> = </w:t>
            </w:r>
            <w:r w:rsidRPr="00C1603D">
              <w:t>862.20</w:t>
            </w:r>
          </w:p>
        </w:tc>
        <w:tc>
          <w:tcPr>
            <w:tcW w:w="0" w:type="auto"/>
            <w:shd w:val="clear" w:color="auto" w:fill="auto"/>
          </w:tcPr>
          <w:p w14:paraId="52073C74" w14:textId="64B7042A" w:rsidR="008B4DF8" w:rsidRPr="00C1603D" w:rsidRDefault="008B4DF8" w:rsidP="00DF45C6">
            <w:pPr>
              <w:pStyle w:val="72TabletextTablesTableFigureBoxstyles"/>
            </w:pPr>
            <w:r w:rsidRPr="00C1603D">
              <w:t>468</w:t>
            </w:r>
            <w:r w:rsidR="0044516D" w:rsidRPr="00C1603D">
              <w:t> × </w:t>
            </w:r>
            <w:r w:rsidRPr="00C1603D">
              <w:t>1.80</w:t>
            </w:r>
            <w:r w:rsidRPr="00C1603D">
              <w:rPr>
                <w:color w:val="00B0F0"/>
              </w:rPr>
              <w:t> = </w:t>
            </w:r>
            <w:r w:rsidRPr="00C1603D">
              <w:t>842.40</w:t>
            </w:r>
          </w:p>
        </w:tc>
      </w:tr>
      <w:tr w:rsidR="0044516D" w:rsidRPr="00C1603D" w14:paraId="74FD9318" w14:textId="77777777" w:rsidTr="00DF45C6">
        <w:trPr>
          <w:cantSplit/>
        </w:trPr>
        <w:tc>
          <w:tcPr>
            <w:tcW w:w="0" w:type="auto"/>
            <w:shd w:val="clear" w:color="auto" w:fill="auto"/>
          </w:tcPr>
          <w:p w14:paraId="77BE5943" w14:textId="26618DAE" w:rsidR="008B4DF8" w:rsidRPr="00C1603D" w:rsidRDefault="008B4DF8" w:rsidP="00DF45C6">
            <w:pPr>
              <w:pStyle w:val="72TabletextTablesTableFigureBoxstyles"/>
            </w:pPr>
            <w:r w:rsidRPr="00C1603D">
              <w:t>Total cost</w:t>
            </w:r>
            <w:r w:rsidR="0079697E" w:rsidRPr="00C1603D">
              <w:t xml:space="preserve"> (£)</w:t>
            </w:r>
          </w:p>
        </w:tc>
        <w:tc>
          <w:tcPr>
            <w:tcW w:w="0" w:type="auto"/>
            <w:shd w:val="clear" w:color="auto" w:fill="auto"/>
          </w:tcPr>
          <w:p w14:paraId="5C735C8B" w14:textId="02F63782" w:rsidR="008B4DF8" w:rsidRPr="00C1603D" w:rsidRDefault="008B4DF8" w:rsidP="00DF45C6">
            <w:pPr>
              <w:pStyle w:val="72TabletextTablesTableFigureBoxstyles"/>
            </w:pPr>
            <w:r w:rsidRPr="00C1603D">
              <w:t>37.38</w:t>
            </w:r>
          </w:p>
        </w:tc>
        <w:tc>
          <w:tcPr>
            <w:tcW w:w="0" w:type="auto"/>
            <w:shd w:val="clear" w:color="auto" w:fill="auto"/>
          </w:tcPr>
          <w:p w14:paraId="50B22E6A" w14:textId="3ABC1C4A" w:rsidR="008B4DF8" w:rsidRPr="00C1603D" w:rsidRDefault="008B4DF8" w:rsidP="00DF45C6">
            <w:pPr>
              <w:pStyle w:val="72TabletextTablesTableFigureBoxstyles"/>
            </w:pPr>
            <w:r w:rsidRPr="00C1603D">
              <w:t>0.61</w:t>
            </w:r>
          </w:p>
        </w:tc>
        <w:tc>
          <w:tcPr>
            <w:tcW w:w="0" w:type="auto"/>
            <w:shd w:val="clear" w:color="auto" w:fill="auto"/>
          </w:tcPr>
          <w:p w14:paraId="5EAB8441" w14:textId="5D962736" w:rsidR="008B4DF8" w:rsidRPr="00C1603D" w:rsidRDefault="008B4DF8" w:rsidP="00DF45C6">
            <w:pPr>
              <w:pStyle w:val="72TabletextTablesTableFigureBoxstyles"/>
            </w:pPr>
            <w:r w:rsidRPr="00C1603D">
              <w:t>1.05</w:t>
            </w:r>
          </w:p>
        </w:tc>
      </w:tr>
      <w:tr w:rsidR="0079697E" w:rsidRPr="00C1603D" w14:paraId="7415E7D9" w14:textId="77777777" w:rsidTr="007B3660">
        <w:trPr>
          <w:cantSplit/>
        </w:trPr>
        <w:tc>
          <w:tcPr>
            <w:tcW w:w="0" w:type="auto"/>
            <w:shd w:val="clear" w:color="auto" w:fill="auto"/>
          </w:tcPr>
          <w:p w14:paraId="3F00E59F" w14:textId="77777777" w:rsidR="0079697E" w:rsidRPr="00C1603D" w:rsidRDefault="0079697E" w:rsidP="0079697E">
            <w:pPr>
              <w:pStyle w:val="72TabletextTablesTableFigureBoxstyles"/>
            </w:pPr>
            <w:r w:rsidRPr="00C1603D">
              <w:t>Overall cost</w:t>
            </w:r>
          </w:p>
        </w:tc>
        <w:tc>
          <w:tcPr>
            <w:tcW w:w="0" w:type="auto"/>
            <w:shd w:val="clear" w:color="auto" w:fill="auto"/>
          </w:tcPr>
          <w:p w14:paraId="2075DFCD" w14:textId="47F950EC" w:rsidR="0079697E" w:rsidRPr="00C1603D" w:rsidRDefault="0079697E" w:rsidP="0079697E">
            <w:pPr>
              <w:pStyle w:val="72TabletextTablesTableFigureBoxstyles"/>
            </w:pPr>
            <w:r w:rsidRPr="00C1603D">
              <w:t>39.04 (SE</w:t>
            </w:r>
            <w:r w:rsidR="0044516D" w:rsidRPr="00C1603D">
              <w:t xml:space="preserve"> </w:t>
            </w:r>
            <w:r w:rsidRPr="00C1603D">
              <w:t>0.27)</w:t>
            </w:r>
            <w:r w:rsidR="0044516D" w:rsidRPr="00C1603D">
              <w:rPr>
                <w:vertAlign w:val="superscript"/>
              </w:rPr>
              <w:t>a</w:t>
            </w:r>
          </w:p>
        </w:tc>
        <w:tc>
          <w:tcPr>
            <w:tcW w:w="0" w:type="auto"/>
            <w:gridSpan w:val="2"/>
            <w:shd w:val="clear" w:color="auto" w:fill="auto"/>
          </w:tcPr>
          <w:p w14:paraId="5304A40A" w14:textId="77777777" w:rsidR="0079697E" w:rsidRPr="00C1603D" w:rsidRDefault="0079697E" w:rsidP="0079697E">
            <w:pPr>
              <w:pStyle w:val="72TabletextTablesTableFigureBoxstyles"/>
            </w:pPr>
          </w:p>
        </w:tc>
      </w:tr>
      <w:tr w:rsidR="008B4DF8" w:rsidRPr="00C1603D" w14:paraId="67045027" w14:textId="77777777" w:rsidTr="00DF45C6">
        <w:trPr>
          <w:cantSplit/>
        </w:trPr>
        <w:tc>
          <w:tcPr>
            <w:tcW w:w="0" w:type="auto"/>
            <w:gridSpan w:val="4"/>
            <w:shd w:val="clear" w:color="auto" w:fill="auto"/>
          </w:tcPr>
          <w:p w14:paraId="076C7655" w14:textId="67A387A2" w:rsidR="008B4DF8" w:rsidRPr="00C1603D" w:rsidRDefault="0044516D" w:rsidP="00DF45C6">
            <w:pPr>
              <w:pStyle w:val="75TablenotesTablesTableFigureBoxstyles"/>
            </w:pPr>
            <w:r w:rsidRPr="00C1603D">
              <w:t>a</w:t>
            </w:r>
            <w:r w:rsidRPr="00C1603D">
              <w:tab/>
            </w:r>
            <w:r w:rsidR="008B4DF8" w:rsidRPr="00C1603D">
              <w:t>Using Gamma distributions moment</w:t>
            </w:r>
            <w:r w:rsidRPr="00C1603D">
              <w:t>-</w:t>
            </w:r>
            <w:r w:rsidR="008B4DF8" w:rsidRPr="00C1603D">
              <w:t xml:space="preserve">matched to cost of hip, vertebral and wrist fractures where SE of cost </w:t>
            </w:r>
            <w:proofErr w:type="gramStart"/>
            <w:r w:rsidR="008B4DF8" w:rsidRPr="00C1603D">
              <w:t>is assumed</w:t>
            </w:r>
            <w:proofErr w:type="gramEnd"/>
            <w:r w:rsidR="008B4DF8" w:rsidRPr="00C1603D">
              <w:t xml:space="preserve"> 1/1</w:t>
            </w:r>
            <w:r w:rsidR="008B4DF8" w:rsidRPr="00C1603D">
              <w:rPr>
                <w:color w:val="00B0F0"/>
              </w:rPr>
              <w:t>0th</w:t>
            </w:r>
            <w:r w:rsidR="008B4DF8" w:rsidRPr="00C1603D">
              <w:t xml:space="preserve"> of mean.</w:t>
            </w:r>
          </w:p>
        </w:tc>
      </w:tr>
    </w:tbl>
    <w:p w14:paraId="798E2EB2" w14:textId="47A3A037" w:rsidR="008B4DF8" w:rsidRPr="00C1603D" w:rsidRDefault="008B4DF8" w:rsidP="0044516D">
      <w:pPr>
        <w:pStyle w:val="43AppendixtitleHeadingsHeadingstyles"/>
      </w:pPr>
      <w:bookmarkStart w:id="741" w:name="_Ref95580609"/>
      <w:bookmarkStart w:id="742" w:name="_Ref95580613"/>
      <w:bookmarkStart w:id="743" w:name="_Toc99539957"/>
      <w:r w:rsidRPr="00C1603D">
        <w:lastRenderedPageBreak/>
        <w:t>Appendix 28</w:t>
      </w:r>
      <w:bookmarkEnd w:id="741"/>
      <w:bookmarkEnd w:id="742"/>
      <w:bookmarkEnd w:id="743"/>
      <w:r w:rsidR="0044516D" w:rsidRPr="00C1603D">
        <w:t> </w:t>
      </w:r>
      <w:bookmarkStart w:id="744" w:name="_Toc99539958"/>
      <w:r w:rsidRPr="00C1603D">
        <w:t>Utilities</w:t>
      </w:r>
      <w:bookmarkEnd w:id="744"/>
    </w:p>
    <w:p w14:paraId="5EA2603E" w14:textId="71433E03" w:rsidR="008B4DF8" w:rsidRPr="00C1603D" w:rsidRDefault="008B4DF8" w:rsidP="008B4DF8">
      <w:pPr>
        <w:pStyle w:val="70TablelegendTablesTableFigureBoxstyles"/>
      </w:pPr>
      <w:bookmarkStart w:id="745" w:name="_Toc99720779"/>
      <w:r w:rsidRPr="00C1603D">
        <w:rPr>
          <w:b/>
        </w:rPr>
        <w:t>TABLE 68</w:t>
      </w:r>
      <w:r w:rsidRPr="00C1603D">
        <w:rPr>
          <w:b/>
        </w:rPr>
        <w:t> </w:t>
      </w:r>
      <w:r w:rsidR="003B7E88" w:rsidRPr="00C1603D">
        <w:rPr>
          <w:bCs/>
        </w:rPr>
        <w:t xml:space="preserve">The </w:t>
      </w:r>
      <w:r w:rsidRPr="00C1603D">
        <w:t>E</w:t>
      </w:r>
      <w:r w:rsidRPr="00C1603D">
        <w:rPr>
          <w:color w:val="00B0F0"/>
        </w:rPr>
        <w:t>Q-5</w:t>
      </w:r>
      <w:r w:rsidRPr="00C1603D">
        <w:t>D index UK population norms</w:t>
      </w:r>
      <w:bookmarkEnd w:id="745"/>
    </w:p>
    <w:tbl>
      <w:tblPr>
        <w:tblW w:w="0" w:type="auto"/>
        <w:tblCellMar>
          <w:top w:w="40" w:type="dxa"/>
          <w:left w:w="60" w:type="dxa"/>
          <w:bottom w:w="40" w:type="dxa"/>
          <w:right w:w="60" w:type="dxa"/>
        </w:tblCellMar>
        <w:tblLook w:val="04A0" w:firstRow="1" w:lastRow="0" w:firstColumn="1" w:lastColumn="0" w:noHBand="0" w:noVBand="1"/>
      </w:tblPr>
      <w:tblGrid>
        <w:gridCol w:w="1069"/>
        <w:gridCol w:w="2927"/>
      </w:tblGrid>
      <w:tr w:rsidR="008B4DF8" w:rsidRPr="00C1603D" w14:paraId="7E21A2D6" w14:textId="77777777" w:rsidTr="003B7E88">
        <w:trPr>
          <w:cantSplit/>
        </w:trPr>
        <w:tc>
          <w:tcPr>
            <w:tcW w:w="0" w:type="auto"/>
            <w:shd w:val="clear" w:color="auto" w:fill="auto"/>
          </w:tcPr>
          <w:p w14:paraId="165314D9" w14:textId="77777777" w:rsidR="008B4DF8" w:rsidRPr="00C1603D" w:rsidRDefault="008B4DF8" w:rsidP="003B7E88">
            <w:pPr>
              <w:pStyle w:val="710TableheadTablesTableFigureBoxstyles"/>
            </w:pPr>
            <w:r w:rsidRPr="00C1603D">
              <w:t>Age group</w:t>
            </w:r>
          </w:p>
        </w:tc>
        <w:tc>
          <w:tcPr>
            <w:tcW w:w="0" w:type="auto"/>
            <w:shd w:val="clear" w:color="auto" w:fill="auto"/>
          </w:tcPr>
          <w:p w14:paraId="0C539902" w14:textId="77777777" w:rsidR="008B4DF8" w:rsidRPr="00C1603D" w:rsidRDefault="008B4DF8" w:rsidP="003B7E88">
            <w:pPr>
              <w:pStyle w:val="710TableheadTablesTableFigureBoxstyles"/>
            </w:pPr>
            <w:r w:rsidRPr="00C1603D">
              <w:t>E</w:t>
            </w:r>
            <w:r w:rsidRPr="00C1603D">
              <w:rPr>
                <w:color w:val="00B0F0"/>
              </w:rPr>
              <w:t>Q-5</w:t>
            </w:r>
            <w:r w:rsidRPr="00C1603D">
              <w:t>D index population norms</w:t>
            </w:r>
          </w:p>
        </w:tc>
      </w:tr>
      <w:tr w:rsidR="008B4DF8" w:rsidRPr="00C1603D" w14:paraId="4B82CA98" w14:textId="77777777" w:rsidTr="003B7E88">
        <w:trPr>
          <w:cantSplit/>
        </w:trPr>
        <w:tc>
          <w:tcPr>
            <w:tcW w:w="0" w:type="auto"/>
            <w:shd w:val="clear" w:color="auto" w:fill="auto"/>
          </w:tcPr>
          <w:p w14:paraId="6B70E606" w14:textId="77777777" w:rsidR="008B4DF8" w:rsidRPr="00C1603D" w:rsidRDefault="008B4DF8" w:rsidP="003B7E88">
            <w:pPr>
              <w:pStyle w:val="72TabletextTablesTableFigureBoxstyles"/>
            </w:pPr>
            <w:r w:rsidRPr="00C1603D">
              <w:t>18</w:t>
            </w:r>
            <w:r w:rsidRPr="00C1603D">
              <w:rPr>
                <w:color w:val="00B0F0"/>
              </w:rPr>
              <w:t>–2</w:t>
            </w:r>
            <w:r w:rsidRPr="00C1603D">
              <w:t>4</w:t>
            </w:r>
          </w:p>
        </w:tc>
        <w:tc>
          <w:tcPr>
            <w:tcW w:w="0" w:type="auto"/>
            <w:shd w:val="clear" w:color="auto" w:fill="auto"/>
          </w:tcPr>
          <w:p w14:paraId="65355ECD" w14:textId="77777777" w:rsidR="008B4DF8" w:rsidRPr="00C1603D" w:rsidRDefault="008B4DF8" w:rsidP="003B7E88">
            <w:pPr>
              <w:pStyle w:val="72TabletextTablesTableFigureBoxstyles"/>
            </w:pPr>
            <w:r w:rsidRPr="00C1603D">
              <w:t>0.934</w:t>
            </w:r>
          </w:p>
        </w:tc>
      </w:tr>
      <w:tr w:rsidR="008B4DF8" w:rsidRPr="00C1603D" w14:paraId="3E65C6B7" w14:textId="77777777" w:rsidTr="003B7E88">
        <w:trPr>
          <w:cantSplit/>
        </w:trPr>
        <w:tc>
          <w:tcPr>
            <w:tcW w:w="0" w:type="auto"/>
            <w:shd w:val="clear" w:color="auto" w:fill="auto"/>
          </w:tcPr>
          <w:p w14:paraId="73A3072D" w14:textId="77777777" w:rsidR="008B4DF8" w:rsidRPr="00C1603D" w:rsidRDefault="008B4DF8" w:rsidP="003B7E88">
            <w:pPr>
              <w:pStyle w:val="72TabletextTablesTableFigureBoxstyles"/>
            </w:pPr>
            <w:r w:rsidRPr="00C1603D">
              <w:t>25</w:t>
            </w:r>
            <w:r w:rsidRPr="00C1603D">
              <w:rPr>
                <w:color w:val="00B0F0"/>
              </w:rPr>
              <w:t>–3</w:t>
            </w:r>
            <w:r w:rsidRPr="00C1603D">
              <w:t>4</w:t>
            </w:r>
          </w:p>
        </w:tc>
        <w:tc>
          <w:tcPr>
            <w:tcW w:w="0" w:type="auto"/>
            <w:shd w:val="clear" w:color="auto" w:fill="auto"/>
          </w:tcPr>
          <w:p w14:paraId="50574102" w14:textId="77777777" w:rsidR="008B4DF8" w:rsidRPr="00C1603D" w:rsidRDefault="008B4DF8" w:rsidP="003B7E88">
            <w:pPr>
              <w:pStyle w:val="72TabletextTablesTableFigureBoxstyles"/>
            </w:pPr>
            <w:r w:rsidRPr="00C1603D">
              <w:t>0.922</w:t>
            </w:r>
          </w:p>
        </w:tc>
      </w:tr>
      <w:tr w:rsidR="008B4DF8" w:rsidRPr="00C1603D" w14:paraId="15FB7DF4" w14:textId="77777777" w:rsidTr="003B7E88">
        <w:trPr>
          <w:cantSplit/>
        </w:trPr>
        <w:tc>
          <w:tcPr>
            <w:tcW w:w="0" w:type="auto"/>
            <w:shd w:val="clear" w:color="auto" w:fill="auto"/>
          </w:tcPr>
          <w:p w14:paraId="61851DEA" w14:textId="77777777" w:rsidR="008B4DF8" w:rsidRPr="00C1603D" w:rsidRDefault="008B4DF8" w:rsidP="003B7E88">
            <w:pPr>
              <w:pStyle w:val="72TabletextTablesTableFigureBoxstyles"/>
            </w:pPr>
            <w:r w:rsidRPr="00C1603D">
              <w:t>35</w:t>
            </w:r>
            <w:r w:rsidRPr="00C1603D">
              <w:rPr>
                <w:color w:val="00B0F0"/>
              </w:rPr>
              <w:t>–4</w:t>
            </w:r>
            <w:r w:rsidRPr="00C1603D">
              <w:t>4</w:t>
            </w:r>
          </w:p>
        </w:tc>
        <w:tc>
          <w:tcPr>
            <w:tcW w:w="0" w:type="auto"/>
            <w:shd w:val="clear" w:color="auto" w:fill="auto"/>
          </w:tcPr>
          <w:p w14:paraId="4AD98621" w14:textId="77777777" w:rsidR="008B4DF8" w:rsidRPr="00C1603D" w:rsidRDefault="008B4DF8" w:rsidP="003B7E88">
            <w:pPr>
              <w:pStyle w:val="72TabletextTablesTableFigureBoxstyles"/>
            </w:pPr>
            <w:r w:rsidRPr="00C1603D">
              <w:t>0.905</w:t>
            </w:r>
          </w:p>
        </w:tc>
      </w:tr>
      <w:tr w:rsidR="008B4DF8" w:rsidRPr="00C1603D" w14:paraId="4A6577E5" w14:textId="77777777" w:rsidTr="003B7E88">
        <w:trPr>
          <w:cantSplit/>
        </w:trPr>
        <w:tc>
          <w:tcPr>
            <w:tcW w:w="0" w:type="auto"/>
            <w:shd w:val="clear" w:color="auto" w:fill="auto"/>
          </w:tcPr>
          <w:p w14:paraId="6C1BA492" w14:textId="77777777" w:rsidR="008B4DF8" w:rsidRPr="00C1603D" w:rsidRDefault="008B4DF8" w:rsidP="003B7E88">
            <w:pPr>
              <w:pStyle w:val="72TabletextTablesTableFigureBoxstyles"/>
            </w:pPr>
            <w:r w:rsidRPr="00C1603D">
              <w:t>45</w:t>
            </w:r>
            <w:r w:rsidRPr="00C1603D">
              <w:rPr>
                <w:color w:val="00B0F0"/>
              </w:rPr>
              <w:t>–5</w:t>
            </w:r>
            <w:r w:rsidRPr="00C1603D">
              <w:t>4</w:t>
            </w:r>
          </w:p>
        </w:tc>
        <w:tc>
          <w:tcPr>
            <w:tcW w:w="0" w:type="auto"/>
            <w:shd w:val="clear" w:color="auto" w:fill="auto"/>
          </w:tcPr>
          <w:p w14:paraId="7B85784F" w14:textId="77777777" w:rsidR="008B4DF8" w:rsidRPr="00C1603D" w:rsidRDefault="008B4DF8" w:rsidP="003B7E88">
            <w:pPr>
              <w:pStyle w:val="72TabletextTablesTableFigureBoxstyles"/>
            </w:pPr>
            <w:r w:rsidRPr="00C1603D">
              <w:t>0.849</w:t>
            </w:r>
          </w:p>
        </w:tc>
      </w:tr>
      <w:tr w:rsidR="008B4DF8" w:rsidRPr="00C1603D" w14:paraId="3F3DE056" w14:textId="77777777" w:rsidTr="003B7E88">
        <w:trPr>
          <w:cantSplit/>
        </w:trPr>
        <w:tc>
          <w:tcPr>
            <w:tcW w:w="0" w:type="auto"/>
            <w:shd w:val="clear" w:color="auto" w:fill="auto"/>
          </w:tcPr>
          <w:p w14:paraId="31B55626" w14:textId="77777777" w:rsidR="008B4DF8" w:rsidRPr="00C1603D" w:rsidRDefault="008B4DF8" w:rsidP="003B7E88">
            <w:pPr>
              <w:pStyle w:val="72TabletextTablesTableFigureBoxstyles"/>
            </w:pPr>
            <w:r w:rsidRPr="00C1603D">
              <w:t>55</w:t>
            </w:r>
            <w:r w:rsidRPr="00C1603D">
              <w:rPr>
                <w:color w:val="00B0F0"/>
              </w:rPr>
              <w:t>–6</w:t>
            </w:r>
            <w:r w:rsidRPr="00C1603D">
              <w:t>4</w:t>
            </w:r>
          </w:p>
        </w:tc>
        <w:tc>
          <w:tcPr>
            <w:tcW w:w="0" w:type="auto"/>
            <w:shd w:val="clear" w:color="auto" w:fill="auto"/>
          </w:tcPr>
          <w:p w14:paraId="14B6AE00" w14:textId="77777777" w:rsidR="008B4DF8" w:rsidRPr="00C1603D" w:rsidRDefault="008B4DF8" w:rsidP="003B7E88">
            <w:pPr>
              <w:pStyle w:val="72TabletextTablesTableFigureBoxstyles"/>
            </w:pPr>
            <w:r w:rsidRPr="00C1603D">
              <w:t>0.804</w:t>
            </w:r>
          </w:p>
        </w:tc>
      </w:tr>
      <w:tr w:rsidR="008B4DF8" w:rsidRPr="00C1603D" w14:paraId="05F9E240" w14:textId="77777777" w:rsidTr="003B7E88">
        <w:trPr>
          <w:cantSplit/>
        </w:trPr>
        <w:tc>
          <w:tcPr>
            <w:tcW w:w="0" w:type="auto"/>
            <w:shd w:val="clear" w:color="auto" w:fill="auto"/>
          </w:tcPr>
          <w:p w14:paraId="43D40EC5" w14:textId="77777777" w:rsidR="008B4DF8" w:rsidRPr="00C1603D" w:rsidRDefault="008B4DF8" w:rsidP="003B7E88">
            <w:pPr>
              <w:pStyle w:val="72TabletextTablesTableFigureBoxstyles"/>
            </w:pPr>
            <w:r w:rsidRPr="00C1603D">
              <w:t>65</w:t>
            </w:r>
            <w:r w:rsidRPr="00C1603D">
              <w:rPr>
                <w:color w:val="00B0F0"/>
              </w:rPr>
              <w:t>–7</w:t>
            </w:r>
            <w:r w:rsidRPr="00C1603D">
              <w:t>4</w:t>
            </w:r>
          </w:p>
        </w:tc>
        <w:tc>
          <w:tcPr>
            <w:tcW w:w="0" w:type="auto"/>
            <w:shd w:val="clear" w:color="auto" w:fill="auto"/>
          </w:tcPr>
          <w:p w14:paraId="39477901" w14:textId="77777777" w:rsidR="008B4DF8" w:rsidRPr="00C1603D" w:rsidRDefault="008B4DF8" w:rsidP="003B7E88">
            <w:pPr>
              <w:pStyle w:val="72TabletextTablesTableFigureBoxstyles"/>
            </w:pPr>
            <w:r w:rsidRPr="00C1603D">
              <w:t>0.785</w:t>
            </w:r>
          </w:p>
        </w:tc>
      </w:tr>
      <w:tr w:rsidR="008B4DF8" w:rsidRPr="00C1603D" w14:paraId="03106252" w14:textId="77777777" w:rsidTr="003B7E88">
        <w:trPr>
          <w:cantSplit/>
        </w:trPr>
        <w:tc>
          <w:tcPr>
            <w:tcW w:w="0" w:type="auto"/>
            <w:shd w:val="clear" w:color="auto" w:fill="auto"/>
          </w:tcPr>
          <w:p w14:paraId="5E695E48" w14:textId="4BB5D30C" w:rsidR="008B4DF8" w:rsidRPr="00C1603D" w:rsidRDefault="003B7E88" w:rsidP="003B7E88">
            <w:pPr>
              <w:pStyle w:val="72TabletextTablesTableFigureBoxstyles"/>
            </w:pPr>
            <w:r w:rsidRPr="00C1603D">
              <w:t>≥ </w:t>
            </w:r>
            <w:r w:rsidR="008B4DF8" w:rsidRPr="00C1603D">
              <w:t>7</w:t>
            </w:r>
            <w:r w:rsidR="008B4DF8" w:rsidRPr="00C1603D">
              <w:rPr>
                <w:color w:val="00B0F0"/>
              </w:rPr>
              <w:t>5</w:t>
            </w:r>
          </w:p>
        </w:tc>
        <w:tc>
          <w:tcPr>
            <w:tcW w:w="0" w:type="auto"/>
            <w:shd w:val="clear" w:color="auto" w:fill="auto"/>
          </w:tcPr>
          <w:p w14:paraId="0B52D05E" w14:textId="77777777" w:rsidR="008B4DF8" w:rsidRPr="00C1603D" w:rsidRDefault="008B4DF8" w:rsidP="003B7E88">
            <w:pPr>
              <w:pStyle w:val="72TabletextTablesTableFigureBoxstyles"/>
            </w:pPr>
            <w:r w:rsidRPr="00C1603D">
              <w:t>0.734</w:t>
            </w:r>
          </w:p>
        </w:tc>
      </w:tr>
      <w:tr w:rsidR="00002C8D" w:rsidRPr="00C1603D" w14:paraId="4119FC37" w14:textId="77777777" w:rsidTr="00163185">
        <w:trPr>
          <w:cantSplit/>
        </w:trPr>
        <w:tc>
          <w:tcPr>
            <w:tcW w:w="0" w:type="auto"/>
            <w:gridSpan w:val="2"/>
            <w:shd w:val="clear" w:color="auto" w:fill="auto"/>
          </w:tcPr>
          <w:p w14:paraId="4E25E724" w14:textId="6985DAE3" w:rsidR="00002C8D" w:rsidRPr="00C1603D" w:rsidRDefault="00E56E87" w:rsidP="00002C8D">
            <w:pPr>
              <w:pStyle w:val="74TablenotesheadingTablesTableFigureBoxstyles"/>
            </w:pPr>
            <w:r w:rsidRPr="00C1603D">
              <w:t>Note</w:t>
            </w:r>
          </w:p>
          <w:p w14:paraId="745D79E3" w14:textId="5B96A0A7" w:rsidR="00002C8D" w:rsidRPr="00C1603D" w:rsidRDefault="00002C8D" w:rsidP="00002C8D">
            <w:pPr>
              <w:pStyle w:val="75TablenotesTablesTableFigureBoxstyles"/>
            </w:pPr>
            <w:r w:rsidRPr="00C1603D">
              <w:t>Values sourced from Janssen and Szende.</w:t>
            </w:r>
            <w:r w:rsidRPr="00C1603D">
              <w:rPr>
                <w:vertAlign w:val="superscript"/>
              </w:rPr>
              <w:t>237</w:t>
            </w:r>
          </w:p>
        </w:tc>
      </w:tr>
    </w:tbl>
    <w:p w14:paraId="269891CC" w14:textId="196E5871" w:rsidR="008B4DF8" w:rsidRPr="00C1603D" w:rsidRDefault="008B4DF8" w:rsidP="008B4DF8">
      <w:pPr>
        <w:pStyle w:val="70TablelegendTablesTableFigureBoxstyles"/>
      </w:pPr>
      <w:bookmarkStart w:id="746" w:name="_Toc99720780"/>
      <w:r w:rsidRPr="00C1603D">
        <w:rPr>
          <w:b/>
        </w:rPr>
        <w:t>TABLE 69</w:t>
      </w:r>
      <w:r w:rsidRPr="00C1603D">
        <w:rPr>
          <w:b/>
        </w:rPr>
        <w:t> </w:t>
      </w:r>
      <w:r w:rsidRPr="00C1603D">
        <w:t>Utility calculations</w:t>
      </w:r>
      <w:r w:rsidR="003B7E88" w:rsidRPr="00C1603D">
        <w:t>:</w:t>
      </w:r>
      <w:r w:rsidRPr="00C1603D">
        <w:t xml:space="preserve"> osteoporosis</w:t>
      </w:r>
      <w:bookmarkEnd w:id="746"/>
    </w:p>
    <w:tbl>
      <w:tblPr>
        <w:tblW w:w="0" w:type="auto"/>
        <w:tblCellMar>
          <w:top w:w="40" w:type="dxa"/>
          <w:left w:w="60" w:type="dxa"/>
          <w:bottom w:w="40" w:type="dxa"/>
          <w:right w:w="60" w:type="dxa"/>
        </w:tblCellMar>
        <w:tblLook w:val="04A0" w:firstRow="1" w:lastRow="0" w:firstColumn="1" w:lastColumn="0" w:noHBand="0" w:noVBand="1"/>
      </w:tblPr>
      <w:tblGrid>
        <w:gridCol w:w="2851"/>
        <w:gridCol w:w="2063"/>
        <w:gridCol w:w="2056"/>
        <w:gridCol w:w="2056"/>
      </w:tblGrid>
      <w:tr w:rsidR="00002C8D" w:rsidRPr="00C1603D" w14:paraId="0B49090A" w14:textId="77777777" w:rsidTr="00AA3BC0">
        <w:trPr>
          <w:cantSplit/>
        </w:trPr>
        <w:tc>
          <w:tcPr>
            <w:tcW w:w="0" w:type="auto"/>
            <w:shd w:val="clear" w:color="auto" w:fill="auto"/>
          </w:tcPr>
          <w:p w14:paraId="461E06D1" w14:textId="77777777" w:rsidR="008B4DF8" w:rsidRPr="00C1603D" w:rsidRDefault="008B4DF8" w:rsidP="00AA3BC0">
            <w:pPr>
              <w:pStyle w:val="710TableheadTablesTableFigureBoxstyles"/>
            </w:pPr>
          </w:p>
        </w:tc>
        <w:tc>
          <w:tcPr>
            <w:tcW w:w="0" w:type="auto"/>
            <w:shd w:val="clear" w:color="auto" w:fill="auto"/>
          </w:tcPr>
          <w:p w14:paraId="08F86A41" w14:textId="77777777" w:rsidR="008B4DF8" w:rsidRPr="00C1603D" w:rsidRDefault="008B4DF8" w:rsidP="00AA3BC0">
            <w:pPr>
              <w:pStyle w:val="710TableheadTablesTableFigureBoxstyles"/>
            </w:pPr>
            <w:r w:rsidRPr="00C1603D">
              <w:t>Hip</w:t>
            </w:r>
          </w:p>
        </w:tc>
        <w:tc>
          <w:tcPr>
            <w:tcW w:w="0" w:type="auto"/>
            <w:shd w:val="clear" w:color="auto" w:fill="auto"/>
          </w:tcPr>
          <w:p w14:paraId="3D10E96C" w14:textId="77777777" w:rsidR="008B4DF8" w:rsidRPr="00C1603D" w:rsidRDefault="008B4DF8" w:rsidP="00AA3BC0">
            <w:pPr>
              <w:pStyle w:val="710TableheadTablesTableFigureBoxstyles"/>
            </w:pPr>
            <w:r w:rsidRPr="00C1603D">
              <w:t>Vertebral</w:t>
            </w:r>
          </w:p>
        </w:tc>
        <w:tc>
          <w:tcPr>
            <w:tcW w:w="0" w:type="auto"/>
            <w:shd w:val="clear" w:color="auto" w:fill="auto"/>
          </w:tcPr>
          <w:p w14:paraId="4CD7BBB6" w14:textId="77777777" w:rsidR="008B4DF8" w:rsidRPr="00C1603D" w:rsidRDefault="008B4DF8" w:rsidP="00AA3BC0">
            <w:pPr>
              <w:pStyle w:val="710TableheadTablesTableFigureBoxstyles"/>
            </w:pPr>
            <w:r w:rsidRPr="00C1603D">
              <w:t>Wrist</w:t>
            </w:r>
          </w:p>
        </w:tc>
      </w:tr>
      <w:tr w:rsidR="00002C8D" w:rsidRPr="00C1603D" w14:paraId="7EF21435" w14:textId="77777777" w:rsidTr="00AA3BC0">
        <w:trPr>
          <w:cantSplit/>
        </w:trPr>
        <w:tc>
          <w:tcPr>
            <w:tcW w:w="0" w:type="auto"/>
            <w:shd w:val="clear" w:color="auto" w:fill="auto"/>
          </w:tcPr>
          <w:p w14:paraId="0BEC88E5" w14:textId="118C72C6" w:rsidR="008B4DF8" w:rsidRPr="00C1603D" w:rsidRDefault="008B4DF8" w:rsidP="00AA3BC0">
            <w:pPr>
              <w:pStyle w:val="72TabletextTablesTableFigureBoxstyles"/>
            </w:pPr>
            <w:r w:rsidRPr="00C1603D">
              <w:t xml:space="preserve">Probability of fracture </w:t>
            </w:r>
            <w:r w:rsidR="00002C8D" w:rsidRPr="00C1603D">
              <w:t>among those aged</w:t>
            </w:r>
            <w:r w:rsidRPr="00C1603D">
              <w:t xml:space="preserve"> </w:t>
            </w:r>
            <w:r w:rsidR="00002C8D" w:rsidRPr="00C1603D">
              <w:t>≥ </w:t>
            </w:r>
            <w:r w:rsidRPr="00C1603D">
              <w:t>5</w:t>
            </w:r>
            <w:r w:rsidRPr="00C1603D">
              <w:rPr>
                <w:color w:val="00B0F0"/>
              </w:rPr>
              <w:t>0</w:t>
            </w:r>
            <w:r w:rsidR="00002C8D" w:rsidRPr="00C1603D">
              <w:rPr>
                <w:color w:val="00B0F0"/>
              </w:rPr>
              <w:t xml:space="preserve"> years</w:t>
            </w:r>
          </w:p>
        </w:tc>
        <w:tc>
          <w:tcPr>
            <w:tcW w:w="0" w:type="auto"/>
            <w:shd w:val="clear" w:color="auto" w:fill="auto"/>
          </w:tcPr>
          <w:p w14:paraId="0C4C7EE1" w14:textId="77777777" w:rsidR="008B4DF8" w:rsidRPr="00C1603D" w:rsidRDefault="008B4DF8" w:rsidP="00AA3BC0">
            <w:pPr>
              <w:pStyle w:val="72TabletextTablesTableFigureBoxstyles"/>
            </w:pPr>
            <w:r w:rsidRPr="00C1603D">
              <w:t>0.00196</w:t>
            </w:r>
          </w:p>
        </w:tc>
        <w:tc>
          <w:tcPr>
            <w:tcW w:w="0" w:type="auto"/>
            <w:shd w:val="clear" w:color="auto" w:fill="auto"/>
          </w:tcPr>
          <w:p w14:paraId="6DAC2E5D" w14:textId="77777777" w:rsidR="008B4DF8" w:rsidRPr="00C1603D" w:rsidRDefault="008B4DF8" w:rsidP="00AA3BC0">
            <w:pPr>
              <w:pStyle w:val="72TabletextTablesTableFigureBoxstyles"/>
            </w:pPr>
            <w:r w:rsidRPr="00C1603D">
              <w:t>0.00071</w:t>
            </w:r>
          </w:p>
        </w:tc>
        <w:tc>
          <w:tcPr>
            <w:tcW w:w="0" w:type="auto"/>
            <w:shd w:val="clear" w:color="auto" w:fill="auto"/>
          </w:tcPr>
          <w:p w14:paraId="017BA192" w14:textId="77777777" w:rsidR="008B4DF8" w:rsidRPr="00C1603D" w:rsidRDefault="008B4DF8" w:rsidP="00AA3BC0">
            <w:pPr>
              <w:pStyle w:val="72TabletextTablesTableFigureBoxstyles"/>
            </w:pPr>
            <w:r w:rsidRPr="00C1603D">
              <w:t>0.00125</w:t>
            </w:r>
          </w:p>
        </w:tc>
      </w:tr>
      <w:tr w:rsidR="00002C8D" w:rsidRPr="00C1603D" w14:paraId="3E54C411" w14:textId="77777777" w:rsidTr="00AA3BC0">
        <w:trPr>
          <w:cantSplit/>
        </w:trPr>
        <w:tc>
          <w:tcPr>
            <w:tcW w:w="0" w:type="auto"/>
            <w:shd w:val="clear" w:color="auto" w:fill="auto"/>
          </w:tcPr>
          <w:p w14:paraId="27FE41F9" w14:textId="541BD817" w:rsidR="008B4DF8" w:rsidRPr="00C1603D" w:rsidRDefault="008B4DF8" w:rsidP="00AA3BC0">
            <w:pPr>
              <w:pStyle w:val="72TabletextTablesTableFigureBoxstyles"/>
            </w:pPr>
            <w:r w:rsidRPr="00C1603D">
              <w:t>Disutility</w:t>
            </w:r>
          </w:p>
        </w:tc>
        <w:tc>
          <w:tcPr>
            <w:tcW w:w="0" w:type="auto"/>
            <w:shd w:val="clear" w:color="auto" w:fill="auto"/>
          </w:tcPr>
          <w:p w14:paraId="6035B11E" w14:textId="2A4E01DF" w:rsidR="008B4DF8" w:rsidRPr="00C1603D" w:rsidRDefault="008B4DF8" w:rsidP="00AA3BC0">
            <w:pPr>
              <w:pStyle w:val="72TabletextTablesTableFigureBoxstyles"/>
            </w:pPr>
            <w:r w:rsidRPr="00C1603D">
              <w:t>0.817</w:t>
            </w:r>
            <w:r w:rsidR="00002C8D" w:rsidRPr="00C1603D">
              <w:t> </w:t>
            </w:r>
            <w:r w:rsidRPr="00C1603D">
              <w:t>–</w:t>
            </w:r>
            <w:r w:rsidR="00002C8D" w:rsidRPr="00C1603D">
              <w:t> </w:t>
            </w:r>
            <w:r w:rsidRPr="00C1603D">
              <w:t>0.59</w:t>
            </w:r>
            <w:r w:rsidRPr="00C1603D">
              <w:rPr>
                <w:color w:val="00B0F0"/>
              </w:rPr>
              <w:t> = </w:t>
            </w:r>
            <w:r w:rsidRPr="00C1603D">
              <w:t>0.227</w:t>
            </w:r>
          </w:p>
        </w:tc>
        <w:tc>
          <w:tcPr>
            <w:tcW w:w="0" w:type="auto"/>
            <w:shd w:val="clear" w:color="auto" w:fill="auto"/>
          </w:tcPr>
          <w:p w14:paraId="06D8A691" w14:textId="4440647C" w:rsidR="008B4DF8" w:rsidRPr="00C1603D" w:rsidRDefault="008B4DF8" w:rsidP="00AA3BC0">
            <w:pPr>
              <w:pStyle w:val="72TabletextTablesTableFigureBoxstyles"/>
            </w:pPr>
            <w:r w:rsidRPr="00C1603D">
              <w:t>0.817</w:t>
            </w:r>
            <w:r w:rsidR="009160C8" w:rsidRPr="00C1603D">
              <w:t> </w:t>
            </w:r>
            <w:r w:rsidRPr="00C1603D">
              <w:t>–</w:t>
            </w:r>
            <w:r w:rsidR="009160C8" w:rsidRPr="00C1603D">
              <w:t> </w:t>
            </w:r>
            <w:r w:rsidRPr="00C1603D">
              <w:t>0.55</w:t>
            </w:r>
            <w:r w:rsidRPr="00C1603D">
              <w:rPr>
                <w:color w:val="00B0F0"/>
              </w:rPr>
              <w:t> = </w:t>
            </w:r>
            <w:r w:rsidRPr="00C1603D">
              <w:t>0.267</w:t>
            </w:r>
          </w:p>
        </w:tc>
        <w:tc>
          <w:tcPr>
            <w:tcW w:w="0" w:type="auto"/>
            <w:shd w:val="clear" w:color="auto" w:fill="auto"/>
          </w:tcPr>
          <w:p w14:paraId="407AB3E9" w14:textId="4CFAECDF" w:rsidR="008B4DF8" w:rsidRPr="00C1603D" w:rsidRDefault="008B4DF8" w:rsidP="00AA3BC0">
            <w:pPr>
              <w:pStyle w:val="72TabletextTablesTableFigureBoxstyles"/>
            </w:pPr>
            <w:r w:rsidRPr="00C1603D">
              <w:t>0.817</w:t>
            </w:r>
            <w:r w:rsidR="009160C8" w:rsidRPr="00C1603D">
              <w:t> </w:t>
            </w:r>
            <w:r w:rsidRPr="00C1603D">
              <w:t>–</w:t>
            </w:r>
            <w:r w:rsidR="009160C8" w:rsidRPr="00C1603D">
              <w:t> </w:t>
            </w:r>
            <w:r w:rsidRPr="00C1603D">
              <w:t>0.78</w:t>
            </w:r>
            <w:r w:rsidRPr="00C1603D">
              <w:rPr>
                <w:color w:val="00B0F0"/>
              </w:rPr>
              <w:t> = </w:t>
            </w:r>
            <w:r w:rsidRPr="00C1603D">
              <w:t>0.037</w:t>
            </w:r>
          </w:p>
        </w:tc>
      </w:tr>
      <w:tr w:rsidR="00002C8D" w:rsidRPr="00C1603D" w14:paraId="220A66F0" w14:textId="77777777" w:rsidTr="00AA3BC0">
        <w:trPr>
          <w:cantSplit/>
        </w:trPr>
        <w:tc>
          <w:tcPr>
            <w:tcW w:w="0" w:type="auto"/>
            <w:shd w:val="clear" w:color="auto" w:fill="auto"/>
          </w:tcPr>
          <w:p w14:paraId="54F29285" w14:textId="4B3DD31B" w:rsidR="008B4DF8" w:rsidRPr="00C1603D" w:rsidRDefault="008B4DF8" w:rsidP="00AA3BC0">
            <w:pPr>
              <w:pStyle w:val="72TabletextTablesTableFigureBoxstyles"/>
            </w:pPr>
            <w:r w:rsidRPr="00C1603D">
              <w:t>Total disutility</w:t>
            </w:r>
          </w:p>
        </w:tc>
        <w:tc>
          <w:tcPr>
            <w:tcW w:w="0" w:type="auto"/>
            <w:shd w:val="clear" w:color="auto" w:fill="auto"/>
          </w:tcPr>
          <w:p w14:paraId="78EBEA0E" w14:textId="77777777" w:rsidR="008B4DF8" w:rsidRPr="00C1603D" w:rsidRDefault="008B4DF8" w:rsidP="00AA3BC0">
            <w:pPr>
              <w:pStyle w:val="72TabletextTablesTableFigureBoxstyles"/>
            </w:pPr>
            <w:r w:rsidRPr="00C1603D">
              <w:t>0.0004</w:t>
            </w:r>
          </w:p>
        </w:tc>
        <w:tc>
          <w:tcPr>
            <w:tcW w:w="0" w:type="auto"/>
            <w:shd w:val="clear" w:color="auto" w:fill="auto"/>
          </w:tcPr>
          <w:p w14:paraId="0D7F10F4" w14:textId="77777777" w:rsidR="008B4DF8" w:rsidRPr="00C1603D" w:rsidRDefault="008B4DF8" w:rsidP="00AA3BC0">
            <w:pPr>
              <w:pStyle w:val="72TabletextTablesTableFigureBoxstyles"/>
            </w:pPr>
            <w:r w:rsidRPr="00C1603D">
              <w:t>0.000026</w:t>
            </w:r>
          </w:p>
        </w:tc>
        <w:tc>
          <w:tcPr>
            <w:tcW w:w="0" w:type="auto"/>
            <w:shd w:val="clear" w:color="auto" w:fill="auto"/>
          </w:tcPr>
          <w:p w14:paraId="5EBA097A" w14:textId="77777777" w:rsidR="008B4DF8" w:rsidRPr="00C1603D" w:rsidRDefault="008B4DF8" w:rsidP="00AA3BC0">
            <w:pPr>
              <w:pStyle w:val="72TabletextTablesTableFigureBoxstyles"/>
            </w:pPr>
            <w:r w:rsidRPr="00C1603D">
              <w:t>0.0003</w:t>
            </w:r>
          </w:p>
        </w:tc>
      </w:tr>
      <w:tr w:rsidR="00002C8D" w:rsidRPr="00C1603D" w14:paraId="326AC93E" w14:textId="77777777" w:rsidTr="00F83518">
        <w:trPr>
          <w:cantSplit/>
        </w:trPr>
        <w:tc>
          <w:tcPr>
            <w:tcW w:w="0" w:type="auto"/>
            <w:shd w:val="clear" w:color="auto" w:fill="auto"/>
          </w:tcPr>
          <w:p w14:paraId="041BC1F5" w14:textId="1DD88A1A" w:rsidR="00002C8D" w:rsidRPr="00C1603D" w:rsidRDefault="00002C8D" w:rsidP="00002C8D">
            <w:pPr>
              <w:pStyle w:val="72TabletextTablesTableFigureBoxstyles"/>
            </w:pPr>
            <w:r w:rsidRPr="00C1603D">
              <w:t>Overall disutility</w:t>
            </w:r>
          </w:p>
        </w:tc>
        <w:tc>
          <w:tcPr>
            <w:tcW w:w="0" w:type="auto"/>
            <w:shd w:val="clear" w:color="auto" w:fill="auto"/>
          </w:tcPr>
          <w:p w14:paraId="37EC9365" w14:textId="2DCB319D" w:rsidR="00002C8D" w:rsidRPr="00C1603D" w:rsidRDefault="00002C8D" w:rsidP="00002C8D">
            <w:pPr>
              <w:pStyle w:val="72TabletextTablesTableFigureBoxstyles"/>
            </w:pPr>
            <w:r w:rsidRPr="00C1603D">
              <w:t>0.0004 (SE</w:t>
            </w:r>
            <w:r w:rsidR="009160C8" w:rsidRPr="00C1603D">
              <w:t xml:space="preserve"> </w:t>
            </w:r>
            <w:r w:rsidRPr="00C1603D">
              <w:t>0.00067)</w:t>
            </w:r>
            <w:r w:rsidRPr="00C1603D">
              <w:rPr>
                <w:vertAlign w:val="superscript"/>
              </w:rPr>
              <w:t>a</w:t>
            </w:r>
          </w:p>
        </w:tc>
        <w:tc>
          <w:tcPr>
            <w:tcW w:w="0" w:type="auto"/>
            <w:gridSpan w:val="2"/>
            <w:shd w:val="clear" w:color="auto" w:fill="auto"/>
          </w:tcPr>
          <w:p w14:paraId="58118010" w14:textId="77777777" w:rsidR="00002C8D" w:rsidRPr="00C1603D" w:rsidRDefault="00002C8D" w:rsidP="00AA3BC0">
            <w:pPr>
              <w:pStyle w:val="72TabletextTablesTableFigureBoxstyles"/>
            </w:pPr>
          </w:p>
        </w:tc>
      </w:tr>
      <w:tr w:rsidR="008B4DF8" w:rsidRPr="00C1603D" w14:paraId="1EF14401" w14:textId="77777777" w:rsidTr="00AA3BC0">
        <w:trPr>
          <w:cantSplit/>
        </w:trPr>
        <w:tc>
          <w:tcPr>
            <w:tcW w:w="0" w:type="auto"/>
            <w:gridSpan w:val="4"/>
            <w:shd w:val="clear" w:color="auto" w:fill="auto"/>
          </w:tcPr>
          <w:p w14:paraId="45B72AC9" w14:textId="1299E864" w:rsidR="008B4DF8" w:rsidRPr="00C1603D" w:rsidRDefault="00002C8D" w:rsidP="00AA3BC0">
            <w:pPr>
              <w:pStyle w:val="75TablenotesTablesTableFigureBoxstyles"/>
            </w:pPr>
            <w:r w:rsidRPr="00C1603D">
              <w:t>a</w:t>
            </w:r>
            <w:r w:rsidRPr="00C1603D">
              <w:tab/>
            </w:r>
            <w:r w:rsidR="008B4DF8" w:rsidRPr="00C1603D">
              <w:t xml:space="preserve">Uncertainty </w:t>
            </w:r>
            <w:proofErr w:type="gramStart"/>
            <w:r w:rsidR="008B4DF8" w:rsidRPr="00C1603D">
              <w:t>was modelled</w:t>
            </w:r>
            <w:proofErr w:type="gramEnd"/>
            <w:r w:rsidR="008B4DF8" w:rsidRPr="00C1603D">
              <w:t xml:space="preserve"> by moment</w:t>
            </w:r>
            <w:r w:rsidRPr="00C1603D">
              <w:t>-</w:t>
            </w:r>
            <w:r w:rsidR="008B4DF8" w:rsidRPr="00C1603D">
              <w:t>matching beta distributions to the hip, vertebral and wrist fracture disutilities</w:t>
            </w:r>
            <w:r w:rsidRPr="00C1603D">
              <w:t>,</w:t>
            </w:r>
            <w:r w:rsidR="008B4DF8" w:rsidRPr="00C1603D">
              <w:t xml:space="preserve"> with SE for each set to 1/1</w:t>
            </w:r>
            <w:r w:rsidR="008B4DF8" w:rsidRPr="00C1603D">
              <w:rPr>
                <w:color w:val="00B0F0"/>
              </w:rPr>
              <w:t>0th</w:t>
            </w:r>
            <w:r w:rsidR="008B4DF8" w:rsidRPr="00C1603D">
              <w:t xml:space="preserve"> of their means</w:t>
            </w:r>
            <w:r w:rsidRPr="00C1603D">
              <w:t>.</w:t>
            </w:r>
          </w:p>
        </w:tc>
      </w:tr>
    </w:tbl>
    <w:p w14:paraId="28CA8BD1" w14:textId="1EAF5A62" w:rsidR="008B4DF8" w:rsidRPr="00C1603D" w:rsidRDefault="008B4DF8" w:rsidP="008B4DF8">
      <w:pPr>
        <w:pStyle w:val="43AppendixtitleHeadingsHeadingstyles"/>
      </w:pPr>
      <w:bookmarkStart w:id="747" w:name="_Toc99539959"/>
      <w:bookmarkEnd w:id="731"/>
      <w:bookmarkEnd w:id="732"/>
      <w:r w:rsidRPr="00C1603D">
        <w:lastRenderedPageBreak/>
        <w:t>Appendix 29</w:t>
      </w:r>
      <w:bookmarkEnd w:id="747"/>
      <w:r w:rsidR="00CA1ED3" w:rsidRPr="00C1603D">
        <w:t> </w:t>
      </w:r>
      <w:r w:rsidR="00CA1ED3" w:rsidRPr="00C1603D">
        <w:t>Application of UK National Screening Committee criteria to a hypothetical adult coeliac disease screening programme</w:t>
      </w:r>
    </w:p>
    <w:p w14:paraId="041A837A" w14:textId="0AE366A2" w:rsidR="008B4DF8" w:rsidRPr="00C1603D" w:rsidRDefault="3CDEEDA7" w:rsidP="00CA1ED3">
      <w:pPr>
        <w:pStyle w:val="70TablelegendTablesTableFigureBoxstyles"/>
        <w:rPr>
          <w:i/>
          <w:color w:val="FF0000"/>
        </w:rPr>
      </w:pPr>
      <w:bookmarkStart w:id="748" w:name="_Toc99720781"/>
      <w:r w:rsidRPr="00C1603D">
        <w:rPr>
          <w:b/>
          <w:bCs/>
        </w:rPr>
        <w:t>TABLE 70</w:t>
      </w:r>
      <w:r w:rsidRPr="00C1603D">
        <w:rPr>
          <w:b/>
          <w:bCs/>
        </w:rPr>
        <w:t> </w:t>
      </w:r>
      <w:r w:rsidRPr="00C1603D">
        <w:t>A</w:t>
      </w:r>
      <w:commentRangeStart w:id="749"/>
      <w:commentRangeStart w:id="750"/>
      <w:r w:rsidRPr="00C1603D">
        <w:t>pplication of UK National Screening Committee Criteria to a hypothetical adult CD screening programme</w:t>
      </w:r>
      <w:bookmarkEnd w:id="748"/>
      <w:commentRangeEnd w:id="749"/>
      <w:r w:rsidR="008B4DF8" w:rsidRPr="00C1603D">
        <w:commentReference w:id="749"/>
      </w:r>
      <w:commentRangeEnd w:id="750"/>
      <w:r w:rsidR="008B4DF8" w:rsidRPr="00C1603D">
        <w:commentReference w:id="750"/>
      </w:r>
      <w:r w:rsidR="008B4DF8" w:rsidRPr="00C1603D">
        <w:rPr>
          <w:i/>
          <w:color w:val="FF0000"/>
        </w:rPr>
        <w:t>&lt;&lt;Typesetter: retain table shading&gt;&gt;</w:t>
      </w:r>
    </w:p>
    <w:tbl>
      <w:tblPr>
        <w:tblW w:w="0" w:type="auto"/>
        <w:tblCellMar>
          <w:top w:w="40" w:type="dxa"/>
          <w:left w:w="60" w:type="dxa"/>
          <w:bottom w:w="40" w:type="dxa"/>
          <w:right w:w="60" w:type="dxa"/>
        </w:tblCellMar>
        <w:tblLook w:val="04A0" w:firstRow="1" w:lastRow="0" w:firstColumn="1" w:lastColumn="0" w:noHBand="0" w:noVBand="1"/>
      </w:tblPr>
      <w:tblGrid>
        <w:gridCol w:w="5929"/>
        <w:gridCol w:w="3097"/>
      </w:tblGrid>
      <w:tr w:rsidR="00A51EC8" w:rsidRPr="00C1603D" w14:paraId="6544A498" w14:textId="77777777" w:rsidTr="007F7D5B">
        <w:trPr>
          <w:cantSplit/>
        </w:trPr>
        <w:tc>
          <w:tcPr>
            <w:tcW w:w="0" w:type="auto"/>
            <w:shd w:val="clear" w:color="auto" w:fill="auto"/>
          </w:tcPr>
          <w:p w14:paraId="10791A0F" w14:textId="064C775A" w:rsidR="00A51EC8" w:rsidRPr="00C1603D" w:rsidRDefault="00A51EC8" w:rsidP="007F7D5B">
            <w:pPr>
              <w:pStyle w:val="710TableheadTablesTableFigureBoxstyles"/>
            </w:pPr>
            <w:r w:rsidRPr="00C1603D">
              <w:t>UK National Screening Committee criteria</w:t>
            </w:r>
          </w:p>
        </w:tc>
        <w:tc>
          <w:tcPr>
            <w:tcW w:w="0" w:type="auto"/>
            <w:shd w:val="clear" w:color="auto" w:fill="auto"/>
          </w:tcPr>
          <w:p w14:paraId="10E967ED" w14:textId="3E8B6F11" w:rsidR="00A51EC8" w:rsidRPr="00C1603D" w:rsidRDefault="00A51EC8" w:rsidP="007F7D5B">
            <w:pPr>
              <w:pStyle w:val="710TableheadTablesTableFigureBoxstyles"/>
            </w:pPr>
            <w:r w:rsidRPr="00C1603D">
              <w:t>Application to hypothetical adult CD screening programme</w:t>
            </w:r>
          </w:p>
        </w:tc>
      </w:tr>
      <w:tr w:rsidR="00A51EC8" w:rsidRPr="00C1603D" w14:paraId="46EC7F30" w14:textId="77777777" w:rsidTr="00C6371A">
        <w:trPr>
          <w:cantSplit/>
        </w:trPr>
        <w:tc>
          <w:tcPr>
            <w:tcW w:w="0" w:type="auto"/>
            <w:gridSpan w:val="2"/>
            <w:shd w:val="clear" w:color="auto" w:fill="auto"/>
          </w:tcPr>
          <w:p w14:paraId="12B1B7FF" w14:textId="578DB314" w:rsidR="00A51EC8" w:rsidRPr="00C1603D" w:rsidRDefault="00A51EC8" w:rsidP="007F7D5B">
            <w:pPr>
              <w:pStyle w:val="711TablesubheadATablesTableFigureBoxstyles"/>
            </w:pPr>
            <w:r w:rsidRPr="00C1603D">
              <w:t>Condition</w:t>
            </w:r>
          </w:p>
        </w:tc>
      </w:tr>
      <w:tr w:rsidR="00A51EC8" w:rsidRPr="00C1603D" w14:paraId="38B783B4" w14:textId="77777777" w:rsidTr="0045512C">
        <w:trPr>
          <w:cantSplit/>
        </w:trPr>
        <w:tc>
          <w:tcPr>
            <w:tcW w:w="0" w:type="auto"/>
            <w:shd w:val="clear" w:color="auto" w:fill="00B050"/>
          </w:tcPr>
          <w:p w14:paraId="54DAA9E9" w14:textId="77777777" w:rsidR="00A51EC8" w:rsidRPr="00C1603D" w:rsidRDefault="00A51EC8" w:rsidP="00AA3BC0">
            <w:pPr>
              <w:pStyle w:val="72TabletextTablesTableFigureBoxstyles"/>
            </w:pPr>
            <w:r w:rsidRPr="00C1603D">
              <w:t>1.</w:t>
            </w:r>
            <w:r w:rsidRPr="00C1603D">
              <w:tab/>
              <w:t>Must be important health problem judged on frequency/severity</w:t>
            </w:r>
          </w:p>
        </w:tc>
        <w:tc>
          <w:tcPr>
            <w:tcW w:w="0" w:type="auto"/>
            <w:shd w:val="clear" w:color="auto" w:fill="00B050"/>
          </w:tcPr>
          <w:p w14:paraId="63B52E21" w14:textId="77777777" w:rsidR="00A51EC8" w:rsidRPr="00C1603D" w:rsidRDefault="00A51EC8" w:rsidP="00AA3BC0">
            <w:pPr>
              <w:pStyle w:val="72TabletextTablesTableFigureBoxstyles"/>
            </w:pPr>
            <w:r w:rsidRPr="00C1603D">
              <w:t>CD is common, has severe impact on health and is underdiagnosed</w:t>
            </w:r>
          </w:p>
        </w:tc>
      </w:tr>
      <w:tr w:rsidR="00A51EC8" w:rsidRPr="00C1603D" w14:paraId="6D9C60BD" w14:textId="77777777" w:rsidTr="0045512C">
        <w:trPr>
          <w:cantSplit/>
        </w:trPr>
        <w:tc>
          <w:tcPr>
            <w:tcW w:w="0" w:type="auto"/>
            <w:shd w:val="clear" w:color="auto" w:fill="00B050"/>
          </w:tcPr>
          <w:p w14:paraId="1ECF5799" w14:textId="77777777" w:rsidR="00A51EC8" w:rsidRPr="00C1603D" w:rsidRDefault="00A51EC8" w:rsidP="00AA3BC0">
            <w:pPr>
              <w:pStyle w:val="72TabletextTablesTableFigureBoxstyles"/>
            </w:pPr>
            <w:r w:rsidRPr="00C1603D">
              <w:t>2.</w:t>
            </w:r>
            <w:r w:rsidRPr="00C1603D">
              <w:tab/>
              <w:t>Primary prevention interventions should have been implemented</w:t>
            </w:r>
          </w:p>
        </w:tc>
        <w:tc>
          <w:tcPr>
            <w:tcW w:w="0" w:type="auto"/>
            <w:shd w:val="clear" w:color="auto" w:fill="00B050"/>
          </w:tcPr>
          <w:p w14:paraId="136039F6" w14:textId="77777777" w:rsidR="00A51EC8" w:rsidRPr="00C1603D" w:rsidRDefault="00A51EC8" w:rsidP="00AA3BC0">
            <w:pPr>
              <w:pStyle w:val="72TabletextTablesTableFigureBoxstyles"/>
            </w:pPr>
            <w:r w:rsidRPr="00C1603D">
              <w:t>There are no primary prevention interventions for CD</w:t>
            </w:r>
          </w:p>
        </w:tc>
      </w:tr>
      <w:tr w:rsidR="00A51EC8" w:rsidRPr="00C1603D" w14:paraId="1DD7AB67" w14:textId="77777777" w:rsidTr="001D7F38">
        <w:trPr>
          <w:cantSplit/>
        </w:trPr>
        <w:tc>
          <w:tcPr>
            <w:tcW w:w="0" w:type="auto"/>
            <w:shd w:val="clear" w:color="auto" w:fill="auto"/>
          </w:tcPr>
          <w:p w14:paraId="3DFE5A4B" w14:textId="5D594F5E" w:rsidR="00A51EC8" w:rsidRPr="00C1603D" w:rsidRDefault="00A51EC8" w:rsidP="00AA3BC0">
            <w:pPr>
              <w:pStyle w:val="72TabletextTablesTableFigureBoxstyles"/>
            </w:pPr>
            <w:r w:rsidRPr="00C1603D">
              <w:t>3.</w:t>
            </w:r>
            <w:r w:rsidRPr="00C1603D">
              <w:tab/>
              <w:t>If the carriers of a mutation are identified as a result of screening the natural history of people with this status should be understood, including the psychological implications</w:t>
            </w:r>
          </w:p>
        </w:tc>
        <w:tc>
          <w:tcPr>
            <w:tcW w:w="0" w:type="auto"/>
            <w:shd w:val="clear" w:color="auto" w:fill="auto"/>
          </w:tcPr>
          <w:p w14:paraId="61DAB17B" w14:textId="236E0E5B" w:rsidR="00A51EC8" w:rsidRPr="00C1603D" w:rsidRDefault="00A51EC8" w:rsidP="00AA3BC0">
            <w:pPr>
              <w:pStyle w:val="72TabletextTablesTableFigureBoxstyles"/>
            </w:pPr>
            <w:r w:rsidRPr="00C1603D">
              <w:t>N</w:t>
            </w:r>
            <w:r w:rsidR="001D7F38" w:rsidRPr="00C1603D">
              <w:t>ot applicable</w:t>
            </w:r>
          </w:p>
        </w:tc>
      </w:tr>
      <w:tr w:rsidR="00A51EC8" w:rsidRPr="00C1603D" w14:paraId="2DC060C2" w14:textId="77777777" w:rsidTr="007F7D5B">
        <w:trPr>
          <w:cantSplit/>
        </w:trPr>
        <w:tc>
          <w:tcPr>
            <w:tcW w:w="0" w:type="auto"/>
            <w:gridSpan w:val="2"/>
            <w:shd w:val="clear" w:color="auto" w:fill="auto"/>
          </w:tcPr>
          <w:p w14:paraId="0C582CEE" w14:textId="100034F4" w:rsidR="00A51EC8" w:rsidRPr="00C1603D" w:rsidRDefault="00A51EC8" w:rsidP="007F7D5B">
            <w:pPr>
              <w:pStyle w:val="711TablesubheadATablesTableFigureBoxstyles"/>
            </w:pPr>
            <w:r w:rsidRPr="00C1603D">
              <w:t>Test</w:t>
            </w:r>
          </w:p>
        </w:tc>
      </w:tr>
      <w:tr w:rsidR="00A51EC8" w:rsidRPr="00C1603D" w14:paraId="4DB6D2B7" w14:textId="77777777" w:rsidTr="0045512C">
        <w:trPr>
          <w:cantSplit/>
        </w:trPr>
        <w:tc>
          <w:tcPr>
            <w:tcW w:w="0" w:type="auto"/>
            <w:shd w:val="clear" w:color="auto" w:fill="00B050"/>
          </w:tcPr>
          <w:p w14:paraId="62C7A928" w14:textId="042A5B84" w:rsidR="00A51EC8" w:rsidRPr="00C1603D" w:rsidRDefault="00A51EC8" w:rsidP="00AA3BC0">
            <w:pPr>
              <w:pStyle w:val="72TabletextTablesTableFigureBoxstyles"/>
            </w:pPr>
            <w:r w:rsidRPr="00C1603D">
              <w:t>4.</w:t>
            </w:r>
            <w:r w:rsidRPr="00C1603D">
              <w:tab/>
              <w:t>Should be a simple, safe, precise and validated screening test</w:t>
            </w:r>
          </w:p>
        </w:tc>
        <w:tc>
          <w:tcPr>
            <w:tcW w:w="0" w:type="auto"/>
            <w:shd w:val="clear" w:color="auto" w:fill="00B050"/>
          </w:tcPr>
          <w:p w14:paraId="20B15281" w14:textId="680590DF" w:rsidR="00A51EC8" w:rsidRPr="00C1603D" w:rsidRDefault="00A51EC8" w:rsidP="00AA3BC0">
            <w:pPr>
              <w:pStyle w:val="72TabletextTablesTableFigureBoxstyles"/>
            </w:pPr>
            <w:r w:rsidRPr="00C1603D">
              <w:t>IgA tTG fulfils these criteria</w:t>
            </w:r>
          </w:p>
        </w:tc>
      </w:tr>
      <w:tr w:rsidR="00A51EC8" w:rsidRPr="00C1603D" w14:paraId="60C0FD4F" w14:textId="77777777" w:rsidTr="0045512C">
        <w:trPr>
          <w:cantSplit/>
        </w:trPr>
        <w:tc>
          <w:tcPr>
            <w:tcW w:w="0" w:type="auto"/>
            <w:shd w:val="clear" w:color="auto" w:fill="FFC000"/>
          </w:tcPr>
          <w:p w14:paraId="1CF2FFA3" w14:textId="3893A483" w:rsidR="00A51EC8" w:rsidRPr="00C1603D" w:rsidRDefault="00A51EC8" w:rsidP="00AA3BC0">
            <w:pPr>
              <w:pStyle w:val="72TabletextTablesTableFigureBoxstyles"/>
            </w:pPr>
            <w:r w:rsidRPr="00C1603D">
              <w:t>5.</w:t>
            </w:r>
            <w:r w:rsidRPr="00C1603D">
              <w:tab/>
              <w:t>Distribution of test values in the target population should be known and a suitable cut-off level defined and agreed</w:t>
            </w:r>
          </w:p>
        </w:tc>
        <w:tc>
          <w:tcPr>
            <w:tcW w:w="0" w:type="auto"/>
            <w:shd w:val="clear" w:color="auto" w:fill="FFC000"/>
          </w:tcPr>
          <w:p w14:paraId="3145E077" w14:textId="374AD134" w:rsidR="00A51EC8" w:rsidRPr="00C1603D" w:rsidRDefault="00A51EC8" w:rsidP="00AA3BC0">
            <w:pPr>
              <w:pStyle w:val="72TabletextTablesTableFigureBoxstyles"/>
            </w:pPr>
            <w:r w:rsidRPr="00C1603D">
              <w:t>The distribution of test values is known</w:t>
            </w:r>
            <w:r w:rsidR="005D5D5B" w:rsidRPr="00C1603D">
              <w:t>,</w:t>
            </w:r>
            <w:r w:rsidRPr="00C1603D">
              <w:t xml:space="preserve"> but the most appropriate threshold for screening has not been identified – this may be lower than for diagnosis to increase sensitivity</w:t>
            </w:r>
          </w:p>
        </w:tc>
      </w:tr>
      <w:tr w:rsidR="00A51EC8" w:rsidRPr="00C1603D" w14:paraId="435A77F1" w14:textId="77777777" w:rsidTr="0045512C">
        <w:trPr>
          <w:cantSplit/>
        </w:trPr>
        <w:tc>
          <w:tcPr>
            <w:tcW w:w="0" w:type="auto"/>
            <w:shd w:val="clear" w:color="auto" w:fill="00B050"/>
          </w:tcPr>
          <w:p w14:paraId="56C7A3EB" w14:textId="4C4886B7" w:rsidR="00A51EC8" w:rsidRPr="00C1603D" w:rsidRDefault="00A51EC8" w:rsidP="00AA3BC0">
            <w:pPr>
              <w:pStyle w:val="72TabletextTablesTableFigureBoxstyles"/>
            </w:pPr>
            <w:r w:rsidRPr="00C1603D">
              <w:t>6.</w:t>
            </w:r>
            <w:r w:rsidRPr="00C1603D">
              <w:tab/>
              <w:t>Test should be acceptable to the target population</w:t>
            </w:r>
          </w:p>
        </w:tc>
        <w:tc>
          <w:tcPr>
            <w:tcW w:w="0" w:type="auto"/>
            <w:shd w:val="clear" w:color="auto" w:fill="00B050"/>
          </w:tcPr>
          <w:p w14:paraId="43E856E5" w14:textId="77777777" w:rsidR="00A51EC8" w:rsidRPr="00C1603D" w:rsidRDefault="00A51EC8" w:rsidP="00AA3BC0">
            <w:pPr>
              <w:pStyle w:val="72TabletextTablesTableFigureBoxstyles"/>
            </w:pPr>
            <w:r w:rsidRPr="00C1603D">
              <w:t>The test is a simple blood test and so likely to be acceptable</w:t>
            </w:r>
          </w:p>
        </w:tc>
      </w:tr>
      <w:tr w:rsidR="00A51EC8" w:rsidRPr="00C1603D" w14:paraId="096DBC2A" w14:textId="77777777" w:rsidTr="0045512C">
        <w:trPr>
          <w:cantSplit/>
        </w:trPr>
        <w:tc>
          <w:tcPr>
            <w:tcW w:w="0" w:type="auto"/>
            <w:shd w:val="clear" w:color="auto" w:fill="FFC000"/>
          </w:tcPr>
          <w:p w14:paraId="35103C66" w14:textId="1564F79F" w:rsidR="00A51EC8" w:rsidRPr="00C1603D" w:rsidRDefault="00A51EC8" w:rsidP="00AA3BC0">
            <w:pPr>
              <w:pStyle w:val="72TabletextTablesTableFigureBoxstyles"/>
            </w:pPr>
            <w:r w:rsidRPr="00C1603D">
              <w:t>7.</w:t>
            </w:r>
            <w:r w:rsidRPr="00C1603D">
              <w:tab/>
              <w:t>Agreed policy on the further diagnostic investigation of individuals with a positive test result and on the choices available to those individuals</w:t>
            </w:r>
          </w:p>
        </w:tc>
        <w:tc>
          <w:tcPr>
            <w:tcW w:w="0" w:type="auto"/>
            <w:shd w:val="clear" w:color="auto" w:fill="FFC000"/>
          </w:tcPr>
          <w:p w14:paraId="4AE9E11C" w14:textId="3ACF0359" w:rsidR="00A51EC8" w:rsidRPr="00C1603D" w:rsidRDefault="00A51EC8" w:rsidP="00AA3BC0">
            <w:pPr>
              <w:pStyle w:val="72TabletextTablesTableFigureBoxstyles"/>
            </w:pPr>
            <w:r w:rsidRPr="00C1603D">
              <w:t xml:space="preserve">There are </w:t>
            </w:r>
            <w:proofErr w:type="gramStart"/>
            <w:r w:rsidRPr="00C1603D">
              <w:t>various options</w:t>
            </w:r>
            <w:proofErr w:type="gramEnd"/>
            <w:r w:rsidRPr="00C1603D">
              <w:t xml:space="preserve"> for the workup of those with a positive test </w:t>
            </w:r>
            <w:r w:rsidR="005D5D5B" w:rsidRPr="00C1603D">
              <w:t>that</w:t>
            </w:r>
            <w:r w:rsidRPr="00C1603D">
              <w:t xml:space="preserve"> would need further work – this could include combinations of additional serological testing, genetic testing and biopsy</w:t>
            </w:r>
          </w:p>
        </w:tc>
      </w:tr>
      <w:tr w:rsidR="00A51EC8" w:rsidRPr="00C1603D" w14:paraId="364F2F6A" w14:textId="77777777" w:rsidTr="001D7F38">
        <w:trPr>
          <w:cantSplit/>
        </w:trPr>
        <w:tc>
          <w:tcPr>
            <w:tcW w:w="0" w:type="auto"/>
            <w:shd w:val="clear" w:color="auto" w:fill="auto"/>
          </w:tcPr>
          <w:p w14:paraId="727E370B" w14:textId="5B059C56" w:rsidR="00A51EC8" w:rsidRPr="00C1603D" w:rsidRDefault="00A51EC8" w:rsidP="00AA3BC0">
            <w:pPr>
              <w:pStyle w:val="72TabletextTablesTableFigureBoxstyles"/>
            </w:pPr>
            <w:r w:rsidRPr="00C1603D">
              <w:t>8.</w:t>
            </w:r>
            <w:r w:rsidRPr="00C1603D">
              <w:tab/>
              <w:t>If the test is for a particular mutation or set of genetic variants</w:t>
            </w:r>
            <w:r w:rsidR="000C4CCE" w:rsidRPr="00C1603D">
              <w:t>,</w:t>
            </w:r>
            <w:r w:rsidRPr="00C1603D">
              <w:t xml:space="preserve"> the method for their selection and the means through which these will be kept under review in the programme should be clearly set out</w:t>
            </w:r>
          </w:p>
        </w:tc>
        <w:tc>
          <w:tcPr>
            <w:tcW w:w="0" w:type="auto"/>
            <w:shd w:val="clear" w:color="auto" w:fill="auto"/>
          </w:tcPr>
          <w:p w14:paraId="6F1290F0" w14:textId="413B0304" w:rsidR="00A51EC8" w:rsidRPr="00C1603D" w:rsidRDefault="00A51EC8" w:rsidP="00AA3BC0">
            <w:pPr>
              <w:pStyle w:val="72TabletextTablesTableFigureBoxstyles"/>
            </w:pPr>
            <w:r w:rsidRPr="00C1603D">
              <w:t>N</w:t>
            </w:r>
            <w:r w:rsidR="001D7F38" w:rsidRPr="00C1603D">
              <w:t>ot applicable</w:t>
            </w:r>
            <w:r w:rsidRPr="00C1603D">
              <w:t xml:space="preserve"> (unless HLA is recommended as part of the further workup of those testing positive)</w:t>
            </w:r>
          </w:p>
        </w:tc>
      </w:tr>
      <w:tr w:rsidR="00A51EC8" w:rsidRPr="00C1603D" w14:paraId="711AA9CF" w14:textId="77777777" w:rsidTr="007F7D5B">
        <w:trPr>
          <w:cantSplit/>
        </w:trPr>
        <w:tc>
          <w:tcPr>
            <w:tcW w:w="0" w:type="auto"/>
            <w:gridSpan w:val="2"/>
            <w:shd w:val="clear" w:color="auto" w:fill="auto"/>
          </w:tcPr>
          <w:p w14:paraId="192D1210" w14:textId="1BDF9C39" w:rsidR="00A51EC8" w:rsidRPr="00C1603D" w:rsidRDefault="00A51EC8" w:rsidP="007F7D5B">
            <w:pPr>
              <w:pStyle w:val="711TablesubheadATablesTableFigureBoxstyles"/>
            </w:pPr>
            <w:r w:rsidRPr="00C1603D">
              <w:t>Intervention</w:t>
            </w:r>
          </w:p>
        </w:tc>
      </w:tr>
      <w:tr w:rsidR="00A51EC8" w:rsidRPr="00C1603D" w14:paraId="1585ED77" w14:textId="77777777" w:rsidTr="0045512C">
        <w:trPr>
          <w:cantSplit/>
        </w:trPr>
        <w:tc>
          <w:tcPr>
            <w:tcW w:w="0" w:type="auto"/>
            <w:shd w:val="clear" w:color="auto" w:fill="00B050"/>
          </w:tcPr>
          <w:p w14:paraId="6162F13F" w14:textId="47C2BD01" w:rsidR="00A51EC8" w:rsidRPr="00C1603D" w:rsidRDefault="00A51EC8" w:rsidP="00AA3BC0">
            <w:pPr>
              <w:pStyle w:val="72TabletextTablesTableFigureBoxstyles"/>
            </w:pPr>
            <w:r w:rsidRPr="00C1603D">
              <w:t>9.</w:t>
            </w:r>
            <w:r w:rsidRPr="00C1603D">
              <w:tab/>
              <w:t>Should be an effective intervention for patients identified through screening, with evidence that intervention at a pre-symptomatic phase leads to better outcomes for the screened individual compared with usual care</w:t>
            </w:r>
          </w:p>
        </w:tc>
        <w:tc>
          <w:tcPr>
            <w:tcW w:w="0" w:type="auto"/>
            <w:shd w:val="clear" w:color="auto" w:fill="00B050"/>
          </w:tcPr>
          <w:p w14:paraId="2BCDE98F" w14:textId="77777777" w:rsidR="00A51EC8" w:rsidRPr="00C1603D" w:rsidRDefault="00A51EC8" w:rsidP="00AA3BC0">
            <w:pPr>
              <w:pStyle w:val="72TabletextTablesTableFigureBoxstyles"/>
            </w:pPr>
            <w:r w:rsidRPr="00C1603D">
              <w:t>Gluten-free diet is an effective intervention and starting this as early has possible has beneficial effects</w:t>
            </w:r>
          </w:p>
        </w:tc>
      </w:tr>
      <w:tr w:rsidR="00A51EC8" w:rsidRPr="00C1603D" w14:paraId="3ED777EF" w14:textId="77777777" w:rsidTr="0045512C">
        <w:trPr>
          <w:cantSplit/>
        </w:trPr>
        <w:tc>
          <w:tcPr>
            <w:tcW w:w="0" w:type="auto"/>
            <w:shd w:val="clear" w:color="auto" w:fill="00B050"/>
          </w:tcPr>
          <w:p w14:paraId="18FC527E" w14:textId="710FEF5A" w:rsidR="00A51EC8" w:rsidRPr="00C1603D" w:rsidRDefault="00A51EC8" w:rsidP="00AA3BC0">
            <w:pPr>
              <w:pStyle w:val="72TabletextTablesTableFigureBoxstyles"/>
            </w:pPr>
            <w:r w:rsidRPr="00C1603D">
              <w:t>10.</w:t>
            </w:r>
            <w:r w:rsidRPr="00C1603D">
              <w:tab/>
              <w:t>There should be agreed evidence</w:t>
            </w:r>
            <w:r w:rsidR="000C4CCE" w:rsidRPr="00C1603D">
              <w:t>-</w:t>
            </w:r>
            <w:r w:rsidRPr="00C1603D">
              <w:t>based policies covering which individuals should be offered interventions and the appropriate intervention to be offered</w:t>
            </w:r>
          </w:p>
        </w:tc>
        <w:tc>
          <w:tcPr>
            <w:tcW w:w="0" w:type="auto"/>
            <w:shd w:val="clear" w:color="auto" w:fill="00B050"/>
          </w:tcPr>
          <w:p w14:paraId="22F57D5F" w14:textId="37B9AF84" w:rsidR="00A51EC8" w:rsidRPr="00C1603D" w:rsidRDefault="00A51EC8" w:rsidP="00AA3BC0">
            <w:pPr>
              <w:pStyle w:val="72TabletextTablesTableFigureBoxstyles"/>
            </w:pPr>
            <w:r w:rsidRPr="00C1603D">
              <w:t>This is fairly straightforward for CD as the only treatment is a gluten-free diet</w:t>
            </w:r>
            <w:r w:rsidR="000C4CCE" w:rsidRPr="00C1603D">
              <w:t>,</w:t>
            </w:r>
            <w:r w:rsidRPr="00C1603D">
              <w:t xml:space="preserve"> which is recommended for anyone with CD</w:t>
            </w:r>
          </w:p>
        </w:tc>
      </w:tr>
      <w:tr w:rsidR="00A51EC8" w:rsidRPr="00C1603D" w14:paraId="0BB529A2" w14:textId="77777777" w:rsidTr="007F7D5B">
        <w:trPr>
          <w:cantSplit/>
        </w:trPr>
        <w:tc>
          <w:tcPr>
            <w:tcW w:w="0" w:type="auto"/>
            <w:gridSpan w:val="2"/>
            <w:shd w:val="clear" w:color="auto" w:fill="auto"/>
          </w:tcPr>
          <w:p w14:paraId="58B3FB1B" w14:textId="0C0080EC" w:rsidR="00A51EC8" w:rsidRPr="00C1603D" w:rsidRDefault="00047C1D" w:rsidP="007F7D5B">
            <w:pPr>
              <w:pStyle w:val="711TablesubheadATablesTableFigureBoxstyles"/>
            </w:pPr>
            <w:r w:rsidRPr="00C1603D">
              <w:t>S</w:t>
            </w:r>
            <w:r w:rsidR="00A51EC8" w:rsidRPr="00C1603D">
              <w:t>creening programme</w:t>
            </w:r>
          </w:p>
        </w:tc>
      </w:tr>
      <w:tr w:rsidR="00A51EC8" w:rsidRPr="00C1603D" w14:paraId="1A92F363" w14:textId="77777777" w:rsidTr="0045512C">
        <w:trPr>
          <w:cantSplit/>
        </w:trPr>
        <w:tc>
          <w:tcPr>
            <w:tcW w:w="0" w:type="auto"/>
            <w:shd w:val="clear" w:color="auto" w:fill="FF0000"/>
          </w:tcPr>
          <w:p w14:paraId="66F8095C" w14:textId="631E2D5A" w:rsidR="00A51EC8" w:rsidRPr="00C1603D" w:rsidRDefault="00A51EC8" w:rsidP="00AA3BC0">
            <w:pPr>
              <w:pStyle w:val="72TabletextTablesTableFigureBoxstyles"/>
            </w:pPr>
            <w:r w:rsidRPr="00C1603D">
              <w:t>11.</w:t>
            </w:r>
            <w:r w:rsidRPr="00C1603D">
              <w:tab/>
              <w:t>Should be evidence from high</w:t>
            </w:r>
            <w:r w:rsidR="000C4CCE" w:rsidRPr="00C1603D">
              <w:t>-</w:t>
            </w:r>
            <w:r w:rsidRPr="00C1603D">
              <w:t>quality randomised controlled trials that the screening programme is effective in reducing mortality or morbidity</w:t>
            </w:r>
          </w:p>
        </w:tc>
        <w:tc>
          <w:tcPr>
            <w:tcW w:w="0" w:type="auto"/>
            <w:shd w:val="clear" w:color="auto" w:fill="FF0000"/>
          </w:tcPr>
          <w:p w14:paraId="548C046F" w14:textId="77777777" w:rsidR="00A51EC8" w:rsidRPr="00C1603D" w:rsidRDefault="00A51EC8" w:rsidP="00AA3BC0">
            <w:pPr>
              <w:pStyle w:val="72TabletextTablesTableFigureBoxstyles"/>
            </w:pPr>
            <w:r w:rsidRPr="00C1603D">
              <w:t>Not currently available</w:t>
            </w:r>
          </w:p>
        </w:tc>
      </w:tr>
      <w:tr w:rsidR="00A51EC8" w:rsidRPr="00C1603D" w14:paraId="182F73DB" w14:textId="77777777" w:rsidTr="0045512C">
        <w:trPr>
          <w:cantSplit/>
        </w:trPr>
        <w:tc>
          <w:tcPr>
            <w:tcW w:w="0" w:type="auto"/>
            <w:shd w:val="clear" w:color="auto" w:fill="FFC000"/>
          </w:tcPr>
          <w:p w14:paraId="35ABE926" w14:textId="4704230E" w:rsidR="00A51EC8" w:rsidRPr="00C1603D" w:rsidRDefault="00A51EC8" w:rsidP="00AA3BC0">
            <w:pPr>
              <w:pStyle w:val="72TabletextTablesTableFigureBoxstyles"/>
            </w:pPr>
            <w:r w:rsidRPr="00C1603D">
              <w:lastRenderedPageBreak/>
              <w:t>12.</w:t>
            </w:r>
            <w:r w:rsidRPr="00C1603D">
              <w:tab/>
              <w:t>Should be evidence that the complete screening programme (test, diagnostic procedures, treatment</w:t>
            </w:r>
            <w:r w:rsidRPr="00C1603D">
              <w:rPr>
                <w:color w:val="00B0F0"/>
              </w:rPr>
              <w:t>/</w:t>
            </w:r>
            <w:r w:rsidRPr="00C1603D">
              <w:t>intervention) is clinically, socially and ethically acceptable to health professionals and the public</w:t>
            </w:r>
          </w:p>
        </w:tc>
        <w:tc>
          <w:tcPr>
            <w:tcW w:w="0" w:type="auto"/>
            <w:shd w:val="clear" w:color="auto" w:fill="FFC000"/>
          </w:tcPr>
          <w:p w14:paraId="1F1C3524" w14:textId="04C1AB5A" w:rsidR="00A51EC8" w:rsidRPr="00C1603D" w:rsidRDefault="00A51EC8" w:rsidP="00AA3BC0">
            <w:pPr>
              <w:pStyle w:val="72TabletextTablesTableFigureBoxstyles"/>
            </w:pPr>
            <w:r w:rsidRPr="00C1603D">
              <w:t>Screening programme is likely to be acceptable</w:t>
            </w:r>
            <w:r w:rsidR="0045512C" w:rsidRPr="00C1603D">
              <w:t>,</w:t>
            </w:r>
            <w:r w:rsidRPr="00C1603D">
              <w:t xml:space="preserve"> but further evidence on this may be required</w:t>
            </w:r>
          </w:p>
        </w:tc>
      </w:tr>
      <w:tr w:rsidR="00A51EC8" w:rsidRPr="00C1603D" w14:paraId="4B4BD825" w14:textId="77777777" w:rsidTr="0045512C">
        <w:trPr>
          <w:cantSplit/>
        </w:trPr>
        <w:tc>
          <w:tcPr>
            <w:tcW w:w="0" w:type="auto"/>
            <w:shd w:val="clear" w:color="auto" w:fill="00B050"/>
          </w:tcPr>
          <w:p w14:paraId="119CE2FE" w14:textId="14D75851" w:rsidR="00A51EC8" w:rsidRPr="00C1603D" w:rsidRDefault="00A51EC8" w:rsidP="00AA3BC0">
            <w:pPr>
              <w:pStyle w:val="72TabletextTablesTableFigureBoxstyles"/>
            </w:pPr>
            <w:r w:rsidRPr="00C1603D">
              <w:t>13.</w:t>
            </w:r>
            <w:r w:rsidRPr="00C1603D">
              <w:tab/>
              <w:t>Benefit gained by individuals from the screening programme should outweigh any harms, for example from overdiagnosis, overtreatment, false positives, false reassurance, uncertain findings and complications</w:t>
            </w:r>
          </w:p>
        </w:tc>
        <w:tc>
          <w:tcPr>
            <w:tcW w:w="0" w:type="auto"/>
            <w:shd w:val="clear" w:color="auto" w:fill="00B050"/>
          </w:tcPr>
          <w:p w14:paraId="4ABCE28B" w14:textId="2463CCE1" w:rsidR="00A51EC8" w:rsidRPr="00C1603D" w:rsidRDefault="00A51EC8" w:rsidP="00AA3BC0">
            <w:pPr>
              <w:pStyle w:val="72TabletextTablesTableFigureBoxstyles"/>
            </w:pPr>
            <w:r w:rsidRPr="00C1603D">
              <w:t>Our economic analysis provides evidence for this</w:t>
            </w:r>
          </w:p>
        </w:tc>
      </w:tr>
      <w:tr w:rsidR="00A51EC8" w:rsidRPr="00C1603D" w14:paraId="531EF9D7" w14:textId="77777777" w:rsidTr="0045512C">
        <w:trPr>
          <w:cantSplit/>
        </w:trPr>
        <w:tc>
          <w:tcPr>
            <w:tcW w:w="0" w:type="auto"/>
            <w:shd w:val="clear" w:color="auto" w:fill="00B050"/>
          </w:tcPr>
          <w:p w14:paraId="716F9D53" w14:textId="2AD23295" w:rsidR="00A51EC8" w:rsidRPr="00C1603D" w:rsidRDefault="00A51EC8" w:rsidP="00AA3BC0">
            <w:pPr>
              <w:pStyle w:val="72TabletextTablesTableFigureBoxstyles"/>
              <w:rPr>
                <w:color w:val="0B0C0C"/>
                <w:lang w:eastAsia="zh-CN"/>
              </w:rPr>
            </w:pPr>
            <w:r w:rsidRPr="00C1603D">
              <w:rPr>
                <w:color w:val="0B0C0C"/>
                <w:lang w:eastAsia="zh-CN"/>
              </w:rPr>
              <w:t>14.</w:t>
            </w:r>
            <w:r w:rsidRPr="00C1603D">
              <w:rPr>
                <w:color w:val="0B0C0C"/>
                <w:lang w:eastAsia="zh-CN"/>
              </w:rPr>
              <w:tab/>
            </w:r>
            <w:r w:rsidRPr="00C1603D">
              <w:t>The opportunity cost of the screening programme (including testing, diagnosis and treatment, administration, training and quality assurance) should be economically balanced in relation to expenditure on medical care as a whole (value for money). Assessment against this criteri</w:t>
            </w:r>
            <w:r w:rsidR="0045512C" w:rsidRPr="00C1603D">
              <w:t>on</w:t>
            </w:r>
            <w:r w:rsidRPr="00C1603D">
              <w:t xml:space="preserve"> should have regard to evidence from cost</w:t>
            </w:r>
            <w:r w:rsidR="0045512C" w:rsidRPr="00C1603D">
              <w:t>–</w:t>
            </w:r>
            <w:r w:rsidRPr="00C1603D">
              <w:t xml:space="preserve">benefit and/or </w:t>
            </w:r>
            <w:r w:rsidRPr="00C1603D">
              <w:rPr>
                <w:color w:val="00B0F0"/>
              </w:rPr>
              <w:t>cost-effective</w:t>
            </w:r>
            <w:r w:rsidRPr="00C1603D">
              <w:t>ness analyses and have regard to the effective use of available resource</w:t>
            </w:r>
            <w:r w:rsidR="0045512C" w:rsidRPr="00C1603D">
              <w:t>s</w:t>
            </w:r>
          </w:p>
        </w:tc>
        <w:tc>
          <w:tcPr>
            <w:tcW w:w="0" w:type="auto"/>
            <w:shd w:val="clear" w:color="auto" w:fill="00B050"/>
          </w:tcPr>
          <w:p w14:paraId="61F37010" w14:textId="77777777" w:rsidR="00A51EC8" w:rsidRPr="00C1603D" w:rsidRDefault="00A51EC8" w:rsidP="00AA3BC0">
            <w:pPr>
              <w:pStyle w:val="72TabletextTablesTableFigureBoxstyles"/>
            </w:pPr>
            <w:r w:rsidRPr="00C1603D">
              <w:t>Our economic analysis suggests that screening may be cost-effective</w:t>
            </w:r>
          </w:p>
        </w:tc>
      </w:tr>
      <w:tr w:rsidR="00A51EC8" w:rsidRPr="009A3DC6" w14:paraId="043A50DF" w14:textId="77777777" w:rsidTr="007F7D5B">
        <w:trPr>
          <w:cantSplit/>
        </w:trPr>
        <w:tc>
          <w:tcPr>
            <w:tcW w:w="0" w:type="auto"/>
            <w:gridSpan w:val="2"/>
            <w:shd w:val="clear" w:color="auto" w:fill="auto"/>
          </w:tcPr>
          <w:p w14:paraId="0BE95DC3" w14:textId="34093E48" w:rsidR="00A51EC8" w:rsidRPr="00C1603D" w:rsidRDefault="00A51EC8" w:rsidP="00A51EC8">
            <w:pPr>
              <w:pStyle w:val="74TablenotesheadingTablesTableFigureBoxstyles"/>
            </w:pPr>
            <w:r w:rsidRPr="00C1603D">
              <w:t>Note</w:t>
            </w:r>
            <w:r w:rsidR="00E56E87" w:rsidRPr="00C1603D">
              <w:t>s</w:t>
            </w:r>
          </w:p>
          <w:p w14:paraId="64AF4B5D" w14:textId="74232AB5" w:rsidR="00A51EC8" w:rsidRPr="00C1603D" w:rsidRDefault="00A51EC8" w:rsidP="00A51EC8">
            <w:pPr>
              <w:pStyle w:val="75TablenotesTablesTableFigureBoxstyles"/>
            </w:pPr>
            <w:r w:rsidRPr="00C1603D">
              <w:t xml:space="preserve">Green: criteria that </w:t>
            </w:r>
            <w:proofErr w:type="gramStart"/>
            <w:r w:rsidRPr="00C1603D">
              <w:t>are fulfilled</w:t>
            </w:r>
            <w:proofErr w:type="gramEnd"/>
            <w:r w:rsidRPr="00C1603D">
              <w:t>; orange: uncertain, further evidence required; red: criteria not fulfilled.</w:t>
            </w:r>
          </w:p>
          <w:p w14:paraId="65157BC6" w14:textId="6587DEE4" w:rsidR="00A51EC8" w:rsidRPr="009A3DC6" w:rsidRDefault="00562BAA" w:rsidP="007F7D5B">
            <w:pPr>
              <w:pStyle w:val="75TablenotesTablesTableFigureBoxstyles"/>
            </w:pPr>
            <w:r w:rsidRPr="00C1603D">
              <w:t xml:space="preserve">The criteria have </w:t>
            </w:r>
            <w:proofErr w:type="gramStart"/>
            <w:r w:rsidRPr="00C1603D">
              <w:t>been reproduced</w:t>
            </w:r>
            <w:proofErr w:type="gramEnd"/>
            <w:r w:rsidRPr="00C1603D">
              <w:t xml:space="preserve"> from </w:t>
            </w:r>
            <w:r w:rsidR="00C56D61" w:rsidRPr="00C1603D">
              <w:t xml:space="preserve">the </w:t>
            </w:r>
            <w:r w:rsidRPr="00C1603D">
              <w:t>UK National Screening Committee.</w:t>
            </w:r>
            <w:r w:rsidRPr="00C1603D">
              <w:rPr>
                <w:vertAlign w:val="superscript"/>
              </w:rPr>
              <w:t>295</w:t>
            </w:r>
            <w:r w:rsidRPr="00C1603D">
              <w:t xml:space="preserve"> </w:t>
            </w:r>
            <w:r w:rsidR="00A51EC8" w:rsidRPr="00C1603D">
              <w:t>Contains public sector information licensed under the Open Government Licence v3.0.</w:t>
            </w:r>
            <w:r w:rsidR="00A55860" w:rsidRPr="00C1603D">
              <w:rPr>
                <w:i/>
                <w:iCs/>
                <w:color w:val="FF0000"/>
              </w:rPr>
              <w:t xml:space="preserve">&lt;&lt;Typesetter: insert copyright credit line </w:t>
            </w:r>
            <w:r w:rsidR="00F2309F" w:rsidRPr="00C1603D">
              <w:rPr>
                <w:i/>
                <w:iCs/>
                <w:color w:val="FF0000"/>
              </w:rPr>
              <w:t>3</w:t>
            </w:r>
            <w:r w:rsidR="00A55860" w:rsidRPr="00C1603D">
              <w:rPr>
                <w:i/>
                <w:iCs/>
                <w:color w:val="FF0000"/>
              </w:rPr>
              <w:t>&gt;&gt;</w:t>
            </w:r>
          </w:p>
        </w:tc>
      </w:tr>
    </w:tbl>
    <w:p w14:paraId="7CF3415D" w14:textId="07006E8E" w:rsidR="000B4585" w:rsidRPr="008B4DF8" w:rsidRDefault="000B4585" w:rsidP="008B4DF8"/>
    <w:sectPr w:rsidR="000B4585" w:rsidRPr="008B4DF8" w:rsidSect="00AA3BC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4-20T14:41:00Z" w:initials="EN">
    <w:p w14:paraId="160E4321" w14:textId="77777777" w:rsidR="008B4DF8" w:rsidRDefault="008B4DF8" w:rsidP="008B4DF8">
      <w: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C31FD70" w14:textId="77777777" w:rsidR="008B4DF8" w:rsidRDefault="008B4DF8" w:rsidP="008B4DF8">
      <w:r>
        <w:t>If copyright permission is required for any reproduced material from your dual publications, please seek this as early as possible to avoid any delays.</w:t>
      </w:r>
    </w:p>
  </w:comment>
  <w:comment w:id="1" w:author="Gastgebruiker" w:date="2022-06-01T09:48:00Z" w:initials="Ga">
    <w:p w14:paraId="47E73A01" w14:textId="7EEF1810" w:rsidR="3CDEEDA7" w:rsidRDefault="3CDEEDA7">
      <w:r>
        <w:t>We are planning to publish papers on the survey result and the economic evaluation, but these are not yet ready for submission.</w:t>
      </w:r>
      <w:r>
        <w:annotationRef/>
      </w:r>
    </w:p>
  </w:comment>
  <w:comment w:id="2" w:author="Claire Furey" w:date="2022-06-01T18:42:00Z" w:initials="CF">
    <w:p w14:paraId="7C41E017" w14:textId="5FB3C995" w:rsidR="00093843" w:rsidRDefault="00093843">
      <w:r>
        <w:annotationRef/>
      </w:r>
      <w:r>
        <w:t xml:space="preserve">Thank you for letting us know that you are planning </w:t>
      </w:r>
      <w:r w:rsidR="0026437D">
        <w:t>to publish papers. Please let us know if any papers are submitted before this is published.</w:t>
      </w:r>
    </w:p>
  </w:comment>
  <w:comment w:id="3" w:author="Gastgebruiker" w:date="2022-06-06T11:04:00Z" w:initials="Ga">
    <w:p w14:paraId="22EC56E6" w14:textId="69AC8443" w:rsidR="567821A3" w:rsidRDefault="567821A3">
      <w:r>
        <w:t>ok</w:t>
      </w:r>
      <w:r>
        <w:annotationRef/>
      </w:r>
    </w:p>
  </w:comment>
  <w:comment w:id="10" w:author="Euan Notley" w:date="2022-04-20T10:08:00Z" w:initials="EN">
    <w:p w14:paraId="64D49138" w14:textId="77777777" w:rsidR="008B4DF8" w:rsidRDefault="008B4DF8" w:rsidP="008B4DF8">
      <w:r>
        <w:annotationRef/>
      </w:r>
      <w:r>
        <w:t>If possible, please provide a town/city for these patient representatives.</w:t>
      </w:r>
    </w:p>
  </w:comment>
  <w:comment w:id="11" w:author="Gastgebruiker" w:date="2022-05-31T16:25:00Z" w:initials="Ga">
    <w:p w14:paraId="280E971F" w14:textId="098D4FEE" w:rsidR="599AD4B9" w:rsidRDefault="599AD4B9">
      <w:r>
        <w:t>Deborah lives in Cambridge and Jo in Bristol. However, I am not sure this is relevant information as these are their private home addresses and not an affiliation.</w:t>
      </w:r>
      <w:r>
        <w:annotationRef/>
      </w:r>
    </w:p>
  </w:comment>
  <w:comment w:id="14" w:author="Euan Notley" w:date="2022-04-20T10:08:00Z" w:initials="EN">
    <w:p w14:paraId="49D401E3" w14:textId="77777777" w:rsidR="008B4DF8" w:rsidRDefault="008B4DF8" w:rsidP="008B4DF8">
      <w:r>
        <w:annotationRef/>
      </w:r>
      <w:r>
        <w:t>Please indicate which authors affiliation 9 applies to.</w:t>
      </w:r>
    </w:p>
  </w:comment>
  <w:comment w:id="15" w:author="Gastgebruiker" w:date="2022-05-31T16:26:00Z" w:initials="Ga">
    <w:p w14:paraId="04FE5798" w14:textId="7D03F595" w:rsidR="599AD4B9" w:rsidRDefault="599AD4B9">
      <w:r>
        <w:t>Affiliation 9 should be removed</w:t>
      </w:r>
      <w:r>
        <w:annotationRef/>
      </w:r>
    </w:p>
  </w:comment>
  <w:comment w:id="17" w:author="Claire Furey" w:date="2022-05-20T15:20:00Z" w:initials="CF">
    <w:p w14:paraId="14A6077D" w14:textId="28B7B61A" w:rsidR="00670F1A" w:rsidRDefault="00670F1A">
      <w:r>
        <w:annotationRef/>
      </w:r>
      <w:r>
        <w:t>‘18/34’ changed to ‘18/134’; OK?</w:t>
      </w:r>
    </w:p>
  </w:comment>
  <w:comment w:id="18" w:author="Gastgebruiker" w:date="2022-05-31T16:31:00Z" w:initials="Ga">
    <w:p w14:paraId="2B6367A2" w14:textId="099DFB86" w:rsidR="599AD4B9" w:rsidRDefault="599AD4B9">
      <w:r>
        <w:t>yes</w:t>
      </w:r>
      <w:r>
        <w:annotationRef/>
      </w:r>
    </w:p>
  </w:comment>
  <w:comment w:id="19" w:author="Claire Furey" w:date="2022-05-20T15:21:00Z" w:initials="CF">
    <w:p w14:paraId="542D0876" w14:textId="214085E2" w:rsidR="007A1D75" w:rsidRDefault="007A1D75">
      <w:r>
        <w:annotationRef/>
      </w:r>
      <w:r w:rsidR="00506F26">
        <w:t>Company locations added, as per journal style; OK?</w:t>
      </w:r>
    </w:p>
  </w:comment>
  <w:comment w:id="20" w:author="Gastgebruiker" w:date="2022-05-31T16:31:00Z" w:initials="Ga">
    <w:p w14:paraId="74BD6270" w14:textId="6690E99D" w:rsidR="599AD4B9" w:rsidRDefault="599AD4B9">
      <w:r>
        <w:t>yes</w:t>
      </w:r>
      <w:r>
        <w:annotationRef/>
      </w:r>
    </w:p>
  </w:comment>
  <w:comment w:id="21" w:author="Claire Furey" w:date="2022-05-20T15:26:00Z" w:initials="CF">
    <w:p w14:paraId="38834DF0" w14:textId="593D697E" w:rsidR="003D1769" w:rsidRDefault="003D1769">
      <w:r>
        <w:annotationRef/>
      </w:r>
      <w:r>
        <w:t>Is this the correct NIHR number?</w:t>
      </w:r>
    </w:p>
  </w:comment>
  <w:comment w:id="22" w:author="Gastgebruiker" w:date="2022-06-06T08:52:00Z" w:initials="Ga">
    <w:p w14:paraId="267FE8EF" w14:textId="43FD4EDA" w:rsidR="567821A3" w:rsidRDefault="567821A3">
      <w:r>
        <w:t>yes this number is correct</w:t>
      </w:r>
      <w:r>
        <w:annotationRef/>
      </w:r>
    </w:p>
  </w:comment>
  <w:comment w:id="23" w:author="Gastgebruiker" w:date="2022-06-06T08:53:00Z" w:initials="Ga">
    <w:p w14:paraId="469A271B" w14:textId="394BD5D6" w:rsidR="567821A3" w:rsidRDefault="567821A3">
      <w:r>
        <w:t>it's an NIHR Senior Investigator Award</w:t>
      </w:r>
      <w:r>
        <w:annotationRef/>
      </w:r>
    </w:p>
  </w:comment>
  <w:comment w:id="24" w:author="Euan Notley" w:date="2022-04-20T10:47:00Z" w:initials="EN">
    <w:p w14:paraId="6559348F" w14:textId="77777777" w:rsidR="008B4DF8" w:rsidRDefault="008B4DF8" w:rsidP="008B4DF8">
      <w:r>
        <w:annotationRef/>
      </w:r>
      <w:r>
        <w:t xml:space="preserve">Can these dates be changed to ‘2019 to present’ to match the author’s ICMJE form? </w:t>
      </w:r>
    </w:p>
  </w:comment>
  <w:comment w:id="25" w:author="Gastgebruiker" w:date="2022-05-31T16:38:00Z" w:initials="Ga">
    <w:p w14:paraId="33D59F71" w14:textId="65FFAC5B" w:rsidR="599AD4B9" w:rsidRDefault="599AD4B9">
      <w:r>
        <w:t>yes</w:t>
      </w:r>
      <w:r>
        <w:annotationRef/>
      </w:r>
    </w:p>
  </w:comment>
  <w:comment w:id="35" w:author="Claire Furey" w:date="2022-05-24T13:16:00Z" w:initials="CF">
    <w:p w14:paraId="3FBF601F" w14:textId="59F0B478" w:rsidR="003E4D15" w:rsidRDefault="003E4D15">
      <w:r>
        <w:annotationRef/>
      </w:r>
      <w:r>
        <w:t xml:space="preserve">Instead of </w:t>
      </w:r>
      <w:r w:rsidR="002F42AA">
        <w:t>(</w:t>
      </w:r>
      <w:r>
        <w:t>or in addition to</w:t>
      </w:r>
      <w:r w:rsidR="002F42AA">
        <w:t>)</w:t>
      </w:r>
      <w:r>
        <w:t xml:space="preserve"> a ‘Design’ section, </w:t>
      </w:r>
      <w:r w:rsidR="002F42AA">
        <w:t>please provide the following sections</w:t>
      </w:r>
      <w:r>
        <w:t xml:space="preserve">: ‘Data sources’ </w:t>
      </w:r>
      <w:r w:rsidR="00985C93">
        <w:t>[d</w:t>
      </w:r>
      <w:r w:rsidR="00985C93" w:rsidRPr="00985C93">
        <w:t>escribes the databases searched (list by name) and the time periods over which the searches were conducted</w:t>
      </w:r>
      <w:r w:rsidR="00985C93">
        <w:t>] and ‘Review methods’ [i</w:t>
      </w:r>
      <w:r w:rsidR="00985C93" w:rsidRPr="00985C93">
        <w:t xml:space="preserve">ncludes </w:t>
      </w:r>
      <w:r w:rsidR="00985C93">
        <w:t>s</w:t>
      </w:r>
      <w:r w:rsidR="00985C93" w:rsidRPr="00985C93">
        <w:t xml:space="preserve">tudy selection (who selected studies using what criteria) and </w:t>
      </w:r>
      <w:r w:rsidR="00985C93">
        <w:t>s</w:t>
      </w:r>
      <w:r w:rsidR="00985C93" w:rsidRPr="00985C93">
        <w:t>tudy appraisal (methods used for abstraction, integration, and summarising of the data)</w:t>
      </w:r>
      <w:r w:rsidR="00985C93">
        <w:t>]?</w:t>
      </w:r>
    </w:p>
  </w:comment>
  <w:comment w:id="36" w:author="Gastgebruiker" w:date="2022-06-01T10:12:00Z" w:initials="Ga">
    <w:p w14:paraId="20B74F5E" w14:textId="345D5F7B" w:rsidR="3CDEEDA7" w:rsidRDefault="3CDEEDA7">
      <w:r>
        <w:t>See added text</w:t>
      </w:r>
      <w:r>
        <w:annotationRef/>
      </w:r>
    </w:p>
  </w:comment>
  <w:comment w:id="39" w:author="Claire Furey" w:date="2022-05-24T18:12:00Z" w:initials="CF">
    <w:p w14:paraId="1D4B01E4" w14:textId="77777777" w:rsidR="00C26563" w:rsidRDefault="00C26563">
      <w:pPr>
        <w:rPr>
          <w:lang w:eastAsia="en-GB"/>
        </w:rPr>
      </w:pPr>
      <w:r>
        <w:annotationRef/>
      </w:r>
      <w:r>
        <w:t>Should this be ‘</w:t>
      </w:r>
      <w:r w:rsidR="00B10BA2" w:rsidRPr="009A3DC6">
        <w:rPr>
          <w:lang w:eastAsia="en-GB"/>
        </w:rPr>
        <w:t>Immunoglobulin A</w:t>
      </w:r>
      <w:r w:rsidR="00B10BA2" w:rsidRPr="009A3DC6">
        <w:t xml:space="preserve"> </w:t>
      </w:r>
      <w:r w:rsidR="00B10BA2">
        <w:t>anti-</w:t>
      </w:r>
      <w:r w:rsidR="00B10BA2" w:rsidRPr="009A3DC6">
        <w:rPr>
          <w:lang w:eastAsia="en-GB"/>
        </w:rPr>
        <w:t>tissue transglutaminase</w:t>
      </w:r>
      <w:r w:rsidR="00B10BA2">
        <w:rPr>
          <w:lang w:eastAsia="en-GB"/>
        </w:rPr>
        <w:t>’?</w:t>
      </w:r>
    </w:p>
    <w:p w14:paraId="49836AF9" w14:textId="3B002CAE" w:rsidR="00B10BA2" w:rsidRDefault="00B10BA2">
      <w:r>
        <w:rPr>
          <w:lang w:eastAsia="en-GB"/>
        </w:rPr>
        <w:t>This applies throughout.</w:t>
      </w:r>
    </w:p>
  </w:comment>
  <w:comment w:id="40" w:author="Gastgebruiker" w:date="2022-05-31T16:44:00Z" w:initials="Ga">
    <w:p w14:paraId="19BB2AEB" w14:textId="48C68518" w:rsidR="599AD4B9" w:rsidRDefault="599AD4B9">
      <w:r>
        <w:t>I think both are correct and both notations seem to be used in the literature. Happy for you to change this if you think this is clearer or in line with your journal style, but then you should be consistant with all antibody names, ie anti-endomysial IgA instead of endomysial IgA.</w:t>
      </w:r>
      <w:r>
        <w:annotationRef/>
      </w:r>
    </w:p>
  </w:comment>
  <w:comment w:id="41" w:author="Claire Furey" w:date="2022-06-01T19:45:00Z" w:initials="CF">
    <w:p w14:paraId="2CAA7E03" w14:textId="3F540FF0" w:rsidR="00AE7747" w:rsidRDefault="004E5E5F">
      <w:r>
        <w:annotationRef/>
      </w:r>
      <w:r>
        <w:t>Thank you for your response. ‘Anti-’ will not be added</w:t>
      </w:r>
      <w:r w:rsidR="00AE7747">
        <w:t xml:space="preserve">, as it is more commonly </w:t>
      </w:r>
      <w:r w:rsidR="00155A29">
        <w:t>written without</w:t>
      </w:r>
      <w:r w:rsidR="00882698">
        <w:t xml:space="preserve"> ‘anti-’</w:t>
      </w:r>
      <w:r w:rsidR="00AE7747">
        <w:t xml:space="preserve"> throughout this report.</w:t>
      </w:r>
    </w:p>
  </w:comment>
  <w:comment w:id="42" w:author="Gastgebruiker" w:date="2022-06-06T11:03:00Z" w:initials="Ga">
    <w:p w14:paraId="068A5189" w14:textId="044214FE" w:rsidR="567821A3" w:rsidRDefault="567821A3">
      <w:r>
        <w:t>ok</w:t>
      </w:r>
      <w:r>
        <w:annotationRef/>
      </w:r>
    </w:p>
  </w:comment>
  <w:comment w:id="45" w:author="Claire Furey" w:date="2022-05-24T13:08:00Z" w:initials="CF">
    <w:p w14:paraId="68C0019A" w14:textId="77777777" w:rsidR="003E4D15" w:rsidRDefault="003E4D15">
      <w:r>
        <w:annotationRef/>
      </w:r>
      <w:r>
        <w:t>Please clarify what is meant by ‘should be quantified’ in this context.</w:t>
      </w:r>
    </w:p>
    <w:p w14:paraId="585FCC61" w14:textId="32C982EF" w:rsidR="003E4D15" w:rsidRDefault="003E4D15">
      <w:r>
        <w:t>This section should d</w:t>
      </w:r>
      <w:r w:rsidRPr="003E4D15">
        <w:t>escribe the most important weaknesses of included studies as well as limitations of the review process.</w:t>
      </w:r>
    </w:p>
  </w:comment>
  <w:comment w:id="46" w:author="Gastgebruiker" w:date="2022-06-06T11:15:00Z" w:initials="Ga">
    <w:p w14:paraId="59C9BC2E" w14:textId="46F4CB2D" w:rsidR="567821A3" w:rsidRDefault="567821A3">
      <w:r>
        <w:t xml:space="preserve">We have clarified the limitations section in the abstract. See new text inserted. </w:t>
      </w:r>
      <w:r>
        <w:annotationRef/>
      </w:r>
    </w:p>
  </w:comment>
  <w:comment w:id="56" w:author="Claire Furey" w:date="2022-05-25T12:08:00Z" w:initials="CF">
    <w:p w14:paraId="71D2F7E3" w14:textId="77777777" w:rsidR="00C34AF5" w:rsidRDefault="00C34AF5">
      <w:r>
        <w:annotationRef/>
      </w:r>
      <w:r>
        <w:t>Should this be ‘anti-endomysial antibody’?</w:t>
      </w:r>
    </w:p>
    <w:p w14:paraId="533C9B4E" w14:textId="51E01EE2" w:rsidR="00C34AF5" w:rsidRDefault="00C34AF5">
      <w:r>
        <w:t>This applies throughout.</w:t>
      </w:r>
    </w:p>
  </w:comment>
  <w:comment w:id="57" w:author="Gastgebruiker" w:date="2022-06-01T10:35:00Z" w:initials="Ga">
    <w:p w14:paraId="45FC6DD5" w14:textId="3FEB0F71" w:rsidR="3CDEEDA7" w:rsidRDefault="3CDEEDA7">
      <w:r>
        <w:t>As mentioned above, both seem to be used in the literature and I believe both are correct. anti-endomysial antibody and endomysial antibody.</w:t>
      </w:r>
      <w:r>
        <w:annotationRef/>
      </w:r>
    </w:p>
  </w:comment>
  <w:comment w:id="58" w:author="Claire Furey" w:date="2022-06-01T19:46:00Z" w:initials="CF">
    <w:p w14:paraId="03A7E4F8" w14:textId="77777777" w:rsidR="00872332" w:rsidRDefault="00872332" w:rsidP="00872332">
      <w:r>
        <w:annotationRef/>
      </w:r>
      <w:r>
        <w:t>In line with your previous response, should this be changed to ‘GA</w:t>
      </w:r>
      <w:r>
        <w:tab/>
        <w:t>gliadin antibodies’?</w:t>
      </w:r>
    </w:p>
    <w:p w14:paraId="5B07A4FB" w14:textId="77777777" w:rsidR="00872332" w:rsidRDefault="00872332" w:rsidP="00872332">
      <w:r>
        <w:t>This also applies to ‘anti-rec</w:t>
      </w:r>
      <w:r w:rsidRPr="009A3DC6">
        <w:t>ulin antibodies</w:t>
      </w:r>
      <w:r>
        <w:t>’ and ‘anti-gluten antibodies’ later in the text.</w:t>
      </w:r>
    </w:p>
  </w:comment>
  <w:comment w:id="59" w:author="Gastgebruiker" w:date="2022-06-06T11:03:00Z" w:initials="Ga">
    <w:p w14:paraId="4F5120EF" w14:textId="77777777" w:rsidR="00872332" w:rsidRDefault="00872332" w:rsidP="00872332">
      <w:r>
        <w:t>Yes that's fine. We just used the most commonly used abbreviations, and unfortunately they do not use anti- in a consistent way. To be consistent, I think it's better to change anti-reculin antibodies’ and ‘anti-gluten' and AGA, which are not mentioned that often and stick to the most commonly used abbreviations for tTG and EMA, which are used quite a lot in the report.</w:t>
      </w:r>
      <w:r>
        <w:annotationRef/>
      </w:r>
    </w:p>
  </w:comment>
  <w:comment w:id="60" w:author="Claire Furey" w:date="2022-05-24T13:42:00Z" w:initials="CF">
    <w:p w14:paraId="3A544529" w14:textId="72967C0D" w:rsidR="00721110" w:rsidRDefault="00721110">
      <w:r>
        <w:annotationRef/>
      </w:r>
      <w:r>
        <w:t>Note that it is ‘gastro-oesophageal’ in British English. Can ‘GERD’ be changed to ‘GORD’ throughout?</w:t>
      </w:r>
    </w:p>
  </w:comment>
  <w:comment w:id="61" w:author="Gastgebruiker" w:date="2022-06-01T10:36:00Z" w:initials="Ga">
    <w:p w14:paraId="4DDB9846" w14:textId="7859CD74" w:rsidR="3CDEEDA7" w:rsidRDefault="3CDEEDA7">
      <w:r>
        <w:t>Yes that's fine</w:t>
      </w:r>
      <w:r>
        <w:annotationRef/>
      </w:r>
    </w:p>
  </w:comment>
  <w:comment w:id="62" w:author="Claire Furey" w:date="2022-05-24T13:34:00Z" w:initials="CF">
    <w:p w14:paraId="6E69243B" w14:textId="77777777" w:rsidR="00267212" w:rsidRDefault="00267212" w:rsidP="00267212">
      <w:r>
        <w:annotationRef/>
      </w:r>
      <w:r>
        <w:t>Note that ‘o</w:t>
      </w:r>
      <w:r w:rsidRPr="007B344E">
        <w:t>esophagogastroduodenoscopy</w:t>
      </w:r>
      <w:r>
        <w:t>’ is the British English spelling. Can ‘EGD’ be changed to ‘OGD’ throughout?</w:t>
      </w:r>
    </w:p>
  </w:comment>
  <w:comment w:id="63" w:author="Gastgebruiker" w:date="2022-06-01T10:18:00Z" w:initials="Ga">
    <w:p w14:paraId="529FE4E4" w14:textId="77777777" w:rsidR="00267212" w:rsidRDefault="00267212" w:rsidP="00267212">
      <w:r>
        <w:t>Yes that's fine</w:t>
      </w:r>
      <w:r>
        <w:annotationRef/>
      </w:r>
    </w:p>
  </w:comment>
  <w:comment w:id="64" w:author="Claire Furey" w:date="2022-05-24T18:11:00Z" w:initials="CF">
    <w:p w14:paraId="0091A1CF" w14:textId="1C14F93A" w:rsidR="00C26563" w:rsidRDefault="00C26563">
      <w:r>
        <w:annotationRef/>
      </w:r>
      <w:r>
        <w:t xml:space="preserve">Should this be ‘anti-tissue </w:t>
      </w:r>
      <w:r w:rsidRPr="009A3DC6">
        <w:rPr>
          <w:lang w:eastAsia="en-GB"/>
        </w:rPr>
        <w:t>transglutaminase</w:t>
      </w:r>
      <w:r>
        <w:annotationRef/>
      </w:r>
      <w:r>
        <w:rPr>
          <w:lang w:eastAsia="en-GB"/>
        </w:rPr>
        <w:t>’</w:t>
      </w:r>
      <w:r w:rsidR="00F9189D">
        <w:rPr>
          <w:lang w:eastAsia="en-GB"/>
        </w:rPr>
        <w:t>, as used in the report</w:t>
      </w:r>
      <w:r>
        <w:rPr>
          <w:lang w:eastAsia="en-GB"/>
        </w:rPr>
        <w:t>?</w:t>
      </w:r>
    </w:p>
  </w:comment>
  <w:comment w:id="65" w:author="Gastgebruiker" w:date="2022-06-01T10:36:00Z" w:initials="Ga">
    <w:p w14:paraId="0F3ADE0C" w14:textId="25EB0025" w:rsidR="3CDEEDA7" w:rsidRDefault="3CDEEDA7">
      <w:r>
        <w:t>See above.</w:t>
      </w:r>
      <w:r>
        <w:annotationRef/>
      </w:r>
    </w:p>
  </w:comment>
  <w:comment w:id="76" w:author="Claire Furey" w:date="2022-05-24T18:29:00Z" w:initials="CF">
    <w:p w14:paraId="73AFB832" w14:textId="0B01A1EE" w:rsidR="0087034D" w:rsidRDefault="0087034D">
      <w:r>
        <w:annotationRef/>
      </w:r>
      <w:r>
        <w:t>The chapter citations have been removed, as per journal style for the scientific summary; OK?</w:t>
      </w:r>
    </w:p>
  </w:comment>
  <w:comment w:id="77" w:author="Gastgebruiker" w:date="2022-06-01T10:36:00Z" w:initials="Ga">
    <w:p w14:paraId="59F9BC93" w14:textId="4120900F" w:rsidR="3CDEEDA7" w:rsidRDefault="3CDEEDA7">
      <w:r>
        <w:t>ok</w:t>
      </w:r>
      <w:r>
        <w:annotationRef/>
      </w:r>
    </w:p>
  </w:comment>
  <w:comment w:id="82" w:author="Claire Furey" w:date="2022-05-25T12:10:00Z" w:initials="CF">
    <w:p w14:paraId="5DFE0F8F" w14:textId="55753254" w:rsidR="00317C1B" w:rsidRDefault="00317C1B">
      <w:r>
        <w:annotationRef/>
      </w:r>
      <w:r w:rsidR="00BF39A0">
        <w:t>‘</w:t>
      </w:r>
      <w:r w:rsidR="00BF39A0" w:rsidRPr="003D384B">
        <w:rPr>
          <w:lang w:eastAsia="en-GB"/>
        </w:rPr>
        <w:t>endomysial antibody</w:t>
      </w:r>
      <w:r w:rsidR="00BF39A0">
        <w:rPr>
          <w:lang w:eastAsia="en-GB"/>
        </w:rPr>
        <w:t>’ (singular) but ‘</w:t>
      </w:r>
      <w:r w:rsidR="00BF39A0" w:rsidRPr="003D384B">
        <w:t>anti-actin antibod</w:t>
      </w:r>
      <w:r w:rsidR="00BF39A0">
        <w:t>ies</w:t>
      </w:r>
      <w:r w:rsidR="00BF39A0">
        <w:annotationRef/>
      </w:r>
      <w:r w:rsidR="00BF39A0">
        <w:t xml:space="preserve">’ (plural). Should these </w:t>
      </w:r>
      <w:r w:rsidR="006105B0">
        <w:t>both be either singular or plural, for consistency?</w:t>
      </w:r>
    </w:p>
  </w:comment>
  <w:comment w:id="83" w:author="Gastgebruiker" w:date="2022-06-01T10:47:00Z" w:initials="Ga">
    <w:p w14:paraId="1C06E8A8" w14:textId="51B8878A" w:rsidR="3CDEEDA7" w:rsidRDefault="3CDEEDA7">
      <w:r>
        <w:t>For consistency I would change 'anti-actin antibodies' to 'actin antibody'.</w:t>
      </w:r>
      <w:r>
        <w:annotationRef/>
      </w:r>
    </w:p>
  </w:comment>
  <w:comment w:id="90" w:author="Claire Furey" w:date="2022-05-25T12:22:00Z" w:initials="CF">
    <w:p w14:paraId="60123036" w14:textId="0B35ED9D" w:rsidR="00A47AA2" w:rsidRDefault="00A47AA2">
      <w:r>
        <w:annotationRef/>
      </w:r>
      <w:r>
        <w:t>Text amended; OK?</w:t>
      </w:r>
    </w:p>
  </w:comment>
  <w:comment w:id="91" w:author="Gastgebruiker" w:date="2022-06-01T10:48:00Z" w:initials="Ga">
    <w:p w14:paraId="602E749D" w14:textId="4383A039" w:rsidR="3CDEEDA7" w:rsidRDefault="3CDEEDA7">
      <w:r>
        <w:t>ok</w:t>
      </w:r>
      <w:r>
        <w:annotationRef/>
      </w:r>
    </w:p>
  </w:comment>
  <w:comment w:id="98" w:author="Claire Furey" w:date="2022-05-25T14:27:00Z" w:initials="CF">
    <w:p w14:paraId="727701F1" w14:textId="77777777" w:rsidR="00931D64" w:rsidRDefault="00931D64">
      <w:r>
        <w:annotationRef/>
      </w:r>
      <w:r w:rsidR="00441289">
        <w:t>Please check for sense. This sentence implies that ‘</w:t>
      </w:r>
      <w:r w:rsidR="00441289" w:rsidRPr="009A3DC6">
        <w:t>a 1% pre-test probability</w:t>
      </w:r>
      <w:r w:rsidR="00441289">
        <w:t xml:space="preserve"> . . . </w:t>
      </w:r>
      <w:r w:rsidR="00441289" w:rsidRPr="009A3DC6">
        <w:t>had</w:t>
      </w:r>
      <w:r w:rsidR="00441289">
        <w:t xml:space="preserve"> the</w:t>
      </w:r>
      <w:r w:rsidR="00441289" w:rsidRPr="009A3DC6">
        <w:t xml:space="preserve"> highest net benefit at £20,000</w:t>
      </w:r>
      <w:r w:rsidR="00441289">
        <w:t xml:space="preserve"> per </w:t>
      </w:r>
      <w:r w:rsidR="00441289" w:rsidRPr="006447DB">
        <w:rPr>
          <w:lang w:eastAsia="en-GB"/>
        </w:rPr>
        <w:t>quality-adjusted life-year</w:t>
      </w:r>
      <w:r w:rsidR="00441289" w:rsidRPr="009A3DC6">
        <w:t xml:space="preserve"> </w:t>
      </w:r>
      <w:r w:rsidR="00441289">
        <w:t>(</w:t>
      </w:r>
      <w:r w:rsidR="00441289" w:rsidRPr="009A3DC6">
        <w:t>QALY</w:t>
      </w:r>
      <w:r w:rsidR="00441289">
        <w:t>)’.</w:t>
      </w:r>
    </w:p>
    <w:p w14:paraId="132443DD" w14:textId="213FB01E" w:rsidR="00441289" w:rsidRDefault="00441289">
      <w:r>
        <w:t xml:space="preserve">Should it be the test, rather than the probability that </w:t>
      </w:r>
      <w:r w:rsidR="004D5633">
        <w:t>has the net benefit?</w:t>
      </w:r>
    </w:p>
  </w:comment>
  <w:comment w:id="99" w:author="Gastgebruiker" w:date="2022-06-01T10:51:00Z" w:initials="Ga">
    <w:p w14:paraId="16AED1D0" w14:textId="1A2FC87D" w:rsidR="3CDEEDA7" w:rsidRDefault="3CDEEDA7">
      <w:r>
        <w:t>No, this sentence is correct. It's about whom to test, in this case patients with a 1% probability of having CD, not about which test to use.</w:t>
      </w:r>
      <w:r>
        <w:annotationRef/>
      </w:r>
    </w:p>
  </w:comment>
  <w:comment w:id="100" w:author="Claire Furey" w:date="2022-06-02T09:00:00Z" w:initials="CF">
    <w:p w14:paraId="04DB5CFE" w14:textId="73FEA700" w:rsidR="0034243D" w:rsidRDefault="0034243D">
      <w:r>
        <w:annotationRef/>
      </w:r>
      <w:r>
        <w:t>Thank you for your response. The text has been amended for clarity; OK?</w:t>
      </w:r>
    </w:p>
  </w:comment>
  <w:comment w:id="101" w:author="Gastgebruiker" w:date="2022-06-06T10:59:00Z" w:initials="Ga">
    <w:p w14:paraId="0F18B23A" w14:textId="2AEB5369" w:rsidR="567821A3" w:rsidRDefault="567821A3">
      <w:r>
        <w:t>ok</w:t>
      </w:r>
      <w:r>
        <w:annotationRef/>
      </w:r>
    </w:p>
  </w:comment>
  <w:comment w:id="106" w:author="Claire Furey" w:date="2022-05-25T14:49:00Z" w:initials="CF">
    <w:p w14:paraId="2275060C" w14:textId="60C4847E" w:rsidR="00137890" w:rsidRDefault="00137890">
      <w:r>
        <w:annotationRef/>
      </w:r>
      <w:r>
        <w:t>Text amended; OK?</w:t>
      </w:r>
    </w:p>
  </w:comment>
  <w:comment w:id="107" w:author="Gastgebruiker" w:date="2022-06-01T10:53:00Z" w:initials="Ga">
    <w:p w14:paraId="7C97CF0C" w14:textId="510A23C9" w:rsidR="3CDEEDA7" w:rsidRDefault="3CDEEDA7">
      <w:r>
        <w:t>ok</w:t>
      </w:r>
      <w:r>
        <w:annotationRef/>
      </w:r>
    </w:p>
  </w:comment>
  <w:comment w:id="118" w:author="Claire Furey" w:date="2022-05-25T15:22:00Z" w:initials="CF">
    <w:p w14:paraId="0B40E9E1" w14:textId="028A715A" w:rsidR="00DD3AD1" w:rsidRDefault="00DD3AD1">
      <w:r>
        <w:annotationRef/>
      </w:r>
      <w:r>
        <w:t>Text amended; OK?</w:t>
      </w:r>
    </w:p>
  </w:comment>
  <w:comment w:id="119" w:author="Gastgebruiker" w:date="2022-06-01T10:56:00Z" w:initials="Ga">
    <w:p w14:paraId="3757A65C" w14:textId="14CB55BD" w:rsidR="3CDEEDA7" w:rsidRDefault="3CDEEDA7">
      <w:r>
        <w:t>No, the original sentence highlights two things that are unlcear: (1) which symptoms are suggestive of CD and (2) which of those should prompt testing.</w:t>
      </w:r>
      <w:r>
        <w:annotationRef/>
      </w:r>
    </w:p>
  </w:comment>
  <w:comment w:id="120" w:author="Claire Furey" w:date="2022-05-25T15:24:00Z" w:initials="CF">
    <w:p w14:paraId="33FE6EB5" w14:textId="39EB89A9" w:rsidR="00DD3AD1" w:rsidRDefault="00DD3AD1">
      <w:r>
        <w:annotationRef/>
      </w:r>
      <w:r>
        <w:t>Is this for children only?</w:t>
      </w:r>
    </w:p>
  </w:comment>
  <w:comment w:id="121" w:author="Gastgebruiker" w:date="2022-06-01T10:56:00Z" w:initials="Ga">
    <w:p w14:paraId="33C0AE72" w14:textId="4F10D619" w:rsidR="3CDEEDA7" w:rsidRDefault="3CDEEDA7">
      <w:r>
        <w:t>yes</w:t>
      </w:r>
      <w:r>
        <w:annotationRef/>
      </w:r>
    </w:p>
  </w:comment>
  <w:comment w:id="125" w:author="Claire Furey" w:date="2022-05-25T15:50:00Z" w:initials="CF">
    <w:p w14:paraId="2AE55776" w14:textId="196DA634" w:rsidR="008F4309" w:rsidRDefault="008F4309">
      <w:r>
        <w:annotationRef/>
      </w:r>
      <w:r>
        <w:t>Reference numbers added; OK?</w:t>
      </w:r>
    </w:p>
  </w:comment>
  <w:comment w:id="126" w:author="Gastgebruiker" w:date="2022-06-01T10:57:00Z" w:initials="Ga">
    <w:p w14:paraId="171C80BF" w14:textId="5F374202" w:rsidR="3CDEEDA7" w:rsidRDefault="3CDEEDA7">
      <w:r>
        <w:t>ok</w:t>
      </w:r>
      <w:r>
        <w:annotationRef/>
      </w:r>
    </w:p>
  </w:comment>
  <w:comment w:id="127" w:author="Claire Furey" w:date="2022-05-25T15:48:00Z" w:initials="CF">
    <w:p w14:paraId="137A0D90" w14:textId="49A26DDD" w:rsidR="008F4309" w:rsidRDefault="008F4309" w:rsidP="008F4309">
      <w:r>
        <w:annotationRef/>
      </w:r>
      <w:r>
        <w:t>Does ‘NA’ mean ‘not available’ or ‘not applicable’?</w:t>
      </w:r>
    </w:p>
  </w:comment>
  <w:comment w:id="128" w:author="Gastgebruiker" w:date="2022-06-01T10:58:00Z" w:initials="Ga">
    <w:p w14:paraId="1A2EE408" w14:textId="078199E5" w:rsidR="3CDEEDA7" w:rsidRDefault="3CDEEDA7">
      <w:r>
        <w:t>not available</w:t>
      </w:r>
      <w:r>
        <w:annotationRef/>
      </w:r>
    </w:p>
  </w:comment>
  <w:comment w:id="129" w:author="Claire Furey" w:date="2022-05-25T15:49:00Z" w:initials="CF">
    <w:p w14:paraId="1DFB78B9" w14:textId="5EA46772" w:rsidR="003E7BAE" w:rsidRDefault="003E7BAE">
      <w:r>
        <w:annotationRef/>
      </w:r>
      <w:r>
        <w:t>‘EIA’ and ‘SE’ defined in the footnotes. Please check if correct.</w:t>
      </w:r>
    </w:p>
  </w:comment>
  <w:comment w:id="130" w:author="Gastgebruiker" w:date="2022-06-01T10:59:00Z" w:initials="Ga">
    <w:p w14:paraId="06E9F65A" w14:textId="3E97EA90" w:rsidR="3CDEEDA7" w:rsidRDefault="3CDEEDA7">
      <w:r>
        <w:t>yes</w:t>
      </w:r>
      <w:r>
        <w:annotationRef/>
      </w:r>
    </w:p>
  </w:comment>
  <w:comment w:id="132" w:author="Claire Furey" w:date="2022-05-25T16:15:00Z" w:initials="CF">
    <w:p w14:paraId="3ACB9363" w14:textId="121AD6FF" w:rsidR="001319D8" w:rsidRDefault="001319D8">
      <w:r>
        <w:annotationRef/>
      </w:r>
      <w:r>
        <w:t>Text amended; OK?</w:t>
      </w:r>
    </w:p>
  </w:comment>
  <w:comment w:id="133" w:author="Gastgebruiker" w:date="2022-06-01T11:29:00Z" w:initials="Ga">
    <w:p w14:paraId="2FBF6EEE" w14:textId="1E96088F" w:rsidR="3CDEEDA7" w:rsidRDefault="3CDEEDA7">
      <w:r>
        <w:t>ok</w:t>
      </w:r>
      <w:r>
        <w:annotationRef/>
      </w:r>
    </w:p>
  </w:comment>
  <w:comment w:id="134" w:author="Claire Furey" w:date="2022-05-25T16:23:00Z" w:initials="CF">
    <w:p w14:paraId="4F19D1BB" w14:textId="19D31773" w:rsidR="007017F7" w:rsidRDefault="007017F7">
      <w:r>
        <w:annotationRef/>
      </w:r>
      <w:r>
        <w:t>‘diagnosing’ added; OK?</w:t>
      </w:r>
    </w:p>
  </w:comment>
  <w:comment w:id="135" w:author="Gastgebruiker" w:date="2022-06-01T11:29:00Z" w:initials="Ga">
    <w:p w14:paraId="7009E914" w14:textId="3B043B91" w:rsidR="3CDEEDA7" w:rsidRDefault="3CDEEDA7">
      <w:r>
        <w:t>ok</w:t>
      </w:r>
      <w:r>
        <w:annotationRef/>
      </w:r>
    </w:p>
  </w:comment>
  <w:comment w:id="137" w:author="Claire Furey" w:date="2022-05-25T16:31:00Z" w:initials="CF">
    <w:p w14:paraId="2256ED4F" w14:textId="2F1E52A4" w:rsidR="00E54ADD" w:rsidRDefault="00E54ADD">
      <w:r>
        <w:annotationRef/>
      </w:r>
      <w:r>
        <w:annotationRef/>
      </w:r>
      <w:r>
        <w:t>‘if CD is negative’ changed to ‘if tests for CD are negative’; OK?</w:t>
      </w:r>
    </w:p>
  </w:comment>
  <w:comment w:id="138" w:author="Gastgebruiker" w:date="2022-06-01T11:31:00Z" w:initials="Ga">
    <w:p w14:paraId="5970E156" w14:textId="422186FE" w:rsidR="3CDEEDA7" w:rsidRDefault="3CDEEDA7">
      <w:r>
        <w:t>ok. could add "serological" to make it clearer. "if serological tests for CD are negative"</w:t>
      </w:r>
      <w:r>
        <w:annotationRef/>
      </w:r>
    </w:p>
  </w:comment>
  <w:comment w:id="139" w:author="Claire Furey" w:date="2022-05-25T16:42:00Z" w:initials="CF">
    <w:p w14:paraId="74AD8F2F" w14:textId="786AE786" w:rsidR="00445BAE" w:rsidRDefault="00445BAE">
      <w:r>
        <w:annotationRef/>
      </w:r>
      <w:r>
        <w:t>Text amended; OK?</w:t>
      </w:r>
    </w:p>
  </w:comment>
  <w:comment w:id="140" w:author="Gastgebruiker" w:date="2022-06-01T11:33:00Z" w:initials="Ga">
    <w:p w14:paraId="2A78C32D" w14:textId="3D784017" w:rsidR="3CDEEDA7" w:rsidRDefault="3CDEEDA7">
      <w:r>
        <w:t>ok</w:t>
      </w:r>
      <w:r>
        <w:annotationRef/>
      </w:r>
    </w:p>
  </w:comment>
  <w:comment w:id="141" w:author="Claire Furey" w:date="2022-05-25T16:52:00Z" w:initials="CF">
    <w:p w14:paraId="7FD6D24E" w14:textId="12112C15" w:rsidR="000518FE" w:rsidRDefault="000518FE">
      <w:r>
        <w:annotationRef/>
      </w:r>
      <w:r>
        <w:t xml:space="preserve">Copyright credit line added, as per NICE </w:t>
      </w:r>
      <w:r w:rsidR="009D5682">
        <w:t>copyright guidelines; OK?</w:t>
      </w:r>
    </w:p>
  </w:comment>
  <w:comment w:id="142" w:author="Gastgebruiker" w:date="2022-06-01T11:34:00Z" w:initials="Ga">
    <w:p w14:paraId="7F4EAB77" w14:textId="7C9D8676" w:rsidR="3CDEEDA7" w:rsidRDefault="3CDEEDA7">
      <w:r>
        <w:t>ok</w:t>
      </w:r>
      <w:r>
        <w:annotationRef/>
      </w:r>
    </w:p>
  </w:comment>
  <w:comment w:id="150" w:author="Claire Furey" w:date="2022-05-30T14:32:00Z" w:initials="CF">
    <w:p w14:paraId="05EFE995" w14:textId="78E07316" w:rsidR="00B302E7" w:rsidRDefault="00B302E7">
      <w:r>
        <w:annotationRef/>
      </w:r>
      <w:r>
        <w:t>Text amended. Please check that the meaning has been retained.</w:t>
      </w:r>
    </w:p>
  </w:comment>
  <w:comment w:id="151" w:author="Gastgebruiker" w:date="2022-06-01T11:35:00Z" w:initials="Ga">
    <w:p w14:paraId="62269497" w14:textId="7A999846" w:rsidR="3CDEEDA7" w:rsidRDefault="3CDEEDA7">
      <w:r>
        <w:t>yes correct</w:t>
      </w:r>
      <w:r>
        <w:annotationRef/>
      </w:r>
    </w:p>
  </w:comment>
  <w:comment w:id="164" w:author="Claire Furey" w:date="2022-05-30T15:21:00Z" w:initials="CF">
    <w:p w14:paraId="010AB397" w14:textId="394551C2" w:rsidR="0087431F" w:rsidRDefault="0087431F">
      <w:r>
        <w:annotationRef/>
      </w:r>
      <w:r>
        <w:t>Text amended. Please check that the meaning has been retained.</w:t>
      </w:r>
    </w:p>
  </w:comment>
  <w:comment w:id="165" w:author="Gastgebruiker" w:date="2022-06-01T11:36:00Z" w:initials="Ga">
    <w:p w14:paraId="047DB29E" w14:textId="1C5CDF10" w:rsidR="3CDEEDA7" w:rsidRDefault="3CDEEDA7">
      <w:r>
        <w:t>ok</w:t>
      </w:r>
      <w:r>
        <w:annotationRef/>
      </w:r>
    </w:p>
  </w:comment>
  <w:comment w:id="166" w:author="Claire Furey" w:date="2022-05-30T15:24:00Z" w:initials="CF">
    <w:p w14:paraId="6B1B1B67" w14:textId="64724D94" w:rsidR="00CE4E77" w:rsidRDefault="00CE4E77">
      <w:r>
        <w:annotationRef/>
      </w:r>
      <w:r>
        <w:t>Reference number added; OK?</w:t>
      </w:r>
    </w:p>
  </w:comment>
  <w:comment w:id="167" w:author="Gastgebruiker" w:date="2022-06-01T11:36:00Z" w:initials="Ga">
    <w:p w14:paraId="3734F93C" w14:textId="58001B16" w:rsidR="3CDEEDA7" w:rsidRDefault="3CDEEDA7">
      <w:r>
        <w:t>ok</w:t>
      </w:r>
      <w:r>
        <w:annotationRef/>
      </w:r>
    </w:p>
  </w:comment>
  <w:comment w:id="180" w:author="Claire Furey" w:date="2022-05-30T16:29:00Z" w:initials="CF">
    <w:p w14:paraId="09E89123" w14:textId="6B3CBC04" w:rsidR="00DC56A7" w:rsidRDefault="00DC56A7">
      <w:r>
        <w:annotationRef/>
      </w:r>
      <w:r>
        <w:t>There was no red dotted line in the original figure. Please clarify.</w:t>
      </w:r>
    </w:p>
  </w:comment>
  <w:comment w:id="181" w:author="Gastgebruiker" w:date="2022-06-01T11:37:00Z" w:initials="Ga">
    <w:p w14:paraId="50941DF4" w14:textId="533BEB7F" w:rsidR="3CDEEDA7" w:rsidRDefault="3CDEEDA7">
      <w:r>
        <w:t>There was supposed to be a red dotted line to highlight the 1% line in the PPV forest plot.</w:t>
      </w:r>
      <w:r>
        <w:annotationRef/>
      </w:r>
    </w:p>
  </w:comment>
  <w:comment w:id="178" w:author="Claire Furey" w:date="2022-06-02T09:05:00Z" w:initials="CF">
    <w:p w14:paraId="71F597CE" w14:textId="4CDAAEC5" w:rsidR="00783034" w:rsidRDefault="00783034">
      <w:r>
        <w:annotationRef/>
      </w:r>
      <w:r>
        <w:t>Thank you for your response. Do you want to resupply Figure 1 with the red dotted line added?</w:t>
      </w:r>
    </w:p>
  </w:comment>
  <w:comment w:id="179" w:author="Gastgebruiker" w:date="2022-06-07T16:29:00Z" w:initials="Ga">
    <w:p w14:paraId="1B3E5552" w14:textId="32358A79" w:rsidR="50A8A885" w:rsidRDefault="50A8A885">
      <w:r>
        <w:t>Ok</w:t>
      </w:r>
      <w:r>
        <w:annotationRef/>
      </w:r>
    </w:p>
  </w:comment>
  <w:comment w:id="187" w:author="Claire Furey" w:date="2022-05-30T19:41:00Z" w:initials="CF">
    <w:p w14:paraId="7CC2E296" w14:textId="42331AE0" w:rsidR="00B70B69" w:rsidRDefault="00B70B69">
      <w:r>
        <w:annotationRef/>
      </w:r>
      <w:r>
        <w:t>Reference details added for the 2019 IMD; OK? (Note that 600 is a placeholder number; references will be renumbered during typesetting.)</w:t>
      </w:r>
    </w:p>
  </w:comment>
  <w:comment w:id="188" w:author="Gastgebruiker" w:date="2022-06-01T11:38:00Z" w:initials="Ga">
    <w:p w14:paraId="7B022B1D" w14:textId="2CD29587" w:rsidR="3CDEEDA7" w:rsidRDefault="3CDEEDA7">
      <w:r>
        <w:t>ok</w:t>
      </w:r>
      <w:r>
        <w:annotationRef/>
      </w:r>
    </w:p>
  </w:comment>
  <w:comment w:id="189" w:author="Claire Furey" w:date="2022-05-31T12:26:00Z" w:initials="CF">
    <w:p w14:paraId="6BBFC4EA" w14:textId="681175DF" w:rsidR="00086586" w:rsidRDefault="00086586">
      <w:r>
        <w:annotationRef/>
      </w:r>
      <w:r>
        <w:t>Text amended. Please check that the meaning has been retained.</w:t>
      </w:r>
    </w:p>
  </w:comment>
  <w:comment w:id="190" w:author="Gastgebruiker" w:date="2022-06-01T11:40:00Z" w:initials="Ga">
    <w:p w14:paraId="47479700" w14:textId="7F855E6D" w:rsidR="3CDEEDA7" w:rsidRDefault="3CDEEDA7">
      <w:r>
        <w:t>yes correct</w:t>
      </w:r>
      <w:r>
        <w:annotationRef/>
      </w:r>
    </w:p>
  </w:comment>
  <w:comment w:id="191" w:author="Claire Furey" w:date="2022-05-31T12:33:00Z" w:initials="CF">
    <w:p w14:paraId="3298A151" w14:textId="3B932AB0" w:rsidR="00C06BBD" w:rsidRDefault="00C06BBD">
      <w:r>
        <w:annotationRef/>
      </w:r>
      <w:r>
        <w:t>Can it be clarified why ‘AUROC’ is mentioned here?</w:t>
      </w:r>
    </w:p>
  </w:comment>
  <w:comment w:id="192" w:author="Gastgebruiker" w:date="2022-06-01T11:41:00Z" w:initials="Ga">
    <w:p w14:paraId="7ECEC4F1" w14:textId="027F0712" w:rsidR="3CDEEDA7" w:rsidRDefault="3CDEEDA7">
      <w:r>
        <w:t>to highlight that the c-statitistic is the same as the AUROC.</w:t>
      </w:r>
      <w:r>
        <w:annotationRef/>
      </w:r>
    </w:p>
  </w:comment>
  <w:comment w:id="194" w:author="Claire Furey" w:date="2022-05-31T14:07:00Z" w:initials="CF">
    <w:p w14:paraId="4839B1E9" w14:textId="5B399930" w:rsidR="00F3453D" w:rsidRDefault="00F3453D">
      <w:r>
        <w:annotationRef/>
      </w:r>
      <w:r>
        <w:t>Should ‘</w:t>
      </w:r>
      <w:r w:rsidRPr="009705AD">
        <w:t xml:space="preserve">Systematized Nomenclature of Medicine </w:t>
      </w:r>
      <w:r>
        <w:t>(</w:t>
      </w:r>
      <w:r w:rsidRPr="009A3DC6">
        <w:t>SNOMED</w:t>
      </w:r>
      <w:r>
        <w:t>)’ be ‘</w:t>
      </w:r>
      <w:r w:rsidRPr="009705AD">
        <w:t>Systematized Nomenclature of Medicine</w:t>
      </w:r>
      <w:r>
        <w:t xml:space="preserve"> Clinical Terms</w:t>
      </w:r>
      <w:r w:rsidRPr="009705AD">
        <w:t xml:space="preserve"> </w:t>
      </w:r>
      <w:r>
        <w:t>(</w:t>
      </w:r>
      <w:r w:rsidRPr="009A3DC6">
        <w:t>SNOMED</w:t>
      </w:r>
      <w:r w:rsidR="00911E40">
        <w:t xml:space="preserve"> CT</w:t>
      </w:r>
      <w:r>
        <w:t>)</w:t>
      </w:r>
      <w:r w:rsidR="00911E40">
        <w:t>’?</w:t>
      </w:r>
    </w:p>
  </w:comment>
  <w:comment w:id="195" w:author="Gastgebruiker" w:date="2022-06-01T11:42:00Z" w:initials="Ga">
    <w:p w14:paraId="032CD14E" w14:textId="1D3B6336" w:rsidR="3CDEEDA7" w:rsidRDefault="3CDEEDA7">
      <w:r>
        <w:t>yes</w:t>
      </w:r>
      <w:r>
        <w:annotationRef/>
      </w:r>
    </w:p>
  </w:comment>
  <w:comment w:id="200" w:author="Claire Furey" w:date="2022-05-31T14:32:00Z" w:initials="CF">
    <w:p w14:paraId="72B44D79" w14:textId="12AF15D6" w:rsidR="00703099" w:rsidRDefault="00703099">
      <w:r>
        <w:annotationRef/>
      </w:r>
      <w:r>
        <w:t>‘than controls’ added for clarity; OK?</w:t>
      </w:r>
    </w:p>
  </w:comment>
  <w:comment w:id="201" w:author="Gastgebruiker" w:date="2022-06-01T11:45:00Z" w:initials="Ga">
    <w:p w14:paraId="1DC602D7" w14:textId="20550B34" w:rsidR="3CDEEDA7" w:rsidRDefault="3CDEEDA7">
      <w:r>
        <w:t>ok</w:t>
      </w:r>
      <w:r>
        <w:annotationRef/>
      </w:r>
    </w:p>
  </w:comment>
  <w:comment w:id="203" w:author="Claire Furey" w:date="2022-05-31T14:44:00Z" w:initials="CF">
    <w:p w14:paraId="2A6E2F2C" w14:textId="5AE96589" w:rsidR="000A76E3" w:rsidRDefault="000A76E3">
      <w:r>
        <w:annotationRef/>
      </w:r>
      <w:r>
        <w:t>Reference number added. Please check if correct.</w:t>
      </w:r>
    </w:p>
  </w:comment>
  <w:comment w:id="204" w:author="Gastgebruiker" w:date="2022-06-07T16:31:00Z" w:initials="Ga">
    <w:p w14:paraId="5220E23D" w14:textId="3BAE629A" w:rsidR="50A8A885" w:rsidRDefault="50A8A885">
      <w:r>
        <w:t>correct</w:t>
      </w:r>
      <w:r>
        <w:annotationRef/>
      </w:r>
    </w:p>
  </w:comment>
  <w:comment w:id="205" w:author="Claire Furey" w:date="2022-05-31T14:52:00Z" w:initials="CF">
    <w:p w14:paraId="2398C178" w14:textId="02049110" w:rsidR="00451537" w:rsidRDefault="00451537">
      <w:r>
        <w:annotationRef/>
      </w:r>
      <w:r>
        <w:t>Does this mean ‘not reported’?</w:t>
      </w:r>
    </w:p>
  </w:comment>
  <w:comment w:id="206" w:author="Gastgebruiker" w:date="2022-06-01T11:46:00Z" w:initials="Ga">
    <w:p w14:paraId="165BA257" w14:textId="2DCE904F" w:rsidR="3CDEEDA7" w:rsidRDefault="3CDEEDA7">
      <w:r>
        <w:t>yes</w:t>
      </w:r>
      <w:r>
        <w:annotationRef/>
      </w:r>
    </w:p>
  </w:comment>
  <w:comment w:id="207" w:author="Claire Furey" w:date="2022-05-31T15:06:00Z" w:initials="CF">
    <w:p w14:paraId="38051429" w14:textId="48F37327" w:rsidR="004927E8" w:rsidRDefault="004927E8">
      <w:r>
        <w:annotationRef/>
      </w:r>
      <w:r>
        <w:t xml:space="preserve">Can the </w:t>
      </w:r>
      <w:r w:rsidRPr="004B42C1">
        <w:rPr>
          <w:i/>
          <w:iCs/>
        </w:rPr>
        <w:t>p</w:t>
      </w:r>
      <w:r>
        <w:t>-value for the development data set be provided</w:t>
      </w:r>
      <w:r w:rsidR="004B42C1">
        <w:t xml:space="preserve"> (women, IBS)</w:t>
      </w:r>
      <w:r>
        <w:t>?</w:t>
      </w:r>
    </w:p>
  </w:comment>
  <w:comment w:id="208" w:author="Gastgebruiker" w:date="2022-06-01T11:53:00Z" w:initials="Ga">
    <w:p w14:paraId="07EEBA69" w14:textId="34F88DD6" w:rsidR="43B69CA3" w:rsidRDefault="43B69CA3">
      <w:r>
        <w:t xml:space="preserve">this should be &lt; 0.001 </w:t>
      </w:r>
      <w:r>
        <w:annotationRef/>
      </w:r>
    </w:p>
  </w:comment>
  <w:comment w:id="210" w:author="Claire Furey" w:date="2022-06-02T09:32:00Z" w:initials="CF">
    <w:p w14:paraId="1F1DAF8D" w14:textId="77777777" w:rsidR="005D32D7" w:rsidRDefault="005D32D7">
      <w:r>
        <w:annotationRef/>
      </w:r>
      <w:r>
        <w:t>‘</w:t>
      </w:r>
      <w:r w:rsidRPr="00F37977">
        <w:t xml:space="preserve">subfertility and recurrent pregnancy loss </w:t>
      </w:r>
      <w:r>
        <w:t>among children’ – should ‘children’ be ‘women’?</w:t>
      </w:r>
    </w:p>
    <w:p w14:paraId="6FB65EFF" w14:textId="77777777" w:rsidR="00584876" w:rsidRDefault="00584876"/>
    <w:p w14:paraId="6E15EA6B" w14:textId="09930FC3" w:rsidR="005D32D7" w:rsidRDefault="00584876">
      <w:r>
        <w:t>Do ‘</w:t>
      </w:r>
      <w:r w:rsidRPr="009A3DC6">
        <w:rPr>
          <w:rFonts w:cs="Calibri"/>
        </w:rPr>
        <w:t xml:space="preserve">hyposplenism or functional asplenia, raised liver enzymes, multiple </w:t>
      </w:r>
      <w:r w:rsidRPr="00F37977">
        <w:t>sclerosis, pancreatitis, pulmonary haemosiderosis</w:t>
      </w:r>
      <w:r>
        <w:t xml:space="preserve">’ apply to only children </w:t>
      </w:r>
      <w:r w:rsidR="00825FB5">
        <w:t>(</w:t>
      </w:r>
      <w:r>
        <w:t>or women</w:t>
      </w:r>
      <w:r w:rsidR="00825FB5">
        <w:t>)</w:t>
      </w:r>
      <w:r>
        <w:t>, or to all three cohorts?</w:t>
      </w:r>
    </w:p>
    <w:p w14:paraId="12AF1270" w14:textId="77777777" w:rsidR="00584876" w:rsidRDefault="00584876"/>
    <w:p w14:paraId="67E70F1F" w14:textId="77777777" w:rsidR="00584876" w:rsidRDefault="00584876">
      <w:r>
        <w:t>‘</w:t>
      </w:r>
      <w:r w:rsidRPr="00F37977">
        <w:t>delayed pu</w:t>
      </w:r>
      <w:r w:rsidRPr="00AA0F2E">
        <w:t xml:space="preserve">berty and pulmonary haemosiderosis in </w:t>
      </w:r>
      <w:r>
        <w:t>women’ – should ‘women’ be ‘children’?</w:t>
      </w:r>
    </w:p>
    <w:p w14:paraId="69BFE7B2" w14:textId="77777777" w:rsidR="00584876" w:rsidRDefault="00584876"/>
    <w:p w14:paraId="185495FC" w14:textId="4217A0AE" w:rsidR="00584876" w:rsidRDefault="00584876">
      <w:r>
        <w:t>‘</w:t>
      </w:r>
      <w:r w:rsidRPr="00AA0F2E">
        <w:t xml:space="preserve">amenorrhoea and Turner syndrome </w:t>
      </w:r>
      <w:r>
        <w:t>among</w:t>
      </w:r>
      <w:r w:rsidRPr="00AA0F2E">
        <w:t xml:space="preserve"> men</w:t>
      </w:r>
      <w:r>
        <w:t>’</w:t>
      </w:r>
      <w:r w:rsidR="00D62E73">
        <w:t xml:space="preserve"> – should amenorrhoea be moved to the list of indicators </w:t>
      </w:r>
      <w:r w:rsidR="007A2376">
        <w:t>for wome</w:t>
      </w:r>
      <w:r w:rsidR="008834E3">
        <w:t>n? Or should ‘men’ be ‘women’?</w:t>
      </w:r>
    </w:p>
  </w:comment>
  <w:comment w:id="211" w:author="Gastgebruiker" w:date="2022-06-07T16:35:00Z" w:initials="Ga">
    <w:p w14:paraId="466414FF" w14:textId="7773DB8E" w:rsidR="50A8A885" w:rsidRDefault="50A8A885">
      <w:r>
        <w:t>‘subfertility and recurrent pregnancy loss among children’ is correct. there were no events for this outcome amongst children for obvious reasons.</w:t>
      </w:r>
      <w:r>
        <w:annotationRef/>
      </w:r>
    </w:p>
    <w:p w14:paraId="3D621B22" w14:textId="150AFA33" w:rsidR="50A8A885" w:rsidRDefault="50A8A885"/>
    <w:p w14:paraId="240A7CBE" w14:textId="28794894" w:rsidR="50A8A885" w:rsidRDefault="50A8A885">
      <w:r>
        <w:t>‘hyposplenism or functional asplenia, raised liver enzymes, multiple sclerosis, pancreatitis, pulmonary haemosiderosis’ applies only to children.</w:t>
      </w:r>
    </w:p>
    <w:p w14:paraId="491172A1" w14:textId="7B719C8C" w:rsidR="50A8A885" w:rsidRDefault="50A8A885"/>
    <w:p w14:paraId="166621F7" w14:textId="4A634633" w:rsidR="50A8A885" w:rsidRDefault="50A8A885">
      <w:r>
        <w:t>'delayed puberty and pulmonary haemosiderosis in women’ is correct.</w:t>
      </w:r>
    </w:p>
    <w:p w14:paraId="4B11A229" w14:textId="7100A880" w:rsidR="50A8A885" w:rsidRDefault="50A8A885"/>
    <w:p w14:paraId="7B57234C" w14:textId="5F3BD0C8" w:rsidR="50A8A885" w:rsidRDefault="50A8A885">
      <w:r>
        <w:t>‘amenorrhoea and Turner syndrome among men’ is correct. again for obvious reasons there were no events for amenorrhoea and Turner syndrome in men.</w:t>
      </w:r>
    </w:p>
  </w:comment>
  <w:comment w:id="216" w:author="Claire Furey" w:date="2022-06-02T10:03:00Z" w:initials="CF">
    <w:p w14:paraId="4B26DD6A" w14:textId="1727BD74" w:rsidR="00A76E5D" w:rsidRDefault="00A76E5D" w:rsidP="00A76E5D">
      <w:r>
        <w:annotationRef/>
      </w:r>
      <w:r>
        <w:t>Should there be a ‘Fractures’ row above this?</w:t>
      </w:r>
    </w:p>
  </w:comment>
  <w:comment w:id="217" w:author="Gastgebruiker" w:date="2022-06-07T16:42:00Z" w:initials="Ga">
    <w:p w14:paraId="26013BA9" w14:textId="0B73DB49" w:rsidR="00A76E5D" w:rsidRDefault="00A76E5D" w:rsidP="00A76E5D">
      <w:r>
        <w:t>No, the 'Fractures' variable was not selected for any of the three models and is therefore not shown in this table. only variables that were selected for at least one for the models are shown here.</w:t>
      </w:r>
      <w:r>
        <w:annotationRef/>
      </w:r>
    </w:p>
  </w:comment>
  <w:comment w:id="218" w:author="Claire Furey" w:date="2022-06-02T10:05:00Z" w:initials="CF">
    <w:p w14:paraId="2597E56D" w14:textId="1D94099D" w:rsidR="000A5CC9" w:rsidRDefault="000A5CC9" w:rsidP="000A5CC9">
      <w:r>
        <w:annotationRef/>
      </w:r>
      <w:r>
        <w:t>Previously, this was written as ‘Neuropathy or ataxia’. Please confirm which is correct.</w:t>
      </w:r>
    </w:p>
  </w:comment>
  <w:comment w:id="219" w:author="Gastgebruiker" w:date="2022-06-07T16:40:00Z" w:initials="Ga">
    <w:p w14:paraId="3A49788B" w14:textId="3BA9224C" w:rsidR="000A5CC9" w:rsidRDefault="000A5CC9" w:rsidP="000A5CC9">
      <w:r>
        <w:t>‘Neuropathy or ataxia’ is correct</w:t>
      </w:r>
      <w:r>
        <w:annotationRef/>
      </w:r>
    </w:p>
  </w:comment>
  <w:comment w:id="220" w:author="Claire Furey" w:date="2022-06-02T10:19:00Z" w:initials="CF">
    <w:p w14:paraId="7750E69D" w14:textId="3652EE2A" w:rsidR="008506E7" w:rsidRDefault="008506E7">
      <w:r>
        <w:annotationRef/>
      </w:r>
      <w:r>
        <w:t>Footnote amended as per journal style. Please check if correct.</w:t>
      </w:r>
    </w:p>
  </w:comment>
  <w:comment w:id="221" w:author="Gastgebruiker" w:date="2022-06-07T16:44:00Z" w:initials="Ga">
    <w:p w14:paraId="0126A479" w14:textId="3D91DF33" w:rsidR="50A8A885" w:rsidRDefault="50A8A885">
      <w:r>
        <w:t>No, this should be: "- Not selected in model; a Highest to lowest coefficient."</w:t>
      </w:r>
      <w:r>
        <w:annotationRef/>
      </w:r>
    </w:p>
    <w:p w14:paraId="054B6337" w14:textId="7BA5A7CF" w:rsidR="50A8A885" w:rsidRDefault="50A8A885"/>
    <w:p w14:paraId="218FF84C" w14:textId="2CC269D6" w:rsidR="50A8A885" w:rsidRDefault="50A8A885">
      <w:r>
        <w:t>Or if it's clearer, replace '-' by 'NS' for 'not selected'.</w:t>
      </w:r>
    </w:p>
  </w:comment>
  <w:comment w:id="228" w:author="Claire Furey" w:date="2022-06-03T13:17:00Z" w:initials="CF">
    <w:p w14:paraId="3794398A" w14:textId="0C52722F" w:rsidR="0006475E" w:rsidRDefault="0006475E">
      <w:r>
        <w:annotationRef/>
      </w:r>
      <w:r>
        <w:t xml:space="preserve">‘NA’ defined as ‘not available’ in this table, </w:t>
      </w:r>
      <w:r w:rsidR="002E1406">
        <w:t xml:space="preserve">following </w:t>
      </w:r>
      <w:r>
        <w:t>your response for Table 1. Please check if correct.</w:t>
      </w:r>
    </w:p>
  </w:comment>
  <w:comment w:id="229" w:author="Gastgebruiker" w:date="2022-06-07T16:46:00Z" w:initials="Ga">
    <w:p w14:paraId="3EDAD087" w14:textId="7A22FB2A" w:rsidR="50A8A885" w:rsidRDefault="50A8A885">
      <w:r>
        <w:t>In this case it should be 'not applicable'</w:t>
      </w:r>
      <w:r>
        <w:annotationRef/>
      </w:r>
    </w:p>
  </w:comment>
  <w:comment w:id="237" w:author="Claire Furey" w:date="2022-06-03T15:15:00Z" w:initials="CF">
    <w:p w14:paraId="467B636A" w14:textId="1F4CC235" w:rsidR="00E4713F" w:rsidRDefault="00E4713F">
      <w:r>
        <w:annotationRef/>
      </w:r>
      <w:r>
        <w:t xml:space="preserve">‘and children’ deleted before ‘however’. Please check </w:t>
      </w:r>
      <w:r w:rsidR="00252EB6">
        <w:t>and confirm if OK, or if any text is missing.</w:t>
      </w:r>
    </w:p>
  </w:comment>
  <w:comment w:id="238" w:author="Gastgebruiker" w:date="2022-06-07T16:47:00Z" w:initials="Ga">
    <w:p w14:paraId="33C770BE" w14:textId="4DD14D43" w:rsidR="50A8A885" w:rsidRDefault="50A8A885">
      <w:r>
        <w:t>That's ok</w:t>
      </w:r>
      <w:r>
        <w:annotationRef/>
      </w:r>
    </w:p>
  </w:comment>
  <w:comment w:id="245" w:author="Claire Furey" w:date="2022-06-06T14:03:00Z" w:initials="CF">
    <w:p w14:paraId="7C060911" w14:textId="55564C7F" w:rsidR="00D70A6C" w:rsidRDefault="00D70A6C">
      <w:r>
        <w:annotationRef/>
      </w:r>
      <w:r>
        <w:t>Company details added, as per journal style; OK?</w:t>
      </w:r>
    </w:p>
  </w:comment>
  <w:comment w:id="246" w:author="Gastgebruiker" w:date="2022-06-07T16:47:00Z" w:initials="Ga">
    <w:p w14:paraId="2AA59764" w14:textId="57BC3D85" w:rsidR="50A8A885" w:rsidRDefault="50A8A885">
      <w:r>
        <w:t>ok</w:t>
      </w:r>
      <w:r>
        <w:annotationRef/>
      </w:r>
    </w:p>
  </w:comment>
  <w:comment w:id="249" w:author="Claire Furey" w:date="2022-06-06T14:13:00Z" w:initials="CF">
    <w:p w14:paraId="05FE5920" w14:textId="6C29E11D" w:rsidR="002E32D7" w:rsidRDefault="002E32D7">
      <w:r>
        <w:annotationRef/>
      </w:r>
      <w:r>
        <w:t>Text amended; OK?</w:t>
      </w:r>
    </w:p>
  </w:comment>
  <w:comment w:id="250" w:author="Gastgebruiker" w:date="2022-06-07T16:49:00Z" w:initials="Ga">
    <w:p w14:paraId="75D67E31" w14:textId="6BA4C746" w:rsidR="50A8A885" w:rsidRDefault="50A8A885">
      <w:r>
        <w:t>ok</w:t>
      </w:r>
      <w:r>
        <w:annotationRef/>
      </w:r>
    </w:p>
  </w:comment>
  <w:comment w:id="252" w:author="Claire Furey" w:date="2022-06-06T14:16:00Z" w:initials="CF">
    <w:p w14:paraId="44217FFD" w14:textId="0DDD4A23" w:rsidR="00FC004D" w:rsidRDefault="00FC004D">
      <w:r>
        <w:annotationRef/>
      </w:r>
      <w:r>
        <w:t>Company details added, as per journal style; OK?</w:t>
      </w:r>
    </w:p>
  </w:comment>
  <w:comment w:id="253" w:author="Gastgebruiker" w:date="2022-06-07T16:49:00Z" w:initials="Ga">
    <w:p w14:paraId="302A2E08" w14:textId="49FFAFAC" w:rsidR="50A8A885" w:rsidRDefault="50A8A885">
      <w:r>
        <w:t>ok</w:t>
      </w:r>
      <w:r>
        <w:annotationRef/>
      </w:r>
    </w:p>
  </w:comment>
  <w:comment w:id="254" w:author="Claire Furey" w:date="2022-06-06T14:22:00Z" w:initials="CF">
    <w:p w14:paraId="73167E64" w14:textId="245F5048" w:rsidR="008B2739" w:rsidRDefault="008B2739">
      <w:r>
        <w:annotationRef/>
      </w:r>
      <w:r>
        <w:t>Second comma inserted. Please check that the meaning has been retained.</w:t>
      </w:r>
    </w:p>
  </w:comment>
  <w:comment w:id="255" w:author="Gastgebruiker" w:date="2022-06-07T16:50:00Z" w:initials="Ga">
    <w:p w14:paraId="20EBD259" w14:textId="0A47DEE8" w:rsidR="50A8A885" w:rsidRDefault="50A8A885">
      <w:r>
        <w:t>ok</w:t>
      </w:r>
      <w:r>
        <w:annotationRef/>
      </w:r>
    </w:p>
  </w:comment>
  <w:comment w:id="257" w:author="Claire Furey" w:date="2022-06-06T14:25:00Z" w:initials="CF">
    <w:p w14:paraId="331EDECF" w14:textId="2AD9E510" w:rsidR="003500AA" w:rsidRDefault="003500AA">
      <w:r>
        <w:annotationRef/>
      </w:r>
      <w:r>
        <w:t>Please clarify what is meant by ‘</w:t>
      </w:r>
      <w:r w:rsidRPr="009A3DC6">
        <w:t>measures of the comparative accuracy of these two tests</w:t>
      </w:r>
      <w:r>
        <w:t>’ in this context, as it does not seem to follow from the rest of the sentence.</w:t>
      </w:r>
    </w:p>
  </w:comment>
  <w:comment w:id="258" w:author="Gastgebruiker" w:date="2022-06-07T16:52:00Z" w:initials="Ga">
    <w:p w14:paraId="2D9F0984" w14:textId="25035119" w:rsidR="50A8A885" w:rsidRDefault="50A8A885">
      <w:r>
        <w:t>it is meant as an explanation of sensitivity and specificity, which are measures that can be used to compare test accuracy</w:t>
      </w:r>
      <w:r>
        <w:annotationRef/>
      </w:r>
    </w:p>
  </w:comment>
  <w:comment w:id="260" w:author="Claire Furey" w:date="2022-06-06T14:41:00Z" w:initials="CF">
    <w:p w14:paraId="11BE5B24" w14:textId="5F16E6C2" w:rsidR="005355CB" w:rsidRDefault="005355CB">
      <w:r>
        <w:annotationRef/>
      </w:r>
      <w:r>
        <w:t>Please provide a source for this quotation.</w:t>
      </w:r>
    </w:p>
  </w:comment>
  <w:comment w:id="261" w:author="Gastgebruiker" w:date="2022-06-07T16:56:00Z" w:initials="Ga">
    <w:p w14:paraId="590839C7" w14:textId="5D040AB7" w:rsidR="50A8A885" w:rsidRDefault="50A8A885">
      <w:r>
        <w:t>This refers to the protocol that was published on PROSPERO (https://www.crd.york.ac.uk/prospero/display_record.php?RecordID=115506)</w:t>
      </w:r>
      <w:r>
        <w:annotationRef/>
      </w:r>
    </w:p>
  </w:comment>
  <w:comment w:id="270" w:author="Claire Furey" w:date="2022-06-06T15:11:00Z" w:initials="CF">
    <w:p w14:paraId="00B6B207" w14:textId="77777777" w:rsidR="00C953E5" w:rsidRDefault="00C953E5">
      <w:r>
        <w:annotationRef/>
      </w:r>
      <w:r>
        <w:t>‘with’ added; OK?</w:t>
      </w:r>
    </w:p>
    <w:p w14:paraId="1946572D" w14:textId="7CC31A5D" w:rsidR="003C176B" w:rsidRDefault="003C176B">
      <w:r>
        <w:t>This also applies to Table 9.</w:t>
      </w:r>
    </w:p>
  </w:comment>
  <w:comment w:id="271" w:author="Gastgebruiker" w:date="2022-06-07T16:58:00Z" w:initials="Ga">
    <w:p w14:paraId="2AB0EF13" w14:textId="7EBE9F7C" w:rsidR="50A8A885" w:rsidRDefault="50A8A885">
      <w:r>
        <w:t>ok</w:t>
      </w:r>
      <w:r>
        <w:annotationRef/>
      </w:r>
    </w:p>
  </w:comment>
  <w:comment w:id="279" w:author="Claire Furey" w:date="2022-06-06T16:16:00Z" w:initials="CF">
    <w:p w14:paraId="20B4E2E2" w14:textId="0E215884" w:rsidR="00952FC5" w:rsidRDefault="00952FC5">
      <w:r>
        <w:annotationRef/>
      </w:r>
      <w:r>
        <w:t xml:space="preserve">In Table 11, it states that the number of participants in </w:t>
      </w:r>
      <w:r w:rsidR="00D40C7B" w:rsidRPr="009A3DC6">
        <w:t>Wolf</w:t>
      </w:r>
      <w:r w:rsidR="00D40C7B">
        <w:t xml:space="preserve"> </w:t>
      </w:r>
      <w:r w:rsidR="00D40C7B" w:rsidRPr="00AF18C3">
        <w:rPr>
          <w:i/>
          <w:iCs/>
        </w:rPr>
        <w:t>et al</w:t>
      </w:r>
      <w:r w:rsidR="00D40C7B">
        <w:t>.</w:t>
      </w:r>
      <w:r w:rsidR="00D40C7B">
        <w:rPr>
          <w:vertAlign w:val="superscript"/>
        </w:rPr>
        <w:t>121</w:t>
      </w:r>
      <w:r w:rsidR="00D40C7B" w:rsidRPr="00D40C7B">
        <w:t xml:space="preserve"> was</w:t>
      </w:r>
      <w:r w:rsidR="00D40C7B">
        <w:t xml:space="preserve"> 873. Please clarify why the difference or amend the text or table as appropriate.</w:t>
      </w:r>
    </w:p>
  </w:comment>
  <w:comment w:id="280" w:author="Gastgebruiker" w:date="2022-06-08T14:16:00Z" w:initials="Ga">
    <w:p w14:paraId="431B4B84" w14:textId="0AF05520" w:rsidR="289FF852" w:rsidRDefault="289FF852">
      <w:r>
        <w:t>949 children were enrolled in the Wolf et al study, 873 had complete data necessary for calculating the accuracy estimates in Table 11. So the sensitivity and specificity estimates in table 11 are based on 873 children.</w:t>
      </w:r>
      <w:r>
        <w:annotationRef/>
      </w:r>
    </w:p>
  </w:comment>
  <w:comment w:id="281" w:author="Claire Furey" w:date="2022-06-06T16:13:00Z" w:initials="CF">
    <w:p w14:paraId="659F589E" w14:textId="454475FA" w:rsidR="00AF18C3" w:rsidRDefault="00AF18C3">
      <w:r>
        <w:annotationRef/>
      </w:r>
      <w:r>
        <w:t>Bold removed; OK?</w:t>
      </w:r>
    </w:p>
  </w:comment>
  <w:comment w:id="282" w:author="Gastgebruiker" w:date="2022-06-07T16:59:00Z" w:initials="Ga">
    <w:p w14:paraId="7FBC3A57" w14:textId="77F0599C" w:rsidR="50A8A885" w:rsidRDefault="50A8A885">
      <w:r>
        <w:t>ok</w:t>
      </w:r>
      <w:r>
        <w:annotationRef/>
      </w:r>
    </w:p>
  </w:comment>
  <w:comment w:id="284" w:author="Claire Furey" w:date="2022-06-08T16:47:00Z" w:initials="CF">
    <w:p w14:paraId="23519BAB" w14:textId="77777777" w:rsidR="003D216C" w:rsidRDefault="003D216C" w:rsidP="003D216C">
      <w:r>
        <w:annotationRef/>
      </w:r>
      <w:r>
        <w:t>Thank you for your response ‘the thresholds are mentioned below for tTG and EMA. if both tests are used or either test, the same thresholds are being used. So, for the Hopper study its 15 for tTG and 1:4 for EMA, for the Wolf study it's 20 for tTG and 1:10 for EMA.’</w:t>
      </w:r>
    </w:p>
    <w:p w14:paraId="0CCDA440" w14:textId="77777777" w:rsidR="003D216C" w:rsidRDefault="003D216C" w:rsidP="003D216C">
      <w:r>
        <w:t>Please confirm if any changes should be made to the text or tables based on this.</w:t>
      </w:r>
    </w:p>
  </w:comment>
  <w:comment w:id="285" w:author="Gastgebruiker" w:date="2022-06-13T09:31:00Z" w:initials="Ga">
    <w:p w14:paraId="4822D669" w14:textId="77777777" w:rsidR="003D216C" w:rsidRDefault="003D216C" w:rsidP="003D216C">
      <w:r>
        <w:t>This is already highlighted in the text, but I've tried to make it clearer in the table.</w:t>
      </w:r>
      <w:r>
        <w:annotationRef/>
      </w:r>
    </w:p>
  </w:comment>
  <w:comment w:id="286" w:author="Claire Furey" w:date="2022-06-06T16:19:00Z" w:initials="CF">
    <w:p w14:paraId="7B884598" w14:textId="77777777" w:rsidR="003D216C" w:rsidRDefault="003D216C" w:rsidP="003D216C">
      <w:r>
        <w:annotationRef/>
      </w:r>
      <w:r>
        <w:t>‘NA’ defined as ‘not available’. Please check if correct.</w:t>
      </w:r>
    </w:p>
  </w:comment>
  <w:comment w:id="287" w:author="Gastgebruiker" w:date="2022-06-07T17:08:00Z" w:initials="Ga">
    <w:p w14:paraId="35E2D50D" w14:textId="77777777" w:rsidR="003D216C" w:rsidRDefault="003D216C" w:rsidP="003D216C">
      <w:r>
        <w:t>Should be 'not applicable' in this case</w:t>
      </w:r>
      <w:r>
        <w:annotationRef/>
      </w:r>
    </w:p>
  </w:comment>
  <w:comment w:id="288" w:author="Gastgebruiker" w:date="2022-06-07T17:10:00Z" w:initials="Ga">
    <w:p w14:paraId="5A141EE0" w14:textId="77777777" w:rsidR="003D216C" w:rsidRDefault="003D216C" w:rsidP="003D216C">
      <w:r>
        <w:t>the thresholds are mentioned below for tTG and EMA. if both tests are used or either test, the same thresholds are being used. So, for the Hopper study its 15 for tTG and 1:4 for EMA, for the Wolf study it's 20 for tTG and 1:10 for EMA.</w:t>
      </w:r>
      <w:r>
        <w:annotationRef/>
      </w:r>
    </w:p>
  </w:comment>
  <w:comment w:id="289" w:author="Claire Furey" w:date="2022-06-06T16:19:00Z" w:initials="CF">
    <w:p w14:paraId="523164CF" w14:textId="530BF46E" w:rsidR="005042E9" w:rsidRDefault="005042E9">
      <w:r>
        <w:annotationRef/>
      </w:r>
      <w:r>
        <w:t>Are the values in parentheses 95% CIs or ranges?</w:t>
      </w:r>
    </w:p>
  </w:comment>
  <w:comment w:id="290" w:author="Gastgebruiker" w:date="2022-06-07T16:59:00Z" w:initials="Ga">
    <w:p w14:paraId="3EDADE29" w14:textId="2784ADDF" w:rsidR="50A8A885" w:rsidRDefault="50A8A885">
      <w:r>
        <w:t>95% CIs</w:t>
      </w:r>
      <w:r>
        <w:annotationRef/>
      </w:r>
    </w:p>
  </w:comment>
  <w:comment w:id="300" w:author="Claire Furey" w:date="2022-06-07T13:10:00Z" w:initials="CF">
    <w:p w14:paraId="43D4A5D2" w14:textId="77777777" w:rsidR="00BA27F3" w:rsidRDefault="00BA27F3">
      <w:r>
        <w:annotationRef/>
      </w:r>
      <w:r>
        <w:t>This table has been given a title, as per journal style. Please check if OK.</w:t>
      </w:r>
    </w:p>
    <w:p w14:paraId="2015E095" w14:textId="77777777" w:rsidR="00BA27F3" w:rsidRDefault="00BA27F3">
      <w:r>
        <w:t>Note that tables will be renumbered accordingly.</w:t>
      </w:r>
    </w:p>
    <w:p w14:paraId="71850A0A" w14:textId="4C654BF7" w:rsidR="00BA27F3" w:rsidRDefault="00BA27F3">
      <w:r>
        <w:t>Furthermore, can a heading be provided for column 1?</w:t>
      </w:r>
    </w:p>
  </w:comment>
  <w:comment w:id="301" w:author="Gastgebruiker" w:date="2022-06-07T17:12:00Z" w:initials="Ga">
    <w:p w14:paraId="66BED5D3" w14:textId="509EDA4A" w:rsidR="50A8A885" w:rsidRDefault="50A8A885">
      <w:r>
        <w:t>ok.</w:t>
      </w:r>
      <w:r>
        <w:annotationRef/>
      </w:r>
    </w:p>
    <w:p w14:paraId="1CD5A7A4" w14:textId="2F601A2E" w:rsidR="50A8A885" w:rsidRDefault="50A8A885"/>
    <w:p w14:paraId="694A4B26" w14:textId="3FE1C380" w:rsidR="50A8A885" w:rsidRDefault="50A8A885">
      <w:r>
        <w:t>Heading for column 1: HLA-DQ haplotypes</w:t>
      </w:r>
    </w:p>
  </w:comment>
  <w:comment w:id="304" w:author="Claire Furey" w:date="2022-06-07T13:15:00Z" w:initials="CF">
    <w:p w14:paraId="046F5060" w14:textId="15AAA460" w:rsidR="008F3DE1" w:rsidRDefault="008F3DE1">
      <w:r>
        <w:annotationRef/>
      </w:r>
      <w:r>
        <w:t>Can the figure numbers be provided?</w:t>
      </w:r>
    </w:p>
  </w:comment>
  <w:comment w:id="305" w:author="Gastgebruiker" w:date="2022-06-07T17:13:00Z" w:initials="Ga">
    <w:p w14:paraId="310923AF" w14:textId="5C3ED7C9" w:rsidR="50A8A885" w:rsidRDefault="50A8A885">
      <w:r>
        <w:t>Figure 7</w:t>
      </w:r>
      <w:r>
        <w:annotationRef/>
      </w:r>
    </w:p>
  </w:comment>
  <w:comment w:id="309" w:author="Claire Furey" w:date="2022-06-07T13:27:00Z" w:initials="CF">
    <w:p w14:paraId="5E948821" w14:textId="35EFF2A8" w:rsidR="001D074C" w:rsidRDefault="001D074C">
      <w:r>
        <w:annotationRef/>
      </w:r>
      <w:r>
        <w:t>Are these all median ages, as indicated in the text? (‘The m</w:t>
      </w:r>
      <w:r w:rsidRPr="009A3DC6">
        <w:t xml:space="preserve">edian age was 12 years in </w:t>
      </w:r>
      <w:r>
        <w:t>two</w:t>
      </w:r>
      <w:r w:rsidRPr="009A3DC6">
        <w:t xml:space="preserve"> studies,</w:t>
      </w:r>
      <w:r>
        <w:rPr>
          <w:vertAlign w:val="superscript"/>
        </w:rPr>
        <w:t>181,182</w:t>
      </w:r>
      <w:r w:rsidRPr="009A3DC6">
        <w:t xml:space="preserve"> 6 years in one study</w:t>
      </w:r>
      <w:r>
        <w:rPr>
          <w:vertAlign w:val="superscript"/>
        </w:rPr>
        <w:t>183</w:t>
      </w:r>
      <w:r w:rsidRPr="009A3DC6">
        <w:t xml:space="preserve"> and 3 years in </w:t>
      </w:r>
      <w:r>
        <w:t>the remaining</w:t>
      </w:r>
      <w:r w:rsidRPr="009A3DC6">
        <w:t xml:space="preserve"> study.</w:t>
      </w:r>
      <w:r>
        <w:rPr>
          <w:vertAlign w:val="superscript"/>
        </w:rPr>
        <w:t>180</w:t>
      </w:r>
      <w:r>
        <w:t>’)</w:t>
      </w:r>
    </w:p>
  </w:comment>
  <w:comment w:id="310" w:author="Gastgebruiker" w:date="2022-06-13T09:27:00Z" w:initials="Ga">
    <w:p w14:paraId="2682DEF2" w14:textId="3F13146F" w:rsidR="485719AF" w:rsidRDefault="485719AF">
      <w:r>
        <w:t>Bjorck at al (180): all children were aged 3.</w:t>
      </w:r>
      <w:r>
        <w:annotationRef/>
      </w:r>
    </w:p>
    <w:p w14:paraId="1F5D05AF" w14:textId="75983557" w:rsidR="485719AF" w:rsidRDefault="485719AF">
      <w:r>
        <w:t>Sandstrom et al (182): all children were 12 years old.</w:t>
      </w:r>
    </w:p>
  </w:comment>
  <w:comment w:id="311" w:author="Claire Furey" w:date="2022-06-07T13:26:00Z" w:initials="CF">
    <w:p w14:paraId="16948C3D" w14:textId="58BA963C" w:rsidR="00344F76" w:rsidRDefault="00344F76">
      <w:r>
        <w:annotationRef/>
      </w:r>
      <w:r>
        <w:t>Is ‘7–16’ IQR or range?</w:t>
      </w:r>
    </w:p>
  </w:comment>
  <w:comment w:id="312" w:author="Gastgebruiker" w:date="2022-06-13T09:28:00Z" w:initials="Ga">
    <w:p w14:paraId="543D1BC2" w14:textId="405231E1" w:rsidR="485719AF" w:rsidRDefault="485719AF">
      <w:r>
        <w:t>range</w:t>
      </w:r>
      <w:r>
        <w:annotationRef/>
      </w:r>
    </w:p>
  </w:comment>
  <w:comment w:id="322" w:author="Claire Furey" w:date="2022-06-07T13:59:00Z" w:initials="CF">
    <w:p w14:paraId="747D125E" w14:textId="4070AA2C" w:rsidR="00024AC4" w:rsidRDefault="00FB1E45">
      <w:r>
        <w:t>Text amended. Please check that the meaning has been retained.</w:t>
      </w:r>
    </w:p>
  </w:comment>
  <w:comment w:id="323" w:author="Gastgebruiker" w:date="2022-06-07T17:20:00Z" w:initials="Ga">
    <w:p w14:paraId="23F6A84B" w14:textId="73A5698B" w:rsidR="50A8A885" w:rsidRDefault="50A8A885">
      <w:r>
        <w:t>ok</w:t>
      </w:r>
      <w:r>
        <w:annotationRef/>
      </w:r>
    </w:p>
  </w:comment>
  <w:comment w:id="326" w:author="Claire Furey" w:date="2022-06-07T14:20:00Z" w:initials="CF">
    <w:p w14:paraId="3D37C549" w14:textId="2CDE1A6F" w:rsidR="004F5AC0" w:rsidRDefault="004F5AC0">
      <w:r>
        <w:annotationRef/>
      </w:r>
      <w:r>
        <w:t>Text amended; OK?</w:t>
      </w:r>
    </w:p>
  </w:comment>
  <w:comment w:id="327" w:author="Gastgebruiker" w:date="2022-06-07T17:22:00Z" w:initials="Ga">
    <w:p w14:paraId="7D204283" w14:textId="1D28DB24" w:rsidR="50A8A885" w:rsidRDefault="50A8A885">
      <w:r>
        <w:t>ok</w:t>
      </w:r>
      <w:r>
        <w:annotationRef/>
      </w:r>
    </w:p>
  </w:comment>
  <w:comment w:id="334" w:author="Claire Furey" w:date="2022-06-07T15:12:00Z" w:initials="CF">
    <w:p w14:paraId="5B9965CE" w14:textId="0B63AC67" w:rsidR="00771576" w:rsidRDefault="00771576">
      <w:r>
        <w:annotationRef/>
      </w:r>
      <w:r>
        <w:t>Text amended; OK?</w:t>
      </w:r>
    </w:p>
  </w:comment>
  <w:comment w:id="335" w:author="Gastgebruiker" w:date="2022-06-07T17:23:00Z" w:initials="Ga">
    <w:p w14:paraId="5140D10C" w14:textId="5E1D6DF1" w:rsidR="50A8A885" w:rsidRDefault="50A8A885">
      <w:r>
        <w:t>ok</w:t>
      </w:r>
      <w:r>
        <w:annotationRef/>
      </w:r>
    </w:p>
  </w:comment>
  <w:comment w:id="344" w:author="Claire Furey" w:date="2022-06-07T16:11:00Z" w:initials="CF">
    <w:p w14:paraId="6CD8E79D" w14:textId="63EE27B7" w:rsidR="00950E90" w:rsidRDefault="00950E90">
      <w:pPr>
        <w:rPr>
          <w:rFonts w:eastAsia="Calibri"/>
        </w:rPr>
      </w:pPr>
      <w:r>
        <w:annotationRef/>
      </w:r>
      <w:r>
        <w:t>Please clarify what is meant by ‘</w:t>
      </w:r>
      <w:r w:rsidRPr="00950E90">
        <w:rPr>
          <w:rFonts w:eastAsia="Calibri"/>
        </w:rPr>
        <w:t>or considered it easier to have due to continuing the diet with no symptoms</w:t>
      </w:r>
      <w:r>
        <w:rPr>
          <w:rFonts w:eastAsia="Calibri"/>
        </w:rPr>
        <w:t>’.</w:t>
      </w:r>
    </w:p>
    <w:p w14:paraId="4276743E" w14:textId="77777777" w:rsidR="00950E90" w:rsidRDefault="00950E90">
      <w:pPr>
        <w:rPr>
          <w:rFonts w:eastAsia="Calibri"/>
        </w:rPr>
      </w:pPr>
    </w:p>
    <w:p w14:paraId="5A108524" w14:textId="25F93189" w:rsidR="00950E90" w:rsidRDefault="00950E90">
      <w:r>
        <w:rPr>
          <w:rFonts w:eastAsia="Calibri"/>
        </w:rPr>
        <w:t>Suggested: ‘</w:t>
      </w:r>
      <w:r w:rsidRPr="00950E90">
        <w:rPr>
          <w:rFonts w:eastAsia="Calibri"/>
        </w:rPr>
        <w:t xml:space="preserve">or considered it easier to have </w:t>
      </w:r>
      <w:r>
        <w:rPr>
          <w:rFonts w:eastAsia="Calibri"/>
        </w:rPr>
        <w:t>than</w:t>
      </w:r>
      <w:r w:rsidRPr="00950E90">
        <w:rPr>
          <w:rFonts w:eastAsia="Calibri"/>
        </w:rPr>
        <w:t xml:space="preserve"> to continu</w:t>
      </w:r>
      <w:r>
        <w:rPr>
          <w:rFonts w:eastAsia="Calibri"/>
        </w:rPr>
        <w:t>e</w:t>
      </w:r>
      <w:r w:rsidRPr="00950E90">
        <w:rPr>
          <w:rFonts w:eastAsia="Calibri"/>
        </w:rPr>
        <w:t xml:space="preserve"> the diet with no symptoms</w:t>
      </w:r>
      <w:r>
        <w:rPr>
          <w:rFonts w:eastAsia="Calibri"/>
        </w:rPr>
        <w:t>’.</w:t>
      </w:r>
    </w:p>
  </w:comment>
  <w:comment w:id="345" w:author="Gastgebruiker" w:date="2022-06-08T14:11:00Z" w:initials="Ga">
    <w:p w14:paraId="6818A717" w14:textId="698CB616" w:rsidR="289FF852" w:rsidRDefault="289FF852">
      <w:r>
        <w:t xml:space="preserve">"A total of 76 (16.2%) respondents mentioned that, when having no symptoms, a biopsy was more important for confidence in diagnosis and they were </w:t>
      </w:r>
      <w:bookmarkStart w:id="346" w:name="_Hlk105599521"/>
      <w:r>
        <w:t>more willing to continue a gluten-containing diet during the waiting time for a biopsy appointment</w:t>
      </w:r>
      <w:bookmarkEnd w:id="346"/>
      <w:r>
        <w:t xml:space="preserve">." </w:t>
      </w:r>
      <w:r>
        <w:annotationRef/>
      </w:r>
    </w:p>
    <w:p w14:paraId="0AAFF51A" w14:textId="7D2BE23C" w:rsidR="289FF852" w:rsidRDefault="289FF852">
      <w:r>
        <w:t>I hope this is clearer.</w:t>
      </w:r>
    </w:p>
  </w:comment>
  <w:comment w:id="350" w:author="Claire Furey" w:date="2022-06-08T17:04:00Z" w:initials="CF">
    <w:p w14:paraId="707001BB" w14:textId="26A6D570" w:rsidR="000C6848" w:rsidRDefault="000C6848">
      <w:r>
        <w:annotationRef/>
      </w:r>
      <w:r>
        <w:t>Text amended; OK?</w:t>
      </w:r>
    </w:p>
  </w:comment>
  <w:comment w:id="351" w:author="Gastgebruiker" w:date="2022-06-13T09:34:00Z" w:initials="Ga">
    <w:p w14:paraId="44376351" w14:textId="0A770997" w:rsidR="485719AF" w:rsidRDefault="485719AF">
      <w:r>
        <w:t>ok</w:t>
      </w:r>
      <w:r>
        <w:annotationRef/>
      </w:r>
    </w:p>
  </w:comment>
  <w:comment w:id="358" w:author="Claire Furey" w:date="2022-06-08T17:34:00Z" w:initials="CF">
    <w:p w14:paraId="70684757" w14:textId="77777777" w:rsidR="00762012" w:rsidRDefault="00762012">
      <w:r>
        <w:annotationRef/>
      </w:r>
      <w:r>
        <w:t>Text in parentheses amended; OK?</w:t>
      </w:r>
    </w:p>
    <w:p w14:paraId="02FC2AA5" w14:textId="77777777" w:rsidR="00762012" w:rsidRDefault="00762012">
      <w:pPr>
        <w:rPr>
          <w:lang w:eastAsia="en-GB"/>
        </w:rPr>
      </w:pPr>
      <w:r>
        <w:t>(Original: ‘</w:t>
      </w:r>
      <w:r w:rsidRPr="00762012">
        <w:rPr>
          <w:lang w:eastAsia="en-GB"/>
        </w:rPr>
        <w:t xml:space="preserve">at a cost of US$4100 per </w:t>
      </w:r>
      <w:r>
        <w:rPr>
          <w:lang w:eastAsia="en-GB"/>
        </w:rPr>
        <w:t xml:space="preserve">average </w:t>
      </w:r>
      <w:r w:rsidRPr="00762012">
        <w:rPr>
          <w:lang w:eastAsia="en-GB"/>
        </w:rPr>
        <w:t>patient treated</w:t>
      </w:r>
      <w:r>
        <w:rPr>
          <w:lang w:eastAsia="en-GB"/>
        </w:rPr>
        <w:t>’).</w:t>
      </w:r>
    </w:p>
    <w:p w14:paraId="0EC4E58D" w14:textId="46619CDB" w:rsidR="00762012" w:rsidRDefault="00762012">
      <w:r>
        <w:rPr>
          <w:lang w:eastAsia="en-GB"/>
        </w:rPr>
        <w:t>This also applies to the text in parentheses in the following sentence.</w:t>
      </w:r>
    </w:p>
  </w:comment>
  <w:comment w:id="359" w:author="Gastgebruiker" w:date="2022-06-13T09:41:00Z" w:initials="Ga">
    <w:p w14:paraId="58BC5AA1" w14:textId="6265E6A9" w:rsidR="485719AF" w:rsidRDefault="485719AF">
      <w:r>
        <w:t>ok</w:t>
      </w:r>
      <w:r>
        <w:annotationRef/>
      </w:r>
    </w:p>
  </w:comment>
  <w:comment w:id="363" w:author="Claire Furey" w:date="2022-06-08T18:49:00Z" w:initials="CF">
    <w:p w14:paraId="42ADF066" w14:textId="46D36113" w:rsidR="004527E2" w:rsidRDefault="004527E2">
      <w:r>
        <w:annotationRef/>
      </w:r>
      <w:r>
        <w:t>Can a more specific cross-reference than ‘below’ be provided</w:t>
      </w:r>
      <w:r w:rsidR="00496C5A">
        <w:t xml:space="preserve"> (i.e. a section title)?</w:t>
      </w:r>
    </w:p>
  </w:comment>
  <w:comment w:id="364" w:author="Gastgebruiker" w:date="2022-06-13T09:39:00Z" w:initials="Ga">
    <w:p w14:paraId="1B2B4E83" w14:textId="432C9346" w:rsidR="485719AF" w:rsidRDefault="485719AF">
      <w:r>
        <w:t>refer to section: "</w:t>
      </w:r>
      <w:r w:rsidRPr="485719AF">
        <w:rPr>
          <w:b/>
          <w:bCs/>
        </w:rPr>
        <w:t>Structure of the Markov model"</w:t>
      </w:r>
      <w:r>
        <w:annotationRef/>
      </w:r>
    </w:p>
  </w:comment>
  <w:comment w:id="374" w:author="Claire Furey" w:date="2022-06-10T11:21:00Z" w:initials="CF">
    <w:p w14:paraId="3714F80D" w14:textId="4ACDAB14" w:rsidR="00FA0EDD" w:rsidRDefault="00FA0EDD">
      <w:r>
        <w:annotationRef/>
      </w:r>
      <w:r>
        <w:t>Please provide a section title for ‘see later section’.</w:t>
      </w:r>
    </w:p>
  </w:comment>
  <w:comment w:id="375" w:author="Gastgebruiker" w:date="2022-06-13T09:41:00Z" w:initials="Ga">
    <w:p w14:paraId="59633C0F" w14:textId="1329649F" w:rsidR="485719AF" w:rsidRDefault="485719AF">
      <w:r>
        <w:t>refer to section: "</w:t>
      </w:r>
      <w:r w:rsidRPr="485719AF">
        <w:rPr>
          <w:b/>
          <w:bCs/>
        </w:rPr>
        <w:t>Risk of developing osteoporosis, IDA, and NHL "</w:t>
      </w:r>
      <w:r>
        <w:annotationRef/>
      </w:r>
    </w:p>
  </w:comment>
  <w:comment w:id="380" w:author="Claire Furey" w:date="2022-06-13T13:27:00Z" w:initials="CF">
    <w:p w14:paraId="7F0C49B8" w14:textId="7BBF4C30" w:rsidR="005D52AD" w:rsidRDefault="005D52AD">
      <w:r>
        <w:annotationRef/>
      </w:r>
      <w:r>
        <w:t>Can full reference details be provided for the National Tariff 2013/14?</w:t>
      </w:r>
    </w:p>
  </w:comment>
  <w:comment w:id="381" w:author="Claire Furey" w:date="2022-06-13T13:28:00Z" w:initials="CF">
    <w:p w14:paraId="4B489FBC" w14:textId="3E5611BE" w:rsidR="00BF7E3D" w:rsidRDefault="005D6D3B">
      <w:r>
        <w:annotationRef/>
      </w:r>
      <w:r>
        <w:t>Are these values medians and IQRs?</w:t>
      </w:r>
    </w:p>
  </w:comment>
  <w:comment w:id="382" w:author="Claire Furey" w:date="2022-06-13T13:29:00Z" w:initials="CF">
    <w:p w14:paraId="7DC93C85" w14:textId="015506D1" w:rsidR="00B66CCF" w:rsidRDefault="00B66CCF">
      <w:r>
        <w:annotationRef/>
      </w:r>
      <w:r>
        <w:t>Please clarify what is meant by this.</w:t>
      </w:r>
    </w:p>
  </w:comment>
  <w:comment w:id="383" w:author="Claire Furey" w:date="2022-06-13T13:37:00Z" w:initials="CF">
    <w:p w14:paraId="00607667" w14:textId="177512F2" w:rsidR="003C2A54" w:rsidRDefault="003C2A54">
      <w:r>
        <w:annotationRef/>
      </w:r>
      <w:r>
        <w:t>Instead of ‘current-day’, can a year be inserted, to avoid an anachronism?</w:t>
      </w:r>
    </w:p>
  </w:comment>
  <w:comment w:id="385" w:author="Claire Furey" w:date="2022-06-13T13:45:00Z" w:initials="CF">
    <w:p w14:paraId="2D751708" w14:textId="77777777" w:rsidR="00A332BC" w:rsidRDefault="00A332BC">
      <w:r>
        <w:annotationRef/>
      </w:r>
      <w:r>
        <w:t>Are the values in parentheses 95% CIs?</w:t>
      </w:r>
    </w:p>
    <w:p w14:paraId="2D5172B5" w14:textId="47056314" w:rsidR="00080E54" w:rsidRDefault="00080E54">
      <w:r>
        <w:t xml:space="preserve">This </w:t>
      </w:r>
      <w:r w:rsidR="006863DE">
        <w:t>applies throughout this paragraph and the next paragraph</w:t>
      </w:r>
      <w:r>
        <w:t>.</w:t>
      </w:r>
    </w:p>
  </w:comment>
  <w:comment w:id="388" w:author="Claire Furey" w:date="2022-06-13T15:32:00Z" w:initials="CF">
    <w:p w14:paraId="515A73CB" w14:textId="77777777" w:rsidR="009971C1" w:rsidRDefault="009971C1">
      <w:r>
        <w:annotationRef/>
      </w:r>
      <w:r>
        <w:t>‘95% CI’ added twice; OK?</w:t>
      </w:r>
    </w:p>
    <w:p w14:paraId="48662741" w14:textId="28CE59F0" w:rsidR="007F3358" w:rsidRDefault="007F3358">
      <w:r>
        <w:t>This also applies to the following paragraph.</w:t>
      </w:r>
    </w:p>
  </w:comment>
  <w:comment w:id="389" w:author="Claire Furey" w:date="2022-06-13T15:38:00Z" w:initials="CF">
    <w:p w14:paraId="5B9BAA8A" w14:textId="7BF2925F" w:rsidR="009F5E28" w:rsidRDefault="009F5E28">
      <w:r>
        <w:annotationRef/>
      </w:r>
      <w:r>
        <w:t>Text amended; OK?</w:t>
      </w:r>
    </w:p>
  </w:comment>
  <w:comment w:id="393" w:author="Claire Furey" w:date="2022-06-13T15:48:00Z" w:initials="CF">
    <w:p w14:paraId="62F61220" w14:textId="69364D94" w:rsidR="00CD7FF0" w:rsidRDefault="00CD7FF0">
      <w:r>
        <w:annotationRef/>
      </w:r>
      <w:r>
        <w:t>Please check for sense.</w:t>
      </w:r>
    </w:p>
  </w:comment>
  <w:comment w:id="398" w:author="Claire Furey" w:date="2022-06-13T15:57:00Z" w:initials="CF">
    <w:p w14:paraId="47BBD577" w14:textId="77777777" w:rsidR="00CD7FF0" w:rsidRDefault="00CD7FF0">
      <w:r>
        <w:annotationRef/>
      </w:r>
      <w:r>
        <w:t>Please clarify what these values are (e.g. mean and 95% CI, median and IQR).</w:t>
      </w:r>
    </w:p>
    <w:p w14:paraId="6750945C" w14:textId="3F5FBA53" w:rsidR="00BF7E3D" w:rsidRDefault="00BF7E3D">
      <w:r>
        <w:t>Th</w:t>
      </w:r>
      <w:r w:rsidR="00FE1D3D">
        <w:t>is applies throughout this table</w:t>
      </w:r>
      <w:r>
        <w:rPr>
          <w:lang w:eastAsia="zh-CN"/>
        </w:rPr>
        <w:t>.</w:t>
      </w:r>
    </w:p>
  </w:comment>
  <w:comment w:id="399" w:author="Claire Furey" w:date="2022-06-13T16:00:00Z" w:initials="CF">
    <w:p w14:paraId="47EF4D97" w14:textId="72F863C0" w:rsidR="000178D4" w:rsidRDefault="000178D4">
      <w:r>
        <w:annotationRef/>
      </w:r>
      <w:r>
        <w:t>It is journal style to include the following details for personal communication citations: name and affiliation of person contacted and year of communication. Can this information be provided for communication mentioned here?</w:t>
      </w:r>
    </w:p>
  </w:comment>
  <w:comment w:id="400" w:author="Claire Furey" w:date="2022-06-13T16:05:00Z" w:initials="CF">
    <w:p w14:paraId="1E338BC6" w14:textId="010AD3A4" w:rsidR="004E48E6" w:rsidRDefault="004E48E6">
      <w:r>
        <w:annotationRef/>
      </w:r>
      <w:r>
        <w:t>Should this be a table footnote, with a footnote marker next to the relevant SE?</w:t>
      </w:r>
    </w:p>
  </w:comment>
  <w:comment w:id="401" w:author="Claire Furey" w:date="2022-06-13T16:33:00Z" w:initials="CF">
    <w:p w14:paraId="1062DA7E" w14:textId="135DE55F" w:rsidR="00DB304B" w:rsidRDefault="00DB304B">
      <w:r>
        <w:annotationRef/>
      </w:r>
      <w:r>
        <w:t>Please provide a reference number (or full reference details) for this source.</w:t>
      </w:r>
    </w:p>
  </w:comment>
  <w:comment w:id="406" w:author="Claire Furey" w:date="2022-06-14T17:30:00Z" w:initials="CF">
    <w:p w14:paraId="7D22D6AE" w14:textId="14E11345" w:rsidR="003C64EE" w:rsidRDefault="003C64EE">
      <w:r>
        <w:annotationRef/>
      </w:r>
      <w:r>
        <w:t>‘They’ changed to ‘</w:t>
      </w:r>
      <w:r w:rsidRPr="009A3DC6">
        <w:t xml:space="preserve">The EVPI and </w:t>
      </w:r>
      <w:r>
        <w:t xml:space="preserve">the </w:t>
      </w:r>
      <w:r w:rsidRPr="009A3DC6">
        <w:t>EVPPI</w:t>
      </w:r>
      <w:r>
        <w:t>’. Please check if correct.</w:t>
      </w:r>
    </w:p>
  </w:comment>
  <w:comment w:id="412" w:author="Claire Furey" w:date="2022-06-14T17:38:00Z" w:initials="CF">
    <w:p w14:paraId="527CD670" w14:textId="77777777" w:rsidR="000F528C" w:rsidRDefault="000F528C">
      <w:r>
        <w:annotationRef/>
      </w:r>
      <w:r>
        <w:t>Is ‘(15)’ the reference number (Schyum and Rumessen 2013)?</w:t>
      </w:r>
    </w:p>
    <w:p w14:paraId="5F9CBE5A" w14:textId="77777777" w:rsidR="000F528C" w:rsidRDefault="000F528C">
      <w:r>
        <w:t>If not, can it be deleted?</w:t>
      </w:r>
    </w:p>
    <w:p w14:paraId="559E4243" w14:textId="133C702D" w:rsidR="000F528C" w:rsidRDefault="000F528C">
      <w:r>
        <w:t>Furthermore, please provide the reference number/full reference details for the study mentioned.</w:t>
      </w:r>
    </w:p>
  </w:comment>
  <w:comment w:id="413" w:author="Claire Furey" w:date="2022-06-14T17:40:00Z" w:initials="CF">
    <w:p w14:paraId="641EA87F" w14:textId="48CE260F" w:rsidR="00712E77" w:rsidRDefault="00712E77">
      <w:r>
        <w:annotationRef/>
      </w:r>
      <w:r>
        <w:t>Text amended. Please check that the meaning has been retained.</w:t>
      </w:r>
    </w:p>
  </w:comment>
  <w:comment w:id="414" w:author="Claire Furey" w:date="2022-06-14T20:21:00Z" w:initials="CF">
    <w:p w14:paraId="090B9D75" w14:textId="47BEEB40" w:rsidR="00BA3C20" w:rsidRDefault="00BA3C20">
      <w:r>
        <w:annotationRef/>
      </w:r>
      <w:r>
        <w:t>Reference number added and ‘recent’ changed to ‘2015’. Please check if correct.</w:t>
      </w:r>
    </w:p>
  </w:comment>
  <w:comment w:id="415" w:author="Claire Furey" w:date="2022-06-14T20:23:00Z" w:initials="CF">
    <w:p w14:paraId="6F32BE31" w14:textId="7569EE66" w:rsidR="00BA3C20" w:rsidRDefault="00BA3C20">
      <w:r>
        <w:annotationRef/>
      </w:r>
      <w:r>
        <w:t>Please clarify what is meant by this.</w:t>
      </w:r>
    </w:p>
  </w:comment>
  <w:comment w:id="416" w:author="Claire Furey" w:date="2022-06-14T20:29:00Z" w:initials="CF">
    <w:p w14:paraId="329CFB4B" w14:textId="63472E9D" w:rsidR="00BA3C20" w:rsidRDefault="00BA3C20">
      <w:r>
        <w:annotationRef/>
      </w:r>
      <w:r>
        <w:t>What is meant by ‘(26)’?</w:t>
      </w:r>
    </w:p>
  </w:comment>
  <w:comment w:id="420" w:author="Claire Furey" w:date="2022-06-14T20:36:00Z" w:initials="CF">
    <w:p w14:paraId="77588AE8" w14:textId="77777777" w:rsidR="00672208" w:rsidRDefault="00672208">
      <w:r>
        <w:annotationRef/>
      </w:r>
      <w:r>
        <w:t>Here it says ‘CIs’ but in the Figure 14 footnotes, it says ‘CrI’. Please check and confirm if any changes need to be made.</w:t>
      </w:r>
    </w:p>
    <w:p w14:paraId="455ECCE8" w14:textId="0B1EF54A" w:rsidR="006127EE" w:rsidRDefault="006127EE">
      <w:r>
        <w:t xml:space="preserve">This also applies to </w:t>
      </w:r>
      <w:r w:rsidR="001C2197">
        <w:t>the same text relating to Figure 18.</w:t>
      </w:r>
    </w:p>
  </w:comment>
  <w:comment w:id="422" w:author="Claire Furey" w:date="2022-06-22T10:01:00Z" w:initials="CF">
    <w:p w14:paraId="6BAE6F96" w14:textId="77777777" w:rsidR="00334C4B" w:rsidRDefault="00C266F7">
      <w:r>
        <w:annotationRef/>
      </w:r>
      <w:r w:rsidR="00334C4B">
        <w:t xml:space="preserve">'Incremental net benefit (£)' added as </w:t>
      </w:r>
      <w:r w:rsidR="00334C4B">
        <w:rPr>
          <w:i/>
          <w:iCs/>
        </w:rPr>
        <w:t>y</w:t>
      </w:r>
      <w:r w:rsidR="00334C4B">
        <w:t>-axis label. Please check if correct.</w:t>
      </w:r>
    </w:p>
    <w:p w14:paraId="3ED9AE10" w14:textId="77777777" w:rsidR="00334C4B" w:rsidRDefault="00334C4B" w:rsidP="00C26E69">
      <w:r>
        <w:t>This also applies to Figures 18 and 22.</w:t>
      </w:r>
    </w:p>
  </w:comment>
  <w:comment w:id="423" w:author="Claire Furey" w:date="2022-06-14T20:42:00Z" w:initials="CF">
    <w:p w14:paraId="109C539D" w14:textId="5D76F535" w:rsidR="00A02534" w:rsidRDefault="00A02534">
      <w:r>
        <w:annotationRef/>
      </w:r>
      <w:r>
        <w:t>Text amended. Please check that the meaning has been retained.</w:t>
      </w:r>
    </w:p>
  </w:comment>
  <w:comment w:id="425" w:author="Claire Furey" w:date="2022-06-22T10:16:00Z" w:initials="CF">
    <w:p w14:paraId="5F4FA835" w14:textId="77777777" w:rsidR="009C19FD" w:rsidRDefault="00E674EA">
      <w:r>
        <w:annotationRef/>
      </w:r>
      <w:r w:rsidR="009C19FD">
        <w:t xml:space="preserve">'Probability of being cost-effective' added as the </w:t>
      </w:r>
      <w:r w:rsidR="009C19FD">
        <w:rPr>
          <w:i/>
          <w:iCs/>
        </w:rPr>
        <w:t>y</w:t>
      </w:r>
      <w:r w:rsidR="009C19FD">
        <w:t>-axis label. Please check if correct.</w:t>
      </w:r>
    </w:p>
    <w:p w14:paraId="6E74AED6" w14:textId="77777777" w:rsidR="009C19FD" w:rsidRDefault="009C19FD" w:rsidP="002939E9">
      <w:r>
        <w:t>This also applies to Figures 19 and 23.</w:t>
      </w:r>
    </w:p>
  </w:comment>
  <w:comment w:id="427" w:author="Claire Furey" w:date="2022-06-16T09:22:00Z" w:initials="CF">
    <w:p w14:paraId="5C364E8A" w14:textId="04C32C5A" w:rsidR="0044057F" w:rsidRDefault="0044057F">
      <w:r>
        <w:annotationRef/>
      </w:r>
      <w:r>
        <w:t>It stated that this table contains ‘</w:t>
      </w:r>
      <w:r w:rsidRPr="0044057F">
        <w:t>Mean estimates with 95% confidence intervals</w:t>
      </w:r>
      <w:r>
        <w:t>’.</w:t>
      </w:r>
    </w:p>
    <w:p w14:paraId="19B4D074" w14:textId="77777777" w:rsidR="0044057F" w:rsidRDefault="0044057F">
      <w:r>
        <w:t>However, throughout the text, the incremental net benefit values are given with 95% credible intervals, not confidence intervals [e.g. ‘</w:t>
      </w:r>
      <w:r w:rsidRPr="009A3DC6">
        <w:t>incremental net benefit</w:t>
      </w:r>
      <w:r>
        <w:t>,</w:t>
      </w:r>
      <w:r w:rsidRPr="009A3DC6">
        <w:t xml:space="preserve"> relative to no screening</w:t>
      </w:r>
      <w:r>
        <w:t>,</w:t>
      </w:r>
      <w:r w:rsidRPr="009A3DC6">
        <w:t xml:space="preserve"> of £24,331 (95% CrI </w:t>
      </w:r>
      <w:r>
        <w:t>£</w:t>
      </w:r>
      <w:r w:rsidRPr="009A3DC6">
        <w:t>5080</w:t>
      </w:r>
      <w:r>
        <w:t xml:space="preserve"> to</w:t>
      </w:r>
      <w:r w:rsidRPr="009A3DC6">
        <w:t xml:space="preserve"> </w:t>
      </w:r>
      <w:r>
        <w:t>£</w:t>
      </w:r>
      <w:r w:rsidRPr="009A3DC6">
        <w:t>56</w:t>
      </w:r>
      <w:r>
        <w:t>,</w:t>
      </w:r>
      <w:r w:rsidRPr="009A3DC6">
        <w:t xml:space="preserve">493) </w:t>
      </w:r>
      <w:r>
        <w:t>for</w:t>
      </w:r>
      <w:r w:rsidRPr="009A3DC6">
        <w:t xml:space="preserve"> men</w:t>
      </w:r>
      <w:r>
        <w:t>’].</w:t>
      </w:r>
    </w:p>
    <w:p w14:paraId="4EE3FB2F" w14:textId="6DF8FFFE" w:rsidR="0044057F" w:rsidRDefault="0044057F">
      <w:r>
        <w:t xml:space="preserve">Please check and </w:t>
      </w:r>
      <w:r w:rsidR="00883186">
        <w:t>clarify which values throughout the report are 95% CIs and which are 95% CrIs.</w:t>
      </w:r>
    </w:p>
  </w:comment>
  <w:comment w:id="428" w:author="Claire Furey" w:date="2022-06-14T20:57:00Z" w:initials="CF">
    <w:p w14:paraId="328A6740" w14:textId="21B4DDEC" w:rsidR="00914E8F" w:rsidRDefault="00914E8F">
      <w:r>
        <w:annotationRef/>
      </w:r>
      <w:r>
        <w:t>Please clarify if the values in parentheses in Table 19 are CIs or CrIs.</w:t>
      </w:r>
    </w:p>
  </w:comment>
  <w:comment w:id="430" w:author="Claire Furey" w:date="2022-06-15T15:44:00Z" w:initials="CF">
    <w:p w14:paraId="1E634699" w14:textId="6A75849E" w:rsidR="00E716E7" w:rsidRDefault="00E716E7">
      <w:r>
        <w:annotationRef/>
      </w:r>
      <w:r>
        <w:t>Text amended. Please check if correct.</w:t>
      </w:r>
    </w:p>
  </w:comment>
  <w:comment w:id="432" w:author="Claire Furey" w:date="2022-06-15T15:56:00Z" w:initials="CF">
    <w:p w14:paraId="11F8CD17" w14:textId="77777777" w:rsidR="00A069FC" w:rsidRDefault="00A069FC">
      <w:r>
        <w:annotationRef/>
      </w:r>
      <w:r>
        <w:t>Can it be clarified what is meant by ‘IDA 50’ and ‘IDA 90’?</w:t>
      </w:r>
    </w:p>
    <w:p w14:paraId="333BA30D" w14:textId="495D3087" w:rsidR="00082176" w:rsidRDefault="00082176">
      <w:r>
        <w:t>This also applies to</w:t>
      </w:r>
      <w:r w:rsidR="0090219E">
        <w:t xml:space="preserve"> ‘IDA 20’ and ‘IDA 10’ in</w:t>
      </w:r>
      <w:r>
        <w:t xml:space="preserve"> Figure 25.</w:t>
      </w:r>
    </w:p>
  </w:comment>
  <w:comment w:id="440" w:author="Claire Furey" w:date="2022-06-15T17:00:00Z" w:initials="CF">
    <w:p w14:paraId="5B640017" w14:textId="3A3938BA" w:rsidR="006E2C22" w:rsidRDefault="006E2C22">
      <w:r>
        <w:annotationRef/>
      </w:r>
      <w:r>
        <w:annotationRef/>
      </w:r>
      <w:r>
        <w:t>Text amended. Please check that the meaning has been retained.</w:t>
      </w:r>
    </w:p>
  </w:comment>
  <w:comment w:id="441" w:author="Claire Furey" w:date="2022-06-15T17:02:00Z" w:initials="CF">
    <w:p w14:paraId="3CCC4BE1" w14:textId="55D040F9" w:rsidR="00276558" w:rsidRDefault="00276558">
      <w:r>
        <w:annotationRef/>
      </w:r>
      <w:r>
        <w:t xml:space="preserve">It states that the </w:t>
      </w:r>
      <w:r w:rsidRPr="009A3DC6">
        <w:t xml:space="preserve">sensitivity of </w:t>
      </w:r>
      <w:r>
        <w:t xml:space="preserve">the </w:t>
      </w:r>
      <w:r w:rsidRPr="009A3DC6">
        <w:t xml:space="preserve">HLA </w:t>
      </w:r>
      <w:r>
        <w:t>test is an</w:t>
      </w:r>
      <w:r w:rsidRPr="009A3DC6">
        <w:t xml:space="preserve"> important parameter</w:t>
      </w:r>
      <w:r>
        <w:t xml:space="preserve">, but then states that the </w:t>
      </w:r>
      <w:r w:rsidRPr="009A3DC6">
        <w:t>sensitivity of HLA</w:t>
      </w:r>
      <w:r>
        <w:t xml:space="preserve"> has low influence. Please check and confirm if any changes should be made.</w:t>
      </w:r>
    </w:p>
  </w:comment>
  <w:comment w:id="444" w:author="Claire Furey" w:date="2022-06-15T17:15:00Z" w:initials="CF">
    <w:p w14:paraId="2E402626" w14:textId="7A679A0E" w:rsidR="0063021A" w:rsidRDefault="0063021A">
      <w:r>
        <w:annotationRef/>
      </w:r>
      <w:r>
        <w:t>Text amended. Please check that the meaning has been retained.</w:t>
      </w:r>
    </w:p>
  </w:comment>
  <w:comment w:id="452" w:author="Claire Furey" w:date="2022-06-16T09:03:00Z" w:initials="CF">
    <w:p w14:paraId="585980A2" w14:textId="3A85570A" w:rsidR="00595B76" w:rsidRDefault="00595B76">
      <w:r>
        <w:annotationRef/>
      </w:r>
      <w:r>
        <w:t>Please provide the reference numbers for these studies.</w:t>
      </w:r>
    </w:p>
  </w:comment>
  <w:comment w:id="453" w:author="Claire Furey" w:date="2022-06-16T09:33:00Z" w:initials="CF">
    <w:p w14:paraId="215719BF" w14:textId="5E1DE667" w:rsidR="008F00D2" w:rsidRDefault="008F00D2">
      <w:r>
        <w:annotationRef/>
      </w:r>
      <w:r>
        <w:t>Would ‘limited by data’ be better as ‘limited by a lack of data’?</w:t>
      </w:r>
    </w:p>
  </w:comment>
  <w:comment w:id="454" w:author="Claire Furey" w:date="2022-06-16T09:44:00Z" w:initials="CF">
    <w:p w14:paraId="02A9CB22" w14:textId="0D0C1F3A" w:rsidR="00E91C6E" w:rsidRDefault="00E91C6E">
      <w:r>
        <w:annotationRef/>
      </w:r>
      <w:r>
        <w:t>Text amended. Please check that the meaning has been retained.</w:t>
      </w:r>
    </w:p>
  </w:comment>
  <w:comment w:id="456" w:author="Claire Furey" w:date="2022-06-16T09:57:00Z" w:initials="CF">
    <w:p w14:paraId="421E0567" w14:textId="77777777" w:rsidR="000F1C84" w:rsidRDefault="00BA4E60" w:rsidP="001C4711">
      <w:r>
        <w:annotationRef/>
      </w:r>
      <w:r w:rsidR="000F1C84">
        <w:rPr>
          <w:rFonts w:asciiTheme="minorHAnsi" w:eastAsiaTheme="minorHAnsi" w:hAnsiTheme="minorHAnsi" w:cstheme="minorBidi"/>
          <w:sz w:val="22"/>
          <w:szCs w:val="22"/>
          <w:lang w:val="en-GB"/>
        </w:rPr>
        <w:t>‘testimation’ changed to ‘estimation’; OK?</w:t>
      </w:r>
    </w:p>
  </w:comment>
  <w:comment w:id="457" w:author="Claire Furey" w:date="2022-06-16T10:07:00Z" w:initials="CF">
    <w:p w14:paraId="7AA3E442" w14:textId="68B06EEF" w:rsidR="00440A29" w:rsidRDefault="00440A29">
      <w:r>
        <w:annotationRef/>
      </w:r>
      <w:r>
        <w:t>Should this be ‘these data sets’, as two were used?</w:t>
      </w:r>
    </w:p>
  </w:comment>
  <w:comment w:id="458" w:author="Claire Furey" w:date="2022-06-16T10:24:00Z" w:initials="CF">
    <w:p w14:paraId="47089B70" w14:textId="06CFD220" w:rsidR="00297C5C" w:rsidRDefault="00297C5C">
      <w:r>
        <w:annotationRef/>
      </w:r>
      <w:r>
        <w:t>‘analysis’ changed to ‘analyses’; OK?</w:t>
      </w:r>
    </w:p>
  </w:comment>
  <w:comment w:id="459" w:author="Claire Furey" w:date="2022-06-16T10:31:00Z" w:initials="CF">
    <w:p w14:paraId="40370476" w14:textId="2913BA6D" w:rsidR="006C7F63" w:rsidRDefault="006C7F63">
      <w:r>
        <w:annotationRef/>
      </w:r>
      <w:r>
        <w:annotationRef/>
      </w:r>
      <w:r>
        <w:t>Text amended. Please check that the meaning has been retained</w:t>
      </w:r>
    </w:p>
  </w:comment>
  <w:comment w:id="460" w:author="Claire Furey" w:date="2022-06-16T10:37:00Z" w:initials="CF">
    <w:p w14:paraId="0F1AE8CC" w14:textId="724F7731" w:rsidR="002C4DA8" w:rsidRPr="002C4DA8" w:rsidRDefault="002C4DA8">
      <w:r>
        <w:t xml:space="preserve">Please provide the reference number for Violato </w:t>
      </w:r>
      <w:r>
        <w:rPr>
          <w:i/>
          <w:iCs/>
        </w:rPr>
        <w:t>et al</w:t>
      </w:r>
      <w:r>
        <w:t xml:space="preserve">. (Reference 217 is Hall </w:t>
      </w:r>
      <w:r>
        <w:rPr>
          <w:i/>
          <w:iCs/>
        </w:rPr>
        <w:t>et al</w:t>
      </w:r>
      <w:r>
        <w:t>. 2009.)</w:t>
      </w:r>
    </w:p>
    <w:p w14:paraId="0E1AEF6E" w14:textId="5CDC1193" w:rsidR="002C4DA8" w:rsidRDefault="002C4DA8">
      <w:r>
        <w:annotationRef/>
      </w:r>
      <w:r>
        <w:t>Are the values in parentheses the 95% CI?</w:t>
      </w:r>
    </w:p>
  </w:comment>
  <w:comment w:id="462" w:author="Claire Furey" w:date="2022-06-16T10:55:00Z" w:initials="CF">
    <w:p w14:paraId="55E42FB3" w14:textId="4D5031A0" w:rsidR="001956B2" w:rsidRDefault="001956B2">
      <w:r>
        <w:annotationRef/>
      </w:r>
      <w:r>
        <w:t xml:space="preserve">Please clarify what is meant </w:t>
      </w:r>
      <w:r w:rsidRPr="001956B2">
        <w:t>by ‘1.6</w:t>
      </w:r>
      <w:r w:rsidRPr="001956B2">
        <w:rPr>
          <w:color w:val="00B0F0"/>
        </w:rPr>
        <w:t>–3</w:t>
      </w:r>
      <w:r w:rsidRPr="001956B2">
        <w:t>.8% (95% CIs) according to serology studies and 2.3</w:t>
      </w:r>
      <w:r w:rsidRPr="001956B2">
        <w:rPr>
          <w:color w:val="00B0F0"/>
        </w:rPr>
        <w:t>–4</w:t>
      </w:r>
      <w:r w:rsidRPr="001956B2">
        <w:t>.5% biopsy-proven CD among people with IBS,</w:t>
      </w:r>
      <w:r w:rsidRPr="001956B2">
        <w:rPr>
          <w:noProof/>
          <w:vertAlign w:val="superscript"/>
        </w:rPr>
        <w:t>275</w:t>
      </w:r>
      <w:r w:rsidRPr="001956B2">
        <w:t>’ as it does not fit with the rest of the sentence/list items.</w:t>
      </w:r>
    </w:p>
  </w:comment>
  <w:comment w:id="463" w:author="Claire Furey" w:date="2022-06-16T11:09:00Z" w:initials="CF">
    <w:p w14:paraId="768D828C" w14:textId="77777777" w:rsidR="002C55F7" w:rsidRDefault="00B55F56" w:rsidP="00F2347D">
      <w:r>
        <w:annotationRef/>
      </w:r>
      <w:r w:rsidR="002C55F7">
        <w:rPr>
          <w:rFonts w:asciiTheme="minorHAnsi" w:eastAsiaTheme="minorHAnsi" w:hAnsiTheme="minorHAnsi" w:cstheme="minorBidi"/>
          <w:sz w:val="22"/>
          <w:szCs w:val="22"/>
          <w:lang w:val="en-GB"/>
        </w:rPr>
        <w:t>Company details added for the QCancer scores; OK?</w:t>
      </w:r>
    </w:p>
  </w:comment>
  <w:comment w:id="472" w:author="Claire Furey" w:date="2022-06-20T09:50:00Z" w:initials="CF">
    <w:p w14:paraId="02B9EB05" w14:textId="19A8752E" w:rsidR="003345ED" w:rsidRDefault="003345ED" w:rsidP="00526C52">
      <w:r>
        <w:annotationRef/>
      </w:r>
      <w:r>
        <w:t>Publication details added. Please check if correct.</w:t>
      </w:r>
      <w:r>
        <w:br/>
      </w:r>
      <w:r>
        <w:br/>
        <w:t>'</w:t>
      </w:r>
      <w:r>
        <w:rPr>
          <w:color w:val="000000"/>
          <w:lang w:val="en-GB"/>
        </w:rPr>
        <w:t>Chapter 5 has been submitted for publication and is currently under review.' has been deleted, as only published articles should be listed here. If this has been published, please provide full publication details.</w:t>
      </w:r>
    </w:p>
  </w:comment>
  <w:comment w:id="474" w:author="Claire Furey" w:date="2022-05-30T17:04:00Z" w:initials="CF">
    <w:p w14:paraId="196BB225" w14:textId="3179D9DC" w:rsidR="009F4B48" w:rsidRDefault="009F4B48">
      <w:r>
        <w:annotationRef/>
      </w:r>
      <w:r>
        <w:t>The following references are duplicates and so will be deleted (references will be renumbered at typesetting)</w:t>
      </w:r>
      <w:r w:rsidR="002E39E0">
        <w:t>; OK?</w:t>
      </w:r>
    </w:p>
    <w:p w14:paraId="7226A338" w14:textId="5F9AE517" w:rsidR="002E39E0" w:rsidRDefault="002E39E0" w:rsidP="002E39E0">
      <w:r>
        <w:t>11 (duplicate of 10)</w:t>
      </w:r>
    </w:p>
    <w:p w14:paraId="4F50A044" w14:textId="25D38C5A" w:rsidR="002E39E0" w:rsidRDefault="002E39E0" w:rsidP="002E39E0">
      <w:r>
        <w:t>154 (of 77)</w:t>
      </w:r>
    </w:p>
    <w:p w14:paraId="63213388" w14:textId="2C5F8354" w:rsidR="002E39E0" w:rsidRDefault="002E39E0" w:rsidP="002E39E0">
      <w:r>
        <w:t>158 (of 91)</w:t>
      </w:r>
    </w:p>
    <w:p w14:paraId="0BC2D8A7" w14:textId="007C3E0F" w:rsidR="002E39E0" w:rsidRDefault="002E39E0" w:rsidP="002E39E0">
      <w:r>
        <w:t>229 and 230 (of 227)</w:t>
      </w:r>
    </w:p>
    <w:p w14:paraId="4CFE35E4" w14:textId="63BA902A" w:rsidR="002E39E0" w:rsidRDefault="002E39E0" w:rsidP="002E39E0">
      <w:r>
        <w:t>236 (of 235)</w:t>
      </w:r>
    </w:p>
    <w:p w14:paraId="4F6640A5" w14:textId="2F1F6D8D" w:rsidR="002E39E0" w:rsidRDefault="002E39E0" w:rsidP="002E39E0">
      <w:r>
        <w:t>266 (of 261)</w:t>
      </w:r>
    </w:p>
    <w:p w14:paraId="20CAEB76" w14:textId="68982063" w:rsidR="002E39E0" w:rsidRDefault="002E39E0" w:rsidP="002E39E0">
      <w:r>
        <w:t>270 (of 9)</w:t>
      </w:r>
    </w:p>
    <w:p w14:paraId="4CEC1839" w14:textId="58239857" w:rsidR="009F4B48" w:rsidRDefault="002E39E0" w:rsidP="002E39E0">
      <w:r>
        <w:t>350 and 481 (of 349)</w:t>
      </w:r>
    </w:p>
  </w:comment>
  <w:comment w:id="475" w:author="Gastgebruiker" w:date="2022-06-01T11:09:00Z" w:initials="Ga">
    <w:p w14:paraId="606BFEAF" w14:textId="57647CAB" w:rsidR="3CDEEDA7" w:rsidRDefault="3CDEEDA7">
      <w:r>
        <w:t>ok</w:t>
      </w:r>
      <w:r>
        <w:annotationRef/>
      </w:r>
    </w:p>
  </w:comment>
  <w:comment w:id="476" w:author="Claire Furey" w:date="2022-05-25T16:57:00Z" w:initials="CF">
    <w:p w14:paraId="1A552DD6" w14:textId="56DB0028" w:rsidR="00D77A8F" w:rsidRDefault="00D77A8F">
      <w:r>
        <w:annotationRef/>
      </w:r>
      <w:r>
        <w:t>Please provide the volume number and page range.</w:t>
      </w:r>
    </w:p>
  </w:comment>
  <w:comment w:id="477" w:author="Gastgebruiker" w:date="2022-06-01T11:59:00Z" w:initials="Ga">
    <w:p w14:paraId="4529AE93" w14:textId="4B106831" w:rsidR="43B69CA3" w:rsidRDefault="43B69CA3" w:rsidP="43B69CA3">
      <w:r>
        <w:t xml:space="preserve">this refers to a website: </w:t>
      </w:r>
      <w:hyperlink r:id="rId1">
        <w:r w:rsidRPr="43B69CA3">
          <w:t>https://bestpractice.bmj.com/topics/en-gb/636</w:t>
        </w:r>
      </w:hyperlink>
      <w:r>
        <w:annotationRef/>
      </w:r>
    </w:p>
  </w:comment>
  <w:comment w:id="478" w:author="Claire Furey" w:date="2022-05-25T17:19:00Z" w:initials="CF">
    <w:p w14:paraId="7286048B" w14:textId="77777777" w:rsidR="00CF0F0E" w:rsidRDefault="00CF0F0E">
      <w:r>
        <w:annotationRef/>
      </w:r>
      <w:r>
        <w:t>This will be deleted, as it is journal style not to include software in the reference list; OK?</w:t>
      </w:r>
    </w:p>
    <w:p w14:paraId="1B4DD176" w14:textId="00D60C74" w:rsidR="00CF0F0E" w:rsidRDefault="00CF0F0E">
      <w:r>
        <w:t>References 36, 37, 38, 40</w:t>
      </w:r>
      <w:r w:rsidR="004F60F5">
        <w:t>,</w:t>
      </w:r>
      <w:r>
        <w:t xml:space="preserve"> 41</w:t>
      </w:r>
      <w:r w:rsidR="00D60CD2">
        <w:t>,</w:t>
      </w:r>
      <w:r w:rsidR="004F60F5">
        <w:t xml:space="preserve"> 73</w:t>
      </w:r>
      <w:r w:rsidR="00AE0225">
        <w:t>,</w:t>
      </w:r>
      <w:r w:rsidR="00D60CD2">
        <w:t xml:space="preserve"> 186</w:t>
      </w:r>
      <w:r w:rsidR="00AE0225">
        <w:t>, 264</w:t>
      </w:r>
      <w:r>
        <w:t xml:space="preserve"> will also be deleted for this reason.</w:t>
      </w:r>
    </w:p>
  </w:comment>
  <w:comment w:id="479" w:author="Gastgebruiker" w:date="2022-06-01T11:13:00Z" w:initials="Ga">
    <w:p w14:paraId="09A0542A" w14:textId="441B458B" w:rsidR="3CDEEDA7" w:rsidRDefault="3CDEEDA7">
      <w:r>
        <w:t>I believe this information is important for reproducibility of the analysis. Most of them refer to user-written code (developed by researchers) that was used in our analysis.</w:t>
      </w:r>
      <w:r>
        <w:annotationRef/>
      </w:r>
    </w:p>
  </w:comment>
  <w:comment w:id="480" w:author="Claire Furey" w:date="2022-05-25T17:29:00Z" w:initials="CF">
    <w:p w14:paraId="203206A8" w14:textId="4CD65940" w:rsidR="00CF0F0E" w:rsidRDefault="00CF0F0E">
      <w:r>
        <w:annotationRef/>
      </w:r>
      <w:r>
        <w:t xml:space="preserve">URL changed from </w:t>
      </w:r>
      <w:hyperlink r:id="rId2" w:history="1">
        <w:r w:rsidRPr="001B0AB6">
          <w:t>www.nice.org.uk/guidance/ng20</w:t>
        </w:r>
      </w:hyperlink>
      <w:r>
        <w:t>; OK?</w:t>
      </w:r>
    </w:p>
  </w:comment>
  <w:comment w:id="481" w:author="Gastgebruiker" w:date="2022-06-01T11:13:00Z" w:initials="Ga">
    <w:p w14:paraId="6C3E1D95" w14:textId="7A89B28E" w:rsidR="3CDEEDA7" w:rsidRDefault="3CDEEDA7">
      <w:r>
        <w:t>ok</w:t>
      </w:r>
      <w:r>
        <w:annotationRef/>
      </w:r>
    </w:p>
  </w:comment>
  <w:comment w:id="482" w:author="Claire Furey" w:date="2022-05-25T17:32:00Z" w:initials="CF">
    <w:p w14:paraId="381206E8" w14:textId="06002E3E" w:rsidR="00CF0F0E" w:rsidRDefault="00CF0F0E">
      <w:r>
        <w:annotationRef/>
      </w:r>
      <w:r>
        <w:t xml:space="preserve">URL changed from </w:t>
      </w:r>
      <w:hyperlink r:id="rId3" w:history="1">
        <w:r w:rsidRPr="001B0AB6">
          <w:rPr>
            <w:iCs/>
          </w:rPr>
          <w:t>https://osfio/q5gyc/</w:t>
        </w:r>
      </w:hyperlink>
      <w:r>
        <w:rPr>
          <w:iCs/>
        </w:rPr>
        <w:t>; OK?</w:t>
      </w:r>
    </w:p>
  </w:comment>
  <w:comment w:id="483" w:author="Gastgebruiker" w:date="2022-06-01T11:13:00Z" w:initials="Ga">
    <w:p w14:paraId="768526C5" w14:textId="4DCE80E6" w:rsidR="3CDEEDA7" w:rsidRDefault="3CDEEDA7">
      <w:r>
        <w:t>ok</w:t>
      </w:r>
      <w:r>
        <w:annotationRef/>
      </w:r>
    </w:p>
  </w:comment>
  <w:comment w:id="484" w:author="Claire Furey" w:date="2022-05-25T17:35:00Z" w:initials="CF">
    <w:p w14:paraId="3EA54764" w14:textId="0E90DFA5" w:rsidR="00CF0F0E" w:rsidRDefault="00CF0F0E">
      <w:r>
        <w:annotationRef/>
      </w:r>
      <w:r>
        <w:t>Publisher name and location added; OK?</w:t>
      </w:r>
    </w:p>
  </w:comment>
  <w:comment w:id="485" w:author="Gastgebruiker" w:date="2022-06-01T11:14:00Z" w:initials="Ga">
    <w:p w14:paraId="284CD9AE" w14:textId="5324C8BB" w:rsidR="3CDEEDA7" w:rsidRDefault="3CDEEDA7">
      <w:r>
        <w:t>ok</w:t>
      </w:r>
      <w:r>
        <w:annotationRef/>
      </w:r>
    </w:p>
  </w:comment>
  <w:comment w:id="486" w:author="Claire Furey" w:date="2022-05-25T17:38:00Z" w:initials="CF">
    <w:p w14:paraId="0DC7F38D" w14:textId="65790768" w:rsidR="00CF0F0E" w:rsidRDefault="00CF0F0E">
      <w:r>
        <w:annotationRef/>
      </w:r>
      <w:r>
        <w:t xml:space="preserve">The citation details at </w:t>
      </w:r>
      <w:r w:rsidRPr="00414C1E">
        <w:t>https://doi.org/10.48329/7308-xf35</w:t>
      </w:r>
      <w:r>
        <w:annotationRef/>
      </w:r>
      <w:r>
        <w:t xml:space="preserve"> indicate that the name of the data set used should be added. Can this be added here?</w:t>
      </w:r>
    </w:p>
  </w:comment>
  <w:comment w:id="487" w:author="Gastgebruiker" w:date="2022-06-01T11:16:00Z" w:initials="Ga">
    <w:p w14:paraId="70B4164C" w14:textId="1CE2BA2A" w:rsidR="3CDEEDA7" w:rsidRDefault="3CDEEDA7">
      <w:r>
        <w:t>The name of the data set is CPRD GOLD, which is already there. I am not sure what other name of the data set you are refering to?</w:t>
      </w:r>
      <w:r>
        <w:annotationRef/>
      </w:r>
    </w:p>
  </w:comment>
  <w:comment w:id="488" w:author="Claire Furey" w:date="2022-05-25T17:46:00Z" w:initials="CF">
    <w:p w14:paraId="0D5695D6" w14:textId="33B627B2" w:rsidR="00CF0F0E" w:rsidRDefault="00CF0F0E">
      <w:r>
        <w:annotationRef/>
      </w:r>
      <w:r w:rsidR="005212C8">
        <w:t>Publisher name and location added. Please check if correct.</w:t>
      </w:r>
    </w:p>
  </w:comment>
  <w:comment w:id="489" w:author="Gastgebruiker" w:date="2022-06-01T11:16:00Z" w:initials="Ga">
    <w:p w14:paraId="4F20F794" w14:textId="71F9FD6A" w:rsidR="3CDEEDA7" w:rsidRDefault="3CDEEDA7">
      <w:r>
        <w:t>ok</w:t>
      </w:r>
      <w:r>
        <w:annotationRef/>
      </w:r>
    </w:p>
  </w:comment>
  <w:comment w:id="490" w:author="Claire Furey" w:date="2022-05-25T17:48:00Z" w:initials="CF">
    <w:p w14:paraId="5403ECE8" w14:textId="62560554" w:rsidR="00CF0F0E" w:rsidRDefault="00CF0F0E">
      <w:r>
        <w:annotationRef/>
      </w:r>
      <w:r>
        <w:t>The citation details for this indicate that a data set name should be added. Can this be added here?</w:t>
      </w:r>
    </w:p>
  </w:comment>
  <w:comment w:id="491" w:author="Gastgebruiker" w:date="2022-06-01T11:17:00Z" w:initials="Ga">
    <w:p w14:paraId="6FB094B4" w14:textId="28AAA038" w:rsidR="3CDEEDA7" w:rsidRDefault="3CDEEDA7">
      <w:r>
        <w:t>In this case, the data set name is CPRD Aurum which is already mentioned in the citation.</w:t>
      </w:r>
      <w:r>
        <w:annotationRef/>
      </w:r>
    </w:p>
  </w:comment>
  <w:comment w:id="492" w:author="Claire Furey" w:date="2022-05-25T17:56:00Z" w:initials="CF">
    <w:p w14:paraId="738CD867" w14:textId="01EC26C8" w:rsidR="00CF0F0E" w:rsidRDefault="00CF0F0E">
      <w:r>
        <w:annotationRef/>
      </w:r>
      <w:r>
        <w:t>Publisher name and location added; OK?</w:t>
      </w:r>
    </w:p>
  </w:comment>
  <w:comment w:id="493" w:author="Gastgebruiker" w:date="2022-06-01T11:17:00Z" w:initials="Ga">
    <w:p w14:paraId="6E92C091" w14:textId="1A00E1F0" w:rsidR="3CDEEDA7" w:rsidRDefault="3CDEEDA7">
      <w:r>
        <w:t>ok</w:t>
      </w:r>
      <w:r>
        <w:annotationRef/>
      </w:r>
    </w:p>
  </w:comment>
  <w:comment w:id="494" w:author="NIHR standard" w:date="2022-04-22T14:34:00Z" w:initials="PP">
    <w:p w14:paraId="0EF9A559" w14:textId="7E95CF91" w:rsidR="00EF77DB" w:rsidRDefault="00EF77DB" w:rsidP="00EF77DB">
      <w:r>
        <w:annotationRef/>
      </w:r>
      <w:r>
        <w:t xml:space="preserve">The </w:t>
      </w:r>
      <w:r w:rsidR="00CF0F0E">
        <w:t xml:space="preserve">volume and </w:t>
      </w:r>
      <w:r>
        <w:t>page range ha</w:t>
      </w:r>
      <w:r w:rsidR="00CF0F0E">
        <w:t>ve</w:t>
      </w:r>
      <w:r>
        <w:t xml:space="preserve"> been </w:t>
      </w:r>
      <w:r w:rsidR="00CF0F0E">
        <w:t>added</w:t>
      </w:r>
      <w:r>
        <w:t>; OK?</w:t>
      </w:r>
    </w:p>
  </w:comment>
  <w:comment w:id="495" w:author="Gastgebruiker" w:date="2022-06-01T11:17:00Z" w:initials="Ga">
    <w:p w14:paraId="6F82FA7A" w14:textId="6018C00D" w:rsidR="3CDEEDA7" w:rsidRDefault="3CDEEDA7">
      <w:r>
        <w:t>ok</w:t>
      </w:r>
      <w:r>
        <w:annotationRef/>
      </w:r>
    </w:p>
  </w:comment>
  <w:comment w:id="496" w:author="Claire Furey" w:date="2022-05-25T18:05:00Z" w:initials="CF">
    <w:p w14:paraId="69B22A31" w14:textId="77777777" w:rsidR="00CF0F0E" w:rsidRDefault="00CF0F0E">
      <w:pPr>
        <w:rPr>
          <w:sz w:val="23"/>
          <w:szCs w:val="23"/>
        </w:rPr>
      </w:pPr>
      <w:r>
        <w:annotationRef/>
      </w:r>
      <w:r>
        <w:t>Abstract references should be given as, for example: ‘</w:t>
      </w:r>
      <w:r>
        <w:rPr>
          <w:sz w:val="23"/>
          <w:szCs w:val="23"/>
        </w:rPr>
        <w:t xml:space="preserve">Burton G. </w:t>
      </w:r>
      <w:r>
        <w:rPr>
          <w:i/>
          <w:iCs/>
          <w:sz w:val="23"/>
          <w:szCs w:val="23"/>
        </w:rPr>
        <w:t>Active Vaginal Cones Therapy: A New Form of Treatment for Genuine Stress Incontinence</w:t>
      </w:r>
      <w:r>
        <w:rPr>
          <w:sz w:val="23"/>
          <w:szCs w:val="23"/>
        </w:rPr>
        <w:t>. Proceedings of the International Continence Society (ICS), 23rd Annual Meeting, 8–11 September 1993, Rome, Italy, abstract no. 134’.</w:t>
      </w:r>
    </w:p>
    <w:p w14:paraId="5ADF7CB9" w14:textId="598D3BF7" w:rsidR="00CF0F0E" w:rsidRDefault="00CF0F0E">
      <w:r>
        <w:rPr>
          <w:sz w:val="23"/>
          <w:szCs w:val="23"/>
        </w:rPr>
        <w:t>Please provide the necessary details for this abstract.</w:t>
      </w:r>
    </w:p>
  </w:comment>
  <w:comment w:id="497" w:author="Gastgebruiker" w:date="2022-06-01T12:24:00Z" w:initials="Ga">
    <w:p w14:paraId="744CC54E" w14:textId="5EAC9BF2" w:rsidR="43B69CA3" w:rsidRDefault="43B69CA3">
      <w:r>
        <w:t xml:space="preserve">It doesnt seem to be a conference abstract. This is the paper: </w:t>
      </w:r>
      <w:hyperlink r:id="rId4">
        <w:r w:rsidRPr="43B69CA3">
          <w:t>https://www.pjmhsonline.com/2017/jan_march/pdf/475.pdf</w:t>
        </w:r>
      </w:hyperlink>
      <w:r>
        <w:annotationRef/>
      </w:r>
    </w:p>
    <w:p w14:paraId="53DEFF86" w14:textId="0676B816" w:rsidR="43B69CA3" w:rsidRDefault="43B69CA3">
      <w:r>
        <w:t>The reference should be: Kashif, T., Kashif, A., &amp; Kashif, Z. (2017). Prevalence of Celiac Disease and Role of Anti-Tissue Transglutaminase Antibodies in Different Types of Intestinal Damage in Celiac Disease According to Marsh Classification. P J M H S Vol. 11, NO. 1, JAN – MAR 2017475</w:t>
      </w:r>
    </w:p>
  </w:comment>
  <w:comment w:id="498" w:author="Claire Furey" w:date="2022-05-25T18:10:00Z" w:initials="CF">
    <w:p w14:paraId="1DB8953E" w14:textId="42C58B9D" w:rsidR="00CF0F0E" w:rsidRPr="00CF0F0E" w:rsidRDefault="00CF0F0E">
      <w:r>
        <w:annotationRef/>
      </w:r>
      <w:r>
        <w:t xml:space="preserve">Please provide the first six author names before </w:t>
      </w:r>
      <w:r>
        <w:rPr>
          <w:i/>
          <w:iCs/>
        </w:rPr>
        <w:t>et al</w:t>
      </w:r>
      <w:r>
        <w:t>.</w:t>
      </w:r>
    </w:p>
  </w:comment>
  <w:comment w:id="499" w:author="Gastgebruiker" w:date="2022-06-01T12:28:00Z" w:initials="Ga">
    <w:p w14:paraId="5B0DD22E" w14:textId="6B8A77AE" w:rsidR="43B69CA3" w:rsidRDefault="00C74EAF">
      <w:hyperlink r:id="rId5">
        <w:r w:rsidR="43B69CA3" w:rsidRPr="43B69CA3">
          <w:rPr>
            <w:b/>
            <w:bCs/>
          </w:rPr>
          <w:t>Gabriela Longarini</w:t>
        </w:r>
      </w:hyperlink>
      <w:r w:rsidR="43B69CA3" w:rsidRPr="43B69CA3">
        <w:rPr>
          <w:b/>
          <w:bCs/>
        </w:rPr>
        <w:t xml:space="preserve">,  </w:t>
      </w:r>
      <w:hyperlink r:id="rId6">
        <w:r w:rsidR="43B69CA3" w:rsidRPr="43B69CA3">
          <w:rPr>
            <w:b/>
            <w:bCs/>
          </w:rPr>
          <w:t>Emilia Sugai</w:t>
        </w:r>
      </w:hyperlink>
      <w:r w:rsidR="43B69CA3" w:rsidRPr="43B69CA3">
        <w:rPr>
          <w:b/>
          <w:bCs/>
        </w:rPr>
        <w:t xml:space="preserve">, </w:t>
      </w:r>
      <w:hyperlink r:id="rId7">
        <w:r w:rsidR="43B69CA3" w:rsidRPr="43B69CA3">
          <w:rPr>
            <w:b/>
            <w:bCs/>
          </w:rPr>
          <w:t>Hui Hwang</w:t>
        </w:r>
      </w:hyperlink>
      <w:r w:rsidR="43B69CA3" w:rsidRPr="43B69CA3">
        <w:rPr>
          <w:b/>
          <w:bCs/>
        </w:rPr>
        <w:t xml:space="preserve">, </w:t>
      </w:r>
      <w:hyperlink r:id="rId8">
        <w:r w:rsidR="43B69CA3" w:rsidRPr="43B69CA3">
          <w:rPr>
            <w:b/>
            <w:bCs/>
          </w:rPr>
          <w:t>Fabio Nachman</w:t>
        </w:r>
      </w:hyperlink>
      <w:r w:rsidR="43B69CA3" w:rsidRPr="43B69CA3">
        <w:rPr>
          <w:b/>
          <w:bCs/>
        </w:rPr>
        <w:t xml:space="preserve">, </w:t>
      </w:r>
      <w:hyperlink r:id="rId9">
        <w:r w:rsidR="43B69CA3" w:rsidRPr="43B69CA3">
          <w:rPr>
            <w:b/>
            <w:bCs/>
          </w:rPr>
          <w:t>Horacio Vazquez</w:t>
        </w:r>
      </w:hyperlink>
      <w:r w:rsidR="43B69CA3" w:rsidRPr="43B69CA3">
        <w:rPr>
          <w:b/>
          <w:bCs/>
        </w:rPr>
        <w:t xml:space="preserve">, </w:t>
      </w:r>
      <w:hyperlink r:id="rId10">
        <w:r w:rsidR="43B69CA3" w:rsidRPr="43B69CA3">
          <w:rPr>
            <w:b/>
            <w:bCs/>
          </w:rPr>
          <w:t>Ana Costa</w:t>
        </w:r>
      </w:hyperlink>
      <w:r w:rsidR="43B69CA3" w:rsidRPr="43B69CA3">
        <w:rPr>
          <w:b/>
          <w:bCs/>
        </w:rPr>
        <w:t>, et al.</w:t>
      </w:r>
      <w:r w:rsidR="43B69CA3">
        <w:annotationRef/>
      </w:r>
    </w:p>
  </w:comment>
  <w:comment w:id="500" w:author="Claire Furey" w:date="2022-05-25T18:33:00Z" w:initials="CF">
    <w:p w14:paraId="0C850CD4" w14:textId="4F25001B" w:rsidR="00CF0F0E" w:rsidRDefault="00CF0F0E">
      <w:r>
        <w:annotationRef/>
      </w:r>
      <w:r>
        <w:t>Reference amended; OK?</w:t>
      </w:r>
    </w:p>
  </w:comment>
  <w:comment w:id="501" w:author="Gastgebruiker" w:date="2022-06-01T11:18:00Z" w:initials="Ga">
    <w:p w14:paraId="2B4495B6" w14:textId="5ED95D4C" w:rsidR="3CDEEDA7" w:rsidRDefault="3CDEEDA7">
      <w:r>
        <w:t>ok</w:t>
      </w:r>
      <w:r>
        <w:annotationRef/>
      </w:r>
    </w:p>
  </w:comment>
  <w:comment w:id="502" w:author="NIHR standard" w:date="2022-04-22T14:34:00Z" w:initials="PP">
    <w:p w14:paraId="56AE2F9F" w14:textId="77777777" w:rsidR="00EF77DB" w:rsidRDefault="00EF77DB" w:rsidP="00EF77DB">
      <w:r>
        <w:annotationRef/>
      </w:r>
      <w:r>
        <w:t>The page range has been amended to match that in PubMed; OK?</w:t>
      </w:r>
    </w:p>
  </w:comment>
  <w:comment w:id="503" w:author="Gastgebruiker" w:date="2022-06-01T11:18:00Z" w:initials="Ga">
    <w:p w14:paraId="6A3BC562" w14:textId="24879957" w:rsidR="3CDEEDA7" w:rsidRDefault="3CDEEDA7">
      <w:r>
        <w:t>ok</w:t>
      </w:r>
      <w:r>
        <w:annotationRef/>
      </w:r>
    </w:p>
  </w:comment>
  <w:comment w:id="504" w:author="Claire Furey" w:date="2022-05-26T09:56:00Z" w:initials="CF">
    <w:p w14:paraId="424B398F" w14:textId="57E75942" w:rsidR="00717A58" w:rsidRDefault="00717A58">
      <w:r>
        <w:annotationRef/>
      </w:r>
      <w:r>
        <w:t>Please provide the journal name.</w:t>
      </w:r>
    </w:p>
  </w:comment>
  <w:comment w:id="505" w:author="Gastgebruiker" w:date="2022-06-01T12:33:00Z" w:initials="Ga">
    <w:p w14:paraId="5B52DD08" w14:textId="33B25AD3" w:rsidR="43B69CA3" w:rsidRDefault="43B69CA3">
      <w:r w:rsidRPr="43B69CA3">
        <w:rPr>
          <w:i/>
          <w:iCs/>
        </w:rPr>
        <w:t>Gastroenterologia Polska</w:t>
      </w:r>
      <w:r>
        <w:annotationRef/>
      </w:r>
    </w:p>
  </w:comment>
  <w:comment w:id="506" w:author="NIHR standard" w:date="2022-04-22T14:34:00Z" w:initials="PP">
    <w:p w14:paraId="328E37C6" w14:textId="27528F3B" w:rsidR="00EF77DB" w:rsidRDefault="00EF77DB" w:rsidP="00EF77DB">
      <w:r>
        <w:annotationRef/>
      </w:r>
      <w:r>
        <w:t xml:space="preserve">The page range has been </w:t>
      </w:r>
      <w:r w:rsidR="00BD3CBB">
        <w:t>added</w:t>
      </w:r>
      <w:r>
        <w:t>; OK?</w:t>
      </w:r>
    </w:p>
  </w:comment>
  <w:comment w:id="507" w:author="Gastgebruiker" w:date="2022-06-01T11:18:00Z" w:initials="Ga">
    <w:p w14:paraId="58559375" w14:textId="117ED53A" w:rsidR="3CDEEDA7" w:rsidRDefault="3CDEEDA7">
      <w:r>
        <w:t>ok</w:t>
      </w:r>
      <w:r>
        <w:annotationRef/>
      </w:r>
    </w:p>
  </w:comment>
  <w:comment w:id="508" w:author="Claire Furey" w:date="2022-05-26T10:06:00Z" w:initials="CF">
    <w:p w14:paraId="62C0B431" w14:textId="2D055D5D" w:rsidR="00795A88" w:rsidRDefault="00795A88">
      <w:r>
        <w:annotationRef/>
      </w:r>
      <w:r>
        <w:t>Journal name amended and page number added; OK?</w:t>
      </w:r>
    </w:p>
  </w:comment>
  <w:comment w:id="509" w:author="Gastgebruiker" w:date="2022-06-01T11:18:00Z" w:initials="Ga">
    <w:p w14:paraId="4939C435" w14:textId="1A6ECBA6" w:rsidR="3CDEEDA7" w:rsidRDefault="3CDEEDA7">
      <w:r>
        <w:t>ok</w:t>
      </w:r>
      <w:r>
        <w:annotationRef/>
      </w:r>
    </w:p>
  </w:comment>
  <w:comment w:id="510" w:author="NIHR standard" w:date="2022-04-22T14:34:00Z" w:initials="PP">
    <w:p w14:paraId="7B5B5DAF" w14:textId="09FD5A00" w:rsidR="00EF77DB" w:rsidRDefault="00EF77DB" w:rsidP="00EF77DB">
      <w:r>
        <w:annotationRef/>
      </w:r>
      <w:r>
        <w:t xml:space="preserve">The page range has been </w:t>
      </w:r>
      <w:r w:rsidR="00DB6489">
        <w:t>added</w:t>
      </w:r>
      <w:r>
        <w:t>; OK?</w:t>
      </w:r>
    </w:p>
  </w:comment>
  <w:comment w:id="511" w:author="Gastgebruiker" w:date="2022-06-01T11:19:00Z" w:initials="Ga">
    <w:p w14:paraId="4F9F288B" w14:textId="37F18632" w:rsidR="3CDEEDA7" w:rsidRDefault="3CDEEDA7">
      <w:r>
        <w:t>ok</w:t>
      </w:r>
      <w:r>
        <w:annotationRef/>
      </w:r>
    </w:p>
  </w:comment>
  <w:comment w:id="512" w:author="Claire Furey" w:date="2022-05-26T10:19:00Z" w:initials="CF">
    <w:p w14:paraId="7D745C19" w14:textId="2DF1F8F6" w:rsidR="007466E4" w:rsidRDefault="007466E4">
      <w:r>
        <w:annotationRef/>
      </w:r>
      <w:r>
        <w:t>Please provide the publisher location.</w:t>
      </w:r>
    </w:p>
  </w:comment>
  <w:comment w:id="513" w:author="Gastgebruiker" w:date="2022-06-01T12:34:00Z" w:initials="Ga">
    <w:p w14:paraId="7E660EF1" w14:textId="6976337B" w:rsidR="43B69CA3" w:rsidRDefault="43B69CA3">
      <w:r>
        <w:t>Dordrecht</w:t>
      </w:r>
      <w:r>
        <w:annotationRef/>
      </w:r>
    </w:p>
  </w:comment>
  <w:comment w:id="514" w:author="Claire Furey" w:date="2022-06-23T10:11:00Z" w:initials="CF">
    <w:p w14:paraId="0B9D0620" w14:textId="77777777" w:rsidR="00B855EF" w:rsidRDefault="007E09BA" w:rsidP="00EC4559">
      <w:r>
        <w:annotationRef/>
      </w:r>
      <w:r w:rsidR="00B855EF">
        <w:t xml:space="preserve">Is this a duplicate of reference 95 [Kurien M, Johnston A, Avgerinos A, Sanders DS. Does IgA tissue transglutaminase antibody levels correlate with histological findings of Coeliac Disease (CD)? </w:t>
      </w:r>
      <w:r w:rsidR="00B855EF">
        <w:rPr>
          <w:i/>
          <w:iCs/>
        </w:rPr>
        <w:t>United</w:t>
      </w:r>
      <w:r w:rsidR="00B855EF">
        <w:t xml:space="preserve"> </w:t>
      </w:r>
      <w:r w:rsidR="00B855EF">
        <w:rPr>
          <w:i/>
          <w:iCs/>
        </w:rPr>
        <w:t>European</w:t>
      </w:r>
      <w:r w:rsidR="00B855EF">
        <w:t xml:space="preserve"> </w:t>
      </w:r>
      <w:r w:rsidR="00B855EF">
        <w:rPr>
          <w:i/>
          <w:iCs/>
        </w:rPr>
        <w:t>Gastroenterol</w:t>
      </w:r>
      <w:r w:rsidR="00B855EF">
        <w:t xml:space="preserve"> </w:t>
      </w:r>
      <w:r w:rsidR="00B855EF">
        <w:rPr>
          <w:i/>
          <w:iCs/>
        </w:rPr>
        <w:t>J</w:t>
      </w:r>
      <w:r w:rsidR="00B855EF">
        <w:t xml:space="preserve"> 2013;</w:t>
      </w:r>
      <w:r w:rsidR="00B855EF">
        <w:rPr>
          <w:b/>
          <w:bCs/>
        </w:rPr>
        <w:t>1</w:t>
      </w:r>
      <w:r w:rsidR="00B855EF">
        <w:t>:A22–A3.]?</w:t>
      </w:r>
    </w:p>
  </w:comment>
  <w:comment w:id="515" w:author="Claire Furey" w:date="2022-05-30T17:00:00Z" w:initials="CF">
    <w:p w14:paraId="351D87DC" w14:textId="49243741" w:rsidR="00D60CD2" w:rsidRDefault="00D60CD2">
      <w:r>
        <w:annotationRef/>
      </w:r>
      <w:r>
        <w:t>URLs and dates of access added; OK?</w:t>
      </w:r>
    </w:p>
  </w:comment>
  <w:comment w:id="516" w:author="Gastgebruiker" w:date="2022-06-01T11:20:00Z" w:initials="Ga">
    <w:p w14:paraId="760EE162" w14:textId="4CE0921C" w:rsidR="3CDEEDA7" w:rsidRDefault="3CDEEDA7">
      <w:r>
        <w:t>ok</w:t>
      </w:r>
      <w:r>
        <w:annotationRef/>
      </w:r>
    </w:p>
  </w:comment>
  <w:comment w:id="517" w:author="Claire Furey" w:date="2022-05-27T13:47:00Z" w:initials="CF">
    <w:p w14:paraId="46FDD104" w14:textId="30CFB30C" w:rsidR="00034043" w:rsidRDefault="00034043">
      <w:r>
        <w:annotationRef/>
      </w:r>
      <w:r>
        <w:t>Please provide a URL and date of access or the publisher name and location and year of publication.</w:t>
      </w:r>
    </w:p>
  </w:comment>
  <w:comment w:id="518" w:author="Gastgebruiker" w:date="2022-06-01T12:38:00Z" w:initials="Ga">
    <w:p w14:paraId="3C4CEDBA" w14:textId="00B839D8" w:rsidR="43B69CA3" w:rsidRDefault="00C74EAF">
      <w:hyperlink r:id="rId11">
        <w:r w:rsidR="43B69CA3" w:rsidRPr="43B69CA3">
          <w:t>https://www.nisra.gov.uk/statistics/deprivation</w:t>
        </w:r>
      </w:hyperlink>
      <w:r w:rsidR="43B69CA3">
        <w:annotationRef/>
      </w:r>
    </w:p>
    <w:p w14:paraId="5478F5FF" w14:textId="4818F6F0" w:rsidR="43B69CA3" w:rsidRDefault="43B69CA3">
      <w:r>
        <w:t xml:space="preserve"> (accessed 27 May 2022)</w:t>
      </w:r>
    </w:p>
    <w:p w14:paraId="3F4EA2AF" w14:textId="72FF8274" w:rsidR="43B69CA3" w:rsidRDefault="43B69CA3">
      <w:r>
        <w:t>2017</w:t>
      </w:r>
    </w:p>
  </w:comment>
  <w:comment w:id="519" w:author="NIHR standard" w:date="2022-04-22T14:35:00Z" w:initials="PP">
    <w:p w14:paraId="51B69BC1" w14:textId="77777777" w:rsidR="00EF77DB" w:rsidRDefault="00EF77DB" w:rsidP="00EF77DB">
      <w:r>
        <w:annotationRef/>
      </w:r>
      <w:r>
        <w:t>The volume has been amended to match that in PubMed; OK?</w:t>
      </w:r>
    </w:p>
  </w:comment>
  <w:comment w:id="520" w:author="Gastgebruiker" w:date="2022-06-01T11:20:00Z" w:initials="Ga">
    <w:p w14:paraId="09D4948C" w14:textId="0DD8E69F" w:rsidR="3CDEEDA7" w:rsidRDefault="3CDEEDA7">
      <w:r>
        <w:t>ok</w:t>
      </w:r>
      <w:r>
        <w:annotationRef/>
      </w:r>
    </w:p>
  </w:comment>
  <w:comment w:id="521" w:author="Claire Furey" w:date="2022-05-27T14:11:00Z" w:initials="CF">
    <w:p w14:paraId="32AA879A" w14:textId="194ACE64" w:rsidR="00F25D10" w:rsidRDefault="00F25D10">
      <w:r>
        <w:annotationRef/>
      </w:r>
      <w:r>
        <w:t>Reference amended; OK?</w:t>
      </w:r>
    </w:p>
  </w:comment>
  <w:comment w:id="522" w:author="Gastgebruiker" w:date="2022-06-01T11:20:00Z" w:initials="Ga">
    <w:p w14:paraId="2F17BA72" w14:textId="789EF637" w:rsidR="3CDEEDA7" w:rsidRDefault="3CDEEDA7">
      <w:r>
        <w:t>ok</w:t>
      </w:r>
      <w:r>
        <w:annotationRef/>
      </w:r>
    </w:p>
  </w:comment>
  <w:comment w:id="523" w:author="NIHR standard" w:date="2022-04-22T14:35:00Z" w:initials="PP">
    <w:p w14:paraId="277950B6" w14:textId="782F839A" w:rsidR="00EF77DB" w:rsidRDefault="00EF77DB" w:rsidP="00EF77DB">
      <w:r>
        <w:annotationRef/>
      </w:r>
      <w:r>
        <w:t xml:space="preserve">The page range has been </w:t>
      </w:r>
      <w:r w:rsidR="008A6177">
        <w:t>added</w:t>
      </w:r>
      <w:r>
        <w:t>; OK?</w:t>
      </w:r>
    </w:p>
  </w:comment>
  <w:comment w:id="524" w:author="Gastgebruiker" w:date="2022-06-01T11:20:00Z" w:initials="Ga">
    <w:p w14:paraId="4308EA94" w14:textId="00C4D00B" w:rsidR="3CDEEDA7" w:rsidRDefault="3CDEEDA7">
      <w:r>
        <w:t>ok</w:t>
      </w:r>
      <w:r>
        <w:annotationRef/>
      </w:r>
    </w:p>
  </w:comment>
  <w:comment w:id="525" w:author="Claire Furey" w:date="2022-05-27T14:24:00Z" w:initials="CF">
    <w:p w14:paraId="0A84DAE5" w14:textId="39481C0D" w:rsidR="006227FB" w:rsidRDefault="006227FB">
      <w:r>
        <w:annotationRef/>
      </w:r>
      <w:r>
        <w:t>Publisher name and location added; OK?</w:t>
      </w:r>
    </w:p>
  </w:comment>
  <w:comment w:id="526" w:author="Gastgebruiker" w:date="2022-06-01T11:20:00Z" w:initials="Ga">
    <w:p w14:paraId="1DFC89D6" w14:textId="2DCFAF2B" w:rsidR="3CDEEDA7" w:rsidRDefault="3CDEEDA7">
      <w:r>
        <w:t>ok</w:t>
      </w:r>
      <w:r>
        <w:annotationRef/>
      </w:r>
    </w:p>
  </w:comment>
  <w:comment w:id="527" w:author="Claire Furey" w:date="2022-05-27T14:28:00Z" w:initials="CF">
    <w:p w14:paraId="7CD89A9B" w14:textId="1E4F8F4D" w:rsidR="00580C26" w:rsidRDefault="00580C26">
      <w:r>
        <w:annotationRef/>
      </w:r>
      <w:r>
        <w:t>Reference amended; OK?</w:t>
      </w:r>
    </w:p>
  </w:comment>
  <w:comment w:id="528" w:author="Gastgebruiker" w:date="2022-06-01T11:20:00Z" w:initials="Ga">
    <w:p w14:paraId="53D10B8E" w14:textId="54083F04" w:rsidR="3CDEEDA7" w:rsidRDefault="3CDEEDA7">
      <w:r>
        <w:t>ok</w:t>
      </w:r>
      <w:r>
        <w:annotationRef/>
      </w:r>
    </w:p>
  </w:comment>
  <w:comment w:id="529" w:author="Claire Furey" w:date="2022-05-27T14:30:00Z" w:initials="CF">
    <w:p w14:paraId="034708AD" w14:textId="5BA742BB" w:rsidR="006235F9" w:rsidRDefault="006235F9">
      <w:r>
        <w:annotationRef/>
      </w:r>
      <w:r>
        <w:t>URL amended and date of access added; OK?</w:t>
      </w:r>
    </w:p>
  </w:comment>
  <w:comment w:id="530" w:author="Gastgebruiker" w:date="2022-06-01T11:21:00Z" w:initials="Ga">
    <w:p w14:paraId="14EE4EAB" w14:textId="1A9CED54" w:rsidR="3CDEEDA7" w:rsidRDefault="3CDEEDA7">
      <w:r>
        <w:t>ok</w:t>
      </w:r>
      <w:r>
        <w:annotationRef/>
      </w:r>
    </w:p>
  </w:comment>
  <w:comment w:id="531" w:author="Claire Furey" w:date="2022-05-27T14:34:00Z" w:initials="CF">
    <w:p w14:paraId="6BB031A6" w14:textId="7CFA3C18" w:rsidR="00085C19" w:rsidRDefault="00085C19">
      <w:r>
        <w:annotationRef/>
      </w:r>
      <w:r>
        <w:t>Year amended and volume and page range added; OK?</w:t>
      </w:r>
    </w:p>
  </w:comment>
  <w:comment w:id="532" w:author="Gastgebruiker" w:date="2022-06-01T11:21:00Z" w:initials="Ga">
    <w:p w14:paraId="019E86F8" w14:textId="7BD0889C" w:rsidR="3CDEEDA7" w:rsidRDefault="3CDEEDA7">
      <w:r>
        <w:t>ok</w:t>
      </w:r>
      <w:r>
        <w:annotationRef/>
      </w:r>
    </w:p>
  </w:comment>
  <w:comment w:id="533" w:author="Claire Furey" w:date="2022-05-27T14:39:00Z" w:initials="CF">
    <w:p w14:paraId="760966EE" w14:textId="365799A4" w:rsidR="00B63A0C" w:rsidRDefault="00B63A0C">
      <w:r>
        <w:annotationRef/>
      </w:r>
      <w:r>
        <w:t>URL and date of access added; OK?</w:t>
      </w:r>
    </w:p>
  </w:comment>
  <w:comment w:id="534" w:author="Gastgebruiker" w:date="2022-06-01T11:21:00Z" w:initials="Ga">
    <w:p w14:paraId="69582C06" w14:textId="59DA9CD6" w:rsidR="3CDEEDA7" w:rsidRDefault="3CDEEDA7">
      <w:r>
        <w:t>ok</w:t>
      </w:r>
      <w:r>
        <w:annotationRef/>
      </w:r>
    </w:p>
  </w:comment>
  <w:comment w:id="535" w:author="Claire Furey" w:date="2022-06-23T10:48:00Z" w:initials="CF">
    <w:p w14:paraId="4FDDD615" w14:textId="77777777" w:rsidR="008D1A2C" w:rsidRDefault="0019562D" w:rsidP="004B4A3B">
      <w:r>
        <w:annotationRef/>
      </w:r>
      <w:r w:rsidR="008D1A2C">
        <w:rPr>
          <w:rFonts w:asciiTheme="minorHAnsi" w:eastAsiaTheme="minorHAnsi" w:hAnsiTheme="minorHAnsi" w:cstheme="minorBidi"/>
          <w:sz w:val="22"/>
          <w:szCs w:val="22"/>
          <w:lang w:val="en-GB"/>
        </w:rPr>
        <w:t xml:space="preserve">Is this a duplicate of reference 33 (R Core Team. </w:t>
      </w:r>
      <w:r w:rsidR="008D1A2C">
        <w:rPr>
          <w:rFonts w:asciiTheme="minorHAnsi" w:eastAsiaTheme="minorHAnsi" w:hAnsiTheme="minorHAnsi" w:cstheme="minorBidi"/>
          <w:i/>
          <w:iCs/>
          <w:sz w:val="22"/>
          <w:szCs w:val="22"/>
          <w:lang w:val="en-GB"/>
        </w:rPr>
        <w:t>R: A Language and Environment for Statistical Computing</w:t>
      </w:r>
      <w:r w:rsidR="008D1A2C">
        <w:rPr>
          <w:rFonts w:asciiTheme="minorHAnsi" w:eastAsiaTheme="minorHAnsi" w:hAnsiTheme="minorHAnsi" w:cstheme="minorBidi"/>
          <w:sz w:val="22"/>
          <w:szCs w:val="22"/>
          <w:lang w:val="en-GB"/>
        </w:rPr>
        <w:t>. Vienna: R Foundation for Statistical Computing; 2020)?</w:t>
      </w:r>
    </w:p>
  </w:comment>
  <w:comment w:id="536" w:author="NIHR standard" w:date="2022-04-22T14:35:00Z" w:initials="PP">
    <w:p w14:paraId="2C84484D" w14:textId="6B4C6830" w:rsidR="00EF77DB" w:rsidRDefault="00EF77DB" w:rsidP="00EF77DB">
      <w:r>
        <w:annotationRef/>
      </w:r>
      <w:r>
        <w:t xml:space="preserve">The volume </w:t>
      </w:r>
      <w:r w:rsidR="00477BD1">
        <w:t xml:space="preserve">and page range </w:t>
      </w:r>
      <w:r>
        <w:t>ha</w:t>
      </w:r>
      <w:r w:rsidR="00477BD1">
        <w:t>ve</w:t>
      </w:r>
      <w:r>
        <w:t xml:space="preserve"> been </w:t>
      </w:r>
      <w:r w:rsidR="00477BD1">
        <w:t>added</w:t>
      </w:r>
      <w:r>
        <w:t>; OK?</w:t>
      </w:r>
    </w:p>
  </w:comment>
  <w:comment w:id="537" w:author="Gastgebruiker" w:date="2022-06-01T11:21:00Z" w:initials="Ga">
    <w:p w14:paraId="5C3EB403" w14:textId="49A7F116" w:rsidR="3CDEEDA7" w:rsidRDefault="3CDEEDA7">
      <w:r>
        <w:t>ok</w:t>
      </w:r>
      <w:r>
        <w:annotationRef/>
      </w:r>
    </w:p>
  </w:comment>
  <w:comment w:id="538" w:author="NIHR standard" w:date="2022-04-22T14:36:00Z" w:initials="PP">
    <w:p w14:paraId="1D16EEC5" w14:textId="70F30956" w:rsidR="00EF77DB" w:rsidRDefault="00EF77DB" w:rsidP="00EF77DB">
      <w:r>
        <w:annotationRef/>
      </w:r>
      <w:r>
        <w:t xml:space="preserve">The page </w:t>
      </w:r>
      <w:r w:rsidR="00F77505">
        <w:t>number</w:t>
      </w:r>
      <w:r>
        <w:t xml:space="preserve"> has been </w:t>
      </w:r>
      <w:r w:rsidR="00F77505">
        <w:t>added</w:t>
      </w:r>
      <w:r>
        <w:t>; OK?</w:t>
      </w:r>
    </w:p>
  </w:comment>
  <w:comment w:id="539" w:author="Gastgebruiker" w:date="2022-06-01T11:21:00Z" w:initials="Ga">
    <w:p w14:paraId="669C9C3F" w14:textId="55344638" w:rsidR="3CDEEDA7" w:rsidRDefault="3CDEEDA7">
      <w:r>
        <w:t>ok</w:t>
      </w:r>
      <w:r>
        <w:annotationRef/>
      </w:r>
    </w:p>
  </w:comment>
  <w:comment w:id="540" w:author="Claire Furey" w:date="2022-05-27T14:55:00Z" w:initials="CF">
    <w:p w14:paraId="2BFF6157" w14:textId="3459EF0B" w:rsidR="002E4E1F" w:rsidRDefault="002E4E1F">
      <w:r>
        <w:annotationRef/>
      </w:r>
      <w:r>
        <w:t>Please provide the author name and publisher name and location, or a URL and date of access.</w:t>
      </w:r>
    </w:p>
  </w:comment>
  <w:comment w:id="541" w:author="Gastgebruiker" w:date="2022-06-01T12:39:00Z" w:initials="Ga">
    <w:p w14:paraId="0A511FC7" w14:textId="4C831B84" w:rsidR="43B69CA3" w:rsidRDefault="00C74EAF">
      <w:hyperlink r:id="rId12">
        <w:r w:rsidR="43B69CA3" w:rsidRPr="43B69CA3">
          <w:t>https://www.gov.uk/government/publications/evidence-review-criteria-national-screening-programmes/criteria-for-appraising-the-viability-effectiveness-and-appropriateness-of-a-screening-programme</w:t>
        </w:r>
      </w:hyperlink>
      <w:r w:rsidR="43B69CA3">
        <w:annotationRef/>
      </w:r>
    </w:p>
    <w:p w14:paraId="04E6DA53" w14:textId="41319113" w:rsidR="43B69CA3" w:rsidRDefault="43B69CA3">
      <w:r>
        <w:t xml:space="preserve"> (accessed 27 May 2022)</w:t>
      </w:r>
    </w:p>
  </w:comment>
  <w:comment w:id="542" w:author="NIHR standard" w:date="2022-04-22T14:37:00Z" w:initials="PP">
    <w:p w14:paraId="0B92D00F" w14:textId="21F0F0B0" w:rsidR="00EF77DB" w:rsidRDefault="00EF77DB" w:rsidP="00EF77DB">
      <w:r>
        <w:annotationRef/>
      </w:r>
      <w:r>
        <w:t xml:space="preserve">The </w:t>
      </w:r>
      <w:r w:rsidR="00A010D3">
        <w:t xml:space="preserve">volume and </w:t>
      </w:r>
      <w:r>
        <w:t>page range ha</w:t>
      </w:r>
      <w:r w:rsidR="00A010D3">
        <w:t>ve</w:t>
      </w:r>
      <w:r>
        <w:t xml:space="preserve"> been </w:t>
      </w:r>
      <w:r w:rsidR="00A010D3">
        <w:t>added</w:t>
      </w:r>
      <w:r>
        <w:t>; OK?</w:t>
      </w:r>
    </w:p>
  </w:comment>
  <w:comment w:id="543" w:author="Gastgebruiker" w:date="2022-06-01T11:22:00Z" w:initials="Ga">
    <w:p w14:paraId="657E315F" w14:textId="0BB79C61" w:rsidR="3CDEEDA7" w:rsidRDefault="3CDEEDA7">
      <w:r>
        <w:t>ok</w:t>
      </w:r>
      <w:r>
        <w:annotationRef/>
      </w:r>
    </w:p>
  </w:comment>
  <w:comment w:id="544" w:author="NIHR standard" w:date="2022-04-22T14:37:00Z" w:initials="PP">
    <w:p w14:paraId="4275EB1D" w14:textId="011B9F8A" w:rsidR="00EF77DB" w:rsidRDefault="00EF77DB" w:rsidP="00EF77DB">
      <w:r>
        <w:annotationRef/>
      </w:r>
      <w:r>
        <w:t xml:space="preserve">The page </w:t>
      </w:r>
      <w:r w:rsidR="00887986">
        <w:t>number</w:t>
      </w:r>
      <w:r>
        <w:t xml:space="preserve"> has been </w:t>
      </w:r>
      <w:r w:rsidR="00887986">
        <w:t>added</w:t>
      </w:r>
      <w:r>
        <w:t>; OK?</w:t>
      </w:r>
    </w:p>
  </w:comment>
  <w:comment w:id="545" w:author="Gastgebruiker" w:date="2022-06-01T11:22:00Z" w:initials="Ga">
    <w:p w14:paraId="6C4ECF24" w14:textId="253B25C0" w:rsidR="3CDEEDA7" w:rsidRDefault="3CDEEDA7">
      <w:r>
        <w:t>ok</w:t>
      </w:r>
      <w:r>
        <w:annotationRef/>
      </w:r>
    </w:p>
  </w:comment>
  <w:comment w:id="546" w:author="Claire Furey" w:date="2022-05-27T15:17:00Z" w:initials="CF">
    <w:p w14:paraId="429AFB0F" w14:textId="17E02C71" w:rsidR="00F03CE3" w:rsidRDefault="00F03CE3">
      <w:r>
        <w:annotationRef/>
      </w:r>
      <w:r>
        <w:t>Page number added; OK?</w:t>
      </w:r>
    </w:p>
  </w:comment>
  <w:comment w:id="547" w:author="Gastgebruiker" w:date="2022-06-01T11:22:00Z" w:initials="Ga">
    <w:p w14:paraId="1B8AAF5F" w14:textId="59DBD85E" w:rsidR="3CDEEDA7" w:rsidRDefault="3CDEEDA7">
      <w:r>
        <w:t>ok</w:t>
      </w:r>
      <w:r>
        <w:annotationRef/>
      </w:r>
    </w:p>
  </w:comment>
  <w:comment w:id="548" w:author="Claire Furey" w:date="2022-05-27T15:43:00Z" w:initials="CF">
    <w:p w14:paraId="381CFBE9" w14:textId="37FECA6F" w:rsidR="00E116CA" w:rsidRDefault="00E116CA">
      <w:r>
        <w:annotationRef/>
      </w:r>
      <w:r>
        <w:t>Page range added; OK?</w:t>
      </w:r>
    </w:p>
  </w:comment>
  <w:comment w:id="549" w:author="Gastgebruiker" w:date="2022-06-01T11:22:00Z" w:initials="Ga">
    <w:p w14:paraId="403DC87A" w14:textId="6FCCC34D" w:rsidR="3CDEEDA7" w:rsidRDefault="3CDEEDA7">
      <w:r>
        <w:t>ok</w:t>
      </w:r>
      <w:r>
        <w:annotationRef/>
      </w:r>
    </w:p>
  </w:comment>
  <w:comment w:id="550" w:author="NIHR standard" w:date="2022-04-22T14:38:00Z" w:initials="PP">
    <w:p w14:paraId="6583AD90" w14:textId="2AB4316B" w:rsidR="00EF77DB" w:rsidRDefault="00EF77DB" w:rsidP="00EF77DB">
      <w:r>
        <w:annotationRef/>
      </w:r>
      <w:r>
        <w:t xml:space="preserve">The volume has been </w:t>
      </w:r>
      <w:r w:rsidR="006372F4">
        <w:t>added</w:t>
      </w:r>
      <w:r>
        <w:t>; OK?</w:t>
      </w:r>
    </w:p>
  </w:comment>
  <w:comment w:id="551" w:author="Gastgebruiker" w:date="2022-06-01T11:22:00Z" w:initials="Ga">
    <w:p w14:paraId="09CFB141" w14:textId="53FA9BF4" w:rsidR="3CDEEDA7" w:rsidRDefault="3CDEEDA7">
      <w:r>
        <w:t>ok</w:t>
      </w:r>
      <w:r>
        <w:annotationRef/>
      </w:r>
    </w:p>
  </w:comment>
  <w:comment w:id="552" w:author="Claire Furey" w:date="2022-05-27T16:01:00Z" w:initials="CF">
    <w:p w14:paraId="237A72E0" w14:textId="65E0C39B" w:rsidR="00C22C4E" w:rsidRDefault="00C22C4E">
      <w:r>
        <w:annotationRef/>
      </w:r>
      <w:r>
        <w:t>Title amended and page range added; OK?</w:t>
      </w:r>
    </w:p>
  </w:comment>
  <w:comment w:id="553" w:author="Gastgebruiker" w:date="2022-06-01T12:40:00Z" w:initials="Ga">
    <w:p w14:paraId="1AE3F859" w14:textId="7784E1F6" w:rsidR="43B69CA3" w:rsidRDefault="43B69CA3">
      <w:r>
        <w:t>ok</w:t>
      </w:r>
      <w:r>
        <w:annotationRef/>
      </w:r>
    </w:p>
  </w:comment>
  <w:comment w:id="554" w:author="Claire Furey" w:date="2022-05-27T16:10:00Z" w:initials="CF">
    <w:p w14:paraId="47E8F862" w14:textId="5F93F3C4" w:rsidR="006E05DC" w:rsidRDefault="006E05DC">
      <w:r>
        <w:annotationRef/>
      </w:r>
      <w:r>
        <w:t>Journal name added; OK?</w:t>
      </w:r>
    </w:p>
  </w:comment>
  <w:comment w:id="555" w:author="Gastgebruiker" w:date="2022-06-01T11:22:00Z" w:initials="Ga">
    <w:p w14:paraId="1088E40C" w14:textId="7A184A5F" w:rsidR="3CDEEDA7" w:rsidRDefault="3CDEEDA7">
      <w:r>
        <w:t>ok</w:t>
      </w:r>
      <w:r>
        <w:annotationRef/>
      </w:r>
    </w:p>
  </w:comment>
  <w:comment w:id="556" w:author="Claire Furey" w:date="2022-05-27T16:10:00Z" w:initials="CF">
    <w:p w14:paraId="49FB9AF1" w14:textId="525D3B1B" w:rsidR="006E05DC" w:rsidRDefault="006E05DC">
      <w:r>
        <w:annotationRef/>
      </w:r>
      <w:r>
        <w:t>This is a duplicate of 9 and so will be deleted; OK?</w:t>
      </w:r>
    </w:p>
  </w:comment>
  <w:comment w:id="557" w:author="Gastgebruiker" w:date="2022-06-01T11:22:00Z" w:initials="Ga">
    <w:p w14:paraId="4371392F" w14:textId="284D05E3" w:rsidR="3CDEEDA7" w:rsidRDefault="3CDEEDA7">
      <w:r>
        <w:t>ok</w:t>
      </w:r>
      <w:r>
        <w:annotationRef/>
      </w:r>
    </w:p>
  </w:comment>
  <w:comment w:id="564" w:author="Claire Furey" w:date="2022-06-24T11:34:00Z" w:initials="CF">
    <w:p w14:paraId="73A22441" w14:textId="77777777" w:rsidR="00E95267" w:rsidRDefault="00E95267" w:rsidP="0041629D">
      <w:r>
        <w:annotationRef/>
      </w:r>
      <w:r>
        <w:t>Titles have been added for each appendix, as per journal style. Please check if OK.</w:t>
      </w:r>
    </w:p>
  </w:comment>
  <w:comment w:id="566" w:author="Claire Furey" w:date="2022-06-20T09:59:00Z" w:initials="CF">
    <w:p w14:paraId="3F348CFF" w14:textId="69796EC3" w:rsidR="008158CF" w:rsidRDefault="008158CF" w:rsidP="00832DE4">
      <w:r>
        <w:annotationRef/>
      </w:r>
      <w:r>
        <w:t>Can the date range that was searched and the date on which the search took place be provided?</w:t>
      </w:r>
    </w:p>
  </w:comment>
  <w:comment w:id="567" w:author="Claire Furey" w:date="2022-06-20T10:18:00Z" w:initials="CF">
    <w:p w14:paraId="36F1852C" w14:textId="77777777" w:rsidR="00EC4CD5" w:rsidRDefault="00EC4CD5">
      <w:r>
        <w:annotationRef/>
      </w:r>
      <w:r>
        <w:t>Does 'SSCI' stand for '</w:t>
      </w:r>
      <w:r>
        <w:rPr>
          <w:color w:val="000000"/>
        </w:rPr>
        <w:t>Social Sciences Citation Index?</w:t>
      </w:r>
    </w:p>
    <w:p w14:paraId="6A8EA812" w14:textId="77777777" w:rsidR="00EC4CD5" w:rsidRDefault="00EC4CD5" w:rsidP="00A629FE">
      <w:r>
        <w:rPr>
          <w:color w:val="000000"/>
        </w:rPr>
        <w:t>Furthermore, is it correct that 'SCI-EXPANDED' is included twice?</w:t>
      </w:r>
    </w:p>
  </w:comment>
  <w:comment w:id="576" w:author="Claire Furey" w:date="2022-06-21T09:19:00Z" w:initials="CF">
    <w:p w14:paraId="281F9D79" w14:textId="77777777" w:rsidR="00CB1142" w:rsidRDefault="00CB1142" w:rsidP="00ED0DDF">
      <w:r>
        <w:annotationRef/>
      </w:r>
      <w:r>
        <w:t>Superscript '2' changed to 'b'. Please check if correct.</w:t>
      </w:r>
    </w:p>
  </w:comment>
  <w:comment w:id="585" w:author="Claire Furey" w:date="2022-06-21T10:20:00Z" w:initials="CF">
    <w:p w14:paraId="038C3BFD" w14:textId="77777777" w:rsidR="007A2DA2" w:rsidRDefault="007A2DA2" w:rsidP="004C7765">
      <w:r>
        <w:annotationRef/>
      </w:r>
      <w:r>
        <w:t>PsA defined as 'psoriatic arthritis'. Please check if correct.</w:t>
      </w:r>
    </w:p>
  </w:comment>
  <w:comment w:id="596" w:author="Claire Furey" w:date="2022-06-21T11:07:00Z" w:initials="CF">
    <w:p w14:paraId="2E479FD6" w14:textId="77777777" w:rsidR="008B5CB8" w:rsidRDefault="008B5CB8" w:rsidP="00F02082">
      <w:r>
        <w:annotationRef/>
      </w:r>
      <w:r>
        <w:t>'irritable bowel disease' changed to 'IBS'. Please check if correct.</w:t>
      </w:r>
    </w:p>
  </w:comment>
  <w:comment w:id="598" w:author="Claire Furey" w:date="2022-06-21T11:14:00Z" w:initials="CF">
    <w:p w14:paraId="40E97DC0" w14:textId="77777777" w:rsidR="007B22D7" w:rsidRDefault="00EA7D2E">
      <w:r>
        <w:annotationRef/>
      </w:r>
      <w:r w:rsidR="007B22D7">
        <w:t>Please provide expansions for 'HCV', 'PSC' and 'CH'.</w:t>
      </w:r>
      <w:r w:rsidR="007B22D7">
        <w:br/>
        <w:t>This also applies to HBV and AIH later in this table.</w:t>
      </w:r>
    </w:p>
    <w:p w14:paraId="0EF3D6B6" w14:textId="77777777" w:rsidR="007B22D7" w:rsidRDefault="007B22D7" w:rsidP="00BA7CA2">
      <w:r>
        <w:t>This also applies to the same acronyms in Figure 41.</w:t>
      </w:r>
    </w:p>
  </w:comment>
  <w:comment w:id="600" w:author="Claire Furey" w:date="2022-06-21T11:19:00Z" w:initials="CF">
    <w:p w14:paraId="6FDFC161" w14:textId="4469A427" w:rsidR="00EA7D2E" w:rsidRDefault="00EA7D2E" w:rsidP="00945C11">
      <w:r>
        <w:annotationRef/>
      </w:r>
      <w:r>
        <w:t>Please check that acronyms have been defined correctly.</w:t>
      </w:r>
    </w:p>
  </w:comment>
  <w:comment w:id="612" w:author="Claire Furey" w:date="2022-06-21T12:04:00Z" w:initials="CF">
    <w:p w14:paraId="09B956E9" w14:textId="77777777" w:rsidR="006622E3" w:rsidRDefault="008374B7">
      <w:r>
        <w:annotationRef/>
      </w:r>
      <w:r w:rsidR="006622E3">
        <w:t>Acronyms expanded. Please check if correct.</w:t>
      </w:r>
    </w:p>
    <w:p w14:paraId="7D482FD5" w14:textId="77777777" w:rsidR="006622E3" w:rsidRDefault="006622E3" w:rsidP="00E40CEB">
      <w:r>
        <w:t>This also applies to the same acronyms in Figure 50.</w:t>
      </w:r>
    </w:p>
  </w:comment>
  <w:comment w:id="638" w:author="Claire Furey" w:date="2022-06-28T13:41:00Z" w:initials="CF">
    <w:p w14:paraId="6F80CB22" w14:textId="3035C785" w:rsidR="007D4F32" w:rsidRDefault="00C82809">
      <w:r>
        <w:annotationRef/>
      </w:r>
      <w:r w:rsidR="007D4F32">
        <w:t>Antigoni 2007 is not included in the list of references (or in Table 34). Please provide the full reference details.</w:t>
      </w:r>
      <w:r w:rsidR="007D4F32">
        <w:br/>
      </w:r>
    </w:p>
    <w:p w14:paraId="3AFDD5FB" w14:textId="77777777" w:rsidR="007D4F32" w:rsidRDefault="007D4F32"/>
    <w:p w14:paraId="3E6792F8" w14:textId="77777777" w:rsidR="007D4F32" w:rsidRDefault="007D4F32" w:rsidP="00025C5C">
      <w:r>
        <w:t xml:space="preserve">'Isikay-2014': please clarify which should be Işikay </w:t>
      </w:r>
      <w:r>
        <w:rPr>
          <w:i/>
          <w:iCs/>
        </w:rPr>
        <w:t>et al</w:t>
      </w:r>
      <w:r>
        <w:t xml:space="preserve">.341 and which should be Işıkay </w:t>
      </w:r>
      <w:r>
        <w:rPr>
          <w:i/>
          <w:iCs/>
        </w:rPr>
        <w:t>et al</w:t>
      </w:r>
      <w:r>
        <w:t>.342</w:t>
      </w:r>
    </w:p>
  </w:comment>
  <w:comment w:id="661" w:author="Claire Furey" w:date="2022-06-23T10:53:00Z" w:initials="CF">
    <w:p w14:paraId="2C446C31" w14:textId="1C77B168" w:rsidR="00AA0726" w:rsidRDefault="00AA0726" w:rsidP="00225093">
      <w:r>
        <w:annotationRef/>
      </w:r>
      <w:r>
        <w:t>Please clarify what is meant by this.</w:t>
      </w:r>
    </w:p>
  </w:comment>
  <w:comment w:id="664" w:author="Claire Furey" w:date="2022-06-24T11:11:00Z" w:initials="CF">
    <w:p w14:paraId="506E32A0" w14:textId="77777777" w:rsidR="001F4D6A" w:rsidRDefault="002E3DB7" w:rsidP="000465ED">
      <w:r>
        <w:annotationRef/>
      </w:r>
      <w:r w:rsidR="001F4D6A">
        <w:rPr>
          <w:rFonts w:asciiTheme="minorHAnsi" w:eastAsiaTheme="minorHAnsi" w:hAnsiTheme="minorHAnsi" w:cstheme="minorBidi"/>
          <w:sz w:val="22"/>
          <w:szCs w:val="22"/>
          <w:lang w:val="en-GB"/>
        </w:rPr>
        <w:t>'erythematosusep' changed to '</w:t>
      </w:r>
      <w:r w:rsidR="001F4D6A">
        <w:rPr>
          <w:rFonts w:asciiTheme="minorHAnsi" w:eastAsiaTheme="minorHAnsi" w:hAnsiTheme="minorHAnsi" w:cstheme="minorBidi"/>
          <w:sz w:val="22"/>
          <w:szCs w:val="22"/>
        </w:rPr>
        <w:t>erythematosus'; OK?</w:t>
      </w:r>
    </w:p>
  </w:comment>
  <w:comment w:id="674" w:author="Claire Furey" w:date="2022-06-27T09:28:00Z" w:initials="CF">
    <w:p w14:paraId="07C4A88C" w14:textId="492957C8" w:rsidR="00A43898" w:rsidRDefault="00A43898" w:rsidP="00626F33">
      <w:r>
        <w:annotationRef/>
      </w:r>
      <w:r>
        <w:t>Please clarify what 'RCS' and 'CL' stand for.</w:t>
      </w:r>
    </w:p>
  </w:comment>
  <w:comment w:id="690" w:author="Claire Furey" w:date="2022-06-27T09:43:00Z" w:initials="CF">
    <w:p w14:paraId="4CF54DE7" w14:textId="77777777" w:rsidR="00D35C0B" w:rsidRDefault="00D35C0B" w:rsidP="0044288D">
      <w:r>
        <w:annotationRef/>
      </w:r>
      <w:r>
        <w:t>Can the date range searched and the date on which the search was conducted be added?</w:t>
      </w:r>
    </w:p>
  </w:comment>
  <w:comment w:id="709" w:author="Claire Furey" w:date="2022-06-27T10:02:00Z" w:initials="CF">
    <w:p w14:paraId="2DC27508" w14:textId="77777777" w:rsidR="003700E5" w:rsidRDefault="003700E5" w:rsidP="00B47B40">
      <w:r>
        <w:annotationRef/>
      </w:r>
      <w:r>
        <w:t>Original Table 58 changed to a box; OK?</w:t>
      </w:r>
    </w:p>
  </w:comment>
  <w:comment w:id="715" w:author="Claire Furey" w:date="2022-06-27T10:12:00Z" w:initials="CF">
    <w:p w14:paraId="6AD709C6" w14:textId="77777777" w:rsidR="00E81B36" w:rsidRDefault="0048510B">
      <w:r>
        <w:annotationRef/>
      </w:r>
      <w:r w:rsidR="00E81B36">
        <w:t>Both 'East England' and 'East of England' are included as regions. Is this correct?</w:t>
      </w:r>
    </w:p>
    <w:p w14:paraId="569ED542" w14:textId="77777777" w:rsidR="00E81B36" w:rsidRDefault="00E81B36"/>
    <w:p w14:paraId="4CF66E4D" w14:textId="77777777" w:rsidR="00E81B36" w:rsidRDefault="00E81B36" w:rsidP="00AF42C5">
      <w:r>
        <w:t>Furthermore, Yorkshire and the Humber is the only region not included. Is this correct?</w:t>
      </w:r>
    </w:p>
  </w:comment>
  <w:comment w:id="719" w:author="Claire Furey" w:date="2022-06-27T10:27:00Z" w:initials="CF">
    <w:p w14:paraId="6B1C1C6D" w14:textId="77777777" w:rsidR="00E51FE7" w:rsidRDefault="00E51FE7" w:rsidP="00AF4D1D">
      <w:r>
        <w:annotationRef/>
      </w:r>
      <w:r>
        <w:t>Text amended. Please check that the meaning has been retained.</w:t>
      </w:r>
    </w:p>
  </w:comment>
  <w:comment w:id="725" w:author="Claire Furey" w:date="2022-06-27T11:10:00Z" w:initials="CF">
    <w:p w14:paraId="64EBC905" w14:textId="77777777" w:rsidR="009149F6" w:rsidRDefault="009149F6" w:rsidP="009E268E">
      <w:r>
        <w:annotationRef/>
      </w:r>
      <w:r>
        <w:t>Please provide full reference details for Jönsson 1995 and Oleksik 2000.</w:t>
      </w:r>
    </w:p>
  </w:comment>
  <w:comment w:id="726" w:author="Claire Furey" w:date="2022-06-27T11:24:00Z" w:initials="CF">
    <w:p w14:paraId="3D7D2A41" w14:textId="77777777" w:rsidR="00B475CA" w:rsidRDefault="00B475CA" w:rsidP="00092152">
      <w:r>
        <w:annotationRef/>
      </w:r>
      <w:r>
        <w:t>Reference number added; OK?</w:t>
      </w:r>
    </w:p>
  </w:comment>
  <w:comment w:id="727" w:author="Claire Furey" w:date="2022-06-27T11:25:00Z" w:initials="CF">
    <w:p w14:paraId="16E31D30" w14:textId="77777777" w:rsidR="00095739" w:rsidRDefault="00B475CA" w:rsidP="00E27496">
      <w:r>
        <w:annotationRef/>
      </w:r>
      <w:r w:rsidR="00095739">
        <w:rPr>
          <w:rFonts w:asciiTheme="minorHAnsi" w:eastAsiaTheme="minorHAnsi" w:hAnsiTheme="minorHAnsi" w:cstheme="minorBidi"/>
          <w:sz w:val="22"/>
          <w:szCs w:val="22"/>
          <w:lang w:val="en-GB"/>
        </w:rPr>
        <w:t>Is this referring to Table 7 of this report or table 7 of NICE 2015 (reference 193)?</w:t>
      </w:r>
    </w:p>
  </w:comment>
  <w:comment w:id="728" w:author="Claire Furey" w:date="2022-06-27T11:12:00Z" w:initials="CF">
    <w:p w14:paraId="065C0907" w14:textId="4DBDCB0E" w:rsidR="00224A2B" w:rsidRDefault="00CC68F3" w:rsidP="00EA4DA6">
      <w:r>
        <w:annotationRef/>
      </w:r>
      <w:r w:rsidR="00224A2B">
        <w:t>'DSA', 'PPI' and 'SBB' expanded in footnotes. Please check if correct.</w:t>
      </w:r>
    </w:p>
  </w:comment>
  <w:comment w:id="738" w:author="Claire Furey" w:date="2022-06-27T11:51:00Z" w:initials="CF">
    <w:p w14:paraId="6B706272" w14:textId="77777777" w:rsidR="003B7E88" w:rsidRDefault="003B7E88" w:rsidP="00EF4E28">
      <w:r>
        <w:annotationRef/>
      </w:r>
      <w:r>
        <w:t xml:space="preserve">Has this table been reproduced from Curtis </w:t>
      </w:r>
      <w:r>
        <w:rPr>
          <w:i/>
          <w:iCs/>
        </w:rPr>
        <w:t>et al</w:t>
      </w:r>
      <w:r>
        <w:t>.232? If so, please seek permission for reproduction and supply us with a full copy of the agreement once granted.</w:t>
      </w:r>
    </w:p>
  </w:comment>
  <w:comment w:id="740" w:author="Claire Furey" w:date="2022-06-28T09:48:00Z" w:initials="CF">
    <w:p w14:paraId="4C9414FC" w14:textId="77777777" w:rsidR="00F30FD6" w:rsidRDefault="00F30FD6">
      <w:r>
        <w:annotationRef/>
      </w:r>
      <w:r>
        <w:t>Please provide a heading for column 1.</w:t>
      </w:r>
    </w:p>
    <w:p w14:paraId="146E66F7" w14:textId="77777777" w:rsidR="00F30FD6" w:rsidRDefault="00F30FD6" w:rsidP="00D960E2">
      <w:r>
        <w:t>This also applies to Table 69.</w:t>
      </w:r>
    </w:p>
  </w:comment>
  <w:comment w:id="749" w:author="Euan Notley" w:date="2022-04-20T14:36:00Z" w:initials="EN">
    <w:p w14:paraId="2A423CA6" w14:textId="61D6C1FA" w:rsidR="008B4DF8" w:rsidRDefault="008B4DF8" w:rsidP="008B4DF8">
      <w:r>
        <w:annotationRef/>
      </w:r>
      <w:r>
        <w:t>Please explain the significance of the shading in Table 70, or confirm if it can be removed.</w:t>
      </w:r>
    </w:p>
  </w:comment>
  <w:comment w:id="750" w:author="Gastgebruiker" w:date="2022-06-01T11:26:00Z" w:initials="Ga">
    <w:p w14:paraId="24A11127" w14:textId="722ADE90" w:rsidR="3CDEEDA7" w:rsidRDefault="3CDEEDA7">
      <w:r>
        <w:t>Green: criteria that are fulfulled</w:t>
      </w:r>
      <w:r>
        <w:annotationRef/>
      </w:r>
    </w:p>
    <w:p w14:paraId="7DA23AB3" w14:textId="442B12E8" w:rsidR="3CDEEDA7" w:rsidRDefault="3CDEEDA7">
      <w:r>
        <w:t>Orange: uncertain, further evidence required.</w:t>
      </w:r>
    </w:p>
    <w:p w14:paraId="784DCD42" w14:textId="430BB5EA" w:rsidR="3CDEEDA7" w:rsidRDefault="3CDEEDA7">
      <w:r>
        <w:t>Red: Criteria not fulfilled</w:t>
      </w:r>
    </w:p>
    <w:p w14:paraId="420B7090" w14:textId="76DBF4E4" w:rsidR="3CDEEDA7" w:rsidRDefault="3CDEEDA7">
      <w:r>
        <w:t>Grey: Not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31FD70" w15:done="1"/>
  <w15:commentEx w15:paraId="47E73A01" w15:paraIdParent="3C31FD70" w15:done="1"/>
  <w15:commentEx w15:paraId="7C41E017" w15:done="1"/>
  <w15:commentEx w15:paraId="22EC56E6" w15:paraIdParent="7C41E017" w15:done="1"/>
  <w15:commentEx w15:paraId="64D49138" w15:done="1"/>
  <w15:commentEx w15:paraId="280E971F" w15:paraIdParent="64D49138" w15:done="1"/>
  <w15:commentEx w15:paraId="49D401E3" w15:done="1"/>
  <w15:commentEx w15:paraId="04FE5798" w15:paraIdParent="49D401E3" w15:done="1"/>
  <w15:commentEx w15:paraId="14A6077D" w15:done="1"/>
  <w15:commentEx w15:paraId="2B6367A2" w15:paraIdParent="14A6077D" w15:done="1"/>
  <w15:commentEx w15:paraId="542D0876" w15:done="1"/>
  <w15:commentEx w15:paraId="74BD6270" w15:paraIdParent="542D0876" w15:done="1"/>
  <w15:commentEx w15:paraId="38834DF0" w15:done="1"/>
  <w15:commentEx w15:paraId="267FE8EF" w15:paraIdParent="38834DF0" w15:done="1"/>
  <w15:commentEx w15:paraId="469A271B" w15:paraIdParent="38834DF0" w15:done="1"/>
  <w15:commentEx w15:paraId="6559348F" w15:done="1"/>
  <w15:commentEx w15:paraId="33D59F71" w15:paraIdParent="6559348F" w15:done="1"/>
  <w15:commentEx w15:paraId="3FBF601F" w15:done="1"/>
  <w15:commentEx w15:paraId="20B74F5E" w15:paraIdParent="3FBF601F" w15:done="1"/>
  <w15:commentEx w15:paraId="49836AF9" w15:done="1"/>
  <w15:commentEx w15:paraId="19BB2AEB" w15:paraIdParent="49836AF9" w15:done="1"/>
  <w15:commentEx w15:paraId="2CAA7E03" w15:done="1"/>
  <w15:commentEx w15:paraId="068A5189" w15:paraIdParent="2CAA7E03" w15:done="1"/>
  <w15:commentEx w15:paraId="585FCC61" w15:done="1"/>
  <w15:commentEx w15:paraId="59C9BC2E" w15:paraIdParent="585FCC61" w15:done="1"/>
  <w15:commentEx w15:paraId="533C9B4E" w15:done="1"/>
  <w15:commentEx w15:paraId="45FC6DD5" w15:paraIdParent="533C9B4E" w15:done="1"/>
  <w15:commentEx w15:paraId="5B07A4FB" w15:done="1"/>
  <w15:commentEx w15:paraId="4F5120EF" w15:paraIdParent="5B07A4FB" w15:done="1"/>
  <w15:commentEx w15:paraId="3A544529" w15:done="1"/>
  <w15:commentEx w15:paraId="4DDB9846" w15:paraIdParent="3A544529" w15:done="1"/>
  <w15:commentEx w15:paraId="6E69243B" w15:done="1"/>
  <w15:commentEx w15:paraId="529FE4E4" w15:paraIdParent="6E69243B" w15:done="1"/>
  <w15:commentEx w15:paraId="0091A1CF" w15:done="1"/>
  <w15:commentEx w15:paraId="0F3ADE0C" w15:paraIdParent="0091A1CF" w15:done="1"/>
  <w15:commentEx w15:paraId="73AFB832" w15:done="1"/>
  <w15:commentEx w15:paraId="59F9BC93" w15:paraIdParent="73AFB832" w15:done="1"/>
  <w15:commentEx w15:paraId="5DFE0F8F" w15:done="1"/>
  <w15:commentEx w15:paraId="1C06E8A8" w15:paraIdParent="5DFE0F8F" w15:done="1"/>
  <w15:commentEx w15:paraId="60123036" w15:done="1"/>
  <w15:commentEx w15:paraId="602E749D" w15:paraIdParent="60123036" w15:done="1"/>
  <w15:commentEx w15:paraId="132443DD" w15:done="1"/>
  <w15:commentEx w15:paraId="16AED1D0" w15:paraIdParent="132443DD" w15:done="1"/>
  <w15:commentEx w15:paraId="04DB5CFE" w15:done="1"/>
  <w15:commentEx w15:paraId="0F18B23A" w15:paraIdParent="04DB5CFE" w15:done="1"/>
  <w15:commentEx w15:paraId="2275060C" w15:done="1"/>
  <w15:commentEx w15:paraId="7C97CF0C" w15:paraIdParent="2275060C" w15:done="1"/>
  <w15:commentEx w15:paraId="0B40E9E1" w15:done="1"/>
  <w15:commentEx w15:paraId="3757A65C" w15:paraIdParent="0B40E9E1" w15:done="1"/>
  <w15:commentEx w15:paraId="33FE6EB5" w15:done="1"/>
  <w15:commentEx w15:paraId="33C0AE72" w15:paraIdParent="33FE6EB5" w15:done="1"/>
  <w15:commentEx w15:paraId="2AE55776" w15:done="1"/>
  <w15:commentEx w15:paraId="171C80BF" w15:paraIdParent="2AE55776" w15:done="1"/>
  <w15:commentEx w15:paraId="137A0D90" w15:done="1"/>
  <w15:commentEx w15:paraId="1A2EE408" w15:paraIdParent="137A0D90" w15:done="1"/>
  <w15:commentEx w15:paraId="1DFB78B9" w15:done="1"/>
  <w15:commentEx w15:paraId="06E9F65A" w15:paraIdParent="1DFB78B9" w15:done="1"/>
  <w15:commentEx w15:paraId="3ACB9363" w15:done="1"/>
  <w15:commentEx w15:paraId="2FBF6EEE" w15:paraIdParent="3ACB9363" w15:done="1"/>
  <w15:commentEx w15:paraId="4F19D1BB" w15:done="1"/>
  <w15:commentEx w15:paraId="7009E914" w15:paraIdParent="4F19D1BB" w15:done="1"/>
  <w15:commentEx w15:paraId="2256ED4F" w15:done="1"/>
  <w15:commentEx w15:paraId="5970E156" w15:paraIdParent="2256ED4F" w15:done="1"/>
  <w15:commentEx w15:paraId="74AD8F2F" w15:done="1"/>
  <w15:commentEx w15:paraId="2A78C32D" w15:paraIdParent="74AD8F2F" w15:done="1"/>
  <w15:commentEx w15:paraId="7FD6D24E" w15:done="1"/>
  <w15:commentEx w15:paraId="7F4EAB77" w15:paraIdParent="7FD6D24E" w15:done="1"/>
  <w15:commentEx w15:paraId="05EFE995" w15:done="1"/>
  <w15:commentEx w15:paraId="62269497" w15:paraIdParent="05EFE995" w15:done="1"/>
  <w15:commentEx w15:paraId="010AB397" w15:done="1"/>
  <w15:commentEx w15:paraId="047DB29E" w15:paraIdParent="010AB397" w15:done="1"/>
  <w15:commentEx w15:paraId="6B1B1B67" w15:done="1"/>
  <w15:commentEx w15:paraId="3734F93C" w15:paraIdParent="6B1B1B67" w15:done="1"/>
  <w15:commentEx w15:paraId="09E89123" w15:done="1"/>
  <w15:commentEx w15:paraId="50941DF4" w15:paraIdParent="09E89123" w15:done="1"/>
  <w15:commentEx w15:paraId="71F597CE" w15:done="1"/>
  <w15:commentEx w15:paraId="1B3E5552" w15:paraIdParent="71F597CE" w15:done="1"/>
  <w15:commentEx w15:paraId="7CC2E296" w15:done="1"/>
  <w15:commentEx w15:paraId="7B022B1D" w15:paraIdParent="7CC2E296" w15:done="1"/>
  <w15:commentEx w15:paraId="6BBFC4EA" w15:done="1"/>
  <w15:commentEx w15:paraId="47479700" w15:paraIdParent="6BBFC4EA" w15:done="1"/>
  <w15:commentEx w15:paraId="3298A151" w15:done="1"/>
  <w15:commentEx w15:paraId="7ECEC4F1" w15:paraIdParent="3298A151" w15:done="1"/>
  <w15:commentEx w15:paraId="4839B1E9" w15:done="1"/>
  <w15:commentEx w15:paraId="032CD14E" w15:paraIdParent="4839B1E9" w15:done="1"/>
  <w15:commentEx w15:paraId="72B44D79" w15:done="1"/>
  <w15:commentEx w15:paraId="1DC602D7" w15:paraIdParent="72B44D79" w15:done="1"/>
  <w15:commentEx w15:paraId="2A6E2F2C" w15:done="1"/>
  <w15:commentEx w15:paraId="5220E23D" w15:paraIdParent="2A6E2F2C" w15:done="1"/>
  <w15:commentEx w15:paraId="2398C178" w15:done="1"/>
  <w15:commentEx w15:paraId="165BA257" w15:paraIdParent="2398C178" w15:done="1"/>
  <w15:commentEx w15:paraId="38051429" w15:done="1"/>
  <w15:commentEx w15:paraId="07EEBA69" w15:paraIdParent="38051429" w15:done="1"/>
  <w15:commentEx w15:paraId="185495FC" w15:done="1"/>
  <w15:commentEx w15:paraId="7B57234C" w15:paraIdParent="185495FC" w15:done="1"/>
  <w15:commentEx w15:paraId="4B26DD6A" w15:done="1"/>
  <w15:commentEx w15:paraId="26013BA9" w15:paraIdParent="4B26DD6A" w15:done="1"/>
  <w15:commentEx w15:paraId="2597E56D" w15:done="1"/>
  <w15:commentEx w15:paraId="3A49788B" w15:paraIdParent="2597E56D" w15:done="1"/>
  <w15:commentEx w15:paraId="7750E69D" w15:done="1"/>
  <w15:commentEx w15:paraId="218FF84C" w15:paraIdParent="7750E69D" w15:done="1"/>
  <w15:commentEx w15:paraId="3794398A" w15:done="1"/>
  <w15:commentEx w15:paraId="3EDAD087" w15:paraIdParent="3794398A" w15:done="1"/>
  <w15:commentEx w15:paraId="467B636A" w15:done="1"/>
  <w15:commentEx w15:paraId="33C770BE" w15:paraIdParent="467B636A" w15:done="1"/>
  <w15:commentEx w15:paraId="7C060911" w15:done="1"/>
  <w15:commentEx w15:paraId="2AA59764" w15:paraIdParent="7C060911" w15:done="1"/>
  <w15:commentEx w15:paraId="05FE5920" w15:done="1"/>
  <w15:commentEx w15:paraId="75D67E31" w15:paraIdParent="05FE5920" w15:done="1"/>
  <w15:commentEx w15:paraId="44217FFD" w15:done="1"/>
  <w15:commentEx w15:paraId="302A2E08" w15:paraIdParent="44217FFD" w15:done="1"/>
  <w15:commentEx w15:paraId="73167E64" w15:done="1"/>
  <w15:commentEx w15:paraId="20EBD259" w15:paraIdParent="73167E64" w15:done="1"/>
  <w15:commentEx w15:paraId="331EDECF" w15:done="1"/>
  <w15:commentEx w15:paraId="2D9F0984" w15:paraIdParent="331EDECF" w15:done="1"/>
  <w15:commentEx w15:paraId="11BE5B24" w15:done="1"/>
  <w15:commentEx w15:paraId="590839C7" w15:paraIdParent="11BE5B24" w15:done="1"/>
  <w15:commentEx w15:paraId="1946572D" w15:done="1"/>
  <w15:commentEx w15:paraId="2AB0EF13" w15:paraIdParent="1946572D" w15:done="1"/>
  <w15:commentEx w15:paraId="20B4E2E2" w15:done="1"/>
  <w15:commentEx w15:paraId="431B4B84" w15:paraIdParent="20B4E2E2" w15:done="1"/>
  <w15:commentEx w15:paraId="659F589E" w15:done="1"/>
  <w15:commentEx w15:paraId="7FBC3A57" w15:paraIdParent="659F589E" w15:done="1"/>
  <w15:commentEx w15:paraId="0CCDA440" w15:done="1"/>
  <w15:commentEx w15:paraId="4822D669" w15:paraIdParent="0CCDA440" w15:done="1"/>
  <w15:commentEx w15:paraId="7B884598" w15:done="1"/>
  <w15:commentEx w15:paraId="35E2D50D" w15:paraIdParent="7B884598" w15:done="1"/>
  <w15:commentEx w15:paraId="5A141EE0" w15:paraIdParent="7B884598" w15:done="1"/>
  <w15:commentEx w15:paraId="523164CF" w15:done="1"/>
  <w15:commentEx w15:paraId="3EDADE29" w15:paraIdParent="523164CF" w15:done="1"/>
  <w15:commentEx w15:paraId="71850A0A" w15:done="1"/>
  <w15:commentEx w15:paraId="694A4B26" w15:paraIdParent="71850A0A" w15:done="1"/>
  <w15:commentEx w15:paraId="046F5060" w15:done="1"/>
  <w15:commentEx w15:paraId="310923AF" w15:paraIdParent="046F5060" w15:done="1"/>
  <w15:commentEx w15:paraId="5E948821" w15:done="1"/>
  <w15:commentEx w15:paraId="1F5D05AF" w15:paraIdParent="5E948821" w15:done="1"/>
  <w15:commentEx w15:paraId="16948C3D" w15:done="1"/>
  <w15:commentEx w15:paraId="543D1BC2" w15:paraIdParent="16948C3D" w15:done="1"/>
  <w15:commentEx w15:paraId="747D125E" w15:done="1"/>
  <w15:commentEx w15:paraId="23F6A84B" w15:paraIdParent="747D125E" w15:done="1"/>
  <w15:commentEx w15:paraId="3D37C549" w15:done="1"/>
  <w15:commentEx w15:paraId="7D204283" w15:paraIdParent="3D37C549" w15:done="1"/>
  <w15:commentEx w15:paraId="5B9965CE" w15:done="1"/>
  <w15:commentEx w15:paraId="5140D10C" w15:paraIdParent="5B9965CE" w15:done="1"/>
  <w15:commentEx w15:paraId="5A108524" w15:done="1"/>
  <w15:commentEx w15:paraId="0AAFF51A" w15:paraIdParent="5A108524" w15:done="1"/>
  <w15:commentEx w15:paraId="707001BB" w15:done="1"/>
  <w15:commentEx w15:paraId="44376351" w15:paraIdParent="707001BB" w15:done="1"/>
  <w15:commentEx w15:paraId="0EC4E58D" w15:done="1"/>
  <w15:commentEx w15:paraId="58BC5AA1" w15:paraIdParent="0EC4E58D" w15:done="1"/>
  <w15:commentEx w15:paraId="42ADF066" w15:done="1"/>
  <w15:commentEx w15:paraId="1B2B4E83" w15:paraIdParent="42ADF066" w15:done="1"/>
  <w15:commentEx w15:paraId="3714F80D" w15:done="1"/>
  <w15:commentEx w15:paraId="59633C0F" w15:paraIdParent="3714F80D" w15:done="1"/>
  <w15:commentEx w15:paraId="7F0C49B8" w15:done="0"/>
  <w15:commentEx w15:paraId="4B489FBC" w15:done="0"/>
  <w15:commentEx w15:paraId="7DC93C85" w15:done="0"/>
  <w15:commentEx w15:paraId="00607667" w15:done="0"/>
  <w15:commentEx w15:paraId="2D5172B5" w15:done="0"/>
  <w15:commentEx w15:paraId="48662741" w15:done="0"/>
  <w15:commentEx w15:paraId="5B9BAA8A" w15:done="0"/>
  <w15:commentEx w15:paraId="62F61220" w15:done="0"/>
  <w15:commentEx w15:paraId="6750945C" w15:done="0"/>
  <w15:commentEx w15:paraId="47EF4D97" w15:done="0"/>
  <w15:commentEx w15:paraId="1E338BC6" w15:done="0"/>
  <w15:commentEx w15:paraId="1062DA7E" w15:done="0"/>
  <w15:commentEx w15:paraId="7D22D6AE" w15:done="0"/>
  <w15:commentEx w15:paraId="559E4243" w15:done="0"/>
  <w15:commentEx w15:paraId="641EA87F" w15:done="0"/>
  <w15:commentEx w15:paraId="090B9D75" w15:done="0"/>
  <w15:commentEx w15:paraId="6F32BE31" w15:done="0"/>
  <w15:commentEx w15:paraId="329CFB4B" w15:done="0"/>
  <w15:commentEx w15:paraId="455ECCE8" w15:done="0"/>
  <w15:commentEx w15:paraId="3ED9AE10" w15:done="0"/>
  <w15:commentEx w15:paraId="109C539D" w15:done="0"/>
  <w15:commentEx w15:paraId="6E74AED6" w15:done="0"/>
  <w15:commentEx w15:paraId="4EE3FB2F" w15:done="0"/>
  <w15:commentEx w15:paraId="328A6740" w15:done="0"/>
  <w15:commentEx w15:paraId="1E634699" w15:done="0"/>
  <w15:commentEx w15:paraId="333BA30D" w15:done="0"/>
  <w15:commentEx w15:paraId="5B640017" w15:done="0"/>
  <w15:commentEx w15:paraId="3CCC4BE1" w15:done="0"/>
  <w15:commentEx w15:paraId="2E402626" w15:done="0"/>
  <w15:commentEx w15:paraId="585980A2" w15:done="0"/>
  <w15:commentEx w15:paraId="215719BF" w15:done="0"/>
  <w15:commentEx w15:paraId="02A9CB22" w15:done="0"/>
  <w15:commentEx w15:paraId="421E0567" w15:done="0"/>
  <w15:commentEx w15:paraId="7AA3E442" w15:done="0"/>
  <w15:commentEx w15:paraId="47089B70" w15:done="0"/>
  <w15:commentEx w15:paraId="40370476" w15:done="0"/>
  <w15:commentEx w15:paraId="0E1AEF6E" w15:done="0"/>
  <w15:commentEx w15:paraId="55E42FB3" w15:done="0"/>
  <w15:commentEx w15:paraId="768D828C" w15:done="0"/>
  <w15:commentEx w15:paraId="02B9EB05" w15:done="0"/>
  <w15:commentEx w15:paraId="4CEC1839" w15:done="1"/>
  <w15:commentEx w15:paraId="606BFEAF" w15:paraIdParent="4CEC1839" w15:done="1"/>
  <w15:commentEx w15:paraId="1A552DD6" w15:done="1"/>
  <w15:commentEx w15:paraId="4529AE93" w15:paraIdParent="1A552DD6" w15:done="1"/>
  <w15:commentEx w15:paraId="1B4DD176" w15:done="1"/>
  <w15:commentEx w15:paraId="09A0542A" w15:paraIdParent="1B4DD176" w15:done="1"/>
  <w15:commentEx w15:paraId="203206A8" w15:done="1"/>
  <w15:commentEx w15:paraId="6C3E1D95" w15:paraIdParent="203206A8" w15:done="1"/>
  <w15:commentEx w15:paraId="381206E8" w15:done="1"/>
  <w15:commentEx w15:paraId="768526C5" w15:paraIdParent="381206E8" w15:done="1"/>
  <w15:commentEx w15:paraId="3EA54764" w15:done="1"/>
  <w15:commentEx w15:paraId="284CD9AE" w15:paraIdParent="3EA54764" w15:done="1"/>
  <w15:commentEx w15:paraId="0DC7F38D" w15:done="1"/>
  <w15:commentEx w15:paraId="70B4164C" w15:paraIdParent="0DC7F38D" w15:done="1"/>
  <w15:commentEx w15:paraId="0D5695D6" w15:done="1"/>
  <w15:commentEx w15:paraId="4F20F794" w15:paraIdParent="0D5695D6" w15:done="1"/>
  <w15:commentEx w15:paraId="5403ECE8" w15:done="1"/>
  <w15:commentEx w15:paraId="6FB094B4" w15:paraIdParent="5403ECE8" w15:done="1"/>
  <w15:commentEx w15:paraId="738CD867" w15:done="1"/>
  <w15:commentEx w15:paraId="6E92C091" w15:paraIdParent="738CD867" w15:done="1"/>
  <w15:commentEx w15:paraId="0EF9A559" w15:done="1"/>
  <w15:commentEx w15:paraId="6F82FA7A" w15:paraIdParent="0EF9A559" w15:done="1"/>
  <w15:commentEx w15:paraId="5ADF7CB9" w15:done="1"/>
  <w15:commentEx w15:paraId="53DEFF86" w15:paraIdParent="5ADF7CB9" w15:done="1"/>
  <w15:commentEx w15:paraId="1DB8953E" w15:done="1"/>
  <w15:commentEx w15:paraId="5B0DD22E" w15:paraIdParent="1DB8953E" w15:done="1"/>
  <w15:commentEx w15:paraId="0C850CD4" w15:done="1"/>
  <w15:commentEx w15:paraId="2B4495B6" w15:paraIdParent="0C850CD4" w15:done="1"/>
  <w15:commentEx w15:paraId="56AE2F9F" w15:done="1"/>
  <w15:commentEx w15:paraId="6A3BC562" w15:paraIdParent="56AE2F9F" w15:done="1"/>
  <w15:commentEx w15:paraId="424B398F" w15:done="1"/>
  <w15:commentEx w15:paraId="5B52DD08" w15:paraIdParent="424B398F" w15:done="1"/>
  <w15:commentEx w15:paraId="328E37C6" w15:done="1"/>
  <w15:commentEx w15:paraId="58559375" w15:paraIdParent="328E37C6" w15:done="1"/>
  <w15:commentEx w15:paraId="62C0B431" w15:done="1"/>
  <w15:commentEx w15:paraId="4939C435" w15:paraIdParent="62C0B431" w15:done="1"/>
  <w15:commentEx w15:paraId="7B5B5DAF" w15:done="1"/>
  <w15:commentEx w15:paraId="4F9F288B" w15:paraIdParent="7B5B5DAF" w15:done="1"/>
  <w15:commentEx w15:paraId="7D745C19" w15:done="1"/>
  <w15:commentEx w15:paraId="7E660EF1" w15:paraIdParent="7D745C19" w15:done="1"/>
  <w15:commentEx w15:paraId="0B9D0620" w15:done="0"/>
  <w15:commentEx w15:paraId="351D87DC" w15:done="1"/>
  <w15:commentEx w15:paraId="760EE162" w15:paraIdParent="351D87DC" w15:done="1"/>
  <w15:commentEx w15:paraId="46FDD104" w15:done="1"/>
  <w15:commentEx w15:paraId="3F4EA2AF" w15:paraIdParent="46FDD104" w15:done="1"/>
  <w15:commentEx w15:paraId="51B69BC1" w15:done="1"/>
  <w15:commentEx w15:paraId="09D4948C" w15:paraIdParent="51B69BC1" w15:done="1"/>
  <w15:commentEx w15:paraId="32AA879A" w15:done="1"/>
  <w15:commentEx w15:paraId="2F17BA72" w15:paraIdParent="32AA879A" w15:done="1"/>
  <w15:commentEx w15:paraId="277950B6" w15:done="1"/>
  <w15:commentEx w15:paraId="4308EA94" w15:paraIdParent="277950B6" w15:done="1"/>
  <w15:commentEx w15:paraId="0A84DAE5" w15:done="1"/>
  <w15:commentEx w15:paraId="1DFC89D6" w15:paraIdParent="0A84DAE5" w15:done="1"/>
  <w15:commentEx w15:paraId="7CD89A9B" w15:done="1"/>
  <w15:commentEx w15:paraId="53D10B8E" w15:paraIdParent="7CD89A9B" w15:done="1"/>
  <w15:commentEx w15:paraId="034708AD" w15:done="1"/>
  <w15:commentEx w15:paraId="14EE4EAB" w15:paraIdParent="034708AD" w15:done="1"/>
  <w15:commentEx w15:paraId="6BB031A6" w15:done="1"/>
  <w15:commentEx w15:paraId="019E86F8" w15:paraIdParent="6BB031A6" w15:done="1"/>
  <w15:commentEx w15:paraId="760966EE" w15:done="1"/>
  <w15:commentEx w15:paraId="69582C06" w15:paraIdParent="760966EE" w15:done="1"/>
  <w15:commentEx w15:paraId="4FDDD615" w15:done="0"/>
  <w15:commentEx w15:paraId="2C84484D" w15:done="1"/>
  <w15:commentEx w15:paraId="5C3EB403" w15:paraIdParent="2C84484D" w15:done="1"/>
  <w15:commentEx w15:paraId="1D16EEC5" w15:done="1"/>
  <w15:commentEx w15:paraId="669C9C3F" w15:paraIdParent="1D16EEC5" w15:done="1"/>
  <w15:commentEx w15:paraId="2BFF6157" w15:done="1"/>
  <w15:commentEx w15:paraId="04E6DA53" w15:paraIdParent="2BFF6157" w15:done="1"/>
  <w15:commentEx w15:paraId="0B92D00F" w15:done="1"/>
  <w15:commentEx w15:paraId="657E315F" w15:paraIdParent="0B92D00F" w15:done="1"/>
  <w15:commentEx w15:paraId="4275EB1D" w15:done="1"/>
  <w15:commentEx w15:paraId="6C4ECF24" w15:paraIdParent="4275EB1D" w15:done="1"/>
  <w15:commentEx w15:paraId="429AFB0F" w15:done="1"/>
  <w15:commentEx w15:paraId="1B8AAF5F" w15:paraIdParent="429AFB0F" w15:done="1"/>
  <w15:commentEx w15:paraId="381CFBE9" w15:done="1"/>
  <w15:commentEx w15:paraId="403DC87A" w15:paraIdParent="381CFBE9" w15:done="1"/>
  <w15:commentEx w15:paraId="6583AD90" w15:done="1"/>
  <w15:commentEx w15:paraId="09CFB141" w15:paraIdParent="6583AD90" w15:done="1"/>
  <w15:commentEx w15:paraId="237A72E0" w15:done="1"/>
  <w15:commentEx w15:paraId="1AE3F859" w15:paraIdParent="237A72E0" w15:done="1"/>
  <w15:commentEx w15:paraId="47E8F862" w15:done="1"/>
  <w15:commentEx w15:paraId="1088E40C" w15:paraIdParent="47E8F862" w15:done="1"/>
  <w15:commentEx w15:paraId="49FB9AF1" w15:done="1"/>
  <w15:commentEx w15:paraId="4371392F" w15:paraIdParent="49FB9AF1" w15:done="1"/>
  <w15:commentEx w15:paraId="73A22441" w15:done="0"/>
  <w15:commentEx w15:paraId="3F348CFF" w15:done="0"/>
  <w15:commentEx w15:paraId="6A8EA812" w15:done="0"/>
  <w15:commentEx w15:paraId="281F9D79" w15:done="0"/>
  <w15:commentEx w15:paraId="038C3BFD" w15:done="0"/>
  <w15:commentEx w15:paraId="2E479FD6" w15:done="0"/>
  <w15:commentEx w15:paraId="0EF3D6B6" w15:done="0"/>
  <w15:commentEx w15:paraId="6FDFC161" w15:done="0"/>
  <w15:commentEx w15:paraId="7D482FD5" w15:done="0"/>
  <w15:commentEx w15:paraId="3E6792F8" w15:done="0"/>
  <w15:commentEx w15:paraId="2C446C31" w15:done="0"/>
  <w15:commentEx w15:paraId="506E32A0" w15:done="0"/>
  <w15:commentEx w15:paraId="07C4A88C" w15:done="0"/>
  <w15:commentEx w15:paraId="4CF54DE7" w15:done="0"/>
  <w15:commentEx w15:paraId="2DC27508" w15:done="0"/>
  <w15:commentEx w15:paraId="4CF66E4D" w15:done="0"/>
  <w15:commentEx w15:paraId="6B1C1C6D" w15:done="0"/>
  <w15:commentEx w15:paraId="64EBC905" w15:done="0"/>
  <w15:commentEx w15:paraId="3D7D2A41" w15:done="0"/>
  <w15:commentEx w15:paraId="16E31D30" w15:done="0"/>
  <w15:commentEx w15:paraId="065C0907" w15:done="0"/>
  <w15:commentEx w15:paraId="6B706272" w15:done="0"/>
  <w15:commentEx w15:paraId="146E66F7" w15:done="0"/>
  <w15:commentEx w15:paraId="2A423CA6" w15:done="1"/>
  <w15:commentEx w15:paraId="420B7090" w15:paraIdParent="2A423CA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2A9E7" w16cex:dateUtc="2022-04-20T13:41:00Z"/>
  <w16cex:commentExtensible w16cex:durableId="3101E4AC" w16cex:dateUtc="2022-06-01T08:48:00Z"/>
  <w16cex:commentExtensible w16cex:durableId="264231A9" w16cex:dateUtc="2022-06-01T17:42:00Z"/>
  <w16cex:commentExtensible w16cex:durableId="6A984E0C" w16cex:dateUtc="2022-06-06T10:04:00Z"/>
  <w16cex:commentExtensible w16cex:durableId="2612A9E8" w16cex:dateUtc="2022-04-20T09:08:00Z"/>
  <w16cex:commentExtensible w16cex:durableId="5735BE4B" w16cex:dateUtc="2022-05-31T15:25:00Z"/>
  <w16cex:commentExtensible w16cex:durableId="2612A9E9" w16cex:dateUtc="2022-04-20T09:08:00Z"/>
  <w16cex:commentExtensible w16cex:durableId="331BA057" w16cex:dateUtc="2022-05-31T15:26:00Z"/>
  <w16cex:commentExtensible w16cex:durableId="2632302E" w16cex:dateUtc="2022-05-20T14:20:00Z"/>
  <w16cex:commentExtensible w16cex:durableId="606C320E" w16cex:dateUtc="2022-05-31T15:31:00Z"/>
  <w16cex:commentExtensible w16cex:durableId="26323090" w16cex:dateUtc="2022-05-20T14:21:00Z"/>
  <w16cex:commentExtensible w16cex:durableId="5CA52A3D" w16cex:dateUtc="2022-05-31T15:31:00Z"/>
  <w16cex:commentExtensible w16cex:durableId="263231B4" w16cex:dateUtc="2022-05-20T14:26:00Z"/>
  <w16cex:commentExtensible w16cex:durableId="08B4FC29" w16cex:dateUtc="2022-06-06T07:52:00Z"/>
  <w16cex:commentExtensible w16cex:durableId="15185B69" w16cex:dateUtc="2022-06-06T07:53:00Z"/>
  <w16cex:commentExtensible w16cex:durableId="2612A9EA" w16cex:dateUtc="2022-04-20T09:47:00Z"/>
  <w16cex:commentExtensible w16cex:durableId="7B8BA926" w16cex:dateUtc="2022-05-31T15:38:00Z"/>
  <w16cex:commentExtensible w16cex:durableId="2637591C" w16cex:dateUtc="2022-05-24T12:16:00Z"/>
  <w16cex:commentExtensible w16cex:durableId="29DDD24D" w16cex:dateUtc="2022-06-01T09:12:00Z"/>
  <w16cex:commentExtensible w16cex:durableId="26379E9D" w16cex:dateUtc="2022-05-24T17:12:00Z"/>
  <w16cex:commentExtensible w16cex:durableId="5A86633C" w16cex:dateUtc="2022-05-31T15:44:00Z"/>
  <w16cex:commentExtensible w16cex:durableId="26424061" w16cex:dateUtc="2022-06-01T18:45:00Z"/>
  <w16cex:commentExtensible w16cex:durableId="7C2F890A" w16cex:dateUtc="2022-06-06T10:03:00Z"/>
  <w16cex:commentExtensible w16cex:durableId="26375734" w16cex:dateUtc="2022-05-24T12:08:00Z"/>
  <w16cex:commentExtensible w16cex:durableId="0975C93F" w16cex:dateUtc="2022-06-06T10:15:00Z"/>
  <w16cex:commentExtensible w16cex:durableId="26389AFE" w16cex:dateUtc="2022-05-25T11:08:00Z"/>
  <w16cex:commentExtensible w16cex:durableId="424B07BA" w16cex:dateUtc="2022-06-01T09:35:00Z"/>
  <w16cex:commentExtensible w16cex:durableId="264872B1" w16cex:dateUtc="2022-06-01T18:46:00Z"/>
  <w16cex:commentExtensible w16cex:durableId="264872B0" w16cex:dateUtc="2022-06-06T10:03:00Z"/>
  <w16cex:commentExtensible w16cex:durableId="26375F55" w16cex:dateUtc="2022-05-24T12:42:00Z"/>
  <w16cex:commentExtensible w16cex:durableId="0FF7312F" w16cex:dateUtc="2022-06-01T09:36:00Z"/>
  <w16cex:commentExtensible w16cex:durableId="2642362E" w16cex:dateUtc="2022-05-24T12:34:00Z"/>
  <w16cex:commentExtensible w16cex:durableId="2642362D" w16cex:dateUtc="2022-06-01T09:18:00Z"/>
  <w16cex:commentExtensible w16cex:durableId="26379E3A" w16cex:dateUtc="2022-05-24T17:11:00Z"/>
  <w16cex:commentExtensible w16cex:durableId="38A848FB" w16cex:dateUtc="2022-06-01T09:36:00Z"/>
  <w16cex:commentExtensible w16cex:durableId="2637A27D" w16cex:dateUtc="2022-05-24T17:29:00Z"/>
  <w16cex:commentExtensible w16cex:durableId="1F7E91E9" w16cex:dateUtc="2022-06-01T09:36:00Z"/>
  <w16cex:commentExtensible w16cex:durableId="26389B28" w16cex:dateUtc="2022-05-25T11:10:00Z"/>
  <w16cex:commentExtensible w16cex:durableId="08A3D776" w16cex:dateUtc="2022-06-01T09:47:00Z"/>
  <w16cex:commentExtensible w16cex:durableId="26389DF3" w16cex:dateUtc="2022-05-25T11:22:00Z"/>
  <w16cex:commentExtensible w16cex:durableId="3FD4D980" w16cex:dateUtc="2022-06-01T09:48:00Z"/>
  <w16cex:commentExtensible w16cex:durableId="2638BB57" w16cex:dateUtc="2022-05-25T13:27:00Z"/>
  <w16cex:commentExtensible w16cex:durableId="32BADC32" w16cex:dateUtc="2022-06-01T09:51:00Z"/>
  <w16cex:commentExtensible w16cex:durableId="2642FAC3" w16cex:dateUtc="2022-06-02T08:00:00Z"/>
  <w16cex:commentExtensible w16cex:durableId="11A5849A" w16cex:dateUtc="2022-06-06T09:59:00Z"/>
  <w16cex:commentExtensible w16cex:durableId="2638C063" w16cex:dateUtc="2022-05-25T13:49:00Z"/>
  <w16cex:commentExtensible w16cex:durableId="492A9F5E" w16cex:dateUtc="2022-06-01T09:53:00Z"/>
  <w16cex:commentExtensible w16cex:durableId="2638C818" w16cex:dateUtc="2022-05-25T14:22:00Z"/>
  <w16cex:commentExtensible w16cex:durableId="7DA13CDA" w16cex:dateUtc="2022-06-01T09:56:00Z"/>
  <w16cex:commentExtensible w16cex:durableId="2638C89D" w16cex:dateUtc="2022-05-25T14:24:00Z"/>
  <w16cex:commentExtensible w16cex:durableId="70689948" w16cex:dateUtc="2022-06-01T09:56:00Z"/>
  <w16cex:commentExtensible w16cex:durableId="2638CEBB" w16cex:dateUtc="2022-05-25T14:50:00Z"/>
  <w16cex:commentExtensible w16cex:durableId="491F7167" w16cex:dateUtc="2022-06-01T09:57:00Z"/>
  <w16cex:commentExtensible w16cex:durableId="2638CE65" w16cex:dateUtc="2022-05-25T14:48:00Z"/>
  <w16cex:commentExtensible w16cex:durableId="6FB811F3" w16cex:dateUtc="2022-06-01T09:58:00Z"/>
  <w16cex:commentExtensible w16cex:durableId="2638CE80" w16cex:dateUtc="2022-05-25T14:49:00Z"/>
  <w16cex:commentExtensible w16cex:durableId="7F88D2B5" w16cex:dateUtc="2022-06-01T09:59:00Z"/>
  <w16cex:commentExtensible w16cex:durableId="2638D4A2" w16cex:dateUtc="2022-05-25T15:15:00Z"/>
  <w16cex:commentExtensible w16cex:durableId="76411F4F" w16cex:dateUtc="2022-06-01T10:29:00Z"/>
  <w16cex:commentExtensible w16cex:durableId="2638D685" w16cex:dateUtc="2022-05-25T15:23:00Z"/>
  <w16cex:commentExtensible w16cex:durableId="035B8C23" w16cex:dateUtc="2022-06-01T10:29:00Z"/>
  <w16cex:commentExtensible w16cex:durableId="2638D86B" w16cex:dateUtc="2022-05-25T15:31:00Z"/>
  <w16cex:commentExtensible w16cex:durableId="65BE625F" w16cex:dateUtc="2022-06-01T10:31:00Z"/>
  <w16cex:commentExtensible w16cex:durableId="2638DB03" w16cex:dateUtc="2022-05-25T15:42:00Z"/>
  <w16cex:commentExtensible w16cex:durableId="21CDD416" w16cex:dateUtc="2022-06-01T10:33:00Z"/>
  <w16cex:commentExtensible w16cex:durableId="2638DD36" w16cex:dateUtc="2022-05-25T15:52:00Z"/>
  <w16cex:commentExtensible w16cex:durableId="38C09394" w16cex:dateUtc="2022-06-01T10:34:00Z"/>
  <w16cex:commentExtensible w16cex:durableId="263F53E5" w16cex:dateUtc="2022-05-30T13:32:00Z"/>
  <w16cex:commentExtensible w16cex:durableId="3B89620E" w16cex:dateUtc="2022-06-01T10:35:00Z"/>
  <w16cex:commentExtensible w16cex:durableId="263F5F91" w16cex:dateUtc="2022-05-30T14:21:00Z"/>
  <w16cex:commentExtensible w16cex:durableId="1F9AF027" w16cex:dateUtc="2022-06-01T10:36:00Z"/>
  <w16cex:commentExtensible w16cex:durableId="263F602F" w16cex:dateUtc="2022-05-30T14:24:00Z"/>
  <w16cex:commentExtensible w16cex:durableId="65EEFCCD" w16cex:dateUtc="2022-06-01T10:36:00Z"/>
  <w16cex:commentExtensible w16cex:durableId="263F6F4C" w16cex:dateUtc="2022-05-30T15:29:00Z"/>
  <w16cex:commentExtensible w16cex:durableId="3C0B9680" w16cex:dateUtc="2022-06-01T10:37:00Z"/>
  <w16cex:commentExtensible w16cex:durableId="2642FBC4" w16cex:dateUtc="2022-06-02T08:05:00Z"/>
  <w16cex:commentExtensible w16cex:durableId="156C4D8F" w16cex:dateUtc="2022-06-07T15:29:00Z"/>
  <w16cex:commentExtensible w16cex:durableId="263F9C80" w16cex:dateUtc="2022-05-30T18:41:00Z"/>
  <w16cex:commentExtensible w16cex:durableId="14731E72" w16cex:dateUtc="2022-06-01T10:38:00Z"/>
  <w16cex:commentExtensible w16cex:durableId="264087FD" w16cex:dateUtc="2022-05-31T11:26:00Z"/>
  <w16cex:commentExtensible w16cex:durableId="0E235C01" w16cex:dateUtc="2022-06-01T10:40:00Z"/>
  <w16cex:commentExtensible w16cex:durableId="26408987" w16cex:dateUtc="2022-05-31T11:33:00Z"/>
  <w16cex:commentExtensible w16cex:durableId="742D6E16" w16cex:dateUtc="2022-06-01T10:41:00Z"/>
  <w16cex:commentExtensible w16cex:durableId="26409FB8" w16cex:dateUtc="2022-05-31T13:07:00Z"/>
  <w16cex:commentExtensible w16cex:durableId="04EECB72" w16cex:dateUtc="2022-06-01T10:42:00Z"/>
  <w16cex:commentExtensible w16cex:durableId="2640A582" w16cex:dateUtc="2022-05-31T13:32:00Z"/>
  <w16cex:commentExtensible w16cex:durableId="278535E1" w16cex:dateUtc="2022-06-01T10:45:00Z"/>
  <w16cex:commentExtensible w16cex:durableId="2640A84E" w16cex:dateUtc="2022-05-31T13:44:00Z"/>
  <w16cex:commentExtensible w16cex:durableId="254543E7" w16cex:dateUtc="2022-06-07T15:31:00Z"/>
  <w16cex:commentExtensible w16cex:durableId="2640AA1F" w16cex:dateUtc="2022-05-31T13:52:00Z"/>
  <w16cex:commentExtensible w16cex:durableId="1CCB2EDB" w16cex:dateUtc="2022-06-01T10:46:00Z"/>
  <w16cex:commentExtensible w16cex:durableId="2640AD80" w16cex:dateUtc="2022-05-31T14:06:00Z"/>
  <w16cex:commentExtensible w16cex:durableId="59A89EA8" w16cex:dateUtc="2022-06-01T10:53:00Z"/>
  <w16cex:commentExtensible w16cex:durableId="26430246" w16cex:dateUtc="2022-06-02T08:32:00Z"/>
  <w16cex:commentExtensible w16cex:durableId="6BEDA94D" w16cex:dateUtc="2022-06-07T15:35:00Z"/>
  <w16cex:commentExtensible w16cex:durableId="2643096B" w16cex:dateUtc="2022-06-02T09:03:00Z"/>
  <w16cex:commentExtensible w16cex:durableId="0937DE1A" w16cex:dateUtc="2022-06-07T15:42:00Z"/>
  <w16cex:commentExtensible w16cex:durableId="264309E5" w16cex:dateUtc="2022-06-02T09:05:00Z"/>
  <w16cex:commentExtensible w16cex:durableId="27CE5500" w16cex:dateUtc="2022-06-07T15:40:00Z"/>
  <w16cex:commentExtensible w16cex:durableId="26430D33" w16cex:dateUtc="2022-06-02T09:19:00Z"/>
  <w16cex:commentExtensible w16cex:durableId="1F54D98D" w16cex:dateUtc="2022-06-07T15:44:00Z"/>
  <w16cex:commentExtensible w16cex:durableId="2644886A" w16cex:dateUtc="2022-06-03T12:17:00Z"/>
  <w16cex:commentExtensible w16cex:durableId="51893221" w16cex:dateUtc="2022-06-07T15:46:00Z"/>
  <w16cex:commentExtensible w16cex:durableId="2644A423" w16cex:dateUtc="2022-06-03T14:15:00Z"/>
  <w16cex:commentExtensible w16cex:durableId="5FBE9DE1" w16cex:dateUtc="2022-06-07T15:47:00Z"/>
  <w16cex:commentExtensible w16cex:durableId="264887BC" w16cex:dateUtc="2022-06-06T13:03:00Z"/>
  <w16cex:commentExtensible w16cex:durableId="3F6757F5" w16cex:dateUtc="2022-06-07T15:47:00Z"/>
  <w16cex:commentExtensible w16cex:durableId="26488A04" w16cex:dateUtc="2022-06-06T13:13:00Z"/>
  <w16cex:commentExtensible w16cex:durableId="3D6B4D89" w16cex:dateUtc="2022-06-07T15:49:00Z"/>
  <w16cex:commentExtensible w16cex:durableId="26488AB9" w16cex:dateUtc="2022-06-06T13:16:00Z"/>
  <w16cex:commentExtensible w16cex:durableId="2FFD474C" w16cex:dateUtc="2022-06-07T15:49:00Z"/>
  <w16cex:commentExtensible w16cex:durableId="26488C3F" w16cex:dateUtc="2022-06-06T13:22:00Z"/>
  <w16cex:commentExtensible w16cex:durableId="59371E8B" w16cex:dateUtc="2022-06-07T15:50:00Z"/>
  <w16cex:commentExtensible w16cex:durableId="26488CC7" w16cex:dateUtc="2022-06-06T13:25:00Z"/>
  <w16cex:commentExtensible w16cex:durableId="04C8A6F4" w16cex:dateUtc="2022-06-07T15:52:00Z"/>
  <w16cex:commentExtensible w16cex:durableId="26489080" w16cex:dateUtc="2022-06-06T13:41:00Z"/>
  <w16cex:commentExtensible w16cex:durableId="5FC66DB5" w16cex:dateUtc="2022-06-07T15:56:00Z"/>
  <w16cex:commentExtensible w16cex:durableId="264897B1" w16cex:dateUtc="2022-06-06T14:11:00Z"/>
  <w16cex:commentExtensible w16cex:durableId="6A0EDD0A" w16cex:dateUtc="2022-06-07T15:58:00Z"/>
  <w16cex:commentExtensible w16cex:durableId="2648A6DA" w16cex:dateUtc="2022-06-06T15:16:00Z"/>
  <w16cex:commentExtensible w16cex:durableId="461F32F5" w16cex:dateUtc="2022-06-08T13:16:00Z"/>
  <w16cex:commentExtensible w16cex:durableId="2648A613" w16cex:dateUtc="2022-06-06T15:13:00Z"/>
  <w16cex:commentExtensible w16cex:durableId="4617EEF4" w16cex:dateUtc="2022-06-07T15:59:00Z"/>
  <w16cex:commentExtensible w16cex:durableId="264B5132" w16cex:dateUtc="2022-06-08T15:47:00Z"/>
  <w16cex:commentExtensible w16cex:durableId="0D97194B" w16cex:dateUtc="2022-06-13T08:31:00Z"/>
  <w16cex:commentExtensible w16cex:durableId="2648A78C" w16cex:dateUtc="2022-06-06T15:19:00Z"/>
  <w16cex:commentExtensible w16cex:durableId="056A8022" w16cex:dateUtc="2022-06-07T16:08:00Z"/>
  <w16cex:commentExtensible w16cex:durableId="29410323" w16cex:dateUtc="2022-06-07T16:10:00Z"/>
  <w16cex:commentExtensible w16cex:durableId="2648A776" w16cex:dateUtc="2022-06-06T15:19:00Z"/>
  <w16cex:commentExtensible w16cex:durableId="76D07F8A" w16cex:dateUtc="2022-06-07T15:59:00Z"/>
  <w16cex:commentExtensible w16cex:durableId="2649CCB6" w16cex:dateUtc="2022-06-07T12:10:00Z"/>
  <w16cex:commentExtensible w16cex:durableId="2B8361E8" w16cex:dateUtc="2022-06-07T16:12:00Z"/>
  <w16cex:commentExtensible w16cex:durableId="2649CDE2" w16cex:dateUtc="2022-06-07T12:15:00Z"/>
  <w16cex:commentExtensible w16cex:durableId="095EBB5A" w16cex:dateUtc="2022-06-07T16:13:00Z"/>
  <w16cex:commentExtensible w16cex:durableId="2649D0D6" w16cex:dateUtc="2022-06-07T12:27:00Z"/>
  <w16cex:commentExtensible w16cex:durableId="6EBCF426" w16cex:dateUtc="2022-06-13T08:27:00Z"/>
  <w16cex:commentExtensible w16cex:durableId="2649D082" w16cex:dateUtc="2022-06-07T12:26:00Z"/>
  <w16cex:commentExtensible w16cex:durableId="64200E87" w16cex:dateUtc="2022-06-13T08:28:00Z"/>
  <w16cex:commentExtensible w16cex:durableId="2649D841" w16cex:dateUtc="2022-06-07T12:59:00Z"/>
  <w16cex:commentExtensible w16cex:durableId="1598C30A" w16cex:dateUtc="2022-06-07T16:20:00Z"/>
  <w16cex:commentExtensible w16cex:durableId="2649DD19" w16cex:dateUtc="2022-06-07T13:20:00Z"/>
  <w16cex:commentExtensible w16cex:durableId="71DD5888" w16cex:dateUtc="2022-06-07T16:22:00Z"/>
  <w16cex:commentExtensible w16cex:durableId="2649E971" w16cex:dateUtc="2022-06-07T14:12:00Z"/>
  <w16cex:commentExtensible w16cex:durableId="7720CAE4" w16cex:dateUtc="2022-06-07T16:23:00Z"/>
  <w16cex:commentExtensible w16cex:durableId="2649F737" w16cex:dateUtc="2022-06-07T15:11:00Z"/>
  <w16cex:commentExtensible w16cex:durableId="6E0A8314" w16cex:dateUtc="2022-06-08T13:11:00Z"/>
  <w16cex:commentExtensible w16cex:durableId="264B5510" w16cex:dateUtc="2022-06-08T16:04:00Z"/>
  <w16cex:commentExtensible w16cex:durableId="05001BD2" w16cex:dateUtc="2022-06-13T08:34:00Z"/>
  <w16cex:commentExtensible w16cex:durableId="264B5C3F" w16cex:dateUtc="2022-06-08T16:34:00Z"/>
  <w16cex:commentExtensible w16cex:durableId="6E679E05" w16cex:dateUtc="2022-06-13T08:41:00Z"/>
  <w16cex:commentExtensible w16cex:durableId="264B6DBA" w16cex:dateUtc="2022-06-08T17:49:00Z"/>
  <w16cex:commentExtensible w16cex:durableId="7B1B8B4A" w16cex:dateUtc="2022-06-13T08:39:00Z"/>
  <w16cex:commentExtensible w16cex:durableId="264DA7CF" w16cex:dateUtc="2022-06-10T10:21:00Z"/>
  <w16cex:commentExtensible w16cex:durableId="0550E25F" w16cex:dateUtc="2022-06-13T08:41:00Z"/>
  <w16cex:commentExtensible w16cex:durableId="2651BA5C" w16cex:dateUtc="2022-06-13T12:27:00Z"/>
  <w16cex:commentExtensible w16cex:durableId="2651BA5D" w16cex:dateUtc="2022-06-13T12:28:00Z"/>
  <w16cex:commentExtensible w16cex:durableId="2651BA5E" w16cex:dateUtc="2022-06-13T12:29:00Z"/>
  <w16cex:commentExtensible w16cex:durableId="2651BC14" w16cex:dateUtc="2022-06-13T12:37:00Z"/>
  <w16cex:commentExtensible w16cex:durableId="2651BDF6" w16cex:dateUtc="2022-06-13T12:45:00Z"/>
  <w16cex:commentExtensible w16cex:durableId="2651D6F7" w16cex:dateUtc="2022-06-13T14:32:00Z"/>
  <w16cex:commentExtensible w16cex:durableId="2651D85B" w16cex:dateUtc="2022-06-13T14:38:00Z"/>
  <w16cex:commentExtensible w16cex:durableId="2651DABC" w16cex:dateUtc="2022-06-13T14:48:00Z"/>
  <w16cex:commentExtensible w16cex:durableId="2651DCEC" w16cex:dateUtc="2022-06-13T14:57:00Z"/>
  <w16cex:commentExtensible w16cex:durableId="2651DDAF" w16cex:dateUtc="2022-06-13T15:00:00Z"/>
  <w16cex:commentExtensible w16cex:durableId="2651DECE" w16cex:dateUtc="2022-06-13T15:05:00Z"/>
  <w16cex:commentExtensible w16cex:durableId="2651E53E" w16cex:dateUtc="2022-06-13T15:33:00Z"/>
  <w16cex:commentExtensible w16cex:durableId="2653444D" w16cex:dateUtc="2022-06-14T16:30:00Z"/>
  <w16cex:commentExtensible w16cex:durableId="26534633" w16cex:dateUtc="2022-06-14T16:38:00Z"/>
  <w16cex:commentExtensible w16cex:durableId="26534674" w16cex:dateUtc="2022-06-14T16:40:00Z"/>
  <w16cex:commentExtensible w16cex:durableId="26536CBE" w16cex:dateUtc="2022-06-14T19:21:00Z"/>
  <w16cex:commentExtensible w16cex:durableId="26536CC0" w16cex:dateUtc="2022-06-14T19:23:00Z"/>
  <w16cex:commentExtensible w16cex:durableId="26536E12" w16cex:dateUtc="2022-06-14T19:29:00Z"/>
  <w16cex:commentExtensible w16cex:durableId="26536FBA" w16cex:dateUtc="2022-06-14T19:36:00Z"/>
  <w16cex:commentExtensible w16cex:durableId="265D66F5" w16cex:dateUtc="2022-06-22T09:01:00Z"/>
  <w16cex:commentExtensible w16cex:durableId="2653711F" w16cex:dateUtc="2022-06-14T19:42:00Z"/>
  <w16cex:commentExtensible w16cex:durableId="265D6A6F" w16cex:dateUtc="2022-06-22T09:16:00Z"/>
  <w16cex:commentExtensible w16cex:durableId="265574D2" w16cex:dateUtc="2022-06-16T08:22:00Z"/>
  <w16cex:commentExtensible w16cex:durableId="265374D5" w16cex:dateUtc="2022-06-14T19:57:00Z"/>
  <w16cex:commentExtensible w16cex:durableId="26547CEC" w16cex:dateUtc="2022-06-15T14:44:00Z"/>
  <w16cex:commentExtensible w16cex:durableId="26547FC1" w16cex:dateUtc="2022-06-15T14:56:00Z"/>
  <w16cex:commentExtensible w16cex:durableId="26548EA9" w16cex:dateUtc="2022-06-15T16:00:00Z"/>
  <w16cex:commentExtensible w16cex:durableId="26548F1E" w16cex:dateUtc="2022-06-15T16:02:00Z"/>
  <w16cex:commentExtensible w16cex:durableId="2654924E" w16cex:dateUtc="2022-06-15T16:15:00Z"/>
  <w16cex:commentExtensible w16cex:durableId="26557073" w16cex:dateUtc="2022-06-16T08:03:00Z"/>
  <w16cex:commentExtensible w16cex:durableId="2655777B" w16cex:dateUtc="2022-06-16T08:33:00Z"/>
  <w16cex:commentExtensible w16cex:durableId="265579E2" w16cex:dateUtc="2022-06-16T08:44:00Z"/>
  <w16cex:commentExtensible w16cex:durableId="26557CF5" w16cex:dateUtc="2022-06-16T08:57:00Z"/>
  <w16cex:commentExtensible w16cex:durableId="26557F4E" w16cex:dateUtc="2022-06-16T09:07:00Z"/>
  <w16cex:commentExtensible w16cex:durableId="26558371" w16cex:dateUtc="2022-06-16T09:24:00Z"/>
  <w16cex:commentExtensible w16cex:durableId="265584E8" w16cex:dateUtc="2022-06-16T09:31:00Z"/>
  <w16cex:commentExtensible w16cex:durableId="26558657" w16cex:dateUtc="2022-06-16T09:37:00Z"/>
  <w16cex:commentExtensible w16cex:durableId="26558A8D" w16cex:dateUtc="2022-06-16T09:55:00Z"/>
  <w16cex:commentExtensible w16cex:durableId="26558DD0" w16cex:dateUtc="2022-06-16T10:09:00Z"/>
  <w16cex:commentExtensible w16cex:durableId="265AC158" w16cex:dateUtc="2022-06-20T08:50:00Z"/>
  <w16cex:commentExtensible w16cex:durableId="263F7794" w16cex:dateUtc="2022-05-30T16:04:00Z"/>
  <w16cex:commentExtensible w16cex:durableId="626D2983" w16cex:dateUtc="2022-06-01T10:09:00Z"/>
  <w16cex:commentExtensible w16cex:durableId="2638DE67" w16cex:dateUtc="2022-05-25T15:57:00Z"/>
  <w16cex:commentExtensible w16cex:durableId="16637D0F" w16cex:dateUtc="2022-06-01T10:59:00Z"/>
  <w16cex:commentExtensible w16cex:durableId="2638E3BC" w16cex:dateUtc="2022-05-25T16:19:00Z"/>
  <w16cex:commentExtensible w16cex:durableId="0801E448" w16cex:dateUtc="2022-06-01T10:13:00Z"/>
  <w16cex:commentExtensible w16cex:durableId="2638E5F4" w16cex:dateUtc="2022-05-25T16:29:00Z"/>
  <w16cex:commentExtensible w16cex:durableId="51E2E241" w16cex:dateUtc="2022-06-01T10:13:00Z"/>
  <w16cex:commentExtensible w16cex:durableId="2638E6A2" w16cex:dateUtc="2022-05-25T16:32:00Z"/>
  <w16cex:commentExtensible w16cex:durableId="4873909C" w16cex:dateUtc="2022-06-01T10:13:00Z"/>
  <w16cex:commentExtensible w16cex:durableId="2638E770" w16cex:dateUtc="2022-05-25T16:35:00Z"/>
  <w16cex:commentExtensible w16cex:durableId="26F86AA6" w16cex:dateUtc="2022-06-01T10:14:00Z"/>
  <w16cex:commentExtensible w16cex:durableId="2638E825" w16cex:dateUtc="2022-05-25T16:38:00Z"/>
  <w16cex:commentExtensible w16cex:durableId="788AACBE" w16cex:dateUtc="2022-06-01T10:16:00Z"/>
  <w16cex:commentExtensible w16cex:durableId="2638E9F9" w16cex:dateUtc="2022-05-25T16:46:00Z"/>
  <w16cex:commentExtensible w16cex:durableId="0BF089B7" w16cex:dateUtc="2022-06-01T10:16:00Z"/>
  <w16cex:commentExtensible w16cex:durableId="2638EA55" w16cex:dateUtc="2022-05-25T16:48:00Z"/>
  <w16cex:commentExtensible w16cex:durableId="5CFF0ADE" w16cex:dateUtc="2022-06-01T10:17:00Z"/>
  <w16cex:commentExtensible w16cex:durableId="2638EC3F" w16cex:dateUtc="2022-05-25T16:56:00Z"/>
  <w16cex:commentExtensible w16cex:durableId="0358B63B" w16cex:dateUtc="2022-06-01T10:17:00Z"/>
  <w16cex:commentExtensible w16cex:durableId="260D3B63" w16cex:dateUtc="2022-04-22T13:34:00Z"/>
  <w16cex:commentExtensible w16cex:durableId="09E1DBBD" w16cex:dateUtc="2022-06-01T10:17:00Z"/>
  <w16cex:commentExtensible w16cex:durableId="2638EE78" w16cex:dateUtc="2022-05-25T17:05:00Z"/>
  <w16cex:commentExtensible w16cex:durableId="64953F56" w16cex:dateUtc="2022-06-01T11:24:00Z"/>
  <w16cex:commentExtensible w16cex:durableId="2638EF93" w16cex:dateUtc="2022-05-25T17:10:00Z"/>
  <w16cex:commentExtensible w16cex:durableId="67D885F8" w16cex:dateUtc="2022-06-01T11:28:00Z"/>
  <w16cex:commentExtensible w16cex:durableId="2638F50C" w16cex:dateUtc="2022-05-25T17:33:00Z"/>
  <w16cex:commentExtensible w16cex:durableId="50701118" w16cex:dateUtc="2022-06-01T10:18:00Z"/>
  <w16cex:commentExtensible w16cex:durableId="260D3B89" w16cex:dateUtc="2022-04-22T13:34:00Z"/>
  <w16cex:commentExtensible w16cex:durableId="6538365D" w16cex:dateUtc="2022-06-01T10:18:00Z"/>
  <w16cex:commentExtensible w16cex:durableId="2639CE28" w16cex:dateUtc="2022-05-26T08:56:00Z"/>
  <w16cex:commentExtensible w16cex:durableId="0181D35A" w16cex:dateUtc="2022-06-01T11:33:00Z"/>
  <w16cex:commentExtensible w16cex:durableId="260D3B8E" w16cex:dateUtc="2022-04-22T13:34:00Z"/>
  <w16cex:commentExtensible w16cex:durableId="55D6B495" w16cex:dateUtc="2022-06-01T10:18:00Z"/>
  <w16cex:commentExtensible w16cex:durableId="2639CF99" w16cex:dateUtc="2022-05-26T09:06:00Z"/>
  <w16cex:commentExtensible w16cex:durableId="01E06F6B" w16cex:dateUtc="2022-06-01T10:18:00Z"/>
  <w16cex:commentExtensible w16cex:durableId="260D3BA5" w16cex:dateUtc="2022-04-22T13:34:00Z"/>
  <w16cex:commentExtensible w16cex:durableId="617F2CEB" w16cex:dateUtc="2022-06-01T10:19:00Z"/>
  <w16cex:commentExtensible w16cex:durableId="2639D2C2" w16cex:dateUtc="2022-05-26T09:19:00Z"/>
  <w16cex:commentExtensible w16cex:durableId="2AB76290" w16cex:dateUtc="2022-06-01T11:34:00Z"/>
  <w16cex:commentExtensible w16cex:durableId="265EBAE3" w16cex:dateUtc="2022-06-23T09:11:00Z"/>
  <w16cex:commentExtensible w16cex:durableId="263F7697" w16cex:dateUtc="2022-05-30T16:00:00Z"/>
  <w16cex:commentExtensible w16cex:durableId="37135F07" w16cex:dateUtc="2022-06-01T10:20:00Z"/>
  <w16cex:commentExtensible w16cex:durableId="263B54E0" w16cex:dateUtc="2022-05-27T12:47:00Z"/>
  <w16cex:commentExtensible w16cex:durableId="179C3D51" w16cex:dateUtc="2022-06-01T11:38:00Z"/>
  <w16cex:commentExtensible w16cex:durableId="260D3BC9" w16cex:dateUtc="2022-04-22T13:35:00Z"/>
  <w16cex:commentExtensible w16cex:durableId="37546304" w16cex:dateUtc="2022-06-01T10:20:00Z"/>
  <w16cex:commentExtensible w16cex:durableId="263B5A9E" w16cex:dateUtc="2022-05-27T13:11:00Z"/>
  <w16cex:commentExtensible w16cex:durableId="4C33503D" w16cex:dateUtc="2022-06-01T10:20:00Z"/>
  <w16cex:commentExtensible w16cex:durableId="260D3BE0" w16cex:dateUtc="2022-04-22T13:35:00Z"/>
  <w16cex:commentExtensible w16cex:durableId="46BF7FC5" w16cex:dateUtc="2022-06-01T10:20:00Z"/>
  <w16cex:commentExtensible w16cex:durableId="263B5DB8" w16cex:dateUtc="2022-05-27T13:24:00Z"/>
  <w16cex:commentExtensible w16cex:durableId="25089D3D" w16cex:dateUtc="2022-06-01T10:20:00Z"/>
  <w16cex:commentExtensible w16cex:durableId="263B5E96" w16cex:dateUtc="2022-05-27T13:28:00Z"/>
  <w16cex:commentExtensible w16cex:durableId="062B4AA7" w16cex:dateUtc="2022-06-01T10:20:00Z"/>
  <w16cex:commentExtensible w16cex:durableId="263B5F10" w16cex:dateUtc="2022-05-27T13:30:00Z"/>
  <w16cex:commentExtensible w16cex:durableId="2467AC5F" w16cex:dateUtc="2022-06-01T10:21:00Z"/>
  <w16cex:commentExtensible w16cex:durableId="263B5FF3" w16cex:dateUtc="2022-05-27T13:34:00Z"/>
  <w16cex:commentExtensible w16cex:durableId="0B2BA876" w16cex:dateUtc="2022-06-01T10:21:00Z"/>
  <w16cex:commentExtensible w16cex:durableId="263B6131" w16cex:dateUtc="2022-05-27T13:39:00Z"/>
  <w16cex:commentExtensible w16cex:durableId="5A66A57F" w16cex:dateUtc="2022-06-01T10:21:00Z"/>
  <w16cex:commentExtensible w16cex:durableId="265EC379" w16cex:dateUtc="2022-06-23T09:48:00Z"/>
  <w16cex:commentExtensible w16cex:durableId="260D3BF0" w16cex:dateUtc="2022-04-22T13:35:00Z"/>
  <w16cex:commentExtensible w16cex:durableId="1E9D6979" w16cex:dateUtc="2022-06-01T10:21:00Z"/>
  <w16cex:commentExtensible w16cex:durableId="260D3BFF" w16cex:dateUtc="2022-04-22T13:36:00Z"/>
  <w16cex:commentExtensible w16cex:durableId="284678A2" w16cex:dateUtc="2022-06-01T10:21:00Z"/>
  <w16cex:commentExtensible w16cex:durableId="263B64FB" w16cex:dateUtc="2022-05-27T13:55:00Z"/>
  <w16cex:commentExtensible w16cex:durableId="27804055" w16cex:dateUtc="2022-06-01T11:39:00Z"/>
  <w16cex:commentExtensible w16cex:durableId="260D3C35" w16cex:dateUtc="2022-04-22T13:37:00Z"/>
  <w16cex:commentExtensible w16cex:durableId="5EA59D85" w16cex:dateUtc="2022-06-01T10:22:00Z"/>
  <w16cex:commentExtensible w16cex:durableId="260D3C39" w16cex:dateUtc="2022-04-22T13:37:00Z"/>
  <w16cex:commentExtensible w16cex:durableId="16A2F286" w16cex:dateUtc="2022-06-01T10:22:00Z"/>
  <w16cex:commentExtensible w16cex:durableId="263B6A21" w16cex:dateUtc="2022-05-27T14:17:00Z"/>
  <w16cex:commentExtensible w16cex:durableId="6D4F6996" w16cex:dateUtc="2022-06-01T10:22:00Z"/>
  <w16cex:commentExtensible w16cex:durableId="263B702A" w16cex:dateUtc="2022-05-27T14:43:00Z"/>
  <w16cex:commentExtensible w16cex:durableId="09382C20" w16cex:dateUtc="2022-06-01T10:22:00Z"/>
  <w16cex:commentExtensible w16cex:durableId="260D3C97" w16cex:dateUtc="2022-04-22T13:38:00Z"/>
  <w16cex:commentExtensible w16cex:durableId="2038FCDC" w16cex:dateUtc="2022-06-01T10:22:00Z"/>
  <w16cex:commentExtensible w16cex:durableId="263B7440" w16cex:dateUtc="2022-05-27T15:01:00Z"/>
  <w16cex:commentExtensible w16cex:durableId="1622E5E6" w16cex:dateUtc="2022-06-01T11:40:00Z"/>
  <w16cex:commentExtensible w16cex:durableId="263B766C" w16cex:dateUtc="2022-05-27T15:10:00Z"/>
  <w16cex:commentExtensible w16cex:durableId="4500E4A9" w16cex:dateUtc="2022-06-01T10:22:00Z"/>
  <w16cex:commentExtensible w16cex:durableId="263B7676" w16cex:dateUtc="2022-05-27T15:10:00Z"/>
  <w16cex:commentExtensible w16cex:durableId="1A01EEEF" w16cex:dateUtc="2022-06-01T10:22:00Z"/>
  <w16cex:commentExtensible w16cex:durableId="26601FD8" w16cex:dateUtc="2022-06-24T10:34:00Z"/>
  <w16cex:commentExtensible w16cex:durableId="265AC380" w16cex:dateUtc="2022-06-20T08:59:00Z"/>
  <w16cex:commentExtensible w16cex:durableId="265AC7E4" w16cex:dateUtc="2022-06-20T09:18:00Z"/>
  <w16cex:commentExtensible w16cex:durableId="265C0B99" w16cex:dateUtc="2022-06-21T08:19:00Z"/>
  <w16cex:commentExtensible w16cex:durableId="265C1A00" w16cex:dateUtc="2022-06-21T09:20:00Z"/>
  <w16cex:commentExtensible w16cex:durableId="265C24F8" w16cex:dateUtc="2022-06-21T10:07:00Z"/>
  <w16cex:commentExtensible w16cex:durableId="265C26B2" w16cex:dateUtc="2022-06-21T10:14:00Z"/>
  <w16cex:commentExtensible w16cex:durableId="265C27B2" w16cex:dateUtc="2022-06-21T10:19:00Z"/>
  <w16cex:commentExtensible w16cex:durableId="265C3235" w16cex:dateUtc="2022-06-21T11:04:00Z"/>
  <w16cex:commentExtensible w16cex:durableId="2665838F" w16cex:dateUtc="2022-06-28T12:41:00Z"/>
  <w16cex:commentExtensible w16cex:durableId="265EC498" w16cex:dateUtc="2022-06-23T09:53:00Z"/>
  <w16cex:commentExtensible w16cex:durableId="26601A59" w16cex:dateUtc="2022-06-24T10:11:00Z"/>
  <w16cex:commentExtensible w16cex:durableId="2663F6C8" w16cex:dateUtc="2022-06-27T08:28:00Z"/>
  <w16cex:commentExtensible w16cex:durableId="2663FA5F" w16cex:dateUtc="2022-06-27T08:43:00Z"/>
  <w16cex:commentExtensible w16cex:durableId="2663FEB1" w16cex:dateUtc="2022-06-27T09:02:00Z"/>
  <w16cex:commentExtensible w16cex:durableId="26640119" w16cex:dateUtc="2022-06-27T09:12:00Z"/>
  <w16cex:commentExtensible w16cex:durableId="266404AA" w16cex:dateUtc="2022-06-27T09:27:00Z"/>
  <w16cex:commentExtensible w16cex:durableId="26640EA1" w16cex:dateUtc="2022-06-27T10:10:00Z"/>
  <w16cex:commentExtensible w16cex:durableId="266411D8" w16cex:dateUtc="2022-06-27T10:24:00Z"/>
  <w16cex:commentExtensible w16cex:durableId="26641220" w16cex:dateUtc="2022-06-27T10:25:00Z"/>
  <w16cex:commentExtensible w16cex:durableId="26640F37" w16cex:dateUtc="2022-06-27T10:12:00Z"/>
  <w16cex:commentExtensible w16cex:durableId="26641835" w16cex:dateUtc="2022-06-27T10:51:00Z"/>
  <w16cex:commentExtensible w16cex:durableId="26654CD4" w16cex:dateUtc="2022-06-28T08:48:00Z"/>
  <w16cex:commentExtensible w16cex:durableId="2612A9EB" w16cex:dateUtc="2022-04-20T13:36:00Z"/>
  <w16cex:commentExtensible w16cex:durableId="00DCC9E7" w16cex:dateUtc="2022-06-01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31FD70" w16cid:durableId="2612A9E7"/>
  <w16cid:commentId w16cid:paraId="47E73A01" w16cid:durableId="3101E4AC"/>
  <w16cid:commentId w16cid:paraId="7C41E017" w16cid:durableId="264231A9"/>
  <w16cid:commentId w16cid:paraId="22EC56E6" w16cid:durableId="6A984E0C"/>
  <w16cid:commentId w16cid:paraId="64D49138" w16cid:durableId="2612A9E8"/>
  <w16cid:commentId w16cid:paraId="280E971F" w16cid:durableId="5735BE4B"/>
  <w16cid:commentId w16cid:paraId="49D401E3" w16cid:durableId="2612A9E9"/>
  <w16cid:commentId w16cid:paraId="04FE5798" w16cid:durableId="331BA057"/>
  <w16cid:commentId w16cid:paraId="14A6077D" w16cid:durableId="2632302E"/>
  <w16cid:commentId w16cid:paraId="2B6367A2" w16cid:durableId="606C320E"/>
  <w16cid:commentId w16cid:paraId="542D0876" w16cid:durableId="26323090"/>
  <w16cid:commentId w16cid:paraId="74BD6270" w16cid:durableId="5CA52A3D"/>
  <w16cid:commentId w16cid:paraId="38834DF0" w16cid:durableId="263231B4"/>
  <w16cid:commentId w16cid:paraId="267FE8EF" w16cid:durableId="08B4FC29"/>
  <w16cid:commentId w16cid:paraId="469A271B" w16cid:durableId="15185B69"/>
  <w16cid:commentId w16cid:paraId="6559348F" w16cid:durableId="2612A9EA"/>
  <w16cid:commentId w16cid:paraId="33D59F71" w16cid:durableId="7B8BA926"/>
  <w16cid:commentId w16cid:paraId="3FBF601F" w16cid:durableId="2637591C"/>
  <w16cid:commentId w16cid:paraId="20B74F5E" w16cid:durableId="29DDD24D"/>
  <w16cid:commentId w16cid:paraId="49836AF9" w16cid:durableId="26379E9D"/>
  <w16cid:commentId w16cid:paraId="19BB2AEB" w16cid:durableId="5A86633C"/>
  <w16cid:commentId w16cid:paraId="2CAA7E03" w16cid:durableId="26424061"/>
  <w16cid:commentId w16cid:paraId="068A5189" w16cid:durableId="7C2F890A"/>
  <w16cid:commentId w16cid:paraId="585FCC61" w16cid:durableId="26375734"/>
  <w16cid:commentId w16cid:paraId="59C9BC2E" w16cid:durableId="0975C93F"/>
  <w16cid:commentId w16cid:paraId="533C9B4E" w16cid:durableId="26389AFE"/>
  <w16cid:commentId w16cid:paraId="45FC6DD5" w16cid:durableId="424B07BA"/>
  <w16cid:commentId w16cid:paraId="5B07A4FB" w16cid:durableId="264872B1"/>
  <w16cid:commentId w16cid:paraId="4F5120EF" w16cid:durableId="264872B0"/>
  <w16cid:commentId w16cid:paraId="3A544529" w16cid:durableId="26375F55"/>
  <w16cid:commentId w16cid:paraId="4DDB9846" w16cid:durableId="0FF7312F"/>
  <w16cid:commentId w16cid:paraId="6E69243B" w16cid:durableId="2642362E"/>
  <w16cid:commentId w16cid:paraId="529FE4E4" w16cid:durableId="2642362D"/>
  <w16cid:commentId w16cid:paraId="0091A1CF" w16cid:durableId="26379E3A"/>
  <w16cid:commentId w16cid:paraId="0F3ADE0C" w16cid:durableId="38A848FB"/>
  <w16cid:commentId w16cid:paraId="73AFB832" w16cid:durableId="2637A27D"/>
  <w16cid:commentId w16cid:paraId="59F9BC93" w16cid:durableId="1F7E91E9"/>
  <w16cid:commentId w16cid:paraId="5DFE0F8F" w16cid:durableId="26389B28"/>
  <w16cid:commentId w16cid:paraId="1C06E8A8" w16cid:durableId="08A3D776"/>
  <w16cid:commentId w16cid:paraId="60123036" w16cid:durableId="26389DF3"/>
  <w16cid:commentId w16cid:paraId="602E749D" w16cid:durableId="3FD4D980"/>
  <w16cid:commentId w16cid:paraId="132443DD" w16cid:durableId="2638BB57"/>
  <w16cid:commentId w16cid:paraId="16AED1D0" w16cid:durableId="32BADC32"/>
  <w16cid:commentId w16cid:paraId="04DB5CFE" w16cid:durableId="2642FAC3"/>
  <w16cid:commentId w16cid:paraId="0F18B23A" w16cid:durableId="11A5849A"/>
  <w16cid:commentId w16cid:paraId="2275060C" w16cid:durableId="2638C063"/>
  <w16cid:commentId w16cid:paraId="7C97CF0C" w16cid:durableId="492A9F5E"/>
  <w16cid:commentId w16cid:paraId="0B40E9E1" w16cid:durableId="2638C818"/>
  <w16cid:commentId w16cid:paraId="3757A65C" w16cid:durableId="7DA13CDA"/>
  <w16cid:commentId w16cid:paraId="33FE6EB5" w16cid:durableId="2638C89D"/>
  <w16cid:commentId w16cid:paraId="33C0AE72" w16cid:durableId="70689948"/>
  <w16cid:commentId w16cid:paraId="2AE55776" w16cid:durableId="2638CEBB"/>
  <w16cid:commentId w16cid:paraId="171C80BF" w16cid:durableId="491F7167"/>
  <w16cid:commentId w16cid:paraId="137A0D90" w16cid:durableId="2638CE65"/>
  <w16cid:commentId w16cid:paraId="1A2EE408" w16cid:durableId="6FB811F3"/>
  <w16cid:commentId w16cid:paraId="1DFB78B9" w16cid:durableId="2638CE80"/>
  <w16cid:commentId w16cid:paraId="06E9F65A" w16cid:durableId="7F88D2B5"/>
  <w16cid:commentId w16cid:paraId="3ACB9363" w16cid:durableId="2638D4A2"/>
  <w16cid:commentId w16cid:paraId="2FBF6EEE" w16cid:durableId="76411F4F"/>
  <w16cid:commentId w16cid:paraId="4F19D1BB" w16cid:durableId="2638D685"/>
  <w16cid:commentId w16cid:paraId="7009E914" w16cid:durableId="035B8C23"/>
  <w16cid:commentId w16cid:paraId="2256ED4F" w16cid:durableId="2638D86B"/>
  <w16cid:commentId w16cid:paraId="5970E156" w16cid:durableId="65BE625F"/>
  <w16cid:commentId w16cid:paraId="74AD8F2F" w16cid:durableId="2638DB03"/>
  <w16cid:commentId w16cid:paraId="2A78C32D" w16cid:durableId="21CDD416"/>
  <w16cid:commentId w16cid:paraId="7FD6D24E" w16cid:durableId="2638DD36"/>
  <w16cid:commentId w16cid:paraId="7F4EAB77" w16cid:durableId="38C09394"/>
  <w16cid:commentId w16cid:paraId="05EFE995" w16cid:durableId="263F53E5"/>
  <w16cid:commentId w16cid:paraId="62269497" w16cid:durableId="3B89620E"/>
  <w16cid:commentId w16cid:paraId="010AB397" w16cid:durableId="263F5F91"/>
  <w16cid:commentId w16cid:paraId="047DB29E" w16cid:durableId="1F9AF027"/>
  <w16cid:commentId w16cid:paraId="6B1B1B67" w16cid:durableId="263F602F"/>
  <w16cid:commentId w16cid:paraId="3734F93C" w16cid:durableId="65EEFCCD"/>
  <w16cid:commentId w16cid:paraId="09E89123" w16cid:durableId="263F6F4C"/>
  <w16cid:commentId w16cid:paraId="50941DF4" w16cid:durableId="3C0B9680"/>
  <w16cid:commentId w16cid:paraId="71F597CE" w16cid:durableId="2642FBC4"/>
  <w16cid:commentId w16cid:paraId="1B3E5552" w16cid:durableId="156C4D8F"/>
  <w16cid:commentId w16cid:paraId="7CC2E296" w16cid:durableId="263F9C80"/>
  <w16cid:commentId w16cid:paraId="7B022B1D" w16cid:durableId="14731E72"/>
  <w16cid:commentId w16cid:paraId="6BBFC4EA" w16cid:durableId="264087FD"/>
  <w16cid:commentId w16cid:paraId="47479700" w16cid:durableId="0E235C01"/>
  <w16cid:commentId w16cid:paraId="3298A151" w16cid:durableId="26408987"/>
  <w16cid:commentId w16cid:paraId="7ECEC4F1" w16cid:durableId="742D6E16"/>
  <w16cid:commentId w16cid:paraId="4839B1E9" w16cid:durableId="26409FB8"/>
  <w16cid:commentId w16cid:paraId="032CD14E" w16cid:durableId="04EECB72"/>
  <w16cid:commentId w16cid:paraId="72B44D79" w16cid:durableId="2640A582"/>
  <w16cid:commentId w16cid:paraId="1DC602D7" w16cid:durableId="278535E1"/>
  <w16cid:commentId w16cid:paraId="2A6E2F2C" w16cid:durableId="2640A84E"/>
  <w16cid:commentId w16cid:paraId="5220E23D" w16cid:durableId="254543E7"/>
  <w16cid:commentId w16cid:paraId="2398C178" w16cid:durableId="2640AA1F"/>
  <w16cid:commentId w16cid:paraId="165BA257" w16cid:durableId="1CCB2EDB"/>
  <w16cid:commentId w16cid:paraId="38051429" w16cid:durableId="2640AD80"/>
  <w16cid:commentId w16cid:paraId="07EEBA69" w16cid:durableId="59A89EA8"/>
  <w16cid:commentId w16cid:paraId="185495FC" w16cid:durableId="26430246"/>
  <w16cid:commentId w16cid:paraId="7B57234C" w16cid:durableId="6BEDA94D"/>
  <w16cid:commentId w16cid:paraId="4B26DD6A" w16cid:durableId="2643096B"/>
  <w16cid:commentId w16cid:paraId="26013BA9" w16cid:durableId="0937DE1A"/>
  <w16cid:commentId w16cid:paraId="2597E56D" w16cid:durableId="264309E5"/>
  <w16cid:commentId w16cid:paraId="3A49788B" w16cid:durableId="27CE5500"/>
  <w16cid:commentId w16cid:paraId="7750E69D" w16cid:durableId="26430D33"/>
  <w16cid:commentId w16cid:paraId="218FF84C" w16cid:durableId="1F54D98D"/>
  <w16cid:commentId w16cid:paraId="3794398A" w16cid:durableId="2644886A"/>
  <w16cid:commentId w16cid:paraId="3EDAD087" w16cid:durableId="51893221"/>
  <w16cid:commentId w16cid:paraId="467B636A" w16cid:durableId="2644A423"/>
  <w16cid:commentId w16cid:paraId="33C770BE" w16cid:durableId="5FBE9DE1"/>
  <w16cid:commentId w16cid:paraId="7C060911" w16cid:durableId="264887BC"/>
  <w16cid:commentId w16cid:paraId="2AA59764" w16cid:durableId="3F6757F5"/>
  <w16cid:commentId w16cid:paraId="05FE5920" w16cid:durableId="26488A04"/>
  <w16cid:commentId w16cid:paraId="75D67E31" w16cid:durableId="3D6B4D89"/>
  <w16cid:commentId w16cid:paraId="44217FFD" w16cid:durableId="26488AB9"/>
  <w16cid:commentId w16cid:paraId="302A2E08" w16cid:durableId="2FFD474C"/>
  <w16cid:commentId w16cid:paraId="73167E64" w16cid:durableId="26488C3F"/>
  <w16cid:commentId w16cid:paraId="20EBD259" w16cid:durableId="59371E8B"/>
  <w16cid:commentId w16cid:paraId="331EDECF" w16cid:durableId="26488CC7"/>
  <w16cid:commentId w16cid:paraId="2D9F0984" w16cid:durableId="04C8A6F4"/>
  <w16cid:commentId w16cid:paraId="11BE5B24" w16cid:durableId="26489080"/>
  <w16cid:commentId w16cid:paraId="590839C7" w16cid:durableId="5FC66DB5"/>
  <w16cid:commentId w16cid:paraId="1946572D" w16cid:durableId="264897B1"/>
  <w16cid:commentId w16cid:paraId="2AB0EF13" w16cid:durableId="6A0EDD0A"/>
  <w16cid:commentId w16cid:paraId="20B4E2E2" w16cid:durableId="2648A6DA"/>
  <w16cid:commentId w16cid:paraId="431B4B84" w16cid:durableId="461F32F5"/>
  <w16cid:commentId w16cid:paraId="659F589E" w16cid:durableId="2648A613"/>
  <w16cid:commentId w16cid:paraId="7FBC3A57" w16cid:durableId="4617EEF4"/>
  <w16cid:commentId w16cid:paraId="0CCDA440" w16cid:durableId="264B5132"/>
  <w16cid:commentId w16cid:paraId="4822D669" w16cid:durableId="0D97194B"/>
  <w16cid:commentId w16cid:paraId="7B884598" w16cid:durableId="2648A78C"/>
  <w16cid:commentId w16cid:paraId="35E2D50D" w16cid:durableId="056A8022"/>
  <w16cid:commentId w16cid:paraId="5A141EE0" w16cid:durableId="29410323"/>
  <w16cid:commentId w16cid:paraId="523164CF" w16cid:durableId="2648A776"/>
  <w16cid:commentId w16cid:paraId="3EDADE29" w16cid:durableId="76D07F8A"/>
  <w16cid:commentId w16cid:paraId="71850A0A" w16cid:durableId="2649CCB6"/>
  <w16cid:commentId w16cid:paraId="694A4B26" w16cid:durableId="2B8361E8"/>
  <w16cid:commentId w16cid:paraId="046F5060" w16cid:durableId="2649CDE2"/>
  <w16cid:commentId w16cid:paraId="310923AF" w16cid:durableId="095EBB5A"/>
  <w16cid:commentId w16cid:paraId="5E948821" w16cid:durableId="2649D0D6"/>
  <w16cid:commentId w16cid:paraId="1F5D05AF" w16cid:durableId="6EBCF426"/>
  <w16cid:commentId w16cid:paraId="16948C3D" w16cid:durableId="2649D082"/>
  <w16cid:commentId w16cid:paraId="543D1BC2" w16cid:durableId="64200E87"/>
  <w16cid:commentId w16cid:paraId="747D125E" w16cid:durableId="2649D841"/>
  <w16cid:commentId w16cid:paraId="23F6A84B" w16cid:durableId="1598C30A"/>
  <w16cid:commentId w16cid:paraId="3D37C549" w16cid:durableId="2649DD19"/>
  <w16cid:commentId w16cid:paraId="7D204283" w16cid:durableId="71DD5888"/>
  <w16cid:commentId w16cid:paraId="5B9965CE" w16cid:durableId="2649E971"/>
  <w16cid:commentId w16cid:paraId="5140D10C" w16cid:durableId="7720CAE4"/>
  <w16cid:commentId w16cid:paraId="5A108524" w16cid:durableId="2649F737"/>
  <w16cid:commentId w16cid:paraId="0AAFF51A" w16cid:durableId="6E0A8314"/>
  <w16cid:commentId w16cid:paraId="707001BB" w16cid:durableId="264B5510"/>
  <w16cid:commentId w16cid:paraId="44376351" w16cid:durableId="05001BD2"/>
  <w16cid:commentId w16cid:paraId="0EC4E58D" w16cid:durableId="264B5C3F"/>
  <w16cid:commentId w16cid:paraId="58BC5AA1" w16cid:durableId="6E679E05"/>
  <w16cid:commentId w16cid:paraId="42ADF066" w16cid:durableId="264B6DBA"/>
  <w16cid:commentId w16cid:paraId="1B2B4E83" w16cid:durableId="7B1B8B4A"/>
  <w16cid:commentId w16cid:paraId="3714F80D" w16cid:durableId="264DA7CF"/>
  <w16cid:commentId w16cid:paraId="59633C0F" w16cid:durableId="0550E25F"/>
  <w16cid:commentId w16cid:paraId="7F0C49B8" w16cid:durableId="2651BA5C"/>
  <w16cid:commentId w16cid:paraId="4B489FBC" w16cid:durableId="2651BA5D"/>
  <w16cid:commentId w16cid:paraId="7DC93C85" w16cid:durableId="2651BA5E"/>
  <w16cid:commentId w16cid:paraId="00607667" w16cid:durableId="2651BC14"/>
  <w16cid:commentId w16cid:paraId="2D5172B5" w16cid:durableId="2651BDF6"/>
  <w16cid:commentId w16cid:paraId="48662741" w16cid:durableId="2651D6F7"/>
  <w16cid:commentId w16cid:paraId="5B9BAA8A" w16cid:durableId="2651D85B"/>
  <w16cid:commentId w16cid:paraId="62F61220" w16cid:durableId="2651DABC"/>
  <w16cid:commentId w16cid:paraId="6750945C" w16cid:durableId="2651DCEC"/>
  <w16cid:commentId w16cid:paraId="47EF4D97" w16cid:durableId="2651DDAF"/>
  <w16cid:commentId w16cid:paraId="1E338BC6" w16cid:durableId="2651DECE"/>
  <w16cid:commentId w16cid:paraId="1062DA7E" w16cid:durableId="2651E53E"/>
  <w16cid:commentId w16cid:paraId="7D22D6AE" w16cid:durableId="2653444D"/>
  <w16cid:commentId w16cid:paraId="559E4243" w16cid:durableId="26534633"/>
  <w16cid:commentId w16cid:paraId="641EA87F" w16cid:durableId="26534674"/>
  <w16cid:commentId w16cid:paraId="090B9D75" w16cid:durableId="26536CBE"/>
  <w16cid:commentId w16cid:paraId="6F32BE31" w16cid:durableId="26536CC0"/>
  <w16cid:commentId w16cid:paraId="329CFB4B" w16cid:durableId="26536E12"/>
  <w16cid:commentId w16cid:paraId="455ECCE8" w16cid:durableId="26536FBA"/>
  <w16cid:commentId w16cid:paraId="3ED9AE10" w16cid:durableId="265D66F5"/>
  <w16cid:commentId w16cid:paraId="109C539D" w16cid:durableId="2653711F"/>
  <w16cid:commentId w16cid:paraId="6E74AED6" w16cid:durableId="265D6A6F"/>
  <w16cid:commentId w16cid:paraId="4EE3FB2F" w16cid:durableId="265574D2"/>
  <w16cid:commentId w16cid:paraId="328A6740" w16cid:durableId="265374D5"/>
  <w16cid:commentId w16cid:paraId="1E634699" w16cid:durableId="26547CEC"/>
  <w16cid:commentId w16cid:paraId="333BA30D" w16cid:durableId="26547FC1"/>
  <w16cid:commentId w16cid:paraId="5B640017" w16cid:durableId="26548EA9"/>
  <w16cid:commentId w16cid:paraId="3CCC4BE1" w16cid:durableId="26548F1E"/>
  <w16cid:commentId w16cid:paraId="2E402626" w16cid:durableId="2654924E"/>
  <w16cid:commentId w16cid:paraId="585980A2" w16cid:durableId="26557073"/>
  <w16cid:commentId w16cid:paraId="215719BF" w16cid:durableId="2655777B"/>
  <w16cid:commentId w16cid:paraId="02A9CB22" w16cid:durableId="265579E2"/>
  <w16cid:commentId w16cid:paraId="421E0567" w16cid:durableId="26557CF5"/>
  <w16cid:commentId w16cid:paraId="7AA3E442" w16cid:durableId="26557F4E"/>
  <w16cid:commentId w16cid:paraId="47089B70" w16cid:durableId="26558371"/>
  <w16cid:commentId w16cid:paraId="40370476" w16cid:durableId="265584E8"/>
  <w16cid:commentId w16cid:paraId="0E1AEF6E" w16cid:durableId="26558657"/>
  <w16cid:commentId w16cid:paraId="55E42FB3" w16cid:durableId="26558A8D"/>
  <w16cid:commentId w16cid:paraId="768D828C" w16cid:durableId="26558DD0"/>
  <w16cid:commentId w16cid:paraId="02B9EB05" w16cid:durableId="265AC158"/>
  <w16cid:commentId w16cid:paraId="4CEC1839" w16cid:durableId="263F7794"/>
  <w16cid:commentId w16cid:paraId="606BFEAF" w16cid:durableId="626D2983"/>
  <w16cid:commentId w16cid:paraId="1A552DD6" w16cid:durableId="2638DE67"/>
  <w16cid:commentId w16cid:paraId="4529AE93" w16cid:durableId="16637D0F"/>
  <w16cid:commentId w16cid:paraId="1B4DD176" w16cid:durableId="2638E3BC"/>
  <w16cid:commentId w16cid:paraId="09A0542A" w16cid:durableId="0801E448"/>
  <w16cid:commentId w16cid:paraId="203206A8" w16cid:durableId="2638E5F4"/>
  <w16cid:commentId w16cid:paraId="6C3E1D95" w16cid:durableId="51E2E241"/>
  <w16cid:commentId w16cid:paraId="381206E8" w16cid:durableId="2638E6A2"/>
  <w16cid:commentId w16cid:paraId="768526C5" w16cid:durableId="4873909C"/>
  <w16cid:commentId w16cid:paraId="3EA54764" w16cid:durableId="2638E770"/>
  <w16cid:commentId w16cid:paraId="284CD9AE" w16cid:durableId="26F86AA6"/>
  <w16cid:commentId w16cid:paraId="0DC7F38D" w16cid:durableId="2638E825"/>
  <w16cid:commentId w16cid:paraId="70B4164C" w16cid:durableId="788AACBE"/>
  <w16cid:commentId w16cid:paraId="0D5695D6" w16cid:durableId="2638E9F9"/>
  <w16cid:commentId w16cid:paraId="4F20F794" w16cid:durableId="0BF089B7"/>
  <w16cid:commentId w16cid:paraId="5403ECE8" w16cid:durableId="2638EA55"/>
  <w16cid:commentId w16cid:paraId="6FB094B4" w16cid:durableId="5CFF0ADE"/>
  <w16cid:commentId w16cid:paraId="738CD867" w16cid:durableId="2638EC3F"/>
  <w16cid:commentId w16cid:paraId="6E92C091" w16cid:durableId="0358B63B"/>
  <w16cid:commentId w16cid:paraId="0EF9A559" w16cid:durableId="260D3B63"/>
  <w16cid:commentId w16cid:paraId="6F82FA7A" w16cid:durableId="09E1DBBD"/>
  <w16cid:commentId w16cid:paraId="5ADF7CB9" w16cid:durableId="2638EE78"/>
  <w16cid:commentId w16cid:paraId="53DEFF86" w16cid:durableId="64953F56"/>
  <w16cid:commentId w16cid:paraId="1DB8953E" w16cid:durableId="2638EF93"/>
  <w16cid:commentId w16cid:paraId="5B0DD22E" w16cid:durableId="67D885F8"/>
  <w16cid:commentId w16cid:paraId="0C850CD4" w16cid:durableId="2638F50C"/>
  <w16cid:commentId w16cid:paraId="2B4495B6" w16cid:durableId="50701118"/>
  <w16cid:commentId w16cid:paraId="56AE2F9F" w16cid:durableId="260D3B89"/>
  <w16cid:commentId w16cid:paraId="6A3BC562" w16cid:durableId="6538365D"/>
  <w16cid:commentId w16cid:paraId="424B398F" w16cid:durableId="2639CE28"/>
  <w16cid:commentId w16cid:paraId="5B52DD08" w16cid:durableId="0181D35A"/>
  <w16cid:commentId w16cid:paraId="328E37C6" w16cid:durableId="260D3B8E"/>
  <w16cid:commentId w16cid:paraId="58559375" w16cid:durableId="55D6B495"/>
  <w16cid:commentId w16cid:paraId="62C0B431" w16cid:durableId="2639CF99"/>
  <w16cid:commentId w16cid:paraId="4939C435" w16cid:durableId="01E06F6B"/>
  <w16cid:commentId w16cid:paraId="7B5B5DAF" w16cid:durableId="260D3BA5"/>
  <w16cid:commentId w16cid:paraId="4F9F288B" w16cid:durableId="617F2CEB"/>
  <w16cid:commentId w16cid:paraId="7D745C19" w16cid:durableId="2639D2C2"/>
  <w16cid:commentId w16cid:paraId="7E660EF1" w16cid:durableId="2AB76290"/>
  <w16cid:commentId w16cid:paraId="0B9D0620" w16cid:durableId="265EBAE3"/>
  <w16cid:commentId w16cid:paraId="351D87DC" w16cid:durableId="263F7697"/>
  <w16cid:commentId w16cid:paraId="760EE162" w16cid:durableId="37135F07"/>
  <w16cid:commentId w16cid:paraId="46FDD104" w16cid:durableId="263B54E0"/>
  <w16cid:commentId w16cid:paraId="3F4EA2AF" w16cid:durableId="179C3D51"/>
  <w16cid:commentId w16cid:paraId="51B69BC1" w16cid:durableId="260D3BC9"/>
  <w16cid:commentId w16cid:paraId="09D4948C" w16cid:durableId="37546304"/>
  <w16cid:commentId w16cid:paraId="32AA879A" w16cid:durableId="263B5A9E"/>
  <w16cid:commentId w16cid:paraId="2F17BA72" w16cid:durableId="4C33503D"/>
  <w16cid:commentId w16cid:paraId="277950B6" w16cid:durableId="260D3BE0"/>
  <w16cid:commentId w16cid:paraId="4308EA94" w16cid:durableId="46BF7FC5"/>
  <w16cid:commentId w16cid:paraId="0A84DAE5" w16cid:durableId="263B5DB8"/>
  <w16cid:commentId w16cid:paraId="1DFC89D6" w16cid:durableId="25089D3D"/>
  <w16cid:commentId w16cid:paraId="7CD89A9B" w16cid:durableId="263B5E96"/>
  <w16cid:commentId w16cid:paraId="53D10B8E" w16cid:durableId="062B4AA7"/>
  <w16cid:commentId w16cid:paraId="034708AD" w16cid:durableId="263B5F10"/>
  <w16cid:commentId w16cid:paraId="14EE4EAB" w16cid:durableId="2467AC5F"/>
  <w16cid:commentId w16cid:paraId="6BB031A6" w16cid:durableId="263B5FF3"/>
  <w16cid:commentId w16cid:paraId="019E86F8" w16cid:durableId="0B2BA876"/>
  <w16cid:commentId w16cid:paraId="760966EE" w16cid:durableId="263B6131"/>
  <w16cid:commentId w16cid:paraId="69582C06" w16cid:durableId="5A66A57F"/>
  <w16cid:commentId w16cid:paraId="4FDDD615" w16cid:durableId="265EC379"/>
  <w16cid:commentId w16cid:paraId="2C84484D" w16cid:durableId="260D3BF0"/>
  <w16cid:commentId w16cid:paraId="5C3EB403" w16cid:durableId="1E9D6979"/>
  <w16cid:commentId w16cid:paraId="1D16EEC5" w16cid:durableId="260D3BFF"/>
  <w16cid:commentId w16cid:paraId="669C9C3F" w16cid:durableId="284678A2"/>
  <w16cid:commentId w16cid:paraId="2BFF6157" w16cid:durableId="263B64FB"/>
  <w16cid:commentId w16cid:paraId="04E6DA53" w16cid:durableId="27804055"/>
  <w16cid:commentId w16cid:paraId="0B92D00F" w16cid:durableId="260D3C35"/>
  <w16cid:commentId w16cid:paraId="657E315F" w16cid:durableId="5EA59D85"/>
  <w16cid:commentId w16cid:paraId="4275EB1D" w16cid:durableId="260D3C39"/>
  <w16cid:commentId w16cid:paraId="6C4ECF24" w16cid:durableId="16A2F286"/>
  <w16cid:commentId w16cid:paraId="429AFB0F" w16cid:durableId="263B6A21"/>
  <w16cid:commentId w16cid:paraId="1B8AAF5F" w16cid:durableId="6D4F6996"/>
  <w16cid:commentId w16cid:paraId="381CFBE9" w16cid:durableId="263B702A"/>
  <w16cid:commentId w16cid:paraId="403DC87A" w16cid:durableId="09382C20"/>
  <w16cid:commentId w16cid:paraId="6583AD90" w16cid:durableId="260D3C97"/>
  <w16cid:commentId w16cid:paraId="09CFB141" w16cid:durableId="2038FCDC"/>
  <w16cid:commentId w16cid:paraId="237A72E0" w16cid:durableId="263B7440"/>
  <w16cid:commentId w16cid:paraId="1AE3F859" w16cid:durableId="1622E5E6"/>
  <w16cid:commentId w16cid:paraId="47E8F862" w16cid:durableId="263B766C"/>
  <w16cid:commentId w16cid:paraId="1088E40C" w16cid:durableId="4500E4A9"/>
  <w16cid:commentId w16cid:paraId="49FB9AF1" w16cid:durableId="263B7676"/>
  <w16cid:commentId w16cid:paraId="4371392F" w16cid:durableId="1A01EEEF"/>
  <w16cid:commentId w16cid:paraId="73A22441" w16cid:durableId="26601FD8"/>
  <w16cid:commentId w16cid:paraId="3F348CFF" w16cid:durableId="265AC380"/>
  <w16cid:commentId w16cid:paraId="6A8EA812" w16cid:durableId="265AC7E4"/>
  <w16cid:commentId w16cid:paraId="281F9D79" w16cid:durableId="265C0B99"/>
  <w16cid:commentId w16cid:paraId="038C3BFD" w16cid:durableId="265C1A00"/>
  <w16cid:commentId w16cid:paraId="2E479FD6" w16cid:durableId="265C24F8"/>
  <w16cid:commentId w16cid:paraId="0EF3D6B6" w16cid:durableId="265C26B2"/>
  <w16cid:commentId w16cid:paraId="6FDFC161" w16cid:durableId="265C27B2"/>
  <w16cid:commentId w16cid:paraId="7D482FD5" w16cid:durableId="265C3235"/>
  <w16cid:commentId w16cid:paraId="3E6792F8" w16cid:durableId="2665838F"/>
  <w16cid:commentId w16cid:paraId="2C446C31" w16cid:durableId="265EC498"/>
  <w16cid:commentId w16cid:paraId="506E32A0" w16cid:durableId="26601A59"/>
  <w16cid:commentId w16cid:paraId="07C4A88C" w16cid:durableId="2663F6C8"/>
  <w16cid:commentId w16cid:paraId="4CF54DE7" w16cid:durableId="2663FA5F"/>
  <w16cid:commentId w16cid:paraId="2DC27508" w16cid:durableId="2663FEB1"/>
  <w16cid:commentId w16cid:paraId="4CF66E4D" w16cid:durableId="26640119"/>
  <w16cid:commentId w16cid:paraId="6B1C1C6D" w16cid:durableId="266404AA"/>
  <w16cid:commentId w16cid:paraId="64EBC905" w16cid:durableId="26640EA1"/>
  <w16cid:commentId w16cid:paraId="3D7D2A41" w16cid:durableId="266411D8"/>
  <w16cid:commentId w16cid:paraId="16E31D30" w16cid:durableId="26641220"/>
  <w16cid:commentId w16cid:paraId="065C0907" w16cid:durableId="26640F37"/>
  <w16cid:commentId w16cid:paraId="6B706272" w16cid:durableId="26641835"/>
  <w16cid:commentId w16cid:paraId="146E66F7" w16cid:durableId="26654CD4"/>
  <w16cid:commentId w16cid:paraId="2A423CA6" w16cid:durableId="2612A9EB"/>
  <w16cid:commentId w16cid:paraId="420B7090" w16cid:durableId="00DCC9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D87F" w14:textId="77777777" w:rsidR="00C74EAF" w:rsidRDefault="00C74EAF" w:rsidP="002B3A40">
      <w:r>
        <w:separator/>
      </w:r>
    </w:p>
  </w:endnote>
  <w:endnote w:type="continuationSeparator" w:id="0">
    <w:p w14:paraId="264A9C67" w14:textId="77777777" w:rsidR="00C74EAF" w:rsidRDefault="00C74EAF" w:rsidP="002B3A40">
      <w:r>
        <w:continuationSeparator/>
      </w:r>
    </w:p>
  </w:endnote>
  <w:endnote w:type="continuationNotice" w:id="1">
    <w:p w14:paraId="2F054CE5" w14:textId="77777777" w:rsidR="00C74EAF" w:rsidRDefault="00C74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ato Black">
    <w:panose1 w:val="020F0502020204030203"/>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Segoe UI"/>
    <w:panose1 w:val="020F0502020204030203"/>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charset w:val="00"/>
    <w:family w:val="auto"/>
    <w:pitch w:val="variable"/>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Medium">
    <w:panose1 w:val="020F0502020204030203"/>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Lato Semibold">
    <w:panose1 w:val="020F0502020204030203"/>
    <w:charset w:val="00"/>
    <w:family w:val="swiss"/>
    <w:pitch w:val="variable"/>
    <w:sig w:usb0="E10002FF" w:usb1="5000ECFF" w:usb2="00000021" w:usb3="00000000" w:csb0="0000019F" w:csb1="00000000"/>
  </w:font>
  <w:font w:name="Yu Mincho">
    <w:altName w:val="游明朝"/>
    <w:charset w:val="80"/>
    <w:family w:val="roman"/>
    <w:pitch w:val="variable"/>
    <w:sig w:usb0="800002E7" w:usb1="2AC7FCFF" w:usb2="00000012" w:usb3="00000000" w:csb0="0002009F" w:csb1="00000000"/>
  </w:font>
  <w:font w:name="Frutiger LT Pro 45 Light">
    <w:altName w:val="﷽﷽﷽﷽﷽﷽﷽﷽"/>
    <w:panose1 w:val="00000000000000000000"/>
    <w:charset w:val="4D"/>
    <w:family w:val="swiss"/>
    <w:notTrueType/>
    <w:pitch w:val="variable"/>
    <w:sig w:usb0="A00000A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Merriweather">
    <w:altName w:val="Merriweather"/>
    <w:charset w:val="00"/>
    <w:family w:val="auto"/>
    <w:pitch w:val="variable"/>
    <w:sig w:usb0="20000207" w:usb1="00000002"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75C42" w14:textId="77777777" w:rsidR="00C74EAF" w:rsidRDefault="00C74EAF" w:rsidP="002B3A40">
      <w:r>
        <w:separator/>
      </w:r>
    </w:p>
  </w:footnote>
  <w:footnote w:type="continuationSeparator" w:id="0">
    <w:p w14:paraId="144B927C" w14:textId="77777777" w:rsidR="00C74EAF" w:rsidRDefault="00C74EAF" w:rsidP="002B3A40">
      <w:r>
        <w:continuationSeparator/>
      </w:r>
    </w:p>
  </w:footnote>
  <w:footnote w:type="continuationNotice" w:id="1">
    <w:p w14:paraId="45DCE75B" w14:textId="77777777" w:rsidR="00C74EAF" w:rsidRDefault="00C74E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399"/>
    <w:multiLevelType w:val="hybridMultilevel"/>
    <w:tmpl w:val="ADD6696C"/>
    <w:lvl w:ilvl="0" w:tplc="867E38B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82AD5"/>
    <w:multiLevelType w:val="hybridMultilevel"/>
    <w:tmpl w:val="128CE25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9366A6"/>
    <w:multiLevelType w:val="hybridMultilevel"/>
    <w:tmpl w:val="71A653B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9050DF"/>
    <w:multiLevelType w:val="hybridMultilevel"/>
    <w:tmpl w:val="8B7ECE3E"/>
    <w:lvl w:ilvl="0" w:tplc="84345716">
      <w:start w:val="1"/>
      <w:numFmt w:val="decimal"/>
      <w:lvlText w:val="%1)"/>
      <w:lvlJc w:val="left"/>
      <w:pPr>
        <w:ind w:left="720" w:hanging="360"/>
      </w:pPr>
      <w:rPr>
        <w:rFonts w:ascii="Times New Roman" w:eastAsiaTheme="minorHAns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A9393C"/>
    <w:multiLevelType w:val="hybridMultilevel"/>
    <w:tmpl w:val="F3721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0668A"/>
    <w:multiLevelType w:val="multilevel"/>
    <w:tmpl w:val="4EBE4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D01487"/>
    <w:multiLevelType w:val="hybridMultilevel"/>
    <w:tmpl w:val="64FEF404"/>
    <w:lvl w:ilvl="0" w:tplc="A2CE27BE">
      <w:start w:val="1"/>
      <w:numFmt w:val="lowerLetter"/>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182D31"/>
    <w:multiLevelType w:val="hybridMultilevel"/>
    <w:tmpl w:val="C9B6C1B4"/>
    <w:lvl w:ilvl="0" w:tplc="230CCCCA">
      <w:start w:val="1"/>
      <w:numFmt w:val="bullet"/>
      <w:lvlText w:val=""/>
      <w:lvlJc w:val="left"/>
      <w:pPr>
        <w:tabs>
          <w:tab w:val="num" w:pos="1072"/>
        </w:tabs>
        <w:ind w:left="1072" w:hanging="352"/>
      </w:pPr>
      <w:rPr>
        <w:rFonts w:ascii="Symbol" w:hAnsi="Symbol" w:hint="default"/>
      </w:rPr>
    </w:lvl>
    <w:lvl w:ilvl="1" w:tplc="E604BC34">
      <w:start w:val="1"/>
      <w:numFmt w:val="bullet"/>
      <w:lvlText w:val="o"/>
      <w:lvlJc w:val="left"/>
      <w:pPr>
        <w:tabs>
          <w:tab w:val="num" w:pos="1803"/>
        </w:tabs>
        <w:ind w:left="1803" w:hanging="360"/>
      </w:pPr>
      <w:rPr>
        <w:rFonts w:ascii="Courier New" w:hAnsi="Courier New" w:hint="default"/>
      </w:rPr>
    </w:lvl>
    <w:lvl w:ilvl="2" w:tplc="9252CCA6" w:tentative="1">
      <w:start w:val="1"/>
      <w:numFmt w:val="bullet"/>
      <w:lvlText w:val=""/>
      <w:lvlJc w:val="left"/>
      <w:pPr>
        <w:tabs>
          <w:tab w:val="num" w:pos="2523"/>
        </w:tabs>
        <w:ind w:left="2523" w:hanging="360"/>
      </w:pPr>
      <w:rPr>
        <w:rFonts w:ascii="Wingdings" w:hAnsi="Wingdings" w:hint="default"/>
      </w:rPr>
    </w:lvl>
    <w:lvl w:ilvl="3" w:tplc="9C2A7872" w:tentative="1">
      <w:start w:val="1"/>
      <w:numFmt w:val="bullet"/>
      <w:lvlText w:val=""/>
      <w:lvlJc w:val="left"/>
      <w:pPr>
        <w:tabs>
          <w:tab w:val="num" w:pos="3243"/>
        </w:tabs>
        <w:ind w:left="3243" w:hanging="360"/>
      </w:pPr>
      <w:rPr>
        <w:rFonts w:ascii="Symbol" w:hAnsi="Symbol" w:hint="default"/>
      </w:rPr>
    </w:lvl>
    <w:lvl w:ilvl="4" w:tplc="137A6E78" w:tentative="1">
      <w:start w:val="1"/>
      <w:numFmt w:val="bullet"/>
      <w:lvlText w:val="o"/>
      <w:lvlJc w:val="left"/>
      <w:pPr>
        <w:tabs>
          <w:tab w:val="num" w:pos="3963"/>
        </w:tabs>
        <w:ind w:left="3963" w:hanging="360"/>
      </w:pPr>
      <w:rPr>
        <w:rFonts w:ascii="Courier New" w:hAnsi="Courier New" w:hint="default"/>
      </w:rPr>
    </w:lvl>
    <w:lvl w:ilvl="5" w:tplc="63144ED8" w:tentative="1">
      <w:start w:val="1"/>
      <w:numFmt w:val="bullet"/>
      <w:lvlText w:val=""/>
      <w:lvlJc w:val="left"/>
      <w:pPr>
        <w:tabs>
          <w:tab w:val="num" w:pos="4683"/>
        </w:tabs>
        <w:ind w:left="4683" w:hanging="360"/>
      </w:pPr>
      <w:rPr>
        <w:rFonts w:ascii="Wingdings" w:hAnsi="Wingdings" w:hint="default"/>
      </w:rPr>
    </w:lvl>
    <w:lvl w:ilvl="6" w:tplc="1486B35A" w:tentative="1">
      <w:start w:val="1"/>
      <w:numFmt w:val="bullet"/>
      <w:lvlText w:val=""/>
      <w:lvlJc w:val="left"/>
      <w:pPr>
        <w:tabs>
          <w:tab w:val="num" w:pos="5403"/>
        </w:tabs>
        <w:ind w:left="5403" w:hanging="360"/>
      </w:pPr>
      <w:rPr>
        <w:rFonts w:ascii="Symbol" w:hAnsi="Symbol" w:hint="default"/>
      </w:rPr>
    </w:lvl>
    <w:lvl w:ilvl="7" w:tplc="025037C4" w:tentative="1">
      <w:start w:val="1"/>
      <w:numFmt w:val="bullet"/>
      <w:lvlText w:val="o"/>
      <w:lvlJc w:val="left"/>
      <w:pPr>
        <w:tabs>
          <w:tab w:val="num" w:pos="6123"/>
        </w:tabs>
        <w:ind w:left="6123" w:hanging="360"/>
      </w:pPr>
      <w:rPr>
        <w:rFonts w:ascii="Courier New" w:hAnsi="Courier New" w:hint="default"/>
      </w:rPr>
    </w:lvl>
    <w:lvl w:ilvl="8" w:tplc="C98A2FE4" w:tentative="1">
      <w:start w:val="1"/>
      <w:numFmt w:val="bullet"/>
      <w:lvlText w:val=""/>
      <w:lvlJc w:val="left"/>
      <w:pPr>
        <w:tabs>
          <w:tab w:val="num" w:pos="6843"/>
        </w:tabs>
        <w:ind w:left="6843" w:hanging="360"/>
      </w:pPr>
      <w:rPr>
        <w:rFonts w:ascii="Wingdings" w:hAnsi="Wingdings" w:hint="default"/>
      </w:rPr>
    </w:lvl>
  </w:abstractNum>
  <w:abstractNum w:abstractNumId="8" w15:restartNumberingAfterBreak="0">
    <w:nsid w:val="0D925427"/>
    <w:multiLevelType w:val="hybridMultilevel"/>
    <w:tmpl w:val="45F66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103894"/>
    <w:multiLevelType w:val="hybridMultilevel"/>
    <w:tmpl w:val="2E4A3F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C25BD4"/>
    <w:multiLevelType w:val="hybridMultilevel"/>
    <w:tmpl w:val="3BCA47A0"/>
    <w:lvl w:ilvl="0" w:tplc="2454F390">
      <w:start w:val="1"/>
      <w:numFmt w:val="bullet"/>
      <w:lvlText w:val="•"/>
      <w:lvlJc w:val="left"/>
      <w:pPr>
        <w:tabs>
          <w:tab w:val="num" w:pos="720"/>
        </w:tabs>
        <w:ind w:left="720" w:hanging="360"/>
      </w:pPr>
      <w:rPr>
        <w:rFonts w:ascii="Arial" w:hAnsi="Arial" w:hint="default"/>
      </w:rPr>
    </w:lvl>
    <w:lvl w:ilvl="1" w:tplc="95C4EDAE">
      <w:start w:val="1"/>
      <w:numFmt w:val="bullet"/>
      <w:lvlText w:val="•"/>
      <w:lvlJc w:val="left"/>
      <w:pPr>
        <w:tabs>
          <w:tab w:val="num" w:pos="1440"/>
        </w:tabs>
        <w:ind w:left="1440" w:hanging="360"/>
      </w:pPr>
      <w:rPr>
        <w:rFonts w:ascii="Arial" w:hAnsi="Arial" w:hint="default"/>
      </w:rPr>
    </w:lvl>
    <w:lvl w:ilvl="2" w:tplc="B1629102" w:tentative="1">
      <w:start w:val="1"/>
      <w:numFmt w:val="bullet"/>
      <w:lvlText w:val="•"/>
      <w:lvlJc w:val="left"/>
      <w:pPr>
        <w:tabs>
          <w:tab w:val="num" w:pos="2160"/>
        </w:tabs>
        <w:ind w:left="2160" w:hanging="360"/>
      </w:pPr>
      <w:rPr>
        <w:rFonts w:ascii="Arial" w:hAnsi="Arial" w:hint="default"/>
      </w:rPr>
    </w:lvl>
    <w:lvl w:ilvl="3" w:tplc="5B624C6E" w:tentative="1">
      <w:start w:val="1"/>
      <w:numFmt w:val="bullet"/>
      <w:lvlText w:val="•"/>
      <w:lvlJc w:val="left"/>
      <w:pPr>
        <w:tabs>
          <w:tab w:val="num" w:pos="2880"/>
        </w:tabs>
        <w:ind w:left="2880" w:hanging="360"/>
      </w:pPr>
      <w:rPr>
        <w:rFonts w:ascii="Arial" w:hAnsi="Arial" w:hint="default"/>
      </w:rPr>
    </w:lvl>
    <w:lvl w:ilvl="4" w:tplc="8E8AB0C6" w:tentative="1">
      <w:start w:val="1"/>
      <w:numFmt w:val="bullet"/>
      <w:lvlText w:val="•"/>
      <w:lvlJc w:val="left"/>
      <w:pPr>
        <w:tabs>
          <w:tab w:val="num" w:pos="3600"/>
        </w:tabs>
        <w:ind w:left="3600" w:hanging="360"/>
      </w:pPr>
      <w:rPr>
        <w:rFonts w:ascii="Arial" w:hAnsi="Arial" w:hint="default"/>
      </w:rPr>
    </w:lvl>
    <w:lvl w:ilvl="5" w:tplc="2812BDA8" w:tentative="1">
      <w:start w:val="1"/>
      <w:numFmt w:val="bullet"/>
      <w:lvlText w:val="•"/>
      <w:lvlJc w:val="left"/>
      <w:pPr>
        <w:tabs>
          <w:tab w:val="num" w:pos="4320"/>
        </w:tabs>
        <w:ind w:left="4320" w:hanging="360"/>
      </w:pPr>
      <w:rPr>
        <w:rFonts w:ascii="Arial" w:hAnsi="Arial" w:hint="default"/>
      </w:rPr>
    </w:lvl>
    <w:lvl w:ilvl="6" w:tplc="88524482" w:tentative="1">
      <w:start w:val="1"/>
      <w:numFmt w:val="bullet"/>
      <w:lvlText w:val="•"/>
      <w:lvlJc w:val="left"/>
      <w:pPr>
        <w:tabs>
          <w:tab w:val="num" w:pos="5040"/>
        </w:tabs>
        <w:ind w:left="5040" w:hanging="360"/>
      </w:pPr>
      <w:rPr>
        <w:rFonts w:ascii="Arial" w:hAnsi="Arial" w:hint="default"/>
      </w:rPr>
    </w:lvl>
    <w:lvl w:ilvl="7" w:tplc="B0B81842" w:tentative="1">
      <w:start w:val="1"/>
      <w:numFmt w:val="bullet"/>
      <w:lvlText w:val="•"/>
      <w:lvlJc w:val="left"/>
      <w:pPr>
        <w:tabs>
          <w:tab w:val="num" w:pos="5760"/>
        </w:tabs>
        <w:ind w:left="5760" w:hanging="360"/>
      </w:pPr>
      <w:rPr>
        <w:rFonts w:ascii="Arial" w:hAnsi="Arial" w:hint="default"/>
      </w:rPr>
    </w:lvl>
    <w:lvl w:ilvl="8" w:tplc="E466DD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C96D23"/>
    <w:multiLevelType w:val="hybridMultilevel"/>
    <w:tmpl w:val="4CC3B62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0E00A33"/>
    <w:multiLevelType w:val="hybridMultilevel"/>
    <w:tmpl w:val="CC5A1F1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16B6AFE"/>
    <w:multiLevelType w:val="multilevel"/>
    <w:tmpl w:val="2B48D1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2741F5E"/>
    <w:multiLevelType w:val="hybridMultilevel"/>
    <w:tmpl w:val="39666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8651DD"/>
    <w:multiLevelType w:val="hybridMultilevel"/>
    <w:tmpl w:val="915849FA"/>
    <w:lvl w:ilvl="0" w:tplc="7A6E3F08">
      <w:start w:val="1"/>
      <w:numFmt w:val="decimal"/>
      <w:lvlText w:val="%1."/>
      <w:lvlJc w:val="left"/>
      <w:pPr>
        <w:ind w:left="720" w:hanging="360"/>
      </w:pPr>
      <w:rPr>
        <w:rFonts w:hint="default"/>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3AA1869"/>
    <w:multiLevelType w:val="hybridMultilevel"/>
    <w:tmpl w:val="DE18BBEA"/>
    <w:lvl w:ilvl="0" w:tplc="CB76F86C">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7B79CA"/>
    <w:multiLevelType w:val="hybridMultilevel"/>
    <w:tmpl w:val="5D0607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8761D4B"/>
    <w:multiLevelType w:val="hybridMultilevel"/>
    <w:tmpl w:val="1FC64A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8EA73D1"/>
    <w:multiLevelType w:val="hybridMultilevel"/>
    <w:tmpl w:val="DD14C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6A364F"/>
    <w:multiLevelType w:val="hybridMultilevel"/>
    <w:tmpl w:val="49A21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BE4279"/>
    <w:multiLevelType w:val="hybridMultilevel"/>
    <w:tmpl w:val="52609A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BB06DB6"/>
    <w:multiLevelType w:val="hybridMultilevel"/>
    <w:tmpl w:val="71E012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C395E2B"/>
    <w:multiLevelType w:val="hybridMultilevel"/>
    <w:tmpl w:val="12B2A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166162"/>
    <w:multiLevelType w:val="hybridMultilevel"/>
    <w:tmpl w:val="8F18F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BF321D"/>
    <w:multiLevelType w:val="hybridMultilevel"/>
    <w:tmpl w:val="90B86F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EC77449"/>
    <w:multiLevelType w:val="hybridMultilevel"/>
    <w:tmpl w:val="E10AF8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213B102D"/>
    <w:multiLevelType w:val="hybridMultilevel"/>
    <w:tmpl w:val="9AB478FA"/>
    <w:lvl w:ilvl="0" w:tplc="04090001">
      <w:start w:val="1"/>
      <w:numFmt w:val="bullet"/>
      <w:lvlText w:val=""/>
      <w:lvlJc w:val="left"/>
      <w:pPr>
        <w:ind w:left="502" w:hanging="360"/>
      </w:pPr>
      <w:rPr>
        <w:rFonts w:ascii="Symbol" w:hAnsi="Symbol" w:hint="default"/>
      </w:rPr>
    </w:lvl>
    <w:lvl w:ilvl="1" w:tplc="08090001">
      <w:start w:val="1"/>
      <w:numFmt w:val="bullet"/>
      <w:lvlText w:val=""/>
      <w:lvlJc w:val="left"/>
      <w:pPr>
        <w:ind w:left="731" w:hanging="360"/>
      </w:pPr>
      <w:rPr>
        <w:rFonts w:ascii="Symbol" w:hAnsi="Symbol" w:hint="default"/>
      </w:rPr>
    </w:lvl>
    <w:lvl w:ilvl="2" w:tplc="08090005">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28" w15:restartNumberingAfterBreak="0">
    <w:nsid w:val="22B77673"/>
    <w:multiLevelType w:val="hybridMultilevel"/>
    <w:tmpl w:val="4246DFB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9" w15:restartNumberingAfterBreak="0">
    <w:nsid w:val="230F3E97"/>
    <w:multiLevelType w:val="hybridMultilevel"/>
    <w:tmpl w:val="E33875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38447A9"/>
    <w:multiLevelType w:val="hybridMultilevel"/>
    <w:tmpl w:val="03B8FE10"/>
    <w:lvl w:ilvl="0" w:tplc="73BA291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C75527"/>
    <w:multiLevelType w:val="hybridMultilevel"/>
    <w:tmpl w:val="06AA1E76"/>
    <w:lvl w:ilvl="0" w:tplc="10DE6628">
      <w:start w:val="1"/>
      <w:numFmt w:val="decimal"/>
      <w:lvlText w:val="%1."/>
      <w:lvlJc w:val="left"/>
      <w:pPr>
        <w:tabs>
          <w:tab w:val="num" w:pos="1440"/>
        </w:tabs>
        <w:ind w:left="1440" w:hanging="360"/>
      </w:pPr>
    </w:lvl>
    <w:lvl w:ilvl="1" w:tplc="0554C8DE"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2" w15:restartNumberingAfterBreak="0">
    <w:nsid w:val="2AFA617D"/>
    <w:multiLevelType w:val="hybridMultilevel"/>
    <w:tmpl w:val="6AC6C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A50680"/>
    <w:multiLevelType w:val="hybridMultilevel"/>
    <w:tmpl w:val="5010F37E"/>
    <w:lvl w:ilvl="0" w:tplc="04090001">
      <w:start w:val="1"/>
      <w:numFmt w:val="bullet"/>
      <w:lvlText w:val=""/>
      <w:lvlJc w:val="left"/>
      <w:pPr>
        <w:ind w:left="502" w:hanging="360"/>
      </w:pPr>
      <w:rPr>
        <w:rFonts w:ascii="Symbol" w:hAnsi="Symbol" w:hint="default"/>
      </w:rPr>
    </w:lvl>
    <w:lvl w:ilvl="1" w:tplc="08090003">
      <w:start w:val="1"/>
      <w:numFmt w:val="bullet"/>
      <w:lvlText w:val="o"/>
      <w:lvlJc w:val="left"/>
      <w:pPr>
        <w:ind w:left="731" w:hanging="360"/>
      </w:pPr>
      <w:rPr>
        <w:rFonts w:ascii="Courier New" w:hAnsi="Courier New" w:cs="Courier New" w:hint="default"/>
      </w:rPr>
    </w:lvl>
    <w:lvl w:ilvl="2" w:tplc="08090005">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34" w15:restartNumberingAfterBreak="0">
    <w:nsid w:val="2BBE4E37"/>
    <w:multiLevelType w:val="hybridMultilevel"/>
    <w:tmpl w:val="A31CE664"/>
    <w:lvl w:ilvl="0" w:tplc="F072FCB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043C7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88C2A6">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80156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3EF14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64B29E">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8C375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A2876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EA0750">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C847AF8"/>
    <w:multiLevelType w:val="hybridMultilevel"/>
    <w:tmpl w:val="74EAC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DA554D0"/>
    <w:multiLevelType w:val="hybridMultilevel"/>
    <w:tmpl w:val="06148A5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2DC17D52"/>
    <w:multiLevelType w:val="multilevel"/>
    <w:tmpl w:val="8F2628A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ascii="Arial" w:hAnsi="Arial" w:hint="default"/>
        <w:b/>
        <w:i w:val="0"/>
        <w:sz w:val="22"/>
      </w:rPr>
    </w:lvl>
    <w:lvl w:ilvl="2">
      <w:start w:val="1"/>
      <w:numFmt w:val="decimal"/>
      <w:isLgl/>
      <w:lvlText w:val="%1.%2.%3"/>
      <w:lvlJc w:val="left"/>
      <w:pPr>
        <w:tabs>
          <w:tab w:val="num" w:pos="720"/>
        </w:tabs>
        <w:ind w:left="720" w:hanging="720"/>
      </w:pPr>
      <w:rPr>
        <w:rFonts w:ascii="Arial" w:hAnsi="Arial" w:hint="default"/>
        <w:b/>
        <w:i w:val="0"/>
        <w:sz w:val="22"/>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2F2F664B"/>
    <w:multiLevelType w:val="hybridMultilevel"/>
    <w:tmpl w:val="9384BA74"/>
    <w:lvl w:ilvl="0" w:tplc="08090001">
      <w:start w:val="1"/>
      <w:numFmt w:val="bullet"/>
      <w:lvlText w:val=""/>
      <w:lvlJc w:val="left"/>
      <w:pPr>
        <w:ind w:left="720" w:hanging="360"/>
      </w:pPr>
      <w:rPr>
        <w:rFonts w:ascii="Symbol" w:hAnsi="Symbol" w:hint="default"/>
      </w:rPr>
    </w:lvl>
    <w:lvl w:ilvl="1" w:tplc="A5B6A542">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04041C6"/>
    <w:multiLevelType w:val="hybridMultilevel"/>
    <w:tmpl w:val="F1A6ECB8"/>
    <w:lvl w:ilvl="0" w:tplc="0F3CB166">
      <w:start w:val="1"/>
      <w:numFmt w:val="bullet"/>
      <w:lvlText w:val="•"/>
      <w:lvlJc w:val="left"/>
      <w:pPr>
        <w:tabs>
          <w:tab w:val="num" w:pos="720"/>
        </w:tabs>
        <w:ind w:left="720" w:hanging="360"/>
      </w:pPr>
      <w:rPr>
        <w:rFonts w:ascii="Arial" w:hAnsi="Arial" w:hint="default"/>
      </w:rPr>
    </w:lvl>
    <w:lvl w:ilvl="1" w:tplc="1B7607AC">
      <w:start w:val="1"/>
      <w:numFmt w:val="bullet"/>
      <w:lvlText w:val="•"/>
      <w:lvlJc w:val="left"/>
      <w:pPr>
        <w:tabs>
          <w:tab w:val="num" w:pos="1440"/>
        </w:tabs>
        <w:ind w:left="1440" w:hanging="360"/>
      </w:pPr>
      <w:rPr>
        <w:rFonts w:ascii="Arial" w:hAnsi="Arial" w:hint="default"/>
      </w:rPr>
    </w:lvl>
    <w:lvl w:ilvl="2" w:tplc="C324F54C" w:tentative="1">
      <w:start w:val="1"/>
      <w:numFmt w:val="bullet"/>
      <w:lvlText w:val="•"/>
      <w:lvlJc w:val="left"/>
      <w:pPr>
        <w:tabs>
          <w:tab w:val="num" w:pos="2160"/>
        </w:tabs>
        <w:ind w:left="2160" w:hanging="360"/>
      </w:pPr>
      <w:rPr>
        <w:rFonts w:ascii="Arial" w:hAnsi="Arial" w:hint="default"/>
      </w:rPr>
    </w:lvl>
    <w:lvl w:ilvl="3" w:tplc="22F45408" w:tentative="1">
      <w:start w:val="1"/>
      <w:numFmt w:val="bullet"/>
      <w:lvlText w:val="•"/>
      <w:lvlJc w:val="left"/>
      <w:pPr>
        <w:tabs>
          <w:tab w:val="num" w:pos="2880"/>
        </w:tabs>
        <w:ind w:left="2880" w:hanging="360"/>
      </w:pPr>
      <w:rPr>
        <w:rFonts w:ascii="Arial" w:hAnsi="Arial" w:hint="default"/>
      </w:rPr>
    </w:lvl>
    <w:lvl w:ilvl="4" w:tplc="36107810" w:tentative="1">
      <w:start w:val="1"/>
      <w:numFmt w:val="bullet"/>
      <w:lvlText w:val="•"/>
      <w:lvlJc w:val="left"/>
      <w:pPr>
        <w:tabs>
          <w:tab w:val="num" w:pos="3600"/>
        </w:tabs>
        <w:ind w:left="3600" w:hanging="360"/>
      </w:pPr>
      <w:rPr>
        <w:rFonts w:ascii="Arial" w:hAnsi="Arial" w:hint="default"/>
      </w:rPr>
    </w:lvl>
    <w:lvl w:ilvl="5" w:tplc="850A6640" w:tentative="1">
      <w:start w:val="1"/>
      <w:numFmt w:val="bullet"/>
      <w:lvlText w:val="•"/>
      <w:lvlJc w:val="left"/>
      <w:pPr>
        <w:tabs>
          <w:tab w:val="num" w:pos="4320"/>
        </w:tabs>
        <w:ind w:left="4320" w:hanging="360"/>
      </w:pPr>
      <w:rPr>
        <w:rFonts w:ascii="Arial" w:hAnsi="Arial" w:hint="default"/>
      </w:rPr>
    </w:lvl>
    <w:lvl w:ilvl="6" w:tplc="3008E784" w:tentative="1">
      <w:start w:val="1"/>
      <w:numFmt w:val="bullet"/>
      <w:lvlText w:val="•"/>
      <w:lvlJc w:val="left"/>
      <w:pPr>
        <w:tabs>
          <w:tab w:val="num" w:pos="5040"/>
        </w:tabs>
        <w:ind w:left="5040" w:hanging="360"/>
      </w:pPr>
      <w:rPr>
        <w:rFonts w:ascii="Arial" w:hAnsi="Arial" w:hint="default"/>
      </w:rPr>
    </w:lvl>
    <w:lvl w:ilvl="7" w:tplc="507CF6FA" w:tentative="1">
      <w:start w:val="1"/>
      <w:numFmt w:val="bullet"/>
      <w:lvlText w:val="•"/>
      <w:lvlJc w:val="left"/>
      <w:pPr>
        <w:tabs>
          <w:tab w:val="num" w:pos="5760"/>
        </w:tabs>
        <w:ind w:left="5760" w:hanging="360"/>
      </w:pPr>
      <w:rPr>
        <w:rFonts w:ascii="Arial" w:hAnsi="Arial" w:hint="default"/>
      </w:rPr>
    </w:lvl>
    <w:lvl w:ilvl="8" w:tplc="77127E8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08A50BA"/>
    <w:multiLevelType w:val="multilevel"/>
    <w:tmpl w:val="6040EEB0"/>
    <w:lvl w:ilvl="0">
      <w:start w:val="1"/>
      <w:numFmt w:val="decimal"/>
      <w:lvlText w:val="%1"/>
      <w:lvlJc w:val="left"/>
      <w:pPr>
        <w:ind w:left="383" w:hanging="383"/>
      </w:pPr>
      <w:rPr>
        <w:rFonts w:hint="default"/>
      </w:rPr>
    </w:lvl>
    <w:lvl w:ilvl="1">
      <w:start w:val="1"/>
      <w:numFmt w:val="decimal"/>
      <w:lvlText w:val="%1.%2"/>
      <w:lvlJc w:val="left"/>
      <w:pPr>
        <w:ind w:left="383" w:hanging="38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09509F5"/>
    <w:multiLevelType w:val="hybridMultilevel"/>
    <w:tmpl w:val="47608DC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0CC3C03"/>
    <w:multiLevelType w:val="hybridMultilevel"/>
    <w:tmpl w:val="13527560"/>
    <w:lvl w:ilvl="0" w:tplc="7E0281C4">
      <w:start w:val="1"/>
      <w:numFmt w:val="bullet"/>
      <w:lvlText w:val="•"/>
      <w:lvlJc w:val="left"/>
      <w:pPr>
        <w:tabs>
          <w:tab w:val="num" w:pos="720"/>
        </w:tabs>
        <w:ind w:left="720" w:hanging="360"/>
      </w:pPr>
      <w:rPr>
        <w:rFonts w:ascii="Arial" w:hAnsi="Arial" w:hint="default"/>
      </w:rPr>
    </w:lvl>
    <w:lvl w:ilvl="1" w:tplc="CD6EA86A">
      <w:numFmt w:val="bullet"/>
      <w:lvlText w:val="•"/>
      <w:lvlJc w:val="left"/>
      <w:pPr>
        <w:tabs>
          <w:tab w:val="num" w:pos="1440"/>
        </w:tabs>
        <w:ind w:left="1440" w:hanging="360"/>
      </w:pPr>
      <w:rPr>
        <w:rFonts w:ascii="Arial" w:hAnsi="Arial" w:hint="default"/>
      </w:rPr>
    </w:lvl>
    <w:lvl w:ilvl="2" w:tplc="6FE655C2">
      <w:start w:val="1"/>
      <w:numFmt w:val="bullet"/>
      <w:lvlText w:val="•"/>
      <w:lvlJc w:val="left"/>
      <w:pPr>
        <w:tabs>
          <w:tab w:val="num" w:pos="2160"/>
        </w:tabs>
        <w:ind w:left="2160" w:hanging="360"/>
      </w:pPr>
      <w:rPr>
        <w:rFonts w:ascii="Arial" w:hAnsi="Arial" w:hint="default"/>
      </w:rPr>
    </w:lvl>
    <w:lvl w:ilvl="3" w:tplc="5574C4B6">
      <w:start w:val="1"/>
      <w:numFmt w:val="bullet"/>
      <w:lvlText w:val="•"/>
      <w:lvlJc w:val="left"/>
      <w:pPr>
        <w:tabs>
          <w:tab w:val="num" w:pos="2880"/>
        </w:tabs>
        <w:ind w:left="2880" w:hanging="360"/>
      </w:pPr>
      <w:rPr>
        <w:rFonts w:ascii="Arial" w:hAnsi="Arial" w:hint="default"/>
      </w:rPr>
    </w:lvl>
    <w:lvl w:ilvl="4" w:tplc="2168E1F4">
      <w:start w:val="1"/>
      <w:numFmt w:val="bullet"/>
      <w:lvlText w:val="•"/>
      <w:lvlJc w:val="left"/>
      <w:pPr>
        <w:tabs>
          <w:tab w:val="num" w:pos="3600"/>
        </w:tabs>
        <w:ind w:left="3600" w:hanging="360"/>
      </w:pPr>
      <w:rPr>
        <w:rFonts w:ascii="Arial" w:hAnsi="Arial" w:hint="default"/>
      </w:rPr>
    </w:lvl>
    <w:lvl w:ilvl="5" w:tplc="E9AAD944" w:tentative="1">
      <w:start w:val="1"/>
      <w:numFmt w:val="bullet"/>
      <w:lvlText w:val="•"/>
      <w:lvlJc w:val="left"/>
      <w:pPr>
        <w:tabs>
          <w:tab w:val="num" w:pos="4320"/>
        </w:tabs>
        <w:ind w:left="4320" w:hanging="360"/>
      </w:pPr>
      <w:rPr>
        <w:rFonts w:ascii="Arial" w:hAnsi="Arial" w:hint="default"/>
      </w:rPr>
    </w:lvl>
    <w:lvl w:ilvl="6" w:tplc="B2AE67F2" w:tentative="1">
      <w:start w:val="1"/>
      <w:numFmt w:val="bullet"/>
      <w:lvlText w:val="•"/>
      <w:lvlJc w:val="left"/>
      <w:pPr>
        <w:tabs>
          <w:tab w:val="num" w:pos="5040"/>
        </w:tabs>
        <w:ind w:left="5040" w:hanging="360"/>
      </w:pPr>
      <w:rPr>
        <w:rFonts w:ascii="Arial" w:hAnsi="Arial" w:hint="default"/>
      </w:rPr>
    </w:lvl>
    <w:lvl w:ilvl="7" w:tplc="0AF80BC8" w:tentative="1">
      <w:start w:val="1"/>
      <w:numFmt w:val="bullet"/>
      <w:lvlText w:val="•"/>
      <w:lvlJc w:val="left"/>
      <w:pPr>
        <w:tabs>
          <w:tab w:val="num" w:pos="5760"/>
        </w:tabs>
        <w:ind w:left="5760" w:hanging="360"/>
      </w:pPr>
      <w:rPr>
        <w:rFonts w:ascii="Arial" w:hAnsi="Arial" w:hint="default"/>
      </w:rPr>
    </w:lvl>
    <w:lvl w:ilvl="8" w:tplc="71CC11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0DD42CC"/>
    <w:multiLevelType w:val="hybridMultilevel"/>
    <w:tmpl w:val="8E887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D656DF"/>
    <w:multiLevelType w:val="hybridMultilevel"/>
    <w:tmpl w:val="EBEA281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33EC2EEC"/>
    <w:multiLevelType w:val="hybridMultilevel"/>
    <w:tmpl w:val="8D3E1FA6"/>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4375031"/>
    <w:multiLevelType w:val="hybridMultilevel"/>
    <w:tmpl w:val="2820B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6731DFB"/>
    <w:multiLevelType w:val="hybridMultilevel"/>
    <w:tmpl w:val="BA7233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389448F4"/>
    <w:multiLevelType w:val="hybridMultilevel"/>
    <w:tmpl w:val="E3B88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B224788"/>
    <w:multiLevelType w:val="hybridMultilevel"/>
    <w:tmpl w:val="C142B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B834394"/>
    <w:multiLevelType w:val="hybridMultilevel"/>
    <w:tmpl w:val="2A9282B8"/>
    <w:lvl w:ilvl="0" w:tplc="7A6E3F08">
      <w:start w:val="1"/>
      <w:numFmt w:val="decimal"/>
      <w:lvlText w:val="%1."/>
      <w:lvlJc w:val="left"/>
      <w:pPr>
        <w:ind w:left="720" w:hanging="360"/>
      </w:pPr>
      <w:rPr>
        <w:rFonts w:hint="default"/>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D274D0A"/>
    <w:multiLevelType w:val="hybridMultilevel"/>
    <w:tmpl w:val="7C1012F2"/>
    <w:lvl w:ilvl="0" w:tplc="10DE6628">
      <w:start w:val="1"/>
      <w:numFmt w:val="bullet"/>
      <w:lvlText w:val=""/>
      <w:lvlJc w:val="left"/>
      <w:pPr>
        <w:tabs>
          <w:tab w:val="num" w:pos="720"/>
        </w:tabs>
        <w:ind w:left="720" w:hanging="360"/>
      </w:pPr>
      <w:rPr>
        <w:rFonts w:ascii="Symbol" w:hAnsi="Symbol" w:hint="default"/>
      </w:rPr>
    </w:lvl>
    <w:lvl w:ilvl="1" w:tplc="711EF208"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1E49A0"/>
    <w:multiLevelType w:val="hybridMultilevel"/>
    <w:tmpl w:val="6A6E9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04E2009"/>
    <w:multiLevelType w:val="hybridMultilevel"/>
    <w:tmpl w:val="5D643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05F3B81"/>
    <w:multiLevelType w:val="hybridMultilevel"/>
    <w:tmpl w:val="1EC0323C"/>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0AE1184"/>
    <w:multiLevelType w:val="hybridMultilevel"/>
    <w:tmpl w:val="6494D8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3F96375"/>
    <w:multiLevelType w:val="hybridMultilevel"/>
    <w:tmpl w:val="66AE8300"/>
    <w:lvl w:ilvl="0" w:tplc="5C18870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FF19F7"/>
    <w:multiLevelType w:val="hybridMultilevel"/>
    <w:tmpl w:val="829E79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46266BDC"/>
    <w:multiLevelType w:val="hybridMultilevel"/>
    <w:tmpl w:val="379A6168"/>
    <w:lvl w:ilvl="0" w:tplc="08090001">
      <w:start w:val="1"/>
      <w:numFmt w:val="bullet"/>
      <w:lvlText w:val=""/>
      <w:lvlJc w:val="left"/>
      <w:pPr>
        <w:ind w:left="2670" w:hanging="360"/>
      </w:pPr>
      <w:rPr>
        <w:rFonts w:ascii="Symbol" w:hAnsi="Symbol" w:hint="default"/>
      </w:rPr>
    </w:lvl>
    <w:lvl w:ilvl="1" w:tplc="08090003">
      <w:start w:val="1"/>
      <w:numFmt w:val="bullet"/>
      <w:lvlText w:val="o"/>
      <w:lvlJc w:val="left"/>
      <w:pPr>
        <w:ind w:left="3390" w:hanging="360"/>
      </w:pPr>
      <w:rPr>
        <w:rFonts w:ascii="Courier New" w:hAnsi="Courier New" w:cs="Courier New" w:hint="default"/>
      </w:rPr>
    </w:lvl>
    <w:lvl w:ilvl="2" w:tplc="08090005">
      <w:start w:val="1"/>
      <w:numFmt w:val="bullet"/>
      <w:lvlText w:val=""/>
      <w:lvlJc w:val="left"/>
      <w:pPr>
        <w:ind w:left="4110" w:hanging="360"/>
      </w:pPr>
      <w:rPr>
        <w:rFonts w:ascii="Wingdings" w:hAnsi="Wingdings" w:hint="default"/>
      </w:rPr>
    </w:lvl>
    <w:lvl w:ilvl="3" w:tplc="08090001" w:tentative="1">
      <w:start w:val="1"/>
      <w:numFmt w:val="bullet"/>
      <w:lvlText w:val=""/>
      <w:lvlJc w:val="left"/>
      <w:pPr>
        <w:ind w:left="4830" w:hanging="360"/>
      </w:pPr>
      <w:rPr>
        <w:rFonts w:ascii="Symbol" w:hAnsi="Symbol" w:hint="default"/>
      </w:rPr>
    </w:lvl>
    <w:lvl w:ilvl="4" w:tplc="08090003" w:tentative="1">
      <w:start w:val="1"/>
      <w:numFmt w:val="bullet"/>
      <w:lvlText w:val="o"/>
      <w:lvlJc w:val="left"/>
      <w:pPr>
        <w:ind w:left="5550" w:hanging="360"/>
      </w:pPr>
      <w:rPr>
        <w:rFonts w:ascii="Courier New" w:hAnsi="Courier New" w:cs="Courier New" w:hint="default"/>
      </w:rPr>
    </w:lvl>
    <w:lvl w:ilvl="5" w:tplc="08090005" w:tentative="1">
      <w:start w:val="1"/>
      <w:numFmt w:val="bullet"/>
      <w:lvlText w:val=""/>
      <w:lvlJc w:val="left"/>
      <w:pPr>
        <w:ind w:left="6270" w:hanging="360"/>
      </w:pPr>
      <w:rPr>
        <w:rFonts w:ascii="Wingdings" w:hAnsi="Wingdings" w:hint="default"/>
      </w:rPr>
    </w:lvl>
    <w:lvl w:ilvl="6" w:tplc="08090001" w:tentative="1">
      <w:start w:val="1"/>
      <w:numFmt w:val="bullet"/>
      <w:lvlText w:val=""/>
      <w:lvlJc w:val="left"/>
      <w:pPr>
        <w:ind w:left="6990" w:hanging="360"/>
      </w:pPr>
      <w:rPr>
        <w:rFonts w:ascii="Symbol" w:hAnsi="Symbol" w:hint="default"/>
      </w:rPr>
    </w:lvl>
    <w:lvl w:ilvl="7" w:tplc="08090003" w:tentative="1">
      <w:start w:val="1"/>
      <w:numFmt w:val="bullet"/>
      <w:lvlText w:val="o"/>
      <w:lvlJc w:val="left"/>
      <w:pPr>
        <w:ind w:left="7710" w:hanging="360"/>
      </w:pPr>
      <w:rPr>
        <w:rFonts w:ascii="Courier New" w:hAnsi="Courier New" w:cs="Courier New" w:hint="default"/>
      </w:rPr>
    </w:lvl>
    <w:lvl w:ilvl="8" w:tplc="08090005" w:tentative="1">
      <w:start w:val="1"/>
      <w:numFmt w:val="bullet"/>
      <w:lvlText w:val=""/>
      <w:lvlJc w:val="left"/>
      <w:pPr>
        <w:ind w:left="8430" w:hanging="360"/>
      </w:pPr>
      <w:rPr>
        <w:rFonts w:ascii="Wingdings" w:hAnsi="Wingdings" w:hint="default"/>
      </w:rPr>
    </w:lvl>
  </w:abstractNum>
  <w:abstractNum w:abstractNumId="59" w15:restartNumberingAfterBreak="0">
    <w:nsid w:val="477A552C"/>
    <w:multiLevelType w:val="multilevel"/>
    <w:tmpl w:val="4EBE4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47850FB3"/>
    <w:multiLevelType w:val="hybridMultilevel"/>
    <w:tmpl w:val="63621A8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91563A1"/>
    <w:multiLevelType w:val="hybridMultilevel"/>
    <w:tmpl w:val="1460F4BC"/>
    <w:lvl w:ilvl="0" w:tplc="85DE3F12">
      <w:start w:val="1"/>
      <w:numFmt w:val="decimal"/>
      <w:lvlText w:val="%1."/>
      <w:lvlJc w:val="left"/>
      <w:pPr>
        <w:ind w:left="720" w:hanging="360"/>
      </w:pPr>
      <w:rPr>
        <w:rFonts w:cstheme="majorBidi" w:hint="default"/>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93C38A8"/>
    <w:multiLevelType w:val="hybridMultilevel"/>
    <w:tmpl w:val="99D63A08"/>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3" w15:restartNumberingAfterBreak="0">
    <w:nsid w:val="4B234438"/>
    <w:multiLevelType w:val="hybridMultilevel"/>
    <w:tmpl w:val="A31CE664"/>
    <w:lvl w:ilvl="0" w:tplc="23302A7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3122F9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182FDC">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5C07F0">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32BA0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3EDAEE">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4A253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9257B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8E15EA">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C3432E7"/>
    <w:multiLevelType w:val="hybridMultilevel"/>
    <w:tmpl w:val="18048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C8B41B5"/>
    <w:multiLevelType w:val="hybridMultilevel"/>
    <w:tmpl w:val="EC901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CF05168"/>
    <w:multiLevelType w:val="hybridMultilevel"/>
    <w:tmpl w:val="8B0A6030"/>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4DE336E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4E2C242D"/>
    <w:multiLevelType w:val="hybridMultilevel"/>
    <w:tmpl w:val="B0FAFF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E3C1F42"/>
    <w:multiLevelType w:val="hybridMultilevel"/>
    <w:tmpl w:val="9C60905A"/>
    <w:lvl w:ilvl="0" w:tplc="64884E6A">
      <w:start w:val="1"/>
      <w:numFmt w:val="decimal"/>
      <w:lvlText w:val="%1."/>
      <w:lvlJc w:val="left"/>
      <w:pPr>
        <w:ind w:left="720" w:hanging="360"/>
      </w:pPr>
      <w:rPr>
        <w:rFonts w:hint="default"/>
        <w:b/>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EBB288D"/>
    <w:multiLevelType w:val="hybridMultilevel"/>
    <w:tmpl w:val="BFEAF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28E6177"/>
    <w:multiLevelType w:val="hybridMultilevel"/>
    <w:tmpl w:val="B2A4DEC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2" w15:restartNumberingAfterBreak="0">
    <w:nsid w:val="52AB3EC6"/>
    <w:multiLevelType w:val="hybridMultilevel"/>
    <w:tmpl w:val="D9982A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3" w15:restartNumberingAfterBreak="0">
    <w:nsid w:val="53053FC3"/>
    <w:multiLevelType w:val="hybridMultilevel"/>
    <w:tmpl w:val="C538B1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3797D3F"/>
    <w:multiLevelType w:val="hybridMultilevel"/>
    <w:tmpl w:val="52ACFE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555F6E9D"/>
    <w:multiLevelType w:val="hybridMultilevel"/>
    <w:tmpl w:val="A07C4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C07B87"/>
    <w:multiLevelType w:val="hybridMultilevel"/>
    <w:tmpl w:val="842E7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61C3DD5"/>
    <w:multiLevelType w:val="hybridMultilevel"/>
    <w:tmpl w:val="7EC25BCC"/>
    <w:lvl w:ilvl="0" w:tplc="50F66FDA">
      <w:start w:val="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74714BE"/>
    <w:multiLevelType w:val="hybridMultilevel"/>
    <w:tmpl w:val="FD44AFC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8651AD"/>
    <w:multiLevelType w:val="hybridMultilevel"/>
    <w:tmpl w:val="492C6E4A"/>
    <w:lvl w:ilvl="0" w:tplc="B1F6CC78">
      <w:start w:val="1"/>
      <w:numFmt w:val="lowerLetter"/>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8F90647"/>
    <w:multiLevelType w:val="hybridMultilevel"/>
    <w:tmpl w:val="E2C64E6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59903BE3"/>
    <w:multiLevelType w:val="hybridMultilevel"/>
    <w:tmpl w:val="76921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9ED2E7E"/>
    <w:multiLevelType w:val="hybridMultilevel"/>
    <w:tmpl w:val="06148A5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3" w15:restartNumberingAfterBreak="0">
    <w:nsid w:val="5AC16D38"/>
    <w:multiLevelType w:val="hybridMultilevel"/>
    <w:tmpl w:val="CC4C27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AE2490F"/>
    <w:multiLevelType w:val="hybridMultilevel"/>
    <w:tmpl w:val="2174D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B23181B"/>
    <w:multiLevelType w:val="hybridMultilevel"/>
    <w:tmpl w:val="E46208C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5B5B0285"/>
    <w:multiLevelType w:val="hybridMultilevel"/>
    <w:tmpl w:val="F1FE41EC"/>
    <w:lvl w:ilvl="0" w:tplc="84345716">
      <w:start w:val="1"/>
      <w:numFmt w:val="decimal"/>
      <w:lvlText w:val="%1)"/>
      <w:lvlJc w:val="left"/>
      <w:pPr>
        <w:ind w:left="720" w:hanging="360"/>
      </w:pPr>
      <w:rPr>
        <w:rFonts w:ascii="Times New Roman" w:eastAsiaTheme="minorHAns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23734B"/>
    <w:multiLevelType w:val="hybridMultilevel"/>
    <w:tmpl w:val="B9B85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C433AEB"/>
    <w:multiLevelType w:val="hybridMultilevel"/>
    <w:tmpl w:val="06AA1E76"/>
    <w:lvl w:ilvl="0" w:tplc="10DE6628">
      <w:start w:val="1"/>
      <w:numFmt w:val="decimal"/>
      <w:lvlText w:val="%1."/>
      <w:lvlJc w:val="left"/>
      <w:pPr>
        <w:tabs>
          <w:tab w:val="num" w:pos="1440"/>
        </w:tabs>
        <w:ind w:left="1440" w:hanging="360"/>
      </w:pPr>
    </w:lvl>
    <w:lvl w:ilvl="1" w:tplc="0554C8DE"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89" w15:restartNumberingAfterBreak="0">
    <w:nsid w:val="5C502D9B"/>
    <w:multiLevelType w:val="hybridMultilevel"/>
    <w:tmpl w:val="BB066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D1D6DF0"/>
    <w:multiLevelType w:val="hybridMultilevel"/>
    <w:tmpl w:val="CAE2C4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DE26C60"/>
    <w:multiLevelType w:val="hybridMultilevel"/>
    <w:tmpl w:val="43AA58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E9E0F2E"/>
    <w:multiLevelType w:val="hybridMultilevel"/>
    <w:tmpl w:val="3836E9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3" w15:restartNumberingAfterBreak="0">
    <w:nsid w:val="5F0761A3"/>
    <w:multiLevelType w:val="hybridMultilevel"/>
    <w:tmpl w:val="F446C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5F464F82"/>
    <w:multiLevelType w:val="hybridMultilevel"/>
    <w:tmpl w:val="4FEC61C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5" w15:restartNumberingAfterBreak="0">
    <w:nsid w:val="617D40B3"/>
    <w:multiLevelType w:val="hybridMultilevel"/>
    <w:tmpl w:val="6BF061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6" w15:restartNumberingAfterBreak="0">
    <w:nsid w:val="63533A62"/>
    <w:multiLevelType w:val="hybridMultilevel"/>
    <w:tmpl w:val="06148A5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7" w15:restartNumberingAfterBreak="0">
    <w:nsid w:val="63FF716B"/>
    <w:multiLevelType w:val="hybridMultilevel"/>
    <w:tmpl w:val="C9101AB6"/>
    <w:lvl w:ilvl="0" w:tplc="95543BD4">
      <w:start w:val="1"/>
      <w:numFmt w:val="lowerLetter"/>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64F2E42"/>
    <w:multiLevelType w:val="hybridMultilevel"/>
    <w:tmpl w:val="BA6A2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87B10C8"/>
    <w:multiLevelType w:val="multilevel"/>
    <w:tmpl w:val="4EBE4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692F780F"/>
    <w:multiLevelType w:val="hybridMultilevel"/>
    <w:tmpl w:val="6B0A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CC217D1"/>
    <w:multiLevelType w:val="hybridMultilevel"/>
    <w:tmpl w:val="BCEAF762"/>
    <w:lvl w:ilvl="0" w:tplc="7C765F06">
      <w:start w:val="1"/>
      <w:numFmt w:val="lowerLetter"/>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DB51AF2"/>
    <w:multiLevelType w:val="hybridMultilevel"/>
    <w:tmpl w:val="67F0C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6DEB24B5"/>
    <w:multiLevelType w:val="hybridMultilevel"/>
    <w:tmpl w:val="A462F4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E3B2ADD"/>
    <w:multiLevelType w:val="hybridMultilevel"/>
    <w:tmpl w:val="63A2D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FD04CDA"/>
    <w:multiLevelType w:val="hybridMultilevel"/>
    <w:tmpl w:val="340E4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0F0659E"/>
    <w:multiLevelType w:val="hybridMultilevel"/>
    <w:tmpl w:val="6AF4916E"/>
    <w:lvl w:ilvl="0" w:tplc="B4082674">
      <w:start w:val="1"/>
      <w:numFmt w:val="bullet"/>
      <w:lvlText w:val="•"/>
      <w:lvlJc w:val="left"/>
      <w:pPr>
        <w:tabs>
          <w:tab w:val="num" w:pos="720"/>
        </w:tabs>
        <w:ind w:left="720" w:hanging="360"/>
      </w:pPr>
      <w:rPr>
        <w:rFonts w:ascii="Arial" w:hAnsi="Arial" w:hint="default"/>
      </w:rPr>
    </w:lvl>
    <w:lvl w:ilvl="1" w:tplc="AD40F0C4">
      <w:start w:val="1"/>
      <w:numFmt w:val="bullet"/>
      <w:lvlText w:val="•"/>
      <w:lvlJc w:val="left"/>
      <w:pPr>
        <w:tabs>
          <w:tab w:val="num" w:pos="1440"/>
        </w:tabs>
        <w:ind w:left="1440" w:hanging="360"/>
      </w:pPr>
      <w:rPr>
        <w:rFonts w:ascii="Arial" w:hAnsi="Arial" w:hint="default"/>
      </w:rPr>
    </w:lvl>
    <w:lvl w:ilvl="2" w:tplc="2E34F244" w:tentative="1">
      <w:start w:val="1"/>
      <w:numFmt w:val="bullet"/>
      <w:lvlText w:val="•"/>
      <w:lvlJc w:val="left"/>
      <w:pPr>
        <w:tabs>
          <w:tab w:val="num" w:pos="2160"/>
        </w:tabs>
        <w:ind w:left="2160" w:hanging="360"/>
      </w:pPr>
      <w:rPr>
        <w:rFonts w:ascii="Arial" w:hAnsi="Arial" w:hint="default"/>
      </w:rPr>
    </w:lvl>
    <w:lvl w:ilvl="3" w:tplc="A478073C" w:tentative="1">
      <w:start w:val="1"/>
      <w:numFmt w:val="bullet"/>
      <w:lvlText w:val="•"/>
      <w:lvlJc w:val="left"/>
      <w:pPr>
        <w:tabs>
          <w:tab w:val="num" w:pos="2880"/>
        </w:tabs>
        <w:ind w:left="2880" w:hanging="360"/>
      </w:pPr>
      <w:rPr>
        <w:rFonts w:ascii="Arial" w:hAnsi="Arial" w:hint="default"/>
      </w:rPr>
    </w:lvl>
    <w:lvl w:ilvl="4" w:tplc="D82E12E0" w:tentative="1">
      <w:start w:val="1"/>
      <w:numFmt w:val="bullet"/>
      <w:lvlText w:val="•"/>
      <w:lvlJc w:val="left"/>
      <w:pPr>
        <w:tabs>
          <w:tab w:val="num" w:pos="3600"/>
        </w:tabs>
        <w:ind w:left="3600" w:hanging="360"/>
      </w:pPr>
      <w:rPr>
        <w:rFonts w:ascii="Arial" w:hAnsi="Arial" w:hint="default"/>
      </w:rPr>
    </w:lvl>
    <w:lvl w:ilvl="5" w:tplc="A0F684C6" w:tentative="1">
      <w:start w:val="1"/>
      <w:numFmt w:val="bullet"/>
      <w:lvlText w:val="•"/>
      <w:lvlJc w:val="left"/>
      <w:pPr>
        <w:tabs>
          <w:tab w:val="num" w:pos="4320"/>
        </w:tabs>
        <w:ind w:left="4320" w:hanging="360"/>
      </w:pPr>
      <w:rPr>
        <w:rFonts w:ascii="Arial" w:hAnsi="Arial" w:hint="default"/>
      </w:rPr>
    </w:lvl>
    <w:lvl w:ilvl="6" w:tplc="1024A482" w:tentative="1">
      <w:start w:val="1"/>
      <w:numFmt w:val="bullet"/>
      <w:lvlText w:val="•"/>
      <w:lvlJc w:val="left"/>
      <w:pPr>
        <w:tabs>
          <w:tab w:val="num" w:pos="5040"/>
        </w:tabs>
        <w:ind w:left="5040" w:hanging="360"/>
      </w:pPr>
      <w:rPr>
        <w:rFonts w:ascii="Arial" w:hAnsi="Arial" w:hint="default"/>
      </w:rPr>
    </w:lvl>
    <w:lvl w:ilvl="7" w:tplc="AE6C0FF2" w:tentative="1">
      <w:start w:val="1"/>
      <w:numFmt w:val="bullet"/>
      <w:lvlText w:val="•"/>
      <w:lvlJc w:val="left"/>
      <w:pPr>
        <w:tabs>
          <w:tab w:val="num" w:pos="5760"/>
        </w:tabs>
        <w:ind w:left="5760" w:hanging="360"/>
      </w:pPr>
      <w:rPr>
        <w:rFonts w:ascii="Arial" w:hAnsi="Arial" w:hint="default"/>
      </w:rPr>
    </w:lvl>
    <w:lvl w:ilvl="8" w:tplc="1EEEF91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7171568C"/>
    <w:multiLevelType w:val="hybridMultilevel"/>
    <w:tmpl w:val="47C008A4"/>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71982387"/>
    <w:multiLevelType w:val="hybridMultilevel"/>
    <w:tmpl w:val="B1BC04B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71DD6950"/>
    <w:multiLevelType w:val="multilevel"/>
    <w:tmpl w:val="4EBE4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0" w15:restartNumberingAfterBreak="0">
    <w:nsid w:val="73B3655A"/>
    <w:multiLevelType w:val="hybridMultilevel"/>
    <w:tmpl w:val="0FF4802E"/>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1" w15:restartNumberingAfterBreak="0">
    <w:nsid w:val="75905ED9"/>
    <w:multiLevelType w:val="hybridMultilevel"/>
    <w:tmpl w:val="DB4A30C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2" w15:restartNumberingAfterBreak="0">
    <w:nsid w:val="797A1A1C"/>
    <w:multiLevelType w:val="hybridMultilevel"/>
    <w:tmpl w:val="F6E0B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7A363E6F"/>
    <w:multiLevelType w:val="hybridMultilevel"/>
    <w:tmpl w:val="C428B2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AA1400D"/>
    <w:multiLevelType w:val="hybridMultilevel"/>
    <w:tmpl w:val="D486A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C4E01D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6" w15:restartNumberingAfterBreak="0">
    <w:nsid w:val="7CE4018C"/>
    <w:multiLevelType w:val="hybridMultilevel"/>
    <w:tmpl w:val="437C7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D307B72"/>
    <w:multiLevelType w:val="hybridMultilevel"/>
    <w:tmpl w:val="0122BB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 w15:restartNumberingAfterBreak="0">
    <w:nsid w:val="7F361B7C"/>
    <w:multiLevelType w:val="hybridMultilevel"/>
    <w:tmpl w:val="7B0031C8"/>
    <w:lvl w:ilvl="0" w:tplc="43F09BB8">
      <w:start w:val="1"/>
      <w:numFmt w:val="decimal"/>
      <w:lvlText w:val="%1."/>
      <w:lvlJc w:val="left"/>
      <w:pPr>
        <w:ind w:left="1069" w:hanging="360"/>
      </w:pPr>
      <w:rPr>
        <w:rFonts w:hint="default"/>
        <w:i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510607870">
    <w:abstractNumId w:val="63"/>
  </w:num>
  <w:num w:numId="2" w16cid:durableId="56366982">
    <w:abstractNumId w:val="34"/>
  </w:num>
  <w:num w:numId="3" w16cid:durableId="2014143720">
    <w:abstractNumId w:val="38"/>
  </w:num>
  <w:num w:numId="4" w16cid:durableId="645356569">
    <w:abstractNumId w:val="48"/>
  </w:num>
  <w:num w:numId="5" w16cid:durableId="257295474">
    <w:abstractNumId w:val="111"/>
  </w:num>
  <w:num w:numId="6" w16cid:durableId="103811308">
    <w:abstractNumId w:val="32"/>
  </w:num>
  <w:num w:numId="7" w16cid:durableId="517812496">
    <w:abstractNumId w:val="30"/>
  </w:num>
  <w:num w:numId="8" w16cid:durableId="311642691">
    <w:abstractNumId w:val="93"/>
  </w:num>
  <w:num w:numId="9" w16cid:durableId="1810785237">
    <w:abstractNumId w:val="7"/>
  </w:num>
  <w:num w:numId="10" w16cid:durableId="110563479">
    <w:abstractNumId w:val="1"/>
  </w:num>
  <w:num w:numId="11" w16cid:durableId="512494305">
    <w:abstractNumId w:val="107"/>
  </w:num>
  <w:num w:numId="12" w16cid:durableId="766661424">
    <w:abstractNumId w:val="85"/>
  </w:num>
  <w:num w:numId="13" w16cid:durableId="945191928">
    <w:abstractNumId w:val="94"/>
  </w:num>
  <w:num w:numId="14" w16cid:durableId="645010715">
    <w:abstractNumId w:val="54"/>
  </w:num>
  <w:num w:numId="15" w16cid:durableId="441926669">
    <w:abstractNumId w:val="113"/>
  </w:num>
  <w:num w:numId="16" w16cid:durableId="162549444">
    <w:abstractNumId w:val="15"/>
  </w:num>
  <w:num w:numId="17" w16cid:durableId="1879704829">
    <w:abstractNumId w:val="90"/>
  </w:num>
  <w:num w:numId="18" w16cid:durableId="1512647085">
    <w:abstractNumId w:val="78"/>
  </w:num>
  <w:num w:numId="19" w16cid:durableId="1630744848">
    <w:abstractNumId w:val="9"/>
  </w:num>
  <w:num w:numId="20" w16cid:durableId="455414605">
    <w:abstractNumId w:val="105"/>
  </w:num>
  <w:num w:numId="21" w16cid:durableId="383528509">
    <w:abstractNumId w:val="73"/>
  </w:num>
  <w:num w:numId="22" w16cid:durableId="612783426">
    <w:abstractNumId w:val="6"/>
  </w:num>
  <w:num w:numId="23" w16cid:durableId="1203322002">
    <w:abstractNumId w:val="97"/>
  </w:num>
  <w:num w:numId="24" w16cid:durableId="1612589196">
    <w:abstractNumId w:val="79"/>
  </w:num>
  <w:num w:numId="25" w16cid:durableId="590283068">
    <w:abstractNumId w:val="101"/>
  </w:num>
  <w:num w:numId="26" w16cid:durableId="397751665">
    <w:abstractNumId w:val="64"/>
  </w:num>
  <w:num w:numId="27" w16cid:durableId="98913724">
    <w:abstractNumId w:val="70"/>
  </w:num>
  <w:num w:numId="28" w16cid:durableId="796411046">
    <w:abstractNumId w:val="43"/>
  </w:num>
  <w:num w:numId="29" w16cid:durableId="118181970">
    <w:abstractNumId w:val="81"/>
  </w:num>
  <w:num w:numId="30" w16cid:durableId="391780187">
    <w:abstractNumId w:val="17"/>
  </w:num>
  <w:num w:numId="31" w16cid:durableId="1964842748">
    <w:abstractNumId w:val="23"/>
  </w:num>
  <w:num w:numId="32" w16cid:durableId="612396619">
    <w:abstractNumId w:val="46"/>
  </w:num>
  <w:num w:numId="33" w16cid:durableId="46420587">
    <w:abstractNumId w:val="49"/>
  </w:num>
  <w:num w:numId="34" w16cid:durableId="967390596">
    <w:abstractNumId w:val="108"/>
  </w:num>
  <w:num w:numId="35" w16cid:durableId="1167789845">
    <w:abstractNumId w:val="50"/>
  </w:num>
  <w:num w:numId="36" w16cid:durableId="1630209026">
    <w:abstractNumId w:val="36"/>
  </w:num>
  <w:num w:numId="37" w16cid:durableId="561985835">
    <w:abstractNumId w:val="82"/>
  </w:num>
  <w:num w:numId="38" w16cid:durableId="740559728">
    <w:abstractNumId w:val="96"/>
  </w:num>
  <w:num w:numId="39" w16cid:durableId="605430049">
    <w:abstractNumId w:val="68"/>
  </w:num>
  <w:num w:numId="40" w16cid:durableId="1886142130">
    <w:abstractNumId w:val="55"/>
  </w:num>
  <w:num w:numId="41" w16cid:durableId="945428734">
    <w:abstractNumId w:val="104"/>
  </w:num>
  <w:num w:numId="42" w16cid:durableId="1263877654">
    <w:abstractNumId w:val="112"/>
  </w:num>
  <w:num w:numId="43" w16cid:durableId="1568539251">
    <w:abstractNumId w:val="22"/>
  </w:num>
  <w:num w:numId="44" w16cid:durableId="82841615">
    <w:abstractNumId w:val="10"/>
  </w:num>
  <w:num w:numId="45" w16cid:durableId="568884074">
    <w:abstractNumId w:val="39"/>
  </w:num>
  <w:num w:numId="46" w16cid:durableId="533423546">
    <w:abstractNumId w:val="106"/>
  </w:num>
  <w:num w:numId="47" w16cid:durableId="546913258">
    <w:abstractNumId w:val="35"/>
  </w:num>
  <w:num w:numId="48" w16cid:durableId="851798018">
    <w:abstractNumId w:val="24"/>
  </w:num>
  <w:num w:numId="49" w16cid:durableId="102309774">
    <w:abstractNumId w:val="84"/>
  </w:num>
  <w:num w:numId="50" w16cid:durableId="1846433434">
    <w:abstractNumId w:val="89"/>
  </w:num>
  <w:num w:numId="51" w16cid:durableId="2126539426">
    <w:abstractNumId w:val="21"/>
  </w:num>
  <w:num w:numId="52" w16cid:durableId="1635795479">
    <w:abstractNumId w:val="42"/>
  </w:num>
  <w:num w:numId="53" w16cid:durableId="729810343">
    <w:abstractNumId w:val="114"/>
  </w:num>
  <w:num w:numId="54" w16cid:durableId="1566992231">
    <w:abstractNumId w:val="31"/>
  </w:num>
  <w:num w:numId="55" w16cid:durableId="709501489">
    <w:abstractNumId w:val="88"/>
  </w:num>
  <w:num w:numId="56" w16cid:durableId="458492737">
    <w:abstractNumId w:val="115"/>
  </w:num>
  <w:num w:numId="57" w16cid:durableId="2045708724">
    <w:abstractNumId w:val="67"/>
  </w:num>
  <w:num w:numId="58" w16cid:durableId="407384490">
    <w:abstractNumId w:val="51"/>
  </w:num>
  <w:num w:numId="59" w16cid:durableId="351953897">
    <w:abstractNumId w:val="16"/>
  </w:num>
  <w:num w:numId="60" w16cid:durableId="14836931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97481152">
    <w:abstractNumId w:val="99"/>
  </w:num>
  <w:num w:numId="62" w16cid:durableId="710687531">
    <w:abstractNumId w:val="69"/>
  </w:num>
  <w:num w:numId="63" w16cid:durableId="1352993549">
    <w:abstractNumId w:val="3"/>
  </w:num>
  <w:num w:numId="64" w16cid:durableId="1425415253">
    <w:abstractNumId w:val="74"/>
  </w:num>
  <w:num w:numId="65" w16cid:durableId="1564757813">
    <w:abstractNumId w:val="20"/>
  </w:num>
  <w:num w:numId="66" w16cid:durableId="1575428133">
    <w:abstractNumId w:val="103"/>
  </w:num>
  <w:num w:numId="67" w16cid:durableId="1366784003">
    <w:abstractNumId w:val="59"/>
  </w:num>
  <w:num w:numId="68" w16cid:durableId="660275358">
    <w:abstractNumId w:val="109"/>
  </w:num>
  <w:num w:numId="69" w16cid:durableId="1162968087">
    <w:abstractNumId w:val="40"/>
  </w:num>
  <w:num w:numId="70" w16cid:durableId="1859544617">
    <w:abstractNumId w:val="100"/>
  </w:num>
  <w:num w:numId="71" w16cid:durableId="842742429">
    <w:abstractNumId w:val="91"/>
  </w:num>
  <w:num w:numId="72" w16cid:durableId="1204442712">
    <w:abstractNumId w:val="19"/>
  </w:num>
  <w:num w:numId="73" w16cid:durableId="1859008338">
    <w:abstractNumId w:val="86"/>
  </w:num>
  <w:num w:numId="74" w16cid:durableId="414207305">
    <w:abstractNumId w:val="4"/>
  </w:num>
  <w:num w:numId="75" w16cid:durableId="1423601778">
    <w:abstractNumId w:val="53"/>
  </w:num>
  <w:num w:numId="76" w16cid:durableId="2100782991">
    <w:abstractNumId w:val="56"/>
  </w:num>
  <w:num w:numId="77" w16cid:durableId="1918974790">
    <w:abstractNumId w:val="76"/>
  </w:num>
  <w:num w:numId="78" w16cid:durableId="1126922310">
    <w:abstractNumId w:val="0"/>
  </w:num>
  <w:num w:numId="79" w16cid:durableId="1102261227">
    <w:abstractNumId w:val="98"/>
  </w:num>
  <w:num w:numId="80" w16cid:durableId="686829002">
    <w:abstractNumId w:val="116"/>
  </w:num>
  <w:num w:numId="81" w16cid:durableId="805009774">
    <w:abstractNumId w:val="18"/>
  </w:num>
  <w:num w:numId="82" w16cid:durableId="1146244543">
    <w:abstractNumId w:val="13"/>
  </w:num>
  <w:num w:numId="83" w16cid:durableId="888035038">
    <w:abstractNumId w:val="61"/>
  </w:num>
  <w:num w:numId="84" w16cid:durableId="375934627">
    <w:abstractNumId w:val="5"/>
  </w:num>
  <w:num w:numId="85" w16cid:durableId="1346709014">
    <w:abstractNumId w:val="37"/>
  </w:num>
  <w:num w:numId="86" w16cid:durableId="1645621234">
    <w:abstractNumId w:val="62"/>
  </w:num>
  <w:num w:numId="87" w16cid:durableId="103505864">
    <w:abstractNumId w:val="87"/>
  </w:num>
  <w:num w:numId="88" w16cid:durableId="1613971864">
    <w:abstractNumId w:val="71"/>
  </w:num>
  <w:num w:numId="89" w16cid:durableId="1283339233">
    <w:abstractNumId w:val="41"/>
  </w:num>
  <w:num w:numId="90" w16cid:durableId="1728801784">
    <w:abstractNumId w:val="92"/>
  </w:num>
  <w:num w:numId="91" w16cid:durableId="989409894">
    <w:abstractNumId w:val="25"/>
  </w:num>
  <w:num w:numId="92" w16cid:durableId="321078990">
    <w:abstractNumId w:val="66"/>
  </w:num>
  <w:num w:numId="93" w16cid:durableId="1898857204">
    <w:abstractNumId w:val="33"/>
  </w:num>
  <w:num w:numId="94" w16cid:durableId="1244488818">
    <w:abstractNumId w:val="102"/>
  </w:num>
  <w:num w:numId="95" w16cid:durableId="706099071">
    <w:abstractNumId w:val="44"/>
  </w:num>
  <w:num w:numId="96" w16cid:durableId="960572774">
    <w:abstractNumId w:val="27"/>
  </w:num>
  <w:num w:numId="97" w16cid:durableId="1393457511">
    <w:abstractNumId w:val="45"/>
  </w:num>
  <w:num w:numId="98" w16cid:durableId="2010401477">
    <w:abstractNumId w:val="117"/>
  </w:num>
  <w:num w:numId="99" w16cid:durableId="1216163016">
    <w:abstractNumId w:val="118"/>
  </w:num>
  <w:num w:numId="100" w16cid:durableId="2001881222">
    <w:abstractNumId w:val="83"/>
  </w:num>
  <w:num w:numId="101" w16cid:durableId="918560724">
    <w:abstractNumId w:val="28"/>
  </w:num>
  <w:num w:numId="102" w16cid:durableId="1882396876">
    <w:abstractNumId w:val="26"/>
  </w:num>
  <w:num w:numId="103" w16cid:durableId="923756275">
    <w:abstractNumId w:val="95"/>
  </w:num>
  <w:num w:numId="104" w16cid:durableId="1236166006">
    <w:abstractNumId w:val="77"/>
  </w:num>
  <w:num w:numId="105" w16cid:durableId="29040447">
    <w:abstractNumId w:val="29"/>
  </w:num>
  <w:num w:numId="106" w16cid:durableId="968587107">
    <w:abstractNumId w:val="60"/>
  </w:num>
  <w:num w:numId="107" w16cid:durableId="214506926">
    <w:abstractNumId w:val="57"/>
  </w:num>
  <w:num w:numId="108" w16cid:durableId="1185024139">
    <w:abstractNumId w:val="58"/>
  </w:num>
  <w:num w:numId="109" w16cid:durableId="38894277">
    <w:abstractNumId w:val="72"/>
  </w:num>
  <w:num w:numId="110" w16cid:durableId="1704473551">
    <w:abstractNumId w:val="12"/>
  </w:num>
  <w:num w:numId="111" w16cid:durableId="1849176060">
    <w:abstractNumId w:val="11"/>
  </w:num>
  <w:num w:numId="112" w16cid:durableId="1760248663">
    <w:abstractNumId w:val="110"/>
  </w:num>
  <w:num w:numId="113" w16cid:durableId="1780635805">
    <w:abstractNumId w:val="75"/>
  </w:num>
  <w:num w:numId="114" w16cid:durableId="1423912673">
    <w:abstractNumId w:val="52"/>
  </w:num>
  <w:num w:numId="115" w16cid:durableId="596520130">
    <w:abstractNumId w:val="14"/>
  </w:num>
  <w:num w:numId="116" w16cid:durableId="438913948">
    <w:abstractNumId w:val="8"/>
  </w:num>
  <w:num w:numId="117" w16cid:durableId="1104112805">
    <w:abstractNumId w:val="65"/>
  </w:num>
  <w:num w:numId="118" w16cid:durableId="1486124225">
    <w:abstractNumId w:val="80"/>
  </w:num>
  <w:num w:numId="119" w16cid:durableId="1280381789">
    <w:abstractNumId w:val="2"/>
  </w:num>
  <w:num w:numId="120" w16cid:durableId="13445565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stgebruiker">
    <w15:presenceInfo w15:providerId="AD" w15:userId="S::urn:spo:anon#0f0cd269b536892d513ae996b687f0ad6748aefda2f58b90aee9cb82922f1749::"/>
  </w15:person>
  <w15:person w15:author="Claire Furey">
    <w15:presenceInfo w15:providerId="None" w15:userId="Claire Fu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 Journals Librar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dwrx9xd1z9eepeevr355w2k959rv0f5zaax&quot;&gt;Coeliac HTA Library-Converted2&lt;record-ids&gt;&lt;item&gt;1&lt;/item&gt;&lt;item&gt;2&lt;/item&gt;&lt;item&gt;3&lt;/item&gt;&lt;item&gt;4&lt;/item&gt;&lt;item&gt;5&lt;/item&gt;&lt;item&gt;6&lt;/item&gt;&lt;item&gt;7&lt;/item&gt;&lt;item&gt;8&lt;/item&gt;&lt;item&gt;10&lt;/item&gt;&lt;item&gt;11&lt;/item&gt;&lt;item&gt;12&lt;/item&gt;&lt;item&gt;13&lt;/item&gt;&lt;item&gt;14&lt;/item&gt;&lt;item&gt;15&lt;/item&gt;&lt;item&gt;22&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7&lt;/item&gt;&lt;item&gt;60&lt;/item&gt;&lt;item&gt;62&lt;/item&gt;&lt;item&gt;63&lt;/item&gt;&lt;item&gt;64&lt;/item&gt;&lt;item&gt;72&lt;/item&gt;&lt;item&gt;83&lt;/item&gt;&lt;item&gt;84&lt;/item&gt;&lt;item&gt;85&lt;/item&gt;&lt;item&gt;86&lt;/item&gt;&lt;item&gt;87&lt;/item&gt;&lt;item&gt;88&lt;/item&gt;&lt;item&gt;89&lt;/item&gt;&lt;item&gt;90&lt;/item&gt;&lt;item&gt;91&lt;/item&gt;&lt;item&gt;96&lt;/item&gt;&lt;item&gt;101&lt;/item&gt;&lt;item&gt;102&lt;/item&gt;&lt;item&gt;105&lt;/item&gt;&lt;item&gt;106&lt;/item&gt;&lt;item&gt;109&lt;/item&gt;&lt;item&gt;110&lt;/item&gt;&lt;item&gt;113&lt;/item&gt;&lt;item&gt;117&lt;/item&gt;&lt;item&gt;118&lt;/item&gt;&lt;item&gt;120&lt;/item&gt;&lt;item&gt;123&lt;/item&gt;&lt;item&gt;126&lt;/item&gt;&lt;item&gt;127&lt;/item&gt;&lt;item&gt;129&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6&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199&lt;/item&gt;&lt;item&gt;200&lt;/item&gt;&lt;item&gt;201&lt;/item&gt;&lt;item&gt;202&lt;/item&gt;&lt;item&gt;203&lt;/item&gt;&lt;item&gt;204&lt;/item&gt;&lt;item&gt;205&lt;/item&gt;&lt;item&gt;206&lt;/item&gt;&lt;item&gt;207&lt;/item&gt;&lt;item&gt;208&lt;/item&gt;&lt;item&gt;209&lt;/item&gt;&lt;item&gt;210&lt;/item&gt;&lt;item&gt;211&lt;/item&gt;&lt;item&gt;212&lt;/item&gt;&lt;item&gt;213&lt;/item&gt;&lt;item&gt;214&lt;/item&gt;&lt;item&gt;215&lt;/item&gt;&lt;item&gt;216&lt;/item&gt;&lt;item&gt;217&lt;/item&gt;&lt;item&gt;218&lt;/item&gt;&lt;item&gt;219&lt;/item&gt;&lt;item&gt;220&lt;/item&gt;&lt;item&gt;221&lt;/item&gt;&lt;item&gt;222&lt;/item&gt;&lt;item&gt;223&lt;/item&gt;&lt;item&gt;224&lt;/item&gt;&lt;item&gt;225&lt;/item&gt;&lt;item&gt;226&lt;/item&gt;&lt;item&gt;227&lt;/item&gt;&lt;item&gt;228&lt;/item&gt;&lt;item&gt;229&lt;/item&gt;&lt;item&gt;230&lt;/item&gt;&lt;item&gt;231&lt;/item&gt;&lt;item&gt;232&lt;/item&gt;&lt;item&gt;233&lt;/item&gt;&lt;item&gt;234&lt;/item&gt;&lt;item&gt;235&lt;/item&gt;&lt;item&gt;236&lt;/item&gt;&lt;item&gt;237&lt;/item&gt;&lt;item&gt;238&lt;/item&gt;&lt;item&gt;239&lt;/item&gt;&lt;item&gt;240&lt;/item&gt;&lt;item&gt;241&lt;/item&gt;&lt;item&gt;242&lt;/item&gt;&lt;item&gt;243&lt;/item&gt;&lt;item&gt;244&lt;/item&gt;&lt;item&gt;245&lt;/item&gt;&lt;item&gt;246&lt;/item&gt;&lt;item&gt;247&lt;/item&gt;&lt;item&gt;248&lt;/item&gt;&lt;item&gt;249&lt;/item&gt;&lt;item&gt;250&lt;/item&gt;&lt;item&gt;251&lt;/item&gt;&lt;item&gt;252&lt;/item&gt;&lt;item&gt;253&lt;/item&gt;&lt;item&gt;254&lt;/item&gt;&lt;item&gt;255&lt;/item&gt;&lt;item&gt;256&lt;/item&gt;&lt;item&gt;257&lt;/item&gt;&lt;item&gt;258&lt;/item&gt;&lt;item&gt;259&lt;/item&gt;&lt;item&gt;260&lt;/item&gt;&lt;item&gt;261&lt;/item&gt;&lt;item&gt;262&lt;/item&gt;&lt;item&gt;263&lt;/item&gt;&lt;item&gt;264&lt;/item&gt;&lt;item&gt;265&lt;/item&gt;&lt;item&gt;266&lt;/item&gt;&lt;item&gt;267&lt;/item&gt;&lt;item&gt;268&lt;/item&gt;&lt;item&gt;269&lt;/item&gt;&lt;item&gt;270&lt;/item&gt;&lt;item&gt;271&lt;/item&gt;&lt;item&gt;272&lt;/item&gt;&lt;item&gt;273&lt;/item&gt;&lt;item&gt;274&lt;/item&gt;&lt;item&gt;275&lt;/item&gt;&lt;item&gt;276&lt;/item&gt;&lt;item&gt;277&lt;/item&gt;&lt;item&gt;278&lt;/item&gt;&lt;item&gt;279&lt;/item&gt;&lt;item&gt;280&lt;/item&gt;&lt;item&gt;281&lt;/item&gt;&lt;item&gt;282&lt;/item&gt;&lt;item&gt;283&lt;/item&gt;&lt;item&gt;284&lt;/item&gt;&lt;item&gt;285&lt;/item&gt;&lt;item&gt;286&lt;/item&gt;&lt;item&gt;287&lt;/item&gt;&lt;item&gt;288&lt;/item&gt;&lt;item&gt;289&lt;/item&gt;&lt;item&gt;290&lt;/item&gt;&lt;item&gt;291&lt;/item&gt;&lt;item&gt;292&lt;/item&gt;&lt;item&gt;293&lt;/item&gt;&lt;item&gt;294&lt;/item&gt;&lt;item&gt;295&lt;/item&gt;&lt;item&gt;296&lt;/item&gt;&lt;item&gt;301&lt;/item&gt;&lt;item&gt;311&lt;/item&gt;&lt;item&gt;323&lt;/item&gt;&lt;item&gt;328&lt;/item&gt;&lt;item&gt;329&lt;/item&gt;&lt;item&gt;330&lt;/item&gt;&lt;item&gt;331&lt;/item&gt;&lt;item&gt;332&lt;/item&gt;&lt;item&gt;333&lt;/item&gt;&lt;item&gt;334&lt;/item&gt;&lt;item&gt;336&lt;/item&gt;&lt;item&gt;337&lt;/item&gt;&lt;item&gt;338&lt;/item&gt;&lt;item&gt;339&lt;/item&gt;&lt;item&gt;341&lt;/item&gt;&lt;item&gt;342&lt;/item&gt;&lt;item&gt;378&lt;/item&gt;&lt;item&gt;379&lt;/item&gt;&lt;item&gt;380&lt;/item&gt;&lt;item&gt;382&lt;/item&gt;&lt;item&gt;383&lt;/item&gt;&lt;item&gt;384&lt;/item&gt;&lt;item&gt;386&lt;/item&gt;&lt;item&gt;387&lt;/item&gt;&lt;item&gt;389&lt;/item&gt;&lt;item&gt;390&lt;/item&gt;&lt;item&gt;391&lt;/item&gt;&lt;item&gt;392&lt;/item&gt;&lt;item&gt;393&lt;/item&gt;&lt;item&gt;394&lt;/item&gt;&lt;item&gt;395&lt;/item&gt;&lt;item&gt;396&lt;/item&gt;&lt;item&gt;397&lt;/item&gt;&lt;item&gt;398&lt;/item&gt;&lt;item&gt;399&lt;/item&gt;&lt;item&gt;400&lt;/item&gt;&lt;item&gt;401&lt;/item&gt;&lt;item&gt;402&lt;/item&gt;&lt;item&gt;410&lt;/item&gt;&lt;item&gt;411&lt;/item&gt;&lt;item&gt;418&lt;/item&gt;&lt;item&gt;432&lt;/item&gt;&lt;item&gt;438&lt;/item&gt;&lt;item&gt;439&lt;/item&gt;&lt;item&gt;440&lt;/item&gt;&lt;item&gt;442&lt;/item&gt;&lt;item&gt;443&lt;/item&gt;&lt;item&gt;444&lt;/item&gt;&lt;item&gt;445&lt;/item&gt;&lt;item&gt;446&lt;/item&gt;&lt;item&gt;447&lt;/item&gt;&lt;item&gt;448&lt;/item&gt;&lt;item&gt;449&lt;/item&gt;&lt;item&gt;450&lt;/item&gt;&lt;item&gt;451&lt;/item&gt;&lt;item&gt;452&lt;/item&gt;&lt;item&gt;453&lt;/item&gt;&lt;item&gt;454&lt;/item&gt;&lt;item&gt;455&lt;/item&gt;&lt;item&gt;456&lt;/item&gt;&lt;item&gt;457&lt;/item&gt;&lt;item&gt;458&lt;/item&gt;&lt;item&gt;459&lt;/item&gt;&lt;item&gt;460&lt;/item&gt;&lt;item&gt;461&lt;/item&gt;&lt;item&gt;462&lt;/item&gt;&lt;item&gt;463&lt;/item&gt;&lt;item&gt;464&lt;/item&gt;&lt;item&gt;465&lt;/item&gt;&lt;item&gt;466&lt;/item&gt;&lt;item&gt;467&lt;/item&gt;&lt;item&gt;468&lt;/item&gt;&lt;item&gt;469&lt;/item&gt;&lt;item&gt;470&lt;/item&gt;&lt;item&gt;471&lt;/item&gt;&lt;item&gt;472&lt;/item&gt;&lt;item&gt;473&lt;/item&gt;&lt;item&gt;474&lt;/item&gt;&lt;item&gt;475&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1&lt;/item&gt;&lt;item&gt;492&lt;/item&gt;&lt;item&gt;493&lt;/item&gt;&lt;item&gt;494&lt;/item&gt;&lt;item&gt;495&lt;/item&gt;&lt;item&gt;496&lt;/item&gt;&lt;item&gt;497&lt;/item&gt;&lt;item&gt;498&lt;/item&gt;&lt;item&gt;499&lt;/item&gt;&lt;item&gt;500&lt;/item&gt;&lt;item&gt;501&lt;/item&gt;&lt;item&gt;502&lt;/item&gt;&lt;item&gt;503&lt;/item&gt;&lt;item&gt;504&lt;/item&gt;&lt;item&gt;505&lt;/item&gt;&lt;item&gt;506&lt;/item&gt;&lt;item&gt;508&lt;/item&gt;&lt;item&gt;509&lt;/item&gt;&lt;item&gt;512&lt;/item&gt;&lt;item&gt;513&lt;/item&gt;&lt;item&gt;518&lt;/item&gt;&lt;item&gt;519&lt;/item&gt;&lt;item&gt;522&lt;/item&gt;&lt;item&gt;524&lt;/item&gt;&lt;item&gt;529&lt;/item&gt;&lt;item&gt;530&lt;/item&gt;&lt;item&gt;538&lt;/item&gt;&lt;item&gt;540&lt;/item&gt;&lt;item&gt;544&lt;/item&gt;&lt;item&gt;551&lt;/item&gt;&lt;item&gt;556&lt;/item&gt;&lt;item&gt;557&lt;/item&gt;&lt;item&gt;559&lt;/item&gt;&lt;item&gt;560&lt;/item&gt;&lt;item&gt;563&lt;/item&gt;&lt;item&gt;566&lt;/item&gt;&lt;item&gt;567&lt;/item&gt;&lt;item&gt;569&lt;/item&gt;&lt;item&gt;573&lt;/item&gt;&lt;item&gt;575&lt;/item&gt;&lt;item&gt;577&lt;/item&gt;&lt;item&gt;579&lt;/item&gt;&lt;item&gt;580&lt;/item&gt;&lt;item&gt;581&lt;/item&gt;&lt;item&gt;582&lt;/item&gt;&lt;item&gt;583&lt;/item&gt;&lt;item&gt;590&lt;/item&gt;&lt;item&gt;612&lt;/item&gt;&lt;item&gt;613&lt;/item&gt;&lt;item&gt;628&lt;/item&gt;&lt;/record-ids&gt;&lt;/item&gt;&lt;/Libraries&gt;"/>
  </w:docVars>
  <w:rsids>
    <w:rsidRoot w:val="002B3A40"/>
    <w:rsid w:val="0000045E"/>
    <w:rsid w:val="0000068B"/>
    <w:rsid w:val="000013A4"/>
    <w:rsid w:val="00001441"/>
    <w:rsid w:val="000015AA"/>
    <w:rsid w:val="00001BB9"/>
    <w:rsid w:val="000022BE"/>
    <w:rsid w:val="000024F8"/>
    <w:rsid w:val="00002C8D"/>
    <w:rsid w:val="00002CE8"/>
    <w:rsid w:val="0000343F"/>
    <w:rsid w:val="00003589"/>
    <w:rsid w:val="00003D58"/>
    <w:rsid w:val="00003FA1"/>
    <w:rsid w:val="00004025"/>
    <w:rsid w:val="000040E7"/>
    <w:rsid w:val="00004309"/>
    <w:rsid w:val="00004869"/>
    <w:rsid w:val="00004C3E"/>
    <w:rsid w:val="00004E66"/>
    <w:rsid w:val="00004EA0"/>
    <w:rsid w:val="0000521B"/>
    <w:rsid w:val="0000534E"/>
    <w:rsid w:val="00005AB5"/>
    <w:rsid w:val="0000627A"/>
    <w:rsid w:val="000065DC"/>
    <w:rsid w:val="00006FA7"/>
    <w:rsid w:val="000079D5"/>
    <w:rsid w:val="00007ADE"/>
    <w:rsid w:val="00007CCC"/>
    <w:rsid w:val="00010592"/>
    <w:rsid w:val="000107FF"/>
    <w:rsid w:val="00010955"/>
    <w:rsid w:val="00011265"/>
    <w:rsid w:val="0001180F"/>
    <w:rsid w:val="000119EB"/>
    <w:rsid w:val="00011DE5"/>
    <w:rsid w:val="00011F63"/>
    <w:rsid w:val="000129E8"/>
    <w:rsid w:val="00012D82"/>
    <w:rsid w:val="00013300"/>
    <w:rsid w:val="00013C52"/>
    <w:rsid w:val="00013FBE"/>
    <w:rsid w:val="000150AA"/>
    <w:rsid w:val="00015465"/>
    <w:rsid w:val="00015D41"/>
    <w:rsid w:val="0001617F"/>
    <w:rsid w:val="000166C5"/>
    <w:rsid w:val="00016A3E"/>
    <w:rsid w:val="000178D4"/>
    <w:rsid w:val="000200D5"/>
    <w:rsid w:val="0002034F"/>
    <w:rsid w:val="0002052B"/>
    <w:rsid w:val="0002066F"/>
    <w:rsid w:val="00020686"/>
    <w:rsid w:val="00020EA5"/>
    <w:rsid w:val="00021010"/>
    <w:rsid w:val="00021171"/>
    <w:rsid w:val="00021452"/>
    <w:rsid w:val="00021517"/>
    <w:rsid w:val="00021979"/>
    <w:rsid w:val="00021DA2"/>
    <w:rsid w:val="00022775"/>
    <w:rsid w:val="0002294E"/>
    <w:rsid w:val="000232EA"/>
    <w:rsid w:val="0002347B"/>
    <w:rsid w:val="0002374A"/>
    <w:rsid w:val="000240B6"/>
    <w:rsid w:val="00024521"/>
    <w:rsid w:val="00024AC4"/>
    <w:rsid w:val="00024B53"/>
    <w:rsid w:val="00024FE6"/>
    <w:rsid w:val="00025021"/>
    <w:rsid w:val="000252DF"/>
    <w:rsid w:val="0002541D"/>
    <w:rsid w:val="00025518"/>
    <w:rsid w:val="0002585F"/>
    <w:rsid w:val="00026230"/>
    <w:rsid w:val="000265C2"/>
    <w:rsid w:val="00026B9E"/>
    <w:rsid w:val="00026D14"/>
    <w:rsid w:val="0002719C"/>
    <w:rsid w:val="000271E9"/>
    <w:rsid w:val="0002729D"/>
    <w:rsid w:val="00027379"/>
    <w:rsid w:val="0002748C"/>
    <w:rsid w:val="00027880"/>
    <w:rsid w:val="0003007A"/>
    <w:rsid w:val="00030319"/>
    <w:rsid w:val="000307D9"/>
    <w:rsid w:val="0003083F"/>
    <w:rsid w:val="00031047"/>
    <w:rsid w:val="0003145C"/>
    <w:rsid w:val="00031F42"/>
    <w:rsid w:val="00032012"/>
    <w:rsid w:val="00032086"/>
    <w:rsid w:val="000321BC"/>
    <w:rsid w:val="0003229C"/>
    <w:rsid w:val="00032460"/>
    <w:rsid w:val="00032757"/>
    <w:rsid w:val="00032C24"/>
    <w:rsid w:val="0003304B"/>
    <w:rsid w:val="000334EA"/>
    <w:rsid w:val="000335F0"/>
    <w:rsid w:val="00033A62"/>
    <w:rsid w:val="00033DB4"/>
    <w:rsid w:val="00034043"/>
    <w:rsid w:val="00034439"/>
    <w:rsid w:val="00034C1E"/>
    <w:rsid w:val="00034D53"/>
    <w:rsid w:val="00034EFC"/>
    <w:rsid w:val="00035824"/>
    <w:rsid w:val="00035CC7"/>
    <w:rsid w:val="00036261"/>
    <w:rsid w:val="00036665"/>
    <w:rsid w:val="0003670E"/>
    <w:rsid w:val="00036B22"/>
    <w:rsid w:val="00037D9F"/>
    <w:rsid w:val="00037EC1"/>
    <w:rsid w:val="00037EF2"/>
    <w:rsid w:val="000400E2"/>
    <w:rsid w:val="0004015F"/>
    <w:rsid w:val="00040202"/>
    <w:rsid w:val="00040407"/>
    <w:rsid w:val="00040706"/>
    <w:rsid w:val="0004099A"/>
    <w:rsid w:val="00040B70"/>
    <w:rsid w:val="00040CCF"/>
    <w:rsid w:val="00040CE4"/>
    <w:rsid w:val="00040EB0"/>
    <w:rsid w:val="000410F2"/>
    <w:rsid w:val="00041486"/>
    <w:rsid w:val="000416B7"/>
    <w:rsid w:val="00041B31"/>
    <w:rsid w:val="00041E42"/>
    <w:rsid w:val="00041F7B"/>
    <w:rsid w:val="00042801"/>
    <w:rsid w:val="00042DC7"/>
    <w:rsid w:val="00042ED3"/>
    <w:rsid w:val="00042EE7"/>
    <w:rsid w:val="00043AC9"/>
    <w:rsid w:val="00043CD8"/>
    <w:rsid w:val="00043D0C"/>
    <w:rsid w:val="00043F12"/>
    <w:rsid w:val="000443FE"/>
    <w:rsid w:val="0004454E"/>
    <w:rsid w:val="00044947"/>
    <w:rsid w:val="00044B3E"/>
    <w:rsid w:val="00044D5A"/>
    <w:rsid w:val="00044D61"/>
    <w:rsid w:val="00045218"/>
    <w:rsid w:val="000453F9"/>
    <w:rsid w:val="000454ED"/>
    <w:rsid w:val="0004573A"/>
    <w:rsid w:val="00045C84"/>
    <w:rsid w:val="00045D0D"/>
    <w:rsid w:val="00046113"/>
    <w:rsid w:val="000463C0"/>
    <w:rsid w:val="0004657F"/>
    <w:rsid w:val="00046DDD"/>
    <w:rsid w:val="000471B2"/>
    <w:rsid w:val="000472B4"/>
    <w:rsid w:val="000475E1"/>
    <w:rsid w:val="00047632"/>
    <w:rsid w:val="00047C1D"/>
    <w:rsid w:val="00047E5F"/>
    <w:rsid w:val="00047E8B"/>
    <w:rsid w:val="000506E2"/>
    <w:rsid w:val="000507D1"/>
    <w:rsid w:val="00051759"/>
    <w:rsid w:val="000518FE"/>
    <w:rsid w:val="0005219B"/>
    <w:rsid w:val="0005257A"/>
    <w:rsid w:val="000526F1"/>
    <w:rsid w:val="00052812"/>
    <w:rsid w:val="00052AC4"/>
    <w:rsid w:val="00052FE6"/>
    <w:rsid w:val="00053931"/>
    <w:rsid w:val="000539DF"/>
    <w:rsid w:val="00053FF5"/>
    <w:rsid w:val="00054320"/>
    <w:rsid w:val="00054479"/>
    <w:rsid w:val="00054488"/>
    <w:rsid w:val="000544C8"/>
    <w:rsid w:val="000545BC"/>
    <w:rsid w:val="00054C3A"/>
    <w:rsid w:val="00054ED1"/>
    <w:rsid w:val="00055E71"/>
    <w:rsid w:val="0005619A"/>
    <w:rsid w:val="0005673C"/>
    <w:rsid w:val="00056A9F"/>
    <w:rsid w:val="00056C33"/>
    <w:rsid w:val="00056F76"/>
    <w:rsid w:val="000571BD"/>
    <w:rsid w:val="0005799F"/>
    <w:rsid w:val="00057DE1"/>
    <w:rsid w:val="00057F04"/>
    <w:rsid w:val="00060328"/>
    <w:rsid w:val="0006040D"/>
    <w:rsid w:val="000609A1"/>
    <w:rsid w:val="00060A74"/>
    <w:rsid w:val="00060AF1"/>
    <w:rsid w:val="00060DAE"/>
    <w:rsid w:val="00061038"/>
    <w:rsid w:val="000614BD"/>
    <w:rsid w:val="000616AE"/>
    <w:rsid w:val="00061A57"/>
    <w:rsid w:val="00061C38"/>
    <w:rsid w:val="00061F66"/>
    <w:rsid w:val="000622D0"/>
    <w:rsid w:val="00062AC2"/>
    <w:rsid w:val="00062E2E"/>
    <w:rsid w:val="000630EB"/>
    <w:rsid w:val="00063600"/>
    <w:rsid w:val="00063C5D"/>
    <w:rsid w:val="00063F0F"/>
    <w:rsid w:val="00063F57"/>
    <w:rsid w:val="000641A1"/>
    <w:rsid w:val="0006429C"/>
    <w:rsid w:val="0006461E"/>
    <w:rsid w:val="000646D9"/>
    <w:rsid w:val="0006475E"/>
    <w:rsid w:val="00064FC8"/>
    <w:rsid w:val="00065AB9"/>
    <w:rsid w:val="00065C0A"/>
    <w:rsid w:val="00065FD8"/>
    <w:rsid w:val="00066114"/>
    <w:rsid w:val="0006662D"/>
    <w:rsid w:val="00066C9A"/>
    <w:rsid w:val="00066F7F"/>
    <w:rsid w:val="0006708B"/>
    <w:rsid w:val="000670A4"/>
    <w:rsid w:val="00067139"/>
    <w:rsid w:val="00067143"/>
    <w:rsid w:val="00067317"/>
    <w:rsid w:val="0006735D"/>
    <w:rsid w:val="0006797B"/>
    <w:rsid w:val="00067B99"/>
    <w:rsid w:val="00067E01"/>
    <w:rsid w:val="00070148"/>
    <w:rsid w:val="000702BF"/>
    <w:rsid w:val="000705E3"/>
    <w:rsid w:val="00070884"/>
    <w:rsid w:val="00070D28"/>
    <w:rsid w:val="00071454"/>
    <w:rsid w:val="000715D2"/>
    <w:rsid w:val="00074251"/>
    <w:rsid w:val="000742CB"/>
    <w:rsid w:val="000744DF"/>
    <w:rsid w:val="0007463C"/>
    <w:rsid w:val="00074C7C"/>
    <w:rsid w:val="00074CB7"/>
    <w:rsid w:val="00074F1A"/>
    <w:rsid w:val="0007559E"/>
    <w:rsid w:val="0007581C"/>
    <w:rsid w:val="00075DAA"/>
    <w:rsid w:val="000763C1"/>
    <w:rsid w:val="000764C1"/>
    <w:rsid w:val="00076BA9"/>
    <w:rsid w:val="00076EF9"/>
    <w:rsid w:val="00077007"/>
    <w:rsid w:val="00077318"/>
    <w:rsid w:val="00077891"/>
    <w:rsid w:val="00077BE6"/>
    <w:rsid w:val="00077DBA"/>
    <w:rsid w:val="00077E16"/>
    <w:rsid w:val="000803E2"/>
    <w:rsid w:val="00080D5C"/>
    <w:rsid w:val="00080E54"/>
    <w:rsid w:val="0008124A"/>
    <w:rsid w:val="00081771"/>
    <w:rsid w:val="00081B1A"/>
    <w:rsid w:val="00081E55"/>
    <w:rsid w:val="00081F83"/>
    <w:rsid w:val="00082119"/>
    <w:rsid w:val="00082176"/>
    <w:rsid w:val="00082959"/>
    <w:rsid w:val="00082A68"/>
    <w:rsid w:val="00083056"/>
    <w:rsid w:val="000830FC"/>
    <w:rsid w:val="00083237"/>
    <w:rsid w:val="000833D8"/>
    <w:rsid w:val="000833DA"/>
    <w:rsid w:val="000836BB"/>
    <w:rsid w:val="0008391B"/>
    <w:rsid w:val="00083A77"/>
    <w:rsid w:val="00084349"/>
    <w:rsid w:val="0008440D"/>
    <w:rsid w:val="00084DAF"/>
    <w:rsid w:val="00084FCF"/>
    <w:rsid w:val="00085867"/>
    <w:rsid w:val="00085C19"/>
    <w:rsid w:val="0008601A"/>
    <w:rsid w:val="000862CE"/>
    <w:rsid w:val="000863C7"/>
    <w:rsid w:val="00086586"/>
    <w:rsid w:val="00086B4E"/>
    <w:rsid w:val="00086E0F"/>
    <w:rsid w:val="0008733F"/>
    <w:rsid w:val="00087763"/>
    <w:rsid w:val="00087DB8"/>
    <w:rsid w:val="00087DBB"/>
    <w:rsid w:val="00090392"/>
    <w:rsid w:val="000903A3"/>
    <w:rsid w:val="0009070A"/>
    <w:rsid w:val="00090967"/>
    <w:rsid w:val="00090E74"/>
    <w:rsid w:val="00091273"/>
    <w:rsid w:val="000912E3"/>
    <w:rsid w:val="0009197F"/>
    <w:rsid w:val="00091C5E"/>
    <w:rsid w:val="000920D7"/>
    <w:rsid w:val="000923EF"/>
    <w:rsid w:val="00092510"/>
    <w:rsid w:val="00092526"/>
    <w:rsid w:val="00092881"/>
    <w:rsid w:val="00093293"/>
    <w:rsid w:val="00093381"/>
    <w:rsid w:val="00093510"/>
    <w:rsid w:val="000936AC"/>
    <w:rsid w:val="00093843"/>
    <w:rsid w:val="000938D2"/>
    <w:rsid w:val="00093DF7"/>
    <w:rsid w:val="000941A1"/>
    <w:rsid w:val="000943AA"/>
    <w:rsid w:val="000943C3"/>
    <w:rsid w:val="000943F1"/>
    <w:rsid w:val="00094408"/>
    <w:rsid w:val="00094F25"/>
    <w:rsid w:val="00095148"/>
    <w:rsid w:val="00095316"/>
    <w:rsid w:val="000955A5"/>
    <w:rsid w:val="000955EB"/>
    <w:rsid w:val="00095739"/>
    <w:rsid w:val="000957D9"/>
    <w:rsid w:val="00095B0E"/>
    <w:rsid w:val="00095E74"/>
    <w:rsid w:val="00096520"/>
    <w:rsid w:val="000970A4"/>
    <w:rsid w:val="0009765B"/>
    <w:rsid w:val="0009795A"/>
    <w:rsid w:val="000A01FD"/>
    <w:rsid w:val="000A08F0"/>
    <w:rsid w:val="000A0AA3"/>
    <w:rsid w:val="000A1508"/>
    <w:rsid w:val="000A1567"/>
    <w:rsid w:val="000A15DB"/>
    <w:rsid w:val="000A1679"/>
    <w:rsid w:val="000A184F"/>
    <w:rsid w:val="000A19D9"/>
    <w:rsid w:val="000A1B21"/>
    <w:rsid w:val="000A1CE8"/>
    <w:rsid w:val="000A1E79"/>
    <w:rsid w:val="000A295B"/>
    <w:rsid w:val="000A2BB9"/>
    <w:rsid w:val="000A377B"/>
    <w:rsid w:val="000A39DB"/>
    <w:rsid w:val="000A3E06"/>
    <w:rsid w:val="000A3E6E"/>
    <w:rsid w:val="000A436A"/>
    <w:rsid w:val="000A5A08"/>
    <w:rsid w:val="000A5BD7"/>
    <w:rsid w:val="000A5CC9"/>
    <w:rsid w:val="000A61EA"/>
    <w:rsid w:val="000A6486"/>
    <w:rsid w:val="000A657A"/>
    <w:rsid w:val="000A6798"/>
    <w:rsid w:val="000A6847"/>
    <w:rsid w:val="000A6F03"/>
    <w:rsid w:val="000A70BA"/>
    <w:rsid w:val="000A76E3"/>
    <w:rsid w:val="000A7B03"/>
    <w:rsid w:val="000A7CB7"/>
    <w:rsid w:val="000B0248"/>
    <w:rsid w:val="000B04E9"/>
    <w:rsid w:val="000B0C51"/>
    <w:rsid w:val="000B0E21"/>
    <w:rsid w:val="000B0E6E"/>
    <w:rsid w:val="000B0F36"/>
    <w:rsid w:val="000B1713"/>
    <w:rsid w:val="000B1774"/>
    <w:rsid w:val="000B2436"/>
    <w:rsid w:val="000B27A4"/>
    <w:rsid w:val="000B27C5"/>
    <w:rsid w:val="000B2A8A"/>
    <w:rsid w:val="000B2FB0"/>
    <w:rsid w:val="000B3427"/>
    <w:rsid w:val="000B351C"/>
    <w:rsid w:val="000B375B"/>
    <w:rsid w:val="000B3826"/>
    <w:rsid w:val="000B401A"/>
    <w:rsid w:val="000B4322"/>
    <w:rsid w:val="000B44F6"/>
    <w:rsid w:val="000B4585"/>
    <w:rsid w:val="000B45DF"/>
    <w:rsid w:val="000B4C0C"/>
    <w:rsid w:val="000B4CAA"/>
    <w:rsid w:val="000B4D94"/>
    <w:rsid w:val="000B4DE8"/>
    <w:rsid w:val="000B558B"/>
    <w:rsid w:val="000B5631"/>
    <w:rsid w:val="000B5718"/>
    <w:rsid w:val="000B59F3"/>
    <w:rsid w:val="000B5C5E"/>
    <w:rsid w:val="000B5E8F"/>
    <w:rsid w:val="000B68E2"/>
    <w:rsid w:val="000B7051"/>
    <w:rsid w:val="000B712A"/>
    <w:rsid w:val="000B7654"/>
    <w:rsid w:val="000B7BB6"/>
    <w:rsid w:val="000B7BCB"/>
    <w:rsid w:val="000B7BF9"/>
    <w:rsid w:val="000B7DE6"/>
    <w:rsid w:val="000B7F58"/>
    <w:rsid w:val="000C064E"/>
    <w:rsid w:val="000C0796"/>
    <w:rsid w:val="000C0E0E"/>
    <w:rsid w:val="000C1166"/>
    <w:rsid w:val="000C1179"/>
    <w:rsid w:val="000C11B2"/>
    <w:rsid w:val="000C12AB"/>
    <w:rsid w:val="000C1681"/>
    <w:rsid w:val="000C18A2"/>
    <w:rsid w:val="000C1CCD"/>
    <w:rsid w:val="000C21DE"/>
    <w:rsid w:val="000C2487"/>
    <w:rsid w:val="000C2549"/>
    <w:rsid w:val="000C2D79"/>
    <w:rsid w:val="000C2DF3"/>
    <w:rsid w:val="000C2F11"/>
    <w:rsid w:val="000C3476"/>
    <w:rsid w:val="000C3868"/>
    <w:rsid w:val="000C3A1D"/>
    <w:rsid w:val="000C3C34"/>
    <w:rsid w:val="000C3F0C"/>
    <w:rsid w:val="000C416F"/>
    <w:rsid w:val="000C42B5"/>
    <w:rsid w:val="000C48FE"/>
    <w:rsid w:val="000C49D6"/>
    <w:rsid w:val="000C4CCE"/>
    <w:rsid w:val="000C4F3A"/>
    <w:rsid w:val="000C5647"/>
    <w:rsid w:val="000C5925"/>
    <w:rsid w:val="000C5D0B"/>
    <w:rsid w:val="000C5D55"/>
    <w:rsid w:val="000C60F4"/>
    <w:rsid w:val="000C63FE"/>
    <w:rsid w:val="000C65CF"/>
    <w:rsid w:val="000C6848"/>
    <w:rsid w:val="000C69D9"/>
    <w:rsid w:val="000C6A05"/>
    <w:rsid w:val="000C7296"/>
    <w:rsid w:val="000C7A80"/>
    <w:rsid w:val="000C7C20"/>
    <w:rsid w:val="000C7C61"/>
    <w:rsid w:val="000C7F3E"/>
    <w:rsid w:val="000D01D2"/>
    <w:rsid w:val="000D0B29"/>
    <w:rsid w:val="000D0D41"/>
    <w:rsid w:val="000D1606"/>
    <w:rsid w:val="000D1665"/>
    <w:rsid w:val="000D1F43"/>
    <w:rsid w:val="000D1F49"/>
    <w:rsid w:val="000D2889"/>
    <w:rsid w:val="000D2C79"/>
    <w:rsid w:val="000D2F02"/>
    <w:rsid w:val="000D3197"/>
    <w:rsid w:val="000D351E"/>
    <w:rsid w:val="000D35CF"/>
    <w:rsid w:val="000D3632"/>
    <w:rsid w:val="000D3CAC"/>
    <w:rsid w:val="000D3D4E"/>
    <w:rsid w:val="000D40EE"/>
    <w:rsid w:val="000D445C"/>
    <w:rsid w:val="000D49CE"/>
    <w:rsid w:val="000D4B83"/>
    <w:rsid w:val="000D4D5C"/>
    <w:rsid w:val="000D5021"/>
    <w:rsid w:val="000D5128"/>
    <w:rsid w:val="000D5250"/>
    <w:rsid w:val="000D56A1"/>
    <w:rsid w:val="000D5B85"/>
    <w:rsid w:val="000D5C74"/>
    <w:rsid w:val="000D6452"/>
    <w:rsid w:val="000D66C1"/>
    <w:rsid w:val="000D6A25"/>
    <w:rsid w:val="000D6B7D"/>
    <w:rsid w:val="000D6E92"/>
    <w:rsid w:val="000D703B"/>
    <w:rsid w:val="000D7368"/>
    <w:rsid w:val="000D7530"/>
    <w:rsid w:val="000D7732"/>
    <w:rsid w:val="000D77CC"/>
    <w:rsid w:val="000D7F1C"/>
    <w:rsid w:val="000E01DA"/>
    <w:rsid w:val="000E0431"/>
    <w:rsid w:val="000E0A79"/>
    <w:rsid w:val="000E0A81"/>
    <w:rsid w:val="000E0C51"/>
    <w:rsid w:val="000E10B6"/>
    <w:rsid w:val="000E1E6B"/>
    <w:rsid w:val="000E2750"/>
    <w:rsid w:val="000E2E73"/>
    <w:rsid w:val="000E2F24"/>
    <w:rsid w:val="000E2F86"/>
    <w:rsid w:val="000E3005"/>
    <w:rsid w:val="000E3148"/>
    <w:rsid w:val="000E31D5"/>
    <w:rsid w:val="000E336B"/>
    <w:rsid w:val="000E35B3"/>
    <w:rsid w:val="000E39FC"/>
    <w:rsid w:val="000E3F52"/>
    <w:rsid w:val="000E4528"/>
    <w:rsid w:val="000E49C4"/>
    <w:rsid w:val="000E4A1C"/>
    <w:rsid w:val="000E4B3E"/>
    <w:rsid w:val="000E4FC5"/>
    <w:rsid w:val="000E511A"/>
    <w:rsid w:val="000E562A"/>
    <w:rsid w:val="000E56E0"/>
    <w:rsid w:val="000E5851"/>
    <w:rsid w:val="000E5FC6"/>
    <w:rsid w:val="000E6475"/>
    <w:rsid w:val="000E64A9"/>
    <w:rsid w:val="000E6D5C"/>
    <w:rsid w:val="000E738C"/>
    <w:rsid w:val="000E7410"/>
    <w:rsid w:val="000E744B"/>
    <w:rsid w:val="000E769E"/>
    <w:rsid w:val="000E7E6D"/>
    <w:rsid w:val="000F00F8"/>
    <w:rsid w:val="000F08BA"/>
    <w:rsid w:val="000F0A2E"/>
    <w:rsid w:val="000F10D7"/>
    <w:rsid w:val="000F1C84"/>
    <w:rsid w:val="000F231C"/>
    <w:rsid w:val="000F27E9"/>
    <w:rsid w:val="000F2E19"/>
    <w:rsid w:val="000F313C"/>
    <w:rsid w:val="000F347E"/>
    <w:rsid w:val="000F39B9"/>
    <w:rsid w:val="000F44E7"/>
    <w:rsid w:val="000F528C"/>
    <w:rsid w:val="000F5B42"/>
    <w:rsid w:val="000F5BBB"/>
    <w:rsid w:val="000F6315"/>
    <w:rsid w:val="000F68ED"/>
    <w:rsid w:val="000F69A6"/>
    <w:rsid w:val="000F6A5C"/>
    <w:rsid w:val="000F6B46"/>
    <w:rsid w:val="000F72BB"/>
    <w:rsid w:val="000F7481"/>
    <w:rsid w:val="000F7E2F"/>
    <w:rsid w:val="001001CB"/>
    <w:rsid w:val="00100453"/>
    <w:rsid w:val="00101027"/>
    <w:rsid w:val="00101917"/>
    <w:rsid w:val="0010201C"/>
    <w:rsid w:val="00102096"/>
    <w:rsid w:val="00102130"/>
    <w:rsid w:val="00102544"/>
    <w:rsid w:val="0010261D"/>
    <w:rsid w:val="00102707"/>
    <w:rsid w:val="001029E6"/>
    <w:rsid w:val="00102BE9"/>
    <w:rsid w:val="0010317D"/>
    <w:rsid w:val="0010395D"/>
    <w:rsid w:val="00103F7F"/>
    <w:rsid w:val="00103FB8"/>
    <w:rsid w:val="001043E3"/>
    <w:rsid w:val="00104794"/>
    <w:rsid w:val="00104E4E"/>
    <w:rsid w:val="001051EE"/>
    <w:rsid w:val="0010539E"/>
    <w:rsid w:val="0010559A"/>
    <w:rsid w:val="00105A6B"/>
    <w:rsid w:val="00105C64"/>
    <w:rsid w:val="00106660"/>
    <w:rsid w:val="00106800"/>
    <w:rsid w:val="00106870"/>
    <w:rsid w:val="001071F5"/>
    <w:rsid w:val="00110495"/>
    <w:rsid w:val="00110AA6"/>
    <w:rsid w:val="00110C85"/>
    <w:rsid w:val="001117FF"/>
    <w:rsid w:val="0011188E"/>
    <w:rsid w:val="00111B75"/>
    <w:rsid w:val="00111CD8"/>
    <w:rsid w:val="00111FEC"/>
    <w:rsid w:val="001121C4"/>
    <w:rsid w:val="001123CC"/>
    <w:rsid w:val="001126B2"/>
    <w:rsid w:val="001129FF"/>
    <w:rsid w:val="00112AEF"/>
    <w:rsid w:val="00112C08"/>
    <w:rsid w:val="00112E9E"/>
    <w:rsid w:val="00113281"/>
    <w:rsid w:val="001134B8"/>
    <w:rsid w:val="00113CA7"/>
    <w:rsid w:val="00113ECC"/>
    <w:rsid w:val="001140E9"/>
    <w:rsid w:val="001144D8"/>
    <w:rsid w:val="001146D6"/>
    <w:rsid w:val="001149FD"/>
    <w:rsid w:val="00114B44"/>
    <w:rsid w:val="0011512C"/>
    <w:rsid w:val="001154DD"/>
    <w:rsid w:val="00115572"/>
    <w:rsid w:val="00115C81"/>
    <w:rsid w:val="00116023"/>
    <w:rsid w:val="00116133"/>
    <w:rsid w:val="00116754"/>
    <w:rsid w:val="00116C2B"/>
    <w:rsid w:val="00116D17"/>
    <w:rsid w:val="00116DBC"/>
    <w:rsid w:val="00117322"/>
    <w:rsid w:val="0011741C"/>
    <w:rsid w:val="0011772D"/>
    <w:rsid w:val="001177E3"/>
    <w:rsid w:val="00117E88"/>
    <w:rsid w:val="0012019B"/>
    <w:rsid w:val="00120543"/>
    <w:rsid w:val="001208AC"/>
    <w:rsid w:val="00120ADA"/>
    <w:rsid w:val="001211E2"/>
    <w:rsid w:val="00121831"/>
    <w:rsid w:val="00121C3B"/>
    <w:rsid w:val="0012214A"/>
    <w:rsid w:val="0012232C"/>
    <w:rsid w:val="0012234E"/>
    <w:rsid w:val="0012236D"/>
    <w:rsid w:val="00122EA7"/>
    <w:rsid w:val="00123231"/>
    <w:rsid w:val="00123E39"/>
    <w:rsid w:val="00123EF8"/>
    <w:rsid w:val="0012479A"/>
    <w:rsid w:val="00124C4B"/>
    <w:rsid w:val="00124DB3"/>
    <w:rsid w:val="001253C3"/>
    <w:rsid w:val="001258A4"/>
    <w:rsid w:val="00125CDE"/>
    <w:rsid w:val="0012613B"/>
    <w:rsid w:val="0012686D"/>
    <w:rsid w:val="00127055"/>
    <w:rsid w:val="00127212"/>
    <w:rsid w:val="0012756F"/>
    <w:rsid w:val="00127675"/>
    <w:rsid w:val="0012795A"/>
    <w:rsid w:val="00127BF1"/>
    <w:rsid w:val="00127DA8"/>
    <w:rsid w:val="00130502"/>
    <w:rsid w:val="001305B5"/>
    <w:rsid w:val="00130960"/>
    <w:rsid w:val="00130972"/>
    <w:rsid w:val="00130B0B"/>
    <w:rsid w:val="001310D4"/>
    <w:rsid w:val="0013146A"/>
    <w:rsid w:val="001319D8"/>
    <w:rsid w:val="00131AA7"/>
    <w:rsid w:val="00131AAC"/>
    <w:rsid w:val="00131B4D"/>
    <w:rsid w:val="00132610"/>
    <w:rsid w:val="00132815"/>
    <w:rsid w:val="00132935"/>
    <w:rsid w:val="001331EB"/>
    <w:rsid w:val="0013321B"/>
    <w:rsid w:val="00133385"/>
    <w:rsid w:val="001337DE"/>
    <w:rsid w:val="00133ACC"/>
    <w:rsid w:val="00133E51"/>
    <w:rsid w:val="0013471F"/>
    <w:rsid w:val="001348EC"/>
    <w:rsid w:val="00134A89"/>
    <w:rsid w:val="00134FAB"/>
    <w:rsid w:val="00135533"/>
    <w:rsid w:val="00135534"/>
    <w:rsid w:val="00135807"/>
    <w:rsid w:val="00135FEB"/>
    <w:rsid w:val="0013640D"/>
    <w:rsid w:val="001369F1"/>
    <w:rsid w:val="00136D12"/>
    <w:rsid w:val="00136D2C"/>
    <w:rsid w:val="001371B2"/>
    <w:rsid w:val="001373E9"/>
    <w:rsid w:val="00137890"/>
    <w:rsid w:val="001379F9"/>
    <w:rsid w:val="001400DE"/>
    <w:rsid w:val="00140530"/>
    <w:rsid w:val="00140845"/>
    <w:rsid w:val="00140B0F"/>
    <w:rsid w:val="00140F50"/>
    <w:rsid w:val="00141168"/>
    <w:rsid w:val="001412EF"/>
    <w:rsid w:val="00141D82"/>
    <w:rsid w:val="0014243D"/>
    <w:rsid w:val="0014286E"/>
    <w:rsid w:val="0014337C"/>
    <w:rsid w:val="00143402"/>
    <w:rsid w:val="00143EBD"/>
    <w:rsid w:val="00144630"/>
    <w:rsid w:val="00144F64"/>
    <w:rsid w:val="001453D2"/>
    <w:rsid w:val="00145965"/>
    <w:rsid w:val="00145C66"/>
    <w:rsid w:val="001464D3"/>
    <w:rsid w:val="001464F2"/>
    <w:rsid w:val="0014662C"/>
    <w:rsid w:val="001473C2"/>
    <w:rsid w:val="0014789C"/>
    <w:rsid w:val="00147964"/>
    <w:rsid w:val="00147AE9"/>
    <w:rsid w:val="00147E2C"/>
    <w:rsid w:val="00147FE7"/>
    <w:rsid w:val="001504D8"/>
    <w:rsid w:val="00150547"/>
    <w:rsid w:val="00150712"/>
    <w:rsid w:val="00150930"/>
    <w:rsid w:val="0015099C"/>
    <w:rsid w:val="001509F3"/>
    <w:rsid w:val="001510C4"/>
    <w:rsid w:val="00151BC2"/>
    <w:rsid w:val="00151FAA"/>
    <w:rsid w:val="00152407"/>
    <w:rsid w:val="00153476"/>
    <w:rsid w:val="00153504"/>
    <w:rsid w:val="00153738"/>
    <w:rsid w:val="00153D32"/>
    <w:rsid w:val="001545DF"/>
    <w:rsid w:val="0015482A"/>
    <w:rsid w:val="00154920"/>
    <w:rsid w:val="00154AA5"/>
    <w:rsid w:val="00154B8A"/>
    <w:rsid w:val="00154C75"/>
    <w:rsid w:val="00154C79"/>
    <w:rsid w:val="00155408"/>
    <w:rsid w:val="00155567"/>
    <w:rsid w:val="00155A29"/>
    <w:rsid w:val="00155B01"/>
    <w:rsid w:val="00155B90"/>
    <w:rsid w:val="00155BEA"/>
    <w:rsid w:val="001563D4"/>
    <w:rsid w:val="001563D6"/>
    <w:rsid w:val="001577C7"/>
    <w:rsid w:val="001578DF"/>
    <w:rsid w:val="001602A2"/>
    <w:rsid w:val="00160722"/>
    <w:rsid w:val="0016076A"/>
    <w:rsid w:val="00160C21"/>
    <w:rsid w:val="00160F1A"/>
    <w:rsid w:val="00160F58"/>
    <w:rsid w:val="00160F5B"/>
    <w:rsid w:val="00161043"/>
    <w:rsid w:val="0016138F"/>
    <w:rsid w:val="00161905"/>
    <w:rsid w:val="00161A43"/>
    <w:rsid w:val="00161ADF"/>
    <w:rsid w:val="00161E27"/>
    <w:rsid w:val="00161E2A"/>
    <w:rsid w:val="00161E62"/>
    <w:rsid w:val="00162936"/>
    <w:rsid w:val="001634BB"/>
    <w:rsid w:val="001634E3"/>
    <w:rsid w:val="0016443E"/>
    <w:rsid w:val="00164F4C"/>
    <w:rsid w:val="00165123"/>
    <w:rsid w:val="001656E6"/>
    <w:rsid w:val="00165EC1"/>
    <w:rsid w:val="00165EFB"/>
    <w:rsid w:val="00166EFA"/>
    <w:rsid w:val="001670E4"/>
    <w:rsid w:val="00167B02"/>
    <w:rsid w:val="00170383"/>
    <w:rsid w:val="00170509"/>
    <w:rsid w:val="0017067B"/>
    <w:rsid w:val="00171542"/>
    <w:rsid w:val="00171B3A"/>
    <w:rsid w:val="00171F93"/>
    <w:rsid w:val="00172A7E"/>
    <w:rsid w:val="00172DBA"/>
    <w:rsid w:val="00173010"/>
    <w:rsid w:val="00173365"/>
    <w:rsid w:val="001739D7"/>
    <w:rsid w:val="001760AF"/>
    <w:rsid w:val="0017613B"/>
    <w:rsid w:val="001761E7"/>
    <w:rsid w:val="00176270"/>
    <w:rsid w:val="00176635"/>
    <w:rsid w:val="00176E8A"/>
    <w:rsid w:val="00177311"/>
    <w:rsid w:val="00177809"/>
    <w:rsid w:val="00177A78"/>
    <w:rsid w:val="00177B3D"/>
    <w:rsid w:val="00177D00"/>
    <w:rsid w:val="00177DE9"/>
    <w:rsid w:val="00180E5C"/>
    <w:rsid w:val="00181291"/>
    <w:rsid w:val="00181A17"/>
    <w:rsid w:val="00182681"/>
    <w:rsid w:val="001826D3"/>
    <w:rsid w:val="00182C97"/>
    <w:rsid w:val="00182F7B"/>
    <w:rsid w:val="00182FD2"/>
    <w:rsid w:val="001836B2"/>
    <w:rsid w:val="001839B0"/>
    <w:rsid w:val="00183E74"/>
    <w:rsid w:val="0018407C"/>
    <w:rsid w:val="0018415D"/>
    <w:rsid w:val="00184A88"/>
    <w:rsid w:val="00184D0C"/>
    <w:rsid w:val="00184D8E"/>
    <w:rsid w:val="00184E23"/>
    <w:rsid w:val="00184F5D"/>
    <w:rsid w:val="00185885"/>
    <w:rsid w:val="00185A33"/>
    <w:rsid w:val="00185B2F"/>
    <w:rsid w:val="00185DC6"/>
    <w:rsid w:val="001860D1"/>
    <w:rsid w:val="001861B4"/>
    <w:rsid w:val="00186B0F"/>
    <w:rsid w:val="00186C4C"/>
    <w:rsid w:val="00186F24"/>
    <w:rsid w:val="00187596"/>
    <w:rsid w:val="001875C0"/>
    <w:rsid w:val="00187D4E"/>
    <w:rsid w:val="001900F8"/>
    <w:rsid w:val="001902E7"/>
    <w:rsid w:val="001903BC"/>
    <w:rsid w:val="001903FF"/>
    <w:rsid w:val="00190841"/>
    <w:rsid w:val="00191AAA"/>
    <w:rsid w:val="001920E6"/>
    <w:rsid w:val="00192475"/>
    <w:rsid w:val="00192797"/>
    <w:rsid w:val="00192798"/>
    <w:rsid w:val="00192BD6"/>
    <w:rsid w:val="00192D35"/>
    <w:rsid w:val="00193770"/>
    <w:rsid w:val="001937DD"/>
    <w:rsid w:val="00193A2A"/>
    <w:rsid w:val="00193D2F"/>
    <w:rsid w:val="0019459F"/>
    <w:rsid w:val="00194A6D"/>
    <w:rsid w:val="00194AEB"/>
    <w:rsid w:val="00194B11"/>
    <w:rsid w:val="00194BD7"/>
    <w:rsid w:val="001952AB"/>
    <w:rsid w:val="00195595"/>
    <w:rsid w:val="0019562D"/>
    <w:rsid w:val="001956B2"/>
    <w:rsid w:val="00195AAB"/>
    <w:rsid w:val="00195CC5"/>
    <w:rsid w:val="00195E3B"/>
    <w:rsid w:val="0019645C"/>
    <w:rsid w:val="001964C8"/>
    <w:rsid w:val="00196986"/>
    <w:rsid w:val="00197027"/>
    <w:rsid w:val="001972B5"/>
    <w:rsid w:val="00197390"/>
    <w:rsid w:val="001976D6"/>
    <w:rsid w:val="00197C7C"/>
    <w:rsid w:val="001A0278"/>
    <w:rsid w:val="001A1067"/>
    <w:rsid w:val="001A148D"/>
    <w:rsid w:val="001A17B3"/>
    <w:rsid w:val="001A187A"/>
    <w:rsid w:val="001A21E4"/>
    <w:rsid w:val="001A2441"/>
    <w:rsid w:val="001A2ED3"/>
    <w:rsid w:val="001A2FF6"/>
    <w:rsid w:val="001A3B30"/>
    <w:rsid w:val="001A3B89"/>
    <w:rsid w:val="001A3E07"/>
    <w:rsid w:val="001A3E18"/>
    <w:rsid w:val="001A4534"/>
    <w:rsid w:val="001A4A56"/>
    <w:rsid w:val="001A4E75"/>
    <w:rsid w:val="001A4EBE"/>
    <w:rsid w:val="001A5059"/>
    <w:rsid w:val="001A50A4"/>
    <w:rsid w:val="001A5266"/>
    <w:rsid w:val="001A52F1"/>
    <w:rsid w:val="001A5780"/>
    <w:rsid w:val="001A5F31"/>
    <w:rsid w:val="001A6137"/>
    <w:rsid w:val="001A66A3"/>
    <w:rsid w:val="001A67A3"/>
    <w:rsid w:val="001A7949"/>
    <w:rsid w:val="001A7C03"/>
    <w:rsid w:val="001A7D3A"/>
    <w:rsid w:val="001B095F"/>
    <w:rsid w:val="001B09D1"/>
    <w:rsid w:val="001B0D41"/>
    <w:rsid w:val="001B15DF"/>
    <w:rsid w:val="001B26FC"/>
    <w:rsid w:val="001B277E"/>
    <w:rsid w:val="001B2991"/>
    <w:rsid w:val="001B3292"/>
    <w:rsid w:val="001B3298"/>
    <w:rsid w:val="001B3381"/>
    <w:rsid w:val="001B353A"/>
    <w:rsid w:val="001B3601"/>
    <w:rsid w:val="001B371F"/>
    <w:rsid w:val="001B423C"/>
    <w:rsid w:val="001B5777"/>
    <w:rsid w:val="001B577B"/>
    <w:rsid w:val="001B57C7"/>
    <w:rsid w:val="001B59D0"/>
    <w:rsid w:val="001B5E79"/>
    <w:rsid w:val="001B60F9"/>
    <w:rsid w:val="001B6584"/>
    <w:rsid w:val="001B753F"/>
    <w:rsid w:val="001B7C7E"/>
    <w:rsid w:val="001B7D8D"/>
    <w:rsid w:val="001C000D"/>
    <w:rsid w:val="001C02BC"/>
    <w:rsid w:val="001C09C5"/>
    <w:rsid w:val="001C1E2C"/>
    <w:rsid w:val="001C1F39"/>
    <w:rsid w:val="001C2197"/>
    <w:rsid w:val="001C2560"/>
    <w:rsid w:val="001C28AF"/>
    <w:rsid w:val="001C2D8E"/>
    <w:rsid w:val="001C35F6"/>
    <w:rsid w:val="001C4100"/>
    <w:rsid w:val="001C44FC"/>
    <w:rsid w:val="001C4B98"/>
    <w:rsid w:val="001C4C63"/>
    <w:rsid w:val="001C56EB"/>
    <w:rsid w:val="001C5ACB"/>
    <w:rsid w:val="001C600D"/>
    <w:rsid w:val="001C614E"/>
    <w:rsid w:val="001C64E8"/>
    <w:rsid w:val="001C68BD"/>
    <w:rsid w:val="001C6B44"/>
    <w:rsid w:val="001C709A"/>
    <w:rsid w:val="001C752B"/>
    <w:rsid w:val="001C7829"/>
    <w:rsid w:val="001C79FB"/>
    <w:rsid w:val="001C7DB2"/>
    <w:rsid w:val="001D030E"/>
    <w:rsid w:val="001D0500"/>
    <w:rsid w:val="001D074C"/>
    <w:rsid w:val="001D148C"/>
    <w:rsid w:val="001D236C"/>
    <w:rsid w:val="001D258E"/>
    <w:rsid w:val="001D2704"/>
    <w:rsid w:val="001D2AA1"/>
    <w:rsid w:val="001D2DE4"/>
    <w:rsid w:val="001D3879"/>
    <w:rsid w:val="001D3BA5"/>
    <w:rsid w:val="001D3CE9"/>
    <w:rsid w:val="001D3D8F"/>
    <w:rsid w:val="001D4235"/>
    <w:rsid w:val="001D429A"/>
    <w:rsid w:val="001D4343"/>
    <w:rsid w:val="001D43CC"/>
    <w:rsid w:val="001D43D0"/>
    <w:rsid w:val="001D4694"/>
    <w:rsid w:val="001D4ACB"/>
    <w:rsid w:val="001D4B47"/>
    <w:rsid w:val="001D4B7C"/>
    <w:rsid w:val="001D4E25"/>
    <w:rsid w:val="001D5152"/>
    <w:rsid w:val="001D547B"/>
    <w:rsid w:val="001D583C"/>
    <w:rsid w:val="001D59AE"/>
    <w:rsid w:val="001D5C35"/>
    <w:rsid w:val="001D65CF"/>
    <w:rsid w:val="001D663C"/>
    <w:rsid w:val="001D6D52"/>
    <w:rsid w:val="001D6E4E"/>
    <w:rsid w:val="001D6E82"/>
    <w:rsid w:val="001D71E5"/>
    <w:rsid w:val="001D74AD"/>
    <w:rsid w:val="001D7594"/>
    <w:rsid w:val="001D7F38"/>
    <w:rsid w:val="001E0700"/>
    <w:rsid w:val="001E0815"/>
    <w:rsid w:val="001E0C58"/>
    <w:rsid w:val="001E10F9"/>
    <w:rsid w:val="001E13C0"/>
    <w:rsid w:val="001E16FA"/>
    <w:rsid w:val="001E1E68"/>
    <w:rsid w:val="001E278C"/>
    <w:rsid w:val="001E2835"/>
    <w:rsid w:val="001E2ECF"/>
    <w:rsid w:val="001E326E"/>
    <w:rsid w:val="001E3C5F"/>
    <w:rsid w:val="001E3E8B"/>
    <w:rsid w:val="001E4000"/>
    <w:rsid w:val="001E41C4"/>
    <w:rsid w:val="001E4433"/>
    <w:rsid w:val="001E4843"/>
    <w:rsid w:val="001E4BC2"/>
    <w:rsid w:val="001E5589"/>
    <w:rsid w:val="001E5766"/>
    <w:rsid w:val="001E57E0"/>
    <w:rsid w:val="001E57F8"/>
    <w:rsid w:val="001E6620"/>
    <w:rsid w:val="001E7664"/>
    <w:rsid w:val="001E78A1"/>
    <w:rsid w:val="001E7BBA"/>
    <w:rsid w:val="001F01F5"/>
    <w:rsid w:val="001F04DA"/>
    <w:rsid w:val="001F0F87"/>
    <w:rsid w:val="001F1D55"/>
    <w:rsid w:val="001F20D8"/>
    <w:rsid w:val="001F254A"/>
    <w:rsid w:val="001F33D8"/>
    <w:rsid w:val="001F3510"/>
    <w:rsid w:val="001F35AE"/>
    <w:rsid w:val="001F37EB"/>
    <w:rsid w:val="001F3C9E"/>
    <w:rsid w:val="001F441E"/>
    <w:rsid w:val="001F4C64"/>
    <w:rsid w:val="001F4CA2"/>
    <w:rsid w:val="001F4D6A"/>
    <w:rsid w:val="001F52A5"/>
    <w:rsid w:val="001F54EF"/>
    <w:rsid w:val="001F5639"/>
    <w:rsid w:val="001F564A"/>
    <w:rsid w:val="001F641C"/>
    <w:rsid w:val="001F64CD"/>
    <w:rsid w:val="001F69A4"/>
    <w:rsid w:val="001F6AB5"/>
    <w:rsid w:val="001F6BCB"/>
    <w:rsid w:val="001F7001"/>
    <w:rsid w:val="001F72FB"/>
    <w:rsid w:val="001F740D"/>
    <w:rsid w:val="001F7821"/>
    <w:rsid w:val="001F797D"/>
    <w:rsid w:val="001F7985"/>
    <w:rsid w:val="001F7AD7"/>
    <w:rsid w:val="001F7BF4"/>
    <w:rsid w:val="0020034C"/>
    <w:rsid w:val="002005E6"/>
    <w:rsid w:val="00200AE2"/>
    <w:rsid w:val="00200BB2"/>
    <w:rsid w:val="00200EE2"/>
    <w:rsid w:val="0020170C"/>
    <w:rsid w:val="00201936"/>
    <w:rsid w:val="00201961"/>
    <w:rsid w:val="00201BEF"/>
    <w:rsid w:val="00201D54"/>
    <w:rsid w:val="002020E8"/>
    <w:rsid w:val="0020213D"/>
    <w:rsid w:val="0020282B"/>
    <w:rsid w:val="00202E93"/>
    <w:rsid w:val="00203E19"/>
    <w:rsid w:val="0020410C"/>
    <w:rsid w:val="002042BE"/>
    <w:rsid w:val="0020433D"/>
    <w:rsid w:val="00204A95"/>
    <w:rsid w:val="00205452"/>
    <w:rsid w:val="002056B0"/>
    <w:rsid w:val="00205F81"/>
    <w:rsid w:val="002060B9"/>
    <w:rsid w:val="00206884"/>
    <w:rsid w:val="002069F8"/>
    <w:rsid w:val="00207627"/>
    <w:rsid w:val="00207BE0"/>
    <w:rsid w:val="00207E8A"/>
    <w:rsid w:val="00207E8D"/>
    <w:rsid w:val="00210073"/>
    <w:rsid w:val="0021016F"/>
    <w:rsid w:val="00210E44"/>
    <w:rsid w:val="00210FB8"/>
    <w:rsid w:val="00211053"/>
    <w:rsid w:val="00211152"/>
    <w:rsid w:val="0021126D"/>
    <w:rsid w:val="00211838"/>
    <w:rsid w:val="00211913"/>
    <w:rsid w:val="00211A8A"/>
    <w:rsid w:val="00211F78"/>
    <w:rsid w:val="002120DA"/>
    <w:rsid w:val="002122F9"/>
    <w:rsid w:val="00212460"/>
    <w:rsid w:val="002126DA"/>
    <w:rsid w:val="0021288F"/>
    <w:rsid w:val="00212E0E"/>
    <w:rsid w:val="002136BE"/>
    <w:rsid w:val="002144AE"/>
    <w:rsid w:val="00214630"/>
    <w:rsid w:val="00214818"/>
    <w:rsid w:val="00214EDB"/>
    <w:rsid w:val="00214F21"/>
    <w:rsid w:val="0021502A"/>
    <w:rsid w:val="002151BD"/>
    <w:rsid w:val="0021534E"/>
    <w:rsid w:val="002169D6"/>
    <w:rsid w:val="00216B26"/>
    <w:rsid w:val="00216E57"/>
    <w:rsid w:val="00216F51"/>
    <w:rsid w:val="002176B0"/>
    <w:rsid w:val="0021774E"/>
    <w:rsid w:val="00217923"/>
    <w:rsid w:val="00217DF8"/>
    <w:rsid w:val="00220235"/>
    <w:rsid w:val="00220843"/>
    <w:rsid w:val="00221115"/>
    <w:rsid w:val="002211F5"/>
    <w:rsid w:val="00221987"/>
    <w:rsid w:val="00222064"/>
    <w:rsid w:val="00222165"/>
    <w:rsid w:val="002229A6"/>
    <w:rsid w:val="00223102"/>
    <w:rsid w:val="00223437"/>
    <w:rsid w:val="00223A3B"/>
    <w:rsid w:val="0022477A"/>
    <w:rsid w:val="0022479D"/>
    <w:rsid w:val="00224A2B"/>
    <w:rsid w:val="00224A74"/>
    <w:rsid w:val="00224EFF"/>
    <w:rsid w:val="00224F8F"/>
    <w:rsid w:val="0022502D"/>
    <w:rsid w:val="0022507F"/>
    <w:rsid w:val="00225152"/>
    <w:rsid w:val="00225335"/>
    <w:rsid w:val="0022637C"/>
    <w:rsid w:val="00226508"/>
    <w:rsid w:val="002265B2"/>
    <w:rsid w:val="002267A7"/>
    <w:rsid w:val="002270EF"/>
    <w:rsid w:val="002272EC"/>
    <w:rsid w:val="002274AC"/>
    <w:rsid w:val="00227A6F"/>
    <w:rsid w:val="00227A92"/>
    <w:rsid w:val="002308BC"/>
    <w:rsid w:val="00230A63"/>
    <w:rsid w:val="00230C5D"/>
    <w:rsid w:val="00231593"/>
    <w:rsid w:val="00231889"/>
    <w:rsid w:val="00231985"/>
    <w:rsid w:val="00231B41"/>
    <w:rsid w:val="00231C52"/>
    <w:rsid w:val="00231FA3"/>
    <w:rsid w:val="002322CF"/>
    <w:rsid w:val="00232B50"/>
    <w:rsid w:val="00232CE6"/>
    <w:rsid w:val="00233025"/>
    <w:rsid w:val="00233100"/>
    <w:rsid w:val="0023347A"/>
    <w:rsid w:val="00233AD8"/>
    <w:rsid w:val="00233E5F"/>
    <w:rsid w:val="00233EAA"/>
    <w:rsid w:val="0023430B"/>
    <w:rsid w:val="00235258"/>
    <w:rsid w:val="0023553C"/>
    <w:rsid w:val="0023565F"/>
    <w:rsid w:val="00235F90"/>
    <w:rsid w:val="00236738"/>
    <w:rsid w:val="00236E68"/>
    <w:rsid w:val="00236E8B"/>
    <w:rsid w:val="00236E8F"/>
    <w:rsid w:val="002370BF"/>
    <w:rsid w:val="002372EF"/>
    <w:rsid w:val="002374BA"/>
    <w:rsid w:val="00240F6D"/>
    <w:rsid w:val="002415E1"/>
    <w:rsid w:val="00241BCC"/>
    <w:rsid w:val="00242B26"/>
    <w:rsid w:val="00242DAE"/>
    <w:rsid w:val="00243AC8"/>
    <w:rsid w:val="00243ADB"/>
    <w:rsid w:val="00243FEA"/>
    <w:rsid w:val="002440E9"/>
    <w:rsid w:val="002442BC"/>
    <w:rsid w:val="00244483"/>
    <w:rsid w:val="00244EAD"/>
    <w:rsid w:val="00244ED6"/>
    <w:rsid w:val="00245125"/>
    <w:rsid w:val="002455C9"/>
    <w:rsid w:val="00245810"/>
    <w:rsid w:val="0024618A"/>
    <w:rsid w:val="00246452"/>
    <w:rsid w:val="002469AB"/>
    <w:rsid w:val="00250130"/>
    <w:rsid w:val="00250384"/>
    <w:rsid w:val="00250450"/>
    <w:rsid w:val="002512C4"/>
    <w:rsid w:val="0025188B"/>
    <w:rsid w:val="00251C9B"/>
    <w:rsid w:val="00252326"/>
    <w:rsid w:val="00252575"/>
    <w:rsid w:val="00252943"/>
    <w:rsid w:val="00252C29"/>
    <w:rsid w:val="00252EB6"/>
    <w:rsid w:val="00252FE0"/>
    <w:rsid w:val="0025330E"/>
    <w:rsid w:val="00253356"/>
    <w:rsid w:val="002534A5"/>
    <w:rsid w:val="00253952"/>
    <w:rsid w:val="002539DB"/>
    <w:rsid w:val="00253EF7"/>
    <w:rsid w:val="002561D5"/>
    <w:rsid w:val="00256366"/>
    <w:rsid w:val="002573D0"/>
    <w:rsid w:val="0025743A"/>
    <w:rsid w:val="00257623"/>
    <w:rsid w:val="002576B0"/>
    <w:rsid w:val="0025780A"/>
    <w:rsid w:val="0026090E"/>
    <w:rsid w:val="00260A6B"/>
    <w:rsid w:val="0026111A"/>
    <w:rsid w:val="00261556"/>
    <w:rsid w:val="00261A46"/>
    <w:rsid w:val="00261D13"/>
    <w:rsid w:val="002620DE"/>
    <w:rsid w:val="00262226"/>
    <w:rsid w:val="00262AE1"/>
    <w:rsid w:val="00262B81"/>
    <w:rsid w:val="002630A0"/>
    <w:rsid w:val="002630ED"/>
    <w:rsid w:val="00263289"/>
    <w:rsid w:val="00263A65"/>
    <w:rsid w:val="00263A66"/>
    <w:rsid w:val="00263E0B"/>
    <w:rsid w:val="00263FAE"/>
    <w:rsid w:val="00264006"/>
    <w:rsid w:val="002640FE"/>
    <w:rsid w:val="00264266"/>
    <w:rsid w:val="0026437D"/>
    <w:rsid w:val="002645AF"/>
    <w:rsid w:val="0026477E"/>
    <w:rsid w:val="00264DDD"/>
    <w:rsid w:val="00264F08"/>
    <w:rsid w:val="00265888"/>
    <w:rsid w:val="0026623F"/>
    <w:rsid w:val="002666F0"/>
    <w:rsid w:val="00266704"/>
    <w:rsid w:val="00266807"/>
    <w:rsid w:val="002669F0"/>
    <w:rsid w:val="00266DB1"/>
    <w:rsid w:val="002670D5"/>
    <w:rsid w:val="00267212"/>
    <w:rsid w:val="00267EEA"/>
    <w:rsid w:val="00267F45"/>
    <w:rsid w:val="00270061"/>
    <w:rsid w:val="002707C4"/>
    <w:rsid w:val="00271631"/>
    <w:rsid w:val="00271AE7"/>
    <w:rsid w:val="00271EE3"/>
    <w:rsid w:val="0027203C"/>
    <w:rsid w:val="002725F2"/>
    <w:rsid w:val="00272BE2"/>
    <w:rsid w:val="00272DA2"/>
    <w:rsid w:val="00272F1B"/>
    <w:rsid w:val="0027350D"/>
    <w:rsid w:val="00274041"/>
    <w:rsid w:val="00274114"/>
    <w:rsid w:val="0027491D"/>
    <w:rsid w:val="00275147"/>
    <w:rsid w:val="00275197"/>
    <w:rsid w:val="00275453"/>
    <w:rsid w:val="0027557F"/>
    <w:rsid w:val="00275A4E"/>
    <w:rsid w:val="00276558"/>
    <w:rsid w:val="00276764"/>
    <w:rsid w:val="002768BB"/>
    <w:rsid w:val="00277438"/>
    <w:rsid w:val="002777A7"/>
    <w:rsid w:val="00277F26"/>
    <w:rsid w:val="002807A9"/>
    <w:rsid w:val="002807DF"/>
    <w:rsid w:val="00280AF2"/>
    <w:rsid w:val="00280CD4"/>
    <w:rsid w:val="00280CE0"/>
    <w:rsid w:val="00280FEA"/>
    <w:rsid w:val="002813FB"/>
    <w:rsid w:val="00281774"/>
    <w:rsid w:val="002819D3"/>
    <w:rsid w:val="00281FA5"/>
    <w:rsid w:val="002820F4"/>
    <w:rsid w:val="00282174"/>
    <w:rsid w:val="002825EA"/>
    <w:rsid w:val="00282A27"/>
    <w:rsid w:val="00283490"/>
    <w:rsid w:val="00283A51"/>
    <w:rsid w:val="00283A6F"/>
    <w:rsid w:val="00283D16"/>
    <w:rsid w:val="00283F30"/>
    <w:rsid w:val="00284AB9"/>
    <w:rsid w:val="00284AC2"/>
    <w:rsid w:val="002852EF"/>
    <w:rsid w:val="002852F9"/>
    <w:rsid w:val="002854B4"/>
    <w:rsid w:val="002858F7"/>
    <w:rsid w:val="0028590A"/>
    <w:rsid w:val="00285F43"/>
    <w:rsid w:val="00287896"/>
    <w:rsid w:val="0029006E"/>
    <w:rsid w:val="0029066F"/>
    <w:rsid w:val="00292069"/>
    <w:rsid w:val="00292CC8"/>
    <w:rsid w:val="00292EAA"/>
    <w:rsid w:val="00292F01"/>
    <w:rsid w:val="002932C2"/>
    <w:rsid w:val="00293674"/>
    <w:rsid w:val="002938D8"/>
    <w:rsid w:val="00293916"/>
    <w:rsid w:val="00293AEC"/>
    <w:rsid w:val="00293BD3"/>
    <w:rsid w:val="0029499A"/>
    <w:rsid w:val="002949F4"/>
    <w:rsid w:val="00294DA1"/>
    <w:rsid w:val="00295487"/>
    <w:rsid w:val="00295772"/>
    <w:rsid w:val="00295CE9"/>
    <w:rsid w:val="0029620A"/>
    <w:rsid w:val="00296384"/>
    <w:rsid w:val="002966D3"/>
    <w:rsid w:val="002968EA"/>
    <w:rsid w:val="00296D90"/>
    <w:rsid w:val="002979A0"/>
    <w:rsid w:val="00297C5C"/>
    <w:rsid w:val="002A0936"/>
    <w:rsid w:val="002A09A4"/>
    <w:rsid w:val="002A0A55"/>
    <w:rsid w:val="002A0B6A"/>
    <w:rsid w:val="002A0C31"/>
    <w:rsid w:val="002A13C4"/>
    <w:rsid w:val="002A1FE7"/>
    <w:rsid w:val="002A22B6"/>
    <w:rsid w:val="002A268A"/>
    <w:rsid w:val="002A2AC7"/>
    <w:rsid w:val="002A2B5B"/>
    <w:rsid w:val="002A31C7"/>
    <w:rsid w:val="002A34EB"/>
    <w:rsid w:val="002A387F"/>
    <w:rsid w:val="002A3E45"/>
    <w:rsid w:val="002A3EB2"/>
    <w:rsid w:val="002A45EA"/>
    <w:rsid w:val="002A48AA"/>
    <w:rsid w:val="002A4B4B"/>
    <w:rsid w:val="002A52BA"/>
    <w:rsid w:val="002A5881"/>
    <w:rsid w:val="002A5CEA"/>
    <w:rsid w:val="002A6AD3"/>
    <w:rsid w:val="002A6F41"/>
    <w:rsid w:val="002A7155"/>
    <w:rsid w:val="002A7408"/>
    <w:rsid w:val="002A75D5"/>
    <w:rsid w:val="002A7629"/>
    <w:rsid w:val="002A7718"/>
    <w:rsid w:val="002A7909"/>
    <w:rsid w:val="002A7A28"/>
    <w:rsid w:val="002A7B29"/>
    <w:rsid w:val="002A7D5A"/>
    <w:rsid w:val="002B0A6A"/>
    <w:rsid w:val="002B1E0F"/>
    <w:rsid w:val="002B20AD"/>
    <w:rsid w:val="002B235A"/>
    <w:rsid w:val="002B2508"/>
    <w:rsid w:val="002B26B9"/>
    <w:rsid w:val="002B2B34"/>
    <w:rsid w:val="002B3A40"/>
    <w:rsid w:val="002B3DEB"/>
    <w:rsid w:val="002B3E7F"/>
    <w:rsid w:val="002B564C"/>
    <w:rsid w:val="002B5C16"/>
    <w:rsid w:val="002B66D1"/>
    <w:rsid w:val="002B68C7"/>
    <w:rsid w:val="002B6C20"/>
    <w:rsid w:val="002B7074"/>
    <w:rsid w:val="002B713E"/>
    <w:rsid w:val="002B77ED"/>
    <w:rsid w:val="002B78F3"/>
    <w:rsid w:val="002B7ADF"/>
    <w:rsid w:val="002B7C7D"/>
    <w:rsid w:val="002C0098"/>
    <w:rsid w:val="002C0128"/>
    <w:rsid w:val="002C0286"/>
    <w:rsid w:val="002C039B"/>
    <w:rsid w:val="002C05B7"/>
    <w:rsid w:val="002C066C"/>
    <w:rsid w:val="002C08D2"/>
    <w:rsid w:val="002C0CE0"/>
    <w:rsid w:val="002C1599"/>
    <w:rsid w:val="002C1905"/>
    <w:rsid w:val="002C2465"/>
    <w:rsid w:val="002C2816"/>
    <w:rsid w:val="002C28CF"/>
    <w:rsid w:val="002C2904"/>
    <w:rsid w:val="002C341E"/>
    <w:rsid w:val="002C34A9"/>
    <w:rsid w:val="002C3BAF"/>
    <w:rsid w:val="002C3C10"/>
    <w:rsid w:val="002C4029"/>
    <w:rsid w:val="002C4183"/>
    <w:rsid w:val="002C4338"/>
    <w:rsid w:val="002C4A11"/>
    <w:rsid w:val="002C4AB6"/>
    <w:rsid w:val="002C4DA3"/>
    <w:rsid w:val="002C4DA8"/>
    <w:rsid w:val="002C511C"/>
    <w:rsid w:val="002C55F7"/>
    <w:rsid w:val="002C56DC"/>
    <w:rsid w:val="002C5DB2"/>
    <w:rsid w:val="002C6133"/>
    <w:rsid w:val="002C63E9"/>
    <w:rsid w:val="002C6A58"/>
    <w:rsid w:val="002C6D18"/>
    <w:rsid w:val="002C74B7"/>
    <w:rsid w:val="002C7D1B"/>
    <w:rsid w:val="002C7F7D"/>
    <w:rsid w:val="002D005C"/>
    <w:rsid w:val="002D04D9"/>
    <w:rsid w:val="002D08DB"/>
    <w:rsid w:val="002D0D2B"/>
    <w:rsid w:val="002D152A"/>
    <w:rsid w:val="002D15B0"/>
    <w:rsid w:val="002D1820"/>
    <w:rsid w:val="002D1BE6"/>
    <w:rsid w:val="002D1EB6"/>
    <w:rsid w:val="002D21D0"/>
    <w:rsid w:val="002D299B"/>
    <w:rsid w:val="002D29C9"/>
    <w:rsid w:val="002D2D68"/>
    <w:rsid w:val="002D384C"/>
    <w:rsid w:val="002D4597"/>
    <w:rsid w:val="002D4761"/>
    <w:rsid w:val="002D4792"/>
    <w:rsid w:val="002D482F"/>
    <w:rsid w:val="002D4A35"/>
    <w:rsid w:val="002D4ACF"/>
    <w:rsid w:val="002D4ED9"/>
    <w:rsid w:val="002D52BD"/>
    <w:rsid w:val="002D5B22"/>
    <w:rsid w:val="002D6363"/>
    <w:rsid w:val="002D7A4F"/>
    <w:rsid w:val="002D7D99"/>
    <w:rsid w:val="002D7F98"/>
    <w:rsid w:val="002E015C"/>
    <w:rsid w:val="002E047B"/>
    <w:rsid w:val="002E1029"/>
    <w:rsid w:val="002E1203"/>
    <w:rsid w:val="002E12D4"/>
    <w:rsid w:val="002E1406"/>
    <w:rsid w:val="002E1678"/>
    <w:rsid w:val="002E1C19"/>
    <w:rsid w:val="002E216A"/>
    <w:rsid w:val="002E2D30"/>
    <w:rsid w:val="002E32D7"/>
    <w:rsid w:val="002E3894"/>
    <w:rsid w:val="002E39E0"/>
    <w:rsid w:val="002E3DB7"/>
    <w:rsid w:val="002E4079"/>
    <w:rsid w:val="002E4111"/>
    <w:rsid w:val="002E4774"/>
    <w:rsid w:val="002E480D"/>
    <w:rsid w:val="002E48C0"/>
    <w:rsid w:val="002E4E1F"/>
    <w:rsid w:val="002E59C4"/>
    <w:rsid w:val="002E5D4C"/>
    <w:rsid w:val="002E5E29"/>
    <w:rsid w:val="002E6630"/>
    <w:rsid w:val="002E6B55"/>
    <w:rsid w:val="002E6D2D"/>
    <w:rsid w:val="002E752C"/>
    <w:rsid w:val="002E75C8"/>
    <w:rsid w:val="002E79E5"/>
    <w:rsid w:val="002E7CA6"/>
    <w:rsid w:val="002E7FAD"/>
    <w:rsid w:val="002E7FE7"/>
    <w:rsid w:val="002F03D9"/>
    <w:rsid w:val="002F0697"/>
    <w:rsid w:val="002F0C49"/>
    <w:rsid w:val="002F11D9"/>
    <w:rsid w:val="002F12E6"/>
    <w:rsid w:val="002F1495"/>
    <w:rsid w:val="002F1A3F"/>
    <w:rsid w:val="002F1EFF"/>
    <w:rsid w:val="002F208E"/>
    <w:rsid w:val="002F2391"/>
    <w:rsid w:val="002F24AC"/>
    <w:rsid w:val="002F24BC"/>
    <w:rsid w:val="002F26E9"/>
    <w:rsid w:val="002F2B36"/>
    <w:rsid w:val="002F306F"/>
    <w:rsid w:val="002F3BCD"/>
    <w:rsid w:val="002F3BF7"/>
    <w:rsid w:val="002F42AA"/>
    <w:rsid w:val="002F44AA"/>
    <w:rsid w:val="002F46E7"/>
    <w:rsid w:val="002F4793"/>
    <w:rsid w:val="002F47C3"/>
    <w:rsid w:val="002F4E80"/>
    <w:rsid w:val="002F5179"/>
    <w:rsid w:val="002F5455"/>
    <w:rsid w:val="002F5568"/>
    <w:rsid w:val="002F5933"/>
    <w:rsid w:val="002F5E7C"/>
    <w:rsid w:val="002F5F0C"/>
    <w:rsid w:val="002F60D9"/>
    <w:rsid w:val="002F6BF0"/>
    <w:rsid w:val="002F6F9D"/>
    <w:rsid w:val="002F75E6"/>
    <w:rsid w:val="002F76FC"/>
    <w:rsid w:val="002F79EE"/>
    <w:rsid w:val="002F7CEF"/>
    <w:rsid w:val="002F7E38"/>
    <w:rsid w:val="0030002E"/>
    <w:rsid w:val="003009A3"/>
    <w:rsid w:val="00300B21"/>
    <w:rsid w:val="00300CFA"/>
    <w:rsid w:val="00301A8C"/>
    <w:rsid w:val="00301D60"/>
    <w:rsid w:val="00301DAE"/>
    <w:rsid w:val="00301F4A"/>
    <w:rsid w:val="003024AE"/>
    <w:rsid w:val="00302B47"/>
    <w:rsid w:val="00302B84"/>
    <w:rsid w:val="00302D42"/>
    <w:rsid w:val="00303054"/>
    <w:rsid w:val="00303857"/>
    <w:rsid w:val="00303BB8"/>
    <w:rsid w:val="0030482C"/>
    <w:rsid w:val="00304B64"/>
    <w:rsid w:val="00304BD6"/>
    <w:rsid w:val="00304EC3"/>
    <w:rsid w:val="0030510A"/>
    <w:rsid w:val="00305A08"/>
    <w:rsid w:val="00305BBA"/>
    <w:rsid w:val="00305C7B"/>
    <w:rsid w:val="003065FF"/>
    <w:rsid w:val="00306841"/>
    <w:rsid w:val="003069AC"/>
    <w:rsid w:val="00306E9D"/>
    <w:rsid w:val="003074D7"/>
    <w:rsid w:val="00307505"/>
    <w:rsid w:val="00307F5F"/>
    <w:rsid w:val="003100DC"/>
    <w:rsid w:val="003102F6"/>
    <w:rsid w:val="00310363"/>
    <w:rsid w:val="003104EC"/>
    <w:rsid w:val="00311892"/>
    <w:rsid w:val="00311D14"/>
    <w:rsid w:val="00311ED7"/>
    <w:rsid w:val="00312487"/>
    <w:rsid w:val="00313668"/>
    <w:rsid w:val="003138A2"/>
    <w:rsid w:val="00314656"/>
    <w:rsid w:val="0031472C"/>
    <w:rsid w:val="003148B8"/>
    <w:rsid w:val="00314FD0"/>
    <w:rsid w:val="003160E7"/>
    <w:rsid w:val="0031611F"/>
    <w:rsid w:val="00316B8E"/>
    <w:rsid w:val="0031702D"/>
    <w:rsid w:val="0031742C"/>
    <w:rsid w:val="00317729"/>
    <w:rsid w:val="0031779D"/>
    <w:rsid w:val="00317C1B"/>
    <w:rsid w:val="00317C3D"/>
    <w:rsid w:val="00317D9A"/>
    <w:rsid w:val="00317E48"/>
    <w:rsid w:val="00317F24"/>
    <w:rsid w:val="00320603"/>
    <w:rsid w:val="0032078C"/>
    <w:rsid w:val="003208CF"/>
    <w:rsid w:val="00320DE6"/>
    <w:rsid w:val="0032106C"/>
    <w:rsid w:val="003212C6"/>
    <w:rsid w:val="00321BA8"/>
    <w:rsid w:val="00321EE0"/>
    <w:rsid w:val="00321EEF"/>
    <w:rsid w:val="00321FE3"/>
    <w:rsid w:val="0032238D"/>
    <w:rsid w:val="003226CA"/>
    <w:rsid w:val="00322A4E"/>
    <w:rsid w:val="00322B2D"/>
    <w:rsid w:val="00322C09"/>
    <w:rsid w:val="00322DD1"/>
    <w:rsid w:val="00322EB9"/>
    <w:rsid w:val="00322FCF"/>
    <w:rsid w:val="0032345B"/>
    <w:rsid w:val="00323A56"/>
    <w:rsid w:val="00323DA3"/>
    <w:rsid w:val="00323F6A"/>
    <w:rsid w:val="003242D8"/>
    <w:rsid w:val="0032430C"/>
    <w:rsid w:val="00324D7D"/>
    <w:rsid w:val="00325497"/>
    <w:rsid w:val="003255B9"/>
    <w:rsid w:val="00325B1B"/>
    <w:rsid w:val="00325C8F"/>
    <w:rsid w:val="00325E1D"/>
    <w:rsid w:val="00326137"/>
    <w:rsid w:val="0032639A"/>
    <w:rsid w:val="0032673F"/>
    <w:rsid w:val="0032675C"/>
    <w:rsid w:val="003268B9"/>
    <w:rsid w:val="00326B5C"/>
    <w:rsid w:val="003273B7"/>
    <w:rsid w:val="00327764"/>
    <w:rsid w:val="003278D8"/>
    <w:rsid w:val="00327B6E"/>
    <w:rsid w:val="00330436"/>
    <w:rsid w:val="00330B24"/>
    <w:rsid w:val="00331318"/>
    <w:rsid w:val="00331345"/>
    <w:rsid w:val="00331595"/>
    <w:rsid w:val="003317B9"/>
    <w:rsid w:val="00331998"/>
    <w:rsid w:val="0033211A"/>
    <w:rsid w:val="00332356"/>
    <w:rsid w:val="003324A9"/>
    <w:rsid w:val="003326AA"/>
    <w:rsid w:val="00332C16"/>
    <w:rsid w:val="00332F27"/>
    <w:rsid w:val="003336B2"/>
    <w:rsid w:val="0033385F"/>
    <w:rsid w:val="00333CBD"/>
    <w:rsid w:val="00333D67"/>
    <w:rsid w:val="00334437"/>
    <w:rsid w:val="003345ED"/>
    <w:rsid w:val="00334716"/>
    <w:rsid w:val="00334937"/>
    <w:rsid w:val="00334AE4"/>
    <w:rsid w:val="00334C4B"/>
    <w:rsid w:val="00334DC7"/>
    <w:rsid w:val="003352F9"/>
    <w:rsid w:val="00335717"/>
    <w:rsid w:val="003357AA"/>
    <w:rsid w:val="0033589C"/>
    <w:rsid w:val="003359CA"/>
    <w:rsid w:val="00335D5E"/>
    <w:rsid w:val="00336023"/>
    <w:rsid w:val="00336317"/>
    <w:rsid w:val="0033672F"/>
    <w:rsid w:val="00336C0D"/>
    <w:rsid w:val="00336F20"/>
    <w:rsid w:val="00337584"/>
    <w:rsid w:val="003376EB"/>
    <w:rsid w:val="0033782F"/>
    <w:rsid w:val="00337F82"/>
    <w:rsid w:val="003407BE"/>
    <w:rsid w:val="003407F2"/>
    <w:rsid w:val="00340A22"/>
    <w:rsid w:val="003412BF"/>
    <w:rsid w:val="00341322"/>
    <w:rsid w:val="0034165C"/>
    <w:rsid w:val="00341E2B"/>
    <w:rsid w:val="00341FB2"/>
    <w:rsid w:val="00341FE2"/>
    <w:rsid w:val="003421BA"/>
    <w:rsid w:val="0034243D"/>
    <w:rsid w:val="00342589"/>
    <w:rsid w:val="00342D51"/>
    <w:rsid w:val="0034305D"/>
    <w:rsid w:val="0034312C"/>
    <w:rsid w:val="00343176"/>
    <w:rsid w:val="003440DC"/>
    <w:rsid w:val="00344784"/>
    <w:rsid w:val="003447FB"/>
    <w:rsid w:val="00344800"/>
    <w:rsid w:val="0034487D"/>
    <w:rsid w:val="00344F76"/>
    <w:rsid w:val="00345E22"/>
    <w:rsid w:val="00345E39"/>
    <w:rsid w:val="00345F7B"/>
    <w:rsid w:val="0034609E"/>
    <w:rsid w:val="0034625B"/>
    <w:rsid w:val="0034689E"/>
    <w:rsid w:val="003469A6"/>
    <w:rsid w:val="00346C11"/>
    <w:rsid w:val="003474BA"/>
    <w:rsid w:val="003500AA"/>
    <w:rsid w:val="003502E5"/>
    <w:rsid w:val="00350456"/>
    <w:rsid w:val="0035063E"/>
    <w:rsid w:val="00350845"/>
    <w:rsid w:val="00350B2A"/>
    <w:rsid w:val="00350F02"/>
    <w:rsid w:val="00350F2D"/>
    <w:rsid w:val="00351293"/>
    <w:rsid w:val="00351359"/>
    <w:rsid w:val="003516C1"/>
    <w:rsid w:val="00351726"/>
    <w:rsid w:val="00351CB0"/>
    <w:rsid w:val="00351CF7"/>
    <w:rsid w:val="00351DEC"/>
    <w:rsid w:val="00352303"/>
    <w:rsid w:val="003526FD"/>
    <w:rsid w:val="003527F4"/>
    <w:rsid w:val="00352D3F"/>
    <w:rsid w:val="003533A8"/>
    <w:rsid w:val="00353414"/>
    <w:rsid w:val="00353425"/>
    <w:rsid w:val="003535EA"/>
    <w:rsid w:val="0035381C"/>
    <w:rsid w:val="00353A04"/>
    <w:rsid w:val="00353D89"/>
    <w:rsid w:val="00354826"/>
    <w:rsid w:val="00355273"/>
    <w:rsid w:val="00355533"/>
    <w:rsid w:val="0035594B"/>
    <w:rsid w:val="00355CFD"/>
    <w:rsid w:val="00357B0B"/>
    <w:rsid w:val="00357BF8"/>
    <w:rsid w:val="00357C93"/>
    <w:rsid w:val="0036018A"/>
    <w:rsid w:val="003601B8"/>
    <w:rsid w:val="00360402"/>
    <w:rsid w:val="003609B0"/>
    <w:rsid w:val="003609D3"/>
    <w:rsid w:val="00360A4F"/>
    <w:rsid w:val="00360D9B"/>
    <w:rsid w:val="00360F77"/>
    <w:rsid w:val="0036121C"/>
    <w:rsid w:val="0036239C"/>
    <w:rsid w:val="0036298C"/>
    <w:rsid w:val="00362A00"/>
    <w:rsid w:val="00362A64"/>
    <w:rsid w:val="00362A89"/>
    <w:rsid w:val="00362BA0"/>
    <w:rsid w:val="00362DF3"/>
    <w:rsid w:val="00362E4D"/>
    <w:rsid w:val="0036318F"/>
    <w:rsid w:val="00363802"/>
    <w:rsid w:val="00363B80"/>
    <w:rsid w:val="00363D6D"/>
    <w:rsid w:val="00363FD5"/>
    <w:rsid w:val="0036400D"/>
    <w:rsid w:val="003640A8"/>
    <w:rsid w:val="00364B81"/>
    <w:rsid w:val="00365072"/>
    <w:rsid w:val="00365713"/>
    <w:rsid w:val="003657EE"/>
    <w:rsid w:val="00365A55"/>
    <w:rsid w:val="003669CD"/>
    <w:rsid w:val="003669EF"/>
    <w:rsid w:val="00366DCD"/>
    <w:rsid w:val="003670CE"/>
    <w:rsid w:val="003672A2"/>
    <w:rsid w:val="003700E5"/>
    <w:rsid w:val="00370214"/>
    <w:rsid w:val="00370BDA"/>
    <w:rsid w:val="0037109B"/>
    <w:rsid w:val="0037141D"/>
    <w:rsid w:val="00371932"/>
    <w:rsid w:val="00371952"/>
    <w:rsid w:val="00371A67"/>
    <w:rsid w:val="00371B1C"/>
    <w:rsid w:val="00372264"/>
    <w:rsid w:val="0037242F"/>
    <w:rsid w:val="003725E0"/>
    <w:rsid w:val="003728FC"/>
    <w:rsid w:val="00372A5D"/>
    <w:rsid w:val="00372D0D"/>
    <w:rsid w:val="00373014"/>
    <w:rsid w:val="00373426"/>
    <w:rsid w:val="003743FB"/>
    <w:rsid w:val="00374472"/>
    <w:rsid w:val="003744A7"/>
    <w:rsid w:val="00374738"/>
    <w:rsid w:val="003748FC"/>
    <w:rsid w:val="00374E42"/>
    <w:rsid w:val="00375442"/>
    <w:rsid w:val="0037546B"/>
    <w:rsid w:val="00375E5E"/>
    <w:rsid w:val="00375F54"/>
    <w:rsid w:val="00375F8E"/>
    <w:rsid w:val="00376225"/>
    <w:rsid w:val="00376236"/>
    <w:rsid w:val="003766F2"/>
    <w:rsid w:val="00376D1C"/>
    <w:rsid w:val="003771EF"/>
    <w:rsid w:val="003774F5"/>
    <w:rsid w:val="00377728"/>
    <w:rsid w:val="00377908"/>
    <w:rsid w:val="00377BB0"/>
    <w:rsid w:val="00377C58"/>
    <w:rsid w:val="00380FD2"/>
    <w:rsid w:val="00381B23"/>
    <w:rsid w:val="003824FB"/>
    <w:rsid w:val="003825C6"/>
    <w:rsid w:val="0038290D"/>
    <w:rsid w:val="0038298A"/>
    <w:rsid w:val="00382ECA"/>
    <w:rsid w:val="003836FD"/>
    <w:rsid w:val="003838C6"/>
    <w:rsid w:val="0038416B"/>
    <w:rsid w:val="00384AD6"/>
    <w:rsid w:val="00384CFB"/>
    <w:rsid w:val="0038527B"/>
    <w:rsid w:val="003857CE"/>
    <w:rsid w:val="00385FFA"/>
    <w:rsid w:val="00386284"/>
    <w:rsid w:val="00386511"/>
    <w:rsid w:val="00386BC6"/>
    <w:rsid w:val="00386EB7"/>
    <w:rsid w:val="00386EF9"/>
    <w:rsid w:val="00387063"/>
    <w:rsid w:val="00387073"/>
    <w:rsid w:val="0038773A"/>
    <w:rsid w:val="00387DC4"/>
    <w:rsid w:val="003909D6"/>
    <w:rsid w:val="00390BEA"/>
    <w:rsid w:val="00390D7A"/>
    <w:rsid w:val="003913EB"/>
    <w:rsid w:val="00391528"/>
    <w:rsid w:val="00391705"/>
    <w:rsid w:val="00391C66"/>
    <w:rsid w:val="00391E79"/>
    <w:rsid w:val="003920B3"/>
    <w:rsid w:val="00392358"/>
    <w:rsid w:val="00392394"/>
    <w:rsid w:val="003923D6"/>
    <w:rsid w:val="00392798"/>
    <w:rsid w:val="00392CDD"/>
    <w:rsid w:val="00393307"/>
    <w:rsid w:val="003935F7"/>
    <w:rsid w:val="0039363A"/>
    <w:rsid w:val="00393FBD"/>
    <w:rsid w:val="00394222"/>
    <w:rsid w:val="00394818"/>
    <w:rsid w:val="00394E4A"/>
    <w:rsid w:val="00395514"/>
    <w:rsid w:val="00395727"/>
    <w:rsid w:val="003958EC"/>
    <w:rsid w:val="003964B6"/>
    <w:rsid w:val="003965FA"/>
    <w:rsid w:val="00396A37"/>
    <w:rsid w:val="00396D2C"/>
    <w:rsid w:val="0039738B"/>
    <w:rsid w:val="00397E6D"/>
    <w:rsid w:val="00397F27"/>
    <w:rsid w:val="003A04DB"/>
    <w:rsid w:val="003A09FD"/>
    <w:rsid w:val="003A0C4B"/>
    <w:rsid w:val="003A19B6"/>
    <w:rsid w:val="003A20FF"/>
    <w:rsid w:val="003A2A56"/>
    <w:rsid w:val="003A316B"/>
    <w:rsid w:val="003A334C"/>
    <w:rsid w:val="003A33A9"/>
    <w:rsid w:val="003A37F8"/>
    <w:rsid w:val="003A3A7E"/>
    <w:rsid w:val="003A449F"/>
    <w:rsid w:val="003A49FB"/>
    <w:rsid w:val="003A5152"/>
    <w:rsid w:val="003A51A7"/>
    <w:rsid w:val="003A5288"/>
    <w:rsid w:val="003A54A1"/>
    <w:rsid w:val="003A54D3"/>
    <w:rsid w:val="003A55A5"/>
    <w:rsid w:val="003A56D2"/>
    <w:rsid w:val="003A58BB"/>
    <w:rsid w:val="003A5C6F"/>
    <w:rsid w:val="003A601B"/>
    <w:rsid w:val="003A61A8"/>
    <w:rsid w:val="003A69A1"/>
    <w:rsid w:val="003A766B"/>
    <w:rsid w:val="003A78EF"/>
    <w:rsid w:val="003A7B5C"/>
    <w:rsid w:val="003A7CC8"/>
    <w:rsid w:val="003A7E21"/>
    <w:rsid w:val="003B0237"/>
    <w:rsid w:val="003B0371"/>
    <w:rsid w:val="003B0D98"/>
    <w:rsid w:val="003B0E1B"/>
    <w:rsid w:val="003B1040"/>
    <w:rsid w:val="003B1286"/>
    <w:rsid w:val="003B1E13"/>
    <w:rsid w:val="003B2413"/>
    <w:rsid w:val="003B28F0"/>
    <w:rsid w:val="003B2BAF"/>
    <w:rsid w:val="003B38C8"/>
    <w:rsid w:val="003B3ECA"/>
    <w:rsid w:val="003B417F"/>
    <w:rsid w:val="003B47E3"/>
    <w:rsid w:val="003B4AA3"/>
    <w:rsid w:val="003B5291"/>
    <w:rsid w:val="003B588E"/>
    <w:rsid w:val="003B593F"/>
    <w:rsid w:val="003B5D99"/>
    <w:rsid w:val="003B5F66"/>
    <w:rsid w:val="003B6530"/>
    <w:rsid w:val="003B65CE"/>
    <w:rsid w:val="003B6917"/>
    <w:rsid w:val="003B7035"/>
    <w:rsid w:val="003B70AE"/>
    <w:rsid w:val="003B7408"/>
    <w:rsid w:val="003B746F"/>
    <w:rsid w:val="003B799C"/>
    <w:rsid w:val="003B7E88"/>
    <w:rsid w:val="003C0296"/>
    <w:rsid w:val="003C03A0"/>
    <w:rsid w:val="003C0513"/>
    <w:rsid w:val="003C0611"/>
    <w:rsid w:val="003C0FCB"/>
    <w:rsid w:val="003C1438"/>
    <w:rsid w:val="003C15C4"/>
    <w:rsid w:val="003C160A"/>
    <w:rsid w:val="003C176B"/>
    <w:rsid w:val="003C1915"/>
    <w:rsid w:val="003C1963"/>
    <w:rsid w:val="003C1A51"/>
    <w:rsid w:val="003C258B"/>
    <w:rsid w:val="003C2A54"/>
    <w:rsid w:val="003C2CCC"/>
    <w:rsid w:val="003C360F"/>
    <w:rsid w:val="003C36DE"/>
    <w:rsid w:val="003C3B44"/>
    <w:rsid w:val="003C3CD6"/>
    <w:rsid w:val="003C3E5A"/>
    <w:rsid w:val="003C3E9E"/>
    <w:rsid w:val="003C4296"/>
    <w:rsid w:val="003C42F0"/>
    <w:rsid w:val="003C47A2"/>
    <w:rsid w:val="003C4C3E"/>
    <w:rsid w:val="003C50C6"/>
    <w:rsid w:val="003C527C"/>
    <w:rsid w:val="003C59D1"/>
    <w:rsid w:val="003C5DC0"/>
    <w:rsid w:val="003C5EA0"/>
    <w:rsid w:val="003C63F7"/>
    <w:rsid w:val="003C647F"/>
    <w:rsid w:val="003C64EE"/>
    <w:rsid w:val="003C6ABB"/>
    <w:rsid w:val="003C6C9B"/>
    <w:rsid w:val="003C6FBF"/>
    <w:rsid w:val="003C7487"/>
    <w:rsid w:val="003C761D"/>
    <w:rsid w:val="003D0772"/>
    <w:rsid w:val="003D0CE5"/>
    <w:rsid w:val="003D0F32"/>
    <w:rsid w:val="003D1769"/>
    <w:rsid w:val="003D17DA"/>
    <w:rsid w:val="003D1BE3"/>
    <w:rsid w:val="003D216C"/>
    <w:rsid w:val="003D2B78"/>
    <w:rsid w:val="003D2DBE"/>
    <w:rsid w:val="003D3410"/>
    <w:rsid w:val="003D384B"/>
    <w:rsid w:val="003D416E"/>
    <w:rsid w:val="003D4508"/>
    <w:rsid w:val="003D4C20"/>
    <w:rsid w:val="003D4EB3"/>
    <w:rsid w:val="003D52F3"/>
    <w:rsid w:val="003D550D"/>
    <w:rsid w:val="003D55BF"/>
    <w:rsid w:val="003D614C"/>
    <w:rsid w:val="003D6483"/>
    <w:rsid w:val="003D65E6"/>
    <w:rsid w:val="003D66F0"/>
    <w:rsid w:val="003D67F8"/>
    <w:rsid w:val="003D6896"/>
    <w:rsid w:val="003D68A9"/>
    <w:rsid w:val="003D6B99"/>
    <w:rsid w:val="003D6EC8"/>
    <w:rsid w:val="003D70C0"/>
    <w:rsid w:val="003D713A"/>
    <w:rsid w:val="003D71B3"/>
    <w:rsid w:val="003D78D6"/>
    <w:rsid w:val="003D7A9E"/>
    <w:rsid w:val="003E0359"/>
    <w:rsid w:val="003E08A4"/>
    <w:rsid w:val="003E0954"/>
    <w:rsid w:val="003E0EEA"/>
    <w:rsid w:val="003E0F1D"/>
    <w:rsid w:val="003E13BA"/>
    <w:rsid w:val="003E20B5"/>
    <w:rsid w:val="003E22E3"/>
    <w:rsid w:val="003E2C2C"/>
    <w:rsid w:val="003E2EAC"/>
    <w:rsid w:val="003E3432"/>
    <w:rsid w:val="003E3820"/>
    <w:rsid w:val="003E4528"/>
    <w:rsid w:val="003E49ED"/>
    <w:rsid w:val="003E4B65"/>
    <w:rsid w:val="003E4D15"/>
    <w:rsid w:val="003E4D83"/>
    <w:rsid w:val="003E5062"/>
    <w:rsid w:val="003E52BA"/>
    <w:rsid w:val="003E5462"/>
    <w:rsid w:val="003E6038"/>
    <w:rsid w:val="003E6064"/>
    <w:rsid w:val="003E6764"/>
    <w:rsid w:val="003E7154"/>
    <w:rsid w:val="003E7B9A"/>
    <w:rsid w:val="003E7BAE"/>
    <w:rsid w:val="003F0267"/>
    <w:rsid w:val="003F0694"/>
    <w:rsid w:val="003F0E10"/>
    <w:rsid w:val="003F1053"/>
    <w:rsid w:val="003F111B"/>
    <w:rsid w:val="003F15FE"/>
    <w:rsid w:val="003F1773"/>
    <w:rsid w:val="003F2024"/>
    <w:rsid w:val="003F21D1"/>
    <w:rsid w:val="003F22D0"/>
    <w:rsid w:val="003F247E"/>
    <w:rsid w:val="003F2B9A"/>
    <w:rsid w:val="003F30C7"/>
    <w:rsid w:val="003F34EC"/>
    <w:rsid w:val="003F36D6"/>
    <w:rsid w:val="003F3ACC"/>
    <w:rsid w:val="003F3F2C"/>
    <w:rsid w:val="003F40AE"/>
    <w:rsid w:val="003F41C4"/>
    <w:rsid w:val="003F477F"/>
    <w:rsid w:val="003F4D92"/>
    <w:rsid w:val="003F5730"/>
    <w:rsid w:val="003F59C1"/>
    <w:rsid w:val="003F673B"/>
    <w:rsid w:val="003F6C39"/>
    <w:rsid w:val="003F6FE1"/>
    <w:rsid w:val="003F710F"/>
    <w:rsid w:val="003F7538"/>
    <w:rsid w:val="003F782A"/>
    <w:rsid w:val="003F797E"/>
    <w:rsid w:val="003F7F68"/>
    <w:rsid w:val="00400234"/>
    <w:rsid w:val="00400802"/>
    <w:rsid w:val="00400BAA"/>
    <w:rsid w:val="00400C99"/>
    <w:rsid w:val="00400D9A"/>
    <w:rsid w:val="00400E08"/>
    <w:rsid w:val="00400E96"/>
    <w:rsid w:val="00401210"/>
    <w:rsid w:val="00401271"/>
    <w:rsid w:val="00401842"/>
    <w:rsid w:val="00401A42"/>
    <w:rsid w:val="00401E54"/>
    <w:rsid w:val="00402269"/>
    <w:rsid w:val="00402821"/>
    <w:rsid w:val="0040304F"/>
    <w:rsid w:val="00403121"/>
    <w:rsid w:val="004032E0"/>
    <w:rsid w:val="00403739"/>
    <w:rsid w:val="004037F8"/>
    <w:rsid w:val="00403AAC"/>
    <w:rsid w:val="00403ADF"/>
    <w:rsid w:val="00403BCA"/>
    <w:rsid w:val="00404494"/>
    <w:rsid w:val="00404EA2"/>
    <w:rsid w:val="00404F56"/>
    <w:rsid w:val="00405307"/>
    <w:rsid w:val="00405E36"/>
    <w:rsid w:val="00406140"/>
    <w:rsid w:val="00406397"/>
    <w:rsid w:val="004064F6"/>
    <w:rsid w:val="00406CC8"/>
    <w:rsid w:val="00406DB8"/>
    <w:rsid w:val="00406E88"/>
    <w:rsid w:val="00407404"/>
    <w:rsid w:val="00407B17"/>
    <w:rsid w:val="004102BC"/>
    <w:rsid w:val="00410313"/>
    <w:rsid w:val="004108A0"/>
    <w:rsid w:val="0041230A"/>
    <w:rsid w:val="00412351"/>
    <w:rsid w:val="004123A9"/>
    <w:rsid w:val="004124E8"/>
    <w:rsid w:val="00412BC0"/>
    <w:rsid w:val="00412EF6"/>
    <w:rsid w:val="00413A2D"/>
    <w:rsid w:val="00414244"/>
    <w:rsid w:val="004145C3"/>
    <w:rsid w:val="00414736"/>
    <w:rsid w:val="00414947"/>
    <w:rsid w:val="0041511A"/>
    <w:rsid w:val="004152AE"/>
    <w:rsid w:val="004158B6"/>
    <w:rsid w:val="00415C56"/>
    <w:rsid w:val="00416027"/>
    <w:rsid w:val="004162DB"/>
    <w:rsid w:val="004163FB"/>
    <w:rsid w:val="004167FB"/>
    <w:rsid w:val="00416DB0"/>
    <w:rsid w:val="00417E53"/>
    <w:rsid w:val="0042086D"/>
    <w:rsid w:val="00420D6F"/>
    <w:rsid w:val="0042126B"/>
    <w:rsid w:val="0042133D"/>
    <w:rsid w:val="004215CA"/>
    <w:rsid w:val="0042161A"/>
    <w:rsid w:val="0042185C"/>
    <w:rsid w:val="0042233E"/>
    <w:rsid w:val="00422470"/>
    <w:rsid w:val="0042253A"/>
    <w:rsid w:val="00422F37"/>
    <w:rsid w:val="004231B0"/>
    <w:rsid w:val="004234A8"/>
    <w:rsid w:val="004238F9"/>
    <w:rsid w:val="004239D1"/>
    <w:rsid w:val="00423BDE"/>
    <w:rsid w:val="00424092"/>
    <w:rsid w:val="00424E07"/>
    <w:rsid w:val="00425B4E"/>
    <w:rsid w:val="00425BCA"/>
    <w:rsid w:val="00425BE3"/>
    <w:rsid w:val="00425DF2"/>
    <w:rsid w:val="00425EB6"/>
    <w:rsid w:val="00425F87"/>
    <w:rsid w:val="00426D7B"/>
    <w:rsid w:val="00426F92"/>
    <w:rsid w:val="0042791E"/>
    <w:rsid w:val="00427E06"/>
    <w:rsid w:val="00427F63"/>
    <w:rsid w:val="004302CC"/>
    <w:rsid w:val="00430E78"/>
    <w:rsid w:val="004314FE"/>
    <w:rsid w:val="00431881"/>
    <w:rsid w:val="004319B3"/>
    <w:rsid w:val="00431E06"/>
    <w:rsid w:val="00431E36"/>
    <w:rsid w:val="00431EDA"/>
    <w:rsid w:val="00431FEE"/>
    <w:rsid w:val="00432091"/>
    <w:rsid w:val="0043224B"/>
    <w:rsid w:val="00432682"/>
    <w:rsid w:val="00432830"/>
    <w:rsid w:val="00432BF5"/>
    <w:rsid w:val="0043317C"/>
    <w:rsid w:val="0043346D"/>
    <w:rsid w:val="0043352D"/>
    <w:rsid w:val="00433567"/>
    <w:rsid w:val="00433E77"/>
    <w:rsid w:val="004345BF"/>
    <w:rsid w:val="00434CCA"/>
    <w:rsid w:val="00435940"/>
    <w:rsid w:val="00435E47"/>
    <w:rsid w:val="0043665A"/>
    <w:rsid w:val="00436696"/>
    <w:rsid w:val="00436A1C"/>
    <w:rsid w:val="00436E7E"/>
    <w:rsid w:val="0043784B"/>
    <w:rsid w:val="00437F89"/>
    <w:rsid w:val="0044007C"/>
    <w:rsid w:val="0044057F"/>
    <w:rsid w:val="00440A29"/>
    <w:rsid w:val="00440B6B"/>
    <w:rsid w:val="00441289"/>
    <w:rsid w:val="0044173B"/>
    <w:rsid w:val="004419A8"/>
    <w:rsid w:val="00441F5D"/>
    <w:rsid w:val="004420CB"/>
    <w:rsid w:val="00442303"/>
    <w:rsid w:val="004425D0"/>
    <w:rsid w:val="00442773"/>
    <w:rsid w:val="00442B28"/>
    <w:rsid w:val="00443230"/>
    <w:rsid w:val="004433B1"/>
    <w:rsid w:val="00443A9C"/>
    <w:rsid w:val="004449EA"/>
    <w:rsid w:val="0044516D"/>
    <w:rsid w:val="0044548B"/>
    <w:rsid w:val="0044582A"/>
    <w:rsid w:val="00445AA7"/>
    <w:rsid w:val="00445BAE"/>
    <w:rsid w:val="00445C20"/>
    <w:rsid w:val="00445C7E"/>
    <w:rsid w:val="00445E0B"/>
    <w:rsid w:val="00445E10"/>
    <w:rsid w:val="004465BF"/>
    <w:rsid w:val="0044705D"/>
    <w:rsid w:val="004470C4"/>
    <w:rsid w:val="00447520"/>
    <w:rsid w:val="004477D6"/>
    <w:rsid w:val="00447EB6"/>
    <w:rsid w:val="00450428"/>
    <w:rsid w:val="004505B3"/>
    <w:rsid w:val="0045070C"/>
    <w:rsid w:val="00450834"/>
    <w:rsid w:val="00450AF3"/>
    <w:rsid w:val="00450ED2"/>
    <w:rsid w:val="00451537"/>
    <w:rsid w:val="00451969"/>
    <w:rsid w:val="00451AFC"/>
    <w:rsid w:val="00451C38"/>
    <w:rsid w:val="004527E2"/>
    <w:rsid w:val="004528DE"/>
    <w:rsid w:val="004529A7"/>
    <w:rsid w:val="004529D6"/>
    <w:rsid w:val="00452EB0"/>
    <w:rsid w:val="00453354"/>
    <w:rsid w:val="00453365"/>
    <w:rsid w:val="00453677"/>
    <w:rsid w:val="004539F5"/>
    <w:rsid w:val="00453FD6"/>
    <w:rsid w:val="00453FE9"/>
    <w:rsid w:val="0045454F"/>
    <w:rsid w:val="00454636"/>
    <w:rsid w:val="00454DC0"/>
    <w:rsid w:val="00454F14"/>
    <w:rsid w:val="0045512C"/>
    <w:rsid w:val="004557E0"/>
    <w:rsid w:val="0045593D"/>
    <w:rsid w:val="00455B0C"/>
    <w:rsid w:val="00455D88"/>
    <w:rsid w:val="00455FA6"/>
    <w:rsid w:val="0045631A"/>
    <w:rsid w:val="00456C08"/>
    <w:rsid w:val="00457131"/>
    <w:rsid w:val="00457173"/>
    <w:rsid w:val="00457A28"/>
    <w:rsid w:val="00457C83"/>
    <w:rsid w:val="00457CD6"/>
    <w:rsid w:val="00460167"/>
    <w:rsid w:val="00460320"/>
    <w:rsid w:val="004606FA"/>
    <w:rsid w:val="00460702"/>
    <w:rsid w:val="0046077E"/>
    <w:rsid w:val="00460851"/>
    <w:rsid w:val="00460B0B"/>
    <w:rsid w:val="00460C67"/>
    <w:rsid w:val="00460CC5"/>
    <w:rsid w:val="00460D53"/>
    <w:rsid w:val="0046106D"/>
    <w:rsid w:val="0046159C"/>
    <w:rsid w:val="00461EA7"/>
    <w:rsid w:val="0046200F"/>
    <w:rsid w:val="0046220B"/>
    <w:rsid w:val="00462343"/>
    <w:rsid w:val="00462673"/>
    <w:rsid w:val="00462948"/>
    <w:rsid w:val="00462D20"/>
    <w:rsid w:val="004631A0"/>
    <w:rsid w:val="004631D9"/>
    <w:rsid w:val="00463351"/>
    <w:rsid w:val="0046337D"/>
    <w:rsid w:val="00463C36"/>
    <w:rsid w:val="0046462D"/>
    <w:rsid w:val="004648B1"/>
    <w:rsid w:val="0046562D"/>
    <w:rsid w:val="0046569E"/>
    <w:rsid w:val="00465AE1"/>
    <w:rsid w:val="00465B35"/>
    <w:rsid w:val="00465D7C"/>
    <w:rsid w:val="00465D88"/>
    <w:rsid w:val="00465E4F"/>
    <w:rsid w:val="00465F38"/>
    <w:rsid w:val="00465F81"/>
    <w:rsid w:val="0046647A"/>
    <w:rsid w:val="004670C6"/>
    <w:rsid w:val="0046731A"/>
    <w:rsid w:val="004673F5"/>
    <w:rsid w:val="00467489"/>
    <w:rsid w:val="00467974"/>
    <w:rsid w:val="00467B87"/>
    <w:rsid w:val="0047013F"/>
    <w:rsid w:val="0047093D"/>
    <w:rsid w:val="004709C2"/>
    <w:rsid w:val="00471280"/>
    <w:rsid w:val="004715C0"/>
    <w:rsid w:val="0047189E"/>
    <w:rsid w:val="00471AF0"/>
    <w:rsid w:val="00471C7E"/>
    <w:rsid w:val="00472631"/>
    <w:rsid w:val="00472A32"/>
    <w:rsid w:val="00472C7E"/>
    <w:rsid w:val="00472CFA"/>
    <w:rsid w:val="00472EC4"/>
    <w:rsid w:val="00472ED3"/>
    <w:rsid w:val="00473574"/>
    <w:rsid w:val="00474187"/>
    <w:rsid w:val="004741F1"/>
    <w:rsid w:val="0047472C"/>
    <w:rsid w:val="004748F1"/>
    <w:rsid w:val="004749CD"/>
    <w:rsid w:val="00475184"/>
    <w:rsid w:val="00475212"/>
    <w:rsid w:val="00475538"/>
    <w:rsid w:val="0047681C"/>
    <w:rsid w:val="00476851"/>
    <w:rsid w:val="00476C5D"/>
    <w:rsid w:val="004771F7"/>
    <w:rsid w:val="0047797A"/>
    <w:rsid w:val="00477BD1"/>
    <w:rsid w:val="00477FE2"/>
    <w:rsid w:val="0048074B"/>
    <w:rsid w:val="00480D39"/>
    <w:rsid w:val="00481086"/>
    <w:rsid w:val="00481688"/>
    <w:rsid w:val="00481EE6"/>
    <w:rsid w:val="0048228E"/>
    <w:rsid w:val="00482399"/>
    <w:rsid w:val="0048247C"/>
    <w:rsid w:val="004827C1"/>
    <w:rsid w:val="00482E16"/>
    <w:rsid w:val="00482E75"/>
    <w:rsid w:val="004831A2"/>
    <w:rsid w:val="00483BEB"/>
    <w:rsid w:val="0048410E"/>
    <w:rsid w:val="004845A1"/>
    <w:rsid w:val="00484A8A"/>
    <w:rsid w:val="00484DAA"/>
    <w:rsid w:val="00484EA7"/>
    <w:rsid w:val="00484FEF"/>
    <w:rsid w:val="0048510B"/>
    <w:rsid w:val="00485564"/>
    <w:rsid w:val="00485612"/>
    <w:rsid w:val="004856F9"/>
    <w:rsid w:val="00485A72"/>
    <w:rsid w:val="00486001"/>
    <w:rsid w:val="00486947"/>
    <w:rsid w:val="00486A65"/>
    <w:rsid w:val="00487059"/>
    <w:rsid w:val="0048778B"/>
    <w:rsid w:val="00487C13"/>
    <w:rsid w:val="00490104"/>
    <w:rsid w:val="004901B0"/>
    <w:rsid w:val="00490576"/>
    <w:rsid w:val="00490A69"/>
    <w:rsid w:val="00490D1D"/>
    <w:rsid w:val="00490DED"/>
    <w:rsid w:val="00490E51"/>
    <w:rsid w:val="00490F72"/>
    <w:rsid w:val="00491255"/>
    <w:rsid w:val="00491814"/>
    <w:rsid w:val="0049184A"/>
    <w:rsid w:val="00491CEB"/>
    <w:rsid w:val="0049224E"/>
    <w:rsid w:val="00492352"/>
    <w:rsid w:val="004927A0"/>
    <w:rsid w:val="004927E8"/>
    <w:rsid w:val="0049290C"/>
    <w:rsid w:val="00492BA1"/>
    <w:rsid w:val="0049328C"/>
    <w:rsid w:val="004934C1"/>
    <w:rsid w:val="00493510"/>
    <w:rsid w:val="00493648"/>
    <w:rsid w:val="00493CCF"/>
    <w:rsid w:val="00493E46"/>
    <w:rsid w:val="0049441F"/>
    <w:rsid w:val="0049464F"/>
    <w:rsid w:val="004946C0"/>
    <w:rsid w:val="00495097"/>
    <w:rsid w:val="004957B8"/>
    <w:rsid w:val="004959FC"/>
    <w:rsid w:val="00495CC3"/>
    <w:rsid w:val="00496C5A"/>
    <w:rsid w:val="0049744D"/>
    <w:rsid w:val="004979EA"/>
    <w:rsid w:val="00497AE9"/>
    <w:rsid w:val="004A02E1"/>
    <w:rsid w:val="004A0B2F"/>
    <w:rsid w:val="004A0B55"/>
    <w:rsid w:val="004A0B63"/>
    <w:rsid w:val="004A1B43"/>
    <w:rsid w:val="004A2142"/>
    <w:rsid w:val="004A2599"/>
    <w:rsid w:val="004A3236"/>
    <w:rsid w:val="004A33A1"/>
    <w:rsid w:val="004A3788"/>
    <w:rsid w:val="004A3F78"/>
    <w:rsid w:val="004A536B"/>
    <w:rsid w:val="004A5929"/>
    <w:rsid w:val="004A593E"/>
    <w:rsid w:val="004A5BA9"/>
    <w:rsid w:val="004A62C5"/>
    <w:rsid w:val="004A6958"/>
    <w:rsid w:val="004A697F"/>
    <w:rsid w:val="004A6988"/>
    <w:rsid w:val="004A6A60"/>
    <w:rsid w:val="004A6AA8"/>
    <w:rsid w:val="004A6CB9"/>
    <w:rsid w:val="004A6FFB"/>
    <w:rsid w:val="004A78B8"/>
    <w:rsid w:val="004A7A37"/>
    <w:rsid w:val="004B012C"/>
    <w:rsid w:val="004B0461"/>
    <w:rsid w:val="004B0656"/>
    <w:rsid w:val="004B080F"/>
    <w:rsid w:val="004B084B"/>
    <w:rsid w:val="004B0CFE"/>
    <w:rsid w:val="004B111A"/>
    <w:rsid w:val="004B1296"/>
    <w:rsid w:val="004B13A0"/>
    <w:rsid w:val="004B155F"/>
    <w:rsid w:val="004B2568"/>
    <w:rsid w:val="004B2A09"/>
    <w:rsid w:val="004B2ACE"/>
    <w:rsid w:val="004B3003"/>
    <w:rsid w:val="004B30C3"/>
    <w:rsid w:val="004B3210"/>
    <w:rsid w:val="004B345E"/>
    <w:rsid w:val="004B38D6"/>
    <w:rsid w:val="004B398E"/>
    <w:rsid w:val="004B3FC9"/>
    <w:rsid w:val="004B419C"/>
    <w:rsid w:val="004B42C1"/>
    <w:rsid w:val="004B4B0E"/>
    <w:rsid w:val="004B4F49"/>
    <w:rsid w:val="004B53C0"/>
    <w:rsid w:val="004B556B"/>
    <w:rsid w:val="004B5570"/>
    <w:rsid w:val="004B59FB"/>
    <w:rsid w:val="004B5D5F"/>
    <w:rsid w:val="004B6941"/>
    <w:rsid w:val="004B6A89"/>
    <w:rsid w:val="004B6B75"/>
    <w:rsid w:val="004B6BD7"/>
    <w:rsid w:val="004B73E1"/>
    <w:rsid w:val="004B7640"/>
    <w:rsid w:val="004B76F7"/>
    <w:rsid w:val="004B77FF"/>
    <w:rsid w:val="004B78CD"/>
    <w:rsid w:val="004B7F16"/>
    <w:rsid w:val="004C00E7"/>
    <w:rsid w:val="004C0749"/>
    <w:rsid w:val="004C0986"/>
    <w:rsid w:val="004C098F"/>
    <w:rsid w:val="004C0D03"/>
    <w:rsid w:val="004C1077"/>
    <w:rsid w:val="004C1600"/>
    <w:rsid w:val="004C161D"/>
    <w:rsid w:val="004C1A91"/>
    <w:rsid w:val="004C1CC8"/>
    <w:rsid w:val="004C2028"/>
    <w:rsid w:val="004C219C"/>
    <w:rsid w:val="004C2237"/>
    <w:rsid w:val="004C2335"/>
    <w:rsid w:val="004C2385"/>
    <w:rsid w:val="004C23E8"/>
    <w:rsid w:val="004C26C8"/>
    <w:rsid w:val="004C2BEA"/>
    <w:rsid w:val="004C34F4"/>
    <w:rsid w:val="004C38DF"/>
    <w:rsid w:val="004C3C98"/>
    <w:rsid w:val="004C3F05"/>
    <w:rsid w:val="004C4293"/>
    <w:rsid w:val="004C42C3"/>
    <w:rsid w:val="004C484D"/>
    <w:rsid w:val="004C4B51"/>
    <w:rsid w:val="004C50C4"/>
    <w:rsid w:val="004C5422"/>
    <w:rsid w:val="004C5453"/>
    <w:rsid w:val="004C572E"/>
    <w:rsid w:val="004C6568"/>
    <w:rsid w:val="004C665F"/>
    <w:rsid w:val="004C6675"/>
    <w:rsid w:val="004C6947"/>
    <w:rsid w:val="004C6F61"/>
    <w:rsid w:val="004C7065"/>
    <w:rsid w:val="004C74C8"/>
    <w:rsid w:val="004C7DA8"/>
    <w:rsid w:val="004C7DD2"/>
    <w:rsid w:val="004D0393"/>
    <w:rsid w:val="004D09E5"/>
    <w:rsid w:val="004D0C4A"/>
    <w:rsid w:val="004D0C7D"/>
    <w:rsid w:val="004D107A"/>
    <w:rsid w:val="004D15C5"/>
    <w:rsid w:val="004D1B5D"/>
    <w:rsid w:val="004D1F2C"/>
    <w:rsid w:val="004D213D"/>
    <w:rsid w:val="004D215A"/>
    <w:rsid w:val="004D248B"/>
    <w:rsid w:val="004D286A"/>
    <w:rsid w:val="004D28DC"/>
    <w:rsid w:val="004D2909"/>
    <w:rsid w:val="004D2AAC"/>
    <w:rsid w:val="004D2DFC"/>
    <w:rsid w:val="004D33B2"/>
    <w:rsid w:val="004D3660"/>
    <w:rsid w:val="004D3AC2"/>
    <w:rsid w:val="004D3B8D"/>
    <w:rsid w:val="004D3EB2"/>
    <w:rsid w:val="004D3EDE"/>
    <w:rsid w:val="004D3FE1"/>
    <w:rsid w:val="004D492C"/>
    <w:rsid w:val="004D5051"/>
    <w:rsid w:val="004D52F5"/>
    <w:rsid w:val="004D5633"/>
    <w:rsid w:val="004D5735"/>
    <w:rsid w:val="004D5A3A"/>
    <w:rsid w:val="004D5B38"/>
    <w:rsid w:val="004D5BBE"/>
    <w:rsid w:val="004D61A6"/>
    <w:rsid w:val="004D61DB"/>
    <w:rsid w:val="004D625F"/>
    <w:rsid w:val="004D6432"/>
    <w:rsid w:val="004D6631"/>
    <w:rsid w:val="004D66D2"/>
    <w:rsid w:val="004D6BE5"/>
    <w:rsid w:val="004D6F9A"/>
    <w:rsid w:val="004D70C4"/>
    <w:rsid w:val="004D7464"/>
    <w:rsid w:val="004D7471"/>
    <w:rsid w:val="004D7584"/>
    <w:rsid w:val="004D78C6"/>
    <w:rsid w:val="004D7AC7"/>
    <w:rsid w:val="004E02C6"/>
    <w:rsid w:val="004E0361"/>
    <w:rsid w:val="004E04EF"/>
    <w:rsid w:val="004E0919"/>
    <w:rsid w:val="004E0AD9"/>
    <w:rsid w:val="004E0B60"/>
    <w:rsid w:val="004E1708"/>
    <w:rsid w:val="004E1F23"/>
    <w:rsid w:val="004E22E7"/>
    <w:rsid w:val="004E27F8"/>
    <w:rsid w:val="004E2936"/>
    <w:rsid w:val="004E2982"/>
    <w:rsid w:val="004E2B57"/>
    <w:rsid w:val="004E2C39"/>
    <w:rsid w:val="004E330B"/>
    <w:rsid w:val="004E35C6"/>
    <w:rsid w:val="004E37DE"/>
    <w:rsid w:val="004E43E8"/>
    <w:rsid w:val="004E465E"/>
    <w:rsid w:val="004E48E6"/>
    <w:rsid w:val="004E5025"/>
    <w:rsid w:val="004E513F"/>
    <w:rsid w:val="004E5396"/>
    <w:rsid w:val="004E5E5F"/>
    <w:rsid w:val="004E622C"/>
    <w:rsid w:val="004E629D"/>
    <w:rsid w:val="004E6541"/>
    <w:rsid w:val="004E6D2D"/>
    <w:rsid w:val="004E70B7"/>
    <w:rsid w:val="004E750F"/>
    <w:rsid w:val="004E7A58"/>
    <w:rsid w:val="004E7D0D"/>
    <w:rsid w:val="004E7E08"/>
    <w:rsid w:val="004F04BE"/>
    <w:rsid w:val="004F0B6A"/>
    <w:rsid w:val="004F0D19"/>
    <w:rsid w:val="004F134F"/>
    <w:rsid w:val="004F1453"/>
    <w:rsid w:val="004F152D"/>
    <w:rsid w:val="004F1801"/>
    <w:rsid w:val="004F191E"/>
    <w:rsid w:val="004F1939"/>
    <w:rsid w:val="004F1A6B"/>
    <w:rsid w:val="004F1C65"/>
    <w:rsid w:val="004F1DC2"/>
    <w:rsid w:val="004F2B20"/>
    <w:rsid w:val="004F321E"/>
    <w:rsid w:val="004F373C"/>
    <w:rsid w:val="004F4103"/>
    <w:rsid w:val="004F4303"/>
    <w:rsid w:val="004F4B15"/>
    <w:rsid w:val="004F4B73"/>
    <w:rsid w:val="004F5101"/>
    <w:rsid w:val="004F5541"/>
    <w:rsid w:val="004F5580"/>
    <w:rsid w:val="004F57F0"/>
    <w:rsid w:val="004F5982"/>
    <w:rsid w:val="004F59FE"/>
    <w:rsid w:val="004F5A25"/>
    <w:rsid w:val="004F5A2D"/>
    <w:rsid w:val="004F5AC0"/>
    <w:rsid w:val="004F5C19"/>
    <w:rsid w:val="004F60F5"/>
    <w:rsid w:val="004F68F6"/>
    <w:rsid w:val="004F6E21"/>
    <w:rsid w:val="004F79A5"/>
    <w:rsid w:val="004F79F1"/>
    <w:rsid w:val="004F7D2B"/>
    <w:rsid w:val="004F7E8D"/>
    <w:rsid w:val="0050082B"/>
    <w:rsid w:val="00500857"/>
    <w:rsid w:val="00501769"/>
    <w:rsid w:val="00501B87"/>
    <w:rsid w:val="00501DC5"/>
    <w:rsid w:val="00501E47"/>
    <w:rsid w:val="0050208D"/>
    <w:rsid w:val="005023B6"/>
    <w:rsid w:val="00502D05"/>
    <w:rsid w:val="00503402"/>
    <w:rsid w:val="0050366A"/>
    <w:rsid w:val="0050396C"/>
    <w:rsid w:val="00503BEF"/>
    <w:rsid w:val="0050407F"/>
    <w:rsid w:val="005040F6"/>
    <w:rsid w:val="005042E9"/>
    <w:rsid w:val="00504463"/>
    <w:rsid w:val="00504822"/>
    <w:rsid w:val="00504C71"/>
    <w:rsid w:val="00504E76"/>
    <w:rsid w:val="00504F3B"/>
    <w:rsid w:val="005055A9"/>
    <w:rsid w:val="00505AE5"/>
    <w:rsid w:val="0050615D"/>
    <w:rsid w:val="00506D99"/>
    <w:rsid w:val="00506F26"/>
    <w:rsid w:val="00507006"/>
    <w:rsid w:val="00507132"/>
    <w:rsid w:val="00507B5C"/>
    <w:rsid w:val="00510ADD"/>
    <w:rsid w:val="00510B17"/>
    <w:rsid w:val="00511071"/>
    <w:rsid w:val="00511201"/>
    <w:rsid w:val="00511524"/>
    <w:rsid w:val="005115D6"/>
    <w:rsid w:val="00512038"/>
    <w:rsid w:val="005129DA"/>
    <w:rsid w:val="005129F4"/>
    <w:rsid w:val="00512EFB"/>
    <w:rsid w:val="005130A7"/>
    <w:rsid w:val="00513392"/>
    <w:rsid w:val="00513718"/>
    <w:rsid w:val="00513A8A"/>
    <w:rsid w:val="00513D56"/>
    <w:rsid w:val="00513E03"/>
    <w:rsid w:val="0051430A"/>
    <w:rsid w:val="00514632"/>
    <w:rsid w:val="00514B11"/>
    <w:rsid w:val="005154B4"/>
    <w:rsid w:val="0051553F"/>
    <w:rsid w:val="00515955"/>
    <w:rsid w:val="00515D04"/>
    <w:rsid w:val="00515FDC"/>
    <w:rsid w:val="005162B7"/>
    <w:rsid w:val="00516A02"/>
    <w:rsid w:val="00516CE5"/>
    <w:rsid w:val="00517B6B"/>
    <w:rsid w:val="00517FEB"/>
    <w:rsid w:val="0052048B"/>
    <w:rsid w:val="005205D7"/>
    <w:rsid w:val="00520CCE"/>
    <w:rsid w:val="00520DC2"/>
    <w:rsid w:val="00521146"/>
    <w:rsid w:val="005212C8"/>
    <w:rsid w:val="005218D4"/>
    <w:rsid w:val="00521A1E"/>
    <w:rsid w:val="00521C85"/>
    <w:rsid w:val="00523153"/>
    <w:rsid w:val="00523523"/>
    <w:rsid w:val="00523584"/>
    <w:rsid w:val="00523AC1"/>
    <w:rsid w:val="00523B32"/>
    <w:rsid w:val="00523E70"/>
    <w:rsid w:val="00524364"/>
    <w:rsid w:val="005247C2"/>
    <w:rsid w:val="0052499C"/>
    <w:rsid w:val="00524A1D"/>
    <w:rsid w:val="00524A96"/>
    <w:rsid w:val="005255C1"/>
    <w:rsid w:val="00525A13"/>
    <w:rsid w:val="00525A3E"/>
    <w:rsid w:val="00526144"/>
    <w:rsid w:val="00526305"/>
    <w:rsid w:val="00526918"/>
    <w:rsid w:val="0052699B"/>
    <w:rsid w:val="00526A92"/>
    <w:rsid w:val="00527885"/>
    <w:rsid w:val="005300E2"/>
    <w:rsid w:val="005308C8"/>
    <w:rsid w:val="00530E19"/>
    <w:rsid w:val="00530F3B"/>
    <w:rsid w:val="00531214"/>
    <w:rsid w:val="00531632"/>
    <w:rsid w:val="00531B3D"/>
    <w:rsid w:val="00531C43"/>
    <w:rsid w:val="00531ECB"/>
    <w:rsid w:val="00531EF8"/>
    <w:rsid w:val="0053249B"/>
    <w:rsid w:val="005328DB"/>
    <w:rsid w:val="00532AB2"/>
    <w:rsid w:val="00532B09"/>
    <w:rsid w:val="0053310B"/>
    <w:rsid w:val="00533532"/>
    <w:rsid w:val="005339F4"/>
    <w:rsid w:val="00533A69"/>
    <w:rsid w:val="00533B07"/>
    <w:rsid w:val="00533B97"/>
    <w:rsid w:val="00533EFF"/>
    <w:rsid w:val="0053403E"/>
    <w:rsid w:val="00534655"/>
    <w:rsid w:val="0053465E"/>
    <w:rsid w:val="00534D8A"/>
    <w:rsid w:val="00535538"/>
    <w:rsid w:val="005355CB"/>
    <w:rsid w:val="005358A6"/>
    <w:rsid w:val="00536087"/>
    <w:rsid w:val="00536505"/>
    <w:rsid w:val="005370A3"/>
    <w:rsid w:val="00537140"/>
    <w:rsid w:val="00537522"/>
    <w:rsid w:val="00537E70"/>
    <w:rsid w:val="00537F97"/>
    <w:rsid w:val="00537FFD"/>
    <w:rsid w:val="00540766"/>
    <w:rsid w:val="00540817"/>
    <w:rsid w:val="00540842"/>
    <w:rsid w:val="00540AD9"/>
    <w:rsid w:val="00540C18"/>
    <w:rsid w:val="00541065"/>
    <w:rsid w:val="00541329"/>
    <w:rsid w:val="0054137A"/>
    <w:rsid w:val="00541458"/>
    <w:rsid w:val="0054150E"/>
    <w:rsid w:val="005416E5"/>
    <w:rsid w:val="00541948"/>
    <w:rsid w:val="00541B7E"/>
    <w:rsid w:val="00541E9C"/>
    <w:rsid w:val="0054221E"/>
    <w:rsid w:val="00542494"/>
    <w:rsid w:val="00542FF7"/>
    <w:rsid w:val="00543642"/>
    <w:rsid w:val="00543BA8"/>
    <w:rsid w:val="00544038"/>
    <w:rsid w:val="00544772"/>
    <w:rsid w:val="00544F8E"/>
    <w:rsid w:val="005450BE"/>
    <w:rsid w:val="00545583"/>
    <w:rsid w:val="00545910"/>
    <w:rsid w:val="0054648D"/>
    <w:rsid w:val="00546ABA"/>
    <w:rsid w:val="00546EA4"/>
    <w:rsid w:val="00546FF9"/>
    <w:rsid w:val="005472B2"/>
    <w:rsid w:val="00547B7D"/>
    <w:rsid w:val="00547CB5"/>
    <w:rsid w:val="00547D42"/>
    <w:rsid w:val="0055029F"/>
    <w:rsid w:val="00550300"/>
    <w:rsid w:val="00550432"/>
    <w:rsid w:val="00550CE6"/>
    <w:rsid w:val="00551135"/>
    <w:rsid w:val="005511E2"/>
    <w:rsid w:val="0055144B"/>
    <w:rsid w:val="00551756"/>
    <w:rsid w:val="00551E93"/>
    <w:rsid w:val="00551F4B"/>
    <w:rsid w:val="00552035"/>
    <w:rsid w:val="00552196"/>
    <w:rsid w:val="00552206"/>
    <w:rsid w:val="00552EBC"/>
    <w:rsid w:val="00552ED8"/>
    <w:rsid w:val="005532D8"/>
    <w:rsid w:val="00553A5F"/>
    <w:rsid w:val="00553BA7"/>
    <w:rsid w:val="005544EF"/>
    <w:rsid w:val="005549E3"/>
    <w:rsid w:val="00554AE3"/>
    <w:rsid w:val="00554D6C"/>
    <w:rsid w:val="00555CA2"/>
    <w:rsid w:val="00555E6F"/>
    <w:rsid w:val="00555F5B"/>
    <w:rsid w:val="0055633D"/>
    <w:rsid w:val="0055668B"/>
    <w:rsid w:val="00556749"/>
    <w:rsid w:val="0055674E"/>
    <w:rsid w:val="00556CCC"/>
    <w:rsid w:val="00556CE9"/>
    <w:rsid w:val="00556FD6"/>
    <w:rsid w:val="00557034"/>
    <w:rsid w:val="00557072"/>
    <w:rsid w:val="00557201"/>
    <w:rsid w:val="00557D30"/>
    <w:rsid w:val="005600C6"/>
    <w:rsid w:val="00560217"/>
    <w:rsid w:val="0056061D"/>
    <w:rsid w:val="0056088F"/>
    <w:rsid w:val="00560BBE"/>
    <w:rsid w:val="00561612"/>
    <w:rsid w:val="00561B41"/>
    <w:rsid w:val="005623A6"/>
    <w:rsid w:val="00562BAA"/>
    <w:rsid w:val="005635CC"/>
    <w:rsid w:val="005636AA"/>
    <w:rsid w:val="00564448"/>
    <w:rsid w:val="00564A91"/>
    <w:rsid w:val="00564BE5"/>
    <w:rsid w:val="00564C8D"/>
    <w:rsid w:val="005654B2"/>
    <w:rsid w:val="0056564B"/>
    <w:rsid w:val="005656A0"/>
    <w:rsid w:val="0056595B"/>
    <w:rsid w:val="00565A9C"/>
    <w:rsid w:val="00565FC6"/>
    <w:rsid w:val="00566832"/>
    <w:rsid w:val="00566C5A"/>
    <w:rsid w:val="005672CA"/>
    <w:rsid w:val="005673D4"/>
    <w:rsid w:val="005677FC"/>
    <w:rsid w:val="00567927"/>
    <w:rsid w:val="00567B67"/>
    <w:rsid w:val="00567FCB"/>
    <w:rsid w:val="00570164"/>
    <w:rsid w:val="00570380"/>
    <w:rsid w:val="00570516"/>
    <w:rsid w:val="0057066C"/>
    <w:rsid w:val="00570F74"/>
    <w:rsid w:val="00571200"/>
    <w:rsid w:val="0057133F"/>
    <w:rsid w:val="00571BDC"/>
    <w:rsid w:val="00571C9C"/>
    <w:rsid w:val="00571DA7"/>
    <w:rsid w:val="00571F55"/>
    <w:rsid w:val="00571F5F"/>
    <w:rsid w:val="0057226D"/>
    <w:rsid w:val="00572444"/>
    <w:rsid w:val="005725DE"/>
    <w:rsid w:val="005727C8"/>
    <w:rsid w:val="005729C8"/>
    <w:rsid w:val="00572ACA"/>
    <w:rsid w:val="00572D81"/>
    <w:rsid w:val="00573C16"/>
    <w:rsid w:val="005744AA"/>
    <w:rsid w:val="00574818"/>
    <w:rsid w:val="0057493E"/>
    <w:rsid w:val="00574DE0"/>
    <w:rsid w:val="00574F5A"/>
    <w:rsid w:val="00575011"/>
    <w:rsid w:val="00575213"/>
    <w:rsid w:val="0057531C"/>
    <w:rsid w:val="00575819"/>
    <w:rsid w:val="00575C71"/>
    <w:rsid w:val="00575DBA"/>
    <w:rsid w:val="005761A7"/>
    <w:rsid w:val="00576969"/>
    <w:rsid w:val="005770B5"/>
    <w:rsid w:val="005776BF"/>
    <w:rsid w:val="00577C07"/>
    <w:rsid w:val="005801B1"/>
    <w:rsid w:val="00580ABC"/>
    <w:rsid w:val="00580AF7"/>
    <w:rsid w:val="00580C26"/>
    <w:rsid w:val="0058163B"/>
    <w:rsid w:val="00581882"/>
    <w:rsid w:val="00581EBD"/>
    <w:rsid w:val="00582320"/>
    <w:rsid w:val="005823C7"/>
    <w:rsid w:val="00582FDF"/>
    <w:rsid w:val="00583860"/>
    <w:rsid w:val="00583BC6"/>
    <w:rsid w:val="005846FC"/>
    <w:rsid w:val="00584876"/>
    <w:rsid w:val="00584E1B"/>
    <w:rsid w:val="00585042"/>
    <w:rsid w:val="0058512B"/>
    <w:rsid w:val="00585417"/>
    <w:rsid w:val="005857FF"/>
    <w:rsid w:val="005858DD"/>
    <w:rsid w:val="00585A1A"/>
    <w:rsid w:val="00585CC7"/>
    <w:rsid w:val="00585CE9"/>
    <w:rsid w:val="005867BD"/>
    <w:rsid w:val="005876C0"/>
    <w:rsid w:val="00587728"/>
    <w:rsid w:val="00587794"/>
    <w:rsid w:val="0058782E"/>
    <w:rsid w:val="00587852"/>
    <w:rsid w:val="00587A7B"/>
    <w:rsid w:val="00587BD0"/>
    <w:rsid w:val="00587C6C"/>
    <w:rsid w:val="00587DDC"/>
    <w:rsid w:val="00590536"/>
    <w:rsid w:val="0059077E"/>
    <w:rsid w:val="00590883"/>
    <w:rsid w:val="00590DB0"/>
    <w:rsid w:val="00591294"/>
    <w:rsid w:val="00591391"/>
    <w:rsid w:val="00592018"/>
    <w:rsid w:val="005924CF"/>
    <w:rsid w:val="00592543"/>
    <w:rsid w:val="00592740"/>
    <w:rsid w:val="0059278A"/>
    <w:rsid w:val="005928B3"/>
    <w:rsid w:val="00592A39"/>
    <w:rsid w:val="00592F82"/>
    <w:rsid w:val="0059311B"/>
    <w:rsid w:val="00593EF5"/>
    <w:rsid w:val="0059418A"/>
    <w:rsid w:val="00594667"/>
    <w:rsid w:val="0059495F"/>
    <w:rsid w:val="00594F62"/>
    <w:rsid w:val="005950BD"/>
    <w:rsid w:val="00595192"/>
    <w:rsid w:val="00595B76"/>
    <w:rsid w:val="00595BF7"/>
    <w:rsid w:val="00595FDC"/>
    <w:rsid w:val="00596B33"/>
    <w:rsid w:val="00596F35"/>
    <w:rsid w:val="00596F76"/>
    <w:rsid w:val="0059725D"/>
    <w:rsid w:val="005976D8"/>
    <w:rsid w:val="0059785E"/>
    <w:rsid w:val="00597BF1"/>
    <w:rsid w:val="005A02B3"/>
    <w:rsid w:val="005A0314"/>
    <w:rsid w:val="005A0874"/>
    <w:rsid w:val="005A08D6"/>
    <w:rsid w:val="005A0906"/>
    <w:rsid w:val="005A0C99"/>
    <w:rsid w:val="005A0EA1"/>
    <w:rsid w:val="005A10E7"/>
    <w:rsid w:val="005A1170"/>
    <w:rsid w:val="005A11F5"/>
    <w:rsid w:val="005A1256"/>
    <w:rsid w:val="005A16CA"/>
    <w:rsid w:val="005A1C32"/>
    <w:rsid w:val="005A1C9A"/>
    <w:rsid w:val="005A1EDC"/>
    <w:rsid w:val="005A2A2E"/>
    <w:rsid w:val="005A2FBA"/>
    <w:rsid w:val="005A3071"/>
    <w:rsid w:val="005A326C"/>
    <w:rsid w:val="005A33E1"/>
    <w:rsid w:val="005A35B4"/>
    <w:rsid w:val="005A3E07"/>
    <w:rsid w:val="005A4422"/>
    <w:rsid w:val="005A4580"/>
    <w:rsid w:val="005A46C7"/>
    <w:rsid w:val="005A4C7D"/>
    <w:rsid w:val="005A4E94"/>
    <w:rsid w:val="005A4F2B"/>
    <w:rsid w:val="005A4FB5"/>
    <w:rsid w:val="005A52E6"/>
    <w:rsid w:val="005A52FC"/>
    <w:rsid w:val="005A5424"/>
    <w:rsid w:val="005A5567"/>
    <w:rsid w:val="005A5853"/>
    <w:rsid w:val="005A618C"/>
    <w:rsid w:val="005A7036"/>
    <w:rsid w:val="005A7051"/>
    <w:rsid w:val="005A73D2"/>
    <w:rsid w:val="005A7804"/>
    <w:rsid w:val="005A7A0A"/>
    <w:rsid w:val="005A7A8D"/>
    <w:rsid w:val="005A7C3E"/>
    <w:rsid w:val="005A7CB3"/>
    <w:rsid w:val="005B058B"/>
    <w:rsid w:val="005B05C5"/>
    <w:rsid w:val="005B093A"/>
    <w:rsid w:val="005B0ECA"/>
    <w:rsid w:val="005B0F6C"/>
    <w:rsid w:val="005B11E8"/>
    <w:rsid w:val="005B1349"/>
    <w:rsid w:val="005B17D8"/>
    <w:rsid w:val="005B1BA7"/>
    <w:rsid w:val="005B1F39"/>
    <w:rsid w:val="005B21B3"/>
    <w:rsid w:val="005B2350"/>
    <w:rsid w:val="005B270C"/>
    <w:rsid w:val="005B2852"/>
    <w:rsid w:val="005B349E"/>
    <w:rsid w:val="005B367C"/>
    <w:rsid w:val="005B3953"/>
    <w:rsid w:val="005B43FD"/>
    <w:rsid w:val="005B4682"/>
    <w:rsid w:val="005B5821"/>
    <w:rsid w:val="005B59DF"/>
    <w:rsid w:val="005B5AC4"/>
    <w:rsid w:val="005B5B58"/>
    <w:rsid w:val="005B6B66"/>
    <w:rsid w:val="005B6E44"/>
    <w:rsid w:val="005B6EAD"/>
    <w:rsid w:val="005B7ADE"/>
    <w:rsid w:val="005C008B"/>
    <w:rsid w:val="005C030D"/>
    <w:rsid w:val="005C0B62"/>
    <w:rsid w:val="005C0D80"/>
    <w:rsid w:val="005C0E00"/>
    <w:rsid w:val="005C1017"/>
    <w:rsid w:val="005C13E8"/>
    <w:rsid w:val="005C1426"/>
    <w:rsid w:val="005C20BD"/>
    <w:rsid w:val="005C27AE"/>
    <w:rsid w:val="005C2AF0"/>
    <w:rsid w:val="005C2CAA"/>
    <w:rsid w:val="005C2D92"/>
    <w:rsid w:val="005C39AC"/>
    <w:rsid w:val="005C3A52"/>
    <w:rsid w:val="005C3E06"/>
    <w:rsid w:val="005C3E2C"/>
    <w:rsid w:val="005C4562"/>
    <w:rsid w:val="005C493E"/>
    <w:rsid w:val="005C4C02"/>
    <w:rsid w:val="005C54F5"/>
    <w:rsid w:val="005C56CB"/>
    <w:rsid w:val="005C56D2"/>
    <w:rsid w:val="005C5714"/>
    <w:rsid w:val="005C597A"/>
    <w:rsid w:val="005C617E"/>
    <w:rsid w:val="005C61D8"/>
    <w:rsid w:val="005C6235"/>
    <w:rsid w:val="005C6AFE"/>
    <w:rsid w:val="005C6D18"/>
    <w:rsid w:val="005C703E"/>
    <w:rsid w:val="005C7202"/>
    <w:rsid w:val="005D02D8"/>
    <w:rsid w:val="005D0658"/>
    <w:rsid w:val="005D0713"/>
    <w:rsid w:val="005D0741"/>
    <w:rsid w:val="005D0758"/>
    <w:rsid w:val="005D0A9E"/>
    <w:rsid w:val="005D12E9"/>
    <w:rsid w:val="005D148A"/>
    <w:rsid w:val="005D17F0"/>
    <w:rsid w:val="005D1E1D"/>
    <w:rsid w:val="005D2E86"/>
    <w:rsid w:val="005D2FA4"/>
    <w:rsid w:val="005D32D7"/>
    <w:rsid w:val="005D3331"/>
    <w:rsid w:val="005D3556"/>
    <w:rsid w:val="005D3F76"/>
    <w:rsid w:val="005D46B4"/>
    <w:rsid w:val="005D4EEC"/>
    <w:rsid w:val="005D5273"/>
    <w:rsid w:val="005D52AD"/>
    <w:rsid w:val="005D5500"/>
    <w:rsid w:val="005D5522"/>
    <w:rsid w:val="005D564E"/>
    <w:rsid w:val="005D5721"/>
    <w:rsid w:val="005D582E"/>
    <w:rsid w:val="005D5AF4"/>
    <w:rsid w:val="005D5BB2"/>
    <w:rsid w:val="005D5D5B"/>
    <w:rsid w:val="005D5FAA"/>
    <w:rsid w:val="005D603B"/>
    <w:rsid w:val="005D6189"/>
    <w:rsid w:val="005D64D7"/>
    <w:rsid w:val="005D6A3E"/>
    <w:rsid w:val="005D6B50"/>
    <w:rsid w:val="005D6D3B"/>
    <w:rsid w:val="005D7304"/>
    <w:rsid w:val="005D771D"/>
    <w:rsid w:val="005D7BBF"/>
    <w:rsid w:val="005E0078"/>
    <w:rsid w:val="005E0289"/>
    <w:rsid w:val="005E0400"/>
    <w:rsid w:val="005E0533"/>
    <w:rsid w:val="005E0EFD"/>
    <w:rsid w:val="005E10F4"/>
    <w:rsid w:val="005E1346"/>
    <w:rsid w:val="005E1AF5"/>
    <w:rsid w:val="005E1EAF"/>
    <w:rsid w:val="005E1EDB"/>
    <w:rsid w:val="005E1FA0"/>
    <w:rsid w:val="005E22C1"/>
    <w:rsid w:val="005E26D8"/>
    <w:rsid w:val="005E2EB5"/>
    <w:rsid w:val="005E3669"/>
    <w:rsid w:val="005E38F5"/>
    <w:rsid w:val="005E391B"/>
    <w:rsid w:val="005E3B0E"/>
    <w:rsid w:val="005E3BDE"/>
    <w:rsid w:val="005E4AF3"/>
    <w:rsid w:val="005E4DE2"/>
    <w:rsid w:val="005E4E0C"/>
    <w:rsid w:val="005E5562"/>
    <w:rsid w:val="005E5793"/>
    <w:rsid w:val="005E607C"/>
    <w:rsid w:val="005E6370"/>
    <w:rsid w:val="005E660E"/>
    <w:rsid w:val="005E697E"/>
    <w:rsid w:val="005E6ED1"/>
    <w:rsid w:val="005E6F3E"/>
    <w:rsid w:val="005E77C4"/>
    <w:rsid w:val="005E79C4"/>
    <w:rsid w:val="005F0099"/>
    <w:rsid w:val="005F057E"/>
    <w:rsid w:val="005F0901"/>
    <w:rsid w:val="005F0F69"/>
    <w:rsid w:val="005F13F5"/>
    <w:rsid w:val="005F1673"/>
    <w:rsid w:val="005F17D0"/>
    <w:rsid w:val="005F18A0"/>
    <w:rsid w:val="005F1928"/>
    <w:rsid w:val="005F1AF0"/>
    <w:rsid w:val="005F1BAA"/>
    <w:rsid w:val="005F1ED0"/>
    <w:rsid w:val="005F1FB9"/>
    <w:rsid w:val="005F2701"/>
    <w:rsid w:val="005F2ABF"/>
    <w:rsid w:val="005F2D7A"/>
    <w:rsid w:val="005F3037"/>
    <w:rsid w:val="005F314A"/>
    <w:rsid w:val="005F3193"/>
    <w:rsid w:val="005F33FA"/>
    <w:rsid w:val="005F3AB4"/>
    <w:rsid w:val="005F3C63"/>
    <w:rsid w:val="005F3EB3"/>
    <w:rsid w:val="005F4097"/>
    <w:rsid w:val="005F42F6"/>
    <w:rsid w:val="005F47E9"/>
    <w:rsid w:val="005F4D1E"/>
    <w:rsid w:val="005F58F2"/>
    <w:rsid w:val="005F5E0D"/>
    <w:rsid w:val="005F73A4"/>
    <w:rsid w:val="005F7A9F"/>
    <w:rsid w:val="005F7B48"/>
    <w:rsid w:val="005F7DEA"/>
    <w:rsid w:val="00600601"/>
    <w:rsid w:val="00600702"/>
    <w:rsid w:val="00600905"/>
    <w:rsid w:val="006009D5"/>
    <w:rsid w:val="00600C1B"/>
    <w:rsid w:val="00600E9A"/>
    <w:rsid w:val="00600F50"/>
    <w:rsid w:val="006015A2"/>
    <w:rsid w:val="00601A73"/>
    <w:rsid w:val="00601DBB"/>
    <w:rsid w:val="006029D7"/>
    <w:rsid w:val="00604509"/>
    <w:rsid w:val="00605170"/>
    <w:rsid w:val="006057FD"/>
    <w:rsid w:val="006059B3"/>
    <w:rsid w:val="006064EA"/>
    <w:rsid w:val="00606F1D"/>
    <w:rsid w:val="006105B0"/>
    <w:rsid w:val="00610962"/>
    <w:rsid w:val="00611144"/>
    <w:rsid w:val="0061117B"/>
    <w:rsid w:val="006115ED"/>
    <w:rsid w:val="00611660"/>
    <w:rsid w:val="00611870"/>
    <w:rsid w:val="00611DB8"/>
    <w:rsid w:val="00611DF1"/>
    <w:rsid w:val="006127EE"/>
    <w:rsid w:val="00612ABA"/>
    <w:rsid w:val="00612BF8"/>
    <w:rsid w:val="00612F58"/>
    <w:rsid w:val="006132CF"/>
    <w:rsid w:val="00613365"/>
    <w:rsid w:val="00613678"/>
    <w:rsid w:val="006139D3"/>
    <w:rsid w:val="0061408B"/>
    <w:rsid w:val="00614233"/>
    <w:rsid w:val="0061455C"/>
    <w:rsid w:val="00614D2D"/>
    <w:rsid w:val="00615179"/>
    <w:rsid w:val="006151B5"/>
    <w:rsid w:val="00615A77"/>
    <w:rsid w:val="00615BE0"/>
    <w:rsid w:val="00615EFE"/>
    <w:rsid w:val="00615FAE"/>
    <w:rsid w:val="006166C1"/>
    <w:rsid w:val="006168CD"/>
    <w:rsid w:val="00616C1E"/>
    <w:rsid w:val="00616C63"/>
    <w:rsid w:val="00617072"/>
    <w:rsid w:val="006170A8"/>
    <w:rsid w:val="00617784"/>
    <w:rsid w:val="00617C8A"/>
    <w:rsid w:val="00620447"/>
    <w:rsid w:val="006204FC"/>
    <w:rsid w:val="00620AD4"/>
    <w:rsid w:val="00620C1C"/>
    <w:rsid w:val="00620D6C"/>
    <w:rsid w:val="00620FB7"/>
    <w:rsid w:val="00621780"/>
    <w:rsid w:val="00621884"/>
    <w:rsid w:val="0062198A"/>
    <w:rsid w:val="00621A36"/>
    <w:rsid w:val="00621A7C"/>
    <w:rsid w:val="00621E0E"/>
    <w:rsid w:val="00622203"/>
    <w:rsid w:val="0062242E"/>
    <w:rsid w:val="006227FB"/>
    <w:rsid w:val="00622A99"/>
    <w:rsid w:val="00622CE8"/>
    <w:rsid w:val="00622F95"/>
    <w:rsid w:val="0062318D"/>
    <w:rsid w:val="0062343F"/>
    <w:rsid w:val="006235F9"/>
    <w:rsid w:val="0062395E"/>
    <w:rsid w:val="00623B59"/>
    <w:rsid w:val="00623DED"/>
    <w:rsid w:val="006241FB"/>
    <w:rsid w:val="0062462D"/>
    <w:rsid w:val="00624ABD"/>
    <w:rsid w:val="00624D11"/>
    <w:rsid w:val="00624EC3"/>
    <w:rsid w:val="006250C0"/>
    <w:rsid w:val="006250D8"/>
    <w:rsid w:val="00625568"/>
    <w:rsid w:val="0062567B"/>
    <w:rsid w:val="00625A64"/>
    <w:rsid w:val="006262FA"/>
    <w:rsid w:val="006263AB"/>
    <w:rsid w:val="00626EEE"/>
    <w:rsid w:val="00626FFD"/>
    <w:rsid w:val="00627161"/>
    <w:rsid w:val="006271AD"/>
    <w:rsid w:val="0062727C"/>
    <w:rsid w:val="00627633"/>
    <w:rsid w:val="0063021A"/>
    <w:rsid w:val="006309AD"/>
    <w:rsid w:val="00630D5C"/>
    <w:rsid w:val="00631A18"/>
    <w:rsid w:val="00631DE0"/>
    <w:rsid w:val="00631EC4"/>
    <w:rsid w:val="00632144"/>
    <w:rsid w:val="00632196"/>
    <w:rsid w:val="00632461"/>
    <w:rsid w:val="0063318E"/>
    <w:rsid w:val="00633C00"/>
    <w:rsid w:val="00633D15"/>
    <w:rsid w:val="00633FF1"/>
    <w:rsid w:val="00633FF3"/>
    <w:rsid w:val="00634176"/>
    <w:rsid w:val="00634968"/>
    <w:rsid w:val="00634DA1"/>
    <w:rsid w:val="00634EB5"/>
    <w:rsid w:val="0063507D"/>
    <w:rsid w:val="0063533D"/>
    <w:rsid w:val="00635A14"/>
    <w:rsid w:val="00635E99"/>
    <w:rsid w:val="006365D2"/>
    <w:rsid w:val="00636852"/>
    <w:rsid w:val="0063693B"/>
    <w:rsid w:val="006372F4"/>
    <w:rsid w:val="006377AB"/>
    <w:rsid w:val="00637D93"/>
    <w:rsid w:val="0064003B"/>
    <w:rsid w:val="006400B7"/>
    <w:rsid w:val="006401CA"/>
    <w:rsid w:val="00640595"/>
    <w:rsid w:val="00640BE4"/>
    <w:rsid w:val="00641176"/>
    <w:rsid w:val="00641321"/>
    <w:rsid w:val="006414D1"/>
    <w:rsid w:val="00642211"/>
    <w:rsid w:val="00642D85"/>
    <w:rsid w:val="00642E29"/>
    <w:rsid w:val="00643594"/>
    <w:rsid w:val="00643744"/>
    <w:rsid w:val="00643D77"/>
    <w:rsid w:val="00643F98"/>
    <w:rsid w:val="0064410F"/>
    <w:rsid w:val="0064421D"/>
    <w:rsid w:val="006443AD"/>
    <w:rsid w:val="00644460"/>
    <w:rsid w:val="006447DB"/>
    <w:rsid w:val="0064483A"/>
    <w:rsid w:val="00644FEE"/>
    <w:rsid w:val="00645296"/>
    <w:rsid w:val="0064572A"/>
    <w:rsid w:val="006457CE"/>
    <w:rsid w:val="00645860"/>
    <w:rsid w:val="00645AE1"/>
    <w:rsid w:val="00645AEC"/>
    <w:rsid w:val="00645B89"/>
    <w:rsid w:val="006463D9"/>
    <w:rsid w:val="006465EF"/>
    <w:rsid w:val="00646A38"/>
    <w:rsid w:val="00647225"/>
    <w:rsid w:val="00647409"/>
    <w:rsid w:val="006476DA"/>
    <w:rsid w:val="00647CA3"/>
    <w:rsid w:val="006504C4"/>
    <w:rsid w:val="00650B2C"/>
    <w:rsid w:val="00650C01"/>
    <w:rsid w:val="00650E8F"/>
    <w:rsid w:val="006512EB"/>
    <w:rsid w:val="0065147B"/>
    <w:rsid w:val="00651552"/>
    <w:rsid w:val="00651AD4"/>
    <w:rsid w:val="00651F32"/>
    <w:rsid w:val="006527A3"/>
    <w:rsid w:val="0065284D"/>
    <w:rsid w:val="00652A43"/>
    <w:rsid w:val="0065307F"/>
    <w:rsid w:val="0065324B"/>
    <w:rsid w:val="006533A9"/>
    <w:rsid w:val="0065347C"/>
    <w:rsid w:val="00653829"/>
    <w:rsid w:val="00653924"/>
    <w:rsid w:val="0065420C"/>
    <w:rsid w:val="00654F6A"/>
    <w:rsid w:val="006558CC"/>
    <w:rsid w:val="006559C3"/>
    <w:rsid w:val="00655BD3"/>
    <w:rsid w:val="00655EF7"/>
    <w:rsid w:val="006565CC"/>
    <w:rsid w:val="00656C5E"/>
    <w:rsid w:val="00656E4E"/>
    <w:rsid w:val="00656EFA"/>
    <w:rsid w:val="00656F61"/>
    <w:rsid w:val="00657319"/>
    <w:rsid w:val="0065749A"/>
    <w:rsid w:val="006576DD"/>
    <w:rsid w:val="00657753"/>
    <w:rsid w:val="00657774"/>
    <w:rsid w:val="00657995"/>
    <w:rsid w:val="00657FAA"/>
    <w:rsid w:val="0066022B"/>
    <w:rsid w:val="0066148A"/>
    <w:rsid w:val="00661542"/>
    <w:rsid w:val="00661746"/>
    <w:rsid w:val="00661BE7"/>
    <w:rsid w:val="00661E8F"/>
    <w:rsid w:val="006622E3"/>
    <w:rsid w:val="0066250B"/>
    <w:rsid w:val="006628A9"/>
    <w:rsid w:val="00662A63"/>
    <w:rsid w:val="00662AE6"/>
    <w:rsid w:val="00663378"/>
    <w:rsid w:val="006633EC"/>
    <w:rsid w:val="00663713"/>
    <w:rsid w:val="00664081"/>
    <w:rsid w:val="006640B8"/>
    <w:rsid w:val="006649E3"/>
    <w:rsid w:val="006650AC"/>
    <w:rsid w:val="006651EB"/>
    <w:rsid w:val="006653F1"/>
    <w:rsid w:val="00665574"/>
    <w:rsid w:val="006656CA"/>
    <w:rsid w:val="006658D1"/>
    <w:rsid w:val="00665AA4"/>
    <w:rsid w:val="00666141"/>
    <w:rsid w:val="006666ED"/>
    <w:rsid w:val="00666AFF"/>
    <w:rsid w:val="00667904"/>
    <w:rsid w:val="00667A57"/>
    <w:rsid w:val="00667ABD"/>
    <w:rsid w:val="00667DCD"/>
    <w:rsid w:val="006705B7"/>
    <w:rsid w:val="00670A3C"/>
    <w:rsid w:val="00670F1A"/>
    <w:rsid w:val="00670FB9"/>
    <w:rsid w:val="00671A98"/>
    <w:rsid w:val="00671BD4"/>
    <w:rsid w:val="00671E6E"/>
    <w:rsid w:val="00671EE2"/>
    <w:rsid w:val="00672208"/>
    <w:rsid w:val="006722E9"/>
    <w:rsid w:val="0067242C"/>
    <w:rsid w:val="0067303F"/>
    <w:rsid w:val="00673042"/>
    <w:rsid w:val="006737D7"/>
    <w:rsid w:val="00673810"/>
    <w:rsid w:val="0067409A"/>
    <w:rsid w:val="006742C9"/>
    <w:rsid w:val="006748A3"/>
    <w:rsid w:val="00674CBD"/>
    <w:rsid w:val="00675826"/>
    <w:rsid w:val="00675B51"/>
    <w:rsid w:val="00675D80"/>
    <w:rsid w:val="00675E5D"/>
    <w:rsid w:val="006761F6"/>
    <w:rsid w:val="00676730"/>
    <w:rsid w:val="00676A85"/>
    <w:rsid w:val="00677009"/>
    <w:rsid w:val="00677B5F"/>
    <w:rsid w:val="00680488"/>
    <w:rsid w:val="00681227"/>
    <w:rsid w:val="00681533"/>
    <w:rsid w:val="0068172A"/>
    <w:rsid w:val="00681B31"/>
    <w:rsid w:val="006824B8"/>
    <w:rsid w:val="00682D90"/>
    <w:rsid w:val="00682EC0"/>
    <w:rsid w:val="00683187"/>
    <w:rsid w:val="00683518"/>
    <w:rsid w:val="00683575"/>
    <w:rsid w:val="006839E0"/>
    <w:rsid w:val="00683A15"/>
    <w:rsid w:val="00683B78"/>
    <w:rsid w:val="00683BA7"/>
    <w:rsid w:val="00683DB4"/>
    <w:rsid w:val="0068427A"/>
    <w:rsid w:val="00684620"/>
    <w:rsid w:val="00684BE5"/>
    <w:rsid w:val="00684C91"/>
    <w:rsid w:val="00684C98"/>
    <w:rsid w:val="0068552D"/>
    <w:rsid w:val="006862A2"/>
    <w:rsid w:val="006863DE"/>
    <w:rsid w:val="006865C6"/>
    <w:rsid w:val="00686691"/>
    <w:rsid w:val="00686767"/>
    <w:rsid w:val="00686B30"/>
    <w:rsid w:val="00686BF0"/>
    <w:rsid w:val="00686E77"/>
    <w:rsid w:val="006870C3"/>
    <w:rsid w:val="00687191"/>
    <w:rsid w:val="00687389"/>
    <w:rsid w:val="006877E7"/>
    <w:rsid w:val="00687B56"/>
    <w:rsid w:val="00687E72"/>
    <w:rsid w:val="006902C7"/>
    <w:rsid w:val="006915A8"/>
    <w:rsid w:val="00691B7B"/>
    <w:rsid w:val="00691F6A"/>
    <w:rsid w:val="0069218F"/>
    <w:rsid w:val="006924E4"/>
    <w:rsid w:val="006925A9"/>
    <w:rsid w:val="00692937"/>
    <w:rsid w:val="0069295D"/>
    <w:rsid w:val="0069303F"/>
    <w:rsid w:val="0069305A"/>
    <w:rsid w:val="006930FC"/>
    <w:rsid w:val="006931DC"/>
    <w:rsid w:val="00693CFF"/>
    <w:rsid w:val="00693D15"/>
    <w:rsid w:val="00694447"/>
    <w:rsid w:val="00694863"/>
    <w:rsid w:val="00694D9F"/>
    <w:rsid w:val="00695044"/>
    <w:rsid w:val="00695117"/>
    <w:rsid w:val="00695DFC"/>
    <w:rsid w:val="0069646E"/>
    <w:rsid w:val="006967C7"/>
    <w:rsid w:val="0069725B"/>
    <w:rsid w:val="00697377"/>
    <w:rsid w:val="0069772D"/>
    <w:rsid w:val="006977C2"/>
    <w:rsid w:val="00697814"/>
    <w:rsid w:val="00697B3C"/>
    <w:rsid w:val="00697BC3"/>
    <w:rsid w:val="00697C75"/>
    <w:rsid w:val="00697F3A"/>
    <w:rsid w:val="006A0345"/>
    <w:rsid w:val="006A0BFB"/>
    <w:rsid w:val="006A1215"/>
    <w:rsid w:val="006A12D8"/>
    <w:rsid w:val="006A1424"/>
    <w:rsid w:val="006A1582"/>
    <w:rsid w:val="006A1B9A"/>
    <w:rsid w:val="006A2119"/>
    <w:rsid w:val="006A2173"/>
    <w:rsid w:val="006A25DE"/>
    <w:rsid w:val="006A2787"/>
    <w:rsid w:val="006A2976"/>
    <w:rsid w:val="006A2ACB"/>
    <w:rsid w:val="006A2C38"/>
    <w:rsid w:val="006A3CCA"/>
    <w:rsid w:val="006A3DCC"/>
    <w:rsid w:val="006A422A"/>
    <w:rsid w:val="006A4DE2"/>
    <w:rsid w:val="006A51B5"/>
    <w:rsid w:val="006A55DB"/>
    <w:rsid w:val="006A6404"/>
    <w:rsid w:val="006A6514"/>
    <w:rsid w:val="006A7486"/>
    <w:rsid w:val="006A758D"/>
    <w:rsid w:val="006A781D"/>
    <w:rsid w:val="006A7C09"/>
    <w:rsid w:val="006A7EBA"/>
    <w:rsid w:val="006B08E8"/>
    <w:rsid w:val="006B0A68"/>
    <w:rsid w:val="006B117F"/>
    <w:rsid w:val="006B1302"/>
    <w:rsid w:val="006B15B1"/>
    <w:rsid w:val="006B173F"/>
    <w:rsid w:val="006B3D84"/>
    <w:rsid w:val="006B4790"/>
    <w:rsid w:val="006B4E69"/>
    <w:rsid w:val="006B4F6C"/>
    <w:rsid w:val="006B505C"/>
    <w:rsid w:val="006B6A84"/>
    <w:rsid w:val="006B6B44"/>
    <w:rsid w:val="006B6BB7"/>
    <w:rsid w:val="006B6E7D"/>
    <w:rsid w:val="006B74A4"/>
    <w:rsid w:val="006B763E"/>
    <w:rsid w:val="006B7795"/>
    <w:rsid w:val="006B7911"/>
    <w:rsid w:val="006B7F06"/>
    <w:rsid w:val="006C00BC"/>
    <w:rsid w:val="006C024B"/>
    <w:rsid w:val="006C03E4"/>
    <w:rsid w:val="006C07CB"/>
    <w:rsid w:val="006C116E"/>
    <w:rsid w:val="006C16D3"/>
    <w:rsid w:val="006C1CFD"/>
    <w:rsid w:val="006C1D0D"/>
    <w:rsid w:val="006C1D37"/>
    <w:rsid w:val="006C1E03"/>
    <w:rsid w:val="006C1F32"/>
    <w:rsid w:val="006C2C96"/>
    <w:rsid w:val="006C30BD"/>
    <w:rsid w:val="006C3116"/>
    <w:rsid w:val="006C3260"/>
    <w:rsid w:val="006C32AB"/>
    <w:rsid w:val="006C33BD"/>
    <w:rsid w:val="006C34A9"/>
    <w:rsid w:val="006C3BFE"/>
    <w:rsid w:val="006C3D1A"/>
    <w:rsid w:val="006C409D"/>
    <w:rsid w:val="006C41F1"/>
    <w:rsid w:val="006C4B4B"/>
    <w:rsid w:val="006C4D3F"/>
    <w:rsid w:val="006C502A"/>
    <w:rsid w:val="006C533A"/>
    <w:rsid w:val="006C5592"/>
    <w:rsid w:val="006C5B99"/>
    <w:rsid w:val="006C5F70"/>
    <w:rsid w:val="006C61F7"/>
    <w:rsid w:val="006C6A90"/>
    <w:rsid w:val="006C74F7"/>
    <w:rsid w:val="006C79DC"/>
    <w:rsid w:val="006C7F32"/>
    <w:rsid w:val="006C7F63"/>
    <w:rsid w:val="006D0363"/>
    <w:rsid w:val="006D05E9"/>
    <w:rsid w:val="006D0907"/>
    <w:rsid w:val="006D0C6A"/>
    <w:rsid w:val="006D19D2"/>
    <w:rsid w:val="006D1B50"/>
    <w:rsid w:val="006D21DC"/>
    <w:rsid w:val="006D2809"/>
    <w:rsid w:val="006D2E63"/>
    <w:rsid w:val="006D31D4"/>
    <w:rsid w:val="006D38EC"/>
    <w:rsid w:val="006D3967"/>
    <w:rsid w:val="006D4883"/>
    <w:rsid w:val="006D5882"/>
    <w:rsid w:val="006D59F6"/>
    <w:rsid w:val="006D6171"/>
    <w:rsid w:val="006D6202"/>
    <w:rsid w:val="006D6476"/>
    <w:rsid w:val="006D666A"/>
    <w:rsid w:val="006D6A33"/>
    <w:rsid w:val="006D6DDD"/>
    <w:rsid w:val="006D71C2"/>
    <w:rsid w:val="006D7233"/>
    <w:rsid w:val="006D73D3"/>
    <w:rsid w:val="006D749C"/>
    <w:rsid w:val="006D77CC"/>
    <w:rsid w:val="006D7D49"/>
    <w:rsid w:val="006D7E06"/>
    <w:rsid w:val="006E035A"/>
    <w:rsid w:val="006E05DC"/>
    <w:rsid w:val="006E0892"/>
    <w:rsid w:val="006E0E61"/>
    <w:rsid w:val="006E11D6"/>
    <w:rsid w:val="006E13F8"/>
    <w:rsid w:val="006E1805"/>
    <w:rsid w:val="006E1EB2"/>
    <w:rsid w:val="006E1EF0"/>
    <w:rsid w:val="006E20B2"/>
    <w:rsid w:val="006E2C22"/>
    <w:rsid w:val="006E2E98"/>
    <w:rsid w:val="006E2F7C"/>
    <w:rsid w:val="006E30D6"/>
    <w:rsid w:val="006E31CB"/>
    <w:rsid w:val="006E31FB"/>
    <w:rsid w:val="006E3274"/>
    <w:rsid w:val="006E34DE"/>
    <w:rsid w:val="006E36EB"/>
    <w:rsid w:val="006E3954"/>
    <w:rsid w:val="006E42A5"/>
    <w:rsid w:val="006E47E8"/>
    <w:rsid w:val="006E4C13"/>
    <w:rsid w:val="006E4C53"/>
    <w:rsid w:val="006E4D5B"/>
    <w:rsid w:val="006E4D69"/>
    <w:rsid w:val="006E5099"/>
    <w:rsid w:val="006E5445"/>
    <w:rsid w:val="006E552D"/>
    <w:rsid w:val="006E5EDA"/>
    <w:rsid w:val="006E601F"/>
    <w:rsid w:val="006E634E"/>
    <w:rsid w:val="006E6586"/>
    <w:rsid w:val="006E6692"/>
    <w:rsid w:val="006E6B91"/>
    <w:rsid w:val="006E75CF"/>
    <w:rsid w:val="006E7A8E"/>
    <w:rsid w:val="006F0466"/>
    <w:rsid w:val="006F05D1"/>
    <w:rsid w:val="006F09DE"/>
    <w:rsid w:val="006F0F99"/>
    <w:rsid w:val="006F1162"/>
    <w:rsid w:val="006F1518"/>
    <w:rsid w:val="006F1999"/>
    <w:rsid w:val="006F1DBE"/>
    <w:rsid w:val="006F1F37"/>
    <w:rsid w:val="006F2300"/>
    <w:rsid w:val="006F27A1"/>
    <w:rsid w:val="006F27EB"/>
    <w:rsid w:val="006F2A1A"/>
    <w:rsid w:val="006F2B88"/>
    <w:rsid w:val="006F2EBC"/>
    <w:rsid w:val="006F30D7"/>
    <w:rsid w:val="006F320B"/>
    <w:rsid w:val="006F38A8"/>
    <w:rsid w:val="006F3C16"/>
    <w:rsid w:val="006F3C90"/>
    <w:rsid w:val="006F47EB"/>
    <w:rsid w:val="006F4B79"/>
    <w:rsid w:val="006F4CC2"/>
    <w:rsid w:val="006F4D11"/>
    <w:rsid w:val="006F4DED"/>
    <w:rsid w:val="006F53A3"/>
    <w:rsid w:val="006F53A6"/>
    <w:rsid w:val="006F5710"/>
    <w:rsid w:val="006F571C"/>
    <w:rsid w:val="006F59AE"/>
    <w:rsid w:val="006F5F66"/>
    <w:rsid w:val="006F624B"/>
    <w:rsid w:val="006F6C8D"/>
    <w:rsid w:val="006F6FE0"/>
    <w:rsid w:val="006F724F"/>
    <w:rsid w:val="006F74C3"/>
    <w:rsid w:val="006F7C12"/>
    <w:rsid w:val="0070050A"/>
    <w:rsid w:val="00700950"/>
    <w:rsid w:val="00700990"/>
    <w:rsid w:val="00700EC6"/>
    <w:rsid w:val="007012AE"/>
    <w:rsid w:val="00701598"/>
    <w:rsid w:val="007017F7"/>
    <w:rsid w:val="0070199F"/>
    <w:rsid w:val="0070212E"/>
    <w:rsid w:val="007029CD"/>
    <w:rsid w:val="00702AD8"/>
    <w:rsid w:val="00703099"/>
    <w:rsid w:val="00703152"/>
    <w:rsid w:val="0070322E"/>
    <w:rsid w:val="0070377D"/>
    <w:rsid w:val="00703BCF"/>
    <w:rsid w:val="0070414D"/>
    <w:rsid w:val="007041E3"/>
    <w:rsid w:val="007042E8"/>
    <w:rsid w:val="007045D6"/>
    <w:rsid w:val="00704715"/>
    <w:rsid w:val="00704A29"/>
    <w:rsid w:val="00704AC6"/>
    <w:rsid w:val="0070532B"/>
    <w:rsid w:val="00705BF3"/>
    <w:rsid w:val="00706290"/>
    <w:rsid w:val="007063B7"/>
    <w:rsid w:val="00706A35"/>
    <w:rsid w:val="00706D63"/>
    <w:rsid w:val="00707061"/>
    <w:rsid w:val="007074FE"/>
    <w:rsid w:val="00707E46"/>
    <w:rsid w:val="00707FC6"/>
    <w:rsid w:val="007104B8"/>
    <w:rsid w:val="007106A1"/>
    <w:rsid w:val="00710959"/>
    <w:rsid w:val="0071102B"/>
    <w:rsid w:val="00711146"/>
    <w:rsid w:val="00711FC6"/>
    <w:rsid w:val="007125B3"/>
    <w:rsid w:val="00712A96"/>
    <w:rsid w:val="00712E77"/>
    <w:rsid w:val="0071307E"/>
    <w:rsid w:val="007134C9"/>
    <w:rsid w:val="00713626"/>
    <w:rsid w:val="0071374D"/>
    <w:rsid w:val="00713949"/>
    <w:rsid w:val="00713DC0"/>
    <w:rsid w:val="0071429F"/>
    <w:rsid w:val="007148DD"/>
    <w:rsid w:val="00714B02"/>
    <w:rsid w:val="00715626"/>
    <w:rsid w:val="0071577E"/>
    <w:rsid w:val="007157BC"/>
    <w:rsid w:val="00715A38"/>
    <w:rsid w:val="00715D9C"/>
    <w:rsid w:val="007171B8"/>
    <w:rsid w:val="00717991"/>
    <w:rsid w:val="00717A58"/>
    <w:rsid w:val="00717C97"/>
    <w:rsid w:val="00720BE1"/>
    <w:rsid w:val="00721110"/>
    <w:rsid w:val="007214FD"/>
    <w:rsid w:val="00721789"/>
    <w:rsid w:val="00721A42"/>
    <w:rsid w:val="00721D3D"/>
    <w:rsid w:val="00721F73"/>
    <w:rsid w:val="00722010"/>
    <w:rsid w:val="0072212F"/>
    <w:rsid w:val="007225F4"/>
    <w:rsid w:val="0072283A"/>
    <w:rsid w:val="00722A74"/>
    <w:rsid w:val="00722AAD"/>
    <w:rsid w:val="00722AE1"/>
    <w:rsid w:val="00722EB3"/>
    <w:rsid w:val="007230CB"/>
    <w:rsid w:val="0072320E"/>
    <w:rsid w:val="00723303"/>
    <w:rsid w:val="007236BA"/>
    <w:rsid w:val="007241E9"/>
    <w:rsid w:val="0072441C"/>
    <w:rsid w:val="00725154"/>
    <w:rsid w:val="007252FC"/>
    <w:rsid w:val="00725368"/>
    <w:rsid w:val="007253B3"/>
    <w:rsid w:val="0072556C"/>
    <w:rsid w:val="00725C21"/>
    <w:rsid w:val="00725E5F"/>
    <w:rsid w:val="00726271"/>
    <w:rsid w:val="007263AF"/>
    <w:rsid w:val="00726482"/>
    <w:rsid w:val="00726984"/>
    <w:rsid w:val="00726F6C"/>
    <w:rsid w:val="007273B5"/>
    <w:rsid w:val="00727824"/>
    <w:rsid w:val="0072782B"/>
    <w:rsid w:val="00727984"/>
    <w:rsid w:val="00727C4B"/>
    <w:rsid w:val="00727EB7"/>
    <w:rsid w:val="00730030"/>
    <w:rsid w:val="007304F4"/>
    <w:rsid w:val="00730F11"/>
    <w:rsid w:val="00730F57"/>
    <w:rsid w:val="00730F91"/>
    <w:rsid w:val="007310B5"/>
    <w:rsid w:val="007310F5"/>
    <w:rsid w:val="00731213"/>
    <w:rsid w:val="0073129F"/>
    <w:rsid w:val="007322EC"/>
    <w:rsid w:val="0073274F"/>
    <w:rsid w:val="00732A95"/>
    <w:rsid w:val="00732AAC"/>
    <w:rsid w:val="007334F1"/>
    <w:rsid w:val="00733FC2"/>
    <w:rsid w:val="0073407D"/>
    <w:rsid w:val="00734152"/>
    <w:rsid w:val="00734477"/>
    <w:rsid w:val="00734562"/>
    <w:rsid w:val="0073472B"/>
    <w:rsid w:val="00734942"/>
    <w:rsid w:val="00734A95"/>
    <w:rsid w:val="00734C0A"/>
    <w:rsid w:val="00734EFD"/>
    <w:rsid w:val="007350FB"/>
    <w:rsid w:val="00735105"/>
    <w:rsid w:val="0073549A"/>
    <w:rsid w:val="0073560A"/>
    <w:rsid w:val="00735C5F"/>
    <w:rsid w:val="00735CC0"/>
    <w:rsid w:val="00735D95"/>
    <w:rsid w:val="007361C8"/>
    <w:rsid w:val="007364BF"/>
    <w:rsid w:val="0073671F"/>
    <w:rsid w:val="00736C30"/>
    <w:rsid w:val="00736D6E"/>
    <w:rsid w:val="00736E3F"/>
    <w:rsid w:val="00737546"/>
    <w:rsid w:val="00737AC4"/>
    <w:rsid w:val="00737C6B"/>
    <w:rsid w:val="0074053D"/>
    <w:rsid w:val="00740D2A"/>
    <w:rsid w:val="00740EDE"/>
    <w:rsid w:val="00741114"/>
    <w:rsid w:val="007411EA"/>
    <w:rsid w:val="007412AD"/>
    <w:rsid w:val="007419C0"/>
    <w:rsid w:val="007419F9"/>
    <w:rsid w:val="0074233F"/>
    <w:rsid w:val="00742595"/>
    <w:rsid w:val="00742DC3"/>
    <w:rsid w:val="00742E4E"/>
    <w:rsid w:val="00742E63"/>
    <w:rsid w:val="007432B4"/>
    <w:rsid w:val="00743F2C"/>
    <w:rsid w:val="00744776"/>
    <w:rsid w:val="00744FAF"/>
    <w:rsid w:val="0074500D"/>
    <w:rsid w:val="00745679"/>
    <w:rsid w:val="00746154"/>
    <w:rsid w:val="0074622B"/>
    <w:rsid w:val="007466E4"/>
    <w:rsid w:val="00747503"/>
    <w:rsid w:val="0074752F"/>
    <w:rsid w:val="007479F9"/>
    <w:rsid w:val="00747A82"/>
    <w:rsid w:val="00747EA7"/>
    <w:rsid w:val="00747F23"/>
    <w:rsid w:val="00747FFD"/>
    <w:rsid w:val="00750373"/>
    <w:rsid w:val="0075068B"/>
    <w:rsid w:val="0075069B"/>
    <w:rsid w:val="007507C3"/>
    <w:rsid w:val="00750961"/>
    <w:rsid w:val="00750C1D"/>
    <w:rsid w:val="00750CCC"/>
    <w:rsid w:val="00750D9D"/>
    <w:rsid w:val="007511A0"/>
    <w:rsid w:val="007512FC"/>
    <w:rsid w:val="0075169A"/>
    <w:rsid w:val="0075179D"/>
    <w:rsid w:val="00751AD7"/>
    <w:rsid w:val="00751B66"/>
    <w:rsid w:val="00751DA3"/>
    <w:rsid w:val="00751F8B"/>
    <w:rsid w:val="00752063"/>
    <w:rsid w:val="007523DA"/>
    <w:rsid w:val="007524D7"/>
    <w:rsid w:val="0075257F"/>
    <w:rsid w:val="0075281D"/>
    <w:rsid w:val="00752AAC"/>
    <w:rsid w:val="00753139"/>
    <w:rsid w:val="0075340E"/>
    <w:rsid w:val="007538E9"/>
    <w:rsid w:val="00753A3D"/>
    <w:rsid w:val="00753D74"/>
    <w:rsid w:val="00754163"/>
    <w:rsid w:val="00754894"/>
    <w:rsid w:val="0075567E"/>
    <w:rsid w:val="00756448"/>
    <w:rsid w:val="00756827"/>
    <w:rsid w:val="00756E99"/>
    <w:rsid w:val="00757500"/>
    <w:rsid w:val="007577AA"/>
    <w:rsid w:val="00757E38"/>
    <w:rsid w:val="00757EA9"/>
    <w:rsid w:val="00760140"/>
    <w:rsid w:val="0076020F"/>
    <w:rsid w:val="0076057A"/>
    <w:rsid w:val="00760A71"/>
    <w:rsid w:val="00760B66"/>
    <w:rsid w:val="007613AF"/>
    <w:rsid w:val="00761593"/>
    <w:rsid w:val="007616DE"/>
    <w:rsid w:val="0076178E"/>
    <w:rsid w:val="00761EAB"/>
    <w:rsid w:val="00761F87"/>
    <w:rsid w:val="00762012"/>
    <w:rsid w:val="007621B3"/>
    <w:rsid w:val="0076226F"/>
    <w:rsid w:val="00762593"/>
    <w:rsid w:val="007630E0"/>
    <w:rsid w:val="007630EC"/>
    <w:rsid w:val="00763737"/>
    <w:rsid w:val="007639DD"/>
    <w:rsid w:val="0076412B"/>
    <w:rsid w:val="007642AB"/>
    <w:rsid w:val="007642D6"/>
    <w:rsid w:val="00764420"/>
    <w:rsid w:val="007645AE"/>
    <w:rsid w:val="00764700"/>
    <w:rsid w:val="007647D8"/>
    <w:rsid w:val="007648E4"/>
    <w:rsid w:val="00764AF4"/>
    <w:rsid w:val="00765384"/>
    <w:rsid w:val="00765E84"/>
    <w:rsid w:val="00766073"/>
    <w:rsid w:val="007660A0"/>
    <w:rsid w:val="0076637C"/>
    <w:rsid w:val="00766513"/>
    <w:rsid w:val="00766762"/>
    <w:rsid w:val="0076677F"/>
    <w:rsid w:val="007668F5"/>
    <w:rsid w:val="007669E1"/>
    <w:rsid w:val="00766BC1"/>
    <w:rsid w:val="00766CEF"/>
    <w:rsid w:val="00767834"/>
    <w:rsid w:val="0076794C"/>
    <w:rsid w:val="00767A75"/>
    <w:rsid w:val="00767ED3"/>
    <w:rsid w:val="00767F89"/>
    <w:rsid w:val="0077005C"/>
    <w:rsid w:val="007701DE"/>
    <w:rsid w:val="007705C3"/>
    <w:rsid w:val="007709D5"/>
    <w:rsid w:val="00771042"/>
    <w:rsid w:val="00771183"/>
    <w:rsid w:val="007712A9"/>
    <w:rsid w:val="007713CC"/>
    <w:rsid w:val="00771519"/>
    <w:rsid w:val="00771571"/>
    <w:rsid w:val="00771576"/>
    <w:rsid w:val="007718BE"/>
    <w:rsid w:val="00771BC1"/>
    <w:rsid w:val="00771D4D"/>
    <w:rsid w:val="00772D41"/>
    <w:rsid w:val="00772DCF"/>
    <w:rsid w:val="00772DEE"/>
    <w:rsid w:val="007730AA"/>
    <w:rsid w:val="00773149"/>
    <w:rsid w:val="00773240"/>
    <w:rsid w:val="00773647"/>
    <w:rsid w:val="0077382F"/>
    <w:rsid w:val="00773C78"/>
    <w:rsid w:val="00773CA9"/>
    <w:rsid w:val="007740AE"/>
    <w:rsid w:val="00774402"/>
    <w:rsid w:val="00774524"/>
    <w:rsid w:val="00774742"/>
    <w:rsid w:val="00774C02"/>
    <w:rsid w:val="0077511A"/>
    <w:rsid w:val="007757F2"/>
    <w:rsid w:val="00775869"/>
    <w:rsid w:val="007758C5"/>
    <w:rsid w:val="00775D72"/>
    <w:rsid w:val="007762A1"/>
    <w:rsid w:val="00776D78"/>
    <w:rsid w:val="00777114"/>
    <w:rsid w:val="00777908"/>
    <w:rsid w:val="00777DE9"/>
    <w:rsid w:val="00780692"/>
    <w:rsid w:val="0078081B"/>
    <w:rsid w:val="00780BD9"/>
    <w:rsid w:val="00781024"/>
    <w:rsid w:val="007812FA"/>
    <w:rsid w:val="0078186A"/>
    <w:rsid w:val="0078195E"/>
    <w:rsid w:val="00781C1C"/>
    <w:rsid w:val="00782171"/>
    <w:rsid w:val="007828BB"/>
    <w:rsid w:val="007829DD"/>
    <w:rsid w:val="00782A73"/>
    <w:rsid w:val="00782E53"/>
    <w:rsid w:val="00783034"/>
    <w:rsid w:val="007834C7"/>
    <w:rsid w:val="00783D22"/>
    <w:rsid w:val="00784543"/>
    <w:rsid w:val="00784595"/>
    <w:rsid w:val="007847B1"/>
    <w:rsid w:val="00784991"/>
    <w:rsid w:val="00784BDA"/>
    <w:rsid w:val="00784D07"/>
    <w:rsid w:val="00784D2B"/>
    <w:rsid w:val="00784E76"/>
    <w:rsid w:val="00785031"/>
    <w:rsid w:val="00785E63"/>
    <w:rsid w:val="007862CF"/>
    <w:rsid w:val="0078676C"/>
    <w:rsid w:val="007869E9"/>
    <w:rsid w:val="00787B01"/>
    <w:rsid w:val="007900F4"/>
    <w:rsid w:val="0079015B"/>
    <w:rsid w:val="00790972"/>
    <w:rsid w:val="00790AB5"/>
    <w:rsid w:val="00790E3C"/>
    <w:rsid w:val="007912AE"/>
    <w:rsid w:val="0079181A"/>
    <w:rsid w:val="00792304"/>
    <w:rsid w:val="00792B1A"/>
    <w:rsid w:val="00792CC7"/>
    <w:rsid w:val="00792DD0"/>
    <w:rsid w:val="00793266"/>
    <w:rsid w:val="0079363D"/>
    <w:rsid w:val="00794021"/>
    <w:rsid w:val="0079431C"/>
    <w:rsid w:val="00794628"/>
    <w:rsid w:val="00794B06"/>
    <w:rsid w:val="00794CF2"/>
    <w:rsid w:val="00794E82"/>
    <w:rsid w:val="007953A9"/>
    <w:rsid w:val="00795703"/>
    <w:rsid w:val="00795A88"/>
    <w:rsid w:val="00796011"/>
    <w:rsid w:val="00796272"/>
    <w:rsid w:val="00796289"/>
    <w:rsid w:val="00796464"/>
    <w:rsid w:val="0079697E"/>
    <w:rsid w:val="00796F7B"/>
    <w:rsid w:val="007971D6"/>
    <w:rsid w:val="007976A4"/>
    <w:rsid w:val="00797BF6"/>
    <w:rsid w:val="007A01A9"/>
    <w:rsid w:val="007A050F"/>
    <w:rsid w:val="007A0635"/>
    <w:rsid w:val="007A0DB4"/>
    <w:rsid w:val="007A0F18"/>
    <w:rsid w:val="007A10EE"/>
    <w:rsid w:val="007A1386"/>
    <w:rsid w:val="007A1665"/>
    <w:rsid w:val="007A1D75"/>
    <w:rsid w:val="007A1FD0"/>
    <w:rsid w:val="007A1FDA"/>
    <w:rsid w:val="007A230A"/>
    <w:rsid w:val="007A2376"/>
    <w:rsid w:val="007A26E6"/>
    <w:rsid w:val="007A2DA2"/>
    <w:rsid w:val="007A3218"/>
    <w:rsid w:val="007A32C2"/>
    <w:rsid w:val="007A35FF"/>
    <w:rsid w:val="007A364E"/>
    <w:rsid w:val="007A3987"/>
    <w:rsid w:val="007A43B2"/>
    <w:rsid w:val="007A440E"/>
    <w:rsid w:val="007A4574"/>
    <w:rsid w:val="007A5154"/>
    <w:rsid w:val="007A52CA"/>
    <w:rsid w:val="007A52EF"/>
    <w:rsid w:val="007A56C0"/>
    <w:rsid w:val="007A56F3"/>
    <w:rsid w:val="007A58E2"/>
    <w:rsid w:val="007A5A14"/>
    <w:rsid w:val="007A5D85"/>
    <w:rsid w:val="007A5D93"/>
    <w:rsid w:val="007A5EA8"/>
    <w:rsid w:val="007A6725"/>
    <w:rsid w:val="007A69ED"/>
    <w:rsid w:val="007A6EE9"/>
    <w:rsid w:val="007A7AC6"/>
    <w:rsid w:val="007B0019"/>
    <w:rsid w:val="007B04AA"/>
    <w:rsid w:val="007B1013"/>
    <w:rsid w:val="007B1480"/>
    <w:rsid w:val="007B1EF4"/>
    <w:rsid w:val="007B22D0"/>
    <w:rsid w:val="007B22D7"/>
    <w:rsid w:val="007B287C"/>
    <w:rsid w:val="007B2AD5"/>
    <w:rsid w:val="007B344E"/>
    <w:rsid w:val="007B3704"/>
    <w:rsid w:val="007B386E"/>
    <w:rsid w:val="007B3C0E"/>
    <w:rsid w:val="007B4300"/>
    <w:rsid w:val="007B47BC"/>
    <w:rsid w:val="007B4A75"/>
    <w:rsid w:val="007B523D"/>
    <w:rsid w:val="007B52BF"/>
    <w:rsid w:val="007B62FF"/>
    <w:rsid w:val="007B639E"/>
    <w:rsid w:val="007B6C5C"/>
    <w:rsid w:val="007B6CFE"/>
    <w:rsid w:val="007B6EAF"/>
    <w:rsid w:val="007B727D"/>
    <w:rsid w:val="007B756D"/>
    <w:rsid w:val="007B7BF3"/>
    <w:rsid w:val="007B7D22"/>
    <w:rsid w:val="007C010F"/>
    <w:rsid w:val="007C03F0"/>
    <w:rsid w:val="007C05C1"/>
    <w:rsid w:val="007C1A43"/>
    <w:rsid w:val="007C2375"/>
    <w:rsid w:val="007C334A"/>
    <w:rsid w:val="007C3740"/>
    <w:rsid w:val="007C37BB"/>
    <w:rsid w:val="007C37F9"/>
    <w:rsid w:val="007C3AD5"/>
    <w:rsid w:val="007C4165"/>
    <w:rsid w:val="007C4186"/>
    <w:rsid w:val="007C45AD"/>
    <w:rsid w:val="007C48A8"/>
    <w:rsid w:val="007C4DE5"/>
    <w:rsid w:val="007C54FC"/>
    <w:rsid w:val="007C57B0"/>
    <w:rsid w:val="007C5F50"/>
    <w:rsid w:val="007C5FB4"/>
    <w:rsid w:val="007C653B"/>
    <w:rsid w:val="007C668C"/>
    <w:rsid w:val="007C6A64"/>
    <w:rsid w:val="007C6BAB"/>
    <w:rsid w:val="007C6CE5"/>
    <w:rsid w:val="007C7682"/>
    <w:rsid w:val="007C7F67"/>
    <w:rsid w:val="007D05D3"/>
    <w:rsid w:val="007D06E0"/>
    <w:rsid w:val="007D0AAD"/>
    <w:rsid w:val="007D0E87"/>
    <w:rsid w:val="007D0EE4"/>
    <w:rsid w:val="007D0F88"/>
    <w:rsid w:val="007D10F2"/>
    <w:rsid w:val="007D1315"/>
    <w:rsid w:val="007D193A"/>
    <w:rsid w:val="007D1A97"/>
    <w:rsid w:val="007D1B58"/>
    <w:rsid w:val="007D2ACF"/>
    <w:rsid w:val="007D2D44"/>
    <w:rsid w:val="007D300F"/>
    <w:rsid w:val="007D311B"/>
    <w:rsid w:val="007D326E"/>
    <w:rsid w:val="007D347D"/>
    <w:rsid w:val="007D368E"/>
    <w:rsid w:val="007D3A3D"/>
    <w:rsid w:val="007D3A57"/>
    <w:rsid w:val="007D3B02"/>
    <w:rsid w:val="007D3B1D"/>
    <w:rsid w:val="007D3D99"/>
    <w:rsid w:val="007D3DDD"/>
    <w:rsid w:val="007D4353"/>
    <w:rsid w:val="007D476B"/>
    <w:rsid w:val="007D4A64"/>
    <w:rsid w:val="007D4AE8"/>
    <w:rsid w:val="007D4C7E"/>
    <w:rsid w:val="007D4D9D"/>
    <w:rsid w:val="007D4F32"/>
    <w:rsid w:val="007D5019"/>
    <w:rsid w:val="007D577F"/>
    <w:rsid w:val="007D58F6"/>
    <w:rsid w:val="007D5926"/>
    <w:rsid w:val="007D708B"/>
    <w:rsid w:val="007D7984"/>
    <w:rsid w:val="007D7B63"/>
    <w:rsid w:val="007E09BA"/>
    <w:rsid w:val="007E10C2"/>
    <w:rsid w:val="007E1553"/>
    <w:rsid w:val="007E1B45"/>
    <w:rsid w:val="007E1CD5"/>
    <w:rsid w:val="007E1D31"/>
    <w:rsid w:val="007E2901"/>
    <w:rsid w:val="007E2995"/>
    <w:rsid w:val="007E2BAE"/>
    <w:rsid w:val="007E2C3F"/>
    <w:rsid w:val="007E2DF6"/>
    <w:rsid w:val="007E3212"/>
    <w:rsid w:val="007E3EA2"/>
    <w:rsid w:val="007E40A6"/>
    <w:rsid w:val="007E45F7"/>
    <w:rsid w:val="007E4DA0"/>
    <w:rsid w:val="007E5090"/>
    <w:rsid w:val="007E55EA"/>
    <w:rsid w:val="007E5688"/>
    <w:rsid w:val="007E5D66"/>
    <w:rsid w:val="007E6FCF"/>
    <w:rsid w:val="007E7008"/>
    <w:rsid w:val="007E732E"/>
    <w:rsid w:val="007E7801"/>
    <w:rsid w:val="007E79E9"/>
    <w:rsid w:val="007E7A08"/>
    <w:rsid w:val="007E7B89"/>
    <w:rsid w:val="007E7D5E"/>
    <w:rsid w:val="007E7DEA"/>
    <w:rsid w:val="007F06E2"/>
    <w:rsid w:val="007F1105"/>
    <w:rsid w:val="007F134A"/>
    <w:rsid w:val="007F1515"/>
    <w:rsid w:val="007F16A8"/>
    <w:rsid w:val="007F20E3"/>
    <w:rsid w:val="007F22B3"/>
    <w:rsid w:val="007F251D"/>
    <w:rsid w:val="007F25D4"/>
    <w:rsid w:val="007F2706"/>
    <w:rsid w:val="007F27BE"/>
    <w:rsid w:val="007F2BC1"/>
    <w:rsid w:val="007F31D0"/>
    <w:rsid w:val="007F3207"/>
    <w:rsid w:val="007F330E"/>
    <w:rsid w:val="007F3358"/>
    <w:rsid w:val="007F358D"/>
    <w:rsid w:val="007F3769"/>
    <w:rsid w:val="007F3E19"/>
    <w:rsid w:val="007F3E93"/>
    <w:rsid w:val="007F3EA9"/>
    <w:rsid w:val="007F4C1C"/>
    <w:rsid w:val="007F4EE1"/>
    <w:rsid w:val="007F530B"/>
    <w:rsid w:val="007F5768"/>
    <w:rsid w:val="007F5893"/>
    <w:rsid w:val="007F5C75"/>
    <w:rsid w:val="007F6188"/>
    <w:rsid w:val="007F638C"/>
    <w:rsid w:val="007F7334"/>
    <w:rsid w:val="007F76A4"/>
    <w:rsid w:val="007F7D5B"/>
    <w:rsid w:val="008003A4"/>
    <w:rsid w:val="00800CD5"/>
    <w:rsid w:val="00800E79"/>
    <w:rsid w:val="00800F4C"/>
    <w:rsid w:val="00801229"/>
    <w:rsid w:val="008013F3"/>
    <w:rsid w:val="008016A0"/>
    <w:rsid w:val="008018D6"/>
    <w:rsid w:val="00801970"/>
    <w:rsid w:val="00801D9F"/>
    <w:rsid w:val="00802D61"/>
    <w:rsid w:val="00802FB7"/>
    <w:rsid w:val="00803D31"/>
    <w:rsid w:val="00804228"/>
    <w:rsid w:val="00804328"/>
    <w:rsid w:val="008043A0"/>
    <w:rsid w:val="0080478B"/>
    <w:rsid w:val="008048E9"/>
    <w:rsid w:val="008049CD"/>
    <w:rsid w:val="00804C1F"/>
    <w:rsid w:val="00804C22"/>
    <w:rsid w:val="00804E38"/>
    <w:rsid w:val="00804E97"/>
    <w:rsid w:val="00804F30"/>
    <w:rsid w:val="00805221"/>
    <w:rsid w:val="00805627"/>
    <w:rsid w:val="0080593F"/>
    <w:rsid w:val="0080606B"/>
    <w:rsid w:val="008061CD"/>
    <w:rsid w:val="008061E7"/>
    <w:rsid w:val="008063A3"/>
    <w:rsid w:val="00806FE6"/>
    <w:rsid w:val="0080754E"/>
    <w:rsid w:val="00807C54"/>
    <w:rsid w:val="00807F1B"/>
    <w:rsid w:val="00810187"/>
    <w:rsid w:val="008108A9"/>
    <w:rsid w:val="00810A64"/>
    <w:rsid w:val="00810AE6"/>
    <w:rsid w:val="0081105E"/>
    <w:rsid w:val="00811565"/>
    <w:rsid w:val="00811931"/>
    <w:rsid w:val="00811BA7"/>
    <w:rsid w:val="00811D9C"/>
    <w:rsid w:val="008130B7"/>
    <w:rsid w:val="008131D1"/>
    <w:rsid w:val="0081360F"/>
    <w:rsid w:val="008137B9"/>
    <w:rsid w:val="008139E5"/>
    <w:rsid w:val="00814112"/>
    <w:rsid w:val="00814CF3"/>
    <w:rsid w:val="00815070"/>
    <w:rsid w:val="008153A3"/>
    <w:rsid w:val="008158CF"/>
    <w:rsid w:val="00815C9B"/>
    <w:rsid w:val="00815E32"/>
    <w:rsid w:val="00816506"/>
    <w:rsid w:val="0081692F"/>
    <w:rsid w:val="00816949"/>
    <w:rsid w:val="00816B7A"/>
    <w:rsid w:val="00816DC0"/>
    <w:rsid w:val="00816E46"/>
    <w:rsid w:val="008170F5"/>
    <w:rsid w:val="00817CEE"/>
    <w:rsid w:val="00820147"/>
    <w:rsid w:val="00820F9E"/>
    <w:rsid w:val="00821345"/>
    <w:rsid w:val="00821370"/>
    <w:rsid w:val="008213F3"/>
    <w:rsid w:val="00821BDF"/>
    <w:rsid w:val="00821D10"/>
    <w:rsid w:val="00821EC0"/>
    <w:rsid w:val="0082219C"/>
    <w:rsid w:val="0082222A"/>
    <w:rsid w:val="008229B1"/>
    <w:rsid w:val="00823461"/>
    <w:rsid w:val="008234DF"/>
    <w:rsid w:val="00823614"/>
    <w:rsid w:val="00824207"/>
    <w:rsid w:val="00824808"/>
    <w:rsid w:val="008249B4"/>
    <w:rsid w:val="00824A93"/>
    <w:rsid w:val="00824F99"/>
    <w:rsid w:val="00825460"/>
    <w:rsid w:val="0082551C"/>
    <w:rsid w:val="00825D39"/>
    <w:rsid w:val="00825DED"/>
    <w:rsid w:val="00825FB5"/>
    <w:rsid w:val="00826093"/>
    <w:rsid w:val="008264D7"/>
    <w:rsid w:val="00826842"/>
    <w:rsid w:val="00826E8A"/>
    <w:rsid w:val="00826FF8"/>
    <w:rsid w:val="00827050"/>
    <w:rsid w:val="00827191"/>
    <w:rsid w:val="0082723C"/>
    <w:rsid w:val="00827633"/>
    <w:rsid w:val="0082782E"/>
    <w:rsid w:val="00827C3B"/>
    <w:rsid w:val="0083009D"/>
    <w:rsid w:val="00830641"/>
    <w:rsid w:val="00830D76"/>
    <w:rsid w:val="008310B7"/>
    <w:rsid w:val="00831231"/>
    <w:rsid w:val="008313D0"/>
    <w:rsid w:val="008316C5"/>
    <w:rsid w:val="008317E2"/>
    <w:rsid w:val="00831904"/>
    <w:rsid w:val="0083251A"/>
    <w:rsid w:val="008326DA"/>
    <w:rsid w:val="0083310C"/>
    <w:rsid w:val="008331F4"/>
    <w:rsid w:val="00833341"/>
    <w:rsid w:val="008334A2"/>
    <w:rsid w:val="0083366E"/>
    <w:rsid w:val="00833980"/>
    <w:rsid w:val="00833C4D"/>
    <w:rsid w:val="00833E25"/>
    <w:rsid w:val="00833F7A"/>
    <w:rsid w:val="00834034"/>
    <w:rsid w:val="008341BB"/>
    <w:rsid w:val="00834964"/>
    <w:rsid w:val="00835581"/>
    <w:rsid w:val="008357DB"/>
    <w:rsid w:val="00835A5F"/>
    <w:rsid w:val="0083686A"/>
    <w:rsid w:val="00836DF8"/>
    <w:rsid w:val="0083704F"/>
    <w:rsid w:val="00837221"/>
    <w:rsid w:val="008374B7"/>
    <w:rsid w:val="008375AE"/>
    <w:rsid w:val="00837922"/>
    <w:rsid w:val="00837D2F"/>
    <w:rsid w:val="00837ED2"/>
    <w:rsid w:val="0084029F"/>
    <w:rsid w:val="008402FC"/>
    <w:rsid w:val="008407E0"/>
    <w:rsid w:val="0084098A"/>
    <w:rsid w:val="00840E9D"/>
    <w:rsid w:val="00841109"/>
    <w:rsid w:val="00841223"/>
    <w:rsid w:val="0084164D"/>
    <w:rsid w:val="00841FC3"/>
    <w:rsid w:val="008422CD"/>
    <w:rsid w:val="00842DF4"/>
    <w:rsid w:val="00842F03"/>
    <w:rsid w:val="008430E3"/>
    <w:rsid w:val="00843228"/>
    <w:rsid w:val="00843965"/>
    <w:rsid w:val="008439B2"/>
    <w:rsid w:val="00843B65"/>
    <w:rsid w:val="00843D39"/>
    <w:rsid w:val="00843D9A"/>
    <w:rsid w:val="00845065"/>
    <w:rsid w:val="00845AAC"/>
    <w:rsid w:val="00845EDE"/>
    <w:rsid w:val="00845FF7"/>
    <w:rsid w:val="00845FFB"/>
    <w:rsid w:val="008462BC"/>
    <w:rsid w:val="00846BCD"/>
    <w:rsid w:val="00846F6F"/>
    <w:rsid w:val="00847193"/>
    <w:rsid w:val="0084776E"/>
    <w:rsid w:val="008477CE"/>
    <w:rsid w:val="00847EC3"/>
    <w:rsid w:val="00850346"/>
    <w:rsid w:val="008506E7"/>
    <w:rsid w:val="00851611"/>
    <w:rsid w:val="0085194F"/>
    <w:rsid w:val="00852687"/>
    <w:rsid w:val="00852773"/>
    <w:rsid w:val="00852DB3"/>
    <w:rsid w:val="00853270"/>
    <w:rsid w:val="008534E4"/>
    <w:rsid w:val="00853FB5"/>
    <w:rsid w:val="00854135"/>
    <w:rsid w:val="008543C2"/>
    <w:rsid w:val="00854624"/>
    <w:rsid w:val="00854719"/>
    <w:rsid w:val="00854799"/>
    <w:rsid w:val="008549F7"/>
    <w:rsid w:val="0085542B"/>
    <w:rsid w:val="00855ABB"/>
    <w:rsid w:val="00855C9A"/>
    <w:rsid w:val="00855D15"/>
    <w:rsid w:val="00856C92"/>
    <w:rsid w:val="00857E1E"/>
    <w:rsid w:val="008603C6"/>
    <w:rsid w:val="008618C8"/>
    <w:rsid w:val="00861990"/>
    <w:rsid w:val="00861BA2"/>
    <w:rsid w:val="00861E91"/>
    <w:rsid w:val="008622C7"/>
    <w:rsid w:val="00862638"/>
    <w:rsid w:val="008639CA"/>
    <w:rsid w:val="00864070"/>
    <w:rsid w:val="00864661"/>
    <w:rsid w:val="00864924"/>
    <w:rsid w:val="00864B5F"/>
    <w:rsid w:val="00864F99"/>
    <w:rsid w:val="0086534A"/>
    <w:rsid w:val="0086649B"/>
    <w:rsid w:val="008665F6"/>
    <w:rsid w:val="00866797"/>
    <w:rsid w:val="008667E1"/>
    <w:rsid w:val="00866843"/>
    <w:rsid w:val="00866EE2"/>
    <w:rsid w:val="008672E6"/>
    <w:rsid w:val="008675AA"/>
    <w:rsid w:val="008676AD"/>
    <w:rsid w:val="00867DEE"/>
    <w:rsid w:val="00867E33"/>
    <w:rsid w:val="0087034D"/>
    <w:rsid w:val="0087067A"/>
    <w:rsid w:val="00870D48"/>
    <w:rsid w:val="008714FD"/>
    <w:rsid w:val="00871628"/>
    <w:rsid w:val="00871A0E"/>
    <w:rsid w:val="00871A9E"/>
    <w:rsid w:val="00872332"/>
    <w:rsid w:val="008724EF"/>
    <w:rsid w:val="0087293D"/>
    <w:rsid w:val="00872D35"/>
    <w:rsid w:val="00872FB7"/>
    <w:rsid w:val="00873394"/>
    <w:rsid w:val="008734FE"/>
    <w:rsid w:val="00873A71"/>
    <w:rsid w:val="00873F85"/>
    <w:rsid w:val="0087404A"/>
    <w:rsid w:val="00874211"/>
    <w:rsid w:val="00874265"/>
    <w:rsid w:val="0087431F"/>
    <w:rsid w:val="008744E7"/>
    <w:rsid w:val="00874FC3"/>
    <w:rsid w:val="00875091"/>
    <w:rsid w:val="008756CA"/>
    <w:rsid w:val="008756F1"/>
    <w:rsid w:val="00875729"/>
    <w:rsid w:val="008759C1"/>
    <w:rsid w:val="008759F3"/>
    <w:rsid w:val="00876169"/>
    <w:rsid w:val="008769A2"/>
    <w:rsid w:val="00876DF8"/>
    <w:rsid w:val="00876E10"/>
    <w:rsid w:val="00877FEF"/>
    <w:rsid w:val="0088018D"/>
    <w:rsid w:val="00880979"/>
    <w:rsid w:val="00880E63"/>
    <w:rsid w:val="00881051"/>
    <w:rsid w:val="0088126A"/>
    <w:rsid w:val="00881BA3"/>
    <w:rsid w:val="00881CBF"/>
    <w:rsid w:val="00881D04"/>
    <w:rsid w:val="00881E2B"/>
    <w:rsid w:val="008821CB"/>
    <w:rsid w:val="00882698"/>
    <w:rsid w:val="00883186"/>
    <w:rsid w:val="008831FC"/>
    <w:rsid w:val="008834D9"/>
    <w:rsid w:val="008834E3"/>
    <w:rsid w:val="00883984"/>
    <w:rsid w:val="00884413"/>
    <w:rsid w:val="008849CF"/>
    <w:rsid w:val="00884C7C"/>
    <w:rsid w:val="0088577B"/>
    <w:rsid w:val="008858B9"/>
    <w:rsid w:val="00885CED"/>
    <w:rsid w:val="00885D5F"/>
    <w:rsid w:val="00885FAB"/>
    <w:rsid w:val="008860A3"/>
    <w:rsid w:val="008869D7"/>
    <w:rsid w:val="00886C7D"/>
    <w:rsid w:val="00887279"/>
    <w:rsid w:val="008877DA"/>
    <w:rsid w:val="00887986"/>
    <w:rsid w:val="00887EDA"/>
    <w:rsid w:val="00890242"/>
    <w:rsid w:val="008903B8"/>
    <w:rsid w:val="008903C4"/>
    <w:rsid w:val="00890AAE"/>
    <w:rsid w:val="00890FA5"/>
    <w:rsid w:val="008917F4"/>
    <w:rsid w:val="0089191C"/>
    <w:rsid w:val="00891C86"/>
    <w:rsid w:val="00891D66"/>
    <w:rsid w:val="008925CF"/>
    <w:rsid w:val="008928DE"/>
    <w:rsid w:val="00892A87"/>
    <w:rsid w:val="008937AD"/>
    <w:rsid w:val="008937E1"/>
    <w:rsid w:val="008937FE"/>
    <w:rsid w:val="00893A94"/>
    <w:rsid w:val="00893B7F"/>
    <w:rsid w:val="00894301"/>
    <w:rsid w:val="0089440D"/>
    <w:rsid w:val="0089443C"/>
    <w:rsid w:val="0089464C"/>
    <w:rsid w:val="0089487D"/>
    <w:rsid w:val="00895698"/>
    <w:rsid w:val="008963AE"/>
    <w:rsid w:val="0089647D"/>
    <w:rsid w:val="0089653D"/>
    <w:rsid w:val="0089706E"/>
    <w:rsid w:val="00897096"/>
    <w:rsid w:val="00897786"/>
    <w:rsid w:val="00897F7D"/>
    <w:rsid w:val="008A0262"/>
    <w:rsid w:val="008A06B4"/>
    <w:rsid w:val="008A0F9C"/>
    <w:rsid w:val="008A1D29"/>
    <w:rsid w:val="008A1EB8"/>
    <w:rsid w:val="008A233F"/>
    <w:rsid w:val="008A2758"/>
    <w:rsid w:val="008A2B32"/>
    <w:rsid w:val="008A328A"/>
    <w:rsid w:val="008A3A2A"/>
    <w:rsid w:val="008A3FBF"/>
    <w:rsid w:val="008A44BC"/>
    <w:rsid w:val="008A468D"/>
    <w:rsid w:val="008A4BF7"/>
    <w:rsid w:val="008A4F98"/>
    <w:rsid w:val="008A567A"/>
    <w:rsid w:val="008A5C8D"/>
    <w:rsid w:val="008A615E"/>
    <w:rsid w:val="008A6177"/>
    <w:rsid w:val="008A6568"/>
    <w:rsid w:val="008A6B61"/>
    <w:rsid w:val="008A73EE"/>
    <w:rsid w:val="008B00A3"/>
    <w:rsid w:val="008B07DF"/>
    <w:rsid w:val="008B089F"/>
    <w:rsid w:val="008B105C"/>
    <w:rsid w:val="008B1288"/>
    <w:rsid w:val="008B12F5"/>
    <w:rsid w:val="008B159D"/>
    <w:rsid w:val="008B15A2"/>
    <w:rsid w:val="008B15F6"/>
    <w:rsid w:val="008B1620"/>
    <w:rsid w:val="008B163F"/>
    <w:rsid w:val="008B1CD3"/>
    <w:rsid w:val="008B2739"/>
    <w:rsid w:val="008B2886"/>
    <w:rsid w:val="008B2C7F"/>
    <w:rsid w:val="008B35E8"/>
    <w:rsid w:val="008B3C6A"/>
    <w:rsid w:val="008B3C81"/>
    <w:rsid w:val="008B3E9A"/>
    <w:rsid w:val="008B3FDA"/>
    <w:rsid w:val="008B4509"/>
    <w:rsid w:val="008B479F"/>
    <w:rsid w:val="008B4A73"/>
    <w:rsid w:val="008B4DF8"/>
    <w:rsid w:val="008B4EBE"/>
    <w:rsid w:val="008B5148"/>
    <w:rsid w:val="008B544B"/>
    <w:rsid w:val="008B5488"/>
    <w:rsid w:val="008B5583"/>
    <w:rsid w:val="008B55FE"/>
    <w:rsid w:val="008B5B57"/>
    <w:rsid w:val="008B5B5A"/>
    <w:rsid w:val="008B5CB8"/>
    <w:rsid w:val="008B5E15"/>
    <w:rsid w:val="008B5F87"/>
    <w:rsid w:val="008B65AC"/>
    <w:rsid w:val="008B65FC"/>
    <w:rsid w:val="008B6CF9"/>
    <w:rsid w:val="008B726C"/>
    <w:rsid w:val="008B735B"/>
    <w:rsid w:val="008B764C"/>
    <w:rsid w:val="008B76A9"/>
    <w:rsid w:val="008B789A"/>
    <w:rsid w:val="008B7DF1"/>
    <w:rsid w:val="008B7E38"/>
    <w:rsid w:val="008B7F85"/>
    <w:rsid w:val="008C0283"/>
    <w:rsid w:val="008C0A20"/>
    <w:rsid w:val="008C1551"/>
    <w:rsid w:val="008C17D9"/>
    <w:rsid w:val="008C1896"/>
    <w:rsid w:val="008C20D0"/>
    <w:rsid w:val="008C21E7"/>
    <w:rsid w:val="008C226F"/>
    <w:rsid w:val="008C2759"/>
    <w:rsid w:val="008C2D82"/>
    <w:rsid w:val="008C2ECB"/>
    <w:rsid w:val="008C34A3"/>
    <w:rsid w:val="008C356C"/>
    <w:rsid w:val="008C3938"/>
    <w:rsid w:val="008C39CD"/>
    <w:rsid w:val="008C3DDF"/>
    <w:rsid w:val="008C3FCB"/>
    <w:rsid w:val="008C42A6"/>
    <w:rsid w:val="008C46BC"/>
    <w:rsid w:val="008C529E"/>
    <w:rsid w:val="008C5535"/>
    <w:rsid w:val="008C5A01"/>
    <w:rsid w:val="008C5F2B"/>
    <w:rsid w:val="008C60FF"/>
    <w:rsid w:val="008C6B06"/>
    <w:rsid w:val="008C6EC8"/>
    <w:rsid w:val="008C6F51"/>
    <w:rsid w:val="008C6FED"/>
    <w:rsid w:val="008C72F1"/>
    <w:rsid w:val="008C74C4"/>
    <w:rsid w:val="008C76CE"/>
    <w:rsid w:val="008C77B0"/>
    <w:rsid w:val="008C7AB6"/>
    <w:rsid w:val="008C7DE2"/>
    <w:rsid w:val="008D0059"/>
    <w:rsid w:val="008D01A8"/>
    <w:rsid w:val="008D0B3D"/>
    <w:rsid w:val="008D0B71"/>
    <w:rsid w:val="008D0BEF"/>
    <w:rsid w:val="008D0BF0"/>
    <w:rsid w:val="008D17A8"/>
    <w:rsid w:val="008D1A2C"/>
    <w:rsid w:val="008D2060"/>
    <w:rsid w:val="008D211A"/>
    <w:rsid w:val="008D26F3"/>
    <w:rsid w:val="008D2B3A"/>
    <w:rsid w:val="008D2D52"/>
    <w:rsid w:val="008D36F2"/>
    <w:rsid w:val="008D3789"/>
    <w:rsid w:val="008D4028"/>
    <w:rsid w:val="008D4A7F"/>
    <w:rsid w:val="008D4E37"/>
    <w:rsid w:val="008D4EB8"/>
    <w:rsid w:val="008D52FB"/>
    <w:rsid w:val="008D541A"/>
    <w:rsid w:val="008D544C"/>
    <w:rsid w:val="008D5A91"/>
    <w:rsid w:val="008D5BF5"/>
    <w:rsid w:val="008D5FC9"/>
    <w:rsid w:val="008D5FE1"/>
    <w:rsid w:val="008D602E"/>
    <w:rsid w:val="008D687A"/>
    <w:rsid w:val="008D6BCE"/>
    <w:rsid w:val="008D6EE7"/>
    <w:rsid w:val="008D7B72"/>
    <w:rsid w:val="008D7C28"/>
    <w:rsid w:val="008E02E6"/>
    <w:rsid w:val="008E08A3"/>
    <w:rsid w:val="008E08AA"/>
    <w:rsid w:val="008E0C95"/>
    <w:rsid w:val="008E124E"/>
    <w:rsid w:val="008E1F82"/>
    <w:rsid w:val="008E22B0"/>
    <w:rsid w:val="008E267F"/>
    <w:rsid w:val="008E2723"/>
    <w:rsid w:val="008E29E3"/>
    <w:rsid w:val="008E2A4C"/>
    <w:rsid w:val="008E2B63"/>
    <w:rsid w:val="008E316B"/>
    <w:rsid w:val="008E3421"/>
    <w:rsid w:val="008E415D"/>
    <w:rsid w:val="008E42FD"/>
    <w:rsid w:val="008E4305"/>
    <w:rsid w:val="008E4455"/>
    <w:rsid w:val="008E449D"/>
    <w:rsid w:val="008E497B"/>
    <w:rsid w:val="008E4AAB"/>
    <w:rsid w:val="008E4B77"/>
    <w:rsid w:val="008E4EB9"/>
    <w:rsid w:val="008E5165"/>
    <w:rsid w:val="008E526D"/>
    <w:rsid w:val="008E52FC"/>
    <w:rsid w:val="008E5ADA"/>
    <w:rsid w:val="008E5F8E"/>
    <w:rsid w:val="008E6479"/>
    <w:rsid w:val="008E6525"/>
    <w:rsid w:val="008E6810"/>
    <w:rsid w:val="008E6FE7"/>
    <w:rsid w:val="008E71CE"/>
    <w:rsid w:val="008E72F0"/>
    <w:rsid w:val="008E7937"/>
    <w:rsid w:val="008E79FA"/>
    <w:rsid w:val="008E7E35"/>
    <w:rsid w:val="008F00D2"/>
    <w:rsid w:val="008F0307"/>
    <w:rsid w:val="008F031B"/>
    <w:rsid w:val="008F0A4E"/>
    <w:rsid w:val="008F0BC2"/>
    <w:rsid w:val="008F14F8"/>
    <w:rsid w:val="008F1FDE"/>
    <w:rsid w:val="008F2370"/>
    <w:rsid w:val="008F277F"/>
    <w:rsid w:val="008F27BF"/>
    <w:rsid w:val="008F2DC4"/>
    <w:rsid w:val="008F3564"/>
    <w:rsid w:val="008F388B"/>
    <w:rsid w:val="008F38D7"/>
    <w:rsid w:val="008F39EC"/>
    <w:rsid w:val="008F3DE1"/>
    <w:rsid w:val="008F4309"/>
    <w:rsid w:val="008F4728"/>
    <w:rsid w:val="008F4744"/>
    <w:rsid w:val="008F477B"/>
    <w:rsid w:val="008F48D5"/>
    <w:rsid w:val="008F59FD"/>
    <w:rsid w:val="008F5BBA"/>
    <w:rsid w:val="008F605E"/>
    <w:rsid w:val="008F6367"/>
    <w:rsid w:val="008F6687"/>
    <w:rsid w:val="008F69A3"/>
    <w:rsid w:val="008F705E"/>
    <w:rsid w:val="008F70A1"/>
    <w:rsid w:val="008F76C0"/>
    <w:rsid w:val="008F78A3"/>
    <w:rsid w:val="008F7917"/>
    <w:rsid w:val="0090038C"/>
    <w:rsid w:val="0090055C"/>
    <w:rsid w:val="00901418"/>
    <w:rsid w:val="00901BA7"/>
    <w:rsid w:val="00901DAC"/>
    <w:rsid w:val="00901F01"/>
    <w:rsid w:val="0090219E"/>
    <w:rsid w:val="00902BF9"/>
    <w:rsid w:val="00903026"/>
    <w:rsid w:val="009030D8"/>
    <w:rsid w:val="00903424"/>
    <w:rsid w:val="00903727"/>
    <w:rsid w:val="0090382D"/>
    <w:rsid w:val="00903BB1"/>
    <w:rsid w:val="00903CAC"/>
    <w:rsid w:val="0090432A"/>
    <w:rsid w:val="00904D83"/>
    <w:rsid w:val="0090531B"/>
    <w:rsid w:val="00905650"/>
    <w:rsid w:val="00905B11"/>
    <w:rsid w:val="00905CCA"/>
    <w:rsid w:val="009066BE"/>
    <w:rsid w:val="00906985"/>
    <w:rsid w:val="00907056"/>
    <w:rsid w:val="0090761B"/>
    <w:rsid w:val="00910316"/>
    <w:rsid w:val="0091037C"/>
    <w:rsid w:val="009109E4"/>
    <w:rsid w:val="00910D25"/>
    <w:rsid w:val="009118C3"/>
    <w:rsid w:val="00911C46"/>
    <w:rsid w:val="00911E40"/>
    <w:rsid w:val="00911EA0"/>
    <w:rsid w:val="009122FB"/>
    <w:rsid w:val="00912EDB"/>
    <w:rsid w:val="00912F38"/>
    <w:rsid w:val="0091328F"/>
    <w:rsid w:val="00913500"/>
    <w:rsid w:val="00913A3C"/>
    <w:rsid w:val="009149F6"/>
    <w:rsid w:val="00914BC8"/>
    <w:rsid w:val="00914DC8"/>
    <w:rsid w:val="00914E8F"/>
    <w:rsid w:val="00914F15"/>
    <w:rsid w:val="009150ED"/>
    <w:rsid w:val="009151D2"/>
    <w:rsid w:val="009154B3"/>
    <w:rsid w:val="009159A4"/>
    <w:rsid w:val="00915F52"/>
    <w:rsid w:val="009160C8"/>
    <w:rsid w:val="0091625E"/>
    <w:rsid w:val="00916553"/>
    <w:rsid w:val="0091687F"/>
    <w:rsid w:val="00916B8C"/>
    <w:rsid w:val="00916E2A"/>
    <w:rsid w:val="00916F36"/>
    <w:rsid w:val="009175A3"/>
    <w:rsid w:val="0092044B"/>
    <w:rsid w:val="009205FB"/>
    <w:rsid w:val="0092061D"/>
    <w:rsid w:val="009206C7"/>
    <w:rsid w:val="009208DC"/>
    <w:rsid w:val="00920ED0"/>
    <w:rsid w:val="00921153"/>
    <w:rsid w:val="0092119B"/>
    <w:rsid w:val="0092154B"/>
    <w:rsid w:val="0092157B"/>
    <w:rsid w:val="009215AB"/>
    <w:rsid w:val="0092198C"/>
    <w:rsid w:val="00921A21"/>
    <w:rsid w:val="009225A7"/>
    <w:rsid w:val="009227E0"/>
    <w:rsid w:val="00922C41"/>
    <w:rsid w:val="00922E90"/>
    <w:rsid w:val="00922FC5"/>
    <w:rsid w:val="00923ADA"/>
    <w:rsid w:val="00923CE8"/>
    <w:rsid w:val="00923EDE"/>
    <w:rsid w:val="0092508D"/>
    <w:rsid w:val="00925910"/>
    <w:rsid w:val="00925F43"/>
    <w:rsid w:val="00926202"/>
    <w:rsid w:val="009267DD"/>
    <w:rsid w:val="00926AF8"/>
    <w:rsid w:val="00926C44"/>
    <w:rsid w:val="00926FB1"/>
    <w:rsid w:val="009271C5"/>
    <w:rsid w:val="0092758D"/>
    <w:rsid w:val="00927965"/>
    <w:rsid w:val="00927A5C"/>
    <w:rsid w:val="00927DB1"/>
    <w:rsid w:val="00927DBB"/>
    <w:rsid w:val="00927E94"/>
    <w:rsid w:val="00930117"/>
    <w:rsid w:val="009302B9"/>
    <w:rsid w:val="0093039F"/>
    <w:rsid w:val="009304B2"/>
    <w:rsid w:val="009306AE"/>
    <w:rsid w:val="009307B3"/>
    <w:rsid w:val="00930892"/>
    <w:rsid w:val="00930D45"/>
    <w:rsid w:val="009315C1"/>
    <w:rsid w:val="009318D1"/>
    <w:rsid w:val="00931BEA"/>
    <w:rsid w:val="00931D64"/>
    <w:rsid w:val="009320FA"/>
    <w:rsid w:val="009321C0"/>
    <w:rsid w:val="0093259A"/>
    <w:rsid w:val="00932C89"/>
    <w:rsid w:val="00932FB7"/>
    <w:rsid w:val="0093333F"/>
    <w:rsid w:val="009334A3"/>
    <w:rsid w:val="00933E06"/>
    <w:rsid w:val="00934858"/>
    <w:rsid w:val="00934FA1"/>
    <w:rsid w:val="009358AC"/>
    <w:rsid w:val="00935A5D"/>
    <w:rsid w:val="00936124"/>
    <w:rsid w:val="00936412"/>
    <w:rsid w:val="00936447"/>
    <w:rsid w:val="009370B5"/>
    <w:rsid w:val="00937263"/>
    <w:rsid w:val="00937337"/>
    <w:rsid w:val="009374FC"/>
    <w:rsid w:val="00937D4D"/>
    <w:rsid w:val="00937DB5"/>
    <w:rsid w:val="00937DD9"/>
    <w:rsid w:val="009403BF"/>
    <w:rsid w:val="0094091F"/>
    <w:rsid w:val="009411A6"/>
    <w:rsid w:val="00941480"/>
    <w:rsid w:val="00941640"/>
    <w:rsid w:val="009418F8"/>
    <w:rsid w:val="00941F76"/>
    <w:rsid w:val="00942340"/>
    <w:rsid w:val="00942C30"/>
    <w:rsid w:val="00942C65"/>
    <w:rsid w:val="00942D2D"/>
    <w:rsid w:val="00943414"/>
    <w:rsid w:val="00943482"/>
    <w:rsid w:val="0094353E"/>
    <w:rsid w:val="0094374F"/>
    <w:rsid w:val="0094418C"/>
    <w:rsid w:val="009442EA"/>
    <w:rsid w:val="00944750"/>
    <w:rsid w:val="00945215"/>
    <w:rsid w:val="009452F6"/>
    <w:rsid w:val="00945979"/>
    <w:rsid w:val="00945A13"/>
    <w:rsid w:val="009465BA"/>
    <w:rsid w:val="009469EF"/>
    <w:rsid w:val="00947B0D"/>
    <w:rsid w:val="00947F16"/>
    <w:rsid w:val="009502A7"/>
    <w:rsid w:val="00950487"/>
    <w:rsid w:val="0095053C"/>
    <w:rsid w:val="00950733"/>
    <w:rsid w:val="00950AD5"/>
    <w:rsid w:val="00950E90"/>
    <w:rsid w:val="0095104B"/>
    <w:rsid w:val="00951599"/>
    <w:rsid w:val="009519FD"/>
    <w:rsid w:val="00951A0F"/>
    <w:rsid w:val="00951A1C"/>
    <w:rsid w:val="00951AAA"/>
    <w:rsid w:val="00951B15"/>
    <w:rsid w:val="00951CDB"/>
    <w:rsid w:val="00952765"/>
    <w:rsid w:val="00952D00"/>
    <w:rsid w:val="00952F28"/>
    <w:rsid w:val="00952FC5"/>
    <w:rsid w:val="00952FD4"/>
    <w:rsid w:val="009530EB"/>
    <w:rsid w:val="00953F1B"/>
    <w:rsid w:val="00954B0C"/>
    <w:rsid w:val="00954D36"/>
    <w:rsid w:val="00955148"/>
    <w:rsid w:val="009555C4"/>
    <w:rsid w:val="0095594B"/>
    <w:rsid w:val="0095610C"/>
    <w:rsid w:val="009565DB"/>
    <w:rsid w:val="00956A85"/>
    <w:rsid w:val="00957111"/>
    <w:rsid w:val="0095770E"/>
    <w:rsid w:val="00957AA1"/>
    <w:rsid w:val="00957F70"/>
    <w:rsid w:val="00960682"/>
    <w:rsid w:val="00960C09"/>
    <w:rsid w:val="00960C26"/>
    <w:rsid w:val="00960D33"/>
    <w:rsid w:val="009612C5"/>
    <w:rsid w:val="00961766"/>
    <w:rsid w:val="009617C4"/>
    <w:rsid w:val="00961801"/>
    <w:rsid w:val="00962379"/>
    <w:rsid w:val="009625DD"/>
    <w:rsid w:val="00962ABE"/>
    <w:rsid w:val="00962CCF"/>
    <w:rsid w:val="00962D0E"/>
    <w:rsid w:val="00962FA2"/>
    <w:rsid w:val="0096338F"/>
    <w:rsid w:val="00963D1E"/>
    <w:rsid w:val="00963D69"/>
    <w:rsid w:val="0096442D"/>
    <w:rsid w:val="00964721"/>
    <w:rsid w:val="009648DD"/>
    <w:rsid w:val="0096490E"/>
    <w:rsid w:val="00965243"/>
    <w:rsid w:val="0096584F"/>
    <w:rsid w:val="00965D20"/>
    <w:rsid w:val="00965F62"/>
    <w:rsid w:val="009661EF"/>
    <w:rsid w:val="009663EA"/>
    <w:rsid w:val="0096659C"/>
    <w:rsid w:val="00966607"/>
    <w:rsid w:val="00966782"/>
    <w:rsid w:val="009667B8"/>
    <w:rsid w:val="00966860"/>
    <w:rsid w:val="00966AEE"/>
    <w:rsid w:val="00966E49"/>
    <w:rsid w:val="009671D9"/>
    <w:rsid w:val="00967438"/>
    <w:rsid w:val="00967583"/>
    <w:rsid w:val="00967D50"/>
    <w:rsid w:val="00970285"/>
    <w:rsid w:val="00970321"/>
    <w:rsid w:val="009704CA"/>
    <w:rsid w:val="009705AD"/>
    <w:rsid w:val="00970AF0"/>
    <w:rsid w:val="00970B02"/>
    <w:rsid w:val="00970F0E"/>
    <w:rsid w:val="00970F66"/>
    <w:rsid w:val="00971671"/>
    <w:rsid w:val="00971964"/>
    <w:rsid w:val="00971A7E"/>
    <w:rsid w:val="00971D12"/>
    <w:rsid w:val="00971EE7"/>
    <w:rsid w:val="00971EF1"/>
    <w:rsid w:val="00971F39"/>
    <w:rsid w:val="00972157"/>
    <w:rsid w:val="009722F0"/>
    <w:rsid w:val="009723E4"/>
    <w:rsid w:val="00972791"/>
    <w:rsid w:val="00972842"/>
    <w:rsid w:val="00972C47"/>
    <w:rsid w:val="0097304A"/>
    <w:rsid w:val="0097358B"/>
    <w:rsid w:val="00973628"/>
    <w:rsid w:val="00973DF7"/>
    <w:rsid w:val="00974274"/>
    <w:rsid w:val="009743EE"/>
    <w:rsid w:val="00974BAE"/>
    <w:rsid w:val="00974E20"/>
    <w:rsid w:val="00974FF9"/>
    <w:rsid w:val="0097516E"/>
    <w:rsid w:val="00975287"/>
    <w:rsid w:val="0097531F"/>
    <w:rsid w:val="00975C89"/>
    <w:rsid w:val="00975D70"/>
    <w:rsid w:val="00975FCF"/>
    <w:rsid w:val="0097665A"/>
    <w:rsid w:val="00976F59"/>
    <w:rsid w:val="0098062B"/>
    <w:rsid w:val="0098066F"/>
    <w:rsid w:val="00980DA9"/>
    <w:rsid w:val="00981096"/>
    <w:rsid w:val="009812E8"/>
    <w:rsid w:val="009814D7"/>
    <w:rsid w:val="00981D98"/>
    <w:rsid w:val="00981E6E"/>
    <w:rsid w:val="00981ED2"/>
    <w:rsid w:val="00981F8D"/>
    <w:rsid w:val="00982150"/>
    <w:rsid w:val="0098222C"/>
    <w:rsid w:val="00982C9A"/>
    <w:rsid w:val="00982D93"/>
    <w:rsid w:val="00982F48"/>
    <w:rsid w:val="0098302F"/>
    <w:rsid w:val="009832FF"/>
    <w:rsid w:val="009835EF"/>
    <w:rsid w:val="009839CA"/>
    <w:rsid w:val="00983A83"/>
    <w:rsid w:val="00983D21"/>
    <w:rsid w:val="00983F8A"/>
    <w:rsid w:val="00984084"/>
    <w:rsid w:val="00984ABE"/>
    <w:rsid w:val="00985648"/>
    <w:rsid w:val="00985C93"/>
    <w:rsid w:val="00985DBC"/>
    <w:rsid w:val="00985F8F"/>
    <w:rsid w:val="0098635F"/>
    <w:rsid w:val="0098684F"/>
    <w:rsid w:val="00986F33"/>
    <w:rsid w:val="00987356"/>
    <w:rsid w:val="00987F2D"/>
    <w:rsid w:val="0099017A"/>
    <w:rsid w:val="00990363"/>
    <w:rsid w:val="009908F4"/>
    <w:rsid w:val="00990A09"/>
    <w:rsid w:val="0099150F"/>
    <w:rsid w:val="009918FE"/>
    <w:rsid w:val="00991F2A"/>
    <w:rsid w:val="00992078"/>
    <w:rsid w:val="00992090"/>
    <w:rsid w:val="009925E2"/>
    <w:rsid w:val="00992615"/>
    <w:rsid w:val="00993015"/>
    <w:rsid w:val="00993824"/>
    <w:rsid w:val="009939DE"/>
    <w:rsid w:val="00993E6F"/>
    <w:rsid w:val="00994249"/>
    <w:rsid w:val="00994726"/>
    <w:rsid w:val="00994853"/>
    <w:rsid w:val="009955FC"/>
    <w:rsid w:val="0099577D"/>
    <w:rsid w:val="009957F8"/>
    <w:rsid w:val="00995B55"/>
    <w:rsid w:val="00997068"/>
    <w:rsid w:val="0099712F"/>
    <w:rsid w:val="009971C1"/>
    <w:rsid w:val="009979FD"/>
    <w:rsid w:val="00997ECF"/>
    <w:rsid w:val="009A03C9"/>
    <w:rsid w:val="009A04BD"/>
    <w:rsid w:val="009A0E15"/>
    <w:rsid w:val="009A10B2"/>
    <w:rsid w:val="009A1DEA"/>
    <w:rsid w:val="009A1F1C"/>
    <w:rsid w:val="009A2154"/>
    <w:rsid w:val="009A2213"/>
    <w:rsid w:val="009A3328"/>
    <w:rsid w:val="009A33BE"/>
    <w:rsid w:val="009A3866"/>
    <w:rsid w:val="009A426A"/>
    <w:rsid w:val="009A4A32"/>
    <w:rsid w:val="009A4AF3"/>
    <w:rsid w:val="009A53C8"/>
    <w:rsid w:val="009A5482"/>
    <w:rsid w:val="009A5A75"/>
    <w:rsid w:val="009A5B21"/>
    <w:rsid w:val="009A5EB1"/>
    <w:rsid w:val="009A61F3"/>
    <w:rsid w:val="009A68EE"/>
    <w:rsid w:val="009A69EF"/>
    <w:rsid w:val="009A6D8B"/>
    <w:rsid w:val="009A727A"/>
    <w:rsid w:val="009B0009"/>
    <w:rsid w:val="009B01AF"/>
    <w:rsid w:val="009B0347"/>
    <w:rsid w:val="009B03D2"/>
    <w:rsid w:val="009B04A3"/>
    <w:rsid w:val="009B0EB8"/>
    <w:rsid w:val="009B10FE"/>
    <w:rsid w:val="009B159F"/>
    <w:rsid w:val="009B15AD"/>
    <w:rsid w:val="009B1F7F"/>
    <w:rsid w:val="009B2110"/>
    <w:rsid w:val="009B23BC"/>
    <w:rsid w:val="009B2474"/>
    <w:rsid w:val="009B28B3"/>
    <w:rsid w:val="009B2B8F"/>
    <w:rsid w:val="009B2C01"/>
    <w:rsid w:val="009B2C96"/>
    <w:rsid w:val="009B2EC1"/>
    <w:rsid w:val="009B3289"/>
    <w:rsid w:val="009B3995"/>
    <w:rsid w:val="009B3A2E"/>
    <w:rsid w:val="009B3A30"/>
    <w:rsid w:val="009B3A50"/>
    <w:rsid w:val="009B416C"/>
    <w:rsid w:val="009B4185"/>
    <w:rsid w:val="009B41C2"/>
    <w:rsid w:val="009B4677"/>
    <w:rsid w:val="009B4978"/>
    <w:rsid w:val="009B4AE4"/>
    <w:rsid w:val="009B4C67"/>
    <w:rsid w:val="009B4D64"/>
    <w:rsid w:val="009B50AB"/>
    <w:rsid w:val="009B5275"/>
    <w:rsid w:val="009B54DB"/>
    <w:rsid w:val="009B54EB"/>
    <w:rsid w:val="009B6835"/>
    <w:rsid w:val="009B6B6B"/>
    <w:rsid w:val="009B7320"/>
    <w:rsid w:val="009B7EF2"/>
    <w:rsid w:val="009B7FBE"/>
    <w:rsid w:val="009C01DC"/>
    <w:rsid w:val="009C038A"/>
    <w:rsid w:val="009C06FF"/>
    <w:rsid w:val="009C084D"/>
    <w:rsid w:val="009C0AE0"/>
    <w:rsid w:val="009C0BE6"/>
    <w:rsid w:val="009C0CEB"/>
    <w:rsid w:val="009C10D7"/>
    <w:rsid w:val="009C1650"/>
    <w:rsid w:val="009C19FD"/>
    <w:rsid w:val="009C1D44"/>
    <w:rsid w:val="009C1F8F"/>
    <w:rsid w:val="009C2007"/>
    <w:rsid w:val="009C27A3"/>
    <w:rsid w:val="009C29C3"/>
    <w:rsid w:val="009C2B1B"/>
    <w:rsid w:val="009C357E"/>
    <w:rsid w:val="009C407A"/>
    <w:rsid w:val="009C4229"/>
    <w:rsid w:val="009C44FE"/>
    <w:rsid w:val="009C4761"/>
    <w:rsid w:val="009C49FF"/>
    <w:rsid w:val="009C4BCE"/>
    <w:rsid w:val="009C51E1"/>
    <w:rsid w:val="009C532E"/>
    <w:rsid w:val="009C59D3"/>
    <w:rsid w:val="009C5DA8"/>
    <w:rsid w:val="009C60E6"/>
    <w:rsid w:val="009C6AF0"/>
    <w:rsid w:val="009C6EC8"/>
    <w:rsid w:val="009C722B"/>
    <w:rsid w:val="009C7402"/>
    <w:rsid w:val="009C74FE"/>
    <w:rsid w:val="009C753A"/>
    <w:rsid w:val="009C7B48"/>
    <w:rsid w:val="009D0653"/>
    <w:rsid w:val="009D09A2"/>
    <w:rsid w:val="009D1489"/>
    <w:rsid w:val="009D15C5"/>
    <w:rsid w:val="009D197F"/>
    <w:rsid w:val="009D1B8B"/>
    <w:rsid w:val="009D2100"/>
    <w:rsid w:val="009D33F1"/>
    <w:rsid w:val="009D3697"/>
    <w:rsid w:val="009D3776"/>
    <w:rsid w:val="009D3BB2"/>
    <w:rsid w:val="009D3DDC"/>
    <w:rsid w:val="009D3E6D"/>
    <w:rsid w:val="009D4405"/>
    <w:rsid w:val="009D44DA"/>
    <w:rsid w:val="009D4689"/>
    <w:rsid w:val="009D46C4"/>
    <w:rsid w:val="009D4838"/>
    <w:rsid w:val="009D50B1"/>
    <w:rsid w:val="009D55DD"/>
    <w:rsid w:val="009D5682"/>
    <w:rsid w:val="009D56F7"/>
    <w:rsid w:val="009D5AC0"/>
    <w:rsid w:val="009D5AC5"/>
    <w:rsid w:val="009D608B"/>
    <w:rsid w:val="009D6314"/>
    <w:rsid w:val="009D6BAD"/>
    <w:rsid w:val="009D6D9A"/>
    <w:rsid w:val="009D6E5F"/>
    <w:rsid w:val="009D762F"/>
    <w:rsid w:val="009D7DC0"/>
    <w:rsid w:val="009E0774"/>
    <w:rsid w:val="009E0AA0"/>
    <w:rsid w:val="009E0EE1"/>
    <w:rsid w:val="009E113B"/>
    <w:rsid w:val="009E1604"/>
    <w:rsid w:val="009E1D62"/>
    <w:rsid w:val="009E237E"/>
    <w:rsid w:val="009E245F"/>
    <w:rsid w:val="009E286B"/>
    <w:rsid w:val="009E2E35"/>
    <w:rsid w:val="009E2E67"/>
    <w:rsid w:val="009E323E"/>
    <w:rsid w:val="009E3294"/>
    <w:rsid w:val="009E36E2"/>
    <w:rsid w:val="009E3740"/>
    <w:rsid w:val="009E3BA4"/>
    <w:rsid w:val="009E3DA2"/>
    <w:rsid w:val="009E4FEB"/>
    <w:rsid w:val="009E5C1E"/>
    <w:rsid w:val="009E5EA9"/>
    <w:rsid w:val="009E62C2"/>
    <w:rsid w:val="009E657B"/>
    <w:rsid w:val="009E6709"/>
    <w:rsid w:val="009E7E59"/>
    <w:rsid w:val="009F05E9"/>
    <w:rsid w:val="009F06FD"/>
    <w:rsid w:val="009F093B"/>
    <w:rsid w:val="009F1936"/>
    <w:rsid w:val="009F1944"/>
    <w:rsid w:val="009F1D15"/>
    <w:rsid w:val="009F1F2D"/>
    <w:rsid w:val="009F1F7F"/>
    <w:rsid w:val="009F2022"/>
    <w:rsid w:val="009F2798"/>
    <w:rsid w:val="009F2CD3"/>
    <w:rsid w:val="009F3143"/>
    <w:rsid w:val="009F348C"/>
    <w:rsid w:val="009F416F"/>
    <w:rsid w:val="009F423E"/>
    <w:rsid w:val="009F4447"/>
    <w:rsid w:val="009F4528"/>
    <w:rsid w:val="009F4810"/>
    <w:rsid w:val="009F49E8"/>
    <w:rsid w:val="009F4B48"/>
    <w:rsid w:val="009F4D53"/>
    <w:rsid w:val="009F4D6A"/>
    <w:rsid w:val="009F5726"/>
    <w:rsid w:val="009F5B7D"/>
    <w:rsid w:val="009F5C57"/>
    <w:rsid w:val="009F5DE2"/>
    <w:rsid w:val="009F5E28"/>
    <w:rsid w:val="009F631F"/>
    <w:rsid w:val="009F6D58"/>
    <w:rsid w:val="009F707C"/>
    <w:rsid w:val="009F7D6B"/>
    <w:rsid w:val="00A002D0"/>
    <w:rsid w:val="00A004C5"/>
    <w:rsid w:val="00A00B8D"/>
    <w:rsid w:val="00A00D6A"/>
    <w:rsid w:val="00A0108A"/>
    <w:rsid w:val="00A010D3"/>
    <w:rsid w:val="00A01483"/>
    <w:rsid w:val="00A017C1"/>
    <w:rsid w:val="00A01947"/>
    <w:rsid w:val="00A01E05"/>
    <w:rsid w:val="00A0214C"/>
    <w:rsid w:val="00A02534"/>
    <w:rsid w:val="00A02622"/>
    <w:rsid w:val="00A02ACB"/>
    <w:rsid w:val="00A02FC7"/>
    <w:rsid w:val="00A037D3"/>
    <w:rsid w:val="00A03826"/>
    <w:rsid w:val="00A039CE"/>
    <w:rsid w:val="00A03B1D"/>
    <w:rsid w:val="00A03E62"/>
    <w:rsid w:val="00A03EA8"/>
    <w:rsid w:val="00A04607"/>
    <w:rsid w:val="00A04DAB"/>
    <w:rsid w:val="00A05230"/>
    <w:rsid w:val="00A054CE"/>
    <w:rsid w:val="00A055FB"/>
    <w:rsid w:val="00A05809"/>
    <w:rsid w:val="00A05A70"/>
    <w:rsid w:val="00A05D5D"/>
    <w:rsid w:val="00A05E6D"/>
    <w:rsid w:val="00A05EB5"/>
    <w:rsid w:val="00A06280"/>
    <w:rsid w:val="00A063F9"/>
    <w:rsid w:val="00A067C2"/>
    <w:rsid w:val="00A069FC"/>
    <w:rsid w:val="00A06D28"/>
    <w:rsid w:val="00A06D3B"/>
    <w:rsid w:val="00A0709B"/>
    <w:rsid w:val="00A07DD2"/>
    <w:rsid w:val="00A1016A"/>
    <w:rsid w:val="00A10A95"/>
    <w:rsid w:val="00A10A9E"/>
    <w:rsid w:val="00A11238"/>
    <w:rsid w:val="00A1130F"/>
    <w:rsid w:val="00A114D7"/>
    <w:rsid w:val="00A12351"/>
    <w:rsid w:val="00A12A4C"/>
    <w:rsid w:val="00A12D56"/>
    <w:rsid w:val="00A1307B"/>
    <w:rsid w:val="00A13351"/>
    <w:rsid w:val="00A134F7"/>
    <w:rsid w:val="00A13573"/>
    <w:rsid w:val="00A13913"/>
    <w:rsid w:val="00A14171"/>
    <w:rsid w:val="00A14740"/>
    <w:rsid w:val="00A148BB"/>
    <w:rsid w:val="00A148F0"/>
    <w:rsid w:val="00A14BBB"/>
    <w:rsid w:val="00A14D5A"/>
    <w:rsid w:val="00A1503F"/>
    <w:rsid w:val="00A15AF0"/>
    <w:rsid w:val="00A15C0C"/>
    <w:rsid w:val="00A16100"/>
    <w:rsid w:val="00A1633D"/>
    <w:rsid w:val="00A16427"/>
    <w:rsid w:val="00A16479"/>
    <w:rsid w:val="00A1662E"/>
    <w:rsid w:val="00A16E19"/>
    <w:rsid w:val="00A173A7"/>
    <w:rsid w:val="00A17557"/>
    <w:rsid w:val="00A17973"/>
    <w:rsid w:val="00A17CA5"/>
    <w:rsid w:val="00A17F16"/>
    <w:rsid w:val="00A2005C"/>
    <w:rsid w:val="00A2085E"/>
    <w:rsid w:val="00A2091B"/>
    <w:rsid w:val="00A209A0"/>
    <w:rsid w:val="00A214CC"/>
    <w:rsid w:val="00A21620"/>
    <w:rsid w:val="00A21D05"/>
    <w:rsid w:val="00A21D78"/>
    <w:rsid w:val="00A220F8"/>
    <w:rsid w:val="00A2258A"/>
    <w:rsid w:val="00A22D66"/>
    <w:rsid w:val="00A22DA7"/>
    <w:rsid w:val="00A23067"/>
    <w:rsid w:val="00A230C0"/>
    <w:rsid w:val="00A23983"/>
    <w:rsid w:val="00A23A4C"/>
    <w:rsid w:val="00A24467"/>
    <w:rsid w:val="00A24A6D"/>
    <w:rsid w:val="00A24BB8"/>
    <w:rsid w:val="00A24BF9"/>
    <w:rsid w:val="00A250C4"/>
    <w:rsid w:val="00A25C69"/>
    <w:rsid w:val="00A25C84"/>
    <w:rsid w:val="00A25CF5"/>
    <w:rsid w:val="00A264C1"/>
    <w:rsid w:val="00A2688B"/>
    <w:rsid w:val="00A26C27"/>
    <w:rsid w:val="00A26C2C"/>
    <w:rsid w:val="00A26D4C"/>
    <w:rsid w:val="00A2704D"/>
    <w:rsid w:val="00A277B4"/>
    <w:rsid w:val="00A27B5E"/>
    <w:rsid w:val="00A27DDE"/>
    <w:rsid w:val="00A305BE"/>
    <w:rsid w:val="00A308DC"/>
    <w:rsid w:val="00A30E7D"/>
    <w:rsid w:val="00A316FF"/>
    <w:rsid w:val="00A31855"/>
    <w:rsid w:val="00A31EA7"/>
    <w:rsid w:val="00A31F02"/>
    <w:rsid w:val="00A322F7"/>
    <w:rsid w:val="00A3302F"/>
    <w:rsid w:val="00A332BC"/>
    <w:rsid w:val="00A3362C"/>
    <w:rsid w:val="00A33EF9"/>
    <w:rsid w:val="00A33F13"/>
    <w:rsid w:val="00A33FD1"/>
    <w:rsid w:val="00A343EE"/>
    <w:rsid w:val="00A34AB4"/>
    <w:rsid w:val="00A34B2A"/>
    <w:rsid w:val="00A3525A"/>
    <w:rsid w:val="00A35C4D"/>
    <w:rsid w:val="00A36FAE"/>
    <w:rsid w:val="00A3700E"/>
    <w:rsid w:val="00A3708C"/>
    <w:rsid w:val="00A3714B"/>
    <w:rsid w:val="00A37228"/>
    <w:rsid w:val="00A3745E"/>
    <w:rsid w:val="00A37A94"/>
    <w:rsid w:val="00A37C18"/>
    <w:rsid w:val="00A37EBF"/>
    <w:rsid w:val="00A40381"/>
    <w:rsid w:val="00A404EE"/>
    <w:rsid w:val="00A40D06"/>
    <w:rsid w:val="00A40D79"/>
    <w:rsid w:val="00A4115F"/>
    <w:rsid w:val="00A41651"/>
    <w:rsid w:val="00A41864"/>
    <w:rsid w:val="00A41A36"/>
    <w:rsid w:val="00A41B5B"/>
    <w:rsid w:val="00A41CC1"/>
    <w:rsid w:val="00A41E21"/>
    <w:rsid w:val="00A420B7"/>
    <w:rsid w:val="00A429C7"/>
    <w:rsid w:val="00A42F5C"/>
    <w:rsid w:val="00A43284"/>
    <w:rsid w:val="00A432A6"/>
    <w:rsid w:val="00A43898"/>
    <w:rsid w:val="00A43F1D"/>
    <w:rsid w:val="00A44045"/>
    <w:rsid w:val="00A4412D"/>
    <w:rsid w:val="00A44705"/>
    <w:rsid w:val="00A447B0"/>
    <w:rsid w:val="00A44CC8"/>
    <w:rsid w:val="00A451C8"/>
    <w:rsid w:val="00A4526B"/>
    <w:rsid w:val="00A4571D"/>
    <w:rsid w:val="00A45970"/>
    <w:rsid w:val="00A45B24"/>
    <w:rsid w:val="00A45BB3"/>
    <w:rsid w:val="00A45DF1"/>
    <w:rsid w:val="00A45ECC"/>
    <w:rsid w:val="00A46009"/>
    <w:rsid w:val="00A461B4"/>
    <w:rsid w:val="00A46220"/>
    <w:rsid w:val="00A46251"/>
    <w:rsid w:val="00A46B5B"/>
    <w:rsid w:val="00A46E2D"/>
    <w:rsid w:val="00A47290"/>
    <w:rsid w:val="00A47389"/>
    <w:rsid w:val="00A47AA2"/>
    <w:rsid w:val="00A50052"/>
    <w:rsid w:val="00A50102"/>
    <w:rsid w:val="00A50176"/>
    <w:rsid w:val="00A50616"/>
    <w:rsid w:val="00A50752"/>
    <w:rsid w:val="00A509B0"/>
    <w:rsid w:val="00A50D67"/>
    <w:rsid w:val="00A51204"/>
    <w:rsid w:val="00A51BB3"/>
    <w:rsid w:val="00A51EC8"/>
    <w:rsid w:val="00A529E6"/>
    <w:rsid w:val="00A52A3E"/>
    <w:rsid w:val="00A52C68"/>
    <w:rsid w:val="00A52DFB"/>
    <w:rsid w:val="00A5338B"/>
    <w:rsid w:val="00A537AB"/>
    <w:rsid w:val="00A53ABD"/>
    <w:rsid w:val="00A53B5D"/>
    <w:rsid w:val="00A53E9A"/>
    <w:rsid w:val="00A53F9F"/>
    <w:rsid w:val="00A54281"/>
    <w:rsid w:val="00A54422"/>
    <w:rsid w:val="00A5452A"/>
    <w:rsid w:val="00A548A5"/>
    <w:rsid w:val="00A54D39"/>
    <w:rsid w:val="00A54EEA"/>
    <w:rsid w:val="00A552D8"/>
    <w:rsid w:val="00A554FC"/>
    <w:rsid w:val="00A55860"/>
    <w:rsid w:val="00A55F17"/>
    <w:rsid w:val="00A56231"/>
    <w:rsid w:val="00A56414"/>
    <w:rsid w:val="00A56426"/>
    <w:rsid w:val="00A564C5"/>
    <w:rsid w:val="00A564ED"/>
    <w:rsid w:val="00A56E38"/>
    <w:rsid w:val="00A5722B"/>
    <w:rsid w:val="00A572E8"/>
    <w:rsid w:val="00A57367"/>
    <w:rsid w:val="00A57828"/>
    <w:rsid w:val="00A579C7"/>
    <w:rsid w:val="00A57A3E"/>
    <w:rsid w:val="00A57CE5"/>
    <w:rsid w:val="00A604BB"/>
    <w:rsid w:val="00A61887"/>
    <w:rsid w:val="00A61B06"/>
    <w:rsid w:val="00A61DB5"/>
    <w:rsid w:val="00A61DEF"/>
    <w:rsid w:val="00A62431"/>
    <w:rsid w:val="00A62DE2"/>
    <w:rsid w:val="00A62FB7"/>
    <w:rsid w:val="00A63479"/>
    <w:rsid w:val="00A63671"/>
    <w:rsid w:val="00A63803"/>
    <w:rsid w:val="00A63BF0"/>
    <w:rsid w:val="00A63C16"/>
    <w:rsid w:val="00A63FB5"/>
    <w:rsid w:val="00A6463E"/>
    <w:rsid w:val="00A649AB"/>
    <w:rsid w:val="00A64A87"/>
    <w:rsid w:val="00A64C59"/>
    <w:rsid w:val="00A64E88"/>
    <w:rsid w:val="00A6506F"/>
    <w:rsid w:val="00A65077"/>
    <w:rsid w:val="00A6510C"/>
    <w:rsid w:val="00A65A40"/>
    <w:rsid w:val="00A65A5D"/>
    <w:rsid w:val="00A65F63"/>
    <w:rsid w:val="00A66260"/>
    <w:rsid w:val="00A66791"/>
    <w:rsid w:val="00A673DB"/>
    <w:rsid w:val="00A67CE6"/>
    <w:rsid w:val="00A7030D"/>
    <w:rsid w:val="00A7039D"/>
    <w:rsid w:val="00A716B9"/>
    <w:rsid w:val="00A71770"/>
    <w:rsid w:val="00A721CA"/>
    <w:rsid w:val="00A72915"/>
    <w:rsid w:val="00A72A2C"/>
    <w:rsid w:val="00A72A88"/>
    <w:rsid w:val="00A72B62"/>
    <w:rsid w:val="00A72DDC"/>
    <w:rsid w:val="00A730A2"/>
    <w:rsid w:val="00A73385"/>
    <w:rsid w:val="00A734CE"/>
    <w:rsid w:val="00A73651"/>
    <w:rsid w:val="00A73737"/>
    <w:rsid w:val="00A73E0F"/>
    <w:rsid w:val="00A73F37"/>
    <w:rsid w:val="00A742F9"/>
    <w:rsid w:val="00A746B3"/>
    <w:rsid w:val="00A74AB0"/>
    <w:rsid w:val="00A74C80"/>
    <w:rsid w:val="00A75741"/>
    <w:rsid w:val="00A75D85"/>
    <w:rsid w:val="00A75DDB"/>
    <w:rsid w:val="00A75DEF"/>
    <w:rsid w:val="00A75F60"/>
    <w:rsid w:val="00A7624A"/>
    <w:rsid w:val="00A762E0"/>
    <w:rsid w:val="00A767BA"/>
    <w:rsid w:val="00A76E5D"/>
    <w:rsid w:val="00A77151"/>
    <w:rsid w:val="00A77182"/>
    <w:rsid w:val="00A77487"/>
    <w:rsid w:val="00A77ACA"/>
    <w:rsid w:val="00A77F88"/>
    <w:rsid w:val="00A805FE"/>
    <w:rsid w:val="00A806A5"/>
    <w:rsid w:val="00A808A9"/>
    <w:rsid w:val="00A80D8B"/>
    <w:rsid w:val="00A8161F"/>
    <w:rsid w:val="00A81642"/>
    <w:rsid w:val="00A81772"/>
    <w:rsid w:val="00A81FCF"/>
    <w:rsid w:val="00A82A17"/>
    <w:rsid w:val="00A83B52"/>
    <w:rsid w:val="00A83FB6"/>
    <w:rsid w:val="00A84482"/>
    <w:rsid w:val="00A8495C"/>
    <w:rsid w:val="00A85283"/>
    <w:rsid w:val="00A868B0"/>
    <w:rsid w:val="00A8745C"/>
    <w:rsid w:val="00A87564"/>
    <w:rsid w:val="00A876F2"/>
    <w:rsid w:val="00A87A4C"/>
    <w:rsid w:val="00A902B0"/>
    <w:rsid w:val="00A907E4"/>
    <w:rsid w:val="00A9098D"/>
    <w:rsid w:val="00A91E63"/>
    <w:rsid w:val="00A92019"/>
    <w:rsid w:val="00A92C39"/>
    <w:rsid w:val="00A932C0"/>
    <w:rsid w:val="00A93883"/>
    <w:rsid w:val="00A938E4"/>
    <w:rsid w:val="00A93959"/>
    <w:rsid w:val="00A93D1C"/>
    <w:rsid w:val="00A94007"/>
    <w:rsid w:val="00A9477E"/>
    <w:rsid w:val="00A94C4D"/>
    <w:rsid w:val="00A94EC1"/>
    <w:rsid w:val="00A94FB5"/>
    <w:rsid w:val="00A95380"/>
    <w:rsid w:val="00A95D5D"/>
    <w:rsid w:val="00A95D6B"/>
    <w:rsid w:val="00A961EC"/>
    <w:rsid w:val="00A96577"/>
    <w:rsid w:val="00A965F8"/>
    <w:rsid w:val="00A9735B"/>
    <w:rsid w:val="00A978C5"/>
    <w:rsid w:val="00A97D30"/>
    <w:rsid w:val="00A97DCA"/>
    <w:rsid w:val="00A97E11"/>
    <w:rsid w:val="00AA0501"/>
    <w:rsid w:val="00AA0726"/>
    <w:rsid w:val="00AA0BD9"/>
    <w:rsid w:val="00AA0F2E"/>
    <w:rsid w:val="00AA133E"/>
    <w:rsid w:val="00AA1755"/>
    <w:rsid w:val="00AA19C2"/>
    <w:rsid w:val="00AA1EC4"/>
    <w:rsid w:val="00AA20D0"/>
    <w:rsid w:val="00AA20F8"/>
    <w:rsid w:val="00AA2CF1"/>
    <w:rsid w:val="00AA3041"/>
    <w:rsid w:val="00AA3202"/>
    <w:rsid w:val="00AA322A"/>
    <w:rsid w:val="00AA323C"/>
    <w:rsid w:val="00AA32A7"/>
    <w:rsid w:val="00AA3A46"/>
    <w:rsid w:val="00AA3BC0"/>
    <w:rsid w:val="00AA4B06"/>
    <w:rsid w:val="00AA4B81"/>
    <w:rsid w:val="00AA4BC6"/>
    <w:rsid w:val="00AA4C7A"/>
    <w:rsid w:val="00AA550A"/>
    <w:rsid w:val="00AA5580"/>
    <w:rsid w:val="00AA570C"/>
    <w:rsid w:val="00AA57DD"/>
    <w:rsid w:val="00AA5D46"/>
    <w:rsid w:val="00AA6668"/>
    <w:rsid w:val="00AA6BE3"/>
    <w:rsid w:val="00AA7085"/>
    <w:rsid w:val="00AA72D6"/>
    <w:rsid w:val="00AA7529"/>
    <w:rsid w:val="00AA7920"/>
    <w:rsid w:val="00AA7F60"/>
    <w:rsid w:val="00AB0A5D"/>
    <w:rsid w:val="00AB0C62"/>
    <w:rsid w:val="00AB0D68"/>
    <w:rsid w:val="00AB0E81"/>
    <w:rsid w:val="00AB1332"/>
    <w:rsid w:val="00AB14AE"/>
    <w:rsid w:val="00AB14C1"/>
    <w:rsid w:val="00AB18A9"/>
    <w:rsid w:val="00AB2370"/>
    <w:rsid w:val="00AB257C"/>
    <w:rsid w:val="00AB2999"/>
    <w:rsid w:val="00AB29E1"/>
    <w:rsid w:val="00AB2E84"/>
    <w:rsid w:val="00AB2F33"/>
    <w:rsid w:val="00AB328E"/>
    <w:rsid w:val="00AB35EB"/>
    <w:rsid w:val="00AB3C1A"/>
    <w:rsid w:val="00AB3EFB"/>
    <w:rsid w:val="00AB3FD6"/>
    <w:rsid w:val="00AB456B"/>
    <w:rsid w:val="00AB4586"/>
    <w:rsid w:val="00AB4639"/>
    <w:rsid w:val="00AB4F05"/>
    <w:rsid w:val="00AB50FC"/>
    <w:rsid w:val="00AB5931"/>
    <w:rsid w:val="00AB5D8F"/>
    <w:rsid w:val="00AB61F2"/>
    <w:rsid w:val="00AB6D3B"/>
    <w:rsid w:val="00AB719E"/>
    <w:rsid w:val="00AB74E7"/>
    <w:rsid w:val="00AB763B"/>
    <w:rsid w:val="00AB76C5"/>
    <w:rsid w:val="00AB78AE"/>
    <w:rsid w:val="00AB7953"/>
    <w:rsid w:val="00AC00B1"/>
    <w:rsid w:val="00AC067D"/>
    <w:rsid w:val="00AC0C4B"/>
    <w:rsid w:val="00AC0C5A"/>
    <w:rsid w:val="00AC1437"/>
    <w:rsid w:val="00AC14DA"/>
    <w:rsid w:val="00AC1628"/>
    <w:rsid w:val="00AC1C4C"/>
    <w:rsid w:val="00AC1CD1"/>
    <w:rsid w:val="00AC1D62"/>
    <w:rsid w:val="00AC1E38"/>
    <w:rsid w:val="00AC223D"/>
    <w:rsid w:val="00AC226D"/>
    <w:rsid w:val="00AC23E2"/>
    <w:rsid w:val="00AC2A52"/>
    <w:rsid w:val="00AC3135"/>
    <w:rsid w:val="00AC334D"/>
    <w:rsid w:val="00AC341B"/>
    <w:rsid w:val="00AC3734"/>
    <w:rsid w:val="00AC3A55"/>
    <w:rsid w:val="00AC4508"/>
    <w:rsid w:val="00AC4931"/>
    <w:rsid w:val="00AC496E"/>
    <w:rsid w:val="00AC5105"/>
    <w:rsid w:val="00AC517C"/>
    <w:rsid w:val="00AC5206"/>
    <w:rsid w:val="00AC531C"/>
    <w:rsid w:val="00AC56BA"/>
    <w:rsid w:val="00AC5810"/>
    <w:rsid w:val="00AC5B97"/>
    <w:rsid w:val="00AC62E4"/>
    <w:rsid w:val="00AC656A"/>
    <w:rsid w:val="00AC69E5"/>
    <w:rsid w:val="00AC6A0C"/>
    <w:rsid w:val="00AC6A7D"/>
    <w:rsid w:val="00AC7387"/>
    <w:rsid w:val="00AC76F3"/>
    <w:rsid w:val="00AC7BE2"/>
    <w:rsid w:val="00AD00B3"/>
    <w:rsid w:val="00AD06B9"/>
    <w:rsid w:val="00AD0D93"/>
    <w:rsid w:val="00AD12DA"/>
    <w:rsid w:val="00AD1914"/>
    <w:rsid w:val="00AD1A25"/>
    <w:rsid w:val="00AD1EB2"/>
    <w:rsid w:val="00AD21BC"/>
    <w:rsid w:val="00AD2464"/>
    <w:rsid w:val="00AD24EC"/>
    <w:rsid w:val="00AD2628"/>
    <w:rsid w:val="00AD3279"/>
    <w:rsid w:val="00AD3B6B"/>
    <w:rsid w:val="00AD3E30"/>
    <w:rsid w:val="00AD4583"/>
    <w:rsid w:val="00AD4B8C"/>
    <w:rsid w:val="00AD4C6D"/>
    <w:rsid w:val="00AD4CEA"/>
    <w:rsid w:val="00AD4CFC"/>
    <w:rsid w:val="00AD4E92"/>
    <w:rsid w:val="00AD58D3"/>
    <w:rsid w:val="00AD5DE4"/>
    <w:rsid w:val="00AD6B7D"/>
    <w:rsid w:val="00AD6E01"/>
    <w:rsid w:val="00AD6E3E"/>
    <w:rsid w:val="00AD701C"/>
    <w:rsid w:val="00AD73E9"/>
    <w:rsid w:val="00AD74AF"/>
    <w:rsid w:val="00AE00BA"/>
    <w:rsid w:val="00AE0225"/>
    <w:rsid w:val="00AE079C"/>
    <w:rsid w:val="00AE09E0"/>
    <w:rsid w:val="00AE0BB9"/>
    <w:rsid w:val="00AE0E52"/>
    <w:rsid w:val="00AE1981"/>
    <w:rsid w:val="00AE1CA1"/>
    <w:rsid w:val="00AE20C1"/>
    <w:rsid w:val="00AE21D8"/>
    <w:rsid w:val="00AE2299"/>
    <w:rsid w:val="00AE2312"/>
    <w:rsid w:val="00AE2784"/>
    <w:rsid w:val="00AE27B6"/>
    <w:rsid w:val="00AE27BB"/>
    <w:rsid w:val="00AE2B30"/>
    <w:rsid w:val="00AE2CB5"/>
    <w:rsid w:val="00AE3301"/>
    <w:rsid w:val="00AE4159"/>
    <w:rsid w:val="00AE46EC"/>
    <w:rsid w:val="00AE4EA1"/>
    <w:rsid w:val="00AE4ECE"/>
    <w:rsid w:val="00AE4FD5"/>
    <w:rsid w:val="00AE5228"/>
    <w:rsid w:val="00AE6167"/>
    <w:rsid w:val="00AE63E1"/>
    <w:rsid w:val="00AE6AF1"/>
    <w:rsid w:val="00AE733C"/>
    <w:rsid w:val="00AE7747"/>
    <w:rsid w:val="00AE7B24"/>
    <w:rsid w:val="00AF01D4"/>
    <w:rsid w:val="00AF053A"/>
    <w:rsid w:val="00AF0668"/>
    <w:rsid w:val="00AF08D2"/>
    <w:rsid w:val="00AF0C6D"/>
    <w:rsid w:val="00AF0DC6"/>
    <w:rsid w:val="00AF18C3"/>
    <w:rsid w:val="00AF1DBA"/>
    <w:rsid w:val="00AF228D"/>
    <w:rsid w:val="00AF39FA"/>
    <w:rsid w:val="00AF4887"/>
    <w:rsid w:val="00AF4AD5"/>
    <w:rsid w:val="00AF4EE2"/>
    <w:rsid w:val="00AF5529"/>
    <w:rsid w:val="00AF5593"/>
    <w:rsid w:val="00AF55A2"/>
    <w:rsid w:val="00AF578C"/>
    <w:rsid w:val="00AF585F"/>
    <w:rsid w:val="00AF5960"/>
    <w:rsid w:val="00AF5A7B"/>
    <w:rsid w:val="00AF7550"/>
    <w:rsid w:val="00AF7A99"/>
    <w:rsid w:val="00AF7F02"/>
    <w:rsid w:val="00B0038D"/>
    <w:rsid w:val="00B00538"/>
    <w:rsid w:val="00B00E02"/>
    <w:rsid w:val="00B014B9"/>
    <w:rsid w:val="00B01A4E"/>
    <w:rsid w:val="00B01CD4"/>
    <w:rsid w:val="00B01E2B"/>
    <w:rsid w:val="00B01E56"/>
    <w:rsid w:val="00B01F98"/>
    <w:rsid w:val="00B02381"/>
    <w:rsid w:val="00B02982"/>
    <w:rsid w:val="00B02A28"/>
    <w:rsid w:val="00B033B1"/>
    <w:rsid w:val="00B0386C"/>
    <w:rsid w:val="00B03B9C"/>
    <w:rsid w:val="00B03E32"/>
    <w:rsid w:val="00B04119"/>
    <w:rsid w:val="00B045A9"/>
    <w:rsid w:val="00B04863"/>
    <w:rsid w:val="00B049A3"/>
    <w:rsid w:val="00B04D3F"/>
    <w:rsid w:val="00B04E03"/>
    <w:rsid w:val="00B051B0"/>
    <w:rsid w:val="00B05891"/>
    <w:rsid w:val="00B0589A"/>
    <w:rsid w:val="00B05A9A"/>
    <w:rsid w:val="00B068B0"/>
    <w:rsid w:val="00B06B60"/>
    <w:rsid w:val="00B07101"/>
    <w:rsid w:val="00B07C43"/>
    <w:rsid w:val="00B07E54"/>
    <w:rsid w:val="00B10574"/>
    <w:rsid w:val="00B10854"/>
    <w:rsid w:val="00B108C7"/>
    <w:rsid w:val="00B108D8"/>
    <w:rsid w:val="00B109C8"/>
    <w:rsid w:val="00B10AF0"/>
    <w:rsid w:val="00B10BA2"/>
    <w:rsid w:val="00B11148"/>
    <w:rsid w:val="00B11384"/>
    <w:rsid w:val="00B11435"/>
    <w:rsid w:val="00B11594"/>
    <w:rsid w:val="00B122F9"/>
    <w:rsid w:val="00B12781"/>
    <w:rsid w:val="00B12F79"/>
    <w:rsid w:val="00B13133"/>
    <w:rsid w:val="00B1329C"/>
    <w:rsid w:val="00B137B2"/>
    <w:rsid w:val="00B137D6"/>
    <w:rsid w:val="00B13D43"/>
    <w:rsid w:val="00B14217"/>
    <w:rsid w:val="00B14608"/>
    <w:rsid w:val="00B14926"/>
    <w:rsid w:val="00B14AC4"/>
    <w:rsid w:val="00B151B2"/>
    <w:rsid w:val="00B1527D"/>
    <w:rsid w:val="00B15459"/>
    <w:rsid w:val="00B154E4"/>
    <w:rsid w:val="00B156D1"/>
    <w:rsid w:val="00B1598B"/>
    <w:rsid w:val="00B15AC7"/>
    <w:rsid w:val="00B15B7B"/>
    <w:rsid w:val="00B16120"/>
    <w:rsid w:val="00B163BE"/>
    <w:rsid w:val="00B16418"/>
    <w:rsid w:val="00B16492"/>
    <w:rsid w:val="00B167C2"/>
    <w:rsid w:val="00B175F0"/>
    <w:rsid w:val="00B17AB4"/>
    <w:rsid w:val="00B2058E"/>
    <w:rsid w:val="00B20DCD"/>
    <w:rsid w:val="00B21280"/>
    <w:rsid w:val="00B213E6"/>
    <w:rsid w:val="00B213F8"/>
    <w:rsid w:val="00B217F5"/>
    <w:rsid w:val="00B21B3D"/>
    <w:rsid w:val="00B21B95"/>
    <w:rsid w:val="00B223BA"/>
    <w:rsid w:val="00B228BF"/>
    <w:rsid w:val="00B22DA1"/>
    <w:rsid w:val="00B23ABC"/>
    <w:rsid w:val="00B23C13"/>
    <w:rsid w:val="00B23CB1"/>
    <w:rsid w:val="00B23D53"/>
    <w:rsid w:val="00B240D7"/>
    <w:rsid w:val="00B2440F"/>
    <w:rsid w:val="00B244B9"/>
    <w:rsid w:val="00B24771"/>
    <w:rsid w:val="00B24EB8"/>
    <w:rsid w:val="00B24FA1"/>
    <w:rsid w:val="00B25201"/>
    <w:rsid w:val="00B25406"/>
    <w:rsid w:val="00B25763"/>
    <w:rsid w:val="00B2595B"/>
    <w:rsid w:val="00B25B18"/>
    <w:rsid w:val="00B25FE9"/>
    <w:rsid w:val="00B2614D"/>
    <w:rsid w:val="00B26312"/>
    <w:rsid w:val="00B27009"/>
    <w:rsid w:val="00B27BAF"/>
    <w:rsid w:val="00B27C4E"/>
    <w:rsid w:val="00B300DC"/>
    <w:rsid w:val="00B30161"/>
    <w:rsid w:val="00B302E7"/>
    <w:rsid w:val="00B303D9"/>
    <w:rsid w:val="00B305DD"/>
    <w:rsid w:val="00B30B20"/>
    <w:rsid w:val="00B30D34"/>
    <w:rsid w:val="00B30DDD"/>
    <w:rsid w:val="00B31727"/>
    <w:rsid w:val="00B31D34"/>
    <w:rsid w:val="00B3223C"/>
    <w:rsid w:val="00B3262C"/>
    <w:rsid w:val="00B32782"/>
    <w:rsid w:val="00B32D50"/>
    <w:rsid w:val="00B33301"/>
    <w:rsid w:val="00B3360F"/>
    <w:rsid w:val="00B33C20"/>
    <w:rsid w:val="00B33CB2"/>
    <w:rsid w:val="00B33D3A"/>
    <w:rsid w:val="00B33E26"/>
    <w:rsid w:val="00B345F4"/>
    <w:rsid w:val="00B34847"/>
    <w:rsid w:val="00B34C15"/>
    <w:rsid w:val="00B34D18"/>
    <w:rsid w:val="00B34D6F"/>
    <w:rsid w:val="00B35217"/>
    <w:rsid w:val="00B356EE"/>
    <w:rsid w:val="00B35D60"/>
    <w:rsid w:val="00B36340"/>
    <w:rsid w:val="00B365B5"/>
    <w:rsid w:val="00B36F73"/>
    <w:rsid w:val="00B37051"/>
    <w:rsid w:val="00B37432"/>
    <w:rsid w:val="00B374BA"/>
    <w:rsid w:val="00B374F9"/>
    <w:rsid w:val="00B3755B"/>
    <w:rsid w:val="00B37D9F"/>
    <w:rsid w:val="00B37FA5"/>
    <w:rsid w:val="00B40470"/>
    <w:rsid w:val="00B4069E"/>
    <w:rsid w:val="00B40BF1"/>
    <w:rsid w:val="00B41545"/>
    <w:rsid w:val="00B415B7"/>
    <w:rsid w:val="00B417EB"/>
    <w:rsid w:val="00B41C6A"/>
    <w:rsid w:val="00B41EAA"/>
    <w:rsid w:val="00B41ECC"/>
    <w:rsid w:val="00B41FC0"/>
    <w:rsid w:val="00B42719"/>
    <w:rsid w:val="00B42F5E"/>
    <w:rsid w:val="00B43438"/>
    <w:rsid w:val="00B43CD5"/>
    <w:rsid w:val="00B43F46"/>
    <w:rsid w:val="00B44700"/>
    <w:rsid w:val="00B448E8"/>
    <w:rsid w:val="00B44ACE"/>
    <w:rsid w:val="00B44B1F"/>
    <w:rsid w:val="00B4509C"/>
    <w:rsid w:val="00B455F1"/>
    <w:rsid w:val="00B45819"/>
    <w:rsid w:val="00B45A52"/>
    <w:rsid w:val="00B45B19"/>
    <w:rsid w:val="00B46264"/>
    <w:rsid w:val="00B464B2"/>
    <w:rsid w:val="00B46C9E"/>
    <w:rsid w:val="00B47109"/>
    <w:rsid w:val="00B4725F"/>
    <w:rsid w:val="00B4728D"/>
    <w:rsid w:val="00B472E2"/>
    <w:rsid w:val="00B47344"/>
    <w:rsid w:val="00B47427"/>
    <w:rsid w:val="00B475CA"/>
    <w:rsid w:val="00B4763F"/>
    <w:rsid w:val="00B476A4"/>
    <w:rsid w:val="00B47B21"/>
    <w:rsid w:val="00B505F7"/>
    <w:rsid w:val="00B513C9"/>
    <w:rsid w:val="00B51619"/>
    <w:rsid w:val="00B516CE"/>
    <w:rsid w:val="00B5184F"/>
    <w:rsid w:val="00B51D60"/>
    <w:rsid w:val="00B528D1"/>
    <w:rsid w:val="00B5377D"/>
    <w:rsid w:val="00B537BA"/>
    <w:rsid w:val="00B540AC"/>
    <w:rsid w:val="00B547BA"/>
    <w:rsid w:val="00B54A16"/>
    <w:rsid w:val="00B54D1C"/>
    <w:rsid w:val="00B54EBB"/>
    <w:rsid w:val="00B54EC2"/>
    <w:rsid w:val="00B553D8"/>
    <w:rsid w:val="00B553EE"/>
    <w:rsid w:val="00B55441"/>
    <w:rsid w:val="00B55458"/>
    <w:rsid w:val="00B55F56"/>
    <w:rsid w:val="00B5621B"/>
    <w:rsid w:val="00B56470"/>
    <w:rsid w:val="00B56B01"/>
    <w:rsid w:val="00B56E2E"/>
    <w:rsid w:val="00B57195"/>
    <w:rsid w:val="00B571D7"/>
    <w:rsid w:val="00B5722E"/>
    <w:rsid w:val="00B57597"/>
    <w:rsid w:val="00B5793C"/>
    <w:rsid w:val="00B57CB2"/>
    <w:rsid w:val="00B60276"/>
    <w:rsid w:val="00B60758"/>
    <w:rsid w:val="00B60F71"/>
    <w:rsid w:val="00B610CB"/>
    <w:rsid w:val="00B616B0"/>
    <w:rsid w:val="00B616CB"/>
    <w:rsid w:val="00B61BB4"/>
    <w:rsid w:val="00B6261D"/>
    <w:rsid w:val="00B62DF0"/>
    <w:rsid w:val="00B63188"/>
    <w:rsid w:val="00B63A0C"/>
    <w:rsid w:val="00B63D1E"/>
    <w:rsid w:val="00B63D89"/>
    <w:rsid w:val="00B63DC2"/>
    <w:rsid w:val="00B64042"/>
    <w:rsid w:val="00B6404E"/>
    <w:rsid w:val="00B64360"/>
    <w:rsid w:val="00B64397"/>
    <w:rsid w:val="00B64641"/>
    <w:rsid w:val="00B65425"/>
    <w:rsid w:val="00B655BC"/>
    <w:rsid w:val="00B65E7F"/>
    <w:rsid w:val="00B6650E"/>
    <w:rsid w:val="00B66947"/>
    <w:rsid w:val="00B66B37"/>
    <w:rsid w:val="00B66CCF"/>
    <w:rsid w:val="00B66FBB"/>
    <w:rsid w:val="00B6782F"/>
    <w:rsid w:val="00B67980"/>
    <w:rsid w:val="00B67B7E"/>
    <w:rsid w:val="00B7019F"/>
    <w:rsid w:val="00B701C5"/>
    <w:rsid w:val="00B70B69"/>
    <w:rsid w:val="00B71187"/>
    <w:rsid w:val="00B712F1"/>
    <w:rsid w:val="00B7139D"/>
    <w:rsid w:val="00B71B45"/>
    <w:rsid w:val="00B71D55"/>
    <w:rsid w:val="00B7234D"/>
    <w:rsid w:val="00B72D14"/>
    <w:rsid w:val="00B7315F"/>
    <w:rsid w:val="00B73A79"/>
    <w:rsid w:val="00B73C26"/>
    <w:rsid w:val="00B74A77"/>
    <w:rsid w:val="00B74EE0"/>
    <w:rsid w:val="00B75478"/>
    <w:rsid w:val="00B75519"/>
    <w:rsid w:val="00B75719"/>
    <w:rsid w:val="00B75F62"/>
    <w:rsid w:val="00B7629D"/>
    <w:rsid w:val="00B763B0"/>
    <w:rsid w:val="00B769DC"/>
    <w:rsid w:val="00B76C00"/>
    <w:rsid w:val="00B77353"/>
    <w:rsid w:val="00B7738E"/>
    <w:rsid w:val="00B77737"/>
    <w:rsid w:val="00B779B9"/>
    <w:rsid w:val="00B77DA9"/>
    <w:rsid w:val="00B77F13"/>
    <w:rsid w:val="00B77FEA"/>
    <w:rsid w:val="00B800B8"/>
    <w:rsid w:val="00B80416"/>
    <w:rsid w:val="00B80719"/>
    <w:rsid w:val="00B8111A"/>
    <w:rsid w:val="00B81266"/>
    <w:rsid w:val="00B81C78"/>
    <w:rsid w:val="00B81DFC"/>
    <w:rsid w:val="00B8226A"/>
    <w:rsid w:val="00B823F7"/>
    <w:rsid w:val="00B82B3E"/>
    <w:rsid w:val="00B82E07"/>
    <w:rsid w:val="00B8318A"/>
    <w:rsid w:val="00B83481"/>
    <w:rsid w:val="00B83CDB"/>
    <w:rsid w:val="00B83FA5"/>
    <w:rsid w:val="00B840B7"/>
    <w:rsid w:val="00B84193"/>
    <w:rsid w:val="00B8440F"/>
    <w:rsid w:val="00B84465"/>
    <w:rsid w:val="00B84882"/>
    <w:rsid w:val="00B84B6A"/>
    <w:rsid w:val="00B84E30"/>
    <w:rsid w:val="00B85050"/>
    <w:rsid w:val="00B8511B"/>
    <w:rsid w:val="00B854CB"/>
    <w:rsid w:val="00B855EF"/>
    <w:rsid w:val="00B85613"/>
    <w:rsid w:val="00B85E78"/>
    <w:rsid w:val="00B866BC"/>
    <w:rsid w:val="00B86B82"/>
    <w:rsid w:val="00B87619"/>
    <w:rsid w:val="00B87806"/>
    <w:rsid w:val="00B87D07"/>
    <w:rsid w:val="00B87EF9"/>
    <w:rsid w:val="00B87F36"/>
    <w:rsid w:val="00B87FE1"/>
    <w:rsid w:val="00B905F7"/>
    <w:rsid w:val="00B90B0C"/>
    <w:rsid w:val="00B90B32"/>
    <w:rsid w:val="00B90B3C"/>
    <w:rsid w:val="00B90CFE"/>
    <w:rsid w:val="00B91365"/>
    <w:rsid w:val="00B9180D"/>
    <w:rsid w:val="00B91BD9"/>
    <w:rsid w:val="00B920D2"/>
    <w:rsid w:val="00B927A3"/>
    <w:rsid w:val="00B92974"/>
    <w:rsid w:val="00B929B2"/>
    <w:rsid w:val="00B92BF8"/>
    <w:rsid w:val="00B92E70"/>
    <w:rsid w:val="00B93212"/>
    <w:rsid w:val="00B9326E"/>
    <w:rsid w:val="00B932F2"/>
    <w:rsid w:val="00B9348E"/>
    <w:rsid w:val="00B93A7F"/>
    <w:rsid w:val="00B93A96"/>
    <w:rsid w:val="00B93DCC"/>
    <w:rsid w:val="00B947B5"/>
    <w:rsid w:val="00B94958"/>
    <w:rsid w:val="00B949C4"/>
    <w:rsid w:val="00B94C91"/>
    <w:rsid w:val="00B95031"/>
    <w:rsid w:val="00B95CCA"/>
    <w:rsid w:val="00B96044"/>
    <w:rsid w:val="00B96283"/>
    <w:rsid w:val="00B9654B"/>
    <w:rsid w:val="00B96AB6"/>
    <w:rsid w:val="00B96DA5"/>
    <w:rsid w:val="00B97038"/>
    <w:rsid w:val="00B973E8"/>
    <w:rsid w:val="00B97531"/>
    <w:rsid w:val="00B97836"/>
    <w:rsid w:val="00BA0084"/>
    <w:rsid w:val="00BA00D4"/>
    <w:rsid w:val="00BA0586"/>
    <w:rsid w:val="00BA0E29"/>
    <w:rsid w:val="00BA0F45"/>
    <w:rsid w:val="00BA116F"/>
    <w:rsid w:val="00BA1472"/>
    <w:rsid w:val="00BA18B5"/>
    <w:rsid w:val="00BA19A6"/>
    <w:rsid w:val="00BA19D7"/>
    <w:rsid w:val="00BA1AAC"/>
    <w:rsid w:val="00BA1DDA"/>
    <w:rsid w:val="00BA1E6F"/>
    <w:rsid w:val="00BA2178"/>
    <w:rsid w:val="00BA2517"/>
    <w:rsid w:val="00BA25A4"/>
    <w:rsid w:val="00BA2742"/>
    <w:rsid w:val="00BA27F3"/>
    <w:rsid w:val="00BA2B48"/>
    <w:rsid w:val="00BA2D57"/>
    <w:rsid w:val="00BA35CE"/>
    <w:rsid w:val="00BA35D2"/>
    <w:rsid w:val="00BA37A8"/>
    <w:rsid w:val="00BA37CD"/>
    <w:rsid w:val="00BA3C20"/>
    <w:rsid w:val="00BA3F14"/>
    <w:rsid w:val="00BA4D9A"/>
    <w:rsid w:val="00BA4E60"/>
    <w:rsid w:val="00BA503E"/>
    <w:rsid w:val="00BA5584"/>
    <w:rsid w:val="00BA577B"/>
    <w:rsid w:val="00BA5D0A"/>
    <w:rsid w:val="00BA5E8E"/>
    <w:rsid w:val="00BA6139"/>
    <w:rsid w:val="00BA6BC3"/>
    <w:rsid w:val="00BA6DC9"/>
    <w:rsid w:val="00BA737B"/>
    <w:rsid w:val="00BA76E8"/>
    <w:rsid w:val="00BA7A6D"/>
    <w:rsid w:val="00BA7CF2"/>
    <w:rsid w:val="00BA7FB5"/>
    <w:rsid w:val="00BB00CF"/>
    <w:rsid w:val="00BB0594"/>
    <w:rsid w:val="00BB0852"/>
    <w:rsid w:val="00BB0F63"/>
    <w:rsid w:val="00BB1045"/>
    <w:rsid w:val="00BB108C"/>
    <w:rsid w:val="00BB167C"/>
    <w:rsid w:val="00BB19F9"/>
    <w:rsid w:val="00BB1CC8"/>
    <w:rsid w:val="00BB1D43"/>
    <w:rsid w:val="00BB1EBB"/>
    <w:rsid w:val="00BB1FC5"/>
    <w:rsid w:val="00BB2527"/>
    <w:rsid w:val="00BB2E31"/>
    <w:rsid w:val="00BB34A1"/>
    <w:rsid w:val="00BB368E"/>
    <w:rsid w:val="00BB369E"/>
    <w:rsid w:val="00BB3F40"/>
    <w:rsid w:val="00BB4019"/>
    <w:rsid w:val="00BB4520"/>
    <w:rsid w:val="00BB4A34"/>
    <w:rsid w:val="00BB58D0"/>
    <w:rsid w:val="00BB59B7"/>
    <w:rsid w:val="00BB5B0C"/>
    <w:rsid w:val="00BB5D42"/>
    <w:rsid w:val="00BB5FFA"/>
    <w:rsid w:val="00BB6155"/>
    <w:rsid w:val="00BB6300"/>
    <w:rsid w:val="00BB6337"/>
    <w:rsid w:val="00BB680E"/>
    <w:rsid w:val="00BB69D4"/>
    <w:rsid w:val="00BB6A5F"/>
    <w:rsid w:val="00BB752C"/>
    <w:rsid w:val="00BB760D"/>
    <w:rsid w:val="00BB7B34"/>
    <w:rsid w:val="00BB7F11"/>
    <w:rsid w:val="00BC03E4"/>
    <w:rsid w:val="00BC03F4"/>
    <w:rsid w:val="00BC0721"/>
    <w:rsid w:val="00BC0F9D"/>
    <w:rsid w:val="00BC0FB8"/>
    <w:rsid w:val="00BC104C"/>
    <w:rsid w:val="00BC16B1"/>
    <w:rsid w:val="00BC193A"/>
    <w:rsid w:val="00BC19E1"/>
    <w:rsid w:val="00BC1B47"/>
    <w:rsid w:val="00BC1B7C"/>
    <w:rsid w:val="00BC1D19"/>
    <w:rsid w:val="00BC1D62"/>
    <w:rsid w:val="00BC22FA"/>
    <w:rsid w:val="00BC2526"/>
    <w:rsid w:val="00BC3064"/>
    <w:rsid w:val="00BC32E9"/>
    <w:rsid w:val="00BC351A"/>
    <w:rsid w:val="00BC3A05"/>
    <w:rsid w:val="00BC3A78"/>
    <w:rsid w:val="00BC41E5"/>
    <w:rsid w:val="00BC4695"/>
    <w:rsid w:val="00BC4778"/>
    <w:rsid w:val="00BC479F"/>
    <w:rsid w:val="00BC48CE"/>
    <w:rsid w:val="00BC4C6B"/>
    <w:rsid w:val="00BC4D7C"/>
    <w:rsid w:val="00BC51A7"/>
    <w:rsid w:val="00BC6139"/>
    <w:rsid w:val="00BC620B"/>
    <w:rsid w:val="00BC6295"/>
    <w:rsid w:val="00BC65A7"/>
    <w:rsid w:val="00BC6E04"/>
    <w:rsid w:val="00BC6EB2"/>
    <w:rsid w:val="00BC746E"/>
    <w:rsid w:val="00BC7B50"/>
    <w:rsid w:val="00BD036E"/>
    <w:rsid w:val="00BD03B0"/>
    <w:rsid w:val="00BD0697"/>
    <w:rsid w:val="00BD07EE"/>
    <w:rsid w:val="00BD0968"/>
    <w:rsid w:val="00BD0F55"/>
    <w:rsid w:val="00BD2042"/>
    <w:rsid w:val="00BD24B6"/>
    <w:rsid w:val="00BD27AF"/>
    <w:rsid w:val="00BD2AA1"/>
    <w:rsid w:val="00BD31FF"/>
    <w:rsid w:val="00BD380F"/>
    <w:rsid w:val="00BD3866"/>
    <w:rsid w:val="00BD3CBB"/>
    <w:rsid w:val="00BD3E7E"/>
    <w:rsid w:val="00BD4001"/>
    <w:rsid w:val="00BD4074"/>
    <w:rsid w:val="00BD4854"/>
    <w:rsid w:val="00BD4E4A"/>
    <w:rsid w:val="00BD5018"/>
    <w:rsid w:val="00BD5084"/>
    <w:rsid w:val="00BD5635"/>
    <w:rsid w:val="00BD5748"/>
    <w:rsid w:val="00BD59D2"/>
    <w:rsid w:val="00BD59DD"/>
    <w:rsid w:val="00BD6723"/>
    <w:rsid w:val="00BD6746"/>
    <w:rsid w:val="00BD67AA"/>
    <w:rsid w:val="00BD6979"/>
    <w:rsid w:val="00BD6ECE"/>
    <w:rsid w:val="00BD6F97"/>
    <w:rsid w:val="00BD72B4"/>
    <w:rsid w:val="00BD76C8"/>
    <w:rsid w:val="00BD78EA"/>
    <w:rsid w:val="00BD7F76"/>
    <w:rsid w:val="00BE009B"/>
    <w:rsid w:val="00BE09F0"/>
    <w:rsid w:val="00BE0A5B"/>
    <w:rsid w:val="00BE0D13"/>
    <w:rsid w:val="00BE0D30"/>
    <w:rsid w:val="00BE1A13"/>
    <w:rsid w:val="00BE20F7"/>
    <w:rsid w:val="00BE27CC"/>
    <w:rsid w:val="00BE2935"/>
    <w:rsid w:val="00BE2CBA"/>
    <w:rsid w:val="00BE2ECC"/>
    <w:rsid w:val="00BE32CF"/>
    <w:rsid w:val="00BE413B"/>
    <w:rsid w:val="00BE4E96"/>
    <w:rsid w:val="00BE5F08"/>
    <w:rsid w:val="00BE6A4E"/>
    <w:rsid w:val="00BE6EF4"/>
    <w:rsid w:val="00BE7323"/>
    <w:rsid w:val="00BE74BD"/>
    <w:rsid w:val="00BE755E"/>
    <w:rsid w:val="00BE7CD3"/>
    <w:rsid w:val="00BF0033"/>
    <w:rsid w:val="00BF08D7"/>
    <w:rsid w:val="00BF0A04"/>
    <w:rsid w:val="00BF0AC0"/>
    <w:rsid w:val="00BF19E0"/>
    <w:rsid w:val="00BF1AF8"/>
    <w:rsid w:val="00BF2207"/>
    <w:rsid w:val="00BF25F6"/>
    <w:rsid w:val="00BF26A4"/>
    <w:rsid w:val="00BF39A0"/>
    <w:rsid w:val="00BF39FE"/>
    <w:rsid w:val="00BF4007"/>
    <w:rsid w:val="00BF44B6"/>
    <w:rsid w:val="00BF4B8F"/>
    <w:rsid w:val="00BF4FC6"/>
    <w:rsid w:val="00BF5230"/>
    <w:rsid w:val="00BF528F"/>
    <w:rsid w:val="00BF59A2"/>
    <w:rsid w:val="00BF5C18"/>
    <w:rsid w:val="00BF5EA3"/>
    <w:rsid w:val="00BF60CA"/>
    <w:rsid w:val="00BF6287"/>
    <w:rsid w:val="00BF648C"/>
    <w:rsid w:val="00BF67F5"/>
    <w:rsid w:val="00BF6829"/>
    <w:rsid w:val="00BF6B83"/>
    <w:rsid w:val="00BF6EAB"/>
    <w:rsid w:val="00BF7201"/>
    <w:rsid w:val="00BF7230"/>
    <w:rsid w:val="00BF780D"/>
    <w:rsid w:val="00BF7C06"/>
    <w:rsid w:val="00BF7E3D"/>
    <w:rsid w:val="00BF7F1C"/>
    <w:rsid w:val="00C0042C"/>
    <w:rsid w:val="00C0075D"/>
    <w:rsid w:val="00C00FDE"/>
    <w:rsid w:val="00C017FD"/>
    <w:rsid w:val="00C019E4"/>
    <w:rsid w:val="00C01BFA"/>
    <w:rsid w:val="00C01C21"/>
    <w:rsid w:val="00C01C53"/>
    <w:rsid w:val="00C01CFD"/>
    <w:rsid w:val="00C01D4D"/>
    <w:rsid w:val="00C0209A"/>
    <w:rsid w:val="00C0219C"/>
    <w:rsid w:val="00C02752"/>
    <w:rsid w:val="00C02AAE"/>
    <w:rsid w:val="00C031C3"/>
    <w:rsid w:val="00C036B0"/>
    <w:rsid w:val="00C039DF"/>
    <w:rsid w:val="00C03C56"/>
    <w:rsid w:val="00C0401C"/>
    <w:rsid w:val="00C04440"/>
    <w:rsid w:val="00C0457F"/>
    <w:rsid w:val="00C0477D"/>
    <w:rsid w:val="00C050FA"/>
    <w:rsid w:val="00C05186"/>
    <w:rsid w:val="00C05401"/>
    <w:rsid w:val="00C05941"/>
    <w:rsid w:val="00C062E0"/>
    <w:rsid w:val="00C068EC"/>
    <w:rsid w:val="00C06BBD"/>
    <w:rsid w:val="00C0716F"/>
    <w:rsid w:val="00C07B94"/>
    <w:rsid w:val="00C07DE6"/>
    <w:rsid w:val="00C07E40"/>
    <w:rsid w:val="00C07F95"/>
    <w:rsid w:val="00C103D8"/>
    <w:rsid w:val="00C1067B"/>
    <w:rsid w:val="00C10A65"/>
    <w:rsid w:val="00C10C0B"/>
    <w:rsid w:val="00C10D2A"/>
    <w:rsid w:val="00C11397"/>
    <w:rsid w:val="00C114B2"/>
    <w:rsid w:val="00C114E7"/>
    <w:rsid w:val="00C1160A"/>
    <w:rsid w:val="00C11EC6"/>
    <w:rsid w:val="00C12C14"/>
    <w:rsid w:val="00C12F74"/>
    <w:rsid w:val="00C132CA"/>
    <w:rsid w:val="00C13359"/>
    <w:rsid w:val="00C13B2E"/>
    <w:rsid w:val="00C13C7D"/>
    <w:rsid w:val="00C13DC5"/>
    <w:rsid w:val="00C14B71"/>
    <w:rsid w:val="00C14B9C"/>
    <w:rsid w:val="00C14BDF"/>
    <w:rsid w:val="00C1544F"/>
    <w:rsid w:val="00C1603D"/>
    <w:rsid w:val="00C16709"/>
    <w:rsid w:val="00C16939"/>
    <w:rsid w:val="00C16EC1"/>
    <w:rsid w:val="00C1731C"/>
    <w:rsid w:val="00C176D0"/>
    <w:rsid w:val="00C1791C"/>
    <w:rsid w:val="00C20142"/>
    <w:rsid w:val="00C203C1"/>
    <w:rsid w:val="00C20511"/>
    <w:rsid w:val="00C2076E"/>
    <w:rsid w:val="00C20CA0"/>
    <w:rsid w:val="00C21340"/>
    <w:rsid w:val="00C21349"/>
    <w:rsid w:val="00C21679"/>
    <w:rsid w:val="00C22BB3"/>
    <w:rsid w:val="00C22C4E"/>
    <w:rsid w:val="00C230E6"/>
    <w:rsid w:val="00C2363E"/>
    <w:rsid w:val="00C2369E"/>
    <w:rsid w:val="00C23816"/>
    <w:rsid w:val="00C23E3C"/>
    <w:rsid w:val="00C240F2"/>
    <w:rsid w:val="00C244EA"/>
    <w:rsid w:val="00C24E81"/>
    <w:rsid w:val="00C25305"/>
    <w:rsid w:val="00C25798"/>
    <w:rsid w:val="00C257BB"/>
    <w:rsid w:val="00C258FC"/>
    <w:rsid w:val="00C25994"/>
    <w:rsid w:val="00C26563"/>
    <w:rsid w:val="00C266F7"/>
    <w:rsid w:val="00C26BC4"/>
    <w:rsid w:val="00C26BE2"/>
    <w:rsid w:val="00C26CA4"/>
    <w:rsid w:val="00C272B7"/>
    <w:rsid w:val="00C300C7"/>
    <w:rsid w:val="00C30596"/>
    <w:rsid w:val="00C3070C"/>
    <w:rsid w:val="00C30942"/>
    <w:rsid w:val="00C30DAE"/>
    <w:rsid w:val="00C314CA"/>
    <w:rsid w:val="00C3168A"/>
    <w:rsid w:val="00C31721"/>
    <w:rsid w:val="00C31CC7"/>
    <w:rsid w:val="00C31D1A"/>
    <w:rsid w:val="00C321E4"/>
    <w:rsid w:val="00C327D1"/>
    <w:rsid w:val="00C33D22"/>
    <w:rsid w:val="00C33D61"/>
    <w:rsid w:val="00C34119"/>
    <w:rsid w:val="00C34531"/>
    <w:rsid w:val="00C3462C"/>
    <w:rsid w:val="00C3492A"/>
    <w:rsid w:val="00C34AF5"/>
    <w:rsid w:val="00C3522B"/>
    <w:rsid w:val="00C356ED"/>
    <w:rsid w:val="00C357C4"/>
    <w:rsid w:val="00C35E46"/>
    <w:rsid w:val="00C35EC7"/>
    <w:rsid w:val="00C35FFB"/>
    <w:rsid w:val="00C36084"/>
    <w:rsid w:val="00C3624D"/>
    <w:rsid w:val="00C36299"/>
    <w:rsid w:val="00C36486"/>
    <w:rsid w:val="00C36554"/>
    <w:rsid w:val="00C368B9"/>
    <w:rsid w:val="00C373C1"/>
    <w:rsid w:val="00C3740A"/>
    <w:rsid w:val="00C37443"/>
    <w:rsid w:val="00C376AD"/>
    <w:rsid w:val="00C3773E"/>
    <w:rsid w:val="00C379B7"/>
    <w:rsid w:val="00C40239"/>
    <w:rsid w:val="00C408EC"/>
    <w:rsid w:val="00C40A76"/>
    <w:rsid w:val="00C40D9B"/>
    <w:rsid w:val="00C416F7"/>
    <w:rsid w:val="00C417B8"/>
    <w:rsid w:val="00C41951"/>
    <w:rsid w:val="00C41A5B"/>
    <w:rsid w:val="00C41AA3"/>
    <w:rsid w:val="00C41EC1"/>
    <w:rsid w:val="00C42235"/>
    <w:rsid w:val="00C425F5"/>
    <w:rsid w:val="00C42885"/>
    <w:rsid w:val="00C42F08"/>
    <w:rsid w:val="00C4320A"/>
    <w:rsid w:val="00C43216"/>
    <w:rsid w:val="00C438CB"/>
    <w:rsid w:val="00C43A87"/>
    <w:rsid w:val="00C43B59"/>
    <w:rsid w:val="00C43EC6"/>
    <w:rsid w:val="00C445E9"/>
    <w:rsid w:val="00C450E6"/>
    <w:rsid w:val="00C462D6"/>
    <w:rsid w:val="00C46323"/>
    <w:rsid w:val="00C4654B"/>
    <w:rsid w:val="00C47606"/>
    <w:rsid w:val="00C47B8D"/>
    <w:rsid w:val="00C47DA0"/>
    <w:rsid w:val="00C47E86"/>
    <w:rsid w:val="00C50362"/>
    <w:rsid w:val="00C5104B"/>
    <w:rsid w:val="00C51479"/>
    <w:rsid w:val="00C51628"/>
    <w:rsid w:val="00C51882"/>
    <w:rsid w:val="00C518E2"/>
    <w:rsid w:val="00C51D27"/>
    <w:rsid w:val="00C52510"/>
    <w:rsid w:val="00C53952"/>
    <w:rsid w:val="00C54AD7"/>
    <w:rsid w:val="00C54D42"/>
    <w:rsid w:val="00C54DCD"/>
    <w:rsid w:val="00C5529E"/>
    <w:rsid w:val="00C555CD"/>
    <w:rsid w:val="00C555D0"/>
    <w:rsid w:val="00C55AD1"/>
    <w:rsid w:val="00C55B02"/>
    <w:rsid w:val="00C55C88"/>
    <w:rsid w:val="00C560F3"/>
    <w:rsid w:val="00C567D7"/>
    <w:rsid w:val="00C56D61"/>
    <w:rsid w:val="00C56FD0"/>
    <w:rsid w:val="00C571F8"/>
    <w:rsid w:val="00C577C0"/>
    <w:rsid w:val="00C577CC"/>
    <w:rsid w:val="00C5783E"/>
    <w:rsid w:val="00C6004C"/>
    <w:rsid w:val="00C607E4"/>
    <w:rsid w:val="00C60961"/>
    <w:rsid w:val="00C60B2A"/>
    <w:rsid w:val="00C61B54"/>
    <w:rsid w:val="00C61CBE"/>
    <w:rsid w:val="00C61FA7"/>
    <w:rsid w:val="00C6229A"/>
    <w:rsid w:val="00C6249F"/>
    <w:rsid w:val="00C62683"/>
    <w:rsid w:val="00C6276D"/>
    <w:rsid w:val="00C627BD"/>
    <w:rsid w:val="00C62C59"/>
    <w:rsid w:val="00C63A6A"/>
    <w:rsid w:val="00C64402"/>
    <w:rsid w:val="00C64CB4"/>
    <w:rsid w:val="00C64D57"/>
    <w:rsid w:val="00C64D5B"/>
    <w:rsid w:val="00C65345"/>
    <w:rsid w:val="00C6545A"/>
    <w:rsid w:val="00C65681"/>
    <w:rsid w:val="00C65717"/>
    <w:rsid w:val="00C65756"/>
    <w:rsid w:val="00C65A4D"/>
    <w:rsid w:val="00C65AC6"/>
    <w:rsid w:val="00C65CD0"/>
    <w:rsid w:val="00C65E55"/>
    <w:rsid w:val="00C65E62"/>
    <w:rsid w:val="00C661AF"/>
    <w:rsid w:val="00C664C2"/>
    <w:rsid w:val="00C6718F"/>
    <w:rsid w:val="00C6772D"/>
    <w:rsid w:val="00C701A4"/>
    <w:rsid w:val="00C701C6"/>
    <w:rsid w:val="00C70696"/>
    <w:rsid w:val="00C70BC5"/>
    <w:rsid w:val="00C70CF6"/>
    <w:rsid w:val="00C70FFB"/>
    <w:rsid w:val="00C71014"/>
    <w:rsid w:val="00C71469"/>
    <w:rsid w:val="00C71D77"/>
    <w:rsid w:val="00C72655"/>
    <w:rsid w:val="00C73853"/>
    <w:rsid w:val="00C73BDB"/>
    <w:rsid w:val="00C740C8"/>
    <w:rsid w:val="00C7421A"/>
    <w:rsid w:val="00C7437D"/>
    <w:rsid w:val="00C743CC"/>
    <w:rsid w:val="00C74987"/>
    <w:rsid w:val="00C74BD4"/>
    <w:rsid w:val="00C74C80"/>
    <w:rsid w:val="00C74C8B"/>
    <w:rsid w:val="00C74D6A"/>
    <w:rsid w:val="00C74EAF"/>
    <w:rsid w:val="00C753CB"/>
    <w:rsid w:val="00C7550D"/>
    <w:rsid w:val="00C75C04"/>
    <w:rsid w:val="00C76271"/>
    <w:rsid w:val="00C762C1"/>
    <w:rsid w:val="00C76E7C"/>
    <w:rsid w:val="00C774AB"/>
    <w:rsid w:val="00C77F17"/>
    <w:rsid w:val="00C804E1"/>
    <w:rsid w:val="00C804EB"/>
    <w:rsid w:val="00C806A7"/>
    <w:rsid w:val="00C80F1E"/>
    <w:rsid w:val="00C80FB9"/>
    <w:rsid w:val="00C81440"/>
    <w:rsid w:val="00C81AC3"/>
    <w:rsid w:val="00C81F6C"/>
    <w:rsid w:val="00C82170"/>
    <w:rsid w:val="00C822B9"/>
    <w:rsid w:val="00C8243F"/>
    <w:rsid w:val="00C82809"/>
    <w:rsid w:val="00C829AD"/>
    <w:rsid w:val="00C82BBA"/>
    <w:rsid w:val="00C82C1B"/>
    <w:rsid w:val="00C83A1C"/>
    <w:rsid w:val="00C83CB7"/>
    <w:rsid w:val="00C84099"/>
    <w:rsid w:val="00C8418F"/>
    <w:rsid w:val="00C844A9"/>
    <w:rsid w:val="00C84FC9"/>
    <w:rsid w:val="00C85110"/>
    <w:rsid w:val="00C857A0"/>
    <w:rsid w:val="00C860F1"/>
    <w:rsid w:val="00C86D91"/>
    <w:rsid w:val="00C8721C"/>
    <w:rsid w:val="00C87375"/>
    <w:rsid w:val="00C87430"/>
    <w:rsid w:val="00C87446"/>
    <w:rsid w:val="00C87671"/>
    <w:rsid w:val="00C87853"/>
    <w:rsid w:val="00C87A38"/>
    <w:rsid w:val="00C87C69"/>
    <w:rsid w:val="00C87E2D"/>
    <w:rsid w:val="00C87EBD"/>
    <w:rsid w:val="00C90509"/>
    <w:rsid w:val="00C90DEB"/>
    <w:rsid w:val="00C91539"/>
    <w:rsid w:val="00C91D80"/>
    <w:rsid w:val="00C924B3"/>
    <w:rsid w:val="00C92E4A"/>
    <w:rsid w:val="00C92FC3"/>
    <w:rsid w:val="00C93065"/>
    <w:rsid w:val="00C930BA"/>
    <w:rsid w:val="00C933CC"/>
    <w:rsid w:val="00C936D6"/>
    <w:rsid w:val="00C94AE6"/>
    <w:rsid w:val="00C94D5D"/>
    <w:rsid w:val="00C953E5"/>
    <w:rsid w:val="00C959D9"/>
    <w:rsid w:val="00C95D1C"/>
    <w:rsid w:val="00C960CD"/>
    <w:rsid w:val="00C960D4"/>
    <w:rsid w:val="00C96440"/>
    <w:rsid w:val="00C968A8"/>
    <w:rsid w:val="00C968EB"/>
    <w:rsid w:val="00C972E7"/>
    <w:rsid w:val="00C976CA"/>
    <w:rsid w:val="00C97910"/>
    <w:rsid w:val="00C97BC6"/>
    <w:rsid w:val="00CA03D1"/>
    <w:rsid w:val="00CA0B8B"/>
    <w:rsid w:val="00CA0D1A"/>
    <w:rsid w:val="00CA1167"/>
    <w:rsid w:val="00CA1A29"/>
    <w:rsid w:val="00CA1CB3"/>
    <w:rsid w:val="00CA1E86"/>
    <w:rsid w:val="00CA1ED3"/>
    <w:rsid w:val="00CA1EF0"/>
    <w:rsid w:val="00CA21CE"/>
    <w:rsid w:val="00CA253D"/>
    <w:rsid w:val="00CA258A"/>
    <w:rsid w:val="00CA2669"/>
    <w:rsid w:val="00CA286B"/>
    <w:rsid w:val="00CA28B2"/>
    <w:rsid w:val="00CA2DF0"/>
    <w:rsid w:val="00CA446A"/>
    <w:rsid w:val="00CA4A7E"/>
    <w:rsid w:val="00CA4D08"/>
    <w:rsid w:val="00CA4D37"/>
    <w:rsid w:val="00CA4F90"/>
    <w:rsid w:val="00CA4FCB"/>
    <w:rsid w:val="00CA560B"/>
    <w:rsid w:val="00CA5EC3"/>
    <w:rsid w:val="00CA6A0D"/>
    <w:rsid w:val="00CA6B86"/>
    <w:rsid w:val="00CA6F87"/>
    <w:rsid w:val="00CA75EE"/>
    <w:rsid w:val="00CA77F6"/>
    <w:rsid w:val="00CA799C"/>
    <w:rsid w:val="00CA7AB5"/>
    <w:rsid w:val="00CB037E"/>
    <w:rsid w:val="00CB085A"/>
    <w:rsid w:val="00CB0B0D"/>
    <w:rsid w:val="00CB1142"/>
    <w:rsid w:val="00CB123F"/>
    <w:rsid w:val="00CB1466"/>
    <w:rsid w:val="00CB178F"/>
    <w:rsid w:val="00CB20CC"/>
    <w:rsid w:val="00CB2236"/>
    <w:rsid w:val="00CB2325"/>
    <w:rsid w:val="00CB3417"/>
    <w:rsid w:val="00CB3600"/>
    <w:rsid w:val="00CB386E"/>
    <w:rsid w:val="00CB3B57"/>
    <w:rsid w:val="00CB3F76"/>
    <w:rsid w:val="00CB4084"/>
    <w:rsid w:val="00CB4552"/>
    <w:rsid w:val="00CB4C38"/>
    <w:rsid w:val="00CB5672"/>
    <w:rsid w:val="00CB5E02"/>
    <w:rsid w:val="00CB6203"/>
    <w:rsid w:val="00CB6B5E"/>
    <w:rsid w:val="00CB76C7"/>
    <w:rsid w:val="00CB7F3C"/>
    <w:rsid w:val="00CC0846"/>
    <w:rsid w:val="00CC0983"/>
    <w:rsid w:val="00CC098F"/>
    <w:rsid w:val="00CC09BD"/>
    <w:rsid w:val="00CC09C3"/>
    <w:rsid w:val="00CC0BE8"/>
    <w:rsid w:val="00CC0C2C"/>
    <w:rsid w:val="00CC155E"/>
    <w:rsid w:val="00CC1622"/>
    <w:rsid w:val="00CC1C3B"/>
    <w:rsid w:val="00CC1F14"/>
    <w:rsid w:val="00CC2379"/>
    <w:rsid w:val="00CC2FC8"/>
    <w:rsid w:val="00CC3092"/>
    <w:rsid w:val="00CC32D9"/>
    <w:rsid w:val="00CC3345"/>
    <w:rsid w:val="00CC3822"/>
    <w:rsid w:val="00CC39A2"/>
    <w:rsid w:val="00CC3ADE"/>
    <w:rsid w:val="00CC3E56"/>
    <w:rsid w:val="00CC45FD"/>
    <w:rsid w:val="00CC4602"/>
    <w:rsid w:val="00CC485A"/>
    <w:rsid w:val="00CC4C3D"/>
    <w:rsid w:val="00CC4EFA"/>
    <w:rsid w:val="00CC56BD"/>
    <w:rsid w:val="00CC5C3B"/>
    <w:rsid w:val="00CC6419"/>
    <w:rsid w:val="00CC6692"/>
    <w:rsid w:val="00CC66C4"/>
    <w:rsid w:val="00CC66E1"/>
    <w:rsid w:val="00CC68F3"/>
    <w:rsid w:val="00CC70E7"/>
    <w:rsid w:val="00CC7A3E"/>
    <w:rsid w:val="00CC7BFF"/>
    <w:rsid w:val="00CC7C18"/>
    <w:rsid w:val="00CC7C9C"/>
    <w:rsid w:val="00CD071B"/>
    <w:rsid w:val="00CD0A61"/>
    <w:rsid w:val="00CD0CB6"/>
    <w:rsid w:val="00CD0FED"/>
    <w:rsid w:val="00CD1922"/>
    <w:rsid w:val="00CD22DF"/>
    <w:rsid w:val="00CD2E48"/>
    <w:rsid w:val="00CD32EF"/>
    <w:rsid w:val="00CD34DB"/>
    <w:rsid w:val="00CD34F8"/>
    <w:rsid w:val="00CD3993"/>
    <w:rsid w:val="00CD3D61"/>
    <w:rsid w:val="00CD48A0"/>
    <w:rsid w:val="00CD490E"/>
    <w:rsid w:val="00CD4F38"/>
    <w:rsid w:val="00CD5087"/>
    <w:rsid w:val="00CD5564"/>
    <w:rsid w:val="00CD65E4"/>
    <w:rsid w:val="00CD7371"/>
    <w:rsid w:val="00CD7673"/>
    <w:rsid w:val="00CD77C9"/>
    <w:rsid w:val="00CD79EA"/>
    <w:rsid w:val="00CD7FF0"/>
    <w:rsid w:val="00CE030F"/>
    <w:rsid w:val="00CE0587"/>
    <w:rsid w:val="00CE076D"/>
    <w:rsid w:val="00CE0A40"/>
    <w:rsid w:val="00CE0B73"/>
    <w:rsid w:val="00CE0C8D"/>
    <w:rsid w:val="00CE0EC4"/>
    <w:rsid w:val="00CE0F67"/>
    <w:rsid w:val="00CE16EF"/>
    <w:rsid w:val="00CE1BEB"/>
    <w:rsid w:val="00CE1FA0"/>
    <w:rsid w:val="00CE2034"/>
    <w:rsid w:val="00CE264E"/>
    <w:rsid w:val="00CE2A4C"/>
    <w:rsid w:val="00CE2F54"/>
    <w:rsid w:val="00CE2F9D"/>
    <w:rsid w:val="00CE32B1"/>
    <w:rsid w:val="00CE3621"/>
    <w:rsid w:val="00CE375C"/>
    <w:rsid w:val="00CE3804"/>
    <w:rsid w:val="00CE3BEC"/>
    <w:rsid w:val="00CE3D10"/>
    <w:rsid w:val="00CE3DD1"/>
    <w:rsid w:val="00CE4003"/>
    <w:rsid w:val="00CE4043"/>
    <w:rsid w:val="00CE4394"/>
    <w:rsid w:val="00CE458C"/>
    <w:rsid w:val="00CE4D04"/>
    <w:rsid w:val="00CE4E77"/>
    <w:rsid w:val="00CE5376"/>
    <w:rsid w:val="00CE54AC"/>
    <w:rsid w:val="00CE584D"/>
    <w:rsid w:val="00CE5CFF"/>
    <w:rsid w:val="00CE63C1"/>
    <w:rsid w:val="00CE66F8"/>
    <w:rsid w:val="00CE6C2E"/>
    <w:rsid w:val="00CE6C53"/>
    <w:rsid w:val="00CE75CF"/>
    <w:rsid w:val="00CE7978"/>
    <w:rsid w:val="00CE7BF3"/>
    <w:rsid w:val="00CE7E2E"/>
    <w:rsid w:val="00CF0366"/>
    <w:rsid w:val="00CF036E"/>
    <w:rsid w:val="00CF09FD"/>
    <w:rsid w:val="00CF0E9E"/>
    <w:rsid w:val="00CF0F0E"/>
    <w:rsid w:val="00CF1231"/>
    <w:rsid w:val="00CF12CD"/>
    <w:rsid w:val="00CF16EF"/>
    <w:rsid w:val="00CF1BB2"/>
    <w:rsid w:val="00CF1E03"/>
    <w:rsid w:val="00CF25AC"/>
    <w:rsid w:val="00CF2671"/>
    <w:rsid w:val="00CF285E"/>
    <w:rsid w:val="00CF29FE"/>
    <w:rsid w:val="00CF2EA6"/>
    <w:rsid w:val="00CF2F51"/>
    <w:rsid w:val="00CF3628"/>
    <w:rsid w:val="00CF3BAB"/>
    <w:rsid w:val="00CF3F27"/>
    <w:rsid w:val="00CF4236"/>
    <w:rsid w:val="00CF4960"/>
    <w:rsid w:val="00CF49E1"/>
    <w:rsid w:val="00CF5021"/>
    <w:rsid w:val="00CF599B"/>
    <w:rsid w:val="00CF5CEF"/>
    <w:rsid w:val="00CF5FE9"/>
    <w:rsid w:val="00CF6A43"/>
    <w:rsid w:val="00CF6C83"/>
    <w:rsid w:val="00CF6CB7"/>
    <w:rsid w:val="00CF760B"/>
    <w:rsid w:val="00CF7813"/>
    <w:rsid w:val="00CF7EB7"/>
    <w:rsid w:val="00CF7F64"/>
    <w:rsid w:val="00D00110"/>
    <w:rsid w:val="00D00124"/>
    <w:rsid w:val="00D004F7"/>
    <w:rsid w:val="00D0085E"/>
    <w:rsid w:val="00D00C83"/>
    <w:rsid w:val="00D011E0"/>
    <w:rsid w:val="00D012CF"/>
    <w:rsid w:val="00D0138F"/>
    <w:rsid w:val="00D01AF0"/>
    <w:rsid w:val="00D025CE"/>
    <w:rsid w:val="00D02883"/>
    <w:rsid w:val="00D02B89"/>
    <w:rsid w:val="00D02C53"/>
    <w:rsid w:val="00D02CF3"/>
    <w:rsid w:val="00D02FC3"/>
    <w:rsid w:val="00D03427"/>
    <w:rsid w:val="00D03531"/>
    <w:rsid w:val="00D03E8A"/>
    <w:rsid w:val="00D03FA5"/>
    <w:rsid w:val="00D04057"/>
    <w:rsid w:val="00D042F7"/>
    <w:rsid w:val="00D0442A"/>
    <w:rsid w:val="00D0450B"/>
    <w:rsid w:val="00D04577"/>
    <w:rsid w:val="00D045E2"/>
    <w:rsid w:val="00D0494B"/>
    <w:rsid w:val="00D04965"/>
    <w:rsid w:val="00D04CAB"/>
    <w:rsid w:val="00D04E7A"/>
    <w:rsid w:val="00D0502B"/>
    <w:rsid w:val="00D05317"/>
    <w:rsid w:val="00D06C2C"/>
    <w:rsid w:val="00D06D03"/>
    <w:rsid w:val="00D07439"/>
    <w:rsid w:val="00D0757C"/>
    <w:rsid w:val="00D075BC"/>
    <w:rsid w:val="00D075FD"/>
    <w:rsid w:val="00D101AA"/>
    <w:rsid w:val="00D101F5"/>
    <w:rsid w:val="00D10AC5"/>
    <w:rsid w:val="00D10B9D"/>
    <w:rsid w:val="00D10DC6"/>
    <w:rsid w:val="00D11268"/>
    <w:rsid w:val="00D1132A"/>
    <w:rsid w:val="00D11A75"/>
    <w:rsid w:val="00D11D36"/>
    <w:rsid w:val="00D11D9A"/>
    <w:rsid w:val="00D123A8"/>
    <w:rsid w:val="00D131BC"/>
    <w:rsid w:val="00D13235"/>
    <w:rsid w:val="00D13294"/>
    <w:rsid w:val="00D13307"/>
    <w:rsid w:val="00D1347A"/>
    <w:rsid w:val="00D134A6"/>
    <w:rsid w:val="00D13741"/>
    <w:rsid w:val="00D13792"/>
    <w:rsid w:val="00D13CAC"/>
    <w:rsid w:val="00D14189"/>
    <w:rsid w:val="00D141FB"/>
    <w:rsid w:val="00D14253"/>
    <w:rsid w:val="00D14398"/>
    <w:rsid w:val="00D1445B"/>
    <w:rsid w:val="00D14A37"/>
    <w:rsid w:val="00D15C33"/>
    <w:rsid w:val="00D1618A"/>
    <w:rsid w:val="00D163B9"/>
    <w:rsid w:val="00D164E6"/>
    <w:rsid w:val="00D168CC"/>
    <w:rsid w:val="00D16AF8"/>
    <w:rsid w:val="00D16CE0"/>
    <w:rsid w:val="00D16F2C"/>
    <w:rsid w:val="00D173BB"/>
    <w:rsid w:val="00D17CF1"/>
    <w:rsid w:val="00D17D5F"/>
    <w:rsid w:val="00D207BB"/>
    <w:rsid w:val="00D211D4"/>
    <w:rsid w:val="00D21213"/>
    <w:rsid w:val="00D21362"/>
    <w:rsid w:val="00D2169E"/>
    <w:rsid w:val="00D219B1"/>
    <w:rsid w:val="00D21D11"/>
    <w:rsid w:val="00D221DB"/>
    <w:rsid w:val="00D2224B"/>
    <w:rsid w:val="00D2230A"/>
    <w:rsid w:val="00D22556"/>
    <w:rsid w:val="00D22D33"/>
    <w:rsid w:val="00D23104"/>
    <w:rsid w:val="00D23481"/>
    <w:rsid w:val="00D23616"/>
    <w:rsid w:val="00D239FE"/>
    <w:rsid w:val="00D23CD0"/>
    <w:rsid w:val="00D23DBA"/>
    <w:rsid w:val="00D24DC4"/>
    <w:rsid w:val="00D2546C"/>
    <w:rsid w:val="00D26799"/>
    <w:rsid w:val="00D26ADE"/>
    <w:rsid w:val="00D26AEB"/>
    <w:rsid w:val="00D274EF"/>
    <w:rsid w:val="00D27BDF"/>
    <w:rsid w:val="00D27D03"/>
    <w:rsid w:val="00D302DC"/>
    <w:rsid w:val="00D30BF1"/>
    <w:rsid w:val="00D30DD3"/>
    <w:rsid w:val="00D310E8"/>
    <w:rsid w:val="00D311AB"/>
    <w:rsid w:val="00D318DB"/>
    <w:rsid w:val="00D32546"/>
    <w:rsid w:val="00D3265A"/>
    <w:rsid w:val="00D32763"/>
    <w:rsid w:val="00D32848"/>
    <w:rsid w:val="00D32E3C"/>
    <w:rsid w:val="00D33834"/>
    <w:rsid w:val="00D33ADA"/>
    <w:rsid w:val="00D33BDE"/>
    <w:rsid w:val="00D34C77"/>
    <w:rsid w:val="00D34D9C"/>
    <w:rsid w:val="00D35776"/>
    <w:rsid w:val="00D357D0"/>
    <w:rsid w:val="00D35C0B"/>
    <w:rsid w:val="00D35CF6"/>
    <w:rsid w:val="00D36299"/>
    <w:rsid w:val="00D36FBA"/>
    <w:rsid w:val="00D3763C"/>
    <w:rsid w:val="00D378CE"/>
    <w:rsid w:val="00D407B2"/>
    <w:rsid w:val="00D407B4"/>
    <w:rsid w:val="00D40856"/>
    <w:rsid w:val="00D40C7B"/>
    <w:rsid w:val="00D40D40"/>
    <w:rsid w:val="00D412C1"/>
    <w:rsid w:val="00D413CC"/>
    <w:rsid w:val="00D4181F"/>
    <w:rsid w:val="00D41ACE"/>
    <w:rsid w:val="00D41E0A"/>
    <w:rsid w:val="00D4317B"/>
    <w:rsid w:val="00D4361A"/>
    <w:rsid w:val="00D43A84"/>
    <w:rsid w:val="00D43C00"/>
    <w:rsid w:val="00D44007"/>
    <w:rsid w:val="00D44384"/>
    <w:rsid w:val="00D44569"/>
    <w:rsid w:val="00D44FD5"/>
    <w:rsid w:val="00D453FF"/>
    <w:rsid w:val="00D45544"/>
    <w:rsid w:val="00D45775"/>
    <w:rsid w:val="00D45C46"/>
    <w:rsid w:val="00D45FF3"/>
    <w:rsid w:val="00D46944"/>
    <w:rsid w:val="00D472AB"/>
    <w:rsid w:val="00D473DB"/>
    <w:rsid w:val="00D474C6"/>
    <w:rsid w:val="00D47ACD"/>
    <w:rsid w:val="00D47AEE"/>
    <w:rsid w:val="00D47B6D"/>
    <w:rsid w:val="00D47F7E"/>
    <w:rsid w:val="00D50244"/>
    <w:rsid w:val="00D50FBC"/>
    <w:rsid w:val="00D51F82"/>
    <w:rsid w:val="00D52DD5"/>
    <w:rsid w:val="00D52E18"/>
    <w:rsid w:val="00D534CA"/>
    <w:rsid w:val="00D53B61"/>
    <w:rsid w:val="00D53ED6"/>
    <w:rsid w:val="00D5498C"/>
    <w:rsid w:val="00D549D2"/>
    <w:rsid w:val="00D54BB9"/>
    <w:rsid w:val="00D54DDD"/>
    <w:rsid w:val="00D55317"/>
    <w:rsid w:val="00D5585F"/>
    <w:rsid w:val="00D55AD7"/>
    <w:rsid w:val="00D55ECF"/>
    <w:rsid w:val="00D5616E"/>
    <w:rsid w:val="00D56522"/>
    <w:rsid w:val="00D5657F"/>
    <w:rsid w:val="00D568E7"/>
    <w:rsid w:val="00D56D10"/>
    <w:rsid w:val="00D56F9D"/>
    <w:rsid w:val="00D57188"/>
    <w:rsid w:val="00D5747C"/>
    <w:rsid w:val="00D57C04"/>
    <w:rsid w:val="00D57DD7"/>
    <w:rsid w:val="00D60CD2"/>
    <w:rsid w:val="00D6140A"/>
    <w:rsid w:val="00D615C1"/>
    <w:rsid w:val="00D61BB5"/>
    <w:rsid w:val="00D62488"/>
    <w:rsid w:val="00D62E73"/>
    <w:rsid w:val="00D63140"/>
    <w:rsid w:val="00D6322D"/>
    <w:rsid w:val="00D632AB"/>
    <w:rsid w:val="00D637F2"/>
    <w:rsid w:val="00D639F9"/>
    <w:rsid w:val="00D63DBC"/>
    <w:rsid w:val="00D63ED2"/>
    <w:rsid w:val="00D64014"/>
    <w:rsid w:val="00D648D3"/>
    <w:rsid w:val="00D64ACA"/>
    <w:rsid w:val="00D64D56"/>
    <w:rsid w:val="00D64D5E"/>
    <w:rsid w:val="00D65122"/>
    <w:rsid w:val="00D6548F"/>
    <w:rsid w:val="00D654A1"/>
    <w:rsid w:val="00D662BC"/>
    <w:rsid w:val="00D66764"/>
    <w:rsid w:val="00D66778"/>
    <w:rsid w:val="00D66851"/>
    <w:rsid w:val="00D66BB3"/>
    <w:rsid w:val="00D66DEA"/>
    <w:rsid w:val="00D67254"/>
    <w:rsid w:val="00D67B7A"/>
    <w:rsid w:val="00D704F4"/>
    <w:rsid w:val="00D7072D"/>
    <w:rsid w:val="00D70A6C"/>
    <w:rsid w:val="00D70D75"/>
    <w:rsid w:val="00D71B2F"/>
    <w:rsid w:val="00D72420"/>
    <w:rsid w:val="00D7249C"/>
    <w:rsid w:val="00D72677"/>
    <w:rsid w:val="00D72CFA"/>
    <w:rsid w:val="00D72F88"/>
    <w:rsid w:val="00D736A9"/>
    <w:rsid w:val="00D737BD"/>
    <w:rsid w:val="00D738C6"/>
    <w:rsid w:val="00D73954"/>
    <w:rsid w:val="00D73E3E"/>
    <w:rsid w:val="00D73F61"/>
    <w:rsid w:val="00D74083"/>
    <w:rsid w:val="00D744B1"/>
    <w:rsid w:val="00D746AD"/>
    <w:rsid w:val="00D74741"/>
    <w:rsid w:val="00D75048"/>
    <w:rsid w:val="00D75910"/>
    <w:rsid w:val="00D75C1A"/>
    <w:rsid w:val="00D76010"/>
    <w:rsid w:val="00D763B1"/>
    <w:rsid w:val="00D764F6"/>
    <w:rsid w:val="00D76CEC"/>
    <w:rsid w:val="00D76E18"/>
    <w:rsid w:val="00D76FEB"/>
    <w:rsid w:val="00D77158"/>
    <w:rsid w:val="00D77410"/>
    <w:rsid w:val="00D777EF"/>
    <w:rsid w:val="00D77943"/>
    <w:rsid w:val="00D77A8F"/>
    <w:rsid w:val="00D8004A"/>
    <w:rsid w:val="00D8044A"/>
    <w:rsid w:val="00D807BC"/>
    <w:rsid w:val="00D8085D"/>
    <w:rsid w:val="00D8088C"/>
    <w:rsid w:val="00D81155"/>
    <w:rsid w:val="00D81D3D"/>
    <w:rsid w:val="00D81E21"/>
    <w:rsid w:val="00D8216D"/>
    <w:rsid w:val="00D825E9"/>
    <w:rsid w:val="00D82AB4"/>
    <w:rsid w:val="00D830C6"/>
    <w:rsid w:val="00D83133"/>
    <w:rsid w:val="00D83797"/>
    <w:rsid w:val="00D83E1A"/>
    <w:rsid w:val="00D84208"/>
    <w:rsid w:val="00D84238"/>
    <w:rsid w:val="00D8432F"/>
    <w:rsid w:val="00D846DD"/>
    <w:rsid w:val="00D848CE"/>
    <w:rsid w:val="00D84A82"/>
    <w:rsid w:val="00D84C4A"/>
    <w:rsid w:val="00D85094"/>
    <w:rsid w:val="00D850EA"/>
    <w:rsid w:val="00D8524D"/>
    <w:rsid w:val="00D858EE"/>
    <w:rsid w:val="00D85936"/>
    <w:rsid w:val="00D85A0B"/>
    <w:rsid w:val="00D860FB"/>
    <w:rsid w:val="00D862DA"/>
    <w:rsid w:val="00D86C86"/>
    <w:rsid w:val="00D871F3"/>
    <w:rsid w:val="00D87CED"/>
    <w:rsid w:val="00D905E3"/>
    <w:rsid w:val="00D90931"/>
    <w:rsid w:val="00D90E5B"/>
    <w:rsid w:val="00D90EE9"/>
    <w:rsid w:val="00D9154C"/>
    <w:rsid w:val="00D91C84"/>
    <w:rsid w:val="00D922EB"/>
    <w:rsid w:val="00D9266B"/>
    <w:rsid w:val="00D92735"/>
    <w:rsid w:val="00D92883"/>
    <w:rsid w:val="00D93247"/>
    <w:rsid w:val="00D9356E"/>
    <w:rsid w:val="00D93A47"/>
    <w:rsid w:val="00D93BA7"/>
    <w:rsid w:val="00D93C6F"/>
    <w:rsid w:val="00D93E60"/>
    <w:rsid w:val="00D94332"/>
    <w:rsid w:val="00D943E9"/>
    <w:rsid w:val="00D945FC"/>
    <w:rsid w:val="00D9505F"/>
    <w:rsid w:val="00D95278"/>
    <w:rsid w:val="00D956A1"/>
    <w:rsid w:val="00D9585B"/>
    <w:rsid w:val="00D95C10"/>
    <w:rsid w:val="00D95C4E"/>
    <w:rsid w:val="00D95D7F"/>
    <w:rsid w:val="00D95DE1"/>
    <w:rsid w:val="00D95E8D"/>
    <w:rsid w:val="00D95EB3"/>
    <w:rsid w:val="00D9647B"/>
    <w:rsid w:val="00D9682E"/>
    <w:rsid w:val="00D96BE1"/>
    <w:rsid w:val="00D96F44"/>
    <w:rsid w:val="00D9705A"/>
    <w:rsid w:val="00D9750D"/>
    <w:rsid w:val="00D97672"/>
    <w:rsid w:val="00D97839"/>
    <w:rsid w:val="00D97872"/>
    <w:rsid w:val="00D978D6"/>
    <w:rsid w:val="00DA0CBC"/>
    <w:rsid w:val="00DA0D47"/>
    <w:rsid w:val="00DA0FE2"/>
    <w:rsid w:val="00DA1572"/>
    <w:rsid w:val="00DA162A"/>
    <w:rsid w:val="00DA1E21"/>
    <w:rsid w:val="00DA2B98"/>
    <w:rsid w:val="00DA2EA9"/>
    <w:rsid w:val="00DA3C75"/>
    <w:rsid w:val="00DA4512"/>
    <w:rsid w:val="00DA45EA"/>
    <w:rsid w:val="00DA4B3F"/>
    <w:rsid w:val="00DA4CB7"/>
    <w:rsid w:val="00DA4D04"/>
    <w:rsid w:val="00DA5364"/>
    <w:rsid w:val="00DA5714"/>
    <w:rsid w:val="00DA5BD9"/>
    <w:rsid w:val="00DA5C90"/>
    <w:rsid w:val="00DA5F49"/>
    <w:rsid w:val="00DA73B7"/>
    <w:rsid w:val="00DA78BD"/>
    <w:rsid w:val="00DA796B"/>
    <w:rsid w:val="00DA7D0B"/>
    <w:rsid w:val="00DA7EE2"/>
    <w:rsid w:val="00DB0091"/>
    <w:rsid w:val="00DB0383"/>
    <w:rsid w:val="00DB0742"/>
    <w:rsid w:val="00DB0794"/>
    <w:rsid w:val="00DB0E98"/>
    <w:rsid w:val="00DB1853"/>
    <w:rsid w:val="00DB1863"/>
    <w:rsid w:val="00DB1C3B"/>
    <w:rsid w:val="00DB1D30"/>
    <w:rsid w:val="00DB1F70"/>
    <w:rsid w:val="00DB1FC8"/>
    <w:rsid w:val="00DB213F"/>
    <w:rsid w:val="00DB26B2"/>
    <w:rsid w:val="00DB2A16"/>
    <w:rsid w:val="00DB2E18"/>
    <w:rsid w:val="00DB2F14"/>
    <w:rsid w:val="00DB304B"/>
    <w:rsid w:val="00DB3739"/>
    <w:rsid w:val="00DB3815"/>
    <w:rsid w:val="00DB3B62"/>
    <w:rsid w:val="00DB405B"/>
    <w:rsid w:val="00DB476C"/>
    <w:rsid w:val="00DB4CF1"/>
    <w:rsid w:val="00DB4D5A"/>
    <w:rsid w:val="00DB4E48"/>
    <w:rsid w:val="00DB4E5C"/>
    <w:rsid w:val="00DB5432"/>
    <w:rsid w:val="00DB5E8C"/>
    <w:rsid w:val="00DB5F47"/>
    <w:rsid w:val="00DB6077"/>
    <w:rsid w:val="00DB63DB"/>
    <w:rsid w:val="00DB6489"/>
    <w:rsid w:val="00DB68EC"/>
    <w:rsid w:val="00DB6AC6"/>
    <w:rsid w:val="00DB738D"/>
    <w:rsid w:val="00DB76DA"/>
    <w:rsid w:val="00DB7773"/>
    <w:rsid w:val="00DC12BE"/>
    <w:rsid w:val="00DC18F4"/>
    <w:rsid w:val="00DC2616"/>
    <w:rsid w:val="00DC261D"/>
    <w:rsid w:val="00DC267F"/>
    <w:rsid w:val="00DC2C29"/>
    <w:rsid w:val="00DC3283"/>
    <w:rsid w:val="00DC3495"/>
    <w:rsid w:val="00DC3B90"/>
    <w:rsid w:val="00DC3FA3"/>
    <w:rsid w:val="00DC420D"/>
    <w:rsid w:val="00DC4294"/>
    <w:rsid w:val="00DC456C"/>
    <w:rsid w:val="00DC480E"/>
    <w:rsid w:val="00DC4F4B"/>
    <w:rsid w:val="00DC53A5"/>
    <w:rsid w:val="00DC5499"/>
    <w:rsid w:val="00DC55AB"/>
    <w:rsid w:val="00DC56A7"/>
    <w:rsid w:val="00DC5FB9"/>
    <w:rsid w:val="00DC6619"/>
    <w:rsid w:val="00DC6A8F"/>
    <w:rsid w:val="00DC6E5F"/>
    <w:rsid w:val="00DC7311"/>
    <w:rsid w:val="00DC7467"/>
    <w:rsid w:val="00DC7889"/>
    <w:rsid w:val="00DC78AF"/>
    <w:rsid w:val="00DC79C4"/>
    <w:rsid w:val="00DC79E5"/>
    <w:rsid w:val="00DC7D6D"/>
    <w:rsid w:val="00DC7FCF"/>
    <w:rsid w:val="00DD0730"/>
    <w:rsid w:val="00DD0AE0"/>
    <w:rsid w:val="00DD115E"/>
    <w:rsid w:val="00DD198A"/>
    <w:rsid w:val="00DD1BB2"/>
    <w:rsid w:val="00DD1D37"/>
    <w:rsid w:val="00DD1DE8"/>
    <w:rsid w:val="00DD1E54"/>
    <w:rsid w:val="00DD3300"/>
    <w:rsid w:val="00DD3AD1"/>
    <w:rsid w:val="00DD4105"/>
    <w:rsid w:val="00DD4207"/>
    <w:rsid w:val="00DD4B29"/>
    <w:rsid w:val="00DD4EA9"/>
    <w:rsid w:val="00DD4EC7"/>
    <w:rsid w:val="00DD565C"/>
    <w:rsid w:val="00DD59B9"/>
    <w:rsid w:val="00DD5C1B"/>
    <w:rsid w:val="00DD5DE9"/>
    <w:rsid w:val="00DD6577"/>
    <w:rsid w:val="00DD6822"/>
    <w:rsid w:val="00DD6A02"/>
    <w:rsid w:val="00DD6C99"/>
    <w:rsid w:val="00DD6D83"/>
    <w:rsid w:val="00DD7C6C"/>
    <w:rsid w:val="00DE01F4"/>
    <w:rsid w:val="00DE066D"/>
    <w:rsid w:val="00DE0698"/>
    <w:rsid w:val="00DE07D7"/>
    <w:rsid w:val="00DE0F9F"/>
    <w:rsid w:val="00DE1490"/>
    <w:rsid w:val="00DE14DA"/>
    <w:rsid w:val="00DE1C4E"/>
    <w:rsid w:val="00DE21F0"/>
    <w:rsid w:val="00DE23FD"/>
    <w:rsid w:val="00DE27D8"/>
    <w:rsid w:val="00DE38A9"/>
    <w:rsid w:val="00DE4350"/>
    <w:rsid w:val="00DE4399"/>
    <w:rsid w:val="00DE4A48"/>
    <w:rsid w:val="00DE4DC8"/>
    <w:rsid w:val="00DE56F9"/>
    <w:rsid w:val="00DE5787"/>
    <w:rsid w:val="00DE5886"/>
    <w:rsid w:val="00DE594B"/>
    <w:rsid w:val="00DE5A9B"/>
    <w:rsid w:val="00DE5B1E"/>
    <w:rsid w:val="00DE6303"/>
    <w:rsid w:val="00DE78C9"/>
    <w:rsid w:val="00DE79B0"/>
    <w:rsid w:val="00DE7D50"/>
    <w:rsid w:val="00DE7E55"/>
    <w:rsid w:val="00DF03A5"/>
    <w:rsid w:val="00DF0CE3"/>
    <w:rsid w:val="00DF0F44"/>
    <w:rsid w:val="00DF1120"/>
    <w:rsid w:val="00DF13E4"/>
    <w:rsid w:val="00DF2153"/>
    <w:rsid w:val="00DF2783"/>
    <w:rsid w:val="00DF2C98"/>
    <w:rsid w:val="00DF30DC"/>
    <w:rsid w:val="00DF3384"/>
    <w:rsid w:val="00DF33D5"/>
    <w:rsid w:val="00DF33E9"/>
    <w:rsid w:val="00DF3512"/>
    <w:rsid w:val="00DF3591"/>
    <w:rsid w:val="00DF3B48"/>
    <w:rsid w:val="00DF426A"/>
    <w:rsid w:val="00DF45C6"/>
    <w:rsid w:val="00DF4BF9"/>
    <w:rsid w:val="00DF5412"/>
    <w:rsid w:val="00DF590F"/>
    <w:rsid w:val="00DF5A97"/>
    <w:rsid w:val="00DF5EDB"/>
    <w:rsid w:val="00DF5F54"/>
    <w:rsid w:val="00DF6870"/>
    <w:rsid w:val="00DF68C5"/>
    <w:rsid w:val="00DF74E0"/>
    <w:rsid w:val="00DF7689"/>
    <w:rsid w:val="00DF786C"/>
    <w:rsid w:val="00DF7970"/>
    <w:rsid w:val="00DF799A"/>
    <w:rsid w:val="00E0004B"/>
    <w:rsid w:val="00E00482"/>
    <w:rsid w:val="00E0048B"/>
    <w:rsid w:val="00E014E1"/>
    <w:rsid w:val="00E01553"/>
    <w:rsid w:val="00E01705"/>
    <w:rsid w:val="00E0171E"/>
    <w:rsid w:val="00E01F67"/>
    <w:rsid w:val="00E02108"/>
    <w:rsid w:val="00E02300"/>
    <w:rsid w:val="00E028A1"/>
    <w:rsid w:val="00E02D4B"/>
    <w:rsid w:val="00E03765"/>
    <w:rsid w:val="00E03A68"/>
    <w:rsid w:val="00E03A9C"/>
    <w:rsid w:val="00E04ED4"/>
    <w:rsid w:val="00E05070"/>
    <w:rsid w:val="00E0538A"/>
    <w:rsid w:val="00E054CB"/>
    <w:rsid w:val="00E05A6A"/>
    <w:rsid w:val="00E05A90"/>
    <w:rsid w:val="00E060EB"/>
    <w:rsid w:val="00E06431"/>
    <w:rsid w:val="00E06700"/>
    <w:rsid w:val="00E06A7D"/>
    <w:rsid w:val="00E06C87"/>
    <w:rsid w:val="00E06E77"/>
    <w:rsid w:val="00E06F03"/>
    <w:rsid w:val="00E070AF"/>
    <w:rsid w:val="00E07665"/>
    <w:rsid w:val="00E0774F"/>
    <w:rsid w:val="00E07C16"/>
    <w:rsid w:val="00E1037E"/>
    <w:rsid w:val="00E1047C"/>
    <w:rsid w:val="00E10A20"/>
    <w:rsid w:val="00E10BE9"/>
    <w:rsid w:val="00E10C9C"/>
    <w:rsid w:val="00E10F9A"/>
    <w:rsid w:val="00E1106C"/>
    <w:rsid w:val="00E11088"/>
    <w:rsid w:val="00E116CA"/>
    <w:rsid w:val="00E1173B"/>
    <w:rsid w:val="00E11B30"/>
    <w:rsid w:val="00E11BC4"/>
    <w:rsid w:val="00E11C2E"/>
    <w:rsid w:val="00E12386"/>
    <w:rsid w:val="00E124A7"/>
    <w:rsid w:val="00E127D5"/>
    <w:rsid w:val="00E1287E"/>
    <w:rsid w:val="00E12FC6"/>
    <w:rsid w:val="00E13494"/>
    <w:rsid w:val="00E134DB"/>
    <w:rsid w:val="00E13B5B"/>
    <w:rsid w:val="00E145CE"/>
    <w:rsid w:val="00E145E3"/>
    <w:rsid w:val="00E146A1"/>
    <w:rsid w:val="00E148ED"/>
    <w:rsid w:val="00E1498D"/>
    <w:rsid w:val="00E15011"/>
    <w:rsid w:val="00E15702"/>
    <w:rsid w:val="00E15822"/>
    <w:rsid w:val="00E15DB0"/>
    <w:rsid w:val="00E160DF"/>
    <w:rsid w:val="00E1619B"/>
    <w:rsid w:val="00E1624B"/>
    <w:rsid w:val="00E1651C"/>
    <w:rsid w:val="00E1731E"/>
    <w:rsid w:val="00E17456"/>
    <w:rsid w:val="00E175F9"/>
    <w:rsid w:val="00E17A57"/>
    <w:rsid w:val="00E212C2"/>
    <w:rsid w:val="00E212CC"/>
    <w:rsid w:val="00E2153D"/>
    <w:rsid w:val="00E21DD8"/>
    <w:rsid w:val="00E21ECD"/>
    <w:rsid w:val="00E2227F"/>
    <w:rsid w:val="00E22464"/>
    <w:rsid w:val="00E22D6D"/>
    <w:rsid w:val="00E237BF"/>
    <w:rsid w:val="00E2454B"/>
    <w:rsid w:val="00E24A2A"/>
    <w:rsid w:val="00E25065"/>
    <w:rsid w:val="00E251BC"/>
    <w:rsid w:val="00E25482"/>
    <w:rsid w:val="00E2675D"/>
    <w:rsid w:val="00E269B0"/>
    <w:rsid w:val="00E26A0F"/>
    <w:rsid w:val="00E26C96"/>
    <w:rsid w:val="00E26D69"/>
    <w:rsid w:val="00E26F30"/>
    <w:rsid w:val="00E275E7"/>
    <w:rsid w:val="00E27623"/>
    <w:rsid w:val="00E276A2"/>
    <w:rsid w:val="00E277C1"/>
    <w:rsid w:val="00E27BFF"/>
    <w:rsid w:val="00E27C22"/>
    <w:rsid w:val="00E30A40"/>
    <w:rsid w:val="00E30CB1"/>
    <w:rsid w:val="00E30DC0"/>
    <w:rsid w:val="00E30E4A"/>
    <w:rsid w:val="00E3114E"/>
    <w:rsid w:val="00E314CD"/>
    <w:rsid w:val="00E314EA"/>
    <w:rsid w:val="00E31539"/>
    <w:rsid w:val="00E31619"/>
    <w:rsid w:val="00E31C77"/>
    <w:rsid w:val="00E31E0F"/>
    <w:rsid w:val="00E3222C"/>
    <w:rsid w:val="00E3242D"/>
    <w:rsid w:val="00E3287D"/>
    <w:rsid w:val="00E32A7C"/>
    <w:rsid w:val="00E32BA0"/>
    <w:rsid w:val="00E32D64"/>
    <w:rsid w:val="00E32DF9"/>
    <w:rsid w:val="00E32E50"/>
    <w:rsid w:val="00E32F92"/>
    <w:rsid w:val="00E32FB6"/>
    <w:rsid w:val="00E3319D"/>
    <w:rsid w:val="00E3373A"/>
    <w:rsid w:val="00E33865"/>
    <w:rsid w:val="00E33A87"/>
    <w:rsid w:val="00E3458F"/>
    <w:rsid w:val="00E34661"/>
    <w:rsid w:val="00E34CE7"/>
    <w:rsid w:val="00E355E5"/>
    <w:rsid w:val="00E35C80"/>
    <w:rsid w:val="00E35FA9"/>
    <w:rsid w:val="00E36045"/>
    <w:rsid w:val="00E36152"/>
    <w:rsid w:val="00E36189"/>
    <w:rsid w:val="00E36446"/>
    <w:rsid w:val="00E36622"/>
    <w:rsid w:val="00E36924"/>
    <w:rsid w:val="00E3723D"/>
    <w:rsid w:val="00E373E5"/>
    <w:rsid w:val="00E37993"/>
    <w:rsid w:val="00E4006D"/>
    <w:rsid w:val="00E4015C"/>
    <w:rsid w:val="00E4019D"/>
    <w:rsid w:val="00E401DF"/>
    <w:rsid w:val="00E4026D"/>
    <w:rsid w:val="00E40A16"/>
    <w:rsid w:val="00E40A9A"/>
    <w:rsid w:val="00E41243"/>
    <w:rsid w:val="00E418EE"/>
    <w:rsid w:val="00E4194A"/>
    <w:rsid w:val="00E41B2F"/>
    <w:rsid w:val="00E41DEB"/>
    <w:rsid w:val="00E41E28"/>
    <w:rsid w:val="00E42901"/>
    <w:rsid w:val="00E42EE1"/>
    <w:rsid w:val="00E43CE4"/>
    <w:rsid w:val="00E440A4"/>
    <w:rsid w:val="00E44344"/>
    <w:rsid w:val="00E4437C"/>
    <w:rsid w:val="00E44390"/>
    <w:rsid w:val="00E4467B"/>
    <w:rsid w:val="00E449F4"/>
    <w:rsid w:val="00E451AD"/>
    <w:rsid w:val="00E453F0"/>
    <w:rsid w:val="00E4565C"/>
    <w:rsid w:val="00E45748"/>
    <w:rsid w:val="00E45794"/>
    <w:rsid w:val="00E4646B"/>
    <w:rsid w:val="00E464DC"/>
    <w:rsid w:val="00E467F2"/>
    <w:rsid w:val="00E46857"/>
    <w:rsid w:val="00E46A6C"/>
    <w:rsid w:val="00E47066"/>
    <w:rsid w:val="00E4713F"/>
    <w:rsid w:val="00E4761E"/>
    <w:rsid w:val="00E47996"/>
    <w:rsid w:val="00E47D96"/>
    <w:rsid w:val="00E50191"/>
    <w:rsid w:val="00E5061F"/>
    <w:rsid w:val="00E506F7"/>
    <w:rsid w:val="00E50981"/>
    <w:rsid w:val="00E512AC"/>
    <w:rsid w:val="00E51331"/>
    <w:rsid w:val="00E51A20"/>
    <w:rsid w:val="00E51DBE"/>
    <w:rsid w:val="00E51FE7"/>
    <w:rsid w:val="00E52488"/>
    <w:rsid w:val="00E525EB"/>
    <w:rsid w:val="00E525FB"/>
    <w:rsid w:val="00E529CE"/>
    <w:rsid w:val="00E52B63"/>
    <w:rsid w:val="00E52BE6"/>
    <w:rsid w:val="00E52E1E"/>
    <w:rsid w:val="00E53554"/>
    <w:rsid w:val="00E535B6"/>
    <w:rsid w:val="00E53867"/>
    <w:rsid w:val="00E53BFF"/>
    <w:rsid w:val="00E54405"/>
    <w:rsid w:val="00E54ADD"/>
    <w:rsid w:val="00E54C4B"/>
    <w:rsid w:val="00E556DC"/>
    <w:rsid w:val="00E55D67"/>
    <w:rsid w:val="00E55DEA"/>
    <w:rsid w:val="00E55DF0"/>
    <w:rsid w:val="00E56101"/>
    <w:rsid w:val="00E56E87"/>
    <w:rsid w:val="00E5718A"/>
    <w:rsid w:val="00E576B8"/>
    <w:rsid w:val="00E57D00"/>
    <w:rsid w:val="00E57D31"/>
    <w:rsid w:val="00E57F3E"/>
    <w:rsid w:val="00E600A6"/>
    <w:rsid w:val="00E60162"/>
    <w:rsid w:val="00E60351"/>
    <w:rsid w:val="00E60553"/>
    <w:rsid w:val="00E607F9"/>
    <w:rsid w:val="00E60C34"/>
    <w:rsid w:val="00E60D3B"/>
    <w:rsid w:val="00E60E12"/>
    <w:rsid w:val="00E60FC8"/>
    <w:rsid w:val="00E61374"/>
    <w:rsid w:val="00E61CE6"/>
    <w:rsid w:val="00E61E05"/>
    <w:rsid w:val="00E61FD2"/>
    <w:rsid w:val="00E6259D"/>
    <w:rsid w:val="00E63590"/>
    <w:rsid w:val="00E6371E"/>
    <w:rsid w:val="00E6387D"/>
    <w:rsid w:val="00E63C1D"/>
    <w:rsid w:val="00E63CBE"/>
    <w:rsid w:val="00E63DDC"/>
    <w:rsid w:val="00E63EEC"/>
    <w:rsid w:val="00E643A4"/>
    <w:rsid w:val="00E64418"/>
    <w:rsid w:val="00E6472B"/>
    <w:rsid w:val="00E64B7E"/>
    <w:rsid w:val="00E64BFF"/>
    <w:rsid w:val="00E64E2D"/>
    <w:rsid w:val="00E64ECD"/>
    <w:rsid w:val="00E65D2A"/>
    <w:rsid w:val="00E65D6A"/>
    <w:rsid w:val="00E65DE3"/>
    <w:rsid w:val="00E65EA2"/>
    <w:rsid w:val="00E6603A"/>
    <w:rsid w:val="00E660B8"/>
    <w:rsid w:val="00E664E0"/>
    <w:rsid w:val="00E66502"/>
    <w:rsid w:val="00E66912"/>
    <w:rsid w:val="00E67141"/>
    <w:rsid w:val="00E674EA"/>
    <w:rsid w:val="00E67706"/>
    <w:rsid w:val="00E67C65"/>
    <w:rsid w:val="00E67D1A"/>
    <w:rsid w:val="00E7011A"/>
    <w:rsid w:val="00E70460"/>
    <w:rsid w:val="00E70733"/>
    <w:rsid w:val="00E70B9F"/>
    <w:rsid w:val="00E70C98"/>
    <w:rsid w:val="00E70D7E"/>
    <w:rsid w:val="00E70E20"/>
    <w:rsid w:val="00E70FED"/>
    <w:rsid w:val="00E7165B"/>
    <w:rsid w:val="00E716C2"/>
    <w:rsid w:val="00E716E7"/>
    <w:rsid w:val="00E71E6D"/>
    <w:rsid w:val="00E721FD"/>
    <w:rsid w:val="00E723C6"/>
    <w:rsid w:val="00E72B3C"/>
    <w:rsid w:val="00E72C85"/>
    <w:rsid w:val="00E730C7"/>
    <w:rsid w:val="00E73DAF"/>
    <w:rsid w:val="00E740D9"/>
    <w:rsid w:val="00E7413B"/>
    <w:rsid w:val="00E7426D"/>
    <w:rsid w:val="00E742D1"/>
    <w:rsid w:val="00E74F43"/>
    <w:rsid w:val="00E757A8"/>
    <w:rsid w:val="00E7597C"/>
    <w:rsid w:val="00E76117"/>
    <w:rsid w:val="00E76A4E"/>
    <w:rsid w:val="00E76B67"/>
    <w:rsid w:val="00E76D40"/>
    <w:rsid w:val="00E76E43"/>
    <w:rsid w:val="00E77523"/>
    <w:rsid w:val="00E80090"/>
    <w:rsid w:val="00E800E8"/>
    <w:rsid w:val="00E80F11"/>
    <w:rsid w:val="00E814E1"/>
    <w:rsid w:val="00E81575"/>
    <w:rsid w:val="00E81B36"/>
    <w:rsid w:val="00E82CED"/>
    <w:rsid w:val="00E83281"/>
    <w:rsid w:val="00E8347E"/>
    <w:rsid w:val="00E8459D"/>
    <w:rsid w:val="00E8535C"/>
    <w:rsid w:val="00E85526"/>
    <w:rsid w:val="00E85555"/>
    <w:rsid w:val="00E85664"/>
    <w:rsid w:val="00E85B73"/>
    <w:rsid w:val="00E86044"/>
    <w:rsid w:val="00E86ADE"/>
    <w:rsid w:val="00E86C7E"/>
    <w:rsid w:val="00E86EB3"/>
    <w:rsid w:val="00E86FC3"/>
    <w:rsid w:val="00E87422"/>
    <w:rsid w:val="00E8745C"/>
    <w:rsid w:val="00E877C5"/>
    <w:rsid w:val="00E87C3D"/>
    <w:rsid w:val="00E87CB4"/>
    <w:rsid w:val="00E87F98"/>
    <w:rsid w:val="00E9000D"/>
    <w:rsid w:val="00E901C1"/>
    <w:rsid w:val="00E90330"/>
    <w:rsid w:val="00E90750"/>
    <w:rsid w:val="00E908D5"/>
    <w:rsid w:val="00E909BF"/>
    <w:rsid w:val="00E91077"/>
    <w:rsid w:val="00E9121E"/>
    <w:rsid w:val="00E912EC"/>
    <w:rsid w:val="00E9168C"/>
    <w:rsid w:val="00E91893"/>
    <w:rsid w:val="00E91C6E"/>
    <w:rsid w:val="00E921DB"/>
    <w:rsid w:val="00E92483"/>
    <w:rsid w:val="00E92486"/>
    <w:rsid w:val="00E926BD"/>
    <w:rsid w:val="00E92ADD"/>
    <w:rsid w:val="00E930AA"/>
    <w:rsid w:val="00E9372B"/>
    <w:rsid w:val="00E93C59"/>
    <w:rsid w:val="00E94829"/>
    <w:rsid w:val="00E94B8E"/>
    <w:rsid w:val="00E94BCD"/>
    <w:rsid w:val="00E951F7"/>
    <w:rsid w:val="00E95267"/>
    <w:rsid w:val="00E952DD"/>
    <w:rsid w:val="00E95316"/>
    <w:rsid w:val="00E95AF5"/>
    <w:rsid w:val="00E95DD1"/>
    <w:rsid w:val="00E964FC"/>
    <w:rsid w:val="00E9739A"/>
    <w:rsid w:val="00EA0366"/>
    <w:rsid w:val="00EA0B6B"/>
    <w:rsid w:val="00EA11B6"/>
    <w:rsid w:val="00EA185E"/>
    <w:rsid w:val="00EA1C12"/>
    <w:rsid w:val="00EA1C17"/>
    <w:rsid w:val="00EA1E1B"/>
    <w:rsid w:val="00EA2998"/>
    <w:rsid w:val="00EA2D7B"/>
    <w:rsid w:val="00EA336B"/>
    <w:rsid w:val="00EA34AB"/>
    <w:rsid w:val="00EA44D6"/>
    <w:rsid w:val="00EA44DD"/>
    <w:rsid w:val="00EA4C58"/>
    <w:rsid w:val="00EA4CBD"/>
    <w:rsid w:val="00EA4DDD"/>
    <w:rsid w:val="00EA5638"/>
    <w:rsid w:val="00EA59C3"/>
    <w:rsid w:val="00EA6FE9"/>
    <w:rsid w:val="00EA71FE"/>
    <w:rsid w:val="00EA7499"/>
    <w:rsid w:val="00EA7D2E"/>
    <w:rsid w:val="00EB0066"/>
    <w:rsid w:val="00EB105F"/>
    <w:rsid w:val="00EB1439"/>
    <w:rsid w:val="00EB148A"/>
    <w:rsid w:val="00EB1687"/>
    <w:rsid w:val="00EB1833"/>
    <w:rsid w:val="00EB1B38"/>
    <w:rsid w:val="00EB20D9"/>
    <w:rsid w:val="00EB2288"/>
    <w:rsid w:val="00EB3010"/>
    <w:rsid w:val="00EB3040"/>
    <w:rsid w:val="00EB34B8"/>
    <w:rsid w:val="00EB3D27"/>
    <w:rsid w:val="00EB3E56"/>
    <w:rsid w:val="00EB45F5"/>
    <w:rsid w:val="00EB493E"/>
    <w:rsid w:val="00EB4A3C"/>
    <w:rsid w:val="00EB4B1A"/>
    <w:rsid w:val="00EB537F"/>
    <w:rsid w:val="00EB59D3"/>
    <w:rsid w:val="00EB59E3"/>
    <w:rsid w:val="00EB5A08"/>
    <w:rsid w:val="00EB5DF3"/>
    <w:rsid w:val="00EB5F26"/>
    <w:rsid w:val="00EB625B"/>
    <w:rsid w:val="00EB6320"/>
    <w:rsid w:val="00EB6ACE"/>
    <w:rsid w:val="00EB6D15"/>
    <w:rsid w:val="00EB72DD"/>
    <w:rsid w:val="00EB73A7"/>
    <w:rsid w:val="00EB7F3F"/>
    <w:rsid w:val="00EC0346"/>
    <w:rsid w:val="00EC0412"/>
    <w:rsid w:val="00EC0437"/>
    <w:rsid w:val="00EC0532"/>
    <w:rsid w:val="00EC06D3"/>
    <w:rsid w:val="00EC0917"/>
    <w:rsid w:val="00EC1133"/>
    <w:rsid w:val="00EC19B1"/>
    <w:rsid w:val="00EC1D34"/>
    <w:rsid w:val="00EC1E06"/>
    <w:rsid w:val="00EC23B3"/>
    <w:rsid w:val="00EC2580"/>
    <w:rsid w:val="00EC277B"/>
    <w:rsid w:val="00EC2A62"/>
    <w:rsid w:val="00EC2C15"/>
    <w:rsid w:val="00EC39E1"/>
    <w:rsid w:val="00EC43BC"/>
    <w:rsid w:val="00EC4496"/>
    <w:rsid w:val="00EC47F7"/>
    <w:rsid w:val="00EC4B37"/>
    <w:rsid w:val="00EC4CD5"/>
    <w:rsid w:val="00EC53C3"/>
    <w:rsid w:val="00EC56F6"/>
    <w:rsid w:val="00EC57DF"/>
    <w:rsid w:val="00EC58D1"/>
    <w:rsid w:val="00EC6293"/>
    <w:rsid w:val="00EC6369"/>
    <w:rsid w:val="00EC6597"/>
    <w:rsid w:val="00EC6836"/>
    <w:rsid w:val="00EC6BC0"/>
    <w:rsid w:val="00EC6BE7"/>
    <w:rsid w:val="00EC6C3D"/>
    <w:rsid w:val="00EC6E43"/>
    <w:rsid w:val="00EC7099"/>
    <w:rsid w:val="00EC70E1"/>
    <w:rsid w:val="00EC7EBC"/>
    <w:rsid w:val="00EC7EF2"/>
    <w:rsid w:val="00EC7F19"/>
    <w:rsid w:val="00ED017A"/>
    <w:rsid w:val="00ED09B5"/>
    <w:rsid w:val="00ED0C55"/>
    <w:rsid w:val="00ED0CD2"/>
    <w:rsid w:val="00ED1C75"/>
    <w:rsid w:val="00ED1E9D"/>
    <w:rsid w:val="00ED2764"/>
    <w:rsid w:val="00ED2AAC"/>
    <w:rsid w:val="00ED3253"/>
    <w:rsid w:val="00ED3636"/>
    <w:rsid w:val="00ED455C"/>
    <w:rsid w:val="00ED4B45"/>
    <w:rsid w:val="00ED5AE0"/>
    <w:rsid w:val="00ED5CB5"/>
    <w:rsid w:val="00ED5DE9"/>
    <w:rsid w:val="00ED5F52"/>
    <w:rsid w:val="00ED642F"/>
    <w:rsid w:val="00ED6733"/>
    <w:rsid w:val="00ED683D"/>
    <w:rsid w:val="00ED6FB5"/>
    <w:rsid w:val="00ED70A2"/>
    <w:rsid w:val="00ED72ED"/>
    <w:rsid w:val="00ED7884"/>
    <w:rsid w:val="00ED7976"/>
    <w:rsid w:val="00ED79CA"/>
    <w:rsid w:val="00EE0196"/>
    <w:rsid w:val="00EE022B"/>
    <w:rsid w:val="00EE04D2"/>
    <w:rsid w:val="00EE07DB"/>
    <w:rsid w:val="00EE1078"/>
    <w:rsid w:val="00EE1157"/>
    <w:rsid w:val="00EE12F8"/>
    <w:rsid w:val="00EE22CB"/>
    <w:rsid w:val="00EE230E"/>
    <w:rsid w:val="00EE2D41"/>
    <w:rsid w:val="00EE2F43"/>
    <w:rsid w:val="00EE3390"/>
    <w:rsid w:val="00EE3693"/>
    <w:rsid w:val="00EE36DE"/>
    <w:rsid w:val="00EE3FF3"/>
    <w:rsid w:val="00EE4926"/>
    <w:rsid w:val="00EE501A"/>
    <w:rsid w:val="00EE556E"/>
    <w:rsid w:val="00EE58AA"/>
    <w:rsid w:val="00EE60E9"/>
    <w:rsid w:val="00EE6280"/>
    <w:rsid w:val="00EE69EB"/>
    <w:rsid w:val="00EE6A50"/>
    <w:rsid w:val="00EE755F"/>
    <w:rsid w:val="00EE7657"/>
    <w:rsid w:val="00EE7DDA"/>
    <w:rsid w:val="00EE7EA0"/>
    <w:rsid w:val="00EF0218"/>
    <w:rsid w:val="00EF025C"/>
    <w:rsid w:val="00EF030A"/>
    <w:rsid w:val="00EF0576"/>
    <w:rsid w:val="00EF0A84"/>
    <w:rsid w:val="00EF14C4"/>
    <w:rsid w:val="00EF1755"/>
    <w:rsid w:val="00EF17D3"/>
    <w:rsid w:val="00EF1E80"/>
    <w:rsid w:val="00EF210E"/>
    <w:rsid w:val="00EF2140"/>
    <w:rsid w:val="00EF21BE"/>
    <w:rsid w:val="00EF23E2"/>
    <w:rsid w:val="00EF2949"/>
    <w:rsid w:val="00EF2A9B"/>
    <w:rsid w:val="00EF2C85"/>
    <w:rsid w:val="00EF2EEF"/>
    <w:rsid w:val="00EF3113"/>
    <w:rsid w:val="00EF3356"/>
    <w:rsid w:val="00EF35F3"/>
    <w:rsid w:val="00EF3A13"/>
    <w:rsid w:val="00EF3BC1"/>
    <w:rsid w:val="00EF4AE1"/>
    <w:rsid w:val="00EF4D19"/>
    <w:rsid w:val="00EF4DF8"/>
    <w:rsid w:val="00EF50B5"/>
    <w:rsid w:val="00EF512E"/>
    <w:rsid w:val="00EF56D3"/>
    <w:rsid w:val="00EF572C"/>
    <w:rsid w:val="00EF5851"/>
    <w:rsid w:val="00EF58A7"/>
    <w:rsid w:val="00EF5ACD"/>
    <w:rsid w:val="00EF5BE4"/>
    <w:rsid w:val="00EF61AC"/>
    <w:rsid w:val="00EF6365"/>
    <w:rsid w:val="00EF65FA"/>
    <w:rsid w:val="00EF66D8"/>
    <w:rsid w:val="00EF66E3"/>
    <w:rsid w:val="00EF6869"/>
    <w:rsid w:val="00EF6AB6"/>
    <w:rsid w:val="00EF6D23"/>
    <w:rsid w:val="00EF6EDB"/>
    <w:rsid w:val="00EF741A"/>
    <w:rsid w:val="00EF77DB"/>
    <w:rsid w:val="00EF7805"/>
    <w:rsid w:val="00EF7DC1"/>
    <w:rsid w:val="00F00045"/>
    <w:rsid w:val="00F000E8"/>
    <w:rsid w:val="00F005D4"/>
    <w:rsid w:val="00F007A5"/>
    <w:rsid w:val="00F00C43"/>
    <w:rsid w:val="00F00D25"/>
    <w:rsid w:val="00F0120F"/>
    <w:rsid w:val="00F014B9"/>
    <w:rsid w:val="00F01669"/>
    <w:rsid w:val="00F0280A"/>
    <w:rsid w:val="00F029A3"/>
    <w:rsid w:val="00F02D99"/>
    <w:rsid w:val="00F02DC8"/>
    <w:rsid w:val="00F0307F"/>
    <w:rsid w:val="00F03914"/>
    <w:rsid w:val="00F03CE3"/>
    <w:rsid w:val="00F03F56"/>
    <w:rsid w:val="00F0455C"/>
    <w:rsid w:val="00F0457F"/>
    <w:rsid w:val="00F05929"/>
    <w:rsid w:val="00F059E3"/>
    <w:rsid w:val="00F05D39"/>
    <w:rsid w:val="00F05E72"/>
    <w:rsid w:val="00F05FCC"/>
    <w:rsid w:val="00F06325"/>
    <w:rsid w:val="00F066D7"/>
    <w:rsid w:val="00F06852"/>
    <w:rsid w:val="00F07435"/>
    <w:rsid w:val="00F0771B"/>
    <w:rsid w:val="00F07EAA"/>
    <w:rsid w:val="00F1003C"/>
    <w:rsid w:val="00F10357"/>
    <w:rsid w:val="00F1036C"/>
    <w:rsid w:val="00F103CE"/>
    <w:rsid w:val="00F105B5"/>
    <w:rsid w:val="00F105EA"/>
    <w:rsid w:val="00F10D31"/>
    <w:rsid w:val="00F10EBF"/>
    <w:rsid w:val="00F11352"/>
    <w:rsid w:val="00F11A58"/>
    <w:rsid w:val="00F11AF3"/>
    <w:rsid w:val="00F11BA3"/>
    <w:rsid w:val="00F1229E"/>
    <w:rsid w:val="00F126EB"/>
    <w:rsid w:val="00F1274E"/>
    <w:rsid w:val="00F12B72"/>
    <w:rsid w:val="00F13144"/>
    <w:rsid w:val="00F131B7"/>
    <w:rsid w:val="00F132FB"/>
    <w:rsid w:val="00F13AB7"/>
    <w:rsid w:val="00F13D0F"/>
    <w:rsid w:val="00F14242"/>
    <w:rsid w:val="00F145BF"/>
    <w:rsid w:val="00F14E54"/>
    <w:rsid w:val="00F153F0"/>
    <w:rsid w:val="00F155A3"/>
    <w:rsid w:val="00F162BE"/>
    <w:rsid w:val="00F1659F"/>
    <w:rsid w:val="00F1681E"/>
    <w:rsid w:val="00F17042"/>
    <w:rsid w:val="00F170A2"/>
    <w:rsid w:val="00F17C88"/>
    <w:rsid w:val="00F17D8E"/>
    <w:rsid w:val="00F17DC2"/>
    <w:rsid w:val="00F17DF3"/>
    <w:rsid w:val="00F17F47"/>
    <w:rsid w:val="00F20118"/>
    <w:rsid w:val="00F203CF"/>
    <w:rsid w:val="00F20544"/>
    <w:rsid w:val="00F20918"/>
    <w:rsid w:val="00F20CB1"/>
    <w:rsid w:val="00F2108F"/>
    <w:rsid w:val="00F21514"/>
    <w:rsid w:val="00F21B9D"/>
    <w:rsid w:val="00F226BE"/>
    <w:rsid w:val="00F2290A"/>
    <w:rsid w:val="00F22C87"/>
    <w:rsid w:val="00F22D3B"/>
    <w:rsid w:val="00F2309F"/>
    <w:rsid w:val="00F234D3"/>
    <w:rsid w:val="00F23723"/>
    <w:rsid w:val="00F241F8"/>
    <w:rsid w:val="00F24671"/>
    <w:rsid w:val="00F24723"/>
    <w:rsid w:val="00F24DA1"/>
    <w:rsid w:val="00F24E65"/>
    <w:rsid w:val="00F251F6"/>
    <w:rsid w:val="00F2544D"/>
    <w:rsid w:val="00F25583"/>
    <w:rsid w:val="00F25C11"/>
    <w:rsid w:val="00F25C49"/>
    <w:rsid w:val="00F25D10"/>
    <w:rsid w:val="00F25F04"/>
    <w:rsid w:val="00F261AD"/>
    <w:rsid w:val="00F26377"/>
    <w:rsid w:val="00F26770"/>
    <w:rsid w:val="00F26B40"/>
    <w:rsid w:val="00F26F40"/>
    <w:rsid w:val="00F27097"/>
    <w:rsid w:val="00F271E7"/>
    <w:rsid w:val="00F277E9"/>
    <w:rsid w:val="00F27F48"/>
    <w:rsid w:val="00F30395"/>
    <w:rsid w:val="00F30CE0"/>
    <w:rsid w:val="00F30D95"/>
    <w:rsid w:val="00F30FD6"/>
    <w:rsid w:val="00F3117B"/>
    <w:rsid w:val="00F31A4D"/>
    <w:rsid w:val="00F3269A"/>
    <w:rsid w:val="00F327CD"/>
    <w:rsid w:val="00F330A2"/>
    <w:rsid w:val="00F3405E"/>
    <w:rsid w:val="00F3453D"/>
    <w:rsid w:val="00F348BB"/>
    <w:rsid w:val="00F35444"/>
    <w:rsid w:val="00F35505"/>
    <w:rsid w:val="00F36423"/>
    <w:rsid w:val="00F3647A"/>
    <w:rsid w:val="00F3693F"/>
    <w:rsid w:val="00F36952"/>
    <w:rsid w:val="00F36EAA"/>
    <w:rsid w:val="00F373B7"/>
    <w:rsid w:val="00F37977"/>
    <w:rsid w:val="00F37988"/>
    <w:rsid w:val="00F37E20"/>
    <w:rsid w:val="00F403DB"/>
    <w:rsid w:val="00F40534"/>
    <w:rsid w:val="00F40B97"/>
    <w:rsid w:val="00F40F76"/>
    <w:rsid w:val="00F411C2"/>
    <w:rsid w:val="00F41375"/>
    <w:rsid w:val="00F4160C"/>
    <w:rsid w:val="00F419A5"/>
    <w:rsid w:val="00F419E2"/>
    <w:rsid w:val="00F41F4E"/>
    <w:rsid w:val="00F41F99"/>
    <w:rsid w:val="00F41FB6"/>
    <w:rsid w:val="00F41FCD"/>
    <w:rsid w:val="00F42D01"/>
    <w:rsid w:val="00F42FA5"/>
    <w:rsid w:val="00F430A3"/>
    <w:rsid w:val="00F43526"/>
    <w:rsid w:val="00F43529"/>
    <w:rsid w:val="00F435DE"/>
    <w:rsid w:val="00F437DA"/>
    <w:rsid w:val="00F43ADB"/>
    <w:rsid w:val="00F43B42"/>
    <w:rsid w:val="00F43F0F"/>
    <w:rsid w:val="00F44A12"/>
    <w:rsid w:val="00F44A7B"/>
    <w:rsid w:val="00F44B30"/>
    <w:rsid w:val="00F452FE"/>
    <w:rsid w:val="00F4554C"/>
    <w:rsid w:val="00F4581C"/>
    <w:rsid w:val="00F4585F"/>
    <w:rsid w:val="00F45C58"/>
    <w:rsid w:val="00F45E4D"/>
    <w:rsid w:val="00F45FDC"/>
    <w:rsid w:val="00F462F6"/>
    <w:rsid w:val="00F4648C"/>
    <w:rsid w:val="00F46A8D"/>
    <w:rsid w:val="00F46C2E"/>
    <w:rsid w:val="00F46D65"/>
    <w:rsid w:val="00F470F3"/>
    <w:rsid w:val="00F47C65"/>
    <w:rsid w:val="00F47D27"/>
    <w:rsid w:val="00F504F9"/>
    <w:rsid w:val="00F50CF7"/>
    <w:rsid w:val="00F513A1"/>
    <w:rsid w:val="00F52083"/>
    <w:rsid w:val="00F52664"/>
    <w:rsid w:val="00F52954"/>
    <w:rsid w:val="00F52966"/>
    <w:rsid w:val="00F52A43"/>
    <w:rsid w:val="00F52A6A"/>
    <w:rsid w:val="00F5316F"/>
    <w:rsid w:val="00F53769"/>
    <w:rsid w:val="00F53A59"/>
    <w:rsid w:val="00F53C61"/>
    <w:rsid w:val="00F53DA3"/>
    <w:rsid w:val="00F54382"/>
    <w:rsid w:val="00F54572"/>
    <w:rsid w:val="00F547A6"/>
    <w:rsid w:val="00F54C61"/>
    <w:rsid w:val="00F54CB2"/>
    <w:rsid w:val="00F5503D"/>
    <w:rsid w:val="00F55158"/>
    <w:rsid w:val="00F55D87"/>
    <w:rsid w:val="00F56414"/>
    <w:rsid w:val="00F5703E"/>
    <w:rsid w:val="00F57A56"/>
    <w:rsid w:val="00F57C00"/>
    <w:rsid w:val="00F60067"/>
    <w:rsid w:val="00F605BE"/>
    <w:rsid w:val="00F60CE2"/>
    <w:rsid w:val="00F61045"/>
    <w:rsid w:val="00F614FA"/>
    <w:rsid w:val="00F61C3B"/>
    <w:rsid w:val="00F61EEA"/>
    <w:rsid w:val="00F62044"/>
    <w:rsid w:val="00F62339"/>
    <w:rsid w:val="00F62598"/>
    <w:rsid w:val="00F6274A"/>
    <w:rsid w:val="00F62CFC"/>
    <w:rsid w:val="00F62F64"/>
    <w:rsid w:val="00F63427"/>
    <w:rsid w:val="00F63670"/>
    <w:rsid w:val="00F636B0"/>
    <w:rsid w:val="00F6389E"/>
    <w:rsid w:val="00F63C5C"/>
    <w:rsid w:val="00F6415F"/>
    <w:rsid w:val="00F64779"/>
    <w:rsid w:val="00F64C21"/>
    <w:rsid w:val="00F64CD6"/>
    <w:rsid w:val="00F6539B"/>
    <w:rsid w:val="00F655F1"/>
    <w:rsid w:val="00F6580D"/>
    <w:rsid w:val="00F6599C"/>
    <w:rsid w:val="00F65D56"/>
    <w:rsid w:val="00F66058"/>
    <w:rsid w:val="00F66AA0"/>
    <w:rsid w:val="00F66ACD"/>
    <w:rsid w:val="00F67408"/>
    <w:rsid w:val="00F677D8"/>
    <w:rsid w:val="00F67D12"/>
    <w:rsid w:val="00F67DC0"/>
    <w:rsid w:val="00F67EFE"/>
    <w:rsid w:val="00F705EC"/>
    <w:rsid w:val="00F708F9"/>
    <w:rsid w:val="00F70FB3"/>
    <w:rsid w:val="00F71126"/>
    <w:rsid w:val="00F7125C"/>
    <w:rsid w:val="00F7194E"/>
    <w:rsid w:val="00F71BC7"/>
    <w:rsid w:val="00F71E0C"/>
    <w:rsid w:val="00F71F5D"/>
    <w:rsid w:val="00F720AD"/>
    <w:rsid w:val="00F7225C"/>
    <w:rsid w:val="00F72468"/>
    <w:rsid w:val="00F728DB"/>
    <w:rsid w:val="00F72B44"/>
    <w:rsid w:val="00F72C2C"/>
    <w:rsid w:val="00F72DF8"/>
    <w:rsid w:val="00F72EDB"/>
    <w:rsid w:val="00F7337B"/>
    <w:rsid w:val="00F74B40"/>
    <w:rsid w:val="00F7529A"/>
    <w:rsid w:val="00F7591A"/>
    <w:rsid w:val="00F760CE"/>
    <w:rsid w:val="00F7658D"/>
    <w:rsid w:val="00F7667C"/>
    <w:rsid w:val="00F76937"/>
    <w:rsid w:val="00F769EA"/>
    <w:rsid w:val="00F7708F"/>
    <w:rsid w:val="00F77505"/>
    <w:rsid w:val="00F77847"/>
    <w:rsid w:val="00F779A5"/>
    <w:rsid w:val="00F77DB1"/>
    <w:rsid w:val="00F80010"/>
    <w:rsid w:val="00F80221"/>
    <w:rsid w:val="00F80298"/>
    <w:rsid w:val="00F8045F"/>
    <w:rsid w:val="00F80A74"/>
    <w:rsid w:val="00F80C23"/>
    <w:rsid w:val="00F80E76"/>
    <w:rsid w:val="00F8169A"/>
    <w:rsid w:val="00F81990"/>
    <w:rsid w:val="00F81B8B"/>
    <w:rsid w:val="00F81C9E"/>
    <w:rsid w:val="00F81F52"/>
    <w:rsid w:val="00F82FA1"/>
    <w:rsid w:val="00F83572"/>
    <w:rsid w:val="00F835E7"/>
    <w:rsid w:val="00F83851"/>
    <w:rsid w:val="00F83A63"/>
    <w:rsid w:val="00F83F39"/>
    <w:rsid w:val="00F83FC3"/>
    <w:rsid w:val="00F847B3"/>
    <w:rsid w:val="00F85505"/>
    <w:rsid w:val="00F85A81"/>
    <w:rsid w:val="00F85AFE"/>
    <w:rsid w:val="00F85BF9"/>
    <w:rsid w:val="00F85F91"/>
    <w:rsid w:val="00F86021"/>
    <w:rsid w:val="00F86463"/>
    <w:rsid w:val="00F8654D"/>
    <w:rsid w:val="00F8666B"/>
    <w:rsid w:val="00F86CF1"/>
    <w:rsid w:val="00F86FD9"/>
    <w:rsid w:val="00F87002"/>
    <w:rsid w:val="00F870D5"/>
    <w:rsid w:val="00F8763D"/>
    <w:rsid w:val="00F87974"/>
    <w:rsid w:val="00F87B61"/>
    <w:rsid w:val="00F87FA2"/>
    <w:rsid w:val="00F90AB5"/>
    <w:rsid w:val="00F90B6B"/>
    <w:rsid w:val="00F917D6"/>
    <w:rsid w:val="00F9189D"/>
    <w:rsid w:val="00F918E3"/>
    <w:rsid w:val="00F91E8A"/>
    <w:rsid w:val="00F924DC"/>
    <w:rsid w:val="00F92DF8"/>
    <w:rsid w:val="00F9397F"/>
    <w:rsid w:val="00F93D7A"/>
    <w:rsid w:val="00F94CA7"/>
    <w:rsid w:val="00F94FCB"/>
    <w:rsid w:val="00F95746"/>
    <w:rsid w:val="00F95B9C"/>
    <w:rsid w:val="00F95FCC"/>
    <w:rsid w:val="00F961D1"/>
    <w:rsid w:val="00F962F5"/>
    <w:rsid w:val="00F96501"/>
    <w:rsid w:val="00F968F8"/>
    <w:rsid w:val="00F96C6D"/>
    <w:rsid w:val="00F97902"/>
    <w:rsid w:val="00F97E42"/>
    <w:rsid w:val="00FA0338"/>
    <w:rsid w:val="00FA0ACB"/>
    <w:rsid w:val="00FA0CCB"/>
    <w:rsid w:val="00FA0E2A"/>
    <w:rsid w:val="00FA0EDD"/>
    <w:rsid w:val="00FA0EE5"/>
    <w:rsid w:val="00FA146D"/>
    <w:rsid w:val="00FA2105"/>
    <w:rsid w:val="00FA2DF8"/>
    <w:rsid w:val="00FA38EC"/>
    <w:rsid w:val="00FA3A40"/>
    <w:rsid w:val="00FA3C76"/>
    <w:rsid w:val="00FA40C8"/>
    <w:rsid w:val="00FA424D"/>
    <w:rsid w:val="00FA452F"/>
    <w:rsid w:val="00FA45DF"/>
    <w:rsid w:val="00FA487D"/>
    <w:rsid w:val="00FA48E8"/>
    <w:rsid w:val="00FA50FF"/>
    <w:rsid w:val="00FA5E0C"/>
    <w:rsid w:val="00FA5F6F"/>
    <w:rsid w:val="00FA5FC8"/>
    <w:rsid w:val="00FA60C0"/>
    <w:rsid w:val="00FA6624"/>
    <w:rsid w:val="00FA669F"/>
    <w:rsid w:val="00FA6FA1"/>
    <w:rsid w:val="00FA70DB"/>
    <w:rsid w:val="00FA73C2"/>
    <w:rsid w:val="00FA7BD5"/>
    <w:rsid w:val="00FA7DAA"/>
    <w:rsid w:val="00FA7F59"/>
    <w:rsid w:val="00FB0013"/>
    <w:rsid w:val="00FB0163"/>
    <w:rsid w:val="00FB08CA"/>
    <w:rsid w:val="00FB0C16"/>
    <w:rsid w:val="00FB0E41"/>
    <w:rsid w:val="00FB0FFE"/>
    <w:rsid w:val="00FB1D5E"/>
    <w:rsid w:val="00FB1E45"/>
    <w:rsid w:val="00FB25C1"/>
    <w:rsid w:val="00FB3434"/>
    <w:rsid w:val="00FB3C54"/>
    <w:rsid w:val="00FB4059"/>
    <w:rsid w:val="00FB4178"/>
    <w:rsid w:val="00FB46D4"/>
    <w:rsid w:val="00FB484C"/>
    <w:rsid w:val="00FB4B27"/>
    <w:rsid w:val="00FB4D72"/>
    <w:rsid w:val="00FB4EB0"/>
    <w:rsid w:val="00FB4FEE"/>
    <w:rsid w:val="00FB5618"/>
    <w:rsid w:val="00FB583F"/>
    <w:rsid w:val="00FB5C62"/>
    <w:rsid w:val="00FB6568"/>
    <w:rsid w:val="00FB65EF"/>
    <w:rsid w:val="00FB6A08"/>
    <w:rsid w:val="00FB6A6E"/>
    <w:rsid w:val="00FB6DC1"/>
    <w:rsid w:val="00FB72C0"/>
    <w:rsid w:val="00FB7708"/>
    <w:rsid w:val="00FB7CD4"/>
    <w:rsid w:val="00FB7DF0"/>
    <w:rsid w:val="00FC004D"/>
    <w:rsid w:val="00FC02A1"/>
    <w:rsid w:val="00FC02DA"/>
    <w:rsid w:val="00FC0FE0"/>
    <w:rsid w:val="00FC0FE4"/>
    <w:rsid w:val="00FC1130"/>
    <w:rsid w:val="00FC1755"/>
    <w:rsid w:val="00FC1BE4"/>
    <w:rsid w:val="00FC1C9B"/>
    <w:rsid w:val="00FC1F91"/>
    <w:rsid w:val="00FC275C"/>
    <w:rsid w:val="00FC2894"/>
    <w:rsid w:val="00FC2CD0"/>
    <w:rsid w:val="00FC335E"/>
    <w:rsid w:val="00FC394A"/>
    <w:rsid w:val="00FC399A"/>
    <w:rsid w:val="00FC414D"/>
    <w:rsid w:val="00FC42E1"/>
    <w:rsid w:val="00FC449A"/>
    <w:rsid w:val="00FC4561"/>
    <w:rsid w:val="00FC4838"/>
    <w:rsid w:val="00FC492D"/>
    <w:rsid w:val="00FC54AF"/>
    <w:rsid w:val="00FC5803"/>
    <w:rsid w:val="00FC5AC0"/>
    <w:rsid w:val="00FC5B9F"/>
    <w:rsid w:val="00FC605F"/>
    <w:rsid w:val="00FC63F1"/>
    <w:rsid w:val="00FC64C9"/>
    <w:rsid w:val="00FC6853"/>
    <w:rsid w:val="00FC6B6E"/>
    <w:rsid w:val="00FC6F16"/>
    <w:rsid w:val="00FC70F2"/>
    <w:rsid w:val="00FC73A7"/>
    <w:rsid w:val="00FC790B"/>
    <w:rsid w:val="00FC7A72"/>
    <w:rsid w:val="00FC7D53"/>
    <w:rsid w:val="00FC7FAC"/>
    <w:rsid w:val="00FD01D6"/>
    <w:rsid w:val="00FD09A0"/>
    <w:rsid w:val="00FD0A73"/>
    <w:rsid w:val="00FD144D"/>
    <w:rsid w:val="00FD14DD"/>
    <w:rsid w:val="00FD173E"/>
    <w:rsid w:val="00FD1921"/>
    <w:rsid w:val="00FD1B1E"/>
    <w:rsid w:val="00FD1F7D"/>
    <w:rsid w:val="00FD2894"/>
    <w:rsid w:val="00FD291D"/>
    <w:rsid w:val="00FD3F3F"/>
    <w:rsid w:val="00FD4BCD"/>
    <w:rsid w:val="00FD4BEA"/>
    <w:rsid w:val="00FD50DB"/>
    <w:rsid w:val="00FD5402"/>
    <w:rsid w:val="00FD54AB"/>
    <w:rsid w:val="00FD58C6"/>
    <w:rsid w:val="00FD5F11"/>
    <w:rsid w:val="00FD5F62"/>
    <w:rsid w:val="00FD5FAE"/>
    <w:rsid w:val="00FD7239"/>
    <w:rsid w:val="00FE003D"/>
    <w:rsid w:val="00FE01C9"/>
    <w:rsid w:val="00FE02D8"/>
    <w:rsid w:val="00FE02F3"/>
    <w:rsid w:val="00FE039D"/>
    <w:rsid w:val="00FE04C8"/>
    <w:rsid w:val="00FE089D"/>
    <w:rsid w:val="00FE1541"/>
    <w:rsid w:val="00FE172F"/>
    <w:rsid w:val="00FE19D2"/>
    <w:rsid w:val="00FE1D3D"/>
    <w:rsid w:val="00FE28EE"/>
    <w:rsid w:val="00FE2A48"/>
    <w:rsid w:val="00FE2C8D"/>
    <w:rsid w:val="00FE36B4"/>
    <w:rsid w:val="00FE413B"/>
    <w:rsid w:val="00FE424A"/>
    <w:rsid w:val="00FE42FB"/>
    <w:rsid w:val="00FE4E9E"/>
    <w:rsid w:val="00FE5030"/>
    <w:rsid w:val="00FE5274"/>
    <w:rsid w:val="00FE56A6"/>
    <w:rsid w:val="00FE5A60"/>
    <w:rsid w:val="00FE5EAE"/>
    <w:rsid w:val="00FE5F1D"/>
    <w:rsid w:val="00FE60C3"/>
    <w:rsid w:val="00FE666F"/>
    <w:rsid w:val="00FE7322"/>
    <w:rsid w:val="00FE78B5"/>
    <w:rsid w:val="00FE7B1B"/>
    <w:rsid w:val="00FF0203"/>
    <w:rsid w:val="00FF039B"/>
    <w:rsid w:val="00FF0AC2"/>
    <w:rsid w:val="00FF1C1F"/>
    <w:rsid w:val="00FF1EB3"/>
    <w:rsid w:val="00FF21F4"/>
    <w:rsid w:val="00FF25B3"/>
    <w:rsid w:val="00FF2A25"/>
    <w:rsid w:val="00FF2CD5"/>
    <w:rsid w:val="00FF41D4"/>
    <w:rsid w:val="00FF4200"/>
    <w:rsid w:val="00FF4515"/>
    <w:rsid w:val="00FF4C16"/>
    <w:rsid w:val="00FF514B"/>
    <w:rsid w:val="00FF520E"/>
    <w:rsid w:val="00FF5377"/>
    <w:rsid w:val="00FF5421"/>
    <w:rsid w:val="00FF55E7"/>
    <w:rsid w:val="00FF5C3B"/>
    <w:rsid w:val="00FF6188"/>
    <w:rsid w:val="00FF70C3"/>
    <w:rsid w:val="00FF7126"/>
    <w:rsid w:val="00FF7808"/>
    <w:rsid w:val="014F5F86"/>
    <w:rsid w:val="028F96F3"/>
    <w:rsid w:val="03AD2F2B"/>
    <w:rsid w:val="049B9CFF"/>
    <w:rsid w:val="04FD83ED"/>
    <w:rsid w:val="05DCD6BD"/>
    <w:rsid w:val="05F5E379"/>
    <w:rsid w:val="05FA5E0A"/>
    <w:rsid w:val="0693B187"/>
    <w:rsid w:val="06D9C6C8"/>
    <w:rsid w:val="07945EF7"/>
    <w:rsid w:val="079A1C0E"/>
    <w:rsid w:val="07D27CE4"/>
    <w:rsid w:val="08039DC1"/>
    <w:rsid w:val="09B0D342"/>
    <w:rsid w:val="0B6B428C"/>
    <w:rsid w:val="0BCF36FD"/>
    <w:rsid w:val="0C4CEB48"/>
    <w:rsid w:val="0D7AD85E"/>
    <w:rsid w:val="0D962C53"/>
    <w:rsid w:val="0F42D5AF"/>
    <w:rsid w:val="0FA37E77"/>
    <w:rsid w:val="100FC787"/>
    <w:rsid w:val="10775AC0"/>
    <w:rsid w:val="10827BAE"/>
    <w:rsid w:val="116036CD"/>
    <w:rsid w:val="127C3A1D"/>
    <w:rsid w:val="12B042EE"/>
    <w:rsid w:val="136CB368"/>
    <w:rsid w:val="1463D4F6"/>
    <w:rsid w:val="14712014"/>
    <w:rsid w:val="14C3B247"/>
    <w:rsid w:val="15A1B677"/>
    <w:rsid w:val="166C2AF5"/>
    <w:rsid w:val="16EE56DE"/>
    <w:rsid w:val="16F6AC7D"/>
    <w:rsid w:val="17DF8B25"/>
    <w:rsid w:val="18B297E5"/>
    <w:rsid w:val="193D5A05"/>
    <w:rsid w:val="1A113605"/>
    <w:rsid w:val="1A96F5FE"/>
    <w:rsid w:val="1AA3D0FC"/>
    <w:rsid w:val="1AD67B0A"/>
    <w:rsid w:val="1B130209"/>
    <w:rsid w:val="1B31EB19"/>
    <w:rsid w:val="1C45DE6D"/>
    <w:rsid w:val="1CB3ADF2"/>
    <w:rsid w:val="1DEFD7EC"/>
    <w:rsid w:val="1E4E3078"/>
    <w:rsid w:val="1E96DAD5"/>
    <w:rsid w:val="1F9BA66C"/>
    <w:rsid w:val="1F9F4D97"/>
    <w:rsid w:val="1FD81D3C"/>
    <w:rsid w:val="1FFA914D"/>
    <w:rsid w:val="204C041C"/>
    <w:rsid w:val="2059E721"/>
    <w:rsid w:val="21972C8F"/>
    <w:rsid w:val="2297B7F5"/>
    <w:rsid w:val="22E76379"/>
    <w:rsid w:val="23325384"/>
    <w:rsid w:val="240C802F"/>
    <w:rsid w:val="25083422"/>
    <w:rsid w:val="25490A06"/>
    <w:rsid w:val="254BC950"/>
    <w:rsid w:val="2641FF53"/>
    <w:rsid w:val="2694B82F"/>
    <w:rsid w:val="2706A52C"/>
    <w:rsid w:val="2708640C"/>
    <w:rsid w:val="27ACC097"/>
    <w:rsid w:val="2841EE25"/>
    <w:rsid w:val="289FF852"/>
    <w:rsid w:val="290A262A"/>
    <w:rsid w:val="2961D4EF"/>
    <w:rsid w:val="296E6B3D"/>
    <w:rsid w:val="2A976F90"/>
    <w:rsid w:val="2AC44056"/>
    <w:rsid w:val="2DC1F542"/>
    <w:rsid w:val="2E5D3AB9"/>
    <w:rsid w:val="2ED5FC36"/>
    <w:rsid w:val="2F7BB080"/>
    <w:rsid w:val="30AC2544"/>
    <w:rsid w:val="30C239BD"/>
    <w:rsid w:val="31657CCC"/>
    <w:rsid w:val="329F3634"/>
    <w:rsid w:val="345C4A0C"/>
    <w:rsid w:val="34DB2348"/>
    <w:rsid w:val="36D33120"/>
    <w:rsid w:val="37626149"/>
    <w:rsid w:val="37B598A4"/>
    <w:rsid w:val="37B61BAF"/>
    <w:rsid w:val="3823A8DA"/>
    <w:rsid w:val="386FE9FD"/>
    <w:rsid w:val="3A5013E0"/>
    <w:rsid w:val="3A79F2E1"/>
    <w:rsid w:val="3AB000C2"/>
    <w:rsid w:val="3AE81BB8"/>
    <w:rsid w:val="3B8BA898"/>
    <w:rsid w:val="3BDEA022"/>
    <w:rsid w:val="3C7C9926"/>
    <w:rsid w:val="3CDEEDA7"/>
    <w:rsid w:val="3D60CF4C"/>
    <w:rsid w:val="3DFF873C"/>
    <w:rsid w:val="3E6D6DD4"/>
    <w:rsid w:val="3E72B723"/>
    <w:rsid w:val="3EBE8971"/>
    <w:rsid w:val="3EC645BB"/>
    <w:rsid w:val="3EE9B05D"/>
    <w:rsid w:val="3EF31320"/>
    <w:rsid w:val="3F46F584"/>
    <w:rsid w:val="40F80640"/>
    <w:rsid w:val="425DD5CE"/>
    <w:rsid w:val="42C7136B"/>
    <w:rsid w:val="43187BB5"/>
    <w:rsid w:val="43459412"/>
    <w:rsid w:val="4386CF4B"/>
    <w:rsid w:val="43A30984"/>
    <w:rsid w:val="43B69CA3"/>
    <w:rsid w:val="43CDAF64"/>
    <w:rsid w:val="4456EB1C"/>
    <w:rsid w:val="4513E81B"/>
    <w:rsid w:val="45DDA321"/>
    <w:rsid w:val="45EC78C6"/>
    <w:rsid w:val="485719AF"/>
    <w:rsid w:val="486EDEFF"/>
    <w:rsid w:val="494E4381"/>
    <w:rsid w:val="49B6DD73"/>
    <w:rsid w:val="49EF34E8"/>
    <w:rsid w:val="4A02ADC7"/>
    <w:rsid w:val="4A5E05D0"/>
    <w:rsid w:val="4A75CDAB"/>
    <w:rsid w:val="4AED5327"/>
    <w:rsid w:val="4B460390"/>
    <w:rsid w:val="4B7AD614"/>
    <w:rsid w:val="4B9727F3"/>
    <w:rsid w:val="4BFA6F33"/>
    <w:rsid w:val="4C6D43CC"/>
    <w:rsid w:val="4D99942D"/>
    <w:rsid w:val="4E6507AB"/>
    <w:rsid w:val="4FD6115B"/>
    <w:rsid w:val="50A8A885"/>
    <w:rsid w:val="5228D47A"/>
    <w:rsid w:val="5374223F"/>
    <w:rsid w:val="540D87EA"/>
    <w:rsid w:val="54211F77"/>
    <w:rsid w:val="5492529A"/>
    <w:rsid w:val="5664719A"/>
    <w:rsid w:val="567821A3"/>
    <w:rsid w:val="5737FF4F"/>
    <w:rsid w:val="577655A0"/>
    <w:rsid w:val="599AD4B9"/>
    <w:rsid w:val="5A1093A9"/>
    <w:rsid w:val="5A2043A2"/>
    <w:rsid w:val="5B9DA1D5"/>
    <w:rsid w:val="5C0E1A8C"/>
    <w:rsid w:val="5C2F6DE4"/>
    <w:rsid w:val="5C30C3E8"/>
    <w:rsid w:val="5C393CE7"/>
    <w:rsid w:val="5C728739"/>
    <w:rsid w:val="5D8FB046"/>
    <w:rsid w:val="5F0E6B00"/>
    <w:rsid w:val="5FA8F35D"/>
    <w:rsid w:val="5FABE828"/>
    <w:rsid w:val="5FBFA81B"/>
    <w:rsid w:val="60078835"/>
    <w:rsid w:val="612A2BC1"/>
    <w:rsid w:val="6231DC49"/>
    <w:rsid w:val="62A29EDD"/>
    <w:rsid w:val="62A69AEC"/>
    <w:rsid w:val="62B42F20"/>
    <w:rsid w:val="6331D155"/>
    <w:rsid w:val="634E6B90"/>
    <w:rsid w:val="63BC3C15"/>
    <w:rsid w:val="63EFB5AC"/>
    <w:rsid w:val="63F6AD08"/>
    <w:rsid w:val="641DB11D"/>
    <w:rsid w:val="665DCD53"/>
    <w:rsid w:val="673808B4"/>
    <w:rsid w:val="67658AFA"/>
    <w:rsid w:val="678772ED"/>
    <w:rsid w:val="68F6502B"/>
    <w:rsid w:val="69618479"/>
    <w:rsid w:val="696EB726"/>
    <w:rsid w:val="6972CBD1"/>
    <w:rsid w:val="69746AE1"/>
    <w:rsid w:val="6AF3F315"/>
    <w:rsid w:val="6B7838DD"/>
    <w:rsid w:val="6CFBF2FE"/>
    <w:rsid w:val="6D90E5D8"/>
    <w:rsid w:val="6E6E2AD3"/>
    <w:rsid w:val="6FA9A5E2"/>
    <w:rsid w:val="719060E5"/>
    <w:rsid w:val="71B8EFDC"/>
    <w:rsid w:val="71D30CAF"/>
    <w:rsid w:val="71E0BBC9"/>
    <w:rsid w:val="74082CA2"/>
    <w:rsid w:val="74280802"/>
    <w:rsid w:val="7470DDBD"/>
    <w:rsid w:val="74B6E45E"/>
    <w:rsid w:val="74E8FDC6"/>
    <w:rsid w:val="75340721"/>
    <w:rsid w:val="755A04A0"/>
    <w:rsid w:val="76515F93"/>
    <w:rsid w:val="78316306"/>
    <w:rsid w:val="78A58901"/>
    <w:rsid w:val="79129B13"/>
    <w:rsid w:val="7AB7FA8E"/>
    <w:rsid w:val="7C072B72"/>
    <w:rsid w:val="7C660D08"/>
    <w:rsid w:val="7CCDD4B6"/>
    <w:rsid w:val="7D37D7AA"/>
    <w:rsid w:val="7E01145E"/>
    <w:rsid w:val="7E599F32"/>
    <w:rsid w:val="7ED3FAE6"/>
    <w:rsid w:val="7F746BB5"/>
    <w:rsid w:val="7FD148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AF28E"/>
  <w15:chartTrackingRefBased/>
  <w15:docId w15:val="{285BDC43-01C8-467E-AE3B-E71CCF1B0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20F"/>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782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7B001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F388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A08F0"/>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954B0C"/>
    <w:pPr>
      <w:keepNext/>
      <w:keepLines/>
      <w:tabs>
        <w:tab w:val="num" w:pos="3600"/>
      </w:tabs>
      <w:spacing w:before="40"/>
      <w:ind w:left="3600" w:hanging="3600"/>
      <w:jc w:val="both"/>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00045E"/>
    <w:pPr>
      <w:keepNext/>
      <w:keepLines/>
      <w:tabs>
        <w:tab w:val="num" w:pos="4320"/>
      </w:tabs>
      <w:spacing w:before="40"/>
      <w:ind w:left="4320" w:hanging="36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qFormat/>
    <w:rsid w:val="00BF5EA3"/>
    <w:pPr>
      <w:keepNext/>
      <w:keepLines/>
      <w:tabs>
        <w:tab w:val="num" w:pos="5040"/>
      </w:tabs>
      <w:spacing w:before="40"/>
      <w:ind w:left="504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qFormat/>
    <w:rsid w:val="00BF5EA3"/>
    <w:pPr>
      <w:keepNext/>
      <w:keepLines/>
      <w:tabs>
        <w:tab w:val="num" w:pos="5760"/>
      </w:tabs>
      <w:spacing w:before="4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BF5EA3"/>
    <w:pPr>
      <w:keepNext/>
      <w:keepLines/>
      <w:tabs>
        <w:tab w:val="num" w:pos="6480"/>
      </w:tabs>
      <w:spacing w:before="4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0C4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2C56DC"/>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220F8"/>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rsid w:val="00954B0C"/>
    <w:rPr>
      <w:rFonts w:asciiTheme="majorHAnsi" w:eastAsiaTheme="majorEastAsia" w:hAnsiTheme="majorHAnsi" w:cstheme="majorBidi"/>
      <w:color w:val="2F5496" w:themeColor="accent1" w:themeShade="BF"/>
    </w:rPr>
  </w:style>
  <w:style w:type="character" w:customStyle="1" w:styleId="Heading4Char">
    <w:name w:val="Heading 4 Char"/>
    <w:basedOn w:val="DefaultParagraphFont"/>
    <w:link w:val="Heading4"/>
    <w:rsid w:val="00DF5EDB"/>
    <w:rPr>
      <w:rFonts w:asciiTheme="majorHAnsi" w:eastAsiaTheme="majorEastAsia" w:hAnsiTheme="majorHAnsi" w:cstheme="majorBidi"/>
      <w:i/>
      <w:iCs/>
      <w:color w:val="2F5496" w:themeColor="accent1" w:themeShade="BF"/>
    </w:rPr>
  </w:style>
  <w:style w:type="character" w:customStyle="1" w:styleId="Heading6Char">
    <w:name w:val="Heading 6 Char"/>
    <w:basedOn w:val="DefaultParagraphFont"/>
    <w:link w:val="Heading6"/>
    <w:rsid w:val="0000045E"/>
    <w:rPr>
      <w:rFonts w:asciiTheme="majorHAnsi" w:eastAsiaTheme="majorEastAsia" w:hAnsiTheme="majorHAnsi" w:cstheme="majorBidi"/>
      <w:color w:val="1F3763" w:themeColor="accent1" w:themeShade="7F"/>
    </w:rPr>
  </w:style>
  <w:style w:type="paragraph" w:styleId="Revision">
    <w:name w:val="Revision"/>
    <w:hidden/>
    <w:uiPriority w:val="99"/>
    <w:rsid w:val="00DB0742"/>
    <w:pPr>
      <w:spacing w:after="0" w:line="240" w:lineRule="auto"/>
    </w:pPr>
  </w:style>
  <w:style w:type="character" w:customStyle="1" w:styleId="Heading7Char">
    <w:name w:val="Heading 7 Char"/>
    <w:basedOn w:val="DefaultParagraphFont"/>
    <w:link w:val="Heading7"/>
    <w:rsid w:val="0065749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rsid w:val="0065749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5749A"/>
    <w:rPr>
      <w:rFonts w:asciiTheme="majorHAnsi" w:eastAsiaTheme="majorEastAsia" w:hAnsiTheme="majorHAnsi" w:cstheme="majorBidi"/>
      <w:i/>
      <w:iCs/>
      <w:color w:val="272727" w:themeColor="text1" w:themeTint="D8"/>
      <w:sz w:val="21"/>
      <w:szCs w:val="21"/>
    </w:rPr>
  </w:style>
  <w:style w:type="paragraph" w:customStyle="1" w:styleId="11MaintitlePrelimsPrelimsstyles">
    <w:name w:val="1.1 Main title (Prelims) (Prelims styles)"/>
    <w:basedOn w:val="Normal"/>
    <w:next w:val="Normal"/>
    <w:uiPriority w:val="99"/>
    <w:rsid w:val="00F0120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F0120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F0120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F0120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F0120F"/>
    <w:rPr>
      <w:rFonts w:cs="Humanist777BT-RomanB"/>
    </w:rPr>
  </w:style>
  <w:style w:type="paragraph" w:customStyle="1" w:styleId="161TitlepagecompetinginterestsPrelimsstyles">
    <w:name w:val="1.61 Title page competing interests (Prelims styles)"/>
    <w:basedOn w:val="16TitlepagetextPrelimsPrelimsstyles"/>
    <w:uiPriority w:val="99"/>
    <w:rsid w:val="00F0120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F0120F"/>
    <w:pPr>
      <w:spacing w:after="60"/>
      <w:ind w:left="0" w:firstLine="0"/>
    </w:pPr>
  </w:style>
  <w:style w:type="paragraph" w:customStyle="1" w:styleId="18TitlepagedoiPrelimsPrelimsstyles">
    <w:name w:val="1.8 Title page doi (Prelims) (Prelims styles)"/>
    <w:basedOn w:val="17TitlepagepubdatePrelimsPrelimsstyles"/>
    <w:uiPriority w:val="99"/>
    <w:rsid w:val="00F0120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F0120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F0120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F0120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F0120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F0120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F0120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F0120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F0120F"/>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F0120F"/>
    <w:pPr>
      <w:spacing w:after="130"/>
      <w:ind w:left="960" w:hanging="960"/>
    </w:pPr>
  </w:style>
  <w:style w:type="paragraph" w:customStyle="1" w:styleId="192AbbreviationslistnotesPrelimsstyles">
    <w:name w:val="1.92 Abbreviations list notes (Prelims styles)"/>
    <w:basedOn w:val="602TextfoTextstylesTextstyles"/>
    <w:uiPriority w:val="99"/>
    <w:rsid w:val="00F0120F"/>
    <w:pPr>
      <w:pageBreakBefore/>
      <w:spacing w:before="260" w:after="0"/>
    </w:pPr>
  </w:style>
  <w:style w:type="paragraph" w:customStyle="1" w:styleId="21ContributortextPrelimsPrelimsstyles">
    <w:name w:val="2.1 Contributor text (Prelims) (Prelims styles)"/>
    <w:basedOn w:val="16TitlepagetextPrelimsPrelimsstyles"/>
    <w:uiPriority w:val="99"/>
    <w:rsid w:val="00F0120F"/>
    <w:pPr>
      <w:spacing w:after="280"/>
      <w:ind w:left="240" w:hanging="240"/>
    </w:pPr>
  </w:style>
  <w:style w:type="paragraph" w:customStyle="1" w:styleId="51AAheadHeadingstyles">
    <w:name w:val="5.1 AA head (Heading styles)"/>
    <w:basedOn w:val="52AheadHeadingsHeadingstyles"/>
    <w:next w:val="52AheadHeadingsHeadingstyles"/>
    <w:uiPriority w:val="99"/>
    <w:rsid w:val="00F0120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F0120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F0120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F0120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F0120F"/>
    <w:pPr>
      <w:outlineLvl w:val="4"/>
    </w:pPr>
    <w:rPr>
      <w:rFonts w:cs="Humanist777BT-ItalicB"/>
      <w:i/>
      <w:iCs/>
    </w:rPr>
  </w:style>
  <w:style w:type="paragraph" w:customStyle="1" w:styleId="56EheadHeadingsHeadingstyles">
    <w:name w:val="5.6 E head (Headings) (Heading styles)"/>
    <w:basedOn w:val="602TextfoTextstylesTextstyles"/>
    <w:uiPriority w:val="99"/>
    <w:rsid w:val="00F0120F"/>
  </w:style>
  <w:style w:type="paragraph" w:customStyle="1" w:styleId="57FheadHeadingsHeadingstyles">
    <w:name w:val="5.7 F head (Headings) (Heading styles)"/>
    <w:basedOn w:val="56EheadHeadingsHeadingstyles"/>
    <w:uiPriority w:val="99"/>
    <w:rsid w:val="00F0120F"/>
    <w:rPr>
      <w:i/>
      <w:iCs/>
    </w:rPr>
  </w:style>
  <w:style w:type="paragraph" w:customStyle="1" w:styleId="601TextdropcapTextstylesTextstyles">
    <w:name w:val="6.01 Text (drop cap) (Text styles) (Text styles)"/>
    <w:basedOn w:val="602TextfoTextstylesTextstyles"/>
    <w:next w:val="602TextfoTextstylesTextstyles"/>
    <w:uiPriority w:val="99"/>
    <w:rsid w:val="00F0120F"/>
  </w:style>
  <w:style w:type="paragraph" w:customStyle="1" w:styleId="611BulletlistTextstyles">
    <w:name w:val="6.11 Bullet list (Text styles)"/>
    <w:basedOn w:val="602TextfoTextstylesTextstyles"/>
    <w:next w:val="602TextfoTextstylesTextstyles"/>
    <w:uiPriority w:val="99"/>
    <w:rsid w:val="00F0120F"/>
    <w:pPr>
      <w:spacing w:after="0"/>
      <w:ind w:left="357"/>
    </w:pPr>
  </w:style>
  <w:style w:type="paragraph" w:customStyle="1" w:styleId="612Textbulletlist2ndparaTextstyles">
    <w:name w:val="6.12 Text (bullet list 2nd para) (Text styles)"/>
    <w:basedOn w:val="611BulletlistTextstyles"/>
    <w:uiPriority w:val="99"/>
    <w:rsid w:val="00F0120F"/>
  </w:style>
  <w:style w:type="paragraph" w:customStyle="1" w:styleId="614TextbulletlistlastTextstylesTextstyles">
    <w:name w:val="6.14 Text (bullet list last) (Text styles) (Text styles)"/>
    <w:basedOn w:val="611BulletlistTextstyles"/>
    <w:uiPriority w:val="99"/>
    <w:rsid w:val="00F0120F"/>
    <w:pPr>
      <w:spacing w:after="260"/>
    </w:pPr>
  </w:style>
  <w:style w:type="paragraph" w:customStyle="1" w:styleId="613TextsubbulletlistTextstylesTextstyles">
    <w:name w:val="6.13 Text (sub bullet list) (Text styles) (Text styles)"/>
    <w:basedOn w:val="602TextfoTextstylesTextstyles"/>
    <w:uiPriority w:val="99"/>
    <w:rsid w:val="00F0120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F0120F"/>
    <w:pPr>
      <w:spacing w:after="260"/>
    </w:pPr>
  </w:style>
  <w:style w:type="paragraph" w:customStyle="1" w:styleId="615TextsubsubbulletlistTextstylesTextstyles">
    <w:name w:val="6.15 Text (sub sub bullet list) (Text styles) (Text styles)"/>
    <w:basedOn w:val="613TextsubbulletlistTextstylesTextstyles"/>
    <w:uiPriority w:val="99"/>
    <w:rsid w:val="00F0120F"/>
    <w:pPr>
      <w:ind w:left="1080"/>
    </w:pPr>
  </w:style>
  <w:style w:type="paragraph" w:customStyle="1" w:styleId="617TextsubsubbulletlistlastTextstylesTextstyles">
    <w:name w:val="6.17 Text (sub sub bullet list last) (Text styles) (Text styles)"/>
    <w:basedOn w:val="613TextsubbulletlistTextstylesTextstyles"/>
    <w:uiPriority w:val="99"/>
    <w:rsid w:val="00F0120F"/>
    <w:pPr>
      <w:spacing w:after="260"/>
      <w:ind w:left="1080"/>
    </w:pPr>
  </w:style>
  <w:style w:type="paragraph" w:customStyle="1" w:styleId="621TextnumberedlistTextstylesTextstyles">
    <w:name w:val="6.21 Text (numbered list) (Text styles) (Text styles)"/>
    <w:basedOn w:val="602TextfoTextstylesTextstyles"/>
    <w:uiPriority w:val="99"/>
    <w:rsid w:val="00F0120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F0120F"/>
    <w:pPr>
      <w:ind w:left="360"/>
    </w:pPr>
  </w:style>
  <w:style w:type="paragraph" w:customStyle="1" w:styleId="6211TextnumberedlistlastTextstylesTextstyles">
    <w:name w:val="6.211 Text (numbered list last) (Text styles) (Text styles)"/>
    <w:basedOn w:val="621TextnumberedlistTextstylesTextstyles"/>
    <w:uiPriority w:val="99"/>
    <w:rsid w:val="00F0120F"/>
    <w:pPr>
      <w:spacing w:after="260"/>
    </w:pPr>
  </w:style>
  <w:style w:type="paragraph" w:customStyle="1" w:styleId="623TextsubnumberedlistTextstylesTextstyles">
    <w:name w:val="6.23 Text (sub numbered list) (Text styles) (Text styles)"/>
    <w:basedOn w:val="621TextnumberedlistTextstylesTextstyles"/>
    <w:uiPriority w:val="99"/>
    <w:rsid w:val="00F0120F"/>
    <w:pPr>
      <w:ind w:left="360"/>
    </w:pPr>
  </w:style>
  <w:style w:type="paragraph" w:customStyle="1" w:styleId="626TextalphalistTextstyles">
    <w:name w:val="6.26 Text (alpha list) (Text styles)"/>
    <w:basedOn w:val="621TextnumberedlistTextstylesTextstyles"/>
    <w:uiPriority w:val="99"/>
    <w:rsid w:val="00F0120F"/>
    <w:pPr>
      <w:tabs>
        <w:tab w:val="clear" w:pos="0"/>
        <w:tab w:val="left" w:pos="360"/>
      </w:tabs>
    </w:pPr>
  </w:style>
  <w:style w:type="paragraph" w:customStyle="1" w:styleId="627TextsubalphalistTextstyles">
    <w:name w:val="6.27 Text (sub alpha list) (Text styles)"/>
    <w:basedOn w:val="626TextalphalistTextstyles"/>
    <w:uiPriority w:val="99"/>
    <w:rsid w:val="00F0120F"/>
    <w:pPr>
      <w:ind w:left="360"/>
    </w:pPr>
  </w:style>
  <w:style w:type="paragraph" w:customStyle="1" w:styleId="628TextalphalistlastTextstyles">
    <w:name w:val="6.28 Text (alpha list last) (Text styles)"/>
    <w:basedOn w:val="626TextalphalistTextstyles"/>
    <w:next w:val="602TextfoTextstylesTextstyles"/>
    <w:uiPriority w:val="99"/>
    <w:rsid w:val="00F0120F"/>
    <w:pPr>
      <w:spacing w:after="240"/>
    </w:pPr>
  </w:style>
  <w:style w:type="paragraph" w:customStyle="1" w:styleId="644TextquoteTextstylesTextstyles">
    <w:name w:val="6.44 Text (quote) (Text styles) (Text styles)"/>
    <w:basedOn w:val="602TextfoTextstylesTextstyles"/>
    <w:uiPriority w:val="99"/>
    <w:rsid w:val="00F0120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F0120F"/>
  </w:style>
  <w:style w:type="paragraph" w:customStyle="1" w:styleId="632TextequationTextstylesTextstyles">
    <w:name w:val="6.32 Text (equation) (Text styles) (Text styles)"/>
    <w:basedOn w:val="602TextfoTextstylesTextstyles"/>
    <w:uiPriority w:val="99"/>
    <w:rsid w:val="00F0120F"/>
    <w:pPr>
      <w:tabs>
        <w:tab w:val="right" w:pos="9120"/>
      </w:tabs>
      <w:ind w:left="240"/>
    </w:pPr>
  </w:style>
  <w:style w:type="paragraph" w:customStyle="1" w:styleId="645TextquotewithsourceTextstyles">
    <w:name w:val="6.45 Text (quote with source) (Text styles)"/>
    <w:basedOn w:val="644TextquoteTextstylesTextstyles"/>
    <w:uiPriority w:val="99"/>
    <w:rsid w:val="00F0120F"/>
    <w:pPr>
      <w:spacing w:after="0"/>
    </w:pPr>
  </w:style>
  <w:style w:type="paragraph" w:customStyle="1" w:styleId="646TextquotesourceTextstylesTextstyles">
    <w:name w:val="6.46 Text (quote source) (Text styles) (Text styles)"/>
    <w:basedOn w:val="644TextquoteTextstylesTextstyles"/>
    <w:uiPriority w:val="99"/>
    <w:rsid w:val="00F0120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F0120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F0120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F0120F"/>
    <w:pPr>
      <w:spacing w:after="130"/>
      <w:ind w:left="600" w:hanging="120"/>
    </w:pPr>
  </w:style>
  <w:style w:type="paragraph" w:customStyle="1" w:styleId="690EndnoteTextstylesTextstyles">
    <w:name w:val="6.90 Endnote (Text styles) (Text styles)"/>
    <w:basedOn w:val="602TextfoTextstylesTextstyles"/>
    <w:uiPriority w:val="99"/>
    <w:rsid w:val="00F0120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F0120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F0120F"/>
    <w:rPr>
      <w:bCs/>
    </w:rPr>
  </w:style>
  <w:style w:type="paragraph" w:customStyle="1" w:styleId="72TabletextTablesTableFigureBoxstyles">
    <w:name w:val="7.2 Table text (Tables) (Table/Figure/Box styles)"/>
    <w:basedOn w:val="Normal"/>
    <w:uiPriority w:val="99"/>
    <w:rsid w:val="00F0120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F0120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F0120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F0120F"/>
  </w:style>
  <w:style w:type="paragraph" w:customStyle="1" w:styleId="710TableheadTablesTableFigureBoxstyles">
    <w:name w:val="7.10 Table head (Tables) (Table/Figure/Box styles)"/>
    <w:basedOn w:val="72TabletextTablesTableFigureBoxstyles"/>
    <w:next w:val="72TabletextTablesTableFigureBoxstyles"/>
    <w:uiPriority w:val="99"/>
    <w:rsid w:val="00F0120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F0120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F0120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F0120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F0120F"/>
    <w:rPr>
      <w:rFonts w:cs="Humanist777BT-ItalicB"/>
      <w:bCs w:val="0"/>
      <w:i/>
    </w:rPr>
  </w:style>
  <w:style w:type="paragraph" w:customStyle="1" w:styleId="92BoxtextBoxesTableFigureBoxstyles">
    <w:name w:val="9.2 Box text (Boxes) (Table/Figure/Box styles)"/>
    <w:basedOn w:val="72TabletextTablesTableFigureBoxstyles"/>
    <w:uiPriority w:val="99"/>
    <w:rsid w:val="00F0120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F0120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F0120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F0120F"/>
    <w:pPr>
      <w:spacing w:after="120"/>
    </w:pPr>
  </w:style>
  <w:style w:type="paragraph" w:customStyle="1" w:styleId="922BoxbulletlistBoxesTableFigureBoxstyles">
    <w:name w:val="9.22 Box bullet list (Boxes) (Table/Figure/Box styles)"/>
    <w:basedOn w:val="921BoxnumberedlistBoxesTableFigureBoxstyles"/>
    <w:uiPriority w:val="99"/>
    <w:rsid w:val="00F0120F"/>
    <w:pPr>
      <w:ind w:hanging="240"/>
    </w:pPr>
  </w:style>
  <w:style w:type="paragraph" w:customStyle="1" w:styleId="925BoxbulletlistlastBoxesTableFigureBoxstyles">
    <w:name w:val="9.25 Box bullet list last (Boxes) (Table/Figure/Box styles)"/>
    <w:basedOn w:val="921BoxnumberedlistBoxesTableFigureBoxstyles"/>
    <w:uiPriority w:val="99"/>
    <w:rsid w:val="00F0120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F0120F"/>
  </w:style>
  <w:style w:type="paragraph" w:customStyle="1" w:styleId="926BoxalphalistlastBoxesTableFigureBoxstyles">
    <w:name w:val="9.26 Box alpha list last (Boxes) (Table/Figure/Box styles)"/>
    <w:basedOn w:val="921BoxnumberedlistBoxesTableFigureBoxstyles"/>
    <w:uiPriority w:val="99"/>
    <w:rsid w:val="00F0120F"/>
    <w:pPr>
      <w:spacing w:after="120"/>
    </w:pPr>
  </w:style>
  <w:style w:type="paragraph" w:customStyle="1" w:styleId="927BoxquoteBoxesTableFigureBoxstyles">
    <w:name w:val="9.27 Box quote (Boxes) (Table/Figure/Box styles)"/>
    <w:basedOn w:val="92BoxtextBoxesTableFigureBoxstyles"/>
    <w:uiPriority w:val="99"/>
    <w:rsid w:val="00F0120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F0120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F0120F"/>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F0120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F0120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F0120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F0120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F0120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F0120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F0120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F0120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F0120F"/>
    <w:pPr>
      <w:ind w:left="240"/>
    </w:pPr>
  </w:style>
  <w:style w:type="paragraph" w:customStyle="1" w:styleId="75TablenotesTablesTableFigureBoxstyles">
    <w:name w:val="7.5 Table (notes) (Tables) (Table/Figure/Box styles)"/>
    <w:basedOn w:val="74TablenotesheadingTablesTableFigureBoxstyles"/>
    <w:uiPriority w:val="99"/>
    <w:rsid w:val="00F0120F"/>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F0120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F0120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F0120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F0120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F0120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F0120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F0120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F0120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F0120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F0120F"/>
    <w:pPr>
      <w:spacing w:after="260"/>
      <w:ind w:left="360"/>
    </w:pPr>
  </w:style>
  <w:style w:type="paragraph" w:customStyle="1" w:styleId="634TextsubalphalistlastTextstyles">
    <w:name w:val="6.34 Text (sub alpha list last) (Text styles)"/>
    <w:basedOn w:val="626TextalphalistTextstyles"/>
    <w:uiPriority w:val="99"/>
    <w:rsid w:val="00F0120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F0120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F0120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F0120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F0120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F0120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F0120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F0120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F0120F"/>
  </w:style>
  <w:style w:type="paragraph" w:customStyle="1" w:styleId="636TextsubsubnumberedlistlastTextstylesTextstyles">
    <w:name w:val="6.36 Text (sub sub numbered list last) (Text styles) (Text styles)"/>
    <w:basedOn w:val="613TextsubbulletlistTextstylesTextstyles"/>
    <w:uiPriority w:val="99"/>
    <w:rsid w:val="00F0120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F0120F"/>
    <w:pPr>
      <w:ind w:left="402"/>
    </w:pPr>
  </w:style>
  <w:style w:type="paragraph" w:customStyle="1" w:styleId="6121Textbulletlist2ndparalastTextstyles">
    <w:name w:val="6.121 Text (bullet list 2nd para last) (Text styles)"/>
    <w:basedOn w:val="612Textbulletlist2ndparaTextstyles"/>
    <w:uiPriority w:val="99"/>
    <w:rsid w:val="00F0120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F0120F"/>
  </w:style>
  <w:style w:type="paragraph" w:customStyle="1" w:styleId="6161TextsubbulletlistsolidlastTextstyles">
    <w:name w:val="6.161 Text (sub bullet list solid last) (Text styles)"/>
    <w:basedOn w:val="616TextsubbulletlistlastTextstylesTextstyles"/>
    <w:uiPriority w:val="99"/>
    <w:rsid w:val="00F0120F"/>
  </w:style>
  <w:style w:type="paragraph" w:customStyle="1" w:styleId="713TablesubheadCTablesTableFigureBoxstyles">
    <w:name w:val="7.13 Table subhead C (Tables) (Table/Figure/Box styles)"/>
    <w:basedOn w:val="712TablesubheadBTablesTableFigureBoxstyles"/>
    <w:uiPriority w:val="99"/>
    <w:rsid w:val="00F0120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F0120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F0120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F0120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F0120F"/>
    <w:pPr>
      <w:spacing w:after="0"/>
    </w:pPr>
  </w:style>
  <w:style w:type="paragraph" w:customStyle="1" w:styleId="9271BoxquotewithsourceTableFigureBoxstyles">
    <w:name w:val="9.271 Box quote with source (Table/Figure/Box styles)"/>
    <w:basedOn w:val="927BoxquoteBoxesTableFigureBoxstyles"/>
    <w:uiPriority w:val="99"/>
    <w:rsid w:val="00F0120F"/>
    <w:pPr>
      <w:spacing w:after="0"/>
    </w:pPr>
  </w:style>
  <w:style w:type="paragraph" w:customStyle="1" w:styleId="6116Quoteasabulletlistitem-sourceTextstyles">
    <w:name w:val="6.116 Quote as a bullet list item - source (Text styles)"/>
    <w:basedOn w:val="Normal"/>
    <w:uiPriority w:val="99"/>
    <w:rsid w:val="00F0120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F0120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F0120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F0120F"/>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F0120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F0120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F0120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F0120F"/>
    <w:pPr>
      <w:ind w:left="720"/>
    </w:pPr>
  </w:style>
  <w:style w:type="paragraph" w:customStyle="1" w:styleId="58GHeadHeadingsHeadingstyles">
    <w:name w:val="5.8 G Head (Headings) (Heading styles)"/>
    <w:basedOn w:val="57FheadHeadingsHeadingstyles"/>
    <w:uiPriority w:val="99"/>
    <w:rsid w:val="00F0120F"/>
    <w:rPr>
      <w:i w:val="0"/>
      <w:iCs w:val="0"/>
    </w:rPr>
  </w:style>
  <w:style w:type="paragraph" w:customStyle="1" w:styleId="6212QuoteasanumberedlistitemTextstyles">
    <w:name w:val="6.212 Quote as a numbered list item (Text styles)"/>
    <w:basedOn w:val="621TextnumberedlistTextstylesTextstyles"/>
    <w:uiPriority w:val="99"/>
    <w:rsid w:val="00F0120F"/>
    <w:rPr>
      <w:i/>
    </w:rPr>
  </w:style>
  <w:style w:type="paragraph" w:customStyle="1" w:styleId="625TextsimplelistTextstyles">
    <w:name w:val="6.25 Text (simple list) (Text styles)"/>
    <w:basedOn w:val="626TextalphalistTextstyles"/>
    <w:uiPriority w:val="99"/>
    <w:rsid w:val="00F0120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F0120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F0120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F0120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F0120F"/>
    <w:pPr>
      <w:spacing w:after="260"/>
    </w:pPr>
  </w:style>
  <w:style w:type="paragraph" w:customStyle="1" w:styleId="648TextquotedbulletlistlastTextstyles">
    <w:name w:val="6.48 Text (quoted bullet list last) (Text styles)"/>
    <w:basedOn w:val="647TextquotedbulletlistTextstyles"/>
    <w:uiPriority w:val="99"/>
    <w:rsid w:val="00F0120F"/>
    <w:pPr>
      <w:spacing w:after="260"/>
    </w:pPr>
  </w:style>
  <w:style w:type="paragraph" w:customStyle="1" w:styleId="642TextquotednumberedlistTextstyles">
    <w:name w:val="6.42 Text (quoted numbered list) (Text styles)"/>
    <w:basedOn w:val="647TextquotedbulletlistTextstyles"/>
    <w:uiPriority w:val="99"/>
    <w:rsid w:val="00F0120F"/>
  </w:style>
  <w:style w:type="paragraph" w:customStyle="1" w:styleId="643TextquotednumberedlistlastTextstyles">
    <w:name w:val="6.43 Text (quoted numbered list last) (Text styles)"/>
    <w:basedOn w:val="642TextquotednumberedlistTextstyles"/>
    <w:uiPriority w:val="99"/>
    <w:rsid w:val="00F0120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F0120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F0120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F0120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F0120F"/>
  </w:style>
  <w:style w:type="paragraph" w:customStyle="1" w:styleId="7531TablenotessubalphalistTablesTableFigureBoxstyles">
    <w:name w:val="7.531 Table notes sub alpha list (Tables) (Table/Figure/Box styles)"/>
    <w:basedOn w:val="752TablenotesnumberedlistTablesTableFigureBoxstyles"/>
    <w:uiPriority w:val="99"/>
    <w:rsid w:val="00F0120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F0120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F0120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F0120F"/>
  </w:style>
  <w:style w:type="paragraph" w:customStyle="1" w:styleId="9521BoxnotessubnumberedlistBoxesTableFigureBoxstyles">
    <w:name w:val="9.521 Box notes sub numbered list (Boxes) (Table/Figure/Box styles)"/>
    <w:basedOn w:val="951BoxnotesbulletlistBoxesTableFigureBoxstyles"/>
    <w:uiPriority w:val="99"/>
    <w:rsid w:val="00F0120F"/>
    <w:pPr>
      <w:ind w:left="606"/>
    </w:pPr>
  </w:style>
  <w:style w:type="paragraph" w:customStyle="1" w:styleId="953BoxnotesalphalistBoxesTableFigureBoxstyles">
    <w:name w:val="9.53 Box notes alpha list (Boxes) (Table/Figure/Box styles)"/>
    <w:basedOn w:val="952BoxnotesnumberedlistBoxesTableFigureBoxstyles"/>
    <w:uiPriority w:val="99"/>
    <w:rsid w:val="00F0120F"/>
  </w:style>
  <w:style w:type="paragraph" w:customStyle="1" w:styleId="9531BoxnotessubalphalistBoxesTableFigureBoxstyles">
    <w:name w:val="9.531 Box notes sub alpha list (Boxes) (Table/Figure/Box styles)"/>
    <w:basedOn w:val="952BoxnotesnumberedlistBoxesTableFigureBoxstyles"/>
    <w:uiPriority w:val="99"/>
    <w:rsid w:val="00F0120F"/>
    <w:pPr>
      <w:ind w:left="606"/>
    </w:pPr>
  </w:style>
  <w:style w:type="paragraph" w:customStyle="1" w:styleId="6132TextsubbulletlistnumberedTextstyles">
    <w:name w:val="6.132 Text (sub bullet list numbered) (Text styles)"/>
    <w:basedOn w:val="613TextsubbulletlistTextstylesTextstyles"/>
    <w:uiPriority w:val="99"/>
    <w:rsid w:val="00F0120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F0120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F0120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F0120F"/>
    <w:pPr>
      <w:spacing w:after="120"/>
    </w:pPr>
  </w:style>
  <w:style w:type="paragraph" w:customStyle="1" w:styleId="6214QuoteasanumberedlistitemsourceTextstyles">
    <w:name w:val="6.214 Quote as a numbered list item – source (Text styles)"/>
    <w:basedOn w:val="6121Textbulletlist2ndparalastTextstyles"/>
    <w:uiPriority w:val="99"/>
    <w:rsid w:val="00F0120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F0120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F0120F"/>
    <w:pPr>
      <w:spacing w:after="120"/>
    </w:pPr>
  </w:style>
  <w:style w:type="paragraph" w:customStyle="1" w:styleId="9274BoxquotesubbulletlistTableFigureBoxstyles">
    <w:name w:val="9.274 Box quote sub bullet list (Table/Figure/Box styles)"/>
    <w:basedOn w:val="9272BoxquotebulletlistTableFigureBoxstyles"/>
    <w:rsid w:val="00F0120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F0120F"/>
    <w:pPr>
      <w:spacing w:after="120"/>
    </w:pPr>
  </w:style>
  <w:style w:type="paragraph" w:customStyle="1" w:styleId="9276BoxquotenumberedlistTableFigureBoxstyles">
    <w:name w:val="9.276 Box quote numbered list (Table/Figure/Box styles)"/>
    <w:basedOn w:val="9272BoxquotebulletlistTableFigureBoxstyles"/>
    <w:rsid w:val="00F0120F"/>
  </w:style>
  <w:style w:type="paragraph" w:customStyle="1" w:styleId="9277BoxquotenumberedlistlastTableFigureBoxstyles">
    <w:name w:val="9.277 Box quote numbered list last  (Table/Figure/Box styles)"/>
    <w:basedOn w:val="9276BoxquotenumberedlistTableFigureBoxstyles"/>
    <w:rsid w:val="00F0120F"/>
    <w:pPr>
      <w:spacing w:after="120"/>
    </w:pPr>
  </w:style>
  <w:style w:type="paragraph" w:customStyle="1" w:styleId="9278BoxquotesubnumberedlistTableFigureBoxstyles">
    <w:name w:val="9.278 Box quote sub numbered list (Table/Figure/Box styles)"/>
    <w:basedOn w:val="9276BoxquotenumberedlistTableFigureBoxstyles"/>
    <w:rsid w:val="00F0120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F0120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3595">
      <w:bodyDiv w:val="1"/>
      <w:marLeft w:val="0"/>
      <w:marRight w:val="0"/>
      <w:marTop w:val="0"/>
      <w:marBottom w:val="0"/>
      <w:divBdr>
        <w:top w:val="none" w:sz="0" w:space="0" w:color="auto"/>
        <w:left w:val="none" w:sz="0" w:space="0" w:color="auto"/>
        <w:bottom w:val="none" w:sz="0" w:space="0" w:color="auto"/>
        <w:right w:val="none" w:sz="0" w:space="0" w:color="auto"/>
      </w:divBdr>
    </w:div>
    <w:div w:id="44331496">
      <w:bodyDiv w:val="1"/>
      <w:marLeft w:val="0"/>
      <w:marRight w:val="0"/>
      <w:marTop w:val="0"/>
      <w:marBottom w:val="0"/>
      <w:divBdr>
        <w:top w:val="none" w:sz="0" w:space="0" w:color="auto"/>
        <w:left w:val="none" w:sz="0" w:space="0" w:color="auto"/>
        <w:bottom w:val="none" w:sz="0" w:space="0" w:color="auto"/>
        <w:right w:val="none" w:sz="0" w:space="0" w:color="auto"/>
      </w:divBdr>
      <w:divsChild>
        <w:div w:id="800149144">
          <w:marLeft w:val="446"/>
          <w:marRight w:val="0"/>
          <w:marTop w:val="0"/>
          <w:marBottom w:val="0"/>
          <w:divBdr>
            <w:top w:val="none" w:sz="0" w:space="0" w:color="auto"/>
            <w:left w:val="none" w:sz="0" w:space="0" w:color="auto"/>
            <w:bottom w:val="none" w:sz="0" w:space="0" w:color="auto"/>
            <w:right w:val="none" w:sz="0" w:space="0" w:color="auto"/>
          </w:divBdr>
        </w:div>
        <w:div w:id="1219895802">
          <w:marLeft w:val="446"/>
          <w:marRight w:val="0"/>
          <w:marTop w:val="0"/>
          <w:marBottom w:val="0"/>
          <w:divBdr>
            <w:top w:val="none" w:sz="0" w:space="0" w:color="auto"/>
            <w:left w:val="none" w:sz="0" w:space="0" w:color="auto"/>
            <w:bottom w:val="none" w:sz="0" w:space="0" w:color="auto"/>
            <w:right w:val="none" w:sz="0" w:space="0" w:color="auto"/>
          </w:divBdr>
        </w:div>
      </w:divsChild>
    </w:div>
    <w:div w:id="78449160">
      <w:bodyDiv w:val="1"/>
      <w:marLeft w:val="0"/>
      <w:marRight w:val="0"/>
      <w:marTop w:val="0"/>
      <w:marBottom w:val="0"/>
      <w:divBdr>
        <w:top w:val="none" w:sz="0" w:space="0" w:color="auto"/>
        <w:left w:val="none" w:sz="0" w:space="0" w:color="auto"/>
        <w:bottom w:val="none" w:sz="0" w:space="0" w:color="auto"/>
        <w:right w:val="none" w:sz="0" w:space="0" w:color="auto"/>
      </w:divBdr>
    </w:div>
    <w:div w:id="108597052">
      <w:bodyDiv w:val="1"/>
      <w:marLeft w:val="0"/>
      <w:marRight w:val="0"/>
      <w:marTop w:val="0"/>
      <w:marBottom w:val="0"/>
      <w:divBdr>
        <w:top w:val="none" w:sz="0" w:space="0" w:color="auto"/>
        <w:left w:val="none" w:sz="0" w:space="0" w:color="auto"/>
        <w:bottom w:val="none" w:sz="0" w:space="0" w:color="auto"/>
        <w:right w:val="none" w:sz="0" w:space="0" w:color="auto"/>
      </w:divBdr>
    </w:div>
    <w:div w:id="109402256">
      <w:bodyDiv w:val="1"/>
      <w:marLeft w:val="0"/>
      <w:marRight w:val="0"/>
      <w:marTop w:val="0"/>
      <w:marBottom w:val="0"/>
      <w:divBdr>
        <w:top w:val="none" w:sz="0" w:space="0" w:color="auto"/>
        <w:left w:val="none" w:sz="0" w:space="0" w:color="auto"/>
        <w:bottom w:val="none" w:sz="0" w:space="0" w:color="auto"/>
        <w:right w:val="none" w:sz="0" w:space="0" w:color="auto"/>
      </w:divBdr>
    </w:div>
    <w:div w:id="255598328">
      <w:bodyDiv w:val="1"/>
      <w:marLeft w:val="0"/>
      <w:marRight w:val="0"/>
      <w:marTop w:val="0"/>
      <w:marBottom w:val="0"/>
      <w:divBdr>
        <w:top w:val="none" w:sz="0" w:space="0" w:color="auto"/>
        <w:left w:val="none" w:sz="0" w:space="0" w:color="auto"/>
        <w:bottom w:val="none" w:sz="0" w:space="0" w:color="auto"/>
        <w:right w:val="none" w:sz="0" w:space="0" w:color="auto"/>
      </w:divBdr>
    </w:div>
    <w:div w:id="288752533">
      <w:bodyDiv w:val="1"/>
      <w:marLeft w:val="0"/>
      <w:marRight w:val="0"/>
      <w:marTop w:val="0"/>
      <w:marBottom w:val="0"/>
      <w:divBdr>
        <w:top w:val="none" w:sz="0" w:space="0" w:color="auto"/>
        <w:left w:val="none" w:sz="0" w:space="0" w:color="auto"/>
        <w:bottom w:val="none" w:sz="0" w:space="0" w:color="auto"/>
        <w:right w:val="none" w:sz="0" w:space="0" w:color="auto"/>
      </w:divBdr>
    </w:div>
    <w:div w:id="290526014">
      <w:bodyDiv w:val="1"/>
      <w:marLeft w:val="0"/>
      <w:marRight w:val="0"/>
      <w:marTop w:val="0"/>
      <w:marBottom w:val="0"/>
      <w:divBdr>
        <w:top w:val="none" w:sz="0" w:space="0" w:color="auto"/>
        <w:left w:val="none" w:sz="0" w:space="0" w:color="auto"/>
        <w:bottom w:val="none" w:sz="0" w:space="0" w:color="auto"/>
        <w:right w:val="none" w:sz="0" w:space="0" w:color="auto"/>
      </w:divBdr>
    </w:div>
    <w:div w:id="299309369">
      <w:bodyDiv w:val="1"/>
      <w:marLeft w:val="0"/>
      <w:marRight w:val="0"/>
      <w:marTop w:val="0"/>
      <w:marBottom w:val="0"/>
      <w:divBdr>
        <w:top w:val="none" w:sz="0" w:space="0" w:color="auto"/>
        <w:left w:val="none" w:sz="0" w:space="0" w:color="auto"/>
        <w:bottom w:val="none" w:sz="0" w:space="0" w:color="auto"/>
        <w:right w:val="none" w:sz="0" w:space="0" w:color="auto"/>
      </w:divBdr>
      <w:divsChild>
        <w:div w:id="513374202">
          <w:marLeft w:val="446"/>
          <w:marRight w:val="0"/>
          <w:marTop w:val="0"/>
          <w:marBottom w:val="0"/>
          <w:divBdr>
            <w:top w:val="none" w:sz="0" w:space="0" w:color="auto"/>
            <w:left w:val="none" w:sz="0" w:space="0" w:color="auto"/>
            <w:bottom w:val="none" w:sz="0" w:space="0" w:color="auto"/>
            <w:right w:val="none" w:sz="0" w:space="0" w:color="auto"/>
          </w:divBdr>
        </w:div>
        <w:div w:id="1071270967">
          <w:marLeft w:val="446"/>
          <w:marRight w:val="0"/>
          <w:marTop w:val="0"/>
          <w:marBottom w:val="0"/>
          <w:divBdr>
            <w:top w:val="none" w:sz="0" w:space="0" w:color="auto"/>
            <w:left w:val="none" w:sz="0" w:space="0" w:color="auto"/>
            <w:bottom w:val="none" w:sz="0" w:space="0" w:color="auto"/>
            <w:right w:val="none" w:sz="0" w:space="0" w:color="auto"/>
          </w:divBdr>
        </w:div>
        <w:div w:id="1652561098">
          <w:marLeft w:val="446"/>
          <w:marRight w:val="0"/>
          <w:marTop w:val="0"/>
          <w:marBottom w:val="0"/>
          <w:divBdr>
            <w:top w:val="none" w:sz="0" w:space="0" w:color="auto"/>
            <w:left w:val="none" w:sz="0" w:space="0" w:color="auto"/>
            <w:bottom w:val="none" w:sz="0" w:space="0" w:color="auto"/>
            <w:right w:val="none" w:sz="0" w:space="0" w:color="auto"/>
          </w:divBdr>
        </w:div>
      </w:divsChild>
    </w:div>
    <w:div w:id="323551503">
      <w:bodyDiv w:val="1"/>
      <w:marLeft w:val="0"/>
      <w:marRight w:val="0"/>
      <w:marTop w:val="0"/>
      <w:marBottom w:val="0"/>
      <w:divBdr>
        <w:top w:val="none" w:sz="0" w:space="0" w:color="auto"/>
        <w:left w:val="none" w:sz="0" w:space="0" w:color="auto"/>
        <w:bottom w:val="none" w:sz="0" w:space="0" w:color="auto"/>
        <w:right w:val="none" w:sz="0" w:space="0" w:color="auto"/>
      </w:divBdr>
    </w:div>
    <w:div w:id="343367580">
      <w:bodyDiv w:val="1"/>
      <w:marLeft w:val="0"/>
      <w:marRight w:val="0"/>
      <w:marTop w:val="0"/>
      <w:marBottom w:val="0"/>
      <w:divBdr>
        <w:top w:val="none" w:sz="0" w:space="0" w:color="auto"/>
        <w:left w:val="none" w:sz="0" w:space="0" w:color="auto"/>
        <w:bottom w:val="none" w:sz="0" w:space="0" w:color="auto"/>
        <w:right w:val="none" w:sz="0" w:space="0" w:color="auto"/>
      </w:divBdr>
    </w:div>
    <w:div w:id="383255373">
      <w:bodyDiv w:val="1"/>
      <w:marLeft w:val="0"/>
      <w:marRight w:val="0"/>
      <w:marTop w:val="0"/>
      <w:marBottom w:val="0"/>
      <w:divBdr>
        <w:top w:val="none" w:sz="0" w:space="0" w:color="auto"/>
        <w:left w:val="none" w:sz="0" w:space="0" w:color="auto"/>
        <w:bottom w:val="none" w:sz="0" w:space="0" w:color="auto"/>
        <w:right w:val="none" w:sz="0" w:space="0" w:color="auto"/>
      </w:divBdr>
    </w:div>
    <w:div w:id="400954097">
      <w:bodyDiv w:val="1"/>
      <w:marLeft w:val="0"/>
      <w:marRight w:val="0"/>
      <w:marTop w:val="0"/>
      <w:marBottom w:val="0"/>
      <w:divBdr>
        <w:top w:val="none" w:sz="0" w:space="0" w:color="auto"/>
        <w:left w:val="none" w:sz="0" w:space="0" w:color="auto"/>
        <w:bottom w:val="none" w:sz="0" w:space="0" w:color="auto"/>
        <w:right w:val="none" w:sz="0" w:space="0" w:color="auto"/>
      </w:divBdr>
    </w:div>
    <w:div w:id="410202408">
      <w:bodyDiv w:val="1"/>
      <w:marLeft w:val="0"/>
      <w:marRight w:val="0"/>
      <w:marTop w:val="0"/>
      <w:marBottom w:val="0"/>
      <w:divBdr>
        <w:top w:val="none" w:sz="0" w:space="0" w:color="auto"/>
        <w:left w:val="none" w:sz="0" w:space="0" w:color="auto"/>
        <w:bottom w:val="none" w:sz="0" w:space="0" w:color="auto"/>
        <w:right w:val="none" w:sz="0" w:space="0" w:color="auto"/>
      </w:divBdr>
    </w:div>
    <w:div w:id="442724707">
      <w:bodyDiv w:val="1"/>
      <w:marLeft w:val="0"/>
      <w:marRight w:val="0"/>
      <w:marTop w:val="0"/>
      <w:marBottom w:val="0"/>
      <w:divBdr>
        <w:top w:val="none" w:sz="0" w:space="0" w:color="auto"/>
        <w:left w:val="none" w:sz="0" w:space="0" w:color="auto"/>
        <w:bottom w:val="none" w:sz="0" w:space="0" w:color="auto"/>
        <w:right w:val="none" w:sz="0" w:space="0" w:color="auto"/>
      </w:divBdr>
    </w:div>
    <w:div w:id="449055624">
      <w:bodyDiv w:val="1"/>
      <w:marLeft w:val="0"/>
      <w:marRight w:val="0"/>
      <w:marTop w:val="0"/>
      <w:marBottom w:val="0"/>
      <w:divBdr>
        <w:top w:val="none" w:sz="0" w:space="0" w:color="auto"/>
        <w:left w:val="none" w:sz="0" w:space="0" w:color="auto"/>
        <w:bottom w:val="none" w:sz="0" w:space="0" w:color="auto"/>
        <w:right w:val="none" w:sz="0" w:space="0" w:color="auto"/>
      </w:divBdr>
    </w:div>
    <w:div w:id="470829271">
      <w:bodyDiv w:val="1"/>
      <w:marLeft w:val="0"/>
      <w:marRight w:val="0"/>
      <w:marTop w:val="0"/>
      <w:marBottom w:val="0"/>
      <w:divBdr>
        <w:top w:val="none" w:sz="0" w:space="0" w:color="auto"/>
        <w:left w:val="none" w:sz="0" w:space="0" w:color="auto"/>
        <w:bottom w:val="none" w:sz="0" w:space="0" w:color="auto"/>
        <w:right w:val="none" w:sz="0" w:space="0" w:color="auto"/>
      </w:divBdr>
    </w:div>
    <w:div w:id="560209684">
      <w:bodyDiv w:val="1"/>
      <w:marLeft w:val="0"/>
      <w:marRight w:val="0"/>
      <w:marTop w:val="0"/>
      <w:marBottom w:val="0"/>
      <w:divBdr>
        <w:top w:val="none" w:sz="0" w:space="0" w:color="auto"/>
        <w:left w:val="none" w:sz="0" w:space="0" w:color="auto"/>
        <w:bottom w:val="none" w:sz="0" w:space="0" w:color="auto"/>
        <w:right w:val="none" w:sz="0" w:space="0" w:color="auto"/>
      </w:divBdr>
    </w:div>
    <w:div w:id="560752271">
      <w:bodyDiv w:val="1"/>
      <w:marLeft w:val="0"/>
      <w:marRight w:val="0"/>
      <w:marTop w:val="0"/>
      <w:marBottom w:val="0"/>
      <w:divBdr>
        <w:top w:val="none" w:sz="0" w:space="0" w:color="auto"/>
        <w:left w:val="none" w:sz="0" w:space="0" w:color="auto"/>
        <w:bottom w:val="none" w:sz="0" w:space="0" w:color="auto"/>
        <w:right w:val="none" w:sz="0" w:space="0" w:color="auto"/>
      </w:divBdr>
    </w:div>
    <w:div w:id="573859408">
      <w:bodyDiv w:val="1"/>
      <w:marLeft w:val="0"/>
      <w:marRight w:val="0"/>
      <w:marTop w:val="0"/>
      <w:marBottom w:val="0"/>
      <w:divBdr>
        <w:top w:val="none" w:sz="0" w:space="0" w:color="auto"/>
        <w:left w:val="none" w:sz="0" w:space="0" w:color="auto"/>
        <w:bottom w:val="none" w:sz="0" w:space="0" w:color="auto"/>
        <w:right w:val="none" w:sz="0" w:space="0" w:color="auto"/>
      </w:divBdr>
      <w:divsChild>
        <w:div w:id="86586664">
          <w:marLeft w:val="446"/>
          <w:marRight w:val="0"/>
          <w:marTop w:val="0"/>
          <w:marBottom w:val="0"/>
          <w:divBdr>
            <w:top w:val="none" w:sz="0" w:space="0" w:color="auto"/>
            <w:left w:val="none" w:sz="0" w:space="0" w:color="auto"/>
            <w:bottom w:val="none" w:sz="0" w:space="0" w:color="auto"/>
            <w:right w:val="none" w:sz="0" w:space="0" w:color="auto"/>
          </w:divBdr>
        </w:div>
        <w:div w:id="479539375">
          <w:marLeft w:val="446"/>
          <w:marRight w:val="0"/>
          <w:marTop w:val="0"/>
          <w:marBottom w:val="0"/>
          <w:divBdr>
            <w:top w:val="none" w:sz="0" w:space="0" w:color="auto"/>
            <w:left w:val="none" w:sz="0" w:space="0" w:color="auto"/>
            <w:bottom w:val="none" w:sz="0" w:space="0" w:color="auto"/>
            <w:right w:val="none" w:sz="0" w:space="0" w:color="auto"/>
          </w:divBdr>
        </w:div>
        <w:div w:id="1606310108">
          <w:marLeft w:val="446"/>
          <w:marRight w:val="0"/>
          <w:marTop w:val="0"/>
          <w:marBottom w:val="0"/>
          <w:divBdr>
            <w:top w:val="none" w:sz="0" w:space="0" w:color="auto"/>
            <w:left w:val="none" w:sz="0" w:space="0" w:color="auto"/>
            <w:bottom w:val="none" w:sz="0" w:space="0" w:color="auto"/>
            <w:right w:val="none" w:sz="0" w:space="0" w:color="auto"/>
          </w:divBdr>
        </w:div>
        <w:div w:id="2082408917">
          <w:marLeft w:val="446"/>
          <w:marRight w:val="0"/>
          <w:marTop w:val="0"/>
          <w:marBottom w:val="0"/>
          <w:divBdr>
            <w:top w:val="none" w:sz="0" w:space="0" w:color="auto"/>
            <w:left w:val="none" w:sz="0" w:space="0" w:color="auto"/>
            <w:bottom w:val="none" w:sz="0" w:space="0" w:color="auto"/>
            <w:right w:val="none" w:sz="0" w:space="0" w:color="auto"/>
          </w:divBdr>
        </w:div>
      </w:divsChild>
    </w:div>
    <w:div w:id="577910054">
      <w:bodyDiv w:val="1"/>
      <w:marLeft w:val="0"/>
      <w:marRight w:val="0"/>
      <w:marTop w:val="0"/>
      <w:marBottom w:val="0"/>
      <w:divBdr>
        <w:top w:val="none" w:sz="0" w:space="0" w:color="auto"/>
        <w:left w:val="none" w:sz="0" w:space="0" w:color="auto"/>
        <w:bottom w:val="none" w:sz="0" w:space="0" w:color="auto"/>
        <w:right w:val="none" w:sz="0" w:space="0" w:color="auto"/>
      </w:divBdr>
      <w:divsChild>
        <w:div w:id="615523872">
          <w:marLeft w:val="0"/>
          <w:marRight w:val="0"/>
          <w:marTop w:val="0"/>
          <w:marBottom w:val="0"/>
          <w:divBdr>
            <w:top w:val="none" w:sz="0" w:space="0" w:color="auto"/>
            <w:left w:val="none" w:sz="0" w:space="0" w:color="auto"/>
            <w:bottom w:val="none" w:sz="0" w:space="0" w:color="auto"/>
            <w:right w:val="none" w:sz="0" w:space="0" w:color="auto"/>
          </w:divBdr>
        </w:div>
        <w:div w:id="1018652897">
          <w:marLeft w:val="0"/>
          <w:marRight w:val="0"/>
          <w:marTop w:val="0"/>
          <w:marBottom w:val="0"/>
          <w:divBdr>
            <w:top w:val="none" w:sz="0" w:space="0" w:color="auto"/>
            <w:left w:val="none" w:sz="0" w:space="0" w:color="auto"/>
            <w:bottom w:val="none" w:sz="0" w:space="0" w:color="auto"/>
            <w:right w:val="none" w:sz="0" w:space="0" w:color="auto"/>
          </w:divBdr>
        </w:div>
        <w:div w:id="1312901118">
          <w:marLeft w:val="0"/>
          <w:marRight w:val="0"/>
          <w:marTop w:val="0"/>
          <w:marBottom w:val="0"/>
          <w:divBdr>
            <w:top w:val="none" w:sz="0" w:space="0" w:color="auto"/>
            <w:left w:val="none" w:sz="0" w:space="0" w:color="auto"/>
            <w:bottom w:val="none" w:sz="0" w:space="0" w:color="auto"/>
            <w:right w:val="none" w:sz="0" w:space="0" w:color="auto"/>
          </w:divBdr>
        </w:div>
        <w:div w:id="1708142907">
          <w:marLeft w:val="0"/>
          <w:marRight w:val="0"/>
          <w:marTop w:val="0"/>
          <w:marBottom w:val="0"/>
          <w:divBdr>
            <w:top w:val="none" w:sz="0" w:space="0" w:color="auto"/>
            <w:left w:val="none" w:sz="0" w:space="0" w:color="auto"/>
            <w:bottom w:val="none" w:sz="0" w:space="0" w:color="auto"/>
            <w:right w:val="none" w:sz="0" w:space="0" w:color="auto"/>
          </w:divBdr>
        </w:div>
      </w:divsChild>
    </w:div>
    <w:div w:id="593053918">
      <w:bodyDiv w:val="1"/>
      <w:marLeft w:val="0"/>
      <w:marRight w:val="0"/>
      <w:marTop w:val="0"/>
      <w:marBottom w:val="0"/>
      <w:divBdr>
        <w:top w:val="none" w:sz="0" w:space="0" w:color="auto"/>
        <w:left w:val="none" w:sz="0" w:space="0" w:color="auto"/>
        <w:bottom w:val="none" w:sz="0" w:space="0" w:color="auto"/>
        <w:right w:val="none" w:sz="0" w:space="0" w:color="auto"/>
      </w:divBdr>
    </w:div>
    <w:div w:id="610282730">
      <w:bodyDiv w:val="1"/>
      <w:marLeft w:val="0"/>
      <w:marRight w:val="0"/>
      <w:marTop w:val="0"/>
      <w:marBottom w:val="0"/>
      <w:divBdr>
        <w:top w:val="none" w:sz="0" w:space="0" w:color="auto"/>
        <w:left w:val="none" w:sz="0" w:space="0" w:color="auto"/>
        <w:bottom w:val="none" w:sz="0" w:space="0" w:color="auto"/>
        <w:right w:val="none" w:sz="0" w:space="0" w:color="auto"/>
      </w:divBdr>
    </w:div>
    <w:div w:id="616833401">
      <w:bodyDiv w:val="1"/>
      <w:marLeft w:val="0"/>
      <w:marRight w:val="0"/>
      <w:marTop w:val="0"/>
      <w:marBottom w:val="0"/>
      <w:divBdr>
        <w:top w:val="none" w:sz="0" w:space="0" w:color="auto"/>
        <w:left w:val="none" w:sz="0" w:space="0" w:color="auto"/>
        <w:bottom w:val="none" w:sz="0" w:space="0" w:color="auto"/>
        <w:right w:val="none" w:sz="0" w:space="0" w:color="auto"/>
      </w:divBdr>
    </w:div>
    <w:div w:id="640427371">
      <w:bodyDiv w:val="1"/>
      <w:marLeft w:val="0"/>
      <w:marRight w:val="0"/>
      <w:marTop w:val="0"/>
      <w:marBottom w:val="0"/>
      <w:divBdr>
        <w:top w:val="none" w:sz="0" w:space="0" w:color="auto"/>
        <w:left w:val="none" w:sz="0" w:space="0" w:color="auto"/>
        <w:bottom w:val="none" w:sz="0" w:space="0" w:color="auto"/>
        <w:right w:val="none" w:sz="0" w:space="0" w:color="auto"/>
      </w:divBdr>
      <w:divsChild>
        <w:div w:id="1443569090">
          <w:marLeft w:val="446"/>
          <w:marRight w:val="0"/>
          <w:marTop w:val="0"/>
          <w:marBottom w:val="0"/>
          <w:divBdr>
            <w:top w:val="none" w:sz="0" w:space="0" w:color="auto"/>
            <w:left w:val="none" w:sz="0" w:space="0" w:color="auto"/>
            <w:bottom w:val="none" w:sz="0" w:space="0" w:color="auto"/>
            <w:right w:val="none" w:sz="0" w:space="0" w:color="auto"/>
          </w:divBdr>
        </w:div>
        <w:div w:id="1732342938">
          <w:marLeft w:val="446"/>
          <w:marRight w:val="0"/>
          <w:marTop w:val="0"/>
          <w:marBottom w:val="0"/>
          <w:divBdr>
            <w:top w:val="none" w:sz="0" w:space="0" w:color="auto"/>
            <w:left w:val="none" w:sz="0" w:space="0" w:color="auto"/>
            <w:bottom w:val="none" w:sz="0" w:space="0" w:color="auto"/>
            <w:right w:val="none" w:sz="0" w:space="0" w:color="auto"/>
          </w:divBdr>
        </w:div>
        <w:div w:id="1945729080">
          <w:marLeft w:val="446"/>
          <w:marRight w:val="0"/>
          <w:marTop w:val="0"/>
          <w:marBottom w:val="0"/>
          <w:divBdr>
            <w:top w:val="none" w:sz="0" w:space="0" w:color="auto"/>
            <w:left w:val="none" w:sz="0" w:space="0" w:color="auto"/>
            <w:bottom w:val="none" w:sz="0" w:space="0" w:color="auto"/>
            <w:right w:val="none" w:sz="0" w:space="0" w:color="auto"/>
          </w:divBdr>
        </w:div>
      </w:divsChild>
    </w:div>
    <w:div w:id="641348727">
      <w:bodyDiv w:val="1"/>
      <w:marLeft w:val="0"/>
      <w:marRight w:val="0"/>
      <w:marTop w:val="0"/>
      <w:marBottom w:val="0"/>
      <w:divBdr>
        <w:top w:val="none" w:sz="0" w:space="0" w:color="auto"/>
        <w:left w:val="none" w:sz="0" w:space="0" w:color="auto"/>
        <w:bottom w:val="none" w:sz="0" w:space="0" w:color="auto"/>
        <w:right w:val="none" w:sz="0" w:space="0" w:color="auto"/>
      </w:divBdr>
    </w:div>
    <w:div w:id="654146081">
      <w:bodyDiv w:val="1"/>
      <w:marLeft w:val="0"/>
      <w:marRight w:val="0"/>
      <w:marTop w:val="0"/>
      <w:marBottom w:val="0"/>
      <w:divBdr>
        <w:top w:val="none" w:sz="0" w:space="0" w:color="auto"/>
        <w:left w:val="none" w:sz="0" w:space="0" w:color="auto"/>
        <w:bottom w:val="none" w:sz="0" w:space="0" w:color="auto"/>
        <w:right w:val="none" w:sz="0" w:space="0" w:color="auto"/>
      </w:divBdr>
    </w:div>
    <w:div w:id="721514762">
      <w:bodyDiv w:val="1"/>
      <w:marLeft w:val="0"/>
      <w:marRight w:val="0"/>
      <w:marTop w:val="0"/>
      <w:marBottom w:val="0"/>
      <w:divBdr>
        <w:top w:val="none" w:sz="0" w:space="0" w:color="auto"/>
        <w:left w:val="none" w:sz="0" w:space="0" w:color="auto"/>
        <w:bottom w:val="none" w:sz="0" w:space="0" w:color="auto"/>
        <w:right w:val="none" w:sz="0" w:space="0" w:color="auto"/>
      </w:divBdr>
      <w:divsChild>
        <w:div w:id="1447774174">
          <w:marLeft w:val="446"/>
          <w:marRight w:val="0"/>
          <w:marTop w:val="0"/>
          <w:marBottom w:val="0"/>
          <w:divBdr>
            <w:top w:val="none" w:sz="0" w:space="0" w:color="auto"/>
            <w:left w:val="none" w:sz="0" w:space="0" w:color="auto"/>
            <w:bottom w:val="none" w:sz="0" w:space="0" w:color="auto"/>
            <w:right w:val="none" w:sz="0" w:space="0" w:color="auto"/>
          </w:divBdr>
        </w:div>
        <w:div w:id="1476140794">
          <w:marLeft w:val="446"/>
          <w:marRight w:val="0"/>
          <w:marTop w:val="0"/>
          <w:marBottom w:val="0"/>
          <w:divBdr>
            <w:top w:val="none" w:sz="0" w:space="0" w:color="auto"/>
            <w:left w:val="none" w:sz="0" w:space="0" w:color="auto"/>
            <w:bottom w:val="none" w:sz="0" w:space="0" w:color="auto"/>
            <w:right w:val="none" w:sz="0" w:space="0" w:color="auto"/>
          </w:divBdr>
        </w:div>
        <w:div w:id="1777166562">
          <w:marLeft w:val="446"/>
          <w:marRight w:val="0"/>
          <w:marTop w:val="0"/>
          <w:marBottom w:val="0"/>
          <w:divBdr>
            <w:top w:val="none" w:sz="0" w:space="0" w:color="auto"/>
            <w:left w:val="none" w:sz="0" w:space="0" w:color="auto"/>
            <w:bottom w:val="none" w:sz="0" w:space="0" w:color="auto"/>
            <w:right w:val="none" w:sz="0" w:space="0" w:color="auto"/>
          </w:divBdr>
        </w:div>
      </w:divsChild>
    </w:div>
    <w:div w:id="723598113">
      <w:bodyDiv w:val="1"/>
      <w:marLeft w:val="0"/>
      <w:marRight w:val="0"/>
      <w:marTop w:val="0"/>
      <w:marBottom w:val="0"/>
      <w:divBdr>
        <w:top w:val="none" w:sz="0" w:space="0" w:color="auto"/>
        <w:left w:val="none" w:sz="0" w:space="0" w:color="auto"/>
        <w:bottom w:val="none" w:sz="0" w:space="0" w:color="auto"/>
        <w:right w:val="none" w:sz="0" w:space="0" w:color="auto"/>
      </w:divBdr>
    </w:div>
    <w:div w:id="743382595">
      <w:bodyDiv w:val="1"/>
      <w:marLeft w:val="0"/>
      <w:marRight w:val="0"/>
      <w:marTop w:val="0"/>
      <w:marBottom w:val="0"/>
      <w:divBdr>
        <w:top w:val="none" w:sz="0" w:space="0" w:color="auto"/>
        <w:left w:val="none" w:sz="0" w:space="0" w:color="auto"/>
        <w:bottom w:val="none" w:sz="0" w:space="0" w:color="auto"/>
        <w:right w:val="none" w:sz="0" w:space="0" w:color="auto"/>
      </w:divBdr>
      <w:divsChild>
        <w:div w:id="1989430208">
          <w:marLeft w:val="1080"/>
          <w:marRight w:val="0"/>
          <w:marTop w:val="100"/>
          <w:marBottom w:val="0"/>
          <w:divBdr>
            <w:top w:val="none" w:sz="0" w:space="0" w:color="auto"/>
            <w:left w:val="none" w:sz="0" w:space="0" w:color="auto"/>
            <w:bottom w:val="none" w:sz="0" w:space="0" w:color="auto"/>
            <w:right w:val="none" w:sz="0" w:space="0" w:color="auto"/>
          </w:divBdr>
        </w:div>
      </w:divsChild>
    </w:div>
    <w:div w:id="748842881">
      <w:bodyDiv w:val="1"/>
      <w:marLeft w:val="0"/>
      <w:marRight w:val="0"/>
      <w:marTop w:val="0"/>
      <w:marBottom w:val="0"/>
      <w:divBdr>
        <w:top w:val="none" w:sz="0" w:space="0" w:color="auto"/>
        <w:left w:val="none" w:sz="0" w:space="0" w:color="auto"/>
        <w:bottom w:val="none" w:sz="0" w:space="0" w:color="auto"/>
        <w:right w:val="none" w:sz="0" w:space="0" w:color="auto"/>
      </w:divBdr>
    </w:div>
    <w:div w:id="749542033">
      <w:bodyDiv w:val="1"/>
      <w:marLeft w:val="0"/>
      <w:marRight w:val="0"/>
      <w:marTop w:val="0"/>
      <w:marBottom w:val="0"/>
      <w:divBdr>
        <w:top w:val="none" w:sz="0" w:space="0" w:color="auto"/>
        <w:left w:val="none" w:sz="0" w:space="0" w:color="auto"/>
        <w:bottom w:val="none" w:sz="0" w:space="0" w:color="auto"/>
        <w:right w:val="none" w:sz="0" w:space="0" w:color="auto"/>
      </w:divBdr>
    </w:div>
    <w:div w:id="789203451">
      <w:bodyDiv w:val="1"/>
      <w:marLeft w:val="0"/>
      <w:marRight w:val="0"/>
      <w:marTop w:val="0"/>
      <w:marBottom w:val="0"/>
      <w:divBdr>
        <w:top w:val="none" w:sz="0" w:space="0" w:color="auto"/>
        <w:left w:val="none" w:sz="0" w:space="0" w:color="auto"/>
        <w:bottom w:val="none" w:sz="0" w:space="0" w:color="auto"/>
        <w:right w:val="none" w:sz="0" w:space="0" w:color="auto"/>
      </w:divBdr>
      <w:divsChild>
        <w:div w:id="1296911840">
          <w:marLeft w:val="1080"/>
          <w:marRight w:val="0"/>
          <w:marTop w:val="100"/>
          <w:marBottom w:val="0"/>
          <w:divBdr>
            <w:top w:val="none" w:sz="0" w:space="0" w:color="auto"/>
            <w:left w:val="none" w:sz="0" w:space="0" w:color="auto"/>
            <w:bottom w:val="none" w:sz="0" w:space="0" w:color="auto"/>
            <w:right w:val="none" w:sz="0" w:space="0" w:color="auto"/>
          </w:divBdr>
        </w:div>
      </w:divsChild>
    </w:div>
    <w:div w:id="797066277">
      <w:bodyDiv w:val="1"/>
      <w:marLeft w:val="0"/>
      <w:marRight w:val="0"/>
      <w:marTop w:val="0"/>
      <w:marBottom w:val="0"/>
      <w:divBdr>
        <w:top w:val="none" w:sz="0" w:space="0" w:color="auto"/>
        <w:left w:val="none" w:sz="0" w:space="0" w:color="auto"/>
        <w:bottom w:val="none" w:sz="0" w:space="0" w:color="auto"/>
        <w:right w:val="none" w:sz="0" w:space="0" w:color="auto"/>
      </w:divBdr>
    </w:div>
    <w:div w:id="813916530">
      <w:bodyDiv w:val="1"/>
      <w:marLeft w:val="0"/>
      <w:marRight w:val="0"/>
      <w:marTop w:val="0"/>
      <w:marBottom w:val="0"/>
      <w:divBdr>
        <w:top w:val="none" w:sz="0" w:space="0" w:color="auto"/>
        <w:left w:val="none" w:sz="0" w:space="0" w:color="auto"/>
        <w:bottom w:val="none" w:sz="0" w:space="0" w:color="auto"/>
        <w:right w:val="none" w:sz="0" w:space="0" w:color="auto"/>
      </w:divBdr>
    </w:div>
    <w:div w:id="823619392">
      <w:bodyDiv w:val="1"/>
      <w:marLeft w:val="0"/>
      <w:marRight w:val="0"/>
      <w:marTop w:val="0"/>
      <w:marBottom w:val="0"/>
      <w:divBdr>
        <w:top w:val="none" w:sz="0" w:space="0" w:color="auto"/>
        <w:left w:val="none" w:sz="0" w:space="0" w:color="auto"/>
        <w:bottom w:val="none" w:sz="0" w:space="0" w:color="auto"/>
        <w:right w:val="none" w:sz="0" w:space="0" w:color="auto"/>
      </w:divBdr>
    </w:div>
    <w:div w:id="848372888">
      <w:bodyDiv w:val="1"/>
      <w:marLeft w:val="0"/>
      <w:marRight w:val="0"/>
      <w:marTop w:val="0"/>
      <w:marBottom w:val="0"/>
      <w:divBdr>
        <w:top w:val="none" w:sz="0" w:space="0" w:color="auto"/>
        <w:left w:val="none" w:sz="0" w:space="0" w:color="auto"/>
        <w:bottom w:val="none" w:sz="0" w:space="0" w:color="auto"/>
        <w:right w:val="none" w:sz="0" w:space="0" w:color="auto"/>
      </w:divBdr>
    </w:div>
    <w:div w:id="859709863">
      <w:bodyDiv w:val="1"/>
      <w:marLeft w:val="0"/>
      <w:marRight w:val="0"/>
      <w:marTop w:val="0"/>
      <w:marBottom w:val="0"/>
      <w:divBdr>
        <w:top w:val="none" w:sz="0" w:space="0" w:color="auto"/>
        <w:left w:val="none" w:sz="0" w:space="0" w:color="auto"/>
        <w:bottom w:val="none" w:sz="0" w:space="0" w:color="auto"/>
        <w:right w:val="none" w:sz="0" w:space="0" w:color="auto"/>
      </w:divBdr>
    </w:div>
    <w:div w:id="947813678">
      <w:bodyDiv w:val="1"/>
      <w:marLeft w:val="0"/>
      <w:marRight w:val="0"/>
      <w:marTop w:val="0"/>
      <w:marBottom w:val="0"/>
      <w:divBdr>
        <w:top w:val="none" w:sz="0" w:space="0" w:color="auto"/>
        <w:left w:val="none" w:sz="0" w:space="0" w:color="auto"/>
        <w:bottom w:val="none" w:sz="0" w:space="0" w:color="auto"/>
        <w:right w:val="none" w:sz="0" w:space="0" w:color="auto"/>
      </w:divBdr>
      <w:divsChild>
        <w:div w:id="1348487938">
          <w:marLeft w:val="1080"/>
          <w:marRight w:val="0"/>
          <w:marTop w:val="100"/>
          <w:marBottom w:val="0"/>
          <w:divBdr>
            <w:top w:val="none" w:sz="0" w:space="0" w:color="auto"/>
            <w:left w:val="none" w:sz="0" w:space="0" w:color="auto"/>
            <w:bottom w:val="none" w:sz="0" w:space="0" w:color="auto"/>
            <w:right w:val="none" w:sz="0" w:space="0" w:color="auto"/>
          </w:divBdr>
        </w:div>
      </w:divsChild>
    </w:div>
    <w:div w:id="1016156035">
      <w:bodyDiv w:val="1"/>
      <w:marLeft w:val="0"/>
      <w:marRight w:val="0"/>
      <w:marTop w:val="0"/>
      <w:marBottom w:val="0"/>
      <w:divBdr>
        <w:top w:val="none" w:sz="0" w:space="0" w:color="auto"/>
        <w:left w:val="none" w:sz="0" w:space="0" w:color="auto"/>
        <w:bottom w:val="none" w:sz="0" w:space="0" w:color="auto"/>
        <w:right w:val="none" w:sz="0" w:space="0" w:color="auto"/>
      </w:divBdr>
    </w:div>
    <w:div w:id="1048989911">
      <w:bodyDiv w:val="1"/>
      <w:marLeft w:val="0"/>
      <w:marRight w:val="0"/>
      <w:marTop w:val="0"/>
      <w:marBottom w:val="0"/>
      <w:divBdr>
        <w:top w:val="none" w:sz="0" w:space="0" w:color="auto"/>
        <w:left w:val="none" w:sz="0" w:space="0" w:color="auto"/>
        <w:bottom w:val="none" w:sz="0" w:space="0" w:color="auto"/>
        <w:right w:val="none" w:sz="0" w:space="0" w:color="auto"/>
      </w:divBdr>
    </w:div>
    <w:div w:id="1056006079">
      <w:bodyDiv w:val="1"/>
      <w:marLeft w:val="0"/>
      <w:marRight w:val="0"/>
      <w:marTop w:val="0"/>
      <w:marBottom w:val="0"/>
      <w:divBdr>
        <w:top w:val="none" w:sz="0" w:space="0" w:color="auto"/>
        <w:left w:val="none" w:sz="0" w:space="0" w:color="auto"/>
        <w:bottom w:val="none" w:sz="0" w:space="0" w:color="auto"/>
        <w:right w:val="none" w:sz="0" w:space="0" w:color="auto"/>
      </w:divBdr>
    </w:div>
    <w:div w:id="1159344804">
      <w:bodyDiv w:val="1"/>
      <w:marLeft w:val="0"/>
      <w:marRight w:val="0"/>
      <w:marTop w:val="0"/>
      <w:marBottom w:val="0"/>
      <w:divBdr>
        <w:top w:val="none" w:sz="0" w:space="0" w:color="auto"/>
        <w:left w:val="none" w:sz="0" w:space="0" w:color="auto"/>
        <w:bottom w:val="none" w:sz="0" w:space="0" w:color="auto"/>
        <w:right w:val="none" w:sz="0" w:space="0" w:color="auto"/>
      </w:divBdr>
      <w:divsChild>
        <w:div w:id="684088549">
          <w:marLeft w:val="446"/>
          <w:marRight w:val="0"/>
          <w:marTop w:val="0"/>
          <w:marBottom w:val="0"/>
          <w:divBdr>
            <w:top w:val="none" w:sz="0" w:space="0" w:color="auto"/>
            <w:left w:val="none" w:sz="0" w:space="0" w:color="auto"/>
            <w:bottom w:val="none" w:sz="0" w:space="0" w:color="auto"/>
            <w:right w:val="none" w:sz="0" w:space="0" w:color="auto"/>
          </w:divBdr>
        </w:div>
        <w:div w:id="1035734696">
          <w:marLeft w:val="446"/>
          <w:marRight w:val="0"/>
          <w:marTop w:val="0"/>
          <w:marBottom w:val="0"/>
          <w:divBdr>
            <w:top w:val="none" w:sz="0" w:space="0" w:color="auto"/>
            <w:left w:val="none" w:sz="0" w:space="0" w:color="auto"/>
            <w:bottom w:val="none" w:sz="0" w:space="0" w:color="auto"/>
            <w:right w:val="none" w:sz="0" w:space="0" w:color="auto"/>
          </w:divBdr>
        </w:div>
        <w:div w:id="1362779793">
          <w:marLeft w:val="446"/>
          <w:marRight w:val="0"/>
          <w:marTop w:val="0"/>
          <w:marBottom w:val="0"/>
          <w:divBdr>
            <w:top w:val="none" w:sz="0" w:space="0" w:color="auto"/>
            <w:left w:val="none" w:sz="0" w:space="0" w:color="auto"/>
            <w:bottom w:val="none" w:sz="0" w:space="0" w:color="auto"/>
            <w:right w:val="none" w:sz="0" w:space="0" w:color="auto"/>
          </w:divBdr>
        </w:div>
      </w:divsChild>
    </w:div>
    <w:div w:id="1175463088">
      <w:bodyDiv w:val="1"/>
      <w:marLeft w:val="0"/>
      <w:marRight w:val="0"/>
      <w:marTop w:val="0"/>
      <w:marBottom w:val="0"/>
      <w:divBdr>
        <w:top w:val="none" w:sz="0" w:space="0" w:color="auto"/>
        <w:left w:val="none" w:sz="0" w:space="0" w:color="auto"/>
        <w:bottom w:val="none" w:sz="0" w:space="0" w:color="auto"/>
        <w:right w:val="none" w:sz="0" w:space="0" w:color="auto"/>
      </w:divBdr>
    </w:div>
    <w:div w:id="1203714111">
      <w:bodyDiv w:val="1"/>
      <w:marLeft w:val="0"/>
      <w:marRight w:val="0"/>
      <w:marTop w:val="0"/>
      <w:marBottom w:val="0"/>
      <w:divBdr>
        <w:top w:val="none" w:sz="0" w:space="0" w:color="auto"/>
        <w:left w:val="none" w:sz="0" w:space="0" w:color="auto"/>
        <w:bottom w:val="none" w:sz="0" w:space="0" w:color="auto"/>
        <w:right w:val="none" w:sz="0" w:space="0" w:color="auto"/>
      </w:divBdr>
    </w:div>
    <w:div w:id="1238982330">
      <w:bodyDiv w:val="1"/>
      <w:marLeft w:val="0"/>
      <w:marRight w:val="0"/>
      <w:marTop w:val="0"/>
      <w:marBottom w:val="0"/>
      <w:divBdr>
        <w:top w:val="none" w:sz="0" w:space="0" w:color="auto"/>
        <w:left w:val="none" w:sz="0" w:space="0" w:color="auto"/>
        <w:bottom w:val="none" w:sz="0" w:space="0" w:color="auto"/>
        <w:right w:val="none" w:sz="0" w:space="0" w:color="auto"/>
      </w:divBdr>
    </w:div>
    <w:div w:id="1259826940">
      <w:bodyDiv w:val="1"/>
      <w:marLeft w:val="0"/>
      <w:marRight w:val="0"/>
      <w:marTop w:val="0"/>
      <w:marBottom w:val="0"/>
      <w:divBdr>
        <w:top w:val="none" w:sz="0" w:space="0" w:color="auto"/>
        <w:left w:val="none" w:sz="0" w:space="0" w:color="auto"/>
        <w:bottom w:val="none" w:sz="0" w:space="0" w:color="auto"/>
        <w:right w:val="none" w:sz="0" w:space="0" w:color="auto"/>
      </w:divBdr>
    </w:div>
    <w:div w:id="1300918348">
      <w:bodyDiv w:val="1"/>
      <w:marLeft w:val="0"/>
      <w:marRight w:val="0"/>
      <w:marTop w:val="0"/>
      <w:marBottom w:val="0"/>
      <w:divBdr>
        <w:top w:val="none" w:sz="0" w:space="0" w:color="auto"/>
        <w:left w:val="none" w:sz="0" w:space="0" w:color="auto"/>
        <w:bottom w:val="none" w:sz="0" w:space="0" w:color="auto"/>
        <w:right w:val="none" w:sz="0" w:space="0" w:color="auto"/>
      </w:divBdr>
      <w:divsChild>
        <w:div w:id="344286444">
          <w:marLeft w:val="0"/>
          <w:marRight w:val="0"/>
          <w:marTop w:val="0"/>
          <w:marBottom w:val="0"/>
          <w:divBdr>
            <w:top w:val="none" w:sz="0" w:space="0" w:color="auto"/>
            <w:left w:val="none" w:sz="0" w:space="0" w:color="auto"/>
            <w:bottom w:val="none" w:sz="0" w:space="0" w:color="auto"/>
            <w:right w:val="none" w:sz="0" w:space="0" w:color="auto"/>
          </w:divBdr>
        </w:div>
        <w:div w:id="549801275">
          <w:marLeft w:val="0"/>
          <w:marRight w:val="0"/>
          <w:marTop w:val="0"/>
          <w:marBottom w:val="0"/>
          <w:divBdr>
            <w:top w:val="none" w:sz="0" w:space="0" w:color="auto"/>
            <w:left w:val="none" w:sz="0" w:space="0" w:color="auto"/>
            <w:bottom w:val="none" w:sz="0" w:space="0" w:color="auto"/>
            <w:right w:val="none" w:sz="0" w:space="0" w:color="auto"/>
          </w:divBdr>
        </w:div>
        <w:div w:id="856651538">
          <w:marLeft w:val="0"/>
          <w:marRight w:val="0"/>
          <w:marTop w:val="0"/>
          <w:marBottom w:val="0"/>
          <w:divBdr>
            <w:top w:val="none" w:sz="0" w:space="0" w:color="auto"/>
            <w:left w:val="none" w:sz="0" w:space="0" w:color="auto"/>
            <w:bottom w:val="none" w:sz="0" w:space="0" w:color="auto"/>
            <w:right w:val="none" w:sz="0" w:space="0" w:color="auto"/>
          </w:divBdr>
        </w:div>
        <w:div w:id="969938378">
          <w:marLeft w:val="0"/>
          <w:marRight w:val="0"/>
          <w:marTop w:val="0"/>
          <w:marBottom w:val="0"/>
          <w:divBdr>
            <w:top w:val="none" w:sz="0" w:space="0" w:color="auto"/>
            <w:left w:val="none" w:sz="0" w:space="0" w:color="auto"/>
            <w:bottom w:val="none" w:sz="0" w:space="0" w:color="auto"/>
            <w:right w:val="none" w:sz="0" w:space="0" w:color="auto"/>
          </w:divBdr>
        </w:div>
        <w:div w:id="1445344731">
          <w:marLeft w:val="0"/>
          <w:marRight w:val="0"/>
          <w:marTop w:val="0"/>
          <w:marBottom w:val="0"/>
          <w:divBdr>
            <w:top w:val="none" w:sz="0" w:space="0" w:color="auto"/>
            <w:left w:val="none" w:sz="0" w:space="0" w:color="auto"/>
            <w:bottom w:val="none" w:sz="0" w:space="0" w:color="auto"/>
            <w:right w:val="none" w:sz="0" w:space="0" w:color="auto"/>
          </w:divBdr>
        </w:div>
        <w:div w:id="1682584471">
          <w:marLeft w:val="0"/>
          <w:marRight w:val="0"/>
          <w:marTop w:val="0"/>
          <w:marBottom w:val="0"/>
          <w:divBdr>
            <w:top w:val="none" w:sz="0" w:space="0" w:color="auto"/>
            <w:left w:val="none" w:sz="0" w:space="0" w:color="auto"/>
            <w:bottom w:val="none" w:sz="0" w:space="0" w:color="auto"/>
            <w:right w:val="none" w:sz="0" w:space="0" w:color="auto"/>
          </w:divBdr>
        </w:div>
        <w:div w:id="2123694286">
          <w:marLeft w:val="0"/>
          <w:marRight w:val="0"/>
          <w:marTop w:val="0"/>
          <w:marBottom w:val="0"/>
          <w:divBdr>
            <w:top w:val="none" w:sz="0" w:space="0" w:color="auto"/>
            <w:left w:val="none" w:sz="0" w:space="0" w:color="auto"/>
            <w:bottom w:val="none" w:sz="0" w:space="0" w:color="auto"/>
            <w:right w:val="none" w:sz="0" w:space="0" w:color="auto"/>
          </w:divBdr>
        </w:div>
        <w:div w:id="2131043338">
          <w:marLeft w:val="0"/>
          <w:marRight w:val="0"/>
          <w:marTop w:val="0"/>
          <w:marBottom w:val="0"/>
          <w:divBdr>
            <w:top w:val="none" w:sz="0" w:space="0" w:color="auto"/>
            <w:left w:val="none" w:sz="0" w:space="0" w:color="auto"/>
            <w:bottom w:val="none" w:sz="0" w:space="0" w:color="auto"/>
            <w:right w:val="none" w:sz="0" w:space="0" w:color="auto"/>
          </w:divBdr>
        </w:div>
      </w:divsChild>
    </w:div>
    <w:div w:id="1320035545">
      <w:bodyDiv w:val="1"/>
      <w:marLeft w:val="0"/>
      <w:marRight w:val="0"/>
      <w:marTop w:val="0"/>
      <w:marBottom w:val="0"/>
      <w:divBdr>
        <w:top w:val="none" w:sz="0" w:space="0" w:color="auto"/>
        <w:left w:val="none" w:sz="0" w:space="0" w:color="auto"/>
        <w:bottom w:val="none" w:sz="0" w:space="0" w:color="auto"/>
        <w:right w:val="none" w:sz="0" w:space="0" w:color="auto"/>
      </w:divBdr>
      <w:divsChild>
        <w:div w:id="2101676715">
          <w:marLeft w:val="446"/>
          <w:marRight w:val="0"/>
          <w:marTop w:val="0"/>
          <w:marBottom w:val="0"/>
          <w:divBdr>
            <w:top w:val="none" w:sz="0" w:space="0" w:color="auto"/>
            <w:left w:val="none" w:sz="0" w:space="0" w:color="auto"/>
            <w:bottom w:val="none" w:sz="0" w:space="0" w:color="auto"/>
            <w:right w:val="none" w:sz="0" w:space="0" w:color="auto"/>
          </w:divBdr>
        </w:div>
      </w:divsChild>
    </w:div>
    <w:div w:id="1369258403">
      <w:bodyDiv w:val="1"/>
      <w:marLeft w:val="0"/>
      <w:marRight w:val="0"/>
      <w:marTop w:val="0"/>
      <w:marBottom w:val="0"/>
      <w:divBdr>
        <w:top w:val="none" w:sz="0" w:space="0" w:color="auto"/>
        <w:left w:val="none" w:sz="0" w:space="0" w:color="auto"/>
        <w:bottom w:val="none" w:sz="0" w:space="0" w:color="auto"/>
        <w:right w:val="none" w:sz="0" w:space="0" w:color="auto"/>
      </w:divBdr>
    </w:div>
    <w:div w:id="1420834142">
      <w:bodyDiv w:val="1"/>
      <w:marLeft w:val="0"/>
      <w:marRight w:val="0"/>
      <w:marTop w:val="0"/>
      <w:marBottom w:val="0"/>
      <w:divBdr>
        <w:top w:val="none" w:sz="0" w:space="0" w:color="auto"/>
        <w:left w:val="none" w:sz="0" w:space="0" w:color="auto"/>
        <w:bottom w:val="none" w:sz="0" w:space="0" w:color="auto"/>
        <w:right w:val="none" w:sz="0" w:space="0" w:color="auto"/>
      </w:divBdr>
    </w:div>
    <w:div w:id="1454863169">
      <w:bodyDiv w:val="1"/>
      <w:marLeft w:val="0"/>
      <w:marRight w:val="0"/>
      <w:marTop w:val="0"/>
      <w:marBottom w:val="0"/>
      <w:divBdr>
        <w:top w:val="none" w:sz="0" w:space="0" w:color="auto"/>
        <w:left w:val="none" w:sz="0" w:space="0" w:color="auto"/>
        <w:bottom w:val="none" w:sz="0" w:space="0" w:color="auto"/>
        <w:right w:val="none" w:sz="0" w:space="0" w:color="auto"/>
      </w:divBdr>
      <w:divsChild>
        <w:div w:id="10191">
          <w:marLeft w:val="0"/>
          <w:marRight w:val="0"/>
          <w:marTop w:val="0"/>
          <w:marBottom w:val="0"/>
          <w:divBdr>
            <w:top w:val="none" w:sz="0" w:space="0" w:color="auto"/>
            <w:left w:val="none" w:sz="0" w:space="0" w:color="auto"/>
            <w:bottom w:val="none" w:sz="0" w:space="0" w:color="auto"/>
            <w:right w:val="none" w:sz="0" w:space="0" w:color="auto"/>
          </w:divBdr>
          <w:divsChild>
            <w:div w:id="1360593400">
              <w:marLeft w:val="0"/>
              <w:marRight w:val="0"/>
              <w:marTop w:val="0"/>
              <w:marBottom w:val="0"/>
              <w:divBdr>
                <w:top w:val="none" w:sz="0" w:space="0" w:color="auto"/>
                <w:left w:val="none" w:sz="0" w:space="0" w:color="auto"/>
                <w:bottom w:val="none" w:sz="0" w:space="0" w:color="auto"/>
                <w:right w:val="none" w:sz="0" w:space="0" w:color="auto"/>
              </w:divBdr>
            </w:div>
          </w:divsChild>
        </w:div>
        <w:div w:id="22486210">
          <w:marLeft w:val="0"/>
          <w:marRight w:val="0"/>
          <w:marTop w:val="0"/>
          <w:marBottom w:val="0"/>
          <w:divBdr>
            <w:top w:val="none" w:sz="0" w:space="0" w:color="auto"/>
            <w:left w:val="none" w:sz="0" w:space="0" w:color="auto"/>
            <w:bottom w:val="none" w:sz="0" w:space="0" w:color="auto"/>
            <w:right w:val="none" w:sz="0" w:space="0" w:color="auto"/>
          </w:divBdr>
          <w:divsChild>
            <w:div w:id="1746145711">
              <w:marLeft w:val="0"/>
              <w:marRight w:val="0"/>
              <w:marTop w:val="0"/>
              <w:marBottom w:val="0"/>
              <w:divBdr>
                <w:top w:val="none" w:sz="0" w:space="0" w:color="auto"/>
                <w:left w:val="none" w:sz="0" w:space="0" w:color="auto"/>
                <w:bottom w:val="none" w:sz="0" w:space="0" w:color="auto"/>
                <w:right w:val="none" w:sz="0" w:space="0" w:color="auto"/>
              </w:divBdr>
            </w:div>
          </w:divsChild>
        </w:div>
        <w:div w:id="24254129">
          <w:marLeft w:val="0"/>
          <w:marRight w:val="0"/>
          <w:marTop w:val="0"/>
          <w:marBottom w:val="0"/>
          <w:divBdr>
            <w:top w:val="none" w:sz="0" w:space="0" w:color="auto"/>
            <w:left w:val="none" w:sz="0" w:space="0" w:color="auto"/>
            <w:bottom w:val="none" w:sz="0" w:space="0" w:color="auto"/>
            <w:right w:val="none" w:sz="0" w:space="0" w:color="auto"/>
          </w:divBdr>
          <w:divsChild>
            <w:div w:id="1533030010">
              <w:marLeft w:val="0"/>
              <w:marRight w:val="0"/>
              <w:marTop w:val="0"/>
              <w:marBottom w:val="0"/>
              <w:divBdr>
                <w:top w:val="none" w:sz="0" w:space="0" w:color="auto"/>
                <w:left w:val="none" w:sz="0" w:space="0" w:color="auto"/>
                <w:bottom w:val="none" w:sz="0" w:space="0" w:color="auto"/>
                <w:right w:val="none" w:sz="0" w:space="0" w:color="auto"/>
              </w:divBdr>
            </w:div>
          </w:divsChild>
        </w:div>
        <w:div w:id="27415920">
          <w:marLeft w:val="0"/>
          <w:marRight w:val="0"/>
          <w:marTop w:val="0"/>
          <w:marBottom w:val="0"/>
          <w:divBdr>
            <w:top w:val="none" w:sz="0" w:space="0" w:color="auto"/>
            <w:left w:val="none" w:sz="0" w:space="0" w:color="auto"/>
            <w:bottom w:val="none" w:sz="0" w:space="0" w:color="auto"/>
            <w:right w:val="none" w:sz="0" w:space="0" w:color="auto"/>
          </w:divBdr>
          <w:divsChild>
            <w:div w:id="1217429319">
              <w:marLeft w:val="0"/>
              <w:marRight w:val="0"/>
              <w:marTop w:val="0"/>
              <w:marBottom w:val="0"/>
              <w:divBdr>
                <w:top w:val="none" w:sz="0" w:space="0" w:color="auto"/>
                <w:left w:val="none" w:sz="0" w:space="0" w:color="auto"/>
                <w:bottom w:val="none" w:sz="0" w:space="0" w:color="auto"/>
                <w:right w:val="none" w:sz="0" w:space="0" w:color="auto"/>
              </w:divBdr>
            </w:div>
          </w:divsChild>
        </w:div>
        <w:div w:id="43873022">
          <w:marLeft w:val="0"/>
          <w:marRight w:val="0"/>
          <w:marTop w:val="0"/>
          <w:marBottom w:val="0"/>
          <w:divBdr>
            <w:top w:val="none" w:sz="0" w:space="0" w:color="auto"/>
            <w:left w:val="none" w:sz="0" w:space="0" w:color="auto"/>
            <w:bottom w:val="none" w:sz="0" w:space="0" w:color="auto"/>
            <w:right w:val="none" w:sz="0" w:space="0" w:color="auto"/>
          </w:divBdr>
          <w:divsChild>
            <w:div w:id="330374176">
              <w:marLeft w:val="0"/>
              <w:marRight w:val="0"/>
              <w:marTop w:val="0"/>
              <w:marBottom w:val="0"/>
              <w:divBdr>
                <w:top w:val="none" w:sz="0" w:space="0" w:color="auto"/>
                <w:left w:val="none" w:sz="0" w:space="0" w:color="auto"/>
                <w:bottom w:val="none" w:sz="0" w:space="0" w:color="auto"/>
                <w:right w:val="none" w:sz="0" w:space="0" w:color="auto"/>
              </w:divBdr>
            </w:div>
          </w:divsChild>
        </w:div>
        <w:div w:id="44182572">
          <w:marLeft w:val="0"/>
          <w:marRight w:val="0"/>
          <w:marTop w:val="0"/>
          <w:marBottom w:val="0"/>
          <w:divBdr>
            <w:top w:val="none" w:sz="0" w:space="0" w:color="auto"/>
            <w:left w:val="none" w:sz="0" w:space="0" w:color="auto"/>
            <w:bottom w:val="none" w:sz="0" w:space="0" w:color="auto"/>
            <w:right w:val="none" w:sz="0" w:space="0" w:color="auto"/>
          </w:divBdr>
          <w:divsChild>
            <w:div w:id="698166962">
              <w:marLeft w:val="0"/>
              <w:marRight w:val="0"/>
              <w:marTop w:val="0"/>
              <w:marBottom w:val="0"/>
              <w:divBdr>
                <w:top w:val="none" w:sz="0" w:space="0" w:color="auto"/>
                <w:left w:val="none" w:sz="0" w:space="0" w:color="auto"/>
                <w:bottom w:val="none" w:sz="0" w:space="0" w:color="auto"/>
                <w:right w:val="none" w:sz="0" w:space="0" w:color="auto"/>
              </w:divBdr>
            </w:div>
          </w:divsChild>
        </w:div>
        <w:div w:id="89593156">
          <w:marLeft w:val="0"/>
          <w:marRight w:val="0"/>
          <w:marTop w:val="0"/>
          <w:marBottom w:val="0"/>
          <w:divBdr>
            <w:top w:val="none" w:sz="0" w:space="0" w:color="auto"/>
            <w:left w:val="none" w:sz="0" w:space="0" w:color="auto"/>
            <w:bottom w:val="none" w:sz="0" w:space="0" w:color="auto"/>
            <w:right w:val="none" w:sz="0" w:space="0" w:color="auto"/>
          </w:divBdr>
          <w:divsChild>
            <w:div w:id="1296714977">
              <w:marLeft w:val="0"/>
              <w:marRight w:val="0"/>
              <w:marTop w:val="0"/>
              <w:marBottom w:val="0"/>
              <w:divBdr>
                <w:top w:val="none" w:sz="0" w:space="0" w:color="auto"/>
                <w:left w:val="none" w:sz="0" w:space="0" w:color="auto"/>
                <w:bottom w:val="none" w:sz="0" w:space="0" w:color="auto"/>
                <w:right w:val="none" w:sz="0" w:space="0" w:color="auto"/>
              </w:divBdr>
            </w:div>
          </w:divsChild>
        </w:div>
        <w:div w:id="93014579">
          <w:marLeft w:val="0"/>
          <w:marRight w:val="0"/>
          <w:marTop w:val="0"/>
          <w:marBottom w:val="0"/>
          <w:divBdr>
            <w:top w:val="none" w:sz="0" w:space="0" w:color="auto"/>
            <w:left w:val="none" w:sz="0" w:space="0" w:color="auto"/>
            <w:bottom w:val="none" w:sz="0" w:space="0" w:color="auto"/>
            <w:right w:val="none" w:sz="0" w:space="0" w:color="auto"/>
          </w:divBdr>
          <w:divsChild>
            <w:div w:id="16855911">
              <w:marLeft w:val="0"/>
              <w:marRight w:val="0"/>
              <w:marTop w:val="0"/>
              <w:marBottom w:val="0"/>
              <w:divBdr>
                <w:top w:val="none" w:sz="0" w:space="0" w:color="auto"/>
                <w:left w:val="none" w:sz="0" w:space="0" w:color="auto"/>
                <w:bottom w:val="none" w:sz="0" w:space="0" w:color="auto"/>
                <w:right w:val="none" w:sz="0" w:space="0" w:color="auto"/>
              </w:divBdr>
            </w:div>
          </w:divsChild>
        </w:div>
        <w:div w:id="109251340">
          <w:marLeft w:val="0"/>
          <w:marRight w:val="0"/>
          <w:marTop w:val="0"/>
          <w:marBottom w:val="0"/>
          <w:divBdr>
            <w:top w:val="none" w:sz="0" w:space="0" w:color="auto"/>
            <w:left w:val="none" w:sz="0" w:space="0" w:color="auto"/>
            <w:bottom w:val="none" w:sz="0" w:space="0" w:color="auto"/>
            <w:right w:val="none" w:sz="0" w:space="0" w:color="auto"/>
          </w:divBdr>
          <w:divsChild>
            <w:div w:id="355692919">
              <w:marLeft w:val="0"/>
              <w:marRight w:val="0"/>
              <w:marTop w:val="0"/>
              <w:marBottom w:val="0"/>
              <w:divBdr>
                <w:top w:val="none" w:sz="0" w:space="0" w:color="auto"/>
                <w:left w:val="none" w:sz="0" w:space="0" w:color="auto"/>
                <w:bottom w:val="none" w:sz="0" w:space="0" w:color="auto"/>
                <w:right w:val="none" w:sz="0" w:space="0" w:color="auto"/>
              </w:divBdr>
            </w:div>
          </w:divsChild>
        </w:div>
        <w:div w:id="111096495">
          <w:marLeft w:val="0"/>
          <w:marRight w:val="0"/>
          <w:marTop w:val="0"/>
          <w:marBottom w:val="0"/>
          <w:divBdr>
            <w:top w:val="none" w:sz="0" w:space="0" w:color="auto"/>
            <w:left w:val="none" w:sz="0" w:space="0" w:color="auto"/>
            <w:bottom w:val="none" w:sz="0" w:space="0" w:color="auto"/>
            <w:right w:val="none" w:sz="0" w:space="0" w:color="auto"/>
          </w:divBdr>
          <w:divsChild>
            <w:div w:id="1699232719">
              <w:marLeft w:val="0"/>
              <w:marRight w:val="0"/>
              <w:marTop w:val="0"/>
              <w:marBottom w:val="0"/>
              <w:divBdr>
                <w:top w:val="none" w:sz="0" w:space="0" w:color="auto"/>
                <w:left w:val="none" w:sz="0" w:space="0" w:color="auto"/>
                <w:bottom w:val="none" w:sz="0" w:space="0" w:color="auto"/>
                <w:right w:val="none" w:sz="0" w:space="0" w:color="auto"/>
              </w:divBdr>
            </w:div>
          </w:divsChild>
        </w:div>
        <w:div w:id="121269825">
          <w:marLeft w:val="0"/>
          <w:marRight w:val="0"/>
          <w:marTop w:val="0"/>
          <w:marBottom w:val="0"/>
          <w:divBdr>
            <w:top w:val="none" w:sz="0" w:space="0" w:color="auto"/>
            <w:left w:val="none" w:sz="0" w:space="0" w:color="auto"/>
            <w:bottom w:val="none" w:sz="0" w:space="0" w:color="auto"/>
            <w:right w:val="none" w:sz="0" w:space="0" w:color="auto"/>
          </w:divBdr>
          <w:divsChild>
            <w:div w:id="208616152">
              <w:marLeft w:val="0"/>
              <w:marRight w:val="0"/>
              <w:marTop w:val="0"/>
              <w:marBottom w:val="0"/>
              <w:divBdr>
                <w:top w:val="none" w:sz="0" w:space="0" w:color="auto"/>
                <w:left w:val="none" w:sz="0" w:space="0" w:color="auto"/>
                <w:bottom w:val="none" w:sz="0" w:space="0" w:color="auto"/>
                <w:right w:val="none" w:sz="0" w:space="0" w:color="auto"/>
              </w:divBdr>
            </w:div>
          </w:divsChild>
        </w:div>
        <w:div w:id="145126588">
          <w:marLeft w:val="0"/>
          <w:marRight w:val="0"/>
          <w:marTop w:val="0"/>
          <w:marBottom w:val="0"/>
          <w:divBdr>
            <w:top w:val="none" w:sz="0" w:space="0" w:color="auto"/>
            <w:left w:val="none" w:sz="0" w:space="0" w:color="auto"/>
            <w:bottom w:val="none" w:sz="0" w:space="0" w:color="auto"/>
            <w:right w:val="none" w:sz="0" w:space="0" w:color="auto"/>
          </w:divBdr>
          <w:divsChild>
            <w:div w:id="643042078">
              <w:marLeft w:val="0"/>
              <w:marRight w:val="0"/>
              <w:marTop w:val="0"/>
              <w:marBottom w:val="0"/>
              <w:divBdr>
                <w:top w:val="none" w:sz="0" w:space="0" w:color="auto"/>
                <w:left w:val="none" w:sz="0" w:space="0" w:color="auto"/>
                <w:bottom w:val="none" w:sz="0" w:space="0" w:color="auto"/>
                <w:right w:val="none" w:sz="0" w:space="0" w:color="auto"/>
              </w:divBdr>
            </w:div>
          </w:divsChild>
        </w:div>
        <w:div w:id="164782470">
          <w:marLeft w:val="0"/>
          <w:marRight w:val="0"/>
          <w:marTop w:val="0"/>
          <w:marBottom w:val="0"/>
          <w:divBdr>
            <w:top w:val="none" w:sz="0" w:space="0" w:color="auto"/>
            <w:left w:val="none" w:sz="0" w:space="0" w:color="auto"/>
            <w:bottom w:val="none" w:sz="0" w:space="0" w:color="auto"/>
            <w:right w:val="none" w:sz="0" w:space="0" w:color="auto"/>
          </w:divBdr>
          <w:divsChild>
            <w:div w:id="311444328">
              <w:marLeft w:val="0"/>
              <w:marRight w:val="0"/>
              <w:marTop w:val="0"/>
              <w:marBottom w:val="0"/>
              <w:divBdr>
                <w:top w:val="none" w:sz="0" w:space="0" w:color="auto"/>
                <w:left w:val="none" w:sz="0" w:space="0" w:color="auto"/>
                <w:bottom w:val="none" w:sz="0" w:space="0" w:color="auto"/>
                <w:right w:val="none" w:sz="0" w:space="0" w:color="auto"/>
              </w:divBdr>
            </w:div>
          </w:divsChild>
        </w:div>
        <w:div w:id="176432252">
          <w:marLeft w:val="0"/>
          <w:marRight w:val="0"/>
          <w:marTop w:val="0"/>
          <w:marBottom w:val="0"/>
          <w:divBdr>
            <w:top w:val="none" w:sz="0" w:space="0" w:color="auto"/>
            <w:left w:val="none" w:sz="0" w:space="0" w:color="auto"/>
            <w:bottom w:val="none" w:sz="0" w:space="0" w:color="auto"/>
            <w:right w:val="none" w:sz="0" w:space="0" w:color="auto"/>
          </w:divBdr>
          <w:divsChild>
            <w:div w:id="1237934063">
              <w:marLeft w:val="0"/>
              <w:marRight w:val="0"/>
              <w:marTop w:val="0"/>
              <w:marBottom w:val="0"/>
              <w:divBdr>
                <w:top w:val="none" w:sz="0" w:space="0" w:color="auto"/>
                <w:left w:val="none" w:sz="0" w:space="0" w:color="auto"/>
                <w:bottom w:val="none" w:sz="0" w:space="0" w:color="auto"/>
                <w:right w:val="none" w:sz="0" w:space="0" w:color="auto"/>
              </w:divBdr>
            </w:div>
          </w:divsChild>
        </w:div>
        <w:div w:id="176816830">
          <w:marLeft w:val="0"/>
          <w:marRight w:val="0"/>
          <w:marTop w:val="0"/>
          <w:marBottom w:val="0"/>
          <w:divBdr>
            <w:top w:val="none" w:sz="0" w:space="0" w:color="auto"/>
            <w:left w:val="none" w:sz="0" w:space="0" w:color="auto"/>
            <w:bottom w:val="none" w:sz="0" w:space="0" w:color="auto"/>
            <w:right w:val="none" w:sz="0" w:space="0" w:color="auto"/>
          </w:divBdr>
          <w:divsChild>
            <w:div w:id="1014305607">
              <w:marLeft w:val="0"/>
              <w:marRight w:val="0"/>
              <w:marTop w:val="0"/>
              <w:marBottom w:val="0"/>
              <w:divBdr>
                <w:top w:val="none" w:sz="0" w:space="0" w:color="auto"/>
                <w:left w:val="none" w:sz="0" w:space="0" w:color="auto"/>
                <w:bottom w:val="none" w:sz="0" w:space="0" w:color="auto"/>
                <w:right w:val="none" w:sz="0" w:space="0" w:color="auto"/>
              </w:divBdr>
            </w:div>
          </w:divsChild>
        </w:div>
        <w:div w:id="182136062">
          <w:marLeft w:val="0"/>
          <w:marRight w:val="0"/>
          <w:marTop w:val="0"/>
          <w:marBottom w:val="0"/>
          <w:divBdr>
            <w:top w:val="none" w:sz="0" w:space="0" w:color="auto"/>
            <w:left w:val="none" w:sz="0" w:space="0" w:color="auto"/>
            <w:bottom w:val="none" w:sz="0" w:space="0" w:color="auto"/>
            <w:right w:val="none" w:sz="0" w:space="0" w:color="auto"/>
          </w:divBdr>
          <w:divsChild>
            <w:div w:id="469708820">
              <w:marLeft w:val="0"/>
              <w:marRight w:val="0"/>
              <w:marTop w:val="0"/>
              <w:marBottom w:val="0"/>
              <w:divBdr>
                <w:top w:val="none" w:sz="0" w:space="0" w:color="auto"/>
                <w:left w:val="none" w:sz="0" w:space="0" w:color="auto"/>
                <w:bottom w:val="none" w:sz="0" w:space="0" w:color="auto"/>
                <w:right w:val="none" w:sz="0" w:space="0" w:color="auto"/>
              </w:divBdr>
            </w:div>
          </w:divsChild>
        </w:div>
        <w:div w:id="216818323">
          <w:marLeft w:val="0"/>
          <w:marRight w:val="0"/>
          <w:marTop w:val="0"/>
          <w:marBottom w:val="0"/>
          <w:divBdr>
            <w:top w:val="none" w:sz="0" w:space="0" w:color="auto"/>
            <w:left w:val="none" w:sz="0" w:space="0" w:color="auto"/>
            <w:bottom w:val="none" w:sz="0" w:space="0" w:color="auto"/>
            <w:right w:val="none" w:sz="0" w:space="0" w:color="auto"/>
          </w:divBdr>
          <w:divsChild>
            <w:div w:id="1190678430">
              <w:marLeft w:val="0"/>
              <w:marRight w:val="0"/>
              <w:marTop w:val="0"/>
              <w:marBottom w:val="0"/>
              <w:divBdr>
                <w:top w:val="none" w:sz="0" w:space="0" w:color="auto"/>
                <w:left w:val="none" w:sz="0" w:space="0" w:color="auto"/>
                <w:bottom w:val="none" w:sz="0" w:space="0" w:color="auto"/>
                <w:right w:val="none" w:sz="0" w:space="0" w:color="auto"/>
              </w:divBdr>
            </w:div>
          </w:divsChild>
        </w:div>
        <w:div w:id="217858001">
          <w:marLeft w:val="0"/>
          <w:marRight w:val="0"/>
          <w:marTop w:val="0"/>
          <w:marBottom w:val="0"/>
          <w:divBdr>
            <w:top w:val="none" w:sz="0" w:space="0" w:color="auto"/>
            <w:left w:val="none" w:sz="0" w:space="0" w:color="auto"/>
            <w:bottom w:val="none" w:sz="0" w:space="0" w:color="auto"/>
            <w:right w:val="none" w:sz="0" w:space="0" w:color="auto"/>
          </w:divBdr>
          <w:divsChild>
            <w:div w:id="1944460891">
              <w:marLeft w:val="0"/>
              <w:marRight w:val="0"/>
              <w:marTop w:val="0"/>
              <w:marBottom w:val="0"/>
              <w:divBdr>
                <w:top w:val="none" w:sz="0" w:space="0" w:color="auto"/>
                <w:left w:val="none" w:sz="0" w:space="0" w:color="auto"/>
                <w:bottom w:val="none" w:sz="0" w:space="0" w:color="auto"/>
                <w:right w:val="none" w:sz="0" w:space="0" w:color="auto"/>
              </w:divBdr>
            </w:div>
          </w:divsChild>
        </w:div>
        <w:div w:id="225410452">
          <w:marLeft w:val="0"/>
          <w:marRight w:val="0"/>
          <w:marTop w:val="0"/>
          <w:marBottom w:val="0"/>
          <w:divBdr>
            <w:top w:val="none" w:sz="0" w:space="0" w:color="auto"/>
            <w:left w:val="none" w:sz="0" w:space="0" w:color="auto"/>
            <w:bottom w:val="none" w:sz="0" w:space="0" w:color="auto"/>
            <w:right w:val="none" w:sz="0" w:space="0" w:color="auto"/>
          </w:divBdr>
          <w:divsChild>
            <w:div w:id="479734947">
              <w:marLeft w:val="0"/>
              <w:marRight w:val="0"/>
              <w:marTop w:val="0"/>
              <w:marBottom w:val="0"/>
              <w:divBdr>
                <w:top w:val="none" w:sz="0" w:space="0" w:color="auto"/>
                <w:left w:val="none" w:sz="0" w:space="0" w:color="auto"/>
                <w:bottom w:val="none" w:sz="0" w:space="0" w:color="auto"/>
                <w:right w:val="none" w:sz="0" w:space="0" w:color="auto"/>
              </w:divBdr>
            </w:div>
          </w:divsChild>
        </w:div>
        <w:div w:id="237789717">
          <w:marLeft w:val="0"/>
          <w:marRight w:val="0"/>
          <w:marTop w:val="0"/>
          <w:marBottom w:val="0"/>
          <w:divBdr>
            <w:top w:val="none" w:sz="0" w:space="0" w:color="auto"/>
            <w:left w:val="none" w:sz="0" w:space="0" w:color="auto"/>
            <w:bottom w:val="none" w:sz="0" w:space="0" w:color="auto"/>
            <w:right w:val="none" w:sz="0" w:space="0" w:color="auto"/>
          </w:divBdr>
          <w:divsChild>
            <w:div w:id="668797873">
              <w:marLeft w:val="0"/>
              <w:marRight w:val="0"/>
              <w:marTop w:val="0"/>
              <w:marBottom w:val="0"/>
              <w:divBdr>
                <w:top w:val="none" w:sz="0" w:space="0" w:color="auto"/>
                <w:left w:val="none" w:sz="0" w:space="0" w:color="auto"/>
                <w:bottom w:val="none" w:sz="0" w:space="0" w:color="auto"/>
                <w:right w:val="none" w:sz="0" w:space="0" w:color="auto"/>
              </w:divBdr>
            </w:div>
          </w:divsChild>
        </w:div>
        <w:div w:id="237984140">
          <w:marLeft w:val="0"/>
          <w:marRight w:val="0"/>
          <w:marTop w:val="0"/>
          <w:marBottom w:val="0"/>
          <w:divBdr>
            <w:top w:val="none" w:sz="0" w:space="0" w:color="auto"/>
            <w:left w:val="none" w:sz="0" w:space="0" w:color="auto"/>
            <w:bottom w:val="none" w:sz="0" w:space="0" w:color="auto"/>
            <w:right w:val="none" w:sz="0" w:space="0" w:color="auto"/>
          </w:divBdr>
          <w:divsChild>
            <w:div w:id="1295137883">
              <w:marLeft w:val="0"/>
              <w:marRight w:val="0"/>
              <w:marTop w:val="0"/>
              <w:marBottom w:val="0"/>
              <w:divBdr>
                <w:top w:val="none" w:sz="0" w:space="0" w:color="auto"/>
                <w:left w:val="none" w:sz="0" w:space="0" w:color="auto"/>
                <w:bottom w:val="none" w:sz="0" w:space="0" w:color="auto"/>
                <w:right w:val="none" w:sz="0" w:space="0" w:color="auto"/>
              </w:divBdr>
            </w:div>
          </w:divsChild>
        </w:div>
        <w:div w:id="239407289">
          <w:marLeft w:val="0"/>
          <w:marRight w:val="0"/>
          <w:marTop w:val="0"/>
          <w:marBottom w:val="0"/>
          <w:divBdr>
            <w:top w:val="none" w:sz="0" w:space="0" w:color="auto"/>
            <w:left w:val="none" w:sz="0" w:space="0" w:color="auto"/>
            <w:bottom w:val="none" w:sz="0" w:space="0" w:color="auto"/>
            <w:right w:val="none" w:sz="0" w:space="0" w:color="auto"/>
          </w:divBdr>
          <w:divsChild>
            <w:div w:id="870151523">
              <w:marLeft w:val="0"/>
              <w:marRight w:val="0"/>
              <w:marTop w:val="0"/>
              <w:marBottom w:val="0"/>
              <w:divBdr>
                <w:top w:val="none" w:sz="0" w:space="0" w:color="auto"/>
                <w:left w:val="none" w:sz="0" w:space="0" w:color="auto"/>
                <w:bottom w:val="none" w:sz="0" w:space="0" w:color="auto"/>
                <w:right w:val="none" w:sz="0" w:space="0" w:color="auto"/>
              </w:divBdr>
            </w:div>
          </w:divsChild>
        </w:div>
        <w:div w:id="247033657">
          <w:marLeft w:val="0"/>
          <w:marRight w:val="0"/>
          <w:marTop w:val="0"/>
          <w:marBottom w:val="0"/>
          <w:divBdr>
            <w:top w:val="none" w:sz="0" w:space="0" w:color="auto"/>
            <w:left w:val="none" w:sz="0" w:space="0" w:color="auto"/>
            <w:bottom w:val="none" w:sz="0" w:space="0" w:color="auto"/>
            <w:right w:val="none" w:sz="0" w:space="0" w:color="auto"/>
          </w:divBdr>
          <w:divsChild>
            <w:div w:id="89199828">
              <w:marLeft w:val="0"/>
              <w:marRight w:val="0"/>
              <w:marTop w:val="0"/>
              <w:marBottom w:val="0"/>
              <w:divBdr>
                <w:top w:val="none" w:sz="0" w:space="0" w:color="auto"/>
                <w:left w:val="none" w:sz="0" w:space="0" w:color="auto"/>
                <w:bottom w:val="none" w:sz="0" w:space="0" w:color="auto"/>
                <w:right w:val="none" w:sz="0" w:space="0" w:color="auto"/>
              </w:divBdr>
            </w:div>
          </w:divsChild>
        </w:div>
        <w:div w:id="252208470">
          <w:marLeft w:val="0"/>
          <w:marRight w:val="0"/>
          <w:marTop w:val="0"/>
          <w:marBottom w:val="0"/>
          <w:divBdr>
            <w:top w:val="none" w:sz="0" w:space="0" w:color="auto"/>
            <w:left w:val="none" w:sz="0" w:space="0" w:color="auto"/>
            <w:bottom w:val="none" w:sz="0" w:space="0" w:color="auto"/>
            <w:right w:val="none" w:sz="0" w:space="0" w:color="auto"/>
          </w:divBdr>
          <w:divsChild>
            <w:div w:id="1096557958">
              <w:marLeft w:val="0"/>
              <w:marRight w:val="0"/>
              <w:marTop w:val="0"/>
              <w:marBottom w:val="0"/>
              <w:divBdr>
                <w:top w:val="none" w:sz="0" w:space="0" w:color="auto"/>
                <w:left w:val="none" w:sz="0" w:space="0" w:color="auto"/>
                <w:bottom w:val="none" w:sz="0" w:space="0" w:color="auto"/>
                <w:right w:val="none" w:sz="0" w:space="0" w:color="auto"/>
              </w:divBdr>
            </w:div>
          </w:divsChild>
        </w:div>
        <w:div w:id="281302669">
          <w:marLeft w:val="0"/>
          <w:marRight w:val="0"/>
          <w:marTop w:val="0"/>
          <w:marBottom w:val="0"/>
          <w:divBdr>
            <w:top w:val="none" w:sz="0" w:space="0" w:color="auto"/>
            <w:left w:val="none" w:sz="0" w:space="0" w:color="auto"/>
            <w:bottom w:val="none" w:sz="0" w:space="0" w:color="auto"/>
            <w:right w:val="none" w:sz="0" w:space="0" w:color="auto"/>
          </w:divBdr>
          <w:divsChild>
            <w:div w:id="197474368">
              <w:marLeft w:val="0"/>
              <w:marRight w:val="0"/>
              <w:marTop w:val="0"/>
              <w:marBottom w:val="0"/>
              <w:divBdr>
                <w:top w:val="none" w:sz="0" w:space="0" w:color="auto"/>
                <w:left w:val="none" w:sz="0" w:space="0" w:color="auto"/>
                <w:bottom w:val="none" w:sz="0" w:space="0" w:color="auto"/>
                <w:right w:val="none" w:sz="0" w:space="0" w:color="auto"/>
              </w:divBdr>
            </w:div>
          </w:divsChild>
        </w:div>
        <w:div w:id="318853938">
          <w:marLeft w:val="0"/>
          <w:marRight w:val="0"/>
          <w:marTop w:val="0"/>
          <w:marBottom w:val="0"/>
          <w:divBdr>
            <w:top w:val="none" w:sz="0" w:space="0" w:color="auto"/>
            <w:left w:val="none" w:sz="0" w:space="0" w:color="auto"/>
            <w:bottom w:val="none" w:sz="0" w:space="0" w:color="auto"/>
            <w:right w:val="none" w:sz="0" w:space="0" w:color="auto"/>
          </w:divBdr>
          <w:divsChild>
            <w:div w:id="471099897">
              <w:marLeft w:val="0"/>
              <w:marRight w:val="0"/>
              <w:marTop w:val="0"/>
              <w:marBottom w:val="0"/>
              <w:divBdr>
                <w:top w:val="none" w:sz="0" w:space="0" w:color="auto"/>
                <w:left w:val="none" w:sz="0" w:space="0" w:color="auto"/>
                <w:bottom w:val="none" w:sz="0" w:space="0" w:color="auto"/>
                <w:right w:val="none" w:sz="0" w:space="0" w:color="auto"/>
              </w:divBdr>
            </w:div>
          </w:divsChild>
        </w:div>
        <w:div w:id="325523410">
          <w:marLeft w:val="0"/>
          <w:marRight w:val="0"/>
          <w:marTop w:val="0"/>
          <w:marBottom w:val="0"/>
          <w:divBdr>
            <w:top w:val="none" w:sz="0" w:space="0" w:color="auto"/>
            <w:left w:val="none" w:sz="0" w:space="0" w:color="auto"/>
            <w:bottom w:val="none" w:sz="0" w:space="0" w:color="auto"/>
            <w:right w:val="none" w:sz="0" w:space="0" w:color="auto"/>
          </w:divBdr>
          <w:divsChild>
            <w:div w:id="1620333854">
              <w:marLeft w:val="0"/>
              <w:marRight w:val="0"/>
              <w:marTop w:val="0"/>
              <w:marBottom w:val="0"/>
              <w:divBdr>
                <w:top w:val="none" w:sz="0" w:space="0" w:color="auto"/>
                <w:left w:val="none" w:sz="0" w:space="0" w:color="auto"/>
                <w:bottom w:val="none" w:sz="0" w:space="0" w:color="auto"/>
                <w:right w:val="none" w:sz="0" w:space="0" w:color="auto"/>
              </w:divBdr>
            </w:div>
          </w:divsChild>
        </w:div>
        <w:div w:id="329452245">
          <w:marLeft w:val="0"/>
          <w:marRight w:val="0"/>
          <w:marTop w:val="0"/>
          <w:marBottom w:val="0"/>
          <w:divBdr>
            <w:top w:val="none" w:sz="0" w:space="0" w:color="auto"/>
            <w:left w:val="none" w:sz="0" w:space="0" w:color="auto"/>
            <w:bottom w:val="none" w:sz="0" w:space="0" w:color="auto"/>
            <w:right w:val="none" w:sz="0" w:space="0" w:color="auto"/>
          </w:divBdr>
          <w:divsChild>
            <w:div w:id="271548098">
              <w:marLeft w:val="0"/>
              <w:marRight w:val="0"/>
              <w:marTop w:val="0"/>
              <w:marBottom w:val="0"/>
              <w:divBdr>
                <w:top w:val="none" w:sz="0" w:space="0" w:color="auto"/>
                <w:left w:val="none" w:sz="0" w:space="0" w:color="auto"/>
                <w:bottom w:val="none" w:sz="0" w:space="0" w:color="auto"/>
                <w:right w:val="none" w:sz="0" w:space="0" w:color="auto"/>
              </w:divBdr>
            </w:div>
          </w:divsChild>
        </w:div>
        <w:div w:id="333456627">
          <w:marLeft w:val="0"/>
          <w:marRight w:val="0"/>
          <w:marTop w:val="0"/>
          <w:marBottom w:val="0"/>
          <w:divBdr>
            <w:top w:val="none" w:sz="0" w:space="0" w:color="auto"/>
            <w:left w:val="none" w:sz="0" w:space="0" w:color="auto"/>
            <w:bottom w:val="none" w:sz="0" w:space="0" w:color="auto"/>
            <w:right w:val="none" w:sz="0" w:space="0" w:color="auto"/>
          </w:divBdr>
          <w:divsChild>
            <w:div w:id="1921981973">
              <w:marLeft w:val="0"/>
              <w:marRight w:val="0"/>
              <w:marTop w:val="0"/>
              <w:marBottom w:val="0"/>
              <w:divBdr>
                <w:top w:val="none" w:sz="0" w:space="0" w:color="auto"/>
                <w:left w:val="none" w:sz="0" w:space="0" w:color="auto"/>
                <w:bottom w:val="none" w:sz="0" w:space="0" w:color="auto"/>
                <w:right w:val="none" w:sz="0" w:space="0" w:color="auto"/>
              </w:divBdr>
            </w:div>
          </w:divsChild>
        </w:div>
        <w:div w:id="350961213">
          <w:marLeft w:val="0"/>
          <w:marRight w:val="0"/>
          <w:marTop w:val="0"/>
          <w:marBottom w:val="0"/>
          <w:divBdr>
            <w:top w:val="none" w:sz="0" w:space="0" w:color="auto"/>
            <w:left w:val="none" w:sz="0" w:space="0" w:color="auto"/>
            <w:bottom w:val="none" w:sz="0" w:space="0" w:color="auto"/>
            <w:right w:val="none" w:sz="0" w:space="0" w:color="auto"/>
          </w:divBdr>
          <w:divsChild>
            <w:div w:id="840392938">
              <w:marLeft w:val="0"/>
              <w:marRight w:val="0"/>
              <w:marTop w:val="0"/>
              <w:marBottom w:val="0"/>
              <w:divBdr>
                <w:top w:val="none" w:sz="0" w:space="0" w:color="auto"/>
                <w:left w:val="none" w:sz="0" w:space="0" w:color="auto"/>
                <w:bottom w:val="none" w:sz="0" w:space="0" w:color="auto"/>
                <w:right w:val="none" w:sz="0" w:space="0" w:color="auto"/>
              </w:divBdr>
            </w:div>
          </w:divsChild>
        </w:div>
        <w:div w:id="358434311">
          <w:marLeft w:val="0"/>
          <w:marRight w:val="0"/>
          <w:marTop w:val="0"/>
          <w:marBottom w:val="0"/>
          <w:divBdr>
            <w:top w:val="none" w:sz="0" w:space="0" w:color="auto"/>
            <w:left w:val="none" w:sz="0" w:space="0" w:color="auto"/>
            <w:bottom w:val="none" w:sz="0" w:space="0" w:color="auto"/>
            <w:right w:val="none" w:sz="0" w:space="0" w:color="auto"/>
          </w:divBdr>
          <w:divsChild>
            <w:div w:id="178348219">
              <w:marLeft w:val="0"/>
              <w:marRight w:val="0"/>
              <w:marTop w:val="0"/>
              <w:marBottom w:val="0"/>
              <w:divBdr>
                <w:top w:val="none" w:sz="0" w:space="0" w:color="auto"/>
                <w:left w:val="none" w:sz="0" w:space="0" w:color="auto"/>
                <w:bottom w:val="none" w:sz="0" w:space="0" w:color="auto"/>
                <w:right w:val="none" w:sz="0" w:space="0" w:color="auto"/>
              </w:divBdr>
            </w:div>
          </w:divsChild>
        </w:div>
        <w:div w:id="364260638">
          <w:marLeft w:val="0"/>
          <w:marRight w:val="0"/>
          <w:marTop w:val="0"/>
          <w:marBottom w:val="0"/>
          <w:divBdr>
            <w:top w:val="none" w:sz="0" w:space="0" w:color="auto"/>
            <w:left w:val="none" w:sz="0" w:space="0" w:color="auto"/>
            <w:bottom w:val="none" w:sz="0" w:space="0" w:color="auto"/>
            <w:right w:val="none" w:sz="0" w:space="0" w:color="auto"/>
          </w:divBdr>
          <w:divsChild>
            <w:div w:id="1204635804">
              <w:marLeft w:val="0"/>
              <w:marRight w:val="0"/>
              <w:marTop w:val="0"/>
              <w:marBottom w:val="0"/>
              <w:divBdr>
                <w:top w:val="none" w:sz="0" w:space="0" w:color="auto"/>
                <w:left w:val="none" w:sz="0" w:space="0" w:color="auto"/>
                <w:bottom w:val="none" w:sz="0" w:space="0" w:color="auto"/>
                <w:right w:val="none" w:sz="0" w:space="0" w:color="auto"/>
              </w:divBdr>
            </w:div>
          </w:divsChild>
        </w:div>
        <w:div w:id="381173172">
          <w:marLeft w:val="0"/>
          <w:marRight w:val="0"/>
          <w:marTop w:val="0"/>
          <w:marBottom w:val="0"/>
          <w:divBdr>
            <w:top w:val="none" w:sz="0" w:space="0" w:color="auto"/>
            <w:left w:val="none" w:sz="0" w:space="0" w:color="auto"/>
            <w:bottom w:val="none" w:sz="0" w:space="0" w:color="auto"/>
            <w:right w:val="none" w:sz="0" w:space="0" w:color="auto"/>
          </w:divBdr>
          <w:divsChild>
            <w:div w:id="954288751">
              <w:marLeft w:val="0"/>
              <w:marRight w:val="0"/>
              <w:marTop w:val="0"/>
              <w:marBottom w:val="0"/>
              <w:divBdr>
                <w:top w:val="none" w:sz="0" w:space="0" w:color="auto"/>
                <w:left w:val="none" w:sz="0" w:space="0" w:color="auto"/>
                <w:bottom w:val="none" w:sz="0" w:space="0" w:color="auto"/>
                <w:right w:val="none" w:sz="0" w:space="0" w:color="auto"/>
              </w:divBdr>
            </w:div>
          </w:divsChild>
        </w:div>
        <w:div w:id="405887025">
          <w:marLeft w:val="0"/>
          <w:marRight w:val="0"/>
          <w:marTop w:val="0"/>
          <w:marBottom w:val="0"/>
          <w:divBdr>
            <w:top w:val="none" w:sz="0" w:space="0" w:color="auto"/>
            <w:left w:val="none" w:sz="0" w:space="0" w:color="auto"/>
            <w:bottom w:val="none" w:sz="0" w:space="0" w:color="auto"/>
            <w:right w:val="none" w:sz="0" w:space="0" w:color="auto"/>
          </w:divBdr>
          <w:divsChild>
            <w:div w:id="1074817939">
              <w:marLeft w:val="0"/>
              <w:marRight w:val="0"/>
              <w:marTop w:val="0"/>
              <w:marBottom w:val="0"/>
              <w:divBdr>
                <w:top w:val="none" w:sz="0" w:space="0" w:color="auto"/>
                <w:left w:val="none" w:sz="0" w:space="0" w:color="auto"/>
                <w:bottom w:val="none" w:sz="0" w:space="0" w:color="auto"/>
                <w:right w:val="none" w:sz="0" w:space="0" w:color="auto"/>
              </w:divBdr>
            </w:div>
          </w:divsChild>
        </w:div>
        <w:div w:id="414595505">
          <w:marLeft w:val="0"/>
          <w:marRight w:val="0"/>
          <w:marTop w:val="0"/>
          <w:marBottom w:val="0"/>
          <w:divBdr>
            <w:top w:val="none" w:sz="0" w:space="0" w:color="auto"/>
            <w:left w:val="none" w:sz="0" w:space="0" w:color="auto"/>
            <w:bottom w:val="none" w:sz="0" w:space="0" w:color="auto"/>
            <w:right w:val="none" w:sz="0" w:space="0" w:color="auto"/>
          </w:divBdr>
          <w:divsChild>
            <w:div w:id="1594046935">
              <w:marLeft w:val="0"/>
              <w:marRight w:val="0"/>
              <w:marTop w:val="0"/>
              <w:marBottom w:val="0"/>
              <w:divBdr>
                <w:top w:val="none" w:sz="0" w:space="0" w:color="auto"/>
                <w:left w:val="none" w:sz="0" w:space="0" w:color="auto"/>
                <w:bottom w:val="none" w:sz="0" w:space="0" w:color="auto"/>
                <w:right w:val="none" w:sz="0" w:space="0" w:color="auto"/>
              </w:divBdr>
            </w:div>
          </w:divsChild>
        </w:div>
        <w:div w:id="439227751">
          <w:marLeft w:val="0"/>
          <w:marRight w:val="0"/>
          <w:marTop w:val="0"/>
          <w:marBottom w:val="0"/>
          <w:divBdr>
            <w:top w:val="none" w:sz="0" w:space="0" w:color="auto"/>
            <w:left w:val="none" w:sz="0" w:space="0" w:color="auto"/>
            <w:bottom w:val="none" w:sz="0" w:space="0" w:color="auto"/>
            <w:right w:val="none" w:sz="0" w:space="0" w:color="auto"/>
          </w:divBdr>
          <w:divsChild>
            <w:div w:id="171528368">
              <w:marLeft w:val="0"/>
              <w:marRight w:val="0"/>
              <w:marTop w:val="0"/>
              <w:marBottom w:val="0"/>
              <w:divBdr>
                <w:top w:val="none" w:sz="0" w:space="0" w:color="auto"/>
                <w:left w:val="none" w:sz="0" w:space="0" w:color="auto"/>
                <w:bottom w:val="none" w:sz="0" w:space="0" w:color="auto"/>
                <w:right w:val="none" w:sz="0" w:space="0" w:color="auto"/>
              </w:divBdr>
            </w:div>
          </w:divsChild>
        </w:div>
        <w:div w:id="447044115">
          <w:marLeft w:val="0"/>
          <w:marRight w:val="0"/>
          <w:marTop w:val="0"/>
          <w:marBottom w:val="0"/>
          <w:divBdr>
            <w:top w:val="none" w:sz="0" w:space="0" w:color="auto"/>
            <w:left w:val="none" w:sz="0" w:space="0" w:color="auto"/>
            <w:bottom w:val="none" w:sz="0" w:space="0" w:color="auto"/>
            <w:right w:val="none" w:sz="0" w:space="0" w:color="auto"/>
          </w:divBdr>
          <w:divsChild>
            <w:div w:id="526918385">
              <w:marLeft w:val="0"/>
              <w:marRight w:val="0"/>
              <w:marTop w:val="0"/>
              <w:marBottom w:val="0"/>
              <w:divBdr>
                <w:top w:val="none" w:sz="0" w:space="0" w:color="auto"/>
                <w:left w:val="none" w:sz="0" w:space="0" w:color="auto"/>
                <w:bottom w:val="none" w:sz="0" w:space="0" w:color="auto"/>
                <w:right w:val="none" w:sz="0" w:space="0" w:color="auto"/>
              </w:divBdr>
            </w:div>
          </w:divsChild>
        </w:div>
        <w:div w:id="475923857">
          <w:marLeft w:val="0"/>
          <w:marRight w:val="0"/>
          <w:marTop w:val="0"/>
          <w:marBottom w:val="0"/>
          <w:divBdr>
            <w:top w:val="none" w:sz="0" w:space="0" w:color="auto"/>
            <w:left w:val="none" w:sz="0" w:space="0" w:color="auto"/>
            <w:bottom w:val="none" w:sz="0" w:space="0" w:color="auto"/>
            <w:right w:val="none" w:sz="0" w:space="0" w:color="auto"/>
          </w:divBdr>
          <w:divsChild>
            <w:div w:id="1370179353">
              <w:marLeft w:val="0"/>
              <w:marRight w:val="0"/>
              <w:marTop w:val="0"/>
              <w:marBottom w:val="0"/>
              <w:divBdr>
                <w:top w:val="none" w:sz="0" w:space="0" w:color="auto"/>
                <w:left w:val="none" w:sz="0" w:space="0" w:color="auto"/>
                <w:bottom w:val="none" w:sz="0" w:space="0" w:color="auto"/>
                <w:right w:val="none" w:sz="0" w:space="0" w:color="auto"/>
              </w:divBdr>
            </w:div>
          </w:divsChild>
        </w:div>
        <w:div w:id="485517965">
          <w:marLeft w:val="0"/>
          <w:marRight w:val="0"/>
          <w:marTop w:val="0"/>
          <w:marBottom w:val="0"/>
          <w:divBdr>
            <w:top w:val="none" w:sz="0" w:space="0" w:color="auto"/>
            <w:left w:val="none" w:sz="0" w:space="0" w:color="auto"/>
            <w:bottom w:val="none" w:sz="0" w:space="0" w:color="auto"/>
            <w:right w:val="none" w:sz="0" w:space="0" w:color="auto"/>
          </w:divBdr>
          <w:divsChild>
            <w:div w:id="156726741">
              <w:marLeft w:val="0"/>
              <w:marRight w:val="0"/>
              <w:marTop w:val="0"/>
              <w:marBottom w:val="0"/>
              <w:divBdr>
                <w:top w:val="none" w:sz="0" w:space="0" w:color="auto"/>
                <w:left w:val="none" w:sz="0" w:space="0" w:color="auto"/>
                <w:bottom w:val="none" w:sz="0" w:space="0" w:color="auto"/>
                <w:right w:val="none" w:sz="0" w:space="0" w:color="auto"/>
              </w:divBdr>
            </w:div>
          </w:divsChild>
        </w:div>
        <w:div w:id="534578922">
          <w:marLeft w:val="0"/>
          <w:marRight w:val="0"/>
          <w:marTop w:val="0"/>
          <w:marBottom w:val="0"/>
          <w:divBdr>
            <w:top w:val="none" w:sz="0" w:space="0" w:color="auto"/>
            <w:left w:val="none" w:sz="0" w:space="0" w:color="auto"/>
            <w:bottom w:val="none" w:sz="0" w:space="0" w:color="auto"/>
            <w:right w:val="none" w:sz="0" w:space="0" w:color="auto"/>
          </w:divBdr>
          <w:divsChild>
            <w:div w:id="1710715643">
              <w:marLeft w:val="0"/>
              <w:marRight w:val="0"/>
              <w:marTop w:val="0"/>
              <w:marBottom w:val="0"/>
              <w:divBdr>
                <w:top w:val="none" w:sz="0" w:space="0" w:color="auto"/>
                <w:left w:val="none" w:sz="0" w:space="0" w:color="auto"/>
                <w:bottom w:val="none" w:sz="0" w:space="0" w:color="auto"/>
                <w:right w:val="none" w:sz="0" w:space="0" w:color="auto"/>
              </w:divBdr>
            </w:div>
          </w:divsChild>
        </w:div>
        <w:div w:id="552346376">
          <w:marLeft w:val="0"/>
          <w:marRight w:val="0"/>
          <w:marTop w:val="0"/>
          <w:marBottom w:val="0"/>
          <w:divBdr>
            <w:top w:val="none" w:sz="0" w:space="0" w:color="auto"/>
            <w:left w:val="none" w:sz="0" w:space="0" w:color="auto"/>
            <w:bottom w:val="none" w:sz="0" w:space="0" w:color="auto"/>
            <w:right w:val="none" w:sz="0" w:space="0" w:color="auto"/>
          </w:divBdr>
          <w:divsChild>
            <w:div w:id="634793204">
              <w:marLeft w:val="0"/>
              <w:marRight w:val="0"/>
              <w:marTop w:val="0"/>
              <w:marBottom w:val="0"/>
              <w:divBdr>
                <w:top w:val="none" w:sz="0" w:space="0" w:color="auto"/>
                <w:left w:val="none" w:sz="0" w:space="0" w:color="auto"/>
                <w:bottom w:val="none" w:sz="0" w:space="0" w:color="auto"/>
                <w:right w:val="none" w:sz="0" w:space="0" w:color="auto"/>
              </w:divBdr>
            </w:div>
          </w:divsChild>
        </w:div>
        <w:div w:id="556865018">
          <w:marLeft w:val="0"/>
          <w:marRight w:val="0"/>
          <w:marTop w:val="0"/>
          <w:marBottom w:val="0"/>
          <w:divBdr>
            <w:top w:val="none" w:sz="0" w:space="0" w:color="auto"/>
            <w:left w:val="none" w:sz="0" w:space="0" w:color="auto"/>
            <w:bottom w:val="none" w:sz="0" w:space="0" w:color="auto"/>
            <w:right w:val="none" w:sz="0" w:space="0" w:color="auto"/>
          </w:divBdr>
          <w:divsChild>
            <w:div w:id="1235970490">
              <w:marLeft w:val="0"/>
              <w:marRight w:val="0"/>
              <w:marTop w:val="0"/>
              <w:marBottom w:val="0"/>
              <w:divBdr>
                <w:top w:val="none" w:sz="0" w:space="0" w:color="auto"/>
                <w:left w:val="none" w:sz="0" w:space="0" w:color="auto"/>
                <w:bottom w:val="none" w:sz="0" w:space="0" w:color="auto"/>
                <w:right w:val="none" w:sz="0" w:space="0" w:color="auto"/>
              </w:divBdr>
            </w:div>
          </w:divsChild>
        </w:div>
        <w:div w:id="558129595">
          <w:marLeft w:val="0"/>
          <w:marRight w:val="0"/>
          <w:marTop w:val="0"/>
          <w:marBottom w:val="0"/>
          <w:divBdr>
            <w:top w:val="none" w:sz="0" w:space="0" w:color="auto"/>
            <w:left w:val="none" w:sz="0" w:space="0" w:color="auto"/>
            <w:bottom w:val="none" w:sz="0" w:space="0" w:color="auto"/>
            <w:right w:val="none" w:sz="0" w:space="0" w:color="auto"/>
          </w:divBdr>
          <w:divsChild>
            <w:div w:id="753284227">
              <w:marLeft w:val="0"/>
              <w:marRight w:val="0"/>
              <w:marTop w:val="0"/>
              <w:marBottom w:val="0"/>
              <w:divBdr>
                <w:top w:val="none" w:sz="0" w:space="0" w:color="auto"/>
                <w:left w:val="none" w:sz="0" w:space="0" w:color="auto"/>
                <w:bottom w:val="none" w:sz="0" w:space="0" w:color="auto"/>
                <w:right w:val="none" w:sz="0" w:space="0" w:color="auto"/>
              </w:divBdr>
            </w:div>
          </w:divsChild>
        </w:div>
        <w:div w:id="581791001">
          <w:marLeft w:val="0"/>
          <w:marRight w:val="0"/>
          <w:marTop w:val="0"/>
          <w:marBottom w:val="0"/>
          <w:divBdr>
            <w:top w:val="none" w:sz="0" w:space="0" w:color="auto"/>
            <w:left w:val="none" w:sz="0" w:space="0" w:color="auto"/>
            <w:bottom w:val="none" w:sz="0" w:space="0" w:color="auto"/>
            <w:right w:val="none" w:sz="0" w:space="0" w:color="auto"/>
          </w:divBdr>
          <w:divsChild>
            <w:div w:id="1639728684">
              <w:marLeft w:val="0"/>
              <w:marRight w:val="0"/>
              <w:marTop w:val="0"/>
              <w:marBottom w:val="0"/>
              <w:divBdr>
                <w:top w:val="none" w:sz="0" w:space="0" w:color="auto"/>
                <w:left w:val="none" w:sz="0" w:space="0" w:color="auto"/>
                <w:bottom w:val="none" w:sz="0" w:space="0" w:color="auto"/>
                <w:right w:val="none" w:sz="0" w:space="0" w:color="auto"/>
              </w:divBdr>
            </w:div>
          </w:divsChild>
        </w:div>
        <w:div w:id="596332310">
          <w:marLeft w:val="0"/>
          <w:marRight w:val="0"/>
          <w:marTop w:val="0"/>
          <w:marBottom w:val="0"/>
          <w:divBdr>
            <w:top w:val="none" w:sz="0" w:space="0" w:color="auto"/>
            <w:left w:val="none" w:sz="0" w:space="0" w:color="auto"/>
            <w:bottom w:val="none" w:sz="0" w:space="0" w:color="auto"/>
            <w:right w:val="none" w:sz="0" w:space="0" w:color="auto"/>
          </w:divBdr>
          <w:divsChild>
            <w:div w:id="1250889640">
              <w:marLeft w:val="0"/>
              <w:marRight w:val="0"/>
              <w:marTop w:val="0"/>
              <w:marBottom w:val="0"/>
              <w:divBdr>
                <w:top w:val="none" w:sz="0" w:space="0" w:color="auto"/>
                <w:left w:val="none" w:sz="0" w:space="0" w:color="auto"/>
                <w:bottom w:val="none" w:sz="0" w:space="0" w:color="auto"/>
                <w:right w:val="none" w:sz="0" w:space="0" w:color="auto"/>
              </w:divBdr>
            </w:div>
          </w:divsChild>
        </w:div>
        <w:div w:id="604266087">
          <w:marLeft w:val="0"/>
          <w:marRight w:val="0"/>
          <w:marTop w:val="0"/>
          <w:marBottom w:val="0"/>
          <w:divBdr>
            <w:top w:val="none" w:sz="0" w:space="0" w:color="auto"/>
            <w:left w:val="none" w:sz="0" w:space="0" w:color="auto"/>
            <w:bottom w:val="none" w:sz="0" w:space="0" w:color="auto"/>
            <w:right w:val="none" w:sz="0" w:space="0" w:color="auto"/>
          </w:divBdr>
          <w:divsChild>
            <w:div w:id="1313176012">
              <w:marLeft w:val="0"/>
              <w:marRight w:val="0"/>
              <w:marTop w:val="0"/>
              <w:marBottom w:val="0"/>
              <w:divBdr>
                <w:top w:val="none" w:sz="0" w:space="0" w:color="auto"/>
                <w:left w:val="none" w:sz="0" w:space="0" w:color="auto"/>
                <w:bottom w:val="none" w:sz="0" w:space="0" w:color="auto"/>
                <w:right w:val="none" w:sz="0" w:space="0" w:color="auto"/>
              </w:divBdr>
            </w:div>
          </w:divsChild>
        </w:div>
        <w:div w:id="648440611">
          <w:marLeft w:val="0"/>
          <w:marRight w:val="0"/>
          <w:marTop w:val="0"/>
          <w:marBottom w:val="0"/>
          <w:divBdr>
            <w:top w:val="none" w:sz="0" w:space="0" w:color="auto"/>
            <w:left w:val="none" w:sz="0" w:space="0" w:color="auto"/>
            <w:bottom w:val="none" w:sz="0" w:space="0" w:color="auto"/>
            <w:right w:val="none" w:sz="0" w:space="0" w:color="auto"/>
          </w:divBdr>
          <w:divsChild>
            <w:div w:id="1025792901">
              <w:marLeft w:val="0"/>
              <w:marRight w:val="0"/>
              <w:marTop w:val="0"/>
              <w:marBottom w:val="0"/>
              <w:divBdr>
                <w:top w:val="none" w:sz="0" w:space="0" w:color="auto"/>
                <w:left w:val="none" w:sz="0" w:space="0" w:color="auto"/>
                <w:bottom w:val="none" w:sz="0" w:space="0" w:color="auto"/>
                <w:right w:val="none" w:sz="0" w:space="0" w:color="auto"/>
              </w:divBdr>
            </w:div>
          </w:divsChild>
        </w:div>
        <w:div w:id="663437505">
          <w:marLeft w:val="0"/>
          <w:marRight w:val="0"/>
          <w:marTop w:val="0"/>
          <w:marBottom w:val="0"/>
          <w:divBdr>
            <w:top w:val="none" w:sz="0" w:space="0" w:color="auto"/>
            <w:left w:val="none" w:sz="0" w:space="0" w:color="auto"/>
            <w:bottom w:val="none" w:sz="0" w:space="0" w:color="auto"/>
            <w:right w:val="none" w:sz="0" w:space="0" w:color="auto"/>
          </w:divBdr>
          <w:divsChild>
            <w:div w:id="1211503541">
              <w:marLeft w:val="0"/>
              <w:marRight w:val="0"/>
              <w:marTop w:val="0"/>
              <w:marBottom w:val="0"/>
              <w:divBdr>
                <w:top w:val="none" w:sz="0" w:space="0" w:color="auto"/>
                <w:left w:val="none" w:sz="0" w:space="0" w:color="auto"/>
                <w:bottom w:val="none" w:sz="0" w:space="0" w:color="auto"/>
                <w:right w:val="none" w:sz="0" w:space="0" w:color="auto"/>
              </w:divBdr>
            </w:div>
          </w:divsChild>
        </w:div>
        <w:div w:id="667632539">
          <w:marLeft w:val="0"/>
          <w:marRight w:val="0"/>
          <w:marTop w:val="0"/>
          <w:marBottom w:val="0"/>
          <w:divBdr>
            <w:top w:val="none" w:sz="0" w:space="0" w:color="auto"/>
            <w:left w:val="none" w:sz="0" w:space="0" w:color="auto"/>
            <w:bottom w:val="none" w:sz="0" w:space="0" w:color="auto"/>
            <w:right w:val="none" w:sz="0" w:space="0" w:color="auto"/>
          </w:divBdr>
          <w:divsChild>
            <w:div w:id="835263127">
              <w:marLeft w:val="0"/>
              <w:marRight w:val="0"/>
              <w:marTop w:val="0"/>
              <w:marBottom w:val="0"/>
              <w:divBdr>
                <w:top w:val="none" w:sz="0" w:space="0" w:color="auto"/>
                <w:left w:val="none" w:sz="0" w:space="0" w:color="auto"/>
                <w:bottom w:val="none" w:sz="0" w:space="0" w:color="auto"/>
                <w:right w:val="none" w:sz="0" w:space="0" w:color="auto"/>
              </w:divBdr>
            </w:div>
          </w:divsChild>
        </w:div>
        <w:div w:id="672032151">
          <w:marLeft w:val="0"/>
          <w:marRight w:val="0"/>
          <w:marTop w:val="0"/>
          <w:marBottom w:val="0"/>
          <w:divBdr>
            <w:top w:val="none" w:sz="0" w:space="0" w:color="auto"/>
            <w:left w:val="none" w:sz="0" w:space="0" w:color="auto"/>
            <w:bottom w:val="none" w:sz="0" w:space="0" w:color="auto"/>
            <w:right w:val="none" w:sz="0" w:space="0" w:color="auto"/>
          </w:divBdr>
          <w:divsChild>
            <w:div w:id="1018966367">
              <w:marLeft w:val="0"/>
              <w:marRight w:val="0"/>
              <w:marTop w:val="0"/>
              <w:marBottom w:val="0"/>
              <w:divBdr>
                <w:top w:val="none" w:sz="0" w:space="0" w:color="auto"/>
                <w:left w:val="none" w:sz="0" w:space="0" w:color="auto"/>
                <w:bottom w:val="none" w:sz="0" w:space="0" w:color="auto"/>
                <w:right w:val="none" w:sz="0" w:space="0" w:color="auto"/>
              </w:divBdr>
            </w:div>
          </w:divsChild>
        </w:div>
        <w:div w:id="686369135">
          <w:marLeft w:val="0"/>
          <w:marRight w:val="0"/>
          <w:marTop w:val="0"/>
          <w:marBottom w:val="0"/>
          <w:divBdr>
            <w:top w:val="none" w:sz="0" w:space="0" w:color="auto"/>
            <w:left w:val="none" w:sz="0" w:space="0" w:color="auto"/>
            <w:bottom w:val="none" w:sz="0" w:space="0" w:color="auto"/>
            <w:right w:val="none" w:sz="0" w:space="0" w:color="auto"/>
          </w:divBdr>
          <w:divsChild>
            <w:div w:id="2143107511">
              <w:marLeft w:val="0"/>
              <w:marRight w:val="0"/>
              <w:marTop w:val="0"/>
              <w:marBottom w:val="0"/>
              <w:divBdr>
                <w:top w:val="none" w:sz="0" w:space="0" w:color="auto"/>
                <w:left w:val="none" w:sz="0" w:space="0" w:color="auto"/>
                <w:bottom w:val="none" w:sz="0" w:space="0" w:color="auto"/>
                <w:right w:val="none" w:sz="0" w:space="0" w:color="auto"/>
              </w:divBdr>
            </w:div>
          </w:divsChild>
        </w:div>
        <w:div w:id="691809692">
          <w:marLeft w:val="0"/>
          <w:marRight w:val="0"/>
          <w:marTop w:val="0"/>
          <w:marBottom w:val="0"/>
          <w:divBdr>
            <w:top w:val="none" w:sz="0" w:space="0" w:color="auto"/>
            <w:left w:val="none" w:sz="0" w:space="0" w:color="auto"/>
            <w:bottom w:val="none" w:sz="0" w:space="0" w:color="auto"/>
            <w:right w:val="none" w:sz="0" w:space="0" w:color="auto"/>
          </w:divBdr>
          <w:divsChild>
            <w:div w:id="322045667">
              <w:marLeft w:val="0"/>
              <w:marRight w:val="0"/>
              <w:marTop w:val="0"/>
              <w:marBottom w:val="0"/>
              <w:divBdr>
                <w:top w:val="none" w:sz="0" w:space="0" w:color="auto"/>
                <w:left w:val="none" w:sz="0" w:space="0" w:color="auto"/>
                <w:bottom w:val="none" w:sz="0" w:space="0" w:color="auto"/>
                <w:right w:val="none" w:sz="0" w:space="0" w:color="auto"/>
              </w:divBdr>
            </w:div>
          </w:divsChild>
        </w:div>
        <w:div w:id="713890152">
          <w:marLeft w:val="0"/>
          <w:marRight w:val="0"/>
          <w:marTop w:val="0"/>
          <w:marBottom w:val="0"/>
          <w:divBdr>
            <w:top w:val="none" w:sz="0" w:space="0" w:color="auto"/>
            <w:left w:val="none" w:sz="0" w:space="0" w:color="auto"/>
            <w:bottom w:val="none" w:sz="0" w:space="0" w:color="auto"/>
            <w:right w:val="none" w:sz="0" w:space="0" w:color="auto"/>
          </w:divBdr>
          <w:divsChild>
            <w:div w:id="668172081">
              <w:marLeft w:val="0"/>
              <w:marRight w:val="0"/>
              <w:marTop w:val="0"/>
              <w:marBottom w:val="0"/>
              <w:divBdr>
                <w:top w:val="none" w:sz="0" w:space="0" w:color="auto"/>
                <w:left w:val="none" w:sz="0" w:space="0" w:color="auto"/>
                <w:bottom w:val="none" w:sz="0" w:space="0" w:color="auto"/>
                <w:right w:val="none" w:sz="0" w:space="0" w:color="auto"/>
              </w:divBdr>
            </w:div>
          </w:divsChild>
        </w:div>
        <w:div w:id="714739898">
          <w:marLeft w:val="0"/>
          <w:marRight w:val="0"/>
          <w:marTop w:val="0"/>
          <w:marBottom w:val="0"/>
          <w:divBdr>
            <w:top w:val="none" w:sz="0" w:space="0" w:color="auto"/>
            <w:left w:val="none" w:sz="0" w:space="0" w:color="auto"/>
            <w:bottom w:val="none" w:sz="0" w:space="0" w:color="auto"/>
            <w:right w:val="none" w:sz="0" w:space="0" w:color="auto"/>
          </w:divBdr>
          <w:divsChild>
            <w:div w:id="1655915626">
              <w:marLeft w:val="0"/>
              <w:marRight w:val="0"/>
              <w:marTop w:val="0"/>
              <w:marBottom w:val="0"/>
              <w:divBdr>
                <w:top w:val="none" w:sz="0" w:space="0" w:color="auto"/>
                <w:left w:val="none" w:sz="0" w:space="0" w:color="auto"/>
                <w:bottom w:val="none" w:sz="0" w:space="0" w:color="auto"/>
                <w:right w:val="none" w:sz="0" w:space="0" w:color="auto"/>
              </w:divBdr>
            </w:div>
          </w:divsChild>
        </w:div>
        <w:div w:id="721290480">
          <w:marLeft w:val="0"/>
          <w:marRight w:val="0"/>
          <w:marTop w:val="0"/>
          <w:marBottom w:val="0"/>
          <w:divBdr>
            <w:top w:val="none" w:sz="0" w:space="0" w:color="auto"/>
            <w:left w:val="none" w:sz="0" w:space="0" w:color="auto"/>
            <w:bottom w:val="none" w:sz="0" w:space="0" w:color="auto"/>
            <w:right w:val="none" w:sz="0" w:space="0" w:color="auto"/>
          </w:divBdr>
          <w:divsChild>
            <w:div w:id="1694958934">
              <w:marLeft w:val="0"/>
              <w:marRight w:val="0"/>
              <w:marTop w:val="0"/>
              <w:marBottom w:val="0"/>
              <w:divBdr>
                <w:top w:val="none" w:sz="0" w:space="0" w:color="auto"/>
                <w:left w:val="none" w:sz="0" w:space="0" w:color="auto"/>
                <w:bottom w:val="none" w:sz="0" w:space="0" w:color="auto"/>
                <w:right w:val="none" w:sz="0" w:space="0" w:color="auto"/>
              </w:divBdr>
            </w:div>
          </w:divsChild>
        </w:div>
        <w:div w:id="726614691">
          <w:marLeft w:val="0"/>
          <w:marRight w:val="0"/>
          <w:marTop w:val="0"/>
          <w:marBottom w:val="0"/>
          <w:divBdr>
            <w:top w:val="none" w:sz="0" w:space="0" w:color="auto"/>
            <w:left w:val="none" w:sz="0" w:space="0" w:color="auto"/>
            <w:bottom w:val="none" w:sz="0" w:space="0" w:color="auto"/>
            <w:right w:val="none" w:sz="0" w:space="0" w:color="auto"/>
          </w:divBdr>
          <w:divsChild>
            <w:div w:id="1949893189">
              <w:marLeft w:val="0"/>
              <w:marRight w:val="0"/>
              <w:marTop w:val="0"/>
              <w:marBottom w:val="0"/>
              <w:divBdr>
                <w:top w:val="none" w:sz="0" w:space="0" w:color="auto"/>
                <w:left w:val="none" w:sz="0" w:space="0" w:color="auto"/>
                <w:bottom w:val="none" w:sz="0" w:space="0" w:color="auto"/>
                <w:right w:val="none" w:sz="0" w:space="0" w:color="auto"/>
              </w:divBdr>
            </w:div>
          </w:divsChild>
        </w:div>
        <w:div w:id="736980253">
          <w:marLeft w:val="0"/>
          <w:marRight w:val="0"/>
          <w:marTop w:val="0"/>
          <w:marBottom w:val="0"/>
          <w:divBdr>
            <w:top w:val="none" w:sz="0" w:space="0" w:color="auto"/>
            <w:left w:val="none" w:sz="0" w:space="0" w:color="auto"/>
            <w:bottom w:val="none" w:sz="0" w:space="0" w:color="auto"/>
            <w:right w:val="none" w:sz="0" w:space="0" w:color="auto"/>
          </w:divBdr>
          <w:divsChild>
            <w:div w:id="1713991135">
              <w:marLeft w:val="0"/>
              <w:marRight w:val="0"/>
              <w:marTop w:val="0"/>
              <w:marBottom w:val="0"/>
              <w:divBdr>
                <w:top w:val="none" w:sz="0" w:space="0" w:color="auto"/>
                <w:left w:val="none" w:sz="0" w:space="0" w:color="auto"/>
                <w:bottom w:val="none" w:sz="0" w:space="0" w:color="auto"/>
                <w:right w:val="none" w:sz="0" w:space="0" w:color="auto"/>
              </w:divBdr>
            </w:div>
          </w:divsChild>
        </w:div>
        <w:div w:id="741875568">
          <w:marLeft w:val="0"/>
          <w:marRight w:val="0"/>
          <w:marTop w:val="0"/>
          <w:marBottom w:val="0"/>
          <w:divBdr>
            <w:top w:val="none" w:sz="0" w:space="0" w:color="auto"/>
            <w:left w:val="none" w:sz="0" w:space="0" w:color="auto"/>
            <w:bottom w:val="none" w:sz="0" w:space="0" w:color="auto"/>
            <w:right w:val="none" w:sz="0" w:space="0" w:color="auto"/>
          </w:divBdr>
          <w:divsChild>
            <w:div w:id="1432119131">
              <w:marLeft w:val="0"/>
              <w:marRight w:val="0"/>
              <w:marTop w:val="0"/>
              <w:marBottom w:val="0"/>
              <w:divBdr>
                <w:top w:val="none" w:sz="0" w:space="0" w:color="auto"/>
                <w:left w:val="none" w:sz="0" w:space="0" w:color="auto"/>
                <w:bottom w:val="none" w:sz="0" w:space="0" w:color="auto"/>
                <w:right w:val="none" w:sz="0" w:space="0" w:color="auto"/>
              </w:divBdr>
            </w:div>
          </w:divsChild>
        </w:div>
        <w:div w:id="742139574">
          <w:marLeft w:val="0"/>
          <w:marRight w:val="0"/>
          <w:marTop w:val="0"/>
          <w:marBottom w:val="0"/>
          <w:divBdr>
            <w:top w:val="none" w:sz="0" w:space="0" w:color="auto"/>
            <w:left w:val="none" w:sz="0" w:space="0" w:color="auto"/>
            <w:bottom w:val="none" w:sz="0" w:space="0" w:color="auto"/>
            <w:right w:val="none" w:sz="0" w:space="0" w:color="auto"/>
          </w:divBdr>
          <w:divsChild>
            <w:div w:id="92284128">
              <w:marLeft w:val="0"/>
              <w:marRight w:val="0"/>
              <w:marTop w:val="0"/>
              <w:marBottom w:val="0"/>
              <w:divBdr>
                <w:top w:val="none" w:sz="0" w:space="0" w:color="auto"/>
                <w:left w:val="none" w:sz="0" w:space="0" w:color="auto"/>
                <w:bottom w:val="none" w:sz="0" w:space="0" w:color="auto"/>
                <w:right w:val="none" w:sz="0" w:space="0" w:color="auto"/>
              </w:divBdr>
            </w:div>
          </w:divsChild>
        </w:div>
        <w:div w:id="751395804">
          <w:marLeft w:val="0"/>
          <w:marRight w:val="0"/>
          <w:marTop w:val="0"/>
          <w:marBottom w:val="0"/>
          <w:divBdr>
            <w:top w:val="none" w:sz="0" w:space="0" w:color="auto"/>
            <w:left w:val="none" w:sz="0" w:space="0" w:color="auto"/>
            <w:bottom w:val="none" w:sz="0" w:space="0" w:color="auto"/>
            <w:right w:val="none" w:sz="0" w:space="0" w:color="auto"/>
          </w:divBdr>
          <w:divsChild>
            <w:div w:id="1282490944">
              <w:marLeft w:val="0"/>
              <w:marRight w:val="0"/>
              <w:marTop w:val="0"/>
              <w:marBottom w:val="0"/>
              <w:divBdr>
                <w:top w:val="none" w:sz="0" w:space="0" w:color="auto"/>
                <w:left w:val="none" w:sz="0" w:space="0" w:color="auto"/>
                <w:bottom w:val="none" w:sz="0" w:space="0" w:color="auto"/>
                <w:right w:val="none" w:sz="0" w:space="0" w:color="auto"/>
              </w:divBdr>
            </w:div>
          </w:divsChild>
        </w:div>
        <w:div w:id="765921712">
          <w:marLeft w:val="0"/>
          <w:marRight w:val="0"/>
          <w:marTop w:val="0"/>
          <w:marBottom w:val="0"/>
          <w:divBdr>
            <w:top w:val="none" w:sz="0" w:space="0" w:color="auto"/>
            <w:left w:val="none" w:sz="0" w:space="0" w:color="auto"/>
            <w:bottom w:val="none" w:sz="0" w:space="0" w:color="auto"/>
            <w:right w:val="none" w:sz="0" w:space="0" w:color="auto"/>
          </w:divBdr>
          <w:divsChild>
            <w:div w:id="533467852">
              <w:marLeft w:val="0"/>
              <w:marRight w:val="0"/>
              <w:marTop w:val="0"/>
              <w:marBottom w:val="0"/>
              <w:divBdr>
                <w:top w:val="none" w:sz="0" w:space="0" w:color="auto"/>
                <w:left w:val="none" w:sz="0" w:space="0" w:color="auto"/>
                <w:bottom w:val="none" w:sz="0" w:space="0" w:color="auto"/>
                <w:right w:val="none" w:sz="0" w:space="0" w:color="auto"/>
              </w:divBdr>
            </w:div>
          </w:divsChild>
        </w:div>
        <w:div w:id="766853538">
          <w:marLeft w:val="0"/>
          <w:marRight w:val="0"/>
          <w:marTop w:val="0"/>
          <w:marBottom w:val="0"/>
          <w:divBdr>
            <w:top w:val="none" w:sz="0" w:space="0" w:color="auto"/>
            <w:left w:val="none" w:sz="0" w:space="0" w:color="auto"/>
            <w:bottom w:val="none" w:sz="0" w:space="0" w:color="auto"/>
            <w:right w:val="none" w:sz="0" w:space="0" w:color="auto"/>
          </w:divBdr>
          <w:divsChild>
            <w:div w:id="2046828681">
              <w:marLeft w:val="0"/>
              <w:marRight w:val="0"/>
              <w:marTop w:val="0"/>
              <w:marBottom w:val="0"/>
              <w:divBdr>
                <w:top w:val="none" w:sz="0" w:space="0" w:color="auto"/>
                <w:left w:val="none" w:sz="0" w:space="0" w:color="auto"/>
                <w:bottom w:val="none" w:sz="0" w:space="0" w:color="auto"/>
                <w:right w:val="none" w:sz="0" w:space="0" w:color="auto"/>
              </w:divBdr>
            </w:div>
          </w:divsChild>
        </w:div>
        <w:div w:id="768543720">
          <w:marLeft w:val="0"/>
          <w:marRight w:val="0"/>
          <w:marTop w:val="0"/>
          <w:marBottom w:val="0"/>
          <w:divBdr>
            <w:top w:val="none" w:sz="0" w:space="0" w:color="auto"/>
            <w:left w:val="none" w:sz="0" w:space="0" w:color="auto"/>
            <w:bottom w:val="none" w:sz="0" w:space="0" w:color="auto"/>
            <w:right w:val="none" w:sz="0" w:space="0" w:color="auto"/>
          </w:divBdr>
          <w:divsChild>
            <w:div w:id="1344940980">
              <w:marLeft w:val="0"/>
              <w:marRight w:val="0"/>
              <w:marTop w:val="0"/>
              <w:marBottom w:val="0"/>
              <w:divBdr>
                <w:top w:val="none" w:sz="0" w:space="0" w:color="auto"/>
                <w:left w:val="none" w:sz="0" w:space="0" w:color="auto"/>
                <w:bottom w:val="none" w:sz="0" w:space="0" w:color="auto"/>
                <w:right w:val="none" w:sz="0" w:space="0" w:color="auto"/>
              </w:divBdr>
            </w:div>
          </w:divsChild>
        </w:div>
        <w:div w:id="775518824">
          <w:marLeft w:val="0"/>
          <w:marRight w:val="0"/>
          <w:marTop w:val="0"/>
          <w:marBottom w:val="0"/>
          <w:divBdr>
            <w:top w:val="none" w:sz="0" w:space="0" w:color="auto"/>
            <w:left w:val="none" w:sz="0" w:space="0" w:color="auto"/>
            <w:bottom w:val="none" w:sz="0" w:space="0" w:color="auto"/>
            <w:right w:val="none" w:sz="0" w:space="0" w:color="auto"/>
          </w:divBdr>
          <w:divsChild>
            <w:div w:id="308369896">
              <w:marLeft w:val="0"/>
              <w:marRight w:val="0"/>
              <w:marTop w:val="0"/>
              <w:marBottom w:val="0"/>
              <w:divBdr>
                <w:top w:val="none" w:sz="0" w:space="0" w:color="auto"/>
                <w:left w:val="none" w:sz="0" w:space="0" w:color="auto"/>
                <w:bottom w:val="none" w:sz="0" w:space="0" w:color="auto"/>
                <w:right w:val="none" w:sz="0" w:space="0" w:color="auto"/>
              </w:divBdr>
            </w:div>
          </w:divsChild>
        </w:div>
        <w:div w:id="792751526">
          <w:marLeft w:val="0"/>
          <w:marRight w:val="0"/>
          <w:marTop w:val="0"/>
          <w:marBottom w:val="0"/>
          <w:divBdr>
            <w:top w:val="none" w:sz="0" w:space="0" w:color="auto"/>
            <w:left w:val="none" w:sz="0" w:space="0" w:color="auto"/>
            <w:bottom w:val="none" w:sz="0" w:space="0" w:color="auto"/>
            <w:right w:val="none" w:sz="0" w:space="0" w:color="auto"/>
          </w:divBdr>
          <w:divsChild>
            <w:div w:id="54591646">
              <w:marLeft w:val="0"/>
              <w:marRight w:val="0"/>
              <w:marTop w:val="0"/>
              <w:marBottom w:val="0"/>
              <w:divBdr>
                <w:top w:val="none" w:sz="0" w:space="0" w:color="auto"/>
                <w:left w:val="none" w:sz="0" w:space="0" w:color="auto"/>
                <w:bottom w:val="none" w:sz="0" w:space="0" w:color="auto"/>
                <w:right w:val="none" w:sz="0" w:space="0" w:color="auto"/>
              </w:divBdr>
            </w:div>
          </w:divsChild>
        </w:div>
        <w:div w:id="801576975">
          <w:marLeft w:val="0"/>
          <w:marRight w:val="0"/>
          <w:marTop w:val="0"/>
          <w:marBottom w:val="0"/>
          <w:divBdr>
            <w:top w:val="none" w:sz="0" w:space="0" w:color="auto"/>
            <w:left w:val="none" w:sz="0" w:space="0" w:color="auto"/>
            <w:bottom w:val="none" w:sz="0" w:space="0" w:color="auto"/>
            <w:right w:val="none" w:sz="0" w:space="0" w:color="auto"/>
          </w:divBdr>
          <w:divsChild>
            <w:div w:id="684600955">
              <w:marLeft w:val="0"/>
              <w:marRight w:val="0"/>
              <w:marTop w:val="0"/>
              <w:marBottom w:val="0"/>
              <w:divBdr>
                <w:top w:val="none" w:sz="0" w:space="0" w:color="auto"/>
                <w:left w:val="none" w:sz="0" w:space="0" w:color="auto"/>
                <w:bottom w:val="none" w:sz="0" w:space="0" w:color="auto"/>
                <w:right w:val="none" w:sz="0" w:space="0" w:color="auto"/>
              </w:divBdr>
            </w:div>
          </w:divsChild>
        </w:div>
        <w:div w:id="839278120">
          <w:marLeft w:val="0"/>
          <w:marRight w:val="0"/>
          <w:marTop w:val="0"/>
          <w:marBottom w:val="0"/>
          <w:divBdr>
            <w:top w:val="none" w:sz="0" w:space="0" w:color="auto"/>
            <w:left w:val="none" w:sz="0" w:space="0" w:color="auto"/>
            <w:bottom w:val="none" w:sz="0" w:space="0" w:color="auto"/>
            <w:right w:val="none" w:sz="0" w:space="0" w:color="auto"/>
          </w:divBdr>
          <w:divsChild>
            <w:div w:id="1552695932">
              <w:marLeft w:val="0"/>
              <w:marRight w:val="0"/>
              <w:marTop w:val="0"/>
              <w:marBottom w:val="0"/>
              <w:divBdr>
                <w:top w:val="none" w:sz="0" w:space="0" w:color="auto"/>
                <w:left w:val="none" w:sz="0" w:space="0" w:color="auto"/>
                <w:bottom w:val="none" w:sz="0" w:space="0" w:color="auto"/>
                <w:right w:val="none" w:sz="0" w:space="0" w:color="auto"/>
              </w:divBdr>
            </w:div>
          </w:divsChild>
        </w:div>
        <w:div w:id="870534972">
          <w:marLeft w:val="0"/>
          <w:marRight w:val="0"/>
          <w:marTop w:val="0"/>
          <w:marBottom w:val="0"/>
          <w:divBdr>
            <w:top w:val="none" w:sz="0" w:space="0" w:color="auto"/>
            <w:left w:val="none" w:sz="0" w:space="0" w:color="auto"/>
            <w:bottom w:val="none" w:sz="0" w:space="0" w:color="auto"/>
            <w:right w:val="none" w:sz="0" w:space="0" w:color="auto"/>
          </w:divBdr>
          <w:divsChild>
            <w:div w:id="1040596300">
              <w:marLeft w:val="0"/>
              <w:marRight w:val="0"/>
              <w:marTop w:val="0"/>
              <w:marBottom w:val="0"/>
              <w:divBdr>
                <w:top w:val="none" w:sz="0" w:space="0" w:color="auto"/>
                <w:left w:val="none" w:sz="0" w:space="0" w:color="auto"/>
                <w:bottom w:val="none" w:sz="0" w:space="0" w:color="auto"/>
                <w:right w:val="none" w:sz="0" w:space="0" w:color="auto"/>
              </w:divBdr>
            </w:div>
          </w:divsChild>
        </w:div>
        <w:div w:id="877398586">
          <w:marLeft w:val="0"/>
          <w:marRight w:val="0"/>
          <w:marTop w:val="0"/>
          <w:marBottom w:val="0"/>
          <w:divBdr>
            <w:top w:val="none" w:sz="0" w:space="0" w:color="auto"/>
            <w:left w:val="none" w:sz="0" w:space="0" w:color="auto"/>
            <w:bottom w:val="none" w:sz="0" w:space="0" w:color="auto"/>
            <w:right w:val="none" w:sz="0" w:space="0" w:color="auto"/>
          </w:divBdr>
          <w:divsChild>
            <w:div w:id="1041982065">
              <w:marLeft w:val="0"/>
              <w:marRight w:val="0"/>
              <w:marTop w:val="0"/>
              <w:marBottom w:val="0"/>
              <w:divBdr>
                <w:top w:val="none" w:sz="0" w:space="0" w:color="auto"/>
                <w:left w:val="none" w:sz="0" w:space="0" w:color="auto"/>
                <w:bottom w:val="none" w:sz="0" w:space="0" w:color="auto"/>
                <w:right w:val="none" w:sz="0" w:space="0" w:color="auto"/>
              </w:divBdr>
            </w:div>
          </w:divsChild>
        </w:div>
        <w:div w:id="877855535">
          <w:marLeft w:val="0"/>
          <w:marRight w:val="0"/>
          <w:marTop w:val="0"/>
          <w:marBottom w:val="0"/>
          <w:divBdr>
            <w:top w:val="none" w:sz="0" w:space="0" w:color="auto"/>
            <w:left w:val="none" w:sz="0" w:space="0" w:color="auto"/>
            <w:bottom w:val="none" w:sz="0" w:space="0" w:color="auto"/>
            <w:right w:val="none" w:sz="0" w:space="0" w:color="auto"/>
          </w:divBdr>
          <w:divsChild>
            <w:div w:id="319702406">
              <w:marLeft w:val="0"/>
              <w:marRight w:val="0"/>
              <w:marTop w:val="0"/>
              <w:marBottom w:val="0"/>
              <w:divBdr>
                <w:top w:val="none" w:sz="0" w:space="0" w:color="auto"/>
                <w:left w:val="none" w:sz="0" w:space="0" w:color="auto"/>
                <w:bottom w:val="none" w:sz="0" w:space="0" w:color="auto"/>
                <w:right w:val="none" w:sz="0" w:space="0" w:color="auto"/>
              </w:divBdr>
            </w:div>
          </w:divsChild>
        </w:div>
        <w:div w:id="900092988">
          <w:marLeft w:val="0"/>
          <w:marRight w:val="0"/>
          <w:marTop w:val="0"/>
          <w:marBottom w:val="0"/>
          <w:divBdr>
            <w:top w:val="none" w:sz="0" w:space="0" w:color="auto"/>
            <w:left w:val="none" w:sz="0" w:space="0" w:color="auto"/>
            <w:bottom w:val="none" w:sz="0" w:space="0" w:color="auto"/>
            <w:right w:val="none" w:sz="0" w:space="0" w:color="auto"/>
          </w:divBdr>
          <w:divsChild>
            <w:div w:id="1282569542">
              <w:marLeft w:val="0"/>
              <w:marRight w:val="0"/>
              <w:marTop w:val="0"/>
              <w:marBottom w:val="0"/>
              <w:divBdr>
                <w:top w:val="none" w:sz="0" w:space="0" w:color="auto"/>
                <w:left w:val="none" w:sz="0" w:space="0" w:color="auto"/>
                <w:bottom w:val="none" w:sz="0" w:space="0" w:color="auto"/>
                <w:right w:val="none" w:sz="0" w:space="0" w:color="auto"/>
              </w:divBdr>
            </w:div>
          </w:divsChild>
        </w:div>
        <w:div w:id="906956692">
          <w:marLeft w:val="0"/>
          <w:marRight w:val="0"/>
          <w:marTop w:val="0"/>
          <w:marBottom w:val="0"/>
          <w:divBdr>
            <w:top w:val="none" w:sz="0" w:space="0" w:color="auto"/>
            <w:left w:val="none" w:sz="0" w:space="0" w:color="auto"/>
            <w:bottom w:val="none" w:sz="0" w:space="0" w:color="auto"/>
            <w:right w:val="none" w:sz="0" w:space="0" w:color="auto"/>
          </w:divBdr>
          <w:divsChild>
            <w:div w:id="2109887011">
              <w:marLeft w:val="0"/>
              <w:marRight w:val="0"/>
              <w:marTop w:val="0"/>
              <w:marBottom w:val="0"/>
              <w:divBdr>
                <w:top w:val="none" w:sz="0" w:space="0" w:color="auto"/>
                <w:left w:val="none" w:sz="0" w:space="0" w:color="auto"/>
                <w:bottom w:val="none" w:sz="0" w:space="0" w:color="auto"/>
                <w:right w:val="none" w:sz="0" w:space="0" w:color="auto"/>
              </w:divBdr>
            </w:div>
          </w:divsChild>
        </w:div>
        <w:div w:id="908685846">
          <w:marLeft w:val="0"/>
          <w:marRight w:val="0"/>
          <w:marTop w:val="0"/>
          <w:marBottom w:val="0"/>
          <w:divBdr>
            <w:top w:val="none" w:sz="0" w:space="0" w:color="auto"/>
            <w:left w:val="none" w:sz="0" w:space="0" w:color="auto"/>
            <w:bottom w:val="none" w:sz="0" w:space="0" w:color="auto"/>
            <w:right w:val="none" w:sz="0" w:space="0" w:color="auto"/>
          </w:divBdr>
          <w:divsChild>
            <w:div w:id="1494645216">
              <w:marLeft w:val="0"/>
              <w:marRight w:val="0"/>
              <w:marTop w:val="0"/>
              <w:marBottom w:val="0"/>
              <w:divBdr>
                <w:top w:val="none" w:sz="0" w:space="0" w:color="auto"/>
                <w:left w:val="none" w:sz="0" w:space="0" w:color="auto"/>
                <w:bottom w:val="none" w:sz="0" w:space="0" w:color="auto"/>
                <w:right w:val="none" w:sz="0" w:space="0" w:color="auto"/>
              </w:divBdr>
            </w:div>
          </w:divsChild>
        </w:div>
        <w:div w:id="924342889">
          <w:marLeft w:val="0"/>
          <w:marRight w:val="0"/>
          <w:marTop w:val="0"/>
          <w:marBottom w:val="0"/>
          <w:divBdr>
            <w:top w:val="none" w:sz="0" w:space="0" w:color="auto"/>
            <w:left w:val="none" w:sz="0" w:space="0" w:color="auto"/>
            <w:bottom w:val="none" w:sz="0" w:space="0" w:color="auto"/>
            <w:right w:val="none" w:sz="0" w:space="0" w:color="auto"/>
          </w:divBdr>
          <w:divsChild>
            <w:div w:id="382294704">
              <w:marLeft w:val="0"/>
              <w:marRight w:val="0"/>
              <w:marTop w:val="0"/>
              <w:marBottom w:val="0"/>
              <w:divBdr>
                <w:top w:val="none" w:sz="0" w:space="0" w:color="auto"/>
                <w:left w:val="none" w:sz="0" w:space="0" w:color="auto"/>
                <w:bottom w:val="none" w:sz="0" w:space="0" w:color="auto"/>
                <w:right w:val="none" w:sz="0" w:space="0" w:color="auto"/>
              </w:divBdr>
            </w:div>
          </w:divsChild>
        </w:div>
        <w:div w:id="928587486">
          <w:marLeft w:val="0"/>
          <w:marRight w:val="0"/>
          <w:marTop w:val="0"/>
          <w:marBottom w:val="0"/>
          <w:divBdr>
            <w:top w:val="none" w:sz="0" w:space="0" w:color="auto"/>
            <w:left w:val="none" w:sz="0" w:space="0" w:color="auto"/>
            <w:bottom w:val="none" w:sz="0" w:space="0" w:color="auto"/>
            <w:right w:val="none" w:sz="0" w:space="0" w:color="auto"/>
          </w:divBdr>
          <w:divsChild>
            <w:div w:id="1078864900">
              <w:marLeft w:val="0"/>
              <w:marRight w:val="0"/>
              <w:marTop w:val="0"/>
              <w:marBottom w:val="0"/>
              <w:divBdr>
                <w:top w:val="none" w:sz="0" w:space="0" w:color="auto"/>
                <w:left w:val="none" w:sz="0" w:space="0" w:color="auto"/>
                <w:bottom w:val="none" w:sz="0" w:space="0" w:color="auto"/>
                <w:right w:val="none" w:sz="0" w:space="0" w:color="auto"/>
              </w:divBdr>
            </w:div>
          </w:divsChild>
        </w:div>
        <w:div w:id="944996251">
          <w:marLeft w:val="0"/>
          <w:marRight w:val="0"/>
          <w:marTop w:val="0"/>
          <w:marBottom w:val="0"/>
          <w:divBdr>
            <w:top w:val="none" w:sz="0" w:space="0" w:color="auto"/>
            <w:left w:val="none" w:sz="0" w:space="0" w:color="auto"/>
            <w:bottom w:val="none" w:sz="0" w:space="0" w:color="auto"/>
            <w:right w:val="none" w:sz="0" w:space="0" w:color="auto"/>
          </w:divBdr>
          <w:divsChild>
            <w:div w:id="202597951">
              <w:marLeft w:val="0"/>
              <w:marRight w:val="0"/>
              <w:marTop w:val="0"/>
              <w:marBottom w:val="0"/>
              <w:divBdr>
                <w:top w:val="none" w:sz="0" w:space="0" w:color="auto"/>
                <w:left w:val="none" w:sz="0" w:space="0" w:color="auto"/>
                <w:bottom w:val="none" w:sz="0" w:space="0" w:color="auto"/>
                <w:right w:val="none" w:sz="0" w:space="0" w:color="auto"/>
              </w:divBdr>
            </w:div>
            <w:div w:id="677004506">
              <w:marLeft w:val="0"/>
              <w:marRight w:val="0"/>
              <w:marTop w:val="0"/>
              <w:marBottom w:val="0"/>
              <w:divBdr>
                <w:top w:val="none" w:sz="0" w:space="0" w:color="auto"/>
                <w:left w:val="none" w:sz="0" w:space="0" w:color="auto"/>
                <w:bottom w:val="none" w:sz="0" w:space="0" w:color="auto"/>
                <w:right w:val="none" w:sz="0" w:space="0" w:color="auto"/>
              </w:divBdr>
            </w:div>
          </w:divsChild>
        </w:div>
        <w:div w:id="948048265">
          <w:marLeft w:val="0"/>
          <w:marRight w:val="0"/>
          <w:marTop w:val="0"/>
          <w:marBottom w:val="0"/>
          <w:divBdr>
            <w:top w:val="none" w:sz="0" w:space="0" w:color="auto"/>
            <w:left w:val="none" w:sz="0" w:space="0" w:color="auto"/>
            <w:bottom w:val="none" w:sz="0" w:space="0" w:color="auto"/>
            <w:right w:val="none" w:sz="0" w:space="0" w:color="auto"/>
          </w:divBdr>
          <w:divsChild>
            <w:div w:id="1223366382">
              <w:marLeft w:val="0"/>
              <w:marRight w:val="0"/>
              <w:marTop w:val="0"/>
              <w:marBottom w:val="0"/>
              <w:divBdr>
                <w:top w:val="none" w:sz="0" w:space="0" w:color="auto"/>
                <w:left w:val="none" w:sz="0" w:space="0" w:color="auto"/>
                <w:bottom w:val="none" w:sz="0" w:space="0" w:color="auto"/>
                <w:right w:val="none" w:sz="0" w:space="0" w:color="auto"/>
              </w:divBdr>
            </w:div>
          </w:divsChild>
        </w:div>
        <w:div w:id="951521159">
          <w:marLeft w:val="0"/>
          <w:marRight w:val="0"/>
          <w:marTop w:val="0"/>
          <w:marBottom w:val="0"/>
          <w:divBdr>
            <w:top w:val="none" w:sz="0" w:space="0" w:color="auto"/>
            <w:left w:val="none" w:sz="0" w:space="0" w:color="auto"/>
            <w:bottom w:val="none" w:sz="0" w:space="0" w:color="auto"/>
            <w:right w:val="none" w:sz="0" w:space="0" w:color="auto"/>
          </w:divBdr>
          <w:divsChild>
            <w:div w:id="1343703824">
              <w:marLeft w:val="0"/>
              <w:marRight w:val="0"/>
              <w:marTop w:val="0"/>
              <w:marBottom w:val="0"/>
              <w:divBdr>
                <w:top w:val="none" w:sz="0" w:space="0" w:color="auto"/>
                <w:left w:val="none" w:sz="0" w:space="0" w:color="auto"/>
                <w:bottom w:val="none" w:sz="0" w:space="0" w:color="auto"/>
                <w:right w:val="none" w:sz="0" w:space="0" w:color="auto"/>
              </w:divBdr>
            </w:div>
          </w:divsChild>
        </w:div>
        <w:div w:id="977105649">
          <w:marLeft w:val="0"/>
          <w:marRight w:val="0"/>
          <w:marTop w:val="0"/>
          <w:marBottom w:val="0"/>
          <w:divBdr>
            <w:top w:val="none" w:sz="0" w:space="0" w:color="auto"/>
            <w:left w:val="none" w:sz="0" w:space="0" w:color="auto"/>
            <w:bottom w:val="none" w:sz="0" w:space="0" w:color="auto"/>
            <w:right w:val="none" w:sz="0" w:space="0" w:color="auto"/>
          </w:divBdr>
          <w:divsChild>
            <w:div w:id="679047521">
              <w:marLeft w:val="0"/>
              <w:marRight w:val="0"/>
              <w:marTop w:val="0"/>
              <w:marBottom w:val="0"/>
              <w:divBdr>
                <w:top w:val="none" w:sz="0" w:space="0" w:color="auto"/>
                <w:left w:val="none" w:sz="0" w:space="0" w:color="auto"/>
                <w:bottom w:val="none" w:sz="0" w:space="0" w:color="auto"/>
                <w:right w:val="none" w:sz="0" w:space="0" w:color="auto"/>
              </w:divBdr>
            </w:div>
          </w:divsChild>
        </w:div>
        <w:div w:id="987395483">
          <w:marLeft w:val="0"/>
          <w:marRight w:val="0"/>
          <w:marTop w:val="0"/>
          <w:marBottom w:val="0"/>
          <w:divBdr>
            <w:top w:val="none" w:sz="0" w:space="0" w:color="auto"/>
            <w:left w:val="none" w:sz="0" w:space="0" w:color="auto"/>
            <w:bottom w:val="none" w:sz="0" w:space="0" w:color="auto"/>
            <w:right w:val="none" w:sz="0" w:space="0" w:color="auto"/>
          </w:divBdr>
          <w:divsChild>
            <w:div w:id="73552436">
              <w:marLeft w:val="0"/>
              <w:marRight w:val="0"/>
              <w:marTop w:val="0"/>
              <w:marBottom w:val="0"/>
              <w:divBdr>
                <w:top w:val="none" w:sz="0" w:space="0" w:color="auto"/>
                <w:left w:val="none" w:sz="0" w:space="0" w:color="auto"/>
                <w:bottom w:val="none" w:sz="0" w:space="0" w:color="auto"/>
                <w:right w:val="none" w:sz="0" w:space="0" w:color="auto"/>
              </w:divBdr>
            </w:div>
          </w:divsChild>
        </w:div>
        <w:div w:id="997343976">
          <w:marLeft w:val="0"/>
          <w:marRight w:val="0"/>
          <w:marTop w:val="0"/>
          <w:marBottom w:val="0"/>
          <w:divBdr>
            <w:top w:val="none" w:sz="0" w:space="0" w:color="auto"/>
            <w:left w:val="none" w:sz="0" w:space="0" w:color="auto"/>
            <w:bottom w:val="none" w:sz="0" w:space="0" w:color="auto"/>
            <w:right w:val="none" w:sz="0" w:space="0" w:color="auto"/>
          </w:divBdr>
          <w:divsChild>
            <w:div w:id="848561627">
              <w:marLeft w:val="0"/>
              <w:marRight w:val="0"/>
              <w:marTop w:val="0"/>
              <w:marBottom w:val="0"/>
              <w:divBdr>
                <w:top w:val="none" w:sz="0" w:space="0" w:color="auto"/>
                <w:left w:val="none" w:sz="0" w:space="0" w:color="auto"/>
                <w:bottom w:val="none" w:sz="0" w:space="0" w:color="auto"/>
                <w:right w:val="none" w:sz="0" w:space="0" w:color="auto"/>
              </w:divBdr>
            </w:div>
          </w:divsChild>
        </w:div>
        <w:div w:id="999307760">
          <w:marLeft w:val="0"/>
          <w:marRight w:val="0"/>
          <w:marTop w:val="0"/>
          <w:marBottom w:val="0"/>
          <w:divBdr>
            <w:top w:val="none" w:sz="0" w:space="0" w:color="auto"/>
            <w:left w:val="none" w:sz="0" w:space="0" w:color="auto"/>
            <w:bottom w:val="none" w:sz="0" w:space="0" w:color="auto"/>
            <w:right w:val="none" w:sz="0" w:space="0" w:color="auto"/>
          </w:divBdr>
          <w:divsChild>
            <w:div w:id="2121803490">
              <w:marLeft w:val="0"/>
              <w:marRight w:val="0"/>
              <w:marTop w:val="0"/>
              <w:marBottom w:val="0"/>
              <w:divBdr>
                <w:top w:val="none" w:sz="0" w:space="0" w:color="auto"/>
                <w:left w:val="none" w:sz="0" w:space="0" w:color="auto"/>
                <w:bottom w:val="none" w:sz="0" w:space="0" w:color="auto"/>
                <w:right w:val="none" w:sz="0" w:space="0" w:color="auto"/>
              </w:divBdr>
            </w:div>
          </w:divsChild>
        </w:div>
        <w:div w:id="1013414012">
          <w:marLeft w:val="0"/>
          <w:marRight w:val="0"/>
          <w:marTop w:val="0"/>
          <w:marBottom w:val="0"/>
          <w:divBdr>
            <w:top w:val="none" w:sz="0" w:space="0" w:color="auto"/>
            <w:left w:val="none" w:sz="0" w:space="0" w:color="auto"/>
            <w:bottom w:val="none" w:sz="0" w:space="0" w:color="auto"/>
            <w:right w:val="none" w:sz="0" w:space="0" w:color="auto"/>
          </w:divBdr>
          <w:divsChild>
            <w:div w:id="984431031">
              <w:marLeft w:val="0"/>
              <w:marRight w:val="0"/>
              <w:marTop w:val="0"/>
              <w:marBottom w:val="0"/>
              <w:divBdr>
                <w:top w:val="none" w:sz="0" w:space="0" w:color="auto"/>
                <w:left w:val="none" w:sz="0" w:space="0" w:color="auto"/>
                <w:bottom w:val="none" w:sz="0" w:space="0" w:color="auto"/>
                <w:right w:val="none" w:sz="0" w:space="0" w:color="auto"/>
              </w:divBdr>
            </w:div>
          </w:divsChild>
        </w:div>
        <w:div w:id="1041977768">
          <w:marLeft w:val="0"/>
          <w:marRight w:val="0"/>
          <w:marTop w:val="0"/>
          <w:marBottom w:val="0"/>
          <w:divBdr>
            <w:top w:val="none" w:sz="0" w:space="0" w:color="auto"/>
            <w:left w:val="none" w:sz="0" w:space="0" w:color="auto"/>
            <w:bottom w:val="none" w:sz="0" w:space="0" w:color="auto"/>
            <w:right w:val="none" w:sz="0" w:space="0" w:color="auto"/>
          </w:divBdr>
          <w:divsChild>
            <w:div w:id="1604265391">
              <w:marLeft w:val="0"/>
              <w:marRight w:val="0"/>
              <w:marTop w:val="0"/>
              <w:marBottom w:val="0"/>
              <w:divBdr>
                <w:top w:val="none" w:sz="0" w:space="0" w:color="auto"/>
                <w:left w:val="none" w:sz="0" w:space="0" w:color="auto"/>
                <w:bottom w:val="none" w:sz="0" w:space="0" w:color="auto"/>
                <w:right w:val="none" w:sz="0" w:space="0" w:color="auto"/>
              </w:divBdr>
            </w:div>
          </w:divsChild>
        </w:div>
        <w:div w:id="1046838229">
          <w:marLeft w:val="0"/>
          <w:marRight w:val="0"/>
          <w:marTop w:val="0"/>
          <w:marBottom w:val="0"/>
          <w:divBdr>
            <w:top w:val="none" w:sz="0" w:space="0" w:color="auto"/>
            <w:left w:val="none" w:sz="0" w:space="0" w:color="auto"/>
            <w:bottom w:val="none" w:sz="0" w:space="0" w:color="auto"/>
            <w:right w:val="none" w:sz="0" w:space="0" w:color="auto"/>
          </w:divBdr>
          <w:divsChild>
            <w:div w:id="137919431">
              <w:marLeft w:val="0"/>
              <w:marRight w:val="0"/>
              <w:marTop w:val="0"/>
              <w:marBottom w:val="0"/>
              <w:divBdr>
                <w:top w:val="none" w:sz="0" w:space="0" w:color="auto"/>
                <w:left w:val="none" w:sz="0" w:space="0" w:color="auto"/>
                <w:bottom w:val="none" w:sz="0" w:space="0" w:color="auto"/>
                <w:right w:val="none" w:sz="0" w:space="0" w:color="auto"/>
              </w:divBdr>
            </w:div>
          </w:divsChild>
        </w:div>
        <w:div w:id="1050421372">
          <w:marLeft w:val="0"/>
          <w:marRight w:val="0"/>
          <w:marTop w:val="0"/>
          <w:marBottom w:val="0"/>
          <w:divBdr>
            <w:top w:val="none" w:sz="0" w:space="0" w:color="auto"/>
            <w:left w:val="none" w:sz="0" w:space="0" w:color="auto"/>
            <w:bottom w:val="none" w:sz="0" w:space="0" w:color="auto"/>
            <w:right w:val="none" w:sz="0" w:space="0" w:color="auto"/>
          </w:divBdr>
          <w:divsChild>
            <w:div w:id="596057829">
              <w:marLeft w:val="0"/>
              <w:marRight w:val="0"/>
              <w:marTop w:val="0"/>
              <w:marBottom w:val="0"/>
              <w:divBdr>
                <w:top w:val="none" w:sz="0" w:space="0" w:color="auto"/>
                <w:left w:val="none" w:sz="0" w:space="0" w:color="auto"/>
                <w:bottom w:val="none" w:sz="0" w:space="0" w:color="auto"/>
                <w:right w:val="none" w:sz="0" w:space="0" w:color="auto"/>
              </w:divBdr>
            </w:div>
          </w:divsChild>
        </w:div>
        <w:div w:id="1063722580">
          <w:marLeft w:val="0"/>
          <w:marRight w:val="0"/>
          <w:marTop w:val="0"/>
          <w:marBottom w:val="0"/>
          <w:divBdr>
            <w:top w:val="none" w:sz="0" w:space="0" w:color="auto"/>
            <w:left w:val="none" w:sz="0" w:space="0" w:color="auto"/>
            <w:bottom w:val="none" w:sz="0" w:space="0" w:color="auto"/>
            <w:right w:val="none" w:sz="0" w:space="0" w:color="auto"/>
          </w:divBdr>
          <w:divsChild>
            <w:div w:id="1579822468">
              <w:marLeft w:val="0"/>
              <w:marRight w:val="0"/>
              <w:marTop w:val="0"/>
              <w:marBottom w:val="0"/>
              <w:divBdr>
                <w:top w:val="none" w:sz="0" w:space="0" w:color="auto"/>
                <w:left w:val="none" w:sz="0" w:space="0" w:color="auto"/>
                <w:bottom w:val="none" w:sz="0" w:space="0" w:color="auto"/>
                <w:right w:val="none" w:sz="0" w:space="0" w:color="auto"/>
              </w:divBdr>
            </w:div>
          </w:divsChild>
        </w:div>
        <w:div w:id="1123382394">
          <w:marLeft w:val="0"/>
          <w:marRight w:val="0"/>
          <w:marTop w:val="0"/>
          <w:marBottom w:val="0"/>
          <w:divBdr>
            <w:top w:val="none" w:sz="0" w:space="0" w:color="auto"/>
            <w:left w:val="none" w:sz="0" w:space="0" w:color="auto"/>
            <w:bottom w:val="none" w:sz="0" w:space="0" w:color="auto"/>
            <w:right w:val="none" w:sz="0" w:space="0" w:color="auto"/>
          </w:divBdr>
          <w:divsChild>
            <w:div w:id="1183589797">
              <w:marLeft w:val="0"/>
              <w:marRight w:val="0"/>
              <w:marTop w:val="0"/>
              <w:marBottom w:val="0"/>
              <w:divBdr>
                <w:top w:val="none" w:sz="0" w:space="0" w:color="auto"/>
                <w:left w:val="none" w:sz="0" w:space="0" w:color="auto"/>
                <w:bottom w:val="none" w:sz="0" w:space="0" w:color="auto"/>
                <w:right w:val="none" w:sz="0" w:space="0" w:color="auto"/>
              </w:divBdr>
            </w:div>
          </w:divsChild>
        </w:div>
        <w:div w:id="1125122392">
          <w:marLeft w:val="0"/>
          <w:marRight w:val="0"/>
          <w:marTop w:val="0"/>
          <w:marBottom w:val="0"/>
          <w:divBdr>
            <w:top w:val="none" w:sz="0" w:space="0" w:color="auto"/>
            <w:left w:val="none" w:sz="0" w:space="0" w:color="auto"/>
            <w:bottom w:val="none" w:sz="0" w:space="0" w:color="auto"/>
            <w:right w:val="none" w:sz="0" w:space="0" w:color="auto"/>
          </w:divBdr>
          <w:divsChild>
            <w:div w:id="635764908">
              <w:marLeft w:val="0"/>
              <w:marRight w:val="0"/>
              <w:marTop w:val="0"/>
              <w:marBottom w:val="0"/>
              <w:divBdr>
                <w:top w:val="none" w:sz="0" w:space="0" w:color="auto"/>
                <w:left w:val="none" w:sz="0" w:space="0" w:color="auto"/>
                <w:bottom w:val="none" w:sz="0" w:space="0" w:color="auto"/>
                <w:right w:val="none" w:sz="0" w:space="0" w:color="auto"/>
              </w:divBdr>
            </w:div>
          </w:divsChild>
        </w:div>
        <w:div w:id="1125924540">
          <w:marLeft w:val="0"/>
          <w:marRight w:val="0"/>
          <w:marTop w:val="0"/>
          <w:marBottom w:val="0"/>
          <w:divBdr>
            <w:top w:val="none" w:sz="0" w:space="0" w:color="auto"/>
            <w:left w:val="none" w:sz="0" w:space="0" w:color="auto"/>
            <w:bottom w:val="none" w:sz="0" w:space="0" w:color="auto"/>
            <w:right w:val="none" w:sz="0" w:space="0" w:color="auto"/>
          </w:divBdr>
          <w:divsChild>
            <w:div w:id="1299802421">
              <w:marLeft w:val="0"/>
              <w:marRight w:val="0"/>
              <w:marTop w:val="0"/>
              <w:marBottom w:val="0"/>
              <w:divBdr>
                <w:top w:val="none" w:sz="0" w:space="0" w:color="auto"/>
                <w:left w:val="none" w:sz="0" w:space="0" w:color="auto"/>
                <w:bottom w:val="none" w:sz="0" w:space="0" w:color="auto"/>
                <w:right w:val="none" w:sz="0" w:space="0" w:color="auto"/>
              </w:divBdr>
            </w:div>
          </w:divsChild>
        </w:div>
        <w:div w:id="1138382015">
          <w:marLeft w:val="0"/>
          <w:marRight w:val="0"/>
          <w:marTop w:val="0"/>
          <w:marBottom w:val="0"/>
          <w:divBdr>
            <w:top w:val="none" w:sz="0" w:space="0" w:color="auto"/>
            <w:left w:val="none" w:sz="0" w:space="0" w:color="auto"/>
            <w:bottom w:val="none" w:sz="0" w:space="0" w:color="auto"/>
            <w:right w:val="none" w:sz="0" w:space="0" w:color="auto"/>
          </w:divBdr>
          <w:divsChild>
            <w:div w:id="687802313">
              <w:marLeft w:val="0"/>
              <w:marRight w:val="0"/>
              <w:marTop w:val="0"/>
              <w:marBottom w:val="0"/>
              <w:divBdr>
                <w:top w:val="none" w:sz="0" w:space="0" w:color="auto"/>
                <w:left w:val="none" w:sz="0" w:space="0" w:color="auto"/>
                <w:bottom w:val="none" w:sz="0" w:space="0" w:color="auto"/>
                <w:right w:val="none" w:sz="0" w:space="0" w:color="auto"/>
              </w:divBdr>
            </w:div>
          </w:divsChild>
        </w:div>
        <w:div w:id="1138497783">
          <w:marLeft w:val="0"/>
          <w:marRight w:val="0"/>
          <w:marTop w:val="0"/>
          <w:marBottom w:val="0"/>
          <w:divBdr>
            <w:top w:val="none" w:sz="0" w:space="0" w:color="auto"/>
            <w:left w:val="none" w:sz="0" w:space="0" w:color="auto"/>
            <w:bottom w:val="none" w:sz="0" w:space="0" w:color="auto"/>
            <w:right w:val="none" w:sz="0" w:space="0" w:color="auto"/>
          </w:divBdr>
          <w:divsChild>
            <w:div w:id="1988588974">
              <w:marLeft w:val="0"/>
              <w:marRight w:val="0"/>
              <w:marTop w:val="0"/>
              <w:marBottom w:val="0"/>
              <w:divBdr>
                <w:top w:val="none" w:sz="0" w:space="0" w:color="auto"/>
                <w:left w:val="none" w:sz="0" w:space="0" w:color="auto"/>
                <w:bottom w:val="none" w:sz="0" w:space="0" w:color="auto"/>
                <w:right w:val="none" w:sz="0" w:space="0" w:color="auto"/>
              </w:divBdr>
            </w:div>
          </w:divsChild>
        </w:div>
        <w:div w:id="1148135956">
          <w:marLeft w:val="0"/>
          <w:marRight w:val="0"/>
          <w:marTop w:val="0"/>
          <w:marBottom w:val="0"/>
          <w:divBdr>
            <w:top w:val="none" w:sz="0" w:space="0" w:color="auto"/>
            <w:left w:val="none" w:sz="0" w:space="0" w:color="auto"/>
            <w:bottom w:val="none" w:sz="0" w:space="0" w:color="auto"/>
            <w:right w:val="none" w:sz="0" w:space="0" w:color="auto"/>
          </w:divBdr>
          <w:divsChild>
            <w:div w:id="378094468">
              <w:marLeft w:val="0"/>
              <w:marRight w:val="0"/>
              <w:marTop w:val="0"/>
              <w:marBottom w:val="0"/>
              <w:divBdr>
                <w:top w:val="none" w:sz="0" w:space="0" w:color="auto"/>
                <w:left w:val="none" w:sz="0" w:space="0" w:color="auto"/>
                <w:bottom w:val="none" w:sz="0" w:space="0" w:color="auto"/>
                <w:right w:val="none" w:sz="0" w:space="0" w:color="auto"/>
              </w:divBdr>
            </w:div>
          </w:divsChild>
        </w:div>
        <w:div w:id="1168446981">
          <w:marLeft w:val="0"/>
          <w:marRight w:val="0"/>
          <w:marTop w:val="0"/>
          <w:marBottom w:val="0"/>
          <w:divBdr>
            <w:top w:val="none" w:sz="0" w:space="0" w:color="auto"/>
            <w:left w:val="none" w:sz="0" w:space="0" w:color="auto"/>
            <w:bottom w:val="none" w:sz="0" w:space="0" w:color="auto"/>
            <w:right w:val="none" w:sz="0" w:space="0" w:color="auto"/>
          </w:divBdr>
          <w:divsChild>
            <w:div w:id="1234513858">
              <w:marLeft w:val="0"/>
              <w:marRight w:val="0"/>
              <w:marTop w:val="0"/>
              <w:marBottom w:val="0"/>
              <w:divBdr>
                <w:top w:val="none" w:sz="0" w:space="0" w:color="auto"/>
                <w:left w:val="none" w:sz="0" w:space="0" w:color="auto"/>
                <w:bottom w:val="none" w:sz="0" w:space="0" w:color="auto"/>
                <w:right w:val="none" w:sz="0" w:space="0" w:color="auto"/>
              </w:divBdr>
            </w:div>
          </w:divsChild>
        </w:div>
        <w:div w:id="1170297174">
          <w:marLeft w:val="0"/>
          <w:marRight w:val="0"/>
          <w:marTop w:val="0"/>
          <w:marBottom w:val="0"/>
          <w:divBdr>
            <w:top w:val="none" w:sz="0" w:space="0" w:color="auto"/>
            <w:left w:val="none" w:sz="0" w:space="0" w:color="auto"/>
            <w:bottom w:val="none" w:sz="0" w:space="0" w:color="auto"/>
            <w:right w:val="none" w:sz="0" w:space="0" w:color="auto"/>
          </w:divBdr>
          <w:divsChild>
            <w:div w:id="238565779">
              <w:marLeft w:val="0"/>
              <w:marRight w:val="0"/>
              <w:marTop w:val="0"/>
              <w:marBottom w:val="0"/>
              <w:divBdr>
                <w:top w:val="none" w:sz="0" w:space="0" w:color="auto"/>
                <w:left w:val="none" w:sz="0" w:space="0" w:color="auto"/>
                <w:bottom w:val="none" w:sz="0" w:space="0" w:color="auto"/>
                <w:right w:val="none" w:sz="0" w:space="0" w:color="auto"/>
              </w:divBdr>
            </w:div>
          </w:divsChild>
        </w:div>
        <w:div w:id="1182209139">
          <w:marLeft w:val="0"/>
          <w:marRight w:val="0"/>
          <w:marTop w:val="0"/>
          <w:marBottom w:val="0"/>
          <w:divBdr>
            <w:top w:val="none" w:sz="0" w:space="0" w:color="auto"/>
            <w:left w:val="none" w:sz="0" w:space="0" w:color="auto"/>
            <w:bottom w:val="none" w:sz="0" w:space="0" w:color="auto"/>
            <w:right w:val="none" w:sz="0" w:space="0" w:color="auto"/>
          </w:divBdr>
          <w:divsChild>
            <w:div w:id="1490705860">
              <w:marLeft w:val="0"/>
              <w:marRight w:val="0"/>
              <w:marTop w:val="0"/>
              <w:marBottom w:val="0"/>
              <w:divBdr>
                <w:top w:val="none" w:sz="0" w:space="0" w:color="auto"/>
                <w:left w:val="none" w:sz="0" w:space="0" w:color="auto"/>
                <w:bottom w:val="none" w:sz="0" w:space="0" w:color="auto"/>
                <w:right w:val="none" w:sz="0" w:space="0" w:color="auto"/>
              </w:divBdr>
            </w:div>
          </w:divsChild>
        </w:div>
        <w:div w:id="1207991434">
          <w:marLeft w:val="0"/>
          <w:marRight w:val="0"/>
          <w:marTop w:val="0"/>
          <w:marBottom w:val="0"/>
          <w:divBdr>
            <w:top w:val="none" w:sz="0" w:space="0" w:color="auto"/>
            <w:left w:val="none" w:sz="0" w:space="0" w:color="auto"/>
            <w:bottom w:val="none" w:sz="0" w:space="0" w:color="auto"/>
            <w:right w:val="none" w:sz="0" w:space="0" w:color="auto"/>
          </w:divBdr>
          <w:divsChild>
            <w:div w:id="418794770">
              <w:marLeft w:val="0"/>
              <w:marRight w:val="0"/>
              <w:marTop w:val="0"/>
              <w:marBottom w:val="0"/>
              <w:divBdr>
                <w:top w:val="none" w:sz="0" w:space="0" w:color="auto"/>
                <w:left w:val="none" w:sz="0" w:space="0" w:color="auto"/>
                <w:bottom w:val="none" w:sz="0" w:space="0" w:color="auto"/>
                <w:right w:val="none" w:sz="0" w:space="0" w:color="auto"/>
              </w:divBdr>
            </w:div>
          </w:divsChild>
        </w:div>
        <w:div w:id="1213269101">
          <w:marLeft w:val="0"/>
          <w:marRight w:val="0"/>
          <w:marTop w:val="0"/>
          <w:marBottom w:val="0"/>
          <w:divBdr>
            <w:top w:val="none" w:sz="0" w:space="0" w:color="auto"/>
            <w:left w:val="none" w:sz="0" w:space="0" w:color="auto"/>
            <w:bottom w:val="none" w:sz="0" w:space="0" w:color="auto"/>
            <w:right w:val="none" w:sz="0" w:space="0" w:color="auto"/>
          </w:divBdr>
          <w:divsChild>
            <w:div w:id="1354648116">
              <w:marLeft w:val="0"/>
              <w:marRight w:val="0"/>
              <w:marTop w:val="0"/>
              <w:marBottom w:val="0"/>
              <w:divBdr>
                <w:top w:val="none" w:sz="0" w:space="0" w:color="auto"/>
                <w:left w:val="none" w:sz="0" w:space="0" w:color="auto"/>
                <w:bottom w:val="none" w:sz="0" w:space="0" w:color="auto"/>
                <w:right w:val="none" w:sz="0" w:space="0" w:color="auto"/>
              </w:divBdr>
            </w:div>
          </w:divsChild>
        </w:div>
        <w:div w:id="1216431463">
          <w:marLeft w:val="0"/>
          <w:marRight w:val="0"/>
          <w:marTop w:val="0"/>
          <w:marBottom w:val="0"/>
          <w:divBdr>
            <w:top w:val="none" w:sz="0" w:space="0" w:color="auto"/>
            <w:left w:val="none" w:sz="0" w:space="0" w:color="auto"/>
            <w:bottom w:val="none" w:sz="0" w:space="0" w:color="auto"/>
            <w:right w:val="none" w:sz="0" w:space="0" w:color="auto"/>
          </w:divBdr>
          <w:divsChild>
            <w:div w:id="364059325">
              <w:marLeft w:val="0"/>
              <w:marRight w:val="0"/>
              <w:marTop w:val="0"/>
              <w:marBottom w:val="0"/>
              <w:divBdr>
                <w:top w:val="none" w:sz="0" w:space="0" w:color="auto"/>
                <w:left w:val="none" w:sz="0" w:space="0" w:color="auto"/>
                <w:bottom w:val="none" w:sz="0" w:space="0" w:color="auto"/>
                <w:right w:val="none" w:sz="0" w:space="0" w:color="auto"/>
              </w:divBdr>
            </w:div>
          </w:divsChild>
        </w:div>
        <w:div w:id="1225025999">
          <w:marLeft w:val="0"/>
          <w:marRight w:val="0"/>
          <w:marTop w:val="0"/>
          <w:marBottom w:val="0"/>
          <w:divBdr>
            <w:top w:val="none" w:sz="0" w:space="0" w:color="auto"/>
            <w:left w:val="none" w:sz="0" w:space="0" w:color="auto"/>
            <w:bottom w:val="none" w:sz="0" w:space="0" w:color="auto"/>
            <w:right w:val="none" w:sz="0" w:space="0" w:color="auto"/>
          </w:divBdr>
          <w:divsChild>
            <w:div w:id="1291666412">
              <w:marLeft w:val="0"/>
              <w:marRight w:val="0"/>
              <w:marTop w:val="0"/>
              <w:marBottom w:val="0"/>
              <w:divBdr>
                <w:top w:val="none" w:sz="0" w:space="0" w:color="auto"/>
                <w:left w:val="none" w:sz="0" w:space="0" w:color="auto"/>
                <w:bottom w:val="none" w:sz="0" w:space="0" w:color="auto"/>
                <w:right w:val="none" w:sz="0" w:space="0" w:color="auto"/>
              </w:divBdr>
            </w:div>
          </w:divsChild>
        </w:div>
        <w:div w:id="1240554265">
          <w:marLeft w:val="0"/>
          <w:marRight w:val="0"/>
          <w:marTop w:val="0"/>
          <w:marBottom w:val="0"/>
          <w:divBdr>
            <w:top w:val="none" w:sz="0" w:space="0" w:color="auto"/>
            <w:left w:val="none" w:sz="0" w:space="0" w:color="auto"/>
            <w:bottom w:val="none" w:sz="0" w:space="0" w:color="auto"/>
            <w:right w:val="none" w:sz="0" w:space="0" w:color="auto"/>
          </w:divBdr>
          <w:divsChild>
            <w:div w:id="1325476068">
              <w:marLeft w:val="0"/>
              <w:marRight w:val="0"/>
              <w:marTop w:val="0"/>
              <w:marBottom w:val="0"/>
              <w:divBdr>
                <w:top w:val="none" w:sz="0" w:space="0" w:color="auto"/>
                <w:left w:val="none" w:sz="0" w:space="0" w:color="auto"/>
                <w:bottom w:val="none" w:sz="0" w:space="0" w:color="auto"/>
                <w:right w:val="none" w:sz="0" w:space="0" w:color="auto"/>
              </w:divBdr>
            </w:div>
          </w:divsChild>
        </w:div>
        <w:div w:id="1252157321">
          <w:marLeft w:val="0"/>
          <w:marRight w:val="0"/>
          <w:marTop w:val="0"/>
          <w:marBottom w:val="0"/>
          <w:divBdr>
            <w:top w:val="none" w:sz="0" w:space="0" w:color="auto"/>
            <w:left w:val="none" w:sz="0" w:space="0" w:color="auto"/>
            <w:bottom w:val="none" w:sz="0" w:space="0" w:color="auto"/>
            <w:right w:val="none" w:sz="0" w:space="0" w:color="auto"/>
          </w:divBdr>
          <w:divsChild>
            <w:div w:id="1473399268">
              <w:marLeft w:val="0"/>
              <w:marRight w:val="0"/>
              <w:marTop w:val="0"/>
              <w:marBottom w:val="0"/>
              <w:divBdr>
                <w:top w:val="none" w:sz="0" w:space="0" w:color="auto"/>
                <w:left w:val="none" w:sz="0" w:space="0" w:color="auto"/>
                <w:bottom w:val="none" w:sz="0" w:space="0" w:color="auto"/>
                <w:right w:val="none" w:sz="0" w:space="0" w:color="auto"/>
              </w:divBdr>
            </w:div>
          </w:divsChild>
        </w:div>
        <w:div w:id="1262880913">
          <w:marLeft w:val="0"/>
          <w:marRight w:val="0"/>
          <w:marTop w:val="0"/>
          <w:marBottom w:val="0"/>
          <w:divBdr>
            <w:top w:val="none" w:sz="0" w:space="0" w:color="auto"/>
            <w:left w:val="none" w:sz="0" w:space="0" w:color="auto"/>
            <w:bottom w:val="none" w:sz="0" w:space="0" w:color="auto"/>
            <w:right w:val="none" w:sz="0" w:space="0" w:color="auto"/>
          </w:divBdr>
          <w:divsChild>
            <w:div w:id="1421560145">
              <w:marLeft w:val="0"/>
              <w:marRight w:val="0"/>
              <w:marTop w:val="0"/>
              <w:marBottom w:val="0"/>
              <w:divBdr>
                <w:top w:val="none" w:sz="0" w:space="0" w:color="auto"/>
                <w:left w:val="none" w:sz="0" w:space="0" w:color="auto"/>
                <w:bottom w:val="none" w:sz="0" w:space="0" w:color="auto"/>
                <w:right w:val="none" w:sz="0" w:space="0" w:color="auto"/>
              </w:divBdr>
            </w:div>
          </w:divsChild>
        </w:div>
        <w:div w:id="1271545859">
          <w:marLeft w:val="0"/>
          <w:marRight w:val="0"/>
          <w:marTop w:val="0"/>
          <w:marBottom w:val="0"/>
          <w:divBdr>
            <w:top w:val="none" w:sz="0" w:space="0" w:color="auto"/>
            <w:left w:val="none" w:sz="0" w:space="0" w:color="auto"/>
            <w:bottom w:val="none" w:sz="0" w:space="0" w:color="auto"/>
            <w:right w:val="none" w:sz="0" w:space="0" w:color="auto"/>
          </w:divBdr>
          <w:divsChild>
            <w:div w:id="310672201">
              <w:marLeft w:val="0"/>
              <w:marRight w:val="0"/>
              <w:marTop w:val="0"/>
              <w:marBottom w:val="0"/>
              <w:divBdr>
                <w:top w:val="none" w:sz="0" w:space="0" w:color="auto"/>
                <w:left w:val="none" w:sz="0" w:space="0" w:color="auto"/>
                <w:bottom w:val="none" w:sz="0" w:space="0" w:color="auto"/>
                <w:right w:val="none" w:sz="0" w:space="0" w:color="auto"/>
              </w:divBdr>
            </w:div>
          </w:divsChild>
        </w:div>
        <w:div w:id="1300108686">
          <w:marLeft w:val="0"/>
          <w:marRight w:val="0"/>
          <w:marTop w:val="0"/>
          <w:marBottom w:val="0"/>
          <w:divBdr>
            <w:top w:val="none" w:sz="0" w:space="0" w:color="auto"/>
            <w:left w:val="none" w:sz="0" w:space="0" w:color="auto"/>
            <w:bottom w:val="none" w:sz="0" w:space="0" w:color="auto"/>
            <w:right w:val="none" w:sz="0" w:space="0" w:color="auto"/>
          </w:divBdr>
          <w:divsChild>
            <w:div w:id="840121941">
              <w:marLeft w:val="0"/>
              <w:marRight w:val="0"/>
              <w:marTop w:val="0"/>
              <w:marBottom w:val="0"/>
              <w:divBdr>
                <w:top w:val="none" w:sz="0" w:space="0" w:color="auto"/>
                <w:left w:val="none" w:sz="0" w:space="0" w:color="auto"/>
                <w:bottom w:val="none" w:sz="0" w:space="0" w:color="auto"/>
                <w:right w:val="none" w:sz="0" w:space="0" w:color="auto"/>
              </w:divBdr>
            </w:div>
          </w:divsChild>
        </w:div>
        <w:div w:id="1347319645">
          <w:marLeft w:val="0"/>
          <w:marRight w:val="0"/>
          <w:marTop w:val="0"/>
          <w:marBottom w:val="0"/>
          <w:divBdr>
            <w:top w:val="none" w:sz="0" w:space="0" w:color="auto"/>
            <w:left w:val="none" w:sz="0" w:space="0" w:color="auto"/>
            <w:bottom w:val="none" w:sz="0" w:space="0" w:color="auto"/>
            <w:right w:val="none" w:sz="0" w:space="0" w:color="auto"/>
          </w:divBdr>
          <w:divsChild>
            <w:div w:id="1893345648">
              <w:marLeft w:val="0"/>
              <w:marRight w:val="0"/>
              <w:marTop w:val="0"/>
              <w:marBottom w:val="0"/>
              <w:divBdr>
                <w:top w:val="none" w:sz="0" w:space="0" w:color="auto"/>
                <w:left w:val="none" w:sz="0" w:space="0" w:color="auto"/>
                <w:bottom w:val="none" w:sz="0" w:space="0" w:color="auto"/>
                <w:right w:val="none" w:sz="0" w:space="0" w:color="auto"/>
              </w:divBdr>
            </w:div>
          </w:divsChild>
        </w:div>
        <w:div w:id="1393118682">
          <w:marLeft w:val="0"/>
          <w:marRight w:val="0"/>
          <w:marTop w:val="0"/>
          <w:marBottom w:val="0"/>
          <w:divBdr>
            <w:top w:val="none" w:sz="0" w:space="0" w:color="auto"/>
            <w:left w:val="none" w:sz="0" w:space="0" w:color="auto"/>
            <w:bottom w:val="none" w:sz="0" w:space="0" w:color="auto"/>
            <w:right w:val="none" w:sz="0" w:space="0" w:color="auto"/>
          </w:divBdr>
          <w:divsChild>
            <w:div w:id="1213420545">
              <w:marLeft w:val="0"/>
              <w:marRight w:val="0"/>
              <w:marTop w:val="0"/>
              <w:marBottom w:val="0"/>
              <w:divBdr>
                <w:top w:val="none" w:sz="0" w:space="0" w:color="auto"/>
                <w:left w:val="none" w:sz="0" w:space="0" w:color="auto"/>
                <w:bottom w:val="none" w:sz="0" w:space="0" w:color="auto"/>
                <w:right w:val="none" w:sz="0" w:space="0" w:color="auto"/>
              </w:divBdr>
            </w:div>
          </w:divsChild>
        </w:div>
        <w:div w:id="1400446420">
          <w:marLeft w:val="0"/>
          <w:marRight w:val="0"/>
          <w:marTop w:val="0"/>
          <w:marBottom w:val="0"/>
          <w:divBdr>
            <w:top w:val="none" w:sz="0" w:space="0" w:color="auto"/>
            <w:left w:val="none" w:sz="0" w:space="0" w:color="auto"/>
            <w:bottom w:val="none" w:sz="0" w:space="0" w:color="auto"/>
            <w:right w:val="none" w:sz="0" w:space="0" w:color="auto"/>
          </w:divBdr>
          <w:divsChild>
            <w:div w:id="2057731450">
              <w:marLeft w:val="0"/>
              <w:marRight w:val="0"/>
              <w:marTop w:val="0"/>
              <w:marBottom w:val="0"/>
              <w:divBdr>
                <w:top w:val="none" w:sz="0" w:space="0" w:color="auto"/>
                <w:left w:val="none" w:sz="0" w:space="0" w:color="auto"/>
                <w:bottom w:val="none" w:sz="0" w:space="0" w:color="auto"/>
                <w:right w:val="none" w:sz="0" w:space="0" w:color="auto"/>
              </w:divBdr>
            </w:div>
          </w:divsChild>
        </w:div>
        <w:div w:id="1402214619">
          <w:marLeft w:val="0"/>
          <w:marRight w:val="0"/>
          <w:marTop w:val="0"/>
          <w:marBottom w:val="0"/>
          <w:divBdr>
            <w:top w:val="none" w:sz="0" w:space="0" w:color="auto"/>
            <w:left w:val="none" w:sz="0" w:space="0" w:color="auto"/>
            <w:bottom w:val="none" w:sz="0" w:space="0" w:color="auto"/>
            <w:right w:val="none" w:sz="0" w:space="0" w:color="auto"/>
          </w:divBdr>
          <w:divsChild>
            <w:div w:id="761874889">
              <w:marLeft w:val="0"/>
              <w:marRight w:val="0"/>
              <w:marTop w:val="0"/>
              <w:marBottom w:val="0"/>
              <w:divBdr>
                <w:top w:val="none" w:sz="0" w:space="0" w:color="auto"/>
                <w:left w:val="none" w:sz="0" w:space="0" w:color="auto"/>
                <w:bottom w:val="none" w:sz="0" w:space="0" w:color="auto"/>
                <w:right w:val="none" w:sz="0" w:space="0" w:color="auto"/>
              </w:divBdr>
            </w:div>
          </w:divsChild>
        </w:div>
        <w:div w:id="1403217403">
          <w:marLeft w:val="0"/>
          <w:marRight w:val="0"/>
          <w:marTop w:val="0"/>
          <w:marBottom w:val="0"/>
          <w:divBdr>
            <w:top w:val="none" w:sz="0" w:space="0" w:color="auto"/>
            <w:left w:val="none" w:sz="0" w:space="0" w:color="auto"/>
            <w:bottom w:val="none" w:sz="0" w:space="0" w:color="auto"/>
            <w:right w:val="none" w:sz="0" w:space="0" w:color="auto"/>
          </w:divBdr>
          <w:divsChild>
            <w:div w:id="346323975">
              <w:marLeft w:val="0"/>
              <w:marRight w:val="0"/>
              <w:marTop w:val="0"/>
              <w:marBottom w:val="0"/>
              <w:divBdr>
                <w:top w:val="none" w:sz="0" w:space="0" w:color="auto"/>
                <w:left w:val="none" w:sz="0" w:space="0" w:color="auto"/>
                <w:bottom w:val="none" w:sz="0" w:space="0" w:color="auto"/>
                <w:right w:val="none" w:sz="0" w:space="0" w:color="auto"/>
              </w:divBdr>
            </w:div>
          </w:divsChild>
        </w:div>
        <w:div w:id="1414277968">
          <w:marLeft w:val="0"/>
          <w:marRight w:val="0"/>
          <w:marTop w:val="0"/>
          <w:marBottom w:val="0"/>
          <w:divBdr>
            <w:top w:val="none" w:sz="0" w:space="0" w:color="auto"/>
            <w:left w:val="none" w:sz="0" w:space="0" w:color="auto"/>
            <w:bottom w:val="none" w:sz="0" w:space="0" w:color="auto"/>
            <w:right w:val="none" w:sz="0" w:space="0" w:color="auto"/>
          </w:divBdr>
          <w:divsChild>
            <w:div w:id="1796292518">
              <w:marLeft w:val="0"/>
              <w:marRight w:val="0"/>
              <w:marTop w:val="0"/>
              <w:marBottom w:val="0"/>
              <w:divBdr>
                <w:top w:val="none" w:sz="0" w:space="0" w:color="auto"/>
                <w:left w:val="none" w:sz="0" w:space="0" w:color="auto"/>
                <w:bottom w:val="none" w:sz="0" w:space="0" w:color="auto"/>
                <w:right w:val="none" w:sz="0" w:space="0" w:color="auto"/>
              </w:divBdr>
            </w:div>
          </w:divsChild>
        </w:div>
        <w:div w:id="1415976254">
          <w:marLeft w:val="0"/>
          <w:marRight w:val="0"/>
          <w:marTop w:val="0"/>
          <w:marBottom w:val="0"/>
          <w:divBdr>
            <w:top w:val="none" w:sz="0" w:space="0" w:color="auto"/>
            <w:left w:val="none" w:sz="0" w:space="0" w:color="auto"/>
            <w:bottom w:val="none" w:sz="0" w:space="0" w:color="auto"/>
            <w:right w:val="none" w:sz="0" w:space="0" w:color="auto"/>
          </w:divBdr>
          <w:divsChild>
            <w:div w:id="1062292124">
              <w:marLeft w:val="0"/>
              <w:marRight w:val="0"/>
              <w:marTop w:val="0"/>
              <w:marBottom w:val="0"/>
              <w:divBdr>
                <w:top w:val="none" w:sz="0" w:space="0" w:color="auto"/>
                <w:left w:val="none" w:sz="0" w:space="0" w:color="auto"/>
                <w:bottom w:val="none" w:sz="0" w:space="0" w:color="auto"/>
                <w:right w:val="none" w:sz="0" w:space="0" w:color="auto"/>
              </w:divBdr>
            </w:div>
          </w:divsChild>
        </w:div>
        <w:div w:id="1431852218">
          <w:marLeft w:val="0"/>
          <w:marRight w:val="0"/>
          <w:marTop w:val="0"/>
          <w:marBottom w:val="0"/>
          <w:divBdr>
            <w:top w:val="none" w:sz="0" w:space="0" w:color="auto"/>
            <w:left w:val="none" w:sz="0" w:space="0" w:color="auto"/>
            <w:bottom w:val="none" w:sz="0" w:space="0" w:color="auto"/>
            <w:right w:val="none" w:sz="0" w:space="0" w:color="auto"/>
          </w:divBdr>
          <w:divsChild>
            <w:div w:id="179853757">
              <w:marLeft w:val="0"/>
              <w:marRight w:val="0"/>
              <w:marTop w:val="0"/>
              <w:marBottom w:val="0"/>
              <w:divBdr>
                <w:top w:val="none" w:sz="0" w:space="0" w:color="auto"/>
                <w:left w:val="none" w:sz="0" w:space="0" w:color="auto"/>
                <w:bottom w:val="none" w:sz="0" w:space="0" w:color="auto"/>
                <w:right w:val="none" w:sz="0" w:space="0" w:color="auto"/>
              </w:divBdr>
            </w:div>
          </w:divsChild>
        </w:div>
        <w:div w:id="1456144721">
          <w:marLeft w:val="0"/>
          <w:marRight w:val="0"/>
          <w:marTop w:val="0"/>
          <w:marBottom w:val="0"/>
          <w:divBdr>
            <w:top w:val="none" w:sz="0" w:space="0" w:color="auto"/>
            <w:left w:val="none" w:sz="0" w:space="0" w:color="auto"/>
            <w:bottom w:val="none" w:sz="0" w:space="0" w:color="auto"/>
            <w:right w:val="none" w:sz="0" w:space="0" w:color="auto"/>
          </w:divBdr>
          <w:divsChild>
            <w:div w:id="1266886631">
              <w:marLeft w:val="0"/>
              <w:marRight w:val="0"/>
              <w:marTop w:val="0"/>
              <w:marBottom w:val="0"/>
              <w:divBdr>
                <w:top w:val="none" w:sz="0" w:space="0" w:color="auto"/>
                <w:left w:val="none" w:sz="0" w:space="0" w:color="auto"/>
                <w:bottom w:val="none" w:sz="0" w:space="0" w:color="auto"/>
                <w:right w:val="none" w:sz="0" w:space="0" w:color="auto"/>
              </w:divBdr>
            </w:div>
          </w:divsChild>
        </w:div>
        <w:div w:id="1458185321">
          <w:marLeft w:val="0"/>
          <w:marRight w:val="0"/>
          <w:marTop w:val="0"/>
          <w:marBottom w:val="0"/>
          <w:divBdr>
            <w:top w:val="none" w:sz="0" w:space="0" w:color="auto"/>
            <w:left w:val="none" w:sz="0" w:space="0" w:color="auto"/>
            <w:bottom w:val="none" w:sz="0" w:space="0" w:color="auto"/>
            <w:right w:val="none" w:sz="0" w:space="0" w:color="auto"/>
          </w:divBdr>
          <w:divsChild>
            <w:div w:id="456726051">
              <w:marLeft w:val="0"/>
              <w:marRight w:val="0"/>
              <w:marTop w:val="0"/>
              <w:marBottom w:val="0"/>
              <w:divBdr>
                <w:top w:val="none" w:sz="0" w:space="0" w:color="auto"/>
                <w:left w:val="none" w:sz="0" w:space="0" w:color="auto"/>
                <w:bottom w:val="none" w:sz="0" w:space="0" w:color="auto"/>
                <w:right w:val="none" w:sz="0" w:space="0" w:color="auto"/>
              </w:divBdr>
            </w:div>
          </w:divsChild>
        </w:div>
        <w:div w:id="1458793867">
          <w:marLeft w:val="0"/>
          <w:marRight w:val="0"/>
          <w:marTop w:val="0"/>
          <w:marBottom w:val="0"/>
          <w:divBdr>
            <w:top w:val="none" w:sz="0" w:space="0" w:color="auto"/>
            <w:left w:val="none" w:sz="0" w:space="0" w:color="auto"/>
            <w:bottom w:val="none" w:sz="0" w:space="0" w:color="auto"/>
            <w:right w:val="none" w:sz="0" w:space="0" w:color="auto"/>
          </w:divBdr>
          <w:divsChild>
            <w:div w:id="280302595">
              <w:marLeft w:val="0"/>
              <w:marRight w:val="0"/>
              <w:marTop w:val="0"/>
              <w:marBottom w:val="0"/>
              <w:divBdr>
                <w:top w:val="none" w:sz="0" w:space="0" w:color="auto"/>
                <w:left w:val="none" w:sz="0" w:space="0" w:color="auto"/>
                <w:bottom w:val="none" w:sz="0" w:space="0" w:color="auto"/>
                <w:right w:val="none" w:sz="0" w:space="0" w:color="auto"/>
              </w:divBdr>
            </w:div>
          </w:divsChild>
        </w:div>
        <w:div w:id="1472792588">
          <w:marLeft w:val="0"/>
          <w:marRight w:val="0"/>
          <w:marTop w:val="0"/>
          <w:marBottom w:val="0"/>
          <w:divBdr>
            <w:top w:val="none" w:sz="0" w:space="0" w:color="auto"/>
            <w:left w:val="none" w:sz="0" w:space="0" w:color="auto"/>
            <w:bottom w:val="none" w:sz="0" w:space="0" w:color="auto"/>
            <w:right w:val="none" w:sz="0" w:space="0" w:color="auto"/>
          </w:divBdr>
          <w:divsChild>
            <w:div w:id="1193959299">
              <w:marLeft w:val="0"/>
              <w:marRight w:val="0"/>
              <w:marTop w:val="0"/>
              <w:marBottom w:val="0"/>
              <w:divBdr>
                <w:top w:val="none" w:sz="0" w:space="0" w:color="auto"/>
                <w:left w:val="none" w:sz="0" w:space="0" w:color="auto"/>
                <w:bottom w:val="none" w:sz="0" w:space="0" w:color="auto"/>
                <w:right w:val="none" w:sz="0" w:space="0" w:color="auto"/>
              </w:divBdr>
            </w:div>
          </w:divsChild>
        </w:div>
        <w:div w:id="1489176415">
          <w:marLeft w:val="0"/>
          <w:marRight w:val="0"/>
          <w:marTop w:val="0"/>
          <w:marBottom w:val="0"/>
          <w:divBdr>
            <w:top w:val="none" w:sz="0" w:space="0" w:color="auto"/>
            <w:left w:val="none" w:sz="0" w:space="0" w:color="auto"/>
            <w:bottom w:val="none" w:sz="0" w:space="0" w:color="auto"/>
            <w:right w:val="none" w:sz="0" w:space="0" w:color="auto"/>
          </w:divBdr>
          <w:divsChild>
            <w:div w:id="134184597">
              <w:marLeft w:val="0"/>
              <w:marRight w:val="0"/>
              <w:marTop w:val="0"/>
              <w:marBottom w:val="0"/>
              <w:divBdr>
                <w:top w:val="none" w:sz="0" w:space="0" w:color="auto"/>
                <w:left w:val="none" w:sz="0" w:space="0" w:color="auto"/>
                <w:bottom w:val="none" w:sz="0" w:space="0" w:color="auto"/>
                <w:right w:val="none" w:sz="0" w:space="0" w:color="auto"/>
              </w:divBdr>
            </w:div>
          </w:divsChild>
        </w:div>
        <w:div w:id="1495954275">
          <w:marLeft w:val="0"/>
          <w:marRight w:val="0"/>
          <w:marTop w:val="0"/>
          <w:marBottom w:val="0"/>
          <w:divBdr>
            <w:top w:val="none" w:sz="0" w:space="0" w:color="auto"/>
            <w:left w:val="none" w:sz="0" w:space="0" w:color="auto"/>
            <w:bottom w:val="none" w:sz="0" w:space="0" w:color="auto"/>
            <w:right w:val="none" w:sz="0" w:space="0" w:color="auto"/>
          </w:divBdr>
          <w:divsChild>
            <w:div w:id="151989814">
              <w:marLeft w:val="0"/>
              <w:marRight w:val="0"/>
              <w:marTop w:val="0"/>
              <w:marBottom w:val="0"/>
              <w:divBdr>
                <w:top w:val="none" w:sz="0" w:space="0" w:color="auto"/>
                <w:left w:val="none" w:sz="0" w:space="0" w:color="auto"/>
                <w:bottom w:val="none" w:sz="0" w:space="0" w:color="auto"/>
                <w:right w:val="none" w:sz="0" w:space="0" w:color="auto"/>
              </w:divBdr>
            </w:div>
          </w:divsChild>
        </w:div>
        <w:div w:id="1503541920">
          <w:marLeft w:val="0"/>
          <w:marRight w:val="0"/>
          <w:marTop w:val="0"/>
          <w:marBottom w:val="0"/>
          <w:divBdr>
            <w:top w:val="none" w:sz="0" w:space="0" w:color="auto"/>
            <w:left w:val="none" w:sz="0" w:space="0" w:color="auto"/>
            <w:bottom w:val="none" w:sz="0" w:space="0" w:color="auto"/>
            <w:right w:val="none" w:sz="0" w:space="0" w:color="auto"/>
          </w:divBdr>
          <w:divsChild>
            <w:div w:id="536547184">
              <w:marLeft w:val="0"/>
              <w:marRight w:val="0"/>
              <w:marTop w:val="0"/>
              <w:marBottom w:val="0"/>
              <w:divBdr>
                <w:top w:val="none" w:sz="0" w:space="0" w:color="auto"/>
                <w:left w:val="none" w:sz="0" w:space="0" w:color="auto"/>
                <w:bottom w:val="none" w:sz="0" w:space="0" w:color="auto"/>
                <w:right w:val="none" w:sz="0" w:space="0" w:color="auto"/>
              </w:divBdr>
            </w:div>
          </w:divsChild>
        </w:div>
        <w:div w:id="1515731457">
          <w:marLeft w:val="0"/>
          <w:marRight w:val="0"/>
          <w:marTop w:val="0"/>
          <w:marBottom w:val="0"/>
          <w:divBdr>
            <w:top w:val="none" w:sz="0" w:space="0" w:color="auto"/>
            <w:left w:val="none" w:sz="0" w:space="0" w:color="auto"/>
            <w:bottom w:val="none" w:sz="0" w:space="0" w:color="auto"/>
            <w:right w:val="none" w:sz="0" w:space="0" w:color="auto"/>
          </w:divBdr>
          <w:divsChild>
            <w:div w:id="1209608047">
              <w:marLeft w:val="0"/>
              <w:marRight w:val="0"/>
              <w:marTop w:val="0"/>
              <w:marBottom w:val="0"/>
              <w:divBdr>
                <w:top w:val="none" w:sz="0" w:space="0" w:color="auto"/>
                <w:left w:val="none" w:sz="0" w:space="0" w:color="auto"/>
                <w:bottom w:val="none" w:sz="0" w:space="0" w:color="auto"/>
                <w:right w:val="none" w:sz="0" w:space="0" w:color="auto"/>
              </w:divBdr>
            </w:div>
          </w:divsChild>
        </w:div>
        <w:div w:id="1539470924">
          <w:marLeft w:val="0"/>
          <w:marRight w:val="0"/>
          <w:marTop w:val="0"/>
          <w:marBottom w:val="0"/>
          <w:divBdr>
            <w:top w:val="none" w:sz="0" w:space="0" w:color="auto"/>
            <w:left w:val="none" w:sz="0" w:space="0" w:color="auto"/>
            <w:bottom w:val="none" w:sz="0" w:space="0" w:color="auto"/>
            <w:right w:val="none" w:sz="0" w:space="0" w:color="auto"/>
          </w:divBdr>
          <w:divsChild>
            <w:div w:id="280067563">
              <w:marLeft w:val="0"/>
              <w:marRight w:val="0"/>
              <w:marTop w:val="0"/>
              <w:marBottom w:val="0"/>
              <w:divBdr>
                <w:top w:val="none" w:sz="0" w:space="0" w:color="auto"/>
                <w:left w:val="none" w:sz="0" w:space="0" w:color="auto"/>
                <w:bottom w:val="none" w:sz="0" w:space="0" w:color="auto"/>
                <w:right w:val="none" w:sz="0" w:space="0" w:color="auto"/>
              </w:divBdr>
            </w:div>
          </w:divsChild>
        </w:div>
        <w:div w:id="1545094337">
          <w:marLeft w:val="0"/>
          <w:marRight w:val="0"/>
          <w:marTop w:val="0"/>
          <w:marBottom w:val="0"/>
          <w:divBdr>
            <w:top w:val="none" w:sz="0" w:space="0" w:color="auto"/>
            <w:left w:val="none" w:sz="0" w:space="0" w:color="auto"/>
            <w:bottom w:val="none" w:sz="0" w:space="0" w:color="auto"/>
            <w:right w:val="none" w:sz="0" w:space="0" w:color="auto"/>
          </w:divBdr>
          <w:divsChild>
            <w:div w:id="26150661">
              <w:marLeft w:val="0"/>
              <w:marRight w:val="0"/>
              <w:marTop w:val="0"/>
              <w:marBottom w:val="0"/>
              <w:divBdr>
                <w:top w:val="none" w:sz="0" w:space="0" w:color="auto"/>
                <w:left w:val="none" w:sz="0" w:space="0" w:color="auto"/>
                <w:bottom w:val="none" w:sz="0" w:space="0" w:color="auto"/>
                <w:right w:val="none" w:sz="0" w:space="0" w:color="auto"/>
              </w:divBdr>
            </w:div>
          </w:divsChild>
        </w:div>
        <w:div w:id="1565994870">
          <w:marLeft w:val="0"/>
          <w:marRight w:val="0"/>
          <w:marTop w:val="0"/>
          <w:marBottom w:val="0"/>
          <w:divBdr>
            <w:top w:val="none" w:sz="0" w:space="0" w:color="auto"/>
            <w:left w:val="none" w:sz="0" w:space="0" w:color="auto"/>
            <w:bottom w:val="none" w:sz="0" w:space="0" w:color="auto"/>
            <w:right w:val="none" w:sz="0" w:space="0" w:color="auto"/>
          </w:divBdr>
          <w:divsChild>
            <w:div w:id="1208758214">
              <w:marLeft w:val="0"/>
              <w:marRight w:val="0"/>
              <w:marTop w:val="0"/>
              <w:marBottom w:val="0"/>
              <w:divBdr>
                <w:top w:val="none" w:sz="0" w:space="0" w:color="auto"/>
                <w:left w:val="none" w:sz="0" w:space="0" w:color="auto"/>
                <w:bottom w:val="none" w:sz="0" w:space="0" w:color="auto"/>
                <w:right w:val="none" w:sz="0" w:space="0" w:color="auto"/>
              </w:divBdr>
            </w:div>
          </w:divsChild>
        </w:div>
        <w:div w:id="1567448700">
          <w:marLeft w:val="0"/>
          <w:marRight w:val="0"/>
          <w:marTop w:val="0"/>
          <w:marBottom w:val="0"/>
          <w:divBdr>
            <w:top w:val="none" w:sz="0" w:space="0" w:color="auto"/>
            <w:left w:val="none" w:sz="0" w:space="0" w:color="auto"/>
            <w:bottom w:val="none" w:sz="0" w:space="0" w:color="auto"/>
            <w:right w:val="none" w:sz="0" w:space="0" w:color="auto"/>
          </w:divBdr>
          <w:divsChild>
            <w:div w:id="512959810">
              <w:marLeft w:val="0"/>
              <w:marRight w:val="0"/>
              <w:marTop w:val="0"/>
              <w:marBottom w:val="0"/>
              <w:divBdr>
                <w:top w:val="none" w:sz="0" w:space="0" w:color="auto"/>
                <w:left w:val="none" w:sz="0" w:space="0" w:color="auto"/>
                <w:bottom w:val="none" w:sz="0" w:space="0" w:color="auto"/>
                <w:right w:val="none" w:sz="0" w:space="0" w:color="auto"/>
              </w:divBdr>
            </w:div>
          </w:divsChild>
        </w:div>
        <w:div w:id="1602300641">
          <w:marLeft w:val="0"/>
          <w:marRight w:val="0"/>
          <w:marTop w:val="0"/>
          <w:marBottom w:val="0"/>
          <w:divBdr>
            <w:top w:val="none" w:sz="0" w:space="0" w:color="auto"/>
            <w:left w:val="none" w:sz="0" w:space="0" w:color="auto"/>
            <w:bottom w:val="none" w:sz="0" w:space="0" w:color="auto"/>
            <w:right w:val="none" w:sz="0" w:space="0" w:color="auto"/>
          </w:divBdr>
          <w:divsChild>
            <w:div w:id="1233588855">
              <w:marLeft w:val="0"/>
              <w:marRight w:val="0"/>
              <w:marTop w:val="0"/>
              <w:marBottom w:val="0"/>
              <w:divBdr>
                <w:top w:val="none" w:sz="0" w:space="0" w:color="auto"/>
                <w:left w:val="none" w:sz="0" w:space="0" w:color="auto"/>
                <w:bottom w:val="none" w:sz="0" w:space="0" w:color="auto"/>
                <w:right w:val="none" w:sz="0" w:space="0" w:color="auto"/>
              </w:divBdr>
            </w:div>
          </w:divsChild>
        </w:div>
        <w:div w:id="1603608403">
          <w:marLeft w:val="0"/>
          <w:marRight w:val="0"/>
          <w:marTop w:val="0"/>
          <w:marBottom w:val="0"/>
          <w:divBdr>
            <w:top w:val="none" w:sz="0" w:space="0" w:color="auto"/>
            <w:left w:val="none" w:sz="0" w:space="0" w:color="auto"/>
            <w:bottom w:val="none" w:sz="0" w:space="0" w:color="auto"/>
            <w:right w:val="none" w:sz="0" w:space="0" w:color="auto"/>
          </w:divBdr>
          <w:divsChild>
            <w:div w:id="1764372429">
              <w:marLeft w:val="0"/>
              <w:marRight w:val="0"/>
              <w:marTop w:val="0"/>
              <w:marBottom w:val="0"/>
              <w:divBdr>
                <w:top w:val="none" w:sz="0" w:space="0" w:color="auto"/>
                <w:left w:val="none" w:sz="0" w:space="0" w:color="auto"/>
                <w:bottom w:val="none" w:sz="0" w:space="0" w:color="auto"/>
                <w:right w:val="none" w:sz="0" w:space="0" w:color="auto"/>
              </w:divBdr>
            </w:div>
          </w:divsChild>
        </w:div>
        <w:div w:id="1622687682">
          <w:marLeft w:val="0"/>
          <w:marRight w:val="0"/>
          <w:marTop w:val="0"/>
          <w:marBottom w:val="0"/>
          <w:divBdr>
            <w:top w:val="none" w:sz="0" w:space="0" w:color="auto"/>
            <w:left w:val="none" w:sz="0" w:space="0" w:color="auto"/>
            <w:bottom w:val="none" w:sz="0" w:space="0" w:color="auto"/>
            <w:right w:val="none" w:sz="0" w:space="0" w:color="auto"/>
          </w:divBdr>
          <w:divsChild>
            <w:div w:id="723138406">
              <w:marLeft w:val="0"/>
              <w:marRight w:val="0"/>
              <w:marTop w:val="0"/>
              <w:marBottom w:val="0"/>
              <w:divBdr>
                <w:top w:val="none" w:sz="0" w:space="0" w:color="auto"/>
                <w:left w:val="none" w:sz="0" w:space="0" w:color="auto"/>
                <w:bottom w:val="none" w:sz="0" w:space="0" w:color="auto"/>
                <w:right w:val="none" w:sz="0" w:space="0" w:color="auto"/>
              </w:divBdr>
            </w:div>
          </w:divsChild>
        </w:div>
        <w:div w:id="1660696688">
          <w:marLeft w:val="0"/>
          <w:marRight w:val="0"/>
          <w:marTop w:val="0"/>
          <w:marBottom w:val="0"/>
          <w:divBdr>
            <w:top w:val="none" w:sz="0" w:space="0" w:color="auto"/>
            <w:left w:val="none" w:sz="0" w:space="0" w:color="auto"/>
            <w:bottom w:val="none" w:sz="0" w:space="0" w:color="auto"/>
            <w:right w:val="none" w:sz="0" w:space="0" w:color="auto"/>
          </w:divBdr>
          <w:divsChild>
            <w:div w:id="1279750808">
              <w:marLeft w:val="0"/>
              <w:marRight w:val="0"/>
              <w:marTop w:val="0"/>
              <w:marBottom w:val="0"/>
              <w:divBdr>
                <w:top w:val="none" w:sz="0" w:space="0" w:color="auto"/>
                <w:left w:val="none" w:sz="0" w:space="0" w:color="auto"/>
                <w:bottom w:val="none" w:sz="0" w:space="0" w:color="auto"/>
                <w:right w:val="none" w:sz="0" w:space="0" w:color="auto"/>
              </w:divBdr>
            </w:div>
          </w:divsChild>
        </w:div>
        <w:div w:id="1682511397">
          <w:marLeft w:val="0"/>
          <w:marRight w:val="0"/>
          <w:marTop w:val="0"/>
          <w:marBottom w:val="0"/>
          <w:divBdr>
            <w:top w:val="none" w:sz="0" w:space="0" w:color="auto"/>
            <w:left w:val="none" w:sz="0" w:space="0" w:color="auto"/>
            <w:bottom w:val="none" w:sz="0" w:space="0" w:color="auto"/>
            <w:right w:val="none" w:sz="0" w:space="0" w:color="auto"/>
          </w:divBdr>
          <w:divsChild>
            <w:div w:id="1558512456">
              <w:marLeft w:val="0"/>
              <w:marRight w:val="0"/>
              <w:marTop w:val="0"/>
              <w:marBottom w:val="0"/>
              <w:divBdr>
                <w:top w:val="none" w:sz="0" w:space="0" w:color="auto"/>
                <w:left w:val="none" w:sz="0" w:space="0" w:color="auto"/>
                <w:bottom w:val="none" w:sz="0" w:space="0" w:color="auto"/>
                <w:right w:val="none" w:sz="0" w:space="0" w:color="auto"/>
              </w:divBdr>
            </w:div>
          </w:divsChild>
        </w:div>
        <w:div w:id="1698896054">
          <w:marLeft w:val="0"/>
          <w:marRight w:val="0"/>
          <w:marTop w:val="0"/>
          <w:marBottom w:val="0"/>
          <w:divBdr>
            <w:top w:val="none" w:sz="0" w:space="0" w:color="auto"/>
            <w:left w:val="none" w:sz="0" w:space="0" w:color="auto"/>
            <w:bottom w:val="none" w:sz="0" w:space="0" w:color="auto"/>
            <w:right w:val="none" w:sz="0" w:space="0" w:color="auto"/>
          </w:divBdr>
          <w:divsChild>
            <w:div w:id="362026535">
              <w:marLeft w:val="0"/>
              <w:marRight w:val="0"/>
              <w:marTop w:val="0"/>
              <w:marBottom w:val="0"/>
              <w:divBdr>
                <w:top w:val="none" w:sz="0" w:space="0" w:color="auto"/>
                <w:left w:val="none" w:sz="0" w:space="0" w:color="auto"/>
                <w:bottom w:val="none" w:sz="0" w:space="0" w:color="auto"/>
                <w:right w:val="none" w:sz="0" w:space="0" w:color="auto"/>
              </w:divBdr>
            </w:div>
          </w:divsChild>
        </w:div>
        <w:div w:id="1706910152">
          <w:marLeft w:val="0"/>
          <w:marRight w:val="0"/>
          <w:marTop w:val="0"/>
          <w:marBottom w:val="0"/>
          <w:divBdr>
            <w:top w:val="none" w:sz="0" w:space="0" w:color="auto"/>
            <w:left w:val="none" w:sz="0" w:space="0" w:color="auto"/>
            <w:bottom w:val="none" w:sz="0" w:space="0" w:color="auto"/>
            <w:right w:val="none" w:sz="0" w:space="0" w:color="auto"/>
          </w:divBdr>
          <w:divsChild>
            <w:div w:id="1315918119">
              <w:marLeft w:val="0"/>
              <w:marRight w:val="0"/>
              <w:marTop w:val="0"/>
              <w:marBottom w:val="0"/>
              <w:divBdr>
                <w:top w:val="none" w:sz="0" w:space="0" w:color="auto"/>
                <w:left w:val="none" w:sz="0" w:space="0" w:color="auto"/>
                <w:bottom w:val="none" w:sz="0" w:space="0" w:color="auto"/>
                <w:right w:val="none" w:sz="0" w:space="0" w:color="auto"/>
              </w:divBdr>
            </w:div>
          </w:divsChild>
        </w:div>
        <w:div w:id="1744447616">
          <w:marLeft w:val="0"/>
          <w:marRight w:val="0"/>
          <w:marTop w:val="0"/>
          <w:marBottom w:val="0"/>
          <w:divBdr>
            <w:top w:val="none" w:sz="0" w:space="0" w:color="auto"/>
            <w:left w:val="none" w:sz="0" w:space="0" w:color="auto"/>
            <w:bottom w:val="none" w:sz="0" w:space="0" w:color="auto"/>
            <w:right w:val="none" w:sz="0" w:space="0" w:color="auto"/>
          </w:divBdr>
          <w:divsChild>
            <w:div w:id="1165366076">
              <w:marLeft w:val="0"/>
              <w:marRight w:val="0"/>
              <w:marTop w:val="0"/>
              <w:marBottom w:val="0"/>
              <w:divBdr>
                <w:top w:val="none" w:sz="0" w:space="0" w:color="auto"/>
                <w:left w:val="none" w:sz="0" w:space="0" w:color="auto"/>
                <w:bottom w:val="none" w:sz="0" w:space="0" w:color="auto"/>
                <w:right w:val="none" w:sz="0" w:space="0" w:color="auto"/>
              </w:divBdr>
            </w:div>
          </w:divsChild>
        </w:div>
        <w:div w:id="1755006795">
          <w:marLeft w:val="0"/>
          <w:marRight w:val="0"/>
          <w:marTop w:val="0"/>
          <w:marBottom w:val="0"/>
          <w:divBdr>
            <w:top w:val="none" w:sz="0" w:space="0" w:color="auto"/>
            <w:left w:val="none" w:sz="0" w:space="0" w:color="auto"/>
            <w:bottom w:val="none" w:sz="0" w:space="0" w:color="auto"/>
            <w:right w:val="none" w:sz="0" w:space="0" w:color="auto"/>
          </w:divBdr>
          <w:divsChild>
            <w:div w:id="2134865767">
              <w:marLeft w:val="0"/>
              <w:marRight w:val="0"/>
              <w:marTop w:val="0"/>
              <w:marBottom w:val="0"/>
              <w:divBdr>
                <w:top w:val="none" w:sz="0" w:space="0" w:color="auto"/>
                <w:left w:val="none" w:sz="0" w:space="0" w:color="auto"/>
                <w:bottom w:val="none" w:sz="0" w:space="0" w:color="auto"/>
                <w:right w:val="none" w:sz="0" w:space="0" w:color="auto"/>
              </w:divBdr>
            </w:div>
          </w:divsChild>
        </w:div>
        <w:div w:id="1756516104">
          <w:marLeft w:val="0"/>
          <w:marRight w:val="0"/>
          <w:marTop w:val="0"/>
          <w:marBottom w:val="0"/>
          <w:divBdr>
            <w:top w:val="none" w:sz="0" w:space="0" w:color="auto"/>
            <w:left w:val="none" w:sz="0" w:space="0" w:color="auto"/>
            <w:bottom w:val="none" w:sz="0" w:space="0" w:color="auto"/>
            <w:right w:val="none" w:sz="0" w:space="0" w:color="auto"/>
          </w:divBdr>
          <w:divsChild>
            <w:div w:id="1378046527">
              <w:marLeft w:val="0"/>
              <w:marRight w:val="0"/>
              <w:marTop w:val="0"/>
              <w:marBottom w:val="0"/>
              <w:divBdr>
                <w:top w:val="none" w:sz="0" w:space="0" w:color="auto"/>
                <w:left w:val="none" w:sz="0" w:space="0" w:color="auto"/>
                <w:bottom w:val="none" w:sz="0" w:space="0" w:color="auto"/>
                <w:right w:val="none" w:sz="0" w:space="0" w:color="auto"/>
              </w:divBdr>
            </w:div>
          </w:divsChild>
        </w:div>
        <w:div w:id="1765153559">
          <w:marLeft w:val="0"/>
          <w:marRight w:val="0"/>
          <w:marTop w:val="0"/>
          <w:marBottom w:val="0"/>
          <w:divBdr>
            <w:top w:val="none" w:sz="0" w:space="0" w:color="auto"/>
            <w:left w:val="none" w:sz="0" w:space="0" w:color="auto"/>
            <w:bottom w:val="none" w:sz="0" w:space="0" w:color="auto"/>
            <w:right w:val="none" w:sz="0" w:space="0" w:color="auto"/>
          </w:divBdr>
          <w:divsChild>
            <w:div w:id="1277636494">
              <w:marLeft w:val="0"/>
              <w:marRight w:val="0"/>
              <w:marTop w:val="0"/>
              <w:marBottom w:val="0"/>
              <w:divBdr>
                <w:top w:val="none" w:sz="0" w:space="0" w:color="auto"/>
                <w:left w:val="none" w:sz="0" w:space="0" w:color="auto"/>
                <w:bottom w:val="none" w:sz="0" w:space="0" w:color="auto"/>
                <w:right w:val="none" w:sz="0" w:space="0" w:color="auto"/>
              </w:divBdr>
            </w:div>
          </w:divsChild>
        </w:div>
        <w:div w:id="1771465176">
          <w:marLeft w:val="0"/>
          <w:marRight w:val="0"/>
          <w:marTop w:val="0"/>
          <w:marBottom w:val="0"/>
          <w:divBdr>
            <w:top w:val="none" w:sz="0" w:space="0" w:color="auto"/>
            <w:left w:val="none" w:sz="0" w:space="0" w:color="auto"/>
            <w:bottom w:val="none" w:sz="0" w:space="0" w:color="auto"/>
            <w:right w:val="none" w:sz="0" w:space="0" w:color="auto"/>
          </w:divBdr>
          <w:divsChild>
            <w:div w:id="1616595492">
              <w:marLeft w:val="0"/>
              <w:marRight w:val="0"/>
              <w:marTop w:val="0"/>
              <w:marBottom w:val="0"/>
              <w:divBdr>
                <w:top w:val="none" w:sz="0" w:space="0" w:color="auto"/>
                <w:left w:val="none" w:sz="0" w:space="0" w:color="auto"/>
                <w:bottom w:val="none" w:sz="0" w:space="0" w:color="auto"/>
                <w:right w:val="none" w:sz="0" w:space="0" w:color="auto"/>
              </w:divBdr>
            </w:div>
          </w:divsChild>
        </w:div>
        <w:div w:id="1781989539">
          <w:marLeft w:val="0"/>
          <w:marRight w:val="0"/>
          <w:marTop w:val="0"/>
          <w:marBottom w:val="0"/>
          <w:divBdr>
            <w:top w:val="none" w:sz="0" w:space="0" w:color="auto"/>
            <w:left w:val="none" w:sz="0" w:space="0" w:color="auto"/>
            <w:bottom w:val="none" w:sz="0" w:space="0" w:color="auto"/>
            <w:right w:val="none" w:sz="0" w:space="0" w:color="auto"/>
          </w:divBdr>
          <w:divsChild>
            <w:div w:id="1957173476">
              <w:marLeft w:val="0"/>
              <w:marRight w:val="0"/>
              <w:marTop w:val="0"/>
              <w:marBottom w:val="0"/>
              <w:divBdr>
                <w:top w:val="none" w:sz="0" w:space="0" w:color="auto"/>
                <w:left w:val="none" w:sz="0" w:space="0" w:color="auto"/>
                <w:bottom w:val="none" w:sz="0" w:space="0" w:color="auto"/>
                <w:right w:val="none" w:sz="0" w:space="0" w:color="auto"/>
              </w:divBdr>
            </w:div>
          </w:divsChild>
        </w:div>
        <w:div w:id="1854294361">
          <w:marLeft w:val="0"/>
          <w:marRight w:val="0"/>
          <w:marTop w:val="0"/>
          <w:marBottom w:val="0"/>
          <w:divBdr>
            <w:top w:val="none" w:sz="0" w:space="0" w:color="auto"/>
            <w:left w:val="none" w:sz="0" w:space="0" w:color="auto"/>
            <w:bottom w:val="none" w:sz="0" w:space="0" w:color="auto"/>
            <w:right w:val="none" w:sz="0" w:space="0" w:color="auto"/>
          </w:divBdr>
          <w:divsChild>
            <w:div w:id="832991880">
              <w:marLeft w:val="0"/>
              <w:marRight w:val="0"/>
              <w:marTop w:val="0"/>
              <w:marBottom w:val="0"/>
              <w:divBdr>
                <w:top w:val="none" w:sz="0" w:space="0" w:color="auto"/>
                <w:left w:val="none" w:sz="0" w:space="0" w:color="auto"/>
                <w:bottom w:val="none" w:sz="0" w:space="0" w:color="auto"/>
                <w:right w:val="none" w:sz="0" w:space="0" w:color="auto"/>
              </w:divBdr>
            </w:div>
          </w:divsChild>
        </w:div>
        <w:div w:id="1859660482">
          <w:marLeft w:val="0"/>
          <w:marRight w:val="0"/>
          <w:marTop w:val="0"/>
          <w:marBottom w:val="0"/>
          <w:divBdr>
            <w:top w:val="none" w:sz="0" w:space="0" w:color="auto"/>
            <w:left w:val="none" w:sz="0" w:space="0" w:color="auto"/>
            <w:bottom w:val="none" w:sz="0" w:space="0" w:color="auto"/>
            <w:right w:val="none" w:sz="0" w:space="0" w:color="auto"/>
          </w:divBdr>
          <w:divsChild>
            <w:div w:id="701326052">
              <w:marLeft w:val="0"/>
              <w:marRight w:val="0"/>
              <w:marTop w:val="0"/>
              <w:marBottom w:val="0"/>
              <w:divBdr>
                <w:top w:val="none" w:sz="0" w:space="0" w:color="auto"/>
                <w:left w:val="none" w:sz="0" w:space="0" w:color="auto"/>
                <w:bottom w:val="none" w:sz="0" w:space="0" w:color="auto"/>
                <w:right w:val="none" w:sz="0" w:space="0" w:color="auto"/>
              </w:divBdr>
            </w:div>
          </w:divsChild>
        </w:div>
        <w:div w:id="1860005280">
          <w:marLeft w:val="0"/>
          <w:marRight w:val="0"/>
          <w:marTop w:val="0"/>
          <w:marBottom w:val="0"/>
          <w:divBdr>
            <w:top w:val="none" w:sz="0" w:space="0" w:color="auto"/>
            <w:left w:val="none" w:sz="0" w:space="0" w:color="auto"/>
            <w:bottom w:val="none" w:sz="0" w:space="0" w:color="auto"/>
            <w:right w:val="none" w:sz="0" w:space="0" w:color="auto"/>
          </w:divBdr>
          <w:divsChild>
            <w:div w:id="1914074550">
              <w:marLeft w:val="0"/>
              <w:marRight w:val="0"/>
              <w:marTop w:val="0"/>
              <w:marBottom w:val="0"/>
              <w:divBdr>
                <w:top w:val="none" w:sz="0" w:space="0" w:color="auto"/>
                <w:left w:val="none" w:sz="0" w:space="0" w:color="auto"/>
                <w:bottom w:val="none" w:sz="0" w:space="0" w:color="auto"/>
                <w:right w:val="none" w:sz="0" w:space="0" w:color="auto"/>
              </w:divBdr>
            </w:div>
          </w:divsChild>
        </w:div>
        <w:div w:id="1880120211">
          <w:marLeft w:val="0"/>
          <w:marRight w:val="0"/>
          <w:marTop w:val="0"/>
          <w:marBottom w:val="0"/>
          <w:divBdr>
            <w:top w:val="none" w:sz="0" w:space="0" w:color="auto"/>
            <w:left w:val="none" w:sz="0" w:space="0" w:color="auto"/>
            <w:bottom w:val="none" w:sz="0" w:space="0" w:color="auto"/>
            <w:right w:val="none" w:sz="0" w:space="0" w:color="auto"/>
          </w:divBdr>
          <w:divsChild>
            <w:div w:id="1114205314">
              <w:marLeft w:val="0"/>
              <w:marRight w:val="0"/>
              <w:marTop w:val="0"/>
              <w:marBottom w:val="0"/>
              <w:divBdr>
                <w:top w:val="none" w:sz="0" w:space="0" w:color="auto"/>
                <w:left w:val="none" w:sz="0" w:space="0" w:color="auto"/>
                <w:bottom w:val="none" w:sz="0" w:space="0" w:color="auto"/>
                <w:right w:val="none" w:sz="0" w:space="0" w:color="auto"/>
              </w:divBdr>
            </w:div>
          </w:divsChild>
        </w:div>
        <w:div w:id="1883321062">
          <w:marLeft w:val="0"/>
          <w:marRight w:val="0"/>
          <w:marTop w:val="0"/>
          <w:marBottom w:val="0"/>
          <w:divBdr>
            <w:top w:val="none" w:sz="0" w:space="0" w:color="auto"/>
            <w:left w:val="none" w:sz="0" w:space="0" w:color="auto"/>
            <w:bottom w:val="none" w:sz="0" w:space="0" w:color="auto"/>
            <w:right w:val="none" w:sz="0" w:space="0" w:color="auto"/>
          </w:divBdr>
          <w:divsChild>
            <w:div w:id="1294823281">
              <w:marLeft w:val="0"/>
              <w:marRight w:val="0"/>
              <w:marTop w:val="0"/>
              <w:marBottom w:val="0"/>
              <w:divBdr>
                <w:top w:val="none" w:sz="0" w:space="0" w:color="auto"/>
                <w:left w:val="none" w:sz="0" w:space="0" w:color="auto"/>
                <w:bottom w:val="none" w:sz="0" w:space="0" w:color="auto"/>
                <w:right w:val="none" w:sz="0" w:space="0" w:color="auto"/>
              </w:divBdr>
            </w:div>
          </w:divsChild>
        </w:div>
        <w:div w:id="1883321657">
          <w:marLeft w:val="0"/>
          <w:marRight w:val="0"/>
          <w:marTop w:val="0"/>
          <w:marBottom w:val="0"/>
          <w:divBdr>
            <w:top w:val="none" w:sz="0" w:space="0" w:color="auto"/>
            <w:left w:val="none" w:sz="0" w:space="0" w:color="auto"/>
            <w:bottom w:val="none" w:sz="0" w:space="0" w:color="auto"/>
            <w:right w:val="none" w:sz="0" w:space="0" w:color="auto"/>
          </w:divBdr>
          <w:divsChild>
            <w:div w:id="2057657994">
              <w:marLeft w:val="0"/>
              <w:marRight w:val="0"/>
              <w:marTop w:val="0"/>
              <w:marBottom w:val="0"/>
              <w:divBdr>
                <w:top w:val="none" w:sz="0" w:space="0" w:color="auto"/>
                <w:left w:val="none" w:sz="0" w:space="0" w:color="auto"/>
                <w:bottom w:val="none" w:sz="0" w:space="0" w:color="auto"/>
                <w:right w:val="none" w:sz="0" w:space="0" w:color="auto"/>
              </w:divBdr>
            </w:div>
          </w:divsChild>
        </w:div>
        <w:div w:id="1884975078">
          <w:marLeft w:val="0"/>
          <w:marRight w:val="0"/>
          <w:marTop w:val="0"/>
          <w:marBottom w:val="0"/>
          <w:divBdr>
            <w:top w:val="none" w:sz="0" w:space="0" w:color="auto"/>
            <w:left w:val="none" w:sz="0" w:space="0" w:color="auto"/>
            <w:bottom w:val="none" w:sz="0" w:space="0" w:color="auto"/>
            <w:right w:val="none" w:sz="0" w:space="0" w:color="auto"/>
          </w:divBdr>
          <w:divsChild>
            <w:div w:id="1592592374">
              <w:marLeft w:val="0"/>
              <w:marRight w:val="0"/>
              <w:marTop w:val="0"/>
              <w:marBottom w:val="0"/>
              <w:divBdr>
                <w:top w:val="none" w:sz="0" w:space="0" w:color="auto"/>
                <w:left w:val="none" w:sz="0" w:space="0" w:color="auto"/>
                <w:bottom w:val="none" w:sz="0" w:space="0" w:color="auto"/>
                <w:right w:val="none" w:sz="0" w:space="0" w:color="auto"/>
              </w:divBdr>
            </w:div>
          </w:divsChild>
        </w:div>
        <w:div w:id="1887057345">
          <w:marLeft w:val="0"/>
          <w:marRight w:val="0"/>
          <w:marTop w:val="0"/>
          <w:marBottom w:val="0"/>
          <w:divBdr>
            <w:top w:val="none" w:sz="0" w:space="0" w:color="auto"/>
            <w:left w:val="none" w:sz="0" w:space="0" w:color="auto"/>
            <w:bottom w:val="none" w:sz="0" w:space="0" w:color="auto"/>
            <w:right w:val="none" w:sz="0" w:space="0" w:color="auto"/>
          </w:divBdr>
          <w:divsChild>
            <w:div w:id="2064405236">
              <w:marLeft w:val="0"/>
              <w:marRight w:val="0"/>
              <w:marTop w:val="0"/>
              <w:marBottom w:val="0"/>
              <w:divBdr>
                <w:top w:val="none" w:sz="0" w:space="0" w:color="auto"/>
                <w:left w:val="none" w:sz="0" w:space="0" w:color="auto"/>
                <w:bottom w:val="none" w:sz="0" w:space="0" w:color="auto"/>
                <w:right w:val="none" w:sz="0" w:space="0" w:color="auto"/>
              </w:divBdr>
            </w:div>
          </w:divsChild>
        </w:div>
        <w:div w:id="1900633080">
          <w:marLeft w:val="0"/>
          <w:marRight w:val="0"/>
          <w:marTop w:val="0"/>
          <w:marBottom w:val="0"/>
          <w:divBdr>
            <w:top w:val="none" w:sz="0" w:space="0" w:color="auto"/>
            <w:left w:val="none" w:sz="0" w:space="0" w:color="auto"/>
            <w:bottom w:val="none" w:sz="0" w:space="0" w:color="auto"/>
            <w:right w:val="none" w:sz="0" w:space="0" w:color="auto"/>
          </w:divBdr>
          <w:divsChild>
            <w:div w:id="1661345957">
              <w:marLeft w:val="0"/>
              <w:marRight w:val="0"/>
              <w:marTop w:val="0"/>
              <w:marBottom w:val="0"/>
              <w:divBdr>
                <w:top w:val="none" w:sz="0" w:space="0" w:color="auto"/>
                <w:left w:val="none" w:sz="0" w:space="0" w:color="auto"/>
                <w:bottom w:val="none" w:sz="0" w:space="0" w:color="auto"/>
                <w:right w:val="none" w:sz="0" w:space="0" w:color="auto"/>
              </w:divBdr>
            </w:div>
          </w:divsChild>
        </w:div>
        <w:div w:id="1924602047">
          <w:marLeft w:val="0"/>
          <w:marRight w:val="0"/>
          <w:marTop w:val="0"/>
          <w:marBottom w:val="0"/>
          <w:divBdr>
            <w:top w:val="none" w:sz="0" w:space="0" w:color="auto"/>
            <w:left w:val="none" w:sz="0" w:space="0" w:color="auto"/>
            <w:bottom w:val="none" w:sz="0" w:space="0" w:color="auto"/>
            <w:right w:val="none" w:sz="0" w:space="0" w:color="auto"/>
          </w:divBdr>
          <w:divsChild>
            <w:div w:id="1452817635">
              <w:marLeft w:val="0"/>
              <w:marRight w:val="0"/>
              <w:marTop w:val="0"/>
              <w:marBottom w:val="0"/>
              <w:divBdr>
                <w:top w:val="none" w:sz="0" w:space="0" w:color="auto"/>
                <w:left w:val="none" w:sz="0" w:space="0" w:color="auto"/>
                <w:bottom w:val="none" w:sz="0" w:space="0" w:color="auto"/>
                <w:right w:val="none" w:sz="0" w:space="0" w:color="auto"/>
              </w:divBdr>
            </w:div>
          </w:divsChild>
        </w:div>
        <w:div w:id="1933397045">
          <w:marLeft w:val="0"/>
          <w:marRight w:val="0"/>
          <w:marTop w:val="0"/>
          <w:marBottom w:val="0"/>
          <w:divBdr>
            <w:top w:val="none" w:sz="0" w:space="0" w:color="auto"/>
            <w:left w:val="none" w:sz="0" w:space="0" w:color="auto"/>
            <w:bottom w:val="none" w:sz="0" w:space="0" w:color="auto"/>
            <w:right w:val="none" w:sz="0" w:space="0" w:color="auto"/>
          </w:divBdr>
          <w:divsChild>
            <w:div w:id="1417941833">
              <w:marLeft w:val="0"/>
              <w:marRight w:val="0"/>
              <w:marTop w:val="0"/>
              <w:marBottom w:val="0"/>
              <w:divBdr>
                <w:top w:val="none" w:sz="0" w:space="0" w:color="auto"/>
                <w:left w:val="none" w:sz="0" w:space="0" w:color="auto"/>
                <w:bottom w:val="none" w:sz="0" w:space="0" w:color="auto"/>
                <w:right w:val="none" w:sz="0" w:space="0" w:color="auto"/>
              </w:divBdr>
            </w:div>
          </w:divsChild>
        </w:div>
        <w:div w:id="1939560805">
          <w:marLeft w:val="0"/>
          <w:marRight w:val="0"/>
          <w:marTop w:val="0"/>
          <w:marBottom w:val="0"/>
          <w:divBdr>
            <w:top w:val="none" w:sz="0" w:space="0" w:color="auto"/>
            <w:left w:val="none" w:sz="0" w:space="0" w:color="auto"/>
            <w:bottom w:val="none" w:sz="0" w:space="0" w:color="auto"/>
            <w:right w:val="none" w:sz="0" w:space="0" w:color="auto"/>
          </w:divBdr>
          <w:divsChild>
            <w:div w:id="1170557216">
              <w:marLeft w:val="0"/>
              <w:marRight w:val="0"/>
              <w:marTop w:val="0"/>
              <w:marBottom w:val="0"/>
              <w:divBdr>
                <w:top w:val="none" w:sz="0" w:space="0" w:color="auto"/>
                <w:left w:val="none" w:sz="0" w:space="0" w:color="auto"/>
                <w:bottom w:val="none" w:sz="0" w:space="0" w:color="auto"/>
                <w:right w:val="none" w:sz="0" w:space="0" w:color="auto"/>
              </w:divBdr>
            </w:div>
          </w:divsChild>
        </w:div>
        <w:div w:id="1959216638">
          <w:marLeft w:val="0"/>
          <w:marRight w:val="0"/>
          <w:marTop w:val="0"/>
          <w:marBottom w:val="0"/>
          <w:divBdr>
            <w:top w:val="none" w:sz="0" w:space="0" w:color="auto"/>
            <w:left w:val="none" w:sz="0" w:space="0" w:color="auto"/>
            <w:bottom w:val="none" w:sz="0" w:space="0" w:color="auto"/>
            <w:right w:val="none" w:sz="0" w:space="0" w:color="auto"/>
          </w:divBdr>
          <w:divsChild>
            <w:div w:id="1151293609">
              <w:marLeft w:val="0"/>
              <w:marRight w:val="0"/>
              <w:marTop w:val="0"/>
              <w:marBottom w:val="0"/>
              <w:divBdr>
                <w:top w:val="none" w:sz="0" w:space="0" w:color="auto"/>
                <w:left w:val="none" w:sz="0" w:space="0" w:color="auto"/>
                <w:bottom w:val="none" w:sz="0" w:space="0" w:color="auto"/>
                <w:right w:val="none" w:sz="0" w:space="0" w:color="auto"/>
              </w:divBdr>
            </w:div>
          </w:divsChild>
        </w:div>
        <w:div w:id="1963727616">
          <w:marLeft w:val="0"/>
          <w:marRight w:val="0"/>
          <w:marTop w:val="0"/>
          <w:marBottom w:val="0"/>
          <w:divBdr>
            <w:top w:val="none" w:sz="0" w:space="0" w:color="auto"/>
            <w:left w:val="none" w:sz="0" w:space="0" w:color="auto"/>
            <w:bottom w:val="none" w:sz="0" w:space="0" w:color="auto"/>
            <w:right w:val="none" w:sz="0" w:space="0" w:color="auto"/>
          </w:divBdr>
          <w:divsChild>
            <w:div w:id="1507286372">
              <w:marLeft w:val="0"/>
              <w:marRight w:val="0"/>
              <w:marTop w:val="0"/>
              <w:marBottom w:val="0"/>
              <w:divBdr>
                <w:top w:val="none" w:sz="0" w:space="0" w:color="auto"/>
                <w:left w:val="none" w:sz="0" w:space="0" w:color="auto"/>
                <w:bottom w:val="none" w:sz="0" w:space="0" w:color="auto"/>
                <w:right w:val="none" w:sz="0" w:space="0" w:color="auto"/>
              </w:divBdr>
            </w:div>
          </w:divsChild>
        </w:div>
        <w:div w:id="1971402311">
          <w:marLeft w:val="0"/>
          <w:marRight w:val="0"/>
          <w:marTop w:val="0"/>
          <w:marBottom w:val="0"/>
          <w:divBdr>
            <w:top w:val="none" w:sz="0" w:space="0" w:color="auto"/>
            <w:left w:val="none" w:sz="0" w:space="0" w:color="auto"/>
            <w:bottom w:val="none" w:sz="0" w:space="0" w:color="auto"/>
            <w:right w:val="none" w:sz="0" w:space="0" w:color="auto"/>
          </w:divBdr>
          <w:divsChild>
            <w:div w:id="351881221">
              <w:marLeft w:val="0"/>
              <w:marRight w:val="0"/>
              <w:marTop w:val="0"/>
              <w:marBottom w:val="0"/>
              <w:divBdr>
                <w:top w:val="none" w:sz="0" w:space="0" w:color="auto"/>
                <w:left w:val="none" w:sz="0" w:space="0" w:color="auto"/>
                <w:bottom w:val="none" w:sz="0" w:space="0" w:color="auto"/>
                <w:right w:val="none" w:sz="0" w:space="0" w:color="auto"/>
              </w:divBdr>
            </w:div>
          </w:divsChild>
        </w:div>
        <w:div w:id="1974485985">
          <w:marLeft w:val="0"/>
          <w:marRight w:val="0"/>
          <w:marTop w:val="0"/>
          <w:marBottom w:val="0"/>
          <w:divBdr>
            <w:top w:val="none" w:sz="0" w:space="0" w:color="auto"/>
            <w:left w:val="none" w:sz="0" w:space="0" w:color="auto"/>
            <w:bottom w:val="none" w:sz="0" w:space="0" w:color="auto"/>
            <w:right w:val="none" w:sz="0" w:space="0" w:color="auto"/>
          </w:divBdr>
          <w:divsChild>
            <w:div w:id="1399131060">
              <w:marLeft w:val="0"/>
              <w:marRight w:val="0"/>
              <w:marTop w:val="0"/>
              <w:marBottom w:val="0"/>
              <w:divBdr>
                <w:top w:val="none" w:sz="0" w:space="0" w:color="auto"/>
                <w:left w:val="none" w:sz="0" w:space="0" w:color="auto"/>
                <w:bottom w:val="none" w:sz="0" w:space="0" w:color="auto"/>
                <w:right w:val="none" w:sz="0" w:space="0" w:color="auto"/>
              </w:divBdr>
            </w:div>
          </w:divsChild>
        </w:div>
        <w:div w:id="1979726230">
          <w:marLeft w:val="0"/>
          <w:marRight w:val="0"/>
          <w:marTop w:val="0"/>
          <w:marBottom w:val="0"/>
          <w:divBdr>
            <w:top w:val="none" w:sz="0" w:space="0" w:color="auto"/>
            <w:left w:val="none" w:sz="0" w:space="0" w:color="auto"/>
            <w:bottom w:val="none" w:sz="0" w:space="0" w:color="auto"/>
            <w:right w:val="none" w:sz="0" w:space="0" w:color="auto"/>
          </w:divBdr>
          <w:divsChild>
            <w:div w:id="956521788">
              <w:marLeft w:val="0"/>
              <w:marRight w:val="0"/>
              <w:marTop w:val="0"/>
              <w:marBottom w:val="0"/>
              <w:divBdr>
                <w:top w:val="none" w:sz="0" w:space="0" w:color="auto"/>
                <w:left w:val="none" w:sz="0" w:space="0" w:color="auto"/>
                <w:bottom w:val="none" w:sz="0" w:space="0" w:color="auto"/>
                <w:right w:val="none" w:sz="0" w:space="0" w:color="auto"/>
              </w:divBdr>
            </w:div>
          </w:divsChild>
        </w:div>
        <w:div w:id="1988439080">
          <w:marLeft w:val="0"/>
          <w:marRight w:val="0"/>
          <w:marTop w:val="0"/>
          <w:marBottom w:val="0"/>
          <w:divBdr>
            <w:top w:val="none" w:sz="0" w:space="0" w:color="auto"/>
            <w:left w:val="none" w:sz="0" w:space="0" w:color="auto"/>
            <w:bottom w:val="none" w:sz="0" w:space="0" w:color="auto"/>
            <w:right w:val="none" w:sz="0" w:space="0" w:color="auto"/>
          </w:divBdr>
          <w:divsChild>
            <w:div w:id="1281496749">
              <w:marLeft w:val="0"/>
              <w:marRight w:val="0"/>
              <w:marTop w:val="0"/>
              <w:marBottom w:val="0"/>
              <w:divBdr>
                <w:top w:val="none" w:sz="0" w:space="0" w:color="auto"/>
                <w:left w:val="none" w:sz="0" w:space="0" w:color="auto"/>
                <w:bottom w:val="none" w:sz="0" w:space="0" w:color="auto"/>
                <w:right w:val="none" w:sz="0" w:space="0" w:color="auto"/>
              </w:divBdr>
            </w:div>
          </w:divsChild>
        </w:div>
        <w:div w:id="2018650803">
          <w:marLeft w:val="0"/>
          <w:marRight w:val="0"/>
          <w:marTop w:val="0"/>
          <w:marBottom w:val="0"/>
          <w:divBdr>
            <w:top w:val="none" w:sz="0" w:space="0" w:color="auto"/>
            <w:left w:val="none" w:sz="0" w:space="0" w:color="auto"/>
            <w:bottom w:val="none" w:sz="0" w:space="0" w:color="auto"/>
            <w:right w:val="none" w:sz="0" w:space="0" w:color="auto"/>
          </w:divBdr>
          <w:divsChild>
            <w:div w:id="1067344382">
              <w:marLeft w:val="0"/>
              <w:marRight w:val="0"/>
              <w:marTop w:val="0"/>
              <w:marBottom w:val="0"/>
              <w:divBdr>
                <w:top w:val="none" w:sz="0" w:space="0" w:color="auto"/>
                <w:left w:val="none" w:sz="0" w:space="0" w:color="auto"/>
                <w:bottom w:val="none" w:sz="0" w:space="0" w:color="auto"/>
                <w:right w:val="none" w:sz="0" w:space="0" w:color="auto"/>
              </w:divBdr>
            </w:div>
          </w:divsChild>
        </w:div>
        <w:div w:id="2030981387">
          <w:marLeft w:val="0"/>
          <w:marRight w:val="0"/>
          <w:marTop w:val="0"/>
          <w:marBottom w:val="0"/>
          <w:divBdr>
            <w:top w:val="none" w:sz="0" w:space="0" w:color="auto"/>
            <w:left w:val="none" w:sz="0" w:space="0" w:color="auto"/>
            <w:bottom w:val="none" w:sz="0" w:space="0" w:color="auto"/>
            <w:right w:val="none" w:sz="0" w:space="0" w:color="auto"/>
          </w:divBdr>
          <w:divsChild>
            <w:div w:id="1672876710">
              <w:marLeft w:val="0"/>
              <w:marRight w:val="0"/>
              <w:marTop w:val="0"/>
              <w:marBottom w:val="0"/>
              <w:divBdr>
                <w:top w:val="none" w:sz="0" w:space="0" w:color="auto"/>
                <w:left w:val="none" w:sz="0" w:space="0" w:color="auto"/>
                <w:bottom w:val="none" w:sz="0" w:space="0" w:color="auto"/>
                <w:right w:val="none" w:sz="0" w:space="0" w:color="auto"/>
              </w:divBdr>
            </w:div>
          </w:divsChild>
        </w:div>
        <w:div w:id="2032487405">
          <w:marLeft w:val="0"/>
          <w:marRight w:val="0"/>
          <w:marTop w:val="0"/>
          <w:marBottom w:val="0"/>
          <w:divBdr>
            <w:top w:val="none" w:sz="0" w:space="0" w:color="auto"/>
            <w:left w:val="none" w:sz="0" w:space="0" w:color="auto"/>
            <w:bottom w:val="none" w:sz="0" w:space="0" w:color="auto"/>
            <w:right w:val="none" w:sz="0" w:space="0" w:color="auto"/>
          </w:divBdr>
          <w:divsChild>
            <w:div w:id="1296637053">
              <w:marLeft w:val="0"/>
              <w:marRight w:val="0"/>
              <w:marTop w:val="0"/>
              <w:marBottom w:val="0"/>
              <w:divBdr>
                <w:top w:val="none" w:sz="0" w:space="0" w:color="auto"/>
                <w:left w:val="none" w:sz="0" w:space="0" w:color="auto"/>
                <w:bottom w:val="none" w:sz="0" w:space="0" w:color="auto"/>
                <w:right w:val="none" w:sz="0" w:space="0" w:color="auto"/>
              </w:divBdr>
            </w:div>
          </w:divsChild>
        </w:div>
        <w:div w:id="2036269563">
          <w:marLeft w:val="0"/>
          <w:marRight w:val="0"/>
          <w:marTop w:val="0"/>
          <w:marBottom w:val="0"/>
          <w:divBdr>
            <w:top w:val="none" w:sz="0" w:space="0" w:color="auto"/>
            <w:left w:val="none" w:sz="0" w:space="0" w:color="auto"/>
            <w:bottom w:val="none" w:sz="0" w:space="0" w:color="auto"/>
            <w:right w:val="none" w:sz="0" w:space="0" w:color="auto"/>
          </w:divBdr>
          <w:divsChild>
            <w:div w:id="697387423">
              <w:marLeft w:val="0"/>
              <w:marRight w:val="0"/>
              <w:marTop w:val="0"/>
              <w:marBottom w:val="0"/>
              <w:divBdr>
                <w:top w:val="none" w:sz="0" w:space="0" w:color="auto"/>
                <w:left w:val="none" w:sz="0" w:space="0" w:color="auto"/>
                <w:bottom w:val="none" w:sz="0" w:space="0" w:color="auto"/>
                <w:right w:val="none" w:sz="0" w:space="0" w:color="auto"/>
              </w:divBdr>
            </w:div>
          </w:divsChild>
        </w:div>
        <w:div w:id="2050761045">
          <w:marLeft w:val="0"/>
          <w:marRight w:val="0"/>
          <w:marTop w:val="0"/>
          <w:marBottom w:val="0"/>
          <w:divBdr>
            <w:top w:val="none" w:sz="0" w:space="0" w:color="auto"/>
            <w:left w:val="none" w:sz="0" w:space="0" w:color="auto"/>
            <w:bottom w:val="none" w:sz="0" w:space="0" w:color="auto"/>
            <w:right w:val="none" w:sz="0" w:space="0" w:color="auto"/>
          </w:divBdr>
          <w:divsChild>
            <w:div w:id="1250624388">
              <w:marLeft w:val="0"/>
              <w:marRight w:val="0"/>
              <w:marTop w:val="0"/>
              <w:marBottom w:val="0"/>
              <w:divBdr>
                <w:top w:val="none" w:sz="0" w:space="0" w:color="auto"/>
                <w:left w:val="none" w:sz="0" w:space="0" w:color="auto"/>
                <w:bottom w:val="none" w:sz="0" w:space="0" w:color="auto"/>
                <w:right w:val="none" w:sz="0" w:space="0" w:color="auto"/>
              </w:divBdr>
            </w:div>
          </w:divsChild>
        </w:div>
        <w:div w:id="2066758255">
          <w:marLeft w:val="0"/>
          <w:marRight w:val="0"/>
          <w:marTop w:val="0"/>
          <w:marBottom w:val="0"/>
          <w:divBdr>
            <w:top w:val="none" w:sz="0" w:space="0" w:color="auto"/>
            <w:left w:val="none" w:sz="0" w:space="0" w:color="auto"/>
            <w:bottom w:val="none" w:sz="0" w:space="0" w:color="auto"/>
            <w:right w:val="none" w:sz="0" w:space="0" w:color="auto"/>
          </w:divBdr>
          <w:divsChild>
            <w:div w:id="1008823624">
              <w:marLeft w:val="0"/>
              <w:marRight w:val="0"/>
              <w:marTop w:val="0"/>
              <w:marBottom w:val="0"/>
              <w:divBdr>
                <w:top w:val="none" w:sz="0" w:space="0" w:color="auto"/>
                <w:left w:val="none" w:sz="0" w:space="0" w:color="auto"/>
                <w:bottom w:val="none" w:sz="0" w:space="0" w:color="auto"/>
                <w:right w:val="none" w:sz="0" w:space="0" w:color="auto"/>
              </w:divBdr>
            </w:div>
          </w:divsChild>
        </w:div>
        <w:div w:id="2066760378">
          <w:marLeft w:val="0"/>
          <w:marRight w:val="0"/>
          <w:marTop w:val="0"/>
          <w:marBottom w:val="0"/>
          <w:divBdr>
            <w:top w:val="none" w:sz="0" w:space="0" w:color="auto"/>
            <w:left w:val="none" w:sz="0" w:space="0" w:color="auto"/>
            <w:bottom w:val="none" w:sz="0" w:space="0" w:color="auto"/>
            <w:right w:val="none" w:sz="0" w:space="0" w:color="auto"/>
          </w:divBdr>
          <w:divsChild>
            <w:div w:id="550458787">
              <w:marLeft w:val="0"/>
              <w:marRight w:val="0"/>
              <w:marTop w:val="0"/>
              <w:marBottom w:val="0"/>
              <w:divBdr>
                <w:top w:val="none" w:sz="0" w:space="0" w:color="auto"/>
                <w:left w:val="none" w:sz="0" w:space="0" w:color="auto"/>
                <w:bottom w:val="none" w:sz="0" w:space="0" w:color="auto"/>
                <w:right w:val="none" w:sz="0" w:space="0" w:color="auto"/>
              </w:divBdr>
            </w:div>
          </w:divsChild>
        </w:div>
        <w:div w:id="2067600786">
          <w:marLeft w:val="0"/>
          <w:marRight w:val="0"/>
          <w:marTop w:val="0"/>
          <w:marBottom w:val="0"/>
          <w:divBdr>
            <w:top w:val="none" w:sz="0" w:space="0" w:color="auto"/>
            <w:left w:val="none" w:sz="0" w:space="0" w:color="auto"/>
            <w:bottom w:val="none" w:sz="0" w:space="0" w:color="auto"/>
            <w:right w:val="none" w:sz="0" w:space="0" w:color="auto"/>
          </w:divBdr>
          <w:divsChild>
            <w:div w:id="1914508319">
              <w:marLeft w:val="0"/>
              <w:marRight w:val="0"/>
              <w:marTop w:val="0"/>
              <w:marBottom w:val="0"/>
              <w:divBdr>
                <w:top w:val="none" w:sz="0" w:space="0" w:color="auto"/>
                <w:left w:val="none" w:sz="0" w:space="0" w:color="auto"/>
                <w:bottom w:val="none" w:sz="0" w:space="0" w:color="auto"/>
                <w:right w:val="none" w:sz="0" w:space="0" w:color="auto"/>
              </w:divBdr>
            </w:div>
          </w:divsChild>
        </w:div>
        <w:div w:id="2075425064">
          <w:marLeft w:val="0"/>
          <w:marRight w:val="0"/>
          <w:marTop w:val="0"/>
          <w:marBottom w:val="0"/>
          <w:divBdr>
            <w:top w:val="none" w:sz="0" w:space="0" w:color="auto"/>
            <w:left w:val="none" w:sz="0" w:space="0" w:color="auto"/>
            <w:bottom w:val="none" w:sz="0" w:space="0" w:color="auto"/>
            <w:right w:val="none" w:sz="0" w:space="0" w:color="auto"/>
          </w:divBdr>
          <w:divsChild>
            <w:div w:id="998845987">
              <w:marLeft w:val="0"/>
              <w:marRight w:val="0"/>
              <w:marTop w:val="0"/>
              <w:marBottom w:val="0"/>
              <w:divBdr>
                <w:top w:val="none" w:sz="0" w:space="0" w:color="auto"/>
                <w:left w:val="none" w:sz="0" w:space="0" w:color="auto"/>
                <w:bottom w:val="none" w:sz="0" w:space="0" w:color="auto"/>
                <w:right w:val="none" w:sz="0" w:space="0" w:color="auto"/>
              </w:divBdr>
            </w:div>
          </w:divsChild>
        </w:div>
        <w:div w:id="2082753335">
          <w:marLeft w:val="0"/>
          <w:marRight w:val="0"/>
          <w:marTop w:val="0"/>
          <w:marBottom w:val="0"/>
          <w:divBdr>
            <w:top w:val="none" w:sz="0" w:space="0" w:color="auto"/>
            <w:left w:val="none" w:sz="0" w:space="0" w:color="auto"/>
            <w:bottom w:val="none" w:sz="0" w:space="0" w:color="auto"/>
            <w:right w:val="none" w:sz="0" w:space="0" w:color="auto"/>
          </w:divBdr>
          <w:divsChild>
            <w:div w:id="1223062216">
              <w:marLeft w:val="0"/>
              <w:marRight w:val="0"/>
              <w:marTop w:val="0"/>
              <w:marBottom w:val="0"/>
              <w:divBdr>
                <w:top w:val="none" w:sz="0" w:space="0" w:color="auto"/>
                <w:left w:val="none" w:sz="0" w:space="0" w:color="auto"/>
                <w:bottom w:val="none" w:sz="0" w:space="0" w:color="auto"/>
                <w:right w:val="none" w:sz="0" w:space="0" w:color="auto"/>
              </w:divBdr>
            </w:div>
          </w:divsChild>
        </w:div>
        <w:div w:id="2093695110">
          <w:marLeft w:val="0"/>
          <w:marRight w:val="0"/>
          <w:marTop w:val="0"/>
          <w:marBottom w:val="0"/>
          <w:divBdr>
            <w:top w:val="none" w:sz="0" w:space="0" w:color="auto"/>
            <w:left w:val="none" w:sz="0" w:space="0" w:color="auto"/>
            <w:bottom w:val="none" w:sz="0" w:space="0" w:color="auto"/>
            <w:right w:val="none" w:sz="0" w:space="0" w:color="auto"/>
          </w:divBdr>
          <w:divsChild>
            <w:div w:id="1555773420">
              <w:marLeft w:val="0"/>
              <w:marRight w:val="0"/>
              <w:marTop w:val="0"/>
              <w:marBottom w:val="0"/>
              <w:divBdr>
                <w:top w:val="none" w:sz="0" w:space="0" w:color="auto"/>
                <w:left w:val="none" w:sz="0" w:space="0" w:color="auto"/>
                <w:bottom w:val="none" w:sz="0" w:space="0" w:color="auto"/>
                <w:right w:val="none" w:sz="0" w:space="0" w:color="auto"/>
              </w:divBdr>
            </w:div>
          </w:divsChild>
        </w:div>
        <w:div w:id="2101367824">
          <w:marLeft w:val="0"/>
          <w:marRight w:val="0"/>
          <w:marTop w:val="0"/>
          <w:marBottom w:val="0"/>
          <w:divBdr>
            <w:top w:val="none" w:sz="0" w:space="0" w:color="auto"/>
            <w:left w:val="none" w:sz="0" w:space="0" w:color="auto"/>
            <w:bottom w:val="none" w:sz="0" w:space="0" w:color="auto"/>
            <w:right w:val="none" w:sz="0" w:space="0" w:color="auto"/>
          </w:divBdr>
          <w:divsChild>
            <w:div w:id="202600849">
              <w:marLeft w:val="0"/>
              <w:marRight w:val="0"/>
              <w:marTop w:val="0"/>
              <w:marBottom w:val="0"/>
              <w:divBdr>
                <w:top w:val="none" w:sz="0" w:space="0" w:color="auto"/>
                <w:left w:val="none" w:sz="0" w:space="0" w:color="auto"/>
                <w:bottom w:val="none" w:sz="0" w:space="0" w:color="auto"/>
                <w:right w:val="none" w:sz="0" w:space="0" w:color="auto"/>
              </w:divBdr>
            </w:div>
          </w:divsChild>
        </w:div>
        <w:div w:id="2102292334">
          <w:marLeft w:val="0"/>
          <w:marRight w:val="0"/>
          <w:marTop w:val="0"/>
          <w:marBottom w:val="0"/>
          <w:divBdr>
            <w:top w:val="none" w:sz="0" w:space="0" w:color="auto"/>
            <w:left w:val="none" w:sz="0" w:space="0" w:color="auto"/>
            <w:bottom w:val="none" w:sz="0" w:space="0" w:color="auto"/>
            <w:right w:val="none" w:sz="0" w:space="0" w:color="auto"/>
          </w:divBdr>
          <w:divsChild>
            <w:div w:id="962734019">
              <w:marLeft w:val="0"/>
              <w:marRight w:val="0"/>
              <w:marTop w:val="0"/>
              <w:marBottom w:val="0"/>
              <w:divBdr>
                <w:top w:val="none" w:sz="0" w:space="0" w:color="auto"/>
                <w:left w:val="none" w:sz="0" w:space="0" w:color="auto"/>
                <w:bottom w:val="none" w:sz="0" w:space="0" w:color="auto"/>
                <w:right w:val="none" w:sz="0" w:space="0" w:color="auto"/>
              </w:divBdr>
            </w:div>
          </w:divsChild>
        </w:div>
        <w:div w:id="2104304814">
          <w:marLeft w:val="0"/>
          <w:marRight w:val="0"/>
          <w:marTop w:val="0"/>
          <w:marBottom w:val="0"/>
          <w:divBdr>
            <w:top w:val="none" w:sz="0" w:space="0" w:color="auto"/>
            <w:left w:val="none" w:sz="0" w:space="0" w:color="auto"/>
            <w:bottom w:val="none" w:sz="0" w:space="0" w:color="auto"/>
            <w:right w:val="none" w:sz="0" w:space="0" w:color="auto"/>
          </w:divBdr>
          <w:divsChild>
            <w:div w:id="330109353">
              <w:marLeft w:val="0"/>
              <w:marRight w:val="0"/>
              <w:marTop w:val="0"/>
              <w:marBottom w:val="0"/>
              <w:divBdr>
                <w:top w:val="none" w:sz="0" w:space="0" w:color="auto"/>
                <w:left w:val="none" w:sz="0" w:space="0" w:color="auto"/>
                <w:bottom w:val="none" w:sz="0" w:space="0" w:color="auto"/>
                <w:right w:val="none" w:sz="0" w:space="0" w:color="auto"/>
              </w:divBdr>
            </w:div>
          </w:divsChild>
        </w:div>
        <w:div w:id="2105345837">
          <w:marLeft w:val="0"/>
          <w:marRight w:val="0"/>
          <w:marTop w:val="0"/>
          <w:marBottom w:val="0"/>
          <w:divBdr>
            <w:top w:val="none" w:sz="0" w:space="0" w:color="auto"/>
            <w:left w:val="none" w:sz="0" w:space="0" w:color="auto"/>
            <w:bottom w:val="none" w:sz="0" w:space="0" w:color="auto"/>
            <w:right w:val="none" w:sz="0" w:space="0" w:color="auto"/>
          </w:divBdr>
          <w:divsChild>
            <w:div w:id="1283003116">
              <w:marLeft w:val="0"/>
              <w:marRight w:val="0"/>
              <w:marTop w:val="0"/>
              <w:marBottom w:val="0"/>
              <w:divBdr>
                <w:top w:val="none" w:sz="0" w:space="0" w:color="auto"/>
                <w:left w:val="none" w:sz="0" w:space="0" w:color="auto"/>
                <w:bottom w:val="none" w:sz="0" w:space="0" w:color="auto"/>
                <w:right w:val="none" w:sz="0" w:space="0" w:color="auto"/>
              </w:divBdr>
            </w:div>
          </w:divsChild>
        </w:div>
        <w:div w:id="2136629546">
          <w:marLeft w:val="0"/>
          <w:marRight w:val="0"/>
          <w:marTop w:val="0"/>
          <w:marBottom w:val="0"/>
          <w:divBdr>
            <w:top w:val="none" w:sz="0" w:space="0" w:color="auto"/>
            <w:left w:val="none" w:sz="0" w:space="0" w:color="auto"/>
            <w:bottom w:val="none" w:sz="0" w:space="0" w:color="auto"/>
            <w:right w:val="none" w:sz="0" w:space="0" w:color="auto"/>
          </w:divBdr>
          <w:divsChild>
            <w:div w:id="869728696">
              <w:marLeft w:val="0"/>
              <w:marRight w:val="0"/>
              <w:marTop w:val="0"/>
              <w:marBottom w:val="0"/>
              <w:divBdr>
                <w:top w:val="none" w:sz="0" w:space="0" w:color="auto"/>
                <w:left w:val="none" w:sz="0" w:space="0" w:color="auto"/>
                <w:bottom w:val="none" w:sz="0" w:space="0" w:color="auto"/>
                <w:right w:val="none" w:sz="0" w:space="0" w:color="auto"/>
              </w:divBdr>
            </w:div>
          </w:divsChild>
        </w:div>
        <w:div w:id="2137137141">
          <w:marLeft w:val="0"/>
          <w:marRight w:val="0"/>
          <w:marTop w:val="0"/>
          <w:marBottom w:val="0"/>
          <w:divBdr>
            <w:top w:val="none" w:sz="0" w:space="0" w:color="auto"/>
            <w:left w:val="none" w:sz="0" w:space="0" w:color="auto"/>
            <w:bottom w:val="none" w:sz="0" w:space="0" w:color="auto"/>
            <w:right w:val="none" w:sz="0" w:space="0" w:color="auto"/>
          </w:divBdr>
          <w:divsChild>
            <w:div w:id="17021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8574">
      <w:bodyDiv w:val="1"/>
      <w:marLeft w:val="0"/>
      <w:marRight w:val="0"/>
      <w:marTop w:val="0"/>
      <w:marBottom w:val="0"/>
      <w:divBdr>
        <w:top w:val="none" w:sz="0" w:space="0" w:color="auto"/>
        <w:left w:val="none" w:sz="0" w:space="0" w:color="auto"/>
        <w:bottom w:val="none" w:sz="0" w:space="0" w:color="auto"/>
        <w:right w:val="none" w:sz="0" w:space="0" w:color="auto"/>
      </w:divBdr>
    </w:div>
    <w:div w:id="1534460278">
      <w:bodyDiv w:val="1"/>
      <w:marLeft w:val="0"/>
      <w:marRight w:val="0"/>
      <w:marTop w:val="0"/>
      <w:marBottom w:val="0"/>
      <w:divBdr>
        <w:top w:val="none" w:sz="0" w:space="0" w:color="auto"/>
        <w:left w:val="none" w:sz="0" w:space="0" w:color="auto"/>
        <w:bottom w:val="none" w:sz="0" w:space="0" w:color="auto"/>
        <w:right w:val="none" w:sz="0" w:space="0" w:color="auto"/>
      </w:divBdr>
      <w:divsChild>
        <w:div w:id="120811910">
          <w:marLeft w:val="446"/>
          <w:marRight w:val="0"/>
          <w:marTop w:val="0"/>
          <w:marBottom w:val="0"/>
          <w:divBdr>
            <w:top w:val="none" w:sz="0" w:space="0" w:color="auto"/>
            <w:left w:val="none" w:sz="0" w:space="0" w:color="auto"/>
            <w:bottom w:val="none" w:sz="0" w:space="0" w:color="auto"/>
            <w:right w:val="none" w:sz="0" w:space="0" w:color="auto"/>
          </w:divBdr>
        </w:div>
        <w:div w:id="384915270">
          <w:marLeft w:val="446"/>
          <w:marRight w:val="0"/>
          <w:marTop w:val="0"/>
          <w:marBottom w:val="0"/>
          <w:divBdr>
            <w:top w:val="none" w:sz="0" w:space="0" w:color="auto"/>
            <w:left w:val="none" w:sz="0" w:space="0" w:color="auto"/>
            <w:bottom w:val="none" w:sz="0" w:space="0" w:color="auto"/>
            <w:right w:val="none" w:sz="0" w:space="0" w:color="auto"/>
          </w:divBdr>
        </w:div>
        <w:div w:id="1835758552">
          <w:marLeft w:val="446"/>
          <w:marRight w:val="0"/>
          <w:marTop w:val="0"/>
          <w:marBottom w:val="0"/>
          <w:divBdr>
            <w:top w:val="none" w:sz="0" w:space="0" w:color="auto"/>
            <w:left w:val="none" w:sz="0" w:space="0" w:color="auto"/>
            <w:bottom w:val="none" w:sz="0" w:space="0" w:color="auto"/>
            <w:right w:val="none" w:sz="0" w:space="0" w:color="auto"/>
          </w:divBdr>
        </w:div>
        <w:div w:id="2024671627">
          <w:marLeft w:val="446"/>
          <w:marRight w:val="0"/>
          <w:marTop w:val="0"/>
          <w:marBottom w:val="0"/>
          <w:divBdr>
            <w:top w:val="none" w:sz="0" w:space="0" w:color="auto"/>
            <w:left w:val="none" w:sz="0" w:space="0" w:color="auto"/>
            <w:bottom w:val="none" w:sz="0" w:space="0" w:color="auto"/>
            <w:right w:val="none" w:sz="0" w:space="0" w:color="auto"/>
          </w:divBdr>
        </w:div>
      </w:divsChild>
    </w:div>
    <w:div w:id="1534881021">
      <w:bodyDiv w:val="1"/>
      <w:marLeft w:val="0"/>
      <w:marRight w:val="0"/>
      <w:marTop w:val="0"/>
      <w:marBottom w:val="0"/>
      <w:divBdr>
        <w:top w:val="none" w:sz="0" w:space="0" w:color="auto"/>
        <w:left w:val="none" w:sz="0" w:space="0" w:color="auto"/>
        <w:bottom w:val="none" w:sz="0" w:space="0" w:color="auto"/>
        <w:right w:val="none" w:sz="0" w:space="0" w:color="auto"/>
      </w:divBdr>
    </w:div>
    <w:div w:id="1560089815">
      <w:bodyDiv w:val="1"/>
      <w:marLeft w:val="0"/>
      <w:marRight w:val="0"/>
      <w:marTop w:val="0"/>
      <w:marBottom w:val="0"/>
      <w:divBdr>
        <w:top w:val="none" w:sz="0" w:space="0" w:color="auto"/>
        <w:left w:val="none" w:sz="0" w:space="0" w:color="auto"/>
        <w:bottom w:val="none" w:sz="0" w:space="0" w:color="auto"/>
        <w:right w:val="none" w:sz="0" w:space="0" w:color="auto"/>
      </w:divBdr>
    </w:div>
    <w:div w:id="1569681606">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94436167">
      <w:bodyDiv w:val="1"/>
      <w:marLeft w:val="0"/>
      <w:marRight w:val="0"/>
      <w:marTop w:val="0"/>
      <w:marBottom w:val="0"/>
      <w:divBdr>
        <w:top w:val="none" w:sz="0" w:space="0" w:color="auto"/>
        <w:left w:val="none" w:sz="0" w:space="0" w:color="auto"/>
        <w:bottom w:val="none" w:sz="0" w:space="0" w:color="auto"/>
        <w:right w:val="none" w:sz="0" w:space="0" w:color="auto"/>
      </w:divBdr>
    </w:div>
    <w:div w:id="1631282347">
      <w:bodyDiv w:val="1"/>
      <w:marLeft w:val="0"/>
      <w:marRight w:val="0"/>
      <w:marTop w:val="0"/>
      <w:marBottom w:val="0"/>
      <w:divBdr>
        <w:top w:val="none" w:sz="0" w:space="0" w:color="auto"/>
        <w:left w:val="none" w:sz="0" w:space="0" w:color="auto"/>
        <w:bottom w:val="none" w:sz="0" w:space="0" w:color="auto"/>
        <w:right w:val="none" w:sz="0" w:space="0" w:color="auto"/>
      </w:divBdr>
    </w:div>
    <w:div w:id="1637222214">
      <w:bodyDiv w:val="1"/>
      <w:marLeft w:val="0"/>
      <w:marRight w:val="0"/>
      <w:marTop w:val="0"/>
      <w:marBottom w:val="0"/>
      <w:divBdr>
        <w:top w:val="none" w:sz="0" w:space="0" w:color="auto"/>
        <w:left w:val="none" w:sz="0" w:space="0" w:color="auto"/>
        <w:bottom w:val="none" w:sz="0" w:space="0" w:color="auto"/>
        <w:right w:val="none" w:sz="0" w:space="0" w:color="auto"/>
      </w:divBdr>
    </w:div>
    <w:div w:id="1639603234">
      <w:bodyDiv w:val="1"/>
      <w:marLeft w:val="0"/>
      <w:marRight w:val="0"/>
      <w:marTop w:val="0"/>
      <w:marBottom w:val="0"/>
      <w:divBdr>
        <w:top w:val="none" w:sz="0" w:space="0" w:color="auto"/>
        <w:left w:val="none" w:sz="0" w:space="0" w:color="auto"/>
        <w:bottom w:val="none" w:sz="0" w:space="0" w:color="auto"/>
        <w:right w:val="none" w:sz="0" w:space="0" w:color="auto"/>
      </w:divBdr>
    </w:div>
    <w:div w:id="1640648205">
      <w:bodyDiv w:val="1"/>
      <w:marLeft w:val="0"/>
      <w:marRight w:val="0"/>
      <w:marTop w:val="0"/>
      <w:marBottom w:val="0"/>
      <w:divBdr>
        <w:top w:val="none" w:sz="0" w:space="0" w:color="auto"/>
        <w:left w:val="none" w:sz="0" w:space="0" w:color="auto"/>
        <w:bottom w:val="none" w:sz="0" w:space="0" w:color="auto"/>
        <w:right w:val="none" w:sz="0" w:space="0" w:color="auto"/>
      </w:divBdr>
    </w:div>
    <w:div w:id="1696035111">
      <w:bodyDiv w:val="1"/>
      <w:marLeft w:val="0"/>
      <w:marRight w:val="0"/>
      <w:marTop w:val="0"/>
      <w:marBottom w:val="0"/>
      <w:divBdr>
        <w:top w:val="none" w:sz="0" w:space="0" w:color="auto"/>
        <w:left w:val="none" w:sz="0" w:space="0" w:color="auto"/>
        <w:bottom w:val="none" w:sz="0" w:space="0" w:color="auto"/>
        <w:right w:val="none" w:sz="0" w:space="0" w:color="auto"/>
      </w:divBdr>
    </w:div>
    <w:div w:id="1704595920">
      <w:bodyDiv w:val="1"/>
      <w:marLeft w:val="0"/>
      <w:marRight w:val="0"/>
      <w:marTop w:val="0"/>
      <w:marBottom w:val="0"/>
      <w:divBdr>
        <w:top w:val="none" w:sz="0" w:space="0" w:color="auto"/>
        <w:left w:val="none" w:sz="0" w:space="0" w:color="auto"/>
        <w:bottom w:val="none" w:sz="0" w:space="0" w:color="auto"/>
        <w:right w:val="none" w:sz="0" w:space="0" w:color="auto"/>
      </w:divBdr>
      <w:divsChild>
        <w:div w:id="192884985">
          <w:marLeft w:val="446"/>
          <w:marRight w:val="0"/>
          <w:marTop w:val="0"/>
          <w:marBottom w:val="0"/>
          <w:divBdr>
            <w:top w:val="none" w:sz="0" w:space="0" w:color="auto"/>
            <w:left w:val="none" w:sz="0" w:space="0" w:color="auto"/>
            <w:bottom w:val="none" w:sz="0" w:space="0" w:color="auto"/>
            <w:right w:val="none" w:sz="0" w:space="0" w:color="auto"/>
          </w:divBdr>
        </w:div>
        <w:div w:id="245387302">
          <w:marLeft w:val="446"/>
          <w:marRight w:val="0"/>
          <w:marTop w:val="0"/>
          <w:marBottom w:val="0"/>
          <w:divBdr>
            <w:top w:val="none" w:sz="0" w:space="0" w:color="auto"/>
            <w:left w:val="none" w:sz="0" w:space="0" w:color="auto"/>
            <w:bottom w:val="none" w:sz="0" w:space="0" w:color="auto"/>
            <w:right w:val="none" w:sz="0" w:space="0" w:color="auto"/>
          </w:divBdr>
        </w:div>
        <w:div w:id="326246330">
          <w:marLeft w:val="446"/>
          <w:marRight w:val="0"/>
          <w:marTop w:val="0"/>
          <w:marBottom w:val="0"/>
          <w:divBdr>
            <w:top w:val="none" w:sz="0" w:space="0" w:color="auto"/>
            <w:left w:val="none" w:sz="0" w:space="0" w:color="auto"/>
            <w:bottom w:val="none" w:sz="0" w:space="0" w:color="auto"/>
            <w:right w:val="none" w:sz="0" w:space="0" w:color="auto"/>
          </w:divBdr>
        </w:div>
        <w:div w:id="1353609733">
          <w:marLeft w:val="446"/>
          <w:marRight w:val="0"/>
          <w:marTop w:val="0"/>
          <w:marBottom w:val="0"/>
          <w:divBdr>
            <w:top w:val="none" w:sz="0" w:space="0" w:color="auto"/>
            <w:left w:val="none" w:sz="0" w:space="0" w:color="auto"/>
            <w:bottom w:val="none" w:sz="0" w:space="0" w:color="auto"/>
            <w:right w:val="none" w:sz="0" w:space="0" w:color="auto"/>
          </w:divBdr>
        </w:div>
      </w:divsChild>
    </w:div>
    <w:div w:id="1724937593">
      <w:bodyDiv w:val="1"/>
      <w:marLeft w:val="0"/>
      <w:marRight w:val="0"/>
      <w:marTop w:val="0"/>
      <w:marBottom w:val="0"/>
      <w:divBdr>
        <w:top w:val="none" w:sz="0" w:space="0" w:color="auto"/>
        <w:left w:val="none" w:sz="0" w:space="0" w:color="auto"/>
        <w:bottom w:val="none" w:sz="0" w:space="0" w:color="auto"/>
        <w:right w:val="none" w:sz="0" w:space="0" w:color="auto"/>
      </w:divBdr>
    </w:div>
    <w:div w:id="1738479417">
      <w:bodyDiv w:val="1"/>
      <w:marLeft w:val="0"/>
      <w:marRight w:val="0"/>
      <w:marTop w:val="0"/>
      <w:marBottom w:val="0"/>
      <w:divBdr>
        <w:top w:val="none" w:sz="0" w:space="0" w:color="auto"/>
        <w:left w:val="none" w:sz="0" w:space="0" w:color="auto"/>
        <w:bottom w:val="none" w:sz="0" w:space="0" w:color="auto"/>
        <w:right w:val="none" w:sz="0" w:space="0" w:color="auto"/>
      </w:divBdr>
      <w:divsChild>
        <w:div w:id="343097061">
          <w:marLeft w:val="446"/>
          <w:marRight w:val="0"/>
          <w:marTop w:val="0"/>
          <w:marBottom w:val="0"/>
          <w:divBdr>
            <w:top w:val="none" w:sz="0" w:space="0" w:color="auto"/>
            <w:left w:val="none" w:sz="0" w:space="0" w:color="auto"/>
            <w:bottom w:val="none" w:sz="0" w:space="0" w:color="auto"/>
            <w:right w:val="none" w:sz="0" w:space="0" w:color="auto"/>
          </w:divBdr>
        </w:div>
        <w:div w:id="1617520899">
          <w:marLeft w:val="446"/>
          <w:marRight w:val="0"/>
          <w:marTop w:val="0"/>
          <w:marBottom w:val="0"/>
          <w:divBdr>
            <w:top w:val="none" w:sz="0" w:space="0" w:color="auto"/>
            <w:left w:val="none" w:sz="0" w:space="0" w:color="auto"/>
            <w:bottom w:val="none" w:sz="0" w:space="0" w:color="auto"/>
            <w:right w:val="none" w:sz="0" w:space="0" w:color="auto"/>
          </w:divBdr>
        </w:div>
        <w:div w:id="1747334189">
          <w:marLeft w:val="446"/>
          <w:marRight w:val="0"/>
          <w:marTop w:val="0"/>
          <w:marBottom w:val="0"/>
          <w:divBdr>
            <w:top w:val="none" w:sz="0" w:space="0" w:color="auto"/>
            <w:left w:val="none" w:sz="0" w:space="0" w:color="auto"/>
            <w:bottom w:val="none" w:sz="0" w:space="0" w:color="auto"/>
            <w:right w:val="none" w:sz="0" w:space="0" w:color="auto"/>
          </w:divBdr>
        </w:div>
        <w:div w:id="2083599597">
          <w:marLeft w:val="446"/>
          <w:marRight w:val="0"/>
          <w:marTop w:val="0"/>
          <w:marBottom w:val="0"/>
          <w:divBdr>
            <w:top w:val="none" w:sz="0" w:space="0" w:color="auto"/>
            <w:left w:val="none" w:sz="0" w:space="0" w:color="auto"/>
            <w:bottom w:val="none" w:sz="0" w:space="0" w:color="auto"/>
            <w:right w:val="none" w:sz="0" w:space="0" w:color="auto"/>
          </w:divBdr>
        </w:div>
      </w:divsChild>
    </w:div>
    <w:div w:id="1739666374">
      <w:bodyDiv w:val="1"/>
      <w:marLeft w:val="0"/>
      <w:marRight w:val="0"/>
      <w:marTop w:val="0"/>
      <w:marBottom w:val="0"/>
      <w:divBdr>
        <w:top w:val="none" w:sz="0" w:space="0" w:color="auto"/>
        <w:left w:val="none" w:sz="0" w:space="0" w:color="auto"/>
        <w:bottom w:val="none" w:sz="0" w:space="0" w:color="auto"/>
        <w:right w:val="none" w:sz="0" w:space="0" w:color="auto"/>
      </w:divBdr>
    </w:div>
    <w:div w:id="1763910023">
      <w:bodyDiv w:val="1"/>
      <w:marLeft w:val="0"/>
      <w:marRight w:val="0"/>
      <w:marTop w:val="0"/>
      <w:marBottom w:val="0"/>
      <w:divBdr>
        <w:top w:val="none" w:sz="0" w:space="0" w:color="auto"/>
        <w:left w:val="none" w:sz="0" w:space="0" w:color="auto"/>
        <w:bottom w:val="none" w:sz="0" w:space="0" w:color="auto"/>
        <w:right w:val="none" w:sz="0" w:space="0" w:color="auto"/>
      </w:divBdr>
    </w:div>
    <w:div w:id="1765222861">
      <w:bodyDiv w:val="1"/>
      <w:marLeft w:val="0"/>
      <w:marRight w:val="0"/>
      <w:marTop w:val="0"/>
      <w:marBottom w:val="0"/>
      <w:divBdr>
        <w:top w:val="none" w:sz="0" w:space="0" w:color="auto"/>
        <w:left w:val="none" w:sz="0" w:space="0" w:color="auto"/>
        <w:bottom w:val="none" w:sz="0" w:space="0" w:color="auto"/>
        <w:right w:val="none" w:sz="0" w:space="0" w:color="auto"/>
      </w:divBdr>
    </w:div>
    <w:div w:id="1833520570">
      <w:bodyDiv w:val="1"/>
      <w:marLeft w:val="0"/>
      <w:marRight w:val="0"/>
      <w:marTop w:val="0"/>
      <w:marBottom w:val="0"/>
      <w:divBdr>
        <w:top w:val="none" w:sz="0" w:space="0" w:color="auto"/>
        <w:left w:val="none" w:sz="0" w:space="0" w:color="auto"/>
        <w:bottom w:val="none" w:sz="0" w:space="0" w:color="auto"/>
        <w:right w:val="none" w:sz="0" w:space="0" w:color="auto"/>
      </w:divBdr>
      <w:divsChild>
        <w:div w:id="1034039476">
          <w:marLeft w:val="446"/>
          <w:marRight w:val="0"/>
          <w:marTop w:val="0"/>
          <w:marBottom w:val="0"/>
          <w:divBdr>
            <w:top w:val="none" w:sz="0" w:space="0" w:color="auto"/>
            <w:left w:val="none" w:sz="0" w:space="0" w:color="auto"/>
            <w:bottom w:val="none" w:sz="0" w:space="0" w:color="auto"/>
            <w:right w:val="none" w:sz="0" w:space="0" w:color="auto"/>
          </w:divBdr>
        </w:div>
        <w:div w:id="1099956350">
          <w:marLeft w:val="446"/>
          <w:marRight w:val="0"/>
          <w:marTop w:val="0"/>
          <w:marBottom w:val="0"/>
          <w:divBdr>
            <w:top w:val="none" w:sz="0" w:space="0" w:color="auto"/>
            <w:left w:val="none" w:sz="0" w:space="0" w:color="auto"/>
            <w:bottom w:val="none" w:sz="0" w:space="0" w:color="auto"/>
            <w:right w:val="none" w:sz="0" w:space="0" w:color="auto"/>
          </w:divBdr>
        </w:div>
      </w:divsChild>
    </w:div>
    <w:div w:id="1883325871">
      <w:bodyDiv w:val="1"/>
      <w:marLeft w:val="0"/>
      <w:marRight w:val="0"/>
      <w:marTop w:val="0"/>
      <w:marBottom w:val="0"/>
      <w:divBdr>
        <w:top w:val="none" w:sz="0" w:space="0" w:color="auto"/>
        <w:left w:val="none" w:sz="0" w:space="0" w:color="auto"/>
        <w:bottom w:val="none" w:sz="0" w:space="0" w:color="auto"/>
        <w:right w:val="none" w:sz="0" w:space="0" w:color="auto"/>
      </w:divBdr>
    </w:div>
    <w:div w:id="1894347537">
      <w:bodyDiv w:val="1"/>
      <w:marLeft w:val="0"/>
      <w:marRight w:val="0"/>
      <w:marTop w:val="0"/>
      <w:marBottom w:val="0"/>
      <w:divBdr>
        <w:top w:val="none" w:sz="0" w:space="0" w:color="auto"/>
        <w:left w:val="none" w:sz="0" w:space="0" w:color="auto"/>
        <w:bottom w:val="none" w:sz="0" w:space="0" w:color="auto"/>
        <w:right w:val="none" w:sz="0" w:space="0" w:color="auto"/>
      </w:divBdr>
      <w:divsChild>
        <w:div w:id="31737457">
          <w:marLeft w:val="446"/>
          <w:marRight w:val="0"/>
          <w:marTop w:val="0"/>
          <w:marBottom w:val="0"/>
          <w:divBdr>
            <w:top w:val="none" w:sz="0" w:space="0" w:color="auto"/>
            <w:left w:val="none" w:sz="0" w:space="0" w:color="auto"/>
            <w:bottom w:val="none" w:sz="0" w:space="0" w:color="auto"/>
            <w:right w:val="none" w:sz="0" w:space="0" w:color="auto"/>
          </w:divBdr>
        </w:div>
        <w:div w:id="212086588">
          <w:marLeft w:val="446"/>
          <w:marRight w:val="0"/>
          <w:marTop w:val="0"/>
          <w:marBottom w:val="0"/>
          <w:divBdr>
            <w:top w:val="none" w:sz="0" w:space="0" w:color="auto"/>
            <w:left w:val="none" w:sz="0" w:space="0" w:color="auto"/>
            <w:bottom w:val="none" w:sz="0" w:space="0" w:color="auto"/>
            <w:right w:val="none" w:sz="0" w:space="0" w:color="auto"/>
          </w:divBdr>
        </w:div>
      </w:divsChild>
    </w:div>
    <w:div w:id="1916697637">
      <w:bodyDiv w:val="1"/>
      <w:marLeft w:val="0"/>
      <w:marRight w:val="0"/>
      <w:marTop w:val="0"/>
      <w:marBottom w:val="0"/>
      <w:divBdr>
        <w:top w:val="none" w:sz="0" w:space="0" w:color="auto"/>
        <w:left w:val="none" w:sz="0" w:space="0" w:color="auto"/>
        <w:bottom w:val="none" w:sz="0" w:space="0" w:color="auto"/>
        <w:right w:val="none" w:sz="0" w:space="0" w:color="auto"/>
      </w:divBdr>
    </w:div>
    <w:div w:id="1949845086">
      <w:bodyDiv w:val="1"/>
      <w:marLeft w:val="0"/>
      <w:marRight w:val="0"/>
      <w:marTop w:val="0"/>
      <w:marBottom w:val="0"/>
      <w:divBdr>
        <w:top w:val="none" w:sz="0" w:space="0" w:color="auto"/>
        <w:left w:val="none" w:sz="0" w:space="0" w:color="auto"/>
        <w:bottom w:val="none" w:sz="0" w:space="0" w:color="auto"/>
        <w:right w:val="none" w:sz="0" w:space="0" w:color="auto"/>
      </w:divBdr>
    </w:div>
    <w:div w:id="1950042765">
      <w:bodyDiv w:val="1"/>
      <w:marLeft w:val="0"/>
      <w:marRight w:val="0"/>
      <w:marTop w:val="0"/>
      <w:marBottom w:val="0"/>
      <w:divBdr>
        <w:top w:val="none" w:sz="0" w:space="0" w:color="auto"/>
        <w:left w:val="none" w:sz="0" w:space="0" w:color="auto"/>
        <w:bottom w:val="none" w:sz="0" w:space="0" w:color="auto"/>
        <w:right w:val="none" w:sz="0" w:space="0" w:color="auto"/>
      </w:divBdr>
    </w:div>
    <w:div w:id="1955941574">
      <w:bodyDiv w:val="1"/>
      <w:marLeft w:val="0"/>
      <w:marRight w:val="0"/>
      <w:marTop w:val="0"/>
      <w:marBottom w:val="0"/>
      <w:divBdr>
        <w:top w:val="none" w:sz="0" w:space="0" w:color="auto"/>
        <w:left w:val="none" w:sz="0" w:space="0" w:color="auto"/>
        <w:bottom w:val="none" w:sz="0" w:space="0" w:color="auto"/>
        <w:right w:val="none" w:sz="0" w:space="0" w:color="auto"/>
      </w:divBdr>
      <w:divsChild>
        <w:div w:id="479230331">
          <w:marLeft w:val="446"/>
          <w:marRight w:val="0"/>
          <w:marTop w:val="0"/>
          <w:marBottom w:val="0"/>
          <w:divBdr>
            <w:top w:val="none" w:sz="0" w:space="0" w:color="auto"/>
            <w:left w:val="none" w:sz="0" w:space="0" w:color="auto"/>
            <w:bottom w:val="none" w:sz="0" w:space="0" w:color="auto"/>
            <w:right w:val="none" w:sz="0" w:space="0" w:color="auto"/>
          </w:divBdr>
        </w:div>
        <w:div w:id="1172258216">
          <w:marLeft w:val="446"/>
          <w:marRight w:val="0"/>
          <w:marTop w:val="0"/>
          <w:marBottom w:val="0"/>
          <w:divBdr>
            <w:top w:val="none" w:sz="0" w:space="0" w:color="auto"/>
            <w:left w:val="none" w:sz="0" w:space="0" w:color="auto"/>
            <w:bottom w:val="none" w:sz="0" w:space="0" w:color="auto"/>
            <w:right w:val="none" w:sz="0" w:space="0" w:color="auto"/>
          </w:divBdr>
        </w:div>
        <w:div w:id="1860924046">
          <w:marLeft w:val="446"/>
          <w:marRight w:val="0"/>
          <w:marTop w:val="0"/>
          <w:marBottom w:val="0"/>
          <w:divBdr>
            <w:top w:val="none" w:sz="0" w:space="0" w:color="auto"/>
            <w:left w:val="none" w:sz="0" w:space="0" w:color="auto"/>
            <w:bottom w:val="none" w:sz="0" w:space="0" w:color="auto"/>
            <w:right w:val="none" w:sz="0" w:space="0" w:color="auto"/>
          </w:divBdr>
        </w:div>
        <w:div w:id="2014061413">
          <w:marLeft w:val="446"/>
          <w:marRight w:val="0"/>
          <w:marTop w:val="0"/>
          <w:marBottom w:val="0"/>
          <w:divBdr>
            <w:top w:val="none" w:sz="0" w:space="0" w:color="auto"/>
            <w:left w:val="none" w:sz="0" w:space="0" w:color="auto"/>
            <w:bottom w:val="none" w:sz="0" w:space="0" w:color="auto"/>
            <w:right w:val="none" w:sz="0" w:space="0" w:color="auto"/>
          </w:divBdr>
        </w:div>
      </w:divsChild>
    </w:div>
    <w:div w:id="1982953036">
      <w:bodyDiv w:val="1"/>
      <w:marLeft w:val="0"/>
      <w:marRight w:val="0"/>
      <w:marTop w:val="0"/>
      <w:marBottom w:val="0"/>
      <w:divBdr>
        <w:top w:val="none" w:sz="0" w:space="0" w:color="auto"/>
        <w:left w:val="none" w:sz="0" w:space="0" w:color="auto"/>
        <w:bottom w:val="none" w:sz="0" w:space="0" w:color="auto"/>
        <w:right w:val="none" w:sz="0" w:space="0" w:color="auto"/>
      </w:divBdr>
      <w:divsChild>
        <w:div w:id="476189730">
          <w:marLeft w:val="446"/>
          <w:marRight w:val="0"/>
          <w:marTop w:val="0"/>
          <w:marBottom w:val="0"/>
          <w:divBdr>
            <w:top w:val="none" w:sz="0" w:space="0" w:color="auto"/>
            <w:left w:val="none" w:sz="0" w:space="0" w:color="auto"/>
            <w:bottom w:val="none" w:sz="0" w:space="0" w:color="auto"/>
            <w:right w:val="none" w:sz="0" w:space="0" w:color="auto"/>
          </w:divBdr>
        </w:div>
        <w:div w:id="774446836">
          <w:marLeft w:val="446"/>
          <w:marRight w:val="0"/>
          <w:marTop w:val="0"/>
          <w:marBottom w:val="0"/>
          <w:divBdr>
            <w:top w:val="none" w:sz="0" w:space="0" w:color="auto"/>
            <w:left w:val="none" w:sz="0" w:space="0" w:color="auto"/>
            <w:bottom w:val="none" w:sz="0" w:space="0" w:color="auto"/>
            <w:right w:val="none" w:sz="0" w:space="0" w:color="auto"/>
          </w:divBdr>
        </w:div>
        <w:div w:id="911158710">
          <w:marLeft w:val="446"/>
          <w:marRight w:val="0"/>
          <w:marTop w:val="0"/>
          <w:marBottom w:val="0"/>
          <w:divBdr>
            <w:top w:val="none" w:sz="0" w:space="0" w:color="auto"/>
            <w:left w:val="none" w:sz="0" w:space="0" w:color="auto"/>
            <w:bottom w:val="none" w:sz="0" w:space="0" w:color="auto"/>
            <w:right w:val="none" w:sz="0" w:space="0" w:color="auto"/>
          </w:divBdr>
        </w:div>
        <w:div w:id="1037773472">
          <w:marLeft w:val="446"/>
          <w:marRight w:val="0"/>
          <w:marTop w:val="0"/>
          <w:marBottom w:val="0"/>
          <w:divBdr>
            <w:top w:val="none" w:sz="0" w:space="0" w:color="auto"/>
            <w:left w:val="none" w:sz="0" w:space="0" w:color="auto"/>
            <w:bottom w:val="none" w:sz="0" w:space="0" w:color="auto"/>
            <w:right w:val="none" w:sz="0" w:space="0" w:color="auto"/>
          </w:divBdr>
        </w:div>
      </w:divsChild>
    </w:div>
    <w:div w:id="2012679056">
      <w:bodyDiv w:val="1"/>
      <w:marLeft w:val="0"/>
      <w:marRight w:val="0"/>
      <w:marTop w:val="0"/>
      <w:marBottom w:val="0"/>
      <w:divBdr>
        <w:top w:val="none" w:sz="0" w:space="0" w:color="auto"/>
        <w:left w:val="none" w:sz="0" w:space="0" w:color="auto"/>
        <w:bottom w:val="none" w:sz="0" w:space="0" w:color="auto"/>
        <w:right w:val="none" w:sz="0" w:space="0" w:color="auto"/>
      </w:divBdr>
    </w:div>
    <w:div w:id="2017877941">
      <w:bodyDiv w:val="1"/>
      <w:marLeft w:val="0"/>
      <w:marRight w:val="0"/>
      <w:marTop w:val="0"/>
      <w:marBottom w:val="0"/>
      <w:divBdr>
        <w:top w:val="none" w:sz="0" w:space="0" w:color="auto"/>
        <w:left w:val="none" w:sz="0" w:space="0" w:color="auto"/>
        <w:bottom w:val="none" w:sz="0" w:space="0" w:color="auto"/>
        <w:right w:val="none" w:sz="0" w:space="0" w:color="auto"/>
      </w:divBdr>
      <w:divsChild>
        <w:div w:id="769811132">
          <w:marLeft w:val="446"/>
          <w:marRight w:val="0"/>
          <w:marTop w:val="0"/>
          <w:marBottom w:val="0"/>
          <w:divBdr>
            <w:top w:val="none" w:sz="0" w:space="0" w:color="auto"/>
            <w:left w:val="none" w:sz="0" w:space="0" w:color="auto"/>
            <w:bottom w:val="none" w:sz="0" w:space="0" w:color="auto"/>
            <w:right w:val="none" w:sz="0" w:space="0" w:color="auto"/>
          </w:divBdr>
        </w:div>
      </w:divsChild>
    </w:div>
    <w:div w:id="2082754148">
      <w:bodyDiv w:val="1"/>
      <w:marLeft w:val="0"/>
      <w:marRight w:val="0"/>
      <w:marTop w:val="0"/>
      <w:marBottom w:val="0"/>
      <w:divBdr>
        <w:top w:val="none" w:sz="0" w:space="0" w:color="auto"/>
        <w:left w:val="none" w:sz="0" w:space="0" w:color="auto"/>
        <w:bottom w:val="none" w:sz="0" w:space="0" w:color="auto"/>
        <w:right w:val="none" w:sz="0" w:space="0" w:color="auto"/>
      </w:divBdr>
    </w:div>
    <w:div w:id="2100054539">
      <w:bodyDiv w:val="1"/>
      <w:marLeft w:val="0"/>
      <w:marRight w:val="0"/>
      <w:marTop w:val="0"/>
      <w:marBottom w:val="0"/>
      <w:divBdr>
        <w:top w:val="none" w:sz="0" w:space="0" w:color="auto"/>
        <w:left w:val="none" w:sz="0" w:space="0" w:color="auto"/>
        <w:bottom w:val="none" w:sz="0" w:space="0" w:color="auto"/>
        <w:right w:val="none" w:sz="0" w:space="0" w:color="auto"/>
      </w:divBdr>
    </w:div>
    <w:div w:id="2101633224">
      <w:bodyDiv w:val="1"/>
      <w:marLeft w:val="0"/>
      <w:marRight w:val="0"/>
      <w:marTop w:val="0"/>
      <w:marBottom w:val="0"/>
      <w:divBdr>
        <w:top w:val="none" w:sz="0" w:space="0" w:color="auto"/>
        <w:left w:val="none" w:sz="0" w:space="0" w:color="auto"/>
        <w:bottom w:val="none" w:sz="0" w:space="0" w:color="auto"/>
        <w:right w:val="none" w:sz="0" w:space="0" w:color="auto"/>
      </w:divBdr>
    </w:div>
    <w:div w:id="2138332545">
      <w:bodyDiv w:val="1"/>
      <w:marLeft w:val="0"/>
      <w:marRight w:val="0"/>
      <w:marTop w:val="0"/>
      <w:marBottom w:val="0"/>
      <w:divBdr>
        <w:top w:val="none" w:sz="0" w:space="0" w:color="auto"/>
        <w:left w:val="none" w:sz="0" w:space="0" w:color="auto"/>
        <w:bottom w:val="none" w:sz="0" w:space="0" w:color="auto"/>
        <w:right w:val="none" w:sz="0" w:space="0" w:color="auto"/>
      </w:divBdr>
    </w:div>
    <w:div w:id="21415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ueg.eu/library/author/fabio-nachman/70610" TargetMode="External"/><Relationship Id="rId3" Type="http://schemas.openxmlformats.org/officeDocument/2006/relationships/hyperlink" Target="https://osfio/q5gyc/" TargetMode="External"/><Relationship Id="rId7" Type="http://schemas.openxmlformats.org/officeDocument/2006/relationships/hyperlink" Target="https://ueg.eu/library/author/hui-hwang/261515" TargetMode="External"/><Relationship Id="rId12" Type="http://schemas.openxmlformats.org/officeDocument/2006/relationships/hyperlink" Target="https://www.gov.uk/government/publications/evidence-review-criteria-national-screening-programmes/criteria-for-appraising-the-viability-effectiveness-and-appropriateness-of-a-screening-programme" TargetMode="External"/><Relationship Id="rId2" Type="http://schemas.openxmlformats.org/officeDocument/2006/relationships/hyperlink" Target="http://www.nice.org.uk/guidance/ng20" TargetMode="External"/><Relationship Id="rId1" Type="http://schemas.openxmlformats.org/officeDocument/2006/relationships/hyperlink" Target="https://bestpractice.bmj.com/topics/en-gb/636" TargetMode="External"/><Relationship Id="rId6" Type="http://schemas.openxmlformats.org/officeDocument/2006/relationships/hyperlink" Target="https://ueg.eu/library/author/emilia-sugai/196852" TargetMode="External"/><Relationship Id="rId11" Type="http://schemas.openxmlformats.org/officeDocument/2006/relationships/hyperlink" Target="https://www.nisra.gov.uk/statistics/deprivation" TargetMode="External"/><Relationship Id="rId5" Type="http://schemas.openxmlformats.org/officeDocument/2006/relationships/hyperlink" Target="https://ueg.eu/library/author/gabriela-longarini/102713" TargetMode="External"/><Relationship Id="rId10" Type="http://schemas.openxmlformats.org/officeDocument/2006/relationships/hyperlink" Target="https://ueg.eu/library/author/ana-costa/261516" TargetMode="External"/><Relationship Id="rId4" Type="http://schemas.openxmlformats.org/officeDocument/2006/relationships/hyperlink" Target="https://www.pjmhsonline.com/2017/jan_march/pdf/475.pdf" TargetMode="External"/><Relationship Id="rId9" Type="http://schemas.openxmlformats.org/officeDocument/2006/relationships/hyperlink" Target="https://ueg.eu/library/author/horacio-vazquez/187589"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882c133-d57b-4005-a8df-22dede5294ac">
      <UserInfo>
        <DisplayName>Howard Thom</DisplayName>
        <AccountId>24</AccountId>
        <AccountType/>
      </UserInfo>
      <UserInfo>
        <DisplayName>Rachel O'Donnell</DisplayName>
        <AccountId>12</AccountId>
        <AccountType/>
      </UserInfo>
      <UserInfo>
        <DisplayName>Joni Jackson</DisplayName>
        <AccountId>19</AccountId>
        <AccountType/>
      </UserInfo>
      <UserInfo>
        <DisplayName>Jessica Watson</DisplayName>
        <AccountId>28</AccountId>
        <AccountType/>
      </UserInfo>
      <UserInfo>
        <DisplayName>Alastair Hay</DisplayName>
        <AccountId>29</AccountId>
        <AccountType/>
      </UserInfo>
      <UserInfo>
        <DisplayName>Hayley Jones</DisplayName>
        <AccountId>32</AccountId>
        <AccountType/>
      </UserInfo>
      <UserInfo>
        <DisplayName>Penny Whiting</DisplayName>
        <AccountId>13</AccountId>
        <AccountType/>
      </UserInfo>
      <UserInfo>
        <DisplayName>Martha Elwenspoek</DisplayName>
        <AccountId>9</AccountId>
        <AccountType/>
      </UserInfo>
      <UserInfo>
        <DisplayName>Aisling O'Rourke</DisplayName>
        <AccountId>22</AccountId>
        <AccountType/>
      </UserInfo>
      <UserInfo>
        <DisplayName>athena.sheppard@outlook.com</DisplayName>
        <AccountId>25</AccountId>
        <AccountType/>
      </UserInfo>
      <UserInfo>
        <DisplayName>PETER GILLETT</DisplayName>
        <AccountId>30</AccountId>
        <AccountType/>
      </UserInfo>
      <UserInfo>
        <DisplayName>Gerry Robins</DisplayName>
        <AccountId>31</AccountId>
        <AccountType/>
      </UserInfo>
      <UserInfo>
        <DisplayName>Hazel Everitt</DisplayName>
        <AccountId>27</AccountId>
        <AccountType/>
      </UserInfo>
      <UserInfo>
        <DisplayName>Debbie Lane</DisplayName>
        <AccountId>26</AccountId>
        <AccountType/>
      </UserInfo>
      <UserInfo>
        <DisplayName>Jo Stubbs</DisplayName>
        <AccountId>34</AccountId>
        <AccountType/>
      </UserInfo>
      <UserInfo>
        <DisplayName>Edna Keeney</DisplayName>
        <AccountId>35</AccountId>
        <AccountType/>
      </UserInfo>
    </SharedWithUsers>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6D11A-B01B-4246-B5C9-D23B0D13FB07}">
  <ds:schemaRefs>
    <ds:schemaRef ds:uri="http://schemas.microsoft.com/office/2006/metadata/properties"/>
    <ds:schemaRef ds:uri="http://schemas.microsoft.com/office/infopath/2007/PartnerControls"/>
    <ds:schemaRef ds:uri="6882c133-d57b-4005-a8df-22dede5294ac"/>
    <ds:schemaRef ds:uri="02d7720d-78c0-4ba6-b15f-15e1a8d9945b"/>
  </ds:schemaRefs>
</ds:datastoreItem>
</file>

<file path=customXml/itemProps2.xml><?xml version="1.0" encoding="utf-8"?>
<ds:datastoreItem xmlns:ds="http://schemas.openxmlformats.org/officeDocument/2006/customXml" ds:itemID="{3040E9EE-D73E-4CD3-99B3-166F05C17852}">
  <ds:schemaRefs>
    <ds:schemaRef ds:uri="http://schemas.microsoft.com/sharepoint/v3/contenttype/forms"/>
  </ds:schemaRefs>
</ds:datastoreItem>
</file>

<file path=customXml/itemProps3.xml><?xml version="1.0" encoding="utf-8"?>
<ds:datastoreItem xmlns:ds="http://schemas.openxmlformats.org/officeDocument/2006/customXml" ds:itemID="{169EA4C2-9873-4D6B-8785-6B89A61067B8}">
  <ds:schemaRefs>
    <ds:schemaRef ds:uri="http://schemas.openxmlformats.org/officeDocument/2006/bibliography"/>
  </ds:schemaRefs>
</ds:datastoreItem>
</file>

<file path=customXml/itemProps4.xml><?xml version="1.0" encoding="utf-8"?>
<ds:datastoreItem xmlns:ds="http://schemas.openxmlformats.org/officeDocument/2006/customXml" ds:itemID="{0AD8C55B-3FA2-417A-9152-41F29A875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2472</TotalTime>
  <Pages>225</Pages>
  <Words>89515</Words>
  <Characters>510240</Characters>
  <Application>Microsoft Office Word</Application>
  <DocSecurity>0</DocSecurity>
  <Lines>4252</Lines>
  <Paragraphs>1197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598558</CharactersWithSpaces>
  <SharedDoc>false</SharedDoc>
  <HLinks>
    <vt:vector size="78" baseType="variant">
      <vt:variant>
        <vt:i4>4784132</vt:i4>
      </vt:variant>
      <vt:variant>
        <vt:i4>0</vt:i4>
      </vt:variant>
      <vt:variant>
        <vt:i4>0</vt:i4>
      </vt:variant>
      <vt:variant>
        <vt:i4>5</vt:i4>
      </vt:variant>
      <vt:variant>
        <vt:lpwstr>https://understandingpatientdata.org.uk/data-citation</vt:lpwstr>
      </vt:variant>
      <vt:variant>
        <vt:lpwstr/>
      </vt:variant>
      <vt:variant>
        <vt:i4>8192059</vt:i4>
      </vt:variant>
      <vt:variant>
        <vt:i4>33</vt:i4>
      </vt:variant>
      <vt:variant>
        <vt:i4>0</vt:i4>
      </vt:variant>
      <vt:variant>
        <vt:i4>5</vt:i4>
      </vt:variant>
      <vt:variant>
        <vt:lpwstr>https://www.gov.uk/government/publications/evidence-review-criteria-national-screening-programmes/criteria-for-appraising-the-viability-effectiveness-and-appropriateness-of-a-screening-programme</vt:lpwstr>
      </vt:variant>
      <vt:variant>
        <vt:lpwstr/>
      </vt:variant>
      <vt:variant>
        <vt:i4>7209067</vt:i4>
      </vt:variant>
      <vt:variant>
        <vt:i4>30</vt:i4>
      </vt:variant>
      <vt:variant>
        <vt:i4>0</vt:i4>
      </vt:variant>
      <vt:variant>
        <vt:i4>5</vt:i4>
      </vt:variant>
      <vt:variant>
        <vt:lpwstr>https://www.nisra.gov.uk/statistics/deprivation</vt:lpwstr>
      </vt:variant>
      <vt:variant>
        <vt:lpwstr/>
      </vt:variant>
      <vt:variant>
        <vt:i4>3014770</vt:i4>
      </vt:variant>
      <vt:variant>
        <vt:i4>27</vt:i4>
      </vt:variant>
      <vt:variant>
        <vt:i4>0</vt:i4>
      </vt:variant>
      <vt:variant>
        <vt:i4>5</vt:i4>
      </vt:variant>
      <vt:variant>
        <vt:lpwstr>https://ueg.eu/library/author/ana-costa/261516</vt:lpwstr>
      </vt:variant>
      <vt:variant>
        <vt:lpwstr/>
      </vt:variant>
      <vt:variant>
        <vt:i4>4718618</vt:i4>
      </vt:variant>
      <vt:variant>
        <vt:i4>24</vt:i4>
      </vt:variant>
      <vt:variant>
        <vt:i4>0</vt:i4>
      </vt:variant>
      <vt:variant>
        <vt:i4>5</vt:i4>
      </vt:variant>
      <vt:variant>
        <vt:lpwstr>https://ueg.eu/library/author/horacio-vazquez/187589</vt:lpwstr>
      </vt:variant>
      <vt:variant>
        <vt:lpwstr/>
      </vt:variant>
      <vt:variant>
        <vt:i4>983125</vt:i4>
      </vt:variant>
      <vt:variant>
        <vt:i4>21</vt:i4>
      </vt:variant>
      <vt:variant>
        <vt:i4>0</vt:i4>
      </vt:variant>
      <vt:variant>
        <vt:i4>5</vt:i4>
      </vt:variant>
      <vt:variant>
        <vt:lpwstr>https://ueg.eu/library/author/fabio-nachman/70610</vt:lpwstr>
      </vt:variant>
      <vt:variant>
        <vt:lpwstr/>
      </vt:variant>
      <vt:variant>
        <vt:i4>3407980</vt:i4>
      </vt:variant>
      <vt:variant>
        <vt:i4>18</vt:i4>
      </vt:variant>
      <vt:variant>
        <vt:i4>0</vt:i4>
      </vt:variant>
      <vt:variant>
        <vt:i4>5</vt:i4>
      </vt:variant>
      <vt:variant>
        <vt:lpwstr>https://ueg.eu/library/author/hui-hwang/261515</vt:lpwstr>
      </vt:variant>
      <vt:variant>
        <vt:lpwstr/>
      </vt:variant>
      <vt:variant>
        <vt:i4>4390979</vt:i4>
      </vt:variant>
      <vt:variant>
        <vt:i4>15</vt:i4>
      </vt:variant>
      <vt:variant>
        <vt:i4>0</vt:i4>
      </vt:variant>
      <vt:variant>
        <vt:i4>5</vt:i4>
      </vt:variant>
      <vt:variant>
        <vt:lpwstr>https://ueg.eu/library/author/emilia-sugai/196852</vt:lpwstr>
      </vt:variant>
      <vt:variant>
        <vt:lpwstr/>
      </vt:variant>
      <vt:variant>
        <vt:i4>2752544</vt:i4>
      </vt:variant>
      <vt:variant>
        <vt:i4>12</vt:i4>
      </vt:variant>
      <vt:variant>
        <vt:i4>0</vt:i4>
      </vt:variant>
      <vt:variant>
        <vt:i4>5</vt:i4>
      </vt:variant>
      <vt:variant>
        <vt:lpwstr>https://ueg.eu/library/author/gabriela-longarini/102713</vt:lpwstr>
      </vt:variant>
      <vt:variant>
        <vt:lpwstr/>
      </vt:variant>
      <vt:variant>
        <vt:i4>3932235</vt:i4>
      </vt:variant>
      <vt:variant>
        <vt:i4>9</vt:i4>
      </vt:variant>
      <vt:variant>
        <vt:i4>0</vt:i4>
      </vt:variant>
      <vt:variant>
        <vt:i4>5</vt:i4>
      </vt:variant>
      <vt:variant>
        <vt:lpwstr>https://www.pjmhsonline.com/2017/jan_march/pdf/475.pdf</vt:lpwstr>
      </vt:variant>
      <vt:variant>
        <vt:lpwstr/>
      </vt:variant>
      <vt:variant>
        <vt:i4>4653139</vt:i4>
      </vt:variant>
      <vt:variant>
        <vt:i4>6</vt:i4>
      </vt:variant>
      <vt:variant>
        <vt:i4>0</vt:i4>
      </vt:variant>
      <vt:variant>
        <vt:i4>5</vt:i4>
      </vt:variant>
      <vt:variant>
        <vt:lpwstr>https://osfio/q5gyc/</vt:lpwstr>
      </vt:variant>
      <vt:variant>
        <vt:lpwstr/>
      </vt:variant>
      <vt:variant>
        <vt:i4>4915272</vt:i4>
      </vt:variant>
      <vt:variant>
        <vt:i4>3</vt:i4>
      </vt:variant>
      <vt:variant>
        <vt:i4>0</vt:i4>
      </vt:variant>
      <vt:variant>
        <vt:i4>5</vt:i4>
      </vt:variant>
      <vt:variant>
        <vt:lpwstr>http://www.nice.org.uk/guidance/ng20</vt:lpwstr>
      </vt:variant>
      <vt:variant>
        <vt:lpwstr/>
      </vt:variant>
      <vt:variant>
        <vt:i4>4587539</vt:i4>
      </vt:variant>
      <vt:variant>
        <vt:i4>0</vt:i4>
      </vt:variant>
      <vt:variant>
        <vt:i4>0</vt:i4>
      </vt:variant>
      <vt:variant>
        <vt:i4>5</vt:i4>
      </vt:variant>
      <vt:variant>
        <vt:lpwstr>https://bestpractice.bmj.com/topics/en-gb/636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Elwenspoek</dc:creator>
  <cp:keywords/>
  <dc:description/>
  <cp:lastModifiedBy>Claire Furey</cp:lastModifiedBy>
  <cp:revision>1608</cp:revision>
  <dcterms:created xsi:type="dcterms:W3CDTF">2022-04-26T17:27:00Z</dcterms:created>
  <dcterms:modified xsi:type="dcterms:W3CDTF">2022-06-29T09:16:00Z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SIP_Label_7f8f13dc-fde9-4565-8fe8-16daab2c2cf7_Enabled">
    <vt:lpwstr>True</vt:lpwstr>
  </property>
  <property fmtid="{D5CDD505-2E9C-101B-9397-08002B2CF9AE}" pid="4" name="MSIP_Label_7f8f13dc-fde9-4565-8fe8-16daab2c2cf7_SiteId">
    <vt:lpwstr>b2e47f30-cd7d-4a4e-a5da-b18cf1a4151b</vt:lpwstr>
  </property>
  <property fmtid="{D5CDD505-2E9C-101B-9397-08002B2CF9AE}" pid="5" name="MSIP_Label_7f8f13dc-fde9-4565-8fe8-16daab2c2cf7_Owner">
    <vt:lpwstr>eppfw@bristol.ac.uk</vt:lpwstr>
  </property>
  <property fmtid="{D5CDD505-2E9C-101B-9397-08002B2CF9AE}" pid="6" name="MSIP_Label_7f8f13dc-fde9-4565-8fe8-16daab2c2cf7_SetDate">
    <vt:lpwstr>2022-01-26T14:49:54.2255086Z</vt:lpwstr>
  </property>
  <property fmtid="{D5CDD505-2E9C-101B-9397-08002B2CF9AE}" pid="7" name="MSIP_Label_7f8f13dc-fde9-4565-8fe8-16daab2c2cf7_Name">
    <vt:lpwstr>Not classifiable or in progress</vt:lpwstr>
  </property>
  <property fmtid="{D5CDD505-2E9C-101B-9397-08002B2CF9AE}" pid="8" name="MSIP_Label_7f8f13dc-fde9-4565-8fe8-16daab2c2cf7_Application">
    <vt:lpwstr>Microsoft Azure Information Protection</vt:lpwstr>
  </property>
  <property fmtid="{D5CDD505-2E9C-101B-9397-08002B2CF9AE}" pid="9" name="MSIP_Label_7f8f13dc-fde9-4565-8fe8-16daab2c2cf7_ActionId">
    <vt:lpwstr>89f9b1d6-aa52-4026-90f8-6543029db1c8</vt:lpwstr>
  </property>
  <property fmtid="{D5CDD505-2E9C-101B-9397-08002B2CF9AE}" pid="10" name="MSIP_Label_7f8f13dc-fde9-4565-8fe8-16daab2c2cf7_Extended_MSFT_Method">
    <vt:lpwstr>Manual</vt:lpwstr>
  </property>
  <property fmtid="{D5CDD505-2E9C-101B-9397-08002B2CF9AE}" pid="11" name="Sensitivity">
    <vt:lpwstr>Not classifiable or in progress</vt:lpwstr>
  </property>
  <property fmtid="{D5CDD505-2E9C-101B-9397-08002B2CF9AE}" pid="12" name="MediaServiceImageTags">
    <vt:lpwstr/>
  </property>
</Properties>
</file>